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document.xml" ContentType="application/vnd.openxmlformats-officedocument.wordprocessingml.document.main+xml"/>
  <Override PartName="/word/drawings/drawing1.xml" ContentType="application/vnd.openxmlformats-officedocument.drawingml.chartshapes+xml"/>
  <Override PartName="/word/drawings/drawing2.xml" ContentType="application/vnd.openxmlformats-officedocument.drawingml.chartshapes+xml"/>
  <Override PartName="/word/drawings/drawing3.xml" ContentType="application/vnd.openxmlformats-officedocument.drawingml.chartshapes+xml"/>
  <Override PartName="/word/drawings/drawing4.xml" ContentType="application/vnd.openxmlformats-officedocument.drawingml.chartshapes+xml"/>
  <Override PartName="/word/drawings/drawing5.xml" ContentType="application/vnd.openxmlformats-officedocument.drawingml.chartshapes+xml"/>
  <Override PartName="/word/drawings/drawing6.xml" ContentType="application/vnd.openxmlformats-officedocument.drawingml.chartshapes+xml"/>
  <Override PartName="/word/drawings/drawing7.xml" ContentType="application/vnd.openxmlformats-officedocument.drawingml.chartshapes+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outlineLvl w:val="0"/>
        <w:rPr>
          <w:rFonts w:eastAsia="方正小标宋简体"/>
          <w:color w:val="000000"/>
          <w:sz w:val="72"/>
          <w:szCs w:val="72"/>
        </w:rPr>
      </w:pPr>
      <w:bookmarkStart w:id="0" w:name="_Toc15306267"/>
    </w:p>
    <w:p>
      <w:pPr>
        <w:spacing w:line="600" w:lineRule="exact"/>
        <w:jc w:val="center"/>
        <w:outlineLvl w:val="0"/>
        <w:rPr>
          <w:rFonts w:eastAsia="方正小标宋简体"/>
          <w:color w:val="000000"/>
          <w:sz w:val="72"/>
          <w:szCs w:val="72"/>
        </w:rPr>
      </w:pPr>
    </w:p>
    <w:p>
      <w:pPr>
        <w:spacing w:line="600" w:lineRule="exact"/>
        <w:jc w:val="center"/>
        <w:outlineLvl w:val="0"/>
        <w:rPr>
          <w:rFonts w:eastAsia="方正小标宋简体"/>
          <w:color w:val="000000"/>
          <w:sz w:val="72"/>
          <w:szCs w:val="72"/>
        </w:rPr>
      </w:pPr>
    </w:p>
    <w:p>
      <w:pPr>
        <w:spacing w:line="600" w:lineRule="exact"/>
        <w:jc w:val="center"/>
        <w:outlineLvl w:val="0"/>
        <w:rPr>
          <w:rFonts w:eastAsia="方正小标宋简体"/>
          <w:color w:val="000000"/>
          <w:sz w:val="72"/>
          <w:szCs w:val="72"/>
        </w:rPr>
      </w:pPr>
    </w:p>
    <w:p>
      <w:pPr>
        <w:spacing w:line="600" w:lineRule="exact"/>
        <w:jc w:val="center"/>
        <w:outlineLvl w:val="0"/>
        <w:rPr>
          <w:rFonts w:eastAsia="方正小标宋简体"/>
          <w:color w:val="000000"/>
          <w:sz w:val="72"/>
          <w:szCs w:val="72"/>
        </w:rPr>
      </w:pPr>
    </w:p>
    <w:p>
      <w:pPr>
        <w:spacing w:line="600" w:lineRule="exact"/>
        <w:jc w:val="center"/>
        <w:outlineLvl w:val="0"/>
        <w:rPr>
          <w:rFonts w:eastAsia="方正小标宋简体"/>
          <w:color w:val="000000"/>
          <w:sz w:val="72"/>
          <w:szCs w:val="72"/>
        </w:rPr>
      </w:pPr>
    </w:p>
    <w:p>
      <w:pPr>
        <w:spacing w:line="600" w:lineRule="exact"/>
        <w:jc w:val="center"/>
        <w:outlineLvl w:val="0"/>
        <w:rPr>
          <w:rFonts w:eastAsia="方正小标宋简体"/>
          <w:color w:val="000000"/>
          <w:sz w:val="72"/>
          <w:szCs w:val="72"/>
        </w:rPr>
      </w:pPr>
    </w:p>
    <w:p>
      <w:pPr>
        <w:spacing w:line="600" w:lineRule="exact"/>
        <w:jc w:val="center"/>
        <w:outlineLvl w:val="0"/>
        <w:rPr>
          <w:rFonts w:eastAsia="方正小标宋简体"/>
          <w:color w:val="000000"/>
          <w:sz w:val="72"/>
          <w:szCs w:val="72"/>
        </w:rPr>
      </w:pPr>
    </w:p>
    <w:p>
      <w:pPr>
        <w:spacing w:line="600" w:lineRule="exact"/>
        <w:jc w:val="center"/>
        <w:outlineLvl w:val="0"/>
        <w:rPr>
          <w:rFonts w:eastAsia="方正小标宋简体"/>
          <w:color w:val="000000"/>
          <w:sz w:val="72"/>
          <w:szCs w:val="72"/>
        </w:rPr>
      </w:pPr>
    </w:p>
    <w:p>
      <w:pPr>
        <w:spacing w:line="600" w:lineRule="exact"/>
        <w:jc w:val="center"/>
        <w:outlineLvl w:val="0"/>
        <w:rPr>
          <w:rFonts w:eastAsia="方正小标宋简体"/>
          <w:color w:val="000000"/>
          <w:sz w:val="72"/>
          <w:szCs w:val="72"/>
        </w:rPr>
      </w:pPr>
    </w:p>
    <w:p>
      <w:pPr>
        <w:adjustRightInd w:val="0"/>
        <w:snapToGrid w:val="0"/>
        <w:spacing w:line="360" w:lineRule="auto"/>
        <w:jc w:val="center"/>
        <w:outlineLvl w:val="0"/>
        <w:rPr>
          <w:rFonts w:eastAsia="方正小标宋简体"/>
          <w:color w:val="000000"/>
          <w:sz w:val="52"/>
          <w:szCs w:val="52"/>
        </w:rPr>
      </w:pPr>
      <w:bookmarkStart w:id="1" w:name="_Toc15378441"/>
      <w:bookmarkStart w:id="2" w:name="_Toc15396597"/>
      <w:bookmarkStart w:id="3" w:name="_Toc15377425"/>
      <w:bookmarkStart w:id="4" w:name="_Toc15377193"/>
      <w:bookmarkStart w:id="5" w:name="_Toc15396475"/>
      <w:r>
        <w:rPr>
          <w:rFonts w:eastAsia="黑体"/>
          <w:color w:val="000000"/>
          <w:sz w:val="52"/>
          <w:szCs w:val="52"/>
        </w:rPr>
        <w:t>2018</w:t>
      </w:r>
      <w:r>
        <w:rPr>
          <w:rFonts w:eastAsia="方正小标宋简体"/>
          <w:color w:val="000000"/>
          <w:sz w:val="52"/>
          <w:szCs w:val="52"/>
        </w:rPr>
        <w:t>年度</w:t>
      </w:r>
      <w:bookmarkEnd w:id="0"/>
      <w:bookmarkEnd w:id="1"/>
      <w:bookmarkEnd w:id="2"/>
      <w:bookmarkEnd w:id="3"/>
      <w:bookmarkEnd w:id="4"/>
      <w:bookmarkEnd w:id="5"/>
      <w:bookmarkStart w:id="6" w:name="_Toc15377194"/>
      <w:bookmarkStart w:id="7" w:name="_Toc15378442"/>
      <w:bookmarkStart w:id="8" w:name="_Toc15306268"/>
      <w:bookmarkStart w:id="9" w:name="_Toc15377426"/>
      <w:bookmarkStart w:id="10" w:name="_Toc15396598"/>
      <w:bookmarkStart w:id="11" w:name="_Toc15396476"/>
      <w:r>
        <w:rPr>
          <w:rFonts w:eastAsia="方正小标宋简体"/>
          <w:color w:val="000000"/>
          <w:sz w:val="52"/>
          <w:szCs w:val="52"/>
        </w:rPr>
        <w:t>中共攀枝花市委办公室</w:t>
      </w:r>
    </w:p>
    <w:p>
      <w:pPr>
        <w:adjustRightInd w:val="0"/>
        <w:snapToGrid w:val="0"/>
        <w:spacing w:line="360" w:lineRule="auto"/>
        <w:jc w:val="center"/>
        <w:outlineLvl w:val="0"/>
        <w:rPr>
          <w:rFonts w:eastAsia="方正小标宋简体"/>
          <w:color w:val="000000"/>
          <w:sz w:val="52"/>
          <w:szCs w:val="52"/>
        </w:rPr>
      </w:pPr>
      <w:r>
        <w:rPr>
          <w:rFonts w:eastAsia="方正小标宋简体"/>
          <w:color w:val="000000"/>
          <w:sz w:val="52"/>
          <w:szCs w:val="52"/>
        </w:rPr>
        <w:t>部门决算</w:t>
      </w:r>
      <w:bookmarkEnd w:id="6"/>
      <w:bookmarkEnd w:id="7"/>
      <w:bookmarkEnd w:id="8"/>
      <w:bookmarkEnd w:id="9"/>
      <w:bookmarkEnd w:id="10"/>
      <w:bookmarkEnd w:id="11"/>
      <w:r>
        <w:rPr>
          <w:rFonts w:eastAsia="方正小标宋简体"/>
          <w:color w:val="000000"/>
          <w:sz w:val="52"/>
          <w:szCs w:val="52"/>
        </w:rPr>
        <w:t>编制说明</w:t>
      </w:r>
    </w:p>
    <w:p>
      <w:pPr>
        <w:widowControl/>
        <w:jc w:val="center"/>
        <w:rPr>
          <w:rFonts w:eastAsia="黑体"/>
          <w:color w:val="000000"/>
          <w:sz w:val="48"/>
          <w:szCs w:val="48"/>
        </w:rPr>
      </w:pPr>
      <w:r>
        <w:rPr>
          <w:rFonts w:eastAsia="方正小标宋简体"/>
          <w:color w:val="000000"/>
          <w:sz w:val="36"/>
          <w:szCs w:val="36"/>
        </w:rPr>
        <w:br w:type="page"/>
      </w:r>
      <w:r>
        <w:rPr>
          <w:rFonts w:hAnsi="黑体" w:eastAsia="黑体"/>
          <w:color w:val="000000"/>
          <w:sz w:val="48"/>
          <w:szCs w:val="48"/>
        </w:rPr>
        <w:t>目录</w:t>
      </w:r>
    </w:p>
    <w:p>
      <w:pPr>
        <w:widowControl/>
        <w:jc w:val="center"/>
        <w:rPr>
          <w:rFonts w:eastAsia="黑体"/>
          <w:sz w:val="28"/>
          <w:szCs w:val="28"/>
        </w:rPr>
      </w:pPr>
      <w:r>
        <w:rPr>
          <w:rFonts w:eastAsia="黑体"/>
          <w:color w:val="000000"/>
          <w:sz w:val="48"/>
          <w:szCs w:val="48"/>
        </w:rPr>
        <w:fldChar w:fldCharType="begin"/>
      </w:r>
      <w:r>
        <w:rPr>
          <w:rFonts w:eastAsia="黑体"/>
          <w:color w:val="000000"/>
          <w:sz w:val="48"/>
          <w:szCs w:val="48"/>
        </w:rPr>
        <w:instrText xml:space="preserve"> TOC \o "1-2" \h \z \u </w:instrText>
      </w:r>
      <w:r>
        <w:rPr>
          <w:rFonts w:eastAsia="黑体"/>
          <w:color w:val="000000"/>
          <w:sz w:val="48"/>
          <w:szCs w:val="48"/>
        </w:rPr>
        <w:fldChar w:fldCharType="separate"/>
      </w:r>
    </w:p>
    <w:p>
      <w:pPr>
        <w:pStyle w:val="10"/>
        <w:rPr>
          <w:rFonts w:ascii="Times New Roman" w:hAnsi="Times New Roman"/>
        </w:rPr>
      </w:pPr>
      <w:r>
        <w:rPr>
          <w:rFonts w:ascii="Times New Roman"/>
        </w:rPr>
        <w:t>公开时间：</w:t>
      </w:r>
      <w:r>
        <w:rPr>
          <w:rFonts w:ascii="Times New Roman" w:hAnsi="Times New Roman"/>
        </w:rPr>
        <w:t>2019</w:t>
      </w:r>
      <w:r>
        <w:rPr>
          <w:rFonts w:ascii="Times New Roman"/>
        </w:rPr>
        <w:t>年</w:t>
      </w:r>
      <w:r>
        <w:rPr>
          <w:rFonts w:ascii="Times New Roman" w:hAnsi="Times New Roman"/>
        </w:rPr>
        <w:t>9</w:t>
      </w:r>
      <w:r>
        <w:rPr>
          <w:rFonts w:ascii="Times New Roman"/>
        </w:rPr>
        <w:t>月</w:t>
      </w:r>
      <w:r>
        <w:rPr>
          <w:rFonts w:hint="eastAsia" w:ascii="Times New Roman" w:hAnsi="Times New Roman"/>
          <w:lang w:val="en-US" w:eastAsia="zh-CN"/>
        </w:rPr>
        <w:t>17</w:t>
      </w:r>
      <w:r>
        <w:rPr>
          <w:rFonts w:ascii="Times New Roman"/>
        </w:rPr>
        <w:t>日</w:t>
      </w:r>
    </w:p>
    <w:p/>
    <w:p>
      <w:pPr>
        <w:pStyle w:val="10"/>
        <w:rPr>
          <w:rFonts w:ascii="Times New Roman" w:hAnsi="Times New Roman"/>
        </w:rPr>
      </w:pPr>
      <w:r>
        <w:fldChar w:fldCharType="begin"/>
      </w:r>
      <w:r>
        <w:instrText xml:space="preserve"> HYPERLINK \l "_Toc15396599" </w:instrText>
      </w:r>
      <w:r>
        <w:fldChar w:fldCharType="separate"/>
      </w:r>
      <w:r>
        <w:rPr>
          <w:rStyle w:val="15"/>
          <w:rFonts w:ascii="Times New Roman"/>
        </w:rPr>
        <w:t>第一部分部门概况</w:t>
      </w:r>
      <w:r>
        <w:rPr>
          <w:rFonts w:ascii="Times New Roman" w:hAnsi="Times New Roman"/>
        </w:rPr>
        <w:tab/>
      </w:r>
      <w:r>
        <w:rPr>
          <w:rFonts w:ascii="Times New Roman" w:hAnsi="Times New Roman"/>
        </w:rPr>
        <w:t>4</w:t>
      </w:r>
      <w:r>
        <w:rPr>
          <w:rFonts w:ascii="Times New Roman" w:hAnsi="Times New Roman"/>
        </w:rPr>
        <w:fldChar w:fldCharType="end"/>
      </w:r>
    </w:p>
    <w:p>
      <w:pPr>
        <w:pStyle w:val="11"/>
        <w:rPr>
          <w:rFonts w:eastAsia="仿宋"/>
          <w:sz w:val="28"/>
          <w:szCs w:val="28"/>
        </w:rPr>
      </w:pPr>
      <w:r>
        <w:fldChar w:fldCharType="begin"/>
      </w:r>
      <w:r>
        <w:instrText xml:space="preserve"> HYPERLINK \l "_Toc15396600" </w:instrText>
      </w:r>
      <w:r>
        <w:fldChar w:fldCharType="separate"/>
      </w:r>
      <w:r>
        <w:rPr>
          <w:rStyle w:val="15"/>
          <w:rFonts w:hAnsi="仿宋" w:eastAsia="仿宋"/>
          <w:sz w:val="28"/>
          <w:szCs w:val="28"/>
        </w:rPr>
        <w:t>一、基本职能及主要工作</w:t>
      </w:r>
      <w:r>
        <w:rPr>
          <w:rFonts w:eastAsia="仿宋"/>
          <w:sz w:val="28"/>
          <w:szCs w:val="28"/>
        </w:rPr>
        <w:tab/>
      </w:r>
      <w:r>
        <w:rPr>
          <w:rFonts w:eastAsia="仿宋"/>
          <w:sz w:val="28"/>
          <w:szCs w:val="28"/>
        </w:rPr>
        <w:t>4</w:t>
      </w:r>
      <w:r>
        <w:rPr>
          <w:rFonts w:eastAsia="仿宋"/>
          <w:sz w:val="28"/>
          <w:szCs w:val="28"/>
        </w:rPr>
        <w:fldChar w:fldCharType="end"/>
      </w:r>
    </w:p>
    <w:p>
      <w:pPr>
        <w:pStyle w:val="11"/>
        <w:rPr>
          <w:rFonts w:eastAsia="仿宋"/>
          <w:sz w:val="28"/>
          <w:szCs w:val="28"/>
        </w:rPr>
      </w:pPr>
      <w:r>
        <w:fldChar w:fldCharType="begin"/>
      </w:r>
      <w:r>
        <w:instrText xml:space="preserve"> HYPERLINK \l "_Toc15396601" </w:instrText>
      </w:r>
      <w:r>
        <w:fldChar w:fldCharType="separate"/>
      </w:r>
      <w:r>
        <w:rPr>
          <w:rStyle w:val="15"/>
          <w:rFonts w:hAnsi="仿宋" w:eastAsia="仿宋"/>
          <w:sz w:val="28"/>
          <w:szCs w:val="28"/>
        </w:rPr>
        <w:t>二、机构设置</w:t>
      </w:r>
      <w:r>
        <w:rPr>
          <w:rFonts w:eastAsia="仿宋"/>
          <w:sz w:val="28"/>
          <w:szCs w:val="28"/>
        </w:rPr>
        <w:tab/>
      </w:r>
      <w:r>
        <w:rPr>
          <w:rFonts w:eastAsia="仿宋"/>
          <w:sz w:val="28"/>
          <w:szCs w:val="28"/>
        </w:rPr>
        <w:fldChar w:fldCharType="begin"/>
      </w:r>
      <w:r>
        <w:rPr>
          <w:rFonts w:eastAsia="仿宋"/>
          <w:sz w:val="28"/>
          <w:szCs w:val="28"/>
        </w:rPr>
        <w:instrText xml:space="preserve"> PAGEREF _Toc15396601 \h </w:instrText>
      </w:r>
      <w:r>
        <w:rPr>
          <w:rFonts w:eastAsia="仿宋"/>
          <w:sz w:val="28"/>
          <w:szCs w:val="28"/>
        </w:rPr>
        <w:fldChar w:fldCharType="separate"/>
      </w:r>
      <w:r>
        <w:rPr>
          <w:rFonts w:eastAsia="仿宋"/>
          <w:sz w:val="28"/>
          <w:szCs w:val="28"/>
        </w:rPr>
        <w:t>11</w:t>
      </w:r>
      <w:r>
        <w:rPr>
          <w:rFonts w:eastAsia="仿宋"/>
          <w:sz w:val="28"/>
          <w:szCs w:val="28"/>
        </w:rPr>
        <w:fldChar w:fldCharType="end"/>
      </w:r>
      <w:r>
        <w:rPr>
          <w:rFonts w:eastAsia="仿宋"/>
          <w:sz w:val="28"/>
          <w:szCs w:val="28"/>
        </w:rPr>
        <w:fldChar w:fldCharType="end"/>
      </w:r>
    </w:p>
    <w:p>
      <w:pPr>
        <w:pStyle w:val="10"/>
        <w:rPr>
          <w:rFonts w:ascii="Times New Roman" w:hAnsi="Times New Roman"/>
        </w:rPr>
      </w:pPr>
      <w:r>
        <w:fldChar w:fldCharType="begin"/>
      </w:r>
      <w:r>
        <w:instrText xml:space="preserve"> HYPERLINK \l "_Toc15396602" </w:instrText>
      </w:r>
      <w:r>
        <w:fldChar w:fldCharType="separate"/>
      </w:r>
      <w:r>
        <w:rPr>
          <w:rStyle w:val="15"/>
          <w:rFonts w:ascii="Times New Roman"/>
        </w:rPr>
        <w:t>第二部分</w:t>
      </w:r>
      <w:r>
        <w:rPr>
          <w:rStyle w:val="15"/>
          <w:rFonts w:ascii="Times New Roman" w:hAnsi="Times New Roman"/>
        </w:rPr>
        <w:t xml:space="preserve"> 2018</w:t>
      </w:r>
      <w:r>
        <w:rPr>
          <w:rStyle w:val="15"/>
          <w:rFonts w:ascii="Times New Roman"/>
        </w:rPr>
        <w:t>年度部门决算情况说明</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_Toc15396602 \h </w:instrText>
      </w:r>
      <w:r>
        <w:rPr>
          <w:rFonts w:ascii="Times New Roman" w:hAnsi="Times New Roman"/>
        </w:rPr>
        <w:fldChar w:fldCharType="separate"/>
      </w:r>
      <w:r>
        <w:rPr>
          <w:rFonts w:ascii="Times New Roman" w:hAnsi="Times New Roman"/>
        </w:rPr>
        <w:t>12</w:t>
      </w:r>
      <w:r>
        <w:rPr>
          <w:rFonts w:ascii="Times New Roman" w:hAnsi="Times New Roman"/>
        </w:rPr>
        <w:fldChar w:fldCharType="end"/>
      </w:r>
      <w:r>
        <w:rPr>
          <w:rFonts w:ascii="Times New Roman" w:hAnsi="Times New Roman"/>
        </w:rPr>
        <w:fldChar w:fldCharType="end"/>
      </w:r>
    </w:p>
    <w:p>
      <w:pPr>
        <w:pStyle w:val="11"/>
        <w:rPr>
          <w:rFonts w:eastAsia="仿宋"/>
          <w:sz w:val="28"/>
          <w:szCs w:val="28"/>
        </w:rPr>
      </w:pPr>
      <w:r>
        <w:fldChar w:fldCharType="begin"/>
      </w:r>
      <w:r>
        <w:instrText xml:space="preserve"> HYPERLINK \l "_Toc15396603" </w:instrText>
      </w:r>
      <w:r>
        <w:fldChar w:fldCharType="separate"/>
      </w:r>
      <w:r>
        <w:rPr>
          <w:rStyle w:val="15"/>
          <w:rFonts w:hAnsi="仿宋" w:eastAsia="仿宋"/>
          <w:bCs/>
          <w:sz w:val="28"/>
          <w:szCs w:val="28"/>
        </w:rPr>
        <w:t>一、</w:t>
      </w:r>
      <w:r>
        <w:rPr>
          <w:rStyle w:val="15"/>
          <w:rFonts w:hAnsi="仿宋" w:eastAsia="仿宋"/>
          <w:sz w:val="28"/>
          <w:szCs w:val="28"/>
        </w:rPr>
        <w:t>收</w:t>
      </w:r>
      <w:r>
        <w:rPr>
          <w:rStyle w:val="15"/>
          <w:rFonts w:hAnsi="仿宋" w:eastAsia="仿宋"/>
          <w:bCs/>
          <w:sz w:val="28"/>
          <w:szCs w:val="28"/>
        </w:rPr>
        <w:t>入支出决算总体情况说明</w:t>
      </w:r>
      <w:r>
        <w:rPr>
          <w:rFonts w:eastAsia="仿宋"/>
          <w:sz w:val="28"/>
          <w:szCs w:val="28"/>
        </w:rPr>
        <w:tab/>
      </w:r>
      <w:r>
        <w:rPr>
          <w:rFonts w:eastAsia="仿宋"/>
          <w:sz w:val="28"/>
          <w:szCs w:val="28"/>
        </w:rPr>
        <w:fldChar w:fldCharType="begin"/>
      </w:r>
      <w:r>
        <w:rPr>
          <w:rFonts w:eastAsia="仿宋"/>
          <w:sz w:val="28"/>
          <w:szCs w:val="28"/>
        </w:rPr>
        <w:instrText xml:space="preserve"> PAGEREF _Toc15396603 \h </w:instrText>
      </w:r>
      <w:r>
        <w:rPr>
          <w:rFonts w:eastAsia="仿宋"/>
          <w:sz w:val="28"/>
          <w:szCs w:val="28"/>
        </w:rPr>
        <w:fldChar w:fldCharType="separate"/>
      </w:r>
      <w:r>
        <w:rPr>
          <w:rFonts w:eastAsia="仿宋"/>
          <w:sz w:val="28"/>
          <w:szCs w:val="28"/>
        </w:rPr>
        <w:t>12</w:t>
      </w:r>
      <w:r>
        <w:rPr>
          <w:rFonts w:eastAsia="仿宋"/>
          <w:sz w:val="28"/>
          <w:szCs w:val="28"/>
        </w:rPr>
        <w:fldChar w:fldCharType="end"/>
      </w:r>
      <w:r>
        <w:rPr>
          <w:rFonts w:eastAsia="仿宋"/>
          <w:sz w:val="28"/>
          <w:szCs w:val="28"/>
        </w:rPr>
        <w:fldChar w:fldCharType="end"/>
      </w:r>
    </w:p>
    <w:p>
      <w:pPr>
        <w:pStyle w:val="11"/>
        <w:rPr>
          <w:rFonts w:eastAsia="仿宋"/>
          <w:sz w:val="28"/>
          <w:szCs w:val="28"/>
        </w:rPr>
      </w:pPr>
      <w:r>
        <w:fldChar w:fldCharType="begin"/>
      </w:r>
      <w:r>
        <w:instrText xml:space="preserve"> HYPERLINK \l "_Toc15396604" </w:instrText>
      </w:r>
      <w:r>
        <w:fldChar w:fldCharType="separate"/>
      </w:r>
      <w:r>
        <w:rPr>
          <w:rStyle w:val="15"/>
          <w:rFonts w:hAnsi="仿宋" w:eastAsia="仿宋"/>
          <w:bCs/>
          <w:sz w:val="28"/>
          <w:szCs w:val="28"/>
        </w:rPr>
        <w:t>二、</w:t>
      </w:r>
      <w:r>
        <w:rPr>
          <w:rStyle w:val="15"/>
          <w:rFonts w:hAnsi="仿宋" w:eastAsia="仿宋"/>
          <w:sz w:val="28"/>
          <w:szCs w:val="28"/>
        </w:rPr>
        <w:t>收</w:t>
      </w:r>
      <w:r>
        <w:rPr>
          <w:rStyle w:val="15"/>
          <w:rFonts w:hAnsi="仿宋" w:eastAsia="仿宋"/>
          <w:bCs/>
          <w:sz w:val="28"/>
          <w:szCs w:val="28"/>
        </w:rPr>
        <w:t>入决算情况说明</w:t>
      </w:r>
      <w:r>
        <w:rPr>
          <w:rFonts w:eastAsia="仿宋"/>
          <w:sz w:val="28"/>
          <w:szCs w:val="28"/>
        </w:rPr>
        <w:tab/>
      </w:r>
      <w:r>
        <w:rPr>
          <w:rFonts w:eastAsia="仿宋"/>
          <w:sz w:val="28"/>
          <w:szCs w:val="28"/>
        </w:rPr>
        <w:fldChar w:fldCharType="begin"/>
      </w:r>
      <w:r>
        <w:rPr>
          <w:rFonts w:eastAsia="仿宋"/>
          <w:sz w:val="28"/>
          <w:szCs w:val="28"/>
        </w:rPr>
        <w:instrText xml:space="preserve"> PAGEREF _Toc15396604 \h </w:instrText>
      </w:r>
      <w:r>
        <w:rPr>
          <w:rFonts w:eastAsia="仿宋"/>
          <w:sz w:val="28"/>
          <w:szCs w:val="28"/>
        </w:rPr>
        <w:fldChar w:fldCharType="separate"/>
      </w:r>
      <w:r>
        <w:rPr>
          <w:rFonts w:eastAsia="仿宋"/>
          <w:sz w:val="28"/>
          <w:szCs w:val="28"/>
        </w:rPr>
        <w:t>12</w:t>
      </w:r>
      <w:r>
        <w:rPr>
          <w:rFonts w:eastAsia="仿宋"/>
          <w:sz w:val="28"/>
          <w:szCs w:val="28"/>
        </w:rPr>
        <w:fldChar w:fldCharType="end"/>
      </w:r>
      <w:r>
        <w:rPr>
          <w:rFonts w:eastAsia="仿宋"/>
          <w:sz w:val="28"/>
          <w:szCs w:val="28"/>
        </w:rPr>
        <w:fldChar w:fldCharType="end"/>
      </w:r>
    </w:p>
    <w:p>
      <w:pPr>
        <w:pStyle w:val="11"/>
        <w:rPr>
          <w:rFonts w:eastAsia="仿宋"/>
          <w:sz w:val="28"/>
          <w:szCs w:val="28"/>
        </w:rPr>
      </w:pPr>
      <w:r>
        <w:fldChar w:fldCharType="begin"/>
      </w:r>
      <w:r>
        <w:instrText xml:space="preserve"> HYPERLINK \l "_Toc15396605" </w:instrText>
      </w:r>
      <w:r>
        <w:fldChar w:fldCharType="separate"/>
      </w:r>
      <w:r>
        <w:rPr>
          <w:rStyle w:val="15"/>
          <w:rFonts w:hAnsi="仿宋" w:eastAsia="仿宋"/>
          <w:bCs/>
          <w:sz w:val="28"/>
          <w:szCs w:val="28"/>
        </w:rPr>
        <w:t>三、</w:t>
      </w:r>
      <w:r>
        <w:rPr>
          <w:rStyle w:val="15"/>
          <w:rFonts w:hAnsi="仿宋" w:eastAsia="仿宋"/>
          <w:sz w:val="28"/>
          <w:szCs w:val="28"/>
        </w:rPr>
        <w:t>支</w:t>
      </w:r>
      <w:r>
        <w:rPr>
          <w:rStyle w:val="15"/>
          <w:rFonts w:hAnsi="仿宋" w:eastAsia="仿宋"/>
          <w:bCs/>
          <w:sz w:val="28"/>
          <w:szCs w:val="28"/>
        </w:rPr>
        <w:t>出决算情况说明</w:t>
      </w:r>
      <w:r>
        <w:rPr>
          <w:rFonts w:eastAsia="仿宋"/>
          <w:sz w:val="28"/>
          <w:szCs w:val="28"/>
        </w:rPr>
        <w:tab/>
      </w:r>
      <w:r>
        <w:rPr>
          <w:rFonts w:eastAsia="仿宋"/>
          <w:sz w:val="28"/>
          <w:szCs w:val="28"/>
        </w:rPr>
        <w:fldChar w:fldCharType="begin"/>
      </w:r>
      <w:r>
        <w:rPr>
          <w:rFonts w:eastAsia="仿宋"/>
          <w:sz w:val="28"/>
          <w:szCs w:val="28"/>
        </w:rPr>
        <w:instrText xml:space="preserve"> PAGEREF _Toc15396605 \h </w:instrText>
      </w:r>
      <w:r>
        <w:rPr>
          <w:rFonts w:eastAsia="仿宋"/>
          <w:sz w:val="28"/>
          <w:szCs w:val="28"/>
        </w:rPr>
        <w:fldChar w:fldCharType="separate"/>
      </w:r>
      <w:r>
        <w:rPr>
          <w:rFonts w:eastAsia="仿宋"/>
          <w:sz w:val="28"/>
          <w:szCs w:val="28"/>
        </w:rPr>
        <w:t>13</w:t>
      </w:r>
      <w:r>
        <w:rPr>
          <w:rFonts w:eastAsia="仿宋"/>
          <w:sz w:val="28"/>
          <w:szCs w:val="28"/>
        </w:rPr>
        <w:fldChar w:fldCharType="end"/>
      </w:r>
      <w:r>
        <w:rPr>
          <w:rFonts w:eastAsia="仿宋"/>
          <w:sz w:val="28"/>
          <w:szCs w:val="28"/>
        </w:rPr>
        <w:fldChar w:fldCharType="end"/>
      </w:r>
    </w:p>
    <w:p>
      <w:pPr>
        <w:pStyle w:val="11"/>
        <w:rPr>
          <w:rFonts w:eastAsia="仿宋"/>
          <w:sz w:val="28"/>
          <w:szCs w:val="28"/>
        </w:rPr>
      </w:pPr>
      <w:r>
        <w:fldChar w:fldCharType="begin"/>
      </w:r>
      <w:r>
        <w:instrText xml:space="preserve"> HYPERLINK \l "_Toc15396606" </w:instrText>
      </w:r>
      <w:r>
        <w:fldChar w:fldCharType="separate"/>
      </w:r>
      <w:r>
        <w:rPr>
          <w:rStyle w:val="15"/>
          <w:rFonts w:hAnsi="仿宋" w:eastAsia="仿宋"/>
          <w:sz w:val="28"/>
          <w:szCs w:val="28"/>
        </w:rPr>
        <w:t>四、财</w:t>
      </w:r>
      <w:r>
        <w:rPr>
          <w:rStyle w:val="15"/>
          <w:rFonts w:hAnsi="仿宋" w:eastAsia="仿宋"/>
          <w:bCs/>
          <w:sz w:val="28"/>
          <w:szCs w:val="28"/>
        </w:rPr>
        <w:t>政拨款收入支出决算总体情况说明</w:t>
      </w:r>
      <w:r>
        <w:rPr>
          <w:rFonts w:eastAsia="仿宋"/>
          <w:sz w:val="28"/>
          <w:szCs w:val="28"/>
        </w:rPr>
        <w:tab/>
      </w:r>
      <w:r>
        <w:rPr>
          <w:rFonts w:eastAsia="仿宋"/>
          <w:sz w:val="28"/>
          <w:szCs w:val="28"/>
        </w:rPr>
        <w:fldChar w:fldCharType="begin"/>
      </w:r>
      <w:r>
        <w:rPr>
          <w:rFonts w:eastAsia="仿宋"/>
          <w:sz w:val="28"/>
          <w:szCs w:val="28"/>
        </w:rPr>
        <w:instrText xml:space="preserve"> PAGEREF _Toc15396606 \h </w:instrText>
      </w:r>
      <w:r>
        <w:rPr>
          <w:rFonts w:eastAsia="仿宋"/>
          <w:sz w:val="28"/>
          <w:szCs w:val="28"/>
        </w:rPr>
        <w:fldChar w:fldCharType="separate"/>
      </w:r>
      <w:r>
        <w:rPr>
          <w:rFonts w:eastAsia="仿宋"/>
          <w:sz w:val="28"/>
          <w:szCs w:val="28"/>
        </w:rPr>
        <w:t>13</w:t>
      </w:r>
      <w:r>
        <w:rPr>
          <w:rFonts w:eastAsia="仿宋"/>
          <w:sz w:val="28"/>
          <w:szCs w:val="28"/>
        </w:rPr>
        <w:fldChar w:fldCharType="end"/>
      </w:r>
      <w:r>
        <w:rPr>
          <w:rFonts w:eastAsia="仿宋"/>
          <w:sz w:val="28"/>
          <w:szCs w:val="28"/>
        </w:rPr>
        <w:fldChar w:fldCharType="end"/>
      </w:r>
    </w:p>
    <w:p>
      <w:pPr>
        <w:pStyle w:val="11"/>
        <w:rPr>
          <w:rFonts w:eastAsia="仿宋"/>
          <w:sz w:val="28"/>
          <w:szCs w:val="28"/>
        </w:rPr>
      </w:pPr>
      <w:r>
        <w:fldChar w:fldCharType="begin"/>
      </w:r>
      <w:r>
        <w:instrText xml:space="preserve"> HYPERLINK \l "_Toc15396607" </w:instrText>
      </w:r>
      <w:r>
        <w:fldChar w:fldCharType="separate"/>
      </w:r>
      <w:r>
        <w:rPr>
          <w:rStyle w:val="15"/>
          <w:rFonts w:hAnsi="仿宋" w:eastAsia="仿宋"/>
          <w:sz w:val="28"/>
          <w:szCs w:val="28"/>
        </w:rPr>
        <w:t>五、一</w:t>
      </w:r>
      <w:r>
        <w:rPr>
          <w:rStyle w:val="15"/>
          <w:rFonts w:hAnsi="仿宋" w:eastAsia="仿宋"/>
          <w:bCs/>
          <w:sz w:val="28"/>
          <w:szCs w:val="28"/>
        </w:rPr>
        <w:t>般公共预算财政拨款支出决算情况说明</w:t>
      </w:r>
      <w:r>
        <w:rPr>
          <w:rFonts w:eastAsia="仿宋"/>
          <w:sz w:val="28"/>
          <w:szCs w:val="28"/>
        </w:rPr>
        <w:tab/>
      </w:r>
      <w:r>
        <w:rPr>
          <w:rFonts w:eastAsia="仿宋"/>
          <w:sz w:val="28"/>
          <w:szCs w:val="28"/>
        </w:rPr>
        <w:fldChar w:fldCharType="begin"/>
      </w:r>
      <w:r>
        <w:rPr>
          <w:rFonts w:eastAsia="仿宋"/>
          <w:sz w:val="28"/>
          <w:szCs w:val="28"/>
        </w:rPr>
        <w:instrText xml:space="preserve"> PAGEREF _Toc15396607 \h </w:instrText>
      </w:r>
      <w:r>
        <w:rPr>
          <w:rFonts w:eastAsia="仿宋"/>
          <w:sz w:val="28"/>
          <w:szCs w:val="28"/>
        </w:rPr>
        <w:fldChar w:fldCharType="separate"/>
      </w:r>
      <w:r>
        <w:rPr>
          <w:rFonts w:eastAsia="仿宋"/>
          <w:sz w:val="28"/>
          <w:szCs w:val="28"/>
        </w:rPr>
        <w:t>14</w:t>
      </w:r>
      <w:r>
        <w:rPr>
          <w:rFonts w:eastAsia="仿宋"/>
          <w:sz w:val="28"/>
          <w:szCs w:val="28"/>
        </w:rPr>
        <w:fldChar w:fldCharType="end"/>
      </w:r>
      <w:r>
        <w:rPr>
          <w:rFonts w:eastAsia="仿宋"/>
          <w:sz w:val="28"/>
          <w:szCs w:val="28"/>
        </w:rPr>
        <w:fldChar w:fldCharType="end"/>
      </w:r>
    </w:p>
    <w:p>
      <w:pPr>
        <w:pStyle w:val="11"/>
        <w:rPr>
          <w:rFonts w:eastAsia="仿宋"/>
          <w:sz w:val="28"/>
          <w:szCs w:val="28"/>
        </w:rPr>
      </w:pPr>
      <w:r>
        <w:fldChar w:fldCharType="begin"/>
      </w:r>
      <w:r>
        <w:instrText xml:space="preserve"> HYPERLINK \l "_Toc15396608" </w:instrText>
      </w:r>
      <w:r>
        <w:fldChar w:fldCharType="separate"/>
      </w:r>
      <w:r>
        <w:rPr>
          <w:rStyle w:val="15"/>
          <w:rFonts w:hAnsi="仿宋" w:eastAsia="仿宋"/>
          <w:sz w:val="28"/>
          <w:szCs w:val="28"/>
        </w:rPr>
        <w:t>六、一</w:t>
      </w:r>
      <w:r>
        <w:rPr>
          <w:rStyle w:val="15"/>
          <w:rFonts w:hAnsi="仿宋" w:eastAsia="仿宋"/>
          <w:bCs/>
          <w:sz w:val="28"/>
          <w:szCs w:val="28"/>
        </w:rPr>
        <w:t>般公共预算财政拨款基本支出决算情况说明</w:t>
      </w:r>
      <w:r>
        <w:rPr>
          <w:rFonts w:eastAsia="仿宋"/>
          <w:sz w:val="28"/>
          <w:szCs w:val="28"/>
        </w:rPr>
        <w:tab/>
      </w:r>
      <w:r>
        <w:rPr>
          <w:rFonts w:eastAsia="仿宋"/>
          <w:sz w:val="28"/>
          <w:szCs w:val="28"/>
        </w:rPr>
        <w:fldChar w:fldCharType="begin"/>
      </w:r>
      <w:r>
        <w:rPr>
          <w:rFonts w:eastAsia="仿宋"/>
          <w:sz w:val="28"/>
          <w:szCs w:val="28"/>
        </w:rPr>
        <w:instrText xml:space="preserve"> PAGEREF _Toc15396608 \h </w:instrText>
      </w:r>
      <w:r>
        <w:rPr>
          <w:rFonts w:eastAsia="仿宋"/>
          <w:sz w:val="28"/>
          <w:szCs w:val="28"/>
        </w:rPr>
        <w:fldChar w:fldCharType="separate"/>
      </w:r>
      <w:r>
        <w:rPr>
          <w:rFonts w:eastAsia="仿宋"/>
          <w:sz w:val="28"/>
          <w:szCs w:val="28"/>
        </w:rPr>
        <w:t>16</w:t>
      </w:r>
      <w:r>
        <w:rPr>
          <w:rFonts w:eastAsia="仿宋"/>
          <w:sz w:val="28"/>
          <w:szCs w:val="28"/>
        </w:rPr>
        <w:fldChar w:fldCharType="end"/>
      </w:r>
      <w:r>
        <w:rPr>
          <w:rFonts w:eastAsia="仿宋"/>
          <w:sz w:val="28"/>
          <w:szCs w:val="28"/>
        </w:rPr>
        <w:fldChar w:fldCharType="end"/>
      </w:r>
    </w:p>
    <w:p>
      <w:pPr>
        <w:pStyle w:val="11"/>
        <w:rPr>
          <w:rFonts w:eastAsia="仿宋"/>
          <w:sz w:val="28"/>
          <w:szCs w:val="28"/>
        </w:rPr>
      </w:pPr>
      <w:r>
        <w:fldChar w:fldCharType="begin"/>
      </w:r>
      <w:r>
        <w:instrText xml:space="preserve"> HYPERLINK \l "_Toc15396609" </w:instrText>
      </w:r>
      <w:r>
        <w:fldChar w:fldCharType="separate"/>
      </w:r>
      <w:r>
        <w:rPr>
          <w:rStyle w:val="15"/>
          <w:rFonts w:hAnsi="仿宋" w:eastAsia="仿宋"/>
          <w:sz w:val="28"/>
          <w:szCs w:val="28"/>
        </w:rPr>
        <w:t>七、</w:t>
      </w:r>
      <w:r>
        <w:rPr>
          <w:rStyle w:val="15"/>
          <w:rFonts w:eastAsia="仿宋"/>
          <w:sz w:val="28"/>
          <w:szCs w:val="28"/>
        </w:rPr>
        <w:t>“</w:t>
      </w:r>
      <w:r>
        <w:rPr>
          <w:rStyle w:val="15"/>
          <w:rFonts w:hAnsi="仿宋" w:eastAsia="仿宋"/>
          <w:bCs/>
          <w:sz w:val="28"/>
          <w:szCs w:val="28"/>
        </w:rPr>
        <w:t>三公</w:t>
      </w:r>
      <w:r>
        <w:rPr>
          <w:rStyle w:val="15"/>
          <w:rFonts w:eastAsia="仿宋"/>
          <w:bCs/>
          <w:sz w:val="28"/>
          <w:szCs w:val="28"/>
        </w:rPr>
        <w:t>”</w:t>
      </w:r>
      <w:r>
        <w:rPr>
          <w:rStyle w:val="15"/>
          <w:rFonts w:hAnsi="仿宋" w:eastAsia="仿宋"/>
          <w:bCs/>
          <w:sz w:val="28"/>
          <w:szCs w:val="28"/>
        </w:rPr>
        <w:t>经费财政拨款支出决算情况说明</w:t>
      </w:r>
      <w:r>
        <w:rPr>
          <w:rFonts w:eastAsia="仿宋"/>
          <w:sz w:val="28"/>
          <w:szCs w:val="28"/>
        </w:rPr>
        <w:tab/>
      </w:r>
      <w:r>
        <w:rPr>
          <w:rFonts w:eastAsia="仿宋"/>
          <w:sz w:val="28"/>
          <w:szCs w:val="28"/>
        </w:rPr>
        <w:fldChar w:fldCharType="begin"/>
      </w:r>
      <w:r>
        <w:rPr>
          <w:rFonts w:eastAsia="仿宋"/>
          <w:sz w:val="28"/>
          <w:szCs w:val="28"/>
        </w:rPr>
        <w:instrText xml:space="preserve"> PAGEREF _Toc15396609 \h </w:instrText>
      </w:r>
      <w:r>
        <w:rPr>
          <w:rFonts w:eastAsia="仿宋"/>
          <w:sz w:val="28"/>
          <w:szCs w:val="28"/>
        </w:rPr>
        <w:fldChar w:fldCharType="separate"/>
      </w:r>
      <w:r>
        <w:rPr>
          <w:rFonts w:eastAsia="仿宋"/>
          <w:sz w:val="28"/>
          <w:szCs w:val="28"/>
        </w:rPr>
        <w:t>17</w:t>
      </w:r>
      <w:r>
        <w:rPr>
          <w:rFonts w:eastAsia="仿宋"/>
          <w:sz w:val="28"/>
          <w:szCs w:val="28"/>
        </w:rPr>
        <w:fldChar w:fldCharType="end"/>
      </w:r>
      <w:r>
        <w:rPr>
          <w:rFonts w:eastAsia="仿宋"/>
          <w:sz w:val="28"/>
          <w:szCs w:val="28"/>
        </w:rPr>
        <w:fldChar w:fldCharType="end"/>
      </w:r>
    </w:p>
    <w:p>
      <w:pPr>
        <w:pStyle w:val="11"/>
        <w:rPr>
          <w:rFonts w:eastAsia="仿宋"/>
          <w:sz w:val="28"/>
          <w:szCs w:val="28"/>
        </w:rPr>
      </w:pPr>
      <w:r>
        <w:fldChar w:fldCharType="begin"/>
      </w:r>
      <w:r>
        <w:instrText xml:space="preserve"> HYPERLINK \l "_Toc15396610" </w:instrText>
      </w:r>
      <w:r>
        <w:fldChar w:fldCharType="separate"/>
      </w:r>
      <w:r>
        <w:rPr>
          <w:rStyle w:val="15"/>
          <w:rFonts w:hAnsi="仿宋" w:eastAsia="仿宋"/>
          <w:sz w:val="28"/>
          <w:szCs w:val="28"/>
        </w:rPr>
        <w:t>八、</w:t>
      </w:r>
      <w:r>
        <w:rPr>
          <w:rStyle w:val="15"/>
          <w:rFonts w:hAnsi="仿宋" w:eastAsia="仿宋"/>
          <w:bCs/>
          <w:sz w:val="28"/>
          <w:szCs w:val="28"/>
        </w:rPr>
        <w:t>政府性基金预算支出决算情况说明</w:t>
      </w:r>
      <w:r>
        <w:rPr>
          <w:rFonts w:eastAsia="仿宋"/>
          <w:sz w:val="28"/>
          <w:szCs w:val="28"/>
        </w:rPr>
        <w:tab/>
      </w:r>
      <w:r>
        <w:rPr>
          <w:rFonts w:eastAsia="仿宋"/>
          <w:sz w:val="28"/>
          <w:szCs w:val="28"/>
        </w:rPr>
        <w:fldChar w:fldCharType="begin"/>
      </w:r>
      <w:r>
        <w:rPr>
          <w:rFonts w:eastAsia="仿宋"/>
          <w:sz w:val="28"/>
          <w:szCs w:val="28"/>
        </w:rPr>
        <w:instrText xml:space="preserve"> PAGEREF _Toc15396610 \h </w:instrText>
      </w:r>
      <w:r>
        <w:rPr>
          <w:rFonts w:eastAsia="仿宋"/>
          <w:sz w:val="28"/>
          <w:szCs w:val="28"/>
        </w:rPr>
        <w:fldChar w:fldCharType="separate"/>
      </w:r>
      <w:r>
        <w:rPr>
          <w:rFonts w:eastAsia="仿宋"/>
          <w:sz w:val="28"/>
          <w:szCs w:val="28"/>
        </w:rPr>
        <w:t>19</w:t>
      </w:r>
      <w:r>
        <w:rPr>
          <w:rFonts w:eastAsia="仿宋"/>
          <w:sz w:val="28"/>
          <w:szCs w:val="28"/>
        </w:rPr>
        <w:fldChar w:fldCharType="end"/>
      </w:r>
      <w:r>
        <w:rPr>
          <w:rFonts w:eastAsia="仿宋"/>
          <w:sz w:val="28"/>
          <w:szCs w:val="28"/>
        </w:rPr>
        <w:fldChar w:fldCharType="end"/>
      </w:r>
    </w:p>
    <w:p>
      <w:pPr>
        <w:pStyle w:val="11"/>
        <w:rPr>
          <w:rFonts w:eastAsia="仿宋"/>
          <w:sz w:val="28"/>
          <w:szCs w:val="28"/>
        </w:rPr>
      </w:pPr>
      <w:r>
        <w:fldChar w:fldCharType="begin"/>
      </w:r>
      <w:r>
        <w:instrText xml:space="preserve"> HYPERLINK \l "_Toc15396611" </w:instrText>
      </w:r>
      <w:r>
        <w:fldChar w:fldCharType="separate"/>
      </w:r>
      <w:r>
        <w:rPr>
          <w:rStyle w:val="15"/>
          <w:rFonts w:hAnsi="仿宋" w:eastAsia="仿宋"/>
          <w:bCs/>
          <w:sz w:val="28"/>
          <w:szCs w:val="28"/>
        </w:rPr>
        <w:t>九、</w:t>
      </w:r>
      <w:r>
        <w:rPr>
          <w:rStyle w:val="15"/>
          <w:rFonts w:eastAsia="仿宋"/>
          <w:sz w:val="28"/>
          <w:szCs w:val="28"/>
        </w:rPr>
        <w:t xml:space="preserve"> </w:t>
      </w:r>
      <w:r>
        <w:rPr>
          <w:rStyle w:val="15"/>
          <w:rFonts w:hAnsi="仿宋" w:eastAsia="仿宋"/>
          <w:sz w:val="28"/>
          <w:szCs w:val="28"/>
        </w:rPr>
        <w:t>国</w:t>
      </w:r>
      <w:r>
        <w:rPr>
          <w:rStyle w:val="15"/>
          <w:rFonts w:hAnsi="仿宋" w:eastAsia="仿宋"/>
          <w:bCs/>
          <w:sz w:val="28"/>
          <w:szCs w:val="28"/>
        </w:rPr>
        <w:t>有资本经营预算支出决算情况说明</w:t>
      </w:r>
      <w:r>
        <w:rPr>
          <w:rFonts w:eastAsia="仿宋"/>
          <w:sz w:val="28"/>
          <w:szCs w:val="28"/>
        </w:rPr>
        <w:tab/>
      </w:r>
      <w:r>
        <w:rPr>
          <w:rFonts w:eastAsia="仿宋"/>
          <w:sz w:val="28"/>
          <w:szCs w:val="28"/>
        </w:rPr>
        <w:fldChar w:fldCharType="begin"/>
      </w:r>
      <w:r>
        <w:rPr>
          <w:rFonts w:eastAsia="仿宋"/>
          <w:sz w:val="28"/>
          <w:szCs w:val="28"/>
        </w:rPr>
        <w:instrText xml:space="preserve"> PAGEREF _Toc15396611 \h </w:instrText>
      </w:r>
      <w:r>
        <w:rPr>
          <w:rFonts w:eastAsia="仿宋"/>
          <w:sz w:val="28"/>
          <w:szCs w:val="28"/>
        </w:rPr>
        <w:fldChar w:fldCharType="separate"/>
      </w:r>
      <w:r>
        <w:rPr>
          <w:rFonts w:eastAsia="仿宋"/>
          <w:sz w:val="28"/>
          <w:szCs w:val="28"/>
        </w:rPr>
        <w:t>19</w:t>
      </w:r>
      <w:r>
        <w:rPr>
          <w:rFonts w:eastAsia="仿宋"/>
          <w:sz w:val="28"/>
          <w:szCs w:val="28"/>
        </w:rPr>
        <w:fldChar w:fldCharType="end"/>
      </w:r>
      <w:r>
        <w:rPr>
          <w:rFonts w:eastAsia="仿宋"/>
          <w:sz w:val="28"/>
          <w:szCs w:val="28"/>
        </w:rPr>
        <w:fldChar w:fldCharType="end"/>
      </w:r>
    </w:p>
    <w:p>
      <w:pPr>
        <w:pStyle w:val="11"/>
        <w:rPr>
          <w:rFonts w:eastAsia="仿宋"/>
          <w:sz w:val="28"/>
          <w:szCs w:val="28"/>
        </w:rPr>
      </w:pPr>
      <w:r>
        <w:fldChar w:fldCharType="begin"/>
      </w:r>
      <w:r>
        <w:instrText xml:space="preserve"> HYPERLINK \l "_Toc15396612" </w:instrText>
      </w:r>
      <w:r>
        <w:fldChar w:fldCharType="separate"/>
      </w:r>
      <w:r>
        <w:rPr>
          <w:rStyle w:val="15"/>
          <w:rFonts w:hAnsi="仿宋" w:eastAsia="仿宋"/>
          <w:sz w:val="28"/>
          <w:szCs w:val="28"/>
        </w:rPr>
        <w:t>十</w:t>
      </w:r>
      <w:r>
        <w:rPr>
          <w:rStyle w:val="15"/>
          <w:rFonts w:hAnsi="仿宋" w:eastAsia="仿宋"/>
          <w:bCs/>
          <w:sz w:val="28"/>
          <w:szCs w:val="28"/>
        </w:rPr>
        <w:t>一、其他重要事项的情况说明</w:t>
      </w:r>
      <w:r>
        <w:rPr>
          <w:rFonts w:eastAsia="仿宋"/>
          <w:sz w:val="28"/>
          <w:szCs w:val="28"/>
        </w:rPr>
        <w:tab/>
      </w:r>
      <w:r>
        <w:rPr>
          <w:rFonts w:eastAsia="仿宋"/>
          <w:sz w:val="28"/>
          <w:szCs w:val="28"/>
        </w:rPr>
        <w:fldChar w:fldCharType="begin"/>
      </w:r>
      <w:r>
        <w:rPr>
          <w:rFonts w:eastAsia="仿宋"/>
          <w:sz w:val="28"/>
          <w:szCs w:val="28"/>
        </w:rPr>
        <w:instrText xml:space="preserve"> PAGEREF _Toc15396612 \h </w:instrText>
      </w:r>
      <w:r>
        <w:rPr>
          <w:rFonts w:eastAsia="仿宋"/>
          <w:sz w:val="28"/>
          <w:szCs w:val="28"/>
        </w:rPr>
        <w:fldChar w:fldCharType="separate"/>
      </w:r>
      <w:r>
        <w:rPr>
          <w:rFonts w:eastAsia="仿宋"/>
          <w:sz w:val="28"/>
          <w:szCs w:val="28"/>
        </w:rPr>
        <w:t>27</w:t>
      </w:r>
      <w:r>
        <w:rPr>
          <w:rFonts w:eastAsia="仿宋"/>
          <w:sz w:val="28"/>
          <w:szCs w:val="28"/>
        </w:rPr>
        <w:fldChar w:fldCharType="end"/>
      </w:r>
      <w:r>
        <w:rPr>
          <w:rFonts w:eastAsia="仿宋"/>
          <w:sz w:val="28"/>
          <w:szCs w:val="28"/>
        </w:rPr>
        <w:fldChar w:fldCharType="end"/>
      </w:r>
    </w:p>
    <w:p>
      <w:pPr>
        <w:pStyle w:val="10"/>
        <w:rPr>
          <w:rFonts w:ascii="Times New Roman" w:hAnsi="Times New Roman"/>
        </w:rPr>
      </w:pPr>
      <w:r>
        <w:fldChar w:fldCharType="begin"/>
      </w:r>
      <w:r>
        <w:instrText xml:space="preserve"> HYPERLINK \l "_Toc15396613" </w:instrText>
      </w:r>
      <w:r>
        <w:fldChar w:fldCharType="separate"/>
      </w:r>
      <w:r>
        <w:rPr>
          <w:rStyle w:val="15"/>
          <w:rFonts w:ascii="Times New Roman"/>
          <w:bCs/>
          <w:kern w:val="44"/>
        </w:rPr>
        <w:t>第三部分</w:t>
      </w:r>
      <w:r>
        <w:rPr>
          <w:rStyle w:val="15"/>
          <w:rFonts w:ascii="Times New Roman" w:hAnsi="Times New Roman"/>
        </w:rPr>
        <w:t xml:space="preserve"> </w:t>
      </w:r>
      <w:r>
        <w:rPr>
          <w:rStyle w:val="15"/>
          <w:rFonts w:ascii="Times New Roman"/>
        </w:rPr>
        <w:t>名</w:t>
      </w:r>
      <w:r>
        <w:rPr>
          <w:rStyle w:val="15"/>
          <w:rFonts w:ascii="Times New Roman"/>
          <w:bCs/>
          <w:kern w:val="44"/>
        </w:rPr>
        <w:t>词解释</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_Toc15396613 \h </w:instrText>
      </w:r>
      <w:r>
        <w:rPr>
          <w:rFonts w:ascii="Times New Roman" w:hAnsi="Times New Roman"/>
        </w:rPr>
        <w:fldChar w:fldCharType="separate"/>
      </w:r>
      <w:r>
        <w:rPr>
          <w:rFonts w:ascii="Times New Roman" w:hAnsi="Times New Roman"/>
        </w:rPr>
        <w:t>29</w:t>
      </w:r>
      <w:r>
        <w:rPr>
          <w:rFonts w:ascii="Times New Roman" w:hAnsi="Times New Roman"/>
        </w:rPr>
        <w:fldChar w:fldCharType="end"/>
      </w:r>
      <w:r>
        <w:rPr>
          <w:rFonts w:ascii="Times New Roman" w:hAnsi="Times New Roman"/>
        </w:rPr>
        <w:fldChar w:fldCharType="end"/>
      </w:r>
    </w:p>
    <w:p>
      <w:pPr>
        <w:pStyle w:val="10"/>
        <w:rPr>
          <w:rFonts w:ascii="Times New Roman" w:hAnsi="Times New Roman"/>
        </w:rPr>
      </w:pPr>
      <w:r>
        <w:fldChar w:fldCharType="begin"/>
      </w:r>
      <w:r>
        <w:instrText xml:space="preserve"> HYPERLINK \l "_Toc15396614" </w:instrText>
      </w:r>
      <w:r>
        <w:fldChar w:fldCharType="separate"/>
      </w:r>
      <w:r>
        <w:rPr>
          <w:rStyle w:val="15"/>
          <w:rFonts w:ascii="Times New Roman"/>
        </w:rPr>
        <w:t>第</w:t>
      </w:r>
      <w:r>
        <w:rPr>
          <w:rStyle w:val="15"/>
          <w:rFonts w:ascii="Times New Roman"/>
          <w:bCs/>
          <w:kern w:val="44"/>
        </w:rPr>
        <w:t>四部分附件</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_Toc15396614 \h </w:instrText>
      </w:r>
      <w:r>
        <w:rPr>
          <w:rFonts w:ascii="Times New Roman" w:hAnsi="Times New Roman"/>
        </w:rPr>
        <w:fldChar w:fldCharType="separate"/>
      </w:r>
      <w:r>
        <w:rPr>
          <w:rFonts w:ascii="Times New Roman" w:hAnsi="Times New Roman"/>
        </w:rPr>
        <w:t>32</w:t>
      </w:r>
      <w:r>
        <w:rPr>
          <w:rFonts w:ascii="Times New Roman" w:hAnsi="Times New Roman"/>
        </w:rPr>
        <w:fldChar w:fldCharType="end"/>
      </w:r>
      <w:r>
        <w:rPr>
          <w:rFonts w:ascii="Times New Roman" w:hAnsi="Times New Roman"/>
        </w:rPr>
        <w:fldChar w:fldCharType="end"/>
      </w:r>
    </w:p>
    <w:p>
      <w:pPr>
        <w:pStyle w:val="11"/>
        <w:rPr>
          <w:rFonts w:eastAsia="仿宋"/>
          <w:sz w:val="28"/>
          <w:szCs w:val="28"/>
        </w:rPr>
      </w:pPr>
      <w:r>
        <w:fldChar w:fldCharType="begin"/>
      </w:r>
      <w:r>
        <w:instrText xml:space="preserve"> HYPERLINK \l "_Toc15396615" </w:instrText>
      </w:r>
      <w:r>
        <w:fldChar w:fldCharType="separate"/>
      </w:r>
      <w:r>
        <w:rPr>
          <w:rStyle w:val="15"/>
          <w:rFonts w:hAnsi="仿宋" w:eastAsia="仿宋"/>
          <w:kern w:val="44"/>
          <w:sz w:val="28"/>
          <w:szCs w:val="28"/>
        </w:rPr>
        <w:t>附件</w:t>
      </w:r>
      <w:r>
        <w:rPr>
          <w:rStyle w:val="15"/>
          <w:rFonts w:eastAsia="仿宋"/>
          <w:kern w:val="44"/>
          <w:sz w:val="28"/>
          <w:szCs w:val="28"/>
        </w:rPr>
        <w:t>1</w:t>
      </w:r>
      <w:r>
        <w:rPr>
          <w:rFonts w:eastAsia="仿宋"/>
          <w:sz w:val="28"/>
          <w:szCs w:val="28"/>
        </w:rPr>
        <w:tab/>
      </w:r>
      <w:r>
        <w:rPr>
          <w:rFonts w:eastAsia="仿宋"/>
          <w:sz w:val="28"/>
          <w:szCs w:val="28"/>
        </w:rPr>
        <w:fldChar w:fldCharType="begin"/>
      </w:r>
      <w:r>
        <w:rPr>
          <w:rFonts w:eastAsia="仿宋"/>
          <w:sz w:val="28"/>
          <w:szCs w:val="28"/>
        </w:rPr>
        <w:instrText xml:space="preserve"> PAGEREF _Toc15396615 \h </w:instrText>
      </w:r>
      <w:r>
        <w:rPr>
          <w:rFonts w:eastAsia="仿宋"/>
          <w:sz w:val="28"/>
          <w:szCs w:val="28"/>
        </w:rPr>
        <w:fldChar w:fldCharType="separate"/>
      </w:r>
      <w:r>
        <w:rPr>
          <w:rFonts w:eastAsia="仿宋"/>
          <w:sz w:val="28"/>
          <w:szCs w:val="28"/>
        </w:rPr>
        <w:t>32</w:t>
      </w:r>
      <w:r>
        <w:rPr>
          <w:rFonts w:eastAsia="仿宋"/>
          <w:sz w:val="28"/>
          <w:szCs w:val="28"/>
        </w:rPr>
        <w:fldChar w:fldCharType="end"/>
      </w:r>
      <w:r>
        <w:rPr>
          <w:rFonts w:eastAsia="仿宋"/>
          <w:sz w:val="28"/>
          <w:szCs w:val="28"/>
        </w:rPr>
        <w:fldChar w:fldCharType="end"/>
      </w:r>
    </w:p>
    <w:p>
      <w:pPr>
        <w:pStyle w:val="11"/>
        <w:rPr>
          <w:rFonts w:eastAsia="仿宋"/>
          <w:sz w:val="28"/>
          <w:szCs w:val="28"/>
        </w:rPr>
      </w:pPr>
      <w:r>
        <w:fldChar w:fldCharType="begin"/>
      </w:r>
      <w:r>
        <w:instrText xml:space="preserve"> HYPERLINK \l "_Toc15396617" </w:instrText>
      </w:r>
      <w:r>
        <w:fldChar w:fldCharType="separate"/>
      </w:r>
      <w:r>
        <w:rPr>
          <w:rStyle w:val="15"/>
          <w:rFonts w:hAnsi="仿宋" w:eastAsia="仿宋"/>
          <w:kern w:val="44"/>
          <w:sz w:val="28"/>
          <w:szCs w:val="28"/>
        </w:rPr>
        <w:t>附件</w:t>
      </w:r>
      <w:r>
        <w:rPr>
          <w:rStyle w:val="15"/>
          <w:rFonts w:eastAsia="仿宋"/>
          <w:kern w:val="44"/>
          <w:sz w:val="28"/>
          <w:szCs w:val="28"/>
        </w:rPr>
        <w:t>2</w:t>
      </w:r>
      <w:r>
        <w:rPr>
          <w:rFonts w:eastAsia="仿宋"/>
          <w:sz w:val="28"/>
          <w:szCs w:val="28"/>
        </w:rPr>
        <w:tab/>
      </w:r>
      <w:r>
        <w:rPr>
          <w:rFonts w:eastAsia="仿宋"/>
          <w:sz w:val="28"/>
          <w:szCs w:val="28"/>
        </w:rPr>
        <w:fldChar w:fldCharType="begin"/>
      </w:r>
      <w:r>
        <w:rPr>
          <w:rFonts w:eastAsia="仿宋"/>
          <w:sz w:val="28"/>
          <w:szCs w:val="28"/>
        </w:rPr>
        <w:instrText xml:space="preserve"> PAGEREF _Toc15396617 \h </w:instrText>
      </w:r>
      <w:r>
        <w:rPr>
          <w:rFonts w:eastAsia="仿宋"/>
          <w:sz w:val="28"/>
          <w:szCs w:val="28"/>
        </w:rPr>
        <w:fldChar w:fldCharType="separate"/>
      </w:r>
      <w:r>
        <w:rPr>
          <w:rFonts w:eastAsia="仿宋"/>
          <w:sz w:val="28"/>
          <w:szCs w:val="28"/>
        </w:rPr>
        <w:t>39</w:t>
      </w:r>
      <w:r>
        <w:rPr>
          <w:rFonts w:eastAsia="仿宋"/>
          <w:sz w:val="28"/>
          <w:szCs w:val="28"/>
        </w:rPr>
        <w:fldChar w:fldCharType="end"/>
      </w:r>
      <w:r>
        <w:rPr>
          <w:rFonts w:eastAsia="仿宋"/>
          <w:sz w:val="28"/>
          <w:szCs w:val="28"/>
        </w:rPr>
        <w:fldChar w:fldCharType="end"/>
      </w:r>
    </w:p>
    <w:p>
      <w:pPr>
        <w:pStyle w:val="10"/>
        <w:rPr>
          <w:rFonts w:ascii="Times New Roman" w:hAnsi="Times New Roman"/>
        </w:rPr>
      </w:pPr>
      <w:r>
        <w:fldChar w:fldCharType="begin"/>
      </w:r>
      <w:r>
        <w:instrText xml:space="preserve"> HYPERLINK \l "_Toc15396618" </w:instrText>
      </w:r>
      <w:r>
        <w:fldChar w:fldCharType="separate"/>
      </w:r>
      <w:r>
        <w:rPr>
          <w:rStyle w:val="15"/>
          <w:rFonts w:ascii="Times New Roman"/>
        </w:rPr>
        <w:t>第</w:t>
      </w:r>
      <w:r>
        <w:rPr>
          <w:rStyle w:val="15"/>
          <w:rFonts w:ascii="Times New Roman"/>
          <w:bCs/>
          <w:kern w:val="44"/>
        </w:rPr>
        <w:t>五部分附表</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_Toc15396618 \h </w:instrText>
      </w:r>
      <w:r>
        <w:rPr>
          <w:rFonts w:ascii="Times New Roman" w:hAnsi="Times New Roman"/>
        </w:rPr>
        <w:fldChar w:fldCharType="separate"/>
      </w:r>
      <w:r>
        <w:rPr>
          <w:rFonts w:ascii="Times New Roman" w:hAnsi="Times New Roman"/>
        </w:rPr>
        <w:t>42</w:t>
      </w:r>
      <w:r>
        <w:rPr>
          <w:rFonts w:ascii="Times New Roman" w:hAnsi="Times New Roman"/>
        </w:rPr>
        <w:fldChar w:fldCharType="end"/>
      </w:r>
      <w:r>
        <w:rPr>
          <w:rFonts w:ascii="Times New Roman" w:hAnsi="Times New Roman"/>
        </w:rPr>
        <w:fldChar w:fldCharType="end"/>
      </w:r>
    </w:p>
    <w:p>
      <w:pPr>
        <w:pStyle w:val="11"/>
        <w:rPr>
          <w:rFonts w:eastAsia="仿宋"/>
          <w:sz w:val="28"/>
          <w:szCs w:val="28"/>
        </w:rPr>
      </w:pPr>
      <w:r>
        <w:rPr>
          <w:rFonts w:hAnsi="仿宋" w:eastAsia="仿宋"/>
          <w:sz w:val="28"/>
          <w:szCs w:val="28"/>
        </w:rPr>
        <w:t>一、</w:t>
      </w:r>
      <w:r>
        <w:fldChar w:fldCharType="begin"/>
      </w:r>
      <w:r>
        <w:instrText xml:space="preserve"> HYPERLINK \l "_Toc15396619" </w:instrText>
      </w:r>
      <w:r>
        <w:fldChar w:fldCharType="separate"/>
      </w:r>
      <w:r>
        <w:rPr>
          <w:rStyle w:val="15"/>
          <w:rFonts w:hAnsi="仿宋" w:eastAsia="仿宋"/>
          <w:sz w:val="28"/>
          <w:szCs w:val="28"/>
        </w:rPr>
        <w:t>收入支出决算总表</w:t>
      </w:r>
      <w:r>
        <w:rPr>
          <w:rFonts w:eastAsia="仿宋"/>
          <w:sz w:val="28"/>
          <w:szCs w:val="28"/>
        </w:rPr>
        <w:tab/>
      </w:r>
      <w:r>
        <w:rPr>
          <w:rFonts w:eastAsia="仿宋"/>
          <w:sz w:val="28"/>
          <w:szCs w:val="28"/>
        </w:rPr>
        <w:fldChar w:fldCharType="begin"/>
      </w:r>
      <w:r>
        <w:rPr>
          <w:rFonts w:eastAsia="仿宋"/>
          <w:sz w:val="28"/>
          <w:szCs w:val="28"/>
        </w:rPr>
        <w:instrText xml:space="preserve"> PAGEREF _Toc15396619 \h </w:instrText>
      </w:r>
      <w:r>
        <w:rPr>
          <w:rFonts w:eastAsia="仿宋"/>
          <w:sz w:val="28"/>
          <w:szCs w:val="28"/>
        </w:rPr>
        <w:fldChar w:fldCharType="separate"/>
      </w:r>
      <w:r>
        <w:rPr>
          <w:rFonts w:eastAsia="仿宋"/>
          <w:sz w:val="28"/>
          <w:szCs w:val="28"/>
        </w:rPr>
        <w:t>42</w:t>
      </w:r>
      <w:r>
        <w:rPr>
          <w:rFonts w:eastAsia="仿宋"/>
          <w:sz w:val="28"/>
          <w:szCs w:val="28"/>
        </w:rPr>
        <w:fldChar w:fldCharType="end"/>
      </w:r>
      <w:r>
        <w:rPr>
          <w:rFonts w:eastAsia="仿宋"/>
          <w:sz w:val="28"/>
          <w:szCs w:val="28"/>
        </w:rPr>
        <w:fldChar w:fldCharType="end"/>
      </w:r>
    </w:p>
    <w:p>
      <w:pPr>
        <w:pStyle w:val="11"/>
        <w:rPr>
          <w:rFonts w:eastAsia="仿宋"/>
          <w:sz w:val="28"/>
          <w:szCs w:val="28"/>
        </w:rPr>
      </w:pPr>
      <w:r>
        <w:rPr>
          <w:rFonts w:hAnsi="仿宋" w:eastAsia="仿宋"/>
          <w:sz w:val="28"/>
          <w:szCs w:val="28"/>
        </w:rPr>
        <w:t>二、</w:t>
      </w:r>
      <w:r>
        <w:fldChar w:fldCharType="begin"/>
      </w:r>
      <w:r>
        <w:instrText xml:space="preserve"> HYPERLINK \l "_Toc15396620" </w:instrText>
      </w:r>
      <w:r>
        <w:fldChar w:fldCharType="separate"/>
      </w:r>
      <w:r>
        <w:rPr>
          <w:rStyle w:val="15"/>
          <w:rFonts w:hAnsi="仿宋" w:eastAsia="仿宋"/>
          <w:sz w:val="28"/>
          <w:szCs w:val="28"/>
        </w:rPr>
        <w:t>收入总表</w:t>
      </w:r>
      <w:r>
        <w:rPr>
          <w:rFonts w:eastAsia="仿宋"/>
          <w:sz w:val="28"/>
          <w:szCs w:val="28"/>
        </w:rPr>
        <w:tab/>
      </w:r>
      <w:r>
        <w:rPr>
          <w:rFonts w:eastAsia="仿宋"/>
          <w:sz w:val="28"/>
          <w:szCs w:val="28"/>
        </w:rPr>
        <w:fldChar w:fldCharType="begin"/>
      </w:r>
      <w:r>
        <w:rPr>
          <w:rFonts w:eastAsia="仿宋"/>
          <w:sz w:val="28"/>
          <w:szCs w:val="28"/>
        </w:rPr>
        <w:instrText xml:space="preserve"> PAGEREF _Toc15396620 \h </w:instrText>
      </w:r>
      <w:r>
        <w:rPr>
          <w:rFonts w:eastAsia="仿宋"/>
          <w:sz w:val="28"/>
          <w:szCs w:val="28"/>
        </w:rPr>
        <w:fldChar w:fldCharType="separate"/>
      </w:r>
      <w:r>
        <w:rPr>
          <w:rFonts w:eastAsia="仿宋"/>
          <w:sz w:val="28"/>
          <w:szCs w:val="28"/>
        </w:rPr>
        <w:t>42</w:t>
      </w:r>
      <w:r>
        <w:rPr>
          <w:rFonts w:eastAsia="仿宋"/>
          <w:sz w:val="28"/>
          <w:szCs w:val="28"/>
        </w:rPr>
        <w:fldChar w:fldCharType="end"/>
      </w:r>
      <w:r>
        <w:rPr>
          <w:rFonts w:eastAsia="仿宋"/>
          <w:sz w:val="28"/>
          <w:szCs w:val="28"/>
        </w:rPr>
        <w:fldChar w:fldCharType="end"/>
      </w:r>
    </w:p>
    <w:p>
      <w:pPr>
        <w:pStyle w:val="11"/>
        <w:rPr>
          <w:rFonts w:eastAsia="仿宋"/>
          <w:sz w:val="28"/>
          <w:szCs w:val="28"/>
        </w:rPr>
      </w:pPr>
      <w:r>
        <w:rPr>
          <w:rFonts w:hAnsi="仿宋" w:eastAsia="仿宋"/>
          <w:sz w:val="28"/>
          <w:szCs w:val="28"/>
        </w:rPr>
        <w:t>三、</w:t>
      </w:r>
      <w:r>
        <w:fldChar w:fldCharType="begin"/>
      </w:r>
      <w:r>
        <w:instrText xml:space="preserve"> HYPERLINK \l "_Toc15396621" </w:instrText>
      </w:r>
      <w:r>
        <w:fldChar w:fldCharType="separate"/>
      </w:r>
      <w:r>
        <w:rPr>
          <w:rStyle w:val="15"/>
          <w:rFonts w:hAnsi="仿宋" w:eastAsia="仿宋"/>
          <w:sz w:val="28"/>
          <w:szCs w:val="28"/>
        </w:rPr>
        <w:t>支出总表</w:t>
      </w:r>
      <w:r>
        <w:rPr>
          <w:rFonts w:eastAsia="仿宋"/>
          <w:sz w:val="28"/>
          <w:szCs w:val="28"/>
        </w:rPr>
        <w:tab/>
      </w:r>
      <w:r>
        <w:rPr>
          <w:rFonts w:eastAsia="仿宋"/>
          <w:sz w:val="28"/>
          <w:szCs w:val="28"/>
        </w:rPr>
        <w:fldChar w:fldCharType="begin"/>
      </w:r>
      <w:r>
        <w:rPr>
          <w:rFonts w:eastAsia="仿宋"/>
          <w:sz w:val="28"/>
          <w:szCs w:val="28"/>
        </w:rPr>
        <w:instrText xml:space="preserve"> PAGEREF _Toc15396621 \h </w:instrText>
      </w:r>
      <w:r>
        <w:rPr>
          <w:rFonts w:eastAsia="仿宋"/>
          <w:sz w:val="28"/>
          <w:szCs w:val="28"/>
        </w:rPr>
        <w:fldChar w:fldCharType="separate"/>
      </w:r>
      <w:r>
        <w:rPr>
          <w:rFonts w:eastAsia="仿宋"/>
          <w:sz w:val="28"/>
          <w:szCs w:val="28"/>
        </w:rPr>
        <w:t>42</w:t>
      </w:r>
      <w:r>
        <w:rPr>
          <w:rFonts w:eastAsia="仿宋"/>
          <w:sz w:val="28"/>
          <w:szCs w:val="28"/>
        </w:rPr>
        <w:fldChar w:fldCharType="end"/>
      </w:r>
      <w:r>
        <w:rPr>
          <w:rFonts w:eastAsia="仿宋"/>
          <w:sz w:val="28"/>
          <w:szCs w:val="28"/>
        </w:rPr>
        <w:fldChar w:fldCharType="end"/>
      </w:r>
    </w:p>
    <w:p>
      <w:pPr>
        <w:pStyle w:val="11"/>
        <w:rPr>
          <w:rFonts w:eastAsia="仿宋"/>
          <w:sz w:val="28"/>
          <w:szCs w:val="28"/>
        </w:rPr>
      </w:pPr>
      <w:r>
        <w:rPr>
          <w:rFonts w:hAnsi="仿宋" w:eastAsia="仿宋"/>
          <w:sz w:val="28"/>
          <w:szCs w:val="28"/>
        </w:rPr>
        <w:t>四、</w:t>
      </w:r>
      <w:r>
        <w:fldChar w:fldCharType="begin"/>
      </w:r>
      <w:r>
        <w:instrText xml:space="preserve"> HYPERLINK \l "_Toc15396622" </w:instrText>
      </w:r>
      <w:r>
        <w:fldChar w:fldCharType="separate"/>
      </w:r>
      <w:r>
        <w:rPr>
          <w:rStyle w:val="15"/>
          <w:rFonts w:hAnsi="仿宋" w:eastAsia="仿宋"/>
          <w:sz w:val="28"/>
          <w:szCs w:val="28"/>
        </w:rPr>
        <w:t>财政拨款收入支出决算总表</w:t>
      </w:r>
      <w:r>
        <w:rPr>
          <w:rFonts w:eastAsia="仿宋"/>
          <w:sz w:val="28"/>
          <w:szCs w:val="28"/>
        </w:rPr>
        <w:tab/>
      </w:r>
      <w:r>
        <w:rPr>
          <w:rFonts w:eastAsia="仿宋"/>
          <w:sz w:val="28"/>
          <w:szCs w:val="28"/>
        </w:rPr>
        <w:fldChar w:fldCharType="begin"/>
      </w:r>
      <w:r>
        <w:rPr>
          <w:rFonts w:eastAsia="仿宋"/>
          <w:sz w:val="28"/>
          <w:szCs w:val="28"/>
        </w:rPr>
        <w:instrText xml:space="preserve"> PAGEREF _Toc15396622 \h </w:instrText>
      </w:r>
      <w:r>
        <w:rPr>
          <w:rFonts w:eastAsia="仿宋"/>
          <w:sz w:val="28"/>
          <w:szCs w:val="28"/>
        </w:rPr>
        <w:fldChar w:fldCharType="separate"/>
      </w:r>
      <w:r>
        <w:rPr>
          <w:rFonts w:eastAsia="仿宋"/>
          <w:sz w:val="28"/>
          <w:szCs w:val="28"/>
        </w:rPr>
        <w:t>42</w:t>
      </w:r>
      <w:r>
        <w:rPr>
          <w:rFonts w:eastAsia="仿宋"/>
          <w:sz w:val="28"/>
          <w:szCs w:val="28"/>
        </w:rPr>
        <w:fldChar w:fldCharType="end"/>
      </w:r>
      <w:r>
        <w:rPr>
          <w:rFonts w:eastAsia="仿宋"/>
          <w:sz w:val="28"/>
          <w:szCs w:val="28"/>
        </w:rPr>
        <w:fldChar w:fldCharType="end"/>
      </w:r>
    </w:p>
    <w:p>
      <w:pPr>
        <w:pStyle w:val="11"/>
        <w:rPr>
          <w:rFonts w:eastAsia="仿宋"/>
          <w:sz w:val="28"/>
          <w:szCs w:val="28"/>
        </w:rPr>
      </w:pPr>
      <w:r>
        <w:rPr>
          <w:rFonts w:hAnsi="仿宋" w:eastAsia="仿宋"/>
          <w:sz w:val="28"/>
          <w:szCs w:val="28"/>
        </w:rPr>
        <w:t>五、</w:t>
      </w:r>
      <w:r>
        <w:fldChar w:fldCharType="begin"/>
      </w:r>
      <w:r>
        <w:instrText xml:space="preserve"> HYPERLINK \l "_Toc15396623" </w:instrText>
      </w:r>
      <w:r>
        <w:fldChar w:fldCharType="separate"/>
      </w:r>
      <w:r>
        <w:rPr>
          <w:rFonts w:hAnsi="仿宋" w:eastAsia="仿宋"/>
          <w:sz w:val="28"/>
          <w:szCs w:val="28"/>
        </w:rPr>
        <w:t>财政拨款支出决算明细表（政府经济分类科目）</w:t>
      </w:r>
      <w:r>
        <w:rPr>
          <w:rFonts w:eastAsia="仿宋"/>
          <w:sz w:val="28"/>
          <w:szCs w:val="28"/>
        </w:rPr>
        <w:tab/>
      </w:r>
      <w:r>
        <w:rPr>
          <w:rFonts w:eastAsia="仿宋"/>
          <w:sz w:val="28"/>
          <w:szCs w:val="28"/>
        </w:rPr>
        <w:fldChar w:fldCharType="begin"/>
      </w:r>
      <w:r>
        <w:rPr>
          <w:rFonts w:eastAsia="仿宋"/>
          <w:sz w:val="28"/>
          <w:szCs w:val="28"/>
        </w:rPr>
        <w:instrText xml:space="preserve"> PAGEREF _Toc15396623 \h </w:instrText>
      </w:r>
      <w:r>
        <w:rPr>
          <w:rFonts w:eastAsia="仿宋"/>
          <w:sz w:val="28"/>
          <w:szCs w:val="28"/>
        </w:rPr>
        <w:fldChar w:fldCharType="separate"/>
      </w:r>
      <w:r>
        <w:rPr>
          <w:rFonts w:eastAsia="仿宋"/>
          <w:sz w:val="28"/>
          <w:szCs w:val="28"/>
        </w:rPr>
        <w:t>42</w:t>
      </w:r>
      <w:r>
        <w:rPr>
          <w:rFonts w:eastAsia="仿宋"/>
          <w:sz w:val="28"/>
          <w:szCs w:val="28"/>
        </w:rPr>
        <w:fldChar w:fldCharType="end"/>
      </w:r>
      <w:r>
        <w:rPr>
          <w:rFonts w:eastAsia="仿宋"/>
          <w:sz w:val="28"/>
          <w:szCs w:val="28"/>
        </w:rPr>
        <w:fldChar w:fldCharType="end"/>
      </w:r>
    </w:p>
    <w:p>
      <w:pPr>
        <w:pStyle w:val="11"/>
        <w:rPr>
          <w:rFonts w:eastAsia="仿宋"/>
          <w:sz w:val="28"/>
          <w:szCs w:val="28"/>
        </w:rPr>
      </w:pPr>
      <w:r>
        <w:rPr>
          <w:rFonts w:hAnsi="仿宋" w:eastAsia="仿宋"/>
          <w:sz w:val="28"/>
          <w:szCs w:val="28"/>
        </w:rPr>
        <w:t>六、</w:t>
      </w:r>
      <w:r>
        <w:fldChar w:fldCharType="begin"/>
      </w:r>
      <w:r>
        <w:instrText xml:space="preserve"> HYPERLINK \l "_Toc15396624" </w:instrText>
      </w:r>
      <w:r>
        <w:fldChar w:fldCharType="separate"/>
      </w:r>
      <w:r>
        <w:rPr>
          <w:rStyle w:val="15"/>
          <w:rFonts w:hAnsi="仿宋" w:eastAsia="仿宋"/>
          <w:sz w:val="28"/>
          <w:szCs w:val="28"/>
        </w:rPr>
        <w:t>一般公共预算财政拨款支出决算表</w:t>
      </w:r>
      <w:r>
        <w:rPr>
          <w:rFonts w:eastAsia="仿宋"/>
          <w:sz w:val="28"/>
          <w:szCs w:val="28"/>
        </w:rPr>
        <w:tab/>
      </w:r>
      <w:r>
        <w:rPr>
          <w:rFonts w:eastAsia="仿宋"/>
          <w:sz w:val="28"/>
          <w:szCs w:val="28"/>
        </w:rPr>
        <w:fldChar w:fldCharType="begin"/>
      </w:r>
      <w:r>
        <w:rPr>
          <w:rFonts w:eastAsia="仿宋"/>
          <w:sz w:val="28"/>
          <w:szCs w:val="28"/>
        </w:rPr>
        <w:instrText xml:space="preserve"> PAGEREF _Toc15396624 \h </w:instrText>
      </w:r>
      <w:r>
        <w:rPr>
          <w:rFonts w:eastAsia="仿宋"/>
          <w:sz w:val="28"/>
          <w:szCs w:val="28"/>
        </w:rPr>
        <w:fldChar w:fldCharType="separate"/>
      </w:r>
      <w:r>
        <w:rPr>
          <w:rFonts w:eastAsia="仿宋"/>
          <w:sz w:val="28"/>
          <w:szCs w:val="28"/>
        </w:rPr>
        <w:t>42</w:t>
      </w:r>
      <w:r>
        <w:rPr>
          <w:rFonts w:eastAsia="仿宋"/>
          <w:sz w:val="28"/>
          <w:szCs w:val="28"/>
        </w:rPr>
        <w:fldChar w:fldCharType="end"/>
      </w:r>
      <w:r>
        <w:rPr>
          <w:rFonts w:eastAsia="仿宋"/>
          <w:sz w:val="28"/>
          <w:szCs w:val="28"/>
        </w:rPr>
        <w:fldChar w:fldCharType="end"/>
      </w:r>
    </w:p>
    <w:p>
      <w:pPr>
        <w:pStyle w:val="11"/>
        <w:rPr>
          <w:rFonts w:eastAsia="仿宋"/>
          <w:sz w:val="28"/>
          <w:szCs w:val="28"/>
        </w:rPr>
      </w:pPr>
      <w:r>
        <w:rPr>
          <w:rFonts w:hAnsi="仿宋" w:eastAsia="仿宋"/>
          <w:sz w:val="28"/>
          <w:szCs w:val="28"/>
        </w:rPr>
        <w:t>七、</w:t>
      </w:r>
      <w:r>
        <w:fldChar w:fldCharType="begin"/>
      </w:r>
      <w:r>
        <w:instrText xml:space="preserve"> HYPERLINK \l "_Toc15396625" </w:instrText>
      </w:r>
      <w:r>
        <w:fldChar w:fldCharType="separate"/>
      </w:r>
      <w:r>
        <w:rPr>
          <w:rStyle w:val="15"/>
          <w:rFonts w:hAnsi="仿宋" w:eastAsia="仿宋"/>
          <w:sz w:val="28"/>
          <w:szCs w:val="28"/>
        </w:rPr>
        <w:t>一般公共预算财政拨款支出决算明细表</w:t>
      </w:r>
      <w:r>
        <w:rPr>
          <w:rFonts w:eastAsia="仿宋"/>
          <w:sz w:val="28"/>
          <w:szCs w:val="28"/>
        </w:rPr>
        <w:tab/>
      </w:r>
      <w:r>
        <w:rPr>
          <w:rFonts w:eastAsia="仿宋"/>
          <w:sz w:val="28"/>
          <w:szCs w:val="28"/>
        </w:rPr>
        <w:fldChar w:fldCharType="begin"/>
      </w:r>
      <w:r>
        <w:rPr>
          <w:rFonts w:eastAsia="仿宋"/>
          <w:sz w:val="28"/>
          <w:szCs w:val="28"/>
        </w:rPr>
        <w:instrText xml:space="preserve"> PAGEREF _Toc15396625 \h </w:instrText>
      </w:r>
      <w:r>
        <w:rPr>
          <w:rFonts w:eastAsia="仿宋"/>
          <w:sz w:val="28"/>
          <w:szCs w:val="28"/>
        </w:rPr>
        <w:fldChar w:fldCharType="separate"/>
      </w:r>
      <w:r>
        <w:rPr>
          <w:rFonts w:eastAsia="仿宋"/>
          <w:sz w:val="28"/>
          <w:szCs w:val="28"/>
        </w:rPr>
        <w:t>42</w:t>
      </w:r>
      <w:r>
        <w:rPr>
          <w:rFonts w:eastAsia="仿宋"/>
          <w:sz w:val="28"/>
          <w:szCs w:val="28"/>
        </w:rPr>
        <w:fldChar w:fldCharType="end"/>
      </w:r>
      <w:r>
        <w:rPr>
          <w:rFonts w:eastAsia="仿宋"/>
          <w:sz w:val="28"/>
          <w:szCs w:val="28"/>
        </w:rPr>
        <w:fldChar w:fldCharType="end"/>
      </w:r>
    </w:p>
    <w:p>
      <w:pPr>
        <w:pStyle w:val="11"/>
        <w:rPr>
          <w:rFonts w:eastAsia="仿宋"/>
          <w:sz w:val="28"/>
          <w:szCs w:val="28"/>
        </w:rPr>
      </w:pPr>
      <w:r>
        <w:rPr>
          <w:rFonts w:hAnsi="仿宋" w:eastAsia="仿宋"/>
          <w:sz w:val="28"/>
          <w:szCs w:val="28"/>
        </w:rPr>
        <w:t>八、</w:t>
      </w:r>
      <w:r>
        <w:fldChar w:fldCharType="begin"/>
      </w:r>
      <w:r>
        <w:instrText xml:space="preserve"> HYPERLINK \l "_Toc15396626" </w:instrText>
      </w:r>
      <w:r>
        <w:fldChar w:fldCharType="separate"/>
      </w:r>
      <w:r>
        <w:rPr>
          <w:rStyle w:val="15"/>
          <w:rFonts w:hAnsi="仿宋" w:eastAsia="仿宋"/>
          <w:sz w:val="28"/>
          <w:szCs w:val="28"/>
        </w:rPr>
        <w:t>一般公共预算财政拨款基本支出决算表</w:t>
      </w:r>
      <w:r>
        <w:rPr>
          <w:rFonts w:eastAsia="仿宋"/>
          <w:sz w:val="28"/>
          <w:szCs w:val="28"/>
        </w:rPr>
        <w:tab/>
      </w:r>
      <w:r>
        <w:rPr>
          <w:rFonts w:eastAsia="仿宋"/>
          <w:sz w:val="28"/>
          <w:szCs w:val="28"/>
        </w:rPr>
        <w:fldChar w:fldCharType="begin"/>
      </w:r>
      <w:r>
        <w:rPr>
          <w:rFonts w:eastAsia="仿宋"/>
          <w:sz w:val="28"/>
          <w:szCs w:val="28"/>
        </w:rPr>
        <w:instrText xml:space="preserve"> PAGEREF _Toc15396626 \h </w:instrText>
      </w:r>
      <w:r>
        <w:rPr>
          <w:rFonts w:eastAsia="仿宋"/>
          <w:sz w:val="28"/>
          <w:szCs w:val="28"/>
        </w:rPr>
        <w:fldChar w:fldCharType="separate"/>
      </w:r>
      <w:r>
        <w:rPr>
          <w:rFonts w:eastAsia="仿宋"/>
          <w:sz w:val="28"/>
          <w:szCs w:val="28"/>
        </w:rPr>
        <w:t>42</w:t>
      </w:r>
      <w:r>
        <w:rPr>
          <w:rFonts w:eastAsia="仿宋"/>
          <w:sz w:val="28"/>
          <w:szCs w:val="28"/>
        </w:rPr>
        <w:fldChar w:fldCharType="end"/>
      </w:r>
      <w:r>
        <w:rPr>
          <w:rFonts w:eastAsia="仿宋"/>
          <w:sz w:val="28"/>
          <w:szCs w:val="28"/>
        </w:rPr>
        <w:fldChar w:fldCharType="end"/>
      </w:r>
    </w:p>
    <w:p>
      <w:pPr>
        <w:pStyle w:val="11"/>
        <w:rPr>
          <w:rFonts w:eastAsia="仿宋"/>
          <w:sz w:val="28"/>
          <w:szCs w:val="28"/>
        </w:rPr>
      </w:pPr>
      <w:r>
        <w:rPr>
          <w:rFonts w:hAnsi="仿宋" w:eastAsia="仿宋"/>
          <w:sz w:val="28"/>
          <w:szCs w:val="28"/>
        </w:rPr>
        <w:t>九、</w:t>
      </w:r>
      <w:r>
        <w:fldChar w:fldCharType="begin"/>
      </w:r>
      <w:r>
        <w:instrText xml:space="preserve"> HYPERLINK \l "_Toc15396627" </w:instrText>
      </w:r>
      <w:r>
        <w:fldChar w:fldCharType="separate"/>
      </w:r>
      <w:r>
        <w:rPr>
          <w:rStyle w:val="15"/>
          <w:rFonts w:hAnsi="仿宋" w:eastAsia="仿宋"/>
          <w:sz w:val="28"/>
          <w:szCs w:val="28"/>
        </w:rPr>
        <w:t>一般公共预算财政拨款项目支出决算表</w:t>
      </w:r>
      <w:r>
        <w:rPr>
          <w:rFonts w:eastAsia="仿宋"/>
          <w:sz w:val="28"/>
          <w:szCs w:val="28"/>
        </w:rPr>
        <w:tab/>
      </w:r>
      <w:r>
        <w:rPr>
          <w:rFonts w:eastAsia="仿宋"/>
          <w:sz w:val="28"/>
          <w:szCs w:val="28"/>
        </w:rPr>
        <w:fldChar w:fldCharType="begin"/>
      </w:r>
      <w:r>
        <w:rPr>
          <w:rFonts w:eastAsia="仿宋"/>
          <w:sz w:val="28"/>
          <w:szCs w:val="28"/>
        </w:rPr>
        <w:instrText xml:space="preserve"> PAGEREF _Toc15396627 \h </w:instrText>
      </w:r>
      <w:r>
        <w:rPr>
          <w:rFonts w:eastAsia="仿宋"/>
          <w:sz w:val="28"/>
          <w:szCs w:val="28"/>
        </w:rPr>
        <w:fldChar w:fldCharType="separate"/>
      </w:r>
      <w:r>
        <w:rPr>
          <w:rFonts w:eastAsia="仿宋"/>
          <w:sz w:val="28"/>
          <w:szCs w:val="28"/>
        </w:rPr>
        <w:t>42</w:t>
      </w:r>
      <w:r>
        <w:rPr>
          <w:rFonts w:eastAsia="仿宋"/>
          <w:sz w:val="28"/>
          <w:szCs w:val="28"/>
        </w:rPr>
        <w:fldChar w:fldCharType="end"/>
      </w:r>
      <w:r>
        <w:rPr>
          <w:rFonts w:eastAsia="仿宋"/>
          <w:sz w:val="28"/>
          <w:szCs w:val="28"/>
        </w:rPr>
        <w:fldChar w:fldCharType="end"/>
      </w:r>
    </w:p>
    <w:p>
      <w:pPr>
        <w:pStyle w:val="11"/>
        <w:rPr>
          <w:rFonts w:eastAsia="仿宋"/>
          <w:sz w:val="28"/>
          <w:szCs w:val="28"/>
        </w:rPr>
      </w:pPr>
      <w:r>
        <w:rPr>
          <w:rFonts w:hAnsi="仿宋" w:eastAsia="仿宋"/>
          <w:sz w:val="28"/>
          <w:szCs w:val="28"/>
        </w:rPr>
        <w:t>十、</w:t>
      </w:r>
      <w:r>
        <w:fldChar w:fldCharType="begin"/>
      </w:r>
      <w:r>
        <w:instrText xml:space="preserve"> HYPERLINK \l "_Toc15396628" </w:instrText>
      </w:r>
      <w:r>
        <w:fldChar w:fldCharType="separate"/>
      </w:r>
      <w:r>
        <w:rPr>
          <w:rStyle w:val="15"/>
          <w:rFonts w:hAnsi="仿宋" w:eastAsia="仿宋"/>
          <w:sz w:val="28"/>
          <w:szCs w:val="28"/>
        </w:rPr>
        <w:t>一般公共预算财政拨款</w:t>
      </w:r>
      <w:r>
        <w:rPr>
          <w:rStyle w:val="15"/>
          <w:rFonts w:eastAsia="仿宋"/>
          <w:sz w:val="28"/>
          <w:szCs w:val="28"/>
        </w:rPr>
        <w:t>“</w:t>
      </w:r>
      <w:r>
        <w:rPr>
          <w:rStyle w:val="15"/>
          <w:rFonts w:hAnsi="仿宋" w:eastAsia="仿宋"/>
          <w:sz w:val="28"/>
          <w:szCs w:val="28"/>
        </w:rPr>
        <w:t>三公</w:t>
      </w:r>
      <w:r>
        <w:rPr>
          <w:rStyle w:val="15"/>
          <w:rFonts w:eastAsia="仿宋"/>
          <w:sz w:val="28"/>
          <w:szCs w:val="28"/>
        </w:rPr>
        <w:t>”</w:t>
      </w:r>
      <w:r>
        <w:rPr>
          <w:rStyle w:val="15"/>
          <w:rFonts w:hAnsi="仿宋" w:eastAsia="仿宋"/>
          <w:sz w:val="28"/>
          <w:szCs w:val="28"/>
        </w:rPr>
        <w:t>经费支出决算表</w:t>
      </w:r>
      <w:r>
        <w:rPr>
          <w:rFonts w:eastAsia="仿宋"/>
          <w:sz w:val="28"/>
          <w:szCs w:val="28"/>
        </w:rPr>
        <w:tab/>
      </w:r>
      <w:r>
        <w:rPr>
          <w:rFonts w:eastAsia="仿宋"/>
          <w:sz w:val="28"/>
          <w:szCs w:val="28"/>
        </w:rPr>
        <w:fldChar w:fldCharType="begin"/>
      </w:r>
      <w:r>
        <w:rPr>
          <w:rFonts w:eastAsia="仿宋"/>
          <w:sz w:val="28"/>
          <w:szCs w:val="28"/>
        </w:rPr>
        <w:instrText xml:space="preserve"> PAGEREF _Toc15396628 \h </w:instrText>
      </w:r>
      <w:r>
        <w:rPr>
          <w:rFonts w:eastAsia="仿宋"/>
          <w:sz w:val="28"/>
          <w:szCs w:val="28"/>
        </w:rPr>
        <w:fldChar w:fldCharType="separate"/>
      </w:r>
      <w:r>
        <w:rPr>
          <w:rFonts w:eastAsia="仿宋"/>
          <w:sz w:val="28"/>
          <w:szCs w:val="28"/>
        </w:rPr>
        <w:t>42</w:t>
      </w:r>
      <w:r>
        <w:rPr>
          <w:rFonts w:eastAsia="仿宋"/>
          <w:sz w:val="28"/>
          <w:szCs w:val="28"/>
        </w:rPr>
        <w:fldChar w:fldCharType="end"/>
      </w:r>
      <w:r>
        <w:rPr>
          <w:rFonts w:eastAsia="仿宋"/>
          <w:sz w:val="28"/>
          <w:szCs w:val="28"/>
        </w:rPr>
        <w:fldChar w:fldCharType="end"/>
      </w:r>
    </w:p>
    <w:p>
      <w:pPr>
        <w:pStyle w:val="11"/>
        <w:rPr>
          <w:rFonts w:eastAsia="仿宋"/>
          <w:sz w:val="28"/>
          <w:szCs w:val="28"/>
        </w:rPr>
      </w:pPr>
      <w:r>
        <w:rPr>
          <w:rFonts w:hAnsi="仿宋" w:eastAsia="仿宋"/>
          <w:sz w:val="28"/>
          <w:szCs w:val="28"/>
        </w:rPr>
        <w:t>十一、</w:t>
      </w:r>
      <w:r>
        <w:fldChar w:fldCharType="begin"/>
      </w:r>
      <w:r>
        <w:instrText xml:space="preserve"> HYPERLINK \l "_Toc15396629" </w:instrText>
      </w:r>
      <w:r>
        <w:fldChar w:fldCharType="separate"/>
      </w:r>
      <w:r>
        <w:rPr>
          <w:rStyle w:val="15"/>
          <w:rFonts w:hAnsi="仿宋" w:eastAsia="仿宋"/>
          <w:sz w:val="28"/>
          <w:szCs w:val="28"/>
        </w:rPr>
        <w:t>政府性基金预算财政拨款收入支出决算表</w:t>
      </w:r>
      <w:r>
        <w:rPr>
          <w:rFonts w:eastAsia="仿宋"/>
          <w:sz w:val="28"/>
          <w:szCs w:val="28"/>
        </w:rPr>
        <w:tab/>
      </w:r>
      <w:r>
        <w:rPr>
          <w:rFonts w:eastAsia="仿宋"/>
          <w:sz w:val="28"/>
          <w:szCs w:val="28"/>
        </w:rPr>
        <w:fldChar w:fldCharType="begin"/>
      </w:r>
      <w:r>
        <w:rPr>
          <w:rFonts w:eastAsia="仿宋"/>
          <w:sz w:val="28"/>
          <w:szCs w:val="28"/>
        </w:rPr>
        <w:instrText xml:space="preserve"> PAGEREF _Toc15396629 \h </w:instrText>
      </w:r>
      <w:r>
        <w:rPr>
          <w:rFonts w:eastAsia="仿宋"/>
          <w:sz w:val="28"/>
          <w:szCs w:val="28"/>
        </w:rPr>
        <w:fldChar w:fldCharType="separate"/>
      </w:r>
      <w:r>
        <w:rPr>
          <w:rFonts w:eastAsia="仿宋"/>
          <w:sz w:val="28"/>
          <w:szCs w:val="28"/>
        </w:rPr>
        <w:t>42</w:t>
      </w:r>
      <w:r>
        <w:rPr>
          <w:rFonts w:eastAsia="仿宋"/>
          <w:sz w:val="28"/>
          <w:szCs w:val="28"/>
        </w:rPr>
        <w:fldChar w:fldCharType="end"/>
      </w:r>
      <w:r>
        <w:rPr>
          <w:rFonts w:eastAsia="仿宋"/>
          <w:sz w:val="28"/>
          <w:szCs w:val="28"/>
        </w:rPr>
        <w:fldChar w:fldCharType="end"/>
      </w:r>
    </w:p>
    <w:p>
      <w:pPr>
        <w:pStyle w:val="11"/>
        <w:rPr>
          <w:rFonts w:eastAsia="仿宋"/>
          <w:sz w:val="28"/>
          <w:szCs w:val="28"/>
        </w:rPr>
      </w:pPr>
      <w:r>
        <w:rPr>
          <w:rFonts w:hAnsi="仿宋" w:eastAsia="仿宋"/>
          <w:sz w:val="28"/>
          <w:szCs w:val="28"/>
        </w:rPr>
        <w:t>十二、</w:t>
      </w:r>
      <w:r>
        <w:fldChar w:fldCharType="begin"/>
      </w:r>
      <w:r>
        <w:instrText xml:space="preserve"> HYPERLINK \l "_Toc15396630" </w:instrText>
      </w:r>
      <w:r>
        <w:fldChar w:fldCharType="separate"/>
      </w:r>
      <w:r>
        <w:rPr>
          <w:rStyle w:val="15"/>
          <w:rFonts w:hAnsi="仿宋" w:eastAsia="仿宋"/>
          <w:sz w:val="28"/>
          <w:szCs w:val="28"/>
        </w:rPr>
        <w:t>政府性基金预算财政拨款</w:t>
      </w:r>
      <w:r>
        <w:rPr>
          <w:rStyle w:val="15"/>
          <w:rFonts w:eastAsia="仿宋"/>
          <w:sz w:val="28"/>
          <w:szCs w:val="28"/>
        </w:rPr>
        <w:t>“</w:t>
      </w:r>
      <w:r>
        <w:rPr>
          <w:rStyle w:val="15"/>
          <w:rFonts w:hAnsi="仿宋" w:eastAsia="仿宋"/>
          <w:sz w:val="28"/>
          <w:szCs w:val="28"/>
        </w:rPr>
        <w:t>三公</w:t>
      </w:r>
      <w:r>
        <w:rPr>
          <w:rStyle w:val="15"/>
          <w:rFonts w:eastAsia="仿宋"/>
          <w:sz w:val="28"/>
          <w:szCs w:val="28"/>
        </w:rPr>
        <w:t>”</w:t>
      </w:r>
      <w:r>
        <w:rPr>
          <w:rStyle w:val="15"/>
          <w:rFonts w:hAnsi="仿宋" w:eastAsia="仿宋"/>
          <w:sz w:val="28"/>
          <w:szCs w:val="28"/>
        </w:rPr>
        <w:t>经费支出决算表</w:t>
      </w:r>
      <w:r>
        <w:rPr>
          <w:rFonts w:eastAsia="仿宋"/>
          <w:sz w:val="28"/>
          <w:szCs w:val="28"/>
        </w:rPr>
        <w:tab/>
      </w:r>
      <w:r>
        <w:rPr>
          <w:rFonts w:eastAsia="仿宋"/>
          <w:sz w:val="28"/>
          <w:szCs w:val="28"/>
        </w:rPr>
        <w:fldChar w:fldCharType="begin"/>
      </w:r>
      <w:r>
        <w:rPr>
          <w:rFonts w:eastAsia="仿宋"/>
          <w:sz w:val="28"/>
          <w:szCs w:val="28"/>
        </w:rPr>
        <w:instrText xml:space="preserve"> PAGEREF _Toc15396630 \h </w:instrText>
      </w:r>
      <w:r>
        <w:rPr>
          <w:rFonts w:eastAsia="仿宋"/>
          <w:sz w:val="28"/>
          <w:szCs w:val="28"/>
        </w:rPr>
        <w:fldChar w:fldCharType="separate"/>
      </w:r>
      <w:r>
        <w:rPr>
          <w:rFonts w:eastAsia="仿宋"/>
          <w:sz w:val="28"/>
          <w:szCs w:val="28"/>
        </w:rPr>
        <w:t>42</w:t>
      </w:r>
      <w:r>
        <w:rPr>
          <w:rFonts w:eastAsia="仿宋"/>
          <w:sz w:val="28"/>
          <w:szCs w:val="28"/>
        </w:rPr>
        <w:fldChar w:fldCharType="end"/>
      </w:r>
      <w:r>
        <w:rPr>
          <w:rFonts w:eastAsia="仿宋"/>
          <w:sz w:val="28"/>
          <w:szCs w:val="28"/>
        </w:rPr>
        <w:fldChar w:fldCharType="end"/>
      </w:r>
    </w:p>
    <w:p>
      <w:pPr>
        <w:pStyle w:val="11"/>
        <w:rPr>
          <w:rFonts w:eastAsia="仿宋"/>
          <w:sz w:val="24"/>
        </w:rPr>
      </w:pPr>
      <w:r>
        <w:rPr>
          <w:rFonts w:hAnsi="仿宋" w:eastAsia="仿宋"/>
          <w:sz w:val="28"/>
          <w:szCs w:val="28"/>
        </w:rPr>
        <w:t>十三、</w:t>
      </w:r>
      <w:r>
        <w:fldChar w:fldCharType="begin"/>
      </w:r>
      <w:r>
        <w:instrText xml:space="preserve"> HYPERLINK \l "_Toc15396631" </w:instrText>
      </w:r>
      <w:r>
        <w:fldChar w:fldCharType="separate"/>
      </w:r>
      <w:r>
        <w:rPr>
          <w:rStyle w:val="15"/>
          <w:rFonts w:hAnsi="仿宋" w:eastAsia="仿宋"/>
          <w:sz w:val="28"/>
          <w:szCs w:val="28"/>
        </w:rPr>
        <w:t>国有资本经营预算支出决算表</w:t>
      </w:r>
      <w:r>
        <w:rPr>
          <w:rFonts w:eastAsia="仿宋"/>
          <w:sz w:val="28"/>
          <w:szCs w:val="28"/>
        </w:rPr>
        <w:tab/>
      </w:r>
      <w:r>
        <w:rPr>
          <w:rFonts w:eastAsia="仿宋"/>
          <w:sz w:val="28"/>
          <w:szCs w:val="28"/>
        </w:rPr>
        <w:fldChar w:fldCharType="begin"/>
      </w:r>
      <w:r>
        <w:rPr>
          <w:rFonts w:eastAsia="仿宋"/>
          <w:sz w:val="28"/>
          <w:szCs w:val="28"/>
        </w:rPr>
        <w:instrText xml:space="preserve"> PAGEREF _Toc15396631 \h </w:instrText>
      </w:r>
      <w:r>
        <w:rPr>
          <w:rFonts w:eastAsia="仿宋"/>
          <w:sz w:val="28"/>
          <w:szCs w:val="28"/>
        </w:rPr>
        <w:fldChar w:fldCharType="separate"/>
      </w:r>
      <w:r>
        <w:rPr>
          <w:rFonts w:eastAsia="仿宋"/>
          <w:sz w:val="28"/>
          <w:szCs w:val="28"/>
        </w:rPr>
        <w:t>42</w:t>
      </w:r>
      <w:r>
        <w:rPr>
          <w:rFonts w:eastAsia="仿宋"/>
          <w:sz w:val="28"/>
          <w:szCs w:val="28"/>
        </w:rPr>
        <w:fldChar w:fldCharType="end"/>
      </w:r>
      <w:r>
        <w:rPr>
          <w:rFonts w:eastAsia="仿宋"/>
          <w:sz w:val="28"/>
          <w:szCs w:val="28"/>
        </w:rPr>
        <w:fldChar w:fldCharType="end"/>
      </w:r>
    </w:p>
    <w:p>
      <w:pPr>
        <w:widowControl/>
        <w:jc w:val="left"/>
        <w:rPr>
          <w:rFonts w:eastAsia="仿宋"/>
          <w:color w:val="000000"/>
          <w:sz w:val="24"/>
        </w:rPr>
      </w:pPr>
      <w:r>
        <w:rPr>
          <w:rFonts w:eastAsia="仿宋"/>
          <w:color w:val="000000"/>
          <w:sz w:val="24"/>
        </w:rPr>
        <w:fldChar w:fldCharType="end"/>
      </w:r>
    </w:p>
    <w:p>
      <w:pPr>
        <w:widowControl/>
        <w:jc w:val="left"/>
        <w:rPr>
          <w:rFonts w:eastAsia="黑体"/>
          <w:bCs/>
          <w:kern w:val="44"/>
          <w:sz w:val="44"/>
          <w:szCs w:val="44"/>
        </w:rPr>
      </w:pPr>
      <w:bookmarkStart w:id="12" w:name="_Toc15396599"/>
      <w:bookmarkStart w:id="13" w:name="_Toc15377196"/>
      <w:r>
        <w:rPr>
          <w:rFonts w:eastAsia="黑体"/>
          <w:b/>
        </w:rPr>
        <w:br w:type="page"/>
      </w:r>
    </w:p>
    <w:p>
      <w:pPr>
        <w:pStyle w:val="2"/>
        <w:spacing w:line="600" w:lineRule="exact"/>
        <w:jc w:val="center"/>
        <w:rPr>
          <w:rStyle w:val="24"/>
          <w:rFonts w:eastAsia="黑体"/>
          <w:b/>
          <w:bCs w:val="0"/>
        </w:rPr>
      </w:pPr>
      <w:r>
        <w:rPr>
          <w:rFonts w:hAnsi="黑体" w:eastAsia="黑体"/>
          <w:b w:val="0"/>
        </w:rPr>
        <w:t>第一部分</w:t>
      </w:r>
      <w:r>
        <w:rPr>
          <w:rFonts w:eastAsia="黑体"/>
          <w:b w:val="0"/>
        </w:rPr>
        <w:t xml:space="preserve"> </w:t>
      </w:r>
      <w:r>
        <w:rPr>
          <w:rStyle w:val="24"/>
          <w:rFonts w:hAnsi="黑体" w:eastAsia="黑体"/>
          <w:b w:val="0"/>
          <w:bCs w:val="0"/>
        </w:rPr>
        <w:t>部门概况</w:t>
      </w:r>
      <w:bookmarkEnd w:id="12"/>
      <w:bookmarkEnd w:id="13"/>
    </w:p>
    <w:p>
      <w:pPr>
        <w:widowControl/>
        <w:spacing w:line="600" w:lineRule="exact"/>
        <w:jc w:val="left"/>
        <w:rPr>
          <w:rFonts w:eastAsia="黑体"/>
          <w:color w:val="000000"/>
          <w:sz w:val="32"/>
          <w:szCs w:val="32"/>
        </w:rPr>
      </w:pPr>
    </w:p>
    <w:p>
      <w:pPr>
        <w:pStyle w:val="3"/>
        <w:spacing w:line="600" w:lineRule="exact"/>
        <w:ind w:firstLine="640" w:firstLineChars="200"/>
        <w:rPr>
          <w:rStyle w:val="25"/>
          <w:rFonts w:ascii="Times New Roman" w:hAnsi="Times New Roman" w:eastAsia="仿宋" w:cs="Times New Roman"/>
          <w:b w:val="0"/>
          <w:bCs w:val="0"/>
        </w:rPr>
      </w:pPr>
      <w:bookmarkStart w:id="14" w:name="_Toc15377197"/>
      <w:bookmarkStart w:id="15" w:name="_Toc15396600"/>
      <w:r>
        <w:rPr>
          <w:rFonts w:ascii="Times New Roman" w:hAnsi="黑体" w:eastAsia="黑体" w:cs="Times New Roman"/>
          <w:b w:val="0"/>
          <w:color w:val="000000"/>
        </w:rPr>
        <w:t>一、基</w:t>
      </w:r>
      <w:r>
        <w:rPr>
          <w:rStyle w:val="25"/>
          <w:rFonts w:ascii="Times New Roman" w:hAnsi="黑体" w:eastAsia="黑体" w:cs="Times New Roman"/>
          <w:b w:val="0"/>
          <w:bCs w:val="0"/>
        </w:rPr>
        <w:t>本职能及主要工作</w:t>
      </w:r>
      <w:bookmarkEnd w:id="14"/>
      <w:bookmarkEnd w:id="15"/>
    </w:p>
    <w:p>
      <w:pPr>
        <w:pStyle w:val="5"/>
        <w:adjustRightInd w:val="0"/>
        <w:snapToGrid w:val="0"/>
        <w:spacing w:before="93" w:line="600" w:lineRule="exact"/>
        <w:ind w:firstLine="672" w:firstLineChars="210"/>
        <w:outlineLvl w:val="2"/>
        <w:rPr>
          <w:rFonts w:ascii="Times New Roman" w:eastAsia="楷体"/>
          <w:bCs/>
          <w:color w:val="000000"/>
          <w:sz w:val="32"/>
          <w:szCs w:val="32"/>
        </w:rPr>
      </w:pPr>
      <w:bookmarkStart w:id="16" w:name="_Toc15377198"/>
      <w:bookmarkStart w:id="17" w:name="_Toc15378445"/>
      <w:r>
        <w:rPr>
          <w:rFonts w:ascii="Times New Roman" w:hAnsi="楷体" w:eastAsia="楷体"/>
          <w:bCs/>
          <w:color w:val="000000"/>
          <w:sz w:val="32"/>
          <w:szCs w:val="32"/>
        </w:rPr>
        <w:t>（一）主要职能。</w:t>
      </w:r>
    </w:p>
    <w:bookmarkEnd w:id="16"/>
    <w:bookmarkEnd w:id="17"/>
    <w:p>
      <w:pPr>
        <w:snapToGrid w:val="0"/>
        <w:spacing w:line="600" w:lineRule="exact"/>
        <w:ind w:firstLine="640" w:firstLineChars="200"/>
        <w:rPr>
          <w:rFonts w:eastAsia="仿宋"/>
          <w:sz w:val="32"/>
          <w:szCs w:val="32"/>
        </w:rPr>
      </w:pPr>
      <w:bookmarkStart w:id="18" w:name="_Toc15377199"/>
      <w:bookmarkStart w:id="19" w:name="_Toc15378446"/>
      <w:r>
        <w:rPr>
          <w:rFonts w:eastAsia="仿宋"/>
          <w:sz w:val="32"/>
          <w:szCs w:val="32"/>
        </w:rPr>
        <w:t>1.</w:t>
      </w:r>
      <w:r>
        <w:rPr>
          <w:rFonts w:hAnsi="仿宋" w:eastAsia="仿宋"/>
          <w:sz w:val="32"/>
          <w:szCs w:val="32"/>
        </w:rPr>
        <w:t>围绕省委和市委工作部署，收集信息、反映动态、综合调研并进行决策前的论证；承担市委重要文稿、部分市委文件的起草、修改和校核工作；负责中央和省委文件的签收、分发、管理等工作；负责市委日常文书的处理。</w:t>
      </w:r>
    </w:p>
    <w:p>
      <w:pPr>
        <w:snapToGrid w:val="0"/>
        <w:spacing w:line="600" w:lineRule="exact"/>
        <w:ind w:firstLine="640" w:firstLineChars="200"/>
        <w:rPr>
          <w:rFonts w:eastAsia="仿宋"/>
          <w:sz w:val="32"/>
          <w:szCs w:val="32"/>
        </w:rPr>
      </w:pPr>
      <w:r>
        <w:rPr>
          <w:rFonts w:eastAsia="仿宋"/>
          <w:sz w:val="32"/>
          <w:szCs w:val="32"/>
        </w:rPr>
        <w:t>2.</w:t>
      </w:r>
      <w:r>
        <w:rPr>
          <w:rFonts w:hAnsi="仿宋" w:eastAsia="仿宋"/>
          <w:sz w:val="32"/>
          <w:szCs w:val="32"/>
        </w:rPr>
        <w:t>承担党代会、全委会、常委会、办公会和工作会等会务工作，督促检查议定事项的落实；参与其它有关会议的会务工作。</w:t>
      </w:r>
    </w:p>
    <w:p>
      <w:pPr>
        <w:snapToGrid w:val="0"/>
        <w:spacing w:line="600" w:lineRule="exact"/>
        <w:ind w:firstLine="640" w:firstLineChars="200"/>
        <w:rPr>
          <w:rFonts w:eastAsia="仿宋"/>
          <w:sz w:val="32"/>
          <w:szCs w:val="32"/>
        </w:rPr>
      </w:pPr>
      <w:r>
        <w:rPr>
          <w:rFonts w:eastAsia="仿宋"/>
          <w:sz w:val="32"/>
          <w:szCs w:val="32"/>
        </w:rPr>
        <w:t>3.</w:t>
      </w:r>
      <w:r>
        <w:rPr>
          <w:rFonts w:hAnsi="仿宋" w:eastAsia="仿宋"/>
          <w:sz w:val="32"/>
          <w:szCs w:val="32"/>
        </w:rPr>
        <w:t>协助处理人民群众对市委和市委领导的来信来访。</w:t>
      </w:r>
    </w:p>
    <w:p>
      <w:pPr>
        <w:snapToGrid w:val="0"/>
        <w:spacing w:line="600" w:lineRule="exact"/>
        <w:ind w:firstLine="640" w:firstLineChars="200"/>
        <w:rPr>
          <w:rFonts w:eastAsia="仿宋"/>
          <w:sz w:val="32"/>
          <w:szCs w:val="32"/>
        </w:rPr>
      </w:pPr>
      <w:r>
        <w:rPr>
          <w:rFonts w:eastAsia="仿宋"/>
          <w:sz w:val="32"/>
          <w:szCs w:val="32"/>
        </w:rPr>
        <w:t>4.</w:t>
      </w:r>
      <w:r>
        <w:rPr>
          <w:rFonts w:hAnsi="仿宋" w:eastAsia="仿宋"/>
          <w:sz w:val="32"/>
          <w:szCs w:val="32"/>
        </w:rPr>
        <w:t>承担本机关的机构编制、干部人事、劳动工资等工作；负责市委的公务接待工作。</w:t>
      </w:r>
    </w:p>
    <w:p>
      <w:pPr>
        <w:snapToGrid w:val="0"/>
        <w:spacing w:line="600" w:lineRule="exact"/>
        <w:ind w:firstLine="640" w:firstLineChars="200"/>
        <w:rPr>
          <w:rFonts w:eastAsia="仿宋"/>
          <w:sz w:val="32"/>
          <w:szCs w:val="32"/>
        </w:rPr>
      </w:pPr>
      <w:r>
        <w:rPr>
          <w:rFonts w:eastAsia="仿宋"/>
          <w:sz w:val="32"/>
          <w:szCs w:val="32"/>
        </w:rPr>
        <w:t>5.</w:t>
      </w:r>
      <w:r>
        <w:rPr>
          <w:rFonts w:hAnsi="仿宋" w:eastAsia="仿宋"/>
          <w:sz w:val="32"/>
          <w:szCs w:val="32"/>
        </w:rPr>
        <w:t>管理市委办公室房产和其它固定资产；负责市委机关行政事业经费预算、使用计划、财务审计、基建计划及实施工作。</w:t>
      </w:r>
    </w:p>
    <w:p>
      <w:pPr>
        <w:snapToGrid w:val="0"/>
        <w:spacing w:line="600" w:lineRule="exact"/>
        <w:ind w:firstLine="640" w:firstLineChars="200"/>
        <w:rPr>
          <w:rFonts w:eastAsia="仿宋"/>
          <w:sz w:val="32"/>
          <w:szCs w:val="32"/>
        </w:rPr>
      </w:pPr>
      <w:r>
        <w:rPr>
          <w:rFonts w:eastAsia="仿宋"/>
          <w:sz w:val="32"/>
          <w:szCs w:val="32"/>
        </w:rPr>
        <w:t>6.</w:t>
      </w:r>
      <w:r>
        <w:rPr>
          <w:rFonts w:hAnsi="仿宋" w:eastAsia="仿宋"/>
          <w:sz w:val="32"/>
          <w:szCs w:val="32"/>
        </w:rPr>
        <w:t>负责市委机关办公楼、宿舍区社会治安综合治理和安全防范工作，市级领导两栋住宅楼的公共服务管理和安全保卫工作；领导办公室机关工、青、妇等工作。</w:t>
      </w:r>
    </w:p>
    <w:p>
      <w:pPr>
        <w:snapToGrid w:val="0"/>
        <w:spacing w:line="600" w:lineRule="exact"/>
        <w:ind w:firstLine="640" w:firstLineChars="200"/>
        <w:rPr>
          <w:rFonts w:eastAsia="仿宋"/>
          <w:sz w:val="32"/>
          <w:szCs w:val="32"/>
        </w:rPr>
      </w:pPr>
      <w:r>
        <w:rPr>
          <w:rFonts w:eastAsia="仿宋"/>
          <w:sz w:val="32"/>
          <w:szCs w:val="32"/>
        </w:rPr>
        <w:t>7.</w:t>
      </w:r>
      <w:r>
        <w:rPr>
          <w:rFonts w:hAnsi="仿宋" w:eastAsia="仿宋"/>
          <w:sz w:val="32"/>
          <w:szCs w:val="32"/>
        </w:rPr>
        <w:t>负责办公室离退休人员的管理、服务工作。</w:t>
      </w:r>
    </w:p>
    <w:p>
      <w:pPr>
        <w:snapToGrid w:val="0"/>
        <w:spacing w:line="600" w:lineRule="exact"/>
        <w:ind w:firstLine="640" w:firstLineChars="200"/>
        <w:rPr>
          <w:rFonts w:eastAsia="仿宋"/>
          <w:sz w:val="32"/>
          <w:szCs w:val="32"/>
        </w:rPr>
      </w:pPr>
      <w:r>
        <w:rPr>
          <w:rFonts w:eastAsia="仿宋"/>
          <w:sz w:val="32"/>
          <w:szCs w:val="32"/>
        </w:rPr>
        <w:t>8.</w:t>
      </w:r>
      <w:r>
        <w:rPr>
          <w:rFonts w:hAnsi="仿宋" w:eastAsia="仿宋"/>
          <w:sz w:val="32"/>
          <w:szCs w:val="32"/>
        </w:rPr>
        <w:t>负责办公室机关党的思想、组织、作风建设和纪检。</w:t>
      </w:r>
    </w:p>
    <w:p>
      <w:pPr>
        <w:snapToGrid w:val="0"/>
        <w:spacing w:line="600" w:lineRule="exact"/>
        <w:ind w:firstLine="640" w:firstLineChars="200"/>
        <w:rPr>
          <w:rFonts w:eastAsia="仿宋"/>
          <w:sz w:val="32"/>
          <w:szCs w:val="32"/>
        </w:rPr>
      </w:pPr>
      <w:r>
        <w:rPr>
          <w:rFonts w:eastAsia="仿宋"/>
          <w:sz w:val="32"/>
          <w:szCs w:val="32"/>
        </w:rPr>
        <w:t>9.</w:t>
      </w:r>
      <w:r>
        <w:rPr>
          <w:rFonts w:hAnsi="仿宋" w:eastAsia="仿宋"/>
          <w:sz w:val="32"/>
          <w:szCs w:val="32"/>
        </w:rPr>
        <w:t>负责全市党政、商用密码的管理、使用和执法检查工作；承担市密码工作领导小组和市国家密码管理委员会的日常工作；承担市委总值班室工作。</w:t>
      </w:r>
    </w:p>
    <w:p>
      <w:pPr>
        <w:snapToGrid w:val="0"/>
        <w:spacing w:line="600" w:lineRule="exact"/>
        <w:ind w:firstLine="640" w:firstLineChars="200"/>
        <w:rPr>
          <w:rFonts w:eastAsia="仿宋"/>
          <w:sz w:val="32"/>
          <w:szCs w:val="32"/>
        </w:rPr>
      </w:pPr>
      <w:r>
        <w:rPr>
          <w:rFonts w:eastAsia="仿宋"/>
          <w:sz w:val="32"/>
          <w:szCs w:val="32"/>
        </w:rPr>
        <w:t>10.</w:t>
      </w:r>
      <w:r>
        <w:rPr>
          <w:rFonts w:hAnsi="仿宋" w:eastAsia="仿宋"/>
          <w:sz w:val="32"/>
          <w:szCs w:val="32"/>
        </w:rPr>
        <w:t>市委党史研究室的主要职责是：贯彻落实省委有关党史工作的方针、政策和市委关于党史的重要指示；研究、拟定全市党史工作规划，并组织实施；负责全市重要党史资料的征集、整理、编纂和出版工作；研究中共攀枝花历史，总结党的历史经验，编写中共攀枝花地方史；编辑出版党史书刊；办好中共攀枝花市委机关刊物《攀枝花纪事》杂志；推动党史成果转化，开展党史、革命史、建设史、改革史的宣传教育和党史专题研究工作；组织党史工作经验交流，负责全市党史研究干部培训工作；指导区（县）委的党史业务工作；承办省委党史研究室和市委交办的其他工作。</w:t>
      </w:r>
    </w:p>
    <w:p>
      <w:pPr>
        <w:pStyle w:val="5"/>
        <w:adjustRightInd w:val="0"/>
        <w:snapToGrid w:val="0"/>
        <w:spacing w:before="93" w:line="600" w:lineRule="exact"/>
        <w:ind w:firstLine="672" w:firstLineChars="210"/>
        <w:outlineLvl w:val="2"/>
        <w:rPr>
          <w:rFonts w:ascii="Times New Roman" w:eastAsia="仿宋"/>
          <w:sz w:val="32"/>
          <w:szCs w:val="32"/>
        </w:rPr>
      </w:pPr>
      <w:r>
        <w:rPr>
          <w:rFonts w:ascii="Times New Roman" w:eastAsia="仿宋"/>
          <w:sz w:val="32"/>
          <w:szCs w:val="32"/>
        </w:rPr>
        <w:t>11.</w:t>
      </w:r>
      <w:r>
        <w:rPr>
          <w:rFonts w:ascii="Times New Roman" w:hAnsi="仿宋" w:eastAsia="仿宋"/>
          <w:sz w:val="32"/>
          <w:szCs w:val="32"/>
        </w:rPr>
        <w:t>市电子政务办公室主要职责是规划、建设、管理、协调、督导全市电子政务基础设施和重大电子政务项目；全市电子政务内外网系统的应用开发、运行维护与管理；全市信息资源的开发利用；为市委、市人大、市政府、市政协领导同志及市级各部门提供多媒体汇报及演示系统的制作服务；全市电子政务技能培训和普及工作；全市宏观经济预测预警和监测工作及重点、热点、难点问题的对策研究；完成国家和省信息中心下达的各项系统化业务工作及区</w:t>
      </w:r>
      <w:r>
        <w:rPr>
          <w:rFonts w:ascii="Times New Roman" w:eastAsia="仿宋"/>
          <w:sz w:val="32"/>
          <w:szCs w:val="32"/>
        </w:rPr>
        <w:t>(</w:t>
      </w:r>
      <w:r>
        <w:rPr>
          <w:rFonts w:ascii="Times New Roman" w:hAnsi="仿宋" w:eastAsia="仿宋"/>
          <w:sz w:val="32"/>
          <w:szCs w:val="32"/>
        </w:rPr>
        <w:t>县</w:t>
      </w:r>
      <w:r>
        <w:rPr>
          <w:rFonts w:ascii="Times New Roman" w:eastAsia="仿宋"/>
          <w:sz w:val="32"/>
          <w:szCs w:val="32"/>
        </w:rPr>
        <w:t>)</w:t>
      </w:r>
      <w:r>
        <w:rPr>
          <w:rFonts w:ascii="Times New Roman" w:hAnsi="仿宋" w:eastAsia="仿宋"/>
          <w:sz w:val="32"/>
          <w:szCs w:val="32"/>
        </w:rPr>
        <w:t>业务的指导工作；办理市委、市政府交办的其它事项。</w:t>
      </w:r>
    </w:p>
    <w:p>
      <w:pPr>
        <w:pStyle w:val="5"/>
        <w:adjustRightInd w:val="0"/>
        <w:snapToGrid w:val="0"/>
        <w:spacing w:before="93" w:line="600" w:lineRule="exact"/>
        <w:ind w:firstLine="672" w:firstLineChars="210"/>
        <w:outlineLvl w:val="2"/>
        <w:rPr>
          <w:rFonts w:ascii="Times New Roman" w:eastAsia="楷体"/>
          <w:bCs/>
          <w:color w:val="000000"/>
          <w:sz w:val="32"/>
          <w:szCs w:val="32"/>
        </w:rPr>
      </w:pPr>
      <w:r>
        <w:rPr>
          <w:rFonts w:ascii="Times New Roman" w:hAnsi="楷体" w:eastAsia="楷体"/>
          <w:bCs/>
          <w:color w:val="000000"/>
          <w:sz w:val="32"/>
          <w:szCs w:val="32"/>
        </w:rPr>
        <w:t>（二）</w:t>
      </w:r>
      <w:r>
        <w:rPr>
          <w:rFonts w:ascii="Times New Roman" w:eastAsia="楷体"/>
          <w:bCs/>
          <w:color w:val="000000"/>
          <w:sz w:val="32"/>
          <w:szCs w:val="32"/>
        </w:rPr>
        <w:t>2018</w:t>
      </w:r>
      <w:r>
        <w:rPr>
          <w:rFonts w:ascii="Times New Roman" w:hAnsi="楷体" w:eastAsia="楷体"/>
          <w:bCs/>
          <w:color w:val="000000"/>
          <w:sz w:val="32"/>
          <w:szCs w:val="32"/>
        </w:rPr>
        <w:t>年重点工作完成情况。</w:t>
      </w:r>
      <w:bookmarkEnd w:id="18"/>
      <w:bookmarkEnd w:id="19"/>
    </w:p>
    <w:p>
      <w:pPr>
        <w:snapToGrid w:val="0"/>
        <w:spacing w:line="600" w:lineRule="exact"/>
        <w:ind w:firstLine="640" w:firstLineChars="200"/>
        <w:rPr>
          <w:rFonts w:eastAsia="仿宋"/>
          <w:sz w:val="32"/>
          <w:szCs w:val="32"/>
        </w:rPr>
      </w:pPr>
      <w:r>
        <w:rPr>
          <w:rFonts w:eastAsia="仿宋"/>
          <w:sz w:val="32"/>
          <w:szCs w:val="32"/>
        </w:rPr>
        <w:t>1.</w:t>
      </w:r>
      <w:r>
        <w:rPr>
          <w:rFonts w:hAnsi="仿宋" w:eastAsia="仿宋"/>
          <w:sz w:val="32"/>
          <w:szCs w:val="32"/>
        </w:rPr>
        <w:t>市委办工作开展情况。</w:t>
      </w:r>
    </w:p>
    <w:p>
      <w:pPr>
        <w:snapToGrid w:val="0"/>
        <w:spacing w:line="600" w:lineRule="exact"/>
        <w:ind w:firstLine="640" w:firstLineChars="200"/>
        <w:rPr>
          <w:rFonts w:eastAsia="仿宋"/>
          <w:sz w:val="32"/>
          <w:szCs w:val="32"/>
        </w:rPr>
      </w:pPr>
      <w:r>
        <w:rPr>
          <w:rFonts w:hAnsi="仿宋" w:eastAsia="仿宋"/>
          <w:sz w:val="32"/>
          <w:szCs w:val="32"/>
        </w:rPr>
        <w:t>一是强化统筹协调，建好综合枢纽。一方面，加强纵向协调，主动向上对接，及时掌握上级工作动态，积极汇报攀枝花工作开展情况，努力争取上级更多的支持。同时，强化对县（区）、市级部门工作的统筹协调，整合各方力量，共同推进重点项目开展。另一方面，突出横向协调，协助加强军地、地企、兄弟市州之间的沟通联系，汇聚社会各方，合力推动攀枝花各项事业高质量发展。</w:t>
      </w:r>
    </w:p>
    <w:p>
      <w:pPr>
        <w:snapToGrid w:val="0"/>
        <w:spacing w:line="600" w:lineRule="exact"/>
        <w:ind w:firstLine="640" w:firstLineChars="200"/>
        <w:rPr>
          <w:rFonts w:eastAsia="仿宋"/>
          <w:sz w:val="32"/>
          <w:szCs w:val="32"/>
        </w:rPr>
      </w:pPr>
      <w:r>
        <w:rPr>
          <w:rFonts w:hAnsi="仿宋" w:eastAsia="仿宋"/>
          <w:sz w:val="32"/>
          <w:szCs w:val="32"/>
        </w:rPr>
        <w:t>二是强化以文辅政，当好参谋助手。牢固树立</w:t>
      </w:r>
      <w:r>
        <w:rPr>
          <w:rFonts w:eastAsia="仿宋"/>
          <w:sz w:val="32"/>
          <w:szCs w:val="32"/>
        </w:rPr>
        <w:t>“</w:t>
      </w:r>
      <w:r>
        <w:rPr>
          <w:rFonts w:hAnsi="仿宋" w:eastAsia="仿宋"/>
          <w:sz w:val="32"/>
          <w:szCs w:val="32"/>
        </w:rPr>
        <w:t>写有用的文章</w:t>
      </w:r>
      <w:r>
        <w:rPr>
          <w:rFonts w:eastAsia="仿宋"/>
          <w:sz w:val="32"/>
          <w:szCs w:val="32"/>
        </w:rPr>
        <w:t>”</w:t>
      </w:r>
      <w:r>
        <w:rPr>
          <w:rFonts w:hAnsi="仿宋" w:eastAsia="仿宋"/>
          <w:sz w:val="32"/>
          <w:szCs w:val="32"/>
        </w:rPr>
        <w:t>理念，准确把握领导决策意图，紧扣市情实际，突出思想性、指导性和可操作性，不断提升文稿服务质量，充分发挥以文辅政职能。同时，紧紧围绕全市工作重点，及时对市委和市委领导交办的重点工作和重要事项进行研究、部署，为领导决策和实施决策做好参谋和服务。</w:t>
      </w:r>
    </w:p>
    <w:p>
      <w:pPr>
        <w:snapToGrid w:val="0"/>
        <w:spacing w:line="600" w:lineRule="exact"/>
        <w:ind w:firstLine="640" w:firstLineChars="200"/>
        <w:rPr>
          <w:rFonts w:eastAsia="仿宋"/>
          <w:sz w:val="32"/>
          <w:szCs w:val="32"/>
        </w:rPr>
      </w:pPr>
      <w:r>
        <w:rPr>
          <w:rFonts w:hAnsi="仿宋" w:eastAsia="仿宋"/>
          <w:sz w:val="32"/>
          <w:szCs w:val="32"/>
        </w:rPr>
        <w:t>三是强化督查督办，确保政令畅通。丰富督查抓手，制定印发《加强新形势下党的督促检查工作的实施办法等制度》，升级了目标督查管理系统，完善了目标督查硬件配置。同时，扎实开展督查督办，通过明查与暗访、督查与调研、跟踪与回访相结合的方式，强力推动各项工作落实。</w:t>
      </w:r>
    </w:p>
    <w:p>
      <w:pPr>
        <w:snapToGrid w:val="0"/>
        <w:spacing w:line="600" w:lineRule="exact"/>
        <w:ind w:firstLine="640" w:firstLineChars="200"/>
        <w:rPr>
          <w:rFonts w:eastAsia="仿宋"/>
          <w:sz w:val="32"/>
          <w:szCs w:val="32"/>
        </w:rPr>
      </w:pPr>
      <w:r>
        <w:rPr>
          <w:rFonts w:hAnsi="仿宋" w:eastAsia="仿宋"/>
          <w:sz w:val="32"/>
          <w:szCs w:val="32"/>
        </w:rPr>
        <w:t>四是强化改革担当，服务改革发展。细化工作措施，通过印发《深化改革</w:t>
      </w:r>
      <w:r>
        <w:rPr>
          <w:rFonts w:eastAsia="仿宋"/>
          <w:sz w:val="32"/>
          <w:szCs w:val="32"/>
        </w:rPr>
        <w:t>2018</w:t>
      </w:r>
      <w:r>
        <w:rPr>
          <w:rFonts w:hAnsi="仿宋" w:eastAsia="仿宋"/>
          <w:sz w:val="32"/>
          <w:szCs w:val="32"/>
        </w:rPr>
        <w:t>年工作要点》《</w:t>
      </w:r>
      <w:r>
        <w:rPr>
          <w:rFonts w:eastAsia="仿宋"/>
          <w:sz w:val="32"/>
          <w:szCs w:val="32"/>
        </w:rPr>
        <w:t>2018</w:t>
      </w:r>
      <w:r>
        <w:rPr>
          <w:rFonts w:hAnsi="仿宋" w:eastAsia="仿宋"/>
          <w:sz w:val="32"/>
          <w:szCs w:val="32"/>
        </w:rPr>
        <w:t>年改革落实台账》，协调建立市领导带头抓专项改革方案落实、市委深改组会议常态化听取改革推进情况汇报、各级改革办直接联系改革试点等制度，搭建完善</w:t>
      </w:r>
      <w:r>
        <w:rPr>
          <w:rFonts w:eastAsia="仿宋"/>
          <w:sz w:val="32"/>
          <w:szCs w:val="32"/>
        </w:rPr>
        <w:t>“</w:t>
      </w:r>
      <w:r>
        <w:rPr>
          <w:rFonts w:hAnsi="仿宋" w:eastAsia="仿宋"/>
          <w:sz w:val="32"/>
          <w:szCs w:val="32"/>
        </w:rPr>
        <w:t>清单制</w:t>
      </w:r>
      <w:r>
        <w:rPr>
          <w:rFonts w:eastAsia="仿宋"/>
          <w:sz w:val="32"/>
          <w:szCs w:val="32"/>
        </w:rPr>
        <w:t>+</w:t>
      </w:r>
      <w:r>
        <w:rPr>
          <w:rFonts w:hAnsi="仿宋" w:eastAsia="仿宋"/>
          <w:sz w:val="32"/>
          <w:szCs w:val="32"/>
        </w:rPr>
        <w:t>责任制</w:t>
      </w:r>
      <w:r>
        <w:rPr>
          <w:rFonts w:eastAsia="仿宋"/>
          <w:sz w:val="32"/>
          <w:szCs w:val="32"/>
        </w:rPr>
        <w:t>”</w:t>
      </w:r>
      <w:r>
        <w:rPr>
          <w:rFonts w:hAnsi="仿宋" w:eastAsia="仿宋"/>
          <w:sz w:val="32"/>
          <w:szCs w:val="32"/>
        </w:rPr>
        <w:t>改革信息化平台等，聚焦</w:t>
      </w:r>
      <w:r>
        <w:rPr>
          <w:rFonts w:eastAsia="仿宋"/>
          <w:sz w:val="32"/>
          <w:szCs w:val="32"/>
        </w:rPr>
        <w:t>75</w:t>
      </w:r>
      <w:r>
        <w:rPr>
          <w:rFonts w:hAnsi="仿宋" w:eastAsia="仿宋"/>
          <w:sz w:val="32"/>
          <w:szCs w:val="32"/>
        </w:rPr>
        <w:t>个专项改革方案、</w:t>
      </w:r>
      <w:r>
        <w:rPr>
          <w:rFonts w:eastAsia="仿宋"/>
          <w:sz w:val="32"/>
          <w:szCs w:val="32"/>
        </w:rPr>
        <w:t>55</w:t>
      </w:r>
      <w:r>
        <w:rPr>
          <w:rFonts w:hAnsi="仿宋" w:eastAsia="仿宋"/>
          <w:sz w:val="32"/>
          <w:szCs w:val="32"/>
        </w:rPr>
        <w:t>个改革试点和</w:t>
      </w:r>
      <w:r>
        <w:rPr>
          <w:rFonts w:eastAsia="仿宋"/>
          <w:sz w:val="32"/>
          <w:szCs w:val="32"/>
        </w:rPr>
        <w:t>382</w:t>
      </w:r>
      <w:r>
        <w:rPr>
          <w:rFonts w:hAnsi="仿宋" w:eastAsia="仿宋"/>
          <w:sz w:val="32"/>
          <w:szCs w:val="32"/>
        </w:rPr>
        <w:t>项改革任务。</w:t>
      </w:r>
    </w:p>
    <w:p>
      <w:pPr>
        <w:snapToGrid w:val="0"/>
        <w:spacing w:line="600" w:lineRule="exact"/>
        <w:ind w:firstLine="640" w:firstLineChars="200"/>
        <w:rPr>
          <w:rFonts w:eastAsia="仿宋"/>
          <w:sz w:val="32"/>
          <w:szCs w:val="32"/>
        </w:rPr>
      </w:pPr>
      <w:r>
        <w:rPr>
          <w:rFonts w:hAnsi="仿宋" w:eastAsia="仿宋"/>
          <w:sz w:val="32"/>
          <w:szCs w:val="32"/>
        </w:rPr>
        <w:t>五是强化依法治市，建好法治攀枝花。印发《依法治市</w:t>
      </w:r>
      <w:r>
        <w:rPr>
          <w:rFonts w:eastAsia="仿宋"/>
          <w:sz w:val="32"/>
          <w:szCs w:val="32"/>
        </w:rPr>
        <w:t>2018</w:t>
      </w:r>
      <w:r>
        <w:rPr>
          <w:rFonts w:hAnsi="仿宋" w:eastAsia="仿宋"/>
          <w:sz w:val="32"/>
          <w:szCs w:val="32"/>
        </w:rPr>
        <w:t>年工作要点》《关于市委常委会带头进一步增强法治观念深化依法治市实践的意见》《关于推进农村基层治理法治化工作方案》等，扎实推进</w:t>
      </w:r>
      <w:r>
        <w:rPr>
          <w:rFonts w:eastAsia="仿宋"/>
          <w:sz w:val="32"/>
          <w:szCs w:val="32"/>
        </w:rPr>
        <w:t>“</w:t>
      </w:r>
      <w:r>
        <w:rPr>
          <w:rFonts w:hAnsi="仿宋" w:eastAsia="仿宋"/>
          <w:sz w:val="32"/>
          <w:szCs w:val="32"/>
        </w:rPr>
        <w:t>法治德治自治</w:t>
      </w:r>
      <w:r>
        <w:rPr>
          <w:rFonts w:eastAsia="仿宋"/>
          <w:sz w:val="32"/>
          <w:szCs w:val="32"/>
        </w:rPr>
        <w:t>”“</w:t>
      </w:r>
      <w:r>
        <w:rPr>
          <w:rFonts w:hAnsi="仿宋" w:eastAsia="仿宋"/>
          <w:sz w:val="32"/>
          <w:szCs w:val="32"/>
        </w:rPr>
        <w:t>共建共治共享</w:t>
      </w:r>
      <w:r>
        <w:rPr>
          <w:rFonts w:eastAsia="仿宋"/>
          <w:sz w:val="32"/>
          <w:szCs w:val="32"/>
        </w:rPr>
        <w:t>”</w:t>
      </w:r>
      <w:r>
        <w:rPr>
          <w:rFonts w:hAnsi="仿宋" w:eastAsia="仿宋"/>
          <w:sz w:val="32"/>
          <w:szCs w:val="32"/>
        </w:rPr>
        <w:t>、法治政府建设中期督导、</w:t>
      </w:r>
      <w:r>
        <w:rPr>
          <w:rFonts w:eastAsia="仿宋"/>
          <w:sz w:val="32"/>
          <w:szCs w:val="32"/>
        </w:rPr>
        <w:t>“</w:t>
      </w:r>
      <w:r>
        <w:rPr>
          <w:rFonts w:hAnsi="仿宋" w:eastAsia="仿宋"/>
          <w:sz w:val="32"/>
          <w:szCs w:val="32"/>
        </w:rPr>
        <w:t>七五</w:t>
      </w:r>
      <w:r>
        <w:rPr>
          <w:rFonts w:eastAsia="仿宋"/>
          <w:sz w:val="32"/>
          <w:szCs w:val="32"/>
        </w:rPr>
        <w:t>”</w:t>
      </w:r>
      <w:r>
        <w:rPr>
          <w:rFonts w:hAnsi="仿宋" w:eastAsia="仿宋"/>
          <w:sz w:val="32"/>
          <w:szCs w:val="32"/>
        </w:rPr>
        <w:t>普法中期督查、《宪法》学习宣传等重点工作，协调各单位建立健全联席会议制度，创新开展市直部门依法治理</w:t>
      </w:r>
      <w:r>
        <w:rPr>
          <w:rFonts w:eastAsia="仿宋"/>
          <w:sz w:val="32"/>
          <w:szCs w:val="32"/>
        </w:rPr>
        <w:t>“</w:t>
      </w:r>
      <w:r>
        <w:rPr>
          <w:rFonts w:hAnsi="仿宋" w:eastAsia="仿宋"/>
          <w:sz w:val="32"/>
          <w:szCs w:val="32"/>
        </w:rPr>
        <w:t>账图模式</w:t>
      </w:r>
      <w:r>
        <w:rPr>
          <w:rFonts w:eastAsia="仿宋"/>
          <w:sz w:val="32"/>
          <w:szCs w:val="32"/>
        </w:rPr>
        <w:t>”</w:t>
      </w:r>
      <w:r>
        <w:rPr>
          <w:rFonts w:hAnsi="仿宋" w:eastAsia="仿宋"/>
          <w:sz w:val="32"/>
          <w:szCs w:val="32"/>
        </w:rPr>
        <w:t>工作，积极推动各级各部门开展基层法治示范创建活动。</w:t>
      </w:r>
    </w:p>
    <w:p>
      <w:pPr>
        <w:snapToGrid w:val="0"/>
        <w:spacing w:line="600" w:lineRule="exact"/>
        <w:ind w:firstLine="640" w:firstLineChars="200"/>
        <w:rPr>
          <w:rFonts w:eastAsia="仿宋"/>
          <w:sz w:val="32"/>
          <w:szCs w:val="32"/>
        </w:rPr>
      </w:pPr>
      <w:r>
        <w:rPr>
          <w:rFonts w:hAnsi="仿宋" w:eastAsia="仿宋"/>
          <w:sz w:val="32"/>
          <w:szCs w:val="32"/>
        </w:rPr>
        <w:t>六是强化对口帮扶，推进精准扶贫。坚持把打好精准脱贫攻坚战作为最大的政治责任、最大的民生工程、最大的发展机遇，紧盯大湾村、后元村、茅坪子村</w:t>
      </w:r>
      <w:r>
        <w:rPr>
          <w:rFonts w:eastAsia="仿宋"/>
          <w:sz w:val="32"/>
          <w:szCs w:val="32"/>
        </w:rPr>
        <w:t>3</w:t>
      </w:r>
      <w:r>
        <w:rPr>
          <w:rFonts w:hAnsi="仿宋" w:eastAsia="仿宋"/>
          <w:sz w:val="32"/>
          <w:szCs w:val="32"/>
        </w:rPr>
        <w:t>个联系贫困村脱贫退出任务；聚焦两不愁、三保障、四个好目标，严格贯彻落实中央、省委和市委系列决策部署，扎实抓好产业扶持、集体经济壮大、人居环境改善、教育医疗扶贫等工作；突出退得出、稳得住，常态开展班子成员到贫困村走访慰问、</w:t>
      </w:r>
      <w:r>
        <w:rPr>
          <w:rFonts w:eastAsia="仿宋"/>
          <w:sz w:val="32"/>
          <w:szCs w:val="32"/>
        </w:rPr>
        <w:t>“</w:t>
      </w:r>
      <w:r>
        <w:rPr>
          <w:rFonts w:hAnsi="仿宋" w:eastAsia="仿宋"/>
          <w:sz w:val="32"/>
          <w:szCs w:val="32"/>
        </w:rPr>
        <w:t>以购代捐</w:t>
      </w:r>
      <w:r>
        <w:rPr>
          <w:rFonts w:eastAsia="仿宋"/>
          <w:sz w:val="32"/>
          <w:szCs w:val="32"/>
        </w:rPr>
        <w:t>”</w:t>
      </w:r>
      <w:r>
        <w:rPr>
          <w:rFonts w:hAnsi="仿宋" w:eastAsia="仿宋"/>
          <w:sz w:val="32"/>
          <w:szCs w:val="32"/>
        </w:rPr>
        <w:t>等活动，不定期开展脱贫退出</w:t>
      </w:r>
      <w:r>
        <w:rPr>
          <w:rFonts w:eastAsia="仿宋"/>
          <w:sz w:val="32"/>
          <w:szCs w:val="32"/>
        </w:rPr>
        <w:t>“</w:t>
      </w:r>
      <w:r>
        <w:rPr>
          <w:rFonts w:hAnsi="仿宋" w:eastAsia="仿宋"/>
          <w:sz w:val="32"/>
          <w:szCs w:val="32"/>
        </w:rPr>
        <w:t>回头看</w:t>
      </w:r>
      <w:r>
        <w:rPr>
          <w:rFonts w:eastAsia="仿宋"/>
          <w:sz w:val="32"/>
          <w:szCs w:val="32"/>
        </w:rPr>
        <w:t>”</w:t>
      </w:r>
      <w:r>
        <w:rPr>
          <w:rFonts w:hAnsi="仿宋" w:eastAsia="仿宋"/>
          <w:sz w:val="32"/>
          <w:szCs w:val="32"/>
        </w:rPr>
        <w:t>，不断夯实脱贫攻坚基础。</w:t>
      </w:r>
    </w:p>
    <w:p>
      <w:pPr>
        <w:snapToGrid w:val="0"/>
        <w:spacing w:line="600" w:lineRule="exact"/>
        <w:ind w:firstLine="640" w:firstLineChars="200"/>
        <w:rPr>
          <w:rFonts w:eastAsia="仿宋"/>
          <w:sz w:val="32"/>
          <w:szCs w:val="32"/>
        </w:rPr>
      </w:pPr>
      <w:r>
        <w:rPr>
          <w:rFonts w:hAnsi="仿宋" w:eastAsia="仿宋"/>
          <w:sz w:val="32"/>
          <w:szCs w:val="32"/>
        </w:rPr>
        <w:t>七是强化密码管理，确保通信畅通。持续加强密码管理，与各市级单位、县（区）签订《密码安全保密责任书》《密码安全保密承诺书》；为</w:t>
      </w:r>
      <w:r>
        <w:rPr>
          <w:rFonts w:eastAsia="仿宋"/>
          <w:sz w:val="32"/>
          <w:szCs w:val="32"/>
        </w:rPr>
        <w:t>9</w:t>
      </w:r>
      <w:r>
        <w:rPr>
          <w:rFonts w:hAnsi="仿宋" w:eastAsia="仿宋"/>
          <w:sz w:val="32"/>
          <w:szCs w:val="32"/>
        </w:rPr>
        <w:t>个使用普通密码部门（单位）建立管理人员和设备档案台账，推动全市密码部门业务区</w:t>
      </w:r>
      <w:r>
        <w:rPr>
          <w:rFonts w:eastAsia="仿宋"/>
          <w:sz w:val="32"/>
          <w:szCs w:val="32"/>
        </w:rPr>
        <w:t>“</w:t>
      </w:r>
      <w:r>
        <w:rPr>
          <w:rFonts w:hAnsi="仿宋" w:eastAsia="仿宋"/>
          <w:sz w:val="32"/>
          <w:szCs w:val="32"/>
        </w:rPr>
        <w:t>三铁四器</w:t>
      </w:r>
      <w:r>
        <w:rPr>
          <w:rFonts w:eastAsia="仿宋"/>
          <w:sz w:val="32"/>
          <w:szCs w:val="32"/>
        </w:rPr>
        <w:t>”</w:t>
      </w:r>
      <w:r>
        <w:rPr>
          <w:rFonts w:hAnsi="仿宋" w:eastAsia="仿宋"/>
          <w:sz w:val="32"/>
          <w:szCs w:val="32"/>
        </w:rPr>
        <w:t>配置到位；加快推进电子政务内网建设，多次召开领导小组会、工作推进会，及时研究、解决工作推进的困难问题，统筹推进电子政务内网骨干网络传输链路建设、普通密码设备采购及列装等，配合完成省委办公厅会议管理系统在我市试运行。</w:t>
      </w:r>
    </w:p>
    <w:p>
      <w:pPr>
        <w:snapToGrid w:val="0"/>
        <w:spacing w:line="600" w:lineRule="exact"/>
        <w:ind w:firstLine="640" w:firstLineChars="200"/>
        <w:rPr>
          <w:rFonts w:eastAsia="仿宋"/>
          <w:sz w:val="32"/>
          <w:szCs w:val="32"/>
        </w:rPr>
      </w:pPr>
      <w:r>
        <w:rPr>
          <w:rFonts w:hAnsi="仿宋" w:eastAsia="仿宋"/>
          <w:sz w:val="32"/>
          <w:szCs w:val="32"/>
        </w:rPr>
        <w:t>八是强化服务保障，树好形象窗口。聚焦科学化、制度化、规范化，修订完善《会务管理制度》《干部职工请销假管理规定》《进一步规范干部职工培训工作的通知》等</w:t>
      </w:r>
      <w:r>
        <w:rPr>
          <w:rFonts w:eastAsia="仿宋"/>
          <w:sz w:val="32"/>
          <w:szCs w:val="32"/>
        </w:rPr>
        <w:t>28</w:t>
      </w:r>
      <w:r>
        <w:rPr>
          <w:rFonts w:hAnsi="仿宋" w:eastAsia="仿宋"/>
          <w:sz w:val="32"/>
          <w:szCs w:val="32"/>
        </w:rPr>
        <w:t>项内部管理制度，同时，严格执行印章使用登记办法，进一步规范涉密文件收文登记、文件传阅，切实提高内部运行管理水平；严格落实安全生产、环境保护和生态文明建设、社会稳定责任，扎实开展安全大检查，细致做好群众信访工作。</w:t>
      </w:r>
    </w:p>
    <w:p>
      <w:pPr>
        <w:snapToGrid w:val="0"/>
        <w:spacing w:line="600" w:lineRule="exact"/>
        <w:ind w:firstLine="640" w:firstLineChars="200"/>
        <w:rPr>
          <w:rFonts w:eastAsia="仿宋"/>
          <w:sz w:val="32"/>
          <w:szCs w:val="32"/>
        </w:rPr>
      </w:pPr>
      <w:r>
        <w:rPr>
          <w:rFonts w:eastAsia="仿宋"/>
          <w:sz w:val="32"/>
          <w:szCs w:val="32"/>
        </w:rPr>
        <w:t>2.</w:t>
      </w:r>
      <w:r>
        <w:rPr>
          <w:rFonts w:hAnsi="仿宋" w:eastAsia="仿宋"/>
          <w:sz w:val="32"/>
          <w:szCs w:val="32"/>
        </w:rPr>
        <w:t>市委党史研究室工作开展情况。</w:t>
      </w:r>
    </w:p>
    <w:p>
      <w:pPr>
        <w:spacing w:line="600" w:lineRule="exact"/>
        <w:ind w:firstLine="640" w:firstLineChars="200"/>
        <w:rPr>
          <w:rFonts w:eastAsia="仿宋"/>
          <w:sz w:val="32"/>
          <w:szCs w:val="32"/>
        </w:rPr>
      </w:pPr>
      <w:r>
        <w:rPr>
          <w:rFonts w:hAnsi="仿宋" w:eastAsia="仿宋"/>
          <w:sz w:val="32"/>
          <w:szCs w:val="32"/>
        </w:rPr>
        <w:t>一是抓好相关书籍、刊物的编纂出版工作。继续编纂《中国共产党攀枝花历史（</w:t>
      </w:r>
      <w:r>
        <w:rPr>
          <w:rFonts w:eastAsia="仿宋"/>
          <w:sz w:val="32"/>
          <w:szCs w:val="32"/>
        </w:rPr>
        <w:t>1978—2002</w:t>
      </w:r>
      <w:r>
        <w:rPr>
          <w:rFonts w:hAnsi="仿宋" w:eastAsia="仿宋"/>
          <w:sz w:val="32"/>
          <w:szCs w:val="32"/>
        </w:rPr>
        <w:t>）》，督促和指导县（区）的党史地方基本著作的编写，完成《中国共产党攀枝花市东区历史》的指导和审读工作；编纂出版《中国共产党攀枝花执政实录》（</w:t>
      </w:r>
      <w:r>
        <w:rPr>
          <w:rFonts w:eastAsia="仿宋"/>
          <w:sz w:val="32"/>
          <w:szCs w:val="32"/>
        </w:rPr>
        <w:t>2017</w:t>
      </w:r>
      <w:r>
        <w:rPr>
          <w:rFonts w:hAnsi="仿宋" w:eastAsia="仿宋"/>
          <w:sz w:val="32"/>
          <w:szCs w:val="32"/>
        </w:rPr>
        <w:t>卷）、《三线建设在四川</w:t>
      </w:r>
      <w:r>
        <w:rPr>
          <w:rFonts w:eastAsia="仿宋"/>
          <w:sz w:val="32"/>
          <w:szCs w:val="32"/>
        </w:rPr>
        <w:t>——</w:t>
      </w:r>
      <w:r>
        <w:rPr>
          <w:rFonts w:hAnsi="仿宋" w:eastAsia="仿宋"/>
          <w:sz w:val="32"/>
          <w:szCs w:val="32"/>
        </w:rPr>
        <w:t>攀枝花卷》；办好市委机关刊物《攀枝花纪事》，该刊全年出版</w:t>
      </w:r>
      <w:r>
        <w:rPr>
          <w:rFonts w:eastAsia="仿宋"/>
          <w:sz w:val="32"/>
          <w:szCs w:val="32"/>
        </w:rPr>
        <w:t>6</w:t>
      </w:r>
      <w:r>
        <w:rPr>
          <w:rFonts w:hAnsi="仿宋" w:eastAsia="仿宋"/>
          <w:sz w:val="32"/>
          <w:szCs w:val="32"/>
        </w:rPr>
        <w:t>期，每期</w:t>
      </w:r>
      <w:r>
        <w:rPr>
          <w:rFonts w:eastAsia="仿宋"/>
          <w:sz w:val="32"/>
          <w:szCs w:val="32"/>
        </w:rPr>
        <w:t>20</w:t>
      </w:r>
      <w:r>
        <w:rPr>
          <w:rFonts w:hAnsi="仿宋" w:eastAsia="仿宋"/>
          <w:sz w:val="32"/>
          <w:szCs w:val="32"/>
        </w:rPr>
        <w:t>万字，</w:t>
      </w:r>
      <w:r>
        <w:rPr>
          <w:rFonts w:eastAsia="仿宋"/>
          <w:sz w:val="32"/>
          <w:szCs w:val="32"/>
        </w:rPr>
        <w:t>6</w:t>
      </w:r>
      <w:r>
        <w:rPr>
          <w:rFonts w:hAnsi="仿宋" w:eastAsia="仿宋"/>
          <w:sz w:val="32"/>
          <w:szCs w:val="32"/>
        </w:rPr>
        <w:t>期约</w:t>
      </w:r>
      <w:r>
        <w:rPr>
          <w:rFonts w:eastAsia="仿宋"/>
          <w:sz w:val="32"/>
          <w:szCs w:val="32"/>
        </w:rPr>
        <w:t>100</w:t>
      </w:r>
      <w:r>
        <w:rPr>
          <w:rFonts w:hAnsi="仿宋" w:eastAsia="仿宋"/>
          <w:sz w:val="32"/>
          <w:szCs w:val="32"/>
        </w:rPr>
        <w:t>万字。</w:t>
      </w:r>
    </w:p>
    <w:p>
      <w:pPr>
        <w:spacing w:line="600" w:lineRule="exact"/>
        <w:ind w:firstLine="640" w:firstLineChars="200"/>
        <w:rPr>
          <w:rFonts w:eastAsia="仿宋"/>
          <w:sz w:val="32"/>
          <w:szCs w:val="32"/>
        </w:rPr>
      </w:pPr>
      <w:r>
        <w:rPr>
          <w:rFonts w:hAnsi="仿宋" w:eastAsia="仿宋"/>
          <w:sz w:val="32"/>
          <w:szCs w:val="32"/>
        </w:rPr>
        <w:t>二是</w:t>
      </w:r>
      <w:r>
        <w:rPr>
          <w:rFonts w:hAnsi="仿宋" w:eastAsia="仿宋"/>
          <w:bCs/>
          <w:sz w:val="32"/>
          <w:szCs w:val="32"/>
        </w:rPr>
        <w:t>完成</w:t>
      </w:r>
      <w:r>
        <w:rPr>
          <w:rFonts w:eastAsia="仿宋"/>
          <w:bCs/>
          <w:sz w:val="32"/>
          <w:szCs w:val="32"/>
        </w:rPr>
        <w:t>2018</w:t>
      </w:r>
      <w:r>
        <w:rPr>
          <w:rFonts w:hAnsi="仿宋" w:eastAsia="仿宋"/>
          <w:bCs/>
          <w:sz w:val="32"/>
          <w:szCs w:val="32"/>
        </w:rPr>
        <w:t>年度《中国共产党攀枝花历史大事记》编修，确保在</w:t>
      </w:r>
      <w:r>
        <w:rPr>
          <w:rFonts w:hAnsi="仿宋" w:eastAsia="仿宋"/>
          <w:sz w:val="32"/>
          <w:szCs w:val="32"/>
        </w:rPr>
        <w:t>市委机关刊物《攀枝花纪事》和攀枝花市电子政务内网门户网站连载。</w:t>
      </w:r>
    </w:p>
    <w:p>
      <w:pPr>
        <w:spacing w:line="600" w:lineRule="exact"/>
        <w:ind w:firstLine="640" w:firstLineChars="200"/>
        <w:rPr>
          <w:rFonts w:eastAsia="仿宋"/>
          <w:sz w:val="32"/>
          <w:szCs w:val="32"/>
        </w:rPr>
      </w:pPr>
      <w:r>
        <w:rPr>
          <w:rFonts w:hAnsi="仿宋" w:eastAsia="仿宋"/>
          <w:sz w:val="32"/>
          <w:szCs w:val="32"/>
        </w:rPr>
        <w:t>三是抓住改革开放</w:t>
      </w:r>
      <w:r>
        <w:rPr>
          <w:rFonts w:eastAsia="仿宋"/>
          <w:sz w:val="32"/>
          <w:szCs w:val="32"/>
        </w:rPr>
        <w:t>40</w:t>
      </w:r>
      <w:r>
        <w:rPr>
          <w:rFonts w:hAnsi="仿宋" w:eastAsia="仿宋"/>
          <w:sz w:val="32"/>
          <w:szCs w:val="32"/>
        </w:rPr>
        <w:t>周年这个时间节点，开展了重点项目、重点领域的口述史征集。收集整理了《钒钛磁铁矿综合利用来龙去脉》《我所亲历的机场建设始末》《攀枝花人创造奇迹</w:t>
      </w:r>
      <w:r>
        <w:rPr>
          <w:rFonts w:eastAsia="仿宋"/>
          <w:sz w:val="32"/>
          <w:szCs w:val="32"/>
        </w:rPr>
        <w:t>——</w:t>
      </w:r>
      <w:r>
        <w:rPr>
          <w:rFonts w:hAnsi="仿宋" w:eastAsia="仿宋"/>
          <w:sz w:val="32"/>
          <w:szCs w:val="32"/>
        </w:rPr>
        <w:t>象牙微雕钢城设计历程》《我所经历的二滩水电站建设》</w:t>
      </w:r>
      <w:r>
        <w:rPr>
          <w:rFonts w:eastAsia="仿宋"/>
          <w:sz w:val="32"/>
          <w:szCs w:val="32"/>
        </w:rPr>
        <w:t>4</w:t>
      </w:r>
      <w:r>
        <w:rPr>
          <w:rFonts w:hAnsi="仿宋" w:eastAsia="仿宋"/>
          <w:sz w:val="32"/>
          <w:szCs w:val="32"/>
        </w:rPr>
        <w:t>个重点口述史，均报送到省委党史研究室，以编纂的《我所亲历的改革开放重大事件》一书，口述史《二滩建设始末》被中央电视台收录；协助市档案局、市政协《市井闲谭》等相关口述史正文的评审和稿件修改工作；协助完成以三线建设为主题的</w:t>
      </w:r>
      <w:r>
        <w:rPr>
          <w:rFonts w:eastAsia="仿宋"/>
          <w:sz w:val="32"/>
          <w:szCs w:val="32"/>
        </w:rPr>
        <w:t>“</w:t>
      </w:r>
      <w:r>
        <w:rPr>
          <w:rFonts w:hAnsi="仿宋" w:eastAsia="仿宋"/>
          <w:sz w:val="32"/>
          <w:szCs w:val="32"/>
        </w:rPr>
        <w:t>三线建设廉洁文化展览</w:t>
      </w:r>
      <w:r>
        <w:rPr>
          <w:rFonts w:eastAsia="仿宋"/>
          <w:sz w:val="32"/>
          <w:szCs w:val="32"/>
        </w:rPr>
        <w:t>”</w:t>
      </w:r>
      <w:r>
        <w:rPr>
          <w:rFonts w:hAnsi="仿宋" w:eastAsia="仿宋"/>
          <w:sz w:val="32"/>
          <w:szCs w:val="32"/>
        </w:rPr>
        <w:t>的部分人物资料的收集整理工作。</w:t>
      </w:r>
    </w:p>
    <w:p>
      <w:pPr>
        <w:spacing w:line="600" w:lineRule="exact"/>
        <w:ind w:firstLine="640" w:firstLineChars="200"/>
        <w:rPr>
          <w:rFonts w:eastAsia="仿宋"/>
          <w:sz w:val="32"/>
          <w:szCs w:val="32"/>
        </w:rPr>
      </w:pPr>
      <w:r>
        <w:rPr>
          <w:rFonts w:hAnsi="仿宋" w:eastAsia="仿宋"/>
          <w:sz w:val="32"/>
          <w:szCs w:val="32"/>
        </w:rPr>
        <w:t>四</w:t>
      </w:r>
      <w:r>
        <w:rPr>
          <w:rFonts w:hAnsi="仿宋" w:eastAsia="仿宋"/>
          <w:bCs/>
          <w:sz w:val="32"/>
          <w:szCs w:val="32"/>
        </w:rPr>
        <w:t>是</w:t>
      </w:r>
      <w:r>
        <w:rPr>
          <w:rFonts w:hAnsi="仿宋" w:eastAsia="仿宋"/>
          <w:sz w:val="32"/>
          <w:szCs w:val="32"/>
        </w:rPr>
        <w:t>配合省委党史研究室搞好省级</w:t>
      </w:r>
      <w:r>
        <w:rPr>
          <w:rFonts w:eastAsia="仿宋"/>
          <w:sz w:val="32"/>
          <w:szCs w:val="32"/>
        </w:rPr>
        <w:t>“</w:t>
      </w:r>
      <w:r>
        <w:rPr>
          <w:rFonts w:hAnsi="仿宋" w:eastAsia="仿宋"/>
          <w:sz w:val="32"/>
          <w:szCs w:val="32"/>
        </w:rPr>
        <w:t>中共党史教育基地</w:t>
      </w:r>
      <w:r>
        <w:rPr>
          <w:rFonts w:eastAsia="仿宋"/>
          <w:sz w:val="32"/>
          <w:szCs w:val="32"/>
        </w:rPr>
        <w:t>”</w:t>
      </w:r>
      <w:r>
        <w:rPr>
          <w:rFonts w:hAnsi="仿宋" w:eastAsia="仿宋"/>
          <w:sz w:val="32"/>
          <w:szCs w:val="32"/>
        </w:rPr>
        <w:t>的复查工作，评定西区河门口街道南街习风园为市级</w:t>
      </w:r>
      <w:r>
        <w:rPr>
          <w:rFonts w:eastAsia="仿宋"/>
          <w:sz w:val="32"/>
          <w:szCs w:val="32"/>
        </w:rPr>
        <w:t>“</w:t>
      </w:r>
      <w:r>
        <w:rPr>
          <w:rFonts w:hAnsi="仿宋" w:eastAsia="仿宋"/>
          <w:sz w:val="32"/>
          <w:szCs w:val="32"/>
        </w:rPr>
        <w:t>中共党史教育基地</w:t>
      </w:r>
      <w:r>
        <w:rPr>
          <w:rFonts w:eastAsia="仿宋"/>
          <w:sz w:val="32"/>
          <w:szCs w:val="32"/>
        </w:rPr>
        <w:t>”</w:t>
      </w:r>
      <w:r>
        <w:rPr>
          <w:rFonts w:hAnsi="仿宋" w:eastAsia="仿宋"/>
          <w:sz w:val="32"/>
          <w:szCs w:val="32"/>
        </w:rPr>
        <w:t>，并在南街社区习风园举行了授牌暨党史书刊赠阅仪式。</w:t>
      </w:r>
    </w:p>
    <w:p>
      <w:pPr>
        <w:snapToGrid w:val="0"/>
        <w:spacing w:line="600" w:lineRule="exact"/>
        <w:ind w:firstLine="640" w:firstLineChars="200"/>
        <w:rPr>
          <w:rFonts w:eastAsia="仿宋"/>
          <w:sz w:val="32"/>
          <w:szCs w:val="32"/>
        </w:rPr>
      </w:pPr>
      <w:r>
        <w:rPr>
          <w:rFonts w:eastAsia="仿宋"/>
          <w:sz w:val="32"/>
          <w:szCs w:val="32"/>
        </w:rPr>
        <w:t>3.</w:t>
      </w:r>
      <w:r>
        <w:rPr>
          <w:rFonts w:hAnsi="仿宋" w:eastAsia="仿宋"/>
          <w:sz w:val="32"/>
          <w:szCs w:val="32"/>
        </w:rPr>
        <w:t>市电子政务办公室工作开展情况。</w:t>
      </w:r>
    </w:p>
    <w:p>
      <w:pPr>
        <w:snapToGrid w:val="0"/>
        <w:spacing w:line="600" w:lineRule="exact"/>
        <w:ind w:firstLine="640" w:firstLineChars="200"/>
        <w:rPr>
          <w:rFonts w:eastAsia="仿宋"/>
          <w:sz w:val="32"/>
          <w:szCs w:val="32"/>
        </w:rPr>
      </w:pPr>
      <w:r>
        <w:rPr>
          <w:rFonts w:hAnsi="仿宋" w:eastAsia="仿宋"/>
          <w:sz w:val="32"/>
          <w:szCs w:val="32"/>
        </w:rPr>
        <w:t>一是深入推进政务信息公开及整合共享工作工作。政府信息公开目录管理系统公开信息</w:t>
      </w:r>
      <w:r>
        <w:rPr>
          <w:rFonts w:eastAsia="仿宋"/>
          <w:sz w:val="32"/>
          <w:szCs w:val="32"/>
        </w:rPr>
        <w:t>14470</w:t>
      </w:r>
      <w:r>
        <w:rPr>
          <w:rFonts w:hAnsi="仿宋" w:eastAsia="仿宋"/>
          <w:sz w:val="32"/>
          <w:szCs w:val="32"/>
        </w:rPr>
        <w:t>条、市政府门户网站共发布信息</w:t>
      </w:r>
      <w:r>
        <w:rPr>
          <w:rFonts w:eastAsia="仿宋"/>
          <w:sz w:val="32"/>
          <w:szCs w:val="32"/>
        </w:rPr>
        <w:t>22454</w:t>
      </w:r>
      <w:r>
        <w:rPr>
          <w:rFonts w:hAnsi="仿宋" w:eastAsia="仿宋"/>
          <w:sz w:val="32"/>
          <w:szCs w:val="32"/>
        </w:rPr>
        <w:t>条，页面浏览量达</w:t>
      </w:r>
      <w:r>
        <w:rPr>
          <w:rFonts w:eastAsia="仿宋"/>
          <w:sz w:val="32"/>
          <w:szCs w:val="32"/>
        </w:rPr>
        <w:t>269.81</w:t>
      </w:r>
      <w:r>
        <w:rPr>
          <w:rFonts w:hAnsi="仿宋" w:eastAsia="仿宋"/>
          <w:sz w:val="32"/>
          <w:szCs w:val="32"/>
        </w:rPr>
        <w:t>万次，网站访客数（</w:t>
      </w:r>
      <w:r>
        <w:rPr>
          <w:rFonts w:eastAsia="仿宋"/>
          <w:sz w:val="32"/>
          <w:szCs w:val="32"/>
        </w:rPr>
        <w:t>UV</w:t>
      </w:r>
      <w:r>
        <w:rPr>
          <w:rFonts w:hAnsi="仿宋" w:eastAsia="仿宋"/>
          <w:sz w:val="32"/>
          <w:szCs w:val="32"/>
        </w:rPr>
        <w:t>）达</w:t>
      </w:r>
      <w:r>
        <w:rPr>
          <w:rFonts w:eastAsia="仿宋"/>
          <w:sz w:val="32"/>
          <w:szCs w:val="32"/>
        </w:rPr>
        <w:t>67.5</w:t>
      </w:r>
      <w:r>
        <w:rPr>
          <w:rFonts w:hAnsi="仿宋" w:eastAsia="仿宋"/>
          <w:sz w:val="32"/>
          <w:szCs w:val="32"/>
        </w:rPr>
        <w:t>万人，市政府门户网站已成为外界了解攀枝花的主要窗口；制定了《</w:t>
      </w:r>
      <w:r>
        <w:rPr>
          <w:rFonts w:eastAsia="仿宋"/>
          <w:sz w:val="32"/>
          <w:szCs w:val="32"/>
        </w:rPr>
        <w:t>2018</w:t>
      </w:r>
      <w:r>
        <w:rPr>
          <w:rFonts w:hAnsi="仿宋" w:eastAsia="仿宋"/>
          <w:sz w:val="32"/>
          <w:szCs w:val="32"/>
        </w:rPr>
        <w:t>年全市政务信息系统整合共享工作重点任务》；完成《攀枝花市政务信息资源共享平台建设方案》编制，并通过省发展改革委评审；配合市政务服务中心推进全省一体化政务服务平台的应用工作，做好平台的技术支撑和保障；配合市发展改革委共同推进全市信用体系建设，</w:t>
      </w:r>
      <w:r>
        <w:rPr>
          <w:rFonts w:eastAsia="仿宋"/>
          <w:sz w:val="32"/>
          <w:szCs w:val="32"/>
        </w:rPr>
        <w:t>2018</w:t>
      </w:r>
      <w:r>
        <w:rPr>
          <w:rFonts w:hAnsi="仿宋" w:eastAsia="仿宋"/>
          <w:sz w:val="32"/>
          <w:szCs w:val="32"/>
        </w:rPr>
        <w:t>年，完成信用体系平台建设、省级及以上数据归集工作；根据省政府工作要求，启动全市政府网站集约化建设工作；编制完成《攀枝花市政府网站集约化建设工作方案》《攀枝花市政府网站集约化建设技术方案》，制定了《攀枝花市政府网站集约化建设项目采购工作方案》，明确了集约化建设模式与经费分担比例。</w:t>
      </w:r>
    </w:p>
    <w:p>
      <w:pPr>
        <w:snapToGrid w:val="0"/>
        <w:spacing w:line="600" w:lineRule="exact"/>
        <w:ind w:firstLine="640" w:firstLineChars="200"/>
        <w:rPr>
          <w:rFonts w:eastAsia="仿宋"/>
          <w:sz w:val="32"/>
          <w:szCs w:val="32"/>
        </w:rPr>
      </w:pPr>
      <w:r>
        <w:rPr>
          <w:rFonts w:hAnsi="仿宋" w:eastAsia="仿宋"/>
          <w:sz w:val="32"/>
          <w:szCs w:val="32"/>
        </w:rPr>
        <w:t>二是优化完善电子政务基础设施。按照省委省政府的决策部署，继续推进全市电子政务内网基础设施建设；组织开展市电子政务外网机房维修改造工作；按照省政府统一部署，完成省到市电子政务外网骨干网络的升级改造任务，由原有的</w:t>
      </w:r>
      <w:r>
        <w:rPr>
          <w:rFonts w:eastAsia="仿宋"/>
          <w:sz w:val="32"/>
          <w:szCs w:val="32"/>
        </w:rPr>
        <w:t>1</w:t>
      </w:r>
      <w:r>
        <w:rPr>
          <w:rFonts w:hAnsi="仿宋" w:eastAsia="仿宋"/>
          <w:sz w:val="32"/>
          <w:szCs w:val="32"/>
        </w:rPr>
        <w:t>主</w:t>
      </w:r>
      <w:r>
        <w:rPr>
          <w:rFonts w:eastAsia="仿宋"/>
          <w:sz w:val="32"/>
          <w:szCs w:val="32"/>
        </w:rPr>
        <w:t>1</w:t>
      </w:r>
      <w:r>
        <w:rPr>
          <w:rFonts w:hAnsi="仿宋" w:eastAsia="仿宋"/>
          <w:sz w:val="32"/>
          <w:szCs w:val="32"/>
        </w:rPr>
        <w:t>备线路升级改造为</w:t>
      </w:r>
      <w:r>
        <w:rPr>
          <w:rFonts w:eastAsia="仿宋"/>
          <w:sz w:val="32"/>
          <w:szCs w:val="32"/>
        </w:rPr>
        <w:t>3</w:t>
      </w:r>
      <w:r>
        <w:rPr>
          <w:rFonts w:hAnsi="仿宋" w:eastAsia="仿宋"/>
          <w:sz w:val="32"/>
          <w:szCs w:val="32"/>
        </w:rPr>
        <w:t>条线路互为备份，带宽由</w:t>
      </w:r>
      <w:r>
        <w:rPr>
          <w:rFonts w:eastAsia="仿宋"/>
          <w:sz w:val="32"/>
          <w:szCs w:val="32"/>
        </w:rPr>
        <w:t>155M</w:t>
      </w:r>
      <w:r>
        <w:rPr>
          <w:rFonts w:hAnsi="仿宋" w:eastAsia="仿宋"/>
          <w:sz w:val="32"/>
          <w:szCs w:val="32"/>
        </w:rPr>
        <w:t>升级为</w:t>
      </w:r>
      <w:r>
        <w:rPr>
          <w:rFonts w:eastAsia="仿宋"/>
          <w:sz w:val="32"/>
          <w:szCs w:val="32"/>
        </w:rPr>
        <w:t>1000M</w:t>
      </w:r>
      <w:r>
        <w:rPr>
          <w:rFonts w:hAnsi="仿宋" w:eastAsia="仿宋"/>
          <w:sz w:val="32"/>
          <w:szCs w:val="32"/>
        </w:rPr>
        <w:t>；编制完成《攀枝花市电子政务外网国产密码算法升级方案》，明确了本地区</w:t>
      </w:r>
      <w:r>
        <w:rPr>
          <w:rFonts w:eastAsia="仿宋"/>
          <w:sz w:val="32"/>
          <w:szCs w:val="32"/>
        </w:rPr>
        <w:t>RA</w:t>
      </w:r>
      <w:r>
        <w:rPr>
          <w:rFonts w:hAnsi="仿宋" w:eastAsia="仿宋"/>
          <w:sz w:val="32"/>
          <w:szCs w:val="32"/>
        </w:rPr>
        <w:t>系统国产密码算法升级工作实施计划与时间安排。</w:t>
      </w:r>
    </w:p>
    <w:p>
      <w:pPr>
        <w:snapToGrid w:val="0"/>
        <w:spacing w:line="600" w:lineRule="exact"/>
        <w:ind w:firstLine="640" w:firstLineChars="200"/>
        <w:rPr>
          <w:rFonts w:eastAsia="仿宋"/>
          <w:sz w:val="32"/>
          <w:szCs w:val="32"/>
        </w:rPr>
      </w:pPr>
      <w:r>
        <w:rPr>
          <w:rFonts w:hAnsi="仿宋" w:eastAsia="仿宋"/>
          <w:sz w:val="32"/>
          <w:szCs w:val="32"/>
        </w:rPr>
        <w:t>三是推进电子政务服务与应用系统建设。依托电子政务内网，组织开展了全市电子政务内网门户网站和应用系统项目建设；依托全市协同办公平台，完成移动办公系统的升级改造和无纸化原笔迹签批功能的开发设计工作（</w:t>
      </w:r>
      <w:r>
        <w:rPr>
          <w:rFonts w:eastAsia="仿宋"/>
          <w:sz w:val="32"/>
          <w:szCs w:val="32"/>
        </w:rPr>
        <w:t>2018</w:t>
      </w:r>
      <w:r>
        <w:rPr>
          <w:rFonts w:hAnsi="仿宋" w:eastAsia="仿宋"/>
          <w:sz w:val="32"/>
          <w:szCs w:val="32"/>
        </w:rPr>
        <w:t>年，全市协同办公平台发送公文</w:t>
      </w:r>
      <w:r>
        <w:rPr>
          <w:rFonts w:eastAsia="仿宋"/>
          <w:sz w:val="32"/>
          <w:szCs w:val="32"/>
        </w:rPr>
        <w:t>55.12</w:t>
      </w:r>
      <w:r>
        <w:rPr>
          <w:rFonts w:hAnsi="仿宋" w:eastAsia="仿宋"/>
          <w:sz w:val="32"/>
          <w:szCs w:val="32"/>
        </w:rPr>
        <w:t>万份，接收公文</w:t>
      </w:r>
      <w:r>
        <w:rPr>
          <w:rFonts w:eastAsia="仿宋"/>
          <w:sz w:val="32"/>
          <w:szCs w:val="32"/>
        </w:rPr>
        <w:t>551.09</w:t>
      </w:r>
      <w:r>
        <w:rPr>
          <w:rFonts w:hAnsi="仿宋" w:eastAsia="仿宋"/>
          <w:sz w:val="32"/>
          <w:szCs w:val="32"/>
        </w:rPr>
        <w:t>万份，发送短信</w:t>
      </w:r>
      <w:r>
        <w:rPr>
          <w:rFonts w:eastAsia="仿宋"/>
          <w:sz w:val="32"/>
          <w:szCs w:val="32"/>
        </w:rPr>
        <w:t>273.47</w:t>
      </w:r>
      <w:r>
        <w:rPr>
          <w:rFonts w:hAnsi="仿宋" w:eastAsia="仿宋"/>
          <w:sz w:val="32"/>
          <w:szCs w:val="32"/>
        </w:rPr>
        <w:t>万条）。</w:t>
      </w:r>
    </w:p>
    <w:p>
      <w:pPr>
        <w:pStyle w:val="5"/>
        <w:adjustRightInd w:val="0"/>
        <w:snapToGrid w:val="0"/>
        <w:spacing w:before="93" w:line="600" w:lineRule="exact"/>
        <w:ind w:firstLine="672" w:firstLineChars="210"/>
        <w:outlineLvl w:val="2"/>
        <w:rPr>
          <w:rFonts w:ascii="Times New Roman" w:eastAsia="仿宋"/>
          <w:bCs/>
          <w:color w:val="000000"/>
          <w:sz w:val="32"/>
          <w:szCs w:val="32"/>
        </w:rPr>
      </w:pPr>
      <w:r>
        <w:rPr>
          <w:rFonts w:ascii="Times New Roman" w:hAnsi="仿宋" w:eastAsia="仿宋"/>
          <w:sz w:val="32"/>
          <w:szCs w:val="32"/>
        </w:rPr>
        <w:t>四是继续加强网络与信息安全保障工作。严格落实各项网络与信息安全规章制度，加强服务器巡检，强化网上巡网，执行机房</w:t>
      </w:r>
      <w:r>
        <w:rPr>
          <w:rFonts w:ascii="Times New Roman" w:eastAsia="仿宋"/>
          <w:sz w:val="32"/>
          <w:szCs w:val="32"/>
        </w:rPr>
        <w:t>7×24</w:t>
      </w:r>
      <w:r>
        <w:rPr>
          <w:rFonts w:ascii="Times New Roman" w:hAnsi="仿宋" w:eastAsia="仿宋"/>
          <w:sz w:val="32"/>
          <w:szCs w:val="32"/>
        </w:rPr>
        <w:t>小时值班制度，确保全年无重大安全事故发生。</w:t>
      </w:r>
    </w:p>
    <w:p>
      <w:pPr>
        <w:pStyle w:val="3"/>
        <w:spacing w:line="600" w:lineRule="exact"/>
        <w:ind w:firstLine="640" w:firstLineChars="200"/>
        <w:rPr>
          <w:rStyle w:val="25"/>
          <w:rFonts w:ascii="Times New Roman" w:hAnsi="Times New Roman" w:cs="Times New Roman"/>
          <w:b w:val="0"/>
          <w:bCs w:val="0"/>
        </w:rPr>
      </w:pPr>
      <w:bookmarkStart w:id="20" w:name="_Toc15396601"/>
      <w:bookmarkStart w:id="21" w:name="_Toc15377200"/>
      <w:r>
        <w:rPr>
          <w:rFonts w:ascii="Times New Roman" w:hAnsi="Times New Roman" w:eastAsia="黑体" w:cs="Times New Roman"/>
          <w:b w:val="0"/>
          <w:color w:val="000000"/>
        </w:rPr>
        <w:t>二、</w:t>
      </w:r>
      <w:r>
        <w:rPr>
          <w:rFonts w:ascii="Times New Roman" w:hAnsi="黑体" w:eastAsia="黑体" w:cs="Times New Roman"/>
          <w:b w:val="0"/>
          <w:color w:val="000000"/>
        </w:rPr>
        <w:t>机</w:t>
      </w:r>
      <w:r>
        <w:rPr>
          <w:rStyle w:val="25"/>
          <w:rFonts w:ascii="Times New Roman" w:hAnsi="黑体" w:eastAsia="黑体" w:cs="Times New Roman"/>
          <w:b w:val="0"/>
          <w:bCs w:val="0"/>
        </w:rPr>
        <w:t>构设置</w:t>
      </w:r>
      <w:bookmarkEnd w:id="20"/>
      <w:bookmarkEnd w:id="21"/>
    </w:p>
    <w:p>
      <w:pPr>
        <w:spacing w:line="600" w:lineRule="exact"/>
        <w:ind w:firstLine="800" w:firstLineChars="250"/>
        <w:rPr>
          <w:rFonts w:eastAsia="仿宋"/>
          <w:sz w:val="32"/>
          <w:szCs w:val="32"/>
        </w:rPr>
      </w:pPr>
      <w:r>
        <w:rPr>
          <w:rFonts w:hAnsi="仿宋" w:eastAsia="仿宋"/>
          <w:sz w:val="32"/>
          <w:szCs w:val="32"/>
        </w:rPr>
        <w:t>市委办公室下属二级预算单位</w:t>
      </w:r>
      <w:r>
        <w:rPr>
          <w:rFonts w:eastAsia="仿宋"/>
          <w:sz w:val="32"/>
          <w:szCs w:val="32"/>
        </w:rPr>
        <w:t>2</w:t>
      </w:r>
      <w:r>
        <w:rPr>
          <w:rFonts w:hAnsi="仿宋" w:eastAsia="仿宋"/>
          <w:sz w:val="32"/>
          <w:szCs w:val="32"/>
        </w:rPr>
        <w:t>个，（市委党史政策研究室、电子政务办公室）参照公务员法管理的事业单位，</w:t>
      </w:r>
      <w:r>
        <w:rPr>
          <w:rFonts w:hint="eastAsia" w:hAnsi="仿宋" w:eastAsia="仿宋"/>
          <w:sz w:val="32"/>
          <w:szCs w:val="32"/>
        </w:rPr>
        <w:t>代</w:t>
      </w:r>
      <w:r>
        <w:rPr>
          <w:rFonts w:hAnsi="仿宋" w:eastAsia="仿宋"/>
          <w:sz w:val="32"/>
          <w:szCs w:val="32"/>
        </w:rPr>
        <w:t>管帐单位</w:t>
      </w:r>
      <w:r>
        <w:rPr>
          <w:rFonts w:eastAsia="仿宋"/>
          <w:sz w:val="32"/>
          <w:szCs w:val="32"/>
        </w:rPr>
        <w:t>2</w:t>
      </w:r>
      <w:r>
        <w:rPr>
          <w:rFonts w:hAnsi="仿宋" w:eastAsia="仿宋"/>
          <w:sz w:val="32"/>
          <w:szCs w:val="32"/>
        </w:rPr>
        <w:t>个，（市委台办、市委侨联）。</w:t>
      </w:r>
    </w:p>
    <w:p>
      <w:pPr>
        <w:pStyle w:val="5"/>
        <w:adjustRightInd w:val="0"/>
        <w:snapToGrid w:val="0"/>
        <w:spacing w:before="93" w:line="600" w:lineRule="exact"/>
        <w:ind w:firstLine="672" w:firstLineChars="210"/>
        <w:rPr>
          <w:rFonts w:ascii="Times New Roman" w:eastAsia="仿宋"/>
          <w:sz w:val="32"/>
          <w:szCs w:val="32"/>
        </w:rPr>
      </w:pPr>
      <w:r>
        <w:rPr>
          <w:rFonts w:ascii="Times New Roman" w:hAnsi="仿宋" w:eastAsia="仿宋"/>
          <w:color w:val="000000"/>
          <w:sz w:val="32"/>
          <w:szCs w:val="32"/>
        </w:rPr>
        <w:t>纳入</w:t>
      </w:r>
      <w:r>
        <w:rPr>
          <w:rFonts w:ascii="Times New Roman" w:hAnsi="仿宋" w:eastAsia="仿宋"/>
          <w:sz w:val="32"/>
          <w:szCs w:val="32"/>
        </w:rPr>
        <w:t>市委办公室</w:t>
      </w:r>
      <w:r>
        <w:rPr>
          <w:rFonts w:ascii="Times New Roman" w:eastAsia="仿宋"/>
          <w:color w:val="000000"/>
          <w:sz w:val="32"/>
          <w:szCs w:val="32"/>
        </w:rPr>
        <w:t>2018</w:t>
      </w:r>
      <w:r>
        <w:rPr>
          <w:rFonts w:ascii="Times New Roman" w:hAnsi="仿宋" w:eastAsia="仿宋"/>
          <w:color w:val="000000"/>
          <w:sz w:val="32"/>
          <w:szCs w:val="32"/>
        </w:rPr>
        <w:t>年度部门决算编制范围的二级预算单位包括：</w:t>
      </w:r>
      <w:r>
        <w:rPr>
          <w:rFonts w:ascii="Times New Roman" w:hAnsi="仿宋" w:eastAsia="仿宋"/>
          <w:sz w:val="32"/>
          <w:szCs w:val="32"/>
        </w:rPr>
        <w:t>市委党史政策研究室、电子政务办公室。</w:t>
      </w:r>
    </w:p>
    <w:p>
      <w:pPr>
        <w:pStyle w:val="5"/>
        <w:adjustRightInd w:val="0"/>
        <w:snapToGrid w:val="0"/>
        <w:spacing w:before="93" w:line="600" w:lineRule="exact"/>
        <w:ind w:firstLine="672" w:firstLineChars="210"/>
        <w:rPr>
          <w:rFonts w:ascii="Times New Roman" w:eastAsia="仿宋"/>
          <w:sz w:val="32"/>
          <w:szCs w:val="32"/>
        </w:rPr>
      </w:pPr>
    </w:p>
    <w:p>
      <w:pPr>
        <w:pStyle w:val="5"/>
        <w:adjustRightInd w:val="0"/>
        <w:snapToGrid w:val="0"/>
        <w:spacing w:before="93" w:line="600" w:lineRule="exact"/>
        <w:ind w:firstLine="672" w:firstLineChars="210"/>
        <w:rPr>
          <w:rFonts w:ascii="Times New Roman" w:eastAsia="仿宋"/>
          <w:sz w:val="32"/>
          <w:szCs w:val="32"/>
        </w:rPr>
      </w:pPr>
    </w:p>
    <w:p>
      <w:pPr>
        <w:pStyle w:val="5"/>
        <w:adjustRightInd w:val="0"/>
        <w:snapToGrid w:val="0"/>
        <w:spacing w:before="93" w:line="600" w:lineRule="exact"/>
        <w:ind w:firstLine="672" w:firstLineChars="210"/>
        <w:rPr>
          <w:rFonts w:ascii="Times New Roman" w:eastAsia="仿宋"/>
          <w:sz w:val="32"/>
          <w:szCs w:val="32"/>
        </w:rPr>
      </w:pPr>
    </w:p>
    <w:p>
      <w:pPr>
        <w:pStyle w:val="5"/>
        <w:adjustRightInd w:val="0"/>
        <w:snapToGrid w:val="0"/>
        <w:spacing w:before="93" w:line="600" w:lineRule="exact"/>
        <w:ind w:firstLine="672" w:firstLineChars="210"/>
        <w:rPr>
          <w:rFonts w:ascii="Times New Roman" w:eastAsia="仿宋"/>
          <w:sz w:val="32"/>
          <w:szCs w:val="32"/>
        </w:rPr>
      </w:pPr>
    </w:p>
    <w:p>
      <w:pPr>
        <w:pStyle w:val="5"/>
        <w:adjustRightInd w:val="0"/>
        <w:snapToGrid w:val="0"/>
        <w:spacing w:before="93" w:line="600" w:lineRule="exact"/>
        <w:ind w:firstLine="672" w:firstLineChars="210"/>
        <w:rPr>
          <w:rFonts w:ascii="Times New Roman" w:eastAsia="仿宋"/>
          <w:sz w:val="32"/>
          <w:szCs w:val="32"/>
        </w:rPr>
      </w:pPr>
    </w:p>
    <w:p>
      <w:pPr>
        <w:pStyle w:val="2"/>
        <w:spacing w:line="540" w:lineRule="exact"/>
        <w:ind w:right="440"/>
        <w:jc w:val="right"/>
        <w:rPr>
          <w:rStyle w:val="24"/>
          <w:rFonts w:eastAsia="黑体"/>
          <w:b w:val="0"/>
          <w:bCs w:val="0"/>
        </w:rPr>
      </w:pPr>
      <w:bookmarkStart w:id="22" w:name="_Toc15396602"/>
      <w:bookmarkStart w:id="23" w:name="_Toc15377204"/>
      <w:r>
        <w:rPr>
          <w:rFonts w:hAnsi="黑体" w:eastAsia="黑体"/>
          <w:b w:val="0"/>
          <w:color w:val="000000"/>
        </w:rPr>
        <w:t>第二部分</w:t>
      </w:r>
      <w:r>
        <w:rPr>
          <w:rStyle w:val="24"/>
          <w:rFonts w:eastAsia="黑体"/>
          <w:b w:val="0"/>
          <w:bCs w:val="0"/>
        </w:rPr>
        <w:t>2018</w:t>
      </w:r>
      <w:r>
        <w:rPr>
          <w:rStyle w:val="24"/>
          <w:rFonts w:hAnsi="黑体" w:eastAsia="黑体"/>
          <w:b w:val="0"/>
          <w:bCs w:val="0"/>
        </w:rPr>
        <w:t>年度部门决算情况说明</w:t>
      </w:r>
      <w:bookmarkEnd w:id="22"/>
      <w:bookmarkEnd w:id="23"/>
    </w:p>
    <w:p>
      <w:pPr>
        <w:spacing w:line="540" w:lineRule="exact"/>
      </w:pPr>
    </w:p>
    <w:p>
      <w:pPr>
        <w:pStyle w:val="23"/>
        <w:numPr>
          <w:ilvl w:val="0"/>
          <w:numId w:val="1"/>
        </w:numPr>
        <w:spacing w:line="540" w:lineRule="exact"/>
        <w:ind w:firstLineChars="0"/>
        <w:outlineLvl w:val="1"/>
        <w:rPr>
          <w:rStyle w:val="25"/>
          <w:rFonts w:ascii="Times New Roman" w:hAnsi="Times New Roman" w:eastAsia="黑体" w:cs="Times New Roman"/>
          <w:b w:val="0"/>
        </w:rPr>
      </w:pPr>
      <w:bookmarkStart w:id="24" w:name="_Toc15377205"/>
      <w:bookmarkStart w:id="25" w:name="_Toc15396603"/>
      <w:r>
        <w:rPr>
          <w:rFonts w:hAnsi="黑体" w:eastAsia="黑体"/>
          <w:color w:val="000000"/>
          <w:sz w:val="32"/>
          <w:szCs w:val="32"/>
        </w:rPr>
        <w:t>收</w:t>
      </w:r>
      <w:r>
        <w:rPr>
          <w:rStyle w:val="25"/>
          <w:rFonts w:ascii="Times New Roman" w:hAnsi="黑体" w:eastAsia="黑体" w:cs="Times New Roman"/>
          <w:b w:val="0"/>
        </w:rPr>
        <w:t>入支出决算总体情况说明</w:t>
      </w:r>
      <w:bookmarkEnd w:id="24"/>
      <w:bookmarkEnd w:id="25"/>
    </w:p>
    <w:p>
      <w:pPr>
        <w:spacing w:line="540" w:lineRule="exact"/>
        <w:ind w:firstLine="640" w:firstLineChars="200"/>
        <w:rPr>
          <w:rFonts w:eastAsia="仿宋"/>
          <w:color w:val="000000"/>
          <w:sz w:val="32"/>
          <w:szCs w:val="32"/>
        </w:rPr>
      </w:pPr>
      <w:r>
        <w:rPr>
          <w:rFonts w:hAnsi="仿宋" w:eastAsia="仿宋"/>
          <w:color w:val="000000"/>
          <w:sz w:val="32"/>
          <w:szCs w:val="32"/>
        </w:rPr>
        <w:t>市委办公室</w:t>
      </w:r>
      <w:r>
        <w:rPr>
          <w:rFonts w:eastAsia="仿宋"/>
          <w:color w:val="000000"/>
          <w:sz w:val="32"/>
          <w:szCs w:val="32"/>
        </w:rPr>
        <w:t>2018</w:t>
      </w:r>
      <w:r>
        <w:rPr>
          <w:rFonts w:hAnsi="仿宋" w:eastAsia="仿宋"/>
          <w:color w:val="000000"/>
          <w:sz w:val="32"/>
          <w:szCs w:val="32"/>
        </w:rPr>
        <w:t>年度收入、支出总计</w:t>
      </w:r>
      <w:r>
        <w:rPr>
          <w:rFonts w:eastAsia="仿宋"/>
          <w:color w:val="000000"/>
          <w:sz w:val="32"/>
          <w:szCs w:val="32"/>
        </w:rPr>
        <w:t>4,642.5</w:t>
      </w:r>
      <w:r>
        <w:rPr>
          <w:rFonts w:hAnsi="仿宋" w:eastAsia="仿宋"/>
          <w:color w:val="000000"/>
          <w:sz w:val="32"/>
          <w:szCs w:val="32"/>
        </w:rPr>
        <w:t>万元。与</w:t>
      </w:r>
      <w:r>
        <w:rPr>
          <w:rFonts w:eastAsia="仿宋"/>
          <w:color w:val="000000"/>
          <w:sz w:val="32"/>
          <w:szCs w:val="32"/>
        </w:rPr>
        <w:t>2017</w:t>
      </w:r>
      <w:r>
        <w:rPr>
          <w:rFonts w:hAnsi="仿宋" w:eastAsia="仿宋"/>
          <w:color w:val="000000"/>
          <w:sz w:val="32"/>
          <w:szCs w:val="32"/>
        </w:rPr>
        <w:t>年相比，增加</w:t>
      </w:r>
      <w:r>
        <w:rPr>
          <w:rFonts w:eastAsia="仿宋"/>
          <w:color w:val="000000"/>
          <w:sz w:val="32"/>
          <w:szCs w:val="32"/>
        </w:rPr>
        <w:t>206.4</w:t>
      </w:r>
      <w:r>
        <w:rPr>
          <w:rFonts w:hAnsi="仿宋" w:eastAsia="仿宋"/>
          <w:color w:val="000000"/>
          <w:sz w:val="32"/>
          <w:szCs w:val="32"/>
        </w:rPr>
        <w:t>万元。主要变动原因是为保障全市政府网站集约化建设工作开展，相应增加了部分经费。</w:t>
      </w:r>
    </w:p>
    <w:p>
      <w:pPr>
        <w:spacing w:line="540" w:lineRule="exact"/>
        <w:ind w:firstLine="640" w:firstLineChars="200"/>
        <w:rPr>
          <w:rFonts w:eastAsia="仿宋"/>
          <w:color w:val="000000" w:themeColor="text1"/>
          <w:sz w:val="32"/>
          <w:szCs w:val="32"/>
        </w:rPr>
      </w:pPr>
      <w:r>
        <w:rPr>
          <w:rFonts w:hAnsi="仿宋" w:eastAsia="仿宋"/>
          <w:color w:val="000000" w:themeColor="text1"/>
          <w:sz w:val="32"/>
          <w:szCs w:val="32"/>
        </w:rPr>
        <w:t>图</w:t>
      </w:r>
      <w:r>
        <w:rPr>
          <w:rFonts w:eastAsia="仿宋"/>
          <w:color w:val="000000" w:themeColor="text1"/>
          <w:sz w:val="32"/>
          <w:szCs w:val="32"/>
        </w:rPr>
        <w:t>1</w:t>
      </w:r>
      <w:r>
        <w:rPr>
          <w:rFonts w:hAnsi="仿宋" w:eastAsia="仿宋"/>
          <w:color w:val="000000" w:themeColor="text1"/>
          <w:sz w:val="32"/>
          <w:szCs w:val="32"/>
        </w:rPr>
        <w:t>：收、支决算总计变动情况图</w:t>
      </w:r>
    </w:p>
    <w:p>
      <w:pPr>
        <w:ind w:firstLine="640" w:firstLineChars="200"/>
        <w:jc w:val="left"/>
        <w:rPr>
          <w:rFonts w:eastAsia="仿宋_GB2312"/>
          <w:color w:val="000000"/>
          <w:sz w:val="32"/>
          <w:szCs w:val="32"/>
        </w:rPr>
      </w:pPr>
      <w:r>
        <w:rPr>
          <w:rFonts w:eastAsia="仿宋_GB2312"/>
          <w:color w:val="000000"/>
          <w:sz w:val="32"/>
          <w:szCs w:val="32"/>
        </w:rPr>
        <w:pict>
          <v:shape id="_x0000_s1026" o:spid="_x0000_s1026" o:spt="32" type="#_x0000_t32" style="position:absolute;left:0pt;margin-left:386.25pt;margin-top:29.4pt;height:23.2pt;width:0.75pt;z-index:251658240;mso-width-relative:page;mso-height-relative:page;" o:connectortype="straight" filled="f" coordsize="21600,21600">
            <v:path arrowok="t"/>
            <v:fill on="f" focussize="0,0"/>
            <v:stroke endarrow="block"/>
            <v:imagedata o:title=""/>
            <o:lock v:ext="edit"/>
          </v:shape>
        </w:pict>
      </w:r>
      <w:r>
        <w:rPr>
          <w:rFonts w:eastAsia="仿宋_GB2312"/>
          <w:color w:val="000000"/>
          <w:sz w:val="32"/>
          <w:szCs w:val="32"/>
        </w:rPr>
        <w:pict>
          <v:shape id="_x0000_s1028" o:spid="_x0000_s1028" o:spt="202" type="#_x0000_t202" style="position:absolute;left:0pt;margin-left:371.4pt;margin-top:52.6pt;height:33pt;width:31.5pt;z-index:251660288;mso-width-relative:page;mso-height-relative:page;" filled="f" stroked="f" coordsize="21600,21600">
            <v:path/>
            <v:fill on="f" focussize="0,0"/>
            <v:stroke on="f" joinstyle="miter"/>
            <v:imagedata o:title=""/>
            <o:lock v:ext="edit"/>
            <v:textbox style="layout-flow:vertical-ideographic;">
              <w:txbxContent>
                <w:p>
                  <w:r>
                    <w:rPr>
                      <w:rFonts w:hint="eastAsia"/>
                    </w:rPr>
                    <w:t>206.5</w:t>
                  </w:r>
                </w:p>
              </w:txbxContent>
            </v:textbox>
          </v:shape>
        </w:pict>
      </w:r>
      <w:r>
        <w:rPr>
          <w:rFonts w:eastAsia="仿宋_GB2312"/>
          <w:color w:val="000000"/>
          <w:sz w:val="32"/>
          <w:szCs w:val="32"/>
        </w:rPr>
        <w:pict>
          <v:shape id="_x0000_s1027" o:spid="_x0000_s1027" o:spt="32" type="#_x0000_t32" style="position:absolute;left:0pt;flip:y;margin-left:387pt;margin-top:81.1pt;height:17.25pt;width:0.8pt;z-index:251659264;mso-width-relative:page;mso-height-relative:page;" o:connectortype="straight" filled="f" coordsize="21600,21600">
            <v:path arrowok="t"/>
            <v:fill on="f" focussize="0,0"/>
            <v:stroke endarrow="block"/>
            <v:imagedata o:title=""/>
            <o:lock v:ext="edit"/>
          </v:shape>
        </w:pict>
      </w:r>
      <w:r>
        <w:rPr>
          <w:rFonts w:eastAsia="仿宋_GB2312"/>
          <w:color w:val="000000"/>
          <w:sz w:val="32"/>
          <w:szCs w:val="32"/>
        </w:rPr>
        <w:drawing>
          <wp:inline distT="0" distB="0" distL="0" distR="0">
            <wp:extent cx="4867275" cy="2257425"/>
            <wp:effectExtent l="19050" t="0" r="9525" b="0"/>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pPr>
        <w:pStyle w:val="23"/>
        <w:numPr>
          <w:ilvl w:val="0"/>
          <w:numId w:val="1"/>
        </w:numPr>
        <w:spacing w:line="540" w:lineRule="exact"/>
        <w:ind w:firstLineChars="0"/>
        <w:outlineLvl w:val="1"/>
        <w:rPr>
          <w:rStyle w:val="25"/>
          <w:rFonts w:ascii="Times New Roman" w:hAnsi="Times New Roman" w:eastAsia="黑体" w:cs="Times New Roman"/>
          <w:b w:val="0"/>
        </w:rPr>
      </w:pPr>
      <w:bookmarkStart w:id="26" w:name="_Toc15377206"/>
      <w:bookmarkStart w:id="27" w:name="_Toc15396604"/>
      <w:r>
        <w:rPr>
          <w:rFonts w:hAnsi="黑体" w:eastAsia="黑体"/>
          <w:color w:val="000000"/>
          <w:sz w:val="32"/>
          <w:szCs w:val="32"/>
        </w:rPr>
        <w:t>收</w:t>
      </w:r>
      <w:r>
        <w:rPr>
          <w:rStyle w:val="25"/>
          <w:rFonts w:ascii="Times New Roman" w:hAnsi="黑体" w:eastAsia="黑体" w:cs="Times New Roman"/>
          <w:b w:val="0"/>
        </w:rPr>
        <w:t>入决算情况说明</w:t>
      </w:r>
      <w:bookmarkEnd w:id="26"/>
      <w:bookmarkEnd w:id="27"/>
    </w:p>
    <w:p>
      <w:pPr>
        <w:spacing w:line="540" w:lineRule="exact"/>
        <w:ind w:firstLine="640" w:firstLineChars="200"/>
        <w:outlineLvl w:val="1"/>
        <w:rPr>
          <w:rFonts w:eastAsia="仿宋"/>
          <w:color w:val="000000"/>
          <w:sz w:val="32"/>
          <w:szCs w:val="32"/>
        </w:rPr>
      </w:pPr>
      <w:r>
        <w:rPr>
          <w:rFonts w:eastAsia="仿宋"/>
          <w:color w:val="000000"/>
          <w:sz w:val="32"/>
          <w:szCs w:val="32"/>
        </w:rPr>
        <w:t>2018</w:t>
      </w:r>
      <w:r>
        <w:rPr>
          <w:rFonts w:hAnsi="仿宋" w:eastAsia="仿宋"/>
          <w:color w:val="000000"/>
          <w:sz w:val="32"/>
          <w:szCs w:val="32"/>
        </w:rPr>
        <w:t>年本年收入合计</w:t>
      </w:r>
      <w:r>
        <w:rPr>
          <w:rFonts w:eastAsia="仿宋"/>
          <w:color w:val="000000"/>
          <w:sz w:val="32"/>
          <w:szCs w:val="32"/>
        </w:rPr>
        <w:t>4,580.4</w:t>
      </w:r>
      <w:r>
        <w:rPr>
          <w:rFonts w:hAnsi="仿宋" w:eastAsia="仿宋"/>
          <w:color w:val="000000"/>
          <w:sz w:val="32"/>
          <w:szCs w:val="32"/>
        </w:rPr>
        <w:t>万元，其中：一般公共预算财政拨款收入</w:t>
      </w:r>
      <w:r>
        <w:rPr>
          <w:rFonts w:eastAsia="仿宋"/>
          <w:color w:val="000000"/>
          <w:sz w:val="32"/>
          <w:szCs w:val="32"/>
        </w:rPr>
        <w:t>4,482.9</w:t>
      </w:r>
      <w:r>
        <w:rPr>
          <w:rFonts w:hAnsi="仿宋" w:eastAsia="仿宋"/>
          <w:color w:val="000000"/>
          <w:sz w:val="32"/>
          <w:szCs w:val="32"/>
        </w:rPr>
        <w:t>万元，占</w:t>
      </w:r>
      <w:r>
        <w:rPr>
          <w:rFonts w:eastAsia="仿宋"/>
          <w:color w:val="000000"/>
          <w:sz w:val="32"/>
          <w:szCs w:val="32"/>
        </w:rPr>
        <w:t>97.9%</w:t>
      </w:r>
      <w:r>
        <w:rPr>
          <w:rFonts w:hAnsi="仿宋" w:eastAsia="仿宋"/>
          <w:color w:val="000000"/>
          <w:sz w:val="32"/>
          <w:szCs w:val="32"/>
        </w:rPr>
        <w:t>；其他收入</w:t>
      </w:r>
      <w:r>
        <w:rPr>
          <w:rFonts w:eastAsia="仿宋"/>
          <w:color w:val="000000"/>
          <w:sz w:val="32"/>
          <w:szCs w:val="32"/>
        </w:rPr>
        <w:t>97.5</w:t>
      </w:r>
      <w:r>
        <w:rPr>
          <w:rFonts w:hAnsi="仿宋" w:eastAsia="仿宋"/>
          <w:color w:val="000000"/>
          <w:sz w:val="32"/>
          <w:szCs w:val="32"/>
        </w:rPr>
        <w:t>万元，占</w:t>
      </w:r>
      <w:r>
        <w:rPr>
          <w:rFonts w:eastAsia="仿宋"/>
          <w:color w:val="000000"/>
          <w:sz w:val="32"/>
          <w:szCs w:val="32"/>
        </w:rPr>
        <w:t>2.1%</w:t>
      </w:r>
      <w:r>
        <w:rPr>
          <w:rFonts w:hAnsi="仿宋" w:eastAsia="仿宋"/>
          <w:color w:val="000000"/>
          <w:sz w:val="32"/>
          <w:szCs w:val="32"/>
        </w:rPr>
        <w:t>。</w:t>
      </w:r>
    </w:p>
    <w:p>
      <w:pPr>
        <w:spacing w:line="540" w:lineRule="exact"/>
        <w:ind w:firstLine="640" w:firstLineChars="200"/>
        <w:rPr>
          <w:rFonts w:eastAsia="仿宋"/>
          <w:color w:val="000000" w:themeColor="text1"/>
          <w:sz w:val="32"/>
          <w:szCs w:val="32"/>
        </w:rPr>
      </w:pPr>
      <w:r>
        <w:rPr>
          <w:rFonts w:hAnsi="仿宋" w:eastAsia="仿宋"/>
          <w:color w:val="000000" w:themeColor="text1"/>
          <w:sz w:val="32"/>
          <w:szCs w:val="32"/>
        </w:rPr>
        <w:t>图</w:t>
      </w:r>
      <w:r>
        <w:rPr>
          <w:rFonts w:eastAsia="仿宋"/>
          <w:color w:val="000000" w:themeColor="text1"/>
          <w:sz w:val="32"/>
          <w:szCs w:val="32"/>
        </w:rPr>
        <w:t>2</w:t>
      </w:r>
      <w:r>
        <w:rPr>
          <w:rFonts w:hAnsi="仿宋" w:eastAsia="仿宋"/>
          <w:color w:val="000000" w:themeColor="text1"/>
          <w:sz w:val="32"/>
          <w:szCs w:val="32"/>
        </w:rPr>
        <w:t>：收入决算结构图</w:t>
      </w:r>
    </w:p>
    <w:p>
      <w:pPr>
        <w:ind w:firstLine="640" w:firstLineChars="200"/>
        <w:rPr>
          <w:rFonts w:eastAsia="仿宋_GB2312"/>
          <w:color w:val="FF0000"/>
          <w:sz w:val="32"/>
          <w:szCs w:val="32"/>
        </w:rPr>
      </w:pPr>
      <w:r>
        <w:rPr>
          <w:rFonts w:eastAsia="仿宋_GB2312"/>
          <w:color w:val="FF0000"/>
          <w:sz w:val="32"/>
          <w:szCs w:val="32"/>
        </w:rPr>
        <w:drawing>
          <wp:inline distT="0" distB="0" distL="0" distR="0">
            <wp:extent cx="4924425" cy="1476375"/>
            <wp:effectExtent l="57150" t="19050" r="28575" b="0"/>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pPr>
        <w:pStyle w:val="23"/>
        <w:numPr>
          <w:ilvl w:val="0"/>
          <w:numId w:val="1"/>
        </w:numPr>
        <w:spacing w:line="600" w:lineRule="exact"/>
        <w:ind w:firstLineChars="0"/>
        <w:outlineLvl w:val="1"/>
        <w:rPr>
          <w:rStyle w:val="25"/>
          <w:rFonts w:ascii="Times New Roman" w:hAnsi="Times New Roman" w:eastAsia="黑体" w:cs="Times New Roman"/>
          <w:b w:val="0"/>
        </w:rPr>
      </w:pPr>
      <w:bookmarkStart w:id="28" w:name="_Toc15377207"/>
      <w:bookmarkStart w:id="29" w:name="_Toc15396605"/>
      <w:r>
        <w:rPr>
          <w:rFonts w:hAnsi="黑体" w:eastAsia="黑体"/>
          <w:color w:val="000000"/>
          <w:sz w:val="32"/>
          <w:szCs w:val="32"/>
        </w:rPr>
        <w:t>支</w:t>
      </w:r>
      <w:r>
        <w:rPr>
          <w:rStyle w:val="25"/>
          <w:rFonts w:ascii="Times New Roman" w:hAnsi="黑体" w:eastAsia="黑体" w:cs="Times New Roman"/>
          <w:b w:val="0"/>
        </w:rPr>
        <w:t>出决算情况说明</w:t>
      </w:r>
      <w:bookmarkEnd w:id="28"/>
      <w:bookmarkEnd w:id="29"/>
    </w:p>
    <w:p>
      <w:pPr>
        <w:spacing w:line="600" w:lineRule="exact"/>
        <w:ind w:firstLine="640"/>
        <w:rPr>
          <w:rFonts w:eastAsia="仿宋"/>
          <w:color w:val="000000"/>
          <w:sz w:val="32"/>
          <w:szCs w:val="32"/>
          <w:shd w:val="pct10" w:color="auto" w:fill="FFFFFF"/>
        </w:rPr>
      </w:pPr>
      <w:r>
        <w:rPr>
          <w:rFonts w:eastAsia="仿宋"/>
          <w:color w:val="000000"/>
          <w:sz w:val="32"/>
          <w:szCs w:val="32"/>
        </w:rPr>
        <w:t>2018</w:t>
      </w:r>
      <w:r>
        <w:rPr>
          <w:rFonts w:hAnsi="仿宋" w:eastAsia="仿宋"/>
          <w:color w:val="000000"/>
          <w:sz w:val="32"/>
          <w:szCs w:val="32"/>
        </w:rPr>
        <w:t>年本年支出合计</w:t>
      </w:r>
      <w:r>
        <w:rPr>
          <w:rFonts w:eastAsia="仿宋"/>
          <w:color w:val="000000"/>
          <w:sz w:val="32"/>
          <w:szCs w:val="32"/>
        </w:rPr>
        <w:t>4,622.9</w:t>
      </w:r>
      <w:r>
        <w:rPr>
          <w:rFonts w:hAnsi="仿宋" w:eastAsia="仿宋"/>
          <w:color w:val="000000"/>
          <w:sz w:val="32"/>
          <w:szCs w:val="32"/>
        </w:rPr>
        <w:t>万元，其中：基本支出</w:t>
      </w:r>
      <w:r>
        <w:rPr>
          <w:rFonts w:eastAsia="仿宋"/>
          <w:color w:val="000000"/>
          <w:sz w:val="32"/>
          <w:szCs w:val="32"/>
        </w:rPr>
        <w:t>2,679.1</w:t>
      </w:r>
      <w:r>
        <w:rPr>
          <w:rFonts w:hAnsi="仿宋" w:eastAsia="仿宋"/>
          <w:color w:val="000000"/>
          <w:sz w:val="32"/>
          <w:szCs w:val="32"/>
        </w:rPr>
        <w:t>万元，占</w:t>
      </w:r>
      <w:r>
        <w:rPr>
          <w:rFonts w:eastAsia="仿宋"/>
          <w:color w:val="000000"/>
          <w:sz w:val="32"/>
          <w:szCs w:val="32"/>
        </w:rPr>
        <w:t>58%</w:t>
      </w:r>
      <w:r>
        <w:rPr>
          <w:rFonts w:hAnsi="仿宋" w:eastAsia="仿宋"/>
          <w:color w:val="000000"/>
          <w:sz w:val="32"/>
          <w:szCs w:val="32"/>
        </w:rPr>
        <w:t>；项目支出</w:t>
      </w:r>
      <w:r>
        <w:rPr>
          <w:rFonts w:eastAsia="仿宋"/>
          <w:color w:val="000000"/>
          <w:sz w:val="32"/>
          <w:szCs w:val="32"/>
        </w:rPr>
        <w:t>1,943.8</w:t>
      </w:r>
      <w:r>
        <w:rPr>
          <w:rFonts w:hAnsi="仿宋" w:eastAsia="仿宋"/>
          <w:color w:val="000000"/>
          <w:sz w:val="32"/>
          <w:szCs w:val="32"/>
        </w:rPr>
        <w:t>万元，占</w:t>
      </w:r>
      <w:r>
        <w:rPr>
          <w:rFonts w:eastAsia="仿宋"/>
          <w:color w:val="000000"/>
          <w:sz w:val="32"/>
          <w:szCs w:val="32"/>
        </w:rPr>
        <w:t>42%</w:t>
      </w:r>
      <w:r>
        <w:rPr>
          <w:rFonts w:hAnsi="仿宋" w:eastAsia="仿宋"/>
          <w:color w:val="000000"/>
          <w:sz w:val="32"/>
          <w:szCs w:val="32"/>
        </w:rPr>
        <w:t>。</w:t>
      </w:r>
    </w:p>
    <w:p>
      <w:pPr>
        <w:spacing w:line="600" w:lineRule="exact"/>
        <w:ind w:firstLine="640" w:firstLineChars="200"/>
        <w:rPr>
          <w:rFonts w:eastAsia="仿宋"/>
          <w:color w:val="000000" w:themeColor="text1"/>
          <w:sz w:val="32"/>
          <w:szCs w:val="32"/>
        </w:rPr>
      </w:pPr>
      <w:r>
        <w:rPr>
          <w:rFonts w:hAnsi="仿宋" w:eastAsia="仿宋"/>
          <w:color w:val="000000" w:themeColor="text1"/>
          <w:sz w:val="32"/>
          <w:szCs w:val="32"/>
        </w:rPr>
        <w:t>图</w:t>
      </w:r>
      <w:r>
        <w:rPr>
          <w:rFonts w:eastAsia="仿宋"/>
          <w:color w:val="000000" w:themeColor="text1"/>
          <w:sz w:val="32"/>
          <w:szCs w:val="32"/>
        </w:rPr>
        <w:t>3</w:t>
      </w:r>
      <w:r>
        <w:rPr>
          <w:rFonts w:hAnsi="仿宋" w:eastAsia="仿宋"/>
          <w:color w:val="000000" w:themeColor="text1"/>
          <w:sz w:val="32"/>
          <w:szCs w:val="32"/>
        </w:rPr>
        <w:t>：支出决算结构图</w:t>
      </w:r>
    </w:p>
    <w:p>
      <w:pPr>
        <w:ind w:firstLine="640" w:firstLineChars="200"/>
        <w:rPr>
          <w:rFonts w:eastAsia="仿宋_GB2312"/>
          <w:color w:val="FF0000"/>
          <w:sz w:val="32"/>
          <w:szCs w:val="32"/>
        </w:rPr>
      </w:pPr>
      <w:r>
        <w:rPr>
          <w:rFonts w:eastAsia="仿宋_GB2312"/>
          <w:color w:val="FF0000"/>
          <w:sz w:val="32"/>
          <w:szCs w:val="32"/>
        </w:rPr>
        <w:drawing>
          <wp:inline distT="0" distB="0" distL="0" distR="0">
            <wp:extent cx="4572000" cy="1962150"/>
            <wp:effectExtent l="19050" t="0" r="19050" b="0"/>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pPr>
        <w:spacing w:line="600" w:lineRule="exact"/>
        <w:ind w:firstLine="640" w:firstLineChars="200"/>
        <w:outlineLvl w:val="1"/>
        <w:rPr>
          <w:rStyle w:val="25"/>
          <w:rFonts w:ascii="Times New Roman" w:hAnsi="Times New Roman" w:eastAsia="黑体" w:cs="Times New Roman"/>
          <w:b w:val="0"/>
        </w:rPr>
      </w:pPr>
      <w:bookmarkStart w:id="30" w:name="_Toc15377208"/>
      <w:bookmarkStart w:id="31" w:name="_Toc15396606"/>
      <w:r>
        <w:rPr>
          <w:rFonts w:hAnsi="黑体" w:eastAsia="黑体"/>
          <w:color w:val="000000"/>
          <w:sz w:val="32"/>
          <w:szCs w:val="32"/>
        </w:rPr>
        <w:t>四、财</w:t>
      </w:r>
      <w:r>
        <w:rPr>
          <w:rStyle w:val="25"/>
          <w:rFonts w:ascii="Times New Roman" w:hAnsi="黑体" w:eastAsia="黑体" w:cs="Times New Roman"/>
          <w:b w:val="0"/>
        </w:rPr>
        <w:t>政拨款收入支出决算总体情况说明</w:t>
      </w:r>
      <w:bookmarkEnd w:id="30"/>
      <w:bookmarkEnd w:id="31"/>
    </w:p>
    <w:p>
      <w:pPr>
        <w:spacing w:line="600" w:lineRule="exact"/>
        <w:ind w:firstLine="640" w:firstLineChars="200"/>
        <w:rPr>
          <w:rFonts w:eastAsia="仿宋"/>
          <w:color w:val="000000"/>
          <w:sz w:val="32"/>
          <w:szCs w:val="32"/>
        </w:rPr>
      </w:pPr>
      <w:r>
        <w:rPr>
          <w:rFonts w:eastAsia="仿宋"/>
          <w:color w:val="000000"/>
          <w:sz w:val="32"/>
          <w:szCs w:val="32"/>
        </w:rPr>
        <w:t>2018</w:t>
      </w:r>
      <w:r>
        <w:rPr>
          <w:rFonts w:hAnsi="仿宋" w:eastAsia="仿宋"/>
          <w:color w:val="000000"/>
          <w:sz w:val="32"/>
          <w:szCs w:val="32"/>
        </w:rPr>
        <w:t>年财政拨款收、支总计</w:t>
      </w:r>
      <w:r>
        <w:rPr>
          <w:rFonts w:eastAsia="仿宋"/>
          <w:color w:val="000000"/>
          <w:sz w:val="32"/>
          <w:szCs w:val="32"/>
        </w:rPr>
        <w:t>4,545</w:t>
      </w:r>
      <w:r>
        <w:rPr>
          <w:rFonts w:hAnsi="仿宋" w:eastAsia="仿宋"/>
          <w:color w:val="000000"/>
          <w:sz w:val="32"/>
          <w:szCs w:val="32"/>
        </w:rPr>
        <w:t>万元。与</w:t>
      </w:r>
      <w:r>
        <w:rPr>
          <w:rFonts w:eastAsia="仿宋"/>
          <w:color w:val="000000"/>
          <w:sz w:val="32"/>
          <w:szCs w:val="32"/>
        </w:rPr>
        <w:t>2017</w:t>
      </w:r>
      <w:r>
        <w:rPr>
          <w:rFonts w:hAnsi="仿宋" w:eastAsia="仿宋"/>
          <w:color w:val="000000"/>
          <w:sz w:val="32"/>
          <w:szCs w:val="32"/>
        </w:rPr>
        <w:t>年相比，财政拨款收、支总计增加</w:t>
      </w:r>
      <w:r>
        <w:rPr>
          <w:rFonts w:eastAsia="仿宋"/>
          <w:color w:val="000000"/>
          <w:sz w:val="32"/>
          <w:szCs w:val="32"/>
        </w:rPr>
        <w:t>551</w:t>
      </w:r>
      <w:r>
        <w:rPr>
          <w:rFonts w:hAnsi="仿宋" w:eastAsia="仿宋"/>
          <w:color w:val="000000"/>
          <w:sz w:val="32"/>
          <w:szCs w:val="32"/>
        </w:rPr>
        <w:t>万元。主要变动原因是为保障相关工作开展及全市政府网站集约化建设推进，相应增加部分资金。</w:t>
      </w:r>
    </w:p>
    <w:p>
      <w:pPr>
        <w:spacing w:line="600" w:lineRule="exact"/>
        <w:ind w:firstLine="640" w:firstLineChars="200"/>
        <w:rPr>
          <w:rFonts w:eastAsia="仿宋"/>
          <w:b/>
          <w:color w:val="000000" w:themeColor="text1"/>
          <w:sz w:val="32"/>
          <w:szCs w:val="32"/>
        </w:rPr>
      </w:pPr>
      <w:r>
        <w:rPr>
          <w:rFonts w:hAnsi="仿宋" w:eastAsia="仿宋"/>
          <w:color w:val="000000" w:themeColor="text1"/>
          <w:sz w:val="32"/>
          <w:szCs w:val="32"/>
        </w:rPr>
        <w:t>图</w:t>
      </w:r>
      <w:r>
        <w:rPr>
          <w:rFonts w:eastAsia="仿宋"/>
          <w:color w:val="000000" w:themeColor="text1"/>
          <w:sz w:val="32"/>
          <w:szCs w:val="32"/>
        </w:rPr>
        <w:t>4</w:t>
      </w:r>
      <w:r>
        <w:rPr>
          <w:rFonts w:hAnsi="仿宋" w:eastAsia="仿宋"/>
          <w:color w:val="000000" w:themeColor="text1"/>
          <w:sz w:val="32"/>
          <w:szCs w:val="32"/>
        </w:rPr>
        <w:t>：财政拨款收、支决算总计变动情况</w:t>
      </w:r>
    </w:p>
    <w:p>
      <w:pPr>
        <w:ind w:firstLine="641"/>
        <w:rPr>
          <w:rFonts w:eastAsia="仿宋"/>
          <w:b/>
          <w:color w:val="00B050"/>
          <w:sz w:val="32"/>
          <w:szCs w:val="32"/>
        </w:rPr>
      </w:pPr>
      <w:r>
        <w:rPr>
          <w:rFonts w:eastAsia="仿宋"/>
          <w:b/>
          <w:color w:val="00B050"/>
          <w:sz w:val="32"/>
          <w:szCs w:val="32"/>
        </w:rPr>
        <w:pict>
          <v:shape id="_x0000_s1032" o:spid="_x0000_s1032" o:spt="202" type="#_x0000_t202" style="position:absolute;left:0pt;margin-left:367.5pt;margin-top:48.9pt;height:50.25pt;width:31.5pt;z-index:251663360;v-text-anchor:middle;mso-width-relative:page;mso-height-relative:page;" filled="f" stroked="f" coordsize="21600,21600">
            <v:path/>
            <v:fill on="f" focussize="0,0"/>
            <v:stroke on="f" joinstyle="miter"/>
            <v:imagedata o:title=""/>
            <o:lock v:ext="edit"/>
            <v:textbox style="layout-flow:vertical-ideographic;">
              <w:txbxContent>
                <w:p>
                  <w:r>
                    <w:rPr>
                      <w:rFonts w:hint="eastAsia"/>
                    </w:rPr>
                    <w:t>551万元</w:t>
                  </w:r>
                </w:p>
              </w:txbxContent>
            </v:textbox>
          </v:shape>
        </w:pict>
      </w:r>
      <w:r>
        <w:rPr>
          <w:rFonts w:eastAsia="仿宋"/>
          <w:b/>
          <w:color w:val="00B050"/>
          <w:sz w:val="32"/>
          <w:szCs w:val="32"/>
        </w:rPr>
        <w:pict>
          <v:shape id="_x0000_s1030" o:spid="_x0000_s1030" o:spt="32" type="#_x0000_t32" style="position:absolute;left:0pt;margin-left:195.6pt;margin-top:37.05pt;height:0.75pt;width:198.75pt;z-index:251661312;mso-width-relative:page;mso-height-relative:page;" o:connectortype="straight" filled="f" stroked="t" coordsize="21600,21600">
            <v:path arrowok="t"/>
            <v:fill on="f" focussize="0,0"/>
            <v:stroke weight="1.75pt" color="#FF0000" dashstyle="dash"/>
            <v:imagedata o:title=""/>
            <o:lock v:ext="edit"/>
          </v:shape>
        </w:pict>
      </w:r>
      <w:r>
        <w:rPr>
          <w:rFonts w:eastAsia="仿宋"/>
          <w:b/>
          <w:color w:val="00B050"/>
          <w:sz w:val="32"/>
          <w:szCs w:val="32"/>
        </w:rPr>
        <w:pict>
          <v:shape id="_x0000_s1031" o:spid="_x0000_s1031" o:spt="32" type="#_x0000_t32" style="position:absolute;left:0pt;margin-left:302.1pt;margin-top:108.3pt;height:0pt;width:92.25pt;z-index:251662336;mso-width-relative:page;mso-height-relative:page;" o:connectortype="straight" filled="f" stroked="t" coordsize="21600,21600">
            <v:path arrowok="t"/>
            <v:fill on="f" focussize="0,0"/>
            <v:stroke weight="1.75pt" color="#FF0000" dashstyle="dash"/>
            <v:imagedata o:title=""/>
            <o:lock v:ext="edit"/>
          </v:shape>
        </w:pict>
      </w:r>
      <w:r>
        <w:rPr>
          <w:rFonts w:eastAsia="仿宋"/>
          <w:b/>
          <w:color w:val="00B050"/>
          <w:sz w:val="32"/>
          <w:szCs w:val="32"/>
        </w:rPr>
        <w:drawing>
          <wp:inline distT="0" distB="0" distL="0" distR="0">
            <wp:extent cx="4810125" cy="2447925"/>
            <wp:effectExtent l="19050" t="0" r="9525" b="0"/>
            <wp:docPr id="4"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pPr>
        <w:spacing w:line="540" w:lineRule="exact"/>
        <w:ind w:firstLine="640" w:firstLineChars="200"/>
        <w:outlineLvl w:val="1"/>
        <w:rPr>
          <w:rStyle w:val="25"/>
          <w:rFonts w:ascii="Times New Roman" w:hAnsi="Times New Roman" w:eastAsia="黑体" w:cs="Times New Roman"/>
          <w:b w:val="0"/>
        </w:rPr>
      </w:pPr>
      <w:bookmarkStart w:id="32" w:name="_Toc15396607"/>
      <w:bookmarkStart w:id="33" w:name="_Toc15377209"/>
      <w:r>
        <w:rPr>
          <w:rFonts w:hAnsi="黑体" w:eastAsia="黑体"/>
          <w:color w:val="000000"/>
          <w:sz w:val="32"/>
          <w:szCs w:val="32"/>
        </w:rPr>
        <w:t>五、</w:t>
      </w:r>
      <w:r>
        <w:rPr>
          <w:rFonts w:hAnsi="黑体" w:eastAsia="黑体"/>
          <w:b/>
          <w:color w:val="000000"/>
          <w:sz w:val="32"/>
          <w:szCs w:val="32"/>
        </w:rPr>
        <w:t>一</w:t>
      </w:r>
      <w:r>
        <w:rPr>
          <w:rStyle w:val="25"/>
          <w:rFonts w:ascii="Times New Roman" w:hAnsi="黑体" w:eastAsia="黑体" w:cs="Times New Roman"/>
          <w:b w:val="0"/>
        </w:rPr>
        <w:t>般公共预算财政拨款支出决算情况说明</w:t>
      </w:r>
      <w:bookmarkEnd w:id="32"/>
      <w:bookmarkEnd w:id="33"/>
    </w:p>
    <w:p>
      <w:pPr>
        <w:spacing w:line="540" w:lineRule="exact"/>
        <w:ind w:firstLine="643" w:firstLineChars="200"/>
        <w:outlineLvl w:val="2"/>
        <w:rPr>
          <w:rFonts w:eastAsia="仿宋"/>
          <w:b/>
          <w:color w:val="000000"/>
          <w:sz w:val="32"/>
          <w:szCs w:val="32"/>
        </w:rPr>
      </w:pPr>
      <w:bookmarkStart w:id="34" w:name="_Toc15377210"/>
      <w:r>
        <w:rPr>
          <w:rFonts w:hAnsi="仿宋" w:eastAsia="仿宋"/>
          <w:b/>
          <w:color w:val="000000"/>
          <w:sz w:val="32"/>
          <w:szCs w:val="32"/>
        </w:rPr>
        <w:t>（一）一般公共预算财政拨款支出决算总体情况</w:t>
      </w:r>
      <w:bookmarkEnd w:id="34"/>
    </w:p>
    <w:p>
      <w:pPr>
        <w:spacing w:line="540" w:lineRule="exact"/>
        <w:ind w:firstLine="640" w:firstLineChars="200"/>
        <w:rPr>
          <w:rFonts w:eastAsia="仿宋"/>
          <w:color w:val="000000"/>
          <w:sz w:val="32"/>
          <w:szCs w:val="32"/>
        </w:rPr>
      </w:pPr>
      <w:r>
        <w:rPr>
          <w:rFonts w:eastAsia="仿宋"/>
          <w:color w:val="000000"/>
          <w:sz w:val="32"/>
          <w:szCs w:val="32"/>
        </w:rPr>
        <w:t>2018</w:t>
      </w:r>
      <w:r>
        <w:rPr>
          <w:rFonts w:hAnsi="仿宋" w:eastAsia="仿宋"/>
          <w:color w:val="000000"/>
          <w:sz w:val="32"/>
          <w:szCs w:val="32"/>
        </w:rPr>
        <w:t>年一般公共预算财政拨款支出</w:t>
      </w:r>
      <w:r>
        <w:rPr>
          <w:rFonts w:eastAsia="仿宋"/>
          <w:color w:val="000000"/>
          <w:sz w:val="32"/>
          <w:szCs w:val="32"/>
        </w:rPr>
        <w:t>4,525.4</w:t>
      </w:r>
      <w:r>
        <w:rPr>
          <w:rFonts w:hAnsi="仿宋" w:eastAsia="仿宋"/>
          <w:color w:val="000000"/>
          <w:sz w:val="32"/>
          <w:szCs w:val="32"/>
        </w:rPr>
        <w:t>万元，占本年支出合计的</w:t>
      </w:r>
      <w:r>
        <w:rPr>
          <w:rFonts w:eastAsia="仿宋"/>
          <w:color w:val="000000"/>
          <w:sz w:val="32"/>
          <w:szCs w:val="32"/>
        </w:rPr>
        <w:t>97.9%</w:t>
      </w:r>
      <w:r>
        <w:rPr>
          <w:rFonts w:hAnsi="仿宋" w:eastAsia="仿宋"/>
          <w:color w:val="000000"/>
          <w:sz w:val="32"/>
          <w:szCs w:val="32"/>
        </w:rPr>
        <w:t>。与</w:t>
      </w:r>
      <w:r>
        <w:rPr>
          <w:rFonts w:eastAsia="仿宋"/>
          <w:color w:val="000000"/>
          <w:sz w:val="32"/>
          <w:szCs w:val="32"/>
        </w:rPr>
        <w:t>2017</w:t>
      </w:r>
      <w:r>
        <w:rPr>
          <w:rFonts w:hAnsi="仿宋" w:eastAsia="仿宋"/>
          <w:color w:val="000000"/>
          <w:sz w:val="32"/>
          <w:szCs w:val="32"/>
        </w:rPr>
        <w:t>年相比，一般公共预算财政拨款支出增加</w:t>
      </w:r>
      <w:r>
        <w:rPr>
          <w:rFonts w:eastAsia="仿宋"/>
          <w:color w:val="000000"/>
          <w:sz w:val="32"/>
          <w:szCs w:val="32"/>
        </w:rPr>
        <w:t>598.5</w:t>
      </w:r>
      <w:r>
        <w:rPr>
          <w:rFonts w:hAnsi="仿宋" w:eastAsia="仿宋"/>
          <w:color w:val="000000"/>
          <w:sz w:val="32"/>
          <w:szCs w:val="32"/>
        </w:rPr>
        <w:t>万元。主要变动原因是为保障相关工作开展及全市政府网站集约化建设推进，相应增加部分资金。</w:t>
      </w:r>
    </w:p>
    <w:p>
      <w:pPr>
        <w:spacing w:line="540" w:lineRule="exact"/>
        <w:ind w:firstLine="640" w:firstLineChars="200"/>
        <w:rPr>
          <w:rFonts w:eastAsia="仿宋"/>
          <w:color w:val="000000" w:themeColor="text1"/>
          <w:sz w:val="32"/>
          <w:szCs w:val="32"/>
        </w:rPr>
      </w:pPr>
      <w:r>
        <w:rPr>
          <w:rFonts w:hAnsi="仿宋" w:eastAsia="仿宋"/>
          <w:color w:val="000000" w:themeColor="text1"/>
          <w:sz w:val="32"/>
          <w:szCs w:val="32"/>
        </w:rPr>
        <w:t>图</w:t>
      </w:r>
      <w:r>
        <w:rPr>
          <w:rFonts w:eastAsia="仿宋"/>
          <w:color w:val="000000" w:themeColor="text1"/>
          <w:sz w:val="32"/>
          <w:szCs w:val="32"/>
        </w:rPr>
        <w:t>5</w:t>
      </w:r>
      <w:r>
        <w:rPr>
          <w:rFonts w:hAnsi="仿宋" w:eastAsia="仿宋"/>
          <w:color w:val="000000" w:themeColor="text1"/>
          <w:sz w:val="32"/>
          <w:szCs w:val="32"/>
        </w:rPr>
        <w:t>：一般公共预算财政拨款支出决算变动情况</w:t>
      </w:r>
    </w:p>
    <w:p>
      <w:pPr>
        <w:ind w:firstLine="640" w:firstLineChars="200"/>
        <w:rPr>
          <w:rFonts w:eastAsia="仿宋"/>
          <w:color w:val="000000" w:themeColor="text1"/>
          <w:sz w:val="32"/>
          <w:szCs w:val="32"/>
        </w:rPr>
      </w:pPr>
      <w:r>
        <w:rPr>
          <w:rFonts w:eastAsia="仿宋"/>
          <w:color w:val="000000" w:themeColor="text1"/>
          <w:sz w:val="32"/>
          <w:szCs w:val="32"/>
        </w:rPr>
        <w:pict>
          <v:shape id="_x0000_s1033" o:spid="_x0000_s1033" o:spt="32" type="#_x0000_t32" style="position:absolute;left:0pt;margin-left:200.85pt;margin-top:42.1pt;height:0pt;width:190.75pt;z-index:251664384;mso-width-relative:page;mso-height-relative:page;" o:connectortype="straight" filled="f" stroked="t" coordsize="21600,21600">
            <v:path arrowok="t"/>
            <v:fill on="f" focussize="0,0"/>
            <v:stroke weight="1.75pt" color="#FF0000" dashstyle="dash"/>
            <v:imagedata o:title=""/>
            <o:lock v:ext="edit"/>
          </v:shape>
        </w:pict>
      </w:r>
      <w:r>
        <w:rPr>
          <w:rFonts w:eastAsia="仿宋"/>
          <w:color w:val="000000" w:themeColor="text1"/>
          <w:sz w:val="32"/>
          <w:szCs w:val="32"/>
        </w:rPr>
        <w:drawing>
          <wp:inline distT="0" distB="0" distL="0" distR="0">
            <wp:extent cx="5274310" cy="1695450"/>
            <wp:effectExtent l="19050" t="0" r="21590" b="0"/>
            <wp:docPr id="6"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pPr>
        <w:spacing w:line="540" w:lineRule="exact"/>
        <w:ind w:firstLine="643" w:firstLineChars="200"/>
        <w:outlineLvl w:val="2"/>
        <w:rPr>
          <w:rFonts w:eastAsia="仿宋"/>
          <w:b/>
          <w:color w:val="000000"/>
          <w:sz w:val="32"/>
          <w:szCs w:val="32"/>
        </w:rPr>
      </w:pPr>
      <w:bookmarkStart w:id="35" w:name="_Toc15377211"/>
      <w:r>
        <w:rPr>
          <w:rFonts w:hAnsi="仿宋" w:eastAsia="仿宋"/>
          <w:b/>
          <w:color w:val="000000"/>
          <w:sz w:val="32"/>
          <w:szCs w:val="32"/>
        </w:rPr>
        <w:t>（二）一般公共预算财政拨款支出决算结构情况</w:t>
      </w:r>
      <w:bookmarkEnd w:id="35"/>
    </w:p>
    <w:p>
      <w:pPr>
        <w:spacing w:line="540" w:lineRule="exact"/>
        <w:ind w:firstLine="640"/>
        <w:rPr>
          <w:rFonts w:eastAsia="仿宋"/>
          <w:color w:val="000000" w:themeColor="text1"/>
          <w:sz w:val="32"/>
          <w:szCs w:val="32"/>
        </w:rPr>
      </w:pPr>
      <w:r>
        <w:rPr>
          <w:rFonts w:eastAsia="仿宋"/>
          <w:color w:val="000000"/>
          <w:sz w:val="32"/>
          <w:szCs w:val="32"/>
        </w:rPr>
        <w:t>2018</w:t>
      </w:r>
      <w:r>
        <w:rPr>
          <w:rFonts w:hAnsi="仿宋" w:eastAsia="仿宋"/>
          <w:color w:val="000000"/>
          <w:sz w:val="32"/>
          <w:szCs w:val="32"/>
        </w:rPr>
        <w:t>年一般公共预算财</w:t>
      </w:r>
      <w:r>
        <w:rPr>
          <w:rFonts w:hAnsi="仿宋" w:eastAsia="仿宋"/>
          <w:color w:val="000000" w:themeColor="text1"/>
          <w:sz w:val="32"/>
          <w:szCs w:val="32"/>
        </w:rPr>
        <w:t>政拨款支出</w:t>
      </w:r>
      <w:r>
        <w:rPr>
          <w:rFonts w:eastAsia="仿宋"/>
          <w:color w:val="000000"/>
          <w:sz w:val="32"/>
          <w:szCs w:val="32"/>
        </w:rPr>
        <w:t>4,525.4</w:t>
      </w:r>
      <w:r>
        <w:rPr>
          <w:rFonts w:hAnsi="仿宋" w:eastAsia="仿宋"/>
          <w:color w:val="000000" w:themeColor="text1"/>
          <w:sz w:val="32"/>
          <w:szCs w:val="32"/>
        </w:rPr>
        <w:t>万元，主要用于以下方面</w:t>
      </w:r>
      <w:r>
        <w:rPr>
          <w:rFonts w:eastAsia="仿宋"/>
          <w:color w:val="000000" w:themeColor="text1"/>
          <w:sz w:val="32"/>
          <w:szCs w:val="32"/>
        </w:rPr>
        <w:t>:</w:t>
      </w:r>
      <w:r>
        <w:rPr>
          <w:rFonts w:hAnsi="仿宋" w:eastAsia="仿宋"/>
          <w:color w:val="000000" w:themeColor="text1"/>
          <w:sz w:val="32"/>
          <w:szCs w:val="32"/>
        </w:rPr>
        <w:t>一般公共服务（类）支出</w:t>
      </w:r>
      <w:r>
        <w:rPr>
          <w:rFonts w:eastAsia="仿宋"/>
          <w:color w:val="000000" w:themeColor="text1"/>
          <w:sz w:val="32"/>
          <w:szCs w:val="32"/>
        </w:rPr>
        <w:t>2</w:t>
      </w:r>
      <w:r>
        <w:rPr>
          <w:rFonts w:eastAsia="仿宋"/>
          <w:color w:val="000000"/>
          <w:sz w:val="32"/>
          <w:szCs w:val="32"/>
        </w:rPr>
        <w:t>,</w:t>
      </w:r>
      <w:r>
        <w:rPr>
          <w:rFonts w:eastAsia="仿宋"/>
          <w:color w:val="000000" w:themeColor="text1"/>
          <w:sz w:val="32"/>
          <w:szCs w:val="32"/>
        </w:rPr>
        <w:t>971.6</w:t>
      </w:r>
      <w:r>
        <w:rPr>
          <w:rFonts w:hAnsi="仿宋" w:eastAsia="仿宋"/>
          <w:color w:val="000000" w:themeColor="text1"/>
          <w:sz w:val="32"/>
          <w:szCs w:val="32"/>
        </w:rPr>
        <w:t>万元，占</w:t>
      </w:r>
      <w:r>
        <w:rPr>
          <w:rFonts w:eastAsia="仿宋"/>
          <w:color w:val="000000" w:themeColor="text1"/>
          <w:sz w:val="32"/>
          <w:szCs w:val="32"/>
        </w:rPr>
        <w:t>65.7%</w:t>
      </w:r>
      <w:r>
        <w:rPr>
          <w:rFonts w:hAnsi="仿宋" w:eastAsia="仿宋"/>
          <w:color w:val="000000" w:themeColor="text1"/>
          <w:sz w:val="32"/>
          <w:szCs w:val="32"/>
        </w:rPr>
        <w:t>；科学技术支出（类）</w:t>
      </w:r>
      <w:r>
        <w:rPr>
          <w:rFonts w:eastAsia="仿宋"/>
          <w:color w:val="000000" w:themeColor="text1"/>
          <w:sz w:val="32"/>
          <w:szCs w:val="32"/>
        </w:rPr>
        <w:t>899.2</w:t>
      </w:r>
      <w:r>
        <w:rPr>
          <w:rFonts w:hAnsi="仿宋" w:eastAsia="仿宋"/>
          <w:color w:val="000000" w:themeColor="text1"/>
          <w:sz w:val="32"/>
          <w:szCs w:val="32"/>
        </w:rPr>
        <w:t>万元，占</w:t>
      </w:r>
      <w:r>
        <w:rPr>
          <w:rFonts w:eastAsia="仿宋"/>
          <w:color w:val="000000" w:themeColor="text1"/>
          <w:sz w:val="32"/>
          <w:szCs w:val="32"/>
        </w:rPr>
        <w:t>19.9%</w:t>
      </w:r>
      <w:r>
        <w:rPr>
          <w:rFonts w:hAnsi="仿宋" w:eastAsia="仿宋"/>
          <w:color w:val="000000" w:themeColor="text1"/>
          <w:sz w:val="32"/>
          <w:szCs w:val="32"/>
        </w:rPr>
        <w:t>；社会保障和就业（类）支出</w:t>
      </w:r>
      <w:r>
        <w:rPr>
          <w:rFonts w:eastAsia="仿宋"/>
          <w:color w:val="000000" w:themeColor="text1"/>
          <w:sz w:val="32"/>
          <w:szCs w:val="32"/>
        </w:rPr>
        <w:t>482.6</w:t>
      </w:r>
      <w:r>
        <w:rPr>
          <w:rFonts w:hAnsi="仿宋" w:eastAsia="仿宋"/>
          <w:color w:val="000000" w:themeColor="text1"/>
          <w:sz w:val="32"/>
          <w:szCs w:val="32"/>
        </w:rPr>
        <w:t>万元，占</w:t>
      </w:r>
      <w:r>
        <w:rPr>
          <w:rFonts w:eastAsia="仿宋"/>
          <w:color w:val="000000" w:themeColor="text1"/>
          <w:sz w:val="32"/>
          <w:szCs w:val="32"/>
        </w:rPr>
        <w:t>10.7%</w:t>
      </w:r>
      <w:r>
        <w:rPr>
          <w:rFonts w:hAnsi="仿宋" w:eastAsia="仿宋"/>
          <w:color w:val="000000" w:themeColor="text1"/>
          <w:sz w:val="32"/>
          <w:szCs w:val="32"/>
        </w:rPr>
        <w:t>；住房保障支出</w:t>
      </w:r>
      <w:r>
        <w:rPr>
          <w:rFonts w:eastAsia="仿宋"/>
          <w:color w:val="000000" w:themeColor="text1"/>
          <w:sz w:val="32"/>
          <w:szCs w:val="32"/>
        </w:rPr>
        <w:t>172</w:t>
      </w:r>
      <w:r>
        <w:rPr>
          <w:rFonts w:hAnsi="仿宋" w:eastAsia="仿宋"/>
          <w:color w:val="000000" w:themeColor="text1"/>
          <w:sz w:val="32"/>
          <w:szCs w:val="32"/>
        </w:rPr>
        <w:t>万元，占</w:t>
      </w:r>
      <w:r>
        <w:rPr>
          <w:rFonts w:eastAsia="仿宋"/>
          <w:color w:val="000000" w:themeColor="text1"/>
          <w:sz w:val="32"/>
          <w:szCs w:val="32"/>
        </w:rPr>
        <w:t>3.8%</w:t>
      </w:r>
      <w:r>
        <w:rPr>
          <w:rFonts w:hAnsi="仿宋" w:eastAsia="仿宋"/>
          <w:color w:val="000000" w:themeColor="text1"/>
          <w:sz w:val="32"/>
          <w:szCs w:val="32"/>
        </w:rPr>
        <w:t>。</w:t>
      </w:r>
    </w:p>
    <w:p>
      <w:pPr>
        <w:spacing w:line="540" w:lineRule="exact"/>
        <w:ind w:firstLine="640" w:firstLineChars="200"/>
        <w:rPr>
          <w:rFonts w:eastAsia="仿宋"/>
          <w:color w:val="000000"/>
          <w:sz w:val="32"/>
          <w:szCs w:val="32"/>
        </w:rPr>
      </w:pPr>
      <w:r>
        <w:rPr>
          <w:rFonts w:hAnsi="仿宋" w:eastAsia="仿宋"/>
          <w:color w:val="000000"/>
          <w:sz w:val="32"/>
          <w:szCs w:val="32"/>
        </w:rPr>
        <w:t>图</w:t>
      </w:r>
      <w:r>
        <w:rPr>
          <w:rFonts w:eastAsia="仿宋"/>
          <w:color w:val="000000"/>
          <w:sz w:val="32"/>
          <w:szCs w:val="32"/>
        </w:rPr>
        <w:t>6</w:t>
      </w:r>
      <w:r>
        <w:rPr>
          <w:rFonts w:hAnsi="仿宋" w:eastAsia="仿宋"/>
          <w:color w:val="000000"/>
          <w:sz w:val="32"/>
          <w:szCs w:val="32"/>
        </w:rPr>
        <w:t>：一般公共预算财政拨款支出决算结构</w:t>
      </w:r>
    </w:p>
    <w:p>
      <w:pPr>
        <w:ind w:firstLine="640" w:firstLineChars="200"/>
        <w:rPr>
          <w:rFonts w:eastAsia="仿宋"/>
          <w:color w:val="000000"/>
          <w:sz w:val="32"/>
          <w:szCs w:val="32"/>
        </w:rPr>
      </w:pPr>
      <w:r>
        <w:rPr>
          <w:rFonts w:eastAsia="仿宋"/>
          <w:color w:val="000000"/>
          <w:sz w:val="32"/>
          <w:szCs w:val="32"/>
        </w:rPr>
        <w:pict>
          <v:shape id="_x0000_s1035" o:spid="_x0000_s1035" o:spt="202" type="#_x0000_t202" style="position:absolute;left:0pt;margin-left:166.5pt;margin-top:96.7pt;height:21pt;width:97.5pt;z-index:251666432;mso-width-relative:page;mso-height-relative:page;" filled="f" stroked="f" coordsize="21600,21600">
            <v:path/>
            <v:fill on="f" focussize="0,0"/>
            <v:stroke on="f" joinstyle="miter"/>
            <v:imagedata o:title=""/>
            <o:lock v:ext="edit"/>
            <v:textbox>
              <w:txbxContent>
                <w:p>
                  <w:r>
                    <w:rPr>
                      <w:rFonts w:hint="eastAsia"/>
                    </w:rPr>
                    <w:t>4525.4万元</w:t>
                  </w:r>
                </w:p>
              </w:txbxContent>
            </v:textbox>
          </v:shape>
        </w:pict>
      </w:r>
      <w:r>
        <w:rPr>
          <w:rFonts w:eastAsia="仿宋"/>
          <w:color w:val="000000"/>
          <w:sz w:val="32"/>
          <w:szCs w:val="32"/>
        </w:rPr>
        <w:drawing>
          <wp:inline distT="0" distB="0" distL="0" distR="0">
            <wp:extent cx="4572000" cy="1619250"/>
            <wp:effectExtent l="19050" t="0" r="19050" b="0"/>
            <wp:docPr id="7"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pPr>
        <w:spacing w:line="578" w:lineRule="exact"/>
        <w:ind w:firstLine="640" w:firstLineChars="200"/>
        <w:outlineLvl w:val="2"/>
        <w:rPr>
          <w:rFonts w:eastAsia="楷体"/>
          <w:color w:val="000000"/>
          <w:sz w:val="32"/>
          <w:szCs w:val="32"/>
        </w:rPr>
      </w:pPr>
      <w:bookmarkStart w:id="36" w:name="_Toc15377212"/>
      <w:r>
        <w:rPr>
          <w:rFonts w:hAnsi="楷体" w:eastAsia="楷体"/>
          <w:color w:val="000000"/>
          <w:sz w:val="32"/>
          <w:szCs w:val="32"/>
        </w:rPr>
        <w:t>（三）一般公共预算财政拨款支出决算具体情况</w:t>
      </w:r>
      <w:bookmarkEnd w:id="36"/>
      <w:r>
        <w:rPr>
          <w:rFonts w:hAnsi="楷体" w:eastAsia="楷体"/>
          <w:color w:val="000000"/>
          <w:sz w:val="32"/>
          <w:szCs w:val="32"/>
        </w:rPr>
        <w:t>。</w:t>
      </w:r>
    </w:p>
    <w:p>
      <w:pPr>
        <w:spacing w:line="578" w:lineRule="exact"/>
        <w:ind w:firstLine="640" w:firstLineChars="200"/>
        <w:outlineLvl w:val="2"/>
        <w:rPr>
          <w:rFonts w:eastAsia="仿宋"/>
          <w:color w:val="FF0000"/>
          <w:sz w:val="32"/>
          <w:szCs w:val="32"/>
        </w:rPr>
      </w:pPr>
      <w:bookmarkStart w:id="37" w:name="_Toc15377444"/>
      <w:bookmarkStart w:id="38" w:name="_Toc15377213"/>
      <w:bookmarkStart w:id="39" w:name="_Toc15378460"/>
      <w:r>
        <w:rPr>
          <w:rFonts w:eastAsia="仿宋"/>
          <w:color w:val="000000" w:themeColor="text1"/>
          <w:sz w:val="32"/>
          <w:szCs w:val="32"/>
        </w:rPr>
        <w:t>2018</w:t>
      </w:r>
      <w:r>
        <w:rPr>
          <w:rFonts w:hAnsi="仿宋" w:eastAsia="仿宋"/>
          <w:color w:val="000000" w:themeColor="text1"/>
          <w:sz w:val="32"/>
          <w:szCs w:val="32"/>
        </w:rPr>
        <w:t>年，一般公共预算支出决算数为</w:t>
      </w:r>
      <w:r>
        <w:rPr>
          <w:rFonts w:eastAsia="仿宋"/>
          <w:color w:val="000000" w:themeColor="text1"/>
          <w:sz w:val="32"/>
          <w:szCs w:val="32"/>
        </w:rPr>
        <w:t>4,622.9</w:t>
      </w:r>
      <w:r>
        <w:rPr>
          <w:rFonts w:hAnsi="仿宋" w:eastAsia="仿宋"/>
          <w:color w:val="000000" w:themeColor="text1"/>
          <w:sz w:val="32"/>
          <w:szCs w:val="32"/>
        </w:rPr>
        <w:t>万元，</w:t>
      </w:r>
      <w:r>
        <w:rPr>
          <w:rStyle w:val="14"/>
          <w:rFonts w:hAnsi="仿宋" w:eastAsia="仿宋"/>
          <w:b w:val="0"/>
          <w:bCs/>
          <w:color w:val="000000" w:themeColor="text1"/>
          <w:sz w:val="32"/>
          <w:szCs w:val="32"/>
        </w:rPr>
        <w:t>完成</w:t>
      </w:r>
      <w:r>
        <w:rPr>
          <w:rStyle w:val="14"/>
          <w:rFonts w:hAnsi="仿宋" w:eastAsia="仿宋"/>
          <w:b w:val="0"/>
          <w:bCs/>
          <w:color w:val="000000"/>
          <w:sz w:val="32"/>
          <w:szCs w:val="32"/>
        </w:rPr>
        <w:t>预算</w:t>
      </w:r>
      <w:r>
        <w:rPr>
          <w:rStyle w:val="14"/>
          <w:rFonts w:eastAsia="仿宋"/>
          <w:b w:val="0"/>
          <w:bCs/>
          <w:color w:val="000000"/>
          <w:sz w:val="32"/>
          <w:szCs w:val="32"/>
        </w:rPr>
        <w:t>99.6%</w:t>
      </w:r>
      <w:r>
        <w:rPr>
          <w:rStyle w:val="14"/>
          <w:rFonts w:hAnsi="仿宋" w:eastAsia="仿宋"/>
          <w:b w:val="0"/>
          <w:bCs/>
          <w:color w:val="000000"/>
          <w:sz w:val="32"/>
          <w:szCs w:val="32"/>
        </w:rPr>
        <w:t>。其中：</w:t>
      </w:r>
      <w:bookmarkEnd w:id="37"/>
      <w:bookmarkEnd w:id="38"/>
      <w:bookmarkEnd w:id="39"/>
    </w:p>
    <w:p>
      <w:pPr>
        <w:spacing w:line="578" w:lineRule="exact"/>
        <w:ind w:firstLine="640" w:firstLineChars="200"/>
        <w:rPr>
          <w:rFonts w:eastAsia="仿宋"/>
          <w:color w:val="000000"/>
          <w:sz w:val="32"/>
          <w:szCs w:val="32"/>
        </w:rPr>
      </w:pPr>
      <w:r>
        <w:rPr>
          <w:rStyle w:val="14"/>
          <w:rFonts w:eastAsia="仿宋"/>
          <w:b w:val="0"/>
          <w:bCs/>
          <w:color w:val="000000"/>
          <w:sz w:val="32"/>
          <w:szCs w:val="32"/>
        </w:rPr>
        <w:t>1.</w:t>
      </w:r>
      <w:r>
        <w:rPr>
          <w:rStyle w:val="14"/>
          <w:rFonts w:hAnsi="仿宋" w:eastAsia="仿宋"/>
          <w:b w:val="0"/>
          <w:bCs/>
          <w:color w:val="000000"/>
          <w:sz w:val="32"/>
          <w:szCs w:val="32"/>
        </w:rPr>
        <w:t>一般公共服务（类）党委办公厅（室）及相关机构事务（款）行政运行（项）</w:t>
      </w:r>
      <w:r>
        <w:rPr>
          <w:rStyle w:val="14"/>
          <w:rFonts w:eastAsia="仿宋"/>
          <w:b w:val="0"/>
          <w:bCs/>
          <w:color w:val="000000"/>
          <w:sz w:val="32"/>
          <w:szCs w:val="32"/>
        </w:rPr>
        <w:t>:</w:t>
      </w:r>
      <w:r>
        <w:rPr>
          <w:rStyle w:val="14"/>
          <w:rFonts w:hAnsi="仿宋" w:eastAsia="仿宋"/>
          <w:b w:val="0"/>
          <w:bCs/>
          <w:color w:val="000000"/>
          <w:sz w:val="32"/>
          <w:szCs w:val="32"/>
        </w:rPr>
        <w:t>支出决算为</w:t>
      </w:r>
      <w:r>
        <w:rPr>
          <w:rStyle w:val="14"/>
          <w:rFonts w:eastAsia="仿宋"/>
          <w:b w:val="0"/>
          <w:bCs/>
          <w:color w:val="000000"/>
          <w:sz w:val="32"/>
          <w:szCs w:val="32"/>
        </w:rPr>
        <w:t>1</w:t>
      </w:r>
      <w:r>
        <w:rPr>
          <w:rFonts w:eastAsia="仿宋"/>
          <w:color w:val="000000" w:themeColor="text1"/>
          <w:sz w:val="32"/>
          <w:szCs w:val="32"/>
        </w:rPr>
        <w:t>,</w:t>
      </w:r>
      <w:r>
        <w:rPr>
          <w:rStyle w:val="14"/>
          <w:rFonts w:eastAsia="仿宋"/>
          <w:b w:val="0"/>
          <w:bCs/>
          <w:color w:val="000000"/>
          <w:sz w:val="32"/>
          <w:szCs w:val="32"/>
        </w:rPr>
        <w:t>576.2</w:t>
      </w:r>
      <w:r>
        <w:rPr>
          <w:rStyle w:val="14"/>
          <w:rFonts w:hAnsi="仿宋" w:eastAsia="仿宋"/>
          <w:b w:val="0"/>
          <w:bCs/>
          <w:color w:val="000000"/>
          <w:sz w:val="32"/>
          <w:szCs w:val="32"/>
        </w:rPr>
        <w:t>万元，完成预算</w:t>
      </w:r>
      <w:r>
        <w:rPr>
          <w:rStyle w:val="14"/>
          <w:rFonts w:eastAsia="仿宋"/>
          <w:b w:val="0"/>
          <w:bCs/>
          <w:color w:val="000000"/>
          <w:sz w:val="32"/>
          <w:szCs w:val="32"/>
        </w:rPr>
        <w:t>100%</w:t>
      </w:r>
      <w:r>
        <w:rPr>
          <w:rStyle w:val="14"/>
          <w:rFonts w:hAnsi="仿宋" w:eastAsia="仿宋"/>
          <w:b w:val="0"/>
          <w:bCs/>
          <w:color w:val="000000"/>
          <w:sz w:val="32"/>
          <w:szCs w:val="32"/>
        </w:rPr>
        <w:t>。</w:t>
      </w:r>
    </w:p>
    <w:p>
      <w:pPr>
        <w:spacing w:line="578" w:lineRule="exact"/>
        <w:ind w:firstLine="640" w:firstLineChars="200"/>
        <w:rPr>
          <w:rFonts w:eastAsia="仿宋"/>
          <w:color w:val="000000"/>
          <w:sz w:val="32"/>
          <w:szCs w:val="32"/>
        </w:rPr>
      </w:pPr>
      <w:r>
        <w:rPr>
          <w:rStyle w:val="14"/>
          <w:rFonts w:eastAsia="仿宋"/>
          <w:b w:val="0"/>
          <w:bCs/>
          <w:color w:val="000000"/>
          <w:sz w:val="32"/>
          <w:szCs w:val="32"/>
        </w:rPr>
        <w:t>2.</w:t>
      </w:r>
      <w:r>
        <w:rPr>
          <w:rStyle w:val="14"/>
          <w:rFonts w:hAnsi="仿宋" w:eastAsia="仿宋"/>
          <w:b w:val="0"/>
          <w:bCs/>
          <w:color w:val="000000"/>
          <w:sz w:val="32"/>
          <w:szCs w:val="32"/>
        </w:rPr>
        <w:t>一般公共服务（类）党委办公厅（室）及相关机构事务（款）一般行政管理事务（项）</w:t>
      </w:r>
      <w:r>
        <w:rPr>
          <w:rStyle w:val="14"/>
          <w:rFonts w:eastAsia="仿宋"/>
          <w:b w:val="0"/>
          <w:bCs/>
          <w:color w:val="000000"/>
          <w:sz w:val="32"/>
          <w:szCs w:val="32"/>
        </w:rPr>
        <w:t>:</w:t>
      </w:r>
      <w:r>
        <w:rPr>
          <w:rStyle w:val="14"/>
          <w:rFonts w:hAnsi="仿宋" w:eastAsia="仿宋"/>
          <w:b w:val="0"/>
          <w:bCs/>
          <w:color w:val="000000"/>
          <w:sz w:val="32"/>
          <w:szCs w:val="32"/>
        </w:rPr>
        <w:t>支出决算为</w:t>
      </w:r>
      <w:r>
        <w:rPr>
          <w:rStyle w:val="14"/>
          <w:rFonts w:eastAsia="仿宋"/>
          <w:b w:val="0"/>
          <w:bCs/>
          <w:color w:val="000000"/>
          <w:sz w:val="32"/>
          <w:szCs w:val="32"/>
        </w:rPr>
        <w:t>1</w:t>
      </w:r>
      <w:r>
        <w:rPr>
          <w:rFonts w:eastAsia="仿宋"/>
          <w:color w:val="000000" w:themeColor="text1"/>
          <w:sz w:val="32"/>
          <w:szCs w:val="32"/>
        </w:rPr>
        <w:t>,</w:t>
      </w:r>
      <w:r>
        <w:rPr>
          <w:rStyle w:val="14"/>
          <w:rFonts w:eastAsia="仿宋"/>
          <w:b w:val="0"/>
          <w:bCs/>
          <w:color w:val="000000"/>
          <w:sz w:val="32"/>
          <w:szCs w:val="32"/>
        </w:rPr>
        <w:t>385.5</w:t>
      </w:r>
      <w:r>
        <w:rPr>
          <w:rStyle w:val="14"/>
          <w:rFonts w:hAnsi="仿宋" w:eastAsia="仿宋"/>
          <w:b w:val="0"/>
          <w:bCs/>
          <w:color w:val="000000"/>
          <w:sz w:val="32"/>
          <w:szCs w:val="32"/>
        </w:rPr>
        <w:t>万元，完成预算</w:t>
      </w:r>
      <w:r>
        <w:rPr>
          <w:rStyle w:val="14"/>
          <w:rFonts w:eastAsia="仿宋"/>
          <w:b w:val="0"/>
          <w:bCs/>
          <w:color w:val="000000"/>
          <w:sz w:val="32"/>
          <w:szCs w:val="32"/>
        </w:rPr>
        <w:t>100%</w:t>
      </w:r>
      <w:r>
        <w:rPr>
          <w:rStyle w:val="14"/>
          <w:rFonts w:hAnsi="仿宋" w:eastAsia="仿宋"/>
          <w:b w:val="0"/>
          <w:bCs/>
          <w:color w:val="000000"/>
          <w:sz w:val="32"/>
          <w:szCs w:val="32"/>
        </w:rPr>
        <w:t>。</w:t>
      </w:r>
    </w:p>
    <w:p>
      <w:pPr>
        <w:spacing w:line="578" w:lineRule="exact"/>
        <w:ind w:firstLine="640" w:firstLineChars="200"/>
        <w:rPr>
          <w:rFonts w:eastAsia="仿宋"/>
          <w:color w:val="000000"/>
          <w:sz w:val="32"/>
          <w:szCs w:val="32"/>
        </w:rPr>
      </w:pPr>
      <w:r>
        <w:rPr>
          <w:rStyle w:val="14"/>
          <w:rFonts w:eastAsia="仿宋"/>
          <w:b w:val="0"/>
          <w:bCs/>
          <w:color w:val="000000"/>
          <w:sz w:val="32"/>
          <w:szCs w:val="32"/>
        </w:rPr>
        <w:t>3.</w:t>
      </w:r>
      <w:r>
        <w:rPr>
          <w:rStyle w:val="14"/>
          <w:rFonts w:hAnsi="仿宋" w:eastAsia="仿宋"/>
          <w:b w:val="0"/>
          <w:bCs/>
          <w:color w:val="000000"/>
          <w:sz w:val="32"/>
          <w:szCs w:val="32"/>
        </w:rPr>
        <w:t>一般公共服务（类）党委办公厅（室）及相关机构事务（款）其他党委办公厅（室）及相关机构事务支出（项）</w:t>
      </w:r>
      <w:r>
        <w:rPr>
          <w:rStyle w:val="14"/>
          <w:rFonts w:eastAsia="仿宋"/>
          <w:b w:val="0"/>
          <w:bCs/>
          <w:color w:val="000000"/>
          <w:sz w:val="32"/>
          <w:szCs w:val="32"/>
        </w:rPr>
        <w:t>:</w:t>
      </w:r>
      <w:r>
        <w:rPr>
          <w:rStyle w:val="14"/>
          <w:rFonts w:hAnsi="仿宋" w:eastAsia="仿宋"/>
          <w:b w:val="0"/>
          <w:bCs/>
          <w:color w:val="000000"/>
          <w:sz w:val="32"/>
          <w:szCs w:val="32"/>
        </w:rPr>
        <w:t>支出决算为</w:t>
      </w:r>
      <w:r>
        <w:rPr>
          <w:rStyle w:val="14"/>
          <w:rFonts w:eastAsia="仿宋"/>
          <w:b w:val="0"/>
          <w:bCs/>
          <w:color w:val="000000"/>
          <w:sz w:val="32"/>
          <w:szCs w:val="32"/>
        </w:rPr>
        <w:t>7.3</w:t>
      </w:r>
      <w:r>
        <w:rPr>
          <w:rStyle w:val="14"/>
          <w:rFonts w:hAnsi="仿宋" w:eastAsia="仿宋"/>
          <w:b w:val="0"/>
          <w:bCs/>
          <w:color w:val="000000"/>
          <w:sz w:val="32"/>
          <w:szCs w:val="32"/>
        </w:rPr>
        <w:t>万元，完成预算</w:t>
      </w:r>
      <w:r>
        <w:rPr>
          <w:rStyle w:val="14"/>
          <w:rFonts w:eastAsia="仿宋"/>
          <w:b w:val="0"/>
          <w:bCs/>
          <w:color w:val="000000"/>
          <w:sz w:val="32"/>
          <w:szCs w:val="32"/>
        </w:rPr>
        <w:t>100%</w:t>
      </w:r>
      <w:r>
        <w:rPr>
          <w:rStyle w:val="14"/>
          <w:rFonts w:hAnsi="仿宋" w:eastAsia="仿宋"/>
          <w:b w:val="0"/>
          <w:bCs/>
          <w:color w:val="000000"/>
          <w:sz w:val="32"/>
          <w:szCs w:val="32"/>
        </w:rPr>
        <w:t>。</w:t>
      </w:r>
    </w:p>
    <w:p>
      <w:pPr>
        <w:spacing w:line="578" w:lineRule="exact"/>
        <w:ind w:firstLine="640" w:firstLineChars="200"/>
        <w:rPr>
          <w:rFonts w:eastAsia="仿宋"/>
          <w:color w:val="000000"/>
          <w:sz w:val="32"/>
          <w:szCs w:val="32"/>
        </w:rPr>
      </w:pPr>
      <w:r>
        <w:rPr>
          <w:rStyle w:val="14"/>
          <w:rFonts w:eastAsia="仿宋"/>
          <w:b w:val="0"/>
          <w:bCs/>
          <w:color w:val="000000"/>
          <w:sz w:val="32"/>
          <w:szCs w:val="32"/>
        </w:rPr>
        <w:t>4.</w:t>
      </w:r>
      <w:r>
        <w:rPr>
          <w:rStyle w:val="14"/>
          <w:rFonts w:hAnsi="仿宋" w:eastAsia="仿宋"/>
          <w:b w:val="0"/>
          <w:bCs/>
          <w:color w:val="000000"/>
          <w:sz w:val="32"/>
          <w:szCs w:val="32"/>
        </w:rPr>
        <w:t>一般公共服务（类）组织事务（款）其他组织事务支出（项）</w:t>
      </w:r>
      <w:r>
        <w:rPr>
          <w:rStyle w:val="14"/>
          <w:rFonts w:eastAsia="仿宋"/>
          <w:b w:val="0"/>
          <w:bCs/>
          <w:color w:val="000000"/>
          <w:sz w:val="32"/>
          <w:szCs w:val="32"/>
        </w:rPr>
        <w:t>:</w:t>
      </w:r>
      <w:r>
        <w:rPr>
          <w:rStyle w:val="14"/>
          <w:rFonts w:hAnsi="仿宋" w:eastAsia="仿宋"/>
          <w:b w:val="0"/>
          <w:bCs/>
          <w:color w:val="000000"/>
          <w:sz w:val="32"/>
          <w:szCs w:val="32"/>
        </w:rPr>
        <w:t>支出决算为</w:t>
      </w:r>
      <w:r>
        <w:rPr>
          <w:rStyle w:val="14"/>
          <w:rFonts w:eastAsia="仿宋"/>
          <w:b w:val="0"/>
          <w:bCs/>
          <w:color w:val="000000"/>
          <w:sz w:val="32"/>
          <w:szCs w:val="32"/>
        </w:rPr>
        <w:t>2.7</w:t>
      </w:r>
      <w:r>
        <w:rPr>
          <w:rStyle w:val="14"/>
          <w:rFonts w:hAnsi="仿宋" w:eastAsia="仿宋"/>
          <w:b w:val="0"/>
          <w:bCs/>
          <w:color w:val="000000"/>
          <w:sz w:val="32"/>
          <w:szCs w:val="32"/>
        </w:rPr>
        <w:t>万元，完成预算</w:t>
      </w:r>
      <w:r>
        <w:rPr>
          <w:rStyle w:val="14"/>
          <w:rFonts w:eastAsia="仿宋"/>
          <w:b w:val="0"/>
          <w:bCs/>
          <w:color w:val="000000"/>
          <w:sz w:val="32"/>
          <w:szCs w:val="32"/>
        </w:rPr>
        <w:t>100%</w:t>
      </w:r>
      <w:r>
        <w:rPr>
          <w:rStyle w:val="14"/>
          <w:rFonts w:hAnsi="仿宋" w:eastAsia="仿宋"/>
          <w:b w:val="0"/>
          <w:bCs/>
          <w:color w:val="000000"/>
          <w:sz w:val="32"/>
          <w:szCs w:val="32"/>
        </w:rPr>
        <w:t>。</w:t>
      </w:r>
    </w:p>
    <w:p>
      <w:pPr>
        <w:spacing w:line="578" w:lineRule="exact"/>
        <w:ind w:firstLine="640" w:firstLineChars="200"/>
        <w:rPr>
          <w:rStyle w:val="14"/>
          <w:rFonts w:eastAsia="仿宋"/>
          <w:b w:val="0"/>
          <w:bCs/>
          <w:color w:val="000000"/>
          <w:sz w:val="32"/>
          <w:szCs w:val="32"/>
        </w:rPr>
      </w:pPr>
      <w:r>
        <w:rPr>
          <w:rStyle w:val="14"/>
          <w:rFonts w:eastAsia="仿宋"/>
          <w:b w:val="0"/>
          <w:bCs/>
          <w:color w:val="000000"/>
          <w:sz w:val="32"/>
          <w:szCs w:val="32"/>
        </w:rPr>
        <w:t>5.</w:t>
      </w:r>
      <w:r>
        <w:rPr>
          <w:rStyle w:val="14"/>
          <w:rFonts w:hAnsi="仿宋" w:eastAsia="仿宋"/>
          <w:b w:val="0"/>
          <w:bCs/>
          <w:color w:val="000000"/>
          <w:sz w:val="32"/>
          <w:szCs w:val="32"/>
        </w:rPr>
        <w:t>科学技术支出（类）科学技术管理事务（款）行政运行（项）：支出决算为</w:t>
      </w:r>
      <w:r>
        <w:rPr>
          <w:rStyle w:val="14"/>
          <w:rFonts w:eastAsia="仿宋"/>
          <w:b w:val="0"/>
          <w:bCs/>
          <w:color w:val="000000"/>
          <w:sz w:val="32"/>
          <w:szCs w:val="32"/>
        </w:rPr>
        <w:t>446.9</w:t>
      </w:r>
      <w:r>
        <w:rPr>
          <w:rStyle w:val="14"/>
          <w:rFonts w:hAnsi="仿宋" w:eastAsia="仿宋"/>
          <w:b w:val="0"/>
          <w:bCs/>
          <w:color w:val="000000"/>
          <w:sz w:val="32"/>
          <w:szCs w:val="32"/>
        </w:rPr>
        <w:t>万元，完成预算</w:t>
      </w:r>
      <w:r>
        <w:rPr>
          <w:rStyle w:val="14"/>
          <w:rFonts w:eastAsia="仿宋"/>
          <w:b w:val="0"/>
          <w:bCs/>
          <w:color w:val="000000"/>
          <w:sz w:val="32"/>
          <w:szCs w:val="32"/>
        </w:rPr>
        <w:t>100%</w:t>
      </w:r>
      <w:r>
        <w:rPr>
          <w:rStyle w:val="14"/>
          <w:rFonts w:hAnsi="仿宋" w:eastAsia="仿宋"/>
          <w:b w:val="0"/>
          <w:bCs/>
          <w:color w:val="000000"/>
          <w:sz w:val="32"/>
          <w:szCs w:val="32"/>
        </w:rPr>
        <w:t>。</w:t>
      </w:r>
    </w:p>
    <w:p>
      <w:pPr>
        <w:spacing w:line="578" w:lineRule="exact"/>
        <w:ind w:firstLine="640" w:firstLineChars="200"/>
        <w:rPr>
          <w:rStyle w:val="14"/>
          <w:rFonts w:eastAsia="仿宋"/>
          <w:b w:val="0"/>
          <w:bCs/>
          <w:color w:val="000000"/>
          <w:sz w:val="32"/>
          <w:szCs w:val="32"/>
        </w:rPr>
      </w:pPr>
      <w:r>
        <w:rPr>
          <w:rStyle w:val="14"/>
          <w:rFonts w:eastAsia="仿宋"/>
          <w:b w:val="0"/>
          <w:bCs/>
          <w:color w:val="000000"/>
          <w:sz w:val="32"/>
          <w:szCs w:val="32"/>
        </w:rPr>
        <w:t>6.</w:t>
      </w:r>
      <w:r>
        <w:rPr>
          <w:rStyle w:val="14"/>
          <w:rFonts w:hAnsi="仿宋" w:eastAsia="仿宋"/>
          <w:b w:val="0"/>
          <w:bCs/>
          <w:color w:val="000000"/>
          <w:sz w:val="32"/>
          <w:szCs w:val="32"/>
        </w:rPr>
        <w:t>科学技术支出（类）科学技术管理事务（款）其他科学技术管理事务支出（项）：支出决算为</w:t>
      </w:r>
      <w:r>
        <w:rPr>
          <w:rStyle w:val="14"/>
          <w:rFonts w:eastAsia="仿宋"/>
          <w:b w:val="0"/>
          <w:bCs/>
          <w:color w:val="000000"/>
          <w:sz w:val="32"/>
          <w:szCs w:val="32"/>
        </w:rPr>
        <w:t>366.1</w:t>
      </w:r>
      <w:r>
        <w:rPr>
          <w:rStyle w:val="14"/>
          <w:rFonts w:hAnsi="仿宋" w:eastAsia="仿宋"/>
          <w:b w:val="0"/>
          <w:bCs/>
          <w:color w:val="000000"/>
          <w:sz w:val="32"/>
          <w:szCs w:val="32"/>
        </w:rPr>
        <w:t>万元，完成预算</w:t>
      </w:r>
      <w:r>
        <w:rPr>
          <w:rStyle w:val="14"/>
          <w:rFonts w:eastAsia="仿宋"/>
          <w:b w:val="0"/>
          <w:bCs/>
          <w:color w:val="000000"/>
          <w:sz w:val="32"/>
          <w:szCs w:val="32"/>
        </w:rPr>
        <w:t>94.5%</w:t>
      </w:r>
      <w:r>
        <w:rPr>
          <w:rStyle w:val="14"/>
          <w:rFonts w:hAnsi="仿宋" w:eastAsia="仿宋"/>
          <w:b w:val="0"/>
          <w:bCs/>
          <w:color w:val="000000"/>
          <w:sz w:val="32"/>
          <w:szCs w:val="32"/>
        </w:rPr>
        <w:t>，决算数小于预算数的主要原因是按照政府集约化项目建设进度，部分款项需在</w:t>
      </w:r>
      <w:r>
        <w:rPr>
          <w:rStyle w:val="14"/>
          <w:rFonts w:eastAsia="仿宋"/>
          <w:b w:val="0"/>
          <w:bCs/>
          <w:color w:val="000000"/>
          <w:sz w:val="32"/>
          <w:szCs w:val="32"/>
        </w:rPr>
        <w:t>2019</w:t>
      </w:r>
      <w:r>
        <w:rPr>
          <w:rStyle w:val="14"/>
          <w:rFonts w:hAnsi="仿宋" w:eastAsia="仿宋"/>
          <w:b w:val="0"/>
          <w:bCs/>
          <w:color w:val="000000"/>
          <w:sz w:val="32"/>
          <w:szCs w:val="32"/>
        </w:rPr>
        <w:t>年支出。</w:t>
      </w:r>
    </w:p>
    <w:p>
      <w:pPr>
        <w:spacing w:line="578" w:lineRule="exact"/>
        <w:ind w:firstLine="640" w:firstLineChars="200"/>
        <w:rPr>
          <w:rStyle w:val="14"/>
          <w:rFonts w:eastAsia="仿宋"/>
          <w:b w:val="0"/>
          <w:bCs/>
          <w:color w:val="000000"/>
          <w:sz w:val="32"/>
          <w:szCs w:val="32"/>
        </w:rPr>
      </w:pPr>
      <w:r>
        <w:rPr>
          <w:rStyle w:val="14"/>
          <w:rFonts w:eastAsia="仿宋"/>
          <w:b w:val="0"/>
          <w:bCs/>
          <w:color w:val="000000"/>
          <w:sz w:val="32"/>
          <w:szCs w:val="32"/>
        </w:rPr>
        <w:t>7.</w:t>
      </w:r>
      <w:r>
        <w:rPr>
          <w:rStyle w:val="14"/>
          <w:rFonts w:hAnsi="仿宋" w:eastAsia="仿宋"/>
          <w:b w:val="0"/>
          <w:bCs/>
          <w:color w:val="000000"/>
          <w:sz w:val="32"/>
          <w:szCs w:val="32"/>
        </w:rPr>
        <w:t>科学技术支出（类）社会科学（款）其他社会科学支出（项）：支出决算为</w:t>
      </w:r>
      <w:r>
        <w:rPr>
          <w:rStyle w:val="14"/>
          <w:rFonts w:eastAsia="仿宋"/>
          <w:b w:val="0"/>
          <w:bCs/>
          <w:color w:val="000000"/>
          <w:sz w:val="32"/>
          <w:szCs w:val="32"/>
        </w:rPr>
        <w:t>86.4</w:t>
      </w:r>
      <w:r>
        <w:rPr>
          <w:rStyle w:val="14"/>
          <w:rFonts w:hAnsi="仿宋" w:eastAsia="仿宋"/>
          <w:b w:val="0"/>
          <w:bCs/>
          <w:color w:val="000000"/>
          <w:sz w:val="32"/>
          <w:szCs w:val="32"/>
        </w:rPr>
        <w:t>万元，完成预算</w:t>
      </w:r>
      <w:r>
        <w:rPr>
          <w:rStyle w:val="14"/>
          <w:rFonts w:eastAsia="仿宋"/>
          <w:b w:val="0"/>
          <w:bCs/>
          <w:color w:val="000000"/>
          <w:sz w:val="32"/>
          <w:szCs w:val="32"/>
        </w:rPr>
        <w:t>100%</w:t>
      </w:r>
      <w:r>
        <w:rPr>
          <w:rStyle w:val="14"/>
          <w:rFonts w:hAnsi="仿宋" w:eastAsia="仿宋"/>
          <w:b w:val="0"/>
          <w:bCs/>
          <w:color w:val="000000"/>
          <w:sz w:val="32"/>
          <w:szCs w:val="32"/>
        </w:rPr>
        <w:t>。</w:t>
      </w:r>
    </w:p>
    <w:p>
      <w:pPr>
        <w:spacing w:line="578" w:lineRule="exact"/>
        <w:ind w:firstLine="640" w:firstLineChars="200"/>
        <w:rPr>
          <w:rStyle w:val="14"/>
          <w:rFonts w:eastAsia="仿宋"/>
          <w:b w:val="0"/>
          <w:bCs/>
          <w:color w:val="000000"/>
          <w:sz w:val="32"/>
          <w:szCs w:val="32"/>
        </w:rPr>
      </w:pPr>
      <w:r>
        <w:rPr>
          <w:rStyle w:val="14"/>
          <w:rFonts w:eastAsia="仿宋"/>
          <w:b w:val="0"/>
          <w:bCs/>
          <w:color w:val="000000"/>
          <w:sz w:val="32"/>
          <w:szCs w:val="32"/>
        </w:rPr>
        <w:t>8.</w:t>
      </w:r>
      <w:r>
        <w:rPr>
          <w:rStyle w:val="14"/>
          <w:rFonts w:hAnsi="仿宋" w:eastAsia="仿宋"/>
          <w:b w:val="0"/>
          <w:bCs/>
          <w:color w:val="000000"/>
          <w:sz w:val="32"/>
          <w:szCs w:val="32"/>
        </w:rPr>
        <w:t>社会保障和就业（类）行政事业单位离退休（款）未归口管理的行政单位离退休（项）：支出决算为</w:t>
      </w:r>
      <w:r>
        <w:rPr>
          <w:rStyle w:val="14"/>
          <w:rFonts w:eastAsia="仿宋"/>
          <w:b w:val="0"/>
          <w:bCs/>
          <w:color w:val="000000"/>
          <w:sz w:val="32"/>
          <w:szCs w:val="32"/>
        </w:rPr>
        <w:t>273.1</w:t>
      </w:r>
      <w:r>
        <w:rPr>
          <w:rStyle w:val="14"/>
          <w:rFonts w:hAnsi="仿宋" w:eastAsia="仿宋"/>
          <w:b w:val="0"/>
          <w:bCs/>
          <w:color w:val="000000"/>
          <w:sz w:val="32"/>
          <w:szCs w:val="32"/>
        </w:rPr>
        <w:t>万元，完成预算</w:t>
      </w:r>
      <w:r>
        <w:rPr>
          <w:rStyle w:val="14"/>
          <w:rFonts w:eastAsia="仿宋"/>
          <w:b w:val="0"/>
          <w:bCs/>
          <w:color w:val="000000"/>
          <w:sz w:val="32"/>
          <w:szCs w:val="32"/>
        </w:rPr>
        <w:t>100%</w:t>
      </w:r>
    </w:p>
    <w:p>
      <w:pPr>
        <w:spacing w:line="578" w:lineRule="exact"/>
        <w:ind w:firstLine="640" w:firstLineChars="200"/>
        <w:rPr>
          <w:rStyle w:val="14"/>
          <w:rFonts w:eastAsia="仿宋"/>
          <w:b w:val="0"/>
          <w:bCs/>
          <w:color w:val="000000"/>
          <w:sz w:val="32"/>
          <w:szCs w:val="32"/>
        </w:rPr>
      </w:pPr>
      <w:r>
        <w:rPr>
          <w:rStyle w:val="14"/>
          <w:rFonts w:eastAsia="仿宋"/>
          <w:b w:val="0"/>
          <w:bCs/>
          <w:color w:val="000000"/>
          <w:sz w:val="32"/>
          <w:szCs w:val="32"/>
        </w:rPr>
        <w:t>9.</w:t>
      </w:r>
      <w:r>
        <w:rPr>
          <w:rStyle w:val="14"/>
          <w:rFonts w:hAnsi="仿宋" w:eastAsia="仿宋"/>
          <w:b w:val="0"/>
          <w:bCs/>
          <w:color w:val="000000"/>
          <w:sz w:val="32"/>
          <w:szCs w:val="32"/>
        </w:rPr>
        <w:t>社会保障和就业（类）行政事业单位离退休（款）机关事业单位基本养老保险缴费支出（项）：支出决算为</w:t>
      </w:r>
      <w:r>
        <w:rPr>
          <w:rStyle w:val="14"/>
          <w:rFonts w:eastAsia="仿宋"/>
          <w:b w:val="0"/>
          <w:bCs/>
          <w:color w:val="000000"/>
          <w:sz w:val="32"/>
          <w:szCs w:val="32"/>
        </w:rPr>
        <w:t>167.4</w:t>
      </w:r>
      <w:r>
        <w:rPr>
          <w:rStyle w:val="14"/>
          <w:rFonts w:hAnsi="仿宋" w:eastAsia="仿宋"/>
          <w:b w:val="0"/>
          <w:bCs/>
          <w:color w:val="000000"/>
          <w:sz w:val="32"/>
          <w:szCs w:val="32"/>
        </w:rPr>
        <w:t>万元，完成预算</w:t>
      </w:r>
      <w:r>
        <w:rPr>
          <w:rStyle w:val="14"/>
          <w:rFonts w:eastAsia="仿宋"/>
          <w:b w:val="0"/>
          <w:bCs/>
          <w:color w:val="000000"/>
          <w:sz w:val="32"/>
          <w:szCs w:val="32"/>
        </w:rPr>
        <w:t>100%</w:t>
      </w:r>
    </w:p>
    <w:p>
      <w:pPr>
        <w:spacing w:line="578" w:lineRule="exact"/>
        <w:ind w:firstLine="640" w:firstLineChars="200"/>
        <w:rPr>
          <w:rStyle w:val="14"/>
          <w:rFonts w:eastAsia="仿宋"/>
          <w:b w:val="0"/>
          <w:bCs/>
          <w:color w:val="000000"/>
          <w:sz w:val="32"/>
          <w:szCs w:val="32"/>
        </w:rPr>
      </w:pPr>
      <w:r>
        <w:rPr>
          <w:rStyle w:val="14"/>
          <w:rFonts w:eastAsia="仿宋"/>
          <w:b w:val="0"/>
          <w:bCs/>
          <w:color w:val="000000"/>
          <w:sz w:val="32"/>
          <w:szCs w:val="32"/>
        </w:rPr>
        <w:t>10.</w:t>
      </w:r>
      <w:r>
        <w:rPr>
          <w:rStyle w:val="14"/>
          <w:rFonts w:hAnsi="仿宋" w:eastAsia="仿宋"/>
          <w:b w:val="0"/>
          <w:bCs/>
          <w:color w:val="000000"/>
          <w:sz w:val="32"/>
          <w:szCs w:val="32"/>
        </w:rPr>
        <w:t>社会保障和就业（类）行政事业单位离退休（款）机关事业单位职业年金缴费支出（项）：支出决算为</w:t>
      </w:r>
      <w:r>
        <w:rPr>
          <w:rStyle w:val="14"/>
          <w:rFonts w:eastAsia="仿宋"/>
          <w:b w:val="0"/>
          <w:bCs/>
          <w:color w:val="000000"/>
          <w:sz w:val="32"/>
          <w:szCs w:val="32"/>
        </w:rPr>
        <w:t>14.6</w:t>
      </w:r>
      <w:r>
        <w:rPr>
          <w:rStyle w:val="14"/>
          <w:rFonts w:hAnsi="仿宋" w:eastAsia="仿宋"/>
          <w:b w:val="0"/>
          <w:bCs/>
          <w:color w:val="000000"/>
          <w:sz w:val="32"/>
          <w:szCs w:val="32"/>
        </w:rPr>
        <w:t>万元，完成预算</w:t>
      </w:r>
      <w:r>
        <w:rPr>
          <w:rStyle w:val="14"/>
          <w:rFonts w:eastAsia="仿宋"/>
          <w:b w:val="0"/>
          <w:bCs/>
          <w:color w:val="000000"/>
          <w:sz w:val="32"/>
          <w:szCs w:val="32"/>
        </w:rPr>
        <w:t>100%</w:t>
      </w:r>
    </w:p>
    <w:p>
      <w:pPr>
        <w:spacing w:line="578" w:lineRule="exact"/>
        <w:ind w:firstLine="640" w:firstLineChars="200"/>
        <w:rPr>
          <w:rStyle w:val="14"/>
          <w:rFonts w:eastAsia="仿宋"/>
          <w:b w:val="0"/>
          <w:bCs/>
          <w:color w:val="000000"/>
          <w:sz w:val="32"/>
          <w:szCs w:val="32"/>
        </w:rPr>
      </w:pPr>
      <w:r>
        <w:rPr>
          <w:rStyle w:val="14"/>
          <w:rFonts w:eastAsia="仿宋"/>
          <w:b w:val="0"/>
          <w:bCs/>
          <w:color w:val="000000"/>
          <w:sz w:val="32"/>
          <w:szCs w:val="32"/>
        </w:rPr>
        <w:t>11.</w:t>
      </w:r>
      <w:r>
        <w:rPr>
          <w:rStyle w:val="14"/>
          <w:rFonts w:hAnsi="仿宋" w:eastAsia="仿宋"/>
          <w:b w:val="0"/>
          <w:bCs/>
          <w:color w:val="000000"/>
          <w:sz w:val="32"/>
          <w:szCs w:val="32"/>
        </w:rPr>
        <w:t>社会保障和就业（类）抚恤（款）死亡抚恤（项）：支出决算为</w:t>
      </w:r>
      <w:r>
        <w:rPr>
          <w:rStyle w:val="14"/>
          <w:rFonts w:eastAsia="仿宋"/>
          <w:b w:val="0"/>
          <w:bCs/>
          <w:color w:val="000000"/>
          <w:sz w:val="32"/>
          <w:szCs w:val="32"/>
        </w:rPr>
        <w:t>26.1</w:t>
      </w:r>
      <w:r>
        <w:rPr>
          <w:rStyle w:val="14"/>
          <w:rFonts w:hAnsi="仿宋" w:eastAsia="仿宋"/>
          <w:b w:val="0"/>
          <w:bCs/>
          <w:color w:val="000000"/>
          <w:sz w:val="32"/>
          <w:szCs w:val="32"/>
        </w:rPr>
        <w:t>万元，完成预算</w:t>
      </w:r>
      <w:r>
        <w:rPr>
          <w:rStyle w:val="14"/>
          <w:rFonts w:eastAsia="仿宋"/>
          <w:b w:val="0"/>
          <w:bCs/>
          <w:color w:val="000000"/>
          <w:sz w:val="32"/>
          <w:szCs w:val="32"/>
        </w:rPr>
        <w:t>100%</w:t>
      </w:r>
    </w:p>
    <w:p>
      <w:pPr>
        <w:spacing w:line="578" w:lineRule="exact"/>
        <w:ind w:firstLine="640" w:firstLineChars="200"/>
        <w:rPr>
          <w:rStyle w:val="14"/>
          <w:rFonts w:eastAsia="仿宋"/>
          <w:b w:val="0"/>
          <w:bCs/>
          <w:color w:val="000000"/>
          <w:sz w:val="32"/>
          <w:szCs w:val="32"/>
        </w:rPr>
      </w:pPr>
      <w:r>
        <w:rPr>
          <w:rStyle w:val="14"/>
          <w:rFonts w:eastAsia="仿宋"/>
          <w:b w:val="0"/>
          <w:bCs/>
          <w:color w:val="000000"/>
          <w:sz w:val="32"/>
          <w:szCs w:val="32"/>
        </w:rPr>
        <w:t>12.</w:t>
      </w:r>
      <w:r>
        <w:rPr>
          <w:rStyle w:val="14"/>
          <w:rFonts w:hAnsi="仿宋" w:eastAsia="仿宋"/>
          <w:b w:val="0"/>
          <w:bCs/>
          <w:color w:val="000000"/>
          <w:sz w:val="32"/>
          <w:szCs w:val="32"/>
        </w:rPr>
        <w:t>社会保障和就业（类）社会福利（款）儿童福利（项）：支出决算为</w:t>
      </w:r>
      <w:r>
        <w:rPr>
          <w:rStyle w:val="14"/>
          <w:rFonts w:eastAsia="仿宋"/>
          <w:b w:val="0"/>
          <w:bCs/>
          <w:color w:val="000000"/>
          <w:sz w:val="32"/>
          <w:szCs w:val="32"/>
        </w:rPr>
        <w:t>1.3</w:t>
      </w:r>
      <w:r>
        <w:rPr>
          <w:rStyle w:val="14"/>
          <w:rFonts w:hAnsi="仿宋" w:eastAsia="仿宋"/>
          <w:b w:val="0"/>
          <w:bCs/>
          <w:color w:val="000000"/>
          <w:sz w:val="32"/>
          <w:szCs w:val="32"/>
        </w:rPr>
        <w:t>万元，完成预算</w:t>
      </w:r>
      <w:r>
        <w:rPr>
          <w:rStyle w:val="14"/>
          <w:rFonts w:eastAsia="仿宋"/>
          <w:b w:val="0"/>
          <w:bCs/>
          <w:color w:val="000000"/>
          <w:sz w:val="32"/>
          <w:szCs w:val="32"/>
        </w:rPr>
        <w:t>100%</w:t>
      </w:r>
    </w:p>
    <w:p>
      <w:pPr>
        <w:spacing w:line="578" w:lineRule="exact"/>
        <w:ind w:firstLine="640" w:firstLineChars="200"/>
        <w:rPr>
          <w:rStyle w:val="14"/>
          <w:rFonts w:eastAsia="仿宋"/>
          <w:b w:val="0"/>
          <w:bCs/>
          <w:color w:val="000000"/>
          <w:sz w:val="32"/>
          <w:szCs w:val="32"/>
        </w:rPr>
      </w:pPr>
      <w:r>
        <w:rPr>
          <w:rStyle w:val="14"/>
          <w:rFonts w:eastAsia="仿宋"/>
          <w:b w:val="0"/>
          <w:bCs/>
          <w:color w:val="000000"/>
          <w:sz w:val="32"/>
          <w:szCs w:val="32"/>
        </w:rPr>
        <w:t>13.</w:t>
      </w:r>
      <w:r>
        <w:rPr>
          <w:rStyle w:val="14"/>
          <w:rFonts w:hAnsi="仿宋" w:eastAsia="仿宋"/>
          <w:b w:val="0"/>
          <w:bCs/>
          <w:color w:val="000000"/>
          <w:sz w:val="32"/>
          <w:szCs w:val="32"/>
        </w:rPr>
        <w:t>城乡社区支出（类）城乡社区公共设施（款）其他城乡社区公共设施支出（项）：支出决算为</w:t>
      </w:r>
      <w:r>
        <w:rPr>
          <w:rStyle w:val="14"/>
          <w:rFonts w:eastAsia="仿宋"/>
          <w:b w:val="0"/>
          <w:bCs/>
          <w:color w:val="000000"/>
          <w:sz w:val="32"/>
          <w:szCs w:val="32"/>
        </w:rPr>
        <w:t>97.3</w:t>
      </w:r>
      <w:r>
        <w:rPr>
          <w:rStyle w:val="14"/>
          <w:rFonts w:hAnsi="仿宋" w:eastAsia="仿宋"/>
          <w:b w:val="0"/>
          <w:bCs/>
          <w:color w:val="000000"/>
          <w:sz w:val="32"/>
          <w:szCs w:val="32"/>
        </w:rPr>
        <w:t>万元，完成预算</w:t>
      </w:r>
      <w:r>
        <w:rPr>
          <w:rStyle w:val="14"/>
          <w:rFonts w:eastAsia="仿宋"/>
          <w:b w:val="0"/>
          <w:bCs/>
          <w:color w:val="000000"/>
          <w:sz w:val="32"/>
          <w:szCs w:val="32"/>
        </w:rPr>
        <w:t>100%</w:t>
      </w:r>
    </w:p>
    <w:p>
      <w:pPr>
        <w:spacing w:line="578" w:lineRule="exact"/>
        <w:ind w:firstLine="640" w:firstLineChars="200"/>
        <w:rPr>
          <w:rStyle w:val="14"/>
          <w:rFonts w:eastAsia="仿宋"/>
          <w:b w:val="0"/>
          <w:bCs/>
          <w:color w:val="000000"/>
          <w:sz w:val="32"/>
          <w:szCs w:val="32"/>
        </w:rPr>
      </w:pPr>
      <w:r>
        <w:rPr>
          <w:rStyle w:val="14"/>
          <w:rFonts w:eastAsia="仿宋"/>
          <w:b w:val="0"/>
          <w:bCs/>
          <w:color w:val="000000"/>
          <w:sz w:val="32"/>
          <w:szCs w:val="32"/>
        </w:rPr>
        <w:t>14.</w:t>
      </w:r>
      <w:r>
        <w:rPr>
          <w:rStyle w:val="14"/>
          <w:rFonts w:hAnsi="仿宋" w:eastAsia="仿宋"/>
          <w:b w:val="0"/>
          <w:bCs/>
          <w:color w:val="000000"/>
          <w:sz w:val="32"/>
          <w:szCs w:val="32"/>
        </w:rPr>
        <w:t>住房保障支出（类）住房改革支出（款）住房公积金（项）：支出决算为</w:t>
      </w:r>
      <w:r>
        <w:rPr>
          <w:rStyle w:val="14"/>
          <w:rFonts w:eastAsia="仿宋"/>
          <w:b w:val="0"/>
          <w:bCs/>
          <w:color w:val="000000"/>
          <w:sz w:val="32"/>
          <w:szCs w:val="32"/>
        </w:rPr>
        <w:t>172</w:t>
      </w:r>
      <w:r>
        <w:rPr>
          <w:rStyle w:val="14"/>
          <w:rFonts w:hAnsi="仿宋" w:eastAsia="仿宋"/>
          <w:b w:val="0"/>
          <w:bCs/>
          <w:color w:val="000000"/>
          <w:sz w:val="32"/>
          <w:szCs w:val="32"/>
        </w:rPr>
        <w:t>万元，完成预算</w:t>
      </w:r>
      <w:r>
        <w:rPr>
          <w:rStyle w:val="14"/>
          <w:rFonts w:eastAsia="仿宋"/>
          <w:b w:val="0"/>
          <w:bCs/>
          <w:color w:val="000000"/>
          <w:sz w:val="32"/>
          <w:szCs w:val="32"/>
        </w:rPr>
        <w:t>100%</w:t>
      </w:r>
      <w:bookmarkStart w:id="40" w:name="_Toc15377214"/>
      <w:bookmarkStart w:id="41" w:name="_Toc15396608"/>
    </w:p>
    <w:p>
      <w:pPr>
        <w:spacing w:line="578" w:lineRule="exact"/>
        <w:ind w:firstLine="640" w:firstLineChars="200"/>
        <w:rPr>
          <w:rStyle w:val="25"/>
          <w:rFonts w:ascii="Times New Roman" w:hAnsi="Times New Roman" w:eastAsia="黑体" w:cs="Times New Roman"/>
          <w:b w:val="0"/>
        </w:rPr>
      </w:pPr>
      <w:r>
        <w:rPr>
          <w:rFonts w:eastAsia="黑体"/>
          <w:color w:val="000000"/>
          <w:sz w:val="32"/>
          <w:szCs w:val="32"/>
        </w:rPr>
        <w:t>六</w:t>
      </w:r>
      <w:r>
        <w:rPr>
          <w:rFonts w:eastAsia="黑体"/>
          <w:b/>
          <w:color w:val="000000"/>
          <w:sz w:val="32"/>
          <w:szCs w:val="32"/>
        </w:rPr>
        <w:t>、</w:t>
      </w:r>
      <w:r>
        <w:rPr>
          <w:rFonts w:hAnsi="黑体" w:eastAsia="黑体"/>
          <w:b/>
          <w:color w:val="000000"/>
          <w:sz w:val="32"/>
          <w:szCs w:val="32"/>
        </w:rPr>
        <w:t>一</w:t>
      </w:r>
      <w:r>
        <w:rPr>
          <w:rStyle w:val="25"/>
          <w:rFonts w:ascii="Times New Roman" w:hAnsi="黑体" w:eastAsia="黑体" w:cs="Times New Roman"/>
          <w:b w:val="0"/>
        </w:rPr>
        <w:t>般公共预算财政拨款基本支出决算情况说明</w:t>
      </w:r>
      <w:bookmarkEnd w:id="40"/>
      <w:bookmarkEnd w:id="41"/>
    </w:p>
    <w:p>
      <w:pPr>
        <w:spacing w:line="578" w:lineRule="exact"/>
        <w:ind w:firstLine="640" w:firstLineChars="200"/>
        <w:rPr>
          <w:rFonts w:eastAsia="仿宋"/>
          <w:color w:val="000000"/>
          <w:sz w:val="32"/>
          <w:szCs w:val="32"/>
        </w:rPr>
      </w:pPr>
      <w:r>
        <w:rPr>
          <w:rFonts w:eastAsia="仿宋"/>
          <w:color w:val="000000"/>
          <w:sz w:val="32"/>
          <w:szCs w:val="32"/>
        </w:rPr>
        <w:t>2018</w:t>
      </w:r>
      <w:r>
        <w:rPr>
          <w:rFonts w:hAnsi="仿宋" w:eastAsia="仿宋"/>
          <w:color w:val="000000"/>
          <w:sz w:val="32"/>
          <w:szCs w:val="32"/>
        </w:rPr>
        <w:t>年一般公共预算财政拨款基本支出</w:t>
      </w:r>
      <w:r>
        <w:rPr>
          <w:rFonts w:eastAsia="仿宋"/>
          <w:color w:val="000000"/>
          <w:sz w:val="32"/>
          <w:szCs w:val="32"/>
        </w:rPr>
        <w:t>2,678.9</w:t>
      </w:r>
      <w:r>
        <w:rPr>
          <w:rFonts w:hAnsi="仿宋" w:eastAsia="仿宋"/>
          <w:color w:val="000000"/>
          <w:sz w:val="32"/>
          <w:szCs w:val="32"/>
        </w:rPr>
        <w:t>万元</w:t>
      </w:r>
      <w:r>
        <w:rPr>
          <w:rFonts w:hint="eastAsia" w:hAnsi="仿宋" w:eastAsia="仿宋"/>
          <w:color w:val="000000"/>
          <w:sz w:val="32"/>
          <w:szCs w:val="32"/>
        </w:rPr>
        <w:t>,其中</w:t>
      </w:r>
      <w:r>
        <w:rPr>
          <w:rFonts w:hAnsi="仿宋" w:eastAsia="仿宋"/>
          <w:color w:val="000000"/>
          <w:sz w:val="32"/>
          <w:szCs w:val="32"/>
        </w:rPr>
        <w:t>：</w:t>
      </w:r>
    </w:p>
    <w:p>
      <w:pPr>
        <w:spacing w:line="578" w:lineRule="exact"/>
        <w:ind w:firstLine="640" w:firstLineChars="200"/>
        <w:rPr>
          <w:rFonts w:eastAsia="仿宋"/>
          <w:color w:val="000000"/>
          <w:sz w:val="32"/>
          <w:szCs w:val="32"/>
        </w:rPr>
      </w:pPr>
      <w:r>
        <w:rPr>
          <w:rFonts w:hAnsi="仿宋" w:eastAsia="仿宋"/>
          <w:color w:val="000000"/>
          <w:sz w:val="32"/>
          <w:szCs w:val="32"/>
        </w:rPr>
        <w:t>人员经费</w:t>
      </w:r>
      <w:r>
        <w:rPr>
          <w:rFonts w:eastAsia="仿宋"/>
          <w:color w:val="000000"/>
          <w:sz w:val="32"/>
          <w:szCs w:val="32"/>
        </w:rPr>
        <w:t>2,288.1</w:t>
      </w:r>
      <w:r>
        <w:rPr>
          <w:rFonts w:hAnsi="仿宋" w:eastAsia="仿宋"/>
          <w:color w:val="000000"/>
          <w:sz w:val="32"/>
          <w:szCs w:val="32"/>
        </w:rPr>
        <w:t>万元，主要包括：基本工资、津贴补贴、奖金、机关事业单位基本养老保险缴费、职业年金缴费、职工基本医疗保险缴费、公务员医疗补助缴费、其他社会保障缴费、住房公积金、其他工资福利支出、离休费、退休费、抚恤金、生活补助、医疗费、其他对个人和家庭的补助支出等。</w:t>
      </w:r>
    </w:p>
    <w:p>
      <w:pPr>
        <w:spacing w:line="578" w:lineRule="exact"/>
        <w:ind w:firstLine="640" w:firstLineChars="200"/>
        <w:rPr>
          <w:rFonts w:eastAsia="仿宋"/>
          <w:color w:val="000000"/>
          <w:sz w:val="32"/>
          <w:szCs w:val="32"/>
        </w:rPr>
      </w:pPr>
      <w:r>
        <w:rPr>
          <w:rFonts w:hAnsi="仿宋" w:eastAsia="仿宋"/>
          <w:color w:val="000000"/>
          <w:sz w:val="32"/>
          <w:szCs w:val="32"/>
        </w:rPr>
        <w:t>公用经费</w:t>
      </w:r>
      <w:r>
        <w:rPr>
          <w:rFonts w:eastAsia="仿宋"/>
          <w:color w:val="000000"/>
          <w:sz w:val="32"/>
          <w:szCs w:val="32"/>
        </w:rPr>
        <w:t>390.8</w:t>
      </w:r>
      <w:r>
        <w:rPr>
          <w:rFonts w:hAnsi="仿宋" w:eastAsia="仿宋"/>
          <w:color w:val="000000"/>
          <w:sz w:val="32"/>
          <w:szCs w:val="32"/>
        </w:rPr>
        <w:t>万元，主要包括：办公费、水费、电费、邮电费、差旅费、因公出国（境）费用、维修（护）费、工会经费、福利费、公务用车运行维护费、其他交通费、其他商品和服务支出等。</w:t>
      </w:r>
      <w:bookmarkStart w:id="42" w:name="_Toc15377215"/>
      <w:bookmarkStart w:id="43" w:name="_Toc15396609"/>
    </w:p>
    <w:p>
      <w:pPr>
        <w:spacing w:line="578" w:lineRule="exact"/>
        <w:ind w:firstLine="640" w:firstLineChars="200"/>
        <w:rPr>
          <w:rStyle w:val="25"/>
          <w:rFonts w:ascii="Times New Roman" w:hAnsi="Times New Roman" w:eastAsia="黑体" w:cs="Times New Roman"/>
          <w:b w:val="0"/>
        </w:rPr>
      </w:pPr>
      <w:r>
        <w:rPr>
          <w:rFonts w:eastAsia="黑体"/>
          <w:color w:val="000000"/>
          <w:sz w:val="32"/>
          <w:szCs w:val="32"/>
        </w:rPr>
        <w:t>七、</w:t>
      </w:r>
      <w:r>
        <w:rPr>
          <w:rStyle w:val="25"/>
          <w:rFonts w:ascii="Times New Roman" w:hAnsi="Times New Roman" w:eastAsia="黑体" w:cs="Times New Roman"/>
        </w:rPr>
        <w:t>“</w:t>
      </w:r>
      <w:r>
        <w:rPr>
          <w:rStyle w:val="25"/>
          <w:rFonts w:ascii="Times New Roman" w:hAnsi="黑体" w:eastAsia="黑体" w:cs="Times New Roman"/>
          <w:b w:val="0"/>
        </w:rPr>
        <w:t>三公</w:t>
      </w:r>
      <w:r>
        <w:rPr>
          <w:rStyle w:val="25"/>
          <w:rFonts w:ascii="Times New Roman" w:hAnsi="Times New Roman" w:eastAsia="黑体" w:cs="Times New Roman"/>
          <w:b w:val="0"/>
        </w:rPr>
        <w:t>”</w:t>
      </w:r>
      <w:r>
        <w:rPr>
          <w:rStyle w:val="25"/>
          <w:rFonts w:ascii="Times New Roman" w:hAnsi="黑体" w:eastAsia="黑体" w:cs="Times New Roman"/>
          <w:b w:val="0"/>
        </w:rPr>
        <w:t>经费财政拨款支出决算情况说明</w:t>
      </w:r>
      <w:bookmarkEnd w:id="42"/>
      <w:bookmarkEnd w:id="43"/>
      <w:bookmarkStart w:id="44" w:name="_Toc15377216"/>
    </w:p>
    <w:p>
      <w:pPr>
        <w:spacing w:line="578" w:lineRule="exact"/>
        <w:ind w:firstLine="640" w:firstLineChars="200"/>
        <w:rPr>
          <w:rFonts w:eastAsia="楷体"/>
          <w:color w:val="000000"/>
          <w:sz w:val="32"/>
          <w:szCs w:val="32"/>
        </w:rPr>
      </w:pPr>
      <w:r>
        <w:rPr>
          <w:rFonts w:hAnsi="楷体" w:eastAsia="楷体"/>
          <w:color w:val="000000"/>
          <w:sz w:val="32"/>
          <w:szCs w:val="32"/>
        </w:rPr>
        <w:t>（一）</w:t>
      </w:r>
      <w:r>
        <w:rPr>
          <w:rFonts w:eastAsia="楷体"/>
          <w:color w:val="000000"/>
          <w:sz w:val="32"/>
          <w:szCs w:val="32"/>
        </w:rPr>
        <w:t>“</w:t>
      </w:r>
      <w:r>
        <w:rPr>
          <w:rFonts w:hAnsi="楷体" w:eastAsia="楷体"/>
          <w:color w:val="000000"/>
          <w:sz w:val="32"/>
          <w:szCs w:val="32"/>
        </w:rPr>
        <w:t>三公</w:t>
      </w:r>
      <w:r>
        <w:rPr>
          <w:rFonts w:eastAsia="楷体"/>
          <w:color w:val="000000"/>
          <w:sz w:val="32"/>
          <w:szCs w:val="32"/>
        </w:rPr>
        <w:t>”</w:t>
      </w:r>
      <w:r>
        <w:rPr>
          <w:rFonts w:hAnsi="楷体" w:eastAsia="楷体"/>
          <w:color w:val="000000"/>
          <w:sz w:val="32"/>
          <w:szCs w:val="32"/>
        </w:rPr>
        <w:t>经费财政拨款支出决算总体情况说明</w:t>
      </w:r>
      <w:bookmarkEnd w:id="44"/>
    </w:p>
    <w:p>
      <w:pPr>
        <w:spacing w:line="578" w:lineRule="exact"/>
        <w:ind w:firstLine="640" w:firstLineChars="200"/>
        <w:rPr>
          <w:rFonts w:eastAsia="仿宋"/>
          <w:color w:val="000000"/>
          <w:sz w:val="32"/>
          <w:szCs w:val="32"/>
        </w:rPr>
      </w:pPr>
      <w:r>
        <w:rPr>
          <w:rFonts w:eastAsia="仿宋"/>
          <w:color w:val="000000"/>
          <w:sz w:val="32"/>
          <w:szCs w:val="32"/>
        </w:rPr>
        <w:t>2018</w:t>
      </w:r>
      <w:r>
        <w:rPr>
          <w:rFonts w:hAnsi="仿宋" w:eastAsia="仿宋"/>
          <w:color w:val="000000"/>
          <w:sz w:val="32"/>
          <w:szCs w:val="32"/>
        </w:rPr>
        <w:t>年</w:t>
      </w:r>
      <w:r>
        <w:rPr>
          <w:rFonts w:eastAsia="仿宋"/>
          <w:color w:val="000000"/>
          <w:sz w:val="32"/>
          <w:szCs w:val="32"/>
        </w:rPr>
        <w:t>“</w:t>
      </w:r>
      <w:r>
        <w:rPr>
          <w:rFonts w:hAnsi="仿宋" w:eastAsia="仿宋"/>
          <w:color w:val="000000"/>
          <w:sz w:val="32"/>
          <w:szCs w:val="32"/>
        </w:rPr>
        <w:t>三公</w:t>
      </w:r>
      <w:r>
        <w:rPr>
          <w:rFonts w:eastAsia="仿宋"/>
          <w:color w:val="000000"/>
          <w:sz w:val="32"/>
          <w:szCs w:val="32"/>
        </w:rPr>
        <w:t>”</w:t>
      </w:r>
      <w:r>
        <w:rPr>
          <w:rFonts w:hAnsi="仿宋" w:eastAsia="仿宋"/>
          <w:color w:val="000000"/>
          <w:sz w:val="32"/>
          <w:szCs w:val="32"/>
        </w:rPr>
        <w:t>经费财政拨款支出决算为</w:t>
      </w:r>
      <w:r>
        <w:rPr>
          <w:rFonts w:eastAsia="仿宋"/>
          <w:color w:val="000000"/>
          <w:sz w:val="32"/>
          <w:szCs w:val="32"/>
        </w:rPr>
        <w:t>98.64</w:t>
      </w:r>
      <w:r>
        <w:rPr>
          <w:rFonts w:hAnsi="仿宋" w:eastAsia="仿宋"/>
          <w:color w:val="000000"/>
          <w:sz w:val="32"/>
          <w:szCs w:val="32"/>
        </w:rPr>
        <w:t>万元，</w:t>
      </w:r>
      <w:r>
        <w:rPr>
          <w:rFonts w:hint="eastAsia" w:hAnsi="仿宋" w:eastAsia="仿宋"/>
          <w:color w:val="000000"/>
          <w:sz w:val="32"/>
          <w:szCs w:val="32"/>
        </w:rPr>
        <w:t>占预算控制额的比重为95.2</w:t>
      </w:r>
      <w:r>
        <w:rPr>
          <w:rFonts w:eastAsia="仿宋"/>
          <w:color w:val="000000"/>
          <w:sz w:val="32"/>
          <w:szCs w:val="32"/>
        </w:rPr>
        <w:t>%</w:t>
      </w:r>
      <w:r>
        <w:rPr>
          <w:rFonts w:hAnsi="仿宋" w:eastAsia="仿宋"/>
          <w:color w:val="000000"/>
          <w:sz w:val="32"/>
          <w:szCs w:val="32"/>
        </w:rPr>
        <w:t>。</w:t>
      </w:r>
      <w:bookmarkStart w:id="45" w:name="_Toc15377217"/>
    </w:p>
    <w:p>
      <w:pPr>
        <w:spacing w:line="578" w:lineRule="exact"/>
        <w:ind w:firstLine="640" w:firstLineChars="200"/>
        <w:rPr>
          <w:rFonts w:eastAsia="楷体"/>
          <w:color w:val="000000"/>
          <w:sz w:val="32"/>
          <w:szCs w:val="32"/>
        </w:rPr>
      </w:pPr>
      <w:r>
        <w:rPr>
          <w:rFonts w:hAnsi="楷体" w:eastAsia="楷体"/>
          <w:color w:val="000000"/>
          <w:sz w:val="32"/>
          <w:szCs w:val="32"/>
        </w:rPr>
        <w:t>（二）</w:t>
      </w:r>
      <w:r>
        <w:rPr>
          <w:rFonts w:eastAsia="楷体"/>
          <w:color w:val="000000"/>
          <w:sz w:val="32"/>
          <w:szCs w:val="32"/>
        </w:rPr>
        <w:t>“</w:t>
      </w:r>
      <w:r>
        <w:rPr>
          <w:rFonts w:hAnsi="楷体" w:eastAsia="楷体"/>
          <w:color w:val="000000"/>
          <w:sz w:val="32"/>
          <w:szCs w:val="32"/>
        </w:rPr>
        <w:t>三公</w:t>
      </w:r>
      <w:r>
        <w:rPr>
          <w:rFonts w:eastAsia="楷体"/>
          <w:color w:val="000000"/>
          <w:sz w:val="32"/>
          <w:szCs w:val="32"/>
        </w:rPr>
        <w:t>”</w:t>
      </w:r>
      <w:r>
        <w:rPr>
          <w:rFonts w:hAnsi="楷体" w:eastAsia="楷体"/>
          <w:color w:val="000000"/>
          <w:sz w:val="32"/>
          <w:szCs w:val="32"/>
        </w:rPr>
        <w:t>经费财政拨款支出决算具体情况说明</w:t>
      </w:r>
      <w:bookmarkEnd w:id="45"/>
    </w:p>
    <w:p>
      <w:pPr>
        <w:spacing w:line="578" w:lineRule="exact"/>
        <w:ind w:firstLine="640" w:firstLineChars="200"/>
        <w:rPr>
          <w:rFonts w:eastAsia="仿宋"/>
          <w:color w:val="000000"/>
          <w:sz w:val="32"/>
          <w:szCs w:val="32"/>
        </w:rPr>
      </w:pPr>
      <w:r>
        <w:rPr>
          <w:rFonts w:eastAsia="仿宋"/>
          <w:color w:val="000000"/>
          <w:sz w:val="32"/>
          <w:szCs w:val="32"/>
        </w:rPr>
        <w:t>2018</w:t>
      </w:r>
      <w:r>
        <w:rPr>
          <w:rFonts w:hAnsi="仿宋" w:eastAsia="仿宋"/>
          <w:color w:val="000000"/>
          <w:sz w:val="32"/>
          <w:szCs w:val="32"/>
        </w:rPr>
        <w:t>年</w:t>
      </w:r>
      <w:r>
        <w:rPr>
          <w:rFonts w:eastAsia="仿宋"/>
          <w:color w:val="000000"/>
          <w:sz w:val="32"/>
          <w:szCs w:val="32"/>
        </w:rPr>
        <w:t>“</w:t>
      </w:r>
      <w:r>
        <w:rPr>
          <w:rFonts w:hAnsi="仿宋" w:eastAsia="仿宋"/>
          <w:color w:val="000000"/>
          <w:sz w:val="32"/>
          <w:szCs w:val="32"/>
        </w:rPr>
        <w:t>三公</w:t>
      </w:r>
      <w:r>
        <w:rPr>
          <w:rFonts w:eastAsia="仿宋"/>
          <w:color w:val="000000"/>
          <w:sz w:val="32"/>
          <w:szCs w:val="32"/>
        </w:rPr>
        <w:t>”</w:t>
      </w:r>
      <w:r>
        <w:rPr>
          <w:rFonts w:hAnsi="仿宋" w:eastAsia="仿宋"/>
          <w:color w:val="000000"/>
          <w:sz w:val="32"/>
          <w:szCs w:val="32"/>
        </w:rPr>
        <w:t>经费财政拨款支出决算中，因公出国（境）费支出决算</w:t>
      </w:r>
      <w:r>
        <w:rPr>
          <w:rFonts w:eastAsia="仿宋"/>
          <w:color w:val="000000"/>
          <w:sz w:val="32"/>
          <w:szCs w:val="32"/>
        </w:rPr>
        <w:t>1.66</w:t>
      </w:r>
      <w:r>
        <w:rPr>
          <w:rFonts w:hAnsi="仿宋" w:eastAsia="仿宋"/>
          <w:color w:val="000000"/>
          <w:sz w:val="32"/>
          <w:szCs w:val="32"/>
        </w:rPr>
        <w:t>万元，占</w:t>
      </w:r>
      <w:r>
        <w:rPr>
          <w:rFonts w:eastAsia="仿宋"/>
          <w:color w:val="000000"/>
          <w:sz w:val="32"/>
          <w:szCs w:val="32"/>
        </w:rPr>
        <w:t>1.69%</w:t>
      </w:r>
      <w:r>
        <w:rPr>
          <w:rFonts w:hAnsi="仿宋" w:eastAsia="仿宋"/>
          <w:color w:val="000000"/>
          <w:sz w:val="32"/>
          <w:szCs w:val="32"/>
        </w:rPr>
        <w:t>；公务用车购置及运行维护费支出决算</w:t>
      </w:r>
      <w:r>
        <w:rPr>
          <w:rFonts w:eastAsia="仿宋"/>
          <w:color w:val="000000"/>
          <w:sz w:val="32"/>
          <w:szCs w:val="32"/>
        </w:rPr>
        <w:t>94.95</w:t>
      </w:r>
      <w:r>
        <w:rPr>
          <w:rFonts w:hAnsi="仿宋" w:eastAsia="仿宋"/>
          <w:color w:val="000000"/>
          <w:sz w:val="32"/>
          <w:szCs w:val="32"/>
        </w:rPr>
        <w:t>万元，占</w:t>
      </w:r>
      <w:r>
        <w:rPr>
          <w:rFonts w:eastAsia="仿宋"/>
          <w:color w:val="000000"/>
          <w:sz w:val="32"/>
          <w:szCs w:val="32"/>
        </w:rPr>
        <w:t>96.26%</w:t>
      </w:r>
      <w:r>
        <w:rPr>
          <w:rFonts w:hAnsi="仿宋" w:eastAsia="仿宋"/>
          <w:color w:val="000000"/>
          <w:sz w:val="32"/>
          <w:szCs w:val="32"/>
        </w:rPr>
        <w:t>；公务接待费支出决算</w:t>
      </w:r>
      <w:r>
        <w:rPr>
          <w:rFonts w:eastAsia="仿宋"/>
          <w:color w:val="000000"/>
          <w:sz w:val="32"/>
          <w:szCs w:val="32"/>
        </w:rPr>
        <w:t>2.03</w:t>
      </w:r>
      <w:r>
        <w:rPr>
          <w:rFonts w:hAnsi="仿宋" w:eastAsia="仿宋"/>
          <w:color w:val="000000"/>
          <w:sz w:val="32"/>
          <w:szCs w:val="32"/>
        </w:rPr>
        <w:t>万元，占</w:t>
      </w:r>
      <w:r>
        <w:rPr>
          <w:rFonts w:eastAsia="仿宋"/>
          <w:color w:val="000000"/>
          <w:sz w:val="32"/>
          <w:szCs w:val="32"/>
        </w:rPr>
        <w:t>2.05%</w:t>
      </w:r>
      <w:r>
        <w:rPr>
          <w:rFonts w:hAnsi="仿宋" w:eastAsia="仿宋"/>
          <w:color w:val="000000"/>
          <w:sz w:val="32"/>
          <w:szCs w:val="32"/>
        </w:rPr>
        <w:t>。具体情况如下：</w:t>
      </w:r>
    </w:p>
    <w:p>
      <w:pPr>
        <w:spacing w:line="578" w:lineRule="exact"/>
        <w:ind w:firstLine="640" w:firstLineChars="200"/>
        <w:rPr>
          <w:rFonts w:eastAsia="仿宋"/>
          <w:color w:val="000000"/>
          <w:sz w:val="32"/>
          <w:szCs w:val="32"/>
        </w:rPr>
      </w:pPr>
      <w:r>
        <w:rPr>
          <w:rFonts w:hAnsi="仿宋" w:eastAsia="仿宋"/>
          <w:color w:val="000000"/>
          <w:sz w:val="32"/>
          <w:szCs w:val="32"/>
        </w:rPr>
        <w:t>图</w:t>
      </w:r>
      <w:r>
        <w:rPr>
          <w:rFonts w:eastAsia="仿宋"/>
          <w:color w:val="000000"/>
          <w:sz w:val="32"/>
          <w:szCs w:val="32"/>
        </w:rPr>
        <w:t>8</w:t>
      </w:r>
      <w:r>
        <w:rPr>
          <w:rFonts w:hAnsi="仿宋" w:eastAsia="仿宋"/>
          <w:color w:val="000000"/>
          <w:sz w:val="32"/>
          <w:szCs w:val="32"/>
        </w:rPr>
        <w:t>：</w:t>
      </w:r>
      <w:r>
        <w:rPr>
          <w:rFonts w:eastAsia="仿宋"/>
          <w:color w:val="000000"/>
          <w:sz w:val="32"/>
          <w:szCs w:val="32"/>
        </w:rPr>
        <w:t>“</w:t>
      </w:r>
      <w:r>
        <w:rPr>
          <w:rFonts w:hAnsi="仿宋" w:eastAsia="仿宋"/>
          <w:color w:val="000000"/>
          <w:sz w:val="32"/>
          <w:szCs w:val="32"/>
        </w:rPr>
        <w:t>三公</w:t>
      </w:r>
      <w:r>
        <w:rPr>
          <w:rFonts w:eastAsia="仿宋"/>
          <w:color w:val="000000"/>
          <w:sz w:val="32"/>
          <w:szCs w:val="32"/>
        </w:rPr>
        <w:t>”</w:t>
      </w:r>
      <w:r>
        <w:rPr>
          <w:rFonts w:hAnsi="仿宋" w:eastAsia="仿宋"/>
          <w:color w:val="000000"/>
          <w:sz w:val="32"/>
          <w:szCs w:val="32"/>
        </w:rPr>
        <w:t>经费财政拨款支出结构</w:t>
      </w:r>
    </w:p>
    <w:p>
      <w:pPr>
        <w:rPr>
          <w:rFonts w:eastAsia="仿宋"/>
          <w:color w:val="000000"/>
          <w:sz w:val="32"/>
          <w:szCs w:val="32"/>
        </w:rPr>
      </w:pPr>
      <w:r>
        <w:rPr>
          <w:rFonts w:eastAsia="仿宋"/>
          <w:color w:val="000000"/>
          <w:sz w:val="32"/>
          <w:szCs w:val="32"/>
        </w:rPr>
        <w:pict>
          <v:shape id="_x0000_s1036" o:spid="_x0000_s1036" o:spt="202" type="#_x0000_t202" style="position:absolute;left:0pt;margin-left:141.75pt;margin-top:19.95pt;height:21.75pt;width:64.5pt;z-index:251667456;mso-width-relative:page;mso-height-relative:page;" filled="f" stroked="f" coordsize="21600,21600">
            <v:path/>
            <v:fill on="f" focussize="0,0"/>
            <v:stroke on="f" joinstyle="miter"/>
            <v:imagedata o:title=""/>
            <o:lock v:ext="edit"/>
            <v:textbox>
              <w:txbxContent>
                <w:p>
                  <w:r>
                    <w:rPr>
                      <w:rFonts w:hint="eastAsia"/>
                    </w:rPr>
                    <w:t>1.66万元</w:t>
                  </w:r>
                </w:p>
              </w:txbxContent>
            </v:textbox>
          </v:shape>
        </w:pict>
      </w:r>
      <w:r>
        <w:rPr>
          <w:rFonts w:eastAsia="仿宋"/>
          <w:color w:val="000000"/>
          <w:sz w:val="32"/>
          <w:szCs w:val="32"/>
        </w:rPr>
        <w:drawing>
          <wp:inline distT="0" distB="0" distL="0" distR="0">
            <wp:extent cx="5274310" cy="2057400"/>
            <wp:effectExtent l="19050" t="0" r="21590" b="0"/>
            <wp:docPr id="8" name="图表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pPr>
        <w:spacing w:line="580" w:lineRule="exact"/>
        <w:ind w:firstLine="640" w:firstLineChars="200"/>
        <w:rPr>
          <w:rFonts w:eastAsia="仿宋_GB2312"/>
          <w:color w:val="000000"/>
          <w:sz w:val="32"/>
          <w:szCs w:val="32"/>
        </w:rPr>
      </w:pPr>
      <w:r>
        <w:rPr>
          <w:rFonts w:eastAsia="仿宋_GB2312"/>
          <w:color w:val="000000"/>
          <w:sz w:val="32"/>
          <w:szCs w:val="32"/>
        </w:rPr>
        <w:t>1.因公出国（境）经费支出1.66万元，</w:t>
      </w:r>
      <w:r>
        <w:rPr>
          <w:rFonts w:hint="eastAsia" w:hAnsi="仿宋" w:eastAsia="仿宋"/>
          <w:color w:val="000000"/>
          <w:sz w:val="32"/>
          <w:szCs w:val="32"/>
        </w:rPr>
        <w:t>占预算控制额的比重为</w:t>
      </w:r>
      <w:r>
        <w:rPr>
          <w:rFonts w:hint="eastAsia" w:eastAsia="仿宋_GB2312"/>
          <w:color w:val="000000"/>
          <w:sz w:val="32"/>
          <w:szCs w:val="32"/>
        </w:rPr>
        <w:t>100%。</w:t>
      </w:r>
      <w:r>
        <w:rPr>
          <w:rFonts w:eastAsia="仿宋_GB2312"/>
          <w:color w:val="000000"/>
          <w:sz w:val="32"/>
          <w:szCs w:val="32"/>
        </w:rPr>
        <w:t>全年安排因公出国（境）团组1次，出国（境）1人。因公出国（境）支出决算比2017年减少1.59万元，下降48.91%。主要原因是受地域、时间等因素影响，按规定报销</w:t>
      </w:r>
      <w:r>
        <w:rPr>
          <w:rFonts w:hint="eastAsia" w:eastAsia="仿宋_GB2312"/>
          <w:color w:val="000000"/>
          <w:sz w:val="32"/>
          <w:szCs w:val="32"/>
        </w:rPr>
        <w:t>的</w:t>
      </w:r>
      <w:r>
        <w:rPr>
          <w:rFonts w:eastAsia="仿宋_GB2312"/>
          <w:color w:val="000000"/>
          <w:sz w:val="32"/>
          <w:szCs w:val="32"/>
        </w:rPr>
        <w:t>因公出国境经费有所减少。</w:t>
      </w:r>
    </w:p>
    <w:p>
      <w:pPr>
        <w:spacing w:line="580" w:lineRule="exact"/>
        <w:ind w:firstLine="640"/>
        <w:rPr>
          <w:rFonts w:eastAsia="仿宋_GB2312"/>
          <w:color w:val="000000"/>
          <w:sz w:val="32"/>
          <w:szCs w:val="32"/>
        </w:rPr>
      </w:pPr>
      <w:r>
        <w:rPr>
          <w:rFonts w:eastAsia="仿宋_GB2312"/>
          <w:color w:val="000000"/>
          <w:sz w:val="32"/>
          <w:szCs w:val="32"/>
        </w:rPr>
        <w:t>开支内容包括：按照要求，市委台办派遣1名人员，赴台湾参加2018年全省乡村旅游产业带头人学习交流活动。</w:t>
      </w:r>
    </w:p>
    <w:p>
      <w:pPr>
        <w:spacing w:line="580" w:lineRule="exact"/>
        <w:ind w:firstLine="640"/>
        <w:rPr>
          <w:rFonts w:eastAsia="仿宋_GB2312"/>
          <w:color w:val="000000"/>
          <w:sz w:val="32"/>
          <w:szCs w:val="32"/>
        </w:rPr>
      </w:pPr>
      <w:r>
        <w:rPr>
          <w:rFonts w:eastAsia="仿宋_GB2312"/>
          <w:color w:val="000000"/>
          <w:sz w:val="32"/>
          <w:szCs w:val="32"/>
        </w:rPr>
        <w:t>2.公务用车购置及运行维护费支出94.95万元,</w:t>
      </w:r>
      <w:r>
        <w:rPr>
          <w:rFonts w:hint="eastAsia" w:hAnsi="仿宋" w:eastAsia="仿宋"/>
          <w:color w:val="000000"/>
          <w:sz w:val="32"/>
          <w:szCs w:val="32"/>
        </w:rPr>
        <w:t xml:space="preserve"> 占预算控制额的比重为99.9</w:t>
      </w:r>
      <w:r>
        <w:rPr>
          <w:rStyle w:val="14"/>
          <w:rFonts w:eastAsia="仿宋_GB2312"/>
          <w:b w:val="0"/>
          <w:bCs/>
          <w:color w:val="000000"/>
          <w:sz w:val="32"/>
          <w:szCs w:val="32"/>
        </w:rPr>
        <w:t>%</w:t>
      </w:r>
      <w:r>
        <w:rPr>
          <w:rStyle w:val="14"/>
          <w:rFonts w:eastAsia="仿宋_GB2312"/>
          <w:bCs/>
          <w:color w:val="000000"/>
          <w:sz w:val="32"/>
          <w:szCs w:val="32"/>
        </w:rPr>
        <w:t>。</w:t>
      </w:r>
      <w:r>
        <w:rPr>
          <w:rFonts w:eastAsia="仿宋_GB2312"/>
          <w:color w:val="000000"/>
          <w:sz w:val="32"/>
          <w:szCs w:val="32"/>
        </w:rPr>
        <w:t>公务用车购置及运行维护费支出决算比2017年增加68.81万元，增长263.16%。主要原因是:为保障工作需要，市委办公室在本单位公务用车编制范围内更新车辆1辆，使得公务用车购置费（含相关税费）较上年增加65.1万元。</w:t>
      </w:r>
    </w:p>
    <w:p>
      <w:pPr>
        <w:spacing w:line="580" w:lineRule="exact"/>
        <w:ind w:firstLine="640" w:firstLineChars="200"/>
        <w:rPr>
          <w:rFonts w:eastAsia="仿宋_GB2312"/>
          <w:color w:val="000000"/>
          <w:sz w:val="32"/>
          <w:szCs w:val="32"/>
        </w:rPr>
      </w:pPr>
      <w:r>
        <w:rPr>
          <w:rFonts w:eastAsia="仿宋_GB2312"/>
          <w:color w:val="000000"/>
          <w:sz w:val="32"/>
          <w:szCs w:val="32"/>
        </w:rPr>
        <w:t>其中：公务用车购置支出65.06万元（含车辆购置税5.2万元）。全年按规定更新购置公务用车（越野车）1辆，主要用于保障下乡调研工作开展。截至2018年12月底，单位共有公务用车</w:t>
      </w:r>
      <w:r>
        <w:rPr>
          <w:rFonts w:hint="eastAsia" w:eastAsia="仿宋_GB2312"/>
          <w:color w:val="000000"/>
          <w:sz w:val="32"/>
          <w:szCs w:val="32"/>
        </w:rPr>
        <w:t>11</w:t>
      </w:r>
      <w:r>
        <w:rPr>
          <w:rFonts w:eastAsia="仿宋_GB2312"/>
          <w:color w:val="000000"/>
          <w:sz w:val="32"/>
          <w:szCs w:val="32"/>
        </w:rPr>
        <w:t>辆，其中：轿车</w:t>
      </w:r>
      <w:r>
        <w:rPr>
          <w:rFonts w:hint="eastAsia" w:eastAsia="仿宋_GB2312"/>
          <w:color w:val="000000"/>
          <w:sz w:val="32"/>
          <w:szCs w:val="32"/>
        </w:rPr>
        <w:t>6</w:t>
      </w:r>
      <w:r>
        <w:rPr>
          <w:rFonts w:eastAsia="仿宋_GB2312"/>
          <w:color w:val="000000"/>
          <w:sz w:val="32"/>
          <w:szCs w:val="32"/>
        </w:rPr>
        <w:t>辆、越野车5辆。</w:t>
      </w:r>
    </w:p>
    <w:p>
      <w:pPr>
        <w:spacing w:line="580" w:lineRule="exact"/>
        <w:ind w:firstLine="640"/>
        <w:rPr>
          <w:rFonts w:eastAsia="仿宋_GB2312"/>
          <w:color w:val="000000"/>
          <w:sz w:val="32"/>
          <w:szCs w:val="32"/>
        </w:rPr>
      </w:pPr>
      <w:r>
        <w:rPr>
          <w:rFonts w:eastAsia="仿宋_GB2312"/>
          <w:color w:val="000000"/>
          <w:sz w:val="32"/>
          <w:szCs w:val="32"/>
        </w:rPr>
        <w:t>公务用车运行维护费支出29.89万元。主要用于下乡调研以及其他远程公务出行等所需的公务用车燃料费、维修费、过路过桥费、保险费等支出。</w:t>
      </w:r>
    </w:p>
    <w:p>
      <w:pPr>
        <w:spacing w:line="580" w:lineRule="exact"/>
        <w:ind w:firstLine="640"/>
        <w:rPr>
          <w:rFonts w:eastAsia="仿宋_GB2312"/>
          <w:color w:val="000000"/>
          <w:sz w:val="32"/>
          <w:szCs w:val="32"/>
        </w:rPr>
      </w:pPr>
      <w:r>
        <w:rPr>
          <w:rFonts w:eastAsia="仿宋_GB2312"/>
          <w:color w:val="000000"/>
          <w:sz w:val="32"/>
          <w:szCs w:val="32"/>
        </w:rPr>
        <w:t>3.公务接待费支出2.02万元，</w:t>
      </w:r>
      <w:r>
        <w:rPr>
          <w:rFonts w:hint="eastAsia" w:hAnsi="仿宋" w:eastAsia="仿宋"/>
          <w:color w:val="000000"/>
          <w:sz w:val="32"/>
          <w:szCs w:val="32"/>
        </w:rPr>
        <w:t>占预算控制额的比重为29.2</w:t>
      </w:r>
      <w:r>
        <w:rPr>
          <w:rStyle w:val="14"/>
          <w:rFonts w:eastAsia="仿宋_GB2312"/>
          <w:b w:val="0"/>
          <w:bCs/>
          <w:color w:val="000000"/>
          <w:sz w:val="32"/>
          <w:szCs w:val="32"/>
        </w:rPr>
        <w:t>%</w:t>
      </w:r>
      <w:r>
        <w:rPr>
          <w:rStyle w:val="14"/>
          <w:rFonts w:eastAsia="仿宋_GB2312"/>
          <w:bCs/>
          <w:color w:val="000000"/>
          <w:sz w:val="32"/>
          <w:szCs w:val="32"/>
        </w:rPr>
        <w:t>。</w:t>
      </w:r>
      <w:r>
        <w:rPr>
          <w:rFonts w:eastAsia="仿宋_GB2312"/>
          <w:color w:val="000000"/>
          <w:sz w:val="32"/>
          <w:szCs w:val="32"/>
        </w:rPr>
        <w:t>公务接待费支出决算比2017年减少1.41万元，下降40.99%。主要原因是：公务接待批次、人次减少，公务接待经费相应减少。</w:t>
      </w:r>
    </w:p>
    <w:p>
      <w:pPr>
        <w:spacing w:line="580" w:lineRule="exact"/>
        <w:ind w:firstLine="640" w:firstLineChars="200"/>
        <w:rPr>
          <w:rFonts w:eastAsia="仿宋_GB2312"/>
          <w:color w:val="000000"/>
          <w:sz w:val="32"/>
          <w:szCs w:val="32"/>
        </w:rPr>
      </w:pPr>
      <w:r>
        <w:rPr>
          <w:rFonts w:eastAsia="仿宋_GB2312"/>
          <w:color w:val="000000"/>
          <w:sz w:val="32"/>
          <w:szCs w:val="32"/>
        </w:rPr>
        <w:t>主要用于执行公务、开展业务活动开支的交通费、住宿费、用餐费等。国内公务接待17批次，79人次（不包括陪同人员），具体内容包括：接待上级、其他地区人员到攀枝花调研检查和交流学习。</w:t>
      </w:r>
    </w:p>
    <w:p>
      <w:pPr>
        <w:spacing w:line="580" w:lineRule="exact"/>
        <w:ind w:firstLine="640" w:firstLineChars="200"/>
        <w:rPr>
          <w:rFonts w:eastAsia="仿宋_GB2312"/>
          <w:color w:val="000000" w:themeColor="text1"/>
          <w:sz w:val="32"/>
          <w:szCs w:val="32"/>
        </w:rPr>
      </w:pPr>
      <w:r>
        <w:rPr>
          <w:rFonts w:eastAsia="仿宋_GB2312"/>
          <w:color w:val="000000"/>
          <w:sz w:val="32"/>
          <w:szCs w:val="32"/>
        </w:rPr>
        <w:t>2018年，未发生外事接待支出。</w:t>
      </w:r>
    </w:p>
    <w:p>
      <w:pPr>
        <w:spacing w:line="580" w:lineRule="exact"/>
        <w:ind w:firstLine="640"/>
        <w:outlineLvl w:val="1"/>
        <w:rPr>
          <w:rStyle w:val="25"/>
          <w:rFonts w:ascii="Times New Roman" w:hAnsi="Times New Roman" w:eastAsia="黑体" w:cs="Times New Roman"/>
        </w:rPr>
      </w:pPr>
      <w:bookmarkStart w:id="46" w:name="_Toc15396610"/>
      <w:bookmarkStart w:id="47" w:name="_Toc15377218"/>
      <w:r>
        <w:rPr>
          <w:rFonts w:eastAsia="黑体"/>
          <w:color w:val="000000"/>
          <w:sz w:val="32"/>
          <w:szCs w:val="32"/>
        </w:rPr>
        <w:t>八、</w:t>
      </w:r>
      <w:r>
        <w:rPr>
          <w:rStyle w:val="25"/>
          <w:rFonts w:ascii="Times New Roman" w:hAnsi="黑体" w:eastAsia="黑体" w:cs="Times New Roman"/>
          <w:b w:val="0"/>
        </w:rPr>
        <w:t>政府性基金预算支出决算情况说明</w:t>
      </w:r>
      <w:bookmarkEnd w:id="46"/>
      <w:bookmarkEnd w:id="47"/>
    </w:p>
    <w:p>
      <w:pPr>
        <w:spacing w:line="580" w:lineRule="exact"/>
        <w:ind w:firstLine="640"/>
        <w:rPr>
          <w:rFonts w:eastAsia="仿宋_GB2312"/>
          <w:color w:val="000000"/>
          <w:sz w:val="32"/>
          <w:szCs w:val="32"/>
        </w:rPr>
      </w:pPr>
      <w:r>
        <w:rPr>
          <w:rFonts w:eastAsia="仿宋_GB2312"/>
          <w:color w:val="000000"/>
          <w:sz w:val="32"/>
          <w:szCs w:val="32"/>
        </w:rPr>
        <w:t>2018年政府性基金预算拨款支出0万元。</w:t>
      </w:r>
    </w:p>
    <w:p>
      <w:pPr>
        <w:numPr>
          <w:ilvl w:val="0"/>
          <w:numId w:val="2"/>
        </w:numPr>
        <w:spacing w:line="580" w:lineRule="exact"/>
        <w:ind w:firstLine="640"/>
        <w:outlineLvl w:val="1"/>
        <w:rPr>
          <w:rStyle w:val="25"/>
          <w:rFonts w:ascii="Times New Roman" w:hAnsi="Times New Roman" w:eastAsia="黑体" w:cs="Times New Roman"/>
          <w:b w:val="0"/>
        </w:rPr>
      </w:pPr>
      <w:bookmarkStart w:id="48" w:name="_Toc15396611"/>
      <w:bookmarkStart w:id="49" w:name="_Toc15377219"/>
      <w:r>
        <w:rPr>
          <w:rStyle w:val="25"/>
          <w:rFonts w:ascii="Times New Roman" w:hAnsi="黑体" w:eastAsia="黑体" w:cs="Times New Roman"/>
          <w:b w:val="0"/>
        </w:rPr>
        <w:t>国有资本经营预算支出决算情况说明</w:t>
      </w:r>
      <w:bookmarkEnd w:id="48"/>
      <w:bookmarkEnd w:id="49"/>
    </w:p>
    <w:p>
      <w:pPr>
        <w:spacing w:line="580" w:lineRule="exact"/>
        <w:ind w:firstLine="640"/>
        <w:rPr>
          <w:rFonts w:eastAsia="仿宋_GB2312"/>
          <w:color w:val="000000"/>
          <w:sz w:val="32"/>
          <w:szCs w:val="32"/>
        </w:rPr>
      </w:pPr>
      <w:r>
        <w:rPr>
          <w:rFonts w:eastAsia="仿宋_GB2312"/>
          <w:color w:val="000000"/>
          <w:sz w:val="32"/>
          <w:szCs w:val="32"/>
        </w:rPr>
        <w:t>2018年国有资本经营预算拨款支出0万元。</w:t>
      </w:r>
    </w:p>
    <w:p>
      <w:pPr>
        <w:pStyle w:val="23"/>
        <w:numPr>
          <w:ilvl w:val="0"/>
          <w:numId w:val="3"/>
        </w:numPr>
        <w:spacing w:line="580" w:lineRule="exact"/>
        <w:ind w:firstLineChars="0"/>
        <w:rPr>
          <w:rStyle w:val="25"/>
          <w:rFonts w:ascii="Times New Roman" w:hAnsi="Times New Roman" w:eastAsia="黑体" w:cs="Times New Roman"/>
          <w:b w:val="0"/>
        </w:rPr>
      </w:pPr>
      <w:r>
        <w:rPr>
          <w:rStyle w:val="25"/>
          <w:rFonts w:ascii="Times New Roman" w:hAnsi="黑体" w:eastAsia="黑体" w:cs="Times New Roman"/>
          <w:b w:val="0"/>
        </w:rPr>
        <w:t>预算绩效情况说明</w:t>
      </w:r>
    </w:p>
    <w:p>
      <w:pPr>
        <w:numPr>
          <w:ilvl w:val="0"/>
          <w:numId w:val="4"/>
        </w:numPr>
        <w:spacing w:line="580" w:lineRule="exact"/>
        <w:ind w:firstLine="640" w:firstLineChars="200"/>
        <w:rPr>
          <w:rFonts w:eastAsia="楷体"/>
          <w:bCs/>
          <w:sz w:val="32"/>
          <w:szCs w:val="32"/>
        </w:rPr>
      </w:pPr>
      <w:r>
        <w:rPr>
          <w:rFonts w:hAnsi="楷体" w:eastAsia="楷体"/>
          <w:bCs/>
          <w:sz w:val="32"/>
          <w:szCs w:val="32"/>
        </w:rPr>
        <w:t>预算绩效管理工作开展情况。</w:t>
      </w:r>
    </w:p>
    <w:p>
      <w:pPr>
        <w:spacing w:line="580" w:lineRule="exact"/>
        <w:ind w:firstLine="640" w:firstLineChars="200"/>
        <w:rPr>
          <w:rFonts w:eastAsia="仿宋_GB2312"/>
          <w:sz w:val="32"/>
          <w:szCs w:val="32"/>
        </w:rPr>
      </w:pPr>
      <w:r>
        <w:rPr>
          <w:rFonts w:hAnsi="仿宋_GB2312" w:eastAsia="仿宋_GB2312"/>
          <w:sz w:val="32"/>
          <w:szCs w:val="32"/>
        </w:rPr>
        <w:t>根据预算绩效管理要求，本部门（单位）在年初预算编制阶段，对纳入预算安排的项目试编了绩效目标。同时，预算执行过程中，密切关注项目推进及资金执行，及时纠正实施过程中出现的偏差，确保资金效益有效发挥。</w:t>
      </w:r>
    </w:p>
    <w:p>
      <w:pPr>
        <w:spacing w:line="580" w:lineRule="exact"/>
        <w:ind w:firstLine="640" w:firstLineChars="200"/>
        <w:rPr>
          <w:rFonts w:eastAsia="仿宋"/>
          <w:sz w:val="32"/>
          <w:szCs w:val="32"/>
        </w:rPr>
      </w:pPr>
      <w:r>
        <w:rPr>
          <w:rFonts w:hAnsi="仿宋_GB2312" w:eastAsia="仿宋_GB2312"/>
          <w:sz w:val="32"/>
          <w:szCs w:val="32"/>
        </w:rPr>
        <w:t>本部门按要求对</w:t>
      </w:r>
      <w:r>
        <w:rPr>
          <w:rFonts w:eastAsia="仿宋_GB2312"/>
          <w:sz w:val="32"/>
          <w:szCs w:val="32"/>
        </w:rPr>
        <w:t>2018</w:t>
      </w:r>
      <w:r>
        <w:rPr>
          <w:rFonts w:hAnsi="仿宋_GB2312" w:eastAsia="仿宋_GB2312"/>
          <w:sz w:val="32"/>
          <w:szCs w:val="32"/>
        </w:rPr>
        <w:t>年部门整体支出开展绩效自评，从评价情况来看，</w:t>
      </w:r>
      <w:r>
        <w:rPr>
          <w:rFonts w:eastAsia="仿宋"/>
          <w:sz w:val="32"/>
          <w:szCs w:val="32"/>
        </w:rPr>
        <w:t>2018年市委办预算编制较规范，工作任务较明确，整体绩效良好。</w:t>
      </w:r>
    </w:p>
    <w:p>
      <w:pPr>
        <w:spacing w:line="580" w:lineRule="exact"/>
        <w:ind w:firstLine="640" w:firstLineChars="200"/>
        <w:rPr>
          <w:rFonts w:hAnsi="楷体" w:eastAsia="楷体"/>
          <w:bCs/>
          <w:sz w:val="32"/>
          <w:szCs w:val="32"/>
        </w:rPr>
      </w:pPr>
      <w:r>
        <w:rPr>
          <w:rFonts w:hint="eastAsia" w:eastAsia="仿宋"/>
          <w:sz w:val="32"/>
          <w:szCs w:val="32"/>
        </w:rPr>
        <w:t>（二）</w:t>
      </w:r>
      <w:r>
        <w:rPr>
          <w:rFonts w:hAnsi="楷体" w:eastAsia="楷体"/>
          <w:bCs/>
          <w:sz w:val="32"/>
          <w:szCs w:val="32"/>
        </w:rPr>
        <w:t>项目绩效目标完成情况。</w:t>
      </w:r>
    </w:p>
    <w:p>
      <w:pPr>
        <w:rPr>
          <w:rFonts w:eastAsia="仿宋_GB2312"/>
          <w:sz w:val="32"/>
          <w:szCs w:val="32"/>
        </w:rPr>
      </w:pPr>
      <w:r>
        <w:rPr>
          <w:rFonts w:eastAsia="仿宋_GB2312"/>
          <w:sz w:val="32"/>
          <w:szCs w:val="32"/>
        </w:rPr>
        <w:t xml:space="preserve">    </w:t>
      </w:r>
      <w:r>
        <w:rPr>
          <w:rFonts w:hAnsi="仿宋_GB2312" w:eastAsia="仿宋_GB2312"/>
          <w:sz w:val="32"/>
          <w:szCs w:val="32"/>
        </w:rPr>
        <w:t>本部门在</w:t>
      </w:r>
      <w:r>
        <w:rPr>
          <w:rFonts w:eastAsia="仿宋_GB2312"/>
          <w:sz w:val="32"/>
          <w:szCs w:val="32"/>
        </w:rPr>
        <w:t>2018</w:t>
      </w:r>
      <w:r>
        <w:rPr>
          <w:rFonts w:hAnsi="仿宋_GB2312" w:eastAsia="仿宋_GB2312"/>
          <w:sz w:val="32"/>
          <w:szCs w:val="32"/>
        </w:rPr>
        <w:t>年度部门决算中反映目标督查管理信息系统平台升级改造和手机</w:t>
      </w:r>
      <w:r>
        <w:rPr>
          <w:rFonts w:eastAsia="仿宋_GB2312"/>
          <w:sz w:val="32"/>
          <w:szCs w:val="32"/>
        </w:rPr>
        <w:t>APP</w:t>
      </w:r>
      <w:r>
        <w:rPr>
          <w:rFonts w:hAnsi="仿宋_GB2312" w:eastAsia="仿宋_GB2312"/>
          <w:sz w:val="32"/>
          <w:szCs w:val="32"/>
        </w:rPr>
        <w:t>开发、机要高清业务费、《中共攀枝花执政实录》《攀枝花纪事及四川改革开放实录》编撰出版</w:t>
      </w:r>
      <w:r>
        <w:rPr>
          <w:rFonts w:hint="eastAsia" w:hAnsi="仿宋_GB2312" w:eastAsia="仿宋_GB2312"/>
          <w:sz w:val="32"/>
          <w:szCs w:val="32"/>
        </w:rPr>
        <w:t>、</w:t>
      </w:r>
      <w:r>
        <w:rPr>
          <w:rFonts w:hAnsi="仿宋_GB2312" w:eastAsia="仿宋_GB2312"/>
          <w:sz w:val="32"/>
          <w:szCs w:val="32"/>
        </w:rPr>
        <w:t>全市电子政务公共机房电费</w:t>
      </w:r>
      <w:r>
        <w:rPr>
          <w:rFonts w:hint="eastAsia" w:hAnsi="仿宋_GB2312" w:eastAsia="仿宋_GB2312"/>
          <w:sz w:val="32"/>
          <w:szCs w:val="32"/>
        </w:rPr>
        <w:t>、</w:t>
      </w:r>
      <w:r>
        <w:rPr>
          <w:rFonts w:hAnsi="仿宋_GB2312" w:eastAsia="仿宋_GB2312"/>
          <w:sz w:val="32"/>
          <w:szCs w:val="32"/>
        </w:rPr>
        <w:t>全市电子政务网络租赁费等</w:t>
      </w:r>
      <w:r>
        <w:rPr>
          <w:rFonts w:eastAsia="仿宋_GB2312"/>
          <w:sz w:val="32"/>
          <w:szCs w:val="32"/>
        </w:rPr>
        <w:t>5</w:t>
      </w:r>
      <w:r>
        <w:rPr>
          <w:rFonts w:hAnsi="仿宋_GB2312" w:eastAsia="仿宋_GB2312"/>
          <w:sz w:val="32"/>
          <w:szCs w:val="32"/>
        </w:rPr>
        <w:t>个项目绩效目标实际完成情况。</w:t>
      </w:r>
    </w:p>
    <w:p>
      <w:pPr>
        <w:spacing w:line="580" w:lineRule="exact"/>
        <w:ind w:firstLine="640"/>
        <w:rPr>
          <w:rFonts w:eastAsia="仿宋_GB2312"/>
          <w:sz w:val="32"/>
          <w:szCs w:val="32"/>
        </w:rPr>
      </w:pPr>
      <w:r>
        <w:rPr>
          <w:rFonts w:eastAsia="仿宋_GB2312"/>
          <w:sz w:val="32"/>
          <w:szCs w:val="32"/>
        </w:rPr>
        <w:t>1.</w:t>
      </w:r>
      <w:r>
        <w:rPr>
          <w:rFonts w:hAnsi="仿宋_GB2312" w:eastAsia="仿宋_GB2312"/>
          <w:sz w:val="32"/>
          <w:szCs w:val="32"/>
        </w:rPr>
        <w:t>目标督查管理信息系统平台升级改造和手机</w:t>
      </w:r>
      <w:r>
        <w:rPr>
          <w:rFonts w:eastAsia="仿宋_GB2312"/>
          <w:sz w:val="32"/>
          <w:szCs w:val="32"/>
        </w:rPr>
        <w:t>APP</w:t>
      </w:r>
      <w:r>
        <w:rPr>
          <w:rFonts w:hAnsi="仿宋_GB2312" w:eastAsia="仿宋_GB2312"/>
          <w:sz w:val="32"/>
          <w:szCs w:val="32"/>
        </w:rPr>
        <w:t>开发项目绩效目标完成情况综述。项目全年预算数</w:t>
      </w:r>
      <w:r>
        <w:rPr>
          <w:rFonts w:eastAsia="仿宋_GB2312"/>
          <w:sz w:val="32"/>
          <w:szCs w:val="32"/>
        </w:rPr>
        <w:t>29.8</w:t>
      </w:r>
      <w:r>
        <w:rPr>
          <w:rFonts w:hAnsi="仿宋_GB2312" w:eastAsia="仿宋_GB2312"/>
          <w:sz w:val="32"/>
          <w:szCs w:val="32"/>
        </w:rPr>
        <w:t>万元，执行数为</w:t>
      </w:r>
      <w:r>
        <w:rPr>
          <w:rFonts w:eastAsia="仿宋_GB2312"/>
          <w:sz w:val="32"/>
          <w:szCs w:val="32"/>
        </w:rPr>
        <w:t>29.8</w:t>
      </w:r>
      <w:r>
        <w:rPr>
          <w:rFonts w:hAnsi="仿宋_GB2312" w:eastAsia="仿宋_GB2312"/>
          <w:sz w:val="32"/>
          <w:szCs w:val="32"/>
        </w:rPr>
        <w:t>万元，完成预算的</w:t>
      </w:r>
      <w:r>
        <w:rPr>
          <w:rFonts w:eastAsia="仿宋_GB2312"/>
          <w:sz w:val="32"/>
          <w:szCs w:val="32"/>
        </w:rPr>
        <w:t>100%</w:t>
      </w:r>
      <w:r>
        <w:rPr>
          <w:rFonts w:hAnsi="仿宋_GB2312" w:eastAsia="仿宋_GB2312"/>
          <w:sz w:val="32"/>
          <w:szCs w:val="32"/>
        </w:rPr>
        <w:t>。通过项目实施，完成了攀枝花市目标督查管理系统的升级改造和手机</w:t>
      </w:r>
      <w:r>
        <w:rPr>
          <w:rFonts w:eastAsia="仿宋_GB2312"/>
          <w:sz w:val="32"/>
          <w:szCs w:val="32"/>
        </w:rPr>
        <w:t>APP</w:t>
      </w:r>
      <w:r>
        <w:rPr>
          <w:rFonts w:hAnsi="仿宋_GB2312" w:eastAsia="仿宋_GB2312"/>
          <w:sz w:val="32"/>
          <w:szCs w:val="32"/>
        </w:rPr>
        <w:t>开发，全面提升原系统的实用性、高效性、便利性。系统升级后，进一步提高了实用性、高效性和便利性。</w:t>
      </w:r>
    </w:p>
    <w:p>
      <w:pPr>
        <w:spacing w:line="580" w:lineRule="exact"/>
        <w:ind w:firstLine="640"/>
        <w:rPr>
          <w:rFonts w:eastAsia="仿宋_GB2312"/>
          <w:sz w:val="32"/>
          <w:szCs w:val="32"/>
        </w:rPr>
      </w:pPr>
      <w:r>
        <w:rPr>
          <w:rFonts w:eastAsia="仿宋_GB2312"/>
          <w:sz w:val="32"/>
          <w:szCs w:val="32"/>
        </w:rPr>
        <w:t>2.</w:t>
      </w:r>
      <w:r>
        <w:rPr>
          <w:rFonts w:hAnsi="仿宋_GB2312" w:eastAsia="仿宋_GB2312"/>
          <w:sz w:val="32"/>
          <w:szCs w:val="32"/>
        </w:rPr>
        <w:t>机要高清业务绩效目标完成情况综述。项目全年预算数</w:t>
      </w:r>
      <w:r>
        <w:rPr>
          <w:rFonts w:eastAsia="仿宋_GB2312"/>
          <w:sz w:val="32"/>
          <w:szCs w:val="32"/>
        </w:rPr>
        <w:t>28.8</w:t>
      </w:r>
      <w:r>
        <w:rPr>
          <w:rFonts w:hAnsi="仿宋_GB2312" w:eastAsia="仿宋_GB2312"/>
          <w:sz w:val="32"/>
          <w:szCs w:val="32"/>
        </w:rPr>
        <w:t>万元，执行数为</w:t>
      </w:r>
      <w:r>
        <w:rPr>
          <w:rFonts w:eastAsia="仿宋_GB2312"/>
          <w:sz w:val="32"/>
          <w:szCs w:val="32"/>
        </w:rPr>
        <w:t>28.8</w:t>
      </w:r>
      <w:r>
        <w:rPr>
          <w:rFonts w:hAnsi="仿宋_GB2312" w:eastAsia="仿宋_GB2312"/>
          <w:sz w:val="32"/>
          <w:szCs w:val="32"/>
        </w:rPr>
        <w:t>万元，完成预算的</w:t>
      </w:r>
      <w:r>
        <w:rPr>
          <w:rFonts w:eastAsia="仿宋_GB2312"/>
          <w:sz w:val="32"/>
          <w:szCs w:val="32"/>
        </w:rPr>
        <w:t>100%</w:t>
      </w:r>
      <w:r>
        <w:rPr>
          <w:rFonts w:hAnsi="仿宋_GB2312" w:eastAsia="仿宋_GB2312"/>
          <w:sz w:val="32"/>
          <w:szCs w:val="32"/>
        </w:rPr>
        <w:t>。该项目主要是用于支付专线网络和高清晰电视电话会议网络租用经费，保障各类高清晰电视电话会议顺利召开。</w:t>
      </w:r>
    </w:p>
    <w:p>
      <w:pPr>
        <w:spacing w:line="580" w:lineRule="exact"/>
        <w:ind w:firstLine="640"/>
        <w:rPr>
          <w:rFonts w:eastAsia="仿宋_GB2312"/>
          <w:sz w:val="32"/>
          <w:szCs w:val="32"/>
        </w:rPr>
      </w:pPr>
      <w:r>
        <w:rPr>
          <w:rFonts w:eastAsia="仿宋_GB2312"/>
          <w:sz w:val="32"/>
          <w:szCs w:val="32"/>
        </w:rPr>
        <w:t>3.</w:t>
      </w:r>
      <w:r>
        <w:rPr>
          <w:rFonts w:hAnsi="仿宋_GB2312" w:eastAsia="仿宋_GB2312"/>
          <w:sz w:val="32"/>
          <w:szCs w:val="32"/>
        </w:rPr>
        <w:t>《中共攀枝花执政实录》《攀枝花纪事及四川改革开放实录》编撰出版绩效目标完成情况综述。项目全年预算数</w:t>
      </w:r>
      <w:r>
        <w:rPr>
          <w:rFonts w:eastAsia="仿宋_GB2312"/>
          <w:sz w:val="32"/>
          <w:szCs w:val="32"/>
        </w:rPr>
        <w:t>27.9</w:t>
      </w:r>
      <w:r>
        <w:rPr>
          <w:rFonts w:hAnsi="仿宋_GB2312" w:eastAsia="仿宋_GB2312"/>
          <w:sz w:val="32"/>
          <w:szCs w:val="32"/>
        </w:rPr>
        <w:t>万元，执行数为</w:t>
      </w:r>
      <w:r>
        <w:rPr>
          <w:rFonts w:eastAsia="仿宋_GB2312"/>
          <w:sz w:val="32"/>
          <w:szCs w:val="32"/>
        </w:rPr>
        <w:t>27.9</w:t>
      </w:r>
      <w:r>
        <w:rPr>
          <w:rFonts w:hAnsi="仿宋_GB2312" w:eastAsia="仿宋_GB2312"/>
          <w:sz w:val="32"/>
          <w:szCs w:val="32"/>
        </w:rPr>
        <w:t>万元，完成预算的</w:t>
      </w:r>
      <w:r>
        <w:rPr>
          <w:rFonts w:eastAsia="仿宋_GB2312"/>
          <w:sz w:val="32"/>
          <w:szCs w:val="32"/>
        </w:rPr>
        <w:t>100%</w:t>
      </w:r>
      <w:r>
        <w:rPr>
          <w:rFonts w:hAnsi="仿宋_GB2312" w:eastAsia="仿宋_GB2312"/>
          <w:sz w:val="32"/>
          <w:szCs w:val="32"/>
        </w:rPr>
        <w:t>。</w:t>
      </w:r>
      <w:r>
        <w:rPr>
          <w:rFonts w:eastAsia="仿宋_GB2312"/>
          <w:sz w:val="32"/>
          <w:szCs w:val="32"/>
        </w:rPr>
        <w:t>2018</w:t>
      </w:r>
      <w:r>
        <w:rPr>
          <w:rFonts w:hAnsi="仿宋_GB2312" w:eastAsia="仿宋_GB2312"/>
          <w:sz w:val="32"/>
          <w:szCs w:val="32"/>
        </w:rPr>
        <w:t>年，编辑出版了《中国共产党攀枝花执政实录》（第</w:t>
      </w:r>
      <w:r>
        <w:rPr>
          <w:rFonts w:eastAsia="仿宋_GB2312"/>
          <w:sz w:val="32"/>
          <w:szCs w:val="32"/>
        </w:rPr>
        <w:t>11</w:t>
      </w:r>
      <w:r>
        <w:rPr>
          <w:rFonts w:hAnsi="仿宋_GB2312" w:eastAsia="仿宋_GB2312"/>
          <w:sz w:val="32"/>
          <w:szCs w:val="32"/>
        </w:rPr>
        <w:t>卷），并印刷</w:t>
      </w:r>
      <w:r>
        <w:rPr>
          <w:rFonts w:eastAsia="仿宋_GB2312"/>
          <w:sz w:val="32"/>
          <w:szCs w:val="32"/>
        </w:rPr>
        <w:t>2000</w:t>
      </w:r>
      <w:r>
        <w:rPr>
          <w:rFonts w:hAnsi="仿宋_GB2312" w:eastAsia="仿宋_GB2312"/>
          <w:sz w:val="32"/>
          <w:szCs w:val="32"/>
        </w:rPr>
        <w:t>册发送到每个单位；完成《攀枝花纪事》</w:t>
      </w:r>
      <w:r>
        <w:rPr>
          <w:rFonts w:eastAsia="仿宋_GB2312"/>
          <w:sz w:val="32"/>
          <w:szCs w:val="32"/>
        </w:rPr>
        <w:t>6</w:t>
      </w:r>
      <w:r>
        <w:rPr>
          <w:rFonts w:hAnsi="仿宋_GB2312" w:eastAsia="仿宋_GB2312"/>
          <w:sz w:val="32"/>
          <w:szCs w:val="32"/>
        </w:rPr>
        <w:t>期的组稿、出版和印刷。</w:t>
      </w:r>
    </w:p>
    <w:p>
      <w:pPr>
        <w:spacing w:line="580" w:lineRule="exact"/>
        <w:ind w:firstLine="640"/>
        <w:rPr>
          <w:rFonts w:eastAsia="仿宋_GB2312"/>
          <w:sz w:val="32"/>
          <w:szCs w:val="32"/>
        </w:rPr>
      </w:pPr>
      <w:r>
        <w:rPr>
          <w:rFonts w:eastAsia="仿宋_GB2312"/>
          <w:sz w:val="32"/>
          <w:szCs w:val="32"/>
        </w:rPr>
        <w:t xml:space="preserve">4. </w:t>
      </w:r>
      <w:r>
        <w:rPr>
          <w:rFonts w:hAnsi="仿宋_GB2312" w:eastAsia="仿宋_GB2312"/>
          <w:sz w:val="32"/>
          <w:szCs w:val="32"/>
        </w:rPr>
        <w:t>全市电子政务公共机房电费绩效目标完成情况综述。项目全年预算数</w:t>
      </w:r>
      <w:r>
        <w:rPr>
          <w:rFonts w:eastAsia="仿宋_GB2312"/>
          <w:sz w:val="32"/>
          <w:szCs w:val="32"/>
        </w:rPr>
        <w:t>27.5</w:t>
      </w:r>
      <w:r>
        <w:rPr>
          <w:rFonts w:hAnsi="仿宋_GB2312" w:eastAsia="仿宋_GB2312"/>
          <w:sz w:val="32"/>
          <w:szCs w:val="32"/>
        </w:rPr>
        <w:t>万元，执行数为</w:t>
      </w:r>
      <w:r>
        <w:rPr>
          <w:rFonts w:eastAsia="仿宋_GB2312"/>
          <w:sz w:val="32"/>
          <w:szCs w:val="32"/>
        </w:rPr>
        <w:t>27.5</w:t>
      </w:r>
      <w:r>
        <w:rPr>
          <w:rFonts w:hAnsi="仿宋_GB2312" w:eastAsia="仿宋_GB2312"/>
          <w:sz w:val="32"/>
          <w:szCs w:val="32"/>
        </w:rPr>
        <w:t>万元，完成预算的</w:t>
      </w:r>
      <w:r>
        <w:rPr>
          <w:rFonts w:eastAsia="仿宋_GB2312"/>
          <w:sz w:val="32"/>
          <w:szCs w:val="32"/>
        </w:rPr>
        <w:t>100%</w:t>
      </w:r>
      <w:r>
        <w:rPr>
          <w:rFonts w:hAnsi="仿宋_GB2312" w:eastAsia="仿宋_GB2312"/>
          <w:sz w:val="32"/>
          <w:szCs w:val="32"/>
        </w:rPr>
        <w:t>。该项目主要是用于保障电子政务公共机房用电经费支出需要，确保全市电子政务公共机房设备正常运行。</w:t>
      </w:r>
    </w:p>
    <w:p>
      <w:pPr>
        <w:spacing w:line="580" w:lineRule="exact"/>
        <w:ind w:firstLine="640"/>
        <w:rPr>
          <w:rFonts w:hAnsi="仿宋_GB2312" w:eastAsia="仿宋_GB2312"/>
          <w:sz w:val="32"/>
          <w:szCs w:val="32"/>
        </w:rPr>
      </w:pPr>
      <w:r>
        <w:rPr>
          <w:rFonts w:eastAsia="仿宋_GB2312"/>
          <w:sz w:val="32"/>
          <w:szCs w:val="32"/>
        </w:rPr>
        <w:t>5.</w:t>
      </w:r>
      <w:r>
        <w:rPr>
          <w:rFonts w:hAnsi="仿宋_GB2312" w:eastAsia="仿宋_GB2312"/>
          <w:sz w:val="32"/>
          <w:szCs w:val="32"/>
        </w:rPr>
        <w:t>全市电子政务网络租赁费项目全年预算数</w:t>
      </w:r>
      <w:r>
        <w:rPr>
          <w:rFonts w:eastAsia="仿宋_GB2312"/>
          <w:sz w:val="32"/>
          <w:szCs w:val="32"/>
        </w:rPr>
        <w:t>130</w:t>
      </w:r>
      <w:r>
        <w:rPr>
          <w:rFonts w:hAnsi="仿宋_GB2312" w:eastAsia="仿宋_GB2312"/>
          <w:sz w:val="32"/>
          <w:szCs w:val="32"/>
        </w:rPr>
        <w:t>万元，执行数为</w:t>
      </w:r>
      <w:r>
        <w:rPr>
          <w:rFonts w:eastAsia="仿宋_GB2312"/>
          <w:sz w:val="32"/>
          <w:szCs w:val="32"/>
        </w:rPr>
        <w:t>130</w:t>
      </w:r>
      <w:r>
        <w:rPr>
          <w:rFonts w:hAnsi="仿宋_GB2312" w:eastAsia="仿宋_GB2312"/>
          <w:sz w:val="32"/>
          <w:szCs w:val="32"/>
        </w:rPr>
        <w:t>万元，完成预算的</w:t>
      </w:r>
      <w:r>
        <w:rPr>
          <w:rFonts w:eastAsia="仿宋_GB2312"/>
          <w:sz w:val="32"/>
          <w:szCs w:val="32"/>
        </w:rPr>
        <w:t>100%</w:t>
      </w:r>
      <w:r>
        <w:rPr>
          <w:rFonts w:hAnsi="仿宋_GB2312" w:eastAsia="仿宋_GB2312"/>
          <w:sz w:val="32"/>
          <w:szCs w:val="32"/>
        </w:rPr>
        <w:t>。该项目主要是用于保障我市政务内网和外网线路租赁支出需要，确保相关网站的正常运行。</w:t>
      </w:r>
    </w:p>
    <w:p>
      <w:pPr>
        <w:spacing w:line="580" w:lineRule="exact"/>
        <w:ind w:firstLine="640"/>
        <w:rPr>
          <w:rFonts w:eastAsia="仿宋_GB2312"/>
          <w:sz w:val="32"/>
          <w:szCs w:val="32"/>
        </w:rPr>
      </w:pPr>
    </w:p>
    <w:tbl>
      <w:tblPr>
        <w:tblStyle w:val="12"/>
        <w:tblpPr w:leftFromText="180" w:rightFromText="180" w:vertAnchor="text" w:horzAnchor="page" w:tblpXSpec="center" w:tblpY="423"/>
        <w:tblOverlap w:val="never"/>
        <w:tblW w:w="9960" w:type="dxa"/>
        <w:tblInd w:w="0" w:type="dxa"/>
        <w:tblLayout w:type="fixed"/>
        <w:tblCellMar>
          <w:top w:w="0" w:type="dxa"/>
          <w:left w:w="0" w:type="dxa"/>
          <w:bottom w:w="0" w:type="dxa"/>
          <w:right w:w="0" w:type="dxa"/>
        </w:tblCellMar>
      </w:tblPr>
      <w:tblGrid>
        <w:gridCol w:w="866"/>
        <w:gridCol w:w="891"/>
        <w:gridCol w:w="1025"/>
        <w:gridCol w:w="210"/>
        <w:gridCol w:w="2182"/>
        <w:gridCol w:w="2394"/>
        <w:gridCol w:w="2392"/>
      </w:tblGrid>
      <w:tr>
        <w:tblPrEx>
          <w:tblLayout w:type="fixed"/>
          <w:tblCellMar>
            <w:top w:w="0" w:type="dxa"/>
            <w:left w:w="0" w:type="dxa"/>
            <w:bottom w:w="0" w:type="dxa"/>
            <w:right w:w="0" w:type="dxa"/>
          </w:tblCellMar>
        </w:tblPrEx>
        <w:trPr>
          <w:trHeight w:val="1034" w:hRule="atLeast"/>
        </w:trPr>
        <w:tc>
          <w:tcPr>
            <w:tcW w:w="9960" w:type="dxa"/>
            <w:gridSpan w:val="7"/>
            <w:tcMar>
              <w:top w:w="15" w:type="dxa"/>
              <w:left w:w="15" w:type="dxa"/>
              <w:bottom w:w="0" w:type="dxa"/>
              <w:right w:w="15" w:type="dxa"/>
            </w:tcMar>
            <w:vAlign w:val="center"/>
          </w:tcPr>
          <w:p>
            <w:pPr>
              <w:pStyle w:val="23"/>
              <w:widowControl/>
              <w:ind w:left="4173" w:leftChars="1310" w:hanging="1422" w:hangingChars="395"/>
              <w:textAlignment w:val="center"/>
              <w:rPr>
                <w:color w:val="000000"/>
                <w:sz w:val="36"/>
                <w:szCs w:val="36"/>
              </w:rPr>
            </w:pPr>
            <w:r>
              <w:rPr>
                <w:rFonts w:hAnsi="黑体" w:eastAsia="黑体"/>
                <w:bCs/>
                <w:color w:val="000000"/>
                <w:kern w:val="0"/>
                <w:sz w:val="36"/>
                <w:szCs w:val="36"/>
              </w:rPr>
              <w:t>项目支出绩效目标完成情况表</w:t>
            </w:r>
            <w:r>
              <w:rPr>
                <w:b/>
                <w:bCs/>
                <w:color w:val="000000"/>
                <w:kern w:val="0"/>
                <w:sz w:val="36"/>
                <w:szCs w:val="36"/>
              </w:rPr>
              <w:br w:type="textWrapping"/>
            </w:r>
            <w:r>
              <w:rPr>
                <w:color w:val="000000"/>
                <w:kern w:val="0"/>
                <w:sz w:val="36"/>
                <w:szCs w:val="36"/>
              </w:rPr>
              <w:t xml:space="preserve">(2018 </w:t>
            </w:r>
            <w:r>
              <w:rPr>
                <w:rFonts w:hAnsi="宋体"/>
                <w:color w:val="000000"/>
                <w:kern w:val="0"/>
                <w:sz w:val="36"/>
                <w:szCs w:val="36"/>
              </w:rPr>
              <w:t>年度</w:t>
            </w:r>
            <w:r>
              <w:rPr>
                <w:color w:val="000000"/>
                <w:kern w:val="0"/>
                <w:sz w:val="36"/>
                <w:szCs w:val="36"/>
              </w:rPr>
              <w:t>)</w:t>
            </w:r>
          </w:p>
        </w:tc>
      </w:tr>
      <w:tr>
        <w:tblPrEx>
          <w:tblLayout w:type="fixed"/>
          <w:tblCellMar>
            <w:top w:w="0" w:type="dxa"/>
            <w:left w:w="0" w:type="dxa"/>
            <w:bottom w:w="0" w:type="dxa"/>
            <w:right w:w="0" w:type="dxa"/>
          </w:tblCellMar>
        </w:tblPrEx>
        <w:trPr>
          <w:trHeight w:val="397" w:hRule="atLeast"/>
        </w:trPr>
        <w:tc>
          <w:tcPr>
            <w:tcW w:w="2992" w:type="dxa"/>
            <w:gridSpan w:val="4"/>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rFonts w:hAnsi="宋体"/>
                <w:color w:val="000000"/>
                <w:kern w:val="0"/>
                <w:sz w:val="24"/>
              </w:rPr>
              <w:t>项目名称</w:t>
            </w:r>
          </w:p>
        </w:tc>
        <w:tc>
          <w:tcPr>
            <w:tcW w:w="6968"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rFonts w:hAnsi="宋体"/>
                <w:color w:val="000000"/>
                <w:sz w:val="24"/>
              </w:rPr>
              <w:t>目标督查管理信息系统平台升级改造和手机</w:t>
            </w:r>
            <w:r>
              <w:rPr>
                <w:color w:val="000000"/>
                <w:sz w:val="24"/>
              </w:rPr>
              <w:t>APP</w:t>
            </w:r>
            <w:r>
              <w:rPr>
                <w:rFonts w:hAnsi="宋体"/>
                <w:color w:val="000000"/>
                <w:sz w:val="24"/>
              </w:rPr>
              <w:t>开发经费</w:t>
            </w:r>
          </w:p>
        </w:tc>
      </w:tr>
      <w:tr>
        <w:tblPrEx>
          <w:tblLayout w:type="fixed"/>
          <w:tblCellMar>
            <w:top w:w="0" w:type="dxa"/>
            <w:left w:w="0" w:type="dxa"/>
            <w:bottom w:w="0" w:type="dxa"/>
            <w:right w:w="0" w:type="dxa"/>
          </w:tblCellMar>
        </w:tblPrEx>
        <w:trPr>
          <w:trHeight w:val="397" w:hRule="atLeast"/>
        </w:trPr>
        <w:tc>
          <w:tcPr>
            <w:tcW w:w="2992" w:type="dxa"/>
            <w:gridSpan w:val="4"/>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rFonts w:hAnsi="宋体"/>
                <w:color w:val="000000"/>
                <w:kern w:val="0"/>
                <w:sz w:val="24"/>
              </w:rPr>
              <w:t>预算单位</w:t>
            </w:r>
          </w:p>
        </w:tc>
        <w:tc>
          <w:tcPr>
            <w:tcW w:w="6968"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rFonts w:hAnsi="宋体"/>
                <w:color w:val="000000"/>
                <w:sz w:val="24"/>
              </w:rPr>
              <w:t>中共攀枝花市委办公室</w:t>
            </w:r>
          </w:p>
        </w:tc>
      </w:tr>
      <w:tr>
        <w:tblPrEx>
          <w:tblLayout w:type="fixed"/>
          <w:tblCellMar>
            <w:top w:w="0" w:type="dxa"/>
            <w:left w:w="0" w:type="dxa"/>
            <w:bottom w:w="0" w:type="dxa"/>
            <w:right w:w="0" w:type="dxa"/>
          </w:tblCellMar>
        </w:tblPrEx>
        <w:trPr>
          <w:trHeight w:val="397" w:hRule="atLeast"/>
        </w:trPr>
        <w:tc>
          <w:tcPr>
            <w:tcW w:w="866"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rFonts w:hAnsi="宋体"/>
                <w:color w:val="000000"/>
                <w:kern w:val="0"/>
                <w:sz w:val="24"/>
              </w:rPr>
              <w:t>预算执行情况</w:t>
            </w:r>
            <w:r>
              <w:rPr>
                <w:color w:val="000000"/>
                <w:kern w:val="0"/>
                <w:sz w:val="24"/>
              </w:rPr>
              <w:t>(</w:t>
            </w:r>
            <w:r>
              <w:rPr>
                <w:rFonts w:hAnsi="宋体"/>
                <w:color w:val="000000"/>
                <w:kern w:val="0"/>
                <w:sz w:val="24"/>
              </w:rPr>
              <w:t>万元</w:t>
            </w:r>
            <w:r>
              <w:rPr>
                <w:color w:val="000000"/>
                <w:kern w:val="0"/>
                <w:sz w:val="24"/>
              </w:rPr>
              <w:t>)</w:t>
            </w:r>
          </w:p>
        </w:tc>
        <w:tc>
          <w:tcPr>
            <w:tcW w:w="2126"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rFonts w:hAnsi="宋体"/>
                <w:color w:val="000000"/>
                <w:kern w:val="0"/>
                <w:sz w:val="24"/>
              </w:rPr>
              <w:t>预算数</w:t>
            </w:r>
            <w:r>
              <w:rPr>
                <w:color w:val="000000"/>
                <w:kern w:val="0"/>
                <w:sz w:val="24"/>
              </w:rPr>
              <w:t>:</w:t>
            </w:r>
          </w:p>
        </w:tc>
        <w:tc>
          <w:tcPr>
            <w:tcW w:w="218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color w:val="000000"/>
                <w:sz w:val="24"/>
              </w:rPr>
              <w:t>29.8</w:t>
            </w:r>
            <w:r>
              <w:rPr>
                <w:rFonts w:hAnsi="宋体"/>
                <w:color w:val="000000"/>
                <w:sz w:val="24"/>
              </w:rPr>
              <w:t>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rFonts w:hAnsi="宋体"/>
                <w:color w:val="000000"/>
                <w:kern w:val="0"/>
                <w:sz w:val="24"/>
              </w:rPr>
              <w:t>执行数</w:t>
            </w:r>
            <w:r>
              <w:rPr>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color w:val="000000"/>
                <w:sz w:val="24"/>
              </w:rPr>
              <w:t>29.8</w:t>
            </w:r>
            <w:r>
              <w:rPr>
                <w:rFonts w:hAnsi="宋体"/>
                <w:color w:val="000000"/>
                <w:sz w:val="24"/>
              </w:rPr>
              <w:t>万元</w:t>
            </w:r>
          </w:p>
        </w:tc>
      </w:tr>
      <w:tr>
        <w:tblPrEx>
          <w:tblLayout w:type="fixed"/>
          <w:tblCellMar>
            <w:top w:w="0" w:type="dxa"/>
            <w:left w:w="0" w:type="dxa"/>
            <w:bottom w:w="0" w:type="dxa"/>
            <w:right w:w="0" w:type="dxa"/>
          </w:tblCellMar>
        </w:tblPrEx>
        <w:trPr>
          <w:trHeight w:val="397" w:hRule="atLeast"/>
        </w:trPr>
        <w:tc>
          <w:tcPr>
            <w:tcW w:w="86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color w:val="000000"/>
                <w:sz w:val="24"/>
              </w:rPr>
            </w:pPr>
          </w:p>
        </w:tc>
        <w:tc>
          <w:tcPr>
            <w:tcW w:w="2126"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rFonts w:hAnsi="宋体"/>
                <w:color w:val="000000"/>
                <w:kern w:val="0"/>
                <w:sz w:val="24"/>
              </w:rPr>
              <w:t>其中</w:t>
            </w:r>
            <w:r>
              <w:rPr>
                <w:color w:val="000000"/>
                <w:kern w:val="0"/>
                <w:sz w:val="24"/>
              </w:rPr>
              <w:t>-</w:t>
            </w:r>
            <w:r>
              <w:rPr>
                <w:rFonts w:hAnsi="宋体"/>
                <w:color w:val="000000"/>
                <w:kern w:val="0"/>
                <w:sz w:val="24"/>
              </w:rPr>
              <w:t>财政拨款</w:t>
            </w:r>
            <w:r>
              <w:rPr>
                <w:color w:val="000000"/>
                <w:kern w:val="0"/>
                <w:sz w:val="24"/>
              </w:rPr>
              <w:t>:</w:t>
            </w:r>
          </w:p>
        </w:tc>
        <w:tc>
          <w:tcPr>
            <w:tcW w:w="218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color w:val="000000"/>
                <w:sz w:val="24"/>
              </w:rPr>
              <w:t>29.8</w:t>
            </w:r>
            <w:r>
              <w:rPr>
                <w:rFonts w:hAnsi="宋体"/>
                <w:color w:val="000000"/>
                <w:sz w:val="24"/>
              </w:rPr>
              <w:t>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rFonts w:hAnsi="宋体"/>
                <w:color w:val="000000"/>
                <w:kern w:val="0"/>
                <w:sz w:val="24"/>
              </w:rPr>
              <w:t>其中</w:t>
            </w:r>
            <w:r>
              <w:rPr>
                <w:color w:val="000000"/>
                <w:kern w:val="0"/>
                <w:sz w:val="24"/>
              </w:rPr>
              <w:t>-</w:t>
            </w:r>
            <w:r>
              <w:rPr>
                <w:rFonts w:hAnsi="宋体"/>
                <w:color w:val="000000"/>
                <w:kern w:val="0"/>
                <w:sz w:val="24"/>
              </w:rPr>
              <w:t>财政拨款</w:t>
            </w:r>
            <w:r>
              <w:rPr>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color w:val="000000"/>
                <w:sz w:val="24"/>
              </w:rPr>
              <w:t>29.8</w:t>
            </w:r>
            <w:r>
              <w:rPr>
                <w:rFonts w:hAnsi="宋体"/>
                <w:color w:val="000000"/>
                <w:sz w:val="24"/>
              </w:rPr>
              <w:t>万元</w:t>
            </w:r>
          </w:p>
        </w:tc>
      </w:tr>
      <w:tr>
        <w:tblPrEx>
          <w:tblLayout w:type="fixed"/>
          <w:tblCellMar>
            <w:top w:w="0" w:type="dxa"/>
            <w:left w:w="0" w:type="dxa"/>
            <w:bottom w:w="0" w:type="dxa"/>
            <w:right w:w="0" w:type="dxa"/>
          </w:tblCellMar>
        </w:tblPrEx>
        <w:trPr>
          <w:trHeight w:val="575" w:hRule="atLeast"/>
        </w:trPr>
        <w:tc>
          <w:tcPr>
            <w:tcW w:w="86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color w:val="000000"/>
                <w:sz w:val="24"/>
              </w:rPr>
            </w:pPr>
          </w:p>
        </w:tc>
        <w:tc>
          <w:tcPr>
            <w:tcW w:w="2126"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rFonts w:hAnsi="宋体"/>
                <w:color w:val="000000"/>
                <w:kern w:val="0"/>
                <w:sz w:val="24"/>
              </w:rPr>
              <w:t>其它资金</w:t>
            </w:r>
            <w:r>
              <w:rPr>
                <w:color w:val="000000"/>
                <w:kern w:val="0"/>
                <w:sz w:val="24"/>
              </w:rPr>
              <w:t>:</w:t>
            </w:r>
          </w:p>
        </w:tc>
        <w:tc>
          <w:tcPr>
            <w:tcW w:w="218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color w:val="000000"/>
                <w:kern w:val="0"/>
                <w:sz w:val="24"/>
              </w:rPr>
              <w:t>0</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rFonts w:hAnsi="宋体"/>
                <w:color w:val="000000"/>
                <w:kern w:val="0"/>
                <w:sz w:val="24"/>
              </w:rPr>
              <w:t>其它资金</w:t>
            </w:r>
            <w:r>
              <w:rPr>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color w:val="000000"/>
                <w:sz w:val="24"/>
              </w:rPr>
            </w:pPr>
          </w:p>
        </w:tc>
      </w:tr>
      <w:tr>
        <w:tblPrEx>
          <w:tblLayout w:type="fixed"/>
          <w:tblCellMar>
            <w:top w:w="0" w:type="dxa"/>
            <w:left w:w="0" w:type="dxa"/>
            <w:bottom w:w="0" w:type="dxa"/>
            <w:right w:w="0" w:type="dxa"/>
          </w:tblCellMar>
        </w:tblPrEx>
        <w:trPr>
          <w:trHeight w:val="397" w:hRule="atLeast"/>
        </w:trPr>
        <w:tc>
          <w:tcPr>
            <w:tcW w:w="866"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rFonts w:hAnsi="宋体"/>
                <w:color w:val="000000"/>
                <w:kern w:val="0"/>
                <w:sz w:val="24"/>
              </w:rPr>
              <w:t>年度目标完成情况</w:t>
            </w:r>
          </w:p>
        </w:tc>
        <w:tc>
          <w:tcPr>
            <w:tcW w:w="4308" w:type="dxa"/>
            <w:gridSpan w:val="4"/>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rFonts w:hAnsi="宋体"/>
                <w:color w:val="000000"/>
                <w:kern w:val="0"/>
                <w:sz w:val="24"/>
              </w:rPr>
              <w:t>预期目标</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rFonts w:hAnsi="宋体"/>
                <w:color w:val="000000"/>
                <w:kern w:val="0"/>
                <w:sz w:val="24"/>
              </w:rPr>
              <w:t>实际完成目标</w:t>
            </w:r>
          </w:p>
        </w:tc>
      </w:tr>
      <w:tr>
        <w:tblPrEx>
          <w:tblLayout w:type="fixed"/>
          <w:tblCellMar>
            <w:top w:w="0" w:type="dxa"/>
            <w:left w:w="0" w:type="dxa"/>
            <w:bottom w:w="0" w:type="dxa"/>
            <w:right w:w="0" w:type="dxa"/>
          </w:tblCellMar>
        </w:tblPrEx>
        <w:trPr>
          <w:trHeight w:val="1253" w:hRule="atLeast"/>
        </w:trPr>
        <w:tc>
          <w:tcPr>
            <w:tcW w:w="86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rPr>
                <w:color w:val="000000"/>
                <w:sz w:val="24"/>
              </w:rPr>
            </w:pPr>
          </w:p>
        </w:tc>
        <w:tc>
          <w:tcPr>
            <w:tcW w:w="4308" w:type="dxa"/>
            <w:gridSpan w:val="4"/>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firstLineChars="200"/>
              <w:jc w:val="left"/>
              <w:textAlignment w:val="center"/>
              <w:rPr>
                <w:color w:val="000000"/>
                <w:sz w:val="24"/>
              </w:rPr>
            </w:pPr>
            <w:r>
              <w:rPr>
                <w:rFonts w:hAnsi="宋体"/>
                <w:color w:val="000000"/>
                <w:sz w:val="24"/>
              </w:rPr>
              <w:t>完成对攀枝花市目标督查管理系统进行系统升级改造和手机</w:t>
            </w:r>
            <w:r>
              <w:rPr>
                <w:color w:val="000000"/>
                <w:sz w:val="24"/>
              </w:rPr>
              <w:t>APP</w:t>
            </w:r>
            <w:r>
              <w:rPr>
                <w:rFonts w:hAnsi="宋体"/>
                <w:color w:val="000000"/>
                <w:sz w:val="24"/>
              </w:rPr>
              <w:t>开发，全面提升原系统的实用性、高效性、便利性。</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firstLineChars="200"/>
              <w:jc w:val="left"/>
              <w:textAlignment w:val="center"/>
              <w:rPr>
                <w:color w:val="000000"/>
                <w:sz w:val="24"/>
              </w:rPr>
            </w:pPr>
            <w:r>
              <w:rPr>
                <w:color w:val="000000"/>
                <w:sz w:val="24"/>
              </w:rPr>
              <w:t>2018</w:t>
            </w:r>
            <w:r>
              <w:rPr>
                <w:rFonts w:hAnsi="宋体"/>
                <w:color w:val="000000"/>
                <w:sz w:val="24"/>
              </w:rPr>
              <w:t>年底前，已全面完成攀枝花市目标督查管理系统进行系统升级改造和手机</w:t>
            </w:r>
            <w:r>
              <w:rPr>
                <w:color w:val="000000"/>
                <w:sz w:val="24"/>
              </w:rPr>
              <w:t>APP</w:t>
            </w:r>
            <w:r>
              <w:rPr>
                <w:rFonts w:hAnsi="宋体"/>
                <w:color w:val="000000"/>
                <w:sz w:val="24"/>
              </w:rPr>
              <w:t>开发，并支付相关经费</w:t>
            </w:r>
            <w:r>
              <w:rPr>
                <w:color w:val="000000"/>
                <w:sz w:val="24"/>
              </w:rPr>
              <w:t>29.8</w:t>
            </w:r>
            <w:r>
              <w:rPr>
                <w:rFonts w:hAnsi="宋体"/>
                <w:color w:val="000000"/>
                <w:sz w:val="24"/>
              </w:rPr>
              <w:t>万元。</w:t>
            </w:r>
          </w:p>
        </w:tc>
      </w:tr>
      <w:tr>
        <w:tblPrEx>
          <w:tblLayout w:type="fixed"/>
          <w:tblCellMar>
            <w:top w:w="0" w:type="dxa"/>
            <w:left w:w="0" w:type="dxa"/>
            <w:bottom w:w="0" w:type="dxa"/>
            <w:right w:w="0" w:type="dxa"/>
          </w:tblCellMar>
        </w:tblPrEx>
        <w:trPr>
          <w:trHeight w:val="831" w:hRule="atLeast"/>
        </w:trPr>
        <w:tc>
          <w:tcPr>
            <w:tcW w:w="866"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rFonts w:hAnsi="宋体"/>
                <w:color w:val="000000"/>
                <w:sz w:val="24"/>
              </w:rPr>
              <w:t>绩效指标完成情况</w:t>
            </w:r>
          </w:p>
        </w:tc>
        <w:tc>
          <w:tcPr>
            <w:tcW w:w="891"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rFonts w:hAnsi="宋体"/>
                <w:color w:val="000000"/>
                <w:kern w:val="0"/>
                <w:sz w:val="24"/>
              </w:rPr>
              <w:t>一级指标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rFonts w:hAnsi="宋体"/>
                <w:color w:val="000000"/>
                <w:kern w:val="0"/>
                <w:sz w:val="24"/>
              </w:rPr>
              <w:t>二级指标</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rFonts w:hAnsi="宋体"/>
                <w:color w:val="000000"/>
                <w:kern w:val="0"/>
                <w:sz w:val="24"/>
              </w:rPr>
              <w:t>三级指标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rFonts w:hAnsi="宋体"/>
                <w:color w:val="000000"/>
                <w:kern w:val="0"/>
                <w:sz w:val="24"/>
              </w:rPr>
              <w:t>预期指标值</w:t>
            </w:r>
            <w:r>
              <w:rPr>
                <w:color w:val="000000"/>
                <w:kern w:val="0"/>
                <w:sz w:val="24"/>
              </w:rPr>
              <w:t>(</w:t>
            </w:r>
            <w:r>
              <w:rPr>
                <w:rFonts w:hAnsi="宋体"/>
                <w:color w:val="000000"/>
                <w:kern w:val="0"/>
                <w:sz w:val="24"/>
              </w:rPr>
              <w:t>包含数字及文字描述</w:t>
            </w:r>
            <w:r>
              <w:rPr>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rFonts w:hAnsi="宋体"/>
                <w:color w:val="000000"/>
                <w:kern w:val="0"/>
                <w:sz w:val="24"/>
              </w:rPr>
              <w:t>实际完成指标值</w:t>
            </w:r>
            <w:r>
              <w:rPr>
                <w:color w:val="000000"/>
                <w:kern w:val="0"/>
                <w:sz w:val="24"/>
              </w:rPr>
              <w:t>(</w:t>
            </w:r>
            <w:r>
              <w:rPr>
                <w:rFonts w:hAnsi="宋体"/>
                <w:color w:val="000000"/>
                <w:kern w:val="0"/>
                <w:sz w:val="24"/>
              </w:rPr>
              <w:t>包含数字及文字描述</w:t>
            </w:r>
            <w:r>
              <w:rPr>
                <w:color w:val="000000"/>
                <w:kern w:val="0"/>
                <w:sz w:val="24"/>
              </w:rPr>
              <w:t>)</w:t>
            </w:r>
          </w:p>
        </w:tc>
      </w:tr>
      <w:tr>
        <w:tblPrEx>
          <w:tblLayout w:type="fixed"/>
          <w:tblCellMar>
            <w:top w:w="0" w:type="dxa"/>
            <w:left w:w="0" w:type="dxa"/>
            <w:bottom w:w="0" w:type="dxa"/>
            <w:right w:w="0" w:type="dxa"/>
          </w:tblCellMar>
        </w:tblPrEx>
        <w:trPr>
          <w:trHeight w:val="652" w:hRule="atLeast"/>
        </w:trPr>
        <w:tc>
          <w:tcPr>
            <w:tcW w:w="86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color w:val="000000"/>
                <w:sz w:val="24"/>
              </w:rPr>
            </w:pPr>
          </w:p>
        </w:tc>
        <w:tc>
          <w:tcPr>
            <w:tcW w:w="891" w:type="dxa"/>
            <w:vMerge w:val="restart"/>
            <w:tcBorders>
              <w:top w:val="single" w:color="000000" w:sz="4" w:space="0"/>
              <w:left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rFonts w:hAnsi="宋体"/>
                <w:color w:val="000000"/>
                <w:kern w:val="0"/>
                <w:sz w:val="24"/>
              </w:rPr>
              <w:t>项目完成指标</w:t>
            </w:r>
          </w:p>
          <w:p>
            <w:pPr>
              <w:jc w:val="center"/>
              <w:textAlignment w:val="center"/>
              <w:rPr>
                <w:color w:val="000000"/>
                <w:sz w:val="24"/>
              </w:rPr>
            </w:pP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rFonts w:hAnsi="宋体"/>
                <w:color w:val="000000"/>
                <w:sz w:val="24"/>
              </w:rPr>
              <w:t>数量指标</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color w:val="000000"/>
                <w:sz w:val="24"/>
              </w:rPr>
            </w:pPr>
            <w:r>
              <w:rPr>
                <w:rFonts w:hAnsi="宋体"/>
                <w:color w:val="000000"/>
                <w:sz w:val="24"/>
              </w:rPr>
              <w:t>系统项目数</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color w:val="000000"/>
                <w:sz w:val="24"/>
              </w:rPr>
            </w:pPr>
            <w:r>
              <w:rPr>
                <w:color w:val="000000"/>
                <w:sz w:val="24"/>
              </w:rPr>
              <w:t>1</w:t>
            </w:r>
            <w:r>
              <w:rPr>
                <w:rFonts w:hAnsi="宋体"/>
                <w:color w:val="000000"/>
                <w:sz w:val="24"/>
              </w:rPr>
              <w:t>个</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color w:val="000000"/>
                <w:sz w:val="24"/>
              </w:rPr>
            </w:pPr>
            <w:r>
              <w:rPr>
                <w:color w:val="000000"/>
                <w:sz w:val="24"/>
              </w:rPr>
              <w:t>1</w:t>
            </w:r>
            <w:r>
              <w:rPr>
                <w:rFonts w:hAnsi="宋体"/>
                <w:color w:val="000000"/>
                <w:sz w:val="24"/>
              </w:rPr>
              <w:t>个</w:t>
            </w:r>
          </w:p>
        </w:tc>
      </w:tr>
      <w:tr>
        <w:tblPrEx>
          <w:tblLayout w:type="fixed"/>
          <w:tblCellMar>
            <w:top w:w="0" w:type="dxa"/>
            <w:left w:w="0" w:type="dxa"/>
            <w:bottom w:w="0" w:type="dxa"/>
            <w:right w:w="0" w:type="dxa"/>
          </w:tblCellMar>
        </w:tblPrEx>
        <w:trPr>
          <w:trHeight w:val="652" w:hRule="atLeast"/>
        </w:trPr>
        <w:tc>
          <w:tcPr>
            <w:tcW w:w="86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color w:val="000000"/>
                <w:sz w:val="24"/>
              </w:rPr>
            </w:pPr>
          </w:p>
        </w:tc>
        <w:tc>
          <w:tcPr>
            <w:tcW w:w="891" w:type="dxa"/>
            <w:vMerge w:val="continue"/>
            <w:tcBorders>
              <w:left w:val="single" w:color="000000" w:sz="4" w:space="0"/>
              <w:right w:val="single" w:color="000000" w:sz="4" w:space="0"/>
            </w:tcBorders>
            <w:tcMar>
              <w:top w:w="15" w:type="dxa"/>
              <w:left w:w="15" w:type="dxa"/>
              <w:bottom w:w="0" w:type="dxa"/>
              <w:right w:w="15" w:type="dxa"/>
            </w:tcMar>
            <w:vAlign w:val="center"/>
          </w:tcPr>
          <w:p>
            <w:pPr>
              <w:jc w:val="center"/>
              <w:textAlignment w:val="center"/>
              <w:rPr>
                <w:color w:val="000000"/>
                <w:sz w:val="24"/>
              </w:rPr>
            </w:pP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rFonts w:hAnsi="宋体"/>
                <w:color w:val="000000"/>
                <w:sz w:val="24"/>
              </w:rPr>
              <w:t>实效指标</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color w:val="000000"/>
                <w:sz w:val="24"/>
              </w:rPr>
            </w:pPr>
            <w:r>
              <w:rPr>
                <w:rFonts w:hAnsi="宋体"/>
                <w:color w:val="000000"/>
                <w:sz w:val="24"/>
              </w:rPr>
              <w:t>完成时限</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color w:val="000000"/>
                <w:sz w:val="24"/>
              </w:rPr>
            </w:pPr>
            <w:r>
              <w:rPr>
                <w:color w:val="000000"/>
                <w:sz w:val="24"/>
              </w:rPr>
              <w:t>2018</w:t>
            </w:r>
            <w:r>
              <w:rPr>
                <w:rFonts w:hAnsi="宋体"/>
                <w:color w:val="000000"/>
                <w:sz w:val="24"/>
              </w:rPr>
              <w:t>年底前</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color w:val="000000"/>
                <w:sz w:val="24"/>
              </w:rPr>
            </w:pPr>
            <w:r>
              <w:rPr>
                <w:rFonts w:hAnsi="宋体"/>
                <w:color w:val="000000"/>
                <w:sz w:val="24"/>
              </w:rPr>
              <w:t>已于</w:t>
            </w:r>
            <w:r>
              <w:rPr>
                <w:color w:val="000000"/>
                <w:sz w:val="24"/>
              </w:rPr>
              <w:t>2018</w:t>
            </w:r>
            <w:r>
              <w:rPr>
                <w:rFonts w:hAnsi="宋体"/>
                <w:color w:val="000000"/>
                <w:sz w:val="24"/>
              </w:rPr>
              <w:t>年完成并投入使用</w:t>
            </w:r>
          </w:p>
        </w:tc>
      </w:tr>
      <w:tr>
        <w:tblPrEx>
          <w:tblLayout w:type="fixed"/>
          <w:tblCellMar>
            <w:top w:w="0" w:type="dxa"/>
            <w:left w:w="0" w:type="dxa"/>
            <w:bottom w:w="0" w:type="dxa"/>
            <w:right w:w="0" w:type="dxa"/>
          </w:tblCellMar>
        </w:tblPrEx>
        <w:trPr>
          <w:trHeight w:val="652" w:hRule="atLeast"/>
        </w:trPr>
        <w:tc>
          <w:tcPr>
            <w:tcW w:w="86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color w:val="000000"/>
                <w:sz w:val="24"/>
              </w:rPr>
            </w:pPr>
          </w:p>
        </w:tc>
        <w:tc>
          <w:tcPr>
            <w:tcW w:w="891" w:type="dxa"/>
            <w:vMerge w:val="continue"/>
            <w:tcBorders>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rFonts w:hAnsi="宋体"/>
                <w:color w:val="000000"/>
                <w:sz w:val="24"/>
              </w:rPr>
              <w:t>成本指标</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color w:val="000000"/>
                <w:sz w:val="24"/>
              </w:rPr>
            </w:pPr>
            <w:r>
              <w:rPr>
                <w:rFonts w:hAnsi="宋体"/>
                <w:color w:val="000000"/>
                <w:sz w:val="24"/>
              </w:rPr>
              <w:t>项目成本控制范围</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color w:val="000000"/>
                <w:sz w:val="24"/>
              </w:rPr>
            </w:pPr>
            <w:r>
              <w:rPr>
                <w:color w:val="000000"/>
                <w:sz w:val="24"/>
              </w:rPr>
              <w:t>29.8</w:t>
            </w:r>
            <w:r>
              <w:rPr>
                <w:rFonts w:hAnsi="宋体"/>
                <w:color w:val="000000"/>
                <w:sz w:val="24"/>
              </w:rPr>
              <w:t>万元</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color w:val="000000"/>
                <w:sz w:val="24"/>
              </w:rPr>
            </w:pPr>
            <w:r>
              <w:rPr>
                <w:color w:val="000000"/>
                <w:sz w:val="24"/>
              </w:rPr>
              <w:t>29.8</w:t>
            </w:r>
            <w:r>
              <w:rPr>
                <w:rFonts w:hAnsi="宋体"/>
                <w:color w:val="000000"/>
                <w:sz w:val="24"/>
              </w:rPr>
              <w:t>万元</w:t>
            </w:r>
          </w:p>
        </w:tc>
      </w:tr>
      <w:tr>
        <w:tblPrEx>
          <w:tblLayout w:type="fixed"/>
          <w:tblCellMar>
            <w:top w:w="0" w:type="dxa"/>
            <w:left w:w="0" w:type="dxa"/>
            <w:bottom w:w="0" w:type="dxa"/>
            <w:right w:w="0" w:type="dxa"/>
          </w:tblCellMar>
        </w:tblPrEx>
        <w:trPr>
          <w:trHeight w:val="652" w:hRule="atLeast"/>
        </w:trPr>
        <w:tc>
          <w:tcPr>
            <w:tcW w:w="86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color w:val="000000"/>
                <w:sz w:val="24"/>
              </w:rPr>
            </w:pPr>
          </w:p>
        </w:tc>
        <w:tc>
          <w:tcPr>
            <w:tcW w:w="891"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kern w:val="0"/>
                <w:sz w:val="24"/>
              </w:rPr>
            </w:pPr>
            <w:r>
              <w:rPr>
                <w:rFonts w:hAnsi="宋体"/>
                <w:color w:val="000000"/>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rFonts w:hAnsi="宋体"/>
                <w:color w:val="000000"/>
                <w:sz w:val="24"/>
              </w:rPr>
              <w:t>社会效益</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color w:val="000000"/>
                <w:sz w:val="24"/>
              </w:rPr>
            </w:pPr>
            <w:r>
              <w:rPr>
                <w:rFonts w:hAnsi="宋体"/>
                <w:color w:val="000000"/>
                <w:sz w:val="24"/>
              </w:rPr>
              <w:t>预期实现目标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color w:val="000000"/>
                <w:sz w:val="24"/>
              </w:rPr>
            </w:pPr>
            <w:r>
              <w:rPr>
                <w:rFonts w:hAnsi="宋体"/>
                <w:color w:val="000000"/>
                <w:sz w:val="24"/>
              </w:rPr>
              <w:t>全面提升原系统的实用性、高效性、便利性</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color w:val="000000"/>
                <w:sz w:val="24"/>
              </w:rPr>
            </w:pPr>
            <w:r>
              <w:rPr>
                <w:rFonts w:hAnsi="宋体"/>
                <w:color w:val="000000"/>
                <w:sz w:val="24"/>
              </w:rPr>
              <w:t>系统升级后，进一步提高了实用性、高效性和便利性</w:t>
            </w:r>
          </w:p>
        </w:tc>
      </w:tr>
      <w:tr>
        <w:tblPrEx>
          <w:tblLayout w:type="fixed"/>
          <w:tblCellMar>
            <w:top w:w="0" w:type="dxa"/>
            <w:left w:w="0" w:type="dxa"/>
            <w:bottom w:w="0" w:type="dxa"/>
            <w:right w:w="0" w:type="dxa"/>
          </w:tblCellMar>
        </w:tblPrEx>
        <w:trPr>
          <w:trHeight w:val="652" w:hRule="atLeast"/>
        </w:trPr>
        <w:tc>
          <w:tcPr>
            <w:tcW w:w="86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color w:val="000000"/>
                <w:sz w:val="24"/>
              </w:rPr>
            </w:pPr>
          </w:p>
        </w:tc>
        <w:tc>
          <w:tcPr>
            <w:tcW w:w="891"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rFonts w:hAnsi="宋体"/>
                <w:color w:val="000000"/>
                <w:sz w:val="24"/>
              </w:rPr>
              <w:t>满意度指标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rFonts w:hAnsi="宋体"/>
                <w:color w:val="000000"/>
                <w:kern w:val="0"/>
                <w:sz w:val="24"/>
              </w:rPr>
              <w:t>服务对象满意度</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color w:val="000000"/>
                <w:sz w:val="24"/>
              </w:rPr>
            </w:pPr>
            <w:r>
              <w:rPr>
                <w:rFonts w:hAnsi="宋体"/>
                <w:color w:val="000000"/>
                <w:sz w:val="24"/>
              </w:rPr>
              <w:t>系统使用人员满意度</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color w:val="000000"/>
                <w:sz w:val="24"/>
              </w:rPr>
            </w:pPr>
            <w:r>
              <w:rPr>
                <w:color w:val="000000"/>
                <w:sz w:val="24"/>
              </w:rPr>
              <w:t>≥95%</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color w:val="000000"/>
                <w:sz w:val="24"/>
              </w:rPr>
            </w:pPr>
            <w:r>
              <w:rPr>
                <w:color w:val="000000"/>
                <w:sz w:val="24"/>
              </w:rPr>
              <w:t>≥95%</w:t>
            </w:r>
          </w:p>
        </w:tc>
      </w:tr>
    </w:tbl>
    <w:p/>
    <w:p/>
    <w:tbl>
      <w:tblPr>
        <w:tblStyle w:val="12"/>
        <w:tblpPr w:leftFromText="180" w:rightFromText="180" w:vertAnchor="text" w:horzAnchor="page" w:tblpXSpec="center" w:tblpY="423"/>
        <w:tblOverlap w:val="never"/>
        <w:tblW w:w="9960" w:type="dxa"/>
        <w:tblInd w:w="0" w:type="dxa"/>
        <w:tblLayout w:type="fixed"/>
        <w:tblCellMar>
          <w:top w:w="0" w:type="dxa"/>
          <w:left w:w="0" w:type="dxa"/>
          <w:bottom w:w="0" w:type="dxa"/>
          <w:right w:w="0" w:type="dxa"/>
        </w:tblCellMar>
      </w:tblPr>
      <w:tblGrid>
        <w:gridCol w:w="866"/>
        <w:gridCol w:w="891"/>
        <w:gridCol w:w="1025"/>
        <w:gridCol w:w="210"/>
        <w:gridCol w:w="2182"/>
        <w:gridCol w:w="2394"/>
        <w:gridCol w:w="2392"/>
      </w:tblGrid>
      <w:tr>
        <w:tblPrEx>
          <w:tblLayout w:type="fixed"/>
          <w:tblCellMar>
            <w:top w:w="0" w:type="dxa"/>
            <w:left w:w="0" w:type="dxa"/>
            <w:bottom w:w="0" w:type="dxa"/>
            <w:right w:w="0" w:type="dxa"/>
          </w:tblCellMar>
        </w:tblPrEx>
        <w:trPr>
          <w:trHeight w:val="1034" w:hRule="atLeast"/>
        </w:trPr>
        <w:tc>
          <w:tcPr>
            <w:tcW w:w="9960" w:type="dxa"/>
            <w:gridSpan w:val="7"/>
            <w:tcMar>
              <w:top w:w="15" w:type="dxa"/>
              <w:left w:w="15" w:type="dxa"/>
              <w:bottom w:w="0" w:type="dxa"/>
              <w:right w:w="15" w:type="dxa"/>
            </w:tcMar>
            <w:vAlign w:val="center"/>
          </w:tcPr>
          <w:p>
            <w:pPr>
              <w:pStyle w:val="23"/>
              <w:widowControl/>
              <w:ind w:left="4173" w:leftChars="1310" w:hanging="1422" w:hangingChars="395"/>
              <w:textAlignment w:val="center"/>
              <w:rPr>
                <w:color w:val="000000"/>
                <w:sz w:val="36"/>
                <w:szCs w:val="36"/>
              </w:rPr>
            </w:pPr>
            <w:r>
              <w:rPr>
                <w:rFonts w:hAnsi="黑体" w:eastAsia="黑体"/>
                <w:bCs/>
                <w:color w:val="000000"/>
                <w:kern w:val="0"/>
                <w:sz w:val="36"/>
                <w:szCs w:val="36"/>
              </w:rPr>
              <w:t>项目支出绩效目标完成情况表</w:t>
            </w:r>
            <w:r>
              <w:rPr>
                <w:b/>
                <w:bCs/>
                <w:color w:val="000000"/>
                <w:kern w:val="0"/>
                <w:sz w:val="36"/>
                <w:szCs w:val="36"/>
              </w:rPr>
              <w:br w:type="textWrapping"/>
            </w:r>
            <w:r>
              <w:rPr>
                <w:color w:val="000000"/>
                <w:kern w:val="0"/>
                <w:sz w:val="36"/>
                <w:szCs w:val="36"/>
              </w:rPr>
              <w:t xml:space="preserve">(2018 </w:t>
            </w:r>
            <w:r>
              <w:rPr>
                <w:rFonts w:hAnsi="宋体"/>
                <w:color w:val="000000"/>
                <w:kern w:val="0"/>
                <w:sz w:val="36"/>
                <w:szCs w:val="36"/>
              </w:rPr>
              <w:t>年度</w:t>
            </w:r>
            <w:r>
              <w:rPr>
                <w:color w:val="000000"/>
                <w:kern w:val="0"/>
                <w:sz w:val="36"/>
                <w:szCs w:val="36"/>
              </w:rPr>
              <w:t>)</w:t>
            </w:r>
          </w:p>
        </w:tc>
      </w:tr>
      <w:tr>
        <w:tblPrEx>
          <w:tblLayout w:type="fixed"/>
          <w:tblCellMar>
            <w:top w:w="0" w:type="dxa"/>
            <w:left w:w="0" w:type="dxa"/>
            <w:bottom w:w="0" w:type="dxa"/>
            <w:right w:w="0" w:type="dxa"/>
          </w:tblCellMar>
        </w:tblPrEx>
        <w:trPr>
          <w:trHeight w:val="397" w:hRule="atLeast"/>
        </w:trPr>
        <w:tc>
          <w:tcPr>
            <w:tcW w:w="2992" w:type="dxa"/>
            <w:gridSpan w:val="4"/>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rFonts w:hAnsi="宋体"/>
                <w:color w:val="000000"/>
                <w:kern w:val="0"/>
                <w:sz w:val="24"/>
              </w:rPr>
              <w:t>项目名称</w:t>
            </w:r>
          </w:p>
        </w:tc>
        <w:tc>
          <w:tcPr>
            <w:tcW w:w="6968"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rFonts w:hAnsi="宋体"/>
                <w:color w:val="000000"/>
                <w:sz w:val="24"/>
              </w:rPr>
              <w:t>机要高清业务费</w:t>
            </w:r>
          </w:p>
        </w:tc>
      </w:tr>
      <w:tr>
        <w:tblPrEx>
          <w:tblLayout w:type="fixed"/>
          <w:tblCellMar>
            <w:top w:w="0" w:type="dxa"/>
            <w:left w:w="0" w:type="dxa"/>
            <w:bottom w:w="0" w:type="dxa"/>
            <w:right w:w="0" w:type="dxa"/>
          </w:tblCellMar>
        </w:tblPrEx>
        <w:trPr>
          <w:trHeight w:val="397" w:hRule="atLeast"/>
        </w:trPr>
        <w:tc>
          <w:tcPr>
            <w:tcW w:w="2992" w:type="dxa"/>
            <w:gridSpan w:val="4"/>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rFonts w:hAnsi="宋体"/>
                <w:color w:val="000000"/>
                <w:kern w:val="0"/>
                <w:sz w:val="24"/>
              </w:rPr>
              <w:t>预算单位</w:t>
            </w:r>
          </w:p>
        </w:tc>
        <w:tc>
          <w:tcPr>
            <w:tcW w:w="6968"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rFonts w:hAnsi="宋体"/>
                <w:color w:val="000000"/>
                <w:sz w:val="24"/>
              </w:rPr>
              <w:t>中共攀枝花市委办公室</w:t>
            </w:r>
          </w:p>
        </w:tc>
      </w:tr>
      <w:tr>
        <w:tblPrEx>
          <w:tblLayout w:type="fixed"/>
          <w:tblCellMar>
            <w:top w:w="0" w:type="dxa"/>
            <w:left w:w="0" w:type="dxa"/>
            <w:bottom w:w="0" w:type="dxa"/>
            <w:right w:w="0" w:type="dxa"/>
          </w:tblCellMar>
        </w:tblPrEx>
        <w:trPr>
          <w:trHeight w:val="397" w:hRule="atLeast"/>
        </w:trPr>
        <w:tc>
          <w:tcPr>
            <w:tcW w:w="866"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rFonts w:hAnsi="宋体"/>
                <w:color w:val="000000"/>
                <w:kern w:val="0"/>
                <w:sz w:val="24"/>
              </w:rPr>
              <w:t>预算执行情况</w:t>
            </w:r>
            <w:r>
              <w:rPr>
                <w:color w:val="000000"/>
                <w:kern w:val="0"/>
                <w:sz w:val="24"/>
              </w:rPr>
              <w:t>(</w:t>
            </w:r>
            <w:r>
              <w:rPr>
                <w:rFonts w:hAnsi="宋体"/>
                <w:color w:val="000000"/>
                <w:kern w:val="0"/>
                <w:sz w:val="24"/>
              </w:rPr>
              <w:t>万元</w:t>
            </w:r>
            <w:r>
              <w:rPr>
                <w:color w:val="000000"/>
                <w:kern w:val="0"/>
                <w:sz w:val="24"/>
              </w:rPr>
              <w:t>)</w:t>
            </w:r>
          </w:p>
        </w:tc>
        <w:tc>
          <w:tcPr>
            <w:tcW w:w="2126"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rFonts w:hAnsi="宋体"/>
                <w:color w:val="000000"/>
                <w:kern w:val="0"/>
                <w:sz w:val="24"/>
              </w:rPr>
              <w:t>预算数</w:t>
            </w:r>
            <w:r>
              <w:rPr>
                <w:color w:val="000000"/>
                <w:kern w:val="0"/>
                <w:sz w:val="24"/>
              </w:rPr>
              <w:t>:</w:t>
            </w:r>
          </w:p>
        </w:tc>
        <w:tc>
          <w:tcPr>
            <w:tcW w:w="218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color w:val="000000"/>
                <w:sz w:val="24"/>
              </w:rPr>
              <w:t>28.8</w:t>
            </w:r>
            <w:r>
              <w:rPr>
                <w:rFonts w:hAnsi="宋体"/>
                <w:color w:val="000000"/>
                <w:sz w:val="24"/>
              </w:rPr>
              <w:t>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rFonts w:hAnsi="宋体"/>
                <w:color w:val="000000"/>
                <w:kern w:val="0"/>
                <w:sz w:val="24"/>
              </w:rPr>
              <w:t>执行数</w:t>
            </w:r>
            <w:r>
              <w:rPr>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color w:val="000000"/>
                <w:sz w:val="24"/>
              </w:rPr>
              <w:t>28.8</w:t>
            </w:r>
            <w:r>
              <w:rPr>
                <w:rFonts w:hAnsi="宋体"/>
                <w:color w:val="000000"/>
                <w:sz w:val="24"/>
              </w:rPr>
              <w:t>万元</w:t>
            </w:r>
          </w:p>
        </w:tc>
      </w:tr>
      <w:tr>
        <w:tblPrEx>
          <w:tblLayout w:type="fixed"/>
          <w:tblCellMar>
            <w:top w:w="0" w:type="dxa"/>
            <w:left w:w="0" w:type="dxa"/>
            <w:bottom w:w="0" w:type="dxa"/>
            <w:right w:w="0" w:type="dxa"/>
          </w:tblCellMar>
        </w:tblPrEx>
        <w:trPr>
          <w:trHeight w:val="397" w:hRule="atLeast"/>
        </w:trPr>
        <w:tc>
          <w:tcPr>
            <w:tcW w:w="86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color w:val="000000"/>
                <w:sz w:val="24"/>
              </w:rPr>
            </w:pPr>
          </w:p>
        </w:tc>
        <w:tc>
          <w:tcPr>
            <w:tcW w:w="2126"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rFonts w:hAnsi="宋体"/>
                <w:color w:val="000000"/>
                <w:kern w:val="0"/>
                <w:sz w:val="24"/>
              </w:rPr>
              <w:t>其中</w:t>
            </w:r>
            <w:r>
              <w:rPr>
                <w:color w:val="000000"/>
                <w:kern w:val="0"/>
                <w:sz w:val="24"/>
              </w:rPr>
              <w:t>-</w:t>
            </w:r>
            <w:r>
              <w:rPr>
                <w:rFonts w:hAnsi="宋体"/>
                <w:color w:val="000000"/>
                <w:kern w:val="0"/>
                <w:sz w:val="24"/>
              </w:rPr>
              <w:t>财政拨款</w:t>
            </w:r>
            <w:r>
              <w:rPr>
                <w:color w:val="000000"/>
                <w:kern w:val="0"/>
                <w:sz w:val="24"/>
              </w:rPr>
              <w:t>:</w:t>
            </w:r>
          </w:p>
        </w:tc>
        <w:tc>
          <w:tcPr>
            <w:tcW w:w="218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color w:val="000000"/>
                <w:sz w:val="24"/>
              </w:rPr>
              <w:t>28.8</w:t>
            </w:r>
            <w:r>
              <w:rPr>
                <w:rFonts w:hAnsi="宋体"/>
                <w:color w:val="000000"/>
                <w:sz w:val="24"/>
              </w:rPr>
              <w:t>万元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rFonts w:hAnsi="宋体"/>
                <w:color w:val="000000"/>
                <w:kern w:val="0"/>
                <w:sz w:val="24"/>
              </w:rPr>
              <w:t>其中</w:t>
            </w:r>
            <w:r>
              <w:rPr>
                <w:color w:val="000000"/>
                <w:kern w:val="0"/>
                <w:sz w:val="24"/>
              </w:rPr>
              <w:t>-</w:t>
            </w:r>
            <w:r>
              <w:rPr>
                <w:rFonts w:hAnsi="宋体"/>
                <w:color w:val="000000"/>
                <w:kern w:val="0"/>
                <w:sz w:val="24"/>
              </w:rPr>
              <w:t>财政拨款</w:t>
            </w:r>
            <w:r>
              <w:rPr>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color w:val="000000"/>
                <w:sz w:val="24"/>
              </w:rPr>
              <w:t>28.8</w:t>
            </w:r>
            <w:r>
              <w:rPr>
                <w:rFonts w:hAnsi="宋体"/>
                <w:color w:val="000000"/>
                <w:sz w:val="24"/>
              </w:rPr>
              <w:t>万元</w:t>
            </w:r>
          </w:p>
        </w:tc>
      </w:tr>
      <w:tr>
        <w:tblPrEx>
          <w:tblLayout w:type="fixed"/>
          <w:tblCellMar>
            <w:top w:w="0" w:type="dxa"/>
            <w:left w:w="0" w:type="dxa"/>
            <w:bottom w:w="0" w:type="dxa"/>
            <w:right w:w="0" w:type="dxa"/>
          </w:tblCellMar>
        </w:tblPrEx>
        <w:trPr>
          <w:trHeight w:val="417" w:hRule="atLeast"/>
        </w:trPr>
        <w:tc>
          <w:tcPr>
            <w:tcW w:w="86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color w:val="000000"/>
                <w:sz w:val="24"/>
              </w:rPr>
            </w:pPr>
          </w:p>
        </w:tc>
        <w:tc>
          <w:tcPr>
            <w:tcW w:w="2126"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rFonts w:hAnsi="宋体"/>
                <w:color w:val="000000"/>
                <w:kern w:val="0"/>
                <w:sz w:val="24"/>
              </w:rPr>
              <w:t>其它资金</w:t>
            </w:r>
            <w:r>
              <w:rPr>
                <w:color w:val="000000"/>
                <w:kern w:val="0"/>
                <w:sz w:val="24"/>
              </w:rPr>
              <w:t>:</w:t>
            </w:r>
          </w:p>
        </w:tc>
        <w:tc>
          <w:tcPr>
            <w:tcW w:w="218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color w:val="000000"/>
                <w:kern w:val="0"/>
                <w:sz w:val="24"/>
              </w:rPr>
              <w:t>0</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rFonts w:hAnsi="宋体"/>
                <w:color w:val="000000"/>
                <w:kern w:val="0"/>
                <w:sz w:val="24"/>
              </w:rPr>
              <w:t>其它资金</w:t>
            </w:r>
            <w:r>
              <w:rPr>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color w:val="000000"/>
                <w:sz w:val="24"/>
              </w:rPr>
            </w:pPr>
          </w:p>
        </w:tc>
      </w:tr>
      <w:tr>
        <w:tblPrEx>
          <w:tblLayout w:type="fixed"/>
          <w:tblCellMar>
            <w:top w:w="0" w:type="dxa"/>
            <w:left w:w="0" w:type="dxa"/>
            <w:bottom w:w="0" w:type="dxa"/>
            <w:right w:w="0" w:type="dxa"/>
          </w:tblCellMar>
        </w:tblPrEx>
        <w:trPr>
          <w:trHeight w:val="397" w:hRule="atLeast"/>
        </w:trPr>
        <w:tc>
          <w:tcPr>
            <w:tcW w:w="866"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rFonts w:hAnsi="宋体"/>
                <w:color w:val="000000"/>
                <w:kern w:val="0"/>
                <w:sz w:val="24"/>
              </w:rPr>
              <w:t>年度目标完成情况</w:t>
            </w:r>
          </w:p>
        </w:tc>
        <w:tc>
          <w:tcPr>
            <w:tcW w:w="4308" w:type="dxa"/>
            <w:gridSpan w:val="4"/>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rFonts w:hAnsi="宋体"/>
                <w:color w:val="000000"/>
                <w:kern w:val="0"/>
                <w:sz w:val="24"/>
              </w:rPr>
              <w:t>预期目标</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rFonts w:hAnsi="宋体"/>
                <w:color w:val="000000"/>
                <w:kern w:val="0"/>
                <w:sz w:val="24"/>
              </w:rPr>
              <w:t>实际完成目标</w:t>
            </w:r>
          </w:p>
        </w:tc>
      </w:tr>
      <w:tr>
        <w:tblPrEx>
          <w:tblLayout w:type="fixed"/>
          <w:tblCellMar>
            <w:top w:w="0" w:type="dxa"/>
            <w:left w:w="0" w:type="dxa"/>
            <w:bottom w:w="0" w:type="dxa"/>
            <w:right w:w="0" w:type="dxa"/>
          </w:tblCellMar>
        </w:tblPrEx>
        <w:trPr>
          <w:trHeight w:val="1253" w:hRule="atLeast"/>
        </w:trPr>
        <w:tc>
          <w:tcPr>
            <w:tcW w:w="86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rPr>
                <w:color w:val="000000"/>
                <w:sz w:val="24"/>
              </w:rPr>
            </w:pPr>
          </w:p>
        </w:tc>
        <w:tc>
          <w:tcPr>
            <w:tcW w:w="4308" w:type="dxa"/>
            <w:gridSpan w:val="4"/>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firstLineChars="200"/>
              <w:jc w:val="left"/>
              <w:textAlignment w:val="center"/>
              <w:rPr>
                <w:color w:val="000000"/>
                <w:sz w:val="24"/>
              </w:rPr>
            </w:pPr>
            <w:r>
              <w:rPr>
                <w:rFonts w:hAnsi="宋体"/>
                <w:color w:val="000000"/>
                <w:sz w:val="24"/>
              </w:rPr>
              <w:t>保障机要网络专线、高清晰电视电话会议网络线路租用需要，确保政令畅通，高清晰电视电话会议顺利召开。</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firstLineChars="200"/>
              <w:jc w:val="left"/>
              <w:textAlignment w:val="center"/>
              <w:rPr>
                <w:color w:val="000000"/>
                <w:sz w:val="24"/>
              </w:rPr>
            </w:pPr>
            <w:r>
              <w:rPr>
                <w:color w:val="000000"/>
                <w:sz w:val="24"/>
              </w:rPr>
              <w:t>2018</w:t>
            </w:r>
            <w:r>
              <w:rPr>
                <w:rFonts w:hAnsi="宋体"/>
                <w:color w:val="000000"/>
                <w:sz w:val="24"/>
              </w:rPr>
              <w:t>年，保障了各类高清晰电视电话会议顺利召开，并及时支付了机要网络专线、高清晰电视电话会议网络线路的租用经费。</w:t>
            </w:r>
          </w:p>
        </w:tc>
      </w:tr>
      <w:tr>
        <w:tblPrEx>
          <w:tblLayout w:type="fixed"/>
          <w:tblCellMar>
            <w:top w:w="0" w:type="dxa"/>
            <w:left w:w="0" w:type="dxa"/>
            <w:bottom w:w="0" w:type="dxa"/>
            <w:right w:w="0" w:type="dxa"/>
          </w:tblCellMar>
        </w:tblPrEx>
        <w:trPr>
          <w:trHeight w:val="831" w:hRule="atLeast"/>
        </w:trPr>
        <w:tc>
          <w:tcPr>
            <w:tcW w:w="866"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rFonts w:hAnsi="宋体"/>
                <w:color w:val="000000"/>
                <w:sz w:val="24"/>
              </w:rPr>
              <w:t>绩效指标完成情况</w:t>
            </w:r>
          </w:p>
        </w:tc>
        <w:tc>
          <w:tcPr>
            <w:tcW w:w="891"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rFonts w:hAnsi="宋体"/>
                <w:color w:val="000000"/>
                <w:kern w:val="0"/>
                <w:sz w:val="24"/>
              </w:rPr>
              <w:t>一级指标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rFonts w:hAnsi="宋体"/>
                <w:color w:val="000000"/>
                <w:kern w:val="0"/>
                <w:sz w:val="24"/>
              </w:rPr>
              <w:t>二级指标</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rFonts w:hAnsi="宋体"/>
                <w:color w:val="000000"/>
                <w:kern w:val="0"/>
                <w:sz w:val="24"/>
              </w:rPr>
              <w:t>三级指标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rFonts w:hAnsi="宋体"/>
                <w:color w:val="000000"/>
                <w:kern w:val="0"/>
                <w:sz w:val="24"/>
              </w:rPr>
              <w:t>预期指标值</w:t>
            </w:r>
            <w:r>
              <w:rPr>
                <w:color w:val="000000"/>
                <w:kern w:val="0"/>
                <w:sz w:val="24"/>
              </w:rPr>
              <w:t>(</w:t>
            </w:r>
            <w:r>
              <w:rPr>
                <w:rFonts w:hAnsi="宋体"/>
                <w:color w:val="000000"/>
                <w:kern w:val="0"/>
                <w:sz w:val="24"/>
              </w:rPr>
              <w:t>包含数字及文字描述</w:t>
            </w:r>
            <w:r>
              <w:rPr>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rFonts w:hAnsi="宋体"/>
                <w:color w:val="000000"/>
                <w:kern w:val="0"/>
                <w:sz w:val="24"/>
              </w:rPr>
              <w:t>实际完成指标值</w:t>
            </w:r>
            <w:r>
              <w:rPr>
                <w:color w:val="000000"/>
                <w:kern w:val="0"/>
                <w:sz w:val="24"/>
              </w:rPr>
              <w:t>(</w:t>
            </w:r>
            <w:r>
              <w:rPr>
                <w:rFonts w:hAnsi="宋体"/>
                <w:color w:val="000000"/>
                <w:kern w:val="0"/>
                <w:sz w:val="24"/>
              </w:rPr>
              <w:t>包含数字及文字描述</w:t>
            </w:r>
            <w:r>
              <w:rPr>
                <w:color w:val="000000"/>
                <w:kern w:val="0"/>
                <w:sz w:val="24"/>
              </w:rPr>
              <w:t>)</w:t>
            </w:r>
          </w:p>
        </w:tc>
      </w:tr>
      <w:tr>
        <w:tblPrEx>
          <w:tblLayout w:type="fixed"/>
          <w:tblCellMar>
            <w:top w:w="0" w:type="dxa"/>
            <w:left w:w="0" w:type="dxa"/>
            <w:bottom w:w="0" w:type="dxa"/>
            <w:right w:w="0" w:type="dxa"/>
          </w:tblCellMar>
        </w:tblPrEx>
        <w:trPr>
          <w:trHeight w:val="652" w:hRule="atLeast"/>
        </w:trPr>
        <w:tc>
          <w:tcPr>
            <w:tcW w:w="86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color w:val="000000"/>
                <w:sz w:val="24"/>
              </w:rPr>
            </w:pPr>
          </w:p>
        </w:tc>
        <w:tc>
          <w:tcPr>
            <w:tcW w:w="891" w:type="dxa"/>
            <w:vMerge w:val="restart"/>
            <w:tcBorders>
              <w:top w:val="single" w:color="000000" w:sz="4" w:space="0"/>
              <w:left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rFonts w:hAnsi="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rFonts w:hAnsi="宋体"/>
                <w:color w:val="000000"/>
                <w:sz w:val="24"/>
              </w:rPr>
              <w:t>实效指标</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color w:val="000000"/>
                <w:sz w:val="24"/>
              </w:rPr>
            </w:pPr>
            <w:r>
              <w:rPr>
                <w:rFonts w:hAnsi="宋体"/>
                <w:color w:val="000000"/>
                <w:sz w:val="24"/>
              </w:rPr>
              <w:t>费用保障期间</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color w:val="000000"/>
                <w:sz w:val="24"/>
              </w:rPr>
            </w:pPr>
            <w:r>
              <w:rPr>
                <w:color w:val="000000"/>
                <w:sz w:val="24"/>
              </w:rPr>
              <w:t>2018</w:t>
            </w:r>
            <w:r>
              <w:rPr>
                <w:rFonts w:hAnsi="宋体"/>
                <w:color w:val="000000"/>
                <w:sz w:val="24"/>
              </w:rPr>
              <w:t>年全年</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rFonts w:hAnsi="宋体"/>
                <w:color w:val="000000"/>
                <w:sz w:val="24"/>
              </w:rPr>
              <w:t>完成</w:t>
            </w:r>
          </w:p>
        </w:tc>
      </w:tr>
      <w:tr>
        <w:tblPrEx>
          <w:tblLayout w:type="fixed"/>
          <w:tblCellMar>
            <w:top w:w="0" w:type="dxa"/>
            <w:left w:w="0" w:type="dxa"/>
            <w:bottom w:w="0" w:type="dxa"/>
            <w:right w:w="0" w:type="dxa"/>
          </w:tblCellMar>
        </w:tblPrEx>
        <w:trPr>
          <w:trHeight w:val="652" w:hRule="atLeast"/>
        </w:trPr>
        <w:tc>
          <w:tcPr>
            <w:tcW w:w="86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color w:val="000000"/>
                <w:sz w:val="24"/>
              </w:rPr>
            </w:pPr>
          </w:p>
        </w:tc>
        <w:tc>
          <w:tcPr>
            <w:tcW w:w="891" w:type="dxa"/>
            <w:vMerge w:val="continue"/>
            <w:tcBorders>
              <w:left w:val="single" w:color="000000" w:sz="4" w:space="0"/>
              <w:right w:val="single" w:color="000000" w:sz="4" w:space="0"/>
            </w:tcBorders>
            <w:tcMar>
              <w:top w:w="15" w:type="dxa"/>
              <w:left w:w="15" w:type="dxa"/>
              <w:bottom w:w="0" w:type="dxa"/>
              <w:right w:w="15" w:type="dxa"/>
            </w:tcMar>
            <w:vAlign w:val="center"/>
          </w:tcPr>
          <w:p>
            <w:pPr>
              <w:jc w:val="center"/>
              <w:textAlignment w:val="center"/>
              <w:rPr>
                <w:color w:val="000000"/>
                <w:sz w:val="24"/>
              </w:rPr>
            </w:pP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rFonts w:hAnsi="宋体"/>
                <w:color w:val="000000"/>
                <w:sz w:val="24"/>
              </w:rPr>
              <w:t>质量指标</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color w:val="000000"/>
                <w:sz w:val="24"/>
              </w:rPr>
            </w:pPr>
            <w:r>
              <w:rPr>
                <w:rFonts w:hAnsi="宋体"/>
                <w:color w:val="000000"/>
                <w:sz w:val="24"/>
              </w:rPr>
              <w:t>确保相关通信及及高清晰电视电话会议网络租用需要</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firstLineChars="200"/>
              <w:jc w:val="left"/>
              <w:textAlignment w:val="center"/>
              <w:rPr>
                <w:color w:val="000000"/>
                <w:sz w:val="24"/>
              </w:rPr>
            </w:pPr>
            <w:r>
              <w:rPr>
                <w:rFonts w:hAnsi="宋体"/>
                <w:color w:val="000000"/>
                <w:sz w:val="24"/>
              </w:rPr>
              <w:t>确保</w:t>
            </w:r>
            <w:r>
              <w:rPr>
                <w:color w:val="000000"/>
                <w:sz w:val="24"/>
              </w:rPr>
              <w:t>2018</w:t>
            </w:r>
            <w:r>
              <w:rPr>
                <w:rFonts w:hAnsi="宋体"/>
                <w:color w:val="000000"/>
                <w:sz w:val="24"/>
              </w:rPr>
              <w:t>年度专线网络及高清晰电视电话会议网络线路租用需要。</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rFonts w:hAnsi="宋体"/>
                <w:color w:val="000000"/>
                <w:sz w:val="24"/>
              </w:rPr>
              <w:t>完成</w:t>
            </w:r>
          </w:p>
        </w:tc>
      </w:tr>
      <w:tr>
        <w:tblPrEx>
          <w:tblLayout w:type="fixed"/>
          <w:tblCellMar>
            <w:top w:w="0" w:type="dxa"/>
            <w:left w:w="0" w:type="dxa"/>
            <w:bottom w:w="0" w:type="dxa"/>
            <w:right w:w="0" w:type="dxa"/>
          </w:tblCellMar>
        </w:tblPrEx>
        <w:trPr>
          <w:trHeight w:val="652" w:hRule="atLeast"/>
        </w:trPr>
        <w:tc>
          <w:tcPr>
            <w:tcW w:w="86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color w:val="000000"/>
                <w:sz w:val="24"/>
              </w:rPr>
            </w:pPr>
          </w:p>
        </w:tc>
        <w:tc>
          <w:tcPr>
            <w:tcW w:w="891" w:type="dxa"/>
            <w:vMerge w:val="continue"/>
            <w:tcBorders>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rFonts w:hAnsi="宋体"/>
                <w:color w:val="000000"/>
                <w:sz w:val="24"/>
              </w:rPr>
              <w:t>成本指标</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color w:val="000000"/>
                <w:sz w:val="24"/>
              </w:rPr>
            </w:pPr>
            <w:r>
              <w:rPr>
                <w:rFonts w:hAnsi="宋体"/>
                <w:color w:val="000000"/>
                <w:sz w:val="24"/>
              </w:rPr>
              <w:t>项目成本控制范围</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color w:val="000000"/>
                <w:sz w:val="24"/>
              </w:rPr>
            </w:pPr>
            <w:r>
              <w:rPr>
                <w:color w:val="000000"/>
                <w:sz w:val="24"/>
              </w:rPr>
              <w:t>28</w:t>
            </w:r>
            <w:r>
              <w:rPr>
                <w:rFonts w:hAnsi="宋体"/>
                <w:color w:val="000000"/>
                <w:sz w:val="24"/>
              </w:rPr>
              <w:t>万元</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rFonts w:hAnsi="宋体"/>
                <w:color w:val="000000"/>
                <w:sz w:val="24"/>
              </w:rPr>
              <w:t>完成</w:t>
            </w:r>
          </w:p>
        </w:tc>
      </w:tr>
      <w:tr>
        <w:tblPrEx>
          <w:tblLayout w:type="fixed"/>
          <w:tblCellMar>
            <w:top w:w="0" w:type="dxa"/>
            <w:left w:w="0" w:type="dxa"/>
            <w:bottom w:w="0" w:type="dxa"/>
            <w:right w:w="0" w:type="dxa"/>
          </w:tblCellMar>
        </w:tblPrEx>
        <w:trPr>
          <w:trHeight w:val="652" w:hRule="atLeast"/>
        </w:trPr>
        <w:tc>
          <w:tcPr>
            <w:tcW w:w="86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color w:val="000000"/>
                <w:sz w:val="24"/>
              </w:rPr>
            </w:pPr>
          </w:p>
        </w:tc>
        <w:tc>
          <w:tcPr>
            <w:tcW w:w="891"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kern w:val="0"/>
                <w:sz w:val="24"/>
              </w:rPr>
            </w:pPr>
            <w:r>
              <w:rPr>
                <w:rFonts w:hAnsi="宋体"/>
                <w:color w:val="000000"/>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rFonts w:hAnsi="宋体"/>
                <w:color w:val="000000"/>
                <w:sz w:val="24"/>
              </w:rPr>
              <w:t>社会效益</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color w:val="000000"/>
                <w:sz w:val="24"/>
              </w:rPr>
            </w:pPr>
            <w:r>
              <w:rPr>
                <w:rFonts w:hAnsi="宋体"/>
                <w:color w:val="000000"/>
                <w:sz w:val="24"/>
              </w:rPr>
              <w:t>预期实现目标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firstLineChars="200"/>
              <w:jc w:val="left"/>
              <w:textAlignment w:val="center"/>
              <w:rPr>
                <w:color w:val="000000"/>
                <w:sz w:val="24"/>
              </w:rPr>
            </w:pPr>
            <w:r>
              <w:rPr>
                <w:rFonts w:hAnsi="宋体"/>
                <w:color w:val="000000"/>
                <w:sz w:val="24"/>
              </w:rPr>
              <w:t>确保政令畅通，高清晰电视电话会议顺利召开。</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rFonts w:hAnsi="宋体"/>
                <w:color w:val="000000"/>
                <w:sz w:val="24"/>
              </w:rPr>
              <w:t>完成</w:t>
            </w:r>
          </w:p>
        </w:tc>
      </w:tr>
    </w:tbl>
    <w:p/>
    <w:p/>
    <w:p/>
    <w:p/>
    <w:p/>
    <w:p/>
    <w:tbl>
      <w:tblPr>
        <w:tblStyle w:val="12"/>
        <w:tblpPr w:leftFromText="180" w:rightFromText="180" w:vertAnchor="text" w:horzAnchor="page" w:tblpXSpec="center" w:tblpY="423"/>
        <w:tblOverlap w:val="never"/>
        <w:tblW w:w="9960" w:type="dxa"/>
        <w:tblInd w:w="0" w:type="dxa"/>
        <w:tblLayout w:type="fixed"/>
        <w:tblCellMar>
          <w:top w:w="0" w:type="dxa"/>
          <w:left w:w="0" w:type="dxa"/>
          <w:bottom w:w="0" w:type="dxa"/>
          <w:right w:w="0" w:type="dxa"/>
        </w:tblCellMar>
      </w:tblPr>
      <w:tblGrid>
        <w:gridCol w:w="866"/>
        <w:gridCol w:w="891"/>
        <w:gridCol w:w="952"/>
        <w:gridCol w:w="73"/>
        <w:gridCol w:w="1769"/>
        <w:gridCol w:w="2977"/>
        <w:gridCol w:w="40"/>
        <w:gridCol w:w="2392"/>
      </w:tblGrid>
      <w:tr>
        <w:tblPrEx>
          <w:tblLayout w:type="fixed"/>
          <w:tblCellMar>
            <w:top w:w="0" w:type="dxa"/>
            <w:left w:w="0" w:type="dxa"/>
            <w:bottom w:w="0" w:type="dxa"/>
            <w:right w:w="0" w:type="dxa"/>
          </w:tblCellMar>
        </w:tblPrEx>
        <w:trPr>
          <w:trHeight w:val="1034" w:hRule="atLeast"/>
        </w:trPr>
        <w:tc>
          <w:tcPr>
            <w:tcW w:w="9960" w:type="dxa"/>
            <w:gridSpan w:val="8"/>
            <w:tcMar>
              <w:top w:w="15" w:type="dxa"/>
              <w:left w:w="15" w:type="dxa"/>
              <w:bottom w:w="0" w:type="dxa"/>
              <w:right w:w="15" w:type="dxa"/>
            </w:tcMar>
            <w:vAlign w:val="center"/>
          </w:tcPr>
          <w:p>
            <w:pPr>
              <w:pStyle w:val="23"/>
              <w:widowControl/>
              <w:spacing w:before="93"/>
              <w:ind w:left="4173" w:leftChars="1310" w:hanging="1422" w:hangingChars="395"/>
              <w:textAlignment w:val="center"/>
              <w:rPr>
                <w:color w:val="000000"/>
                <w:sz w:val="36"/>
                <w:szCs w:val="36"/>
              </w:rPr>
            </w:pPr>
            <w:r>
              <w:rPr>
                <w:rFonts w:hAnsi="黑体" w:eastAsia="黑体"/>
                <w:bCs/>
                <w:color w:val="000000"/>
                <w:kern w:val="0"/>
                <w:sz w:val="36"/>
                <w:szCs w:val="36"/>
              </w:rPr>
              <w:t>项目支出绩效目标完成情况表</w:t>
            </w:r>
            <w:r>
              <w:rPr>
                <w:b/>
                <w:bCs/>
                <w:color w:val="000000"/>
                <w:kern w:val="0"/>
                <w:sz w:val="36"/>
                <w:szCs w:val="36"/>
              </w:rPr>
              <w:br w:type="textWrapping"/>
            </w:r>
            <w:r>
              <w:rPr>
                <w:color w:val="000000"/>
                <w:kern w:val="0"/>
                <w:sz w:val="36"/>
                <w:szCs w:val="36"/>
              </w:rPr>
              <w:t xml:space="preserve">(2018 </w:t>
            </w:r>
            <w:r>
              <w:rPr>
                <w:rFonts w:hAnsi="宋体"/>
                <w:color w:val="000000"/>
                <w:kern w:val="0"/>
                <w:sz w:val="36"/>
                <w:szCs w:val="36"/>
              </w:rPr>
              <w:t>年度</w:t>
            </w:r>
            <w:r>
              <w:rPr>
                <w:color w:val="000000"/>
                <w:kern w:val="0"/>
                <w:sz w:val="36"/>
                <w:szCs w:val="36"/>
              </w:rPr>
              <w:t>)</w:t>
            </w:r>
          </w:p>
        </w:tc>
      </w:tr>
      <w:tr>
        <w:tblPrEx>
          <w:tblLayout w:type="fixed"/>
          <w:tblCellMar>
            <w:top w:w="0" w:type="dxa"/>
            <w:left w:w="0" w:type="dxa"/>
            <w:bottom w:w="0" w:type="dxa"/>
            <w:right w:w="0" w:type="dxa"/>
          </w:tblCellMar>
        </w:tblPrEx>
        <w:trPr>
          <w:trHeight w:val="276" w:hRule="atLeast"/>
        </w:trPr>
        <w:tc>
          <w:tcPr>
            <w:tcW w:w="2782" w:type="dxa"/>
            <w:gridSpan w:val="4"/>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rFonts w:hAnsi="宋体"/>
                <w:color w:val="000000"/>
                <w:kern w:val="0"/>
                <w:sz w:val="24"/>
              </w:rPr>
              <w:t>项目名称</w:t>
            </w:r>
          </w:p>
        </w:tc>
        <w:tc>
          <w:tcPr>
            <w:tcW w:w="7178" w:type="dxa"/>
            <w:gridSpan w:val="4"/>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rFonts w:hAnsi="宋体"/>
                <w:color w:val="000000"/>
                <w:sz w:val="24"/>
              </w:rPr>
              <w:t>《中共攀枝花执政实录》《攀枝花纪事及四川改革开放实录》编撰出版经费</w:t>
            </w:r>
          </w:p>
        </w:tc>
      </w:tr>
      <w:tr>
        <w:tblPrEx>
          <w:tblLayout w:type="fixed"/>
          <w:tblCellMar>
            <w:top w:w="0" w:type="dxa"/>
            <w:left w:w="0" w:type="dxa"/>
            <w:bottom w:w="0" w:type="dxa"/>
            <w:right w:w="0" w:type="dxa"/>
          </w:tblCellMar>
        </w:tblPrEx>
        <w:trPr>
          <w:trHeight w:val="276" w:hRule="atLeast"/>
        </w:trPr>
        <w:tc>
          <w:tcPr>
            <w:tcW w:w="2782" w:type="dxa"/>
            <w:gridSpan w:val="4"/>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rFonts w:hAnsi="宋体"/>
                <w:color w:val="000000"/>
                <w:kern w:val="0"/>
                <w:sz w:val="24"/>
              </w:rPr>
              <w:t>预算单位</w:t>
            </w:r>
          </w:p>
        </w:tc>
        <w:tc>
          <w:tcPr>
            <w:tcW w:w="7178" w:type="dxa"/>
            <w:gridSpan w:val="4"/>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rFonts w:hAnsi="宋体"/>
                <w:color w:val="000000"/>
                <w:sz w:val="24"/>
              </w:rPr>
              <w:t>中共攀枝花市委党史研究室</w:t>
            </w:r>
          </w:p>
        </w:tc>
      </w:tr>
      <w:tr>
        <w:tblPrEx>
          <w:tblLayout w:type="fixed"/>
          <w:tblCellMar>
            <w:top w:w="0" w:type="dxa"/>
            <w:left w:w="0" w:type="dxa"/>
            <w:bottom w:w="0" w:type="dxa"/>
            <w:right w:w="0" w:type="dxa"/>
          </w:tblCellMar>
        </w:tblPrEx>
        <w:trPr>
          <w:trHeight w:val="276" w:hRule="atLeast"/>
        </w:trPr>
        <w:tc>
          <w:tcPr>
            <w:tcW w:w="866"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rFonts w:hAnsi="宋体"/>
                <w:color w:val="000000"/>
                <w:kern w:val="0"/>
                <w:sz w:val="24"/>
              </w:rPr>
              <w:t>预算执行情况</w:t>
            </w:r>
            <w:r>
              <w:rPr>
                <w:color w:val="000000"/>
                <w:kern w:val="0"/>
                <w:sz w:val="24"/>
              </w:rPr>
              <w:t>(</w:t>
            </w:r>
            <w:r>
              <w:rPr>
                <w:rFonts w:hAnsi="宋体"/>
                <w:color w:val="000000"/>
                <w:kern w:val="0"/>
                <w:sz w:val="24"/>
              </w:rPr>
              <w:t>万元</w:t>
            </w:r>
            <w:r>
              <w:rPr>
                <w:color w:val="000000"/>
                <w:kern w:val="0"/>
                <w:sz w:val="24"/>
              </w:rPr>
              <w:t>)</w:t>
            </w:r>
          </w:p>
        </w:tc>
        <w:tc>
          <w:tcPr>
            <w:tcW w:w="1916"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rFonts w:hAnsi="宋体"/>
                <w:color w:val="000000"/>
                <w:kern w:val="0"/>
                <w:sz w:val="24"/>
              </w:rPr>
              <w:t>预算数</w:t>
            </w:r>
            <w:r>
              <w:rPr>
                <w:color w:val="000000"/>
                <w:kern w:val="0"/>
                <w:sz w:val="24"/>
              </w:rPr>
              <w:t>:</w:t>
            </w:r>
          </w:p>
        </w:tc>
        <w:tc>
          <w:tcPr>
            <w:tcW w:w="1769"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color w:val="000000"/>
                <w:sz w:val="24"/>
              </w:rPr>
              <w:t>27.9</w:t>
            </w:r>
            <w:r>
              <w:rPr>
                <w:rFonts w:hAnsi="宋体"/>
                <w:color w:val="000000"/>
                <w:sz w:val="24"/>
              </w:rPr>
              <w:t>万元</w:t>
            </w:r>
          </w:p>
        </w:tc>
        <w:tc>
          <w:tcPr>
            <w:tcW w:w="3017"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rFonts w:hAnsi="宋体"/>
                <w:color w:val="000000"/>
                <w:kern w:val="0"/>
                <w:sz w:val="24"/>
              </w:rPr>
              <w:t>执行数</w:t>
            </w:r>
            <w:r>
              <w:rPr>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color w:val="000000"/>
                <w:sz w:val="24"/>
              </w:rPr>
              <w:t>27.9</w:t>
            </w:r>
            <w:r>
              <w:rPr>
                <w:rFonts w:hAnsi="宋体"/>
                <w:color w:val="000000"/>
                <w:sz w:val="24"/>
              </w:rPr>
              <w:t>万元</w:t>
            </w:r>
          </w:p>
        </w:tc>
      </w:tr>
      <w:tr>
        <w:tblPrEx>
          <w:tblLayout w:type="fixed"/>
          <w:tblCellMar>
            <w:top w:w="0" w:type="dxa"/>
            <w:left w:w="0" w:type="dxa"/>
            <w:bottom w:w="0" w:type="dxa"/>
            <w:right w:w="0" w:type="dxa"/>
          </w:tblCellMar>
        </w:tblPrEx>
        <w:trPr>
          <w:trHeight w:val="276" w:hRule="atLeast"/>
        </w:trPr>
        <w:tc>
          <w:tcPr>
            <w:tcW w:w="86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color w:val="000000"/>
                <w:sz w:val="24"/>
              </w:rPr>
            </w:pPr>
          </w:p>
        </w:tc>
        <w:tc>
          <w:tcPr>
            <w:tcW w:w="1916"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rFonts w:hAnsi="宋体"/>
                <w:color w:val="000000"/>
                <w:kern w:val="0"/>
                <w:sz w:val="24"/>
              </w:rPr>
              <w:t>其中</w:t>
            </w:r>
            <w:r>
              <w:rPr>
                <w:color w:val="000000"/>
                <w:kern w:val="0"/>
                <w:sz w:val="24"/>
              </w:rPr>
              <w:t>-</w:t>
            </w:r>
            <w:r>
              <w:rPr>
                <w:rFonts w:hAnsi="宋体"/>
                <w:color w:val="000000"/>
                <w:kern w:val="0"/>
                <w:sz w:val="24"/>
              </w:rPr>
              <w:t>财政拨款</w:t>
            </w:r>
            <w:r>
              <w:rPr>
                <w:color w:val="000000"/>
                <w:kern w:val="0"/>
                <w:sz w:val="24"/>
              </w:rPr>
              <w:t>:</w:t>
            </w:r>
          </w:p>
        </w:tc>
        <w:tc>
          <w:tcPr>
            <w:tcW w:w="1769"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color w:val="000000"/>
                <w:sz w:val="24"/>
              </w:rPr>
              <w:t>27.9</w:t>
            </w:r>
            <w:r>
              <w:rPr>
                <w:rFonts w:hAnsi="宋体"/>
                <w:color w:val="000000"/>
                <w:sz w:val="24"/>
              </w:rPr>
              <w:t>万元</w:t>
            </w:r>
          </w:p>
        </w:tc>
        <w:tc>
          <w:tcPr>
            <w:tcW w:w="3017"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rFonts w:hAnsi="宋体"/>
                <w:color w:val="000000"/>
                <w:kern w:val="0"/>
                <w:sz w:val="24"/>
              </w:rPr>
              <w:t>其中</w:t>
            </w:r>
            <w:r>
              <w:rPr>
                <w:color w:val="000000"/>
                <w:kern w:val="0"/>
                <w:sz w:val="24"/>
              </w:rPr>
              <w:t>-</w:t>
            </w:r>
            <w:r>
              <w:rPr>
                <w:rFonts w:hAnsi="宋体"/>
                <w:color w:val="000000"/>
                <w:kern w:val="0"/>
                <w:sz w:val="24"/>
              </w:rPr>
              <w:t>财政拨款</w:t>
            </w:r>
            <w:r>
              <w:rPr>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color w:val="000000"/>
                <w:sz w:val="24"/>
              </w:rPr>
              <w:t>27.9</w:t>
            </w:r>
            <w:r>
              <w:rPr>
                <w:rFonts w:hAnsi="宋体"/>
                <w:color w:val="000000"/>
                <w:sz w:val="24"/>
              </w:rPr>
              <w:t>万元</w:t>
            </w:r>
          </w:p>
        </w:tc>
      </w:tr>
      <w:tr>
        <w:tblPrEx>
          <w:tblLayout w:type="fixed"/>
          <w:tblCellMar>
            <w:top w:w="0" w:type="dxa"/>
            <w:left w:w="0" w:type="dxa"/>
            <w:bottom w:w="0" w:type="dxa"/>
            <w:right w:w="0" w:type="dxa"/>
          </w:tblCellMar>
        </w:tblPrEx>
        <w:trPr>
          <w:trHeight w:val="651" w:hRule="atLeast"/>
        </w:trPr>
        <w:tc>
          <w:tcPr>
            <w:tcW w:w="86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color w:val="000000"/>
                <w:sz w:val="24"/>
              </w:rPr>
            </w:pPr>
          </w:p>
        </w:tc>
        <w:tc>
          <w:tcPr>
            <w:tcW w:w="1916"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rFonts w:hAnsi="宋体"/>
                <w:color w:val="000000"/>
                <w:kern w:val="0"/>
                <w:sz w:val="24"/>
              </w:rPr>
              <w:t>其它资金</w:t>
            </w:r>
            <w:r>
              <w:rPr>
                <w:color w:val="000000"/>
                <w:kern w:val="0"/>
                <w:sz w:val="24"/>
              </w:rPr>
              <w:t>:</w:t>
            </w:r>
          </w:p>
        </w:tc>
        <w:tc>
          <w:tcPr>
            <w:tcW w:w="1769"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color w:val="000000"/>
                <w:kern w:val="0"/>
                <w:sz w:val="24"/>
              </w:rPr>
              <w:t>0</w:t>
            </w:r>
          </w:p>
        </w:tc>
        <w:tc>
          <w:tcPr>
            <w:tcW w:w="3017"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rFonts w:hAnsi="宋体"/>
                <w:color w:val="000000"/>
                <w:kern w:val="0"/>
                <w:sz w:val="24"/>
              </w:rPr>
              <w:t>其它资金</w:t>
            </w:r>
            <w:r>
              <w:rPr>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color w:val="000000"/>
                <w:sz w:val="24"/>
              </w:rPr>
            </w:pPr>
            <w:r>
              <w:rPr>
                <w:color w:val="000000"/>
                <w:sz w:val="24"/>
              </w:rPr>
              <w:t>0</w:t>
            </w:r>
          </w:p>
        </w:tc>
      </w:tr>
      <w:tr>
        <w:tblPrEx>
          <w:tblLayout w:type="fixed"/>
          <w:tblCellMar>
            <w:top w:w="0" w:type="dxa"/>
            <w:left w:w="0" w:type="dxa"/>
            <w:bottom w:w="0" w:type="dxa"/>
            <w:right w:w="0" w:type="dxa"/>
          </w:tblCellMar>
        </w:tblPrEx>
        <w:trPr>
          <w:trHeight w:val="276" w:hRule="atLeast"/>
        </w:trPr>
        <w:tc>
          <w:tcPr>
            <w:tcW w:w="866"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rFonts w:hAnsi="宋体"/>
                <w:color w:val="000000"/>
                <w:kern w:val="0"/>
                <w:sz w:val="24"/>
              </w:rPr>
              <w:t>年度目标完成情况</w:t>
            </w:r>
          </w:p>
        </w:tc>
        <w:tc>
          <w:tcPr>
            <w:tcW w:w="3685" w:type="dxa"/>
            <w:gridSpan w:val="4"/>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rFonts w:hAnsi="宋体"/>
                <w:color w:val="000000"/>
                <w:kern w:val="0"/>
                <w:sz w:val="24"/>
              </w:rPr>
              <w:t>预期目标</w:t>
            </w:r>
          </w:p>
        </w:tc>
        <w:tc>
          <w:tcPr>
            <w:tcW w:w="5409"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rFonts w:hAnsi="宋体"/>
                <w:color w:val="000000"/>
                <w:kern w:val="0"/>
                <w:sz w:val="24"/>
              </w:rPr>
              <w:t>实际完成目标</w:t>
            </w:r>
          </w:p>
        </w:tc>
      </w:tr>
      <w:tr>
        <w:tblPrEx>
          <w:tblLayout w:type="fixed"/>
          <w:tblCellMar>
            <w:top w:w="0" w:type="dxa"/>
            <w:left w:w="0" w:type="dxa"/>
            <w:bottom w:w="0" w:type="dxa"/>
            <w:right w:w="0" w:type="dxa"/>
          </w:tblCellMar>
        </w:tblPrEx>
        <w:trPr>
          <w:trHeight w:val="2041" w:hRule="atLeast"/>
        </w:trPr>
        <w:tc>
          <w:tcPr>
            <w:tcW w:w="86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color w:val="000000"/>
                <w:sz w:val="24"/>
              </w:rPr>
            </w:pPr>
          </w:p>
        </w:tc>
        <w:tc>
          <w:tcPr>
            <w:tcW w:w="3685" w:type="dxa"/>
            <w:gridSpan w:val="4"/>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color w:val="000000"/>
                <w:sz w:val="24"/>
              </w:rPr>
            </w:pPr>
            <w:r>
              <w:rPr>
                <w:color w:val="000000"/>
                <w:sz w:val="24"/>
              </w:rPr>
              <w:t xml:space="preserve">    </w:t>
            </w:r>
            <w:r>
              <w:rPr>
                <w:rFonts w:hAnsi="宋体"/>
                <w:color w:val="000000"/>
                <w:sz w:val="24"/>
              </w:rPr>
              <w:t>完成《中国共产党攀枝花执政实录》（第</w:t>
            </w:r>
            <w:r>
              <w:rPr>
                <w:color w:val="000000"/>
                <w:sz w:val="24"/>
              </w:rPr>
              <w:t>11</w:t>
            </w:r>
            <w:r>
              <w:rPr>
                <w:rFonts w:hAnsi="宋体"/>
                <w:color w:val="000000"/>
                <w:sz w:val="24"/>
              </w:rPr>
              <w:t>卷）的资料收集、分编、总纂等工作，经编纂委员会审定后公开出版，印刷</w:t>
            </w:r>
            <w:r>
              <w:rPr>
                <w:color w:val="000000"/>
                <w:sz w:val="24"/>
              </w:rPr>
              <w:t>2000</w:t>
            </w:r>
            <w:r>
              <w:rPr>
                <w:rFonts w:hAnsi="宋体"/>
                <w:color w:val="000000"/>
                <w:sz w:val="24"/>
              </w:rPr>
              <w:t>册，发送到每个单位。完成市委机关刊物《攀枝花纪事》</w:t>
            </w:r>
            <w:r>
              <w:rPr>
                <w:color w:val="000000"/>
                <w:sz w:val="24"/>
              </w:rPr>
              <w:t>2018</w:t>
            </w:r>
            <w:r>
              <w:rPr>
                <w:rFonts w:hAnsi="宋体"/>
                <w:color w:val="000000"/>
                <w:sz w:val="24"/>
              </w:rPr>
              <w:t>年</w:t>
            </w:r>
            <w:r>
              <w:rPr>
                <w:color w:val="000000"/>
                <w:sz w:val="24"/>
              </w:rPr>
              <w:t>6</w:t>
            </w:r>
            <w:r>
              <w:rPr>
                <w:rFonts w:hAnsi="宋体"/>
                <w:color w:val="000000"/>
                <w:sz w:val="24"/>
              </w:rPr>
              <w:t>期的组稿、出版、印刷任务。</w:t>
            </w:r>
          </w:p>
        </w:tc>
        <w:tc>
          <w:tcPr>
            <w:tcW w:w="5409"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color w:val="000000"/>
                <w:sz w:val="24"/>
              </w:rPr>
            </w:pPr>
            <w:r>
              <w:rPr>
                <w:color w:val="000000"/>
                <w:sz w:val="24"/>
              </w:rPr>
              <w:t xml:space="preserve">    </w:t>
            </w:r>
            <w:r>
              <w:rPr>
                <w:rFonts w:hAnsi="宋体"/>
                <w:color w:val="000000"/>
                <w:sz w:val="24"/>
              </w:rPr>
              <w:t>已完成《中国共产党攀枝花执政实录》（第</w:t>
            </w:r>
            <w:r>
              <w:rPr>
                <w:color w:val="000000"/>
                <w:sz w:val="24"/>
              </w:rPr>
              <w:t>11</w:t>
            </w:r>
            <w:r>
              <w:rPr>
                <w:rFonts w:hAnsi="宋体"/>
                <w:color w:val="000000"/>
                <w:sz w:val="24"/>
              </w:rPr>
              <w:t>卷）的资料收集、分编、总纂等工作，经编纂委员会审定后公开出版，印刷</w:t>
            </w:r>
            <w:r>
              <w:rPr>
                <w:color w:val="000000"/>
                <w:sz w:val="24"/>
              </w:rPr>
              <w:t>2000</w:t>
            </w:r>
            <w:r>
              <w:rPr>
                <w:rFonts w:hAnsi="宋体"/>
                <w:color w:val="000000"/>
                <w:sz w:val="24"/>
              </w:rPr>
              <w:t>册，发送到每个单位。已完成市委机关刊物《攀枝花纪事》</w:t>
            </w:r>
            <w:r>
              <w:rPr>
                <w:color w:val="000000"/>
                <w:sz w:val="24"/>
              </w:rPr>
              <w:t>2018</w:t>
            </w:r>
            <w:r>
              <w:rPr>
                <w:rFonts w:hAnsi="宋体"/>
                <w:color w:val="000000"/>
                <w:sz w:val="24"/>
              </w:rPr>
              <w:t>年</w:t>
            </w:r>
            <w:r>
              <w:rPr>
                <w:color w:val="000000"/>
                <w:sz w:val="24"/>
              </w:rPr>
              <w:t>6</w:t>
            </w:r>
            <w:r>
              <w:rPr>
                <w:rFonts w:hAnsi="宋体"/>
                <w:color w:val="000000"/>
                <w:sz w:val="24"/>
              </w:rPr>
              <w:t>期的组稿、出版、印刷任务。</w:t>
            </w:r>
          </w:p>
        </w:tc>
      </w:tr>
      <w:tr>
        <w:tblPrEx>
          <w:tblLayout w:type="fixed"/>
          <w:tblCellMar>
            <w:top w:w="0" w:type="dxa"/>
            <w:left w:w="0" w:type="dxa"/>
            <w:bottom w:w="0" w:type="dxa"/>
            <w:right w:w="0" w:type="dxa"/>
          </w:tblCellMar>
        </w:tblPrEx>
        <w:trPr>
          <w:trHeight w:val="767" w:hRule="atLeast"/>
        </w:trPr>
        <w:tc>
          <w:tcPr>
            <w:tcW w:w="866" w:type="dxa"/>
            <w:vMerge w:val="restart"/>
            <w:tcBorders>
              <w:top w:val="single" w:color="000000" w:sz="4" w:space="0"/>
              <w:left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rFonts w:hAnsi="宋体"/>
                <w:color w:val="000000"/>
                <w:sz w:val="24"/>
              </w:rPr>
              <w:t>绩效指标完成情况</w:t>
            </w:r>
          </w:p>
        </w:tc>
        <w:tc>
          <w:tcPr>
            <w:tcW w:w="891"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rFonts w:hAnsi="宋体"/>
                <w:color w:val="000000"/>
                <w:kern w:val="0"/>
                <w:sz w:val="24"/>
              </w:rPr>
              <w:t>一级指标</w:t>
            </w:r>
          </w:p>
        </w:tc>
        <w:tc>
          <w:tcPr>
            <w:tcW w:w="95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rFonts w:hAnsi="宋体"/>
                <w:color w:val="000000"/>
                <w:kern w:val="0"/>
                <w:sz w:val="24"/>
              </w:rPr>
              <w:t>二级指标</w:t>
            </w:r>
          </w:p>
        </w:tc>
        <w:tc>
          <w:tcPr>
            <w:tcW w:w="184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rFonts w:hAnsi="宋体"/>
                <w:color w:val="000000"/>
                <w:kern w:val="0"/>
                <w:sz w:val="24"/>
              </w:rPr>
              <w:t>三级指标</w:t>
            </w:r>
          </w:p>
        </w:tc>
        <w:tc>
          <w:tcPr>
            <w:tcW w:w="297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rFonts w:hAnsi="宋体"/>
                <w:color w:val="000000"/>
                <w:kern w:val="0"/>
                <w:sz w:val="24"/>
              </w:rPr>
              <w:t>预期指标值</w:t>
            </w:r>
            <w:r>
              <w:rPr>
                <w:color w:val="000000"/>
                <w:kern w:val="0"/>
                <w:sz w:val="24"/>
              </w:rPr>
              <w:t>(</w:t>
            </w:r>
            <w:r>
              <w:rPr>
                <w:rFonts w:hAnsi="宋体"/>
                <w:color w:val="000000"/>
                <w:kern w:val="0"/>
                <w:sz w:val="24"/>
              </w:rPr>
              <w:t>包含数字及文字描述</w:t>
            </w:r>
            <w:r>
              <w:rPr>
                <w:color w:val="000000"/>
                <w:kern w:val="0"/>
                <w:sz w:val="24"/>
              </w:rPr>
              <w:t>)</w:t>
            </w:r>
          </w:p>
        </w:tc>
        <w:tc>
          <w:tcPr>
            <w:tcW w:w="243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rFonts w:hAnsi="宋体"/>
                <w:color w:val="000000"/>
                <w:kern w:val="0"/>
                <w:sz w:val="24"/>
              </w:rPr>
              <w:t>实际完成指标值</w:t>
            </w:r>
            <w:r>
              <w:rPr>
                <w:color w:val="000000"/>
                <w:kern w:val="0"/>
                <w:sz w:val="24"/>
              </w:rPr>
              <w:t>(</w:t>
            </w:r>
            <w:r>
              <w:rPr>
                <w:rFonts w:hAnsi="宋体"/>
                <w:color w:val="000000"/>
                <w:kern w:val="0"/>
                <w:sz w:val="24"/>
              </w:rPr>
              <w:t>包含数字及文字描述</w:t>
            </w:r>
            <w:r>
              <w:rPr>
                <w:color w:val="000000"/>
                <w:kern w:val="0"/>
                <w:sz w:val="24"/>
              </w:rPr>
              <w:t>)</w:t>
            </w:r>
          </w:p>
        </w:tc>
      </w:tr>
      <w:tr>
        <w:tblPrEx>
          <w:tblLayout w:type="fixed"/>
          <w:tblCellMar>
            <w:top w:w="0" w:type="dxa"/>
            <w:left w:w="0" w:type="dxa"/>
            <w:bottom w:w="0" w:type="dxa"/>
            <w:right w:w="0" w:type="dxa"/>
          </w:tblCellMar>
        </w:tblPrEx>
        <w:trPr>
          <w:trHeight w:val="834" w:hRule="atLeast"/>
        </w:trPr>
        <w:tc>
          <w:tcPr>
            <w:tcW w:w="866" w:type="dxa"/>
            <w:vMerge w:val="continue"/>
            <w:tcBorders>
              <w:left w:val="single" w:color="000000" w:sz="4" w:space="0"/>
              <w:right w:val="single" w:color="000000" w:sz="4" w:space="0"/>
            </w:tcBorders>
            <w:vAlign w:val="center"/>
          </w:tcPr>
          <w:p>
            <w:pPr>
              <w:widowControl/>
              <w:jc w:val="left"/>
              <w:rPr>
                <w:color w:val="000000"/>
                <w:sz w:val="24"/>
              </w:rPr>
            </w:pPr>
          </w:p>
        </w:tc>
        <w:tc>
          <w:tcPr>
            <w:tcW w:w="891" w:type="dxa"/>
            <w:vMerge w:val="restart"/>
            <w:tcBorders>
              <w:top w:val="single" w:color="000000" w:sz="4" w:space="0"/>
              <w:left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rFonts w:hAnsi="宋体"/>
                <w:color w:val="000000"/>
                <w:kern w:val="0"/>
                <w:sz w:val="24"/>
              </w:rPr>
              <w:t>项目完成指标</w:t>
            </w:r>
          </w:p>
          <w:p>
            <w:pPr>
              <w:jc w:val="center"/>
              <w:textAlignment w:val="center"/>
              <w:rPr>
                <w:color w:val="000000"/>
                <w:sz w:val="24"/>
              </w:rPr>
            </w:pPr>
          </w:p>
        </w:tc>
        <w:tc>
          <w:tcPr>
            <w:tcW w:w="952" w:type="dxa"/>
            <w:vMerge w:val="restart"/>
            <w:tcBorders>
              <w:top w:val="single" w:color="000000" w:sz="4" w:space="0"/>
              <w:left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rFonts w:hAnsi="宋体"/>
                <w:color w:val="000000"/>
                <w:sz w:val="24"/>
              </w:rPr>
              <w:t>数量指标</w:t>
            </w:r>
          </w:p>
          <w:p>
            <w:pPr>
              <w:jc w:val="center"/>
              <w:textAlignment w:val="center"/>
              <w:rPr>
                <w:color w:val="000000"/>
                <w:sz w:val="24"/>
              </w:rPr>
            </w:pPr>
          </w:p>
        </w:tc>
        <w:tc>
          <w:tcPr>
            <w:tcW w:w="184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color w:val="000000"/>
                <w:sz w:val="24"/>
              </w:rPr>
            </w:pPr>
            <w:r>
              <w:rPr>
                <w:color w:val="000000"/>
                <w:sz w:val="24"/>
              </w:rPr>
              <w:t>收集整理全市执政实录资料</w:t>
            </w:r>
          </w:p>
        </w:tc>
        <w:tc>
          <w:tcPr>
            <w:tcW w:w="297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color w:val="000000"/>
                <w:sz w:val="24"/>
              </w:rPr>
            </w:pPr>
            <w:r>
              <w:rPr>
                <w:color w:val="000000"/>
                <w:sz w:val="24"/>
              </w:rPr>
              <w:t>106个单位</w:t>
            </w:r>
          </w:p>
        </w:tc>
        <w:tc>
          <w:tcPr>
            <w:tcW w:w="243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color w:val="000000"/>
                <w:sz w:val="24"/>
              </w:rPr>
            </w:pPr>
            <w:r>
              <w:rPr>
                <w:color w:val="000000"/>
                <w:sz w:val="24"/>
              </w:rPr>
              <w:t>106个单位</w:t>
            </w:r>
          </w:p>
        </w:tc>
      </w:tr>
      <w:tr>
        <w:tblPrEx>
          <w:tblLayout w:type="fixed"/>
          <w:tblCellMar>
            <w:top w:w="0" w:type="dxa"/>
            <w:left w:w="0" w:type="dxa"/>
            <w:bottom w:w="0" w:type="dxa"/>
            <w:right w:w="0" w:type="dxa"/>
          </w:tblCellMar>
        </w:tblPrEx>
        <w:trPr>
          <w:trHeight w:val="818" w:hRule="atLeast"/>
        </w:trPr>
        <w:tc>
          <w:tcPr>
            <w:tcW w:w="866" w:type="dxa"/>
            <w:vMerge w:val="continue"/>
            <w:tcBorders>
              <w:left w:val="single" w:color="000000" w:sz="4" w:space="0"/>
              <w:right w:val="single" w:color="000000" w:sz="4" w:space="0"/>
            </w:tcBorders>
            <w:vAlign w:val="center"/>
          </w:tcPr>
          <w:p>
            <w:pPr>
              <w:widowControl/>
              <w:jc w:val="left"/>
              <w:rPr>
                <w:color w:val="000000"/>
                <w:sz w:val="24"/>
              </w:rPr>
            </w:pPr>
          </w:p>
        </w:tc>
        <w:tc>
          <w:tcPr>
            <w:tcW w:w="891" w:type="dxa"/>
            <w:vMerge w:val="continue"/>
            <w:tcBorders>
              <w:left w:val="single" w:color="000000" w:sz="4" w:space="0"/>
              <w:right w:val="single" w:color="000000" w:sz="4" w:space="0"/>
            </w:tcBorders>
            <w:tcMar>
              <w:top w:w="15" w:type="dxa"/>
              <w:left w:w="15" w:type="dxa"/>
              <w:bottom w:w="0" w:type="dxa"/>
              <w:right w:w="15" w:type="dxa"/>
            </w:tcMar>
            <w:vAlign w:val="center"/>
          </w:tcPr>
          <w:p>
            <w:pPr>
              <w:jc w:val="center"/>
              <w:textAlignment w:val="center"/>
              <w:rPr>
                <w:color w:val="000000"/>
                <w:sz w:val="24"/>
              </w:rPr>
            </w:pPr>
          </w:p>
        </w:tc>
        <w:tc>
          <w:tcPr>
            <w:tcW w:w="952" w:type="dxa"/>
            <w:vMerge w:val="continue"/>
            <w:tcBorders>
              <w:left w:val="single" w:color="000000" w:sz="4" w:space="0"/>
              <w:right w:val="single" w:color="000000" w:sz="4" w:space="0"/>
            </w:tcBorders>
            <w:tcMar>
              <w:top w:w="15" w:type="dxa"/>
              <w:left w:w="15" w:type="dxa"/>
              <w:bottom w:w="0" w:type="dxa"/>
              <w:right w:w="15" w:type="dxa"/>
            </w:tcMar>
            <w:vAlign w:val="center"/>
          </w:tcPr>
          <w:p>
            <w:pPr>
              <w:jc w:val="center"/>
              <w:textAlignment w:val="center"/>
              <w:rPr>
                <w:color w:val="000000"/>
                <w:sz w:val="24"/>
              </w:rPr>
            </w:pPr>
          </w:p>
        </w:tc>
        <w:tc>
          <w:tcPr>
            <w:tcW w:w="184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color w:val="000000"/>
                <w:sz w:val="24"/>
              </w:rPr>
            </w:pPr>
            <w:r>
              <w:rPr>
                <w:color w:val="000000"/>
                <w:sz w:val="24"/>
              </w:rPr>
              <w:t>全市执政实录资料的分编、总纂</w:t>
            </w:r>
          </w:p>
        </w:tc>
        <w:tc>
          <w:tcPr>
            <w:tcW w:w="297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color w:val="000000"/>
                <w:sz w:val="24"/>
              </w:rPr>
            </w:pPr>
            <w:r>
              <w:rPr>
                <w:color w:val="000000"/>
                <w:sz w:val="24"/>
              </w:rPr>
              <w:t>106个单位</w:t>
            </w:r>
          </w:p>
        </w:tc>
        <w:tc>
          <w:tcPr>
            <w:tcW w:w="243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color w:val="000000"/>
                <w:sz w:val="24"/>
              </w:rPr>
            </w:pPr>
            <w:r>
              <w:rPr>
                <w:color w:val="000000"/>
                <w:sz w:val="24"/>
              </w:rPr>
              <w:t>106个单位</w:t>
            </w:r>
          </w:p>
        </w:tc>
      </w:tr>
      <w:tr>
        <w:tblPrEx>
          <w:tblLayout w:type="fixed"/>
          <w:tblCellMar>
            <w:top w:w="0" w:type="dxa"/>
            <w:left w:w="0" w:type="dxa"/>
            <w:bottom w:w="0" w:type="dxa"/>
            <w:right w:w="0" w:type="dxa"/>
          </w:tblCellMar>
        </w:tblPrEx>
        <w:trPr>
          <w:trHeight w:val="688" w:hRule="atLeast"/>
        </w:trPr>
        <w:tc>
          <w:tcPr>
            <w:tcW w:w="866" w:type="dxa"/>
            <w:vMerge w:val="continue"/>
            <w:tcBorders>
              <w:left w:val="single" w:color="000000" w:sz="4" w:space="0"/>
              <w:right w:val="single" w:color="000000" w:sz="4" w:space="0"/>
            </w:tcBorders>
            <w:vAlign w:val="center"/>
          </w:tcPr>
          <w:p>
            <w:pPr>
              <w:widowControl/>
              <w:jc w:val="left"/>
              <w:rPr>
                <w:color w:val="000000"/>
                <w:sz w:val="24"/>
              </w:rPr>
            </w:pPr>
          </w:p>
        </w:tc>
        <w:tc>
          <w:tcPr>
            <w:tcW w:w="891" w:type="dxa"/>
            <w:vMerge w:val="continue"/>
            <w:tcBorders>
              <w:left w:val="single" w:color="000000" w:sz="4" w:space="0"/>
              <w:right w:val="single" w:color="000000" w:sz="4" w:space="0"/>
            </w:tcBorders>
            <w:tcMar>
              <w:top w:w="15" w:type="dxa"/>
              <w:left w:w="15" w:type="dxa"/>
              <w:bottom w:w="0" w:type="dxa"/>
              <w:right w:w="15" w:type="dxa"/>
            </w:tcMar>
            <w:vAlign w:val="center"/>
          </w:tcPr>
          <w:p>
            <w:pPr>
              <w:jc w:val="center"/>
              <w:textAlignment w:val="center"/>
              <w:rPr>
                <w:color w:val="000000"/>
                <w:sz w:val="24"/>
              </w:rPr>
            </w:pPr>
          </w:p>
        </w:tc>
        <w:tc>
          <w:tcPr>
            <w:tcW w:w="952" w:type="dxa"/>
            <w:vMerge w:val="continue"/>
            <w:tcBorders>
              <w:left w:val="single" w:color="000000" w:sz="4" w:space="0"/>
              <w:right w:val="single" w:color="000000" w:sz="4" w:space="0"/>
            </w:tcBorders>
            <w:tcMar>
              <w:top w:w="15" w:type="dxa"/>
              <w:left w:w="15" w:type="dxa"/>
              <w:bottom w:w="0" w:type="dxa"/>
              <w:right w:w="15" w:type="dxa"/>
            </w:tcMar>
            <w:vAlign w:val="center"/>
          </w:tcPr>
          <w:p>
            <w:pPr>
              <w:jc w:val="center"/>
              <w:textAlignment w:val="center"/>
              <w:rPr>
                <w:color w:val="000000"/>
                <w:sz w:val="24"/>
              </w:rPr>
            </w:pPr>
          </w:p>
        </w:tc>
        <w:tc>
          <w:tcPr>
            <w:tcW w:w="184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color w:val="000000"/>
                <w:sz w:val="24"/>
              </w:rPr>
            </w:pPr>
            <w:r>
              <w:rPr>
                <w:color w:val="000000"/>
                <w:sz w:val="24"/>
              </w:rPr>
              <w:t>书籍印刷服务政府采购</w:t>
            </w:r>
          </w:p>
        </w:tc>
        <w:tc>
          <w:tcPr>
            <w:tcW w:w="297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color w:val="000000"/>
                <w:sz w:val="24"/>
              </w:rPr>
            </w:pPr>
            <w:r>
              <w:rPr>
                <w:color w:val="000000"/>
                <w:sz w:val="24"/>
              </w:rPr>
              <w:t>1次</w:t>
            </w:r>
          </w:p>
        </w:tc>
        <w:tc>
          <w:tcPr>
            <w:tcW w:w="243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color w:val="000000"/>
                <w:sz w:val="24"/>
              </w:rPr>
            </w:pPr>
            <w:r>
              <w:rPr>
                <w:color w:val="000000"/>
                <w:sz w:val="24"/>
              </w:rPr>
              <w:t>1次</w:t>
            </w:r>
          </w:p>
        </w:tc>
      </w:tr>
      <w:tr>
        <w:tblPrEx>
          <w:tblLayout w:type="fixed"/>
          <w:tblCellMar>
            <w:top w:w="0" w:type="dxa"/>
            <w:left w:w="0" w:type="dxa"/>
            <w:bottom w:w="0" w:type="dxa"/>
            <w:right w:w="0" w:type="dxa"/>
          </w:tblCellMar>
        </w:tblPrEx>
        <w:trPr>
          <w:trHeight w:val="826" w:hRule="atLeast"/>
        </w:trPr>
        <w:tc>
          <w:tcPr>
            <w:tcW w:w="866" w:type="dxa"/>
            <w:vMerge w:val="continue"/>
            <w:tcBorders>
              <w:left w:val="single" w:color="000000" w:sz="4" w:space="0"/>
              <w:right w:val="single" w:color="000000" w:sz="4" w:space="0"/>
            </w:tcBorders>
            <w:vAlign w:val="center"/>
          </w:tcPr>
          <w:p>
            <w:pPr>
              <w:widowControl/>
              <w:jc w:val="left"/>
              <w:rPr>
                <w:color w:val="000000"/>
                <w:sz w:val="24"/>
              </w:rPr>
            </w:pPr>
          </w:p>
        </w:tc>
        <w:tc>
          <w:tcPr>
            <w:tcW w:w="891" w:type="dxa"/>
            <w:vMerge w:val="continue"/>
            <w:tcBorders>
              <w:left w:val="single" w:color="000000" w:sz="4" w:space="0"/>
              <w:right w:val="single" w:color="000000" w:sz="4" w:space="0"/>
            </w:tcBorders>
            <w:tcMar>
              <w:top w:w="15" w:type="dxa"/>
              <w:left w:w="15" w:type="dxa"/>
              <w:bottom w:w="0" w:type="dxa"/>
              <w:right w:w="15" w:type="dxa"/>
            </w:tcMar>
            <w:vAlign w:val="center"/>
          </w:tcPr>
          <w:p>
            <w:pPr>
              <w:jc w:val="center"/>
              <w:textAlignment w:val="center"/>
              <w:rPr>
                <w:color w:val="000000"/>
                <w:sz w:val="24"/>
              </w:rPr>
            </w:pPr>
          </w:p>
        </w:tc>
        <w:tc>
          <w:tcPr>
            <w:tcW w:w="952" w:type="dxa"/>
            <w:vMerge w:val="continue"/>
            <w:tcBorders>
              <w:left w:val="single" w:color="000000" w:sz="4" w:space="0"/>
              <w:right w:val="single" w:color="000000" w:sz="4" w:space="0"/>
            </w:tcBorders>
            <w:tcMar>
              <w:top w:w="15" w:type="dxa"/>
              <w:left w:w="15" w:type="dxa"/>
              <w:bottom w:w="0" w:type="dxa"/>
              <w:right w:w="15" w:type="dxa"/>
            </w:tcMar>
            <w:vAlign w:val="center"/>
          </w:tcPr>
          <w:p>
            <w:pPr>
              <w:jc w:val="center"/>
              <w:textAlignment w:val="center"/>
              <w:rPr>
                <w:color w:val="000000"/>
                <w:sz w:val="24"/>
              </w:rPr>
            </w:pPr>
          </w:p>
        </w:tc>
        <w:tc>
          <w:tcPr>
            <w:tcW w:w="184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color w:val="000000"/>
                <w:sz w:val="24"/>
              </w:rPr>
            </w:pPr>
            <w:r>
              <w:rPr>
                <w:color w:val="000000"/>
                <w:sz w:val="24"/>
              </w:rPr>
              <w:t>书籍公开出版，印刷</w:t>
            </w:r>
          </w:p>
        </w:tc>
        <w:tc>
          <w:tcPr>
            <w:tcW w:w="297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color w:val="000000"/>
                <w:sz w:val="24"/>
              </w:rPr>
            </w:pPr>
            <w:r>
              <w:rPr>
                <w:color w:val="000000"/>
                <w:sz w:val="24"/>
              </w:rPr>
              <w:t>2000册</w:t>
            </w:r>
          </w:p>
        </w:tc>
        <w:tc>
          <w:tcPr>
            <w:tcW w:w="243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color w:val="000000"/>
                <w:sz w:val="24"/>
              </w:rPr>
            </w:pPr>
            <w:r>
              <w:rPr>
                <w:color w:val="000000"/>
                <w:sz w:val="24"/>
              </w:rPr>
              <w:t>2000册</w:t>
            </w:r>
          </w:p>
        </w:tc>
      </w:tr>
      <w:tr>
        <w:tblPrEx>
          <w:tblLayout w:type="fixed"/>
          <w:tblCellMar>
            <w:top w:w="0" w:type="dxa"/>
            <w:left w:w="0" w:type="dxa"/>
            <w:bottom w:w="0" w:type="dxa"/>
            <w:right w:w="0" w:type="dxa"/>
          </w:tblCellMar>
        </w:tblPrEx>
        <w:trPr>
          <w:trHeight w:val="825" w:hRule="atLeast"/>
        </w:trPr>
        <w:tc>
          <w:tcPr>
            <w:tcW w:w="866" w:type="dxa"/>
            <w:vMerge w:val="continue"/>
            <w:tcBorders>
              <w:left w:val="single" w:color="000000" w:sz="4" w:space="0"/>
              <w:right w:val="single" w:color="000000" w:sz="4" w:space="0"/>
            </w:tcBorders>
            <w:vAlign w:val="center"/>
          </w:tcPr>
          <w:p>
            <w:pPr>
              <w:widowControl/>
              <w:jc w:val="left"/>
              <w:rPr>
                <w:color w:val="000000"/>
                <w:sz w:val="24"/>
              </w:rPr>
            </w:pPr>
          </w:p>
        </w:tc>
        <w:tc>
          <w:tcPr>
            <w:tcW w:w="891" w:type="dxa"/>
            <w:vMerge w:val="continue"/>
            <w:tcBorders>
              <w:left w:val="single" w:color="000000" w:sz="4" w:space="0"/>
              <w:right w:val="single" w:color="000000" w:sz="4" w:space="0"/>
            </w:tcBorders>
            <w:tcMar>
              <w:top w:w="15" w:type="dxa"/>
              <w:left w:w="15" w:type="dxa"/>
              <w:bottom w:w="0" w:type="dxa"/>
              <w:right w:w="15" w:type="dxa"/>
            </w:tcMar>
            <w:vAlign w:val="center"/>
          </w:tcPr>
          <w:p>
            <w:pPr>
              <w:jc w:val="center"/>
              <w:textAlignment w:val="center"/>
              <w:rPr>
                <w:color w:val="000000"/>
                <w:sz w:val="24"/>
              </w:rPr>
            </w:pPr>
          </w:p>
        </w:tc>
        <w:tc>
          <w:tcPr>
            <w:tcW w:w="952" w:type="dxa"/>
            <w:vMerge w:val="continue"/>
            <w:tcBorders>
              <w:left w:val="single" w:color="000000" w:sz="4" w:space="0"/>
              <w:right w:val="single" w:color="000000" w:sz="4" w:space="0"/>
            </w:tcBorders>
            <w:tcMar>
              <w:top w:w="15" w:type="dxa"/>
              <w:left w:w="15" w:type="dxa"/>
              <w:bottom w:w="0" w:type="dxa"/>
              <w:right w:w="15" w:type="dxa"/>
            </w:tcMar>
            <w:vAlign w:val="center"/>
          </w:tcPr>
          <w:p>
            <w:pPr>
              <w:jc w:val="center"/>
              <w:textAlignment w:val="center"/>
              <w:rPr>
                <w:color w:val="000000"/>
                <w:sz w:val="24"/>
              </w:rPr>
            </w:pPr>
          </w:p>
        </w:tc>
        <w:tc>
          <w:tcPr>
            <w:tcW w:w="184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color w:val="000000"/>
                <w:sz w:val="24"/>
              </w:rPr>
            </w:pPr>
            <w:r>
              <w:rPr>
                <w:color w:val="000000"/>
                <w:sz w:val="24"/>
              </w:rPr>
              <w:t>《攀枝花纪事》每期组稿</w:t>
            </w:r>
          </w:p>
        </w:tc>
        <w:tc>
          <w:tcPr>
            <w:tcW w:w="297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color w:val="000000"/>
                <w:sz w:val="24"/>
              </w:rPr>
            </w:pPr>
            <w:r>
              <w:rPr>
                <w:color w:val="000000"/>
                <w:sz w:val="24"/>
              </w:rPr>
              <w:t>20个常设栏目</w:t>
            </w:r>
          </w:p>
        </w:tc>
        <w:tc>
          <w:tcPr>
            <w:tcW w:w="243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color w:val="000000"/>
                <w:sz w:val="24"/>
              </w:rPr>
            </w:pPr>
            <w:r>
              <w:rPr>
                <w:color w:val="000000"/>
                <w:sz w:val="24"/>
              </w:rPr>
              <w:t>20个常设栏目</w:t>
            </w:r>
          </w:p>
        </w:tc>
      </w:tr>
      <w:tr>
        <w:tblPrEx>
          <w:tblLayout w:type="fixed"/>
          <w:tblCellMar>
            <w:top w:w="0" w:type="dxa"/>
            <w:left w:w="0" w:type="dxa"/>
            <w:bottom w:w="0" w:type="dxa"/>
            <w:right w:w="0" w:type="dxa"/>
          </w:tblCellMar>
        </w:tblPrEx>
        <w:trPr>
          <w:trHeight w:val="680" w:hRule="atLeast"/>
        </w:trPr>
        <w:tc>
          <w:tcPr>
            <w:tcW w:w="866" w:type="dxa"/>
            <w:vMerge w:val="continue"/>
            <w:tcBorders>
              <w:left w:val="single" w:color="000000" w:sz="4" w:space="0"/>
              <w:bottom w:val="single" w:color="000000" w:sz="4" w:space="0"/>
              <w:right w:val="single" w:color="000000" w:sz="4" w:space="0"/>
            </w:tcBorders>
            <w:vAlign w:val="center"/>
          </w:tcPr>
          <w:p>
            <w:pPr>
              <w:widowControl/>
              <w:jc w:val="left"/>
              <w:rPr>
                <w:color w:val="000000"/>
                <w:sz w:val="24"/>
              </w:rPr>
            </w:pPr>
          </w:p>
        </w:tc>
        <w:tc>
          <w:tcPr>
            <w:tcW w:w="891" w:type="dxa"/>
            <w:vMerge w:val="continue"/>
            <w:tcBorders>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p>
        </w:tc>
        <w:tc>
          <w:tcPr>
            <w:tcW w:w="952" w:type="dxa"/>
            <w:vMerge w:val="continue"/>
            <w:tcBorders>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p>
        </w:tc>
        <w:tc>
          <w:tcPr>
            <w:tcW w:w="184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color w:val="000000"/>
                <w:sz w:val="24"/>
              </w:rPr>
            </w:pPr>
            <w:r>
              <w:rPr>
                <w:color w:val="000000"/>
                <w:sz w:val="24"/>
              </w:rPr>
              <w:t>《攀枝花纪事》每期封面、封底图片组稿</w:t>
            </w:r>
          </w:p>
        </w:tc>
        <w:tc>
          <w:tcPr>
            <w:tcW w:w="297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color w:val="000000"/>
                <w:sz w:val="24"/>
              </w:rPr>
            </w:pPr>
            <w:r>
              <w:rPr>
                <w:color w:val="000000"/>
                <w:sz w:val="24"/>
              </w:rPr>
              <w:t>4幅及以上</w:t>
            </w:r>
          </w:p>
        </w:tc>
        <w:tc>
          <w:tcPr>
            <w:tcW w:w="243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color w:val="000000"/>
                <w:sz w:val="24"/>
              </w:rPr>
            </w:pPr>
            <w:r>
              <w:rPr>
                <w:color w:val="000000"/>
                <w:sz w:val="24"/>
              </w:rPr>
              <w:t>4幅及以上</w:t>
            </w:r>
          </w:p>
        </w:tc>
      </w:tr>
      <w:tr>
        <w:tblPrEx>
          <w:tblLayout w:type="fixed"/>
          <w:tblCellMar>
            <w:top w:w="0" w:type="dxa"/>
            <w:left w:w="0" w:type="dxa"/>
            <w:bottom w:w="0" w:type="dxa"/>
            <w:right w:w="0" w:type="dxa"/>
          </w:tblCellMar>
        </w:tblPrEx>
        <w:trPr>
          <w:trHeight w:val="690" w:hRule="atLeast"/>
        </w:trPr>
        <w:tc>
          <w:tcPr>
            <w:tcW w:w="866" w:type="dxa"/>
            <w:vMerge w:val="restart"/>
            <w:tcBorders>
              <w:top w:val="single" w:color="000000" w:sz="4" w:space="0"/>
              <w:left w:val="single" w:color="000000" w:sz="4" w:space="0"/>
              <w:right w:val="single" w:color="000000" w:sz="4" w:space="0"/>
            </w:tcBorders>
            <w:vAlign w:val="center"/>
          </w:tcPr>
          <w:p>
            <w:pPr>
              <w:widowControl/>
              <w:jc w:val="center"/>
              <w:rPr>
                <w:color w:val="000000"/>
                <w:sz w:val="24"/>
              </w:rPr>
            </w:pPr>
            <w:r>
              <w:rPr>
                <w:rFonts w:hAnsi="宋体"/>
                <w:color w:val="000000"/>
                <w:sz w:val="24"/>
              </w:rPr>
              <w:t>绩效指标完成情况</w:t>
            </w:r>
          </w:p>
        </w:tc>
        <w:tc>
          <w:tcPr>
            <w:tcW w:w="891" w:type="dxa"/>
            <w:vMerge w:val="restart"/>
            <w:tcBorders>
              <w:top w:val="single" w:color="000000" w:sz="4" w:space="0"/>
              <w:left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rFonts w:hAnsi="宋体"/>
                <w:color w:val="000000"/>
                <w:kern w:val="0"/>
                <w:sz w:val="24"/>
              </w:rPr>
              <w:t>项目完成指标</w:t>
            </w:r>
          </w:p>
        </w:tc>
        <w:tc>
          <w:tcPr>
            <w:tcW w:w="952" w:type="dxa"/>
            <w:vMerge w:val="restart"/>
            <w:tcBorders>
              <w:top w:val="single" w:color="000000" w:sz="4" w:space="0"/>
              <w:left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rFonts w:hAnsi="宋体"/>
                <w:color w:val="000000"/>
                <w:sz w:val="24"/>
              </w:rPr>
              <w:t>数量指标</w:t>
            </w:r>
          </w:p>
        </w:tc>
        <w:tc>
          <w:tcPr>
            <w:tcW w:w="184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color w:val="000000"/>
                <w:sz w:val="24"/>
              </w:rPr>
            </w:pPr>
            <w:r>
              <w:rPr>
                <w:color w:val="000000"/>
                <w:sz w:val="24"/>
              </w:rPr>
              <w:t>《攀枝花纪事》每期稿件编辑整理排版</w:t>
            </w:r>
          </w:p>
        </w:tc>
        <w:tc>
          <w:tcPr>
            <w:tcW w:w="297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color w:val="000000"/>
                <w:sz w:val="24"/>
              </w:rPr>
            </w:pPr>
            <w:r>
              <w:rPr>
                <w:color w:val="000000"/>
                <w:sz w:val="24"/>
              </w:rPr>
              <w:t>20篇</w:t>
            </w:r>
          </w:p>
        </w:tc>
        <w:tc>
          <w:tcPr>
            <w:tcW w:w="243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color w:val="000000"/>
                <w:sz w:val="24"/>
              </w:rPr>
            </w:pPr>
            <w:r>
              <w:rPr>
                <w:color w:val="000000"/>
                <w:sz w:val="24"/>
              </w:rPr>
              <w:t>20篇</w:t>
            </w:r>
          </w:p>
        </w:tc>
      </w:tr>
      <w:tr>
        <w:tblPrEx>
          <w:tblLayout w:type="fixed"/>
          <w:tblCellMar>
            <w:top w:w="0" w:type="dxa"/>
            <w:left w:w="0" w:type="dxa"/>
            <w:bottom w:w="0" w:type="dxa"/>
            <w:right w:w="0" w:type="dxa"/>
          </w:tblCellMar>
        </w:tblPrEx>
        <w:trPr>
          <w:trHeight w:val="579" w:hRule="atLeast"/>
        </w:trPr>
        <w:tc>
          <w:tcPr>
            <w:tcW w:w="866" w:type="dxa"/>
            <w:vMerge w:val="continue"/>
            <w:tcBorders>
              <w:left w:val="single" w:color="000000" w:sz="4" w:space="0"/>
              <w:right w:val="single" w:color="000000" w:sz="4" w:space="0"/>
            </w:tcBorders>
            <w:vAlign w:val="center"/>
          </w:tcPr>
          <w:p>
            <w:pPr>
              <w:widowControl/>
              <w:jc w:val="left"/>
              <w:rPr>
                <w:color w:val="000000"/>
                <w:sz w:val="24"/>
              </w:rPr>
            </w:pPr>
          </w:p>
        </w:tc>
        <w:tc>
          <w:tcPr>
            <w:tcW w:w="891" w:type="dxa"/>
            <w:vMerge w:val="continue"/>
            <w:tcBorders>
              <w:left w:val="single" w:color="000000" w:sz="4" w:space="0"/>
              <w:right w:val="single" w:color="000000" w:sz="4" w:space="0"/>
            </w:tcBorders>
            <w:tcMar>
              <w:top w:w="15" w:type="dxa"/>
              <w:left w:w="15" w:type="dxa"/>
              <w:bottom w:w="0" w:type="dxa"/>
              <w:right w:w="15" w:type="dxa"/>
            </w:tcMar>
            <w:vAlign w:val="center"/>
          </w:tcPr>
          <w:p>
            <w:pPr>
              <w:rPr>
                <w:color w:val="000000"/>
                <w:sz w:val="24"/>
              </w:rPr>
            </w:pPr>
          </w:p>
        </w:tc>
        <w:tc>
          <w:tcPr>
            <w:tcW w:w="952" w:type="dxa"/>
            <w:vMerge w:val="continue"/>
            <w:tcBorders>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p>
        </w:tc>
        <w:tc>
          <w:tcPr>
            <w:tcW w:w="184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color w:val="000000"/>
                <w:sz w:val="24"/>
              </w:rPr>
            </w:pPr>
            <w:r>
              <w:rPr>
                <w:color w:val="000000"/>
                <w:sz w:val="24"/>
              </w:rPr>
              <w:t>《攀枝花纪事》每期印刷出版</w:t>
            </w:r>
          </w:p>
        </w:tc>
        <w:tc>
          <w:tcPr>
            <w:tcW w:w="297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color w:val="000000"/>
                <w:sz w:val="24"/>
              </w:rPr>
            </w:pPr>
            <w:r>
              <w:rPr>
                <w:color w:val="000000"/>
                <w:sz w:val="24"/>
              </w:rPr>
              <w:t>3000册</w:t>
            </w:r>
          </w:p>
        </w:tc>
        <w:tc>
          <w:tcPr>
            <w:tcW w:w="243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color w:val="000000"/>
                <w:sz w:val="24"/>
              </w:rPr>
            </w:pPr>
            <w:r>
              <w:rPr>
                <w:color w:val="000000"/>
                <w:sz w:val="24"/>
              </w:rPr>
              <w:t>3000册</w:t>
            </w:r>
          </w:p>
        </w:tc>
      </w:tr>
      <w:tr>
        <w:tblPrEx>
          <w:tblLayout w:type="fixed"/>
          <w:tblCellMar>
            <w:top w:w="0" w:type="dxa"/>
            <w:left w:w="0" w:type="dxa"/>
            <w:bottom w:w="0" w:type="dxa"/>
            <w:right w:w="0" w:type="dxa"/>
          </w:tblCellMar>
        </w:tblPrEx>
        <w:trPr>
          <w:trHeight w:val="1042" w:hRule="atLeast"/>
        </w:trPr>
        <w:tc>
          <w:tcPr>
            <w:tcW w:w="866" w:type="dxa"/>
            <w:vMerge w:val="continue"/>
            <w:tcBorders>
              <w:left w:val="single" w:color="000000" w:sz="4" w:space="0"/>
              <w:right w:val="single" w:color="000000" w:sz="4" w:space="0"/>
            </w:tcBorders>
            <w:vAlign w:val="center"/>
          </w:tcPr>
          <w:p>
            <w:pPr>
              <w:widowControl/>
              <w:jc w:val="left"/>
              <w:rPr>
                <w:color w:val="000000"/>
                <w:sz w:val="24"/>
              </w:rPr>
            </w:pPr>
          </w:p>
        </w:tc>
        <w:tc>
          <w:tcPr>
            <w:tcW w:w="891" w:type="dxa"/>
            <w:vMerge w:val="continue"/>
            <w:tcBorders>
              <w:left w:val="single" w:color="000000" w:sz="4" w:space="0"/>
              <w:right w:val="single" w:color="000000" w:sz="4" w:space="0"/>
            </w:tcBorders>
            <w:tcMar>
              <w:top w:w="15" w:type="dxa"/>
              <w:left w:w="15" w:type="dxa"/>
              <w:bottom w:w="0" w:type="dxa"/>
              <w:right w:w="15" w:type="dxa"/>
            </w:tcMar>
            <w:vAlign w:val="center"/>
          </w:tcPr>
          <w:p/>
        </w:tc>
        <w:tc>
          <w:tcPr>
            <w:tcW w:w="95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color w:val="000000"/>
                <w:sz w:val="24"/>
              </w:rPr>
            </w:pPr>
            <w:r>
              <w:rPr>
                <w:color w:val="000000"/>
                <w:sz w:val="24"/>
              </w:rPr>
              <w:t>质量指标</w:t>
            </w:r>
          </w:p>
        </w:tc>
        <w:tc>
          <w:tcPr>
            <w:tcW w:w="184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color w:val="000000"/>
                <w:sz w:val="24"/>
              </w:rPr>
            </w:pPr>
            <w:r>
              <w:rPr>
                <w:color w:val="000000"/>
                <w:sz w:val="24"/>
              </w:rPr>
              <w:t>书籍质量达标</w:t>
            </w:r>
          </w:p>
        </w:tc>
        <w:tc>
          <w:tcPr>
            <w:tcW w:w="297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color w:val="000000"/>
                <w:sz w:val="24"/>
              </w:rPr>
            </w:pPr>
            <w:r>
              <w:rPr>
                <w:color w:val="000000"/>
                <w:sz w:val="24"/>
              </w:rPr>
              <w:t>《执政实录》达到国家公开出版物标准；《攀枝花纪事》达到省级内部出版物质量标准。</w:t>
            </w:r>
          </w:p>
        </w:tc>
        <w:tc>
          <w:tcPr>
            <w:tcW w:w="243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color w:val="000000"/>
                <w:sz w:val="24"/>
              </w:rPr>
            </w:pPr>
            <w:r>
              <w:rPr>
                <w:color w:val="000000"/>
                <w:sz w:val="24"/>
              </w:rPr>
              <w:t>《执政实录》达到国家公开出版物标准；《攀枝花纪事》达到省级内部出版物质量标准。</w:t>
            </w:r>
          </w:p>
        </w:tc>
      </w:tr>
      <w:tr>
        <w:tblPrEx>
          <w:tblLayout w:type="fixed"/>
          <w:tblCellMar>
            <w:top w:w="0" w:type="dxa"/>
            <w:left w:w="0" w:type="dxa"/>
            <w:bottom w:w="0" w:type="dxa"/>
            <w:right w:w="0" w:type="dxa"/>
          </w:tblCellMar>
        </w:tblPrEx>
        <w:trPr>
          <w:trHeight w:val="1042" w:hRule="atLeast"/>
        </w:trPr>
        <w:tc>
          <w:tcPr>
            <w:tcW w:w="866" w:type="dxa"/>
            <w:vMerge w:val="continue"/>
            <w:tcBorders>
              <w:left w:val="single" w:color="000000" w:sz="4" w:space="0"/>
              <w:right w:val="single" w:color="000000" w:sz="4" w:space="0"/>
            </w:tcBorders>
            <w:vAlign w:val="center"/>
          </w:tcPr>
          <w:p>
            <w:pPr>
              <w:widowControl/>
              <w:jc w:val="left"/>
              <w:rPr>
                <w:color w:val="000000"/>
                <w:sz w:val="24"/>
              </w:rPr>
            </w:pPr>
          </w:p>
        </w:tc>
        <w:tc>
          <w:tcPr>
            <w:tcW w:w="891" w:type="dxa"/>
            <w:vMerge w:val="continue"/>
            <w:tcBorders>
              <w:left w:val="single" w:color="000000" w:sz="4" w:space="0"/>
              <w:right w:val="single" w:color="000000" w:sz="4" w:space="0"/>
            </w:tcBorders>
            <w:tcMar>
              <w:top w:w="15" w:type="dxa"/>
              <w:left w:w="15" w:type="dxa"/>
              <w:bottom w:w="0" w:type="dxa"/>
              <w:right w:w="15" w:type="dxa"/>
            </w:tcMar>
            <w:vAlign w:val="center"/>
          </w:tcPr>
          <w:p/>
        </w:tc>
        <w:tc>
          <w:tcPr>
            <w:tcW w:w="95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color w:val="000000"/>
                <w:sz w:val="24"/>
              </w:rPr>
            </w:pPr>
            <w:r>
              <w:rPr>
                <w:color w:val="000000"/>
                <w:sz w:val="24"/>
              </w:rPr>
              <w:t>时效指标</w:t>
            </w:r>
          </w:p>
        </w:tc>
        <w:tc>
          <w:tcPr>
            <w:tcW w:w="184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color w:val="000000"/>
                <w:sz w:val="24"/>
              </w:rPr>
            </w:pPr>
            <w:r>
              <w:rPr>
                <w:color w:val="000000"/>
                <w:sz w:val="24"/>
              </w:rPr>
              <w:t>完成时间</w:t>
            </w:r>
          </w:p>
        </w:tc>
        <w:tc>
          <w:tcPr>
            <w:tcW w:w="297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color w:val="000000"/>
                <w:sz w:val="24"/>
              </w:rPr>
            </w:pPr>
            <w:r>
              <w:rPr>
                <w:color w:val="000000"/>
                <w:sz w:val="24"/>
              </w:rPr>
              <w:t>《执政实录》2018年12月底前。《攀枝花纪事》</w:t>
            </w:r>
            <w:r>
              <w:rPr>
                <w:sz w:val="24"/>
              </w:rPr>
              <w:t>2018年双月底出版一期。</w:t>
            </w:r>
          </w:p>
        </w:tc>
        <w:tc>
          <w:tcPr>
            <w:tcW w:w="243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color w:val="000000"/>
                <w:sz w:val="24"/>
              </w:rPr>
            </w:pPr>
            <w:r>
              <w:rPr>
                <w:color w:val="000000"/>
                <w:sz w:val="24"/>
              </w:rPr>
              <w:t>《执政实录》已出版。《攀枝花纪事》</w:t>
            </w:r>
            <w:r>
              <w:rPr>
                <w:sz w:val="24"/>
              </w:rPr>
              <w:t>已出版6期。</w:t>
            </w:r>
          </w:p>
        </w:tc>
      </w:tr>
      <w:tr>
        <w:tblPrEx>
          <w:tblLayout w:type="fixed"/>
          <w:tblCellMar>
            <w:top w:w="0" w:type="dxa"/>
            <w:left w:w="0" w:type="dxa"/>
            <w:bottom w:w="0" w:type="dxa"/>
            <w:right w:w="0" w:type="dxa"/>
          </w:tblCellMar>
        </w:tblPrEx>
        <w:trPr>
          <w:trHeight w:val="617" w:hRule="atLeast"/>
        </w:trPr>
        <w:tc>
          <w:tcPr>
            <w:tcW w:w="866" w:type="dxa"/>
            <w:vMerge w:val="continue"/>
            <w:tcBorders>
              <w:left w:val="single" w:color="000000" w:sz="4" w:space="0"/>
              <w:right w:val="single" w:color="000000" w:sz="4" w:space="0"/>
            </w:tcBorders>
            <w:vAlign w:val="center"/>
          </w:tcPr>
          <w:p>
            <w:pPr>
              <w:widowControl/>
              <w:jc w:val="left"/>
              <w:rPr>
                <w:color w:val="000000"/>
                <w:sz w:val="24"/>
              </w:rPr>
            </w:pPr>
          </w:p>
        </w:tc>
        <w:tc>
          <w:tcPr>
            <w:tcW w:w="891" w:type="dxa"/>
            <w:vMerge w:val="continue"/>
            <w:tcBorders>
              <w:left w:val="single" w:color="000000" w:sz="4" w:space="0"/>
              <w:right w:val="single" w:color="000000" w:sz="4" w:space="0"/>
            </w:tcBorders>
            <w:tcMar>
              <w:top w:w="15" w:type="dxa"/>
              <w:left w:w="15" w:type="dxa"/>
              <w:bottom w:w="0" w:type="dxa"/>
              <w:right w:w="15" w:type="dxa"/>
            </w:tcMar>
          </w:tcPr>
          <w:p/>
        </w:tc>
        <w:tc>
          <w:tcPr>
            <w:tcW w:w="952" w:type="dxa"/>
            <w:vMerge w:val="restart"/>
            <w:tcBorders>
              <w:top w:val="single" w:color="000000" w:sz="4" w:space="0"/>
              <w:left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rFonts w:hAnsi="宋体"/>
                <w:color w:val="000000"/>
                <w:sz w:val="24"/>
              </w:rPr>
              <w:t>成本指标</w:t>
            </w:r>
          </w:p>
        </w:tc>
        <w:tc>
          <w:tcPr>
            <w:tcW w:w="184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color w:val="000000"/>
                <w:sz w:val="24"/>
              </w:rPr>
            </w:pPr>
            <w:r>
              <w:rPr>
                <w:color w:val="000000"/>
                <w:sz w:val="24"/>
              </w:rPr>
              <w:t>执政实录资料</w:t>
            </w:r>
          </w:p>
        </w:tc>
        <w:tc>
          <w:tcPr>
            <w:tcW w:w="297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color w:val="000000"/>
                <w:sz w:val="24"/>
              </w:rPr>
            </w:pPr>
            <w:r>
              <w:rPr>
                <w:color w:val="000000"/>
                <w:sz w:val="24"/>
              </w:rPr>
              <w:t>106个单位，1万</w:t>
            </w:r>
          </w:p>
        </w:tc>
        <w:tc>
          <w:tcPr>
            <w:tcW w:w="243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color w:val="000000"/>
                <w:sz w:val="24"/>
              </w:rPr>
            </w:pPr>
            <w:r>
              <w:rPr>
                <w:color w:val="000000"/>
                <w:sz w:val="24"/>
              </w:rPr>
              <w:t>106个单位，0.8万</w:t>
            </w:r>
          </w:p>
        </w:tc>
      </w:tr>
      <w:tr>
        <w:tblPrEx>
          <w:tblLayout w:type="fixed"/>
          <w:tblCellMar>
            <w:top w:w="0" w:type="dxa"/>
            <w:left w:w="0" w:type="dxa"/>
            <w:bottom w:w="0" w:type="dxa"/>
            <w:right w:w="0" w:type="dxa"/>
          </w:tblCellMar>
        </w:tblPrEx>
        <w:trPr>
          <w:trHeight w:val="527" w:hRule="atLeast"/>
        </w:trPr>
        <w:tc>
          <w:tcPr>
            <w:tcW w:w="866" w:type="dxa"/>
            <w:vMerge w:val="continue"/>
            <w:tcBorders>
              <w:left w:val="single" w:color="000000" w:sz="4" w:space="0"/>
              <w:right w:val="single" w:color="000000" w:sz="4" w:space="0"/>
            </w:tcBorders>
            <w:vAlign w:val="center"/>
          </w:tcPr>
          <w:p>
            <w:pPr>
              <w:widowControl/>
              <w:jc w:val="left"/>
              <w:rPr>
                <w:color w:val="000000"/>
                <w:sz w:val="24"/>
              </w:rPr>
            </w:pPr>
          </w:p>
        </w:tc>
        <w:tc>
          <w:tcPr>
            <w:tcW w:w="891" w:type="dxa"/>
            <w:vMerge w:val="continue"/>
            <w:tcBorders>
              <w:left w:val="single" w:color="000000" w:sz="4" w:space="0"/>
              <w:right w:val="single" w:color="000000" w:sz="4" w:space="0"/>
            </w:tcBorders>
            <w:tcMar>
              <w:top w:w="15" w:type="dxa"/>
              <w:left w:w="15" w:type="dxa"/>
              <w:bottom w:w="0" w:type="dxa"/>
              <w:right w:w="15" w:type="dxa"/>
            </w:tcMar>
          </w:tcPr>
          <w:p/>
        </w:tc>
        <w:tc>
          <w:tcPr>
            <w:tcW w:w="952" w:type="dxa"/>
            <w:vMerge w:val="continue"/>
            <w:tcBorders>
              <w:left w:val="single" w:color="000000" w:sz="4" w:space="0"/>
              <w:right w:val="single" w:color="000000" w:sz="4" w:space="0"/>
            </w:tcBorders>
            <w:tcMar>
              <w:top w:w="15" w:type="dxa"/>
              <w:left w:w="15" w:type="dxa"/>
              <w:bottom w:w="0" w:type="dxa"/>
              <w:right w:w="15" w:type="dxa"/>
            </w:tcMar>
            <w:vAlign w:val="center"/>
          </w:tcPr>
          <w:p>
            <w:pPr>
              <w:jc w:val="center"/>
              <w:textAlignment w:val="center"/>
              <w:rPr>
                <w:color w:val="000000"/>
                <w:sz w:val="24"/>
              </w:rPr>
            </w:pPr>
          </w:p>
        </w:tc>
        <w:tc>
          <w:tcPr>
            <w:tcW w:w="184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color w:val="000000"/>
                <w:sz w:val="24"/>
              </w:rPr>
            </w:pPr>
            <w:r>
              <w:rPr>
                <w:color w:val="000000"/>
                <w:sz w:val="24"/>
              </w:rPr>
              <w:t>政府购买印刷服务</w:t>
            </w:r>
          </w:p>
        </w:tc>
        <w:tc>
          <w:tcPr>
            <w:tcW w:w="297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color w:val="000000"/>
                <w:sz w:val="24"/>
              </w:rPr>
            </w:pPr>
            <w:r>
              <w:rPr>
                <w:color w:val="000000"/>
                <w:sz w:val="24"/>
              </w:rPr>
              <w:t>2000册，15万</w:t>
            </w:r>
          </w:p>
        </w:tc>
        <w:tc>
          <w:tcPr>
            <w:tcW w:w="243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color w:val="000000"/>
                <w:sz w:val="24"/>
              </w:rPr>
            </w:pPr>
            <w:r>
              <w:rPr>
                <w:color w:val="000000"/>
                <w:sz w:val="24"/>
              </w:rPr>
              <w:t>2000册，15万</w:t>
            </w:r>
          </w:p>
        </w:tc>
      </w:tr>
      <w:tr>
        <w:tblPrEx>
          <w:tblLayout w:type="fixed"/>
          <w:tblCellMar>
            <w:top w:w="0" w:type="dxa"/>
            <w:left w:w="0" w:type="dxa"/>
            <w:bottom w:w="0" w:type="dxa"/>
            <w:right w:w="0" w:type="dxa"/>
          </w:tblCellMar>
        </w:tblPrEx>
        <w:trPr>
          <w:trHeight w:val="704" w:hRule="atLeast"/>
        </w:trPr>
        <w:tc>
          <w:tcPr>
            <w:tcW w:w="866" w:type="dxa"/>
            <w:vMerge w:val="continue"/>
            <w:tcBorders>
              <w:left w:val="single" w:color="000000" w:sz="4" w:space="0"/>
              <w:right w:val="single" w:color="000000" w:sz="4" w:space="0"/>
            </w:tcBorders>
            <w:vAlign w:val="center"/>
          </w:tcPr>
          <w:p>
            <w:pPr>
              <w:widowControl/>
              <w:jc w:val="left"/>
              <w:rPr>
                <w:color w:val="000000"/>
                <w:sz w:val="24"/>
              </w:rPr>
            </w:pPr>
          </w:p>
        </w:tc>
        <w:tc>
          <w:tcPr>
            <w:tcW w:w="891" w:type="dxa"/>
            <w:vMerge w:val="continue"/>
            <w:tcBorders>
              <w:left w:val="single" w:color="000000" w:sz="4" w:space="0"/>
              <w:right w:val="single" w:color="000000" w:sz="4" w:space="0"/>
            </w:tcBorders>
            <w:tcMar>
              <w:top w:w="15" w:type="dxa"/>
              <w:left w:w="15" w:type="dxa"/>
              <w:bottom w:w="0" w:type="dxa"/>
              <w:right w:w="15" w:type="dxa"/>
            </w:tcMar>
          </w:tcPr>
          <w:p/>
        </w:tc>
        <w:tc>
          <w:tcPr>
            <w:tcW w:w="952" w:type="dxa"/>
            <w:vMerge w:val="continue"/>
            <w:tcBorders>
              <w:left w:val="single" w:color="000000" w:sz="4" w:space="0"/>
              <w:right w:val="single" w:color="000000" w:sz="4" w:space="0"/>
            </w:tcBorders>
            <w:tcMar>
              <w:top w:w="15" w:type="dxa"/>
              <w:left w:w="15" w:type="dxa"/>
              <w:bottom w:w="0" w:type="dxa"/>
              <w:right w:w="15" w:type="dxa"/>
            </w:tcMar>
            <w:vAlign w:val="center"/>
          </w:tcPr>
          <w:p>
            <w:pPr>
              <w:jc w:val="center"/>
              <w:textAlignment w:val="center"/>
              <w:rPr>
                <w:color w:val="000000"/>
                <w:sz w:val="24"/>
              </w:rPr>
            </w:pPr>
          </w:p>
        </w:tc>
        <w:tc>
          <w:tcPr>
            <w:tcW w:w="184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color w:val="000000"/>
                <w:sz w:val="24"/>
              </w:rPr>
            </w:pPr>
            <w:r>
              <w:rPr>
                <w:color w:val="000000"/>
                <w:sz w:val="24"/>
              </w:rPr>
              <w:t>刊物组稿</w:t>
            </w:r>
          </w:p>
        </w:tc>
        <w:tc>
          <w:tcPr>
            <w:tcW w:w="297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color w:val="000000"/>
                <w:sz w:val="24"/>
              </w:rPr>
            </w:pPr>
            <w:r>
              <w:rPr>
                <w:color w:val="000000"/>
                <w:sz w:val="24"/>
              </w:rPr>
              <w:t>20篇，2.5万</w:t>
            </w:r>
          </w:p>
        </w:tc>
        <w:tc>
          <w:tcPr>
            <w:tcW w:w="243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color w:val="000000"/>
                <w:sz w:val="24"/>
              </w:rPr>
            </w:pPr>
            <w:r>
              <w:rPr>
                <w:color w:val="000000"/>
                <w:sz w:val="24"/>
              </w:rPr>
              <w:t>20篇，1.5万</w:t>
            </w:r>
          </w:p>
        </w:tc>
      </w:tr>
      <w:tr>
        <w:tblPrEx>
          <w:tblLayout w:type="fixed"/>
          <w:tblCellMar>
            <w:top w:w="0" w:type="dxa"/>
            <w:left w:w="0" w:type="dxa"/>
            <w:bottom w:w="0" w:type="dxa"/>
            <w:right w:w="0" w:type="dxa"/>
          </w:tblCellMar>
        </w:tblPrEx>
        <w:trPr>
          <w:trHeight w:val="671" w:hRule="atLeast"/>
        </w:trPr>
        <w:tc>
          <w:tcPr>
            <w:tcW w:w="866" w:type="dxa"/>
            <w:vMerge w:val="continue"/>
            <w:tcBorders>
              <w:left w:val="single" w:color="000000" w:sz="4" w:space="0"/>
              <w:right w:val="single" w:color="000000" w:sz="4" w:space="0"/>
            </w:tcBorders>
            <w:vAlign w:val="center"/>
          </w:tcPr>
          <w:p>
            <w:pPr>
              <w:widowControl/>
              <w:jc w:val="left"/>
              <w:rPr>
                <w:color w:val="000000"/>
                <w:sz w:val="24"/>
              </w:rPr>
            </w:pPr>
          </w:p>
        </w:tc>
        <w:tc>
          <w:tcPr>
            <w:tcW w:w="891" w:type="dxa"/>
            <w:vMerge w:val="continue"/>
            <w:tcBorders>
              <w:left w:val="single" w:color="000000" w:sz="4" w:space="0"/>
              <w:right w:val="single" w:color="000000" w:sz="4" w:space="0"/>
            </w:tcBorders>
            <w:tcMar>
              <w:top w:w="15" w:type="dxa"/>
              <w:left w:w="15" w:type="dxa"/>
              <w:bottom w:w="0" w:type="dxa"/>
              <w:right w:w="15" w:type="dxa"/>
            </w:tcMar>
          </w:tcPr>
          <w:p/>
        </w:tc>
        <w:tc>
          <w:tcPr>
            <w:tcW w:w="952" w:type="dxa"/>
            <w:vMerge w:val="continue"/>
            <w:tcBorders>
              <w:left w:val="single" w:color="000000" w:sz="4" w:space="0"/>
              <w:right w:val="single" w:color="000000" w:sz="4" w:space="0"/>
            </w:tcBorders>
            <w:tcMar>
              <w:top w:w="15" w:type="dxa"/>
              <w:left w:w="15" w:type="dxa"/>
              <w:bottom w:w="0" w:type="dxa"/>
              <w:right w:w="15" w:type="dxa"/>
            </w:tcMar>
            <w:vAlign w:val="center"/>
          </w:tcPr>
          <w:p>
            <w:pPr>
              <w:jc w:val="center"/>
              <w:textAlignment w:val="center"/>
              <w:rPr>
                <w:color w:val="000000"/>
                <w:sz w:val="24"/>
              </w:rPr>
            </w:pPr>
          </w:p>
        </w:tc>
        <w:tc>
          <w:tcPr>
            <w:tcW w:w="184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color w:val="000000"/>
                <w:sz w:val="24"/>
              </w:rPr>
            </w:pPr>
            <w:r>
              <w:rPr>
                <w:color w:val="000000"/>
                <w:sz w:val="24"/>
              </w:rPr>
              <w:t>刊物封面、封底</w:t>
            </w:r>
          </w:p>
        </w:tc>
        <w:tc>
          <w:tcPr>
            <w:tcW w:w="297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color w:val="000000"/>
                <w:sz w:val="24"/>
              </w:rPr>
            </w:pPr>
            <w:r>
              <w:rPr>
                <w:color w:val="000000"/>
                <w:sz w:val="24"/>
              </w:rPr>
              <w:t>4幅及以上，0.3万</w:t>
            </w:r>
          </w:p>
        </w:tc>
        <w:tc>
          <w:tcPr>
            <w:tcW w:w="243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color w:val="000000"/>
                <w:sz w:val="24"/>
              </w:rPr>
            </w:pPr>
            <w:r>
              <w:rPr>
                <w:color w:val="000000"/>
                <w:sz w:val="24"/>
              </w:rPr>
              <w:t>4幅及以上，0.2万</w:t>
            </w:r>
          </w:p>
        </w:tc>
      </w:tr>
      <w:tr>
        <w:tblPrEx>
          <w:tblLayout w:type="fixed"/>
          <w:tblCellMar>
            <w:top w:w="0" w:type="dxa"/>
            <w:left w:w="0" w:type="dxa"/>
            <w:bottom w:w="0" w:type="dxa"/>
            <w:right w:w="0" w:type="dxa"/>
          </w:tblCellMar>
        </w:tblPrEx>
        <w:trPr>
          <w:trHeight w:val="695" w:hRule="atLeast"/>
        </w:trPr>
        <w:tc>
          <w:tcPr>
            <w:tcW w:w="866" w:type="dxa"/>
            <w:vMerge w:val="continue"/>
            <w:tcBorders>
              <w:left w:val="single" w:color="000000" w:sz="4" w:space="0"/>
              <w:right w:val="single" w:color="000000" w:sz="4" w:space="0"/>
            </w:tcBorders>
            <w:vAlign w:val="center"/>
          </w:tcPr>
          <w:p>
            <w:pPr>
              <w:widowControl/>
              <w:jc w:val="left"/>
              <w:rPr>
                <w:color w:val="000000"/>
                <w:sz w:val="24"/>
              </w:rPr>
            </w:pPr>
          </w:p>
        </w:tc>
        <w:tc>
          <w:tcPr>
            <w:tcW w:w="891" w:type="dxa"/>
            <w:vMerge w:val="continue"/>
            <w:tcBorders>
              <w:left w:val="single" w:color="000000" w:sz="4" w:space="0"/>
              <w:right w:val="single" w:color="000000" w:sz="4" w:space="0"/>
            </w:tcBorders>
            <w:tcMar>
              <w:top w:w="15" w:type="dxa"/>
              <w:left w:w="15" w:type="dxa"/>
              <w:bottom w:w="0" w:type="dxa"/>
              <w:right w:w="15" w:type="dxa"/>
            </w:tcMar>
          </w:tcPr>
          <w:p/>
        </w:tc>
        <w:tc>
          <w:tcPr>
            <w:tcW w:w="952" w:type="dxa"/>
            <w:vMerge w:val="continue"/>
            <w:tcBorders>
              <w:left w:val="single" w:color="000000" w:sz="4" w:space="0"/>
              <w:right w:val="single" w:color="000000" w:sz="4" w:space="0"/>
            </w:tcBorders>
            <w:tcMar>
              <w:top w:w="15" w:type="dxa"/>
              <w:left w:w="15" w:type="dxa"/>
              <w:bottom w:w="0" w:type="dxa"/>
              <w:right w:w="15" w:type="dxa"/>
            </w:tcMar>
            <w:vAlign w:val="center"/>
          </w:tcPr>
          <w:p>
            <w:pPr>
              <w:jc w:val="center"/>
              <w:textAlignment w:val="center"/>
              <w:rPr>
                <w:color w:val="000000"/>
                <w:sz w:val="24"/>
              </w:rPr>
            </w:pPr>
          </w:p>
        </w:tc>
        <w:tc>
          <w:tcPr>
            <w:tcW w:w="184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color w:val="000000"/>
                <w:sz w:val="24"/>
              </w:rPr>
            </w:pPr>
            <w:r>
              <w:rPr>
                <w:color w:val="000000"/>
                <w:sz w:val="24"/>
              </w:rPr>
              <w:t>编纂委员会、投稿约稿单位会议</w:t>
            </w:r>
          </w:p>
        </w:tc>
        <w:tc>
          <w:tcPr>
            <w:tcW w:w="297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color w:val="000000"/>
                <w:sz w:val="24"/>
              </w:rPr>
            </w:pPr>
            <w:r>
              <w:rPr>
                <w:color w:val="000000"/>
                <w:sz w:val="24"/>
              </w:rPr>
              <w:t>2次，0.3万</w:t>
            </w:r>
          </w:p>
        </w:tc>
        <w:tc>
          <w:tcPr>
            <w:tcW w:w="243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color w:val="000000"/>
                <w:sz w:val="24"/>
              </w:rPr>
            </w:pPr>
            <w:r>
              <w:rPr>
                <w:color w:val="000000"/>
                <w:sz w:val="24"/>
              </w:rPr>
              <w:t>2次，0.2万</w:t>
            </w:r>
          </w:p>
        </w:tc>
      </w:tr>
      <w:tr>
        <w:tblPrEx>
          <w:tblLayout w:type="fixed"/>
          <w:tblCellMar>
            <w:top w:w="0" w:type="dxa"/>
            <w:left w:w="0" w:type="dxa"/>
            <w:bottom w:w="0" w:type="dxa"/>
            <w:right w:w="0" w:type="dxa"/>
          </w:tblCellMar>
        </w:tblPrEx>
        <w:trPr>
          <w:trHeight w:val="677" w:hRule="atLeast"/>
        </w:trPr>
        <w:tc>
          <w:tcPr>
            <w:tcW w:w="866" w:type="dxa"/>
            <w:vMerge w:val="continue"/>
            <w:tcBorders>
              <w:left w:val="single" w:color="000000" w:sz="4" w:space="0"/>
              <w:right w:val="single" w:color="000000" w:sz="4" w:space="0"/>
            </w:tcBorders>
            <w:vAlign w:val="center"/>
          </w:tcPr>
          <w:p>
            <w:pPr>
              <w:widowControl/>
              <w:jc w:val="left"/>
              <w:rPr>
                <w:color w:val="000000"/>
                <w:sz w:val="24"/>
              </w:rPr>
            </w:pPr>
          </w:p>
        </w:tc>
        <w:tc>
          <w:tcPr>
            <w:tcW w:w="891" w:type="dxa"/>
            <w:vMerge w:val="continue"/>
            <w:tcBorders>
              <w:left w:val="single" w:color="000000" w:sz="4" w:space="0"/>
              <w:bottom w:val="single" w:color="000000" w:sz="4" w:space="0"/>
              <w:right w:val="single" w:color="000000" w:sz="4" w:space="0"/>
            </w:tcBorders>
            <w:tcMar>
              <w:top w:w="15" w:type="dxa"/>
              <w:left w:w="15" w:type="dxa"/>
              <w:bottom w:w="0" w:type="dxa"/>
              <w:right w:w="15" w:type="dxa"/>
            </w:tcMar>
          </w:tcPr>
          <w:p/>
        </w:tc>
        <w:tc>
          <w:tcPr>
            <w:tcW w:w="952" w:type="dxa"/>
            <w:vMerge w:val="continue"/>
            <w:tcBorders>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p>
        </w:tc>
        <w:tc>
          <w:tcPr>
            <w:tcW w:w="184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color w:val="000000"/>
                <w:sz w:val="24"/>
              </w:rPr>
            </w:pPr>
            <w:r>
              <w:rPr>
                <w:color w:val="000000"/>
                <w:sz w:val="24"/>
              </w:rPr>
              <w:t>印刷册数（6期）</w:t>
            </w:r>
          </w:p>
        </w:tc>
        <w:tc>
          <w:tcPr>
            <w:tcW w:w="297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color w:val="000000"/>
                <w:sz w:val="24"/>
              </w:rPr>
            </w:pPr>
            <w:r>
              <w:rPr>
                <w:color w:val="000000"/>
                <w:sz w:val="24"/>
              </w:rPr>
              <w:t>18000册,11.5万</w:t>
            </w:r>
          </w:p>
        </w:tc>
        <w:tc>
          <w:tcPr>
            <w:tcW w:w="243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color w:val="000000"/>
                <w:sz w:val="24"/>
              </w:rPr>
            </w:pPr>
            <w:r>
              <w:rPr>
                <w:color w:val="000000"/>
                <w:sz w:val="24"/>
              </w:rPr>
              <w:t>18000册,9.8万</w:t>
            </w:r>
          </w:p>
        </w:tc>
      </w:tr>
      <w:tr>
        <w:tblPrEx>
          <w:tblLayout w:type="fixed"/>
          <w:tblCellMar>
            <w:top w:w="0" w:type="dxa"/>
            <w:left w:w="0" w:type="dxa"/>
            <w:bottom w:w="0" w:type="dxa"/>
            <w:right w:w="0" w:type="dxa"/>
          </w:tblCellMar>
        </w:tblPrEx>
        <w:trPr>
          <w:trHeight w:val="1297" w:hRule="atLeast"/>
        </w:trPr>
        <w:tc>
          <w:tcPr>
            <w:tcW w:w="866" w:type="dxa"/>
            <w:vMerge w:val="continue"/>
            <w:tcBorders>
              <w:left w:val="single" w:color="000000" w:sz="4" w:space="0"/>
              <w:right w:val="single" w:color="000000" w:sz="4" w:space="0"/>
            </w:tcBorders>
            <w:vAlign w:val="center"/>
          </w:tcPr>
          <w:p>
            <w:pPr>
              <w:widowControl/>
              <w:jc w:val="left"/>
              <w:rPr>
                <w:color w:val="000000"/>
                <w:sz w:val="24"/>
              </w:rPr>
            </w:pPr>
          </w:p>
        </w:tc>
        <w:tc>
          <w:tcPr>
            <w:tcW w:w="891"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rFonts w:hAnsi="宋体"/>
                <w:color w:val="000000"/>
                <w:kern w:val="0"/>
                <w:sz w:val="24"/>
              </w:rPr>
              <w:t>效益指标</w:t>
            </w:r>
          </w:p>
        </w:tc>
        <w:tc>
          <w:tcPr>
            <w:tcW w:w="95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color w:val="000000"/>
                <w:sz w:val="24"/>
              </w:rPr>
            </w:pPr>
            <w:r>
              <w:rPr>
                <w:color w:val="000000"/>
                <w:sz w:val="24"/>
              </w:rPr>
              <w:t>社会效益指标</w:t>
            </w:r>
          </w:p>
        </w:tc>
        <w:tc>
          <w:tcPr>
            <w:tcW w:w="184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color w:val="000000"/>
                <w:sz w:val="24"/>
              </w:rPr>
            </w:pPr>
            <w:r>
              <w:rPr>
                <w:color w:val="000000"/>
                <w:sz w:val="24"/>
              </w:rPr>
              <w:t>对工作的促进作用，党史宣教作用</w:t>
            </w:r>
          </w:p>
        </w:tc>
        <w:tc>
          <w:tcPr>
            <w:tcW w:w="297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ind w:firstLine="480" w:firstLineChars="200"/>
              <w:jc w:val="left"/>
              <w:rPr>
                <w:color w:val="000000"/>
                <w:sz w:val="24"/>
              </w:rPr>
            </w:pPr>
            <w:r>
              <w:rPr>
                <w:color w:val="000000"/>
                <w:sz w:val="24"/>
              </w:rPr>
              <w:t>《攀枝花纪事》展示攀枝花市情和改革发展成效，回顾攀枝花历史，弘扬攀枝花精神，宣传建设攀枝花的风流人物，不仅可以增加了人民群众对市委市政府工作的了解，增强了政府和人民群众的沟通，而且可以丰富人民群众的精神生活。</w:t>
            </w:r>
          </w:p>
        </w:tc>
        <w:tc>
          <w:tcPr>
            <w:tcW w:w="243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firstLineChars="200"/>
              <w:jc w:val="left"/>
              <w:textAlignment w:val="center"/>
              <w:rPr>
                <w:color w:val="000000"/>
                <w:sz w:val="24"/>
              </w:rPr>
            </w:pPr>
            <w:r>
              <w:rPr>
                <w:color w:val="000000"/>
                <w:sz w:val="24"/>
              </w:rPr>
              <w:t>增加了人民群众对市委市政府工作的了解，增强了政府和人民群众的沟通，而且可以丰富人民群众的精神生活。</w:t>
            </w:r>
          </w:p>
        </w:tc>
      </w:tr>
      <w:tr>
        <w:tblPrEx>
          <w:tblLayout w:type="fixed"/>
          <w:tblCellMar>
            <w:top w:w="0" w:type="dxa"/>
            <w:left w:w="0" w:type="dxa"/>
            <w:bottom w:w="0" w:type="dxa"/>
            <w:right w:w="0" w:type="dxa"/>
          </w:tblCellMar>
        </w:tblPrEx>
        <w:trPr>
          <w:trHeight w:val="684" w:hRule="atLeast"/>
        </w:trPr>
        <w:tc>
          <w:tcPr>
            <w:tcW w:w="866" w:type="dxa"/>
            <w:vMerge w:val="continue"/>
            <w:tcBorders>
              <w:left w:val="single" w:color="000000" w:sz="4" w:space="0"/>
              <w:right w:val="single" w:color="000000" w:sz="4" w:space="0"/>
            </w:tcBorders>
            <w:vAlign w:val="center"/>
          </w:tcPr>
          <w:p>
            <w:pPr>
              <w:widowControl/>
              <w:jc w:val="left"/>
              <w:rPr>
                <w:color w:val="000000"/>
                <w:sz w:val="24"/>
              </w:rPr>
            </w:pPr>
          </w:p>
        </w:tc>
        <w:tc>
          <w:tcPr>
            <w:tcW w:w="891"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kern w:val="0"/>
                <w:sz w:val="24"/>
              </w:rPr>
            </w:pPr>
            <w:r>
              <w:rPr>
                <w:rFonts w:hAnsi="宋体"/>
                <w:color w:val="000000"/>
                <w:kern w:val="0"/>
                <w:sz w:val="24"/>
              </w:rPr>
              <w:t>效益指标</w:t>
            </w:r>
          </w:p>
        </w:tc>
        <w:tc>
          <w:tcPr>
            <w:tcW w:w="95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color w:val="000000"/>
                <w:sz w:val="24"/>
              </w:rPr>
            </w:pPr>
            <w:r>
              <w:rPr>
                <w:color w:val="000000"/>
                <w:sz w:val="24"/>
              </w:rPr>
              <w:t>可持续影响指标</w:t>
            </w:r>
          </w:p>
        </w:tc>
        <w:tc>
          <w:tcPr>
            <w:tcW w:w="184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color w:val="000000"/>
                <w:sz w:val="24"/>
              </w:rPr>
            </w:pPr>
            <w:r>
              <w:rPr>
                <w:color w:val="000000"/>
                <w:sz w:val="24"/>
              </w:rPr>
              <w:t>书籍使用年限</w:t>
            </w:r>
          </w:p>
        </w:tc>
        <w:tc>
          <w:tcPr>
            <w:tcW w:w="297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color w:val="000000"/>
                <w:sz w:val="24"/>
              </w:rPr>
            </w:pPr>
            <w:r>
              <w:rPr>
                <w:color w:val="000000"/>
                <w:sz w:val="24"/>
              </w:rPr>
              <w:t>≥5年</w:t>
            </w:r>
          </w:p>
        </w:tc>
        <w:tc>
          <w:tcPr>
            <w:tcW w:w="243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color w:val="000000"/>
                <w:sz w:val="24"/>
              </w:rPr>
              <w:t>≥5年</w:t>
            </w:r>
          </w:p>
        </w:tc>
      </w:tr>
      <w:tr>
        <w:tblPrEx>
          <w:tblLayout w:type="fixed"/>
          <w:tblCellMar>
            <w:top w:w="0" w:type="dxa"/>
            <w:left w:w="0" w:type="dxa"/>
            <w:bottom w:w="0" w:type="dxa"/>
            <w:right w:w="0" w:type="dxa"/>
          </w:tblCellMar>
        </w:tblPrEx>
        <w:trPr>
          <w:trHeight w:val="694" w:hRule="atLeast"/>
        </w:trPr>
        <w:tc>
          <w:tcPr>
            <w:tcW w:w="866" w:type="dxa"/>
            <w:vMerge w:val="continue"/>
            <w:tcBorders>
              <w:left w:val="single" w:color="000000" w:sz="4" w:space="0"/>
              <w:bottom w:val="single" w:color="000000" w:sz="4" w:space="0"/>
              <w:right w:val="single" w:color="000000" w:sz="4" w:space="0"/>
            </w:tcBorders>
            <w:vAlign w:val="center"/>
          </w:tcPr>
          <w:p>
            <w:pPr>
              <w:widowControl/>
              <w:jc w:val="left"/>
              <w:rPr>
                <w:color w:val="000000"/>
                <w:sz w:val="24"/>
              </w:rPr>
            </w:pPr>
          </w:p>
        </w:tc>
        <w:tc>
          <w:tcPr>
            <w:tcW w:w="891"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rFonts w:hAnsi="宋体"/>
                <w:color w:val="000000"/>
                <w:kern w:val="0"/>
                <w:sz w:val="24"/>
              </w:rPr>
              <w:t>满意度指标</w:t>
            </w:r>
          </w:p>
        </w:tc>
        <w:tc>
          <w:tcPr>
            <w:tcW w:w="95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color w:val="000000"/>
                <w:sz w:val="24"/>
              </w:rPr>
            </w:pPr>
            <w:r>
              <w:rPr>
                <w:color w:val="000000"/>
                <w:sz w:val="24"/>
              </w:rPr>
              <w:t>满意度指标</w:t>
            </w:r>
          </w:p>
        </w:tc>
        <w:tc>
          <w:tcPr>
            <w:tcW w:w="184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color w:val="000000"/>
                <w:sz w:val="24"/>
              </w:rPr>
            </w:pPr>
            <w:r>
              <w:rPr>
                <w:color w:val="000000"/>
                <w:sz w:val="24"/>
              </w:rPr>
              <w:t>书籍使用者满意度</w:t>
            </w:r>
          </w:p>
        </w:tc>
        <w:tc>
          <w:tcPr>
            <w:tcW w:w="297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color w:val="000000"/>
                <w:sz w:val="24"/>
              </w:rPr>
            </w:pPr>
            <w:r>
              <w:rPr>
                <w:color w:val="000000"/>
                <w:sz w:val="24"/>
              </w:rPr>
              <w:t>≥95%</w:t>
            </w:r>
          </w:p>
        </w:tc>
        <w:tc>
          <w:tcPr>
            <w:tcW w:w="243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color w:val="000000"/>
                <w:sz w:val="24"/>
              </w:rPr>
              <w:t>≥95%</w:t>
            </w:r>
          </w:p>
        </w:tc>
      </w:tr>
    </w:tbl>
    <w:p/>
    <w:tbl>
      <w:tblPr>
        <w:tblStyle w:val="12"/>
        <w:tblpPr w:leftFromText="180" w:rightFromText="180" w:vertAnchor="text" w:horzAnchor="page" w:tblpXSpec="center" w:tblpY="423"/>
        <w:tblOverlap w:val="never"/>
        <w:tblW w:w="9960" w:type="dxa"/>
        <w:tblInd w:w="0" w:type="dxa"/>
        <w:tblLayout w:type="fixed"/>
        <w:tblCellMar>
          <w:top w:w="0" w:type="dxa"/>
          <w:left w:w="0" w:type="dxa"/>
          <w:bottom w:w="0" w:type="dxa"/>
          <w:right w:w="0" w:type="dxa"/>
        </w:tblCellMar>
      </w:tblPr>
      <w:tblGrid>
        <w:gridCol w:w="866"/>
        <w:gridCol w:w="891"/>
        <w:gridCol w:w="1025"/>
        <w:gridCol w:w="68"/>
        <w:gridCol w:w="2324"/>
        <w:gridCol w:w="2394"/>
        <w:gridCol w:w="2392"/>
      </w:tblGrid>
      <w:tr>
        <w:tblPrEx>
          <w:tblLayout w:type="fixed"/>
          <w:tblCellMar>
            <w:top w:w="0" w:type="dxa"/>
            <w:left w:w="0" w:type="dxa"/>
            <w:bottom w:w="0" w:type="dxa"/>
            <w:right w:w="0" w:type="dxa"/>
          </w:tblCellMar>
        </w:tblPrEx>
        <w:trPr>
          <w:trHeight w:val="1034" w:hRule="atLeast"/>
        </w:trPr>
        <w:tc>
          <w:tcPr>
            <w:tcW w:w="9960" w:type="dxa"/>
            <w:gridSpan w:val="7"/>
            <w:tcMar>
              <w:top w:w="15" w:type="dxa"/>
              <w:left w:w="15" w:type="dxa"/>
              <w:bottom w:w="0" w:type="dxa"/>
              <w:right w:w="15" w:type="dxa"/>
            </w:tcMar>
            <w:vAlign w:val="center"/>
          </w:tcPr>
          <w:p>
            <w:pPr>
              <w:pStyle w:val="23"/>
              <w:widowControl/>
              <w:spacing w:before="93"/>
              <w:ind w:left="4173" w:leftChars="1310" w:hanging="1422" w:hangingChars="395"/>
              <w:textAlignment w:val="center"/>
              <w:rPr>
                <w:color w:val="000000"/>
                <w:sz w:val="36"/>
                <w:szCs w:val="36"/>
              </w:rPr>
            </w:pPr>
            <w:r>
              <w:rPr>
                <w:rFonts w:hAnsi="黑体" w:eastAsia="黑体"/>
                <w:bCs/>
                <w:color w:val="000000"/>
                <w:kern w:val="0"/>
                <w:sz w:val="36"/>
                <w:szCs w:val="36"/>
              </w:rPr>
              <w:t>项目支出绩效目标完成情况表</w:t>
            </w:r>
            <w:r>
              <w:rPr>
                <w:b/>
                <w:bCs/>
                <w:color w:val="000000"/>
                <w:kern w:val="0"/>
                <w:sz w:val="36"/>
                <w:szCs w:val="36"/>
              </w:rPr>
              <w:br w:type="textWrapping"/>
            </w:r>
            <w:r>
              <w:rPr>
                <w:color w:val="000000"/>
                <w:kern w:val="0"/>
                <w:sz w:val="36"/>
                <w:szCs w:val="36"/>
              </w:rPr>
              <w:t xml:space="preserve">(2018 </w:t>
            </w:r>
            <w:r>
              <w:rPr>
                <w:rFonts w:hAnsi="宋体"/>
                <w:color w:val="000000"/>
                <w:kern w:val="0"/>
                <w:sz w:val="36"/>
                <w:szCs w:val="36"/>
              </w:rPr>
              <w:t>年度</w:t>
            </w:r>
            <w:r>
              <w:rPr>
                <w:color w:val="000000"/>
                <w:kern w:val="0"/>
                <w:sz w:val="36"/>
                <w:szCs w:val="36"/>
              </w:rPr>
              <w:t>)</w:t>
            </w:r>
          </w:p>
        </w:tc>
      </w:tr>
      <w:tr>
        <w:tblPrEx>
          <w:tblLayout w:type="fixed"/>
          <w:tblCellMar>
            <w:top w:w="0" w:type="dxa"/>
            <w:left w:w="0" w:type="dxa"/>
            <w:bottom w:w="0" w:type="dxa"/>
            <w:right w:w="0" w:type="dxa"/>
          </w:tblCellMar>
        </w:tblPrEx>
        <w:trPr>
          <w:trHeight w:val="276" w:hRule="atLeast"/>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rFonts w:hAnsi="宋体"/>
                <w:color w:val="000000"/>
                <w:kern w:val="0"/>
                <w:sz w:val="24"/>
              </w:rPr>
              <w:t>项目名称</w:t>
            </w:r>
          </w:p>
        </w:tc>
        <w:tc>
          <w:tcPr>
            <w:tcW w:w="7178" w:type="dxa"/>
            <w:gridSpan w:val="4"/>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color w:val="000000"/>
                <w:sz w:val="24"/>
              </w:rPr>
              <w:t>全市电子政务公共机房电费</w:t>
            </w:r>
          </w:p>
        </w:tc>
      </w:tr>
      <w:tr>
        <w:tblPrEx>
          <w:tblLayout w:type="fixed"/>
          <w:tblCellMar>
            <w:top w:w="0" w:type="dxa"/>
            <w:left w:w="0" w:type="dxa"/>
            <w:bottom w:w="0" w:type="dxa"/>
            <w:right w:w="0" w:type="dxa"/>
          </w:tblCellMar>
        </w:tblPrEx>
        <w:trPr>
          <w:trHeight w:val="276" w:hRule="atLeast"/>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rFonts w:hAnsi="宋体"/>
                <w:color w:val="000000"/>
                <w:kern w:val="0"/>
                <w:sz w:val="24"/>
              </w:rPr>
              <w:t>预算单位</w:t>
            </w:r>
          </w:p>
        </w:tc>
        <w:tc>
          <w:tcPr>
            <w:tcW w:w="7178" w:type="dxa"/>
            <w:gridSpan w:val="4"/>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color w:val="000000"/>
                <w:sz w:val="24"/>
              </w:rPr>
              <w:t>攀枝花市电子电子政务办公室</w:t>
            </w:r>
          </w:p>
        </w:tc>
      </w:tr>
      <w:tr>
        <w:tblPrEx>
          <w:tblLayout w:type="fixed"/>
          <w:tblCellMar>
            <w:top w:w="0" w:type="dxa"/>
            <w:left w:w="0" w:type="dxa"/>
            <w:bottom w:w="0" w:type="dxa"/>
            <w:right w:w="0" w:type="dxa"/>
          </w:tblCellMar>
        </w:tblPrEx>
        <w:trPr>
          <w:trHeight w:val="276" w:hRule="atLeast"/>
        </w:trPr>
        <w:tc>
          <w:tcPr>
            <w:tcW w:w="866"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rFonts w:hAnsi="宋体"/>
                <w:color w:val="000000"/>
                <w:kern w:val="0"/>
                <w:sz w:val="24"/>
              </w:rPr>
              <w:t>预算执行情况</w:t>
            </w:r>
            <w:r>
              <w:rPr>
                <w:color w:val="000000"/>
                <w:kern w:val="0"/>
                <w:sz w:val="24"/>
              </w:rPr>
              <w:t>(</w:t>
            </w:r>
            <w:r>
              <w:rPr>
                <w:rFonts w:hAnsi="宋体"/>
                <w:color w:val="000000"/>
                <w:kern w:val="0"/>
                <w:sz w:val="24"/>
              </w:rPr>
              <w:t>万元</w:t>
            </w:r>
            <w:r>
              <w:rPr>
                <w:color w:val="000000"/>
                <w:kern w:val="0"/>
                <w:sz w:val="24"/>
              </w:rPr>
              <w:t>)</w:t>
            </w:r>
          </w:p>
        </w:tc>
        <w:tc>
          <w:tcPr>
            <w:tcW w:w="191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rFonts w:hAnsi="宋体"/>
                <w:color w:val="000000"/>
                <w:kern w:val="0"/>
                <w:sz w:val="24"/>
              </w:rPr>
              <w:t>预算数</w:t>
            </w:r>
            <w:r>
              <w:rPr>
                <w:color w:val="000000"/>
                <w:kern w:val="0"/>
                <w:sz w:val="24"/>
              </w:rPr>
              <w:t>:</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color w:val="000000"/>
                <w:sz w:val="24"/>
              </w:rPr>
              <w:t>27.5</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rFonts w:hAnsi="宋体"/>
                <w:color w:val="000000"/>
                <w:kern w:val="0"/>
                <w:sz w:val="24"/>
              </w:rPr>
              <w:t>执行数</w:t>
            </w:r>
            <w:r>
              <w:rPr>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color w:val="000000"/>
                <w:sz w:val="24"/>
              </w:rPr>
              <w:t>27.5</w:t>
            </w:r>
          </w:p>
        </w:tc>
      </w:tr>
      <w:tr>
        <w:tblPrEx>
          <w:tblLayout w:type="fixed"/>
          <w:tblCellMar>
            <w:top w:w="0" w:type="dxa"/>
            <w:left w:w="0" w:type="dxa"/>
            <w:bottom w:w="0" w:type="dxa"/>
            <w:right w:w="0" w:type="dxa"/>
          </w:tblCellMar>
        </w:tblPrEx>
        <w:trPr>
          <w:trHeight w:val="276" w:hRule="atLeast"/>
        </w:trPr>
        <w:tc>
          <w:tcPr>
            <w:tcW w:w="86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color w:val="000000"/>
                <w:sz w:val="24"/>
              </w:rPr>
            </w:pPr>
          </w:p>
        </w:tc>
        <w:tc>
          <w:tcPr>
            <w:tcW w:w="191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rFonts w:hAnsi="宋体"/>
                <w:color w:val="000000"/>
                <w:kern w:val="0"/>
                <w:sz w:val="24"/>
              </w:rPr>
              <w:t>其中</w:t>
            </w:r>
            <w:r>
              <w:rPr>
                <w:color w:val="000000"/>
                <w:kern w:val="0"/>
                <w:sz w:val="24"/>
              </w:rPr>
              <w:t>-</w:t>
            </w:r>
            <w:r>
              <w:rPr>
                <w:rFonts w:hAnsi="宋体"/>
                <w:color w:val="000000"/>
                <w:kern w:val="0"/>
                <w:sz w:val="24"/>
              </w:rPr>
              <w:t>财政拨款</w:t>
            </w:r>
            <w:r>
              <w:rPr>
                <w:color w:val="000000"/>
                <w:kern w:val="0"/>
                <w:sz w:val="24"/>
              </w:rPr>
              <w:t>:</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color w:val="000000"/>
                <w:sz w:val="24"/>
              </w:rPr>
              <w:t>27.5</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rFonts w:hAnsi="宋体"/>
                <w:color w:val="000000"/>
                <w:kern w:val="0"/>
                <w:sz w:val="24"/>
              </w:rPr>
              <w:t>其中</w:t>
            </w:r>
            <w:r>
              <w:rPr>
                <w:color w:val="000000"/>
                <w:kern w:val="0"/>
                <w:sz w:val="24"/>
              </w:rPr>
              <w:t>-</w:t>
            </w:r>
            <w:r>
              <w:rPr>
                <w:rFonts w:hAnsi="宋体"/>
                <w:color w:val="000000"/>
                <w:kern w:val="0"/>
                <w:sz w:val="24"/>
              </w:rPr>
              <w:t>财政拨款</w:t>
            </w:r>
            <w:r>
              <w:rPr>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color w:val="000000"/>
                <w:sz w:val="24"/>
              </w:rPr>
              <w:t>27.5</w:t>
            </w:r>
          </w:p>
        </w:tc>
      </w:tr>
      <w:tr>
        <w:tblPrEx>
          <w:tblLayout w:type="fixed"/>
          <w:tblCellMar>
            <w:top w:w="0" w:type="dxa"/>
            <w:left w:w="0" w:type="dxa"/>
            <w:bottom w:w="0" w:type="dxa"/>
            <w:right w:w="0" w:type="dxa"/>
          </w:tblCellMar>
        </w:tblPrEx>
        <w:trPr>
          <w:trHeight w:val="615" w:hRule="atLeast"/>
        </w:trPr>
        <w:tc>
          <w:tcPr>
            <w:tcW w:w="86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color w:val="000000"/>
                <w:sz w:val="24"/>
              </w:rPr>
            </w:pPr>
          </w:p>
        </w:tc>
        <w:tc>
          <w:tcPr>
            <w:tcW w:w="191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rFonts w:hAnsi="宋体"/>
                <w:color w:val="000000"/>
                <w:kern w:val="0"/>
                <w:sz w:val="24"/>
              </w:rPr>
              <w:t>其它资金</w:t>
            </w:r>
            <w:r>
              <w:rPr>
                <w:color w:val="000000"/>
                <w:kern w:val="0"/>
                <w:sz w:val="24"/>
              </w:rPr>
              <w:t>:</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color w:val="000000"/>
                <w:kern w:val="0"/>
                <w:sz w:val="24"/>
              </w:rPr>
              <w:t>0</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rFonts w:hAnsi="宋体"/>
                <w:color w:val="000000"/>
                <w:kern w:val="0"/>
                <w:sz w:val="24"/>
              </w:rPr>
              <w:t>其它资金</w:t>
            </w:r>
            <w:r>
              <w:rPr>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color w:val="000000"/>
                <w:sz w:val="24"/>
              </w:rPr>
            </w:pPr>
          </w:p>
        </w:tc>
      </w:tr>
      <w:tr>
        <w:tblPrEx>
          <w:tblLayout w:type="fixed"/>
          <w:tblCellMar>
            <w:top w:w="0" w:type="dxa"/>
            <w:left w:w="0" w:type="dxa"/>
            <w:bottom w:w="0" w:type="dxa"/>
            <w:right w:w="0" w:type="dxa"/>
          </w:tblCellMar>
        </w:tblPrEx>
        <w:trPr>
          <w:trHeight w:val="276" w:hRule="atLeast"/>
        </w:trPr>
        <w:tc>
          <w:tcPr>
            <w:tcW w:w="866"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rFonts w:hAnsi="宋体"/>
                <w:color w:val="000000"/>
                <w:kern w:val="0"/>
                <w:sz w:val="24"/>
              </w:rPr>
              <w:t>年度目标完成情况</w:t>
            </w:r>
          </w:p>
        </w:tc>
        <w:tc>
          <w:tcPr>
            <w:tcW w:w="4308" w:type="dxa"/>
            <w:gridSpan w:val="4"/>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rFonts w:hAnsi="宋体"/>
                <w:color w:val="000000"/>
                <w:kern w:val="0"/>
                <w:sz w:val="24"/>
              </w:rPr>
              <w:t>预期目标</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rFonts w:hAnsi="宋体"/>
                <w:color w:val="000000"/>
                <w:kern w:val="0"/>
                <w:sz w:val="24"/>
              </w:rPr>
              <w:t>实际完成目标</w:t>
            </w:r>
          </w:p>
        </w:tc>
      </w:tr>
      <w:tr>
        <w:tblPrEx>
          <w:tblLayout w:type="fixed"/>
          <w:tblCellMar>
            <w:top w:w="0" w:type="dxa"/>
            <w:left w:w="0" w:type="dxa"/>
            <w:bottom w:w="0" w:type="dxa"/>
            <w:right w:w="0" w:type="dxa"/>
          </w:tblCellMar>
        </w:tblPrEx>
        <w:trPr>
          <w:trHeight w:val="628" w:hRule="atLeast"/>
        </w:trPr>
        <w:tc>
          <w:tcPr>
            <w:tcW w:w="86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color w:val="000000"/>
                <w:sz w:val="24"/>
              </w:rPr>
            </w:pPr>
          </w:p>
        </w:tc>
        <w:tc>
          <w:tcPr>
            <w:tcW w:w="4308" w:type="dxa"/>
            <w:gridSpan w:val="4"/>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color w:val="000000"/>
                <w:sz w:val="24"/>
              </w:rPr>
              <w:t>保障全市电子政务公共机房设备正常运转</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color w:val="000000"/>
                <w:sz w:val="24"/>
              </w:rPr>
              <w:t>保障全市电子政务公共机房设备正常运转</w:t>
            </w:r>
          </w:p>
        </w:tc>
      </w:tr>
      <w:tr>
        <w:tblPrEx>
          <w:tblLayout w:type="fixed"/>
          <w:tblCellMar>
            <w:top w:w="0" w:type="dxa"/>
            <w:left w:w="0" w:type="dxa"/>
            <w:bottom w:w="0" w:type="dxa"/>
            <w:right w:w="0" w:type="dxa"/>
          </w:tblCellMar>
        </w:tblPrEx>
        <w:trPr>
          <w:trHeight w:val="1042" w:hRule="atLeast"/>
        </w:trPr>
        <w:tc>
          <w:tcPr>
            <w:tcW w:w="866"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rFonts w:hAnsi="宋体"/>
                <w:color w:val="000000"/>
                <w:sz w:val="24"/>
              </w:rPr>
              <w:t>绩效指标完成情况</w:t>
            </w:r>
          </w:p>
        </w:tc>
        <w:tc>
          <w:tcPr>
            <w:tcW w:w="891"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rFonts w:hAnsi="宋体"/>
                <w:color w:val="000000"/>
                <w:kern w:val="0"/>
                <w:sz w:val="24"/>
              </w:rPr>
              <w:t>一级指标</w:t>
            </w:r>
          </w:p>
        </w:tc>
        <w:tc>
          <w:tcPr>
            <w:tcW w:w="1093"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rFonts w:hAnsi="宋体"/>
                <w:color w:val="000000"/>
                <w:kern w:val="0"/>
                <w:sz w:val="24"/>
              </w:rPr>
              <w:t>二级指标</w:t>
            </w:r>
          </w:p>
        </w:tc>
        <w:tc>
          <w:tcPr>
            <w:tcW w:w="232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rFonts w:hAnsi="宋体"/>
                <w:color w:val="000000"/>
                <w:kern w:val="0"/>
                <w:sz w:val="24"/>
              </w:rPr>
              <w:t>三级指标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rFonts w:hAnsi="宋体"/>
                <w:color w:val="000000"/>
                <w:kern w:val="0"/>
                <w:sz w:val="24"/>
              </w:rPr>
              <w:t>预期指标值</w:t>
            </w:r>
            <w:r>
              <w:rPr>
                <w:color w:val="000000"/>
                <w:kern w:val="0"/>
                <w:sz w:val="24"/>
              </w:rPr>
              <w:t>(</w:t>
            </w:r>
            <w:r>
              <w:rPr>
                <w:rFonts w:hAnsi="宋体"/>
                <w:color w:val="000000"/>
                <w:kern w:val="0"/>
                <w:sz w:val="24"/>
              </w:rPr>
              <w:t>包含数字及文字描述</w:t>
            </w:r>
            <w:r>
              <w:rPr>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rFonts w:hAnsi="宋体"/>
                <w:color w:val="000000"/>
                <w:kern w:val="0"/>
                <w:sz w:val="24"/>
              </w:rPr>
              <w:t>实际完成指标值</w:t>
            </w:r>
            <w:r>
              <w:rPr>
                <w:color w:val="000000"/>
                <w:kern w:val="0"/>
                <w:sz w:val="24"/>
              </w:rPr>
              <w:t>(</w:t>
            </w:r>
            <w:r>
              <w:rPr>
                <w:rFonts w:hAnsi="宋体"/>
                <w:color w:val="000000"/>
                <w:kern w:val="0"/>
                <w:sz w:val="24"/>
              </w:rPr>
              <w:t>包含数字及文字描述</w:t>
            </w:r>
            <w:r>
              <w:rPr>
                <w:color w:val="000000"/>
                <w:kern w:val="0"/>
                <w:sz w:val="24"/>
              </w:rPr>
              <w:t>)</w:t>
            </w:r>
          </w:p>
        </w:tc>
      </w:tr>
      <w:tr>
        <w:tblPrEx>
          <w:tblLayout w:type="fixed"/>
          <w:tblCellMar>
            <w:top w:w="0" w:type="dxa"/>
            <w:left w:w="0" w:type="dxa"/>
            <w:bottom w:w="0" w:type="dxa"/>
            <w:right w:w="0" w:type="dxa"/>
          </w:tblCellMar>
        </w:tblPrEx>
        <w:trPr>
          <w:trHeight w:val="953" w:hRule="atLeast"/>
        </w:trPr>
        <w:tc>
          <w:tcPr>
            <w:tcW w:w="86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color w:val="000000"/>
                <w:sz w:val="24"/>
              </w:rPr>
            </w:pPr>
          </w:p>
        </w:tc>
        <w:tc>
          <w:tcPr>
            <w:tcW w:w="891" w:type="dxa"/>
            <w:vMerge w:val="restart"/>
            <w:tcBorders>
              <w:top w:val="single" w:color="000000" w:sz="4" w:space="0"/>
              <w:left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rFonts w:hAnsi="宋体"/>
                <w:color w:val="000000"/>
                <w:kern w:val="0"/>
                <w:sz w:val="24"/>
              </w:rPr>
              <w:t>项目完成指标</w:t>
            </w:r>
          </w:p>
        </w:tc>
        <w:tc>
          <w:tcPr>
            <w:tcW w:w="1093"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color w:val="000000"/>
                <w:sz w:val="24"/>
              </w:rPr>
            </w:pPr>
            <w:r>
              <w:rPr>
                <w:sz w:val="24"/>
              </w:rPr>
              <w:t>数量指标</w:t>
            </w:r>
          </w:p>
        </w:tc>
        <w:tc>
          <w:tcPr>
            <w:tcW w:w="232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color w:val="000000"/>
                <w:sz w:val="24"/>
              </w:rPr>
            </w:pPr>
            <w:r>
              <w:rPr>
                <w:color w:val="000000"/>
                <w:sz w:val="24"/>
              </w:rPr>
              <w:t>月度按时缴纳</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color w:val="000000"/>
                <w:sz w:val="24"/>
              </w:rPr>
            </w:pPr>
            <w:r>
              <w:rPr>
                <w:color w:val="000000"/>
                <w:sz w:val="24"/>
              </w:rPr>
              <w:t>支付1-12月电费</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color w:val="000000"/>
                <w:sz w:val="24"/>
              </w:rPr>
            </w:pPr>
            <w:r>
              <w:rPr>
                <w:color w:val="000000"/>
                <w:sz w:val="24"/>
              </w:rPr>
              <w:t>全年27.5万元</w:t>
            </w:r>
          </w:p>
        </w:tc>
      </w:tr>
      <w:tr>
        <w:tblPrEx>
          <w:tblLayout w:type="fixed"/>
          <w:tblCellMar>
            <w:top w:w="0" w:type="dxa"/>
            <w:left w:w="0" w:type="dxa"/>
            <w:bottom w:w="0" w:type="dxa"/>
            <w:right w:w="0" w:type="dxa"/>
          </w:tblCellMar>
        </w:tblPrEx>
        <w:trPr>
          <w:trHeight w:val="1297" w:hRule="atLeast"/>
        </w:trPr>
        <w:tc>
          <w:tcPr>
            <w:tcW w:w="86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color w:val="000000"/>
                <w:sz w:val="24"/>
              </w:rPr>
            </w:pPr>
          </w:p>
        </w:tc>
        <w:tc>
          <w:tcPr>
            <w:tcW w:w="891" w:type="dxa"/>
            <w:vMerge w:val="continue"/>
            <w:tcBorders>
              <w:left w:val="single" w:color="000000" w:sz="4" w:space="0"/>
              <w:right w:val="single" w:color="000000" w:sz="4" w:space="0"/>
            </w:tcBorders>
            <w:tcMar>
              <w:top w:w="15" w:type="dxa"/>
              <w:left w:w="15" w:type="dxa"/>
              <w:bottom w:w="0" w:type="dxa"/>
              <w:right w:w="15" w:type="dxa"/>
            </w:tcMar>
            <w:vAlign w:val="center"/>
          </w:tcPr>
          <w:p>
            <w:pPr>
              <w:jc w:val="center"/>
              <w:textAlignment w:val="center"/>
              <w:rPr>
                <w:color w:val="000000"/>
                <w:sz w:val="24"/>
              </w:rPr>
            </w:pPr>
          </w:p>
        </w:tc>
        <w:tc>
          <w:tcPr>
            <w:tcW w:w="1093"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color w:val="000000"/>
                <w:sz w:val="24"/>
              </w:rPr>
              <w:t>质量指标</w:t>
            </w:r>
          </w:p>
        </w:tc>
        <w:tc>
          <w:tcPr>
            <w:tcW w:w="232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color w:val="000000"/>
                <w:sz w:val="24"/>
              </w:rPr>
            </w:pPr>
            <w:r>
              <w:rPr>
                <w:color w:val="000000"/>
                <w:sz w:val="24"/>
              </w:rPr>
              <w:t>保障机房设备正常运转</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color w:val="000000"/>
                <w:sz w:val="24"/>
              </w:rPr>
            </w:pPr>
            <w:r>
              <w:rPr>
                <w:color w:val="000000"/>
                <w:sz w:val="24"/>
              </w:rPr>
              <w:t>保障全市电子政务公共机房设备正常运行</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color w:val="000000"/>
                <w:sz w:val="24"/>
              </w:rPr>
            </w:pPr>
            <w:r>
              <w:rPr>
                <w:color w:val="000000"/>
                <w:sz w:val="24"/>
              </w:rPr>
              <w:t>保障全市电子政务公共机房设备正常运行</w:t>
            </w:r>
          </w:p>
        </w:tc>
      </w:tr>
      <w:tr>
        <w:tblPrEx>
          <w:tblLayout w:type="fixed"/>
          <w:tblCellMar>
            <w:top w:w="0" w:type="dxa"/>
            <w:left w:w="0" w:type="dxa"/>
            <w:bottom w:w="0" w:type="dxa"/>
            <w:right w:w="0" w:type="dxa"/>
          </w:tblCellMar>
        </w:tblPrEx>
        <w:trPr>
          <w:trHeight w:val="1042" w:hRule="atLeast"/>
        </w:trPr>
        <w:tc>
          <w:tcPr>
            <w:tcW w:w="86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color w:val="000000"/>
                <w:sz w:val="24"/>
              </w:rPr>
            </w:pPr>
          </w:p>
        </w:tc>
        <w:tc>
          <w:tcPr>
            <w:tcW w:w="891" w:type="dxa"/>
            <w:vMerge w:val="continue"/>
            <w:tcBorders>
              <w:left w:val="single" w:color="000000" w:sz="4" w:space="0"/>
              <w:right w:val="single" w:color="000000" w:sz="4" w:space="0"/>
            </w:tcBorders>
            <w:tcMar>
              <w:top w:w="15" w:type="dxa"/>
              <w:left w:w="15" w:type="dxa"/>
              <w:bottom w:w="0" w:type="dxa"/>
              <w:right w:w="15" w:type="dxa"/>
            </w:tcMar>
            <w:vAlign w:val="center"/>
          </w:tcPr>
          <w:p>
            <w:pPr>
              <w:jc w:val="center"/>
              <w:textAlignment w:val="center"/>
              <w:rPr>
                <w:color w:val="000000"/>
                <w:sz w:val="24"/>
              </w:rPr>
            </w:pPr>
          </w:p>
        </w:tc>
        <w:tc>
          <w:tcPr>
            <w:tcW w:w="1093"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color w:val="000000"/>
                <w:sz w:val="24"/>
              </w:rPr>
              <w:t>时效指标</w:t>
            </w:r>
          </w:p>
        </w:tc>
        <w:tc>
          <w:tcPr>
            <w:tcW w:w="232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color w:val="000000"/>
                <w:sz w:val="24"/>
              </w:rPr>
            </w:pPr>
            <w:r>
              <w:rPr>
                <w:color w:val="000000"/>
                <w:sz w:val="24"/>
              </w:rPr>
              <w:t>按照工作计划</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left"/>
              <w:rPr>
                <w:color w:val="000000"/>
                <w:sz w:val="24"/>
              </w:rPr>
            </w:pPr>
            <w:r>
              <w:rPr>
                <w:sz w:val="24"/>
              </w:rPr>
              <w:t>2019年1-12月</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left"/>
              <w:rPr>
                <w:color w:val="000000"/>
                <w:sz w:val="24"/>
              </w:rPr>
            </w:pPr>
            <w:r>
              <w:rPr>
                <w:sz w:val="24"/>
              </w:rPr>
              <w:t>2019年1-12月</w:t>
            </w:r>
          </w:p>
        </w:tc>
      </w:tr>
      <w:tr>
        <w:tblPrEx>
          <w:tblLayout w:type="fixed"/>
          <w:tblCellMar>
            <w:top w:w="0" w:type="dxa"/>
            <w:left w:w="0" w:type="dxa"/>
            <w:bottom w:w="0" w:type="dxa"/>
            <w:right w:w="0" w:type="dxa"/>
          </w:tblCellMar>
        </w:tblPrEx>
        <w:trPr>
          <w:trHeight w:val="1042" w:hRule="atLeast"/>
        </w:trPr>
        <w:tc>
          <w:tcPr>
            <w:tcW w:w="86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color w:val="000000"/>
                <w:sz w:val="24"/>
              </w:rPr>
            </w:pPr>
          </w:p>
        </w:tc>
        <w:tc>
          <w:tcPr>
            <w:tcW w:w="891" w:type="dxa"/>
            <w:vMerge w:val="continue"/>
            <w:tcBorders>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kern w:val="0"/>
                <w:sz w:val="24"/>
              </w:rPr>
            </w:pPr>
          </w:p>
        </w:tc>
        <w:tc>
          <w:tcPr>
            <w:tcW w:w="1093"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color w:val="000000"/>
                <w:sz w:val="24"/>
              </w:rPr>
              <w:t>成本指标</w:t>
            </w:r>
          </w:p>
        </w:tc>
        <w:tc>
          <w:tcPr>
            <w:tcW w:w="232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color w:val="000000"/>
                <w:sz w:val="24"/>
              </w:rPr>
            </w:pPr>
            <w:r>
              <w:rPr>
                <w:color w:val="000000"/>
                <w:sz w:val="24"/>
              </w:rPr>
              <w:t>电费及维护</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color w:val="000000"/>
                <w:sz w:val="24"/>
              </w:rPr>
            </w:pPr>
            <w:r>
              <w:rPr>
                <w:color w:val="000000"/>
                <w:sz w:val="24"/>
              </w:rPr>
              <w:t>全年27.5万元</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color w:val="000000"/>
                <w:sz w:val="24"/>
              </w:rPr>
            </w:pPr>
            <w:r>
              <w:rPr>
                <w:color w:val="000000"/>
                <w:sz w:val="24"/>
              </w:rPr>
              <w:t>全年27.5万元</w:t>
            </w:r>
          </w:p>
        </w:tc>
      </w:tr>
      <w:tr>
        <w:tblPrEx>
          <w:tblLayout w:type="fixed"/>
          <w:tblCellMar>
            <w:top w:w="0" w:type="dxa"/>
            <w:left w:w="0" w:type="dxa"/>
            <w:bottom w:w="0" w:type="dxa"/>
            <w:right w:w="0" w:type="dxa"/>
          </w:tblCellMar>
        </w:tblPrEx>
        <w:trPr>
          <w:trHeight w:val="1042" w:hRule="atLeast"/>
        </w:trPr>
        <w:tc>
          <w:tcPr>
            <w:tcW w:w="86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color w:val="000000"/>
                <w:sz w:val="24"/>
              </w:rPr>
            </w:pPr>
          </w:p>
        </w:tc>
        <w:tc>
          <w:tcPr>
            <w:tcW w:w="891"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rFonts w:hAnsi="宋体"/>
                <w:color w:val="000000"/>
                <w:kern w:val="0"/>
                <w:sz w:val="24"/>
              </w:rPr>
              <w:t>效益指标</w:t>
            </w:r>
          </w:p>
        </w:tc>
        <w:tc>
          <w:tcPr>
            <w:tcW w:w="1093"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color w:val="000000"/>
                <w:sz w:val="24"/>
              </w:rPr>
              <w:t>社会效益指标</w:t>
            </w:r>
          </w:p>
        </w:tc>
        <w:tc>
          <w:tcPr>
            <w:tcW w:w="232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color w:val="000000"/>
                <w:sz w:val="24"/>
              </w:rPr>
            </w:pPr>
            <w:r>
              <w:rPr>
                <w:color w:val="000000"/>
                <w:sz w:val="24"/>
              </w:rPr>
              <w:t>正常运转</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color w:val="000000"/>
                <w:sz w:val="24"/>
              </w:rPr>
            </w:pPr>
            <w:r>
              <w:rPr>
                <w:color w:val="000000"/>
                <w:sz w:val="24"/>
              </w:rPr>
              <w:t>保障全市电子政务公共机房正常运行</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color w:val="000000"/>
                <w:sz w:val="24"/>
              </w:rPr>
            </w:pPr>
            <w:r>
              <w:rPr>
                <w:color w:val="000000"/>
                <w:sz w:val="24"/>
              </w:rPr>
              <w:t>保障全市电子政务公共机房正常运行</w:t>
            </w:r>
          </w:p>
        </w:tc>
      </w:tr>
      <w:tr>
        <w:tblPrEx>
          <w:tblLayout w:type="fixed"/>
          <w:tblCellMar>
            <w:top w:w="0" w:type="dxa"/>
            <w:left w:w="0" w:type="dxa"/>
            <w:bottom w:w="0" w:type="dxa"/>
            <w:right w:w="0" w:type="dxa"/>
          </w:tblCellMar>
        </w:tblPrEx>
        <w:trPr>
          <w:trHeight w:val="1050" w:hRule="atLeast"/>
        </w:trPr>
        <w:tc>
          <w:tcPr>
            <w:tcW w:w="86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color w:val="000000"/>
                <w:sz w:val="24"/>
              </w:rPr>
            </w:pPr>
          </w:p>
        </w:tc>
        <w:tc>
          <w:tcPr>
            <w:tcW w:w="891"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rFonts w:hAnsi="宋体"/>
                <w:color w:val="000000"/>
                <w:kern w:val="0"/>
                <w:sz w:val="24"/>
              </w:rPr>
              <w:t>满意度指标</w:t>
            </w:r>
          </w:p>
        </w:tc>
        <w:tc>
          <w:tcPr>
            <w:tcW w:w="1093"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color w:val="000000"/>
                <w:sz w:val="24"/>
              </w:rPr>
              <w:t>服务对象满意度指标</w:t>
            </w:r>
          </w:p>
        </w:tc>
        <w:tc>
          <w:tcPr>
            <w:tcW w:w="232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color w:val="000000"/>
                <w:sz w:val="24"/>
              </w:rPr>
            </w:pPr>
            <w:r>
              <w:rPr>
                <w:color w:val="000000"/>
                <w:sz w:val="24"/>
              </w:rPr>
              <w:t>用户单位满意度</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color w:val="000000"/>
                <w:sz w:val="24"/>
              </w:rPr>
            </w:pPr>
            <w:r>
              <w:rPr>
                <w:color w:val="000000"/>
                <w:sz w:val="24"/>
              </w:rPr>
              <w:t>满意度95%以上</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color w:val="000000"/>
                <w:sz w:val="24"/>
              </w:rPr>
            </w:pPr>
            <w:r>
              <w:rPr>
                <w:color w:val="000000"/>
                <w:sz w:val="24"/>
              </w:rPr>
              <w:t>满意度95%以上</w:t>
            </w:r>
          </w:p>
        </w:tc>
      </w:tr>
    </w:tbl>
    <w:p/>
    <w:p/>
    <w:p/>
    <w:tbl>
      <w:tblPr>
        <w:tblStyle w:val="12"/>
        <w:tblpPr w:leftFromText="180" w:rightFromText="180" w:vertAnchor="text" w:horzAnchor="page" w:tblpXSpec="center" w:tblpY="423"/>
        <w:tblOverlap w:val="never"/>
        <w:tblW w:w="9803" w:type="dxa"/>
        <w:tblInd w:w="0" w:type="dxa"/>
        <w:tblLayout w:type="fixed"/>
        <w:tblCellMar>
          <w:top w:w="0" w:type="dxa"/>
          <w:left w:w="0" w:type="dxa"/>
          <w:bottom w:w="0" w:type="dxa"/>
          <w:right w:w="0" w:type="dxa"/>
        </w:tblCellMar>
      </w:tblPr>
      <w:tblGrid>
        <w:gridCol w:w="866"/>
        <w:gridCol w:w="734"/>
        <w:gridCol w:w="1025"/>
        <w:gridCol w:w="2493"/>
        <w:gridCol w:w="2293"/>
        <w:gridCol w:w="2392"/>
      </w:tblGrid>
      <w:tr>
        <w:tblPrEx>
          <w:tblLayout w:type="fixed"/>
          <w:tblCellMar>
            <w:top w:w="0" w:type="dxa"/>
            <w:left w:w="0" w:type="dxa"/>
            <w:bottom w:w="0" w:type="dxa"/>
            <w:right w:w="0" w:type="dxa"/>
          </w:tblCellMar>
        </w:tblPrEx>
        <w:trPr>
          <w:trHeight w:val="1034" w:hRule="atLeast"/>
        </w:trPr>
        <w:tc>
          <w:tcPr>
            <w:tcW w:w="9803" w:type="dxa"/>
            <w:gridSpan w:val="6"/>
            <w:tcMar>
              <w:top w:w="15" w:type="dxa"/>
              <w:left w:w="15" w:type="dxa"/>
              <w:bottom w:w="0" w:type="dxa"/>
              <w:right w:w="15" w:type="dxa"/>
            </w:tcMar>
            <w:vAlign w:val="center"/>
          </w:tcPr>
          <w:p>
            <w:pPr>
              <w:pStyle w:val="23"/>
              <w:widowControl/>
              <w:spacing w:before="93"/>
              <w:ind w:left="4173" w:leftChars="1310" w:hanging="1422" w:hangingChars="395"/>
              <w:textAlignment w:val="center"/>
              <w:rPr>
                <w:color w:val="000000"/>
                <w:sz w:val="36"/>
                <w:szCs w:val="36"/>
              </w:rPr>
            </w:pPr>
            <w:r>
              <w:rPr>
                <w:rFonts w:hAnsi="黑体" w:eastAsia="黑体"/>
                <w:bCs/>
                <w:color w:val="000000"/>
                <w:kern w:val="0"/>
                <w:sz w:val="36"/>
                <w:szCs w:val="36"/>
              </w:rPr>
              <w:t>项目支出绩效目标完成情况表</w:t>
            </w:r>
            <w:r>
              <w:rPr>
                <w:b/>
                <w:bCs/>
                <w:color w:val="000000"/>
                <w:kern w:val="0"/>
                <w:sz w:val="36"/>
                <w:szCs w:val="36"/>
              </w:rPr>
              <w:br w:type="textWrapping"/>
            </w:r>
            <w:r>
              <w:rPr>
                <w:color w:val="000000"/>
                <w:kern w:val="0"/>
                <w:sz w:val="36"/>
                <w:szCs w:val="36"/>
              </w:rPr>
              <w:t xml:space="preserve">(2018 </w:t>
            </w:r>
            <w:r>
              <w:rPr>
                <w:rFonts w:hAnsi="宋体"/>
                <w:color w:val="000000"/>
                <w:kern w:val="0"/>
                <w:sz w:val="36"/>
                <w:szCs w:val="36"/>
              </w:rPr>
              <w:t>年度</w:t>
            </w:r>
            <w:r>
              <w:rPr>
                <w:color w:val="000000"/>
                <w:kern w:val="0"/>
                <w:sz w:val="36"/>
                <w:szCs w:val="36"/>
              </w:rPr>
              <w:t>)</w:t>
            </w:r>
          </w:p>
        </w:tc>
      </w:tr>
      <w:tr>
        <w:tblPrEx>
          <w:tblLayout w:type="fixed"/>
          <w:tblCellMar>
            <w:top w:w="0" w:type="dxa"/>
            <w:left w:w="0" w:type="dxa"/>
            <w:bottom w:w="0" w:type="dxa"/>
            <w:right w:w="0" w:type="dxa"/>
          </w:tblCellMar>
        </w:tblPrEx>
        <w:trPr>
          <w:trHeight w:val="276" w:hRule="atLeast"/>
        </w:trPr>
        <w:tc>
          <w:tcPr>
            <w:tcW w:w="2625"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rFonts w:hAnsi="宋体"/>
                <w:color w:val="000000"/>
                <w:kern w:val="0"/>
                <w:sz w:val="24"/>
              </w:rPr>
              <w:t>项目名称</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color w:val="000000"/>
                <w:sz w:val="24"/>
              </w:rPr>
              <w:t>全市电子政务网络租赁费</w:t>
            </w:r>
          </w:p>
        </w:tc>
      </w:tr>
      <w:tr>
        <w:tblPrEx>
          <w:tblLayout w:type="fixed"/>
          <w:tblCellMar>
            <w:top w:w="0" w:type="dxa"/>
            <w:left w:w="0" w:type="dxa"/>
            <w:bottom w:w="0" w:type="dxa"/>
            <w:right w:w="0" w:type="dxa"/>
          </w:tblCellMar>
        </w:tblPrEx>
        <w:trPr>
          <w:trHeight w:val="276" w:hRule="atLeast"/>
        </w:trPr>
        <w:tc>
          <w:tcPr>
            <w:tcW w:w="2625"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rFonts w:hAnsi="宋体"/>
                <w:color w:val="000000"/>
                <w:kern w:val="0"/>
                <w:sz w:val="24"/>
              </w:rPr>
              <w:t>预算单位</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color w:val="000000"/>
                <w:sz w:val="24"/>
              </w:rPr>
              <w:t>攀枝花市电子政务办公室</w:t>
            </w:r>
          </w:p>
        </w:tc>
      </w:tr>
      <w:tr>
        <w:tblPrEx>
          <w:tblLayout w:type="fixed"/>
          <w:tblCellMar>
            <w:top w:w="0" w:type="dxa"/>
            <w:left w:w="0" w:type="dxa"/>
            <w:bottom w:w="0" w:type="dxa"/>
            <w:right w:w="0" w:type="dxa"/>
          </w:tblCellMar>
        </w:tblPrEx>
        <w:trPr>
          <w:trHeight w:val="276" w:hRule="atLeast"/>
        </w:trPr>
        <w:tc>
          <w:tcPr>
            <w:tcW w:w="866"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rFonts w:hAnsi="宋体"/>
                <w:color w:val="000000"/>
                <w:kern w:val="0"/>
                <w:sz w:val="24"/>
              </w:rPr>
              <w:t>预算执行情况</w:t>
            </w:r>
            <w:r>
              <w:rPr>
                <w:color w:val="000000"/>
                <w:kern w:val="0"/>
                <w:sz w:val="24"/>
              </w:rPr>
              <w:t>(</w:t>
            </w:r>
            <w:r>
              <w:rPr>
                <w:rFonts w:hAnsi="宋体"/>
                <w:color w:val="000000"/>
                <w:kern w:val="0"/>
                <w:sz w:val="24"/>
              </w:rPr>
              <w:t>万元</w:t>
            </w:r>
            <w:r>
              <w:rPr>
                <w:color w:val="000000"/>
                <w:kern w:val="0"/>
                <w:sz w:val="24"/>
              </w:rPr>
              <w:t>)</w:t>
            </w:r>
          </w:p>
        </w:tc>
        <w:tc>
          <w:tcPr>
            <w:tcW w:w="1759"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rFonts w:hAnsi="宋体"/>
                <w:color w:val="000000"/>
                <w:kern w:val="0"/>
                <w:sz w:val="24"/>
              </w:rPr>
              <w:t>预算数</w:t>
            </w:r>
            <w:r>
              <w:rPr>
                <w:color w:val="000000"/>
                <w:kern w:val="0"/>
                <w:sz w:val="24"/>
              </w:rPr>
              <w:t>:</w:t>
            </w:r>
          </w:p>
        </w:tc>
        <w:tc>
          <w:tcPr>
            <w:tcW w:w="2493"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color w:val="000000"/>
                <w:sz w:val="24"/>
              </w:rPr>
              <w:t>130</w:t>
            </w:r>
          </w:p>
        </w:tc>
        <w:tc>
          <w:tcPr>
            <w:tcW w:w="2293"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rFonts w:hAnsi="宋体"/>
                <w:color w:val="000000"/>
                <w:kern w:val="0"/>
                <w:sz w:val="24"/>
              </w:rPr>
              <w:t>执行数</w:t>
            </w:r>
            <w:r>
              <w:rPr>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color w:val="000000"/>
                <w:sz w:val="24"/>
              </w:rPr>
              <w:t>130</w:t>
            </w:r>
          </w:p>
        </w:tc>
      </w:tr>
      <w:tr>
        <w:tblPrEx>
          <w:tblLayout w:type="fixed"/>
          <w:tblCellMar>
            <w:top w:w="0" w:type="dxa"/>
            <w:left w:w="0" w:type="dxa"/>
            <w:bottom w:w="0" w:type="dxa"/>
            <w:right w:w="0" w:type="dxa"/>
          </w:tblCellMar>
        </w:tblPrEx>
        <w:trPr>
          <w:trHeight w:val="276" w:hRule="atLeast"/>
        </w:trPr>
        <w:tc>
          <w:tcPr>
            <w:tcW w:w="86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color w:val="000000"/>
                <w:sz w:val="24"/>
              </w:rPr>
            </w:pPr>
          </w:p>
        </w:tc>
        <w:tc>
          <w:tcPr>
            <w:tcW w:w="1759"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rFonts w:hAnsi="宋体"/>
                <w:color w:val="000000"/>
                <w:kern w:val="0"/>
                <w:sz w:val="24"/>
              </w:rPr>
              <w:t>其中</w:t>
            </w:r>
            <w:r>
              <w:rPr>
                <w:color w:val="000000"/>
                <w:kern w:val="0"/>
                <w:sz w:val="24"/>
              </w:rPr>
              <w:t>-</w:t>
            </w:r>
            <w:r>
              <w:rPr>
                <w:rFonts w:hAnsi="宋体"/>
                <w:color w:val="000000"/>
                <w:kern w:val="0"/>
                <w:sz w:val="24"/>
              </w:rPr>
              <w:t>财政拨款</w:t>
            </w:r>
            <w:r>
              <w:rPr>
                <w:color w:val="000000"/>
                <w:kern w:val="0"/>
                <w:sz w:val="24"/>
              </w:rPr>
              <w:t>:</w:t>
            </w:r>
          </w:p>
        </w:tc>
        <w:tc>
          <w:tcPr>
            <w:tcW w:w="2493"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color w:val="000000"/>
                <w:sz w:val="24"/>
              </w:rPr>
              <w:t>130</w:t>
            </w:r>
          </w:p>
        </w:tc>
        <w:tc>
          <w:tcPr>
            <w:tcW w:w="2293"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rFonts w:hAnsi="宋体"/>
                <w:color w:val="000000"/>
                <w:kern w:val="0"/>
                <w:sz w:val="24"/>
              </w:rPr>
              <w:t>其中</w:t>
            </w:r>
            <w:r>
              <w:rPr>
                <w:color w:val="000000"/>
                <w:kern w:val="0"/>
                <w:sz w:val="24"/>
              </w:rPr>
              <w:t>-</w:t>
            </w:r>
            <w:r>
              <w:rPr>
                <w:rFonts w:hAnsi="宋体"/>
                <w:color w:val="000000"/>
                <w:kern w:val="0"/>
                <w:sz w:val="24"/>
              </w:rPr>
              <w:t>财政拨款</w:t>
            </w:r>
            <w:r>
              <w:rPr>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color w:val="000000"/>
                <w:sz w:val="24"/>
              </w:rPr>
              <w:t>130</w:t>
            </w:r>
          </w:p>
        </w:tc>
      </w:tr>
      <w:tr>
        <w:tblPrEx>
          <w:tblLayout w:type="fixed"/>
          <w:tblCellMar>
            <w:top w:w="0" w:type="dxa"/>
            <w:left w:w="0" w:type="dxa"/>
            <w:bottom w:w="0" w:type="dxa"/>
            <w:right w:w="0" w:type="dxa"/>
          </w:tblCellMar>
        </w:tblPrEx>
        <w:trPr>
          <w:trHeight w:val="530" w:hRule="atLeast"/>
        </w:trPr>
        <w:tc>
          <w:tcPr>
            <w:tcW w:w="86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color w:val="000000"/>
                <w:sz w:val="24"/>
              </w:rPr>
            </w:pPr>
          </w:p>
        </w:tc>
        <w:tc>
          <w:tcPr>
            <w:tcW w:w="1759"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rFonts w:hAnsi="宋体"/>
                <w:color w:val="000000"/>
                <w:kern w:val="0"/>
                <w:sz w:val="24"/>
              </w:rPr>
              <w:t>其它资金</w:t>
            </w:r>
            <w:r>
              <w:rPr>
                <w:color w:val="000000"/>
                <w:kern w:val="0"/>
                <w:sz w:val="24"/>
              </w:rPr>
              <w:t>:</w:t>
            </w:r>
          </w:p>
        </w:tc>
        <w:tc>
          <w:tcPr>
            <w:tcW w:w="2493"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p>
        </w:tc>
        <w:tc>
          <w:tcPr>
            <w:tcW w:w="2293"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rFonts w:hAnsi="宋体"/>
                <w:color w:val="000000"/>
                <w:kern w:val="0"/>
                <w:sz w:val="24"/>
              </w:rPr>
              <w:t>其它资金</w:t>
            </w:r>
            <w:r>
              <w:rPr>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color w:val="000000"/>
                <w:sz w:val="24"/>
              </w:rPr>
            </w:pPr>
          </w:p>
        </w:tc>
      </w:tr>
      <w:tr>
        <w:tblPrEx>
          <w:tblLayout w:type="fixed"/>
          <w:tblCellMar>
            <w:top w:w="0" w:type="dxa"/>
            <w:left w:w="0" w:type="dxa"/>
            <w:bottom w:w="0" w:type="dxa"/>
            <w:right w:w="0" w:type="dxa"/>
          </w:tblCellMar>
        </w:tblPrEx>
        <w:trPr>
          <w:trHeight w:val="276" w:hRule="atLeast"/>
        </w:trPr>
        <w:tc>
          <w:tcPr>
            <w:tcW w:w="866"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rFonts w:hAnsi="宋体"/>
                <w:color w:val="000000"/>
                <w:kern w:val="0"/>
                <w:sz w:val="24"/>
              </w:rPr>
              <w:t>年度目标完成情况</w:t>
            </w:r>
          </w:p>
        </w:tc>
        <w:tc>
          <w:tcPr>
            <w:tcW w:w="4252"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rFonts w:hAnsi="宋体"/>
                <w:color w:val="000000"/>
                <w:kern w:val="0"/>
                <w:sz w:val="24"/>
              </w:rPr>
              <w:t>预期目标</w:t>
            </w:r>
          </w:p>
        </w:tc>
        <w:tc>
          <w:tcPr>
            <w:tcW w:w="4685"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rFonts w:hAnsi="宋体"/>
                <w:color w:val="000000"/>
                <w:kern w:val="0"/>
                <w:sz w:val="24"/>
              </w:rPr>
              <w:t>实际完成目标</w:t>
            </w:r>
          </w:p>
        </w:tc>
      </w:tr>
      <w:tr>
        <w:tblPrEx>
          <w:tblLayout w:type="fixed"/>
          <w:tblCellMar>
            <w:top w:w="0" w:type="dxa"/>
            <w:left w:w="0" w:type="dxa"/>
            <w:bottom w:w="0" w:type="dxa"/>
            <w:right w:w="0" w:type="dxa"/>
          </w:tblCellMar>
        </w:tblPrEx>
        <w:trPr>
          <w:trHeight w:val="1159" w:hRule="atLeast"/>
        </w:trPr>
        <w:tc>
          <w:tcPr>
            <w:tcW w:w="86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color w:val="000000"/>
                <w:sz w:val="24"/>
              </w:rPr>
            </w:pPr>
          </w:p>
        </w:tc>
        <w:tc>
          <w:tcPr>
            <w:tcW w:w="4252"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firstLineChars="200"/>
              <w:jc w:val="left"/>
              <w:textAlignment w:val="center"/>
              <w:rPr>
                <w:color w:val="000000"/>
                <w:sz w:val="24"/>
              </w:rPr>
            </w:pPr>
            <w:r>
              <w:rPr>
                <w:color w:val="000000"/>
                <w:sz w:val="24"/>
              </w:rPr>
              <w:t>由市电子政务办公室同意支付电子政务网络租赁费，确保相关网站的正常运转。</w:t>
            </w:r>
          </w:p>
        </w:tc>
        <w:tc>
          <w:tcPr>
            <w:tcW w:w="4685"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ind w:firstLine="480" w:firstLineChars="200"/>
              <w:jc w:val="left"/>
              <w:textAlignment w:val="center"/>
              <w:rPr>
                <w:color w:val="000000"/>
                <w:sz w:val="24"/>
              </w:rPr>
            </w:pPr>
            <w:r>
              <w:rPr>
                <w:color w:val="000000"/>
                <w:sz w:val="24"/>
              </w:rPr>
              <w:t>已完成2018年度资金支付，保障了相关网站的正常运转。</w:t>
            </w:r>
          </w:p>
        </w:tc>
      </w:tr>
      <w:tr>
        <w:tblPrEx>
          <w:tblLayout w:type="fixed"/>
          <w:tblCellMar>
            <w:top w:w="0" w:type="dxa"/>
            <w:left w:w="0" w:type="dxa"/>
            <w:bottom w:w="0" w:type="dxa"/>
            <w:right w:w="0" w:type="dxa"/>
          </w:tblCellMar>
        </w:tblPrEx>
        <w:trPr>
          <w:trHeight w:val="1042" w:hRule="atLeast"/>
        </w:trPr>
        <w:tc>
          <w:tcPr>
            <w:tcW w:w="866" w:type="dxa"/>
            <w:vMerge w:val="restart"/>
            <w:tcBorders>
              <w:top w:val="single" w:color="000000" w:sz="4" w:space="0"/>
              <w:left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rFonts w:hAnsi="宋体"/>
                <w:color w:val="000000"/>
                <w:sz w:val="24"/>
              </w:rPr>
              <w:t>绩效指标完成情况</w:t>
            </w:r>
          </w:p>
        </w:tc>
        <w:tc>
          <w:tcPr>
            <w:tcW w:w="73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rFonts w:hAnsi="宋体"/>
                <w:color w:val="000000"/>
                <w:kern w:val="0"/>
                <w:sz w:val="24"/>
              </w:rPr>
              <w:t>一级指标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rFonts w:hAnsi="宋体"/>
                <w:color w:val="000000"/>
                <w:kern w:val="0"/>
                <w:sz w:val="24"/>
              </w:rPr>
              <w:t>二级指标</w:t>
            </w:r>
          </w:p>
        </w:tc>
        <w:tc>
          <w:tcPr>
            <w:tcW w:w="2493"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rFonts w:hAnsi="宋体"/>
                <w:color w:val="000000"/>
                <w:kern w:val="0"/>
                <w:sz w:val="24"/>
              </w:rPr>
              <w:t>三级指标</w:t>
            </w:r>
          </w:p>
        </w:tc>
        <w:tc>
          <w:tcPr>
            <w:tcW w:w="2293"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rFonts w:hAnsi="宋体"/>
                <w:color w:val="000000"/>
                <w:kern w:val="0"/>
                <w:sz w:val="24"/>
              </w:rPr>
              <w:t>预期指标值</w:t>
            </w:r>
            <w:r>
              <w:rPr>
                <w:color w:val="000000"/>
                <w:kern w:val="0"/>
                <w:sz w:val="24"/>
              </w:rPr>
              <w:t>(</w:t>
            </w:r>
            <w:r>
              <w:rPr>
                <w:rFonts w:hAnsi="宋体"/>
                <w:color w:val="000000"/>
                <w:kern w:val="0"/>
                <w:sz w:val="24"/>
              </w:rPr>
              <w:t>包含数字及文字描述</w:t>
            </w:r>
            <w:r>
              <w:rPr>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rFonts w:hAnsi="宋体"/>
                <w:color w:val="000000"/>
                <w:kern w:val="0"/>
                <w:sz w:val="24"/>
              </w:rPr>
              <w:t>实际完成指标值</w:t>
            </w:r>
            <w:r>
              <w:rPr>
                <w:color w:val="000000"/>
                <w:kern w:val="0"/>
                <w:sz w:val="24"/>
              </w:rPr>
              <w:t>(</w:t>
            </w:r>
            <w:r>
              <w:rPr>
                <w:rFonts w:hAnsi="宋体"/>
                <w:color w:val="000000"/>
                <w:kern w:val="0"/>
                <w:sz w:val="24"/>
              </w:rPr>
              <w:t>包含数字及文字描述</w:t>
            </w:r>
            <w:r>
              <w:rPr>
                <w:color w:val="000000"/>
                <w:kern w:val="0"/>
                <w:sz w:val="24"/>
              </w:rPr>
              <w:t>)</w:t>
            </w:r>
          </w:p>
        </w:tc>
      </w:tr>
      <w:tr>
        <w:tblPrEx>
          <w:tblLayout w:type="fixed"/>
          <w:tblCellMar>
            <w:top w:w="0" w:type="dxa"/>
            <w:left w:w="0" w:type="dxa"/>
            <w:bottom w:w="0" w:type="dxa"/>
            <w:right w:w="0" w:type="dxa"/>
          </w:tblCellMar>
        </w:tblPrEx>
        <w:trPr>
          <w:trHeight w:val="953" w:hRule="atLeast"/>
        </w:trPr>
        <w:tc>
          <w:tcPr>
            <w:tcW w:w="866" w:type="dxa"/>
            <w:vMerge w:val="continue"/>
            <w:tcBorders>
              <w:left w:val="single" w:color="000000" w:sz="4" w:space="0"/>
              <w:right w:val="single" w:color="000000" w:sz="4" w:space="0"/>
            </w:tcBorders>
            <w:vAlign w:val="center"/>
          </w:tcPr>
          <w:p>
            <w:pPr>
              <w:widowControl/>
              <w:jc w:val="left"/>
              <w:rPr>
                <w:color w:val="000000"/>
                <w:sz w:val="24"/>
              </w:rPr>
            </w:pPr>
          </w:p>
        </w:tc>
        <w:tc>
          <w:tcPr>
            <w:tcW w:w="734" w:type="dxa"/>
            <w:vMerge w:val="restart"/>
            <w:tcBorders>
              <w:top w:val="single" w:color="000000" w:sz="4" w:space="0"/>
              <w:left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rFonts w:hAnsi="宋体"/>
                <w:color w:val="000000"/>
                <w:kern w:val="0"/>
                <w:sz w:val="24"/>
              </w:rPr>
              <w:t>项目完成指标</w:t>
            </w:r>
          </w:p>
        </w:tc>
        <w:tc>
          <w:tcPr>
            <w:tcW w:w="1025" w:type="dxa"/>
            <w:vMerge w:val="restart"/>
            <w:tcBorders>
              <w:top w:val="single" w:color="000000" w:sz="4" w:space="0"/>
              <w:left w:val="single" w:color="000000" w:sz="4" w:space="0"/>
              <w:right w:val="single" w:color="000000" w:sz="4" w:space="0"/>
            </w:tcBorders>
            <w:tcMar>
              <w:top w:w="15" w:type="dxa"/>
              <w:left w:w="15" w:type="dxa"/>
              <w:bottom w:w="0" w:type="dxa"/>
              <w:right w:w="15" w:type="dxa"/>
            </w:tcMar>
            <w:vAlign w:val="center"/>
          </w:tcPr>
          <w:p>
            <w:pPr>
              <w:textAlignment w:val="center"/>
              <w:rPr>
                <w:color w:val="000000"/>
                <w:sz w:val="24"/>
              </w:rPr>
            </w:pPr>
            <w:r>
              <w:rPr>
                <w:color w:val="000000"/>
                <w:sz w:val="24"/>
              </w:rPr>
              <w:t>数量指标</w:t>
            </w:r>
          </w:p>
        </w:tc>
        <w:tc>
          <w:tcPr>
            <w:tcW w:w="2493"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color w:val="000000"/>
                <w:sz w:val="24"/>
              </w:rPr>
            </w:pPr>
            <w:r>
              <w:rPr>
                <w:color w:val="000000"/>
                <w:sz w:val="24"/>
              </w:rPr>
              <w:t>电子政务外网光纤租赁</w:t>
            </w:r>
          </w:p>
        </w:tc>
        <w:tc>
          <w:tcPr>
            <w:tcW w:w="2293"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color w:val="000000"/>
                <w:sz w:val="24"/>
              </w:rPr>
            </w:pPr>
            <w:r>
              <w:rPr>
                <w:color w:val="000000"/>
                <w:sz w:val="24"/>
              </w:rPr>
              <w:t>全市85家单位提供电子政务外网专用光纤的传输服务。</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color w:val="000000"/>
                <w:sz w:val="24"/>
              </w:rPr>
            </w:pPr>
            <w:r>
              <w:rPr>
                <w:color w:val="000000"/>
                <w:sz w:val="24"/>
              </w:rPr>
              <w:t>已完成。</w:t>
            </w:r>
          </w:p>
        </w:tc>
      </w:tr>
      <w:tr>
        <w:tblPrEx>
          <w:tblLayout w:type="fixed"/>
          <w:tblCellMar>
            <w:top w:w="0" w:type="dxa"/>
            <w:left w:w="0" w:type="dxa"/>
            <w:bottom w:w="0" w:type="dxa"/>
            <w:right w:w="0" w:type="dxa"/>
          </w:tblCellMar>
        </w:tblPrEx>
        <w:trPr>
          <w:trHeight w:val="1297" w:hRule="atLeast"/>
        </w:trPr>
        <w:tc>
          <w:tcPr>
            <w:tcW w:w="866" w:type="dxa"/>
            <w:vMerge w:val="continue"/>
            <w:tcBorders>
              <w:left w:val="single" w:color="000000" w:sz="4" w:space="0"/>
              <w:right w:val="single" w:color="000000" w:sz="4" w:space="0"/>
            </w:tcBorders>
            <w:vAlign w:val="center"/>
          </w:tcPr>
          <w:p>
            <w:pPr>
              <w:widowControl/>
              <w:jc w:val="left"/>
              <w:rPr>
                <w:color w:val="000000"/>
                <w:sz w:val="24"/>
              </w:rPr>
            </w:pPr>
          </w:p>
        </w:tc>
        <w:tc>
          <w:tcPr>
            <w:tcW w:w="734" w:type="dxa"/>
            <w:vMerge w:val="continue"/>
            <w:tcBorders>
              <w:left w:val="single" w:color="000000" w:sz="4" w:space="0"/>
              <w:right w:val="single" w:color="000000" w:sz="4" w:space="0"/>
            </w:tcBorders>
            <w:tcMar>
              <w:top w:w="15" w:type="dxa"/>
              <w:left w:w="15" w:type="dxa"/>
              <w:bottom w:w="0" w:type="dxa"/>
              <w:right w:w="15" w:type="dxa"/>
            </w:tcMar>
            <w:vAlign w:val="center"/>
          </w:tcPr>
          <w:p>
            <w:pPr>
              <w:jc w:val="center"/>
              <w:textAlignment w:val="center"/>
              <w:rPr>
                <w:color w:val="000000"/>
                <w:sz w:val="24"/>
              </w:rPr>
            </w:pPr>
          </w:p>
        </w:tc>
        <w:tc>
          <w:tcPr>
            <w:tcW w:w="1025" w:type="dxa"/>
            <w:vMerge w:val="continue"/>
            <w:tcBorders>
              <w:left w:val="single" w:color="000000" w:sz="4" w:space="0"/>
              <w:right w:val="single" w:color="000000" w:sz="4" w:space="0"/>
            </w:tcBorders>
            <w:tcMar>
              <w:top w:w="15" w:type="dxa"/>
              <w:left w:w="15" w:type="dxa"/>
              <w:bottom w:w="0" w:type="dxa"/>
              <w:right w:w="15" w:type="dxa"/>
            </w:tcMar>
            <w:vAlign w:val="center"/>
          </w:tcPr>
          <w:p>
            <w:pPr>
              <w:jc w:val="center"/>
              <w:textAlignment w:val="center"/>
              <w:rPr>
                <w:color w:val="000000"/>
                <w:sz w:val="24"/>
              </w:rPr>
            </w:pPr>
          </w:p>
        </w:tc>
        <w:tc>
          <w:tcPr>
            <w:tcW w:w="2493"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color w:val="000000"/>
                <w:sz w:val="24"/>
              </w:rPr>
            </w:pPr>
            <w:r>
              <w:rPr>
                <w:color w:val="000000"/>
                <w:sz w:val="24"/>
              </w:rPr>
              <w:t>电子政务内网光纤租赁费</w:t>
            </w:r>
          </w:p>
        </w:tc>
        <w:tc>
          <w:tcPr>
            <w:tcW w:w="2293"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color w:val="000000"/>
                <w:sz w:val="24"/>
              </w:rPr>
            </w:pPr>
            <w:r>
              <w:rPr>
                <w:color w:val="000000"/>
                <w:sz w:val="24"/>
              </w:rPr>
              <w:t>全市66家单位提供电子政务内网专用光纤的传输服务。</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color w:val="000000"/>
                <w:sz w:val="24"/>
              </w:rPr>
            </w:pPr>
            <w:r>
              <w:rPr>
                <w:color w:val="000000"/>
                <w:sz w:val="24"/>
              </w:rPr>
              <w:t>已完成。</w:t>
            </w:r>
          </w:p>
        </w:tc>
      </w:tr>
      <w:tr>
        <w:tblPrEx>
          <w:tblLayout w:type="fixed"/>
          <w:tblCellMar>
            <w:top w:w="0" w:type="dxa"/>
            <w:left w:w="0" w:type="dxa"/>
            <w:bottom w:w="0" w:type="dxa"/>
            <w:right w:w="0" w:type="dxa"/>
          </w:tblCellMar>
        </w:tblPrEx>
        <w:trPr>
          <w:trHeight w:val="1042" w:hRule="atLeast"/>
        </w:trPr>
        <w:tc>
          <w:tcPr>
            <w:tcW w:w="866" w:type="dxa"/>
            <w:vMerge w:val="continue"/>
            <w:tcBorders>
              <w:left w:val="single" w:color="000000" w:sz="4" w:space="0"/>
              <w:right w:val="single" w:color="000000" w:sz="4" w:space="0"/>
            </w:tcBorders>
            <w:vAlign w:val="center"/>
          </w:tcPr>
          <w:p>
            <w:pPr>
              <w:widowControl/>
              <w:jc w:val="left"/>
              <w:rPr>
                <w:color w:val="000000"/>
                <w:sz w:val="24"/>
              </w:rPr>
            </w:pPr>
          </w:p>
        </w:tc>
        <w:tc>
          <w:tcPr>
            <w:tcW w:w="734" w:type="dxa"/>
            <w:vMerge w:val="continue"/>
            <w:tcBorders>
              <w:left w:val="single" w:color="000000" w:sz="4" w:space="0"/>
              <w:right w:val="single" w:color="000000" w:sz="4" w:space="0"/>
            </w:tcBorders>
            <w:tcMar>
              <w:top w:w="15" w:type="dxa"/>
              <w:left w:w="15" w:type="dxa"/>
              <w:bottom w:w="0" w:type="dxa"/>
              <w:right w:w="15" w:type="dxa"/>
            </w:tcMar>
            <w:vAlign w:val="center"/>
          </w:tcPr>
          <w:p>
            <w:pPr>
              <w:jc w:val="center"/>
              <w:textAlignment w:val="center"/>
              <w:rPr>
                <w:color w:val="000000"/>
                <w:sz w:val="24"/>
              </w:rPr>
            </w:pPr>
          </w:p>
        </w:tc>
        <w:tc>
          <w:tcPr>
            <w:tcW w:w="1025" w:type="dxa"/>
            <w:vMerge w:val="continue"/>
            <w:tcBorders>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p>
        </w:tc>
        <w:tc>
          <w:tcPr>
            <w:tcW w:w="2493"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color w:val="000000"/>
                <w:sz w:val="24"/>
              </w:rPr>
            </w:pPr>
            <w:r>
              <w:rPr>
                <w:color w:val="000000"/>
                <w:sz w:val="24"/>
              </w:rPr>
              <w:t>互联网固定IP地址租赁费</w:t>
            </w:r>
          </w:p>
        </w:tc>
        <w:tc>
          <w:tcPr>
            <w:tcW w:w="2293"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color w:val="000000"/>
                <w:sz w:val="24"/>
              </w:rPr>
            </w:pPr>
            <w:r>
              <w:rPr>
                <w:color w:val="000000"/>
                <w:sz w:val="24"/>
              </w:rPr>
              <w:t>租凭30个互联网固定IP地址为攀枝花市人民政府门户网站系统及各部门托管服务器使用</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color w:val="000000"/>
                <w:sz w:val="24"/>
              </w:rPr>
            </w:pPr>
            <w:r>
              <w:rPr>
                <w:color w:val="000000"/>
                <w:sz w:val="24"/>
              </w:rPr>
              <w:t>已完成。</w:t>
            </w:r>
          </w:p>
        </w:tc>
      </w:tr>
      <w:tr>
        <w:tblPrEx>
          <w:tblLayout w:type="fixed"/>
          <w:tblCellMar>
            <w:top w:w="0" w:type="dxa"/>
            <w:left w:w="0" w:type="dxa"/>
            <w:bottom w:w="0" w:type="dxa"/>
            <w:right w:w="0" w:type="dxa"/>
          </w:tblCellMar>
        </w:tblPrEx>
        <w:trPr>
          <w:trHeight w:val="1285" w:hRule="atLeast"/>
        </w:trPr>
        <w:tc>
          <w:tcPr>
            <w:tcW w:w="866" w:type="dxa"/>
            <w:vMerge w:val="continue"/>
            <w:tcBorders>
              <w:left w:val="single" w:color="000000" w:sz="4" w:space="0"/>
              <w:bottom w:val="single" w:color="000000" w:sz="4" w:space="0"/>
              <w:right w:val="single" w:color="000000" w:sz="4" w:space="0"/>
            </w:tcBorders>
            <w:vAlign w:val="center"/>
          </w:tcPr>
          <w:p>
            <w:pPr>
              <w:widowControl/>
              <w:jc w:val="left"/>
              <w:rPr>
                <w:color w:val="000000"/>
                <w:sz w:val="24"/>
              </w:rPr>
            </w:pPr>
          </w:p>
        </w:tc>
        <w:tc>
          <w:tcPr>
            <w:tcW w:w="734" w:type="dxa"/>
            <w:vMerge w:val="continue"/>
            <w:tcBorders>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kern w:val="0"/>
                <w:sz w:val="24"/>
              </w:rPr>
            </w:pP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color w:val="000000"/>
                <w:sz w:val="24"/>
              </w:rPr>
              <w:t>质量指标</w:t>
            </w:r>
          </w:p>
        </w:tc>
        <w:tc>
          <w:tcPr>
            <w:tcW w:w="2493"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color w:val="000000"/>
                <w:sz w:val="24"/>
              </w:rPr>
            </w:pPr>
            <w:r>
              <w:rPr>
                <w:color w:val="000000"/>
                <w:sz w:val="24"/>
              </w:rPr>
              <w:t>电子政务外网传输，电子政务内网专用光纤，互联网固定IP地址租赁费</w:t>
            </w:r>
          </w:p>
        </w:tc>
        <w:tc>
          <w:tcPr>
            <w:tcW w:w="2293"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color w:val="000000"/>
                <w:sz w:val="24"/>
              </w:rPr>
            </w:pPr>
            <w:r>
              <w:rPr>
                <w:color w:val="000000"/>
                <w:sz w:val="24"/>
              </w:rPr>
              <w:t>保证光纤用户正常通信，保证攀枝花市人民政府门户网站系统。</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color w:val="000000"/>
                <w:sz w:val="24"/>
              </w:rPr>
            </w:pPr>
            <w:r>
              <w:rPr>
                <w:color w:val="000000"/>
                <w:sz w:val="24"/>
              </w:rPr>
              <w:t>有效保障了相关网站的正常使用。</w:t>
            </w:r>
          </w:p>
        </w:tc>
      </w:tr>
      <w:tr>
        <w:tblPrEx>
          <w:tblLayout w:type="fixed"/>
          <w:tblCellMar>
            <w:top w:w="0" w:type="dxa"/>
            <w:left w:w="0" w:type="dxa"/>
            <w:bottom w:w="0" w:type="dxa"/>
            <w:right w:w="0" w:type="dxa"/>
          </w:tblCellMar>
        </w:tblPrEx>
        <w:trPr>
          <w:trHeight w:val="1042" w:hRule="atLeast"/>
        </w:trPr>
        <w:tc>
          <w:tcPr>
            <w:tcW w:w="866" w:type="dxa"/>
            <w:vMerge w:val="restart"/>
            <w:tcBorders>
              <w:top w:val="single" w:color="000000" w:sz="4" w:space="0"/>
              <w:left w:val="single" w:color="000000" w:sz="4" w:space="0"/>
              <w:right w:val="single" w:color="000000" w:sz="4" w:space="0"/>
            </w:tcBorders>
            <w:vAlign w:val="center"/>
          </w:tcPr>
          <w:p>
            <w:pPr>
              <w:widowControl/>
              <w:jc w:val="center"/>
              <w:rPr>
                <w:color w:val="000000"/>
                <w:sz w:val="24"/>
              </w:rPr>
            </w:pPr>
            <w:r>
              <w:rPr>
                <w:rFonts w:hAnsi="宋体"/>
                <w:color w:val="000000"/>
                <w:sz w:val="24"/>
              </w:rPr>
              <w:t>绩效指标完成情况</w:t>
            </w:r>
          </w:p>
        </w:tc>
        <w:tc>
          <w:tcPr>
            <w:tcW w:w="734" w:type="dxa"/>
            <w:vMerge w:val="restart"/>
            <w:tcBorders>
              <w:top w:val="single" w:color="000000" w:sz="4" w:space="0"/>
              <w:left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rFonts w:hAnsi="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textAlignment w:val="center"/>
              <w:rPr>
                <w:color w:val="000000"/>
                <w:sz w:val="24"/>
              </w:rPr>
            </w:pPr>
            <w:r>
              <w:rPr>
                <w:color w:val="000000"/>
                <w:sz w:val="24"/>
              </w:rPr>
              <w:t>时效指标</w:t>
            </w:r>
          </w:p>
        </w:tc>
        <w:tc>
          <w:tcPr>
            <w:tcW w:w="2493"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color w:val="000000"/>
                <w:sz w:val="24"/>
              </w:rPr>
            </w:pPr>
            <w:r>
              <w:rPr>
                <w:color w:val="000000"/>
                <w:sz w:val="24"/>
              </w:rPr>
              <w:t>2019年1-12月</w:t>
            </w:r>
          </w:p>
        </w:tc>
        <w:tc>
          <w:tcPr>
            <w:tcW w:w="2293"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color w:val="000000"/>
                <w:sz w:val="24"/>
              </w:rPr>
            </w:pPr>
            <w:r>
              <w:rPr>
                <w:color w:val="000000"/>
                <w:sz w:val="24"/>
              </w:rPr>
              <w:t>按月支付</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color w:val="000000"/>
                <w:sz w:val="24"/>
              </w:rPr>
            </w:pPr>
            <w:r>
              <w:rPr>
                <w:color w:val="000000"/>
                <w:sz w:val="24"/>
              </w:rPr>
              <w:t>已支付完毕。</w:t>
            </w:r>
          </w:p>
        </w:tc>
      </w:tr>
      <w:tr>
        <w:tblPrEx>
          <w:tblLayout w:type="fixed"/>
          <w:tblCellMar>
            <w:top w:w="0" w:type="dxa"/>
            <w:left w:w="0" w:type="dxa"/>
            <w:bottom w:w="0" w:type="dxa"/>
            <w:right w:w="0" w:type="dxa"/>
          </w:tblCellMar>
        </w:tblPrEx>
        <w:trPr>
          <w:trHeight w:val="1042" w:hRule="atLeast"/>
        </w:trPr>
        <w:tc>
          <w:tcPr>
            <w:tcW w:w="866" w:type="dxa"/>
            <w:vMerge w:val="continue"/>
            <w:tcBorders>
              <w:left w:val="single" w:color="000000" w:sz="4" w:space="0"/>
              <w:right w:val="single" w:color="000000" w:sz="4" w:space="0"/>
            </w:tcBorders>
            <w:vAlign w:val="center"/>
          </w:tcPr>
          <w:p>
            <w:pPr>
              <w:widowControl/>
              <w:jc w:val="left"/>
              <w:rPr>
                <w:color w:val="000000"/>
                <w:sz w:val="24"/>
              </w:rPr>
            </w:pPr>
          </w:p>
        </w:tc>
        <w:tc>
          <w:tcPr>
            <w:tcW w:w="734" w:type="dxa"/>
            <w:vMerge w:val="continue"/>
            <w:tcBorders>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color w:val="000000"/>
                <w:sz w:val="24"/>
              </w:rPr>
              <w:t>成本指标</w:t>
            </w:r>
          </w:p>
        </w:tc>
        <w:tc>
          <w:tcPr>
            <w:tcW w:w="2493"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color w:val="000000"/>
                <w:sz w:val="24"/>
              </w:rPr>
            </w:pPr>
            <w:r>
              <w:rPr>
                <w:color w:val="000000"/>
                <w:sz w:val="24"/>
              </w:rPr>
              <w:t>电子政务外网光纤租赁费，电子政务内网光纤租赁费，互联网固定IP地址租赁费，</w:t>
            </w:r>
          </w:p>
        </w:tc>
        <w:tc>
          <w:tcPr>
            <w:tcW w:w="2293"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color w:val="000000"/>
                <w:sz w:val="24"/>
              </w:rPr>
            </w:pPr>
            <w:r>
              <w:rPr>
                <w:color w:val="000000"/>
                <w:sz w:val="24"/>
              </w:rPr>
              <w:t>全市集中付费光纤租赁费130万。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color w:val="000000"/>
                <w:sz w:val="24"/>
              </w:rPr>
            </w:pPr>
            <w:r>
              <w:rPr>
                <w:color w:val="000000"/>
                <w:sz w:val="24"/>
              </w:rPr>
              <w:t>支付完毕。</w:t>
            </w:r>
          </w:p>
        </w:tc>
      </w:tr>
      <w:tr>
        <w:tblPrEx>
          <w:tblLayout w:type="fixed"/>
          <w:tblCellMar>
            <w:top w:w="0" w:type="dxa"/>
            <w:left w:w="0" w:type="dxa"/>
            <w:bottom w:w="0" w:type="dxa"/>
            <w:right w:w="0" w:type="dxa"/>
          </w:tblCellMar>
        </w:tblPrEx>
        <w:trPr>
          <w:trHeight w:val="1042" w:hRule="atLeast"/>
        </w:trPr>
        <w:tc>
          <w:tcPr>
            <w:tcW w:w="866" w:type="dxa"/>
            <w:vMerge w:val="continue"/>
            <w:tcBorders>
              <w:left w:val="single" w:color="000000" w:sz="4" w:space="0"/>
              <w:right w:val="single" w:color="000000" w:sz="4" w:space="0"/>
            </w:tcBorders>
            <w:vAlign w:val="center"/>
          </w:tcPr>
          <w:p>
            <w:pPr>
              <w:widowControl/>
              <w:jc w:val="left"/>
              <w:rPr>
                <w:color w:val="000000"/>
                <w:sz w:val="24"/>
              </w:rPr>
            </w:pPr>
          </w:p>
        </w:tc>
        <w:tc>
          <w:tcPr>
            <w:tcW w:w="73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rFonts w:hAnsi="宋体"/>
                <w:color w:val="000000"/>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color w:val="000000"/>
                <w:sz w:val="24"/>
              </w:rPr>
              <w:t>社会效益指标</w:t>
            </w:r>
          </w:p>
        </w:tc>
        <w:tc>
          <w:tcPr>
            <w:tcW w:w="2493"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color w:val="000000"/>
                <w:sz w:val="24"/>
              </w:rPr>
            </w:pPr>
            <w:r>
              <w:rPr>
                <w:color w:val="000000"/>
                <w:sz w:val="24"/>
              </w:rPr>
              <w:t>保障全市党政机关办公需要</w:t>
            </w:r>
          </w:p>
        </w:tc>
        <w:tc>
          <w:tcPr>
            <w:tcW w:w="2293"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color w:val="000000"/>
                <w:sz w:val="24"/>
              </w:rPr>
            </w:pPr>
            <w:r>
              <w:rPr>
                <w:color w:val="000000"/>
                <w:sz w:val="24"/>
              </w:rPr>
              <w:t>保障全市党政机关办公需要。</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color w:val="000000"/>
                <w:sz w:val="24"/>
              </w:rPr>
            </w:pPr>
            <w:r>
              <w:rPr>
                <w:color w:val="000000"/>
                <w:sz w:val="24"/>
              </w:rPr>
              <w:t>保障全市党政机关办公需要。</w:t>
            </w:r>
          </w:p>
        </w:tc>
      </w:tr>
      <w:tr>
        <w:tblPrEx>
          <w:tblLayout w:type="fixed"/>
          <w:tblCellMar>
            <w:top w:w="0" w:type="dxa"/>
            <w:left w:w="0" w:type="dxa"/>
            <w:bottom w:w="0" w:type="dxa"/>
            <w:right w:w="0" w:type="dxa"/>
          </w:tblCellMar>
        </w:tblPrEx>
        <w:trPr>
          <w:trHeight w:val="1050" w:hRule="atLeast"/>
        </w:trPr>
        <w:tc>
          <w:tcPr>
            <w:tcW w:w="866" w:type="dxa"/>
            <w:vMerge w:val="continue"/>
            <w:tcBorders>
              <w:left w:val="single" w:color="000000" w:sz="4" w:space="0"/>
              <w:bottom w:val="single" w:color="000000" w:sz="4" w:space="0"/>
              <w:right w:val="single" w:color="000000" w:sz="4" w:space="0"/>
            </w:tcBorders>
            <w:vAlign w:val="center"/>
          </w:tcPr>
          <w:p>
            <w:pPr>
              <w:widowControl/>
              <w:jc w:val="left"/>
              <w:rPr>
                <w:color w:val="000000"/>
                <w:sz w:val="24"/>
              </w:rPr>
            </w:pPr>
          </w:p>
        </w:tc>
        <w:tc>
          <w:tcPr>
            <w:tcW w:w="73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rFonts w:hAnsi="宋体"/>
                <w:color w:val="000000"/>
                <w:kern w:val="0"/>
                <w:sz w:val="24"/>
              </w:rPr>
              <w:t>满意度指标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color w:val="000000"/>
                <w:sz w:val="24"/>
              </w:rPr>
            </w:pPr>
            <w:r>
              <w:rPr>
                <w:color w:val="000000"/>
                <w:sz w:val="24"/>
              </w:rPr>
              <w:t>服务对象满意度指标 。</w:t>
            </w:r>
          </w:p>
        </w:tc>
        <w:tc>
          <w:tcPr>
            <w:tcW w:w="2493"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textAlignment w:val="center"/>
              <w:rPr>
                <w:color w:val="000000"/>
                <w:sz w:val="24"/>
              </w:rPr>
            </w:pPr>
            <w:r>
              <w:rPr>
                <w:color w:val="000000"/>
                <w:sz w:val="24"/>
              </w:rPr>
              <w:t>用户满意度基本满意以上</w:t>
            </w:r>
          </w:p>
        </w:tc>
        <w:tc>
          <w:tcPr>
            <w:tcW w:w="2293"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textAlignment w:val="center"/>
              <w:rPr>
                <w:color w:val="000000"/>
                <w:sz w:val="24"/>
              </w:rPr>
            </w:pPr>
            <w:r>
              <w:rPr>
                <w:color w:val="000000"/>
                <w:sz w:val="24"/>
              </w:rPr>
              <w:t>用户满意度达基本满意及以上。</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textAlignment w:val="center"/>
              <w:rPr>
                <w:color w:val="000000"/>
                <w:sz w:val="24"/>
              </w:rPr>
            </w:pPr>
            <w:r>
              <w:rPr>
                <w:color w:val="000000"/>
                <w:sz w:val="24"/>
              </w:rPr>
              <w:t>满意用户满意度达基本满意及以上。</w:t>
            </w:r>
          </w:p>
        </w:tc>
      </w:tr>
    </w:tbl>
    <w:p>
      <w:pPr>
        <w:spacing w:line="600" w:lineRule="exact"/>
        <w:ind w:firstLine="320" w:firstLineChars="100"/>
        <w:rPr>
          <w:rFonts w:eastAsia="楷体"/>
          <w:sz w:val="32"/>
          <w:szCs w:val="32"/>
        </w:rPr>
      </w:pPr>
      <w:r>
        <w:rPr>
          <w:rFonts w:hint="eastAsia" w:hAnsi="楷体" w:eastAsia="楷体"/>
          <w:bCs/>
          <w:sz w:val="32"/>
          <w:szCs w:val="32"/>
        </w:rPr>
        <w:t>（三）</w:t>
      </w:r>
      <w:r>
        <w:rPr>
          <w:rFonts w:hAnsi="楷体" w:eastAsia="楷体"/>
          <w:bCs/>
          <w:sz w:val="32"/>
          <w:szCs w:val="32"/>
        </w:rPr>
        <w:t>部门开展绩效评价结果。</w:t>
      </w:r>
    </w:p>
    <w:p>
      <w:pPr>
        <w:spacing w:line="600" w:lineRule="exact"/>
        <w:ind w:firstLine="640" w:firstLineChars="200"/>
        <w:jc w:val="left"/>
        <w:rPr>
          <w:rFonts w:eastAsia="仿宋_GB2312"/>
          <w:sz w:val="32"/>
          <w:szCs w:val="32"/>
        </w:rPr>
      </w:pPr>
      <w:r>
        <w:rPr>
          <w:rFonts w:hAnsi="仿宋_GB2312" w:eastAsia="仿宋_GB2312"/>
          <w:sz w:val="32"/>
          <w:szCs w:val="32"/>
        </w:rPr>
        <w:t>本部门按要求对</w:t>
      </w:r>
      <w:r>
        <w:rPr>
          <w:rFonts w:eastAsia="仿宋_GB2312"/>
          <w:sz w:val="32"/>
          <w:szCs w:val="32"/>
        </w:rPr>
        <w:t>2018</w:t>
      </w:r>
      <w:r>
        <w:rPr>
          <w:rFonts w:hAnsi="仿宋_GB2312" w:eastAsia="仿宋_GB2312"/>
          <w:sz w:val="32"/>
          <w:szCs w:val="32"/>
        </w:rPr>
        <w:t>年部门整体支出绩效评价情况开展自评，《</w:t>
      </w:r>
      <w:r>
        <w:rPr>
          <w:rFonts w:eastAsia="仿宋_GB2312"/>
          <w:sz w:val="32"/>
          <w:szCs w:val="32"/>
        </w:rPr>
        <w:t>2018</w:t>
      </w:r>
      <w:r>
        <w:rPr>
          <w:rFonts w:hAnsi="仿宋_GB2312" w:eastAsia="仿宋_GB2312"/>
          <w:sz w:val="32"/>
          <w:szCs w:val="32"/>
        </w:rPr>
        <w:t>年度市委办公室部门预算整体绩效评价自评报告》见附件。</w:t>
      </w:r>
    </w:p>
    <w:p>
      <w:pPr>
        <w:spacing w:line="600" w:lineRule="exact"/>
        <w:ind w:firstLine="800" w:firstLineChars="250"/>
        <w:outlineLvl w:val="1"/>
        <w:rPr>
          <w:rStyle w:val="25"/>
          <w:rFonts w:ascii="Times New Roman" w:hAnsi="Times New Roman" w:eastAsia="黑体" w:cs="Times New Roman"/>
        </w:rPr>
      </w:pPr>
      <w:bookmarkStart w:id="50" w:name="_Toc15377221"/>
      <w:bookmarkStart w:id="51" w:name="_Toc15396612"/>
      <w:r>
        <w:rPr>
          <w:rFonts w:hAnsi="黑体" w:eastAsia="黑体"/>
          <w:color w:val="000000"/>
          <w:sz w:val="32"/>
          <w:szCs w:val="32"/>
        </w:rPr>
        <w:t>十</w:t>
      </w:r>
      <w:r>
        <w:rPr>
          <w:rStyle w:val="25"/>
          <w:rFonts w:ascii="Times New Roman" w:hAnsi="黑体" w:eastAsia="黑体" w:cs="Times New Roman"/>
        </w:rPr>
        <w:t>一、</w:t>
      </w:r>
      <w:r>
        <w:rPr>
          <w:rStyle w:val="25"/>
          <w:rFonts w:ascii="Times New Roman" w:hAnsi="黑体" w:eastAsia="黑体" w:cs="Times New Roman"/>
          <w:b w:val="0"/>
        </w:rPr>
        <w:t>其他重要事项的情况说明</w:t>
      </w:r>
      <w:bookmarkEnd w:id="50"/>
      <w:bookmarkEnd w:id="51"/>
    </w:p>
    <w:p>
      <w:pPr>
        <w:spacing w:line="600" w:lineRule="exact"/>
        <w:ind w:firstLine="640" w:firstLineChars="200"/>
        <w:outlineLvl w:val="2"/>
        <w:rPr>
          <w:rFonts w:eastAsia="楷体"/>
          <w:color w:val="000000"/>
          <w:sz w:val="32"/>
          <w:szCs w:val="32"/>
        </w:rPr>
      </w:pPr>
      <w:bookmarkStart w:id="52" w:name="_Toc15377222"/>
      <w:r>
        <w:rPr>
          <w:rFonts w:hAnsi="楷体" w:eastAsia="楷体"/>
          <w:color w:val="000000"/>
          <w:sz w:val="32"/>
          <w:szCs w:val="32"/>
        </w:rPr>
        <w:t>（一）机关运行经费支出情况</w:t>
      </w:r>
      <w:bookmarkEnd w:id="52"/>
    </w:p>
    <w:p>
      <w:pPr>
        <w:spacing w:line="600" w:lineRule="exact"/>
        <w:ind w:firstLine="640" w:firstLineChars="200"/>
        <w:rPr>
          <w:rFonts w:eastAsia="仿宋_GB2312"/>
          <w:color w:val="000000" w:themeColor="text1"/>
          <w:sz w:val="32"/>
          <w:szCs w:val="32"/>
        </w:rPr>
      </w:pPr>
      <w:r>
        <w:rPr>
          <w:rFonts w:eastAsia="仿宋_GB2312"/>
          <w:color w:val="000000"/>
          <w:sz w:val="32"/>
          <w:szCs w:val="32"/>
        </w:rPr>
        <w:t>2018年，市委办公室机关运行经费支出390.78万元，比</w:t>
      </w:r>
      <w:r>
        <w:rPr>
          <w:rFonts w:hint="eastAsia" w:eastAsia="仿宋_GB2312"/>
          <w:color w:val="000000"/>
          <w:sz w:val="32"/>
          <w:szCs w:val="32"/>
        </w:rPr>
        <w:t>上年</w:t>
      </w:r>
      <w:r>
        <w:rPr>
          <w:rFonts w:eastAsia="仿宋_GB2312"/>
          <w:color w:val="000000"/>
          <w:sz w:val="32"/>
          <w:szCs w:val="32"/>
        </w:rPr>
        <w:t>减少35.87万元，下降8.4%。</w:t>
      </w:r>
      <w:r>
        <w:rPr>
          <w:rFonts w:eastAsia="仿宋_GB2312"/>
          <w:color w:val="000000" w:themeColor="text1"/>
          <w:sz w:val="32"/>
          <w:szCs w:val="32"/>
        </w:rPr>
        <w:t>主要原因是按照要求，严格控制相关经费支出。</w:t>
      </w:r>
    </w:p>
    <w:p>
      <w:pPr>
        <w:autoSpaceDE w:val="0"/>
        <w:autoSpaceDN w:val="0"/>
        <w:adjustRightInd w:val="0"/>
        <w:spacing w:line="600" w:lineRule="exact"/>
        <w:ind w:firstLine="640" w:firstLineChars="200"/>
        <w:jc w:val="left"/>
        <w:outlineLvl w:val="2"/>
        <w:rPr>
          <w:rFonts w:eastAsia="楷体"/>
          <w:color w:val="000000"/>
          <w:sz w:val="32"/>
          <w:szCs w:val="32"/>
        </w:rPr>
      </w:pPr>
      <w:bookmarkStart w:id="53" w:name="_Toc15377223"/>
      <w:r>
        <w:rPr>
          <w:rFonts w:hAnsi="楷体" w:eastAsia="楷体"/>
          <w:color w:val="000000"/>
          <w:sz w:val="32"/>
          <w:szCs w:val="32"/>
        </w:rPr>
        <w:t>（二）政府采购支出情况</w:t>
      </w:r>
      <w:bookmarkEnd w:id="53"/>
    </w:p>
    <w:p>
      <w:pPr>
        <w:spacing w:line="600" w:lineRule="exact"/>
        <w:ind w:firstLine="640" w:firstLineChars="200"/>
        <w:rPr>
          <w:rFonts w:eastAsia="仿宋_GB2312"/>
          <w:color w:val="000000"/>
          <w:sz w:val="32"/>
          <w:szCs w:val="32"/>
        </w:rPr>
      </w:pPr>
      <w:r>
        <w:rPr>
          <w:rFonts w:eastAsia="仿宋_GB2312"/>
          <w:color w:val="000000"/>
          <w:sz w:val="32"/>
          <w:szCs w:val="32"/>
        </w:rPr>
        <w:t>2018年，市委办公室政府采购支出总额74.6万元，全部为货物类支出。</w:t>
      </w:r>
    </w:p>
    <w:p>
      <w:pPr>
        <w:autoSpaceDE w:val="0"/>
        <w:autoSpaceDN w:val="0"/>
        <w:adjustRightInd w:val="0"/>
        <w:spacing w:line="600" w:lineRule="exact"/>
        <w:ind w:firstLine="640" w:firstLineChars="200"/>
        <w:jc w:val="left"/>
        <w:outlineLvl w:val="2"/>
        <w:rPr>
          <w:rFonts w:eastAsia="楷体"/>
          <w:color w:val="000000"/>
          <w:sz w:val="32"/>
          <w:szCs w:val="32"/>
        </w:rPr>
      </w:pPr>
      <w:bookmarkStart w:id="54" w:name="_Toc15377224"/>
      <w:r>
        <w:rPr>
          <w:rFonts w:hAnsi="楷体" w:eastAsia="楷体"/>
          <w:color w:val="000000"/>
          <w:sz w:val="32"/>
          <w:szCs w:val="32"/>
        </w:rPr>
        <w:t>（三）国有资产占有使用情况</w:t>
      </w:r>
      <w:bookmarkEnd w:id="54"/>
    </w:p>
    <w:p>
      <w:pPr>
        <w:autoSpaceDE w:val="0"/>
        <w:autoSpaceDN w:val="0"/>
        <w:adjustRightInd w:val="0"/>
        <w:spacing w:line="600" w:lineRule="exact"/>
        <w:ind w:firstLine="640" w:firstLineChars="200"/>
        <w:jc w:val="left"/>
        <w:rPr>
          <w:rFonts w:eastAsia="仿宋_GB2312"/>
          <w:color w:val="000000"/>
          <w:sz w:val="32"/>
          <w:szCs w:val="32"/>
        </w:rPr>
      </w:pPr>
      <w:r>
        <w:rPr>
          <w:rFonts w:eastAsia="仿宋_GB2312"/>
          <w:color w:val="000000"/>
          <w:sz w:val="32"/>
          <w:szCs w:val="32"/>
        </w:rPr>
        <w:t>截至2018年12月31日，市委办公室共有车辆11辆，其中：部级领导干部用车1辆、机要通信用车2辆、应急保障用车4辆、特种专业技术用车1辆。</w:t>
      </w:r>
      <w:r>
        <w:rPr>
          <w:rFonts w:eastAsia="仿宋_GB2312"/>
          <w:color w:val="000000" w:themeColor="text1"/>
          <w:sz w:val="32"/>
          <w:szCs w:val="32"/>
        </w:rPr>
        <w:t>单价100</w:t>
      </w:r>
      <w:r>
        <w:rPr>
          <w:rFonts w:eastAsia="仿宋_GB2312"/>
          <w:color w:val="000000"/>
          <w:sz w:val="32"/>
          <w:szCs w:val="32"/>
        </w:rPr>
        <w:t>万元以上专用设备0台（套）。</w:t>
      </w:r>
    </w:p>
    <w:p>
      <w:pPr>
        <w:widowControl/>
        <w:jc w:val="left"/>
        <w:rPr>
          <w:rFonts w:eastAsia="仿宋_GB2312"/>
          <w:b/>
          <w:color w:val="000000"/>
          <w:sz w:val="32"/>
          <w:szCs w:val="32"/>
        </w:rPr>
      </w:pPr>
      <w:r>
        <w:rPr>
          <w:rFonts w:eastAsia="仿宋_GB2312"/>
          <w:b/>
          <w:color w:val="000000"/>
          <w:sz w:val="32"/>
          <w:szCs w:val="32"/>
        </w:rPr>
        <w:br w:type="page"/>
      </w:r>
    </w:p>
    <w:p>
      <w:pPr>
        <w:numPr>
          <w:ilvl w:val="0"/>
          <w:numId w:val="5"/>
        </w:numPr>
        <w:spacing w:line="600" w:lineRule="exact"/>
        <w:ind w:firstLine="663" w:firstLineChars="150"/>
        <w:jc w:val="center"/>
        <w:outlineLvl w:val="0"/>
        <w:rPr>
          <w:rStyle w:val="24"/>
          <w:rFonts w:eastAsia="黑体"/>
          <w:b w:val="0"/>
        </w:rPr>
      </w:pPr>
      <w:bookmarkStart w:id="55" w:name="_Toc15396613"/>
      <w:bookmarkStart w:id="56" w:name="_Toc15377225"/>
      <w:r>
        <w:rPr>
          <w:rFonts w:hAnsi="黑体" w:eastAsia="黑体"/>
          <w:b/>
          <w:color w:val="000000"/>
          <w:sz w:val="44"/>
          <w:szCs w:val="44"/>
        </w:rPr>
        <w:t>名</w:t>
      </w:r>
      <w:r>
        <w:rPr>
          <w:rStyle w:val="24"/>
          <w:rFonts w:hAnsi="黑体" w:eastAsia="黑体"/>
          <w:b w:val="0"/>
        </w:rPr>
        <w:t>词解释</w:t>
      </w:r>
      <w:bookmarkEnd w:id="55"/>
      <w:bookmarkEnd w:id="56"/>
    </w:p>
    <w:p>
      <w:pPr>
        <w:spacing w:line="600" w:lineRule="exact"/>
        <w:jc w:val="left"/>
        <w:rPr>
          <w:b/>
          <w:color w:val="000000"/>
          <w:sz w:val="44"/>
          <w:szCs w:val="44"/>
        </w:rPr>
      </w:pPr>
    </w:p>
    <w:p>
      <w:pPr>
        <w:pStyle w:val="22"/>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1.财政拨款收入：指单位从同级财政部门取得的财政预算资金。</w:t>
      </w:r>
    </w:p>
    <w:p>
      <w:pPr>
        <w:pStyle w:val="22"/>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2.其他收入：指单位取得的除上述收入以外的各项收入。</w:t>
      </w:r>
    </w:p>
    <w:p>
      <w:pPr>
        <w:pStyle w:val="22"/>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3.年初结转和结余：指以前年度尚未完成、结转到本年按有关规定继续使用的资金。</w:t>
      </w:r>
    </w:p>
    <w:p>
      <w:pPr>
        <w:pStyle w:val="22"/>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4.年末结转和结余：指单位按有关规定结转到下年或以后年度继续使用的资金。</w:t>
      </w:r>
    </w:p>
    <w:p>
      <w:pPr>
        <w:pStyle w:val="22"/>
        <w:spacing w:line="560" w:lineRule="exact"/>
        <w:ind w:firstLine="640" w:firstLineChars="200"/>
        <w:rPr>
          <w:rStyle w:val="14"/>
          <w:rFonts w:ascii="Times New Roman" w:hAnsi="Times New Roman" w:cs="Times New Roman"/>
          <w:b w:val="0"/>
          <w:bCs/>
          <w:sz w:val="32"/>
          <w:szCs w:val="32"/>
        </w:rPr>
      </w:pPr>
      <w:r>
        <w:rPr>
          <w:rFonts w:ascii="Times New Roman" w:hAnsi="Times New Roman" w:eastAsia="仿宋_GB2312" w:cs="Times New Roman"/>
          <w:sz w:val="32"/>
          <w:szCs w:val="32"/>
        </w:rPr>
        <w:t>5.</w:t>
      </w:r>
      <w:r>
        <w:rPr>
          <w:rStyle w:val="14"/>
          <w:rFonts w:ascii="Times New Roman" w:hAnsi="仿宋" w:cs="Times New Roman"/>
          <w:b w:val="0"/>
          <w:bCs/>
          <w:sz w:val="32"/>
          <w:szCs w:val="32"/>
        </w:rPr>
        <w:t>一般公共服务（类）党委办公厅（室）及相关机构事务（款）行政运行（项）：反映行政单位（包括实行公务员管理的事业单位）的基本支出。</w:t>
      </w:r>
    </w:p>
    <w:p>
      <w:pPr>
        <w:pStyle w:val="22"/>
        <w:spacing w:line="560" w:lineRule="exact"/>
        <w:ind w:firstLine="640" w:firstLineChars="200"/>
        <w:rPr>
          <w:rStyle w:val="14"/>
          <w:rFonts w:ascii="Times New Roman" w:hAnsi="Times New Roman" w:cs="Times New Roman"/>
          <w:b w:val="0"/>
          <w:bCs/>
          <w:sz w:val="32"/>
          <w:szCs w:val="32"/>
        </w:rPr>
      </w:pPr>
      <w:r>
        <w:rPr>
          <w:rStyle w:val="14"/>
          <w:rFonts w:ascii="Times New Roman" w:hAnsi="Times New Roman" w:cs="Times New Roman"/>
          <w:b w:val="0"/>
          <w:bCs/>
          <w:sz w:val="32"/>
          <w:szCs w:val="32"/>
        </w:rPr>
        <w:t>6.</w:t>
      </w:r>
      <w:r>
        <w:rPr>
          <w:rStyle w:val="14"/>
          <w:rFonts w:ascii="Times New Roman" w:hAnsi="仿宋" w:cs="Times New Roman"/>
          <w:b w:val="0"/>
          <w:bCs/>
          <w:sz w:val="32"/>
          <w:szCs w:val="32"/>
        </w:rPr>
        <w:t>一般公共服务（类）党委办公厅（室）及相关机构事务（款）一般行政管理事务（项）：反映行政单位（包括实行公务员管理的事业单位）未单独设置相机科目的其他项目支出。</w:t>
      </w:r>
    </w:p>
    <w:p>
      <w:pPr>
        <w:pStyle w:val="22"/>
        <w:spacing w:line="560" w:lineRule="exact"/>
        <w:ind w:firstLine="640" w:firstLineChars="200"/>
        <w:rPr>
          <w:rStyle w:val="14"/>
          <w:rFonts w:ascii="Times New Roman" w:hAnsi="Times New Roman" w:cs="Times New Roman"/>
          <w:b w:val="0"/>
          <w:bCs/>
          <w:sz w:val="32"/>
          <w:szCs w:val="32"/>
        </w:rPr>
      </w:pPr>
      <w:r>
        <w:rPr>
          <w:rStyle w:val="14"/>
          <w:rFonts w:ascii="Times New Roman" w:hAnsi="Times New Roman" w:cs="Times New Roman"/>
          <w:b w:val="0"/>
          <w:bCs/>
          <w:sz w:val="32"/>
          <w:szCs w:val="32"/>
        </w:rPr>
        <w:t>7.</w:t>
      </w:r>
      <w:r>
        <w:rPr>
          <w:rStyle w:val="14"/>
          <w:rFonts w:ascii="Times New Roman" w:hAnsi="仿宋" w:cs="Times New Roman"/>
          <w:b w:val="0"/>
          <w:bCs/>
          <w:sz w:val="32"/>
          <w:szCs w:val="32"/>
        </w:rPr>
        <w:t>一般公共服务（类）党委办公厅（室）及相关机构事务（款）其他党委办公厅（室）及相关机构事务支出（项）：反映其他用于党委办公厅（室）及相关机构事务支出。</w:t>
      </w:r>
    </w:p>
    <w:p>
      <w:pPr>
        <w:pStyle w:val="22"/>
        <w:spacing w:line="560" w:lineRule="exact"/>
        <w:ind w:firstLine="640" w:firstLineChars="200"/>
        <w:rPr>
          <w:rStyle w:val="14"/>
          <w:rFonts w:ascii="Times New Roman" w:hAnsi="Times New Roman" w:cs="Times New Roman"/>
          <w:b w:val="0"/>
          <w:bCs/>
          <w:sz w:val="32"/>
          <w:szCs w:val="32"/>
        </w:rPr>
      </w:pPr>
      <w:r>
        <w:rPr>
          <w:rStyle w:val="14"/>
          <w:rFonts w:ascii="Times New Roman" w:hAnsi="Times New Roman" w:cs="Times New Roman"/>
          <w:b w:val="0"/>
          <w:bCs/>
          <w:sz w:val="32"/>
          <w:szCs w:val="32"/>
        </w:rPr>
        <w:t>8.</w:t>
      </w:r>
      <w:r>
        <w:rPr>
          <w:rStyle w:val="14"/>
          <w:rFonts w:ascii="Times New Roman" w:hAnsi="仿宋" w:cs="Times New Roman"/>
          <w:b w:val="0"/>
          <w:bCs/>
          <w:sz w:val="32"/>
          <w:szCs w:val="32"/>
        </w:rPr>
        <w:t>一般公共服务（类）组织事务（款）其他组织事务支出（项）：反映其他用于中国共产党组织部门的事务支出。</w:t>
      </w:r>
    </w:p>
    <w:p>
      <w:pPr>
        <w:pStyle w:val="22"/>
        <w:spacing w:line="560" w:lineRule="exact"/>
        <w:ind w:firstLine="640" w:firstLineChars="200"/>
        <w:rPr>
          <w:rStyle w:val="14"/>
          <w:rFonts w:ascii="Times New Roman" w:hAnsi="Times New Roman" w:cs="Times New Roman"/>
          <w:b w:val="0"/>
          <w:bCs/>
          <w:sz w:val="32"/>
          <w:szCs w:val="32"/>
        </w:rPr>
      </w:pPr>
      <w:r>
        <w:rPr>
          <w:rStyle w:val="14"/>
          <w:rFonts w:ascii="Times New Roman" w:hAnsi="Times New Roman" w:cs="Times New Roman"/>
          <w:b w:val="0"/>
          <w:bCs/>
          <w:sz w:val="32"/>
          <w:szCs w:val="32"/>
        </w:rPr>
        <w:t>9.</w:t>
      </w:r>
      <w:r>
        <w:rPr>
          <w:rStyle w:val="14"/>
          <w:rFonts w:ascii="Times New Roman" w:hAnsi="仿宋" w:cs="Times New Roman"/>
          <w:b w:val="0"/>
          <w:bCs/>
          <w:sz w:val="32"/>
          <w:szCs w:val="32"/>
        </w:rPr>
        <w:t>科学技术支出（类）科学技术管理事务（款）行政运行（项）：反映行政单位（包括实行公务员管理的事业单位）的基本支出。</w:t>
      </w:r>
    </w:p>
    <w:p>
      <w:pPr>
        <w:pStyle w:val="22"/>
        <w:spacing w:line="560" w:lineRule="exact"/>
        <w:ind w:firstLine="640" w:firstLineChars="200"/>
        <w:rPr>
          <w:rStyle w:val="14"/>
          <w:rFonts w:ascii="Times New Roman" w:hAnsi="Times New Roman" w:cs="Times New Roman"/>
          <w:b w:val="0"/>
          <w:bCs/>
          <w:sz w:val="32"/>
          <w:szCs w:val="32"/>
        </w:rPr>
      </w:pPr>
      <w:r>
        <w:rPr>
          <w:rStyle w:val="14"/>
          <w:rFonts w:ascii="Times New Roman" w:hAnsi="Times New Roman" w:cs="Times New Roman"/>
          <w:b w:val="0"/>
          <w:bCs/>
          <w:sz w:val="32"/>
          <w:szCs w:val="32"/>
        </w:rPr>
        <w:t>10.</w:t>
      </w:r>
      <w:r>
        <w:rPr>
          <w:rStyle w:val="14"/>
          <w:rFonts w:ascii="Times New Roman" w:hAnsi="仿宋" w:cs="Times New Roman"/>
          <w:b w:val="0"/>
          <w:bCs/>
          <w:sz w:val="32"/>
          <w:szCs w:val="32"/>
        </w:rPr>
        <w:t>科学技术支出（类）科学技术管理事务（款）其他科学技术管理事务支出（项）：反映其他用于科学技术管理事务方面的支出。</w:t>
      </w:r>
    </w:p>
    <w:p>
      <w:pPr>
        <w:pStyle w:val="22"/>
        <w:spacing w:line="560" w:lineRule="exact"/>
        <w:ind w:firstLine="640" w:firstLineChars="200"/>
        <w:rPr>
          <w:rStyle w:val="14"/>
          <w:rFonts w:ascii="Times New Roman" w:hAnsi="Times New Roman" w:cs="Times New Roman"/>
          <w:b w:val="0"/>
          <w:bCs/>
          <w:sz w:val="32"/>
          <w:szCs w:val="32"/>
        </w:rPr>
      </w:pPr>
      <w:r>
        <w:rPr>
          <w:rStyle w:val="14"/>
          <w:rFonts w:ascii="Times New Roman" w:hAnsi="Times New Roman" w:cs="Times New Roman"/>
          <w:b w:val="0"/>
          <w:bCs/>
          <w:sz w:val="32"/>
          <w:szCs w:val="32"/>
        </w:rPr>
        <w:t>11.</w:t>
      </w:r>
      <w:r>
        <w:rPr>
          <w:rStyle w:val="14"/>
          <w:rFonts w:ascii="Times New Roman" w:hAnsi="仿宋" w:cs="Times New Roman"/>
          <w:b w:val="0"/>
          <w:bCs/>
          <w:sz w:val="32"/>
          <w:szCs w:val="32"/>
        </w:rPr>
        <w:t>社会保障和就业（类）行政事业单位离退休（款）未归口管理的行政单位离退休（项）：反映未实现归口管理的行政单位（包括实行公务员管理的事业单位）开支的离退休支出。</w:t>
      </w:r>
    </w:p>
    <w:p>
      <w:pPr>
        <w:pStyle w:val="22"/>
        <w:spacing w:line="560" w:lineRule="exact"/>
        <w:ind w:firstLine="640" w:firstLineChars="200"/>
        <w:rPr>
          <w:rStyle w:val="14"/>
          <w:rFonts w:ascii="Times New Roman" w:hAnsi="Times New Roman" w:cs="Times New Roman"/>
          <w:b w:val="0"/>
          <w:bCs/>
          <w:sz w:val="32"/>
          <w:szCs w:val="32"/>
        </w:rPr>
      </w:pPr>
      <w:r>
        <w:rPr>
          <w:rStyle w:val="14"/>
          <w:rFonts w:ascii="Times New Roman" w:hAnsi="Times New Roman" w:cs="Times New Roman"/>
          <w:b w:val="0"/>
          <w:bCs/>
          <w:sz w:val="32"/>
          <w:szCs w:val="32"/>
        </w:rPr>
        <w:t>12.</w:t>
      </w:r>
      <w:r>
        <w:rPr>
          <w:rStyle w:val="14"/>
          <w:rFonts w:ascii="Times New Roman" w:hAnsi="仿宋" w:cs="Times New Roman"/>
          <w:b w:val="0"/>
          <w:bCs/>
          <w:sz w:val="32"/>
          <w:szCs w:val="32"/>
        </w:rPr>
        <w:t>社会保障和就业（类）行政事业单位离退休（款）机关事业单位基本养老保险缴费支出（项）：反映机关事业单位实施养老保险制度由单位缴纳的基本养老保险费支出。</w:t>
      </w:r>
    </w:p>
    <w:p>
      <w:pPr>
        <w:pStyle w:val="22"/>
        <w:spacing w:line="560" w:lineRule="exact"/>
        <w:ind w:firstLine="640" w:firstLineChars="200"/>
        <w:rPr>
          <w:rStyle w:val="14"/>
          <w:rFonts w:ascii="Times New Roman" w:hAnsi="Times New Roman" w:cs="Times New Roman"/>
          <w:b w:val="0"/>
          <w:bCs/>
          <w:sz w:val="32"/>
          <w:szCs w:val="32"/>
        </w:rPr>
      </w:pPr>
      <w:r>
        <w:rPr>
          <w:rStyle w:val="14"/>
          <w:rFonts w:ascii="Times New Roman" w:hAnsi="Times New Roman" w:cs="Times New Roman"/>
          <w:b w:val="0"/>
          <w:bCs/>
          <w:sz w:val="32"/>
          <w:szCs w:val="32"/>
        </w:rPr>
        <w:t>13.</w:t>
      </w:r>
      <w:r>
        <w:rPr>
          <w:rStyle w:val="14"/>
          <w:rFonts w:ascii="Times New Roman" w:hAnsi="仿宋" w:cs="Times New Roman"/>
          <w:b w:val="0"/>
          <w:bCs/>
          <w:sz w:val="32"/>
          <w:szCs w:val="32"/>
        </w:rPr>
        <w:t>社会保障和就业（类）行政事业单位离退休（款）机关事业单位职业年金缴费支出（项）：反映机关事业单位实施养老保险制度由单位缴纳的职业年金支出。</w:t>
      </w:r>
    </w:p>
    <w:p>
      <w:pPr>
        <w:pStyle w:val="22"/>
        <w:spacing w:line="560" w:lineRule="exact"/>
        <w:ind w:firstLine="640" w:firstLineChars="200"/>
        <w:rPr>
          <w:rStyle w:val="14"/>
          <w:rFonts w:ascii="Times New Roman" w:hAnsi="Times New Roman" w:cs="Times New Roman"/>
          <w:b w:val="0"/>
          <w:bCs/>
          <w:sz w:val="32"/>
          <w:szCs w:val="32"/>
        </w:rPr>
      </w:pPr>
      <w:r>
        <w:rPr>
          <w:rStyle w:val="14"/>
          <w:rFonts w:ascii="Times New Roman" w:hAnsi="Times New Roman" w:cs="Times New Roman"/>
          <w:b w:val="0"/>
          <w:bCs/>
          <w:sz w:val="32"/>
          <w:szCs w:val="32"/>
        </w:rPr>
        <w:t>14.</w:t>
      </w:r>
      <w:r>
        <w:rPr>
          <w:rStyle w:val="14"/>
          <w:rFonts w:ascii="Times New Roman" w:hAnsi="仿宋" w:cs="Times New Roman"/>
          <w:b w:val="0"/>
          <w:bCs/>
          <w:sz w:val="32"/>
          <w:szCs w:val="32"/>
        </w:rPr>
        <w:t>社会保障和就业（类）抚恤（款）死亡抚恤（项）：反应按规定用于烈士、牺牲、病故人员家属的一次性和定期抚恤金以及丧葬补助费。</w:t>
      </w:r>
    </w:p>
    <w:p>
      <w:pPr>
        <w:pStyle w:val="22"/>
        <w:spacing w:line="560" w:lineRule="exact"/>
        <w:ind w:firstLine="640" w:firstLineChars="200"/>
        <w:rPr>
          <w:rStyle w:val="14"/>
          <w:rFonts w:ascii="Times New Roman" w:hAnsi="Times New Roman" w:cs="Times New Roman"/>
          <w:b w:val="0"/>
          <w:bCs/>
          <w:sz w:val="32"/>
          <w:szCs w:val="32"/>
        </w:rPr>
      </w:pPr>
      <w:r>
        <w:rPr>
          <w:rStyle w:val="14"/>
          <w:rFonts w:ascii="Times New Roman" w:hAnsi="Times New Roman" w:cs="Times New Roman"/>
          <w:b w:val="0"/>
          <w:bCs/>
          <w:sz w:val="32"/>
          <w:szCs w:val="32"/>
        </w:rPr>
        <w:t>15.</w:t>
      </w:r>
      <w:r>
        <w:rPr>
          <w:rStyle w:val="14"/>
          <w:rFonts w:ascii="Times New Roman" w:hAnsi="仿宋" w:cs="Times New Roman"/>
          <w:b w:val="0"/>
          <w:bCs/>
          <w:sz w:val="32"/>
          <w:szCs w:val="32"/>
        </w:rPr>
        <w:t>社会保障和就业（类）社会福利（款）儿童福利（项）：反映对儿童提供福利服务方面的支出。</w:t>
      </w:r>
    </w:p>
    <w:p>
      <w:pPr>
        <w:pStyle w:val="22"/>
        <w:spacing w:line="560" w:lineRule="exact"/>
        <w:ind w:firstLine="640" w:firstLineChars="200"/>
        <w:rPr>
          <w:rStyle w:val="14"/>
          <w:rFonts w:ascii="Times New Roman" w:hAnsi="Times New Roman" w:cs="Times New Roman"/>
          <w:b w:val="0"/>
          <w:bCs/>
          <w:sz w:val="32"/>
          <w:szCs w:val="32"/>
        </w:rPr>
      </w:pPr>
      <w:r>
        <w:rPr>
          <w:rStyle w:val="14"/>
          <w:rFonts w:ascii="Times New Roman" w:hAnsi="Times New Roman" w:cs="Times New Roman"/>
          <w:b w:val="0"/>
          <w:bCs/>
          <w:sz w:val="32"/>
          <w:szCs w:val="32"/>
        </w:rPr>
        <w:t>16.</w:t>
      </w:r>
      <w:r>
        <w:rPr>
          <w:rStyle w:val="14"/>
          <w:rFonts w:ascii="Times New Roman" w:hAnsi="仿宋" w:cs="Times New Roman"/>
          <w:b w:val="0"/>
          <w:bCs/>
          <w:sz w:val="32"/>
          <w:szCs w:val="32"/>
        </w:rPr>
        <w:t>城乡社区支出（类）城乡社区公共设施（款）其他城乡社区公共设施支出（项）：反映其他用于城乡社区公共设施方面的支出。</w:t>
      </w:r>
    </w:p>
    <w:p>
      <w:pPr>
        <w:pStyle w:val="22"/>
        <w:spacing w:line="560" w:lineRule="exact"/>
        <w:ind w:firstLine="640" w:firstLineChars="200"/>
        <w:rPr>
          <w:rFonts w:ascii="Times New Roman" w:hAnsi="Times New Roman" w:cs="Times New Roman"/>
        </w:rPr>
      </w:pPr>
      <w:r>
        <w:rPr>
          <w:rStyle w:val="14"/>
          <w:rFonts w:ascii="Times New Roman" w:hAnsi="Times New Roman" w:cs="Times New Roman"/>
          <w:b w:val="0"/>
          <w:bCs/>
          <w:sz w:val="32"/>
          <w:szCs w:val="32"/>
        </w:rPr>
        <w:t>17.</w:t>
      </w:r>
      <w:r>
        <w:rPr>
          <w:rStyle w:val="14"/>
          <w:rFonts w:ascii="Times New Roman" w:hAnsi="仿宋" w:cs="Times New Roman"/>
          <w:b w:val="0"/>
          <w:bCs/>
          <w:sz w:val="32"/>
          <w:szCs w:val="32"/>
        </w:rPr>
        <w:t>住房保障支出（类）住房改革</w:t>
      </w:r>
      <w:r>
        <w:rPr>
          <w:rStyle w:val="14"/>
          <w:rFonts w:hint="eastAsia" w:ascii="Times New Roman" w:hAnsi="仿宋" w:cs="Times New Roman"/>
          <w:b w:val="0"/>
          <w:bCs/>
          <w:sz w:val="32"/>
          <w:szCs w:val="32"/>
          <w:lang w:eastAsia="zh-CN"/>
        </w:rPr>
        <w:t>支出</w:t>
      </w:r>
      <w:bookmarkStart w:id="75" w:name="_GoBack"/>
      <w:bookmarkEnd w:id="75"/>
      <w:r>
        <w:rPr>
          <w:rStyle w:val="14"/>
          <w:rFonts w:ascii="Times New Roman" w:hAnsi="仿宋" w:cs="Times New Roman"/>
          <w:b w:val="0"/>
          <w:bCs/>
          <w:sz w:val="32"/>
          <w:szCs w:val="32"/>
        </w:rPr>
        <w:t>（款）住房公积金（项）：反映行政事业单位按人力资源和社会保障部、财政部规定的基本工资和津贴补贴以及规定比例为职工缴纳的住房公积金。</w:t>
      </w:r>
    </w:p>
    <w:p>
      <w:pPr>
        <w:ind w:firstLine="640" w:firstLineChars="200"/>
        <w:rPr>
          <w:rFonts w:eastAsia="仿宋_GB2312"/>
          <w:color w:val="000000"/>
          <w:sz w:val="32"/>
          <w:szCs w:val="32"/>
        </w:rPr>
      </w:pPr>
      <w:r>
        <w:rPr>
          <w:rFonts w:eastAsia="仿宋_GB2312"/>
          <w:color w:val="000000"/>
          <w:sz w:val="32"/>
          <w:szCs w:val="32"/>
        </w:rPr>
        <w:t>18.基本支出：指为保障机构正常运转、完成日常工作任务而发生的人员支出和公用支出。</w:t>
      </w:r>
    </w:p>
    <w:p>
      <w:pPr>
        <w:ind w:firstLine="640" w:firstLineChars="200"/>
        <w:rPr>
          <w:rFonts w:eastAsia="仿宋_GB2312"/>
          <w:color w:val="000000"/>
          <w:sz w:val="32"/>
          <w:szCs w:val="32"/>
        </w:rPr>
      </w:pPr>
      <w:r>
        <w:rPr>
          <w:rFonts w:eastAsia="仿宋_GB2312"/>
          <w:color w:val="000000"/>
          <w:sz w:val="32"/>
          <w:szCs w:val="32"/>
        </w:rPr>
        <w:t>19.项目支出：指在基本支出之外为完成特定行政任务和事业发展目标所发生的支出。</w:t>
      </w:r>
    </w:p>
    <w:p>
      <w:pPr>
        <w:ind w:firstLine="640" w:firstLineChars="200"/>
        <w:rPr>
          <w:rFonts w:eastAsia="仿宋_GB2312"/>
          <w:sz w:val="32"/>
          <w:szCs w:val="32"/>
        </w:rPr>
      </w:pPr>
      <w:r>
        <w:rPr>
          <w:rFonts w:eastAsia="仿宋_GB2312"/>
          <w:color w:val="000000"/>
          <w:sz w:val="32"/>
          <w:szCs w:val="32"/>
        </w:rPr>
        <w:t>20.</w:t>
      </w:r>
      <w:r>
        <w:rPr>
          <w:rFonts w:eastAsia="仿宋_GB2312"/>
          <w:sz w:val="32"/>
          <w:szCs w:val="32"/>
        </w:rPr>
        <w:t>“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pStyle w:val="22"/>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21.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pStyle w:val="22"/>
        <w:spacing w:line="560" w:lineRule="exact"/>
        <w:ind w:firstLine="640" w:firstLineChars="200"/>
        <w:rPr>
          <w:rFonts w:ascii="Times New Roman" w:hAnsi="Times New Roman" w:eastAsia="仿宋_GB2312" w:cs="Times New Roman"/>
          <w:sz w:val="32"/>
          <w:szCs w:val="32"/>
        </w:rPr>
      </w:pPr>
    </w:p>
    <w:p>
      <w:pPr>
        <w:pStyle w:val="22"/>
        <w:spacing w:line="560" w:lineRule="exact"/>
        <w:ind w:firstLine="640" w:firstLineChars="200"/>
        <w:rPr>
          <w:rFonts w:ascii="Times New Roman" w:hAnsi="Times New Roman" w:eastAsia="仿宋_GB2312" w:cs="Times New Roman"/>
          <w:sz w:val="32"/>
          <w:szCs w:val="32"/>
        </w:rPr>
      </w:pPr>
    </w:p>
    <w:p>
      <w:pPr>
        <w:pStyle w:val="22"/>
        <w:spacing w:line="560" w:lineRule="exact"/>
        <w:ind w:firstLine="640" w:firstLineChars="200"/>
        <w:rPr>
          <w:rFonts w:ascii="Times New Roman" w:hAnsi="Times New Roman" w:eastAsia="仿宋_GB2312" w:cs="Times New Roman"/>
          <w:sz w:val="32"/>
          <w:szCs w:val="32"/>
        </w:rPr>
      </w:pPr>
    </w:p>
    <w:p>
      <w:pPr>
        <w:pStyle w:val="22"/>
        <w:spacing w:line="560" w:lineRule="exact"/>
        <w:ind w:firstLine="640" w:firstLineChars="200"/>
        <w:rPr>
          <w:rFonts w:ascii="Times New Roman" w:hAnsi="Times New Roman" w:eastAsia="仿宋_GB2312" w:cs="Times New Roman"/>
          <w:sz w:val="32"/>
          <w:szCs w:val="32"/>
        </w:rPr>
      </w:pPr>
    </w:p>
    <w:p>
      <w:pPr>
        <w:spacing w:line="600" w:lineRule="exact"/>
        <w:jc w:val="center"/>
        <w:outlineLvl w:val="0"/>
        <w:rPr>
          <w:rStyle w:val="24"/>
          <w:rFonts w:eastAsia="黑体"/>
          <w:b w:val="0"/>
        </w:rPr>
      </w:pPr>
      <w:bookmarkStart w:id="57" w:name="_Toc15396614"/>
      <w:bookmarkStart w:id="58" w:name="_Toc15377226"/>
      <w:r>
        <w:rPr>
          <w:rFonts w:hAnsi="黑体" w:eastAsia="黑体"/>
          <w:color w:val="000000"/>
          <w:sz w:val="44"/>
          <w:szCs w:val="44"/>
        </w:rPr>
        <w:t>第</w:t>
      </w:r>
      <w:r>
        <w:rPr>
          <w:rStyle w:val="24"/>
          <w:rFonts w:hAnsi="黑体" w:eastAsia="黑体"/>
          <w:b w:val="0"/>
        </w:rPr>
        <w:t>四部分</w:t>
      </w:r>
      <w:r>
        <w:rPr>
          <w:rStyle w:val="24"/>
          <w:rFonts w:eastAsia="黑体"/>
          <w:b w:val="0"/>
        </w:rPr>
        <w:t xml:space="preserve"> </w:t>
      </w:r>
      <w:r>
        <w:rPr>
          <w:rStyle w:val="24"/>
          <w:rFonts w:hAnsi="黑体" w:eastAsia="黑体"/>
          <w:b w:val="0"/>
        </w:rPr>
        <w:t>附件</w:t>
      </w:r>
      <w:bookmarkEnd w:id="57"/>
    </w:p>
    <w:p>
      <w:pPr>
        <w:pStyle w:val="3"/>
        <w:rPr>
          <w:rStyle w:val="24"/>
          <w:rFonts w:eastAsia="仿宋" w:cs="Times New Roman"/>
          <w:b w:val="0"/>
          <w:bCs w:val="0"/>
          <w:sz w:val="32"/>
          <w:szCs w:val="32"/>
        </w:rPr>
      </w:pPr>
      <w:bookmarkStart w:id="59" w:name="_Toc15396615"/>
      <w:r>
        <w:rPr>
          <w:rStyle w:val="24"/>
          <w:rFonts w:hAnsi="仿宋" w:eastAsia="仿宋" w:cs="Times New Roman"/>
          <w:b w:val="0"/>
          <w:bCs w:val="0"/>
          <w:sz w:val="32"/>
          <w:szCs w:val="32"/>
        </w:rPr>
        <w:t>附件</w:t>
      </w:r>
      <w:r>
        <w:rPr>
          <w:rStyle w:val="24"/>
          <w:rFonts w:eastAsia="仿宋" w:cs="Times New Roman"/>
          <w:b w:val="0"/>
          <w:bCs w:val="0"/>
          <w:sz w:val="32"/>
          <w:szCs w:val="32"/>
        </w:rPr>
        <w:t>1</w:t>
      </w:r>
      <w:bookmarkEnd w:id="59"/>
    </w:p>
    <w:p>
      <w:pPr>
        <w:spacing w:line="600" w:lineRule="exact"/>
        <w:jc w:val="center"/>
        <w:rPr>
          <w:rFonts w:eastAsia="方正小标宋_GBK"/>
          <w:sz w:val="44"/>
          <w:szCs w:val="44"/>
        </w:rPr>
      </w:pPr>
      <w:r>
        <w:rPr>
          <w:rFonts w:eastAsia="方正小标宋_GBK"/>
          <w:sz w:val="44"/>
          <w:szCs w:val="44"/>
        </w:rPr>
        <w:t>2018年度市委办公室部门预算</w:t>
      </w:r>
    </w:p>
    <w:p>
      <w:pPr>
        <w:spacing w:line="600" w:lineRule="exact"/>
        <w:jc w:val="center"/>
        <w:rPr>
          <w:rFonts w:eastAsia="方正小标宋_GBK"/>
          <w:sz w:val="44"/>
          <w:szCs w:val="44"/>
        </w:rPr>
      </w:pPr>
      <w:r>
        <w:rPr>
          <w:rFonts w:eastAsia="方正小标宋_GBK"/>
          <w:sz w:val="44"/>
          <w:szCs w:val="44"/>
        </w:rPr>
        <w:t>整体绩效评价自评报告</w:t>
      </w:r>
    </w:p>
    <w:p>
      <w:pPr>
        <w:spacing w:line="600" w:lineRule="exact"/>
        <w:jc w:val="left"/>
        <w:rPr>
          <w:rFonts w:eastAsia="仿宋_GB2312"/>
          <w:sz w:val="32"/>
          <w:szCs w:val="32"/>
        </w:rPr>
      </w:pPr>
    </w:p>
    <w:p>
      <w:pPr>
        <w:spacing w:line="600" w:lineRule="exact"/>
        <w:ind w:firstLine="640" w:firstLineChars="200"/>
        <w:jc w:val="left"/>
        <w:rPr>
          <w:rFonts w:eastAsia="黑体"/>
          <w:sz w:val="32"/>
          <w:szCs w:val="32"/>
        </w:rPr>
      </w:pPr>
      <w:r>
        <w:rPr>
          <w:rFonts w:eastAsia="黑体"/>
          <w:sz w:val="32"/>
          <w:szCs w:val="32"/>
        </w:rPr>
        <w:t>一、部门概况</w:t>
      </w:r>
    </w:p>
    <w:p>
      <w:pPr>
        <w:snapToGrid w:val="0"/>
        <w:spacing w:line="600" w:lineRule="exact"/>
        <w:ind w:firstLine="640" w:firstLineChars="200"/>
        <w:rPr>
          <w:rFonts w:eastAsia="楷体"/>
          <w:bCs/>
          <w:sz w:val="32"/>
          <w:szCs w:val="32"/>
        </w:rPr>
      </w:pPr>
      <w:r>
        <w:rPr>
          <w:rFonts w:eastAsia="楷体"/>
          <w:bCs/>
          <w:sz w:val="32"/>
          <w:szCs w:val="32"/>
        </w:rPr>
        <w:t>（一）主要职能</w:t>
      </w:r>
    </w:p>
    <w:p>
      <w:pPr>
        <w:spacing w:line="600" w:lineRule="exact"/>
        <w:ind w:firstLine="720" w:firstLineChars="225"/>
        <w:rPr>
          <w:rFonts w:eastAsia="仿宋"/>
          <w:sz w:val="32"/>
          <w:szCs w:val="32"/>
        </w:rPr>
      </w:pPr>
      <w:r>
        <w:rPr>
          <w:rFonts w:eastAsia="仿宋"/>
          <w:sz w:val="32"/>
          <w:szCs w:val="32"/>
        </w:rPr>
        <w:t>1.围绕省委和市委工作部署，收集信息、反映动态、综合调研并进行决策前的论证；承担市委重要文稿、部分市委文件的起草、修改和校核工作；负责中央和省委文件的签收、分发、管理等工作；负责市委日常文书的处理。</w:t>
      </w:r>
    </w:p>
    <w:p>
      <w:pPr>
        <w:spacing w:line="600" w:lineRule="exact"/>
        <w:ind w:firstLine="720" w:firstLineChars="225"/>
        <w:rPr>
          <w:rFonts w:eastAsia="仿宋"/>
          <w:sz w:val="32"/>
          <w:szCs w:val="32"/>
        </w:rPr>
      </w:pPr>
      <w:r>
        <w:rPr>
          <w:rFonts w:eastAsia="仿宋"/>
          <w:sz w:val="32"/>
          <w:szCs w:val="32"/>
        </w:rPr>
        <w:t>2.承担党代会、全委会、常委会、办公会和工作会等会务工作，督促检查议定事项的落实；参与其它有关会议的会务工作。</w:t>
      </w:r>
    </w:p>
    <w:p>
      <w:pPr>
        <w:spacing w:line="600" w:lineRule="exact"/>
        <w:ind w:firstLine="720" w:firstLineChars="225"/>
        <w:rPr>
          <w:rFonts w:eastAsia="仿宋"/>
          <w:sz w:val="32"/>
          <w:szCs w:val="32"/>
        </w:rPr>
      </w:pPr>
      <w:r>
        <w:rPr>
          <w:rFonts w:eastAsia="仿宋"/>
          <w:sz w:val="32"/>
          <w:szCs w:val="32"/>
        </w:rPr>
        <w:t>3.协助处理人民群众对市委和市委领导的来信来访。</w:t>
      </w:r>
    </w:p>
    <w:p>
      <w:pPr>
        <w:spacing w:line="600" w:lineRule="exact"/>
        <w:ind w:firstLine="720" w:firstLineChars="225"/>
        <w:rPr>
          <w:rFonts w:eastAsia="仿宋"/>
          <w:sz w:val="32"/>
          <w:szCs w:val="32"/>
        </w:rPr>
      </w:pPr>
      <w:r>
        <w:rPr>
          <w:rFonts w:eastAsia="仿宋"/>
          <w:sz w:val="32"/>
          <w:szCs w:val="32"/>
        </w:rPr>
        <w:t>4.承担本机关的机构编制、干部人事、劳动工资等工作；负责市委的公务接待工作。</w:t>
      </w:r>
    </w:p>
    <w:p>
      <w:pPr>
        <w:spacing w:line="600" w:lineRule="exact"/>
        <w:ind w:firstLine="720" w:firstLineChars="225"/>
        <w:rPr>
          <w:rFonts w:eastAsia="仿宋"/>
          <w:sz w:val="32"/>
          <w:szCs w:val="32"/>
        </w:rPr>
      </w:pPr>
      <w:r>
        <w:rPr>
          <w:rFonts w:eastAsia="仿宋"/>
          <w:sz w:val="32"/>
          <w:szCs w:val="32"/>
        </w:rPr>
        <w:t>5.管理市委办公室房产和其它固定资产；负责市委机关行政事业经费预算、使用计划、财务审计、基建计划及实施工作。</w:t>
      </w:r>
    </w:p>
    <w:p>
      <w:pPr>
        <w:spacing w:line="600" w:lineRule="exact"/>
        <w:ind w:firstLine="720" w:firstLineChars="225"/>
        <w:rPr>
          <w:rFonts w:eastAsia="仿宋"/>
          <w:sz w:val="32"/>
          <w:szCs w:val="32"/>
        </w:rPr>
      </w:pPr>
      <w:r>
        <w:rPr>
          <w:rFonts w:eastAsia="仿宋"/>
          <w:sz w:val="32"/>
          <w:szCs w:val="32"/>
        </w:rPr>
        <w:t>6.负责市委机关办公楼、宿舍区社会治安综合治理和安全防范工作，市级领导两栋住宅楼的公共服务管理和安全保卫工作；领导办公室机关工、青、妇等工作。</w:t>
      </w:r>
    </w:p>
    <w:p>
      <w:pPr>
        <w:spacing w:line="600" w:lineRule="exact"/>
        <w:ind w:firstLine="720" w:firstLineChars="225"/>
        <w:rPr>
          <w:rFonts w:eastAsia="仿宋"/>
          <w:sz w:val="32"/>
          <w:szCs w:val="32"/>
        </w:rPr>
      </w:pPr>
      <w:r>
        <w:rPr>
          <w:rFonts w:eastAsia="仿宋"/>
          <w:sz w:val="32"/>
          <w:szCs w:val="32"/>
        </w:rPr>
        <w:t>7.负责办公室离退休人员的管理、服务工作。</w:t>
      </w:r>
    </w:p>
    <w:p>
      <w:pPr>
        <w:spacing w:line="600" w:lineRule="exact"/>
        <w:ind w:firstLine="720" w:firstLineChars="225"/>
        <w:rPr>
          <w:rFonts w:eastAsia="仿宋"/>
          <w:sz w:val="32"/>
          <w:szCs w:val="32"/>
        </w:rPr>
      </w:pPr>
      <w:r>
        <w:rPr>
          <w:rFonts w:eastAsia="仿宋"/>
          <w:sz w:val="32"/>
          <w:szCs w:val="32"/>
        </w:rPr>
        <w:t>8.负责办公室机关党的思想、组织、作风建设和纪检。</w:t>
      </w:r>
    </w:p>
    <w:p>
      <w:pPr>
        <w:spacing w:line="600" w:lineRule="exact"/>
        <w:ind w:firstLine="720" w:firstLineChars="225"/>
        <w:rPr>
          <w:rFonts w:eastAsia="仿宋"/>
          <w:sz w:val="32"/>
          <w:szCs w:val="32"/>
        </w:rPr>
      </w:pPr>
      <w:r>
        <w:rPr>
          <w:rFonts w:eastAsia="仿宋"/>
          <w:sz w:val="32"/>
          <w:szCs w:val="32"/>
        </w:rPr>
        <w:t>9.负责全市党政、商用密码的管理、使用和执法检查工作；承担市密码工作领导小组和市国家密码管理委员会的日常工作；承担市委总值班室工作。</w:t>
      </w:r>
    </w:p>
    <w:p>
      <w:pPr>
        <w:snapToGrid w:val="0"/>
        <w:spacing w:line="600" w:lineRule="exact"/>
        <w:ind w:firstLine="640" w:firstLineChars="200"/>
        <w:rPr>
          <w:rFonts w:eastAsia="仿宋"/>
          <w:sz w:val="32"/>
          <w:szCs w:val="32"/>
        </w:rPr>
      </w:pPr>
      <w:r>
        <w:rPr>
          <w:rFonts w:eastAsia="仿宋"/>
          <w:sz w:val="32"/>
          <w:szCs w:val="32"/>
        </w:rPr>
        <w:t>10.</w:t>
      </w:r>
      <w:r>
        <w:rPr>
          <w:rFonts w:hAnsi="仿宋" w:eastAsia="仿宋"/>
          <w:sz w:val="32"/>
          <w:szCs w:val="32"/>
        </w:rPr>
        <w:t>市委党史研究室的主要职责是：贯彻落实省委有关党史工作的方针、政策和市委关于党史的重要指示；研究、拟定全市党史工作规划，并组织实施；负责全市重要党史资料的征集、整理、编纂和出版工作；研究中共攀枝花历史，总结党的历史经验，编写中共攀枝花地方史；编辑出版党史书刊；办好中共攀枝花市委机关刊物《攀枝花纪事》杂志；推动党史成果转化，开展党史、革命史、建设史、改革史的宣传教育和党史专题研究工作；组织党史工作经验交流，负责全市党史研究干部培训工作；指导区（县）委的党史业务工作；承办省委党史研究室和市委交办的其他工作。</w:t>
      </w:r>
    </w:p>
    <w:p>
      <w:pPr>
        <w:pStyle w:val="5"/>
        <w:adjustRightInd w:val="0"/>
        <w:snapToGrid w:val="0"/>
        <w:spacing w:before="93" w:line="600" w:lineRule="exact"/>
        <w:ind w:firstLine="672" w:firstLineChars="210"/>
        <w:outlineLvl w:val="2"/>
        <w:rPr>
          <w:rFonts w:ascii="Times New Roman" w:eastAsia="仿宋"/>
          <w:sz w:val="32"/>
          <w:szCs w:val="32"/>
        </w:rPr>
      </w:pPr>
      <w:r>
        <w:rPr>
          <w:rFonts w:ascii="Times New Roman" w:eastAsia="仿宋"/>
          <w:sz w:val="32"/>
          <w:szCs w:val="32"/>
        </w:rPr>
        <w:t>11.</w:t>
      </w:r>
      <w:r>
        <w:rPr>
          <w:rFonts w:ascii="Times New Roman" w:hAnsi="仿宋" w:eastAsia="仿宋"/>
          <w:sz w:val="32"/>
          <w:szCs w:val="32"/>
        </w:rPr>
        <w:t>市电子政务办公室主要职责是规划、建设、管理、协调、督导全市电子政务基础设施和重大电子政务项目；全市电子政务内外网系统的应用开发、运行维护与管理；全市信息资源的开发利用；为市委、市人大、市政府、市政协领导同志及市级各部门提供多媒体汇报及演示系统的制作服务；全市电子政务技能培训和普及工作；全市宏观经济预测预警和监测工作及重点、热点、难点问题的对策研究；完成国家和省信息中心下达的各项系统化业务工作及区</w:t>
      </w:r>
      <w:r>
        <w:rPr>
          <w:rFonts w:ascii="Times New Roman" w:eastAsia="仿宋"/>
          <w:sz w:val="32"/>
          <w:szCs w:val="32"/>
        </w:rPr>
        <w:t>(</w:t>
      </w:r>
      <w:r>
        <w:rPr>
          <w:rFonts w:ascii="Times New Roman" w:hAnsi="仿宋" w:eastAsia="仿宋"/>
          <w:sz w:val="32"/>
          <w:szCs w:val="32"/>
        </w:rPr>
        <w:t>县</w:t>
      </w:r>
      <w:r>
        <w:rPr>
          <w:rFonts w:ascii="Times New Roman" w:eastAsia="仿宋"/>
          <w:sz w:val="32"/>
          <w:szCs w:val="32"/>
        </w:rPr>
        <w:t>)</w:t>
      </w:r>
      <w:r>
        <w:rPr>
          <w:rFonts w:ascii="Times New Roman" w:hAnsi="仿宋" w:eastAsia="仿宋"/>
          <w:sz w:val="32"/>
          <w:szCs w:val="32"/>
        </w:rPr>
        <w:t>业务的指导工作；办理市委、市政府交办的其它事项。</w:t>
      </w:r>
    </w:p>
    <w:p>
      <w:pPr>
        <w:snapToGrid w:val="0"/>
        <w:spacing w:line="600" w:lineRule="exact"/>
        <w:ind w:firstLine="640" w:firstLineChars="200"/>
        <w:rPr>
          <w:rFonts w:eastAsia="楷体"/>
          <w:bCs/>
          <w:sz w:val="32"/>
          <w:szCs w:val="32"/>
        </w:rPr>
      </w:pPr>
      <w:r>
        <w:rPr>
          <w:rFonts w:eastAsia="楷体"/>
          <w:bCs/>
          <w:sz w:val="32"/>
          <w:szCs w:val="32"/>
        </w:rPr>
        <w:t>（二）人员构成</w:t>
      </w:r>
    </w:p>
    <w:p>
      <w:pPr>
        <w:spacing w:line="600" w:lineRule="exact"/>
        <w:ind w:firstLine="720" w:firstLineChars="225"/>
        <w:rPr>
          <w:rFonts w:eastAsia="仿宋"/>
          <w:sz w:val="32"/>
          <w:szCs w:val="32"/>
        </w:rPr>
      </w:pPr>
      <w:r>
        <w:rPr>
          <w:rFonts w:eastAsia="仿宋"/>
          <w:sz w:val="32"/>
          <w:szCs w:val="32"/>
        </w:rPr>
        <w:t>2018年末，市委办公室共有财政供养人员225人，其中：在职公务员96人、工勤人员23人、离休2人、退休104人，详见下表。</w:t>
      </w:r>
    </w:p>
    <w:p>
      <w:pPr>
        <w:spacing w:line="600" w:lineRule="exact"/>
        <w:ind w:firstLine="720" w:firstLineChars="225"/>
        <w:jc w:val="right"/>
        <w:rPr>
          <w:rFonts w:eastAsia="仿宋"/>
          <w:sz w:val="32"/>
          <w:szCs w:val="32"/>
        </w:rPr>
      </w:pPr>
      <w:r>
        <w:rPr>
          <w:rFonts w:eastAsia="仿宋"/>
          <w:sz w:val="32"/>
          <w:szCs w:val="32"/>
        </w:rPr>
        <w:t>单位：人</w:t>
      </w:r>
    </w:p>
    <w:tbl>
      <w:tblPr>
        <w:tblStyle w:val="12"/>
        <w:tblW w:w="9022" w:type="dxa"/>
        <w:tblInd w:w="-176" w:type="dxa"/>
        <w:tblLayout w:type="fixed"/>
        <w:tblCellMar>
          <w:top w:w="0" w:type="dxa"/>
          <w:left w:w="108" w:type="dxa"/>
          <w:bottom w:w="0" w:type="dxa"/>
          <w:right w:w="108" w:type="dxa"/>
        </w:tblCellMar>
      </w:tblPr>
      <w:tblGrid>
        <w:gridCol w:w="2592"/>
        <w:gridCol w:w="2228"/>
        <w:gridCol w:w="1442"/>
        <w:gridCol w:w="1380"/>
        <w:gridCol w:w="1380"/>
      </w:tblGrid>
      <w:tr>
        <w:tblPrEx>
          <w:tblLayout w:type="fixed"/>
          <w:tblCellMar>
            <w:top w:w="0" w:type="dxa"/>
            <w:left w:w="108" w:type="dxa"/>
            <w:bottom w:w="0" w:type="dxa"/>
            <w:right w:w="108" w:type="dxa"/>
          </w:tblCellMar>
        </w:tblPrEx>
        <w:trPr>
          <w:trHeight w:val="812" w:hRule="exact"/>
        </w:trPr>
        <w:tc>
          <w:tcPr>
            <w:tcW w:w="2592" w:type="dxa"/>
            <w:tcBorders>
              <w:top w:val="single" w:color="auto" w:sz="6" w:space="0"/>
              <w:left w:val="single" w:color="auto" w:sz="6" w:space="0"/>
              <w:bottom w:val="single" w:color="auto" w:sz="6" w:space="0"/>
              <w:right w:val="single" w:color="auto" w:sz="6" w:space="0"/>
            </w:tcBorders>
            <w:vAlign w:val="center"/>
          </w:tcPr>
          <w:p>
            <w:pPr>
              <w:autoSpaceDE w:val="0"/>
              <w:autoSpaceDN w:val="0"/>
              <w:spacing w:line="400" w:lineRule="exact"/>
              <w:jc w:val="center"/>
              <w:rPr>
                <w:color w:val="000000"/>
                <w:sz w:val="28"/>
              </w:rPr>
            </w:pPr>
            <w:r>
              <w:rPr>
                <w:color w:val="000000"/>
                <w:sz w:val="28"/>
              </w:rPr>
              <w:t>单  位</w:t>
            </w:r>
          </w:p>
        </w:tc>
        <w:tc>
          <w:tcPr>
            <w:tcW w:w="2228" w:type="dxa"/>
            <w:tcBorders>
              <w:top w:val="single" w:color="auto" w:sz="6" w:space="0"/>
              <w:left w:val="single" w:color="auto" w:sz="6" w:space="0"/>
              <w:bottom w:val="single" w:color="auto" w:sz="6" w:space="0"/>
              <w:right w:val="single" w:color="auto" w:sz="6" w:space="0"/>
            </w:tcBorders>
            <w:vAlign w:val="center"/>
          </w:tcPr>
          <w:p>
            <w:pPr>
              <w:autoSpaceDE w:val="0"/>
              <w:autoSpaceDN w:val="0"/>
              <w:spacing w:line="400" w:lineRule="exact"/>
              <w:jc w:val="center"/>
              <w:rPr>
                <w:color w:val="000000"/>
                <w:sz w:val="28"/>
              </w:rPr>
            </w:pPr>
            <w:r>
              <w:rPr>
                <w:color w:val="000000"/>
                <w:sz w:val="28"/>
              </w:rPr>
              <w:t>在职公务员（含参公人员）</w:t>
            </w:r>
          </w:p>
        </w:tc>
        <w:tc>
          <w:tcPr>
            <w:tcW w:w="1442" w:type="dxa"/>
            <w:tcBorders>
              <w:top w:val="single" w:color="auto" w:sz="6" w:space="0"/>
              <w:left w:val="single" w:color="auto" w:sz="6" w:space="0"/>
              <w:bottom w:val="single" w:color="auto" w:sz="6" w:space="0"/>
              <w:right w:val="single" w:color="auto" w:sz="6" w:space="0"/>
            </w:tcBorders>
            <w:vAlign w:val="center"/>
          </w:tcPr>
          <w:p>
            <w:pPr>
              <w:autoSpaceDE w:val="0"/>
              <w:autoSpaceDN w:val="0"/>
              <w:spacing w:line="400" w:lineRule="exact"/>
              <w:jc w:val="center"/>
              <w:rPr>
                <w:color w:val="000000"/>
                <w:sz w:val="28"/>
              </w:rPr>
            </w:pPr>
            <w:r>
              <w:rPr>
                <w:color w:val="000000"/>
                <w:sz w:val="28"/>
              </w:rPr>
              <w:t>工勤</w:t>
            </w:r>
          </w:p>
          <w:p>
            <w:pPr>
              <w:autoSpaceDE w:val="0"/>
              <w:autoSpaceDN w:val="0"/>
              <w:spacing w:line="400" w:lineRule="exact"/>
              <w:jc w:val="center"/>
              <w:rPr>
                <w:color w:val="000000"/>
                <w:sz w:val="28"/>
              </w:rPr>
            </w:pPr>
            <w:r>
              <w:rPr>
                <w:color w:val="000000"/>
                <w:sz w:val="28"/>
              </w:rPr>
              <w:t>人员</w:t>
            </w:r>
          </w:p>
        </w:tc>
        <w:tc>
          <w:tcPr>
            <w:tcW w:w="1380" w:type="dxa"/>
            <w:tcBorders>
              <w:top w:val="single" w:color="auto" w:sz="6" w:space="0"/>
              <w:left w:val="single" w:color="auto" w:sz="6" w:space="0"/>
              <w:bottom w:val="single" w:color="auto" w:sz="6" w:space="0"/>
              <w:right w:val="single" w:color="auto" w:sz="6" w:space="0"/>
            </w:tcBorders>
            <w:vAlign w:val="center"/>
          </w:tcPr>
          <w:p>
            <w:pPr>
              <w:autoSpaceDE w:val="0"/>
              <w:autoSpaceDN w:val="0"/>
              <w:spacing w:line="400" w:lineRule="exact"/>
              <w:jc w:val="center"/>
              <w:rPr>
                <w:color w:val="000000"/>
                <w:sz w:val="28"/>
              </w:rPr>
            </w:pPr>
            <w:r>
              <w:rPr>
                <w:color w:val="000000"/>
                <w:sz w:val="28"/>
              </w:rPr>
              <w:t>离休</w:t>
            </w:r>
          </w:p>
          <w:p>
            <w:pPr>
              <w:autoSpaceDE w:val="0"/>
              <w:autoSpaceDN w:val="0"/>
              <w:spacing w:line="400" w:lineRule="exact"/>
              <w:jc w:val="center"/>
              <w:rPr>
                <w:color w:val="000000"/>
                <w:sz w:val="28"/>
              </w:rPr>
            </w:pPr>
            <w:r>
              <w:rPr>
                <w:color w:val="000000"/>
                <w:sz w:val="28"/>
              </w:rPr>
              <w:t>人员</w:t>
            </w:r>
          </w:p>
        </w:tc>
        <w:tc>
          <w:tcPr>
            <w:tcW w:w="1380" w:type="dxa"/>
            <w:tcBorders>
              <w:top w:val="single" w:color="auto" w:sz="6" w:space="0"/>
              <w:left w:val="single" w:color="auto" w:sz="6" w:space="0"/>
              <w:bottom w:val="single" w:color="auto" w:sz="6" w:space="0"/>
              <w:right w:val="single" w:color="auto" w:sz="6" w:space="0"/>
            </w:tcBorders>
            <w:vAlign w:val="center"/>
          </w:tcPr>
          <w:p>
            <w:pPr>
              <w:autoSpaceDE w:val="0"/>
              <w:autoSpaceDN w:val="0"/>
              <w:spacing w:line="400" w:lineRule="exact"/>
              <w:jc w:val="center"/>
              <w:rPr>
                <w:color w:val="000000"/>
                <w:sz w:val="28"/>
              </w:rPr>
            </w:pPr>
            <w:r>
              <w:rPr>
                <w:color w:val="000000"/>
                <w:sz w:val="28"/>
              </w:rPr>
              <w:t>退休</w:t>
            </w:r>
          </w:p>
          <w:p>
            <w:pPr>
              <w:autoSpaceDE w:val="0"/>
              <w:autoSpaceDN w:val="0"/>
              <w:spacing w:line="400" w:lineRule="exact"/>
              <w:jc w:val="center"/>
              <w:rPr>
                <w:color w:val="000000"/>
                <w:sz w:val="28"/>
              </w:rPr>
            </w:pPr>
            <w:r>
              <w:rPr>
                <w:color w:val="000000"/>
                <w:sz w:val="28"/>
              </w:rPr>
              <w:t>人员</w:t>
            </w:r>
          </w:p>
        </w:tc>
      </w:tr>
      <w:tr>
        <w:tblPrEx>
          <w:tblLayout w:type="fixed"/>
          <w:tblCellMar>
            <w:top w:w="0" w:type="dxa"/>
            <w:left w:w="108" w:type="dxa"/>
            <w:bottom w:w="0" w:type="dxa"/>
            <w:right w:w="108" w:type="dxa"/>
          </w:tblCellMar>
        </w:tblPrEx>
        <w:trPr>
          <w:trHeight w:val="567" w:hRule="exact"/>
        </w:trPr>
        <w:tc>
          <w:tcPr>
            <w:tcW w:w="2592" w:type="dxa"/>
            <w:tcBorders>
              <w:top w:val="single" w:color="auto" w:sz="6" w:space="0"/>
              <w:left w:val="single" w:color="auto" w:sz="6" w:space="0"/>
              <w:bottom w:val="single" w:color="auto" w:sz="6" w:space="0"/>
              <w:right w:val="single" w:color="auto" w:sz="6" w:space="0"/>
            </w:tcBorders>
          </w:tcPr>
          <w:p>
            <w:pPr>
              <w:autoSpaceDE w:val="0"/>
              <w:autoSpaceDN w:val="0"/>
              <w:spacing w:line="500" w:lineRule="exact"/>
              <w:jc w:val="center"/>
              <w:rPr>
                <w:color w:val="000000"/>
                <w:sz w:val="28"/>
              </w:rPr>
            </w:pPr>
            <w:r>
              <w:rPr>
                <w:color w:val="000000"/>
                <w:sz w:val="28"/>
              </w:rPr>
              <w:t>市委办（本级）</w:t>
            </w:r>
          </w:p>
        </w:tc>
        <w:tc>
          <w:tcPr>
            <w:tcW w:w="2228" w:type="dxa"/>
            <w:tcBorders>
              <w:top w:val="single" w:color="auto" w:sz="6" w:space="0"/>
              <w:left w:val="single" w:color="auto" w:sz="6" w:space="0"/>
              <w:bottom w:val="single" w:color="auto" w:sz="6" w:space="0"/>
              <w:right w:val="single" w:color="auto" w:sz="6" w:space="0"/>
            </w:tcBorders>
          </w:tcPr>
          <w:p>
            <w:pPr>
              <w:autoSpaceDE w:val="0"/>
              <w:autoSpaceDN w:val="0"/>
              <w:spacing w:line="500" w:lineRule="exact"/>
              <w:jc w:val="right"/>
              <w:rPr>
                <w:rFonts w:eastAsia="Times New Roman"/>
                <w:color w:val="000000"/>
                <w:sz w:val="28"/>
              </w:rPr>
            </w:pPr>
            <w:r>
              <w:rPr>
                <w:rFonts w:eastAsia="Times New Roman"/>
                <w:color w:val="000000"/>
                <w:sz w:val="28"/>
              </w:rPr>
              <w:t>60</w:t>
            </w:r>
          </w:p>
        </w:tc>
        <w:tc>
          <w:tcPr>
            <w:tcW w:w="1442" w:type="dxa"/>
            <w:tcBorders>
              <w:top w:val="single" w:color="auto" w:sz="6" w:space="0"/>
              <w:left w:val="single" w:color="auto" w:sz="6" w:space="0"/>
              <w:bottom w:val="single" w:color="auto" w:sz="6" w:space="0"/>
              <w:right w:val="single" w:color="auto" w:sz="6" w:space="0"/>
            </w:tcBorders>
          </w:tcPr>
          <w:p>
            <w:pPr>
              <w:autoSpaceDE w:val="0"/>
              <w:autoSpaceDN w:val="0"/>
              <w:spacing w:line="500" w:lineRule="exact"/>
              <w:jc w:val="right"/>
              <w:rPr>
                <w:rFonts w:eastAsia="Times New Roman"/>
                <w:color w:val="000000"/>
                <w:sz w:val="28"/>
              </w:rPr>
            </w:pPr>
            <w:r>
              <w:rPr>
                <w:rFonts w:eastAsia="Times New Roman"/>
                <w:color w:val="000000"/>
                <w:sz w:val="28"/>
              </w:rPr>
              <w:t>21</w:t>
            </w:r>
          </w:p>
        </w:tc>
        <w:tc>
          <w:tcPr>
            <w:tcW w:w="1380" w:type="dxa"/>
            <w:tcBorders>
              <w:top w:val="single" w:color="auto" w:sz="6" w:space="0"/>
              <w:left w:val="single" w:color="auto" w:sz="6" w:space="0"/>
              <w:bottom w:val="single" w:color="auto" w:sz="6" w:space="0"/>
              <w:right w:val="single" w:color="auto" w:sz="6" w:space="0"/>
            </w:tcBorders>
          </w:tcPr>
          <w:p>
            <w:pPr>
              <w:autoSpaceDE w:val="0"/>
              <w:autoSpaceDN w:val="0"/>
              <w:spacing w:line="500" w:lineRule="exact"/>
              <w:jc w:val="right"/>
              <w:rPr>
                <w:rFonts w:eastAsia="Times New Roman"/>
                <w:color w:val="000000"/>
                <w:sz w:val="28"/>
              </w:rPr>
            </w:pPr>
            <w:r>
              <w:rPr>
                <w:rFonts w:eastAsia="Times New Roman"/>
                <w:color w:val="000000"/>
                <w:sz w:val="28"/>
              </w:rPr>
              <w:t>1</w:t>
            </w:r>
          </w:p>
        </w:tc>
        <w:tc>
          <w:tcPr>
            <w:tcW w:w="1380" w:type="dxa"/>
            <w:tcBorders>
              <w:top w:val="single" w:color="auto" w:sz="6" w:space="0"/>
              <w:left w:val="single" w:color="auto" w:sz="6" w:space="0"/>
              <w:bottom w:val="single" w:color="auto" w:sz="6" w:space="0"/>
              <w:right w:val="single" w:color="auto" w:sz="6" w:space="0"/>
            </w:tcBorders>
          </w:tcPr>
          <w:p>
            <w:pPr>
              <w:autoSpaceDE w:val="0"/>
              <w:autoSpaceDN w:val="0"/>
              <w:spacing w:line="500" w:lineRule="exact"/>
              <w:jc w:val="right"/>
              <w:rPr>
                <w:rFonts w:eastAsia="Times New Roman"/>
                <w:color w:val="000000"/>
                <w:sz w:val="28"/>
              </w:rPr>
            </w:pPr>
            <w:r>
              <w:rPr>
                <w:rFonts w:eastAsia="Times New Roman"/>
                <w:color w:val="000000"/>
                <w:sz w:val="28"/>
              </w:rPr>
              <w:t>70</w:t>
            </w:r>
          </w:p>
        </w:tc>
      </w:tr>
      <w:tr>
        <w:tblPrEx>
          <w:tblLayout w:type="fixed"/>
          <w:tblCellMar>
            <w:top w:w="0" w:type="dxa"/>
            <w:left w:w="108" w:type="dxa"/>
            <w:bottom w:w="0" w:type="dxa"/>
            <w:right w:w="108" w:type="dxa"/>
          </w:tblCellMar>
        </w:tblPrEx>
        <w:trPr>
          <w:trHeight w:val="567" w:hRule="exact"/>
        </w:trPr>
        <w:tc>
          <w:tcPr>
            <w:tcW w:w="2592" w:type="dxa"/>
            <w:tcBorders>
              <w:top w:val="single" w:color="auto" w:sz="6" w:space="0"/>
              <w:left w:val="single" w:color="auto" w:sz="6" w:space="0"/>
              <w:bottom w:val="single" w:color="auto" w:sz="6" w:space="0"/>
              <w:right w:val="single" w:color="auto" w:sz="6" w:space="0"/>
            </w:tcBorders>
          </w:tcPr>
          <w:p>
            <w:pPr>
              <w:autoSpaceDE w:val="0"/>
              <w:autoSpaceDN w:val="0"/>
              <w:spacing w:line="500" w:lineRule="exact"/>
              <w:jc w:val="center"/>
              <w:rPr>
                <w:color w:val="000000"/>
                <w:sz w:val="28"/>
              </w:rPr>
            </w:pPr>
            <w:r>
              <w:rPr>
                <w:color w:val="000000"/>
                <w:sz w:val="28"/>
              </w:rPr>
              <w:t>台办</w:t>
            </w:r>
          </w:p>
        </w:tc>
        <w:tc>
          <w:tcPr>
            <w:tcW w:w="2228" w:type="dxa"/>
            <w:tcBorders>
              <w:top w:val="single" w:color="auto" w:sz="6" w:space="0"/>
              <w:left w:val="single" w:color="auto" w:sz="6" w:space="0"/>
              <w:bottom w:val="single" w:color="auto" w:sz="6" w:space="0"/>
              <w:right w:val="single" w:color="auto" w:sz="6" w:space="0"/>
            </w:tcBorders>
          </w:tcPr>
          <w:p>
            <w:pPr>
              <w:autoSpaceDE w:val="0"/>
              <w:autoSpaceDN w:val="0"/>
              <w:spacing w:line="500" w:lineRule="exact"/>
              <w:jc w:val="right"/>
              <w:rPr>
                <w:rFonts w:eastAsia="Times New Roman"/>
                <w:color w:val="000000"/>
                <w:sz w:val="28"/>
              </w:rPr>
            </w:pPr>
            <w:r>
              <w:rPr>
                <w:rFonts w:eastAsia="Times New Roman"/>
                <w:color w:val="000000"/>
                <w:sz w:val="28"/>
              </w:rPr>
              <w:t>4</w:t>
            </w:r>
          </w:p>
        </w:tc>
        <w:tc>
          <w:tcPr>
            <w:tcW w:w="1442" w:type="dxa"/>
            <w:tcBorders>
              <w:top w:val="single" w:color="auto" w:sz="6" w:space="0"/>
              <w:left w:val="single" w:color="auto" w:sz="6" w:space="0"/>
              <w:bottom w:val="single" w:color="auto" w:sz="6" w:space="0"/>
              <w:right w:val="single" w:color="auto" w:sz="6" w:space="0"/>
            </w:tcBorders>
          </w:tcPr>
          <w:p>
            <w:pPr>
              <w:autoSpaceDE w:val="0"/>
              <w:autoSpaceDN w:val="0"/>
              <w:spacing w:line="500" w:lineRule="exact"/>
              <w:jc w:val="right"/>
              <w:rPr>
                <w:rFonts w:eastAsia="Times New Roman"/>
                <w:color w:val="000000"/>
                <w:sz w:val="28"/>
              </w:rPr>
            </w:pPr>
            <w:r>
              <w:rPr>
                <w:rFonts w:eastAsia="Times New Roman"/>
                <w:color w:val="000000"/>
                <w:sz w:val="28"/>
              </w:rPr>
              <w:t>1</w:t>
            </w:r>
          </w:p>
        </w:tc>
        <w:tc>
          <w:tcPr>
            <w:tcW w:w="1380" w:type="dxa"/>
            <w:tcBorders>
              <w:top w:val="single" w:color="auto" w:sz="6" w:space="0"/>
              <w:left w:val="single" w:color="auto" w:sz="6" w:space="0"/>
              <w:bottom w:val="single" w:color="auto" w:sz="6" w:space="0"/>
              <w:right w:val="single" w:color="auto" w:sz="6" w:space="0"/>
            </w:tcBorders>
          </w:tcPr>
          <w:p>
            <w:pPr>
              <w:autoSpaceDE w:val="0"/>
              <w:autoSpaceDN w:val="0"/>
              <w:spacing w:line="500" w:lineRule="exact"/>
              <w:jc w:val="right"/>
              <w:rPr>
                <w:rFonts w:eastAsia="Times New Roman"/>
                <w:color w:val="000000"/>
                <w:sz w:val="28"/>
              </w:rPr>
            </w:pPr>
            <w:r>
              <w:rPr>
                <w:rFonts w:eastAsia="Times New Roman"/>
                <w:color w:val="000000"/>
                <w:sz w:val="28"/>
              </w:rPr>
              <w:t>1</w:t>
            </w:r>
          </w:p>
        </w:tc>
        <w:tc>
          <w:tcPr>
            <w:tcW w:w="1380" w:type="dxa"/>
            <w:tcBorders>
              <w:top w:val="single" w:color="auto" w:sz="6" w:space="0"/>
              <w:left w:val="single" w:color="auto" w:sz="6" w:space="0"/>
              <w:bottom w:val="single" w:color="auto" w:sz="6" w:space="0"/>
              <w:right w:val="single" w:color="auto" w:sz="6" w:space="0"/>
            </w:tcBorders>
          </w:tcPr>
          <w:p>
            <w:pPr>
              <w:autoSpaceDE w:val="0"/>
              <w:autoSpaceDN w:val="0"/>
              <w:spacing w:line="500" w:lineRule="exact"/>
              <w:jc w:val="right"/>
              <w:rPr>
                <w:rFonts w:eastAsia="Times New Roman"/>
                <w:color w:val="000000"/>
                <w:sz w:val="28"/>
              </w:rPr>
            </w:pPr>
            <w:r>
              <w:rPr>
                <w:rFonts w:eastAsia="Times New Roman"/>
                <w:color w:val="000000"/>
                <w:sz w:val="28"/>
              </w:rPr>
              <w:t>8</w:t>
            </w:r>
          </w:p>
        </w:tc>
      </w:tr>
      <w:tr>
        <w:tblPrEx>
          <w:tblLayout w:type="fixed"/>
          <w:tblCellMar>
            <w:top w:w="0" w:type="dxa"/>
            <w:left w:w="108" w:type="dxa"/>
            <w:bottom w:w="0" w:type="dxa"/>
            <w:right w:w="108" w:type="dxa"/>
          </w:tblCellMar>
        </w:tblPrEx>
        <w:trPr>
          <w:trHeight w:val="567" w:hRule="exact"/>
        </w:trPr>
        <w:tc>
          <w:tcPr>
            <w:tcW w:w="2592" w:type="dxa"/>
            <w:tcBorders>
              <w:top w:val="single" w:color="auto" w:sz="6" w:space="0"/>
              <w:left w:val="single" w:color="auto" w:sz="6" w:space="0"/>
              <w:bottom w:val="single" w:color="auto" w:sz="6" w:space="0"/>
              <w:right w:val="single" w:color="auto" w:sz="6" w:space="0"/>
            </w:tcBorders>
          </w:tcPr>
          <w:p>
            <w:pPr>
              <w:autoSpaceDE w:val="0"/>
              <w:autoSpaceDN w:val="0"/>
              <w:spacing w:line="500" w:lineRule="exact"/>
              <w:jc w:val="center"/>
              <w:rPr>
                <w:color w:val="000000"/>
                <w:sz w:val="28"/>
              </w:rPr>
            </w:pPr>
            <w:r>
              <w:rPr>
                <w:color w:val="000000"/>
                <w:sz w:val="28"/>
              </w:rPr>
              <w:t>侨联</w:t>
            </w:r>
          </w:p>
        </w:tc>
        <w:tc>
          <w:tcPr>
            <w:tcW w:w="2228" w:type="dxa"/>
            <w:tcBorders>
              <w:top w:val="single" w:color="auto" w:sz="6" w:space="0"/>
              <w:left w:val="single" w:color="auto" w:sz="6" w:space="0"/>
              <w:bottom w:val="single" w:color="auto" w:sz="6" w:space="0"/>
              <w:right w:val="single" w:color="auto" w:sz="6" w:space="0"/>
            </w:tcBorders>
          </w:tcPr>
          <w:p>
            <w:pPr>
              <w:autoSpaceDE w:val="0"/>
              <w:autoSpaceDN w:val="0"/>
              <w:spacing w:line="500" w:lineRule="exact"/>
              <w:jc w:val="right"/>
              <w:rPr>
                <w:rFonts w:eastAsia="Times New Roman"/>
                <w:color w:val="000000"/>
                <w:sz w:val="28"/>
              </w:rPr>
            </w:pPr>
            <w:r>
              <w:rPr>
                <w:rFonts w:eastAsia="Times New Roman"/>
                <w:color w:val="000000"/>
                <w:sz w:val="28"/>
              </w:rPr>
              <w:t>2</w:t>
            </w:r>
          </w:p>
        </w:tc>
        <w:tc>
          <w:tcPr>
            <w:tcW w:w="1442" w:type="dxa"/>
            <w:tcBorders>
              <w:top w:val="single" w:color="auto" w:sz="6" w:space="0"/>
              <w:left w:val="single" w:color="auto" w:sz="6" w:space="0"/>
              <w:bottom w:val="single" w:color="auto" w:sz="6" w:space="0"/>
              <w:right w:val="single" w:color="auto" w:sz="6" w:space="0"/>
            </w:tcBorders>
          </w:tcPr>
          <w:p>
            <w:pPr>
              <w:autoSpaceDE w:val="0"/>
              <w:autoSpaceDN w:val="0"/>
              <w:spacing w:line="500" w:lineRule="exact"/>
              <w:jc w:val="right"/>
              <w:rPr>
                <w:rFonts w:eastAsia="Times New Roman"/>
                <w:color w:val="000000"/>
                <w:sz w:val="28"/>
              </w:rPr>
            </w:pPr>
            <w:r>
              <w:rPr>
                <w:rFonts w:eastAsia="Times New Roman"/>
                <w:color w:val="000000"/>
                <w:sz w:val="28"/>
              </w:rPr>
              <w:t>1</w:t>
            </w:r>
          </w:p>
        </w:tc>
        <w:tc>
          <w:tcPr>
            <w:tcW w:w="1380" w:type="dxa"/>
            <w:tcBorders>
              <w:top w:val="single" w:color="auto" w:sz="6" w:space="0"/>
              <w:left w:val="single" w:color="auto" w:sz="6" w:space="0"/>
              <w:bottom w:val="single" w:color="auto" w:sz="6" w:space="0"/>
              <w:right w:val="single" w:color="auto" w:sz="6" w:space="0"/>
            </w:tcBorders>
          </w:tcPr>
          <w:p>
            <w:pPr>
              <w:autoSpaceDE w:val="0"/>
              <w:autoSpaceDN w:val="0"/>
              <w:spacing w:line="500" w:lineRule="exact"/>
              <w:jc w:val="right"/>
              <w:rPr>
                <w:rFonts w:eastAsia="Times New Roman"/>
                <w:color w:val="000000"/>
                <w:sz w:val="28"/>
              </w:rPr>
            </w:pPr>
          </w:p>
        </w:tc>
        <w:tc>
          <w:tcPr>
            <w:tcW w:w="1380" w:type="dxa"/>
            <w:tcBorders>
              <w:top w:val="single" w:color="auto" w:sz="6" w:space="0"/>
              <w:left w:val="single" w:color="auto" w:sz="6" w:space="0"/>
              <w:bottom w:val="single" w:color="auto" w:sz="6" w:space="0"/>
              <w:right w:val="single" w:color="auto" w:sz="6" w:space="0"/>
            </w:tcBorders>
          </w:tcPr>
          <w:p>
            <w:pPr>
              <w:autoSpaceDE w:val="0"/>
              <w:autoSpaceDN w:val="0"/>
              <w:spacing w:line="500" w:lineRule="exact"/>
              <w:jc w:val="right"/>
              <w:rPr>
                <w:rFonts w:eastAsia="Times New Roman"/>
                <w:color w:val="000000"/>
                <w:sz w:val="28"/>
              </w:rPr>
            </w:pPr>
            <w:r>
              <w:rPr>
                <w:rFonts w:eastAsia="Times New Roman"/>
                <w:color w:val="000000"/>
                <w:sz w:val="28"/>
              </w:rPr>
              <w:t>4</w:t>
            </w:r>
          </w:p>
        </w:tc>
      </w:tr>
      <w:tr>
        <w:tblPrEx>
          <w:tblLayout w:type="fixed"/>
          <w:tblCellMar>
            <w:top w:w="0" w:type="dxa"/>
            <w:left w:w="108" w:type="dxa"/>
            <w:bottom w:w="0" w:type="dxa"/>
            <w:right w:w="108" w:type="dxa"/>
          </w:tblCellMar>
        </w:tblPrEx>
        <w:trPr>
          <w:trHeight w:val="567" w:hRule="exact"/>
        </w:trPr>
        <w:tc>
          <w:tcPr>
            <w:tcW w:w="2592" w:type="dxa"/>
            <w:tcBorders>
              <w:top w:val="single" w:color="auto" w:sz="6" w:space="0"/>
              <w:left w:val="single" w:color="auto" w:sz="6" w:space="0"/>
              <w:bottom w:val="single" w:color="auto" w:sz="6" w:space="0"/>
              <w:right w:val="single" w:color="auto" w:sz="6" w:space="0"/>
            </w:tcBorders>
          </w:tcPr>
          <w:p>
            <w:pPr>
              <w:autoSpaceDE w:val="0"/>
              <w:autoSpaceDN w:val="0"/>
              <w:spacing w:line="500" w:lineRule="exact"/>
              <w:jc w:val="center"/>
              <w:rPr>
                <w:color w:val="000000"/>
                <w:sz w:val="28"/>
              </w:rPr>
            </w:pPr>
            <w:r>
              <w:rPr>
                <w:color w:val="000000"/>
                <w:sz w:val="28"/>
              </w:rPr>
              <w:t>市委党史研究室</w:t>
            </w:r>
          </w:p>
        </w:tc>
        <w:tc>
          <w:tcPr>
            <w:tcW w:w="2228" w:type="dxa"/>
            <w:tcBorders>
              <w:top w:val="single" w:color="auto" w:sz="6" w:space="0"/>
              <w:left w:val="single" w:color="auto" w:sz="6" w:space="0"/>
              <w:bottom w:val="single" w:color="auto" w:sz="6" w:space="0"/>
              <w:right w:val="single" w:color="auto" w:sz="6" w:space="0"/>
            </w:tcBorders>
          </w:tcPr>
          <w:p>
            <w:pPr>
              <w:autoSpaceDE w:val="0"/>
              <w:autoSpaceDN w:val="0"/>
              <w:spacing w:line="500" w:lineRule="exact"/>
              <w:jc w:val="right"/>
              <w:rPr>
                <w:rFonts w:eastAsiaTheme="minorEastAsia"/>
                <w:color w:val="000000"/>
                <w:sz w:val="28"/>
              </w:rPr>
            </w:pPr>
            <w:r>
              <w:rPr>
                <w:rFonts w:eastAsiaTheme="minorEastAsia"/>
                <w:color w:val="000000"/>
                <w:sz w:val="28"/>
              </w:rPr>
              <w:t>8</w:t>
            </w:r>
          </w:p>
        </w:tc>
        <w:tc>
          <w:tcPr>
            <w:tcW w:w="1442" w:type="dxa"/>
            <w:tcBorders>
              <w:top w:val="single" w:color="auto" w:sz="6" w:space="0"/>
              <w:left w:val="single" w:color="auto" w:sz="6" w:space="0"/>
              <w:bottom w:val="single" w:color="auto" w:sz="6" w:space="0"/>
              <w:right w:val="single" w:color="auto" w:sz="6" w:space="0"/>
            </w:tcBorders>
          </w:tcPr>
          <w:p>
            <w:pPr>
              <w:autoSpaceDE w:val="0"/>
              <w:autoSpaceDN w:val="0"/>
              <w:spacing w:line="500" w:lineRule="exact"/>
              <w:jc w:val="right"/>
              <w:rPr>
                <w:rFonts w:eastAsia="Times New Roman"/>
                <w:color w:val="000000"/>
                <w:sz w:val="28"/>
              </w:rPr>
            </w:pPr>
          </w:p>
        </w:tc>
        <w:tc>
          <w:tcPr>
            <w:tcW w:w="1380" w:type="dxa"/>
            <w:tcBorders>
              <w:top w:val="single" w:color="auto" w:sz="6" w:space="0"/>
              <w:left w:val="single" w:color="auto" w:sz="6" w:space="0"/>
              <w:bottom w:val="single" w:color="auto" w:sz="6" w:space="0"/>
              <w:right w:val="single" w:color="auto" w:sz="6" w:space="0"/>
            </w:tcBorders>
          </w:tcPr>
          <w:p>
            <w:pPr>
              <w:autoSpaceDE w:val="0"/>
              <w:autoSpaceDN w:val="0"/>
              <w:spacing w:line="500" w:lineRule="exact"/>
              <w:jc w:val="right"/>
              <w:rPr>
                <w:rFonts w:eastAsia="Times New Roman"/>
                <w:color w:val="000000"/>
                <w:sz w:val="28"/>
              </w:rPr>
            </w:pPr>
          </w:p>
        </w:tc>
        <w:tc>
          <w:tcPr>
            <w:tcW w:w="1380" w:type="dxa"/>
            <w:tcBorders>
              <w:top w:val="single" w:color="auto" w:sz="6" w:space="0"/>
              <w:left w:val="single" w:color="auto" w:sz="6" w:space="0"/>
              <w:bottom w:val="single" w:color="auto" w:sz="6" w:space="0"/>
              <w:right w:val="single" w:color="auto" w:sz="6" w:space="0"/>
            </w:tcBorders>
          </w:tcPr>
          <w:p>
            <w:pPr>
              <w:autoSpaceDE w:val="0"/>
              <w:autoSpaceDN w:val="0"/>
              <w:spacing w:line="500" w:lineRule="exact"/>
              <w:jc w:val="right"/>
              <w:rPr>
                <w:rFonts w:eastAsiaTheme="minorEastAsia"/>
                <w:color w:val="000000"/>
                <w:sz w:val="28"/>
              </w:rPr>
            </w:pPr>
            <w:r>
              <w:rPr>
                <w:rFonts w:eastAsiaTheme="minorEastAsia"/>
                <w:color w:val="000000"/>
                <w:sz w:val="28"/>
              </w:rPr>
              <w:t>11</w:t>
            </w:r>
          </w:p>
        </w:tc>
      </w:tr>
      <w:tr>
        <w:tblPrEx>
          <w:tblLayout w:type="fixed"/>
          <w:tblCellMar>
            <w:top w:w="0" w:type="dxa"/>
            <w:left w:w="108" w:type="dxa"/>
            <w:bottom w:w="0" w:type="dxa"/>
            <w:right w:w="108" w:type="dxa"/>
          </w:tblCellMar>
        </w:tblPrEx>
        <w:trPr>
          <w:trHeight w:val="567" w:hRule="exact"/>
        </w:trPr>
        <w:tc>
          <w:tcPr>
            <w:tcW w:w="2592" w:type="dxa"/>
            <w:tcBorders>
              <w:top w:val="single" w:color="auto" w:sz="6" w:space="0"/>
              <w:left w:val="single" w:color="auto" w:sz="6" w:space="0"/>
              <w:bottom w:val="single" w:color="auto" w:sz="6" w:space="0"/>
              <w:right w:val="single" w:color="auto" w:sz="6" w:space="0"/>
            </w:tcBorders>
          </w:tcPr>
          <w:p>
            <w:pPr>
              <w:autoSpaceDE w:val="0"/>
              <w:autoSpaceDN w:val="0"/>
              <w:spacing w:line="500" w:lineRule="exact"/>
              <w:jc w:val="center"/>
              <w:rPr>
                <w:color w:val="000000"/>
                <w:sz w:val="28"/>
              </w:rPr>
            </w:pPr>
            <w:r>
              <w:rPr>
                <w:color w:val="000000"/>
                <w:sz w:val="28"/>
              </w:rPr>
              <w:t>市电子政务办公室</w:t>
            </w:r>
          </w:p>
        </w:tc>
        <w:tc>
          <w:tcPr>
            <w:tcW w:w="2228" w:type="dxa"/>
            <w:tcBorders>
              <w:top w:val="single" w:color="auto" w:sz="6" w:space="0"/>
              <w:left w:val="single" w:color="auto" w:sz="6" w:space="0"/>
              <w:bottom w:val="single" w:color="auto" w:sz="6" w:space="0"/>
              <w:right w:val="single" w:color="auto" w:sz="6" w:space="0"/>
            </w:tcBorders>
          </w:tcPr>
          <w:p>
            <w:pPr>
              <w:autoSpaceDE w:val="0"/>
              <w:autoSpaceDN w:val="0"/>
              <w:spacing w:line="500" w:lineRule="exact"/>
              <w:jc w:val="right"/>
              <w:rPr>
                <w:rFonts w:eastAsiaTheme="minorEastAsia"/>
                <w:color w:val="000000"/>
                <w:sz w:val="28"/>
              </w:rPr>
            </w:pPr>
            <w:r>
              <w:rPr>
                <w:rFonts w:eastAsiaTheme="minorEastAsia"/>
                <w:color w:val="000000"/>
                <w:sz w:val="28"/>
              </w:rPr>
              <w:t>22</w:t>
            </w:r>
          </w:p>
        </w:tc>
        <w:tc>
          <w:tcPr>
            <w:tcW w:w="1442" w:type="dxa"/>
            <w:tcBorders>
              <w:top w:val="single" w:color="auto" w:sz="6" w:space="0"/>
              <w:left w:val="single" w:color="auto" w:sz="6" w:space="0"/>
              <w:bottom w:val="single" w:color="auto" w:sz="6" w:space="0"/>
              <w:right w:val="single" w:color="auto" w:sz="6" w:space="0"/>
            </w:tcBorders>
          </w:tcPr>
          <w:p>
            <w:pPr>
              <w:autoSpaceDE w:val="0"/>
              <w:autoSpaceDN w:val="0"/>
              <w:spacing w:line="500" w:lineRule="exact"/>
              <w:jc w:val="right"/>
              <w:rPr>
                <w:rFonts w:eastAsia="Times New Roman"/>
                <w:color w:val="000000"/>
                <w:sz w:val="28"/>
              </w:rPr>
            </w:pPr>
          </w:p>
        </w:tc>
        <w:tc>
          <w:tcPr>
            <w:tcW w:w="1380" w:type="dxa"/>
            <w:tcBorders>
              <w:top w:val="single" w:color="auto" w:sz="6" w:space="0"/>
              <w:left w:val="single" w:color="auto" w:sz="6" w:space="0"/>
              <w:bottom w:val="single" w:color="auto" w:sz="6" w:space="0"/>
              <w:right w:val="single" w:color="auto" w:sz="6" w:space="0"/>
            </w:tcBorders>
          </w:tcPr>
          <w:p>
            <w:pPr>
              <w:autoSpaceDE w:val="0"/>
              <w:autoSpaceDN w:val="0"/>
              <w:spacing w:line="500" w:lineRule="exact"/>
              <w:jc w:val="right"/>
              <w:rPr>
                <w:rFonts w:eastAsia="Times New Roman"/>
                <w:color w:val="000000"/>
                <w:sz w:val="28"/>
              </w:rPr>
            </w:pPr>
          </w:p>
        </w:tc>
        <w:tc>
          <w:tcPr>
            <w:tcW w:w="1380" w:type="dxa"/>
            <w:tcBorders>
              <w:top w:val="single" w:color="auto" w:sz="6" w:space="0"/>
              <w:left w:val="single" w:color="auto" w:sz="6" w:space="0"/>
              <w:bottom w:val="single" w:color="auto" w:sz="6" w:space="0"/>
              <w:right w:val="single" w:color="auto" w:sz="6" w:space="0"/>
            </w:tcBorders>
          </w:tcPr>
          <w:p>
            <w:pPr>
              <w:autoSpaceDE w:val="0"/>
              <w:autoSpaceDN w:val="0"/>
              <w:spacing w:line="500" w:lineRule="exact"/>
              <w:jc w:val="right"/>
              <w:rPr>
                <w:rFonts w:eastAsiaTheme="minorEastAsia"/>
                <w:color w:val="000000"/>
                <w:sz w:val="28"/>
              </w:rPr>
            </w:pPr>
            <w:r>
              <w:rPr>
                <w:rFonts w:eastAsiaTheme="minorEastAsia"/>
                <w:color w:val="000000"/>
                <w:sz w:val="28"/>
              </w:rPr>
              <w:t>11</w:t>
            </w:r>
          </w:p>
        </w:tc>
      </w:tr>
      <w:tr>
        <w:tblPrEx>
          <w:tblLayout w:type="fixed"/>
          <w:tblCellMar>
            <w:top w:w="0" w:type="dxa"/>
            <w:left w:w="108" w:type="dxa"/>
            <w:bottom w:w="0" w:type="dxa"/>
            <w:right w:w="108" w:type="dxa"/>
          </w:tblCellMar>
        </w:tblPrEx>
        <w:trPr>
          <w:trHeight w:val="567" w:hRule="exact"/>
        </w:trPr>
        <w:tc>
          <w:tcPr>
            <w:tcW w:w="2592" w:type="dxa"/>
            <w:tcBorders>
              <w:top w:val="single" w:color="auto" w:sz="6" w:space="0"/>
              <w:left w:val="single" w:color="auto" w:sz="6" w:space="0"/>
              <w:bottom w:val="single" w:color="auto" w:sz="6" w:space="0"/>
              <w:right w:val="single" w:color="auto" w:sz="6" w:space="0"/>
            </w:tcBorders>
          </w:tcPr>
          <w:p>
            <w:pPr>
              <w:autoSpaceDE w:val="0"/>
              <w:autoSpaceDN w:val="0"/>
              <w:spacing w:line="500" w:lineRule="exact"/>
              <w:jc w:val="center"/>
              <w:rPr>
                <w:b/>
                <w:color w:val="000000"/>
                <w:sz w:val="28"/>
              </w:rPr>
            </w:pPr>
            <w:r>
              <w:rPr>
                <w:b/>
                <w:color w:val="000000"/>
                <w:sz w:val="28"/>
              </w:rPr>
              <w:t>合  计</w:t>
            </w:r>
          </w:p>
        </w:tc>
        <w:tc>
          <w:tcPr>
            <w:tcW w:w="2228" w:type="dxa"/>
            <w:tcBorders>
              <w:top w:val="single" w:color="auto" w:sz="6" w:space="0"/>
              <w:left w:val="single" w:color="auto" w:sz="6" w:space="0"/>
              <w:bottom w:val="single" w:color="auto" w:sz="6" w:space="0"/>
              <w:right w:val="single" w:color="auto" w:sz="6" w:space="0"/>
            </w:tcBorders>
          </w:tcPr>
          <w:p>
            <w:pPr>
              <w:autoSpaceDE w:val="0"/>
              <w:autoSpaceDN w:val="0"/>
              <w:spacing w:line="500" w:lineRule="exact"/>
              <w:jc w:val="right"/>
              <w:rPr>
                <w:rFonts w:eastAsia="Times New Roman"/>
                <w:b/>
                <w:color w:val="000000"/>
                <w:sz w:val="28"/>
              </w:rPr>
            </w:pPr>
            <w:r>
              <w:rPr>
                <w:rFonts w:eastAsiaTheme="minorEastAsia"/>
                <w:b/>
                <w:color w:val="000000"/>
                <w:sz w:val="28"/>
              </w:rPr>
              <w:t>9</w:t>
            </w:r>
            <w:r>
              <w:rPr>
                <w:rFonts w:eastAsia="Times New Roman"/>
                <w:b/>
                <w:color w:val="000000"/>
                <w:sz w:val="28"/>
              </w:rPr>
              <w:t>6</w:t>
            </w:r>
          </w:p>
        </w:tc>
        <w:tc>
          <w:tcPr>
            <w:tcW w:w="1442" w:type="dxa"/>
            <w:tcBorders>
              <w:top w:val="single" w:color="auto" w:sz="6" w:space="0"/>
              <w:left w:val="single" w:color="auto" w:sz="6" w:space="0"/>
              <w:bottom w:val="single" w:color="auto" w:sz="6" w:space="0"/>
              <w:right w:val="single" w:color="auto" w:sz="6" w:space="0"/>
            </w:tcBorders>
          </w:tcPr>
          <w:p>
            <w:pPr>
              <w:autoSpaceDE w:val="0"/>
              <w:autoSpaceDN w:val="0"/>
              <w:spacing w:line="500" w:lineRule="exact"/>
              <w:jc w:val="right"/>
              <w:rPr>
                <w:rFonts w:eastAsia="Times New Roman"/>
                <w:b/>
                <w:color w:val="000000"/>
                <w:sz w:val="28"/>
              </w:rPr>
            </w:pPr>
            <w:r>
              <w:rPr>
                <w:rFonts w:eastAsia="Times New Roman"/>
                <w:b/>
                <w:color w:val="000000"/>
                <w:sz w:val="28"/>
              </w:rPr>
              <w:t>23</w:t>
            </w:r>
          </w:p>
        </w:tc>
        <w:tc>
          <w:tcPr>
            <w:tcW w:w="1380" w:type="dxa"/>
            <w:tcBorders>
              <w:top w:val="single" w:color="auto" w:sz="6" w:space="0"/>
              <w:left w:val="single" w:color="auto" w:sz="6" w:space="0"/>
              <w:bottom w:val="single" w:color="auto" w:sz="6" w:space="0"/>
              <w:right w:val="single" w:color="auto" w:sz="6" w:space="0"/>
            </w:tcBorders>
          </w:tcPr>
          <w:p>
            <w:pPr>
              <w:autoSpaceDE w:val="0"/>
              <w:autoSpaceDN w:val="0"/>
              <w:spacing w:line="500" w:lineRule="exact"/>
              <w:jc w:val="right"/>
              <w:rPr>
                <w:rFonts w:eastAsia="Times New Roman"/>
                <w:b/>
                <w:color w:val="000000"/>
                <w:sz w:val="28"/>
              </w:rPr>
            </w:pPr>
            <w:r>
              <w:rPr>
                <w:rFonts w:eastAsia="Times New Roman"/>
                <w:b/>
                <w:color w:val="000000"/>
                <w:sz w:val="28"/>
              </w:rPr>
              <w:t>2</w:t>
            </w:r>
          </w:p>
        </w:tc>
        <w:tc>
          <w:tcPr>
            <w:tcW w:w="1380" w:type="dxa"/>
            <w:tcBorders>
              <w:top w:val="single" w:color="auto" w:sz="6" w:space="0"/>
              <w:left w:val="single" w:color="auto" w:sz="6" w:space="0"/>
              <w:bottom w:val="single" w:color="auto" w:sz="6" w:space="0"/>
              <w:right w:val="single" w:color="auto" w:sz="6" w:space="0"/>
            </w:tcBorders>
          </w:tcPr>
          <w:p>
            <w:pPr>
              <w:autoSpaceDE w:val="0"/>
              <w:autoSpaceDN w:val="0"/>
              <w:spacing w:line="500" w:lineRule="exact"/>
              <w:jc w:val="right"/>
              <w:rPr>
                <w:rFonts w:eastAsiaTheme="minorEastAsia"/>
                <w:b/>
                <w:color w:val="000000"/>
                <w:sz w:val="28"/>
              </w:rPr>
            </w:pPr>
            <w:r>
              <w:rPr>
                <w:rFonts w:eastAsiaTheme="minorEastAsia"/>
                <w:b/>
                <w:color w:val="000000"/>
                <w:sz w:val="28"/>
              </w:rPr>
              <w:t>104</w:t>
            </w:r>
          </w:p>
        </w:tc>
      </w:tr>
    </w:tbl>
    <w:p>
      <w:pPr>
        <w:snapToGrid w:val="0"/>
        <w:spacing w:line="600" w:lineRule="exact"/>
        <w:ind w:firstLine="640" w:firstLineChars="200"/>
        <w:rPr>
          <w:rFonts w:eastAsia="楷体"/>
          <w:bCs/>
          <w:sz w:val="32"/>
          <w:szCs w:val="32"/>
        </w:rPr>
      </w:pPr>
      <w:r>
        <w:rPr>
          <w:rFonts w:eastAsia="楷体"/>
          <w:bCs/>
          <w:sz w:val="32"/>
          <w:szCs w:val="32"/>
        </w:rPr>
        <w:t>（三）资产情况</w:t>
      </w:r>
    </w:p>
    <w:p>
      <w:pPr>
        <w:spacing w:line="600" w:lineRule="exact"/>
        <w:ind w:firstLine="720" w:firstLineChars="225"/>
        <w:rPr>
          <w:rFonts w:eastAsia="仿宋"/>
          <w:sz w:val="32"/>
          <w:szCs w:val="32"/>
        </w:rPr>
      </w:pPr>
      <w:r>
        <w:rPr>
          <w:rFonts w:eastAsia="仿宋"/>
          <w:sz w:val="32"/>
          <w:szCs w:val="32"/>
        </w:rPr>
        <w:t>2018年末市委办公室资产总额为3,627.3万元（未计提折旧和摊销），其中：流动资产165.2万元、占4.55 %；固定资产2,754.7万元，占75.95%；无形资产703.6万元，占19.4%；其他资产3.8万元，占0.1%。</w:t>
      </w:r>
    </w:p>
    <w:p>
      <w:pPr>
        <w:spacing w:line="600" w:lineRule="exact"/>
        <w:ind w:firstLine="640" w:firstLineChars="200"/>
        <w:rPr>
          <w:rFonts w:eastAsia="黑体"/>
          <w:sz w:val="32"/>
          <w:szCs w:val="32"/>
        </w:rPr>
      </w:pPr>
      <w:r>
        <w:rPr>
          <w:rFonts w:eastAsia="黑体"/>
          <w:sz w:val="32"/>
          <w:szCs w:val="32"/>
        </w:rPr>
        <w:t>二、部门资金基本情况</w:t>
      </w:r>
    </w:p>
    <w:p>
      <w:pPr>
        <w:spacing w:line="600" w:lineRule="exact"/>
        <w:ind w:firstLine="720" w:firstLineChars="225"/>
        <w:rPr>
          <w:rFonts w:eastAsia="楷体"/>
          <w:sz w:val="32"/>
          <w:szCs w:val="32"/>
        </w:rPr>
      </w:pPr>
      <w:r>
        <w:rPr>
          <w:rFonts w:eastAsia="楷体"/>
          <w:sz w:val="32"/>
          <w:szCs w:val="32"/>
        </w:rPr>
        <w:t>（一）收支管理情况</w:t>
      </w:r>
    </w:p>
    <w:p>
      <w:pPr>
        <w:snapToGrid w:val="0"/>
        <w:spacing w:line="600" w:lineRule="exact"/>
        <w:ind w:firstLine="640" w:firstLineChars="200"/>
        <w:rPr>
          <w:rFonts w:eastAsia="仿宋"/>
          <w:sz w:val="32"/>
          <w:szCs w:val="32"/>
        </w:rPr>
      </w:pPr>
      <w:r>
        <w:rPr>
          <w:rFonts w:eastAsia="仿宋_GB2312"/>
          <w:sz w:val="32"/>
          <w:szCs w:val="32"/>
        </w:rPr>
        <w:t>根据部门预算管理的相关要求，市委办</w:t>
      </w:r>
      <w:r>
        <w:rPr>
          <w:rFonts w:eastAsia="仿宋"/>
          <w:sz w:val="32"/>
          <w:szCs w:val="32"/>
        </w:rPr>
        <w:t>公室</w:t>
      </w:r>
      <w:r>
        <w:rPr>
          <w:rFonts w:eastAsia="仿宋_GB2312"/>
          <w:sz w:val="32"/>
          <w:szCs w:val="32"/>
        </w:rPr>
        <w:t>严格按照“人员经费按标准、公用经费按定额”的方法编制基本支出；按照工作计划及资金需求，据实据效编制项目支出。</w:t>
      </w:r>
      <w:r>
        <w:rPr>
          <w:rFonts w:eastAsia="仿宋"/>
          <w:sz w:val="32"/>
          <w:szCs w:val="32"/>
        </w:rPr>
        <w:t>同时，积极探索推进目标管理，在编制部门预算时，对纳入年初预算编制的项目都设定了具体的绩效目标，为今后资金的使用和效益的评判提供了基本依据，努力促进绩效管理与预算编制、执行、监督的有机融合，着力提高资金使用效益。</w:t>
      </w:r>
    </w:p>
    <w:p>
      <w:pPr>
        <w:spacing w:line="600" w:lineRule="exact"/>
        <w:ind w:firstLine="720" w:firstLineChars="225"/>
        <w:rPr>
          <w:rFonts w:eastAsia="楷体"/>
          <w:sz w:val="32"/>
          <w:szCs w:val="32"/>
        </w:rPr>
      </w:pPr>
      <w:r>
        <w:rPr>
          <w:rFonts w:eastAsia="楷体"/>
          <w:sz w:val="32"/>
          <w:szCs w:val="32"/>
        </w:rPr>
        <w:t>（二）预算安排及执行情况</w:t>
      </w:r>
    </w:p>
    <w:p>
      <w:pPr>
        <w:spacing w:line="600" w:lineRule="exact"/>
        <w:ind w:firstLine="720" w:firstLineChars="225"/>
        <w:rPr>
          <w:rFonts w:eastAsia="仿宋"/>
          <w:sz w:val="32"/>
          <w:szCs w:val="32"/>
        </w:rPr>
      </w:pPr>
      <w:r>
        <w:rPr>
          <w:rFonts w:eastAsia="仿宋"/>
          <w:sz w:val="32"/>
          <w:szCs w:val="32"/>
        </w:rPr>
        <w:t>2018年，市委办公室收入共计4,642.5万元，相应安排支出4,642.5万元，其中：市委办公室（本级）3,498.2万元、市委党史研究室258.3万元、市电子政务办公室886万元。</w:t>
      </w:r>
    </w:p>
    <w:p>
      <w:pPr>
        <w:spacing w:line="600" w:lineRule="exact"/>
        <w:ind w:firstLine="720" w:firstLineChars="225"/>
        <w:rPr>
          <w:rFonts w:eastAsia="仿宋"/>
          <w:sz w:val="32"/>
          <w:szCs w:val="32"/>
        </w:rPr>
      </w:pPr>
      <w:r>
        <w:rPr>
          <w:rFonts w:eastAsia="仿宋"/>
          <w:sz w:val="32"/>
          <w:szCs w:val="32"/>
        </w:rPr>
        <w:t>从支出功能分类科目看，一般公共服务支出2,971.6万元、科学技术支出919万元、社会保障和就业支出482.6万元、城乡社区支出97.3万元、住房保障支出172万元。</w:t>
      </w:r>
    </w:p>
    <w:p>
      <w:pPr>
        <w:spacing w:line="600" w:lineRule="exact"/>
        <w:ind w:firstLine="720" w:firstLineChars="225"/>
        <w:rPr>
          <w:rFonts w:eastAsia="仿宋"/>
          <w:sz w:val="32"/>
          <w:szCs w:val="32"/>
        </w:rPr>
      </w:pPr>
      <w:r>
        <w:rPr>
          <w:rFonts w:eastAsia="仿宋"/>
          <w:sz w:val="32"/>
          <w:szCs w:val="32"/>
        </w:rPr>
        <w:t>2018年，市委办公室“三公”经费支出共计98.63万元，其中：因公出国（境）经费1.66万元、公务接待费2.02万元、公务用车运行维护费及购置经费94.95万元，均未超过核定的“三公”经费支出预算。</w:t>
      </w:r>
    </w:p>
    <w:p>
      <w:pPr>
        <w:spacing w:line="600" w:lineRule="exact"/>
        <w:ind w:firstLine="720" w:firstLineChars="225"/>
        <w:rPr>
          <w:rFonts w:eastAsia="楷体"/>
          <w:sz w:val="32"/>
          <w:szCs w:val="32"/>
        </w:rPr>
      </w:pPr>
      <w:r>
        <w:rPr>
          <w:rFonts w:eastAsia="楷体"/>
          <w:sz w:val="32"/>
          <w:szCs w:val="32"/>
        </w:rPr>
        <w:t>（三）工作完成情况</w:t>
      </w:r>
    </w:p>
    <w:p>
      <w:pPr>
        <w:snapToGrid w:val="0"/>
        <w:spacing w:line="600" w:lineRule="exact"/>
        <w:ind w:firstLine="640" w:firstLineChars="200"/>
        <w:rPr>
          <w:rFonts w:eastAsia="仿宋"/>
          <w:sz w:val="32"/>
          <w:szCs w:val="32"/>
        </w:rPr>
      </w:pPr>
      <w:r>
        <w:rPr>
          <w:rFonts w:eastAsia="仿宋"/>
          <w:sz w:val="32"/>
          <w:szCs w:val="32"/>
        </w:rPr>
        <w:t>2018年，市委办公室紧紧围绕全市工作部署，不断强化统筹协调，扎实推进中央、省委和市委的重大决策部署落实到位。同时，切实履行好“前哨”和“后院”的职责，保质保量地完成了综合协调、办文办会、督</w:t>
      </w:r>
      <w:r>
        <w:rPr>
          <w:rFonts w:hint="eastAsia" w:eastAsia="仿宋"/>
          <w:sz w:val="32"/>
          <w:szCs w:val="32"/>
          <w:lang w:eastAsia="zh-CN"/>
        </w:rPr>
        <w:t>查</w:t>
      </w:r>
      <w:r>
        <w:rPr>
          <w:rFonts w:eastAsia="仿宋"/>
          <w:sz w:val="32"/>
          <w:szCs w:val="32"/>
        </w:rPr>
        <w:t>督办、改革推进、对口帮扶等各项工作任务，有效保障了全市重点工作的开展。</w:t>
      </w:r>
    </w:p>
    <w:p>
      <w:pPr>
        <w:snapToGrid w:val="0"/>
        <w:spacing w:line="600" w:lineRule="exact"/>
        <w:ind w:firstLine="640"/>
        <w:rPr>
          <w:rFonts w:eastAsia="仿宋"/>
          <w:sz w:val="32"/>
          <w:szCs w:val="32"/>
        </w:rPr>
      </w:pPr>
      <w:r>
        <w:rPr>
          <w:rFonts w:eastAsia="仿宋"/>
          <w:sz w:val="32"/>
          <w:szCs w:val="32"/>
        </w:rPr>
        <w:t>1.充分发挥纽带作用，努力做好综合协调。一方面，强化纵向协调，在主动加强与上级沟通汇报，及时掌握工作动态，努力争取中央、省给予攀枝花更多支持的同时，紧抓对县（区）、市级部门工作的统筹协调，整合各方力量，共同推进重点项目开展。另一方面，突出横向协调，协助加强军地、地企、兄弟市州之间的沟通联系，汇聚社会各方，合力推动攀枝花各项事业高质量发展。</w:t>
      </w:r>
    </w:p>
    <w:p>
      <w:pPr>
        <w:snapToGrid w:val="0"/>
        <w:spacing w:line="600" w:lineRule="exact"/>
        <w:ind w:firstLine="640" w:firstLineChars="200"/>
        <w:rPr>
          <w:rFonts w:eastAsia="仿宋"/>
          <w:sz w:val="32"/>
          <w:szCs w:val="32"/>
        </w:rPr>
      </w:pPr>
      <w:r>
        <w:rPr>
          <w:rFonts w:eastAsia="仿宋"/>
          <w:sz w:val="32"/>
          <w:szCs w:val="32"/>
        </w:rPr>
        <w:t>2.继续强化以文辅政，积极当好参谋助手。牢固树立“写有用的文章”理念，准确把握领导决策意图，紧扣市情实际，突出思想性、指导性和可操作性，不断提升文稿服务质量，充分发挥以文辅政职能。同时，紧紧围绕全市工作重点，及时对市委和市委领导交办的重点工作和重要事项进行研究、部署，为领导决策和工作推进当好参谋助手。</w:t>
      </w:r>
    </w:p>
    <w:p>
      <w:pPr>
        <w:snapToGrid w:val="0"/>
        <w:spacing w:line="600" w:lineRule="exact"/>
        <w:ind w:firstLine="640" w:firstLineChars="200"/>
        <w:rPr>
          <w:rFonts w:eastAsia="仿宋"/>
          <w:sz w:val="32"/>
          <w:szCs w:val="32"/>
        </w:rPr>
      </w:pPr>
      <w:r>
        <w:rPr>
          <w:rFonts w:eastAsia="仿宋"/>
          <w:sz w:val="32"/>
          <w:szCs w:val="32"/>
        </w:rPr>
        <w:t>3.深入开展督查督办，有效推动工作落实。夯实督查基础，通过制定印发《加强新形势下党的督促检查工作的实施办法等制度》，升级目标督查管理系统等，进一步完善了目标督查的软件与硬件配置。同时，扎实开展督查督办，通过明查与暗访、督查与调研、跟踪与回访相结合的方式，强力推动各项工作落实。</w:t>
      </w:r>
    </w:p>
    <w:p>
      <w:pPr>
        <w:snapToGrid w:val="0"/>
        <w:spacing w:line="600" w:lineRule="exact"/>
        <w:ind w:firstLine="640" w:firstLineChars="200"/>
        <w:rPr>
          <w:rFonts w:eastAsia="仿宋"/>
          <w:sz w:val="32"/>
          <w:szCs w:val="32"/>
        </w:rPr>
      </w:pPr>
      <w:r>
        <w:rPr>
          <w:rFonts w:eastAsia="仿宋"/>
          <w:sz w:val="32"/>
          <w:szCs w:val="32"/>
        </w:rPr>
        <w:t>4.不断细化工作措施，着力推进改革落地。通过印发《深化改革2018年工作要点》《2018年改革落实台账》，协调建立市领导带头抓专项改革方案落实、市委深改组会议常态化听取改革推进情况汇报、各级改革办直接联系改革试点等制度，搭建完善“清单制+责任制”改革信息化平台等，聚焦75个专项改革方案、55个改革试点和382项改革任务，促进改革目标的实现。</w:t>
      </w:r>
    </w:p>
    <w:p>
      <w:pPr>
        <w:snapToGrid w:val="0"/>
        <w:spacing w:line="600" w:lineRule="exact"/>
        <w:ind w:firstLine="640" w:firstLineChars="200"/>
        <w:rPr>
          <w:rFonts w:eastAsia="仿宋"/>
          <w:sz w:val="32"/>
          <w:szCs w:val="32"/>
        </w:rPr>
      </w:pPr>
      <w:r>
        <w:rPr>
          <w:rFonts w:eastAsia="仿宋"/>
          <w:sz w:val="32"/>
          <w:szCs w:val="32"/>
        </w:rPr>
        <w:t>5.扎实开展对口帮扶，切实助力脱贫攻坚。坚持把打好精准脱贫攻坚战作为最大的政治责任、最大的民生工程、最大的发展机遇，紧盯大湾村、后元村、茅坪子村3个联系贫困村脱贫工作开展；聚焦两不愁、三保障、四个好目标，严格贯彻落实中央、省委和市委系列决策部署，扎实抓好产业扶持、集体经济壮大、人居环境改善、教育医疗扶贫等工作；突出退得出、稳得住，常态开展班子成员到贫困村走访慰问、“以购代捐”等活动，不定期开展脱贫退出“回头看”，不断夯实脱贫攻坚基础。</w:t>
      </w:r>
    </w:p>
    <w:p>
      <w:pPr>
        <w:snapToGrid w:val="0"/>
        <w:spacing w:line="600" w:lineRule="exact"/>
        <w:ind w:firstLine="640" w:firstLineChars="200"/>
        <w:rPr>
          <w:rFonts w:eastAsia="仿宋"/>
          <w:sz w:val="32"/>
          <w:szCs w:val="32"/>
        </w:rPr>
      </w:pPr>
      <w:r>
        <w:rPr>
          <w:rFonts w:eastAsia="仿宋"/>
          <w:sz w:val="32"/>
          <w:szCs w:val="32"/>
        </w:rPr>
        <w:t>6.狠抓密码建设管理，努力保障通信畅通。与各市级单位、县（区）签订《密码安全保密责任书》《密码安全保密承诺书》；为9个使用普通密码部门（单位）建立管理人员和设备档案台账，推动全市密码部门业务区“三铁四器”配置到位；加快推进电子政务内网建设，多次召开领导小组会、工作推进会，及时研究、解决工作推进的困难问题，统筹推进电子政务内网骨干网络传输链路建设、普通密码设备采购及列装等，配合完成省委办公厅会议管理系统在我市试运行。</w:t>
      </w:r>
    </w:p>
    <w:p>
      <w:pPr>
        <w:spacing w:line="600" w:lineRule="exact"/>
        <w:ind w:firstLine="640" w:firstLineChars="200"/>
        <w:rPr>
          <w:rFonts w:eastAsia="黑体"/>
          <w:sz w:val="32"/>
          <w:szCs w:val="32"/>
        </w:rPr>
      </w:pPr>
      <w:r>
        <w:rPr>
          <w:rFonts w:eastAsia="黑体"/>
          <w:sz w:val="32"/>
          <w:szCs w:val="32"/>
        </w:rPr>
        <w:t>三、评价结论及建议</w:t>
      </w:r>
    </w:p>
    <w:p>
      <w:pPr>
        <w:snapToGrid w:val="0"/>
        <w:spacing w:line="600" w:lineRule="exact"/>
        <w:ind w:firstLine="640" w:firstLineChars="200"/>
        <w:rPr>
          <w:rFonts w:eastAsia="仿宋"/>
          <w:sz w:val="32"/>
          <w:szCs w:val="32"/>
        </w:rPr>
      </w:pPr>
      <w:r>
        <w:rPr>
          <w:rFonts w:eastAsia="仿宋"/>
          <w:sz w:val="32"/>
          <w:szCs w:val="32"/>
        </w:rPr>
        <w:t>总体来看，2018年市委办预算编制较规范，工作任务较明确，整体绩效良好。</w:t>
      </w:r>
    </w:p>
    <w:p>
      <w:pPr>
        <w:snapToGrid w:val="0"/>
        <w:spacing w:line="600" w:lineRule="exact"/>
        <w:ind w:firstLine="640" w:firstLineChars="200"/>
        <w:rPr>
          <w:sz w:val="32"/>
        </w:rPr>
      </w:pPr>
      <w:r>
        <w:rPr>
          <w:rFonts w:eastAsia="仿宋"/>
          <w:sz w:val="32"/>
          <w:szCs w:val="32"/>
        </w:rPr>
        <w:t>需要提出的是，由于绩效目标的编制尚处于摸索阶段，加之市委办承担的多是综合协调方面的工作，预期目标难以以具体的数量来衡量，导致设定的绩效目标多是质量、时效等方面的，绩效目标数量化及可衡量性指标缺乏。对此，市委办将结合</w:t>
      </w:r>
      <w:r>
        <w:rPr>
          <w:rFonts w:eastAsia="仿宋_GB2312"/>
          <w:sz w:val="32"/>
          <w:szCs w:val="32"/>
        </w:rPr>
        <w:t>部门职能职责及工作开展预期，深入探索部门预算绩效目标的制定，加强效果方面量化指标的设定，为绩效预算的顺利推进奠定基础。</w:t>
      </w:r>
    </w:p>
    <w:p>
      <w:pPr>
        <w:spacing w:line="580" w:lineRule="exact"/>
        <w:ind w:firstLine="640" w:firstLineChars="200"/>
        <w:rPr>
          <w:rFonts w:eastAsia="仿宋"/>
          <w:sz w:val="32"/>
          <w:szCs w:val="32"/>
        </w:rPr>
      </w:pPr>
    </w:p>
    <w:p>
      <w:pPr>
        <w:spacing w:line="580" w:lineRule="exact"/>
        <w:ind w:firstLine="640" w:firstLineChars="200"/>
        <w:rPr>
          <w:rFonts w:eastAsia="仿宋_GB2312"/>
          <w:sz w:val="32"/>
          <w:szCs w:val="32"/>
        </w:rPr>
      </w:pPr>
    </w:p>
    <w:p>
      <w:pPr>
        <w:widowControl/>
        <w:jc w:val="left"/>
        <w:rPr>
          <w:rFonts w:eastAsia="仿宋_GB2312"/>
          <w:sz w:val="32"/>
          <w:szCs w:val="32"/>
        </w:rPr>
      </w:pPr>
      <w:r>
        <w:rPr>
          <w:rFonts w:eastAsia="仿宋_GB2312"/>
          <w:sz w:val="32"/>
          <w:szCs w:val="32"/>
        </w:rPr>
        <w:br w:type="page"/>
      </w:r>
    </w:p>
    <w:p>
      <w:pPr>
        <w:pStyle w:val="3"/>
        <w:rPr>
          <w:rStyle w:val="24"/>
          <w:rFonts w:eastAsia="仿宋" w:cs="Times New Roman"/>
          <w:b w:val="0"/>
          <w:bCs w:val="0"/>
          <w:sz w:val="32"/>
          <w:szCs w:val="32"/>
        </w:rPr>
      </w:pPr>
      <w:bookmarkStart w:id="60" w:name="_Toc15396617"/>
      <w:r>
        <w:rPr>
          <w:rStyle w:val="24"/>
          <w:rFonts w:eastAsia="仿宋" w:cs="Times New Roman"/>
          <w:b w:val="0"/>
          <w:bCs w:val="0"/>
          <w:sz w:val="32"/>
          <w:szCs w:val="32"/>
        </w:rPr>
        <w:t>附件2</w:t>
      </w:r>
      <w:bookmarkEnd w:id="60"/>
    </w:p>
    <w:p>
      <w:pPr>
        <w:spacing w:line="580" w:lineRule="exact"/>
        <w:jc w:val="center"/>
        <w:rPr>
          <w:rFonts w:eastAsia="黑体"/>
          <w:sz w:val="44"/>
          <w:szCs w:val="44"/>
        </w:rPr>
      </w:pPr>
      <w:r>
        <w:rPr>
          <w:rFonts w:eastAsia="黑体"/>
          <w:sz w:val="44"/>
          <w:szCs w:val="44"/>
        </w:rPr>
        <w:t>2018年目标督查管理信息系统平台升级改造和手机APP开发项目支出绩效评价报告</w:t>
      </w:r>
    </w:p>
    <w:p>
      <w:pPr>
        <w:spacing w:line="580" w:lineRule="exact"/>
        <w:ind w:firstLine="640" w:firstLineChars="200"/>
        <w:rPr>
          <w:rFonts w:eastAsia="仿宋_GB2312"/>
          <w:sz w:val="32"/>
          <w:szCs w:val="32"/>
        </w:rPr>
      </w:pPr>
    </w:p>
    <w:p>
      <w:pPr>
        <w:spacing w:line="600" w:lineRule="exact"/>
        <w:ind w:firstLine="640" w:firstLineChars="200"/>
        <w:rPr>
          <w:rFonts w:eastAsia="黑体"/>
          <w:sz w:val="32"/>
          <w:szCs w:val="32"/>
        </w:rPr>
      </w:pPr>
      <w:r>
        <w:rPr>
          <w:rFonts w:eastAsia="黑体"/>
          <w:sz w:val="32"/>
          <w:szCs w:val="32"/>
        </w:rPr>
        <w:t>一、评价工作开展及项目情况</w:t>
      </w:r>
    </w:p>
    <w:p>
      <w:pPr>
        <w:spacing w:line="600" w:lineRule="exact"/>
        <w:ind w:firstLine="720" w:firstLineChars="225"/>
        <w:rPr>
          <w:rFonts w:hint="eastAsia" w:eastAsia="楷体"/>
          <w:sz w:val="32"/>
          <w:szCs w:val="32"/>
          <w:lang w:eastAsia="zh-CN"/>
        </w:rPr>
      </w:pPr>
      <w:r>
        <w:rPr>
          <w:rFonts w:hint="eastAsia" w:eastAsia="楷体"/>
          <w:sz w:val="32"/>
          <w:szCs w:val="32"/>
          <w:lang w:eastAsia="zh-CN"/>
        </w:rPr>
        <w:t>（一）评价工作开展情况</w:t>
      </w:r>
    </w:p>
    <w:p>
      <w:pPr>
        <w:snapToGrid w:val="0"/>
        <w:spacing w:line="600" w:lineRule="exact"/>
        <w:ind w:firstLine="640" w:firstLineChars="200"/>
        <w:rPr>
          <w:rFonts w:hint="eastAsia" w:eastAsia="仿宋"/>
          <w:sz w:val="32"/>
          <w:szCs w:val="32"/>
          <w:lang w:val="en-US" w:eastAsia="zh-CN"/>
        </w:rPr>
      </w:pPr>
      <w:r>
        <w:rPr>
          <w:rFonts w:hint="eastAsia" w:eastAsia="仿宋"/>
          <w:sz w:val="32"/>
          <w:szCs w:val="32"/>
          <w:lang w:eastAsia="zh-CN"/>
        </w:rPr>
        <w:t>本着提高专项资金使用效益目的，市委办公室从</w:t>
      </w:r>
      <w:r>
        <w:rPr>
          <w:rFonts w:hint="eastAsia" w:eastAsia="仿宋"/>
          <w:sz w:val="32"/>
          <w:szCs w:val="32"/>
          <w:lang w:val="en-US" w:eastAsia="zh-CN"/>
        </w:rPr>
        <w:t>2018年实施的</w:t>
      </w:r>
      <w:r>
        <w:rPr>
          <w:rFonts w:hint="eastAsia" w:eastAsia="仿宋"/>
          <w:sz w:val="32"/>
          <w:szCs w:val="32"/>
          <w:lang w:eastAsia="zh-CN"/>
        </w:rPr>
        <w:t>专项项目中，选取了目标绩效管理信息系统平台升级改造和手机</w:t>
      </w:r>
      <w:r>
        <w:rPr>
          <w:rFonts w:hint="eastAsia" w:eastAsia="仿宋"/>
          <w:sz w:val="32"/>
          <w:szCs w:val="32"/>
          <w:lang w:val="en-US" w:eastAsia="zh-CN"/>
        </w:rPr>
        <w:t>APP开发项目开展了财政支出绩效评价。本次评价从项目实施者和使用者两个角度出发，对资金管理、项目实施的必要性和可行性、绩效目标完成情况三个方面进行了系统性评价。</w:t>
      </w:r>
    </w:p>
    <w:p>
      <w:pPr>
        <w:spacing w:line="600" w:lineRule="exact"/>
        <w:ind w:firstLine="720" w:firstLineChars="225"/>
        <w:rPr>
          <w:rFonts w:hint="eastAsia" w:eastAsia="楷体"/>
          <w:sz w:val="32"/>
          <w:szCs w:val="32"/>
          <w:lang w:val="en-US" w:eastAsia="zh-CN"/>
        </w:rPr>
      </w:pPr>
      <w:r>
        <w:rPr>
          <w:rFonts w:hint="eastAsia" w:eastAsia="楷体"/>
          <w:sz w:val="32"/>
          <w:szCs w:val="32"/>
          <w:lang w:eastAsia="zh-CN"/>
        </w:rPr>
        <w:t>（二）评价目的</w:t>
      </w:r>
    </w:p>
    <w:p>
      <w:pPr>
        <w:snapToGrid w:val="0"/>
        <w:spacing w:line="600" w:lineRule="exact"/>
        <w:ind w:firstLine="640" w:firstLineChars="200"/>
        <w:rPr>
          <w:rFonts w:hint="eastAsia" w:eastAsia="仿宋"/>
          <w:sz w:val="32"/>
          <w:szCs w:val="32"/>
          <w:lang w:val="en-US" w:eastAsia="zh-CN"/>
        </w:rPr>
      </w:pPr>
      <w:r>
        <w:rPr>
          <w:rFonts w:hint="default" w:eastAsia="仿宋"/>
          <w:sz w:val="32"/>
          <w:szCs w:val="32"/>
          <w:lang w:eastAsia="zh-CN"/>
        </w:rPr>
        <w:t>通过对资金管理及</w:t>
      </w:r>
      <w:r>
        <w:rPr>
          <w:rFonts w:hint="eastAsia" w:eastAsia="仿宋"/>
          <w:sz w:val="32"/>
          <w:szCs w:val="32"/>
          <w:lang w:eastAsia="zh-CN"/>
        </w:rPr>
        <w:t>绩效目标完成情况等的</w:t>
      </w:r>
      <w:r>
        <w:rPr>
          <w:rFonts w:hint="default" w:eastAsia="仿宋"/>
          <w:sz w:val="32"/>
          <w:szCs w:val="32"/>
          <w:lang w:eastAsia="zh-CN"/>
        </w:rPr>
        <w:t>综合评价，分析项目实施、资金使用过程中存在的问题，</w:t>
      </w:r>
      <w:r>
        <w:rPr>
          <w:rFonts w:hint="eastAsia" w:eastAsia="仿宋"/>
          <w:sz w:val="32"/>
          <w:szCs w:val="32"/>
          <w:lang w:eastAsia="zh-CN"/>
        </w:rPr>
        <w:t>进一步优化管理</w:t>
      </w:r>
      <w:r>
        <w:rPr>
          <w:rFonts w:hint="default" w:eastAsia="仿宋"/>
          <w:sz w:val="32"/>
          <w:szCs w:val="32"/>
          <w:lang w:eastAsia="zh-CN"/>
        </w:rPr>
        <w:t>，</w:t>
      </w:r>
      <w:r>
        <w:rPr>
          <w:rFonts w:hint="eastAsia" w:eastAsia="仿宋"/>
          <w:sz w:val="32"/>
          <w:szCs w:val="32"/>
          <w:lang w:eastAsia="zh-CN"/>
        </w:rPr>
        <w:t>逐步提高资金使用绩效</w:t>
      </w:r>
      <w:r>
        <w:rPr>
          <w:rFonts w:hint="default" w:eastAsia="仿宋"/>
          <w:sz w:val="32"/>
          <w:szCs w:val="32"/>
          <w:lang w:eastAsia="zh-CN"/>
        </w:rPr>
        <w:t>。</w:t>
      </w:r>
    </w:p>
    <w:p>
      <w:pPr>
        <w:spacing w:line="600" w:lineRule="exact"/>
        <w:ind w:firstLine="720" w:firstLineChars="225"/>
        <w:rPr>
          <w:rFonts w:hint="eastAsia" w:eastAsia="楷体"/>
          <w:sz w:val="32"/>
          <w:szCs w:val="32"/>
          <w:lang w:eastAsia="zh-CN"/>
        </w:rPr>
      </w:pPr>
      <w:r>
        <w:rPr>
          <w:rFonts w:hint="eastAsia" w:eastAsia="楷体"/>
          <w:sz w:val="32"/>
          <w:szCs w:val="32"/>
          <w:lang w:eastAsia="zh-CN"/>
        </w:rPr>
        <w:t>（三）项目情况</w:t>
      </w:r>
    </w:p>
    <w:p>
      <w:pPr>
        <w:spacing w:line="580" w:lineRule="exact"/>
        <w:ind w:firstLine="640" w:firstLineChars="200"/>
        <w:rPr>
          <w:rFonts w:hint="eastAsia" w:eastAsia="仿宋"/>
          <w:sz w:val="32"/>
          <w:szCs w:val="32"/>
          <w:lang w:val="en-US" w:eastAsia="zh-CN"/>
        </w:rPr>
      </w:pPr>
      <w:r>
        <w:rPr>
          <w:rFonts w:hint="eastAsia" w:eastAsia="仿宋"/>
          <w:sz w:val="32"/>
          <w:szCs w:val="32"/>
          <w:lang w:eastAsia="zh-CN"/>
        </w:rPr>
        <w:t>目标绩效管理信息系统平台升级改造和手机</w:t>
      </w:r>
      <w:r>
        <w:rPr>
          <w:rFonts w:hint="eastAsia" w:eastAsia="仿宋"/>
          <w:sz w:val="32"/>
          <w:szCs w:val="32"/>
          <w:lang w:val="en-US" w:eastAsia="zh-CN"/>
        </w:rPr>
        <w:t>APP开发项目的实施是为进一步满足目标管理工作开展需要，提升原有系统的实用性、高效性和便利性。该项目共计安排预算29.8万元，实际执行29.8万元。</w:t>
      </w:r>
    </w:p>
    <w:p>
      <w:pPr>
        <w:spacing w:line="600" w:lineRule="exact"/>
        <w:ind w:firstLine="640" w:firstLineChars="200"/>
        <w:rPr>
          <w:rFonts w:eastAsia="黑体"/>
          <w:sz w:val="32"/>
          <w:szCs w:val="32"/>
        </w:rPr>
      </w:pPr>
      <w:r>
        <w:rPr>
          <w:rFonts w:eastAsia="黑体"/>
          <w:sz w:val="32"/>
          <w:szCs w:val="32"/>
        </w:rPr>
        <w:t>二、评价结论及绩效分析</w:t>
      </w:r>
    </w:p>
    <w:p>
      <w:pPr>
        <w:spacing w:line="600" w:lineRule="exact"/>
        <w:ind w:firstLine="720" w:firstLineChars="225"/>
        <w:rPr>
          <w:rFonts w:hint="eastAsia" w:eastAsia="楷体"/>
          <w:sz w:val="32"/>
          <w:szCs w:val="32"/>
          <w:lang w:eastAsia="zh-CN"/>
        </w:rPr>
      </w:pPr>
      <w:r>
        <w:rPr>
          <w:rFonts w:hint="eastAsia" w:eastAsia="楷体"/>
          <w:sz w:val="32"/>
          <w:szCs w:val="32"/>
          <w:lang w:eastAsia="zh-CN"/>
        </w:rPr>
        <w:t>（一）评价结论</w:t>
      </w:r>
    </w:p>
    <w:p>
      <w:pPr>
        <w:spacing w:line="580" w:lineRule="exact"/>
        <w:ind w:firstLine="640" w:firstLineChars="200"/>
        <w:rPr>
          <w:rFonts w:hint="eastAsia" w:eastAsia="仿宋"/>
          <w:sz w:val="32"/>
          <w:szCs w:val="32"/>
          <w:lang w:val="en-US" w:eastAsia="zh-CN"/>
        </w:rPr>
      </w:pPr>
      <w:r>
        <w:rPr>
          <w:rFonts w:hint="eastAsia" w:eastAsia="仿宋"/>
          <w:sz w:val="32"/>
          <w:szCs w:val="32"/>
          <w:lang w:eastAsia="zh-CN"/>
        </w:rPr>
        <w:t>从评价结果看</w:t>
      </w:r>
      <w:r>
        <w:rPr>
          <w:rFonts w:hint="eastAsia" w:eastAsia="仿宋"/>
          <w:sz w:val="32"/>
          <w:szCs w:val="32"/>
          <w:lang w:val="en-US" w:eastAsia="zh-CN"/>
        </w:rPr>
        <w:t>，目标督查管理系统进行系统升级改造和手机APP开发项目实施情况较好，对目标管理工作的开展起到了较好的辅助作用。</w:t>
      </w:r>
    </w:p>
    <w:tbl>
      <w:tblPr>
        <w:tblStyle w:val="12"/>
        <w:tblW w:w="8985" w:type="dxa"/>
        <w:tblInd w:w="-69" w:type="dxa"/>
        <w:shd w:val="clear" w:color="auto" w:fill="auto"/>
        <w:tblLayout w:type="fixed"/>
        <w:tblCellMar>
          <w:top w:w="0" w:type="dxa"/>
          <w:left w:w="0" w:type="dxa"/>
          <w:bottom w:w="0" w:type="dxa"/>
          <w:right w:w="0" w:type="dxa"/>
        </w:tblCellMar>
      </w:tblPr>
      <w:tblGrid>
        <w:gridCol w:w="1290"/>
        <w:gridCol w:w="1830"/>
        <w:gridCol w:w="4575"/>
        <w:gridCol w:w="660"/>
        <w:gridCol w:w="630"/>
      </w:tblGrid>
      <w:tr>
        <w:tblPrEx>
          <w:shd w:val="clear" w:color="auto" w:fill="auto"/>
          <w:tblLayout w:type="fixed"/>
          <w:tblCellMar>
            <w:top w:w="0" w:type="dxa"/>
            <w:left w:w="0" w:type="dxa"/>
            <w:bottom w:w="0" w:type="dxa"/>
            <w:right w:w="0" w:type="dxa"/>
          </w:tblCellMar>
        </w:tblPrEx>
        <w:trPr>
          <w:trHeight w:val="465" w:hRule="atLeast"/>
        </w:trPr>
        <w:tc>
          <w:tcPr>
            <w:tcW w:w="8985" w:type="dxa"/>
            <w:gridSpan w:val="5"/>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36"/>
                <w:szCs w:val="36"/>
                <w:u w:val="none"/>
              </w:rPr>
            </w:pPr>
            <w:r>
              <w:rPr>
                <w:rFonts w:hint="eastAsia" w:ascii="宋体" w:hAnsi="宋体" w:eastAsia="宋体" w:cs="宋体"/>
                <w:i w:val="0"/>
                <w:color w:val="000000"/>
                <w:kern w:val="0"/>
                <w:sz w:val="36"/>
                <w:szCs w:val="36"/>
                <w:u w:val="none"/>
                <w:lang w:val="en-US" w:eastAsia="zh-CN" w:bidi="ar"/>
              </w:rPr>
              <w:t>项目评价得分表</w:t>
            </w:r>
          </w:p>
        </w:tc>
      </w:tr>
      <w:tr>
        <w:tblPrEx>
          <w:tblLayout w:type="fixed"/>
          <w:tblCellMar>
            <w:top w:w="0" w:type="dxa"/>
            <w:left w:w="0" w:type="dxa"/>
            <w:bottom w:w="0" w:type="dxa"/>
            <w:right w:w="0" w:type="dxa"/>
          </w:tblCellMar>
        </w:tblPrEx>
        <w:trPr>
          <w:trHeight w:val="495" w:hRule="atLeast"/>
        </w:trPr>
        <w:tc>
          <w:tcPr>
            <w:tcW w:w="12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一级指标</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二级指标</w:t>
            </w:r>
          </w:p>
        </w:tc>
        <w:tc>
          <w:tcPr>
            <w:tcW w:w="4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三级指标</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分值</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得分</w:t>
            </w:r>
          </w:p>
        </w:tc>
      </w:tr>
      <w:tr>
        <w:tblPrEx>
          <w:tblLayout w:type="fixed"/>
          <w:tblCellMar>
            <w:top w:w="0" w:type="dxa"/>
            <w:left w:w="0" w:type="dxa"/>
            <w:bottom w:w="0" w:type="dxa"/>
            <w:right w:w="0" w:type="dxa"/>
          </w:tblCellMar>
        </w:tblPrEx>
        <w:trPr>
          <w:trHeight w:val="325" w:hRule="atLeast"/>
        </w:trPr>
        <w:tc>
          <w:tcPr>
            <w:tcW w:w="1290"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项目决策</w:t>
            </w:r>
          </w:p>
        </w:tc>
        <w:tc>
          <w:tcPr>
            <w:tcW w:w="1830"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绩效目标</w:t>
            </w:r>
          </w:p>
        </w:tc>
        <w:tc>
          <w:tcPr>
            <w:tcW w:w="4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目标内容</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w:t>
            </w:r>
          </w:p>
        </w:tc>
      </w:tr>
      <w:tr>
        <w:tblPrEx>
          <w:tblLayout w:type="fixed"/>
          <w:tblCellMar>
            <w:top w:w="0" w:type="dxa"/>
            <w:left w:w="0" w:type="dxa"/>
            <w:bottom w:w="0" w:type="dxa"/>
            <w:right w:w="0" w:type="dxa"/>
          </w:tblCellMar>
        </w:tblPrEx>
        <w:trPr>
          <w:trHeight w:val="345" w:hRule="atLeast"/>
        </w:trPr>
        <w:tc>
          <w:tcPr>
            <w:tcW w:w="129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83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4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进度计划</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w:t>
            </w:r>
          </w:p>
        </w:tc>
      </w:tr>
      <w:tr>
        <w:tblPrEx>
          <w:tblLayout w:type="fixed"/>
          <w:tblCellMar>
            <w:top w:w="0" w:type="dxa"/>
            <w:left w:w="0" w:type="dxa"/>
            <w:bottom w:w="0" w:type="dxa"/>
            <w:right w:w="0" w:type="dxa"/>
          </w:tblCellMar>
        </w:tblPrEx>
        <w:trPr>
          <w:trHeight w:val="345" w:hRule="atLeast"/>
        </w:trPr>
        <w:tc>
          <w:tcPr>
            <w:tcW w:w="1290"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资金管理</w:t>
            </w:r>
          </w:p>
        </w:tc>
        <w:tc>
          <w:tcPr>
            <w:tcW w:w="1830"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财务管理</w:t>
            </w:r>
          </w:p>
        </w:tc>
        <w:tc>
          <w:tcPr>
            <w:tcW w:w="4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拨付进度</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w:t>
            </w:r>
          </w:p>
        </w:tc>
      </w:tr>
      <w:tr>
        <w:tblPrEx>
          <w:tblLayout w:type="fixed"/>
          <w:tblCellMar>
            <w:top w:w="0" w:type="dxa"/>
            <w:left w:w="0" w:type="dxa"/>
            <w:bottom w:w="0" w:type="dxa"/>
            <w:right w:w="0" w:type="dxa"/>
          </w:tblCellMar>
        </w:tblPrEx>
        <w:trPr>
          <w:trHeight w:val="337" w:hRule="atLeast"/>
        </w:trPr>
        <w:tc>
          <w:tcPr>
            <w:tcW w:w="129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83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4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会计核算</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w:t>
            </w:r>
          </w:p>
        </w:tc>
      </w:tr>
      <w:tr>
        <w:tblPrEx>
          <w:tblLayout w:type="fixed"/>
          <w:tblCellMar>
            <w:top w:w="0" w:type="dxa"/>
            <w:left w:w="0" w:type="dxa"/>
            <w:bottom w:w="0" w:type="dxa"/>
            <w:right w:w="0" w:type="dxa"/>
          </w:tblCellMar>
        </w:tblPrEx>
        <w:trPr>
          <w:trHeight w:val="345" w:hRule="atLeast"/>
        </w:trPr>
        <w:tc>
          <w:tcPr>
            <w:tcW w:w="1290"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项目管理</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数量指标</w:t>
            </w:r>
          </w:p>
        </w:tc>
        <w:tc>
          <w:tcPr>
            <w:tcW w:w="4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完成数量（1项系统的升级改造）</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w:t>
            </w:r>
          </w:p>
        </w:tc>
      </w:tr>
      <w:tr>
        <w:tblPrEx>
          <w:tblLayout w:type="fixed"/>
          <w:tblCellMar>
            <w:top w:w="0" w:type="dxa"/>
            <w:left w:w="0" w:type="dxa"/>
            <w:bottom w:w="0" w:type="dxa"/>
            <w:right w:w="0" w:type="dxa"/>
          </w:tblCellMar>
        </w:tblPrEx>
        <w:trPr>
          <w:trHeight w:val="345" w:hRule="atLeast"/>
        </w:trPr>
        <w:tc>
          <w:tcPr>
            <w:tcW w:w="129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时效指标</w:t>
            </w:r>
          </w:p>
        </w:tc>
        <w:tc>
          <w:tcPr>
            <w:tcW w:w="4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完成时限</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w:t>
            </w:r>
          </w:p>
        </w:tc>
      </w:tr>
      <w:tr>
        <w:tblPrEx>
          <w:tblLayout w:type="fixed"/>
          <w:tblCellMar>
            <w:top w:w="0" w:type="dxa"/>
            <w:left w:w="0" w:type="dxa"/>
            <w:bottom w:w="0" w:type="dxa"/>
            <w:right w:w="0" w:type="dxa"/>
          </w:tblCellMar>
        </w:tblPrEx>
        <w:trPr>
          <w:trHeight w:val="350" w:hRule="atLeast"/>
        </w:trPr>
        <w:tc>
          <w:tcPr>
            <w:tcW w:w="129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质量指标</w:t>
            </w:r>
          </w:p>
        </w:tc>
        <w:tc>
          <w:tcPr>
            <w:tcW w:w="4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完成质量</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6.5</w:t>
            </w:r>
          </w:p>
        </w:tc>
      </w:tr>
      <w:tr>
        <w:tblPrEx>
          <w:tblLayout w:type="fixed"/>
          <w:tblCellMar>
            <w:top w:w="0" w:type="dxa"/>
            <w:left w:w="0" w:type="dxa"/>
            <w:bottom w:w="0" w:type="dxa"/>
            <w:right w:w="0" w:type="dxa"/>
          </w:tblCellMar>
        </w:tblPrEx>
        <w:trPr>
          <w:trHeight w:val="380" w:hRule="atLeast"/>
        </w:trPr>
        <w:tc>
          <w:tcPr>
            <w:tcW w:w="129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成本指标</w:t>
            </w:r>
          </w:p>
        </w:tc>
        <w:tc>
          <w:tcPr>
            <w:tcW w:w="4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成本控制</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6.5</w:t>
            </w:r>
          </w:p>
        </w:tc>
      </w:tr>
      <w:tr>
        <w:tblPrEx>
          <w:tblLayout w:type="fixed"/>
          <w:tblCellMar>
            <w:top w:w="0" w:type="dxa"/>
            <w:left w:w="0" w:type="dxa"/>
            <w:bottom w:w="0" w:type="dxa"/>
            <w:right w:w="0" w:type="dxa"/>
          </w:tblCellMar>
        </w:tblPrEx>
        <w:trPr>
          <w:trHeight w:val="345" w:hRule="atLeast"/>
        </w:trPr>
        <w:tc>
          <w:tcPr>
            <w:tcW w:w="1290"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效益指标</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社会效益</w:t>
            </w:r>
          </w:p>
        </w:tc>
        <w:tc>
          <w:tcPr>
            <w:tcW w:w="4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提升原系统的实用性、高效性、便利性，为目标</w:t>
            </w:r>
            <w:r>
              <w:rPr>
                <w:rFonts w:hint="eastAsia" w:ascii="宋体" w:hAnsi="宋体" w:cs="宋体"/>
                <w:i w:val="0"/>
                <w:color w:val="000000"/>
                <w:kern w:val="0"/>
                <w:sz w:val="24"/>
                <w:szCs w:val="24"/>
                <w:u w:val="none"/>
                <w:lang w:val="en-US" w:eastAsia="zh-CN" w:bidi="ar"/>
              </w:rPr>
              <w:t>管理</w:t>
            </w:r>
            <w:r>
              <w:rPr>
                <w:rFonts w:hint="eastAsia" w:ascii="宋体" w:hAnsi="宋体" w:eastAsia="宋体" w:cs="宋体"/>
                <w:i w:val="0"/>
                <w:color w:val="000000"/>
                <w:kern w:val="0"/>
                <w:sz w:val="24"/>
                <w:szCs w:val="24"/>
                <w:u w:val="none"/>
                <w:lang w:val="en-US" w:eastAsia="zh-CN" w:bidi="ar"/>
              </w:rPr>
              <w:t>工作开展提供辅助。</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19</w:t>
            </w:r>
          </w:p>
        </w:tc>
      </w:tr>
      <w:tr>
        <w:tblPrEx>
          <w:tblLayout w:type="fixed"/>
          <w:tblCellMar>
            <w:top w:w="0" w:type="dxa"/>
            <w:left w:w="0" w:type="dxa"/>
            <w:bottom w:w="0" w:type="dxa"/>
            <w:right w:w="0" w:type="dxa"/>
          </w:tblCellMar>
        </w:tblPrEx>
        <w:trPr>
          <w:trHeight w:val="680" w:hRule="atLeast"/>
        </w:trPr>
        <w:tc>
          <w:tcPr>
            <w:tcW w:w="1290"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可持续效益</w:t>
            </w:r>
          </w:p>
        </w:tc>
        <w:tc>
          <w:tcPr>
            <w:tcW w:w="4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为今后目标</w:t>
            </w:r>
            <w:r>
              <w:rPr>
                <w:rFonts w:hint="eastAsia" w:ascii="宋体" w:hAnsi="宋体" w:cs="宋体"/>
                <w:i w:val="0"/>
                <w:color w:val="000000"/>
                <w:kern w:val="0"/>
                <w:sz w:val="24"/>
                <w:szCs w:val="24"/>
                <w:u w:val="none"/>
                <w:lang w:val="en-US" w:eastAsia="zh-CN" w:bidi="ar"/>
              </w:rPr>
              <w:t>管理</w:t>
            </w:r>
            <w:r>
              <w:rPr>
                <w:rFonts w:hint="eastAsia" w:ascii="宋体" w:hAnsi="宋体" w:eastAsia="宋体" w:cs="宋体"/>
                <w:i w:val="0"/>
                <w:color w:val="000000"/>
                <w:kern w:val="0"/>
                <w:sz w:val="24"/>
                <w:szCs w:val="24"/>
                <w:u w:val="none"/>
                <w:lang w:val="en-US" w:eastAsia="zh-CN" w:bidi="ar"/>
              </w:rPr>
              <w:t>工作提供持续性的技术支撑</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19</w:t>
            </w:r>
          </w:p>
        </w:tc>
      </w:tr>
      <w:tr>
        <w:tblPrEx>
          <w:tblLayout w:type="fixed"/>
          <w:tblCellMar>
            <w:top w:w="0" w:type="dxa"/>
            <w:left w:w="0" w:type="dxa"/>
            <w:bottom w:w="0" w:type="dxa"/>
            <w:right w:w="0" w:type="dxa"/>
          </w:tblCellMar>
        </w:tblPrEx>
        <w:trPr>
          <w:trHeight w:val="345" w:hRule="atLeast"/>
        </w:trPr>
        <w:tc>
          <w:tcPr>
            <w:tcW w:w="129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满意度指标</w:t>
            </w:r>
          </w:p>
        </w:tc>
        <w:tc>
          <w:tcPr>
            <w:tcW w:w="18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服务对象满意度</w:t>
            </w:r>
          </w:p>
        </w:tc>
        <w:tc>
          <w:tcPr>
            <w:tcW w:w="4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系统使用人员满意度≥95%</w:t>
            </w:r>
          </w:p>
        </w:tc>
        <w:tc>
          <w:tcPr>
            <w:tcW w:w="6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15</w:t>
            </w:r>
          </w:p>
        </w:tc>
        <w:tc>
          <w:tcPr>
            <w:tcW w:w="6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14.5</w:t>
            </w:r>
          </w:p>
        </w:tc>
      </w:tr>
      <w:tr>
        <w:tblPrEx>
          <w:tblLayout w:type="fixed"/>
          <w:tblCellMar>
            <w:top w:w="0" w:type="dxa"/>
            <w:left w:w="0" w:type="dxa"/>
            <w:bottom w:w="0" w:type="dxa"/>
            <w:right w:w="0" w:type="dxa"/>
          </w:tblCellMar>
        </w:tblPrEx>
        <w:trPr>
          <w:trHeight w:val="340" w:hRule="atLeast"/>
        </w:trPr>
        <w:tc>
          <w:tcPr>
            <w:tcW w:w="7695"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合计</w:t>
            </w:r>
          </w:p>
        </w:tc>
        <w:tc>
          <w:tcPr>
            <w:tcW w:w="660"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100</w:t>
            </w:r>
          </w:p>
        </w:tc>
        <w:tc>
          <w:tcPr>
            <w:tcW w:w="630"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96.5</w:t>
            </w:r>
          </w:p>
        </w:tc>
      </w:tr>
    </w:tbl>
    <w:p>
      <w:pPr>
        <w:spacing w:line="600" w:lineRule="exact"/>
        <w:ind w:firstLine="720" w:firstLineChars="225"/>
        <w:rPr>
          <w:rFonts w:hint="eastAsia" w:eastAsia="楷体"/>
          <w:sz w:val="32"/>
          <w:szCs w:val="32"/>
          <w:lang w:eastAsia="zh-CN"/>
        </w:rPr>
      </w:pPr>
      <w:r>
        <w:rPr>
          <w:rFonts w:hint="eastAsia" w:eastAsia="楷体"/>
          <w:sz w:val="32"/>
          <w:szCs w:val="32"/>
          <w:lang w:eastAsia="zh-CN"/>
        </w:rPr>
        <w:t>（二）绩效分析</w:t>
      </w:r>
    </w:p>
    <w:p>
      <w:pPr>
        <w:spacing w:line="580" w:lineRule="exact"/>
        <w:ind w:firstLine="640" w:firstLineChars="200"/>
        <w:rPr>
          <w:rFonts w:hint="default" w:eastAsia="仿宋"/>
          <w:sz w:val="32"/>
          <w:szCs w:val="32"/>
          <w:lang w:val="en-US" w:eastAsia="zh-CN"/>
        </w:rPr>
      </w:pPr>
      <w:r>
        <w:rPr>
          <w:rFonts w:hint="eastAsia" w:eastAsia="仿宋"/>
          <w:sz w:val="32"/>
          <w:szCs w:val="32"/>
          <w:lang w:eastAsia="zh-CN"/>
        </w:rPr>
        <w:t>目标绩效管理信息系统平台升级改造和手机</w:t>
      </w:r>
      <w:r>
        <w:rPr>
          <w:rFonts w:hint="eastAsia" w:eastAsia="仿宋"/>
          <w:sz w:val="32"/>
          <w:szCs w:val="32"/>
          <w:lang w:val="en-US" w:eastAsia="zh-CN"/>
        </w:rPr>
        <w:t>APP开发项目，是在原有系统的基础上，经过认真分析研究提出的。项目的实施能更好的满足目标管理工作需要，为今后工作开展提供了更加高效便捷的技术支撑，具备项目实施的必要性和可行性。该项目完成后，既能够及时传达和接收目标管理工作要求，提高督查督办工作时效；又能够通过对督查工作的实时反馈，动态了解工作进程，促进工作开展。从项目实施者和资金使用者两个角度来看，该项目既满足了管理需求，也满足了使用需求，总体效益较好，经评价，总体得分96.5分。</w:t>
      </w:r>
    </w:p>
    <w:p>
      <w:pPr>
        <w:spacing w:line="600" w:lineRule="exact"/>
        <w:ind w:firstLine="640" w:firstLineChars="200"/>
        <w:rPr>
          <w:rFonts w:eastAsia="黑体"/>
          <w:sz w:val="32"/>
          <w:szCs w:val="32"/>
        </w:rPr>
      </w:pPr>
      <w:r>
        <w:rPr>
          <w:rFonts w:hint="eastAsia" w:eastAsia="黑体"/>
          <w:sz w:val="32"/>
          <w:szCs w:val="32"/>
          <w:lang w:eastAsia="zh-CN"/>
        </w:rPr>
        <w:t>三、</w:t>
      </w:r>
      <w:r>
        <w:rPr>
          <w:rFonts w:eastAsia="黑体"/>
          <w:sz w:val="32"/>
          <w:szCs w:val="32"/>
        </w:rPr>
        <w:t>存在主要问题</w:t>
      </w:r>
    </w:p>
    <w:p>
      <w:pPr>
        <w:spacing w:line="580" w:lineRule="exact"/>
        <w:ind w:firstLine="640" w:firstLineChars="200"/>
        <w:rPr>
          <w:rFonts w:hint="eastAsia" w:eastAsia="仿宋"/>
          <w:sz w:val="32"/>
          <w:szCs w:val="32"/>
          <w:lang w:eastAsia="zh-CN"/>
        </w:rPr>
      </w:pPr>
      <w:r>
        <w:rPr>
          <w:rFonts w:hint="eastAsia" w:eastAsia="仿宋"/>
          <w:sz w:val="32"/>
          <w:szCs w:val="32"/>
          <w:lang w:eastAsia="zh-CN"/>
        </w:rPr>
        <w:t>从项目实施效果看，目标绩效管理信息系统平台升级改造后，相较于原系统而言，变化较大，使得管理者和使用者不能立即熟悉相关操作，需要通过认真的学习和系统的磨合才能更好的发挥效益。</w:t>
      </w:r>
    </w:p>
    <w:p>
      <w:pPr>
        <w:spacing w:line="600" w:lineRule="exact"/>
        <w:ind w:firstLine="640" w:firstLineChars="200"/>
        <w:rPr>
          <w:rFonts w:hint="eastAsia" w:eastAsia="黑体"/>
          <w:sz w:val="32"/>
          <w:szCs w:val="32"/>
          <w:lang w:eastAsia="zh-CN"/>
        </w:rPr>
      </w:pPr>
      <w:r>
        <w:rPr>
          <w:rFonts w:hint="eastAsia" w:eastAsia="黑体"/>
          <w:sz w:val="32"/>
          <w:szCs w:val="32"/>
          <w:lang w:eastAsia="zh-CN"/>
        </w:rPr>
        <w:t>四、</w:t>
      </w:r>
      <w:r>
        <w:rPr>
          <w:rFonts w:eastAsia="黑体"/>
          <w:sz w:val="32"/>
          <w:szCs w:val="32"/>
        </w:rPr>
        <w:t>相关措施建议</w:t>
      </w:r>
    </w:p>
    <w:p>
      <w:pPr>
        <w:spacing w:line="580" w:lineRule="exact"/>
        <w:ind w:firstLine="640" w:firstLineChars="200"/>
        <w:rPr>
          <w:rFonts w:hint="eastAsia" w:eastAsia="仿宋"/>
          <w:sz w:val="32"/>
          <w:szCs w:val="32"/>
          <w:lang w:eastAsia="zh-CN"/>
        </w:rPr>
      </w:pPr>
      <w:r>
        <w:rPr>
          <w:rFonts w:hint="eastAsia" w:eastAsia="仿宋"/>
          <w:sz w:val="32"/>
          <w:szCs w:val="32"/>
          <w:lang w:eastAsia="zh-CN"/>
        </w:rPr>
        <w:t>结合实际工作需要，加强与技术提供者的沟通，共同寻求解决办法，提高系统入门和操作的便捷性。</w:t>
      </w:r>
    </w:p>
    <w:p>
      <w:pPr>
        <w:spacing w:line="600" w:lineRule="exact"/>
        <w:jc w:val="center"/>
        <w:outlineLvl w:val="0"/>
        <w:rPr>
          <w:rFonts w:eastAsia="黑体"/>
          <w:color w:val="000000"/>
          <w:sz w:val="44"/>
          <w:szCs w:val="44"/>
        </w:rPr>
      </w:pPr>
      <w:bookmarkStart w:id="61" w:name="_Toc15396618"/>
    </w:p>
    <w:p>
      <w:pPr>
        <w:spacing w:line="600" w:lineRule="exact"/>
        <w:jc w:val="center"/>
        <w:outlineLvl w:val="0"/>
        <w:rPr>
          <w:rFonts w:eastAsia="黑体"/>
          <w:color w:val="000000"/>
          <w:sz w:val="44"/>
          <w:szCs w:val="44"/>
        </w:rPr>
      </w:pPr>
    </w:p>
    <w:p>
      <w:pPr>
        <w:spacing w:line="600" w:lineRule="exact"/>
        <w:jc w:val="center"/>
        <w:outlineLvl w:val="0"/>
        <w:rPr>
          <w:rFonts w:eastAsia="黑体"/>
          <w:color w:val="000000"/>
          <w:sz w:val="44"/>
          <w:szCs w:val="44"/>
        </w:rPr>
      </w:pPr>
    </w:p>
    <w:p>
      <w:pPr>
        <w:spacing w:line="600" w:lineRule="exact"/>
        <w:jc w:val="center"/>
        <w:outlineLvl w:val="0"/>
        <w:rPr>
          <w:rFonts w:eastAsia="黑体"/>
          <w:color w:val="000000"/>
          <w:sz w:val="44"/>
          <w:szCs w:val="44"/>
        </w:rPr>
      </w:pPr>
    </w:p>
    <w:p>
      <w:pPr>
        <w:spacing w:line="600" w:lineRule="exact"/>
        <w:jc w:val="center"/>
        <w:outlineLvl w:val="0"/>
        <w:rPr>
          <w:rFonts w:eastAsia="黑体"/>
          <w:color w:val="000000"/>
          <w:sz w:val="44"/>
          <w:szCs w:val="44"/>
        </w:rPr>
      </w:pPr>
    </w:p>
    <w:p>
      <w:pPr>
        <w:spacing w:line="600" w:lineRule="exact"/>
        <w:jc w:val="center"/>
        <w:outlineLvl w:val="0"/>
        <w:rPr>
          <w:rFonts w:eastAsia="黑体"/>
          <w:color w:val="000000"/>
          <w:sz w:val="44"/>
          <w:szCs w:val="44"/>
        </w:rPr>
      </w:pPr>
    </w:p>
    <w:p>
      <w:pPr>
        <w:spacing w:line="600" w:lineRule="exact"/>
        <w:jc w:val="center"/>
        <w:outlineLvl w:val="0"/>
        <w:rPr>
          <w:rFonts w:eastAsia="黑体"/>
          <w:color w:val="000000"/>
          <w:sz w:val="44"/>
          <w:szCs w:val="44"/>
        </w:rPr>
      </w:pPr>
    </w:p>
    <w:p>
      <w:pPr>
        <w:spacing w:line="600" w:lineRule="exact"/>
        <w:jc w:val="center"/>
        <w:outlineLvl w:val="0"/>
        <w:rPr>
          <w:rFonts w:eastAsia="黑体"/>
          <w:color w:val="000000"/>
          <w:sz w:val="44"/>
          <w:szCs w:val="44"/>
        </w:rPr>
      </w:pPr>
    </w:p>
    <w:p>
      <w:pPr>
        <w:spacing w:line="600" w:lineRule="exact"/>
        <w:jc w:val="center"/>
        <w:outlineLvl w:val="0"/>
        <w:rPr>
          <w:rFonts w:eastAsia="黑体"/>
          <w:color w:val="000000"/>
          <w:sz w:val="44"/>
          <w:szCs w:val="44"/>
        </w:rPr>
      </w:pPr>
    </w:p>
    <w:p>
      <w:pPr>
        <w:spacing w:line="600" w:lineRule="exact"/>
        <w:jc w:val="center"/>
        <w:outlineLvl w:val="0"/>
        <w:rPr>
          <w:rFonts w:eastAsia="黑体"/>
          <w:color w:val="000000"/>
          <w:sz w:val="44"/>
          <w:szCs w:val="44"/>
        </w:rPr>
      </w:pPr>
    </w:p>
    <w:p>
      <w:pPr>
        <w:spacing w:line="600" w:lineRule="exact"/>
        <w:jc w:val="center"/>
        <w:outlineLvl w:val="0"/>
        <w:rPr>
          <w:rStyle w:val="24"/>
          <w:rFonts w:eastAsia="黑体"/>
          <w:b w:val="0"/>
        </w:rPr>
      </w:pPr>
      <w:r>
        <w:rPr>
          <w:rFonts w:eastAsia="黑体"/>
          <w:color w:val="000000"/>
          <w:sz w:val="44"/>
          <w:szCs w:val="44"/>
        </w:rPr>
        <w:t>第</w:t>
      </w:r>
      <w:r>
        <w:rPr>
          <w:rStyle w:val="24"/>
          <w:rFonts w:eastAsia="黑体"/>
          <w:b w:val="0"/>
        </w:rPr>
        <w:t>五部分 附表</w:t>
      </w:r>
      <w:bookmarkEnd w:id="58"/>
      <w:bookmarkEnd w:id="61"/>
    </w:p>
    <w:p>
      <w:pPr>
        <w:spacing w:line="600" w:lineRule="exact"/>
        <w:jc w:val="center"/>
        <w:outlineLvl w:val="0"/>
        <w:rPr>
          <w:rFonts w:eastAsia="仿宋"/>
          <w:b/>
          <w:color w:val="000000"/>
          <w:sz w:val="44"/>
          <w:szCs w:val="44"/>
        </w:rPr>
      </w:pPr>
    </w:p>
    <w:p>
      <w:pPr>
        <w:pStyle w:val="3"/>
        <w:spacing w:line="600" w:lineRule="exact"/>
        <w:rPr>
          <w:rFonts w:ascii="Times New Roman" w:hAnsi="Times New Roman" w:eastAsia="仿宋" w:cs="Times New Roman"/>
          <w:color w:val="000000"/>
        </w:rPr>
      </w:pPr>
      <w:bookmarkStart w:id="62" w:name="_Toc15396619"/>
      <w:r>
        <w:rPr>
          <w:rFonts w:ascii="Times New Roman" w:hAnsi="Times New Roman" w:eastAsia="仿宋" w:cs="Times New Roman"/>
          <w:b w:val="0"/>
          <w:color w:val="000000"/>
        </w:rPr>
        <w:t>一、收</w:t>
      </w:r>
      <w:r>
        <w:rPr>
          <w:rStyle w:val="25"/>
          <w:rFonts w:ascii="Times New Roman" w:hAnsi="Times New Roman" w:eastAsia="仿宋" w:cs="Times New Roman"/>
          <w:b w:val="0"/>
          <w:bCs w:val="0"/>
        </w:rPr>
        <w:t>入支出决算总表</w:t>
      </w:r>
      <w:bookmarkEnd w:id="62"/>
    </w:p>
    <w:p>
      <w:pPr>
        <w:pStyle w:val="3"/>
        <w:spacing w:line="600" w:lineRule="exact"/>
        <w:rPr>
          <w:rFonts w:ascii="Times New Roman" w:hAnsi="Times New Roman" w:eastAsia="仿宋" w:cs="Times New Roman"/>
          <w:color w:val="000000"/>
        </w:rPr>
      </w:pPr>
      <w:bookmarkStart w:id="63" w:name="_Toc15396620"/>
      <w:r>
        <w:rPr>
          <w:rFonts w:ascii="Times New Roman" w:hAnsi="Times New Roman" w:eastAsia="仿宋" w:cs="Times New Roman"/>
          <w:b w:val="0"/>
          <w:color w:val="000000"/>
        </w:rPr>
        <w:t>二、收</w:t>
      </w:r>
      <w:r>
        <w:rPr>
          <w:rStyle w:val="25"/>
          <w:rFonts w:ascii="Times New Roman" w:hAnsi="Times New Roman" w:eastAsia="仿宋" w:cs="Times New Roman"/>
          <w:b w:val="0"/>
          <w:bCs w:val="0"/>
        </w:rPr>
        <w:t>入总表</w:t>
      </w:r>
      <w:bookmarkEnd w:id="63"/>
    </w:p>
    <w:p>
      <w:pPr>
        <w:pStyle w:val="3"/>
        <w:spacing w:line="600" w:lineRule="exact"/>
        <w:rPr>
          <w:rFonts w:ascii="Times New Roman" w:hAnsi="Times New Roman" w:eastAsia="仿宋" w:cs="Times New Roman"/>
          <w:color w:val="000000"/>
        </w:rPr>
      </w:pPr>
      <w:bookmarkStart w:id="64" w:name="_Toc15396621"/>
      <w:r>
        <w:rPr>
          <w:rStyle w:val="25"/>
          <w:rFonts w:ascii="Times New Roman" w:hAnsi="Times New Roman" w:eastAsia="仿宋" w:cs="Times New Roman"/>
          <w:b w:val="0"/>
          <w:bCs w:val="0"/>
        </w:rPr>
        <w:t>三、</w:t>
      </w:r>
      <w:r>
        <w:rPr>
          <w:rFonts w:ascii="Times New Roman" w:hAnsi="Times New Roman" w:eastAsia="仿宋" w:cs="Times New Roman"/>
          <w:b w:val="0"/>
          <w:color w:val="000000"/>
        </w:rPr>
        <w:t>支</w:t>
      </w:r>
      <w:r>
        <w:rPr>
          <w:rStyle w:val="25"/>
          <w:rFonts w:ascii="Times New Roman" w:hAnsi="Times New Roman" w:eastAsia="仿宋" w:cs="Times New Roman"/>
          <w:b w:val="0"/>
          <w:bCs w:val="0"/>
        </w:rPr>
        <w:t>出总表</w:t>
      </w:r>
      <w:bookmarkEnd w:id="64"/>
    </w:p>
    <w:p>
      <w:pPr>
        <w:pStyle w:val="3"/>
        <w:spacing w:line="600" w:lineRule="exact"/>
        <w:rPr>
          <w:rFonts w:ascii="Times New Roman" w:hAnsi="Times New Roman" w:eastAsia="仿宋" w:cs="Times New Roman"/>
          <w:b w:val="0"/>
          <w:color w:val="000000"/>
        </w:rPr>
      </w:pPr>
      <w:bookmarkStart w:id="65" w:name="_Toc15396622"/>
      <w:r>
        <w:rPr>
          <w:rStyle w:val="25"/>
          <w:rFonts w:ascii="Times New Roman" w:hAnsi="Times New Roman" w:eastAsia="仿宋" w:cs="Times New Roman"/>
          <w:b w:val="0"/>
          <w:bCs w:val="0"/>
        </w:rPr>
        <w:t>四、</w:t>
      </w:r>
      <w:r>
        <w:rPr>
          <w:rFonts w:ascii="Times New Roman" w:hAnsi="Times New Roman" w:eastAsia="仿宋" w:cs="Times New Roman"/>
          <w:b w:val="0"/>
          <w:color w:val="000000"/>
        </w:rPr>
        <w:t>财</w:t>
      </w:r>
      <w:r>
        <w:rPr>
          <w:rStyle w:val="25"/>
          <w:rFonts w:ascii="Times New Roman" w:hAnsi="Times New Roman" w:eastAsia="仿宋" w:cs="Times New Roman"/>
          <w:b w:val="0"/>
          <w:bCs w:val="0"/>
        </w:rPr>
        <w:t>政拨款收入支出决算总表</w:t>
      </w:r>
      <w:bookmarkEnd w:id="65"/>
    </w:p>
    <w:p>
      <w:pPr>
        <w:pStyle w:val="3"/>
        <w:spacing w:line="600" w:lineRule="exact"/>
        <w:rPr>
          <w:rFonts w:ascii="Times New Roman" w:hAnsi="Times New Roman" w:eastAsia="仿宋" w:cs="Times New Roman"/>
          <w:color w:val="000000"/>
        </w:rPr>
      </w:pPr>
      <w:bookmarkStart w:id="66" w:name="_Toc15396623"/>
      <w:r>
        <w:rPr>
          <w:rStyle w:val="25"/>
          <w:rFonts w:ascii="Times New Roman" w:hAnsi="Times New Roman" w:eastAsia="仿宋" w:cs="Times New Roman"/>
          <w:b w:val="0"/>
          <w:bCs w:val="0"/>
        </w:rPr>
        <w:t>五、</w:t>
      </w:r>
      <w:r>
        <w:rPr>
          <w:rFonts w:ascii="Times New Roman" w:hAnsi="Times New Roman" w:eastAsia="仿宋" w:cs="Times New Roman"/>
          <w:b w:val="0"/>
          <w:color w:val="000000"/>
        </w:rPr>
        <w:t>财</w:t>
      </w:r>
      <w:r>
        <w:rPr>
          <w:rStyle w:val="25"/>
          <w:rFonts w:ascii="Times New Roman" w:hAnsi="Times New Roman" w:eastAsia="仿宋" w:cs="Times New Roman"/>
          <w:b w:val="0"/>
          <w:bCs w:val="0"/>
        </w:rPr>
        <w:t>政拨款支出决算明细表（政府经济分类科目）</w:t>
      </w:r>
      <w:bookmarkEnd w:id="66"/>
    </w:p>
    <w:p>
      <w:pPr>
        <w:pStyle w:val="3"/>
        <w:spacing w:line="600" w:lineRule="exact"/>
        <w:rPr>
          <w:rFonts w:ascii="Times New Roman" w:hAnsi="Times New Roman" w:eastAsia="仿宋" w:cs="Times New Roman"/>
          <w:color w:val="000000"/>
        </w:rPr>
      </w:pPr>
      <w:bookmarkStart w:id="67" w:name="_Toc15396624"/>
      <w:r>
        <w:rPr>
          <w:rStyle w:val="25"/>
          <w:rFonts w:ascii="Times New Roman" w:hAnsi="Times New Roman" w:eastAsia="仿宋" w:cs="Times New Roman"/>
          <w:b w:val="0"/>
          <w:bCs w:val="0"/>
        </w:rPr>
        <w:t>六、</w:t>
      </w:r>
      <w:r>
        <w:rPr>
          <w:rFonts w:ascii="Times New Roman" w:hAnsi="Times New Roman" w:eastAsia="仿宋" w:cs="Times New Roman"/>
          <w:b w:val="0"/>
          <w:color w:val="000000"/>
        </w:rPr>
        <w:t>一</w:t>
      </w:r>
      <w:r>
        <w:rPr>
          <w:rStyle w:val="25"/>
          <w:rFonts w:ascii="Times New Roman" w:hAnsi="Times New Roman" w:eastAsia="仿宋" w:cs="Times New Roman"/>
          <w:b w:val="0"/>
          <w:bCs w:val="0"/>
        </w:rPr>
        <w:t>般公共预算财政拨款支出决算表</w:t>
      </w:r>
      <w:bookmarkEnd w:id="67"/>
    </w:p>
    <w:p>
      <w:pPr>
        <w:pStyle w:val="3"/>
        <w:spacing w:line="600" w:lineRule="exact"/>
        <w:rPr>
          <w:rFonts w:ascii="Times New Roman" w:hAnsi="Times New Roman" w:eastAsia="仿宋" w:cs="Times New Roman"/>
          <w:color w:val="000000"/>
        </w:rPr>
      </w:pPr>
      <w:bookmarkStart w:id="68" w:name="_Toc15396625"/>
      <w:r>
        <w:rPr>
          <w:rStyle w:val="25"/>
          <w:rFonts w:ascii="Times New Roman" w:hAnsi="Times New Roman" w:eastAsia="仿宋" w:cs="Times New Roman"/>
          <w:b w:val="0"/>
          <w:bCs w:val="0"/>
        </w:rPr>
        <w:t>七、</w:t>
      </w:r>
      <w:r>
        <w:rPr>
          <w:rFonts w:ascii="Times New Roman" w:hAnsi="Times New Roman" w:eastAsia="仿宋" w:cs="Times New Roman"/>
          <w:b w:val="0"/>
          <w:color w:val="000000"/>
        </w:rPr>
        <w:t>一</w:t>
      </w:r>
      <w:r>
        <w:rPr>
          <w:rStyle w:val="25"/>
          <w:rFonts w:ascii="Times New Roman" w:hAnsi="Times New Roman" w:eastAsia="仿宋" w:cs="Times New Roman"/>
          <w:b w:val="0"/>
          <w:bCs w:val="0"/>
        </w:rPr>
        <w:t>般公共预算财政拨款支出决算明细表</w:t>
      </w:r>
      <w:bookmarkEnd w:id="68"/>
    </w:p>
    <w:p>
      <w:pPr>
        <w:pStyle w:val="3"/>
        <w:spacing w:line="600" w:lineRule="exact"/>
        <w:rPr>
          <w:rFonts w:ascii="Times New Roman" w:hAnsi="Times New Roman" w:eastAsia="仿宋" w:cs="Times New Roman"/>
          <w:color w:val="000000"/>
        </w:rPr>
      </w:pPr>
      <w:bookmarkStart w:id="69" w:name="_Toc15396626"/>
      <w:r>
        <w:rPr>
          <w:rStyle w:val="25"/>
          <w:rFonts w:ascii="Times New Roman" w:hAnsi="Times New Roman" w:eastAsia="仿宋" w:cs="Times New Roman"/>
          <w:b w:val="0"/>
          <w:bCs w:val="0"/>
        </w:rPr>
        <w:t>八、</w:t>
      </w:r>
      <w:r>
        <w:rPr>
          <w:rFonts w:ascii="Times New Roman" w:hAnsi="Times New Roman" w:eastAsia="仿宋" w:cs="Times New Roman"/>
          <w:b w:val="0"/>
          <w:color w:val="000000"/>
        </w:rPr>
        <w:t>一</w:t>
      </w:r>
      <w:r>
        <w:rPr>
          <w:rStyle w:val="25"/>
          <w:rFonts w:ascii="Times New Roman" w:hAnsi="Times New Roman" w:eastAsia="仿宋" w:cs="Times New Roman"/>
          <w:b w:val="0"/>
          <w:bCs w:val="0"/>
        </w:rPr>
        <w:t>般公共预算财政拨款基本支出决算表</w:t>
      </w:r>
      <w:bookmarkEnd w:id="69"/>
    </w:p>
    <w:p>
      <w:pPr>
        <w:pStyle w:val="3"/>
        <w:spacing w:line="600" w:lineRule="exact"/>
        <w:rPr>
          <w:rFonts w:ascii="Times New Roman" w:hAnsi="Times New Roman" w:eastAsia="仿宋" w:cs="Times New Roman"/>
          <w:color w:val="000000"/>
        </w:rPr>
      </w:pPr>
      <w:bookmarkStart w:id="70" w:name="_Toc15396627"/>
      <w:r>
        <w:rPr>
          <w:rStyle w:val="25"/>
          <w:rFonts w:ascii="Times New Roman" w:hAnsi="Times New Roman" w:eastAsia="仿宋" w:cs="Times New Roman"/>
          <w:b w:val="0"/>
          <w:bCs w:val="0"/>
        </w:rPr>
        <w:t>九、</w:t>
      </w:r>
      <w:r>
        <w:rPr>
          <w:rFonts w:ascii="Times New Roman" w:hAnsi="Times New Roman" w:eastAsia="仿宋" w:cs="Times New Roman"/>
          <w:b w:val="0"/>
          <w:color w:val="000000"/>
        </w:rPr>
        <w:t>一</w:t>
      </w:r>
      <w:r>
        <w:rPr>
          <w:rStyle w:val="25"/>
          <w:rFonts w:ascii="Times New Roman" w:hAnsi="Times New Roman" w:eastAsia="仿宋" w:cs="Times New Roman"/>
          <w:b w:val="0"/>
          <w:bCs w:val="0"/>
        </w:rPr>
        <w:t>般公共预算财政拨款项目支出决算表</w:t>
      </w:r>
      <w:bookmarkEnd w:id="70"/>
    </w:p>
    <w:p>
      <w:pPr>
        <w:pStyle w:val="3"/>
        <w:spacing w:line="600" w:lineRule="exact"/>
        <w:rPr>
          <w:rFonts w:ascii="Times New Roman" w:hAnsi="Times New Roman" w:eastAsia="仿宋" w:cs="Times New Roman"/>
          <w:color w:val="000000"/>
        </w:rPr>
      </w:pPr>
      <w:bookmarkStart w:id="71" w:name="_Toc15396628"/>
      <w:r>
        <w:rPr>
          <w:rStyle w:val="25"/>
          <w:rFonts w:ascii="Times New Roman" w:hAnsi="Times New Roman" w:eastAsia="仿宋" w:cs="Times New Roman"/>
          <w:b w:val="0"/>
          <w:bCs w:val="0"/>
        </w:rPr>
        <w:t>十、</w:t>
      </w:r>
      <w:r>
        <w:rPr>
          <w:rFonts w:ascii="Times New Roman" w:hAnsi="Times New Roman" w:eastAsia="仿宋" w:cs="Times New Roman"/>
          <w:b w:val="0"/>
          <w:color w:val="000000"/>
        </w:rPr>
        <w:t>一</w:t>
      </w:r>
      <w:r>
        <w:rPr>
          <w:rStyle w:val="25"/>
          <w:rFonts w:ascii="Times New Roman" w:hAnsi="Times New Roman" w:eastAsia="仿宋" w:cs="Times New Roman"/>
          <w:b w:val="0"/>
          <w:bCs w:val="0"/>
        </w:rPr>
        <w:t>般公共预算财政拨款“三公”经费支出决算表</w:t>
      </w:r>
      <w:bookmarkEnd w:id="71"/>
    </w:p>
    <w:p>
      <w:pPr>
        <w:pStyle w:val="3"/>
        <w:spacing w:line="600" w:lineRule="exact"/>
        <w:rPr>
          <w:rFonts w:ascii="Times New Roman" w:hAnsi="Times New Roman" w:eastAsia="仿宋" w:cs="Times New Roman"/>
          <w:color w:val="000000"/>
        </w:rPr>
      </w:pPr>
      <w:bookmarkStart w:id="72" w:name="_Toc15396629"/>
      <w:r>
        <w:rPr>
          <w:rStyle w:val="25"/>
          <w:rFonts w:ascii="Times New Roman" w:hAnsi="Times New Roman" w:eastAsia="仿宋" w:cs="Times New Roman"/>
          <w:b w:val="0"/>
          <w:bCs w:val="0"/>
        </w:rPr>
        <w:t>十一、</w:t>
      </w:r>
      <w:r>
        <w:rPr>
          <w:rFonts w:ascii="Times New Roman" w:hAnsi="Times New Roman" w:eastAsia="仿宋" w:cs="Times New Roman"/>
          <w:b w:val="0"/>
          <w:color w:val="000000"/>
        </w:rPr>
        <w:t>政</w:t>
      </w:r>
      <w:r>
        <w:rPr>
          <w:rStyle w:val="25"/>
          <w:rFonts w:ascii="Times New Roman" w:hAnsi="Times New Roman" w:eastAsia="仿宋" w:cs="Times New Roman"/>
          <w:b w:val="0"/>
          <w:bCs w:val="0"/>
        </w:rPr>
        <w:t>府性基金预算财政拨款收入支出决算表</w:t>
      </w:r>
      <w:bookmarkEnd w:id="72"/>
    </w:p>
    <w:p>
      <w:pPr>
        <w:pStyle w:val="3"/>
        <w:spacing w:line="600" w:lineRule="exact"/>
        <w:rPr>
          <w:rFonts w:ascii="Times New Roman" w:hAnsi="Times New Roman" w:eastAsia="仿宋" w:cs="Times New Roman"/>
          <w:color w:val="000000"/>
        </w:rPr>
      </w:pPr>
      <w:bookmarkStart w:id="73" w:name="_Toc15396630"/>
      <w:r>
        <w:rPr>
          <w:rStyle w:val="25"/>
          <w:rFonts w:ascii="Times New Roman" w:hAnsi="Times New Roman" w:eastAsia="仿宋" w:cs="Times New Roman"/>
          <w:b w:val="0"/>
          <w:bCs w:val="0"/>
        </w:rPr>
        <w:t>十二、</w:t>
      </w:r>
      <w:r>
        <w:rPr>
          <w:rFonts w:ascii="Times New Roman" w:hAnsi="Times New Roman" w:eastAsia="仿宋" w:cs="Times New Roman"/>
          <w:b w:val="0"/>
          <w:color w:val="000000"/>
        </w:rPr>
        <w:t>政</w:t>
      </w:r>
      <w:r>
        <w:rPr>
          <w:rStyle w:val="25"/>
          <w:rFonts w:ascii="Times New Roman" w:hAnsi="Times New Roman" w:eastAsia="仿宋" w:cs="Times New Roman"/>
          <w:b w:val="0"/>
          <w:bCs w:val="0"/>
        </w:rPr>
        <w:t>府性基金预算财政拨款“三公”经费支出决算表</w:t>
      </w:r>
      <w:bookmarkEnd w:id="73"/>
    </w:p>
    <w:p>
      <w:pPr>
        <w:pStyle w:val="3"/>
        <w:spacing w:line="600" w:lineRule="exact"/>
        <w:rPr>
          <w:rFonts w:ascii="Times New Roman" w:hAnsi="Times New Roman" w:eastAsia="仿宋" w:cs="Times New Roman"/>
          <w:color w:val="000000" w:themeColor="text1"/>
        </w:rPr>
      </w:pPr>
      <w:bookmarkStart w:id="74" w:name="_Toc15396631"/>
      <w:r>
        <w:rPr>
          <w:rStyle w:val="25"/>
          <w:rFonts w:ascii="Times New Roman" w:hAnsi="Times New Roman" w:eastAsia="仿宋" w:cs="Times New Roman"/>
          <w:b w:val="0"/>
          <w:bCs w:val="0"/>
        </w:rPr>
        <w:t>十三、</w:t>
      </w:r>
      <w:r>
        <w:rPr>
          <w:rFonts w:ascii="Times New Roman" w:hAnsi="Times New Roman" w:eastAsia="仿宋" w:cs="Times New Roman"/>
          <w:b w:val="0"/>
          <w:color w:val="000000"/>
        </w:rPr>
        <w:t>国</w:t>
      </w:r>
      <w:r>
        <w:rPr>
          <w:rStyle w:val="25"/>
          <w:rFonts w:ascii="Times New Roman" w:hAnsi="Times New Roman" w:eastAsia="仿宋" w:cs="Times New Roman"/>
          <w:b w:val="0"/>
          <w:bCs w:val="0"/>
        </w:rPr>
        <w:t>有资本经营预算支出决算表</w:t>
      </w:r>
      <w:bookmarkEnd w:id="74"/>
    </w:p>
    <w:sectPr>
      <w:headerReference r:id="rId3" w:type="default"/>
      <w:footerReference r:id="rId4" w:type="default"/>
      <w:pgSz w:w="11906" w:h="16838"/>
      <w:pgMar w:top="2098" w:right="1474" w:bottom="1985" w:left="1588"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altName w:val="黑体"/>
    <w:panose1 w:val="03000509000000000000"/>
    <w:charset w:val="86"/>
    <w:family w:val="script"/>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Calibri">
    <w:panose1 w:val="020F0502020204030204"/>
    <w:charset w:val="01"/>
    <w:family w:val="auto"/>
    <w:pitch w:val="default"/>
    <w:sig w:usb0="E00002FF" w:usb1="4000ACFF" w:usb2="00000001" w:usb3="00000000" w:csb0="2000019F" w:csb1="00000000"/>
  </w:font>
  <w:font w:name="楷体_GB2312">
    <w:altName w:val="楷体"/>
    <w:panose1 w:val="00000000000000000000"/>
    <w:charset w:val="86"/>
    <w:family w:val="auto"/>
    <w:pitch w:val="default"/>
    <w:sig w:usb0="00000000" w:usb1="00000000" w:usb2="00000000" w:usb3="00000000" w:csb0="00040000" w:csb1="00000000"/>
  </w:font>
  <w:font w:name="方正小标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94781956"/>
      <w:docPartObj>
        <w:docPartGallery w:val="autotext"/>
      </w:docPartObj>
    </w:sdtPr>
    <w:sdtContent>
      <w:p>
        <w:pPr>
          <w:pStyle w:val="8"/>
          <w:jc w:val="center"/>
        </w:pPr>
        <w:r>
          <w:fldChar w:fldCharType="begin"/>
        </w:r>
        <w:r>
          <w:instrText xml:space="preserve">PAGE   \* MERGEFORMAT</w:instrText>
        </w:r>
        <w:r>
          <w:fldChar w:fldCharType="separate"/>
        </w:r>
        <w:r>
          <w:rPr>
            <w:lang w:val="zh-CN"/>
          </w:rPr>
          <w:t>41</w:t>
        </w:r>
        <w:r>
          <w:rPr>
            <w:lang w:val="zh-CN"/>
          </w:rPr>
          <w:fldChar w:fldCharType="end"/>
        </w:r>
      </w:p>
    </w:sdtContent>
  </w:sdt>
  <w:p>
    <w:pPr>
      <w:pStyle w:val="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F652CEC"/>
    <w:multiLevelType w:val="singleLevel"/>
    <w:tmpl w:val="CF652CEC"/>
    <w:lvl w:ilvl="0" w:tentative="0">
      <w:start w:val="9"/>
      <w:numFmt w:val="chineseCounting"/>
      <w:suff w:val="nothing"/>
      <w:lvlText w:val="%1、"/>
      <w:lvlJc w:val="left"/>
      <w:rPr>
        <w:rFonts w:hint="eastAsia"/>
      </w:rPr>
    </w:lvl>
  </w:abstractNum>
  <w:abstractNum w:abstractNumId="1">
    <w:nsid w:val="E2FA047D"/>
    <w:multiLevelType w:val="singleLevel"/>
    <w:tmpl w:val="E2FA047D"/>
    <w:lvl w:ilvl="0" w:tentative="0">
      <w:start w:val="3"/>
      <w:numFmt w:val="chineseCounting"/>
      <w:suff w:val="space"/>
      <w:lvlText w:val="第%1部分"/>
      <w:lvlJc w:val="left"/>
      <w:rPr>
        <w:rFonts w:hint="eastAsia"/>
      </w:rPr>
    </w:lvl>
  </w:abstractNum>
  <w:abstractNum w:abstractNumId="2">
    <w:nsid w:val="EC0BEF30"/>
    <w:multiLevelType w:val="singleLevel"/>
    <w:tmpl w:val="EC0BEF30"/>
    <w:lvl w:ilvl="0" w:tentative="0">
      <w:start w:val="1"/>
      <w:numFmt w:val="chineseCounting"/>
      <w:suff w:val="nothing"/>
      <w:lvlText w:val="（%1）"/>
      <w:lvlJc w:val="left"/>
      <w:rPr>
        <w:rFonts w:hint="eastAsia" w:ascii="楷体" w:hAnsi="楷体" w:eastAsia="楷体" w:cs="楷体_GB2312"/>
        <w:b w:val="0"/>
        <w:bCs/>
        <w:sz w:val="32"/>
        <w:szCs w:val="32"/>
      </w:rPr>
    </w:lvl>
  </w:abstractNum>
  <w:abstractNum w:abstractNumId="3">
    <w:nsid w:val="1272550B"/>
    <w:multiLevelType w:val="multilevel"/>
    <w:tmpl w:val="1272550B"/>
    <w:lvl w:ilvl="0" w:tentative="0">
      <w:start w:val="1"/>
      <w:numFmt w:val="japaneseCounting"/>
      <w:lvlText w:val="%1、"/>
      <w:lvlJc w:val="left"/>
      <w:pPr>
        <w:ind w:left="1360" w:hanging="720"/>
      </w:pPr>
      <w:rPr>
        <w:rFonts w:hint="default"/>
        <w:b w:val="0"/>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4">
    <w:nsid w:val="17F426B7"/>
    <w:multiLevelType w:val="multilevel"/>
    <w:tmpl w:val="17F426B7"/>
    <w:lvl w:ilvl="0" w:tentative="0">
      <w:start w:val="10"/>
      <w:numFmt w:val="japaneseCounting"/>
      <w:lvlText w:val="%1、"/>
      <w:lvlJc w:val="left"/>
      <w:pPr>
        <w:ind w:left="1429" w:hanging="720"/>
      </w:pPr>
      <w:rPr>
        <w:rFonts w:hint="default"/>
      </w:rPr>
    </w:lvl>
    <w:lvl w:ilvl="1" w:tentative="0">
      <w:start w:val="1"/>
      <w:numFmt w:val="lowerLetter"/>
      <w:lvlText w:val="%2)"/>
      <w:lvlJc w:val="left"/>
      <w:pPr>
        <w:ind w:left="1549" w:hanging="420"/>
      </w:pPr>
    </w:lvl>
    <w:lvl w:ilvl="2" w:tentative="0">
      <w:start w:val="1"/>
      <w:numFmt w:val="lowerRoman"/>
      <w:lvlText w:val="%3."/>
      <w:lvlJc w:val="right"/>
      <w:pPr>
        <w:ind w:left="1969" w:hanging="420"/>
      </w:pPr>
    </w:lvl>
    <w:lvl w:ilvl="3" w:tentative="0">
      <w:start w:val="1"/>
      <w:numFmt w:val="decimal"/>
      <w:lvlText w:val="%4."/>
      <w:lvlJc w:val="left"/>
      <w:pPr>
        <w:ind w:left="2389" w:hanging="420"/>
      </w:pPr>
    </w:lvl>
    <w:lvl w:ilvl="4" w:tentative="0">
      <w:start w:val="1"/>
      <w:numFmt w:val="lowerLetter"/>
      <w:lvlText w:val="%5)"/>
      <w:lvlJc w:val="left"/>
      <w:pPr>
        <w:ind w:left="2809" w:hanging="420"/>
      </w:pPr>
    </w:lvl>
    <w:lvl w:ilvl="5" w:tentative="0">
      <w:start w:val="1"/>
      <w:numFmt w:val="lowerRoman"/>
      <w:lvlText w:val="%6."/>
      <w:lvlJc w:val="right"/>
      <w:pPr>
        <w:ind w:left="3229" w:hanging="420"/>
      </w:pPr>
    </w:lvl>
    <w:lvl w:ilvl="6" w:tentative="0">
      <w:start w:val="1"/>
      <w:numFmt w:val="decimal"/>
      <w:lvlText w:val="%7."/>
      <w:lvlJc w:val="left"/>
      <w:pPr>
        <w:ind w:left="3649" w:hanging="420"/>
      </w:pPr>
    </w:lvl>
    <w:lvl w:ilvl="7" w:tentative="0">
      <w:start w:val="1"/>
      <w:numFmt w:val="lowerLetter"/>
      <w:lvlText w:val="%8)"/>
      <w:lvlJc w:val="left"/>
      <w:pPr>
        <w:ind w:left="4069" w:hanging="420"/>
      </w:pPr>
    </w:lvl>
    <w:lvl w:ilvl="8" w:tentative="0">
      <w:start w:val="1"/>
      <w:numFmt w:val="lowerRoman"/>
      <w:lvlText w:val="%9."/>
      <w:lvlJc w:val="right"/>
      <w:pPr>
        <w:ind w:left="4489" w:hanging="420"/>
      </w:pPr>
    </w:lvl>
  </w:abstractNum>
  <w:num w:numId="1">
    <w:abstractNumId w:val="3"/>
  </w:num>
  <w:num w:numId="2">
    <w:abstractNumId w:val="0"/>
  </w:num>
  <w:num w:numId="3">
    <w:abstractNumId w:val="4"/>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F1361C"/>
    <w:rsid w:val="00007375"/>
    <w:rsid w:val="00016921"/>
    <w:rsid w:val="000222C6"/>
    <w:rsid w:val="0002549F"/>
    <w:rsid w:val="00025652"/>
    <w:rsid w:val="00030789"/>
    <w:rsid w:val="0006487A"/>
    <w:rsid w:val="00065F8F"/>
    <w:rsid w:val="000768F2"/>
    <w:rsid w:val="00087656"/>
    <w:rsid w:val="0009184B"/>
    <w:rsid w:val="000919FF"/>
    <w:rsid w:val="0009593C"/>
    <w:rsid w:val="000B047F"/>
    <w:rsid w:val="000B5923"/>
    <w:rsid w:val="000B5A48"/>
    <w:rsid w:val="000B6FF3"/>
    <w:rsid w:val="000C3467"/>
    <w:rsid w:val="000C3CA6"/>
    <w:rsid w:val="000D1267"/>
    <w:rsid w:val="000D1D50"/>
    <w:rsid w:val="000D22D7"/>
    <w:rsid w:val="000D3D80"/>
    <w:rsid w:val="000D5782"/>
    <w:rsid w:val="000D6C94"/>
    <w:rsid w:val="000E0945"/>
    <w:rsid w:val="000E6613"/>
    <w:rsid w:val="000E7119"/>
    <w:rsid w:val="000E71E4"/>
    <w:rsid w:val="000F4439"/>
    <w:rsid w:val="00114E9B"/>
    <w:rsid w:val="00124F77"/>
    <w:rsid w:val="0013174B"/>
    <w:rsid w:val="0013408D"/>
    <w:rsid w:val="00137163"/>
    <w:rsid w:val="001377B6"/>
    <w:rsid w:val="0014729F"/>
    <w:rsid w:val="00157BAB"/>
    <w:rsid w:val="001654D1"/>
    <w:rsid w:val="0016737A"/>
    <w:rsid w:val="0018106D"/>
    <w:rsid w:val="00181A31"/>
    <w:rsid w:val="00187676"/>
    <w:rsid w:val="001877A7"/>
    <w:rsid w:val="00191536"/>
    <w:rsid w:val="00196687"/>
    <w:rsid w:val="001A7CD0"/>
    <w:rsid w:val="001C0962"/>
    <w:rsid w:val="001D7531"/>
    <w:rsid w:val="001E03F8"/>
    <w:rsid w:val="001E2DD2"/>
    <w:rsid w:val="001E737D"/>
    <w:rsid w:val="001F0592"/>
    <w:rsid w:val="001F7506"/>
    <w:rsid w:val="002006CD"/>
    <w:rsid w:val="00202B36"/>
    <w:rsid w:val="00204B7A"/>
    <w:rsid w:val="0021101A"/>
    <w:rsid w:val="00215B24"/>
    <w:rsid w:val="00220536"/>
    <w:rsid w:val="00235629"/>
    <w:rsid w:val="00237E0B"/>
    <w:rsid w:val="00260C38"/>
    <w:rsid w:val="002616C0"/>
    <w:rsid w:val="002662AA"/>
    <w:rsid w:val="00280496"/>
    <w:rsid w:val="00285D6A"/>
    <w:rsid w:val="00295495"/>
    <w:rsid w:val="00295ADD"/>
    <w:rsid w:val="002B2613"/>
    <w:rsid w:val="002C49BB"/>
    <w:rsid w:val="002C6167"/>
    <w:rsid w:val="002E2775"/>
    <w:rsid w:val="002F1818"/>
    <w:rsid w:val="002F567B"/>
    <w:rsid w:val="002F7161"/>
    <w:rsid w:val="00306D52"/>
    <w:rsid w:val="00311B35"/>
    <w:rsid w:val="00315119"/>
    <w:rsid w:val="003216A9"/>
    <w:rsid w:val="00326BE5"/>
    <w:rsid w:val="00354939"/>
    <w:rsid w:val="00362519"/>
    <w:rsid w:val="0037013F"/>
    <w:rsid w:val="00376BBF"/>
    <w:rsid w:val="00380C92"/>
    <w:rsid w:val="003A484F"/>
    <w:rsid w:val="003B0BE0"/>
    <w:rsid w:val="003B0C1B"/>
    <w:rsid w:val="003B688C"/>
    <w:rsid w:val="003C0291"/>
    <w:rsid w:val="003C39AE"/>
    <w:rsid w:val="003C47DE"/>
    <w:rsid w:val="003C7B60"/>
    <w:rsid w:val="003D1FB2"/>
    <w:rsid w:val="003D66DA"/>
    <w:rsid w:val="003E1310"/>
    <w:rsid w:val="003E6625"/>
    <w:rsid w:val="003E6F55"/>
    <w:rsid w:val="004049F2"/>
    <w:rsid w:val="00406254"/>
    <w:rsid w:val="004223DE"/>
    <w:rsid w:val="004314F9"/>
    <w:rsid w:val="00434489"/>
    <w:rsid w:val="00437085"/>
    <w:rsid w:val="00437189"/>
    <w:rsid w:val="00443880"/>
    <w:rsid w:val="004464F4"/>
    <w:rsid w:val="00471401"/>
    <w:rsid w:val="00473540"/>
    <w:rsid w:val="00473F31"/>
    <w:rsid w:val="0048263A"/>
    <w:rsid w:val="00487E5D"/>
    <w:rsid w:val="00493A30"/>
    <w:rsid w:val="004A711F"/>
    <w:rsid w:val="004B199D"/>
    <w:rsid w:val="004B3F76"/>
    <w:rsid w:val="004B4690"/>
    <w:rsid w:val="004C3658"/>
    <w:rsid w:val="004E0A2D"/>
    <w:rsid w:val="004E206B"/>
    <w:rsid w:val="004E570E"/>
    <w:rsid w:val="004E6DF7"/>
    <w:rsid w:val="004E7F13"/>
    <w:rsid w:val="004F0FBD"/>
    <w:rsid w:val="00501484"/>
    <w:rsid w:val="0050531B"/>
    <w:rsid w:val="00505A47"/>
    <w:rsid w:val="00506FFE"/>
    <w:rsid w:val="00512FDA"/>
    <w:rsid w:val="00520DA0"/>
    <w:rsid w:val="00545A71"/>
    <w:rsid w:val="005664BB"/>
    <w:rsid w:val="0057481D"/>
    <w:rsid w:val="0058486E"/>
    <w:rsid w:val="005867B5"/>
    <w:rsid w:val="005924CA"/>
    <w:rsid w:val="005B5FCF"/>
    <w:rsid w:val="005C69F1"/>
    <w:rsid w:val="005D1C8B"/>
    <w:rsid w:val="005D5CED"/>
    <w:rsid w:val="005E4B43"/>
    <w:rsid w:val="005F1A4C"/>
    <w:rsid w:val="00605688"/>
    <w:rsid w:val="006070AF"/>
    <w:rsid w:val="00607E6C"/>
    <w:rsid w:val="006101B1"/>
    <w:rsid w:val="00614E44"/>
    <w:rsid w:val="00622830"/>
    <w:rsid w:val="00630AEF"/>
    <w:rsid w:val="006325F8"/>
    <w:rsid w:val="00634C9A"/>
    <w:rsid w:val="00635626"/>
    <w:rsid w:val="00643974"/>
    <w:rsid w:val="006440E4"/>
    <w:rsid w:val="0065230B"/>
    <w:rsid w:val="0066343B"/>
    <w:rsid w:val="00664777"/>
    <w:rsid w:val="006748A4"/>
    <w:rsid w:val="00675AAA"/>
    <w:rsid w:val="00683E73"/>
    <w:rsid w:val="006A3141"/>
    <w:rsid w:val="006A5E34"/>
    <w:rsid w:val="006A7E27"/>
    <w:rsid w:val="006B2422"/>
    <w:rsid w:val="006B2B9A"/>
    <w:rsid w:val="006C1937"/>
    <w:rsid w:val="006C3DBB"/>
    <w:rsid w:val="006C59A8"/>
    <w:rsid w:val="006F020C"/>
    <w:rsid w:val="0070288B"/>
    <w:rsid w:val="0070621A"/>
    <w:rsid w:val="007127B7"/>
    <w:rsid w:val="00713D6B"/>
    <w:rsid w:val="00720B76"/>
    <w:rsid w:val="007416B6"/>
    <w:rsid w:val="007447E7"/>
    <w:rsid w:val="00746F48"/>
    <w:rsid w:val="0075404D"/>
    <w:rsid w:val="0076121E"/>
    <w:rsid w:val="0076182A"/>
    <w:rsid w:val="0076647B"/>
    <w:rsid w:val="00767B7E"/>
    <w:rsid w:val="007770C3"/>
    <w:rsid w:val="00784D24"/>
    <w:rsid w:val="00785FBA"/>
    <w:rsid w:val="00786E4A"/>
    <w:rsid w:val="007875EB"/>
    <w:rsid w:val="0079426B"/>
    <w:rsid w:val="007954A3"/>
    <w:rsid w:val="007D312A"/>
    <w:rsid w:val="007D3F19"/>
    <w:rsid w:val="007E0DA7"/>
    <w:rsid w:val="007E132A"/>
    <w:rsid w:val="007E23B0"/>
    <w:rsid w:val="007F1991"/>
    <w:rsid w:val="007F2C2F"/>
    <w:rsid w:val="007F55FC"/>
    <w:rsid w:val="007F5665"/>
    <w:rsid w:val="00800112"/>
    <w:rsid w:val="00814DBB"/>
    <w:rsid w:val="0081774F"/>
    <w:rsid w:val="008253BB"/>
    <w:rsid w:val="00827110"/>
    <w:rsid w:val="008276D9"/>
    <w:rsid w:val="0083336B"/>
    <w:rsid w:val="00836E36"/>
    <w:rsid w:val="0083706E"/>
    <w:rsid w:val="008423A5"/>
    <w:rsid w:val="00850625"/>
    <w:rsid w:val="00853718"/>
    <w:rsid w:val="00855221"/>
    <w:rsid w:val="00860645"/>
    <w:rsid w:val="00871F71"/>
    <w:rsid w:val="008739D7"/>
    <w:rsid w:val="00885AF4"/>
    <w:rsid w:val="008939CD"/>
    <w:rsid w:val="00897BA6"/>
    <w:rsid w:val="00897F6A"/>
    <w:rsid w:val="008A4C9B"/>
    <w:rsid w:val="008B18D4"/>
    <w:rsid w:val="008B5196"/>
    <w:rsid w:val="008B768C"/>
    <w:rsid w:val="008C4DB1"/>
    <w:rsid w:val="008C4EAF"/>
    <w:rsid w:val="008C5176"/>
    <w:rsid w:val="008C7FD0"/>
    <w:rsid w:val="008D65E6"/>
    <w:rsid w:val="008E1DE7"/>
    <w:rsid w:val="008E2AF2"/>
    <w:rsid w:val="008E707C"/>
    <w:rsid w:val="00900B08"/>
    <w:rsid w:val="00902155"/>
    <w:rsid w:val="00902FA3"/>
    <w:rsid w:val="00923564"/>
    <w:rsid w:val="0092392E"/>
    <w:rsid w:val="009252D8"/>
    <w:rsid w:val="009315F9"/>
    <w:rsid w:val="00945CD7"/>
    <w:rsid w:val="00946945"/>
    <w:rsid w:val="00951248"/>
    <w:rsid w:val="0095152F"/>
    <w:rsid w:val="00954C49"/>
    <w:rsid w:val="0097099F"/>
    <w:rsid w:val="00971997"/>
    <w:rsid w:val="00971FFC"/>
    <w:rsid w:val="00973387"/>
    <w:rsid w:val="009774D3"/>
    <w:rsid w:val="0098660A"/>
    <w:rsid w:val="00990346"/>
    <w:rsid w:val="009931C3"/>
    <w:rsid w:val="00996D78"/>
    <w:rsid w:val="009B2C43"/>
    <w:rsid w:val="009B401C"/>
    <w:rsid w:val="009B4EAE"/>
    <w:rsid w:val="009B7573"/>
    <w:rsid w:val="009C22F4"/>
    <w:rsid w:val="009C2E98"/>
    <w:rsid w:val="009D3447"/>
    <w:rsid w:val="009D4711"/>
    <w:rsid w:val="009E0F80"/>
    <w:rsid w:val="009E3A20"/>
    <w:rsid w:val="009F1185"/>
    <w:rsid w:val="009F18CD"/>
    <w:rsid w:val="009F2A13"/>
    <w:rsid w:val="00A02BC6"/>
    <w:rsid w:val="00A044EA"/>
    <w:rsid w:val="00A04EB0"/>
    <w:rsid w:val="00A117DC"/>
    <w:rsid w:val="00A13CC1"/>
    <w:rsid w:val="00A16847"/>
    <w:rsid w:val="00A22B9D"/>
    <w:rsid w:val="00A237D8"/>
    <w:rsid w:val="00A268C4"/>
    <w:rsid w:val="00A307CD"/>
    <w:rsid w:val="00A36306"/>
    <w:rsid w:val="00A40A00"/>
    <w:rsid w:val="00A4142F"/>
    <w:rsid w:val="00A43A3D"/>
    <w:rsid w:val="00A52F6B"/>
    <w:rsid w:val="00A52F88"/>
    <w:rsid w:val="00A56DF2"/>
    <w:rsid w:val="00A67744"/>
    <w:rsid w:val="00A67AB5"/>
    <w:rsid w:val="00A756C1"/>
    <w:rsid w:val="00A91760"/>
    <w:rsid w:val="00A93B00"/>
    <w:rsid w:val="00A93C21"/>
    <w:rsid w:val="00AC3C6A"/>
    <w:rsid w:val="00AD4C3B"/>
    <w:rsid w:val="00AD5620"/>
    <w:rsid w:val="00AD7A52"/>
    <w:rsid w:val="00AD7C1B"/>
    <w:rsid w:val="00AE16BA"/>
    <w:rsid w:val="00AE1A9C"/>
    <w:rsid w:val="00AE1EBE"/>
    <w:rsid w:val="00AE3460"/>
    <w:rsid w:val="00AF1D7F"/>
    <w:rsid w:val="00B03C9D"/>
    <w:rsid w:val="00B060AE"/>
    <w:rsid w:val="00B10517"/>
    <w:rsid w:val="00B14E76"/>
    <w:rsid w:val="00B161B8"/>
    <w:rsid w:val="00B1695E"/>
    <w:rsid w:val="00B2048C"/>
    <w:rsid w:val="00B23A1B"/>
    <w:rsid w:val="00B262DF"/>
    <w:rsid w:val="00B310B9"/>
    <w:rsid w:val="00B35F3F"/>
    <w:rsid w:val="00B36CBB"/>
    <w:rsid w:val="00B425E0"/>
    <w:rsid w:val="00B440AA"/>
    <w:rsid w:val="00B44B70"/>
    <w:rsid w:val="00B53C56"/>
    <w:rsid w:val="00B547A0"/>
    <w:rsid w:val="00B77EA6"/>
    <w:rsid w:val="00B81598"/>
    <w:rsid w:val="00B841F1"/>
    <w:rsid w:val="00B944D6"/>
    <w:rsid w:val="00B978D6"/>
    <w:rsid w:val="00BA1138"/>
    <w:rsid w:val="00BB4DF0"/>
    <w:rsid w:val="00BB6CDF"/>
    <w:rsid w:val="00BC289F"/>
    <w:rsid w:val="00BC5361"/>
    <w:rsid w:val="00BC5460"/>
    <w:rsid w:val="00BC6B50"/>
    <w:rsid w:val="00BD0E25"/>
    <w:rsid w:val="00BD1497"/>
    <w:rsid w:val="00BD3EC9"/>
    <w:rsid w:val="00BF5BD6"/>
    <w:rsid w:val="00C00C95"/>
    <w:rsid w:val="00C03E31"/>
    <w:rsid w:val="00C240DC"/>
    <w:rsid w:val="00C33E72"/>
    <w:rsid w:val="00C354B2"/>
    <w:rsid w:val="00C35554"/>
    <w:rsid w:val="00C42709"/>
    <w:rsid w:val="00C51B73"/>
    <w:rsid w:val="00C533CC"/>
    <w:rsid w:val="00C5751C"/>
    <w:rsid w:val="00C61BFC"/>
    <w:rsid w:val="00C62B85"/>
    <w:rsid w:val="00C65438"/>
    <w:rsid w:val="00C71C4E"/>
    <w:rsid w:val="00C87B96"/>
    <w:rsid w:val="00C91CBB"/>
    <w:rsid w:val="00CA31BB"/>
    <w:rsid w:val="00CB606C"/>
    <w:rsid w:val="00CC09B6"/>
    <w:rsid w:val="00CC2CE5"/>
    <w:rsid w:val="00CC52C5"/>
    <w:rsid w:val="00CC666F"/>
    <w:rsid w:val="00CC750F"/>
    <w:rsid w:val="00CD1E3F"/>
    <w:rsid w:val="00CE44F6"/>
    <w:rsid w:val="00CE49DA"/>
    <w:rsid w:val="00CE7B61"/>
    <w:rsid w:val="00CF4695"/>
    <w:rsid w:val="00D00095"/>
    <w:rsid w:val="00D20620"/>
    <w:rsid w:val="00D26091"/>
    <w:rsid w:val="00D33CB2"/>
    <w:rsid w:val="00D34E7C"/>
    <w:rsid w:val="00D35489"/>
    <w:rsid w:val="00D44482"/>
    <w:rsid w:val="00D461B6"/>
    <w:rsid w:val="00D51276"/>
    <w:rsid w:val="00D62C3F"/>
    <w:rsid w:val="00D7035F"/>
    <w:rsid w:val="00D907FF"/>
    <w:rsid w:val="00D9240C"/>
    <w:rsid w:val="00DA65AC"/>
    <w:rsid w:val="00DB1913"/>
    <w:rsid w:val="00DB693A"/>
    <w:rsid w:val="00DC410D"/>
    <w:rsid w:val="00DC68CA"/>
    <w:rsid w:val="00DC7CBA"/>
    <w:rsid w:val="00DD73B7"/>
    <w:rsid w:val="00DE41C3"/>
    <w:rsid w:val="00DF0CBF"/>
    <w:rsid w:val="00DF28BC"/>
    <w:rsid w:val="00DF34B9"/>
    <w:rsid w:val="00DF4507"/>
    <w:rsid w:val="00E00A07"/>
    <w:rsid w:val="00E01053"/>
    <w:rsid w:val="00E03FF3"/>
    <w:rsid w:val="00E07ACF"/>
    <w:rsid w:val="00E16B93"/>
    <w:rsid w:val="00E259B4"/>
    <w:rsid w:val="00E331A1"/>
    <w:rsid w:val="00E33202"/>
    <w:rsid w:val="00E336A9"/>
    <w:rsid w:val="00E37778"/>
    <w:rsid w:val="00E4228A"/>
    <w:rsid w:val="00E43989"/>
    <w:rsid w:val="00E50624"/>
    <w:rsid w:val="00E5565C"/>
    <w:rsid w:val="00E568DF"/>
    <w:rsid w:val="00E64269"/>
    <w:rsid w:val="00E64ED3"/>
    <w:rsid w:val="00E65728"/>
    <w:rsid w:val="00E82267"/>
    <w:rsid w:val="00E83E3D"/>
    <w:rsid w:val="00E859A0"/>
    <w:rsid w:val="00E90E2E"/>
    <w:rsid w:val="00EA010F"/>
    <w:rsid w:val="00EC6C93"/>
    <w:rsid w:val="00ED1B63"/>
    <w:rsid w:val="00ED3C1F"/>
    <w:rsid w:val="00ED4085"/>
    <w:rsid w:val="00ED420E"/>
    <w:rsid w:val="00EE0E5A"/>
    <w:rsid w:val="00EE2F57"/>
    <w:rsid w:val="00EF4C34"/>
    <w:rsid w:val="00EF4E4F"/>
    <w:rsid w:val="00EF77C6"/>
    <w:rsid w:val="00F05438"/>
    <w:rsid w:val="00F10358"/>
    <w:rsid w:val="00F1154E"/>
    <w:rsid w:val="00F1361C"/>
    <w:rsid w:val="00F160C7"/>
    <w:rsid w:val="00F36D8F"/>
    <w:rsid w:val="00F417B1"/>
    <w:rsid w:val="00F602DF"/>
    <w:rsid w:val="00F7698A"/>
    <w:rsid w:val="00F81FD9"/>
    <w:rsid w:val="00F841AA"/>
    <w:rsid w:val="00F933A3"/>
    <w:rsid w:val="00FA23E8"/>
    <w:rsid w:val="00FA4C52"/>
    <w:rsid w:val="00FA5A40"/>
    <w:rsid w:val="00FA7AB1"/>
    <w:rsid w:val="00FC569A"/>
    <w:rsid w:val="00FD11FA"/>
    <w:rsid w:val="00FD1427"/>
    <w:rsid w:val="00FD14E5"/>
    <w:rsid w:val="00FD3CC1"/>
    <w:rsid w:val="00FF171B"/>
    <w:rsid w:val="00FF1E02"/>
    <w:rsid w:val="00FF292A"/>
    <w:rsid w:val="00FF30B4"/>
    <w:rsid w:val="00FF342F"/>
    <w:rsid w:val="00FF4AB8"/>
    <w:rsid w:val="01A62B9F"/>
    <w:rsid w:val="02C11A0B"/>
    <w:rsid w:val="07C02FE9"/>
    <w:rsid w:val="10C055FF"/>
    <w:rsid w:val="16BB723D"/>
    <w:rsid w:val="240371BF"/>
    <w:rsid w:val="29FD04D3"/>
    <w:rsid w:val="319F7F4E"/>
    <w:rsid w:val="32615AD7"/>
    <w:rsid w:val="40763A60"/>
    <w:rsid w:val="4EF472EC"/>
    <w:rsid w:val="77B75A00"/>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rules v:ext="edit">
        <o:r id="V:Rule1" type="connector" idref="#_x0000_s1026"/>
        <o:r id="V:Rule2" type="connector" idref="#_x0000_s1027"/>
        <o:r id="V:Rule3" type="connector" idref="#_x0000_s1030"/>
        <o:r id="V:Rule4" type="connector" idref="#_x0000_s1031"/>
        <o:r id="V:Rule5" type="connector" idref="#_x0000_s1033"/>
      </o:rules>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4"/>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5"/>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28"/>
    <w:unhideWhenUsed/>
    <w:qFormat/>
    <w:uiPriority w:val="9"/>
    <w:pPr>
      <w:keepNext/>
      <w:keepLines/>
      <w:spacing w:before="260" w:after="260" w:line="416" w:lineRule="auto"/>
      <w:outlineLvl w:val="2"/>
    </w:pPr>
    <w:rPr>
      <w:b/>
      <w:bCs/>
      <w:sz w:val="32"/>
      <w:szCs w:val="32"/>
    </w:rPr>
  </w:style>
  <w:style w:type="character" w:default="1" w:styleId="13">
    <w:name w:val="Default Paragraph Font"/>
    <w:semiHidden/>
    <w:unhideWhenUsed/>
    <w:qFormat/>
    <w:uiPriority w:val="1"/>
  </w:style>
  <w:style w:type="table" w:default="1" w:styleId="12">
    <w:name w:val="Normal Table"/>
    <w:semiHidden/>
    <w:unhideWhenUsed/>
    <w:qFormat/>
    <w:uiPriority w:val="99"/>
    <w:tblPr>
      <w:tblLayout w:type="fixed"/>
      <w:tblCellMar>
        <w:top w:w="0" w:type="dxa"/>
        <w:left w:w="108" w:type="dxa"/>
        <w:bottom w:w="0" w:type="dxa"/>
        <w:right w:w="108" w:type="dxa"/>
      </w:tblCellMar>
    </w:tblPr>
  </w:style>
  <w:style w:type="paragraph" w:styleId="5">
    <w:name w:val="Body Text"/>
    <w:basedOn w:val="1"/>
    <w:link w:val="21"/>
    <w:qFormat/>
    <w:uiPriority w:val="99"/>
    <w:pPr>
      <w:spacing w:beforeLines="30"/>
    </w:pPr>
    <w:rPr>
      <w:rFonts w:ascii="仿宋_GB2312" w:eastAsia="仿宋_GB2312"/>
      <w:kern w:val="0"/>
      <w:sz w:val="30"/>
    </w:rPr>
  </w:style>
  <w:style w:type="paragraph" w:styleId="6">
    <w:name w:val="toc 3"/>
    <w:basedOn w:val="1"/>
    <w:next w:val="1"/>
    <w:unhideWhenUsed/>
    <w:qFormat/>
    <w:uiPriority w:val="39"/>
    <w:pPr>
      <w:tabs>
        <w:tab w:val="right" w:leader="dot" w:pos="8296"/>
      </w:tabs>
      <w:ind w:left="840" w:leftChars="400"/>
    </w:pPr>
  </w:style>
  <w:style w:type="paragraph" w:styleId="7">
    <w:name w:val="Balloon Text"/>
    <w:basedOn w:val="1"/>
    <w:link w:val="27"/>
    <w:semiHidden/>
    <w:unhideWhenUsed/>
    <w:qFormat/>
    <w:uiPriority w:val="99"/>
    <w:rPr>
      <w:sz w:val="18"/>
      <w:szCs w:val="18"/>
    </w:rPr>
  </w:style>
  <w:style w:type="paragraph" w:styleId="8">
    <w:name w:val="footer"/>
    <w:basedOn w:val="1"/>
    <w:link w:val="19"/>
    <w:qFormat/>
    <w:uiPriority w:val="99"/>
    <w:pPr>
      <w:tabs>
        <w:tab w:val="center" w:pos="4153"/>
        <w:tab w:val="right" w:pos="8306"/>
      </w:tabs>
      <w:snapToGrid w:val="0"/>
      <w:jc w:val="left"/>
    </w:pPr>
    <w:rPr>
      <w:rFonts w:ascii="Calibri" w:hAnsi="Calibri"/>
      <w:kern w:val="0"/>
      <w:sz w:val="18"/>
      <w:szCs w:val="18"/>
    </w:rPr>
  </w:style>
  <w:style w:type="paragraph" w:styleId="9">
    <w:name w:val="header"/>
    <w:basedOn w:val="1"/>
    <w:link w:val="17"/>
    <w:qFormat/>
    <w:uiPriority w:val="0"/>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0">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1">
    <w:name w:val="toc 2"/>
    <w:basedOn w:val="1"/>
    <w:next w:val="1"/>
    <w:unhideWhenUsed/>
    <w:qFormat/>
    <w:uiPriority w:val="39"/>
    <w:pPr>
      <w:tabs>
        <w:tab w:val="right" w:leader="dot" w:pos="8296"/>
      </w:tabs>
      <w:ind w:left="420" w:leftChars="200"/>
    </w:pPr>
  </w:style>
  <w:style w:type="character" w:styleId="14">
    <w:name w:val="Strong"/>
    <w:basedOn w:val="13"/>
    <w:qFormat/>
    <w:uiPriority w:val="99"/>
    <w:rPr>
      <w:b/>
    </w:rPr>
  </w:style>
  <w:style w:type="character" w:styleId="15">
    <w:name w:val="Hyperlink"/>
    <w:basedOn w:val="13"/>
    <w:unhideWhenUsed/>
    <w:qFormat/>
    <w:uiPriority w:val="99"/>
    <w:rPr>
      <w:color w:val="0000FF" w:themeColor="hyperlink"/>
      <w:u w:val="single"/>
    </w:rPr>
  </w:style>
  <w:style w:type="character" w:customStyle="1" w:styleId="16">
    <w:name w:val="Header Char"/>
    <w:basedOn w:val="13"/>
    <w:semiHidden/>
    <w:qFormat/>
    <w:uiPriority w:val="99"/>
    <w:rPr>
      <w:rFonts w:ascii="Times New Roman" w:hAnsi="Times New Roman"/>
      <w:sz w:val="18"/>
      <w:szCs w:val="18"/>
    </w:rPr>
  </w:style>
  <w:style w:type="character" w:customStyle="1" w:styleId="17">
    <w:name w:val="页眉 Char"/>
    <w:link w:val="9"/>
    <w:qFormat/>
    <w:locked/>
    <w:uiPriority w:val="0"/>
    <w:rPr>
      <w:sz w:val="18"/>
    </w:rPr>
  </w:style>
  <w:style w:type="character" w:customStyle="1" w:styleId="18">
    <w:name w:val="Footer Char"/>
    <w:basedOn w:val="13"/>
    <w:semiHidden/>
    <w:qFormat/>
    <w:uiPriority w:val="99"/>
    <w:rPr>
      <w:rFonts w:ascii="Times New Roman" w:hAnsi="Times New Roman"/>
      <w:sz w:val="18"/>
      <w:szCs w:val="18"/>
    </w:rPr>
  </w:style>
  <w:style w:type="character" w:customStyle="1" w:styleId="19">
    <w:name w:val="页脚 Char"/>
    <w:link w:val="8"/>
    <w:qFormat/>
    <w:locked/>
    <w:uiPriority w:val="99"/>
    <w:rPr>
      <w:sz w:val="18"/>
    </w:rPr>
  </w:style>
  <w:style w:type="character" w:customStyle="1" w:styleId="20">
    <w:name w:val="Body Text Char"/>
    <w:basedOn w:val="13"/>
    <w:semiHidden/>
    <w:qFormat/>
    <w:uiPriority w:val="99"/>
    <w:rPr>
      <w:rFonts w:ascii="Times New Roman" w:hAnsi="Times New Roman"/>
      <w:szCs w:val="24"/>
    </w:rPr>
  </w:style>
  <w:style w:type="character" w:customStyle="1" w:styleId="21">
    <w:name w:val="正文文本 Char"/>
    <w:link w:val="5"/>
    <w:qFormat/>
    <w:locked/>
    <w:uiPriority w:val="99"/>
    <w:rPr>
      <w:rFonts w:ascii="仿宋_GB2312" w:hAnsi="Times New Roman" w:eastAsia="仿宋_GB2312"/>
      <w:sz w:val="24"/>
    </w:rPr>
  </w:style>
  <w:style w:type="paragraph" w:customStyle="1" w:styleId="22">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3">
    <w:name w:val="List Paragraph"/>
    <w:basedOn w:val="1"/>
    <w:qFormat/>
    <w:uiPriority w:val="99"/>
    <w:pPr>
      <w:ind w:firstLine="420" w:firstLineChars="200"/>
    </w:pPr>
  </w:style>
  <w:style w:type="character" w:customStyle="1" w:styleId="24">
    <w:name w:val="标题 1 Char"/>
    <w:basedOn w:val="13"/>
    <w:link w:val="2"/>
    <w:qFormat/>
    <w:uiPriority w:val="9"/>
    <w:rPr>
      <w:rFonts w:ascii="Times New Roman" w:hAnsi="Times New Roman"/>
      <w:b/>
      <w:bCs/>
      <w:kern w:val="44"/>
      <w:sz w:val="44"/>
      <w:szCs w:val="44"/>
    </w:rPr>
  </w:style>
  <w:style w:type="character" w:customStyle="1" w:styleId="25">
    <w:name w:val="标题 2 Char"/>
    <w:basedOn w:val="13"/>
    <w:link w:val="3"/>
    <w:qFormat/>
    <w:uiPriority w:val="9"/>
    <w:rPr>
      <w:rFonts w:asciiTheme="majorHAnsi" w:hAnsiTheme="majorHAnsi" w:eastAsiaTheme="majorEastAsia" w:cstheme="majorBidi"/>
      <w:b/>
      <w:bCs/>
      <w:kern w:val="2"/>
      <w:sz w:val="32"/>
      <w:szCs w:val="32"/>
    </w:rPr>
  </w:style>
  <w:style w:type="paragraph" w:customStyle="1" w:styleId="26">
    <w:name w:val="TOC Heading"/>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 w:type="character" w:customStyle="1" w:styleId="27">
    <w:name w:val="批注框文本 Char"/>
    <w:basedOn w:val="13"/>
    <w:link w:val="7"/>
    <w:semiHidden/>
    <w:qFormat/>
    <w:uiPriority w:val="99"/>
    <w:rPr>
      <w:rFonts w:ascii="Times New Roman" w:hAnsi="Times New Roman"/>
      <w:kern w:val="2"/>
      <w:sz w:val="18"/>
      <w:szCs w:val="18"/>
    </w:rPr>
  </w:style>
  <w:style w:type="character" w:customStyle="1" w:styleId="28">
    <w:name w:val="标题 3 Char"/>
    <w:basedOn w:val="13"/>
    <w:link w:val="4"/>
    <w:qFormat/>
    <w:uiPriority w:val="9"/>
    <w:rPr>
      <w:rFonts w:ascii="Times New Roman" w:hAnsi="Times New Roman"/>
      <w:b/>
      <w:bCs/>
      <w:kern w:val="2"/>
      <w:sz w:val="32"/>
      <w:szCs w:val="32"/>
    </w:rPr>
  </w:style>
</w:styles>
</file>

<file path=word/_rels/document.xml.rels><?xml version="1.0" encoding="UTF-8" standalone="yes"?>
<Relationships xmlns="http://schemas.openxmlformats.org/package/2006/relationships"><Relationship Id="rId9" Type="http://schemas.openxmlformats.org/officeDocument/2006/relationships/chart" Target="charts/chart4.xml"/><Relationship Id="rId8" Type="http://schemas.openxmlformats.org/officeDocument/2006/relationships/chart" Target="charts/chart3.xml"/><Relationship Id="rId7" Type="http://schemas.openxmlformats.org/officeDocument/2006/relationships/chart" Target="charts/chart2.xml"/><Relationship Id="rId6" Type="http://schemas.openxmlformats.org/officeDocument/2006/relationships/chart" Target="charts/chart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2.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chart" Target="charts/chart7.xml"/><Relationship Id="rId11" Type="http://schemas.openxmlformats.org/officeDocument/2006/relationships/chart" Target="charts/chart6.xml"/><Relationship Id="rId10" Type="http://schemas.openxmlformats.org/officeDocument/2006/relationships/chart" Target="charts/chart5.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2" Type="http://schemas.openxmlformats.org/officeDocument/2006/relationships/chartUserShapes" Target="../drawings/drawing7.xml"/><Relationship Id="rId1" Type="http://schemas.openxmlformats.org/officeDocument/2006/relationships/oleObject" Target="Book1" TargetMode="External"/></Relationships>
</file>

<file path=word/charts/_rels/chart2.xml.rels><?xml version="1.0" encoding="UTF-8" standalone="yes"?>
<Relationships xmlns="http://schemas.openxmlformats.org/package/2006/relationships"><Relationship Id="rId2" Type="http://schemas.openxmlformats.org/officeDocument/2006/relationships/chartUserShapes" Target="../drawings/drawing6.xml"/><Relationship Id="rId1" Type="http://schemas.openxmlformats.org/officeDocument/2006/relationships/oleObject" Target="Book1" TargetMode="External"/></Relationships>
</file>

<file path=word/charts/_rels/chart3.xml.rels><?xml version="1.0" encoding="UTF-8" standalone="yes"?>
<Relationships xmlns="http://schemas.openxmlformats.org/package/2006/relationships"><Relationship Id="rId2" Type="http://schemas.openxmlformats.org/officeDocument/2006/relationships/chartUserShapes" Target="../drawings/drawing4.xml"/><Relationship Id="rId1" Type="http://schemas.openxmlformats.org/officeDocument/2006/relationships/oleObject" Target="Book1" TargetMode="External"/></Relationships>
</file>

<file path=word/charts/_rels/chart4.xml.rels><?xml version="1.0" encoding="UTF-8" standalone="yes"?>
<Relationships xmlns="http://schemas.openxmlformats.org/package/2006/relationships"><Relationship Id="rId2" Type="http://schemas.openxmlformats.org/officeDocument/2006/relationships/chartUserShapes" Target="../drawings/drawing5.xml"/><Relationship Id="rId1" Type="http://schemas.openxmlformats.org/officeDocument/2006/relationships/oleObject" Target="Book1" TargetMode="External"/></Relationships>
</file>

<file path=word/charts/_rels/chart5.xml.rels><?xml version="1.0" encoding="UTF-8" standalone="yes"?>
<Relationships xmlns="http://schemas.openxmlformats.org/package/2006/relationships"><Relationship Id="rId2" Type="http://schemas.openxmlformats.org/officeDocument/2006/relationships/chartUserShapes" Target="../drawings/drawing2.xml"/><Relationship Id="rId1" Type="http://schemas.openxmlformats.org/officeDocument/2006/relationships/oleObject" Target="Book1" TargetMode="External"/></Relationships>
</file>

<file path=word/charts/_rels/chart6.xml.rels><?xml version="1.0" encoding="UTF-8" standalone="yes"?>
<Relationships xmlns="http://schemas.openxmlformats.org/package/2006/relationships"><Relationship Id="rId2" Type="http://schemas.openxmlformats.org/officeDocument/2006/relationships/chartUserShapes" Target="../drawings/drawing3.xml"/><Relationship Id="rId1" Type="http://schemas.openxmlformats.org/officeDocument/2006/relationships/oleObject" Target="Book1" TargetMode="External"/></Relationships>
</file>

<file path=word/charts/_rels/chart7.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oleObject" Target="Book1"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12655074365704"/>
          <c:y val="0.0514005540974045"/>
          <c:w val="0.762344925634297"/>
          <c:h val="0.794544692330127"/>
        </c:manualLayout>
      </c:layout>
      <c:barChart>
        <c:barDir val="col"/>
        <c:grouping val="clustered"/>
        <c:varyColors val="0"/>
        <c:ser>
          <c:idx val="0"/>
          <c:order val="0"/>
          <c:invertIfNegative val="0"/>
          <c:dLbls>
            <c:delete val="1"/>
          </c:dLbls>
          <c:cat>
            <c:strRef>
              <c:f>Sheet1!$A$2:$A$3</c:f>
              <c:strCache>
                <c:ptCount val="2"/>
                <c:pt idx="0">
                  <c:v>2018年收入、支出总计</c:v>
                </c:pt>
                <c:pt idx="1">
                  <c:v>2019年收入、支出总计</c:v>
                </c:pt>
              </c:strCache>
            </c:strRef>
          </c:cat>
          <c:val>
            <c:numRef>
              <c:f>Sheet1!$B$2:$B$3</c:f>
              <c:numCache>
                <c:formatCode>General</c:formatCode>
                <c:ptCount val="2"/>
                <c:pt idx="0">
                  <c:v>4642.5</c:v>
                </c:pt>
                <c:pt idx="1">
                  <c:v>4483.9</c:v>
                </c:pt>
              </c:numCache>
            </c:numRef>
          </c:val>
        </c:ser>
        <c:dLbls>
          <c:showLegendKey val="0"/>
          <c:showVal val="0"/>
          <c:showCatName val="0"/>
          <c:showSerName val="0"/>
          <c:showPercent val="0"/>
          <c:showBubbleSize val="0"/>
        </c:dLbls>
        <c:gapWidth val="150"/>
        <c:axId val="171505152"/>
        <c:axId val="171506688"/>
      </c:barChart>
      <c:catAx>
        <c:axId val="171505152"/>
        <c:scaling>
          <c:orientation val="minMax"/>
        </c:scaling>
        <c:delete val="0"/>
        <c:axPos val="b"/>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71506688"/>
        <c:crosses val="autoZero"/>
        <c:auto val="1"/>
        <c:lblAlgn val="ctr"/>
        <c:lblOffset val="100"/>
        <c:noMultiLvlLbl val="0"/>
      </c:catAx>
      <c:valAx>
        <c:axId val="171506688"/>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71505152"/>
        <c:crosses val="autoZero"/>
        <c:crossBetween val="between"/>
      </c:valAx>
      <c:spPr>
        <a:solidFill>
          <a:schemeClr val="bg1"/>
        </a:solidFill>
        <a:ln>
          <a:noFill/>
        </a:ln>
        <a:effectLst/>
      </c:spPr>
    </c:plotArea>
    <c:plotVisOnly val="1"/>
    <c:dispBlanksAs val="gap"/>
    <c:showDLblsOverMax val="0"/>
  </c:chart>
  <c:txPr>
    <a:bodyPr/>
    <a:lstStyle/>
    <a:p>
      <a:pPr>
        <a:defRPr lang="zh-CN"/>
      </a:pPr>
    </a:p>
  </c:tx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explosion val="25"/>
          <c:dPt>
            <c:idx val="0"/>
            <c:bubble3D val="0"/>
          </c:dPt>
          <c:dPt>
            <c:idx val="1"/>
            <c:bubble3D val="0"/>
          </c:dPt>
          <c:dLbls>
            <c:delete val="1"/>
          </c:dLbls>
          <c:cat>
            <c:strRef>
              <c:f>Sheet1!$A$8:$A$9</c:f>
              <c:strCache>
                <c:ptCount val="2"/>
                <c:pt idx="0">
                  <c:v>一般公共预算财政拨款收</c:v>
                </c:pt>
                <c:pt idx="1">
                  <c:v>其他收入</c:v>
                </c:pt>
              </c:strCache>
            </c:strRef>
          </c:cat>
          <c:val>
            <c:numRef>
              <c:f>Sheet1!$B$8:$B$9</c:f>
              <c:numCache>
                <c:formatCode>General</c:formatCode>
                <c:ptCount val="2"/>
                <c:pt idx="0">
                  <c:v>4482.9</c:v>
                </c:pt>
                <c:pt idx="1">
                  <c:v>97.5</c:v>
                </c:pt>
              </c:numCache>
            </c:numRef>
          </c:val>
        </c:ser>
        <c:dLbls>
          <c:showLegendKey val="0"/>
          <c:showVal val="0"/>
          <c:showCatName val="0"/>
          <c:showSerName val="0"/>
          <c:showPercent val="0"/>
          <c:showBubbleSize val="0"/>
          <c:showLeaderLines val="1"/>
        </c:dLbls>
        <c:firstSliceAng val="0"/>
      </c:pieChart>
    </c:plotArea>
    <c:legend>
      <c:legendPos val="r"/>
      <c:layout>
        <c:manualLayout>
          <c:xMode val="edge"/>
          <c:yMode val="edge"/>
          <c:x val="0.539905970766948"/>
          <c:y val="0.42554206765821"/>
          <c:w val="0.339607905571126"/>
          <c:h val="0.1674343832021"/>
        </c:manualLayout>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chart>
  <c:spPr>
    <a:scene3d>
      <a:camera prst="orthographicFront"/>
      <a:lightRig rig="threePt" dir="t"/>
    </a:scene3d>
    <a:sp3d/>
  </c:spPr>
  <c:txPr>
    <a:bodyPr/>
    <a:lstStyle/>
    <a:p>
      <a:pPr>
        <a:defRPr lang="zh-CN"/>
      </a:pPr>
    </a:p>
  </c:tx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explosion val="25"/>
          <c:dPt>
            <c:idx val="0"/>
            <c:bubble3D val="0"/>
          </c:dPt>
          <c:dPt>
            <c:idx val="1"/>
            <c:bubble3D val="0"/>
          </c:dPt>
          <c:dLbls>
            <c:delete val="1"/>
          </c:dLbls>
          <c:cat>
            <c:strRef>
              <c:f>Sheet1!$A$16:$A$17</c:f>
              <c:strCache>
                <c:ptCount val="2"/>
                <c:pt idx="0">
                  <c:v>基本支出</c:v>
                </c:pt>
                <c:pt idx="1">
                  <c:v>项目支出</c:v>
                </c:pt>
              </c:strCache>
            </c:strRef>
          </c:cat>
          <c:val>
            <c:numRef>
              <c:f>Sheet1!$B$16:$B$17</c:f>
              <c:numCache>
                <c:formatCode>General</c:formatCode>
                <c:ptCount val="2"/>
                <c:pt idx="0">
                  <c:v>2679.1</c:v>
                </c:pt>
                <c:pt idx="1">
                  <c:v>1943.8</c:v>
                </c:pt>
              </c:numCache>
            </c:numRef>
          </c:val>
        </c:ser>
        <c:dLbls>
          <c:showLegendKey val="0"/>
          <c:showVal val="0"/>
          <c:showCatName val="0"/>
          <c:showSerName val="0"/>
          <c:showPercent val="0"/>
          <c:showBubbleSize val="0"/>
          <c:showLeaderLines val="1"/>
        </c:dLbls>
        <c:firstSliceAng val="0"/>
      </c:pieChart>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chart>
  <c:txPr>
    <a:bodyPr/>
    <a:lstStyle/>
    <a:p>
      <a:pPr>
        <a:defRPr lang="zh-CN"/>
      </a:pPr>
    </a:p>
  </c:tx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invertIfNegative val="0"/>
          <c:dLbls>
            <c:delete val="1"/>
          </c:dLbls>
          <c:cat>
            <c:strRef>
              <c:f>Sheet1!$A$21:$A$22</c:f>
              <c:strCache>
                <c:ptCount val="2"/>
                <c:pt idx="0">
                  <c:v>2018年财政拨款收入、支出总计</c:v>
                </c:pt>
                <c:pt idx="1">
                  <c:v>2019年财政拨款收入、支出总计</c:v>
                </c:pt>
              </c:strCache>
            </c:strRef>
          </c:cat>
          <c:val>
            <c:numRef>
              <c:f>Sheet1!$B$21:$B$22</c:f>
              <c:numCache>
                <c:formatCode>General</c:formatCode>
                <c:ptCount val="2"/>
                <c:pt idx="0">
                  <c:v>4545</c:v>
                </c:pt>
                <c:pt idx="1">
                  <c:v>3994</c:v>
                </c:pt>
              </c:numCache>
            </c:numRef>
          </c:val>
        </c:ser>
        <c:dLbls>
          <c:showLegendKey val="0"/>
          <c:showVal val="0"/>
          <c:showCatName val="0"/>
          <c:showSerName val="0"/>
          <c:showPercent val="0"/>
          <c:showBubbleSize val="0"/>
        </c:dLbls>
        <c:gapWidth val="150"/>
        <c:axId val="118303360"/>
        <c:axId val="118317440"/>
      </c:barChart>
      <c:catAx>
        <c:axId val="118303360"/>
        <c:scaling>
          <c:orientation val="minMax"/>
        </c:scaling>
        <c:delete val="1"/>
        <c:axPos val="b"/>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18317440"/>
        <c:crosses val="autoZero"/>
        <c:auto val="1"/>
        <c:lblAlgn val="ctr"/>
        <c:lblOffset val="100"/>
        <c:noMultiLvlLbl val="0"/>
      </c:catAx>
      <c:valAx>
        <c:axId val="118317440"/>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18303360"/>
        <c:crosses val="autoZero"/>
        <c:crossBetween val="between"/>
      </c:valAx>
      <c:spPr>
        <a:solidFill>
          <a:schemeClr val="bg1"/>
        </a:solidFill>
        <a:ln>
          <a:noFill/>
        </a:ln>
        <a:effectLst/>
      </c:spPr>
    </c:plotArea>
    <c:plotVisOnly val="1"/>
    <c:dispBlanksAs val="gap"/>
    <c:showDLblsOverMax val="0"/>
  </c:chart>
  <c:txPr>
    <a:bodyPr/>
    <a:lstStyle/>
    <a:p>
      <a:pPr>
        <a:defRPr lang="zh-CN"/>
      </a:pPr>
    </a:p>
  </c:tx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invertIfNegative val="0"/>
          <c:dLbls>
            <c:delete val="1"/>
          </c:dLbls>
          <c:cat>
            <c:strRef>
              <c:f>Sheet1!$A$24:$A$25</c:f>
              <c:strCache>
                <c:ptCount val="2"/>
                <c:pt idx="0">
                  <c:v>2018年</c:v>
                </c:pt>
                <c:pt idx="1">
                  <c:v>2019年</c:v>
                </c:pt>
              </c:strCache>
            </c:strRef>
          </c:cat>
          <c:val>
            <c:numRef>
              <c:f>Sheet1!$B$24:$B$25</c:f>
              <c:numCache>
                <c:formatCode>General</c:formatCode>
                <c:ptCount val="2"/>
                <c:pt idx="0">
                  <c:v>4525.4</c:v>
                </c:pt>
                <c:pt idx="1">
                  <c:v>3926.9</c:v>
                </c:pt>
              </c:numCache>
            </c:numRef>
          </c:val>
        </c:ser>
        <c:dLbls>
          <c:showLegendKey val="0"/>
          <c:showVal val="0"/>
          <c:showCatName val="0"/>
          <c:showSerName val="0"/>
          <c:showPercent val="0"/>
          <c:showBubbleSize val="0"/>
        </c:dLbls>
        <c:gapWidth val="150"/>
        <c:axId val="118324608"/>
        <c:axId val="118338688"/>
      </c:barChart>
      <c:catAx>
        <c:axId val="118324608"/>
        <c:scaling>
          <c:orientation val="minMax"/>
        </c:scaling>
        <c:delete val="0"/>
        <c:axPos val="b"/>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18338688"/>
        <c:crosses val="autoZero"/>
        <c:auto val="1"/>
        <c:lblAlgn val="ctr"/>
        <c:lblOffset val="100"/>
        <c:noMultiLvlLbl val="0"/>
      </c:catAx>
      <c:valAx>
        <c:axId val="118338688"/>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18324608"/>
        <c:crosses val="autoZero"/>
        <c:crossBetween val="between"/>
      </c:valAx>
      <c:spPr>
        <a:solidFill>
          <a:schemeClr val="bg1"/>
        </a:solidFill>
        <a:ln>
          <a:noFill/>
        </a:ln>
        <a:effectLst/>
      </c:spPr>
    </c:plotArea>
    <c:plotVisOnly val="1"/>
    <c:dispBlanksAs val="gap"/>
    <c:showDLblsOverMax val="0"/>
  </c:chart>
  <c:txPr>
    <a:bodyPr/>
    <a:lstStyle/>
    <a:p>
      <a:pPr>
        <a:defRPr lang="zh-CN"/>
      </a:pPr>
    </a:p>
  </c:txPr>
  <c:externalData r:id="rId1">
    <c:autoUpdate val="0"/>
  </c:externalData>
  <c:userShapes r:id="rId2"/>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explosion val="25"/>
          <c:dPt>
            <c:idx val="0"/>
            <c:bubble3D val="0"/>
          </c:dPt>
          <c:dPt>
            <c:idx val="1"/>
            <c:bubble3D val="0"/>
          </c:dPt>
          <c:dPt>
            <c:idx val="2"/>
            <c:bubble3D val="0"/>
          </c:dPt>
          <c:dPt>
            <c:idx val="3"/>
            <c:bubble3D val="0"/>
          </c:dPt>
          <c:dLbls>
            <c:delete val="1"/>
          </c:dLbls>
          <c:cat>
            <c:strRef>
              <c:f>Sheet1!$A$29:$A$32</c:f>
              <c:strCache>
                <c:ptCount val="4"/>
                <c:pt idx="0">
                  <c:v>一般公共服务支出</c:v>
                </c:pt>
                <c:pt idx="1">
                  <c:v>科学技术支出</c:v>
                </c:pt>
                <c:pt idx="2">
                  <c:v>社会保障和就业支出</c:v>
                </c:pt>
                <c:pt idx="3">
                  <c:v>住房保障和就业支出</c:v>
                </c:pt>
              </c:strCache>
            </c:strRef>
          </c:cat>
          <c:val>
            <c:numRef>
              <c:f>Sheet1!$B$29:$B$32</c:f>
              <c:numCache>
                <c:formatCode>General</c:formatCode>
                <c:ptCount val="4"/>
                <c:pt idx="0">
                  <c:v>2971.6</c:v>
                </c:pt>
                <c:pt idx="1">
                  <c:v>899.2</c:v>
                </c:pt>
                <c:pt idx="2">
                  <c:v>482.6</c:v>
                </c:pt>
                <c:pt idx="3">
                  <c:v>172</c:v>
                </c:pt>
              </c:numCache>
            </c:numRef>
          </c:val>
        </c:ser>
        <c:dLbls>
          <c:showLegendKey val="0"/>
          <c:showVal val="0"/>
          <c:showCatName val="0"/>
          <c:showSerName val="0"/>
          <c:showPercent val="0"/>
          <c:showBubbleSize val="0"/>
          <c:showLeaderLines val="1"/>
        </c:dLbls>
        <c:firstSliceAng val="0"/>
      </c:pieChart>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chart>
  <c:txPr>
    <a:bodyPr/>
    <a:lstStyle/>
    <a:p>
      <a:pPr>
        <a:defRPr lang="zh-CN"/>
      </a:pPr>
    </a:p>
  </c:txPr>
  <c:externalData r:id="rId1">
    <c:autoUpdate val="0"/>
  </c:externalData>
  <c:userShapes r:id="rId2"/>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explosion val="25"/>
          <c:dPt>
            <c:idx val="0"/>
            <c:bubble3D val="0"/>
          </c:dPt>
          <c:dPt>
            <c:idx val="1"/>
            <c:bubble3D val="0"/>
          </c:dPt>
          <c:dPt>
            <c:idx val="2"/>
            <c:bubble3D val="0"/>
          </c:dPt>
          <c:dLbls>
            <c:delete val="1"/>
          </c:dLbls>
          <c:cat>
            <c:strRef>
              <c:f>Sheet1!$A$56:$A$58</c:f>
              <c:strCache>
                <c:ptCount val="3"/>
                <c:pt idx="0">
                  <c:v>因公出国（境）经费</c:v>
                </c:pt>
                <c:pt idx="1">
                  <c:v>公务用车购置及运行维护费</c:v>
                </c:pt>
                <c:pt idx="2">
                  <c:v>公务接待费</c:v>
                </c:pt>
              </c:strCache>
            </c:strRef>
          </c:cat>
          <c:val>
            <c:numRef>
              <c:f>Sheet1!$B$56:$B$58</c:f>
              <c:numCache>
                <c:formatCode>General</c:formatCode>
                <c:ptCount val="3"/>
                <c:pt idx="0">
                  <c:v>1.66</c:v>
                </c:pt>
                <c:pt idx="1">
                  <c:v>94.95</c:v>
                </c:pt>
                <c:pt idx="2">
                  <c:v>2.03</c:v>
                </c:pt>
              </c:numCache>
            </c:numRef>
          </c:val>
        </c:ser>
        <c:dLbls>
          <c:showLegendKey val="0"/>
          <c:showVal val="0"/>
          <c:showCatName val="0"/>
          <c:showSerName val="0"/>
          <c:showPercent val="0"/>
          <c:showBubbleSize val="0"/>
          <c:showLeaderLines val="1"/>
        </c:dLbls>
        <c:firstSliceAng val="0"/>
      </c:pieChart>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chart>
  <c:txPr>
    <a:bodyPr/>
    <a:lstStyle/>
    <a:p>
      <a:pPr>
        <a:defRPr lang="zh-CN"/>
      </a:pPr>
    </a:p>
  </c:txPr>
  <c:externalData r:id="rId1">
    <c:autoUpdate val="0"/>
  </c:externalData>
  <c:userShapes r:id="rId2"/>
</c:chartSpace>
</file>

<file path=word/drawings/drawing1.xml><?xml version="1.0" encoding="utf-8"?>
<c:userShapes xmlns:c="http://schemas.openxmlformats.org/drawingml/2006/chart">
  <cdr:relSizeAnchor xmlns:cdr="http://schemas.openxmlformats.org/drawingml/2006/chartDrawing">
    <cdr:from>
      <cdr:x>0.19504</cdr:x>
      <cdr:y>0.07371</cdr:y>
    </cdr:from>
    <cdr:to>
      <cdr:x>0.34132</cdr:x>
      <cdr:y>0.19903</cdr:y>
    </cdr:to>
    <cdr:sp>
      <cdr:nvSpPr>
        <cdr:cNvPr id="2" name="矩形 1"/>
        <cdr:cNvSpPr/>
      </cdr:nvSpPr>
      <cdr:spPr xmlns:a="http://schemas.openxmlformats.org/drawingml/2006/main">
        <a:xfrm xmlns:a="http://schemas.openxmlformats.org/drawingml/2006/main">
          <a:off x="1028703" y="151649"/>
          <a:ext cx="771526" cy="257834"/>
        </a:xfrm>
        <a:prstGeom xmlns:a="http://schemas.openxmlformats.org/drawingml/2006/main" prst="rect">
          <a:avLst/>
        </a:prstGeom>
      </cdr:spPr>
      <cdr:txBody xmlns:a="http://schemas.openxmlformats.org/drawingml/2006/main">
        <a:bodyPr vert="horz" wrap="square" lIns="45720" tIns="45720" rIns="45720" bIns="45720" rtlCol="0" anchor="t" anchorCtr="0">
          <a:normAutofit/>
        </a:bodyPr>
        <a:lstStyle/>
        <a:p>
          <a:r>
            <a:rPr lang="en-US" altLang="zh-CN" sz="1100"/>
            <a:t>2.03</a:t>
          </a:r>
          <a:r>
            <a:rPr lang="zh-CN" altLang="en-US" sz="1100"/>
            <a:t>万元</a:t>
          </a:r>
          <a:endParaRPr lang="zh-CN" altLang="en-US" sz="1100"/>
        </a:p>
      </cdr:txBody>
    </cdr:sp>
  </cdr:relSizeAnchor>
  <cdr:relSizeAnchor xmlns:cdr="http://schemas.openxmlformats.org/drawingml/2006/chartDrawing">
    <cdr:from>
      <cdr:x>0.24019</cdr:x>
      <cdr:y>0.65165</cdr:y>
    </cdr:from>
    <cdr:to>
      <cdr:x>0.42981</cdr:x>
      <cdr:y>0.83426</cdr:y>
    </cdr:to>
    <cdr:sp>
      <cdr:nvSpPr>
        <cdr:cNvPr id="3" name="矩形 2"/>
        <cdr:cNvSpPr/>
      </cdr:nvSpPr>
      <cdr:spPr xmlns:a="http://schemas.openxmlformats.org/drawingml/2006/main">
        <a:xfrm xmlns:a="http://schemas.openxmlformats.org/drawingml/2006/main">
          <a:off x="1266825" y="1733550"/>
          <a:ext cx="1000125" cy="485775"/>
        </a:xfrm>
        <a:prstGeom xmlns:a="http://schemas.openxmlformats.org/drawingml/2006/main" prst="rect">
          <a:avLst/>
        </a:prstGeom>
      </cdr:spPr>
      <cdr:txBody xmlns:a="http://schemas.openxmlformats.org/drawingml/2006/main">
        <a:bodyPr vert="horz" wrap="square" lIns="45720" tIns="45720" rIns="45720" bIns="45720" rtlCol="0" anchor="t" anchorCtr="0">
          <a:normAutofit/>
        </a:bodyPr>
        <a:lstStyle/>
        <a:p>
          <a:r>
            <a:rPr lang="en-US" altLang="zh-CN" sz="1100"/>
            <a:t>94.95</a:t>
          </a:r>
          <a:r>
            <a:rPr lang="zh-CN" altLang="en-US" sz="1100"/>
            <a:t>万元</a:t>
          </a:r>
          <a:endParaRPr lang="zh-CN" altLang="en-US" sz="1100"/>
        </a:p>
      </cdr:txBody>
    </cdr:sp>
  </cdr:relSizeAnchor>
</c:userShapes>
</file>

<file path=word/drawings/drawing2.xml><?xml version="1.0" encoding="utf-8"?>
<c:userShapes xmlns:c="http://schemas.openxmlformats.org/drawingml/2006/chart">
  <cdr:relSizeAnchor xmlns:cdr="http://schemas.openxmlformats.org/drawingml/2006/chartDrawing">
    <cdr:from>
      <cdr:x>0.82663</cdr:x>
      <cdr:y>0.86186</cdr:y>
    </cdr:from>
    <cdr:to>
      <cdr:x>1</cdr:x>
      <cdr:y>0.95227</cdr:y>
    </cdr:to>
    <cdr:sp>
      <cdr:nvSpPr>
        <cdr:cNvPr id="2" name="矩形 1"/>
        <cdr:cNvSpPr/>
      </cdr:nvSpPr>
      <cdr:spPr xmlns:a="http://schemas.openxmlformats.org/drawingml/2006/main">
        <a:xfrm xmlns:a="http://schemas.openxmlformats.org/drawingml/2006/main">
          <a:off x="4359910" y="2724150"/>
          <a:ext cx="914400" cy="285750"/>
        </a:xfrm>
        <a:prstGeom xmlns:a="http://schemas.openxmlformats.org/drawingml/2006/main" prst="rect">
          <a:avLst/>
        </a:prstGeom>
      </cdr:spPr>
      <cdr:txBody xmlns:a="http://schemas.openxmlformats.org/drawingml/2006/main">
        <a:bodyPr vert="horz" wrap="square" lIns="45720" tIns="45720" rIns="45720" bIns="45720" rtlCol="0" anchor="t" anchorCtr="0">
          <a:normAutofit/>
        </a:bodyPr>
        <a:lstStyle>
          <a:lvl1pPr marL="0" indent="0">
            <a:defRPr sz="1100">
              <a:latin typeface="Calibri" panose="020F0502020204030204"/>
            </a:defRPr>
          </a:lvl1pPr>
          <a:lvl2pPr marL="457200" indent="0">
            <a:defRPr sz="1100">
              <a:latin typeface="Calibri" panose="020F0502020204030204"/>
            </a:defRPr>
          </a:lvl2pPr>
          <a:lvl3pPr marL="914400" indent="0">
            <a:defRPr sz="1100">
              <a:latin typeface="Calibri" panose="020F0502020204030204"/>
            </a:defRPr>
          </a:lvl3pPr>
          <a:lvl4pPr marL="1371600" indent="0">
            <a:defRPr sz="1100">
              <a:latin typeface="Calibri" panose="020F0502020204030204"/>
            </a:defRPr>
          </a:lvl4pPr>
          <a:lvl5pPr marL="1828800" indent="0">
            <a:defRPr sz="1100">
              <a:latin typeface="Calibri" panose="020F0502020204030204"/>
            </a:defRPr>
          </a:lvl5pPr>
          <a:lvl6pPr marL="2286000" indent="0">
            <a:defRPr sz="1100">
              <a:latin typeface="Calibri" panose="020F0502020204030204"/>
            </a:defRPr>
          </a:lvl6pPr>
          <a:lvl7pPr marL="2743200" indent="0">
            <a:defRPr sz="1100">
              <a:latin typeface="Calibri" panose="020F0502020204030204"/>
            </a:defRPr>
          </a:lvl7pPr>
          <a:lvl8pPr marL="3200400" indent="0">
            <a:defRPr sz="1100">
              <a:latin typeface="Calibri" panose="020F0502020204030204"/>
            </a:defRPr>
          </a:lvl8pPr>
          <a:lvl9pPr marL="3657600" indent="0">
            <a:defRPr sz="1100">
              <a:latin typeface="Calibri" panose="020F0502020204030204"/>
            </a:defRPr>
          </a:lvl9pPr>
        </a:lstStyle>
        <a:p>
          <a:r>
            <a:rPr lang="zh-CN" altLang="en-US" sz="1100"/>
            <a:t>单位：万元</a:t>
          </a:r>
          <a:endParaRPr lang="zh-CN" altLang="en-US" sz="1100"/>
        </a:p>
      </cdr:txBody>
    </cdr:sp>
  </cdr:relSizeAnchor>
  <cdr:relSizeAnchor xmlns:cdr="http://schemas.openxmlformats.org/drawingml/2006/chartDrawing">
    <cdr:from>
      <cdr:x>0.71515</cdr:x>
      <cdr:y>0.46621</cdr:y>
    </cdr:from>
    <cdr:to>
      <cdr:x>0.85602</cdr:x>
      <cdr:y>0.47224</cdr:y>
    </cdr:to>
    <cdr:sp>
      <cdr:nvSpPr>
        <cdr:cNvPr id="3" name="直接连接符 2"/>
        <cdr:cNvSpPr/>
      </cdr:nvSpPr>
      <cdr:spPr xmlns:a="http://schemas.openxmlformats.org/drawingml/2006/main">
        <a:xfrm xmlns:a="http://schemas.openxmlformats.org/drawingml/2006/main" flipV="1">
          <a:off x="3771901" y="790441"/>
          <a:ext cx="742992" cy="10224"/>
        </a:xfrm>
        <a:prstGeom xmlns:a="http://schemas.openxmlformats.org/drawingml/2006/main" prst="line">
          <a:avLst/>
        </a:prstGeom>
        <a:ln w="22225">
          <a:solidFill>
            <a:srgbClr val="FF0000"/>
          </a:solidFill>
          <a:prstDash val="dash"/>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txBody xmlns:a="http://schemas.openxmlformats.org/drawingml/2006/main">
        <a:bodyPr vert="horz" wrap="none" lIns="45720" tIns="45720" rIns="45720" bIns="45720" anchor="t" anchorCtr="0">
          <a:normAutofit/>
        </a:bodyPr>
        <a:lstStyle/>
        <a:p>
          <a:endParaRPr lang="zh-CN"/>
        </a:p>
      </cdr:txBody>
    </cdr:sp>
  </cdr:relSizeAnchor>
  <cdr:relSizeAnchor xmlns:cdr="http://schemas.openxmlformats.org/drawingml/2006/chartDrawing">
    <cdr:from>
      <cdr:x>0.7621</cdr:x>
      <cdr:y>0.32022</cdr:y>
    </cdr:from>
    <cdr:to>
      <cdr:x>0.93547</cdr:x>
      <cdr:y>0.4382</cdr:y>
    </cdr:to>
    <cdr:sp>
      <cdr:nvSpPr>
        <cdr:cNvPr id="4" name="矩形 3"/>
        <cdr:cNvSpPr/>
      </cdr:nvSpPr>
      <cdr:spPr xmlns:a="http://schemas.openxmlformats.org/drawingml/2006/main">
        <a:xfrm xmlns:a="http://schemas.openxmlformats.org/drawingml/2006/main">
          <a:off x="4019551" y="542924"/>
          <a:ext cx="914400" cy="200025"/>
        </a:xfrm>
        <a:prstGeom xmlns:a="http://schemas.openxmlformats.org/drawingml/2006/main" prst="rect">
          <a:avLst/>
        </a:prstGeom>
      </cdr:spPr>
      <cdr:txBody xmlns:a="http://schemas.openxmlformats.org/drawingml/2006/main">
        <a:bodyPr vert="horz" wrap="square" lIns="45720" tIns="45720" rIns="45720" bIns="45720" rtlCol="0" anchor="t" anchorCtr="0">
          <a:normAutofit/>
        </a:bodyPr>
        <a:lstStyle/>
        <a:p>
          <a:r>
            <a:rPr lang="en-US" altLang="zh-CN" sz="1100"/>
            <a:t>598.5</a:t>
          </a:r>
          <a:r>
            <a:rPr lang="zh-CN" altLang="en-US" sz="1100"/>
            <a:t>万元</a:t>
          </a:r>
          <a:endParaRPr lang="zh-CN" altLang="en-US" sz="1100"/>
        </a:p>
      </cdr:txBody>
    </cdr:sp>
  </cdr:relSizeAnchor>
</c:userShapes>
</file>

<file path=word/drawings/drawing3.xml><?xml version="1.0" encoding="utf-8"?>
<c:userShapes xmlns:c="http://schemas.openxmlformats.org/drawingml/2006/chart">
  <cdr:relSizeAnchor xmlns:cdr="http://schemas.openxmlformats.org/drawingml/2006/chartDrawing">
    <cdr:from>
      <cdr:x>0.32083</cdr:x>
      <cdr:y>0.07986</cdr:y>
    </cdr:from>
    <cdr:to>
      <cdr:x>0.53958</cdr:x>
      <cdr:y>0.17014</cdr:y>
    </cdr:to>
    <cdr:sp>
      <cdr:nvSpPr>
        <cdr:cNvPr id="2" name="矩形 1"/>
        <cdr:cNvSpPr/>
      </cdr:nvSpPr>
      <cdr:spPr xmlns:a="http://schemas.openxmlformats.org/drawingml/2006/main">
        <a:xfrm xmlns:a="http://schemas.openxmlformats.org/drawingml/2006/main">
          <a:off x="1466850" y="219075"/>
          <a:ext cx="1000125" cy="247650"/>
        </a:xfrm>
        <a:prstGeom xmlns:a="http://schemas.openxmlformats.org/drawingml/2006/main" prst="rect">
          <a:avLst/>
        </a:prstGeom>
      </cdr:spPr>
      <cdr:txBody xmlns:a="http://schemas.openxmlformats.org/drawingml/2006/main">
        <a:bodyPr vert="horz" wrap="square" lIns="45720" tIns="45720" rIns="45720" bIns="45720" rtlCol="0" anchor="t" anchorCtr="0">
          <a:normAutofit/>
        </a:bodyPr>
        <a:lstStyle/>
        <a:p>
          <a:r>
            <a:rPr lang="en-US" altLang="zh-CN" sz="1100"/>
            <a:t>172</a:t>
          </a:r>
          <a:r>
            <a:rPr lang="zh-CN" altLang="en-US" sz="1100"/>
            <a:t>万元</a:t>
          </a:r>
          <a:endParaRPr lang="zh-CN" altLang="en-US" sz="1100"/>
        </a:p>
      </cdr:txBody>
    </cdr:sp>
  </cdr:relSizeAnchor>
  <cdr:relSizeAnchor xmlns:cdr="http://schemas.openxmlformats.org/drawingml/2006/chartDrawing">
    <cdr:from>
      <cdr:x>0.12083</cdr:x>
      <cdr:y>0.13542</cdr:y>
    </cdr:from>
    <cdr:to>
      <cdr:x>0.30833</cdr:x>
      <cdr:y>0.26736</cdr:y>
    </cdr:to>
    <cdr:sp>
      <cdr:nvSpPr>
        <cdr:cNvPr id="3" name="矩形 2"/>
        <cdr:cNvSpPr/>
      </cdr:nvSpPr>
      <cdr:spPr xmlns:a="http://schemas.openxmlformats.org/drawingml/2006/main">
        <a:xfrm xmlns:a="http://schemas.openxmlformats.org/drawingml/2006/main">
          <a:off x="552450" y="371475"/>
          <a:ext cx="857250" cy="361950"/>
        </a:xfrm>
        <a:prstGeom xmlns:a="http://schemas.openxmlformats.org/drawingml/2006/main" prst="rect">
          <a:avLst/>
        </a:prstGeom>
      </cdr:spPr>
      <cdr:txBody xmlns:a="http://schemas.openxmlformats.org/drawingml/2006/main">
        <a:bodyPr vert="horz" wrap="square" lIns="45720" tIns="45720" rIns="45720" bIns="45720" rtlCol="0" anchor="t" anchorCtr="0">
          <a:normAutofit/>
        </a:bodyPr>
        <a:lstStyle/>
        <a:p>
          <a:r>
            <a:rPr lang="en-US" altLang="zh-CN" sz="1100"/>
            <a:t>482.6</a:t>
          </a:r>
          <a:r>
            <a:rPr lang="zh-CN" altLang="en-US" sz="1100"/>
            <a:t>万元</a:t>
          </a:r>
          <a:endParaRPr lang="zh-CN" altLang="en-US" sz="1100"/>
        </a:p>
      </cdr:txBody>
    </cdr:sp>
  </cdr:relSizeAnchor>
  <cdr:relSizeAnchor xmlns:cdr="http://schemas.openxmlformats.org/drawingml/2006/chartDrawing">
    <cdr:from>
      <cdr:x>0.03542</cdr:x>
      <cdr:y>0.41319</cdr:y>
    </cdr:from>
    <cdr:to>
      <cdr:x>0.21458</cdr:x>
      <cdr:y>0.56597</cdr:y>
    </cdr:to>
    <cdr:sp>
      <cdr:nvSpPr>
        <cdr:cNvPr id="4" name="矩形 3"/>
        <cdr:cNvSpPr/>
      </cdr:nvSpPr>
      <cdr:spPr xmlns:a="http://schemas.openxmlformats.org/drawingml/2006/main">
        <a:xfrm xmlns:a="http://schemas.openxmlformats.org/drawingml/2006/main">
          <a:off x="161925" y="1133475"/>
          <a:ext cx="819150" cy="419100"/>
        </a:xfrm>
        <a:prstGeom xmlns:a="http://schemas.openxmlformats.org/drawingml/2006/main" prst="rect">
          <a:avLst/>
        </a:prstGeom>
      </cdr:spPr>
      <cdr:txBody xmlns:a="http://schemas.openxmlformats.org/drawingml/2006/main">
        <a:bodyPr vert="horz" wrap="square" lIns="45720" tIns="45720" rIns="45720" bIns="45720" rtlCol="0" anchor="t" anchorCtr="0">
          <a:normAutofit/>
        </a:bodyPr>
        <a:lstStyle/>
        <a:p>
          <a:r>
            <a:rPr lang="en-US" altLang="zh-CN" sz="1100"/>
            <a:t>899.2</a:t>
          </a:r>
          <a:r>
            <a:rPr lang="zh-CN" altLang="en-US" sz="1100"/>
            <a:t>万元</a:t>
          </a:r>
          <a:endParaRPr lang="zh-CN" altLang="en-US" sz="1100"/>
        </a:p>
      </cdr:txBody>
    </cdr:sp>
  </cdr:relSizeAnchor>
</c:userShapes>
</file>

<file path=word/drawings/drawing4.xml><?xml version="1.0" encoding="utf-8"?>
<c:userShapes xmlns:c="http://schemas.openxmlformats.org/drawingml/2006/chart">
  <cdr:relSizeAnchor xmlns:cdr="http://schemas.openxmlformats.org/drawingml/2006/chartDrawing">
    <cdr:from>
      <cdr:x>0.00833</cdr:x>
      <cdr:y>0.05903</cdr:y>
    </cdr:from>
    <cdr:to>
      <cdr:x>0.4</cdr:x>
      <cdr:y>0.20139</cdr:y>
    </cdr:to>
    <cdr:sp>
      <cdr:nvSpPr>
        <cdr:cNvPr id="2" name="矩形 1"/>
        <cdr:cNvSpPr/>
      </cdr:nvSpPr>
      <cdr:spPr xmlns:a="http://schemas.openxmlformats.org/drawingml/2006/main">
        <a:xfrm xmlns:a="http://schemas.openxmlformats.org/drawingml/2006/main">
          <a:off x="38100" y="161925"/>
          <a:ext cx="1790700" cy="390525"/>
        </a:xfrm>
        <a:prstGeom xmlns:a="http://schemas.openxmlformats.org/drawingml/2006/main" prst="rect">
          <a:avLst/>
        </a:prstGeom>
      </cdr:spPr>
      <cdr:txBody xmlns:a="http://schemas.openxmlformats.org/drawingml/2006/main">
        <a:bodyPr vert="horz" wrap="square" lIns="45720" tIns="45720" rIns="45720" bIns="45720" rtlCol="0" anchor="t" anchorCtr="0">
          <a:normAutofit/>
        </a:bodyPr>
        <a:lstStyle>
          <a:lvl1pPr marL="0" indent="0">
            <a:defRPr sz="1100">
              <a:latin typeface="Calibri" panose="020F0502020204030204"/>
            </a:defRPr>
          </a:lvl1pPr>
          <a:lvl2pPr marL="457200" indent="0">
            <a:defRPr sz="1100">
              <a:latin typeface="Calibri" panose="020F0502020204030204"/>
            </a:defRPr>
          </a:lvl2pPr>
          <a:lvl3pPr marL="914400" indent="0">
            <a:defRPr sz="1100">
              <a:latin typeface="Calibri" panose="020F0502020204030204"/>
            </a:defRPr>
          </a:lvl3pPr>
          <a:lvl4pPr marL="1371600" indent="0">
            <a:defRPr sz="1100">
              <a:latin typeface="Calibri" panose="020F0502020204030204"/>
            </a:defRPr>
          </a:lvl4pPr>
          <a:lvl5pPr marL="1828800" indent="0">
            <a:defRPr sz="1100">
              <a:latin typeface="Calibri" panose="020F0502020204030204"/>
            </a:defRPr>
          </a:lvl5pPr>
          <a:lvl6pPr marL="2286000" indent="0">
            <a:defRPr sz="1100">
              <a:latin typeface="Calibri" panose="020F0502020204030204"/>
            </a:defRPr>
          </a:lvl6pPr>
          <a:lvl7pPr marL="2743200" indent="0">
            <a:defRPr sz="1100">
              <a:latin typeface="Calibri" panose="020F0502020204030204"/>
            </a:defRPr>
          </a:lvl7pPr>
          <a:lvl8pPr marL="3200400" indent="0">
            <a:defRPr sz="1100">
              <a:latin typeface="Calibri" panose="020F0502020204030204"/>
            </a:defRPr>
          </a:lvl8pPr>
          <a:lvl9pPr marL="3657600" indent="0">
            <a:defRPr sz="1100">
              <a:latin typeface="Calibri" panose="020F0502020204030204"/>
            </a:defRPr>
          </a:lvl9pPr>
        </a:lstStyle>
        <a:p>
          <a:r>
            <a:rPr lang="en-US" altLang="zh-CN" sz="1100"/>
            <a:t>1943.8</a:t>
          </a:r>
          <a:r>
            <a:rPr lang="zh-CN" altLang="en-US" sz="1100"/>
            <a:t>万元，占比</a:t>
          </a:r>
          <a:r>
            <a:rPr lang="en-US" altLang="zh-CN" sz="1100"/>
            <a:t>42%</a:t>
          </a:r>
          <a:endParaRPr lang="zh-CN" altLang="en-US" sz="1100"/>
        </a:p>
      </cdr:txBody>
    </cdr:sp>
  </cdr:relSizeAnchor>
  <cdr:relSizeAnchor xmlns:cdr="http://schemas.openxmlformats.org/drawingml/2006/chartDrawing">
    <cdr:from>
      <cdr:x>0.52917</cdr:x>
      <cdr:y>0.77431</cdr:y>
    </cdr:from>
    <cdr:to>
      <cdr:x>0.92083</cdr:x>
      <cdr:y>0.91667</cdr:y>
    </cdr:to>
    <cdr:sp>
      <cdr:nvSpPr>
        <cdr:cNvPr id="3" name="矩形 2"/>
        <cdr:cNvSpPr/>
      </cdr:nvSpPr>
      <cdr:spPr xmlns:a="http://schemas.openxmlformats.org/drawingml/2006/main">
        <a:xfrm xmlns:a="http://schemas.openxmlformats.org/drawingml/2006/main">
          <a:off x="2419350" y="2124075"/>
          <a:ext cx="1790700" cy="390525"/>
        </a:xfrm>
        <a:prstGeom xmlns:a="http://schemas.openxmlformats.org/drawingml/2006/main" prst="rect">
          <a:avLst/>
        </a:prstGeom>
      </cdr:spPr>
      <cdr:txBody xmlns:a="http://schemas.openxmlformats.org/drawingml/2006/main">
        <a:bodyPr vert="horz" wrap="square" lIns="45720" tIns="45720" rIns="45720" bIns="45720" rtlCol="0" anchor="t" anchorCtr="0">
          <a:normAutofit/>
        </a:bodyPr>
        <a:lstStyle>
          <a:lvl1pPr marL="0" indent="0">
            <a:defRPr sz="1100">
              <a:latin typeface="Calibri" panose="020F0502020204030204"/>
            </a:defRPr>
          </a:lvl1pPr>
          <a:lvl2pPr marL="457200" indent="0">
            <a:defRPr sz="1100">
              <a:latin typeface="Calibri" panose="020F0502020204030204"/>
            </a:defRPr>
          </a:lvl2pPr>
          <a:lvl3pPr marL="914400" indent="0">
            <a:defRPr sz="1100">
              <a:latin typeface="Calibri" panose="020F0502020204030204"/>
            </a:defRPr>
          </a:lvl3pPr>
          <a:lvl4pPr marL="1371600" indent="0">
            <a:defRPr sz="1100">
              <a:latin typeface="Calibri" panose="020F0502020204030204"/>
            </a:defRPr>
          </a:lvl4pPr>
          <a:lvl5pPr marL="1828800" indent="0">
            <a:defRPr sz="1100">
              <a:latin typeface="Calibri" panose="020F0502020204030204"/>
            </a:defRPr>
          </a:lvl5pPr>
          <a:lvl6pPr marL="2286000" indent="0">
            <a:defRPr sz="1100">
              <a:latin typeface="Calibri" panose="020F0502020204030204"/>
            </a:defRPr>
          </a:lvl6pPr>
          <a:lvl7pPr marL="2743200" indent="0">
            <a:defRPr sz="1100">
              <a:latin typeface="Calibri" panose="020F0502020204030204"/>
            </a:defRPr>
          </a:lvl7pPr>
          <a:lvl8pPr marL="3200400" indent="0">
            <a:defRPr sz="1100">
              <a:latin typeface="Calibri" panose="020F0502020204030204"/>
            </a:defRPr>
          </a:lvl8pPr>
          <a:lvl9pPr marL="3657600" indent="0">
            <a:defRPr sz="1100">
              <a:latin typeface="Calibri" panose="020F0502020204030204"/>
            </a:defRPr>
          </a:lvl9pPr>
        </a:lstStyle>
        <a:p>
          <a:r>
            <a:rPr lang="en-US" altLang="zh-CN" sz="1100"/>
            <a:t>2679.1</a:t>
          </a:r>
          <a:r>
            <a:rPr lang="zh-CN" altLang="en-US" sz="1100"/>
            <a:t>万元，占比</a:t>
          </a:r>
          <a:r>
            <a:rPr lang="en-US" altLang="zh-CN" sz="1100"/>
            <a:t>58%</a:t>
          </a:r>
          <a:endParaRPr lang="zh-CN" altLang="en-US" sz="1100"/>
        </a:p>
      </cdr:txBody>
    </cdr:sp>
  </cdr:relSizeAnchor>
</c:userShapes>
</file>

<file path=word/drawings/drawing5.xml><?xml version="1.0" encoding="utf-8"?>
<c:userShapes xmlns:c="http://schemas.openxmlformats.org/drawingml/2006/chart">
  <cdr:relSizeAnchor xmlns:cdr="http://schemas.openxmlformats.org/drawingml/2006/chartDrawing">
    <cdr:from>
      <cdr:x>0.73267</cdr:x>
      <cdr:y>0.66764</cdr:y>
    </cdr:from>
    <cdr:to>
      <cdr:x>0.92277</cdr:x>
      <cdr:y>0.7551</cdr:y>
    </cdr:to>
    <cdr:sp>
      <cdr:nvSpPr>
        <cdr:cNvPr id="2" name="矩形 1"/>
        <cdr:cNvSpPr/>
      </cdr:nvSpPr>
      <cdr:spPr xmlns:a="http://schemas.openxmlformats.org/drawingml/2006/main">
        <a:xfrm xmlns:a="http://schemas.openxmlformats.org/drawingml/2006/main">
          <a:off x="3524250" y="2181225"/>
          <a:ext cx="914400" cy="285750"/>
        </a:xfrm>
        <a:prstGeom xmlns:a="http://schemas.openxmlformats.org/drawingml/2006/main" prst="rect">
          <a:avLst/>
        </a:prstGeom>
      </cdr:spPr>
      <cdr:txBody xmlns:a="http://schemas.openxmlformats.org/drawingml/2006/main">
        <a:bodyPr vert="horz" wrap="square" lIns="45720" tIns="45720" rIns="45720" bIns="45720" rtlCol="0" anchor="t" anchorCtr="0">
          <a:normAutofit/>
        </a:bodyPr>
        <a:lstStyle>
          <a:lvl1pPr marL="0" indent="0">
            <a:defRPr sz="1100">
              <a:latin typeface="Calibri" panose="020F0502020204030204"/>
            </a:defRPr>
          </a:lvl1pPr>
          <a:lvl2pPr marL="457200" indent="0">
            <a:defRPr sz="1100">
              <a:latin typeface="Calibri" panose="020F0502020204030204"/>
            </a:defRPr>
          </a:lvl2pPr>
          <a:lvl3pPr marL="914400" indent="0">
            <a:defRPr sz="1100">
              <a:latin typeface="Calibri" panose="020F0502020204030204"/>
            </a:defRPr>
          </a:lvl3pPr>
          <a:lvl4pPr marL="1371600" indent="0">
            <a:defRPr sz="1100">
              <a:latin typeface="Calibri" panose="020F0502020204030204"/>
            </a:defRPr>
          </a:lvl4pPr>
          <a:lvl5pPr marL="1828800" indent="0">
            <a:defRPr sz="1100">
              <a:latin typeface="Calibri" panose="020F0502020204030204"/>
            </a:defRPr>
          </a:lvl5pPr>
          <a:lvl6pPr marL="2286000" indent="0">
            <a:defRPr sz="1100">
              <a:latin typeface="Calibri" panose="020F0502020204030204"/>
            </a:defRPr>
          </a:lvl6pPr>
          <a:lvl7pPr marL="2743200" indent="0">
            <a:defRPr sz="1100">
              <a:latin typeface="Calibri" panose="020F0502020204030204"/>
            </a:defRPr>
          </a:lvl7pPr>
          <a:lvl8pPr marL="3200400" indent="0">
            <a:defRPr sz="1100">
              <a:latin typeface="Calibri" panose="020F0502020204030204"/>
            </a:defRPr>
          </a:lvl8pPr>
          <a:lvl9pPr marL="3657600" indent="0">
            <a:defRPr sz="1100">
              <a:latin typeface="Calibri" panose="020F0502020204030204"/>
            </a:defRPr>
          </a:lvl9pPr>
        </a:lstStyle>
        <a:p>
          <a:r>
            <a:rPr lang="zh-CN" altLang="en-US" sz="1100"/>
            <a:t>单位：万元</a:t>
          </a:r>
          <a:endParaRPr lang="zh-CN" altLang="en-US" sz="1100"/>
        </a:p>
      </cdr:txBody>
    </cdr:sp>
  </cdr:relSizeAnchor>
  <cdr:relSizeAnchor xmlns:cdr="http://schemas.openxmlformats.org/drawingml/2006/chartDrawing">
    <cdr:from>
      <cdr:x>0.15446</cdr:x>
      <cdr:y>0.57977</cdr:y>
    </cdr:from>
    <cdr:to>
      <cdr:x>0.72079</cdr:x>
      <cdr:y>0.94553</cdr:y>
    </cdr:to>
    <cdr:sp>
      <cdr:nvSpPr>
        <cdr:cNvPr id="3" name="矩形 2"/>
        <cdr:cNvSpPr/>
      </cdr:nvSpPr>
      <cdr:spPr xmlns:a="http://schemas.openxmlformats.org/drawingml/2006/main">
        <a:xfrm xmlns:a="http://schemas.openxmlformats.org/drawingml/2006/main">
          <a:off x="742950" y="1419225"/>
          <a:ext cx="2724150" cy="895350"/>
        </a:xfrm>
        <a:prstGeom xmlns:a="http://schemas.openxmlformats.org/drawingml/2006/main" prst="rect">
          <a:avLst/>
        </a:prstGeom>
      </cdr:spPr>
      <cdr:txBody xmlns:a="http://schemas.openxmlformats.org/drawingml/2006/main">
        <a:bodyPr vert="horz" wrap="square" lIns="45720" tIns="45720" rIns="45720" bIns="45720" rtlCol="0" anchor="t" anchorCtr="0">
          <a:normAutofit/>
        </a:bodyPr>
        <a:lstStyle/>
        <a:p>
          <a:endParaRPr lang="zh-CN" altLang="en-US" sz="1100"/>
        </a:p>
      </cdr:txBody>
    </cdr:sp>
  </cdr:relSizeAnchor>
  <cdr:relSizeAnchor xmlns:cdr="http://schemas.openxmlformats.org/drawingml/2006/chartDrawing">
    <cdr:from>
      <cdr:x>0.28317</cdr:x>
      <cdr:y>0.86381</cdr:y>
    </cdr:from>
    <cdr:to>
      <cdr:x>0.4495</cdr:x>
      <cdr:y>0.98054</cdr:y>
    </cdr:to>
    <cdr:sp>
      <cdr:nvSpPr>
        <cdr:cNvPr id="4" name="矩形 3"/>
        <cdr:cNvSpPr/>
      </cdr:nvSpPr>
      <cdr:spPr xmlns:a="http://schemas.openxmlformats.org/drawingml/2006/main">
        <a:xfrm xmlns:a="http://schemas.openxmlformats.org/drawingml/2006/main">
          <a:off x="1362075" y="2114550"/>
          <a:ext cx="800100" cy="285750"/>
        </a:xfrm>
        <a:prstGeom xmlns:a="http://schemas.openxmlformats.org/drawingml/2006/main" prst="rect">
          <a:avLst/>
        </a:prstGeom>
      </cdr:spPr>
      <cdr:txBody xmlns:a="http://schemas.openxmlformats.org/drawingml/2006/main">
        <a:bodyPr vert="horz" wrap="square" lIns="45720" tIns="45720" rIns="45720" bIns="45720" rtlCol="0" anchor="t" anchorCtr="0">
          <a:normAutofit/>
        </a:bodyPr>
        <a:lstStyle/>
        <a:p>
          <a:r>
            <a:rPr lang="en-US" altLang="zh-CN" sz="1100"/>
            <a:t>2018</a:t>
          </a:r>
          <a:r>
            <a:rPr lang="zh-CN" altLang="en-US" sz="1100"/>
            <a:t>年</a:t>
          </a:r>
          <a:endParaRPr lang="zh-CN" altLang="en-US" sz="1100"/>
        </a:p>
      </cdr:txBody>
    </cdr:sp>
  </cdr:relSizeAnchor>
  <cdr:relSizeAnchor xmlns:cdr="http://schemas.openxmlformats.org/drawingml/2006/chartDrawing">
    <cdr:from>
      <cdr:x>0.63762</cdr:x>
      <cdr:y>0.85992</cdr:y>
    </cdr:from>
    <cdr:to>
      <cdr:x>0.78614</cdr:x>
      <cdr:y>0.97276</cdr:y>
    </cdr:to>
    <cdr:sp>
      <cdr:nvSpPr>
        <cdr:cNvPr id="5" name="矩形 4"/>
        <cdr:cNvSpPr/>
      </cdr:nvSpPr>
      <cdr:spPr xmlns:a="http://schemas.openxmlformats.org/drawingml/2006/main">
        <a:xfrm xmlns:a="http://schemas.openxmlformats.org/drawingml/2006/main">
          <a:off x="3067050" y="2105025"/>
          <a:ext cx="714375" cy="276225"/>
        </a:xfrm>
        <a:prstGeom xmlns:a="http://schemas.openxmlformats.org/drawingml/2006/main" prst="rect">
          <a:avLst/>
        </a:prstGeom>
      </cdr:spPr>
      <cdr:txBody xmlns:a="http://schemas.openxmlformats.org/drawingml/2006/main">
        <a:bodyPr vert="horz" wrap="square" lIns="45720" tIns="45720" rIns="45720" bIns="45720" rtlCol="0" anchor="t" anchorCtr="0">
          <a:normAutofit/>
        </a:bodyPr>
        <a:lstStyle/>
        <a:p>
          <a:r>
            <a:rPr lang="en-US" altLang="zh-CN" sz="1100"/>
            <a:t>2017</a:t>
          </a:r>
          <a:r>
            <a:rPr lang="zh-CN" altLang="en-US" sz="1100"/>
            <a:t>年</a:t>
          </a:r>
          <a:endParaRPr lang="zh-CN" altLang="en-US" sz="1100"/>
        </a:p>
      </cdr:txBody>
    </cdr:sp>
  </cdr:relSizeAnchor>
</c:userShapes>
</file>

<file path=word/drawings/drawing6.xml><?xml version="1.0" encoding="utf-8"?>
<c:userShapes xmlns:c="http://schemas.openxmlformats.org/drawingml/2006/chart">
  <cdr:relSizeAnchor xmlns:cdr="http://schemas.openxmlformats.org/drawingml/2006/chartDrawing">
    <cdr:from>
      <cdr:x>0.30061</cdr:x>
      <cdr:y>0.07639</cdr:y>
    </cdr:from>
    <cdr:to>
      <cdr:x>0.6135</cdr:x>
      <cdr:y>0.21875</cdr:y>
    </cdr:to>
    <cdr:sp>
      <cdr:nvSpPr>
        <cdr:cNvPr id="2" name="矩形 1"/>
        <cdr:cNvSpPr/>
      </cdr:nvSpPr>
      <cdr:spPr xmlns:a="http://schemas.openxmlformats.org/drawingml/2006/main">
        <a:xfrm xmlns:a="http://schemas.openxmlformats.org/drawingml/2006/main">
          <a:off x="1400175" y="209550"/>
          <a:ext cx="1457325" cy="390525"/>
        </a:xfrm>
        <a:prstGeom xmlns:a="http://schemas.openxmlformats.org/drawingml/2006/main" prst="rect">
          <a:avLst/>
        </a:prstGeom>
      </cdr:spPr>
      <cdr:txBody xmlns:a="http://schemas.openxmlformats.org/drawingml/2006/main">
        <a:bodyPr vert="horz" wrap="square" lIns="45720" tIns="45720" rIns="45720" bIns="45720" rtlCol="0" anchor="t" anchorCtr="0">
          <a:normAutofit/>
        </a:bodyPr>
        <a:lstStyle/>
        <a:p>
          <a:r>
            <a:rPr lang="en-US" altLang="zh-CN" sz="1100"/>
            <a:t>97.5</a:t>
          </a:r>
          <a:r>
            <a:rPr lang="zh-CN" altLang="en-US" sz="1100"/>
            <a:t>万元，占比</a:t>
          </a:r>
          <a:r>
            <a:rPr lang="en-US" altLang="zh-CN" sz="1100"/>
            <a:t>2.1%</a:t>
          </a:r>
          <a:endParaRPr lang="zh-CN" altLang="en-US" sz="1100"/>
        </a:p>
      </cdr:txBody>
    </cdr:sp>
  </cdr:relSizeAnchor>
  <cdr:relSizeAnchor xmlns:cdr="http://schemas.openxmlformats.org/drawingml/2006/chartDrawing">
    <cdr:from>
      <cdr:x>0.33975</cdr:x>
      <cdr:y>0.66494</cdr:y>
    </cdr:from>
    <cdr:to>
      <cdr:x>0.69763</cdr:x>
      <cdr:y>0.80729</cdr:y>
    </cdr:to>
    <cdr:sp>
      <cdr:nvSpPr>
        <cdr:cNvPr id="3" name="矩形 2"/>
        <cdr:cNvSpPr/>
      </cdr:nvSpPr>
      <cdr:spPr xmlns:a="http://schemas.openxmlformats.org/drawingml/2006/main">
        <a:xfrm xmlns:a="http://schemas.openxmlformats.org/drawingml/2006/main">
          <a:off x="1673095" y="810689"/>
          <a:ext cx="1762353" cy="173565"/>
        </a:xfrm>
        <a:prstGeom xmlns:a="http://schemas.openxmlformats.org/drawingml/2006/main" prst="rect">
          <a:avLst/>
        </a:prstGeom>
      </cdr:spPr>
      <cdr:txBody xmlns:a="http://schemas.openxmlformats.org/drawingml/2006/main">
        <a:bodyPr vert="horz" wrap="square" lIns="45720" tIns="45720" rIns="45720" bIns="45720" rtlCol="0" anchor="t" anchorCtr="0">
          <a:normAutofit/>
        </a:bodyPr>
        <a:lstStyle>
          <a:lvl1pPr marL="0" indent="0">
            <a:defRPr sz="1100">
              <a:latin typeface="Calibri" panose="020F0502020204030204"/>
            </a:defRPr>
          </a:lvl1pPr>
          <a:lvl2pPr marL="457200" indent="0">
            <a:defRPr sz="1100">
              <a:latin typeface="Calibri" panose="020F0502020204030204"/>
            </a:defRPr>
          </a:lvl2pPr>
          <a:lvl3pPr marL="914400" indent="0">
            <a:defRPr sz="1100">
              <a:latin typeface="Calibri" panose="020F0502020204030204"/>
            </a:defRPr>
          </a:lvl3pPr>
          <a:lvl4pPr marL="1371600" indent="0">
            <a:defRPr sz="1100">
              <a:latin typeface="Calibri" panose="020F0502020204030204"/>
            </a:defRPr>
          </a:lvl4pPr>
          <a:lvl5pPr marL="1828800" indent="0">
            <a:defRPr sz="1100">
              <a:latin typeface="Calibri" panose="020F0502020204030204"/>
            </a:defRPr>
          </a:lvl5pPr>
          <a:lvl6pPr marL="2286000" indent="0">
            <a:defRPr sz="1100">
              <a:latin typeface="Calibri" panose="020F0502020204030204"/>
            </a:defRPr>
          </a:lvl6pPr>
          <a:lvl7pPr marL="2743200" indent="0">
            <a:defRPr sz="1100">
              <a:latin typeface="Calibri" panose="020F0502020204030204"/>
            </a:defRPr>
          </a:lvl7pPr>
          <a:lvl8pPr marL="3200400" indent="0">
            <a:defRPr sz="1100">
              <a:latin typeface="Calibri" panose="020F0502020204030204"/>
            </a:defRPr>
          </a:lvl8pPr>
          <a:lvl9pPr marL="3657600" indent="0">
            <a:defRPr sz="1100">
              <a:latin typeface="Calibri" panose="020F0502020204030204"/>
            </a:defRPr>
          </a:lvl9pPr>
        </a:lstStyle>
        <a:p>
          <a:r>
            <a:rPr lang="en-US" altLang="zh-CN" sz="1100"/>
            <a:t>4482.9</a:t>
          </a:r>
          <a:r>
            <a:rPr lang="zh-CN" altLang="en-US" sz="1100"/>
            <a:t>万元，占比</a:t>
          </a:r>
          <a:r>
            <a:rPr lang="en-US" altLang="zh-CN" sz="1100"/>
            <a:t>97.9%</a:t>
          </a:r>
          <a:endParaRPr lang="zh-CN" altLang="en-US" sz="1100"/>
        </a:p>
      </cdr:txBody>
    </cdr:sp>
  </cdr:relSizeAnchor>
</c:userShapes>
</file>

<file path=word/drawings/drawing7.xml><?xml version="1.0" encoding="utf-8"?>
<c:userShapes xmlns:c="http://schemas.openxmlformats.org/drawingml/2006/chart">
  <cdr:relSizeAnchor xmlns:cdr="http://schemas.openxmlformats.org/drawingml/2006/chartDrawing">
    <cdr:from>
      <cdr:x>0.39041</cdr:x>
      <cdr:y>0.13194</cdr:y>
    </cdr:from>
    <cdr:to>
      <cdr:x>0.94041</cdr:x>
      <cdr:y>0.13252</cdr:y>
    </cdr:to>
    <cdr:sp>
      <cdr:nvSpPr>
        <cdr:cNvPr id="2" name="直接连接符 1"/>
        <cdr:cNvSpPr/>
      </cdr:nvSpPr>
      <cdr:spPr xmlns:a="http://schemas.openxmlformats.org/drawingml/2006/main">
        <a:xfrm xmlns:a="http://schemas.openxmlformats.org/drawingml/2006/main">
          <a:off x="1900218" y="361950"/>
          <a:ext cx="2677001" cy="1588"/>
        </a:xfrm>
        <a:prstGeom xmlns:a="http://schemas.openxmlformats.org/drawingml/2006/main" prst="line">
          <a:avLst/>
        </a:prstGeom>
        <a:ln w="22225">
          <a:solidFill>
            <a:srgbClr val="FF0000"/>
          </a:solidFill>
          <a:prstDash val="dash"/>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txBody xmlns:a="http://schemas.openxmlformats.org/drawingml/2006/main">
        <a:bodyPr vert="horz" wrap="none" lIns="45720" tIns="45720" rIns="45720" bIns="45720" anchor="t" anchorCtr="0">
          <a:normAutofit/>
        </a:bodyPr>
        <a:lstStyle/>
        <a:p>
          <a:endParaRPr lang="zh-CN"/>
        </a:p>
      </cdr:txBody>
    </cdr:sp>
  </cdr:relSizeAnchor>
  <cdr:relSizeAnchor xmlns:cdr="http://schemas.openxmlformats.org/drawingml/2006/chartDrawing">
    <cdr:from>
      <cdr:x>0.68075</cdr:x>
      <cdr:y>0.53819</cdr:y>
    </cdr:from>
    <cdr:to>
      <cdr:x>0.93492</cdr:x>
      <cdr:y>0.53877</cdr:y>
    </cdr:to>
    <cdr:sp>
      <cdr:nvSpPr>
        <cdr:cNvPr id="3" name="直接连接符 2"/>
        <cdr:cNvSpPr/>
      </cdr:nvSpPr>
      <cdr:spPr xmlns:a="http://schemas.openxmlformats.org/drawingml/2006/main">
        <a:xfrm xmlns:a="http://schemas.openxmlformats.org/drawingml/2006/main">
          <a:off x="3313390" y="1476375"/>
          <a:ext cx="1237099" cy="1588"/>
        </a:xfrm>
        <a:prstGeom xmlns:a="http://schemas.openxmlformats.org/drawingml/2006/main" prst="line">
          <a:avLst/>
        </a:prstGeom>
        <a:ln w="22225">
          <a:solidFill>
            <a:srgbClr val="FF0000"/>
          </a:solidFill>
          <a:prstDash val="dash"/>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txBody xmlns:a="http://schemas.openxmlformats.org/drawingml/2006/main">
        <a:bodyPr vert="horz" wrap="none" lIns="45720" tIns="45720" rIns="45720" bIns="45720" anchor="t" anchorCtr="0">
          <a:normAutofit/>
        </a:bodyPr>
        <a:lstStyle/>
        <a:p>
          <a:endParaRPr lang="zh-CN"/>
        </a:p>
      </cdr:txBody>
    </cdr:sp>
  </cdr:relSizeAnchor>
  <cdr:relSizeAnchor xmlns:cdr="http://schemas.openxmlformats.org/drawingml/2006/chartDrawing">
    <cdr:from>
      <cdr:x>0.78082</cdr:x>
      <cdr:y>0.86111</cdr:y>
    </cdr:from>
    <cdr:to>
      <cdr:x>0.96869</cdr:x>
      <cdr:y>0.96528</cdr:y>
    </cdr:to>
    <cdr:sp>
      <cdr:nvSpPr>
        <cdr:cNvPr id="4" name="矩形 3"/>
        <cdr:cNvSpPr/>
      </cdr:nvSpPr>
      <cdr:spPr xmlns:a="http://schemas.openxmlformats.org/drawingml/2006/main">
        <a:xfrm xmlns:a="http://schemas.openxmlformats.org/drawingml/2006/main">
          <a:off x="3800475" y="2362200"/>
          <a:ext cx="914400" cy="285750"/>
        </a:xfrm>
        <a:prstGeom xmlns:a="http://schemas.openxmlformats.org/drawingml/2006/main" prst="rect">
          <a:avLst/>
        </a:prstGeom>
      </cdr:spPr>
      <cdr:txBody xmlns:a="http://schemas.openxmlformats.org/drawingml/2006/main">
        <a:bodyPr vert="horz" wrap="square" lIns="45720" tIns="45720" rIns="45720" bIns="45720" rtlCol="0" anchor="t" anchorCtr="0">
          <a:normAutofit/>
        </a:bodyPr>
        <a:lstStyle/>
        <a:p>
          <a:r>
            <a:rPr lang="zh-CN" altLang="en-US" sz="1100"/>
            <a:t>单位：万元</a:t>
          </a:r>
          <a:endParaRPr lang="zh-CN" altLang="en-US" sz="1100"/>
        </a:p>
      </cdr:txBody>
    </cdr:sp>
  </cdr:relSizeAnchor>
</c:userShape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8"/>
    <customShpInfo spid="_x0000_s1027"/>
    <customShpInfo spid="_x0000_s1032"/>
    <customShpInfo spid="_x0000_s1030"/>
    <customShpInfo spid="_x0000_s1031"/>
    <customShpInfo spid="_x0000_s1033"/>
    <customShpInfo spid="_x0000_s1035"/>
    <customShpInfo spid="_x0000_s103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3CF03F1-F9D1-424E-9F6B-E2B63C792FAB}">
  <ds:schemaRefs/>
</ds:datastoreItem>
</file>

<file path=docProps/app.xml><?xml version="1.0" encoding="utf-8"?>
<Properties xmlns="http://schemas.openxmlformats.org/officeDocument/2006/extended-properties" xmlns:vt="http://schemas.openxmlformats.org/officeDocument/2006/docPropsVTypes">
  <Template>Normal</Template>
  <Company>四川省财政厅</Company>
  <Pages>1</Pages>
  <Words>2962</Words>
  <Characters>16890</Characters>
  <Lines>140</Lines>
  <Paragraphs>39</Paragraphs>
  <TotalTime>7</TotalTime>
  <ScaleCrop>false</ScaleCrop>
  <LinksUpToDate>false</LinksUpToDate>
  <CharactersWithSpaces>19813</CharactersWithSpaces>
  <Application>WPS Office_11.1.0.8894_F1E327BC-269C-435d-A152-05C5408002CA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2019-08-01T01:14:00Z</dcterms:created>
  <dc:creator>张彬茜</dc:creator>
  <cp:lastModifiedBy>Administrator</cp:lastModifiedBy>
  <cp:lastPrinted>2019-09-11T03:51:00Z</cp:lastPrinted>
  <dcterms:modified xsi:type="dcterms:W3CDTF">2019-09-20T01:09:07Z</dcterms:modified>
  <dc:title>四川省***</dc:title>
  <cp:revision>154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ies>
</file>