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jc w:val="center"/>
        <w:rPr>
          <w:rFonts w:ascii="黑体" w:hAnsi="黑体" w:eastAsia="黑体"/>
          <w:b/>
          <w:sz w:val="44"/>
          <w:szCs w:val="44"/>
        </w:rPr>
      </w:pPr>
      <w:r>
        <w:rPr>
          <w:rFonts w:hint="eastAsia" w:ascii="黑体" w:hAnsi="黑体" w:eastAsia="黑体"/>
          <w:b/>
          <w:sz w:val="44"/>
          <w:szCs w:val="44"/>
          <w:u w:val="single" w:color="FFFFFF"/>
        </w:rPr>
        <w:t>攀枝花市规划建设监察支队</w:t>
      </w:r>
    </w:p>
    <w:p>
      <w:pPr>
        <w:spacing w:line="600" w:lineRule="exact"/>
        <w:jc w:val="center"/>
        <w:rPr>
          <w:rFonts w:ascii="黑体" w:hAnsi="黑体" w:eastAsia="黑体"/>
          <w:b/>
          <w:sz w:val="44"/>
          <w:szCs w:val="44"/>
          <w:u w:val="single"/>
        </w:rPr>
      </w:pPr>
      <w:r>
        <w:rPr>
          <w:rFonts w:ascii="黑体" w:hAnsi="黑体" w:eastAsia="黑体"/>
          <w:b/>
          <w:sz w:val="44"/>
          <w:szCs w:val="44"/>
        </w:rPr>
        <w:t>2020</w:t>
      </w:r>
      <w:r>
        <w:rPr>
          <w:rFonts w:hint="eastAsia" w:ascii="黑体" w:hAnsi="黑体" w:eastAsia="黑体"/>
          <w:b/>
          <w:sz w:val="44"/>
          <w:szCs w:val="44"/>
        </w:rPr>
        <w:t>年部门预算编制说明</w:t>
      </w:r>
    </w:p>
    <w:p>
      <w:pPr>
        <w:spacing w:line="600" w:lineRule="exact"/>
        <w:jc w:val="center"/>
        <w:rPr>
          <w:rFonts w:ascii="黑体" w:hAnsi="黑体" w:eastAsia="黑体"/>
          <w:b/>
        </w:rPr>
      </w:pPr>
    </w:p>
    <w:p>
      <w:pPr>
        <w:spacing w:line="600" w:lineRule="exact"/>
        <w:rPr>
          <w:rFonts w:ascii="仿宋" w:hAnsi="仿宋" w:eastAsia="仿宋"/>
          <w:b/>
        </w:rPr>
      </w:pPr>
      <w:r>
        <w:rPr>
          <w:rFonts w:hint="eastAsia" w:ascii="仿宋" w:hAnsi="仿宋" w:eastAsia="仿宋"/>
          <w:b/>
        </w:rPr>
        <w:t>一、基本职能及主要工作</w:t>
      </w:r>
    </w:p>
    <w:p>
      <w:pPr>
        <w:pStyle w:val="12"/>
        <w:spacing w:line="600" w:lineRule="exact"/>
        <w:rPr>
          <w:rFonts w:ascii="仿宋" w:hAnsi="仿宋" w:eastAsia="仿宋"/>
          <w:sz w:val="32"/>
          <w:szCs w:val="32"/>
          <w:u w:val="single"/>
        </w:rPr>
      </w:pPr>
      <w:r>
        <w:rPr>
          <w:rFonts w:hint="eastAsia" w:ascii="仿宋" w:hAnsi="仿宋" w:eastAsia="仿宋"/>
          <w:sz w:val="32"/>
          <w:szCs w:val="32"/>
        </w:rPr>
        <w:t>（一）</w:t>
      </w:r>
      <w:r>
        <w:rPr>
          <w:rFonts w:hint="eastAsia" w:ascii="仿宋" w:hAnsi="仿宋" w:eastAsia="仿宋"/>
          <w:u w:val="single" w:color="FFFFFF"/>
        </w:rPr>
        <w:t>市规建支队主要工作</w:t>
      </w:r>
      <w:r>
        <w:rPr>
          <w:rFonts w:hint="eastAsia" w:ascii="仿宋" w:hAnsi="仿宋" w:eastAsia="仿宋"/>
          <w:sz w:val="32"/>
          <w:szCs w:val="32"/>
        </w:rPr>
        <w:t>职能</w:t>
      </w:r>
      <w:r>
        <w:rPr>
          <w:rFonts w:hint="eastAsia" w:ascii="仿宋" w:hAnsi="仿宋" w:eastAsia="仿宋"/>
          <w:sz w:val="32"/>
          <w:szCs w:val="32"/>
          <w:u w:val="single" w:color="FFFFFF"/>
        </w:rPr>
        <w:t>：</w:t>
      </w:r>
      <w:r>
        <w:rPr>
          <w:rFonts w:ascii="仿宋" w:hAnsi="仿宋" w:eastAsia="仿宋"/>
          <w:sz w:val="32"/>
          <w:szCs w:val="32"/>
          <w:u w:val="single" w:color="FFFFFF"/>
        </w:rPr>
        <w:t>1</w:t>
      </w:r>
      <w:r>
        <w:rPr>
          <w:rFonts w:hint="eastAsia" w:ascii="仿宋" w:hAnsi="仿宋" w:eastAsia="仿宋"/>
          <w:sz w:val="32"/>
          <w:szCs w:val="32"/>
          <w:u w:val="single" w:color="FFFFFF"/>
        </w:rPr>
        <w:t>、开展住房保障、城乡规划、建筑市场、勘察设计、建筑节能、房地产、测绘等方面的执法监察工作。</w:t>
      </w:r>
      <w:r>
        <w:rPr>
          <w:rFonts w:ascii="仿宋" w:hAnsi="仿宋" w:eastAsia="仿宋"/>
          <w:sz w:val="32"/>
          <w:szCs w:val="32"/>
          <w:u w:val="single" w:color="FFFFFF"/>
        </w:rPr>
        <w:t>2</w:t>
      </w:r>
      <w:r>
        <w:rPr>
          <w:rFonts w:hint="eastAsia" w:ascii="仿宋" w:hAnsi="仿宋" w:eastAsia="仿宋"/>
          <w:sz w:val="32"/>
          <w:szCs w:val="32"/>
          <w:u w:val="single" w:color="FFFFFF"/>
        </w:rPr>
        <w:t>、开展建设领域环境综合治理工作（施工工地扬尘治理）。</w:t>
      </w:r>
    </w:p>
    <w:p>
      <w:pPr>
        <w:pStyle w:val="12"/>
        <w:spacing w:line="600" w:lineRule="exact"/>
        <w:rPr>
          <w:rFonts w:ascii="仿宋" w:hAnsi="仿宋" w:eastAsia="仿宋"/>
          <w:color w:val="000000"/>
          <w:sz w:val="32"/>
          <w:szCs w:val="32"/>
          <w:u w:val="single"/>
        </w:rPr>
      </w:pPr>
      <w:r>
        <w:rPr>
          <w:rFonts w:hint="eastAsia" w:ascii="仿宋" w:hAnsi="仿宋" w:eastAsia="仿宋"/>
          <w:color w:val="000000"/>
          <w:sz w:val="32"/>
          <w:szCs w:val="32"/>
        </w:rPr>
        <w:t>（二）</w:t>
      </w:r>
      <w:r>
        <w:rPr>
          <w:rFonts w:hint="eastAsia" w:ascii="仿宋" w:hAnsi="仿宋" w:eastAsia="仿宋"/>
          <w:color w:val="000000"/>
          <w:u w:val="single" w:color="FFFFFF"/>
        </w:rPr>
        <w:t>市规建支队</w:t>
      </w:r>
      <w:r>
        <w:rPr>
          <w:rFonts w:ascii="仿宋" w:hAnsi="仿宋" w:eastAsia="仿宋"/>
          <w:color w:val="000000"/>
          <w:sz w:val="32"/>
          <w:szCs w:val="32"/>
        </w:rPr>
        <w:t>2020</w:t>
      </w:r>
      <w:r>
        <w:rPr>
          <w:rFonts w:hint="eastAsia" w:ascii="仿宋" w:hAnsi="仿宋" w:eastAsia="仿宋"/>
          <w:color w:val="000000"/>
          <w:sz w:val="32"/>
          <w:szCs w:val="32"/>
        </w:rPr>
        <w:t>年重点工作</w:t>
      </w:r>
      <w:r>
        <w:rPr>
          <w:rFonts w:ascii="仿宋" w:hAnsi="仿宋" w:eastAsia="仿宋"/>
          <w:color w:val="000000"/>
          <w:sz w:val="32"/>
          <w:szCs w:val="32"/>
        </w:rPr>
        <w:t>:</w:t>
      </w:r>
      <w:r>
        <w:rPr>
          <w:rFonts w:hint="eastAsia" w:ascii="仿宋" w:hAnsi="仿宋" w:eastAsia="仿宋"/>
          <w:color w:val="000000"/>
          <w:sz w:val="32"/>
          <w:szCs w:val="32"/>
        </w:rPr>
        <w:t>受市城市管理行政执法局委托，集中行使市本级住房城乡建设领域行政处罚工作；重点对施工工地现场管理方面展开专项执法工作；完成上级交办的其它工作。</w:t>
      </w:r>
    </w:p>
    <w:p>
      <w:pPr>
        <w:spacing w:line="600" w:lineRule="exact"/>
        <w:rPr>
          <w:rFonts w:ascii="仿宋" w:hAnsi="仿宋" w:eastAsia="仿宋"/>
          <w:b/>
        </w:rPr>
      </w:pPr>
      <w:r>
        <w:rPr>
          <w:rFonts w:hint="eastAsia" w:ascii="仿宋" w:hAnsi="仿宋" w:eastAsia="仿宋"/>
          <w:b/>
        </w:rPr>
        <w:t>二、单位构成情况</w:t>
      </w:r>
    </w:p>
    <w:p>
      <w:pPr>
        <w:pStyle w:val="12"/>
        <w:spacing w:line="600" w:lineRule="exact"/>
        <w:ind w:firstLine="600"/>
        <w:rPr>
          <w:rFonts w:ascii="仿宋" w:hAnsi="仿宋" w:eastAsia="仿宋"/>
          <w:sz w:val="32"/>
          <w:szCs w:val="32"/>
        </w:rPr>
      </w:pPr>
      <w:r>
        <w:rPr>
          <w:rFonts w:hint="eastAsia" w:ascii="仿宋" w:hAnsi="仿宋" w:eastAsia="仿宋"/>
          <w:u w:val="single" w:color="FFFFFF"/>
        </w:rPr>
        <w:t>市规建支队隶属攀枝花市城市管理行政执法局系统的独立核算二级预算科级单位，单位基本性质为</w:t>
      </w:r>
      <w:r>
        <w:rPr>
          <w:rFonts w:hint="eastAsia" w:ascii="仿宋" w:hAnsi="仿宋" w:eastAsia="仿宋"/>
          <w:sz w:val="32"/>
          <w:szCs w:val="32"/>
        </w:rPr>
        <w:t>参照公务员法管理的事业单位。我单位在职职工</w:t>
      </w:r>
      <w:r>
        <w:rPr>
          <w:rFonts w:ascii="仿宋" w:hAnsi="仿宋" w:eastAsia="仿宋"/>
          <w:sz w:val="32"/>
          <w:szCs w:val="32"/>
        </w:rPr>
        <w:t>31</w:t>
      </w:r>
      <w:r>
        <w:rPr>
          <w:rFonts w:hint="eastAsia" w:ascii="仿宋" w:hAnsi="仿宋" w:eastAsia="仿宋"/>
          <w:sz w:val="32"/>
          <w:szCs w:val="32"/>
        </w:rPr>
        <w:t>人，其中参公人员</w:t>
      </w:r>
      <w:r>
        <w:rPr>
          <w:rFonts w:ascii="仿宋" w:hAnsi="仿宋" w:eastAsia="仿宋"/>
          <w:sz w:val="32"/>
          <w:szCs w:val="32"/>
        </w:rPr>
        <w:t>21</w:t>
      </w:r>
      <w:r>
        <w:rPr>
          <w:rFonts w:hint="eastAsia" w:ascii="仿宋" w:hAnsi="仿宋" w:eastAsia="仿宋"/>
          <w:sz w:val="32"/>
          <w:szCs w:val="32"/>
        </w:rPr>
        <w:t>人、工勤人员</w:t>
      </w:r>
      <w:r>
        <w:rPr>
          <w:rFonts w:ascii="仿宋" w:hAnsi="仿宋" w:eastAsia="仿宋"/>
          <w:sz w:val="32"/>
          <w:szCs w:val="32"/>
        </w:rPr>
        <w:t>9</w:t>
      </w:r>
      <w:r>
        <w:rPr>
          <w:rFonts w:hint="eastAsia" w:ascii="仿宋" w:hAnsi="仿宋" w:eastAsia="仿宋"/>
          <w:sz w:val="32"/>
          <w:szCs w:val="32"/>
        </w:rPr>
        <w:t>人、按照攀委办</w:t>
      </w:r>
      <w:r>
        <w:rPr>
          <w:rFonts w:ascii="仿宋" w:hAnsi="仿宋" w:eastAsia="仿宋"/>
          <w:sz w:val="32"/>
          <w:szCs w:val="32"/>
        </w:rPr>
        <w:t>90</w:t>
      </w:r>
      <w:r>
        <w:rPr>
          <w:rFonts w:hint="eastAsia" w:ascii="仿宋" w:hAnsi="仿宋" w:eastAsia="仿宋"/>
          <w:sz w:val="32"/>
          <w:szCs w:val="32"/>
        </w:rPr>
        <w:t>号文件长期聘用人员</w:t>
      </w:r>
      <w:r>
        <w:rPr>
          <w:rFonts w:ascii="仿宋" w:hAnsi="仿宋" w:eastAsia="仿宋"/>
          <w:sz w:val="32"/>
          <w:szCs w:val="32"/>
        </w:rPr>
        <w:t>1</w:t>
      </w:r>
      <w:r>
        <w:rPr>
          <w:rFonts w:hint="eastAsia" w:ascii="仿宋" w:hAnsi="仿宋" w:eastAsia="仿宋"/>
          <w:sz w:val="32"/>
          <w:szCs w:val="32"/>
        </w:rPr>
        <w:t>人。</w:t>
      </w:r>
    </w:p>
    <w:p>
      <w:pPr>
        <w:spacing w:line="600" w:lineRule="exact"/>
        <w:rPr>
          <w:rFonts w:ascii="仿宋" w:hAnsi="仿宋" w:eastAsia="仿宋"/>
          <w:b/>
        </w:rPr>
      </w:pPr>
      <w:r>
        <w:rPr>
          <w:rFonts w:hint="eastAsia" w:ascii="仿宋" w:hAnsi="仿宋" w:eastAsia="仿宋"/>
          <w:b/>
        </w:rPr>
        <w:t>三、收支预算情况说明</w:t>
      </w:r>
    </w:p>
    <w:p>
      <w:pPr>
        <w:spacing w:line="600" w:lineRule="exact"/>
        <w:ind w:firstLine="640"/>
        <w:rPr>
          <w:rFonts w:ascii="仿宋" w:hAnsi="仿宋" w:eastAsia="仿宋"/>
        </w:rPr>
      </w:pPr>
      <w:r>
        <w:rPr>
          <w:rFonts w:hint="eastAsia" w:ascii="仿宋" w:hAnsi="仿宋" w:eastAsia="仿宋"/>
        </w:rPr>
        <w:t>按照综合预算的原则，</w:t>
      </w:r>
      <w:r>
        <w:rPr>
          <w:rFonts w:hint="eastAsia" w:ascii="仿宋" w:hAnsi="仿宋" w:eastAsia="仿宋"/>
          <w:sz w:val="30"/>
          <w:szCs w:val="30"/>
          <w:u w:val="single" w:color="FFFFFF"/>
        </w:rPr>
        <w:t>市规建支队</w:t>
      </w:r>
      <w:r>
        <w:rPr>
          <w:rFonts w:hint="eastAsia" w:ascii="仿宋" w:hAnsi="仿宋" w:eastAsia="仿宋"/>
        </w:rPr>
        <w:t>所有收入和支出均纳入部门预算管理。收入包括：一般公共预算拨款收入。支出包括：社会保障和就业支出、城乡社区支出、住房保障支出。</w:t>
      </w:r>
      <w:r>
        <w:rPr>
          <w:rFonts w:hint="eastAsia" w:ascii="仿宋" w:hAnsi="仿宋" w:eastAsia="仿宋"/>
          <w:sz w:val="30"/>
          <w:szCs w:val="30"/>
          <w:u w:val="single" w:color="FFFFFF"/>
        </w:rPr>
        <w:t>市规建支队</w:t>
      </w:r>
      <w:r>
        <w:rPr>
          <w:rFonts w:ascii="仿宋" w:hAnsi="仿宋" w:eastAsia="仿宋"/>
        </w:rPr>
        <w:t>2020</w:t>
      </w:r>
      <w:r>
        <w:rPr>
          <w:rFonts w:hint="eastAsia" w:ascii="仿宋" w:hAnsi="仿宋" w:eastAsia="仿宋"/>
        </w:rPr>
        <w:t>年收支总预算</w:t>
      </w:r>
      <w:r>
        <w:rPr>
          <w:rFonts w:ascii="仿宋" w:hAnsi="仿宋" w:eastAsia="仿宋"/>
        </w:rPr>
        <w:t>554.24</w:t>
      </w:r>
      <w:r>
        <w:rPr>
          <w:rFonts w:hint="eastAsia" w:ascii="仿宋" w:hAnsi="仿宋" w:eastAsia="仿宋"/>
        </w:rPr>
        <w:t>万元。</w:t>
      </w:r>
    </w:p>
    <w:p>
      <w:pPr>
        <w:spacing w:line="600" w:lineRule="exact"/>
        <w:rPr>
          <w:rFonts w:ascii="仿宋" w:hAnsi="仿宋" w:eastAsia="仿宋"/>
          <w:b/>
        </w:rPr>
      </w:pPr>
      <w:r>
        <w:rPr>
          <w:rFonts w:hint="eastAsia" w:ascii="仿宋" w:hAnsi="仿宋" w:eastAsia="仿宋"/>
          <w:b/>
        </w:rPr>
        <w:t>（一）收入预算情况</w:t>
      </w:r>
    </w:p>
    <w:p>
      <w:pPr>
        <w:pStyle w:val="12"/>
        <w:spacing w:line="600" w:lineRule="exact"/>
        <w:ind w:firstLine="600"/>
        <w:rPr>
          <w:rFonts w:ascii="仿宋" w:hAnsi="仿宋" w:eastAsia="仿宋"/>
          <w:sz w:val="32"/>
          <w:szCs w:val="32"/>
        </w:rPr>
      </w:pPr>
      <w:r>
        <w:rPr>
          <w:rFonts w:hint="eastAsia" w:ascii="仿宋" w:hAnsi="仿宋" w:eastAsia="仿宋"/>
          <w:u w:val="single" w:color="FFFFFF"/>
        </w:rPr>
        <w:t>市规建支队</w:t>
      </w:r>
      <w:r>
        <w:rPr>
          <w:rFonts w:ascii="仿宋" w:hAnsi="仿宋" w:eastAsia="仿宋"/>
          <w:sz w:val="32"/>
          <w:szCs w:val="32"/>
        </w:rPr>
        <w:t>2020</w:t>
      </w:r>
      <w:r>
        <w:rPr>
          <w:rFonts w:hint="eastAsia" w:ascii="仿宋" w:hAnsi="仿宋" w:eastAsia="仿宋"/>
          <w:sz w:val="32"/>
          <w:szCs w:val="32"/>
        </w:rPr>
        <w:t>年收入预算</w:t>
      </w:r>
      <w:r>
        <w:rPr>
          <w:rFonts w:ascii="仿宋" w:hAnsi="仿宋" w:eastAsia="仿宋"/>
          <w:sz w:val="32"/>
          <w:szCs w:val="32"/>
        </w:rPr>
        <w:t>554.24</w:t>
      </w:r>
      <w:r>
        <w:rPr>
          <w:rFonts w:hint="eastAsia" w:ascii="仿宋" w:hAnsi="仿宋" w:eastAsia="仿宋"/>
          <w:sz w:val="32"/>
          <w:szCs w:val="32"/>
        </w:rPr>
        <w:t>万元，一般公共预算拨款收入</w:t>
      </w:r>
      <w:r>
        <w:rPr>
          <w:rFonts w:ascii="仿宋" w:hAnsi="仿宋" w:eastAsia="仿宋"/>
          <w:sz w:val="32"/>
          <w:szCs w:val="32"/>
        </w:rPr>
        <w:t>554.24</w:t>
      </w:r>
      <w:r>
        <w:rPr>
          <w:rFonts w:hint="eastAsia" w:ascii="仿宋" w:hAnsi="仿宋" w:eastAsia="仿宋"/>
          <w:sz w:val="32"/>
          <w:szCs w:val="32"/>
        </w:rPr>
        <w:t>万元，占</w:t>
      </w:r>
      <w:r>
        <w:rPr>
          <w:rFonts w:ascii="仿宋" w:hAnsi="仿宋" w:eastAsia="仿宋"/>
          <w:sz w:val="32"/>
          <w:szCs w:val="32"/>
        </w:rPr>
        <w:t>100%.</w:t>
      </w:r>
    </w:p>
    <w:p>
      <w:pPr>
        <w:spacing w:line="600" w:lineRule="exact"/>
        <w:rPr>
          <w:rFonts w:ascii="仿宋" w:hAnsi="仿宋" w:eastAsia="仿宋"/>
          <w:b/>
        </w:rPr>
      </w:pPr>
      <w:r>
        <w:rPr>
          <w:rFonts w:hint="eastAsia" w:ascii="仿宋" w:hAnsi="仿宋" w:eastAsia="仿宋"/>
          <w:b/>
        </w:rPr>
        <w:t>（二）支出预算情况</w:t>
      </w:r>
    </w:p>
    <w:p>
      <w:pPr>
        <w:pStyle w:val="12"/>
        <w:spacing w:line="600" w:lineRule="exact"/>
        <w:ind w:firstLine="600"/>
        <w:rPr>
          <w:rFonts w:ascii="仿宋" w:hAnsi="仿宋" w:eastAsia="仿宋"/>
          <w:sz w:val="32"/>
          <w:szCs w:val="32"/>
          <w:u w:val="single" w:color="FFFFFF"/>
        </w:rPr>
      </w:pPr>
      <w:r>
        <w:rPr>
          <w:rFonts w:hint="eastAsia" w:ascii="仿宋" w:hAnsi="仿宋" w:eastAsia="仿宋"/>
          <w:u w:val="single" w:color="FFFFFF"/>
        </w:rPr>
        <w:t>市规建支队</w:t>
      </w:r>
      <w:r>
        <w:rPr>
          <w:rFonts w:ascii="仿宋" w:hAnsi="仿宋" w:eastAsia="仿宋"/>
          <w:sz w:val="32"/>
          <w:szCs w:val="32"/>
        </w:rPr>
        <w:t>2020</w:t>
      </w:r>
      <w:r>
        <w:rPr>
          <w:rFonts w:hint="eastAsia" w:ascii="仿宋" w:hAnsi="仿宋" w:eastAsia="仿宋"/>
          <w:sz w:val="32"/>
          <w:szCs w:val="32"/>
        </w:rPr>
        <w:t>年支出预算</w:t>
      </w:r>
      <w:r>
        <w:rPr>
          <w:rFonts w:ascii="仿宋" w:hAnsi="仿宋" w:eastAsia="仿宋"/>
          <w:sz w:val="32"/>
          <w:szCs w:val="32"/>
        </w:rPr>
        <w:t>554.24</w:t>
      </w:r>
      <w:r>
        <w:rPr>
          <w:rFonts w:hint="eastAsia" w:ascii="仿宋" w:hAnsi="仿宋" w:eastAsia="仿宋"/>
          <w:sz w:val="32"/>
          <w:szCs w:val="32"/>
        </w:rPr>
        <w:t>万元，其中：基本支出</w:t>
      </w:r>
      <w:r>
        <w:rPr>
          <w:rFonts w:ascii="仿宋" w:hAnsi="仿宋" w:eastAsia="仿宋"/>
          <w:sz w:val="32"/>
          <w:szCs w:val="32"/>
        </w:rPr>
        <w:t>535.69</w:t>
      </w:r>
      <w:r>
        <w:rPr>
          <w:rFonts w:hint="eastAsia" w:ascii="仿宋" w:hAnsi="仿宋" w:eastAsia="仿宋"/>
          <w:sz w:val="32"/>
          <w:szCs w:val="32"/>
        </w:rPr>
        <w:t>万元，占</w:t>
      </w:r>
      <w:r>
        <w:rPr>
          <w:rFonts w:ascii="仿宋" w:hAnsi="仿宋" w:eastAsia="仿宋"/>
          <w:sz w:val="32"/>
          <w:szCs w:val="32"/>
        </w:rPr>
        <w:t>96.65%</w:t>
      </w:r>
      <w:r>
        <w:rPr>
          <w:rFonts w:hint="eastAsia" w:ascii="仿宋" w:hAnsi="仿宋" w:eastAsia="仿宋"/>
          <w:sz w:val="32"/>
          <w:szCs w:val="32"/>
        </w:rPr>
        <w:t>；项目支出</w:t>
      </w:r>
      <w:r>
        <w:rPr>
          <w:rFonts w:ascii="仿宋" w:hAnsi="仿宋" w:eastAsia="仿宋"/>
          <w:sz w:val="32"/>
          <w:szCs w:val="32"/>
        </w:rPr>
        <w:t>18.55</w:t>
      </w:r>
      <w:r>
        <w:rPr>
          <w:rFonts w:hint="eastAsia" w:ascii="仿宋" w:hAnsi="仿宋" w:eastAsia="仿宋"/>
          <w:sz w:val="32"/>
          <w:szCs w:val="32"/>
        </w:rPr>
        <w:t>万元，占</w:t>
      </w:r>
      <w:r>
        <w:rPr>
          <w:rFonts w:ascii="仿宋" w:hAnsi="仿宋" w:eastAsia="仿宋"/>
          <w:sz w:val="32"/>
          <w:szCs w:val="32"/>
        </w:rPr>
        <w:t>3.35%</w:t>
      </w:r>
      <w:r>
        <w:rPr>
          <w:rFonts w:hint="eastAsia" w:ascii="仿宋" w:hAnsi="仿宋" w:eastAsia="仿宋"/>
          <w:sz w:val="32"/>
          <w:szCs w:val="32"/>
          <w:u w:val="single" w:color="FFFFFF"/>
        </w:rPr>
        <w:t>。</w:t>
      </w:r>
    </w:p>
    <w:p>
      <w:pPr>
        <w:spacing w:line="600" w:lineRule="exact"/>
        <w:rPr>
          <w:rFonts w:ascii="仿宋" w:hAnsi="仿宋" w:eastAsia="仿宋"/>
        </w:rPr>
      </w:pPr>
      <w:r>
        <w:rPr>
          <w:rFonts w:hint="eastAsia" w:ascii="仿宋" w:hAnsi="仿宋" w:eastAsia="仿宋"/>
        </w:rPr>
        <w:t>四、财政拨款收支预算情况说明</w:t>
      </w:r>
    </w:p>
    <w:p>
      <w:pPr>
        <w:pStyle w:val="12"/>
        <w:spacing w:line="600" w:lineRule="exact"/>
        <w:ind w:firstLine="600"/>
        <w:rPr>
          <w:rFonts w:ascii="仿宋" w:hAnsi="仿宋" w:eastAsia="仿宋"/>
          <w:sz w:val="32"/>
          <w:szCs w:val="32"/>
        </w:rPr>
      </w:pPr>
      <w:r>
        <w:rPr>
          <w:rFonts w:hint="eastAsia" w:ascii="仿宋" w:hAnsi="仿宋" w:eastAsia="仿宋"/>
          <w:u w:val="single" w:color="FFFFFF"/>
        </w:rPr>
        <w:t>市规建支队</w:t>
      </w:r>
      <w:r>
        <w:rPr>
          <w:rFonts w:ascii="仿宋" w:hAnsi="仿宋" w:eastAsia="仿宋"/>
          <w:sz w:val="32"/>
          <w:szCs w:val="32"/>
        </w:rPr>
        <w:t>2020</w:t>
      </w:r>
      <w:r>
        <w:rPr>
          <w:rFonts w:hint="eastAsia" w:ascii="仿宋" w:hAnsi="仿宋" w:eastAsia="仿宋"/>
          <w:sz w:val="32"/>
          <w:szCs w:val="32"/>
        </w:rPr>
        <w:t>年财政拨款收支总预算</w:t>
      </w:r>
      <w:r>
        <w:rPr>
          <w:rFonts w:ascii="仿宋" w:hAnsi="仿宋" w:eastAsia="仿宋"/>
          <w:sz w:val="32"/>
          <w:szCs w:val="32"/>
        </w:rPr>
        <w:t>554.24</w:t>
      </w:r>
      <w:r>
        <w:rPr>
          <w:rFonts w:hint="eastAsia" w:ascii="仿宋" w:hAnsi="仿宋" w:eastAsia="仿宋"/>
          <w:sz w:val="32"/>
          <w:szCs w:val="32"/>
        </w:rPr>
        <w:t>万元。收入包括：本年一般公共预算拨款收入</w:t>
      </w:r>
      <w:r>
        <w:rPr>
          <w:rFonts w:ascii="仿宋" w:hAnsi="仿宋" w:eastAsia="仿宋"/>
          <w:sz w:val="32"/>
          <w:szCs w:val="32"/>
        </w:rPr>
        <w:t>554.24</w:t>
      </w:r>
      <w:r>
        <w:rPr>
          <w:rFonts w:hint="eastAsia" w:ascii="仿宋" w:hAnsi="仿宋" w:eastAsia="仿宋"/>
          <w:sz w:val="32"/>
          <w:szCs w:val="32"/>
        </w:rPr>
        <w:t>万元。支出包括：社会保障和就业支出</w:t>
      </w:r>
      <w:r>
        <w:rPr>
          <w:rFonts w:ascii="仿宋" w:hAnsi="仿宋" w:eastAsia="仿宋"/>
          <w:sz w:val="32"/>
          <w:szCs w:val="32"/>
        </w:rPr>
        <w:t>36.89</w:t>
      </w:r>
      <w:r>
        <w:rPr>
          <w:rFonts w:hint="eastAsia" w:ascii="仿宋" w:hAnsi="仿宋" w:eastAsia="仿宋"/>
          <w:sz w:val="32"/>
          <w:szCs w:val="32"/>
        </w:rPr>
        <w:t>万元、城乡社区支出</w:t>
      </w:r>
      <w:r>
        <w:rPr>
          <w:rFonts w:ascii="仿宋" w:hAnsi="仿宋" w:eastAsia="仿宋"/>
          <w:sz w:val="32"/>
          <w:szCs w:val="32"/>
        </w:rPr>
        <w:t>476.50</w:t>
      </w:r>
      <w:r>
        <w:rPr>
          <w:rFonts w:hint="eastAsia" w:ascii="仿宋" w:hAnsi="仿宋" w:eastAsia="仿宋"/>
          <w:sz w:val="32"/>
          <w:szCs w:val="32"/>
        </w:rPr>
        <w:t>万元、住房保障支出</w:t>
      </w:r>
      <w:r>
        <w:rPr>
          <w:rFonts w:ascii="仿宋" w:hAnsi="仿宋" w:eastAsia="仿宋"/>
          <w:sz w:val="32"/>
          <w:szCs w:val="32"/>
        </w:rPr>
        <w:t>40.85</w:t>
      </w:r>
      <w:r>
        <w:rPr>
          <w:rFonts w:hint="eastAsia" w:ascii="仿宋" w:hAnsi="仿宋" w:eastAsia="仿宋"/>
          <w:sz w:val="32"/>
          <w:szCs w:val="32"/>
        </w:rPr>
        <w:t>万元。</w:t>
      </w:r>
    </w:p>
    <w:p>
      <w:pPr>
        <w:spacing w:line="600" w:lineRule="exact"/>
        <w:rPr>
          <w:rFonts w:ascii="仿宋" w:hAnsi="仿宋" w:eastAsia="仿宋"/>
          <w:b/>
        </w:rPr>
      </w:pPr>
      <w:r>
        <w:rPr>
          <w:rFonts w:hint="eastAsia" w:ascii="仿宋" w:hAnsi="仿宋" w:eastAsia="仿宋"/>
          <w:b/>
        </w:rPr>
        <w:t>五、一般公共预算当年拨款情况说明</w:t>
      </w:r>
    </w:p>
    <w:p>
      <w:pPr>
        <w:spacing w:line="600" w:lineRule="exact"/>
        <w:rPr>
          <w:rFonts w:ascii="仿宋" w:hAnsi="仿宋" w:eastAsia="仿宋"/>
          <w:b/>
        </w:rPr>
      </w:pPr>
      <w:r>
        <w:rPr>
          <w:rFonts w:hint="eastAsia" w:ascii="仿宋" w:hAnsi="仿宋" w:eastAsia="仿宋"/>
          <w:b/>
        </w:rPr>
        <w:t>（一）一般公共预算当年拨款规模变化情况</w:t>
      </w:r>
    </w:p>
    <w:p>
      <w:pPr>
        <w:pStyle w:val="12"/>
        <w:spacing w:line="600" w:lineRule="exact"/>
        <w:ind w:firstLine="600"/>
        <w:rPr>
          <w:rFonts w:ascii="仿宋" w:hAnsi="仿宋" w:eastAsia="仿宋"/>
          <w:sz w:val="32"/>
          <w:szCs w:val="32"/>
        </w:rPr>
      </w:pPr>
      <w:r>
        <w:rPr>
          <w:rFonts w:hint="eastAsia" w:ascii="仿宋" w:hAnsi="仿宋" w:eastAsia="仿宋"/>
          <w:u w:val="single" w:color="FFFFFF"/>
        </w:rPr>
        <w:t>市规建支队</w:t>
      </w:r>
      <w:r>
        <w:rPr>
          <w:rFonts w:ascii="仿宋" w:hAnsi="仿宋" w:eastAsia="仿宋"/>
          <w:sz w:val="32"/>
          <w:szCs w:val="32"/>
        </w:rPr>
        <w:t>2020</w:t>
      </w:r>
      <w:r>
        <w:rPr>
          <w:rFonts w:hint="eastAsia" w:ascii="仿宋" w:hAnsi="仿宋" w:eastAsia="仿宋"/>
          <w:sz w:val="32"/>
          <w:szCs w:val="32"/>
        </w:rPr>
        <w:t>年一般公共预算当年拨款</w:t>
      </w:r>
      <w:r>
        <w:rPr>
          <w:rFonts w:ascii="仿宋" w:hAnsi="仿宋" w:eastAsia="仿宋"/>
          <w:sz w:val="32"/>
          <w:szCs w:val="32"/>
        </w:rPr>
        <w:t>554.24</w:t>
      </w:r>
      <w:r>
        <w:rPr>
          <w:rFonts w:hint="eastAsia" w:ascii="仿宋" w:hAnsi="仿宋" w:eastAsia="仿宋"/>
          <w:sz w:val="32"/>
          <w:szCs w:val="32"/>
        </w:rPr>
        <w:t>万元，比</w:t>
      </w:r>
      <w:r>
        <w:rPr>
          <w:rFonts w:ascii="仿宋" w:hAnsi="仿宋" w:eastAsia="仿宋"/>
          <w:sz w:val="32"/>
          <w:szCs w:val="32"/>
        </w:rPr>
        <w:t>2019</w:t>
      </w:r>
      <w:r>
        <w:rPr>
          <w:rFonts w:hint="eastAsia" w:ascii="仿宋" w:hAnsi="仿宋" w:eastAsia="仿宋"/>
          <w:sz w:val="32"/>
          <w:szCs w:val="32"/>
        </w:rPr>
        <w:t>年预算数</w:t>
      </w:r>
      <w:r>
        <w:rPr>
          <w:rFonts w:hint="eastAsia" w:ascii="仿宋" w:hAnsi="仿宋" w:eastAsia="仿宋"/>
          <w:sz w:val="32"/>
          <w:szCs w:val="32"/>
          <w:u w:val="single" w:color="FFFFFF"/>
        </w:rPr>
        <w:t>增加</w:t>
      </w:r>
      <w:r>
        <w:rPr>
          <w:rFonts w:ascii="仿宋" w:hAnsi="仿宋" w:eastAsia="仿宋"/>
          <w:sz w:val="32"/>
          <w:szCs w:val="32"/>
        </w:rPr>
        <w:t>11.92</w:t>
      </w:r>
      <w:r>
        <w:rPr>
          <w:rFonts w:hint="eastAsia" w:ascii="仿宋" w:hAnsi="仿宋" w:eastAsia="仿宋"/>
          <w:sz w:val="32"/>
          <w:szCs w:val="32"/>
        </w:rPr>
        <w:t>万元，主要是一般公共预算支出增加。</w:t>
      </w:r>
    </w:p>
    <w:p>
      <w:pPr>
        <w:spacing w:line="600" w:lineRule="exact"/>
        <w:rPr>
          <w:rFonts w:ascii="仿宋" w:hAnsi="仿宋" w:eastAsia="仿宋"/>
          <w:b/>
        </w:rPr>
      </w:pPr>
      <w:r>
        <w:rPr>
          <w:rFonts w:hint="eastAsia" w:ascii="仿宋" w:hAnsi="仿宋" w:eastAsia="仿宋"/>
          <w:b/>
        </w:rPr>
        <w:t>（二）一般公共预算当年拨款结构情况</w:t>
      </w:r>
    </w:p>
    <w:p>
      <w:pPr>
        <w:spacing w:line="600" w:lineRule="exact"/>
        <w:ind w:firstLine="640"/>
        <w:rPr>
          <w:rFonts w:ascii="仿宋" w:hAnsi="仿宋" w:eastAsia="仿宋"/>
        </w:rPr>
      </w:pPr>
      <w:r>
        <w:rPr>
          <w:rFonts w:ascii="仿宋" w:hAnsi="仿宋" w:eastAsia="仿宋"/>
        </w:rPr>
        <w:t>1</w:t>
      </w:r>
      <w:r>
        <w:rPr>
          <w:rFonts w:hint="eastAsia" w:ascii="仿宋" w:hAnsi="仿宋" w:eastAsia="仿宋"/>
        </w:rPr>
        <w:t>、机关事业单位基本养老保险缴费支出</w:t>
      </w:r>
      <w:r>
        <w:rPr>
          <w:rFonts w:ascii="仿宋" w:hAnsi="仿宋" w:eastAsia="仿宋"/>
        </w:rPr>
        <w:t>36.89</w:t>
      </w:r>
      <w:r>
        <w:rPr>
          <w:rFonts w:hint="eastAsia" w:ascii="仿宋" w:hAnsi="仿宋" w:eastAsia="仿宋"/>
        </w:rPr>
        <w:t>万元，占</w:t>
      </w:r>
      <w:r>
        <w:rPr>
          <w:rFonts w:ascii="仿宋" w:hAnsi="仿宋" w:eastAsia="仿宋"/>
        </w:rPr>
        <w:t>6.65%</w:t>
      </w:r>
      <w:r>
        <w:rPr>
          <w:rFonts w:hint="eastAsia" w:ascii="仿宋" w:hAnsi="仿宋" w:eastAsia="仿宋"/>
        </w:rPr>
        <w:t>；</w:t>
      </w:r>
      <w:r>
        <w:rPr>
          <w:rFonts w:ascii="仿宋" w:hAnsi="仿宋" w:eastAsia="仿宋"/>
        </w:rPr>
        <w:t>2</w:t>
      </w:r>
      <w:r>
        <w:rPr>
          <w:rFonts w:hint="eastAsia" w:ascii="仿宋" w:hAnsi="仿宋" w:eastAsia="仿宋"/>
        </w:rPr>
        <w:t>、行政运行支出</w:t>
      </w:r>
      <w:r>
        <w:rPr>
          <w:rFonts w:ascii="仿宋" w:hAnsi="仿宋" w:eastAsia="仿宋"/>
        </w:rPr>
        <w:t>457.95</w:t>
      </w:r>
      <w:r>
        <w:rPr>
          <w:rFonts w:hint="eastAsia" w:ascii="仿宋" w:hAnsi="仿宋" w:eastAsia="仿宋"/>
        </w:rPr>
        <w:t>万元，占</w:t>
      </w:r>
      <w:r>
        <w:rPr>
          <w:rFonts w:ascii="仿宋" w:hAnsi="仿宋" w:eastAsia="仿宋"/>
        </w:rPr>
        <w:t>82.63%</w:t>
      </w:r>
      <w:r>
        <w:rPr>
          <w:rFonts w:hint="eastAsia" w:ascii="仿宋" w:hAnsi="仿宋" w:eastAsia="仿宋"/>
        </w:rPr>
        <w:t>；</w:t>
      </w:r>
      <w:r>
        <w:rPr>
          <w:rFonts w:ascii="仿宋" w:hAnsi="仿宋" w:eastAsia="仿宋"/>
        </w:rPr>
        <w:t>3</w:t>
      </w:r>
      <w:r>
        <w:rPr>
          <w:rFonts w:hint="eastAsia" w:ascii="仿宋" w:hAnsi="仿宋" w:eastAsia="仿宋"/>
        </w:rPr>
        <w:t>、城管执法支出</w:t>
      </w:r>
      <w:r>
        <w:rPr>
          <w:rFonts w:ascii="仿宋" w:hAnsi="仿宋" w:eastAsia="仿宋"/>
        </w:rPr>
        <w:t>18.55</w:t>
      </w:r>
      <w:r>
        <w:rPr>
          <w:rFonts w:hint="eastAsia" w:ascii="仿宋" w:hAnsi="仿宋" w:eastAsia="仿宋"/>
        </w:rPr>
        <w:t>万元，占</w:t>
      </w:r>
      <w:r>
        <w:rPr>
          <w:rFonts w:ascii="仿宋" w:hAnsi="仿宋" w:eastAsia="仿宋"/>
        </w:rPr>
        <w:t>3.35%</w:t>
      </w:r>
      <w:r>
        <w:rPr>
          <w:rFonts w:hint="eastAsia" w:ascii="仿宋" w:hAnsi="仿宋" w:eastAsia="仿宋"/>
        </w:rPr>
        <w:t>；</w:t>
      </w:r>
      <w:r>
        <w:rPr>
          <w:rFonts w:ascii="仿宋" w:hAnsi="仿宋" w:eastAsia="仿宋"/>
        </w:rPr>
        <w:t>4</w:t>
      </w:r>
      <w:r>
        <w:rPr>
          <w:rFonts w:hint="eastAsia" w:ascii="仿宋" w:hAnsi="仿宋" w:eastAsia="仿宋"/>
        </w:rPr>
        <w:t>、住房公积金支出</w:t>
      </w:r>
      <w:r>
        <w:rPr>
          <w:rFonts w:ascii="仿宋" w:hAnsi="仿宋" w:eastAsia="仿宋"/>
        </w:rPr>
        <w:t>40.85</w:t>
      </w:r>
      <w:r>
        <w:rPr>
          <w:rFonts w:hint="eastAsia" w:ascii="仿宋" w:hAnsi="仿宋" w:eastAsia="仿宋"/>
        </w:rPr>
        <w:t>万元，占</w:t>
      </w:r>
      <w:r>
        <w:rPr>
          <w:rFonts w:ascii="仿宋" w:hAnsi="仿宋" w:eastAsia="仿宋"/>
        </w:rPr>
        <w:t>7.37%</w:t>
      </w:r>
      <w:r>
        <w:rPr>
          <w:rFonts w:hint="eastAsia" w:ascii="仿宋" w:hAnsi="仿宋" w:eastAsia="仿宋"/>
        </w:rPr>
        <w:t>。</w:t>
      </w:r>
    </w:p>
    <w:p>
      <w:pPr>
        <w:spacing w:line="600" w:lineRule="exact"/>
        <w:rPr>
          <w:rFonts w:ascii="仿宋" w:hAnsi="仿宋" w:eastAsia="仿宋"/>
          <w:b/>
        </w:rPr>
      </w:pPr>
      <w:r>
        <w:rPr>
          <w:rFonts w:hint="eastAsia" w:ascii="仿宋" w:hAnsi="仿宋" w:eastAsia="仿宋"/>
          <w:b/>
        </w:rPr>
        <w:t>（三）一般公共预算当年拨款具体使用情况</w:t>
      </w:r>
    </w:p>
    <w:p>
      <w:pPr>
        <w:spacing w:line="600" w:lineRule="exact"/>
        <w:ind w:firstLine="640"/>
        <w:rPr>
          <w:rFonts w:ascii="仿宋" w:hAnsi="仿宋" w:eastAsia="仿宋"/>
        </w:rPr>
      </w:pPr>
      <w:r>
        <w:rPr>
          <w:rFonts w:ascii="仿宋" w:hAnsi="仿宋" w:eastAsia="仿宋"/>
        </w:rPr>
        <w:t>2020</w:t>
      </w:r>
      <w:r>
        <w:rPr>
          <w:rFonts w:hint="eastAsia" w:ascii="仿宋" w:hAnsi="仿宋" w:eastAsia="仿宋"/>
        </w:rPr>
        <w:t>年预算数为</w:t>
      </w:r>
      <w:r>
        <w:rPr>
          <w:rFonts w:ascii="仿宋" w:hAnsi="仿宋" w:eastAsia="仿宋"/>
        </w:rPr>
        <w:t>554.24</w:t>
      </w:r>
      <w:r>
        <w:rPr>
          <w:rFonts w:hint="eastAsia" w:ascii="仿宋" w:hAnsi="仿宋" w:eastAsia="仿宋"/>
        </w:rPr>
        <w:t>万元，主要用于：保障部门机构的正常运转、完成日常工作任务以及全市规划建设监察执法工作的正常开展和执行。</w:t>
      </w:r>
    </w:p>
    <w:p>
      <w:pPr>
        <w:spacing w:line="600" w:lineRule="exact"/>
        <w:ind w:firstLine="640"/>
        <w:rPr>
          <w:rFonts w:ascii="仿宋" w:hAnsi="仿宋" w:eastAsia="仿宋"/>
        </w:rPr>
      </w:pPr>
      <w:r>
        <w:rPr>
          <w:rFonts w:hint="eastAsia" w:ascii="仿宋" w:hAnsi="仿宋" w:eastAsia="仿宋"/>
        </w:rPr>
        <w:t>行政运行支出、机关事业单位基本养老保险缴费支出、住房公积金支出是用于保障市规建支队正常运转中的支出，包括基本工资、津贴补贴、奖金、住房公积金、社会保障缴费和日常公用经费等。</w:t>
      </w:r>
    </w:p>
    <w:p>
      <w:pPr>
        <w:spacing w:line="600" w:lineRule="exact"/>
        <w:ind w:firstLine="640"/>
        <w:rPr>
          <w:rFonts w:ascii="仿宋" w:hAnsi="仿宋" w:eastAsia="仿宋"/>
        </w:rPr>
      </w:pPr>
      <w:r>
        <w:rPr>
          <w:rFonts w:hint="eastAsia" w:ascii="仿宋" w:hAnsi="仿宋" w:eastAsia="仿宋"/>
        </w:rPr>
        <w:t>城管执法支出是用于保障市规建支队为完成特定的行政执法工作任务。</w:t>
      </w:r>
    </w:p>
    <w:p>
      <w:pPr>
        <w:spacing w:line="600" w:lineRule="exact"/>
        <w:rPr>
          <w:rFonts w:ascii="仿宋" w:hAnsi="仿宋" w:eastAsia="仿宋"/>
          <w:b/>
        </w:rPr>
      </w:pPr>
      <w:r>
        <w:rPr>
          <w:rFonts w:hint="eastAsia" w:ascii="仿宋" w:hAnsi="仿宋" w:eastAsia="仿宋"/>
          <w:b/>
        </w:rPr>
        <w:t>六、一般公共预算基本支出情况说明</w:t>
      </w:r>
    </w:p>
    <w:p>
      <w:pPr>
        <w:pStyle w:val="12"/>
        <w:spacing w:line="600" w:lineRule="exact"/>
        <w:ind w:firstLine="600"/>
        <w:rPr>
          <w:rFonts w:ascii="仿宋" w:hAnsi="仿宋" w:eastAsia="仿宋"/>
          <w:sz w:val="32"/>
          <w:szCs w:val="32"/>
        </w:rPr>
      </w:pPr>
      <w:r>
        <w:rPr>
          <w:rFonts w:hint="eastAsia" w:ascii="仿宋" w:hAnsi="仿宋" w:eastAsia="仿宋"/>
          <w:u w:val="single" w:color="FFFFFF"/>
        </w:rPr>
        <w:t>市规建支队</w:t>
      </w:r>
      <w:r>
        <w:rPr>
          <w:rFonts w:ascii="仿宋" w:hAnsi="仿宋" w:eastAsia="仿宋"/>
          <w:sz w:val="32"/>
          <w:szCs w:val="32"/>
        </w:rPr>
        <w:t>2020</w:t>
      </w:r>
      <w:r>
        <w:rPr>
          <w:rFonts w:hint="eastAsia" w:ascii="仿宋" w:hAnsi="仿宋" w:eastAsia="仿宋"/>
          <w:sz w:val="32"/>
          <w:szCs w:val="32"/>
        </w:rPr>
        <w:t>年一般公共预算基本支出</w:t>
      </w:r>
      <w:r>
        <w:rPr>
          <w:rFonts w:ascii="仿宋" w:hAnsi="仿宋" w:eastAsia="仿宋"/>
          <w:sz w:val="32"/>
          <w:szCs w:val="32"/>
        </w:rPr>
        <w:t>535.69</w:t>
      </w:r>
      <w:r>
        <w:rPr>
          <w:rFonts w:hint="eastAsia" w:ascii="仿宋" w:hAnsi="仿宋" w:eastAsia="仿宋"/>
          <w:sz w:val="32"/>
          <w:szCs w:val="32"/>
        </w:rPr>
        <w:t>万元，其中：</w:t>
      </w:r>
    </w:p>
    <w:p>
      <w:pPr>
        <w:spacing w:line="600" w:lineRule="exact"/>
        <w:ind w:firstLine="640"/>
        <w:rPr>
          <w:rFonts w:ascii="仿宋" w:hAnsi="仿宋" w:eastAsia="仿宋"/>
          <w:u w:val="single" w:color="FFFFFF"/>
        </w:rPr>
      </w:pPr>
      <w:r>
        <w:rPr>
          <w:rFonts w:hint="eastAsia" w:ascii="仿宋" w:hAnsi="仿宋" w:eastAsia="仿宋"/>
        </w:rPr>
        <w:t>人员经费</w:t>
      </w:r>
      <w:r>
        <w:rPr>
          <w:rFonts w:ascii="仿宋" w:hAnsi="仿宋" w:eastAsia="仿宋"/>
        </w:rPr>
        <w:t>463.90</w:t>
      </w:r>
      <w:r>
        <w:rPr>
          <w:rFonts w:hint="eastAsia" w:ascii="仿宋" w:hAnsi="仿宋" w:eastAsia="仿宋"/>
        </w:rPr>
        <w:t>万元，主要包括：基本工资</w:t>
      </w:r>
      <w:r>
        <w:rPr>
          <w:rFonts w:ascii="仿宋" w:hAnsi="仿宋" w:eastAsia="仿宋"/>
        </w:rPr>
        <w:t>114.34</w:t>
      </w:r>
      <w:r>
        <w:rPr>
          <w:rFonts w:hint="eastAsia" w:ascii="仿宋" w:hAnsi="仿宋" w:eastAsia="仿宋"/>
        </w:rPr>
        <w:t>万元、津贴补贴</w:t>
      </w:r>
      <w:r>
        <w:rPr>
          <w:rFonts w:ascii="仿宋" w:hAnsi="仿宋" w:eastAsia="仿宋"/>
        </w:rPr>
        <w:t>211.25</w:t>
      </w:r>
      <w:r>
        <w:rPr>
          <w:rFonts w:hint="eastAsia" w:ascii="仿宋" w:hAnsi="仿宋" w:eastAsia="仿宋"/>
        </w:rPr>
        <w:t>万元、奖金</w:t>
      </w:r>
      <w:r>
        <w:rPr>
          <w:rFonts w:ascii="仿宋" w:hAnsi="仿宋" w:eastAsia="仿宋"/>
        </w:rPr>
        <w:t>9.53</w:t>
      </w:r>
      <w:r>
        <w:rPr>
          <w:rFonts w:hint="eastAsia" w:ascii="仿宋" w:hAnsi="仿宋" w:eastAsia="仿宋"/>
        </w:rPr>
        <w:t>万元、机关事业单位基本养老保险缴费</w:t>
      </w:r>
      <w:r>
        <w:rPr>
          <w:rFonts w:ascii="仿宋" w:hAnsi="仿宋" w:eastAsia="仿宋"/>
        </w:rPr>
        <w:t>36.89</w:t>
      </w:r>
      <w:r>
        <w:rPr>
          <w:rFonts w:hint="eastAsia" w:ascii="仿宋" w:hAnsi="仿宋" w:eastAsia="仿宋"/>
        </w:rPr>
        <w:t>万元、</w:t>
      </w:r>
      <w:r>
        <w:rPr>
          <w:rFonts w:hint="eastAsia" w:ascii="仿宋" w:hAnsi="仿宋" w:eastAsia="仿宋"/>
          <w:u w:val="single" w:color="FFFFFF"/>
        </w:rPr>
        <w:t>职工基本医疗保险缴费</w:t>
      </w:r>
      <w:r>
        <w:rPr>
          <w:rFonts w:ascii="仿宋" w:hAnsi="仿宋" w:eastAsia="仿宋"/>
          <w:u w:val="single" w:color="FFFFFF"/>
        </w:rPr>
        <w:t>25.13</w:t>
      </w:r>
      <w:r>
        <w:rPr>
          <w:rFonts w:hint="eastAsia" w:ascii="仿宋" w:hAnsi="仿宋" w:eastAsia="仿宋"/>
          <w:u w:val="single" w:color="FFFFFF"/>
        </w:rPr>
        <w:t>万元、公务员医疗补助缴费</w:t>
      </w:r>
      <w:r>
        <w:rPr>
          <w:rFonts w:ascii="仿宋" w:hAnsi="仿宋" w:eastAsia="仿宋"/>
          <w:u w:val="single" w:color="FFFFFF"/>
        </w:rPr>
        <w:t>2.48</w:t>
      </w:r>
      <w:r>
        <w:rPr>
          <w:rFonts w:hint="eastAsia" w:ascii="仿宋" w:hAnsi="仿宋" w:eastAsia="仿宋"/>
          <w:u w:val="single" w:color="FFFFFF"/>
        </w:rPr>
        <w:t>万元、其他社会保障缴费</w:t>
      </w:r>
      <w:r>
        <w:rPr>
          <w:rFonts w:ascii="仿宋" w:hAnsi="仿宋" w:eastAsia="仿宋"/>
          <w:u w:val="single" w:color="FFFFFF"/>
        </w:rPr>
        <w:t>0.67</w:t>
      </w:r>
      <w:r>
        <w:rPr>
          <w:rFonts w:hint="eastAsia" w:ascii="仿宋" w:hAnsi="仿宋" w:eastAsia="仿宋"/>
          <w:u w:val="single" w:color="FFFFFF"/>
        </w:rPr>
        <w:t>万元、住房公积金</w:t>
      </w:r>
      <w:r>
        <w:rPr>
          <w:rFonts w:ascii="仿宋" w:hAnsi="仿宋" w:eastAsia="仿宋"/>
          <w:u w:val="single" w:color="FFFFFF"/>
        </w:rPr>
        <w:t>40.85</w:t>
      </w:r>
      <w:r>
        <w:rPr>
          <w:rFonts w:hint="eastAsia" w:ascii="仿宋" w:hAnsi="仿宋" w:eastAsia="仿宋"/>
          <w:u w:val="single" w:color="FFFFFF"/>
        </w:rPr>
        <w:t>万元、其他工资福利支出</w:t>
      </w:r>
      <w:r>
        <w:rPr>
          <w:rFonts w:ascii="仿宋" w:hAnsi="仿宋" w:eastAsia="仿宋"/>
          <w:u w:val="single" w:color="FFFFFF"/>
        </w:rPr>
        <w:t>22.76</w:t>
      </w:r>
      <w:r>
        <w:rPr>
          <w:rFonts w:hint="eastAsia" w:ascii="仿宋" w:hAnsi="仿宋" w:eastAsia="仿宋"/>
          <w:u w:val="single" w:color="FFFFFF"/>
        </w:rPr>
        <w:t>万元。</w:t>
      </w:r>
    </w:p>
    <w:p>
      <w:pPr>
        <w:spacing w:line="600" w:lineRule="exact"/>
        <w:ind w:firstLine="640"/>
        <w:rPr>
          <w:rFonts w:ascii="仿宋" w:hAnsi="仿宋" w:eastAsia="仿宋"/>
          <w:u w:val="single"/>
        </w:rPr>
      </w:pPr>
      <w:r>
        <w:rPr>
          <w:rFonts w:hint="eastAsia" w:ascii="仿宋" w:hAnsi="仿宋" w:eastAsia="仿宋"/>
        </w:rPr>
        <w:t>公用经费</w:t>
      </w:r>
      <w:r>
        <w:rPr>
          <w:rFonts w:ascii="仿宋" w:hAnsi="仿宋" w:eastAsia="仿宋"/>
        </w:rPr>
        <w:t>71.79</w:t>
      </w:r>
      <w:r>
        <w:rPr>
          <w:rFonts w:hint="eastAsia" w:ascii="仿宋" w:hAnsi="仿宋" w:eastAsia="仿宋"/>
        </w:rPr>
        <w:t>万元，主要包括：办公费</w:t>
      </w:r>
      <w:r>
        <w:rPr>
          <w:rFonts w:ascii="仿宋" w:hAnsi="仿宋" w:eastAsia="仿宋"/>
        </w:rPr>
        <w:t>5.02</w:t>
      </w:r>
      <w:r>
        <w:rPr>
          <w:rFonts w:hint="eastAsia" w:ascii="仿宋" w:hAnsi="仿宋" w:eastAsia="仿宋"/>
        </w:rPr>
        <w:t>万元、水费</w:t>
      </w:r>
      <w:r>
        <w:rPr>
          <w:rFonts w:ascii="仿宋" w:hAnsi="仿宋" w:eastAsia="仿宋"/>
        </w:rPr>
        <w:t>1.00</w:t>
      </w:r>
      <w:r>
        <w:rPr>
          <w:rFonts w:hint="eastAsia" w:ascii="仿宋" w:hAnsi="仿宋" w:eastAsia="仿宋"/>
        </w:rPr>
        <w:t>万元、电费</w:t>
      </w:r>
      <w:r>
        <w:rPr>
          <w:rFonts w:ascii="仿宋" w:hAnsi="仿宋" w:eastAsia="仿宋"/>
        </w:rPr>
        <w:t>2.51</w:t>
      </w:r>
      <w:r>
        <w:rPr>
          <w:rFonts w:hint="eastAsia" w:ascii="仿宋" w:hAnsi="仿宋" w:eastAsia="仿宋"/>
        </w:rPr>
        <w:t>万元、邮电费</w:t>
      </w:r>
      <w:r>
        <w:rPr>
          <w:rFonts w:ascii="仿宋" w:hAnsi="仿宋" w:eastAsia="仿宋"/>
        </w:rPr>
        <w:t>1.60</w:t>
      </w:r>
      <w:r>
        <w:rPr>
          <w:rFonts w:hint="eastAsia" w:ascii="仿宋" w:hAnsi="仿宋" w:eastAsia="仿宋"/>
        </w:rPr>
        <w:t>万元、差旅费</w:t>
      </w:r>
      <w:r>
        <w:rPr>
          <w:rFonts w:ascii="仿宋" w:hAnsi="仿宋" w:eastAsia="仿宋"/>
        </w:rPr>
        <w:t>20.09</w:t>
      </w:r>
      <w:r>
        <w:rPr>
          <w:rFonts w:hint="eastAsia" w:ascii="仿宋" w:hAnsi="仿宋" w:eastAsia="仿宋"/>
        </w:rPr>
        <w:t>万元、公务接待费</w:t>
      </w:r>
      <w:r>
        <w:rPr>
          <w:rFonts w:ascii="仿宋" w:hAnsi="仿宋" w:eastAsia="仿宋"/>
        </w:rPr>
        <w:t>1.03</w:t>
      </w:r>
      <w:r>
        <w:rPr>
          <w:rFonts w:hint="eastAsia" w:ascii="仿宋" w:hAnsi="仿宋" w:eastAsia="仿宋"/>
        </w:rPr>
        <w:t>万元、工会经费</w:t>
      </w:r>
      <w:r>
        <w:rPr>
          <w:rFonts w:ascii="仿宋" w:hAnsi="仿宋" w:eastAsia="仿宋"/>
        </w:rPr>
        <w:t>6.70</w:t>
      </w:r>
      <w:r>
        <w:rPr>
          <w:rFonts w:hint="eastAsia" w:ascii="仿宋" w:hAnsi="仿宋" w:eastAsia="仿宋"/>
        </w:rPr>
        <w:t>万元、福利费</w:t>
      </w:r>
      <w:r>
        <w:rPr>
          <w:rFonts w:ascii="仿宋" w:hAnsi="仿宋" w:eastAsia="仿宋"/>
        </w:rPr>
        <w:t>3.43</w:t>
      </w:r>
      <w:r>
        <w:rPr>
          <w:rFonts w:hint="eastAsia" w:ascii="仿宋" w:hAnsi="仿宋" w:eastAsia="仿宋"/>
        </w:rPr>
        <w:t>万元、公务用车运行维护费</w:t>
      </w:r>
      <w:r>
        <w:rPr>
          <w:rFonts w:ascii="仿宋" w:hAnsi="仿宋" w:eastAsia="仿宋"/>
        </w:rPr>
        <w:t>2.73</w:t>
      </w:r>
      <w:r>
        <w:rPr>
          <w:rFonts w:hint="eastAsia" w:ascii="仿宋" w:hAnsi="仿宋" w:eastAsia="仿宋"/>
        </w:rPr>
        <w:t>、其他交通费</w:t>
      </w:r>
      <w:r>
        <w:rPr>
          <w:rFonts w:ascii="仿宋" w:hAnsi="仿宋" w:eastAsia="仿宋"/>
        </w:rPr>
        <w:t>23.22</w:t>
      </w:r>
      <w:r>
        <w:rPr>
          <w:rFonts w:hint="eastAsia" w:ascii="仿宋" w:hAnsi="仿宋" w:eastAsia="仿宋"/>
        </w:rPr>
        <w:t>万元、在职党建经费</w:t>
      </w:r>
      <w:r>
        <w:rPr>
          <w:rFonts w:ascii="仿宋" w:hAnsi="仿宋" w:eastAsia="仿宋"/>
        </w:rPr>
        <w:t>4.42</w:t>
      </w:r>
      <w:r>
        <w:rPr>
          <w:rFonts w:hint="eastAsia" w:ascii="仿宋" w:hAnsi="仿宋" w:eastAsia="仿宋"/>
        </w:rPr>
        <w:t>万元、编制内聘用人员公用经费</w:t>
      </w:r>
      <w:r>
        <w:rPr>
          <w:rFonts w:ascii="仿宋" w:hAnsi="仿宋" w:eastAsia="仿宋"/>
        </w:rPr>
        <w:t>0.04</w:t>
      </w:r>
      <w:r>
        <w:rPr>
          <w:rFonts w:hint="eastAsia" w:ascii="仿宋" w:hAnsi="仿宋" w:eastAsia="仿宋"/>
        </w:rPr>
        <w:t>万元。</w:t>
      </w:r>
    </w:p>
    <w:p>
      <w:pPr>
        <w:spacing w:line="600" w:lineRule="exact"/>
        <w:rPr>
          <w:rFonts w:ascii="仿宋" w:hAnsi="仿宋" w:eastAsia="仿宋"/>
          <w:b/>
        </w:rPr>
      </w:pPr>
      <w:r>
        <w:rPr>
          <w:rFonts w:hint="eastAsia" w:ascii="仿宋" w:hAnsi="仿宋" w:eastAsia="仿宋"/>
          <w:b/>
        </w:rPr>
        <w:t>七、“三公”经费财政拨款预算安排情况说明</w:t>
      </w:r>
    </w:p>
    <w:p>
      <w:pPr>
        <w:pStyle w:val="12"/>
        <w:spacing w:line="600" w:lineRule="exact"/>
        <w:ind w:firstLine="600"/>
        <w:rPr>
          <w:rFonts w:ascii="仿宋" w:hAnsi="仿宋" w:eastAsia="仿宋"/>
          <w:sz w:val="32"/>
          <w:szCs w:val="32"/>
        </w:rPr>
      </w:pPr>
      <w:r>
        <w:rPr>
          <w:rFonts w:hint="eastAsia" w:ascii="仿宋" w:hAnsi="仿宋" w:eastAsia="仿宋"/>
          <w:u w:val="single" w:color="FFFFFF"/>
        </w:rPr>
        <w:t>市规建支队</w:t>
      </w:r>
      <w:r>
        <w:rPr>
          <w:rFonts w:ascii="仿宋" w:hAnsi="仿宋" w:eastAsia="仿宋"/>
          <w:sz w:val="32"/>
          <w:szCs w:val="32"/>
        </w:rPr>
        <w:t>2020</w:t>
      </w:r>
      <w:r>
        <w:rPr>
          <w:rFonts w:hint="eastAsia" w:ascii="仿宋" w:hAnsi="仿宋" w:eastAsia="仿宋"/>
          <w:sz w:val="32"/>
          <w:szCs w:val="32"/>
        </w:rPr>
        <w:t>年“三公”经费财政拨款预算数</w:t>
      </w:r>
      <w:r>
        <w:rPr>
          <w:rFonts w:ascii="仿宋" w:hAnsi="仿宋" w:eastAsia="仿宋"/>
          <w:sz w:val="32"/>
          <w:szCs w:val="32"/>
        </w:rPr>
        <w:t>3.76</w:t>
      </w:r>
      <w:r>
        <w:rPr>
          <w:rFonts w:hint="eastAsia" w:ascii="仿宋" w:hAnsi="仿宋" w:eastAsia="仿宋"/>
          <w:sz w:val="32"/>
          <w:szCs w:val="32"/>
        </w:rPr>
        <w:t>万元，其中：公务接待费</w:t>
      </w:r>
      <w:r>
        <w:rPr>
          <w:rFonts w:ascii="仿宋" w:hAnsi="仿宋" w:eastAsia="仿宋"/>
          <w:sz w:val="32"/>
          <w:szCs w:val="32"/>
        </w:rPr>
        <w:t>1.03</w:t>
      </w:r>
      <w:r>
        <w:rPr>
          <w:rFonts w:hint="eastAsia" w:ascii="仿宋" w:hAnsi="仿宋" w:eastAsia="仿宋"/>
          <w:sz w:val="32"/>
          <w:szCs w:val="32"/>
        </w:rPr>
        <w:t>万元，公务用车运行维护费</w:t>
      </w:r>
      <w:r>
        <w:rPr>
          <w:rFonts w:ascii="仿宋" w:hAnsi="仿宋" w:eastAsia="仿宋"/>
          <w:sz w:val="32"/>
          <w:szCs w:val="32"/>
        </w:rPr>
        <w:t>2.73</w:t>
      </w:r>
      <w:r>
        <w:rPr>
          <w:rFonts w:hint="eastAsia" w:ascii="仿宋" w:hAnsi="仿宋" w:eastAsia="仿宋"/>
          <w:sz w:val="32"/>
          <w:szCs w:val="32"/>
        </w:rPr>
        <w:t>万元。</w:t>
      </w:r>
    </w:p>
    <w:p>
      <w:pPr>
        <w:spacing w:line="600" w:lineRule="exact"/>
        <w:ind w:firstLine="640"/>
        <w:rPr>
          <w:rFonts w:ascii="仿宋" w:hAnsi="仿宋" w:eastAsia="仿宋"/>
        </w:rPr>
      </w:pPr>
      <w:r>
        <w:rPr>
          <w:rFonts w:hint="eastAsia" w:ascii="仿宋" w:hAnsi="仿宋" w:eastAsia="仿宋"/>
        </w:rPr>
        <w:t>（一）公务接待费较</w:t>
      </w:r>
      <w:r>
        <w:rPr>
          <w:rFonts w:ascii="仿宋" w:hAnsi="仿宋" w:eastAsia="仿宋"/>
        </w:rPr>
        <w:t>2019</w:t>
      </w:r>
      <w:r>
        <w:rPr>
          <w:rFonts w:hint="eastAsia" w:ascii="仿宋" w:hAnsi="仿宋" w:eastAsia="仿宋"/>
        </w:rPr>
        <w:t>年预算</w:t>
      </w:r>
      <w:r>
        <w:rPr>
          <w:rFonts w:hint="eastAsia" w:ascii="仿宋" w:hAnsi="仿宋" w:eastAsia="仿宋"/>
          <w:u w:val="single" w:color="FFFFFF"/>
        </w:rPr>
        <w:t>下降</w:t>
      </w:r>
      <w:r>
        <w:rPr>
          <w:rFonts w:ascii="仿宋" w:hAnsi="仿宋" w:eastAsia="仿宋"/>
        </w:rPr>
        <w:t>4.62%</w:t>
      </w:r>
      <w:r>
        <w:rPr>
          <w:rFonts w:hint="eastAsia" w:ascii="仿宋" w:hAnsi="仿宋" w:eastAsia="仿宋"/>
        </w:rPr>
        <w:t>。主要原因是当年财政拨款预算安排减少。</w:t>
      </w:r>
    </w:p>
    <w:p>
      <w:pPr>
        <w:spacing w:line="600" w:lineRule="exact"/>
        <w:ind w:firstLine="640"/>
        <w:rPr>
          <w:rFonts w:ascii="仿宋" w:hAnsi="仿宋" w:eastAsia="仿宋"/>
        </w:rPr>
      </w:pPr>
      <w:r>
        <w:rPr>
          <w:rFonts w:ascii="仿宋" w:hAnsi="仿宋" w:eastAsia="仿宋"/>
        </w:rPr>
        <w:t>2020</w:t>
      </w:r>
      <w:r>
        <w:rPr>
          <w:rFonts w:hint="eastAsia" w:ascii="仿宋" w:hAnsi="仿宋" w:eastAsia="仿宋"/>
        </w:rPr>
        <w:t>年公务接待费计划用于支队公函公务活动和来访人员的接待事项。</w:t>
      </w:r>
    </w:p>
    <w:p>
      <w:pPr>
        <w:spacing w:line="600" w:lineRule="exact"/>
        <w:ind w:firstLine="640"/>
        <w:rPr>
          <w:rFonts w:ascii="仿宋" w:hAnsi="仿宋" w:eastAsia="仿宋"/>
        </w:rPr>
      </w:pPr>
      <w:r>
        <w:rPr>
          <w:rFonts w:hint="eastAsia" w:ascii="仿宋" w:hAnsi="仿宋" w:eastAsia="仿宋"/>
        </w:rPr>
        <w:t>（三）公务用车运行维护费较</w:t>
      </w:r>
      <w:r>
        <w:rPr>
          <w:rFonts w:ascii="仿宋" w:hAnsi="仿宋" w:eastAsia="仿宋"/>
        </w:rPr>
        <w:t>2019</w:t>
      </w:r>
      <w:r>
        <w:rPr>
          <w:rFonts w:hint="eastAsia" w:ascii="仿宋" w:hAnsi="仿宋" w:eastAsia="仿宋"/>
        </w:rPr>
        <w:t>年预算</w:t>
      </w:r>
      <w:r>
        <w:rPr>
          <w:rFonts w:hint="eastAsia" w:ascii="仿宋" w:hAnsi="仿宋" w:eastAsia="仿宋"/>
          <w:u w:val="single" w:color="FFFFFF"/>
        </w:rPr>
        <w:t>下降</w:t>
      </w:r>
      <w:r>
        <w:rPr>
          <w:rFonts w:ascii="仿宋" w:hAnsi="仿宋" w:eastAsia="仿宋"/>
        </w:rPr>
        <w:t>5.21%</w:t>
      </w:r>
      <w:r>
        <w:rPr>
          <w:rFonts w:hint="eastAsia" w:ascii="仿宋" w:hAnsi="仿宋" w:eastAsia="仿宋"/>
        </w:rPr>
        <w:t>。主要原因是当年财政拨款预算安排减少。</w:t>
      </w:r>
    </w:p>
    <w:p>
      <w:pPr>
        <w:spacing w:line="600" w:lineRule="exact"/>
        <w:ind w:firstLine="640"/>
        <w:rPr>
          <w:rFonts w:ascii="仿宋" w:hAnsi="仿宋" w:eastAsia="仿宋"/>
        </w:rPr>
      </w:pPr>
      <w:r>
        <w:rPr>
          <w:rFonts w:hint="eastAsia" w:ascii="仿宋" w:hAnsi="仿宋" w:eastAsia="仿宋"/>
        </w:rPr>
        <w:t>单位现有特种专用技术用车</w:t>
      </w:r>
      <w:r>
        <w:rPr>
          <w:rFonts w:ascii="仿宋" w:hAnsi="仿宋" w:eastAsia="仿宋"/>
        </w:rPr>
        <w:t>1</w:t>
      </w:r>
      <w:r>
        <w:rPr>
          <w:rFonts w:hint="eastAsia" w:ascii="仿宋" w:hAnsi="仿宋" w:eastAsia="仿宋"/>
        </w:rPr>
        <w:t>辆。</w:t>
      </w:r>
    </w:p>
    <w:p>
      <w:pPr>
        <w:spacing w:line="600" w:lineRule="exact"/>
        <w:ind w:firstLine="640"/>
        <w:rPr>
          <w:rFonts w:hint="eastAsia" w:ascii="仿宋" w:hAnsi="仿宋" w:eastAsia="仿宋"/>
        </w:rPr>
      </w:pPr>
      <w:r>
        <w:rPr>
          <w:rFonts w:ascii="仿宋" w:hAnsi="仿宋" w:eastAsia="仿宋"/>
        </w:rPr>
        <w:t>2020</w:t>
      </w:r>
      <w:r>
        <w:rPr>
          <w:rFonts w:hint="eastAsia" w:ascii="仿宋" w:hAnsi="仿宋" w:eastAsia="仿宋"/>
        </w:rPr>
        <w:t>年安排公务用车运行维护费</w:t>
      </w:r>
      <w:r>
        <w:rPr>
          <w:rFonts w:ascii="仿宋" w:hAnsi="仿宋" w:eastAsia="仿宋"/>
        </w:rPr>
        <w:t>2.73</w:t>
      </w:r>
      <w:r>
        <w:rPr>
          <w:rFonts w:hint="eastAsia" w:ascii="仿宋" w:hAnsi="仿宋" w:eastAsia="仿宋"/>
        </w:rPr>
        <w:t>万元，用于</w:t>
      </w:r>
      <w:r>
        <w:rPr>
          <w:rFonts w:ascii="仿宋" w:hAnsi="仿宋" w:eastAsia="仿宋"/>
        </w:rPr>
        <w:t>1</w:t>
      </w:r>
      <w:r>
        <w:rPr>
          <w:rFonts w:hint="eastAsia" w:ascii="仿宋" w:hAnsi="仿宋" w:eastAsia="仿宋"/>
        </w:rPr>
        <w:t>辆特种专用技术用车</w:t>
      </w:r>
      <w:r>
        <w:rPr>
          <w:rFonts w:hint="eastAsia" w:ascii="仿宋" w:hAnsi="仿宋" w:eastAsia="仿宋"/>
          <w:u w:val="single" w:color="FFFFFF"/>
        </w:rPr>
        <w:t>燃油、维修、车辆通行</w:t>
      </w:r>
      <w:r>
        <w:rPr>
          <w:rFonts w:hint="eastAsia" w:ascii="仿宋" w:hAnsi="仿宋" w:eastAsia="仿宋"/>
        </w:rPr>
        <w:t>等方面支出，主要保障</w:t>
      </w:r>
      <w:r>
        <w:rPr>
          <w:rFonts w:hint="eastAsia" w:ascii="仿宋" w:hAnsi="仿宋" w:eastAsia="仿宋"/>
          <w:u w:val="single" w:color="FFFFFF"/>
        </w:rPr>
        <w:t>规建行政执法</w:t>
      </w:r>
      <w:r>
        <w:rPr>
          <w:rFonts w:hint="eastAsia" w:ascii="仿宋" w:hAnsi="仿宋" w:eastAsia="仿宋"/>
        </w:rPr>
        <w:t>等工作开展。</w:t>
      </w:r>
    </w:p>
    <w:p>
      <w:pPr>
        <w:spacing w:line="600" w:lineRule="exact"/>
        <w:rPr>
          <w:rFonts w:hint="eastAsia" w:ascii="仿宋" w:hAnsi="仿宋" w:eastAsia="仿宋"/>
          <w:b/>
        </w:rPr>
      </w:pPr>
      <w:r>
        <w:rPr>
          <w:rFonts w:hint="eastAsia" w:ascii="仿宋" w:hAnsi="仿宋" w:eastAsia="仿宋"/>
          <w:b/>
        </w:rPr>
        <w:t>八、政府性基金预算支出情况说明</w:t>
      </w:r>
    </w:p>
    <w:p>
      <w:pPr>
        <w:spacing w:line="600" w:lineRule="exact"/>
        <w:ind w:firstLine="640"/>
        <w:rPr>
          <w:rFonts w:hint="eastAsia" w:ascii="仿宋" w:hAnsi="仿宋" w:eastAsia="仿宋"/>
        </w:rPr>
      </w:pPr>
      <w:r>
        <w:rPr>
          <w:rFonts w:hint="eastAsia" w:ascii="仿宋" w:hAnsi="仿宋" w:eastAsia="仿宋"/>
        </w:rPr>
        <w:t>2020年政府性基金预算支出</w:t>
      </w:r>
      <w:r>
        <w:rPr>
          <w:rFonts w:hint="eastAsia" w:ascii="仿宋" w:hAnsi="仿宋" w:eastAsia="仿宋"/>
          <w:lang w:val="en-US" w:eastAsia="zh-CN"/>
        </w:rPr>
        <w:t>0</w:t>
      </w:r>
      <w:r>
        <w:rPr>
          <w:rFonts w:hint="eastAsia" w:ascii="仿宋" w:hAnsi="仿宋" w:eastAsia="仿宋"/>
        </w:rPr>
        <w:t>万元，其中：基本支出0万元，项目支出</w:t>
      </w:r>
      <w:r>
        <w:rPr>
          <w:rFonts w:hint="eastAsia" w:ascii="仿宋" w:hAnsi="仿宋" w:eastAsia="仿宋"/>
          <w:lang w:val="en-US" w:eastAsia="zh-CN"/>
        </w:rPr>
        <w:t>0</w:t>
      </w:r>
      <w:r>
        <w:rPr>
          <w:rFonts w:hint="eastAsia" w:ascii="仿宋" w:hAnsi="仿宋" w:eastAsia="仿宋"/>
        </w:rPr>
        <w:t>万元。</w:t>
      </w:r>
    </w:p>
    <w:p>
      <w:pPr>
        <w:spacing w:line="600" w:lineRule="exact"/>
        <w:rPr>
          <w:rFonts w:ascii="仿宋" w:hAnsi="仿宋" w:eastAsia="仿宋"/>
          <w:b/>
        </w:rPr>
      </w:pPr>
      <w:r>
        <w:rPr>
          <w:rFonts w:hint="eastAsia" w:ascii="仿宋" w:hAnsi="仿宋" w:eastAsia="仿宋"/>
          <w:b/>
          <w:lang w:eastAsia="zh-CN"/>
        </w:rPr>
        <w:t>九</w:t>
      </w:r>
      <w:r>
        <w:rPr>
          <w:rFonts w:hint="eastAsia" w:ascii="仿宋" w:hAnsi="仿宋" w:eastAsia="仿宋"/>
          <w:b/>
        </w:rPr>
        <w:t>、其他重要事项的情况说明</w:t>
      </w:r>
    </w:p>
    <w:p>
      <w:pPr>
        <w:spacing w:line="600" w:lineRule="exact"/>
        <w:rPr>
          <w:rFonts w:ascii="仿宋" w:hAnsi="仿宋" w:eastAsia="仿宋"/>
          <w:b/>
        </w:rPr>
      </w:pPr>
      <w:r>
        <w:rPr>
          <w:rFonts w:hint="eastAsia" w:ascii="仿宋" w:hAnsi="仿宋" w:eastAsia="仿宋"/>
          <w:b/>
        </w:rPr>
        <w:t>（一）业务运行经费</w:t>
      </w:r>
    </w:p>
    <w:p>
      <w:pPr>
        <w:spacing w:line="600" w:lineRule="exact"/>
        <w:ind w:firstLine="640"/>
        <w:rPr>
          <w:rFonts w:ascii="仿宋" w:hAnsi="仿宋" w:eastAsia="仿宋"/>
        </w:rPr>
      </w:pPr>
      <w:r>
        <w:rPr>
          <w:rFonts w:ascii="仿宋" w:hAnsi="仿宋" w:eastAsia="仿宋"/>
        </w:rPr>
        <w:t>2020</w:t>
      </w:r>
      <w:r>
        <w:rPr>
          <w:rFonts w:hint="eastAsia" w:ascii="仿宋" w:hAnsi="仿宋" w:eastAsia="仿宋"/>
        </w:rPr>
        <w:t>年，</w:t>
      </w:r>
      <w:bookmarkStart w:id="0" w:name="_GoBack"/>
      <w:bookmarkEnd w:id="0"/>
      <w:r>
        <w:rPr>
          <w:rFonts w:hint="eastAsia" w:ascii="仿宋" w:hAnsi="仿宋" w:eastAsia="仿宋"/>
          <w:sz w:val="30"/>
          <w:szCs w:val="30"/>
          <w:u w:val="single" w:color="FFFFFF"/>
        </w:rPr>
        <w:t>市规建支队</w:t>
      </w:r>
      <w:r>
        <w:rPr>
          <w:rFonts w:hint="eastAsia" w:ascii="仿宋" w:hAnsi="仿宋" w:eastAsia="仿宋"/>
        </w:rPr>
        <w:t>的机关运行经费财政拨款预算为</w:t>
      </w:r>
      <w:r>
        <w:rPr>
          <w:rFonts w:ascii="仿宋" w:hAnsi="仿宋" w:eastAsia="仿宋"/>
        </w:rPr>
        <w:t>71.79</w:t>
      </w:r>
      <w:r>
        <w:rPr>
          <w:rFonts w:hint="eastAsia" w:ascii="仿宋" w:hAnsi="仿宋" w:eastAsia="仿宋"/>
        </w:rPr>
        <w:t>万元，比</w:t>
      </w:r>
      <w:r>
        <w:rPr>
          <w:rFonts w:ascii="仿宋" w:hAnsi="仿宋" w:eastAsia="仿宋"/>
        </w:rPr>
        <w:t>2019</w:t>
      </w:r>
      <w:r>
        <w:rPr>
          <w:rFonts w:hint="eastAsia" w:ascii="仿宋" w:hAnsi="仿宋" w:eastAsia="仿宋"/>
        </w:rPr>
        <w:t>年预算</w:t>
      </w:r>
      <w:r>
        <w:rPr>
          <w:rFonts w:hint="eastAsia" w:ascii="仿宋" w:hAnsi="仿宋" w:eastAsia="仿宋"/>
          <w:u w:val="single" w:color="FFFFFF"/>
        </w:rPr>
        <w:t>减少</w:t>
      </w:r>
      <w:r>
        <w:rPr>
          <w:rFonts w:ascii="仿宋" w:hAnsi="仿宋" w:eastAsia="仿宋"/>
        </w:rPr>
        <w:t>2.64</w:t>
      </w:r>
      <w:r>
        <w:rPr>
          <w:rFonts w:hint="eastAsia" w:ascii="仿宋" w:hAnsi="仿宋" w:eastAsia="仿宋"/>
        </w:rPr>
        <w:t>万元，下降</w:t>
      </w:r>
      <w:r>
        <w:rPr>
          <w:rFonts w:ascii="仿宋" w:hAnsi="仿宋" w:eastAsia="仿宋"/>
        </w:rPr>
        <w:t>3.55%</w:t>
      </w:r>
      <w:r>
        <w:rPr>
          <w:rFonts w:hint="eastAsia" w:ascii="仿宋" w:hAnsi="仿宋" w:eastAsia="仿宋"/>
        </w:rPr>
        <w:t>。</w:t>
      </w:r>
    </w:p>
    <w:p>
      <w:pPr>
        <w:spacing w:line="600" w:lineRule="exact"/>
        <w:rPr>
          <w:rFonts w:ascii="仿宋" w:hAnsi="仿宋" w:eastAsia="仿宋"/>
          <w:b/>
        </w:rPr>
      </w:pPr>
      <w:r>
        <w:rPr>
          <w:rFonts w:hint="eastAsia" w:ascii="仿宋" w:hAnsi="仿宋" w:eastAsia="仿宋"/>
          <w:b/>
        </w:rPr>
        <w:t>（二）国有资产占有使用情况</w:t>
      </w:r>
    </w:p>
    <w:p>
      <w:pPr>
        <w:spacing w:line="600" w:lineRule="exact"/>
        <w:ind w:firstLine="640"/>
        <w:rPr>
          <w:rFonts w:ascii="仿宋" w:hAnsi="仿宋" w:eastAsia="仿宋"/>
        </w:rPr>
      </w:pPr>
      <w:r>
        <w:rPr>
          <w:rFonts w:hint="eastAsia" w:ascii="仿宋" w:hAnsi="仿宋" w:eastAsia="仿宋"/>
        </w:rPr>
        <w:t>截至</w:t>
      </w:r>
      <w:r>
        <w:rPr>
          <w:rFonts w:ascii="仿宋" w:hAnsi="仿宋" w:eastAsia="仿宋"/>
        </w:rPr>
        <w:t>2019</w:t>
      </w:r>
      <w:r>
        <w:rPr>
          <w:rFonts w:hint="eastAsia" w:ascii="仿宋" w:hAnsi="仿宋" w:eastAsia="仿宋"/>
        </w:rPr>
        <w:t>年底，</w:t>
      </w:r>
      <w:r>
        <w:rPr>
          <w:rFonts w:hint="eastAsia" w:ascii="仿宋" w:hAnsi="仿宋" w:eastAsia="仿宋"/>
          <w:sz w:val="30"/>
          <w:szCs w:val="30"/>
          <w:u w:val="single" w:color="FFFFFF"/>
        </w:rPr>
        <w:t>市规建支队</w:t>
      </w:r>
      <w:r>
        <w:rPr>
          <w:rFonts w:hint="eastAsia" w:ascii="仿宋" w:hAnsi="仿宋" w:eastAsia="仿宋"/>
        </w:rPr>
        <w:t>属独立核算单位，共有特种专用技术用车</w:t>
      </w:r>
      <w:r>
        <w:rPr>
          <w:rFonts w:ascii="仿宋" w:hAnsi="仿宋" w:eastAsia="仿宋"/>
        </w:rPr>
        <w:t>1</w:t>
      </w:r>
      <w:r>
        <w:rPr>
          <w:rFonts w:hint="eastAsia" w:ascii="仿宋" w:hAnsi="仿宋" w:eastAsia="仿宋"/>
        </w:rPr>
        <w:t>辆。</w:t>
      </w:r>
    </w:p>
    <w:p>
      <w:pPr>
        <w:spacing w:line="600" w:lineRule="exact"/>
        <w:rPr>
          <w:rFonts w:ascii="仿宋" w:hAnsi="仿宋" w:eastAsia="仿宋"/>
          <w:b/>
        </w:rPr>
      </w:pPr>
      <w:r>
        <w:rPr>
          <w:rFonts w:hint="eastAsia" w:ascii="仿宋" w:hAnsi="仿宋" w:eastAsia="仿宋"/>
          <w:b/>
        </w:rPr>
        <w:t>（三）绩效目标设置情况</w:t>
      </w:r>
    </w:p>
    <w:p>
      <w:pPr>
        <w:spacing w:line="600" w:lineRule="exact"/>
        <w:ind w:firstLine="640"/>
        <w:rPr>
          <w:rFonts w:ascii="仿宋" w:hAnsi="仿宋" w:eastAsia="仿宋"/>
        </w:rPr>
      </w:pPr>
      <w:r>
        <w:rPr>
          <w:rFonts w:ascii="仿宋" w:hAnsi="仿宋" w:eastAsia="仿宋"/>
        </w:rPr>
        <w:t>2020</w:t>
      </w:r>
      <w:r>
        <w:rPr>
          <w:rFonts w:hint="eastAsia" w:ascii="仿宋" w:hAnsi="仿宋" w:eastAsia="仿宋"/>
        </w:rPr>
        <w:t>年</w:t>
      </w:r>
      <w:r>
        <w:rPr>
          <w:rFonts w:hint="eastAsia" w:ascii="仿宋" w:hAnsi="仿宋" w:eastAsia="仿宋"/>
          <w:sz w:val="30"/>
          <w:szCs w:val="30"/>
          <w:u w:val="single" w:color="FFFFFF"/>
        </w:rPr>
        <w:t>市规建支队</w:t>
      </w:r>
      <w:r>
        <w:rPr>
          <w:rFonts w:hint="eastAsia" w:ascii="仿宋" w:hAnsi="仿宋" w:eastAsia="仿宋"/>
        </w:rPr>
        <w:t>专用项目均按要求实行绩效目标管理，涉及一般公共预算当年拨款</w:t>
      </w:r>
      <w:r>
        <w:rPr>
          <w:rFonts w:ascii="仿宋" w:hAnsi="仿宋" w:eastAsia="仿宋"/>
        </w:rPr>
        <w:t>18.55</w:t>
      </w:r>
      <w:r>
        <w:rPr>
          <w:rFonts w:hint="eastAsia" w:ascii="仿宋" w:hAnsi="仿宋" w:eastAsia="仿宋"/>
        </w:rPr>
        <w:t>万元。</w:t>
      </w:r>
    </w:p>
    <w:p>
      <w:pPr>
        <w:spacing w:line="600" w:lineRule="exact"/>
        <w:rPr>
          <w:rFonts w:ascii="仿宋" w:hAnsi="仿宋" w:eastAsia="仿宋"/>
          <w:b/>
        </w:rPr>
      </w:pPr>
      <w:r>
        <w:rPr>
          <w:rFonts w:hint="eastAsia" w:ascii="仿宋" w:hAnsi="仿宋" w:eastAsia="仿宋"/>
          <w:b/>
          <w:lang w:eastAsia="zh-CN"/>
        </w:rPr>
        <w:t>十</w:t>
      </w:r>
      <w:r>
        <w:rPr>
          <w:rFonts w:hint="eastAsia" w:ascii="仿宋" w:hAnsi="仿宋" w:eastAsia="仿宋"/>
          <w:b/>
        </w:rPr>
        <w:t>、名词解释</w:t>
      </w:r>
    </w:p>
    <w:p>
      <w:pPr>
        <w:spacing w:line="600" w:lineRule="exact"/>
        <w:ind w:firstLine="640" w:firstLineChars="200"/>
        <w:rPr>
          <w:rFonts w:ascii="仿宋_GB2312"/>
        </w:rPr>
      </w:pPr>
      <w:r>
        <w:rPr>
          <w:rFonts w:ascii="仿宋_GB2312"/>
        </w:rPr>
        <w:t>1.</w:t>
      </w:r>
      <w:r>
        <w:rPr>
          <w:rFonts w:hint="eastAsia" w:ascii="仿宋_GB2312"/>
        </w:rPr>
        <w:t>一般公共预算拨款收入：指市级财政当年拨付的资金。</w:t>
      </w:r>
    </w:p>
    <w:p>
      <w:pPr>
        <w:spacing w:line="600" w:lineRule="exact"/>
        <w:ind w:firstLine="640" w:firstLineChars="200"/>
        <w:rPr>
          <w:rFonts w:ascii="仿宋_GB2312"/>
        </w:rPr>
      </w:pPr>
      <w:r>
        <w:rPr>
          <w:rFonts w:ascii="仿宋_GB2312"/>
        </w:rPr>
        <w:t>2.</w:t>
      </w:r>
      <w:r>
        <w:rPr>
          <w:rFonts w:hint="eastAsia" w:ascii="仿宋_GB2312"/>
        </w:rPr>
        <w:t>基本支出：指为保证机构正常运转，完成日常工作任务而发生的人员支出和公用支出。</w:t>
      </w:r>
    </w:p>
    <w:p>
      <w:pPr>
        <w:spacing w:line="600" w:lineRule="exact"/>
        <w:ind w:firstLine="640" w:firstLineChars="200"/>
        <w:rPr>
          <w:rFonts w:ascii="仿宋_GB2312"/>
        </w:rPr>
      </w:pPr>
      <w:r>
        <w:rPr>
          <w:rFonts w:ascii="仿宋_GB2312"/>
        </w:rPr>
        <w:t>3.</w:t>
      </w:r>
      <w:r>
        <w:rPr>
          <w:rFonts w:hint="eastAsia" w:ascii="仿宋_GB2312"/>
        </w:rPr>
        <w:t>项目支出：指在基本支出之外为完成特定行政任务和所发生的支出。</w:t>
      </w:r>
    </w:p>
    <w:p>
      <w:pPr>
        <w:spacing w:line="600" w:lineRule="exact"/>
        <w:ind w:firstLine="640" w:firstLineChars="200"/>
        <w:rPr>
          <w:rFonts w:ascii="仿宋_GB2312"/>
        </w:rPr>
      </w:pPr>
      <w:r>
        <w:rPr>
          <w:rFonts w:ascii="仿宋_GB2312"/>
        </w:rPr>
        <w:t>4.</w:t>
      </w:r>
      <w:r>
        <w:rPr>
          <w:rFonts w:hint="eastAsia" w:ascii="仿宋_GB2312"/>
        </w:rPr>
        <w:t>“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firstLineChars="200"/>
        <w:rPr>
          <w:rFonts w:ascii="仿宋_GB2312"/>
        </w:rPr>
      </w:pPr>
      <w:r>
        <w:rPr>
          <w:rFonts w:ascii="仿宋_GB2312"/>
        </w:rPr>
        <w:t>5.</w:t>
      </w:r>
      <w:r>
        <w:rPr>
          <w:rFonts w:hint="eastAsia" w:ascii="仿宋_GB2312"/>
        </w:rPr>
        <w:t>业务运行费：为保障行政单位（包含参照公务员法管理的事业单位）运行用于购买货物和服务的各项资金。包括办公及办公费、水费、电费、印刷费、邮电费、差旅费、会议费等费用开支。</w:t>
      </w:r>
    </w:p>
    <w:p>
      <w:pPr>
        <w:spacing w:line="600" w:lineRule="exact"/>
        <w:ind w:firstLine="640" w:firstLineChars="200"/>
        <w:rPr>
          <w:rFonts w:ascii="仿宋_GB2312"/>
        </w:rPr>
      </w:pPr>
      <w:r>
        <w:rPr>
          <w:rFonts w:ascii="仿宋_GB2312"/>
        </w:rPr>
        <w:t>6</w:t>
      </w:r>
      <w:r>
        <w:rPr>
          <w:rFonts w:hint="eastAsia" w:ascii="仿宋_GB2312"/>
        </w:rPr>
        <w:t>．城乡社区支出（类）城乡社区管理事务（款）城管执法（项）：指反映城市管理综合行政执法、加强城市市容和环境卫生管理等方面的支出。</w:t>
      </w:r>
    </w:p>
    <w:p>
      <w:pPr>
        <w:spacing w:line="600" w:lineRule="exact"/>
        <w:ind w:firstLine="640"/>
        <w:rPr>
          <w:rFonts w:ascii="仿宋" w:hAnsi="仿宋" w:eastAsia="仿宋"/>
        </w:rPr>
      </w:pPr>
    </w:p>
    <w:p>
      <w:pPr>
        <w:spacing w:line="600" w:lineRule="exact"/>
        <w:rPr>
          <w:rFonts w:ascii="仿宋_GB2312"/>
        </w:rPr>
      </w:pPr>
      <w:r>
        <w:rPr>
          <w:rFonts w:hint="eastAsia" w:ascii="仿宋_GB2312"/>
        </w:rPr>
        <w:t>附件：表</w:t>
      </w:r>
      <w:r>
        <w:rPr>
          <w:rFonts w:ascii="仿宋_GB2312"/>
        </w:rPr>
        <w:t>1.</w:t>
      </w:r>
      <w:r>
        <w:rPr>
          <w:rFonts w:hint="eastAsia" w:ascii="仿宋_GB2312"/>
        </w:rPr>
        <w:t>部门收支总表</w:t>
      </w:r>
    </w:p>
    <w:p>
      <w:pPr>
        <w:spacing w:line="600" w:lineRule="exact"/>
        <w:rPr>
          <w:rFonts w:ascii="仿宋_GB2312"/>
        </w:rPr>
      </w:pPr>
      <w:r>
        <w:rPr>
          <w:rFonts w:ascii="仿宋_GB2312"/>
        </w:rPr>
        <w:t xml:space="preserve">      </w:t>
      </w:r>
      <w:r>
        <w:rPr>
          <w:rFonts w:hint="eastAsia" w:ascii="仿宋_GB2312"/>
        </w:rPr>
        <w:t>表</w:t>
      </w:r>
      <w:r>
        <w:rPr>
          <w:rFonts w:ascii="仿宋_GB2312"/>
        </w:rPr>
        <w:t>1-1.</w:t>
      </w:r>
      <w:r>
        <w:rPr>
          <w:rFonts w:hint="eastAsia" w:ascii="仿宋_GB2312"/>
        </w:rPr>
        <w:t>部门收入总表</w:t>
      </w:r>
    </w:p>
    <w:p>
      <w:pPr>
        <w:spacing w:line="600" w:lineRule="exact"/>
        <w:rPr>
          <w:rFonts w:ascii="仿宋_GB2312"/>
        </w:rPr>
      </w:pPr>
      <w:r>
        <w:rPr>
          <w:rFonts w:ascii="仿宋_GB2312"/>
        </w:rPr>
        <w:t xml:space="preserve">      </w:t>
      </w:r>
      <w:r>
        <w:rPr>
          <w:rFonts w:hint="eastAsia" w:ascii="仿宋_GB2312"/>
        </w:rPr>
        <w:t>表</w:t>
      </w:r>
      <w:r>
        <w:rPr>
          <w:rFonts w:ascii="仿宋_GB2312"/>
        </w:rPr>
        <w:t>1-2.</w:t>
      </w:r>
      <w:r>
        <w:rPr>
          <w:rFonts w:hint="eastAsia" w:ascii="仿宋_GB2312"/>
        </w:rPr>
        <w:t>部门支出总表</w:t>
      </w:r>
    </w:p>
    <w:p>
      <w:pPr>
        <w:spacing w:line="600" w:lineRule="exact"/>
        <w:ind w:firstLine="960" w:firstLineChars="300"/>
        <w:rPr>
          <w:rFonts w:ascii="仿宋_GB2312"/>
        </w:rPr>
      </w:pPr>
      <w:r>
        <w:rPr>
          <w:rFonts w:hint="eastAsia" w:ascii="仿宋_GB2312"/>
        </w:rPr>
        <w:t>表</w:t>
      </w:r>
      <w:r>
        <w:rPr>
          <w:rFonts w:ascii="仿宋_GB2312"/>
        </w:rPr>
        <w:t>2.</w:t>
      </w:r>
      <w:r>
        <w:rPr>
          <w:rFonts w:hint="eastAsia" w:ascii="仿宋_GB2312"/>
        </w:rPr>
        <w:t>财政拨款收支预算总表</w:t>
      </w:r>
    </w:p>
    <w:p>
      <w:pPr>
        <w:spacing w:line="600" w:lineRule="exact"/>
        <w:ind w:firstLine="960" w:firstLineChars="300"/>
        <w:rPr>
          <w:rFonts w:ascii="仿宋_GB2312"/>
        </w:rPr>
      </w:pPr>
      <w:r>
        <w:rPr>
          <w:rFonts w:hint="eastAsia" w:ascii="仿宋_GB2312"/>
        </w:rPr>
        <w:t>表</w:t>
      </w:r>
      <w:r>
        <w:rPr>
          <w:rFonts w:ascii="仿宋_GB2312"/>
        </w:rPr>
        <w:t>2-1.</w:t>
      </w:r>
      <w:r>
        <w:rPr>
          <w:rFonts w:hint="eastAsia" w:ascii="仿宋_GB2312"/>
        </w:rPr>
        <w:t>财政拨款支出预算表</w:t>
      </w:r>
    </w:p>
    <w:p>
      <w:pPr>
        <w:spacing w:line="600" w:lineRule="exact"/>
        <w:ind w:firstLine="960" w:firstLineChars="300"/>
        <w:rPr>
          <w:rFonts w:ascii="仿宋_GB2312"/>
        </w:rPr>
      </w:pPr>
      <w:r>
        <w:rPr>
          <w:rFonts w:hint="eastAsia" w:ascii="仿宋_GB2312"/>
        </w:rPr>
        <w:t>表</w:t>
      </w:r>
      <w:r>
        <w:rPr>
          <w:rFonts w:ascii="仿宋_GB2312"/>
        </w:rPr>
        <w:t>3.</w:t>
      </w:r>
      <w:r>
        <w:rPr>
          <w:rFonts w:hint="eastAsia" w:ascii="仿宋_GB2312"/>
        </w:rPr>
        <w:t>一般公共预算支出预算表</w:t>
      </w:r>
    </w:p>
    <w:p>
      <w:pPr>
        <w:spacing w:line="600" w:lineRule="exact"/>
        <w:ind w:firstLine="960" w:firstLineChars="300"/>
        <w:rPr>
          <w:rFonts w:ascii="仿宋_GB2312"/>
        </w:rPr>
      </w:pPr>
      <w:r>
        <w:rPr>
          <w:rFonts w:hint="eastAsia" w:ascii="仿宋_GB2312"/>
        </w:rPr>
        <w:t>表</w:t>
      </w:r>
      <w:r>
        <w:rPr>
          <w:rFonts w:ascii="仿宋_GB2312"/>
        </w:rPr>
        <w:t>3-1.</w:t>
      </w:r>
      <w:r>
        <w:rPr>
          <w:rFonts w:hint="eastAsia" w:ascii="仿宋_GB2312"/>
        </w:rPr>
        <w:t>一般公共预算基本支出预算表</w:t>
      </w:r>
    </w:p>
    <w:p>
      <w:pPr>
        <w:spacing w:line="600" w:lineRule="exact"/>
        <w:ind w:firstLine="960" w:firstLineChars="300"/>
        <w:rPr>
          <w:rFonts w:ascii="仿宋_GB2312"/>
        </w:rPr>
      </w:pPr>
      <w:r>
        <w:rPr>
          <w:rFonts w:hint="eastAsia" w:ascii="仿宋_GB2312"/>
        </w:rPr>
        <w:t>表</w:t>
      </w:r>
      <w:r>
        <w:rPr>
          <w:rFonts w:ascii="仿宋_GB2312"/>
        </w:rPr>
        <w:t>3-2.</w:t>
      </w:r>
      <w:r>
        <w:rPr>
          <w:rFonts w:hint="eastAsia" w:ascii="仿宋_GB2312"/>
        </w:rPr>
        <w:t>一般公共预算项目支出预算表</w:t>
      </w:r>
    </w:p>
    <w:p>
      <w:pPr>
        <w:spacing w:line="600" w:lineRule="exact"/>
        <w:ind w:firstLine="960" w:firstLineChars="300"/>
        <w:rPr>
          <w:rFonts w:ascii="仿宋_GB2312"/>
        </w:rPr>
      </w:pPr>
      <w:r>
        <w:rPr>
          <w:rFonts w:hint="eastAsia" w:ascii="仿宋_GB2312"/>
        </w:rPr>
        <w:t>表</w:t>
      </w:r>
      <w:r>
        <w:rPr>
          <w:rFonts w:ascii="仿宋_GB2312"/>
        </w:rPr>
        <w:t>3-3.</w:t>
      </w:r>
      <w:r>
        <w:rPr>
          <w:rFonts w:hint="eastAsia" w:ascii="仿宋_GB2312"/>
        </w:rPr>
        <w:t>一般公共预算“三公”经费支出预算表</w:t>
      </w:r>
    </w:p>
    <w:p>
      <w:pPr>
        <w:spacing w:line="600" w:lineRule="exact"/>
        <w:ind w:firstLine="960" w:firstLineChars="300"/>
        <w:rPr>
          <w:rFonts w:ascii="仿宋_GB2312"/>
        </w:rPr>
      </w:pPr>
      <w:r>
        <w:rPr>
          <w:rFonts w:hint="eastAsia" w:ascii="仿宋_GB2312"/>
        </w:rPr>
        <w:t>表</w:t>
      </w:r>
      <w:r>
        <w:rPr>
          <w:rFonts w:ascii="仿宋_GB2312"/>
        </w:rPr>
        <w:t>4.</w:t>
      </w:r>
      <w:r>
        <w:rPr>
          <w:rFonts w:hint="eastAsia" w:ascii="仿宋_GB2312"/>
        </w:rPr>
        <w:t>政府性基金支出预算表</w:t>
      </w:r>
    </w:p>
    <w:p>
      <w:pPr>
        <w:spacing w:line="600" w:lineRule="exact"/>
        <w:ind w:firstLine="960" w:firstLineChars="300"/>
        <w:rPr>
          <w:rFonts w:ascii="仿宋_GB2312"/>
        </w:rPr>
      </w:pPr>
      <w:r>
        <w:rPr>
          <w:rFonts w:hint="eastAsia" w:ascii="仿宋_GB2312"/>
        </w:rPr>
        <w:t>表</w:t>
      </w:r>
      <w:r>
        <w:rPr>
          <w:rFonts w:ascii="仿宋_GB2312"/>
        </w:rPr>
        <w:t>4-1.</w:t>
      </w:r>
      <w:r>
        <w:rPr>
          <w:rFonts w:hint="eastAsia" w:ascii="仿宋_GB2312"/>
        </w:rPr>
        <w:t>政府性基金预算“三公”经费支出预算表</w:t>
      </w:r>
    </w:p>
    <w:p>
      <w:pPr>
        <w:spacing w:line="600" w:lineRule="exact"/>
        <w:ind w:firstLine="960" w:firstLineChars="300"/>
        <w:rPr>
          <w:rFonts w:ascii="仿宋_GB2312"/>
        </w:rPr>
      </w:pPr>
      <w:r>
        <w:rPr>
          <w:rFonts w:hint="eastAsia" w:ascii="仿宋_GB2312"/>
        </w:rPr>
        <w:t>表</w:t>
      </w:r>
      <w:r>
        <w:rPr>
          <w:rFonts w:ascii="仿宋_GB2312"/>
        </w:rPr>
        <w:t>5.</w:t>
      </w:r>
      <w:r>
        <w:rPr>
          <w:rFonts w:hint="eastAsia" w:ascii="仿宋_GB2312"/>
        </w:rPr>
        <w:t>国有资本经营预算支出预算表</w:t>
      </w:r>
    </w:p>
    <w:p>
      <w:pPr>
        <w:spacing w:line="600" w:lineRule="exact"/>
        <w:ind w:firstLine="960" w:firstLineChars="300"/>
        <w:rPr>
          <w:rFonts w:ascii="仿宋" w:hAnsi="仿宋" w:eastAsia="仿宋"/>
          <w:u w:val="single"/>
        </w:rPr>
      </w:pPr>
      <w:r>
        <w:rPr>
          <w:rFonts w:hint="eastAsia" w:ascii="仿宋_GB2312"/>
        </w:rPr>
        <w:t>表</w:t>
      </w:r>
      <w:r>
        <w:rPr>
          <w:rFonts w:ascii="仿宋_GB2312"/>
        </w:rPr>
        <w:t>6.</w:t>
      </w:r>
      <w:r>
        <w:rPr>
          <w:rFonts w:hint="eastAsia" w:ascii="仿宋_GB2312"/>
        </w:rPr>
        <w:t>（部门）单位预算项目绩效目标表</w:t>
      </w:r>
    </w:p>
    <w:p>
      <w:pPr>
        <w:spacing w:line="600" w:lineRule="exact"/>
        <w:rPr>
          <w:rFonts w:ascii="仿宋" w:hAnsi="仿宋" w:eastAsia="仿宋"/>
          <w:u w:val="single"/>
        </w:rPr>
      </w:pPr>
    </w:p>
    <w:sectPr>
      <w:footerReference r:id="rId3" w:type="default"/>
      <w:footerReference r:id="rId4" w:type="even"/>
      <w:pgSz w:w="11906" w:h="16838"/>
      <w:pgMar w:top="1247" w:right="1542" w:bottom="1247" w:left="2098" w:header="851" w:footer="992"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_GB2312">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snapToGrid w:val="0"/>
      <w:jc w:val="left"/>
      <w:rPr>
        <w:rStyle w:val="28"/>
        <w:sz w:val="30"/>
        <w:szCs w:val="30"/>
      </w:rPr>
    </w:pPr>
    <w:r>
      <w:fldChar w:fldCharType="begin"/>
    </w:r>
    <w:r>
      <w:instrText xml:space="preserve">PAGE  \* MERGEFORMAT</w:instrText>
    </w:r>
    <w:r>
      <w:fldChar w:fldCharType="separate"/>
    </w:r>
    <w:r>
      <w:rPr>
        <w:rStyle w:val="28"/>
        <w:sz w:val="30"/>
        <w:szCs w:val="30"/>
      </w:rPr>
      <w:t>- 6 -</w:t>
    </w:r>
    <w:r>
      <w:rPr>
        <w:rStyle w:val="28"/>
        <w:sz w:val="30"/>
        <w:szCs w:val="30"/>
      </w:rPr>
      <w:fldChar w:fldCharType="end"/>
    </w:r>
  </w:p>
  <w:p>
    <w:pPr>
      <w:pStyle w:val="17"/>
      <w:snapToGrid w:val="0"/>
      <w:jc w:val="left"/>
      <w:rPr>
        <w:rFonts w:ascii="Times New Roman" w:hAnsi="??_GB231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snapToGrid w:val="0"/>
      <w:jc w:val="left"/>
      <w:rPr>
        <w:rStyle w:val="28"/>
        <w:rFonts w:ascii="Times New Roman" w:hAnsi="Times New Roman"/>
        <w:sz w:val="18"/>
        <w:szCs w:val="18"/>
      </w:rPr>
    </w:pPr>
    <w:r>
      <w:fldChar w:fldCharType="begin"/>
    </w:r>
    <w:r>
      <w:instrText xml:space="preserve">PAGE  \* MERGEFORMAT</w:instrText>
    </w:r>
    <w:r>
      <w:fldChar w:fldCharType="separate"/>
    </w:r>
    <w:r>
      <w:rPr>
        <w:rStyle w:val="28"/>
        <w:rFonts w:ascii="Times New Roman" w:hAnsi="Times New Roman"/>
        <w:sz w:val="18"/>
        <w:szCs w:val="18"/>
      </w:rPr>
      <w:t>- 1 -</w:t>
    </w:r>
    <w:r>
      <w:rPr>
        <w:rStyle w:val="28"/>
        <w:rFonts w:ascii="Times New Roman" w:hAnsi="Times New Roman"/>
        <w:sz w:val="18"/>
        <w:szCs w:val="18"/>
      </w:rPr>
      <w:fldChar w:fldCharType="end"/>
    </w:r>
  </w:p>
  <w:p>
    <w:pPr>
      <w:pStyle w:val="17"/>
      <w:snapToGrid w:val="0"/>
      <w:jc w:val="left"/>
      <w:rPr>
        <w:rFonts w:ascii="Times New Roman" w:hAnsi="??_GB231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val="1"/>
  <w:bordersDoNotSurroundHeader w:val="1"/>
  <w:bordersDoNotSurroundFooter w:val="1"/>
  <w:documentProtection w:enforcement="0"/>
  <w:defaultTabStop w:val="420"/>
  <w:displayHorizontalDrawingGridEvery w:val="0"/>
  <w:displayVerticalDrawingGridEvery w:val="2"/>
  <w:characterSpacingControl w:val="compressPunctuation"/>
  <w:noLineBreaksAfter w:lang="zh-CN" w:val="([{·‘“〈《「『【〔〖﹝＄（．［｛￡￥"/>
  <w:noLineBreaksBefore w:lang="zh-CN" w:val="(?[{·‘’“”…‰′″℃∶、。〃〈〉《》「」『』【】〔〕〖〗〞︶︺︾﹀﹄﹚﹜﹞！＂％＇（），．：；？［］｀｛｜｝～￠￡￥"/>
  <w:compat>
    <w:balanceSingleByteDoubleByteWidth/>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630FE"/>
    <w:rsid w:val="00050373"/>
    <w:rsid w:val="000F683F"/>
    <w:rsid w:val="001A6530"/>
    <w:rsid w:val="001A7EAC"/>
    <w:rsid w:val="00261C3D"/>
    <w:rsid w:val="003437E6"/>
    <w:rsid w:val="0042612F"/>
    <w:rsid w:val="00554217"/>
    <w:rsid w:val="00922C74"/>
    <w:rsid w:val="00A630FE"/>
    <w:rsid w:val="00B20181"/>
    <w:rsid w:val="00B92314"/>
    <w:rsid w:val="00D81731"/>
    <w:rsid w:val="00DA7F9A"/>
    <w:rsid w:val="30675D24"/>
    <w:rsid w:val="4D134160"/>
    <w:rsid w:val="5290146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qFormat="1" w:unhideWhenUsed="0" w:uiPriority="9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unhideWhenUsed="0" w:uiPriority="99"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99" w:semiHidden="0" w:name="Strong"/>
    <w:lsdException w:qFormat="1" w:unhideWhenUsed="0" w:uiPriority="99" w:semiHidden="0" w:name="Emphasis"/>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宋体" w:hAnsi="宋体" w:eastAsia="宋体" w:cs="Times New Roman"/>
      <w:kern w:val="0"/>
      <w:sz w:val="32"/>
      <w:szCs w:val="32"/>
      <w:lang w:val="en-US" w:eastAsia="zh-CN" w:bidi="ar-SA"/>
    </w:rPr>
  </w:style>
  <w:style w:type="paragraph" w:styleId="2">
    <w:name w:val="heading 1"/>
    <w:basedOn w:val="1"/>
    <w:next w:val="1"/>
    <w:link w:val="31"/>
    <w:qFormat/>
    <w:uiPriority w:val="99"/>
    <w:pPr>
      <w:outlineLvl w:val="0"/>
    </w:pPr>
    <w:rPr>
      <w:rFonts w:ascii="Times New Roman" w:hAnsi="Times New Roman"/>
      <w:sz w:val="28"/>
      <w:szCs w:val="28"/>
    </w:rPr>
  </w:style>
  <w:style w:type="paragraph" w:styleId="3">
    <w:name w:val="heading 2"/>
    <w:basedOn w:val="1"/>
    <w:next w:val="1"/>
    <w:link w:val="32"/>
    <w:qFormat/>
    <w:uiPriority w:val="99"/>
    <w:pPr>
      <w:outlineLvl w:val="1"/>
    </w:pPr>
    <w:rPr>
      <w:rFonts w:ascii="Times New Roman" w:hAnsi="Times New Roman"/>
      <w:sz w:val="21"/>
      <w:szCs w:val="21"/>
    </w:rPr>
  </w:style>
  <w:style w:type="paragraph" w:styleId="4">
    <w:name w:val="heading 3"/>
    <w:basedOn w:val="1"/>
    <w:next w:val="1"/>
    <w:link w:val="33"/>
    <w:qFormat/>
    <w:uiPriority w:val="99"/>
    <w:pPr>
      <w:ind w:left="1000" w:hanging="400"/>
      <w:outlineLvl w:val="2"/>
    </w:pPr>
    <w:rPr>
      <w:rFonts w:ascii="Times New Roman" w:hAnsi="Times New Roman"/>
      <w:sz w:val="21"/>
      <w:szCs w:val="21"/>
    </w:rPr>
  </w:style>
  <w:style w:type="paragraph" w:styleId="5">
    <w:name w:val="heading 4"/>
    <w:basedOn w:val="1"/>
    <w:next w:val="1"/>
    <w:link w:val="34"/>
    <w:qFormat/>
    <w:uiPriority w:val="99"/>
    <w:pPr>
      <w:ind w:left="1200" w:hanging="400"/>
      <w:outlineLvl w:val="3"/>
    </w:pPr>
    <w:rPr>
      <w:rFonts w:ascii="Times New Roman" w:hAnsi="Times New Roman"/>
      <w:b/>
      <w:sz w:val="21"/>
      <w:szCs w:val="21"/>
    </w:rPr>
  </w:style>
  <w:style w:type="paragraph" w:styleId="6">
    <w:name w:val="heading 5"/>
    <w:basedOn w:val="1"/>
    <w:next w:val="1"/>
    <w:link w:val="35"/>
    <w:qFormat/>
    <w:uiPriority w:val="99"/>
    <w:pPr>
      <w:ind w:left="1400" w:hanging="400"/>
      <w:outlineLvl w:val="4"/>
    </w:pPr>
    <w:rPr>
      <w:rFonts w:ascii="Times New Roman" w:hAnsi="Times New Roman"/>
      <w:sz w:val="21"/>
      <w:szCs w:val="21"/>
    </w:rPr>
  </w:style>
  <w:style w:type="paragraph" w:styleId="7">
    <w:name w:val="heading 6"/>
    <w:basedOn w:val="1"/>
    <w:next w:val="1"/>
    <w:link w:val="36"/>
    <w:qFormat/>
    <w:uiPriority w:val="99"/>
    <w:pPr>
      <w:ind w:left="1600" w:hanging="400"/>
      <w:outlineLvl w:val="5"/>
    </w:pPr>
    <w:rPr>
      <w:rFonts w:ascii="Times New Roman" w:hAnsi="Times New Roman"/>
      <w:b/>
      <w:sz w:val="21"/>
      <w:szCs w:val="21"/>
    </w:rPr>
  </w:style>
  <w:style w:type="paragraph" w:styleId="8">
    <w:name w:val="heading 7"/>
    <w:basedOn w:val="1"/>
    <w:next w:val="1"/>
    <w:link w:val="37"/>
    <w:qFormat/>
    <w:uiPriority w:val="99"/>
    <w:pPr>
      <w:ind w:left="1800" w:hanging="400"/>
      <w:outlineLvl w:val="6"/>
    </w:pPr>
    <w:rPr>
      <w:rFonts w:ascii="Times New Roman" w:hAnsi="Times New Roman"/>
      <w:sz w:val="21"/>
      <w:szCs w:val="21"/>
    </w:rPr>
  </w:style>
  <w:style w:type="paragraph" w:styleId="9">
    <w:name w:val="heading 8"/>
    <w:basedOn w:val="1"/>
    <w:next w:val="1"/>
    <w:link w:val="38"/>
    <w:qFormat/>
    <w:uiPriority w:val="99"/>
    <w:pPr>
      <w:ind w:left="2000" w:hanging="400"/>
      <w:outlineLvl w:val="7"/>
    </w:pPr>
    <w:rPr>
      <w:rFonts w:ascii="Times New Roman" w:hAnsi="Times New Roman"/>
      <w:sz w:val="21"/>
      <w:szCs w:val="21"/>
    </w:rPr>
  </w:style>
  <w:style w:type="paragraph" w:styleId="10">
    <w:name w:val="heading 9"/>
    <w:basedOn w:val="1"/>
    <w:next w:val="1"/>
    <w:link w:val="39"/>
    <w:qFormat/>
    <w:uiPriority w:val="99"/>
    <w:pPr>
      <w:ind w:left="2200" w:hanging="400"/>
      <w:outlineLvl w:val="8"/>
    </w:pPr>
    <w:rPr>
      <w:rFonts w:ascii="Times New Roman" w:hAnsi="Times New Roman"/>
      <w:sz w:val="21"/>
      <w:szCs w:val="21"/>
    </w:rPr>
  </w:style>
  <w:style w:type="character" w:default="1" w:styleId="26">
    <w:name w:val="Default Paragraph Font"/>
    <w:semiHidden/>
    <w:uiPriority w:val="99"/>
  </w:style>
  <w:style w:type="table" w:default="1" w:styleId="30">
    <w:name w:val="Normal Table"/>
    <w:unhideWhenUsed/>
    <w:qFormat/>
    <w:uiPriority w:val="99"/>
    <w:tblPr>
      <w:tblLayout w:type="fixed"/>
      <w:tblCellMar>
        <w:top w:w="0" w:type="dxa"/>
        <w:left w:w="108" w:type="dxa"/>
        <w:bottom w:w="0" w:type="dxa"/>
        <w:right w:w="108" w:type="dxa"/>
      </w:tblCellMar>
    </w:tblPr>
  </w:style>
  <w:style w:type="paragraph" w:styleId="11">
    <w:name w:val="toc 7"/>
    <w:basedOn w:val="1"/>
    <w:next w:val="1"/>
    <w:qFormat/>
    <w:uiPriority w:val="99"/>
    <w:pPr>
      <w:ind w:left="2550"/>
    </w:pPr>
    <w:rPr>
      <w:rFonts w:ascii="Times New Roman" w:hAnsi="Times New Roman"/>
      <w:sz w:val="21"/>
      <w:szCs w:val="21"/>
    </w:rPr>
  </w:style>
  <w:style w:type="paragraph" w:styleId="12">
    <w:name w:val="Body Text"/>
    <w:basedOn w:val="1"/>
    <w:link w:val="40"/>
    <w:qFormat/>
    <w:uiPriority w:val="99"/>
    <w:rPr>
      <w:sz w:val="30"/>
      <w:szCs w:val="30"/>
    </w:rPr>
  </w:style>
  <w:style w:type="paragraph" w:styleId="13">
    <w:name w:val="toc 5"/>
    <w:basedOn w:val="1"/>
    <w:next w:val="1"/>
    <w:qFormat/>
    <w:uiPriority w:val="99"/>
    <w:pPr>
      <w:ind w:left="1700"/>
    </w:pPr>
    <w:rPr>
      <w:rFonts w:ascii="Times New Roman" w:hAnsi="Times New Roman"/>
      <w:sz w:val="21"/>
      <w:szCs w:val="21"/>
    </w:rPr>
  </w:style>
  <w:style w:type="paragraph" w:styleId="14">
    <w:name w:val="toc 3"/>
    <w:basedOn w:val="1"/>
    <w:next w:val="1"/>
    <w:qFormat/>
    <w:uiPriority w:val="99"/>
    <w:pPr>
      <w:ind w:left="850"/>
    </w:pPr>
    <w:rPr>
      <w:rFonts w:ascii="Times New Roman" w:hAnsi="Times New Roman"/>
      <w:sz w:val="21"/>
      <w:szCs w:val="21"/>
    </w:rPr>
  </w:style>
  <w:style w:type="paragraph" w:styleId="15">
    <w:name w:val="toc 8"/>
    <w:basedOn w:val="1"/>
    <w:next w:val="1"/>
    <w:qFormat/>
    <w:uiPriority w:val="99"/>
    <w:pPr>
      <w:ind w:left="2975"/>
    </w:pPr>
    <w:rPr>
      <w:rFonts w:ascii="Times New Roman" w:hAnsi="Times New Roman"/>
      <w:sz w:val="21"/>
      <w:szCs w:val="21"/>
    </w:rPr>
  </w:style>
  <w:style w:type="paragraph" w:styleId="16">
    <w:name w:val="Balloon Text"/>
    <w:basedOn w:val="1"/>
    <w:link w:val="41"/>
    <w:qFormat/>
    <w:uiPriority w:val="99"/>
    <w:rPr>
      <w:sz w:val="18"/>
      <w:szCs w:val="18"/>
    </w:rPr>
  </w:style>
  <w:style w:type="paragraph" w:styleId="17">
    <w:name w:val="footer"/>
    <w:basedOn w:val="1"/>
    <w:link w:val="42"/>
    <w:qFormat/>
    <w:uiPriority w:val="99"/>
    <w:pPr>
      <w:tabs>
        <w:tab w:val="center" w:pos="4153"/>
        <w:tab w:val="right" w:pos="8306"/>
      </w:tabs>
    </w:pPr>
    <w:rPr>
      <w:sz w:val="18"/>
      <w:szCs w:val="18"/>
    </w:rPr>
  </w:style>
  <w:style w:type="paragraph" w:styleId="18">
    <w:name w:val="header"/>
    <w:basedOn w:val="1"/>
    <w:link w:val="43"/>
    <w:qFormat/>
    <w:uiPriority w:val="99"/>
    <w:pPr>
      <w:tabs>
        <w:tab w:val="center" w:pos="4153"/>
        <w:tab w:val="right" w:pos="8306"/>
      </w:tabs>
      <w:jc w:val="center"/>
    </w:pPr>
    <w:rPr>
      <w:sz w:val="18"/>
      <w:szCs w:val="18"/>
    </w:rPr>
  </w:style>
  <w:style w:type="paragraph" w:styleId="19">
    <w:name w:val="toc 1"/>
    <w:basedOn w:val="1"/>
    <w:next w:val="1"/>
    <w:qFormat/>
    <w:uiPriority w:val="99"/>
    <w:rPr>
      <w:rFonts w:ascii="Times New Roman" w:hAnsi="Times New Roman"/>
      <w:sz w:val="21"/>
      <w:szCs w:val="21"/>
    </w:rPr>
  </w:style>
  <w:style w:type="paragraph" w:styleId="20">
    <w:name w:val="toc 4"/>
    <w:basedOn w:val="1"/>
    <w:next w:val="1"/>
    <w:qFormat/>
    <w:uiPriority w:val="99"/>
    <w:pPr>
      <w:ind w:left="1275"/>
    </w:pPr>
    <w:rPr>
      <w:rFonts w:ascii="Times New Roman" w:hAnsi="Times New Roman"/>
      <w:sz w:val="21"/>
      <w:szCs w:val="21"/>
    </w:rPr>
  </w:style>
  <w:style w:type="paragraph" w:styleId="21">
    <w:name w:val="Subtitle"/>
    <w:basedOn w:val="1"/>
    <w:link w:val="44"/>
    <w:qFormat/>
    <w:uiPriority w:val="99"/>
    <w:pPr>
      <w:jc w:val="center"/>
    </w:pPr>
    <w:rPr>
      <w:rFonts w:ascii="Times New Roman" w:hAnsi="Times New Roman"/>
      <w:sz w:val="24"/>
      <w:szCs w:val="24"/>
    </w:rPr>
  </w:style>
  <w:style w:type="paragraph" w:styleId="22">
    <w:name w:val="toc 6"/>
    <w:basedOn w:val="1"/>
    <w:next w:val="1"/>
    <w:qFormat/>
    <w:uiPriority w:val="99"/>
    <w:pPr>
      <w:ind w:left="2125"/>
    </w:pPr>
    <w:rPr>
      <w:rFonts w:ascii="Times New Roman" w:hAnsi="Times New Roman"/>
      <w:sz w:val="21"/>
      <w:szCs w:val="21"/>
    </w:rPr>
  </w:style>
  <w:style w:type="paragraph" w:styleId="23">
    <w:name w:val="toc 2"/>
    <w:basedOn w:val="1"/>
    <w:next w:val="1"/>
    <w:qFormat/>
    <w:uiPriority w:val="99"/>
    <w:pPr>
      <w:ind w:left="425"/>
    </w:pPr>
    <w:rPr>
      <w:rFonts w:ascii="Times New Roman" w:hAnsi="Times New Roman"/>
      <w:sz w:val="21"/>
      <w:szCs w:val="21"/>
    </w:rPr>
  </w:style>
  <w:style w:type="paragraph" w:styleId="24">
    <w:name w:val="toc 9"/>
    <w:basedOn w:val="1"/>
    <w:next w:val="1"/>
    <w:qFormat/>
    <w:uiPriority w:val="99"/>
    <w:pPr>
      <w:ind w:left="3400"/>
    </w:pPr>
    <w:rPr>
      <w:rFonts w:ascii="Times New Roman" w:hAnsi="Times New Roman"/>
      <w:sz w:val="21"/>
      <w:szCs w:val="21"/>
    </w:rPr>
  </w:style>
  <w:style w:type="paragraph" w:styleId="25">
    <w:name w:val="Title"/>
    <w:basedOn w:val="1"/>
    <w:link w:val="45"/>
    <w:qFormat/>
    <w:uiPriority w:val="99"/>
    <w:pPr>
      <w:jc w:val="center"/>
    </w:pPr>
    <w:rPr>
      <w:rFonts w:ascii="Times New Roman" w:hAnsi="Times New Roman"/>
      <w:b/>
    </w:rPr>
  </w:style>
  <w:style w:type="character" w:styleId="27">
    <w:name w:val="Strong"/>
    <w:basedOn w:val="26"/>
    <w:qFormat/>
    <w:uiPriority w:val="99"/>
    <w:rPr>
      <w:rFonts w:cs="Times New Roman"/>
      <w:b/>
      <w:w w:val="100"/>
      <w:sz w:val="21"/>
      <w:shd w:val="clear" w:color="auto" w:fill="auto"/>
    </w:rPr>
  </w:style>
  <w:style w:type="character" w:styleId="28">
    <w:name w:val="page number"/>
    <w:basedOn w:val="26"/>
    <w:qFormat/>
    <w:uiPriority w:val="99"/>
    <w:rPr>
      <w:rFonts w:ascii="宋体" w:eastAsia="宋体" w:cs="Times New Roman"/>
      <w:w w:val="100"/>
      <w:sz w:val="20"/>
      <w:szCs w:val="20"/>
      <w:shd w:val="clear" w:color="auto" w:fill="auto"/>
    </w:rPr>
  </w:style>
  <w:style w:type="character" w:styleId="29">
    <w:name w:val="Emphasis"/>
    <w:basedOn w:val="26"/>
    <w:qFormat/>
    <w:uiPriority w:val="99"/>
    <w:rPr>
      <w:rFonts w:cs="Times New Roman"/>
      <w:i/>
      <w:w w:val="100"/>
      <w:sz w:val="21"/>
      <w:shd w:val="clear" w:color="auto" w:fill="auto"/>
    </w:rPr>
  </w:style>
  <w:style w:type="character" w:customStyle="1" w:styleId="31">
    <w:name w:val="Heading 1 Char"/>
    <w:basedOn w:val="26"/>
    <w:link w:val="2"/>
    <w:qFormat/>
    <w:locked/>
    <w:uiPriority w:val="99"/>
    <w:rPr>
      <w:rFonts w:ascii="宋体" w:eastAsia="宋体" w:cs="Times New Roman"/>
      <w:b/>
      <w:bCs/>
      <w:kern w:val="44"/>
      <w:sz w:val="44"/>
      <w:szCs w:val="44"/>
    </w:rPr>
  </w:style>
  <w:style w:type="character" w:customStyle="1" w:styleId="32">
    <w:name w:val="Heading 2 Char"/>
    <w:basedOn w:val="26"/>
    <w:link w:val="3"/>
    <w:semiHidden/>
    <w:qFormat/>
    <w:locked/>
    <w:uiPriority w:val="99"/>
    <w:rPr>
      <w:rFonts w:ascii="Cambria" w:hAnsi="Cambria" w:eastAsia="宋体" w:cs="Times New Roman"/>
      <w:b/>
      <w:bCs/>
      <w:kern w:val="0"/>
      <w:sz w:val="32"/>
      <w:szCs w:val="32"/>
    </w:rPr>
  </w:style>
  <w:style w:type="character" w:customStyle="1" w:styleId="33">
    <w:name w:val="Heading 3 Char"/>
    <w:basedOn w:val="26"/>
    <w:link w:val="4"/>
    <w:semiHidden/>
    <w:qFormat/>
    <w:locked/>
    <w:uiPriority w:val="99"/>
    <w:rPr>
      <w:rFonts w:ascii="宋体" w:eastAsia="宋体" w:cs="Times New Roman"/>
      <w:b/>
      <w:bCs/>
      <w:kern w:val="0"/>
      <w:sz w:val="32"/>
      <w:szCs w:val="32"/>
    </w:rPr>
  </w:style>
  <w:style w:type="character" w:customStyle="1" w:styleId="34">
    <w:name w:val="Heading 4 Char"/>
    <w:basedOn w:val="26"/>
    <w:link w:val="5"/>
    <w:semiHidden/>
    <w:qFormat/>
    <w:locked/>
    <w:uiPriority w:val="99"/>
    <w:rPr>
      <w:rFonts w:ascii="Cambria" w:hAnsi="Cambria" w:eastAsia="宋体" w:cs="Times New Roman"/>
      <w:b/>
      <w:bCs/>
      <w:kern w:val="0"/>
      <w:sz w:val="28"/>
      <w:szCs w:val="28"/>
    </w:rPr>
  </w:style>
  <w:style w:type="character" w:customStyle="1" w:styleId="35">
    <w:name w:val="Heading 5 Char"/>
    <w:basedOn w:val="26"/>
    <w:link w:val="6"/>
    <w:semiHidden/>
    <w:qFormat/>
    <w:locked/>
    <w:uiPriority w:val="99"/>
    <w:rPr>
      <w:rFonts w:ascii="宋体" w:eastAsia="宋体" w:cs="Times New Roman"/>
      <w:b/>
      <w:bCs/>
      <w:kern w:val="0"/>
      <w:sz w:val="28"/>
      <w:szCs w:val="28"/>
    </w:rPr>
  </w:style>
  <w:style w:type="character" w:customStyle="1" w:styleId="36">
    <w:name w:val="Heading 6 Char"/>
    <w:basedOn w:val="26"/>
    <w:link w:val="7"/>
    <w:semiHidden/>
    <w:locked/>
    <w:uiPriority w:val="99"/>
    <w:rPr>
      <w:rFonts w:ascii="Cambria" w:hAnsi="Cambria" w:eastAsia="宋体" w:cs="Times New Roman"/>
      <w:b/>
      <w:bCs/>
      <w:kern w:val="0"/>
      <w:sz w:val="24"/>
      <w:szCs w:val="24"/>
    </w:rPr>
  </w:style>
  <w:style w:type="character" w:customStyle="1" w:styleId="37">
    <w:name w:val="Heading 7 Char"/>
    <w:basedOn w:val="26"/>
    <w:link w:val="8"/>
    <w:semiHidden/>
    <w:qFormat/>
    <w:locked/>
    <w:uiPriority w:val="99"/>
    <w:rPr>
      <w:rFonts w:ascii="宋体" w:eastAsia="宋体" w:cs="Times New Roman"/>
      <w:b/>
      <w:bCs/>
      <w:kern w:val="0"/>
      <w:sz w:val="24"/>
      <w:szCs w:val="24"/>
    </w:rPr>
  </w:style>
  <w:style w:type="character" w:customStyle="1" w:styleId="38">
    <w:name w:val="Heading 8 Char"/>
    <w:basedOn w:val="26"/>
    <w:link w:val="9"/>
    <w:semiHidden/>
    <w:qFormat/>
    <w:locked/>
    <w:uiPriority w:val="99"/>
    <w:rPr>
      <w:rFonts w:ascii="Cambria" w:hAnsi="Cambria" w:eastAsia="宋体" w:cs="Times New Roman"/>
      <w:kern w:val="0"/>
      <w:sz w:val="24"/>
      <w:szCs w:val="24"/>
    </w:rPr>
  </w:style>
  <w:style w:type="character" w:customStyle="1" w:styleId="39">
    <w:name w:val="Heading 9 Char"/>
    <w:basedOn w:val="26"/>
    <w:link w:val="10"/>
    <w:semiHidden/>
    <w:qFormat/>
    <w:locked/>
    <w:uiPriority w:val="99"/>
    <w:rPr>
      <w:rFonts w:ascii="Cambria" w:hAnsi="Cambria" w:eastAsia="宋体" w:cs="Times New Roman"/>
      <w:kern w:val="0"/>
      <w:sz w:val="21"/>
      <w:szCs w:val="21"/>
    </w:rPr>
  </w:style>
  <w:style w:type="character" w:customStyle="1" w:styleId="40">
    <w:name w:val="Body Text Char"/>
    <w:basedOn w:val="26"/>
    <w:link w:val="12"/>
    <w:semiHidden/>
    <w:qFormat/>
    <w:locked/>
    <w:uiPriority w:val="99"/>
    <w:rPr>
      <w:rFonts w:ascii="宋体" w:eastAsia="宋体" w:cs="Times New Roman"/>
      <w:w w:val="100"/>
      <w:sz w:val="32"/>
      <w:szCs w:val="32"/>
      <w:shd w:val="clear" w:color="auto" w:fill="auto"/>
    </w:rPr>
  </w:style>
  <w:style w:type="character" w:customStyle="1" w:styleId="41">
    <w:name w:val="Balloon Text Char"/>
    <w:basedOn w:val="26"/>
    <w:link w:val="16"/>
    <w:semiHidden/>
    <w:qFormat/>
    <w:locked/>
    <w:uiPriority w:val="99"/>
    <w:rPr>
      <w:rFonts w:ascii="宋体" w:eastAsia="宋体" w:cs="Times New Roman"/>
      <w:w w:val="100"/>
      <w:sz w:val="20"/>
      <w:szCs w:val="20"/>
      <w:shd w:val="clear" w:color="auto" w:fill="auto"/>
    </w:rPr>
  </w:style>
  <w:style w:type="character" w:customStyle="1" w:styleId="42">
    <w:name w:val="Footer Char"/>
    <w:basedOn w:val="26"/>
    <w:link w:val="17"/>
    <w:semiHidden/>
    <w:qFormat/>
    <w:locked/>
    <w:uiPriority w:val="99"/>
    <w:rPr>
      <w:rFonts w:ascii="宋体" w:eastAsia="宋体" w:cs="Times New Roman"/>
      <w:w w:val="100"/>
      <w:sz w:val="18"/>
      <w:szCs w:val="18"/>
      <w:shd w:val="clear" w:color="auto" w:fill="auto"/>
    </w:rPr>
  </w:style>
  <w:style w:type="character" w:customStyle="1" w:styleId="43">
    <w:name w:val="Header Char"/>
    <w:basedOn w:val="26"/>
    <w:link w:val="18"/>
    <w:semiHidden/>
    <w:qFormat/>
    <w:locked/>
    <w:uiPriority w:val="99"/>
    <w:rPr>
      <w:rFonts w:ascii="宋体" w:eastAsia="宋体" w:cs="Times New Roman"/>
      <w:w w:val="100"/>
      <w:sz w:val="18"/>
      <w:szCs w:val="18"/>
      <w:shd w:val="clear" w:color="auto" w:fill="auto"/>
    </w:rPr>
  </w:style>
  <w:style w:type="character" w:customStyle="1" w:styleId="44">
    <w:name w:val="Subtitle Char"/>
    <w:basedOn w:val="26"/>
    <w:link w:val="21"/>
    <w:locked/>
    <w:uiPriority w:val="99"/>
    <w:rPr>
      <w:rFonts w:ascii="Cambria" w:hAnsi="Cambria" w:cs="Times New Roman"/>
      <w:b/>
      <w:bCs/>
      <w:kern w:val="28"/>
      <w:sz w:val="32"/>
      <w:szCs w:val="32"/>
    </w:rPr>
  </w:style>
  <w:style w:type="character" w:customStyle="1" w:styleId="45">
    <w:name w:val="Title Char"/>
    <w:basedOn w:val="26"/>
    <w:link w:val="25"/>
    <w:qFormat/>
    <w:locked/>
    <w:uiPriority w:val="99"/>
    <w:rPr>
      <w:rFonts w:ascii="Cambria" w:hAnsi="Cambria" w:cs="Times New Roman"/>
      <w:b/>
      <w:bCs/>
      <w:kern w:val="0"/>
      <w:sz w:val="32"/>
      <w:szCs w:val="32"/>
    </w:rPr>
  </w:style>
  <w:style w:type="paragraph" w:customStyle="1" w:styleId="46">
    <w:name w:val="No Spacing"/>
    <w:qFormat/>
    <w:uiPriority w:val="99"/>
    <w:pPr>
      <w:jc w:val="both"/>
    </w:pPr>
    <w:rPr>
      <w:rFonts w:ascii="Times New Roman" w:hAnsi="Times New Roman" w:eastAsia="宋体" w:cs="Times New Roman"/>
      <w:kern w:val="0"/>
      <w:sz w:val="21"/>
      <w:szCs w:val="21"/>
      <w:lang w:val="en-US" w:eastAsia="zh-CN" w:bidi="ar-SA"/>
    </w:rPr>
  </w:style>
  <w:style w:type="character" w:customStyle="1" w:styleId="47">
    <w:name w:val="Subtle Emphasis1"/>
    <w:qFormat/>
    <w:uiPriority w:val="99"/>
    <w:rPr>
      <w:i/>
      <w:color w:val="404040"/>
      <w:w w:val="100"/>
      <w:sz w:val="21"/>
      <w:shd w:val="clear" w:color="auto" w:fill="auto"/>
    </w:rPr>
  </w:style>
  <w:style w:type="character" w:customStyle="1" w:styleId="48">
    <w:name w:val="Intense Emphasis1"/>
    <w:qFormat/>
    <w:uiPriority w:val="99"/>
    <w:rPr>
      <w:i/>
      <w:color w:val="5B9BD5"/>
      <w:w w:val="100"/>
      <w:sz w:val="21"/>
      <w:shd w:val="clear" w:color="auto" w:fill="auto"/>
    </w:rPr>
  </w:style>
  <w:style w:type="paragraph" w:customStyle="1" w:styleId="49">
    <w:name w:val="Quote"/>
    <w:basedOn w:val="1"/>
    <w:link w:val="50"/>
    <w:qFormat/>
    <w:uiPriority w:val="99"/>
    <w:pPr>
      <w:ind w:left="864" w:right="864"/>
      <w:jc w:val="center"/>
    </w:pPr>
    <w:rPr>
      <w:rFonts w:ascii="Times New Roman" w:hAnsi="Times New Roman"/>
      <w:i/>
      <w:color w:val="404040"/>
      <w:sz w:val="21"/>
      <w:szCs w:val="21"/>
    </w:rPr>
  </w:style>
  <w:style w:type="character" w:customStyle="1" w:styleId="50">
    <w:name w:val="Quote Char"/>
    <w:basedOn w:val="26"/>
    <w:link w:val="49"/>
    <w:qFormat/>
    <w:locked/>
    <w:uiPriority w:val="99"/>
    <w:rPr>
      <w:rFonts w:ascii="宋体" w:eastAsia="宋体" w:cs="Times New Roman"/>
      <w:i/>
      <w:iCs/>
      <w:color w:val="000000"/>
      <w:kern w:val="0"/>
      <w:sz w:val="32"/>
      <w:szCs w:val="32"/>
    </w:rPr>
  </w:style>
  <w:style w:type="paragraph" w:customStyle="1" w:styleId="51">
    <w:name w:val="Intense Quote"/>
    <w:basedOn w:val="1"/>
    <w:link w:val="52"/>
    <w:qFormat/>
    <w:uiPriority w:val="99"/>
    <w:pPr>
      <w:ind w:left="950" w:right="950"/>
      <w:jc w:val="center"/>
    </w:pPr>
    <w:rPr>
      <w:rFonts w:ascii="Times New Roman" w:hAnsi="Times New Roman"/>
      <w:i/>
      <w:color w:val="5B9BD5"/>
      <w:sz w:val="21"/>
      <w:szCs w:val="21"/>
    </w:rPr>
  </w:style>
  <w:style w:type="character" w:customStyle="1" w:styleId="52">
    <w:name w:val="Intense Quote Char"/>
    <w:basedOn w:val="26"/>
    <w:link w:val="51"/>
    <w:qFormat/>
    <w:locked/>
    <w:uiPriority w:val="99"/>
    <w:rPr>
      <w:rFonts w:ascii="宋体" w:eastAsia="宋体" w:cs="Times New Roman"/>
      <w:b/>
      <w:bCs/>
      <w:i/>
      <w:iCs/>
      <w:color w:val="4F81BD"/>
      <w:kern w:val="0"/>
      <w:sz w:val="32"/>
      <w:szCs w:val="32"/>
    </w:rPr>
  </w:style>
  <w:style w:type="character" w:customStyle="1" w:styleId="53">
    <w:name w:val="Subtle Reference1"/>
    <w:qFormat/>
    <w:uiPriority w:val="99"/>
    <w:rPr>
      <w:smallCaps/>
      <w:color w:val="5A5A5A"/>
      <w:w w:val="100"/>
      <w:sz w:val="21"/>
      <w:shd w:val="clear" w:color="auto" w:fill="auto"/>
    </w:rPr>
  </w:style>
  <w:style w:type="character" w:customStyle="1" w:styleId="54">
    <w:name w:val="Intense Reference1"/>
    <w:qFormat/>
    <w:uiPriority w:val="99"/>
    <w:rPr>
      <w:b/>
      <w:smallCaps/>
      <w:color w:val="5B9BD5"/>
      <w:w w:val="100"/>
      <w:sz w:val="21"/>
      <w:shd w:val="clear" w:color="auto" w:fill="auto"/>
    </w:rPr>
  </w:style>
  <w:style w:type="character" w:customStyle="1" w:styleId="55">
    <w:name w:val="Book Title1"/>
    <w:qFormat/>
    <w:uiPriority w:val="99"/>
    <w:rPr>
      <w:b/>
      <w:i/>
      <w:w w:val="100"/>
      <w:sz w:val="21"/>
      <w:shd w:val="clear" w:color="auto" w:fill="auto"/>
    </w:rPr>
  </w:style>
  <w:style w:type="paragraph" w:customStyle="1" w:styleId="56">
    <w:name w:val="List Paragraph"/>
    <w:basedOn w:val="1"/>
    <w:qFormat/>
    <w:uiPriority w:val="99"/>
    <w:pPr>
      <w:ind w:left="850"/>
    </w:pPr>
    <w:rPr>
      <w:rFonts w:ascii="Times New Roman" w:hAnsi="Times New Roman"/>
      <w:sz w:val="21"/>
      <w:szCs w:val="21"/>
    </w:rPr>
  </w:style>
  <w:style w:type="paragraph" w:customStyle="1" w:styleId="57">
    <w:name w:val="TOC Heading1"/>
    <w:qFormat/>
    <w:uiPriority w:val="99"/>
    <w:rPr>
      <w:rFonts w:ascii="Times New Roman" w:hAnsi="Times New Roman" w:eastAsia="宋体" w:cs="Times New Roman"/>
      <w:color w:val="2E74B5"/>
      <w:kern w:val="0"/>
      <w:sz w:val="32"/>
      <w:szCs w:val="32"/>
      <w:lang w:val="en-US" w:eastAsia="zh-CN" w:bidi="ar-SA"/>
    </w:rPr>
  </w:style>
  <w:style w:type="paragraph" w:customStyle="1" w:styleId="58">
    <w:name w:val="Char Char Char Char Char Char Char Char Char Char Char Char"/>
    <w:basedOn w:val="1"/>
    <w:qFormat/>
    <w:uiPriority w:val="99"/>
    <w:rPr>
      <w:sz w:val="20"/>
      <w:szCs w:val="20"/>
    </w:rPr>
  </w:style>
  <w:style w:type="paragraph" w:customStyle="1" w:styleId="59">
    <w:name w:val="Char Char1 Char Char Char Char Char Char Char Char"/>
    <w:basedOn w:val="1"/>
    <w:next w:val="1"/>
    <w:qFormat/>
    <w:uiPriority w:val="99"/>
    <w:pPr>
      <w:ind w:left="420" w:firstLine="420"/>
    </w:pPr>
    <w:rPr>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6</Pages>
  <Words>399</Words>
  <Characters>2276</Characters>
  <Lines>0</Lines>
  <Paragraphs>0</Paragraphs>
  <TotalTime>0</TotalTime>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2020-02-12T08:05:00Z</dcterms:created>
  <dc:creator>赵树子</dc:creator>
  <cp:lastModifiedBy>沈宸民</cp:lastModifiedBy>
  <dcterms:modified xsi:type="dcterms:W3CDTF">2020-02-20T10:07:26Z</dcterms:modified>
  <dc:title>四川省财政厅2011年部门预算编制说明</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