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6"/>
          <w:szCs w:val="36"/>
        </w:rPr>
      </w:pPr>
      <w:r>
        <w:rPr>
          <w:rFonts w:hint="eastAsia" w:ascii="黑体" w:hAnsi="黑体" w:eastAsia="黑体"/>
          <w:sz w:val="36"/>
          <w:szCs w:val="36"/>
        </w:rPr>
        <w:t>攀枝花市成都干部服务中心</w:t>
      </w:r>
    </w:p>
    <w:p>
      <w:pPr>
        <w:jc w:val="center"/>
        <w:rPr>
          <w:rFonts w:ascii="黑体" w:hAnsi="黑体" w:eastAsia="黑体"/>
          <w:sz w:val="36"/>
          <w:szCs w:val="36"/>
        </w:rPr>
      </w:pPr>
      <w:r>
        <w:rPr>
          <w:rFonts w:hint="eastAsia" w:ascii="黑体" w:hAnsi="黑体" w:eastAsia="黑体"/>
          <w:sz w:val="36"/>
          <w:szCs w:val="36"/>
        </w:rPr>
        <w:t>2020年预算编制说明</w:t>
      </w:r>
    </w:p>
    <w:p>
      <w:pPr>
        <w:jc w:val="left"/>
        <w:rPr>
          <w:rFonts w:ascii="仿宋" w:hAnsi="仿宋" w:eastAsia="仿宋"/>
          <w:sz w:val="32"/>
          <w:szCs w:val="32"/>
        </w:rPr>
      </w:pPr>
    </w:p>
    <w:p>
      <w:pPr>
        <w:spacing w:line="520" w:lineRule="exact"/>
        <w:jc w:val="left"/>
        <w:rPr>
          <w:rFonts w:ascii="黑体" w:hAnsi="黑体" w:eastAsia="黑体"/>
          <w:sz w:val="32"/>
          <w:szCs w:val="32"/>
        </w:rPr>
      </w:pPr>
      <w:r>
        <w:rPr>
          <w:rFonts w:hint="eastAsia" w:ascii="仿宋" w:hAnsi="仿宋" w:eastAsia="仿宋"/>
          <w:sz w:val="32"/>
          <w:szCs w:val="32"/>
        </w:rPr>
        <w:t xml:space="preserve">    </w:t>
      </w:r>
      <w:r>
        <w:rPr>
          <w:rFonts w:hint="eastAsia" w:ascii="黑体" w:hAnsi="黑体" w:eastAsia="黑体"/>
          <w:sz w:val="32"/>
          <w:szCs w:val="32"/>
        </w:rPr>
        <w:t>一、基本职能及主要工作</w:t>
      </w:r>
    </w:p>
    <w:p>
      <w:pPr>
        <w:spacing w:line="520" w:lineRule="exact"/>
        <w:ind w:firstLine="643" w:firstLineChars="200"/>
        <w:jc w:val="left"/>
        <w:rPr>
          <w:rFonts w:ascii="仿宋" w:hAnsi="仿宋" w:eastAsia="仿宋" w:cs="Times New Roman"/>
          <w:b/>
          <w:sz w:val="32"/>
          <w:szCs w:val="32"/>
        </w:rPr>
      </w:pPr>
      <w:r>
        <w:rPr>
          <w:rFonts w:hint="eastAsia" w:ascii="仿宋" w:hAnsi="仿宋" w:eastAsia="仿宋"/>
          <w:b/>
          <w:sz w:val="32"/>
          <w:szCs w:val="32"/>
        </w:rPr>
        <w:t>（一）</w:t>
      </w:r>
      <w:r>
        <w:rPr>
          <w:rFonts w:hint="eastAsia" w:ascii="仿宋" w:hAnsi="仿宋" w:eastAsia="仿宋" w:cs="Times New Roman"/>
          <w:b/>
          <w:sz w:val="32"/>
          <w:szCs w:val="32"/>
        </w:rPr>
        <w:t>主要职能</w:t>
      </w:r>
    </w:p>
    <w:p>
      <w:pPr>
        <w:spacing w:line="52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（1）负责承担在蓉攀籍离退休干部的接待服务及维稳工作。</w:t>
      </w:r>
    </w:p>
    <w:p>
      <w:pPr>
        <w:spacing w:line="52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（2）联络、协调攀枝花市调蓉的在职及离退休干部工作。</w:t>
      </w:r>
    </w:p>
    <w:p>
      <w:pPr>
        <w:spacing w:line="52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（3）负责在蓉向曾经在攀工作的干部宣传介绍攀枝花，使之进一步为攀枝花建设和发展服务。</w:t>
      </w:r>
    </w:p>
    <w:p>
      <w:pPr>
        <w:spacing w:line="52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（二）服务中心2020年重点工作</w:t>
      </w:r>
    </w:p>
    <w:p>
      <w:pPr>
        <w:spacing w:line="52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（4）根据小区住户特点,邀请医生开展疾病预防等讲座。</w:t>
      </w:r>
    </w:p>
    <w:p>
      <w:pPr>
        <w:spacing w:line="52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（5）充分利用服务中心会议室、干部活动室、文体设施设备，为小区住户开展有益身心健康的文体活动。</w:t>
      </w:r>
    </w:p>
    <w:p>
      <w:pPr>
        <w:spacing w:line="52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（6）协调西锦渡物业管理部门做好管理及小区房屋、公共设施的维护保养工作。</w:t>
      </w:r>
    </w:p>
    <w:p>
      <w:pPr>
        <w:jc w:val="left"/>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 xml:space="preserve"> 二、单位构成情况</w:t>
      </w:r>
    </w:p>
    <w:p>
      <w:pPr>
        <w:pStyle w:val="2"/>
        <w:adjustRightInd w:val="0"/>
        <w:spacing w:beforeLines="0" w:line="600" w:lineRule="exact"/>
        <w:ind w:firstLine="672" w:firstLineChars="210"/>
        <w:rPr>
          <w:rFonts w:ascii="仿宋" w:hAnsi="仿宋" w:eastAsia="仿宋"/>
          <w:sz w:val="32"/>
        </w:rPr>
      </w:pPr>
      <w:r>
        <w:rPr>
          <w:rFonts w:hint="eastAsia" w:ascii="仿宋" w:hAnsi="仿宋" w:eastAsia="仿宋"/>
          <w:sz w:val="32"/>
        </w:rPr>
        <w:t>攀枝花市成都干部服务中心下属非独立核算单位0个，其中行政单位0个，参照公务员法管理的事业单位0个，其他事业单位0个。主要包括：（单位的具体名称）。</w:t>
      </w:r>
    </w:p>
    <w:p>
      <w:pPr>
        <w:jc w:val="left"/>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三、收支预算情况说明</w:t>
      </w:r>
    </w:p>
    <w:p>
      <w:pPr>
        <w:jc w:val="left"/>
        <w:rPr>
          <w:rFonts w:ascii="仿宋" w:hAnsi="仿宋" w:eastAsia="仿宋"/>
          <w:sz w:val="32"/>
          <w:szCs w:val="32"/>
        </w:rPr>
      </w:pPr>
      <w:r>
        <w:rPr>
          <w:rFonts w:hint="eastAsia" w:ascii="仿宋" w:hAnsi="仿宋" w:eastAsia="仿宋"/>
          <w:sz w:val="32"/>
          <w:szCs w:val="32"/>
        </w:rPr>
        <w:t xml:space="preserve">    按照综合预算的原则，攀枝花市成都干部服务中心所有收入和支出均纳入部门预算管理。收入包括一般公共预算拨款收入，支出包括一般公共服务支出,社会保障和就业支出，住房保障支出。攀枝花市成都干部服务中心2020年收支总预算108.7814万元。</w:t>
      </w:r>
    </w:p>
    <w:p>
      <w:pPr>
        <w:jc w:val="left"/>
        <w:rPr>
          <w:rFonts w:ascii="仿宋" w:hAnsi="仿宋" w:eastAsia="仿宋"/>
          <w:sz w:val="32"/>
          <w:szCs w:val="32"/>
        </w:rPr>
      </w:pPr>
      <w:r>
        <w:rPr>
          <w:rFonts w:hint="eastAsia" w:ascii="仿宋" w:hAnsi="仿宋" w:eastAsia="仿宋"/>
          <w:sz w:val="32"/>
          <w:szCs w:val="32"/>
        </w:rPr>
        <w:t xml:space="preserve">    （一）收入预算情况</w:t>
      </w:r>
    </w:p>
    <w:p>
      <w:pPr>
        <w:spacing w:line="600" w:lineRule="exact"/>
        <w:rPr>
          <w:rFonts w:ascii="仿宋" w:hAnsi="仿宋" w:eastAsia="仿宋" w:cs="Times New Roman"/>
          <w:sz w:val="32"/>
          <w:szCs w:val="32"/>
        </w:rPr>
      </w:pPr>
      <w:r>
        <w:rPr>
          <w:rFonts w:hint="eastAsia" w:ascii="仿宋" w:hAnsi="仿宋" w:eastAsia="仿宋"/>
          <w:sz w:val="32"/>
          <w:szCs w:val="32"/>
        </w:rPr>
        <w:t xml:space="preserve">    攀枝花市成都干部服务中心2020年收入预算108.7814万元，其中：</w:t>
      </w:r>
      <w:r>
        <w:rPr>
          <w:rFonts w:hint="eastAsia" w:ascii="仿宋" w:hAnsi="仿宋" w:eastAsia="仿宋" w:cs="Times New Roman"/>
          <w:sz w:val="32"/>
          <w:szCs w:val="32"/>
        </w:rPr>
        <w:t>上年结转0万元，占0%；</w:t>
      </w:r>
      <w:r>
        <w:rPr>
          <w:rFonts w:hint="eastAsia" w:ascii="仿宋" w:hAnsi="仿宋" w:eastAsia="仿宋"/>
          <w:sz w:val="32"/>
          <w:szCs w:val="32"/>
        </w:rPr>
        <w:t>一般公共预算拨款收入108.7814万元，占100%；</w:t>
      </w:r>
      <w:r>
        <w:rPr>
          <w:rFonts w:hint="eastAsia" w:ascii="仿宋" w:hAnsi="仿宋" w:eastAsia="仿宋" w:cs="Times New Roman"/>
          <w:sz w:val="32"/>
          <w:szCs w:val="32"/>
        </w:rPr>
        <w:t>政府性基金预算拨款收入0万元，占0%；事业收入0万元，占0%</w:t>
      </w:r>
      <w:r>
        <w:rPr>
          <w:rFonts w:hint="eastAsia" w:ascii="仿宋" w:hAnsi="仿宋" w:eastAsia="仿宋" w:cs="Times New Roman"/>
          <w:sz w:val="32"/>
          <w:szCs w:val="32"/>
          <w:lang w:eastAsia="zh-CN"/>
        </w:rPr>
        <w:t>。</w:t>
      </w:r>
    </w:p>
    <w:p>
      <w:pPr>
        <w:jc w:val="left"/>
        <w:rPr>
          <w:rFonts w:ascii="仿宋" w:hAnsi="仿宋" w:eastAsia="仿宋"/>
          <w:sz w:val="32"/>
          <w:szCs w:val="32"/>
        </w:rPr>
      </w:pPr>
      <w:r>
        <w:rPr>
          <w:rFonts w:hint="eastAsia" w:ascii="仿宋" w:hAnsi="仿宋" w:eastAsia="仿宋"/>
          <w:sz w:val="32"/>
          <w:szCs w:val="32"/>
        </w:rPr>
        <w:t xml:space="preserve">    （二）支出预算情况</w:t>
      </w:r>
    </w:p>
    <w:p>
      <w:pPr>
        <w:spacing w:line="600" w:lineRule="exact"/>
        <w:ind w:firstLine="640" w:firstLineChars="200"/>
        <w:rPr>
          <w:rFonts w:ascii="仿宋" w:hAnsi="仿宋" w:eastAsia="仿宋" w:cs="Times New Roman"/>
          <w:sz w:val="32"/>
          <w:szCs w:val="32"/>
        </w:rPr>
      </w:pPr>
      <w:r>
        <w:rPr>
          <w:rFonts w:hint="eastAsia" w:ascii="仿宋" w:hAnsi="仿宋" w:eastAsia="仿宋"/>
          <w:sz w:val="32"/>
          <w:szCs w:val="32"/>
        </w:rPr>
        <w:t>攀枝花市成都干部服务中心2020年</w:t>
      </w:r>
      <w:r>
        <w:rPr>
          <w:rFonts w:hint="eastAsia" w:ascii="仿宋" w:hAnsi="仿宋" w:eastAsia="仿宋" w:cs="Times New Roman"/>
          <w:sz w:val="32"/>
          <w:szCs w:val="32"/>
        </w:rPr>
        <w:t>支出预算</w:t>
      </w:r>
      <w:r>
        <w:rPr>
          <w:rFonts w:hint="eastAsia" w:ascii="仿宋" w:hAnsi="仿宋" w:eastAsia="仿宋"/>
          <w:sz w:val="32"/>
          <w:szCs w:val="32"/>
        </w:rPr>
        <w:t>108.7814</w:t>
      </w:r>
      <w:r>
        <w:rPr>
          <w:rFonts w:hint="eastAsia" w:ascii="仿宋" w:hAnsi="仿宋" w:eastAsia="仿宋" w:cs="Times New Roman"/>
          <w:sz w:val="32"/>
          <w:szCs w:val="32"/>
        </w:rPr>
        <w:t>万元，其中：基本支出</w:t>
      </w:r>
      <w:r>
        <w:rPr>
          <w:rFonts w:hint="eastAsia" w:ascii="仿宋" w:hAnsi="仿宋" w:eastAsia="仿宋"/>
          <w:sz w:val="32"/>
          <w:szCs w:val="32"/>
        </w:rPr>
        <w:t>86.2814</w:t>
      </w:r>
      <w:r>
        <w:rPr>
          <w:rFonts w:hint="eastAsia" w:ascii="仿宋" w:hAnsi="仿宋" w:eastAsia="仿宋" w:cs="Times New Roman"/>
          <w:sz w:val="32"/>
          <w:szCs w:val="32"/>
        </w:rPr>
        <w:t>万元，占79.32%；项目支出</w:t>
      </w:r>
      <w:r>
        <w:rPr>
          <w:rFonts w:hint="eastAsia" w:ascii="仿宋" w:hAnsi="仿宋" w:eastAsia="仿宋"/>
          <w:sz w:val="32"/>
          <w:szCs w:val="32"/>
        </w:rPr>
        <w:t>22.5</w:t>
      </w:r>
      <w:r>
        <w:rPr>
          <w:rFonts w:hint="eastAsia" w:ascii="仿宋" w:hAnsi="仿宋" w:eastAsia="仿宋" w:cs="Times New Roman"/>
          <w:sz w:val="32"/>
          <w:szCs w:val="32"/>
        </w:rPr>
        <w:t>万元，占</w:t>
      </w:r>
      <w:r>
        <w:rPr>
          <w:rFonts w:hint="eastAsia" w:ascii="仿宋" w:hAnsi="仿宋" w:eastAsia="仿宋"/>
          <w:sz w:val="32"/>
          <w:szCs w:val="32"/>
        </w:rPr>
        <w:t>20.68</w:t>
      </w:r>
      <w:r>
        <w:rPr>
          <w:rFonts w:hint="eastAsia" w:ascii="仿宋" w:hAnsi="仿宋" w:eastAsia="仿宋" w:cs="Times New Roman"/>
          <w:sz w:val="32"/>
          <w:szCs w:val="32"/>
        </w:rPr>
        <w:t>%。</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四、财政拨款收支预算情况说明</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攀枝花市成都干部服务中心2020年财政拨款收支总预算108.7814万元。收入包括：本年一般公共预算拨款收入108.7814万元、</w:t>
      </w:r>
      <w:r>
        <w:rPr>
          <w:rFonts w:hint="eastAsia" w:ascii="仿宋" w:hAnsi="仿宋" w:eastAsia="仿宋" w:cs="Times New Roman"/>
          <w:sz w:val="32"/>
          <w:szCs w:val="32"/>
        </w:rPr>
        <w:t>本年政府性基金预算拨款收入0万元（根据公开表2实际收入情况进行说明）</w:t>
      </w:r>
      <w:r>
        <w:rPr>
          <w:rFonts w:hint="eastAsia" w:ascii="仿宋" w:hAnsi="仿宋" w:eastAsia="仿宋"/>
          <w:sz w:val="32"/>
          <w:szCs w:val="32"/>
        </w:rPr>
        <w:t>；支出包括：一般公共服务支出89.6431万元，社会保障和就业支出12.9248万元，住房保障支出6.2135万元</w:t>
      </w:r>
      <w:r>
        <w:rPr>
          <w:rFonts w:hint="eastAsia" w:ascii="仿宋" w:hAnsi="仿宋" w:eastAsia="仿宋" w:cs="Times New Roman"/>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五、一般公共预算当年拨款情况说明</w:t>
      </w:r>
    </w:p>
    <w:p>
      <w:pPr>
        <w:spacing w:line="60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（一）一般公共预算当年拨款规模变化情况</w:t>
      </w:r>
    </w:p>
    <w:p>
      <w:pPr>
        <w:spacing w:line="600" w:lineRule="exact"/>
        <w:ind w:firstLine="640" w:firstLineChars="200"/>
        <w:rPr>
          <w:rFonts w:ascii="仿宋" w:hAnsi="仿宋" w:eastAsia="仿宋" w:cs="Times New Roman"/>
          <w:sz w:val="32"/>
          <w:szCs w:val="32"/>
        </w:rPr>
      </w:pPr>
      <w:r>
        <w:rPr>
          <w:rFonts w:hint="eastAsia" w:ascii="仿宋" w:hAnsi="仿宋" w:eastAsia="仿宋"/>
          <w:sz w:val="32"/>
          <w:szCs w:val="32"/>
        </w:rPr>
        <w:t>攀枝花市成都干部服务中心</w:t>
      </w:r>
      <w:r>
        <w:rPr>
          <w:rFonts w:hint="eastAsia" w:ascii="仿宋" w:hAnsi="仿宋" w:eastAsia="仿宋" w:cs="Times New Roman"/>
          <w:sz w:val="32"/>
          <w:szCs w:val="32"/>
        </w:rPr>
        <w:t>2020年一般公共预算当年拨款</w:t>
      </w:r>
      <w:r>
        <w:rPr>
          <w:rFonts w:hint="eastAsia" w:ascii="仿宋" w:hAnsi="仿宋" w:eastAsia="仿宋"/>
          <w:sz w:val="32"/>
          <w:szCs w:val="32"/>
        </w:rPr>
        <w:t>108.7814</w:t>
      </w:r>
      <w:r>
        <w:rPr>
          <w:rFonts w:hint="eastAsia" w:ascii="仿宋" w:hAnsi="仿宋" w:eastAsia="仿宋" w:cs="Times New Roman"/>
          <w:sz w:val="32"/>
          <w:szCs w:val="32"/>
        </w:rPr>
        <w:t>万元，比2019年预算数</w:t>
      </w:r>
      <w:r>
        <w:rPr>
          <w:rFonts w:hint="eastAsia" w:ascii="仿宋" w:hAnsi="仿宋" w:eastAsia="仿宋" w:cs="Times New Roman"/>
          <w:sz w:val="32"/>
          <w:szCs w:val="32"/>
          <w:u w:val="single"/>
        </w:rPr>
        <w:t>减少2.0127</w:t>
      </w:r>
      <w:r>
        <w:rPr>
          <w:rFonts w:hint="eastAsia" w:ascii="仿宋" w:hAnsi="仿宋" w:eastAsia="仿宋" w:cs="Times New Roman"/>
          <w:sz w:val="32"/>
          <w:szCs w:val="32"/>
        </w:rPr>
        <w:t>万元，主要是业务运行费减少。</w:t>
      </w:r>
    </w:p>
    <w:p>
      <w:pPr>
        <w:spacing w:line="60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（二）一般公共预算当年拨款结构情况</w:t>
      </w:r>
    </w:p>
    <w:p>
      <w:pPr>
        <w:spacing w:line="600" w:lineRule="exact"/>
        <w:ind w:firstLine="640" w:firstLineChars="200"/>
        <w:rPr>
          <w:rFonts w:ascii="仿宋" w:hAnsi="仿宋" w:eastAsia="仿宋" w:cs="Times New Roman"/>
          <w:sz w:val="32"/>
          <w:szCs w:val="32"/>
        </w:rPr>
      </w:pPr>
      <w:r>
        <w:rPr>
          <w:rFonts w:hint="eastAsia" w:ascii="仿宋" w:hAnsi="仿宋" w:eastAsia="仿宋"/>
          <w:sz w:val="32"/>
          <w:szCs w:val="32"/>
        </w:rPr>
        <w:t>攀枝花市成都干部服务中心2020</w:t>
      </w:r>
      <w:r>
        <w:rPr>
          <w:rFonts w:hint="eastAsia" w:ascii="仿宋" w:hAnsi="仿宋" w:eastAsia="仿宋" w:cs="Times New Roman"/>
          <w:sz w:val="32"/>
          <w:szCs w:val="32"/>
        </w:rPr>
        <w:t>一般公共服务支出</w:t>
      </w:r>
      <w:r>
        <w:rPr>
          <w:rFonts w:hint="eastAsia" w:ascii="仿宋" w:hAnsi="仿宋" w:eastAsia="仿宋"/>
          <w:sz w:val="32"/>
          <w:szCs w:val="32"/>
        </w:rPr>
        <w:t>89.6431万元，占82.41%。社会保障和就业支出12.9248万元，占11.88%。住房保障支出6.2135万元，占5.71%。</w:t>
      </w:r>
      <w:r>
        <w:rPr>
          <w:rFonts w:hint="eastAsia" w:ascii="仿宋" w:hAnsi="仿宋" w:eastAsia="仿宋" w:cs="Times New Roman"/>
          <w:sz w:val="32"/>
          <w:szCs w:val="32"/>
        </w:rPr>
        <w:t>。</w:t>
      </w:r>
    </w:p>
    <w:p>
      <w:pPr>
        <w:spacing w:line="60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（三）一般公共预算当年拨款具体使用情况</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hint="eastAsia" w:ascii="仿宋" w:hAnsi="仿宋" w:eastAsia="仿宋"/>
          <w:sz w:val="32"/>
          <w:szCs w:val="32"/>
        </w:rPr>
        <w:t>一般公共服务（类）政府办公厅（室）及相关事务（款）事业</w:t>
      </w:r>
      <w:r>
        <w:rPr>
          <w:rFonts w:hint="eastAsia" w:ascii="仿宋" w:hAnsi="仿宋" w:eastAsia="仿宋" w:cs="Times New Roman"/>
          <w:sz w:val="32"/>
          <w:szCs w:val="32"/>
        </w:rPr>
        <w:t>运行（项）2020年预算数为67.1431万元，主要用于：工资、绩效和公用经费支出。</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2.一般公共服务（类）政府办公厅（室）及相关事务（款）一般行政管理事务（项目）2020年预算数为22.50万元，主要用于：租车费、专项活动费、物业费、固定资产维护保养等。</w:t>
      </w:r>
    </w:p>
    <w:p>
      <w:pPr>
        <w:spacing w:line="600" w:lineRule="exact"/>
        <w:ind w:firstLine="640"/>
        <w:rPr>
          <w:rFonts w:ascii="仿宋" w:hAnsi="仿宋" w:eastAsia="仿宋" w:cs="Times New Roman"/>
          <w:sz w:val="32"/>
          <w:szCs w:val="32"/>
        </w:rPr>
      </w:pPr>
      <w:r>
        <w:rPr>
          <w:rFonts w:hint="eastAsia" w:ascii="仿宋" w:hAnsi="仿宋" w:eastAsia="仿宋" w:cs="Times New Roman"/>
          <w:sz w:val="32"/>
          <w:szCs w:val="32"/>
        </w:rPr>
        <w:t>3、社会保障和就业支出--行政事业单位离退休--未归口管理的行政单位离退休2020年预算数为6.4401万元，主要用于本单位退休人员社保统筹外工资、奖金及退休人员公用福利支出。</w:t>
      </w:r>
    </w:p>
    <w:p>
      <w:pPr>
        <w:spacing w:line="600" w:lineRule="exact"/>
        <w:ind w:firstLine="640"/>
        <w:rPr>
          <w:rFonts w:ascii="仿宋" w:hAnsi="仿宋" w:eastAsia="仿宋" w:cs="Times New Roman"/>
          <w:sz w:val="32"/>
          <w:szCs w:val="32"/>
        </w:rPr>
      </w:pPr>
      <w:r>
        <w:rPr>
          <w:rFonts w:hint="eastAsia" w:ascii="仿宋" w:hAnsi="仿宋" w:eastAsia="仿宋" w:cs="Times New Roman"/>
          <w:sz w:val="32"/>
          <w:szCs w:val="32"/>
        </w:rPr>
        <w:t>4、社会保障和就业支出--行政事业单位离退休--养老保险缴费2020年预算数为6.4847元。</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4、住房保障支出--住房改革支出--住房公积金2020年预算数为6.2135万元，主要用于按照规定标准为在岗人员缴纳的住房公积金支出。（根据公开表3具体支出功能分类的类、款、项级科目进行说明）</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六、一般公共预算基本支出情况说明</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攀枝花市成都干部服务中心2020年一般公共预算基本支出86.2814万元，其中：</w:t>
      </w:r>
    </w:p>
    <w:p>
      <w:pPr>
        <w:spacing w:line="600" w:lineRule="exact"/>
        <w:ind w:firstLine="640" w:firstLineChars="200"/>
        <w:rPr>
          <w:rFonts w:ascii="仿宋" w:hAnsi="仿宋" w:eastAsia="仿宋" w:cs="Times New Roman"/>
          <w:sz w:val="32"/>
          <w:szCs w:val="32"/>
          <w:u w:val="single"/>
        </w:rPr>
      </w:pPr>
      <w:r>
        <w:rPr>
          <w:rFonts w:hint="eastAsia" w:ascii="仿宋" w:hAnsi="仿宋" w:eastAsia="仿宋" w:cs="Times New Roman"/>
          <w:sz w:val="32"/>
          <w:szCs w:val="32"/>
        </w:rPr>
        <w:t>人员经费77.7972万元，主要包括：基本工资、津贴补贴、社会保险缴费、绩效工资、机关事业单位养老保险缴费、退休费、医疗费、住房公积金。</w:t>
      </w:r>
    </w:p>
    <w:p>
      <w:pPr>
        <w:spacing w:line="600" w:lineRule="exact"/>
        <w:ind w:firstLine="640" w:firstLineChars="200"/>
        <w:rPr>
          <w:rFonts w:ascii="仿宋" w:hAnsi="仿宋" w:eastAsia="仿宋" w:cs="Times New Roman"/>
          <w:sz w:val="32"/>
          <w:szCs w:val="32"/>
          <w:u w:val="single"/>
        </w:rPr>
      </w:pPr>
      <w:r>
        <w:rPr>
          <w:rFonts w:hint="eastAsia" w:ascii="仿宋" w:hAnsi="仿宋" w:eastAsia="仿宋" w:cs="Times New Roman"/>
          <w:sz w:val="32"/>
          <w:szCs w:val="32"/>
        </w:rPr>
        <w:t>公用经费8.4842万元，主要包括：办公费、水费、电费、邮电费、差旅费、公务接待费、 工会经费、福利费。</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七、“三公”经费财政拨款预算安排情况说明</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攀枝花市成都干部服务中心</w:t>
      </w:r>
      <w:r>
        <w:rPr>
          <w:rFonts w:ascii="仿宋" w:hAnsi="仿宋" w:eastAsia="仿宋" w:cs="Times New Roman"/>
          <w:sz w:val="32"/>
          <w:szCs w:val="32"/>
        </w:rPr>
        <w:t>20</w:t>
      </w:r>
      <w:r>
        <w:rPr>
          <w:rFonts w:hint="eastAsia" w:ascii="仿宋" w:hAnsi="仿宋" w:eastAsia="仿宋" w:cs="Times New Roman"/>
          <w:sz w:val="32"/>
          <w:szCs w:val="32"/>
        </w:rPr>
        <w:t>20年“三公”经费财政拨款预算数0.1615万元，其中：因公出国（境）经费0万元，公务接待费0.1615万元，公务用车购置及运行维护费0万元。</w:t>
      </w:r>
    </w:p>
    <w:p>
      <w:pPr>
        <w:spacing w:line="600" w:lineRule="exact"/>
        <w:ind w:firstLine="640"/>
        <w:rPr>
          <w:rFonts w:ascii="仿宋" w:hAnsi="仿宋" w:eastAsia="仿宋" w:cs="Times New Roman"/>
          <w:sz w:val="32"/>
          <w:szCs w:val="32"/>
        </w:rPr>
      </w:pPr>
      <w:r>
        <w:rPr>
          <w:rFonts w:hint="eastAsia" w:ascii="仿宋" w:hAnsi="仿宋" w:eastAsia="仿宋" w:cs="Times New Roman"/>
          <w:sz w:val="32"/>
          <w:szCs w:val="32"/>
        </w:rPr>
        <w:t>公务接待费较2019年预算下降5</w:t>
      </w:r>
      <w:r>
        <w:rPr>
          <w:rFonts w:ascii="仿宋" w:hAnsi="仿宋" w:eastAsia="仿宋" w:cs="Times New Roman"/>
          <w:sz w:val="32"/>
          <w:szCs w:val="32"/>
        </w:rPr>
        <w:t>%</w:t>
      </w:r>
      <w:r>
        <w:rPr>
          <w:rFonts w:hint="eastAsia" w:ascii="仿宋" w:hAnsi="仿宋" w:eastAsia="仿宋" w:cs="Times New Roman"/>
          <w:sz w:val="32"/>
          <w:szCs w:val="32"/>
        </w:rPr>
        <w:t>。主要原因是减少开支，节约成本。</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八、政府性基金预算支出情况说明</w:t>
      </w:r>
    </w:p>
    <w:p>
      <w:pPr>
        <w:spacing w:line="60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服务中心2020年政府性基金预算支出0万元，其中：基本支出0万元，项目支出0万元。</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九、其他重要事项的情况说明</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（一）业务运行经费</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攀枝花市成都干部服务中心的业务运行经费财政拨款预算为22.5万元，比2019年预算减少4.50万元，下降17%。（二）国有资产占有使用情况</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截至2020年底，服务中心共有车辆0辆，其中，执法执勤用车0辆（。单位价值200万元以上大型设备0台（套）。</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（三）绩效目标设置情况</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2020年部门通用项目和专用项目均按要求实行绩效目标管理，涉及一般公共预算当年拨款22.5万元。</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十、名词解释</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（请各部门单位参照省级部门2019年部门预算公开信息，对本部门单位2020年部门预算公开信息中出现的专业性较强的名词进行解释。）例如：</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1.一般公共预算拨款收入：指市级财政当年拨付的资金。</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2.医疗卫生与计划生育（类）行政事业单位医疗（款）行政单位医疗（项）：指市机关及参公管理事业单位用于缴纳单位基本医疗保险支出。（单位涉及的所有支出功能分类科目都要要解释）</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3.基本支出：指为保证机构正常运转，完成日常工作任务而发生的人员支出和公用支出。</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4.项目支出：指在基本支出之外为完成特定行政任务和事业发展目标所发生的支出。</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6.业务运行费：为保障行政单位（包含参照公务员法管理的事业单位）运行用于购买货物和服务的各项资金。包括办公及办公费、水费、电费、印刷费、邮电费、差旅费、会议费等费用开支。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等。</w:t>
      </w:r>
    </w:p>
    <w:p>
      <w:pPr>
        <w:spacing w:line="600" w:lineRule="exact"/>
        <w:rPr>
          <w:rFonts w:ascii="仿宋" w:hAnsi="仿宋" w:eastAsia="仿宋" w:cs="Times New Roman"/>
          <w:sz w:val="32"/>
          <w:szCs w:val="32"/>
        </w:rPr>
      </w:pPr>
    </w:p>
    <w:p>
      <w:pPr>
        <w:spacing w:line="600" w:lineRule="exact"/>
        <w:rPr>
          <w:rFonts w:ascii="仿宋" w:hAnsi="仿宋" w:eastAsia="仿宋" w:cs="Times New Roman"/>
          <w:sz w:val="32"/>
          <w:szCs w:val="32"/>
        </w:rPr>
      </w:pPr>
      <w:r>
        <w:rPr>
          <w:rFonts w:hint="eastAsia" w:ascii="仿宋" w:hAnsi="仿宋" w:eastAsia="仿宋" w:cs="Times New Roman"/>
          <w:sz w:val="32"/>
          <w:szCs w:val="32"/>
        </w:rPr>
        <w:t>附件：表1.部门收支总表</w:t>
      </w:r>
    </w:p>
    <w:p>
      <w:pPr>
        <w:spacing w:line="600" w:lineRule="exact"/>
        <w:rPr>
          <w:rFonts w:ascii="仿宋" w:hAnsi="仿宋" w:eastAsia="仿宋" w:cs="Times New Roman"/>
          <w:sz w:val="32"/>
          <w:szCs w:val="32"/>
        </w:rPr>
      </w:pPr>
      <w:r>
        <w:rPr>
          <w:rFonts w:hint="eastAsia" w:ascii="仿宋" w:hAnsi="仿宋" w:eastAsia="仿宋" w:cs="Times New Roman"/>
          <w:sz w:val="32"/>
          <w:szCs w:val="32"/>
        </w:rPr>
        <w:t xml:space="preserve">      表1-1.部门收入总表</w:t>
      </w:r>
    </w:p>
    <w:p>
      <w:pPr>
        <w:spacing w:line="600" w:lineRule="exact"/>
        <w:rPr>
          <w:rFonts w:ascii="仿宋" w:hAnsi="仿宋" w:eastAsia="仿宋" w:cs="Times New Roman"/>
          <w:sz w:val="32"/>
          <w:szCs w:val="32"/>
        </w:rPr>
      </w:pPr>
      <w:r>
        <w:rPr>
          <w:rFonts w:hint="eastAsia" w:ascii="仿宋" w:hAnsi="仿宋" w:eastAsia="仿宋" w:cs="Times New Roman"/>
          <w:sz w:val="32"/>
          <w:szCs w:val="32"/>
        </w:rPr>
        <w:t xml:space="preserve">      表1-2.部门支出总表</w:t>
      </w:r>
    </w:p>
    <w:p>
      <w:pPr>
        <w:spacing w:line="600" w:lineRule="exact"/>
        <w:ind w:firstLine="960" w:firstLineChars="300"/>
        <w:rPr>
          <w:rFonts w:ascii="仿宋" w:hAnsi="仿宋" w:eastAsia="仿宋" w:cs="Times New Roman"/>
          <w:sz w:val="32"/>
          <w:szCs w:val="32"/>
        </w:rPr>
      </w:pPr>
      <w:r>
        <w:rPr>
          <w:rFonts w:hint="eastAsia" w:ascii="仿宋" w:hAnsi="仿宋" w:eastAsia="仿宋" w:cs="Times New Roman"/>
          <w:sz w:val="32"/>
          <w:szCs w:val="32"/>
        </w:rPr>
        <w:t>表2.财政拨款收支预算总表</w:t>
      </w:r>
    </w:p>
    <w:p>
      <w:pPr>
        <w:spacing w:line="600" w:lineRule="exact"/>
        <w:ind w:firstLine="960" w:firstLineChars="300"/>
        <w:rPr>
          <w:rFonts w:ascii="仿宋" w:hAnsi="仿宋" w:eastAsia="仿宋" w:cs="Times New Roman"/>
          <w:sz w:val="32"/>
          <w:szCs w:val="32"/>
        </w:rPr>
      </w:pPr>
      <w:r>
        <w:rPr>
          <w:rFonts w:hint="eastAsia" w:ascii="仿宋" w:hAnsi="仿宋" w:eastAsia="仿宋" w:cs="Times New Roman"/>
          <w:sz w:val="32"/>
          <w:szCs w:val="32"/>
        </w:rPr>
        <w:t>表2-1.财政拨款支出预算表</w:t>
      </w:r>
    </w:p>
    <w:p>
      <w:pPr>
        <w:spacing w:line="600" w:lineRule="exact"/>
        <w:ind w:firstLine="960" w:firstLineChars="300"/>
        <w:rPr>
          <w:rFonts w:ascii="仿宋" w:hAnsi="仿宋" w:eastAsia="仿宋" w:cs="Times New Roman"/>
          <w:sz w:val="32"/>
          <w:szCs w:val="32"/>
        </w:rPr>
      </w:pPr>
      <w:r>
        <w:rPr>
          <w:rFonts w:hint="eastAsia" w:ascii="仿宋" w:hAnsi="仿宋" w:eastAsia="仿宋" w:cs="Times New Roman"/>
          <w:sz w:val="32"/>
          <w:szCs w:val="32"/>
        </w:rPr>
        <w:t>表3.一般公共预算支出预算表</w:t>
      </w:r>
    </w:p>
    <w:p>
      <w:pPr>
        <w:spacing w:line="600" w:lineRule="exact"/>
        <w:ind w:firstLine="960" w:firstLineChars="300"/>
        <w:rPr>
          <w:rFonts w:ascii="仿宋" w:hAnsi="仿宋" w:eastAsia="仿宋" w:cs="Times New Roman"/>
          <w:sz w:val="32"/>
          <w:szCs w:val="32"/>
        </w:rPr>
      </w:pPr>
      <w:r>
        <w:rPr>
          <w:rFonts w:hint="eastAsia" w:ascii="仿宋" w:hAnsi="仿宋" w:eastAsia="仿宋" w:cs="Times New Roman"/>
          <w:sz w:val="32"/>
          <w:szCs w:val="32"/>
        </w:rPr>
        <w:t>表3-1.一般公共预算基本支出预算表</w:t>
      </w:r>
    </w:p>
    <w:p>
      <w:pPr>
        <w:spacing w:line="600" w:lineRule="exact"/>
        <w:ind w:firstLine="960" w:firstLineChars="300"/>
        <w:rPr>
          <w:rFonts w:ascii="仿宋" w:hAnsi="仿宋" w:eastAsia="仿宋" w:cs="Times New Roman"/>
          <w:sz w:val="32"/>
          <w:szCs w:val="32"/>
        </w:rPr>
      </w:pPr>
      <w:r>
        <w:rPr>
          <w:rFonts w:hint="eastAsia" w:ascii="仿宋" w:hAnsi="仿宋" w:eastAsia="仿宋" w:cs="Times New Roman"/>
          <w:sz w:val="32"/>
          <w:szCs w:val="32"/>
        </w:rPr>
        <w:t>表3-2.一般公共预算项目支出预算表</w:t>
      </w:r>
    </w:p>
    <w:p>
      <w:pPr>
        <w:spacing w:line="600" w:lineRule="exact"/>
        <w:ind w:firstLine="960" w:firstLineChars="300"/>
        <w:rPr>
          <w:rFonts w:ascii="仿宋" w:hAnsi="仿宋" w:eastAsia="仿宋" w:cs="Times New Roman"/>
          <w:sz w:val="32"/>
          <w:szCs w:val="32"/>
        </w:rPr>
      </w:pPr>
      <w:r>
        <w:rPr>
          <w:rFonts w:hint="eastAsia" w:ascii="仿宋" w:hAnsi="仿宋" w:eastAsia="仿宋" w:cs="Times New Roman"/>
          <w:sz w:val="32"/>
          <w:szCs w:val="32"/>
        </w:rPr>
        <w:t>表3-3.一般公共预算“三公”经费支出预算表</w:t>
      </w:r>
    </w:p>
    <w:p>
      <w:pPr>
        <w:spacing w:line="600" w:lineRule="exact"/>
        <w:ind w:firstLine="960" w:firstLineChars="300"/>
        <w:rPr>
          <w:rFonts w:ascii="仿宋" w:hAnsi="仿宋" w:eastAsia="仿宋" w:cs="Times New Roman"/>
          <w:sz w:val="32"/>
          <w:szCs w:val="32"/>
        </w:rPr>
      </w:pPr>
      <w:r>
        <w:rPr>
          <w:rFonts w:hint="eastAsia" w:ascii="仿宋" w:hAnsi="仿宋" w:eastAsia="仿宋" w:cs="Times New Roman"/>
          <w:sz w:val="32"/>
          <w:szCs w:val="32"/>
        </w:rPr>
        <w:t>表4.政府性基金支出预算表</w:t>
      </w:r>
    </w:p>
    <w:p>
      <w:pPr>
        <w:spacing w:line="600" w:lineRule="exact"/>
        <w:ind w:firstLine="960" w:firstLineChars="300"/>
        <w:rPr>
          <w:rFonts w:ascii="仿宋" w:hAnsi="仿宋" w:eastAsia="仿宋" w:cs="Times New Roman"/>
          <w:sz w:val="32"/>
          <w:szCs w:val="32"/>
        </w:rPr>
      </w:pPr>
      <w:r>
        <w:rPr>
          <w:rFonts w:hint="eastAsia" w:ascii="仿宋" w:hAnsi="仿宋" w:eastAsia="仿宋" w:cs="Times New Roman"/>
          <w:sz w:val="32"/>
          <w:szCs w:val="32"/>
        </w:rPr>
        <w:t>表4-1.政府性基金预算“三公”经费支出预算表</w:t>
      </w:r>
    </w:p>
    <w:p>
      <w:pPr>
        <w:spacing w:line="600" w:lineRule="exact"/>
        <w:ind w:firstLine="960" w:firstLineChars="300"/>
        <w:rPr>
          <w:rFonts w:hint="eastAsia" w:ascii="仿宋" w:hAnsi="仿宋" w:eastAsia="仿宋" w:cs="Times New Roman"/>
          <w:sz w:val="32"/>
          <w:szCs w:val="32"/>
        </w:rPr>
      </w:pPr>
      <w:r>
        <w:rPr>
          <w:rFonts w:hint="eastAsia" w:ascii="仿宋" w:hAnsi="仿宋" w:eastAsia="仿宋" w:cs="Times New Roman"/>
          <w:sz w:val="32"/>
          <w:szCs w:val="32"/>
        </w:rPr>
        <w:t>表5.国有资本经营预算支出预算表</w:t>
      </w:r>
    </w:p>
    <w:p>
      <w:pPr>
        <w:spacing w:line="600" w:lineRule="exact"/>
        <w:ind w:firstLine="960" w:firstLineChars="300"/>
        <w:rPr>
          <w:rFonts w:hint="eastAsia" w:ascii="仿宋" w:hAnsi="仿宋" w:eastAsia="仿宋" w:cs="Times New Roman"/>
          <w:sz w:val="32"/>
          <w:szCs w:val="32"/>
        </w:rPr>
      </w:pPr>
      <w:r>
        <w:rPr>
          <w:rFonts w:hint="eastAsia" w:ascii="仿宋" w:hAnsi="仿宋" w:eastAsia="仿宋" w:cs="Times New Roman"/>
          <w:sz w:val="32"/>
          <w:szCs w:val="32"/>
          <w:lang w:eastAsia="zh-CN"/>
        </w:rPr>
        <w:t>表</w:t>
      </w:r>
      <w:r>
        <w:rPr>
          <w:rFonts w:hint="eastAsia" w:ascii="仿宋" w:hAnsi="仿宋" w:eastAsia="仿宋" w:cs="Times New Roman"/>
          <w:sz w:val="32"/>
          <w:szCs w:val="32"/>
          <w:lang w:val="en-US" w:eastAsia="zh-CN"/>
        </w:rPr>
        <w:t>6.（部门）单位预算项目绩效目标表</w:t>
      </w:r>
    </w:p>
    <w:p>
      <w:pPr>
        <w:jc w:val="left"/>
        <w:rPr>
          <w:rFonts w:ascii="仿宋" w:hAnsi="仿宋" w:eastAsia="仿宋"/>
          <w:sz w:val="32"/>
          <w:szCs w:val="32"/>
        </w:rPr>
      </w:pPr>
      <w:r>
        <w:rPr>
          <w:rFonts w:hint="eastAsia" w:ascii="仿宋" w:hAnsi="仿宋" w:eastAsia="仿宋"/>
          <w:sz w:val="32"/>
          <w:szCs w:val="32"/>
        </w:rPr>
        <w:t>　　　　　　　</w:t>
      </w:r>
      <w:bookmarkStart w:id="0" w:name="_GoBack"/>
      <w:bookmarkEnd w:id="0"/>
      <w:r>
        <w:rPr>
          <w:rFonts w:hint="eastAsia" w:ascii="仿宋" w:hAnsi="仿宋" w:eastAsia="仿宋"/>
          <w:sz w:val="32"/>
          <w:szCs w:val="32"/>
        </w:rPr>
        <w:t>　　　　　　　　2020年2月11日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_GB2312">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jc w:val="center"/>
    </w:pPr>
    <w:sdt>
      <w:sdtPr>
        <w:id w:val="3695294"/>
      </w:sdtPr>
      <w:sdtContent>
        <w:r>
          <w:fldChar w:fldCharType="begin"/>
        </w:r>
        <w:r>
          <w:instrText xml:space="preserve"> PAGE   \* MERGEFORMAT </w:instrText>
        </w:r>
        <w:r>
          <w:fldChar w:fldCharType="separate"/>
        </w:r>
        <w:r>
          <w:rPr>
            <w:lang w:val="zh-CN"/>
          </w:rPr>
          <w:t>4</w:t>
        </w:r>
        <w:r>
          <w:rPr>
            <w:lang w:val="zh-CN"/>
          </w:rPr>
          <w:fldChar w:fldCharType="end"/>
        </w:r>
      </w:sdtContent>
    </w:sdt>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B6904"/>
    <w:rsid w:val="000A3C72"/>
    <w:rsid w:val="000B4326"/>
    <w:rsid w:val="000E2893"/>
    <w:rsid w:val="001165A6"/>
    <w:rsid w:val="0018497C"/>
    <w:rsid w:val="00192C56"/>
    <w:rsid w:val="00236AFE"/>
    <w:rsid w:val="00240935"/>
    <w:rsid w:val="00241A60"/>
    <w:rsid w:val="0027549A"/>
    <w:rsid w:val="00281A0F"/>
    <w:rsid w:val="002A336F"/>
    <w:rsid w:val="002B6B00"/>
    <w:rsid w:val="002B7ADD"/>
    <w:rsid w:val="002C05AF"/>
    <w:rsid w:val="002E562F"/>
    <w:rsid w:val="002F03B3"/>
    <w:rsid w:val="003141D3"/>
    <w:rsid w:val="00314613"/>
    <w:rsid w:val="00361A0D"/>
    <w:rsid w:val="003B7BA0"/>
    <w:rsid w:val="003E3168"/>
    <w:rsid w:val="003F446E"/>
    <w:rsid w:val="00402EC7"/>
    <w:rsid w:val="004722B1"/>
    <w:rsid w:val="004B38E0"/>
    <w:rsid w:val="004E2CCA"/>
    <w:rsid w:val="004F028C"/>
    <w:rsid w:val="00502A3E"/>
    <w:rsid w:val="00525B5D"/>
    <w:rsid w:val="005321F5"/>
    <w:rsid w:val="0054549E"/>
    <w:rsid w:val="00563B54"/>
    <w:rsid w:val="005656F7"/>
    <w:rsid w:val="005A586A"/>
    <w:rsid w:val="005D0C44"/>
    <w:rsid w:val="00672AB3"/>
    <w:rsid w:val="00676972"/>
    <w:rsid w:val="006A6845"/>
    <w:rsid w:val="0075707F"/>
    <w:rsid w:val="007B06E2"/>
    <w:rsid w:val="0080044D"/>
    <w:rsid w:val="00810BFC"/>
    <w:rsid w:val="00863140"/>
    <w:rsid w:val="008D0937"/>
    <w:rsid w:val="008F1013"/>
    <w:rsid w:val="0093789F"/>
    <w:rsid w:val="00965ABF"/>
    <w:rsid w:val="0099108E"/>
    <w:rsid w:val="009B6904"/>
    <w:rsid w:val="00A33C4A"/>
    <w:rsid w:val="00A513FB"/>
    <w:rsid w:val="00A51999"/>
    <w:rsid w:val="00A576A8"/>
    <w:rsid w:val="00AE504D"/>
    <w:rsid w:val="00AE659E"/>
    <w:rsid w:val="00AF472F"/>
    <w:rsid w:val="00B15891"/>
    <w:rsid w:val="00B179F9"/>
    <w:rsid w:val="00B82F65"/>
    <w:rsid w:val="00BA2910"/>
    <w:rsid w:val="00BA6D2D"/>
    <w:rsid w:val="00BC6FA6"/>
    <w:rsid w:val="00BE5350"/>
    <w:rsid w:val="00BE66D1"/>
    <w:rsid w:val="00C40B12"/>
    <w:rsid w:val="00C63E51"/>
    <w:rsid w:val="00C70253"/>
    <w:rsid w:val="00CE6430"/>
    <w:rsid w:val="00D01475"/>
    <w:rsid w:val="00D255EA"/>
    <w:rsid w:val="00D6251F"/>
    <w:rsid w:val="00D76F37"/>
    <w:rsid w:val="00DC1170"/>
    <w:rsid w:val="00DD1BEF"/>
    <w:rsid w:val="00DF5124"/>
    <w:rsid w:val="00E45A46"/>
    <w:rsid w:val="00EB4EF2"/>
    <w:rsid w:val="00F10B75"/>
    <w:rsid w:val="00F34356"/>
    <w:rsid w:val="00F53AD7"/>
    <w:rsid w:val="00FA22F9"/>
    <w:rsid w:val="1DB86BB5"/>
    <w:rsid w:val="312B7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10"/>
    <w:uiPriority w:val="0"/>
    <w:pPr>
      <w:spacing w:beforeLines="30"/>
    </w:pPr>
    <w:rPr>
      <w:rFonts w:ascii="仿宋_GB2312" w:hAnsi="Times New Roman" w:eastAsia="仿宋_GB2312" w:cs="Times New Roman"/>
      <w:sz w:val="30"/>
      <w:szCs w:val="32"/>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7">
    <w:name w:val="Char"/>
    <w:basedOn w:val="1"/>
    <w:uiPriority w:val="0"/>
    <w:pPr>
      <w:ind w:firstLine="643" w:firstLineChars="200"/>
    </w:pPr>
    <w:rPr>
      <w:rFonts w:ascii="仿宋_GB2312" w:hAnsi="Times New Roman" w:eastAsia="仿宋_GB2312" w:cs="新宋体"/>
      <w:b/>
      <w:color w:val="000000"/>
      <w:kern w:val="0"/>
      <w:sz w:val="32"/>
      <w:szCs w:val="32"/>
      <w:lang w:val="zh-CN"/>
    </w:rPr>
  </w:style>
  <w:style w:type="character" w:customStyle="1" w:styleId="8">
    <w:name w:val="页眉 Char"/>
    <w:basedOn w:val="5"/>
    <w:link w:val="4"/>
    <w:semiHidden/>
    <w:uiPriority w:val="99"/>
    <w:rPr>
      <w:sz w:val="18"/>
      <w:szCs w:val="18"/>
    </w:rPr>
  </w:style>
  <w:style w:type="character" w:customStyle="1" w:styleId="9">
    <w:name w:val="页脚 Char"/>
    <w:basedOn w:val="5"/>
    <w:link w:val="3"/>
    <w:uiPriority w:val="99"/>
    <w:rPr>
      <w:sz w:val="18"/>
      <w:szCs w:val="18"/>
    </w:rPr>
  </w:style>
  <w:style w:type="character" w:customStyle="1" w:styleId="10">
    <w:name w:val="正文文本 Char"/>
    <w:basedOn w:val="5"/>
    <w:link w:val="2"/>
    <w:uiPriority w:val="0"/>
    <w:rPr>
      <w:rFonts w:ascii="仿宋_GB2312" w:hAnsi="Times New Roman" w:eastAsia="仿宋_GB2312" w:cs="Times New Roman"/>
      <w:sz w:val="30"/>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566</Words>
  <Characters>3227</Characters>
  <Lines>26</Lines>
  <Paragraphs>7</Paragraphs>
  <TotalTime>0</TotalTime>
  <ScaleCrop>false</ScaleCrop>
  <LinksUpToDate>false</LinksUpToDate>
  <CharactersWithSpaces>3786</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2019-01-28T07:17:00Z</dcterms:created>
  <dc:creator>Users</dc:creator>
  <cp:lastModifiedBy>沈宸民</cp:lastModifiedBy>
  <dcterms:modified xsi:type="dcterms:W3CDTF">2020-02-20T08:39:30Z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