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193"/>
      <w:bookmarkStart w:id="2" w:name="_Toc15378441"/>
      <w:bookmarkStart w:id="3" w:name="_Toc15396597"/>
      <w:bookmarkStart w:id="4" w:name="_Toc15396475"/>
      <w:bookmarkStart w:id="5" w:name="_Toc15377425"/>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96598"/>
      <w:bookmarkStart w:id="7" w:name="_Toc15396476"/>
      <w:bookmarkStart w:id="8" w:name="_Toc15378442"/>
      <w:bookmarkStart w:id="9" w:name="_Toc15377426"/>
      <w:bookmarkStart w:id="10" w:name="_Toc15377194"/>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lang w:eastAsia="zh-CN"/>
        </w:rPr>
        <w:t>攀枝花市中西医结合医院</w:t>
      </w: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pPr>
      <w:r>
        <w:rPr>
          <w:rFonts w:hint="eastAsia"/>
        </w:rPr>
        <w:t>公开时间：2020年9月 21 日</w:t>
      </w:r>
    </w:p>
    <w:p/>
    <w:p>
      <w:pPr>
        <w:pStyle w:val="11"/>
        <w:adjustRightInd w:val="0"/>
        <w:snapToGrid w:val="0"/>
        <w:spacing w:before="0" w:line="440" w:lineRule="exact"/>
        <w:jc w:val="left"/>
        <w:rPr>
          <w:rFonts w:hint="eastAsia"/>
          <w:sz w:val="24"/>
          <w:lang w:val="en-US" w:eastAsia="zh-CN"/>
        </w:rPr>
      </w:pPr>
      <w:r>
        <w:rPr>
          <w:rFonts w:hint="eastAsia"/>
          <w:sz w:val="24"/>
        </w:rPr>
        <w:t xml:space="preserve">第一部分 </w:t>
      </w:r>
      <w:r>
        <w:rPr>
          <w:rFonts w:hint="eastAsia"/>
          <w:sz w:val="24"/>
        </w:rPr>
        <w:t>部门概况</w:t>
      </w:r>
      <w:r>
        <w:rPr>
          <w:rFonts w:hint="eastAsia"/>
          <w:sz w:val="24"/>
          <w:lang w:val="en-US" w:eastAsia="zh-CN"/>
        </w:rPr>
        <w:t xml:space="preserve"> .........................................................................................4                                    </w:t>
      </w:r>
    </w:p>
    <w:p>
      <w:pPr>
        <w:pStyle w:val="11"/>
        <w:adjustRightInd w:val="0"/>
        <w:snapToGrid w:val="0"/>
        <w:spacing w:before="0" w:line="440" w:lineRule="exact"/>
        <w:jc w:val="left"/>
        <w:rPr>
          <w:rFonts w:hint="eastAsia"/>
          <w:sz w:val="24"/>
          <w:lang w:val="en-US" w:eastAsia="zh-CN"/>
        </w:rPr>
      </w:pPr>
      <w:r>
        <w:rPr>
          <w:rFonts w:hint="eastAsia"/>
          <w:sz w:val="24"/>
        </w:rPr>
        <w:t>一、基本职能及主要工作</w:t>
      </w:r>
      <w:r>
        <w:rPr>
          <w:rFonts w:hint="eastAsia"/>
          <w:sz w:val="24"/>
          <w:lang w:val="en-US" w:eastAsia="zh-CN"/>
        </w:rPr>
        <w:t>..................................................................................4</w:t>
      </w:r>
    </w:p>
    <w:p>
      <w:pPr>
        <w:pStyle w:val="11"/>
        <w:adjustRightInd w:val="0"/>
        <w:snapToGrid w:val="0"/>
        <w:spacing w:before="0" w:line="440" w:lineRule="exact"/>
        <w:jc w:val="left"/>
        <w:rPr>
          <w:rFonts w:hint="eastAsia"/>
          <w:sz w:val="24"/>
          <w:lang w:val="en-US" w:eastAsia="zh-CN"/>
        </w:rPr>
      </w:pPr>
      <w:r>
        <w:rPr>
          <w:rFonts w:hint="eastAsia"/>
          <w:sz w:val="24"/>
        </w:rPr>
        <w:t>二、机构设置</w:t>
      </w:r>
      <w:r>
        <w:rPr>
          <w:rFonts w:hint="eastAsia"/>
          <w:sz w:val="24"/>
          <w:lang w:val="en-US" w:eastAsia="zh-CN"/>
        </w:rPr>
        <w:t>....................................................................................................9</w:t>
      </w:r>
    </w:p>
    <w:p>
      <w:pPr>
        <w:pStyle w:val="11"/>
        <w:adjustRightInd w:val="0"/>
        <w:snapToGrid w:val="0"/>
        <w:spacing w:before="0" w:line="440" w:lineRule="exact"/>
        <w:jc w:val="left"/>
        <w:rPr>
          <w:rFonts w:hint="eastAsia"/>
          <w:sz w:val="24"/>
          <w:lang w:val="en-US" w:eastAsia="zh-CN"/>
        </w:rPr>
      </w:pPr>
      <w:r>
        <w:rPr>
          <w:rFonts w:hint="eastAsia"/>
          <w:sz w:val="24"/>
        </w:rPr>
        <w:t>第二部分度部门决算情况说明</w:t>
      </w:r>
      <w:r>
        <w:rPr>
          <w:rFonts w:hint="eastAsia"/>
          <w:sz w:val="24"/>
          <w:lang w:val="en-US" w:eastAsia="zh-CN"/>
        </w:rPr>
        <w:t>.........................................................................10</w:t>
      </w:r>
    </w:p>
    <w:p>
      <w:pPr>
        <w:pStyle w:val="11"/>
        <w:adjustRightInd w:val="0"/>
        <w:snapToGrid w:val="0"/>
        <w:spacing w:before="0" w:line="440" w:lineRule="exact"/>
        <w:jc w:val="left"/>
        <w:rPr>
          <w:rFonts w:hint="eastAsia"/>
          <w:sz w:val="24"/>
          <w:lang w:val="en-US" w:eastAsia="zh-CN"/>
        </w:rPr>
      </w:pPr>
      <w:r>
        <w:rPr>
          <w:rFonts w:hint="eastAsia"/>
          <w:sz w:val="24"/>
        </w:rPr>
        <w:t>一、收入支出决算总体情况说明</w:t>
      </w:r>
      <w:r>
        <w:rPr>
          <w:rFonts w:hint="eastAsia"/>
          <w:sz w:val="24"/>
          <w:lang w:val="en-US" w:eastAsia="zh-CN"/>
        </w:rPr>
        <w:t>.....................................................................10</w:t>
      </w:r>
    </w:p>
    <w:p>
      <w:pPr>
        <w:pStyle w:val="11"/>
        <w:adjustRightInd w:val="0"/>
        <w:snapToGrid w:val="0"/>
        <w:spacing w:before="0" w:line="440" w:lineRule="exact"/>
        <w:jc w:val="left"/>
        <w:rPr>
          <w:rFonts w:hint="eastAsia"/>
          <w:sz w:val="24"/>
          <w:lang w:val="en-US" w:eastAsia="zh-CN"/>
        </w:rPr>
      </w:pPr>
      <w:r>
        <w:rPr>
          <w:rFonts w:hint="eastAsia"/>
          <w:sz w:val="24"/>
        </w:rPr>
        <w:t>二、收入决算情况说明</w:t>
      </w:r>
      <w:r>
        <w:rPr>
          <w:rFonts w:hint="eastAsia"/>
          <w:sz w:val="24"/>
          <w:lang w:val="en-US" w:eastAsia="zh-CN"/>
        </w:rPr>
        <w:t>....................................................................................10</w:t>
      </w:r>
    </w:p>
    <w:p>
      <w:pPr>
        <w:pStyle w:val="11"/>
        <w:adjustRightInd w:val="0"/>
        <w:snapToGrid w:val="0"/>
        <w:spacing w:before="0" w:line="440" w:lineRule="exact"/>
        <w:jc w:val="left"/>
        <w:rPr>
          <w:rFonts w:hint="eastAsia"/>
          <w:sz w:val="24"/>
          <w:lang w:val="en-US" w:eastAsia="zh-CN"/>
        </w:rPr>
      </w:pPr>
      <w:r>
        <w:rPr>
          <w:rFonts w:hint="eastAsia"/>
          <w:sz w:val="24"/>
        </w:rPr>
        <w:t>三、支出决算情况说明</w:t>
      </w:r>
      <w:r>
        <w:rPr>
          <w:rFonts w:hint="eastAsia"/>
          <w:sz w:val="24"/>
          <w:lang w:val="en-US" w:eastAsia="zh-CN"/>
        </w:rPr>
        <w:t xml:space="preserve"> ..................................................................................11</w:t>
      </w:r>
    </w:p>
    <w:p>
      <w:pPr>
        <w:pStyle w:val="11"/>
        <w:adjustRightInd w:val="0"/>
        <w:snapToGrid w:val="0"/>
        <w:spacing w:before="0" w:line="440" w:lineRule="exact"/>
        <w:jc w:val="left"/>
        <w:rPr>
          <w:rFonts w:hint="eastAsia"/>
          <w:sz w:val="24"/>
          <w:lang w:val="en-US" w:eastAsia="zh-CN"/>
        </w:rPr>
      </w:pPr>
      <w:r>
        <w:rPr>
          <w:rFonts w:hint="eastAsia"/>
          <w:sz w:val="24"/>
        </w:rPr>
        <w:t>四、财政拨款收入支出决算总体情况说明</w:t>
      </w:r>
      <w:r>
        <w:rPr>
          <w:rFonts w:hint="eastAsia"/>
          <w:sz w:val="24"/>
          <w:lang w:val="en-US" w:eastAsia="zh-CN"/>
        </w:rPr>
        <w:t>.......................................................12</w:t>
      </w:r>
    </w:p>
    <w:p>
      <w:pPr>
        <w:pStyle w:val="11"/>
        <w:adjustRightInd w:val="0"/>
        <w:snapToGrid w:val="0"/>
        <w:spacing w:before="0" w:line="440" w:lineRule="exact"/>
        <w:jc w:val="left"/>
        <w:rPr>
          <w:rFonts w:hint="eastAsia"/>
          <w:sz w:val="24"/>
          <w:lang w:val="en-US" w:eastAsia="zh-CN"/>
        </w:rPr>
      </w:pPr>
      <w:r>
        <w:rPr>
          <w:rFonts w:hint="eastAsia"/>
          <w:sz w:val="24"/>
        </w:rPr>
        <w:t>五、一般公共预算财政拨款支出决算情况说明</w:t>
      </w:r>
      <w:r>
        <w:rPr>
          <w:rFonts w:hint="eastAsia"/>
          <w:sz w:val="24"/>
          <w:lang w:val="en-US" w:eastAsia="zh-CN"/>
        </w:rPr>
        <w:t xml:space="preserve"> ..............................................13</w:t>
      </w:r>
    </w:p>
    <w:p>
      <w:pPr>
        <w:pStyle w:val="11"/>
        <w:adjustRightInd w:val="0"/>
        <w:snapToGrid w:val="0"/>
        <w:spacing w:before="0" w:line="440" w:lineRule="exact"/>
        <w:jc w:val="left"/>
        <w:rPr>
          <w:rFonts w:hint="eastAsia"/>
          <w:sz w:val="24"/>
          <w:lang w:val="en-US" w:eastAsia="zh-CN"/>
        </w:rPr>
      </w:pPr>
      <w:r>
        <w:rPr>
          <w:rFonts w:hint="eastAsia"/>
          <w:sz w:val="24"/>
        </w:rPr>
        <w:t>六、一般公共预算财政拨款基本支出决算情况说明</w:t>
      </w:r>
      <w:r>
        <w:rPr>
          <w:rFonts w:hint="eastAsia"/>
          <w:sz w:val="24"/>
          <w:lang w:val="en-US" w:eastAsia="zh-CN"/>
        </w:rPr>
        <w:t xml:space="preserve"> .......................................17</w:t>
      </w:r>
    </w:p>
    <w:p>
      <w:pPr>
        <w:pStyle w:val="11"/>
        <w:adjustRightInd w:val="0"/>
        <w:snapToGrid w:val="0"/>
        <w:spacing w:before="0" w:line="440" w:lineRule="exact"/>
        <w:jc w:val="left"/>
        <w:rPr>
          <w:rFonts w:hint="eastAsia"/>
          <w:sz w:val="24"/>
          <w:lang w:val="en-US" w:eastAsia="zh-CN"/>
        </w:rPr>
      </w:pPr>
      <w:r>
        <w:rPr>
          <w:rFonts w:hint="eastAsia"/>
          <w:sz w:val="24"/>
        </w:rPr>
        <w:t>七、“</w:t>
      </w:r>
      <w:r>
        <w:rPr>
          <w:rFonts w:hint="eastAsia"/>
          <w:sz w:val="24"/>
        </w:rPr>
        <w:t>三公”经费财政拨款支出决算情况说明</w:t>
      </w:r>
      <w:r>
        <w:rPr>
          <w:rFonts w:hint="eastAsia"/>
          <w:sz w:val="24"/>
          <w:lang w:val="en-US" w:eastAsia="zh-CN"/>
        </w:rPr>
        <w:t>.......................................................17</w:t>
      </w:r>
    </w:p>
    <w:p>
      <w:pPr>
        <w:pStyle w:val="11"/>
        <w:adjustRightInd w:val="0"/>
        <w:snapToGrid w:val="0"/>
        <w:spacing w:before="0" w:line="440" w:lineRule="exact"/>
        <w:jc w:val="left"/>
        <w:rPr>
          <w:rFonts w:hint="eastAsia"/>
          <w:sz w:val="24"/>
          <w:lang w:val="en-US" w:eastAsia="zh-CN"/>
        </w:rPr>
      </w:pPr>
      <w:r>
        <w:rPr>
          <w:rFonts w:hint="eastAsia"/>
          <w:sz w:val="24"/>
        </w:rPr>
        <w:t>八、政府性基金预算支出决算情况说明</w:t>
      </w:r>
      <w:r>
        <w:rPr>
          <w:rFonts w:hint="eastAsia"/>
          <w:sz w:val="24"/>
          <w:lang w:val="en-US" w:eastAsia="zh-CN"/>
        </w:rPr>
        <w:t>...........................................................19</w:t>
      </w:r>
    </w:p>
    <w:p>
      <w:pPr>
        <w:pStyle w:val="11"/>
        <w:adjustRightInd w:val="0"/>
        <w:snapToGrid w:val="0"/>
        <w:spacing w:before="0" w:line="440" w:lineRule="exact"/>
        <w:jc w:val="left"/>
        <w:rPr>
          <w:rFonts w:hint="eastAsia"/>
          <w:sz w:val="24"/>
          <w:lang w:val="en-US" w:eastAsia="zh-CN"/>
        </w:rPr>
      </w:pPr>
      <w:r>
        <w:rPr>
          <w:rFonts w:hint="eastAsia"/>
          <w:sz w:val="24"/>
        </w:rPr>
        <w:t>九、 国</w:t>
      </w:r>
      <w:r>
        <w:rPr>
          <w:rFonts w:hint="eastAsia"/>
          <w:sz w:val="24"/>
        </w:rPr>
        <w:t>有资本经营预算支出决算情况说明</w:t>
      </w:r>
      <w:r>
        <w:rPr>
          <w:rFonts w:hint="eastAsia"/>
          <w:sz w:val="24"/>
          <w:lang w:val="en-US" w:eastAsia="zh-CN"/>
        </w:rPr>
        <w:t xml:space="preserve"> ................................................... 20</w:t>
      </w:r>
    </w:p>
    <w:p>
      <w:pPr>
        <w:pStyle w:val="11"/>
        <w:adjustRightInd w:val="0"/>
        <w:snapToGrid w:val="0"/>
        <w:spacing w:before="0" w:line="440" w:lineRule="exact"/>
        <w:jc w:val="left"/>
        <w:rPr>
          <w:rFonts w:hint="eastAsia"/>
          <w:sz w:val="24"/>
          <w:lang w:val="en-US" w:eastAsia="zh-CN"/>
        </w:rPr>
      </w:pPr>
      <w:r>
        <w:rPr>
          <w:rFonts w:hint="eastAsia"/>
          <w:sz w:val="24"/>
        </w:rPr>
        <w:t>十、</w:t>
      </w:r>
      <w:r>
        <w:rPr>
          <w:rFonts w:hint="eastAsia"/>
          <w:sz w:val="24"/>
        </w:rPr>
        <w:t>其他重要事项的情况说明</w:t>
      </w:r>
      <w:r>
        <w:rPr>
          <w:rFonts w:hint="eastAsia"/>
          <w:sz w:val="24"/>
          <w:lang w:val="en-US" w:eastAsia="zh-CN"/>
        </w:rPr>
        <w:t>.........................................................................20</w:t>
      </w:r>
    </w:p>
    <w:p>
      <w:pPr>
        <w:pStyle w:val="11"/>
        <w:adjustRightInd w:val="0"/>
        <w:snapToGrid w:val="0"/>
        <w:spacing w:before="0" w:line="440" w:lineRule="exact"/>
        <w:jc w:val="left"/>
        <w:rPr>
          <w:rFonts w:hint="eastAsia"/>
          <w:sz w:val="24"/>
          <w:lang w:val="en-US" w:eastAsia="zh-CN"/>
        </w:rPr>
      </w:pPr>
      <w:r>
        <w:rPr>
          <w:rFonts w:hint="eastAsia"/>
          <w:sz w:val="24"/>
        </w:rPr>
        <w:t xml:space="preserve">第三部分 </w:t>
      </w:r>
      <w:r>
        <w:rPr>
          <w:rFonts w:hint="eastAsia"/>
          <w:sz w:val="24"/>
        </w:rPr>
        <w:t>名词解释</w:t>
      </w:r>
      <w:r>
        <w:rPr>
          <w:rFonts w:hint="eastAsia"/>
          <w:sz w:val="24"/>
          <w:lang w:val="en-US" w:eastAsia="zh-CN"/>
        </w:rPr>
        <w:t xml:space="preserve"> .......................................................................................32</w:t>
      </w:r>
    </w:p>
    <w:p>
      <w:pPr>
        <w:pStyle w:val="11"/>
        <w:adjustRightInd w:val="0"/>
        <w:snapToGrid w:val="0"/>
        <w:spacing w:before="0" w:line="440" w:lineRule="exact"/>
        <w:jc w:val="left"/>
        <w:rPr>
          <w:rFonts w:hint="eastAsia"/>
          <w:sz w:val="24"/>
          <w:lang w:val="en-US" w:eastAsia="zh-CN"/>
        </w:rPr>
      </w:pPr>
      <w:r>
        <w:rPr>
          <w:rFonts w:hint="eastAsia"/>
          <w:sz w:val="24"/>
        </w:rPr>
        <w:t xml:space="preserve">第四部分 </w:t>
      </w:r>
      <w:r>
        <w:rPr>
          <w:rFonts w:hint="eastAsia"/>
          <w:sz w:val="24"/>
        </w:rPr>
        <w:t>附件</w:t>
      </w:r>
      <w:r>
        <w:rPr>
          <w:rFonts w:hint="eastAsia"/>
          <w:sz w:val="24"/>
          <w:lang w:val="en-US" w:eastAsia="zh-CN"/>
        </w:rPr>
        <w:t>................................................................................................35</w:t>
      </w:r>
    </w:p>
    <w:p>
      <w:pPr>
        <w:pStyle w:val="11"/>
        <w:adjustRightInd w:val="0"/>
        <w:snapToGrid w:val="0"/>
        <w:spacing w:before="0" w:line="440" w:lineRule="exact"/>
        <w:jc w:val="left"/>
        <w:rPr>
          <w:rFonts w:hint="eastAsia"/>
          <w:sz w:val="24"/>
          <w:lang w:val="en-US" w:eastAsia="zh-CN"/>
        </w:rPr>
      </w:pPr>
      <w:r>
        <w:rPr>
          <w:rFonts w:hint="eastAsia"/>
          <w:sz w:val="24"/>
        </w:rPr>
        <w:t>附件1</w:t>
      </w:r>
      <w:r>
        <w:rPr>
          <w:rFonts w:hint="eastAsia"/>
          <w:sz w:val="24"/>
          <w:lang w:val="en-US" w:eastAsia="zh-CN"/>
        </w:rPr>
        <w:t>.............................................................................................................35</w:t>
      </w:r>
    </w:p>
    <w:p>
      <w:pPr>
        <w:pStyle w:val="11"/>
        <w:adjustRightInd w:val="0"/>
        <w:snapToGrid w:val="0"/>
        <w:spacing w:before="0" w:line="440" w:lineRule="exact"/>
        <w:jc w:val="left"/>
        <w:rPr>
          <w:rFonts w:hint="eastAsia"/>
          <w:sz w:val="24"/>
          <w:lang w:val="en-US" w:eastAsia="zh-CN"/>
        </w:rPr>
      </w:pPr>
      <w:r>
        <w:rPr>
          <w:rFonts w:hint="eastAsia"/>
          <w:sz w:val="24"/>
        </w:rPr>
        <w:t>附件2</w:t>
      </w:r>
      <w:r>
        <w:rPr>
          <w:rFonts w:hint="eastAsia"/>
          <w:sz w:val="24"/>
          <w:lang w:val="en-US" w:eastAsia="zh-CN"/>
        </w:rPr>
        <w:t xml:space="preserve"> ............................................................................................................38</w:t>
      </w:r>
    </w:p>
    <w:p>
      <w:pPr>
        <w:pStyle w:val="11"/>
        <w:adjustRightInd w:val="0"/>
        <w:snapToGrid w:val="0"/>
        <w:spacing w:before="0" w:line="440" w:lineRule="exact"/>
        <w:jc w:val="left"/>
        <w:rPr>
          <w:rFonts w:hint="eastAsia"/>
          <w:sz w:val="24"/>
          <w:lang w:val="en-US" w:eastAsia="zh-CN"/>
        </w:rPr>
      </w:pPr>
      <w:r>
        <w:rPr>
          <w:rFonts w:hint="eastAsia"/>
          <w:sz w:val="24"/>
        </w:rPr>
        <w:t xml:space="preserve">第五部分 </w:t>
      </w:r>
      <w:r>
        <w:rPr>
          <w:rFonts w:hint="eastAsia"/>
          <w:sz w:val="24"/>
        </w:rPr>
        <w:t>附表</w:t>
      </w:r>
      <w:r>
        <w:rPr>
          <w:rFonts w:hint="eastAsia"/>
          <w:sz w:val="24"/>
          <w:lang w:val="en-US" w:eastAsia="zh-CN"/>
        </w:rPr>
        <w:t xml:space="preserve"> ..............................................................................................41</w:t>
      </w:r>
      <w:bookmarkStart w:id="70" w:name="_GoBack"/>
      <w:bookmarkEnd w:id="70"/>
      <w:r>
        <w:rPr>
          <w:rFonts w:hint="eastAsia"/>
          <w:sz w:val="24"/>
        </w:rPr>
        <w:t>一、</w:t>
      </w:r>
      <w:r>
        <w:rPr>
          <w:rFonts w:hint="eastAsia"/>
          <w:sz w:val="24"/>
        </w:rPr>
        <w:t>收入支出决算总表</w:t>
      </w:r>
      <w:r>
        <w:rPr>
          <w:rFonts w:hint="eastAsia"/>
          <w:sz w:val="24"/>
          <w:lang w:val="en-US" w:eastAsia="zh-CN"/>
        </w:rPr>
        <w:t xml:space="preserve"> </w:t>
      </w:r>
    </w:p>
    <w:p>
      <w:pPr>
        <w:pStyle w:val="11"/>
        <w:adjustRightInd w:val="0"/>
        <w:snapToGrid w:val="0"/>
        <w:spacing w:before="0" w:line="440" w:lineRule="exact"/>
        <w:jc w:val="left"/>
        <w:rPr>
          <w:rFonts w:hint="eastAsia"/>
          <w:sz w:val="24"/>
          <w:lang w:val="en-US"/>
        </w:rPr>
      </w:pPr>
      <w:r>
        <w:rPr>
          <w:rFonts w:hint="eastAsia"/>
          <w:sz w:val="24"/>
        </w:rPr>
        <w:t>二、</w:t>
      </w:r>
      <w:r>
        <w:rPr>
          <w:rFonts w:hint="eastAsia"/>
          <w:sz w:val="24"/>
        </w:rPr>
        <w:t>收入决算</w:t>
      </w:r>
      <w:r>
        <w:rPr>
          <w:rFonts w:hint="eastAsia"/>
          <w:sz w:val="24"/>
        </w:rPr>
        <w:t>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三、</w:t>
      </w:r>
      <w:r>
        <w:rPr>
          <w:rFonts w:hint="eastAsia"/>
          <w:sz w:val="24"/>
        </w:rPr>
        <w:t>支出决算</w:t>
      </w:r>
      <w:r>
        <w:rPr>
          <w:rFonts w:hint="eastAsia"/>
          <w:sz w:val="24"/>
        </w:rPr>
        <w:t>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四、</w:t>
      </w:r>
      <w:r>
        <w:rPr>
          <w:rFonts w:hint="eastAsia"/>
          <w:sz w:val="24"/>
        </w:rPr>
        <w:t>财政拨款收入支出决算总表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五、财政拨款支出决算明细表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六、</w:t>
      </w:r>
      <w:r>
        <w:rPr>
          <w:rFonts w:hint="eastAsia"/>
          <w:sz w:val="24"/>
        </w:rPr>
        <w:t>一般公共预算财政拨款支出决算表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七、</w:t>
      </w:r>
      <w:r>
        <w:rPr>
          <w:rFonts w:hint="eastAsia"/>
          <w:sz w:val="24"/>
        </w:rPr>
        <w:t>一般公共预算财政拨款支出决算明细表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八、</w:t>
      </w:r>
      <w:r>
        <w:rPr>
          <w:rFonts w:hint="eastAsia"/>
          <w:sz w:val="24"/>
        </w:rPr>
        <w:t>一般公共预算财政拨款基本支出决算表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九、</w:t>
      </w:r>
      <w:r>
        <w:rPr>
          <w:rFonts w:hint="eastAsia"/>
          <w:sz w:val="24"/>
        </w:rPr>
        <w:t>一般公共预算财政拨款项目支出决算表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lang w:val="en-US" w:eastAsia="zh-CN"/>
        </w:rPr>
      </w:pPr>
      <w:r>
        <w:rPr>
          <w:rFonts w:hint="eastAsia"/>
          <w:sz w:val="24"/>
        </w:rPr>
        <w:t>十、</w:t>
      </w:r>
      <w:r>
        <w:rPr>
          <w:rFonts w:hint="eastAsia"/>
          <w:sz w:val="24"/>
        </w:rPr>
        <w:t>一般公共预算财政拨款“三公”经费支出决算表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十一、</w:t>
      </w:r>
      <w:r>
        <w:rPr>
          <w:rFonts w:hint="eastAsia"/>
          <w:sz w:val="24"/>
        </w:rPr>
        <w:t>政府性基金预算财政拨款收入支出决算表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十二、</w:t>
      </w:r>
      <w:r>
        <w:rPr>
          <w:rFonts w:hint="eastAsia"/>
          <w:sz w:val="24"/>
        </w:rPr>
        <w:t>政府性基金预算财政拨款“三公”经费支出决算表</w:t>
      </w:r>
      <w:r>
        <w:rPr>
          <w:rFonts w:hint="eastAsia"/>
          <w:sz w:val="24"/>
          <w:lang w:val="en-US" w:eastAsia="zh-CN"/>
        </w:rPr>
        <w:t xml:space="preserve"> </w:t>
      </w:r>
    </w:p>
    <w:p>
      <w:pPr>
        <w:pStyle w:val="11"/>
        <w:adjustRightInd w:val="0"/>
        <w:snapToGrid w:val="0"/>
        <w:spacing w:before="0" w:line="440" w:lineRule="exact"/>
        <w:jc w:val="left"/>
        <w:rPr>
          <w:rFonts w:hint="eastAsia"/>
          <w:sz w:val="24"/>
        </w:rPr>
      </w:pPr>
      <w:r>
        <w:rPr>
          <w:rFonts w:hint="eastAsia"/>
          <w:sz w:val="24"/>
        </w:rPr>
        <w:t>十三、</w:t>
      </w:r>
      <w:r>
        <w:rPr>
          <w:rFonts w:hint="eastAsia"/>
          <w:sz w:val="24"/>
        </w:rPr>
        <w:t>国有资本经营预算支出决算表</w:t>
      </w:r>
      <w:r>
        <w:rPr>
          <w:rFonts w:hint="eastAsia"/>
          <w:sz w:val="24"/>
          <w:lang w:val="en-US" w:eastAsia="zh-CN"/>
        </w:rPr>
        <w:t xml:space="preserve"> </w:t>
      </w:r>
    </w:p>
    <w:p>
      <w:pPr>
        <w:widowControl/>
        <w:adjustRightInd w:val="0"/>
        <w:snapToGrid w:val="0"/>
        <w:spacing w:line="440" w:lineRule="exact"/>
        <w:ind w:firstLine="1320" w:firstLineChars="550"/>
        <w:jc w:val="left"/>
        <w:rPr>
          <w:rFonts w:ascii="仿宋" w:hAnsi="仿宋" w:eastAsia="仿宋"/>
          <w:color w:val="FF0000"/>
          <w:sz w:val="24"/>
        </w:rPr>
      </w:pPr>
      <w:r>
        <w:rPr>
          <w:rFonts w:ascii="仿宋" w:hAnsi="仿宋" w:eastAsia="仿宋"/>
          <w:color w:val="FF0000"/>
          <w:sz w:val="24"/>
        </w:rPr>
        <w:t>(注：</w:t>
      </w:r>
      <w:r>
        <w:rPr>
          <w:rFonts w:hint="eastAsia" w:ascii="仿宋" w:hAnsi="仿宋" w:eastAsia="仿宋"/>
          <w:color w:val="FF0000"/>
          <w:sz w:val="24"/>
        </w:rPr>
        <w:t>请部门根据实际注明页码</w:t>
      </w:r>
      <w:r>
        <w:rPr>
          <w:rFonts w:ascii="仿宋" w:hAnsi="仿宋" w:eastAsia="仿宋"/>
          <w:color w:val="FF0000"/>
          <w:sz w:val="24"/>
        </w:rPr>
        <w:t>)</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2"/>
        <w:jc w:val="center"/>
        <w:rPr>
          <w:rStyle w:val="25"/>
          <w:rFonts w:ascii="黑体" w:hAnsi="黑体" w:eastAsia="黑体"/>
          <w:b/>
          <w:bCs w:val="0"/>
        </w:rPr>
      </w:pPr>
      <w:r>
        <w:rPr>
          <w:rFonts w:hint="eastAsia" w:ascii="黑体" w:hAnsi="黑体" w:eastAsia="黑体"/>
          <w:b w:val="0"/>
        </w:rPr>
        <w:t xml:space="preserve">第一部分 </w:t>
      </w:r>
      <w:r>
        <w:rPr>
          <w:rStyle w:val="25"/>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3"/>
        <w:pageBreakBefore w:val="0"/>
        <w:kinsoku/>
        <w:wordWrap/>
        <w:overflowPunct/>
        <w:topLinePunct w:val="0"/>
        <w:autoSpaceDE/>
        <w:autoSpaceDN/>
        <w:bidi w:val="0"/>
        <w:spacing w:line="440" w:lineRule="exact"/>
        <w:textAlignment w:val="auto"/>
        <w:rPr>
          <w:rStyle w:val="26"/>
          <w:rFonts w:ascii="仿宋" w:hAnsi="仿宋" w:eastAsia="仿宋"/>
          <w:b w:val="0"/>
          <w:bCs w:val="0"/>
        </w:rPr>
      </w:pPr>
      <w:bookmarkStart w:id="14" w:name="_Toc15396600"/>
      <w:bookmarkStart w:id="15" w:name="_Toc15377197"/>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4"/>
      <w:bookmarkEnd w:id="15"/>
    </w:p>
    <w:p>
      <w:pPr>
        <w:pageBreakBefore w:val="0"/>
        <w:kinsoku/>
        <w:wordWrap/>
        <w:overflowPunct/>
        <w:topLinePunct w:val="0"/>
        <w:autoSpaceDE/>
        <w:autoSpaceDN/>
        <w:bidi w:val="0"/>
        <w:snapToGrid w:val="0"/>
        <w:spacing w:line="440" w:lineRule="exact"/>
        <w:ind w:firstLine="640" w:firstLineChars="200"/>
        <w:textAlignment w:val="auto"/>
        <w:rPr>
          <w:rFonts w:hint="eastAsia" w:ascii="仿宋_GB2312" w:hAnsi="仿宋_GB2312" w:eastAsia="仿宋_GB2312" w:cs="仿宋_GB2312"/>
          <w:color w:val="000000"/>
          <w:sz w:val="32"/>
          <w:szCs w:val="32"/>
        </w:rPr>
      </w:pPr>
      <w:bookmarkStart w:id="16" w:name="_Toc15377198"/>
      <w:bookmarkStart w:id="17" w:name="_Toc15378445"/>
      <w:r>
        <w:rPr>
          <w:rFonts w:hint="eastAsia" w:ascii="仿宋" w:hAnsi="仿宋" w:eastAsia="仿宋"/>
          <w:bCs/>
          <w:color w:val="000000"/>
          <w:sz w:val="32"/>
          <w:szCs w:val="32"/>
        </w:rPr>
        <w:t>（一）主要职能。</w:t>
      </w:r>
      <w:bookmarkEnd w:id="16"/>
      <w:bookmarkEnd w:id="17"/>
      <w:bookmarkStart w:id="18" w:name="_Toc15378446"/>
      <w:bookmarkStart w:id="19" w:name="_Toc15377199"/>
      <w:r>
        <w:rPr>
          <w:rFonts w:hint="eastAsia" w:ascii="仿宋_GB2312" w:hAnsi="仿宋_GB2312" w:eastAsia="仿宋_GB2312" w:cs="仿宋_GB2312"/>
          <w:b/>
          <w:bCs/>
          <w:color w:val="000000"/>
          <w:sz w:val="32"/>
          <w:szCs w:val="32"/>
        </w:rPr>
        <w:t>职能参照省政府批准的三定方案:</w:t>
      </w:r>
      <w:r>
        <w:rPr>
          <w:rFonts w:hint="eastAsia" w:ascii="仿宋_GB2312" w:hAnsi="仿宋_GB2312" w:eastAsia="仿宋_GB2312" w:cs="仿宋_GB2312"/>
          <w:color w:val="000000"/>
          <w:sz w:val="32"/>
          <w:szCs w:val="32"/>
        </w:rPr>
        <w:t>攀枝花市中西医结合医院是集医疗、预防、保健与健康教育、科研、教学为一体的三级甲等中西医结合医院，攀枝花学院附属医院。主要服务攀枝花市百万人口，辐射云南省华坪、宁蒗、凉山州会理、会东、德昌、盐源、木里等县，承担医疗、预防、保健工作、市内传染病、职业病和非传染性慢性病的防控，群众健康教育工作以及应对各种突发性公共卫生事件和医疗抢救工作。</w:t>
      </w:r>
    </w:p>
    <w:p>
      <w:pPr>
        <w:pStyle w:val="5"/>
        <w:pageBreakBefore w:val="0"/>
        <w:kinsoku/>
        <w:wordWrap/>
        <w:overflowPunct/>
        <w:topLinePunct w:val="0"/>
        <w:autoSpaceDE/>
        <w:autoSpaceDN/>
        <w:bidi w:val="0"/>
        <w:adjustRightInd w:val="0"/>
        <w:snapToGrid w:val="0"/>
        <w:spacing w:before="93" w:line="440" w:lineRule="exact"/>
        <w:ind w:firstLine="672" w:firstLineChars="210"/>
        <w:textAlignment w:val="auto"/>
        <w:outlineLvl w:val="2"/>
        <w:rPr>
          <w:rFonts w:hint="eastAsia"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18"/>
      <w:bookmarkEnd w:id="19"/>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b w:val="0"/>
          <w:bCs w:val="0"/>
          <w:color w:val="3F3F3F"/>
          <w:spacing w:val="7"/>
          <w:sz w:val="32"/>
          <w:szCs w:val="32"/>
          <w:shd w:val="clear" w:color="auto" w:fill="FFFFFF"/>
        </w:rPr>
      </w:pP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学科建设工作。</w:t>
      </w:r>
      <w:r>
        <w:rPr>
          <w:rFonts w:hint="eastAsia" w:ascii="仿宋_GB2312" w:hAnsi="仿宋_GB2312" w:eastAsia="仿宋_GB2312" w:cs="仿宋_GB2312"/>
          <w:b w:val="0"/>
          <w:bCs w:val="0"/>
          <w:sz w:val="32"/>
          <w:szCs w:val="32"/>
        </w:rPr>
        <w:t>一是加强重点学科（专科）建设。心内科、急诊科、糖尿病科申报了四川省中管局重点专科。四川省卫生健康委员会对肿瘤科进行了重点专科验收工作，肿瘤科在2018年四川省医学重点学科（专科）科技影响力综合排名名列全省第11名。二是建立专家工作站。为促进攀西地区泌尿外科、口腔科学科发展，成立魏强专家工作站和莫安春专家工作站。三是成为中国创伤救治联盟攀枝花学院附属医院创伤救治中心建设单位。并成立创伤综合救治团队，建立和形成院前、院内的创伤中心救治体系。四</w:t>
      </w:r>
      <w:r>
        <w:rPr>
          <w:rFonts w:hint="eastAsia" w:ascii="仿宋_GB2312" w:hAnsi="仿宋_GB2312" w:eastAsia="仿宋_GB2312" w:cs="仿宋_GB2312"/>
          <w:b w:val="0"/>
          <w:bCs w:val="0"/>
          <w:kern w:val="0"/>
          <w:sz w:val="32"/>
          <w:szCs w:val="32"/>
        </w:rPr>
        <w:t>是</w:t>
      </w:r>
      <w:r>
        <w:rPr>
          <w:rFonts w:hint="eastAsia" w:ascii="仿宋_GB2312" w:hAnsi="仿宋_GB2312" w:eastAsia="仿宋_GB2312" w:cs="仿宋_GB2312"/>
          <w:b w:val="0"/>
          <w:bCs w:val="0"/>
          <w:sz w:val="32"/>
          <w:szCs w:val="32"/>
        </w:rPr>
        <w:t>完成了国家胸痛中心再认证工作。五是积极筹建心肺中心，召开攀西地区第三届心肺疾病诊治高峰论坛，并邀请到四川大学华西医院李为民院长来院为“心肺中心”建设出谋划策。六是启动ISO15189实验室认证工作。</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医疗质量管理工作</w:t>
      </w:r>
      <w:r>
        <w:rPr>
          <w:rFonts w:hint="eastAsia" w:ascii="仿宋_GB2312" w:hAnsi="仿宋_GB2312" w:eastAsia="仿宋_GB2312" w:cs="仿宋_GB2312"/>
          <w:b w:val="0"/>
          <w:bCs w:val="0"/>
          <w:sz w:val="32"/>
          <w:szCs w:val="32"/>
        </w:rPr>
        <w:t>。加强对十八项核心制度的督导检查和持续改进</w:t>
      </w:r>
      <w:r>
        <w:rPr>
          <w:rFonts w:hint="eastAsia" w:ascii="仿宋_GB2312" w:hAnsi="仿宋_GB2312" w:eastAsia="仿宋_GB2312" w:cs="仿宋_GB2312"/>
          <w:b w:val="0"/>
          <w:bCs w:val="0"/>
          <w:kern w:val="0"/>
          <w:sz w:val="32"/>
          <w:szCs w:val="32"/>
        </w:rPr>
        <w:t>，保障医疗质量及医疗安全。一是</w:t>
      </w:r>
      <w:r>
        <w:rPr>
          <w:rFonts w:hint="eastAsia" w:ascii="仿宋_GB2312" w:hAnsi="仿宋_GB2312" w:eastAsia="仿宋_GB2312" w:cs="仿宋_GB2312"/>
          <w:b w:val="0"/>
          <w:bCs w:val="0"/>
          <w:sz w:val="32"/>
          <w:szCs w:val="32"/>
        </w:rPr>
        <w:t>进一步加强围手术期安全管理，新增了两个手术风险专项评估表。二是成立攀枝花市</w:t>
      </w:r>
      <w:r>
        <w:rPr>
          <w:rFonts w:hint="eastAsia" w:ascii="仿宋_GB2312" w:hAnsi="仿宋_GB2312" w:eastAsia="仿宋_GB2312" w:cs="仿宋_GB2312"/>
          <w:b w:val="0"/>
          <w:bCs w:val="0"/>
          <w:spacing w:val="7"/>
          <w:sz w:val="32"/>
          <w:szCs w:val="32"/>
          <w:shd w:val="clear" w:color="auto" w:fill="FFFFFF"/>
        </w:rPr>
        <w:t>中药药事管理质量控制中心</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pacing w:val="7"/>
          <w:sz w:val="32"/>
          <w:szCs w:val="32"/>
          <w:shd w:val="clear" w:color="auto" w:fill="FFFFFF"/>
        </w:rPr>
        <w:t>做好全市中药药事管理质量控制。三是</w:t>
      </w:r>
      <w:r>
        <w:rPr>
          <w:rFonts w:hint="eastAsia" w:ascii="仿宋_GB2312" w:hAnsi="仿宋_GB2312" w:eastAsia="仿宋_GB2312" w:cs="仿宋_GB2312"/>
          <w:b w:val="0"/>
          <w:bCs w:val="0"/>
          <w:kern w:val="0"/>
          <w:sz w:val="32"/>
          <w:szCs w:val="32"/>
        </w:rPr>
        <w:t>进一步加强病案质量</w:t>
      </w:r>
      <w:r>
        <w:rPr>
          <w:rFonts w:hint="eastAsia" w:ascii="仿宋_GB2312" w:hAnsi="仿宋_GB2312" w:eastAsia="仿宋_GB2312" w:cs="仿宋_GB2312"/>
          <w:b w:val="0"/>
          <w:bCs w:val="0"/>
          <w:sz w:val="32"/>
          <w:szCs w:val="32"/>
        </w:rPr>
        <w:t>管理。成立攀枝花市中医病案质控中心，修订《病历归档制度》，更新运行病历检查标准和方案，建立院内病历质量检查专家库。</w:t>
      </w:r>
      <w:r>
        <w:rPr>
          <w:rFonts w:hint="eastAsia" w:ascii="仿宋_GB2312" w:hAnsi="仿宋_GB2312" w:eastAsia="仿宋_GB2312" w:cs="仿宋_GB2312"/>
          <w:b w:val="0"/>
          <w:bCs w:val="0"/>
          <w:color w:val="3F3F3F"/>
          <w:spacing w:val="7"/>
          <w:sz w:val="32"/>
          <w:szCs w:val="32"/>
          <w:shd w:val="clear" w:color="auto" w:fill="FFFFFF"/>
        </w:rPr>
        <w:t>四</w:t>
      </w:r>
      <w:r>
        <w:rPr>
          <w:rFonts w:hint="eastAsia" w:ascii="仿宋_GB2312" w:hAnsi="仿宋_GB2312" w:eastAsia="仿宋_GB2312" w:cs="仿宋_GB2312"/>
          <w:b w:val="0"/>
          <w:bCs w:val="0"/>
          <w:sz w:val="32"/>
          <w:szCs w:val="32"/>
        </w:rPr>
        <w:t>是正式启动了我院VTE防治中心建设，组建VTE综合防治管理团队，探索建立有中医特色的院内VTE综合防治管理体系。五</w:t>
      </w:r>
      <w:r>
        <w:rPr>
          <w:rFonts w:hint="eastAsia" w:ascii="仿宋_GB2312" w:hAnsi="仿宋_GB2312" w:eastAsia="仿宋_GB2312" w:cs="仿宋_GB2312"/>
          <w:b w:val="0"/>
          <w:bCs w:val="0"/>
          <w:color w:val="3F3F3F"/>
          <w:spacing w:val="7"/>
          <w:sz w:val="32"/>
          <w:szCs w:val="32"/>
          <w:shd w:val="clear" w:color="auto" w:fill="FFFFFF"/>
        </w:rPr>
        <w:t>是</w:t>
      </w:r>
      <w:r>
        <w:rPr>
          <w:rFonts w:hint="eastAsia" w:ascii="仿宋_GB2312" w:hAnsi="仿宋_GB2312" w:eastAsia="仿宋_GB2312" w:cs="仿宋_GB2312"/>
          <w:b w:val="0"/>
          <w:bCs w:val="0"/>
          <w:sz w:val="32"/>
          <w:szCs w:val="32"/>
        </w:rPr>
        <w:t>加快临床路径上线进度，逐步建立分支路径，临床路径总病种数达到72个，临床路径入径率达38%。</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人才建设工作</w:t>
      </w:r>
      <w:r>
        <w:rPr>
          <w:rFonts w:hint="eastAsia" w:ascii="仿宋_GB2312" w:hAnsi="仿宋_GB2312" w:eastAsia="仿宋_GB2312" w:cs="仿宋_GB2312"/>
          <w:b/>
          <w:sz w:val="32"/>
          <w:szCs w:val="32"/>
        </w:rPr>
        <w:t>。</w:t>
      </w:r>
      <w:r>
        <w:rPr>
          <w:rFonts w:hint="eastAsia" w:ascii="仿宋_GB2312" w:hAnsi="仿宋_GB2312" w:eastAsia="仿宋_GB2312" w:cs="仿宋_GB2312"/>
          <w:b w:val="0"/>
          <w:bCs w:val="0"/>
          <w:sz w:val="32"/>
          <w:szCs w:val="32"/>
        </w:rPr>
        <w:t>一是重视人才引进。</w:t>
      </w:r>
      <w:r>
        <w:rPr>
          <w:rFonts w:hint="eastAsia" w:ascii="仿宋_GB2312" w:hAnsi="仿宋_GB2312" w:eastAsia="仿宋_GB2312" w:cs="仿宋_GB2312"/>
          <w:sz w:val="32"/>
          <w:szCs w:val="32"/>
        </w:rPr>
        <w:t>2019年医院共引进专业技术人才42人，其中硕士12人、本科18人；高级职称3人，中级职称5人，初级职称35人。</w:t>
      </w:r>
      <w:r>
        <w:rPr>
          <w:rFonts w:hint="eastAsia" w:ascii="仿宋_GB2312" w:hAnsi="仿宋_GB2312" w:eastAsia="仿宋_GB2312" w:cs="仿宋_GB2312"/>
          <w:b w:val="0"/>
          <w:bCs w:val="0"/>
          <w:sz w:val="32"/>
          <w:szCs w:val="32"/>
        </w:rPr>
        <w:t>二是加强人才培养。</w:t>
      </w:r>
      <w:r>
        <w:rPr>
          <w:rFonts w:hint="eastAsia" w:ascii="仿宋_GB2312" w:hAnsi="仿宋_GB2312" w:eastAsia="仿宋_GB2312" w:cs="仿宋_GB2312"/>
          <w:sz w:val="32"/>
          <w:szCs w:val="32"/>
        </w:rPr>
        <w:t>制订并实施医院“百人千万人才培养工程”计划，全年共派出进修人员48名，选派2名年轻医生参加华西医院专科医师规范化培训；选派1名医生赴奥地利维也纳医科大学附属医院研修；选派16名管理及临床医护人员赴台湾培训学习。在院内开展3+2专科医师规范化培训试点工作，为基层输送合格人才。</w:t>
      </w:r>
      <w:r>
        <w:rPr>
          <w:rFonts w:hint="eastAsia" w:ascii="仿宋_GB2312" w:hAnsi="仿宋_GB2312" w:eastAsia="仿宋_GB2312" w:cs="仿宋_GB2312"/>
          <w:b w:val="0"/>
          <w:bCs w:val="0"/>
          <w:sz w:val="32"/>
          <w:szCs w:val="32"/>
        </w:rPr>
        <w:t>三是关注人才成长。</w:t>
      </w:r>
      <w:r>
        <w:rPr>
          <w:rFonts w:hint="eastAsia" w:ascii="仿宋_GB2312" w:hAnsi="仿宋_GB2312" w:eastAsia="仿宋_GB2312" w:cs="仿宋_GB2312"/>
          <w:sz w:val="32"/>
          <w:szCs w:val="32"/>
        </w:rPr>
        <w:t>创新人才和干部使用模式，大胆起用想干事、能干事的年轻干部。今年向市委组织部推荐2名副县级干部，向学校党委推荐1名副县级干部，通过学校党委选拔任用2名副县级干部，选拔任用1名优秀正科级干部、4名副科级干部。</w:t>
      </w:r>
      <w:r>
        <w:rPr>
          <w:rFonts w:hint="eastAsia" w:ascii="仿宋_GB2312" w:hAnsi="仿宋_GB2312" w:eastAsia="仿宋_GB2312" w:cs="仿宋_GB2312"/>
          <w:b w:val="0"/>
          <w:bCs w:val="0"/>
          <w:sz w:val="32"/>
          <w:szCs w:val="32"/>
        </w:rPr>
        <w:t>四是注重人才选拔。</w:t>
      </w:r>
      <w:r>
        <w:rPr>
          <w:rFonts w:hint="eastAsia" w:ascii="仿宋_GB2312" w:hAnsi="仿宋_GB2312" w:eastAsia="仿宋_GB2312" w:cs="仿宋_GB2312"/>
          <w:sz w:val="32"/>
          <w:szCs w:val="32"/>
        </w:rPr>
        <w:t>推荐评选出四川省卫生健康领军人才1人、四川省名中医2人、省中管局学术技术带头人及后备人选2人。</w:t>
      </w:r>
      <w:r>
        <w:rPr>
          <w:rFonts w:hint="eastAsia" w:ascii="仿宋_GB2312" w:hAnsi="仿宋_GB2312" w:eastAsia="仿宋_GB2312" w:cs="仿宋_GB2312"/>
          <w:b w:val="0"/>
          <w:bCs w:val="0"/>
          <w:sz w:val="32"/>
          <w:szCs w:val="32"/>
        </w:rPr>
        <w:t>五是加强岗位管理。</w:t>
      </w:r>
      <w:r>
        <w:rPr>
          <w:rFonts w:hint="eastAsia" w:ascii="仿宋_GB2312" w:hAnsi="仿宋_GB2312" w:eastAsia="仿宋_GB2312" w:cs="仿宋_GB2312"/>
          <w:sz w:val="32"/>
          <w:szCs w:val="32"/>
        </w:rPr>
        <w:t>完成2019年度岗位聘任工作，对206名职工进行了岗位聘任。加强双师型人才通道建设，完成38名卫生专业技术人员转聘教学职称评审及聘任工作。</w:t>
      </w:r>
    </w:p>
    <w:p>
      <w:pPr>
        <w:pageBreakBefore w:val="0"/>
        <w:kinsoku/>
        <w:wordWrap/>
        <w:overflowPunct/>
        <w:topLinePunct w:val="0"/>
        <w:autoSpaceDE/>
        <w:autoSpaceDN/>
        <w:bidi w:val="0"/>
        <w:spacing w:line="4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科研教学工作。</w:t>
      </w:r>
      <w:r>
        <w:rPr>
          <w:rFonts w:hint="eastAsia" w:ascii="仿宋_GB2312" w:hAnsi="仿宋_GB2312" w:eastAsia="仿宋_GB2312" w:cs="仿宋_GB2312"/>
          <w:b w:val="0"/>
          <w:bCs w:val="0"/>
          <w:sz w:val="32"/>
          <w:szCs w:val="32"/>
        </w:rPr>
        <w:t>教学方面</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健全组织架构，持续加强教师队伍建设。完成首次教授、副教授聘任工作，共聘任25名教授，45名副教授，33名讲师。顺利迎接了教育部专家临床专业本科认证预评估。在“成医杯”四川省第七届住院医师规范化培训临床技能竞赛上获得外科单项二等奖，团体赛三等奖。2019年中医类住培学员结业考试通过率87.5%，在攀西地区均处于领先水平</w:t>
      </w:r>
      <w:r>
        <w:rPr>
          <w:rFonts w:hint="eastAsia" w:ascii="仿宋_GB2312" w:hAnsi="仿宋_GB2312" w:eastAsia="仿宋_GB2312" w:cs="仿宋_GB2312"/>
          <w:b w:val="0"/>
          <w:bCs w:val="0"/>
          <w:sz w:val="32"/>
          <w:szCs w:val="32"/>
        </w:rPr>
        <w:t>。科研方面</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进</w:t>
      </w:r>
      <w:r>
        <w:rPr>
          <w:rFonts w:hint="eastAsia" w:ascii="仿宋_GB2312" w:hAnsi="仿宋_GB2312" w:eastAsia="仿宋_GB2312" w:cs="仿宋_GB2312"/>
          <w:sz w:val="32"/>
          <w:szCs w:val="32"/>
        </w:rPr>
        <w:t>行了省医学会课题申报的学术及伦理审查，开展伦理委员会相关工作，完善医院伦理制度建设，大力推进医院科研工作。全年举办国家级继教项目2项，省级继教项目10项，市级继教项目59项，院内科研培训2次。完成市级科研项目结题6项，申报省科技厅课题3项，省卫健委课题10项，省卫健委适宜技术4项，省医学会课题6项，医学会课题（骨科专项）3项，市科知局课题9项，川大-攀枝花合作项目2项，攀枝花学院院级课题9项。组织各级结题8项。发表文章102篇，其中核心期刊41篇,北大核心9篇。</w:t>
      </w:r>
    </w:p>
    <w:p>
      <w:pPr>
        <w:pageBreakBefore w:val="0"/>
        <w:widowControl/>
        <w:kinsoku/>
        <w:wordWrap/>
        <w:overflowPunct/>
        <w:topLinePunct w:val="0"/>
        <w:autoSpaceDE/>
        <w:autoSpaceDN/>
        <w:bidi w:val="0"/>
        <w:spacing w:line="440" w:lineRule="exact"/>
        <w:ind w:firstLine="642"/>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护理管理工作。</w:t>
      </w:r>
      <w:r>
        <w:rPr>
          <w:rFonts w:hint="eastAsia" w:ascii="仿宋_GB2312" w:hAnsi="仿宋_GB2312" w:eastAsia="仿宋_GB2312" w:cs="仿宋_GB2312"/>
          <w:sz w:val="32"/>
          <w:szCs w:val="32"/>
        </w:rPr>
        <w:t>实施护理质量三级管理体系，持续改进护理质量，评选了2018年度护理质量管理优秀科室和最佳护士。成功申报为“2019年国家护理质量数据平台”网络直报医院。“院内掌上护士库应用”项目荣获国家卫生健康委医院管理研究所颁发的管理创新奖。开设安宁疗护病房，成立安宁疗护小组，健全相关制度，成为攀枝花市首批安宁疗护试点医院。加入攀枝花市护理学会南丁格尔志愿者服务分队。成功举办首届“护理创新创意大赛”。修订《2019年机动护士库运行办法》，加强一、二级机动护士培训及院内轮转56人次，涉及全院27个临床科室。高峰时段合理调配启用三级机动护士551人次，1286小时。积极申报护理工作室，有序推进“互联网+护理”工作，多形式、多途径开展护理延伸服务。</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药事管理工作。</w:t>
      </w:r>
      <w:r>
        <w:rPr>
          <w:rFonts w:hint="eastAsia" w:ascii="仿宋_GB2312" w:hAnsi="仿宋_GB2312" w:eastAsia="仿宋_GB2312" w:cs="仿宋_GB2312"/>
          <w:b w:val="0"/>
          <w:bCs w:val="0"/>
          <w:sz w:val="32"/>
          <w:szCs w:val="32"/>
        </w:rPr>
        <w:t>一是加大中医药制剂研发</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rPr>
        <w:t>目前我院取得批准文号制剂有31种，其中化学药制剂7种，中药制剂24种。2019年正在使用的疗效确切的中药制剂11种，化学药制剂3种，推出10种协定方（眼科6种、呼吸科4种），2019年年产值420万元。</w:t>
      </w:r>
      <w:r>
        <w:rPr>
          <w:rFonts w:hint="eastAsia" w:ascii="仿宋_GB2312" w:hAnsi="仿宋_GB2312" w:eastAsia="仿宋_GB2312" w:cs="仿宋_GB2312"/>
          <w:b w:val="0"/>
          <w:bCs w:val="0"/>
          <w:sz w:val="32"/>
          <w:szCs w:val="32"/>
        </w:rPr>
        <w:t>二是优化药事服务</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住院药房片剂摆药机、门诊药房智能发药系统及二次报到机等智能系统正式投入运行。</w:t>
      </w:r>
      <w:r>
        <w:rPr>
          <w:rFonts w:hint="eastAsia" w:ascii="仿宋_GB2312" w:hAnsi="仿宋_GB2312" w:eastAsia="仿宋_GB2312" w:cs="仿宋_GB2312"/>
          <w:b w:val="0"/>
          <w:bCs w:val="0"/>
          <w:sz w:val="32"/>
          <w:szCs w:val="32"/>
        </w:rPr>
        <w:t>三是加强药事管理</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坚持每月处方点评，严格落实相关制度。2019年药品比例27%，未超过规定标准，抗菌药物指标均达到国家标准。</w:t>
      </w:r>
      <w:r>
        <w:rPr>
          <w:rFonts w:hint="eastAsia" w:ascii="仿宋_GB2312" w:hAnsi="仿宋_GB2312" w:eastAsia="仿宋_GB2312" w:cs="仿宋_GB2312"/>
          <w:b w:val="0"/>
          <w:bCs w:val="0"/>
          <w:sz w:val="32"/>
          <w:szCs w:val="32"/>
        </w:rPr>
        <w:t>四是顺利启动GCP工作</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经国家药品监督管理局的审核，妇产科、心内科、肿瘤科、骨科、眼科、耳鼻喉科、血液科七个专业通过国家药物临床试验资格认定；呼吸科、心内科分别准备承接一项Ⅳ期临床试验，肿瘤科准备承接一项Ⅲ期临床试验，正式开启了我院药物临床试验工作。</w:t>
      </w:r>
    </w:p>
    <w:p>
      <w:pPr>
        <w:pageBreakBefore w:val="0"/>
        <w:widowControl/>
        <w:kinsoku/>
        <w:wordWrap/>
        <w:overflowPunct/>
        <w:topLinePunct w:val="0"/>
        <w:autoSpaceDE/>
        <w:autoSpaceDN/>
        <w:bidi w:val="0"/>
        <w:spacing w:line="44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运营管理工作。</w:t>
      </w:r>
      <w:r>
        <w:rPr>
          <w:rFonts w:hint="eastAsia" w:ascii="仿宋_GB2312" w:hAnsi="仿宋_GB2312" w:eastAsia="仿宋_GB2312" w:cs="仿宋_GB2312"/>
          <w:sz w:val="32"/>
          <w:szCs w:val="32"/>
        </w:rPr>
        <w:t>为了医院的持续发展，实现增收节支，医院实行精细化管理。全面上线启动医院综合运营管理平台（HRP）项目，到目前已完成业务基础平台、人力资源、财务管理、物资管理、固定资产、无形资产、供应宝协同软件的实施工作，完成科室成本系统、预算管理系统调研工作及基础数据收据工作，正在进行数据核对工作；完成资金支出控制业务调研，完成了HIS、绩效接口工作、已实现数据连通。通过HRP系统的上线使用，规范了科室、科目、职工、供应商、物资、资产等基础字典信息、减少了50%的凭证录入工作量、实现了“科室在线申领-供应商在线接单-库房线上验收入库及线下配送”的模式和部分材料扫码出库的管理要求、建立了科学合理的院、科两级成本核算体系。百元医疗收入卫生材料占比同比下降1个百分点；可控成本：水、电、办公用品费增长比例远远低于业务增长。</w:t>
      </w:r>
    </w:p>
    <w:p>
      <w:pPr>
        <w:pageBreakBefore w:val="0"/>
        <w:widowControl/>
        <w:kinsoku/>
        <w:wordWrap/>
        <w:overflowPunct/>
        <w:topLinePunct w:val="0"/>
        <w:autoSpaceDE/>
        <w:autoSpaceDN/>
        <w:bidi w:val="0"/>
        <w:spacing w:line="440" w:lineRule="exact"/>
        <w:ind w:firstLine="642"/>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后勤管理工作。</w:t>
      </w:r>
      <w:r>
        <w:rPr>
          <w:rFonts w:hint="eastAsia" w:ascii="仿宋_GB2312" w:hAnsi="仿宋_GB2312" w:eastAsia="仿宋_GB2312" w:cs="仿宋_GB2312"/>
          <w:sz w:val="32"/>
          <w:szCs w:val="32"/>
        </w:rPr>
        <w:t>积极推进“后勤一站式服务”建设、“互联网+医疗废物”建设。顺利完成国家卫生城市复审工作。充分发挥中医药优势，成立产业服务公司，探索中医药健康服务业，搭建医院一卡通管理服务平台。全年共开建临床实训中心楼及健康广场、医教综合楼、伽玛刀机房、内科5楼装修改造等项目18个，投资2154.3万元。增设了105路、113路公交停靠站点。全年水管维修、维护件4900余件。电力维修、维护3000余件。处置水电突发事故112件，零星维修费用385万元，有效保障了医院的正常运转。</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信息化建设工作。</w:t>
      </w:r>
      <w:r>
        <w:rPr>
          <w:rFonts w:hint="eastAsia" w:ascii="仿宋_GB2312" w:hAnsi="仿宋_GB2312" w:eastAsia="仿宋_GB2312" w:cs="仿宋_GB2312"/>
          <w:b w:val="0"/>
          <w:bCs w:val="0"/>
          <w:sz w:val="32"/>
          <w:szCs w:val="32"/>
        </w:rPr>
        <w:t>一是互联网+远程医疗方面，</w:t>
      </w:r>
      <w:r>
        <w:rPr>
          <w:rFonts w:hint="eastAsia" w:ascii="仿宋_GB2312" w:hAnsi="仿宋_GB2312" w:eastAsia="仿宋_GB2312" w:cs="仿宋_GB2312"/>
          <w:sz w:val="32"/>
          <w:szCs w:val="32"/>
        </w:rPr>
        <w:t>与各区县卫健局达成全面远程医疗服务合作协议，2019年远程影像新增7家，总数达19家医疗机构，共计出具报告6593例；远程心电新增5家医疗机构，总数达42家，出具报告28662例；开通与木里县中藏医院远程门诊试运行。</w:t>
      </w:r>
      <w:r>
        <w:rPr>
          <w:rFonts w:hint="eastAsia" w:ascii="仿宋_GB2312" w:hAnsi="仿宋_GB2312" w:eastAsia="仿宋_GB2312" w:cs="仿宋_GB2312"/>
          <w:b w:val="0"/>
          <w:bCs w:val="0"/>
          <w:sz w:val="32"/>
          <w:szCs w:val="32"/>
        </w:rPr>
        <w:t>二是互联网+医养结合方面</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与社区、养护院合作建立首个“健康小屋”医养示范结合点，实现健康监测、义诊查房、健康咨询、药物配送等医疗服务；先后与市邮政、中国广电合作设立互联网医院线下服务中心，实现了预约挂号、在线问诊、复诊和药物配送等医疗服务。</w:t>
      </w:r>
      <w:r>
        <w:rPr>
          <w:rFonts w:hint="eastAsia" w:ascii="仿宋_GB2312" w:hAnsi="仿宋_GB2312" w:eastAsia="仿宋_GB2312" w:cs="仿宋_GB2312"/>
          <w:b w:val="0"/>
          <w:bCs w:val="0"/>
          <w:sz w:val="32"/>
          <w:szCs w:val="32"/>
        </w:rPr>
        <w:t>三是互联网+健康管理方面，</w:t>
      </w:r>
      <w:r>
        <w:rPr>
          <w:rFonts w:hint="eastAsia" w:ascii="仿宋_GB2312" w:hAnsi="仿宋_GB2312" w:eastAsia="仿宋_GB2312" w:cs="仿宋_GB2312"/>
          <w:sz w:val="32"/>
          <w:szCs w:val="32"/>
        </w:rPr>
        <w:t>通过大健康管理平台全年新增建档2404人，总数达15629人，为慢病患者提供线下服务（包括就诊绿色通道、转诊、药物配送）200余人，管理人数592人。定期举办健康知识讲座及培训，通过微信和</w:t>
      </w:r>
      <w:r>
        <w:rPr>
          <w:rFonts w:hint="eastAsia" w:ascii="仿宋_GB2312" w:hAnsi="仿宋_GB2312" w:eastAsia="仿宋_GB2312" w:cs="仿宋_GB2312"/>
          <w:b w:val="0"/>
          <w:bCs w:val="0"/>
          <w:sz w:val="32"/>
          <w:szCs w:val="32"/>
        </w:rPr>
        <w:t>APP方式对患者进行健康宣教。四是互联网+人工智能方面，</w:t>
      </w:r>
      <w:r>
        <w:rPr>
          <w:rFonts w:hint="eastAsia" w:ascii="仿宋_GB2312" w:hAnsi="仿宋_GB2312" w:eastAsia="仿宋_GB2312" w:cs="仿宋_GB2312"/>
          <w:sz w:val="32"/>
          <w:szCs w:val="32"/>
        </w:rPr>
        <w:t>引进攀西首个腾讯肺结节智能辅助诊断系统等人工智能手段，提高了图像分析效率、影像诊断精度及治愈率。2019年医院“智慧支撑，‘1314’健康管理模式”入选全国医养结合典型经验200例。</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10</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医联体建设工作。</w:t>
      </w:r>
      <w:r>
        <w:rPr>
          <w:rFonts w:hint="eastAsia" w:ascii="仿宋_GB2312" w:hAnsi="仿宋_GB2312" w:eastAsia="仿宋_GB2312" w:cs="仿宋_GB2312"/>
          <w:b w:val="0"/>
          <w:bCs w:val="0"/>
          <w:sz w:val="32"/>
          <w:szCs w:val="32"/>
        </w:rPr>
        <w:t>一是分院工作</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rPr>
        <w:t>金江分院全年门急诊量26168人次，同比增长19.9%；出院量1778人次，同比增长0.48%；业务收入1157.27万元，同比增长15%，转诊229人次。红格分院全年门急诊量42447人次，同比增长4.6%；出院量2952人次，同比下降5.6%；业务收入1474.4万元（不包括政府拨款），同比增长18.39%；手术量261台次，同比增长0.1%，转诊295人次。</w:t>
      </w:r>
      <w:r>
        <w:rPr>
          <w:rFonts w:hint="eastAsia" w:ascii="仿宋_GB2312" w:hAnsi="仿宋_GB2312" w:eastAsia="仿宋_GB2312" w:cs="仿宋_GB2312"/>
          <w:b w:val="0"/>
          <w:bCs w:val="0"/>
          <w:sz w:val="32"/>
          <w:szCs w:val="32"/>
        </w:rPr>
        <w:t>二是帮扶工作</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Cs/>
          <w:sz w:val="32"/>
          <w:szCs w:val="32"/>
        </w:rPr>
        <w:t>为保质保量完成对口支援工作，全年共派驻长期帮扶人员7名。其中针对木里县中藏医院实际困难，专门组织专家及管理干部共计13余人次对其进行为期3天的专项指导，并与其签订了医联体协议，进一步促进了两院交流。</w:t>
      </w:r>
      <w:r>
        <w:rPr>
          <w:rFonts w:hint="eastAsia" w:ascii="仿宋_GB2312" w:hAnsi="仿宋_GB2312" w:eastAsia="仿宋_GB2312" w:cs="仿宋_GB2312"/>
          <w:b w:val="0"/>
          <w:bCs w:val="0"/>
          <w:sz w:val="32"/>
          <w:szCs w:val="32"/>
        </w:rPr>
        <w:t>三是医疗联盟工作</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在原有39家医联体单位的基础上新组建完成8家医联体专科联盟单位。对签订的专科联盟单位，派送专科专家定期坐诊、查房、带教、授课等，并根据当地联盟医院需求，调配医疗资源组织大型义诊活动并普及健康医疗知识。医院治未病中心加入上海同济华山医院全国大康复医联体，并成为国家“十三五重大课题组“成员。</w:t>
      </w:r>
    </w:p>
    <w:p>
      <w:pPr>
        <w:pageBreakBefore w:val="0"/>
        <w:kinsoku/>
        <w:wordWrap/>
        <w:overflowPunct/>
        <w:topLinePunct w:val="0"/>
        <w:autoSpaceDE/>
        <w:autoSpaceDN/>
        <w:bidi w:val="0"/>
        <w:spacing w:line="4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医院文化及评优工作。</w:t>
      </w:r>
      <w:r>
        <w:rPr>
          <w:rFonts w:hint="eastAsia" w:ascii="仿宋_GB2312" w:hAnsi="仿宋_GB2312" w:eastAsia="仿宋_GB2312" w:cs="仿宋_GB2312"/>
          <w:sz w:val="32"/>
          <w:szCs w:val="32"/>
        </w:rPr>
        <w:t>结合“不忘初心、牢记使命”主题教育开展了以“敬佑生命、乐于奉献、大爱无疆”为主题的庆祝建国70周年系列活动。为进一步加强医院文化建设，在7月—10月期间，开展了“向祖国致敬、为附院添彩”摄影、微视频、主题演讲、篮球友谊赛、拔河比赛以及羽毛球比赛等系列活动，并通过横幅、院内电子屏等方式营造隆重的节日氛围。为庆祝第二届中国医师节，组织各临床科室医师代表参加主题为“健康中国2030，我倡议健康生活”健步走活动。</w:t>
      </w:r>
    </w:p>
    <w:p>
      <w:pPr>
        <w:pageBreakBefore w:val="0"/>
        <w:kinsoku/>
        <w:wordWrap/>
        <w:overflowPunct/>
        <w:topLinePunct w:val="0"/>
        <w:autoSpaceDE/>
        <w:autoSpaceDN/>
        <w:bidi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2019年，医院评选出巾帼建功示范岗1个；三八红旗手3名，巾帼建功岗位能手6名，优秀女职工工作者1名。评选出</w:t>
      </w:r>
      <w:r>
        <w:rPr>
          <w:rFonts w:hint="eastAsia" w:ascii="仿宋_GB2312" w:hAnsi="仿宋_GB2312" w:eastAsia="仿宋_GB2312" w:cs="仿宋_GB2312"/>
          <w:kern w:val="0"/>
          <w:sz w:val="32"/>
          <w:szCs w:val="32"/>
        </w:rPr>
        <w:t>第六届教师风采大赛</w:t>
      </w:r>
      <w:r>
        <w:rPr>
          <w:rFonts w:hint="eastAsia" w:ascii="仿宋_GB2312" w:hAnsi="仿宋_GB2312" w:eastAsia="仿宋_GB2312" w:cs="仿宋_GB2312"/>
          <w:sz w:val="32"/>
          <w:szCs w:val="32"/>
        </w:rPr>
        <w:t>“精彩一课奖”教师一等奖1人，二等奖2人，三等奖3人；“精彩实验一课奖”教师一等奖1人，二等奖1人，三等奖2人。表扬2018-2019年度先进党支部3个、优秀党务工作者3名和优秀共产党员17名；表扬2018-2019学年度优秀教师10名、优秀带教老师15名。</w:t>
      </w:r>
    </w:p>
    <w:p>
      <w:pPr>
        <w:pageBreakBefore w:val="0"/>
        <w:kinsoku/>
        <w:wordWrap/>
        <w:overflowPunct/>
        <w:topLinePunct w:val="0"/>
        <w:autoSpaceDE/>
        <w:autoSpaceDN/>
        <w:bidi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卿丽华同志荣获攀枝花市劳动模范荣誉称号，张敏同志荣获攀枝花市工会优秀工作者称号。</w:t>
      </w:r>
    </w:p>
    <w:p>
      <w:pPr>
        <w:pStyle w:val="5"/>
        <w:pageBreakBefore w:val="0"/>
        <w:kinsoku/>
        <w:wordWrap/>
        <w:overflowPunct/>
        <w:topLinePunct w:val="0"/>
        <w:autoSpaceDE/>
        <w:autoSpaceDN/>
        <w:bidi w:val="0"/>
        <w:adjustRightInd w:val="0"/>
        <w:snapToGrid w:val="0"/>
        <w:spacing w:before="93" w:line="440" w:lineRule="exact"/>
        <w:ind w:firstLine="675" w:firstLineChars="210"/>
        <w:textAlignment w:val="auto"/>
        <w:outlineLvl w:val="2"/>
        <w:rPr>
          <w:rFonts w:hint="eastAsia" w:ascii="仿宋" w:hAnsi="仿宋" w:eastAsia="仿宋"/>
          <w:bCs/>
          <w:color w:val="000000"/>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12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其他工作。</w:t>
      </w:r>
      <w:r>
        <w:rPr>
          <w:rFonts w:hint="eastAsia" w:ascii="仿宋_GB2312" w:hAnsi="仿宋_GB2312" w:eastAsia="仿宋_GB2312" w:cs="仿宋_GB2312"/>
          <w:color w:val="000000"/>
          <w:sz w:val="32"/>
          <w:szCs w:val="32"/>
          <w:shd w:val="clear" w:color="auto" w:fill="FFFFFF"/>
        </w:rPr>
        <w:t>购置攀西首台也是目前唯一一台拥有三维断层融合技术的数字乳腺X线机，已投入使用；购置SPECT一台，正在进行安装调试，预计2020年春节后投入使用。</w:t>
      </w:r>
    </w:p>
    <w:p>
      <w:pPr>
        <w:pStyle w:val="3"/>
        <w:pageBreakBefore w:val="0"/>
        <w:kinsoku/>
        <w:wordWrap/>
        <w:overflowPunct/>
        <w:topLinePunct w:val="0"/>
        <w:autoSpaceDE/>
        <w:autoSpaceDN/>
        <w:bidi w:val="0"/>
        <w:spacing w:line="440" w:lineRule="exact"/>
        <w:textAlignment w:val="auto"/>
        <w:rPr>
          <w:rStyle w:val="26"/>
          <w:b w:val="0"/>
          <w:bCs w:val="0"/>
        </w:rPr>
      </w:pPr>
      <w:bookmarkStart w:id="20" w:name="_Toc15377200"/>
      <w:bookmarkStart w:id="21" w:name="_Toc15396601"/>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20"/>
      <w:bookmarkEnd w:id="21"/>
    </w:p>
    <w:p>
      <w:pPr>
        <w:pageBreakBefore w:val="0"/>
        <w:kinsoku/>
        <w:wordWrap/>
        <w:overflowPunct/>
        <w:topLinePunct w:val="0"/>
        <w:autoSpaceDE/>
        <w:autoSpaceDN/>
        <w:bidi w:val="0"/>
        <w:spacing w:line="440" w:lineRule="exact"/>
        <w:ind w:firstLine="627" w:firstLineChars="196"/>
        <w:textAlignment w:val="auto"/>
        <w:rPr>
          <w:rFonts w:hint="eastAsia" w:ascii="仿宋_GB2312" w:hAnsi="仿宋_GB2312" w:eastAsia="仿宋_GB2312" w:cs="仿宋_GB2312"/>
          <w:color w:val="000000"/>
          <w:sz w:val="32"/>
          <w:szCs w:val="32"/>
        </w:rPr>
      </w:pPr>
      <w:bookmarkStart w:id="22" w:name="_Toc15377204"/>
      <w:bookmarkStart w:id="23" w:name="_Toc15396602"/>
      <w:r>
        <w:rPr>
          <w:rFonts w:hint="eastAsia" w:ascii="仿宋_GB2312" w:hAnsi="仿宋_GB2312" w:eastAsia="仿宋_GB2312" w:cs="仿宋_GB2312"/>
          <w:color w:val="000000"/>
          <w:sz w:val="32"/>
          <w:szCs w:val="32"/>
        </w:rPr>
        <w:t>攀枝花市中西医结合医院参照公务员法管理的事业单位1个。</w:t>
      </w:r>
    </w:p>
    <w:p>
      <w:pPr>
        <w:pStyle w:val="2"/>
        <w:ind w:right="440"/>
        <w:jc w:val="right"/>
        <w:rPr>
          <w:rStyle w:val="25"/>
          <w:rFonts w:ascii="黑体" w:hAnsi="黑体" w:eastAsia="黑体"/>
          <w:b w:val="0"/>
          <w:bCs w:val="0"/>
        </w:rPr>
      </w:pPr>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2019年度部门决算情况说明</w:t>
      </w:r>
      <w:bookmarkEnd w:id="22"/>
      <w:bookmarkEnd w:id="23"/>
    </w:p>
    <w:p/>
    <w:p>
      <w:pPr>
        <w:pStyle w:val="24"/>
        <w:numPr>
          <w:ilvl w:val="0"/>
          <w:numId w:val="1"/>
        </w:numPr>
        <w:spacing w:line="600" w:lineRule="exact"/>
        <w:ind w:firstLineChars="0"/>
        <w:outlineLvl w:val="1"/>
        <w:rPr>
          <w:rStyle w:val="26"/>
          <w:rFonts w:ascii="黑体" w:hAnsi="黑体" w:eastAsia="黑体"/>
          <w:b w:val="0"/>
        </w:rPr>
      </w:pPr>
      <w:bookmarkStart w:id="24" w:name="_Toc15396603"/>
      <w:bookmarkStart w:id="25" w:name="_Toc15377205"/>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24"/>
      <w:bookmarkEnd w:id="25"/>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sz w:val="32"/>
          <w:szCs w:val="32"/>
        </w:rPr>
        <w:t>2019年度收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91,101.19</w:t>
      </w:r>
      <w:r>
        <w:rPr>
          <w:rFonts w:hint="eastAsia" w:ascii="仿宋" w:hAnsi="仿宋" w:eastAsia="仿宋"/>
          <w:color w:val="000000"/>
          <w:sz w:val="32"/>
          <w:szCs w:val="32"/>
        </w:rPr>
        <w:t>万元、支</w:t>
      </w:r>
      <w:r>
        <w:rPr>
          <w:rFonts w:hint="eastAsia" w:ascii="仿宋" w:hAnsi="仿宋" w:eastAsia="仿宋"/>
          <w:color w:val="000000"/>
          <w:sz w:val="32"/>
          <w:szCs w:val="32"/>
          <w:lang w:eastAsia="zh-CN"/>
        </w:rPr>
        <w:t>出总计</w:t>
      </w:r>
      <w:r>
        <w:rPr>
          <w:rFonts w:hint="eastAsia" w:ascii="仿宋" w:hAnsi="仿宋" w:eastAsia="仿宋"/>
          <w:color w:val="000000"/>
          <w:sz w:val="32"/>
          <w:szCs w:val="32"/>
          <w:lang w:val="en-US" w:eastAsia="zh-CN"/>
        </w:rPr>
        <w:t>88,452.9万元</w:t>
      </w:r>
      <w:r>
        <w:rPr>
          <w:rFonts w:hint="eastAsia" w:ascii="仿宋" w:hAnsi="仿宋" w:eastAsia="仿宋"/>
          <w:color w:val="000000"/>
          <w:sz w:val="32"/>
          <w:szCs w:val="32"/>
        </w:rPr>
        <w:t>。与2018年相比，收、支总计各增加</w:t>
      </w:r>
      <w:r>
        <w:rPr>
          <w:rFonts w:ascii="仿宋" w:hAnsi="仿宋" w:eastAsia="仿宋"/>
          <w:color w:val="000000"/>
          <w:sz w:val="32"/>
          <w:szCs w:val="32"/>
        </w:rPr>
        <w:t>/</w:t>
      </w:r>
      <w:r>
        <w:rPr>
          <w:rFonts w:hint="eastAsia" w:ascii="仿宋" w:hAnsi="仿宋" w:eastAsia="仿宋"/>
          <w:color w:val="000000"/>
          <w:sz w:val="32"/>
          <w:szCs w:val="32"/>
        </w:rPr>
        <w:t>减少</w:t>
      </w:r>
      <w:r>
        <w:rPr>
          <w:rFonts w:hint="eastAsia" w:ascii="仿宋" w:hAnsi="仿宋" w:eastAsia="仿宋"/>
          <w:color w:val="000000"/>
          <w:sz w:val="32"/>
          <w:szCs w:val="32"/>
          <w:lang w:val="en-US" w:eastAsia="zh-CN"/>
        </w:rPr>
        <w:t>16.462.17、16.603.83</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收入</w:t>
      </w:r>
      <w:r>
        <w:rPr>
          <w:rFonts w:hint="eastAsia" w:ascii="仿宋" w:hAnsi="仿宋" w:eastAsia="仿宋"/>
          <w:color w:val="000000"/>
          <w:sz w:val="32"/>
          <w:szCs w:val="32"/>
        </w:rPr>
        <w:t>增长</w:t>
      </w:r>
      <w:r>
        <w:rPr>
          <w:rFonts w:hint="eastAsia" w:ascii="仿宋" w:hAnsi="仿宋" w:eastAsia="仿宋"/>
          <w:color w:val="000000"/>
          <w:sz w:val="32"/>
          <w:szCs w:val="32"/>
          <w:lang w:val="en-US" w:eastAsia="zh-CN"/>
        </w:rPr>
        <w:t>22.05</w:t>
      </w:r>
      <w:r>
        <w:rPr>
          <w:rFonts w:ascii="仿宋" w:hAnsi="仿宋" w:eastAsia="仿宋"/>
          <w:color w:val="000000"/>
          <w:sz w:val="32"/>
          <w:szCs w:val="32"/>
        </w:rPr>
        <w:t>%</w:t>
      </w:r>
      <w:r>
        <w:rPr>
          <w:rFonts w:hint="eastAsia" w:ascii="仿宋" w:hAnsi="仿宋" w:eastAsia="仿宋"/>
          <w:color w:val="000000"/>
          <w:sz w:val="32"/>
          <w:szCs w:val="32"/>
          <w:lang w:val="en-US" w:eastAsia="zh-CN"/>
        </w:rPr>
        <w:t>,支出增长23.12</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2019年医疗技术提高、业务拓展导致病人量增加，收支较上年增长较多</w:t>
      </w: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ind w:firstLine="640" w:firstLineChars="200"/>
        <w:rPr>
          <w:rFonts w:hint="eastAsia" w:ascii="仿宋" w:hAnsi="仿宋" w:eastAsia="仿宋"/>
          <w:color w:val="000000" w:themeColor="text1"/>
          <w:sz w:val="32"/>
          <w:szCs w:val="32"/>
          <w:lang w:eastAsia="zh-CN"/>
          <w14:textFill>
            <w14:solidFill>
              <w14:schemeClr w14:val="tx1"/>
            </w14:solidFill>
          </w14:textFill>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58240" behindDoc="1" locked="0" layoutInCell="1" allowOverlap="1">
            <wp:simplePos x="0" y="0"/>
            <wp:positionH relativeFrom="column">
              <wp:posOffset>411480</wp:posOffset>
            </wp:positionH>
            <wp:positionV relativeFrom="paragraph">
              <wp:posOffset>-1633855</wp:posOffset>
            </wp:positionV>
            <wp:extent cx="3730625" cy="1929130"/>
            <wp:effectExtent l="5080" t="4445" r="17145" b="9525"/>
            <wp:wrapTight wrapText="bothSides">
              <wp:wrapPolygon>
                <wp:start x="-29" y="-50"/>
                <wp:lineTo x="-29" y="21493"/>
                <wp:lineTo x="21479" y="21493"/>
                <wp:lineTo x="21479" y="-50"/>
                <wp:lineTo x="-29" y="-50"/>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4"/>
        <w:numPr>
          <w:ilvl w:val="0"/>
          <w:numId w:val="1"/>
        </w:numPr>
        <w:spacing w:line="600" w:lineRule="exact"/>
        <w:ind w:firstLineChars="0"/>
        <w:outlineLvl w:val="1"/>
        <w:rPr>
          <w:rStyle w:val="26"/>
          <w:rFonts w:ascii="黑体" w:hAnsi="黑体" w:eastAsia="黑体"/>
          <w:b w:val="0"/>
        </w:rPr>
      </w:pPr>
      <w:bookmarkStart w:id="26" w:name="_Toc15377206"/>
      <w:bookmarkStart w:id="27" w:name="_Toc15396604"/>
      <w:r>
        <w:rPr>
          <w:rFonts w:hint="eastAsia" w:ascii="黑体" w:hAnsi="黑体" w:eastAsia="黑体"/>
          <w:color w:val="000000"/>
          <w:sz w:val="32"/>
          <w:szCs w:val="32"/>
        </w:rPr>
        <w:t>收</w:t>
      </w:r>
      <w:r>
        <w:rPr>
          <w:rStyle w:val="26"/>
          <w:rFonts w:hint="eastAsia" w:ascii="黑体" w:hAnsi="黑体" w:eastAsia="黑体"/>
          <w:b w:val="0"/>
        </w:rPr>
        <w:t>入决算情况说明</w:t>
      </w:r>
      <w:bookmarkEnd w:id="26"/>
      <w:bookmarkEnd w:id="27"/>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9年本年收入合计</w:t>
      </w:r>
      <w:r>
        <w:rPr>
          <w:rFonts w:hint="eastAsia" w:ascii="仿宋" w:hAnsi="仿宋" w:eastAsia="仿宋"/>
          <w:color w:val="000000"/>
          <w:sz w:val="32"/>
          <w:szCs w:val="32"/>
          <w:lang w:val="en-US" w:eastAsia="zh-CN"/>
        </w:rPr>
        <w:t>91,101.19</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6,907.81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7.58</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688.16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0.76</w:t>
      </w:r>
      <w:r>
        <w:rPr>
          <w:rFonts w:ascii="仿宋" w:hAnsi="仿宋" w:eastAsia="仿宋"/>
          <w:color w:val="000000"/>
          <w:sz w:val="32"/>
          <w:szCs w:val="32"/>
        </w:rPr>
        <w:t>%</w:t>
      </w:r>
      <w:r>
        <w:rPr>
          <w:rFonts w:hint="eastAsia" w:ascii="仿宋" w:hAnsi="仿宋" w:eastAsia="仿宋"/>
          <w:color w:val="000000"/>
          <w:sz w:val="32"/>
          <w:szCs w:val="32"/>
        </w:rPr>
        <w:t>；事业收入</w:t>
      </w:r>
      <w:r>
        <w:rPr>
          <w:rFonts w:hint="eastAsia" w:ascii="仿宋" w:hAnsi="仿宋" w:eastAsia="仿宋"/>
          <w:color w:val="000000"/>
          <w:sz w:val="32"/>
          <w:szCs w:val="32"/>
          <w:lang w:val="en-US" w:eastAsia="zh-CN"/>
        </w:rPr>
        <w:t>78,781.73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86.48</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4,723.49</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5.18</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59264" behindDoc="1" locked="0" layoutInCell="1" allowOverlap="1">
            <wp:simplePos x="0" y="0"/>
            <wp:positionH relativeFrom="column">
              <wp:posOffset>-33655</wp:posOffset>
            </wp:positionH>
            <wp:positionV relativeFrom="paragraph">
              <wp:posOffset>361950</wp:posOffset>
            </wp:positionV>
            <wp:extent cx="5080000" cy="3810000"/>
            <wp:effectExtent l="4445" t="4445" r="20955" b="14605"/>
            <wp:wrapTight wrapText="bothSides">
              <wp:wrapPolygon>
                <wp:start x="-19" y="-25"/>
                <wp:lineTo x="-19" y="21575"/>
                <wp:lineTo x="21527" y="21575"/>
                <wp:lineTo x="21527" y="-25"/>
                <wp:lineTo x="-19" y="-25"/>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ascii="仿宋_GB2312" w:eastAsia="仿宋_GB2312"/>
          <w:color w:val="FF0000"/>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26"/>
          <w:rFonts w:hint="eastAsia" w:ascii="黑体" w:hAnsi="黑体" w:eastAsia="黑体"/>
          <w:b w:val="0"/>
        </w:rPr>
        <w:t>出决算情况说明</w:t>
      </w:r>
      <w:bookmarkEnd w:id="28"/>
      <w:bookmarkEnd w:id="29"/>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9年本年支出合计</w:t>
      </w:r>
      <w:r>
        <w:rPr>
          <w:rFonts w:hint="eastAsia" w:ascii="仿宋" w:hAnsi="仿宋" w:eastAsia="仿宋"/>
          <w:color w:val="000000"/>
          <w:sz w:val="32"/>
          <w:szCs w:val="32"/>
          <w:lang w:val="en-US" w:eastAsia="zh-CN"/>
        </w:rPr>
        <w:t>88,452.9</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8,440.17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95.42</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4,051.23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4.58</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黑体" w:hAnsi="黑体" w:eastAsia="黑体"/>
          <w:color w:val="000000"/>
          <w:sz w:val="32"/>
          <w:szCs w:val="32"/>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60288" behindDoc="1" locked="0" layoutInCell="1" allowOverlap="1">
            <wp:simplePos x="0" y="0"/>
            <wp:positionH relativeFrom="column">
              <wp:posOffset>-3175</wp:posOffset>
            </wp:positionH>
            <wp:positionV relativeFrom="paragraph">
              <wp:posOffset>589915</wp:posOffset>
            </wp:positionV>
            <wp:extent cx="5080000" cy="3247390"/>
            <wp:effectExtent l="4445" t="4445" r="20955" b="62865"/>
            <wp:wrapTight wrapText="bothSides">
              <wp:wrapPolygon>
                <wp:start x="-19" y="-30"/>
                <wp:lineTo x="-19" y="21511"/>
                <wp:lineTo x="21527" y="21511"/>
                <wp:lineTo x="21527" y="-30"/>
                <wp:lineTo x="-19" y="-30"/>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bookmarkStart w:id="30" w:name="_Toc15396606"/>
      <w:bookmarkStart w:id="31" w:name="_Toc15377208"/>
    </w:p>
    <w:p>
      <w:pPr>
        <w:spacing w:line="600" w:lineRule="exact"/>
        <w:ind w:firstLine="640" w:firstLineChars="200"/>
        <w:outlineLvl w:val="1"/>
        <w:rPr>
          <w:rStyle w:val="26"/>
          <w:rFonts w:ascii="黑体" w:hAnsi="黑体" w:eastAsia="黑体"/>
          <w:b w:val="0"/>
        </w:rPr>
      </w:pPr>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30"/>
      <w:bookmarkEnd w:id="31"/>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9年财政拨款收、支总计</w:t>
      </w:r>
      <w:r>
        <w:rPr>
          <w:rFonts w:hint="eastAsia" w:ascii="仿宋_GB2312" w:hAnsi="仿宋_GB2312" w:eastAsia="仿宋_GB2312" w:cs="仿宋_GB2312"/>
          <w:color w:val="000000"/>
          <w:sz w:val="32"/>
          <w:szCs w:val="32"/>
          <w:lang w:val="en-US" w:eastAsia="zh-CN"/>
        </w:rPr>
        <w:t>7,595.97、4,947.68</w:t>
      </w:r>
      <w:r>
        <w:rPr>
          <w:rFonts w:hint="eastAsia" w:ascii="仿宋_GB2312" w:hAnsi="仿宋_GB2312" w:eastAsia="仿宋_GB2312" w:cs="仿宋_GB2312"/>
          <w:color w:val="000000"/>
          <w:sz w:val="32"/>
          <w:szCs w:val="32"/>
        </w:rPr>
        <w:t>万</w:t>
      </w:r>
      <w:r>
        <w:rPr>
          <w:rFonts w:hint="eastAsia" w:ascii="仿宋" w:hAnsi="仿宋" w:eastAsia="仿宋"/>
          <w:color w:val="000000"/>
          <w:sz w:val="32"/>
          <w:szCs w:val="32"/>
        </w:rPr>
        <w:t>元。与</w:t>
      </w:r>
      <w:r>
        <w:rPr>
          <w:rFonts w:ascii="仿宋" w:hAnsi="仿宋" w:eastAsia="仿宋"/>
          <w:color w:val="000000"/>
          <w:sz w:val="32"/>
          <w:szCs w:val="32"/>
        </w:rPr>
        <w:t>201</w:t>
      </w:r>
      <w:r>
        <w:rPr>
          <w:rFonts w:hint="eastAsia" w:ascii="仿宋" w:hAnsi="仿宋" w:eastAsia="仿宋"/>
          <w:color w:val="000000"/>
          <w:sz w:val="32"/>
          <w:szCs w:val="32"/>
        </w:rPr>
        <w:t>8年相比，财政拨款收</w:t>
      </w:r>
      <w:r>
        <w:rPr>
          <w:rFonts w:hint="eastAsia" w:ascii="仿宋" w:hAnsi="仿宋" w:eastAsia="仿宋"/>
          <w:color w:val="000000"/>
          <w:sz w:val="32"/>
          <w:szCs w:val="32"/>
          <w:lang w:eastAsia="zh-CN"/>
        </w:rPr>
        <w:t>入增加</w:t>
      </w:r>
      <w:r>
        <w:rPr>
          <w:rFonts w:hint="eastAsia" w:ascii="仿宋_GB2312" w:hAnsi="仿宋_GB2312" w:eastAsia="仿宋_GB2312" w:cs="仿宋_GB2312"/>
          <w:color w:val="000000"/>
          <w:sz w:val="32"/>
          <w:szCs w:val="32"/>
          <w:lang w:val="en-US" w:eastAsia="zh-CN"/>
        </w:rPr>
        <w:t>3,777.35万元，增长98.92</w:t>
      </w:r>
      <w:r>
        <w:rPr>
          <w:rFonts w:hint="eastAsia" w:ascii="仿宋_GB2312" w:hAnsi="仿宋_GB2312" w:eastAsia="仿宋_GB2312" w:cs="仿宋_GB2312"/>
          <w:color w:val="000000"/>
          <w:sz w:val="32"/>
          <w:szCs w:val="32"/>
        </w:rPr>
        <w:t>%</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减少</w:t>
      </w:r>
      <w:r>
        <w:rPr>
          <w:rFonts w:hint="eastAsia" w:ascii="仿宋_GB2312" w:hAnsi="仿宋_GB2312" w:eastAsia="仿宋_GB2312" w:cs="仿宋_GB2312"/>
          <w:color w:val="000000"/>
          <w:sz w:val="32"/>
          <w:szCs w:val="32"/>
          <w:lang w:val="en-US" w:eastAsia="zh-CN"/>
        </w:rPr>
        <w:t>1,699.39</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w:t>
      </w:r>
      <w:r>
        <w:rPr>
          <w:rFonts w:hint="eastAsia" w:ascii="仿宋" w:hAnsi="仿宋" w:eastAsia="仿宋"/>
          <w:color w:val="000000"/>
          <w:sz w:val="32"/>
          <w:szCs w:val="32"/>
        </w:rPr>
        <w:t>下降</w:t>
      </w:r>
      <w:r>
        <w:rPr>
          <w:rFonts w:hint="eastAsia" w:ascii="仿宋_GB2312" w:hAnsi="仿宋_GB2312" w:eastAsia="仿宋_GB2312" w:cs="仿宋_GB2312"/>
          <w:color w:val="000000"/>
          <w:sz w:val="32"/>
          <w:szCs w:val="32"/>
          <w:lang w:val="en-US" w:eastAsia="zh-CN"/>
        </w:rPr>
        <w:t>52.32</w:t>
      </w:r>
      <w:r>
        <w:rPr>
          <w:rFonts w:hint="eastAsia" w:ascii="仿宋_GB2312" w:hAnsi="仿宋_GB2312" w:eastAsia="仿宋_GB2312" w:cs="仿宋_GB2312"/>
          <w:color w:val="000000"/>
          <w:sz w:val="32"/>
          <w:szCs w:val="32"/>
        </w:rPr>
        <w:t>%</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eastAsia="zh-CN"/>
        </w:rPr>
        <w:t>财政拨款较</w:t>
      </w:r>
      <w:r>
        <w:rPr>
          <w:rFonts w:hint="eastAsia" w:ascii="仿宋" w:hAnsi="仿宋" w:eastAsia="仿宋"/>
          <w:color w:val="000000"/>
          <w:sz w:val="32"/>
          <w:szCs w:val="32"/>
          <w:lang w:val="en-US" w:eastAsia="zh-CN"/>
        </w:rPr>
        <w:t>2019年增加。</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403225</wp:posOffset>
            </wp:positionH>
            <wp:positionV relativeFrom="paragraph">
              <wp:posOffset>167005</wp:posOffset>
            </wp:positionV>
            <wp:extent cx="5080000" cy="3103880"/>
            <wp:effectExtent l="4445" t="4445" r="20955" b="1587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Fonts w:hint="eastAsia" w:ascii="黑体" w:hAnsi="黑体" w:eastAsia="黑体"/>
          <w:color w:val="000000"/>
          <w:sz w:val="32"/>
          <w:szCs w:val="32"/>
        </w:rPr>
      </w:pPr>
      <w:bookmarkStart w:id="32" w:name="_Toc15377209"/>
      <w:bookmarkStart w:id="33" w:name="_Toc15396607"/>
    </w:p>
    <w:p>
      <w:pPr>
        <w:spacing w:line="600" w:lineRule="exact"/>
        <w:ind w:firstLine="640" w:firstLineChars="200"/>
        <w:outlineLvl w:val="1"/>
        <w:rPr>
          <w:rFonts w:hint="eastAsia" w:ascii="黑体" w:hAnsi="黑体" w:eastAsia="黑体"/>
          <w:color w:val="000000"/>
          <w:sz w:val="32"/>
          <w:szCs w:val="32"/>
        </w:rPr>
      </w:pPr>
    </w:p>
    <w:p>
      <w:pPr>
        <w:spacing w:line="600" w:lineRule="exact"/>
        <w:ind w:firstLine="640" w:firstLineChars="200"/>
        <w:outlineLvl w:val="1"/>
        <w:rPr>
          <w:rFonts w:hint="eastAsia" w:ascii="黑体" w:hAnsi="黑体" w:eastAsia="黑体"/>
          <w:color w:val="000000"/>
          <w:sz w:val="32"/>
          <w:szCs w:val="32"/>
        </w:rPr>
      </w:pPr>
    </w:p>
    <w:p>
      <w:pPr>
        <w:spacing w:line="600" w:lineRule="exact"/>
        <w:ind w:firstLine="640" w:firstLineChars="200"/>
        <w:outlineLvl w:val="1"/>
        <w:rPr>
          <w:rFonts w:hint="eastAsia" w:ascii="黑体" w:hAnsi="黑体" w:eastAsia="黑体"/>
          <w:color w:val="000000"/>
          <w:sz w:val="32"/>
          <w:szCs w:val="32"/>
        </w:rPr>
      </w:pPr>
    </w:p>
    <w:p>
      <w:pPr>
        <w:spacing w:line="600" w:lineRule="exact"/>
        <w:outlineLvl w:val="1"/>
        <w:rPr>
          <w:rFonts w:hint="eastAsia" w:ascii="黑体" w:hAnsi="黑体" w:eastAsia="黑体"/>
          <w:color w:val="000000"/>
          <w:sz w:val="32"/>
          <w:szCs w:val="32"/>
        </w:rPr>
      </w:pPr>
    </w:p>
    <w:p>
      <w:pPr>
        <w:spacing w:line="600" w:lineRule="exact"/>
        <w:ind w:firstLine="640" w:firstLineChars="200"/>
        <w:outlineLvl w:val="1"/>
        <w:rPr>
          <w:rStyle w:val="26"/>
          <w:rFonts w:ascii="黑体" w:hAnsi="黑体" w:eastAsia="黑体"/>
          <w:b w:val="0"/>
        </w:rPr>
      </w:pPr>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32"/>
      <w:bookmarkEnd w:id="33"/>
    </w:p>
    <w:p>
      <w:pPr>
        <w:spacing w:line="600" w:lineRule="exact"/>
        <w:ind w:firstLine="640"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w:t>
      </w:r>
      <w:r>
        <w:rPr>
          <w:rFonts w:hint="eastAsia" w:ascii="仿宋_GB2312" w:hAnsi="仿宋_GB2312" w:eastAsia="仿宋_GB2312" w:cs="仿宋_GB2312"/>
          <w:color w:val="000000"/>
          <w:sz w:val="32"/>
          <w:szCs w:val="32"/>
          <w:lang w:val="en-US" w:eastAsia="zh-CN"/>
        </w:rPr>
        <w:t>4,259.52</w:t>
      </w:r>
      <w:r>
        <w:rPr>
          <w:rFonts w:hint="eastAsia" w:ascii="仿宋" w:hAnsi="仿宋" w:eastAsia="仿宋"/>
          <w:color w:val="000000"/>
          <w:sz w:val="32"/>
          <w:szCs w:val="32"/>
        </w:rPr>
        <w:t>万元，占本年支出合计的</w:t>
      </w:r>
      <w:r>
        <w:rPr>
          <w:rFonts w:hint="eastAsia" w:ascii="仿宋_GB2312" w:hAnsi="仿宋_GB2312" w:eastAsia="仿宋_GB2312" w:cs="仿宋_GB2312"/>
          <w:color w:val="000000"/>
          <w:sz w:val="32"/>
          <w:szCs w:val="32"/>
          <w:lang w:val="en-US" w:eastAsia="zh-CN"/>
        </w:rPr>
        <w:t>4.77</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8年相比，一般公共预算财政拨款增加</w:t>
      </w:r>
      <w:r>
        <w:rPr>
          <w:rFonts w:hint="eastAsia" w:ascii="仿宋_GB2312" w:hAnsi="仿宋_GB2312" w:eastAsia="仿宋_GB2312" w:cs="仿宋_GB2312"/>
          <w:color w:val="000000"/>
          <w:sz w:val="32"/>
          <w:szCs w:val="32"/>
          <w:lang w:val="en-US" w:eastAsia="zh-CN"/>
        </w:rPr>
        <w:t>1011.23</w:t>
      </w:r>
      <w:r>
        <w:rPr>
          <w:rFonts w:hint="eastAsia" w:ascii="仿宋" w:hAnsi="仿宋" w:eastAsia="仿宋"/>
          <w:color w:val="000000"/>
          <w:sz w:val="32"/>
          <w:szCs w:val="32"/>
        </w:rPr>
        <w:t>万元，增长</w:t>
      </w:r>
      <w:r>
        <w:rPr>
          <w:rFonts w:hint="eastAsia" w:ascii="仿宋_GB2312" w:hAnsi="仿宋_GB2312" w:eastAsia="仿宋_GB2312" w:cs="仿宋_GB2312"/>
          <w:color w:val="000000"/>
          <w:sz w:val="32"/>
          <w:szCs w:val="32"/>
          <w:lang w:val="en-US" w:eastAsia="zh-CN"/>
        </w:rPr>
        <w:t>31.13</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（图5：一般公共预算财政拨款支出决算变动情况）（柱状图）</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62336" behindDoc="1" locked="0" layoutInCell="1" allowOverlap="1">
            <wp:simplePos x="0" y="0"/>
            <wp:positionH relativeFrom="column">
              <wp:posOffset>228600</wp:posOffset>
            </wp:positionH>
            <wp:positionV relativeFrom="paragraph">
              <wp:posOffset>213995</wp:posOffset>
            </wp:positionV>
            <wp:extent cx="3953510" cy="2715260"/>
            <wp:effectExtent l="4445" t="4445" r="23495" b="23495"/>
            <wp:wrapTight wrapText="bothSides">
              <wp:wrapPolygon>
                <wp:start x="-24" y="-35"/>
                <wp:lineTo x="-24" y="21484"/>
                <wp:lineTo x="21520" y="21484"/>
                <wp:lineTo x="21520" y="-35"/>
                <wp:lineTo x="-24" y="-35"/>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201</w:t>
      </w:r>
      <w:r>
        <w:rPr>
          <w:rFonts w:hint="eastAsia" w:ascii="仿宋" w:hAnsi="仿宋" w:eastAsia="仿宋"/>
          <w:color w:val="000000"/>
          <w:sz w:val="32"/>
          <w:szCs w:val="32"/>
        </w:rPr>
        <w:t>9年一般公共预算财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_GB2312" w:hAnsi="仿宋_GB2312" w:eastAsia="仿宋_GB2312" w:cs="仿宋_GB2312"/>
          <w:color w:val="000000"/>
          <w:sz w:val="32"/>
          <w:szCs w:val="32"/>
          <w:lang w:val="en-US" w:eastAsia="zh-CN"/>
        </w:rPr>
        <w:t>4,259.52</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一般公共服务（类）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244.2</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5.73</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17.78</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0.42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卫生健康支出</w:t>
      </w:r>
      <w:r>
        <w:rPr>
          <w:rFonts w:hint="eastAsia" w:ascii="仿宋" w:hAnsi="仿宋" w:eastAsia="仿宋"/>
          <w:color w:val="000000" w:themeColor="text1"/>
          <w:sz w:val="32"/>
          <w:szCs w:val="32"/>
          <w:lang w:val="en-US" w:eastAsia="zh-CN"/>
          <w14:textFill>
            <w14:solidFill>
              <w14:schemeClr w14:val="tx1"/>
            </w14:solidFill>
          </w14:textFill>
        </w:rPr>
        <w:t>3997.54</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93.85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lang w:eastAsia="zh-CN"/>
        </w:rPr>
        <w:drawing>
          <wp:anchor distT="0" distB="0" distL="114300" distR="114300" simplePos="0" relativeHeight="251663360" behindDoc="1" locked="0" layoutInCell="1" allowOverlap="1">
            <wp:simplePos x="0" y="0"/>
            <wp:positionH relativeFrom="column">
              <wp:posOffset>355600</wp:posOffset>
            </wp:positionH>
            <wp:positionV relativeFrom="paragraph">
              <wp:posOffset>269875</wp:posOffset>
            </wp:positionV>
            <wp:extent cx="5080000" cy="3032760"/>
            <wp:effectExtent l="4445" t="4445" r="20955" b="10795"/>
            <wp:wrapTight wrapText="bothSides">
              <wp:wrapPolygon>
                <wp:start x="-19" y="-32"/>
                <wp:lineTo x="-19" y="21541"/>
                <wp:lineTo x="21527" y="21541"/>
                <wp:lineTo x="21527" y="-32"/>
                <wp:lineTo x="-19" y="-32"/>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3"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1、</w:t>
      </w:r>
      <w:r>
        <w:rPr>
          <w:rStyle w:val="14"/>
          <w:rFonts w:hint="eastAsia" w:ascii="仿宋_GB2312" w:hAnsi="仿宋_GB2312" w:eastAsia="仿宋_GB2312" w:cs="仿宋_GB2312"/>
          <w:color w:val="000000"/>
          <w:sz w:val="32"/>
          <w:szCs w:val="32"/>
          <w:lang w:eastAsia="zh-CN"/>
        </w:rPr>
        <w:t>一般公共服务支出</w:t>
      </w:r>
      <w:r>
        <w:rPr>
          <w:rStyle w:val="14"/>
          <w:rFonts w:hint="eastAsia" w:ascii="仿宋_GB2312" w:hAnsi="仿宋_GB2312" w:eastAsia="仿宋_GB2312" w:cs="仿宋_GB2312"/>
          <w:color w:val="000000"/>
          <w:sz w:val="32"/>
          <w:szCs w:val="32"/>
        </w:rPr>
        <w:t>（类）</w:t>
      </w:r>
      <w:r>
        <w:rPr>
          <w:rStyle w:val="14"/>
          <w:rFonts w:hint="eastAsia" w:ascii="仿宋_GB2312" w:hAnsi="仿宋_GB2312" w:eastAsia="仿宋_GB2312" w:cs="仿宋_GB2312"/>
          <w:color w:val="000000"/>
          <w:sz w:val="32"/>
          <w:szCs w:val="32"/>
          <w:lang w:eastAsia="zh-CN"/>
        </w:rPr>
        <w:t>人力资源事务</w:t>
      </w:r>
      <w:r>
        <w:rPr>
          <w:rStyle w:val="14"/>
          <w:rFonts w:hint="eastAsia" w:ascii="仿宋_GB2312" w:hAnsi="仿宋_GB2312" w:eastAsia="仿宋_GB2312" w:cs="仿宋_GB2312"/>
          <w:color w:val="000000"/>
          <w:sz w:val="32"/>
          <w:szCs w:val="32"/>
        </w:rPr>
        <w:t>（款）</w:t>
      </w:r>
      <w:r>
        <w:rPr>
          <w:rStyle w:val="14"/>
          <w:rFonts w:hint="eastAsia" w:ascii="仿宋_GB2312" w:hAnsi="仿宋_GB2312" w:eastAsia="仿宋_GB2312" w:cs="仿宋_GB2312"/>
          <w:color w:val="000000"/>
          <w:sz w:val="32"/>
          <w:szCs w:val="32"/>
          <w:lang w:eastAsia="zh-CN"/>
        </w:rPr>
        <w:t>引进人才费用</w:t>
      </w:r>
      <w:r>
        <w:rPr>
          <w:rStyle w:val="14"/>
          <w:rFonts w:hint="eastAsia" w:ascii="仿宋_GB2312" w:hAnsi="仿宋_GB2312" w:eastAsia="仿宋_GB2312" w:cs="仿宋_GB2312"/>
          <w:color w:val="000000"/>
          <w:sz w:val="32"/>
          <w:szCs w:val="32"/>
        </w:rPr>
        <w:t>（项）</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b w:val="0"/>
          <w:bCs w:val="0"/>
          <w:color w:val="000000"/>
          <w:sz w:val="32"/>
          <w:szCs w:val="32"/>
          <w:lang w:val="en-US" w:eastAsia="zh-CN"/>
        </w:rPr>
        <w:t>2019年决算数为2.00万元，</w:t>
      </w:r>
      <w:r>
        <w:rPr>
          <w:rFonts w:hint="eastAsia" w:ascii="仿宋_GB2312" w:hAnsi="仿宋_GB2312" w:eastAsia="仿宋_GB2312" w:cs="仿宋_GB2312"/>
          <w:color w:val="000000"/>
          <w:sz w:val="32"/>
          <w:szCs w:val="32"/>
        </w:rPr>
        <w:t>完成预算</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p>
    <w:p>
      <w:pPr>
        <w:spacing w:line="60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w:t>
      </w:r>
      <w:r>
        <w:rPr>
          <w:rStyle w:val="14"/>
          <w:rFonts w:hint="eastAsia" w:ascii="仿宋_GB2312" w:hAnsi="仿宋_GB2312" w:eastAsia="仿宋_GB2312" w:cs="仿宋_GB2312"/>
          <w:color w:val="000000"/>
          <w:sz w:val="32"/>
          <w:szCs w:val="32"/>
          <w:lang w:eastAsia="zh-CN"/>
        </w:rPr>
        <w:t>一般公共服务支出</w:t>
      </w:r>
      <w:r>
        <w:rPr>
          <w:rStyle w:val="14"/>
          <w:rFonts w:hint="eastAsia" w:ascii="仿宋_GB2312" w:hAnsi="仿宋_GB2312" w:eastAsia="仿宋_GB2312" w:cs="仿宋_GB2312"/>
          <w:color w:val="000000"/>
          <w:sz w:val="32"/>
          <w:szCs w:val="32"/>
        </w:rPr>
        <w:t>（类）</w:t>
      </w:r>
      <w:r>
        <w:rPr>
          <w:rStyle w:val="14"/>
          <w:rFonts w:hint="eastAsia" w:ascii="仿宋_GB2312" w:hAnsi="仿宋_GB2312" w:eastAsia="仿宋_GB2312" w:cs="仿宋_GB2312"/>
          <w:color w:val="000000"/>
          <w:sz w:val="32"/>
          <w:szCs w:val="32"/>
          <w:lang w:eastAsia="zh-CN"/>
        </w:rPr>
        <w:t>人力资源事务</w:t>
      </w:r>
      <w:r>
        <w:rPr>
          <w:rStyle w:val="14"/>
          <w:rFonts w:hint="eastAsia" w:ascii="仿宋_GB2312" w:hAnsi="仿宋_GB2312" w:eastAsia="仿宋_GB2312" w:cs="仿宋_GB2312"/>
          <w:color w:val="000000"/>
          <w:sz w:val="32"/>
          <w:szCs w:val="32"/>
        </w:rPr>
        <w:t>（款）</w:t>
      </w:r>
      <w:r>
        <w:rPr>
          <w:rStyle w:val="14"/>
          <w:rFonts w:hint="eastAsia" w:ascii="仿宋_GB2312" w:hAnsi="仿宋_GB2312" w:eastAsia="仿宋_GB2312" w:cs="仿宋_GB2312"/>
          <w:color w:val="000000"/>
          <w:sz w:val="32"/>
          <w:szCs w:val="32"/>
          <w:lang w:eastAsia="zh-CN"/>
        </w:rPr>
        <w:t>其他人力资源事务支出</w:t>
      </w:r>
      <w:r>
        <w:rPr>
          <w:rStyle w:val="14"/>
          <w:rFonts w:hint="eastAsia" w:ascii="仿宋_GB2312" w:hAnsi="仿宋_GB2312" w:eastAsia="仿宋_GB2312" w:cs="仿宋_GB2312"/>
          <w:color w:val="000000"/>
          <w:sz w:val="32"/>
          <w:szCs w:val="32"/>
        </w:rPr>
        <w:t>（项）</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b w:val="0"/>
          <w:bCs w:val="0"/>
          <w:color w:val="000000"/>
          <w:sz w:val="32"/>
          <w:szCs w:val="32"/>
          <w:lang w:val="en-US" w:eastAsia="zh-CN"/>
        </w:rPr>
        <w:t>2019年决算数为231.27万元，</w:t>
      </w:r>
      <w:r>
        <w:rPr>
          <w:rFonts w:hint="eastAsia" w:ascii="仿宋_GB2312" w:hAnsi="仿宋_GB2312" w:eastAsia="仿宋_GB2312" w:cs="仿宋_GB2312"/>
          <w:color w:val="000000"/>
          <w:sz w:val="32"/>
          <w:szCs w:val="32"/>
        </w:rPr>
        <w:t>完成预算</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Style w:val="14"/>
          <w:rFonts w:hint="eastAsia" w:ascii="仿宋_GB2312" w:hAnsi="仿宋_GB2312" w:eastAsia="仿宋_GB2312" w:cs="仿宋_GB2312"/>
          <w:color w:val="000000"/>
          <w:sz w:val="32"/>
          <w:szCs w:val="32"/>
          <w:lang w:eastAsia="zh-CN"/>
        </w:rPr>
        <w:t>一般公共服务支出</w:t>
      </w:r>
      <w:r>
        <w:rPr>
          <w:rStyle w:val="14"/>
          <w:rFonts w:hint="eastAsia" w:ascii="仿宋_GB2312" w:hAnsi="仿宋_GB2312" w:eastAsia="仿宋_GB2312" w:cs="仿宋_GB2312"/>
          <w:color w:val="000000"/>
          <w:sz w:val="32"/>
          <w:szCs w:val="32"/>
        </w:rPr>
        <w:t>（类）</w:t>
      </w:r>
      <w:r>
        <w:rPr>
          <w:rStyle w:val="14"/>
          <w:rFonts w:hint="eastAsia" w:ascii="仿宋_GB2312" w:hAnsi="仿宋_GB2312" w:eastAsia="仿宋_GB2312" w:cs="仿宋_GB2312"/>
          <w:color w:val="000000"/>
          <w:sz w:val="32"/>
          <w:szCs w:val="32"/>
          <w:lang w:eastAsia="zh-CN"/>
        </w:rPr>
        <w:t>组织事务</w:t>
      </w:r>
      <w:r>
        <w:rPr>
          <w:rStyle w:val="14"/>
          <w:rFonts w:hint="eastAsia" w:ascii="仿宋_GB2312" w:hAnsi="仿宋_GB2312" w:eastAsia="仿宋_GB2312" w:cs="仿宋_GB2312"/>
          <w:color w:val="000000"/>
          <w:sz w:val="32"/>
          <w:szCs w:val="32"/>
        </w:rPr>
        <w:t>（款）</w:t>
      </w:r>
      <w:r>
        <w:rPr>
          <w:rStyle w:val="14"/>
          <w:rFonts w:hint="eastAsia" w:ascii="仿宋_GB2312" w:hAnsi="仿宋_GB2312" w:eastAsia="仿宋_GB2312" w:cs="仿宋_GB2312"/>
          <w:color w:val="000000"/>
          <w:sz w:val="32"/>
          <w:szCs w:val="32"/>
          <w:lang w:eastAsia="zh-CN"/>
        </w:rPr>
        <w:t>其他组织事务支出</w:t>
      </w:r>
      <w:r>
        <w:rPr>
          <w:rStyle w:val="14"/>
          <w:rFonts w:hint="eastAsia" w:ascii="仿宋_GB2312" w:hAnsi="仿宋_GB2312" w:eastAsia="仿宋_GB2312" w:cs="仿宋_GB2312"/>
          <w:color w:val="000000"/>
          <w:sz w:val="32"/>
          <w:szCs w:val="32"/>
        </w:rPr>
        <w:t>（项）</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b w:val="0"/>
          <w:bCs w:val="0"/>
          <w:color w:val="000000"/>
          <w:sz w:val="32"/>
          <w:szCs w:val="32"/>
          <w:lang w:val="en-US" w:eastAsia="zh-CN"/>
        </w:rPr>
        <w:t>2019年决算数为10.93万元，</w:t>
      </w:r>
      <w:r>
        <w:rPr>
          <w:rFonts w:hint="eastAsia" w:ascii="仿宋_GB2312" w:hAnsi="仿宋_GB2312" w:eastAsia="仿宋_GB2312" w:cs="仿宋_GB2312"/>
          <w:color w:val="000000"/>
          <w:sz w:val="32"/>
          <w:szCs w:val="32"/>
        </w:rPr>
        <w:t>完成预算</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4</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color w:val="000000"/>
          <w:sz w:val="32"/>
          <w:szCs w:val="32"/>
        </w:rPr>
        <w:t>科学技术（类）技术研究与开发（款）应用技术研究与开发（项）: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0.00</w:t>
      </w:r>
      <w:r>
        <w:rPr>
          <w:rFonts w:hint="eastAsia" w:ascii="仿宋_GB2312" w:hAnsi="仿宋_GB2312" w:eastAsia="仿宋_GB2312" w:cs="仿宋_GB2312"/>
          <w:color w:val="000000"/>
          <w:sz w:val="32"/>
          <w:szCs w:val="32"/>
        </w:rPr>
        <w:t>%，决算数小于预算数的主要原因是</w:t>
      </w:r>
      <w:r>
        <w:rPr>
          <w:rFonts w:hint="eastAsia" w:ascii="仿宋_GB2312" w:hAnsi="仿宋_GB2312" w:eastAsia="仿宋_GB2312" w:cs="仿宋_GB2312"/>
          <w:color w:val="000000"/>
          <w:sz w:val="32"/>
          <w:szCs w:val="32"/>
          <w:lang w:val="en-US" w:eastAsia="zh-CN"/>
        </w:rPr>
        <w:t>2018</w:t>
      </w:r>
      <w:r>
        <w:rPr>
          <w:rFonts w:hint="eastAsia" w:ascii="仿宋_GB2312" w:hAnsi="仿宋_GB2312" w:eastAsia="仿宋_GB2312" w:cs="仿宋_GB2312"/>
          <w:color w:val="000000"/>
          <w:sz w:val="32"/>
          <w:szCs w:val="32"/>
        </w:rPr>
        <w:t>度</w:t>
      </w:r>
      <w:r>
        <w:rPr>
          <w:rFonts w:hint="eastAsia" w:ascii="仿宋_GB2312" w:hAnsi="仿宋_GB2312" w:eastAsia="仿宋_GB2312" w:cs="仿宋_GB2312"/>
          <w:color w:val="000000"/>
          <w:sz w:val="32"/>
          <w:szCs w:val="32"/>
          <w:lang w:eastAsia="zh-CN"/>
        </w:rPr>
        <w:t>下达</w:t>
      </w:r>
      <w:r>
        <w:rPr>
          <w:rFonts w:hint="eastAsia" w:ascii="仿宋_GB2312" w:hAnsi="仿宋_GB2312" w:eastAsia="仿宋_GB2312" w:cs="仿宋_GB2312"/>
          <w:color w:val="000000"/>
          <w:sz w:val="32"/>
          <w:szCs w:val="32"/>
        </w:rPr>
        <w:t>科研项目“干细胞和免疫效应细胞临床研究攀枝花市技术创新研究团队”经费</w:t>
      </w:r>
      <w:r>
        <w:rPr>
          <w:rFonts w:hint="eastAsia" w:ascii="仿宋_GB2312" w:hAnsi="仿宋_GB2312" w:eastAsia="仿宋_GB2312" w:cs="仿宋_GB2312"/>
          <w:color w:val="000000"/>
          <w:sz w:val="32"/>
          <w:szCs w:val="32"/>
          <w:lang w:val="en-US" w:eastAsia="zh-CN"/>
        </w:rPr>
        <w:t>2.11</w:t>
      </w:r>
      <w:r>
        <w:rPr>
          <w:rFonts w:hint="eastAsia" w:ascii="仿宋_GB2312" w:hAnsi="仿宋_GB2312" w:eastAsia="仿宋_GB2312" w:cs="仿宋_GB2312"/>
          <w:color w:val="000000"/>
          <w:sz w:val="32"/>
          <w:szCs w:val="32"/>
        </w:rPr>
        <w:t>万元未</w:t>
      </w:r>
      <w:r>
        <w:rPr>
          <w:rFonts w:hint="eastAsia" w:ascii="仿宋_GB2312" w:hAnsi="仿宋_GB2312" w:eastAsia="仿宋_GB2312" w:cs="仿宋_GB2312"/>
          <w:color w:val="000000"/>
          <w:sz w:val="32"/>
          <w:szCs w:val="32"/>
          <w:lang w:eastAsia="zh-CN"/>
        </w:rPr>
        <w:t>使用</w:t>
      </w:r>
      <w:r>
        <w:rPr>
          <w:rFonts w:hint="eastAsia" w:ascii="仿宋_GB2312" w:hAnsi="仿宋_GB2312" w:eastAsia="仿宋_GB2312" w:cs="仿宋_GB2312"/>
          <w:color w:val="000000"/>
          <w:sz w:val="32"/>
          <w:szCs w:val="32"/>
          <w:lang w:val="en-US" w:eastAsia="zh-CN"/>
        </w:rPr>
        <w:t>、“原发性失眠医养结合新健康管理模式探讨”经费4.00</w:t>
      </w:r>
      <w:r>
        <w:rPr>
          <w:rFonts w:hint="eastAsia" w:ascii="仿宋_GB2312" w:hAnsi="仿宋_GB2312" w:eastAsia="仿宋_GB2312" w:cs="仿宋_GB2312"/>
          <w:color w:val="000000"/>
          <w:sz w:val="32"/>
          <w:szCs w:val="32"/>
        </w:rPr>
        <w:t>万元未</w:t>
      </w:r>
      <w:r>
        <w:rPr>
          <w:rFonts w:hint="eastAsia" w:ascii="仿宋_GB2312" w:hAnsi="仿宋_GB2312" w:eastAsia="仿宋_GB2312" w:cs="仿宋_GB2312"/>
          <w:color w:val="000000"/>
          <w:sz w:val="32"/>
          <w:szCs w:val="32"/>
          <w:lang w:eastAsia="zh-CN"/>
        </w:rPr>
        <w:t>使用</w:t>
      </w:r>
      <w:r>
        <w:rPr>
          <w:rFonts w:hint="eastAsia" w:ascii="仿宋_GB2312" w:hAnsi="仿宋_GB2312" w:eastAsia="仿宋_GB2312" w:cs="仿宋_GB2312"/>
          <w:color w:val="000000"/>
          <w:sz w:val="32"/>
          <w:szCs w:val="32"/>
        </w:rPr>
        <w:t>，项目</w:t>
      </w:r>
      <w:r>
        <w:rPr>
          <w:rFonts w:hint="eastAsia" w:ascii="仿宋_GB2312" w:hAnsi="仿宋_GB2312" w:eastAsia="仿宋_GB2312" w:cs="仿宋_GB2312"/>
          <w:color w:val="000000"/>
          <w:sz w:val="32"/>
          <w:szCs w:val="32"/>
          <w:lang w:eastAsia="zh-CN"/>
        </w:rPr>
        <w:t>在实施过程中，未支取财政经费</w:t>
      </w:r>
      <w:r>
        <w:rPr>
          <w:rFonts w:hint="eastAsia" w:ascii="仿宋_GB2312" w:hAnsi="仿宋_GB2312" w:eastAsia="仿宋_GB2312" w:cs="仿宋_GB2312"/>
          <w:color w:val="000000"/>
          <w:sz w:val="32"/>
          <w:szCs w:val="32"/>
        </w:rPr>
        <w:t>。</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5、</w:t>
      </w:r>
      <w:r>
        <w:rPr>
          <w:rStyle w:val="14"/>
          <w:rFonts w:hint="eastAsia" w:ascii="仿宋_GB2312" w:hAnsi="仿宋_GB2312" w:eastAsia="仿宋_GB2312" w:cs="仿宋_GB2312"/>
          <w:color w:val="000000"/>
          <w:sz w:val="32"/>
          <w:szCs w:val="32"/>
        </w:rPr>
        <w:t>社会保障和就业（类）抚恤（款）死亡抚恤（项）: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17.78</w:t>
      </w:r>
      <w:r>
        <w:rPr>
          <w:rFonts w:hint="eastAsia" w:ascii="仿宋_GB2312" w:hAnsi="仿宋_GB2312" w:eastAsia="仿宋_GB2312" w:cs="仿宋_GB2312"/>
          <w:color w:val="000000"/>
          <w:sz w:val="32"/>
          <w:szCs w:val="32"/>
        </w:rPr>
        <w:t>元，完成预算100%。</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6</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（类）公立医院（款）中医（民族）医院（项）: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1819.40</w:t>
      </w:r>
      <w:r>
        <w:rPr>
          <w:rFonts w:hint="eastAsia" w:ascii="仿宋_GB2312" w:hAnsi="仿宋_GB2312" w:eastAsia="仿宋_GB2312" w:cs="仿宋_GB2312"/>
          <w:color w:val="000000"/>
          <w:sz w:val="32"/>
          <w:szCs w:val="32"/>
        </w:rPr>
        <w:t>万元，完成预算100%。</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7</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（类）公立医院（款）其他公立医院支出（项）: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126.94</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38.70</w:t>
      </w:r>
      <w:r>
        <w:rPr>
          <w:rFonts w:hint="eastAsia" w:ascii="仿宋_GB2312" w:hAnsi="仿宋_GB2312" w:eastAsia="仿宋_GB2312" w:cs="仿宋_GB2312"/>
          <w:color w:val="000000"/>
          <w:sz w:val="32"/>
          <w:szCs w:val="32"/>
        </w:rPr>
        <w:t>%，决算数小于预算数的主要原因是201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年下达的</w:t>
      </w:r>
      <w:r>
        <w:rPr>
          <w:rFonts w:hint="eastAsia" w:ascii="仿宋_GB2312" w:hAnsi="仿宋_GB2312" w:eastAsia="仿宋_GB2312" w:cs="仿宋_GB2312"/>
          <w:color w:val="000000"/>
          <w:sz w:val="32"/>
          <w:szCs w:val="32"/>
          <w:lang w:eastAsia="zh-CN"/>
        </w:rPr>
        <w:t>“知名专家助力打造特色优质医疗服务市级</w:t>
      </w:r>
      <w:r>
        <w:rPr>
          <w:rFonts w:hint="eastAsia" w:ascii="仿宋_GB2312" w:hAnsi="仿宋_GB2312" w:eastAsia="仿宋_GB2312" w:cs="仿宋_GB2312"/>
          <w:color w:val="000000"/>
          <w:sz w:val="32"/>
          <w:szCs w:val="32"/>
        </w:rPr>
        <w:t>补助</w:t>
      </w:r>
      <w:r>
        <w:rPr>
          <w:rFonts w:hint="eastAsia" w:ascii="仿宋_GB2312" w:hAnsi="仿宋_GB2312" w:eastAsia="仿宋_GB2312" w:cs="仿宋_GB2312"/>
          <w:color w:val="000000"/>
          <w:sz w:val="32"/>
          <w:szCs w:val="32"/>
          <w:lang w:eastAsia="zh-CN"/>
        </w:rPr>
        <w:t>第一批</w:t>
      </w:r>
      <w:r>
        <w:rPr>
          <w:rFonts w:hint="eastAsia" w:ascii="仿宋_GB2312" w:hAnsi="仿宋_GB2312" w:eastAsia="仿宋_GB2312" w:cs="仿宋_GB2312"/>
          <w:color w:val="000000"/>
          <w:sz w:val="32"/>
          <w:szCs w:val="32"/>
        </w:rPr>
        <w:t>经费</w:t>
      </w:r>
      <w:r>
        <w:rPr>
          <w:rFonts w:hint="eastAsia" w:ascii="仿宋_GB2312" w:hAnsi="仿宋_GB2312" w:eastAsia="仿宋_GB2312" w:cs="仿宋_GB2312"/>
          <w:color w:val="000000"/>
          <w:sz w:val="32"/>
          <w:szCs w:val="32"/>
          <w:lang w:eastAsia="zh-CN"/>
        </w:rPr>
        <w:t>”剩</w:t>
      </w:r>
      <w:r>
        <w:rPr>
          <w:rFonts w:hint="eastAsia" w:ascii="仿宋_GB2312" w:hAnsi="仿宋_GB2312" w:eastAsia="仿宋_GB2312" w:cs="仿宋_GB2312"/>
          <w:color w:val="000000"/>
          <w:sz w:val="32"/>
          <w:szCs w:val="32"/>
          <w:lang w:val="en-US" w:eastAsia="zh-CN"/>
        </w:rPr>
        <w:t>41.39</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，“知名专家助力打造特色优质医疗服务市级</w:t>
      </w:r>
      <w:r>
        <w:rPr>
          <w:rFonts w:hint="eastAsia" w:ascii="仿宋_GB2312" w:hAnsi="仿宋_GB2312" w:eastAsia="仿宋_GB2312" w:cs="仿宋_GB2312"/>
          <w:color w:val="000000"/>
          <w:sz w:val="32"/>
          <w:szCs w:val="32"/>
        </w:rPr>
        <w:t>补助</w:t>
      </w:r>
      <w:r>
        <w:rPr>
          <w:rFonts w:hint="eastAsia" w:ascii="仿宋_GB2312" w:hAnsi="仿宋_GB2312" w:eastAsia="仿宋_GB2312" w:cs="仿宋_GB2312"/>
          <w:color w:val="000000"/>
          <w:sz w:val="32"/>
          <w:szCs w:val="32"/>
          <w:lang w:eastAsia="zh-CN"/>
        </w:rPr>
        <w:t>第二批”</w:t>
      </w:r>
      <w:r>
        <w:rPr>
          <w:rFonts w:hint="eastAsia" w:ascii="仿宋_GB2312" w:hAnsi="仿宋_GB2312" w:eastAsia="仿宋_GB2312" w:cs="仿宋_GB2312"/>
          <w:color w:val="000000"/>
          <w:sz w:val="32"/>
          <w:szCs w:val="32"/>
        </w:rPr>
        <w:t>经费</w:t>
      </w:r>
      <w:r>
        <w:rPr>
          <w:rFonts w:hint="eastAsia" w:ascii="仿宋_GB2312" w:hAnsi="仿宋_GB2312" w:eastAsia="仿宋_GB2312" w:cs="仿宋_GB2312"/>
          <w:color w:val="000000"/>
          <w:sz w:val="32"/>
          <w:szCs w:val="32"/>
          <w:lang w:val="en-US" w:eastAsia="zh-CN"/>
        </w:rPr>
        <w:t>133.50万元</w:t>
      </w:r>
      <w:r>
        <w:rPr>
          <w:rFonts w:hint="eastAsia" w:ascii="仿宋_GB2312" w:hAnsi="仿宋_GB2312" w:eastAsia="仿宋_GB2312" w:cs="仿宋_GB2312"/>
          <w:color w:val="000000"/>
          <w:sz w:val="32"/>
          <w:szCs w:val="32"/>
        </w:rPr>
        <w:t>未使用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2019年</w:t>
      </w:r>
      <w:r>
        <w:rPr>
          <w:rFonts w:hint="eastAsia" w:ascii="仿宋_GB2312" w:hAnsi="仿宋_GB2312" w:eastAsia="仿宋_GB2312" w:cs="仿宋_GB2312"/>
          <w:color w:val="000000"/>
          <w:sz w:val="32"/>
          <w:szCs w:val="32"/>
          <w:lang w:eastAsia="zh-CN"/>
        </w:rPr>
        <w:t>下达</w:t>
      </w:r>
      <w:r>
        <w:rPr>
          <w:rFonts w:hint="eastAsia" w:ascii="仿宋_GB2312" w:hAnsi="仿宋_GB2312" w:eastAsia="仿宋_GB2312" w:cs="仿宋_GB2312"/>
          <w:color w:val="000000"/>
          <w:sz w:val="32"/>
          <w:szCs w:val="32"/>
        </w:rPr>
        <w:t>医疗服务能力提升中央补助-市级质控分中心建设</w:t>
      </w:r>
      <w:r>
        <w:rPr>
          <w:rFonts w:hint="eastAsia" w:ascii="仿宋_GB2312" w:hAnsi="仿宋_GB2312" w:eastAsia="仿宋_GB2312" w:cs="仿宋_GB2312"/>
          <w:color w:val="000000"/>
          <w:sz w:val="32"/>
          <w:szCs w:val="32"/>
          <w:lang w:val="en-US" w:eastAsia="zh-CN"/>
        </w:rPr>
        <w:t>5.2万、2019年公立医院综合改革21.00万元，</w:t>
      </w:r>
      <w:r>
        <w:rPr>
          <w:rFonts w:hint="eastAsia" w:ascii="仿宋_GB2312" w:hAnsi="仿宋_GB2312" w:eastAsia="仿宋_GB2312" w:cs="仿宋_GB2312"/>
          <w:color w:val="000000"/>
          <w:sz w:val="32"/>
          <w:szCs w:val="32"/>
        </w:rPr>
        <w:t>结转到20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年；我院在20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年度内加快以上经费的使用，保证资金效益。</w:t>
      </w:r>
    </w:p>
    <w:p>
      <w:pPr>
        <w:spacing w:line="600" w:lineRule="exact"/>
        <w:ind w:firstLine="643" w:firstLineChars="200"/>
        <w:rPr>
          <w:rStyle w:val="14"/>
          <w:rFonts w:hint="eastAsia" w:ascii="仿宋_GB2312" w:hAnsi="仿宋_GB2312" w:eastAsia="仿宋_GB2312" w:cs="仿宋_GB2312"/>
          <w:color w:val="000000"/>
          <w:sz w:val="32"/>
          <w:szCs w:val="32"/>
          <w:lang w:val="en-US" w:eastAsia="zh-CN"/>
        </w:rPr>
      </w:pPr>
      <w:r>
        <w:rPr>
          <w:rStyle w:val="14"/>
          <w:rFonts w:hint="eastAsia" w:ascii="仿宋_GB2312" w:hAnsi="仿宋_GB2312" w:eastAsia="仿宋_GB2312" w:cs="仿宋_GB2312"/>
          <w:color w:val="000000"/>
          <w:sz w:val="32"/>
          <w:szCs w:val="32"/>
          <w:lang w:val="en-US" w:eastAsia="zh-CN"/>
        </w:rPr>
        <w:t>8、</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（类）公共卫生（款）</w:t>
      </w:r>
      <w:r>
        <w:rPr>
          <w:rStyle w:val="14"/>
          <w:rFonts w:hint="eastAsia" w:ascii="仿宋_GB2312" w:hAnsi="仿宋_GB2312" w:eastAsia="仿宋_GB2312" w:cs="仿宋_GB2312"/>
          <w:color w:val="000000"/>
          <w:sz w:val="32"/>
          <w:szCs w:val="32"/>
          <w:lang w:eastAsia="zh-CN"/>
        </w:rPr>
        <w:t>重大</w:t>
      </w:r>
      <w:r>
        <w:rPr>
          <w:rStyle w:val="14"/>
          <w:rFonts w:hint="eastAsia" w:ascii="仿宋_GB2312" w:hAnsi="仿宋_GB2312" w:eastAsia="仿宋_GB2312" w:cs="仿宋_GB2312"/>
          <w:color w:val="000000"/>
          <w:sz w:val="32"/>
          <w:szCs w:val="32"/>
        </w:rPr>
        <w:t>公共卫生专项（项）: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9.6</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p>
    <w:p>
      <w:pPr>
        <w:spacing w:line="600" w:lineRule="exact"/>
        <w:ind w:firstLine="643" w:firstLineChars="200"/>
        <w:rPr>
          <w:rFonts w:hint="eastAsia" w:ascii="仿宋_GB2312" w:hAnsi="仿宋_GB2312" w:eastAsia="仿宋_GB2312" w:cs="仿宋_GB2312"/>
          <w:color w:val="000000"/>
          <w:sz w:val="32"/>
          <w:szCs w:val="32"/>
          <w:lang w:val="en-US" w:eastAsia="zh-CN"/>
        </w:rPr>
      </w:pPr>
      <w:r>
        <w:rPr>
          <w:rStyle w:val="14"/>
          <w:rFonts w:hint="eastAsia" w:ascii="仿宋_GB2312" w:hAnsi="仿宋_GB2312" w:eastAsia="仿宋_GB2312" w:cs="仿宋_GB2312"/>
          <w:color w:val="000000"/>
          <w:sz w:val="32"/>
          <w:szCs w:val="32"/>
          <w:lang w:val="en-US" w:eastAsia="zh-CN"/>
        </w:rPr>
        <w:t>9、</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（类）公共卫生（款）</w:t>
      </w:r>
      <w:r>
        <w:rPr>
          <w:rStyle w:val="14"/>
          <w:rFonts w:hint="eastAsia" w:ascii="仿宋_GB2312" w:hAnsi="仿宋_GB2312" w:eastAsia="仿宋_GB2312" w:cs="仿宋_GB2312"/>
          <w:color w:val="000000"/>
          <w:sz w:val="32"/>
          <w:szCs w:val="32"/>
          <w:lang w:eastAsia="zh-CN"/>
        </w:rPr>
        <w:t>重大</w:t>
      </w:r>
      <w:r>
        <w:rPr>
          <w:rStyle w:val="14"/>
          <w:rFonts w:hint="eastAsia" w:ascii="仿宋_GB2312" w:hAnsi="仿宋_GB2312" w:eastAsia="仿宋_GB2312" w:cs="仿宋_GB2312"/>
          <w:color w:val="000000"/>
          <w:sz w:val="32"/>
          <w:szCs w:val="32"/>
        </w:rPr>
        <w:t>公共卫生专项（项）: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13.34</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79.90</w:t>
      </w:r>
      <w:r>
        <w:rPr>
          <w:rFonts w:hint="eastAsia" w:ascii="仿宋_GB2312" w:hAnsi="仿宋_GB2312" w:eastAsia="仿宋_GB2312" w:cs="仿宋_GB2312"/>
          <w:color w:val="000000"/>
          <w:sz w:val="32"/>
          <w:szCs w:val="32"/>
        </w:rPr>
        <w:t>%。决算数小于预算数的主要原因是201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年下达的</w:t>
      </w:r>
      <w:r>
        <w:rPr>
          <w:rFonts w:hint="eastAsia" w:ascii="仿宋_GB2312" w:hAnsi="仿宋_GB2312" w:eastAsia="仿宋_GB2312" w:cs="仿宋_GB2312"/>
          <w:color w:val="000000"/>
          <w:sz w:val="32"/>
          <w:szCs w:val="32"/>
          <w:lang w:eastAsia="zh-CN"/>
        </w:rPr>
        <w:t>“其他重点传染病”经费</w:t>
      </w:r>
      <w:r>
        <w:rPr>
          <w:rFonts w:hint="eastAsia" w:ascii="仿宋_GB2312" w:hAnsi="仿宋_GB2312" w:eastAsia="仿宋_GB2312" w:cs="仿宋_GB2312"/>
          <w:color w:val="000000"/>
          <w:sz w:val="32"/>
          <w:szCs w:val="32"/>
          <w:lang w:val="en-US" w:eastAsia="zh-CN"/>
        </w:rPr>
        <w:t>0.5万元</w:t>
      </w:r>
      <w:r>
        <w:rPr>
          <w:rFonts w:hint="eastAsia" w:ascii="仿宋_GB2312" w:hAnsi="仿宋_GB2312" w:eastAsia="仿宋_GB2312" w:cs="仿宋_GB2312"/>
          <w:color w:val="000000"/>
          <w:sz w:val="32"/>
          <w:szCs w:val="32"/>
          <w:lang w:eastAsia="zh-CN"/>
        </w:rPr>
        <w:t>、“养老结核示范建设”经费</w:t>
      </w:r>
      <w:r>
        <w:rPr>
          <w:rFonts w:hint="eastAsia" w:ascii="仿宋_GB2312" w:hAnsi="仿宋_GB2312" w:eastAsia="仿宋_GB2312" w:cs="仿宋_GB2312"/>
          <w:color w:val="000000"/>
          <w:sz w:val="32"/>
          <w:szCs w:val="32"/>
          <w:lang w:val="en-US" w:eastAsia="zh-CN"/>
        </w:rPr>
        <w:t>0.86万元</w:t>
      </w:r>
      <w:r>
        <w:rPr>
          <w:rFonts w:hint="eastAsia" w:ascii="仿宋_GB2312" w:hAnsi="仿宋_GB2312" w:eastAsia="仿宋_GB2312" w:cs="仿宋_GB2312"/>
          <w:color w:val="000000"/>
          <w:sz w:val="32"/>
          <w:szCs w:val="32"/>
          <w:lang w:eastAsia="zh-CN"/>
        </w:rPr>
        <w:t>，2019年下达爱国卫生专项</w:t>
      </w:r>
      <w:r>
        <w:rPr>
          <w:rFonts w:hint="eastAsia" w:ascii="仿宋_GB2312" w:hAnsi="仿宋_GB2312" w:eastAsia="仿宋_GB2312" w:cs="仿宋_GB2312"/>
          <w:color w:val="000000"/>
          <w:sz w:val="32"/>
          <w:szCs w:val="32"/>
          <w:lang w:val="en-US" w:eastAsia="zh-CN"/>
        </w:rPr>
        <w:t>2.00万元未使用，结转到2020年，</w:t>
      </w:r>
      <w:r>
        <w:rPr>
          <w:rFonts w:hint="eastAsia" w:ascii="仿宋_GB2312" w:hAnsi="仿宋_GB2312" w:eastAsia="仿宋_GB2312" w:cs="仿宋_GB2312"/>
          <w:color w:val="000000"/>
          <w:sz w:val="32"/>
          <w:szCs w:val="32"/>
        </w:rPr>
        <w:t>我院在20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年度内加快以上经费的使用，保证资金效益。</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10、</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（类）中医药（款）中医（民族医）药专项（项）: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666.15</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16.60</w:t>
      </w:r>
      <w:r>
        <w:rPr>
          <w:rFonts w:hint="eastAsia" w:ascii="仿宋_GB2312" w:hAnsi="仿宋_GB2312" w:eastAsia="仿宋_GB2312" w:cs="仿宋_GB2312"/>
          <w:color w:val="000000"/>
          <w:sz w:val="32"/>
          <w:szCs w:val="32"/>
        </w:rPr>
        <w:t>%，决算数小于预算数的主要原因是该项经费于201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下达的“2019年中医医疗服务能力提升省级补助</w:t>
      </w:r>
      <w:r>
        <w:rPr>
          <w:rFonts w:hint="eastAsia" w:ascii="仿宋_GB2312" w:hAnsi="仿宋_GB2312" w:eastAsia="仿宋_GB2312" w:cs="仿宋_GB2312"/>
          <w:color w:val="000000"/>
          <w:sz w:val="32"/>
          <w:szCs w:val="32"/>
          <w:lang w:val="en-US" w:eastAsia="zh-CN"/>
        </w:rPr>
        <w:t>”3347.77万元未使用，</w:t>
      </w:r>
      <w:r>
        <w:rPr>
          <w:rFonts w:hint="eastAsia" w:ascii="仿宋_GB2312" w:hAnsi="仿宋_GB2312" w:eastAsia="仿宋_GB2312" w:cs="仿宋_GB2312"/>
          <w:color w:val="000000"/>
          <w:sz w:val="32"/>
          <w:szCs w:val="32"/>
        </w:rPr>
        <w:t>我院在20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年度内加快以上经费的使用，保证资金效益。</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11</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（类）中医药（款）中医（民族医）</w:t>
      </w:r>
      <w:r>
        <w:rPr>
          <w:rStyle w:val="14"/>
          <w:rFonts w:hint="eastAsia" w:ascii="仿宋_GB2312" w:hAnsi="仿宋_GB2312" w:eastAsia="仿宋_GB2312" w:cs="仿宋_GB2312"/>
          <w:color w:val="000000"/>
          <w:sz w:val="32"/>
          <w:szCs w:val="32"/>
          <w:lang w:eastAsia="zh-CN"/>
        </w:rPr>
        <w:t>其他中医</w:t>
      </w:r>
      <w:r>
        <w:rPr>
          <w:rStyle w:val="14"/>
          <w:rFonts w:hint="eastAsia" w:ascii="仿宋_GB2312" w:hAnsi="仿宋_GB2312" w:eastAsia="仿宋_GB2312" w:cs="仿宋_GB2312"/>
          <w:color w:val="000000"/>
          <w:sz w:val="32"/>
          <w:szCs w:val="32"/>
        </w:rPr>
        <w:t>药</w:t>
      </w:r>
      <w:r>
        <w:rPr>
          <w:rStyle w:val="14"/>
          <w:rFonts w:hint="eastAsia" w:ascii="仿宋_GB2312" w:hAnsi="仿宋_GB2312" w:eastAsia="仿宋_GB2312" w:cs="仿宋_GB2312"/>
          <w:color w:val="000000"/>
          <w:sz w:val="32"/>
          <w:szCs w:val="32"/>
          <w:lang w:eastAsia="zh-CN"/>
        </w:rPr>
        <w:t>支出</w:t>
      </w:r>
      <w:r>
        <w:rPr>
          <w:rStyle w:val="14"/>
          <w:rFonts w:hint="eastAsia" w:ascii="仿宋_GB2312" w:hAnsi="仿宋_GB2312" w:eastAsia="仿宋_GB2312" w:cs="仿宋_GB2312"/>
          <w:color w:val="000000"/>
          <w:sz w:val="32"/>
          <w:szCs w:val="32"/>
        </w:rPr>
        <w:t>（项）:</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年决算数为</w:t>
      </w:r>
      <w:r>
        <w:rPr>
          <w:rFonts w:hint="eastAsia" w:ascii="仿宋_GB2312" w:hAnsi="仿宋_GB2312" w:eastAsia="仿宋_GB2312" w:cs="仿宋_GB2312"/>
          <w:color w:val="000000"/>
          <w:sz w:val="32"/>
          <w:szCs w:val="32"/>
          <w:lang w:val="en-US" w:eastAsia="zh-CN"/>
        </w:rPr>
        <w:t>9.92</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23.90</w:t>
      </w:r>
      <w:r>
        <w:rPr>
          <w:rFonts w:hint="eastAsia" w:ascii="仿宋_GB2312" w:hAnsi="仿宋_GB2312" w:eastAsia="仿宋_GB2312" w:cs="仿宋_GB2312"/>
          <w:color w:val="000000"/>
          <w:sz w:val="32"/>
          <w:szCs w:val="32"/>
        </w:rPr>
        <w:t>%，决算数小于预算数的主要原因是：</w:t>
      </w:r>
      <w:r>
        <w:rPr>
          <w:rFonts w:hint="eastAsia" w:ascii="仿宋_GB2312" w:hAnsi="仿宋_GB2312" w:eastAsia="仿宋_GB2312" w:cs="仿宋_GB2312"/>
          <w:color w:val="000000"/>
          <w:sz w:val="32"/>
          <w:szCs w:val="32"/>
          <w:lang w:val="en-US" w:eastAsia="zh-CN"/>
        </w:rPr>
        <w:t>2017年下达</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市县级中医医院省级重点专科建设项目剩余</w:t>
      </w:r>
      <w:r>
        <w:rPr>
          <w:rFonts w:hint="eastAsia" w:ascii="仿宋_GB2312" w:hAnsi="仿宋_GB2312" w:eastAsia="仿宋_GB2312" w:cs="仿宋_GB2312"/>
          <w:color w:val="000000"/>
          <w:sz w:val="32"/>
          <w:szCs w:val="32"/>
          <w:lang w:val="en-US" w:eastAsia="zh-CN"/>
        </w:rPr>
        <w:t>1.28万元未使用，(2)中医药跟师带徒传承项目经费16.89万元未使用，（3）基层全科中医医师培训经费3.02万元未使用，（4）医疗+康养经费3.77万元未使用，2018年下达中医药特色人才培养（范胜莲）经费0.48万元未使用。2019年下达中医药科技专项1.07万元、中医经典考试竞赛3.00万元、中医药传承创新“百千万”人才工程-万名骨干人才培养2.08万元未使用。以上经费</w:t>
      </w:r>
      <w:r>
        <w:rPr>
          <w:rFonts w:hint="eastAsia" w:ascii="仿宋_GB2312" w:hAnsi="仿宋_GB2312" w:eastAsia="仿宋_GB2312" w:cs="仿宋_GB2312"/>
          <w:color w:val="000000"/>
          <w:sz w:val="32"/>
          <w:szCs w:val="32"/>
        </w:rPr>
        <w:t>我院在20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年度内</w:t>
      </w:r>
      <w:r>
        <w:rPr>
          <w:rFonts w:hint="eastAsia" w:ascii="仿宋_GB2312" w:hAnsi="仿宋_GB2312" w:eastAsia="仿宋_GB2312" w:cs="仿宋_GB2312"/>
          <w:color w:val="000000"/>
          <w:sz w:val="32"/>
          <w:szCs w:val="32"/>
          <w:lang w:eastAsia="zh-CN"/>
        </w:rPr>
        <w:t>全部</w:t>
      </w:r>
      <w:r>
        <w:rPr>
          <w:rFonts w:hint="eastAsia" w:ascii="仿宋_GB2312" w:hAnsi="仿宋_GB2312" w:eastAsia="仿宋_GB2312" w:cs="仿宋_GB2312"/>
          <w:color w:val="000000"/>
          <w:sz w:val="32"/>
          <w:szCs w:val="32"/>
        </w:rPr>
        <w:t>使用</w:t>
      </w:r>
      <w:r>
        <w:rPr>
          <w:rFonts w:hint="eastAsia" w:ascii="仿宋_GB2312" w:hAnsi="仿宋_GB2312" w:eastAsia="仿宋_GB2312" w:cs="仿宋_GB2312"/>
          <w:color w:val="000000"/>
          <w:sz w:val="32"/>
          <w:szCs w:val="32"/>
          <w:lang w:eastAsia="zh-CN"/>
        </w:rPr>
        <w:t>完</w:t>
      </w:r>
      <w:r>
        <w:rPr>
          <w:rFonts w:hint="eastAsia" w:ascii="仿宋_GB2312" w:hAnsi="仿宋_GB2312" w:eastAsia="仿宋_GB2312" w:cs="仿宋_GB2312"/>
          <w:color w:val="000000"/>
          <w:sz w:val="32"/>
          <w:szCs w:val="32"/>
        </w:rPr>
        <w:t>，保证资金效益。</w:t>
      </w:r>
    </w:p>
    <w:p>
      <w:pPr>
        <w:spacing w:line="60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val="en-US" w:eastAsia="zh-CN"/>
        </w:rPr>
        <w:t>12、</w:t>
      </w:r>
      <w:r>
        <w:rPr>
          <w:rStyle w:val="14"/>
          <w:rFonts w:hint="eastAsia" w:ascii="仿宋_GB2312" w:hAnsi="仿宋_GB2312" w:eastAsia="仿宋_GB2312" w:cs="仿宋_GB2312"/>
          <w:color w:val="000000"/>
          <w:sz w:val="32"/>
          <w:szCs w:val="32"/>
          <w:lang w:eastAsia="zh-CN"/>
        </w:rPr>
        <w:t>卫生健康支出</w:t>
      </w:r>
      <w:r>
        <w:rPr>
          <w:rStyle w:val="14"/>
          <w:rFonts w:hint="eastAsia" w:ascii="仿宋_GB2312" w:hAnsi="仿宋_GB2312" w:eastAsia="仿宋_GB2312" w:cs="仿宋_GB2312"/>
          <w:color w:val="000000"/>
          <w:sz w:val="32"/>
          <w:szCs w:val="32"/>
        </w:rPr>
        <w:t>（类）</w:t>
      </w:r>
      <w:r>
        <w:rPr>
          <w:rStyle w:val="14"/>
          <w:rFonts w:hint="eastAsia" w:ascii="仿宋_GB2312" w:hAnsi="仿宋_GB2312" w:eastAsia="仿宋_GB2312" w:cs="仿宋_GB2312"/>
          <w:color w:val="000000"/>
          <w:sz w:val="32"/>
          <w:szCs w:val="32"/>
          <w:lang w:eastAsia="zh-CN"/>
        </w:rPr>
        <w:t>其他卫生健康</w:t>
      </w:r>
      <w:r>
        <w:rPr>
          <w:rStyle w:val="14"/>
          <w:rFonts w:hint="eastAsia" w:ascii="仿宋_GB2312" w:hAnsi="仿宋_GB2312" w:eastAsia="仿宋_GB2312" w:cs="仿宋_GB2312"/>
          <w:color w:val="000000"/>
          <w:sz w:val="32"/>
          <w:szCs w:val="32"/>
        </w:rPr>
        <w:t>支出（款）</w:t>
      </w:r>
      <w:r>
        <w:rPr>
          <w:rStyle w:val="14"/>
          <w:rFonts w:hint="eastAsia" w:ascii="仿宋_GB2312" w:hAnsi="仿宋_GB2312" w:eastAsia="仿宋_GB2312" w:cs="仿宋_GB2312"/>
          <w:color w:val="000000"/>
          <w:sz w:val="32"/>
          <w:szCs w:val="32"/>
          <w:lang w:eastAsia="zh-CN"/>
        </w:rPr>
        <w:t>其他卫生健康</w:t>
      </w:r>
      <w:r>
        <w:rPr>
          <w:rStyle w:val="14"/>
          <w:rFonts w:hint="eastAsia" w:ascii="仿宋_GB2312" w:hAnsi="仿宋_GB2312" w:eastAsia="仿宋_GB2312" w:cs="仿宋_GB2312"/>
          <w:color w:val="000000"/>
          <w:sz w:val="32"/>
          <w:szCs w:val="32"/>
        </w:rPr>
        <w:t>支出（项）</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b w:val="0"/>
          <w:bCs w:val="0"/>
          <w:color w:val="000000"/>
          <w:sz w:val="32"/>
          <w:szCs w:val="32"/>
          <w:lang w:val="en-US" w:eastAsia="zh-CN"/>
        </w:rPr>
        <w:t>2018年决算数为1352.19万元，</w:t>
      </w:r>
      <w:r>
        <w:rPr>
          <w:rFonts w:hint="eastAsia" w:ascii="仿宋_GB2312" w:hAnsi="仿宋_GB2312" w:eastAsia="仿宋_GB2312" w:cs="仿宋_GB2312"/>
          <w:color w:val="000000"/>
          <w:sz w:val="32"/>
          <w:szCs w:val="32"/>
        </w:rPr>
        <w:t>完成预算</w:t>
      </w:r>
      <w:r>
        <w:rPr>
          <w:rFonts w:hint="eastAsia" w:ascii="仿宋_GB2312" w:hAnsi="仿宋_GB2312" w:eastAsia="仿宋_GB2312" w:cs="仿宋_GB2312"/>
          <w:color w:val="000000"/>
          <w:sz w:val="32"/>
          <w:szCs w:val="32"/>
          <w:lang w:val="en-US" w:eastAsia="zh-CN"/>
        </w:rPr>
        <w:t>93.97</w:t>
      </w:r>
      <w:r>
        <w:rPr>
          <w:rFonts w:hint="eastAsia" w:ascii="仿宋_GB2312" w:hAnsi="仿宋_GB2312" w:eastAsia="仿宋_GB2312" w:cs="仿宋_GB2312"/>
          <w:color w:val="000000"/>
          <w:sz w:val="32"/>
          <w:szCs w:val="32"/>
        </w:rPr>
        <w:t>%，决算数小于预算数的主要原因是：</w:t>
      </w:r>
      <w:r>
        <w:rPr>
          <w:rFonts w:hint="eastAsia" w:ascii="仿宋_GB2312" w:hAnsi="仿宋_GB2312" w:eastAsia="仿宋_GB2312" w:cs="仿宋_GB2312"/>
          <w:color w:val="000000"/>
          <w:sz w:val="32"/>
          <w:szCs w:val="32"/>
          <w:lang w:val="en-US" w:eastAsia="zh-CN"/>
        </w:rPr>
        <w:t>2017年下达2017年城镇人员孕前优生检查及基础学科研究0.5万元未使用,2018年</w:t>
      </w:r>
      <w:r>
        <w:rPr>
          <w:rFonts w:hint="eastAsia" w:ascii="仿宋_GB2312" w:hAnsi="仿宋_GB2312" w:eastAsia="仿宋_GB2312" w:cs="仿宋_GB2312"/>
          <w:color w:val="000000"/>
          <w:sz w:val="32"/>
          <w:szCs w:val="32"/>
          <w:lang w:eastAsia="zh-CN"/>
        </w:rPr>
        <w:t>下达</w:t>
      </w:r>
      <w:r>
        <w:rPr>
          <w:rFonts w:hint="eastAsia" w:ascii="仿宋_GB2312" w:hAnsi="仿宋_GB2312" w:eastAsia="仿宋_GB2312" w:cs="仿宋_GB2312"/>
          <w:color w:val="000000"/>
          <w:sz w:val="32"/>
          <w:szCs w:val="32"/>
          <w:lang w:val="en-US" w:eastAsia="zh-CN"/>
        </w:rPr>
        <w:t>市级质控中心建设中央资金3.90万元未使用，2019年下达住院医师规培资金省级补助1.04万元、'2019年医疗服务与保障能力提升-住院医师规范化培训9.69万元、2019年医疗服务与保障能力提升-助理全科医生培训6.00万元、2019年医疗服务与保障能力提升-乡镇卫生院、社区卫生服务护士补助经费0.0005万元、健康服务业发展示范和监测65.62万元未使用。以上经费结转到2020年，</w:t>
      </w:r>
      <w:r>
        <w:rPr>
          <w:rFonts w:hint="eastAsia" w:ascii="仿宋_GB2312" w:hAnsi="仿宋_GB2312" w:eastAsia="仿宋_GB2312" w:cs="仿宋_GB2312"/>
          <w:color w:val="000000"/>
          <w:sz w:val="32"/>
          <w:szCs w:val="32"/>
        </w:rPr>
        <w:t>我院在</w:t>
      </w:r>
      <w:r>
        <w:rPr>
          <w:rFonts w:hint="eastAsia" w:ascii="仿宋_GB2312" w:hAnsi="仿宋_GB2312" w:eastAsia="仿宋_GB2312" w:cs="仿宋_GB2312"/>
          <w:color w:val="000000"/>
          <w:sz w:val="32"/>
          <w:szCs w:val="32"/>
          <w:lang w:val="en-US" w:eastAsia="zh-CN"/>
        </w:rPr>
        <w:t>2020</w:t>
      </w:r>
      <w:r>
        <w:rPr>
          <w:rFonts w:hint="eastAsia" w:ascii="仿宋_GB2312" w:hAnsi="仿宋_GB2312" w:eastAsia="仿宋_GB2312" w:cs="仿宋_GB2312"/>
          <w:color w:val="000000"/>
          <w:sz w:val="32"/>
          <w:szCs w:val="32"/>
        </w:rPr>
        <w:t>年度内加快以上经费的使用，保证资金效益。</w:t>
      </w:r>
    </w:p>
    <w:p>
      <w:pPr>
        <w:tabs>
          <w:tab w:val="right" w:pos="8306"/>
        </w:tabs>
        <w:spacing w:line="600" w:lineRule="exact"/>
        <w:ind w:firstLine="640"/>
        <w:outlineLvl w:val="1"/>
        <w:rPr>
          <w:rStyle w:val="26"/>
        </w:rPr>
      </w:pPr>
      <w:bookmarkStart w:id="37" w:name="_Toc15377214"/>
      <w:bookmarkStart w:id="38"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37"/>
      <w:bookmarkEnd w:id="38"/>
      <w:r>
        <w:rPr>
          <w:rStyle w:val="26"/>
          <w:rFonts w:ascii="黑体" w:hAnsi="黑体" w:eastAsia="黑体"/>
          <w:b w:val="0"/>
        </w:rPr>
        <w:tab/>
      </w:r>
    </w:p>
    <w:p>
      <w:pPr>
        <w:spacing w:line="600" w:lineRule="exact"/>
        <w:ind w:firstLine="645"/>
        <w:rPr>
          <w:rFonts w:hint="eastAsia" w:ascii="仿宋_GB2312" w:hAnsi="仿宋_GB2312" w:eastAsia="仿宋_GB2312" w:cs="仿宋_GB2312"/>
          <w:color w:val="000000"/>
          <w:sz w:val="32"/>
          <w:szCs w:val="32"/>
        </w:rPr>
      </w:pPr>
      <w:bookmarkStart w:id="39" w:name="_Toc15377215"/>
      <w:bookmarkStart w:id="40" w:name="_Toc15396609"/>
      <w:r>
        <w:rPr>
          <w:rFonts w:hint="eastAsia" w:ascii="仿宋_GB2312" w:hAnsi="仿宋_GB2312" w:eastAsia="仿宋_GB2312" w:cs="仿宋_GB2312"/>
          <w:color w:val="000000"/>
          <w:sz w:val="32"/>
          <w:szCs w:val="32"/>
        </w:rPr>
        <w:t>攀枝花市中西医结合医院201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年一般公共预算财政拨款基本支出</w:t>
      </w:r>
      <w:r>
        <w:rPr>
          <w:rFonts w:hint="eastAsia" w:ascii="仿宋_GB2312" w:hAnsi="仿宋_GB2312" w:eastAsia="仿宋_GB2312" w:cs="仿宋_GB2312"/>
          <w:color w:val="000000"/>
          <w:sz w:val="32"/>
          <w:szCs w:val="32"/>
          <w:lang w:val="en-US" w:eastAsia="zh-CN"/>
        </w:rPr>
        <w:t>896.45</w:t>
      </w:r>
      <w:r>
        <w:rPr>
          <w:rFonts w:hint="eastAsia" w:ascii="仿宋_GB2312" w:hAnsi="仿宋_GB2312" w:eastAsia="仿宋_GB2312" w:cs="仿宋_GB2312"/>
          <w:color w:val="000000"/>
          <w:sz w:val="32"/>
          <w:szCs w:val="32"/>
        </w:rPr>
        <w:t>万元，其中：</w:t>
      </w:r>
    </w:p>
    <w:p>
      <w:pPr>
        <w:spacing w:line="600" w:lineRule="exact"/>
        <w:ind w:firstLine="64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人员经费</w:t>
      </w:r>
      <w:r>
        <w:rPr>
          <w:rFonts w:hint="eastAsia" w:ascii="仿宋_GB2312" w:hAnsi="仿宋_GB2312" w:eastAsia="仿宋_GB2312" w:cs="仿宋_GB2312"/>
          <w:color w:val="000000"/>
          <w:sz w:val="32"/>
          <w:szCs w:val="32"/>
          <w:lang w:val="en-US" w:eastAsia="zh-CN"/>
        </w:rPr>
        <w:t>896.45</w:t>
      </w:r>
      <w:r>
        <w:rPr>
          <w:rFonts w:hint="eastAsia" w:ascii="仿宋_GB2312" w:hAnsi="仿宋_GB2312" w:eastAsia="仿宋_GB2312" w:cs="仿宋_GB2312"/>
          <w:color w:val="000000"/>
          <w:sz w:val="32"/>
          <w:szCs w:val="32"/>
        </w:rPr>
        <w:t>万元，主要包括：基本工资、机关事业单位基本养老保险缴费、其他社会保障缴费、离休费、退休费、抚恤金、生活补助。</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公用经费</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元，主要包括：福利费、其他商品和服务支出。</w:t>
      </w:r>
    </w:p>
    <w:p>
      <w:pPr>
        <w:spacing w:line="600" w:lineRule="exact"/>
        <w:ind w:firstLine="640"/>
        <w:outlineLvl w:val="1"/>
        <w:rPr>
          <w:rStyle w:val="26"/>
          <w:rFonts w:ascii="黑体" w:hAnsi="黑体" w:eastAsia="黑体"/>
          <w:b w:val="0"/>
        </w:rPr>
      </w:pPr>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39"/>
      <w:bookmarkEnd w:id="40"/>
    </w:p>
    <w:p>
      <w:pPr>
        <w:spacing w:line="600" w:lineRule="exact"/>
        <w:ind w:firstLine="640"/>
        <w:outlineLvl w:val="2"/>
        <w:rPr>
          <w:rFonts w:ascii="仿宋" w:hAnsi="仿宋" w:eastAsia="仿宋"/>
          <w:b/>
          <w:color w:val="000000"/>
          <w:sz w:val="32"/>
          <w:szCs w:val="32"/>
        </w:rPr>
      </w:pPr>
      <w:bookmarkStart w:id="41" w:name="_Toc15377216"/>
      <w:r>
        <w:rPr>
          <w:rFonts w:hint="eastAsia" w:ascii="仿宋" w:hAnsi="仿宋" w:eastAsia="仿宋"/>
          <w:b/>
          <w:color w:val="000000"/>
          <w:sz w:val="32"/>
          <w:szCs w:val="32"/>
        </w:rPr>
        <w:t>（一）“三公”经费财政拨款支出决算总体情况说明</w:t>
      </w:r>
      <w:bookmarkEnd w:id="41"/>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万元，完成预算</w:t>
      </w:r>
      <w:r>
        <w:rPr>
          <w:rFonts w:ascii="仿宋" w:hAnsi="仿宋" w:eastAsia="仿宋"/>
          <w:color w:val="000000"/>
          <w:sz w:val="32"/>
          <w:szCs w:val="32"/>
        </w:rPr>
        <w:t>**%</w:t>
      </w:r>
      <w:r>
        <w:rPr>
          <w:rFonts w:hint="eastAsia" w:ascii="仿宋" w:hAnsi="仿宋" w:eastAsia="仿宋"/>
          <w:color w:val="000000"/>
          <w:sz w:val="32"/>
          <w:szCs w:val="32"/>
        </w:rPr>
        <w:t>，决算数小于预算数（或与预算数持平）的主要原因是……。</w:t>
      </w:r>
    </w:p>
    <w:p>
      <w:pPr>
        <w:spacing w:line="600" w:lineRule="exact"/>
        <w:ind w:firstLine="640"/>
        <w:outlineLvl w:val="2"/>
        <w:rPr>
          <w:rFonts w:ascii="仿宋" w:hAnsi="仿宋" w:eastAsia="仿宋"/>
          <w:b/>
          <w:color w:val="000000"/>
          <w:sz w:val="32"/>
          <w:szCs w:val="32"/>
        </w:rPr>
      </w:pPr>
      <w:bookmarkStart w:id="42" w:name="_Toc15377217"/>
      <w:r>
        <w:rPr>
          <w:rFonts w:hint="eastAsia" w:ascii="仿宋" w:hAnsi="仿宋" w:eastAsia="仿宋"/>
          <w:b/>
          <w:color w:val="000000"/>
          <w:sz w:val="32"/>
          <w:szCs w:val="32"/>
        </w:rPr>
        <w:t>（二）“三公”经费财政拨款支出决算具体情况说明</w:t>
      </w:r>
      <w:bookmarkEnd w:id="42"/>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hint="eastAsia" w:ascii="仿宋" w:hAnsi="仿宋" w:eastAsia="仿宋"/>
          <w:color w:val="000000"/>
          <w:sz w:val="32"/>
          <w:szCs w:val="32"/>
        </w:rPr>
      </w:pPr>
      <w:r>
        <w:rPr>
          <w:rFonts w:hint="eastAsia" w:ascii="仿宋" w:hAnsi="仿宋" w:eastAsia="仿宋"/>
          <w:color w:val="000000"/>
          <w:sz w:val="32"/>
          <w:szCs w:val="32"/>
        </w:rPr>
        <w:t>（图7：“三公”经费财政拨款支出结构）（饼状图）</w:t>
      </w:r>
    </w:p>
    <w:p>
      <w:pPr>
        <w:spacing w:line="600" w:lineRule="exact"/>
        <w:ind w:firstLine="640"/>
        <w:rPr>
          <w:rFonts w:hint="eastAsia" w:ascii="仿宋" w:hAnsi="仿宋" w:eastAsia="仿宋"/>
          <w:color w:val="000000"/>
          <w:sz w:val="32"/>
          <w:szCs w:val="32"/>
        </w:rPr>
      </w:pPr>
      <w:r>
        <w:rPr>
          <w:rFonts w:hint="eastAsia" w:ascii="仿宋_GB2312" w:hAnsi="仿宋_GB2312" w:eastAsia="仿宋_GB2312" w:cs="仿宋_GB2312"/>
          <w:color w:val="000000"/>
          <w:sz w:val="32"/>
          <w:szCs w:val="32"/>
        </w:rPr>
        <w:pict>
          <v:shape id="_x0000_s1032" o:spid="_x0000_s1032" o:spt="75" type="#_x0000_t75" style="position:absolute;left:0pt;margin-left:25.1pt;margin-top:18.55pt;height:260.45pt;width:372.8pt;z-index:251667456;mso-width-relative:page;mso-height-relative:page;" o:ole="t" filled="f" o:preferrelative="t" stroked="f" coordsize="21600,21600">
            <v:path/>
            <v:fill on="f" focussize="0,0"/>
            <v:stroke on="f"/>
            <v:imagedata r:id="rId13" o:title=""/>
            <o:lock v:ext="edit" aspectratio="t"/>
          </v:shape>
          <o:OLEObject Type="Embed" ProgID="MSGraph.Chart.8" ShapeID="_x0000_s1032" DrawAspect="Content" ObjectID="_1468075725" r:id="rId12">
            <o:LockedField>false</o:LockedField>
          </o:OLEObject>
        </w:pict>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ascii="仿宋_GB2312" w:eastAsia="仿宋_GB2312"/>
          <w:b/>
          <w:color w:val="000000"/>
          <w:sz w:val="32"/>
          <w:szCs w:val="32"/>
        </w:rPr>
      </w:pPr>
    </w:p>
    <w:p>
      <w:pPr>
        <w:spacing w:line="600" w:lineRule="exact"/>
        <w:ind w:firstLine="640"/>
        <w:rPr>
          <w:rFonts w:ascii="仿宋_GB2312" w:eastAsia="仿宋_GB2312"/>
          <w:b/>
          <w:color w:val="000000"/>
          <w:sz w:val="32"/>
          <w:szCs w:val="32"/>
        </w:rPr>
      </w:pPr>
    </w:p>
    <w:p>
      <w:pPr>
        <w:spacing w:line="600" w:lineRule="exact"/>
        <w:ind w:firstLine="640"/>
        <w:rPr>
          <w:rFonts w:ascii="仿宋_GB2312" w:eastAsia="仿宋_GB2312"/>
          <w:b/>
          <w:color w:val="000000"/>
          <w:sz w:val="32"/>
          <w:szCs w:val="32"/>
        </w:rPr>
      </w:pPr>
    </w:p>
    <w:p>
      <w:pPr>
        <w:spacing w:line="600" w:lineRule="exact"/>
        <w:ind w:firstLine="640"/>
        <w:rPr>
          <w:rFonts w:ascii="仿宋_GB2312" w:eastAsia="仿宋_GB2312"/>
          <w:b/>
          <w:color w:val="000000"/>
          <w:sz w:val="32"/>
          <w:szCs w:val="32"/>
        </w:rPr>
      </w:pP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w:t>
      </w:r>
      <w:r>
        <w:rPr>
          <w:rFonts w:hint="eastAsia" w:ascii="仿宋_GB2312" w:eastAsia="仿宋_GB2312"/>
          <w:color w:val="000000"/>
          <w:sz w:val="32"/>
          <w:szCs w:val="32"/>
        </w:rPr>
        <w:t>。主要原因是…</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开支内容包括：…（团组名称、出访地点、取得成效）</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w:t>
      </w:r>
      <w:r>
        <w:rPr>
          <w:rFonts w:hint="eastAsia" w:ascii="仿宋_GB2312" w:eastAsia="仿宋_GB2312"/>
          <w:color w:val="000000"/>
          <w:sz w:val="32"/>
          <w:szCs w:val="32"/>
        </w:rPr>
        <w:t>。主要原因是…</w:t>
      </w:r>
    </w:p>
    <w:p>
      <w:pPr>
        <w:spacing w:line="600" w:lineRule="exact"/>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辆，其中：主要领导干部用车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 执法执勤用车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_GB2312" w:eastAsia="仿宋_GB2312"/>
          <w:color w:val="000000"/>
          <w:sz w:val="32"/>
          <w:szCs w:val="32"/>
          <w:lang w:eastAsia="zh-CN"/>
        </w:rPr>
        <w:t>，其他用车</w:t>
      </w:r>
      <w:r>
        <w:rPr>
          <w:rFonts w:hint="eastAsia" w:ascii="仿宋_GB2312" w:eastAsia="仿宋_GB2312"/>
          <w:color w:val="000000"/>
          <w:sz w:val="32"/>
          <w:szCs w:val="32"/>
          <w:lang w:val="en-US" w:eastAsia="zh-CN"/>
        </w:rPr>
        <w:t>9辆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w:t>
      </w:r>
      <w:r>
        <w:rPr>
          <w:rFonts w:ascii="仿宋_GB2312" w:eastAsia="仿宋_GB2312"/>
          <w:color w:val="000000"/>
          <w:sz w:val="32"/>
          <w:szCs w:val="32"/>
        </w:rPr>
        <w:t>…</w:t>
      </w:r>
      <w:r>
        <w:rPr>
          <w:rFonts w:hint="eastAsia" w:ascii="仿宋_GB2312" w:eastAsia="仿宋_GB2312"/>
          <w:color w:val="000000"/>
          <w:sz w:val="32"/>
          <w:szCs w:val="32"/>
        </w:rPr>
        <w:t>（具体工作）等所需的公务用车燃料费、维修费、过路过桥费、保险费等支出。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w:t>
      </w:r>
      <w:r>
        <w:rPr>
          <w:rFonts w:hint="eastAsia" w:ascii="仿宋_GB2312" w:eastAsia="仿宋_GB2312"/>
          <w:color w:val="000000"/>
          <w:sz w:val="32"/>
          <w:szCs w:val="32"/>
        </w:rPr>
        <w:t>。主要原因是…其中：</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万元，主要用于……(执行公务、开展业务活动开支的交通费、住宿费、用餐费等)。国内公务接待</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人次（不包括陪同人员），共计支出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万元，具体内容包括：…（接待具体项目、金额）。</w:t>
      </w:r>
    </w:p>
    <w:p>
      <w:pPr>
        <w:spacing w:line="600" w:lineRule="exact"/>
        <w:ind w:firstLine="640"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批次，</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人，共计支出</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万元，主要用于接待</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（具体项目）</w:t>
      </w:r>
      <w:bookmarkStart w:id="43" w:name="_Toc15377218"/>
      <w:bookmarkStart w:id="44" w:name="_Toc15396610"/>
    </w:p>
    <w:p>
      <w:pPr>
        <w:spacing w:line="600" w:lineRule="exact"/>
        <w:ind w:firstLine="640"/>
        <w:outlineLvl w:val="1"/>
        <w:rPr>
          <w:rStyle w:val="26"/>
          <w:rFonts w:ascii="黑体" w:hAnsi="黑体" w:eastAsia="黑体"/>
        </w:rPr>
      </w:pPr>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43"/>
      <w:bookmarkEnd w:id="4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w:t>
      </w:r>
      <w:r>
        <w:rPr>
          <w:rStyle w:val="14"/>
          <w:rFonts w:hint="eastAsia" w:ascii="仿宋_GB2312" w:hAnsi="仿宋_GB2312" w:eastAsia="仿宋_GB2312" w:cs="仿宋_GB2312"/>
          <w:b w:val="0"/>
          <w:bCs w:val="0"/>
          <w:color w:val="000000"/>
          <w:sz w:val="32"/>
          <w:szCs w:val="32"/>
          <w:lang w:val="en-US" w:eastAsia="zh-CN"/>
        </w:rPr>
        <w:t>688.16</w:t>
      </w:r>
      <w:r>
        <w:rPr>
          <w:rFonts w:hint="eastAsia" w:ascii="仿宋_GB2312" w:eastAsia="仿宋_GB2312"/>
          <w:color w:val="000000"/>
          <w:sz w:val="32"/>
          <w:szCs w:val="32"/>
        </w:rPr>
        <w:t>万元。</w:t>
      </w:r>
      <w:r>
        <w:rPr>
          <w:rFonts w:hint="eastAsia" w:ascii="仿宋_GB2312" w:hAnsi="仿宋_GB2312" w:eastAsia="仿宋_GB2312" w:cs="仿宋_GB2312"/>
          <w:b/>
          <w:bCs/>
          <w:color w:val="000000"/>
          <w:sz w:val="32"/>
          <w:szCs w:val="32"/>
          <w:lang w:val="en-US" w:eastAsia="zh-CN"/>
        </w:rPr>
        <w:t>城乡社区支出</w:t>
      </w:r>
      <w:r>
        <w:rPr>
          <w:rStyle w:val="14"/>
          <w:rFonts w:hint="eastAsia" w:ascii="仿宋_GB2312" w:hAnsi="仿宋_GB2312" w:eastAsia="仿宋_GB2312" w:cs="仿宋_GB2312"/>
          <w:b/>
          <w:bCs/>
          <w:color w:val="000000"/>
          <w:sz w:val="32"/>
          <w:szCs w:val="32"/>
        </w:rPr>
        <w:t>（类</w:t>
      </w:r>
      <w:r>
        <w:rPr>
          <w:rStyle w:val="14"/>
          <w:rFonts w:hint="eastAsia" w:ascii="仿宋_GB2312" w:hAnsi="仿宋_GB2312" w:eastAsia="仿宋_GB2312" w:cs="仿宋_GB2312"/>
          <w:color w:val="000000"/>
          <w:sz w:val="32"/>
          <w:szCs w:val="32"/>
        </w:rPr>
        <w:t>）</w:t>
      </w:r>
      <w:r>
        <w:rPr>
          <w:rStyle w:val="14"/>
          <w:rFonts w:hint="eastAsia" w:ascii="仿宋_GB2312" w:hAnsi="仿宋_GB2312" w:eastAsia="仿宋_GB2312" w:cs="仿宋_GB2312"/>
          <w:color w:val="000000"/>
          <w:sz w:val="32"/>
          <w:szCs w:val="32"/>
          <w:lang w:eastAsia="zh-CN"/>
        </w:rPr>
        <w:t>国有土地使用权出让收入及对应专项债务收入安排的支出</w:t>
      </w:r>
      <w:r>
        <w:rPr>
          <w:rStyle w:val="14"/>
          <w:rFonts w:hint="eastAsia" w:ascii="仿宋_GB2312" w:hAnsi="仿宋_GB2312" w:eastAsia="仿宋_GB2312" w:cs="仿宋_GB2312"/>
          <w:color w:val="000000"/>
          <w:sz w:val="32"/>
          <w:szCs w:val="32"/>
        </w:rPr>
        <w:t>（款）</w:t>
      </w:r>
      <w:r>
        <w:rPr>
          <w:rStyle w:val="14"/>
          <w:rFonts w:hint="eastAsia" w:ascii="仿宋_GB2312" w:hAnsi="仿宋_GB2312" w:eastAsia="仿宋_GB2312" w:cs="仿宋_GB2312"/>
          <w:color w:val="000000"/>
          <w:sz w:val="32"/>
          <w:szCs w:val="32"/>
          <w:lang w:eastAsia="zh-CN"/>
        </w:rPr>
        <w:t>土地开发支出</w:t>
      </w:r>
      <w:r>
        <w:rPr>
          <w:rStyle w:val="14"/>
          <w:rFonts w:hint="eastAsia" w:ascii="仿宋_GB2312" w:hAnsi="仿宋_GB2312" w:eastAsia="仿宋_GB2312" w:cs="仿宋_GB2312"/>
          <w:color w:val="000000"/>
          <w:sz w:val="32"/>
          <w:szCs w:val="32"/>
        </w:rPr>
        <w:t>（项）</w:t>
      </w:r>
      <w:r>
        <w:rPr>
          <w:rStyle w:val="14"/>
          <w:rFonts w:hint="eastAsia" w:ascii="仿宋_GB2312" w:hAnsi="仿宋_GB2312" w:eastAsia="仿宋_GB2312" w:cs="仿宋_GB2312"/>
          <w:color w:val="000000"/>
          <w:sz w:val="32"/>
          <w:szCs w:val="32"/>
          <w:lang w:eastAsia="zh-CN"/>
        </w:rPr>
        <w:t>：</w:t>
      </w:r>
      <w:r>
        <w:rPr>
          <w:rStyle w:val="14"/>
          <w:rFonts w:hint="eastAsia" w:ascii="仿宋_GB2312" w:hAnsi="仿宋_GB2312" w:eastAsia="仿宋_GB2312" w:cs="仿宋_GB2312"/>
          <w:b w:val="0"/>
          <w:bCs w:val="0"/>
          <w:color w:val="000000"/>
          <w:sz w:val="32"/>
          <w:szCs w:val="32"/>
          <w:lang w:val="en-US" w:eastAsia="zh-CN"/>
        </w:rPr>
        <w:t>2019年决算数为688.16万元，</w:t>
      </w:r>
      <w:r>
        <w:rPr>
          <w:rFonts w:hint="eastAsia" w:ascii="仿宋_GB2312" w:hAnsi="仿宋_GB2312" w:eastAsia="仿宋_GB2312" w:cs="仿宋_GB2312"/>
          <w:color w:val="000000"/>
          <w:sz w:val="32"/>
          <w:szCs w:val="32"/>
        </w:rPr>
        <w:t>完成预算</w:t>
      </w:r>
      <w:r>
        <w:rPr>
          <w:rFonts w:hint="eastAsia" w:ascii="仿宋_GB2312" w:hAnsi="仿宋_GB2312" w:eastAsia="仿宋_GB2312" w:cs="仿宋_GB2312"/>
          <w:color w:val="000000"/>
          <w:sz w:val="32"/>
          <w:szCs w:val="32"/>
          <w:lang w:val="en-US" w:eastAsia="zh-CN"/>
        </w:rPr>
        <w:t>100.00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w:t>
      </w:r>
    </w:p>
    <w:p>
      <w:pPr>
        <w:spacing w:line="600" w:lineRule="exact"/>
        <w:ind w:firstLine="640"/>
        <w:rPr>
          <w:rFonts w:ascii="仿宋_GB2312" w:eastAsia="仿宋_GB2312"/>
          <w:color w:val="000000"/>
          <w:sz w:val="32"/>
          <w:szCs w:val="32"/>
        </w:rPr>
      </w:pPr>
    </w:p>
    <w:p>
      <w:pPr>
        <w:numPr>
          <w:ilvl w:val="0"/>
          <w:numId w:val="2"/>
        </w:numPr>
        <w:spacing w:line="600" w:lineRule="exact"/>
        <w:ind w:firstLine="640"/>
        <w:outlineLvl w:val="1"/>
        <w:rPr>
          <w:rStyle w:val="26"/>
          <w:rFonts w:ascii="黑体" w:hAnsi="黑体" w:eastAsia="黑体"/>
          <w:b w:val="0"/>
        </w:rPr>
      </w:pPr>
      <w:bookmarkStart w:id="45" w:name="_Toc15377219"/>
      <w:bookmarkStart w:id="46" w:name="_Toc15396611"/>
      <w:r>
        <w:rPr>
          <w:rStyle w:val="26"/>
          <w:rFonts w:hint="eastAsia" w:ascii="黑体" w:hAnsi="黑体" w:eastAsia="黑体"/>
          <w:b w:val="0"/>
        </w:rPr>
        <w:t>国有资本经营预算支出决算情况说明</w:t>
      </w:r>
      <w:bookmarkEnd w:id="45"/>
      <w:bookmarkEnd w:id="46"/>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6"/>
          <w:rFonts w:ascii="黑体" w:hAnsi="黑体" w:eastAsia="黑体"/>
        </w:rPr>
      </w:pPr>
      <w:bookmarkStart w:id="47" w:name="_Toc15396612"/>
      <w:bookmarkStart w:id="48" w:name="_Toc15377221"/>
      <w:r>
        <w:rPr>
          <w:rFonts w:hint="eastAsia" w:ascii="黑体" w:hAnsi="黑体" w:eastAsia="黑体"/>
          <w:color w:val="000000"/>
          <w:sz w:val="32"/>
          <w:szCs w:val="32"/>
        </w:rPr>
        <w:t>十</w:t>
      </w:r>
      <w:r>
        <w:rPr>
          <w:rStyle w:val="26"/>
          <w:rFonts w:hint="eastAsia" w:ascii="黑体" w:hAnsi="黑体" w:eastAsia="黑体"/>
        </w:rPr>
        <w:t>、</w:t>
      </w:r>
      <w:r>
        <w:rPr>
          <w:rStyle w:val="26"/>
          <w:rFonts w:hint="eastAsia" w:ascii="黑体" w:hAnsi="黑体" w:eastAsia="黑体"/>
          <w:b w:val="0"/>
        </w:rPr>
        <w:t>其他重要事项的情况说明</w:t>
      </w:r>
      <w:bookmarkEnd w:id="47"/>
      <w:bookmarkEnd w:id="48"/>
    </w:p>
    <w:p>
      <w:pPr>
        <w:spacing w:line="600" w:lineRule="exact"/>
        <w:ind w:firstLine="640" w:firstLineChars="200"/>
        <w:outlineLvl w:val="2"/>
        <w:rPr>
          <w:rFonts w:ascii="仿宋" w:hAnsi="仿宋" w:eastAsia="仿宋"/>
          <w:color w:val="000000"/>
          <w:sz w:val="32"/>
          <w:szCs w:val="32"/>
        </w:rPr>
      </w:pPr>
      <w:bookmarkStart w:id="49" w:name="_Toc15377222"/>
      <w:r>
        <w:rPr>
          <w:rFonts w:hint="eastAsia" w:ascii="仿宋" w:hAnsi="仿宋" w:eastAsia="仿宋"/>
          <w:b/>
          <w:color w:val="000000"/>
          <w:sz w:val="32"/>
          <w:szCs w:val="32"/>
        </w:rPr>
        <w:t>（一）机关运行经费支出情况</w:t>
      </w:r>
      <w:bookmarkEnd w:id="49"/>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w:t>
      </w:r>
      <w:r>
        <w:rPr>
          <w:rFonts w:hint="eastAsia" w:ascii="仿宋_GB2312" w:eastAsia="仿宋_GB2312"/>
          <w:color w:val="000000"/>
          <w:sz w:val="32"/>
          <w:szCs w:val="32"/>
        </w:rPr>
        <w:t>机关运行经费支出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w:t>
      </w:r>
      <w:r>
        <w:rPr>
          <w:rFonts w:hint="eastAsia" w:ascii="仿宋_GB2312" w:eastAsia="仿宋_GB2312"/>
          <w:color w:val="000000"/>
          <w:sz w:val="32"/>
          <w:szCs w:val="32"/>
        </w:rPr>
        <w:t>（或与</w:t>
      </w:r>
      <w:r>
        <w:rPr>
          <w:rFonts w:ascii="仿宋_GB2312" w:eastAsia="仿宋_GB2312"/>
          <w:color w:val="000000"/>
          <w:sz w:val="32"/>
          <w:szCs w:val="32"/>
        </w:rPr>
        <w:t>201</w:t>
      </w:r>
      <w:r>
        <w:rPr>
          <w:rFonts w:hint="eastAsia" w:ascii="仿宋_GB2312" w:eastAsia="仿宋_GB2312"/>
          <w:color w:val="000000"/>
          <w:sz w:val="32"/>
          <w:szCs w:val="32"/>
        </w:rPr>
        <w:t>8年决算数持平）。</w:t>
      </w:r>
      <w:r>
        <w:rPr>
          <w:rFonts w:hint="eastAsia" w:ascii="仿宋_GB2312" w:eastAsia="仿宋_GB2312"/>
          <w:color w:val="000000" w:themeColor="text1"/>
          <w:sz w:val="32"/>
          <w:szCs w:val="32"/>
          <w14:textFill>
            <w14:solidFill>
              <w14:schemeClr w14:val="tx1"/>
            </w14:solidFill>
          </w14:textFill>
        </w:rPr>
        <w:t>主要原因是……</w:t>
      </w:r>
    </w:p>
    <w:p>
      <w:pPr>
        <w:spacing w:line="600" w:lineRule="exact"/>
        <w:ind w:firstLine="640"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bookmarkStart w:id="50" w:name="_Toc15377223"/>
      <w:r>
        <w:rPr>
          <w:rFonts w:hint="eastAsia" w:ascii="仿宋" w:hAnsi="仿宋" w:eastAsia="仿宋"/>
          <w:b/>
          <w:color w:val="000000"/>
          <w:sz w:val="32"/>
          <w:szCs w:val="32"/>
        </w:rPr>
        <w:t>（二）政府采购支出情况</w:t>
      </w:r>
      <w:bookmarkEnd w:id="50"/>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万元，其中：政府采购货物支出</w:t>
      </w:r>
      <w:r>
        <w:rPr>
          <w:rFonts w:ascii="仿宋_GB2312" w:eastAsia="仿宋_GB2312"/>
          <w:color w:val="000000"/>
          <w:sz w:val="32"/>
          <w:szCs w:val="32"/>
        </w:rPr>
        <w:t>**</w:t>
      </w:r>
      <w:r>
        <w:rPr>
          <w:rFonts w:hint="eastAsia" w:ascii="仿宋_GB2312" w:eastAsia="仿宋_GB2312"/>
          <w:color w:val="000000"/>
          <w:sz w:val="32"/>
          <w:szCs w:val="32"/>
        </w:rPr>
        <w:t>万元、政府采购工程支出</w:t>
      </w:r>
      <w:r>
        <w:rPr>
          <w:rFonts w:ascii="仿宋_GB2312" w:eastAsia="仿宋_GB2312"/>
          <w:color w:val="000000"/>
          <w:sz w:val="32"/>
          <w:szCs w:val="32"/>
        </w:rPr>
        <w:t>**</w:t>
      </w:r>
      <w:r>
        <w:rPr>
          <w:rFonts w:hint="eastAsia" w:ascii="仿宋_GB2312" w:eastAsia="仿宋_GB2312"/>
          <w:color w:val="000000"/>
          <w:sz w:val="32"/>
          <w:szCs w:val="32"/>
        </w:rPr>
        <w:t>万元、政府采购服务支出</w:t>
      </w:r>
      <w:r>
        <w:rPr>
          <w:rFonts w:ascii="仿宋_GB2312" w:eastAsia="仿宋_GB2312"/>
          <w:color w:val="000000"/>
          <w:sz w:val="32"/>
          <w:szCs w:val="32"/>
        </w:rPr>
        <w:t>**</w:t>
      </w:r>
      <w:r>
        <w:rPr>
          <w:rFonts w:hint="eastAsia" w:ascii="仿宋_GB2312" w:eastAsia="仿宋_GB2312"/>
          <w:color w:val="000000"/>
          <w:sz w:val="32"/>
          <w:szCs w:val="32"/>
        </w:rPr>
        <w:t>万元。主要用于</w:t>
      </w:r>
      <w:r>
        <w:rPr>
          <w:rFonts w:ascii="仿宋_GB2312" w:eastAsia="仿宋_GB2312"/>
          <w:color w:val="000000"/>
          <w:sz w:val="32"/>
          <w:szCs w:val="32"/>
        </w:rPr>
        <w:t>…</w:t>
      </w:r>
      <w:r>
        <w:rPr>
          <w:rFonts w:hint="eastAsia" w:ascii="仿宋_GB2312" w:eastAsia="仿宋_GB2312"/>
          <w:color w:val="000000"/>
          <w:sz w:val="32"/>
          <w:szCs w:val="32"/>
        </w:rPr>
        <w:t>（具体工作）。授予中小企业合同金额</w:t>
      </w:r>
      <w:r>
        <w:rPr>
          <w:rFonts w:ascii="仿宋_GB2312" w:eastAsia="仿宋_GB2312"/>
          <w:color w:val="000000"/>
          <w:sz w:val="32"/>
          <w:szCs w:val="32"/>
        </w:rPr>
        <w:t>**</w:t>
      </w:r>
      <w:r>
        <w:rPr>
          <w:rFonts w:hint="eastAsia" w:ascii="仿宋_GB2312" w:eastAsia="仿宋_GB2312"/>
          <w:color w:val="000000"/>
          <w:sz w:val="32"/>
          <w:szCs w:val="32"/>
        </w:rPr>
        <w:t>万元，占政府采购支出总额的</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ascii="仿宋_GB2312" w:eastAsia="仿宋_GB2312"/>
          <w:color w:val="000000"/>
          <w:sz w:val="32"/>
          <w:szCs w:val="32"/>
        </w:rPr>
        <w:t>**</w:t>
      </w:r>
      <w:r>
        <w:rPr>
          <w:rFonts w:hint="eastAsia" w:ascii="仿宋_GB2312" w:eastAsia="仿宋_GB2312"/>
          <w:color w:val="000000"/>
          <w:sz w:val="32"/>
          <w:szCs w:val="32"/>
        </w:rPr>
        <w:t>万元，占政府采购支出总额的</w:t>
      </w:r>
      <w:r>
        <w:rPr>
          <w:rFonts w:ascii="仿宋_GB2312" w:eastAsia="仿宋_GB2312"/>
          <w:color w:val="000000"/>
          <w:sz w:val="32"/>
          <w:szCs w:val="32"/>
        </w:rPr>
        <w:t>**%</w:t>
      </w:r>
      <w:r>
        <w:rPr>
          <w:rFonts w:hint="eastAsia" w:ascii="仿宋_GB2312" w:eastAsia="仿宋_GB2312"/>
          <w:color w:val="000000"/>
          <w:sz w:val="32"/>
          <w:szCs w:val="32"/>
        </w:rPr>
        <w:t>。</w:t>
      </w:r>
    </w:p>
    <w:p>
      <w:pPr>
        <w:spacing w:line="600" w:lineRule="exact"/>
        <w:ind w:firstLine="640"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bookmarkStart w:id="51" w:name="_Toc15377224"/>
      <w:r>
        <w:rPr>
          <w:rFonts w:hint="eastAsia" w:ascii="仿宋" w:hAnsi="仿宋" w:eastAsia="仿宋"/>
          <w:b/>
          <w:color w:val="000000"/>
          <w:sz w:val="32"/>
          <w:szCs w:val="32"/>
        </w:rPr>
        <w:t>（三）国有资产占有使用情况</w:t>
      </w:r>
      <w:bookmarkEnd w:id="51"/>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ascii="仿宋_GB2312" w:eastAsia="仿宋_GB2312"/>
          <w:color w:val="000000"/>
          <w:sz w:val="32"/>
          <w:szCs w:val="32"/>
        </w:rPr>
        <w:t>***</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辆，其中：主要领导干部用车</w:t>
      </w:r>
      <w:r>
        <w:rPr>
          <w:rFonts w:ascii="仿宋_GB2312" w:eastAsia="仿宋_GB2312"/>
          <w:color w:val="000000"/>
          <w:sz w:val="32"/>
          <w:szCs w:val="32"/>
        </w:rPr>
        <w:t>**</w:t>
      </w:r>
      <w:r>
        <w:rPr>
          <w:rFonts w:hint="eastAsia" w:ascii="仿宋_GB2312" w:eastAsia="仿宋_GB2312"/>
          <w:color w:val="000000"/>
          <w:sz w:val="32"/>
          <w:szCs w:val="32"/>
        </w:rPr>
        <w:t>辆、机要通信用车</w:t>
      </w:r>
      <w:r>
        <w:rPr>
          <w:rFonts w:ascii="仿宋_GB2312" w:eastAsia="仿宋_GB2312"/>
          <w:color w:val="000000"/>
          <w:sz w:val="32"/>
          <w:szCs w:val="32"/>
        </w:rPr>
        <w:t>**</w:t>
      </w:r>
      <w:r>
        <w:rPr>
          <w:rFonts w:hint="eastAsia" w:ascii="仿宋_GB2312" w:eastAsia="仿宋_GB2312"/>
          <w:color w:val="000000"/>
          <w:sz w:val="32"/>
          <w:szCs w:val="32"/>
        </w:rPr>
        <w:t>辆、应急保障用车</w:t>
      </w:r>
      <w:r>
        <w:rPr>
          <w:rFonts w:ascii="仿宋_GB2312" w:eastAsia="仿宋_GB2312"/>
          <w:color w:val="000000"/>
          <w:sz w:val="32"/>
          <w:szCs w:val="32"/>
        </w:rPr>
        <w:t>**</w:t>
      </w:r>
      <w:r>
        <w:rPr>
          <w:rFonts w:hint="eastAsia" w:ascii="仿宋_GB2312" w:eastAsia="仿宋_GB2312"/>
          <w:color w:val="000000"/>
          <w:sz w:val="32"/>
          <w:szCs w:val="32"/>
        </w:rPr>
        <w:t>辆、其他用车</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辆……</w:t>
      </w:r>
      <w:r>
        <w:rPr>
          <w:rFonts w:hint="eastAsia" w:ascii="仿宋_GB2312" w:eastAsia="仿宋_GB2312"/>
          <w:color w:val="000000" w:themeColor="text1"/>
          <w:sz w:val="32"/>
          <w:szCs w:val="32"/>
          <w14:textFill>
            <w14:solidFill>
              <w14:schemeClr w14:val="tx1"/>
            </w14:solidFill>
          </w14:textFill>
        </w:rPr>
        <w:t>其他用车主要是用于</w:t>
      </w:r>
      <w:r>
        <w:rPr>
          <w:rFonts w:hint="eastAsia" w:ascii="仿宋_GB2312" w:eastAsia="仿宋_GB2312"/>
          <w:color w:val="000000" w:themeColor="text1"/>
          <w:sz w:val="32"/>
          <w:szCs w:val="32"/>
          <w:lang w:eastAsia="zh-CN"/>
          <w14:textFill>
            <w14:solidFill>
              <w14:schemeClr w14:val="tx1"/>
            </w14:solidFill>
          </w14:textFill>
        </w:rPr>
        <w:t>救护任务用车。</w:t>
      </w:r>
      <w:r>
        <w:rPr>
          <w:rFonts w:hint="eastAsia" w:ascii="仿宋_GB2312" w:eastAsia="仿宋_GB2312"/>
          <w:color w:val="000000" w:themeColor="text1"/>
          <w:sz w:val="32"/>
          <w:szCs w:val="32"/>
          <w14:textFill>
            <w14:solidFill>
              <w14:schemeClr w14:val="tx1"/>
            </w14:solidFill>
          </w14:textFill>
        </w:rPr>
        <w:t>单价</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w:t>
      </w: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47</w:t>
      </w:r>
      <w:r>
        <w:rPr>
          <w:rFonts w:hint="eastAsia" w:ascii="仿宋_GB2312" w:eastAsia="仿宋_GB2312"/>
          <w:color w:val="000000"/>
          <w:sz w:val="32"/>
          <w:szCs w:val="32"/>
        </w:rPr>
        <w:t>台（套）。</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hint="eastAsia" w:ascii="仿宋_GB2312" w:hAnsi="仿宋_GB2312" w:eastAsia="仿宋_GB2312" w:cs="仿宋_GB2312"/>
          <w:i w:val="0"/>
          <w:color w:val="000000"/>
          <w:kern w:val="0"/>
          <w:sz w:val="32"/>
          <w:szCs w:val="32"/>
          <w:u w:val="none"/>
          <w:lang w:val="en-US" w:eastAsia="zh-CN" w:bidi="ar"/>
        </w:rPr>
        <w:t>城市公立医院改革补助资金-专用设备补助</w:t>
      </w:r>
      <w:r>
        <w:rPr>
          <w:rFonts w:ascii="仿宋_GB2312" w:hAnsi="仿宋_GB2312" w:eastAsia="仿宋_GB2312" w:cs="仿宋_GB2312"/>
          <w:sz w:val="32"/>
          <w:szCs w:val="32"/>
        </w:rPr>
        <w:t>””</w:t>
      </w:r>
      <w:r>
        <w:rPr>
          <w:rFonts w:hint="eastAsia" w:ascii="仿宋_GB2312" w:hAnsi="仿宋_GB2312" w:eastAsia="仿宋_GB2312" w:cs="仿宋_GB2312"/>
          <w:i w:val="0"/>
          <w:color w:val="000000"/>
          <w:kern w:val="0"/>
          <w:sz w:val="32"/>
          <w:szCs w:val="32"/>
          <w:u w:val="none"/>
          <w:lang w:val="en-US" w:eastAsia="zh-CN" w:bidi="ar"/>
        </w:rPr>
        <w:t>机关事业单位养老保险改革补助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i w:val="0"/>
          <w:color w:val="000000"/>
          <w:kern w:val="0"/>
          <w:sz w:val="32"/>
          <w:szCs w:val="32"/>
          <w:u w:val="none"/>
          <w:lang w:val="en-US" w:eastAsia="zh-CN" w:bidi="ar"/>
        </w:rPr>
        <w:t>城市公立医院改革取消药品加成政府补助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项目（项目名称）开展了预算事前绩效评估，对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个项目开展了绩效目标完成情况自评。</w:t>
      </w:r>
    </w:p>
    <w:p>
      <w:pPr>
        <w:pStyle w:val="7"/>
        <w:spacing w:line="600" w:lineRule="exact"/>
        <w:ind w:firstLine="640" w:firstLineChars="200"/>
        <w:jc w:val="left"/>
        <w:rPr>
          <w:rFonts w:hint="eastAsia" w:ascii="宋体" w:hAnsi="宋体" w:eastAsia="宋体" w:cs="Times New Roman"/>
          <w:sz w:val="32"/>
          <w:szCs w:val="32"/>
        </w:rPr>
      </w:pPr>
      <w:r>
        <w:rPr>
          <w:rFonts w:hint="eastAsia" w:ascii="仿宋_GB2312" w:hAnsi="仿宋_GB2312" w:eastAsia="仿宋_GB2312" w:cs="仿宋_GB2312"/>
          <w:sz w:val="32"/>
          <w:szCs w:val="32"/>
        </w:rPr>
        <w:t>本部门按要求对2019年部门整体支出开展绩效自评，</w:t>
      </w:r>
      <w:r>
        <w:rPr>
          <w:rFonts w:hint="eastAsia" w:hAnsi="宋体"/>
          <w:sz w:val="32"/>
          <w:szCs w:val="32"/>
        </w:rPr>
        <w:t>2019年我院对财政资金严格管理，成立领导小组，专人专账管理，严格按资金使用范围使用，除一项省财政下达的长期资金在本年度只执行了一部分外（在偏离原因中另作说明），部门预算财政资金执行进度，各项绩效指标均达到了预期目标，达到了年度预算的整体目标。</w:t>
      </w:r>
    </w:p>
    <w:p>
      <w:pPr>
        <w:numPr>
          <w:ilvl w:val="0"/>
          <w:numId w:val="3"/>
        </w:numPr>
        <w:spacing w:line="58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本部门在2019年度部门决算中反映“</w:t>
      </w:r>
      <w:r>
        <w:rPr>
          <w:rFonts w:hint="eastAsia" w:ascii="仿宋_GB2312" w:hAnsi="仿宋_GB2312" w:eastAsia="仿宋_GB2312" w:cs="仿宋_GB2312"/>
          <w:i w:val="0"/>
          <w:color w:val="000000"/>
          <w:kern w:val="0"/>
          <w:sz w:val="32"/>
          <w:szCs w:val="32"/>
          <w:u w:val="none"/>
          <w:lang w:val="en-US" w:eastAsia="zh-CN" w:bidi="ar"/>
        </w:rPr>
        <w:t>城市公立医院改革补助资金-专用设备补助</w:t>
      </w:r>
      <w:r>
        <w:rPr>
          <w:rFonts w:ascii="仿宋_GB2312" w:hAnsi="仿宋_GB2312" w:eastAsia="仿宋_GB2312" w:cs="仿宋_GB2312"/>
          <w:sz w:val="32"/>
          <w:szCs w:val="32"/>
        </w:rPr>
        <w:t>””</w:t>
      </w:r>
      <w:r>
        <w:rPr>
          <w:rFonts w:hint="eastAsia" w:ascii="仿宋_GB2312" w:hAnsi="仿宋_GB2312" w:eastAsia="仿宋_GB2312" w:cs="仿宋_GB2312"/>
          <w:i w:val="0"/>
          <w:color w:val="000000"/>
          <w:kern w:val="0"/>
          <w:sz w:val="32"/>
          <w:szCs w:val="32"/>
          <w:u w:val="none"/>
          <w:lang w:val="en-US" w:eastAsia="zh-CN" w:bidi="ar"/>
        </w:rPr>
        <w:t>机关事业单位养老保险改革补助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i w:val="0"/>
          <w:color w:val="000000"/>
          <w:kern w:val="0"/>
          <w:sz w:val="32"/>
          <w:szCs w:val="32"/>
          <w:u w:val="none"/>
          <w:lang w:val="en-US" w:eastAsia="zh-CN" w:bidi="ar"/>
        </w:rPr>
        <w:t>城市公立医院改革取消药品加成政府补助</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个项目绩效目标实际完成情况进行公开</w:t>
      </w:r>
      <w:r>
        <w:rPr>
          <w:rFonts w:hint="eastAsia" w:ascii="仿宋_GB2312" w:hAnsi="仿宋_GB2312" w:eastAsia="仿宋_GB2312" w:cs="仿宋_GB2312"/>
          <w:sz w:val="32"/>
          <w:szCs w:val="32"/>
          <w:lang w:eastAsia="zh-CN"/>
        </w:rPr>
        <w:t>。</w:t>
      </w:r>
    </w:p>
    <w:p>
      <w:pPr>
        <w:spacing w:line="600" w:lineRule="atLeas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i w:val="0"/>
          <w:color w:val="000000"/>
          <w:kern w:val="0"/>
          <w:sz w:val="32"/>
          <w:szCs w:val="32"/>
          <w:u w:val="none"/>
          <w:lang w:val="en-US" w:eastAsia="zh-CN" w:bidi="ar"/>
        </w:rPr>
        <w:t>城市公立医院改革补助资金-专用设备补助</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166</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166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i w:val="0"/>
          <w:color w:val="000000"/>
          <w:kern w:val="0"/>
          <w:sz w:val="32"/>
          <w:szCs w:val="32"/>
          <w:u w:val="none"/>
          <w:lang w:val="en-US" w:eastAsia="zh-CN" w:bidi="ar"/>
        </w:rPr>
        <w:t>购买超声诊断仪、乳腺X射线机各一台，增强了医院的诊断能力，保障了患者诊断的需要和医院的持续发展。</w:t>
      </w:r>
    </w:p>
    <w:tbl>
      <w:tblPr>
        <w:tblStyle w:val="16"/>
        <w:tblpPr w:leftFromText="180" w:rightFromText="180" w:vertAnchor="text" w:horzAnchor="page" w:tblpX="989" w:tblpY="826"/>
        <w:tblOverlap w:val="never"/>
        <w:tblW w:w="102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9"/>
        <w:gridCol w:w="1019"/>
        <w:gridCol w:w="964"/>
        <w:gridCol w:w="1342"/>
        <w:gridCol w:w="1935"/>
        <w:gridCol w:w="1412"/>
        <w:gridCol w:w="932"/>
        <w:gridCol w:w="1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0210" w:type="dxa"/>
            <w:gridSpan w:val="8"/>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攀枝花市2019年度专项（项目）资金绩效自评表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10"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r>
              <w:rPr>
                <w:rStyle w:val="31"/>
                <w:rFonts w:eastAsia="宋体"/>
                <w:lang w:val="en-US" w:eastAsia="zh-CN" w:bidi="ar"/>
              </w:rPr>
              <w:t>2019</w:t>
            </w:r>
            <w:r>
              <w:rPr>
                <w:rStyle w:val="32"/>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699"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1019"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964" w:type="dxa"/>
            <w:vAlign w:val="center"/>
          </w:tcPr>
          <w:p>
            <w:pPr>
              <w:rPr>
                <w:rFonts w:hint="eastAsia" w:ascii="宋体" w:hAnsi="宋体" w:eastAsia="宋体" w:cs="宋体"/>
                <w:i w:val="0"/>
                <w:color w:val="000000"/>
                <w:sz w:val="22"/>
                <w:szCs w:val="22"/>
                <w:u w:val="none"/>
              </w:rPr>
            </w:pPr>
          </w:p>
        </w:tc>
        <w:tc>
          <w:tcPr>
            <w:tcW w:w="1342" w:type="dxa"/>
            <w:vAlign w:val="center"/>
          </w:tcPr>
          <w:p>
            <w:pPr>
              <w:rPr>
                <w:rFonts w:hint="eastAsia" w:ascii="宋体" w:hAnsi="宋体" w:eastAsia="宋体" w:cs="宋体"/>
                <w:i w:val="0"/>
                <w:color w:val="000000"/>
                <w:sz w:val="22"/>
                <w:szCs w:val="22"/>
                <w:u w:val="none"/>
              </w:rPr>
            </w:pPr>
          </w:p>
        </w:tc>
        <w:tc>
          <w:tcPr>
            <w:tcW w:w="1935" w:type="dxa"/>
            <w:vAlign w:val="bottom"/>
          </w:tcPr>
          <w:p>
            <w:pPr>
              <w:rPr>
                <w:rFonts w:hint="eastAsia" w:ascii="宋体" w:hAnsi="宋体" w:eastAsia="宋体" w:cs="宋体"/>
                <w:i w:val="0"/>
                <w:color w:val="000000"/>
                <w:sz w:val="22"/>
                <w:szCs w:val="22"/>
                <w:u w:val="none"/>
              </w:rPr>
            </w:pPr>
          </w:p>
        </w:tc>
        <w:tc>
          <w:tcPr>
            <w:tcW w:w="1412" w:type="dxa"/>
            <w:vAlign w:val="bottom"/>
          </w:tcPr>
          <w:p>
            <w:pPr>
              <w:rPr>
                <w:rFonts w:hint="eastAsia" w:ascii="宋体" w:hAnsi="宋体" w:eastAsia="宋体" w:cs="宋体"/>
                <w:i w:val="0"/>
                <w:color w:val="000000"/>
                <w:sz w:val="22"/>
                <w:szCs w:val="22"/>
                <w:u w:val="none"/>
              </w:rPr>
            </w:pPr>
          </w:p>
        </w:tc>
        <w:tc>
          <w:tcPr>
            <w:tcW w:w="932" w:type="dxa"/>
            <w:vAlign w:val="bottom"/>
          </w:tcPr>
          <w:p>
            <w:pPr>
              <w:rPr>
                <w:rFonts w:hint="eastAsia" w:ascii="宋体" w:hAnsi="宋体" w:eastAsia="宋体" w:cs="宋体"/>
                <w:i w:val="0"/>
                <w:color w:val="000000"/>
                <w:sz w:val="22"/>
                <w:szCs w:val="22"/>
                <w:u w:val="none"/>
              </w:rPr>
            </w:pPr>
          </w:p>
        </w:tc>
        <w:tc>
          <w:tcPr>
            <w:tcW w:w="1907" w:type="dxa"/>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专项（项目）名称</w:t>
            </w:r>
          </w:p>
        </w:tc>
        <w:tc>
          <w:tcPr>
            <w:tcW w:w="7528"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城市公立医院改革补助资金-专用设备补助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项目主管单位</w:t>
            </w:r>
          </w:p>
        </w:tc>
        <w:tc>
          <w:tcPr>
            <w:tcW w:w="7528"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项目实施单位</w:t>
            </w:r>
          </w:p>
        </w:tc>
        <w:tc>
          <w:tcPr>
            <w:tcW w:w="7528"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全年预算数</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年度资金总额：</w:t>
            </w: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其中：上级财政资金</w:t>
            </w: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本级财政资金</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166</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166</w:t>
            </w: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2682"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其他资金</w:t>
            </w: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141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283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69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332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年度设定目标</w:t>
            </w:r>
          </w:p>
        </w:tc>
        <w:tc>
          <w:tcPr>
            <w:tcW w:w="6186"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91"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325"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根据医院十三五规划和临床学科发展，使用公立医院改革补助资金166万元开展新技术项目购置设备，同时对报废设备进行更新，保障患者正常治疗和手术需要。</w:t>
            </w:r>
          </w:p>
        </w:tc>
        <w:tc>
          <w:tcPr>
            <w:tcW w:w="6186"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预算资金全部执行完毕，用于购买超声诊断仪、乳腺X射线机各一台，增强了医院的诊断能力，保障了患者诊断的需要和医院的持续发展。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1019"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三级指标</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年度指标值</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完成率（%）</w:t>
            </w:r>
          </w:p>
        </w:tc>
        <w:tc>
          <w:tcPr>
            <w:tcW w:w="190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项目完成</w:t>
            </w:r>
          </w:p>
        </w:tc>
        <w:tc>
          <w:tcPr>
            <w:tcW w:w="964"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完成2019年度设备购置计划</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用于新购或置换1至2台专用设备</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新购2台</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11"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购置价格</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按政府采购规定购置</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超声诊断仪81万；乳腺X射线机85万，均按通过政府采购流程购置</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医疗设备质量规范</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采购设施设备应全部符合国家相关质量标准，医疗设备必须具有医疗器械注册证</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完成时间</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2019年12月前</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分别于2019年7月和9月购置完成</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6"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成本指标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预算控制</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不超过预算金额，30万元以上设备通过政府招标采购</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16"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项目效益</w:t>
            </w:r>
          </w:p>
        </w:tc>
        <w:tc>
          <w:tcPr>
            <w:tcW w:w="96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经济效益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严格控制检查，降低患者负担。</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通过引进新设备，开展新技术，提升医疗救治水平；及时更新淘汰旧设备，保障患者医疗安全。</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可持续影响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设备使用年限</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可在今后十年内持续服务于患者。</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6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3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患者满意度</w:t>
            </w:r>
          </w:p>
        </w:tc>
        <w:tc>
          <w:tcPr>
            <w:tcW w:w="1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14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07"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bl>
    <w:p>
      <w:pPr>
        <w:numPr>
          <w:ilvl w:val="0"/>
          <w:numId w:val="0"/>
        </w:numPr>
        <w:spacing w:line="580" w:lineRule="exact"/>
        <w:rPr>
          <w:rFonts w:hint="eastAsia" w:ascii="仿宋_GB2312" w:hAnsi="仿宋_GB2312" w:eastAsia="仿宋_GB2312" w:cs="仿宋_GB2312"/>
          <w:sz w:val="32"/>
          <w:szCs w:val="32"/>
        </w:rPr>
      </w:pPr>
    </w:p>
    <w:p>
      <w:pPr>
        <w:numPr>
          <w:ilvl w:val="0"/>
          <w:numId w:val="4"/>
        </w:numPr>
        <w:spacing w:line="600" w:lineRule="atLeas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i w:val="0"/>
          <w:color w:val="000000"/>
          <w:kern w:val="0"/>
          <w:sz w:val="32"/>
          <w:szCs w:val="32"/>
          <w:u w:val="none"/>
          <w:lang w:val="en-US" w:eastAsia="zh-CN" w:bidi="ar"/>
        </w:rPr>
        <w:t>机关事业单位养老保险改革补助</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1172</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1172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i w:val="0"/>
          <w:color w:val="000000"/>
          <w:kern w:val="0"/>
          <w:sz w:val="32"/>
          <w:szCs w:val="32"/>
          <w:u w:val="none"/>
          <w:lang w:val="en-US" w:eastAsia="zh-CN" w:bidi="ar"/>
        </w:rPr>
        <w:t>按时足额完成了在编职工养老保险缴费，保障了医院社会保险制度改革工作的完成，降低了医院的改革成本，减轻了医院的负担，对医院的医疗、科研、人才引进培养等方面起到了持久的作用。</w:t>
      </w:r>
    </w:p>
    <w:tbl>
      <w:tblPr>
        <w:tblStyle w:val="16"/>
        <w:tblpPr w:leftFromText="180" w:rightFromText="180" w:vertAnchor="text" w:horzAnchor="page" w:tblpX="1259" w:tblpY="482"/>
        <w:tblOverlap w:val="never"/>
        <w:tblW w:w="102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00"/>
        <w:gridCol w:w="1020"/>
        <w:gridCol w:w="965"/>
        <w:gridCol w:w="1343"/>
        <w:gridCol w:w="1928"/>
        <w:gridCol w:w="1413"/>
        <w:gridCol w:w="932"/>
        <w:gridCol w:w="19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11" w:type="dxa"/>
            <w:gridSpan w:val="8"/>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攀枝花市2019年度专项（项目）资金绩效自评表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11"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2019</w:t>
            </w:r>
            <w:r>
              <w:rPr>
                <w:rFonts w:hint="eastAsia" w:ascii="宋体" w:hAnsi="宋体" w:eastAsia="宋体" w:cs="宋体"/>
                <w:i w:val="0"/>
                <w:color w:val="000000"/>
                <w:kern w:val="0"/>
                <w:sz w:val="22"/>
                <w:szCs w:val="22"/>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00"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1020"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965" w:type="dxa"/>
            <w:vAlign w:val="center"/>
          </w:tcPr>
          <w:p>
            <w:pPr>
              <w:rPr>
                <w:rFonts w:hint="eastAsia" w:ascii="宋体" w:hAnsi="宋体" w:eastAsia="宋体" w:cs="宋体"/>
                <w:i w:val="0"/>
                <w:color w:val="000000"/>
                <w:sz w:val="22"/>
                <w:szCs w:val="22"/>
                <w:u w:val="none"/>
              </w:rPr>
            </w:pPr>
          </w:p>
        </w:tc>
        <w:tc>
          <w:tcPr>
            <w:tcW w:w="1343" w:type="dxa"/>
            <w:vAlign w:val="center"/>
          </w:tcPr>
          <w:p>
            <w:pPr>
              <w:rPr>
                <w:rFonts w:hint="eastAsia" w:ascii="宋体" w:hAnsi="宋体" w:eastAsia="宋体" w:cs="宋体"/>
                <w:i w:val="0"/>
                <w:color w:val="000000"/>
                <w:sz w:val="22"/>
                <w:szCs w:val="22"/>
                <w:u w:val="none"/>
              </w:rPr>
            </w:pPr>
          </w:p>
        </w:tc>
        <w:tc>
          <w:tcPr>
            <w:tcW w:w="1928" w:type="dxa"/>
            <w:vAlign w:val="bottom"/>
          </w:tcPr>
          <w:p>
            <w:pPr>
              <w:rPr>
                <w:rFonts w:hint="eastAsia" w:ascii="宋体" w:hAnsi="宋体" w:eastAsia="宋体" w:cs="宋体"/>
                <w:i w:val="0"/>
                <w:color w:val="000000"/>
                <w:sz w:val="22"/>
                <w:szCs w:val="22"/>
                <w:u w:val="none"/>
              </w:rPr>
            </w:pPr>
          </w:p>
        </w:tc>
        <w:tc>
          <w:tcPr>
            <w:tcW w:w="1413" w:type="dxa"/>
            <w:vAlign w:val="bottom"/>
          </w:tcPr>
          <w:p>
            <w:pPr>
              <w:rPr>
                <w:rFonts w:hint="eastAsia" w:ascii="宋体" w:hAnsi="宋体" w:eastAsia="宋体" w:cs="宋体"/>
                <w:i w:val="0"/>
                <w:color w:val="000000"/>
                <w:sz w:val="22"/>
                <w:szCs w:val="22"/>
                <w:u w:val="none"/>
              </w:rPr>
            </w:pPr>
          </w:p>
        </w:tc>
        <w:tc>
          <w:tcPr>
            <w:tcW w:w="932" w:type="dxa"/>
            <w:vAlign w:val="bottom"/>
          </w:tcPr>
          <w:p>
            <w:pPr>
              <w:rPr>
                <w:rFonts w:hint="eastAsia" w:ascii="宋体" w:hAnsi="宋体" w:eastAsia="宋体" w:cs="宋体"/>
                <w:i w:val="0"/>
                <w:color w:val="000000"/>
                <w:sz w:val="22"/>
                <w:szCs w:val="22"/>
                <w:u w:val="none"/>
              </w:rPr>
            </w:pPr>
          </w:p>
        </w:tc>
        <w:tc>
          <w:tcPr>
            <w:tcW w:w="1910" w:type="dxa"/>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8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专项（项目）名称</w:t>
            </w:r>
          </w:p>
        </w:tc>
        <w:tc>
          <w:tcPr>
            <w:tcW w:w="752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机关事业单位养老保险改革补助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8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项目主管单位</w:t>
            </w:r>
          </w:p>
        </w:tc>
        <w:tc>
          <w:tcPr>
            <w:tcW w:w="752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8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项目实施单位</w:t>
            </w:r>
          </w:p>
        </w:tc>
        <w:tc>
          <w:tcPr>
            <w:tcW w:w="7526"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85"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34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全年预算数</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284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8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年度资金总额：</w:t>
            </w:r>
          </w:p>
        </w:tc>
        <w:tc>
          <w:tcPr>
            <w:tcW w:w="19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4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8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其中：上级财政资金</w:t>
            </w:r>
          </w:p>
        </w:tc>
        <w:tc>
          <w:tcPr>
            <w:tcW w:w="192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4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8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本级财政资金</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w:t>
            </w:r>
          </w:p>
        </w:tc>
        <w:tc>
          <w:tcPr>
            <w:tcW w:w="284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8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其他资金</w:t>
            </w:r>
          </w:p>
        </w:tc>
        <w:tc>
          <w:tcPr>
            <w:tcW w:w="192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141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284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0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332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年度设定目标</w:t>
            </w:r>
          </w:p>
        </w:tc>
        <w:tc>
          <w:tcPr>
            <w:tcW w:w="6183"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16"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328"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完成526人在编职工养老保险缴费，完成医院社会保险制度改革工作。</w:t>
            </w:r>
          </w:p>
        </w:tc>
        <w:tc>
          <w:tcPr>
            <w:tcW w:w="6183"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度全部执行完毕，按时足额完成了在编职工养老保险缴费，保障了医院社会保险制度改革工作的完成，降低了医院的改革成本，减轻了医院的负担，对医院的医疗、科研、人才引进培养等方面起到了持久的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0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1020"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三级指标</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年度指标值</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完成率（%）</w:t>
            </w:r>
          </w:p>
        </w:tc>
        <w:tc>
          <w:tcPr>
            <w:tcW w:w="19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项目完成</w:t>
            </w: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在编职工人数</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526人</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526人</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完成缴纳工作</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按时足额缴纳养老保险</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缴费期间</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2019年1-12月</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成本指标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预算补助经费</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1172万元</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全部执行完毕</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restart"/>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社会效益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保障改革完成</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很好的完成了2019年度养老保险制度的改革工作</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41"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vMerge w:val="continue"/>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5"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可持续影响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减轻医院负担</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降低医院的改革成本，切实减轻医院的负担，为医院的医疗、科研、人才引进培养等提供了保障，对医院持续发展提供极大的支持。</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3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全院在编职工满意度</w:t>
            </w:r>
          </w:p>
        </w:tc>
        <w:tc>
          <w:tcPr>
            <w:tcW w:w="1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4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完全达到预期目标</w:t>
            </w:r>
          </w:p>
        </w:tc>
        <w:tc>
          <w:tcPr>
            <w:tcW w:w="9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1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bl>
    <w:p>
      <w:pPr>
        <w:numPr>
          <w:ilvl w:val="0"/>
          <w:numId w:val="0"/>
        </w:numPr>
        <w:spacing w:line="580" w:lineRule="exact"/>
        <w:ind w:leftChars="200"/>
        <w:rPr>
          <w:rFonts w:hint="eastAsia" w:ascii="仿宋_GB2312" w:hAnsi="仿宋_GB2312" w:eastAsia="仿宋_GB2312" w:cs="仿宋_GB2312"/>
          <w:sz w:val="32"/>
          <w:szCs w:val="32"/>
        </w:rPr>
      </w:pPr>
    </w:p>
    <w:p>
      <w:pPr>
        <w:numPr>
          <w:ilvl w:val="0"/>
          <w:numId w:val="5"/>
        </w:numPr>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i w:val="0"/>
          <w:color w:val="000000"/>
          <w:kern w:val="0"/>
          <w:sz w:val="32"/>
          <w:szCs w:val="32"/>
          <w:u w:val="none"/>
          <w:lang w:val="en-US" w:eastAsia="zh-CN" w:bidi="ar"/>
        </w:rPr>
        <w:t>城市公立医院改革取消药品加成政府补助</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219.87</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219.87</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i w:val="0"/>
          <w:color w:val="000000"/>
          <w:kern w:val="0"/>
          <w:sz w:val="32"/>
          <w:szCs w:val="32"/>
          <w:u w:val="none"/>
          <w:lang w:val="en-US" w:eastAsia="zh-CN" w:bidi="ar"/>
        </w:rPr>
        <w:t>按国家规定西药及中成药完全实行了药品零加成，完成了取消药品加成改革；优化药事服务；加强药事管理，坚持每月处方点评，药占比管控成效显著；抗菌药物等各项指标均达到国家标准；顺利完成了GCP国家资格认定，正式开启了我院药物临床试验工作。保障了患者治疗用药安全，切实减轻了患者经济负担。</w:t>
      </w:r>
    </w:p>
    <w:tbl>
      <w:tblPr>
        <w:tblStyle w:val="16"/>
        <w:tblpPr w:leftFromText="180" w:rightFromText="180" w:vertAnchor="text" w:horzAnchor="page" w:tblpX="1207" w:tblpY="1306"/>
        <w:tblOverlap w:val="never"/>
        <w:tblW w:w="102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6"/>
        <w:gridCol w:w="1014"/>
        <w:gridCol w:w="958"/>
        <w:gridCol w:w="1336"/>
        <w:gridCol w:w="1960"/>
        <w:gridCol w:w="1422"/>
        <w:gridCol w:w="928"/>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10" w:type="dxa"/>
            <w:gridSpan w:val="8"/>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攀枝花市2019年度专项（项目）资金绩效自评表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10"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2019</w:t>
            </w:r>
            <w:r>
              <w:rPr>
                <w:rFonts w:hint="eastAsia" w:ascii="宋体" w:hAnsi="宋体" w:eastAsia="宋体" w:cs="宋体"/>
                <w:i w:val="0"/>
                <w:color w:val="000000"/>
                <w:kern w:val="0"/>
                <w:sz w:val="22"/>
                <w:szCs w:val="22"/>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6"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1014"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958" w:type="dxa"/>
            <w:vAlign w:val="center"/>
          </w:tcPr>
          <w:p>
            <w:pPr>
              <w:rPr>
                <w:rFonts w:hint="eastAsia" w:ascii="宋体" w:hAnsi="宋体" w:eastAsia="宋体" w:cs="宋体"/>
                <w:i w:val="0"/>
                <w:color w:val="000000"/>
                <w:sz w:val="22"/>
                <w:szCs w:val="22"/>
                <w:u w:val="none"/>
              </w:rPr>
            </w:pPr>
          </w:p>
        </w:tc>
        <w:tc>
          <w:tcPr>
            <w:tcW w:w="1336" w:type="dxa"/>
            <w:vAlign w:val="center"/>
          </w:tcPr>
          <w:p>
            <w:pPr>
              <w:rPr>
                <w:rFonts w:hint="eastAsia" w:ascii="宋体" w:hAnsi="宋体" w:eastAsia="宋体" w:cs="宋体"/>
                <w:i w:val="0"/>
                <w:color w:val="000000"/>
                <w:sz w:val="22"/>
                <w:szCs w:val="22"/>
                <w:u w:val="none"/>
              </w:rPr>
            </w:pPr>
          </w:p>
        </w:tc>
        <w:tc>
          <w:tcPr>
            <w:tcW w:w="1960" w:type="dxa"/>
            <w:vAlign w:val="bottom"/>
          </w:tcPr>
          <w:p>
            <w:pPr>
              <w:rPr>
                <w:rFonts w:hint="eastAsia" w:ascii="宋体" w:hAnsi="宋体" w:eastAsia="宋体" w:cs="宋体"/>
                <w:i w:val="0"/>
                <w:color w:val="000000"/>
                <w:sz w:val="22"/>
                <w:szCs w:val="22"/>
                <w:u w:val="none"/>
              </w:rPr>
            </w:pPr>
          </w:p>
        </w:tc>
        <w:tc>
          <w:tcPr>
            <w:tcW w:w="1422" w:type="dxa"/>
            <w:vAlign w:val="bottom"/>
          </w:tcPr>
          <w:p>
            <w:pPr>
              <w:rPr>
                <w:rFonts w:hint="eastAsia" w:ascii="宋体" w:hAnsi="宋体" w:eastAsia="宋体" w:cs="宋体"/>
                <w:i w:val="0"/>
                <w:color w:val="000000"/>
                <w:sz w:val="22"/>
                <w:szCs w:val="22"/>
                <w:u w:val="none"/>
              </w:rPr>
            </w:pPr>
          </w:p>
        </w:tc>
        <w:tc>
          <w:tcPr>
            <w:tcW w:w="928" w:type="dxa"/>
            <w:vAlign w:val="bottom"/>
          </w:tcPr>
          <w:p>
            <w:pPr>
              <w:rPr>
                <w:rFonts w:hint="eastAsia" w:ascii="宋体" w:hAnsi="宋体" w:eastAsia="宋体" w:cs="宋体"/>
                <w:i w:val="0"/>
                <w:color w:val="000000"/>
                <w:sz w:val="22"/>
                <w:szCs w:val="22"/>
                <w:u w:val="none"/>
              </w:rPr>
            </w:pPr>
          </w:p>
        </w:tc>
        <w:tc>
          <w:tcPr>
            <w:tcW w:w="1896" w:type="dxa"/>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6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专项（项目）名称</w:t>
            </w:r>
          </w:p>
        </w:tc>
        <w:tc>
          <w:tcPr>
            <w:tcW w:w="754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城市公立医院改革取消药品加成政府补助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6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项目主管单位</w:t>
            </w:r>
          </w:p>
        </w:tc>
        <w:tc>
          <w:tcPr>
            <w:tcW w:w="754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6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项目实施单位</w:t>
            </w:r>
          </w:p>
        </w:tc>
        <w:tc>
          <w:tcPr>
            <w:tcW w:w="754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68"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3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全年预算数</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年度资金总额：</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219.87</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219.87</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其中：上级财政资金</w:t>
            </w:r>
          </w:p>
        </w:tc>
        <w:tc>
          <w:tcPr>
            <w:tcW w:w="19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2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本级财政资金</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219.87</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219.87</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68"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其他资金</w:t>
            </w:r>
          </w:p>
        </w:tc>
        <w:tc>
          <w:tcPr>
            <w:tcW w:w="196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142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330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年度设定目标</w:t>
            </w:r>
          </w:p>
        </w:tc>
        <w:tc>
          <w:tcPr>
            <w:tcW w:w="6206"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31"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308"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完成医院取消药品加成改革，保障患者治疗用药，切实减轻患者经济负担</w:t>
            </w:r>
          </w:p>
        </w:tc>
        <w:tc>
          <w:tcPr>
            <w:tcW w:w="6206"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国家规定西药及中成药完全实行了药品零加成，完成了取消药品加成改革；优化药事服务；加强药事管理，坚持每月处方点评，药占比管控成效显著；抗菌药物等各项指标均达到国家标准；顺利完成了GCP国家资格认定，正式开启了我院药物临床试验工作。保障了患者治疗用药安全，切实减轻了患者经济负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101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三级指标</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年度指标值</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完成率（%）</w:t>
            </w:r>
          </w:p>
        </w:tc>
        <w:tc>
          <w:tcPr>
            <w:tcW w:w="1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项目完成</w:t>
            </w:r>
          </w:p>
        </w:tc>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取消药品加成比例</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取消药品加成品规数</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西药品规1200-1300种；中成药品规250-260种</w:t>
            </w:r>
          </w:p>
        </w:tc>
        <w:tc>
          <w:tcPr>
            <w:tcW w:w="142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西药品规1274种；中成药品规254种</w:t>
            </w:r>
          </w:p>
        </w:tc>
        <w:tc>
          <w:tcPr>
            <w:tcW w:w="928"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基本药使用比例</w:t>
            </w:r>
          </w:p>
        </w:tc>
        <w:tc>
          <w:tcPr>
            <w:tcW w:w="1960" w:type="dxa"/>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不低于30%</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1"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符合国家药品质量标准</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药品必须具有质量保证协议，同时附检验报告</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全部符合国家药品质量标准，通过了国家药监局GCP资格认证。</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完成时间</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2019年12月前</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2019年全年均取消药品加成，补助资金于5月使用完毕</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成本指标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阳光采购及总体成本控制</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开展合理用药处方点评检查，规范用药，药品挂网采购。</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坚持每月处方点评，药品是挂网采购</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药占比</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小于等于30%</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“两票制”采购药品比例</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大于等于99%</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91"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项目效益</w:t>
            </w:r>
          </w:p>
        </w:tc>
        <w:tc>
          <w:tcPr>
            <w:tcW w:w="958"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经济效益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对患者健康的促进作用</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保障患者用药安全，减轻患者看病负担。</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月平均减少药品收入约240万元，全年减少约2900万元，实实在在减少了患者负担。</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服务对象满意度指标 </w:t>
            </w:r>
          </w:p>
        </w:tc>
        <w:tc>
          <w:tcPr>
            <w:tcW w:w="19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14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89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bl>
    <w:p>
      <w:pPr>
        <w:numPr>
          <w:ilvl w:val="0"/>
          <w:numId w:val="0"/>
        </w:numPr>
        <w:spacing w:line="600" w:lineRule="atLeas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本部门对“</w:t>
      </w:r>
      <w:r>
        <w:rPr>
          <w:rFonts w:hint="eastAsia" w:ascii="仿宋_GB2312" w:hAnsi="仿宋_GB2312" w:eastAsia="仿宋_GB2312" w:cs="仿宋_GB2312"/>
          <w:i w:val="0"/>
          <w:color w:val="000000"/>
          <w:kern w:val="0"/>
          <w:sz w:val="32"/>
          <w:szCs w:val="32"/>
          <w:u w:val="none"/>
          <w:lang w:val="en-US" w:eastAsia="zh-CN" w:bidi="ar"/>
        </w:rPr>
        <w:t>2019年援藏援彝干部人才补助</w:t>
      </w:r>
      <w:r>
        <w:rPr>
          <w:rFonts w:hint="eastAsia" w:ascii="仿宋_GB2312" w:hAnsi="仿宋_GB2312" w:eastAsia="仿宋_GB2312" w:cs="仿宋_GB2312"/>
          <w:color w:val="000000"/>
          <w:sz w:val="32"/>
          <w:szCs w:val="32"/>
        </w:rPr>
        <w:t>”项目开展了绩效评价，</w:t>
      </w:r>
      <w:r>
        <w:rPr>
          <w:rFonts w:hint="eastAsia" w:ascii="仿宋_GB2312" w:hAnsi="仿宋_GB2312" w:eastAsia="仿宋_GB2312" w:cs="仿宋_GB2312"/>
          <w:i w:val="0"/>
          <w:color w:val="000000"/>
          <w:kern w:val="0"/>
          <w:sz w:val="32"/>
          <w:szCs w:val="32"/>
          <w:u w:val="none"/>
          <w:lang w:val="en-US" w:eastAsia="zh-CN" w:bidi="ar"/>
        </w:rPr>
        <w:t>发放两名专业医师补助6万元，体现了国家的关怀，激发了医师的工作热情，通过我院医师的支援帮助，义诊培训等活动，提高了木里县的医疗水平，受到当地卫生部门和群众的好评。</w:t>
      </w:r>
    </w:p>
    <w:tbl>
      <w:tblPr>
        <w:tblStyle w:val="16"/>
        <w:tblpPr w:leftFromText="180" w:rightFromText="180" w:vertAnchor="text" w:horzAnchor="page" w:tblpX="1094" w:tblpY="786"/>
        <w:tblOverlap w:val="never"/>
        <w:tblW w:w="102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018"/>
        <w:gridCol w:w="962"/>
        <w:gridCol w:w="1340"/>
        <w:gridCol w:w="1931"/>
        <w:gridCol w:w="1410"/>
        <w:gridCol w:w="931"/>
        <w:gridCol w:w="1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09" w:type="dxa"/>
            <w:gridSpan w:val="8"/>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攀枝花市2019年度专项（项目）资金绩效自评表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09"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2019</w:t>
            </w:r>
            <w:r>
              <w:rPr>
                <w:rFonts w:hint="eastAsia" w:ascii="宋体" w:hAnsi="宋体" w:eastAsia="宋体" w:cs="宋体"/>
                <w:i w:val="0"/>
                <w:color w:val="000000"/>
                <w:kern w:val="0"/>
                <w:sz w:val="22"/>
                <w:szCs w:val="22"/>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1018"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962" w:type="dxa"/>
            <w:vAlign w:val="center"/>
          </w:tcPr>
          <w:p>
            <w:pPr>
              <w:rPr>
                <w:rFonts w:hint="eastAsia" w:ascii="宋体" w:hAnsi="宋体" w:eastAsia="宋体" w:cs="宋体"/>
                <w:i w:val="0"/>
                <w:color w:val="000000"/>
                <w:sz w:val="22"/>
                <w:szCs w:val="22"/>
                <w:u w:val="none"/>
              </w:rPr>
            </w:pPr>
          </w:p>
        </w:tc>
        <w:tc>
          <w:tcPr>
            <w:tcW w:w="1340" w:type="dxa"/>
            <w:vAlign w:val="center"/>
          </w:tcPr>
          <w:p>
            <w:pPr>
              <w:rPr>
                <w:rFonts w:hint="eastAsia" w:ascii="宋体" w:hAnsi="宋体" w:eastAsia="宋体" w:cs="宋体"/>
                <w:i w:val="0"/>
                <w:color w:val="000000"/>
                <w:sz w:val="22"/>
                <w:szCs w:val="22"/>
                <w:u w:val="none"/>
              </w:rPr>
            </w:pPr>
          </w:p>
        </w:tc>
        <w:tc>
          <w:tcPr>
            <w:tcW w:w="1931" w:type="dxa"/>
            <w:vAlign w:val="bottom"/>
          </w:tcPr>
          <w:p>
            <w:pPr>
              <w:rPr>
                <w:rFonts w:hint="eastAsia" w:ascii="宋体" w:hAnsi="宋体" w:eastAsia="宋体" w:cs="宋体"/>
                <w:i w:val="0"/>
                <w:color w:val="000000"/>
                <w:sz w:val="22"/>
                <w:szCs w:val="22"/>
                <w:u w:val="none"/>
              </w:rPr>
            </w:pPr>
          </w:p>
        </w:tc>
        <w:tc>
          <w:tcPr>
            <w:tcW w:w="1410" w:type="dxa"/>
            <w:vAlign w:val="bottom"/>
          </w:tcPr>
          <w:p>
            <w:pPr>
              <w:rPr>
                <w:rFonts w:hint="eastAsia" w:ascii="宋体" w:hAnsi="宋体" w:eastAsia="宋体" w:cs="宋体"/>
                <w:i w:val="0"/>
                <w:color w:val="000000"/>
                <w:sz w:val="22"/>
                <w:szCs w:val="22"/>
                <w:u w:val="none"/>
              </w:rPr>
            </w:pPr>
          </w:p>
        </w:tc>
        <w:tc>
          <w:tcPr>
            <w:tcW w:w="931" w:type="dxa"/>
            <w:vAlign w:val="bottom"/>
          </w:tcPr>
          <w:p>
            <w:pPr>
              <w:rPr>
                <w:rFonts w:hint="eastAsia" w:ascii="宋体" w:hAnsi="宋体" w:eastAsia="宋体" w:cs="宋体"/>
                <w:i w:val="0"/>
                <w:color w:val="000000"/>
                <w:sz w:val="22"/>
                <w:szCs w:val="22"/>
                <w:u w:val="none"/>
              </w:rPr>
            </w:pPr>
          </w:p>
        </w:tc>
        <w:tc>
          <w:tcPr>
            <w:tcW w:w="1920" w:type="dxa"/>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专项（项目）名称</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2019年援藏援彝干部人才补助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项目主管单位</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项目实施单位</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3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全年预算数</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年度资金总额：</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其中：上级财政资金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本级财政资金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332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年度设定目标</w:t>
            </w:r>
          </w:p>
        </w:tc>
        <w:tc>
          <w:tcPr>
            <w:tcW w:w="619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32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为我院去木里援藏的两名专业人员提供一年的生活补助及工资待遇调整，使他们工作生活有保障，不断激发干事创业的活力</w:t>
            </w:r>
          </w:p>
        </w:tc>
        <w:tc>
          <w:tcPr>
            <w:tcW w:w="6192"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发放两名专业医师补助6万元，体现了国家的关怀，激发了医师的工作热情，通过我院医师的支援帮助，义诊培训等活动，提高了木里县的医疗水平，受到当地卫生部门和群众的好评。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1018"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三级指标</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年度指标值</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完成率（%）</w:t>
            </w:r>
          </w:p>
        </w:tc>
        <w:tc>
          <w:tcPr>
            <w:tcW w:w="1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项目完成</w:t>
            </w:r>
          </w:p>
        </w:tc>
        <w:tc>
          <w:tcPr>
            <w:tcW w:w="962"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人数</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2名专业医师</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最终选派3名专业医师</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服务期间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一名同志服务3年另一名同志服务2年</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2019年全年均有2名专业医师在木里帮扶。</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管理要求</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严格按《攀枝花市援藏援彝干部人才管理实施细则》管理</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严格执行书面请销假制度；及时上报工作报告；建立人才跟踪培养台账及时掌握现实表现。</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2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人才标准</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按“选优择强”原则，确立政治坚定，能力素质过硬，工作作风扎实的标准。</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3名专业医师中中级职称2人，副高1人；工作表现积极，工作能力较强。</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340" w:type="dxa"/>
            <w:tcBorders>
              <w:top w:val="single" w:color="000000" w:sz="4" w:space="0"/>
              <w:left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援助时间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援助总体起止时间</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2018年6月至2021年6月</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项目共三年，未到终止时间。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成本指标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援助补助</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6万</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至2019年12月发放完毕</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社会效益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服务人口</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全县约13万人口</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对县级医院和乡镇医院帮扶，覆盖全县各乡镇人口</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义诊次数</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约10次</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10次</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restart"/>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业务培训</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不少于10次</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12次</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可持续影响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发挥作用的时间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提高木里全县的医疗水平，改善医疗卫生服务条件和能力</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帮扶期跨4年，将在其后接近10年内持续发挥作用</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基本达到预期目标</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bl>
    <w:p>
      <w:pPr>
        <w:numPr>
          <w:ilvl w:val="0"/>
          <w:numId w:val="0"/>
        </w:numPr>
        <w:spacing w:line="580" w:lineRule="exact"/>
        <w:ind w:leftChars="200"/>
        <w:rPr>
          <w:rFonts w:hint="eastAsia" w:ascii="仿宋_GB2312" w:hAnsi="仿宋_GB2312" w:eastAsia="仿宋_GB2312" w:cs="仿宋_GB2312"/>
          <w:sz w:val="32"/>
          <w:szCs w:val="32"/>
        </w:rPr>
      </w:pPr>
    </w:p>
    <w:p>
      <w:pPr>
        <w:numPr>
          <w:ilvl w:val="0"/>
          <w:numId w:val="0"/>
        </w:numPr>
        <w:spacing w:line="600" w:lineRule="atLeas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本部门对“</w:t>
      </w:r>
      <w:r>
        <w:rPr>
          <w:rFonts w:hint="eastAsia" w:ascii="仿宋_GB2312" w:hAnsi="仿宋_GB2312" w:eastAsia="仿宋_GB2312" w:cs="仿宋_GB2312"/>
          <w:i w:val="0"/>
          <w:color w:val="000000"/>
          <w:kern w:val="0"/>
          <w:sz w:val="32"/>
          <w:szCs w:val="32"/>
          <w:u w:val="none"/>
          <w:lang w:val="en-US" w:eastAsia="zh-CN" w:bidi="ar"/>
        </w:rPr>
        <w:t>2019年度市级挂职干部补助经费</w:t>
      </w:r>
      <w:r>
        <w:rPr>
          <w:rFonts w:hint="eastAsia" w:ascii="仿宋_GB2312" w:hAnsi="仿宋_GB2312" w:eastAsia="仿宋_GB2312" w:cs="仿宋_GB2312"/>
          <w:color w:val="000000"/>
          <w:sz w:val="32"/>
          <w:szCs w:val="32"/>
        </w:rPr>
        <w:t>”项目开展了绩效评价，</w:t>
      </w:r>
      <w:r>
        <w:rPr>
          <w:rFonts w:hint="eastAsia" w:ascii="仿宋_GB2312" w:hAnsi="仿宋_GB2312" w:eastAsia="仿宋_GB2312" w:cs="仿宋_GB2312"/>
          <w:i w:val="0"/>
          <w:color w:val="000000"/>
          <w:kern w:val="0"/>
          <w:sz w:val="32"/>
          <w:szCs w:val="32"/>
          <w:u w:val="none"/>
          <w:lang w:val="en-US" w:eastAsia="zh-CN" w:bidi="ar"/>
        </w:rPr>
        <w:t>发放补助4.93万元，通过挂职有效的提高的干部能力，对加强人才队伍建设祈祷积极作用。</w:t>
      </w:r>
    </w:p>
    <w:tbl>
      <w:tblPr>
        <w:tblStyle w:val="16"/>
        <w:tblpPr w:leftFromText="180" w:rightFromText="180" w:vertAnchor="text" w:horzAnchor="page" w:tblpX="1094" w:tblpY="786"/>
        <w:tblOverlap w:val="never"/>
        <w:tblW w:w="102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018"/>
        <w:gridCol w:w="962"/>
        <w:gridCol w:w="1340"/>
        <w:gridCol w:w="1931"/>
        <w:gridCol w:w="1410"/>
        <w:gridCol w:w="931"/>
        <w:gridCol w:w="1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09" w:type="dxa"/>
            <w:gridSpan w:val="8"/>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攀枝花市2019年度专项（项目）资金绩效自评表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0209"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2019</w:t>
            </w:r>
            <w:r>
              <w:rPr>
                <w:rFonts w:hint="eastAsia" w:ascii="宋体" w:hAnsi="宋体" w:eastAsia="宋体" w:cs="宋体"/>
                <w:i w:val="0"/>
                <w:color w:val="000000"/>
                <w:kern w:val="0"/>
                <w:sz w:val="22"/>
                <w:szCs w:val="22"/>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1018" w:type="dxa"/>
            <w:tcBorders>
              <w:bottom w:val="single" w:color="000000" w:sz="4" w:space="0"/>
            </w:tcBorders>
            <w:vAlign w:val="center"/>
          </w:tcPr>
          <w:p>
            <w:pPr>
              <w:rPr>
                <w:rFonts w:hint="eastAsia" w:ascii="宋体" w:hAnsi="宋体" w:eastAsia="宋体" w:cs="宋体"/>
                <w:i w:val="0"/>
                <w:color w:val="000000"/>
                <w:sz w:val="22"/>
                <w:szCs w:val="22"/>
                <w:u w:val="none"/>
              </w:rPr>
            </w:pPr>
          </w:p>
        </w:tc>
        <w:tc>
          <w:tcPr>
            <w:tcW w:w="962" w:type="dxa"/>
            <w:vAlign w:val="center"/>
          </w:tcPr>
          <w:p>
            <w:pPr>
              <w:rPr>
                <w:rFonts w:hint="eastAsia" w:ascii="宋体" w:hAnsi="宋体" w:eastAsia="宋体" w:cs="宋体"/>
                <w:i w:val="0"/>
                <w:color w:val="000000"/>
                <w:sz w:val="22"/>
                <w:szCs w:val="22"/>
                <w:u w:val="none"/>
              </w:rPr>
            </w:pPr>
          </w:p>
        </w:tc>
        <w:tc>
          <w:tcPr>
            <w:tcW w:w="1340" w:type="dxa"/>
            <w:vAlign w:val="center"/>
          </w:tcPr>
          <w:p>
            <w:pPr>
              <w:rPr>
                <w:rFonts w:hint="eastAsia" w:ascii="宋体" w:hAnsi="宋体" w:eastAsia="宋体" w:cs="宋体"/>
                <w:i w:val="0"/>
                <w:color w:val="000000"/>
                <w:sz w:val="22"/>
                <w:szCs w:val="22"/>
                <w:u w:val="none"/>
              </w:rPr>
            </w:pPr>
          </w:p>
        </w:tc>
        <w:tc>
          <w:tcPr>
            <w:tcW w:w="1931" w:type="dxa"/>
            <w:vAlign w:val="bottom"/>
          </w:tcPr>
          <w:p>
            <w:pPr>
              <w:rPr>
                <w:rFonts w:hint="eastAsia" w:ascii="宋体" w:hAnsi="宋体" w:eastAsia="宋体" w:cs="宋体"/>
                <w:i w:val="0"/>
                <w:color w:val="000000"/>
                <w:sz w:val="22"/>
                <w:szCs w:val="22"/>
                <w:u w:val="none"/>
              </w:rPr>
            </w:pPr>
          </w:p>
        </w:tc>
        <w:tc>
          <w:tcPr>
            <w:tcW w:w="1410" w:type="dxa"/>
            <w:vAlign w:val="bottom"/>
          </w:tcPr>
          <w:p>
            <w:pPr>
              <w:rPr>
                <w:rFonts w:hint="eastAsia" w:ascii="宋体" w:hAnsi="宋体" w:eastAsia="宋体" w:cs="宋体"/>
                <w:i w:val="0"/>
                <w:color w:val="000000"/>
                <w:sz w:val="22"/>
                <w:szCs w:val="22"/>
                <w:u w:val="none"/>
              </w:rPr>
            </w:pPr>
          </w:p>
        </w:tc>
        <w:tc>
          <w:tcPr>
            <w:tcW w:w="931" w:type="dxa"/>
            <w:vAlign w:val="bottom"/>
          </w:tcPr>
          <w:p>
            <w:pPr>
              <w:rPr>
                <w:rFonts w:hint="eastAsia" w:ascii="宋体" w:hAnsi="宋体" w:eastAsia="宋体" w:cs="宋体"/>
                <w:i w:val="0"/>
                <w:color w:val="000000"/>
                <w:sz w:val="22"/>
                <w:szCs w:val="22"/>
                <w:u w:val="none"/>
              </w:rPr>
            </w:pPr>
          </w:p>
        </w:tc>
        <w:tc>
          <w:tcPr>
            <w:tcW w:w="1920" w:type="dxa"/>
            <w:vAlign w:val="bottom"/>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专项（项目）名称</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_GB2312" w:hAnsi="仿宋_GB2312" w:eastAsia="仿宋_GB2312" w:cs="仿宋_GB2312"/>
                <w:i w:val="0"/>
                <w:color w:val="000000"/>
                <w:kern w:val="0"/>
                <w:sz w:val="32"/>
                <w:szCs w:val="32"/>
                <w:u w:val="none"/>
                <w:lang w:val="en-US" w:eastAsia="zh-CN" w:bidi="ar"/>
              </w:rPr>
              <w:t>2019年度市级挂职干部补助经费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项目主管单位</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项目实施单位</w:t>
            </w:r>
          </w:p>
        </w:tc>
        <w:tc>
          <w:tcPr>
            <w:tcW w:w="7532"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攀枝花市中西医结合医院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677" w:type="dxa"/>
            <w:gridSpan w:val="3"/>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项目资金</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3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全年预算数</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年度资金总额：</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4.926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4.926</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其中：上级财政资金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本级财政资金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4.926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4.926</w:t>
            </w: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67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其他资金</w:t>
            </w:r>
          </w:p>
        </w:tc>
        <w:tc>
          <w:tcPr>
            <w:tcW w:w="19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85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体</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332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年度设定目标</w:t>
            </w:r>
          </w:p>
        </w:tc>
        <w:tc>
          <w:tcPr>
            <w:tcW w:w="619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320"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cs="宋体"/>
                <w:i w:val="0"/>
                <w:color w:val="000000"/>
                <w:kern w:val="0"/>
                <w:sz w:val="22"/>
                <w:szCs w:val="22"/>
                <w:u w:val="none"/>
                <w:lang w:val="en-US" w:eastAsia="zh-CN" w:bidi="ar"/>
              </w:rPr>
              <w:t>提升干部队伍能力</w:t>
            </w:r>
          </w:p>
        </w:tc>
        <w:tc>
          <w:tcPr>
            <w:tcW w:w="6192" w:type="dxa"/>
            <w:gridSpan w:val="4"/>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通过干部挂职，切实有效的提升我院的干部队伍能力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绩</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标</w:t>
            </w:r>
          </w:p>
        </w:tc>
        <w:tc>
          <w:tcPr>
            <w:tcW w:w="1018"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二级指标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三级指标</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年度指标值</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实际完成数</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完成率（%）</w:t>
            </w:r>
          </w:p>
        </w:tc>
        <w:tc>
          <w:tcPr>
            <w:tcW w:w="1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项目完成</w:t>
            </w:r>
          </w:p>
        </w:tc>
        <w:tc>
          <w:tcPr>
            <w:tcW w:w="962"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人数</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服务期间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1年</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1年</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管理要求</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严格按</w:t>
            </w:r>
            <w:r>
              <w:rPr>
                <w:rFonts w:hint="eastAsia" w:ascii="宋体" w:hAnsi="宋体" w:cs="宋体"/>
                <w:i w:val="0"/>
                <w:color w:val="000000"/>
                <w:kern w:val="0"/>
                <w:sz w:val="22"/>
                <w:szCs w:val="22"/>
                <w:u w:val="none"/>
                <w:lang w:val="en-US" w:eastAsia="zh-CN" w:bidi="ar"/>
              </w:rPr>
              <w:t>挂职干部</w:t>
            </w:r>
            <w:r>
              <w:rPr>
                <w:rFonts w:hint="eastAsia" w:ascii="宋体" w:hAnsi="宋体" w:eastAsia="宋体" w:cs="宋体"/>
                <w:i w:val="0"/>
                <w:color w:val="000000"/>
                <w:kern w:val="0"/>
                <w:sz w:val="22"/>
                <w:szCs w:val="22"/>
                <w:u w:val="none"/>
                <w:lang w:val="en-US" w:eastAsia="zh-CN" w:bidi="ar"/>
              </w:rPr>
              <w:t>管理</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严格执行书面请销假制度；及时上报工作报告；建立人才跟踪培养台账及时掌握现实表现。</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21"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人才标准</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按“选优择强”原则，确立政治坚定，能力素质过硬，工作作风扎实的标准。</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工作表现积极，工作能力较强。</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时效指标</w:t>
            </w:r>
          </w:p>
        </w:tc>
        <w:tc>
          <w:tcPr>
            <w:tcW w:w="1340" w:type="dxa"/>
            <w:tcBorders>
              <w:top w:val="single" w:color="000000" w:sz="4" w:space="0"/>
              <w:left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援助时间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援助总体起止时间</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2019年1月1日至2019年12月31日</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成本指标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援助补助</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4.926</w:t>
            </w:r>
            <w:r>
              <w:rPr>
                <w:rFonts w:hint="eastAsia" w:ascii="宋体" w:hAnsi="宋体" w:eastAsia="宋体" w:cs="宋体"/>
                <w:i w:val="0"/>
                <w:color w:val="000000"/>
                <w:kern w:val="0"/>
                <w:sz w:val="22"/>
                <w:szCs w:val="22"/>
                <w:u w:val="none"/>
                <w:lang w:val="en-US" w:eastAsia="zh-CN" w:bidi="ar"/>
              </w:rPr>
              <w:t>万</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至2019年12月发放完毕</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社会效益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服务人口</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全县约13万人口</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对县级医院和乡镇医院帮扶，覆盖全县各乡镇人口</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义诊次数</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约10次</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10次</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restart"/>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业务培训</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不少于10次</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12次</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vMerge w:val="continue"/>
            <w:tcBorders>
              <w:left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96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可持续影响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发挥作用的时间</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提高全县的医疗水平，改善医疗卫生服务条件和能力</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将在其后接近10年内持续发挥作用</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满意度指标</w:t>
            </w:r>
          </w:p>
        </w:tc>
        <w:tc>
          <w:tcPr>
            <w:tcW w:w="13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满意度</w:t>
            </w:r>
          </w:p>
        </w:tc>
        <w:tc>
          <w:tcPr>
            <w:tcW w:w="1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基本达到预期目标</w:t>
            </w:r>
          </w:p>
        </w:tc>
        <w:tc>
          <w:tcPr>
            <w:tcW w:w="9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95</w:t>
            </w:r>
            <w:r>
              <w:rPr>
                <w:rFonts w:hint="eastAsia" w:ascii="宋体" w:hAnsi="宋体" w:eastAsia="宋体" w:cs="宋体"/>
                <w:i w:val="0"/>
                <w:color w:val="000000"/>
                <w:kern w:val="0"/>
                <w:sz w:val="22"/>
                <w:szCs w:val="22"/>
                <w:u w:val="none"/>
                <w:lang w:val="en-US" w:eastAsia="zh-CN" w:bidi="ar"/>
              </w:rPr>
              <w:t>%</w:t>
            </w:r>
          </w:p>
        </w:tc>
        <w:tc>
          <w:tcPr>
            <w:tcW w:w="192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pStyle w:val="7"/>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我院对财政资金严格管理，成立领导小组，专人专账管理，严格按资金使用范围使用，除一项省财政下达的长期资金在本年度只执行了一部分外（2019年省财政追加了一笔中医医疗服务能力提升补助4000万元，用于我院打造“中医医疗区域中心”，该笔资金2019年8月下达，我院当年一些设备和建设项目的招标采购流程尚未进行完，故该款项大部分尚未使用，导致执行率计算结果较低，实际剔除该项资金因素，我院其他财政资金的执行率应为88%，2020年将按项目计划，加快采购业务流程，尽快实施项目），部门预算财政资金执行进度，各项绩效指标均达到了预期目标，达到了年度预算的整体目标。</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6"/>
        </w:numPr>
        <w:spacing w:line="600" w:lineRule="exact"/>
        <w:ind w:firstLine="660" w:firstLineChars="150"/>
        <w:jc w:val="center"/>
        <w:outlineLvl w:val="0"/>
        <w:rPr>
          <w:rStyle w:val="25"/>
          <w:rFonts w:ascii="黑体" w:hAnsi="黑体" w:eastAsia="黑体"/>
          <w:b w:val="0"/>
        </w:rPr>
      </w:pPr>
      <w:bookmarkStart w:id="52" w:name="_Toc15377225"/>
      <w:bookmarkStart w:id="53" w:name="_Toc15396613"/>
      <w:r>
        <w:rPr>
          <w:rFonts w:hint="eastAsia" w:ascii="黑体" w:hAnsi="黑体" w:eastAsia="黑体"/>
          <w:color w:val="000000"/>
          <w:sz w:val="44"/>
          <w:szCs w:val="44"/>
        </w:rPr>
        <w:t>名</w:t>
      </w:r>
      <w:r>
        <w:rPr>
          <w:rStyle w:val="25"/>
          <w:rFonts w:hint="eastAsia" w:ascii="黑体" w:hAnsi="黑体" w:eastAsia="黑体"/>
          <w:b w:val="0"/>
        </w:rPr>
        <w:t>词解释</w:t>
      </w:r>
      <w:bookmarkEnd w:id="52"/>
      <w:bookmarkEnd w:id="53"/>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w:t>
      </w:r>
      <w:r>
        <w:rPr>
          <w:rFonts w:hint="eastAsia" w:ascii="仿宋" w:hAnsi="仿宋" w:eastAsia="仿宋"/>
          <w:b/>
          <w:color w:val="000000"/>
          <w:sz w:val="32"/>
          <w:szCs w:val="32"/>
        </w:rPr>
        <w:t>9年政府收支分类科目》增减内容。）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3"/>
        <w:spacing w:line="560" w:lineRule="exact"/>
        <w:ind w:firstLine="640" w:firstLineChars="200"/>
        <w:rPr>
          <w:rFonts w:ascii="仿宋_GB2312" w:eastAsia="仿宋_GB2312" w:cs="黑体"/>
          <w:sz w:val="32"/>
          <w:szCs w:val="32"/>
        </w:rPr>
      </w:pPr>
    </w:p>
    <w:p>
      <w:pPr>
        <w:ind w:firstLine="640"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5"/>
          <w:rFonts w:ascii="黑体" w:hAnsi="黑体" w:eastAsia="黑体"/>
          <w:b w:val="0"/>
        </w:rPr>
      </w:pPr>
      <w:bookmarkStart w:id="54" w:name="_Toc15377226"/>
      <w:r>
        <w:rPr>
          <w:rFonts w:ascii="宋体"/>
          <w:b/>
          <w:color w:val="000000"/>
          <w:sz w:val="44"/>
          <w:szCs w:val="44"/>
        </w:rPr>
        <w:br w:type="page"/>
      </w:r>
      <w:bookmarkStart w:id="55" w:name="_Toc15396614"/>
      <w:r>
        <w:rPr>
          <w:rFonts w:hint="eastAsia" w:ascii="黑体" w:hAnsi="黑体" w:eastAsia="黑体"/>
          <w:color w:val="000000"/>
          <w:sz w:val="44"/>
          <w:szCs w:val="44"/>
        </w:rPr>
        <w:t>第</w:t>
      </w:r>
      <w:r>
        <w:rPr>
          <w:rStyle w:val="25"/>
          <w:rFonts w:hint="eastAsia" w:ascii="黑体" w:hAnsi="黑体" w:eastAsia="黑体"/>
          <w:b w:val="0"/>
        </w:rPr>
        <w:t>四部分 附件</w:t>
      </w:r>
      <w:bookmarkEnd w:id="55"/>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lang w:eastAsia="zh-CN"/>
        </w:rPr>
        <w:t>四川省攀枝花市中西医结合医院</w:t>
      </w: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p>
    <w:p>
      <w:pPr>
        <w:widowControl/>
        <w:spacing w:line="580" w:lineRule="exact"/>
        <w:ind w:firstLine="640" w:firstLineChars="200"/>
        <w:contextualSpacing/>
        <w:jc w:val="center"/>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（报告范围包括机关和下属单位）</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lang w:val="zh-CN"/>
        </w:rPr>
      </w:pPr>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p>
    <w:p>
      <w:pPr>
        <w:spacing w:line="500" w:lineRule="exact"/>
        <w:ind w:firstLine="627" w:firstLineChars="196"/>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r>
        <w:rPr>
          <w:rFonts w:hint="eastAsia" w:ascii="宋体" w:hAnsi="宋体" w:eastAsia="宋体" w:cs="仿宋_GB2312"/>
          <w:color w:val="000000"/>
          <w:sz w:val="32"/>
          <w:szCs w:val="32"/>
        </w:rPr>
        <w:t>攀枝花市中西医结合医院为参照公务员法管理的事业单位1个。</w:t>
      </w:r>
    </w:p>
    <w:p>
      <w:pPr>
        <w:snapToGrid w:val="0"/>
        <w:spacing w:line="500" w:lineRule="exact"/>
        <w:ind w:firstLine="640" w:firstLineChars="200"/>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（二）机构职能。</w:t>
      </w:r>
      <w:r>
        <w:rPr>
          <w:rFonts w:hint="eastAsia" w:ascii="宋体" w:hAnsi="宋体" w:eastAsia="宋体" w:cs="仿宋_GB2312"/>
          <w:color w:val="000000"/>
          <w:sz w:val="32"/>
          <w:szCs w:val="32"/>
        </w:rPr>
        <w:t>攀枝花市中西医结合医院是集医疗、预防、保健与健康教育、科研、教学为一体的三级甲等中西医结合医院，攀枝花学院附属医院。主要服务攀枝花市百万人口，辐射云南省华坪、宁蒗、凉山州会理、会东、德昌、盐源、木里等县，承担医疗、预防、保健工作、市内传染病、职业病和非传染性慢性病的防控，群众健康教育工作以及应对各种突发性公共卫生事件和医疗抢救工作。</w:t>
      </w:r>
    </w:p>
    <w:p>
      <w:pPr>
        <w:spacing w:line="480" w:lineRule="exact"/>
        <w:ind w:firstLine="640" w:firstLineChars="200"/>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（三）人员概况。</w:t>
      </w:r>
      <w:r>
        <w:rPr>
          <w:rFonts w:hint="eastAsia" w:ascii="仿宋_GB2312" w:hAnsi="仿宋_GB2312" w:eastAsia="仿宋_GB2312" w:cs="仿宋_GB2312"/>
          <w:color w:val="000000"/>
          <w:sz w:val="32"/>
          <w:szCs w:val="32"/>
        </w:rPr>
        <w:t>全院现有在岗职工</w:t>
      </w:r>
      <w:r>
        <w:rPr>
          <w:rFonts w:hint="eastAsia" w:ascii="仿宋_GB2312" w:hAnsi="仿宋_GB2312" w:eastAsia="仿宋_GB2312" w:cs="仿宋_GB2312"/>
          <w:color w:val="000000"/>
          <w:sz w:val="32"/>
          <w:szCs w:val="32"/>
          <w:lang w:val="en-US" w:eastAsia="zh-CN"/>
        </w:rPr>
        <w:t>1230</w:t>
      </w:r>
      <w:r>
        <w:rPr>
          <w:rFonts w:hint="eastAsia" w:ascii="仿宋_GB2312" w:hAnsi="仿宋_GB2312" w:eastAsia="仿宋_GB2312" w:cs="仿宋_GB2312"/>
          <w:color w:val="000000"/>
          <w:sz w:val="32"/>
          <w:szCs w:val="32"/>
        </w:rPr>
        <w:t>人，其中在编职工</w:t>
      </w:r>
      <w:r>
        <w:rPr>
          <w:rFonts w:hint="eastAsia" w:ascii="仿宋_GB2312" w:hAnsi="仿宋_GB2312" w:eastAsia="仿宋_GB2312" w:cs="仿宋_GB2312"/>
          <w:color w:val="000000"/>
          <w:sz w:val="32"/>
          <w:szCs w:val="32"/>
          <w:lang w:val="en-US" w:eastAsia="zh-CN"/>
        </w:rPr>
        <w:t>514</w:t>
      </w:r>
      <w:r>
        <w:rPr>
          <w:rFonts w:hint="eastAsia" w:ascii="仿宋_GB2312" w:hAnsi="仿宋_GB2312" w:eastAsia="仿宋_GB2312" w:cs="仿宋_GB2312"/>
          <w:color w:val="000000"/>
          <w:sz w:val="32"/>
          <w:szCs w:val="32"/>
        </w:rPr>
        <w:t>人，招聘人员</w:t>
      </w:r>
      <w:r>
        <w:rPr>
          <w:rFonts w:hint="eastAsia" w:ascii="仿宋_GB2312" w:hAnsi="仿宋_GB2312" w:eastAsia="仿宋_GB2312" w:cs="仿宋_GB2312"/>
          <w:color w:val="000000"/>
          <w:sz w:val="32"/>
          <w:szCs w:val="32"/>
          <w:lang w:val="en-US" w:eastAsia="zh-CN"/>
        </w:rPr>
        <w:t>716</w:t>
      </w:r>
      <w:r>
        <w:rPr>
          <w:rFonts w:hint="eastAsia" w:ascii="仿宋_GB2312" w:hAnsi="仿宋_GB2312" w:eastAsia="仿宋_GB2312" w:cs="仿宋_GB2312"/>
          <w:color w:val="000000"/>
          <w:sz w:val="32"/>
          <w:szCs w:val="32"/>
        </w:rPr>
        <w:t>人。包含卫生专业人员</w:t>
      </w:r>
      <w:r>
        <w:rPr>
          <w:rFonts w:hint="eastAsia" w:ascii="仿宋_GB2312" w:hAnsi="仿宋_GB2312" w:eastAsia="仿宋_GB2312" w:cs="仿宋_GB2312"/>
          <w:color w:val="000000"/>
          <w:sz w:val="32"/>
          <w:szCs w:val="32"/>
          <w:lang w:val="en-US" w:eastAsia="zh-CN"/>
        </w:rPr>
        <w:t>1008</w:t>
      </w:r>
      <w:r>
        <w:rPr>
          <w:rFonts w:hint="eastAsia" w:ascii="仿宋_GB2312" w:hAnsi="仿宋_GB2312" w:eastAsia="仿宋_GB2312" w:cs="仿宋_GB2312"/>
          <w:color w:val="000000"/>
          <w:sz w:val="32"/>
          <w:szCs w:val="32"/>
        </w:rPr>
        <w:t>人（其中主任医师</w:t>
      </w:r>
      <w:r>
        <w:rPr>
          <w:rFonts w:hint="eastAsia" w:ascii="仿宋_GB2312" w:hAnsi="仿宋_GB2312" w:eastAsia="仿宋_GB2312" w:cs="仿宋_GB2312"/>
          <w:color w:val="000000"/>
          <w:sz w:val="32"/>
          <w:szCs w:val="32"/>
          <w:lang w:val="en-US" w:eastAsia="zh-CN"/>
        </w:rPr>
        <w:t>56</w:t>
      </w:r>
      <w:r>
        <w:rPr>
          <w:rFonts w:hint="eastAsia" w:ascii="仿宋_GB2312" w:hAnsi="仿宋_GB2312" w:eastAsia="仿宋_GB2312" w:cs="仿宋_GB2312"/>
          <w:color w:val="000000"/>
          <w:sz w:val="32"/>
          <w:szCs w:val="32"/>
        </w:rPr>
        <w:t>人，副主任医师</w:t>
      </w:r>
      <w:r>
        <w:rPr>
          <w:rFonts w:hint="eastAsia" w:ascii="仿宋_GB2312" w:hAnsi="仿宋_GB2312" w:eastAsia="仿宋_GB2312" w:cs="仿宋_GB2312"/>
          <w:color w:val="000000"/>
          <w:sz w:val="32"/>
          <w:szCs w:val="32"/>
          <w:lang w:val="en-US" w:eastAsia="zh-CN"/>
        </w:rPr>
        <w:t>107</w:t>
      </w:r>
      <w:r>
        <w:rPr>
          <w:rFonts w:hint="eastAsia" w:ascii="仿宋_GB2312" w:hAnsi="仿宋_GB2312" w:eastAsia="仿宋_GB2312" w:cs="仿宋_GB2312"/>
          <w:color w:val="000000"/>
          <w:sz w:val="32"/>
          <w:szCs w:val="32"/>
        </w:rPr>
        <w:t>人，主治医师</w:t>
      </w:r>
      <w:r>
        <w:rPr>
          <w:rFonts w:hint="eastAsia" w:ascii="仿宋_GB2312" w:hAnsi="仿宋_GB2312" w:eastAsia="仿宋_GB2312" w:cs="仿宋_GB2312"/>
          <w:color w:val="000000"/>
          <w:sz w:val="32"/>
          <w:szCs w:val="32"/>
          <w:lang w:val="en-US" w:eastAsia="zh-CN"/>
        </w:rPr>
        <w:t>125</w:t>
      </w:r>
      <w:r>
        <w:rPr>
          <w:rFonts w:hint="eastAsia" w:ascii="仿宋_GB2312" w:hAnsi="仿宋_GB2312" w:eastAsia="仿宋_GB2312" w:cs="仿宋_GB2312"/>
          <w:color w:val="000000"/>
          <w:sz w:val="32"/>
          <w:szCs w:val="32"/>
        </w:rPr>
        <w:t>人，住院医师</w:t>
      </w:r>
      <w:r>
        <w:rPr>
          <w:rFonts w:hint="eastAsia" w:ascii="仿宋_GB2312" w:hAnsi="仿宋_GB2312" w:eastAsia="仿宋_GB2312" w:cs="仿宋_GB2312"/>
          <w:color w:val="000000"/>
          <w:sz w:val="32"/>
          <w:szCs w:val="32"/>
          <w:lang w:val="en-US" w:eastAsia="zh-CN"/>
        </w:rPr>
        <w:t>69</w:t>
      </w:r>
      <w:r>
        <w:rPr>
          <w:rFonts w:hint="eastAsia" w:ascii="仿宋_GB2312" w:hAnsi="仿宋_GB2312" w:eastAsia="仿宋_GB2312" w:cs="仿宋_GB2312"/>
          <w:color w:val="000000"/>
          <w:sz w:val="32"/>
          <w:szCs w:val="32"/>
        </w:rPr>
        <w:t>人，药师（士）</w:t>
      </w:r>
      <w:r>
        <w:rPr>
          <w:rFonts w:hint="eastAsia" w:ascii="仿宋_GB2312" w:hAnsi="仿宋_GB2312" w:eastAsia="仿宋_GB2312" w:cs="仿宋_GB2312"/>
          <w:color w:val="000000"/>
          <w:sz w:val="32"/>
          <w:szCs w:val="32"/>
          <w:lang w:val="en-US" w:eastAsia="zh-CN"/>
        </w:rPr>
        <w:t>50</w:t>
      </w:r>
      <w:r>
        <w:rPr>
          <w:rFonts w:hint="eastAsia" w:ascii="仿宋_GB2312" w:hAnsi="仿宋_GB2312" w:eastAsia="仿宋_GB2312" w:cs="仿宋_GB2312"/>
          <w:color w:val="000000"/>
          <w:sz w:val="32"/>
          <w:szCs w:val="32"/>
        </w:rPr>
        <w:t>人，技师（士）</w:t>
      </w:r>
      <w:r>
        <w:rPr>
          <w:rFonts w:hint="eastAsia" w:ascii="仿宋_GB2312" w:hAnsi="仿宋_GB2312" w:eastAsia="仿宋_GB2312" w:cs="仿宋_GB2312"/>
          <w:color w:val="000000"/>
          <w:sz w:val="32"/>
          <w:szCs w:val="32"/>
          <w:lang w:val="en-US" w:eastAsia="zh-CN"/>
        </w:rPr>
        <w:t>73</w:t>
      </w:r>
      <w:r>
        <w:rPr>
          <w:rFonts w:hint="eastAsia" w:ascii="仿宋_GB2312" w:hAnsi="仿宋_GB2312" w:eastAsia="仿宋_GB2312" w:cs="仿宋_GB2312"/>
          <w:color w:val="000000"/>
          <w:sz w:val="32"/>
          <w:szCs w:val="32"/>
        </w:rPr>
        <w:t>人，主任护师</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人，副主任护师</w:t>
      </w:r>
      <w:r>
        <w:rPr>
          <w:rFonts w:hint="eastAsia" w:ascii="仿宋_GB2312" w:hAnsi="仿宋_GB2312" w:eastAsia="仿宋_GB2312" w:cs="仿宋_GB2312"/>
          <w:color w:val="000000"/>
          <w:sz w:val="32"/>
          <w:szCs w:val="32"/>
          <w:lang w:val="en-US" w:eastAsia="zh-CN"/>
        </w:rPr>
        <w:t>36</w:t>
      </w:r>
      <w:r>
        <w:rPr>
          <w:rFonts w:hint="eastAsia" w:ascii="仿宋_GB2312" w:hAnsi="仿宋_GB2312" w:eastAsia="仿宋_GB2312" w:cs="仿宋_GB2312"/>
          <w:color w:val="000000"/>
          <w:sz w:val="32"/>
          <w:szCs w:val="32"/>
        </w:rPr>
        <w:t>人，其他护士</w:t>
      </w:r>
      <w:r>
        <w:rPr>
          <w:rFonts w:hint="eastAsia" w:ascii="仿宋_GB2312" w:hAnsi="仿宋_GB2312" w:eastAsia="仿宋_GB2312" w:cs="仿宋_GB2312"/>
          <w:color w:val="000000"/>
          <w:sz w:val="32"/>
          <w:szCs w:val="32"/>
          <w:lang w:val="en-US" w:eastAsia="zh-CN"/>
        </w:rPr>
        <w:t>482</w:t>
      </w:r>
      <w:r>
        <w:rPr>
          <w:rFonts w:hint="eastAsia" w:ascii="仿宋_GB2312" w:hAnsi="仿宋_GB2312" w:eastAsia="仿宋_GB2312" w:cs="仿宋_GB2312"/>
          <w:color w:val="000000"/>
          <w:sz w:val="32"/>
          <w:szCs w:val="32"/>
        </w:rPr>
        <w:t>人），机关后勤人员</w:t>
      </w:r>
      <w:r>
        <w:rPr>
          <w:rFonts w:hint="eastAsia" w:ascii="仿宋_GB2312" w:hAnsi="仿宋_GB2312" w:eastAsia="仿宋_GB2312" w:cs="仿宋_GB2312"/>
          <w:color w:val="000000"/>
          <w:sz w:val="32"/>
          <w:szCs w:val="32"/>
          <w:lang w:val="en-US" w:eastAsia="zh-CN"/>
        </w:rPr>
        <w:t>47</w:t>
      </w:r>
      <w:r>
        <w:rPr>
          <w:rFonts w:hint="eastAsia" w:ascii="仿宋_GB2312" w:hAnsi="仿宋_GB2312" w:eastAsia="仿宋_GB2312" w:cs="仿宋_GB2312"/>
          <w:color w:val="000000"/>
          <w:sz w:val="32"/>
          <w:szCs w:val="32"/>
        </w:rPr>
        <w:t>人，工勤技能人员</w:t>
      </w:r>
      <w:r>
        <w:rPr>
          <w:rFonts w:hint="eastAsia" w:ascii="仿宋_GB2312" w:hAnsi="仿宋_GB2312" w:eastAsia="仿宋_GB2312" w:cs="仿宋_GB2312"/>
          <w:color w:val="000000"/>
          <w:sz w:val="32"/>
          <w:szCs w:val="32"/>
          <w:lang w:val="en-US" w:eastAsia="zh-CN"/>
        </w:rPr>
        <w:t>134</w:t>
      </w:r>
      <w:r>
        <w:rPr>
          <w:rFonts w:hint="eastAsia" w:ascii="仿宋_GB2312" w:hAnsi="仿宋_GB2312" w:eastAsia="仿宋_GB2312" w:cs="仿宋_GB2312"/>
          <w:color w:val="000000"/>
          <w:sz w:val="32"/>
          <w:szCs w:val="32"/>
        </w:rPr>
        <w:t>人。</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仿宋_GB2312"/>
          <w:color w:val="000000"/>
          <w:sz w:val="32"/>
          <w:szCs w:val="32"/>
        </w:rPr>
        <w:t>攀枝花市中西医结合医院201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年度财政拨款收入总计</w:t>
      </w:r>
      <w:r>
        <w:rPr>
          <w:rFonts w:hint="eastAsia" w:ascii="仿宋_GB2312" w:hAnsi="仿宋_GB2312" w:eastAsia="仿宋_GB2312" w:cs="仿宋_GB2312"/>
          <w:color w:val="000000"/>
          <w:sz w:val="32"/>
          <w:szCs w:val="32"/>
          <w:lang w:val="en-US" w:eastAsia="zh-CN"/>
        </w:rPr>
        <w:t>7,595.97</w:t>
      </w:r>
      <w:r>
        <w:rPr>
          <w:rFonts w:hint="eastAsia" w:ascii="仿宋_GB2312" w:hAnsi="仿宋_GB2312" w:eastAsia="仿宋_GB2312" w:cs="仿宋_GB2312"/>
          <w:color w:val="000000"/>
          <w:sz w:val="32"/>
          <w:szCs w:val="32"/>
        </w:rPr>
        <w:t>万元,与201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年相比，财政拨款收入增加</w:t>
      </w:r>
      <w:r>
        <w:rPr>
          <w:rFonts w:hint="eastAsia" w:ascii="仿宋_GB2312" w:hAnsi="仿宋_GB2312" w:eastAsia="仿宋_GB2312" w:cs="仿宋_GB2312"/>
          <w:color w:val="000000"/>
          <w:sz w:val="32"/>
          <w:szCs w:val="32"/>
          <w:lang w:val="en-US" w:eastAsia="zh-CN"/>
        </w:rPr>
        <w:t>3,777.35</w:t>
      </w:r>
      <w:r>
        <w:rPr>
          <w:rFonts w:hint="eastAsia" w:ascii="仿宋_GB2312" w:hAnsi="仿宋_GB2312" w:eastAsia="仿宋_GB2312" w:cs="仿宋_GB2312"/>
          <w:color w:val="000000"/>
          <w:sz w:val="32"/>
          <w:szCs w:val="32"/>
        </w:rPr>
        <w:t>万元，上升</w:t>
      </w:r>
      <w:r>
        <w:rPr>
          <w:rFonts w:hint="eastAsia" w:ascii="仿宋_GB2312" w:hAnsi="仿宋_GB2312" w:eastAsia="仿宋_GB2312" w:cs="仿宋_GB2312"/>
          <w:color w:val="000000"/>
          <w:sz w:val="32"/>
          <w:szCs w:val="32"/>
          <w:lang w:val="en-US" w:eastAsia="zh-CN"/>
        </w:rPr>
        <w:t>98.92</w:t>
      </w:r>
      <w:r>
        <w:rPr>
          <w:rFonts w:hint="eastAsia" w:ascii="仿宋_GB2312" w:hAnsi="仿宋_GB2312" w:eastAsia="仿宋_GB2312" w:cs="仿宋_GB2312"/>
          <w:color w:val="000000"/>
          <w:sz w:val="32"/>
          <w:szCs w:val="32"/>
        </w:rPr>
        <w:t>%。</w:t>
      </w:r>
    </w:p>
    <w:p>
      <w:pPr>
        <w:widowControl/>
        <w:numPr>
          <w:ilvl w:val="0"/>
          <w:numId w:val="7"/>
        </w:numPr>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部门财政资金支出情况。</w:t>
      </w:r>
    </w:p>
    <w:p>
      <w:pPr>
        <w:spacing w:line="600" w:lineRule="exact"/>
        <w:ind w:firstLine="640" w:firstLineChars="200"/>
        <w:rPr>
          <w:rFonts w:hint="eastAsia" w:ascii="黑体" w:hAnsi="宋体" w:eastAsia="黑体" w:cs="宋体"/>
          <w:color w:val="000000"/>
          <w:kern w:val="0"/>
          <w:sz w:val="32"/>
          <w:szCs w:val="32"/>
          <w:shd w:val="clear" w:color="auto" w:fill="FFFFFF"/>
        </w:rPr>
      </w:pP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年度财政拨款支出总计</w:t>
      </w:r>
      <w:r>
        <w:rPr>
          <w:rFonts w:hint="eastAsia" w:ascii="仿宋_GB2312" w:hAnsi="仿宋_GB2312" w:eastAsia="仿宋_GB2312" w:cs="仿宋_GB2312"/>
          <w:color w:val="000000"/>
          <w:sz w:val="32"/>
          <w:szCs w:val="32"/>
          <w:lang w:val="en-US" w:eastAsia="zh-CN"/>
        </w:rPr>
        <w:t>4,947.68</w:t>
      </w:r>
      <w:r>
        <w:rPr>
          <w:rFonts w:hint="eastAsia" w:ascii="仿宋_GB2312" w:hAnsi="仿宋_GB2312" w:eastAsia="仿宋_GB2312" w:cs="仿宋_GB2312"/>
          <w:color w:val="000000"/>
          <w:sz w:val="32"/>
          <w:szCs w:val="32"/>
        </w:rPr>
        <w:t>万元, 与201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年相比，财政拨款支出</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1,699.39</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上升</w:t>
      </w:r>
      <w:r>
        <w:rPr>
          <w:rFonts w:hint="eastAsia" w:ascii="仿宋_GB2312" w:hAnsi="仿宋_GB2312" w:eastAsia="仿宋_GB2312" w:cs="仿宋_GB2312"/>
          <w:color w:val="000000"/>
          <w:sz w:val="32"/>
          <w:szCs w:val="32"/>
          <w:lang w:val="en-US" w:eastAsia="zh-CN"/>
        </w:rPr>
        <w:t>52.32</w:t>
      </w:r>
      <w:r>
        <w:rPr>
          <w:rFonts w:hint="eastAsia" w:ascii="仿宋_GB2312" w:hAnsi="仿宋_GB2312" w:eastAsia="仿宋_GB2312" w:cs="仿宋_GB2312"/>
          <w:color w:val="000000"/>
          <w:sz w:val="32"/>
          <w:szCs w:val="32"/>
        </w:rPr>
        <w:t>%。</w:t>
      </w:r>
    </w:p>
    <w:p>
      <w:pPr>
        <w:widowControl/>
        <w:numPr>
          <w:ilvl w:val="0"/>
          <w:numId w:val="0"/>
        </w:numPr>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widowControl/>
        <w:adjustRightInd w:val="0"/>
        <w:snapToGrid w:val="0"/>
        <w:spacing w:line="580" w:lineRule="exact"/>
        <w:ind w:firstLine="640" w:firstLineChars="200"/>
        <w:contextualSpacing/>
        <w:jc w:val="left"/>
        <w:rPr>
          <w:rFonts w:hint="eastAsia" w:hAnsi="宋体"/>
          <w:sz w:val="32"/>
          <w:szCs w:val="32"/>
        </w:rPr>
      </w:pPr>
      <w:r>
        <w:rPr>
          <w:rFonts w:hint="eastAsia" w:hAnsi="宋体"/>
          <w:sz w:val="32"/>
          <w:szCs w:val="32"/>
        </w:rPr>
        <w:t>2019年我院对财政资金严格管理，成立领导小组，专人专账管理，严格按资金使用范围使用，除一项省财政下达的长期资金在本年度只执行了一部分外（在偏离原因中另作说明），部门预算财政资金执行进度，各项绩效指标均达到了预期目标，达到了年度预算的整体目标。</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pStyle w:val="7"/>
        <w:spacing w:line="600" w:lineRule="exact"/>
        <w:ind w:firstLine="640" w:firstLineChars="200"/>
        <w:jc w:val="left"/>
        <w:rPr>
          <w:rFonts w:hint="eastAsia" w:ascii="宋体" w:hAnsi="宋体" w:eastAsia="宋体" w:cs="Times New Roman"/>
          <w:sz w:val="32"/>
          <w:szCs w:val="32"/>
        </w:rPr>
      </w:pPr>
      <w:r>
        <w:rPr>
          <w:rFonts w:hint="eastAsia" w:ascii="宋体" w:hAnsi="宋体" w:eastAsia="宋体"/>
          <w:sz w:val="32"/>
          <w:szCs w:val="32"/>
        </w:rPr>
        <w:t>自评结果将应用于科室考核，按绩效评价结果进行奖惩；将自评中发现的问题在以后的预算编制和执行中改进。对自评结果进行公开公示。</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pStyle w:val="7"/>
        <w:spacing w:line="600" w:lineRule="exact"/>
        <w:ind w:firstLine="640" w:firstLineChars="200"/>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仿宋_GB2312"/>
          <w:color w:val="000000"/>
          <w:sz w:val="32"/>
          <w:szCs w:val="32"/>
        </w:rPr>
        <w:t>按照预算绩效管理要求，本部门对201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年整体支出开展绩效自评，自评得分9</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分</w:t>
      </w:r>
      <w:r>
        <w:rPr>
          <w:rFonts w:hint="eastAsia" w:hAnsi="宋体"/>
          <w:sz w:val="32"/>
          <w:szCs w:val="32"/>
        </w:rPr>
        <w:t>，部门预算财政资金执行进度，各项绩效指标均达到了预期目标，达到了年度预算的整体目标。</w:t>
      </w:r>
    </w:p>
    <w:p>
      <w:pPr>
        <w:widowControl/>
        <w:numPr>
          <w:ilvl w:val="0"/>
          <w:numId w:val="7"/>
        </w:numPr>
        <w:adjustRightInd w:val="0"/>
        <w:snapToGrid w:val="0"/>
        <w:spacing w:line="58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存在问题。</w:t>
      </w:r>
    </w:p>
    <w:p>
      <w:pPr>
        <w:widowControl/>
        <w:numPr>
          <w:ilvl w:val="0"/>
          <w:numId w:val="0"/>
        </w:numPr>
        <w:adjustRightInd w:val="0"/>
        <w:snapToGrid w:val="0"/>
        <w:spacing w:line="580" w:lineRule="exact"/>
        <w:ind w:leftChars="200"/>
        <w:contextualSpacing/>
        <w:jc w:val="left"/>
        <w:rPr>
          <w:rFonts w:hint="eastAsia"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 xml:space="preserve">  </w:t>
      </w: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color w:val="000000"/>
          <w:sz w:val="32"/>
          <w:szCs w:val="32"/>
          <w:lang w:eastAsia="zh-CN"/>
        </w:rPr>
        <w:t>年初绩效目标设定与年度计划安排未完全对应</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造成目标未完成</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是</w:t>
      </w:r>
      <w:r>
        <w:rPr>
          <w:rFonts w:hint="eastAsia" w:ascii="仿宋_GB2312" w:hAnsi="仿宋_GB2312" w:eastAsia="仿宋_GB2312" w:cs="仿宋_GB2312"/>
          <w:color w:val="000000"/>
          <w:sz w:val="32"/>
          <w:szCs w:val="32"/>
          <w:lang w:eastAsia="zh-CN"/>
        </w:rPr>
        <w:t>相关职能部门没有正确认识预算绩效管理的机制</w:t>
      </w:r>
      <w:r>
        <w:rPr>
          <w:rFonts w:hint="eastAsia" w:ascii="仿宋_GB2312" w:hAnsi="仿宋_GB2312" w:eastAsia="仿宋_GB2312" w:cs="仿宋_GB2312"/>
          <w:color w:val="000000"/>
          <w:sz w:val="32"/>
          <w:szCs w:val="32"/>
          <w:lang w:val="en-US" w:eastAsia="zh-CN"/>
        </w:rPr>
        <w:t>,执行力度不强</w:t>
      </w:r>
      <w:r>
        <w:rPr>
          <w:rFonts w:hint="eastAsia" w:ascii="仿宋_GB2312" w:hAnsi="仿宋_GB2312" w:eastAsia="仿宋_GB2312" w:cs="仿宋_GB2312"/>
          <w:color w:val="000000"/>
          <w:sz w:val="32"/>
          <w:szCs w:val="32"/>
        </w:rPr>
        <w:t>。</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spacing w:line="600" w:lineRule="atLeast"/>
        <w:ind w:firstLine="640"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color w:val="000000"/>
          <w:sz w:val="32"/>
          <w:szCs w:val="32"/>
          <w:lang w:eastAsia="zh-CN"/>
        </w:rPr>
        <w:t>科学设定目标及指标</w:t>
      </w:r>
      <w:r>
        <w:rPr>
          <w:rFonts w:hint="eastAsia" w:ascii="仿宋_GB2312" w:hAnsi="仿宋_GB2312" w:eastAsia="仿宋_GB2312" w:cs="仿宋_GB2312"/>
          <w:color w:val="000000"/>
          <w:sz w:val="32"/>
          <w:szCs w:val="32"/>
          <w:lang w:val="en-US" w:eastAsia="zh-CN"/>
        </w:rPr>
        <w:t>,强化事前准备工作,完善指标体系建设</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是对医院内部管理的制度、方法加强创新，提升管理能力。</w:t>
      </w:r>
    </w:p>
    <w:p>
      <w:pPr>
        <w:spacing w:line="580" w:lineRule="exact"/>
        <w:ind w:firstLine="640" w:firstLineChars="200"/>
        <w:rPr>
          <w:rFonts w:ascii="仿宋_GB2312" w:hAnsi="仿宋_GB2312" w:eastAsia="仿宋_GB2312" w:cs="仿宋_GB2312"/>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rPr>
        <w:t>城市公立医院改革补助资金-专用设备补助</w:t>
      </w:r>
      <w:r>
        <w:rPr>
          <w:rFonts w:hint="eastAsia" w:ascii="方正小标宋简体" w:hAnsi="宋体" w:eastAsia="方正小标宋简体"/>
          <w:color w:val="000000"/>
          <w:kern w:val="0"/>
          <w:sz w:val="44"/>
          <w:szCs w:val="44"/>
          <w:lang w:val="zh-CN"/>
        </w:rPr>
        <w:t>项目</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spacing w:line="600" w:lineRule="exact"/>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w:t>
      </w:r>
      <w:r>
        <w:rPr>
          <w:rFonts w:hint="eastAsia" w:ascii="仿宋_GB2312" w:hAnsi="宋体" w:eastAsia="仿宋_GB2312"/>
          <w:sz w:val="32"/>
          <w:szCs w:val="32"/>
          <w:lang w:val="zh-CN" w:eastAsia="zh-CN"/>
        </w:rPr>
        <w:t>我单位</w:t>
      </w:r>
      <w:r>
        <w:rPr>
          <w:rFonts w:hint="eastAsia" w:ascii="仿宋_GB2312" w:hAnsi="宋体" w:eastAsia="仿宋_GB2312"/>
          <w:sz w:val="32"/>
          <w:szCs w:val="32"/>
          <w:lang w:val="zh-CN"/>
        </w:rPr>
        <w:t>在该项目管理中的职能是确保项目顺利实施，保障资金效益。。</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2．项目立项、资金申报的依据市改善医疗条件，提高诊疗水平。。</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3．根据医院十三五规划和临床学科发展，使用公立医院改革补助资金166万元开展新技术项目购置设备，同时对报废设备进行更新，保障患者正常治疗和手术需要。</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4．资金分配的原则及考虑因素市按照项目实施进度分配，确保资金顺利支付。</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1．项目主要内容。购买超声诊断仪、乳腺X射线机各一台。</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2．项目应实现的具体绩效目标，增强了医院的诊断能力，保障了患者诊断的需要和医院的持续发展。。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3．该项目申报内容与实际相符，申报目标合理可行。</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说明项目绩效自评采用的组织实施步骤及方法。</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项目资金申报、批复程序合法、合规，严格执行项目资金申报程序。</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1．资金计划。</w:t>
      </w:r>
      <w:r>
        <w:rPr>
          <w:rFonts w:hint="eastAsia" w:ascii="仿宋_GB2312" w:hAnsi="宋体" w:eastAsia="仿宋_GB2312"/>
          <w:sz w:val="32"/>
          <w:szCs w:val="32"/>
          <w:lang w:val="zh-CN"/>
        </w:rPr>
        <w:t>使用公立医院改革补助资金166万元开展新技术项目购置设备。</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2．资金到位。</w:t>
      </w:r>
      <w:r>
        <w:rPr>
          <w:rFonts w:hint="eastAsia" w:ascii="仿宋_GB2312" w:hAnsi="宋体" w:eastAsia="仿宋_GB2312"/>
          <w:sz w:val="32"/>
          <w:szCs w:val="32"/>
          <w:lang w:val="zh-CN"/>
        </w:rPr>
        <w:t>资金已全部到位。</w:t>
      </w:r>
    </w:p>
    <w:p>
      <w:pPr>
        <w:adjustRightInd w:val="0"/>
        <w:snapToGrid w:val="0"/>
        <w:spacing w:line="600" w:lineRule="exact"/>
        <w:ind w:firstLine="720"/>
        <w:rPr>
          <w:rFonts w:hint="eastAsia" w:ascii="仿宋_GB2312" w:hAnsi="宋体" w:eastAsia="仿宋_GB2312"/>
          <w:sz w:val="32"/>
          <w:szCs w:val="32"/>
          <w:lang w:val="zh-CN"/>
        </w:rPr>
      </w:pPr>
      <w:r>
        <w:rPr>
          <w:rFonts w:hint="eastAsia" w:ascii="楷体_GB2312" w:hAnsi="宋体" w:eastAsia="楷体_GB2312"/>
          <w:sz w:val="32"/>
          <w:szCs w:val="32"/>
          <w:lang w:val="zh-CN"/>
        </w:rPr>
        <w:t>3．资金使用。购买</w:t>
      </w:r>
      <w:r>
        <w:rPr>
          <w:rFonts w:hint="eastAsia" w:ascii="仿宋_GB2312" w:hAnsi="宋体" w:eastAsia="仿宋_GB2312"/>
          <w:sz w:val="32"/>
          <w:szCs w:val="32"/>
          <w:lang w:val="zh-CN"/>
        </w:rPr>
        <w:t>超声诊断仪81万；乳腺X射线机85万，均按通过政府采购流程购置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单位财务管理制度健全，严格执行财务管理制度，账务处理及时，会计核算规范。</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结合项目组织实施管理办法，重点围绕以下内容进行分析评价，并对自评中发现的问题分析说明。</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adjustRightInd w:val="0"/>
        <w:snapToGrid w:val="0"/>
        <w:spacing w:line="600" w:lineRule="exact"/>
        <w:ind w:firstLine="720"/>
        <w:rPr>
          <w:rFonts w:hint="eastAsia" w:ascii="仿宋_GB2312" w:hAnsi="宋体" w:eastAsia="宋体"/>
          <w:sz w:val="32"/>
          <w:szCs w:val="32"/>
          <w:lang w:val="zh-CN" w:eastAsia="zh-CN"/>
        </w:rPr>
      </w:pPr>
      <w:r>
        <w:rPr>
          <w:rFonts w:hint="eastAsia" w:ascii="楷体_GB2312" w:hAnsi="宋体" w:eastAsia="楷体_GB2312"/>
          <w:b/>
          <w:sz w:val="32"/>
          <w:szCs w:val="32"/>
          <w:lang w:val="zh-CN"/>
        </w:rPr>
        <w:t>（二）项目管理情况。</w:t>
      </w:r>
      <w:r>
        <w:rPr>
          <w:rFonts w:hint="eastAsia" w:hAnsi="宋体"/>
          <w:sz w:val="32"/>
          <w:szCs w:val="32"/>
        </w:rPr>
        <w:t>成立领导小组，专人专账管理，严格按资金使用范围使用</w:t>
      </w:r>
      <w:r>
        <w:rPr>
          <w:rFonts w:hint="eastAsia" w:hAnsi="宋体"/>
          <w:sz w:val="32"/>
          <w:szCs w:val="32"/>
          <w:lang w:eastAsia="zh-CN"/>
        </w:rPr>
        <w:t>。</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eastAsia" w:ascii="仿宋_GB2312" w:hAnsi="宋体" w:eastAsia="仿宋_GB2312"/>
          <w:sz w:val="32"/>
          <w:szCs w:val="32"/>
          <w:lang w:val="zh-CN"/>
        </w:rPr>
        <w:t>监审部门对项目实施实行全程监督，保证资金合规使用，确保项目顺利实施。。</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采购设施设备应全部符合国家相关质量标准，医疗设备必须具有医疗器械注册证，购买超声诊断仪81万；乳腺X射线机85万，均按通过政府采购流程购置。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通过引进新设备，开展新技术，提升医疗救治水平；及时更新淘汰旧设备，保障患者医疗安全。可在今后十年内持续服务于患者</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600" w:lineRule="exact"/>
        <w:ind w:firstLine="720"/>
        <w:rPr>
          <w:rFonts w:hint="eastAsia" w:hAnsi="宋体"/>
          <w:sz w:val="32"/>
          <w:szCs w:val="32"/>
        </w:rPr>
      </w:pPr>
      <w:r>
        <w:rPr>
          <w:rFonts w:hint="eastAsia" w:hAnsi="宋体"/>
          <w:sz w:val="32"/>
          <w:szCs w:val="32"/>
        </w:rPr>
        <w:t>部门预算财政资金执行进度，各项绩效指标均达到了预期目标，达到了年度预算的整体目标。</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widowControl/>
        <w:numPr>
          <w:ilvl w:val="0"/>
          <w:numId w:val="0"/>
        </w:numPr>
        <w:adjustRightInd w:val="0"/>
        <w:snapToGrid w:val="0"/>
        <w:spacing w:line="580" w:lineRule="exact"/>
        <w:ind w:leftChars="200" w:firstLine="640" w:firstLineChars="200"/>
        <w:contextualSpacing/>
        <w:jc w:val="left"/>
        <w:rPr>
          <w:rFonts w:ascii="仿宋_GB2312" w:hAnsi="宋体" w:eastAsia="仿宋_GB2312"/>
          <w:sz w:val="32"/>
          <w:szCs w:val="32"/>
          <w:lang w:val="zh-CN"/>
        </w:rPr>
      </w:pPr>
      <w:r>
        <w:rPr>
          <w:rFonts w:hint="eastAsia" w:ascii="仿宋_GB2312" w:hAnsi="仿宋_GB2312" w:eastAsia="仿宋_GB2312" w:cs="仿宋_GB2312"/>
          <w:color w:val="000000"/>
          <w:sz w:val="32"/>
          <w:szCs w:val="32"/>
          <w:lang w:eastAsia="zh-CN"/>
        </w:rPr>
        <w:t>相关职能部门没有正确认识预算绩效管理的机制</w:t>
      </w:r>
      <w:r>
        <w:rPr>
          <w:rFonts w:hint="eastAsia" w:ascii="仿宋_GB2312" w:hAnsi="仿宋_GB2312" w:eastAsia="仿宋_GB2312" w:cs="仿宋_GB2312"/>
          <w:color w:val="000000"/>
          <w:sz w:val="32"/>
          <w:szCs w:val="32"/>
          <w:lang w:val="en-US" w:eastAsia="zh-CN"/>
        </w:rPr>
        <w:t>,执行力度不强</w:t>
      </w:r>
      <w:r>
        <w:rPr>
          <w:rFonts w:hint="eastAsia" w:ascii="仿宋_GB2312" w:hAnsi="仿宋_GB2312" w:eastAsia="仿宋_GB2312" w:cs="仿宋_GB2312"/>
          <w:color w:val="000000"/>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widowControl/>
        <w:jc w:val="left"/>
        <w:rPr>
          <w:rStyle w:val="25"/>
          <w:rFonts w:hint="eastAsia" w:ascii="黑体" w:hAnsi="黑体" w:eastAsia="仿宋_GB2312"/>
          <w:b w:val="0"/>
          <w:lang w:val="en-US" w:eastAsia="zh-CN"/>
        </w:rPr>
      </w:pP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color w:val="000000"/>
          <w:sz w:val="32"/>
          <w:szCs w:val="32"/>
          <w:lang w:eastAsia="zh-CN"/>
        </w:rPr>
        <w:t>科学设定目标及指标</w:t>
      </w:r>
      <w:r>
        <w:rPr>
          <w:rFonts w:hint="eastAsia" w:ascii="仿宋_GB2312" w:hAnsi="仿宋_GB2312" w:eastAsia="仿宋_GB2312" w:cs="仿宋_GB2312"/>
          <w:color w:val="000000"/>
          <w:sz w:val="32"/>
          <w:szCs w:val="32"/>
          <w:lang w:val="en-US" w:eastAsia="zh-CN"/>
        </w:rPr>
        <w:t>,强化事前准备工作,完善指标体系建设</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是对医院内部管理的制度、方法加强创新，提升管理能力</w:t>
      </w:r>
      <w:r>
        <w:rPr>
          <w:rFonts w:hint="eastAsia" w:ascii="仿宋_GB2312" w:hAnsi="仿宋_GB2312" w:eastAsia="仿宋_GB2312" w:cs="仿宋_GB2312"/>
          <w:color w:val="000000"/>
          <w:sz w:val="32"/>
          <w:szCs w:val="32"/>
          <w:lang w:val="en-US" w:eastAsia="zh-CN"/>
        </w:rPr>
        <w:t>.</w:t>
      </w:r>
    </w:p>
    <w:p>
      <w:pPr>
        <w:widowControl/>
        <w:jc w:val="left"/>
        <w:rPr>
          <w:rStyle w:val="25"/>
          <w:rFonts w:ascii="黑体" w:hAnsi="黑体" w:eastAsia="黑体"/>
          <w:b w:val="0"/>
        </w:rPr>
      </w:pPr>
      <w:r>
        <w:rPr>
          <w:rStyle w:val="25"/>
          <w:rFonts w:ascii="黑体" w:hAnsi="黑体" w:eastAsia="黑体"/>
          <w:b w:val="0"/>
        </w:rPr>
        <w:br w:type="page"/>
      </w:r>
    </w:p>
    <w:p>
      <w:pPr>
        <w:spacing w:line="600" w:lineRule="exact"/>
        <w:jc w:val="center"/>
        <w:outlineLvl w:val="0"/>
        <w:rPr>
          <w:rStyle w:val="25"/>
          <w:rFonts w:ascii="黑体" w:hAnsi="黑体" w:eastAsia="黑体"/>
          <w:b w:val="0"/>
        </w:rPr>
      </w:pPr>
    </w:p>
    <w:p>
      <w:pPr>
        <w:spacing w:line="600" w:lineRule="exact"/>
        <w:jc w:val="center"/>
        <w:outlineLvl w:val="0"/>
        <w:rPr>
          <w:rStyle w:val="25"/>
          <w:rFonts w:ascii="黑体" w:hAnsi="黑体" w:eastAsia="黑体"/>
          <w:b w:val="0"/>
        </w:rPr>
      </w:pPr>
      <w:bookmarkStart w:id="56" w:name="_Toc15396618"/>
      <w:r>
        <w:rPr>
          <w:rFonts w:hint="eastAsia" w:ascii="黑体" w:hAnsi="黑体" w:eastAsia="黑体"/>
          <w:color w:val="000000"/>
          <w:sz w:val="44"/>
          <w:szCs w:val="44"/>
        </w:rPr>
        <w:t>第</w:t>
      </w:r>
      <w:r>
        <w:rPr>
          <w:rStyle w:val="25"/>
          <w:rFonts w:hint="eastAsia" w:ascii="黑体" w:hAnsi="黑体" w:eastAsia="黑体"/>
          <w:b w:val="0"/>
        </w:rPr>
        <w:t>五部分 附表</w:t>
      </w:r>
      <w:bookmarkEnd w:id="54"/>
      <w:bookmarkEnd w:id="56"/>
    </w:p>
    <w:p>
      <w:pPr>
        <w:spacing w:line="600" w:lineRule="exact"/>
        <w:jc w:val="center"/>
        <w:outlineLvl w:val="0"/>
        <w:rPr>
          <w:rFonts w:ascii="仿宋" w:hAnsi="仿宋" w:eastAsia="仿宋"/>
          <w:b/>
          <w:color w:val="000000"/>
          <w:sz w:val="44"/>
          <w:szCs w:val="44"/>
        </w:rPr>
      </w:pPr>
    </w:p>
    <w:p>
      <w:pPr>
        <w:pStyle w:val="3"/>
        <w:numPr>
          <w:ilvl w:val="0"/>
          <w:numId w:val="8"/>
        </w:numPr>
        <w:rPr>
          <w:rStyle w:val="26"/>
          <w:rFonts w:hint="eastAsia" w:ascii="仿宋" w:hAnsi="仿宋" w:eastAsia="仿宋"/>
          <w:b w:val="0"/>
          <w:bCs w:val="0"/>
        </w:rPr>
      </w:pPr>
      <w:bookmarkStart w:id="57" w:name="_Toc15396619"/>
      <w:r>
        <w:rPr>
          <w:rFonts w:hint="eastAsia" w:ascii="仿宋" w:hAnsi="仿宋" w:eastAsia="仿宋"/>
          <w:b w:val="0"/>
          <w:color w:val="000000"/>
        </w:rPr>
        <w:t>收</w:t>
      </w:r>
      <w:r>
        <w:rPr>
          <w:rStyle w:val="26"/>
          <w:rFonts w:hint="eastAsia" w:ascii="仿宋" w:hAnsi="仿宋" w:eastAsia="仿宋"/>
          <w:b w:val="0"/>
          <w:bCs w:val="0"/>
        </w:rPr>
        <w:t>入支出决算总表</w:t>
      </w:r>
      <w:bookmarkEnd w:id="57"/>
      <w:bookmarkStart w:id="58" w:name="_Toc15396620"/>
    </w:p>
    <w:p>
      <w:pPr>
        <w:pStyle w:val="3"/>
        <w:numPr>
          <w:ilvl w:val="0"/>
          <w:numId w:val="0"/>
        </w:numPr>
        <w:rPr>
          <w:rFonts w:ascii="仿宋" w:hAnsi="仿宋" w:eastAsia="仿宋"/>
          <w:color w:val="000000"/>
        </w:rPr>
      </w:pPr>
      <w:r>
        <w:rPr>
          <w:rFonts w:hint="eastAsia" w:ascii="仿宋" w:hAnsi="仿宋" w:eastAsia="仿宋"/>
          <w:b w:val="0"/>
          <w:color w:val="000000"/>
        </w:rPr>
        <w:t>二、收</w:t>
      </w:r>
      <w:r>
        <w:rPr>
          <w:rStyle w:val="26"/>
          <w:rFonts w:hint="eastAsia" w:ascii="仿宋" w:hAnsi="仿宋" w:eastAsia="仿宋"/>
          <w:b w:val="0"/>
          <w:bCs w:val="0"/>
        </w:rPr>
        <w:t>入决算表</w:t>
      </w:r>
      <w:bookmarkEnd w:id="58"/>
    </w:p>
    <w:p>
      <w:pPr>
        <w:pStyle w:val="3"/>
        <w:rPr>
          <w:rFonts w:ascii="仿宋" w:hAnsi="仿宋" w:eastAsia="仿宋"/>
          <w:color w:val="000000"/>
        </w:rPr>
      </w:pPr>
      <w:bookmarkStart w:id="59"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59"/>
    </w:p>
    <w:p>
      <w:pPr>
        <w:pStyle w:val="3"/>
        <w:rPr>
          <w:rFonts w:ascii="仿宋" w:hAnsi="仿宋" w:eastAsia="仿宋"/>
          <w:b w:val="0"/>
          <w:color w:val="000000"/>
        </w:rPr>
      </w:pPr>
      <w:bookmarkStart w:id="60"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60"/>
    </w:p>
    <w:p>
      <w:pPr>
        <w:pStyle w:val="3"/>
        <w:rPr>
          <w:rStyle w:val="26"/>
          <w:rFonts w:ascii="仿宋" w:hAnsi="仿宋" w:eastAsia="仿宋"/>
          <w:b w:val="0"/>
          <w:bCs w:val="0"/>
        </w:rPr>
      </w:pPr>
      <w:bookmarkStart w:id="61"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61"/>
      <w:bookmarkStart w:id="62" w:name="_Toc15396624"/>
    </w:p>
    <w:p>
      <w:pPr>
        <w:pStyle w:val="3"/>
        <w:rPr>
          <w:rFonts w:ascii="仿宋" w:hAnsi="仿宋" w:eastAsia="仿宋"/>
          <w:color w:val="000000"/>
        </w:rPr>
      </w:pPr>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62"/>
    </w:p>
    <w:p>
      <w:pPr>
        <w:pStyle w:val="3"/>
        <w:rPr>
          <w:rFonts w:ascii="仿宋" w:hAnsi="仿宋" w:eastAsia="仿宋"/>
          <w:color w:val="000000"/>
        </w:rPr>
      </w:pPr>
      <w:bookmarkStart w:id="63"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63"/>
    </w:p>
    <w:p>
      <w:pPr>
        <w:pStyle w:val="3"/>
        <w:rPr>
          <w:rFonts w:ascii="仿宋" w:hAnsi="仿宋" w:eastAsia="仿宋"/>
          <w:color w:val="000000"/>
        </w:rPr>
      </w:pPr>
      <w:bookmarkStart w:id="64"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64"/>
    </w:p>
    <w:p>
      <w:pPr>
        <w:pStyle w:val="3"/>
        <w:rPr>
          <w:rFonts w:ascii="仿宋" w:hAnsi="仿宋" w:eastAsia="仿宋"/>
          <w:color w:val="000000"/>
        </w:rPr>
      </w:pPr>
      <w:bookmarkStart w:id="65"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65"/>
    </w:p>
    <w:p>
      <w:pPr>
        <w:pStyle w:val="3"/>
        <w:rPr>
          <w:rFonts w:ascii="仿宋" w:hAnsi="仿宋" w:eastAsia="仿宋"/>
          <w:color w:val="000000"/>
        </w:rPr>
      </w:pPr>
      <w:bookmarkStart w:id="66"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66"/>
    </w:p>
    <w:p>
      <w:pPr>
        <w:pStyle w:val="3"/>
        <w:rPr>
          <w:rFonts w:ascii="仿宋" w:hAnsi="仿宋" w:eastAsia="仿宋"/>
          <w:color w:val="000000"/>
        </w:rPr>
      </w:pPr>
      <w:bookmarkStart w:id="67"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67"/>
    </w:p>
    <w:p>
      <w:pPr>
        <w:pStyle w:val="3"/>
        <w:rPr>
          <w:rFonts w:ascii="仿宋" w:hAnsi="仿宋" w:eastAsia="仿宋"/>
          <w:color w:val="000000"/>
        </w:rPr>
      </w:pPr>
      <w:bookmarkStart w:id="68"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68"/>
    </w:p>
    <w:p>
      <w:pPr>
        <w:pStyle w:val="3"/>
        <w:rPr>
          <w:rFonts w:ascii="仿宋" w:hAnsi="仿宋" w:eastAsia="仿宋"/>
          <w:color w:val="000000" w:themeColor="text1"/>
          <w14:textFill>
            <w14:solidFill>
              <w14:schemeClr w14:val="tx1"/>
            </w14:solidFill>
          </w14:textFill>
        </w:rPr>
      </w:pPr>
      <w:bookmarkStart w:id="69" w:name="_Toc15396631"/>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6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0000000000000000000"/>
    <w:charset w:val="86"/>
    <w:family w:val="modern"/>
    <w:pitch w:val="default"/>
    <w:sig w:usb0="00000000" w:usb1="00000000"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ingLiU">
    <w:panose1 w:val="02020309000000000000"/>
    <w:charset w:val="88"/>
    <w:family w:val="auto"/>
    <w:pitch w:val="default"/>
    <w:sig w:usb0="00000003" w:usb1="082E0000" w:usb2="00000016" w:usb3="00000000" w:csb0="00100001" w:csb1="00000000"/>
  </w:font>
  <w:font w:name="MS Mincho">
    <w:panose1 w:val="02020609040205080304"/>
    <w:charset w:val="80"/>
    <w:family w:val="auto"/>
    <w:pitch w:val="default"/>
    <w:sig w:usb0="A00002BF" w:usb1="68C7FCFB" w:usb2="00000010" w:usb3="00000000" w:csb0="4002009F" w:csb1="DFD70000"/>
  </w:font>
  <w:font w:name="MS PGothic">
    <w:panose1 w:val="020B0600070205080204"/>
    <w:charset w:val="80"/>
    <w:family w:val="auto"/>
    <w:pitch w:val="default"/>
    <w:sig w:usb0="A00002BF" w:usb1="68C7FCFB" w:usb2="00000010" w:usb3="00000000" w:csb0="4002009F" w:csb1="DFD70000"/>
  </w:font>
  <w:font w:name="PMingLiU">
    <w:panose1 w:val="02020300000000000000"/>
    <w:charset w:val="88"/>
    <w:family w:val="auto"/>
    <w:pitch w:val="default"/>
    <w:sig w:usb0="00000003" w:usb1="082E0000" w:usb2="00000016" w:usb3="00000000" w:csb0="00100001" w:csb1="00000000"/>
  </w:font>
  <w:font w:name="Agency FB">
    <w:panose1 w:val="020B0503020202020204"/>
    <w:charset w:val="00"/>
    <w:family w:val="auto"/>
    <w:pitch w:val="default"/>
    <w:sig w:usb0="00000003" w:usb1="00000000" w:usb2="00000000" w:usb3="00000000" w:csb0="20000001" w:csb1="00000000"/>
  </w:font>
  <w:font w:name="Algerian">
    <w:panose1 w:val="04020705040A02060702"/>
    <w:charset w:val="00"/>
    <w:family w:val="auto"/>
    <w:pitch w:val="default"/>
    <w:sig w:usb0="00000003" w:usb1="00000000" w:usb2="00000000" w:usb3="00000000" w:csb0="20000001" w:csb1="00000000"/>
  </w:font>
  <w:font w:name="Arial Black">
    <w:panose1 w:val="020B0A04020102020204"/>
    <w:charset w:val="00"/>
    <w:family w:val="auto"/>
    <w:pitch w:val="default"/>
    <w:sig w:usb0="00000287" w:usb1="00000000" w:usb2="00000000" w:usb3="00000000" w:csb0="2000009F" w:csb1="DFD70000"/>
  </w:font>
  <w:font w:name="Arial Narrow">
    <w:panose1 w:val="020B0606020202030204"/>
    <w:charset w:val="00"/>
    <w:family w:val="auto"/>
    <w:pitch w:val="default"/>
    <w:sig w:usb0="00000287" w:usb1="00000800" w:usb2="00000000" w:usb3="00000000" w:csb0="2000009F" w:csb1="DFD70000"/>
  </w:font>
  <w:font w:name="Arial Rounded MT Bold">
    <w:panose1 w:val="020F0704030504030204"/>
    <w:charset w:val="00"/>
    <w:family w:val="auto"/>
    <w:pitch w:val="default"/>
    <w:sig w:usb0="00000003" w:usb1="00000000" w:usb2="00000000" w:usb3="00000000" w:csb0="20000001" w:csb1="00000000"/>
  </w:font>
  <w:font w:name="Bell MT">
    <w:panose1 w:val="02020503060305020303"/>
    <w:charset w:val="00"/>
    <w:family w:val="auto"/>
    <w:pitch w:val="default"/>
    <w:sig w:usb0="00000003" w:usb1="00000000" w:usb2="00000000" w:usb3="00000000" w:csb0="20000001" w:csb1="00000000"/>
  </w:font>
  <w:font w:name="Berlin Sans FB">
    <w:panose1 w:val="020E0602020502020306"/>
    <w:charset w:val="00"/>
    <w:family w:val="auto"/>
    <w:pitch w:val="default"/>
    <w:sig w:usb0="00000003" w:usb1="00000000" w:usb2="00000000" w:usb3="00000000" w:csb0="20000001" w:csb1="00000000"/>
  </w:font>
  <w:font w:name="Bernard MT Condensed">
    <w:panose1 w:val="02050806060905020404"/>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MT Black">
    <w:panose1 w:val="02070A03080606020203"/>
    <w:charset w:val="00"/>
    <w:family w:val="auto"/>
    <w:pitch w:val="default"/>
    <w:sig w:usb0="00000003" w:usb1="00000000" w:usb2="00000000" w:usb3="00000000" w:csb0="20000001" w:csb1="00000000"/>
  </w:font>
  <w:font w:name="Bodoni MT Condensed">
    <w:panose1 w:val="02070606080606020203"/>
    <w:charset w:val="00"/>
    <w:family w:val="auto"/>
    <w:pitch w:val="default"/>
    <w:sig w:usb0="00000003" w:usb1="00000000" w:usb2="00000000" w:usb3="00000000" w:csb0="20000001"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Britannic Bold">
    <w:panose1 w:val="020B0903060703020204"/>
    <w:charset w:val="00"/>
    <w:family w:val="auto"/>
    <w:pitch w:val="default"/>
    <w:sig w:usb0="00000003" w:usb1="00000000" w:usb2="00000000" w:usb3="00000000" w:csb0="20000001" w:csb1="00000000"/>
  </w:font>
  <w:font w:name="Broadway">
    <w:panose1 w:val="04040905080B02020502"/>
    <w:charset w:val="00"/>
    <w:family w:val="auto"/>
    <w:pitch w:val="default"/>
    <w:sig w:usb0="00000003" w:usb1="00000000" w:usb2="00000000" w:usb3="00000000" w:csb0="20000001" w:csb1="00000000"/>
  </w:font>
  <w:font w:name="C39HrP24DmTt">
    <w:panose1 w:val="00000000000000000000"/>
    <w:charset w:val="00"/>
    <w:family w:val="auto"/>
    <w:pitch w:val="default"/>
    <w:sig w:usb0="00000000" w:usb1="00000000" w:usb2="00000000" w:usb3="00000000" w:csb0="00000000" w:csb1="00000000"/>
  </w:font>
  <w:font w:name="C39HrP36DlTt">
    <w:panose1 w:val="00000000000000000000"/>
    <w:charset w:val="00"/>
    <w:family w:val="auto"/>
    <w:pitch w:val="default"/>
    <w:sig w:usb0="00000000" w:usb1="00000000" w:usb2="00000000" w:usb3="00000000" w:csb0="00000000" w:csb1="00000000"/>
  </w:font>
  <w:font w:name="C39HrP36DmTt">
    <w:panose1 w:val="00000000000000000000"/>
    <w:charset w:val="00"/>
    <w:family w:val="auto"/>
    <w:pitch w:val="default"/>
    <w:sig w:usb0="00000000" w:usb1="00000000" w:usb2="00000000" w:usb3="00000000" w:csb0="00000000" w:csb1="00000000"/>
  </w:font>
  <w:font w:name="C39HrP60DhTt">
    <w:panose1 w:val="00000000000000000000"/>
    <w:charset w:val="00"/>
    <w:family w:val="auto"/>
    <w:pitch w:val="default"/>
    <w:sig w:usb0="00000000" w:usb1="00000000" w:usb2="00000000" w:usb3="00000000" w:csb0="00000000" w:csb1="00000000"/>
  </w:font>
  <w:font w:name="C39HrP60DmTt">
    <w:panose1 w:val="00000000000000000000"/>
    <w:charset w:val="00"/>
    <w:family w:val="auto"/>
    <w:pitch w:val="default"/>
    <w:sig w:usb0="00000000" w:usb1="00000000" w:usb2="00000000" w:usb3="00000000" w:csb0="00000000" w:csb1="00000000"/>
  </w:font>
  <w:font w:name="C39P12DhTt">
    <w:panose1 w:val="00000000000000000000"/>
    <w:charset w:val="00"/>
    <w:family w:val="auto"/>
    <w:pitch w:val="default"/>
    <w:sig w:usb0="00000000" w:usb1="00000000" w:usb2="00000000" w:usb3="00000000" w:csb0="00000000" w:csb1="00000000"/>
  </w:font>
  <w:font w:name="C39P24DlTt">
    <w:panose1 w:val="00000000000000000000"/>
    <w:charset w:val="00"/>
    <w:family w:val="auto"/>
    <w:pitch w:val="default"/>
    <w:sig w:usb0="00000000" w:usb1="00000000" w:usb2="00000000" w:usb3="00000000" w:csb0="00000000" w:csb1="00000000"/>
  </w:font>
  <w:font w:name="C39P24DmTt">
    <w:panose1 w:val="00000000000000000000"/>
    <w:charset w:val="00"/>
    <w:family w:val="auto"/>
    <w:pitch w:val="default"/>
    <w:sig w:usb0="00000000" w:usb1="00000000" w:usb2="00000000" w:usb3="00000000" w:csb0="00000000" w:csb1="00000000"/>
  </w:font>
  <w:font w:name="C39P48DlTt">
    <w:panose1 w:val="00000000000000000000"/>
    <w:charset w:val="00"/>
    <w:family w:val="auto"/>
    <w:pitch w:val="default"/>
    <w:sig w:usb0="00000000" w:usb1="00000000" w:usb2="00000000" w:usb3="00000000" w:csb0="00000000" w:csb1="00000000"/>
  </w:font>
  <w:font w:name="C39P48DhTt">
    <w:panose1 w:val="00000000000000000000"/>
    <w:charset w:val="00"/>
    <w:family w:val="auto"/>
    <w:pitch w:val="default"/>
    <w:sig w:usb0="00000000" w:usb1="00000000" w:usb2="00000000" w:usb3="00000000" w:csb0="00000000" w:csb1="00000000"/>
  </w:font>
  <w:font w:name="C39P36DmTt">
    <w:panose1 w:val="00000000000000000000"/>
    <w:charset w:val="00"/>
    <w:family w:val="auto"/>
    <w:pitch w:val="default"/>
    <w:sig w:usb0="00000000" w:usb1="00000000" w:usb2="00000000" w:usb3="00000000" w:csb0="00000000" w:csb1="00000000"/>
  </w:font>
  <w:font w:name="C39P48DmTt">
    <w:panose1 w:val="00000000000000000000"/>
    <w:charset w:val="00"/>
    <w:family w:val="auto"/>
    <w:pitch w:val="default"/>
    <w:sig w:usb0="00000000" w:usb1="00000000" w:usb2="00000000" w:usb3="00000000" w:csb0="00000000" w:csb1="00000000"/>
  </w:font>
  <w:font w:name="C39P60DlTt">
    <w:panose1 w:val="00000000000000000000"/>
    <w:charset w:val="00"/>
    <w:family w:val="auto"/>
    <w:pitch w:val="default"/>
    <w:sig w:usb0="00000000" w:usb1="00000000" w:usb2="00000000" w:usb3="00000000" w:csb0="00000000" w:csb1="00000000"/>
  </w:font>
  <w:font w:name="C39P72DlTt">
    <w:panose1 w:val="00000000000000000000"/>
    <w:charset w:val="00"/>
    <w:family w:val="auto"/>
    <w:pitch w:val="default"/>
    <w:sig w:usb0="00000000" w:usb1="00000000" w:usb2="00000000" w:usb3="00000000" w:csb0="00000000" w:csb1="00000000"/>
  </w:font>
  <w:font w:name="C39P60DmT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130D01D"/>
    <w:multiLevelType w:val="singleLevel"/>
    <w:tmpl w:val="D130D01D"/>
    <w:lvl w:ilvl="0" w:tentative="0">
      <w:start w:val="2"/>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715F732"/>
    <w:multiLevelType w:val="singleLevel"/>
    <w:tmpl w:val="1715F732"/>
    <w:lvl w:ilvl="0" w:tentative="0">
      <w:start w:val="2"/>
      <w:numFmt w:val="decimal"/>
      <w:suff w:val="nothing"/>
      <w:lvlText w:val="（%1）"/>
      <w:lvlJc w:val="left"/>
    </w:lvl>
  </w:abstractNum>
  <w:abstractNum w:abstractNumId="5">
    <w:nsid w:val="40E2A3F4"/>
    <w:multiLevelType w:val="singleLevel"/>
    <w:tmpl w:val="40E2A3F4"/>
    <w:lvl w:ilvl="0" w:tentative="0">
      <w:start w:val="1"/>
      <w:numFmt w:val="chineseCounting"/>
      <w:suff w:val="nothing"/>
      <w:lvlText w:val="%1、"/>
      <w:lvlJc w:val="left"/>
      <w:rPr>
        <w:rFonts w:hint="eastAsia"/>
      </w:rPr>
    </w:lvl>
  </w:abstractNum>
  <w:abstractNum w:abstractNumId="6">
    <w:nsid w:val="70025F83"/>
    <w:multiLevelType w:val="singleLevel"/>
    <w:tmpl w:val="70025F83"/>
    <w:lvl w:ilvl="0" w:tentative="0">
      <w:start w:val="1"/>
      <w:numFmt w:val="decimal"/>
      <w:suff w:val="nothing"/>
      <w:lvlText w:val="（%1）"/>
      <w:lvlJc w:val="left"/>
    </w:lvl>
  </w:abstractNum>
  <w:abstractNum w:abstractNumId="7">
    <w:nsid w:val="7949C0A8"/>
    <w:multiLevelType w:val="singleLevel"/>
    <w:tmpl w:val="7949C0A8"/>
    <w:lvl w:ilvl="0" w:tentative="0">
      <w:start w:val="1"/>
      <w:numFmt w:val="decimal"/>
      <w:lvlText w:val="%1."/>
      <w:lvlJc w:val="left"/>
      <w:pPr>
        <w:tabs>
          <w:tab w:val="left" w:pos="312"/>
        </w:tabs>
      </w:pPr>
    </w:lvl>
  </w:abstractNum>
  <w:num w:numId="1">
    <w:abstractNumId w:val="3"/>
  </w:num>
  <w:num w:numId="2">
    <w:abstractNumId w:val="0"/>
  </w:num>
  <w:num w:numId="3">
    <w:abstractNumId w:val="7"/>
  </w:num>
  <w:num w:numId="4">
    <w:abstractNumId w:val="4"/>
  </w:num>
  <w:num w:numId="5">
    <w:abstractNumId w:val="6"/>
  </w:num>
  <w:num w:numId="6">
    <w:abstractNumId w:val="2"/>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4F5C7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E708A"/>
    <w:rsid w:val="00FF1E02"/>
    <w:rsid w:val="00FF30B4"/>
    <w:rsid w:val="0138643B"/>
    <w:rsid w:val="060B05DD"/>
    <w:rsid w:val="10C055FF"/>
    <w:rsid w:val="16BB723D"/>
    <w:rsid w:val="240371BF"/>
    <w:rsid w:val="29FD04D3"/>
    <w:rsid w:val="319F7F4E"/>
    <w:rsid w:val="375A4EBF"/>
    <w:rsid w:val="430E1C87"/>
    <w:rsid w:val="4ECE2238"/>
    <w:rsid w:val="55980FFB"/>
    <w:rsid w:val="60C5612B"/>
    <w:rsid w:val="65762233"/>
    <w:rsid w:val="72734D90"/>
    <w:rsid w:val="7C83550E"/>
    <w:rsid w:val="7F210A05"/>
    <w:rsid w:val="7FBB10E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7">
    <w:name w:val="Header Char"/>
    <w:basedOn w:val="13"/>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3"/>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3"/>
    <w:semiHidden/>
    <w:qFormat/>
    <w:uiPriority w:val="99"/>
    <w:rPr>
      <w:rFonts w:ascii="Times New Roman" w:hAnsi="Times New Roman"/>
      <w:szCs w:val="24"/>
    </w:rPr>
  </w:style>
  <w:style w:type="character" w:customStyle="1" w:styleId="22">
    <w:name w:val="正文文本 Char"/>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3"/>
    <w:link w:val="2"/>
    <w:qFormat/>
    <w:uiPriority w:val="9"/>
    <w:rPr>
      <w:rFonts w:ascii="Times New Roman" w:hAnsi="Times New Roman"/>
      <w:b/>
      <w:bCs/>
      <w:kern w:val="44"/>
      <w:sz w:val="44"/>
      <w:szCs w:val="44"/>
    </w:rPr>
  </w:style>
  <w:style w:type="character" w:customStyle="1" w:styleId="26">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3"/>
    <w:link w:val="8"/>
    <w:semiHidden/>
    <w:qFormat/>
    <w:uiPriority w:val="99"/>
    <w:rPr>
      <w:rFonts w:ascii="Times New Roman" w:hAnsi="Times New Roman"/>
      <w:kern w:val="2"/>
      <w:sz w:val="18"/>
      <w:szCs w:val="18"/>
    </w:rPr>
  </w:style>
  <w:style w:type="character" w:customStyle="1" w:styleId="29">
    <w:name w:val="标题 3 Char"/>
    <w:basedOn w:val="13"/>
    <w:link w:val="4"/>
    <w:qFormat/>
    <w:uiPriority w:val="9"/>
    <w:rPr>
      <w:rFonts w:ascii="Times New Roman" w:hAnsi="Times New Roman"/>
      <w:b/>
      <w:bCs/>
      <w:kern w:val="2"/>
      <w:sz w:val="32"/>
      <w:szCs w:val="32"/>
    </w:rPr>
  </w:style>
  <w:style w:type="paragraph" w:customStyle="1" w:styleId="30">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font21"/>
    <w:basedOn w:val="13"/>
    <w:qFormat/>
    <w:uiPriority w:val="0"/>
    <w:rPr>
      <w:rFonts w:hint="default" w:ascii="Times New Roman" w:hAnsi="Times New Roman" w:cs="Times New Roman"/>
      <w:color w:val="000000"/>
      <w:sz w:val="22"/>
      <w:szCs w:val="22"/>
      <w:u w:val="none"/>
    </w:rPr>
  </w:style>
  <w:style w:type="character" w:customStyle="1" w:styleId="32">
    <w:name w:val="font11"/>
    <w:basedOn w:val="1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emf"/><Relationship Id="rId12" Type="http://schemas.openxmlformats.org/officeDocument/2006/relationships/oleObject" Target="embeddings/oleObject1.bin"/><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收入</c:v>
                </c:pt>
                <c:pt idx="1">
                  <c:v>支出</c:v>
                </c:pt>
              </c:strCache>
            </c:strRef>
          </c:cat>
          <c:val>
            <c:numRef>
              <c:f>Sheet1!$B$2:$B$5</c:f>
              <c:numCache>
                <c:formatCode>General</c:formatCode>
                <c:ptCount val="4"/>
                <c:pt idx="0">
                  <c:v>74639.02</c:v>
                </c:pt>
                <c:pt idx="1">
                  <c:v>71849.07</c:v>
                </c:pt>
              </c:numCache>
            </c:numRef>
          </c:val>
        </c:ser>
        <c:ser>
          <c:idx val="1"/>
          <c:order val="1"/>
          <c:tx>
            <c:strRef>
              <c:f>Sheet1!$C$1</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收入</c:v>
                </c:pt>
                <c:pt idx="1">
                  <c:v>支出</c:v>
                </c:pt>
              </c:strCache>
            </c:strRef>
          </c:cat>
          <c:val>
            <c:numRef>
              <c:f>Sheet1!$C$2:$C$5</c:f>
              <c:numCache>
                <c:formatCode>General</c:formatCode>
                <c:ptCount val="4"/>
                <c:pt idx="0">
                  <c:v>91101.19</c:v>
                </c:pt>
                <c:pt idx="1">
                  <c:v>88452.9</c:v>
                </c:pt>
              </c:numCache>
            </c:numRef>
          </c:val>
        </c:ser>
        <c:ser>
          <c:idx val="2"/>
          <c:order val="2"/>
          <c:tx>
            <c:strRef>
              <c:f>Sheet1!$D$1</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收入</c:v>
                </c:pt>
                <c:pt idx="1">
                  <c:v>支出</c:v>
                </c:pt>
              </c:strCache>
            </c:strRef>
          </c:cat>
          <c:val>
            <c:numRef>
              <c:f>Sheet1!$D$2:$D$5</c:f>
              <c:numCache>
                <c:formatCode>General</c:formatCode>
                <c:ptCount val="4"/>
              </c:numCache>
            </c:numRef>
          </c:val>
        </c:ser>
        <c:dLbls>
          <c:showLegendKey val="0"/>
          <c:showVal val="1"/>
          <c:showCatName val="0"/>
          <c:showSerName val="0"/>
          <c:showPercent val="0"/>
          <c:showBubbleSize val="0"/>
        </c:dLbls>
        <c:gapWidth val="150"/>
        <c:overlap val="0"/>
        <c:axId val="184836562"/>
        <c:axId val="255081494"/>
      </c:barChart>
      <c:catAx>
        <c:axId val="18483656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5081494"/>
        <c:crosses val="autoZero"/>
        <c:auto val="1"/>
        <c:lblAlgn val="ctr"/>
        <c:lblOffset val="100"/>
        <c:noMultiLvlLbl val="0"/>
      </c:catAx>
      <c:valAx>
        <c:axId val="25508149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4836562"/>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59625"/>
          <c:y val="0.005"/>
        </c:manualLayout>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2019年收入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0356632677438325"/>
                  <c:y val="-0.041599914505065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28292602476158"/>
                  <c:y val="-0.0093057494641653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49878436202903"/>
                  <c:y val="-0.023052636088149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788496872341104"/>
                  <c:y val="-0.038128940702763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一般公共预算财政补款收入</c:v>
                </c:pt>
                <c:pt idx="1">
                  <c:v>政府性基金预算财政补款收入</c:v>
                </c:pt>
                <c:pt idx="2">
                  <c:v>事业收入</c:v>
                </c:pt>
                <c:pt idx="3">
                  <c:v>其他收入</c:v>
                </c:pt>
              </c:strCache>
            </c:strRef>
          </c:cat>
          <c:val>
            <c:numRef>
              <c:f>Sheet1!$B$2:$B$5</c:f>
              <c:numCache>
                <c:formatCode>General</c:formatCode>
                <c:ptCount val="4"/>
                <c:pt idx="0">
                  <c:v>6907.81</c:v>
                </c:pt>
                <c:pt idx="1">
                  <c:v>688.16</c:v>
                </c:pt>
                <c:pt idx="2">
                  <c:v>78781.73</c:v>
                </c:pt>
                <c:pt idx="3">
                  <c:v>4723.49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2019年支出</c:v>
                </c:pt>
              </c:strCache>
            </c:strRef>
          </c:tx>
          <c:spPr/>
          <c:explosion val="0"/>
          <c:dPt>
            <c:idx val="0"/>
            <c:bubble3D val="0"/>
            <c:explosion val="1"/>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0239257794513748"/>
                  <c:y val="-0.10426189964441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495741990572377"/>
                  <c:y val="0.021095265298932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项目支出</c:v>
                </c:pt>
                <c:pt idx="1">
                  <c:v>基本支出</c:v>
                </c:pt>
              </c:strCache>
            </c:strRef>
          </c:cat>
          <c:val>
            <c:numRef>
              <c:f>Sheet1!$B$2:$B$5</c:f>
              <c:numCache>
                <c:formatCode>General</c:formatCode>
                <c:ptCount val="4"/>
                <c:pt idx="0">
                  <c:v>4051.23</c:v>
                </c:pt>
                <c:pt idx="1">
                  <c:v>8440.17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2544375"/>
          <c:y val="0.939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manualLayout>
          <c:layoutTarget val="inner"/>
          <c:xMode val="edge"/>
          <c:yMode val="edge"/>
          <c:x val="0.080325"/>
          <c:y val="0.153436988543372"/>
          <c:w val="0.8938"/>
          <c:h val="0.652495908346972"/>
        </c:manualLayout>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2018年</c:v>
                </c:pt>
                <c:pt idx="1">
                  <c:v>2019年</c:v>
                </c:pt>
              </c:strCache>
            </c:strRef>
          </c:cat>
          <c:val>
            <c:numRef>
              <c:f>Sheet1!$B$2:$B$5</c:f>
              <c:numCache>
                <c:formatCode>General</c:formatCode>
                <c:ptCount val="4"/>
                <c:pt idx="0">
                  <c:v>3818.62</c:v>
                </c:pt>
                <c:pt idx="1">
                  <c:v>7595.97</c:v>
                </c:pt>
              </c:numCache>
            </c:numRef>
          </c:val>
        </c:ser>
        <c:ser>
          <c:idx val="1"/>
          <c:order val="1"/>
          <c:tx>
            <c:strRef>
              <c:f>Sheet1!$C$1</c:f>
              <c:strCache>
                <c:ptCount val="1"/>
                <c:pt idx="0">
                  <c:v>财政拨款支出</c:v>
                </c:pt>
              </c:strCache>
            </c:strRef>
          </c:tx>
          <c:spPr>
            <a:solidFill>
              <a:schemeClr val="accent2"/>
            </a:solidFill>
            <a:ln>
              <a:noFill/>
            </a:ln>
            <a:effectLst/>
          </c:spPr>
          <c:invertIfNegative val="0"/>
          <c:dLbls>
            <c:dLbl>
              <c:idx val="0"/>
              <c:layout>
                <c:manualLayout>
                  <c:x val="0.0375"/>
                  <c:y val="0.007774140752864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6"/>
                  <c:y val="0.00756955810147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2018年</c:v>
                </c:pt>
                <c:pt idx="1">
                  <c:v>2019年</c:v>
                </c:pt>
              </c:strCache>
            </c:strRef>
          </c:cat>
          <c:val>
            <c:numRef>
              <c:f>Sheet1!$C$2:$C$5</c:f>
              <c:numCache>
                <c:formatCode>General</c:formatCode>
                <c:ptCount val="4"/>
                <c:pt idx="0">
                  <c:v>3248.29</c:v>
                </c:pt>
                <c:pt idx="1">
                  <c:v>4947.68</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2018年</c:v>
                </c:pt>
                <c:pt idx="1">
                  <c:v>2019年</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615755623"/>
        <c:axId val="374694506"/>
      </c:barChart>
      <c:catAx>
        <c:axId val="61575562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4694506"/>
        <c:crosses val="autoZero"/>
        <c:auto val="1"/>
        <c:lblAlgn val="ctr"/>
        <c:lblOffset val="100"/>
        <c:noMultiLvlLbl val="0"/>
      </c:catAx>
      <c:valAx>
        <c:axId val="37469450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1575562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54192097654995"/>
          <c:y val="0.00701590271281572"/>
        </c:manualLayout>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manualLayout>
          <c:layoutTarget val="inner"/>
          <c:xMode val="edge"/>
          <c:yMode val="edge"/>
          <c:x val="0.020825"/>
          <c:y val="0.00595474394601032"/>
          <c:w val="0.927925"/>
          <c:h val="0.662445414847162"/>
        </c:manualLayout>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Sheet1!$A$2</c:f>
              <c:strCache>
                <c:ptCount val="1"/>
                <c:pt idx="0">
                  <c:v>一般公共预算财政拨款支出</c:v>
                </c:pt>
              </c:strCache>
            </c:strRef>
          </c:cat>
          <c:val>
            <c:numRef>
              <c:f>Sheet1!$B$2</c:f>
              <c:numCache>
                <c:formatCode>General</c:formatCode>
                <c:ptCount val="1"/>
                <c:pt idx="0">
                  <c:v>3002.83</c:v>
                </c:pt>
              </c:numCache>
            </c:numRef>
          </c:val>
        </c:ser>
        <c:ser>
          <c:idx val="1"/>
          <c:order val="1"/>
          <c:tx>
            <c:strRef>
              <c:f>Sheet1!$C$1</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4259.52</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c:f>
              <c:strCache>
                <c:ptCount val="1"/>
                <c:pt idx="0">
                  <c:v>一般公共预算财政拨款支出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439477356"/>
        <c:axId val="642976286"/>
      </c:barChart>
      <c:catAx>
        <c:axId val="43947735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2976286"/>
        <c:crosses val="autoZero"/>
        <c:auto val="1"/>
        <c:lblAlgn val="ctr"/>
        <c:lblOffset val="100"/>
        <c:noMultiLvlLbl val="0"/>
      </c:catAx>
      <c:valAx>
        <c:axId val="64297628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9477356"/>
        <c:crosses val="autoZero"/>
        <c:crossBetween val="between"/>
      </c:valAx>
      <c:spPr>
        <a:noFill/>
        <a:ln>
          <a:noFill/>
        </a:ln>
        <a:effectLst/>
      </c:spPr>
    </c:plotArea>
    <c:legend>
      <c:legendPos val="b"/>
      <c:layout>
        <c:manualLayout>
          <c:xMode val="edge"/>
          <c:yMode val="edge"/>
          <c:x val="0.22225"/>
          <c:y val="0.9098848749503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列1</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Lbls>
            <c:dLbl>
              <c:idx val="0"/>
              <c:layout>
                <c:manualLayout>
                  <c:x val="-0.0729867253777406"/>
                  <c:y val="-0.021734885718237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414815448802267"/>
                  <c:y val="-0.042451950768421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46815327336927"/>
                  <c:y val="-0.036469132828253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一般公共服务支出</c:v>
                </c:pt>
                <c:pt idx="1">
                  <c:v>社会保障和就业支出</c:v>
                </c:pt>
                <c:pt idx="2">
                  <c:v>卫生健康指出</c:v>
                </c:pt>
              </c:strCache>
            </c:strRef>
          </c:cat>
          <c:val>
            <c:numRef>
              <c:f>Sheet1!$B$2:$B$4</c:f>
              <c:numCache>
                <c:formatCode>General</c:formatCode>
                <c:ptCount val="3"/>
                <c:pt idx="0">
                  <c:v>244.2</c:v>
                </c:pt>
                <c:pt idx="1">
                  <c:v>17.78</c:v>
                </c:pt>
                <c:pt idx="2">
                  <c:v>3997.54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B0ACD3-C931-4644-801A-B9EA7D580E31}">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1277</Words>
  <Characters>7279</Characters>
  <Lines>60</Lines>
  <Paragraphs>17</Paragraphs>
  <TotalTime>1</TotalTime>
  <ScaleCrop>false</ScaleCrop>
  <LinksUpToDate>false</LinksUpToDate>
  <CharactersWithSpaces>8539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Administrator</cp:lastModifiedBy>
  <cp:lastPrinted>2020-09-17T11:14:00Z</cp:lastPrinted>
  <dcterms:modified xsi:type="dcterms:W3CDTF">2020-09-18T02:39:01Z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