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center"/>
        <w:rPr>
          <w:color w:val="333333"/>
          <w:sz w:val="40"/>
          <w:szCs w:val="40"/>
          <w:shd w:val="clear" w:color="000000" w:fill="FFFFFF"/>
          <w:rFonts w:ascii="方正小标宋简体" w:eastAsia="方正小标宋简体" w:hAnsi="方正小标宋简体" w:cs="方正小标宋简体"/>
        </w:rPr>
      </w:pPr>
      <w:r>
        <w:rPr>
          <w:color w:val="333333"/>
          <w:sz w:val="40"/>
          <w:szCs w:val="40"/>
          <w:shd w:val="clear" w:color="000000" w:fill="FFFFFF"/>
          <w:rFonts w:ascii="方正小标宋简体" w:eastAsia="方正小标宋简体" w:hAnsi="方正小标宋简体" w:cs="方正小标宋简体"/>
        </w:rPr>
        <w:t>2019年攀枝花市转移支付安排情况</w:t>
      </w: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ind w:firstLine="640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2019年，省对市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预安排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转移支付为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305,613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万元（具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体见附件1），其中：返还性收入28,611万元，一般性转移支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付186,369万元，专项转移支付收入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90,633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万元。政府性基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金转移支付安排为2,721万元。</w:t>
      </w:r>
    </w:p>
    <w:p>
      <w:pPr>
        <w:ind w:firstLine="640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市对区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预安排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转移支付为86,874万元（具体见附件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2），其中：返还性收入12,739万元，一般性转移支付收入6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  <w:t>9,595万元，专项转移支付收入4,540万元。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余下转移支付，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因据实据效、项目申报等因素，需在年度预算执行中根据实</w:t>
      </w:r>
      <w:r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 w:hint="eastAsia"/>
        </w:rPr>
        <w:t>际情况按程序审批后分配执行。</w:t>
      </w:r>
    </w:p>
    <w:p>
      <w:pPr>
        <w:jc w:val="left"/>
        <w:ind w:firstLine="640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left"/>
        <w:rPr>
          <w:color w:val="333333"/>
          <w:sz w:val="32"/>
          <w:szCs w:val="32"/>
          <w:shd w:val="clear" w:color="000000" w:fill="FFFFFF"/>
          <w:rFonts w:ascii="黑体" w:eastAsia="黑体" w:hAnsi="黑体" w:cs="仿宋_GB2312"/>
        </w:rPr>
      </w:pPr>
      <w:r>
        <w:rPr>
          <w:color w:val="333333"/>
          <w:sz w:val="32"/>
          <w:szCs w:val="32"/>
          <w:shd w:val="clear" w:color="000000" w:fill="FFFFFF"/>
          <w:rFonts w:ascii="黑体" w:eastAsia="黑体" w:hAnsi="黑体" w:cs="仿宋_GB2312"/>
        </w:rPr>
        <w:t>附件1</w:t>
      </w:r>
    </w:p>
    <w:tbl>
      <w:tblID w:val="0"/>
      <w:tblPr>
        <w:tblCellMar>
          <w:left w:w="0" w:type="dxa"/>
          <w:top w:w="0" w:type="dxa"/>
          <w:right w:w="0" w:type="dxa"/>
          <w:bottom w:w="0" w:type="dxa"/>
        </w:tblCellMar>
        <w:tblW w:w="8306" w:type="dxa"/>
        <w:tblLook w:val="000600" w:firstRow="0" w:lastRow="0" w:firstColumn="0" w:lastColumn="0" w:noHBand="1" w:noVBand="1"/>
        <w:tblLayout w:type="fixed"/>
      </w:tblPr>
      <w:tblGrid>
        <w:gridCol w:w="5872"/>
        <w:gridCol w:w="2434"/>
      </w:tblGrid>
      <w:tr>
        <w:trPr>
          <w:trHeight w:hRule="atleast" w:val="614"/>
        </w:trPr>
        <w:tc>
          <w:tcPr>
            <w:tcW w:type="dxa" w:w="8306"/>
            <w:tcMar>
              <w:left w:w="108" w:type="dxa"/>
              <w:right w:w="108" w:type="dxa"/>
            </w:tcMar>
            <w:vAlign w:val="center"/>
            <w:gridSpan w:val="2"/>
          </w:tcPr>
          <w:p>
            <w:pPr>
              <w:jc w:val="center"/>
              <w:rPr>
                <w:color w:val="000008"/>
                <w:sz w:val="36"/>
                <w:szCs w:val="36"/>
                <w:rFonts w:ascii="方正小标宋_GBK" w:eastAsia="方正小标宋_GBK" w:hAnsi="Times New Roman" w:cs="Times New Roman"/>
              </w:rPr>
            </w:pPr>
            <w:r>
              <w:rPr>
                <w:color w:val="000008"/>
                <w:sz w:val="36"/>
                <w:szCs w:val="36"/>
                <w:rFonts w:ascii="方正小标宋_GBK" w:eastAsia="方正小标宋_GBK" w:hAnsi="Times New Roman" w:cs="Times New Roman" w:hint="eastAsia"/>
              </w:rPr>
              <w:t>2019年省对攀枝花税返和转移支付补助预算表</w:t>
            </w:r>
          </w:p>
        </w:tc>
      </w:tr>
      <w:tr>
        <w:trPr>
          <w:trHeight w:hRule="atleast" w:val="270"/>
        </w:trPr>
        <w:tc>
          <w:tcPr>
            <w:tcW w:type="dxa" w:w="5872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ascii="Times New Roman" w:eastAsia="宋体" w:hAnsi="Times New Roman" w:cs="Times New Roman"/>
              </w:rPr>
            </w:pP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center"/>
              <w:rPr>
                <w:color w:val="000008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8"/>
                <w:sz w:val="20"/>
                <w:szCs w:val="20"/>
                <w:rFonts w:ascii="Times New Roman" w:eastAsia="宋体" w:hAnsi="Times New Roman" w:cs="Times New Roman"/>
              </w:rPr>
              <w:t>预算科目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center"/>
              <w:rPr>
                <w:color w:val="000008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8"/>
                <w:sz w:val="20"/>
                <w:szCs w:val="20"/>
                <w:rFonts w:ascii="Times New Roman" w:eastAsia="宋体" w:hAnsi="Times New Roman" w:cs="Times New Roman"/>
              </w:rPr>
              <w:t>预算数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b w:val="1"/>
                <w:color w:val="000008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8"/>
                <w:sz w:val="20"/>
                <w:szCs w:val="20"/>
                <w:rFonts w:ascii="Times New Roman" w:eastAsia="宋体" w:hAnsi="Times New Roman" w:cs="Times New Roman"/>
              </w:rPr>
              <w:t>上级补助收入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b w:val="1"/>
                <w:color w:val="000008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8"/>
                <w:sz w:val="20"/>
                <w:szCs w:val="20"/>
                <w:rFonts w:ascii="Times New Roman" w:eastAsia="宋体" w:hAnsi="Times New Roman" w:cs="Times New Roman"/>
              </w:rPr>
              <w:t>305,613</w:t>
            </w:r>
          </w:p>
        </w:tc>
      </w:tr>
      <w:tr>
        <w:trPr>
          <w:trHeight w:hRule="atleast" w:val="357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返还性收入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28,611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增值税税收返还收入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38,251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消费税税收返还收入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966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所得税基数返还收入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9,437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成品油价格和税收返还收入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21,087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其他税收返还收入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-12,981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增值税“五五分享”税收返还收入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-28,149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一般性转移支付收入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186,369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均衡性转移支付收入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90,714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县级基本财力保障机制奖补资金收入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12,813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结算补助收入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3,685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资源枯竭型城市转移支付补助收入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8,437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企业事业单位划转补助收入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22,453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成品油价格和税费改革转移支付补助收入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942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固定数额补助收入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47,325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专项转移支付收入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90,633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一般公共服务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571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教育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13,020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文化旅游体育与传媒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200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社会保障和就业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20,381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卫生健康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31,547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节能环保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576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农林水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14,521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交通运输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6,896</w:t>
            </w:r>
          </w:p>
        </w:tc>
      </w:tr>
      <w:tr>
        <w:trPr>
          <w:trHeight w:hRule="atleast" w:val="342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灾害防治及应急管理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200</w:t>
            </w:r>
          </w:p>
        </w:tc>
      </w:tr>
      <w:tr>
        <w:trPr>
          <w:trHeight w:hRule="atleast" w:val="341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大中型水库移民后期扶持基金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116</w:t>
            </w:r>
          </w:p>
        </w:tc>
      </w:tr>
      <w:tr>
        <w:trPr>
          <w:trHeight w:hRule="atleast" w:val="403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ind w:firstLine="100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大中型水库库区基金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2,515</w:t>
            </w:r>
          </w:p>
        </w:tc>
      </w:tr>
      <w:tr>
        <w:trPr>
          <w:trHeight w:hRule="atleast" w:val="379"/>
        </w:trPr>
        <w:tc>
          <w:tcPr>
            <w:tcW w:type="dxa" w:w="5872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left"/>
              <w:ind w:firstLine="100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城乡医疗救助彩票公益金</w:t>
            </w:r>
          </w:p>
        </w:tc>
        <w:tc>
          <w:tcPr>
            <w:tcW w:type="dxa" w:w="2434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90</w:t>
            </w:r>
          </w:p>
        </w:tc>
      </w:tr>
    </w:tbl>
    <w:p>
      <w:pPr>
        <w:jc w:val="center"/>
        <w:rPr>
          <w:color w:val="333333"/>
          <w:sz w:val="32"/>
          <w:szCs w:val="32"/>
          <w:shd w:val="clear" w:color="000000" w:fill="FFFFFF"/>
          <w:rFonts w:ascii="仿宋_GB2312" w:eastAsia="仿宋_GB2312" w:hAnsi="仿宋_GB2312" w:cs="仿宋_GB2312"/>
        </w:rPr>
      </w:pPr>
    </w:p>
    <w:p>
      <w:pPr>
        <w:jc w:val="center"/>
        <w:rPr>
          <w:rFonts w:eastAsia="宋体" w:hint="eastAsia"/>
        </w:rPr>
      </w:pPr>
    </w:p>
    <w:p>
      <w:pPr>
        <w:jc w:val="center"/>
        <w:rPr>
          <w:rFonts w:eastAsia="宋体"/>
        </w:rPr>
      </w:pPr>
    </w:p>
    <w:p>
      <w:pPr>
        <w:rPr>
          <w:sz w:val="32"/>
          <w:szCs w:val="32"/>
          <w:rFonts w:ascii="黑体" w:eastAsia="黑体" w:hAnsi="黑体"/>
        </w:rPr>
      </w:pPr>
      <w:r>
        <w:rPr>
          <w:sz w:val="32"/>
          <w:szCs w:val="32"/>
          <w:rFonts w:ascii="黑体" w:eastAsia="黑体" w:hAnsi="黑体" w:hint="eastAsia"/>
        </w:rPr>
        <w:t>附件2</w:t>
      </w:r>
    </w:p>
    <w:tbl>
      <w:tblID w:val="0"/>
      <w:tblPr>
        <w:tblCellMar>
          <w:left w:w="0" w:type="dxa"/>
          <w:top w:w="0" w:type="dxa"/>
          <w:right w:w="0" w:type="dxa"/>
          <w:bottom w:w="0" w:type="dxa"/>
        </w:tblCellMar>
        <w:tblW w:w="8180" w:type="dxa"/>
        <w:tblInd w:w="93" w:type="dxa"/>
        <w:tblLook w:val="0004A0" w:firstRow="1" w:lastRow="0" w:firstColumn="1" w:lastColumn="0" w:noHBand="0" w:noVBand="1"/>
        <w:tblLayout w:type="fixed"/>
      </w:tblPr>
      <w:tblGrid>
        <w:gridCol w:w="3460"/>
        <w:gridCol w:w="1180"/>
        <w:gridCol w:w="1180"/>
        <w:gridCol w:w="1180"/>
        <w:gridCol w:w="1180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atleast" w:val="390"/>
        </w:trPr>
        <w:tc>
          <w:tcPr>
            <w:tcW w:type="dxa" w:w="8180"/>
            <w:cnfStyle w:val="101000001000" w:firstRow="1" w:lastRow="0" w:firstColumn="1" w:lastColumn="0" w:oddVBand="0" w:evenVBand="0" w:oddHBand="0" w:evenHBand="0" w:firstRowFirstColumn="1" w:firstRowLastColumn="0" w:lastRowFirstColumn="0" w:lastRowLastColumn="0"/>
            <w:tcMar>
              <w:left w:w="108" w:type="dxa"/>
              <w:right w:w="108" w:type="dxa"/>
            </w:tcMar>
            <w:vAlign w:val="center"/>
            <w:gridSpan w:val="5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clear" w:color="000000"/>
          </w:tcPr>
          <w:p>
            <w:pPr>
              <w:jc w:val="center"/>
              <w:rPr>
                <w:color w:val="000008"/>
                <w:sz w:val="36"/>
                <w:szCs w:val="36"/>
                <w:rFonts w:ascii="方正小标宋_GBK" w:eastAsia="方正小标宋_GBK" w:hAnsi="宋体" w:cs="宋体"/>
              </w:rPr>
            </w:pPr>
            <w:r>
              <w:rPr>
                <w:color w:val="000008"/>
                <w:sz w:val="36"/>
                <w:szCs w:val="36"/>
                <w:rFonts w:ascii="方正小标宋_GBK" w:eastAsia="方正小标宋_GBK" w:hAnsi="宋体" w:cs="宋体" w:hint="eastAsia"/>
              </w:rPr>
              <w:t>2019年市对区税返和转移支付补助预算表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clear" w:color="000000"/>
          </w:tcPr>
          <w:p>
            <w:pPr>
              <w:rPr>
                <w:color w:val="000000"/>
                <w:rFonts w:ascii="Times New Roman" w:eastAsia="宋体" w:hAnsi="Times New Roman" w:cs="Times New Roman"/>
              </w:rPr>
            </w:pP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bottom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2"/>
                <w:szCs w:val="22"/>
                <w:rFonts w:ascii="宋体" w:eastAsia="宋体" w:hAnsi="宋体" w:cs="宋体"/>
              </w:rPr>
            </w:pP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bottom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2"/>
                <w:szCs w:val="22"/>
                <w:rFonts w:ascii="宋体" w:eastAsia="宋体" w:hAnsi="宋体" w:cs="宋体"/>
              </w:rPr>
            </w:pP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bottom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2"/>
                <w:szCs w:val="22"/>
                <w:rFonts w:ascii="宋体" w:eastAsia="宋体" w:hAnsi="宋体" w:cs="宋体"/>
              </w:rPr>
            </w:pP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8"/>
                <w:sz w:val="20"/>
                <w:szCs w:val="20"/>
                <w:rFonts w:ascii="宋体" w:eastAsia="宋体" w:hAnsi="宋体" w:cs="宋体"/>
              </w:rPr>
            </w:pP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单位：万</w:t>
            </w: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元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jc w:val="center"/>
              <w:rPr>
                <w:color w:val="000008"/>
                <w:sz w:val="20"/>
                <w:szCs w:val="20"/>
                <w:rFonts w:ascii="宋体" w:eastAsia="宋体" w:hAnsi="宋体" w:cs="宋体"/>
              </w:rPr>
            </w:pP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预算科目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jc w:val="center"/>
              <w:rPr>
                <w:color w:val="000008"/>
                <w:sz w:val="20"/>
                <w:szCs w:val="20"/>
                <w:rFonts w:ascii="宋体" w:eastAsia="宋体" w:hAnsi="宋体" w:cs="宋体"/>
              </w:rPr>
            </w:pP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预算数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jc w:val="center"/>
              <w:rPr>
                <w:color w:val="000008"/>
                <w:sz w:val="20"/>
                <w:szCs w:val="20"/>
                <w:rFonts w:ascii="宋体" w:eastAsia="宋体" w:hAnsi="宋体" w:cs="宋体"/>
              </w:rPr>
            </w:pP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东区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jc w:val="center"/>
              <w:rPr>
                <w:color w:val="000008"/>
                <w:sz w:val="20"/>
                <w:szCs w:val="20"/>
                <w:rFonts w:ascii="宋体" w:eastAsia="宋体" w:hAnsi="宋体" w:cs="宋体"/>
              </w:rPr>
            </w:pP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西区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jc w:val="center"/>
              <w:rPr>
                <w:color w:val="000008"/>
                <w:sz w:val="20"/>
                <w:szCs w:val="20"/>
                <w:rFonts w:ascii="宋体" w:eastAsia="宋体" w:hAnsi="宋体" w:cs="宋体"/>
              </w:rPr>
            </w:pPr>
            <w:r>
              <w:rPr>
                <w:color w:val="000008"/>
                <w:sz w:val="20"/>
                <w:szCs w:val="20"/>
                <w:rFonts w:ascii="宋体" w:eastAsia="宋体" w:hAnsi="宋体" w:cs="宋体" w:hint="eastAsia"/>
              </w:rPr>
              <w:t>仁和区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b w:val="1"/>
                <w:color w:val="000000"/>
                <w:sz w:val="20"/>
                <w:szCs w:val="20"/>
                <w:rFonts w:ascii="宋体" w:eastAsia="宋体" w:hAnsi="宋体" w:cs="宋体"/>
              </w:rPr>
            </w:pPr>
            <w:r>
              <w:rPr>
                <w:b w:val="1"/>
                <w:color w:val="000000"/>
                <w:sz w:val="20"/>
                <w:szCs w:val="20"/>
                <w:rFonts w:ascii="宋体" w:eastAsia="宋体" w:hAnsi="宋体" w:cs="宋体" w:hint="eastAsia"/>
              </w:rPr>
              <w:t>补助下级支出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86,874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33,895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40,635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12,344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返还性支出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12,739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1,152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2,504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9,083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 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增值税税收返还收入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6,058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23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1,862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4,173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 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消费税和增值税税收返还收入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171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157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11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 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所得税基数返还收入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3,865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3,970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1,040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-1,145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 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成品油价格和税收返还收入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473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184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97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192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 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其他税收返还收入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-5,327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2,327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-14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5,186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 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增值税</w:t>
            </w: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“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五五分享</w:t>
            </w: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”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税收返还收入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7,499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-5,355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-638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666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b w:val="1"/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一般性转移支付支出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69,595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31,868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37,596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131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均衡性转移支付支出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49,028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12,301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23,271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13,456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县级基本财力保障机制奖补资金支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出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8,709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2,369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4,274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2,066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结算补助支出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694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-700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520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874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资源枯竭型城市转移支付补助支出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8,437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3,000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3,548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1,889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企业事业单位划转补助支出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-10,589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11,758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4,049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-26,396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固定数额补助支出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12,958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3,100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1,780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8,078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其他一般性转移支付支出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358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40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154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164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b w:val="1"/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专项转移支付支出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4,540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875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535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b w:val="1"/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3,130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一般公共服务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41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20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18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社会保障和就业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1,508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662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329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517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卫生健康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105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40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14</w:t>
            </w:r>
          </w:p>
        </w:tc>
        <w:tc>
          <w:tcPr>
            <w:tcW w:type="dxa" w:w="1180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51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3460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lef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 xml:space="preserve"> </w:t>
            </w:r>
            <w:r>
              <w:rPr>
                <w:color w:val="000000"/>
                <w:sz w:val="20"/>
                <w:szCs w:val="20"/>
                <w:rFonts w:ascii="宋体" w:eastAsia="宋体" w:hAnsi="宋体" w:cs="Times New Roman" w:hint="eastAsia"/>
              </w:rPr>
              <w:t>农林水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2,886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170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172</w:t>
            </w:r>
          </w:p>
        </w:tc>
        <w:tc>
          <w:tcPr>
            <w:tcW w:type="dxa" w:w="118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  <w:tcBorders>
              <w:bottom w:val="single" w:color="000000" w:sz="8"/>
              <w:left w:val="nil" w:color="auto"/>
              <w:right w:val="single" w:color="000000" w:sz="8"/>
              <w:top w:val="nil" w:color="auto"/>
            </w:tcBorders>
            <w:shd w:val="clear" w:color="000000"/>
          </w:tcPr>
          <w:p>
            <w:pPr>
              <w:jc w:val="right"/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</w:pPr>
            <w:r>
              <w:rPr>
                <w:color w:val="000000"/>
                <w:sz w:val="20"/>
                <w:szCs w:val="20"/>
                <w:rFonts w:ascii="Times New Roman" w:eastAsia="宋体" w:hAnsi="Times New Roman" w:cs="Times New Roman"/>
              </w:rPr>
              <w:t>2,544</w:t>
            </w:r>
          </w:p>
        </w:tc>
      </w:tr>
    </w:tbl>
    <w:p>
      <w:pPr>
        <w:jc w:val="center"/>
        <w:rPr>
          <w:rFonts w:eastAsia="宋体"/>
        </w:rPr>
      </w:pP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"/>
    <w:family w:val="swiss"/>
    <w:pitch w:val="variable"/>
    <w:sig w:usb0="e00002ff" w:usb1="4000acff" w:usb2="00000001" w:usb3="00000000" w:csb0="0000019f" w:csb1="00000000"/>
  </w:font>
  <w:font w:name="Malgun Gothic">
    <w:altName w:val="ë§ì ê³ ë"/>
    <w:panose1 w:val="020B0503020000020004"/>
    <w:charset w:val="129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134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134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134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134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134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sz w:val="21"/>
        <w:szCs w:val="21"/>
        <w:rFonts w:asciiTheme="minorHAnsi" w:eastAsiaTheme="minorEastAsia" w:hAnsiTheme="minorHAnsi" w:cstheme="minorBidi"/>
        <w:lang w:bidi="ar-SA" w:eastAsia="zh-CN" w:val="en-US"/>
      </w:rPr>
    </w:rPrDefault>
  </w:docDefaults>
  <w:style w:default="1" w:styleId="PO1" w:type="paragraph">
    <w:name w:val="Normal"/>
    <w:qFormat/>
    <w:uiPriority w:val="1"/>
    <w:pPr>
      <w:jc w:val="both"/>
      <w:rPr/>
    </w:p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7" w:type="paragraph">
    <w:name w:val="heading 1"/>
    <w:basedOn w:val="PO1"/>
    <w:link w:val="PO155"/>
    <w:qFormat/>
    <w:uiPriority w:val="7"/>
    <w:pPr>
      <w:jc w:val="left"/>
      <w:spacing w:before="100" w:beforeAutospacing="1" w:afterAutospacing="1" w:after="100"/>
      <w:rPr/>
      <w:outlineLvl w:val="0"/>
    </w:pPr>
    <w:rPr>
      <w:b w:val="1"/>
      <w:sz w:val="48"/>
      <w:szCs w:val="48"/>
      <w:rFonts w:ascii="宋体" w:eastAsia="宋体" w:hAnsi="宋体" w:cs="宋体"/>
    </w:rPr>
  </w:style>
  <w:style w:styleId="PO20" w:type="character">
    <w:name w:val="Strong"/>
    <w:basedOn w:val="PO2"/>
    <w:qFormat/>
    <w:uiPriority w:val="20"/>
    <w:rPr>
      <w:b w:val="1"/>
    </w:rPr>
  </w:style>
  <w:style w:styleId="PO37" w:type="table">
    <w:name w:val="Table Grid"/>
    <w:basedOn w:val="PO3"/>
    <w:uiPriority w:val="37"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151" w:type="paragraph">
    <w:name w:val="header"/>
    <w:basedOn w:val="PO1"/>
    <w:link w:val="PO152"/>
    <w:uiPriority w:val="151"/>
    <w:semiHidden/>
    <w:unhideWhenUsed/>
    <w:pPr>
      <w:jc w:val="center"/>
      <w:pBdr>
        <w:bottom w:val="single" w:sz="6" w:space="1" w:color="000000"/>
      </w:pBdr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customStyle="1" w:styleId="PO152" w:type="character">
    <w:name w:val="页眉 Char"/>
    <w:basedOn w:val="PO2"/>
    <w:link w:val="PO151"/>
    <w:uiPriority w:val="152"/>
    <w:semiHidden/>
    <w:rPr>
      <w:sz w:val="18"/>
      <w:szCs w:val="18"/>
    </w:rPr>
  </w:style>
  <w:style w:styleId="PO153" w:type="paragraph">
    <w:name w:val="footer"/>
    <w:basedOn w:val="PO1"/>
    <w:link w:val="PO154"/>
    <w:uiPriority w:val="153"/>
    <w:semiHidden/>
    <w:unhideWhenUsed/>
    <w:pPr>
      <w:jc w:val="left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customStyle="1" w:styleId="PO154" w:type="character">
    <w:name w:val="页脚 Char"/>
    <w:basedOn w:val="PO2"/>
    <w:link w:val="PO153"/>
    <w:uiPriority w:val="154"/>
    <w:semiHidden/>
    <w:rPr>
      <w:sz w:val="18"/>
      <w:szCs w:val="18"/>
    </w:rPr>
  </w:style>
  <w:style w:customStyle="1" w:styleId="PO155" w:type="character">
    <w:name w:val="标题 1 Char"/>
    <w:basedOn w:val="PO2"/>
    <w:link w:val="PO7"/>
    <w:uiPriority w:val="155"/>
    <w:rPr>
      <w:b w:val="1"/>
      <w:sz w:val="48"/>
      <w:szCs w:val="48"/>
      <w:rFonts w:ascii="宋体" w:eastAsia="宋体" w:hAnsi="宋体" w:cs="宋体"/>
    </w:rPr>
  </w:style>
  <w:style w:styleId="PO156" w:type="paragraph">
    <w:name w:val="footnote text"/>
    <w:basedOn w:val="PO1"/>
    <w:link w:val="PO157"/>
    <w:uiPriority w:val="156"/>
    <w:semiHidden/>
    <w:pPr>
      <w:jc w:val="left"/>
      <w:rPr/>
      <w:snapToGrid w:val="off"/>
    </w:pPr>
    <w:rPr>
      <w:sz w:val="18"/>
      <w:szCs w:val="18"/>
      <w:rFonts w:ascii="Times New Roman" w:eastAsia="宋体" w:hAnsi="Times New Roman" w:cs="Times New Roman"/>
    </w:rPr>
  </w:style>
  <w:style w:customStyle="1" w:styleId="PO157" w:type="character">
    <w:name w:val="脚注文本 Char"/>
    <w:basedOn w:val="PO2"/>
    <w:link w:val="PO156"/>
    <w:uiPriority w:val="157"/>
    <w:semiHidden/>
    <w:rPr>
      <w:sz w:val="18"/>
      <w:szCs w:val="18"/>
      <w:rFonts w:ascii="Times New Roman" w:eastAsia="宋体" w:hAnsi="Times New Roman" w:cs="Times New Roman"/>
    </w:rPr>
  </w:style>
  <w:style w:styleId="PO158" w:type="paragraph">
    <w:name w:val="endnote text"/>
    <w:basedOn w:val="PO1"/>
    <w:link w:val="PO159"/>
    <w:uiPriority w:val="158"/>
    <w:semiHidden/>
    <w:unhideWhenUsed/>
    <w:pPr>
      <w:jc w:val="left"/>
      <w:rPr/>
      <w:snapToGrid w:val="off"/>
    </w:pPr>
  </w:style>
  <w:style w:customStyle="1" w:styleId="PO159" w:type="character">
    <w:name w:val="尾注文本 Char"/>
    <w:basedOn w:val="PO2"/>
    <w:link w:val="PO158"/>
    <w:uiPriority w:val="159"/>
    <w:semiHidden/>
  </w:style>
  <w:style w:styleId="PO160" w:type="character">
    <w:name w:val="endnote reference"/>
    <w:basedOn w:val="PO2"/>
    <w:uiPriority w:val="160"/>
    <w:semiHidden/>
    <w:unhideWhenUsed/>
    <w:rPr>
      <w:vertAlign w:val="superscript"/>
    </w:rPr>
  </w:style>
  <w:style w:styleId="PO161" w:type="character">
    <w:name w:val="footnote reference"/>
    <w:basedOn w:val="PO2"/>
    <w:uiPriority w:val="161"/>
    <w:semiHidden/>
    <w:unhideWhenUsed/>
    <w:rPr>
      <w:vertAlign w:val="superscript"/>
    </w:rPr>
  </w:style>
  <w:style w:styleId="PO162" w:type="character">
    <w:name w:val="Hyperlink"/>
    <w:basedOn w:val="PO2"/>
    <w:uiPriority w:val="162"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1650</Characters>
  <CharactersWithSpaces>0</CharactersWithSpaces>
  <Company>Microsoft</Company>
  <DocSecurity>0</DocSecurity>
  <HyperlinksChanged>false</HyperlinksChanged>
  <Lines>11</Lines>
  <LinksUpToDate>false</LinksUpToDate>
  <Pages>3</Pages>
  <Paragraphs>3</Paragraphs>
  <Words>246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王成</dc:creator>
  <cp:lastModifiedBy/>
  <dcterms:modified xsi:type="dcterms:W3CDTF">2021-05-23T08:21:00Z</dcterms:modified>
</cp:coreProperties>
</file>