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rPr>
          <w:rFonts w:hint="eastAsia" w:ascii="Times New Roman" w:hAnsi="Times New Roman" w:eastAsia="方正小标宋_GBK" w:cs="Times New Roman"/>
          <w:color w:val="000000"/>
          <w:kern w:val="0"/>
          <w:sz w:val="38"/>
          <w:szCs w:val="38"/>
        </w:rPr>
      </w:pPr>
      <w:r>
        <w:rPr>
          <w:rFonts w:ascii="Times New Roman" w:hAnsi="Times New Roman" w:eastAsia="方正小标宋_GBK" w:cs="Times New Roman"/>
          <w:color w:val="000000"/>
          <w:kern w:val="0"/>
          <w:sz w:val="38"/>
          <w:szCs w:val="38"/>
        </w:rPr>
        <w:t>攀枝花市妇女联合会</w:t>
      </w:r>
    </w:p>
    <w:p>
      <w:pPr>
        <w:widowControl/>
        <w:spacing w:before="100" w:beforeAutospacing="1" w:after="100" w:afterAutospacing="1"/>
        <w:jc w:val="center"/>
        <w:rPr>
          <w:rFonts w:ascii="Times New Roman" w:hAnsi="Times New Roman" w:eastAsia="方正小标宋_GBK" w:cs="Times New Roman"/>
          <w:color w:val="000000"/>
          <w:kern w:val="0"/>
          <w:sz w:val="38"/>
          <w:szCs w:val="38"/>
        </w:rPr>
      </w:pPr>
      <w:r>
        <w:rPr>
          <w:rFonts w:ascii="Times New Roman" w:hAnsi="Times New Roman" w:eastAsia="方正小标宋_GBK" w:cs="Times New Roman"/>
          <w:color w:val="000000"/>
          <w:kern w:val="0"/>
          <w:sz w:val="38"/>
          <w:szCs w:val="38"/>
        </w:rPr>
        <w:t>2020年部门预算编制说明</w:t>
      </w:r>
    </w:p>
    <w:p>
      <w:pPr>
        <w:widowControl/>
        <w:spacing w:before="100" w:beforeAutospacing="1" w:after="100" w:afterAutospacing="1" w:line="600" w:lineRule="atLeast"/>
        <w:jc w:val="center"/>
        <w:rPr>
          <w:rFonts w:ascii="Times New Roman" w:hAnsi="Times New Roman" w:eastAsia="宋体" w:cs="Times New Roman"/>
          <w:color w:val="000000"/>
          <w:kern w:val="0"/>
          <w:szCs w:val="21"/>
        </w:rPr>
      </w:pP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一、基本职能及主要工作</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（一）市妇联职能简介。</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主要职能是代表和维护妇女权益，促进男女平等。在市委和省妇联领导下，按照攀枝花妇女十大确立的目标任务，深化“五大提升行动”（巾帼心向党、巾帼建新功、巾帼维权服务、家庭建设工作、妇联改革创新），助推攀枝花高质量发展和高效能治理。</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（二）市妇联2020年重点工作。</w:t>
      </w:r>
    </w:p>
    <w:p>
      <w:pPr>
        <w:widowControl/>
        <w:numPr>
          <w:ilvl w:val="0"/>
          <w:numId w:val="1"/>
        </w:numPr>
        <w:jc w:val="left"/>
        <w:textAlignment w:val="baseline"/>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强化妇女思想引领。</w:t>
      </w:r>
      <w:r>
        <w:rPr>
          <w:rFonts w:ascii="Times New Roman" w:hAnsi="Times New Roman" w:eastAsia="方正仿宋_GBK" w:cs="Times New Roman"/>
          <w:color w:val="000000"/>
          <w:kern w:val="0"/>
          <w:sz w:val="33"/>
          <w:szCs w:val="33"/>
        </w:rPr>
        <w:t>树立先进典型，展现巾帼风采。开展“花城战疫 巾帼力量”“三八”妇女节110周年线上活动，大力宣传战斗在抗疫防疫一线的各行各业优秀女性和最美家庭，表扬一批“三八”红旗集体、“三八”红旗手、最美家庭、五好家庭，发挥榜样示范引领作用，凝聚经济社会发展正能量。宣传、组织、引导城乡妇女“争创一流岗位，争创一流业绩”。大力开展群众性精神文明创建活动，参与文明城市建设，宣传男女平等基本国策。</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w:t>
      </w:r>
      <w:r>
        <w:rPr>
          <w:rFonts w:ascii="Times New Roman" w:hAnsi="Times New Roman" w:eastAsia="方正仿宋_GBK" w:cs="Times New Roman"/>
          <w:b/>
          <w:bCs/>
          <w:color w:val="000000"/>
          <w:kern w:val="0"/>
          <w:sz w:val="33"/>
          <w:szCs w:val="33"/>
        </w:rPr>
        <w:t>深化巾帼建功行动。</w:t>
      </w:r>
      <w:r>
        <w:rPr>
          <w:rFonts w:ascii="Times New Roman" w:hAnsi="Times New Roman" w:eastAsia="方正仿宋_GBK" w:cs="Times New Roman"/>
          <w:color w:val="000000"/>
          <w:kern w:val="0"/>
          <w:sz w:val="33"/>
          <w:szCs w:val="33"/>
        </w:rPr>
        <w:t>积极搭建妇女双创平台。实施“巾帼家政+康养产业服务”工程。切实开展家政服务提质扩容工作，促进民生改善。大力开展培训工作，促进城乡妇女就业创业，促进妇女发展。广泛开展“巾帼建功新时代 志愿服务暖人心”主题活动。</w:t>
      </w:r>
    </w:p>
    <w:p>
      <w:pPr>
        <w:widowControl/>
        <w:ind w:firstLine="63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3.深化家庭建设和儿童工作。</w:t>
      </w:r>
      <w:r>
        <w:rPr>
          <w:rFonts w:ascii="Times New Roman" w:hAnsi="Times New Roman" w:eastAsia="方正仿宋_GBK" w:cs="Times New Roman"/>
          <w:color w:val="000000"/>
          <w:kern w:val="0"/>
          <w:sz w:val="33"/>
          <w:szCs w:val="33"/>
        </w:rPr>
        <w:t>以“家家幸福安康工程”为抓手，深化家庭家教家风建设。引领全市家庭提升素质，积极参与文明家庭创建活动。大力开展家庭教育工作，提升家庭教育服务水平，促进家长和孩子共同成长。积极开展留守儿童关爱工作，形成留守儿童游学夏令营长效机制。</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4. 深化维权服务工作。</w:t>
      </w:r>
      <w:r>
        <w:rPr>
          <w:rFonts w:ascii="Times New Roman" w:hAnsi="Times New Roman" w:eastAsia="方正仿宋_GBK" w:cs="Times New Roman"/>
          <w:color w:val="000000"/>
          <w:kern w:val="0"/>
          <w:sz w:val="33"/>
          <w:szCs w:val="33"/>
        </w:rPr>
        <w:t>完善“两纲”达标攻坚协调推动机制，压实主体责任，确保两纲指标如期全面达标。聚焦新时代妇女儿童新需求，启动新一轮两纲编制调研工作。加强妇联组织维权工作阵地建设，通过维权站点、妇女微家建设，打通基层妇女儿童维权通道。深化“花城联姐”工作品牌，加强婚姻家庭矛盾纠纷预防化解工作。加强贫困妇女儿童救助帮扶工作。</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5.深化妇联组织改革发展。</w:t>
      </w:r>
      <w:r>
        <w:rPr>
          <w:rFonts w:ascii="Times New Roman" w:hAnsi="Times New Roman" w:eastAsia="方正仿宋_GBK" w:cs="Times New Roman"/>
          <w:color w:val="000000"/>
          <w:kern w:val="0"/>
          <w:sz w:val="33"/>
          <w:szCs w:val="33"/>
        </w:rPr>
        <w:t>加强妇联系统干部培训，提升全市妇女干部综合业务素质。加强妇联新媒体建设，拓宽服务渠道和服务方式。加强基层妇联组织体系建设，结合乡镇行政区划调整、村级建制调整，优化乡村妇联组织设置、人员配置。健全女性社会组织联系、服务、引领、发动机制，接长组织手臂、延伸到社会各领域，厚植社会治理的群众基础。</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二、单位构成情况</w:t>
      </w:r>
    </w:p>
    <w:p>
      <w:pPr>
        <w:widowControl/>
        <w:ind w:firstLine="672"/>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市妇联下属非独立核算单位1个，其中行政单位0个，参照公务员法管理的事业单位0个，其他事业单位1个。主要包括：攀枝花市妇女儿童服务中心。</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三、收支预算情况说明</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按照综合预算的原则，市妇联所有收入和支出均纳入部门预算管理。收入包括：一般公共预算拨款收入；支出包括：一般公共服务支出、社会保障和就业支出、住房保障支出。市妇联2020年收支总预算431.82万元。</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（一）收入预算情况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市妇联2020年收入预算431.82万元，与2019年相比，增加了56.29万元，同比增加14.99%，全部为一般公共预算拨款收入。</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（二）支出预算情况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市妇联2020年支出预算431.82万元，其中：基本支出393.52万元，占91.13%；项目支出38.3万元，占8.87%。2020年支出与2019年相比，增加了56.29万元，同比增加14.99%，主要原因是增加了家政服务阵地建设及设备采购等。</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四、财政拨款收支预算情况说明</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市妇联2020年财政拨款收支总预算431.82万元。收入全部为一般公共预算拨款收入；支出包括：一般公共服务支出345.23万元、社会保障和就业支出59.53万元、住房公积金支出27.06万元。</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五、一般公共预算当年拨款情况说明</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（一）一般公共预算当年拨款规模变化情况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市妇联2020年一般公共预算当年拨款431.82万元，比2019年预算数增加56.29万元。主要是下级非独立核算事业单位（市妇女儿童服务中心）新增加4人。</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（二）一般公共预算当年拨款结构情况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一般公共服务支出345.23万元，占79.95%；社会保障和就业支出59.53万元，占13.78%，住房公积金支出27.06万元，占6.27%。</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（三）一般公共预算当年拨款具体使用情况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1.一般公共服务（类）其他群团事务（款）行政运行（项）2020年预算数为214.35万元，主要用于：工资福利支出178.28万元；日常公用经费36.06万元。</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2.一般公共服务（类）其他群团事务（款）一般行政管理事务（项目）2020年预算数为38.3万元，主要用于：业务运行经费1.8万元，妇女专项工作经费36.5万元。</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3.一般公共服务（类）其他群团事务（款）事业运行（项）2020年预算数为92.58万元，主要用于：工资福利支出77.67万元；日常公用经费14.91万元。</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4. 社会保障和就业支出（类）行政事业单位离退休（款）未归口管理单位的行政单位离退休（项）2020年预算数为36.03万元，主要用于：离退休费30.60万元；退休人员公用经费5.43万元。</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5. 社会保障和就业支出（类）行政事业单位离退休（款）机关事业单位基本养老保险缴费支出（项）2020年预算数为23.50万元，主要用于：缴纳单位在职人员的基本养老保险金。</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6. 住房公积金支出（类）住房改革支出（款）住房公积金（项）2020年预算数为27.06万元，主要用于：缴纳单位在职人员的住房公积金。</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六、一般公共预算基本支出情况说明</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市妇联2020年一般公共预算基本支出393.52万元，其中：</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人员经费337.11万元，主要包括：基本工资、津贴补贴、奖金、绩效工资、社会保险缴、住房公积金、其他工资福利费、退休费等。</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公用经费56.41万元，主要包括：办公费、水电费、邮电费、差旅费、公务接待费、工会经费、福利费、公务用车维护费、其他交通费等。</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七、“三公”经费财政拨款预算安排情况说明</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市妇联2020年“三公”经费财政拨款预算数2.71万元，其中：因公出国（境）经费万元，公务接待费1万元，公务用车购置及运行维护费1.71万元。</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（一）市妇联无因公出国（境）经费</w:t>
      </w:r>
      <w:r>
        <w:rPr>
          <w:rFonts w:ascii="Times New Roman" w:hAnsi="Times New Roman" w:eastAsia="方正仿宋_GBK" w:cs="Times New Roman"/>
          <w:color w:val="000000"/>
          <w:kern w:val="0"/>
          <w:sz w:val="33"/>
          <w:szCs w:val="33"/>
        </w:rPr>
        <w:t>。</w:t>
      </w:r>
    </w:p>
    <w:p>
      <w:pPr>
        <w:widowControl/>
        <w:numPr>
          <w:numId w:val="0"/>
        </w:numPr>
        <w:ind w:left="360" w:leftChars="0" w:firstLine="331" w:firstLineChars="1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公务接待费与2019年预算持平。</w:t>
      </w:r>
    </w:p>
    <w:p>
      <w:pPr>
        <w:widowControl/>
        <w:ind w:left="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2020年预算公务接待费1万元。</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（三）公务用车购置及运行维护费与2019年预算持平。</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单位现有公务用车1辆，其中：轿车（含7座以下商务车、城市越野车）1辆。</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2020年安排公务用车运行维护费1.71万元，用于1辆公务用车（燃油、维修、车辆通行）等方面支出，主要保障开展妇女儿童工作。</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八、政府性基金预算支出情况说明</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市妇联2019年无政府性基金预算支出。</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九、其他重要事项的情况说明</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（一）机关运行经费</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2019年，市妇联以及下属市妇女儿童中心2家单位，机关运行经费财政拨款预算为56.41万元，与2019年预算数增加4.88万元，主要原因是2020年下属市妇女儿童中心新增加4人。</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（二）国有资产占有使用情况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截至2019年底，市妇联及所属的非独立核算单位共有车辆1辆。</w:t>
      </w:r>
    </w:p>
    <w:p>
      <w:pPr>
        <w:widowControl/>
        <w:ind w:firstLine="643"/>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b/>
          <w:bCs/>
          <w:color w:val="000000"/>
          <w:kern w:val="0"/>
          <w:sz w:val="33"/>
          <w:szCs w:val="33"/>
        </w:rPr>
        <w:t>（三）绩效目标设置情况</w:t>
      </w:r>
    </w:p>
    <w:p>
      <w:pPr>
        <w:widowControl/>
        <w:ind w:firstLine="60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2018年市妇联通用项目和专用项目均按要求实行绩效目标管理，涉及一般公共预算当年拨款38.3万元。</w:t>
      </w:r>
    </w:p>
    <w:p>
      <w:pPr>
        <w:widowControl/>
        <w:ind w:firstLine="640"/>
        <w:jc w:val="left"/>
        <w:rPr>
          <w:rFonts w:ascii="Times New Roman" w:hAnsi="Times New Roman" w:eastAsia="方正黑体_GBK" w:cs="Times New Roman"/>
          <w:color w:val="000000"/>
          <w:kern w:val="0"/>
          <w:sz w:val="33"/>
          <w:szCs w:val="33"/>
        </w:rPr>
      </w:pPr>
      <w:r>
        <w:rPr>
          <w:rFonts w:ascii="Times New Roman" w:hAnsi="Times New Roman" w:eastAsia="方正黑体_GBK" w:cs="Times New Roman"/>
          <w:color w:val="000000"/>
          <w:kern w:val="0"/>
          <w:sz w:val="33"/>
          <w:szCs w:val="33"/>
        </w:rPr>
        <w:t>十、名词解释</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1.一般公共预算拨款收入：指市级财政当年拨付的资金。</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2.医疗卫生与计划生育（类）行政事业单位医疗（款）行政单位医疗（项）：指市机关及参公管理事业单位用于缴纳单位基本医疗保险支出。</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3.基本支出：指为保证机构正常运转，完成日常工作任务而发生的人员支出和公用支出。</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4.项目支出：指在基本支出之外为完成特定行政任务和事业发展目标所发生的支出。</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6.</w:t>
      </w:r>
      <w:r>
        <w:rPr>
          <w:rFonts w:hint="eastAsia" w:ascii="Times New Roman" w:hAnsi="Times New Roman" w:eastAsia="方正仿宋_GBK" w:cs="Times New Roman"/>
          <w:color w:val="000000"/>
          <w:kern w:val="0"/>
          <w:sz w:val="33"/>
          <w:szCs w:val="33"/>
          <w:lang w:val="en-US" w:eastAsia="zh-CN"/>
        </w:rPr>
        <w:t>机关</w:t>
      </w:r>
      <w:bookmarkStart w:id="0" w:name="_GoBack"/>
      <w:bookmarkEnd w:id="0"/>
      <w:r>
        <w:rPr>
          <w:rFonts w:ascii="Times New Roman" w:hAnsi="Times New Roman" w:eastAsia="方正仿宋_GBK" w:cs="Times New Roman"/>
          <w:color w:val="000000"/>
          <w:kern w:val="0"/>
          <w:sz w:val="33"/>
          <w:szCs w:val="33"/>
        </w:rPr>
        <w:t>运行费：为保障行政单位（包含参照公务员法管理的事业单位）运行用于购买货物和服务的各项资金。包括办公及办公费、水费、电费、印刷费、邮电费、差旅费、会议费等费用开支。</w:t>
      </w:r>
    </w:p>
    <w:p>
      <w:pPr>
        <w:widowControl/>
        <w:ind w:firstLine="64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附件：表1.部门收支总表</w:t>
      </w:r>
    </w:p>
    <w:p>
      <w:pPr>
        <w:widowControl/>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 xml:space="preserve">          表1-1.部门收入总表</w:t>
      </w:r>
    </w:p>
    <w:p>
      <w:pPr>
        <w:widowControl/>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 xml:space="preserve">       表1-2.部门支出总表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表2.财政拨款收支预算总表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表2-1.财政拨款支出预算表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表3.一般公共预算支出预算表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表3-1.一般公共预算基本支出预算表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表3-2.一般公共预算项目支出预算表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表3-3.一般公共预算“三公”经费支出预算表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表4.政府性基金支出预算表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表4-1.政府性基金预算“三公”经费支出预算表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表5.国有资本经营预算支出预算表</w:t>
      </w:r>
    </w:p>
    <w:p>
      <w:pPr>
        <w:widowControl/>
        <w:ind w:firstLine="960"/>
        <w:jc w:val="left"/>
        <w:rPr>
          <w:rFonts w:ascii="Times New Roman" w:hAnsi="Times New Roman" w:eastAsia="方正仿宋_GBK" w:cs="Times New Roman"/>
          <w:color w:val="000000"/>
          <w:kern w:val="0"/>
          <w:sz w:val="33"/>
          <w:szCs w:val="33"/>
        </w:rPr>
      </w:pPr>
      <w:r>
        <w:rPr>
          <w:rFonts w:ascii="Times New Roman" w:hAnsi="Times New Roman" w:eastAsia="方正仿宋_GBK" w:cs="Times New Roman"/>
          <w:color w:val="000000"/>
          <w:kern w:val="0"/>
          <w:sz w:val="33"/>
          <w:szCs w:val="33"/>
        </w:rPr>
        <w:t>表6.（部门）单位预算项目绩效目标表</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3928EA"/>
    <w:multiLevelType w:val="multilevel"/>
    <w:tmpl w:val="253928EA"/>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44141"/>
    <w:rsid w:val="00182388"/>
    <w:rsid w:val="004E3F7D"/>
    <w:rsid w:val="00744141"/>
    <w:rsid w:val="00C3717B"/>
    <w:rsid w:val="00ED2604"/>
    <w:rsid w:val="00F41E53"/>
    <w:rsid w:val="7B1E2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537</Words>
  <Characters>3061</Characters>
  <Lines>25</Lines>
  <Paragraphs>7</Paragraphs>
  <TotalTime>1</TotalTime>
  <ScaleCrop>false</ScaleCrop>
  <LinksUpToDate>false</LinksUpToDate>
  <CharactersWithSpaces>3591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2021-06-09T10:09:00Z</dcterms:created>
  <dc:creator>徐云芳</dc:creator>
  <cp:lastModifiedBy>adminpc</cp:lastModifiedBy>
  <dcterms:modified xsi:type="dcterms:W3CDTF">2021-06-10T02:15:44Z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E1E0902DA9C049FD97D2A62D90CD82BC</vt:lpwstr>
  </property>
</Properties>
</file>