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0" w:lineRule="atLeas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攀枝花市自然资源和规划局</w:t>
      </w:r>
    </w:p>
    <w:p>
      <w:pPr>
        <w:spacing w:line="0" w:lineRule="atLeast"/>
        <w:jc w:val="center"/>
        <w:rPr>
          <w:rFonts w:hint="eastAsia" w:ascii="方正小标宋简体" w:hAnsi="宋体" w:eastAsia="方正小标宋简体"/>
          <w:sz w:val="44"/>
          <w:szCs w:val="44"/>
          <w:u w:val="single"/>
        </w:rPr>
      </w:pPr>
      <w:r>
        <w:rPr>
          <w:rFonts w:hint="eastAsia" w:ascii="方正小标宋简体" w:hAnsi="宋体" w:eastAsia="方正小标宋简体"/>
          <w:sz w:val="44"/>
          <w:szCs w:val="44"/>
        </w:rPr>
        <w:t>2020年部门预算编制说明</w:t>
      </w:r>
    </w:p>
    <w:p>
      <w:pPr>
        <w:pStyle w:val="2"/>
        <w:adjustRightInd w:val="0"/>
        <w:spacing w:beforeLines="0" w:line="536" w:lineRule="exact"/>
        <w:rPr>
          <w:rFonts w:hint="eastAsia" w:ascii="宋体" w:hAnsi="宋体" w:eastAsia="宋体"/>
          <w:b/>
          <w:sz w:val="32"/>
        </w:rPr>
      </w:pPr>
      <w:r>
        <w:rPr>
          <w:rFonts w:hint="eastAsia" w:ascii="宋体" w:hAnsi="宋体" w:eastAsia="宋体"/>
          <w:b/>
          <w:sz w:val="32"/>
        </w:rPr>
        <w:t xml:space="preserve">    </w:t>
      </w:r>
    </w:p>
    <w:p>
      <w:pPr>
        <w:spacing w:line="560" w:lineRule="exact"/>
        <w:ind w:firstLine="640" w:firstLineChars="200"/>
        <w:rPr>
          <w:rFonts w:eastAsia="黑体"/>
        </w:rPr>
      </w:pPr>
      <w:r>
        <w:rPr>
          <w:rFonts w:eastAsia="黑体"/>
        </w:rPr>
        <w:t>一、基本职能及主要工作</w:t>
      </w:r>
    </w:p>
    <w:p>
      <w:pPr>
        <w:pStyle w:val="2"/>
        <w:adjustRightInd w:val="0"/>
        <w:spacing w:beforeLines="0" w:line="560" w:lineRule="exact"/>
        <w:ind w:firstLine="675" w:firstLineChars="210"/>
        <w:rPr>
          <w:rFonts w:ascii="Times New Roman" w:eastAsia="楷体_GB2312"/>
          <w:b/>
          <w:sz w:val="32"/>
        </w:rPr>
      </w:pPr>
      <w:r>
        <w:rPr>
          <w:rFonts w:ascii="Times New Roman" w:eastAsia="楷体_GB2312"/>
          <w:b/>
          <w:sz w:val="32"/>
        </w:rPr>
        <w:t>（一）市自然资源和规划局职能简介。</w:t>
      </w:r>
    </w:p>
    <w:p>
      <w:pPr>
        <w:spacing w:line="560" w:lineRule="exact"/>
        <w:ind w:firstLine="640" w:firstLineChars="200"/>
        <w:rPr>
          <w:kern w:val="0"/>
        </w:rPr>
      </w:pPr>
      <w:r>
        <w:rPr>
          <w:kern w:val="0"/>
        </w:rPr>
        <w:t>市自然资源和规划局是主管全市土地、矿产资源的调查评价、规划、管理、保护与合理利用的市政府工作部门。</w:t>
      </w:r>
    </w:p>
    <w:p>
      <w:pPr>
        <w:pStyle w:val="2"/>
        <w:adjustRightInd w:val="0"/>
        <w:spacing w:beforeLines="0" w:line="560" w:lineRule="exact"/>
        <w:ind w:firstLine="675" w:firstLineChars="210"/>
        <w:rPr>
          <w:rFonts w:ascii="Times New Roman"/>
          <w:bCs/>
          <w:sz w:val="32"/>
          <w:u w:val="single"/>
        </w:rPr>
      </w:pPr>
      <w:r>
        <w:rPr>
          <w:rFonts w:ascii="Times New Roman" w:eastAsia="楷体_GB2312"/>
          <w:b/>
          <w:sz w:val="32"/>
        </w:rPr>
        <w:t>（二）市自然资源和规划局2020年重点工作。</w:t>
      </w:r>
    </w:p>
    <w:p>
      <w:pPr>
        <w:spacing w:line="560" w:lineRule="exact"/>
        <w:ind w:firstLine="640" w:firstLineChars="200"/>
      </w:pPr>
      <w:r>
        <w:t>2020年市自然资源和规划局将继续以习近平新时代中国特色社会主义思想特别是习近平生态文明思想和习近平总书记关于自然资源管理的重要论述为指导，坚决贯彻落实厅党组和市委、市政府决策部署，牢固树立</w:t>
      </w:r>
      <w:r>
        <w:rPr>
          <w:rFonts w:eastAsia="黑体"/>
          <w:color w:val="000000"/>
        </w:rPr>
        <w:t>“</w:t>
      </w:r>
      <w:r>
        <w:rPr>
          <w:b/>
        </w:rPr>
        <w:t>五个一”</w:t>
      </w:r>
      <w:r>
        <w:t>导向（即：聚焦一个目标：年度考核进入市委市政府和省厅两个“第一方阵”；坚定一个信念：“态度决定一切、服务改变形象”；发扬一种精神：“迟干不如早干、要干就干好”；坚持一个方法：“学习不是为了跟跑而是为了超越”；严守一条底线：“对不作为、慢作为、乱作为和腐败现象零容忍”。），主动适应新形势新要求，不断提升干部队伍能力素质，为攀枝花经济社会发展发挥更大支撑、牵引和保障作用。</w:t>
      </w:r>
    </w:p>
    <w:p>
      <w:pPr>
        <w:spacing w:line="560" w:lineRule="exact"/>
        <w:ind w:firstLine="640" w:firstLineChars="200"/>
      </w:pPr>
      <w:r>
        <w:rPr>
          <w:rFonts w:eastAsia="楷体"/>
          <w:bCs/>
        </w:rPr>
        <w:t>一是积极主动服务，全力保障经济高质量发展。</w:t>
      </w:r>
      <w:r>
        <w:rPr>
          <w:b/>
        </w:rPr>
        <w:t>一是</w:t>
      </w:r>
      <w:r>
        <w:t>加快推进市县国土空间规划编制，力争2020年3月底前完成初步方案， 7月底前完成市级评审，8月底前上报自然资源厅，并指导县（区）加快村规划编制工作。</w:t>
      </w:r>
      <w:r>
        <w:rPr>
          <w:b/>
        </w:rPr>
        <w:t>二是</w:t>
      </w:r>
      <w:r>
        <w:t>全力服务好“两城”建设，积极争取年度用地计划支持，统筹增量和存量土地，科学制定实施土地储备和供应计划，优化年度土地利用计划配置，优先保障我市重点区域发展用地需求。</w:t>
      </w:r>
      <w:r>
        <w:rPr>
          <w:b/>
        </w:rPr>
        <w:t>三是</w:t>
      </w:r>
      <w:r>
        <w:t>积极做好建设用地报批工作，继续加强协作，提前介入建设项目，提前准备用地报件，加强跟踪，提高用地报批效率，全面完成年度用地报批任务。更新市本级基准地价体系，完成全市标定地价工作和集体建设用地及农用地分等定级基准地价工作。持续推进全市“五未”土地整治工作。</w:t>
      </w:r>
      <w:r>
        <w:rPr>
          <w:b/>
        </w:rPr>
        <w:t>四是</w:t>
      </w:r>
      <w:r>
        <w:t>以十九届四中全会《决定》为指引，全面向上对接，争取自然资源重大工程、重大项目等纳入国家和省级层面规划盘子，科学编制“十四五”自然资源规划项目。继续赴外推介城市品牌和土地，吸引更多有实力、有名气的外地企业来攀投资兴业。</w:t>
      </w:r>
      <w:r>
        <w:rPr>
          <w:b/>
        </w:rPr>
        <w:t>五是</w:t>
      </w:r>
      <w:r>
        <w:t>启动第四轮矿产资源规划编制工作，积极推动红格南矿区区划功能调整、盐边县中干沟铁矿探矿权转采矿权，做大做强钒钛、石墨及稀散元素产业链，促进矿业及延伸产业持续快速发展，为“两城”建设提供矿产资源保障。</w:t>
      </w:r>
    </w:p>
    <w:p>
      <w:pPr>
        <w:spacing w:line="560" w:lineRule="exact"/>
        <w:ind w:firstLine="640" w:firstLineChars="200"/>
      </w:pPr>
      <w:r>
        <w:rPr>
          <w:rFonts w:eastAsia="楷体"/>
        </w:rPr>
        <w:t>二是落实监管责任，持续抓好生态保护修复。</w:t>
      </w:r>
      <w:r>
        <w:rPr>
          <w:b/>
        </w:rPr>
        <w:t>一是</w:t>
      </w:r>
      <w:r>
        <w:t>加快全市国土空间生态修复规划编制工作。按时保质完成全市露天矿山综合整治，研究全市废弃露天矿山生态修复实施意见，全面推动废弃矿山生态修复工作。全面完成金沙江沿岸10公里范围内12处废弃露天矿山图斑的生态修复工作。积极申报国家山水林田湖草生态保护修复试点工程，完成省级山水林田湖草生态保护修复省级示范项目工程。</w:t>
      </w:r>
      <w:r>
        <w:rPr>
          <w:b/>
        </w:rPr>
        <w:t>二是</w:t>
      </w:r>
      <w:r>
        <w:t>严格落实部、省加强耕地保护和改进占补平衡的各项要求，完成2020年度耕地保有量和基本农田保护面积任务目标。</w:t>
      </w:r>
      <w:r>
        <w:rPr>
          <w:color w:val="000000"/>
        </w:rPr>
        <w:t>加强全市土地整治项目监督指导，</w:t>
      </w:r>
      <w:r>
        <w:t>加快3个市投资土地整治项目实施，预计新增耕地4100亩</w:t>
      </w:r>
      <w:r>
        <w:rPr>
          <w:color w:val="000000"/>
        </w:rPr>
        <w:t>。</w:t>
      </w:r>
      <w:r>
        <w:rPr>
          <w:b/>
        </w:rPr>
        <w:t>三是</w:t>
      </w:r>
      <w:r>
        <w:t>严格矿业开发生态准入，引入专家技术支撑，启动全市绿色矿业示范区创建工作，进一步完善四级绿色矿山建设指标，争取率先在全省建成国家级绿色矿业示范区。</w:t>
      </w:r>
    </w:p>
    <w:p>
      <w:pPr>
        <w:spacing w:line="560" w:lineRule="exact"/>
        <w:ind w:firstLine="640" w:firstLineChars="200"/>
      </w:pPr>
      <w:r>
        <w:rPr>
          <w:rFonts w:eastAsia="楷体"/>
        </w:rPr>
        <w:t>三是夯实基础工作，全面提高规范化管理水平。</w:t>
      </w:r>
      <w:r>
        <w:rPr>
          <w:b/>
        </w:rPr>
        <w:t>一是</w:t>
      </w:r>
      <w:r>
        <w:t>继续做好第三次国土调查后续相关工作，完成全市调查成果数据库及管理服务平台建设，实现全市土地资源的动态管理。组织开展好耕地细化调查、批准未建设的建设用地调查、耕地质量等级调查评价、耕地分等定级调查评价等专项调查工作。2020年6月30日前，以县级调查数据、图件、报告等为基础，完成全市三调成果分析、调查专著编写、图件编制等工作。</w:t>
      </w:r>
      <w:r>
        <w:rPr>
          <w:b/>
        </w:rPr>
        <w:t>二是</w:t>
      </w:r>
      <w:r>
        <w:rPr>
          <w:kern w:val="0"/>
          <w:lang w:val="zh-CN"/>
        </w:rPr>
        <w:t>开展空间数据整合和国土空间基础信息平台建设、国土空间规划“一张图”实施监督信息系统建设。</w:t>
      </w:r>
      <w:r>
        <w:t>提高不动产登记数据质量，实现不动产登记信息集成和流程集成。全面实施“互联网+不动产登记”工作，2020年底前，全市所有一般登记、抵押登记业务办理时限压缩至5个工作日以内，两县不动产登记机构与相关部门实现信息共享。</w:t>
      </w:r>
      <w:r>
        <w:rPr>
          <w:b/>
        </w:rPr>
        <w:t>三是</w:t>
      </w:r>
      <w:r>
        <w:t>加快推进林权登记和农村土地承包经营权资料移交和登记职能职责移交工作，探索纠纷调处机制。2020年6月底前完成“房地一体”农村宅基地和集体建设用地确权登记颁证工作，2020年底实现“房地一体”确权登记和集体建设用地的数据整合，并以县（区）为单位向自然资源部汇交成果。</w:t>
      </w:r>
    </w:p>
    <w:p>
      <w:pPr>
        <w:spacing w:line="560" w:lineRule="exact"/>
        <w:ind w:firstLine="640" w:firstLineChars="200"/>
      </w:pPr>
      <w:r>
        <w:rPr>
          <w:rFonts w:eastAsia="楷体"/>
        </w:rPr>
        <w:t>四是坚持以人为本，切实维护群众根本利益。</w:t>
      </w:r>
      <w:r>
        <w:rPr>
          <w:b/>
        </w:rPr>
        <w:t>一是</w:t>
      </w:r>
      <w:r>
        <w:t>积极申报地质灾害防治项目和资金支持，拟争取专职监测点位276处、工程治理6个、避让搬迁81户、重大专业监测点2处，共计1432.63万元。加快提升科技防灾水平，确保2020年6月底全市实现地质灾害隐患点自动化实时监测全覆盖。完善群测群防体系建设，突出三避让机制，严格执行隐患点的分级分类管理，保障人民群众生命财产安全。</w:t>
      </w:r>
      <w:r>
        <w:rPr>
          <w:b/>
        </w:rPr>
        <w:t>二是</w:t>
      </w:r>
      <w:r>
        <w:t>切实维护被征地群众的合法权益。加强与相关部门的配合，按照规定的征收范围、补偿标准和征收程序，妥善解决群众合理诉求，做到依法征收、公平补偿，确保被征地农民得到应有补偿和妥善安置。</w:t>
      </w:r>
      <w:r>
        <w:rPr>
          <w:b/>
        </w:rPr>
        <w:t>三是</w:t>
      </w:r>
      <w:r>
        <w:t>抓实信访维稳工作，畅通和规范信访举报渠道。增强处理信访和矛盾纠纷的能力，及时处理各类土地、矿业权纠纷，把矛盾纠纷解决在萌芽状态。</w:t>
      </w:r>
    </w:p>
    <w:p>
      <w:pPr>
        <w:spacing w:line="560" w:lineRule="exact"/>
        <w:ind w:firstLine="640" w:firstLineChars="200"/>
      </w:pPr>
      <w:r>
        <w:rPr>
          <w:rFonts w:eastAsia="楷体"/>
        </w:rPr>
        <w:t>五是加强执法监管，遏制自然资源违法行为。</w:t>
      </w:r>
      <w:r>
        <w:rPr>
          <w:b/>
        </w:rPr>
        <w:t>一是</w:t>
      </w:r>
      <w:r>
        <w:t>探索“增违挂钩”机制，落实土地、矿产违法案件管辖责任追究制度，做好土地例行督察回头看迎检工作，确保全市自然资源管理规范有序、保护有效。</w:t>
      </w:r>
      <w:r>
        <w:rPr>
          <w:b/>
        </w:rPr>
        <w:t>二是</w:t>
      </w:r>
      <w:r>
        <w:t>进一步加大打击私挖盗采力度，发现一起查处一起。坚决制止和纠正圈而不探、非法转让、滥采乱挖，规范矿产资源开发管理秩序。</w:t>
      </w:r>
      <w:r>
        <w:rPr>
          <w:b/>
        </w:rPr>
        <w:t>三是</w:t>
      </w:r>
      <w:r>
        <w:t>进一步加强土地批后供后监管，改变“重审批轻监管”局面，切实把审批职权和监管职能有效统一起来，有效避免或减少土地闲置、低效利用和土地违法行为的发生。</w:t>
      </w:r>
    </w:p>
    <w:p>
      <w:pPr>
        <w:spacing w:line="560" w:lineRule="exact"/>
        <w:ind w:firstLine="640" w:firstLineChars="200"/>
      </w:pPr>
      <w:r>
        <w:rPr>
          <w:rFonts w:eastAsia="楷体"/>
        </w:rPr>
        <w:t>六是强化自身建设，提高工作的能力和水平。</w:t>
      </w:r>
      <w:r>
        <w:rPr>
          <w:b/>
        </w:rPr>
        <w:t>一是</w:t>
      </w:r>
      <w:r>
        <w:t>充分发挥全面从严治党对自然资源规划工作的统揽和引领作用，抓好市委第二巡察组反馈问题整改落实，严格落实党建工作目标责任。把业务工作与脱贫攻坚、“双报到”“双联”等社会工作紧密结合起来，增强年轻党员的社会实践机会，发挥党支部的战斗堡垒作用和党员的先锋模范作用。</w:t>
      </w:r>
      <w:r>
        <w:rPr>
          <w:b/>
        </w:rPr>
        <w:t>二是</w:t>
      </w:r>
      <w:r>
        <w:t>持续抓好反腐败工作。强化廉政风险防控建设，完善惩治和预防腐败体系，探索建立与县区纪委监委协作监督工作机制，加强对县区局遵守政治纪律政治规矩、财经纪律、工作纪律、生活纪律等方面情况的监督检查。严格落实“两个责任”，认真落实“一岗双责”，以建设廉洁自然为目标，以深化改革为动力，以制度约束为重点，建立健全覆盖全面的党风廉政建设责任体系，努力构建不敢、不能、不想腐的长效机制，营造风清气正、干事创业的行业政治生态。</w:t>
      </w:r>
      <w:r>
        <w:rPr>
          <w:b/>
        </w:rPr>
        <w:t>三是</w:t>
      </w:r>
      <w:r>
        <w:t>构建“走出去培训、请进来培训、内部交流培训”综合培训体系，继续实施“周末大讲堂”。进一步加大干部教育、培训和交流力度，持续提升干部队伍综合素质和整体水平。坚持严管和厚爱相结合，统筹加强全系统干部监督和服务管理。</w:t>
      </w:r>
    </w:p>
    <w:p>
      <w:pPr>
        <w:spacing w:line="560" w:lineRule="exact"/>
        <w:ind w:firstLine="640" w:firstLineChars="200"/>
        <w:rPr>
          <w:rFonts w:eastAsia="黑体"/>
        </w:rPr>
      </w:pPr>
      <w:r>
        <w:rPr>
          <w:rFonts w:eastAsia="黑体"/>
        </w:rPr>
        <w:t>二、单位构成情况</w:t>
      </w:r>
    </w:p>
    <w:p>
      <w:pPr>
        <w:spacing w:line="560" w:lineRule="exact"/>
        <w:ind w:firstLine="640" w:firstLineChars="200"/>
      </w:pPr>
      <w:r>
        <w:t>市自然资源和规划局内设二十个职能处室、二区分局、2个事业单位。机关行政编制72名，机关工勤编制10名，事业编制19名，目前实有行政人员51人，工勤人员9名，事业人员16名。</w:t>
      </w:r>
    </w:p>
    <w:p>
      <w:pPr>
        <w:spacing w:line="560" w:lineRule="exact"/>
        <w:ind w:firstLine="640" w:firstLineChars="200"/>
        <w:rPr>
          <w:rFonts w:eastAsia="黑体"/>
        </w:rPr>
      </w:pPr>
      <w:r>
        <w:rPr>
          <w:rFonts w:eastAsia="黑体"/>
        </w:rPr>
        <w:t>三、收支预算情况说明</w:t>
      </w:r>
    </w:p>
    <w:p>
      <w:pPr>
        <w:spacing w:line="560" w:lineRule="exact"/>
        <w:ind w:firstLine="640" w:firstLineChars="200"/>
      </w:pPr>
      <w:r>
        <w:t>按照综合预算的原则，市自然资源和规划局所有收入和支出均纳入部门预算管理。收入包括：一般公共预算拨款收入、政府性基金预算拨款收入；支出包括：一般公共服务支出、社会保障和就业支出、城乡社区支出、国土海洋气象等支出、住房保障支出。</w:t>
      </w:r>
    </w:p>
    <w:p>
      <w:pPr>
        <w:spacing w:line="560" w:lineRule="exact"/>
        <w:ind w:firstLine="643" w:firstLineChars="200"/>
        <w:rPr>
          <w:rFonts w:eastAsia="楷体_GB2312"/>
          <w:b/>
        </w:rPr>
      </w:pPr>
      <w:r>
        <w:rPr>
          <w:rFonts w:eastAsia="楷体_GB2312"/>
          <w:b/>
        </w:rPr>
        <w:t>（一）收入预算情况</w:t>
      </w:r>
    </w:p>
    <w:p>
      <w:pPr>
        <w:spacing w:line="560" w:lineRule="exact"/>
        <w:ind w:firstLine="640" w:firstLineChars="200"/>
      </w:pPr>
      <w:r>
        <w:t>市自然资源和规划局2020年收入预算6140.73万元，其中：上年结转0万元，占0%；一般公共预算拨款收入4585.33万元，占74.67%；政府性基金预算拨款收入1555.4万元，占25.33%。</w:t>
      </w:r>
    </w:p>
    <w:p>
      <w:pPr>
        <w:spacing w:line="560" w:lineRule="exact"/>
        <w:ind w:firstLine="643" w:firstLineChars="200"/>
        <w:rPr>
          <w:rFonts w:eastAsia="楷体_GB2312"/>
          <w:b/>
        </w:rPr>
      </w:pPr>
      <w:r>
        <w:rPr>
          <w:rFonts w:eastAsia="楷体_GB2312"/>
          <w:b/>
        </w:rPr>
        <w:t>（二）支出预算情况</w:t>
      </w:r>
    </w:p>
    <w:p>
      <w:pPr>
        <w:spacing w:line="560" w:lineRule="exact"/>
        <w:ind w:firstLine="640" w:firstLineChars="200"/>
        <w:rPr>
          <w:u w:val="single"/>
        </w:rPr>
      </w:pPr>
      <w:r>
        <w:t>市自然资源和规划局2020年支出预算6140.73万元，其中：基本支出4578.33万元，占74.56%；项目支出1562.4万元，占25.44%。</w:t>
      </w:r>
    </w:p>
    <w:p>
      <w:pPr>
        <w:spacing w:line="560" w:lineRule="exact"/>
        <w:ind w:firstLine="640" w:firstLineChars="200"/>
        <w:rPr>
          <w:rFonts w:eastAsia="黑体"/>
        </w:rPr>
      </w:pPr>
      <w:r>
        <w:rPr>
          <w:rFonts w:eastAsia="黑体"/>
        </w:rPr>
        <w:t>四、财政拨款收支预算情况说明</w:t>
      </w:r>
    </w:p>
    <w:p>
      <w:pPr>
        <w:spacing w:line="560" w:lineRule="exact"/>
        <w:ind w:firstLine="640" w:firstLineChars="200"/>
        <w:rPr>
          <w:rFonts w:eastAsia="黑体"/>
        </w:rPr>
      </w:pPr>
      <w:r>
        <w:t>市自然资源和规划局2020年财政拨款收支总预算6140.73万元。收入包括：本年一般公共预算拨款收入4585.33万元、本年政府性基金预算拨款收入1555.4万元；支出包括：一般公共服务支出7万元、社会保障和就业支出454.57万元、城乡社区支出1555.4万元、国土海洋等气象支出3787.85万元、住房保障支出335.91万元。</w:t>
      </w:r>
    </w:p>
    <w:p>
      <w:pPr>
        <w:spacing w:line="560" w:lineRule="exact"/>
        <w:ind w:firstLine="640" w:firstLineChars="200"/>
        <w:rPr>
          <w:rFonts w:eastAsia="黑体"/>
        </w:rPr>
      </w:pPr>
      <w:r>
        <w:rPr>
          <w:rFonts w:eastAsia="黑体"/>
        </w:rPr>
        <w:t>五、一般公共预算当年拨款情况说明</w:t>
      </w:r>
    </w:p>
    <w:p>
      <w:pPr>
        <w:spacing w:line="560" w:lineRule="exact"/>
        <w:ind w:firstLine="643" w:firstLineChars="200"/>
        <w:rPr>
          <w:rFonts w:eastAsia="楷体_GB2312"/>
          <w:b/>
        </w:rPr>
      </w:pPr>
      <w:r>
        <w:rPr>
          <w:rFonts w:eastAsia="楷体_GB2312"/>
          <w:b/>
        </w:rPr>
        <w:t>（一）一般公共预算当年拨款规模变化情况</w:t>
      </w:r>
    </w:p>
    <w:p>
      <w:pPr>
        <w:spacing w:line="560" w:lineRule="exact"/>
        <w:ind w:firstLine="640" w:firstLineChars="200"/>
      </w:pPr>
      <w:r>
        <w:t>市自然资源和规划局2020年一般公共预算当年拨款4585.33万元，比2019年预算数增加644.45万元，主要是机构改革，新增两家事业单位，工作人员增加和工资薪金调整等原因造成预算数增加。</w:t>
      </w:r>
    </w:p>
    <w:p>
      <w:pPr>
        <w:spacing w:line="560" w:lineRule="exact"/>
        <w:ind w:firstLine="643" w:firstLineChars="200"/>
        <w:rPr>
          <w:rFonts w:eastAsia="楷体_GB2312"/>
          <w:b/>
        </w:rPr>
      </w:pPr>
      <w:r>
        <w:rPr>
          <w:rFonts w:eastAsia="楷体_GB2312"/>
          <w:b/>
        </w:rPr>
        <w:t>（二）一般公共预算当年拨款结构情况</w:t>
      </w:r>
    </w:p>
    <w:p>
      <w:pPr>
        <w:spacing w:line="560" w:lineRule="exact"/>
        <w:ind w:firstLine="640" w:firstLineChars="200"/>
      </w:pPr>
      <w:r>
        <w:t>一般公共服务支出7万元，占0.11%；社会保障和就业支出454.58万元，占7.41%；城乡社区支出1555.4万元，占25.33%；国土海洋等气象支出3787.85万元，占61.68%；住房保障支出335.91万元，占5.47%。</w:t>
      </w:r>
    </w:p>
    <w:p>
      <w:pPr>
        <w:spacing w:line="560" w:lineRule="exact"/>
        <w:ind w:firstLine="643" w:firstLineChars="200"/>
        <w:rPr>
          <w:rFonts w:eastAsia="楷体_GB2312"/>
          <w:b/>
        </w:rPr>
      </w:pPr>
      <w:r>
        <w:rPr>
          <w:rFonts w:eastAsia="楷体_GB2312"/>
          <w:b/>
        </w:rPr>
        <w:t>（三）一般公共预算当年拨款具体使用情况</w:t>
      </w:r>
    </w:p>
    <w:p>
      <w:pPr>
        <w:spacing w:line="560" w:lineRule="exact"/>
        <w:ind w:firstLine="640" w:firstLineChars="200"/>
      </w:pPr>
      <w:r>
        <w:rPr>
          <w:rFonts w:eastAsia="楷体_GB2312"/>
        </w:rPr>
        <w:t>1.</w:t>
      </w:r>
      <w:r>
        <w:rPr>
          <w:rFonts w:hint="eastAsia" w:eastAsia="楷体_GB2312"/>
        </w:rPr>
        <w:t xml:space="preserve"> </w:t>
      </w:r>
      <w:r>
        <w:t>一般公共服务支出（类）组织事务（款）其他组织事务支出（项）2020年预算数为7万元，主要用于援藏干部补贴。</w:t>
      </w:r>
    </w:p>
    <w:p>
      <w:pPr>
        <w:spacing w:line="560" w:lineRule="exact"/>
        <w:ind w:firstLine="640" w:firstLineChars="200"/>
      </w:pPr>
      <w:r>
        <w:t>2. 社会保障和就业支出（类）行政事业单位离退休（款）未归口管理的行政单位离退休（项）2020年预算数为106.23万元，主要用于：离休费16.05万元，退休费61.1万元，医疗费补助4.08万元，生活补助9.89万元，公用经费15.11万元。</w:t>
      </w:r>
    </w:p>
    <w:p>
      <w:pPr>
        <w:spacing w:line="560" w:lineRule="exact"/>
        <w:ind w:firstLine="640" w:firstLineChars="200"/>
      </w:pPr>
      <w:r>
        <w:t>3.</w:t>
      </w:r>
      <w:r>
        <w:rPr>
          <w:rFonts w:hint="eastAsia"/>
        </w:rPr>
        <w:t xml:space="preserve"> </w:t>
      </w:r>
      <w:r>
        <w:t>社会保障和就业支出（类）行政事业单位养老支出（款）机关事业单位基本养老保险缴费支出（项）2020年预算数为331.66万元，主要用于单位职工养老保险缴费支出。</w:t>
      </w:r>
    </w:p>
    <w:p>
      <w:pPr>
        <w:spacing w:line="560" w:lineRule="exact"/>
        <w:ind w:firstLine="640" w:firstLineChars="200"/>
      </w:pPr>
      <w:r>
        <w:t>4.</w:t>
      </w:r>
      <w:r>
        <w:rPr>
          <w:rFonts w:hint="eastAsia"/>
        </w:rPr>
        <w:t xml:space="preserve"> </w:t>
      </w:r>
      <w:r>
        <w:t>社会保障和就业支出（类）行政事业单位养老支出（款）其他行政事业单位养老保险支出（项）2020年预算数为11.69万元，主要用于单位职工养老保险缴费支出。</w:t>
      </w:r>
    </w:p>
    <w:p>
      <w:pPr>
        <w:spacing w:line="560" w:lineRule="exact"/>
        <w:ind w:firstLine="640" w:firstLineChars="200"/>
      </w:pPr>
      <w:r>
        <w:t>5. 国土海洋气象等支出（类）国土资源事务（款）其中：行政运行（项）2020年预算数为1839.12万元，事业运行（项）2020年预算数为1948.73万元，共计3787.85万元主要用于：工资福利支出3172.58万元，公用经费支出610.42万元，对个人和家庭的补助4.85万元。</w:t>
      </w:r>
    </w:p>
    <w:p>
      <w:pPr>
        <w:spacing w:line="560" w:lineRule="exact"/>
        <w:ind w:firstLine="640" w:firstLineChars="200"/>
      </w:pPr>
      <w:r>
        <w:t xml:space="preserve"> 6. 住房保障支出（类）住房改革支出（款）住房公积金（项）2020年预算数为335.91万元，主要用于：住房公积金支出。</w:t>
      </w:r>
    </w:p>
    <w:p>
      <w:pPr>
        <w:spacing w:line="560" w:lineRule="exact"/>
        <w:ind w:firstLine="640" w:firstLineChars="200"/>
        <w:rPr>
          <w:rFonts w:eastAsia="黑体"/>
        </w:rPr>
      </w:pPr>
      <w:r>
        <w:rPr>
          <w:rFonts w:eastAsia="黑体"/>
        </w:rPr>
        <w:t>六、一般公共预算基本支出情况说明</w:t>
      </w:r>
    </w:p>
    <w:p>
      <w:pPr>
        <w:spacing w:line="560" w:lineRule="exact"/>
        <w:ind w:firstLine="640" w:firstLineChars="200"/>
      </w:pPr>
      <w:r>
        <w:t>市自然资源和规划局2020年一般公共预算基本支出4585.33万元，其中：</w:t>
      </w:r>
    </w:p>
    <w:p>
      <w:pPr>
        <w:spacing w:line="560" w:lineRule="exact"/>
        <w:ind w:firstLine="640" w:firstLineChars="200"/>
      </w:pPr>
      <w:r>
        <w:t>人员经费3959.8万元，主要包括：基本工资、津贴补贴、奖金、社会保险缴费、住房公积金等。</w:t>
      </w:r>
    </w:p>
    <w:p>
      <w:pPr>
        <w:spacing w:line="560" w:lineRule="exact"/>
        <w:ind w:firstLine="640" w:firstLineChars="200"/>
        <w:rPr>
          <w:u w:val="single"/>
        </w:rPr>
      </w:pPr>
      <w:r>
        <w:t>公用经费625.53万元，主要包括：办公费、水费、电费、邮电费、差旅费、公务接待费、公务用车运行维护费等。</w:t>
      </w:r>
    </w:p>
    <w:p>
      <w:pPr>
        <w:spacing w:line="560" w:lineRule="exact"/>
        <w:ind w:firstLine="640" w:firstLineChars="200"/>
        <w:rPr>
          <w:rFonts w:eastAsia="黑体"/>
        </w:rPr>
      </w:pPr>
      <w:r>
        <w:rPr>
          <w:rFonts w:eastAsia="黑体"/>
        </w:rPr>
        <w:t>七、“三公”经费财政拨款预算安排情况说明</w:t>
      </w:r>
    </w:p>
    <w:p>
      <w:pPr>
        <w:spacing w:line="560" w:lineRule="exact"/>
        <w:ind w:firstLine="640" w:firstLineChars="200"/>
      </w:pPr>
      <w:r>
        <w:t>市自然资源和规划局2020年“三公”经费财政拨款预算数95.44万元，其中：因公出国（境）经费0万元，公务接待费10.79万元，公务用车购置及运行维护费84.65万元。</w:t>
      </w:r>
    </w:p>
    <w:p>
      <w:pPr>
        <w:spacing w:line="560" w:lineRule="exact"/>
        <w:ind w:left="637" w:leftChars="199"/>
        <w:rPr>
          <w:rFonts w:hint="eastAsia"/>
        </w:rPr>
      </w:pPr>
      <w:r>
        <w:rPr>
          <w:rFonts w:eastAsia="楷体_GB2312"/>
          <w:b/>
        </w:rPr>
        <w:t>（一）因公出国（境）经费较2019年预算</w:t>
      </w:r>
      <w:r>
        <w:rPr>
          <w:b/>
        </w:rPr>
        <w:t>下降100</w:t>
      </w:r>
      <w:r>
        <w:rPr>
          <w:rFonts w:eastAsia="楷体_GB2312"/>
          <w:b/>
        </w:rPr>
        <w:t>%</w:t>
      </w:r>
      <w:r>
        <w:rPr>
          <w:b/>
        </w:rPr>
        <w:t>。</w:t>
      </w:r>
      <w:r>
        <w:t>主</w:t>
      </w:r>
    </w:p>
    <w:p>
      <w:pPr>
        <w:spacing w:line="560" w:lineRule="exact"/>
      </w:pPr>
      <w:r>
        <w:t>要原因是本年度无因公出国计划安排。</w:t>
      </w:r>
    </w:p>
    <w:p>
      <w:pPr>
        <w:spacing w:line="560" w:lineRule="exact"/>
        <w:ind w:firstLine="640"/>
        <w:rPr>
          <w:rFonts w:eastAsia="楷体_GB2312"/>
          <w:b/>
          <w:u w:val="single"/>
        </w:rPr>
      </w:pPr>
      <w:r>
        <w:rPr>
          <w:rFonts w:eastAsia="楷体_GB2312"/>
          <w:b/>
        </w:rPr>
        <w:t>（二）公务接待费较2019年预算增长4.25%</w:t>
      </w:r>
    </w:p>
    <w:p>
      <w:pPr>
        <w:spacing w:line="560" w:lineRule="exact"/>
        <w:ind w:firstLine="640"/>
      </w:pPr>
      <w:r>
        <w:t>主要原因是机构改革，并入两个事业单位，严格执行公务接待管理办法，压缩公务接待费。2020年公务接待费计划用于迎接上级检查、接待来交流学习的单位等。</w:t>
      </w:r>
    </w:p>
    <w:p>
      <w:pPr>
        <w:spacing w:line="560" w:lineRule="exact"/>
        <w:ind w:left="710"/>
        <w:rPr>
          <w:rFonts w:hint="eastAsia" w:eastAsia="楷体_GB2312"/>
          <w:b/>
        </w:rPr>
      </w:pPr>
      <w:r>
        <w:rPr>
          <w:rFonts w:eastAsia="楷体_GB2312"/>
          <w:b/>
        </w:rPr>
        <w:t>（三）公务用车购置及运行维护费较2019年预算下降</w:t>
      </w:r>
    </w:p>
    <w:p>
      <w:pPr>
        <w:spacing w:line="560" w:lineRule="exact"/>
        <w:rPr>
          <w:rFonts w:eastAsia="楷体_GB2312"/>
          <w:b/>
          <w:u w:val="single"/>
        </w:rPr>
      </w:pPr>
      <w:r>
        <w:rPr>
          <w:b/>
        </w:rPr>
        <w:t>7.79</w:t>
      </w:r>
      <w:r>
        <w:rPr>
          <w:rFonts w:eastAsia="楷体_GB2312"/>
          <w:b/>
        </w:rPr>
        <w:t>%</w:t>
      </w:r>
    </w:p>
    <w:p>
      <w:pPr>
        <w:spacing w:line="560" w:lineRule="exact"/>
        <w:ind w:firstLine="640" w:firstLineChars="200"/>
        <w:rPr>
          <w:rFonts w:eastAsia="黑体"/>
          <w:b/>
        </w:rPr>
      </w:pPr>
      <w:r>
        <w:t>主要原因严格执行公务用车管理办法，规范公务用车管理，压缩公务用车运行维护费。</w:t>
      </w:r>
    </w:p>
    <w:p>
      <w:pPr>
        <w:spacing w:line="560" w:lineRule="exact"/>
        <w:ind w:firstLine="640"/>
      </w:pPr>
      <w:r>
        <w:t>单位现有公务用车12辆，其中：越野车10辆，轿车2辆。</w:t>
      </w:r>
    </w:p>
    <w:p>
      <w:pPr>
        <w:spacing w:line="560" w:lineRule="exact"/>
        <w:ind w:firstLine="640"/>
      </w:pPr>
      <w:r>
        <w:t>2020年无安排公务用车购置费</w:t>
      </w:r>
      <w:r>
        <w:rPr>
          <w:rFonts w:hint="eastAsia"/>
        </w:rPr>
        <w:t>。</w:t>
      </w:r>
    </w:p>
    <w:p>
      <w:pPr>
        <w:spacing w:line="560" w:lineRule="exact"/>
        <w:ind w:firstLine="640"/>
      </w:pPr>
      <w:r>
        <w:t>2020年安排公务用车运行维护费84.65万元，用于公务用车的让燃油、维修、车辆通行等方面支出，主要保障宅基地审批、国土资源违法行为、矿产资源管理、地质灾害隐患的巡查监测等工作开展。</w:t>
      </w:r>
    </w:p>
    <w:p>
      <w:pPr>
        <w:spacing w:line="560" w:lineRule="exact"/>
        <w:ind w:firstLine="640" w:firstLineChars="200"/>
        <w:rPr>
          <w:rFonts w:eastAsia="黑体"/>
        </w:rPr>
      </w:pPr>
      <w:r>
        <w:rPr>
          <w:rFonts w:eastAsia="黑体"/>
        </w:rPr>
        <w:t>八、政府性基金预算支出情况说明</w:t>
      </w:r>
    </w:p>
    <w:p>
      <w:pPr>
        <w:spacing w:line="560" w:lineRule="exact"/>
        <w:ind w:firstLine="640" w:firstLineChars="200"/>
      </w:pPr>
      <w:r>
        <w:t>市自然资源和规划局2020年政府性基金预算支出1555.4万元，其中：基本支出0万元，项目支出1555.4万元。</w:t>
      </w:r>
    </w:p>
    <w:p>
      <w:pPr>
        <w:spacing w:line="560" w:lineRule="exact"/>
        <w:ind w:firstLine="640" w:firstLineChars="200"/>
        <w:rPr>
          <w:rFonts w:eastAsia="黑体"/>
        </w:rPr>
      </w:pPr>
      <w:r>
        <w:rPr>
          <w:rFonts w:eastAsia="黑体"/>
        </w:rPr>
        <w:t>九、其他重要事项的情况说明</w:t>
      </w:r>
    </w:p>
    <w:p>
      <w:pPr>
        <w:spacing w:line="560" w:lineRule="exact"/>
        <w:ind w:firstLine="643" w:firstLineChars="200"/>
        <w:rPr>
          <w:rFonts w:eastAsia="楷体_GB2312"/>
          <w:b/>
        </w:rPr>
      </w:pPr>
      <w:r>
        <w:rPr>
          <w:rFonts w:eastAsia="楷体_GB2312"/>
          <w:b/>
        </w:rPr>
        <w:t>（一）运行经费</w:t>
      </w:r>
    </w:p>
    <w:p>
      <w:pPr>
        <w:spacing w:line="560" w:lineRule="exact"/>
        <w:ind w:firstLine="640" w:firstLineChars="200"/>
        <w:rPr>
          <w:rFonts w:eastAsia="楷体_GB2312"/>
          <w:b/>
        </w:rPr>
      </w:pPr>
      <w:r>
        <w:t>2020年市自然资源和规划局运行经费财政拨款预算为625.53万元，比2019年预算增加64.9万元，增加11.58%。主要原因机构改革，并入两个事业单位，新增两家事业党委运营经费预算。</w:t>
      </w:r>
    </w:p>
    <w:p>
      <w:pPr>
        <w:spacing w:line="560" w:lineRule="exact"/>
        <w:ind w:firstLine="643" w:firstLineChars="200"/>
        <w:rPr>
          <w:rFonts w:eastAsia="楷体_GB2312"/>
          <w:b/>
        </w:rPr>
      </w:pPr>
      <w:r>
        <w:rPr>
          <w:rFonts w:eastAsia="楷体_GB2312"/>
          <w:b/>
        </w:rPr>
        <w:t>（二）国有资产占有使用情况</w:t>
      </w:r>
    </w:p>
    <w:p>
      <w:pPr>
        <w:spacing w:line="560" w:lineRule="exact"/>
        <w:ind w:firstLine="640" w:firstLineChars="200"/>
      </w:pPr>
      <w:r>
        <w:t>截至2019年底，市自然资源和规划局及所属的非独立核算单位共有车辆</w:t>
      </w:r>
      <w:r>
        <w:rPr>
          <w:color w:val="000000" w:themeColor="text1"/>
        </w:rPr>
        <w:t>12</w:t>
      </w:r>
      <w:r>
        <w:t>辆，其中，执法执勤用车0辆。单位价值200万元以上大型设备0台。</w:t>
      </w:r>
    </w:p>
    <w:p>
      <w:pPr>
        <w:spacing w:line="560" w:lineRule="exact"/>
        <w:ind w:firstLine="643" w:firstLineChars="200"/>
        <w:rPr>
          <w:rFonts w:eastAsia="楷体_GB2312"/>
          <w:b/>
        </w:rPr>
      </w:pPr>
      <w:r>
        <w:rPr>
          <w:rFonts w:eastAsia="楷体_GB2312"/>
          <w:b/>
        </w:rPr>
        <w:t>（三）绩效目标设置情况</w:t>
      </w:r>
    </w:p>
    <w:p>
      <w:pPr>
        <w:spacing w:line="560" w:lineRule="exact"/>
        <w:ind w:firstLine="640" w:firstLineChars="200"/>
      </w:pPr>
      <w:r>
        <w:t>2020年市自然资源和规划局部门通用项目和专用项目均按要求实行绩效目标管理，涉及一般公共预算当年拨款7万元。</w:t>
      </w:r>
    </w:p>
    <w:p>
      <w:pPr>
        <w:spacing w:line="560" w:lineRule="exact"/>
        <w:ind w:firstLine="640" w:firstLineChars="200"/>
        <w:rPr>
          <w:rFonts w:eastAsia="黑体"/>
        </w:rPr>
      </w:pPr>
      <w:r>
        <w:rPr>
          <w:rFonts w:eastAsia="黑体"/>
        </w:rPr>
        <w:t>十、名词解释</w:t>
      </w:r>
    </w:p>
    <w:p>
      <w:pPr>
        <w:spacing w:line="560" w:lineRule="exact"/>
        <w:ind w:firstLine="640" w:firstLineChars="200"/>
      </w:pPr>
      <w:r>
        <w:t>1.</w:t>
      </w:r>
      <w:r>
        <w:rPr>
          <w:rFonts w:hint="eastAsia"/>
        </w:rPr>
        <w:t xml:space="preserve"> </w:t>
      </w:r>
      <w:r>
        <w:t>一般公共预算拨款收入：指市级财政当年拨付的资金。</w:t>
      </w:r>
    </w:p>
    <w:p>
      <w:pPr>
        <w:spacing w:line="560" w:lineRule="exact"/>
        <w:ind w:firstLine="640" w:firstLineChars="200"/>
      </w:pPr>
      <w:r>
        <w:rPr>
          <w:rFonts w:hint="eastAsia"/>
          <w:lang w:val="en-US" w:eastAsia="zh-CN"/>
        </w:rPr>
        <w:t>2</w:t>
      </w:r>
      <w:r>
        <w:t>.</w:t>
      </w:r>
      <w:r>
        <w:rPr>
          <w:rFonts w:hint="eastAsia"/>
        </w:rPr>
        <w:t xml:space="preserve"> </w:t>
      </w:r>
      <w:r>
        <w:t>基本支出：指为保证机构正常运转，完成日常工作任务而发生的人员支出和公用支出。</w:t>
      </w:r>
    </w:p>
    <w:p>
      <w:pPr>
        <w:spacing w:line="560" w:lineRule="exact"/>
        <w:ind w:firstLine="640" w:firstLineChars="200"/>
      </w:pPr>
      <w:r>
        <w:rPr>
          <w:rFonts w:hint="eastAsia"/>
          <w:lang w:val="en-US" w:eastAsia="zh-CN"/>
        </w:rPr>
        <w:t>3</w:t>
      </w:r>
      <w:r>
        <w:t>.</w:t>
      </w:r>
      <w:r>
        <w:rPr>
          <w:rFonts w:hint="eastAsia"/>
        </w:rPr>
        <w:t xml:space="preserve"> </w:t>
      </w:r>
      <w:r>
        <w:t>项目支出：指在基本支出之外为完成特定行政任务和事业发展目标所发生的支出。</w:t>
      </w:r>
    </w:p>
    <w:p>
      <w:pPr>
        <w:spacing w:line="560" w:lineRule="exact"/>
        <w:ind w:firstLine="640" w:firstLineChars="200"/>
      </w:pPr>
      <w:r>
        <w:rPr>
          <w:rFonts w:hint="eastAsia"/>
          <w:lang w:val="en-US" w:eastAsia="zh-CN"/>
        </w:rPr>
        <w:t>4</w:t>
      </w:r>
      <w:r>
        <w:t>.</w:t>
      </w:r>
      <w:r>
        <w:rPr>
          <w:rFonts w:hint="eastAsia"/>
        </w:rPr>
        <w:t xml:space="preserve"> </w:t>
      </w:r>
      <w: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0" w:firstLineChars="200"/>
      </w:pPr>
      <w:r>
        <w:rPr>
          <w:rFonts w:hint="eastAsia"/>
          <w:lang w:val="en-US" w:eastAsia="zh-CN"/>
        </w:rPr>
        <w:t>5</w:t>
      </w:r>
      <w:r>
        <w:t>.</w:t>
      </w:r>
      <w:r>
        <w:rPr>
          <w:rFonts w:hint="eastAsia"/>
        </w:rPr>
        <w:t xml:space="preserve"> </w:t>
      </w:r>
      <w:r>
        <w:t>运行</w:t>
      </w:r>
      <w:r>
        <w:rPr>
          <w:rFonts w:hint="eastAsia"/>
          <w:lang w:val="en-US" w:eastAsia="zh-CN"/>
        </w:rPr>
        <w:t>经</w:t>
      </w:r>
      <w:bookmarkStart w:id="0" w:name="_GoBack"/>
      <w:bookmarkEnd w:id="0"/>
      <w:r>
        <w:t>费：为保障行政单位（包含参照公务员法管理的事业单位）运行用于购买货物和服务的各项资金。包括办公及办公费、水费、电费、印刷费、邮电费、差旅费、会议费等费用开支。</w:t>
      </w:r>
    </w:p>
    <w:p>
      <w:pPr>
        <w:spacing w:line="560" w:lineRule="exact"/>
        <w:ind w:firstLine="640" w:firstLineChars="200"/>
      </w:pPr>
    </w:p>
    <w:p>
      <w:pPr>
        <w:spacing w:line="560" w:lineRule="exact"/>
        <w:ind w:firstLine="640" w:firstLineChars="200"/>
      </w:pPr>
      <w:r>
        <w:t>附件：表1.部门收支总表</w:t>
      </w:r>
    </w:p>
    <w:p>
      <w:pPr>
        <w:spacing w:line="560" w:lineRule="exact"/>
      </w:pPr>
      <w:r>
        <w:t xml:space="preserve">      </w:t>
      </w:r>
      <w:r>
        <w:rPr>
          <w:rFonts w:hint="eastAsia"/>
        </w:rPr>
        <w:t xml:space="preserve">    </w:t>
      </w:r>
      <w:r>
        <w:t>表1-1.部门收入总表</w:t>
      </w:r>
    </w:p>
    <w:p>
      <w:pPr>
        <w:spacing w:line="560" w:lineRule="exact"/>
      </w:pPr>
      <w:r>
        <w:t xml:space="preserve">      </w:t>
      </w:r>
      <w:r>
        <w:rPr>
          <w:rFonts w:hint="eastAsia"/>
        </w:rPr>
        <w:t xml:space="preserve">    </w:t>
      </w:r>
      <w:r>
        <w:t>表1-2.部门支出总表</w:t>
      </w:r>
    </w:p>
    <w:p>
      <w:pPr>
        <w:spacing w:line="560" w:lineRule="exact"/>
        <w:ind w:firstLine="1600" w:firstLineChars="500"/>
      </w:pPr>
      <w:r>
        <w:t>表2.财政拨款收支预算总表</w:t>
      </w:r>
    </w:p>
    <w:p>
      <w:pPr>
        <w:spacing w:line="560" w:lineRule="exact"/>
        <w:ind w:firstLine="1600" w:firstLineChars="500"/>
      </w:pPr>
      <w:r>
        <w:t>表2-1.财政拨款支出预算表</w:t>
      </w:r>
    </w:p>
    <w:p>
      <w:pPr>
        <w:spacing w:line="560" w:lineRule="exact"/>
        <w:ind w:firstLine="1600" w:firstLineChars="500"/>
      </w:pPr>
      <w:r>
        <w:t>表3.一般公共预算支出预算表</w:t>
      </w:r>
    </w:p>
    <w:p>
      <w:pPr>
        <w:spacing w:line="560" w:lineRule="exact"/>
        <w:ind w:firstLine="1600" w:firstLineChars="500"/>
      </w:pPr>
      <w:r>
        <w:t>表3-1.一般公共预算基本支出预算表</w:t>
      </w:r>
    </w:p>
    <w:p>
      <w:pPr>
        <w:spacing w:line="560" w:lineRule="exact"/>
        <w:ind w:firstLine="1600" w:firstLineChars="500"/>
      </w:pPr>
      <w:r>
        <w:t>表3-2.一般公共预算项目支出预算表</w:t>
      </w:r>
    </w:p>
    <w:p>
      <w:pPr>
        <w:spacing w:line="560" w:lineRule="exact"/>
        <w:ind w:firstLine="1600" w:firstLineChars="500"/>
      </w:pPr>
      <w:r>
        <w:t>表3-3.一般公共预算“三公”经费支出预算表</w:t>
      </w:r>
    </w:p>
    <w:p>
      <w:pPr>
        <w:spacing w:line="560" w:lineRule="exact"/>
        <w:ind w:firstLine="1600" w:firstLineChars="500"/>
      </w:pPr>
      <w:r>
        <w:t>表4.政府性基金支出预算表</w:t>
      </w:r>
    </w:p>
    <w:p>
      <w:pPr>
        <w:spacing w:line="560" w:lineRule="exact"/>
        <w:ind w:firstLine="1600" w:firstLineChars="500"/>
      </w:pPr>
      <w:r>
        <w:t>表4-1.政府性基金预算“三公”经费支出预算表</w:t>
      </w:r>
    </w:p>
    <w:p>
      <w:pPr>
        <w:spacing w:line="560" w:lineRule="exact"/>
        <w:ind w:firstLine="1600" w:firstLineChars="500"/>
      </w:pPr>
      <w:r>
        <w:t>表5.国有资本经营预算支出预算表</w:t>
      </w:r>
    </w:p>
    <w:p>
      <w:pPr>
        <w:spacing w:line="560" w:lineRule="exact"/>
        <w:ind w:firstLine="1600" w:firstLineChars="500"/>
      </w:pPr>
      <w:r>
        <w:t>表6.（部门）单位预算项目绩效目标表</w:t>
      </w:r>
    </w:p>
    <w:p>
      <w:pPr>
        <w:spacing w:line="560" w:lineRule="exact"/>
        <w:ind w:firstLine="960" w:firstLineChars="300"/>
        <w:rPr>
          <w:u w:val="single"/>
        </w:rPr>
      </w:pPr>
    </w:p>
    <w:sectPr>
      <w:footerReference r:id="rId3" w:type="default"/>
      <w:footerReference r:id="rId4" w:type="even"/>
      <w:pgSz w:w="11906" w:h="16838"/>
      <w:pgMar w:top="2155" w:right="1474" w:bottom="1985" w:left="158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817417"/>
      <w:docPartObj>
        <w:docPartGallery w:val="AutoText"/>
      </w:docPartObj>
    </w:sdtPr>
    <w:sdtEndPr>
      <w:rPr>
        <w:rFonts w:asciiTheme="minorEastAsia" w:hAnsiTheme="minorEastAsia" w:eastAsiaTheme="minorEastAsia"/>
        <w:sz w:val="28"/>
        <w:szCs w:val="28"/>
      </w:rPr>
    </w:sdtEndPr>
    <w:sdtContent>
      <w:p>
        <w:pPr>
          <w:pStyle w:val="4"/>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11 -</w:t>
        </w:r>
        <w:r>
          <w:rPr>
            <w:rFonts w:asciiTheme="minorEastAsia" w:hAnsiTheme="minorEastAsia" w:eastAsiaTheme="minorEastAsia"/>
            <w:sz w:val="28"/>
            <w:szCs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817418"/>
      <w:docPartObj>
        <w:docPartGallery w:val="AutoText"/>
      </w:docPartObj>
    </w:sdtPr>
    <w:sdtContent>
      <w:p>
        <w:pPr>
          <w:pStyle w:val="4"/>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10 -</w:t>
        </w:r>
        <w:r>
          <w:rPr>
            <w:rFonts w:asciiTheme="minorEastAsia" w:hAnsiTheme="minorEastAsia" w:eastAsiaTheme="minorEastAsia"/>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ocumentProtection w:enforcement="0"/>
  <w:defaultTabStop w:val="420"/>
  <w:evenAndOddHeaders w:val="1"/>
  <w:drawingGridHorizontalSpacing w:val="160"/>
  <w:drawingGridVerticalSpacing w:val="435"/>
  <w:displayHorizont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rsids>
    <w:rsidRoot w:val="00172A27"/>
    <w:rsid w:val="00034731"/>
    <w:rsid w:val="00037A1A"/>
    <w:rsid w:val="00067AB3"/>
    <w:rsid w:val="000B3FD5"/>
    <w:rsid w:val="00104B76"/>
    <w:rsid w:val="001D5EA9"/>
    <w:rsid w:val="00362A4C"/>
    <w:rsid w:val="003765CD"/>
    <w:rsid w:val="003D4F3A"/>
    <w:rsid w:val="00437ABF"/>
    <w:rsid w:val="004C19B0"/>
    <w:rsid w:val="004C4BD0"/>
    <w:rsid w:val="004E5E02"/>
    <w:rsid w:val="004F20F6"/>
    <w:rsid w:val="005110C1"/>
    <w:rsid w:val="00580673"/>
    <w:rsid w:val="005B6E09"/>
    <w:rsid w:val="00725568"/>
    <w:rsid w:val="007403D7"/>
    <w:rsid w:val="00821ADC"/>
    <w:rsid w:val="00853F68"/>
    <w:rsid w:val="0087411E"/>
    <w:rsid w:val="008B2EA3"/>
    <w:rsid w:val="008C6BF3"/>
    <w:rsid w:val="009759B7"/>
    <w:rsid w:val="00985AD9"/>
    <w:rsid w:val="009B587A"/>
    <w:rsid w:val="00A12879"/>
    <w:rsid w:val="00AB2F9C"/>
    <w:rsid w:val="00B41A43"/>
    <w:rsid w:val="00B7758E"/>
    <w:rsid w:val="00B82A6B"/>
    <w:rsid w:val="00C647FF"/>
    <w:rsid w:val="00CD075E"/>
    <w:rsid w:val="00D11713"/>
    <w:rsid w:val="00D4427A"/>
    <w:rsid w:val="00D6187A"/>
    <w:rsid w:val="00D71B19"/>
    <w:rsid w:val="00DA64F8"/>
    <w:rsid w:val="00EB5026"/>
    <w:rsid w:val="00EE393B"/>
    <w:rsid w:val="00F77651"/>
    <w:rsid w:val="00F8126A"/>
    <w:rsid w:val="00F93909"/>
    <w:rsid w:val="00FF34E0"/>
    <w:rsid w:val="1EB513D6"/>
    <w:rsid w:val="2A7A4CF5"/>
    <w:rsid w:val="357F58F8"/>
    <w:rsid w:val="3AC04E69"/>
    <w:rsid w:val="4B270992"/>
    <w:rsid w:val="73A008DD"/>
    <w:rsid w:val="7E624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beforeLines="30"/>
    </w:pPr>
    <w:rPr>
      <w:rFonts w:ascii="仿宋_GB2312"/>
      <w:sz w:val="30"/>
    </w:rPr>
  </w:style>
  <w:style w:type="paragraph" w:styleId="3">
    <w:name w:val="Balloon Text"/>
    <w:basedOn w:val="1"/>
    <w:uiPriority w:val="0"/>
    <w:rPr>
      <w:sz w:val="18"/>
      <w:szCs w:val="18"/>
    </w:rPr>
  </w:style>
  <w:style w:type="paragraph" w:styleId="4">
    <w:name w:val="footer"/>
    <w:basedOn w:val="1"/>
    <w:link w:val="12"/>
    <w:uiPriority w:val="99"/>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uiPriority w:val="0"/>
  </w:style>
  <w:style w:type="paragraph" w:customStyle="1" w:styleId="10">
    <w:name w:val="Char Char Char Char Char Char Char Char Char Char Char Char"/>
    <w:basedOn w:val="1"/>
    <w:uiPriority w:val="0"/>
    <w:rPr>
      <w:szCs w:val="21"/>
    </w:rPr>
  </w:style>
  <w:style w:type="paragraph" w:customStyle="1" w:styleId="11">
    <w:name w:val=" Char Char1 Char Char Char Char Char Char Char Char"/>
    <w:basedOn w:val="1"/>
    <w:next w:val="1"/>
    <w:uiPriority w:val="0"/>
    <w:pPr>
      <w:spacing w:line="240" w:lineRule="atLeast"/>
      <w:ind w:left="420" w:firstLine="420"/>
      <w:jc w:val="left"/>
    </w:pPr>
    <w:rPr>
      <w:rFonts w:eastAsia="宋体"/>
      <w:kern w:val="0"/>
      <w:sz w:val="21"/>
      <w:szCs w:val="21"/>
    </w:rPr>
  </w:style>
  <w:style w:type="character" w:customStyle="1" w:styleId="12">
    <w:name w:val="页脚 Char"/>
    <w:basedOn w:val="8"/>
    <w:link w:val="4"/>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B9C409-5C03-4DB5-9135-994164551FAF}">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Pages>
  <Words>882</Words>
  <Characters>5029</Characters>
  <Lines>41</Lines>
  <Paragraphs>11</Paragraphs>
  <TotalTime>5</TotalTime>
  <ScaleCrop>false</ScaleCrop>
  <LinksUpToDate>false</LinksUpToDate>
  <CharactersWithSpaces>5900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2021-06-09T11:10:00Z</dcterms:created>
  <dc:creator>赵树子</dc:creator>
  <cp:lastModifiedBy>Administrator</cp:lastModifiedBy>
  <cp:lastPrinted>2017-02-23T08:48:00Z</cp:lastPrinted>
  <dcterms:modified xsi:type="dcterms:W3CDTF">2021-06-10T04:48:23Z</dcterms:modified>
  <dc:title>四川省财政厅2011年部门预算编制说明</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6CE835B88F0E45A7B66BAB48BB86E681</vt:lpwstr>
  </property>
</Properties>
</file>