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ascii="Times New Roman" w:hAnsi="Times New Roman" w:eastAsia="方正小标宋_GBK" w:cs="Times New Roman"/>
          <w:sz w:val="44"/>
          <w:szCs w:val="44"/>
        </w:rPr>
      </w:pPr>
      <w:r>
        <w:rPr>
          <w:rFonts w:ascii="Times New Roman" w:hAnsi="Times New Roman" w:eastAsia="方正小标宋_GBK" w:cs="Times New Roman"/>
          <w:sz w:val="44"/>
          <w:szCs w:val="44"/>
        </w:rPr>
        <w:t>攀枝花市</w:t>
      </w:r>
      <w:r>
        <w:rPr>
          <w:rFonts w:hint="eastAsia" w:ascii="Times New Roman" w:hAnsi="Times New Roman" w:eastAsia="方正小标宋_GBK" w:cs="Times New Roman"/>
          <w:sz w:val="44"/>
          <w:szCs w:val="44"/>
        </w:rPr>
        <w:t>残疾人康复教育中心</w:t>
      </w:r>
    </w:p>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i w:val="0"/>
          <w:iCs w:val="0"/>
          <w:caps w:val="0"/>
          <w:color w:val="333333"/>
          <w:spacing w:val="0"/>
          <w:sz w:val="32"/>
          <w:szCs w:val="32"/>
          <w:shd w:val="clear" w:fill="FFFFFF"/>
        </w:rPr>
      </w:pPr>
      <w:r>
        <w:rPr>
          <w:rFonts w:ascii="Times New Roman" w:hAnsi="Times New Roman" w:eastAsia="方正小标宋_GBK" w:cs="Times New Roman"/>
          <w:sz w:val="44"/>
          <w:szCs w:val="44"/>
        </w:rPr>
        <w:t>20</w:t>
      </w:r>
      <w:r>
        <w:rPr>
          <w:rFonts w:hint="eastAsia" w:ascii="Times New Roman" w:hAnsi="Times New Roman" w:eastAsia="方正小标宋_GBK" w:cs="Times New Roman"/>
          <w:sz w:val="44"/>
          <w:szCs w:val="44"/>
          <w:lang w:val="en-US" w:eastAsia="zh-CN"/>
        </w:rPr>
        <w:t>19</w:t>
      </w:r>
      <w:r>
        <w:rPr>
          <w:rFonts w:ascii="Times New Roman" w:hAnsi="Times New Roman" w:eastAsia="方正小标宋_GBK" w:cs="Times New Roman"/>
          <w:sz w:val="44"/>
          <w:szCs w:val="44"/>
        </w:rPr>
        <w:t>年部门预算编制说明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i w:val="0"/>
          <w:iCs w:val="0"/>
          <w:caps w:val="0"/>
          <w:color w:val="333333"/>
          <w:spacing w:val="0"/>
          <w:sz w:val="32"/>
          <w:szCs w:val="32"/>
          <w:shd w:val="clear" w:fill="FFFFFF"/>
        </w:rPr>
      </w:pPr>
      <w:r>
        <w:rPr>
          <w:rFonts w:hint="eastAsia" w:ascii="黑体" w:hAnsi="黑体" w:eastAsia="黑体" w:cs="黑体"/>
          <w:i w:val="0"/>
          <w:iCs w:val="0"/>
          <w:caps w:val="0"/>
          <w:color w:val="333333"/>
          <w:spacing w:val="0"/>
          <w:sz w:val="32"/>
          <w:szCs w:val="32"/>
          <w:shd w:val="clear" w:fill="FFFFFF"/>
        </w:rPr>
        <w:t>一、基本职能及主要工作</w:t>
      </w:r>
    </w:p>
    <w:p>
      <w:pPr>
        <w:pStyle w:val="2"/>
        <w:keepNext w:val="0"/>
        <w:keepLines w:val="0"/>
        <w:pageBreakBefore w:val="0"/>
        <w:kinsoku/>
        <w:wordWrap/>
        <w:overflowPunct/>
        <w:topLinePunct w:val="0"/>
        <w:autoSpaceDE/>
        <w:autoSpaceDN/>
        <w:bidi w:val="0"/>
        <w:adjustRightInd w:val="0"/>
        <w:spacing w:before="130" w:beforeLines="0" w:line="540" w:lineRule="exact"/>
        <w:ind w:firstLine="672" w:firstLineChars="210"/>
        <w:textAlignment w:val="auto"/>
        <w:rPr>
          <w:rFonts w:hint="eastAsia" w:ascii="黑体" w:hAnsi="黑体" w:eastAsia="黑体" w:cs="黑体"/>
          <w:i w:val="0"/>
          <w:iCs w:val="0"/>
          <w:caps w:val="0"/>
          <w:color w:val="333333"/>
          <w:spacing w:val="0"/>
          <w:sz w:val="32"/>
          <w:szCs w:val="32"/>
          <w:shd w:val="clear" w:fill="FFFFFF"/>
        </w:rPr>
      </w:pPr>
      <w:r>
        <w:rPr>
          <w:rFonts w:hint="eastAsia" w:ascii="楷体_GB2312" w:eastAsia="楷体_GB2312"/>
          <w:b w:val="0"/>
          <w:bCs/>
          <w:sz w:val="32"/>
        </w:rPr>
        <w:t>（一）攀枝花市残疾人康复教育中心职能简介</w:t>
      </w:r>
      <w:r>
        <w:rPr>
          <w:rFonts w:hint="eastAsia" w:ascii="楷体_GB2312" w:eastAsia="楷体_GB2312"/>
          <w:b/>
          <w:sz w:val="32"/>
        </w:rPr>
        <w:t>。</w:t>
      </w:r>
    </w:p>
    <w:p>
      <w:pPr>
        <w:keepNext w:val="0"/>
        <w:keepLines w:val="0"/>
        <w:pageBreakBefore w:val="0"/>
        <w:kinsoku/>
        <w:wordWrap/>
        <w:overflowPunct/>
        <w:topLinePunct w:val="0"/>
        <w:autoSpaceDE/>
        <w:autoSpaceDN/>
        <w:bidi w:val="0"/>
        <w:snapToGrid w:val="0"/>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攀枝花市残疾人康复教育中心工作职责任务是为残疾人提供各类专业康复培训、评估及指导残疾人用品用具的使用等服务工作。</w:t>
      </w:r>
    </w:p>
    <w:p>
      <w:pPr>
        <w:pStyle w:val="2"/>
        <w:keepNext w:val="0"/>
        <w:keepLines w:val="0"/>
        <w:pageBreakBefore w:val="0"/>
        <w:kinsoku/>
        <w:wordWrap/>
        <w:overflowPunct/>
        <w:topLinePunct w:val="0"/>
        <w:autoSpaceDE/>
        <w:autoSpaceDN/>
        <w:bidi w:val="0"/>
        <w:adjustRightInd w:val="0"/>
        <w:spacing w:before="130" w:beforeLines="0" w:line="540" w:lineRule="exact"/>
        <w:ind w:firstLine="672" w:firstLineChars="210"/>
        <w:textAlignment w:val="auto"/>
        <w:rPr>
          <w:rFonts w:ascii="楷体_GB2312" w:eastAsia="楷体_GB2312"/>
          <w:b w:val="0"/>
          <w:bCs/>
          <w:sz w:val="32"/>
        </w:rPr>
      </w:pPr>
      <w:r>
        <w:rPr>
          <w:rFonts w:ascii="楷体_GB2312" w:eastAsia="楷体_GB2312"/>
          <w:b w:val="0"/>
          <w:bCs/>
          <w:sz w:val="32"/>
        </w:rPr>
        <w:t>（二）</w:t>
      </w:r>
      <w:r>
        <w:rPr>
          <w:rFonts w:hint="eastAsia" w:ascii="楷体_GB2312" w:eastAsia="楷体_GB2312"/>
          <w:b w:val="0"/>
          <w:bCs/>
          <w:sz w:val="32"/>
        </w:rPr>
        <w:t>攀枝花市残疾人康复教育中心20</w:t>
      </w:r>
      <w:r>
        <w:rPr>
          <w:rFonts w:hint="eastAsia" w:ascii="楷体_GB2312" w:eastAsia="楷体_GB2312"/>
          <w:b w:val="0"/>
          <w:bCs/>
          <w:sz w:val="32"/>
          <w:lang w:val="en-US" w:eastAsia="zh-CN"/>
        </w:rPr>
        <w:t>19</w:t>
      </w:r>
      <w:r>
        <w:rPr>
          <w:rFonts w:hint="eastAsia" w:ascii="楷体_GB2312" w:eastAsia="楷体_GB2312"/>
          <w:b w:val="0"/>
          <w:bCs/>
          <w:sz w:val="32"/>
        </w:rPr>
        <w:t>年重点工作。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维护残疾人合法权益、为残疾人服务的事业发展目标为核心，紧紧围绕年初制定的工作目标和工作要点，经办管理工作整体稳步推进，圆满完成省、市民生工程及目标任务。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黑体" w:hAnsi="黑体" w:eastAsia="黑体" w:cs="黑体"/>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黑体" w:hAnsi="黑体" w:eastAsia="黑体" w:cs="黑体"/>
          <w:i w:val="0"/>
          <w:iCs w:val="0"/>
          <w:caps w:val="0"/>
          <w:color w:val="333333"/>
          <w:spacing w:val="0"/>
          <w:sz w:val="32"/>
          <w:szCs w:val="32"/>
          <w:shd w:val="clear" w:fill="FFFFFF"/>
        </w:rPr>
        <w:t>二、单位构成情况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市残疾人康复教育中心下属非独立核算单位0个，其中行政单位0个，参照公务员法管理的事业单位0个，其他事业单位0个。</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黑体" w:hAnsi="黑体" w:eastAsia="黑体" w:cs="黑体"/>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黑体" w:hAnsi="黑体" w:eastAsia="黑体" w:cs="黑体"/>
          <w:i w:val="0"/>
          <w:iCs w:val="0"/>
          <w:caps w:val="0"/>
          <w:color w:val="333333"/>
          <w:spacing w:val="0"/>
          <w:sz w:val="32"/>
          <w:szCs w:val="32"/>
          <w:shd w:val="clear" w:fill="FFFFFF"/>
        </w:rPr>
        <w:t>三、收支预算情况说明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按照综合预算的原则，市残疾人康复教育中心所有收入和支出均纳入部门预算管理。收入包括：一般公共预算拨款收入161.12万元</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较2018年一般公共预算拨款收入115.24万元，增加45.88万元，增幅39.81%</w:t>
      </w:r>
      <w:r>
        <w:rPr>
          <w:rFonts w:hint="eastAsia" w:ascii="仿宋_GB2312" w:hAnsi="仿宋_GB2312" w:eastAsia="仿宋_GB2312" w:cs="仿宋_GB2312"/>
          <w:i w:val="0"/>
          <w:iCs w:val="0"/>
          <w:caps w:val="0"/>
          <w:color w:val="333333"/>
          <w:spacing w:val="0"/>
          <w:sz w:val="32"/>
          <w:szCs w:val="32"/>
          <w:shd w:val="clear" w:fill="FFFFFF"/>
        </w:rPr>
        <w:t>。支出包括：社会保障和就业支出153.34万元，</w:t>
      </w:r>
      <w:r>
        <w:rPr>
          <w:rFonts w:hint="eastAsia" w:ascii="仿宋_GB2312" w:hAnsi="仿宋_GB2312" w:eastAsia="仿宋_GB2312" w:cs="仿宋_GB2312"/>
          <w:i w:val="0"/>
          <w:iCs w:val="0"/>
          <w:caps w:val="0"/>
          <w:color w:val="333333"/>
          <w:spacing w:val="0"/>
          <w:sz w:val="32"/>
          <w:szCs w:val="32"/>
          <w:shd w:val="clear" w:fill="FFFFFF"/>
          <w:lang w:val="en-US" w:eastAsia="zh-CN"/>
        </w:rPr>
        <w:t>较2018年社会保障和就业支出107.56万元，增加45.78万元，增幅42.56%；</w:t>
      </w:r>
      <w:r>
        <w:rPr>
          <w:rFonts w:hint="eastAsia" w:ascii="仿宋_GB2312" w:hAnsi="仿宋_GB2312" w:eastAsia="仿宋_GB2312" w:cs="仿宋_GB2312"/>
          <w:i w:val="0"/>
          <w:iCs w:val="0"/>
          <w:caps w:val="0"/>
          <w:color w:val="333333"/>
          <w:spacing w:val="0"/>
          <w:sz w:val="32"/>
          <w:szCs w:val="32"/>
          <w:shd w:val="clear" w:fill="FFFFFF"/>
        </w:rPr>
        <w:t>住房保障支出7.78万元，</w:t>
      </w:r>
      <w:r>
        <w:rPr>
          <w:rFonts w:hint="eastAsia" w:ascii="仿宋_GB2312" w:hAnsi="仿宋_GB2312" w:eastAsia="仿宋_GB2312" w:cs="仿宋_GB2312"/>
          <w:i w:val="0"/>
          <w:iCs w:val="0"/>
          <w:caps w:val="0"/>
          <w:color w:val="333333"/>
          <w:spacing w:val="0"/>
          <w:sz w:val="32"/>
          <w:szCs w:val="32"/>
          <w:shd w:val="clear" w:fill="FFFFFF"/>
          <w:lang w:val="en-US" w:eastAsia="zh-CN"/>
        </w:rPr>
        <w:t>较2018年住房保障支出7.68万元，增加0.1万元，增幅1.3%。</w:t>
      </w:r>
      <w:r>
        <w:rPr>
          <w:rFonts w:hint="eastAsia" w:ascii="仿宋_GB2312" w:hAnsi="仿宋_GB2312" w:eastAsia="仿宋_GB2312" w:cs="仿宋_GB2312"/>
          <w:i w:val="0"/>
          <w:iCs w:val="0"/>
          <w:caps w:val="0"/>
          <w:color w:val="333333"/>
          <w:spacing w:val="0"/>
          <w:sz w:val="32"/>
          <w:szCs w:val="32"/>
          <w:shd w:val="clear" w:fill="FFFFFF"/>
        </w:rPr>
        <w:t>市残疾人康复教育中心2019年收支总预算161.12万元</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较2018年财政拨款收支总预算115.24万元，增加45.88万元，增幅39.81%</w:t>
      </w:r>
      <w:r>
        <w:rPr>
          <w:rFonts w:hint="eastAsia" w:ascii="仿宋_GB2312" w:hAnsi="仿宋_GB2312" w:eastAsia="仿宋_GB2312" w:cs="仿宋_GB2312"/>
          <w:i w:val="0"/>
          <w:iCs w:val="0"/>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Times New Roman" w:eastAsia="楷体_GB2312" w:cs="Times New Roman"/>
          <w:b w:val="0"/>
          <w:bCs/>
          <w:kern w:val="2"/>
          <w:sz w:val="32"/>
          <w:szCs w:val="32"/>
          <w:lang w:val="en-US" w:eastAsia="zh-CN" w:bidi="ar-SA"/>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楷体_GB2312" w:hAnsi="Times New Roman" w:eastAsia="楷体_GB2312" w:cs="Times New Roman"/>
          <w:b w:val="0"/>
          <w:bCs/>
          <w:kern w:val="2"/>
          <w:sz w:val="32"/>
          <w:szCs w:val="32"/>
          <w:lang w:val="en-US" w:eastAsia="zh-CN" w:bidi="ar-SA"/>
        </w:rPr>
        <w:t>（一）收入预算情况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市残疾人康复教育中心2019年收入预算161.12万元，比2018年预算数减少805.26万元，主要是基础建设支出减少</w:t>
      </w:r>
      <w:r>
        <w:rPr>
          <w:rFonts w:hint="eastAsia" w:ascii="仿宋_GB2312" w:hAnsi="仿宋_GB2312" w:eastAsia="仿宋_GB2312" w:cs="仿宋_GB2312"/>
          <w:i w:val="0"/>
          <w:iCs w:val="0"/>
          <w:caps w:val="0"/>
          <w:color w:val="333333"/>
          <w:spacing w:val="0"/>
          <w:sz w:val="32"/>
          <w:szCs w:val="32"/>
          <w:shd w:val="clear" w:fill="FFFFFF"/>
          <w:lang w:eastAsia="zh-CN"/>
        </w:rPr>
        <w:t>，</w:t>
      </w:r>
      <w:bookmarkStart w:id="0" w:name="_GoBack"/>
      <w:bookmarkEnd w:id="0"/>
      <w:r>
        <w:rPr>
          <w:rFonts w:hint="eastAsia" w:ascii="仿宋_GB2312" w:hAnsi="仿宋_GB2312" w:eastAsia="仿宋_GB2312" w:cs="仿宋_GB2312"/>
          <w:i w:val="0"/>
          <w:iCs w:val="0"/>
          <w:caps w:val="0"/>
          <w:color w:val="333333"/>
          <w:spacing w:val="0"/>
          <w:sz w:val="32"/>
          <w:szCs w:val="32"/>
          <w:shd w:val="clear" w:fill="FFFFFF"/>
        </w:rPr>
        <w:t>其中：上年结转0万元，占0%；机关事业单位基本养老保险缴费支出10.03万元，占6.23%；其他残疾人事业支出14.7万元，占9.12%；其他残疾人事业支出128.6万元，占79.82%，住房公积金7.78万元占4.83%。</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Times New Roman" w:eastAsia="楷体_GB2312" w:cs="Times New Roman"/>
          <w:b w:val="0"/>
          <w:bCs/>
          <w:kern w:val="2"/>
          <w:sz w:val="32"/>
          <w:szCs w:val="32"/>
          <w:lang w:val="en-US" w:eastAsia="zh-CN" w:bidi="ar-SA"/>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楷体_GB2312" w:hAnsi="Times New Roman" w:eastAsia="楷体_GB2312" w:cs="Times New Roman"/>
          <w:b w:val="0"/>
          <w:bCs/>
          <w:kern w:val="2"/>
          <w:sz w:val="32"/>
          <w:szCs w:val="32"/>
          <w:lang w:val="en-US" w:eastAsia="zh-CN" w:bidi="ar-SA"/>
        </w:rPr>
        <w:t>（二）支出预算情况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市残疾人康复教育中心2019年支出预算161.12万元，比2018年预算数减少805.26万元，主要是基础建设支出减少</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其中：基本支出111.12万元，占68.97%；项目支出50万元，占31.03%。</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黑体" w:hAnsi="黑体" w:eastAsia="黑体" w:cs="黑体"/>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黑体" w:hAnsi="黑体" w:eastAsia="黑体" w:cs="黑体"/>
          <w:i w:val="0"/>
          <w:iCs w:val="0"/>
          <w:caps w:val="0"/>
          <w:color w:val="333333"/>
          <w:spacing w:val="0"/>
          <w:sz w:val="32"/>
          <w:szCs w:val="32"/>
          <w:shd w:val="clear" w:fill="FFFFFF"/>
        </w:rPr>
        <w:t>四、财政拨款收支预算情况说明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市残疾人康复教育中心2019年财政拨款收支总预算161.12万元</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较2018年财政拨款收支总预算115.24万元，增加45.88万元，主要原因是增加了残疾人康复经费40万元。</w:t>
      </w:r>
      <w:r>
        <w:rPr>
          <w:rFonts w:hint="eastAsia" w:ascii="仿宋_GB2312" w:hAnsi="仿宋_GB2312" w:eastAsia="仿宋_GB2312" w:cs="仿宋_GB2312"/>
          <w:i w:val="0"/>
          <w:iCs w:val="0"/>
          <w:caps w:val="0"/>
          <w:color w:val="333333"/>
          <w:spacing w:val="0"/>
          <w:sz w:val="32"/>
          <w:szCs w:val="32"/>
          <w:shd w:val="clear" w:fill="FFFFFF"/>
        </w:rPr>
        <w:t>收入包括：本年一般公共预算拨款收入161.12万元；支出包括： 社会保障和就业支出153.34万元，住房保障支出7.78万元。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黑体" w:hAnsi="黑体" w:eastAsia="黑体" w:cs="黑体"/>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黑体" w:hAnsi="黑体" w:eastAsia="黑体" w:cs="黑体"/>
          <w:i w:val="0"/>
          <w:iCs w:val="0"/>
          <w:caps w:val="0"/>
          <w:color w:val="333333"/>
          <w:spacing w:val="0"/>
          <w:sz w:val="32"/>
          <w:szCs w:val="32"/>
          <w:shd w:val="clear" w:fill="FFFFFF"/>
        </w:rPr>
        <w:t>五、一般公共预算当年拨款情况说明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Times New Roman" w:eastAsia="楷体_GB2312" w:cs="Times New Roman"/>
          <w:b/>
          <w:kern w:val="2"/>
          <w:sz w:val="32"/>
          <w:szCs w:val="32"/>
          <w:lang w:val="en-US" w:eastAsia="zh-CN" w:bidi="ar-SA"/>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楷体_GB2312" w:hAnsi="Times New Roman" w:eastAsia="楷体_GB2312" w:cs="Times New Roman"/>
          <w:b w:val="0"/>
          <w:bCs/>
          <w:kern w:val="2"/>
          <w:sz w:val="32"/>
          <w:szCs w:val="32"/>
          <w:lang w:val="en-US" w:eastAsia="zh-CN" w:bidi="ar-SA"/>
        </w:rPr>
        <w:t>（一）一般公共预算当年拨款规模变化情况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市残疾人康复教育中心2019年一般公共预算当年拨款161.12万元，比2018年预算数减少805.26万元，主要是基础建设支出减少。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Times New Roman" w:eastAsia="楷体_GB2312" w:cs="Times New Roman"/>
          <w:b w:val="0"/>
          <w:bCs/>
          <w:kern w:val="2"/>
          <w:sz w:val="32"/>
          <w:szCs w:val="32"/>
          <w:lang w:val="en-US" w:eastAsia="zh-CN" w:bidi="ar-SA"/>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楷体_GB2312" w:hAnsi="Times New Roman" w:eastAsia="楷体_GB2312" w:cs="Times New Roman"/>
          <w:b w:val="0"/>
          <w:bCs/>
          <w:kern w:val="2"/>
          <w:sz w:val="32"/>
          <w:szCs w:val="32"/>
          <w:lang w:val="en-US" w:eastAsia="zh-CN" w:bidi="ar-SA"/>
        </w:rPr>
        <w:t>（二）一般公共预算当年拨款结构情况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社会保障和就业支出153.34万元，占95.17%；住房保障支出7.78万元，占4.83%；其中机关事业单位基本养老保险缴费支出10.03万元，占6.23%；残疾人生活和护理补贴14.7万元，占9.12%；其他残疾人事业支出128.6万元，占79.82%，住房公积金7.78万元占4.83%。</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Times New Roman" w:eastAsia="楷体_GB2312" w:cs="Times New Roman"/>
          <w:b w:val="0"/>
          <w:bCs/>
          <w:kern w:val="2"/>
          <w:sz w:val="32"/>
          <w:szCs w:val="32"/>
          <w:lang w:val="en-US" w:eastAsia="zh-CN" w:bidi="ar-SA"/>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楷体_GB2312" w:hAnsi="Times New Roman" w:eastAsia="楷体_GB2312" w:cs="Times New Roman"/>
          <w:b w:val="0"/>
          <w:bCs/>
          <w:kern w:val="2"/>
          <w:sz w:val="32"/>
          <w:szCs w:val="32"/>
          <w:lang w:val="en-US" w:eastAsia="zh-CN" w:bidi="ar-SA"/>
        </w:rPr>
        <w:t>　（三）一般公共预算当年拨款具体使用情况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1.社会保障和就业支出（类）人大事务（款）机关事业单位基本养老保险缴费支出2019年预算数为10.03万元，主要用于：工资福利支出支付单位基本养老保险缴费。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2.社会保障和就业支出（类）人大事务（款）残疾人生活和护理补贴，2019年预算数为14.7万元，主要用于：绩效工资支付职工绩效工资。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3.社会保障和就业支出（类）人大事务（款）其他残疾人事业支出，2019年预算数为128.6万元，主要用于：工资福利支出60.27万元，其中：基本工资22.67万元、津贴补贴3.43万元、绩效工资24.07万、职工基本医疗保险缴费4.86万元、公务员医疗补助缴费0.56万元、其他社会保障缴费1.04万元、其他工资福利支出3.64万元；商品和服务支出63.63万元，其中：办公费1.26万元、水费0.25万元、电费0.63万元、邮电费0.77万元、差旅费5.04万元、公务接待费0.21万元、工会经费1.3万元、福利费0.67万元、公务用车运行维护费1.8万元、其他商品和服务支出51.7万元；对个人和家庭的补助4.71万元，其中：退休费4.39万元、医疗费补助0.32万元。用于保障日常业务运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黑体" w:hAnsi="黑体" w:eastAsia="黑体" w:cs="黑体"/>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黑体" w:hAnsi="黑体" w:eastAsia="黑体" w:cs="黑体"/>
          <w:i w:val="0"/>
          <w:iCs w:val="0"/>
          <w:caps w:val="0"/>
          <w:color w:val="333333"/>
          <w:spacing w:val="0"/>
          <w:sz w:val="32"/>
          <w:szCs w:val="32"/>
          <w:shd w:val="clear" w:fill="FFFFFF"/>
        </w:rPr>
        <w:t>六、一般公共预算基本支出情况说明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市残疾人康复教育中心2019年一般公共预算基本支出111.12万元，其中：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人员经费97.49万元，主要包括：基本工资、津贴补贴、绩效工资、机关事业单位基本养老保险缴费、职工基本医疗保险缴费、公务员医疗补助缴费、其他社会保障缴费、住房公积金、其他工资福利支出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公用经费13.63万元，主要包括：办公费、水费、电费、邮电费、差旅费、公务接待费、工会经费、福利费、公务用车运行维护费、其他商品和服务支出、退休费、医疗费补助。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黑体" w:hAnsi="黑体" w:eastAsia="黑体" w:cs="黑体"/>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黑体" w:hAnsi="黑体" w:eastAsia="黑体" w:cs="黑体"/>
          <w:i w:val="0"/>
          <w:iCs w:val="0"/>
          <w:caps w:val="0"/>
          <w:color w:val="333333"/>
          <w:spacing w:val="0"/>
          <w:sz w:val="32"/>
          <w:szCs w:val="32"/>
          <w:shd w:val="clear" w:fill="FFFFFF"/>
        </w:rPr>
        <w:t>七、“三公”经费财政拨款预算安排情况说明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市残疾人康复教育中心2019年“三公”经费财政拨款预算数2.01万元，其中：公务接待费0.21万元，公务用车购置及运行维护费1.8万元。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市残疾人康复教育中心2019年没有使用财政拨款安排“三公”经费预算。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楷体_GB2312" w:hAnsi="Times New Roman" w:eastAsia="楷体_GB2312" w:cs="Times New Roman"/>
          <w:b w:val="0"/>
          <w:bCs/>
          <w:kern w:val="2"/>
          <w:sz w:val="32"/>
          <w:szCs w:val="32"/>
          <w:lang w:val="en-US" w:eastAsia="zh-CN" w:bidi="ar-SA"/>
        </w:rPr>
        <w:t>（一）</w:t>
      </w:r>
      <w:r>
        <w:rPr>
          <w:rFonts w:hint="eastAsia" w:ascii="仿宋_GB2312" w:hAnsi="仿宋_GB2312" w:eastAsia="仿宋_GB2312" w:cs="仿宋_GB2312"/>
          <w:i w:val="0"/>
          <w:iCs w:val="0"/>
          <w:caps w:val="0"/>
          <w:color w:val="333333"/>
          <w:spacing w:val="0"/>
          <w:sz w:val="32"/>
          <w:szCs w:val="32"/>
          <w:shd w:val="clear" w:fill="FFFFFF"/>
        </w:rPr>
        <w:t>公务接待费较2018年预算增长1.4%主要原因是预算基数调高。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2019年公务接待费计划用于2019年的日常公务接待支出。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楷体_GB2312" w:hAnsi="Times New Roman" w:eastAsia="楷体_GB2312" w:cs="Times New Roman"/>
          <w:b w:val="0"/>
          <w:bCs/>
          <w:kern w:val="2"/>
          <w:sz w:val="32"/>
          <w:szCs w:val="32"/>
          <w:lang w:val="en-US" w:eastAsia="zh-CN" w:bidi="ar-SA"/>
        </w:rPr>
        <w:t>（二）</w:t>
      </w:r>
      <w:r>
        <w:rPr>
          <w:rFonts w:hint="eastAsia" w:ascii="仿宋_GB2312" w:hAnsi="仿宋_GB2312" w:eastAsia="仿宋_GB2312" w:cs="仿宋_GB2312"/>
          <w:i w:val="0"/>
          <w:iCs w:val="0"/>
          <w:caps w:val="0"/>
          <w:color w:val="333333"/>
          <w:spacing w:val="0"/>
          <w:sz w:val="32"/>
          <w:szCs w:val="32"/>
          <w:shd w:val="clear" w:fill="FFFFFF"/>
        </w:rPr>
        <w:t>公务用车购置及运行维护费较2018年预算下降100%。主要原因是是预算基数调高。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单位现有公务用车2辆，其中：轿车（含7座以下商务车、城市越野车）1辆，7座以上19座（含19座）以下客车1辆。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2019年安排公务用车运行维护费1.8万元，用于2辆公务用车燃油、维修、车辆通行等方面支出，主要保障日常公务出行及辅具车的日常运行等工作开展。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黑体" w:hAnsi="黑体" w:eastAsia="黑体" w:cs="黑体"/>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黑体" w:hAnsi="黑体" w:eastAsia="黑体" w:cs="黑体"/>
          <w:i w:val="0"/>
          <w:iCs w:val="0"/>
          <w:caps w:val="0"/>
          <w:color w:val="333333"/>
          <w:spacing w:val="0"/>
          <w:sz w:val="32"/>
          <w:szCs w:val="32"/>
          <w:shd w:val="clear" w:fill="FFFFFF"/>
        </w:rPr>
        <w:t>八、政府性基金预算支出情况说明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市残疾人康复教育中心2019年没有使用政府性基金预算拨款安排的支出。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黑体" w:hAnsi="黑体" w:eastAsia="黑体" w:cs="黑体"/>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黑体" w:hAnsi="黑体" w:eastAsia="黑体" w:cs="黑体"/>
          <w:i w:val="0"/>
          <w:iCs w:val="0"/>
          <w:caps w:val="0"/>
          <w:color w:val="333333"/>
          <w:spacing w:val="0"/>
          <w:sz w:val="32"/>
          <w:szCs w:val="32"/>
          <w:shd w:val="clear" w:fill="FFFFFF"/>
        </w:rPr>
        <w:t>九、其他重要事项的情况说明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Times New Roman" w:eastAsia="楷体_GB2312" w:cs="Times New Roman"/>
          <w:b w:val="0"/>
          <w:bCs/>
          <w:kern w:val="2"/>
          <w:sz w:val="32"/>
          <w:szCs w:val="32"/>
          <w:lang w:val="en-US" w:eastAsia="zh-CN" w:bidi="ar-SA"/>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楷体_GB2312" w:hAnsi="Times New Roman" w:eastAsia="楷体_GB2312" w:cs="Times New Roman"/>
          <w:b w:val="0"/>
          <w:bCs/>
          <w:kern w:val="2"/>
          <w:sz w:val="32"/>
          <w:szCs w:val="32"/>
          <w:lang w:val="en-US" w:eastAsia="zh-CN" w:bidi="ar-SA"/>
        </w:rPr>
        <w:t>（一）业务运行经费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2019年，市残疾人康复教育中心1家行政单位的机关运行经费财政拨款预算为0万元，和2018年预算一样。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Times New Roman" w:eastAsia="楷体_GB2312" w:cs="Times New Roman"/>
          <w:b w:val="0"/>
          <w:bCs/>
          <w:kern w:val="2"/>
          <w:sz w:val="32"/>
          <w:szCs w:val="32"/>
          <w:lang w:val="en-US" w:eastAsia="zh-CN" w:bidi="ar-SA"/>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楷体_GB2312" w:hAnsi="Times New Roman" w:eastAsia="楷体_GB2312" w:cs="Times New Roman"/>
          <w:b w:val="0"/>
          <w:bCs/>
          <w:kern w:val="2"/>
          <w:sz w:val="32"/>
          <w:szCs w:val="32"/>
          <w:lang w:val="en-US" w:eastAsia="zh-CN" w:bidi="ar-SA"/>
        </w:rPr>
        <w:t>（二）国有资产占有使用情况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截至2018年底，市残疾人康复教育中心及所属的非独立核算单位共有车辆2辆，其中，执法执勤用车0辆单位价值200万元以上大型设备0台（套）。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Times New Roman" w:eastAsia="楷体_GB2312" w:cs="Times New Roman"/>
          <w:b w:val="0"/>
          <w:bCs/>
          <w:kern w:val="2"/>
          <w:sz w:val="32"/>
          <w:szCs w:val="32"/>
          <w:lang w:val="en-US" w:eastAsia="zh-CN" w:bidi="ar-SA"/>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楷体_GB2312" w:hAnsi="Times New Roman" w:eastAsia="楷体_GB2312" w:cs="Times New Roman"/>
          <w:b w:val="0"/>
          <w:bCs/>
          <w:kern w:val="2"/>
          <w:sz w:val="32"/>
          <w:szCs w:val="32"/>
          <w:lang w:val="en-US" w:eastAsia="zh-CN" w:bidi="ar-SA"/>
        </w:rPr>
        <w:t>（三）绩效目标设置情况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2019年市残疾人康复教育中心部门通用项目和专用项目均按要求实行绩效目标管理，涉及一般公共预算当年拨款50万元。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黑体" w:hAnsi="黑体" w:eastAsia="黑体" w:cs="黑体"/>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黑体" w:hAnsi="黑体" w:eastAsia="黑体" w:cs="黑体"/>
          <w:i w:val="0"/>
          <w:iCs w:val="0"/>
          <w:caps w:val="0"/>
          <w:color w:val="333333"/>
          <w:spacing w:val="0"/>
          <w:sz w:val="32"/>
          <w:szCs w:val="32"/>
          <w:shd w:val="clear" w:fill="FFFFFF"/>
        </w:rPr>
        <w:t>十、名词解释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1.一般公共预算拨款收入：指市级财政当年拨付的资金。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2.基本支出：指为保证机构正常运转，完成日常工作任务而发生的人员支出和公用支出。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3.项目支出：指在基本支出之外为完成特定行政任务和事业发展目标所发生的支出。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4.“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4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附件：表1.部门收支总表</w:t>
      </w:r>
    </w:p>
    <w:p>
      <w:pPr>
        <w:keepNext w:val="0"/>
        <w:keepLines w:val="0"/>
        <w:pageBreakBefore w:val="0"/>
        <w:kinsoku/>
        <w:wordWrap/>
        <w:overflowPunct/>
        <w:topLinePunct w:val="0"/>
        <w:autoSpaceDE/>
        <w:autoSpaceDN/>
        <w:bidi w:val="0"/>
        <w:spacing w:line="54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表1-1.部门收入总表</w:t>
      </w:r>
    </w:p>
    <w:p>
      <w:pPr>
        <w:keepNext w:val="0"/>
        <w:keepLines w:val="0"/>
        <w:pageBreakBefore w:val="0"/>
        <w:kinsoku/>
        <w:wordWrap/>
        <w:overflowPunct/>
        <w:topLinePunct w:val="0"/>
        <w:autoSpaceDE/>
        <w:autoSpaceDN/>
        <w:bidi w:val="0"/>
        <w:spacing w:line="54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表1-2.部门支出总表</w:t>
      </w:r>
    </w:p>
    <w:p>
      <w:pPr>
        <w:keepNext w:val="0"/>
        <w:keepLines w:val="0"/>
        <w:pageBreakBefore w:val="0"/>
        <w:kinsoku/>
        <w:wordWrap/>
        <w:overflowPunct/>
        <w:topLinePunct w:val="0"/>
        <w:autoSpaceDE/>
        <w:autoSpaceDN/>
        <w:bidi w:val="0"/>
        <w:spacing w:line="54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表2.财政拨款收支预算总表</w:t>
      </w:r>
    </w:p>
    <w:p>
      <w:pPr>
        <w:keepNext w:val="0"/>
        <w:keepLines w:val="0"/>
        <w:pageBreakBefore w:val="0"/>
        <w:kinsoku/>
        <w:wordWrap/>
        <w:overflowPunct/>
        <w:topLinePunct w:val="0"/>
        <w:autoSpaceDE/>
        <w:autoSpaceDN/>
        <w:bidi w:val="0"/>
        <w:spacing w:line="54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表2-1.财政拨款支出预算表</w:t>
      </w:r>
    </w:p>
    <w:p>
      <w:pPr>
        <w:keepNext w:val="0"/>
        <w:keepLines w:val="0"/>
        <w:pageBreakBefore w:val="0"/>
        <w:kinsoku/>
        <w:wordWrap/>
        <w:overflowPunct/>
        <w:topLinePunct w:val="0"/>
        <w:autoSpaceDE/>
        <w:autoSpaceDN/>
        <w:bidi w:val="0"/>
        <w:spacing w:line="54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表3.一般公共预算支出预算表</w:t>
      </w:r>
    </w:p>
    <w:p>
      <w:pPr>
        <w:keepNext w:val="0"/>
        <w:keepLines w:val="0"/>
        <w:pageBreakBefore w:val="0"/>
        <w:kinsoku/>
        <w:wordWrap/>
        <w:overflowPunct/>
        <w:topLinePunct w:val="0"/>
        <w:autoSpaceDE/>
        <w:autoSpaceDN/>
        <w:bidi w:val="0"/>
        <w:spacing w:line="54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表3-1.一般公共预算基本支出预算表</w:t>
      </w:r>
    </w:p>
    <w:p>
      <w:pPr>
        <w:keepNext w:val="0"/>
        <w:keepLines w:val="0"/>
        <w:pageBreakBefore w:val="0"/>
        <w:kinsoku/>
        <w:wordWrap/>
        <w:overflowPunct/>
        <w:topLinePunct w:val="0"/>
        <w:autoSpaceDE/>
        <w:autoSpaceDN/>
        <w:bidi w:val="0"/>
        <w:spacing w:line="54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表3-2.一般公共预算项目支出预算表</w:t>
      </w:r>
    </w:p>
    <w:p>
      <w:pPr>
        <w:keepNext w:val="0"/>
        <w:keepLines w:val="0"/>
        <w:pageBreakBefore w:val="0"/>
        <w:kinsoku/>
        <w:wordWrap/>
        <w:overflowPunct/>
        <w:topLinePunct w:val="0"/>
        <w:autoSpaceDE/>
        <w:autoSpaceDN/>
        <w:bidi w:val="0"/>
        <w:spacing w:line="54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表3-3.一般公共预算“三公”经费支出预算表</w:t>
      </w:r>
    </w:p>
    <w:p>
      <w:pPr>
        <w:keepNext w:val="0"/>
        <w:keepLines w:val="0"/>
        <w:pageBreakBefore w:val="0"/>
        <w:kinsoku/>
        <w:wordWrap/>
        <w:overflowPunct/>
        <w:topLinePunct w:val="0"/>
        <w:autoSpaceDE/>
        <w:autoSpaceDN/>
        <w:bidi w:val="0"/>
        <w:spacing w:line="54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表4.政府性基金支出预算表</w:t>
      </w:r>
    </w:p>
    <w:p>
      <w:pPr>
        <w:keepNext w:val="0"/>
        <w:keepLines w:val="0"/>
        <w:pageBreakBefore w:val="0"/>
        <w:kinsoku/>
        <w:wordWrap/>
        <w:overflowPunct/>
        <w:topLinePunct w:val="0"/>
        <w:autoSpaceDE/>
        <w:autoSpaceDN/>
        <w:bidi w:val="0"/>
        <w:spacing w:line="54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表4-1.政府性基金预算“三公”经费支出预算表</w:t>
      </w:r>
    </w:p>
    <w:p>
      <w:pPr>
        <w:keepNext w:val="0"/>
        <w:keepLines w:val="0"/>
        <w:pageBreakBefore w:val="0"/>
        <w:kinsoku/>
        <w:wordWrap/>
        <w:overflowPunct/>
        <w:topLinePunct w:val="0"/>
        <w:autoSpaceDE/>
        <w:autoSpaceDN/>
        <w:bidi w:val="0"/>
        <w:spacing w:line="54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表5.国有资本经营预算支出预算表</w:t>
      </w:r>
    </w:p>
    <w:p>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EC1EBD"/>
    <w:rsid w:val="11682F31"/>
    <w:rsid w:val="1BD77B12"/>
    <w:rsid w:val="46EC1EBD"/>
    <w:rsid w:val="52E86A2E"/>
    <w:rsid w:val="53E319E0"/>
    <w:rsid w:val="76464B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beforeLines="30" w:line="240" w:lineRule="auto"/>
    </w:pPr>
    <w:rPr>
      <w:rFonts w:ascii="仿宋_GB2312" w:hAnsi="Times New Roman" w:eastAsia="仿宋_GB2312" w:cs="Times New Roman"/>
      <w:sz w:val="30"/>
      <w:szCs w:val="32"/>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2021-06-04T04:36:00Z</dcterms:created>
  <dc:creator>于</dc:creator>
  <cp:lastModifiedBy>Administrator</cp:lastModifiedBy>
  <dcterms:modified xsi:type="dcterms:W3CDTF">2021-06-11T01:04:41Z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E60B746D078141F69EE78C1F6119D7B5</vt:lpwstr>
  </property>
  <property fmtid="{D5CDD505-2E9C-101B-9397-08002B2CF9AE}" pid="4" name="KSOSaveFontToCloudKey">
    <vt:lpwstr>536801771_btnclosed</vt:lpwstr>
  </property>
</Properties>
</file>