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攀枝花市社会保险管理局</w:t>
      </w:r>
    </w:p>
    <w:p>
      <w:pPr>
        <w:spacing w:line="600" w:lineRule="exact"/>
        <w:jc w:val="center"/>
        <w:rPr>
          <w:rFonts w:ascii="方正小标宋简体" w:hAnsi="宋体" w:eastAsia="方正小标宋简体"/>
          <w:sz w:val="44"/>
          <w:szCs w:val="44"/>
          <w:u w:val="single"/>
        </w:rPr>
      </w:pPr>
      <w:r>
        <w:rPr>
          <w:rFonts w:hint="eastAsia" w:ascii="方正小标宋简体" w:hAnsi="宋体" w:eastAsia="方正小标宋简体"/>
          <w:sz w:val="44"/>
          <w:szCs w:val="44"/>
        </w:rPr>
        <w:t>2019年部门预算编制说明</w:t>
      </w:r>
    </w:p>
    <w:p>
      <w:pPr>
        <w:pStyle w:val="2"/>
        <w:adjustRightInd w:val="0"/>
        <w:spacing w:before="130" w:beforeLines="0" w:line="600" w:lineRule="exact"/>
        <w:rPr>
          <w:rFonts w:ascii="宋体" w:hAnsi="宋体" w:eastAsia="宋体"/>
          <w:b/>
          <w:sz w:val="32"/>
        </w:rPr>
      </w:pPr>
      <w:r>
        <w:rPr>
          <w:rFonts w:hint="eastAsia" w:ascii="宋体" w:hAnsi="宋体" w:eastAsia="宋体"/>
          <w:b/>
          <w:sz w:val="32"/>
        </w:rPr>
        <w:t xml:space="preserve">    </w:t>
      </w:r>
    </w:p>
    <w:p>
      <w:pPr>
        <w:spacing w:line="600" w:lineRule="exact"/>
        <w:ind w:firstLine="640" w:firstLineChars="200"/>
        <w:rPr>
          <w:rFonts w:ascii="黑体" w:eastAsia="黑体"/>
        </w:rPr>
      </w:pPr>
      <w:r>
        <w:rPr>
          <w:rFonts w:hint="eastAsia" w:ascii="黑体" w:eastAsia="黑体"/>
        </w:rPr>
        <w:t>一、基本职能及主要工作</w:t>
      </w:r>
    </w:p>
    <w:p>
      <w:pPr>
        <w:pStyle w:val="2"/>
        <w:adjustRightInd w:val="0"/>
        <w:spacing w:before="130" w:beforeLines="0" w:line="360" w:lineRule="auto"/>
        <w:ind w:firstLine="675" w:firstLineChars="210"/>
        <w:rPr>
          <w:rFonts w:ascii="楷体_GB2312" w:eastAsia="楷体_GB2312"/>
          <w:b/>
          <w:sz w:val="32"/>
        </w:rPr>
      </w:pPr>
      <w:r>
        <w:rPr>
          <w:rFonts w:hint="eastAsia" w:ascii="楷体_GB2312" w:eastAsia="楷体_GB2312"/>
          <w:b/>
          <w:sz w:val="32"/>
        </w:rPr>
        <w:t>（一）市社保局职能简介。</w:t>
      </w:r>
    </w:p>
    <w:p>
      <w:pPr>
        <w:spacing w:line="600" w:lineRule="exact"/>
        <w:ind w:firstLine="640" w:firstLineChars="200"/>
        <w:rPr>
          <w:rFonts w:ascii="仿宋_GB2312" w:hAnsi="宋体"/>
        </w:rPr>
      </w:pPr>
      <w:r>
        <w:rPr>
          <w:rFonts w:hint="eastAsia"/>
        </w:rPr>
        <w:t>攀枝花市社会保险管理局是市人力资源和社会保障局直属的副县级参照公务员法管理单位，同时也是市政府76个行政执法主体单位之一。</w:t>
      </w:r>
      <w:r>
        <w:rPr>
          <w:rFonts w:hint="eastAsia" w:ascii="仿宋_GB2312" w:hAnsi="宋体"/>
        </w:rPr>
        <w:t>目前，市社保局承担的主要职能是城镇企业职工、灵活就业人员、机关事业单位职工以及城乡居民基本养老保险参保登记、申报及缴纳养老保险费（注：机关事业单位养老保险费和城乡居民养老保险费两项征缴从2019年1月起移交税务机关，机关事业单位工作人员职业年金征收仍由我局征缴）、个人权益记录、核定并按时支付各类人员养老保险待遇；负责城镇各类用人单位职工基本医疗、失业、工伤、生育保险费的征收、稽核、基金管理及待遇支付等工作。现有内设机构9科1室，工作人员编制64人，实际在编60人，聘用人员15人。2009年6月，市社保局按照市政府和原市劳动保障局的要求，8个业务科室整体顺利进驻政府政务服务中心社保局窗口，开展便民服务。2010年12月，局办公室等其它内部机构和人员也全部进驻政务服务中心。市社保局作为整个政务服务中心进驻人员最多，服务范围最广的窗口之一，窗口办件总量占政务中心的80％以上。</w:t>
      </w:r>
    </w:p>
    <w:p>
      <w:pPr>
        <w:spacing w:line="560" w:lineRule="exact"/>
        <w:ind w:firstLine="643" w:firstLineChars="200"/>
        <w:rPr>
          <w:rFonts w:ascii="楷体_GB2312" w:eastAsia="楷体_GB2312"/>
          <w:b/>
        </w:rPr>
      </w:pPr>
      <w:r>
        <w:rPr>
          <w:rFonts w:hint="eastAsia" w:ascii="楷体_GB2312" w:eastAsia="楷体_GB2312"/>
          <w:b/>
        </w:rPr>
        <w:t>（二）市社保局2019年重点工作。</w:t>
      </w:r>
    </w:p>
    <w:p>
      <w:pPr>
        <w:spacing w:line="560" w:lineRule="exact"/>
        <w:ind w:firstLine="640" w:firstLineChars="200"/>
        <w:rPr>
          <w:rFonts w:ascii="仿宋_GB2312" w:hAnsi="宋体" w:cs="宋体"/>
          <w:kern w:val="0"/>
        </w:rPr>
      </w:pPr>
      <w:r>
        <w:rPr>
          <w:rFonts w:hint="eastAsia" w:ascii="仿宋_GB2312" w:hAnsi="宋体" w:cs="宋体"/>
          <w:kern w:val="0"/>
        </w:rPr>
        <w:t>一是继续确保全市28万各类享受基本养老金人员待遇的按时足额发放和其它各项社会保险待遇的按时足额支付，切实保障全市各类参加社会保险人员的合法权益。</w:t>
      </w:r>
    </w:p>
    <w:p>
      <w:pPr>
        <w:spacing w:line="560" w:lineRule="exact"/>
        <w:ind w:firstLine="640" w:firstLineChars="200"/>
        <w:rPr>
          <w:rFonts w:ascii="仿宋_GB2312" w:hAnsi="宋体" w:cs="宋体"/>
          <w:kern w:val="0"/>
        </w:rPr>
      </w:pPr>
      <w:r>
        <w:rPr>
          <w:rFonts w:hint="eastAsia" w:ascii="仿宋_GB2312" w:hAnsi="宋体" w:cs="宋体"/>
          <w:kern w:val="0"/>
        </w:rPr>
        <w:t>二是按照省政府和省市人社部门的要求，做好机关事业单位养老保险和</w:t>
      </w:r>
      <w:r>
        <w:rPr>
          <w:rFonts w:hint="eastAsia" w:ascii="仿宋_GB2312"/>
        </w:rPr>
        <w:t>城乡居保</w:t>
      </w:r>
      <w:r>
        <w:rPr>
          <w:rFonts w:hint="eastAsia" w:ascii="仿宋_GB2312" w:hAnsi="宋体" w:cs="宋体"/>
          <w:kern w:val="0"/>
        </w:rPr>
        <w:t>征缴职能移交的各项工作，配合税务机关确保社会保险费的征收；按照机构改革的要求，做好工伤保险经办管理职能的接收并保证全市义务工作的正常运转。</w:t>
      </w:r>
    </w:p>
    <w:p>
      <w:pPr>
        <w:spacing w:line="560" w:lineRule="exact"/>
        <w:ind w:firstLine="640" w:firstLineChars="200"/>
        <w:rPr>
          <w:rFonts w:ascii="仿宋_GB2312"/>
        </w:rPr>
      </w:pPr>
      <w:r>
        <w:rPr>
          <w:rFonts w:hint="eastAsia" w:ascii="仿宋_GB2312" w:hAnsi="宋体" w:cs="宋体"/>
          <w:kern w:val="0"/>
        </w:rPr>
        <w:t>三是“放管服”改革取得突破。以“综合柜员制”全面正常运行为契机，</w:t>
      </w:r>
      <w:r>
        <w:rPr>
          <w:rFonts w:hint="eastAsia" w:ascii="仿宋_GB2312"/>
        </w:rPr>
        <w:t>通过建立多样化的服务体系建设，进一步优化服务，提升政务窗口服务水平，全面实现社会保险业务“最多跑一次”、“全城通办”的目标。</w:t>
      </w:r>
    </w:p>
    <w:p>
      <w:pPr>
        <w:spacing w:line="560" w:lineRule="exact"/>
        <w:ind w:firstLine="640" w:firstLineChars="200"/>
        <w:rPr>
          <w:rFonts w:ascii="仿宋_GB2312" w:hAnsi="宋体" w:cs="宋体"/>
          <w:kern w:val="0"/>
        </w:rPr>
      </w:pPr>
      <w:r>
        <w:rPr>
          <w:rFonts w:hint="eastAsia" w:ascii="仿宋_GB2312" w:hAnsi="宋体" w:cs="宋体"/>
          <w:kern w:val="0"/>
        </w:rPr>
        <w:t>四是全面推进机关事业单位养老保险制度改革。做好“中人”待遇计发、补发及关系转移接续等2014年9月以来积累的问题，确保机关事业单位养老保险制度的正常运行。</w:t>
      </w:r>
    </w:p>
    <w:p>
      <w:pPr>
        <w:pStyle w:val="4"/>
        <w:shd w:val="clear" w:color="auto" w:fill="FFFFFF"/>
        <w:spacing w:before="0" w:beforeAutospacing="0" w:after="0" w:afterAutospacing="0" w:line="560" w:lineRule="exact"/>
        <w:ind w:firstLine="640" w:firstLineChars="200"/>
        <w:rPr>
          <w:rFonts w:ascii="仿宋_GB2312"/>
          <w:sz w:val="32"/>
          <w:szCs w:val="32"/>
        </w:rPr>
      </w:pPr>
      <w:r>
        <w:rPr>
          <w:rFonts w:hint="eastAsia" w:ascii="仿宋_GB2312"/>
          <w:sz w:val="32"/>
          <w:szCs w:val="32"/>
        </w:rPr>
        <w:t>五是继续加大实施全民参保计划。加强与民政、扶贫部门数据交换和比对，将符合参保条件的困难人员纳入城乡居民养老保险参保范围，以确保我市创建全国文明城市和市委全面深化改革工作既定目标的实现。</w:t>
      </w:r>
    </w:p>
    <w:p>
      <w:pPr>
        <w:pStyle w:val="2"/>
        <w:adjustRightInd w:val="0"/>
        <w:spacing w:before="130" w:beforeLines="0"/>
        <w:ind w:firstLine="630" w:firstLineChars="210"/>
        <w:rPr>
          <w:rFonts w:ascii="黑体" w:eastAsia="黑体"/>
        </w:rPr>
      </w:pPr>
      <w:r>
        <w:rPr>
          <w:rFonts w:hint="eastAsia" w:ascii="黑体" w:eastAsia="黑体"/>
        </w:rPr>
        <w:t>二、单位构成情况</w:t>
      </w:r>
    </w:p>
    <w:p>
      <w:pPr>
        <w:spacing w:line="600" w:lineRule="exact"/>
        <w:ind w:firstLine="640" w:firstLineChars="200"/>
        <w:rPr>
          <w:rFonts w:hAnsi="宋体"/>
        </w:rPr>
      </w:pPr>
      <w:r>
        <w:rPr>
          <w:rFonts w:hint="eastAsia"/>
        </w:rPr>
        <w:t>市社保局</w:t>
      </w:r>
      <w:r>
        <w:rPr>
          <w:rFonts w:hint="eastAsia" w:hAnsi="宋体"/>
        </w:rPr>
        <w:t>无下属非独立核算单位，是参照公务员法管理的事业单位。</w:t>
      </w:r>
    </w:p>
    <w:p>
      <w:pPr>
        <w:pStyle w:val="2"/>
        <w:adjustRightInd w:val="0"/>
        <w:spacing w:before="130" w:beforeLines="0" w:line="600" w:lineRule="exact"/>
        <w:ind w:firstLine="630" w:firstLineChars="210"/>
        <w:rPr>
          <w:rFonts w:ascii="黑体" w:eastAsia="黑体"/>
        </w:rPr>
      </w:pPr>
      <w:r>
        <w:rPr>
          <w:rFonts w:hint="eastAsia" w:ascii="黑体" w:eastAsia="黑体"/>
        </w:rPr>
        <w:t>三、收支预算情况说明</w:t>
      </w:r>
    </w:p>
    <w:p>
      <w:pPr>
        <w:spacing w:line="600" w:lineRule="exact"/>
        <w:ind w:firstLine="640" w:firstLineChars="200"/>
        <w:rPr>
          <w:rFonts w:ascii="仿宋_GB2312"/>
        </w:rPr>
      </w:pPr>
      <w:r>
        <w:rPr>
          <w:rFonts w:hint="eastAsia"/>
        </w:rPr>
        <w:t>按照综合预算的原则，市社保局</w:t>
      </w:r>
      <w:r>
        <w:rPr>
          <w:rFonts w:hint="eastAsia" w:ascii="仿宋_GB2312"/>
        </w:rPr>
        <w:t>所有收入和支出均纳入部门预算管理。收入包括：一般公共预算拨款收入；支出包括：社会保障和就业支出、住房保障支出。市社保局2019年收支总预算1179.96万元。</w:t>
      </w:r>
    </w:p>
    <w:p>
      <w:pPr>
        <w:spacing w:line="600" w:lineRule="exact"/>
        <w:ind w:firstLine="643" w:firstLineChars="200"/>
        <w:rPr>
          <w:rFonts w:ascii="楷体_GB2312" w:eastAsia="楷体_GB2312"/>
          <w:b/>
        </w:rPr>
      </w:pPr>
      <w:r>
        <w:rPr>
          <w:rFonts w:hint="eastAsia" w:ascii="楷体_GB2312" w:eastAsia="楷体_GB2312"/>
          <w:b/>
        </w:rPr>
        <w:t>（一）收入预算情况</w:t>
      </w:r>
    </w:p>
    <w:p>
      <w:pPr>
        <w:spacing w:line="600" w:lineRule="exact"/>
        <w:ind w:firstLine="640" w:firstLineChars="200"/>
      </w:pPr>
      <w:r>
        <w:rPr>
          <w:rFonts w:hint="eastAsia" w:ascii="仿宋_GB2312"/>
        </w:rPr>
        <w:t>市社保局2019年收入预算1179.96万元，其中：上年结转0万元，占0%；一般公共预算拨款收入1179.96万元，占100%</w:t>
      </w:r>
      <w:r>
        <w:rPr>
          <w:rFonts w:hint="eastAsia"/>
        </w:rPr>
        <w:t>。</w:t>
      </w:r>
    </w:p>
    <w:p>
      <w:pPr>
        <w:spacing w:line="600" w:lineRule="exact"/>
        <w:ind w:firstLine="643" w:firstLineChars="200"/>
        <w:rPr>
          <w:rFonts w:ascii="楷体_GB2312" w:eastAsia="楷体_GB2312"/>
          <w:b/>
        </w:rPr>
      </w:pPr>
      <w:r>
        <w:rPr>
          <w:rFonts w:hint="eastAsia" w:ascii="楷体_GB2312" w:eastAsia="楷体_GB2312"/>
          <w:b/>
        </w:rPr>
        <w:t>（二）支出预算情况</w:t>
      </w:r>
    </w:p>
    <w:p>
      <w:pPr>
        <w:spacing w:line="600" w:lineRule="exact"/>
        <w:ind w:firstLine="640" w:firstLineChars="200"/>
        <w:rPr>
          <w:rFonts w:ascii="仿宋_GB2312"/>
        </w:rPr>
      </w:pPr>
      <w:r>
        <w:rPr>
          <w:rFonts w:hint="eastAsia" w:ascii="仿宋_GB2312"/>
        </w:rPr>
        <w:t>市社保局2019年支出预算1179.96万元，其中：基本支出1123.96万元，占95.25%；项目支出56万元，占4.75%。</w:t>
      </w:r>
    </w:p>
    <w:p>
      <w:pPr>
        <w:spacing w:line="600" w:lineRule="exact"/>
        <w:ind w:firstLine="640" w:firstLineChars="200"/>
        <w:rPr>
          <w:rFonts w:ascii="黑体" w:eastAsia="黑体"/>
        </w:rPr>
      </w:pPr>
      <w:r>
        <w:rPr>
          <w:rFonts w:hint="eastAsia" w:ascii="黑体" w:eastAsia="黑体"/>
        </w:rPr>
        <w:t>四、财政拨款收支预算情况说明</w:t>
      </w:r>
    </w:p>
    <w:p>
      <w:pPr>
        <w:spacing w:line="600" w:lineRule="exact"/>
        <w:ind w:firstLine="640" w:firstLineChars="200"/>
        <w:rPr>
          <w:rFonts w:ascii="黑体" w:eastAsia="黑体"/>
        </w:rPr>
      </w:pPr>
      <w:r>
        <w:rPr>
          <w:rFonts w:hint="eastAsia" w:ascii="仿宋_GB2312"/>
        </w:rPr>
        <w:t>市社保局2019年财政拨款收支总预算1179.96万元。收入包括：本年一般公共预算拨款收入1179.96万元；支出包括：社会保障和就业支出1097.54万元、住房保障支出82.42万元。</w:t>
      </w:r>
    </w:p>
    <w:p>
      <w:pPr>
        <w:spacing w:line="600" w:lineRule="exact"/>
        <w:ind w:firstLine="640" w:firstLineChars="200"/>
        <w:rPr>
          <w:rFonts w:ascii="黑体" w:eastAsia="黑体"/>
        </w:rPr>
      </w:pPr>
      <w:r>
        <w:rPr>
          <w:rFonts w:hint="eastAsia" w:ascii="黑体" w:eastAsia="黑体"/>
        </w:rPr>
        <w:t>五、一般公共预算当年拨款情况说明</w:t>
      </w:r>
    </w:p>
    <w:p>
      <w:pPr>
        <w:spacing w:line="600" w:lineRule="exact"/>
        <w:ind w:firstLine="643" w:firstLineChars="200"/>
        <w:rPr>
          <w:rFonts w:ascii="楷体_GB2312" w:eastAsia="楷体_GB2312"/>
          <w:b/>
        </w:rPr>
      </w:pPr>
      <w:r>
        <w:rPr>
          <w:rFonts w:hint="eastAsia" w:ascii="楷体_GB2312" w:eastAsia="楷体_GB2312"/>
          <w:b/>
        </w:rPr>
        <w:t>（一）一般公共预算当年拨款规模变化情况</w:t>
      </w:r>
    </w:p>
    <w:p>
      <w:pPr>
        <w:spacing w:line="600" w:lineRule="exact"/>
        <w:ind w:firstLine="640" w:firstLineChars="200"/>
        <w:rPr>
          <w:rFonts w:ascii="仿宋_GB2312"/>
        </w:rPr>
      </w:pPr>
      <w:r>
        <w:rPr>
          <w:rFonts w:hint="eastAsia"/>
        </w:rPr>
        <w:t>市社保局</w:t>
      </w:r>
      <w:r>
        <w:rPr>
          <w:rFonts w:hint="eastAsia" w:ascii="仿宋_GB2312"/>
        </w:rPr>
        <w:t>2019年一</w:t>
      </w:r>
      <w:r>
        <w:rPr>
          <w:rFonts w:hint="eastAsia"/>
        </w:rPr>
        <w:t>般公</w:t>
      </w:r>
      <w:r>
        <w:rPr>
          <w:rFonts w:hint="eastAsia" w:ascii="仿宋_GB2312"/>
        </w:rPr>
        <w:t>共预算当年收入1179.96万元，比2018年预算数减少9.82万元， 2019年一</w:t>
      </w:r>
      <w:r>
        <w:rPr>
          <w:rFonts w:hint="eastAsia"/>
        </w:rPr>
        <w:t>般公</w:t>
      </w:r>
      <w:r>
        <w:rPr>
          <w:rFonts w:hint="eastAsia" w:ascii="仿宋_GB2312"/>
        </w:rPr>
        <w:t>共预算当年支出1179.96万元，比2018年预算数减少9.82万元，主要是项目经费和公用经费减少。</w:t>
      </w:r>
    </w:p>
    <w:p>
      <w:pPr>
        <w:spacing w:line="600" w:lineRule="exact"/>
        <w:ind w:firstLine="643" w:firstLineChars="200"/>
        <w:rPr>
          <w:rFonts w:ascii="楷体_GB2312" w:eastAsia="楷体_GB2312"/>
          <w:b/>
        </w:rPr>
      </w:pPr>
      <w:r>
        <w:rPr>
          <w:rFonts w:hint="eastAsia" w:ascii="楷体_GB2312" w:eastAsia="楷体_GB2312"/>
          <w:b/>
        </w:rPr>
        <w:t>（二）一般公共预算当年拨款结构情况</w:t>
      </w:r>
    </w:p>
    <w:p>
      <w:pPr>
        <w:spacing w:line="600" w:lineRule="exact"/>
        <w:ind w:firstLine="640" w:firstLineChars="200"/>
        <w:rPr>
          <w:rFonts w:ascii="仿宋_GB2312"/>
        </w:rPr>
      </w:pPr>
      <w:r>
        <w:rPr>
          <w:rFonts w:hint="eastAsia" w:ascii="仿宋_GB2312"/>
        </w:rPr>
        <w:t>社会保障和就业支出1097.54万元，占93.02%；住房保障支出82.42万元占6.98%。</w:t>
      </w:r>
    </w:p>
    <w:p>
      <w:pPr>
        <w:spacing w:line="600" w:lineRule="exact"/>
        <w:ind w:firstLine="643" w:firstLineChars="200"/>
        <w:rPr>
          <w:rFonts w:ascii="楷体_GB2312" w:eastAsia="楷体_GB2312"/>
          <w:b/>
        </w:rPr>
      </w:pPr>
      <w:r>
        <w:rPr>
          <w:rFonts w:hint="eastAsia" w:ascii="楷体_GB2312" w:eastAsia="楷体_GB2312"/>
          <w:b/>
        </w:rPr>
        <w:t>（三）一般公共预算当年拨款具体使用情况</w:t>
      </w:r>
    </w:p>
    <w:p>
      <w:pPr>
        <w:spacing w:line="600" w:lineRule="exact"/>
        <w:ind w:firstLine="640" w:firstLineChars="200"/>
        <w:rPr>
          <w:rFonts w:ascii="仿宋_GB2312" w:hAnsi="仿宋_GB2312" w:cs="仿宋_GB2312"/>
        </w:rPr>
      </w:pPr>
      <w:r>
        <w:rPr>
          <w:rFonts w:hint="eastAsia" w:ascii="仿宋_GB2312" w:hAnsi="仿宋_GB2312" w:cs="仿宋_GB2312"/>
        </w:rPr>
        <w:t>1. 社会保障和就业支出（类）人力资源和社会保障管理事务（款）行政运行（项）2019年预算数为919.47万元，主要用于：</w:t>
      </w:r>
      <w:r>
        <w:rPr>
          <w:rFonts w:hint="eastAsia" w:ascii="仿宋_GB2312" w:hAnsi="仿宋_GB2312" w:cs="仿宋_GB2312"/>
          <w:color w:val="000000"/>
        </w:rPr>
        <w:t>保障</w:t>
      </w:r>
      <w:r>
        <w:rPr>
          <w:rFonts w:hint="eastAsia" w:ascii="仿宋_GB2312" w:hAnsi="仿宋_GB2312" w:cs="仿宋_GB2312"/>
        </w:rPr>
        <w:t>单位</w:t>
      </w:r>
      <w:r>
        <w:rPr>
          <w:rFonts w:hint="eastAsia" w:ascii="仿宋_GB2312" w:hAnsi="仿宋_GB2312" w:cs="仿宋_GB2312"/>
          <w:color w:val="000000"/>
        </w:rPr>
        <w:t>正常运转的日常支出</w:t>
      </w:r>
      <w:r>
        <w:rPr>
          <w:rFonts w:hint="eastAsia" w:ascii="仿宋_GB2312" w:hAnsi="仿宋_GB2312" w:cs="仿宋_GB2312"/>
        </w:rPr>
        <w:t>。</w:t>
      </w:r>
    </w:p>
    <w:p>
      <w:pPr>
        <w:spacing w:line="600" w:lineRule="exact"/>
        <w:ind w:firstLine="641"/>
        <w:rPr>
          <w:rFonts w:ascii="仿宋_GB2312" w:hAnsi="仿宋_GB2312" w:cs="仿宋_GB2312"/>
        </w:rPr>
      </w:pPr>
      <w:r>
        <w:rPr>
          <w:rFonts w:hint="eastAsia" w:ascii="仿宋_GB2312" w:hAnsi="仿宋_GB2312" w:cs="仿宋_GB2312"/>
        </w:rPr>
        <w:t>2. 社会保障和就业支出（类）人力资源和社会保障管理事务（款）社会保险经办机构（项目）2019年预算数为56万元，主要用于：保障七项社会保险和被征地人员养老保障工作开展的统一费用，包括印刷、宣传、劳务、培训、专用耗材、档案管理、报刊杂志等为完成特定的行政工作任务或事业发展目标，用于专项业务工作的经费支出。</w:t>
      </w:r>
    </w:p>
    <w:p>
      <w:pPr>
        <w:spacing w:line="600" w:lineRule="exact"/>
        <w:ind w:firstLine="641"/>
        <w:rPr>
          <w:rFonts w:ascii="仿宋_GB2312" w:hAnsi="仿宋_GB2312" w:cs="仿宋_GB2312"/>
        </w:rPr>
      </w:pPr>
      <w:r>
        <w:rPr>
          <w:rFonts w:hint="eastAsia" w:ascii="仿宋_GB2312" w:hAnsi="仿宋_GB2312" w:cs="仿宋_GB2312"/>
        </w:rPr>
        <w:t>3. 社会保障和就业支出（类）行政事业单位离退休（款）未归口管理的行政单位离退休（项）2019年预算数为30.73万元，主要用于：退休人员退休费、福利费等。</w:t>
      </w:r>
    </w:p>
    <w:p>
      <w:pPr>
        <w:spacing w:line="600" w:lineRule="exact"/>
        <w:ind w:firstLine="640" w:firstLineChars="200"/>
        <w:rPr>
          <w:rFonts w:ascii="仿宋_GB2312" w:hAnsi="仿宋_GB2312" w:cs="仿宋_GB2312"/>
        </w:rPr>
      </w:pPr>
      <w:r>
        <w:rPr>
          <w:rFonts w:hint="eastAsia" w:ascii="仿宋_GB2312" w:hAnsi="仿宋_GB2312" w:cs="仿宋_GB2312"/>
        </w:rPr>
        <w:t>4. 社会保障和就业支出（类）行政事业单位离退休（款）机关事业单位基本养老保险缴费支出（项）2019年预算数为91.35万元，主要用于：在职职工基本养老保险缴费。</w:t>
      </w:r>
    </w:p>
    <w:p>
      <w:pPr>
        <w:spacing w:line="600" w:lineRule="exact"/>
        <w:ind w:firstLine="640" w:firstLineChars="200"/>
        <w:rPr>
          <w:rFonts w:ascii="仿宋_GB2312" w:hAnsi="仿宋_GB2312" w:cs="仿宋_GB2312"/>
        </w:rPr>
      </w:pPr>
      <w:r>
        <w:rPr>
          <w:rFonts w:hint="eastAsia" w:ascii="仿宋_GB2312" w:hAnsi="仿宋_GB2312" w:cs="仿宋_GB2312"/>
        </w:rPr>
        <w:t>5. 住房保障支出（类）住房改革支出（款）住房公积金（项）2019年预算数为82.41万元，主要用于：单位按照规定标准为职工缴纳住房公积金等支出。</w:t>
      </w:r>
    </w:p>
    <w:p>
      <w:pPr>
        <w:spacing w:line="600" w:lineRule="exact"/>
        <w:ind w:firstLine="640" w:firstLineChars="200"/>
        <w:rPr>
          <w:rFonts w:ascii="黑体" w:eastAsia="黑体"/>
        </w:rPr>
      </w:pPr>
      <w:r>
        <w:rPr>
          <w:rFonts w:hint="eastAsia" w:ascii="黑体" w:eastAsia="黑体"/>
        </w:rPr>
        <w:t>六、一般公共预算基本支出情况说明</w:t>
      </w:r>
    </w:p>
    <w:p>
      <w:pPr>
        <w:spacing w:line="600" w:lineRule="exact"/>
        <w:ind w:firstLine="640" w:firstLineChars="200"/>
        <w:rPr>
          <w:rFonts w:ascii="仿宋_GB2312" w:hAnsi="仿宋_GB2312" w:cs="仿宋_GB2312"/>
        </w:rPr>
      </w:pPr>
      <w:r>
        <w:rPr>
          <w:rFonts w:hint="eastAsia" w:ascii="仿宋_GB2312" w:hAnsi="仿宋_GB2312" w:cs="仿宋_GB2312"/>
        </w:rPr>
        <w:t>市社保局2019年一般公共预算基本支出1123.96万元，其中：</w:t>
      </w:r>
    </w:p>
    <w:p>
      <w:pPr>
        <w:spacing w:line="600" w:lineRule="exact"/>
        <w:ind w:firstLine="640" w:firstLineChars="200"/>
        <w:rPr>
          <w:rFonts w:ascii="仿宋_GB2312" w:hAnsi="仿宋_GB2312" w:cs="仿宋_GB2312"/>
        </w:rPr>
      </w:pPr>
      <w:r>
        <w:rPr>
          <w:rFonts w:hint="eastAsia" w:ascii="仿宋_GB2312" w:hAnsi="仿宋_GB2312" w:cs="仿宋_GB2312"/>
        </w:rPr>
        <w:t>人员经费975.6万元，主要包括：工资奖金津补贴、社会保障缴费、住房公积金、其他工资福利支出、社会福利和救助、离退休费。</w:t>
      </w:r>
    </w:p>
    <w:p>
      <w:pPr>
        <w:spacing w:line="600" w:lineRule="exact"/>
        <w:ind w:firstLine="640" w:firstLineChars="200"/>
        <w:rPr>
          <w:rFonts w:ascii="仿宋_GB2312" w:hAnsi="仿宋_GB2312" w:cs="仿宋_GB2312"/>
        </w:rPr>
      </w:pPr>
      <w:r>
        <w:rPr>
          <w:rFonts w:hint="eastAsia" w:ascii="仿宋_GB2312" w:hAnsi="仿宋_GB2312" w:cs="仿宋_GB2312"/>
        </w:rPr>
        <w:t>公用经费148.36万元，主要包括：办公经费、公务接待费、其他商品和服务支出。</w:t>
      </w:r>
    </w:p>
    <w:p>
      <w:pPr>
        <w:spacing w:line="600" w:lineRule="exact"/>
        <w:ind w:firstLine="640" w:firstLineChars="200"/>
        <w:rPr>
          <w:rFonts w:ascii="黑体" w:eastAsia="黑体"/>
        </w:rPr>
      </w:pPr>
      <w:r>
        <w:rPr>
          <w:rFonts w:hint="eastAsia" w:ascii="黑体" w:eastAsia="黑体"/>
        </w:rPr>
        <w:t>七、“三公”经费财政拨款预算安排情况说明</w:t>
      </w:r>
    </w:p>
    <w:p>
      <w:pPr>
        <w:spacing w:line="600" w:lineRule="exact"/>
        <w:ind w:firstLine="640" w:firstLineChars="200"/>
        <w:rPr>
          <w:rFonts w:ascii="仿宋_GB2312" w:hAnsi="仿宋_GB2312" w:cs="仿宋_GB2312"/>
        </w:rPr>
      </w:pPr>
      <w:r>
        <w:rPr>
          <w:rFonts w:hint="eastAsia" w:ascii="仿宋_GB2312" w:hAnsi="仿宋_GB2312" w:cs="仿宋_GB2312"/>
        </w:rPr>
        <w:t>市社保局2019年“三公”经费财政拨款预算数1.8万元，其中：因公出国（境）经费0万元，公务接待费1.8万元，公务用车购置及运行维护费0万元。</w:t>
      </w:r>
    </w:p>
    <w:p>
      <w:pPr>
        <w:spacing w:line="600" w:lineRule="exact"/>
        <w:ind w:firstLine="640" w:firstLineChars="200"/>
        <w:rPr>
          <w:rFonts w:ascii="仿宋_GB2312" w:hAnsi="仿宋_GB2312" w:cs="仿宋_GB2312"/>
        </w:rPr>
      </w:pPr>
      <w:r>
        <w:rPr>
          <w:rFonts w:hint="eastAsia" w:ascii="仿宋_GB2312" w:hAnsi="仿宋_GB2312" w:cs="仿宋_GB2312"/>
        </w:rPr>
        <w:t>市社保局2019年使用一般公共预算财政拨款安排“三公”经费预算。</w:t>
      </w:r>
    </w:p>
    <w:p>
      <w:pPr>
        <w:spacing w:line="600" w:lineRule="exact"/>
        <w:ind w:firstLine="640"/>
        <w:rPr>
          <w:rFonts w:ascii="仿宋_GB2312"/>
        </w:rPr>
      </w:pPr>
      <w:r>
        <w:rPr>
          <w:rFonts w:hint="eastAsia" w:ascii="楷体_GB2312" w:eastAsia="楷体_GB2312"/>
          <w:b/>
        </w:rPr>
        <w:t>（一）无因公出国（境）经费。</w:t>
      </w:r>
    </w:p>
    <w:p>
      <w:pPr>
        <w:spacing w:line="600" w:lineRule="exact"/>
        <w:ind w:firstLine="640"/>
        <w:rPr>
          <w:rFonts w:ascii="仿宋_GB2312"/>
        </w:rPr>
      </w:pPr>
      <w:r>
        <w:rPr>
          <w:rFonts w:hint="eastAsia" w:ascii="楷体_GB2312" w:eastAsia="楷体_GB2312"/>
          <w:b/>
        </w:rPr>
        <w:t>（二）公务接待费较</w:t>
      </w:r>
      <w:r>
        <w:rPr>
          <w:rFonts w:ascii="楷体_GB2312" w:eastAsia="楷体_GB2312"/>
          <w:b/>
        </w:rPr>
        <w:t>201</w:t>
      </w:r>
      <w:r>
        <w:rPr>
          <w:rFonts w:hint="eastAsia" w:ascii="楷体_GB2312" w:eastAsia="楷体_GB2312"/>
          <w:b/>
        </w:rPr>
        <w:t>8年预算与</w:t>
      </w:r>
      <w:r>
        <w:rPr>
          <w:rFonts w:ascii="楷体_GB2312" w:eastAsia="楷体_GB2312"/>
          <w:b/>
        </w:rPr>
        <w:t>201</w:t>
      </w:r>
      <w:r>
        <w:rPr>
          <w:rFonts w:hint="eastAsia" w:ascii="楷体_GB2312" w:eastAsia="楷体_GB2312"/>
          <w:b/>
        </w:rPr>
        <w:t>8年预算持平。</w:t>
      </w:r>
      <w:r>
        <w:rPr>
          <w:rFonts w:hint="eastAsia" w:ascii="仿宋_GB2312"/>
        </w:rPr>
        <w:t>2019年公务接待费计划用于</w:t>
      </w:r>
      <w:r>
        <w:rPr>
          <w:rFonts w:hint="eastAsia" w:ascii="仿宋_GB2312"/>
          <w:color w:val="333333"/>
        </w:rPr>
        <w:t>执行公务、考察调研、检查指导等公务活动开支的用餐费等</w:t>
      </w:r>
      <w:r>
        <w:rPr>
          <w:rFonts w:hint="eastAsia" w:ascii="仿宋_GB2312"/>
        </w:rPr>
        <w:t>。</w:t>
      </w:r>
    </w:p>
    <w:p>
      <w:pPr>
        <w:spacing w:line="600" w:lineRule="exact"/>
        <w:ind w:firstLine="640"/>
        <w:rPr>
          <w:rFonts w:ascii="黑体" w:eastAsia="黑体"/>
          <w:b/>
        </w:rPr>
      </w:pPr>
      <w:r>
        <w:rPr>
          <w:rFonts w:hint="eastAsia" w:ascii="楷体_GB2312" w:eastAsia="楷体_GB2312"/>
          <w:b/>
        </w:rPr>
        <w:t>（三）无公务用车购置及运行维护费。</w:t>
      </w:r>
    </w:p>
    <w:p>
      <w:pPr>
        <w:spacing w:line="600" w:lineRule="exact"/>
        <w:ind w:firstLine="640" w:firstLineChars="200"/>
        <w:rPr>
          <w:rFonts w:ascii="黑体" w:eastAsia="黑体"/>
        </w:rPr>
      </w:pPr>
      <w:r>
        <w:rPr>
          <w:rFonts w:hint="eastAsia" w:ascii="黑体" w:eastAsia="黑体"/>
        </w:rPr>
        <w:t>八、政府性基金预算支出情况说明</w:t>
      </w:r>
    </w:p>
    <w:p>
      <w:pPr>
        <w:spacing w:line="600" w:lineRule="exact"/>
        <w:ind w:firstLine="640" w:firstLineChars="200"/>
        <w:rPr>
          <w:rFonts w:ascii="仿宋_GB2312" w:hAnsi="仿宋_GB2312" w:cs="仿宋_GB2312"/>
        </w:rPr>
      </w:pPr>
      <w:r>
        <w:rPr>
          <w:rFonts w:hint="eastAsia" w:ascii="仿宋_GB2312" w:hAnsi="仿宋_GB2312" w:cs="仿宋_GB2312"/>
        </w:rPr>
        <w:t>市社保局2019年政府性基金预算支出0万元，其中：基本支出0万元，项目支出0万元。</w:t>
      </w:r>
    </w:p>
    <w:p>
      <w:pPr>
        <w:spacing w:line="600" w:lineRule="exact"/>
        <w:ind w:firstLine="640" w:firstLineChars="200"/>
        <w:rPr>
          <w:rFonts w:ascii="仿宋_GB2312" w:hAnsi="仿宋_GB2312" w:cs="仿宋_GB2312"/>
        </w:rPr>
      </w:pPr>
      <w:r>
        <w:rPr>
          <w:rFonts w:hint="eastAsia" w:ascii="仿宋_GB2312" w:hAnsi="仿宋_GB2312" w:cs="仿宋_GB2312"/>
        </w:rPr>
        <w:t>市社保局2019年没有使用政府性基金预算拨款安排的支出。</w:t>
      </w:r>
    </w:p>
    <w:p>
      <w:pPr>
        <w:spacing w:line="600" w:lineRule="exact"/>
        <w:ind w:firstLine="640" w:firstLineChars="200"/>
        <w:rPr>
          <w:rFonts w:ascii="黑体" w:eastAsia="黑体"/>
        </w:rPr>
      </w:pPr>
      <w:r>
        <w:rPr>
          <w:rFonts w:hint="eastAsia" w:ascii="黑体" w:eastAsia="黑体"/>
        </w:rPr>
        <w:t>九、其他重要事项的情况说明</w:t>
      </w:r>
    </w:p>
    <w:p>
      <w:pPr>
        <w:spacing w:line="600" w:lineRule="exact"/>
        <w:ind w:firstLine="643" w:firstLineChars="200"/>
        <w:rPr>
          <w:rFonts w:ascii="楷体_GB2312" w:eastAsia="楷体_GB2312"/>
          <w:b/>
        </w:rPr>
      </w:pPr>
      <w:r>
        <w:rPr>
          <w:rFonts w:hint="eastAsia" w:ascii="楷体_GB2312" w:eastAsia="楷体_GB2312"/>
          <w:b/>
        </w:rPr>
        <w:t>（一）业务运行经费</w:t>
      </w:r>
    </w:p>
    <w:p>
      <w:pPr>
        <w:spacing w:line="600" w:lineRule="exact"/>
        <w:ind w:firstLine="640" w:firstLineChars="200"/>
        <w:rPr>
          <w:rFonts w:ascii="楷体_GB2312" w:eastAsia="楷体_GB2312"/>
          <w:b/>
        </w:rPr>
      </w:pPr>
      <w:r>
        <w:rPr>
          <w:rFonts w:hint="eastAsia" w:ascii="仿宋_GB2312" w:hAnsi="仿宋_GB2312" w:cs="仿宋_GB2312"/>
        </w:rPr>
        <w:t>2019年，市社保局的机关运行经费财政拨款预算为1123.96万元，比2018年预算减少3.32万元，下降0.29%。</w:t>
      </w:r>
    </w:p>
    <w:p>
      <w:pPr>
        <w:spacing w:line="600" w:lineRule="exact"/>
        <w:ind w:firstLine="643" w:firstLineChars="200"/>
        <w:rPr>
          <w:rFonts w:ascii="楷体_GB2312" w:eastAsia="楷体_GB2312"/>
          <w:b/>
        </w:rPr>
      </w:pPr>
      <w:r>
        <w:rPr>
          <w:rFonts w:hint="eastAsia" w:ascii="楷体_GB2312" w:eastAsia="楷体_GB2312"/>
          <w:b/>
        </w:rPr>
        <w:t>（二）国有资产占有使用情况</w:t>
      </w:r>
    </w:p>
    <w:p>
      <w:pPr>
        <w:spacing w:line="600" w:lineRule="exact"/>
        <w:ind w:firstLine="640" w:firstLineChars="200"/>
        <w:rPr>
          <w:rFonts w:ascii="仿宋_GB2312"/>
        </w:rPr>
      </w:pPr>
      <w:r>
        <w:rPr>
          <w:rFonts w:hint="eastAsia" w:ascii="仿宋_GB2312" w:hAnsi="仿宋_GB2312" w:cs="仿宋_GB2312"/>
        </w:rPr>
        <w:t>截至2018年底，市社保局及所属的非独立核算单位共有车辆0辆。单位价值200万元以上大型设备0台（套）。</w:t>
      </w:r>
    </w:p>
    <w:p>
      <w:pPr>
        <w:spacing w:line="600" w:lineRule="exact"/>
        <w:ind w:firstLine="643" w:firstLineChars="200"/>
        <w:rPr>
          <w:rFonts w:ascii="楷体_GB2312" w:eastAsia="楷体_GB2312"/>
          <w:b/>
        </w:rPr>
      </w:pPr>
      <w:r>
        <w:rPr>
          <w:rFonts w:hint="eastAsia" w:ascii="楷体_GB2312" w:eastAsia="楷体_GB2312"/>
          <w:b/>
        </w:rPr>
        <w:t>（三）绩效目标设置情况</w:t>
      </w:r>
    </w:p>
    <w:p>
      <w:pPr>
        <w:spacing w:line="600" w:lineRule="exact"/>
        <w:ind w:firstLine="640" w:firstLineChars="200"/>
        <w:rPr>
          <w:rFonts w:ascii="黑体" w:eastAsia="黑体"/>
        </w:rPr>
      </w:pPr>
      <w:r>
        <w:rPr>
          <w:rFonts w:hint="eastAsia" w:ascii="仿宋_GB2312" w:hAnsi="仿宋_GB2312" w:cs="仿宋_GB2312"/>
        </w:rPr>
        <w:t>2019年市社保局部门通用项目和专用项目均按要求实行绩效目标管理，涉及一般公共预算当年拨款56万元。其中：劳务费40万元，主要用于聘用人员工资待遇发放及各项社会保险缴费等；其他商品服务支出16万元，主要用于基本公用经费不足的商品和服务支出。</w:t>
      </w:r>
    </w:p>
    <w:p>
      <w:pPr>
        <w:spacing w:line="600" w:lineRule="exact"/>
        <w:ind w:firstLine="640" w:firstLineChars="200"/>
        <w:rPr>
          <w:rFonts w:ascii="黑体" w:eastAsia="黑体"/>
        </w:rPr>
      </w:pPr>
      <w:r>
        <w:rPr>
          <w:rFonts w:hint="eastAsia" w:ascii="黑体" w:eastAsia="黑体"/>
        </w:rPr>
        <w:t>十、名词解释</w:t>
      </w:r>
    </w:p>
    <w:p>
      <w:pPr>
        <w:spacing w:line="600" w:lineRule="exact"/>
        <w:ind w:firstLine="640" w:firstLineChars="200"/>
        <w:rPr>
          <w:rFonts w:ascii="仿宋_GB2312"/>
        </w:rPr>
      </w:pPr>
      <w:r>
        <w:rPr>
          <w:rFonts w:hint="eastAsia" w:ascii="仿宋_GB2312"/>
        </w:rPr>
        <w:t>1.一般公共预算拨款收入：指市级财政当年拨付的资金。</w:t>
      </w:r>
    </w:p>
    <w:p>
      <w:pPr>
        <w:spacing w:line="600" w:lineRule="exact"/>
        <w:ind w:firstLine="640" w:firstLineChars="200"/>
        <w:rPr>
          <w:rFonts w:ascii="仿宋_GB2312"/>
        </w:rPr>
      </w:pPr>
      <w:r>
        <w:rPr>
          <w:rFonts w:hint="eastAsia" w:ascii="仿宋_GB2312"/>
        </w:rPr>
        <w:t>2.医疗卫生与计划生育（类）行政事业单位医疗（款）行政单位医疗（项）：指市机关及参公管理事业单位用于缴纳单位基本医疗保险支出。（单位涉及的所有支出功能分类科目都要要解释）</w:t>
      </w:r>
    </w:p>
    <w:p>
      <w:pPr>
        <w:spacing w:line="600" w:lineRule="exact"/>
        <w:ind w:firstLine="640" w:firstLineChars="200"/>
        <w:rPr>
          <w:rFonts w:ascii="仿宋_GB2312"/>
        </w:rPr>
      </w:pPr>
      <w:r>
        <w:rPr>
          <w:rFonts w:hint="eastAsia" w:ascii="仿宋_GB2312"/>
        </w:rPr>
        <w:t>3.基本支出：指为保证机构正常运转，完成日常工作任务而发生的人员支出和公用支出。</w:t>
      </w:r>
    </w:p>
    <w:p>
      <w:pPr>
        <w:spacing w:line="600" w:lineRule="exact"/>
        <w:ind w:firstLine="640" w:firstLineChars="200"/>
        <w:rPr>
          <w:rFonts w:ascii="仿宋_GB2312"/>
        </w:rPr>
      </w:pPr>
      <w:r>
        <w:rPr>
          <w:rFonts w:hint="eastAsia" w:ascii="仿宋_GB2312"/>
        </w:rPr>
        <w:t>4.项目支出：指在基本支出之外为完成特定行政任务和事业发展目标所发生的支出。</w:t>
      </w:r>
    </w:p>
    <w:p>
      <w:pPr>
        <w:spacing w:line="600" w:lineRule="exact"/>
        <w:ind w:firstLine="640" w:firstLineChars="200"/>
        <w:rPr>
          <w:rFonts w:ascii="仿宋_GB2312"/>
        </w:rPr>
      </w:pPr>
      <w:r>
        <w:rPr>
          <w:rFonts w:hint="eastAsia" w:ascii="仿宋_GB2312"/>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仿宋_GB2312"/>
        </w:rPr>
      </w:pPr>
      <w:r>
        <w:rPr>
          <w:rFonts w:hint="eastAsia" w:ascii="仿宋_GB2312"/>
        </w:rPr>
        <w:t>6.业务运行费：为保障行政单位（包含参照公务员法管理的事业单位）运行用于购买货物和服务的各项资金。包括办公及办公费、水费、电费、印刷费、邮电费、差旅费、会议费等费用开支。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ascii="Arial" w:hAnsi="Arial" w:cs="Arial"/>
        </w:rPr>
      </w:pPr>
    </w:p>
    <w:p>
      <w:pPr>
        <w:spacing w:line="600" w:lineRule="exact"/>
        <w:rPr>
          <w:rFonts w:ascii="仿宋_GB2312"/>
        </w:rPr>
      </w:pPr>
      <w:r>
        <w:rPr>
          <w:rFonts w:hint="eastAsia" w:ascii="仿宋_GB2312"/>
        </w:rPr>
        <w:t>附件：表1.部门收支总表</w:t>
      </w:r>
    </w:p>
    <w:p>
      <w:pPr>
        <w:spacing w:line="600" w:lineRule="exact"/>
        <w:rPr>
          <w:rFonts w:ascii="仿宋_GB2312"/>
        </w:rPr>
      </w:pPr>
      <w:r>
        <w:rPr>
          <w:rFonts w:hint="eastAsia" w:ascii="仿宋_GB2312"/>
        </w:rPr>
        <w:t xml:space="preserve">      表1-1.部门收入总表</w:t>
      </w:r>
    </w:p>
    <w:p>
      <w:pPr>
        <w:spacing w:line="600" w:lineRule="exact"/>
        <w:rPr>
          <w:rFonts w:ascii="仿宋_GB2312"/>
        </w:rPr>
      </w:pPr>
      <w:r>
        <w:rPr>
          <w:rFonts w:hint="eastAsia" w:ascii="仿宋_GB2312"/>
        </w:rPr>
        <w:t xml:space="preserve">      表1-2.部门支出总表</w:t>
      </w:r>
    </w:p>
    <w:p>
      <w:pPr>
        <w:spacing w:line="600" w:lineRule="exact"/>
        <w:ind w:firstLine="960" w:firstLineChars="300"/>
        <w:rPr>
          <w:rFonts w:ascii="仿宋_GB2312"/>
        </w:rPr>
      </w:pPr>
      <w:r>
        <w:rPr>
          <w:rFonts w:hint="eastAsia" w:ascii="仿宋_GB2312"/>
        </w:rPr>
        <w:t>表2.财政拨款收支预算总表</w:t>
      </w:r>
    </w:p>
    <w:p>
      <w:pPr>
        <w:spacing w:line="600" w:lineRule="exact"/>
        <w:ind w:firstLine="960" w:firstLineChars="300"/>
        <w:rPr>
          <w:rFonts w:ascii="仿宋_GB2312"/>
        </w:rPr>
      </w:pPr>
      <w:r>
        <w:rPr>
          <w:rFonts w:hint="eastAsia" w:ascii="仿宋_GB2312"/>
        </w:rPr>
        <w:t>表2-1.财政拨款支出预算表</w:t>
      </w:r>
    </w:p>
    <w:p>
      <w:pPr>
        <w:spacing w:line="600" w:lineRule="exact"/>
        <w:ind w:firstLine="960" w:firstLineChars="300"/>
        <w:rPr>
          <w:rFonts w:ascii="仿宋_GB2312"/>
        </w:rPr>
      </w:pPr>
      <w:r>
        <w:rPr>
          <w:rFonts w:hint="eastAsia" w:ascii="仿宋_GB2312"/>
        </w:rPr>
        <w:t>表3.一般公共预算支出预算表</w:t>
      </w:r>
    </w:p>
    <w:p>
      <w:pPr>
        <w:spacing w:line="600" w:lineRule="exact"/>
        <w:ind w:firstLine="960" w:firstLineChars="300"/>
        <w:rPr>
          <w:rFonts w:ascii="仿宋_GB2312"/>
        </w:rPr>
      </w:pPr>
      <w:r>
        <w:rPr>
          <w:rFonts w:hint="eastAsia" w:ascii="仿宋_GB2312"/>
        </w:rPr>
        <w:t>表3-1.一般公共预算基本支出预算表</w:t>
      </w:r>
    </w:p>
    <w:p>
      <w:pPr>
        <w:spacing w:line="600" w:lineRule="exact"/>
        <w:ind w:firstLine="960" w:firstLineChars="300"/>
        <w:rPr>
          <w:rFonts w:ascii="仿宋_GB2312"/>
        </w:rPr>
      </w:pPr>
      <w:r>
        <w:rPr>
          <w:rFonts w:hint="eastAsia" w:ascii="仿宋_GB2312"/>
        </w:rPr>
        <w:t>表3-2.一般公共预算项目支出预算表</w:t>
      </w:r>
    </w:p>
    <w:p>
      <w:pPr>
        <w:spacing w:line="600" w:lineRule="exact"/>
        <w:ind w:firstLine="960" w:firstLineChars="300"/>
        <w:rPr>
          <w:rFonts w:ascii="仿宋_GB2312"/>
        </w:rPr>
      </w:pPr>
      <w:r>
        <w:rPr>
          <w:rFonts w:hint="eastAsia" w:ascii="仿宋_GB2312"/>
        </w:rPr>
        <w:t>表3-3.一般公共预算“三公”经费支出预算表</w:t>
      </w:r>
    </w:p>
    <w:p>
      <w:pPr>
        <w:spacing w:line="600" w:lineRule="exact"/>
        <w:ind w:firstLine="960" w:firstLineChars="300"/>
        <w:rPr>
          <w:rFonts w:ascii="仿宋_GB2312"/>
        </w:rPr>
      </w:pPr>
      <w:r>
        <w:rPr>
          <w:rFonts w:hint="eastAsia" w:ascii="仿宋_GB2312"/>
        </w:rPr>
        <w:t>表4.政府性基金支出预算表</w:t>
      </w:r>
    </w:p>
    <w:p>
      <w:pPr>
        <w:spacing w:line="600" w:lineRule="exact"/>
        <w:ind w:firstLine="960" w:firstLineChars="300"/>
        <w:rPr>
          <w:rFonts w:ascii="仿宋_GB2312"/>
        </w:rPr>
      </w:pPr>
      <w:r>
        <w:rPr>
          <w:rFonts w:hint="eastAsia" w:ascii="仿宋_GB2312"/>
        </w:rPr>
        <w:t>表4-1.政府性基金预算“三公”经费支出预算表</w:t>
      </w:r>
    </w:p>
    <w:p>
      <w:pPr>
        <w:spacing w:line="600" w:lineRule="exact"/>
        <w:ind w:firstLine="960" w:firstLineChars="300"/>
        <w:rPr>
          <w:rFonts w:ascii="仿宋_GB2312"/>
        </w:rPr>
      </w:pPr>
      <w:r>
        <w:rPr>
          <w:rFonts w:hint="eastAsia" w:ascii="仿宋_GB2312"/>
        </w:rPr>
        <w:t>表5.国有资本经营预算支出预算表</w:t>
      </w:r>
    </w:p>
    <w:p>
      <w:pPr>
        <w:spacing w:line="600" w:lineRule="exact"/>
        <w:ind w:firstLine="960" w:firstLineChars="300"/>
        <w:rPr>
          <w:rFonts w:ascii="仿宋_GB2312"/>
        </w:rPr>
      </w:pPr>
      <w:r>
        <w:rPr>
          <w:rFonts w:hint="eastAsia" w:ascii="仿宋_GB2312"/>
        </w:rPr>
        <w:t>表6.（部门）单位预算项目绩效目标表</w:t>
      </w:r>
    </w:p>
    <w:p>
      <w:bookmarkStart w:id="0" w:name="_GoBack"/>
      <w:bookmarkEnd w:id="0"/>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30"/>
        <w:szCs w:val="30"/>
      </w:rPr>
    </w:pPr>
    <w:r>
      <w:rPr>
        <w:rFonts w:ascii="宋体" w:hAnsi="宋体"/>
        <w:sz w:val="30"/>
        <w:szCs w:val="30"/>
      </w:rPr>
      <w:fldChar w:fldCharType="begin"/>
    </w:r>
    <w:r>
      <w:rPr>
        <w:rStyle w:val="7"/>
        <w:rFonts w:ascii="宋体" w:hAnsi="宋体"/>
        <w:sz w:val="30"/>
        <w:szCs w:val="30"/>
      </w:rPr>
      <w:instrText xml:space="preserve">PAGE  </w:instrText>
    </w:r>
    <w:r>
      <w:rPr>
        <w:rFonts w:ascii="宋体" w:hAnsi="宋体"/>
        <w:sz w:val="30"/>
        <w:szCs w:val="30"/>
      </w:rPr>
      <w:fldChar w:fldCharType="separate"/>
    </w:r>
    <w:r>
      <w:rPr>
        <w:rStyle w:val="7"/>
        <w:rFonts w:ascii="宋体" w:hAnsi="宋体"/>
        <w:sz w:val="30"/>
        <w:szCs w:val="30"/>
      </w:rPr>
      <w:t>- 4 -</w:t>
    </w:r>
    <w:r>
      <w:rPr>
        <w:rFonts w:ascii="宋体" w:hAnsi="宋体"/>
        <w:sz w:val="30"/>
        <w:szCs w:val="30"/>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71735E"/>
    <w:rsid w:val="002E0E67"/>
    <w:rsid w:val="00644149"/>
    <w:rsid w:val="007176F2"/>
    <w:rsid w:val="0271735E"/>
    <w:rsid w:val="4C745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uiPriority w:val="0"/>
    <w:pPr>
      <w:spacing w:before="93" w:beforeLines="30"/>
    </w:pPr>
    <w:rPr>
      <w:rFonts w:ascii="仿宋_GB2312"/>
      <w:sz w:val="30"/>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Pages>
  <Words>548</Words>
  <Characters>3128</Characters>
  <Lines>26</Lines>
  <Paragraphs>7</Paragraphs>
  <TotalTime>0</TotalTime>
  <ScaleCrop>false</ScaleCrop>
  <LinksUpToDate>false</LinksUpToDate>
  <CharactersWithSpaces>3669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2021-06-01T03:19:00Z</dcterms:created>
  <dc:creator>SimpleLibra</dc:creator>
  <cp:lastModifiedBy>Administrator</cp:lastModifiedBy>
  <dcterms:modified xsi:type="dcterms:W3CDTF">2021-06-08T13:40:20Z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C9A2D3BCDA4445288908D126A3D5EAA4</vt:lpwstr>
  </property>
</Properties>
</file>