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攀枝花市科技发展战略研究所2020年</w:t>
      </w:r>
    </w:p>
    <w:p>
      <w:pPr>
        <w:spacing w:line="600" w:lineRule="exact"/>
        <w:jc w:val="center"/>
        <w:rPr>
          <w:rFonts w:ascii="方正小标宋简体" w:hAnsi="宋体" w:eastAsia="方正小标宋简体"/>
          <w:sz w:val="44"/>
          <w:szCs w:val="44"/>
          <w:u w:val="single"/>
        </w:rPr>
      </w:pPr>
      <w:r>
        <w:rPr>
          <w:rFonts w:hint="eastAsia" w:ascii="方正小标宋简体" w:hAnsi="宋体" w:eastAsia="方正小标宋简体"/>
          <w:sz w:val="44"/>
          <w:szCs w:val="44"/>
        </w:rPr>
        <w:t>部门预算编制说明</w:t>
      </w:r>
    </w:p>
    <w:p>
      <w:pPr>
        <w:pStyle w:val="2"/>
        <w:adjustRightInd w:val="0"/>
        <w:spacing w:beforeLines="0" w:line="600" w:lineRule="exact"/>
        <w:rPr>
          <w:rFonts w:ascii="宋体" w:hAnsi="宋体" w:eastAsia="宋体"/>
          <w:b/>
          <w:sz w:val="32"/>
        </w:rPr>
      </w:pPr>
      <w:r>
        <w:rPr>
          <w:rFonts w:hint="eastAsia" w:ascii="宋体" w:hAnsi="宋体" w:eastAsia="宋体"/>
          <w:b/>
          <w:sz w:val="32"/>
        </w:rPr>
        <w:t xml:space="preserve">    </w:t>
      </w:r>
    </w:p>
    <w:p>
      <w:pPr>
        <w:spacing w:line="600" w:lineRule="exact"/>
        <w:ind w:firstLine="640" w:firstLineChars="200"/>
        <w:rPr>
          <w:rFonts w:ascii="黑体" w:eastAsia="黑体"/>
        </w:rPr>
      </w:pPr>
      <w:r>
        <w:rPr>
          <w:rFonts w:hint="eastAsia" w:ascii="黑体" w:eastAsia="黑体"/>
        </w:rPr>
        <w:t>一、基本职能及主要工作</w:t>
      </w:r>
    </w:p>
    <w:p>
      <w:pPr>
        <w:ind w:firstLine="641" w:firstLineChars="200"/>
      </w:pPr>
      <w:r>
        <w:rPr>
          <w:rFonts w:hint="eastAsia" w:ascii="楷体_GB2312" w:eastAsia="楷体_GB2312"/>
          <w:b/>
        </w:rPr>
        <w:t>（一）单位职能简介：</w:t>
      </w:r>
      <w:r>
        <w:rPr>
          <w:rFonts w:hint="eastAsia"/>
        </w:rPr>
        <w:t>1、国内外科技发展动态研究；全市科技发展战略研究；产业发展关键技术预见研究；全市科技体制和科技发展政策研究；科技创新体系研究。2、科技专项调研；公共科技信息开发利用；市科技进步动态监测；负责重大科技项目的评价；科技刊物编辑出版。3、协助编制全市科技发展规划；协助市科技局计划项目的招投标；协助完成各项科技统计，并编写科技统计汇编。4、承担上级部门交办的其他任务。</w:t>
      </w:r>
    </w:p>
    <w:p>
      <w:pPr>
        <w:ind w:firstLine="645"/>
        <w:rPr>
          <w:rFonts w:hint="eastAsia" w:ascii="仿宋_GB2312"/>
        </w:rPr>
      </w:pPr>
      <w:r>
        <w:rPr>
          <w:rFonts w:hint="eastAsia" w:ascii="楷体_GB2312" w:eastAsia="楷体_GB2312"/>
          <w:b/>
        </w:rPr>
        <w:t>（二）2020年重点工作：</w:t>
      </w:r>
      <w:r>
        <w:rPr>
          <w:rFonts w:hint="eastAsia" w:ascii="仿宋_GB2312"/>
        </w:rPr>
        <w:t>我所将以习近平新时代中国特色社会主义思想为指导，深入学习贯彻</w:t>
      </w:r>
      <w:r>
        <w:rPr>
          <w:rFonts w:ascii="仿宋_GB2312"/>
        </w:rPr>
        <w:t>党的十九届四中全会</w:t>
      </w:r>
      <w:r>
        <w:rPr>
          <w:rFonts w:hint="eastAsia" w:ascii="仿宋_GB2312"/>
        </w:rPr>
        <w:t>及</w:t>
      </w:r>
      <w:r>
        <w:rPr>
          <w:rFonts w:ascii="仿宋_GB2312"/>
        </w:rPr>
        <w:t>彭清华书记指示</w:t>
      </w:r>
      <w:r>
        <w:rPr>
          <w:rFonts w:hint="eastAsia" w:ascii="仿宋_GB2312"/>
        </w:rPr>
        <w:t>精神，</w:t>
      </w:r>
      <w:r>
        <w:rPr>
          <w:rFonts w:ascii="仿宋_GB2312"/>
        </w:rPr>
        <w:t>对标对表全省“一干多支、五区协同”“四向拓展、全域开放”战略，</w:t>
      </w:r>
      <w:r>
        <w:rPr>
          <w:rFonts w:hint="eastAsia" w:ascii="仿宋_GB2312"/>
        </w:rPr>
        <w:t>围绕</w:t>
      </w:r>
      <w:r>
        <w:rPr>
          <w:rFonts w:ascii="仿宋_GB2312"/>
        </w:rPr>
        <w:t>市委推动高质量发展的各项决策部署，聚焦 “两城”建设、“三区联动”发展、“一枢纽五高地”建设、“一核一带三谷”康养地打造等全市重点工作，</w:t>
      </w:r>
      <w:r>
        <w:rPr>
          <w:rFonts w:hint="eastAsia" w:ascii="仿宋_GB2312"/>
        </w:rPr>
        <w:t>以创新驱动为主线，瞄准重大科技项目攻关和科技成果转化，紧扣战略研究、决策咨询、情报信息分析、科技项目管理、自身能力建设，加快提高研究分析和项目管理能力，加速研究方法和成果推广应用，打造特色科技智库，充分发挥战略所的参谋和助手作用，为</w:t>
      </w:r>
      <w:r>
        <w:rPr>
          <w:rFonts w:ascii="仿宋_GB2312"/>
        </w:rPr>
        <w:t>推动攀枝花尽快形成创新要素聚集、多元开放、融合发展的新高地，</w:t>
      </w:r>
      <w:r>
        <w:rPr>
          <w:rFonts w:hint="eastAsia" w:ascii="仿宋_GB2312"/>
        </w:rPr>
        <w:t>建设美丽繁荣和谐攀枝花贡献科技创新发展方面的智慧和力量。</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rPr>
      </w:pPr>
      <w:r>
        <w:rPr>
          <w:rFonts w:hint="eastAsia" w:ascii="仿宋_GB2312"/>
          <w:b/>
        </w:rPr>
        <w:t>1、加强战略规划研究。</w:t>
      </w:r>
      <w:r>
        <w:rPr>
          <w:rFonts w:hint="eastAsia" w:ascii="仿宋_GB2312" w:hAnsi="新宋体"/>
        </w:rPr>
        <w:t>重点开展《攀枝花市“十四五”科技创新规划》编制工作，组建编制工作领导小组和专家咨询组，高起点、高水平编制“十四五”科技创新规划。</w:t>
      </w:r>
      <w:r>
        <w:rPr>
          <w:rFonts w:hint="eastAsia" w:ascii="仿宋_GB2312"/>
        </w:rPr>
        <w:t>坚持目标导向，紧紧</w:t>
      </w:r>
      <w:r>
        <w:rPr>
          <w:rFonts w:hint="eastAsia" w:ascii="仿宋_GB2312" w:hAnsi="新宋体"/>
        </w:rPr>
        <w:t>围绕全市科技发展顶层设计和特色产业科技创新开展课题研究，精心组织完成</w:t>
      </w:r>
      <w:r>
        <w:rPr>
          <w:rFonts w:hint="eastAsia" w:ascii="仿宋_GB2312"/>
        </w:rPr>
        <w:t>《攀西科技城建设模式研究》</w:t>
      </w:r>
      <w:r>
        <w:rPr>
          <w:rFonts w:hint="eastAsia" w:ascii="仿宋_GB2312" w:hAnsi="新宋体"/>
        </w:rPr>
        <w:t>项目。</w:t>
      </w:r>
      <w:r>
        <w:rPr>
          <w:rFonts w:hint="eastAsia" w:ascii="仿宋_GB2312"/>
        </w:rPr>
        <w:t>加快《科技进步贡献率分析和测评》工作进展，发布攀枝花市科技进步贡献率指数。前瞻思考科学谋划，探索攀枝花建设科技智库和建立政策评估评价机制的对策。</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hAnsi="新宋体"/>
        </w:rPr>
      </w:pPr>
      <w:r>
        <w:rPr>
          <w:rFonts w:hint="eastAsia" w:ascii="仿宋_GB2312"/>
          <w:b/>
        </w:rPr>
        <w:t>2、强化决策咨询。</w:t>
      </w:r>
      <w:r>
        <w:rPr>
          <w:rFonts w:hint="eastAsia" w:ascii="仿宋_GB2312"/>
        </w:rPr>
        <w:t>紧密结合市委市政府2020年工作思路和科技局重点工作，强化决策咨询服务定位，开展本地区特色创新发展相关政策措施调研、落地工作，继续做好《攀枝花市打造区域创新高地实施意见》</w:t>
      </w:r>
      <w:r>
        <w:rPr>
          <w:rFonts w:hint="eastAsia" w:ascii="仿宋_GB2312" w:hAnsi="新宋体"/>
        </w:rPr>
        <w:t>的政策研究、措施完善、实施评估。</w:t>
      </w:r>
      <w:r>
        <w:rPr>
          <w:rFonts w:hint="eastAsia" w:ascii="仿宋_GB2312"/>
        </w:rPr>
        <w:t>同时，充分发挥参谋助手作用，做好双创、科研机构改革</w:t>
      </w:r>
      <w:r>
        <w:rPr>
          <w:rFonts w:hint="eastAsia" w:ascii="仿宋_GB2312" w:hAnsi="新宋体"/>
        </w:rPr>
        <w:t>等相关辅助工作，以及</w:t>
      </w:r>
      <w:r>
        <w:rPr>
          <w:rFonts w:hint="eastAsia" w:ascii="仿宋_GB2312"/>
        </w:rPr>
        <w:t>建市55周年“科技创新大会领导讲话”等</w:t>
      </w:r>
      <w:r>
        <w:rPr>
          <w:rFonts w:hint="eastAsia" w:ascii="仿宋_GB2312" w:hAnsi="新宋体"/>
        </w:rPr>
        <w:t>会议文件材料的撰写。</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rPr>
      </w:pPr>
      <w:r>
        <w:rPr>
          <w:rFonts w:hint="eastAsia" w:ascii="仿宋_GB2312" w:hAnsi="新宋体"/>
          <w:b/>
        </w:rPr>
        <w:t>3、做专情报信息分析。</w:t>
      </w:r>
      <w:r>
        <w:rPr>
          <w:rFonts w:hint="eastAsia" w:ascii="仿宋_GB2312" w:hAnsi="新宋体"/>
        </w:rPr>
        <w:t>优化整合“</w:t>
      </w:r>
      <w:r>
        <w:rPr>
          <w:rFonts w:hint="eastAsia" w:ascii="仿宋_GB2312"/>
          <w:color w:val="000000"/>
        </w:rPr>
        <w:t>攀枝花市重点产业科技信息咨询服务平台”、</w:t>
      </w:r>
      <w:r>
        <w:rPr>
          <w:rFonts w:hint="eastAsia" w:ascii="仿宋_GB2312"/>
        </w:rPr>
        <w:t>“攀枝花钒钛磁铁矿资源综合开发利用技术路线图创新公共服务平台”、</w:t>
      </w:r>
      <w:r>
        <w:rPr>
          <w:rFonts w:hint="eastAsia" w:ascii="仿宋_GB2312" w:hAnsi="新宋体"/>
        </w:rPr>
        <w:t>“中国钒钛之都”网站</w:t>
      </w:r>
      <w:r>
        <w:rPr>
          <w:rFonts w:hint="eastAsia" w:ascii="仿宋_GB2312"/>
          <w:color w:val="000000"/>
        </w:rPr>
        <w:t>，</w:t>
      </w:r>
      <w:r>
        <w:rPr>
          <w:rFonts w:hint="eastAsia" w:ascii="仿宋_GB2312" w:hAnsi="新宋体"/>
        </w:rPr>
        <w:t>构建情报信息的“大数据”平台。深入调研钒钛领域国家政策变化、地方发展新政、企业投资方向和科研趋势、成果转化，充分利用好大数据、人工智能等分析工具，高质量完成12期《钒钛科技动态》编辑工作。</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hAnsi="新宋体"/>
        </w:rPr>
      </w:pPr>
      <w:r>
        <w:rPr>
          <w:rFonts w:hint="eastAsia" w:ascii="仿宋_GB2312"/>
          <w:b/>
        </w:rPr>
        <w:t>4、规范科技项目管理。</w:t>
      </w:r>
      <w:r>
        <w:rPr>
          <w:rFonts w:hint="eastAsia" w:ascii="仿宋_GB2312" w:hAnsi="新宋体"/>
        </w:rPr>
        <w:t>进一步规范科技项目管理，</w:t>
      </w:r>
      <w:r>
        <w:rPr>
          <w:rFonts w:hint="eastAsia" w:ascii="仿宋_GB2312"/>
        </w:rPr>
        <w:t>完成2009-2017年科技项目结题清理收尾，推进到期项目按时结题。配合局相关处室有计划地对区（县）和企业科技需求进行跟踪、调研，分析凝练重大科技攻关项目，提供科技项目申报指导，完善项目申报系统，做好经费预算编制培训、项目档案管理、科技报告编写、绩效评估等工作，提高攀枝花科技项目管理水平和成效。</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hAnsi="新宋体"/>
        </w:rPr>
      </w:pPr>
      <w:r>
        <w:rPr>
          <w:rFonts w:hint="eastAsia" w:ascii="仿宋_GB2312"/>
          <w:b/>
        </w:rPr>
        <w:t>5、做好科技专项工作。</w:t>
      </w:r>
      <w:r>
        <w:rPr>
          <w:rFonts w:hint="eastAsia" w:ascii="仿宋_GB2312" w:hAnsi="新宋体"/>
        </w:rPr>
        <w:t>完成各级科技统计工作，加强科技统计信息渠道建设，分析完善关键统计指标和工具，编制2019年《科技年度发展报告》。加强期刊编制的计划性和科学性，拓宽投稿渠道，强化科技引导和支撑特色，高质量编辑出版4期《攀枝花科技与信息》期刊。</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hAnsi="新宋体"/>
        </w:rPr>
      </w:pPr>
      <w:r>
        <w:rPr>
          <w:rFonts w:hint="eastAsia" w:ascii="仿宋_GB2312"/>
          <w:b/>
        </w:rPr>
        <w:t>6、增强自身能力建设。</w:t>
      </w:r>
      <w:r>
        <w:rPr>
          <w:rFonts w:hint="eastAsia" w:ascii="仿宋_GB2312" w:hAnsi="新宋体"/>
        </w:rPr>
        <w:t>规范和制定相关制度建设，加强项目实施，加强对外合作力度，鼓励研究成果应用，提倡多作研究，多提对策建议，充分调动科研人员积极性，大力提高研究水平。加强人才培养交流引进，选拔重用优秀干部，积极发展中共党员，配合做好挂职人员管理，继续面向市内外招聘人才。开展业务学习和培训，组织项目主研人员参加钒钛等重点产业学术会议及调研考察，掌握和跟踪最新研究动态、研究方法和典型应用，作好学习报告及信息报送。跟踪和了解国家、省、市各项科技发展政策、先进做法、企业科技活动，撰写相关文章，建立软科学研究数据库，建设科技智库。加快科技信息跟踪参与机制建立、保证信息的及时性和有效性。加强战略所信息化建设，创造良好的科研环境，改善办公条件。建立长效的学习制度，定期组织职工进行专</w:t>
      </w:r>
      <w:bookmarkStart w:id="0" w:name="_GoBack"/>
      <w:r>
        <w:rPr>
          <w:rFonts w:hint="eastAsia" w:ascii="仿宋_GB2312" w:hAnsi="新宋体"/>
        </w:rPr>
        <w:t>业学习，采用内外结合的方式开展培训，大力提升我所战略</w:t>
      </w:r>
      <w:bookmarkEnd w:id="0"/>
      <w:r>
        <w:rPr>
          <w:rFonts w:hint="eastAsia" w:ascii="仿宋_GB2312" w:hAnsi="新宋体"/>
        </w:rPr>
        <w:t>研究团队的能力和水平。</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黑体" w:eastAsia="黑体"/>
        </w:rPr>
      </w:pPr>
      <w:r>
        <w:rPr>
          <w:rFonts w:hint="eastAsia" w:ascii="黑体" w:eastAsia="黑体"/>
        </w:rPr>
        <w:t>二、单位构成情况</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b/>
        </w:rPr>
      </w:pPr>
      <w:r>
        <w:rPr>
          <w:rFonts w:hint="eastAsia" w:ascii="黑体" w:eastAsia="黑体"/>
        </w:rPr>
        <w:t>攀枝花市科技发展战略研究所属于公益一类全额</w:t>
      </w:r>
      <w:r>
        <w:rPr>
          <w:rFonts w:hint="eastAsia" w:ascii="黑体" w:eastAsia="黑体"/>
          <w:lang w:val="en-US" w:eastAsia="zh-Hans"/>
        </w:rPr>
        <w:t>拨款</w:t>
      </w:r>
      <w:r>
        <w:rPr>
          <w:rFonts w:hint="eastAsia" w:ascii="黑体" w:eastAsia="黑体"/>
        </w:rPr>
        <w:t>事业单位，没有非</w:t>
      </w:r>
      <w:r>
        <w:rPr>
          <w:rFonts w:hint="eastAsia"/>
        </w:rPr>
        <w:t>独立核算单位。</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b/>
        </w:rPr>
      </w:pPr>
      <w:r>
        <w:rPr>
          <w:rFonts w:hint="eastAsia" w:ascii="黑体" w:eastAsia="黑体"/>
        </w:rPr>
        <w:t>三、收支预算情况说明</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b/>
        </w:rPr>
      </w:pPr>
      <w:r>
        <w:rPr>
          <w:rFonts w:hint="eastAsia"/>
        </w:rPr>
        <w:t>按照综合预算的原则，单位</w:t>
      </w:r>
      <w:r>
        <w:rPr>
          <w:rFonts w:hint="eastAsia" w:ascii="仿宋_GB2312"/>
        </w:rPr>
        <w:t>所有收入和支出均纳入部门预算管理。收入包括：一般公共预算拨款收入；支出包括：一般公共服务支出。2020年收支总预算</w:t>
      </w:r>
      <w:r>
        <w:rPr>
          <w:rFonts w:hint="eastAsia"/>
        </w:rPr>
        <w:t>323.05</w:t>
      </w:r>
      <w:r>
        <w:rPr>
          <w:rFonts w:hint="eastAsia" w:ascii="仿宋_GB2312"/>
        </w:rPr>
        <w:t>万元。</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b/>
        </w:rPr>
      </w:pPr>
      <w:r>
        <w:rPr>
          <w:rFonts w:hint="eastAsia" w:ascii="楷体_GB2312" w:eastAsia="楷体_GB2312"/>
          <w:b/>
        </w:rPr>
        <w:t>（一）收入预算情况</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b/>
        </w:rPr>
      </w:pPr>
      <w:r>
        <w:rPr>
          <w:rFonts w:hint="eastAsia"/>
        </w:rPr>
        <w:t>科战所</w:t>
      </w:r>
      <w:r>
        <w:rPr>
          <w:rFonts w:hint="eastAsia" w:ascii="仿宋_GB2312"/>
        </w:rPr>
        <w:t>2020年收入预算</w:t>
      </w:r>
      <w:r>
        <w:rPr>
          <w:rFonts w:hint="eastAsia"/>
        </w:rPr>
        <w:t>323.05</w:t>
      </w:r>
      <w:r>
        <w:rPr>
          <w:rFonts w:hint="eastAsia" w:ascii="仿宋_GB2312"/>
        </w:rPr>
        <w:t>万元。</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（二）支出预算情况</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科战所2020年支出预算323.05万元，其中：基本支出303.75万元，占94%；项目支出19.3万元，占6%。</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黑体" w:hAnsi="黑体" w:eastAsia="黑体" w:cs="黑体"/>
        </w:rPr>
      </w:pPr>
      <w:r>
        <w:rPr>
          <w:rFonts w:hint="eastAsia" w:ascii="黑体" w:hAnsi="黑体" w:eastAsia="黑体" w:cs="黑体"/>
        </w:rPr>
        <w:t>四、财政拨款收支预算情况说明</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科战所2020年财政拨款收支总预算323.05万元。收入包括：本年一般公共预算拨款收入323.05万元。</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黑体" w:hAnsi="黑体" w:eastAsia="黑体" w:cs="黑体"/>
        </w:rPr>
      </w:pPr>
      <w:r>
        <w:rPr>
          <w:rFonts w:hint="eastAsia" w:ascii="黑体" w:hAnsi="黑体" w:eastAsia="黑体" w:cs="黑体"/>
        </w:rPr>
        <w:t>五、一般公共预算当年拨款情况说明</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科战所2020年一般公共预算当年拨款323.05万元，比2019年预算数减少34.24万元，主要是因为公用经费、项目经费财政压减及退休费用未报。</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黑体" w:hAnsi="黑体" w:eastAsia="黑体" w:cs="黑体"/>
        </w:rPr>
      </w:pPr>
      <w:r>
        <w:rPr>
          <w:rFonts w:hint="eastAsia" w:ascii="黑体" w:hAnsi="黑体" w:eastAsia="黑体" w:cs="黑体"/>
        </w:rPr>
        <w:t>六、一般公共预算基本支出情况说明</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科战所2020年一般公共预算基本支出303.75万元，其中：</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人员经费267.44万元，主要包括：基本工资、津贴补贴、奖金、社会保险缴费等。</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rPr>
      </w:pPr>
      <w:r>
        <w:rPr>
          <w:rFonts w:hint="eastAsia" w:ascii="仿宋_GB2312"/>
        </w:rPr>
        <w:t>公用经费34.63万元，主要包括：办公费、印刷费、咨询费、水电费等。</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对个人和家庭补助支出为1.68万元。</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黑体" w:hAnsi="黑体" w:eastAsia="黑体" w:cs="黑体"/>
        </w:rPr>
      </w:pPr>
      <w:r>
        <w:rPr>
          <w:rFonts w:hint="eastAsia" w:ascii="黑体" w:hAnsi="黑体" w:eastAsia="黑体" w:cs="黑体"/>
        </w:rPr>
        <w:t>七、“三公”经费财政拨款预算安排情况说明</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科战所</w:t>
      </w:r>
      <w:r>
        <w:rPr>
          <w:rFonts w:ascii="仿宋_GB2312"/>
        </w:rPr>
        <w:t>20</w:t>
      </w:r>
      <w:r>
        <w:rPr>
          <w:rFonts w:hint="eastAsia" w:ascii="仿宋_GB2312"/>
        </w:rPr>
        <w:t>20年“三公”经费财政拨款预算数2.3万元，其中：因公出国（境）经费0万元，公务接待费0.60万元，公务用车运行维护费1.7万元。</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（一）公务接待费比</w:t>
      </w:r>
      <w:r>
        <w:rPr>
          <w:rFonts w:ascii="仿宋_GB2312"/>
        </w:rPr>
        <w:t>201</w:t>
      </w:r>
      <w:r>
        <w:rPr>
          <w:rFonts w:hint="eastAsia" w:ascii="仿宋_GB2312"/>
        </w:rPr>
        <w:t>9年预算减少了315元。2020年公务接待费计划用于接待相关专家进行项目咨询。</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（二）公务用车运行维护费较</w:t>
      </w:r>
      <w:r>
        <w:rPr>
          <w:rFonts w:ascii="仿宋_GB2312"/>
        </w:rPr>
        <w:t>201</w:t>
      </w:r>
      <w:r>
        <w:rPr>
          <w:rFonts w:hint="eastAsia" w:ascii="仿宋_GB2312"/>
        </w:rPr>
        <w:t>9年预算下降47.5</w:t>
      </w:r>
      <w:r>
        <w:rPr>
          <w:rFonts w:ascii="仿宋_GB2312"/>
        </w:rPr>
        <w:t>%</w:t>
      </w:r>
      <w:r>
        <w:rPr>
          <w:rFonts w:hint="eastAsia" w:ascii="仿宋_GB2312"/>
        </w:rPr>
        <w:t>。主要原因是减少了一辆车的运行维护费用。</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ascii="仿宋_GB2312"/>
        </w:rPr>
      </w:pPr>
      <w:r>
        <w:rPr>
          <w:rFonts w:hint="eastAsia" w:ascii="仿宋_GB2312"/>
        </w:rPr>
        <w:t>单位现有公务用车2辆，其中：轿车（含7座以下商务车、城市越野车）2辆。</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rPr>
      </w:pPr>
      <w:r>
        <w:rPr>
          <w:rFonts w:hint="eastAsia" w:ascii="仿宋_GB2312"/>
        </w:rPr>
        <w:t>2020年安排公务用车运行维护费1.71万元，用于1辆公务用车（燃油、维修、车辆通行）等方面支出，主要保障平日办公、项目调研等工作开展。</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黑体" w:hAnsi="黑体" w:eastAsia="黑体" w:cs="黑体"/>
        </w:rPr>
      </w:pPr>
      <w:r>
        <w:rPr>
          <w:rFonts w:hint="eastAsia" w:ascii="黑体" w:hAnsi="黑体" w:eastAsia="黑体" w:cs="黑体"/>
        </w:rPr>
        <w:t>八、政府性基金预算支出情况说明</w:t>
      </w:r>
    </w:p>
    <w:p>
      <w:p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仿宋_GB2312"/>
        </w:rPr>
      </w:pPr>
      <w:r>
        <w:rPr>
          <w:rFonts w:hint="eastAsia" w:ascii="仿宋_GB2312"/>
        </w:rPr>
        <w:t>攀西科技城管委会2020年政府性基金预算支出198.94万元，其中：基本支出0万元，项目支出198.94万元。主要用于土地开发方面的支出。</w:t>
      </w:r>
    </w:p>
    <w:p>
      <w:pPr>
        <w:numPr>
          <w:ilvl w:val="0"/>
          <w:numId w:val="1"/>
        </w:numPr>
        <w:pBdr>
          <w:top w:val="single" w:color="FFFFFF" w:sz="4" w:space="0"/>
          <w:left w:val="single" w:color="FFFFFF" w:sz="4" w:space="31"/>
          <w:bottom w:val="single" w:color="FFFFFF" w:sz="4" w:space="31"/>
          <w:right w:val="single" w:color="FFFFFF" w:sz="4" w:space="4"/>
        </w:pBdr>
        <w:adjustRightInd w:val="0"/>
        <w:snapToGrid w:val="0"/>
        <w:spacing w:line="600" w:lineRule="exact"/>
        <w:ind w:firstLine="560"/>
        <w:rPr>
          <w:rFonts w:hint="eastAsia" w:ascii="黑体" w:hAnsi="黑体" w:eastAsia="黑体" w:cs="黑体"/>
        </w:rPr>
      </w:pPr>
      <w:r>
        <w:rPr>
          <w:rFonts w:hint="eastAsia" w:ascii="黑体" w:hAnsi="黑体" w:eastAsia="黑体" w:cs="黑体"/>
        </w:rPr>
        <w:t>其他重要事项的情况说明</w:t>
      </w:r>
    </w:p>
    <w:p>
      <w:pPr>
        <w:numPr>
          <w:ilvl w:val="0"/>
          <w:numId w:val="2"/>
        </w:numPr>
        <w:pBdr>
          <w:top w:val="single" w:color="FFFFFF" w:sz="4" w:space="0"/>
          <w:left w:val="single" w:color="FFFFFF" w:sz="4" w:space="31"/>
          <w:bottom w:val="single" w:color="FFFFFF" w:sz="4" w:space="31"/>
          <w:right w:val="single" w:color="FFFFFF" w:sz="4" w:space="4"/>
        </w:pBdr>
        <w:adjustRightInd w:val="0"/>
        <w:snapToGrid w:val="0"/>
        <w:spacing w:line="600" w:lineRule="exact"/>
        <w:rPr>
          <w:rFonts w:hint="eastAsia" w:ascii="楷体_GB2312" w:eastAsia="楷体_GB2312"/>
          <w:b/>
        </w:rPr>
      </w:pPr>
      <w:r>
        <w:rPr>
          <w:rFonts w:hint="eastAsia" w:ascii="楷体_GB2312" w:eastAsia="楷体_GB2312"/>
          <w:b/>
        </w:rPr>
        <w:t>业务运行经费</w:t>
      </w:r>
    </w:p>
    <w:p>
      <w:pPr>
        <w:numPr>
          <w:ilvl w:val="0"/>
          <w:numId w:val="0"/>
        </w:numPr>
        <w:pBdr>
          <w:top w:val="single" w:color="FFFFFF" w:sz="4" w:space="0"/>
          <w:left w:val="single" w:color="FFFFFF" w:sz="4" w:space="31"/>
          <w:bottom w:val="single" w:color="FFFFFF" w:sz="4" w:space="31"/>
          <w:right w:val="single" w:color="FFFFFF" w:sz="4" w:space="4"/>
        </w:pBdr>
        <w:adjustRightInd w:val="0"/>
        <w:snapToGrid w:val="0"/>
        <w:spacing w:line="600" w:lineRule="exact"/>
        <w:rPr>
          <w:rFonts w:ascii="仿宋_GB2312"/>
        </w:rPr>
      </w:pPr>
      <w:r>
        <w:rPr>
          <w:rFonts w:hint="eastAsia" w:ascii="仿宋_GB2312"/>
        </w:rPr>
        <w:t>2020年，运行经费财政拨款预算为</w:t>
      </w:r>
      <w:r>
        <w:rPr>
          <w:rFonts w:hint="eastAsia"/>
        </w:rPr>
        <w:t>19.3</w:t>
      </w:r>
      <w:r>
        <w:rPr>
          <w:rFonts w:hint="eastAsia" w:ascii="仿宋_GB2312"/>
        </w:rPr>
        <w:t>万元，比2019年预算增加1万元，增长5.18%。原因是增长了2020年援藏援彝干部人才补助1万元。</w:t>
      </w:r>
    </w:p>
    <w:p>
      <w:pPr>
        <w:spacing w:line="600" w:lineRule="exact"/>
        <w:ind w:firstLine="641" w:firstLineChars="200"/>
        <w:rPr>
          <w:rFonts w:ascii="楷体_GB2312" w:eastAsia="楷体_GB2312"/>
          <w:b/>
        </w:rPr>
      </w:pPr>
      <w:r>
        <w:rPr>
          <w:rFonts w:hint="eastAsia" w:ascii="楷体_GB2312" w:eastAsia="楷体_GB2312"/>
          <w:b/>
        </w:rPr>
        <w:t>（二）绩效目标设置情况</w:t>
      </w:r>
    </w:p>
    <w:p>
      <w:pPr>
        <w:spacing w:line="600" w:lineRule="exact"/>
        <w:ind w:firstLine="640" w:firstLineChars="200"/>
        <w:rPr>
          <w:rFonts w:hint="eastAsia" w:ascii="仿宋_GB2312"/>
        </w:rPr>
      </w:pPr>
      <w:r>
        <w:rPr>
          <w:rFonts w:hint="eastAsia" w:ascii="仿宋_GB2312"/>
        </w:rPr>
        <w:t>2020年科技发展战略研究所专用项目均按要求实行绩效目标管理，涉及一般公共预算当年拨款</w:t>
      </w:r>
      <w:r>
        <w:rPr>
          <w:rFonts w:hint="eastAsia"/>
        </w:rPr>
        <w:t>19.3</w:t>
      </w:r>
      <w:r>
        <w:rPr>
          <w:rFonts w:hint="eastAsia" w:ascii="仿宋_GB2312"/>
        </w:rPr>
        <w:t>万元。</w:t>
      </w:r>
    </w:p>
    <w:p>
      <w:pPr>
        <w:spacing w:line="600" w:lineRule="exact"/>
        <w:ind w:firstLine="640" w:firstLineChars="200"/>
        <w:rPr>
          <w:rFonts w:hint="eastAsia" w:ascii="黑体" w:hAnsi="黑体" w:eastAsia="黑体" w:cs="黑体"/>
        </w:rPr>
      </w:pPr>
      <w:r>
        <w:rPr>
          <w:rFonts w:hint="eastAsia" w:ascii="黑体" w:hAnsi="黑体" w:eastAsia="黑体" w:cs="黑体"/>
        </w:rPr>
        <w:t>十、名词解释</w:t>
      </w:r>
    </w:p>
    <w:p>
      <w:pPr>
        <w:spacing w:line="600" w:lineRule="exact"/>
        <w:ind w:firstLine="640" w:firstLineChars="200"/>
        <w:rPr>
          <w:rFonts w:hint="eastAsia" w:ascii="仿宋_GB2312"/>
        </w:rPr>
      </w:pPr>
      <w:r>
        <w:rPr>
          <w:rFonts w:hint="eastAsia" w:ascii="仿宋_GB2312"/>
        </w:rPr>
        <w:t>1.一般公共预算拨款收入：指市级财政当年拨付的资金。</w:t>
      </w:r>
    </w:p>
    <w:p>
      <w:pPr>
        <w:spacing w:line="600" w:lineRule="exact"/>
        <w:ind w:firstLine="640" w:firstLineChars="200"/>
        <w:rPr>
          <w:rFonts w:hint="eastAsia" w:ascii="仿宋_GB2312"/>
        </w:rPr>
      </w:pPr>
      <w:r>
        <w:rPr>
          <w:rFonts w:hint="eastAsia" w:ascii="仿宋_GB2312"/>
        </w:rPr>
        <w:t>2.医疗卫生与计划生育（类）行政事业单位医疗（款）行政单位医疗（项）：指市机关及参公管理事业单位用于缴纳单位基本医疗保险支出。（单位涉及的所有支出功能分类科目都要要解释）</w:t>
      </w:r>
    </w:p>
    <w:p>
      <w:pPr>
        <w:spacing w:line="600" w:lineRule="exact"/>
        <w:ind w:firstLine="640" w:firstLineChars="200"/>
        <w:rPr>
          <w:rFonts w:hint="eastAsia" w:ascii="仿宋_GB2312"/>
        </w:rPr>
      </w:pPr>
      <w:r>
        <w:rPr>
          <w:rFonts w:hint="eastAsia" w:ascii="仿宋_GB2312"/>
        </w:rPr>
        <w:t>3.基本支出：指为保证机构正常运转，完成日常工作任务而发生的人员支出和公用支出。</w:t>
      </w:r>
    </w:p>
    <w:p>
      <w:pPr>
        <w:spacing w:line="600" w:lineRule="exact"/>
        <w:ind w:firstLine="640" w:firstLineChars="200"/>
        <w:rPr>
          <w:rFonts w:hint="eastAsia" w:ascii="仿宋_GB2312"/>
        </w:rPr>
      </w:pPr>
      <w:r>
        <w:rPr>
          <w:rFonts w:hint="eastAsia" w:ascii="仿宋_GB2312"/>
        </w:rPr>
        <w:t>4.项目支出：指在基本支出之外为完成特定行政任务和事业发展目标所发生的支出。</w:t>
      </w:r>
    </w:p>
    <w:p>
      <w:pPr>
        <w:spacing w:line="600" w:lineRule="exact"/>
        <w:ind w:firstLine="640" w:firstLineChars="200"/>
        <w:rPr>
          <w:rFonts w:hint="eastAsia" w:ascii="仿宋_GB2312"/>
        </w:rPr>
      </w:pPr>
      <w:r>
        <w:rPr>
          <w:rFonts w:hint="eastAsia" w:ascii="仿宋_GB231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hint="eastAsia" w:ascii="仿宋_GB2312"/>
        </w:rPr>
      </w:pPr>
      <w:r>
        <w:rPr>
          <w:rFonts w:hint="eastAsia" w:ascii="仿宋_GB2312"/>
        </w:rPr>
        <w:t>6.业务运行费：为保障行政单位（包含参照公务员法管理的事业单位）运行用于购买货物和服务的各项资金。包括办公及办公费、水费、电费、印刷费、邮电费、差旅费、会议费等费用开支。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hint="eastAsia" w:ascii="仿宋_GB2312"/>
        </w:rPr>
      </w:pPr>
    </w:p>
    <w:p>
      <w:pPr>
        <w:spacing w:line="600" w:lineRule="exact"/>
        <w:rPr>
          <w:rFonts w:ascii="仿宋_GB2312"/>
        </w:rPr>
      </w:pPr>
      <w:r>
        <w:rPr>
          <w:rFonts w:hint="eastAsia" w:ascii="仿宋_GB2312"/>
        </w:rPr>
        <w:t>附件：表1.部门收支总表</w:t>
      </w:r>
    </w:p>
    <w:p>
      <w:pPr>
        <w:spacing w:line="600" w:lineRule="exact"/>
        <w:rPr>
          <w:rFonts w:ascii="仿宋_GB2312"/>
        </w:rPr>
      </w:pPr>
      <w:r>
        <w:rPr>
          <w:rFonts w:hint="eastAsia" w:ascii="仿宋_GB2312"/>
        </w:rPr>
        <w:t xml:space="preserve">      表1-1.部门收入总表</w:t>
      </w:r>
    </w:p>
    <w:p>
      <w:pPr>
        <w:spacing w:line="600" w:lineRule="exact"/>
        <w:rPr>
          <w:rFonts w:ascii="仿宋_GB2312"/>
        </w:rPr>
      </w:pPr>
      <w:r>
        <w:rPr>
          <w:rFonts w:hint="eastAsia" w:ascii="仿宋_GB2312"/>
        </w:rPr>
        <w:t xml:space="preserve">      表1-2.部门支出总表</w:t>
      </w:r>
    </w:p>
    <w:p>
      <w:pPr>
        <w:spacing w:line="600" w:lineRule="exact"/>
        <w:ind w:firstLine="960" w:firstLineChars="300"/>
        <w:rPr>
          <w:rFonts w:ascii="仿宋_GB2312"/>
        </w:rPr>
      </w:pPr>
      <w:r>
        <w:rPr>
          <w:rFonts w:hint="eastAsia" w:ascii="仿宋_GB2312"/>
        </w:rPr>
        <w:t>表2.财政拨款收支预算总表</w:t>
      </w:r>
    </w:p>
    <w:p>
      <w:pPr>
        <w:spacing w:line="600" w:lineRule="exact"/>
        <w:ind w:firstLine="960" w:firstLineChars="300"/>
        <w:rPr>
          <w:rFonts w:ascii="仿宋_GB2312"/>
        </w:rPr>
      </w:pPr>
      <w:r>
        <w:rPr>
          <w:rFonts w:hint="eastAsia" w:ascii="仿宋_GB2312"/>
        </w:rPr>
        <w:t>表2-1.财政拨款支出预算表</w:t>
      </w:r>
    </w:p>
    <w:p>
      <w:pPr>
        <w:spacing w:line="600" w:lineRule="exact"/>
        <w:ind w:firstLine="960" w:firstLineChars="300"/>
        <w:rPr>
          <w:rFonts w:ascii="仿宋_GB2312"/>
        </w:rPr>
      </w:pPr>
      <w:r>
        <w:rPr>
          <w:rFonts w:hint="eastAsia" w:ascii="仿宋_GB2312"/>
        </w:rPr>
        <w:t>表3.一般公共预算支出预算表</w:t>
      </w:r>
    </w:p>
    <w:p>
      <w:pPr>
        <w:spacing w:line="600" w:lineRule="exact"/>
        <w:ind w:firstLine="960" w:firstLineChars="300"/>
        <w:rPr>
          <w:rFonts w:ascii="仿宋_GB2312"/>
        </w:rPr>
      </w:pPr>
      <w:r>
        <w:rPr>
          <w:rFonts w:hint="eastAsia" w:ascii="仿宋_GB2312"/>
        </w:rPr>
        <w:t>表3-1.一般公共预算基本支出预算表</w:t>
      </w:r>
    </w:p>
    <w:p>
      <w:pPr>
        <w:spacing w:line="600" w:lineRule="exact"/>
        <w:ind w:firstLine="960" w:firstLineChars="300"/>
        <w:rPr>
          <w:rFonts w:ascii="仿宋_GB2312"/>
        </w:rPr>
      </w:pPr>
      <w:r>
        <w:rPr>
          <w:rFonts w:hint="eastAsia" w:ascii="仿宋_GB2312"/>
        </w:rPr>
        <w:t>表3-2.一般公共预算项目支出预算表</w:t>
      </w:r>
    </w:p>
    <w:p>
      <w:pPr>
        <w:spacing w:line="600" w:lineRule="exact"/>
        <w:ind w:firstLine="960" w:firstLineChars="300"/>
        <w:rPr>
          <w:rFonts w:ascii="仿宋_GB2312"/>
        </w:rPr>
      </w:pPr>
      <w:r>
        <w:rPr>
          <w:rFonts w:hint="eastAsia" w:ascii="仿宋_GB2312"/>
        </w:rPr>
        <w:t>表3-3.一般公共预算“三公”经费支出预算表</w:t>
      </w:r>
    </w:p>
    <w:p>
      <w:pPr>
        <w:spacing w:line="600" w:lineRule="exact"/>
        <w:ind w:firstLine="960" w:firstLineChars="300"/>
        <w:rPr>
          <w:rFonts w:ascii="仿宋_GB2312"/>
        </w:rPr>
      </w:pPr>
      <w:r>
        <w:rPr>
          <w:rFonts w:hint="eastAsia" w:ascii="仿宋_GB2312"/>
        </w:rPr>
        <w:t>表4.政府性基金支出预算表</w:t>
      </w:r>
    </w:p>
    <w:p>
      <w:pPr>
        <w:spacing w:line="600" w:lineRule="exact"/>
        <w:ind w:firstLine="960" w:firstLineChars="300"/>
        <w:rPr>
          <w:rFonts w:ascii="仿宋_GB2312"/>
        </w:rPr>
      </w:pPr>
      <w:r>
        <w:rPr>
          <w:rFonts w:hint="eastAsia" w:ascii="仿宋_GB2312"/>
        </w:rPr>
        <w:t>表4-1.政府性基金预算“三公”经费支出预算表</w:t>
      </w:r>
    </w:p>
    <w:p>
      <w:pPr>
        <w:spacing w:line="600" w:lineRule="exact"/>
        <w:ind w:firstLine="960" w:firstLineChars="300"/>
        <w:rPr>
          <w:rFonts w:ascii="仿宋_GB2312"/>
        </w:rPr>
      </w:pPr>
      <w:r>
        <w:rPr>
          <w:rFonts w:hint="eastAsia" w:ascii="仿宋_GB2312"/>
        </w:rPr>
        <w:t>表5.国有资本经营预算支出预算表</w:t>
      </w: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3000509000000000000"/>
    <w:charset w:val="86"/>
    <w:family w:val="auto"/>
    <w:pitch w:val="default"/>
    <w:sig w:usb0="00000001" w:usb1="080E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90204"/>
    <w:charset w:val="01"/>
    <w:family w:val="swiss"/>
    <w:pitch w:val="default"/>
    <w:sig w:usb0="E0000AFF" w:usb1="00007843" w:usb2="00000001" w:usb3="00000000" w:csb0="400001BF" w:csb1="DFF70000"/>
  </w:font>
  <w:font w:name="黑体">
    <w:altName w:val="汉仪中黑KW"/>
    <w:panose1 w:val="0201060003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汉仪楷体简"/>
    <w:panose1 w:val="02010609030101010101"/>
    <w:charset w:val="86"/>
    <w:family w:val="modern"/>
    <w:pitch w:val="default"/>
    <w:sig w:usb0="00000000" w:usb1="00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Arial">
    <w:panose1 w:val="020B0704020202090204"/>
    <w:charset w:val="00"/>
    <w:family w:val="swiss"/>
    <w:pitch w:val="default"/>
    <w:sig w:usb0="E0000AFF" w:usb1="00007843" w:usb2="00000001" w:usb3="00000000" w:csb0="400001BF" w:csb1="DFF70000"/>
  </w:font>
  <w:font w:name="华文中宋">
    <w:altName w:val="华文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方正仿宋_GBK">
    <w:panose1 w:val="03000509000000000000"/>
    <w:charset w:val="86"/>
    <w:family w:val="auto"/>
    <w:pitch w:val="default"/>
    <w:sig w:usb0="00000001" w:usb1="080E0000" w:usb2="00000000"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Fonts w:ascii="宋体" w:hAnsi="宋体"/>
        <w:sz w:val="30"/>
        <w:szCs w:val="30"/>
      </w:rPr>
    </w:pPr>
    <w:r>
      <w:rPr>
        <w:rFonts w:ascii="宋体" w:hAnsi="宋体"/>
        <w:sz w:val="30"/>
        <w:szCs w:val="30"/>
      </w:rPr>
      <w:fldChar w:fldCharType="begin"/>
    </w:r>
    <w:r>
      <w:rPr>
        <w:rStyle w:val="6"/>
        <w:rFonts w:ascii="宋体" w:hAnsi="宋体"/>
        <w:sz w:val="30"/>
        <w:szCs w:val="30"/>
      </w:rPr>
      <w:instrText xml:space="preserve">PAGE  </w:instrText>
    </w:r>
    <w:r>
      <w:rPr>
        <w:rFonts w:ascii="宋体" w:hAnsi="宋体"/>
        <w:sz w:val="30"/>
        <w:szCs w:val="30"/>
      </w:rPr>
      <w:fldChar w:fldCharType="separate"/>
    </w:r>
    <w:r>
      <w:rPr>
        <w:rStyle w:val="6"/>
        <w:rFonts w:ascii="宋体" w:hAnsi="宋体"/>
        <w:sz w:val="30"/>
        <w:szCs w:val="30"/>
      </w:rPr>
      <w:t>- 6 -</w:t>
    </w:r>
    <w:r>
      <w:rPr>
        <w:rFonts w:ascii="宋体" w:hAnsi="宋体"/>
        <w:sz w:val="30"/>
        <w:szCs w:val="30"/>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4F8307"/>
    <w:multiLevelType w:val="singleLevel"/>
    <w:tmpl w:val="5E4F8307"/>
    <w:lvl w:ilvl="0" w:tentative="0">
      <w:start w:val="9"/>
      <w:numFmt w:val="chineseCounting"/>
      <w:suff w:val="nothing"/>
      <w:lvlText w:val="%1、"/>
      <w:lvlJc w:val="left"/>
    </w:lvl>
  </w:abstractNum>
  <w:abstractNum w:abstractNumId="1">
    <w:nsid w:val="5E4F831C"/>
    <w:multiLevelType w:val="singleLevel"/>
    <w:tmpl w:val="5E4F831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73987"/>
    <w:rsid w:val="00072108"/>
    <w:rsid w:val="002776C2"/>
    <w:rsid w:val="003537A8"/>
    <w:rsid w:val="00366F66"/>
    <w:rsid w:val="004203D1"/>
    <w:rsid w:val="004643B1"/>
    <w:rsid w:val="00653AA3"/>
    <w:rsid w:val="006560BA"/>
    <w:rsid w:val="00773987"/>
    <w:rsid w:val="007A3933"/>
    <w:rsid w:val="00852ED1"/>
    <w:rsid w:val="00866C02"/>
    <w:rsid w:val="008F6250"/>
    <w:rsid w:val="00A55B18"/>
    <w:rsid w:val="00AB752D"/>
    <w:rsid w:val="00B014B0"/>
    <w:rsid w:val="00C232C4"/>
    <w:rsid w:val="00CF0111"/>
    <w:rsid w:val="00D677F3"/>
    <w:rsid w:val="00DC7E9A"/>
    <w:rsid w:val="00E256FF"/>
    <w:rsid w:val="00E93DDA"/>
    <w:rsid w:val="00F971E4"/>
    <w:rsid w:val="00FB7E84"/>
    <w:rsid w:val="00FF7FF1"/>
    <w:rsid w:val="3BD72F19"/>
    <w:rsid w:val="6F134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link w:val="10"/>
    <w:qFormat/>
    <w:uiPriority w:val="0"/>
    <w:pPr>
      <w:spacing w:beforeLines="30"/>
    </w:pPr>
    <w:rPr>
      <w:rFonts w:ascii="仿宋_GB2312"/>
      <w:sz w:val="30"/>
    </w:rPr>
  </w:style>
  <w:style w:type="paragraph" w:styleId="3">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uiPriority w:val="0"/>
  </w:style>
  <w:style w:type="character" w:customStyle="1" w:styleId="8">
    <w:name w:val="页眉 Char"/>
    <w:basedOn w:val="5"/>
    <w:link w:val="4"/>
    <w:semiHidden/>
    <w:uiPriority w:val="99"/>
    <w:rPr>
      <w:sz w:val="18"/>
      <w:szCs w:val="18"/>
    </w:rPr>
  </w:style>
  <w:style w:type="character" w:customStyle="1" w:styleId="9">
    <w:name w:val="页脚 Char"/>
    <w:basedOn w:val="5"/>
    <w:link w:val="3"/>
    <w:semiHidden/>
    <w:uiPriority w:val="99"/>
    <w:rPr>
      <w:sz w:val="18"/>
      <w:szCs w:val="18"/>
    </w:rPr>
  </w:style>
  <w:style w:type="character" w:customStyle="1" w:styleId="10">
    <w:name w:val="正文文本 Char"/>
    <w:basedOn w:val="5"/>
    <w:link w:val="2"/>
    <w:qFormat/>
    <w:uiPriority w:val="0"/>
    <w:rPr>
      <w:rFonts w:ascii="仿宋_GB2312" w:hAnsi="Times New Roman" w:eastAsia="仿宋_GB2312" w:cs="Times New Roman"/>
      <w:sz w:val="3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448</Words>
  <Characters>2560</Characters>
  <Lines>21</Lines>
  <Paragraphs>6</Paragraphs>
  <ScaleCrop>false</ScaleCrop>
  <LinksUpToDate>false</LinksUpToDate>
  <CharactersWithSpaces>3002</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2018-02-22T16:52:00Z</dcterms:created>
  <dc:creator>a</dc:creator>
  <cp:lastModifiedBy>qinyuli</cp:lastModifiedBy>
  <dcterms:modified xsi:type="dcterms:W3CDTF">2021-08-19T16:16:02Z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