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5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0"/>
        <w:gridCol w:w="2620"/>
        <w:gridCol w:w="760"/>
        <w:gridCol w:w="640"/>
        <w:gridCol w:w="2540"/>
        <w:gridCol w:w="740"/>
        <w:gridCol w:w="1120"/>
        <w:gridCol w:w="1300"/>
        <w:gridCol w:w="560"/>
        <w:gridCol w:w="760"/>
        <w:gridCol w:w="720"/>
        <w:gridCol w:w="700"/>
        <w:gridCol w:w="720"/>
        <w:gridCol w:w="82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3160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600" w:lineRule="exact"/>
              <w:jc w:val="both"/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  <w:t>附件2</w:t>
            </w:r>
          </w:p>
        </w:tc>
        <w:tc>
          <w:tcPr>
            <w:tcW w:w="76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600" w:lineRule="exact"/>
              <w:jc w:val="both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64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600" w:lineRule="exact"/>
              <w:jc w:val="both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54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600" w:lineRule="exact"/>
              <w:jc w:val="both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74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600" w:lineRule="exact"/>
              <w:jc w:val="both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2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600" w:lineRule="exact"/>
              <w:jc w:val="both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30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600" w:lineRule="exact"/>
              <w:jc w:val="both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56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600" w:lineRule="exact"/>
              <w:jc w:val="both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76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600" w:lineRule="exact"/>
              <w:jc w:val="both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72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600" w:lineRule="exact"/>
              <w:jc w:val="both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70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600" w:lineRule="exact"/>
              <w:jc w:val="both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72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600" w:lineRule="exact"/>
              <w:jc w:val="both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2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600" w:lineRule="exact"/>
              <w:jc w:val="both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54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spacing w:line="400" w:lineRule="exact"/>
              <w:jc w:val="both"/>
              <w:rPr>
                <w:rFonts w:hint="default" w:ascii="Times New Roman" w:hAnsi="Times New Roman" w:cs="Times New Roman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14000" w:type="dxa"/>
            <w:gridSpan w:val="1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cs="Times New Roman"/>
                <w:b/>
                <w:color w:val="000000"/>
                <w:sz w:val="36"/>
                <w:szCs w:val="36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36"/>
                <w:szCs w:val="36"/>
              </w:rPr>
              <w:t>攀枝花市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36"/>
                <w:szCs w:val="36"/>
                <w:lang w:eastAsia="zh-CN"/>
              </w:rPr>
              <w:t>普惠性民办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36"/>
                <w:szCs w:val="36"/>
              </w:rPr>
              <w:t>幼儿园备案表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4540" w:type="dxa"/>
            <w:gridSpan w:val="14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填报单位（盖章）：                                                                           填报时间：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5" w:hRule="atLeast"/>
          <w:jc w:val="center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序号</w:t>
            </w:r>
          </w:p>
        </w:tc>
        <w:tc>
          <w:tcPr>
            <w:tcW w:w="2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幼儿园名称</w:t>
            </w: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办园</w:t>
            </w:r>
          </w:p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性质</w:t>
            </w: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等级</w:t>
            </w:r>
          </w:p>
        </w:tc>
        <w:tc>
          <w:tcPr>
            <w:tcW w:w="2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地址</w:t>
            </w: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城乡</w:t>
            </w:r>
          </w:p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类别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园长姓名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联系电话</w:t>
            </w:r>
          </w:p>
        </w:tc>
        <w:tc>
          <w:tcPr>
            <w:tcW w:w="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班数</w:t>
            </w: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在园</w:t>
            </w:r>
          </w:p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人数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教职工人数</w:t>
            </w: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专任教师数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班师比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保教费收费标准（元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  <w:lang w:val="en-US" w:eastAsia="zh-CN"/>
              </w:rPr>
              <w:t>/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月）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2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2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2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2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2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2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合计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2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  <w:jc w:val="center"/>
        </w:trPr>
        <w:tc>
          <w:tcPr>
            <w:tcW w:w="14540" w:type="dxa"/>
            <w:gridSpan w:val="14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备注：1.本县（区）公办省级示范幼儿园保教费标准为：  元/月，市级幼儿园保教费标准为：  元/月，无等级幼儿园保教费标准为： 元/月。</w:t>
            </w:r>
          </w:p>
          <w:p>
            <w:pPr>
              <w:spacing w:line="400" w:lineRule="exact"/>
              <w:ind w:firstLine="720" w:firstLineChars="300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2.此表由各县（区）教育行政部门填写，于每年6月前报市教育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-20"/>
                <w:sz w:val="28"/>
                <w:szCs w:val="28"/>
                <w:lang w:eastAsia="zh-CN"/>
              </w:rPr>
              <w:t>和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体育局基础教育科备案。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AA29E3"/>
    <w:rsid w:val="1BAA2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2021-09-08T09:35:00Z</dcterms:created>
  <dc:creator>灯</dc:creator>
  <cp:lastModifiedBy>灯</cp:lastModifiedBy>
  <dcterms:modified xsi:type="dcterms:W3CDTF">2021-09-08T09:36:35Z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3FB078BF648346E68DE1AD36C208B681</vt:lpwstr>
  </property>
</Properties>
</file>