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52FD" w:rsidRDefault="004C52FD">
      <w:pPr>
        <w:spacing w:line="600" w:lineRule="exact"/>
        <w:jc w:val="center"/>
        <w:outlineLvl w:val="0"/>
        <w:rPr>
          <w:rFonts w:ascii="方正小标宋简体" w:eastAsia="方正小标宋简体" w:hAnsi="宋体"/>
          <w:color w:val="000000"/>
          <w:sz w:val="72"/>
          <w:szCs w:val="72"/>
        </w:rPr>
      </w:pPr>
      <w:bookmarkStart w:id="0" w:name="_Toc15306267"/>
    </w:p>
    <w:p w:rsidR="004C52FD" w:rsidRDefault="004C52FD">
      <w:pPr>
        <w:spacing w:line="600" w:lineRule="exact"/>
        <w:jc w:val="center"/>
        <w:outlineLvl w:val="0"/>
        <w:rPr>
          <w:rFonts w:ascii="方正小标宋简体" w:eastAsia="方正小标宋简体" w:hAnsi="宋体"/>
          <w:color w:val="000000"/>
          <w:sz w:val="72"/>
          <w:szCs w:val="72"/>
        </w:rPr>
      </w:pPr>
    </w:p>
    <w:p w:rsidR="004C52FD" w:rsidRDefault="004C52FD">
      <w:pPr>
        <w:spacing w:line="600" w:lineRule="exact"/>
        <w:jc w:val="center"/>
        <w:outlineLvl w:val="0"/>
        <w:rPr>
          <w:rFonts w:ascii="方正小标宋简体" w:eastAsia="方正小标宋简体" w:hAnsi="宋体"/>
          <w:color w:val="000000"/>
          <w:sz w:val="72"/>
          <w:szCs w:val="72"/>
        </w:rPr>
      </w:pPr>
    </w:p>
    <w:p w:rsidR="004C52FD" w:rsidRDefault="004C52FD">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425"/>
      <w:bookmarkStart w:id="2" w:name="_Toc15378441"/>
      <w:bookmarkStart w:id="3" w:name="_Toc15396475"/>
      <w:bookmarkStart w:id="4" w:name="_Toc15377193"/>
      <w:bookmarkStart w:id="5" w:name="_Toc15396597"/>
      <w:bookmarkStart w:id="6" w:name="_Toc25046"/>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End w:id="1"/>
      <w:bookmarkEnd w:id="2"/>
      <w:bookmarkEnd w:id="3"/>
      <w:bookmarkEnd w:id="4"/>
      <w:bookmarkEnd w:id="5"/>
      <w:bookmarkEnd w:id="6"/>
    </w:p>
    <w:p w:rsidR="004C52FD" w:rsidRDefault="004C52FD">
      <w:pPr>
        <w:adjustRightInd w:val="0"/>
        <w:snapToGrid w:val="0"/>
        <w:spacing w:line="360" w:lineRule="auto"/>
        <w:jc w:val="center"/>
        <w:outlineLvl w:val="0"/>
        <w:rPr>
          <w:rFonts w:ascii="方正小标宋简体" w:eastAsia="方正小标宋简体" w:hAnsi="宋体"/>
          <w:color w:val="000000"/>
          <w:sz w:val="72"/>
          <w:szCs w:val="72"/>
        </w:rPr>
      </w:pPr>
      <w:bookmarkStart w:id="7" w:name="_Toc15377194"/>
      <w:bookmarkStart w:id="8" w:name="_Toc15378442"/>
      <w:bookmarkStart w:id="9" w:name="_Toc15396476"/>
      <w:bookmarkStart w:id="10" w:name="_Toc15377426"/>
      <w:bookmarkStart w:id="11" w:name="_Toc15396598"/>
      <w:bookmarkStart w:id="12" w:name="_Toc2721"/>
      <w:r>
        <w:rPr>
          <w:rFonts w:ascii="方正小标宋简体" w:eastAsia="方正小标宋简体" w:hAnsi="宋体" w:hint="eastAsia"/>
          <w:color w:val="000000"/>
          <w:sz w:val="72"/>
          <w:szCs w:val="72"/>
        </w:rPr>
        <w:t>四川省</w:t>
      </w:r>
      <w:bookmarkStart w:id="13" w:name="_Toc15306268"/>
      <w:bookmarkEnd w:id="0"/>
      <w:r>
        <w:rPr>
          <w:rFonts w:eastAsia="方正小标宋简体"/>
          <w:color w:val="000000"/>
          <w:sz w:val="72"/>
          <w:szCs w:val="72"/>
        </w:rPr>
        <w:t>攀枝花市铁路医院</w:t>
      </w:r>
      <w:r>
        <w:rPr>
          <w:rFonts w:ascii="方正小标宋简体" w:eastAsia="方正小标宋简体" w:hAnsi="宋体" w:hint="eastAsia"/>
          <w:color w:val="000000"/>
          <w:sz w:val="72"/>
          <w:szCs w:val="72"/>
        </w:rPr>
        <w:t>部门决算</w:t>
      </w:r>
      <w:bookmarkEnd w:id="7"/>
      <w:bookmarkEnd w:id="8"/>
      <w:bookmarkEnd w:id="9"/>
      <w:bookmarkEnd w:id="10"/>
      <w:bookmarkEnd w:id="11"/>
      <w:bookmarkEnd w:id="12"/>
      <w:bookmarkEnd w:id="13"/>
    </w:p>
    <w:p w:rsidR="004C52FD" w:rsidRDefault="004C52FD">
      <w:pPr>
        <w:adjustRightInd w:val="0"/>
        <w:snapToGrid w:val="0"/>
        <w:spacing w:line="360" w:lineRule="auto"/>
        <w:jc w:val="center"/>
        <w:outlineLvl w:val="0"/>
        <w:rPr>
          <w:rFonts w:ascii="方正小标宋简体" w:eastAsia="方正小标宋简体" w:hAnsi="宋体" w:hint="eastAsia"/>
          <w:color w:val="000000"/>
          <w:sz w:val="52"/>
          <w:szCs w:val="52"/>
        </w:rPr>
      </w:pPr>
    </w:p>
    <w:p w:rsidR="004C52FD" w:rsidRDefault="004C52FD">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4C52FD" w:rsidRDefault="004C52FD">
      <w:pPr>
        <w:widowControl/>
        <w:jc w:val="center"/>
        <w:rPr>
          <w:rFonts w:ascii="黑体" w:eastAsia="黑体" w:hAnsi="黑体"/>
          <w:sz w:val="28"/>
          <w:szCs w:val="28"/>
        </w:rPr>
      </w:pPr>
    </w:p>
    <w:p w:rsidR="004C52FD" w:rsidRDefault="004C52FD">
      <w:pPr>
        <w:pStyle w:val="11"/>
      </w:pPr>
      <w:r>
        <w:rPr>
          <w:rFonts w:hint="eastAsia"/>
        </w:rPr>
        <w:t>公开时间：</w:t>
      </w:r>
      <w:r>
        <w:t>2021</w:t>
      </w:r>
      <w:r>
        <w:rPr>
          <w:rFonts w:hint="eastAsia"/>
        </w:rPr>
        <w:t xml:space="preserve">年 </w:t>
      </w:r>
      <w:r>
        <w:rPr>
          <w:rFonts w:eastAsia="宋体" w:hint="eastAsia"/>
        </w:rPr>
        <w:t>9</w:t>
      </w:r>
      <w:r>
        <w:rPr>
          <w:rFonts w:hint="eastAsia"/>
        </w:rPr>
        <w:t xml:space="preserve">月 </w:t>
      </w:r>
      <w:r w:rsidR="009B3493">
        <w:rPr>
          <w:rFonts w:eastAsia="宋体"/>
        </w:rPr>
        <w:t>14</w:t>
      </w:r>
      <w:r>
        <w:rPr>
          <w:rFonts w:hint="eastAsia"/>
        </w:rPr>
        <w:t>日</w:t>
      </w:r>
      <w:r>
        <w:fldChar w:fldCharType="begin"/>
      </w:r>
      <w:r>
        <w:instrText xml:space="preserve">TOC \o "1-3" \h \u </w:instrText>
      </w:r>
      <w:r>
        <w:fldChar w:fldCharType="separate"/>
      </w:r>
    </w:p>
    <w:p w:rsidR="004C52FD" w:rsidRDefault="004C52FD">
      <w:pPr>
        <w:pStyle w:val="11"/>
        <w:tabs>
          <w:tab w:val="clear" w:pos="8296"/>
          <w:tab w:val="right" w:leader="dot" w:pos="8306"/>
        </w:tabs>
      </w:pPr>
      <w:hyperlink w:anchor="_Toc30974" w:history="1">
        <w:r>
          <w:rPr>
            <w:rFonts w:ascii="黑体" w:eastAsia="黑体" w:hAnsi="黑体" w:hint="eastAsia"/>
          </w:rPr>
          <w:t>第一部分</w:t>
        </w:r>
        <w:r>
          <w:rPr>
            <w:rFonts w:ascii="黑体" w:eastAsia="黑体" w:hAnsi="黑体"/>
          </w:rPr>
          <w:t xml:space="preserve"> </w:t>
        </w:r>
        <w:r>
          <w:rPr>
            <w:rFonts w:ascii="黑体" w:eastAsia="黑体" w:hAnsi="黑体" w:hint="eastAsia"/>
          </w:rPr>
          <w:t>部门概况</w:t>
        </w:r>
        <w:r>
          <w:tab/>
        </w:r>
        <w:fldSimple w:instr=" PAGEREF _Toc30974 \h ">
          <w:r>
            <w:t>5</w:t>
          </w:r>
        </w:fldSimple>
      </w:hyperlink>
    </w:p>
    <w:p w:rsidR="004C52FD" w:rsidRDefault="004C52FD">
      <w:pPr>
        <w:pStyle w:val="21"/>
        <w:tabs>
          <w:tab w:val="clear" w:pos="8296"/>
          <w:tab w:val="right" w:leader="dot" w:pos="8306"/>
        </w:tabs>
      </w:pPr>
      <w:hyperlink w:anchor="_Toc13531" w:history="1">
        <w:r>
          <w:rPr>
            <w:rFonts w:ascii="黑体" w:eastAsia="黑体" w:hAnsi="黑体" w:hint="eastAsia"/>
          </w:rPr>
          <w:t>一、基本职能及主要工作</w:t>
        </w:r>
        <w:r>
          <w:tab/>
        </w:r>
        <w:fldSimple w:instr=" PAGEREF _Toc13531 \h ">
          <w:r>
            <w:t>5</w:t>
          </w:r>
        </w:fldSimple>
      </w:hyperlink>
    </w:p>
    <w:p w:rsidR="004C52FD" w:rsidRDefault="004C52FD" w:rsidP="009B3493">
      <w:pPr>
        <w:pStyle w:val="31"/>
      </w:pPr>
      <w:hyperlink w:anchor="_Toc26839" w:history="1">
        <w:r>
          <w:rPr>
            <w:rFonts w:ascii="仿宋" w:eastAsia="仿宋" w:hAnsi="仿宋" w:hint="eastAsia"/>
            <w:bCs/>
            <w:szCs w:val="32"/>
          </w:rPr>
          <w:t>（一）主要职能。</w:t>
        </w:r>
        <w:r>
          <w:tab/>
        </w:r>
        <w:fldSimple w:instr=" PAGEREF _Toc26839 \h ">
          <w:r>
            <w:t>5</w:t>
          </w:r>
        </w:fldSimple>
      </w:hyperlink>
    </w:p>
    <w:p w:rsidR="004C52FD" w:rsidRDefault="004C52FD">
      <w:pPr>
        <w:pStyle w:val="31"/>
        <w:tabs>
          <w:tab w:val="clear" w:pos="8296"/>
          <w:tab w:val="right" w:leader="dot" w:pos="8306"/>
        </w:tabs>
      </w:pPr>
      <w:hyperlink w:anchor="_Toc7385" w:history="1">
        <w:r>
          <w:rPr>
            <w:rFonts w:ascii="仿宋" w:eastAsia="仿宋" w:hAnsi="仿宋" w:hint="eastAsia"/>
            <w:bCs/>
            <w:szCs w:val="32"/>
          </w:rPr>
          <w:t>（二）</w:t>
        </w:r>
        <w:r>
          <w:rPr>
            <w:rFonts w:ascii="仿宋" w:eastAsia="仿宋" w:hAnsi="仿宋"/>
            <w:bCs/>
            <w:szCs w:val="32"/>
          </w:rPr>
          <w:t>2020</w:t>
        </w:r>
        <w:r>
          <w:rPr>
            <w:rFonts w:ascii="仿宋" w:eastAsia="仿宋" w:hAnsi="仿宋" w:hint="eastAsia"/>
            <w:bCs/>
            <w:szCs w:val="32"/>
          </w:rPr>
          <w:t>年重点工作完成情况。</w:t>
        </w:r>
        <w:r>
          <w:tab/>
        </w:r>
        <w:fldSimple w:instr=" PAGEREF _Toc7385 \h ">
          <w:r>
            <w:t>5</w:t>
          </w:r>
        </w:fldSimple>
      </w:hyperlink>
    </w:p>
    <w:p w:rsidR="004C52FD" w:rsidRDefault="004C52FD">
      <w:pPr>
        <w:pStyle w:val="21"/>
        <w:tabs>
          <w:tab w:val="clear" w:pos="8296"/>
          <w:tab w:val="right" w:leader="dot" w:pos="8306"/>
        </w:tabs>
      </w:pPr>
      <w:hyperlink w:anchor="_Toc24553" w:history="1">
        <w:r>
          <w:rPr>
            <w:rFonts w:ascii="黑体" w:eastAsia="黑体" w:hint="eastAsia"/>
          </w:rPr>
          <w:t>二、</w:t>
        </w:r>
        <w:r>
          <w:rPr>
            <w:rFonts w:ascii="黑体" w:eastAsia="黑体" w:hAnsi="黑体" w:hint="eastAsia"/>
          </w:rPr>
          <w:t>机构设置</w:t>
        </w:r>
        <w:r>
          <w:tab/>
        </w:r>
        <w:fldSimple w:instr=" PAGEREF _Toc24553 \h ">
          <w:r>
            <w:t>5</w:t>
          </w:r>
        </w:fldSimple>
      </w:hyperlink>
    </w:p>
    <w:p w:rsidR="004C52FD" w:rsidRDefault="004C52FD">
      <w:pPr>
        <w:pStyle w:val="11"/>
        <w:tabs>
          <w:tab w:val="clear" w:pos="8296"/>
          <w:tab w:val="right" w:leader="dot" w:pos="8306"/>
        </w:tabs>
      </w:pPr>
      <w:hyperlink w:anchor="_Toc28407" w:history="1">
        <w:r>
          <w:rPr>
            <w:rFonts w:ascii="黑体" w:eastAsia="黑体" w:hAnsi="黑体" w:hint="eastAsia"/>
          </w:rPr>
          <w:t>第二部分</w:t>
        </w:r>
        <w:r>
          <w:rPr>
            <w:rFonts w:ascii="黑体" w:eastAsia="黑体" w:hAnsi="黑体"/>
          </w:rPr>
          <w:t xml:space="preserve"> 2020</w:t>
        </w:r>
        <w:r>
          <w:rPr>
            <w:rFonts w:ascii="黑体" w:eastAsia="黑体" w:hAnsi="黑体" w:hint="eastAsia"/>
          </w:rPr>
          <w:t>年度部门决算情况说明</w:t>
        </w:r>
        <w:r>
          <w:tab/>
        </w:r>
        <w:fldSimple w:instr=" PAGEREF _Toc28407 \h ">
          <w:r>
            <w:t>6</w:t>
          </w:r>
        </w:fldSimple>
      </w:hyperlink>
    </w:p>
    <w:p w:rsidR="004C52FD" w:rsidRDefault="004C52FD">
      <w:pPr>
        <w:pStyle w:val="21"/>
        <w:tabs>
          <w:tab w:val="clear" w:pos="8296"/>
          <w:tab w:val="right" w:leader="dot" w:pos="8306"/>
        </w:tabs>
      </w:pPr>
      <w:hyperlink w:anchor="_Toc5327" w:history="1">
        <w:r>
          <w:rPr>
            <w:rFonts w:ascii="黑体" w:eastAsia="黑体" w:hAnsi="黑体"/>
          </w:rPr>
          <w:t xml:space="preserve">一、 </w:t>
        </w:r>
        <w:r>
          <w:rPr>
            <w:rFonts w:ascii="黑体" w:eastAsia="黑体" w:hAnsi="黑体" w:hint="eastAsia"/>
            <w:szCs w:val="32"/>
          </w:rPr>
          <w:t>收</w:t>
        </w:r>
        <w:r>
          <w:rPr>
            <w:rFonts w:ascii="黑体" w:eastAsia="黑体" w:hAnsi="黑体" w:hint="eastAsia"/>
          </w:rPr>
          <w:t>入支出决算总体情况说明</w:t>
        </w:r>
        <w:r>
          <w:tab/>
        </w:r>
        <w:fldSimple w:instr=" PAGEREF _Toc5327 \h ">
          <w:r>
            <w:t>6</w:t>
          </w:r>
        </w:fldSimple>
      </w:hyperlink>
    </w:p>
    <w:p w:rsidR="004C52FD" w:rsidRDefault="004C52FD" w:rsidP="009B3493">
      <w:pPr>
        <w:pStyle w:val="21"/>
      </w:pPr>
      <w:hyperlink w:anchor="_Toc22896" w:history="1">
        <w:r>
          <w:rPr>
            <w:rFonts w:ascii="黑体" w:eastAsia="黑体" w:hAnsi="黑体"/>
          </w:rPr>
          <w:t xml:space="preserve">二、 </w:t>
        </w:r>
        <w:r>
          <w:rPr>
            <w:rFonts w:ascii="黑体" w:eastAsia="黑体" w:hAnsi="黑体" w:hint="eastAsia"/>
            <w:szCs w:val="32"/>
          </w:rPr>
          <w:t>收</w:t>
        </w:r>
        <w:r>
          <w:rPr>
            <w:rFonts w:ascii="黑体" w:eastAsia="黑体" w:hAnsi="黑体" w:hint="eastAsia"/>
          </w:rPr>
          <w:t>入决算情况说明</w:t>
        </w:r>
        <w:r>
          <w:tab/>
        </w:r>
        <w:fldSimple w:instr=" PAGEREF _Toc22896 \h ">
          <w:r>
            <w:t>6</w:t>
          </w:r>
        </w:fldSimple>
      </w:hyperlink>
    </w:p>
    <w:p w:rsidR="004C52FD" w:rsidRDefault="004C52FD" w:rsidP="009B3493">
      <w:pPr>
        <w:pStyle w:val="21"/>
      </w:pPr>
      <w:hyperlink w:anchor="_Toc4504" w:history="1">
        <w:r>
          <w:rPr>
            <w:rFonts w:ascii="黑体" w:eastAsia="黑体" w:hAnsi="黑体"/>
          </w:rPr>
          <w:t xml:space="preserve">三、 </w:t>
        </w:r>
        <w:r>
          <w:rPr>
            <w:rFonts w:ascii="黑体" w:eastAsia="黑体" w:hAnsi="黑体" w:hint="eastAsia"/>
            <w:szCs w:val="32"/>
          </w:rPr>
          <w:t>支</w:t>
        </w:r>
        <w:r>
          <w:rPr>
            <w:rFonts w:ascii="黑体" w:eastAsia="黑体" w:hAnsi="黑体" w:hint="eastAsia"/>
          </w:rPr>
          <w:t>出决算情况说明</w:t>
        </w:r>
        <w:r>
          <w:tab/>
        </w:r>
        <w:fldSimple w:instr=" PAGEREF _Toc4504 \h ">
          <w:r>
            <w:t>7</w:t>
          </w:r>
        </w:fldSimple>
      </w:hyperlink>
    </w:p>
    <w:p w:rsidR="004C52FD" w:rsidRDefault="004C52FD">
      <w:pPr>
        <w:pStyle w:val="21"/>
        <w:tabs>
          <w:tab w:val="clear" w:pos="8296"/>
          <w:tab w:val="right" w:leader="dot" w:pos="8306"/>
        </w:tabs>
      </w:pPr>
      <w:hyperlink w:anchor="_Toc20401" w:history="1">
        <w:r>
          <w:rPr>
            <w:rFonts w:ascii="黑体" w:eastAsia="黑体" w:hAnsi="黑体" w:hint="eastAsia"/>
            <w:szCs w:val="32"/>
          </w:rPr>
          <w:t>四、财</w:t>
        </w:r>
        <w:r>
          <w:rPr>
            <w:rFonts w:ascii="黑体" w:eastAsia="黑体" w:hAnsi="黑体" w:hint="eastAsia"/>
          </w:rPr>
          <w:t>政拨款收入支出决算总体情况说明</w:t>
        </w:r>
        <w:r>
          <w:tab/>
        </w:r>
        <w:fldSimple w:instr=" PAGEREF _Toc20401 \h ">
          <w:r>
            <w:t>7</w:t>
          </w:r>
        </w:fldSimple>
      </w:hyperlink>
    </w:p>
    <w:p w:rsidR="004C52FD" w:rsidRDefault="004C52FD" w:rsidP="009B3493">
      <w:pPr>
        <w:pStyle w:val="21"/>
        <w:rPr>
          <w:rFonts w:hint="eastAsia"/>
        </w:rPr>
      </w:pPr>
      <w:hyperlink w:anchor="_Toc1474" w:history="1">
        <w:r>
          <w:rPr>
            <w:rFonts w:ascii="黑体" w:eastAsia="黑体" w:hAnsi="黑体" w:hint="eastAsia"/>
            <w:szCs w:val="32"/>
          </w:rPr>
          <w:t>五、一</w:t>
        </w:r>
        <w:r>
          <w:rPr>
            <w:rFonts w:ascii="黑体" w:eastAsia="黑体" w:hAnsi="黑体" w:hint="eastAsia"/>
          </w:rPr>
          <w:t>般公共预算财政拨款支出决算情况说明</w:t>
        </w:r>
        <w:r>
          <w:tab/>
        </w:r>
        <w:fldSimple w:instr=" PAGEREF _Toc1474 \h ">
          <w:r>
            <w:t>8</w:t>
          </w:r>
        </w:fldSimple>
      </w:hyperlink>
    </w:p>
    <w:p w:rsidR="004C52FD" w:rsidRDefault="004C52FD">
      <w:pPr>
        <w:pStyle w:val="21"/>
        <w:tabs>
          <w:tab w:val="clear" w:pos="8296"/>
          <w:tab w:val="right" w:leader="dot" w:pos="8306"/>
        </w:tabs>
      </w:pPr>
      <w:hyperlink w:anchor="_Toc22881" w:history="1">
        <w:r>
          <w:rPr>
            <w:rFonts w:ascii="黑体" w:eastAsia="黑体" w:hint="eastAsia"/>
            <w:szCs w:val="32"/>
          </w:rPr>
          <w:t>六、</w:t>
        </w:r>
        <w:r>
          <w:rPr>
            <w:rFonts w:ascii="黑体" w:eastAsia="黑体" w:hAnsi="黑体" w:hint="eastAsia"/>
            <w:szCs w:val="32"/>
          </w:rPr>
          <w:t>一</w:t>
        </w:r>
        <w:r>
          <w:rPr>
            <w:rFonts w:ascii="黑体" w:eastAsia="黑体" w:hAnsi="黑体" w:hint="eastAsia"/>
          </w:rPr>
          <w:t>般公共预算财政拨款基本支出决算情况说明</w:t>
        </w:r>
        <w:r>
          <w:tab/>
        </w:r>
        <w:fldSimple w:instr=" PAGEREF _Toc22881 \h ">
          <w:r>
            <w:t>10</w:t>
          </w:r>
        </w:fldSimple>
      </w:hyperlink>
    </w:p>
    <w:p w:rsidR="004C52FD" w:rsidRDefault="004C52FD" w:rsidP="009B3493">
      <w:pPr>
        <w:pStyle w:val="21"/>
        <w:rPr>
          <w:rFonts w:hint="eastAsia"/>
        </w:rPr>
      </w:pPr>
      <w:hyperlink w:anchor="_Toc9456" w:history="1">
        <w:r>
          <w:rPr>
            <w:rFonts w:ascii="黑体" w:eastAsia="黑体" w:hint="eastAsia"/>
            <w:szCs w:val="32"/>
          </w:rPr>
          <w:t>七、</w:t>
        </w:r>
        <w:r>
          <w:rPr>
            <w:rFonts w:ascii="黑体" w:eastAsia="黑体" w:hAnsi="黑体" w:hint="eastAsia"/>
          </w:rPr>
          <w:t>“三公”经费财政拨款支出决算情况说明</w:t>
        </w:r>
        <w:r>
          <w:tab/>
        </w:r>
        <w:fldSimple w:instr=" PAGEREF _Toc9456 \h ">
          <w:r>
            <w:t>10</w:t>
          </w:r>
        </w:fldSimple>
      </w:hyperlink>
    </w:p>
    <w:p w:rsidR="004C52FD" w:rsidRDefault="004C52FD">
      <w:pPr>
        <w:pStyle w:val="21"/>
        <w:tabs>
          <w:tab w:val="clear" w:pos="8296"/>
          <w:tab w:val="right" w:leader="dot" w:pos="8306"/>
        </w:tabs>
      </w:pPr>
      <w:hyperlink w:anchor="_Toc5535" w:history="1">
        <w:r>
          <w:rPr>
            <w:rFonts w:ascii="黑体" w:eastAsia="黑体" w:hint="eastAsia"/>
            <w:szCs w:val="32"/>
          </w:rPr>
          <w:t>八、</w:t>
        </w:r>
        <w:r>
          <w:rPr>
            <w:rFonts w:ascii="黑体" w:eastAsia="黑体" w:hAnsi="黑体" w:hint="eastAsia"/>
          </w:rPr>
          <w:t>政府性基金预算支出决算情况说明</w:t>
        </w:r>
        <w:r>
          <w:tab/>
        </w:r>
        <w:fldSimple w:instr=" PAGEREF _Toc5535 \h ">
          <w:r>
            <w:t>12</w:t>
          </w:r>
        </w:fldSimple>
      </w:hyperlink>
    </w:p>
    <w:p w:rsidR="004C52FD" w:rsidRDefault="004C52FD">
      <w:pPr>
        <w:pStyle w:val="21"/>
        <w:tabs>
          <w:tab w:val="clear" w:pos="8296"/>
          <w:tab w:val="right" w:leader="dot" w:pos="8306"/>
        </w:tabs>
      </w:pPr>
      <w:hyperlink w:anchor="_Toc10284" w:history="1">
        <w:r>
          <w:rPr>
            <w:rFonts w:ascii="黑体" w:eastAsia="黑体" w:hAnsi="黑体" w:hint="eastAsia"/>
          </w:rPr>
          <w:t>九、 国有资本经营预算支出决算情况说明</w:t>
        </w:r>
        <w:r>
          <w:tab/>
        </w:r>
        <w:fldSimple w:instr=" PAGEREF _Toc10284 \h ">
          <w:r>
            <w:t>12</w:t>
          </w:r>
        </w:fldSimple>
      </w:hyperlink>
    </w:p>
    <w:p w:rsidR="004C52FD" w:rsidRDefault="004C52FD" w:rsidP="009B3493">
      <w:pPr>
        <w:pStyle w:val="21"/>
        <w:rPr>
          <w:rFonts w:hint="eastAsia"/>
        </w:rPr>
      </w:pPr>
      <w:hyperlink w:anchor="_Toc15558" w:history="1">
        <w:r>
          <w:rPr>
            <w:rFonts w:ascii="黑体" w:eastAsia="黑体" w:hAnsi="黑体" w:hint="eastAsia"/>
            <w:szCs w:val="32"/>
          </w:rPr>
          <w:t>十</w:t>
        </w:r>
        <w:r>
          <w:rPr>
            <w:rFonts w:ascii="黑体" w:eastAsia="黑体" w:hAnsi="黑体" w:hint="eastAsia"/>
          </w:rPr>
          <w:t>、其他重要事项的情况说明</w:t>
        </w:r>
        <w:r>
          <w:tab/>
        </w:r>
        <w:fldSimple w:instr=" PAGEREF _Toc15558 \h ">
          <w:r>
            <w:t>12</w:t>
          </w:r>
        </w:fldSimple>
      </w:hyperlink>
    </w:p>
    <w:p w:rsidR="004C52FD" w:rsidRDefault="004C52FD">
      <w:pPr>
        <w:pStyle w:val="11"/>
        <w:tabs>
          <w:tab w:val="clear" w:pos="8296"/>
          <w:tab w:val="right" w:leader="dot" w:pos="8306"/>
        </w:tabs>
      </w:pPr>
      <w:hyperlink w:anchor="_Toc14340" w:history="1">
        <w:r>
          <w:rPr>
            <w:rFonts w:ascii="黑体" w:eastAsia="黑体" w:hAnsi="黑体" w:hint="eastAsia"/>
          </w:rPr>
          <w:t xml:space="preserve">第三部分 </w:t>
        </w:r>
        <w:r>
          <w:rPr>
            <w:rFonts w:ascii="黑体" w:eastAsia="黑体" w:hAnsi="黑体" w:hint="eastAsia"/>
            <w:szCs w:val="44"/>
          </w:rPr>
          <w:t>名</w:t>
        </w:r>
        <w:r>
          <w:rPr>
            <w:rFonts w:ascii="黑体" w:eastAsia="黑体" w:hAnsi="黑体" w:hint="eastAsia"/>
          </w:rPr>
          <w:t>词解释</w:t>
        </w:r>
        <w:r>
          <w:tab/>
        </w:r>
        <w:fldSimple w:instr=" PAGEREF _Toc14340 \h ">
          <w:r>
            <w:t>16</w:t>
          </w:r>
        </w:fldSimple>
      </w:hyperlink>
    </w:p>
    <w:p w:rsidR="004C52FD" w:rsidRDefault="004C52FD">
      <w:pPr>
        <w:pStyle w:val="11"/>
        <w:tabs>
          <w:tab w:val="clear" w:pos="8296"/>
          <w:tab w:val="right" w:leader="dot" w:pos="8306"/>
        </w:tabs>
      </w:pPr>
      <w:hyperlink w:anchor="_Toc13752" w:history="1">
        <w:r>
          <w:rPr>
            <w:rFonts w:ascii="黑体" w:eastAsia="黑体" w:hAnsi="黑体" w:hint="eastAsia"/>
            <w:szCs w:val="44"/>
          </w:rPr>
          <w:t>第</w:t>
        </w:r>
        <w:r>
          <w:rPr>
            <w:rFonts w:ascii="黑体" w:eastAsia="黑体" w:hAnsi="黑体" w:hint="eastAsia"/>
          </w:rPr>
          <w:t>四部分</w:t>
        </w:r>
        <w:r>
          <w:rPr>
            <w:rFonts w:ascii="黑体" w:eastAsia="黑体" w:hAnsi="黑体"/>
          </w:rPr>
          <w:t xml:space="preserve"> </w:t>
        </w:r>
        <w:r>
          <w:rPr>
            <w:rFonts w:ascii="黑体" w:eastAsia="黑体" w:hAnsi="黑体" w:hint="eastAsia"/>
          </w:rPr>
          <w:t>附件</w:t>
        </w:r>
        <w:r>
          <w:tab/>
        </w:r>
        <w:fldSimple w:instr=" PAGEREF _Toc13752 \h ">
          <w:r>
            <w:t>19</w:t>
          </w:r>
        </w:fldSimple>
      </w:hyperlink>
    </w:p>
    <w:p w:rsidR="004C52FD" w:rsidRDefault="004C52FD">
      <w:pPr>
        <w:pStyle w:val="11"/>
        <w:tabs>
          <w:tab w:val="clear" w:pos="8296"/>
          <w:tab w:val="right" w:leader="dot" w:pos="8306"/>
        </w:tabs>
      </w:pPr>
      <w:hyperlink w:anchor="_Toc23046" w:history="1">
        <w:r>
          <w:rPr>
            <w:rFonts w:ascii="黑体" w:eastAsia="黑体" w:hAnsi="黑体" w:cs="黑体" w:hint="eastAsia"/>
            <w:szCs w:val="32"/>
          </w:rPr>
          <w:t>附件</w:t>
        </w:r>
        <w:r>
          <w:rPr>
            <w:rFonts w:ascii="黑体" w:eastAsia="黑体" w:hAnsi="黑体" w:cs="黑体"/>
            <w:szCs w:val="32"/>
          </w:rPr>
          <w:t>1</w:t>
        </w:r>
        <w:r>
          <w:tab/>
        </w:r>
        <w:fldSimple w:instr=" PAGEREF _Toc23046 \h ">
          <w:r>
            <w:t>19</w:t>
          </w:r>
        </w:fldSimple>
      </w:hyperlink>
    </w:p>
    <w:p w:rsidR="009B3493" w:rsidRPr="009B3493" w:rsidRDefault="009B3493" w:rsidP="009B3493">
      <w:pPr>
        <w:rPr>
          <w:rFonts w:hint="eastAsia"/>
        </w:rPr>
      </w:pPr>
      <w:r>
        <w:rPr>
          <w:rFonts w:hint="eastAsia"/>
        </w:rPr>
        <w:t>附件</w:t>
      </w:r>
      <w:r>
        <w:rPr>
          <w:rFonts w:hint="eastAsia"/>
        </w:rPr>
        <w:t>2</w:t>
      </w:r>
      <w:r>
        <w:t>…………………………………………………………………………</w:t>
      </w:r>
      <w:bookmarkStart w:id="14" w:name="_GoBack"/>
      <w:bookmarkEnd w:id="14"/>
      <w:r>
        <w:t>…………………</w:t>
      </w:r>
      <w:r>
        <w:rPr>
          <w:rFonts w:hint="eastAsia"/>
        </w:rPr>
        <w:t>..</w:t>
      </w:r>
      <w:r>
        <w:t>20</w:t>
      </w:r>
    </w:p>
    <w:p w:rsidR="004C52FD" w:rsidRDefault="004C52FD">
      <w:pPr>
        <w:pStyle w:val="11"/>
        <w:tabs>
          <w:tab w:val="clear" w:pos="8296"/>
          <w:tab w:val="right" w:leader="dot" w:pos="8306"/>
        </w:tabs>
      </w:pPr>
      <w:hyperlink w:anchor="_Toc26958" w:history="1">
        <w:r>
          <w:rPr>
            <w:rFonts w:ascii="黑体" w:eastAsia="黑体" w:hAnsi="黑体" w:hint="eastAsia"/>
            <w:szCs w:val="44"/>
          </w:rPr>
          <w:t>第</w:t>
        </w:r>
        <w:r>
          <w:rPr>
            <w:rFonts w:ascii="黑体" w:eastAsia="黑体" w:hAnsi="黑体" w:hint="eastAsia"/>
          </w:rPr>
          <w:t>五部分</w:t>
        </w:r>
        <w:r>
          <w:rPr>
            <w:rFonts w:ascii="黑体" w:eastAsia="黑体" w:hAnsi="黑体"/>
          </w:rPr>
          <w:t xml:space="preserve"> </w:t>
        </w:r>
        <w:r>
          <w:rPr>
            <w:rFonts w:ascii="黑体" w:eastAsia="黑体" w:hAnsi="黑体" w:hint="eastAsia"/>
          </w:rPr>
          <w:t>附表</w:t>
        </w:r>
        <w:r>
          <w:tab/>
        </w:r>
        <w:fldSimple w:instr=" PAGEREF _Toc26958 \h ">
          <w:r>
            <w:t>25</w:t>
          </w:r>
        </w:fldSimple>
      </w:hyperlink>
    </w:p>
    <w:p w:rsidR="004C52FD" w:rsidRDefault="004C52FD">
      <w:pPr>
        <w:pStyle w:val="21"/>
        <w:tabs>
          <w:tab w:val="clear" w:pos="8296"/>
          <w:tab w:val="right" w:leader="dot" w:pos="8306"/>
        </w:tabs>
      </w:pPr>
      <w:hyperlink w:anchor="_Toc2451" w:history="1">
        <w:r>
          <w:rPr>
            <w:rFonts w:ascii="仿宋" w:eastAsia="仿宋" w:hAnsi="仿宋" w:hint="eastAsia"/>
          </w:rPr>
          <w:t>一、收入支出决算总表</w:t>
        </w:r>
        <w:r>
          <w:tab/>
        </w:r>
        <w:fldSimple w:instr=" PAGEREF _Toc2451 \h ">
          <w:r>
            <w:t>25</w:t>
          </w:r>
        </w:fldSimple>
      </w:hyperlink>
    </w:p>
    <w:p w:rsidR="004C52FD" w:rsidRDefault="004C52FD">
      <w:pPr>
        <w:pStyle w:val="21"/>
        <w:tabs>
          <w:tab w:val="clear" w:pos="8296"/>
          <w:tab w:val="right" w:leader="dot" w:pos="8306"/>
        </w:tabs>
      </w:pPr>
      <w:hyperlink w:anchor="_Toc13916" w:history="1">
        <w:r>
          <w:rPr>
            <w:rFonts w:ascii="仿宋" w:eastAsia="仿宋" w:hAnsi="仿宋" w:hint="eastAsia"/>
          </w:rPr>
          <w:t>二、收入决算表</w:t>
        </w:r>
        <w:r>
          <w:tab/>
        </w:r>
        <w:fldSimple w:instr=" PAGEREF _Toc13916 \h ">
          <w:r>
            <w:t>25</w:t>
          </w:r>
        </w:fldSimple>
      </w:hyperlink>
    </w:p>
    <w:p w:rsidR="004C52FD" w:rsidRDefault="004C52FD">
      <w:pPr>
        <w:pStyle w:val="21"/>
        <w:tabs>
          <w:tab w:val="clear" w:pos="8296"/>
          <w:tab w:val="right" w:leader="dot" w:pos="8306"/>
        </w:tabs>
      </w:pPr>
      <w:hyperlink w:anchor="_Toc24424" w:history="1">
        <w:r>
          <w:rPr>
            <w:rFonts w:ascii="仿宋" w:eastAsia="仿宋" w:hAnsi="仿宋" w:hint="eastAsia"/>
          </w:rPr>
          <w:t>三、支出决算表</w:t>
        </w:r>
        <w:r>
          <w:tab/>
        </w:r>
        <w:fldSimple w:instr=" PAGEREF _Toc24424 \h ">
          <w:r>
            <w:t>25</w:t>
          </w:r>
        </w:fldSimple>
      </w:hyperlink>
    </w:p>
    <w:p w:rsidR="004C52FD" w:rsidRDefault="004C52FD">
      <w:pPr>
        <w:pStyle w:val="21"/>
        <w:tabs>
          <w:tab w:val="clear" w:pos="8296"/>
          <w:tab w:val="right" w:leader="dot" w:pos="8306"/>
        </w:tabs>
      </w:pPr>
      <w:hyperlink w:anchor="_Toc3455" w:history="1">
        <w:r>
          <w:rPr>
            <w:rFonts w:ascii="仿宋" w:eastAsia="仿宋" w:hAnsi="仿宋" w:hint="eastAsia"/>
          </w:rPr>
          <w:t>四、财政拨款收入支出决算总表</w:t>
        </w:r>
        <w:r>
          <w:tab/>
        </w:r>
        <w:fldSimple w:instr=" PAGEREF _Toc3455 \h ">
          <w:r>
            <w:t>25</w:t>
          </w:r>
        </w:fldSimple>
      </w:hyperlink>
    </w:p>
    <w:p w:rsidR="004C52FD" w:rsidRDefault="004C52FD">
      <w:pPr>
        <w:pStyle w:val="21"/>
        <w:tabs>
          <w:tab w:val="clear" w:pos="8296"/>
          <w:tab w:val="right" w:leader="dot" w:pos="8306"/>
        </w:tabs>
      </w:pPr>
      <w:hyperlink w:anchor="_Toc8505" w:history="1">
        <w:r>
          <w:rPr>
            <w:rFonts w:ascii="仿宋" w:eastAsia="仿宋" w:hAnsi="仿宋" w:hint="eastAsia"/>
          </w:rPr>
          <w:t>五、财政拨款支出决算明细表</w:t>
        </w:r>
        <w:r>
          <w:tab/>
        </w:r>
        <w:fldSimple w:instr=" PAGEREF _Toc8505 \h ">
          <w:r>
            <w:t>25</w:t>
          </w:r>
        </w:fldSimple>
      </w:hyperlink>
    </w:p>
    <w:p w:rsidR="004C52FD" w:rsidRDefault="004C52FD">
      <w:pPr>
        <w:pStyle w:val="21"/>
        <w:tabs>
          <w:tab w:val="clear" w:pos="8296"/>
          <w:tab w:val="right" w:leader="dot" w:pos="8306"/>
        </w:tabs>
      </w:pPr>
      <w:hyperlink w:anchor="_Toc32506" w:history="1">
        <w:r>
          <w:rPr>
            <w:rFonts w:ascii="仿宋" w:eastAsia="仿宋" w:hAnsi="仿宋" w:hint="eastAsia"/>
          </w:rPr>
          <w:t>六、一般公共预算财政拨款支出决算表</w:t>
        </w:r>
        <w:r>
          <w:tab/>
        </w:r>
        <w:fldSimple w:instr=" PAGEREF _Toc32506 \h ">
          <w:r>
            <w:t>25</w:t>
          </w:r>
        </w:fldSimple>
      </w:hyperlink>
    </w:p>
    <w:p w:rsidR="004C52FD" w:rsidRDefault="004C52FD">
      <w:pPr>
        <w:pStyle w:val="21"/>
        <w:tabs>
          <w:tab w:val="clear" w:pos="8296"/>
          <w:tab w:val="right" w:leader="dot" w:pos="8306"/>
        </w:tabs>
      </w:pPr>
      <w:hyperlink w:anchor="_Toc536" w:history="1">
        <w:r>
          <w:rPr>
            <w:rFonts w:ascii="仿宋" w:eastAsia="仿宋" w:hAnsi="仿宋" w:hint="eastAsia"/>
          </w:rPr>
          <w:t>七、一般公共预算财政拨款支出决算明细表</w:t>
        </w:r>
        <w:r>
          <w:tab/>
        </w:r>
        <w:fldSimple w:instr=" PAGEREF _Toc536 \h ">
          <w:r>
            <w:t>25</w:t>
          </w:r>
        </w:fldSimple>
      </w:hyperlink>
    </w:p>
    <w:p w:rsidR="004C52FD" w:rsidRDefault="004C52FD">
      <w:pPr>
        <w:pStyle w:val="21"/>
        <w:tabs>
          <w:tab w:val="clear" w:pos="8296"/>
          <w:tab w:val="right" w:leader="dot" w:pos="8306"/>
        </w:tabs>
      </w:pPr>
      <w:hyperlink w:anchor="_Toc11789" w:history="1">
        <w:r>
          <w:rPr>
            <w:rFonts w:ascii="仿宋" w:eastAsia="仿宋" w:hAnsi="仿宋" w:hint="eastAsia"/>
          </w:rPr>
          <w:t>八、一般公共预算财政拨款基本支出决算表</w:t>
        </w:r>
        <w:r>
          <w:tab/>
        </w:r>
        <w:fldSimple w:instr=" PAGEREF _Toc11789 \h ">
          <w:r>
            <w:t>25</w:t>
          </w:r>
        </w:fldSimple>
      </w:hyperlink>
    </w:p>
    <w:p w:rsidR="004C52FD" w:rsidRDefault="004C52FD">
      <w:pPr>
        <w:pStyle w:val="21"/>
        <w:tabs>
          <w:tab w:val="clear" w:pos="8296"/>
          <w:tab w:val="right" w:leader="dot" w:pos="8306"/>
        </w:tabs>
      </w:pPr>
      <w:hyperlink w:anchor="_Toc10988" w:history="1">
        <w:r>
          <w:rPr>
            <w:rFonts w:ascii="仿宋" w:eastAsia="仿宋" w:hAnsi="仿宋" w:hint="eastAsia"/>
          </w:rPr>
          <w:t>九、一般公共预算财政拨款项目支出决算表</w:t>
        </w:r>
        <w:r>
          <w:tab/>
        </w:r>
        <w:fldSimple w:instr=" PAGEREF _Toc10988 \h ">
          <w:r>
            <w:t>25</w:t>
          </w:r>
        </w:fldSimple>
      </w:hyperlink>
    </w:p>
    <w:p w:rsidR="004C52FD" w:rsidRDefault="004C52FD">
      <w:pPr>
        <w:pStyle w:val="21"/>
        <w:tabs>
          <w:tab w:val="clear" w:pos="8296"/>
          <w:tab w:val="right" w:leader="dot" w:pos="8306"/>
        </w:tabs>
      </w:pPr>
      <w:hyperlink w:anchor="_Toc4100" w:history="1">
        <w:r>
          <w:rPr>
            <w:rFonts w:ascii="仿宋" w:eastAsia="仿宋" w:hAnsi="仿宋" w:hint="eastAsia"/>
          </w:rPr>
          <w:t>十、一般公共预算财政拨款“三公”经费支出决算表</w:t>
        </w:r>
        <w:r>
          <w:tab/>
        </w:r>
        <w:fldSimple w:instr=" PAGEREF _Toc4100 \h ">
          <w:r>
            <w:t>25</w:t>
          </w:r>
        </w:fldSimple>
      </w:hyperlink>
    </w:p>
    <w:p w:rsidR="004C52FD" w:rsidRDefault="004C52FD">
      <w:pPr>
        <w:pStyle w:val="21"/>
        <w:tabs>
          <w:tab w:val="clear" w:pos="8296"/>
          <w:tab w:val="right" w:leader="dot" w:pos="8306"/>
        </w:tabs>
      </w:pPr>
      <w:hyperlink w:anchor="_Toc29651" w:history="1">
        <w:r>
          <w:rPr>
            <w:rFonts w:ascii="仿宋" w:eastAsia="仿宋" w:hAnsi="仿宋" w:hint="eastAsia"/>
          </w:rPr>
          <w:t>十一、政府性基金预算财政拨款收入支出决算表</w:t>
        </w:r>
        <w:r>
          <w:tab/>
        </w:r>
        <w:fldSimple w:instr=" PAGEREF _Toc29651 \h ">
          <w:r>
            <w:t>25</w:t>
          </w:r>
        </w:fldSimple>
      </w:hyperlink>
    </w:p>
    <w:p w:rsidR="004C52FD" w:rsidRDefault="004C52FD">
      <w:pPr>
        <w:pStyle w:val="21"/>
        <w:tabs>
          <w:tab w:val="clear" w:pos="8296"/>
          <w:tab w:val="right" w:leader="dot" w:pos="8306"/>
        </w:tabs>
      </w:pPr>
      <w:hyperlink w:anchor="_Toc23703" w:history="1">
        <w:r>
          <w:rPr>
            <w:rFonts w:ascii="仿宋" w:eastAsia="仿宋" w:hAnsi="仿宋" w:hint="eastAsia"/>
          </w:rPr>
          <w:t>十二、政府性基金预算财政拨款“三公”经费支出决算表</w:t>
        </w:r>
        <w:r>
          <w:tab/>
        </w:r>
        <w:fldSimple w:instr=" PAGEREF _Toc23703 \h ">
          <w:r>
            <w:t>25</w:t>
          </w:r>
        </w:fldSimple>
      </w:hyperlink>
    </w:p>
    <w:p w:rsidR="004C52FD" w:rsidRDefault="004C52FD">
      <w:pPr>
        <w:pStyle w:val="21"/>
        <w:tabs>
          <w:tab w:val="clear" w:pos="8296"/>
          <w:tab w:val="right" w:leader="dot" w:pos="8306"/>
        </w:tabs>
      </w:pPr>
      <w:hyperlink w:anchor="_Toc15715" w:history="1">
        <w:r>
          <w:rPr>
            <w:rFonts w:ascii="仿宋" w:eastAsia="仿宋" w:hAnsi="仿宋" w:hint="eastAsia"/>
          </w:rPr>
          <w:t>十三、国有资本经营预算财政拨款</w:t>
        </w:r>
        <w:r>
          <w:rPr>
            <w:rFonts w:ascii="仿宋" w:hAnsi="仿宋" w:hint="eastAsia"/>
          </w:rPr>
          <w:t>收入</w:t>
        </w:r>
        <w:r>
          <w:rPr>
            <w:rFonts w:ascii="仿宋" w:eastAsia="仿宋" w:hAnsi="仿宋" w:hint="eastAsia"/>
          </w:rPr>
          <w:t>支出决算表</w:t>
        </w:r>
        <w:r>
          <w:tab/>
        </w:r>
        <w:fldSimple w:instr=" PAGEREF _Toc15715 \h ">
          <w:r>
            <w:t>26</w:t>
          </w:r>
        </w:fldSimple>
      </w:hyperlink>
    </w:p>
    <w:p w:rsidR="004C52FD" w:rsidRDefault="004C52FD">
      <w:pPr>
        <w:pStyle w:val="21"/>
        <w:tabs>
          <w:tab w:val="clear" w:pos="8296"/>
          <w:tab w:val="right" w:leader="dot" w:pos="8306"/>
        </w:tabs>
      </w:pPr>
      <w:hyperlink w:anchor="_Toc676" w:history="1">
        <w:r>
          <w:rPr>
            <w:rFonts w:ascii="仿宋" w:eastAsia="仿宋" w:hAnsi="仿宋" w:hint="eastAsia"/>
          </w:rPr>
          <w:t>十四、国有资本经营预算财政拨款支出决算表</w:t>
        </w:r>
        <w:r>
          <w:tab/>
        </w:r>
        <w:fldSimple w:instr=" PAGEREF _Toc676 \h ">
          <w:r>
            <w:t>26</w:t>
          </w:r>
        </w:fldSimple>
      </w:hyperlink>
    </w:p>
    <w:p w:rsidR="004C52FD" w:rsidRDefault="004C52FD">
      <w:r>
        <w:fldChar w:fldCharType="end"/>
      </w:r>
    </w:p>
    <w:p w:rsidR="004C52FD" w:rsidRDefault="004C52FD">
      <w:pPr>
        <w:pStyle w:val="21"/>
        <w:adjustRightInd w:val="0"/>
        <w:snapToGrid w:val="0"/>
        <w:spacing w:line="440" w:lineRule="exact"/>
        <w:jc w:val="left"/>
        <w:rPr>
          <w:rFonts w:ascii="仿宋" w:eastAsia="仿宋" w:hAnsi="仿宋"/>
          <w:bCs/>
          <w:kern w:val="44"/>
          <w:sz w:val="24"/>
        </w:rPr>
      </w:pPr>
      <w:bookmarkStart w:id="15" w:name="_Toc15396599"/>
      <w:bookmarkStart w:id="16" w:name="_Toc15377196"/>
      <w:r>
        <w:rPr>
          <w:sz w:val="24"/>
        </w:rPr>
        <w:br w:type="page"/>
      </w:r>
    </w:p>
    <w:p w:rsidR="004C52FD" w:rsidRDefault="004C52FD">
      <w:pPr>
        <w:pStyle w:val="1"/>
        <w:jc w:val="center"/>
        <w:rPr>
          <w:rStyle w:val="10"/>
          <w:rFonts w:ascii="黑体" w:eastAsia="黑体" w:hAnsi="黑体"/>
          <w:b/>
        </w:rPr>
      </w:pPr>
      <w:bookmarkStart w:id="17" w:name="_Toc30974"/>
      <w:r>
        <w:rPr>
          <w:rFonts w:ascii="黑体" w:eastAsia="黑体" w:hAnsi="黑体" w:hint="eastAsia"/>
          <w:b w:val="0"/>
        </w:rPr>
        <w:lastRenderedPageBreak/>
        <w:t>第一部分</w:t>
      </w:r>
      <w:r>
        <w:rPr>
          <w:rFonts w:ascii="黑体" w:eastAsia="黑体" w:hAnsi="黑体"/>
          <w:b w:val="0"/>
        </w:rPr>
        <w:t xml:space="preserve"> </w:t>
      </w:r>
      <w:r>
        <w:rPr>
          <w:rStyle w:val="10"/>
          <w:rFonts w:ascii="黑体" w:eastAsia="黑体" w:hAnsi="黑体" w:hint="eastAsia"/>
        </w:rPr>
        <w:t>部门概况</w:t>
      </w:r>
      <w:bookmarkEnd w:id="15"/>
      <w:bookmarkEnd w:id="16"/>
      <w:bookmarkEnd w:id="17"/>
    </w:p>
    <w:p w:rsidR="004C52FD" w:rsidRDefault="004C52FD">
      <w:pPr>
        <w:widowControl/>
        <w:jc w:val="left"/>
        <w:rPr>
          <w:rFonts w:ascii="黑体" w:eastAsia="黑体"/>
          <w:color w:val="000000"/>
          <w:sz w:val="32"/>
          <w:szCs w:val="32"/>
        </w:rPr>
      </w:pPr>
    </w:p>
    <w:p w:rsidR="004C52FD" w:rsidRDefault="004C52FD">
      <w:pPr>
        <w:pStyle w:val="2"/>
        <w:rPr>
          <w:rStyle w:val="20"/>
          <w:rFonts w:ascii="仿宋" w:eastAsia="仿宋" w:hAnsi="仿宋"/>
        </w:rPr>
      </w:pPr>
      <w:bookmarkStart w:id="18" w:name="_Toc15377197"/>
      <w:bookmarkStart w:id="19" w:name="_Toc15396600"/>
      <w:bookmarkStart w:id="20" w:name="_Toc13531"/>
      <w:r>
        <w:rPr>
          <w:rFonts w:ascii="黑体" w:eastAsia="黑体" w:hAnsi="黑体" w:hint="eastAsia"/>
          <w:b w:val="0"/>
          <w:color w:val="000000"/>
        </w:rPr>
        <w:t>一、基</w:t>
      </w:r>
      <w:r>
        <w:rPr>
          <w:rStyle w:val="20"/>
          <w:rFonts w:ascii="黑体" w:eastAsia="黑体" w:hAnsi="黑体" w:hint="eastAsia"/>
        </w:rPr>
        <w:t>本职能及主要工作</w:t>
      </w:r>
      <w:bookmarkEnd w:id="18"/>
      <w:bookmarkEnd w:id="19"/>
      <w:bookmarkEnd w:id="20"/>
    </w:p>
    <w:p w:rsidR="004C52FD" w:rsidRDefault="004C52FD">
      <w:pPr>
        <w:pStyle w:val="a3"/>
        <w:adjustRightInd w:val="0"/>
        <w:snapToGrid w:val="0"/>
        <w:spacing w:before="93" w:line="600" w:lineRule="exact"/>
        <w:ind w:firstLineChars="210" w:firstLine="672"/>
        <w:outlineLvl w:val="2"/>
        <w:rPr>
          <w:rFonts w:ascii="仿宋" w:eastAsia="仿宋" w:hAnsi="仿宋" w:hint="eastAsia"/>
          <w:bCs/>
          <w:color w:val="000000"/>
          <w:sz w:val="32"/>
          <w:szCs w:val="32"/>
        </w:rPr>
      </w:pPr>
      <w:bookmarkStart w:id="21" w:name="_Toc15378445"/>
      <w:bookmarkStart w:id="22" w:name="_Toc15377198"/>
      <w:bookmarkStart w:id="23" w:name="_Toc26839"/>
      <w:r>
        <w:rPr>
          <w:rFonts w:ascii="仿宋" w:eastAsia="仿宋" w:hAnsi="仿宋" w:hint="eastAsia"/>
          <w:bCs/>
          <w:color w:val="000000"/>
          <w:sz w:val="32"/>
          <w:szCs w:val="32"/>
        </w:rPr>
        <w:t>（一）主要职能。</w:t>
      </w:r>
      <w:bookmarkStart w:id="24" w:name="_Toc15377199"/>
      <w:bookmarkStart w:id="25" w:name="_Toc15378446"/>
      <w:bookmarkEnd w:id="21"/>
      <w:bookmarkEnd w:id="22"/>
      <w:bookmarkEnd w:id="23"/>
    </w:p>
    <w:p w:rsidR="004C52FD" w:rsidRDefault="004C52FD">
      <w:pPr>
        <w:spacing w:line="600" w:lineRule="exact"/>
        <w:ind w:firstLineChars="200" w:firstLine="640"/>
        <w:outlineLvl w:val="1"/>
        <w:rPr>
          <w:rFonts w:eastAsia="仿宋" w:hint="eastAsia"/>
          <w:color w:val="000000"/>
          <w:sz w:val="32"/>
          <w:szCs w:val="32"/>
        </w:rPr>
      </w:pPr>
      <w:bookmarkStart w:id="26" w:name="_Toc24795"/>
      <w:r>
        <w:rPr>
          <w:rFonts w:eastAsia="仿宋" w:hint="eastAsia"/>
          <w:color w:val="000000"/>
          <w:sz w:val="32"/>
          <w:szCs w:val="32"/>
        </w:rPr>
        <w:t>2020</w:t>
      </w:r>
      <w:r>
        <w:rPr>
          <w:rFonts w:eastAsia="仿宋" w:hint="eastAsia"/>
          <w:color w:val="000000"/>
          <w:sz w:val="32"/>
          <w:szCs w:val="32"/>
        </w:rPr>
        <w:t>年我院在市财政局、市卫健委、攀枝花学院、钒钛高新区管委会、市中西医结合医院、院党总支、院行政的领导下，完成了所辖片区本年度的医疗、体检、</w:t>
      </w:r>
      <w:r>
        <w:rPr>
          <w:rFonts w:eastAsia="仿宋" w:hint="eastAsia"/>
          <w:color w:val="000000"/>
          <w:sz w:val="32"/>
          <w:szCs w:val="32"/>
        </w:rPr>
        <w:t>120</w:t>
      </w:r>
      <w:r>
        <w:rPr>
          <w:rFonts w:eastAsia="仿宋" w:hint="eastAsia"/>
          <w:color w:val="000000"/>
          <w:sz w:val="32"/>
          <w:szCs w:val="32"/>
        </w:rPr>
        <w:t>出诊、钒钛高新区突发公共卫生事件、旅客及路外伤人员救治等任务，为医疗覆盖片区人民的身体健康提供了有力的保障。</w:t>
      </w:r>
      <w:bookmarkEnd w:id="26"/>
    </w:p>
    <w:p w:rsidR="004C52FD" w:rsidRDefault="004C52FD">
      <w:pPr>
        <w:pStyle w:val="a3"/>
        <w:adjustRightInd w:val="0"/>
        <w:snapToGrid w:val="0"/>
        <w:spacing w:before="93" w:line="600" w:lineRule="exact"/>
        <w:ind w:firstLineChars="210" w:firstLine="672"/>
        <w:outlineLvl w:val="2"/>
        <w:rPr>
          <w:rFonts w:ascii="仿宋" w:eastAsia="仿宋" w:hAnsi="仿宋" w:hint="eastAsia"/>
          <w:bCs/>
          <w:color w:val="000000"/>
          <w:sz w:val="32"/>
          <w:szCs w:val="32"/>
        </w:rPr>
      </w:pPr>
      <w:bookmarkStart w:id="27" w:name="_Toc7385"/>
      <w:r>
        <w:rPr>
          <w:rFonts w:ascii="仿宋" w:eastAsia="仿宋" w:hAnsi="仿宋" w:hint="eastAsia"/>
          <w:bCs/>
          <w:color w:val="000000"/>
          <w:sz w:val="32"/>
          <w:szCs w:val="32"/>
        </w:rPr>
        <w:t>（二）</w:t>
      </w:r>
      <w:r>
        <w:rPr>
          <w:rFonts w:ascii="仿宋" w:eastAsia="仿宋" w:hAnsi="仿宋"/>
          <w:bCs/>
          <w:color w:val="000000"/>
          <w:sz w:val="32"/>
          <w:szCs w:val="32"/>
        </w:rPr>
        <w:t>2020</w:t>
      </w:r>
      <w:r>
        <w:rPr>
          <w:rFonts w:ascii="仿宋" w:eastAsia="仿宋" w:hAnsi="仿宋" w:hint="eastAsia"/>
          <w:bCs/>
          <w:color w:val="000000"/>
          <w:sz w:val="32"/>
          <w:szCs w:val="32"/>
        </w:rPr>
        <w:t>年重点工作完成情况。</w:t>
      </w:r>
      <w:bookmarkEnd w:id="24"/>
      <w:bookmarkEnd w:id="25"/>
      <w:bookmarkEnd w:id="27"/>
    </w:p>
    <w:p w:rsidR="004C52FD" w:rsidRDefault="004C52FD">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28" w:name="_Toc7407"/>
      <w:r>
        <w:rPr>
          <w:rFonts w:eastAsia="仿宋" w:hint="eastAsia"/>
          <w:bCs/>
          <w:color w:val="000000"/>
          <w:sz w:val="32"/>
          <w:szCs w:val="32"/>
        </w:rPr>
        <w:t>全面完成</w:t>
      </w:r>
      <w:r>
        <w:rPr>
          <w:rFonts w:eastAsia="仿宋" w:hint="eastAsia"/>
          <w:bCs/>
          <w:color w:val="000000"/>
          <w:sz w:val="32"/>
          <w:szCs w:val="32"/>
        </w:rPr>
        <w:t>2020</w:t>
      </w:r>
      <w:r>
        <w:rPr>
          <w:rFonts w:eastAsia="仿宋" w:hint="eastAsia"/>
          <w:bCs/>
          <w:color w:val="000000"/>
          <w:sz w:val="32"/>
          <w:szCs w:val="32"/>
        </w:rPr>
        <w:t>年财政下达预算。</w:t>
      </w:r>
      <w:bookmarkEnd w:id="28"/>
    </w:p>
    <w:p w:rsidR="004C52FD" w:rsidRDefault="004C52FD">
      <w:pPr>
        <w:pStyle w:val="2"/>
        <w:rPr>
          <w:rStyle w:val="20"/>
        </w:rPr>
      </w:pPr>
      <w:bookmarkStart w:id="29" w:name="_Toc15396601"/>
      <w:bookmarkStart w:id="30" w:name="_Toc15377200"/>
      <w:bookmarkStart w:id="31" w:name="_Toc24553"/>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9"/>
      <w:bookmarkEnd w:id="30"/>
      <w:bookmarkEnd w:id="31"/>
    </w:p>
    <w:p w:rsidR="004C52FD" w:rsidRDefault="004C52FD">
      <w:pPr>
        <w:ind w:firstLineChars="250" w:firstLine="800"/>
        <w:rPr>
          <w:rFonts w:eastAsia="仿宋"/>
          <w:sz w:val="32"/>
          <w:szCs w:val="32"/>
        </w:rPr>
      </w:pPr>
      <w:r>
        <w:rPr>
          <w:rFonts w:ascii="仿宋" w:eastAsia="仿宋" w:hAnsi="仿宋" w:hint="eastAsia"/>
          <w:sz w:val="32"/>
          <w:szCs w:val="32"/>
        </w:rPr>
        <w:t>攀枝花市铁路医院无</w:t>
      </w:r>
      <w:r>
        <w:rPr>
          <w:rFonts w:eastAsia="仿宋" w:hint="eastAsia"/>
          <w:sz w:val="32"/>
          <w:szCs w:val="32"/>
        </w:rPr>
        <w:t>下属二级单位，无参照公务员法管理的事业单位，无其他事业单位。</w:t>
      </w:r>
    </w:p>
    <w:p w:rsidR="004C52FD" w:rsidRDefault="004C52FD">
      <w:pPr>
        <w:pStyle w:val="a3"/>
        <w:adjustRightInd w:val="0"/>
        <w:snapToGrid w:val="0"/>
        <w:spacing w:before="93" w:line="600" w:lineRule="exact"/>
        <w:ind w:firstLineChars="210" w:firstLine="672"/>
        <w:rPr>
          <w:rFonts w:ascii="仿宋" w:eastAsia="仿宋" w:hAnsi="仿宋"/>
          <w:color w:val="000000"/>
          <w:sz w:val="32"/>
          <w:szCs w:val="32"/>
        </w:rPr>
      </w:pPr>
      <w:r>
        <w:rPr>
          <w:rFonts w:eastAsia="仿宋" w:hint="eastAsia"/>
          <w:sz w:val="32"/>
          <w:szCs w:val="32"/>
        </w:rPr>
        <w:t>无</w:t>
      </w:r>
      <w:r>
        <w:rPr>
          <w:rFonts w:ascii="仿宋" w:eastAsia="仿宋" w:hAnsi="仿宋" w:hint="eastAsia"/>
          <w:color w:val="000000"/>
          <w:sz w:val="32"/>
          <w:szCs w:val="32"/>
        </w:rPr>
        <w:t>纳入</w:t>
      </w:r>
      <w:r>
        <w:rPr>
          <w:rFonts w:ascii="仿宋" w:eastAsia="仿宋" w:hAnsi="仿宋"/>
          <w:color w:val="000000"/>
          <w:sz w:val="32"/>
          <w:szCs w:val="32"/>
        </w:rPr>
        <w:t>2020</w:t>
      </w:r>
      <w:r>
        <w:rPr>
          <w:rFonts w:ascii="仿宋" w:eastAsia="仿宋" w:hAnsi="仿宋" w:hint="eastAsia"/>
          <w:color w:val="000000"/>
          <w:sz w:val="32"/>
          <w:szCs w:val="32"/>
        </w:rPr>
        <w:t>年度部门决算编制范围的二级预算单位</w:t>
      </w:r>
    </w:p>
    <w:p w:rsidR="004C52FD" w:rsidRDefault="004C52FD">
      <w:pPr>
        <w:widowControl/>
        <w:jc w:val="left"/>
        <w:rPr>
          <w:rFonts w:ascii="仿宋" w:eastAsia="仿宋" w:hAnsi="仿宋"/>
          <w:color w:val="000000"/>
          <w:kern w:val="0"/>
          <w:sz w:val="32"/>
          <w:szCs w:val="32"/>
        </w:rPr>
      </w:pPr>
    </w:p>
    <w:p w:rsidR="004C52FD" w:rsidRDefault="004C52FD">
      <w:pPr>
        <w:pStyle w:val="1"/>
        <w:ind w:right="440"/>
        <w:jc w:val="right"/>
        <w:rPr>
          <w:rStyle w:val="10"/>
          <w:rFonts w:ascii="黑体" w:eastAsia="黑体" w:hAnsi="黑体"/>
        </w:rPr>
      </w:pPr>
      <w:bookmarkStart w:id="32" w:name="_Toc15377204"/>
      <w:bookmarkStart w:id="33" w:name="_Toc15396602"/>
      <w:bookmarkStart w:id="34" w:name="_Toc28407"/>
      <w:r>
        <w:rPr>
          <w:rFonts w:ascii="黑体" w:eastAsia="黑体" w:hAnsi="黑体" w:hint="eastAsia"/>
          <w:b w:val="0"/>
          <w:color w:val="000000"/>
        </w:rPr>
        <w:t>第二部分</w:t>
      </w:r>
      <w:r>
        <w:rPr>
          <w:rFonts w:ascii="黑体" w:eastAsia="黑体" w:hAnsi="黑体"/>
          <w:color w:val="000000"/>
        </w:rPr>
        <w:t xml:space="preserve"> </w:t>
      </w:r>
      <w:r>
        <w:rPr>
          <w:rStyle w:val="10"/>
          <w:rFonts w:ascii="黑体" w:eastAsia="黑体" w:hAnsi="黑体"/>
        </w:rPr>
        <w:t>2020</w:t>
      </w:r>
      <w:r>
        <w:rPr>
          <w:rStyle w:val="10"/>
          <w:rFonts w:ascii="黑体" w:eastAsia="黑体" w:hAnsi="黑体" w:hint="eastAsia"/>
        </w:rPr>
        <w:t>年度部门决算情况说明</w:t>
      </w:r>
      <w:bookmarkEnd w:id="32"/>
      <w:bookmarkEnd w:id="33"/>
      <w:bookmarkEnd w:id="34"/>
    </w:p>
    <w:p w:rsidR="004C52FD" w:rsidRDefault="004C52FD"/>
    <w:p w:rsidR="004C52FD" w:rsidRDefault="004C52FD">
      <w:pPr>
        <w:pStyle w:val="ListParagraph"/>
        <w:numPr>
          <w:ilvl w:val="0"/>
          <w:numId w:val="1"/>
        </w:numPr>
        <w:spacing w:line="600" w:lineRule="exact"/>
        <w:ind w:firstLineChars="0"/>
        <w:outlineLvl w:val="1"/>
        <w:rPr>
          <w:rStyle w:val="20"/>
          <w:rFonts w:ascii="黑体" w:eastAsia="黑体" w:hAnsi="黑体"/>
          <w:b w:val="0"/>
        </w:rPr>
      </w:pPr>
      <w:bookmarkStart w:id="35" w:name="_Toc15377205"/>
      <w:bookmarkStart w:id="36" w:name="_Toc15396603"/>
      <w:bookmarkStart w:id="37" w:name="_Toc5327"/>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35"/>
      <w:bookmarkEnd w:id="36"/>
      <w:bookmarkEnd w:id="37"/>
    </w:p>
    <w:p w:rsidR="004C52FD" w:rsidRDefault="004C52FD">
      <w:pPr>
        <w:spacing w:line="600" w:lineRule="exact"/>
        <w:ind w:firstLineChars="200" w:firstLine="640"/>
        <w:rPr>
          <w:rFonts w:ascii="仿宋" w:eastAsia="仿宋" w:hAnsi="仿宋" w:hint="eastAsia"/>
          <w:color w:val="000000"/>
          <w:sz w:val="32"/>
          <w:szCs w:val="32"/>
        </w:rPr>
      </w:pPr>
      <w:r>
        <w:rPr>
          <w:rFonts w:ascii="仿宋" w:eastAsia="仿宋" w:hAnsi="仿宋"/>
          <w:color w:val="000000"/>
          <w:sz w:val="32"/>
          <w:szCs w:val="32"/>
        </w:rPr>
        <w:lastRenderedPageBreak/>
        <w:t>2020</w:t>
      </w:r>
      <w:r>
        <w:rPr>
          <w:rFonts w:ascii="仿宋" w:eastAsia="仿宋" w:hAnsi="仿宋" w:hint="eastAsia"/>
          <w:color w:val="000000"/>
          <w:sz w:val="32"/>
          <w:szCs w:val="32"/>
        </w:rPr>
        <w:t>年度收入总计1549.68、支出总计1587.60万元。与</w:t>
      </w:r>
      <w:r>
        <w:rPr>
          <w:rFonts w:ascii="仿宋" w:eastAsia="仿宋" w:hAnsi="仿宋"/>
          <w:color w:val="000000"/>
          <w:sz w:val="32"/>
          <w:szCs w:val="32"/>
        </w:rPr>
        <w:t>2019</w:t>
      </w:r>
      <w:r>
        <w:rPr>
          <w:rFonts w:ascii="仿宋" w:eastAsia="仿宋" w:hAnsi="仿宋" w:hint="eastAsia"/>
          <w:color w:val="000000"/>
          <w:sz w:val="32"/>
          <w:szCs w:val="32"/>
        </w:rPr>
        <w:t>年相比。收入减少190.95万元，下降12.03%；支出减少198.83万元，下降11.13</w:t>
      </w:r>
      <w:r>
        <w:rPr>
          <w:rFonts w:ascii="仿宋" w:eastAsia="仿宋" w:hAnsi="仿宋"/>
          <w:color w:val="000000"/>
          <w:sz w:val="32"/>
          <w:szCs w:val="32"/>
        </w:rPr>
        <w:t>%</w:t>
      </w:r>
      <w:r>
        <w:rPr>
          <w:rFonts w:ascii="仿宋" w:eastAsia="仿宋" w:hAnsi="仿宋" w:hint="eastAsia"/>
          <w:color w:val="000000"/>
          <w:sz w:val="32"/>
          <w:szCs w:val="32"/>
        </w:rPr>
        <w:t>。主要变动原因是2020年医疗收入下降。</w:t>
      </w:r>
    </w:p>
    <w:p w:rsidR="004C52FD" w:rsidRDefault="00D66494">
      <w:pPr>
        <w:spacing w:line="600" w:lineRule="exact"/>
        <w:ind w:firstLineChars="200" w:firstLine="640"/>
        <w:rPr>
          <w:rFonts w:ascii="仿宋" w:eastAsia="仿宋" w:hAnsi="仿宋" w:hint="eastAsia"/>
          <w:color w:val="000000"/>
          <w:sz w:val="32"/>
          <w:szCs w:val="32"/>
        </w:rPr>
      </w:pPr>
      <w:r>
        <w:rPr>
          <w:rFonts w:ascii="仿宋" w:eastAsia="仿宋" w:hAnsi="仿宋"/>
          <w:noProof/>
          <w:color w:val="000000"/>
          <w:sz w:val="32"/>
          <w:szCs w:val="32"/>
        </w:rPr>
        <w:drawing>
          <wp:anchor distT="0" distB="0" distL="114300" distR="114300" simplePos="0" relativeHeight="251655168" behindDoc="0" locked="0" layoutInCell="1" allowOverlap="1">
            <wp:simplePos x="0" y="0"/>
            <wp:positionH relativeFrom="column">
              <wp:posOffset>883920</wp:posOffset>
            </wp:positionH>
            <wp:positionV relativeFrom="paragraph">
              <wp:posOffset>179070</wp:posOffset>
            </wp:positionV>
            <wp:extent cx="2487295" cy="1668780"/>
            <wp:effectExtent l="0" t="0" r="635" b="1270"/>
            <wp:wrapSquare wrapText="bothSides"/>
            <wp:docPr id="4" name="Object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p>
    <w:p w:rsidR="004C52FD" w:rsidRDefault="004C52FD">
      <w:pPr>
        <w:spacing w:line="600" w:lineRule="exact"/>
        <w:ind w:firstLineChars="200" w:firstLine="640"/>
        <w:rPr>
          <w:rFonts w:ascii="仿宋" w:eastAsia="仿宋" w:hAnsi="仿宋" w:hint="eastAsia"/>
          <w:color w:val="000000"/>
          <w:sz w:val="32"/>
          <w:szCs w:val="32"/>
        </w:rPr>
      </w:pPr>
    </w:p>
    <w:p w:rsidR="004C52FD" w:rsidRDefault="004C52FD">
      <w:pPr>
        <w:spacing w:line="600" w:lineRule="exact"/>
        <w:ind w:firstLineChars="200" w:firstLine="640"/>
        <w:rPr>
          <w:rFonts w:ascii="仿宋" w:eastAsia="仿宋" w:hAnsi="仿宋" w:hint="eastAsia"/>
          <w:color w:val="000000"/>
          <w:sz w:val="32"/>
          <w:szCs w:val="32"/>
        </w:rPr>
      </w:pPr>
    </w:p>
    <w:p w:rsidR="004C52FD" w:rsidRDefault="004C52FD">
      <w:pPr>
        <w:spacing w:line="600" w:lineRule="exact"/>
        <w:ind w:firstLineChars="200" w:firstLine="640"/>
        <w:rPr>
          <w:rFonts w:ascii="仿宋" w:eastAsia="仿宋" w:hAnsi="仿宋"/>
          <w:color w:val="000000"/>
          <w:sz w:val="32"/>
          <w:szCs w:val="32"/>
        </w:rPr>
      </w:pPr>
    </w:p>
    <w:p w:rsidR="004C52FD" w:rsidRDefault="004C52FD">
      <w:pPr>
        <w:spacing w:line="600" w:lineRule="exact"/>
        <w:rPr>
          <w:rFonts w:ascii="仿宋" w:eastAsia="仿宋" w:hAnsi="仿宋" w:hint="eastAsia"/>
          <w:color w:val="000000"/>
          <w:sz w:val="32"/>
          <w:szCs w:val="32"/>
        </w:rPr>
      </w:pPr>
    </w:p>
    <w:p w:rsidR="004C52FD" w:rsidRDefault="004C52FD">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4C52FD" w:rsidRDefault="004C52FD">
      <w:pPr>
        <w:spacing w:line="600" w:lineRule="exact"/>
        <w:ind w:firstLineChars="200" w:firstLine="640"/>
        <w:jc w:val="left"/>
        <w:rPr>
          <w:rFonts w:ascii="仿宋_GB2312" w:eastAsia="仿宋_GB2312"/>
          <w:color w:val="000000"/>
          <w:sz w:val="32"/>
          <w:szCs w:val="32"/>
        </w:rPr>
      </w:pPr>
    </w:p>
    <w:p w:rsidR="004C52FD" w:rsidRDefault="004C52FD">
      <w:pPr>
        <w:pStyle w:val="ListParagraph"/>
        <w:numPr>
          <w:ilvl w:val="0"/>
          <w:numId w:val="1"/>
        </w:numPr>
        <w:spacing w:line="600" w:lineRule="exact"/>
        <w:ind w:firstLineChars="0"/>
        <w:outlineLvl w:val="1"/>
        <w:rPr>
          <w:rStyle w:val="20"/>
          <w:rFonts w:ascii="黑体" w:eastAsia="黑体" w:hAnsi="黑体"/>
          <w:b w:val="0"/>
        </w:rPr>
      </w:pPr>
      <w:bookmarkStart w:id="38" w:name="_Toc15396604"/>
      <w:bookmarkStart w:id="39" w:name="_Toc15377206"/>
      <w:bookmarkStart w:id="40" w:name="_Toc22896"/>
      <w:r>
        <w:rPr>
          <w:rFonts w:ascii="黑体" w:eastAsia="黑体" w:hAnsi="黑体" w:hint="eastAsia"/>
          <w:color w:val="000000"/>
          <w:sz w:val="32"/>
          <w:szCs w:val="32"/>
        </w:rPr>
        <w:t>收</w:t>
      </w:r>
      <w:r>
        <w:rPr>
          <w:rStyle w:val="20"/>
          <w:rFonts w:ascii="黑体" w:eastAsia="黑体" w:hAnsi="黑体" w:hint="eastAsia"/>
          <w:b w:val="0"/>
        </w:rPr>
        <w:t>入决算情况说明</w:t>
      </w:r>
      <w:bookmarkEnd w:id="38"/>
      <w:bookmarkEnd w:id="39"/>
      <w:bookmarkEnd w:id="40"/>
    </w:p>
    <w:p w:rsidR="004C52FD" w:rsidRDefault="004C52FD">
      <w:pPr>
        <w:spacing w:line="600" w:lineRule="exact"/>
        <w:ind w:firstLineChars="200" w:firstLine="640"/>
        <w:outlineLvl w:val="1"/>
        <w:rPr>
          <w:rFonts w:ascii="仿宋" w:eastAsia="仿宋" w:hAnsi="仿宋" w:hint="eastAsia"/>
          <w:color w:val="000000"/>
          <w:sz w:val="32"/>
          <w:szCs w:val="32"/>
        </w:rPr>
      </w:pPr>
      <w:bookmarkStart w:id="41" w:name="_Toc7040"/>
      <w:r>
        <w:rPr>
          <w:rFonts w:ascii="仿宋" w:eastAsia="仿宋" w:hAnsi="仿宋"/>
          <w:color w:val="000000"/>
          <w:sz w:val="32"/>
          <w:szCs w:val="32"/>
        </w:rPr>
        <w:t>2020</w:t>
      </w:r>
      <w:r>
        <w:rPr>
          <w:rFonts w:ascii="仿宋" w:eastAsia="仿宋" w:hAnsi="仿宋" w:hint="eastAsia"/>
          <w:color w:val="000000"/>
          <w:sz w:val="32"/>
          <w:szCs w:val="32"/>
        </w:rPr>
        <w:t>年本年收入合计1549.68万元，其中：一般公共预算财政拨款收入216.33万元，占13.96</w:t>
      </w:r>
      <w:r>
        <w:rPr>
          <w:rFonts w:ascii="仿宋" w:eastAsia="仿宋" w:hAnsi="仿宋"/>
          <w:color w:val="000000"/>
          <w:sz w:val="32"/>
          <w:szCs w:val="32"/>
        </w:rPr>
        <w:t>%</w:t>
      </w:r>
      <w:r>
        <w:rPr>
          <w:rFonts w:ascii="仿宋" w:eastAsia="仿宋" w:hAnsi="仿宋" w:hint="eastAsia"/>
          <w:color w:val="000000"/>
          <w:sz w:val="32"/>
          <w:szCs w:val="32"/>
        </w:rPr>
        <w:t>；政府性基金预算财政拨款收入327万元，占21.10</w:t>
      </w:r>
      <w:r>
        <w:rPr>
          <w:rFonts w:ascii="仿宋" w:eastAsia="仿宋" w:hAnsi="仿宋"/>
          <w:color w:val="000000"/>
          <w:sz w:val="32"/>
          <w:szCs w:val="32"/>
        </w:rPr>
        <w:t>%</w:t>
      </w:r>
      <w:r>
        <w:rPr>
          <w:rFonts w:ascii="仿宋" w:eastAsia="仿宋" w:hAnsi="仿宋" w:hint="eastAsia"/>
          <w:color w:val="000000"/>
          <w:sz w:val="32"/>
          <w:szCs w:val="32"/>
        </w:rPr>
        <w:t>；上级补助收入0万元，占0</w:t>
      </w:r>
      <w:r>
        <w:rPr>
          <w:rFonts w:ascii="仿宋" w:eastAsia="仿宋" w:hAnsi="仿宋"/>
          <w:color w:val="000000"/>
          <w:sz w:val="32"/>
          <w:szCs w:val="32"/>
        </w:rPr>
        <w:t>%</w:t>
      </w:r>
      <w:r>
        <w:rPr>
          <w:rFonts w:ascii="仿宋" w:eastAsia="仿宋" w:hAnsi="仿宋" w:hint="eastAsia"/>
          <w:color w:val="000000"/>
          <w:sz w:val="32"/>
          <w:szCs w:val="32"/>
        </w:rPr>
        <w:t>；事业收入914.73万元，占59.03</w:t>
      </w:r>
      <w:r>
        <w:rPr>
          <w:rFonts w:ascii="仿宋" w:eastAsia="仿宋" w:hAnsi="仿宋"/>
          <w:color w:val="000000"/>
          <w:sz w:val="32"/>
          <w:szCs w:val="32"/>
        </w:rPr>
        <w:t>%</w:t>
      </w:r>
      <w:r>
        <w:rPr>
          <w:rFonts w:ascii="仿宋" w:eastAsia="仿宋" w:hAnsi="仿宋" w:hint="eastAsia"/>
          <w:color w:val="000000"/>
          <w:sz w:val="32"/>
          <w:szCs w:val="32"/>
        </w:rPr>
        <w:t>；经营收入0万元，占0</w:t>
      </w:r>
      <w:r>
        <w:rPr>
          <w:rFonts w:ascii="仿宋" w:eastAsia="仿宋" w:hAnsi="仿宋"/>
          <w:color w:val="000000"/>
          <w:sz w:val="32"/>
          <w:szCs w:val="32"/>
        </w:rPr>
        <w:t>%</w:t>
      </w:r>
      <w:r>
        <w:rPr>
          <w:rFonts w:ascii="仿宋" w:eastAsia="仿宋" w:hAnsi="仿宋" w:hint="eastAsia"/>
          <w:color w:val="000000"/>
          <w:sz w:val="32"/>
          <w:szCs w:val="32"/>
        </w:rPr>
        <w:t>；附属单位上缴收入0万元，占0</w:t>
      </w:r>
      <w:r>
        <w:rPr>
          <w:rFonts w:ascii="仿宋" w:eastAsia="仿宋" w:hAnsi="仿宋"/>
          <w:color w:val="000000"/>
          <w:sz w:val="32"/>
          <w:szCs w:val="32"/>
        </w:rPr>
        <w:t>%</w:t>
      </w:r>
      <w:r>
        <w:rPr>
          <w:rFonts w:ascii="仿宋" w:eastAsia="仿宋" w:hAnsi="仿宋" w:hint="eastAsia"/>
          <w:color w:val="000000"/>
          <w:sz w:val="32"/>
          <w:szCs w:val="32"/>
        </w:rPr>
        <w:t>；其他收入46.62万元，占3.01</w:t>
      </w:r>
      <w:r>
        <w:rPr>
          <w:rFonts w:ascii="仿宋" w:eastAsia="仿宋" w:hAnsi="仿宋"/>
          <w:color w:val="000000"/>
          <w:sz w:val="32"/>
          <w:szCs w:val="32"/>
        </w:rPr>
        <w:t>%</w:t>
      </w:r>
      <w:r>
        <w:rPr>
          <w:rFonts w:ascii="仿宋" w:eastAsia="仿宋" w:hAnsi="仿宋" w:hint="eastAsia"/>
          <w:color w:val="000000"/>
          <w:sz w:val="32"/>
          <w:szCs w:val="32"/>
        </w:rPr>
        <w:t>。</w:t>
      </w:r>
      <w:bookmarkEnd w:id="41"/>
    </w:p>
    <w:p w:rsidR="004C52FD" w:rsidRDefault="00D66494">
      <w:pPr>
        <w:spacing w:line="600" w:lineRule="exact"/>
        <w:ind w:firstLineChars="200" w:firstLine="640"/>
        <w:outlineLvl w:val="1"/>
        <w:rPr>
          <w:rFonts w:ascii="仿宋" w:eastAsia="仿宋" w:hAnsi="仿宋" w:hint="eastAsia"/>
          <w:color w:val="000000"/>
          <w:sz w:val="32"/>
          <w:szCs w:val="32"/>
        </w:rPr>
      </w:pPr>
      <w:r>
        <w:rPr>
          <w:rFonts w:ascii="仿宋" w:eastAsia="仿宋" w:hAnsi="仿宋" w:hint="eastAsia"/>
          <w:noProof/>
          <w:color w:val="000000"/>
          <w:sz w:val="32"/>
          <w:szCs w:val="32"/>
        </w:rPr>
        <w:lastRenderedPageBreak/>
        <w:drawing>
          <wp:anchor distT="0" distB="0" distL="114300" distR="114300" simplePos="0" relativeHeight="251656192" behindDoc="0" locked="0" layoutInCell="1" allowOverlap="1">
            <wp:simplePos x="0" y="0"/>
            <wp:positionH relativeFrom="column">
              <wp:posOffset>836295</wp:posOffset>
            </wp:positionH>
            <wp:positionV relativeFrom="paragraph">
              <wp:posOffset>158750</wp:posOffset>
            </wp:positionV>
            <wp:extent cx="3164205" cy="2117090"/>
            <wp:effectExtent l="0" t="0" r="0" b="635"/>
            <wp:wrapSquare wrapText="bothSides"/>
            <wp:docPr id="6" name="Object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rsidR="004C52FD" w:rsidRDefault="004C52FD">
      <w:pPr>
        <w:spacing w:line="600" w:lineRule="exact"/>
        <w:ind w:firstLineChars="200" w:firstLine="640"/>
        <w:outlineLvl w:val="1"/>
        <w:rPr>
          <w:rFonts w:ascii="仿宋" w:eastAsia="仿宋" w:hAnsi="仿宋" w:hint="eastAsia"/>
          <w:color w:val="000000"/>
          <w:sz w:val="32"/>
          <w:szCs w:val="32"/>
        </w:rPr>
      </w:pPr>
    </w:p>
    <w:p w:rsidR="004C52FD" w:rsidRDefault="004C52FD">
      <w:pPr>
        <w:spacing w:line="600" w:lineRule="exact"/>
        <w:ind w:firstLineChars="200" w:firstLine="640"/>
        <w:outlineLvl w:val="1"/>
        <w:rPr>
          <w:rFonts w:ascii="仿宋" w:eastAsia="仿宋" w:hAnsi="仿宋" w:hint="eastAsia"/>
          <w:color w:val="000000"/>
          <w:sz w:val="32"/>
          <w:szCs w:val="32"/>
        </w:rPr>
      </w:pPr>
    </w:p>
    <w:p w:rsidR="004C52FD" w:rsidRDefault="004C52FD">
      <w:pPr>
        <w:spacing w:line="600" w:lineRule="exact"/>
        <w:ind w:firstLineChars="200" w:firstLine="640"/>
        <w:outlineLvl w:val="1"/>
        <w:rPr>
          <w:rFonts w:ascii="仿宋" w:eastAsia="仿宋" w:hAnsi="仿宋" w:hint="eastAsia"/>
          <w:color w:val="000000"/>
          <w:sz w:val="32"/>
          <w:szCs w:val="32"/>
        </w:rPr>
      </w:pPr>
    </w:p>
    <w:p w:rsidR="004C52FD" w:rsidRDefault="004C52FD">
      <w:pPr>
        <w:spacing w:line="600" w:lineRule="exact"/>
        <w:ind w:firstLineChars="200" w:firstLine="640"/>
        <w:outlineLvl w:val="1"/>
        <w:rPr>
          <w:rFonts w:ascii="仿宋" w:eastAsia="仿宋" w:hAnsi="仿宋" w:hint="eastAsia"/>
          <w:color w:val="000000"/>
          <w:sz w:val="32"/>
          <w:szCs w:val="32"/>
        </w:rPr>
      </w:pPr>
    </w:p>
    <w:p w:rsidR="004C52FD" w:rsidRDefault="004C52FD">
      <w:pPr>
        <w:spacing w:line="600" w:lineRule="exact"/>
        <w:rPr>
          <w:rFonts w:ascii="仿宋" w:eastAsia="仿宋" w:hAnsi="仿宋" w:hint="eastAsia"/>
          <w:color w:val="000000"/>
          <w:sz w:val="32"/>
          <w:szCs w:val="32"/>
        </w:rPr>
      </w:pPr>
    </w:p>
    <w:p w:rsidR="004C52FD" w:rsidRDefault="004C52FD">
      <w:pPr>
        <w:spacing w:line="600" w:lineRule="exact"/>
        <w:rPr>
          <w:rFonts w:ascii="仿宋" w:eastAsia="仿宋" w:hAnsi="仿宋"/>
          <w:color w:val="000000"/>
          <w:sz w:val="32"/>
          <w:szCs w:val="32"/>
        </w:rPr>
      </w:pPr>
      <w:r>
        <w:rPr>
          <w:rFonts w:ascii="仿宋" w:eastAsia="仿宋" w:hAnsi="仿宋" w:hint="eastAsia"/>
          <w:color w:val="000000"/>
          <w:sz w:val="32"/>
          <w:szCs w:val="32"/>
        </w:rPr>
        <w:t xml:space="preserve">      （图</w:t>
      </w:r>
      <w:r>
        <w:rPr>
          <w:rFonts w:ascii="仿宋" w:eastAsia="仿宋" w:hAnsi="仿宋"/>
          <w:color w:val="000000"/>
          <w:sz w:val="32"/>
          <w:szCs w:val="32"/>
        </w:rPr>
        <w:t>2</w:t>
      </w:r>
      <w:r>
        <w:rPr>
          <w:rFonts w:ascii="仿宋" w:eastAsia="仿宋" w:hAnsi="仿宋" w:hint="eastAsia"/>
          <w:color w:val="000000"/>
          <w:sz w:val="32"/>
          <w:szCs w:val="32"/>
        </w:rPr>
        <w:t>：收入决算结构图）（饼状图）</w:t>
      </w:r>
    </w:p>
    <w:p w:rsidR="004C52FD" w:rsidRDefault="004C52FD">
      <w:pPr>
        <w:spacing w:line="600" w:lineRule="exact"/>
        <w:ind w:firstLineChars="200" w:firstLine="640"/>
        <w:rPr>
          <w:rFonts w:ascii="仿宋_GB2312" w:eastAsia="仿宋_GB2312"/>
          <w:color w:val="FF0000"/>
          <w:sz w:val="32"/>
          <w:szCs w:val="32"/>
        </w:rPr>
      </w:pPr>
    </w:p>
    <w:p w:rsidR="004C52FD" w:rsidRDefault="004C52FD">
      <w:pPr>
        <w:pStyle w:val="ListParagraph"/>
        <w:numPr>
          <w:ilvl w:val="0"/>
          <w:numId w:val="1"/>
        </w:numPr>
        <w:spacing w:line="600" w:lineRule="exact"/>
        <w:ind w:firstLineChars="0"/>
        <w:outlineLvl w:val="1"/>
        <w:rPr>
          <w:rStyle w:val="20"/>
          <w:rFonts w:ascii="黑体" w:eastAsia="黑体" w:hAnsi="黑体"/>
          <w:b w:val="0"/>
        </w:rPr>
      </w:pPr>
      <w:bookmarkStart w:id="42" w:name="_Toc15377207"/>
      <w:bookmarkStart w:id="43" w:name="_Toc15396605"/>
      <w:bookmarkStart w:id="44" w:name="_Toc4504"/>
      <w:r>
        <w:rPr>
          <w:rFonts w:ascii="黑体" w:eastAsia="黑体" w:hAnsi="黑体" w:hint="eastAsia"/>
          <w:color w:val="000000"/>
          <w:sz w:val="32"/>
          <w:szCs w:val="32"/>
        </w:rPr>
        <w:t>支</w:t>
      </w:r>
      <w:r>
        <w:rPr>
          <w:rStyle w:val="20"/>
          <w:rFonts w:ascii="黑体" w:eastAsia="黑体" w:hAnsi="黑体" w:hint="eastAsia"/>
          <w:b w:val="0"/>
        </w:rPr>
        <w:t>出决算情况说明</w:t>
      </w:r>
      <w:bookmarkEnd w:id="42"/>
      <w:bookmarkEnd w:id="43"/>
      <w:bookmarkEnd w:id="44"/>
    </w:p>
    <w:p w:rsidR="004C52FD" w:rsidRDefault="004C52FD">
      <w:pPr>
        <w:spacing w:line="600" w:lineRule="exact"/>
        <w:ind w:firstLineChars="200" w:firstLine="640"/>
        <w:outlineLvl w:val="1"/>
        <w:rPr>
          <w:rFonts w:ascii="仿宋" w:eastAsia="仿宋" w:hAnsi="仿宋"/>
          <w:color w:val="000000"/>
          <w:sz w:val="32"/>
          <w:szCs w:val="32"/>
        </w:rPr>
      </w:pPr>
      <w:bookmarkStart w:id="45" w:name="_Toc9029"/>
      <w:r>
        <w:rPr>
          <w:rFonts w:ascii="仿宋" w:eastAsia="仿宋" w:hAnsi="仿宋"/>
          <w:color w:val="000000"/>
          <w:sz w:val="32"/>
          <w:szCs w:val="32"/>
        </w:rPr>
        <w:t>2020</w:t>
      </w:r>
      <w:r>
        <w:rPr>
          <w:rFonts w:ascii="仿宋" w:eastAsia="仿宋" w:hAnsi="仿宋" w:hint="eastAsia"/>
          <w:color w:val="000000"/>
          <w:sz w:val="32"/>
          <w:szCs w:val="32"/>
        </w:rPr>
        <w:t>年本年支出合计1587.60万元，其中：基本支出1215.60万元，占75.67</w:t>
      </w:r>
      <w:r>
        <w:rPr>
          <w:rFonts w:ascii="仿宋" w:eastAsia="仿宋" w:hAnsi="仿宋"/>
          <w:color w:val="000000"/>
          <w:sz w:val="32"/>
          <w:szCs w:val="32"/>
        </w:rPr>
        <w:t>%</w:t>
      </w:r>
      <w:r>
        <w:rPr>
          <w:rFonts w:ascii="仿宋" w:eastAsia="仿宋" w:hAnsi="仿宋" w:hint="eastAsia"/>
          <w:color w:val="000000"/>
          <w:sz w:val="32"/>
          <w:szCs w:val="32"/>
        </w:rPr>
        <w:t>；项目支出372万元，占23.43</w:t>
      </w:r>
      <w:r>
        <w:rPr>
          <w:rFonts w:ascii="仿宋" w:eastAsia="仿宋" w:hAnsi="仿宋"/>
          <w:color w:val="000000"/>
          <w:sz w:val="32"/>
          <w:szCs w:val="32"/>
        </w:rPr>
        <w:t>%</w:t>
      </w:r>
      <w:r>
        <w:rPr>
          <w:rFonts w:ascii="仿宋" w:eastAsia="仿宋" w:hAnsi="仿宋" w:hint="eastAsia"/>
          <w:color w:val="000000"/>
          <w:sz w:val="32"/>
          <w:szCs w:val="32"/>
        </w:rPr>
        <w:t>；上缴上级支出0万元，占0</w:t>
      </w:r>
      <w:r>
        <w:rPr>
          <w:rFonts w:ascii="仿宋" w:eastAsia="仿宋" w:hAnsi="仿宋"/>
          <w:color w:val="000000"/>
          <w:sz w:val="32"/>
          <w:szCs w:val="32"/>
        </w:rPr>
        <w:t>%</w:t>
      </w:r>
      <w:r>
        <w:rPr>
          <w:rFonts w:ascii="仿宋" w:eastAsia="仿宋" w:hAnsi="仿宋" w:hint="eastAsia"/>
          <w:color w:val="000000"/>
          <w:sz w:val="32"/>
          <w:szCs w:val="32"/>
        </w:rPr>
        <w:t>；经营支出0万元，占0</w:t>
      </w:r>
      <w:r>
        <w:rPr>
          <w:rFonts w:ascii="仿宋" w:eastAsia="仿宋" w:hAnsi="仿宋"/>
          <w:color w:val="000000"/>
          <w:sz w:val="32"/>
          <w:szCs w:val="32"/>
        </w:rPr>
        <w:t>%</w:t>
      </w:r>
      <w:r>
        <w:rPr>
          <w:rFonts w:ascii="仿宋" w:eastAsia="仿宋" w:hAnsi="仿宋" w:hint="eastAsia"/>
          <w:color w:val="000000"/>
          <w:sz w:val="32"/>
          <w:szCs w:val="32"/>
        </w:rPr>
        <w:t>；对附属单位补助支出0万元，占0</w:t>
      </w:r>
      <w:r>
        <w:rPr>
          <w:rFonts w:ascii="仿宋" w:eastAsia="仿宋" w:hAnsi="仿宋"/>
          <w:color w:val="000000"/>
          <w:sz w:val="32"/>
          <w:szCs w:val="32"/>
        </w:rPr>
        <w:t>%</w:t>
      </w:r>
      <w:r>
        <w:rPr>
          <w:rFonts w:ascii="仿宋" w:eastAsia="仿宋" w:hAnsi="仿宋" w:hint="eastAsia"/>
          <w:color w:val="000000"/>
          <w:sz w:val="32"/>
          <w:szCs w:val="32"/>
        </w:rPr>
        <w:t>。</w:t>
      </w:r>
      <w:bookmarkEnd w:id="45"/>
    </w:p>
    <w:p w:rsidR="004C52FD" w:rsidRDefault="00D66494">
      <w:pPr>
        <w:spacing w:line="600" w:lineRule="exact"/>
        <w:ind w:firstLine="640"/>
        <w:rPr>
          <w:rFonts w:ascii="仿宋" w:eastAsia="仿宋" w:hAnsi="仿宋" w:hint="eastAsia"/>
          <w:b/>
          <w:color w:val="FF0000"/>
          <w:sz w:val="32"/>
          <w:szCs w:val="32"/>
        </w:rPr>
      </w:pPr>
      <w:r>
        <w:rPr>
          <w:rFonts w:ascii="仿宋" w:eastAsia="仿宋" w:hAnsi="仿宋"/>
          <w:noProof/>
          <w:color w:val="000000"/>
          <w:sz w:val="32"/>
          <w:szCs w:val="32"/>
        </w:rPr>
        <w:drawing>
          <wp:anchor distT="0" distB="0" distL="114300" distR="114300" simplePos="0" relativeHeight="251657216" behindDoc="0" locked="0" layoutInCell="1" allowOverlap="1">
            <wp:simplePos x="0" y="0"/>
            <wp:positionH relativeFrom="column">
              <wp:posOffset>712470</wp:posOffset>
            </wp:positionH>
            <wp:positionV relativeFrom="paragraph">
              <wp:posOffset>139700</wp:posOffset>
            </wp:positionV>
            <wp:extent cx="2743200" cy="1828800"/>
            <wp:effectExtent l="0" t="0" r="1905" b="3175"/>
            <wp:wrapSquare wrapText="bothSides"/>
            <wp:docPr id="9" name="Object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4C52FD" w:rsidRDefault="004C52FD">
      <w:pPr>
        <w:spacing w:line="600" w:lineRule="exact"/>
        <w:ind w:firstLine="640"/>
        <w:rPr>
          <w:rFonts w:ascii="仿宋" w:eastAsia="仿宋" w:hAnsi="仿宋" w:hint="eastAsia"/>
          <w:color w:val="000000"/>
          <w:sz w:val="32"/>
          <w:szCs w:val="32"/>
          <w:shd w:val="pct10" w:color="auto" w:fill="FFFFFF"/>
        </w:rPr>
      </w:pPr>
    </w:p>
    <w:p w:rsidR="004C52FD" w:rsidRDefault="004C52FD">
      <w:pPr>
        <w:spacing w:line="600" w:lineRule="exact"/>
        <w:ind w:firstLine="640"/>
        <w:rPr>
          <w:rFonts w:ascii="仿宋" w:eastAsia="仿宋" w:hAnsi="仿宋" w:hint="eastAsia"/>
          <w:color w:val="000000"/>
          <w:sz w:val="32"/>
          <w:szCs w:val="32"/>
          <w:shd w:val="pct10" w:color="auto" w:fill="FFFFFF"/>
        </w:rPr>
      </w:pPr>
    </w:p>
    <w:p w:rsidR="004C52FD" w:rsidRDefault="004C52FD">
      <w:pPr>
        <w:spacing w:line="600" w:lineRule="exact"/>
        <w:ind w:firstLine="640"/>
        <w:rPr>
          <w:rFonts w:ascii="仿宋" w:eastAsia="仿宋" w:hAnsi="仿宋" w:hint="eastAsia"/>
          <w:color w:val="000000"/>
          <w:sz w:val="32"/>
          <w:szCs w:val="32"/>
          <w:shd w:val="pct10" w:color="auto" w:fill="FFFFFF"/>
        </w:rPr>
      </w:pPr>
    </w:p>
    <w:p w:rsidR="004C52FD" w:rsidRDefault="004C52FD">
      <w:pPr>
        <w:spacing w:line="600" w:lineRule="exact"/>
        <w:ind w:firstLine="640"/>
        <w:rPr>
          <w:rFonts w:ascii="仿宋" w:eastAsia="仿宋" w:hAnsi="仿宋" w:hint="eastAsia"/>
          <w:color w:val="000000"/>
          <w:sz w:val="32"/>
          <w:szCs w:val="32"/>
          <w:shd w:val="pct10" w:color="auto" w:fill="FFFFFF"/>
        </w:rPr>
      </w:pPr>
    </w:p>
    <w:p w:rsidR="004C52FD" w:rsidRDefault="004C52FD">
      <w:pPr>
        <w:spacing w:line="600" w:lineRule="exact"/>
        <w:ind w:firstLine="640"/>
        <w:rPr>
          <w:rFonts w:ascii="仿宋" w:eastAsia="仿宋" w:hAnsi="仿宋"/>
          <w:color w:val="000000"/>
          <w:sz w:val="32"/>
          <w:szCs w:val="32"/>
          <w:shd w:val="pct10" w:color="auto" w:fill="FFFFFF"/>
        </w:rPr>
      </w:pPr>
    </w:p>
    <w:p w:rsidR="004C52FD" w:rsidRDefault="004C52FD">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：支出决算结构图）（饼状图）</w:t>
      </w:r>
    </w:p>
    <w:p w:rsidR="004C52FD" w:rsidRDefault="004C52FD">
      <w:pPr>
        <w:spacing w:line="600" w:lineRule="exact"/>
        <w:outlineLvl w:val="1"/>
        <w:rPr>
          <w:rFonts w:ascii="黑体" w:eastAsia="黑体" w:hAnsi="黑体" w:hint="eastAsia"/>
          <w:color w:val="000000"/>
          <w:sz w:val="32"/>
          <w:szCs w:val="32"/>
        </w:rPr>
      </w:pPr>
      <w:bookmarkStart w:id="46" w:name="_Toc15396606"/>
      <w:bookmarkStart w:id="47" w:name="_Toc15377208"/>
    </w:p>
    <w:p w:rsidR="004C52FD" w:rsidRDefault="004C52FD">
      <w:pPr>
        <w:spacing w:line="600" w:lineRule="exact"/>
        <w:ind w:firstLineChars="200" w:firstLine="640"/>
        <w:outlineLvl w:val="1"/>
        <w:rPr>
          <w:rStyle w:val="20"/>
          <w:rFonts w:ascii="黑体" w:eastAsia="黑体" w:hAnsi="黑体"/>
          <w:b w:val="0"/>
        </w:rPr>
      </w:pPr>
      <w:bookmarkStart w:id="48" w:name="_Toc20401"/>
      <w:r>
        <w:rPr>
          <w:rFonts w:ascii="黑体" w:eastAsia="黑体" w:hAnsi="黑体" w:hint="eastAsia"/>
          <w:color w:val="000000"/>
          <w:sz w:val="32"/>
          <w:szCs w:val="32"/>
        </w:rPr>
        <w:t>四、财</w:t>
      </w:r>
      <w:r>
        <w:rPr>
          <w:rStyle w:val="20"/>
          <w:rFonts w:ascii="黑体" w:eastAsia="黑体" w:hAnsi="黑体" w:hint="eastAsia"/>
          <w:b w:val="0"/>
        </w:rPr>
        <w:t>政拨款收入支出决算总体情况说明</w:t>
      </w:r>
      <w:bookmarkEnd w:id="46"/>
      <w:bookmarkEnd w:id="47"/>
      <w:bookmarkEnd w:id="48"/>
    </w:p>
    <w:p w:rsidR="004C52FD" w:rsidRDefault="004C52FD">
      <w:pPr>
        <w:spacing w:line="600" w:lineRule="exact"/>
        <w:ind w:firstLine="640"/>
        <w:rPr>
          <w:rFonts w:ascii="仿宋" w:eastAsia="仿宋" w:hAnsi="仿宋"/>
          <w:color w:val="000000"/>
          <w:sz w:val="32"/>
          <w:szCs w:val="32"/>
          <w:highlight w:val="yellow"/>
        </w:rPr>
      </w:pPr>
      <w:r>
        <w:rPr>
          <w:rFonts w:ascii="仿宋" w:eastAsia="仿宋" w:hAnsi="仿宋"/>
          <w:color w:val="000000"/>
          <w:sz w:val="32"/>
          <w:szCs w:val="32"/>
        </w:rPr>
        <w:t>2020</w:t>
      </w:r>
      <w:r>
        <w:rPr>
          <w:rFonts w:ascii="仿宋" w:eastAsia="仿宋" w:hAnsi="仿宋" w:hint="eastAsia"/>
          <w:color w:val="000000"/>
          <w:sz w:val="32"/>
          <w:szCs w:val="32"/>
        </w:rPr>
        <w:t>年财政拨款收入总计588.33,支出总计582.87万</w:t>
      </w:r>
      <w:r>
        <w:rPr>
          <w:rFonts w:ascii="仿宋" w:eastAsia="仿宋" w:hAnsi="仿宋" w:hint="eastAsia"/>
          <w:color w:val="000000"/>
          <w:sz w:val="32"/>
          <w:szCs w:val="32"/>
        </w:rPr>
        <w:lastRenderedPageBreak/>
        <w:t>元。与</w:t>
      </w:r>
      <w:r>
        <w:rPr>
          <w:rFonts w:ascii="仿宋" w:eastAsia="仿宋" w:hAnsi="仿宋"/>
          <w:color w:val="000000"/>
          <w:sz w:val="32"/>
          <w:szCs w:val="32"/>
        </w:rPr>
        <w:t>2019</w:t>
      </w:r>
      <w:r>
        <w:rPr>
          <w:rFonts w:ascii="仿宋" w:eastAsia="仿宋" w:hAnsi="仿宋" w:hint="eastAsia"/>
          <w:color w:val="000000"/>
          <w:sz w:val="32"/>
          <w:szCs w:val="32"/>
        </w:rPr>
        <w:t>年相比，财政拨款收、支总计各增加17.58万元，增长3.08</w:t>
      </w:r>
      <w:r>
        <w:rPr>
          <w:rFonts w:ascii="仿宋" w:eastAsia="仿宋" w:hAnsi="仿宋"/>
          <w:color w:val="000000"/>
          <w:sz w:val="32"/>
          <w:szCs w:val="32"/>
        </w:rPr>
        <w:t>%</w:t>
      </w:r>
      <w:r>
        <w:rPr>
          <w:rFonts w:ascii="仿宋" w:eastAsia="仿宋" w:hAnsi="仿宋" w:hint="eastAsia"/>
          <w:color w:val="000000"/>
          <w:sz w:val="32"/>
          <w:szCs w:val="32"/>
        </w:rPr>
        <w:t>。主要变动原因是增加疫情防控物资拨款和疫情防控人员补助。</w:t>
      </w:r>
    </w:p>
    <w:p w:rsidR="004C52FD" w:rsidRDefault="00D66494">
      <w:pPr>
        <w:spacing w:line="600" w:lineRule="exact"/>
        <w:rPr>
          <w:rFonts w:ascii="仿宋" w:eastAsia="仿宋" w:hAnsi="仿宋" w:hint="eastAsia"/>
          <w:color w:val="000000"/>
          <w:sz w:val="32"/>
          <w:szCs w:val="32"/>
        </w:rPr>
      </w:pPr>
      <w:r>
        <w:rPr>
          <w:rFonts w:ascii="仿宋" w:eastAsia="仿宋" w:hAnsi="仿宋" w:hint="eastAsia"/>
          <w:noProof/>
          <w:color w:val="000000"/>
          <w:sz w:val="32"/>
          <w:szCs w:val="32"/>
        </w:rPr>
        <w:drawing>
          <wp:anchor distT="0" distB="0" distL="114300" distR="114300" simplePos="0" relativeHeight="251658240" behindDoc="0" locked="0" layoutInCell="1" allowOverlap="1">
            <wp:simplePos x="0" y="0"/>
            <wp:positionH relativeFrom="column">
              <wp:posOffset>1141095</wp:posOffset>
            </wp:positionH>
            <wp:positionV relativeFrom="paragraph">
              <wp:posOffset>234950</wp:posOffset>
            </wp:positionV>
            <wp:extent cx="2745105" cy="1831975"/>
            <wp:effectExtent l="0" t="0" r="0" b="0"/>
            <wp:wrapSquare wrapText="bothSides"/>
            <wp:docPr id="11" name="Object 1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4C52FD" w:rsidRDefault="004C52FD">
      <w:pPr>
        <w:spacing w:line="600" w:lineRule="exact"/>
        <w:rPr>
          <w:rFonts w:ascii="仿宋" w:eastAsia="仿宋" w:hAnsi="仿宋" w:hint="eastAsia"/>
          <w:color w:val="000000"/>
          <w:sz w:val="32"/>
          <w:szCs w:val="32"/>
        </w:rPr>
      </w:pPr>
    </w:p>
    <w:p w:rsidR="004C52FD" w:rsidRDefault="004C52FD">
      <w:pPr>
        <w:spacing w:line="600" w:lineRule="exact"/>
        <w:rPr>
          <w:rFonts w:ascii="仿宋" w:eastAsia="仿宋" w:hAnsi="仿宋" w:hint="eastAsia"/>
          <w:color w:val="000000"/>
          <w:sz w:val="32"/>
          <w:szCs w:val="32"/>
        </w:rPr>
      </w:pPr>
    </w:p>
    <w:p w:rsidR="004C52FD" w:rsidRDefault="004C52FD">
      <w:pPr>
        <w:spacing w:line="600" w:lineRule="exact"/>
        <w:rPr>
          <w:rFonts w:ascii="仿宋" w:eastAsia="仿宋" w:hAnsi="仿宋" w:hint="eastAsia"/>
          <w:color w:val="000000"/>
          <w:sz w:val="32"/>
          <w:szCs w:val="32"/>
        </w:rPr>
      </w:pPr>
    </w:p>
    <w:p w:rsidR="004C52FD" w:rsidRDefault="004C52FD">
      <w:pPr>
        <w:spacing w:line="600" w:lineRule="exact"/>
        <w:rPr>
          <w:rFonts w:ascii="仿宋" w:eastAsia="仿宋" w:hAnsi="仿宋" w:hint="eastAsia"/>
          <w:color w:val="000000"/>
          <w:sz w:val="32"/>
          <w:szCs w:val="32"/>
        </w:rPr>
      </w:pPr>
    </w:p>
    <w:p w:rsidR="004C52FD" w:rsidRDefault="004C52FD">
      <w:pPr>
        <w:spacing w:line="600" w:lineRule="exact"/>
        <w:rPr>
          <w:rFonts w:ascii="仿宋" w:eastAsia="仿宋" w:hAnsi="仿宋"/>
          <w:color w:val="000000"/>
          <w:sz w:val="32"/>
          <w:szCs w:val="32"/>
        </w:rPr>
      </w:pPr>
    </w:p>
    <w:p w:rsidR="004C52FD" w:rsidRDefault="004C52FD">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：财政拨款收、支决算总计变动情况）（柱状图）</w:t>
      </w:r>
    </w:p>
    <w:p w:rsidR="004C52FD" w:rsidRDefault="004C52FD">
      <w:pPr>
        <w:spacing w:line="600" w:lineRule="exact"/>
        <w:ind w:firstLine="640"/>
        <w:rPr>
          <w:rFonts w:ascii="仿宋" w:eastAsia="仿宋" w:hAnsi="仿宋"/>
          <w:b/>
          <w:color w:val="00B050"/>
          <w:sz w:val="32"/>
          <w:szCs w:val="32"/>
        </w:rPr>
      </w:pPr>
    </w:p>
    <w:p w:rsidR="004C52FD" w:rsidRDefault="004C52FD">
      <w:pPr>
        <w:spacing w:line="600" w:lineRule="exact"/>
        <w:ind w:firstLineChars="200" w:firstLine="640"/>
        <w:outlineLvl w:val="1"/>
        <w:rPr>
          <w:rStyle w:val="20"/>
          <w:rFonts w:ascii="黑体" w:eastAsia="黑体" w:hAnsi="黑体"/>
          <w:b w:val="0"/>
        </w:rPr>
      </w:pPr>
      <w:bookmarkStart w:id="49" w:name="_Toc15396607"/>
      <w:bookmarkStart w:id="50" w:name="_Toc15377209"/>
      <w:bookmarkStart w:id="51" w:name="_Toc1474"/>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49"/>
      <w:bookmarkEnd w:id="50"/>
      <w:bookmarkEnd w:id="51"/>
    </w:p>
    <w:p w:rsidR="004C52FD" w:rsidRDefault="004C52FD">
      <w:pPr>
        <w:spacing w:line="600" w:lineRule="exact"/>
        <w:ind w:firstLineChars="200" w:firstLine="643"/>
        <w:outlineLvl w:val="2"/>
        <w:rPr>
          <w:rFonts w:ascii="仿宋" w:eastAsia="仿宋" w:hAnsi="仿宋"/>
          <w:b/>
          <w:color w:val="000000"/>
          <w:sz w:val="32"/>
          <w:szCs w:val="32"/>
        </w:rPr>
      </w:pPr>
      <w:bookmarkStart w:id="52" w:name="_Toc15377210"/>
      <w:bookmarkStart w:id="53" w:name="_Toc21124"/>
      <w:r>
        <w:rPr>
          <w:rFonts w:ascii="仿宋" w:eastAsia="仿宋" w:hAnsi="仿宋" w:hint="eastAsia"/>
          <w:b/>
          <w:color w:val="000000"/>
          <w:sz w:val="32"/>
          <w:szCs w:val="32"/>
        </w:rPr>
        <w:t>（一）一般公共预算财政拨款支出决算总体情况</w:t>
      </w:r>
      <w:bookmarkEnd w:id="52"/>
      <w:bookmarkEnd w:id="53"/>
    </w:p>
    <w:p w:rsidR="004C52FD" w:rsidRDefault="00D66494">
      <w:pPr>
        <w:spacing w:line="600" w:lineRule="exact"/>
        <w:ind w:firstLineChars="200" w:firstLine="640"/>
        <w:rPr>
          <w:rFonts w:ascii="仿宋" w:eastAsia="仿宋" w:hAnsi="仿宋"/>
          <w:color w:val="000000"/>
          <w:sz w:val="32"/>
          <w:szCs w:val="32"/>
        </w:rPr>
      </w:pPr>
      <w:r>
        <w:rPr>
          <w:rFonts w:ascii="仿宋" w:eastAsia="仿宋" w:hAnsi="仿宋" w:hint="eastAsia"/>
          <w:noProof/>
          <w:color w:val="000000"/>
          <w:sz w:val="32"/>
          <w:szCs w:val="32"/>
        </w:rPr>
        <w:drawing>
          <wp:anchor distT="0" distB="0" distL="114300" distR="114300" simplePos="0" relativeHeight="251659264" behindDoc="0" locked="0" layoutInCell="1" allowOverlap="1">
            <wp:simplePos x="0" y="0"/>
            <wp:positionH relativeFrom="column">
              <wp:posOffset>1264920</wp:posOffset>
            </wp:positionH>
            <wp:positionV relativeFrom="paragraph">
              <wp:posOffset>1787525</wp:posOffset>
            </wp:positionV>
            <wp:extent cx="2773045" cy="1854835"/>
            <wp:effectExtent l="0" t="0" r="635" b="5715"/>
            <wp:wrapSquare wrapText="bothSides"/>
            <wp:docPr id="15" name="Object 1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4C52FD">
        <w:rPr>
          <w:rFonts w:ascii="仿宋" w:eastAsia="仿宋" w:hAnsi="仿宋"/>
          <w:color w:val="000000"/>
          <w:sz w:val="32"/>
          <w:szCs w:val="32"/>
        </w:rPr>
        <w:t>2020</w:t>
      </w:r>
      <w:r w:rsidR="004C52FD">
        <w:rPr>
          <w:rFonts w:ascii="仿宋" w:eastAsia="仿宋" w:hAnsi="仿宋" w:hint="eastAsia"/>
          <w:color w:val="000000"/>
          <w:sz w:val="32"/>
          <w:szCs w:val="32"/>
        </w:rPr>
        <w:t>年一般公共预算财政拨款支出210.87万元，占本年支出合计的36.18</w:t>
      </w:r>
      <w:r w:rsidR="004C52FD">
        <w:rPr>
          <w:rFonts w:ascii="仿宋" w:eastAsia="仿宋" w:hAnsi="仿宋"/>
          <w:color w:val="000000"/>
          <w:sz w:val="32"/>
          <w:szCs w:val="32"/>
        </w:rPr>
        <w:t>%</w:t>
      </w:r>
      <w:r w:rsidR="004C52FD">
        <w:rPr>
          <w:rFonts w:ascii="仿宋" w:eastAsia="仿宋" w:hAnsi="仿宋" w:hint="eastAsia"/>
          <w:color w:val="000000"/>
          <w:sz w:val="32"/>
          <w:szCs w:val="32"/>
        </w:rPr>
        <w:t>。与</w:t>
      </w:r>
      <w:r w:rsidR="004C52FD">
        <w:rPr>
          <w:rFonts w:ascii="仿宋" w:eastAsia="仿宋" w:hAnsi="仿宋"/>
          <w:color w:val="000000"/>
          <w:sz w:val="32"/>
          <w:szCs w:val="32"/>
        </w:rPr>
        <w:t>2019</w:t>
      </w:r>
      <w:r w:rsidR="004C52FD">
        <w:rPr>
          <w:rFonts w:ascii="仿宋" w:eastAsia="仿宋" w:hAnsi="仿宋" w:hint="eastAsia"/>
          <w:color w:val="000000"/>
          <w:sz w:val="32"/>
          <w:szCs w:val="32"/>
        </w:rPr>
        <w:t>年相比，一般公共预算财政拨款减少88.88万元，下降29.65</w:t>
      </w:r>
      <w:r w:rsidR="004C52FD">
        <w:rPr>
          <w:rFonts w:ascii="仿宋" w:eastAsia="仿宋" w:hAnsi="仿宋"/>
          <w:color w:val="000000"/>
          <w:sz w:val="32"/>
          <w:szCs w:val="32"/>
        </w:rPr>
        <w:t>%</w:t>
      </w:r>
      <w:r w:rsidR="004C52FD">
        <w:rPr>
          <w:rFonts w:ascii="仿宋" w:eastAsia="仿宋" w:hAnsi="仿宋" w:hint="eastAsia"/>
          <w:color w:val="000000"/>
          <w:sz w:val="32"/>
          <w:szCs w:val="32"/>
        </w:rPr>
        <w:t>。主要变动原因是机关事业单位养老保险职业年金支出调到政府性基金预算财政拨款支出。</w:t>
      </w:r>
    </w:p>
    <w:p w:rsidR="004C52FD" w:rsidRDefault="004C52FD">
      <w:pPr>
        <w:spacing w:line="600" w:lineRule="exact"/>
        <w:ind w:firstLineChars="200" w:firstLine="640"/>
        <w:rPr>
          <w:rFonts w:ascii="仿宋" w:eastAsia="仿宋" w:hAnsi="仿宋" w:hint="eastAsia"/>
          <w:color w:val="000000"/>
          <w:sz w:val="32"/>
          <w:szCs w:val="32"/>
        </w:rPr>
      </w:pPr>
    </w:p>
    <w:p w:rsidR="004C52FD" w:rsidRDefault="004C52FD">
      <w:pPr>
        <w:spacing w:line="600" w:lineRule="exact"/>
        <w:ind w:firstLineChars="200" w:firstLine="640"/>
        <w:rPr>
          <w:rFonts w:ascii="仿宋" w:eastAsia="仿宋" w:hAnsi="仿宋" w:hint="eastAsia"/>
          <w:color w:val="000000"/>
          <w:sz w:val="32"/>
          <w:szCs w:val="32"/>
        </w:rPr>
      </w:pPr>
    </w:p>
    <w:p w:rsidR="004C52FD" w:rsidRDefault="004C52FD">
      <w:pPr>
        <w:spacing w:line="600" w:lineRule="exact"/>
        <w:ind w:firstLineChars="200" w:firstLine="640"/>
        <w:rPr>
          <w:rFonts w:ascii="仿宋" w:eastAsia="仿宋" w:hAnsi="仿宋" w:hint="eastAsia"/>
          <w:color w:val="000000"/>
          <w:sz w:val="32"/>
          <w:szCs w:val="32"/>
        </w:rPr>
      </w:pPr>
    </w:p>
    <w:p w:rsidR="004C52FD" w:rsidRDefault="004C52FD">
      <w:pPr>
        <w:spacing w:line="600" w:lineRule="exact"/>
        <w:rPr>
          <w:rFonts w:ascii="仿宋" w:hAnsi="仿宋" w:hint="eastAsia"/>
          <w:color w:val="000000"/>
          <w:sz w:val="32"/>
          <w:szCs w:val="32"/>
        </w:rPr>
      </w:pPr>
    </w:p>
    <w:p w:rsidR="004C52FD" w:rsidRDefault="004C52FD">
      <w:pPr>
        <w:spacing w:line="600" w:lineRule="exact"/>
        <w:ind w:left="320" w:hangingChars="100" w:hanging="320"/>
        <w:rPr>
          <w:rFonts w:ascii="仿宋" w:eastAsia="仿宋" w:hAnsi="仿宋" w:hint="eastAsia"/>
          <w:color w:val="000000"/>
          <w:sz w:val="32"/>
          <w:szCs w:val="32"/>
        </w:rPr>
      </w:pPr>
    </w:p>
    <w:p w:rsidR="004C52FD" w:rsidRDefault="004C52FD">
      <w:pPr>
        <w:spacing w:line="600" w:lineRule="exact"/>
        <w:ind w:left="2400" w:hangingChars="750" w:hanging="2400"/>
        <w:rPr>
          <w:rFonts w:ascii="仿宋" w:eastAsia="仿宋" w:hAnsi="仿宋"/>
          <w:color w:val="000000"/>
          <w:sz w:val="32"/>
          <w:szCs w:val="32"/>
        </w:rPr>
      </w:pPr>
      <w:r>
        <w:rPr>
          <w:rFonts w:ascii="仿宋" w:eastAsia="仿宋" w:hAnsi="仿宋" w:hint="eastAsia"/>
          <w:color w:val="000000"/>
          <w:sz w:val="32"/>
          <w:szCs w:val="32"/>
        </w:rPr>
        <w:lastRenderedPageBreak/>
        <w:t>（图</w:t>
      </w:r>
      <w:r>
        <w:rPr>
          <w:rFonts w:ascii="仿宋" w:eastAsia="仿宋" w:hAnsi="仿宋"/>
          <w:color w:val="000000"/>
          <w:sz w:val="32"/>
          <w:szCs w:val="32"/>
        </w:rPr>
        <w:t>5</w:t>
      </w:r>
      <w:r>
        <w:rPr>
          <w:rFonts w:ascii="仿宋" w:eastAsia="仿宋" w:hAnsi="仿宋" w:hint="eastAsia"/>
          <w:color w:val="000000"/>
          <w:sz w:val="32"/>
          <w:szCs w:val="32"/>
        </w:rPr>
        <w:t xml:space="preserve">：一般公共预算财政拨款支出决算变动情况）     （ 柱状图）  </w:t>
      </w:r>
    </w:p>
    <w:p w:rsidR="004C52FD" w:rsidRDefault="004C52FD">
      <w:pPr>
        <w:spacing w:line="600" w:lineRule="exact"/>
        <w:ind w:firstLineChars="200" w:firstLine="640"/>
        <w:rPr>
          <w:rFonts w:ascii="仿宋" w:eastAsia="仿宋" w:hAnsi="仿宋"/>
          <w:color w:val="000000"/>
          <w:sz w:val="32"/>
          <w:szCs w:val="32"/>
        </w:rPr>
      </w:pPr>
    </w:p>
    <w:p w:rsidR="004C52FD" w:rsidRDefault="004C52FD">
      <w:pPr>
        <w:spacing w:line="600" w:lineRule="exact"/>
        <w:ind w:firstLineChars="200" w:firstLine="643"/>
        <w:outlineLvl w:val="2"/>
        <w:rPr>
          <w:rFonts w:ascii="仿宋" w:eastAsia="仿宋" w:hAnsi="仿宋"/>
          <w:b/>
          <w:color w:val="000000"/>
          <w:sz w:val="32"/>
          <w:szCs w:val="32"/>
        </w:rPr>
      </w:pPr>
      <w:bookmarkStart w:id="54" w:name="_Toc15377211"/>
      <w:bookmarkStart w:id="55" w:name="_Toc31886"/>
      <w:r>
        <w:rPr>
          <w:rFonts w:ascii="仿宋" w:eastAsia="仿宋" w:hAnsi="仿宋" w:hint="eastAsia"/>
          <w:b/>
          <w:color w:val="000000"/>
          <w:sz w:val="32"/>
          <w:szCs w:val="32"/>
        </w:rPr>
        <w:t>（二）一般公共预算财政拨款支出决算结构情况</w:t>
      </w:r>
      <w:bookmarkEnd w:id="54"/>
      <w:bookmarkEnd w:id="55"/>
    </w:p>
    <w:p w:rsidR="004C52FD" w:rsidRDefault="004C52FD">
      <w:pPr>
        <w:spacing w:line="600" w:lineRule="exact"/>
        <w:ind w:firstLine="640"/>
        <w:rPr>
          <w:rFonts w:ascii="仿宋" w:eastAsia="仿宋" w:hAnsi="仿宋" w:hint="eastAsia"/>
          <w:b/>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年一般公共预算财政拨款支出210.87万元，主要用于以下方面</w:t>
      </w:r>
      <w:r>
        <w:rPr>
          <w:rFonts w:ascii="仿宋" w:eastAsia="仿宋" w:hAnsi="仿宋"/>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支出175.39万元，占81.07</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bCs/>
          <w:color w:val="000000"/>
          <w:sz w:val="32"/>
          <w:szCs w:val="32"/>
        </w:rPr>
        <w:t>卫生健康支出</w:t>
      </w:r>
      <w:r>
        <w:rPr>
          <w:rFonts w:ascii="仿宋" w:eastAsia="仿宋" w:hAnsi="仿宋" w:hint="eastAsia"/>
          <w:color w:val="000000"/>
          <w:sz w:val="32"/>
          <w:szCs w:val="32"/>
        </w:rPr>
        <w:t>35.48万元，占16.40</w:t>
      </w:r>
      <w:r>
        <w:rPr>
          <w:rFonts w:ascii="仿宋" w:eastAsia="仿宋" w:hAnsi="仿宋"/>
          <w:color w:val="000000"/>
          <w:sz w:val="32"/>
          <w:szCs w:val="32"/>
        </w:rPr>
        <w:t>%</w:t>
      </w:r>
      <w:r>
        <w:rPr>
          <w:rFonts w:ascii="仿宋" w:eastAsia="仿宋" w:hAnsi="仿宋" w:hint="eastAsia"/>
          <w:color w:val="000000"/>
          <w:sz w:val="32"/>
          <w:szCs w:val="32"/>
        </w:rPr>
        <w:t>。</w:t>
      </w:r>
    </w:p>
    <w:p w:rsidR="004C52FD" w:rsidRDefault="00D66494">
      <w:pPr>
        <w:spacing w:line="600" w:lineRule="exact"/>
        <w:ind w:firstLine="640"/>
        <w:rPr>
          <w:rFonts w:ascii="仿宋" w:eastAsia="仿宋" w:hAnsi="仿宋" w:hint="eastAsia"/>
          <w:b/>
          <w:color w:val="000000"/>
          <w:sz w:val="32"/>
          <w:szCs w:val="32"/>
        </w:rPr>
      </w:pPr>
      <w:r>
        <w:rPr>
          <w:rFonts w:ascii="仿宋" w:eastAsia="仿宋" w:hAnsi="仿宋" w:hint="eastAsia"/>
          <w:b/>
          <w:noProof/>
          <w:color w:val="000000"/>
          <w:sz w:val="32"/>
          <w:szCs w:val="32"/>
        </w:rPr>
        <w:drawing>
          <wp:anchor distT="0" distB="0" distL="114300" distR="114300" simplePos="0" relativeHeight="251660288" behindDoc="0" locked="0" layoutInCell="1" allowOverlap="1">
            <wp:simplePos x="0" y="0"/>
            <wp:positionH relativeFrom="column">
              <wp:posOffset>1074420</wp:posOffset>
            </wp:positionH>
            <wp:positionV relativeFrom="paragraph">
              <wp:posOffset>215900</wp:posOffset>
            </wp:positionV>
            <wp:extent cx="2733675" cy="1828800"/>
            <wp:effectExtent l="0" t="0" r="1905" b="3175"/>
            <wp:wrapSquare wrapText="bothSides"/>
            <wp:docPr id="18" name="Object 1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4C52FD" w:rsidRDefault="004C52FD">
      <w:pPr>
        <w:spacing w:line="600" w:lineRule="exact"/>
        <w:ind w:firstLine="640"/>
        <w:rPr>
          <w:rFonts w:ascii="仿宋" w:eastAsia="仿宋" w:hAnsi="仿宋" w:hint="eastAsia"/>
          <w:b/>
          <w:color w:val="000000"/>
          <w:sz w:val="32"/>
          <w:szCs w:val="32"/>
        </w:rPr>
      </w:pPr>
    </w:p>
    <w:p w:rsidR="004C52FD" w:rsidRDefault="004C52FD">
      <w:pPr>
        <w:spacing w:line="600" w:lineRule="exact"/>
        <w:ind w:firstLine="640"/>
        <w:rPr>
          <w:rFonts w:ascii="仿宋" w:eastAsia="仿宋" w:hAnsi="仿宋" w:hint="eastAsia"/>
          <w:b/>
          <w:color w:val="000000"/>
          <w:sz w:val="32"/>
          <w:szCs w:val="32"/>
        </w:rPr>
      </w:pPr>
    </w:p>
    <w:p w:rsidR="004C52FD" w:rsidRDefault="004C52FD">
      <w:pPr>
        <w:spacing w:line="600" w:lineRule="exact"/>
        <w:ind w:firstLine="640"/>
        <w:rPr>
          <w:rFonts w:ascii="仿宋" w:eastAsia="仿宋" w:hAnsi="仿宋" w:hint="eastAsia"/>
          <w:b/>
          <w:color w:val="000000"/>
          <w:sz w:val="32"/>
          <w:szCs w:val="32"/>
        </w:rPr>
      </w:pPr>
    </w:p>
    <w:p w:rsidR="004C52FD" w:rsidRDefault="004C52FD">
      <w:pPr>
        <w:spacing w:line="600" w:lineRule="exact"/>
        <w:ind w:firstLine="640"/>
        <w:rPr>
          <w:rFonts w:ascii="仿宋" w:eastAsia="仿宋" w:hAnsi="仿宋" w:hint="eastAsia"/>
          <w:b/>
          <w:color w:val="000000"/>
          <w:sz w:val="32"/>
          <w:szCs w:val="32"/>
        </w:rPr>
      </w:pPr>
    </w:p>
    <w:p w:rsidR="004C52FD" w:rsidRDefault="004C52FD">
      <w:pPr>
        <w:spacing w:line="600" w:lineRule="exact"/>
        <w:rPr>
          <w:rFonts w:ascii="仿宋" w:eastAsia="仿宋" w:hAnsi="仿宋"/>
          <w:color w:val="000000"/>
          <w:sz w:val="32"/>
          <w:szCs w:val="32"/>
        </w:rPr>
      </w:pPr>
    </w:p>
    <w:p w:rsidR="004C52FD" w:rsidRDefault="004C52FD">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：一般公共预算财政拨款支出决算结构）（饼状图）</w:t>
      </w:r>
    </w:p>
    <w:p w:rsidR="004C52FD" w:rsidRDefault="004C52FD">
      <w:pPr>
        <w:spacing w:line="600" w:lineRule="exact"/>
        <w:ind w:firstLineChars="200" w:firstLine="640"/>
        <w:rPr>
          <w:rFonts w:ascii="仿宋" w:eastAsia="仿宋" w:hAnsi="仿宋"/>
          <w:color w:val="000000"/>
          <w:sz w:val="32"/>
          <w:szCs w:val="32"/>
        </w:rPr>
      </w:pPr>
    </w:p>
    <w:p w:rsidR="004C52FD" w:rsidRDefault="004C52FD">
      <w:pPr>
        <w:spacing w:line="600" w:lineRule="exact"/>
        <w:ind w:firstLineChars="200" w:firstLine="643"/>
        <w:outlineLvl w:val="2"/>
        <w:rPr>
          <w:rFonts w:ascii="仿宋" w:eastAsia="仿宋" w:hAnsi="仿宋"/>
          <w:b/>
          <w:color w:val="000000"/>
          <w:sz w:val="32"/>
          <w:szCs w:val="32"/>
        </w:rPr>
      </w:pPr>
      <w:bookmarkStart w:id="56" w:name="_Toc15377212"/>
      <w:bookmarkStart w:id="57" w:name="_Toc30193"/>
      <w:r>
        <w:rPr>
          <w:rFonts w:ascii="仿宋" w:eastAsia="仿宋" w:hAnsi="仿宋" w:hint="eastAsia"/>
          <w:b/>
          <w:color w:val="000000"/>
          <w:sz w:val="32"/>
          <w:szCs w:val="32"/>
        </w:rPr>
        <w:t>（三）一般公共预算财政拨款支出决算具体情况</w:t>
      </w:r>
      <w:bookmarkEnd w:id="56"/>
      <w:bookmarkEnd w:id="57"/>
    </w:p>
    <w:p w:rsidR="004C52FD" w:rsidRDefault="004C52FD">
      <w:pPr>
        <w:spacing w:line="600" w:lineRule="exact"/>
        <w:ind w:firstLineChars="200" w:firstLine="643"/>
        <w:outlineLvl w:val="2"/>
        <w:rPr>
          <w:rFonts w:ascii="仿宋" w:eastAsia="仿宋" w:hAnsi="仿宋"/>
          <w:color w:val="FF0000"/>
          <w:sz w:val="32"/>
          <w:szCs w:val="32"/>
        </w:rPr>
      </w:pPr>
      <w:bookmarkStart w:id="58" w:name="_Toc15377213"/>
      <w:bookmarkStart w:id="59" w:name="_Toc15378460"/>
      <w:bookmarkStart w:id="60" w:name="_Toc15377444"/>
      <w:bookmarkStart w:id="61" w:name="_Toc27122"/>
      <w:r>
        <w:rPr>
          <w:rFonts w:ascii="仿宋" w:eastAsia="仿宋" w:hAnsi="仿宋"/>
          <w:b/>
          <w:color w:val="000000"/>
          <w:sz w:val="32"/>
          <w:szCs w:val="32"/>
        </w:rPr>
        <w:t>2020</w:t>
      </w:r>
      <w:r>
        <w:rPr>
          <w:rFonts w:ascii="仿宋" w:eastAsia="仿宋" w:hAnsi="仿宋" w:hint="eastAsia"/>
          <w:b/>
          <w:color w:val="000000"/>
          <w:sz w:val="32"/>
          <w:szCs w:val="32"/>
        </w:rPr>
        <w:t>年一般公共预算支出决算数为216.33</w:t>
      </w:r>
      <w:r>
        <w:rPr>
          <w:rFonts w:ascii="仿宋" w:eastAsia="仿宋" w:hAnsi="仿宋" w:hint="eastAsia"/>
          <w:color w:val="000000"/>
          <w:sz w:val="32"/>
          <w:szCs w:val="32"/>
        </w:rPr>
        <w:t>，</w:t>
      </w:r>
      <w:r>
        <w:rPr>
          <w:rStyle w:val="ab"/>
          <w:rFonts w:ascii="仿宋" w:eastAsia="仿宋" w:hAnsi="仿宋" w:hint="eastAsia"/>
          <w:bCs/>
          <w:color w:val="000000"/>
          <w:sz w:val="32"/>
          <w:szCs w:val="32"/>
        </w:rPr>
        <w:t>完成预算97.48</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。其中：</w:t>
      </w:r>
      <w:bookmarkEnd w:id="58"/>
      <w:bookmarkEnd w:id="59"/>
      <w:bookmarkEnd w:id="60"/>
      <w:bookmarkEnd w:id="61"/>
    </w:p>
    <w:p w:rsidR="004C52FD" w:rsidRDefault="004C52FD">
      <w:pPr>
        <w:numPr>
          <w:ilvl w:val="0"/>
          <w:numId w:val="2"/>
        </w:numPr>
        <w:tabs>
          <w:tab w:val="left" w:pos="312"/>
        </w:tabs>
        <w:spacing w:line="600" w:lineRule="exact"/>
        <w:ind w:firstLineChars="200" w:firstLine="643"/>
        <w:rPr>
          <w:rStyle w:val="ab"/>
          <w:rFonts w:ascii="仿宋" w:eastAsia="仿宋" w:hAnsi="仿宋" w:hint="eastAsia"/>
          <w:b w:val="0"/>
          <w:bCs/>
          <w:color w:val="000000"/>
          <w:sz w:val="32"/>
          <w:szCs w:val="32"/>
        </w:rPr>
      </w:pPr>
      <w:r>
        <w:rPr>
          <w:rStyle w:val="ab"/>
          <w:rFonts w:ascii="仿宋" w:eastAsia="仿宋" w:hAnsi="仿宋" w:hint="eastAsia"/>
          <w:bCs/>
          <w:color w:val="000000"/>
          <w:sz w:val="32"/>
          <w:szCs w:val="32"/>
        </w:rPr>
        <w:t>社会保障和就业（类）行政事业单位养老支出（款）事业单位离退休（项）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支出决算为171.15万元，完成预算79.12</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r>
        <w:rPr>
          <w:rStyle w:val="ab"/>
          <w:rFonts w:ascii="仿宋" w:eastAsia="仿宋" w:hAnsi="仿宋" w:hint="eastAsia"/>
          <w:bCs/>
          <w:color w:val="000000"/>
          <w:sz w:val="32"/>
          <w:szCs w:val="32"/>
        </w:rPr>
        <w:t>社会保障和就业（类）抚恤（款）死亡抚恤（项）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支出决算为0.8万元，完成预算0.37</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，决算数小于预算数，主要原因是2020年底未付退休职工死</w:t>
      </w:r>
      <w:r>
        <w:rPr>
          <w:rStyle w:val="ab"/>
          <w:rFonts w:ascii="仿宋" w:eastAsia="仿宋" w:hAnsi="仿宋" w:hint="eastAsia"/>
          <w:b w:val="0"/>
          <w:bCs/>
          <w:color w:val="000000"/>
          <w:sz w:val="32"/>
          <w:szCs w:val="32"/>
        </w:rPr>
        <w:lastRenderedPageBreak/>
        <w:t>亡抚恤金。</w:t>
      </w:r>
      <w:r>
        <w:rPr>
          <w:rStyle w:val="ab"/>
          <w:rFonts w:ascii="仿宋" w:eastAsia="仿宋" w:hAnsi="仿宋" w:hint="eastAsia"/>
          <w:bCs/>
          <w:color w:val="000000"/>
          <w:sz w:val="32"/>
          <w:szCs w:val="32"/>
        </w:rPr>
        <w:t>社会保障和就业（类）其他社会保障和就业支出（款）其他社会保障和就业支出（项）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支出决算为3.44万元，完成预算1.59</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r>
        <w:rPr>
          <w:rStyle w:val="ab"/>
          <w:rFonts w:ascii="仿宋" w:eastAsia="仿宋" w:hAnsi="仿宋" w:hint="eastAsia"/>
          <w:bCs/>
          <w:color w:val="000000"/>
          <w:sz w:val="32"/>
          <w:szCs w:val="32"/>
        </w:rPr>
        <w:t>卫生健康支出（类）公共卫生（款）重大公共卫生服务（项）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支出决算为5万元，完成预算2.31</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r>
        <w:rPr>
          <w:rStyle w:val="ab"/>
          <w:rFonts w:ascii="仿宋" w:eastAsia="仿宋" w:hAnsi="仿宋" w:hint="eastAsia"/>
          <w:bCs/>
          <w:color w:val="000000"/>
          <w:sz w:val="32"/>
          <w:szCs w:val="32"/>
        </w:rPr>
        <w:t>卫生健康支出（类）其他卫生健康支出（款）其他卫生健康支出（项）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支出决算为30.48万元，完成预算14.09</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p>
    <w:p w:rsidR="004C52FD" w:rsidRDefault="004C52FD">
      <w:pPr>
        <w:spacing w:line="600" w:lineRule="exact"/>
        <w:ind w:firstLineChars="200" w:firstLine="643"/>
        <w:rPr>
          <w:rFonts w:ascii="仿宋" w:eastAsia="仿宋" w:hAnsi="仿宋"/>
          <w:b/>
          <w:color w:val="000000"/>
          <w:sz w:val="32"/>
          <w:szCs w:val="32"/>
        </w:rPr>
      </w:pPr>
      <w:r>
        <w:rPr>
          <w:rStyle w:val="ab"/>
          <w:rFonts w:ascii="仿宋" w:eastAsia="仿宋" w:hAnsi="仿宋" w:hint="eastAsia"/>
          <w:bCs/>
          <w:color w:val="000000"/>
          <w:sz w:val="32"/>
          <w:szCs w:val="32"/>
        </w:rPr>
        <w:t>2</w:t>
      </w:r>
      <w:r>
        <w:rPr>
          <w:rStyle w:val="ab"/>
          <w:rFonts w:ascii="仿宋" w:eastAsia="仿宋" w:hAnsi="仿宋"/>
          <w:bCs/>
          <w:color w:val="000000"/>
          <w:sz w:val="32"/>
          <w:szCs w:val="32"/>
        </w:rPr>
        <w:t>.</w:t>
      </w:r>
      <w:r>
        <w:rPr>
          <w:rFonts w:ascii="仿宋" w:eastAsia="仿宋" w:hAnsi="仿宋" w:hint="eastAsia"/>
          <w:b/>
          <w:bCs/>
          <w:color w:val="000000"/>
          <w:sz w:val="32"/>
          <w:szCs w:val="32"/>
        </w:rPr>
        <w:t>卫生健康</w:t>
      </w:r>
      <w:r>
        <w:rPr>
          <w:rStyle w:val="ab"/>
          <w:rFonts w:ascii="仿宋" w:eastAsia="仿宋" w:hAnsi="仿宋" w:hint="eastAsia"/>
          <w:bCs/>
          <w:color w:val="000000"/>
          <w:sz w:val="32"/>
          <w:szCs w:val="32"/>
        </w:rPr>
        <w:t>（类）</w:t>
      </w:r>
      <w:r>
        <w:rPr>
          <w:rFonts w:ascii="仿宋" w:eastAsia="仿宋" w:hAnsi="仿宋" w:hint="eastAsia"/>
          <w:b/>
          <w:bCs/>
          <w:color w:val="000000"/>
          <w:sz w:val="32"/>
          <w:szCs w:val="32"/>
        </w:rPr>
        <w:t>公立医院（款）综合医院（</w:t>
      </w:r>
      <w:r>
        <w:rPr>
          <w:rFonts w:hint="eastAsia"/>
        </w:rPr>
        <w:t>项</w:t>
      </w:r>
      <w:r>
        <w:rPr>
          <w:rFonts w:ascii="仿宋" w:eastAsia="仿宋" w:hAnsi="仿宋" w:hint="eastAsia"/>
          <w:b/>
          <w:bCs/>
          <w:color w:val="000000"/>
          <w:sz w:val="32"/>
          <w:szCs w:val="32"/>
        </w:rPr>
        <w:t>）</w:t>
      </w:r>
      <w:r>
        <w:rPr>
          <w:rFonts w:ascii="仿宋" w:eastAsia="仿宋" w:hAnsi="仿宋"/>
          <w:b/>
          <w:bCs/>
          <w:color w:val="000000"/>
          <w:sz w:val="32"/>
          <w:szCs w:val="32"/>
        </w:rPr>
        <w:t>:</w:t>
      </w:r>
      <w:r>
        <w:rPr>
          <w:rStyle w:val="ab"/>
          <w:rFonts w:ascii="仿宋" w:eastAsia="仿宋" w:hAnsi="仿宋" w:hint="eastAsia"/>
          <w:b w:val="0"/>
          <w:bCs/>
          <w:color w:val="000000"/>
          <w:sz w:val="32"/>
          <w:szCs w:val="32"/>
        </w:rPr>
        <w:t>支出决算为35.48万元，完成预算18.92</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p>
    <w:p w:rsidR="004C52FD" w:rsidRDefault="004C52FD">
      <w:pPr>
        <w:spacing w:line="600" w:lineRule="exact"/>
        <w:ind w:firstLine="640"/>
        <w:rPr>
          <w:rFonts w:ascii="仿宋" w:eastAsia="仿宋" w:hAnsi="仿宋"/>
          <w:b/>
          <w:color w:val="000000"/>
          <w:sz w:val="32"/>
          <w:szCs w:val="32"/>
        </w:rPr>
      </w:pPr>
    </w:p>
    <w:p w:rsidR="004C52FD" w:rsidRDefault="004C52FD">
      <w:pPr>
        <w:tabs>
          <w:tab w:val="right" w:pos="8306"/>
        </w:tabs>
        <w:spacing w:line="600" w:lineRule="exact"/>
        <w:ind w:firstLine="640"/>
        <w:outlineLvl w:val="1"/>
        <w:rPr>
          <w:rStyle w:val="20"/>
        </w:rPr>
      </w:pPr>
      <w:bookmarkStart w:id="62" w:name="_Toc15396608"/>
      <w:bookmarkStart w:id="63" w:name="_Toc15377214"/>
      <w:bookmarkStart w:id="64" w:name="_Toc22881"/>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62"/>
      <w:bookmarkEnd w:id="63"/>
      <w:bookmarkEnd w:id="64"/>
      <w:r>
        <w:rPr>
          <w:rStyle w:val="20"/>
          <w:rFonts w:ascii="黑体" w:eastAsia="黑体" w:hAnsi="黑体"/>
          <w:b w:val="0"/>
        </w:rPr>
        <w:tab/>
      </w:r>
    </w:p>
    <w:p w:rsidR="004C52FD" w:rsidRDefault="004C52FD">
      <w:pPr>
        <w:spacing w:line="600" w:lineRule="exact"/>
        <w:ind w:firstLine="645"/>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年一般公共预算财政拨款基本支出210.87万元，其中：</w:t>
      </w:r>
    </w:p>
    <w:p w:rsidR="004C52FD" w:rsidRDefault="004C52FD">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人员经费175.93万元，主要包括：津贴补贴、离休费、退休费、抚恤金、生活补助、医疗费补助、其他对个人和家庭的补助支出等。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w:t>
      </w:r>
      <w:r w:rsidRPr="004F33A6">
        <w:rPr>
          <w:rFonts w:ascii="仿宋" w:eastAsia="仿宋" w:hAnsi="仿宋" w:hint="eastAsia"/>
          <w:color w:val="000000"/>
          <w:sz w:val="32"/>
          <w:szCs w:val="32"/>
        </w:rPr>
        <w:t>日常公</w:t>
      </w:r>
      <w:r>
        <w:rPr>
          <w:rFonts w:ascii="仿宋" w:eastAsia="仿宋" w:hAnsi="仿宋" w:hint="eastAsia"/>
          <w:color w:val="000000"/>
          <w:sz w:val="32"/>
          <w:szCs w:val="32"/>
        </w:rPr>
        <w:t>用经费34.94万元，主要包括：维修（护）费、福利费、其他商品和服务支出。</w:t>
      </w:r>
    </w:p>
    <w:p w:rsidR="004C52FD" w:rsidRDefault="004C52FD">
      <w:pPr>
        <w:spacing w:line="600" w:lineRule="exact"/>
        <w:ind w:firstLine="640"/>
        <w:rPr>
          <w:rFonts w:ascii="仿宋" w:eastAsia="仿宋" w:hAnsi="仿宋"/>
          <w:b/>
          <w:color w:val="FF0000"/>
          <w:sz w:val="32"/>
          <w:szCs w:val="32"/>
        </w:rPr>
      </w:pPr>
    </w:p>
    <w:p w:rsidR="004C52FD" w:rsidRDefault="004C52FD">
      <w:pPr>
        <w:spacing w:line="600" w:lineRule="exact"/>
        <w:ind w:firstLineChars="147" w:firstLine="470"/>
        <w:outlineLvl w:val="1"/>
        <w:rPr>
          <w:rStyle w:val="20"/>
          <w:rFonts w:ascii="黑体" w:eastAsia="黑体" w:hAnsi="黑体"/>
          <w:b w:val="0"/>
        </w:rPr>
      </w:pPr>
      <w:bookmarkStart w:id="65" w:name="_Toc15396609"/>
      <w:bookmarkStart w:id="66" w:name="_Toc15377215"/>
      <w:bookmarkStart w:id="67" w:name="_Toc9456"/>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65"/>
      <w:bookmarkEnd w:id="66"/>
      <w:bookmarkEnd w:id="67"/>
    </w:p>
    <w:p w:rsidR="004C52FD" w:rsidRDefault="004C52FD">
      <w:pPr>
        <w:spacing w:line="600" w:lineRule="exact"/>
        <w:ind w:firstLine="640"/>
        <w:outlineLvl w:val="2"/>
        <w:rPr>
          <w:rFonts w:ascii="仿宋" w:eastAsia="仿宋" w:hAnsi="仿宋"/>
          <w:b/>
          <w:color w:val="000000"/>
          <w:sz w:val="32"/>
          <w:szCs w:val="32"/>
        </w:rPr>
      </w:pPr>
      <w:bookmarkStart w:id="68" w:name="_Toc15377216"/>
      <w:bookmarkStart w:id="69" w:name="_Toc16416"/>
      <w:r>
        <w:rPr>
          <w:rFonts w:ascii="仿宋" w:eastAsia="仿宋" w:hAnsi="仿宋" w:hint="eastAsia"/>
          <w:b/>
          <w:color w:val="000000"/>
          <w:sz w:val="32"/>
          <w:szCs w:val="32"/>
        </w:rPr>
        <w:t>（一）“三公”经费财政拨款支出决算总体情况说明</w:t>
      </w:r>
      <w:bookmarkEnd w:id="68"/>
      <w:bookmarkEnd w:id="69"/>
    </w:p>
    <w:p w:rsidR="004C52FD" w:rsidRDefault="004C52FD">
      <w:pPr>
        <w:spacing w:line="600" w:lineRule="exact"/>
        <w:ind w:firstLine="640"/>
        <w:rPr>
          <w:rFonts w:eastAsia="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年“三公”经费财政拨款支出决算为0万元，完成</w:t>
      </w:r>
      <w:r>
        <w:rPr>
          <w:rFonts w:ascii="仿宋" w:eastAsia="仿宋" w:hAnsi="仿宋" w:hint="eastAsia"/>
          <w:color w:val="000000"/>
          <w:sz w:val="32"/>
          <w:szCs w:val="32"/>
        </w:rPr>
        <w:lastRenderedPageBreak/>
        <w:t>预算0</w:t>
      </w:r>
      <w:r>
        <w:rPr>
          <w:rFonts w:ascii="仿宋" w:eastAsia="仿宋" w:hAnsi="仿宋"/>
          <w:color w:val="000000"/>
          <w:sz w:val="32"/>
          <w:szCs w:val="32"/>
        </w:rPr>
        <w:t>%</w:t>
      </w:r>
      <w:r>
        <w:rPr>
          <w:rFonts w:ascii="仿宋" w:eastAsia="仿宋" w:hAnsi="仿宋" w:hint="eastAsia"/>
          <w:color w:val="000000"/>
          <w:sz w:val="32"/>
          <w:szCs w:val="32"/>
        </w:rPr>
        <w:t>。</w:t>
      </w:r>
      <w:r>
        <w:rPr>
          <w:rFonts w:eastAsia="仿宋" w:hint="eastAsia"/>
          <w:color w:val="000000"/>
          <w:sz w:val="32"/>
          <w:szCs w:val="32"/>
        </w:rPr>
        <w:t>（财政公开</w:t>
      </w:r>
      <w:r>
        <w:rPr>
          <w:rFonts w:eastAsia="仿宋" w:hint="eastAsia"/>
          <w:color w:val="000000"/>
          <w:sz w:val="32"/>
          <w:szCs w:val="32"/>
        </w:rPr>
        <w:t>10</w:t>
      </w:r>
      <w:r>
        <w:rPr>
          <w:rFonts w:eastAsia="仿宋" w:hint="eastAsia"/>
          <w:color w:val="000000"/>
          <w:sz w:val="32"/>
          <w:szCs w:val="32"/>
        </w:rPr>
        <w:t>表无数据）</w:t>
      </w:r>
    </w:p>
    <w:p w:rsidR="004C52FD" w:rsidRDefault="004C52FD">
      <w:pPr>
        <w:spacing w:line="600" w:lineRule="exact"/>
        <w:ind w:firstLineChars="200" w:firstLine="643"/>
        <w:outlineLvl w:val="2"/>
        <w:rPr>
          <w:rFonts w:ascii="仿宋" w:eastAsia="仿宋" w:hAnsi="仿宋"/>
          <w:b/>
          <w:color w:val="000000"/>
          <w:sz w:val="32"/>
          <w:szCs w:val="32"/>
        </w:rPr>
      </w:pPr>
      <w:bookmarkStart w:id="70" w:name="_Toc15377217"/>
      <w:bookmarkStart w:id="71" w:name="_Toc21165"/>
      <w:r>
        <w:rPr>
          <w:rFonts w:ascii="仿宋" w:eastAsia="仿宋" w:hAnsi="仿宋" w:hint="eastAsia"/>
          <w:b/>
          <w:color w:val="000000"/>
          <w:sz w:val="32"/>
          <w:szCs w:val="32"/>
        </w:rPr>
        <w:t>（二）“三公”经费财政拨款支出决算具体情况说明</w:t>
      </w:r>
      <w:bookmarkEnd w:id="70"/>
      <w:bookmarkEnd w:id="71"/>
    </w:p>
    <w:p w:rsidR="004C52FD" w:rsidRDefault="004C52FD">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年“三公”经费财政拨款支出决算中，因公出国（境）费支出决算</w:t>
      </w:r>
      <w:r>
        <w:rPr>
          <w:rFonts w:eastAsia="仿宋" w:hint="eastAsia"/>
          <w:color w:val="000000"/>
          <w:sz w:val="32"/>
          <w:szCs w:val="32"/>
        </w:rPr>
        <w:t>0</w:t>
      </w:r>
      <w:r>
        <w:rPr>
          <w:rFonts w:ascii="仿宋" w:eastAsia="仿宋" w:hAnsi="仿宋" w:hint="eastAsia"/>
          <w:color w:val="000000"/>
          <w:sz w:val="32"/>
          <w:szCs w:val="32"/>
        </w:rPr>
        <w:t>万元，占</w:t>
      </w:r>
      <w:r>
        <w:rPr>
          <w:rFonts w:eastAsia="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w:t>
      </w:r>
      <w:r>
        <w:rPr>
          <w:rFonts w:eastAsia="仿宋" w:hint="eastAsia"/>
          <w:color w:val="000000"/>
          <w:sz w:val="32"/>
          <w:szCs w:val="32"/>
        </w:rPr>
        <w:t>0</w:t>
      </w:r>
      <w:r>
        <w:rPr>
          <w:rFonts w:ascii="仿宋" w:eastAsia="仿宋" w:hAnsi="仿宋" w:hint="eastAsia"/>
          <w:color w:val="000000"/>
          <w:sz w:val="32"/>
          <w:szCs w:val="32"/>
        </w:rPr>
        <w:t>万元，占</w:t>
      </w:r>
      <w:r>
        <w:rPr>
          <w:rFonts w:eastAsia="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；公务接待费支出决算</w:t>
      </w:r>
      <w:r>
        <w:rPr>
          <w:rFonts w:eastAsia="仿宋" w:hint="eastAsia"/>
          <w:color w:val="000000"/>
          <w:sz w:val="32"/>
          <w:szCs w:val="32"/>
        </w:rPr>
        <w:t>0</w:t>
      </w:r>
      <w:r>
        <w:rPr>
          <w:rFonts w:ascii="仿宋" w:eastAsia="仿宋" w:hAnsi="仿宋" w:hint="eastAsia"/>
          <w:color w:val="000000"/>
          <w:sz w:val="32"/>
          <w:szCs w:val="32"/>
        </w:rPr>
        <w:t>万元，占</w:t>
      </w:r>
      <w:r>
        <w:rPr>
          <w:rFonts w:eastAsia="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r>
        <w:rPr>
          <w:rFonts w:eastAsia="仿宋" w:hint="eastAsia"/>
          <w:color w:val="000000"/>
          <w:sz w:val="32"/>
          <w:szCs w:val="32"/>
        </w:rPr>
        <w:t>（财政公开</w:t>
      </w:r>
      <w:r>
        <w:rPr>
          <w:rFonts w:eastAsia="仿宋" w:hint="eastAsia"/>
          <w:color w:val="000000"/>
          <w:sz w:val="32"/>
          <w:szCs w:val="32"/>
        </w:rPr>
        <w:t>10</w:t>
      </w:r>
      <w:r>
        <w:rPr>
          <w:rFonts w:eastAsia="仿宋" w:hint="eastAsia"/>
          <w:color w:val="000000"/>
          <w:sz w:val="32"/>
          <w:szCs w:val="32"/>
        </w:rPr>
        <w:t>表无数据）</w:t>
      </w:r>
    </w:p>
    <w:p w:rsidR="004C52FD" w:rsidRDefault="004C52FD">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hint="eastAsia"/>
          <w:color w:val="000000"/>
          <w:sz w:val="32"/>
          <w:szCs w:val="32"/>
        </w:rPr>
        <w:t>0万元，</w:t>
      </w:r>
      <w:r>
        <w:rPr>
          <w:rStyle w:val="ab"/>
          <w:rFonts w:ascii="仿宋" w:eastAsia="仿宋" w:hAnsi="仿宋" w:hint="eastAsia"/>
          <w:b w:val="0"/>
          <w:bCs/>
          <w:color w:val="000000"/>
          <w:sz w:val="32"/>
          <w:szCs w:val="32"/>
        </w:rPr>
        <w:t>完成预算</w:t>
      </w:r>
      <w:r>
        <w:rPr>
          <w:rFonts w:ascii="仿宋_GB2312" w:eastAsia="仿宋_GB2312" w:hint="eastAsia"/>
          <w:color w:val="000000"/>
          <w:sz w:val="32"/>
          <w:szCs w:val="32"/>
        </w:rPr>
        <w:t>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全年安排因公出国（境）团组0次，出国（境）0人。</w:t>
      </w:r>
    </w:p>
    <w:p w:rsidR="004C52FD" w:rsidRDefault="004C52FD">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eastAsia="仿宋_GB2312" w:hint="eastAsia"/>
          <w:color w:val="000000"/>
          <w:sz w:val="32"/>
          <w:szCs w:val="32"/>
        </w:rPr>
        <w:t>0</w:t>
      </w:r>
      <w:r>
        <w:rPr>
          <w:rFonts w:ascii="仿宋_GB2312" w:eastAsia="仿宋_GB2312" w:hint="eastAsia"/>
          <w:color w:val="000000"/>
          <w:sz w:val="32"/>
          <w:szCs w:val="32"/>
        </w:rPr>
        <w:t>万元</w:t>
      </w:r>
      <w:r>
        <w:rPr>
          <w:rFonts w:ascii="仿宋_GB2312" w:eastAsia="仿宋_GB2312"/>
          <w:color w:val="000000"/>
          <w:sz w:val="32"/>
          <w:szCs w:val="32"/>
        </w:rPr>
        <w:t>,</w:t>
      </w:r>
      <w:r>
        <w:rPr>
          <w:rStyle w:val="ab"/>
          <w:rFonts w:ascii="仿宋" w:eastAsia="仿宋" w:hAnsi="仿宋" w:hint="eastAsia"/>
          <w:b w:val="0"/>
          <w:bCs/>
          <w:color w:val="000000"/>
          <w:sz w:val="32"/>
          <w:szCs w:val="32"/>
        </w:rPr>
        <w:t>完成预算</w:t>
      </w:r>
      <w:r>
        <w:rPr>
          <w:rFonts w:eastAsia="仿宋_GB2312" w:hint="eastAsia"/>
          <w:color w:val="000000"/>
          <w:sz w:val="32"/>
          <w:szCs w:val="32"/>
        </w:rPr>
        <w:t>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w:t>
      </w:r>
      <w:r>
        <w:rPr>
          <w:rFonts w:ascii="仿宋_GB2312" w:eastAsia="仿宋_GB2312" w:hint="eastAsia"/>
          <w:color w:val="000000"/>
          <w:sz w:val="32"/>
          <w:szCs w:val="32"/>
        </w:rPr>
        <w:t>9年增加</w:t>
      </w:r>
      <w:r>
        <w:rPr>
          <w:rFonts w:ascii="仿宋_GB2312" w:eastAsia="仿宋_GB2312"/>
          <w:color w:val="000000"/>
          <w:sz w:val="32"/>
          <w:szCs w:val="32"/>
        </w:rPr>
        <w:t>/</w:t>
      </w:r>
      <w:r>
        <w:rPr>
          <w:rFonts w:ascii="仿宋_GB2312" w:eastAsia="仿宋_GB2312" w:hint="eastAsia"/>
          <w:color w:val="000000"/>
          <w:sz w:val="32"/>
          <w:szCs w:val="32"/>
        </w:rPr>
        <w:t>减少</w:t>
      </w:r>
      <w:r>
        <w:rPr>
          <w:rFonts w:eastAsia="仿宋_GB2312" w:hint="eastAsia"/>
          <w:color w:val="000000"/>
          <w:sz w:val="32"/>
          <w:szCs w:val="32"/>
        </w:rPr>
        <w:t>0</w:t>
      </w:r>
      <w:r>
        <w:rPr>
          <w:rFonts w:ascii="仿宋_GB2312" w:eastAsia="仿宋_GB2312" w:hint="eastAsia"/>
          <w:color w:val="000000"/>
          <w:sz w:val="32"/>
          <w:szCs w:val="32"/>
        </w:rPr>
        <w:t>万元，增长</w:t>
      </w:r>
      <w:r>
        <w:rPr>
          <w:rFonts w:ascii="仿宋_GB2312" w:eastAsia="仿宋_GB2312"/>
          <w:color w:val="000000"/>
          <w:sz w:val="32"/>
          <w:szCs w:val="32"/>
        </w:rPr>
        <w:t>/</w:t>
      </w:r>
      <w:r>
        <w:rPr>
          <w:rFonts w:ascii="仿宋_GB2312" w:eastAsia="仿宋_GB2312" w:hint="eastAsia"/>
          <w:color w:val="000000"/>
          <w:sz w:val="32"/>
          <w:szCs w:val="32"/>
        </w:rPr>
        <w:t>下降</w:t>
      </w:r>
      <w:r>
        <w:rPr>
          <w:rFonts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w:t>
      </w:r>
    </w:p>
    <w:p w:rsidR="004C52FD" w:rsidRDefault="004C52FD">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eastAsia="仿宋_GB2312" w:hint="eastAsia"/>
          <w:color w:val="000000"/>
          <w:sz w:val="32"/>
          <w:szCs w:val="32"/>
        </w:rPr>
        <w:t>0</w:t>
      </w:r>
      <w:r>
        <w:rPr>
          <w:rFonts w:ascii="仿宋_GB2312" w:eastAsia="仿宋_GB2312" w:hint="eastAsia"/>
          <w:color w:val="000000"/>
          <w:sz w:val="32"/>
          <w:szCs w:val="32"/>
        </w:rPr>
        <w:t>万元。全年按规定更新购置公务用车</w:t>
      </w:r>
      <w:r>
        <w:rPr>
          <w:rFonts w:eastAsia="仿宋_GB2312" w:hint="eastAsia"/>
          <w:color w:val="000000"/>
          <w:sz w:val="32"/>
          <w:szCs w:val="32"/>
        </w:rPr>
        <w:t>0</w:t>
      </w:r>
      <w:r>
        <w:rPr>
          <w:rFonts w:ascii="仿宋_GB2312" w:eastAsia="仿宋_GB2312" w:hint="eastAsia"/>
          <w:color w:val="000000"/>
          <w:sz w:val="32"/>
          <w:szCs w:val="32"/>
        </w:rPr>
        <w:t>辆，其中：轿车</w:t>
      </w:r>
      <w:r>
        <w:rPr>
          <w:rFonts w:eastAsia="仿宋_GB2312" w:hint="eastAsia"/>
          <w:color w:val="000000"/>
          <w:sz w:val="32"/>
          <w:szCs w:val="32"/>
        </w:rPr>
        <w:t>0</w:t>
      </w:r>
      <w:r>
        <w:rPr>
          <w:rFonts w:ascii="仿宋_GB2312" w:eastAsia="仿宋_GB2312" w:hint="eastAsia"/>
          <w:color w:val="000000"/>
          <w:sz w:val="32"/>
          <w:szCs w:val="32"/>
        </w:rPr>
        <w:t>辆、金额</w:t>
      </w:r>
      <w:r>
        <w:rPr>
          <w:rFonts w:eastAsia="仿宋_GB2312" w:hint="eastAsia"/>
          <w:color w:val="000000"/>
          <w:sz w:val="32"/>
          <w:szCs w:val="32"/>
        </w:rPr>
        <w:t>0</w:t>
      </w:r>
      <w:r>
        <w:rPr>
          <w:rFonts w:ascii="仿宋_GB2312" w:eastAsia="仿宋_GB2312" w:hint="eastAsia"/>
          <w:color w:val="000000"/>
          <w:sz w:val="32"/>
          <w:szCs w:val="32"/>
        </w:rPr>
        <w:t>万元，越野车</w:t>
      </w:r>
      <w:r>
        <w:rPr>
          <w:rFonts w:eastAsia="仿宋_GB2312" w:hint="eastAsia"/>
          <w:color w:val="000000"/>
          <w:sz w:val="32"/>
          <w:szCs w:val="32"/>
        </w:rPr>
        <w:t>0</w:t>
      </w:r>
      <w:r>
        <w:rPr>
          <w:rFonts w:ascii="仿宋_GB2312" w:eastAsia="仿宋_GB2312" w:hint="eastAsia"/>
          <w:color w:val="000000"/>
          <w:sz w:val="32"/>
          <w:szCs w:val="32"/>
        </w:rPr>
        <w:t>辆、金额</w:t>
      </w:r>
      <w:r>
        <w:rPr>
          <w:rFonts w:eastAsia="仿宋_GB2312" w:hint="eastAsia"/>
          <w:color w:val="000000"/>
          <w:sz w:val="32"/>
          <w:szCs w:val="32"/>
        </w:rPr>
        <w:t>0</w:t>
      </w:r>
      <w:r>
        <w:rPr>
          <w:rFonts w:ascii="仿宋_GB2312" w:eastAsia="仿宋_GB2312" w:hint="eastAsia"/>
          <w:color w:val="000000"/>
          <w:sz w:val="32"/>
          <w:szCs w:val="32"/>
        </w:rPr>
        <w:t>万元，载客汽车</w:t>
      </w:r>
      <w:r>
        <w:rPr>
          <w:rFonts w:eastAsia="仿宋_GB2312" w:hint="eastAsia"/>
          <w:color w:val="000000"/>
          <w:sz w:val="32"/>
          <w:szCs w:val="32"/>
        </w:rPr>
        <w:t>0</w:t>
      </w:r>
      <w:r>
        <w:rPr>
          <w:rFonts w:ascii="仿宋_GB2312" w:eastAsia="仿宋_GB2312" w:hint="eastAsia"/>
          <w:color w:val="000000"/>
          <w:sz w:val="32"/>
          <w:szCs w:val="32"/>
        </w:rPr>
        <w:t>辆、金额</w:t>
      </w:r>
      <w:r>
        <w:rPr>
          <w:rFonts w:eastAsia="仿宋_GB2312" w:hint="eastAsia"/>
          <w:color w:val="000000"/>
          <w:sz w:val="32"/>
          <w:szCs w:val="32"/>
        </w:rPr>
        <w:t>0</w:t>
      </w:r>
      <w:r>
        <w:rPr>
          <w:rFonts w:ascii="仿宋_GB2312" w:eastAsia="仿宋_GB2312" w:hint="eastAsia"/>
          <w:color w:val="000000"/>
          <w:sz w:val="32"/>
          <w:szCs w:val="32"/>
        </w:rPr>
        <w:t>万元。截至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eastAsia="仿宋_GB2312" w:hint="eastAsia"/>
          <w:color w:val="000000"/>
          <w:sz w:val="32"/>
          <w:szCs w:val="32"/>
        </w:rPr>
        <w:t>0</w:t>
      </w:r>
      <w:r>
        <w:rPr>
          <w:rFonts w:ascii="仿宋_GB2312" w:eastAsia="仿宋_GB2312" w:hint="eastAsia"/>
          <w:color w:val="000000"/>
          <w:sz w:val="32"/>
          <w:szCs w:val="32"/>
        </w:rPr>
        <w:t>辆，其中：轿车</w:t>
      </w:r>
      <w:r>
        <w:rPr>
          <w:rFonts w:eastAsia="仿宋_GB2312" w:hint="eastAsia"/>
          <w:color w:val="000000"/>
          <w:sz w:val="32"/>
          <w:szCs w:val="32"/>
        </w:rPr>
        <w:t>0</w:t>
      </w:r>
      <w:r>
        <w:rPr>
          <w:rFonts w:ascii="仿宋_GB2312" w:eastAsia="仿宋_GB2312" w:hint="eastAsia"/>
          <w:color w:val="000000"/>
          <w:sz w:val="32"/>
          <w:szCs w:val="32"/>
        </w:rPr>
        <w:t>辆、越野车</w:t>
      </w:r>
      <w:r>
        <w:rPr>
          <w:rFonts w:eastAsia="仿宋_GB2312" w:hint="eastAsia"/>
          <w:color w:val="000000"/>
          <w:sz w:val="32"/>
          <w:szCs w:val="32"/>
        </w:rPr>
        <w:t>0</w:t>
      </w:r>
      <w:r>
        <w:rPr>
          <w:rFonts w:ascii="仿宋_GB2312" w:eastAsia="仿宋_GB2312" w:hint="eastAsia"/>
          <w:color w:val="000000"/>
          <w:sz w:val="32"/>
          <w:szCs w:val="32"/>
        </w:rPr>
        <w:t>辆、载客汽车</w:t>
      </w:r>
      <w:r>
        <w:rPr>
          <w:rFonts w:eastAsia="仿宋_GB2312" w:hint="eastAsia"/>
          <w:color w:val="000000"/>
          <w:sz w:val="32"/>
          <w:szCs w:val="32"/>
        </w:rPr>
        <w:t>0</w:t>
      </w:r>
      <w:r>
        <w:rPr>
          <w:rFonts w:ascii="仿宋_GB2312" w:eastAsia="仿宋_GB2312" w:hint="eastAsia"/>
          <w:color w:val="000000"/>
          <w:sz w:val="32"/>
          <w:szCs w:val="32"/>
        </w:rPr>
        <w:t>辆。</w:t>
      </w:r>
    </w:p>
    <w:p w:rsidR="004C52FD" w:rsidRDefault="004C52FD">
      <w:pPr>
        <w:spacing w:line="600" w:lineRule="exact"/>
        <w:ind w:firstLine="640"/>
        <w:rPr>
          <w:rFonts w:ascii="仿宋_GB2312" w:eastAsia="仿宋_GB2312" w:hint="eastAsia"/>
          <w:color w:val="000000"/>
          <w:sz w:val="32"/>
          <w:szCs w:val="32"/>
        </w:rPr>
      </w:pPr>
      <w:r>
        <w:rPr>
          <w:rFonts w:ascii="仿宋_GB2312" w:eastAsia="仿宋_GB2312" w:hint="eastAsia"/>
          <w:b/>
          <w:color w:val="000000"/>
          <w:sz w:val="32"/>
          <w:szCs w:val="32"/>
        </w:rPr>
        <w:t>公务用车运行维护费支出</w:t>
      </w:r>
      <w:r>
        <w:rPr>
          <w:rFonts w:eastAsia="仿宋_GB2312" w:hint="eastAsia"/>
          <w:color w:val="000000"/>
          <w:sz w:val="32"/>
          <w:szCs w:val="32"/>
        </w:rPr>
        <w:t>0</w:t>
      </w:r>
      <w:r>
        <w:rPr>
          <w:rFonts w:ascii="仿宋_GB2312" w:eastAsia="仿宋_GB2312" w:hint="eastAsia"/>
          <w:color w:val="000000"/>
          <w:sz w:val="32"/>
          <w:szCs w:val="32"/>
        </w:rPr>
        <w:t>万元。</w:t>
      </w:r>
    </w:p>
    <w:p w:rsidR="004C52FD" w:rsidRDefault="004C52FD">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eastAsia="仿宋_GB2312" w:hint="eastAsia"/>
          <w:color w:val="000000"/>
          <w:sz w:val="32"/>
          <w:szCs w:val="32"/>
        </w:rPr>
        <w:t>0</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Pr>
          <w:rFonts w:eastAsia="仿宋_GB2312" w:hint="eastAsia"/>
          <w:color w:val="000000"/>
          <w:sz w:val="32"/>
          <w:szCs w:val="32"/>
        </w:rPr>
        <w:t>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2019</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w:t>
      </w:r>
      <w:r>
        <w:rPr>
          <w:rFonts w:eastAsia="仿宋_GB2312" w:hint="eastAsia"/>
          <w:color w:val="000000"/>
          <w:sz w:val="32"/>
          <w:szCs w:val="32"/>
        </w:rPr>
        <w:t>0</w:t>
      </w:r>
      <w:r>
        <w:rPr>
          <w:rFonts w:ascii="仿宋_GB2312" w:eastAsia="仿宋_GB2312" w:hint="eastAsia"/>
          <w:color w:val="000000"/>
          <w:sz w:val="32"/>
          <w:szCs w:val="32"/>
        </w:rPr>
        <w:t>万元，增长</w:t>
      </w:r>
      <w:r>
        <w:rPr>
          <w:rFonts w:ascii="仿宋_GB2312" w:eastAsia="仿宋_GB2312"/>
          <w:color w:val="000000"/>
          <w:sz w:val="32"/>
          <w:szCs w:val="32"/>
        </w:rPr>
        <w:t>/</w:t>
      </w:r>
      <w:r>
        <w:rPr>
          <w:rFonts w:ascii="仿宋_GB2312" w:eastAsia="仿宋_GB2312" w:hint="eastAsia"/>
          <w:color w:val="000000"/>
          <w:sz w:val="32"/>
          <w:szCs w:val="32"/>
        </w:rPr>
        <w:t>下降</w:t>
      </w:r>
      <w:r>
        <w:rPr>
          <w:rFonts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。其中：</w:t>
      </w:r>
    </w:p>
    <w:p w:rsidR="004C52FD" w:rsidRDefault="004C52FD">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Pr>
          <w:rFonts w:eastAsia="仿宋_GB2312" w:hint="eastAsia"/>
          <w:color w:val="000000"/>
          <w:sz w:val="32"/>
          <w:szCs w:val="32"/>
        </w:rPr>
        <w:t>0</w:t>
      </w:r>
      <w:r>
        <w:rPr>
          <w:rFonts w:ascii="仿宋_GB2312" w:eastAsia="仿宋_GB2312" w:hint="eastAsia"/>
          <w:color w:val="000000"/>
          <w:sz w:val="32"/>
          <w:szCs w:val="32"/>
        </w:rPr>
        <w:t>万元</w:t>
      </w:r>
      <w:r>
        <w:rPr>
          <w:rFonts w:ascii="仿宋_GB2312" w:eastAsia="仿宋_GB2312"/>
          <w:color w:val="000000"/>
          <w:sz w:val="32"/>
          <w:szCs w:val="32"/>
        </w:rPr>
        <w:t>(</w:t>
      </w:r>
      <w:r>
        <w:rPr>
          <w:rFonts w:ascii="仿宋_GB2312" w:eastAsia="仿宋_GB2312" w:hint="eastAsia"/>
          <w:color w:val="000000"/>
          <w:sz w:val="32"/>
          <w:szCs w:val="32"/>
        </w:rPr>
        <w:t>执行公务、开展业务活动开支的交通费、住宿费、用餐费等</w:t>
      </w:r>
      <w:r>
        <w:rPr>
          <w:rFonts w:ascii="仿宋_GB2312" w:eastAsia="仿宋_GB2312"/>
          <w:color w:val="000000"/>
          <w:sz w:val="32"/>
          <w:szCs w:val="32"/>
        </w:rPr>
        <w:t>)</w:t>
      </w:r>
      <w:r>
        <w:rPr>
          <w:rFonts w:ascii="仿宋_GB2312" w:eastAsia="仿宋_GB2312" w:hint="eastAsia"/>
          <w:color w:val="000000"/>
          <w:sz w:val="32"/>
          <w:szCs w:val="32"/>
        </w:rPr>
        <w:t>。国内公务接待</w:t>
      </w:r>
      <w:r>
        <w:rPr>
          <w:rFonts w:eastAsia="仿宋_GB2312" w:hint="eastAsia"/>
          <w:color w:val="000000"/>
          <w:sz w:val="32"/>
          <w:szCs w:val="32"/>
        </w:rPr>
        <w:t>0</w:t>
      </w:r>
      <w:r>
        <w:rPr>
          <w:rFonts w:ascii="仿宋_GB2312" w:eastAsia="仿宋_GB2312" w:hint="eastAsia"/>
          <w:color w:val="000000"/>
          <w:sz w:val="32"/>
          <w:szCs w:val="32"/>
        </w:rPr>
        <w:t>批次，</w:t>
      </w:r>
      <w:r>
        <w:rPr>
          <w:rFonts w:eastAsia="仿宋_GB2312" w:hint="eastAsia"/>
          <w:color w:val="000000"/>
          <w:sz w:val="32"/>
          <w:szCs w:val="32"/>
        </w:rPr>
        <w:t>0</w:t>
      </w:r>
      <w:r>
        <w:rPr>
          <w:rFonts w:ascii="仿宋_GB2312" w:eastAsia="仿宋_GB2312" w:hint="eastAsia"/>
          <w:color w:val="000000"/>
          <w:sz w:val="32"/>
          <w:szCs w:val="32"/>
        </w:rPr>
        <w:t>人次（不包括陪同人员），共计支出</w:t>
      </w:r>
      <w:r>
        <w:rPr>
          <w:rFonts w:eastAsia="仿宋_GB2312" w:hint="eastAsia"/>
          <w:color w:val="000000"/>
          <w:sz w:val="32"/>
          <w:szCs w:val="32"/>
        </w:rPr>
        <w:t>0</w:t>
      </w:r>
      <w:r>
        <w:rPr>
          <w:rFonts w:ascii="仿宋_GB2312" w:eastAsia="仿宋_GB2312" w:hint="eastAsia"/>
          <w:color w:val="000000"/>
          <w:sz w:val="32"/>
          <w:szCs w:val="32"/>
        </w:rPr>
        <w:t>万元。</w:t>
      </w:r>
    </w:p>
    <w:p w:rsidR="004C52FD" w:rsidRDefault="004C52FD">
      <w:pPr>
        <w:spacing w:line="600" w:lineRule="exact"/>
        <w:ind w:firstLineChars="200" w:firstLine="643"/>
        <w:rPr>
          <w:rFonts w:ascii="仿宋_GB2312" w:eastAsia="仿宋_GB2312" w:hint="eastAsia"/>
          <w:color w:val="000000"/>
          <w:sz w:val="32"/>
          <w:szCs w:val="32"/>
        </w:rPr>
      </w:pPr>
      <w:r>
        <w:rPr>
          <w:rFonts w:ascii="仿宋" w:eastAsia="仿宋" w:hAnsi="仿宋" w:hint="eastAsia"/>
          <w:b/>
          <w:color w:val="000000"/>
          <w:sz w:val="32"/>
          <w:szCs w:val="32"/>
        </w:rPr>
        <w:t>外事接待支出</w:t>
      </w:r>
      <w:r>
        <w:rPr>
          <w:rFonts w:eastAsia="仿宋_GB2312" w:hint="eastAsia"/>
          <w:color w:val="000000"/>
          <w:sz w:val="32"/>
          <w:szCs w:val="32"/>
        </w:rPr>
        <w:t>0</w:t>
      </w:r>
      <w:r>
        <w:rPr>
          <w:rFonts w:ascii="仿宋_GB2312" w:eastAsia="仿宋_GB2312" w:hint="eastAsia"/>
          <w:color w:val="000000"/>
          <w:sz w:val="32"/>
          <w:szCs w:val="32"/>
        </w:rPr>
        <w:t>万元，外事接待</w:t>
      </w:r>
      <w:r>
        <w:rPr>
          <w:rFonts w:eastAsia="仿宋_GB2312" w:hint="eastAsia"/>
          <w:color w:val="000000"/>
          <w:sz w:val="32"/>
          <w:szCs w:val="32"/>
        </w:rPr>
        <w:t>0</w:t>
      </w:r>
      <w:r>
        <w:rPr>
          <w:rFonts w:ascii="仿宋_GB2312" w:eastAsia="仿宋_GB2312" w:hint="eastAsia"/>
          <w:color w:val="000000"/>
          <w:sz w:val="32"/>
          <w:szCs w:val="32"/>
        </w:rPr>
        <w:t>批次，</w:t>
      </w:r>
      <w:r>
        <w:rPr>
          <w:rFonts w:eastAsia="仿宋_GB2312" w:hint="eastAsia"/>
          <w:color w:val="000000"/>
          <w:sz w:val="32"/>
          <w:szCs w:val="32"/>
        </w:rPr>
        <w:t>0</w:t>
      </w:r>
      <w:r>
        <w:rPr>
          <w:rFonts w:ascii="仿宋_GB2312" w:eastAsia="仿宋_GB2312" w:hint="eastAsia"/>
          <w:color w:val="000000"/>
          <w:sz w:val="32"/>
          <w:szCs w:val="32"/>
        </w:rPr>
        <w:t>人，共计支</w:t>
      </w:r>
      <w:r>
        <w:rPr>
          <w:rFonts w:ascii="仿宋_GB2312" w:eastAsia="仿宋_GB2312" w:hint="eastAsia"/>
          <w:color w:val="000000"/>
          <w:sz w:val="32"/>
          <w:szCs w:val="32"/>
        </w:rPr>
        <w:lastRenderedPageBreak/>
        <w:t>出</w:t>
      </w:r>
      <w:r>
        <w:rPr>
          <w:rFonts w:eastAsia="仿宋_GB2312" w:hint="eastAsia"/>
          <w:color w:val="000000"/>
          <w:sz w:val="32"/>
          <w:szCs w:val="32"/>
        </w:rPr>
        <w:t>0</w:t>
      </w:r>
      <w:r>
        <w:rPr>
          <w:rFonts w:ascii="仿宋_GB2312" w:eastAsia="仿宋_GB2312" w:hint="eastAsia"/>
          <w:color w:val="000000"/>
          <w:sz w:val="32"/>
          <w:szCs w:val="32"/>
        </w:rPr>
        <w:t>万元。</w:t>
      </w:r>
    </w:p>
    <w:p w:rsidR="004C52FD" w:rsidRDefault="004C52FD">
      <w:pPr>
        <w:spacing w:line="600" w:lineRule="exact"/>
        <w:ind w:firstLine="640"/>
        <w:rPr>
          <w:rFonts w:ascii="仿宋_GB2312" w:eastAsia="仿宋_GB2312" w:hint="eastAsia"/>
          <w:color w:val="000000"/>
          <w:sz w:val="32"/>
          <w:szCs w:val="32"/>
        </w:rPr>
      </w:pPr>
      <w:r>
        <w:rPr>
          <w:rFonts w:eastAsia="仿宋" w:hint="eastAsia"/>
          <w:color w:val="000000"/>
          <w:sz w:val="32"/>
          <w:szCs w:val="32"/>
        </w:rPr>
        <w:t>（财政公开</w:t>
      </w:r>
      <w:r>
        <w:rPr>
          <w:rFonts w:eastAsia="仿宋" w:hint="eastAsia"/>
          <w:color w:val="000000"/>
          <w:sz w:val="32"/>
          <w:szCs w:val="32"/>
        </w:rPr>
        <w:t>10</w:t>
      </w:r>
      <w:r>
        <w:rPr>
          <w:rFonts w:eastAsia="仿宋" w:hint="eastAsia"/>
          <w:color w:val="000000"/>
          <w:sz w:val="32"/>
          <w:szCs w:val="32"/>
        </w:rPr>
        <w:t>表无数据）</w:t>
      </w:r>
    </w:p>
    <w:p w:rsidR="004C52FD" w:rsidRDefault="004C52FD">
      <w:pPr>
        <w:spacing w:line="600" w:lineRule="exact"/>
        <w:ind w:firstLine="640"/>
        <w:outlineLvl w:val="1"/>
        <w:rPr>
          <w:rFonts w:ascii="黑体" w:eastAsia="黑体"/>
          <w:color w:val="000000"/>
          <w:sz w:val="32"/>
          <w:szCs w:val="32"/>
        </w:rPr>
      </w:pPr>
      <w:bookmarkStart w:id="72" w:name="_Toc15396610"/>
      <w:bookmarkStart w:id="73" w:name="_Toc15377218"/>
    </w:p>
    <w:p w:rsidR="004C52FD" w:rsidRDefault="004C52FD">
      <w:pPr>
        <w:spacing w:line="600" w:lineRule="exact"/>
        <w:ind w:firstLine="640"/>
        <w:outlineLvl w:val="1"/>
        <w:rPr>
          <w:rStyle w:val="20"/>
          <w:rFonts w:ascii="黑体" w:eastAsia="黑体" w:hAnsi="黑体"/>
        </w:rPr>
      </w:pPr>
      <w:bookmarkStart w:id="74" w:name="_Toc5535"/>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72"/>
      <w:bookmarkEnd w:id="73"/>
      <w:bookmarkEnd w:id="74"/>
    </w:p>
    <w:p w:rsidR="004C52FD" w:rsidRDefault="004C52FD">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年政府性基金预算拨款支出372万元。</w:t>
      </w:r>
    </w:p>
    <w:p w:rsidR="004C52FD" w:rsidRDefault="004C52FD">
      <w:pPr>
        <w:spacing w:line="600" w:lineRule="exact"/>
        <w:ind w:firstLine="640"/>
        <w:rPr>
          <w:rFonts w:ascii="仿宋_GB2312" w:eastAsia="仿宋_GB2312"/>
          <w:color w:val="000000"/>
          <w:sz w:val="32"/>
          <w:szCs w:val="32"/>
        </w:rPr>
      </w:pPr>
    </w:p>
    <w:p w:rsidR="004C52FD" w:rsidRDefault="004C52FD">
      <w:pPr>
        <w:numPr>
          <w:ilvl w:val="0"/>
          <w:numId w:val="3"/>
        </w:numPr>
        <w:spacing w:line="600" w:lineRule="exact"/>
        <w:ind w:firstLine="640"/>
        <w:outlineLvl w:val="1"/>
        <w:rPr>
          <w:rStyle w:val="20"/>
          <w:rFonts w:ascii="黑体" w:eastAsia="黑体" w:hAnsi="黑体"/>
          <w:b w:val="0"/>
        </w:rPr>
      </w:pPr>
      <w:bookmarkStart w:id="75" w:name="_Toc15377219"/>
      <w:bookmarkStart w:id="76" w:name="_Toc15396611"/>
      <w:bookmarkStart w:id="77" w:name="_Toc10284"/>
      <w:r>
        <w:rPr>
          <w:rStyle w:val="20"/>
          <w:rFonts w:ascii="黑体" w:eastAsia="黑体" w:hAnsi="黑体" w:hint="eastAsia"/>
          <w:b w:val="0"/>
        </w:rPr>
        <w:t>国有资本经营预算支出决算情况说明</w:t>
      </w:r>
      <w:bookmarkEnd w:id="75"/>
      <w:bookmarkEnd w:id="76"/>
      <w:bookmarkEnd w:id="77"/>
    </w:p>
    <w:p w:rsidR="004C52FD" w:rsidRDefault="004C52FD">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年国有资本经营预算拨款支出0万元。</w:t>
      </w:r>
    </w:p>
    <w:p w:rsidR="004C52FD" w:rsidRDefault="004C52FD">
      <w:pPr>
        <w:spacing w:line="580" w:lineRule="exact"/>
        <w:jc w:val="center"/>
        <w:rPr>
          <w:rFonts w:ascii="方正小标宋简体" w:eastAsia="方正小标宋简体" w:hAnsi="方正小标宋简体" w:cs="方正小标宋简体"/>
          <w:sz w:val="44"/>
          <w:szCs w:val="44"/>
        </w:rPr>
      </w:pPr>
    </w:p>
    <w:p w:rsidR="004C52FD" w:rsidRDefault="004C52FD">
      <w:pPr>
        <w:spacing w:line="600" w:lineRule="exact"/>
        <w:ind w:firstLineChars="250" w:firstLine="800"/>
        <w:outlineLvl w:val="1"/>
        <w:rPr>
          <w:rStyle w:val="20"/>
          <w:rFonts w:ascii="黑体" w:eastAsia="黑体" w:hAnsi="黑体"/>
        </w:rPr>
      </w:pPr>
      <w:bookmarkStart w:id="78" w:name="_Toc15396612"/>
      <w:bookmarkStart w:id="79" w:name="_Toc15377221"/>
      <w:bookmarkStart w:id="80" w:name="_Toc15558"/>
      <w:r>
        <w:rPr>
          <w:rFonts w:ascii="黑体" w:eastAsia="黑体" w:hAnsi="黑体" w:hint="eastAsia"/>
          <w:color w:val="000000"/>
          <w:sz w:val="32"/>
          <w:szCs w:val="32"/>
        </w:rPr>
        <w:t>十</w:t>
      </w:r>
      <w:r>
        <w:rPr>
          <w:rStyle w:val="20"/>
          <w:rFonts w:ascii="黑体" w:eastAsia="黑体" w:hAnsi="黑体" w:hint="eastAsia"/>
        </w:rPr>
        <w:t>、</w:t>
      </w:r>
      <w:r>
        <w:rPr>
          <w:rStyle w:val="20"/>
          <w:rFonts w:ascii="黑体" w:eastAsia="黑体" w:hAnsi="黑体" w:hint="eastAsia"/>
          <w:b w:val="0"/>
        </w:rPr>
        <w:t>其他重要事项的情况说明</w:t>
      </w:r>
      <w:bookmarkEnd w:id="78"/>
      <w:bookmarkEnd w:id="79"/>
      <w:bookmarkEnd w:id="80"/>
    </w:p>
    <w:p w:rsidR="004C52FD" w:rsidRDefault="004C52FD">
      <w:pPr>
        <w:spacing w:line="600" w:lineRule="exact"/>
        <w:ind w:firstLineChars="200" w:firstLine="643"/>
        <w:outlineLvl w:val="2"/>
        <w:rPr>
          <w:rFonts w:ascii="仿宋" w:eastAsia="仿宋" w:hAnsi="仿宋"/>
          <w:color w:val="000000"/>
          <w:sz w:val="32"/>
          <w:szCs w:val="32"/>
        </w:rPr>
      </w:pPr>
      <w:bookmarkStart w:id="81" w:name="_Toc15377222"/>
      <w:bookmarkStart w:id="82" w:name="_Toc16102"/>
      <w:r>
        <w:rPr>
          <w:rFonts w:ascii="仿宋" w:eastAsia="仿宋" w:hAnsi="仿宋" w:hint="eastAsia"/>
          <w:b/>
          <w:color w:val="000000"/>
          <w:sz w:val="32"/>
          <w:szCs w:val="32"/>
        </w:rPr>
        <w:t>（一）机关运行经费支出情况</w:t>
      </w:r>
      <w:bookmarkEnd w:id="81"/>
      <w:bookmarkEnd w:id="82"/>
    </w:p>
    <w:p w:rsidR="004C52FD" w:rsidRDefault="004C52FD">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w:t>
      </w:r>
      <w:r>
        <w:rPr>
          <w:rFonts w:eastAsia="仿宋_GB2312" w:hint="eastAsia"/>
          <w:color w:val="000000"/>
          <w:sz w:val="32"/>
          <w:szCs w:val="32"/>
        </w:rPr>
        <w:t>市铁路医院</w:t>
      </w:r>
      <w:r>
        <w:rPr>
          <w:rFonts w:ascii="仿宋_GB2312" w:eastAsia="仿宋_GB2312" w:hint="eastAsia"/>
          <w:color w:val="000000"/>
          <w:sz w:val="32"/>
          <w:szCs w:val="32"/>
        </w:rPr>
        <w:t>机关运行经费支出0万元，比</w:t>
      </w:r>
      <w:r>
        <w:rPr>
          <w:rFonts w:ascii="仿宋_GB2312" w:eastAsia="仿宋_GB2312"/>
          <w:color w:val="000000"/>
          <w:sz w:val="32"/>
          <w:szCs w:val="32"/>
        </w:rPr>
        <w:t>2019</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减少0万元，增长</w:t>
      </w:r>
      <w:r>
        <w:rPr>
          <w:rFonts w:ascii="仿宋_GB2312" w:eastAsia="仿宋_GB2312"/>
          <w:color w:val="000000"/>
          <w:sz w:val="32"/>
          <w:szCs w:val="32"/>
        </w:rPr>
        <w:t>/</w:t>
      </w:r>
      <w:r>
        <w:rPr>
          <w:rFonts w:ascii="仿宋_GB2312" w:eastAsia="仿宋_GB2312" w:hint="eastAsia"/>
          <w:color w:val="000000"/>
          <w:sz w:val="32"/>
          <w:szCs w:val="32"/>
        </w:rPr>
        <w:t>下降0</w:t>
      </w:r>
      <w:r>
        <w:rPr>
          <w:rFonts w:ascii="仿宋_GB2312" w:eastAsia="仿宋_GB2312"/>
          <w:color w:val="000000"/>
          <w:sz w:val="32"/>
          <w:szCs w:val="32"/>
        </w:rPr>
        <w:t>%</w:t>
      </w:r>
      <w:r>
        <w:rPr>
          <w:rFonts w:ascii="仿宋_GB2312" w:eastAsia="仿宋_GB2312" w:hint="eastAsia"/>
          <w:color w:val="000000"/>
          <w:sz w:val="32"/>
          <w:szCs w:val="32"/>
        </w:rPr>
        <w:t>（或与</w:t>
      </w:r>
      <w:r>
        <w:rPr>
          <w:rFonts w:ascii="仿宋_GB2312" w:eastAsia="仿宋_GB2312"/>
          <w:color w:val="000000"/>
          <w:sz w:val="32"/>
          <w:szCs w:val="32"/>
        </w:rPr>
        <w:t>2019</w:t>
      </w:r>
      <w:r>
        <w:rPr>
          <w:rFonts w:ascii="仿宋_GB2312" w:eastAsia="仿宋_GB2312" w:hint="eastAsia"/>
          <w:color w:val="000000"/>
          <w:sz w:val="32"/>
          <w:szCs w:val="32"/>
        </w:rPr>
        <w:t>年决算数持平）。</w:t>
      </w:r>
      <w:r>
        <w:rPr>
          <w:rFonts w:eastAsia="仿宋" w:hint="eastAsia"/>
          <w:color w:val="000000"/>
          <w:sz w:val="32"/>
          <w:szCs w:val="32"/>
        </w:rPr>
        <w:t>（财决附</w:t>
      </w:r>
      <w:r>
        <w:rPr>
          <w:rFonts w:eastAsia="仿宋" w:hint="eastAsia"/>
          <w:color w:val="000000"/>
          <w:sz w:val="32"/>
          <w:szCs w:val="32"/>
        </w:rPr>
        <w:t>03</w:t>
      </w:r>
      <w:r>
        <w:rPr>
          <w:rFonts w:eastAsia="仿宋" w:hint="eastAsia"/>
          <w:color w:val="000000"/>
          <w:sz w:val="32"/>
          <w:szCs w:val="32"/>
        </w:rPr>
        <w:t>表无数据）</w:t>
      </w:r>
    </w:p>
    <w:p w:rsidR="004C52FD" w:rsidRDefault="004C52FD">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83" w:name="_Toc15377223"/>
      <w:bookmarkStart w:id="84" w:name="_Toc19122"/>
      <w:r>
        <w:rPr>
          <w:rFonts w:ascii="仿宋" w:eastAsia="仿宋" w:hAnsi="仿宋" w:hint="eastAsia"/>
          <w:b/>
          <w:color w:val="000000"/>
          <w:sz w:val="32"/>
          <w:szCs w:val="32"/>
        </w:rPr>
        <w:t>（二）政府采购支出情况</w:t>
      </w:r>
      <w:bookmarkEnd w:id="83"/>
      <w:bookmarkEnd w:id="84"/>
    </w:p>
    <w:p w:rsidR="004C52FD" w:rsidRDefault="004C52FD">
      <w:pPr>
        <w:spacing w:line="600" w:lineRule="exact"/>
        <w:ind w:firstLineChars="200" w:firstLine="640"/>
        <w:rPr>
          <w:rFonts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w:t>
      </w:r>
      <w:r>
        <w:rPr>
          <w:rFonts w:eastAsia="仿宋_GB2312" w:hint="eastAsia"/>
          <w:color w:val="000000"/>
          <w:sz w:val="32"/>
          <w:szCs w:val="32"/>
        </w:rPr>
        <w:t>市铁路医院</w:t>
      </w:r>
      <w:r>
        <w:rPr>
          <w:rFonts w:ascii="仿宋_GB2312" w:eastAsia="仿宋_GB2312" w:hint="eastAsia"/>
          <w:color w:val="000000"/>
          <w:sz w:val="32"/>
          <w:szCs w:val="32"/>
        </w:rPr>
        <w:t>政府采购支出总额0万元，其中：政府采购货物支出0万元、政府采购工程支出0万元、政府采购服务支出0万元。。授予中小企业合同金额0万元，占政府采购支出总额的0</w:t>
      </w:r>
      <w:r>
        <w:rPr>
          <w:rFonts w:ascii="仿宋_GB2312" w:eastAsia="仿宋_GB2312"/>
          <w:color w:val="000000"/>
          <w:sz w:val="32"/>
          <w:szCs w:val="32"/>
        </w:rPr>
        <w:t>%</w:t>
      </w:r>
      <w:r>
        <w:rPr>
          <w:rFonts w:ascii="仿宋_GB2312" w:eastAsia="仿宋_GB2312" w:hint="eastAsia"/>
          <w:color w:val="000000"/>
          <w:sz w:val="32"/>
          <w:szCs w:val="32"/>
        </w:rPr>
        <w:t>，其中：授予小微企业合同金额0万元，占政府采购支出总额的0</w:t>
      </w:r>
      <w:r>
        <w:rPr>
          <w:rFonts w:ascii="仿宋_GB2312" w:eastAsia="仿宋_GB2312"/>
          <w:color w:val="000000"/>
          <w:sz w:val="32"/>
          <w:szCs w:val="32"/>
        </w:rPr>
        <w:t>%</w:t>
      </w:r>
      <w:r>
        <w:rPr>
          <w:rFonts w:ascii="仿宋_GB2312" w:eastAsia="仿宋_GB2312" w:hint="eastAsia"/>
          <w:color w:val="000000"/>
          <w:sz w:val="32"/>
          <w:szCs w:val="32"/>
        </w:rPr>
        <w:t>。</w:t>
      </w:r>
      <w:r>
        <w:rPr>
          <w:rFonts w:eastAsia="仿宋" w:hint="eastAsia"/>
          <w:color w:val="000000"/>
          <w:sz w:val="32"/>
          <w:szCs w:val="32"/>
        </w:rPr>
        <w:t>（财决附</w:t>
      </w:r>
      <w:r>
        <w:rPr>
          <w:rFonts w:eastAsia="仿宋" w:hint="eastAsia"/>
          <w:color w:val="000000"/>
          <w:sz w:val="32"/>
          <w:szCs w:val="32"/>
        </w:rPr>
        <w:t>03</w:t>
      </w:r>
      <w:r>
        <w:rPr>
          <w:rFonts w:eastAsia="仿宋" w:hint="eastAsia"/>
          <w:color w:val="000000"/>
          <w:sz w:val="32"/>
          <w:szCs w:val="32"/>
        </w:rPr>
        <w:t>表无数据）</w:t>
      </w:r>
    </w:p>
    <w:p w:rsidR="004C52FD" w:rsidRDefault="004C52FD">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85" w:name="_Toc15377224"/>
      <w:bookmarkStart w:id="86" w:name="_Toc15095"/>
      <w:r>
        <w:rPr>
          <w:rFonts w:ascii="仿宋" w:eastAsia="仿宋" w:hAnsi="仿宋" w:hint="eastAsia"/>
          <w:b/>
          <w:color w:val="000000"/>
          <w:sz w:val="32"/>
          <w:szCs w:val="32"/>
        </w:rPr>
        <w:t>（三）国有资产占有使用情况</w:t>
      </w:r>
      <w:bookmarkEnd w:id="85"/>
      <w:bookmarkEnd w:id="86"/>
    </w:p>
    <w:p w:rsidR="004C52FD" w:rsidRDefault="004C52FD">
      <w:pPr>
        <w:autoSpaceDE w:val="0"/>
        <w:autoSpaceDN w:val="0"/>
        <w:adjustRightInd w:val="0"/>
        <w:spacing w:line="600" w:lineRule="exact"/>
        <w:ind w:firstLineChars="200" w:firstLine="640"/>
        <w:jc w:val="left"/>
        <w:rPr>
          <w:rFonts w:ascii="仿宋" w:eastAsia="仿宋" w:hAnsi="仿宋"/>
          <w:b/>
          <w:color w:val="FF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w:t>
      </w:r>
      <w:r>
        <w:rPr>
          <w:rFonts w:eastAsia="仿宋_GB2312" w:hint="eastAsia"/>
          <w:color w:val="000000"/>
          <w:sz w:val="32"/>
          <w:szCs w:val="32"/>
        </w:rPr>
        <w:t>市铁路医院</w:t>
      </w:r>
      <w:r>
        <w:rPr>
          <w:rFonts w:ascii="仿宋_GB2312" w:eastAsia="仿宋_GB2312" w:hint="eastAsia"/>
          <w:color w:val="000000"/>
          <w:sz w:val="32"/>
          <w:szCs w:val="32"/>
        </w:rPr>
        <w:t>共有车辆5辆，其中：主要领导干部用车</w:t>
      </w:r>
      <w:r>
        <w:rPr>
          <w:rFonts w:eastAsia="仿宋_GB2312" w:hint="eastAsia"/>
          <w:color w:val="000000"/>
          <w:sz w:val="32"/>
          <w:szCs w:val="32"/>
        </w:rPr>
        <w:t>0</w:t>
      </w:r>
      <w:r>
        <w:rPr>
          <w:rFonts w:ascii="仿宋_GB2312" w:eastAsia="仿宋_GB2312" w:hint="eastAsia"/>
          <w:color w:val="000000"/>
          <w:sz w:val="32"/>
          <w:szCs w:val="32"/>
        </w:rPr>
        <w:t>辆、机要通信用车</w:t>
      </w:r>
      <w:r>
        <w:rPr>
          <w:rFonts w:eastAsia="仿宋_GB2312" w:hint="eastAsia"/>
          <w:color w:val="000000"/>
          <w:sz w:val="32"/>
          <w:szCs w:val="32"/>
        </w:rPr>
        <w:t>0</w:t>
      </w:r>
      <w:r>
        <w:rPr>
          <w:rFonts w:ascii="仿宋_GB2312" w:eastAsia="仿宋_GB2312" w:hint="eastAsia"/>
          <w:color w:val="000000"/>
          <w:sz w:val="32"/>
          <w:szCs w:val="32"/>
        </w:rPr>
        <w:t>辆、应急保障用车</w:t>
      </w:r>
      <w:r>
        <w:rPr>
          <w:rFonts w:eastAsia="仿宋_GB2312" w:hint="eastAsia"/>
          <w:color w:val="000000"/>
          <w:sz w:val="32"/>
          <w:szCs w:val="32"/>
        </w:rPr>
        <w:t>0</w:t>
      </w:r>
      <w:r>
        <w:rPr>
          <w:rFonts w:ascii="仿宋_GB2312" w:eastAsia="仿宋_GB2312" w:hint="eastAsia"/>
          <w:color w:val="000000"/>
          <w:sz w:val="32"/>
          <w:szCs w:val="32"/>
        </w:rPr>
        <w:lastRenderedPageBreak/>
        <w:t>辆、</w:t>
      </w:r>
      <w:r>
        <w:rPr>
          <w:rFonts w:eastAsia="仿宋_GB2312" w:hint="eastAsia"/>
          <w:color w:val="000000"/>
          <w:sz w:val="32"/>
          <w:szCs w:val="32"/>
        </w:rPr>
        <w:t>特种专业技术用车</w:t>
      </w:r>
      <w:r>
        <w:rPr>
          <w:rFonts w:eastAsia="仿宋_GB2312" w:hint="eastAsia"/>
          <w:color w:val="000000"/>
          <w:sz w:val="32"/>
          <w:szCs w:val="32"/>
        </w:rPr>
        <w:t>4</w:t>
      </w:r>
      <w:r>
        <w:rPr>
          <w:rFonts w:eastAsia="仿宋_GB2312" w:hint="eastAsia"/>
          <w:color w:val="000000"/>
          <w:sz w:val="32"/>
          <w:szCs w:val="32"/>
        </w:rPr>
        <w:t>辆、其他用车</w:t>
      </w:r>
      <w:r>
        <w:rPr>
          <w:rFonts w:eastAsia="仿宋_GB2312" w:hint="eastAsia"/>
          <w:color w:val="000000"/>
          <w:sz w:val="32"/>
          <w:szCs w:val="32"/>
        </w:rPr>
        <w:t>1</w:t>
      </w:r>
      <w:r>
        <w:rPr>
          <w:rFonts w:eastAsia="仿宋_GB2312" w:hint="eastAsia"/>
          <w:color w:val="000000"/>
          <w:sz w:val="32"/>
          <w:szCs w:val="32"/>
        </w:rPr>
        <w:t>辆，主要是用于接送专家。单价</w:t>
      </w:r>
      <w:r>
        <w:rPr>
          <w:rFonts w:eastAsia="仿宋_GB2312"/>
          <w:color w:val="000000"/>
          <w:sz w:val="32"/>
          <w:szCs w:val="32"/>
        </w:rPr>
        <w:t>50</w:t>
      </w:r>
      <w:r>
        <w:rPr>
          <w:rFonts w:eastAsia="仿宋_GB2312" w:hint="eastAsia"/>
          <w:color w:val="000000"/>
          <w:sz w:val="32"/>
          <w:szCs w:val="32"/>
        </w:rPr>
        <w:t>万元以上通用设备</w:t>
      </w:r>
      <w:r>
        <w:rPr>
          <w:rFonts w:eastAsia="仿宋_GB2312" w:hint="eastAsia"/>
          <w:color w:val="000000"/>
          <w:sz w:val="32"/>
          <w:szCs w:val="32"/>
        </w:rPr>
        <w:t>0</w:t>
      </w:r>
      <w:r>
        <w:rPr>
          <w:rFonts w:eastAsia="仿宋_GB2312" w:hint="eastAsia"/>
          <w:color w:val="000000"/>
          <w:sz w:val="32"/>
          <w:szCs w:val="32"/>
        </w:rPr>
        <w:t>台（套），单价</w:t>
      </w:r>
      <w:r>
        <w:rPr>
          <w:rFonts w:eastAsia="仿宋_GB2312"/>
          <w:color w:val="000000"/>
          <w:sz w:val="32"/>
          <w:szCs w:val="32"/>
        </w:rPr>
        <w:t>100</w:t>
      </w:r>
      <w:r>
        <w:rPr>
          <w:rFonts w:eastAsia="仿宋_GB2312" w:hint="eastAsia"/>
          <w:color w:val="000000"/>
          <w:sz w:val="32"/>
          <w:szCs w:val="32"/>
        </w:rPr>
        <w:t>万元以上专用设备</w:t>
      </w:r>
      <w:r>
        <w:rPr>
          <w:rFonts w:eastAsia="仿宋_GB2312" w:hint="eastAsia"/>
          <w:color w:val="000000"/>
          <w:sz w:val="32"/>
          <w:szCs w:val="32"/>
        </w:rPr>
        <w:t>1</w:t>
      </w:r>
      <w:r>
        <w:rPr>
          <w:rFonts w:eastAsia="仿宋_GB2312" w:hint="eastAsia"/>
          <w:color w:val="000000"/>
          <w:sz w:val="32"/>
          <w:szCs w:val="32"/>
        </w:rPr>
        <w:t>台（套）。</w:t>
      </w:r>
    </w:p>
    <w:p w:rsidR="004C52FD" w:rsidRDefault="004C52FD">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87" w:name="_Toc4252"/>
      <w:r>
        <w:rPr>
          <w:rFonts w:ascii="仿宋" w:eastAsia="仿宋" w:hAnsi="仿宋" w:hint="eastAsia"/>
          <w:b/>
          <w:color w:val="000000"/>
          <w:sz w:val="32"/>
          <w:szCs w:val="32"/>
        </w:rPr>
        <w:t>（四）预算绩效管理情况。</w:t>
      </w:r>
      <w:bookmarkEnd w:id="87"/>
    </w:p>
    <w:p w:rsidR="004C52FD" w:rsidRDefault="004C52F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w:t>
      </w:r>
      <w:r>
        <w:rPr>
          <w:rFonts w:eastAsia="仿宋_GB2312" w:hint="eastAsia"/>
          <w:sz w:val="32"/>
          <w:szCs w:val="32"/>
        </w:rPr>
        <w:t>本单位</w:t>
      </w:r>
      <w:r>
        <w:rPr>
          <w:rFonts w:ascii="仿宋_GB2312" w:eastAsia="仿宋_GB2312" w:hAnsi="仿宋_GB2312" w:cs="仿宋_GB2312" w:hint="eastAsia"/>
          <w:sz w:val="32"/>
          <w:szCs w:val="32"/>
        </w:rPr>
        <w:t>在年初预算编制阶段，组织对5项目城市公立医院改革补助资金、城市公立医院改革取消药品加成政府补助、机关事业单位养老保险改革补助、开展了预算事前绩效评估，对</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个项目开展了绩效目标完成情况自评。</w:t>
      </w:r>
    </w:p>
    <w:p w:rsidR="004C52FD" w:rsidRDefault="004C52FD">
      <w:pPr>
        <w:spacing w:line="580" w:lineRule="exact"/>
        <w:ind w:firstLineChars="200" w:firstLine="640"/>
        <w:rPr>
          <w:rFonts w:eastAsia="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年部门整体支出开展绩效自评，从评价情况来看本部门按要求对</w:t>
      </w:r>
      <w:r>
        <w:rPr>
          <w:rFonts w:ascii="仿宋_GB2312" w:eastAsia="仿宋_GB2312" w:hAnsi="仿宋_GB2312" w:cs="仿宋_GB2312"/>
          <w:sz w:val="32"/>
          <w:szCs w:val="32"/>
        </w:rPr>
        <w:t>20</w:t>
      </w:r>
      <w:r>
        <w:rPr>
          <w:rFonts w:ascii="仿宋_GB2312" w:eastAsia="仿宋_GB2312" w:hAnsi="仿宋_GB2312" w:cs="仿宋_GB2312" w:hint="eastAsia"/>
          <w:sz w:val="32"/>
          <w:szCs w:val="32"/>
        </w:rPr>
        <w:t>20年部门整体支出开展绩效自评，从评价情况来对攀枝花火车站及周边乡镇，承担医疗、预防、保健工作，群众健康教育工作以及应对各种突发性公共卫生事件和医疗抢救工作。从预算到执行和收入、支出、资产管理及信息公开，都严格按照财政资金管理办法和相关规定执行部门预算，取得了较大的经济效益和社会效益。</w:t>
      </w:r>
      <w:r>
        <w:rPr>
          <w:rFonts w:eastAsia="仿宋_GB2312" w:hint="eastAsia"/>
          <w:sz w:val="32"/>
          <w:szCs w:val="32"/>
        </w:rPr>
        <w:t>本部门还自行组织了</w:t>
      </w:r>
      <w:r>
        <w:rPr>
          <w:rFonts w:eastAsia="仿宋_GB2312"/>
          <w:sz w:val="32"/>
          <w:szCs w:val="32"/>
        </w:rPr>
        <w:t>5</w:t>
      </w:r>
      <w:r>
        <w:rPr>
          <w:rFonts w:eastAsia="仿宋_GB2312" w:hint="eastAsia"/>
          <w:sz w:val="32"/>
          <w:szCs w:val="32"/>
        </w:rPr>
        <w:t>个项目支出绩效评价，从评价情况来看保障了医院职工养老保险按时缴纳，</w:t>
      </w:r>
      <w:r>
        <w:rPr>
          <w:rFonts w:ascii="仿宋_GB2312" w:eastAsia="仿宋_GB2312" w:hAnsi="仿宋_GB2312" w:cs="仿宋_GB2312" w:hint="eastAsia"/>
          <w:sz w:val="32"/>
          <w:szCs w:val="32"/>
        </w:rPr>
        <w:t>保障病人用药和耗材的安全，提供良好的医疗环境。</w:t>
      </w:r>
    </w:p>
    <w:p w:rsidR="004C52FD" w:rsidRDefault="004C52FD">
      <w:pPr>
        <w:spacing w:line="580" w:lineRule="exact"/>
        <w:ind w:firstLineChars="200" w:firstLine="640"/>
        <w:rPr>
          <w:rFonts w:ascii="仿宋_GB2312" w:eastAsia="仿宋_GB2312" w:hAnsi="仿宋_GB2312" w:cs="仿宋_GB2312" w:hint="eastAsia"/>
          <w:sz w:val="32"/>
          <w:szCs w:val="32"/>
        </w:rPr>
      </w:pPr>
      <w:r>
        <w:rPr>
          <w:rFonts w:ascii="楷体_GB2312" w:eastAsia="楷体_GB2312" w:hAnsi="楷体_GB2312" w:cs="楷体_GB2312"/>
          <w:sz w:val="32"/>
          <w:szCs w:val="32"/>
        </w:rPr>
        <w:t>1.</w:t>
      </w:r>
      <w:r>
        <w:rPr>
          <w:rFonts w:ascii="楷体_GB2312" w:eastAsia="楷体_GB2312" w:hAnsi="楷体_GB2312" w:cs="楷体_GB2312" w:hint="eastAsia"/>
          <w:sz w:val="32"/>
          <w:szCs w:val="32"/>
        </w:rPr>
        <w:t>项目绩效目标完成情况。</w:t>
      </w:r>
      <w:r>
        <w:rPr>
          <w:rFonts w:ascii="楷体_GB2312" w:eastAsia="楷体_GB2312" w:hAnsi="楷体_GB2312" w:cs="楷体_GB2312"/>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年度部门决算中反映</w:t>
      </w:r>
      <w:r>
        <w:rPr>
          <w:rFonts w:eastAsia="仿宋_GB2312" w:hint="eastAsia"/>
          <w:sz w:val="32"/>
          <w:szCs w:val="32"/>
        </w:rPr>
        <w:t>“</w:t>
      </w:r>
      <w:r>
        <w:rPr>
          <w:rFonts w:ascii="仿宋_GB2312" w:eastAsia="仿宋_GB2312" w:hAnsi="仿宋_GB2312" w:cs="仿宋_GB2312" w:hint="eastAsia"/>
          <w:sz w:val="32"/>
          <w:szCs w:val="32"/>
        </w:rPr>
        <w:t>城市公立医院改革补助资金”“城市公立医院改革取消药品加成政府补助” “机</w:t>
      </w:r>
      <w:r>
        <w:rPr>
          <w:rFonts w:ascii="仿宋_GB2312" w:eastAsia="仿宋_GB2312" w:hAnsi="仿宋_GB2312" w:cs="仿宋_GB2312" w:hint="eastAsia"/>
          <w:sz w:val="32"/>
          <w:szCs w:val="32"/>
        </w:rPr>
        <w:lastRenderedPageBreak/>
        <w:t>关事业单位养老保险改革补助”、“疫情防控物质”“疫情防控党员捐赠”等</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个项目绩效目标实际完成情况。</w:t>
      </w:r>
    </w:p>
    <w:p w:rsidR="004C52FD" w:rsidRDefault="004C52FD">
      <w:pPr>
        <w:spacing w:line="580" w:lineRule="exact"/>
        <w:ind w:firstLineChars="150" w:firstLine="48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Pr>
          <w:rFonts w:eastAsia="仿宋_GB2312" w:hint="eastAsia"/>
          <w:sz w:val="32"/>
          <w:szCs w:val="32"/>
        </w:rPr>
        <w:t>“</w:t>
      </w:r>
      <w:r>
        <w:rPr>
          <w:rFonts w:ascii="仿宋_GB2312" w:eastAsia="仿宋_GB2312" w:hAnsi="仿宋_GB2312" w:cs="仿宋_GB2312" w:hint="eastAsia"/>
          <w:sz w:val="32"/>
          <w:szCs w:val="32"/>
        </w:rPr>
        <w:t>城市公立医院改革补助资金”项目绩效目标完成情况综述。项目全年预算数264.72万元，执行数为264.72万元，完成预算的100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w:t>
      </w:r>
      <w:r>
        <w:rPr>
          <w:rFonts w:eastAsia="仿宋_GB2312" w:hint="eastAsia"/>
          <w:sz w:val="32"/>
          <w:szCs w:val="32"/>
        </w:rPr>
        <w:t>通过项目实施，保障了</w:t>
      </w:r>
      <w:r>
        <w:rPr>
          <w:rFonts w:ascii="仿宋_GB2312" w:eastAsia="仿宋_GB2312" w:hAnsi="仿宋_GB2312" w:cs="仿宋_GB2312" w:hint="eastAsia"/>
          <w:sz w:val="32"/>
          <w:szCs w:val="32"/>
        </w:rPr>
        <w:t>病人用药、卫生耗材安全，为患者提供良好的医疗环境。</w:t>
      </w:r>
      <w:r>
        <w:rPr>
          <w:rFonts w:eastAsia="仿宋_GB2312" w:hint="eastAsia"/>
          <w:sz w:val="32"/>
          <w:szCs w:val="32"/>
        </w:rPr>
        <w:t>发现的主要问题：</w:t>
      </w:r>
      <w:r>
        <w:rPr>
          <w:rFonts w:ascii="仿宋_GB2312" w:eastAsia="仿宋_GB2312" w:hAnsi="仿宋_GB2312" w:cs="仿宋_GB2312" w:hint="eastAsia"/>
          <w:sz w:val="32"/>
          <w:szCs w:val="32"/>
        </w:rPr>
        <w:t>药品耗材采购成本控制。</w:t>
      </w:r>
      <w:r>
        <w:rPr>
          <w:rFonts w:eastAsia="仿宋_GB2312" w:hint="eastAsia"/>
          <w:sz w:val="32"/>
          <w:szCs w:val="32"/>
        </w:rPr>
        <w:t>下一步改进措施：</w:t>
      </w:r>
      <w:r>
        <w:rPr>
          <w:rFonts w:ascii="仿宋_GB2312" w:eastAsia="仿宋_GB2312" w:hAnsi="仿宋_GB2312" w:cs="仿宋_GB2312" w:hint="eastAsia"/>
          <w:sz w:val="32"/>
          <w:szCs w:val="32"/>
        </w:rPr>
        <w:t>药品必须具有质量保证协议，同时附检验报告，采购卫生耗材必须具有医疗器械注册证。</w:t>
      </w:r>
    </w:p>
    <w:p w:rsidR="004C52FD" w:rsidRDefault="004C52FD">
      <w:pPr>
        <w:spacing w:line="580" w:lineRule="exact"/>
        <w:ind w:firstLineChars="150" w:firstLine="48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）“机关事业单位养老保险改革补助”项目绩效目标完成情况综述。项目全年预算数101万元，执行数为101万元，完成预算的100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z w:val="32"/>
          <w:szCs w:val="32"/>
        </w:rPr>
        <w:t>通过项目实施，保障了</w:t>
      </w:r>
      <w:r>
        <w:rPr>
          <w:rFonts w:ascii="仿宋_GB2312" w:eastAsia="仿宋_GB2312" w:hAnsi="仿宋_GB2312" w:cs="仿宋_GB2312" w:hint="eastAsia"/>
          <w:sz w:val="32"/>
          <w:szCs w:val="32"/>
        </w:rPr>
        <w:t>编内职工基本养老金和职业年金的缴纳。</w:t>
      </w:r>
      <w:r>
        <w:rPr>
          <w:rFonts w:eastAsia="仿宋_GB2312" w:hint="eastAsia"/>
          <w:sz w:val="32"/>
          <w:szCs w:val="32"/>
        </w:rPr>
        <w:t>发现的主要问题：</w:t>
      </w:r>
      <w:r>
        <w:rPr>
          <w:rFonts w:ascii="仿宋_GB2312" w:eastAsia="仿宋_GB2312" w:hAnsi="仿宋_GB2312" w:cs="仿宋_GB2312" w:hint="eastAsia"/>
          <w:sz w:val="32"/>
          <w:szCs w:val="32"/>
        </w:rPr>
        <w:t>无法控制在编人员增加减少</w:t>
      </w:r>
      <w:r>
        <w:rPr>
          <w:rFonts w:eastAsia="仿宋_GB2312" w:hint="eastAsia"/>
          <w:sz w:val="32"/>
          <w:szCs w:val="32"/>
        </w:rPr>
        <w:t>。下一步改进措施：</w:t>
      </w:r>
      <w:r>
        <w:rPr>
          <w:rFonts w:ascii="仿宋_GB2312" w:eastAsia="仿宋_GB2312" w:hAnsi="仿宋_GB2312" w:cs="仿宋_GB2312" w:hint="eastAsia"/>
          <w:sz w:val="32"/>
          <w:szCs w:val="32"/>
        </w:rPr>
        <w:t>尽量保持在编人员稳定性。</w:t>
      </w:r>
    </w:p>
    <w:p w:rsidR="004C52FD" w:rsidRDefault="004C52FD">
      <w:pPr>
        <w:spacing w:line="580" w:lineRule="exact"/>
        <w:ind w:firstLineChars="150" w:firstLine="48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）“城市公立医院改革取消药品加成政府补助”项目绩效目标完成情况综述。项目全年预算数36.76万元，执行数为36.76万元，完成预算的100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z w:val="32"/>
          <w:szCs w:val="32"/>
        </w:rPr>
        <w:t>通过项目实施，保障了</w:t>
      </w:r>
      <w:r>
        <w:rPr>
          <w:rFonts w:ascii="仿宋_GB2312" w:eastAsia="仿宋_GB2312" w:hAnsi="仿宋_GB2312" w:cs="仿宋_GB2312" w:hint="eastAsia"/>
          <w:sz w:val="32"/>
          <w:szCs w:val="32"/>
        </w:rPr>
        <w:t>患者用药治疗基本需求</w:t>
      </w:r>
      <w:r>
        <w:rPr>
          <w:rFonts w:eastAsia="仿宋_GB2312" w:hint="eastAsia"/>
          <w:sz w:val="32"/>
          <w:szCs w:val="32"/>
        </w:rPr>
        <w:t>，发现的主要问题：</w:t>
      </w:r>
      <w:r>
        <w:rPr>
          <w:rFonts w:ascii="仿宋_GB2312" w:eastAsia="仿宋_GB2312" w:hAnsi="仿宋_GB2312" w:cs="仿宋_GB2312" w:hint="eastAsia"/>
          <w:sz w:val="32"/>
          <w:szCs w:val="32"/>
        </w:rPr>
        <w:t>药品采购成本控制，耗材成本</w:t>
      </w:r>
      <w:r>
        <w:rPr>
          <w:rFonts w:eastAsia="仿宋_GB2312" w:hint="eastAsia"/>
          <w:sz w:val="32"/>
          <w:szCs w:val="32"/>
        </w:rPr>
        <w:t>。下一步改进措施：</w:t>
      </w:r>
      <w:r>
        <w:rPr>
          <w:rFonts w:ascii="仿宋_GB2312" w:eastAsia="仿宋_GB2312" w:hAnsi="仿宋_GB2312" w:cs="仿宋_GB2312" w:hint="eastAsia"/>
          <w:sz w:val="32"/>
          <w:szCs w:val="32"/>
        </w:rPr>
        <w:t>控制药品采购成本控制，耗材成本。</w:t>
      </w:r>
    </w:p>
    <w:p w:rsidR="004C52FD" w:rsidRDefault="004C52FD">
      <w:pPr>
        <w:spacing w:line="580" w:lineRule="exact"/>
        <w:ind w:firstLineChars="150" w:firstLine="48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（4）“疫情防控物质”项目绩效目标完成情况综述。项目全年预算数5万元，执行数为5万元，完成预算的100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z w:val="32"/>
          <w:szCs w:val="32"/>
        </w:rPr>
        <w:t>通过项目实施，保障了疫情防控工作物质供应。</w:t>
      </w:r>
    </w:p>
    <w:p w:rsidR="004C52FD" w:rsidRDefault="004C52FD">
      <w:pPr>
        <w:spacing w:line="580" w:lineRule="exact"/>
        <w:ind w:firstLineChars="150" w:firstLine="48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（5）“疫情防控党员捐赠”项目绩效目标完成情况综述。项目全年预算数3.44万元，执行数为3.44万元，完成预算的100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z w:val="32"/>
          <w:szCs w:val="32"/>
        </w:rPr>
        <w:t>通过项目实施，保障疫情防控人员补贴。</w:t>
      </w:r>
    </w:p>
    <w:p w:rsidR="004C52FD" w:rsidRDefault="004C52FD">
      <w:pPr>
        <w:spacing w:line="580" w:lineRule="exact"/>
        <w:rPr>
          <w:rFonts w:ascii="仿宋_GB2312" w:eastAsia="仿宋_GB2312" w:hAnsi="仿宋_GB2312" w:cs="仿宋_GB2312" w:hint="eastAsia"/>
          <w:sz w:val="32"/>
          <w:szCs w:val="32"/>
        </w:rPr>
      </w:pPr>
    </w:p>
    <w:tbl>
      <w:tblPr>
        <w:tblpPr w:leftFromText="180" w:rightFromText="180" w:vertAnchor="text" w:horzAnchor="page" w:tblpXSpec="center" w:tblpY="423"/>
        <w:tblOverlap w:val="never"/>
        <w:tblW w:w="9960" w:type="dxa"/>
        <w:jc w:val="center"/>
        <w:tblInd w:w="0" w:type="dxa"/>
        <w:tblLayout w:type="fixed"/>
        <w:tblCellMar>
          <w:left w:w="0" w:type="dxa"/>
          <w:right w:w="0" w:type="dxa"/>
        </w:tblCellMar>
        <w:tblLook w:val="0000" w:firstRow="0" w:lastRow="0" w:firstColumn="0" w:lastColumn="0" w:noHBand="0" w:noVBand="0"/>
      </w:tblPr>
      <w:tblGrid>
        <w:gridCol w:w="390"/>
        <w:gridCol w:w="1367"/>
        <w:gridCol w:w="988"/>
        <w:gridCol w:w="37"/>
        <w:gridCol w:w="2392"/>
        <w:gridCol w:w="2394"/>
        <w:gridCol w:w="2392"/>
      </w:tblGrid>
      <w:tr w:rsidR="004C52FD">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4C52FD" w:rsidRDefault="004C52FD">
            <w:pPr>
              <w:widowControl/>
              <w:jc w:val="center"/>
              <w:textAlignment w:val="center"/>
              <w:rPr>
                <w:rFonts w:ascii="宋体" w:cs="宋体"/>
                <w:color w:val="000000"/>
                <w:sz w:val="36"/>
                <w:szCs w:val="36"/>
              </w:rPr>
            </w:pPr>
            <w:r>
              <w:rPr>
                <w:rFonts w:ascii="宋体" w:hAnsi="宋体" w:cs="宋体" w:hint="eastAsia"/>
                <w:b/>
                <w:bCs/>
                <w:color w:val="000000"/>
                <w:kern w:val="0"/>
                <w:sz w:val="36"/>
                <w:szCs w:val="36"/>
                <w:lang w:bidi="ar"/>
              </w:rPr>
              <w:t>项目绩效目标完成情况表</w:t>
            </w:r>
            <w:r>
              <w:rPr>
                <w:rFonts w:ascii="宋体" w:cs="宋体"/>
                <w:b/>
                <w:bCs/>
                <w:color w:val="000000"/>
                <w:kern w:val="0"/>
                <w:sz w:val="36"/>
                <w:szCs w:val="36"/>
                <w:lang w:bidi="ar"/>
              </w:rPr>
              <w:br/>
            </w:r>
            <w:r>
              <w:rPr>
                <w:rFonts w:ascii="宋体" w:hAnsi="宋体" w:cs="宋体"/>
                <w:color w:val="000000"/>
                <w:kern w:val="0"/>
                <w:sz w:val="36"/>
                <w:szCs w:val="36"/>
                <w:lang w:bidi="ar"/>
              </w:rPr>
              <w:t>(2020</w:t>
            </w:r>
            <w:r>
              <w:rPr>
                <w:rFonts w:ascii="宋体" w:hAnsi="宋体" w:cs="宋体" w:hint="eastAsia"/>
                <w:color w:val="000000"/>
                <w:kern w:val="0"/>
                <w:sz w:val="36"/>
                <w:szCs w:val="36"/>
                <w:lang w:bidi="ar"/>
              </w:rPr>
              <w:t>年度</w:t>
            </w:r>
            <w:r>
              <w:rPr>
                <w:rFonts w:ascii="宋体" w:hAnsi="宋体" w:cs="宋体"/>
                <w:color w:val="000000"/>
                <w:kern w:val="0"/>
                <w:sz w:val="36"/>
                <w:szCs w:val="36"/>
                <w:lang w:bidi="ar"/>
              </w:rPr>
              <w:t>)</w:t>
            </w:r>
          </w:p>
        </w:tc>
      </w:tr>
      <w:tr w:rsidR="004C52FD">
        <w:trPr>
          <w:trHeight w:val="27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textAlignment w:val="center"/>
              <w:rPr>
                <w:rFonts w:ascii="宋体" w:cs="宋体" w:hint="eastAsia"/>
                <w:color w:val="000000"/>
                <w:sz w:val="24"/>
              </w:rPr>
            </w:pPr>
            <w:r>
              <w:rPr>
                <w:rFonts w:ascii="宋体" w:cs="宋体" w:hint="eastAsia"/>
                <w:color w:val="000000"/>
                <w:sz w:val="24"/>
              </w:rPr>
              <w:t>城市公立医院改革补助资金</w:t>
            </w:r>
          </w:p>
        </w:tc>
      </w:tr>
      <w:tr w:rsidR="004C52FD">
        <w:trPr>
          <w:trHeight w:val="27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攀枝花市铁路医院</w:t>
            </w:r>
          </w:p>
        </w:tc>
      </w:tr>
      <w:tr w:rsidR="004C52FD">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预算执行情况</w:t>
            </w:r>
            <w:r>
              <w:rPr>
                <w:rFonts w:ascii="宋体" w:hAnsi="宋体" w:cs="宋体"/>
                <w:color w:val="000000"/>
                <w:kern w:val="0"/>
                <w:sz w:val="24"/>
                <w:lang w:bidi="ar"/>
              </w:rPr>
              <w:t>(</w:t>
            </w:r>
            <w:r>
              <w:rPr>
                <w:rFonts w:ascii="宋体" w:hAnsi="宋体" w:cs="宋体" w:hint="eastAsia"/>
                <w:color w:val="000000"/>
                <w:kern w:val="0"/>
                <w:sz w:val="24"/>
                <w:lang w:bidi="ar"/>
              </w:rPr>
              <w:t>万元</w:t>
            </w:r>
            <w:r>
              <w:rPr>
                <w:rFonts w:ascii="宋体" w:hAnsi="宋体" w:cs="宋体"/>
                <w:color w:val="000000"/>
                <w:kern w:val="0"/>
                <w:sz w:val="24"/>
                <w:lang w:bidi="ar"/>
              </w:rPr>
              <w:t>)</w:t>
            </w: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预算数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1561.72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执行数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1549.68</w:t>
            </w:r>
          </w:p>
        </w:tc>
      </w:tr>
      <w:tr w:rsidR="004C52FD">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jc w:val="center"/>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其中</w:t>
            </w:r>
            <w:r>
              <w:rPr>
                <w:rFonts w:ascii="宋体" w:cs="宋体"/>
                <w:color w:val="000000"/>
                <w:kern w:val="0"/>
                <w:sz w:val="24"/>
                <w:lang w:bidi="ar"/>
              </w:rPr>
              <w:t>-</w:t>
            </w:r>
            <w:r>
              <w:rPr>
                <w:rFonts w:ascii="宋体" w:hAnsi="宋体" w:cs="宋体" w:hint="eastAsia"/>
                <w:color w:val="000000"/>
                <w:kern w:val="0"/>
                <w:sz w:val="24"/>
                <w:lang w:bidi="ar"/>
              </w:rPr>
              <w:t>财政拨款</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541.72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其中</w:t>
            </w:r>
            <w:r>
              <w:rPr>
                <w:rFonts w:ascii="宋体" w:cs="宋体"/>
                <w:color w:val="000000"/>
                <w:kern w:val="0"/>
                <w:sz w:val="24"/>
                <w:lang w:bidi="ar"/>
              </w:rPr>
              <w:t>-</w:t>
            </w:r>
            <w:r>
              <w:rPr>
                <w:rFonts w:ascii="宋体" w:hAnsi="宋体" w:cs="宋体" w:hint="eastAsia"/>
                <w:color w:val="000000"/>
                <w:kern w:val="0"/>
                <w:sz w:val="24"/>
                <w:lang w:bidi="ar"/>
              </w:rPr>
              <w:t>财政拨款</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588.33</w:t>
            </w:r>
          </w:p>
        </w:tc>
      </w:tr>
      <w:tr w:rsidR="004C52FD">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jc w:val="center"/>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其它资金</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1020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其它资金</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jc w:val="center"/>
              <w:rPr>
                <w:rFonts w:ascii="宋体" w:cs="宋体" w:hint="eastAsia"/>
                <w:color w:val="000000"/>
                <w:sz w:val="24"/>
              </w:rPr>
            </w:pPr>
            <w:r>
              <w:rPr>
                <w:rFonts w:ascii="宋体" w:cs="宋体" w:hint="eastAsia"/>
                <w:color w:val="000000"/>
                <w:sz w:val="24"/>
              </w:rPr>
              <w:t>961.35</w:t>
            </w:r>
          </w:p>
        </w:tc>
      </w:tr>
      <w:tr w:rsidR="004C52FD">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实际完成目标</w:t>
            </w:r>
          </w:p>
        </w:tc>
      </w:tr>
      <w:tr w:rsidR="004C52FD">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jc w:val="center"/>
              <w:rPr>
                <w:rFonts w:asci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left"/>
              <w:textAlignment w:val="center"/>
              <w:rPr>
                <w:rFonts w:ascii="宋体" w:cs="宋体"/>
                <w:color w:val="000000"/>
                <w:sz w:val="24"/>
              </w:rPr>
            </w:pPr>
            <w:r>
              <w:rPr>
                <w:rFonts w:ascii="宋体" w:hAnsi="宋体" w:cs="宋体" w:hint="eastAsia"/>
                <w:color w:val="000000"/>
                <w:kern w:val="0"/>
                <w:sz w:val="24"/>
              </w:rPr>
              <w:t xml:space="preserve">    该项目用于完成2020年度药品耗材采供；缴纳在编人员机关事业单位养老保险和职业年金单位部分；取消医院药品加成政府补助，医疗服务与保障能力提升；保障疫情防控工作物质供应和疫情防控人员补贴。</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ind w:firstLineChars="200" w:firstLine="480"/>
              <w:jc w:val="left"/>
              <w:textAlignment w:val="center"/>
              <w:rPr>
                <w:rFonts w:ascii="宋体" w:cs="宋体" w:hint="eastAsia"/>
                <w:color w:val="000000"/>
                <w:sz w:val="24"/>
              </w:rPr>
            </w:pPr>
            <w:r>
              <w:rPr>
                <w:rFonts w:ascii="宋体" w:hAnsi="宋体" w:cs="宋体" w:hint="eastAsia"/>
                <w:color w:val="000000"/>
                <w:kern w:val="0"/>
                <w:sz w:val="24"/>
              </w:rPr>
              <w:t>完成2020年度药品耗材采供；缴纳在编人员机关事业单位养老保险和职业年金单位部分；保障患者治疗基本需求，提高了医疗服务与保障能力提升；保障疫情防控工作物质供应和疫情防控人员补贴。</w:t>
            </w:r>
          </w:p>
        </w:tc>
      </w:tr>
      <w:tr w:rsidR="004C52FD">
        <w:trPr>
          <w:trHeight w:val="1110"/>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一级指标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预期指标值</w:t>
            </w:r>
            <w:r>
              <w:rPr>
                <w:rFonts w:ascii="宋体" w:hAnsi="宋体" w:cs="宋体"/>
                <w:color w:val="000000"/>
                <w:kern w:val="0"/>
                <w:sz w:val="24"/>
                <w:lang w:bidi="ar"/>
              </w:rPr>
              <w:t>(</w:t>
            </w:r>
            <w:r>
              <w:rPr>
                <w:rFonts w:ascii="宋体" w:hAnsi="宋体" w:cs="宋体" w:hint="eastAsia"/>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实际完成指标值</w:t>
            </w:r>
            <w:r>
              <w:rPr>
                <w:rFonts w:ascii="宋体" w:hAnsi="宋体" w:cs="宋体"/>
                <w:color w:val="000000"/>
                <w:kern w:val="0"/>
                <w:sz w:val="24"/>
                <w:lang w:bidi="ar"/>
              </w:rPr>
              <w:t>(</w:t>
            </w:r>
            <w:r>
              <w:rPr>
                <w:rFonts w:ascii="宋体" w:hAnsi="宋体" w:cs="宋体" w:hint="eastAsia"/>
                <w:color w:val="000000"/>
                <w:kern w:val="0"/>
                <w:sz w:val="24"/>
                <w:lang w:bidi="ar"/>
              </w:rPr>
              <w:t>包含数字及文字描述</w:t>
            </w:r>
            <w:r>
              <w:rPr>
                <w:rFonts w:ascii="宋体" w:hAnsi="宋体" w:cs="宋体"/>
                <w:color w:val="000000"/>
                <w:kern w:val="0"/>
                <w:sz w:val="24"/>
                <w:lang w:bidi="ar"/>
              </w:rPr>
              <w:t>)</w:t>
            </w:r>
          </w:p>
        </w:tc>
      </w:tr>
      <w:tr w:rsidR="004C52FD">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color w:val="000000"/>
                <w:sz w:val="24"/>
              </w:rPr>
            </w:pPr>
            <w:r>
              <w:rPr>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2020完成本年度工作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1020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961.35</w:t>
            </w:r>
          </w:p>
        </w:tc>
      </w:tr>
      <w:tr w:rsidR="004C52FD">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color w:val="000000"/>
                <w:sz w:val="24"/>
              </w:rPr>
            </w:pPr>
            <w:r>
              <w:rPr>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20</w:t>
            </w:r>
            <w:r>
              <w:rPr>
                <w:rFonts w:ascii="宋体" w:hAnsi="宋体" w:hint="eastAsia"/>
                <w:color w:val="000000"/>
                <w:sz w:val="24"/>
              </w:rPr>
              <w:t>20</w:t>
            </w:r>
            <w:r>
              <w:rPr>
                <w:rFonts w:ascii="宋体" w:hAnsi="宋体"/>
                <w:color w:val="000000"/>
                <w:sz w:val="24"/>
              </w:rPr>
              <w:t>年离退休人员费用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168.92</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171.15</w:t>
            </w:r>
          </w:p>
        </w:tc>
      </w:tr>
      <w:tr w:rsidR="004C52FD">
        <w:trPr>
          <w:trHeight w:val="929"/>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color w:val="000000"/>
                <w:sz w:val="24"/>
              </w:rPr>
            </w:pPr>
            <w:r>
              <w:rPr>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编内人数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5</w:t>
            </w:r>
            <w:r>
              <w:rPr>
                <w:rFonts w:ascii="宋体" w:cs="宋体"/>
                <w:color w:val="000000"/>
                <w:sz w:val="24"/>
              </w:rPr>
              <w:t>9</w:t>
            </w:r>
            <w:r>
              <w:rPr>
                <w:rFonts w:asci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5</w:t>
            </w:r>
            <w:r>
              <w:rPr>
                <w:rFonts w:ascii="宋体" w:cs="宋体"/>
                <w:color w:val="000000"/>
                <w:sz w:val="24"/>
              </w:rPr>
              <w:t>9</w:t>
            </w:r>
            <w:r>
              <w:rPr>
                <w:rFonts w:ascii="宋体" w:cs="宋体" w:hint="eastAsia"/>
                <w:color w:val="000000"/>
                <w:sz w:val="24"/>
              </w:rPr>
              <w:t>人</w:t>
            </w:r>
          </w:p>
        </w:tc>
      </w:tr>
      <w:tr w:rsidR="004C52FD">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kern w:val="0"/>
                <w:sz w:val="24"/>
                <w:lang w:bidi="ar"/>
              </w:rPr>
            </w:pPr>
            <w:r>
              <w:rPr>
                <w:rFonts w:ascii="宋体" w:hAnsi="宋体" w:cs="宋体" w:hint="eastAsia"/>
                <w:color w:val="000000"/>
                <w:kern w:val="0"/>
                <w:sz w:val="24"/>
                <w:lang w:bidi="ar"/>
              </w:rPr>
              <w:t>项目完成指标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color w:val="000000"/>
                <w:sz w:val="24"/>
              </w:rPr>
              <w:t>20</w:t>
            </w:r>
            <w:r>
              <w:rPr>
                <w:rFonts w:hint="eastAsia"/>
                <w:color w:val="000000"/>
                <w:sz w:val="24"/>
              </w:rPr>
              <w:t>20</w:t>
            </w:r>
            <w:r>
              <w:rPr>
                <w:color w:val="000000"/>
                <w:sz w:val="24"/>
              </w:rPr>
              <w:t>年财政拨款项目支出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372</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410.92</w:t>
            </w:r>
          </w:p>
        </w:tc>
      </w:tr>
      <w:tr w:rsidR="004C52FD">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完成2019年各项工作任务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按上级要求和行业标准完成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按上级要求和行业标准完成</w:t>
            </w:r>
          </w:p>
        </w:tc>
      </w:tr>
      <w:tr w:rsidR="004C52FD">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9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color w:val="000000"/>
                <w:sz w:val="24"/>
              </w:rPr>
              <w:t>成本指标</w:t>
            </w:r>
          </w:p>
        </w:tc>
        <w:tc>
          <w:tcPr>
            <w:tcW w:w="242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离退休人员支出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168.92</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cs="宋体" w:hint="eastAsia"/>
                <w:color w:val="000000"/>
                <w:sz w:val="24"/>
              </w:rPr>
              <w:t>171.15</w:t>
            </w:r>
          </w:p>
        </w:tc>
      </w:tr>
      <w:tr w:rsidR="004C52FD">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基本支出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1020.8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1044.45</w:t>
            </w:r>
          </w:p>
        </w:tc>
      </w:tr>
      <w:tr w:rsidR="004C52FD">
        <w:trPr>
          <w:trHeight w:val="96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项目支出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372</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hint="eastAsia"/>
                <w:color w:val="000000"/>
                <w:sz w:val="24"/>
              </w:rPr>
            </w:pPr>
            <w:r>
              <w:rPr>
                <w:rFonts w:ascii="宋体" w:cs="宋体" w:hint="eastAsia"/>
                <w:color w:val="000000"/>
                <w:sz w:val="24"/>
              </w:rPr>
              <w:t>372</w:t>
            </w:r>
          </w:p>
        </w:tc>
      </w:tr>
      <w:tr w:rsidR="004C52FD">
        <w:trPr>
          <w:trHeight w:val="976"/>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color w:val="000000"/>
                <w:sz w:val="24"/>
              </w:rPr>
            </w:pPr>
            <w:r>
              <w:rPr>
                <w:rFonts w:hint="eastAsia"/>
                <w:color w:val="000000"/>
                <w:kern w:val="0"/>
                <w:sz w:val="24"/>
              </w:rPr>
              <w:t>效益指标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autoSpaceDN w:val="0"/>
              <w:jc w:val="center"/>
              <w:textAlignment w:val="center"/>
              <w:rPr>
                <w:color w:val="000000"/>
                <w:sz w:val="24"/>
              </w:rPr>
            </w:pPr>
            <w:r>
              <w:rPr>
                <w:rFonts w:ascii="宋体" w:hAnsi="宋体"/>
                <w:color w:val="000000"/>
                <w:sz w:val="24"/>
              </w:rPr>
              <w:t>生态效益</w:t>
            </w:r>
            <w:r>
              <w:rPr>
                <w:rFonts w:ascii="宋体" w:hAnsi="宋体"/>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医疗废物处理和污水排放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达标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达标</w:t>
            </w:r>
          </w:p>
        </w:tc>
      </w:tr>
      <w:tr w:rsidR="004C52FD">
        <w:trPr>
          <w:trHeight w:val="835"/>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s="宋体" w:hint="eastAsia"/>
                <w:color w:val="000000"/>
                <w:kern w:val="0"/>
                <w:sz w:val="24"/>
                <w:lang w:bidi="ar"/>
              </w:rPr>
              <w:t>满意度指标</w:t>
            </w:r>
          </w:p>
        </w:tc>
        <w:tc>
          <w:tcPr>
            <w:tcW w:w="1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autoSpaceDN w:val="0"/>
              <w:jc w:val="center"/>
              <w:textAlignment w:val="center"/>
              <w:rPr>
                <w:color w:val="000000"/>
                <w:sz w:val="24"/>
              </w:rPr>
            </w:pPr>
            <w:r>
              <w:rPr>
                <w:rFonts w:ascii="宋体" w:hAnsi="宋体"/>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autoSpaceDN w:val="0"/>
              <w:jc w:val="left"/>
              <w:textAlignment w:val="center"/>
              <w:rPr>
                <w:color w:val="000000"/>
                <w:sz w:val="24"/>
              </w:rPr>
            </w:pPr>
            <w:r>
              <w:rPr>
                <w:rFonts w:ascii="宋体" w:hAnsi="宋体"/>
                <w:color w:val="000000"/>
                <w:sz w:val="24"/>
              </w:rPr>
              <w:t>公众满意度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52FD" w:rsidRDefault="004C52FD">
            <w:pPr>
              <w:widowControl/>
              <w:jc w:val="center"/>
              <w:textAlignment w:val="center"/>
              <w:rPr>
                <w:rFonts w:ascii="宋体" w:cs="宋体"/>
                <w:color w:val="000000"/>
                <w:sz w:val="24"/>
              </w:rPr>
            </w:pPr>
            <w:r>
              <w:rPr>
                <w:rFonts w:ascii="宋体" w:hAnsi="宋体"/>
                <w:color w:val="000000"/>
                <w:sz w:val="24"/>
              </w:rPr>
              <w:t>98%</w:t>
            </w:r>
          </w:p>
        </w:tc>
      </w:tr>
    </w:tbl>
    <w:p w:rsidR="004C52FD" w:rsidRDefault="004C52F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楷体_GB2312" w:eastAsia="楷体_GB2312" w:hAnsi="楷体_GB2312" w:cs="楷体_GB2312"/>
          <w:sz w:val="32"/>
          <w:szCs w:val="32"/>
        </w:rPr>
        <w:t>2.</w:t>
      </w:r>
      <w:r>
        <w:rPr>
          <w:rFonts w:ascii="楷体_GB2312" w:eastAsia="楷体_GB2312" w:hAnsi="楷体_GB2312" w:cs="楷体_GB2312" w:hint="eastAsia"/>
          <w:sz w:val="32"/>
          <w:szCs w:val="32"/>
        </w:rPr>
        <w:t>部门绩效评价结果。</w:t>
      </w:r>
    </w:p>
    <w:p w:rsidR="004C52FD" w:rsidRDefault="004C52F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年部门整体支出绩效评价情况开展自评，《攀枝花市铁路医院</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4C52FD" w:rsidRDefault="004C52FD">
      <w:pPr>
        <w:spacing w:line="580" w:lineRule="exact"/>
        <w:ind w:firstLineChars="200" w:firstLine="640"/>
        <w:rPr>
          <w:rFonts w:ascii="仿宋_GB2312" w:eastAsia="仿宋_GB2312"/>
          <w:b/>
          <w:color w:val="000000"/>
          <w:sz w:val="32"/>
          <w:szCs w:val="32"/>
        </w:rPr>
      </w:pPr>
      <w:r>
        <w:rPr>
          <w:rFonts w:ascii="仿宋_GB2312" w:eastAsia="仿宋_GB2312" w:hAnsi="仿宋_GB2312" w:cs="仿宋_GB2312" w:hint="eastAsia"/>
          <w:sz w:val="32"/>
          <w:szCs w:val="32"/>
        </w:rPr>
        <w:t>本部门自行组织对机关事业养老金改革补助项目绩效</w:t>
      </w:r>
      <w:r>
        <w:rPr>
          <w:rFonts w:eastAsia="仿宋_GB2312" w:hint="eastAsia"/>
          <w:sz w:val="32"/>
          <w:szCs w:val="32"/>
        </w:rPr>
        <w:t>项目开展了绩效评价</w:t>
      </w:r>
      <w:r>
        <w:rPr>
          <w:rFonts w:ascii="仿宋_GB2312" w:eastAsia="仿宋_GB2312" w:hAnsi="仿宋_GB2312" w:cs="仿宋_GB2312" w:hint="eastAsia"/>
          <w:sz w:val="32"/>
          <w:szCs w:val="32"/>
        </w:rPr>
        <w:t>，《机关事业养老金改革补助</w:t>
      </w:r>
      <w:r>
        <w:rPr>
          <w:rFonts w:eastAsia="仿宋_GB2312" w:hint="eastAsia"/>
          <w:sz w:val="32"/>
          <w:szCs w:val="32"/>
        </w:rPr>
        <w:t>项目</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rsidR="004C52FD" w:rsidRDefault="004C52FD">
      <w:pPr>
        <w:numPr>
          <w:ilvl w:val="0"/>
          <w:numId w:val="4"/>
        </w:numPr>
        <w:spacing w:line="600" w:lineRule="exact"/>
        <w:ind w:firstLineChars="150" w:firstLine="660"/>
        <w:jc w:val="center"/>
        <w:outlineLvl w:val="0"/>
        <w:rPr>
          <w:rStyle w:val="10"/>
          <w:rFonts w:ascii="黑体" w:eastAsia="黑体" w:hAnsi="黑体"/>
          <w:b w:val="0"/>
        </w:rPr>
      </w:pPr>
      <w:bookmarkStart w:id="88" w:name="_Toc15396613"/>
      <w:bookmarkStart w:id="89" w:name="_Toc15377225"/>
      <w:bookmarkStart w:id="90" w:name="_Toc14340"/>
      <w:r>
        <w:rPr>
          <w:rFonts w:ascii="黑体" w:eastAsia="黑体" w:hAnsi="黑体" w:hint="eastAsia"/>
          <w:color w:val="000000"/>
          <w:sz w:val="44"/>
          <w:szCs w:val="44"/>
        </w:rPr>
        <w:t>名</w:t>
      </w:r>
      <w:r>
        <w:rPr>
          <w:rStyle w:val="10"/>
          <w:rFonts w:ascii="黑体" w:eastAsia="黑体" w:hAnsi="黑体" w:hint="eastAsia"/>
          <w:b w:val="0"/>
        </w:rPr>
        <w:t>词解释</w:t>
      </w:r>
      <w:bookmarkEnd w:id="88"/>
      <w:bookmarkEnd w:id="89"/>
      <w:bookmarkEnd w:id="90"/>
    </w:p>
    <w:p w:rsidR="004C52FD" w:rsidRDefault="004C52FD">
      <w:pPr>
        <w:spacing w:line="600" w:lineRule="exact"/>
        <w:jc w:val="left"/>
        <w:rPr>
          <w:rFonts w:ascii="宋体"/>
          <w:b/>
          <w:color w:val="000000"/>
          <w:sz w:val="44"/>
          <w:szCs w:val="44"/>
        </w:rPr>
      </w:pP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w:t>
      </w:r>
      <w:r>
        <w:rPr>
          <w:rFonts w:ascii="仿宋_GB2312" w:eastAsia="仿宋_GB2312" w:hint="eastAsia"/>
          <w:sz w:val="32"/>
          <w:szCs w:val="32"/>
        </w:rPr>
        <w:lastRenderedPageBreak/>
        <w:t>算资金。</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事业收入：指事业单位开展专业业务活动及辅助活动取得的收入。如…（二级预算单位事业收入情况）等。</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其他收入：指单位取得的除上述收入以外的各项收入。主要是…（收入类型）等。</w:t>
      </w:r>
      <w:r>
        <w:rPr>
          <w:rFonts w:ascii="仿宋_GB2312" w:eastAsia="仿宋_GB2312"/>
          <w:sz w:val="32"/>
          <w:szCs w:val="32"/>
        </w:rPr>
        <w:t xml:space="preserve"> </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结余分配：指事业单位按照会计制度规定缴纳的所得税、提取的专用结余以及转入非财政拨款结余的金额等。</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4C52FD" w:rsidRDefault="004C52FD">
      <w:pPr>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9、基本支出：指为保障机构正常运转、完成日常工作任务而发生的人员支出和公用支出。</w:t>
      </w:r>
    </w:p>
    <w:p w:rsidR="004C52FD" w:rsidRDefault="004C52FD">
      <w:pPr>
        <w:ind w:firstLineChars="200" w:firstLine="640"/>
        <w:rPr>
          <w:rFonts w:ascii="仿宋_GB2312" w:eastAsia="仿宋_GB2312"/>
          <w:color w:val="000000"/>
          <w:sz w:val="32"/>
          <w:szCs w:val="32"/>
        </w:rPr>
      </w:pPr>
      <w:r>
        <w:rPr>
          <w:rFonts w:ascii="仿宋_GB2312" w:eastAsia="仿宋_GB2312" w:hint="eastAsia"/>
          <w:color w:val="000000"/>
          <w:sz w:val="32"/>
          <w:szCs w:val="32"/>
        </w:rPr>
        <w:t>10</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rsidR="004C52FD" w:rsidRDefault="004C52FD">
      <w:pPr>
        <w:ind w:firstLineChars="200" w:firstLine="640"/>
        <w:rPr>
          <w:rFonts w:ascii="仿宋_GB2312" w:eastAsia="仿宋_GB2312"/>
          <w:color w:val="000000"/>
          <w:sz w:val="32"/>
          <w:szCs w:val="32"/>
        </w:rPr>
      </w:pPr>
      <w:r>
        <w:rPr>
          <w:rFonts w:ascii="仿宋_GB2312" w:eastAsia="仿宋_GB2312" w:hint="eastAsia"/>
          <w:color w:val="000000"/>
          <w:sz w:val="32"/>
          <w:szCs w:val="32"/>
        </w:rPr>
        <w:t>11</w:t>
      </w:r>
      <w:r>
        <w:rPr>
          <w:rFonts w:ascii="仿宋_GB2312" w:eastAsia="仿宋_GB2312"/>
          <w:color w:val="000000"/>
          <w:sz w:val="32"/>
          <w:szCs w:val="32"/>
        </w:rPr>
        <w:t>.</w:t>
      </w:r>
      <w:r>
        <w:rPr>
          <w:rFonts w:ascii="仿宋_GB2312" w:eastAsia="仿宋_GB2312" w:hint="eastAsia"/>
          <w:color w:val="000000"/>
          <w:sz w:val="32"/>
          <w:szCs w:val="32"/>
        </w:rPr>
        <w:t>经营支出：指事业单位在专业业务活动及其辅助活动之外开展非独立核算经营活动发生的支出。</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12</w:t>
      </w:r>
      <w:r>
        <w:rPr>
          <w:rFonts w:ascii="仿宋_GB2312" w:eastAsia="仿宋_GB2312"/>
          <w:sz w:val="32"/>
          <w:szCs w:val="32"/>
        </w:rPr>
        <w:t>.</w:t>
      </w:r>
      <w:r>
        <w:rPr>
          <w:rFonts w:ascii="仿宋_GB2312" w:eastAsia="仿宋_GB2312" w:hint="eastAsia"/>
          <w:sz w:val="32"/>
          <w:szCs w:val="32"/>
        </w:rPr>
        <w:t>“三公”经费：指部门用财政拨款安排的因公出国（境）费、公务用车购置及运行费和公务接待费。其中，因</w:t>
      </w:r>
      <w:r>
        <w:rPr>
          <w:rFonts w:ascii="仿宋_GB2312" w:eastAsia="仿宋_GB2312" w:hint="eastAsia"/>
          <w:sz w:val="32"/>
          <w:szCs w:val="32"/>
        </w:rPr>
        <w:lastRenderedPageBreak/>
        <w:t>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4C52FD" w:rsidRDefault="004C52FD">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13</w:t>
      </w:r>
      <w:r>
        <w:rPr>
          <w:rFonts w:ascii="仿宋_GB2312" w:eastAsia="仿宋_GB2312"/>
          <w:sz w:val="32"/>
          <w:szCs w:val="32"/>
        </w:rPr>
        <w:t>.</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C52FD" w:rsidRDefault="004C52FD">
      <w:pPr>
        <w:pStyle w:val="Default"/>
        <w:spacing w:line="560" w:lineRule="exact"/>
        <w:ind w:firstLineChars="200" w:firstLine="640"/>
        <w:rPr>
          <w:rFonts w:ascii="仿宋_GB2312" w:eastAsia="仿宋_GB2312" w:cs="黑体"/>
          <w:sz w:val="32"/>
          <w:szCs w:val="32"/>
        </w:rPr>
      </w:pPr>
    </w:p>
    <w:p w:rsidR="004C52FD" w:rsidRDefault="004C52FD">
      <w:pPr>
        <w:spacing w:line="600" w:lineRule="exact"/>
        <w:jc w:val="center"/>
        <w:outlineLvl w:val="0"/>
        <w:rPr>
          <w:rStyle w:val="10"/>
          <w:rFonts w:ascii="黑体" w:eastAsia="黑体" w:hAnsi="黑体"/>
          <w:b w:val="0"/>
        </w:rPr>
      </w:pPr>
      <w:bookmarkStart w:id="91" w:name="_Toc15377226"/>
      <w:r>
        <w:rPr>
          <w:rFonts w:ascii="宋体"/>
          <w:b/>
          <w:color w:val="000000"/>
          <w:sz w:val="44"/>
          <w:szCs w:val="44"/>
        </w:rPr>
        <w:br w:type="page"/>
      </w:r>
      <w:bookmarkStart w:id="92" w:name="_Toc15396614"/>
      <w:bookmarkStart w:id="93" w:name="_Toc13752"/>
      <w:r>
        <w:rPr>
          <w:rFonts w:ascii="黑体" w:eastAsia="黑体" w:hAnsi="黑体" w:hint="eastAsia"/>
          <w:color w:val="000000"/>
          <w:sz w:val="44"/>
          <w:szCs w:val="44"/>
        </w:rPr>
        <w:lastRenderedPageBreak/>
        <w:t>第</w:t>
      </w:r>
      <w:r>
        <w:rPr>
          <w:rStyle w:val="10"/>
          <w:rFonts w:ascii="黑体" w:eastAsia="黑体" w:hAnsi="黑体" w:hint="eastAsia"/>
          <w:b w:val="0"/>
        </w:rPr>
        <w:t>四部分</w:t>
      </w:r>
      <w:r>
        <w:rPr>
          <w:rStyle w:val="10"/>
          <w:rFonts w:ascii="黑体" w:eastAsia="黑体" w:hAnsi="黑体"/>
          <w:b w:val="0"/>
        </w:rPr>
        <w:t xml:space="preserve"> </w:t>
      </w:r>
      <w:r>
        <w:rPr>
          <w:rStyle w:val="10"/>
          <w:rFonts w:ascii="黑体" w:eastAsia="黑体" w:hAnsi="黑体" w:hint="eastAsia"/>
          <w:b w:val="0"/>
        </w:rPr>
        <w:t>附件</w:t>
      </w:r>
      <w:bookmarkEnd w:id="92"/>
      <w:bookmarkEnd w:id="93"/>
    </w:p>
    <w:p w:rsidR="004C52FD" w:rsidRDefault="004C52FD">
      <w:pPr>
        <w:spacing w:line="600" w:lineRule="exact"/>
        <w:jc w:val="left"/>
        <w:outlineLvl w:val="0"/>
        <w:rPr>
          <w:rFonts w:ascii="方正小标宋简体" w:eastAsia="方正小标宋简体" w:hAnsi="方正小标宋简体" w:cs="方正小标宋简体"/>
          <w:sz w:val="32"/>
          <w:szCs w:val="32"/>
        </w:rPr>
      </w:pPr>
      <w:bookmarkStart w:id="94" w:name="_Toc23046"/>
      <w:r>
        <w:rPr>
          <w:rFonts w:ascii="黑体" w:eastAsia="黑体" w:hAnsi="黑体" w:cs="黑体" w:hint="eastAsia"/>
          <w:sz w:val="32"/>
          <w:szCs w:val="32"/>
        </w:rPr>
        <w:t>附件</w:t>
      </w:r>
      <w:r>
        <w:rPr>
          <w:rFonts w:ascii="黑体" w:eastAsia="黑体" w:hAnsi="黑体" w:cs="黑体"/>
          <w:sz w:val="32"/>
          <w:szCs w:val="32"/>
        </w:rPr>
        <w:t>1</w:t>
      </w:r>
      <w:bookmarkEnd w:id="94"/>
    </w:p>
    <w:p w:rsidR="004C52FD" w:rsidRDefault="004C52FD">
      <w:pPr>
        <w:spacing w:line="580" w:lineRule="exact"/>
        <w:jc w:val="center"/>
        <w:rPr>
          <w:rFonts w:ascii="方正小标宋简体" w:eastAsia="方正小标宋简体" w:hAnsi="方正小标宋简体" w:cs="方正小标宋简体"/>
          <w:sz w:val="44"/>
          <w:szCs w:val="44"/>
        </w:rPr>
      </w:pPr>
    </w:p>
    <w:p w:rsidR="004C52FD" w:rsidRDefault="004C52FD">
      <w:pPr>
        <w:spacing w:line="600" w:lineRule="exact"/>
        <w:jc w:val="center"/>
        <w:rPr>
          <w:rFonts w:ascii="方正小标宋简体" w:eastAsia="方正小标宋简体" w:hAnsi="宋体"/>
          <w:color w:val="000000"/>
          <w:kern w:val="0"/>
          <w:sz w:val="40"/>
          <w:szCs w:val="44"/>
          <w:lang w:val="zh-CN"/>
        </w:rPr>
      </w:pPr>
      <w:r>
        <w:rPr>
          <w:rFonts w:eastAsia="方正小标宋简体" w:hint="eastAsia"/>
          <w:color w:val="000000"/>
          <w:kern w:val="0"/>
          <w:sz w:val="40"/>
          <w:szCs w:val="44"/>
        </w:rPr>
        <w:t>攀枝花市铁路医院</w:t>
      </w:r>
      <w:r>
        <w:rPr>
          <w:rFonts w:ascii="方正小标宋简体" w:eastAsia="方正小标宋简体" w:hAnsi="宋体"/>
          <w:color w:val="000000"/>
          <w:kern w:val="0"/>
          <w:sz w:val="40"/>
          <w:szCs w:val="44"/>
        </w:rPr>
        <w:t>2020</w:t>
      </w:r>
      <w:r>
        <w:rPr>
          <w:rFonts w:ascii="方正小标宋简体" w:eastAsia="方正小标宋简体" w:hAnsi="宋体" w:hint="eastAsia"/>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p>
    <w:p w:rsidR="004C52FD" w:rsidRDefault="004C52FD">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4C52FD" w:rsidRDefault="004C52FD">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部门（单位）概况</w:t>
      </w:r>
    </w:p>
    <w:p w:rsidR="004C52FD" w:rsidRDefault="004C52FD">
      <w:pPr>
        <w:widowControl/>
        <w:adjustRightInd w:val="0"/>
        <w:snapToGrid w:val="0"/>
        <w:spacing w:line="580" w:lineRule="exact"/>
        <w:ind w:firstLineChars="200" w:firstLine="640"/>
        <w:jc w:val="left"/>
        <w:rPr>
          <w:rFonts w:eastAsia="仿宋_GB2312"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p>
    <w:p w:rsidR="004C52FD" w:rsidRDefault="004C52FD">
      <w:pPr>
        <w:spacing w:line="580" w:lineRule="exact"/>
        <w:ind w:firstLineChars="200" w:firstLine="640"/>
        <w:rPr>
          <w:rFonts w:ascii="仿宋_GB2312" w:eastAsia="仿宋_GB2312" w:hAnsi="宋体" w:cs="宋体"/>
          <w:color w:val="000000"/>
          <w:kern w:val="0"/>
          <w:sz w:val="32"/>
          <w:szCs w:val="32"/>
          <w:shd w:val="clear" w:color="auto" w:fill="FFFFFF"/>
          <w:lang w:val="zh-CN"/>
        </w:rPr>
      </w:pPr>
      <w:r>
        <w:rPr>
          <w:rFonts w:eastAsia="仿宋_GB2312"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我院系财政差额拨款事业单位，一级甲等综合医院设置了急诊科、体检中心、内科、外科、妇产科、康复科、影像科、检验科、药械科及机关后勤等科室，并管辖有密地卫生所和桐子林保健站。</w:t>
      </w:r>
    </w:p>
    <w:p w:rsidR="004C52FD" w:rsidRDefault="004C52FD">
      <w:pPr>
        <w:widowControl/>
        <w:numPr>
          <w:ilvl w:val="0"/>
          <w:numId w:val="5"/>
        </w:numPr>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机构职能。</w:t>
      </w:r>
    </w:p>
    <w:p w:rsidR="004C52FD" w:rsidRDefault="004C52FD">
      <w:pPr>
        <w:spacing w:line="580" w:lineRule="exact"/>
        <w:ind w:firstLineChars="200" w:firstLine="640"/>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2020</w:t>
      </w:r>
      <w:r>
        <w:rPr>
          <w:rFonts w:eastAsia="仿宋_GB2312" w:hint="eastAsia"/>
          <w:color w:val="000000"/>
          <w:kern w:val="0"/>
          <w:sz w:val="32"/>
          <w:szCs w:val="32"/>
          <w:shd w:val="clear" w:color="auto" w:fill="FFFFFF"/>
        </w:rPr>
        <w:t>年我院在市财政局、市卫计委、攀枝花市学院、市中西医结合医院、院党总支、院行政的领导下，完成了所管辖片区本年度的医疗、防疫、计免、计生、体检、旅客及路外伤人员救治等任务，为医疗覆盖片区人民的身体健康提供了有力的保障。</w:t>
      </w:r>
    </w:p>
    <w:p w:rsidR="004C52FD" w:rsidRDefault="004C52FD">
      <w:pPr>
        <w:widowControl/>
        <w:numPr>
          <w:ilvl w:val="0"/>
          <w:numId w:val="5"/>
        </w:numPr>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人员概况。</w:t>
      </w:r>
    </w:p>
    <w:p w:rsidR="004C52FD" w:rsidRDefault="004C52FD">
      <w:pPr>
        <w:spacing w:line="580" w:lineRule="exact"/>
        <w:ind w:firstLineChars="200" w:firstLine="640"/>
        <w:rPr>
          <w:rFonts w:eastAsia="仿宋_GB2312" w:hint="eastAsia"/>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我院年末职工人数</w:t>
      </w:r>
      <w:r>
        <w:rPr>
          <w:rFonts w:eastAsia="仿宋_GB2312" w:hint="eastAsia"/>
          <w:color w:val="000000"/>
          <w:kern w:val="0"/>
          <w:sz w:val="32"/>
          <w:szCs w:val="32"/>
          <w:shd w:val="clear" w:color="auto" w:fill="FFFFFF"/>
        </w:rPr>
        <w:t>94</w:t>
      </w:r>
      <w:r>
        <w:rPr>
          <w:rFonts w:eastAsia="仿宋_GB2312" w:hint="eastAsia"/>
          <w:color w:val="000000"/>
          <w:kern w:val="0"/>
          <w:sz w:val="32"/>
          <w:szCs w:val="32"/>
          <w:shd w:val="clear" w:color="auto" w:fill="FFFFFF"/>
        </w:rPr>
        <w:t>人，其中：在编人员</w:t>
      </w:r>
      <w:r>
        <w:rPr>
          <w:rFonts w:eastAsia="仿宋_GB2312" w:hint="eastAsia"/>
          <w:color w:val="000000"/>
          <w:kern w:val="0"/>
          <w:sz w:val="32"/>
          <w:szCs w:val="32"/>
          <w:shd w:val="clear" w:color="auto" w:fill="FFFFFF"/>
        </w:rPr>
        <w:t>59</w:t>
      </w:r>
      <w:r>
        <w:rPr>
          <w:rFonts w:eastAsia="仿宋_GB2312" w:hint="eastAsia"/>
          <w:color w:val="000000"/>
          <w:kern w:val="0"/>
          <w:sz w:val="32"/>
          <w:szCs w:val="32"/>
          <w:shd w:val="clear" w:color="auto" w:fill="FFFFFF"/>
        </w:rPr>
        <w:t>人，外聘人员</w:t>
      </w:r>
      <w:r>
        <w:rPr>
          <w:rFonts w:eastAsia="仿宋_GB2312" w:hint="eastAsia"/>
          <w:color w:val="000000"/>
          <w:kern w:val="0"/>
          <w:sz w:val="32"/>
          <w:szCs w:val="32"/>
          <w:shd w:val="clear" w:color="auto" w:fill="FFFFFF"/>
        </w:rPr>
        <w:t>35</w:t>
      </w:r>
      <w:r>
        <w:rPr>
          <w:rFonts w:eastAsia="仿宋_GB2312" w:hint="eastAsia"/>
          <w:color w:val="000000"/>
          <w:kern w:val="0"/>
          <w:sz w:val="32"/>
          <w:szCs w:val="32"/>
          <w:shd w:val="clear" w:color="auto" w:fill="FFFFFF"/>
        </w:rPr>
        <w:t>人；离退休人员</w:t>
      </w:r>
      <w:r>
        <w:rPr>
          <w:rFonts w:eastAsia="仿宋_GB2312" w:hint="eastAsia"/>
          <w:color w:val="000000"/>
          <w:kern w:val="0"/>
          <w:sz w:val="32"/>
          <w:szCs w:val="32"/>
          <w:shd w:val="clear" w:color="auto" w:fill="FFFFFF"/>
        </w:rPr>
        <w:t>95</w:t>
      </w:r>
      <w:r>
        <w:rPr>
          <w:rFonts w:eastAsia="仿宋_GB2312" w:hint="eastAsia"/>
          <w:color w:val="000000"/>
          <w:kern w:val="0"/>
          <w:sz w:val="32"/>
          <w:szCs w:val="32"/>
          <w:shd w:val="clear" w:color="auto" w:fill="FFFFFF"/>
        </w:rPr>
        <w:t>人，其中：离休</w:t>
      </w:r>
      <w:r>
        <w:rPr>
          <w:rFonts w:eastAsia="仿宋_GB2312" w:hint="eastAsia"/>
          <w:color w:val="000000"/>
          <w:kern w:val="0"/>
          <w:sz w:val="32"/>
          <w:szCs w:val="32"/>
          <w:shd w:val="clear" w:color="auto" w:fill="FFFFFF"/>
        </w:rPr>
        <w:t>1</w:t>
      </w:r>
      <w:r>
        <w:rPr>
          <w:rFonts w:eastAsia="仿宋_GB2312" w:hint="eastAsia"/>
          <w:color w:val="000000"/>
          <w:kern w:val="0"/>
          <w:sz w:val="32"/>
          <w:szCs w:val="32"/>
          <w:shd w:val="clear" w:color="auto" w:fill="FFFFFF"/>
        </w:rPr>
        <w:t>人，退休</w:t>
      </w:r>
      <w:r>
        <w:rPr>
          <w:rFonts w:eastAsia="仿宋_GB2312" w:hint="eastAsia"/>
          <w:color w:val="000000"/>
          <w:kern w:val="0"/>
          <w:sz w:val="32"/>
          <w:szCs w:val="32"/>
          <w:shd w:val="clear" w:color="auto" w:fill="FFFFFF"/>
        </w:rPr>
        <w:t>94</w:t>
      </w:r>
      <w:r>
        <w:rPr>
          <w:rFonts w:eastAsia="仿宋_GB2312" w:hint="eastAsia"/>
          <w:color w:val="000000"/>
          <w:kern w:val="0"/>
          <w:sz w:val="32"/>
          <w:szCs w:val="32"/>
          <w:shd w:val="clear" w:color="auto" w:fill="FFFFFF"/>
        </w:rPr>
        <w:t>人。</w:t>
      </w:r>
    </w:p>
    <w:p w:rsidR="004C52FD" w:rsidRDefault="004C52FD">
      <w:pPr>
        <w:widowControl/>
        <w:adjustRightInd w:val="0"/>
        <w:snapToGrid w:val="0"/>
        <w:spacing w:line="580" w:lineRule="exact"/>
        <w:ind w:leftChars="200" w:left="420"/>
        <w:contextualSpacing/>
        <w:jc w:val="left"/>
        <w:rPr>
          <w:rFonts w:ascii="仿宋_GB2312" w:eastAsia="仿宋_GB2312" w:hAnsi="宋体" w:cs="宋体"/>
          <w:color w:val="000000"/>
          <w:kern w:val="0"/>
          <w:sz w:val="32"/>
          <w:szCs w:val="32"/>
          <w:shd w:val="clear" w:color="auto" w:fill="FFFFFF"/>
        </w:rPr>
      </w:pPr>
    </w:p>
    <w:p w:rsidR="004C52FD" w:rsidRDefault="004C52FD">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lastRenderedPageBreak/>
        <w:t>二、部门财政资金收支情况</w:t>
      </w:r>
    </w:p>
    <w:p w:rsidR="004C52FD" w:rsidRDefault="004C52FD">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（一）部门财政资金收入情况。</w:t>
      </w:r>
    </w:p>
    <w:p w:rsidR="004C52FD" w:rsidRDefault="004C52FD">
      <w:pPr>
        <w:widowControl/>
        <w:adjustRightInd w:val="0"/>
        <w:snapToGrid w:val="0"/>
        <w:spacing w:line="580" w:lineRule="exact"/>
        <w:ind w:firstLineChars="200" w:firstLine="640"/>
        <w:jc w:val="left"/>
        <w:rPr>
          <w:rFonts w:ascii="仿宋_GB2312" w:eastAsia="仿宋_GB2312" w:hAnsi="宋体" w:cs="宋体" w:hint="eastAsia"/>
          <w:color w:val="000000"/>
          <w:kern w:val="0"/>
          <w:sz w:val="32"/>
          <w:szCs w:val="32"/>
          <w:shd w:val="clear" w:color="auto" w:fill="FFFFFF"/>
          <w:lang w:val="zh-CN"/>
        </w:rPr>
      </w:pPr>
      <w:r>
        <w:rPr>
          <w:rFonts w:eastAsia="仿宋_GB2312" w:hint="eastAsia"/>
          <w:color w:val="000000"/>
          <w:kern w:val="0"/>
          <w:sz w:val="32"/>
          <w:szCs w:val="32"/>
          <w:shd w:val="clear" w:color="auto" w:fill="FFFFFF"/>
        </w:rPr>
        <w:t>2020</w:t>
      </w:r>
      <w:r>
        <w:rPr>
          <w:rFonts w:eastAsia="仿宋_GB2312" w:hint="eastAsia"/>
          <w:color w:val="000000"/>
          <w:kern w:val="0"/>
          <w:sz w:val="32"/>
          <w:szCs w:val="32"/>
          <w:shd w:val="clear" w:color="auto" w:fill="FFFFFF"/>
        </w:rPr>
        <w:t>年财政资金收入总计</w:t>
      </w:r>
      <w:r>
        <w:rPr>
          <w:rFonts w:eastAsia="仿宋_GB2312" w:hint="eastAsia"/>
          <w:color w:val="000000"/>
          <w:kern w:val="0"/>
          <w:sz w:val="32"/>
          <w:szCs w:val="32"/>
          <w:shd w:val="clear" w:color="auto" w:fill="FFFFFF"/>
        </w:rPr>
        <w:t>588.33</w:t>
      </w:r>
      <w:r>
        <w:rPr>
          <w:rFonts w:eastAsia="仿宋_GB2312" w:hint="eastAsia"/>
          <w:color w:val="000000"/>
          <w:kern w:val="0"/>
          <w:sz w:val="32"/>
          <w:szCs w:val="32"/>
          <w:shd w:val="clear" w:color="auto" w:fill="FFFFFF"/>
        </w:rPr>
        <w:t>万元，其中一般公共预算财政拨款</w:t>
      </w:r>
      <w:r>
        <w:rPr>
          <w:rFonts w:eastAsia="仿宋_GB2312" w:hint="eastAsia"/>
          <w:color w:val="000000"/>
          <w:kern w:val="0"/>
          <w:sz w:val="32"/>
          <w:szCs w:val="32"/>
          <w:shd w:val="clear" w:color="auto" w:fill="FFFFFF"/>
        </w:rPr>
        <w:t>216.33</w:t>
      </w:r>
      <w:r>
        <w:rPr>
          <w:rFonts w:eastAsia="仿宋_GB2312" w:hint="eastAsia"/>
          <w:color w:val="000000"/>
          <w:kern w:val="0"/>
          <w:sz w:val="32"/>
          <w:szCs w:val="32"/>
          <w:shd w:val="clear" w:color="auto" w:fill="FFFFFF"/>
        </w:rPr>
        <w:t>万元，政府性基金预算财政拨款</w:t>
      </w:r>
      <w:r>
        <w:rPr>
          <w:rFonts w:eastAsia="仿宋_GB2312" w:hint="eastAsia"/>
          <w:color w:val="000000"/>
          <w:kern w:val="0"/>
          <w:sz w:val="32"/>
          <w:szCs w:val="32"/>
          <w:shd w:val="clear" w:color="auto" w:fill="FFFFFF"/>
        </w:rPr>
        <w:t>372</w:t>
      </w:r>
      <w:r>
        <w:rPr>
          <w:rFonts w:eastAsia="仿宋_GB2312" w:hint="eastAsia"/>
          <w:color w:val="000000"/>
          <w:kern w:val="0"/>
          <w:sz w:val="32"/>
          <w:szCs w:val="32"/>
          <w:shd w:val="clear" w:color="auto" w:fill="FFFFFF"/>
        </w:rPr>
        <w:t>万元。</w:t>
      </w:r>
    </w:p>
    <w:p w:rsidR="004C52FD" w:rsidRDefault="004C52FD">
      <w:pPr>
        <w:widowControl/>
        <w:numPr>
          <w:ilvl w:val="0"/>
          <w:numId w:val="6"/>
        </w:numPr>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部门财政资金支出情况。</w:t>
      </w:r>
    </w:p>
    <w:p w:rsidR="004C52FD" w:rsidRDefault="004C52FD">
      <w:pPr>
        <w:widowControl/>
        <w:adjustRightInd w:val="0"/>
        <w:snapToGrid w:val="0"/>
        <w:spacing w:line="580" w:lineRule="exact"/>
        <w:jc w:val="left"/>
        <w:rPr>
          <w:rFonts w:eastAsia="仿宋_GB2312" w:hint="eastAsia"/>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2020</w:t>
      </w:r>
      <w:r>
        <w:rPr>
          <w:rFonts w:eastAsia="仿宋_GB2312" w:hint="eastAsia"/>
          <w:color w:val="000000"/>
          <w:kern w:val="0"/>
          <w:sz w:val="32"/>
          <w:szCs w:val="32"/>
          <w:shd w:val="clear" w:color="auto" w:fill="FFFFFF"/>
        </w:rPr>
        <w:t>年财政资金支出总计</w:t>
      </w:r>
      <w:r>
        <w:rPr>
          <w:rFonts w:eastAsia="仿宋_GB2312" w:hint="eastAsia"/>
          <w:color w:val="000000"/>
          <w:kern w:val="0"/>
          <w:sz w:val="32"/>
          <w:szCs w:val="32"/>
          <w:shd w:val="clear" w:color="auto" w:fill="FFFFFF"/>
        </w:rPr>
        <w:t>582.87</w:t>
      </w:r>
      <w:r>
        <w:rPr>
          <w:rFonts w:eastAsia="仿宋_GB2312" w:hint="eastAsia"/>
          <w:color w:val="000000"/>
          <w:kern w:val="0"/>
          <w:sz w:val="32"/>
          <w:szCs w:val="32"/>
          <w:shd w:val="clear" w:color="auto" w:fill="FFFFFF"/>
        </w:rPr>
        <w:t>万元。其中一般公共预算财政拨款基本支出</w:t>
      </w:r>
      <w:r>
        <w:rPr>
          <w:rFonts w:eastAsia="仿宋_GB2312" w:hint="eastAsia"/>
          <w:color w:val="000000"/>
          <w:kern w:val="0"/>
          <w:sz w:val="32"/>
          <w:szCs w:val="32"/>
          <w:shd w:val="clear" w:color="auto" w:fill="FFFFFF"/>
        </w:rPr>
        <w:t>210.87</w:t>
      </w:r>
      <w:r>
        <w:rPr>
          <w:rFonts w:eastAsia="仿宋_GB2312" w:hint="eastAsia"/>
          <w:color w:val="000000"/>
          <w:kern w:val="0"/>
          <w:sz w:val="32"/>
          <w:szCs w:val="32"/>
          <w:shd w:val="clear" w:color="auto" w:fill="FFFFFF"/>
        </w:rPr>
        <w:t>万元，政府性基金预算财政拨款项目支出</w:t>
      </w:r>
      <w:r>
        <w:rPr>
          <w:rFonts w:eastAsia="仿宋_GB2312" w:hint="eastAsia"/>
          <w:color w:val="000000"/>
          <w:kern w:val="0"/>
          <w:sz w:val="32"/>
          <w:szCs w:val="32"/>
          <w:shd w:val="clear" w:color="auto" w:fill="FFFFFF"/>
        </w:rPr>
        <w:t>372</w:t>
      </w:r>
      <w:r>
        <w:rPr>
          <w:rFonts w:eastAsia="仿宋_GB2312" w:hint="eastAsia"/>
          <w:color w:val="000000"/>
          <w:kern w:val="0"/>
          <w:sz w:val="32"/>
          <w:szCs w:val="32"/>
          <w:shd w:val="clear" w:color="auto" w:fill="FFFFFF"/>
        </w:rPr>
        <w:t>万元。</w:t>
      </w:r>
    </w:p>
    <w:p w:rsidR="004C52FD" w:rsidRDefault="004C52FD">
      <w:pPr>
        <w:widowControl/>
        <w:adjustRightInd w:val="0"/>
        <w:snapToGrid w:val="0"/>
        <w:spacing w:line="580" w:lineRule="exact"/>
        <w:contextualSpacing/>
        <w:jc w:val="left"/>
        <w:rPr>
          <w:rFonts w:ascii="仿宋_GB2312" w:eastAsia="仿宋_GB2312" w:hAnsi="宋体" w:cs="宋体"/>
          <w:color w:val="000000"/>
          <w:kern w:val="0"/>
          <w:sz w:val="32"/>
          <w:szCs w:val="32"/>
          <w:shd w:val="clear" w:color="auto" w:fill="FFFFFF"/>
        </w:rPr>
      </w:pPr>
    </w:p>
    <w:p w:rsidR="004C52FD" w:rsidRDefault="004C52FD">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rsidR="004C52FD" w:rsidRDefault="004C52FD">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4C52FD" w:rsidRDefault="004C52FD">
      <w:pPr>
        <w:widowControl/>
        <w:adjustRightInd w:val="0"/>
        <w:snapToGrid w:val="0"/>
        <w:spacing w:line="580" w:lineRule="exact"/>
        <w:ind w:firstLineChars="200" w:firstLine="640"/>
        <w:jc w:val="left"/>
        <w:rPr>
          <w:rFonts w:eastAsia="仿宋_GB2312" w:hint="eastAsia"/>
          <w:color w:val="000000"/>
          <w:kern w:val="0"/>
          <w:sz w:val="32"/>
          <w:szCs w:val="32"/>
          <w:shd w:val="clear" w:color="auto" w:fill="FFFFFF"/>
        </w:rPr>
      </w:pPr>
      <w:r>
        <w:rPr>
          <w:rFonts w:eastAsia="仿宋_GB2312" w:hint="eastAsia"/>
          <w:color w:val="000000"/>
          <w:kern w:val="0"/>
          <w:sz w:val="32"/>
          <w:szCs w:val="32"/>
          <w:shd w:val="clear" w:color="auto" w:fill="FFFFFF"/>
        </w:rPr>
        <w:t>按照预算管理有关规定，厉行节俭，强化资金合理利用，按期保质完成预算编制。年初部门预算按计划完成。离退休人员费用</w:t>
      </w:r>
      <w:r>
        <w:rPr>
          <w:rFonts w:eastAsia="仿宋_GB2312" w:hint="eastAsia"/>
          <w:color w:val="000000"/>
          <w:kern w:val="0"/>
          <w:sz w:val="32"/>
          <w:szCs w:val="32"/>
          <w:shd w:val="clear" w:color="auto" w:fill="FFFFFF"/>
        </w:rPr>
        <w:t>171.15</w:t>
      </w:r>
      <w:r>
        <w:rPr>
          <w:rFonts w:eastAsia="仿宋_GB2312" w:hint="eastAsia"/>
          <w:color w:val="000000"/>
          <w:kern w:val="0"/>
          <w:sz w:val="32"/>
          <w:szCs w:val="32"/>
          <w:shd w:val="clear" w:color="auto" w:fill="FFFFFF"/>
        </w:rPr>
        <w:t>万元，超预算</w:t>
      </w:r>
      <w:r>
        <w:rPr>
          <w:rFonts w:eastAsia="仿宋_GB2312" w:hint="eastAsia"/>
          <w:color w:val="000000"/>
          <w:kern w:val="0"/>
          <w:sz w:val="32"/>
          <w:szCs w:val="32"/>
          <w:shd w:val="clear" w:color="auto" w:fill="FFFFFF"/>
        </w:rPr>
        <w:t>2.23</w:t>
      </w:r>
      <w:r>
        <w:rPr>
          <w:rFonts w:eastAsia="仿宋_GB2312" w:hint="eastAsia"/>
          <w:color w:val="000000"/>
          <w:kern w:val="0"/>
          <w:sz w:val="32"/>
          <w:szCs w:val="32"/>
          <w:shd w:val="clear" w:color="auto" w:fill="FFFFFF"/>
        </w:rPr>
        <w:t>万元，基本支出</w:t>
      </w:r>
      <w:r>
        <w:rPr>
          <w:rFonts w:eastAsia="仿宋_GB2312" w:hint="eastAsia"/>
          <w:color w:val="000000"/>
          <w:kern w:val="0"/>
          <w:sz w:val="32"/>
          <w:szCs w:val="32"/>
          <w:shd w:val="clear" w:color="auto" w:fill="FFFFFF"/>
        </w:rPr>
        <w:t>1044.45</w:t>
      </w:r>
      <w:r>
        <w:rPr>
          <w:rFonts w:eastAsia="仿宋_GB2312" w:hint="eastAsia"/>
          <w:color w:val="000000"/>
          <w:kern w:val="0"/>
          <w:sz w:val="32"/>
          <w:szCs w:val="32"/>
          <w:shd w:val="clear" w:color="auto" w:fill="FFFFFF"/>
        </w:rPr>
        <w:t>万元，超预算</w:t>
      </w:r>
      <w:r>
        <w:rPr>
          <w:rFonts w:eastAsia="仿宋_GB2312" w:hint="eastAsia"/>
          <w:color w:val="000000"/>
          <w:kern w:val="0"/>
          <w:sz w:val="32"/>
          <w:szCs w:val="32"/>
          <w:shd w:val="clear" w:color="auto" w:fill="FFFFFF"/>
        </w:rPr>
        <w:t>23.65</w:t>
      </w:r>
      <w:r>
        <w:rPr>
          <w:rFonts w:eastAsia="仿宋_GB2312" w:hint="eastAsia"/>
          <w:color w:val="000000"/>
          <w:kern w:val="0"/>
          <w:sz w:val="32"/>
          <w:szCs w:val="32"/>
          <w:shd w:val="clear" w:color="auto" w:fill="FFFFFF"/>
        </w:rPr>
        <w:t>万元。市级项目资金</w:t>
      </w:r>
      <w:r>
        <w:rPr>
          <w:rFonts w:eastAsia="仿宋_GB2312" w:hint="eastAsia"/>
          <w:color w:val="000000"/>
          <w:kern w:val="0"/>
          <w:sz w:val="32"/>
          <w:szCs w:val="32"/>
          <w:shd w:val="clear" w:color="auto" w:fill="FFFFFF"/>
        </w:rPr>
        <w:t>372</w:t>
      </w:r>
      <w:r>
        <w:rPr>
          <w:rFonts w:eastAsia="仿宋_GB2312" w:hint="eastAsia"/>
          <w:color w:val="000000"/>
          <w:kern w:val="0"/>
          <w:sz w:val="32"/>
          <w:szCs w:val="32"/>
          <w:shd w:val="clear" w:color="auto" w:fill="FFFFFF"/>
        </w:rPr>
        <w:t>万元按计划完成。</w:t>
      </w:r>
    </w:p>
    <w:p w:rsidR="004C52FD" w:rsidRDefault="004C52FD">
      <w:pPr>
        <w:widowControl/>
        <w:adjustRightInd w:val="0"/>
        <w:snapToGrid w:val="0"/>
        <w:spacing w:line="580" w:lineRule="exact"/>
        <w:ind w:firstLineChars="200" w:firstLine="640"/>
        <w:jc w:val="left"/>
        <w:rPr>
          <w:rFonts w:eastAsia="仿宋_GB2312" w:hint="eastAsia"/>
          <w:color w:val="000000"/>
          <w:kern w:val="0"/>
          <w:sz w:val="32"/>
          <w:szCs w:val="32"/>
          <w:shd w:val="clear" w:color="auto" w:fill="FFFFFF"/>
        </w:rPr>
      </w:pPr>
      <w:r>
        <w:rPr>
          <w:rFonts w:eastAsia="仿宋_GB2312" w:hint="eastAsia"/>
          <w:color w:val="000000"/>
          <w:kern w:val="0"/>
          <w:sz w:val="32"/>
          <w:szCs w:val="32"/>
          <w:shd w:val="clear" w:color="auto" w:fill="FFFFFF"/>
        </w:rPr>
        <w:t>市铁路医院严格按照预算执行，专款专用，预算编制准确严格控制支出无违规纪律。</w:t>
      </w:r>
    </w:p>
    <w:p w:rsidR="004C52FD" w:rsidRDefault="004C52FD">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 结果应用情况。</w:t>
      </w:r>
    </w:p>
    <w:p w:rsidR="004C52FD" w:rsidRDefault="004C52FD">
      <w:pPr>
        <w:widowControl/>
        <w:adjustRightInd w:val="0"/>
        <w:snapToGrid w:val="0"/>
        <w:spacing w:line="580" w:lineRule="exact"/>
        <w:ind w:firstLineChars="200" w:firstLine="640"/>
        <w:jc w:val="left"/>
        <w:rPr>
          <w:rFonts w:eastAsia="仿宋_GB2312" w:hint="eastAsia"/>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本单位严格遵守各项财经纪律，加强医院财务管理工作，制度了相关规章制度，加强和细化了预算编制，严格按照预算执行，确保财务收支平衡，加强了内部监督和控制，保障了医院工作正常开展和促进患者早日康复。</w:t>
      </w:r>
    </w:p>
    <w:p w:rsidR="004C52FD" w:rsidRDefault="004C52FD">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lastRenderedPageBreak/>
        <w:t>四、评价结论及建议</w:t>
      </w:r>
    </w:p>
    <w:p w:rsidR="004C52FD" w:rsidRDefault="004C52FD">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（一）评价结论。</w:t>
      </w:r>
    </w:p>
    <w:p w:rsidR="004C52FD" w:rsidRDefault="004C52FD">
      <w:pPr>
        <w:spacing w:line="580" w:lineRule="exact"/>
        <w:ind w:firstLineChars="200" w:firstLine="640"/>
        <w:rPr>
          <w:rFonts w:eastAsia="仿宋_GB2312" w:hint="eastAsia"/>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本单位在预算编制、预算执行和支出绩效方面，都严格按照规定执行，合理安排支出，使财政资金发挥最大效益。</w:t>
      </w:r>
    </w:p>
    <w:p w:rsidR="004C52FD" w:rsidRDefault="004C52FD">
      <w:pPr>
        <w:widowControl/>
        <w:numPr>
          <w:ilvl w:val="0"/>
          <w:numId w:val="7"/>
        </w:numPr>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存在问题。</w:t>
      </w:r>
    </w:p>
    <w:p w:rsidR="004C52FD" w:rsidRDefault="004C52FD">
      <w:pPr>
        <w:widowControl/>
        <w:adjustRightInd w:val="0"/>
        <w:snapToGrid w:val="0"/>
        <w:spacing w:line="580" w:lineRule="exact"/>
        <w:contextualSpacing/>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无</w:t>
      </w:r>
    </w:p>
    <w:p w:rsidR="004C52FD" w:rsidRDefault="004C52FD">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（三）改进建议。</w:t>
      </w:r>
    </w:p>
    <w:p w:rsidR="004C52FD" w:rsidRDefault="004C52FD">
      <w:pPr>
        <w:spacing w:line="580" w:lineRule="exact"/>
        <w:ind w:firstLineChars="200" w:firstLine="640"/>
        <w:rPr>
          <w:rFonts w:eastAsia="仿宋_GB2312" w:hint="eastAsia"/>
          <w:color w:val="000000"/>
          <w:kern w:val="0"/>
          <w:sz w:val="32"/>
          <w:szCs w:val="32"/>
          <w:shd w:val="clear" w:color="auto" w:fill="FFFFFF"/>
        </w:rPr>
      </w:pPr>
      <w:r>
        <w:rPr>
          <w:rFonts w:eastAsia="仿宋_GB2312" w:hint="eastAsia"/>
          <w:color w:val="000000"/>
          <w:kern w:val="0"/>
          <w:sz w:val="32"/>
          <w:szCs w:val="32"/>
          <w:shd w:val="clear" w:color="auto" w:fill="FFFFFF"/>
        </w:rPr>
        <w:t>本单位将进一步重视预算编制工作，提高预算编制精确度。</w:t>
      </w: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eastAsia="仿宋_GB2312" w:hint="eastAsia"/>
          <w:color w:val="000000"/>
          <w:kern w:val="0"/>
          <w:sz w:val="32"/>
          <w:szCs w:val="32"/>
          <w:shd w:val="clear" w:color="auto" w:fill="FFFFFF"/>
        </w:rPr>
      </w:pPr>
    </w:p>
    <w:p w:rsidR="004C52FD" w:rsidRDefault="004C52FD">
      <w:pPr>
        <w:spacing w:line="580" w:lineRule="exact"/>
        <w:ind w:firstLineChars="200" w:firstLine="640"/>
        <w:rPr>
          <w:rFonts w:ascii="仿宋_GB2312" w:eastAsia="仿宋_GB2312" w:hAnsi="仿宋_GB2312" w:cs="仿宋_GB2312" w:hint="eastAsia"/>
          <w:sz w:val="32"/>
          <w:szCs w:val="32"/>
        </w:rPr>
      </w:pPr>
    </w:p>
    <w:p w:rsidR="004C52FD" w:rsidRDefault="004C52FD">
      <w:pPr>
        <w:spacing w:line="580" w:lineRule="exact"/>
        <w:ind w:firstLineChars="200" w:firstLine="640"/>
        <w:rPr>
          <w:rFonts w:ascii="仿宋_GB2312" w:eastAsia="仿宋_GB2312" w:hAnsi="仿宋_GB2312" w:cs="仿宋_GB2312" w:hint="eastAsia"/>
          <w:sz w:val="32"/>
          <w:szCs w:val="32"/>
        </w:rPr>
      </w:pPr>
    </w:p>
    <w:p w:rsidR="004C52FD" w:rsidRDefault="004C52FD">
      <w:pPr>
        <w:spacing w:line="580" w:lineRule="exact"/>
        <w:ind w:firstLineChars="200" w:firstLine="640"/>
        <w:rPr>
          <w:rFonts w:ascii="仿宋_GB2312" w:eastAsia="仿宋_GB2312" w:hAnsi="仿宋_GB2312" w:cs="仿宋_GB2312" w:hint="eastAsia"/>
          <w:sz w:val="32"/>
          <w:szCs w:val="32"/>
        </w:rPr>
      </w:pPr>
    </w:p>
    <w:p w:rsidR="004C52FD" w:rsidRDefault="004C52FD">
      <w:pPr>
        <w:spacing w:line="580" w:lineRule="exact"/>
        <w:ind w:firstLineChars="200" w:firstLine="640"/>
        <w:rPr>
          <w:rFonts w:ascii="仿宋_GB2312" w:eastAsia="仿宋_GB2312" w:hAnsi="仿宋_GB2312" w:cs="仿宋_GB2312" w:hint="eastAsia"/>
          <w:sz w:val="32"/>
          <w:szCs w:val="32"/>
        </w:rPr>
      </w:pPr>
    </w:p>
    <w:p w:rsidR="004C52FD" w:rsidRDefault="004C52FD">
      <w:pPr>
        <w:spacing w:line="580" w:lineRule="exact"/>
        <w:rPr>
          <w:rFonts w:ascii="仿宋_GB2312" w:eastAsia="仿宋_GB2312" w:hAnsi="仿宋_GB2312" w:cs="仿宋_GB2312"/>
          <w:sz w:val="32"/>
          <w:szCs w:val="32"/>
        </w:rPr>
      </w:pPr>
      <w:r>
        <w:rPr>
          <w:rFonts w:ascii="黑体" w:eastAsia="黑体" w:hAnsi="黑体" w:cs="黑体" w:hint="eastAsia"/>
          <w:sz w:val="32"/>
          <w:szCs w:val="32"/>
        </w:rPr>
        <w:lastRenderedPageBreak/>
        <w:t>附件</w:t>
      </w:r>
      <w:r>
        <w:rPr>
          <w:rFonts w:ascii="黑体" w:eastAsia="黑体" w:hAnsi="黑体" w:cs="黑体"/>
          <w:sz w:val="32"/>
          <w:szCs w:val="32"/>
        </w:rPr>
        <w:t>2</w:t>
      </w:r>
    </w:p>
    <w:p w:rsidR="004C52FD" w:rsidRDefault="004C52FD">
      <w:pPr>
        <w:spacing w:line="580" w:lineRule="exact"/>
        <w:ind w:firstLineChars="200" w:firstLine="640"/>
        <w:rPr>
          <w:rFonts w:ascii="仿宋_GB2312" w:eastAsia="仿宋_GB2312" w:hAnsi="仿宋_GB2312" w:cs="仿宋_GB2312"/>
          <w:sz w:val="32"/>
          <w:szCs w:val="32"/>
        </w:rPr>
      </w:pPr>
    </w:p>
    <w:p w:rsidR="004C52FD" w:rsidRDefault="004C52FD">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“机关事业单位养老保险改革补助”</w:t>
      </w:r>
      <w:r>
        <w:rPr>
          <w:rFonts w:ascii="方正小标宋简体" w:eastAsia="方正小标宋简体" w:hAnsi="宋体"/>
          <w:color w:val="000000"/>
          <w:kern w:val="0"/>
          <w:sz w:val="44"/>
          <w:szCs w:val="44"/>
        </w:rPr>
        <w:t>2020</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4C52FD" w:rsidRDefault="004C52FD">
      <w:pPr>
        <w:spacing w:line="600" w:lineRule="exact"/>
        <w:rPr>
          <w:rFonts w:ascii="宋体"/>
          <w:sz w:val="32"/>
          <w:szCs w:val="32"/>
          <w:lang w:val="zh-CN"/>
        </w:rPr>
      </w:pPr>
    </w:p>
    <w:p w:rsidR="004C52FD" w:rsidRDefault="004C52FD">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4C52FD" w:rsidRDefault="004C52FD">
      <w:pPr>
        <w:adjustRightInd w:val="0"/>
        <w:snapToGrid w:val="0"/>
        <w:spacing w:line="600" w:lineRule="exact"/>
        <w:ind w:firstLine="720"/>
        <w:rPr>
          <w:rFonts w:eastAsia="仿宋_GB2312" w:hint="eastAsia"/>
          <w:sz w:val="32"/>
          <w:szCs w:val="32"/>
        </w:rPr>
      </w:pPr>
      <w:r>
        <w:rPr>
          <w:rFonts w:ascii="仿宋_GB2312" w:eastAsia="仿宋_GB2312" w:hAnsi="宋体"/>
          <w:sz w:val="32"/>
          <w:szCs w:val="32"/>
          <w:lang w:val="zh-CN"/>
        </w:rPr>
        <w:t>1</w:t>
      </w:r>
      <w:r>
        <w:rPr>
          <w:rFonts w:ascii="仿宋_GB2312" w:eastAsia="仿宋_GB2312" w:hAnsi="宋体" w:hint="eastAsia"/>
          <w:sz w:val="32"/>
          <w:szCs w:val="32"/>
          <w:lang w:val="zh-CN"/>
        </w:rPr>
        <w:t>．</w:t>
      </w:r>
      <w:r>
        <w:rPr>
          <w:rFonts w:eastAsia="仿宋_GB2312" w:hint="eastAsia"/>
          <w:sz w:val="32"/>
          <w:szCs w:val="32"/>
        </w:rPr>
        <w:t>攀枝花市铁路医院是财政差额拨款事业单位，该项目</w:t>
      </w:r>
      <w:r>
        <w:rPr>
          <w:rFonts w:eastAsia="仿宋_GB2312" w:hint="eastAsia"/>
          <w:sz w:val="32"/>
          <w:szCs w:val="32"/>
        </w:rPr>
        <w:t>101</w:t>
      </w:r>
      <w:r>
        <w:rPr>
          <w:rFonts w:eastAsia="仿宋_GB2312" w:hint="eastAsia"/>
          <w:sz w:val="32"/>
          <w:szCs w:val="32"/>
        </w:rPr>
        <w:t>万用于缴纳</w:t>
      </w:r>
      <w:r>
        <w:rPr>
          <w:rFonts w:eastAsia="仿宋_GB2312" w:hint="eastAsia"/>
          <w:sz w:val="32"/>
          <w:szCs w:val="32"/>
        </w:rPr>
        <w:t>2020</w:t>
      </w:r>
      <w:r>
        <w:rPr>
          <w:rFonts w:eastAsia="仿宋_GB2312" w:hint="eastAsia"/>
          <w:sz w:val="32"/>
          <w:szCs w:val="32"/>
        </w:rPr>
        <w:t>年在编</w:t>
      </w:r>
      <w:r>
        <w:rPr>
          <w:rFonts w:eastAsia="仿宋_GB2312" w:hint="eastAsia"/>
          <w:sz w:val="32"/>
          <w:szCs w:val="32"/>
        </w:rPr>
        <w:t>59</w:t>
      </w:r>
      <w:r>
        <w:rPr>
          <w:rFonts w:eastAsia="仿宋_GB2312" w:hint="eastAsia"/>
          <w:sz w:val="32"/>
          <w:szCs w:val="32"/>
        </w:rPr>
        <w:t>人的养老和职业年金，为提高资金使用效率，根据绩效评价开展工作，我院对财政项目资金专款专用。</w:t>
      </w:r>
    </w:p>
    <w:p w:rsidR="004C52FD" w:rsidRDefault="004C52FD">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2</w:t>
      </w:r>
      <w:r>
        <w:rPr>
          <w:rFonts w:ascii="仿宋_GB2312" w:eastAsia="仿宋_GB2312" w:hAnsi="宋体" w:hint="eastAsia"/>
          <w:sz w:val="32"/>
          <w:szCs w:val="32"/>
          <w:lang w:val="zh-CN"/>
        </w:rPr>
        <w:t>．</w:t>
      </w:r>
      <w:r>
        <w:rPr>
          <w:rFonts w:eastAsia="仿宋_GB2312" w:hint="eastAsia"/>
          <w:sz w:val="32"/>
          <w:szCs w:val="32"/>
          <w:lang w:val="zh-CN"/>
        </w:rPr>
        <w:t>项目立项、资金申报的依据</w:t>
      </w:r>
      <w:r>
        <w:rPr>
          <w:rFonts w:eastAsia="仿宋_GB2312" w:hint="eastAsia"/>
          <w:sz w:val="32"/>
          <w:szCs w:val="32"/>
        </w:rPr>
        <w:t>是参照</w:t>
      </w:r>
      <w:r>
        <w:rPr>
          <w:rFonts w:eastAsia="仿宋_GB2312" w:hint="eastAsia"/>
          <w:sz w:val="32"/>
          <w:szCs w:val="32"/>
        </w:rPr>
        <w:t>2019</w:t>
      </w:r>
      <w:r>
        <w:rPr>
          <w:rFonts w:eastAsia="仿宋_GB2312" w:hint="eastAsia"/>
          <w:sz w:val="32"/>
          <w:szCs w:val="32"/>
        </w:rPr>
        <w:t>年度申报缴纳在编人员单位部分养老和职业年金</w:t>
      </w:r>
      <w:r>
        <w:rPr>
          <w:rFonts w:eastAsia="仿宋_GB2312" w:hint="eastAsia"/>
          <w:sz w:val="32"/>
          <w:szCs w:val="32"/>
          <w:lang w:val="zh-CN"/>
        </w:rPr>
        <w:t>。</w:t>
      </w:r>
    </w:p>
    <w:p w:rsidR="004C52FD" w:rsidRDefault="004C52FD">
      <w:pPr>
        <w:adjustRightInd w:val="0"/>
        <w:snapToGrid w:val="0"/>
        <w:spacing w:line="600" w:lineRule="exact"/>
        <w:ind w:firstLine="720"/>
        <w:rPr>
          <w:rFonts w:eastAsia="仿宋_GB2312" w:hint="eastAsia"/>
          <w:sz w:val="32"/>
          <w:szCs w:val="32"/>
        </w:rPr>
      </w:pPr>
      <w:r>
        <w:rPr>
          <w:rFonts w:ascii="仿宋_GB2312" w:eastAsia="仿宋_GB2312" w:hAnsi="宋体"/>
          <w:sz w:val="32"/>
          <w:szCs w:val="32"/>
          <w:lang w:val="zh-CN"/>
        </w:rPr>
        <w:t>3</w:t>
      </w:r>
      <w:r>
        <w:rPr>
          <w:rFonts w:ascii="仿宋_GB2312" w:eastAsia="仿宋_GB2312" w:hAnsi="宋体" w:hint="eastAsia"/>
          <w:sz w:val="32"/>
          <w:szCs w:val="32"/>
          <w:lang w:val="zh-CN"/>
        </w:rPr>
        <w:t>．</w:t>
      </w:r>
      <w:r>
        <w:rPr>
          <w:rFonts w:eastAsia="仿宋_GB2312" w:hint="eastAsia"/>
          <w:sz w:val="32"/>
          <w:szCs w:val="32"/>
          <w:lang w:val="zh-CN"/>
        </w:rPr>
        <w:t>该项目资金全部用于支付本年度在编人员养老金和职业年金。</w:t>
      </w:r>
      <w:r>
        <w:rPr>
          <w:rFonts w:eastAsia="仿宋_GB2312" w:hint="eastAsia"/>
          <w:sz w:val="32"/>
          <w:szCs w:val="32"/>
        </w:rPr>
        <w:t>养老保险和职业年金按照职工工资数乘以</w:t>
      </w:r>
      <w:r>
        <w:rPr>
          <w:rFonts w:eastAsia="仿宋_GB2312" w:hint="eastAsia"/>
          <w:sz w:val="32"/>
          <w:szCs w:val="32"/>
        </w:rPr>
        <w:t>16%</w:t>
      </w:r>
      <w:r>
        <w:rPr>
          <w:rFonts w:eastAsia="仿宋_GB2312" w:hint="eastAsia"/>
          <w:sz w:val="32"/>
          <w:szCs w:val="32"/>
        </w:rPr>
        <w:t>申报。</w:t>
      </w:r>
    </w:p>
    <w:p w:rsidR="004C52FD" w:rsidRDefault="004C52FD">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4</w:t>
      </w:r>
      <w:r>
        <w:rPr>
          <w:rFonts w:ascii="仿宋_GB2312" w:eastAsia="仿宋_GB2312" w:hAnsi="宋体" w:hint="eastAsia"/>
          <w:sz w:val="32"/>
          <w:szCs w:val="32"/>
          <w:lang w:val="zh-CN"/>
        </w:rPr>
        <w:t>．</w:t>
      </w:r>
      <w:r>
        <w:rPr>
          <w:rFonts w:eastAsia="仿宋_GB2312" w:hint="eastAsia"/>
          <w:sz w:val="32"/>
          <w:szCs w:val="32"/>
          <w:lang w:val="zh-CN"/>
        </w:rPr>
        <w:t>资金分配的原则实行专款专用。</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4C52FD" w:rsidRDefault="004C52FD">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w:t>
      </w:r>
      <w:r>
        <w:rPr>
          <w:rFonts w:eastAsia="仿宋_GB2312" w:hint="eastAsia"/>
          <w:sz w:val="32"/>
          <w:szCs w:val="32"/>
        </w:rPr>
        <w:t>该项目用于完成</w:t>
      </w:r>
      <w:r>
        <w:rPr>
          <w:rFonts w:eastAsia="仿宋_GB2312" w:hint="eastAsia"/>
          <w:sz w:val="32"/>
          <w:szCs w:val="32"/>
        </w:rPr>
        <w:t>2020</w:t>
      </w:r>
      <w:r>
        <w:rPr>
          <w:rFonts w:eastAsia="仿宋_GB2312" w:hint="eastAsia"/>
          <w:sz w:val="32"/>
          <w:szCs w:val="32"/>
        </w:rPr>
        <w:t>年度缴纳在编人员机关事业单位养老保险和职业年金单位部分。</w:t>
      </w:r>
    </w:p>
    <w:p w:rsidR="004C52FD" w:rsidRDefault="004C52FD">
      <w:pPr>
        <w:adjustRightInd w:val="0"/>
        <w:snapToGrid w:val="0"/>
        <w:spacing w:line="600" w:lineRule="exact"/>
        <w:ind w:firstLine="720"/>
        <w:rPr>
          <w:rFonts w:eastAsia="仿宋_GB2312" w:hint="eastAsia"/>
          <w:sz w:val="32"/>
          <w:szCs w:val="32"/>
          <w:lang w:val="zh-CN"/>
        </w:rPr>
      </w:pPr>
      <w:r>
        <w:rPr>
          <w:rFonts w:ascii="仿宋_GB2312" w:eastAsia="仿宋_GB2312" w:hAnsi="宋体"/>
          <w:sz w:val="32"/>
          <w:szCs w:val="32"/>
          <w:lang w:val="zh-CN"/>
        </w:rPr>
        <w:t>2</w:t>
      </w:r>
      <w:r>
        <w:rPr>
          <w:rFonts w:ascii="仿宋_GB2312" w:eastAsia="仿宋_GB2312" w:hAnsi="宋体" w:hint="eastAsia"/>
          <w:sz w:val="32"/>
          <w:szCs w:val="32"/>
          <w:lang w:val="zh-CN"/>
        </w:rPr>
        <w:t>．</w:t>
      </w:r>
      <w:r>
        <w:rPr>
          <w:rFonts w:eastAsia="仿宋_GB2312" w:hint="eastAsia"/>
          <w:sz w:val="32"/>
          <w:szCs w:val="32"/>
        </w:rPr>
        <w:t>该项目按预算控制完成，完成质量优，</w:t>
      </w:r>
      <w:r>
        <w:rPr>
          <w:rFonts w:eastAsia="仿宋_GB2312" w:hint="eastAsia"/>
          <w:sz w:val="32"/>
          <w:szCs w:val="32"/>
          <w:lang w:val="zh-CN"/>
        </w:rPr>
        <w:t>职工满意度</w:t>
      </w:r>
      <w:r>
        <w:rPr>
          <w:rFonts w:eastAsia="仿宋_GB2312" w:hint="eastAsia"/>
          <w:sz w:val="32"/>
          <w:szCs w:val="32"/>
          <w:lang w:val="zh-CN"/>
        </w:rPr>
        <w:t>100%</w:t>
      </w:r>
      <w:r>
        <w:rPr>
          <w:rFonts w:eastAsia="仿宋_GB2312" w:hint="eastAsia"/>
          <w:sz w:val="32"/>
          <w:szCs w:val="32"/>
          <w:lang w:val="zh-CN"/>
        </w:rPr>
        <w:t>。</w:t>
      </w:r>
    </w:p>
    <w:p w:rsidR="004C52FD" w:rsidRDefault="004C52FD">
      <w:pPr>
        <w:adjustRightInd w:val="0"/>
        <w:snapToGrid w:val="0"/>
        <w:spacing w:line="600" w:lineRule="exact"/>
        <w:ind w:firstLine="720"/>
        <w:rPr>
          <w:rFonts w:eastAsia="仿宋_GB2312"/>
          <w:sz w:val="32"/>
          <w:szCs w:val="32"/>
          <w:lang w:val="zh-CN"/>
        </w:rPr>
      </w:pPr>
      <w:r>
        <w:rPr>
          <w:rFonts w:ascii="仿宋_GB2312" w:eastAsia="仿宋_GB2312" w:hAnsi="宋体"/>
          <w:sz w:val="32"/>
          <w:szCs w:val="32"/>
          <w:lang w:val="zh-CN"/>
        </w:rPr>
        <w:t>3</w:t>
      </w:r>
      <w:r>
        <w:rPr>
          <w:rFonts w:ascii="仿宋_GB2312" w:eastAsia="仿宋_GB2312" w:hAnsi="宋体" w:hint="eastAsia"/>
          <w:sz w:val="32"/>
          <w:szCs w:val="32"/>
          <w:lang w:val="zh-CN"/>
        </w:rPr>
        <w:t>．</w:t>
      </w:r>
      <w:r>
        <w:rPr>
          <w:rFonts w:eastAsia="仿宋_GB2312" w:hint="eastAsia"/>
          <w:sz w:val="32"/>
          <w:szCs w:val="32"/>
          <w:lang w:val="zh-CN"/>
        </w:rPr>
        <w:t>分析评价申报内容与实际相符，申报目标</w:t>
      </w:r>
      <w:r>
        <w:rPr>
          <w:rFonts w:eastAsia="仿宋_GB2312" w:hint="eastAsia"/>
          <w:sz w:val="32"/>
          <w:szCs w:val="32"/>
        </w:rPr>
        <w:t>是</w:t>
      </w:r>
      <w:r>
        <w:rPr>
          <w:rFonts w:eastAsia="仿宋_GB2312" w:hint="eastAsia"/>
          <w:sz w:val="32"/>
          <w:szCs w:val="32"/>
          <w:lang w:val="zh-CN"/>
        </w:rPr>
        <w:t>合理可</w:t>
      </w:r>
      <w:r>
        <w:rPr>
          <w:rFonts w:eastAsia="仿宋_GB2312" w:hint="eastAsia"/>
          <w:sz w:val="32"/>
          <w:szCs w:val="32"/>
          <w:lang w:val="zh-CN"/>
        </w:rPr>
        <w:lastRenderedPageBreak/>
        <w:t>行。</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4C52FD" w:rsidRDefault="004C52FD">
      <w:pPr>
        <w:adjustRightInd w:val="0"/>
        <w:snapToGrid w:val="0"/>
        <w:spacing w:line="600" w:lineRule="exact"/>
        <w:ind w:firstLine="720"/>
        <w:rPr>
          <w:rFonts w:eastAsia="仿宋_GB2312" w:hint="eastAsia"/>
          <w:sz w:val="32"/>
          <w:szCs w:val="32"/>
        </w:rPr>
      </w:pPr>
      <w:r>
        <w:rPr>
          <w:rFonts w:eastAsia="仿宋_GB2312" w:hint="eastAsia"/>
          <w:sz w:val="32"/>
          <w:szCs w:val="32"/>
        </w:rPr>
        <w:t>按社保要求每月初在社保系统网上缴纳养老保险，银行转账缴纳职业年金。</w:t>
      </w:r>
    </w:p>
    <w:p w:rsidR="004C52FD" w:rsidRDefault="004C52FD">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4C52FD" w:rsidRDefault="004C52FD">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该项目资金申报及批复程序严格按市财政规定进行。攀枝花市铁路医院项目资金按市财政统一的预算工作安排编制、上报，经市财政审核批复后实施，如有预算调整按市财政规定执行。</w:t>
      </w:r>
    </w:p>
    <w:p w:rsidR="004C52FD" w:rsidRDefault="004C52FD">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4C52FD" w:rsidRDefault="004C52FD">
      <w:pPr>
        <w:adjustRightInd w:val="0"/>
        <w:snapToGrid w:val="0"/>
        <w:spacing w:line="600" w:lineRule="exact"/>
        <w:ind w:firstLine="720"/>
        <w:rPr>
          <w:rFonts w:eastAsia="仿宋_GB2312"/>
          <w:sz w:val="32"/>
          <w:szCs w:val="32"/>
          <w:lang w:val="zh-CN"/>
        </w:rPr>
      </w:pPr>
      <w:r>
        <w:rPr>
          <w:rFonts w:eastAsia="楷体_GB2312" w:hint="eastAsia"/>
          <w:sz w:val="32"/>
          <w:szCs w:val="32"/>
        </w:rPr>
        <w:t>该项目计划</w:t>
      </w:r>
      <w:r>
        <w:rPr>
          <w:rFonts w:eastAsia="楷体_GB2312" w:hint="eastAsia"/>
          <w:sz w:val="32"/>
          <w:szCs w:val="32"/>
        </w:rPr>
        <w:t>101</w:t>
      </w:r>
      <w:r>
        <w:rPr>
          <w:rFonts w:eastAsia="楷体_GB2312" w:hint="eastAsia"/>
          <w:sz w:val="32"/>
          <w:szCs w:val="32"/>
        </w:rPr>
        <w:t>万元，资金全部到位，用于缴纳</w:t>
      </w:r>
      <w:r>
        <w:rPr>
          <w:rFonts w:eastAsia="楷体_GB2312" w:hint="eastAsia"/>
          <w:sz w:val="32"/>
          <w:szCs w:val="32"/>
        </w:rPr>
        <w:t>2020</w:t>
      </w:r>
      <w:r>
        <w:rPr>
          <w:rFonts w:eastAsia="楷体_GB2312" w:hint="eastAsia"/>
          <w:sz w:val="32"/>
          <w:szCs w:val="32"/>
        </w:rPr>
        <w:t>年在编人员</w:t>
      </w:r>
      <w:r>
        <w:rPr>
          <w:rFonts w:eastAsia="楷体_GB2312" w:hint="eastAsia"/>
          <w:sz w:val="32"/>
          <w:szCs w:val="32"/>
        </w:rPr>
        <w:t>59</w:t>
      </w:r>
      <w:r>
        <w:rPr>
          <w:rFonts w:eastAsia="楷体_GB2312" w:hint="eastAsia"/>
          <w:sz w:val="32"/>
          <w:szCs w:val="32"/>
        </w:rPr>
        <w:t>人养老保险金</w:t>
      </w:r>
      <w:r>
        <w:rPr>
          <w:rFonts w:eastAsia="楷体_GB2312" w:hint="eastAsia"/>
          <w:sz w:val="32"/>
          <w:szCs w:val="32"/>
        </w:rPr>
        <w:t>70</w:t>
      </w:r>
      <w:r>
        <w:rPr>
          <w:rFonts w:eastAsia="楷体_GB2312" w:hint="eastAsia"/>
          <w:sz w:val="32"/>
          <w:szCs w:val="32"/>
        </w:rPr>
        <w:t>万元，缴纳在编人员</w:t>
      </w:r>
      <w:r>
        <w:rPr>
          <w:rFonts w:eastAsia="楷体_GB2312" w:hint="eastAsia"/>
          <w:sz w:val="32"/>
          <w:szCs w:val="32"/>
        </w:rPr>
        <w:t>59</w:t>
      </w:r>
      <w:r>
        <w:rPr>
          <w:rFonts w:eastAsia="楷体_GB2312" w:hint="eastAsia"/>
          <w:sz w:val="32"/>
          <w:szCs w:val="32"/>
        </w:rPr>
        <w:t>人职业年金</w:t>
      </w:r>
      <w:r>
        <w:rPr>
          <w:rFonts w:eastAsia="楷体_GB2312" w:hint="eastAsia"/>
          <w:sz w:val="32"/>
          <w:szCs w:val="32"/>
        </w:rPr>
        <w:t>31</w:t>
      </w:r>
      <w:r>
        <w:rPr>
          <w:rFonts w:eastAsia="楷体_GB2312" w:hint="eastAsia"/>
          <w:sz w:val="32"/>
          <w:szCs w:val="32"/>
        </w:rPr>
        <w:t>万元</w:t>
      </w:r>
      <w:r>
        <w:rPr>
          <w:rFonts w:eastAsia="楷体_GB2312" w:hint="eastAsia"/>
          <w:sz w:val="32"/>
          <w:szCs w:val="32"/>
          <w:lang w:val="zh-CN"/>
        </w:rPr>
        <w:t>．</w:t>
      </w:r>
      <w:r>
        <w:rPr>
          <w:rFonts w:eastAsia="楷体_GB2312" w:hint="eastAsia"/>
          <w:sz w:val="32"/>
          <w:szCs w:val="32"/>
        </w:rPr>
        <w:t>该项目</w:t>
      </w:r>
      <w:r>
        <w:rPr>
          <w:rFonts w:eastAsia="仿宋_GB2312" w:hint="eastAsia"/>
          <w:sz w:val="32"/>
          <w:szCs w:val="32"/>
          <w:lang w:val="zh-CN"/>
        </w:rPr>
        <w:t>资金支付范围合理、</w:t>
      </w:r>
      <w:r>
        <w:rPr>
          <w:rFonts w:eastAsia="仿宋_GB2312" w:hint="eastAsia"/>
          <w:sz w:val="32"/>
          <w:szCs w:val="32"/>
        </w:rPr>
        <w:t>合</w:t>
      </w:r>
      <w:r>
        <w:rPr>
          <w:rFonts w:eastAsia="仿宋_GB2312" w:hint="eastAsia"/>
          <w:sz w:val="32"/>
          <w:szCs w:val="32"/>
          <w:lang w:val="zh-CN"/>
        </w:rPr>
        <w:t>标准、</w:t>
      </w:r>
      <w:r>
        <w:rPr>
          <w:rFonts w:eastAsia="仿宋_GB2312" w:hint="eastAsia"/>
          <w:sz w:val="32"/>
          <w:szCs w:val="32"/>
        </w:rPr>
        <w:t>合</w:t>
      </w:r>
      <w:r>
        <w:rPr>
          <w:rFonts w:eastAsia="仿宋_GB2312" w:hint="eastAsia"/>
          <w:sz w:val="32"/>
          <w:szCs w:val="32"/>
          <w:lang w:val="zh-CN"/>
        </w:rPr>
        <w:t>进度，支付依据合规合法，与预算相符。</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4C52FD" w:rsidRDefault="004C52FD">
      <w:pPr>
        <w:adjustRightInd w:val="0"/>
        <w:snapToGrid w:val="0"/>
        <w:spacing w:line="600" w:lineRule="exact"/>
        <w:ind w:firstLine="720"/>
        <w:rPr>
          <w:rFonts w:eastAsia="仿宋_GB2312"/>
          <w:sz w:val="32"/>
          <w:szCs w:val="32"/>
          <w:lang w:val="zh-CN"/>
        </w:rPr>
      </w:pPr>
      <w:r>
        <w:rPr>
          <w:rFonts w:eastAsia="仿宋_GB2312" w:hint="eastAsia"/>
          <w:sz w:val="32"/>
          <w:szCs w:val="32"/>
        </w:rPr>
        <w:t>本单位</w:t>
      </w:r>
      <w:r>
        <w:rPr>
          <w:rFonts w:eastAsia="仿宋_GB2312" w:hint="eastAsia"/>
          <w:sz w:val="32"/>
          <w:szCs w:val="32"/>
          <w:lang w:val="zh-CN"/>
        </w:rPr>
        <w:t>财务管理制度健全，严格执行财务管理制度，账务处理及时，会计核算规范。</w:t>
      </w:r>
    </w:p>
    <w:p w:rsidR="004C52FD" w:rsidRDefault="004C52FD">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4C52FD" w:rsidRDefault="004C52FD">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结合项目组织实施管理办法，经过分析，</w:t>
      </w:r>
      <w:r>
        <w:rPr>
          <w:rFonts w:eastAsia="仿宋_GB2312" w:hint="eastAsia"/>
          <w:sz w:val="32"/>
          <w:szCs w:val="32"/>
        </w:rPr>
        <w:t>未</w:t>
      </w:r>
      <w:r>
        <w:rPr>
          <w:rFonts w:eastAsia="仿宋_GB2312" w:hint="eastAsia"/>
          <w:sz w:val="32"/>
          <w:szCs w:val="32"/>
          <w:lang w:val="zh-CN"/>
        </w:rPr>
        <w:t>发现问题。</w:t>
      </w:r>
    </w:p>
    <w:p w:rsidR="004C52FD" w:rsidRDefault="004C52FD">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（一）项目组织架构及实施流程。</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eastAsia="楷体_GB2312" w:hint="eastAsia"/>
          <w:bCs/>
          <w:sz w:val="32"/>
          <w:szCs w:val="32"/>
          <w:lang w:val="zh-CN"/>
        </w:rPr>
        <w:t>按规定组织及实施。</w:t>
      </w:r>
    </w:p>
    <w:p w:rsidR="004C52FD" w:rsidRDefault="004C52FD">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（二）项目管理情况。</w:t>
      </w:r>
    </w:p>
    <w:p w:rsidR="004C52FD" w:rsidRDefault="004C52FD">
      <w:pPr>
        <w:adjustRightInd w:val="0"/>
        <w:snapToGrid w:val="0"/>
        <w:spacing w:line="600" w:lineRule="exact"/>
        <w:ind w:firstLine="720"/>
        <w:rPr>
          <w:rFonts w:eastAsia="仿宋_GB2312" w:hint="eastAsia"/>
          <w:sz w:val="32"/>
          <w:szCs w:val="32"/>
          <w:lang w:val="zh-CN"/>
        </w:rPr>
      </w:pPr>
      <w:r>
        <w:rPr>
          <w:rFonts w:eastAsia="仿宋_GB2312" w:hint="eastAsia"/>
          <w:sz w:val="32"/>
          <w:szCs w:val="32"/>
          <w:lang w:val="zh-CN"/>
        </w:rPr>
        <w:lastRenderedPageBreak/>
        <w:t>按相关规定执行。财务部门根据医保部门提供的缴纳金额，在该项目资金范围内按月缴纳本年度在编人员养老金及职业年金。</w:t>
      </w:r>
    </w:p>
    <w:p w:rsidR="004C52FD" w:rsidRDefault="004C52FD">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（三）项目监管情况。</w:t>
      </w:r>
    </w:p>
    <w:p w:rsidR="004C52FD" w:rsidRDefault="004C52FD">
      <w:pPr>
        <w:adjustRightInd w:val="0"/>
        <w:snapToGrid w:val="0"/>
        <w:spacing w:line="600" w:lineRule="exact"/>
        <w:ind w:firstLine="720"/>
        <w:rPr>
          <w:rFonts w:ascii="仿宋_GB2312" w:eastAsia="仿宋_GB2312" w:hAnsi="宋体" w:hint="eastAsia"/>
          <w:sz w:val="32"/>
          <w:szCs w:val="32"/>
          <w:lang w:val="zh-CN"/>
        </w:rPr>
      </w:pPr>
      <w:r>
        <w:rPr>
          <w:rFonts w:eastAsia="仿宋_GB2312" w:hint="eastAsia"/>
          <w:sz w:val="32"/>
          <w:szCs w:val="32"/>
          <w:lang w:val="zh-CN"/>
        </w:rPr>
        <w:t>财务部门和</w:t>
      </w:r>
      <w:r>
        <w:rPr>
          <w:rFonts w:eastAsia="仿宋_GB2312" w:hint="eastAsia"/>
          <w:sz w:val="32"/>
          <w:szCs w:val="32"/>
        </w:rPr>
        <w:t>社</w:t>
      </w:r>
      <w:r>
        <w:rPr>
          <w:rFonts w:eastAsia="仿宋_GB2312" w:hint="eastAsia"/>
          <w:sz w:val="32"/>
          <w:szCs w:val="32"/>
          <w:lang w:val="zh-CN"/>
        </w:rPr>
        <w:t>保部门按期对账，发现问题及时纠正。</w:t>
      </w:r>
    </w:p>
    <w:p w:rsidR="004C52FD" w:rsidRDefault="004C52FD">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sz w:val="32"/>
          <w:szCs w:val="32"/>
          <w:lang w:val="zh-CN"/>
        </w:rPr>
        <w:tab/>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4C52FD" w:rsidRDefault="004C52FD">
      <w:pPr>
        <w:adjustRightInd w:val="0"/>
        <w:snapToGrid w:val="0"/>
        <w:spacing w:line="600" w:lineRule="exact"/>
        <w:ind w:firstLine="720"/>
        <w:rPr>
          <w:rFonts w:eastAsia="仿宋_GB2312" w:hint="eastAsia"/>
          <w:sz w:val="32"/>
          <w:szCs w:val="32"/>
          <w:lang w:val="zh-CN"/>
        </w:rPr>
      </w:pPr>
      <w:r>
        <w:rPr>
          <w:rFonts w:eastAsia="仿宋_GB2312" w:hint="eastAsia"/>
          <w:sz w:val="32"/>
          <w:szCs w:val="32"/>
          <w:lang w:val="zh-CN"/>
        </w:rPr>
        <w:t>完成在编人员</w:t>
      </w:r>
      <w:r>
        <w:rPr>
          <w:rFonts w:eastAsia="仿宋_GB2312" w:hint="eastAsia"/>
          <w:sz w:val="32"/>
          <w:szCs w:val="32"/>
          <w:lang w:val="zh-CN"/>
        </w:rPr>
        <w:t>5</w:t>
      </w:r>
      <w:r>
        <w:rPr>
          <w:rFonts w:eastAsia="仿宋_GB2312" w:hint="eastAsia"/>
          <w:sz w:val="32"/>
          <w:szCs w:val="32"/>
        </w:rPr>
        <w:t>9</w:t>
      </w:r>
      <w:r>
        <w:rPr>
          <w:rFonts w:eastAsia="仿宋_GB2312" w:hint="eastAsia"/>
          <w:sz w:val="32"/>
          <w:szCs w:val="32"/>
          <w:lang w:val="zh-CN"/>
        </w:rPr>
        <w:t>人员的机关事业单位养老保险和职业年金缴纳社会</w:t>
      </w:r>
      <w:r>
        <w:rPr>
          <w:rFonts w:eastAsia="仿宋_GB2312" w:hint="eastAsia"/>
          <w:sz w:val="32"/>
          <w:szCs w:val="32"/>
        </w:rPr>
        <w:t>,</w:t>
      </w:r>
      <w:r>
        <w:rPr>
          <w:rFonts w:eastAsia="仿宋_GB2312" w:hint="eastAsia"/>
          <w:sz w:val="32"/>
          <w:szCs w:val="32"/>
          <w:lang w:val="zh-CN"/>
        </w:rPr>
        <w:t xml:space="preserve"> </w:t>
      </w:r>
      <w:r>
        <w:rPr>
          <w:rFonts w:eastAsia="仿宋_GB2312" w:hint="eastAsia"/>
          <w:sz w:val="32"/>
          <w:szCs w:val="32"/>
          <w:lang w:val="zh-CN"/>
        </w:rPr>
        <w:t>保障编内职工基本养老金和职业年金的缴纳。</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4C52FD" w:rsidRDefault="004C52FD">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该项目从经济效益上补充人员成本费用、社会效益、可持续效益</w:t>
      </w:r>
      <w:r>
        <w:rPr>
          <w:rFonts w:eastAsia="仿宋_GB2312" w:hint="eastAsia"/>
          <w:sz w:val="32"/>
          <w:szCs w:val="32"/>
        </w:rPr>
        <w:t>上</w:t>
      </w:r>
      <w:r>
        <w:rPr>
          <w:rFonts w:eastAsia="仿宋_GB2312" w:hint="eastAsia"/>
          <w:sz w:val="32"/>
          <w:szCs w:val="32"/>
          <w:lang w:val="zh-CN"/>
        </w:rPr>
        <w:t>保障职工养老金和职业年金正常缴纳、职工满意度</w:t>
      </w:r>
      <w:r>
        <w:rPr>
          <w:rFonts w:eastAsia="仿宋_GB2312" w:hint="eastAsia"/>
          <w:sz w:val="32"/>
          <w:szCs w:val="32"/>
        </w:rPr>
        <w:t>100%</w:t>
      </w:r>
      <w:r>
        <w:rPr>
          <w:rFonts w:eastAsia="仿宋_GB2312" w:hint="eastAsia"/>
          <w:sz w:val="32"/>
          <w:szCs w:val="32"/>
          <w:lang w:val="zh-CN"/>
        </w:rPr>
        <w:t>全面分析评价。</w:t>
      </w:r>
    </w:p>
    <w:p w:rsidR="004C52FD" w:rsidRDefault="004C52FD">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4C52FD" w:rsidRDefault="004C52FD">
      <w:pPr>
        <w:adjustRightInd w:val="0"/>
        <w:snapToGrid w:val="0"/>
        <w:spacing w:line="600" w:lineRule="exact"/>
        <w:ind w:firstLine="720"/>
        <w:rPr>
          <w:rFonts w:eastAsia="仿宋_GB2312" w:hint="eastAsia"/>
          <w:sz w:val="32"/>
          <w:szCs w:val="32"/>
        </w:rPr>
      </w:pPr>
      <w:r>
        <w:rPr>
          <w:rFonts w:eastAsia="仿宋_GB2312" w:hint="eastAsia"/>
          <w:sz w:val="32"/>
          <w:szCs w:val="32"/>
        </w:rPr>
        <w:t>完成了本单位</w:t>
      </w:r>
      <w:r>
        <w:rPr>
          <w:rFonts w:eastAsia="仿宋_GB2312" w:hint="eastAsia"/>
          <w:sz w:val="32"/>
          <w:szCs w:val="32"/>
        </w:rPr>
        <w:t>2020</w:t>
      </w:r>
      <w:r>
        <w:rPr>
          <w:rFonts w:eastAsia="仿宋_GB2312" w:hint="eastAsia"/>
          <w:sz w:val="32"/>
          <w:szCs w:val="32"/>
        </w:rPr>
        <w:t>年度机关事业单位养老保险和职业年金缴纳。</w:t>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4C52FD" w:rsidRDefault="004C52FD">
      <w:pPr>
        <w:adjustRightInd w:val="0"/>
        <w:snapToGrid w:val="0"/>
        <w:spacing w:line="600" w:lineRule="exact"/>
        <w:ind w:firstLineChars="200" w:firstLine="640"/>
        <w:rPr>
          <w:rFonts w:ascii="仿宋_GB2312" w:eastAsia="仿宋_GB2312" w:hAnsi="宋体"/>
          <w:sz w:val="32"/>
          <w:szCs w:val="32"/>
          <w:lang w:val="zh-CN"/>
        </w:rPr>
      </w:pPr>
      <w:r>
        <w:rPr>
          <w:rFonts w:eastAsia="仿宋_GB2312" w:hint="eastAsia"/>
          <w:sz w:val="32"/>
          <w:szCs w:val="32"/>
        </w:rPr>
        <w:t>无</w:t>
      </w:r>
      <w:r>
        <w:rPr>
          <w:rFonts w:ascii="仿宋_GB2312" w:eastAsia="仿宋_GB2312" w:hAnsi="宋体"/>
          <w:sz w:val="32"/>
          <w:szCs w:val="32"/>
          <w:lang w:val="zh-CN"/>
        </w:rPr>
        <w:tab/>
      </w:r>
    </w:p>
    <w:p w:rsidR="004C52FD" w:rsidRDefault="004C52F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4C52FD" w:rsidRDefault="004C52FD">
      <w:pPr>
        <w:spacing w:line="580" w:lineRule="exact"/>
        <w:ind w:firstLine="640"/>
        <w:rPr>
          <w:rFonts w:ascii="仿宋_GB2312" w:eastAsia="仿宋_GB2312" w:hAnsi="仿宋_GB2312" w:cs="仿宋_GB2312"/>
          <w:sz w:val="32"/>
          <w:szCs w:val="32"/>
        </w:rPr>
      </w:pPr>
      <w:r>
        <w:rPr>
          <w:rFonts w:eastAsia="仿宋_GB2312" w:hint="eastAsia"/>
          <w:sz w:val="32"/>
          <w:szCs w:val="32"/>
        </w:rPr>
        <w:t>无</w:t>
      </w:r>
    </w:p>
    <w:p w:rsidR="004C52FD" w:rsidRDefault="004C52FD">
      <w:pPr>
        <w:widowControl/>
        <w:jc w:val="left"/>
        <w:rPr>
          <w:rStyle w:val="10"/>
          <w:rFonts w:ascii="黑体" w:eastAsia="黑体" w:hAnsi="黑体" w:hint="eastAsia"/>
          <w:b w:val="0"/>
        </w:rPr>
      </w:pPr>
    </w:p>
    <w:p w:rsidR="004C52FD" w:rsidRDefault="004C52FD">
      <w:pPr>
        <w:spacing w:line="600" w:lineRule="exact"/>
        <w:jc w:val="center"/>
        <w:outlineLvl w:val="0"/>
        <w:rPr>
          <w:rFonts w:ascii="黑体" w:eastAsia="黑体" w:hAnsi="黑体" w:hint="eastAsia"/>
          <w:bCs/>
          <w:kern w:val="44"/>
          <w:sz w:val="44"/>
          <w:szCs w:val="44"/>
        </w:rPr>
      </w:pPr>
      <w:bookmarkStart w:id="95" w:name="_Toc15396618"/>
      <w:bookmarkStart w:id="96" w:name="_Toc26958"/>
      <w:r>
        <w:rPr>
          <w:rFonts w:ascii="黑体" w:eastAsia="黑体" w:hAnsi="黑体" w:hint="eastAsia"/>
          <w:color w:val="000000"/>
          <w:sz w:val="44"/>
          <w:szCs w:val="44"/>
        </w:rPr>
        <w:lastRenderedPageBreak/>
        <w:t>第</w:t>
      </w:r>
      <w:r>
        <w:rPr>
          <w:rStyle w:val="10"/>
          <w:rFonts w:ascii="黑体" w:eastAsia="黑体" w:hAnsi="黑体" w:hint="eastAsia"/>
          <w:b w:val="0"/>
        </w:rPr>
        <w:t>五部分</w:t>
      </w:r>
      <w:r>
        <w:rPr>
          <w:rStyle w:val="10"/>
          <w:rFonts w:ascii="黑体" w:eastAsia="黑体" w:hAnsi="黑体"/>
          <w:b w:val="0"/>
        </w:rPr>
        <w:t xml:space="preserve"> </w:t>
      </w:r>
      <w:r>
        <w:rPr>
          <w:rStyle w:val="10"/>
          <w:rFonts w:ascii="黑体" w:eastAsia="黑体" w:hAnsi="黑体" w:hint="eastAsia"/>
          <w:b w:val="0"/>
        </w:rPr>
        <w:t>附表</w:t>
      </w:r>
      <w:bookmarkEnd w:id="91"/>
      <w:bookmarkEnd w:id="95"/>
      <w:bookmarkEnd w:id="96"/>
    </w:p>
    <w:p w:rsidR="004C52FD" w:rsidRDefault="004C52FD">
      <w:pPr>
        <w:pStyle w:val="2"/>
        <w:rPr>
          <w:rFonts w:ascii="仿宋" w:eastAsia="仿宋" w:hAnsi="仿宋"/>
          <w:color w:val="000000"/>
        </w:rPr>
      </w:pPr>
      <w:bookmarkStart w:id="97" w:name="_Toc15396619"/>
      <w:bookmarkStart w:id="98" w:name="_Toc2451"/>
      <w:r>
        <w:rPr>
          <w:rFonts w:ascii="仿宋" w:eastAsia="仿宋" w:hAnsi="仿宋" w:hint="eastAsia"/>
          <w:b w:val="0"/>
          <w:color w:val="000000"/>
        </w:rPr>
        <w:t>一、收</w:t>
      </w:r>
      <w:r>
        <w:rPr>
          <w:rStyle w:val="20"/>
          <w:rFonts w:ascii="仿宋" w:eastAsia="仿宋" w:hAnsi="仿宋" w:hint="eastAsia"/>
        </w:rPr>
        <w:t>入支出决算总表</w:t>
      </w:r>
      <w:bookmarkEnd w:id="97"/>
      <w:bookmarkEnd w:id="98"/>
    </w:p>
    <w:p w:rsidR="004C52FD" w:rsidRDefault="004C52FD">
      <w:pPr>
        <w:pStyle w:val="2"/>
        <w:rPr>
          <w:rFonts w:ascii="仿宋" w:eastAsia="仿宋" w:hAnsi="仿宋"/>
          <w:color w:val="000000"/>
        </w:rPr>
      </w:pPr>
      <w:bookmarkStart w:id="99" w:name="_Toc15396620"/>
      <w:bookmarkStart w:id="100" w:name="_Toc13916"/>
      <w:r>
        <w:rPr>
          <w:rFonts w:ascii="仿宋" w:eastAsia="仿宋" w:hAnsi="仿宋" w:hint="eastAsia"/>
          <w:b w:val="0"/>
          <w:color w:val="000000"/>
        </w:rPr>
        <w:t>二、收</w:t>
      </w:r>
      <w:r>
        <w:rPr>
          <w:rStyle w:val="20"/>
          <w:rFonts w:ascii="仿宋" w:eastAsia="仿宋" w:hAnsi="仿宋" w:hint="eastAsia"/>
        </w:rPr>
        <w:t>入决算表</w:t>
      </w:r>
      <w:bookmarkEnd w:id="99"/>
      <w:bookmarkEnd w:id="100"/>
    </w:p>
    <w:p w:rsidR="004C52FD" w:rsidRDefault="004C52FD">
      <w:pPr>
        <w:pStyle w:val="2"/>
        <w:rPr>
          <w:rFonts w:ascii="仿宋" w:eastAsia="仿宋" w:hAnsi="仿宋"/>
          <w:color w:val="000000"/>
        </w:rPr>
      </w:pPr>
      <w:bookmarkStart w:id="101" w:name="_Toc15396621"/>
      <w:bookmarkStart w:id="102" w:name="_Toc24424"/>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出决算表</w:t>
      </w:r>
      <w:bookmarkEnd w:id="101"/>
      <w:bookmarkEnd w:id="102"/>
    </w:p>
    <w:p w:rsidR="004C52FD" w:rsidRDefault="004C52FD">
      <w:pPr>
        <w:pStyle w:val="2"/>
        <w:rPr>
          <w:rFonts w:ascii="仿宋" w:eastAsia="仿宋" w:hAnsi="仿宋"/>
          <w:b w:val="0"/>
          <w:color w:val="000000"/>
        </w:rPr>
      </w:pPr>
      <w:bookmarkStart w:id="103" w:name="_Toc15396622"/>
      <w:bookmarkStart w:id="104" w:name="_Toc3455"/>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103"/>
      <w:bookmarkEnd w:id="104"/>
    </w:p>
    <w:p w:rsidR="004C52FD" w:rsidRDefault="004C52FD">
      <w:pPr>
        <w:pStyle w:val="2"/>
        <w:rPr>
          <w:rStyle w:val="20"/>
          <w:rFonts w:ascii="仿宋" w:eastAsia="仿宋" w:hAnsi="仿宋"/>
        </w:rPr>
      </w:pPr>
      <w:bookmarkStart w:id="105" w:name="_Toc15396623"/>
      <w:bookmarkStart w:id="106" w:name="_Toc8505"/>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w:t>
      </w:r>
      <w:bookmarkStart w:id="107" w:name="_Toc15396624"/>
      <w:bookmarkEnd w:id="105"/>
      <w:bookmarkEnd w:id="106"/>
    </w:p>
    <w:p w:rsidR="004C52FD" w:rsidRDefault="004C52FD">
      <w:pPr>
        <w:pStyle w:val="2"/>
        <w:rPr>
          <w:rFonts w:ascii="仿宋" w:eastAsia="仿宋" w:hAnsi="仿宋"/>
          <w:color w:val="000000"/>
        </w:rPr>
      </w:pPr>
      <w:bookmarkStart w:id="108" w:name="_Toc32506"/>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107"/>
      <w:bookmarkEnd w:id="108"/>
    </w:p>
    <w:p w:rsidR="004C52FD" w:rsidRDefault="004C52FD">
      <w:pPr>
        <w:pStyle w:val="2"/>
        <w:rPr>
          <w:rFonts w:ascii="仿宋" w:eastAsia="仿宋" w:hAnsi="仿宋"/>
          <w:color w:val="000000"/>
        </w:rPr>
      </w:pPr>
      <w:bookmarkStart w:id="109" w:name="_Toc15396625"/>
      <w:bookmarkStart w:id="110" w:name="_Toc536"/>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109"/>
      <w:bookmarkEnd w:id="110"/>
    </w:p>
    <w:p w:rsidR="004C52FD" w:rsidRDefault="004C52FD">
      <w:pPr>
        <w:pStyle w:val="2"/>
        <w:rPr>
          <w:rFonts w:ascii="仿宋" w:eastAsia="仿宋" w:hAnsi="仿宋"/>
          <w:color w:val="000000"/>
        </w:rPr>
      </w:pPr>
      <w:bookmarkStart w:id="111" w:name="_Toc15396626"/>
      <w:bookmarkStart w:id="112" w:name="_Toc11789"/>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111"/>
      <w:bookmarkEnd w:id="112"/>
    </w:p>
    <w:p w:rsidR="004C52FD" w:rsidRDefault="004C52FD">
      <w:pPr>
        <w:pStyle w:val="2"/>
        <w:rPr>
          <w:rFonts w:ascii="仿宋" w:eastAsia="仿宋" w:hAnsi="仿宋"/>
          <w:color w:val="000000"/>
        </w:rPr>
      </w:pPr>
      <w:bookmarkStart w:id="113" w:name="_Toc15396627"/>
      <w:bookmarkStart w:id="114" w:name="_Toc10988"/>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113"/>
      <w:r>
        <w:rPr>
          <w:rStyle w:val="20"/>
          <w:rFonts w:ascii="仿宋" w:eastAsia="仿宋" w:hAnsi="仿宋" w:hint="eastAsia"/>
        </w:rPr>
        <w:t>（本表无数据）</w:t>
      </w:r>
      <w:bookmarkEnd w:id="114"/>
    </w:p>
    <w:p w:rsidR="004C52FD" w:rsidRDefault="004C52FD">
      <w:pPr>
        <w:pStyle w:val="2"/>
        <w:rPr>
          <w:rFonts w:ascii="仿宋" w:eastAsia="仿宋" w:hAnsi="仿宋" w:hint="eastAsia"/>
          <w:color w:val="000000"/>
        </w:rPr>
      </w:pPr>
      <w:bookmarkStart w:id="115" w:name="_Toc15396628"/>
      <w:bookmarkStart w:id="116" w:name="_Toc4100"/>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115"/>
      <w:r>
        <w:rPr>
          <w:rStyle w:val="20"/>
          <w:rFonts w:ascii="仿宋" w:eastAsia="仿宋" w:hAnsi="仿宋" w:hint="eastAsia"/>
        </w:rPr>
        <w:t>（本表无数据）</w:t>
      </w:r>
      <w:bookmarkEnd w:id="116"/>
    </w:p>
    <w:p w:rsidR="004C52FD" w:rsidRDefault="004C52FD">
      <w:pPr>
        <w:pStyle w:val="2"/>
        <w:rPr>
          <w:rFonts w:ascii="仿宋" w:eastAsia="仿宋" w:hAnsi="仿宋"/>
          <w:color w:val="000000"/>
        </w:rPr>
      </w:pPr>
      <w:bookmarkStart w:id="117" w:name="_Toc15396629"/>
      <w:bookmarkStart w:id="118" w:name="_Toc29651"/>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117"/>
      <w:bookmarkEnd w:id="118"/>
    </w:p>
    <w:p w:rsidR="004C52FD" w:rsidRDefault="004C52FD">
      <w:pPr>
        <w:pStyle w:val="2"/>
        <w:rPr>
          <w:rFonts w:ascii="仿宋" w:eastAsia="仿宋" w:hAnsi="仿宋"/>
          <w:b w:val="0"/>
          <w:bCs w:val="0"/>
        </w:rPr>
      </w:pPr>
      <w:bookmarkStart w:id="119" w:name="_Toc15396630"/>
      <w:bookmarkStart w:id="120" w:name="_Toc23703"/>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119"/>
      <w:r>
        <w:rPr>
          <w:rStyle w:val="20"/>
          <w:rFonts w:ascii="仿宋" w:eastAsia="仿宋" w:hAnsi="仿宋" w:hint="eastAsia"/>
        </w:rPr>
        <w:t>（本表无数据）</w:t>
      </w:r>
      <w:bookmarkEnd w:id="120"/>
    </w:p>
    <w:p w:rsidR="004C52FD" w:rsidRDefault="004C52FD">
      <w:pPr>
        <w:rPr>
          <w:rFonts w:hint="eastAsia"/>
        </w:rPr>
      </w:pPr>
    </w:p>
    <w:p w:rsidR="004C52FD" w:rsidRDefault="004C52FD">
      <w:pPr>
        <w:pStyle w:val="2"/>
        <w:rPr>
          <w:rStyle w:val="20"/>
          <w:rFonts w:ascii="仿宋" w:eastAsia="仿宋" w:hAnsi="仿宋" w:hint="eastAsia"/>
          <w:b/>
          <w:bCs/>
          <w:color w:val="000000"/>
        </w:rPr>
      </w:pPr>
      <w:bookmarkStart w:id="121" w:name="_Toc15396631"/>
      <w:bookmarkStart w:id="122" w:name="_Toc15715"/>
      <w:r>
        <w:rPr>
          <w:rStyle w:val="20"/>
          <w:rFonts w:ascii="仿宋" w:eastAsia="仿宋" w:hAnsi="仿宋" w:hint="eastAsia"/>
        </w:rPr>
        <w:lastRenderedPageBreak/>
        <w:t>十三、</w:t>
      </w:r>
      <w:r>
        <w:rPr>
          <w:rFonts w:ascii="仿宋" w:eastAsia="仿宋" w:hAnsi="仿宋" w:hint="eastAsia"/>
          <w:b w:val="0"/>
          <w:color w:val="000000"/>
        </w:rPr>
        <w:t>国</w:t>
      </w:r>
      <w:r>
        <w:rPr>
          <w:rStyle w:val="20"/>
          <w:rFonts w:ascii="仿宋" w:eastAsia="仿宋" w:hAnsi="仿宋" w:hint="eastAsia"/>
        </w:rPr>
        <w:t>有资本经营预算财政拨款</w:t>
      </w:r>
      <w:r>
        <w:rPr>
          <w:rStyle w:val="20"/>
          <w:rFonts w:ascii="仿宋" w:hAnsi="仿宋" w:hint="eastAsia"/>
        </w:rPr>
        <w:t>收入</w:t>
      </w:r>
      <w:r>
        <w:rPr>
          <w:rStyle w:val="20"/>
          <w:rFonts w:ascii="仿宋" w:eastAsia="仿宋" w:hAnsi="仿宋" w:hint="eastAsia"/>
        </w:rPr>
        <w:t>支出决算表</w:t>
      </w:r>
      <w:bookmarkEnd w:id="121"/>
      <w:r>
        <w:rPr>
          <w:rStyle w:val="20"/>
          <w:rFonts w:ascii="仿宋" w:eastAsia="仿宋" w:hAnsi="仿宋" w:hint="eastAsia"/>
        </w:rPr>
        <w:t>（本表无数据）</w:t>
      </w:r>
      <w:bookmarkEnd w:id="122"/>
    </w:p>
    <w:p w:rsidR="004C52FD" w:rsidRDefault="004C52FD">
      <w:pPr>
        <w:pStyle w:val="2"/>
        <w:rPr>
          <w:rStyle w:val="20"/>
          <w:rFonts w:ascii="仿宋" w:eastAsia="仿宋" w:hAnsi="仿宋" w:hint="eastAsia"/>
          <w:b/>
          <w:bCs/>
          <w:color w:val="000000"/>
        </w:rPr>
      </w:pPr>
      <w:bookmarkStart w:id="123" w:name="_Toc676"/>
      <w:r>
        <w:rPr>
          <w:rStyle w:val="20"/>
          <w:rFonts w:ascii="仿宋" w:eastAsia="仿宋" w:hAnsi="仿宋" w:hint="eastAsia"/>
        </w:rPr>
        <w:t>十四、国有资本经营预算财政拨款支出决算表（本表无数据）</w:t>
      </w:r>
      <w:bookmarkEnd w:id="123"/>
    </w:p>
    <w:sectPr w:rsidR="004C52FD">
      <w:headerReference w:type="default" r:id="rId13"/>
      <w:footerReference w:type="default" r:id="rId14"/>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6C16" w:rsidRDefault="003A6C16">
      <w:r>
        <w:separator/>
      </w:r>
    </w:p>
  </w:endnote>
  <w:endnote w:type="continuationSeparator" w:id="0">
    <w:p w:rsidR="003A6C16" w:rsidRDefault="003A6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2FD" w:rsidRDefault="004C52FD">
    <w:pPr>
      <w:pStyle w:val="a7"/>
      <w:jc w:val="center"/>
    </w:pPr>
    <w:r>
      <w:fldChar w:fldCharType="begin"/>
    </w:r>
    <w:r>
      <w:instrText>PAGE   \* MERGEFORMAT</w:instrText>
    </w:r>
    <w:r>
      <w:fldChar w:fldCharType="separate"/>
    </w:r>
    <w:r w:rsidR="00D66494" w:rsidRPr="00D66494">
      <w:rPr>
        <w:noProof/>
        <w:lang w:val="zh-CN" w:eastAsia="zh-CN"/>
      </w:rPr>
      <w:t>3</w:t>
    </w:r>
    <w:r>
      <w:fldChar w:fldCharType="end"/>
    </w:r>
  </w:p>
  <w:p w:rsidR="004C52FD" w:rsidRDefault="004C52FD">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6C16" w:rsidRDefault="003A6C16">
      <w:r>
        <w:separator/>
      </w:r>
    </w:p>
  </w:footnote>
  <w:footnote w:type="continuationSeparator" w:id="0">
    <w:p w:rsidR="003A6C16" w:rsidRDefault="003A6C1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2FD" w:rsidRDefault="004C52FD">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7462FEA"/>
    <w:multiLevelType w:val="singleLevel"/>
    <w:tmpl w:val="B7462FEA"/>
    <w:lvl w:ilvl="0">
      <w:start w:val="2"/>
      <w:numFmt w:val="chineseCounting"/>
      <w:suff w:val="nothing"/>
      <w:lvlText w:val="（%1）"/>
      <w:lvlJc w:val="left"/>
      <w:rPr>
        <w:rFonts w:hint="eastAsia"/>
      </w:rPr>
    </w:lvl>
  </w:abstractNum>
  <w:abstractNum w:abstractNumId="1"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3" w15:restartNumberingAfterBreak="0">
    <w:nsid w:val="E962595E"/>
    <w:multiLevelType w:val="singleLevel"/>
    <w:tmpl w:val="E962595E"/>
    <w:lvl w:ilvl="0">
      <w:start w:val="1"/>
      <w:numFmt w:val="decimal"/>
      <w:lvlText w:val="%1."/>
      <w:lvlJc w:val="left"/>
      <w:pPr>
        <w:tabs>
          <w:tab w:val="num" w:pos="312"/>
        </w:tabs>
      </w:pPr>
    </w:lvl>
  </w:abstractNum>
  <w:abstractNum w:abstractNumId="4" w15:restartNumberingAfterBreak="0">
    <w:nsid w:val="056300EF"/>
    <w:multiLevelType w:val="singleLevel"/>
    <w:tmpl w:val="056300EF"/>
    <w:lvl w:ilvl="0">
      <w:start w:val="2"/>
      <w:numFmt w:val="chineseCounting"/>
      <w:suff w:val="nothing"/>
      <w:lvlText w:val="（%1）"/>
      <w:lvlJc w:val="left"/>
      <w:rPr>
        <w:rFonts w:hint="eastAsia"/>
      </w:rPr>
    </w:lvl>
  </w:abstractNum>
  <w:abstractNum w:abstractNumId="5"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6" w15:restartNumberingAfterBreak="0">
    <w:nsid w:val="2C463A6A"/>
    <w:multiLevelType w:val="singleLevel"/>
    <w:tmpl w:val="2C463A6A"/>
    <w:lvl w:ilvl="0">
      <w:start w:val="2"/>
      <w:numFmt w:val="chineseCounting"/>
      <w:suff w:val="nothing"/>
      <w:lvlText w:val="（%1）"/>
      <w:lvlJc w:val="left"/>
      <w:rPr>
        <w:rFonts w:hint="eastAsia"/>
      </w:rPr>
    </w:lvl>
  </w:abstractNum>
  <w:num w:numId="1">
    <w:abstractNumId w:val="5"/>
  </w:num>
  <w:num w:numId="2">
    <w:abstractNumId w:val="3"/>
  </w:num>
  <w:num w:numId="3">
    <w:abstractNumId w:val="1"/>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68DB"/>
    <w:rsid w:val="0006487A"/>
    <w:rsid w:val="00065F8F"/>
    <w:rsid w:val="00070A43"/>
    <w:rsid w:val="000727F0"/>
    <w:rsid w:val="000768F2"/>
    <w:rsid w:val="000917C6"/>
    <w:rsid w:val="0009184B"/>
    <w:rsid w:val="00094236"/>
    <w:rsid w:val="0009593C"/>
    <w:rsid w:val="00097322"/>
    <w:rsid w:val="000A6A92"/>
    <w:rsid w:val="000B047F"/>
    <w:rsid w:val="000B5923"/>
    <w:rsid w:val="000B5A48"/>
    <w:rsid w:val="000B6FF3"/>
    <w:rsid w:val="000C3467"/>
    <w:rsid w:val="000C3CA6"/>
    <w:rsid w:val="000C4460"/>
    <w:rsid w:val="000D1267"/>
    <w:rsid w:val="000D1D50"/>
    <w:rsid w:val="000D5782"/>
    <w:rsid w:val="000E6613"/>
    <w:rsid w:val="000E7119"/>
    <w:rsid w:val="00106F09"/>
    <w:rsid w:val="00114E9B"/>
    <w:rsid w:val="00115301"/>
    <w:rsid w:val="001319E1"/>
    <w:rsid w:val="00142216"/>
    <w:rsid w:val="00144D6A"/>
    <w:rsid w:val="0014729F"/>
    <w:rsid w:val="00155798"/>
    <w:rsid w:val="00157BAB"/>
    <w:rsid w:val="001654D1"/>
    <w:rsid w:val="00174518"/>
    <w:rsid w:val="0018106D"/>
    <w:rsid w:val="001877A7"/>
    <w:rsid w:val="00191536"/>
    <w:rsid w:val="001936C3"/>
    <w:rsid w:val="00196687"/>
    <w:rsid w:val="001C0962"/>
    <w:rsid w:val="001D7531"/>
    <w:rsid w:val="001E737D"/>
    <w:rsid w:val="001F0592"/>
    <w:rsid w:val="001F45BD"/>
    <w:rsid w:val="001F7506"/>
    <w:rsid w:val="002006CD"/>
    <w:rsid w:val="00202B36"/>
    <w:rsid w:val="00204B7A"/>
    <w:rsid w:val="00204CDE"/>
    <w:rsid w:val="0021101A"/>
    <w:rsid w:val="00220536"/>
    <w:rsid w:val="00235629"/>
    <w:rsid w:val="00256262"/>
    <w:rsid w:val="00260C38"/>
    <w:rsid w:val="002616C0"/>
    <w:rsid w:val="00265372"/>
    <w:rsid w:val="002662AA"/>
    <w:rsid w:val="00280496"/>
    <w:rsid w:val="00285842"/>
    <w:rsid w:val="00294DC9"/>
    <w:rsid w:val="00295495"/>
    <w:rsid w:val="00295D5A"/>
    <w:rsid w:val="002A31DE"/>
    <w:rsid w:val="002B2613"/>
    <w:rsid w:val="002D6D05"/>
    <w:rsid w:val="002F1818"/>
    <w:rsid w:val="002F567B"/>
    <w:rsid w:val="003216A9"/>
    <w:rsid w:val="00330B4F"/>
    <w:rsid w:val="00334ABA"/>
    <w:rsid w:val="003356FB"/>
    <w:rsid w:val="00335A74"/>
    <w:rsid w:val="003467E8"/>
    <w:rsid w:val="0036561B"/>
    <w:rsid w:val="0037013F"/>
    <w:rsid w:val="00380C92"/>
    <w:rsid w:val="00393265"/>
    <w:rsid w:val="003A484F"/>
    <w:rsid w:val="003A4883"/>
    <w:rsid w:val="003A6C16"/>
    <w:rsid w:val="003B0BE0"/>
    <w:rsid w:val="003B0C1B"/>
    <w:rsid w:val="003B688C"/>
    <w:rsid w:val="003C0291"/>
    <w:rsid w:val="003C39AE"/>
    <w:rsid w:val="003C7B60"/>
    <w:rsid w:val="003D0C0F"/>
    <w:rsid w:val="003D11E1"/>
    <w:rsid w:val="003D1FB2"/>
    <w:rsid w:val="003D66DA"/>
    <w:rsid w:val="003E1310"/>
    <w:rsid w:val="003E6F55"/>
    <w:rsid w:val="00406254"/>
    <w:rsid w:val="004223DE"/>
    <w:rsid w:val="00426832"/>
    <w:rsid w:val="00432ABB"/>
    <w:rsid w:val="00434489"/>
    <w:rsid w:val="00437085"/>
    <w:rsid w:val="00443880"/>
    <w:rsid w:val="004464F4"/>
    <w:rsid w:val="00455B08"/>
    <w:rsid w:val="00471401"/>
    <w:rsid w:val="00473F31"/>
    <w:rsid w:val="0048263A"/>
    <w:rsid w:val="00485E5F"/>
    <w:rsid w:val="00487E5D"/>
    <w:rsid w:val="004A6B58"/>
    <w:rsid w:val="004A711F"/>
    <w:rsid w:val="004B199D"/>
    <w:rsid w:val="004B4690"/>
    <w:rsid w:val="004C52FD"/>
    <w:rsid w:val="004E0A2D"/>
    <w:rsid w:val="004E206B"/>
    <w:rsid w:val="004E6DF7"/>
    <w:rsid w:val="004F0FBD"/>
    <w:rsid w:val="004F33A6"/>
    <w:rsid w:val="00502181"/>
    <w:rsid w:val="00505A47"/>
    <w:rsid w:val="00512FDA"/>
    <w:rsid w:val="00520DA0"/>
    <w:rsid w:val="005269D7"/>
    <w:rsid w:val="00533D6B"/>
    <w:rsid w:val="005664BB"/>
    <w:rsid w:val="00566FFA"/>
    <w:rsid w:val="0057481D"/>
    <w:rsid w:val="0058486E"/>
    <w:rsid w:val="00585B33"/>
    <w:rsid w:val="0059014D"/>
    <w:rsid w:val="0059194A"/>
    <w:rsid w:val="00596A8C"/>
    <w:rsid w:val="005B5C64"/>
    <w:rsid w:val="005C145A"/>
    <w:rsid w:val="005C5337"/>
    <w:rsid w:val="005C6BD0"/>
    <w:rsid w:val="005D1C8B"/>
    <w:rsid w:val="005D2800"/>
    <w:rsid w:val="005D468D"/>
    <w:rsid w:val="005D5CED"/>
    <w:rsid w:val="005E119B"/>
    <w:rsid w:val="005F1A4C"/>
    <w:rsid w:val="00605688"/>
    <w:rsid w:val="006070AF"/>
    <w:rsid w:val="00607E6C"/>
    <w:rsid w:val="006101B1"/>
    <w:rsid w:val="00614E44"/>
    <w:rsid w:val="0062270A"/>
    <w:rsid w:val="00622830"/>
    <w:rsid w:val="00622C15"/>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B5001"/>
    <w:rsid w:val="006C1937"/>
    <w:rsid w:val="006C744C"/>
    <w:rsid w:val="006E1E3A"/>
    <w:rsid w:val="006E35A5"/>
    <w:rsid w:val="006F020C"/>
    <w:rsid w:val="007037F4"/>
    <w:rsid w:val="007127B7"/>
    <w:rsid w:val="0071798E"/>
    <w:rsid w:val="007416B6"/>
    <w:rsid w:val="00746F48"/>
    <w:rsid w:val="0075404D"/>
    <w:rsid w:val="0076182A"/>
    <w:rsid w:val="00767B7E"/>
    <w:rsid w:val="007770C3"/>
    <w:rsid w:val="00784D24"/>
    <w:rsid w:val="00785FBA"/>
    <w:rsid w:val="00786E4A"/>
    <w:rsid w:val="007875EB"/>
    <w:rsid w:val="0079426B"/>
    <w:rsid w:val="007A58D4"/>
    <w:rsid w:val="007D1682"/>
    <w:rsid w:val="007D312A"/>
    <w:rsid w:val="007D33A3"/>
    <w:rsid w:val="007D3F19"/>
    <w:rsid w:val="007E23B0"/>
    <w:rsid w:val="007E23E5"/>
    <w:rsid w:val="007F1991"/>
    <w:rsid w:val="007F2C2F"/>
    <w:rsid w:val="007F55FC"/>
    <w:rsid w:val="007F5665"/>
    <w:rsid w:val="00800112"/>
    <w:rsid w:val="00800487"/>
    <w:rsid w:val="00813348"/>
    <w:rsid w:val="008158F7"/>
    <w:rsid w:val="008253BB"/>
    <w:rsid w:val="0083706E"/>
    <w:rsid w:val="00837716"/>
    <w:rsid w:val="008408F6"/>
    <w:rsid w:val="008423A5"/>
    <w:rsid w:val="00850434"/>
    <w:rsid w:val="00850625"/>
    <w:rsid w:val="00853718"/>
    <w:rsid w:val="00855221"/>
    <w:rsid w:val="008569F1"/>
    <w:rsid w:val="00860645"/>
    <w:rsid w:val="00867B8C"/>
    <w:rsid w:val="00871F71"/>
    <w:rsid w:val="00872FD8"/>
    <w:rsid w:val="00885AF4"/>
    <w:rsid w:val="008939CD"/>
    <w:rsid w:val="008B768C"/>
    <w:rsid w:val="008C4DB1"/>
    <w:rsid w:val="008C4EAF"/>
    <w:rsid w:val="008C5176"/>
    <w:rsid w:val="008C7FD0"/>
    <w:rsid w:val="008E1DE7"/>
    <w:rsid w:val="008E539D"/>
    <w:rsid w:val="008E707C"/>
    <w:rsid w:val="00900B08"/>
    <w:rsid w:val="00902155"/>
    <w:rsid w:val="00902FA3"/>
    <w:rsid w:val="009067BF"/>
    <w:rsid w:val="00923564"/>
    <w:rsid w:val="0092392E"/>
    <w:rsid w:val="009315F9"/>
    <w:rsid w:val="00933499"/>
    <w:rsid w:val="009334D8"/>
    <w:rsid w:val="00935C98"/>
    <w:rsid w:val="00946945"/>
    <w:rsid w:val="00951248"/>
    <w:rsid w:val="0095152F"/>
    <w:rsid w:val="00954C49"/>
    <w:rsid w:val="00955E37"/>
    <w:rsid w:val="0097099F"/>
    <w:rsid w:val="00971997"/>
    <w:rsid w:val="00971FFC"/>
    <w:rsid w:val="00973770"/>
    <w:rsid w:val="0098660A"/>
    <w:rsid w:val="009931C3"/>
    <w:rsid w:val="009A255C"/>
    <w:rsid w:val="009B1536"/>
    <w:rsid w:val="009B2C43"/>
    <w:rsid w:val="009B3493"/>
    <w:rsid w:val="009B4EAE"/>
    <w:rsid w:val="009B7573"/>
    <w:rsid w:val="009C0D79"/>
    <w:rsid w:val="009C22F4"/>
    <w:rsid w:val="009C2A4B"/>
    <w:rsid w:val="009C2E98"/>
    <w:rsid w:val="009C76C9"/>
    <w:rsid w:val="009C79F7"/>
    <w:rsid w:val="009C7EE7"/>
    <w:rsid w:val="009C7FC1"/>
    <w:rsid w:val="009D3447"/>
    <w:rsid w:val="009D4711"/>
    <w:rsid w:val="009D630A"/>
    <w:rsid w:val="009D78A9"/>
    <w:rsid w:val="009E0527"/>
    <w:rsid w:val="009F1185"/>
    <w:rsid w:val="009F18CD"/>
    <w:rsid w:val="009F2A13"/>
    <w:rsid w:val="009F7527"/>
    <w:rsid w:val="00A01402"/>
    <w:rsid w:val="00A04EB0"/>
    <w:rsid w:val="00A13CC1"/>
    <w:rsid w:val="00A16847"/>
    <w:rsid w:val="00A237D8"/>
    <w:rsid w:val="00A268C4"/>
    <w:rsid w:val="00A307CD"/>
    <w:rsid w:val="00A331C8"/>
    <w:rsid w:val="00A40A00"/>
    <w:rsid w:val="00A4142F"/>
    <w:rsid w:val="00A416CA"/>
    <w:rsid w:val="00A422EB"/>
    <w:rsid w:val="00A45BB7"/>
    <w:rsid w:val="00A56DF2"/>
    <w:rsid w:val="00A56E6E"/>
    <w:rsid w:val="00A67AB5"/>
    <w:rsid w:val="00A67E52"/>
    <w:rsid w:val="00A733B2"/>
    <w:rsid w:val="00A741C2"/>
    <w:rsid w:val="00A91760"/>
    <w:rsid w:val="00A93B00"/>
    <w:rsid w:val="00A93C21"/>
    <w:rsid w:val="00AA680D"/>
    <w:rsid w:val="00AB64C9"/>
    <w:rsid w:val="00AC3C6A"/>
    <w:rsid w:val="00AD5620"/>
    <w:rsid w:val="00AD656B"/>
    <w:rsid w:val="00AD7C1B"/>
    <w:rsid w:val="00AE16BA"/>
    <w:rsid w:val="00AE1EBE"/>
    <w:rsid w:val="00AF4CEA"/>
    <w:rsid w:val="00B03C9D"/>
    <w:rsid w:val="00B060AE"/>
    <w:rsid w:val="00B10517"/>
    <w:rsid w:val="00B14BDB"/>
    <w:rsid w:val="00B14E76"/>
    <w:rsid w:val="00B161B8"/>
    <w:rsid w:val="00B2048C"/>
    <w:rsid w:val="00B310B9"/>
    <w:rsid w:val="00B31175"/>
    <w:rsid w:val="00B35F3F"/>
    <w:rsid w:val="00B36CBB"/>
    <w:rsid w:val="00B425E0"/>
    <w:rsid w:val="00B440AA"/>
    <w:rsid w:val="00B44B70"/>
    <w:rsid w:val="00B53C56"/>
    <w:rsid w:val="00B57DAF"/>
    <w:rsid w:val="00B71DF4"/>
    <w:rsid w:val="00B77EA6"/>
    <w:rsid w:val="00B81598"/>
    <w:rsid w:val="00B841F1"/>
    <w:rsid w:val="00B90E4E"/>
    <w:rsid w:val="00B92C4B"/>
    <w:rsid w:val="00B944D6"/>
    <w:rsid w:val="00B965DC"/>
    <w:rsid w:val="00BA45A4"/>
    <w:rsid w:val="00BA62A9"/>
    <w:rsid w:val="00BB0972"/>
    <w:rsid w:val="00BB4DF0"/>
    <w:rsid w:val="00BC289F"/>
    <w:rsid w:val="00BC2D50"/>
    <w:rsid w:val="00BC5361"/>
    <w:rsid w:val="00BC5460"/>
    <w:rsid w:val="00BC6B50"/>
    <w:rsid w:val="00BD0E25"/>
    <w:rsid w:val="00BF5BD6"/>
    <w:rsid w:val="00C03E31"/>
    <w:rsid w:val="00C04799"/>
    <w:rsid w:val="00C11C3C"/>
    <w:rsid w:val="00C33E72"/>
    <w:rsid w:val="00C354B2"/>
    <w:rsid w:val="00C35554"/>
    <w:rsid w:val="00C42709"/>
    <w:rsid w:val="00C4584A"/>
    <w:rsid w:val="00C533CC"/>
    <w:rsid w:val="00C5751C"/>
    <w:rsid w:val="00C61BFC"/>
    <w:rsid w:val="00C62B85"/>
    <w:rsid w:val="00C65438"/>
    <w:rsid w:val="00C87FD8"/>
    <w:rsid w:val="00C91381"/>
    <w:rsid w:val="00C91CBB"/>
    <w:rsid w:val="00CB4E70"/>
    <w:rsid w:val="00CC001B"/>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56B8E"/>
    <w:rsid w:val="00D66494"/>
    <w:rsid w:val="00D7035F"/>
    <w:rsid w:val="00D75A9B"/>
    <w:rsid w:val="00DA634F"/>
    <w:rsid w:val="00DA65AC"/>
    <w:rsid w:val="00DB1913"/>
    <w:rsid w:val="00DB4452"/>
    <w:rsid w:val="00DB758A"/>
    <w:rsid w:val="00DC410D"/>
    <w:rsid w:val="00DC5A81"/>
    <w:rsid w:val="00DC68CA"/>
    <w:rsid w:val="00DC7CBA"/>
    <w:rsid w:val="00DD73B7"/>
    <w:rsid w:val="00DF28BC"/>
    <w:rsid w:val="00DF34B9"/>
    <w:rsid w:val="00E01053"/>
    <w:rsid w:val="00E07ACF"/>
    <w:rsid w:val="00E21BCE"/>
    <w:rsid w:val="00E32CAD"/>
    <w:rsid w:val="00E331A1"/>
    <w:rsid w:val="00E33202"/>
    <w:rsid w:val="00E336A9"/>
    <w:rsid w:val="00E472B1"/>
    <w:rsid w:val="00E50624"/>
    <w:rsid w:val="00E568DF"/>
    <w:rsid w:val="00E64269"/>
    <w:rsid w:val="00E82267"/>
    <w:rsid w:val="00E853CE"/>
    <w:rsid w:val="00E867B6"/>
    <w:rsid w:val="00E90ACE"/>
    <w:rsid w:val="00EA010F"/>
    <w:rsid w:val="00EB7D59"/>
    <w:rsid w:val="00EC3915"/>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36D8F"/>
    <w:rsid w:val="00F417B1"/>
    <w:rsid w:val="00F45853"/>
    <w:rsid w:val="00F55C73"/>
    <w:rsid w:val="00F602DF"/>
    <w:rsid w:val="00F63581"/>
    <w:rsid w:val="00F748C9"/>
    <w:rsid w:val="00F74AF5"/>
    <w:rsid w:val="00F754A1"/>
    <w:rsid w:val="00F81FD9"/>
    <w:rsid w:val="00F841AA"/>
    <w:rsid w:val="00F84A94"/>
    <w:rsid w:val="00F87E96"/>
    <w:rsid w:val="00FA035F"/>
    <w:rsid w:val="00FA23E8"/>
    <w:rsid w:val="00FA7523"/>
    <w:rsid w:val="00FD3CC1"/>
    <w:rsid w:val="00FF1E02"/>
    <w:rsid w:val="00FF30B4"/>
    <w:rsid w:val="0A2032A3"/>
    <w:rsid w:val="0F7B07B2"/>
    <w:rsid w:val="10C055FF"/>
    <w:rsid w:val="118107EC"/>
    <w:rsid w:val="16BB723D"/>
    <w:rsid w:val="1BB05988"/>
    <w:rsid w:val="1D155CEE"/>
    <w:rsid w:val="240371BF"/>
    <w:rsid w:val="29FD04D3"/>
    <w:rsid w:val="2F5A09A8"/>
    <w:rsid w:val="319F7F4E"/>
    <w:rsid w:val="35AC7C2F"/>
    <w:rsid w:val="3DB22EB0"/>
    <w:rsid w:val="45BD4F72"/>
    <w:rsid w:val="487C44EB"/>
    <w:rsid w:val="4ECE2238"/>
    <w:rsid w:val="5F23254F"/>
    <w:rsid w:val="60007C76"/>
    <w:rsid w:val="678604B7"/>
    <w:rsid w:val="6C4A05C8"/>
    <w:rsid w:val="72734D90"/>
    <w:rsid w:val="7B124EDE"/>
    <w:rsid w:val="7B2A64C8"/>
    <w:rsid w:val="7E522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stroke="f">
      <v:fill on="f"/>
      <v:stroke on="f"/>
    </o:shapedefaults>
    <o:shapelayout v:ext="edit">
      <o:idmap v:ext="edit" data="1"/>
    </o:shapelayout>
  </w:shapeDefaults>
  <w:decimalSymbol w:val="."/>
  <w:listSeparator w:val=","/>
  <w14:docId w14:val="1B257876"/>
  <w15:chartTrackingRefBased/>
  <w15:docId w15:val="{10EDCC73-8CF6-4C76-8B0E-4B3D13299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semiHidden/>
  </w:style>
  <w:style w:type="character" w:customStyle="1" w:styleId="10">
    <w:name w:val="标题 1 字符"/>
    <w:link w:val="1"/>
    <w:uiPriority w:val="9"/>
    <w:qFormat/>
    <w:locked/>
    <w:rPr>
      <w:rFonts w:ascii="Times New Roman" w:hAnsi="Times New Roman" w:cs="Times New Roman"/>
      <w:b/>
      <w:bCs/>
      <w:kern w:val="44"/>
      <w:sz w:val="44"/>
      <w:szCs w:val="44"/>
    </w:rPr>
  </w:style>
  <w:style w:type="character" w:customStyle="1" w:styleId="20">
    <w:name w:val="标题 2 字符"/>
    <w:link w:val="2"/>
    <w:uiPriority w:val="9"/>
    <w:qFormat/>
    <w:locked/>
    <w:rPr>
      <w:rFonts w:ascii="Cambria" w:eastAsia="宋体" w:hAnsi="Cambria" w:cs="Times New Roman"/>
      <w:b/>
      <w:bCs/>
      <w:kern w:val="2"/>
      <w:sz w:val="32"/>
      <w:szCs w:val="32"/>
    </w:rPr>
  </w:style>
  <w:style w:type="character" w:customStyle="1" w:styleId="30">
    <w:name w:val="标题 3 字符"/>
    <w:link w:val="3"/>
    <w:uiPriority w:val="9"/>
    <w:qFormat/>
    <w:locked/>
    <w:rPr>
      <w:rFonts w:ascii="Times New Roman" w:hAnsi="Times New Roman" w:cs="Times New Roman"/>
      <w:b/>
      <w:bCs/>
      <w:kern w:val="2"/>
      <w:sz w:val="32"/>
      <w:szCs w:val="32"/>
    </w:rPr>
  </w:style>
  <w:style w:type="paragraph" w:styleId="a3">
    <w:name w:val="Body Text"/>
    <w:basedOn w:val="a"/>
    <w:link w:val="a4"/>
    <w:uiPriority w:val="99"/>
    <w:qFormat/>
    <w:pPr>
      <w:spacing w:beforeLines="30"/>
    </w:pPr>
    <w:rPr>
      <w:rFonts w:ascii="仿宋_GB2312" w:eastAsia="仿宋_GB2312"/>
      <w:kern w:val="0"/>
      <w:sz w:val="24"/>
      <w:szCs w:val="20"/>
    </w:rPr>
  </w:style>
  <w:style w:type="character" w:customStyle="1" w:styleId="a4">
    <w:name w:val="正文文本 字符"/>
    <w:link w:val="a3"/>
    <w:uiPriority w:val="99"/>
    <w:qFormat/>
    <w:locked/>
    <w:rPr>
      <w:rFonts w:ascii="仿宋_GB2312" w:eastAsia="仿宋_GB2312" w:hAnsi="Times New Roman"/>
      <w:sz w:val="24"/>
    </w:rPr>
  </w:style>
  <w:style w:type="paragraph" w:styleId="31">
    <w:name w:val="toc 3"/>
    <w:basedOn w:val="a"/>
    <w:next w:val="a"/>
    <w:uiPriority w:val="39"/>
    <w:unhideWhenUsed/>
    <w:qFormat/>
    <w:pPr>
      <w:tabs>
        <w:tab w:val="right" w:leader="dot" w:pos="8296"/>
      </w:tabs>
      <w:ind w:leftChars="400" w:left="840"/>
    </w:pPr>
  </w:style>
  <w:style w:type="paragraph" w:styleId="a5">
    <w:name w:val="Balloon Text"/>
    <w:basedOn w:val="a"/>
    <w:link w:val="a6"/>
    <w:uiPriority w:val="99"/>
    <w:unhideWhenUsed/>
    <w:qFormat/>
    <w:rPr>
      <w:sz w:val="18"/>
      <w:szCs w:val="18"/>
    </w:rPr>
  </w:style>
  <w:style w:type="character" w:customStyle="1" w:styleId="a6">
    <w:name w:val="批注框文本 字符"/>
    <w:link w:val="a5"/>
    <w:uiPriority w:val="99"/>
    <w:semiHidden/>
    <w:qFormat/>
    <w:locked/>
    <w:rPr>
      <w:rFonts w:ascii="Times New Roman" w:hAnsi="Times New Roman" w:cs="Times New Roman"/>
      <w:kern w:val="2"/>
      <w:sz w:val="18"/>
      <w:szCs w:val="18"/>
    </w:rPr>
  </w:style>
  <w:style w:type="paragraph" w:styleId="a7">
    <w:name w:val="footer"/>
    <w:basedOn w:val="a"/>
    <w:link w:val="a8"/>
    <w:uiPriority w:val="99"/>
    <w:qFormat/>
    <w:pPr>
      <w:tabs>
        <w:tab w:val="center" w:pos="4153"/>
        <w:tab w:val="right" w:pos="8306"/>
      </w:tabs>
      <w:snapToGrid w:val="0"/>
      <w:jc w:val="left"/>
    </w:pPr>
    <w:rPr>
      <w:rFonts w:ascii="Calibri" w:hAnsi="Calibri"/>
      <w:kern w:val="0"/>
      <w:sz w:val="18"/>
      <w:szCs w:val="20"/>
    </w:rPr>
  </w:style>
  <w:style w:type="character" w:customStyle="1" w:styleId="a8">
    <w:name w:val="页脚 字符"/>
    <w:link w:val="a7"/>
    <w:uiPriority w:val="99"/>
    <w:qFormat/>
    <w:locked/>
    <w:rPr>
      <w:sz w:val="18"/>
    </w:rPr>
  </w:style>
  <w:style w:type="paragraph" w:styleId="a9">
    <w:name w:val="header"/>
    <w:basedOn w:val="a"/>
    <w:link w:val="aa"/>
    <w:uiPriority w:val="99"/>
    <w:semiHidden/>
    <w:qFormat/>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aa">
    <w:name w:val="页眉 字符"/>
    <w:link w:val="a9"/>
    <w:uiPriority w:val="99"/>
    <w:semiHidden/>
    <w:qFormat/>
    <w:locked/>
    <w:rPr>
      <w:sz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character" w:styleId="ab">
    <w:name w:val="Strong"/>
    <w:qFormat/>
    <w:rPr>
      <w:rFonts w:cs="Times New Roman"/>
      <w:b/>
    </w:rPr>
  </w:style>
  <w:style w:type="character" w:styleId="ac">
    <w:name w:val="Hyperlink"/>
    <w:uiPriority w:val="99"/>
    <w:unhideWhenUsed/>
    <w:qFormat/>
    <w:rPr>
      <w:rFonts w:cs="Times New Roman"/>
      <w:color w:val="0000FF"/>
      <w:u w:val="single"/>
    </w:rPr>
  </w:style>
  <w:style w:type="character" w:customStyle="1" w:styleId="BodyTextChar">
    <w:name w:val="Body Text Char"/>
    <w:uiPriority w:val="99"/>
    <w:semiHidden/>
    <w:qFormat/>
    <w:rPr>
      <w:rFonts w:ascii="Times New Roman" w:hAnsi="Times New Roman" w:cs="Times New Roman"/>
      <w:sz w:val="24"/>
      <w:szCs w:val="24"/>
    </w:rPr>
  </w:style>
  <w:style w:type="character" w:customStyle="1" w:styleId="FooterChar">
    <w:name w:val="Footer Char"/>
    <w:uiPriority w:val="99"/>
    <w:semiHidden/>
    <w:qFormat/>
    <w:rPr>
      <w:rFonts w:ascii="Times New Roman" w:hAnsi="Times New Roman" w:cs="Times New Roman"/>
      <w:sz w:val="18"/>
      <w:szCs w:val="18"/>
    </w:rPr>
  </w:style>
  <w:style w:type="character" w:customStyle="1" w:styleId="HeaderChar">
    <w:name w:val="Header Char"/>
    <w:uiPriority w:val="99"/>
    <w:semiHidden/>
    <w:qFormat/>
    <w:rPr>
      <w:rFonts w:ascii="Times New Roman" w:hAnsi="Times New Roman" w:cs="Times New Roman"/>
      <w:sz w:val="18"/>
      <w:szCs w:val="18"/>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customStyle="1" w:styleId="ListParagraph">
    <w:name w:val="List Paragraph"/>
    <w:basedOn w:val="a"/>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814159292035399"/>
          <c:y val="9.8214285714285712E-2"/>
          <c:w val="0.49557522123893805"/>
          <c:h val="0.71875"/>
        </c:manualLayout>
      </c:layout>
      <c:barChart>
        <c:barDir val="col"/>
        <c:grouping val="clustered"/>
        <c:varyColors val="0"/>
        <c:ser>
          <c:idx val="0"/>
          <c:order val="0"/>
          <c:tx>
            <c:strRef>
              <c:f>Sheet1!$A$2</c:f>
              <c:strCache>
                <c:ptCount val="1"/>
                <c:pt idx="0">
                  <c:v>2020年收入</c:v>
                </c:pt>
              </c:strCache>
            </c:strRef>
          </c:tx>
          <c:spPr>
            <a:solidFill>
              <a:srgbClr val="9999FF"/>
            </a:solidFill>
            <a:ln w="7120">
              <a:solidFill>
                <a:srgbClr val="000000"/>
              </a:solidFill>
              <a:prstDash val="solid"/>
            </a:ln>
          </c:spPr>
          <c:invertIfNegative val="0"/>
          <c:cat>
            <c:strRef>
              <c:f>Sheet1!$B$1:$B$1</c:f>
              <c:strCache>
                <c:ptCount val="1"/>
                <c:pt idx="0">
                  <c:v>全年</c:v>
                </c:pt>
              </c:strCache>
            </c:strRef>
          </c:cat>
          <c:val>
            <c:numRef>
              <c:f>Sheet1!$B$2:$B$2</c:f>
              <c:numCache>
                <c:formatCode>g/"通""用""格""式"</c:formatCode>
                <c:ptCount val="1"/>
                <c:pt idx="0">
                  <c:v>1549.68</c:v>
                </c:pt>
              </c:numCache>
            </c:numRef>
          </c:val>
          <c:extLst>
            <c:ext xmlns:c16="http://schemas.microsoft.com/office/drawing/2014/chart" uri="{C3380CC4-5D6E-409C-BE32-E72D297353CC}">
              <c16:uniqueId val="{00000000-2A49-45B7-9F8B-EE9312F4942C}"/>
            </c:ext>
          </c:extLst>
        </c:ser>
        <c:ser>
          <c:idx val="1"/>
          <c:order val="1"/>
          <c:tx>
            <c:strRef>
              <c:f>Sheet1!$A$3</c:f>
              <c:strCache>
                <c:ptCount val="1"/>
                <c:pt idx="0">
                  <c:v>2019年收入</c:v>
                </c:pt>
              </c:strCache>
            </c:strRef>
          </c:tx>
          <c:spPr>
            <a:solidFill>
              <a:srgbClr val="993366"/>
            </a:solidFill>
            <a:ln w="7120">
              <a:solidFill>
                <a:srgbClr val="000000"/>
              </a:solidFill>
              <a:prstDash val="solid"/>
            </a:ln>
          </c:spPr>
          <c:invertIfNegative val="0"/>
          <c:cat>
            <c:strRef>
              <c:f>Sheet1!$B$1:$B$1</c:f>
              <c:strCache>
                <c:ptCount val="1"/>
                <c:pt idx="0">
                  <c:v>全年</c:v>
                </c:pt>
              </c:strCache>
            </c:strRef>
          </c:cat>
          <c:val>
            <c:numRef>
              <c:f>Sheet1!$B$3:$B$3</c:f>
              <c:numCache>
                <c:formatCode>g/"通""用""格""式"</c:formatCode>
                <c:ptCount val="1"/>
                <c:pt idx="0">
                  <c:v>1740.63</c:v>
                </c:pt>
              </c:numCache>
            </c:numRef>
          </c:val>
          <c:extLst>
            <c:ext xmlns:c16="http://schemas.microsoft.com/office/drawing/2014/chart" uri="{C3380CC4-5D6E-409C-BE32-E72D297353CC}">
              <c16:uniqueId val="{00000001-2A49-45B7-9F8B-EE9312F4942C}"/>
            </c:ext>
          </c:extLst>
        </c:ser>
        <c:ser>
          <c:idx val="2"/>
          <c:order val="2"/>
          <c:tx>
            <c:strRef>
              <c:f>Sheet1!$A$4</c:f>
              <c:strCache>
                <c:ptCount val="1"/>
                <c:pt idx="0">
                  <c:v>2020年支出</c:v>
                </c:pt>
              </c:strCache>
            </c:strRef>
          </c:tx>
          <c:spPr>
            <a:solidFill>
              <a:srgbClr val="FFFFCC"/>
            </a:solidFill>
            <a:ln w="7120">
              <a:solidFill>
                <a:srgbClr val="000000"/>
              </a:solidFill>
              <a:prstDash val="solid"/>
            </a:ln>
          </c:spPr>
          <c:invertIfNegative val="0"/>
          <c:cat>
            <c:strRef>
              <c:f>Sheet1!$B$1:$B$1</c:f>
              <c:strCache>
                <c:ptCount val="1"/>
                <c:pt idx="0">
                  <c:v>全年</c:v>
                </c:pt>
              </c:strCache>
            </c:strRef>
          </c:cat>
          <c:val>
            <c:numRef>
              <c:f>Sheet1!$B$4:$B$4</c:f>
              <c:numCache>
                <c:formatCode>g/"通""用""格""式"</c:formatCode>
                <c:ptCount val="1"/>
                <c:pt idx="0">
                  <c:v>1587.6</c:v>
                </c:pt>
              </c:numCache>
            </c:numRef>
          </c:val>
          <c:extLst>
            <c:ext xmlns:c16="http://schemas.microsoft.com/office/drawing/2014/chart" uri="{C3380CC4-5D6E-409C-BE32-E72D297353CC}">
              <c16:uniqueId val="{00000002-2A49-45B7-9F8B-EE9312F4942C}"/>
            </c:ext>
          </c:extLst>
        </c:ser>
        <c:ser>
          <c:idx val="3"/>
          <c:order val="3"/>
          <c:tx>
            <c:strRef>
              <c:f>Sheet1!$A$5</c:f>
              <c:strCache>
                <c:ptCount val="1"/>
                <c:pt idx="0">
                  <c:v>2019年支出</c:v>
                </c:pt>
              </c:strCache>
            </c:strRef>
          </c:tx>
          <c:spPr>
            <a:solidFill>
              <a:srgbClr val="CCFFFF"/>
            </a:solidFill>
            <a:ln w="7120">
              <a:solidFill>
                <a:srgbClr val="000000"/>
              </a:solidFill>
              <a:prstDash val="solid"/>
            </a:ln>
          </c:spPr>
          <c:invertIfNegative val="0"/>
          <c:cat>
            <c:strRef>
              <c:f>Sheet1!$B$1:$B$1</c:f>
              <c:strCache>
                <c:ptCount val="1"/>
                <c:pt idx="0">
                  <c:v>全年</c:v>
                </c:pt>
              </c:strCache>
            </c:strRef>
          </c:cat>
          <c:val>
            <c:numRef>
              <c:f>Sheet1!$B$5:$B$5</c:f>
              <c:numCache>
                <c:formatCode>g/"通""用""格""式"</c:formatCode>
                <c:ptCount val="1"/>
                <c:pt idx="0">
                  <c:v>1786.43</c:v>
                </c:pt>
              </c:numCache>
            </c:numRef>
          </c:val>
          <c:extLst>
            <c:ext xmlns:c16="http://schemas.microsoft.com/office/drawing/2014/chart" uri="{C3380CC4-5D6E-409C-BE32-E72D297353CC}">
              <c16:uniqueId val="{00000003-2A49-45B7-9F8B-EE9312F4942C}"/>
            </c:ext>
          </c:extLst>
        </c:ser>
        <c:dLbls>
          <c:showLegendKey val="0"/>
          <c:showVal val="0"/>
          <c:showCatName val="0"/>
          <c:showSerName val="0"/>
          <c:showPercent val="0"/>
          <c:showBubbleSize val="0"/>
        </c:dLbls>
        <c:gapWidth val="150"/>
        <c:axId val="263901584"/>
        <c:axId val="1"/>
      </c:barChart>
      <c:catAx>
        <c:axId val="263901584"/>
        <c:scaling>
          <c:orientation val="minMax"/>
        </c:scaling>
        <c:delete val="0"/>
        <c:axPos val="b"/>
        <c:numFmt formatCode="General" sourceLinked="1"/>
        <c:majorTickMark val="in"/>
        <c:minorTickMark val="none"/>
        <c:tickLblPos val="nextTo"/>
        <c:spPr>
          <a:ln w="1780">
            <a:solidFill>
              <a:srgbClr val="000000"/>
            </a:solidFill>
            <a:prstDash val="solid"/>
          </a:ln>
        </c:spPr>
        <c:txPr>
          <a:bodyPr rot="0" vert="horz"/>
          <a:lstStyle/>
          <a:p>
            <a:pPr>
              <a:defRPr sz="617" b="0" i="0" u="none" strike="noStrike" baseline="0">
                <a:solidFill>
                  <a:srgbClr val="000000"/>
                </a:solidFill>
                <a:latin typeface="宋体"/>
                <a:ea typeface="宋体"/>
                <a:cs typeface="宋体"/>
              </a:defRPr>
            </a:pPr>
            <a:endParaRPr lang="zh-CN"/>
          </a:p>
        </c:txPr>
        <c:crossAx val="1"/>
        <c:crosses val="autoZero"/>
        <c:auto val="1"/>
        <c:lblAlgn val="ctr"/>
        <c:lblOffset val="100"/>
        <c:tickLblSkip val="1"/>
        <c:tickMarkSkip val="1"/>
        <c:noMultiLvlLbl val="0"/>
      </c:catAx>
      <c:valAx>
        <c:axId val="1"/>
        <c:scaling>
          <c:orientation val="minMax"/>
        </c:scaling>
        <c:delete val="0"/>
        <c:axPos val="l"/>
        <c:majorGridlines>
          <c:spPr>
            <a:ln w="1780">
              <a:solidFill>
                <a:srgbClr val="000000"/>
              </a:solidFill>
              <a:prstDash val="solid"/>
            </a:ln>
          </c:spPr>
        </c:majorGridlines>
        <c:numFmt formatCode="g/&quot;通&quot;&quot;用&quot;&quot;格&quot;&quot;式&quot;" sourceLinked="1"/>
        <c:majorTickMark val="in"/>
        <c:minorTickMark val="none"/>
        <c:tickLblPos val="nextTo"/>
        <c:spPr>
          <a:ln w="1780">
            <a:solidFill>
              <a:srgbClr val="000000"/>
            </a:solidFill>
            <a:prstDash val="solid"/>
          </a:ln>
        </c:spPr>
        <c:txPr>
          <a:bodyPr rot="0" vert="horz"/>
          <a:lstStyle/>
          <a:p>
            <a:pPr>
              <a:defRPr sz="617" b="0" i="0" u="none" strike="noStrike" baseline="0">
                <a:solidFill>
                  <a:srgbClr val="000000"/>
                </a:solidFill>
                <a:latin typeface="宋体"/>
                <a:ea typeface="宋体"/>
                <a:cs typeface="宋体"/>
              </a:defRPr>
            </a:pPr>
            <a:endParaRPr lang="zh-CN"/>
          </a:p>
        </c:txPr>
        <c:crossAx val="263901584"/>
        <c:crosses val="autoZero"/>
        <c:crossBetween val="between"/>
      </c:valAx>
      <c:spPr>
        <a:solidFill>
          <a:srgbClr val="C0C0C0"/>
        </a:solidFill>
        <a:ln w="7120">
          <a:solidFill>
            <a:srgbClr val="808080"/>
          </a:solidFill>
          <a:prstDash val="solid"/>
        </a:ln>
      </c:spPr>
    </c:plotArea>
    <c:legend>
      <c:legendPos val="r"/>
      <c:layout>
        <c:manualLayout>
          <c:xMode val="edge"/>
          <c:yMode val="edge"/>
          <c:x val="0.69321533923303835"/>
          <c:y val="0.27232142857142855"/>
          <c:w val="0.29498525073746312"/>
          <c:h val="0.36160714285714285"/>
        </c:manualLayout>
      </c:layout>
      <c:overlay val="0"/>
      <c:spPr>
        <a:noFill/>
        <a:ln w="1780">
          <a:solidFill>
            <a:srgbClr val="000000"/>
          </a:solidFill>
          <a:prstDash val="solid"/>
        </a:ln>
      </c:spPr>
      <c:txPr>
        <a:bodyPr/>
        <a:lstStyle/>
        <a:p>
          <a:pPr>
            <a:defRPr sz="566"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17"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8322981366459631E-2"/>
          <c:y val="0.10849056603773585"/>
          <c:w val="0.52173913043478259"/>
          <c:h val="0.79245283018867929"/>
        </c:manualLayout>
      </c:layout>
      <c:pieChart>
        <c:varyColors val="1"/>
        <c:ser>
          <c:idx val="0"/>
          <c:order val="0"/>
          <c:tx>
            <c:strRef>
              <c:f>Sheet1!$A$2</c:f>
              <c:strCache>
                <c:ptCount val="1"/>
              </c:strCache>
            </c:strRef>
          </c:tx>
          <c:spPr>
            <a:solidFill>
              <a:srgbClr val="9999FF"/>
            </a:solidFill>
            <a:ln w="9521">
              <a:solidFill>
                <a:srgbClr val="000000"/>
              </a:solidFill>
              <a:prstDash val="solid"/>
            </a:ln>
          </c:spPr>
          <c:dPt>
            <c:idx val="0"/>
            <c:bubble3D val="0"/>
            <c:extLst>
              <c:ext xmlns:c16="http://schemas.microsoft.com/office/drawing/2014/chart" uri="{C3380CC4-5D6E-409C-BE32-E72D297353CC}">
                <c16:uniqueId val="{00000000-43B7-41A3-8730-262045E6D52D}"/>
              </c:ext>
            </c:extLst>
          </c:dPt>
          <c:dPt>
            <c:idx val="1"/>
            <c:bubble3D val="0"/>
            <c:spPr>
              <a:solidFill>
                <a:srgbClr val="993366"/>
              </a:solidFill>
              <a:ln w="9521">
                <a:solidFill>
                  <a:srgbClr val="000000"/>
                </a:solidFill>
                <a:prstDash val="solid"/>
              </a:ln>
            </c:spPr>
            <c:extLst>
              <c:ext xmlns:c16="http://schemas.microsoft.com/office/drawing/2014/chart" uri="{C3380CC4-5D6E-409C-BE32-E72D297353CC}">
                <c16:uniqueId val="{00000001-43B7-41A3-8730-262045E6D52D}"/>
              </c:ext>
            </c:extLst>
          </c:dPt>
          <c:dPt>
            <c:idx val="2"/>
            <c:bubble3D val="0"/>
            <c:spPr>
              <a:solidFill>
                <a:srgbClr val="FFFFCC"/>
              </a:solidFill>
              <a:ln w="9521">
                <a:solidFill>
                  <a:srgbClr val="000000"/>
                </a:solidFill>
                <a:prstDash val="solid"/>
              </a:ln>
            </c:spPr>
            <c:extLst>
              <c:ext xmlns:c16="http://schemas.microsoft.com/office/drawing/2014/chart" uri="{C3380CC4-5D6E-409C-BE32-E72D297353CC}">
                <c16:uniqueId val="{00000002-43B7-41A3-8730-262045E6D52D}"/>
              </c:ext>
            </c:extLst>
          </c:dPt>
          <c:dPt>
            <c:idx val="3"/>
            <c:bubble3D val="0"/>
            <c:spPr>
              <a:solidFill>
                <a:srgbClr val="CCFFFF"/>
              </a:solidFill>
              <a:ln w="9521">
                <a:solidFill>
                  <a:srgbClr val="000000"/>
                </a:solidFill>
                <a:prstDash val="solid"/>
              </a:ln>
            </c:spPr>
            <c:extLst>
              <c:ext xmlns:c16="http://schemas.microsoft.com/office/drawing/2014/chart" uri="{C3380CC4-5D6E-409C-BE32-E72D297353CC}">
                <c16:uniqueId val="{00000003-43B7-41A3-8730-262045E6D52D}"/>
              </c:ext>
            </c:extLst>
          </c:dPt>
          <c:cat>
            <c:strRef>
              <c:f>Sheet1!$B$1:$E$1</c:f>
              <c:strCache>
                <c:ptCount val="4"/>
                <c:pt idx="0">
                  <c:v>一般公共预算财政拨款</c:v>
                </c:pt>
                <c:pt idx="1">
                  <c:v>政府性基金预算</c:v>
                </c:pt>
                <c:pt idx="2">
                  <c:v>事业收入</c:v>
                </c:pt>
                <c:pt idx="3">
                  <c:v>其他收入</c:v>
                </c:pt>
              </c:strCache>
            </c:strRef>
          </c:cat>
          <c:val>
            <c:numRef>
              <c:f>Sheet1!$B$2:$E$2</c:f>
              <c:numCache>
                <c:formatCode>g/"通""用""格""式"</c:formatCode>
                <c:ptCount val="4"/>
                <c:pt idx="0">
                  <c:v>216.33</c:v>
                </c:pt>
                <c:pt idx="1">
                  <c:v>372</c:v>
                </c:pt>
                <c:pt idx="2">
                  <c:v>914.73</c:v>
                </c:pt>
                <c:pt idx="3">
                  <c:v>46.62</c:v>
                </c:pt>
              </c:numCache>
            </c:numRef>
          </c:val>
          <c:extLst>
            <c:ext xmlns:c16="http://schemas.microsoft.com/office/drawing/2014/chart" uri="{C3380CC4-5D6E-409C-BE32-E72D297353CC}">
              <c16:uniqueId val="{00000004-43B7-41A3-8730-262045E6D52D}"/>
            </c:ext>
          </c:extLst>
        </c:ser>
        <c:ser>
          <c:idx val="1"/>
          <c:order val="1"/>
          <c:tx>
            <c:strRef>
              <c:f>Sheet1!$A$3</c:f>
              <c:strCache>
                <c:ptCount val="1"/>
              </c:strCache>
            </c:strRef>
          </c:tx>
          <c:spPr>
            <a:solidFill>
              <a:srgbClr val="993366"/>
            </a:solidFill>
            <a:ln w="9521">
              <a:solidFill>
                <a:srgbClr val="000000"/>
              </a:solidFill>
              <a:prstDash val="solid"/>
            </a:ln>
          </c:spPr>
          <c:dPt>
            <c:idx val="0"/>
            <c:bubble3D val="0"/>
            <c:spPr>
              <a:solidFill>
                <a:srgbClr val="9999FF"/>
              </a:solidFill>
              <a:ln w="9521">
                <a:solidFill>
                  <a:srgbClr val="000000"/>
                </a:solidFill>
                <a:prstDash val="solid"/>
              </a:ln>
            </c:spPr>
            <c:extLst>
              <c:ext xmlns:c16="http://schemas.microsoft.com/office/drawing/2014/chart" uri="{C3380CC4-5D6E-409C-BE32-E72D297353CC}">
                <c16:uniqueId val="{00000005-43B7-41A3-8730-262045E6D52D}"/>
              </c:ext>
            </c:extLst>
          </c:dPt>
          <c:dPt>
            <c:idx val="1"/>
            <c:bubble3D val="0"/>
            <c:extLst>
              <c:ext xmlns:c16="http://schemas.microsoft.com/office/drawing/2014/chart" uri="{C3380CC4-5D6E-409C-BE32-E72D297353CC}">
                <c16:uniqueId val="{00000006-43B7-41A3-8730-262045E6D52D}"/>
              </c:ext>
            </c:extLst>
          </c:dPt>
          <c:dPt>
            <c:idx val="2"/>
            <c:bubble3D val="0"/>
            <c:spPr>
              <a:solidFill>
                <a:srgbClr val="FFFFCC"/>
              </a:solidFill>
              <a:ln w="9521">
                <a:solidFill>
                  <a:srgbClr val="000000"/>
                </a:solidFill>
                <a:prstDash val="solid"/>
              </a:ln>
            </c:spPr>
            <c:extLst>
              <c:ext xmlns:c16="http://schemas.microsoft.com/office/drawing/2014/chart" uri="{C3380CC4-5D6E-409C-BE32-E72D297353CC}">
                <c16:uniqueId val="{00000007-43B7-41A3-8730-262045E6D52D}"/>
              </c:ext>
            </c:extLst>
          </c:dPt>
          <c:dPt>
            <c:idx val="3"/>
            <c:bubble3D val="0"/>
            <c:spPr>
              <a:solidFill>
                <a:srgbClr val="CCFFFF"/>
              </a:solidFill>
              <a:ln w="9521">
                <a:solidFill>
                  <a:srgbClr val="000000"/>
                </a:solidFill>
                <a:prstDash val="solid"/>
              </a:ln>
            </c:spPr>
            <c:extLst>
              <c:ext xmlns:c16="http://schemas.microsoft.com/office/drawing/2014/chart" uri="{C3380CC4-5D6E-409C-BE32-E72D297353CC}">
                <c16:uniqueId val="{00000008-43B7-41A3-8730-262045E6D52D}"/>
              </c:ext>
            </c:extLst>
          </c:dPt>
          <c:cat>
            <c:strRef>
              <c:f>Sheet1!$B$1:$E$1</c:f>
              <c:strCache>
                <c:ptCount val="4"/>
                <c:pt idx="0">
                  <c:v>一般公共预算财政拨款</c:v>
                </c:pt>
                <c:pt idx="1">
                  <c:v>政府性基金预算</c:v>
                </c:pt>
                <c:pt idx="2">
                  <c:v>事业收入</c:v>
                </c:pt>
                <c:pt idx="3">
                  <c:v>其他收入</c:v>
                </c:pt>
              </c:strCache>
            </c:strRef>
          </c:cat>
          <c:val>
            <c:numRef>
              <c:f>Sheet1!$B$3:$E$3</c:f>
              <c:numCache>
                <c:formatCode>General</c:formatCode>
                <c:ptCount val="4"/>
              </c:numCache>
            </c:numRef>
          </c:val>
          <c:extLst>
            <c:ext xmlns:c16="http://schemas.microsoft.com/office/drawing/2014/chart" uri="{C3380CC4-5D6E-409C-BE32-E72D297353CC}">
              <c16:uniqueId val="{00000009-43B7-41A3-8730-262045E6D52D}"/>
            </c:ext>
          </c:extLst>
        </c:ser>
        <c:ser>
          <c:idx val="2"/>
          <c:order val="2"/>
          <c:tx>
            <c:strRef>
              <c:f>Sheet1!$A$4</c:f>
              <c:strCache>
                <c:ptCount val="1"/>
              </c:strCache>
            </c:strRef>
          </c:tx>
          <c:spPr>
            <a:solidFill>
              <a:srgbClr val="FFFFCC"/>
            </a:solidFill>
            <a:ln w="9521">
              <a:solidFill>
                <a:srgbClr val="000000"/>
              </a:solidFill>
              <a:prstDash val="solid"/>
            </a:ln>
          </c:spPr>
          <c:dPt>
            <c:idx val="0"/>
            <c:bubble3D val="0"/>
            <c:spPr>
              <a:solidFill>
                <a:srgbClr val="9999FF"/>
              </a:solidFill>
              <a:ln w="9521">
                <a:solidFill>
                  <a:srgbClr val="000000"/>
                </a:solidFill>
                <a:prstDash val="solid"/>
              </a:ln>
            </c:spPr>
            <c:extLst>
              <c:ext xmlns:c16="http://schemas.microsoft.com/office/drawing/2014/chart" uri="{C3380CC4-5D6E-409C-BE32-E72D297353CC}">
                <c16:uniqueId val="{0000000A-43B7-41A3-8730-262045E6D52D}"/>
              </c:ext>
            </c:extLst>
          </c:dPt>
          <c:dPt>
            <c:idx val="1"/>
            <c:bubble3D val="0"/>
            <c:spPr>
              <a:solidFill>
                <a:srgbClr val="993366"/>
              </a:solidFill>
              <a:ln w="9521">
                <a:solidFill>
                  <a:srgbClr val="000000"/>
                </a:solidFill>
                <a:prstDash val="solid"/>
              </a:ln>
            </c:spPr>
            <c:extLst>
              <c:ext xmlns:c16="http://schemas.microsoft.com/office/drawing/2014/chart" uri="{C3380CC4-5D6E-409C-BE32-E72D297353CC}">
                <c16:uniqueId val="{0000000B-43B7-41A3-8730-262045E6D52D}"/>
              </c:ext>
            </c:extLst>
          </c:dPt>
          <c:dPt>
            <c:idx val="2"/>
            <c:bubble3D val="0"/>
            <c:extLst>
              <c:ext xmlns:c16="http://schemas.microsoft.com/office/drawing/2014/chart" uri="{C3380CC4-5D6E-409C-BE32-E72D297353CC}">
                <c16:uniqueId val="{0000000C-43B7-41A3-8730-262045E6D52D}"/>
              </c:ext>
            </c:extLst>
          </c:dPt>
          <c:dPt>
            <c:idx val="3"/>
            <c:bubble3D val="0"/>
            <c:spPr>
              <a:solidFill>
                <a:srgbClr val="CCFFFF"/>
              </a:solidFill>
              <a:ln w="9521">
                <a:solidFill>
                  <a:srgbClr val="000000"/>
                </a:solidFill>
                <a:prstDash val="solid"/>
              </a:ln>
            </c:spPr>
            <c:extLst>
              <c:ext xmlns:c16="http://schemas.microsoft.com/office/drawing/2014/chart" uri="{C3380CC4-5D6E-409C-BE32-E72D297353CC}">
                <c16:uniqueId val="{0000000D-43B7-41A3-8730-262045E6D52D}"/>
              </c:ext>
            </c:extLst>
          </c:dPt>
          <c:cat>
            <c:strRef>
              <c:f>Sheet1!$B$1:$E$1</c:f>
              <c:strCache>
                <c:ptCount val="4"/>
                <c:pt idx="0">
                  <c:v>一般公共预算财政拨款</c:v>
                </c:pt>
                <c:pt idx="1">
                  <c:v>政府性基金预算</c:v>
                </c:pt>
                <c:pt idx="2">
                  <c:v>事业收入</c:v>
                </c:pt>
                <c:pt idx="3">
                  <c:v>其他收入</c:v>
                </c:pt>
              </c:strCache>
            </c:strRef>
          </c:cat>
          <c:val>
            <c:numRef>
              <c:f>Sheet1!$B$4:$E$4</c:f>
              <c:numCache>
                <c:formatCode>General</c:formatCode>
                <c:ptCount val="4"/>
              </c:numCache>
            </c:numRef>
          </c:val>
          <c:extLst>
            <c:ext xmlns:c16="http://schemas.microsoft.com/office/drawing/2014/chart" uri="{C3380CC4-5D6E-409C-BE32-E72D297353CC}">
              <c16:uniqueId val="{0000000E-43B7-41A3-8730-262045E6D52D}"/>
            </c:ext>
          </c:extLst>
        </c:ser>
        <c:ser>
          <c:idx val="3"/>
          <c:order val="3"/>
          <c:tx>
            <c:strRef>
              <c:f>Sheet1!$A$5</c:f>
              <c:strCache>
                <c:ptCount val="1"/>
              </c:strCache>
            </c:strRef>
          </c:tx>
          <c:spPr>
            <a:solidFill>
              <a:srgbClr val="CCFFFF"/>
            </a:solidFill>
            <a:ln w="9521">
              <a:solidFill>
                <a:srgbClr val="000000"/>
              </a:solidFill>
              <a:prstDash val="solid"/>
            </a:ln>
          </c:spPr>
          <c:dPt>
            <c:idx val="0"/>
            <c:bubble3D val="0"/>
            <c:spPr>
              <a:solidFill>
                <a:srgbClr val="9999FF"/>
              </a:solidFill>
              <a:ln w="9521">
                <a:solidFill>
                  <a:srgbClr val="000000"/>
                </a:solidFill>
                <a:prstDash val="solid"/>
              </a:ln>
            </c:spPr>
            <c:extLst>
              <c:ext xmlns:c16="http://schemas.microsoft.com/office/drawing/2014/chart" uri="{C3380CC4-5D6E-409C-BE32-E72D297353CC}">
                <c16:uniqueId val="{0000000F-43B7-41A3-8730-262045E6D52D}"/>
              </c:ext>
            </c:extLst>
          </c:dPt>
          <c:dPt>
            <c:idx val="1"/>
            <c:bubble3D val="0"/>
            <c:spPr>
              <a:solidFill>
                <a:srgbClr val="993366"/>
              </a:solidFill>
              <a:ln w="9521">
                <a:solidFill>
                  <a:srgbClr val="000000"/>
                </a:solidFill>
                <a:prstDash val="solid"/>
              </a:ln>
            </c:spPr>
            <c:extLst>
              <c:ext xmlns:c16="http://schemas.microsoft.com/office/drawing/2014/chart" uri="{C3380CC4-5D6E-409C-BE32-E72D297353CC}">
                <c16:uniqueId val="{00000010-43B7-41A3-8730-262045E6D52D}"/>
              </c:ext>
            </c:extLst>
          </c:dPt>
          <c:dPt>
            <c:idx val="2"/>
            <c:bubble3D val="0"/>
            <c:spPr>
              <a:solidFill>
                <a:srgbClr val="FFFFCC"/>
              </a:solidFill>
              <a:ln w="9521">
                <a:solidFill>
                  <a:srgbClr val="000000"/>
                </a:solidFill>
                <a:prstDash val="solid"/>
              </a:ln>
            </c:spPr>
            <c:extLst>
              <c:ext xmlns:c16="http://schemas.microsoft.com/office/drawing/2014/chart" uri="{C3380CC4-5D6E-409C-BE32-E72D297353CC}">
                <c16:uniqueId val="{00000011-43B7-41A3-8730-262045E6D52D}"/>
              </c:ext>
            </c:extLst>
          </c:dPt>
          <c:dPt>
            <c:idx val="3"/>
            <c:bubble3D val="0"/>
            <c:extLst>
              <c:ext xmlns:c16="http://schemas.microsoft.com/office/drawing/2014/chart" uri="{C3380CC4-5D6E-409C-BE32-E72D297353CC}">
                <c16:uniqueId val="{00000012-43B7-41A3-8730-262045E6D52D}"/>
              </c:ext>
            </c:extLst>
          </c:dPt>
          <c:cat>
            <c:strRef>
              <c:f>Sheet1!$B$1:$E$1</c:f>
              <c:strCache>
                <c:ptCount val="4"/>
                <c:pt idx="0">
                  <c:v>一般公共预算财政拨款</c:v>
                </c:pt>
                <c:pt idx="1">
                  <c:v>政府性基金预算</c:v>
                </c:pt>
                <c:pt idx="2">
                  <c:v>事业收入</c:v>
                </c:pt>
                <c:pt idx="3">
                  <c:v>其他收入</c:v>
                </c:pt>
              </c:strCache>
            </c:strRef>
          </c:cat>
          <c:val>
            <c:numRef>
              <c:f>Sheet1!$B$5:$E$5</c:f>
              <c:numCache>
                <c:formatCode>General</c:formatCode>
                <c:ptCount val="4"/>
              </c:numCache>
            </c:numRef>
          </c:val>
          <c:extLst>
            <c:ext xmlns:c16="http://schemas.microsoft.com/office/drawing/2014/chart" uri="{C3380CC4-5D6E-409C-BE32-E72D297353CC}">
              <c16:uniqueId val="{00000013-43B7-41A3-8730-262045E6D52D}"/>
            </c:ext>
          </c:extLst>
        </c:ser>
        <c:dLbls>
          <c:showLegendKey val="0"/>
          <c:showVal val="0"/>
          <c:showCatName val="0"/>
          <c:showSerName val="0"/>
          <c:showPercent val="0"/>
          <c:showBubbleSize val="0"/>
          <c:showLeaderLines val="1"/>
        </c:dLbls>
        <c:firstSliceAng val="0"/>
      </c:pieChart>
      <c:spPr>
        <a:solidFill>
          <a:srgbClr val="C0C0C0"/>
        </a:solidFill>
        <a:ln w="9521">
          <a:solidFill>
            <a:srgbClr val="808080"/>
          </a:solidFill>
          <a:prstDash val="solid"/>
        </a:ln>
      </c:spPr>
    </c:plotArea>
    <c:legend>
      <c:legendPos val="r"/>
      <c:layout>
        <c:manualLayout>
          <c:xMode val="edge"/>
          <c:yMode val="edge"/>
          <c:x val="0.65838509316770188"/>
          <c:y val="0.16981132075471697"/>
          <c:w val="0.32919254658385094"/>
          <c:h val="0.66509433962264153"/>
        </c:manualLayout>
      </c:layout>
      <c:overlay val="0"/>
      <c:spPr>
        <a:noFill/>
        <a:ln w="2380">
          <a:solidFill>
            <a:srgbClr val="000000"/>
          </a:solidFill>
          <a:prstDash val="solid"/>
        </a:ln>
      </c:spPr>
      <c:txPr>
        <a:bodyPr/>
        <a:lstStyle/>
        <a:p>
          <a:pPr>
            <a:defRPr sz="723"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787"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539568345323743E-2"/>
          <c:y val="0.11538461538461539"/>
          <c:w val="0.5071942446043165"/>
          <c:h val="0.77472527472527475"/>
        </c:manualLayout>
      </c:layout>
      <c:pieChart>
        <c:varyColors val="1"/>
        <c:ser>
          <c:idx val="0"/>
          <c:order val="0"/>
          <c:tx>
            <c:strRef>
              <c:f>Sheet1!$A$2</c:f>
              <c:strCache>
                <c:ptCount val="1"/>
              </c:strCache>
            </c:strRef>
          </c:tx>
          <c:spPr>
            <a:solidFill>
              <a:srgbClr val="9999FF"/>
            </a:solidFill>
            <a:ln w="9516">
              <a:solidFill>
                <a:srgbClr val="000000"/>
              </a:solidFill>
              <a:prstDash val="solid"/>
            </a:ln>
          </c:spPr>
          <c:dPt>
            <c:idx val="0"/>
            <c:bubble3D val="0"/>
            <c:extLst>
              <c:ext xmlns:c16="http://schemas.microsoft.com/office/drawing/2014/chart" uri="{C3380CC4-5D6E-409C-BE32-E72D297353CC}">
                <c16:uniqueId val="{00000000-B2C3-44E9-B248-01D9A539E1BA}"/>
              </c:ext>
            </c:extLst>
          </c:dPt>
          <c:dPt>
            <c:idx val="1"/>
            <c:bubble3D val="0"/>
            <c:spPr>
              <a:solidFill>
                <a:srgbClr val="993366"/>
              </a:solidFill>
              <a:ln w="9516">
                <a:solidFill>
                  <a:srgbClr val="000000"/>
                </a:solidFill>
                <a:prstDash val="solid"/>
              </a:ln>
            </c:spPr>
            <c:extLst>
              <c:ext xmlns:c16="http://schemas.microsoft.com/office/drawing/2014/chart" uri="{C3380CC4-5D6E-409C-BE32-E72D297353CC}">
                <c16:uniqueId val="{00000001-B2C3-44E9-B248-01D9A539E1BA}"/>
              </c:ext>
            </c:extLst>
          </c:dPt>
          <c:dPt>
            <c:idx val="2"/>
            <c:bubble3D val="0"/>
            <c:spPr>
              <a:solidFill>
                <a:srgbClr val="FFFFCC"/>
              </a:solidFill>
              <a:ln w="9516">
                <a:solidFill>
                  <a:srgbClr val="000000"/>
                </a:solidFill>
                <a:prstDash val="solid"/>
              </a:ln>
            </c:spPr>
            <c:extLst>
              <c:ext xmlns:c16="http://schemas.microsoft.com/office/drawing/2014/chart" uri="{C3380CC4-5D6E-409C-BE32-E72D297353CC}">
                <c16:uniqueId val="{00000002-B2C3-44E9-B248-01D9A539E1BA}"/>
              </c:ext>
            </c:extLst>
          </c:dPt>
          <c:dPt>
            <c:idx val="3"/>
            <c:bubble3D val="0"/>
            <c:spPr>
              <a:solidFill>
                <a:srgbClr val="CCFFFF"/>
              </a:solidFill>
              <a:ln w="9516">
                <a:solidFill>
                  <a:srgbClr val="000000"/>
                </a:solidFill>
                <a:prstDash val="solid"/>
              </a:ln>
            </c:spPr>
            <c:extLst>
              <c:ext xmlns:c16="http://schemas.microsoft.com/office/drawing/2014/chart" uri="{C3380CC4-5D6E-409C-BE32-E72D297353CC}">
                <c16:uniqueId val="{00000003-B2C3-44E9-B248-01D9A539E1BA}"/>
              </c:ext>
            </c:extLst>
          </c:dPt>
          <c:cat>
            <c:strRef>
              <c:f>Sheet1!$B$1:$E$1</c:f>
              <c:strCache>
                <c:ptCount val="4"/>
                <c:pt idx="0">
                  <c:v>一般公共预算财政拨款</c:v>
                </c:pt>
                <c:pt idx="1">
                  <c:v>政府性基金预算拨款</c:v>
                </c:pt>
                <c:pt idx="2">
                  <c:v> </c:v>
                </c:pt>
                <c:pt idx="3">
                  <c:v> </c:v>
                </c:pt>
              </c:strCache>
            </c:strRef>
          </c:cat>
          <c:val>
            <c:numRef>
              <c:f>Sheet1!$B$2:$E$2</c:f>
              <c:numCache>
                <c:formatCode>g/"通""用""格""式"</c:formatCode>
                <c:ptCount val="4"/>
                <c:pt idx="0">
                  <c:v>216.33</c:v>
                </c:pt>
                <c:pt idx="1">
                  <c:v>372</c:v>
                </c:pt>
                <c:pt idx="2">
                  <c:v>0</c:v>
                </c:pt>
                <c:pt idx="3">
                  <c:v>0</c:v>
                </c:pt>
              </c:numCache>
            </c:numRef>
          </c:val>
          <c:extLst>
            <c:ext xmlns:c16="http://schemas.microsoft.com/office/drawing/2014/chart" uri="{C3380CC4-5D6E-409C-BE32-E72D297353CC}">
              <c16:uniqueId val="{00000004-B2C3-44E9-B248-01D9A539E1BA}"/>
            </c:ext>
          </c:extLst>
        </c:ser>
        <c:ser>
          <c:idx val="1"/>
          <c:order val="1"/>
          <c:tx>
            <c:strRef>
              <c:f>Sheet1!$A$3</c:f>
              <c:strCache>
                <c:ptCount val="1"/>
              </c:strCache>
            </c:strRef>
          </c:tx>
          <c:spPr>
            <a:solidFill>
              <a:srgbClr val="993366"/>
            </a:solidFill>
            <a:ln w="9516">
              <a:solidFill>
                <a:srgbClr val="000000"/>
              </a:solidFill>
              <a:prstDash val="solid"/>
            </a:ln>
          </c:spPr>
          <c:dPt>
            <c:idx val="0"/>
            <c:bubble3D val="0"/>
            <c:spPr>
              <a:solidFill>
                <a:srgbClr val="9999FF"/>
              </a:solidFill>
              <a:ln w="9516">
                <a:solidFill>
                  <a:srgbClr val="000000"/>
                </a:solidFill>
                <a:prstDash val="solid"/>
              </a:ln>
            </c:spPr>
            <c:extLst>
              <c:ext xmlns:c16="http://schemas.microsoft.com/office/drawing/2014/chart" uri="{C3380CC4-5D6E-409C-BE32-E72D297353CC}">
                <c16:uniqueId val="{00000005-B2C3-44E9-B248-01D9A539E1BA}"/>
              </c:ext>
            </c:extLst>
          </c:dPt>
          <c:dPt>
            <c:idx val="1"/>
            <c:bubble3D val="0"/>
            <c:extLst>
              <c:ext xmlns:c16="http://schemas.microsoft.com/office/drawing/2014/chart" uri="{C3380CC4-5D6E-409C-BE32-E72D297353CC}">
                <c16:uniqueId val="{00000006-B2C3-44E9-B248-01D9A539E1BA}"/>
              </c:ext>
            </c:extLst>
          </c:dPt>
          <c:dPt>
            <c:idx val="2"/>
            <c:bubble3D val="0"/>
            <c:spPr>
              <a:solidFill>
                <a:srgbClr val="FFFFCC"/>
              </a:solidFill>
              <a:ln w="9516">
                <a:solidFill>
                  <a:srgbClr val="000000"/>
                </a:solidFill>
                <a:prstDash val="solid"/>
              </a:ln>
            </c:spPr>
            <c:extLst>
              <c:ext xmlns:c16="http://schemas.microsoft.com/office/drawing/2014/chart" uri="{C3380CC4-5D6E-409C-BE32-E72D297353CC}">
                <c16:uniqueId val="{00000007-B2C3-44E9-B248-01D9A539E1BA}"/>
              </c:ext>
            </c:extLst>
          </c:dPt>
          <c:dPt>
            <c:idx val="3"/>
            <c:bubble3D val="0"/>
            <c:spPr>
              <a:solidFill>
                <a:srgbClr val="CCFFFF"/>
              </a:solidFill>
              <a:ln w="9516">
                <a:solidFill>
                  <a:srgbClr val="000000"/>
                </a:solidFill>
                <a:prstDash val="solid"/>
              </a:ln>
            </c:spPr>
            <c:extLst>
              <c:ext xmlns:c16="http://schemas.microsoft.com/office/drawing/2014/chart" uri="{C3380CC4-5D6E-409C-BE32-E72D297353CC}">
                <c16:uniqueId val="{00000008-B2C3-44E9-B248-01D9A539E1BA}"/>
              </c:ext>
            </c:extLst>
          </c:dPt>
          <c:cat>
            <c:strRef>
              <c:f>Sheet1!$B$1:$E$1</c:f>
              <c:strCache>
                <c:ptCount val="4"/>
                <c:pt idx="0">
                  <c:v>一般公共预算财政拨款</c:v>
                </c:pt>
                <c:pt idx="1">
                  <c:v>政府性基金预算拨款</c:v>
                </c:pt>
                <c:pt idx="2">
                  <c:v> </c:v>
                </c:pt>
                <c:pt idx="3">
                  <c:v> </c:v>
                </c:pt>
              </c:strCache>
            </c:strRef>
          </c:cat>
          <c:val>
            <c:numRef>
              <c:f>Sheet1!$B$3:$E$3</c:f>
              <c:numCache>
                <c:formatCode>g/"通""用""格""式"</c:formatCode>
                <c:ptCount val="4"/>
                <c:pt idx="0">
                  <c:v>0</c:v>
                </c:pt>
                <c:pt idx="1">
                  <c:v>0</c:v>
                </c:pt>
                <c:pt idx="2">
                  <c:v>0</c:v>
                </c:pt>
                <c:pt idx="3">
                  <c:v>0</c:v>
                </c:pt>
              </c:numCache>
            </c:numRef>
          </c:val>
          <c:extLst>
            <c:ext xmlns:c16="http://schemas.microsoft.com/office/drawing/2014/chart" uri="{C3380CC4-5D6E-409C-BE32-E72D297353CC}">
              <c16:uniqueId val="{00000009-B2C3-44E9-B248-01D9A539E1BA}"/>
            </c:ext>
          </c:extLst>
        </c:ser>
        <c:ser>
          <c:idx val="2"/>
          <c:order val="2"/>
          <c:tx>
            <c:strRef>
              <c:f>Sheet1!$A$4</c:f>
              <c:strCache>
                <c:ptCount val="1"/>
              </c:strCache>
            </c:strRef>
          </c:tx>
          <c:spPr>
            <a:solidFill>
              <a:srgbClr val="FFFFCC"/>
            </a:solidFill>
            <a:ln w="9516">
              <a:solidFill>
                <a:srgbClr val="000000"/>
              </a:solidFill>
              <a:prstDash val="solid"/>
            </a:ln>
          </c:spPr>
          <c:dPt>
            <c:idx val="0"/>
            <c:bubble3D val="0"/>
            <c:spPr>
              <a:solidFill>
                <a:srgbClr val="9999FF"/>
              </a:solidFill>
              <a:ln w="9516">
                <a:solidFill>
                  <a:srgbClr val="000000"/>
                </a:solidFill>
                <a:prstDash val="solid"/>
              </a:ln>
            </c:spPr>
            <c:extLst>
              <c:ext xmlns:c16="http://schemas.microsoft.com/office/drawing/2014/chart" uri="{C3380CC4-5D6E-409C-BE32-E72D297353CC}">
                <c16:uniqueId val="{0000000A-B2C3-44E9-B248-01D9A539E1BA}"/>
              </c:ext>
            </c:extLst>
          </c:dPt>
          <c:dPt>
            <c:idx val="1"/>
            <c:bubble3D val="0"/>
            <c:spPr>
              <a:solidFill>
                <a:srgbClr val="993366"/>
              </a:solidFill>
              <a:ln w="9516">
                <a:solidFill>
                  <a:srgbClr val="000000"/>
                </a:solidFill>
                <a:prstDash val="solid"/>
              </a:ln>
            </c:spPr>
            <c:extLst>
              <c:ext xmlns:c16="http://schemas.microsoft.com/office/drawing/2014/chart" uri="{C3380CC4-5D6E-409C-BE32-E72D297353CC}">
                <c16:uniqueId val="{0000000B-B2C3-44E9-B248-01D9A539E1BA}"/>
              </c:ext>
            </c:extLst>
          </c:dPt>
          <c:dPt>
            <c:idx val="2"/>
            <c:bubble3D val="0"/>
            <c:extLst>
              <c:ext xmlns:c16="http://schemas.microsoft.com/office/drawing/2014/chart" uri="{C3380CC4-5D6E-409C-BE32-E72D297353CC}">
                <c16:uniqueId val="{0000000C-B2C3-44E9-B248-01D9A539E1BA}"/>
              </c:ext>
            </c:extLst>
          </c:dPt>
          <c:dPt>
            <c:idx val="3"/>
            <c:bubble3D val="0"/>
            <c:spPr>
              <a:solidFill>
                <a:srgbClr val="CCFFFF"/>
              </a:solidFill>
              <a:ln w="9516">
                <a:solidFill>
                  <a:srgbClr val="000000"/>
                </a:solidFill>
                <a:prstDash val="solid"/>
              </a:ln>
            </c:spPr>
            <c:extLst>
              <c:ext xmlns:c16="http://schemas.microsoft.com/office/drawing/2014/chart" uri="{C3380CC4-5D6E-409C-BE32-E72D297353CC}">
                <c16:uniqueId val="{0000000D-B2C3-44E9-B248-01D9A539E1BA}"/>
              </c:ext>
            </c:extLst>
          </c:dPt>
          <c:cat>
            <c:strRef>
              <c:f>Sheet1!$B$1:$E$1</c:f>
              <c:strCache>
                <c:ptCount val="4"/>
                <c:pt idx="0">
                  <c:v>一般公共预算财政拨款</c:v>
                </c:pt>
                <c:pt idx="1">
                  <c:v>政府性基金预算拨款</c:v>
                </c:pt>
                <c:pt idx="2">
                  <c:v> </c:v>
                </c:pt>
                <c:pt idx="3">
                  <c:v> </c:v>
                </c:pt>
              </c:strCache>
            </c:strRef>
          </c:cat>
          <c:val>
            <c:numRef>
              <c:f>Sheet1!$B$4:$E$4</c:f>
              <c:numCache>
                <c:formatCode>g/"通""用""格""式"</c:formatCode>
                <c:ptCount val="4"/>
                <c:pt idx="0">
                  <c:v>0</c:v>
                </c:pt>
                <c:pt idx="1">
                  <c:v>0</c:v>
                </c:pt>
                <c:pt idx="2">
                  <c:v>0</c:v>
                </c:pt>
                <c:pt idx="3">
                  <c:v>0</c:v>
                </c:pt>
              </c:numCache>
            </c:numRef>
          </c:val>
          <c:extLst>
            <c:ext xmlns:c16="http://schemas.microsoft.com/office/drawing/2014/chart" uri="{C3380CC4-5D6E-409C-BE32-E72D297353CC}">
              <c16:uniqueId val="{0000000E-B2C3-44E9-B248-01D9A539E1BA}"/>
            </c:ext>
          </c:extLst>
        </c:ser>
        <c:dLbls>
          <c:showLegendKey val="0"/>
          <c:showVal val="0"/>
          <c:showCatName val="0"/>
          <c:showSerName val="0"/>
          <c:showPercent val="0"/>
          <c:showBubbleSize val="0"/>
          <c:showLeaderLines val="1"/>
        </c:dLbls>
        <c:firstSliceAng val="0"/>
      </c:pieChart>
      <c:spPr>
        <a:solidFill>
          <a:srgbClr val="C0C0C0"/>
        </a:solidFill>
        <a:ln w="9516">
          <a:solidFill>
            <a:srgbClr val="808080"/>
          </a:solidFill>
          <a:prstDash val="solid"/>
        </a:ln>
      </c:spPr>
    </c:plotArea>
    <c:legend>
      <c:legendPos val="r"/>
      <c:layout>
        <c:manualLayout>
          <c:xMode val="edge"/>
          <c:yMode val="edge"/>
          <c:x val="0.65467625899280579"/>
          <c:y val="0.15384615384615385"/>
          <c:w val="0.33093525179856115"/>
          <c:h val="0.68681318681318682"/>
        </c:manualLayout>
      </c:layout>
      <c:overlay val="0"/>
      <c:spPr>
        <a:noFill/>
        <a:ln w="2379">
          <a:solidFill>
            <a:srgbClr val="000000"/>
          </a:solidFill>
          <a:prstDash val="solid"/>
        </a:ln>
      </c:spPr>
      <c:txPr>
        <a:bodyPr/>
        <a:lstStyle/>
        <a:p>
          <a:pPr>
            <a:defRPr sz="618"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674"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748201438848921"/>
          <c:y val="0.10989010989010989"/>
          <c:w val="0.47122302158273383"/>
          <c:h val="0.69230769230769229"/>
        </c:manualLayout>
      </c:layout>
      <c:barChart>
        <c:barDir val="col"/>
        <c:grouping val="clustered"/>
        <c:varyColors val="0"/>
        <c:ser>
          <c:idx val="0"/>
          <c:order val="0"/>
          <c:tx>
            <c:strRef>
              <c:f>Sheet1!$A$2</c:f>
              <c:strCache>
                <c:ptCount val="1"/>
                <c:pt idx="0">
                  <c:v>2020年财政拨款收入</c:v>
                </c:pt>
              </c:strCache>
            </c:strRef>
          </c:tx>
          <c:spPr>
            <a:solidFill>
              <a:srgbClr val="9999FF"/>
            </a:solidFill>
            <a:ln w="9522">
              <a:solidFill>
                <a:srgbClr val="000000"/>
              </a:solidFill>
              <a:prstDash val="solid"/>
            </a:ln>
          </c:spPr>
          <c:invertIfNegative val="0"/>
          <c:cat>
            <c:strRef>
              <c:f>Sheet1!$B$1:$E$1</c:f>
              <c:strCache>
                <c:ptCount val="4"/>
                <c:pt idx="0">
                  <c:v> </c:v>
                </c:pt>
                <c:pt idx="1">
                  <c:v> </c:v>
                </c:pt>
                <c:pt idx="2">
                  <c:v> </c:v>
                </c:pt>
                <c:pt idx="3">
                  <c:v> </c:v>
                </c:pt>
              </c:strCache>
            </c:strRef>
          </c:cat>
          <c:val>
            <c:numRef>
              <c:f>Sheet1!$B$2:$E$2</c:f>
              <c:numCache>
                <c:formatCode>g/"通""用""格""式"</c:formatCode>
                <c:ptCount val="4"/>
                <c:pt idx="0">
                  <c:v>588.33000000000004</c:v>
                </c:pt>
                <c:pt idx="1">
                  <c:v>0</c:v>
                </c:pt>
                <c:pt idx="2">
                  <c:v>0</c:v>
                </c:pt>
                <c:pt idx="3">
                  <c:v>0</c:v>
                </c:pt>
              </c:numCache>
            </c:numRef>
          </c:val>
          <c:extLst>
            <c:ext xmlns:c16="http://schemas.microsoft.com/office/drawing/2014/chart" uri="{C3380CC4-5D6E-409C-BE32-E72D297353CC}">
              <c16:uniqueId val="{00000000-4F6A-44C7-8487-C576F2AB9DF8}"/>
            </c:ext>
          </c:extLst>
        </c:ser>
        <c:ser>
          <c:idx val="1"/>
          <c:order val="1"/>
          <c:tx>
            <c:strRef>
              <c:f>Sheet1!$A$3</c:f>
              <c:strCache>
                <c:ptCount val="1"/>
                <c:pt idx="0">
                  <c:v>2020年财政拨款支出</c:v>
                </c:pt>
              </c:strCache>
            </c:strRef>
          </c:tx>
          <c:spPr>
            <a:solidFill>
              <a:srgbClr val="993366"/>
            </a:solidFill>
            <a:ln w="9522">
              <a:solidFill>
                <a:srgbClr val="000000"/>
              </a:solidFill>
              <a:prstDash val="solid"/>
            </a:ln>
          </c:spPr>
          <c:invertIfNegative val="0"/>
          <c:cat>
            <c:strRef>
              <c:f>Sheet1!$B$1:$E$1</c:f>
              <c:strCache>
                <c:ptCount val="4"/>
                <c:pt idx="0">
                  <c:v> </c:v>
                </c:pt>
                <c:pt idx="1">
                  <c:v> </c:v>
                </c:pt>
                <c:pt idx="2">
                  <c:v> </c:v>
                </c:pt>
                <c:pt idx="3">
                  <c:v> </c:v>
                </c:pt>
              </c:strCache>
            </c:strRef>
          </c:cat>
          <c:val>
            <c:numRef>
              <c:f>Sheet1!$B$3:$E$3</c:f>
              <c:numCache>
                <c:formatCode>g/"通""用""格""式"</c:formatCode>
                <c:ptCount val="4"/>
                <c:pt idx="0">
                  <c:v>582.87</c:v>
                </c:pt>
                <c:pt idx="1">
                  <c:v>0</c:v>
                </c:pt>
                <c:pt idx="2">
                  <c:v>0</c:v>
                </c:pt>
                <c:pt idx="3">
                  <c:v>0</c:v>
                </c:pt>
              </c:numCache>
            </c:numRef>
          </c:val>
          <c:extLst>
            <c:ext xmlns:c16="http://schemas.microsoft.com/office/drawing/2014/chart" uri="{C3380CC4-5D6E-409C-BE32-E72D297353CC}">
              <c16:uniqueId val="{00000001-4F6A-44C7-8487-C576F2AB9DF8}"/>
            </c:ext>
          </c:extLst>
        </c:ser>
        <c:ser>
          <c:idx val="2"/>
          <c:order val="2"/>
          <c:tx>
            <c:strRef>
              <c:f>Sheet1!$A$4</c:f>
              <c:strCache>
                <c:ptCount val="1"/>
                <c:pt idx="0">
                  <c:v>2019年财政拨款收入</c:v>
                </c:pt>
              </c:strCache>
            </c:strRef>
          </c:tx>
          <c:spPr>
            <a:solidFill>
              <a:srgbClr val="FFFFCC"/>
            </a:solidFill>
            <a:ln w="9522">
              <a:solidFill>
                <a:srgbClr val="000000"/>
              </a:solidFill>
              <a:prstDash val="solid"/>
            </a:ln>
          </c:spPr>
          <c:invertIfNegative val="0"/>
          <c:cat>
            <c:strRef>
              <c:f>Sheet1!$B$1:$E$1</c:f>
              <c:strCache>
                <c:ptCount val="4"/>
                <c:pt idx="0">
                  <c:v> </c:v>
                </c:pt>
                <c:pt idx="1">
                  <c:v> </c:v>
                </c:pt>
                <c:pt idx="2">
                  <c:v> </c:v>
                </c:pt>
                <c:pt idx="3">
                  <c:v> </c:v>
                </c:pt>
              </c:strCache>
            </c:strRef>
          </c:cat>
          <c:val>
            <c:numRef>
              <c:f>Sheet1!$B$4:$E$4</c:f>
              <c:numCache>
                <c:formatCode>g/"通""用""格""式"</c:formatCode>
                <c:ptCount val="4"/>
                <c:pt idx="0">
                  <c:v>570.75</c:v>
                </c:pt>
                <c:pt idx="1">
                  <c:v>0</c:v>
                </c:pt>
                <c:pt idx="2">
                  <c:v>0</c:v>
                </c:pt>
                <c:pt idx="3">
                  <c:v>0</c:v>
                </c:pt>
              </c:numCache>
            </c:numRef>
          </c:val>
          <c:extLst>
            <c:ext xmlns:c16="http://schemas.microsoft.com/office/drawing/2014/chart" uri="{C3380CC4-5D6E-409C-BE32-E72D297353CC}">
              <c16:uniqueId val="{00000002-4F6A-44C7-8487-C576F2AB9DF8}"/>
            </c:ext>
          </c:extLst>
        </c:ser>
        <c:ser>
          <c:idx val="3"/>
          <c:order val="3"/>
          <c:tx>
            <c:strRef>
              <c:f>Sheet1!$A$5</c:f>
              <c:strCache>
                <c:ptCount val="1"/>
                <c:pt idx="0">
                  <c:v>2019年财政拨款支出</c:v>
                </c:pt>
              </c:strCache>
            </c:strRef>
          </c:tx>
          <c:spPr>
            <a:solidFill>
              <a:srgbClr val="CCFFFF"/>
            </a:solidFill>
            <a:ln w="9522">
              <a:solidFill>
                <a:srgbClr val="000000"/>
              </a:solidFill>
              <a:prstDash val="solid"/>
            </a:ln>
          </c:spPr>
          <c:invertIfNegative val="0"/>
          <c:cat>
            <c:strRef>
              <c:f>Sheet1!$B$1:$E$1</c:f>
              <c:strCache>
                <c:ptCount val="4"/>
                <c:pt idx="0">
                  <c:v> </c:v>
                </c:pt>
                <c:pt idx="1">
                  <c:v> </c:v>
                </c:pt>
                <c:pt idx="2">
                  <c:v> </c:v>
                </c:pt>
                <c:pt idx="3">
                  <c:v> </c:v>
                </c:pt>
              </c:strCache>
            </c:strRef>
          </c:cat>
          <c:val>
            <c:numRef>
              <c:f>Sheet1!$B$5:$E$5</c:f>
              <c:numCache>
                <c:formatCode>General</c:formatCode>
                <c:ptCount val="4"/>
                <c:pt idx="0" formatCode="g/&quot;通&quot;&quot;用&quot;&quot;格&quot;&quot;式&quot;">
                  <c:v>570.75</c:v>
                </c:pt>
              </c:numCache>
            </c:numRef>
          </c:val>
          <c:extLst>
            <c:ext xmlns:c16="http://schemas.microsoft.com/office/drawing/2014/chart" uri="{C3380CC4-5D6E-409C-BE32-E72D297353CC}">
              <c16:uniqueId val="{00000003-4F6A-44C7-8487-C576F2AB9DF8}"/>
            </c:ext>
          </c:extLst>
        </c:ser>
        <c:dLbls>
          <c:showLegendKey val="0"/>
          <c:showVal val="0"/>
          <c:showCatName val="0"/>
          <c:showSerName val="0"/>
          <c:showPercent val="0"/>
          <c:showBubbleSize val="0"/>
        </c:dLbls>
        <c:gapWidth val="150"/>
        <c:axId val="211928992"/>
        <c:axId val="1"/>
      </c:barChart>
      <c:catAx>
        <c:axId val="211928992"/>
        <c:scaling>
          <c:orientation val="minMax"/>
        </c:scaling>
        <c:delete val="0"/>
        <c:axPos val="b"/>
        <c:numFmt formatCode="General" sourceLinked="1"/>
        <c:majorTickMark val="in"/>
        <c:minorTickMark val="none"/>
        <c:tickLblPos val="nextTo"/>
        <c:spPr>
          <a:ln w="2381">
            <a:solidFill>
              <a:srgbClr val="000000"/>
            </a:solidFill>
            <a:prstDash val="solid"/>
          </a:ln>
        </c:spPr>
        <c:txPr>
          <a:bodyPr rot="0" vert="horz"/>
          <a:lstStyle/>
          <a:p>
            <a:pPr>
              <a:defRPr sz="675" b="0" i="0" u="none" strike="noStrike" baseline="0">
                <a:solidFill>
                  <a:srgbClr val="000000"/>
                </a:solidFill>
                <a:latin typeface="宋体"/>
                <a:ea typeface="宋体"/>
                <a:cs typeface="宋体"/>
              </a:defRPr>
            </a:pPr>
            <a:endParaRPr lang="zh-CN"/>
          </a:p>
        </c:txPr>
        <c:crossAx val="1"/>
        <c:crosses val="autoZero"/>
        <c:auto val="1"/>
        <c:lblAlgn val="ctr"/>
        <c:lblOffset val="100"/>
        <c:tickLblSkip val="1"/>
        <c:tickMarkSkip val="1"/>
        <c:noMultiLvlLbl val="0"/>
      </c:catAx>
      <c:valAx>
        <c:axId val="1"/>
        <c:scaling>
          <c:orientation val="minMax"/>
        </c:scaling>
        <c:delete val="0"/>
        <c:axPos val="l"/>
        <c:majorGridlines>
          <c:spPr>
            <a:ln w="2381">
              <a:solidFill>
                <a:srgbClr val="000000"/>
              </a:solidFill>
              <a:prstDash val="solid"/>
            </a:ln>
          </c:spPr>
        </c:majorGridlines>
        <c:numFmt formatCode="g/&quot;通&quot;&quot;用&quot;&quot;格&quot;&quot;式&quot;" sourceLinked="1"/>
        <c:majorTickMark val="in"/>
        <c:minorTickMark val="none"/>
        <c:tickLblPos val="nextTo"/>
        <c:spPr>
          <a:ln w="2381">
            <a:solidFill>
              <a:srgbClr val="000000"/>
            </a:solidFill>
            <a:prstDash val="solid"/>
          </a:ln>
        </c:spPr>
        <c:txPr>
          <a:bodyPr rot="0" vert="horz"/>
          <a:lstStyle/>
          <a:p>
            <a:pPr>
              <a:defRPr sz="675" b="0" i="0" u="none" strike="noStrike" baseline="0">
                <a:solidFill>
                  <a:srgbClr val="000000"/>
                </a:solidFill>
                <a:latin typeface="宋体"/>
                <a:ea typeface="宋体"/>
                <a:cs typeface="宋体"/>
              </a:defRPr>
            </a:pPr>
            <a:endParaRPr lang="zh-CN"/>
          </a:p>
        </c:txPr>
        <c:crossAx val="211928992"/>
        <c:crosses val="autoZero"/>
        <c:crossBetween val="between"/>
      </c:valAx>
      <c:spPr>
        <a:solidFill>
          <a:srgbClr val="C0C0C0"/>
        </a:solidFill>
        <a:ln w="9522">
          <a:solidFill>
            <a:srgbClr val="808080"/>
          </a:solidFill>
          <a:prstDash val="solid"/>
        </a:ln>
      </c:spPr>
    </c:plotArea>
    <c:legend>
      <c:legendPos val="r"/>
      <c:layout>
        <c:manualLayout>
          <c:xMode val="edge"/>
          <c:yMode val="edge"/>
          <c:x val="0.65467625899280579"/>
          <c:y val="0.10989010989010989"/>
          <c:w val="0.33093525179856115"/>
          <c:h val="0.68681318681318682"/>
        </c:manualLayout>
      </c:layout>
      <c:overlay val="0"/>
      <c:spPr>
        <a:noFill/>
        <a:ln w="2381">
          <a:solidFill>
            <a:srgbClr val="000000"/>
          </a:solidFill>
          <a:prstDash val="solid"/>
        </a:ln>
      </c:spPr>
      <c:txPr>
        <a:bodyPr/>
        <a:lstStyle/>
        <a:p>
          <a:pPr>
            <a:defRPr sz="619"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75" b="0" i="0" u="none" strike="noStrike" baseline="0">
          <a:solidFill>
            <a:srgbClr val="000000"/>
          </a:solidFill>
          <a:latin typeface="宋体"/>
          <a:ea typeface="宋体"/>
          <a:cs typeface="宋体"/>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057915057915058"/>
          <c:y val="0.11764705882352941"/>
          <c:w val="0.50579150579150578"/>
          <c:h val="0.68823529411764706"/>
        </c:manualLayout>
      </c:layout>
      <c:barChart>
        <c:barDir val="col"/>
        <c:grouping val="clustered"/>
        <c:varyColors val="0"/>
        <c:ser>
          <c:idx val="0"/>
          <c:order val="0"/>
          <c:tx>
            <c:strRef>
              <c:f>Sheet1!$A$2</c:f>
              <c:strCache>
                <c:ptCount val="1"/>
                <c:pt idx="0">
                  <c:v>2019年支出</c:v>
                </c:pt>
              </c:strCache>
            </c:strRef>
          </c:tx>
          <c:spPr>
            <a:solidFill>
              <a:srgbClr val="9999FF"/>
            </a:solidFill>
            <a:ln w="10299">
              <a:solidFill>
                <a:srgbClr val="000000"/>
              </a:solidFill>
              <a:prstDash val="solid"/>
            </a:ln>
          </c:spPr>
          <c:invertIfNegative val="0"/>
          <c:cat>
            <c:strRef>
              <c:f>Sheet1!$B$1:$E$1</c:f>
              <c:strCache>
                <c:ptCount val="4"/>
                <c:pt idx="0">
                  <c:v> </c:v>
                </c:pt>
                <c:pt idx="1">
                  <c:v> </c:v>
                </c:pt>
                <c:pt idx="2">
                  <c:v> </c:v>
                </c:pt>
                <c:pt idx="3">
                  <c:v>  </c:v>
                </c:pt>
              </c:strCache>
            </c:strRef>
          </c:cat>
          <c:val>
            <c:numRef>
              <c:f>Sheet1!$B$2:$E$2</c:f>
              <c:numCache>
                <c:formatCode>General</c:formatCode>
                <c:ptCount val="4"/>
                <c:pt idx="0" formatCode="g/&quot;通&quot;&quot;用&quot;&quot;格&quot;&quot;式&quot;">
                  <c:v>299.75</c:v>
                </c:pt>
              </c:numCache>
            </c:numRef>
          </c:val>
          <c:extLst>
            <c:ext xmlns:c16="http://schemas.microsoft.com/office/drawing/2014/chart" uri="{C3380CC4-5D6E-409C-BE32-E72D297353CC}">
              <c16:uniqueId val="{00000000-EFA5-46AC-BE86-6ACE8B926997}"/>
            </c:ext>
          </c:extLst>
        </c:ser>
        <c:ser>
          <c:idx val="1"/>
          <c:order val="1"/>
          <c:tx>
            <c:strRef>
              <c:f>Sheet1!$A$3</c:f>
              <c:strCache>
                <c:ptCount val="1"/>
                <c:pt idx="0">
                  <c:v>2020年支出</c:v>
                </c:pt>
              </c:strCache>
            </c:strRef>
          </c:tx>
          <c:spPr>
            <a:solidFill>
              <a:srgbClr val="993366"/>
            </a:solidFill>
            <a:ln w="10299">
              <a:solidFill>
                <a:srgbClr val="000000"/>
              </a:solidFill>
              <a:prstDash val="solid"/>
            </a:ln>
          </c:spPr>
          <c:invertIfNegative val="0"/>
          <c:cat>
            <c:strRef>
              <c:f>Sheet1!$B$1:$E$1</c:f>
              <c:strCache>
                <c:ptCount val="4"/>
                <c:pt idx="0">
                  <c:v> </c:v>
                </c:pt>
                <c:pt idx="1">
                  <c:v> </c:v>
                </c:pt>
                <c:pt idx="2">
                  <c:v> </c:v>
                </c:pt>
                <c:pt idx="3">
                  <c:v>  </c:v>
                </c:pt>
              </c:strCache>
            </c:strRef>
          </c:cat>
          <c:val>
            <c:numRef>
              <c:f>Sheet1!$B$3:$E$3</c:f>
              <c:numCache>
                <c:formatCode>General</c:formatCode>
                <c:ptCount val="4"/>
                <c:pt idx="0" formatCode="g/&quot;通&quot;&quot;用&quot;&quot;格&quot;&quot;式&quot;">
                  <c:v>216.33</c:v>
                </c:pt>
              </c:numCache>
            </c:numRef>
          </c:val>
          <c:extLst>
            <c:ext xmlns:c16="http://schemas.microsoft.com/office/drawing/2014/chart" uri="{C3380CC4-5D6E-409C-BE32-E72D297353CC}">
              <c16:uniqueId val="{00000001-EFA5-46AC-BE86-6ACE8B926997}"/>
            </c:ext>
          </c:extLst>
        </c:ser>
        <c:ser>
          <c:idx val="2"/>
          <c:order val="2"/>
          <c:tx>
            <c:strRef>
              <c:f>Sheet1!$A$4</c:f>
              <c:strCache>
                <c:ptCount val="1"/>
                <c:pt idx="0">
                  <c:v> </c:v>
                </c:pt>
              </c:strCache>
            </c:strRef>
          </c:tx>
          <c:spPr>
            <a:solidFill>
              <a:srgbClr val="FFFFCC"/>
            </a:solidFill>
            <a:ln w="10299">
              <a:solidFill>
                <a:srgbClr val="000000"/>
              </a:solidFill>
              <a:prstDash val="solid"/>
            </a:ln>
          </c:spPr>
          <c:invertIfNegative val="0"/>
          <c:cat>
            <c:strRef>
              <c:f>Sheet1!$B$1:$E$1</c:f>
              <c:strCache>
                <c:ptCount val="4"/>
                <c:pt idx="0">
                  <c:v> </c:v>
                </c:pt>
                <c:pt idx="1">
                  <c:v> </c:v>
                </c:pt>
                <c:pt idx="2">
                  <c:v> </c:v>
                </c:pt>
                <c:pt idx="3">
                  <c:v>  </c:v>
                </c:pt>
              </c:strCache>
            </c:strRef>
          </c:cat>
          <c:val>
            <c:numRef>
              <c:f>Sheet1!$B$4:$E$4</c:f>
              <c:numCache>
                <c:formatCode>g/"通""用""格""式"</c:formatCode>
                <c:ptCount val="4"/>
                <c:pt idx="0">
                  <c:v>0</c:v>
                </c:pt>
                <c:pt idx="1">
                  <c:v>0</c:v>
                </c:pt>
                <c:pt idx="2">
                  <c:v>0</c:v>
                </c:pt>
                <c:pt idx="3">
                  <c:v>0</c:v>
                </c:pt>
              </c:numCache>
            </c:numRef>
          </c:val>
          <c:extLst>
            <c:ext xmlns:c16="http://schemas.microsoft.com/office/drawing/2014/chart" uri="{C3380CC4-5D6E-409C-BE32-E72D297353CC}">
              <c16:uniqueId val="{00000002-EFA5-46AC-BE86-6ACE8B926997}"/>
            </c:ext>
          </c:extLst>
        </c:ser>
        <c:dLbls>
          <c:showLegendKey val="0"/>
          <c:showVal val="0"/>
          <c:showCatName val="0"/>
          <c:showSerName val="0"/>
          <c:showPercent val="0"/>
          <c:showBubbleSize val="0"/>
        </c:dLbls>
        <c:gapWidth val="150"/>
        <c:axId val="211928336"/>
        <c:axId val="1"/>
      </c:barChart>
      <c:catAx>
        <c:axId val="211928336"/>
        <c:scaling>
          <c:orientation val="minMax"/>
        </c:scaling>
        <c:delete val="0"/>
        <c:axPos val="b"/>
        <c:numFmt formatCode="General" sourceLinked="1"/>
        <c:majorTickMark val="in"/>
        <c:minorTickMark val="none"/>
        <c:tickLblPos val="nextTo"/>
        <c:spPr>
          <a:ln w="2575">
            <a:solidFill>
              <a:srgbClr val="000000"/>
            </a:solidFill>
            <a:prstDash val="solid"/>
          </a:ln>
        </c:spPr>
        <c:txPr>
          <a:bodyPr rot="0" vert="horz"/>
          <a:lstStyle/>
          <a:p>
            <a:pPr>
              <a:defRPr sz="689" b="0" i="0" u="none" strike="noStrike" baseline="0">
                <a:solidFill>
                  <a:srgbClr val="000000"/>
                </a:solidFill>
                <a:latin typeface="宋体"/>
                <a:ea typeface="宋体"/>
                <a:cs typeface="宋体"/>
              </a:defRPr>
            </a:pPr>
            <a:endParaRPr lang="zh-CN"/>
          </a:p>
        </c:txPr>
        <c:crossAx val="1"/>
        <c:crosses val="autoZero"/>
        <c:auto val="1"/>
        <c:lblAlgn val="ctr"/>
        <c:lblOffset val="100"/>
        <c:tickLblSkip val="1"/>
        <c:tickMarkSkip val="1"/>
        <c:noMultiLvlLbl val="0"/>
      </c:catAx>
      <c:valAx>
        <c:axId val="1"/>
        <c:scaling>
          <c:orientation val="minMax"/>
        </c:scaling>
        <c:delete val="0"/>
        <c:axPos val="l"/>
        <c:majorGridlines>
          <c:spPr>
            <a:ln w="2575">
              <a:solidFill>
                <a:srgbClr val="000000"/>
              </a:solidFill>
              <a:prstDash val="solid"/>
            </a:ln>
          </c:spPr>
        </c:majorGridlines>
        <c:numFmt formatCode="g/&quot;通&quot;&quot;用&quot;&quot;格&quot;&quot;式&quot;" sourceLinked="1"/>
        <c:majorTickMark val="in"/>
        <c:minorTickMark val="none"/>
        <c:tickLblPos val="nextTo"/>
        <c:spPr>
          <a:ln w="2575">
            <a:solidFill>
              <a:srgbClr val="000000"/>
            </a:solidFill>
            <a:prstDash val="solid"/>
          </a:ln>
        </c:spPr>
        <c:txPr>
          <a:bodyPr rot="0" vert="horz"/>
          <a:lstStyle/>
          <a:p>
            <a:pPr>
              <a:defRPr sz="689" b="0" i="0" u="none" strike="noStrike" baseline="0">
                <a:solidFill>
                  <a:srgbClr val="000000"/>
                </a:solidFill>
                <a:latin typeface="宋体"/>
                <a:ea typeface="宋体"/>
                <a:cs typeface="宋体"/>
              </a:defRPr>
            </a:pPr>
            <a:endParaRPr lang="zh-CN"/>
          </a:p>
        </c:txPr>
        <c:crossAx val="211928336"/>
        <c:crosses val="autoZero"/>
        <c:crossBetween val="between"/>
      </c:valAx>
      <c:spPr>
        <a:solidFill>
          <a:srgbClr val="C0C0C0"/>
        </a:solidFill>
        <a:ln w="10299">
          <a:solidFill>
            <a:srgbClr val="808080"/>
          </a:solidFill>
          <a:prstDash val="solid"/>
        </a:ln>
      </c:spPr>
    </c:plotArea>
    <c:legend>
      <c:legendPos val="r"/>
      <c:layout>
        <c:manualLayout>
          <c:xMode val="edge"/>
          <c:yMode val="edge"/>
          <c:x val="0.69498069498069504"/>
          <c:y val="0.31176470588235294"/>
          <c:w val="0.28957528957528955"/>
          <c:h val="0.28823529411764703"/>
        </c:manualLayout>
      </c:layout>
      <c:overlay val="0"/>
      <c:spPr>
        <a:noFill/>
        <a:ln w="2575">
          <a:solidFill>
            <a:srgbClr val="000000"/>
          </a:solidFill>
          <a:prstDash val="solid"/>
        </a:ln>
      </c:spPr>
      <c:txPr>
        <a:bodyPr/>
        <a:lstStyle/>
        <a:p>
          <a:pPr>
            <a:defRPr sz="633"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89" b="0" i="0" u="none" strike="noStrike" baseline="0">
          <a:solidFill>
            <a:srgbClr val="000000"/>
          </a:solidFill>
          <a:latin typeface="宋体"/>
          <a:ea typeface="宋体"/>
          <a:cs typeface="宋体"/>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539568345323743E-2"/>
          <c:y val="0.11538461538461539"/>
          <c:w val="0.5071942446043165"/>
          <c:h val="0.77472527472527475"/>
        </c:manualLayout>
      </c:layout>
      <c:pieChart>
        <c:varyColors val="1"/>
        <c:ser>
          <c:idx val="0"/>
          <c:order val="0"/>
          <c:tx>
            <c:strRef>
              <c:f>Sheet1!$A$2</c:f>
              <c:strCache>
                <c:ptCount val="1"/>
                <c:pt idx="0">
                  <c:v> </c:v>
                </c:pt>
              </c:strCache>
            </c:strRef>
          </c:tx>
          <c:spPr>
            <a:solidFill>
              <a:srgbClr val="9999FF"/>
            </a:solidFill>
            <a:ln w="9483">
              <a:solidFill>
                <a:srgbClr val="000000"/>
              </a:solidFill>
              <a:prstDash val="solid"/>
            </a:ln>
          </c:spPr>
          <c:dPt>
            <c:idx val="0"/>
            <c:bubble3D val="0"/>
            <c:extLst>
              <c:ext xmlns:c16="http://schemas.microsoft.com/office/drawing/2014/chart" uri="{C3380CC4-5D6E-409C-BE32-E72D297353CC}">
                <c16:uniqueId val="{00000000-BCA7-43A7-B881-F6EF88EE369B}"/>
              </c:ext>
            </c:extLst>
          </c:dPt>
          <c:dPt>
            <c:idx val="1"/>
            <c:bubble3D val="0"/>
            <c:spPr>
              <a:solidFill>
                <a:srgbClr val="993366"/>
              </a:solidFill>
              <a:ln w="9483">
                <a:solidFill>
                  <a:srgbClr val="000000"/>
                </a:solidFill>
                <a:prstDash val="solid"/>
              </a:ln>
            </c:spPr>
            <c:extLst>
              <c:ext xmlns:c16="http://schemas.microsoft.com/office/drawing/2014/chart" uri="{C3380CC4-5D6E-409C-BE32-E72D297353CC}">
                <c16:uniqueId val="{00000001-BCA7-43A7-B881-F6EF88EE369B}"/>
              </c:ext>
            </c:extLst>
          </c:dPt>
          <c:dPt>
            <c:idx val="2"/>
            <c:bubble3D val="0"/>
            <c:spPr>
              <a:solidFill>
                <a:srgbClr val="FFFFCC"/>
              </a:solidFill>
              <a:ln w="9483">
                <a:solidFill>
                  <a:srgbClr val="000000"/>
                </a:solidFill>
                <a:prstDash val="solid"/>
              </a:ln>
            </c:spPr>
            <c:extLst>
              <c:ext xmlns:c16="http://schemas.microsoft.com/office/drawing/2014/chart" uri="{C3380CC4-5D6E-409C-BE32-E72D297353CC}">
                <c16:uniqueId val="{00000002-BCA7-43A7-B881-F6EF88EE369B}"/>
              </c:ext>
            </c:extLst>
          </c:dPt>
          <c:dPt>
            <c:idx val="3"/>
            <c:bubble3D val="0"/>
            <c:spPr>
              <a:solidFill>
                <a:srgbClr val="CCFFFF"/>
              </a:solidFill>
              <a:ln w="9483">
                <a:solidFill>
                  <a:srgbClr val="000000"/>
                </a:solidFill>
                <a:prstDash val="solid"/>
              </a:ln>
            </c:spPr>
            <c:extLst>
              <c:ext xmlns:c16="http://schemas.microsoft.com/office/drawing/2014/chart" uri="{C3380CC4-5D6E-409C-BE32-E72D297353CC}">
                <c16:uniqueId val="{00000003-BCA7-43A7-B881-F6EF88EE369B}"/>
              </c:ext>
            </c:extLst>
          </c:dPt>
          <c:cat>
            <c:strRef>
              <c:f>Sheet1!$B$1:$E$1</c:f>
              <c:strCache>
                <c:ptCount val="4"/>
                <c:pt idx="0">
                  <c:v>社会保障和就业支出</c:v>
                </c:pt>
                <c:pt idx="1">
                  <c:v>卫生健康支出</c:v>
                </c:pt>
                <c:pt idx="2">
                  <c:v> </c:v>
                </c:pt>
                <c:pt idx="3">
                  <c:v> </c:v>
                </c:pt>
              </c:strCache>
            </c:strRef>
          </c:cat>
          <c:val>
            <c:numRef>
              <c:f>Sheet1!$B$2:$E$2</c:f>
              <c:numCache>
                <c:formatCode>g/"通""用""格""式"</c:formatCode>
                <c:ptCount val="4"/>
                <c:pt idx="0">
                  <c:v>175.39</c:v>
                </c:pt>
                <c:pt idx="1">
                  <c:v>35.479999999999997</c:v>
                </c:pt>
                <c:pt idx="2">
                  <c:v>0</c:v>
                </c:pt>
                <c:pt idx="3">
                  <c:v>0</c:v>
                </c:pt>
              </c:numCache>
            </c:numRef>
          </c:val>
          <c:extLst>
            <c:ext xmlns:c16="http://schemas.microsoft.com/office/drawing/2014/chart" uri="{C3380CC4-5D6E-409C-BE32-E72D297353CC}">
              <c16:uniqueId val="{00000004-BCA7-43A7-B881-F6EF88EE369B}"/>
            </c:ext>
          </c:extLst>
        </c:ser>
        <c:ser>
          <c:idx val="1"/>
          <c:order val="1"/>
          <c:tx>
            <c:strRef>
              <c:f>Sheet1!$A$3</c:f>
              <c:strCache>
                <c:ptCount val="1"/>
                <c:pt idx="0">
                  <c:v> </c:v>
                </c:pt>
              </c:strCache>
            </c:strRef>
          </c:tx>
          <c:spPr>
            <a:solidFill>
              <a:srgbClr val="993366"/>
            </a:solidFill>
            <a:ln w="9483">
              <a:solidFill>
                <a:srgbClr val="000000"/>
              </a:solidFill>
              <a:prstDash val="solid"/>
            </a:ln>
          </c:spPr>
          <c:dPt>
            <c:idx val="0"/>
            <c:bubble3D val="0"/>
            <c:spPr>
              <a:solidFill>
                <a:srgbClr val="9999FF"/>
              </a:solidFill>
              <a:ln w="9483">
                <a:solidFill>
                  <a:srgbClr val="000000"/>
                </a:solidFill>
                <a:prstDash val="solid"/>
              </a:ln>
            </c:spPr>
            <c:extLst>
              <c:ext xmlns:c16="http://schemas.microsoft.com/office/drawing/2014/chart" uri="{C3380CC4-5D6E-409C-BE32-E72D297353CC}">
                <c16:uniqueId val="{00000005-BCA7-43A7-B881-F6EF88EE369B}"/>
              </c:ext>
            </c:extLst>
          </c:dPt>
          <c:dPt>
            <c:idx val="1"/>
            <c:bubble3D val="0"/>
            <c:extLst>
              <c:ext xmlns:c16="http://schemas.microsoft.com/office/drawing/2014/chart" uri="{C3380CC4-5D6E-409C-BE32-E72D297353CC}">
                <c16:uniqueId val="{00000006-BCA7-43A7-B881-F6EF88EE369B}"/>
              </c:ext>
            </c:extLst>
          </c:dPt>
          <c:dPt>
            <c:idx val="2"/>
            <c:bubble3D val="0"/>
            <c:spPr>
              <a:solidFill>
                <a:srgbClr val="FFFFCC"/>
              </a:solidFill>
              <a:ln w="9483">
                <a:solidFill>
                  <a:srgbClr val="000000"/>
                </a:solidFill>
                <a:prstDash val="solid"/>
              </a:ln>
            </c:spPr>
            <c:extLst>
              <c:ext xmlns:c16="http://schemas.microsoft.com/office/drawing/2014/chart" uri="{C3380CC4-5D6E-409C-BE32-E72D297353CC}">
                <c16:uniqueId val="{00000007-BCA7-43A7-B881-F6EF88EE369B}"/>
              </c:ext>
            </c:extLst>
          </c:dPt>
          <c:dPt>
            <c:idx val="3"/>
            <c:bubble3D val="0"/>
            <c:spPr>
              <a:solidFill>
                <a:srgbClr val="CCFFFF"/>
              </a:solidFill>
              <a:ln w="9483">
                <a:solidFill>
                  <a:srgbClr val="000000"/>
                </a:solidFill>
                <a:prstDash val="solid"/>
              </a:ln>
            </c:spPr>
            <c:extLst>
              <c:ext xmlns:c16="http://schemas.microsoft.com/office/drawing/2014/chart" uri="{C3380CC4-5D6E-409C-BE32-E72D297353CC}">
                <c16:uniqueId val="{00000008-BCA7-43A7-B881-F6EF88EE369B}"/>
              </c:ext>
            </c:extLst>
          </c:dPt>
          <c:cat>
            <c:strRef>
              <c:f>Sheet1!$B$1:$E$1</c:f>
              <c:strCache>
                <c:ptCount val="4"/>
                <c:pt idx="0">
                  <c:v>社会保障和就业支出</c:v>
                </c:pt>
                <c:pt idx="1">
                  <c:v>卫生健康支出</c:v>
                </c:pt>
                <c:pt idx="2">
                  <c:v> </c:v>
                </c:pt>
                <c:pt idx="3">
                  <c:v> </c:v>
                </c:pt>
              </c:strCache>
            </c:strRef>
          </c:cat>
          <c:val>
            <c:numRef>
              <c:f>Sheet1!$B$3:$E$3</c:f>
              <c:numCache>
                <c:formatCode>g/"通""用""格""式"</c:formatCode>
                <c:ptCount val="4"/>
                <c:pt idx="0">
                  <c:v>0</c:v>
                </c:pt>
                <c:pt idx="1">
                  <c:v>0</c:v>
                </c:pt>
                <c:pt idx="2">
                  <c:v>0</c:v>
                </c:pt>
                <c:pt idx="3">
                  <c:v>0</c:v>
                </c:pt>
              </c:numCache>
            </c:numRef>
          </c:val>
          <c:extLst>
            <c:ext xmlns:c16="http://schemas.microsoft.com/office/drawing/2014/chart" uri="{C3380CC4-5D6E-409C-BE32-E72D297353CC}">
              <c16:uniqueId val="{00000009-BCA7-43A7-B881-F6EF88EE369B}"/>
            </c:ext>
          </c:extLst>
        </c:ser>
        <c:ser>
          <c:idx val="2"/>
          <c:order val="2"/>
          <c:tx>
            <c:strRef>
              <c:f>Sheet1!$A$4</c:f>
              <c:strCache>
                <c:ptCount val="1"/>
                <c:pt idx="0">
                  <c:v> </c:v>
                </c:pt>
              </c:strCache>
            </c:strRef>
          </c:tx>
          <c:spPr>
            <a:solidFill>
              <a:srgbClr val="FFFFCC"/>
            </a:solidFill>
            <a:ln w="9483">
              <a:solidFill>
                <a:srgbClr val="000000"/>
              </a:solidFill>
              <a:prstDash val="solid"/>
            </a:ln>
          </c:spPr>
          <c:dPt>
            <c:idx val="0"/>
            <c:bubble3D val="0"/>
            <c:spPr>
              <a:solidFill>
                <a:srgbClr val="9999FF"/>
              </a:solidFill>
              <a:ln w="9483">
                <a:solidFill>
                  <a:srgbClr val="000000"/>
                </a:solidFill>
                <a:prstDash val="solid"/>
              </a:ln>
            </c:spPr>
            <c:extLst>
              <c:ext xmlns:c16="http://schemas.microsoft.com/office/drawing/2014/chart" uri="{C3380CC4-5D6E-409C-BE32-E72D297353CC}">
                <c16:uniqueId val="{0000000A-BCA7-43A7-B881-F6EF88EE369B}"/>
              </c:ext>
            </c:extLst>
          </c:dPt>
          <c:dPt>
            <c:idx val="1"/>
            <c:bubble3D val="0"/>
            <c:spPr>
              <a:solidFill>
                <a:srgbClr val="993366"/>
              </a:solidFill>
              <a:ln w="9483">
                <a:solidFill>
                  <a:srgbClr val="000000"/>
                </a:solidFill>
                <a:prstDash val="solid"/>
              </a:ln>
            </c:spPr>
            <c:extLst>
              <c:ext xmlns:c16="http://schemas.microsoft.com/office/drawing/2014/chart" uri="{C3380CC4-5D6E-409C-BE32-E72D297353CC}">
                <c16:uniqueId val="{0000000B-BCA7-43A7-B881-F6EF88EE369B}"/>
              </c:ext>
            </c:extLst>
          </c:dPt>
          <c:dPt>
            <c:idx val="2"/>
            <c:bubble3D val="0"/>
            <c:extLst>
              <c:ext xmlns:c16="http://schemas.microsoft.com/office/drawing/2014/chart" uri="{C3380CC4-5D6E-409C-BE32-E72D297353CC}">
                <c16:uniqueId val="{0000000C-BCA7-43A7-B881-F6EF88EE369B}"/>
              </c:ext>
            </c:extLst>
          </c:dPt>
          <c:dPt>
            <c:idx val="3"/>
            <c:bubble3D val="0"/>
            <c:spPr>
              <a:solidFill>
                <a:srgbClr val="CCFFFF"/>
              </a:solidFill>
              <a:ln w="9483">
                <a:solidFill>
                  <a:srgbClr val="000000"/>
                </a:solidFill>
                <a:prstDash val="solid"/>
              </a:ln>
            </c:spPr>
            <c:extLst>
              <c:ext xmlns:c16="http://schemas.microsoft.com/office/drawing/2014/chart" uri="{C3380CC4-5D6E-409C-BE32-E72D297353CC}">
                <c16:uniqueId val="{0000000D-BCA7-43A7-B881-F6EF88EE369B}"/>
              </c:ext>
            </c:extLst>
          </c:dPt>
          <c:cat>
            <c:strRef>
              <c:f>Sheet1!$B$1:$E$1</c:f>
              <c:strCache>
                <c:ptCount val="4"/>
                <c:pt idx="0">
                  <c:v>社会保障和就业支出</c:v>
                </c:pt>
                <c:pt idx="1">
                  <c:v>卫生健康支出</c:v>
                </c:pt>
                <c:pt idx="2">
                  <c:v> </c:v>
                </c:pt>
                <c:pt idx="3">
                  <c:v> </c:v>
                </c:pt>
              </c:strCache>
            </c:strRef>
          </c:cat>
          <c:val>
            <c:numRef>
              <c:f>Sheet1!$B$4:$E$4</c:f>
              <c:numCache>
                <c:formatCode>g/"通""用""格""式"</c:formatCode>
                <c:ptCount val="4"/>
                <c:pt idx="0">
                  <c:v>0</c:v>
                </c:pt>
                <c:pt idx="1">
                  <c:v>0</c:v>
                </c:pt>
                <c:pt idx="2">
                  <c:v>0</c:v>
                </c:pt>
                <c:pt idx="3">
                  <c:v>0</c:v>
                </c:pt>
              </c:numCache>
            </c:numRef>
          </c:val>
          <c:extLst>
            <c:ext xmlns:c16="http://schemas.microsoft.com/office/drawing/2014/chart" uri="{C3380CC4-5D6E-409C-BE32-E72D297353CC}">
              <c16:uniqueId val="{0000000E-BCA7-43A7-B881-F6EF88EE369B}"/>
            </c:ext>
          </c:extLst>
        </c:ser>
        <c:dLbls>
          <c:showLegendKey val="0"/>
          <c:showVal val="0"/>
          <c:showCatName val="0"/>
          <c:showSerName val="0"/>
          <c:showPercent val="0"/>
          <c:showBubbleSize val="0"/>
          <c:showLeaderLines val="1"/>
        </c:dLbls>
        <c:firstSliceAng val="0"/>
      </c:pieChart>
      <c:spPr>
        <a:solidFill>
          <a:srgbClr val="C0C0C0"/>
        </a:solidFill>
        <a:ln w="9483">
          <a:solidFill>
            <a:srgbClr val="808080"/>
          </a:solidFill>
          <a:prstDash val="solid"/>
        </a:ln>
      </c:spPr>
    </c:plotArea>
    <c:legend>
      <c:legendPos val="r"/>
      <c:layout>
        <c:manualLayout>
          <c:xMode val="edge"/>
          <c:yMode val="edge"/>
          <c:x val="0.65467625899280579"/>
          <c:y val="0.15384615384615385"/>
          <c:w val="0.33093525179856115"/>
          <c:h val="0.68681318681318682"/>
        </c:manualLayout>
      </c:layout>
      <c:overlay val="0"/>
      <c:spPr>
        <a:noFill/>
        <a:ln w="2371">
          <a:solidFill>
            <a:srgbClr val="000000"/>
          </a:solidFill>
          <a:prstDash val="solid"/>
        </a:ln>
      </c:spPr>
      <c:txPr>
        <a:bodyPr/>
        <a:lstStyle/>
        <a:p>
          <a:pPr>
            <a:defRPr sz="616"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672"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1596</Words>
  <Characters>9099</Characters>
  <Application>Microsoft Office Word</Application>
  <DocSecurity>0</DocSecurity>
  <Lines>75</Lines>
  <Paragraphs>21</Paragraphs>
  <ScaleCrop>false</ScaleCrop>
  <Company>四川省财政厅</Company>
  <LinksUpToDate>false</LinksUpToDate>
  <CharactersWithSpaces>10674</CharactersWithSpaces>
  <SharedDoc>false</SharedDoc>
  <HLinks>
    <vt:vector size="204" baseType="variant">
      <vt:variant>
        <vt:i4>2097158</vt:i4>
      </vt:variant>
      <vt:variant>
        <vt:i4>200</vt:i4>
      </vt:variant>
      <vt:variant>
        <vt:i4>0</vt:i4>
      </vt:variant>
      <vt:variant>
        <vt:i4>5</vt:i4>
      </vt:variant>
      <vt:variant>
        <vt:lpwstr/>
      </vt:variant>
      <vt:variant>
        <vt:lpwstr>_Toc676</vt:lpwstr>
      </vt:variant>
      <vt:variant>
        <vt:i4>1245238</vt:i4>
      </vt:variant>
      <vt:variant>
        <vt:i4>194</vt:i4>
      </vt:variant>
      <vt:variant>
        <vt:i4>0</vt:i4>
      </vt:variant>
      <vt:variant>
        <vt:i4>5</vt:i4>
      </vt:variant>
      <vt:variant>
        <vt:lpwstr/>
      </vt:variant>
      <vt:variant>
        <vt:lpwstr>_Toc15715</vt:lpwstr>
      </vt:variant>
      <vt:variant>
        <vt:i4>1310773</vt:i4>
      </vt:variant>
      <vt:variant>
        <vt:i4>188</vt:i4>
      </vt:variant>
      <vt:variant>
        <vt:i4>0</vt:i4>
      </vt:variant>
      <vt:variant>
        <vt:i4>5</vt:i4>
      </vt:variant>
      <vt:variant>
        <vt:lpwstr/>
      </vt:variant>
      <vt:variant>
        <vt:lpwstr>_Toc23703</vt:lpwstr>
      </vt:variant>
      <vt:variant>
        <vt:i4>1769524</vt:i4>
      </vt:variant>
      <vt:variant>
        <vt:i4>182</vt:i4>
      </vt:variant>
      <vt:variant>
        <vt:i4>0</vt:i4>
      </vt:variant>
      <vt:variant>
        <vt:i4>5</vt:i4>
      </vt:variant>
      <vt:variant>
        <vt:lpwstr/>
      </vt:variant>
      <vt:variant>
        <vt:lpwstr>_Toc29651</vt:lpwstr>
      </vt:variant>
      <vt:variant>
        <vt:i4>1441844</vt:i4>
      </vt:variant>
      <vt:variant>
        <vt:i4>176</vt:i4>
      </vt:variant>
      <vt:variant>
        <vt:i4>0</vt:i4>
      </vt:variant>
      <vt:variant>
        <vt:i4>5</vt:i4>
      </vt:variant>
      <vt:variant>
        <vt:lpwstr/>
      </vt:variant>
      <vt:variant>
        <vt:lpwstr>_Toc4100</vt:lpwstr>
      </vt:variant>
      <vt:variant>
        <vt:i4>2031672</vt:i4>
      </vt:variant>
      <vt:variant>
        <vt:i4>170</vt:i4>
      </vt:variant>
      <vt:variant>
        <vt:i4>0</vt:i4>
      </vt:variant>
      <vt:variant>
        <vt:i4>5</vt:i4>
      </vt:variant>
      <vt:variant>
        <vt:lpwstr/>
      </vt:variant>
      <vt:variant>
        <vt:lpwstr>_Toc10988</vt:lpwstr>
      </vt:variant>
      <vt:variant>
        <vt:i4>1966134</vt:i4>
      </vt:variant>
      <vt:variant>
        <vt:i4>164</vt:i4>
      </vt:variant>
      <vt:variant>
        <vt:i4>0</vt:i4>
      </vt:variant>
      <vt:variant>
        <vt:i4>5</vt:i4>
      </vt:variant>
      <vt:variant>
        <vt:lpwstr/>
      </vt:variant>
      <vt:variant>
        <vt:lpwstr>_Toc11789</vt:lpwstr>
      </vt:variant>
      <vt:variant>
        <vt:i4>2359301</vt:i4>
      </vt:variant>
      <vt:variant>
        <vt:i4>158</vt:i4>
      </vt:variant>
      <vt:variant>
        <vt:i4>0</vt:i4>
      </vt:variant>
      <vt:variant>
        <vt:i4>5</vt:i4>
      </vt:variant>
      <vt:variant>
        <vt:lpwstr/>
      </vt:variant>
      <vt:variant>
        <vt:lpwstr>_Toc536</vt:lpwstr>
      </vt:variant>
      <vt:variant>
        <vt:i4>1376310</vt:i4>
      </vt:variant>
      <vt:variant>
        <vt:i4>152</vt:i4>
      </vt:variant>
      <vt:variant>
        <vt:i4>0</vt:i4>
      </vt:variant>
      <vt:variant>
        <vt:i4>5</vt:i4>
      </vt:variant>
      <vt:variant>
        <vt:lpwstr/>
      </vt:variant>
      <vt:variant>
        <vt:lpwstr>_Toc32506</vt:lpwstr>
      </vt:variant>
      <vt:variant>
        <vt:i4>1507384</vt:i4>
      </vt:variant>
      <vt:variant>
        <vt:i4>146</vt:i4>
      </vt:variant>
      <vt:variant>
        <vt:i4>0</vt:i4>
      </vt:variant>
      <vt:variant>
        <vt:i4>5</vt:i4>
      </vt:variant>
      <vt:variant>
        <vt:lpwstr/>
      </vt:variant>
      <vt:variant>
        <vt:lpwstr>_Toc8505</vt:lpwstr>
      </vt:variant>
      <vt:variant>
        <vt:i4>1441846</vt:i4>
      </vt:variant>
      <vt:variant>
        <vt:i4>140</vt:i4>
      </vt:variant>
      <vt:variant>
        <vt:i4>0</vt:i4>
      </vt:variant>
      <vt:variant>
        <vt:i4>5</vt:i4>
      </vt:variant>
      <vt:variant>
        <vt:lpwstr/>
      </vt:variant>
      <vt:variant>
        <vt:lpwstr>_Toc3455</vt:lpwstr>
      </vt:variant>
      <vt:variant>
        <vt:i4>1114166</vt:i4>
      </vt:variant>
      <vt:variant>
        <vt:i4>134</vt:i4>
      </vt:variant>
      <vt:variant>
        <vt:i4>0</vt:i4>
      </vt:variant>
      <vt:variant>
        <vt:i4>5</vt:i4>
      </vt:variant>
      <vt:variant>
        <vt:lpwstr/>
      </vt:variant>
      <vt:variant>
        <vt:lpwstr>_Toc24424</vt:lpwstr>
      </vt:variant>
      <vt:variant>
        <vt:i4>1376312</vt:i4>
      </vt:variant>
      <vt:variant>
        <vt:i4>128</vt:i4>
      </vt:variant>
      <vt:variant>
        <vt:i4>0</vt:i4>
      </vt:variant>
      <vt:variant>
        <vt:i4>5</vt:i4>
      </vt:variant>
      <vt:variant>
        <vt:lpwstr/>
      </vt:variant>
      <vt:variant>
        <vt:lpwstr>_Toc13916</vt:lpwstr>
      </vt:variant>
      <vt:variant>
        <vt:i4>1179703</vt:i4>
      </vt:variant>
      <vt:variant>
        <vt:i4>122</vt:i4>
      </vt:variant>
      <vt:variant>
        <vt:i4>0</vt:i4>
      </vt:variant>
      <vt:variant>
        <vt:i4>5</vt:i4>
      </vt:variant>
      <vt:variant>
        <vt:lpwstr/>
      </vt:variant>
      <vt:variant>
        <vt:lpwstr>_Toc2451</vt:lpwstr>
      </vt:variant>
      <vt:variant>
        <vt:i4>1310779</vt:i4>
      </vt:variant>
      <vt:variant>
        <vt:i4>116</vt:i4>
      </vt:variant>
      <vt:variant>
        <vt:i4>0</vt:i4>
      </vt:variant>
      <vt:variant>
        <vt:i4>5</vt:i4>
      </vt:variant>
      <vt:variant>
        <vt:lpwstr/>
      </vt:variant>
      <vt:variant>
        <vt:lpwstr>_Toc26958</vt:lpwstr>
      </vt:variant>
      <vt:variant>
        <vt:i4>1048626</vt:i4>
      </vt:variant>
      <vt:variant>
        <vt:i4>110</vt:i4>
      </vt:variant>
      <vt:variant>
        <vt:i4>0</vt:i4>
      </vt:variant>
      <vt:variant>
        <vt:i4>5</vt:i4>
      </vt:variant>
      <vt:variant>
        <vt:lpwstr/>
      </vt:variant>
      <vt:variant>
        <vt:lpwstr>_Toc23046</vt:lpwstr>
      </vt:variant>
      <vt:variant>
        <vt:i4>1114166</vt:i4>
      </vt:variant>
      <vt:variant>
        <vt:i4>104</vt:i4>
      </vt:variant>
      <vt:variant>
        <vt:i4>0</vt:i4>
      </vt:variant>
      <vt:variant>
        <vt:i4>5</vt:i4>
      </vt:variant>
      <vt:variant>
        <vt:lpwstr/>
      </vt:variant>
      <vt:variant>
        <vt:lpwstr>_Toc13752</vt:lpwstr>
      </vt:variant>
      <vt:variant>
        <vt:i4>1507378</vt:i4>
      </vt:variant>
      <vt:variant>
        <vt:i4>98</vt:i4>
      </vt:variant>
      <vt:variant>
        <vt:i4>0</vt:i4>
      </vt:variant>
      <vt:variant>
        <vt:i4>5</vt:i4>
      </vt:variant>
      <vt:variant>
        <vt:lpwstr/>
      </vt:variant>
      <vt:variant>
        <vt:lpwstr>_Toc14340</vt:lpwstr>
      </vt:variant>
      <vt:variant>
        <vt:i4>1507380</vt:i4>
      </vt:variant>
      <vt:variant>
        <vt:i4>92</vt:i4>
      </vt:variant>
      <vt:variant>
        <vt:i4>0</vt:i4>
      </vt:variant>
      <vt:variant>
        <vt:i4>5</vt:i4>
      </vt:variant>
      <vt:variant>
        <vt:lpwstr/>
      </vt:variant>
      <vt:variant>
        <vt:lpwstr>_Toc15558</vt:lpwstr>
      </vt:variant>
      <vt:variant>
        <vt:i4>2031667</vt:i4>
      </vt:variant>
      <vt:variant>
        <vt:i4>86</vt:i4>
      </vt:variant>
      <vt:variant>
        <vt:i4>0</vt:i4>
      </vt:variant>
      <vt:variant>
        <vt:i4>5</vt:i4>
      </vt:variant>
      <vt:variant>
        <vt:lpwstr/>
      </vt:variant>
      <vt:variant>
        <vt:lpwstr>_Toc10284</vt:lpwstr>
      </vt:variant>
      <vt:variant>
        <vt:i4>1507382</vt:i4>
      </vt:variant>
      <vt:variant>
        <vt:i4>80</vt:i4>
      </vt:variant>
      <vt:variant>
        <vt:i4>0</vt:i4>
      </vt:variant>
      <vt:variant>
        <vt:i4>5</vt:i4>
      </vt:variant>
      <vt:variant>
        <vt:lpwstr/>
      </vt:variant>
      <vt:variant>
        <vt:lpwstr>_Toc5535</vt:lpwstr>
      </vt:variant>
      <vt:variant>
        <vt:i4>1376316</vt:i4>
      </vt:variant>
      <vt:variant>
        <vt:i4>74</vt:i4>
      </vt:variant>
      <vt:variant>
        <vt:i4>0</vt:i4>
      </vt:variant>
      <vt:variant>
        <vt:i4>5</vt:i4>
      </vt:variant>
      <vt:variant>
        <vt:lpwstr/>
      </vt:variant>
      <vt:variant>
        <vt:lpwstr>_Toc9456</vt:lpwstr>
      </vt:variant>
      <vt:variant>
        <vt:i4>1900602</vt:i4>
      </vt:variant>
      <vt:variant>
        <vt:i4>68</vt:i4>
      </vt:variant>
      <vt:variant>
        <vt:i4>0</vt:i4>
      </vt:variant>
      <vt:variant>
        <vt:i4>5</vt:i4>
      </vt:variant>
      <vt:variant>
        <vt:lpwstr/>
      </vt:variant>
      <vt:variant>
        <vt:lpwstr>_Toc22881</vt:lpwstr>
      </vt:variant>
      <vt:variant>
        <vt:i4>1507382</vt:i4>
      </vt:variant>
      <vt:variant>
        <vt:i4>62</vt:i4>
      </vt:variant>
      <vt:variant>
        <vt:i4>0</vt:i4>
      </vt:variant>
      <vt:variant>
        <vt:i4>5</vt:i4>
      </vt:variant>
      <vt:variant>
        <vt:lpwstr/>
      </vt:variant>
      <vt:variant>
        <vt:lpwstr>_Toc1474</vt:lpwstr>
      </vt:variant>
      <vt:variant>
        <vt:i4>1507382</vt:i4>
      </vt:variant>
      <vt:variant>
        <vt:i4>56</vt:i4>
      </vt:variant>
      <vt:variant>
        <vt:i4>0</vt:i4>
      </vt:variant>
      <vt:variant>
        <vt:i4>5</vt:i4>
      </vt:variant>
      <vt:variant>
        <vt:lpwstr/>
      </vt:variant>
      <vt:variant>
        <vt:lpwstr>_Toc20401</vt:lpwstr>
      </vt:variant>
      <vt:variant>
        <vt:i4>1441844</vt:i4>
      </vt:variant>
      <vt:variant>
        <vt:i4>50</vt:i4>
      </vt:variant>
      <vt:variant>
        <vt:i4>0</vt:i4>
      </vt:variant>
      <vt:variant>
        <vt:i4>5</vt:i4>
      </vt:variant>
      <vt:variant>
        <vt:lpwstr/>
      </vt:variant>
      <vt:variant>
        <vt:lpwstr>_Toc4504</vt:lpwstr>
      </vt:variant>
      <vt:variant>
        <vt:i4>1835066</vt:i4>
      </vt:variant>
      <vt:variant>
        <vt:i4>44</vt:i4>
      </vt:variant>
      <vt:variant>
        <vt:i4>0</vt:i4>
      </vt:variant>
      <vt:variant>
        <vt:i4>5</vt:i4>
      </vt:variant>
      <vt:variant>
        <vt:lpwstr/>
      </vt:variant>
      <vt:variant>
        <vt:lpwstr>_Toc22896</vt:lpwstr>
      </vt:variant>
      <vt:variant>
        <vt:i4>1245239</vt:i4>
      </vt:variant>
      <vt:variant>
        <vt:i4>38</vt:i4>
      </vt:variant>
      <vt:variant>
        <vt:i4>0</vt:i4>
      </vt:variant>
      <vt:variant>
        <vt:i4>5</vt:i4>
      </vt:variant>
      <vt:variant>
        <vt:lpwstr/>
      </vt:variant>
      <vt:variant>
        <vt:lpwstr>_Toc5327</vt:lpwstr>
      </vt:variant>
      <vt:variant>
        <vt:i4>2031670</vt:i4>
      </vt:variant>
      <vt:variant>
        <vt:i4>32</vt:i4>
      </vt:variant>
      <vt:variant>
        <vt:i4>0</vt:i4>
      </vt:variant>
      <vt:variant>
        <vt:i4>5</vt:i4>
      </vt:variant>
      <vt:variant>
        <vt:lpwstr/>
      </vt:variant>
      <vt:variant>
        <vt:lpwstr>_Toc28407</vt:lpwstr>
      </vt:variant>
      <vt:variant>
        <vt:i4>1441847</vt:i4>
      </vt:variant>
      <vt:variant>
        <vt:i4>26</vt:i4>
      </vt:variant>
      <vt:variant>
        <vt:i4>0</vt:i4>
      </vt:variant>
      <vt:variant>
        <vt:i4>5</vt:i4>
      </vt:variant>
      <vt:variant>
        <vt:lpwstr/>
      </vt:variant>
      <vt:variant>
        <vt:lpwstr>_Toc24553</vt:lpwstr>
      </vt:variant>
      <vt:variant>
        <vt:i4>1114175</vt:i4>
      </vt:variant>
      <vt:variant>
        <vt:i4>20</vt:i4>
      </vt:variant>
      <vt:variant>
        <vt:i4>0</vt:i4>
      </vt:variant>
      <vt:variant>
        <vt:i4>5</vt:i4>
      </vt:variant>
      <vt:variant>
        <vt:lpwstr/>
      </vt:variant>
      <vt:variant>
        <vt:lpwstr>_Toc7385</vt:lpwstr>
      </vt:variant>
      <vt:variant>
        <vt:i4>1179706</vt:i4>
      </vt:variant>
      <vt:variant>
        <vt:i4>14</vt:i4>
      </vt:variant>
      <vt:variant>
        <vt:i4>0</vt:i4>
      </vt:variant>
      <vt:variant>
        <vt:i4>5</vt:i4>
      </vt:variant>
      <vt:variant>
        <vt:lpwstr/>
      </vt:variant>
      <vt:variant>
        <vt:lpwstr>_Toc26839</vt:lpwstr>
      </vt:variant>
      <vt:variant>
        <vt:i4>1507380</vt:i4>
      </vt:variant>
      <vt:variant>
        <vt:i4>8</vt:i4>
      </vt:variant>
      <vt:variant>
        <vt:i4>0</vt:i4>
      </vt:variant>
      <vt:variant>
        <vt:i4>5</vt:i4>
      </vt:variant>
      <vt:variant>
        <vt:lpwstr/>
      </vt:variant>
      <vt:variant>
        <vt:lpwstr>_Toc13531</vt:lpwstr>
      </vt:variant>
      <vt:variant>
        <vt:i4>1048634</vt:i4>
      </vt:variant>
      <vt:variant>
        <vt:i4>2</vt:i4>
      </vt:variant>
      <vt:variant>
        <vt:i4>0</vt:i4>
      </vt:variant>
      <vt:variant>
        <vt:i4>5</vt:i4>
      </vt:variant>
      <vt:variant>
        <vt:lpwstr/>
      </vt:variant>
      <vt:variant>
        <vt:lpwstr>_Toc30974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邓丽君</cp:lastModifiedBy>
  <cp:revision>2</cp:revision>
  <cp:lastPrinted>2021-07-29T03:56:00Z</cp:lastPrinted>
  <dcterms:created xsi:type="dcterms:W3CDTF">2021-09-13T09:23:00Z</dcterms:created>
  <dcterms:modified xsi:type="dcterms:W3CDTF">2021-09-13T09:23:00Z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C44F202478204A929EF29FBB83E67238</vt:lpwstr>
  </property>
</Properties>
</file>