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310" w:rsidRDefault="00501310">
      <w:pPr>
        <w:jc w:val="center"/>
        <w:outlineLvl w:val="0"/>
        <w:rPr>
          <w:rFonts w:ascii="方正小标宋简体" w:eastAsia="方正小标宋简体" w:hAnsi="宋体" w:hint="eastAsia"/>
          <w:color w:val="000000"/>
          <w:sz w:val="72"/>
          <w:szCs w:val="72"/>
        </w:rPr>
      </w:pPr>
      <w:bookmarkStart w:id="0" w:name="_Toc15306267"/>
    </w:p>
    <w:p w:rsidR="00501310" w:rsidRDefault="00501310">
      <w:pPr>
        <w:jc w:val="center"/>
        <w:outlineLvl w:val="0"/>
        <w:rPr>
          <w:rFonts w:ascii="方正小标宋简体" w:eastAsia="方正小标宋简体" w:hAnsi="宋体"/>
          <w:color w:val="000000"/>
          <w:sz w:val="72"/>
          <w:szCs w:val="72"/>
        </w:rPr>
      </w:pPr>
    </w:p>
    <w:p w:rsidR="00501310" w:rsidRDefault="00501310">
      <w:pPr>
        <w:jc w:val="center"/>
        <w:outlineLvl w:val="0"/>
        <w:rPr>
          <w:rFonts w:ascii="方正小标宋简体" w:eastAsia="方正小标宋简体" w:hAnsi="宋体"/>
          <w:color w:val="000000"/>
          <w:sz w:val="72"/>
          <w:szCs w:val="72"/>
        </w:rPr>
      </w:pPr>
    </w:p>
    <w:p w:rsidR="00501310" w:rsidRDefault="00501310">
      <w:pPr>
        <w:adjustRightInd w:val="0"/>
        <w:snapToGrid w:val="0"/>
        <w:jc w:val="center"/>
        <w:rPr>
          <w:rFonts w:ascii="方正小标宋简体" w:eastAsia="方正小标宋简体" w:hAnsi="宋体"/>
          <w:color w:val="000000"/>
          <w:sz w:val="72"/>
          <w:szCs w:val="72"/>
        </w:rPr>
      </w:pPr>
      <w:bookmarkStart w:id="1" w:name="_Toc82012086"/>
      <w:bookmarkStart w:id="2" w:name="_Toc15396597"/>
      <w:bookmarkStart w:id="3" w:name="_Toc82012133"/>
      <w:bookmarkStart w:id="4" w:name="_Toc15377425"/>
      <w:bookmarkStart w:id="5" w:name="_Toc15396475"/>
      <w:bookmarkStart w:id="6" w:name="_Toc15378441"/>
      <w:bookmarkStart w:id="7" w:name="_Toc15377193"/>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bookmarkEnd w:id="6"/>
      <w:bookmarkEnd w:id="7"/>
    </w:p>
    <w:p w:rsidR="00501310" w:rsidRDefault="00501310">
      <w:pPr>
        <w:adjustRightInd w:val="0"/>
        <w:snapToGrid w:val="0"/>
        <w:jc w:val="center"/>
        <w:rPr>
          <w:rFonts w:ascii="方正小标宋简体" w:eastAsia="方正小标宋简体" w:hAnsi="宋体" w:hint="eastAsia"/>
          <w:color w:val="000000"/>
          <w:sz w:val="72"/>
          <w:szCs w:val="72"/>
        </w:rPr>
      </w:pPr>
      <w:bookmarkStart w:id="8" w:name="_Toc82012134"/>
      <w:bookmarkStart w:id="9" w:name="_Toc82012087"/>
      <w:bookmarkStart w:id="10" w:name="_Toc15377194"/>
      <w:bookmarkStart w:id="11" w:name="_Toc15396598"/>
      <w:bookmarkStart w:id="12" w:name="_Toc15396476"/>
      <w:bookmarkStart w:id="13" w:name="_Toc15378442"/>
      <w:bookmarkStart w:id="14" w:name="_Toc15377426"/>
      <w:r>
        <w:rPr>
          <w:rFonts w:ascii="方正小标宋简体" w:eastAsia="方正小标宋简体" w:hAnsi="宋体" w:hint="eastAsia"/>
          <w:color w:val="000000"/>
          <w:sz w:val="72"/>
          <w:szCs w:val="72"/>
        </w:rPr>
        <w:t>四川</w:t>
      </w:r>
      <w:bookmarkStart w:id="15" w:name="_Toc15306268"/>
      <w:bookmarkEnd w:id="0"/>
      <w:r>
        <w:rPr>
          <w:rFonts w:ascii="方正小标宋简体" w:eastAsia="方正小标宋简体" w:hAnsi="宋体" w:hint="eastAsia"/>
          <w:color w:val="000000"/>
          <w:sz w:val="72"/>
          <w:szCs w:val="72"/>
        </w:rPr>
        <w:t>省攀枝花学院</w:t>
      </w:r>
      <w:bookmarkEnd w:id="8"/>
      <w:bookmarkEnd w:id="9"/>
    </w:p>
    <w:p w:rsidR="00501310" w:rsidRDefault="00501310">
      <w:pPr>
        <w:adjustRightInd w:val="0"/>
        <w:snapToGrid w:val="0"/>
        <w:jc w:val="center"/>
        <w:rPr>
          <w:rFonts w:ascii="方正小标宋简体" w:eastAsia="方正小标宋简体" w:hAnsi="宋体"/>
          <w:color w:val="000000"/>
          <w:sz w:val="72"/>
          <w:szCs w:val="72"/>
        </w:rPr>
      </w:pPr>
      <w:bookmarkStart w:id="16" w:name="_Toc82012135"/>
      <w:bookmarkStart w:id="17" w:name="_Toc82012088"/>
      <w:r>
        <w:rPr>
          <w:rFonts w:ascii="方正小标宋简体" w:eastAsia="方正小标宋简体" w:hAnsi="宋体" w:hint="eastAsia"/>
          <w:color w:val="000000"/>
          <w:sz w:val="72"/>
          <w:szCs w:val="72"/>
        </w:rPr>
        <w:t>部门决算</w:t>
      </w:r>
      <w:bookmarkEnd w:id="10"/>
      <w:bookmarkEnd w:id="11"/>
      <w:bookmarkEnd w:id="12"/>
      <w:bookmarkEnd w:id="13"/>
      <w:bookmarkEnd w:id="14"/>
      <w:bookmarkEnd w:id="15"/>
      <w:bookmarkEnd w:id="16"/>
      <w:bookmarkEnd w:id="17"/>
    </w:p>
    <w:p w:rsidR="00501310" w:rsidRDefault="00501310">
      <w:pPr>
        <w:adjustRightInd w:val="0"/>
        <w:snapToGrid w:val="0"/>
        <w:jc w:val="center"/>
        <w:outlineLvl w:val="0"/>
        <w:rPr>
          <w:rFonts w:ascii="方正小标宋简体" w:eastAsia="方正小标宋简体" w:hAnsi="宋体"/>
          <w:color w:val="000000"/>
          <w:sz w:val="52"/>
          <w:szCs w:val="52"/>
        </w:rPr>
      </w:pPr>
    </w:p>
    <w:p w:rsidR="00501310" w:rsidRDefault="00501310">
      <w:pPr>
        <w:widowControl/>
        <w:jc w:val="center"/>
        <w:rPr>
          <w:rFonts w:ascii="黑体" w:eastAsia="黑体" w:hAnsi="黑体"/>
          <w:sz w:val="28"/>
          <w:szCs w:val="2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501310" w:rsidRDefault="00501310">
      <w:pPr>
        <w:jc w:val="center"/>
        <w:rPr>
          <w:rFonts w:hint="eastAsia"/>
        </w:rPr>
      </w:pPr>
    </w:p>
    <w:p w:rsidR="008D507B" w:rsidRDefault="00501310">
      <w:pPr>
        <w:jc w:val="center"/>
        <w:rPr>
          <w:noProof/>
        </w:rPr>
      </w:pPr>
      <w:r>
        <w:rPr>
          <w:rFonts w:ascii="仿宋_GB2312" w:eastAsia="仿宋_GB2312" w:hAnsi="仿宋_GB2312" w:cs="仿宋_GB2312" w:hint="eastAsia"/>
          <w:sz w:val="28"/>
          <w:szCs w:val="28"/>
        </w:rPr>
        <w:t>公开时间：2021年9 月6 日</w:t>
      </w:r>
      <w:r>
        <w:fldChar w:fldCharType="begin"/>
      </w:r>
      <w:r>
        <w:instrText xml:space="preserve"> TOC \o "1-3" \h \z \u </w:instrText>
      </w:r>
      <w:r>
        <w:fldChar w:fldCharType="separate"/>
      </w:r>
    </w:p>
    <w:p w:rsidR="008D507B" w:rsidRPr="0006590D" w:rsidRDefault="008D507B">
      <w:pPr>
        <w:pStyle w:val="10"/>
        <w:rPr>
          <w:noProof/>
        </w:rPr>
      </w:pPr>
      <w:hyperlink w:anchor="_Toc82075620" w:history="1">
        <w:r w:rsidRPr="008D507B">
          <w:rPr>
            <w:rStyle w:val="a8"/>
            <w:rFonts w:cs="方正小标宋_GBK" w:hint="eastAsia"/>
            <w:noProof/>
          </w:rPr>
          <w:t>第一部分</w:t>
        </w:r>
        <w:r w:rsidRPr="008D507B">
          <w:rPr>
            <w:rStyle w:val="a8"/>
            <w:rFonts w:cs="方正小标宋_GBK"/>
            <w:noProof/>
          </w:rPr>
          <w:t xml:space="preserve"> </w:t>
        </w:r>
        <w:r w:rsidRPr="008D507B">
          <w:rPr>
            <w:rStyle w:val="a8"/>
            <w:rFonts w:cs="方正小标宋_GBK" w:hint="eastAsia"/>
            <w:noProof/>
          </w:rPr>
          <w:t>部门概况</w:t>
        </w:r>
        <w:r w:rsidRPr="008D507B">
          <w:rPr>
            <w:noProof/>
            <w:webHidden/>
          </w:rPr>
          <w:tab/>
        </w:r>
        <w:r w:rsidRPr="008D507B">
          <w:rPr>
            <w:noProof/>
            <w:webHidden/>
          </w:rPr>
          <w:fldChar w:fldCharType="begin"/>
        </w:r>
        <w:r w:rsidRPr="008D507B">
          <w:rPr>
            <w:noProof/>
            <w:webHidden/>
          </w:rPr>
          <w:instrText xml:space="preserve"> PAGEREF _Toc82075620 \h </w:instrText>
        </w:r>
        <w:r w:rsidRPr="008D507B">
          <w:rPr>
            <w:noProof/>
            <w:webHidden/>
          </w:rPr>
        </w:r>
        <w:r w:rsidRPr="008D507B">
          <w:rPr>
            <w:noProof/>
            <w:webHidden/>
          </w:rPr>
          <w:fldChar w:fldCharType="separate"/>
        </w:r>
        <w:r w:rsidRPr="008D507B">
          <w:rPr>
            <w:noProof/>
            <w:webHidden/>
          </w:rPr>
          <w:t>1</w:t>
        </w:r>
        <w:r w:rsidRPr="008D507B">
          <w:rPr>
            <w:noProof/>
            <w:webHidden/>
          </w:rPr>
          <w:fldChar w:fldCharType="end"/>
        </w:r>
      </w:hyperlink>
    </w:p>
    <w:p w:rsidR="008D507B" w:rsidRPr="0006590D" w:rsidRDefault="008D507B">
      <w:pPr>
        <w:pStyle w:val="20"/>
        <w:rPr>
          <w:rFonts w:ascii="仿宋" w:eastAsia="仿宋" w:hAnsi="仿宋"/>
          <w:noProof/>
          <w:sz w:val="28"/>
          <w:szCs w:val="28"/>
        </w:rPr>
      </w:pPr>
      <w:hyperlink w:anchor="_Toc82075621" w:history="1">
        <w:r w:rsidRPr="008D507B">
          <w:rPr>
            <w:rStyle w:val="a8"/>
            <w:rFonts w:ascii="仿宋" w:eastAsia="仿宋" w:hAnsi="仿宋" w:hint="eastAsia"/>
            <w:noProof/>
            <w:sz w:val="28"/>
            <w:szCs w:val="28"/>
          </w:rPr>
          <w:t>一、基本职能及主要工作</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_Toc82075621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22" w:history="1">
        <w:r w:rsidRPr="008D507B">
          <w:rPr>
            <w:rStyle w:val="a8"/>
            <w:rFonts w:ascii="仿宋" w:eastAsia="仿宋" w:hAnsi="仿宋" w:hint="eastAsia"/>
            <w:bCs/>
            <w:noProof/>
            <w:sz w:val="28"/>
            <w:szCs w:val="28"/>
          </w:rPr>
          <w:t>（一）基本职能</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_Toc82075622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23" w:history="1">
        <w:r w:rsidRPr="008D507B">
          <w:rPr>
            <w:rStyle w:val="a8"/>
            <w:rFonts w:ascii="仿宋" w:eastAsia="仿宋" w:hAnsi="仿宋"/>
            <w:bCs/>
            <w:noProof/>
            <w:sz w:val="28"/>
            <w:szCs w:val="28"/>
          </w:rPr>
          <w:t>(</w:t>
        </w:r>
        <w:r w:rsidRPr="008D507B">
          <w:rPr>
            <w:rStyle w:val="a8"/>
            <w:rFonts w:ascii="仿宋" w:eastAsia="仿宋" w:hAnsi="仿宋" w:hint="eastAsia"/>
            <w:bCs/>
            <w:noProof/>
            <w:sz w:val="28"/>
            <w:szCs w:val="28"/>
          </w:rPr>
          <w:t>二</w:t>
        </w:r>
        <w:r w:rsidRPr="008D507B">
          <w:rPr>
            <w:rStyle w:val="a8"/>
            <w:rFonts w:ascii="仿宋" w:eastAsia="仿宋" w:hAnsi="仿宋"/>
            <w:bCs/>
            <w:noProof/>
            <w:sz w:val="28"/>
            <w:szCs w:val="28"/>
          </w:rPr>
          <w:t>)</w:t>
        </w:r>
        <w:r w:rsidRPr="008D507B">
          <w:rPr>
            <w:rStyle w:val="a8"/>
            <w:rFonts w:ascii="仿宋" w:eastAsia="仿宋" w:hAnsi="仿宋" w:hint="eastAsia"/>
            <w:bCs/>
            <w:noProof/>
            <w:sz w:val="28"/>
            <w:szCs w:val="28"/>
          </w:rPr>
          <w:t>主要工作</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_Toc82075623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24" w:history="1">
        <w:r w:rsidRPr="008D507B">
          <w:rPr>
            <w:rStyle w:val="a8"/>
            <w:rFonts w:ascii="仿宋" w:eastAsia="仿宋" w:hAnsi="仿宋" w:hint="eastAsia"/>
            <w:noProof/>
            <w:sz w:val="28"/>
            <w:szCs w:val="28"/>
          </w:rPr>
          <w:t>二、机构设置</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_Toc82075624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w:t>
        </w:r>
        <w:r w:rsidRPr="008D507B">
          <w:rPr>
            <w:rFonts w:ascii="仿宋" w:eastAsia="仿宋" w:hAnsi="仿宋"/>
            <w:noProof/>
            <w:webHidden/>
            <w:sz w:val="28"/>
            <w:szCs w:val="28"/>
          </w:rPr>
          <w:fldChar w:fldCharType="end"/>
        </w:r>
      </w:hyperlink>
    </w:p>
    <w:p w:rsidR="008D507B" w:rsidRPr="0006590D" w:rsidRDefault="008D507B">
      <w:pPr>
        <w:pStyle w:val="10"/>
        <w:rPr>
          <w:noProof/>
        </w:rPr>
      </w:pPr>
      <w:hyperlink w:anchor="_Toc82075625" w:history="1">
        <w:r w:rsidRPr="008D507B">
          <w:rPr>
            <w:rStyle w:val="a8"/>
            <w:rFonts w:cs="方正小标宋_GBK" w:hint="eastAsia"/>
            <w:noProof/>
          </w:rPr>
          <w:t>第二部分</w:t>
        </w:r>
        <w:r w:rsidRPr="008D507B">
          <w:rPr>
            <w:rStyle w:val="a8"/>
            <w:rFonts w:cs="方正小标宋_GBK"/>
            <w:noProof/>
          </w:rPr>
          <w:t xml:space="preserve"> 2020</w:t>
        </w:r>
        <w:r w:rsidRPr="008D507B">
          <w:rPr>
            <w:rStyle w:val="a8"/>
            <w:rFonts w:cs="方正小标宋_GBK" w:hint="eastAsia"/>
            <w:noProof/>
          </w:rPr>
          <w:t>年度部门决算情况说明</w:t>
        </w:r>
        <w:r w:rsidRPr="008D507B">
          <w:rPr>
            <w:noProof/>
            <w:webHidden/>
          </w:rPr>
          <w:tab/>
        </w:r>
        <w:r w:rsidRPr="008D507B">
          <w:rPr>
            <w:noProof/>
            <w:webHidden/>
          </w:rPr>
          <w:fldChar w:fldCharType="begin"/>
        </w:r>
        <w:r w:rsidRPr="008D507B">
          <w:rPr>
            <w:noProof/>
            <w:webHidden/>
          </w:rPr>
          <w:instrText xml:space="preserve"> PAGEREF _Toc82075625 \h </w:instrText>
        </w:r>
        <w:r w:rsidRPr="008D507B">
          <w:rPr>
            <w:noProof/>
            <w:webHidden/>
          </w:rPr>
        </w:r>
        <w:r w:rsidRPr="008D507B">
          <w:rPr>
            <w:noProof/>
            <w:webHidden/>
          </w:rPr>
          <w:fldChar w:fldCharType="separate"/>
        </w:r>
        <w:r w:rsidRPr="008D507B">
          <w:rPr>
            <w:noProof/>
            <w:webHidden/>
          </w:rPr>
          <w:t>6</w:t>
        </w:r>
        <w:r w:rsidRPr="008D507B">
          <w:rPr>
            <w:noProof/>
            <w:webHidden/>
          </w:rPr>
          <w:fldChar w:fldCharType="end"/>
        </w:r>
      </w:hyperlink>
    </w:p>
    <w:p w:rsidR="008D507B" w:rsidRPr="0006590D" w:rsidRDefault="008D507B">
      <w:pPr>
        <w:pStyle w:val="20"/>
        <w:rPr>
          <w:rFonts w:ascii="仿宋" w:eastAsia="仿宋" w:hAnsi="仿宋"/>
          <w:noProof/>
          <w:sz w:val="28"/>
          <w:szCs w:val="28"/>
        </w:rPr>
      </w:pPr>
      <w:hyperlink w:anchor="_Toc82075626" w:history="1">
        <w:r w:rsidRPr="008D507B">
          <w:rPr>
            <w:rStyle w:val="a8"/>
            <w:rFonts w:ascii="仿宋" w:eastAsia="仿宋" w:hAnsi="仿宋" w:hint="eastAsia"/>
            <w:noProof/>
            <w:sz w:val="28"/>
            <w:szCs w:val="28"/>
          </w:rPr>
          <w:t>一、收</w:t>
        </w:r>
        <w:r w:rsidRPr="008D507B">
          <w:rPr>
            <w:rStyle w:val="a8"/>
            <w:rFonts w:ascii="仿宋" w:eastAsia="仿宋" w:hAnsi="仿宋" w:hint="eastAsia"/>
            <w:bCs/>
            <w:noProof/>
            <w:sz w:val="28"/>
            <w:szCs w:val="28"/>
          </w:rPr>
          <w:t>入支出决算总体情况说明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_Toc82075626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6</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27" w:history="1">
        <w:r w:rsidRPr="008D507B">
          <w:rPr>
            <w:rStyle w:val="a8"/>
            <w:rFonts w:ascii="仿宋" w:eastAsia="仿宋" w:hAnsi="仿宋" w:hint="eastAsia"/>
            <w:noProof/>
            <w:sz w:val="28"/>
            <w:szCs w:val="28"/>
          </w:rPr>
          <w:t>二、收</w:t>
        </w:r>
        <w:r w:rsidRPr="008D507B">
          <w:rPr>
            <w:rStyle w:val="a8"/>
            <w:rFonts w:ascii="仿宋" w:eastAsia="仿宋" w:hAnsi="仿宋" w:hint="eastAsia"/>
            <w:bCs/>
            <w:noProof/>
            <w:sz w:val="28"/>
            <w:szCs w:val="28"/>
          </w:rPr>
          <w:t>入决算情况说明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_Toc82075627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6</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29" w:history="1">
        <w:r w:rsidRPr="008D507B">
          <w:rPr>
            <w:rStyle w:val="a8"/>
            <w:rFonts w:ascii="仿宋" w:eastAsia="仿宋" w:hAnsi="仿宋" w:hint="eastAsia"/>
            <w:noProof/>
            <w:sz w:val="28"/>
            <w:szCs w:val="28"/>
          </w:rPr>
          <w:t>三、支</w:t>
        </w:r>
        <w:r w:rsidRPr="008D507B">
          <w:rPr>
            <w:rStyle w:val="a8"/>
            <w:rFonts w:ascii="仿宋" w:eastAsia="仿宋" w:hAnsi="仿宋" w:hint="eastAsia"/>
            <w:bCs/>
            <w:noProof/>
            <w:sz w:val="28"/>
            <w:szCs w:val="28"/>
          </w:rPr>
          <w:t>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_Toc82075629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30" w:history="1">
        <w:r w:rsidRPr="008D507B">
          <w:rPr>
            <w:rStyle w:val="a8"/>
            <w:rFonts w:ascii="仿宋" w:eastAsia="仿宋" w:hAnsi="仿宋" w:hint="eastAsia"/>
            <w:noProof/>
            <w:sz w:val="28"/>
            <w:szCs w:val="28"/>
          </w:rPr>
          <w:t>四、财</w:t>
        </w:r>
        <w:r w:rsidRPr="008D507B">
          <w:rPr>
            <w:rStyle w:val="a8"/>
            <w:rFonts w:ascii="仿宋" w:eastAsia="仿宋" w:hAnsi="仿宋" w:hint="eastAsia"/>
            <w:bCs/>
            <w:noProof/>
            <w:sz w:val="28"/>
            <w:szCs w:val="28"/>
          </w:rPr>
          <w:t>政拨款收入支出决算总体情况说明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_Toc82075630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31" w:history="1">
        <w:r w:rsidRPr="008D507B">
          <w:rPr>
            <w:rStyle w:val="a8"/>
            <w:rFonts w:ascii="仿宋" w:eastAsia="仿宋" w:hAnsi="仿宋" w:hint="eastAsia"/>
            <w:noProof/>
            <w:sz w:val="28"/>
            <w:szCs w:val="28"/>
          </w:rPr>
          <w:t>五、</w:t>
        </w:r>
        <w:r w:rsidRPr="008D507B">
          <w:rPr>
            <w:rStyle w:val="a8"/>
            <w:rFonts w:ascii="仿宋" w:eastAsia="仿宋" w:hAnsi="仿宋" w:hint="eastAsia"/>
            <w:b/>
            <w:noProof/>
            <w:sz w:val="28"/>
            <w:szCs w:val="28"/>
          </w:rPr>
          <w:t>一</w:t>
        </w:r>
        <w:r w:rsidRPr="008D507B">
          <w:rPr>
            <w:rStyle w:val="a8"/>
            <w:rFonts w:ascii="仿宋" w:eastAsia="仿宋" w:hAnsi="仿宋" w:hint="eastAsia"/>
            <w:bCs/>
            <w:noProof/>
            <w:sz w:val="28"/>
            <w:szCs w:val="28"/>
          </w:rPr>
          <w:t>般公共预算财政拨款支出决算情况说明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_Toc82075631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8</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32" w:history="1">
        <w:r w:rsidRPr="008D507B">
          <w:rPr>
            <w:rStyle w:val="a8"/>
            <w:rFonts w:ascii="仿宋" w:eastAsia="仿宋" w:hAnsi="仿宋" w:cs="楷体" w:hint="eastAsia"/>
            <w:bCs/>
            <w:noProof/>
            <w:sz w:val="28"/>
            <w:szCs w:val="28"/>
          </w:rPr>
          <w:t>（一）一般公共预算财政拨款支出决算总体情况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_Toc82075632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8</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33" w:history="1">
        <w:r w:rsidRPr="008D507B">
          <w:rPr>
            <w:rStyle w:val="a8"/>
            <w:rFonts w:ascii="仿宋" w:eastAsia="仿宋" w:hAnsi="仿宋" w:cs="楷体" w:hint="eastAsia"/>
            <w:bCs/>
            <w:noProof/>
            <w:sz w:val="28"/>
            <w:szCs w:val="28"/>
          </w:rPr>
          <w:t>（二）一般公共预算财政拨款支出决算结构情况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_Toc82075633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9</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34" w:history="1">
        <w:r w:rsidRPr="008D507B">
          <w:rPr>
            <w:rStyle w:val="a8"/>
            <w:rFonts w:ascii="仿宋" w:eastAsia="仿宋" w:hAnsi="仿宋" w:cs="楷体" w:hint="eastAsia"/>
            <w:bCs/>
            <w:noProof/>
            <w:sz w:val="28"/>
            <w:szCs w:val="28"/>
          </w:rPr>
          <w:t>（三）一般公共预算财政拨款支出决算具体情况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_Toc82075634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9</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36" w:history="1">
        <w:r w:rsidRPr="008D507B">
          <w:rPr>
            <w:rStyle w:val="a8"/>
            <w:rFonts w:ascii="仿宋" w:eastAsia="仿宋" w:hAnsi="仿宋" w:hint="eastAsia"/>
            <w:noProof/>
            <w:sz w:val="28"/>
            <w:szCs w:val="28"/>
          </w:rPr>
          <w:t>六</w:t>
        </w:r>
        <w:r w:rsidRPr="008D507B">
          <w:rPr>
            <w:rStyle w:val="a8"/>
            <w:rFonts w:ascii="仿宋" w:eastAsia="仿宋" w:hAnsi="仿宋" w:hint="eastAsia"/>
            <w:b/>
            <w:noProof/>
            <w:sz w:val="28"/>
            <w:szCs w:val="28"/>
          </w:rPr>
          <w:t>、一</w:t>
        </w:r>
        <w:r w:rsidRPr="008D507B">
          <w:rPr>
            <w:rStyle w:val="a8"/>
            <w:rFonts w:ascii="仿宋" w:eastAsia="仿宋" w:hAnsi="仿宋" w:hint="eastAsia"/>
            <w:bCs/>
            <w:noProof/>
            <w:sz w:val="28"/>
            <w:szCs w:val="28"/>
          </w:rPr>
          <w:t>般公共预算财政拨款基本支出决算情况说明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_Toc82075636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12</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37" w:history="1">
        <w:r w:rsidRPr="008D507B">
          <w:rPr>
            <w:rStyle w:val="a8"/>
            <w:rFonts w:ascii="仿宋" w:eastAsia="仿宋" w:hAnsi="仿宋" w:hint="eastAsia"/>
            <w:noProof/>
            <w:sz w:val="28"/>
            <w:szCs w:val="28"/>
          </w:rPr>
          <w:t>七、</w:t>
        </w:r>
        <w:r w:rsidRPr="008D507B">
          <w:rPr>
            <w:rStyle w:val="a8"/>
            <w:rFonts w:ascii="仿宋" w:eastAsia="仿宋" w:hAnsi="仿宋"/>
            <w:b/>
            <w:bCs/>
            <w:noProof/>
            <w:sz w:val="28"/>
            <w:szCs w:val="28"/>
          </w:rPr>
          <w:t>“</w:t>
        </w:r>
        <w:r w:rsidRPr="008D507B">
          <w:rPr>
            <w:rStyle w:val="a8"/>
            <w:rFonts w:ascii="仿宋" w:eastAsia="仿宋" w:hAnsi="仿宋" w:hint="eastAsia"/>
            <w:bCs/>
            <w:noProof/>
            <w:sz w:val="28"/>
            <w:szCs w:val="28"/>
          </w:rPr>
          <w:t>三公”经费财政拨款支出决算情况说明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_Toc82075637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13</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38" w:history="1">
        <w:r w:rsidRPr="008D507B">
          <w:rPr>
            <w:rStyle w:val="a8"/>
            <w:rFonts w:ascii="仿宋" w:eastAsia="仿宋" w:hAnsi="仿宋" w:cs="楷体" w:hint="eastAsia"/>
            <w:bCs/>
            <w:noProof/>
            <w:sz w:val="28"/>
            <w:szCs w:val="28"/>
          </w:rPr>
          <w:t>（一）“三公”经费财政拨款支出决算总体情况说明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_Toc82075638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13</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39" w:history="1">
        <w:r w:rsidRPr="008D507B">
          <w:rPr>
            <w:rStyle w:val="a8"/>
            <w:rFonts w:ascii="仿宋" w:eastAsia="仿宋" w:hAnsi="仿宋" w:hint="eastAsia"/>
            <w:b/>
            <w:noProof/>
            <w:sz w:val="28"/>
            <w:szCs w:val="28"/>
          </w:rPr>
          <w:t>（</w:t>
        </w:r>
        <w:r w:rsidRPr="008D507B">
          <w:rPr>
            <w:rStyle w:val="a8"/>
            <w:rFonts w:ascii="仿宋" w:eastAsia="仿宋" w:hAnsi="仿宋" w:cs="楷体" w:hint="eastAsia"/>
            <w:bCs/>
            <w:noProof/>
            <w:sz w:val="28"/>
            <w:szCs w:val="28"/>
          </w:rPr>
          <w:t>二）“三公”经费财政拨款支出决算具体情况说明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_Toc82075639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14</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40" w:history="1">
        <w:r w:rsidRPr="008D507B">
          <w:rPr>
            <w:rStyle w:val="a8"/>
            <w:rFonts w:ascii="仿宋" w:eastAsia="仿宋" w:hAnsi="仿宋" w:hint="eastAsia"/>
            <w:noProof/>
            <w:sz w:val="28"/>
            <w:szCs w:val="28"/>
          </w:rPr>
          <w:t>八、</w:t>
        </w:r>
        <w:r w:rsidRPr="008D507B">
          <w:rPr>
            <w:rStyle w:val="a8"/>
            <w:rFonts w:ascii="仿宋" w:eastAsia="仿宋" w:hAnsi="仿宋" w:hint="eastAsia"/>
            <w:bCs/>
            <w:noProof/>
            <w:sz w:val="28"/>
            <w:szCs w:val="28"/>
          </w:rPr>
          <w:t>政府性基金预算支出决算情况说明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_Toc82075640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15</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41" w:history="1">
        <w:r w:rsidRPr="008D507B">
          <w:rPr>
            <w:rStyle w:val="a8"/>
            <w:rFonts w:ascii="仿宋" w:eastAsia="仿宋" w:hAnsi="仿宋" w:hint="eastAsia"/>
            <w:bCs/>
            <w:noProof/>
            <w:sz w:val="28"/>
            <w:szCs w:val="28"/>
          </w:rPr>
          <w:t>九、 国有资本经营预算支出决算情况说明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_Toc82075641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42" w:history="1">
        <w:r w:rsidRPr="008D507B">
          <w:rPr>
            <w:rStyle w:val="a8"/>
            <w:rFonts w:ascii="仿宋" w:eastAsia="仿宋" w:hAnsi="仿宋" w:hint="eastAsia"/>
            <w:noProof/>
            <w:sz w:val="28"/>
            <w:szCs w:val="28"/>
          </w:rPr>
          <w:t>十</w:t>
        </w:r>
        <w:r w:rsidRPr="008D507B">
          <w:rPr>
            <w:rStyle w:val="a8"/>
            <w:rFonts w:ascii="仿宋" w:eastAsia="仿宋" w:hAnsi="仿宋" w:hint="eastAsia"/>
            <w:b/>
            <w:bCs/>
            <w:noProof/>
            <w:sz w:val="28"/>
            <w:szCs w:val="28"/>
          </w:rPr>
          <w:t>、</w:t>
        </w:r>
        <w:r w:rsidRPr="008D507B">
          <w:rPr>
            <w:rStyle w:val="a8"/>
            <w:rFonts w:ascii="仿宋" w:eastAsia="仿宋" w:hAnsi="仿宋" w:hint="eastAsia"/>
            <w:bCs/>
            <w:noProof/>
            <w:sz w:val="28"/>
            <w:szCs w:val="28"/>
          </w:rPr>
          <w:t>其他重要事项的情况说明</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_Toc82075642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43" w:history="1">
        <w:r w:rsidRPr="008D507B">
          <w:rPr>
            <w:rStyle w:val="a8"/>
            <w:rFonts w:ascii="仿宋" w:eastAsia="仿宋" w:hAnsi="仿宋" w:cs="楷体" w:hint="eastAsia"/>
            <w:bCs/>
            <w:noProof/>
            <w:sz w:val="28"/>
            <w:szCs w:val="28"/>
          </w:rPr>
          <w:t>（一）机关运行经费支出情况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_Toc82075643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44" w:history="1">
        <w:r w:rsidRPr="008D507B">
          <w:rPr>
            <w:rStyle w:val="a8"/>
            <w:rFonts w:ascii="仿宋" w:eastAsia="仿宋" w:hAnsi="仿宋" w:cs="楷体" w:hint="eastAsia"/>
            <w:bCs/>
            <w:noProof/>
            <w:sz w:val="28"/>
            <w:szCs w:val="28"/>
          </w:rPr>
          <w:t>（二）政府采购支出情况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_Toc82075644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45" w:history="1">
        <w:r w:rsidRPr="008D507B">
          <w:rPr>
            <w:rStyle w:val="a8"/>
            <w:rFonts w:ascii="仿宋" w:eastAsia="仿宋" w:hAnsi="仿宋" w:cs="楷体" w:hint="eastAsia"/>
            <w:bCs/>
            <w:noProof/>
            <w:sz w:val="28"/>
            <w:szCs w:val="28"/>
          </w:rPr>
          <w:t>（三）国有资产占有使用情况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_Toc82075645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30"/>
        <w:rPr>
          <w:rFonts w:ascii="仿宋" w:eastAsia="仿宋" w:hAnsi="仿宋"/>
          <w:noProof/>
          <w:sz w:val="28"/>
          <w:szCs w:val="28"/>
        </w:rPr>
      </w:pPr>
      <w:hyperlink w:anchor="_Toc82075646" w:history="1">
        <w:r w:rsidRPr="008D507B">
          <w:rPr>
            <w:rStyle w:val="a8"/>
            <w:rFonts w:ascii="仿宋" w:eastAsia="仿宋" w:hAnsi="仿宋" w:cs="楷体" w:hint="eastAsia"/>
            <w:bCs/>
            <w:noProof/>
            <w:sz w:val="28"/>
            <w:szCs w:val="28"/>
          </w:rPr>
          <w:t>（四）预算绩效管理情况。</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_Toc82075646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16</w:t>
        </w:r>
        <w:r w:rsidRPr="008D507B">
          <w:rPr>
            <w:rFonts w:ascii="仿宋" w:eastAsia="仿宋" w:hAnsi="仿宋"/>
            <w:noProof/>
            <w:webHidden/>
            <w:sz w:val="28"/>
            <w:szCs w:val="28"/>
          </w:rPr>
          <w:fldChar w:fldCharType="end"/>
        </w:r>
      </w:hyperlink>
    </w:p>
    <w:p w:rsidR="008D507B" w:rsidRPr="0006590D" w:rsidRDefault="008D507B">
      <w:pPr>
        <w:pStyle w:val="10"/>
        <w:rPr>
          <w:noProof/>
        </w:rPr>
      </w:pPr>
      <w:hyperlink w:anchor="_Toc82075647" w:history="1">
        <w:r w:rsidRPr="008D507B">
          <w:rPr>
            <w:rStyle w:val="a8"/>
            <w:rFonts w:hint="eastAsia"/>
            <w:bCs/>
            <w:noProof/>
            <w:kern w:val="44"/>
          </w:rPr>
          <w:t>第三部分</w:t>
        </w:r>
        <w:r w:rsidRPr="008D507B">
          <w:rPr>
            <w:rStyle w:val="a8"/>
            <w:rFonts w:hint="eastAsia"/>
            <w:noProof/>
          </w:rPr>
          <w:t xml:space="preserve"> 名</w:t>
        </w:r>
        <w:r w:rsidRPr="008D507B">
          <w:rPr>
            <w:rStyle w:val="a8"/>
            <w:rFonts w:hint="eastAsia"/>
            <w:bCs/>
            <w:noProof/>
            <w:kern w:val="44"/>
          </w:rPr>
          <w:t>词解释</w:t>
        </w:r>
        <w:r w:rsidRPr="008D507B">
          <w:rPr>
            <w:noProof/>
            <w:webHidden/>
          </w:rPr>
          <w:tab/>
        </w:r>
        <w:r w:rsidRPr="008D507B">
          <w:rPr>
            <w:noProof/>
            <w:webHidden/>
          </w:rPr>
          <w:fldChar w:fldCharType="begin"/>
        </w:r>
        <w:r w:rsidRPr="008D507B">
          <w:rPr>
            <w:noProof/>
            <w:webHidden/>
          </w:rPr>
          <w:instrText xml:space="preserve"> PAGEREF _Toc82075647 \h </w:instrText>
        </w:r>
        <w:r w:rsidRPr="008D507B">
          <w:rPr>
            <w:noProof/>
            <w:webHidden/>
          </w:rPr>
        </w:r>
        <w:r w:rsidRPr="008D507B">
          <w:rPr>
            <w:noProof/>
            <w:webHidden/>
          </w:rPr>
          <w:fldChar w:fldCharType="separate"/>
        </w:r>
        <w:r w:rsidRPr="008D507B">
          <w:rPr>
            <w:noProof/>
            <w:webHidden/>
          </w:rPr>
          <w:t>30</w:t>
        </w:r>
        <w:r w:rsidRPr="008D507B">
          <w:rPr>
            <w:noProof/>
            <w:webHidden/>
          </w:rPr>
          <w:fldChar w:fldCharType="end"/>
        </w:r>
      </w:hyperlink>
    </w:p>
    <w:p w:rsidR="008D507B" w:rsidRPr="0006590D" w:rsidRDefault="008D507B">
      <w:pPr>
        <w:pStyle w:val="10"/>
        <w:rPr>
          <w:noProof/>
        </w:rPr>
      </w:pPr>
      <w:hyperlink w:anchor="_Toc82075648" w:history="1">
        <w:r w:rsidRPr="008D507B">
          <w:rPr>
            <w:rStyle w:val="a8"/>
            <w:rFonts w:hint="eastAsia"/>
            <w:noProof/>
          </w:rPr>
          <w:t>第</w:t>
        </w:r>
        <w:r w:rsidRPr="008D507B">
          <w:rPr>
            <w:rStyle w:val="a8"/>
            <w:rFonts w:hint="eastAsia"/>
            <w:bCs/>
            <w:noProof/>
            <w:kern w:val="44"/>
          </w:rPr>
          <w:t>四部分</w:t>
        </w:r>
        <w:r w:rsidRPr="008D507B">
          <w:rPr>
            <w:rStyle w:val="a8"/>
            <w:bCs/>
            <w:noProof/>
            <w:kern w:val="44"/>
          </w:rPr>
          <w:t xml:space="preserve"> </w:t>
        </w:r>
        <w:r w:rsidRPr="008D507B">
          <w:rPr>
            <w:rStyle w:val="a8"/>
            <w:rFonts w:hint="eastAsia"/>
            <w:bCs/>
            <w:noProof/>
            <w:kern w:val="44"/>
          </w:rPr>
          <w:t>附件</w:t>
        </w:r>
        <w:r w:rsidRPr="008D507B">
          <w:rPr>
            <w:noProof/>
            <w:webHidden/>
          </w:rPr>
          <w:tab/>
        </w:r>
        <w:r w:rsidRPr="008D507B">
          <w:rPr>
            <w:noProof/>
            <w:webHidden/>
          </w:rPr>
          <w:fldChar w:fldCharType="begin"/>
        </w:r>
        <w:r w:rsidRPr="008D507B">
          <w:rPr>
            <w:noProof/>
            <w:webHidden/>
          </w:rPr>
          <w:instrText xml:space="preserve"> PAGEREF _Toc82075648 \h </w:instrText>
        </w:r>
        <w:r w:rsidRPr="008D507B">
          <w:rPr>
            <w:noProof/>
            <w:webHidden/>
          </w:rPr>
        </w:r>
        <w:r w:rsidRPr="008D507B">
          <w:rPr>
            <w:noProof/>
            <w:webHidden/>
          </w:rPr>
          <w:fldChar w:fldCharType="separate"/>
        </w:r>
        <w:r w:rsidRPr="008D507B">
          <w:rPr>
            <w:noProof/>
            <w:webHidden/>
          </w:rPr>
          <w:t>35</w:t>
        </w:r>
        <w:r w:rsidRPr="008D507B">
          <w:rPr>
            <w:noProof/>
            <w:webHidden/>
          </w:rPr>
          <w:fldChar w:fldCharType="end"/>
        </w:r>
      </w:hyperlink>
    </w:p>
    <w:p w:rsidR="008D507B" w:rsidRPr="0006590D" w:rsidRDefault="008D507B">
      <w:pPr>
        <w:pStyle w:val="20"/>
        <w:rPr>
          <w:rFonts w:ascii="仿宋" w:eastAsia="仿宋" w:hAnsi="仿宋"/>
          <w:noProof/>
          <w:sz w:val="28"/>
          <w:szCs w:val="28"/>
        </w:rPr>
      </w:pPr>
      <w:hyperlink w:anchor="_Toc82075649" w:history="1">
        <w:r w:rsidRPr="008D507B">
          <w:rPr>
            <w:rStyle w:val="a8"/>
            <w:rFonts w:ascii="仿宋" w:eastAsia="仿宋" w:hAnsi="仿宋" w:cs="黑体" w:hint="eastAsia"/>
            <w:noProof/>
            <w:sz w:val="28"/>
            <w:szCs w:val="28"/>
          </w:rPr>
          <w:t>附件</w:t>
        </w:r>
        <w:r w:rsidRPr="008D507B">
          <w:rPr>
            <w:rStyle w:val="a8"/>
            <w:rFonts w:ascii="仿宋" w:eastAsia="仿宋" w:hAnsi="仿宋" w:cs="黑体"/>
            <w:noProof/>
            <w:sz w:val="28"/>
            <w:szCs w:val="28"/>
          </w:rPr>
          <w:t>1</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_Toc82075649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35</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0" w:history="1">
        <w:r w:rsidRPr="008D507B">
          <w:rPr>
            <w:rStyle w:val="a8"/>
            <w:rFonts w:ascii="仿宋" w:eastAsia="仿宋" w:hAnsi="仿宋" w:cs="黑体" w:hint="eastAsia"/>
            <w:noProof/>
            <w:sz w:val="28"/>
            <w:szCs w:val="28"/>
          </w:rPr>
          <w:t>附件</w:t>
        </w:r>
        <w:r w:rsidRPr="008D507B">
          <w:rPr>
            <w:rStyle w:val="a8"/>
            <w:rFonts w:ascii="仿宋" w:eastAsia="仿宋" w:hAnsi="仿宋" w:cs="黑体"/>
            <w:noProof/>
            <w:sz w:val="28"/>
            <w:szCs w:val="28"/>
          </w:rPr>
          <w:t>2</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_Toc82075650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44</w:t>
        </w:r>
        <w:r w:rsidRPr="008D507B">
          <w:rPr>
            <w:rFonts w:ascii="仿宋" w:eastAsia="仿宋" w:hAnsi="仿宋"/>
            <w:noProof/>
            <w:webHidden/>
            <w:sz w:val="28"/>
            <w:szCs w:val="28"/>
          </w:rPr>
          <w:fldChar w:fldCharType="end"/>
        </w:r>
      </w:hyperlink>
    </w:p>
    <w:p w:rsidR="008D507B" w:rsidRPr="0006590D" w:rsidRDefault="008D507B">
      <w:pPr>
        <w:pStyle w:val="10"/>
        <w:rPr>
          <w:noProof/>
        </w:rPr>
      </w:pPr>
      <w:hyperlink w:anchor="_Toc82075651" w:history="1">
        <w:r w:rsidRPr="008D507B">
          <w:rPr>
            <w:rStyle w:val="a8"/>
            <w:rFonts w:cs="黑体" w:hint="eastAsia"/>
            <w:noProof/>
          </w:rPr>
          <w:t>第</w:t>
        </w:r>
        <w:r w:rsidRPr="008D507B">
          <w:rPr>
            <w:rStyle w:val="a8"/>
            <w:rFonts w:cs="黑体" w:hint="eastAsia"/>
            <w:bCs/>
            <w:noProof/>
            <w:kern w:val="44"/>
          </w:rPr>
          <w:t>五部分</w:t>
        </w:r>
        <w:r w:rsidRPr="008D507B">
          <w:rPr>
            <w:rStyle w:val="a8"/>
            <w:rFonts w:cs="黑体"/>
            <w:bCs/>
            <w:noProof/>
            <w:kern w:val="44"/>
          </w:rPr>
          <w:t xml:space="preserve"> </w:t>
        </w:r>
        <w:r w:rsidRPr="008D507B">
          <w:rPr>
            <w:rStyle w:val="a8"/>
            <w:rFonts w:cs="黑体" w:hint="eastAsia"/>
            <w:bCs/>
            <w:noProof/>
            <w:kern w:val="44"/>
          </w:rPr>
          <w:t>附表</w:t>
        </w:r>
        <w:r w:rsidRPr="008D507B">
          <w:rPr>
            <w:noProof/>
            <w:webHidden/>
          </w:rPr>
          <w:tab/>
        </w:r>
        <w:r w:rsidRPr="008D507B">
          <w:rPr>
            <w:noProof/>
            <w:webHidden/>
          </w:rPr>
          <w:fldChar w:fldCharType="begin"/>
        </w:r>
        <w:r w:rsidRPr="008D507B">
          <w:rPr>
            <w:noProof/>
            <w:webHidden/>
          </w:rPr>
          <w:instrText xml:space="preserve"> PAGEREF _Toc82075651 \h </w:instrText>
        </w:r>
        <w:r w:rsidRPr="008D507B">
          <w:rPr>
            <w:noProof/>
            <w:webHidden/>
          </w:rPr>
        </w:r>
        <w:r w:rsidRPr="008D507B">
          <w:rPr>
            <w:noProof/>
            <w:webHidden/>
          </w:rPr>
          <w:fldChar w:fldCharType="separate"/>
        </w:r>
        <w:r w:rsidRPr="008D507B">
          <w:rPr>
            <w:noProof/>
            <w:webHidden/>
          </w:rPr>
          <w:t>47</w:t>
        </w:r>
        <w:r w:rsidRPr="008D507B">
          <w:rPr>
            <w:noProof/>
            <w:webHidden/>
          </w:rPr>
          <w:fldChar w:fldCharType="end"/>
        </w:r>
      </w:hyperlink>
    </w:p>
    <w:p w:rsidR="008D507B" w:rsidRPr="0006590D" w:rsidRDefault="008D507B">
      <w:pPr>
        <w:pStyle w:val="20"/>
        <w:rPr>
          <w:rFonts w:ascii="仿宋" w:eastAsia="仿宋" w:hAnsi="仿宋"/>
          <w:noProof/>
          <w:sz w:val="28"/>
          <w:szCs w:val="28"/>
        </w:rPr>
      </w:pPr>
      <w:hyperlink w:anchor="_Toc82075652" w:history="1">
        <w:r w:rsidRPr="008D507B">
          <w:rPr>
            <w:rStyle w:val="a8"/>
            <w:rFonts w:ascii="仿宋" w:eastAsia="仿宋" w:hAnsi="仿宋" w:cs="黑体" w:hint="eastAsia"/>
            <w:noProof/>
            <w:sz w:val="28"/>
            <w:szCs w:val="28"/>
          </w:rPr>
          <w:t>一、收入支出决算总表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_Toc82075652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3" w:history="1">
        <w:r w:rsidRPr="008D507B">
          <w:rPr>
            <w:rStyle w:val="a8"/>
            <w:rFonts w:ascii="仿宋" w:eastAsia="仿宋" w:hAnsi="仿宋" w:cs="黑体" w:hint="eastAsia"/>
            <w:noProof/>
            <w:sz w:val="28"/>
            <w:szCs w:val="28"/>
          </w:rPr>
          <w:t>二、收入决算表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_Toc82075653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4" w:history="1">
        <w:r w:rsidRPr="008D507B">
          <w:rPr>
            <w:rStyle w:val="a8"/>
            <w:rFonts w:ascii="仿宋" w:eastAsia="仿宋" w:hAnsi="仿宋" w:cs="黑体" w:hint="eastAsia"/>
            <w:noProof/>
            <w:sz w:val="28"/>
            <w:szCs w:val="28"/>
          </w:rPr>
          <w:t>三、支出决算表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_Toc82075654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5" w:history="1">
        <w:r w:rsidRPr="008D507B">
          <w:rPr>
            <w:rStyle w:val="a8"/>
            <w:rFonts w:ascii="仿宋" w:eastAsia="仿宋" w:hAnsi="仿宋" w:cs="黑体" w:hint="eastAsia"/>
            <w:noProof/>
            <w:sz w:val="28"/>
            <w:szCs w:val="28"/>
          </w:rPr>
          <w:t>四、财政拨款收入支出决算总表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_Toc82075655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6" w:history="1">
        <w:r w:rsidRPr="008D507B">
          <w:rPr>
            <w:rStyle w:val="a8"/>
            <w:rFonts w:ascii="仿宋" w:eastAsia="仿宋" w:hAnsi="仿宋" w:cs="黑体" w:hint="eastAsia"/>
            <w:noProof/>
            <w:sz w:val="28"/>
            <w:szCs w:val="28"/>
          </w:rPr>
          <w:t>五、财政拨款支出决算明细表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_Toc82075656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7" w:history="1">
        <w:r w:rsidRPr="008D507B">
          <w:rPr>
            <w:rStyle w:val="a8"/>
            <w:rFonts w:ascii="仿宋" w:eastAsia="仿宋" w:hAnsi="仿宋" w:cs="黑体" w:hint="eastAsia"/>
            <w:noProof/>
            <w:sz w:val="28"/>
            <w:szCs w:val="28"/>
          </w:rPr>
          <w:t>六、一般公共预算财政拨款支出决算表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_Toc82075657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8" w:history="1">
        <w:r w:rsidRPr="008D507B">
          <w:rPr>
            <w:rStyle w:val="a8"/>
            <w:rFonts w:ascii="仿宋" w:eastAsia="仿宋" w:hAnsi="仿宋" w:cs="黑体" w:hint="eastAsia"/>
            <w:noProof/>
            <w:sz w:val="28"/>
            <w:szCs w:val="28"/>
          </w:rPr>
          <w:t>七、一般公共预算财政拨款支出决算明细表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_Toc82075658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59" w:history="1">
        <w:r w:rsidRPr="008D507B">
          <w:rPr>
            <w:rStyle w:val="a8"/>
            <w:rFonts w:ascii="仿宋" w:eastAsia="仿宋" w:hAnsi="仿宋" w:cs="黑体" w:hint="eastAsia"/>
            <w:noProof/>
            <w:sz w:val="28"/>
            <w:szCs w:val="28"/>
          </w:rPr>
          <w:t>八、一般公共预算财政拨款基本支出决算表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_Toc82075659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0" w:history="1">
        <w:r w:rsidRPr="008D507B">
          <w:rPr>
            <w:rStyle w:val="a8"/>
            <w:rFonts w:ascii="仿宋" w:eastAsia="仿宋" w:hAnsi="仿宋" w:cs="黑体" w:hint="eastAsia"/>
            <w:noProof/>
            <w:sz w:val="28"/>
            <w:szCs w:val="28"/>
          </w:rPr>
          <w:t>九、一般公共预算财政拨款项目支出决算表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_Toc82075660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1" w:history="1">
        <w:r w:rsidRPr="008D507B">
          <w:rPr>
            <w:rStyle w:val="a8"/>
            <w:rFonts w:ascii="仿宋" w:eastAsia="仿宋" w:hAnsi="仿宋" w:cs="黑体" w:hint="eastAsia"/>
            <w:noProof/>
            <w:sz w:val="28"/>
            <w:szCs w:val="28"/>
          </w:rPr>
          <w:t>十、一般公共预算财政拨款“三公”经费支出决算表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_Toc82075661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2" w:history="1">
        <w:r w:rsidRPr="008D507B">
          <w:rPr>
            <w:rStyle w:val="a8"/>
            <w:rFonts w:ascii="仿宋" w:eastAsia="仿宋" w:hAnsi="仿宋" w:cs="黑体" w:hint="eastAsia"/>
            <w:noProof/>
            <w:sz w:val="28"/>
            <w:szCs w:val="28"/>
          </w:rPr>
          <w:t>十一、政府性基金预算财政拨款收入支出决算表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_Toc82075662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3" w:history="1">
        <w:r w:rsidRPr="008D507B">
          <w:rPr>
            <w:rStyle w:val="a8"/>
            <w:rFonts w:ascii="仿宋" w:eastAsia="仿宋" w:hAnsi="仿宋" w:cs="黑体" w:hint="eastAsia"/>
            <w:noProof/>
            <w:sz w:val="28"/>
            <w:szCs w:val="28"/>
          </w:rPr>
          <w:t>十二、政府性基金预算财政拨款“三公”经费支出决算表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_Toc82075663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4" w:history="1">
        <w:r w:rsidR="00663810">
          <w:rPr>
            <w:rStyle w:val="a8"/>
            <w:rFonts w:ascii="仿宋" w:eastAsia="仿宋" w:hAnsi="仿宋" w:cs="黑体" w:hint="eastAsia"/>
            <w:noProof/>
            <w:sz w:val="28"/>
            <w:szCs w:val="28"/>
          </w:rPr>
          <w:t>十三、国有资本经营预算财政拨款收入支出决算表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_Toc82075664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8D507B" w:rsidRPr="0006590D" w:rsidRDefault="008D507B">
      <w:pPr>
        <w:pStyle w:val="20"/>
        <w:rPr>
          <w:rFonts w:ascii="仿宋" w:eastAsia="仿宋" w:hAnsi="仿宋"/>
          <w:noProof/>
          <w:sz w:val="28"/>
          <w:szCs w:val="28"/>
        </w:rPr>
      </w:pPr>
      <w:hyperlink w:anchor="_Toc82075665" w:history="1">
        <w:r w:rsidRPr="008D507B">
          <w:rPr>
            <w:rStyle w:val="a8"/>
            <w:rFonts w:ascii="仿宋" w:eastAsia="仿宋" w:hAnsi="仿宋" w:cs="黑体" w:hint="eastAsia"/>
            <w:noProof/>
            <w:sz w:val="28"/>
            <w:szCs w:val="28"/>
          </w:rPr>
          <w:t>十四、国有资本经营预算财政拨款支出决算表</w:t>
        </w:r>
        <w:r w:rsidRPr="008D507B">
          <w:rPr>
            <w:rFonts w:ascii="仿宋" w:eastAsia="仿宋" w:hAnsi="仿宋"/>
            <w:noProof/>
            <w:webHidden/>
            <w:sz w:val="28"/>
            <w:szCs w:val="28"/>
          </w:rPr>
          <w:tab/>
        </w:r>
        <w:r w:rsidRPr="008D507B">
          <w:rPr>
            <w:rFonts w:ascii="仿宋" w:eastAsia="仿宋" w:hAnsi="仿宋"/>
            <w:noProof/>
            <w:webHidden/>
            <w:sz w:val="28"/>
            <w:szCs w:val="28"/>
          </w:rPr>
          <w:fldChar w:fldCharType="begin"/>
        </w:r>
        <w:r w:rsidRPr="008D507B">
          <w:rPr>
            <w:rFonts w:ascii="仿宋" w:eastAsia="仿宋" w:hAnsi="仿宋"/>
            <w:noProof/>
            <w:webHidden/>
            <w:sz w:val="28"/>
            <w:szCs w:val="28"/>
          </w:rPr>
          <w:instrText xml:space="preserve"> PAGEREF _Toc82075665 \h </w:instrText>
        </w:r>
        <w:r w:rsidRPr="008D507B">
          <w:rPr>
            <w:rFonts w:ascii="仿宋" w:eastAsia="仿宋" w:hAnsi="仿宋"/>
            <w:noProof/>
            <w:webHidden/>
            <w:sz w:val="28"/>
            <w:szCs w:val="28"/>
          </w:rPr>
        </w:r>
        <w:r w:rsidRPr="008D507B">
          <w:rPr>
            <w:rFonts w:ascii="仿宋" w:eastAsia="仿宋" w:hAnsi="仿宋"/>
            <w:noProof/>
            <w:webHidden/>
            <w:sz w:val="28"/>
            <w:szCs w:val="28"/>
          </w:rPr>
          <w:fldChar w:fldCharType="separate"/>
        </w:r>
        <w:r w:rsidRPr="008D507B">
          <w:rPr>
            <w:rFonts w:ascii="仿宋" w:eastAsia="仿宋" w:hAnsi="仿宋"/>
            <w:noProof/>
            <w:webHidden/>
            <w:sz w:val="28"/>
            <w:szCs w:val="28"/>
          </w:rPr>
          <w:t>47</w:t>
        </w:r>
        <w:r w:rsidRPr="008D507B">
          <w:rPr>
            <w:rFonts w:ascii="仿宋" w:eastAsia="仿宋" w:hAnsi="仿宋"/>
            <w:noProof/>
            <w:webHidden/>
            <w:sz w:val="28"/>
            <w:szCs w:val="28"/>
          </w:rPr>
          <w:fldChar w:fldCharType="end"/>
        </w:r>
      </w:hyperlink>
    </w:p>
    <w:p w:rsidR="00501310" w:rsidRDefault="00501310">
      <w:r>
        <w:rPr>
          <w:b/>
          <w:bCs/>
          <w:lang w:val="zh-CN"/>
        </w:rPr>
        <w:fldChar w:fldCharType="end"/>
      </w:r>
    </w:p>
    <w:p w:rsidR="00501310" w:rsidRDefault="00501310">
      <w:pPr>
        <w:widowControl/>
        <w:jc w:val="left"/>
        <w:rPr>
          <w:rFonts w:ascii="仿宋" w:eastAsia="仿宋" w:hAnsi="仿宋"/>
          <w:bCs/>
          <w:kern w:val="44"/>
          <w:sz w:val="24"/>
        </w:rPr>
      </w:pPr>
      <w:bookmarkStart w:id="18" w:name="_Toc15377196"/>
      <w:bookmarkStart w:id="19" w:name="_Toc15396599"/>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widowControl/>
        <w:jc w:val="left"/>
        <w:rPr>
          <w:rFonts w:ascii="仿宋" w:eastAsia="仿宋" w:hAnsi="仿宋"/>
          <w:bCs/>
          <w:kern w:val="44"/>
          <w:sz w:val="24"/>
        </w:rPr>
      </w:pPr>
    </w:p>
    <w:p w:rsidR="00501310" w:rsidRDefault="00501310">
      <w:pPr>
        <w:pStyle w:val="1"/>
        <w:spacing w:line="240" w:lineRule="auto"/>
        <w:jc w:val="center"/>
        <w:rPr>
          <w:rFonts w:ascii="方正小标宋_GBK" w:eastAsia="方正小标宋_GBK" w:hAnsi="方正小标宋_GBK" w:cs="方正小标宋_GBK" w:hint="eastAsia"/>
          <w:b w:val="0"/>
        </w:rPr>
        <w:sectPr w:rsidR="00501310">
          <w:headerReference w:type="default" r:id="rId7"/>
          <w:footerReference w:type="default" r:id="rId8"/>
          <w:pgSz w:w="11906" w:h="16838"/>
          <w:pgMar w:top="1440" w:right="1800" w:bottom="1440" w:left="1800" w:header="851" w:footer="992" w:gutter="0"/>
          <w:pgNumType w:start="1"/>
          <w:cols w:space="720"/>
          <w:titlePg/>
          <w:docGrid w:type="lines" w:linePitch="312"/>
        </w:sectPr>
      </w:pPr>
      <w:bookmarkStart w:id="20" w:name="_Toc82012089"/>
    </w:p>
    <w:p w:rsidR="00501310" w:rsidRDefault="00501310">
      <w:pPr>
        <w:pStyle w:val="1"/>
        <w:spacing w:line="240" w:lineRule="auto"/>
        <w:jc w:val="center"/>
        <w:rPr>
          <w:rFonts w:ascii="方正小标宋_GBK" w:eastAsia="方正小标宋_GBK" w:hAnsi="方正小标宋_GBK" w:cs="方正小标宋_GBK" w:hint="eastAsia"/>
          <w:bCs w:val="0"/>
        </w:rPr>
      </w:pPr>
      <w:bookmarkStart w:id="21" w:name="_Toc82075620"/>
      <w:r>
        <w:rPr>
          <w:rFonts w:ascii="方正小标宋_GBK" w:eastAsia="方正小标宋_GBK" w:hAnsi="方正小标宋_GBK" w:cs="方正小标宋_GBK" w:hint="eastAsia"/>
          <w:b w:val="0"/>
        </w:rPr>
        <w:lastRenderedPageBreak/>
        <w:t xml:space="preserve">第一部分 </w:t>
      </w:r>
      <w:r>
        <w:rPr>
          <w:rStyle w:val="1Char"/>
          <w:rFonts w:ascii="方正小标宋_GBK" w:eastAsia="方正小标宋_GBK" w:hAnsi="方正小标宋_GBK" w:cs="方正小标宋_GBK" w:hint="eastAsia"/>
        </w:rPr>
        <w:t>部门概况</w:t>
      </w:r>
      <w:bookmarkEnd w:id="18"/>
      <w:bookmarkEnd w:id="19"/>
      <w:bookmarkEnd w:id="20"/>
      <w:bookmarkEnd w:id="21"/>
    </w:p>
    <w:p w:rsidR="00501310" w:rsidRDefault="00501310">
      <w:pPr>
        <w:pStyle w:val="2"/>
        <w:spacing w:line="600" w:lineRule="exact"/>
        <w:ind w:firstLineChars="200" w:firstLine="640"/>
        <w:rPr>
          <w:rStyle w:val="2Char"/>
          <w:rFonts w:ascii="黑体" w:eastAsia="黑体" w:hAnsi="黑体" w:hint="eastAsia"/>
        </w:rPr>
      </w:pPr>
      <w:bookmarkStart w:id="22" w:name="_Toc15396600"/>
      <w:bookmarkStart w:id="23" w:name="_Toc15377197"/>
      <w:bookmarkStart w:id="24" w:name="_Toc82012090"/>
      <w:bookmarkStart w:id="25" w:name="_Toc82075621"/>
      <w:r>
        <w:rPr>
          <w:rFonts w:ascii="黑体" w:eastAsia="黑体" w:hAnsi="黑体" w:hint="eastAsia"/>
          <w:b w:val="0"/>
          <w:color w:val="000000"/>
        </w:rPr>
        <w:t>一、基</w:t>
      </w:r>
      <w:r>
        <w:rPr>
          <w:rStyle w:val="2Char"/>
          <w:rFonts w:ascii="黑体" w:eastAsia="黑体" w:hAnsi="黑体" w:hint="eastAsia"/>
        </w:rPr>
        <w:t>本职能及主要工作</w:t>
      </w:r>
      <w:bookmarkEnd w:id="22"/>
      <w:bookmarkEnd w:id="23"/>
      <w:bookmarkEnd w:id="24"/>
      <w:bookmarkEnd w:id="25"/>
    </w:p>
    <w:p w:rsidR="00501310" w:rsidRDefault="00501310">
      <w:pPr>
        <w:snapToGrid w:val="0"/>
        <w:spacing w:line="600" w:lineRule="exact"/>
        <w:ind w:firstLineChars="200" w:firstLine="640"/>
        <w:outlineLvl w:val="2"/>
        <w:rPr>
          <w:rFonts w:ascii="楷体_GB2312" w:eastAsia="楷体_GB2312" w:hAnsi="仿宋"/>
          <w:bCs/>
          <w:sz w:val="32"/>
          <w:szCs w:val="32"/>
        </w:rPr>
      </w:pPr>
      <w:bookmarkStart w:id="26" w:name="_Toc82075622"/>
      <w:r>
        <w:rPr>
          <w:rFonts w:ascii="楷体_GB2312" w:eastAsia="楷体_GB2312" w:hAnsi="仿宋" w:hint="eastAsia"/>
          <w:bCs/>
          <w:sz w:val="32"/>
          <w:szCs w:val="32"/>
        </w:rPr>
        <w:t>（一）基本职能</w:t>
      </w:r>
      <w:bookmarkEnd w:id="26"/>
    </w:p>
    <w:p w:rsidR="00501310" w:rsidRDefault="00501310">
      <w:pPr>
        <w:spacing w:line="600" w:lineRule="exact"/>
        <w:ind w:firstLineChars="250" w:firstLine="800"/>
        <w:rPr>
          <w:rFonts w:ascii="仿宋_GB2312" w:eastAsia="仿宋_GB2312" w:hAnsi="仿宋"/>
          <w:sz w:val="32"/>
          <w:szCs w:val="32"/>
        </w:rPr>
      </w:pPr>
      <w:r>
        <w:rPr>
          <w:rFonts w:ascii="仿宋_GB2312" w:eastAsia="仿宋_GB2312" w:hAnsi="仿宋" w:hint="eastAsia"/>
          <w:sz w:val="32"/>
          <w:szCs w:val="32"/>
        </w:rPr>
        <w:t>攀枝花学院是教育部布点在川西南、滇西北唯一一所以工为主的综合性普通本科院校。学校坐落于著名的钒钛之都、阳光花城、康养胜地、全国唯一以花命名的城市——攀枝花市。</w:t>
      </w:r>
    </w:p>
    <w:p w:rsidR="00501310" w:rsidRDefault="00501310">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始建于1983年，应国家三线建设和西部大开发建设需求而诞生，由方毅、宋任穷等老一辈革命家倡导，党和国家领导人方毅、费孝通先后题写“攀枝花大学”校名。1994年与攀枝花教育学院合并，1998年四川省攀枝花卫生学校并入，2001年经教育部批准改建为本科院校，更名为“攀枝花学院”，实行“省市共建，以市为主”的管理体制。2004年攀枝花市高级技工学校整体划归学校，2005年增列为学士学位授予单位，2007年攀枝花市中西医结合医院作为直管附属医院划归学校管理，2017年攀枝花市中心医院成为学校第二临床医学院，</w:t>
      </w:r>
      <w:r>
        <w:rPr>
          <w:rFonts w:ascii="仿宋_GB2312" w:eastAsia="仿宋_GB2312" w:hAnsi="仿宋"/>
          <w:sz w:val="32"/>
          <w:szCs w:val="32"/>
        </w:rPr>
        <w:t>2007年起举办研究生教育（</w:t>
      </w:r>
      <w:r>
        <w:rPr>
          <w:rFonts w:ascii="仿宋_GB2312" w:eastAsia="仿宋_GB2312" w:hAnsi="仿宋" w:hint="eastAsia"/>
          <w:sz w:val="32"/>
          <w:szCs w:val="32"/>
        </w:rPr>
        <w:t>与西华大学</w:t>
      </w:r>
      <w:r>
        <w:rPr>
          <w:rFonts w:ascii="仿宋_GB2312" w:eastAsia="仿宋_GB2312" w:hAnsi="仿宋"/>
          <w:sz w:val="32"/>
          <w:szCs w:val="32"/>
        </w:rPr>
        <w:t>联合培养）</w:t>
      </w:r>
      <w:r>
        <w:rPr>
          <w:rFonts w:ascii="仿宋_GB2312" w:eastAsia="仿宋_GB2312" w:hAnsi="仿宋" w:hint="eastAsia"/>
          <w:sz w:val="32"/>
          <w:szCs w:val="32"/>
        </w:rPr>
        <w:t>，2017年开始举办留学生教育，2018年高质量通过教育部本科教学审核评估。</w:t>
      </w:r>
    </w:p>
    <w:p w:rsidR="00501310" w:rsidRDefault="00501310">
      <w:pPr>
        <w:snapToGrid w:val="0"/>
        <w:spacing w:line="600" w:lineRule="exact"/>
        <w:ind w:firstLineChars="200" w:firstLine="640"/>
        <w:outlineLvl w:val="2"/>
        <w:rPr>
          <w:rFonts w:ascii="楷体_GB2312" w:eastAsia="楷体_GB2312" w:hAnsi="仿宋" w:hint="eastAsia"/>
          <w:bCs/>
          <w:sz w:val="32"/>
          <w:szCs w:val="32"/>
        </w:rPr>
      </w:pPr>
      <w:bookmarkStart w:id="27" w:name="_Toc82075623"/>
      <w:r>
        <w:rPr>
          <w:rFonts w:ascii="楷体_GB2312" w:eastAsia="楷体_GB2312" w:hAnsi="仿宋" w:hint="eastAsia"/>
          <w:bCs/>
          <w:sz w:val="32"/>
          <w:szCs w:val="32"/>
        </w:rPr>
        <w:t>(二)主要工作</w:t>
      </w:r>
      <w:bookmarkEnd w:id="27"/>
    </w:p>
    <w:p w:rsidR="00501310" w:rsidRDefault="00501310">
      <w:pPr>
        <w:snapToGrid w:val="0"/>
        <w:spacing w:line="600" w:lineRule="exact"/>
        <w:ind w:left="630" w:firstLineChars="100" w:firstLine="3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（1）切实抓好疫情防控</w:t>
      </w:r>
    </w:p>
    <w:p w:rsidR="00501310" w:rsidRDefault="00501310">
      <w:pPr>
        <w:spacing w:line="600" w:lineRule="exact"/>
        <w:ind w:left="160" w:firstLineChars="250" w:firstLine="800"/>
        <w:jc w:val="left"/>
        <w:rPr>
          <w:rFonts w:ascii="仿宋_GB2312" w:eastAsia="仿宋_GB2312" w:hAnsi="仿宋_GB2312" w:cs="仿宋_GB2312"/>
          <w:sz w:val="32"/>
          <w:szCs w:val="32"/>
        </w:rPr>
      </w:pPr>
      <w:bookmarkStart w:id="28" w:name="_Hlk54707883"/>
      <w:bookmarkStart w:id="29" w:name="_Hlk49351599"/>
      <w:r>
        <w:rPr>
          <w:rFonts w:ascii="仿宋_GB2312" w:eastAsia="仿宋_GB2312" w:hAnsi="仿宋_GB2312" w:cs="仿宋_GB2312" w:hint="eastAsia"/>
          <w:sz w:val="32"/>
          <w:szCs w:val="32"/>
        </w:rPr>
        <w:lastRenderedPageBreak/>
        <w:t>坚决贯彻中央、省、市关于疫情防控的指示精神、决策部署，全力做好</w:t>
      </w:r>
      <w:bookmarkEnd w:id="28"/>
      <w:r>
        <w:rPr>
          <w:rFonts w:ascii="仿宋_GB2312" w:eastAsia="仿宋_GB2312" w:hAnsi="仿宋_GB2312" w:cs="仿宋_GB2312" w:hint="eastAsia"/>
          <w:sz w:val="32"/>
          <w:szCs w:val="32"/>
        </w:rPr>
        <w:t>疫情防控。第一时间成立了工作领导小组，建立了联防联控工作机制，坚持疫情信息“日报告”“零报告”制度，加强师生员工离、返攀管控，截至目前全校师生员工无感染。坚持</w:t>
      </w:r>
      <w:r>
        <w:rPr>
          <w:rFonts w:ascii="仿宋_GB2312" w:eastAsia="仿宋_GB2312" w:hAnsi="仿宋_GB2312" w:cs="仿宋_GB2312" w:hint="eastAsia"/>
          <w:color w:val="0D0D0D"/>
          <w:sz w:val="32"/>
          <w:szCs w:val="28"/>
        </w:rPr>
        <w:t>“停课不停教、停课不停学”，积极开展线上教学，开设课程891门，学生在线学习14万余人次、满意率为91%。</w:t>
      </w:r>
      <w:bookmarkEnd w:id="29"/>
      <w:r>
        <w:rPr>
          <w:rFonts w:ascii="仿宋_GB2312" w:eastAsia="仿宋_GB2312" w:hAnsi="仿宋_GB2312" w:cs="仿宋_GB2312" w:hint="eastAsia"/>
          <w:sz w:val="32"/>
          <w:szCs w:val="32"/>
        </w:rPr>
        <w:t>坚持“六稳”“六保”要求，强化就业指导帮扶，2020届毕业生就业率达90.04%。学生在第六届“互联网+”创新创业大赛中，获得省赛主赛道1金6银10铜、红旅赛道1金的好成绩，并获得国家级铜奖1项，实现了红旅赛道金奖零的突破。</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（2）党建工作不断加强</w:t>
      </w:r>
    </w:p>
    <w:p w:rsidR="00501310" w:rsidRDefault="00501310">
      <w:pPr>
        <w:adjustRightIn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抓严理论武装，抓好意识形态和宣传工作，抓实调查研究，结合“守纪律、提效能、强执行、做表率”活动，校领导牵头开展了9个主题调研，全力破解学校发展难题。抓好基层党组织建设，举办了基层党组织书记培训班，全面启动党建“双创”工作，确定了首批校级党建“双创”标杆院系、样板支部、“双带头人”教师党支部书记工作室，组织申报省级党建“双创”项目。加强干部队伍建设，选拔科级干部2名，调整交流处级干部10名、科级干部10名，配合省委组织部、市委组织部做好3名干部考察工作。向省委市委推荐优秀干部38人次。抓好统战工作，民主党派《关于支持在攀西经济区创建“川西南地区高等教育高地”的建议》获省政</w:t>
      </w:r>
      <w:r>
        <w:rPr>
          <w:rFonts w:ascii="仿宋_GB2312" w:eastAsia="仿宋_GB2312" w:hAnsi="仿宋_GB2312" w:cs="仿宋_GB2312" w:hint="eastAsia"/>
          <w:sz w:val="32"/>
          <w:szCs w:val="32"/>
        </w:rPr>
        <w:lastRenderedPageBreak/>
        <w:t>协立案。</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（3）文明校园创建取得新进展</w:t>
      </w:r>
    </w:p>
    <w:p w:rsidR="00501310" w:rsidRDefault="00501310">
      <w:pPr>
        <w:adjustRightIn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全力做好全国文明校园创建和第二届全国文明校园申报工作，顺利通过全国文明单位、省文明校园复查验收，进入第二届全国文明校园四川省推荐名单（全省仅3所）。</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（4）申硕攻坚再添新业绩</w:t>
      </w:r>
    </w:p>
    <w:p w:rsidR="00501310" w:rsidRDefault="00501310">
      <w:pPr>
        <w:adjustRightIn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强化人才引育，全年累计引进博士23人；在职攻读博士研究生毕业5人。目前学校拥有研究生学历（位）的教师777名，占专任教师比例81.96%，其中博士学位教师246人，占专任教师比例为25.94%。提升科研实力，支持“攀枝花市先进制造技术重点实验室”建设，组织申报教育部和国家知识产权局“国家知识产权试点高校建设单位”和省发改委“四川省山地城市土木与建筑工程研究中心”。遴选推荐国家自然科学基金项目36项、社科基金22项。推荐申报省、市级科研项目150余项。完成111项市级及以上科研项目结题。全力推进申硕攻坚，学校达到硕士学位授予单位基本条件，进入省内推荐公示名单。完善了相关管理制度，建立了研究生教育管理体系。</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（5）服务康养更加有力</w:t>
      </w:r>
    </w:p>
    <w:p w:rsidR="00501310" w:rsidRDefault="00501310">
      <w:pPr>
        <w:adjustRightInd w:val="0"/>
        <w:spacing w:line="600" w:lineRule="exact"/>
        <w:ind w:firstLineChars="200" w:firstLine="640"/>
        <w:rPr>
          <w:rFonts w:ascii="仿宋_GB2312" w:eastAsia="仿宋_GB2312" w:hAnsi="仿宋_GB2312" w:cs="仿宋_GB2312"/>
          <w:color w:val="0D0D0D"/>
          <w:sz w:val="32"/>
          <w:szCs w:val="32"/>
        </w:rPr>
      </w:pPr>
      <w:r>
        <w:rPr>
          <w:rFonts w:ascii="仿宋_GB2312" w:eastAsia="仿宋_GB2312" w:hAnsi="仿宋_GB2312" w:cs="仿宋_GB2312" w:hint="eastAsia"/>
          <w:color w:val="0D0D0D"/>
          <w:sz w:val="32"/>
          <w:szCs w:val="32"/>
        </w:rPr>
        <w:t>积极化解困难，完成康养学院回迁，切实办好攀枝花国际康养学院。积极开展康养论坛筹备，完成“攀枝花康养职业技能实训基地”参观点建设各项任务。举办了首届“攀西工匠杯”暨第四届“四川工匠杯”职业技能大赛——健康照</w:t>
      </w:r>
      <w:r>
        <w:rPr>
          <w:rFonts w:ascii="仿宋_GB2312" w:eastAsia="仿宋_GB2312" w:hAnsi="仿宋_GB2312" w:cs="仿宋_GB2312" w:hint="eastAsia"/>
          <w:color w:val="0D0D0D"/>
          <w:sz w:val="32"/>
          <w:szCs w:val="32"/>
        </w:rPr>
        <w:lastRenderedPageBreak/>
        <w:t>护选拔赛，组织了全市职业院校护理和康复技能大赛，正在积极筹备“四川省康养技能大赛”。加强养老服务专业建设和课程开发，</w:t>
      </w:r>
      <w:bookmarkStart w:id="30" w:name="_Hlk54725489"/>
      <w:r>
        <w:rPr>
          <w:rFonts w:ascii="仿宋_GB2312" w:eastAsia="仿宋_GB2312" w:hAnsi="仿宋_GB2312" w:cs="仿宋_GB2312" w:hint="eastAsia"/>
          <w:color w:val="0D0D0D"/>
          <w:sz w:val="32"/>
          <w:szCs w:val="32"/>
        </w:rPr>
        <w:t>成功申报健康服务与管理专业</w:t>
      </w:r>
      <w:bookmarkEnd w:id="30"/>
      <w:r>
        <w:rPr>
          <w:rFonts w:ascii="仿宋_GB2312" w:eastAsia="仿宋_GB2312" w:hAnsi="仿宋_GB2312" w:cs="仿宋_GB2312" w:hint="eastAsia"/>
          <w:color w:val="0D0D0D"/>
          <w:sz w:val="32"/>
          <w:szCs w:val="32"/>
        </w:rPr>
        <w:t>，“中医特色老人抚触操作项目的开发和推广”入选国家级大创项目。</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（6）课程、专业建设取得新进展</w:t>
      </w:r>
    </w:p>
    <w:p w:rsidR="00501310" w:rsidRDefault="00501310">
      <w:pPr>
        <w:adjustRightInd w:val="0"/>
        <w:spacing w:line="600" w:lineRule="exact"/>
        <w:ind w:firstLineChars="200" w:firstLine="640"/>
        <w:rPr>
          <w:rFonts w:ascii="仿宋_GB2312" w:eastAsia="仿宋_GB2312" w:hAnsi="仿宋_GB2312" w:cs="仿宋_GB2312"/>
          <w:color w:val="0D0D0D"/>
          <w:sz w:val="32"/>
          <w:szCs w:val="32"/>
        </w:rPr>
      </w:pPr>
      <w:r>
        <w:rPr>
          <w:rFonts w:ascii="仿宋_GB2312" w:eastAsia="仿宋_GB2312" w:hAnsi="仿宋_GB2312" w:cs="仿宋_GB2312" w:hint="eastAsia"/>
          <w:color w:val="0D0D0D"/>
          <w:sz w:val="32"/>
          <w:szCs w:val="32"/>
        </w:rPr>
        <w:t>积极推进专业认证，材料科学与工程已提交报告，专家即将进校考察；临床医学专业接受了认证专家到校考察，得到充分认可。成功立项3个省级一流本科专业，申报省级应用型示范课程5门、省级创新创业教育示范课程2门；2门课程成为省级虚拟仿真实验教学项目，跻身四川省一流课程。</w:t>
      </w:r>
    </w:p>
    <w:p w:rsidR="00501310" w:rsidRDefault="00501310">
      <w:pPr>
        <w:adjustRightInd w:val="0"/>
        <w:spacing w:line="600" w:lineRule="exact"/>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（7）脱贫攻坚任务圆满完成</w:t>
      </w:r>
    </w:p>
    <w:p w:rsidR="00501310" w:rsidRDefault="00501310">
      <w:pPr>
        <w:adjustRightInd w:val="0"/>
        <w:spacing w:line="600" w:lineRule="exact"/>
        <w:ind w:firstLineChars="200" w:firstLine="640"/>
        <w:rPr>
          <w:rFonts w:ascii="仿宋_GB2312" w:eastAsia="仿宋_GB2312" w:hAnsi="仿宋_GB2312" w:cs="仿宋_GB2312"/>
          <w:color w:val="0D0D0D"/>
          <w:sz w:val="32"/>
          <w:szCs w:val="32"/>
        </w:rPr>
      </w:pPr>
      <w:r>
        <w:rPr>
          <w:rFonts w:ascii="仿宋_GB2312" w:eastAsia="仿宋_GB2312" w:hAnsi="仿宋_GB2312" w:cs="仿宋_GB2312" w:hint="eastAsia"/>
          <w:color w:val="0D0D0D"/>
          <w:sz w:val="32"/>
          <w:szCs w:val="32"/>
        </w:rPr>
        <w:t>讲好扶贫路上的攀大故事，对学校2015年以来扶贫工作举措、成效进行总结、报道，营造了决胜脱贫攻坚、接续乡村振兴浓郁氛围。确定并分解了2020年帮扶任务，组织开展了</w:t>
      </w:r>
      <w:r>
        <w:rPr>
          <w:rFonts w:ascii="仿宋_GB2312" w:eastAsia="仿宋_GB2312" w:hAnsi="仿宋_GB2312" w:cs="仿宋_GB2312"/>
          <w:color w:val="0D0D0D"/>
          <w:sz w:val="32"/>
          <w:szCs w:val="32"/>
        </w:rPr>
        <w:t>2020</w:t>
      </w:r>
      <w:r>
        <w:rPr>
          <w:rFonts w:ascii="仿宋_GB2312" w:eastAsia="仿宋_GB2312" w:hAnsi="仿宋_GB2312" w:cs="仿宋_GB2312" w:hint="eastAsia"/>
          <w:color w:val="0D0D0D"/>
          <w:sz w:val="32"/>
          <w:szCs w:val="32"/>
        </w:rPr>
        <w:t>年乡城县财会人员、木里县教师等培训9项，针对人才工作开展专题研究1项，加强了乡城县土豆产业和木里县蔬菜、养鸡产业等帮扶，组织开展了淘宝直播带货等农产品线上销售培训。目前31项帮扶任务已经完成，8项任务正有序推进，定点帮扶“两县三村”均已完成脱贫。</w:t>
      </w:r>
    </w:p>
    <w:p w:rsidR="00501310" w:rsidRDefault="00501310">
      <w:pPr>
        <w:pStyle w:val="2"/>
        <w:spacing w:line="600" w:lineRule="exact"/>
        <w:rPr>
          <w:rStyle w:val="2Char"/>
        </w:rPr>
      </w:pPr>
      <w:bookmarkStart w:id="31" w:name="_Toc15396601"/>
      <w:bookmarkStart w:id="32" w:name="_Toc15377200"/>
      <w:bookmarkStart w:id="33" w:name="_Toc82012091"/>
      <w:bookmarkStart w:id="34" w:name="_Toc82075624"/>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31"/>
      <w:bookmarkEnd w:id="32"/>
      <w:bookmarkEnd w:id="33"/>
      <w:bookmarkEnd w:id="34"/>
    </w:p>
    <w:p w:rsidR="00501310" w:rsidRDefault="00501310">
      <w:pPr>
        <w:adjustRightInd w:val="0"/>
        <w:spacing w:line="600" w:lineRule="exact"/>
        <w:ind w:firstLineChars="200" w:firstLine="640"/>
        <w:rPr>
          <w:rFonts w:ascii="仿宋_GB2312" w:eastAsia="仿宋_GB2312" w:hAnsi="仿宋_GB2312" w:cs="仿宋_GB2312" w:hint="eastAsia"/>
          <w:color w:val="0D0D0D"/>
          <w:sz w:val="32"/>
          <w:szCs w:val="32"/>
        </w:rPr>
      </w:pPr>
      <w:r>
        <w:rPr>
          <w:rFonts w:ascii="仿宋_GB2312" w:eastAsia="仿宋_GB2312" w:hAnsi="仿宋_GB2312" w:cs="仿宋_GB2312" w:hint="eastAsia"/>
          <w:color w:val="0D0D0D"/>
          <w:sz w:val="32"/>
          <w:szCs w:val="32"/>
        </w:rPr>
        <w:t>攀枝花学院下属二级单位0个，其中行政单位0个，参照公务员法管理的事业单位0个，其他事业单位0个。</w:t>
      </w:r>
    </w:p>
    <w:p w:rsidR="00501310" w:rsidRDefault="00501310">
      <w:pPr>
        <w:adjustRightInd w:val="0"/>
        <w:spacing w:line="600" w:lineRule="exact"/>
        <w:ind w:firstLineChars="200" w:firstLine="640"/>
        <w:rPr>
          <w:rFonts w:ascii="仿宋_GB2312" w:eastAsia="仿宋_GB2312" w:hAnsi="仿宋_GB2312" w:cs="仿宋_GB2312" w:hint="eastAsia"/>
          <w:color w:val="0D0D0D"/>
          <w:sz w:val="32"/>
          <w:szCs w:val="32"/>
        </w:rPr>
      </w:pPr>
      <w:r>
        <w:rPr>
          <w:rFonts w:ascii="仿宋_GB2312" w:eastAsia="仿宋_GB2312" w:hAnsi="仿宋_GB2312" w:cs="仿宋_GB2312" w:hint="eastAsia"/>
          <w:color w:val="0D0D0D"/>
          <w:sz w:val="32"/>
          <w:szCs w:val="32"/>
        </w:rPr>
        <w:lastRenderedPageBreak/>
        <w:t>纳入攀枝花学院2020年度部门决算编制范围的二级预算单位包括：（我校为一级预算单位，无二级预算单位）</w:t>
      </w:r>
      <w:bookmarkStart w:id="35" w:name="_Toc15396602"/>
      <w:bookmarkStart w:id="36" w:name="_Toc15377204"/>
      <w:bookmarkStart w:id="37" w:name="_Toc82012092"/>
    </w:p>
    <w:p w:rsidR="00501310" w:rsidRDefault="00501310">
      <w:pPr>
        <w:pStyle w:val="1"/>
        <w:spacing w:line="240" w:lineRule="auto"/>
        <w:ind w:right="440"/>
        <w:jc w:val="right"/>
        <w:rPr>
          <w:rFonts w:ascii="黑体" w:eastAsia="黑体" w:hAnsi="黑体" w:hint="eastAsia"/>
          <w:b w:val="0"/>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rPr>
          <w:rFonts w:ascii="黑体" w:eastAsia="黑体" w:hAnsi="黑体" w:hint="eastAsia"/>
          <w:b/>
          <w:color w:val="000000"/>
        </w:rPr>
      </w:pPr>
    </w:p>
    <w:p w:rsidR="00501310" w:rsidRDefault="00501310">
      <w:pPr>
        <w:pStyle w:val="1"/>
        <w:spacing w:line="600" w:lineRule="exact"/>
        <w:ind w:right="440"/>
        <w:jc w:val="right"/>
      </w:pPr>
      <w:bookmarkStart w:id="38" w:name="_Toc82075625"/>
      <w:r>
        <w:rPr>
          <w:rFonts w:ascii="方正小标宋_GBK" w:eastAsia="方正小标宋_GBK" w:hAnsi="方正小标宋_GBK" w:cs="方正小标宋_GBK" w:hint="eastAsia"/>
          <w:b w:val="0"/>
          <w:color w:val="000000"/>
        </w:rPr>
        <w:t>第二部分</w:t>
      </w:r>
      <w:r>
        <w:rPr>
          <w:rFonts w:ascii="方正小标宋_GBK" w:eastAsia="方正小标宋_GBK" w:hAnsi="方正小标宋_GBK" w:cs="方正小标宋_GBK" w:hint="eastAsia"/>
          <w:color w:val="000000"/>
        </w:rPr>
        <w:t xml:space="preserve"> </w:t>
      </w:r>
      <w:r>
        <w:rPr>
          <w:rStyle w:val="1Char"/>
          <w:rFonts w:ascii="方正小标宋_GBK" w:eastAsia="方正小标宋_GBK" w:hAnsi="方正小标宋_GBK" w:cs="方正小标宋_GBK" w:hint="eastAsia"/>
        </w:rPr>
        <w:t>2020年度部门决算情况说明</w:t>
      </w:r>
      <w:bookmarkEnd w:id="35"/>
      <w:bookmarkEnd w:id="36"/>
      <w:bookmarkEnd w:id="37"/>
      <w:bookmarkEnd w:id="38"/>
    </w:p>
    <w:p w:rsidR="00501310" w:rsidRDefault="00501310">
      <w:pPr>
        <w:pStyle w:val="ListParagraph"/>
        <w:spacing w:line="600" w:lineRule="exact"/>
        <w:ind w:left="640" w:firstLineChars="0" w:firstLine="0"/>
        <w:outlineLvl w:val="1"/>
        <w:rPr>
          <w:rStyle w:val="2Char"/>
          <w:rFonts w:ascii="黑体" w:eastAsia="黑体" w:hAnsi="黑体"/>
          <w:b w:val="0"/>
        </w:rPr>
      </w:pPr>
      <w:bookmarkStart w:id="39" w:name="_Toc15377205"/>
      <w:bookmarkStart w:id="40" w:name="_Toc15396603"/>
      <w:bookmarkStart w:id="41" w:name="_Toc82012093"/>
      <w:bookmarkStart w:id="42" w:name="_Toc82075626"/>
      <w:r>
        <w:rPr>
          <w:rFonts w:ascii="黑体" w:eastAsia="黑体" w:hAnsi="黑体" w:hint="eastAsia"/>
          <w:color w:val="000000"/>
          <w:sz w:val="32"/>
          <w:szCs w:val="32"/>
        </w:rPr>
        <w:t>一、收</w:t>
      </w:r>
      <w:r>
        <w:rPr>
          <w:rStyle w:val="2Char"/>
          <w:rFonts w:ascii="黑体" w:eastAsia="黑体" w:hAnsi="黑体" w:hint="eastAsia"/>
          <w:b w:val="0"/>
        </w:rPr>
        <w:t>入支出决算总体情况说明</w:t>
      </w:r>
      <w:bookmarkEnd w:id="39"/>
      <w:bookmarkEnd w:id="40"/>
      <w:bookmarkEnd w:id="41"/>
      <w:bookmarkEnd w:id="42"/>
    </w:p>
    <w:p w:rsidR="00501310" w:rsidRDefault="00501310">
      <w:pPr>
        <w:spacing w:line="600" w:lineRule="exact"/>
        <w:ind w:firstLineChars="200" w:firstLine="640"/>
        <w:rPr>
          <w:rFonts w:ascii="仿宋" w:eastAsia="仿宋" w:hAnsi="仿宋" w:hint="eastAsia"/>
          <w:color w:val="000000"/>
          <w:sz w:val="32"/>
          <w:szCs w:val="32"/>
        </w:rPr>
      </w:pPr>
      <w:r>
        <w:rPr>
          <w:rFonts w:ascii="仿宋" w:eastAsia="仿宋" w:hAnsi="仿宋"/>
          <w:color w:val="000000"/>
          <w:sz w:val="32"/>
          <w:szCs w:val="32"/>
        </w:rPr>
        <w:lastRenderedPageBreak/>
        <w:t>2020</w:t>
      </w:r>
      <w:r>
        <w:rPr>
          <w:rFonts w:ascii="仿宋" w:eastAsia="仿宋" w:hAnsi="仿宋" w:hint="eastAsia"/>
          <w:color w:val="000000"/>
          <w:sz w:val="32"/>
          <w:szCs w:val="32"/>
        </w:rPr>
        <w:t>年度收、支总计66567.18万元。与</w:t>
      </w:r>
      <w:r>
        <w:rPr>
          <w:rFonts w:ascii="仿宋" w:eastAsia="仿宋" w:hAnsi="仿宋"/>
          <w:color w:val="000000"/>
          <w:sz w:val="32"/>
          <w:szCs w:val="32"/>
        </w:rPr>
        <w:t>2019</w:t>
      </w:r>
      <w:r>
        <w:rPr>
          <w:rFonts w:ascii="仿宋" w:eastAsia="仿宋" w:hAnsi="仿宋" w:hint="eastAsia"/>
          <w:color w:val="000000"/>
          <w:sz w:val="32"/>
          <w:szCs w:val="32"/>
        </w:rPr>
        <w:t>年相比，收、支总计各减少4538.10万元，下降6.38</w:t>
      </w:r>
      <w:r>
        <w:rPr>
          <w:rFonts w:ascii="仿宋" w:eastAsia="仿宋" w:hAnsi="仿宋"/>
          <w:color w:val="000000"/>
          <w:sz w:val="32"/>
          <w:szCs w:val="32"/>
        </w:rPr>
        <w:t>%</w:t>
      </w:r>
      <w:r>
        <w:rPr>
          <w:rFonts w:ascii="仿宋" w:eastAsia="仿宋" w:hAnsi="仿宋" w:hint="eastAsia"/>
          <w:color w:val="000000"/>
          <w:sz w:val="32"/>
          <w:szCs w:val="32"/>
        </w:rPr>
        <w:t>。主要变动原因是因新冠疫情影响，我校延迟开学，教学日常支出减少，且产教融合项目及科研项目支出减少。</w:t>
      </w:r>
    </w:p>
    <w:p w:rsidR="00501310" w:rsidRDefault="00663810">
      <w:pPr>
        <w:ind w:firstLineChars="200" w:firstLine="640"/>
        <w:rPr>
          <w:rFonts w:ascii="仿宋" w:eastAsia="仿宋" w:hAnsi="仿宋" w:hint="eastAsia"/>
          <w:color w:val="000000"/>
          <w:sz w:val="32"/>
          <w:szCs w:val="32"/>
        </w:rPr>
      </w:pPr>
      <w:r>
        <w:rPr>
          <w:rFonts w:ascii="仿宋" w:eastAsia="仿宋" w:hAnsi="仿宋"/>
          <w:noProof/>
          <w:color w:val="000000"/>
          <w:sz w:val="32"/>
          <w:szCs w:val="32"/>
        </w:rPr>
        <w:drawing>
          <wp:inline distT="0" distB="0" distL="0" distR="0">
            <wp:extent cx="4584700" cy="27559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pStyle w:val="ListParagraph"/>
        <w:spacing w:line="600" w:lineRule="exact"/>
        <w:ind w:left="640" w:firstLineChars="0" w:firstLine="0"/>
        <w:outlineLvl w:val="1"/>
        <w:rPr>
          <w:rStyle w:val="2Char"/>
          <w:rFonts w:ascii="黑体" w:eastAsia="黑体" w:hAnsi="黑体"/>
          <w:b w:val="0"/>
        </w:rPr>
      </w:pPr>
      <w:bookmarkStart w:id="43" w:name="_Toc15396604"/>
      <w:bookmarkStart w:id="44" w:name="_Toc15377206"/>
      <w:bookmarkStart w:id="45" w:name="_Toc82012094"/>
      <w:bookmarkStart w:id="46" w:name="_Toc82075627"/>
      <w:r>
        <w:rPr>
          <w:rFonts w:ascii="黑体" w:eastAsia="黑体" w:hAnsi="黑体" w:hint="eastAsia"/>
          <w:color w:val="000000"/>
          <w:sz w:val="32"/>
          <w:szCs w:val="32"/>
        </w:rPr>
        <w:t>二、收</w:t>
      </w:r>
      <w:r>
        <w:rPr>
          <w:rStyle w:val="2Char"/>
          <w:rFonts w:ascii="黑体" w:eastAsia="黑体" w:hAnsi="黑体" w:hint="eastAsia"/>
          <w:b w:val="0"/>
        </w:rPr>
        <w:t>入决算情况说明</w:t>
      </w:r>
      <w:bookmarkEnd w:id="43"/>
      <w:bookmarkEnd w:id="44"/>
      <w:bookmarkEnd w:id="45"/>
      <w:bookmarkEnd w:id="46"/>
    </w:p>
    <w:p w:rsidR="00501310" w:rsidRDefault="00501310">
      <w:pPr>
        <w:spacing w:line="600" w:lineRule="exact"/>
        <w:ind w:firstLineChars="200" w:firstLine="640"/>
        <w:rPr>
          <w:rFonts w:ascii="仿宋" w:eastAsia="仿宋" w:hAnsi="仿宋" w:hint="eastAsia"/>
          <w:color w:val="000000"/>
          <w:sz w:val="32"/>
          <w:szCs w:val="32"/>
        </w:rPr>
      </w:pPr>
      <w:bookmarkStart w:id="47" w:name="_Toc82012142"/>
      <w:bookmarkStart w:id="48" w:name="_Toc82012095"/>
      <w:r>
        <w:rPr>
          <w:rFonts w:ascii="仿宋" w:eastAsia="仿宋" w:hAnsi="仿宋"/>
          <w:color w:val="000000"/>
          <w:sz w:val="32"/>
          <w:szCs w:val="32"/>
        </w:rPr>
        <w:t>2020</w:t>
      </w:r>
      <w:r>
        <w:rPr>
          <w:rFonts w:ascii="仿宋" w:eastAsia="仿宋" w:hAnsi="仿宋" w:hint="eastAsia"/>
          <w:color w:val="000000"/>
          <w:sz w:val="32"/>
          <w:szCs w:val="32"/>
        </w:rPr>
        <w:t>年本年收入合计49689.43万元，其中：一般公共预算财政拨款收入43625.53万元，占87.80</w:t>
      </w:r>
      <w:r>
        <w:rPr>
          <w:rFonts w:ascii="仿宋" w:eastAsia="仿宋" w:hAnsi="仿宋"/>
          <w:color w:val="000000"/>
          <w:sz w:val="32"/>
          <w:szCs w:val="32"/>
        </w:rPr>
        <w:t>%</w:t>
      </w:r>
      <w:r>
        <w:rPr>
          <w:rFonts w:ascii="仿宋" w:eastAsia="仿宋" w:hAnsi="仿宋" w:hint="eastAsia"/>
          <w:color w:val="000000"/>
          <w:sz w:val="32"/>
          <w:szCs w:val="32"/>
        </w:rPr>
        <w:t>；政府性基金预算财政拨款收入3589.97万元，占7.22</w:t>
      </w:r>
      <w:r>
        <w:rPr>
          <w:rFonts w:ascii="仿宋" w:eastAsia="仿宋" w:hAnsi="仿宋"/>
          <w:color w:val="000000"/>
          <w:sz w:val="32"/>
          <w:szCs w:val="32"/>
        </w:rPr>
        <w:t>%</w:t>
      </w:r>
      <w:r>
        <w:rPr>
          <w:rFonts w:ascii="仿宋" w:eastAsia="仿宋" w:hAnsi="仿宋" w:hint="eastAsia"/>
          <w:color w:val="000000"/>
          <w:sz w:val="32"/>
          <w:szCs w:val="32"/>
        </w:rPr>
        <w:t>；上级补助收入0万元；事业收入1090.03万元，占2.19</w:t>
      </w:r>
      <w:r>
        <w:rPr>
          <w:rFonts w:ascii="仿宋" w:eastAsia="仿宋" w:hAnsi="仿宋"/>
          <w:color w:val="000000"/>
          <w:sz w:val="32"/>
          <w:szCs w:val="32"/>
        </w:rPr>
        <w:t>%</w:t>
      </w:r>
      <w:r>
        <w:rPr>
          <w:rFonts w:ascii="仿宋" w:eastAsia="仿宋" w:hAnsi="仿宋" w:hint="eastAsia"/>
          <w:color w:val="000000"/>
          <w:sz w:val="32"/>
          <w:szCs w:val="32"/>
        </w:rPr>
        <w:t>；经营收入0万元；附属单位上缴收入0万元；其他收入1383.90万元，占2.79</w:t>
      </w:r>
      <w:r>
        <w:rPr>
          <w:rFonts w:ascii="仿宋" w:eastAsia="仿宋" w:hAnsi="仿宋"/>
          <w:color w:val="000000"/>
          <w:sz w:val="32"/>
          <w:szCs w:val="32"/>
        </w:rPr>
        <w:t>%</w:t>
      </w:r>
      <w:r>
        <w:rPr>
          <w:rFonts w:ascii="仿宋" w:eastAsia="仿宋" w:hAnsi="仿宋" w:hint="eastAsia"/>
          <w:color w:val="000000"/>
          <w:sz w:val="32"/>
          <w:szCs w:val="32"/>
        </w:rPr>
        <w:t>。</w:t>
      </w:r>
      <w:bookmarkEnd w:id="47"/>
      <w:bookmarkEnd w:id="48"/>
    </w:p>
    <w:p w:rsidR="00501310" w:rsidRDefault="00663810">
      <w:pPr>
        <w:ind w:firstLineChars="200" w:firstLine="640"/>
        <w:outlineLvl w:val="1"/>
        <w:rPr>
          <w:rFonts w:ascii="仿宋" w:eastAsia="仿宋" w:hAnsi="仿宋"/>
          <w:color w:val="000000"/>
          <w:sz w:val="32"/>
          <w:szCs w:val="32"/>
        </w:rPr>
      </w:pPr>
      <w:r>
        <w:rPr>
          <w:rFonts w:ascii="仿宋" w:eastAsia="仿宋" w:hAnsi="仿宋"/>
          <w:noProof/>
          <w:color w:val="000000"/>
          <w:sz w:val="32"/>
          <w:szCs w:val="32"/>
        </w:rPr>
        <w:lastRenderedPageBreak/>
        <w:drawing>
          <wp:inline distT="0" distB="0" distL="0" distR="0">
            <wp:extent cx="4584700" cy="27559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pStyle w:val="ListParagraph"/>
        <w:spacing w:line="600" w:lineRule="exact"/>
        <w:ind w:left="640" w:firstLineChars="0" w:firstLine="0"/>
        <w:outlineLvl w:val="1"/>
        <w:rPr>
          <w:rStyle w:val="2Char"/>
          <w:rFonts w:ascii="黑体" w:eastAsia="黑体" w:hAnsi="黑体"/>
          <w:b w:val="0"/>
        </w:rPr>
      </w:pPr>
      <w:bookmarkStart w:id="49" w:name="_Toc15396605"/>
      <w:bookmarkStart w:id="50" w:name="_Toc15377207"/>
      <w:bookmarkStart w:id="51" w:name="_Toc82012097"/>
      <w:bookmarkStart w:id="52" w:name="_Toc82075629"/>
      <w:r>
        <w:rPr>
          <w:rFonts w:ascii="黑体" w:eastAsia="黑体" w:hAnsi="黑体" w:hint="eastAsia"/>
          <w:color w:val="000000"/>
          <w:sz w:val="32"/>
          <w:szCs w:val="32"/>
        </w:rPr>
        <w:t>三、支</w:t>
      </w:r>
      <w:r>
        <w:rPr>
          <w:rStyle w:val="2Char"/>
          <w:rFonts w:ascii="黑体" w:eastAsia="黑体" w:hAnsi="黑体" w:hint="eastAsia"/>
          <w:b w:val="0"/>
        </w:rPr>
        <w:t>出决算情况说明</w:t>
      </w:r>
      <w:bookmarkEnd w:id="49"/>
      <w:bookmarkEnd w:id="50"/>
      <w:bookmarkEnd w:id="51"/>
      <w:bookmarkEnd w:id="52"/>
    </w:p>
    <w:p w:rsidR="00501310" w:rsidRDefault="00501310">
      <w:pPr>
        <w:spacing w:line="600" w:lineRule="exact"/>
        <w:ind w:firstLineChars="200" w:firstLine="640"/>
        <w:rPr>
          <w:rFonts w:ascii="仿宋" w:eastAsia="仿宋" w:hAnsi="仿宋"/>
          <w:color w:val="000000"/>
          <w:sz w:val="32"/>
          <w:szCs w:val="32"/>
        </w:rPr>
      </w:pPr>
      <w:bookmarkStart w:id="53" w:name="_Toc82012145"/>
      <w:bookmarkStart w:id="54" w:name="_Toc82012098"/>
      <w:r>
        <w:rPr>
          <w:rFonts w:ascii="仿宋" w:eastAsia="仿宋" w:hAnsi="仿宋"/>
          <w:color w:val="000000"/>
          <w:sz w:val="32"/>
          <w:szCs w:val="32"/>
        </w:rPr>
        <w:t>2020</w:t>
      </w:r>
      <w:r>
        <w:rPr>
          <w:rFonts w:ascii="仿宋" w:eastAsia="仿宋" w:hAnsi="仿宋" w:hint="eastAsia"/>
          <w:color w:val="000000"/>
          <w:sz w:val="32"/>
          <w:szCs w:val="32"/>
        </w:rPr>
        <w:t>年本年支出合计44622.13万元，其中：基本支出37420.50万元，占83.86</w:t>
      </w:r>
      <w:r>
        <w:rPr>
          <w:rFonts w:ascii="仿宋" w:eastAsia="仿宋" w:hAnsi="仿宋"/>
          <w:color w:val="000000"/>
          <w:sz w:val="32"/>
          <w:szCs w:val="32"/>
        </w:rPr>
        <w:t>%</w:t>
      </w:r>
      <w:r>
        <w:rPr>
          <w:rFonts w:ascii="仿宋" w:eastAsia="仿宋" w:hAnsi="仿宋" w:hint="eastAsia"/>
          <w:color w:val="000000"/>
          <w:sz w:val="32"/>
          <w:szCs w:val="32"/>
        </w:rPr>
        <w:t>；项目支出7201.63万元，占16.14</w:t>
      </w:r>
      <w:r>
        <w:rPr>
          <w:rFonts w:ascii="仿宋" w:eastAsia="仿宋" w:hAnsi="仿宋"/>
          <w:color w:val="000000"/>
          <w:sz w:val="32"/>
          <w:szCs w:val="32"/>
        </w:rPr>
        <w:t>%</w:t>
      </w:r>
      <w:r>
        <w:rPr>
          <w:rFonts w:ascii="仿宋" w:eastAsia="仿宋" w:hAnsi="仿宋" w:hint="eastAsia"/>
          <w:color w:val="000000"/>
          <w:sz w:val="32"/>
          <w:szCs w:val="32"/>
        </w:rPr>
        <w:t>。</w:t>
      </w:r>
      <w:bookmarkEnd w:id="53"/>
      <w:bookmarkEnd w:id="54"/>
      <w:r>
        <w:rPr>
          <w:rFonts w:ascii="仿宋" w:eastAsia="仿宋" w:hAnsi="仿宋"/>
          <w:color w:val="000000"/>
          <w:sz w:val="32"/>
          <w:szCs w:val="32"/>
        </w:rPr>
        <w:t xml:space="preserve"> </w:t>
      </w:r>
    </w:p>
    <w:p w:rsidR="00501310" w:rsidRDefault="00663810">
      <w:pPr>
        <w:ind w:firstLine="640"/>
        <w:rPr>
          <w:rFonts w:ascii="仿宋" w:eastAsia="仿宋" w:hAnsi="仿宋"/>
          <w:color w:val="000000"/>
          <w:sz w:val="32"/>
          <w:szCs w:val="32"/>
          <w:shd w:val="pct10" w:color="auto" w:fill="FFFFFF"/>
        </w:rPr>
      </w:pPr>
      <w:r>
        <w:rPr>
          <w:rFonts w:ascii="仿宋" w:eastAsia="仿宋" w:hAnsi="仿宋"/>
          <w:noProof/>
          <w:color w:val="000000"/>
          <w:sz w:val="32"/>
          <w:szCs w:val="32"/>
          <w:shd w:val="pct10" w:color="auto" w:fill="FFFFFF"/>
        </w:rPr>
        <w:drawing>
          <wp:inline distT="0" distB="0" distL="0" distR="0">
            <wp:extent cx="4584700" cy="2755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spacing w:line="600" w:lineRule="exact"/>
        <w:ind w:firstLineChars="200" w:firstLine="640"/>
        <w:outlineLvl w:val="1"/>
        <w:rPr>
          <w:rStyle w:val="2Char"/>
          <w:rFonts w:ascii="黑体" w:eastAsia="黑体" w:hAnsi="黑体"/>
          <w:b w:val="0"/>
        </w:rPr>
      </w:pPr>
      <w:bookmarkStart w:id="55" w:name="_Toc15396606"/>
      <w:bookmarkStart w:id="56" w:name="_Toc15377208"/>
      <w:bookmarkStart w:id="57" w:name="_Toc82012099"/>
      <w:bookmarkStart w:id="58" w:name="_Toc82075630"/>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55"/>
      <w:bookmarkEnd w:id="56"/>
      <w:bookmarkEnd w:id="57"/>
      <w:bookmarkEnd w:id="58"/>
    </w:p>
    <w:p w:rsidR="00501310" w:rsidRDefault="00501310">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年财政拨款收、支总计53481.41万元。与</w:t>
      </w:r>
      <w:r>
        <w:rPr>
          <w:rFonts w:ascii="仿宋" w:eastAsia="仿宋" w:hAnsi="仿宋"/>
          <w:color w:val="000000"/>
          <w:sz w:val="32"/>
          <w:szCs w:val="32"/>
        </w:rPr>
        <w:t>2019</w:t>
      </w:r>
      <w:r>
        <w:rPr>
          <w:rFonts w:ascii="仿宋" w:eastAsia="仿宋" w:hAnsi="仿宋" w:hint="eastAsia"/>
          <w:color w:val="000000"/>
          <w:sz w:val="32"/>
          <w:szCs w:val="32"/>
        </w:rPr>
        <w:t>年相比，财政拨款收、支总计各减少2334.71万元，下降4.18</w:t>
      </w:r>
      <w:r>
        <w:rPr>
          <w:rFonts w:ascii="仿宋" w:eastAsia="仿宋" w:hAnsi="仿宋"/>
          <w:color w:val="000000"/>
          <w:sz w:val="32"/>
          <w:szCs w:val="32"/>
        </w:rPr>
        <w:t>%</w:t>
      </w:r>
      <w:r>
        <w:rPr>
          <w:rFonts w:ascii="仿宋" w:eastAsia="仿宋" w:hAnsi="仿宋" w:hint="eastAsia"/>
          <w:color w:val="000000"/>
          <w:sz w:val="32"/>
          <w:szCs w:val="32"/>
        </w:rPr>
        <w:t>。主要变动原因</w:t>
      </w:r>
      <w:r>
        <w:rPr>
          <w:rFonts w:ascii="仿宋_GB2312" w:eastAsia="仿宋_GB2312" w:hAnsi="仿宋" w:hint="eastAsia"/>
          <w:sz w:val="32"/>
          <w:szCs w:val="32"/>
        </w:rPr>
        <w:t>受新冠疫情影响，高校推迟开学，业务活动减少；部分抚恤金年底下指标，还未支付；攀西战略资源开发</w:t>
      </w:r>
      <w:r>
        <w:rPr>
          <w:rFonts w:ascii="仿宋_GB2312" w:eastAsia="仿宋_GB2312" w:hAnsi="仿宋" w:hint="eastAsia"/>
          <w:sz w:val="32"/>
          <w:szCs w:val="32"/>
        </w:rPr>
        <w:lastRenderedPageBreak/>
        <w:t>产教融合实训基地建设中央资金延迟开工，未达到付款条件。</w:t>
      </w:r>
    </w:p>
    <w:p w:rsidR="00501310" w:rsidRDefault="00663810">
      <w:pPr>
        <w:ind w:firstLineChars="100" w:firstLine="320"/>
        <w:rPr>
          <w:rFonts w:ascii="仿宋" w:eastAsia="仿宋" w:hAnsi="仿宋"/>
          <w:color w:val="000000"/>
          <w:sz w:val="32"/>
          <w:szCs w:val="32"/>
        </w:rPr>
      </w:pPr>
      <w:r>
        <w:rPr>
          <w:rFonts w:ascii="仿宋" w:eastAsia="仿宋" w:hAnsi="仿宋"/>
          <w:noProof/>
          <w:color w:val="000000"/>
          <w:sz w:val="32"/>
          <w:szCs w:val="32"/>
        </w:rPr>
        <w:drawing>
          <wp:inline distT="0" distB="0" distL="0" distR="0">
            <wp:extent cx="4584700" cy="27559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spacing w:line="600" w:lineRule="exact"/>
        <w:ind w:firstLineChars="200" w:firstLine="640"/>
        <w:outlineLvl w:val="1"/>
        <w:rPr>
          <w:rStyle w:val="2Char"/>
          <w:rFonts w:ascii="黑体" w:eastAsia="黑体" w:hAnsi="黑体"/>
          <w:b w:val="0"/>
        </w:rPr>
      </w:pPr>
      <w:bookmarkStart w:id="59" w:name="_Toc15377209"/>
      <w:bookmarkStart w:id="60" w:name="_Toc15396607"/>
      <w:bookmarkStart w:id="61" w:name="_Toc82012100"/>
      <w:bookmarkStart w:id="62" w:name="_Toc82075631"/>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59"/>
      <w:bookmarkEnd w:id="60"/>
      <w:bookmarkEnd w:id="61"/>
      <w:bookmarkEnd w:id="62"/>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63" w:name="_Toc15377210"/>
      <w:bookmarkStart w:id="64" w:name="_Toc82012101"/>
      <w:bookmarkStart w:id="65" w:name="_Toc82075632"/>
      <w:r>
        <w:rPr>
          <w:rFonts w:ascii="楷体" w:eastAsia="楷体" w:hAnsi="楷体" w:cs="楷体" w:hint="eastAsia"/>
          <w:bCs/>
          <w:color w:val="000000"/>
          <w:sz w:val="32"/>
          <w:szCs w:val="32"/>
        </w:rPr>
        <w:t>（一）一般公共预算财政拨款支出决算总体情况</w:t>
      </w:r>
      <w:bookmarkEnd w:id="63"/>
      <w:bookmarkEnd w:id="64"/>
      <w:bookmarkEnd w:id="65"/>
    </w:p>
    <w:p w:rsidR="00501310" w:rsidRDefault="00501310">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年一般公共预算财政拨款支出39182.71万元，占本年支出合计的87.81</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2019</w:t>
      </w:r>
      <w:r>
        <w:rPr>
          <w:rFonts w:ascii="仿宋" w:eastAsia="仿宋" w:hAnsi="仿宋" w:hint="eastAsia"/>
          <w:color w:val="000000"/>
          <w:sz w:val="32"/>
          <w:szCs w:val="32"/>
        </w:rPr>
        <w:t>年相比，一般公共预算财政拨款减少10244.13万元，下降20.73</w:t>
      </w:r>
      <w:r>
        <w:rPr>
          <w:rFonts w:ascii="仿宋" w:eastAsia="仿宋" w:hAnsi="仿宋"/>
          <w:color w:val="000000"/>
          <w:sz w:val="32"/>
          <w:szCs w:val="32"/>
        </w:rPr>
        <w:t>%</w:t>
      </w:r>
      <w:r>
        <w:rPr>
          <w:rFonts w:ascii="仿宋" w:eastAsia="仿宋" w:hAnsi="仿宋" w:hint="eastAsia"/>
          <w:color w:val="000000"/>
          <w:sz w:val="32"/>
          <w:szCs w:val="32"/>
        </w:rPr>
        <w:t>。主要变动原因是财政下达科技资金因疫情延期开学未及时支付、中央支持地方高校改革发展资金用于实验平台建设项目，因疫情原因，已进行政府采购，未达到支付条件。</w:t>
      </w:r>
    </w:p>
    <w:p w:rsidR="00501310" w:rsidRDefault="00501310">
      <w:pPr>
        <w:ind w:firstLineChars="200" w:firstLine="640"/>
        <w:rPr>
          <w:rFonts w:ascii="仿宋" w:eastAsia="仿宋" w:hAnsi="仿宋" w:hint="eastAsia"/>
          <w:color w:val="000000"/>
          <w:sz w:val="32"/>
          <w:szCs w:val="32"/>
        </w:rPr>
      </w:pPr>
    </w:p>
    <w:p w:rsidR="00501310" w:rsidRDefault="00501310">
      <w:pPr>
        <w:ind w:firstLineChars="200" w:firstLine="640"/>
        <w:rPr>
          <w:rFonts w:ascii="仿宋" w:eastAsia="仿宋" w:hAnsi="仿宋" w:hint="eastAsia"/>
          <w:color w:val="000000"/>
          <w:sz w:val="32"/>
          <w:szCs w:val="32"/>
        </w:rPr>
      </w:pPr>
    </w:p>
    <w:p w:rsidR="00501310" w:rsidRDefault="00501310">
      <w:pPr>
        <w:ind w:firstLineChars="200" w:firstLine="640"/>
        <w:rPr>
          <w:rFonts w:ascii="仿宋" w:eastAsia="仿宋" w:hAnsi="仿宋" w:hint="eastAsia"/>
          <w:color w:val="000000"/>
          <w:sz w:val="32"/>
          <w:szCs w:val="32"/>
        </w:rPr>
      </w:pPr>
    </w:p>
    <w:p w:rsidR="00501310" w:rsidRDefault="00501310">
      <w:pPr>
        <w:ind w:firstLineChars="200" w:firstLine="640"/>
        <w:rPr>
          <w:rFonts w:ascii="仿宋" w:eastAsia="仿宋" w:hAnsi="仿宋" w:hint="eastAsia"/>
          <w:color w:val="000000"/>
          <w:sz w:val="32"/>
          <w:szCs w:val="32"/>
        </w:rPr>
      </w:pPr>
    </w:p>
    <w:p w:rsidR="00501310" w:rsidRDefault="00663810">
      <w:pPr>
        <w:ind w:firstLineChars="200" w:firstLine="640"/>
        <w:rPr>
          <w:rFonts w:ascii="仿宋" w:eastAsia="仿宋" w:hAnsi="仿宋"/>
          <w:color w:val="000000"/>
          <w:sz w:val="32"/>
          <w:szCs w:val="32"/>
        </w:rPr>
      </w:pPr>
      <w:r>
        <w:rPr>
          <w:rFonts w:ascii="仿宋" w:eastAsia="仿宋" w:hAnsi="仿宋"/>
          <w:noProof/>
          <w:color w:val="000000"/>
          <w:sz w:val="32"/>
          <w:szCs w:val="32"/>
        </w:rPr>
        <w:lastRenderedPageBreak/>
        <w:drawing>
          <wp:inline distT="0" distB="0" distL="0" distR="0">
            <wp:extent cx="4584700" cy="2755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66" w:name="_Toc15377211"/>
      <w:bookmarkStart w:id="67" w:name="_Toc82012102"/>
      <w:bookmarkStart w:id="68" w:name="_Toc82075633"/>
      <w:r>
        <w:rPr>
          <w:rFonts w:ascii="楷体" w:eastAsia="楷体" w:hAnsi="楷体" w:cs="楷体" w:hint="eastAsia"/>
          <w:bCs/>
          <w:color w:val="000000"/>
          <w:sz w:val="32"/>
          <w:szCs w:val="32"/>
        </w:rPr>
        <w:t>（二）一般公共预算财政拨款支出决算结构情况</w:t>
      </w:r>
      <w:bookmarkEnd w:id="66"/>
      <w:bookmarkEnd w:id="67"/>
      <w:bookmarkEnd w:id="68"/>
    </w:p>
    <w:p w:rsidR="00501310" w:rsidRDefault="00501310">
      <w:pPr>
        <w:spacing w:line="600" w:lineRule="exact"/>
        <w:ind w:firstLine="640"/>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年一般公共预算财政拨款支出39182.71万元，主要用于以下方面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支出1260.72万元，占3.22</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Pr>
          <w:rFonts w:ascii="仿宋" w:eastAsia="仿宋" w:hAnsi="仿宋" w:hint="eastAsia"/>
          <w:color w:val="000000"/>
          <w:sz w:val="32"/>
          <w:szCs w:val="32"/>
        </w:rPr>
        <w:t>33663.30万元，占85.90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支出401.74万元，占1.03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支出2051.28万元，占5.24</w:t>
      </w:r>
      <w:r>
        <w:rPr>
          <w:rFonts w:ascii="仿宋" w:eastAsia="仿宋" w:hAnsi="仿宋"/>
          <w:color w:val="000000"/>
          <w:sz w:val="32"/>
          <w:szCs w:val="32"/>
        </w:rPr>
        <w:t>%</w:t>
      </w:r>
      <w:r>
        <w:rPr>
          <w:rFonts w:ascii="仿宋" w:eastAsia="仿宋" w:hAnsi="仿宋" w:hint="eastAsia"/>
          <w:color w:val="000000"/>
          <w:sz w:val="32"/>
          <w:szCs w:val="32"/>
        </w:rPr>
        <w:t>；住房保障支出1805.66万元，占4.61</w:t>
      </w:r>
      <w:r>
        <w:rPr>
          <w:rFonts w:ascii="仿宋" w:eastAsia="仿宋" w:hAnsi="仿宋"/>
          <w:color w:val="000000"/>
          <w:sz w:val="32"/>
          <w:szCs w:val="32"/>
        </w:rPr>
        <w:t>%</w:t>
      </w:r>
      <w:r>
        <w:rPr>
          <w:rFonts w:ascii="仿宋" w:eastAsia="仿宋" w:hAnsi="仿宋" w:hint="eastAsia"/>
          <w:color w:val="000000"/>
          <w:sz w:val="32"/>
          <w:szCs w:val="32"/>
        </w:rPr>
        <w:t>。</w:t>
      </w:r>
    </w:p>
    <w:p w:rsidR="00501310" w:rsidRDefault="00663810">
      <w:pPr>
        <w:ind w:firstLineChars="200" w:firstLine="640"/>
        <w:rPr>
          <w:rFonts w:ascii="仿宋" w:eastAsia="仿宋" w:hAnsi="仿宋"/>
          <w:color w:val="000000"/>
          <w:sz w:val="32"/>
          <w:szCs w:val="32"/>
        </w:rPr>
      </w:pPr>
      <w:r>
        <w:rPr>
          <w:rFonts w:ascii="仿宋" w:eastAsia="仿宋" w:hAnsi="仿宋"/>
          <w:noProof/>
          <w:color w:val="000000"/>
          <w:sz w:val="32"/>
          <w:szCs w:val="32"/>
        </w:rPr>
        <w:drawing>
          <wp:inline distT="0" distB="0" distL="0" distR="0">
            <wp:extent cx="4584700" cy="27559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69" w:name="_Toc15377212"/>
      <w:bookmarkStart w:id="70" w:name="_Toc82012103"/>
      <w:bookmarkStart w:id="71" w:name="_Toc82075634"/>
      <w:r>
        <w:rPr>
          <w:rFonts w:ascii="楷体" w:eastAsia="楷体" w:hAnsi="楷体" w:cs="楷体" w:hint="eastAsia"/>
          <w:bCs/>
          <w:color w:val="000000"/>
          <w:sz w:val="32"/>
          <w:szCs w:val="32"/>
        </w:rPr>
        <w:t>（三）一般公共预算财政拨款支出决算具体情况</w:t>
      </w:r>
      <w:bookmarkEnd w:id="69"/>
      <w:bookmarkEnd w:id="70"/>
      <w:bookmarkEnd w:id="71"/>
    </w:p>
    <w:p w:rsidR="00501310" w:rsidRDefault="00501310">
      <w:pPr>
        <w:spacing w:line="600" w:lineRule="exact"/>
        <w:ind w:firstLineChars="200" w:firstLine="643"/>
        <w:outlineLvl w:val="2"/>
        <w:rPr>
          <w:rFonts w:ascii="仿宋" w:eastAsia="仿宋" w:hAnsi="仿宋"/>
          <w:color w:val="FF0000"/>
          <w:sz w:val="32"/>
          <w:szCs w:val="32"/>
        </w:rPr>
      </w:pPr>
      <w:bookmarkStart w:id="72" w:name="_Toc15377213"/>
      <w:bookmarkStart w:id="73" w:name="_Toc15378460"/>
      <w:bookmarkStart w:id="74" w:name="_Toc15377444"/>
      <w:bookmarkStart w:id="75" w:name="_Toc82012104"/>
      <w:bookmarkStart w:id="76" w:name="_Toc82012151"/>
      <w:bookmarkStart w:id="77" w:name="_Toc179"/>
      <w:bookmarkStart w:id="78" w:name="_Toc82075635"/>
      <w:r>
        <w:rPr>
          <w:rFonts w:ascii="仿宋" w:eastAsia="仿宋" w:hAnsi="仿宋"/>
          <w:b/>
          <w:color w:val="000000"/>
          <w:sz w:val="32"/>
          <w:szCs w:val="32"/>
        </w:rPr>
        <w:lastRenderedPageBreak/>
        <w:t>2020</w:t>
      </w:r>
      <w:r>
        <w:rPr>
          <w:rFonts w:ascii="仿宋" w:eastAsia="仿宋" w:hAnsi="仿宋" w:hint="eastAsia"/>
          <w:b/>
          <w:color w:val="000000"/>
          <w:sz w:val="32"/>
          <w:szCs w:val="32"/>
        </w:rPr>
        <w:t>年一般公共预算支出决算数为39182.71万元</w:t>
      </w:r>
      <w:r>
        <w:rPr>
          <w:rFonts w:ascii="仿宋" w:eastAsia="仿宋" w:hAnsi="仿宋" w:hint="eastAsia"/>
          <w:color w:val="000000"/>
          <w:sz w:val="32"/>
          <w:szCs w:val="32"/>
        </w:rPr>
        <w:t>，</w:t>
      </w:r>
      <w:r>
        <w:rPr>
          <w:rStyle w:val="a7"/>
          <w:rFonts w:ascii="仿宋" w:eastAsia="仿宋" w:hAnsi="仿宋" w:hint="eastAsia"/>
          <w:bCs/>
          <w:color w:val="000000"/>
          <w:sz w:val="32"/>
          <w:szCs w:val="32"/>
        </w:rPr>
        <w:t>完成预算78.54</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。其中：</w:t>
      </w:r>
      <w:bookmarkEnd w:id="72"/>
      <w:bookmarkEnd w:id="73"/>
      <w:bookmarkEnd w:id="74"/>
      <w:bookmarkEnd w:id="75"/>
      <w:bookmarkEnd w:id="76"/>
      <w:bookmarkEnd w:id="77"/>
      <w:bookmarkEnd w:id="78"/>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1.一般公共服务（类）人力资源事务（款）其他人力资源事务支出（项）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支出决算为1225.15万元，完成预算100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jc w:val="left"/>
        <w:rPr>
          <w:rStyle w:val="a7"/>
          <w:rFonts w:ascii="仿宋" w:eastAsia="仿宋" w:hAnsi="仿宋" w:hint="eastAsia"/>
          <w:b w:val="0"/>
          <w:bCs/>
          <w:color w:val="000000"/>
          <w:sz w:val="32"/>
          <w:szCs w:val="32"/>
        </w:rPr>
      </w:pPr>
      <w:r>
        <w:rPr>
          <w:rFonts w:ascii="仿宋" w:eastAsia="仿宋" w:hAnsi="仿宋" w:hint="eastAsia"/>
          <w:b/>
          <w:color w:val="000000"/>
          <w:sz w:val="32"/>
          <w:szCs w:val="32"/>
        </w:rPr>
        <w:t xml:space="preserve">  2.</w:t>
      </w:r>
      <w:r>
        <w:rPr>
          <w:rStyle w:val="a7"/>
          <w:rFonts w:ascii="仿宋" w:eastAsia="仿宋" w:hAnsi="仿宋" w:hint="eastAsia"/>
          <w:bCs/>
          <w:color w:val="000000"/>
          <w:sz w:val="32"/>
          <w:szCs w:val="32"/>
        </w:rPr>
        <w:t>一般公共服务（类）知识产权事务（款）专利试点和产业化推进（项）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支出决算为4.54万元，完成预算100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jc w:val="left"/>
        <w:rPr>
          <w:rStyle w:val="a7"/>
          <w:rFonts w:ascii="仿宋" w:eastAsia="仿宋" w:hAnsi="仿宋" w:hint="eastAsia"/>
          <w:b w:val="0"/>
          <w:bCs/>
          <w:color w:val="000000"/>
          <w:sz w:val="32"/>
          <w:szCs w:val="32"/>
        </w:rPr>
      </w:pPr>
      <w:r>
        <w:rPr>
          <w:rFonts w:ascii="仿宋" w:eastAsia="仿宋" w:hAnsi="仿宋" w:hint="eastAsia"/>
          <w:b/>
          <w:color w:val="000000"/>
          <w:sz w:val="32"/>
          <w:szCs w:val="32"/>
        </w:rPr>
        <w:t>3.</w:t>
      </w:r>
      <w:r>
        <w:rPr>
          <w:rStyle w:val="a7"/>
          <w:rFonts w:ascii="仿宋" w:eastAsia="仿宋" w:hAnsi="仿宋" w:hint="eastAsia"/>
          <w:bCs/>
          <w:color w:val="000000"/>
          <w:sz w:val="32"/>
          <w:szCs w:val="32"/>
        </w:rPr>
        <w:t>一般公共服务（类）知识产权事务（款）其他知识产权事务支出（项）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支出决算为1.85万元，完成预算100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jc w:val="left"/>
        <w:rPr>
          <w:rFonts w:ascii="仿宋" w:eastAsia="仿宋" w:hAnsi="仿宋"/>
          <w:bCs/>
          <w:color w:val="000000"/>
          <w:sz w:val="32"/>
          <w:szCs w:val="32"/>
        </w:rPr>
      </w:pPr>
      <w:r>
        <w:rPr>
          <w:rFonts w:ascii="仿宋" w:eastAsia="仿宋" w:hAnsi="仿宋" w:hint="eastAsia"/>
          <w:b/>
          <w:color w:val="000000"/>
          <w:sz w:val="32"/>
          <w:szCs w:val="32"/>
        </w:rPr>
        <w:t>4.</w:t>
      </w:r>
      <w:r>
        <w:rPr>
          <w:rStyle w:val="a7"/>
          <w:rFonts w:ascii="仿宋" w:eastAsia="仿宋" w:hAnsi="仿宋" w:hint="eastAsia"/>
          <w:bCs/>
          <w:color w:val="000000"/>
          <w:sz w:val="32"/>
          <w:szCs w:val="32"/>
        </w:rPr>
        <w:t>一般公共服务（类）组织事务（款）其他组织事务支出（项）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支出决算为29.18万元，完成预算100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5</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教育（类）普通教育（款）高等教育（项）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支出决算为33023.58万元，完成预算82.91</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教育安排的用于高教及教学研究的项目经费2828.49万元尚在研究期，故结转下年支付；中央资金安排的用于实践教学运行费2650万元，疫情原因及财政库款紧张未能支付；中央支持地方高校改革发展资金1329.93万元，疫情原因已进行政府采购，未达到支付条件。</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6</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教育（类）职业教育（款）中等职业教育（项）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支出决算为267.93万元，完成预算66.95</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。决算数小于预算数的主要原因是中职教育教学经费132.29万元，疫情原因及财政库款紧张未能支付。</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lastRenderedPageBreak/>
        <w:t>7</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教育（类）职业教育（款）技校教育（项）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支出决算为178.31万元，完成预算87.85</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。决算数小于预算数的主要原因是中职教育教学经费24.67万元，疫情原因及财政库款紧张未能支付。</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8</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教育（类）职业教育（款）其他职业教育（项）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支出决算为1.8万元，完成预算100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9</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教育（类）进修及培训（款）培训支出（项）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支出决算为158.80万元，完成预算100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10</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教育（类）教育费附加安排的支出（款）其他教育费附加安排的支出（项）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支出决算为1.36万元，完成预算100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11</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教育（类）其他教育支出（款）其他教育支出（项）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支出决算为31.52万元，完成预算0.98</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。决算数小于预算数的主要原因是按照教育厅及市委市政府抗疫安排，1-9月产教融合项目停工造成工程延期，无法按时竣工结算。</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12</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科学技术（类）基础研究（款）专项基础科研（项）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支出决算为34.38万元，完成预算60.98</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，决算数小于预算数的主要原因是科研项目尚在研究期。</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13</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科学技术（类）技术研究与开发（款）其他技术研究与开发支出（项）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支出决算为119.61万元，完成预算33.26</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，决算数小于预算数的主要原因是科研项目尚在研究期。</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14</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科学技术（类）科技条件与服务（款）科技条件专项（项）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支出决算为34.57万元，完成预算34.57</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w:t>
      </w:r>
      <w:r>
        <w:rPr>
          <w:rStyle w:val="a7"/>
          <w:rFonts w:ascii="仿宋" w:eastAsia="仿宋" w:hAnsi="仿宋" w:hint="eastAsia"/>
          <w:b w:val="0"/>
          <w:bCs/>
          <w:color w:val="000000"/>
          <w:sz w:val="32"/>
          <w:szCs w:val="32"/>
        </w:rPr>
        <w:lastRenderedPageBreak/>
        <w:t>小于预算数的主要原因是科研项目尚在研究期。</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15</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科学技术（类）科技条件与服务（款）其他科技条件与服务支出（项）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支出决算为30.00万元，完成预算100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16</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科学技术（类）科技重大项目（款）重点研发计划（项）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支出决算为38.00万元，完成预算23.75</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，决算数小于预算数的主要原因是科研项目尚在研究期。</w:t>
      </w:r>
    </w:p>
    <w:p w:rsidR="00501310" w:rsidRDefault="00501310">
      <w:pPr>
        <w:spacing w:line="600" w:lineRule="exact"/>
        <w:ind w:firstLineChars="200" w:firstLine="643"/>
        <w:rPr>
          <w:rFonts w:ascii="仿宋" w:eastAsia="仿宋" w:hAnsi="仿宋"/>
          <w:b/>
          <w:color w:val="000000"/>
          <w:sz w:val="32"/>
          <w:szCs w:val="32"/>
        </w:rPr>
      </w:pPr>
      <w:r>
        <w:rPr>
          <w:rStyle w:val="a7"/>
          <w:rFonts w:ascii="仿宋" w:eastAsia="仿宋" w:hAnsi="仿宋" w:hint="eastAsia"/>
          <w:bCs/>
          <w:color w:val="000000"/>
          <w:sz w:val="32"/>
          <w:szCs w:val="32"/>
        </w:rPr>
        <w:t>17</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科学技术（类）其他科学技术支出（款）其他科学技术支出（项）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支出决算为145.18万元，完成预算62.19</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，决算数小于预算数的主要原因是科研项目尚在研究期。</w:t>
      </w:r>
    </w:p>
    <w:p w:rsidR="00501310" w:rsidRDefault="00501310">
      <w:pPr>
        <w:spacing w:line="600" w:lineRule="exact"/>
        <w:ind w:firstLineChars="200" w:firstLine="643"/>
        <w:rPr>
          <w:rFonts w:ascii="仿宋" w:eastAsia="仿宋" w:hAnsi="仿宋"/>
          <w:b/>
          <w:color w:val="000000"/>
          <w:sz w:val="32"/>
          <w:szCs w:val="32"/>
        </w:rPr>
      </w:pPr>
      <w:r>
        <w:rPr>
          <w:rStyle w:val="a7"/>
          <w:rFonts w:ascii="仿宋" w:eastAsia="仿宋" w:hAnsi="仿宋" w:hint="eastAsia"/>
          <w:bCs/>
          <w:color w:val="000000"/>
          <w:sz w:val="32"/>
          <w:szCs w:val="32"/>
        </w:rPr>
        <w:t>18</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社会保障和就业（类）行政事业单位养老支出（款）机关事业单位基本养老保险缴费支出（项）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支出决算为2049.78万元，完成预算100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Style w:val="a7"/>
          <w:rFonts w:ascii="仿宋" w:eastAsia="仿宋" w:hAnsi="仿宋" w:hint="eastAsia"/>
          <w:bCs/>
          <w:color w:val="000000"/>
          <w:sz w:val="32"/>
          <w:szCs w:val="32"/>
        </w:rPr>
        <w:t>19</w:t>
      </w:r>
      <w:r>
        <w:rPr>
          <w:rStyle w:val="a7"/>
          <w:rFonts w:ascii="仿宋" w:eastAsia="仿宋" w:hAnsi="仿宋"/>
          <w:bCs/>
          <w:color w:val="000000"/>
          <w:sz w:val="32"/>
          <w:szCs w:val="32"/>
        </w:rPr>
        <w:t>.</w:t>
      </w:r>
      <w:r>
        <w:rPr>
          <w:rFonts w:ascii="仿宋" w:eastAsia="仿宋" w:hAnsi="仿宋" w:hint="eastAsia"/>
          <w:b/>
          <w:bCs/>
          <w:color w:val="000000"/>
          <w:sz w:val="32"/>
          <w:szCs w:val="32"/>
        </w:rPr>
        <w:t>社会保障和就业</w:t>
      </w:r>
      <w:r>
        <w:rPr>
          <w:rStyle w:val="a7"/>
          <w:rFonts w:ascii="仿宋" w:eastAsia="仿宋" w:hAnsi="仿宋" w:hint="eastAsia"/>
          <w:bCs/>
          <w:color w:val="000000"/>
          <w:sz w:val="32"/>
          <w:szCs w:val="32"/>
        </w:rPr>
        <w:t>（类）就业补助（款）其他就业补助支出（项）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支出决算为1.50万元，完成预算100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Style w:val="a7"/>
          <w:rFonts w:ascii="仿宋" w:eastAsia="仿宋" w:hAnsi="仿宋" w:hint="eastAsia"/>
          <w:b w:val="0"/>
          <w:bCs/>
          <w:color w:val="000000"/>
          <w:sz w:val="32"/>
          <w:szCs w:val="32"/>
        </w:rPr>
      </w:pPr>
      <w:r>
        <w:rPr>
          <w:rFonts w:ascii="仿宋" w:eastAsia="仿宋" w:hAnsi="仿宋" w:hint="eastAsia"/>
          <w:b/>
          <w:color w:val="000000"/>
          <w:sz w:val="32"/>
          <w:szCs w:val="32"/>
        </w:rPr>
        <w:t>20.</w:t>
      </w:r>
      <w:r>
        <w:rPr>
          <w:rFonts w:ascii="仿宋" w:eastAsia="仿宋" w:hAnsi="仿宋" w:hint="eastAsia"/>
          <w:b/>
          <w:bCs/>
          <w:color w:val="000000"/>
          <w:sz w:val="32"/>
          <w:szCs w:val="32"/>
        </w:rPr>
        <w:t xml:space="preserve"> 社会保障和就业</w:t>
      </w:r>
      <w:r>
        <w:rPr>
          <w:rStyle w:val="a7"/>
          <w:rFonts w:ascii="仿宋" w:eastAsia="仿宋" w:hAnsi="仿宋" w:hint="eastAsia"/>
          <w:bCs/>
          <w:color w:val="000000"/>
          <w:sz w:val="32"/>
          <w:szCs w:val="32"/>
        </w:rPr>
        <w:t>（类）抚恤（款）死亡抚恤（项）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支出决算为15.93万元，完成预算100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spacing w:line="600" w:lineRule="exact"/>
        <w:ind w:firstLineChars="200" w:firstLine="643"/>
        <w:rPr>
          <w:rFonts w:ascii="仿宋" w:eastAsia="仿宋" w:hAnsi="仿宋"/>
          <w:bCs/>
          <w:color w:val="000000"/>
          <w:sz w:val="32"/>
          <w:szCs w:val="32"/>
        </w:rPr>
      </w:pPr>
      <w:r>
        <w:rPr>
          <w:rFonts w:ascii="仿宋" w:eastAsia="仿宋" w:hAnsi="仿宋" w:hint="eastAsia"/>
          <w:b/>
          <w:bCs/>
          <w:color w:val="000000"/>
          <w:sz w:val="32"/>
          <w:szCs w:val="32"/>
        </w:rPr>
        <w:t>21.住房保障支出</w:t>
      </w:r>
      <w:r>
        <w:rPr>
          <w:rStyle w:val="a7"/>
          <w:rFonts w:ascii="仿宋" w:eastAsia="仿宋" w:hAnsi="仿宋" w:hint="eastAsia"/>
          <w:bCs/>
          <w:color w:val="000000"/>
          <w:sz w:val="32"/>
          <w:szCs w:val="32"/>
        </w:rPr>
        <w:t>（类）住房改革支出（款）住房公积金（项）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支出决算为1805.66万元，完成预算100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01310" w:rsidRDefault="00501310">
      <w:pPr>
        <w:tabs>
          <w:tab w:val="right" w:pos="8306"/>
        </w:tabs>
        <w:spacing w:line="600" w:lineRule="exact"/>
        <w:ind w:firstLineChars="50" w:firstLine="160"/>
        <w:outlineLvl w:val="1"/>
        <w:rPr>
          <w:rStyle w:val="2Char"/>
        </w:rPr>
      </w:pPr>
      <w:bookmarkStart w:id="79" w:name="_Toc15396608"/>
      <w:bookmarkStart w:id="80" w:name="_Toc15377214"/>
      <w:bookmarkStart w:id="81" w:name="_Toc82012105"/>
      <w:bookmarkStart w:id="82" w:name="_Toc82012152"/>
      <w:bookmarkStart w:id="83" w:name="_Toc82075636"/>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79"/>
      <w:bookmarkEnd w:id="80"/>
      <w:bookmarkEnd w:id="81"/>
      <w:bookmarkEnd w:id="82"/>
      <w:bookmarkEnd w:id="83"/>
      <w:r>
        <w:rPr>
          <w:rStyle w:val="2Char"/>
          <w:rFonts w:ascii="黑体" w:eastAsia="黑体" w:hAnsi="黑体"/>
          <w:b w:val="0"/>
        </w:rPr>
        <w:tab/>
      </w:r>
    </w:p>
    <w:p w:rsidR="00501310" w:rsidRDefault="00501310">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年一般公共预算财政拨款基本支出37070.14万元，其中：</w:t>
      </w:r>
    </w:p>
    <w:p w:rsidR="00501310" w:rsidRDefault="0050131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人员经费31607.46万元，主要包括：基本工资5202.17万元、津贴补贴2386.29万元、伙食补助费0.54万元、绩效</w:t>
      </w:r>
      <w:r>
        <w:rPr>
          <w:rFonts w:ascii="仿宋" w:eastAsia="仿宋" w:hAnsi="仿宋" w:hint="eastAsia"/>
          <w:color w:val="000000"/>
          <w:sz w:val="32"/>
          <w:szCs w:val="32"/>
        </w:rPr>
        <w:lastRenderedPageBreak/>
        <w:t>工资10853.53万元、机关事业单位基本养老保险缴费2069.66万元、职工基本医疗保险缴费1430.54万元、公务员医疗补助缴费86.68万元、其他社会保障缴费270.40万元、住房公积金1805.66万元、医疗费12.32万元、其他工资福利支出3692.71万元、离休费15.52万元、生活补助695.00万元、医疗费补助152.87万元、助学金2719.37万元、奖励金214.20万元。</w:t>
      </w:r>
      <w:r>
        <w:rPr>
          <w:rFonts w:ascii="仿宋" w:eastAsia="仿宋" w:hAnsi="仿宋"/>
          <w:color w:val="000000"/>
          <w:sz w:val="32"/>
          <w:szCs w:val="32"/>
        </w:rPr>
        <w:br/>
      </w:r>
      <w:r>
        <w:rPr>
          <w:rFonts w:ascii="仿宋" w:eastAsia="仿宋" w:hAnsi="仿宋" w:hint="eastAsia"/>
          <w:color w:val="000000"/>
          <w:sz w:val="32"/>
          <w:szCs w:val="32"/>
        </w:rPr>
        <w:t xml:space="preserve">　　日常公用经费5462.68万元，主要包括：办公费279.78万元、印刷费98.60万元、咨询费49.64万元、手续费0.12万元、水费95.06万元、电费113.84万元、邮电费98.26万元、物业管理费274.87万元、差旅费357.63万元、因公出国（境）费用0.20万元、维修（护）费717.53万元、租赁费141.83万元、会议费66.05万元、培训费316.44万元、公务接待费14.91万元、专用材料费258.34万元、专用燃料费32.11万元、劳务费372.71万元、委托业务费431.24万元、工会经费300.94万元、福利费106.81万元、公务用车运行维护费17.92万元、其他交通费37.92万元、税金及附加费用53.54万元、其他商品和服务支出1226.39万元。</w:t>
      </w:r>
    </w:p>
    <w:p w:rsidR="00501310" w:rsidRDefault="00501310">
      <w:pPr>
        <w:spacing w:line="600" w:lineRule="exact"/>
        <w:ind w:firstLine="640"/>
        <w:outlineLvl w:val="1"/>
        <w:rPr>
          <w:rStyle w:val="2Char"/>
          <w:rFonts w:ascii="黑体" w:eastAsia="黑体" w:hAnsi="黑体"/>
          <w:b w:val="0"/>
        </w:rPr>
      </w:pPr>
      <w:bookmarkStart w:id="84" w:name="_Toc15396609"/>
      <w:bookmarkStart w:id="85" w:name="_Toc15377215"/>
      <w:bookmarkStart w:id="86" w:name="_Toc82012106"/>
      <w:bookmarkStart w:id="87" w:name="_Toc82012153"/>
      <w:bookmarkStart w:id="88" w:name="_Toc82075637"/>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84"/>
      <w:bookmarkEnd w:id="85"/>
      <w:bookmarkEnd w:id="86"/>
      <w:bookmarkEnd w:id="87"/>
      <w:bookmarkEnd w:id="88"/>
    </w:p>
    <w:p w:rsidR="00501310" w:rsidRDefault="00501310">
      <w:pPr>
        <w:spacing w:line="600" w:lineRule="exact"/>
        <w:ind w:firstLine="640"/>
        <w:outlineLvl w:val="2"/>
        <w:rPr>
          <w:rFonts w:ascii="楷体" w:eastAsia="楷体" w:hAnsi="楷体" w:cs="楷体" w:hint="eastAsia"/>
          <w:bCs/>
          <w:color w:val="000000"/>
          <w:sz w:val="32"/>
          <w:szCs w:val="32"/>
        </w:rPr>
      </w:pPr>
      <w:bookmarkStart w:id="89" w:name="_Toc15377216"/>
      <w:bookmarkStart w:id="90" w:name="_Toc82012107"/>
      <w:bookmarkStart w:id="91" w:name="_Toc82075638"/>
      <w:r>
        <w:rPr>
          <w:rFonts w:ascii="楷体" w:eastAsia="楷体" w:hAnsi="楷体" w:cs="楷体" w:hint="eastAsia"/>
          <w:bCs/>
          <w:color w:val="000000"/>
          <w:sz w:val="32"/>
          <w:szCs w:val="32"/>
        </w:rPr>
        <w:t>（一）“三公”经费财政拨款支出决算总体情况说明</w:t>
      </w:r>
      <w:bookmarkEnd w:id="89"/>
      <w:bookmarkEnd w:id="90"/>
      <w:bookmarkEnd w:id="91"/>
    </w:p>
    <w:p w:rsidR="00501310" w:rsidRDefault="00501310">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年“三公”经费财政拨款支出决算为33.03万元，完成预算57.51</w:t>
      </w:r>
      <w:r>
        <w:rPr>
          <w:rFonts w:ascii="仿宋" w:eastAsia="仿宋" w:hAnsi="仿宋"/>
          <w:color w:val="000000"/>
          <w:sz w:val="32"/>
          <w:szCs w:val="32"/>
        </w:rPr>
        <w:t>%</w:t>
      </w:r>
      <w:r>
        <w:rPr>
          <w:rFonts w:ascii="仿宋" w:eastAsia="仿宋" w:hAnsi="仿宋" w:hint="eastAsia"/>
          <w:color w:val="000000"/>
          <w:sz w:val="32"/>
          <w:szCs w:val="32"/>
        </w:rPr>
        <w:t>，决算数小于预算数（或与预算数持平）的主要原因是公务车政策改革，减少公务用车运行费支出；疫</w:t>
      </w:r>
      <w:r>
        <w:rPr>
          <w:rFonts w:ascii="仿宋" w:eastAsia="仿宋" w:hAnsi="仿宋" w:hint="eastAsia"/>
          <w:color w:val="000000"/>
          <w:sz w:val="32"/>
          <w:szCs w:val="32"/>
        </w:rPr>
        <w:lastRenderedPageBreak/>
        <w:t>情原因延迟开学，公务接待减少。</w:t>
      </w:r>
    </w:p>
    <w:p w:rsidR="00501310" w:rsidRDefault="00501310">
      <w:pPr>
        <w:spacing w:line="600" w:lineRule="exact"/>
        <w:ind w:firstLineChars="200" w:firstLine="643"/>
        <w:outlineLvl w:val="2"/>
        <w:rPr>
          <w:rFonts w:ascii="楷体" w:eastAsia="楷体" w:hAnsi="楷体" w:cs="楷体" w:hint="eastAsia"/>
          <w:bCs/>
          <w:color w:val="000000"/>
          <w:sz w:val="32"/>
          <w:szCs w:val="32"/>
        </w:rPr>
      </w:pPr>
      <w:bookmarkStart w:id="92" w:name="_Toc15377217"/>
      <w:bookmarkStart w:id="93" w:name="_Toc82012108"/>
      <w:bookmarkStart w:id="94" w:name="_Toc82075639"/>
      <w:r>
        <w:rPr>
          <w:rFonts w:ascii="仿宋" w:eastAsia="仿宋" w:hAnsi="仿宋" w:hint="eastAsia"/>
          <w:b/>
          <w:color w:val="000000"/>
          <w:sz w:val="32"/>
          <w:szCs w:val="32"/>
        </w:rPr>
        <w:t>（</w:t>
      </w:r>
      <w:r>
        <w:rPr>
          <w:rFonts w:ascii="楷体" w:eastAsia="楷体" w:hAnsi="楷体" w:cs="楷体" w:hint="eastAsia"/>
          <w:bCs/>
          <w:color w:val="000000"/>
          <w:sz w:val="32"/>
          <w:szCs w:val="32"/>
        </w:rPr>
        <w:t>二）“三公”经费财政拨款支出决算具体情况说明</w:t>
      </w:r>
      <w:bookmarkEnd w:id="92"/>
      <w:bookmarkEnd w:id="93"/>
      <w:bookmarkEnd w:id="94"/>
    </w:p>
    <w:p w:rsidR="00501310" w:rsidRDefault="00501310">
      <w:pPr>
        <w:spacing w:line="600" w:lineRule="exact"/>
        <w:ind w:firstLineChars="200" w:firstLine="640"/>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年“三公”经费财政拨款支出决算中，因公出国（境）费支出决算0.2万元，占0.61</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；公务用车购置及运行维护费支出决算17.92万元，占54.25</w:t>
      </w:r>
      <w:r>
        <w:rPr>
          <w:rFonts w:ascii="仿宋" w:eastAsia="仿宋" w:hAnsi="仿宋"/>
          <w:color w:val="000000"/>
          <w:sz w:val="32"/>
          <w:szCs w:val="32"/>
        </w:rPr>
        <w:t>%</w:t>
      </w:r>
      <w:r>
        <w:rPr>
          <w:rFonts w:ascii="仿宋" w:eastAsia="仿宋" w:hAnsi="仿宋" w:hint="eastAsia"/>
          <w:color w:val="000000"/>
          <w:sz w:val="32"/>
          <w:szCs w:val="32"/>
        </w:rPr>
        <w:t>；公务接待费支出决算14.91万元，占45.14</w:t>
      </w:r>
      <w:r>
        <w:rPr>
          <w:rFonts w:ascii="仿宋" w:eastAsia="仿宋" w:hAnsi="仿宋"/>
          <w:color w:val="000000"/>
          <w:sz w:val="32"/>
          <w:szCs w:val="32"/>
        </w:rPr>
        <w:t>%</w:t>
      </w:r>
      <w:r>
        <w:rPr>
          <w:rFonts w:ascii="仿宋" w:eastAsia="仿宋" w:hAnsi="仿宋" w:hint="eastAsia"/>
          <w:color w:val="000000"/>
          <w:sz w:val="32"/>
          <w:szCs w:val="32"/>
        </w:rPr>
        <w:t>。具体情况如下：</w:t>
      </w:r>
    </w:p>
    <w:p w:rsidR="00501310" w:rsidRDefault="00663810">
      <w:pPr>
        <w:ind w:firstLine="640"/>
        <w:rPr>
          <w:rFonts w:ascii="仿宋" w:eastAsia="仿宋" w:hAnsi="仿宋"/>
          <w:color w:val="000000"/>
          <w:sz w:val="32"/>
          <w:szCs w:val="32"/>
        </w:rPr>
      </w:pPr>
      <w:r>
        <w:rPr>
          <w:rFonts w:ascii="仿宋" w:eastAsia="仿宋" w:hAnsi="仿宋"/>
          <w:noProof/>
          <w:color w:val="000000"/>
          <w:sz w:val="32"/>
          <w:szCs w:val="32"/>
        </w:rPr>
        <w:drawing>
          <wp:inline distT="0" distB="0" distL="0" distR="0">
            <wp:extent cx="4584700" cy="2755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inline>
        </w:drawing>
      </w:r>
    </w:p>
    <w:p w:rsidR="00501310" w:rsidRDefault="00501310">
      <w:pPr>
        <w:spacing w:line="600" w:lineRule="exact"/>
        <w:ind w:firstLine="640"/>
        <w:rPr>
          <w:rFonts w:ascii="仿宋_GB2312" w:eastAsia="仿宋_GB2312" w:hAnsi="仿宋_GB2312" w:cs="仿宋_GB2312" w:hint="eastAsia"/>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Ansi="仿宋_GB2312" w:cs="仿宋_GB2312" w:hint="eastAsia"/>
          <w:color w:val="000000"/>
          <w:sz w:val="32"/>
          <w:szCs w:val="32"/>
        </w:rPr>
        <w:t>0.2万元，</w:t>
      </w:r>
      <w:r>
        <w:rPr>
          <w:rStyle w:val="a7"/>
          <w:rFonts w:ascii="仿宋_GB2312" w:eastAsia="仿宋_GB2312" w:hAnsi="仿宋_GB2312" w:cs="仿宋_GB2312" w:hint="eastAsia"/>
          <w:b w:val="0"/>
          <w:bCs/>
          <w:color w:val="000000"/>
          <w:sz w:val="32"/>
          <w:szCs w:val="32"/>
        </w:rPr>
        <w:t>完成预算100%。</w:t>
      </w:r>
      <w:r>
        <w:rPr>
          <w:rFonts w:ascii="仿宋_GB2312" w:eastAsia="仿宋_GB2312" w:hAnsi="仿宋_GB2312" w:cs="仿宋_GB2312" w:hint="eastAsia"/>
          <w:color w:val="000000"/>
          <w:sz w:val="32"/>
          <w:szCs w:val="32"/>
        </w:rPr>
        <w:t>全年安排因公出国（境）团组1次，出国（境）2人。因公出国（境）支出决算比2019年减少41.53万元，下降99.51%。主要原因是新冠疫情无人出国。开支内容包括：2019年12月底王兵、王发奎英国参加省教育厅组织“行业主导、校企合作能力本位教育模式”培训，2020年初报销。</w:t>
      </w:r>
    </w:p>
    <w:p w:rsidR="00501310" w:rsidRDefault="00501310">
      <w:pPr>
        <w:snapToGrid w:val="0"/>
        <w:spacing w:line="600" w:lineRule="exact"/>
        <w:ind w:firstLineChars="200" w:firstLine="643"/>
        <w:rPr>
          <w:rFonts w:ascii="仿宋_GB2312" w:eastAsia="仿宋_GB2312" w:hAnsi="仿宋_GB2312" w:cs="仿宋_GB2312" w:hint="eastAsia"/>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Ansi="仿宋_GB2312" w:cs="仿宋_GB2312" w:hint="eastAsia"/>
          <w:color w:val="000000"/>
          <w:sz w:val="32"/>
          <w:szCs w:val="32"/>
        </w:rPr>
        <w:t>17.92万元,完成预算62.37%。公务用车购置及运行维护费支出决算比2019年减少6.13万元，下降25.50%。主要原因是公务用车制度改革，</w:t>
      </w:r>
      <w:r>
        <w:rPr>
          <w:rFonts w:ascii="仿宋_GB2312" w:eastAsia="仿宋_GB2312" w:hAnsi="仿宋_GB2312" w:cs="仿宋_GB2312" w:hint="eastAsia"/>
          <w:color w:val="000000"/>
          <w:sz w:val="32"/>
          <w:szCs w:val="32"/>
        </w:rPr>
        <w:lastRenderedPageBreak/>
        <w:t>减少公务用车支出。</w:t>
      </w:r>
    </w:p>
    <w:p w:rsidR="00501310" w:rsidRDefault="00501310">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0万元。全年按规定更新购置公务用车0辆。</w:t>
      </w:r>
    </w:p>
    <w:p w:rsidR="00501310" w:rsidRDefault="00501310">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hint="eastAsia"/>
          <w:color w:val="000000"/>
          <w:sz w:val="32"/>
          <w:szCs w:val="32"/>
        </w:rPr>
        <w:t>17.92万元。主要用于特种专业技术、应急保障、机要通信等所需的公务用车燃料费、维修费、过路过桥费、保险费等支出。</w:t>
      </w:r>
    </w:p>
    <w:p w:rsidR="00501310" w:rsidRDefault="00501310">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14.91万元，</w:t>
      </w:r>
      <w:r>
        <w:rPr>
          <w:rStyle w:val="a7"/>
          <w:rFonts w:ascii="仿宋" w:eastAsia="仿宋" w:hAnsi="仿宋" w:hint="eastAsia"/>
          <w:b w:val="0"/>
          <w:bCs/>
          <w:color w:val="000000"/>
          <w:sz w:val="32"/>
          <w:szCs w:val="32"/>
        </w:rPr>
        <w:t>完成预算52.32</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年增加1.86万元，增长14.26</w:t>
      </w:r>
      <w:r>
        <w:rPr>
          <w:rFonts w:ascii="仿宋_GB2312" w:eastAsia="仿宋_GB2312"/>
          <w:color w:val="000000"/>
          <w:sz w:val="32"/>
          <w:szCs w:val="32"/>
        </w:rPr>
        <w:t>%</w:t>
      </w:r>
      <w:r>
        <w:rPr>
          <w:rFonts w:ascii="仿宋_GB2312" w:eastAsia="仿宋_GB2312" w:hint="eastAsia"/>
          <w:color w:val="000000"/>
          <w:sz w:val="32"/>
          <w:szCs w:val="32"/>
        </w:rPr>
        <w:t>。主要原因是2</w:t>
      </w:r>
      <w:r>
        <w:rPr>
          <w:rFonts w:ascii="仿宋_GB2312" w:eastAsia="仿宋_GB2312" w:hAnsi="仿宋"/>
          <w:sz w:val="32"/>
          <w:szCs w:val="32"/>
        </w:rPr>
        <w:t>020</w:t>
      </w:r>
      <w:r>
        <w:rPr>
          <w:rFonts w:ascii="仿宋_GB2312" w:eastAsia="仿宋_GB2312" w:hAnsi="仿宋" w:hint="eastAsia"/>
          <w:sz w:val="32"/>
          <w:szCs w:val="32"/>
        </w:rPr>
        <w:t>年我校争创精神文明校园，接待上级单位来校开展四川省文明校园复查验收；为保证疫情期间顺利开学，接受上级主管部门来校指导开学工作</w:t>
      </w:r>
      <w:r>
        <w:rPr>
          <w:rFonts w:ascii="仿宋_GB2312" w:eastAsia="仿宋_GB2312" w:hint="eastAsia"/>
          <w:color w:val="000000"/>
          <w:sz w:val="32"/>
          <w:szCs w:val="32"/>
        </w:rPr>
        <w:t>等事宜。其中：</w:t>
      </w:r>
    </w:p>
    <w:p w:rsidR="00501310" w:rsidRDefault="00501310">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14.91</w:t>
      </w:r>
      <w:r>
        <w:rPr>
          <w:rFonts w:ascii="仿宋_GB2312" w:eastAsia="仿宋_GB2312" w:hint="eastAsia"/>
          <w:color w:val="000000"/>
          <w:sz w:val="32"/>
          <w:szCs w:val="32"/>
        </w:rPr>
        <w:t>万元，主要用于接待用人单位来校招聘业务活动开支的交通费、住宿费、用餐费等。国内公务接待99批次，645人次（不包括陪同人员），共计支出14.91万元，具体内容包括：接待同级院校及招聘单位87批次537人9.57万元；接待上级单位来校交流7批次41人0.93万元；接待军训教官1批次58人3.79万元，外事接待4批次9人0.62万元。</w:t>
      </w:r>
    </w:p>
    <w:p w:rsidR="00501310" w:rsidRDefault="00501310">
      <w:pPr>
        <w:spacing w:line="600"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0.62</w:t>
      </w:r>
      <w:r>
        <w:rPr>
          <w:rFonts w:ascii="仿宋_GB2312" w:eastAsia="仿宋_GB2312" w:hint="eastAsia"/>
          <w:color w:val="000000"/>
          <w:sz w:val="32"/>
          <w:szCs w:val="32"/>
        </w:rPr>
        <w:t>万元，外事接待4批次，9人，共计支出0.62万元，主要用于接待新西兰奥克兰大学高唯院士、泰国兰塔纳功欣皇家理工大学蒲瑞辉教授来校洽谈专业领域合作、泰国易三仓大学高力等6人来校联系招生宣传等费用。</w:t>
      </w:r>
      <w:bookmarkStart w:id="95" w:name="_Toc15377218"/>
      <w:bookmarkStart w:id="96" w:name="_Toc15396610"/>
    </w:p>
    <w:p w:rsidR="00501310" w:rsidRDefault="00501310">
      <w:pPr>
        <w:spacing w:line="600" w:lineRule="exact"/>
        <w:ind w:firstLineChars="200" w:firstLine="640"/>
        <w:outlineLvl w:val="1"/>
        <w:rPr>
          <w:rStyle w:val="2Char"/>
          <w:rFonts w:ascii="黑体" w:eastAsia="黑体" w:hAnsi="黑体"/>
        </w:rPr>
      </w:pPr>
      <w:bookmarkStart w:id="97" w:name="_Toc82012109"/>
      <w:bookmarkStart w:id="98" w:name="_Toc82075640"/>
      <w:r>
        <w:rPr>
          <w:rFonts w:ascii="黑体" w:eastAsia="黑体" w:hint="eastAsia"/>
          <w:color w:val="000000"/>
          <w:sz w:val="32"/>
          <w:szCs w:val="32"/>
        </w:rPr>
        <w:lastRenderedPageBreak/>
        <w:t>八、</w:t>
      </w:r>
      <w:r>
        <w:rPr>
          <w:rStyle w:val="2Char"/>
          <w:rFonts w:ascii="黑体" w:eastAsia="黑体" w:hAnsi="黑体" w:hint="eastAsia"/>
          <w:b w:val="0"/>
        </w:rPr>
        <w:t>政府性基金预算支出决算情况说明</w:t>
      </w:r>
      <w:bookmarkEnd w:id="95"/>
      <w:bookmarkEnd w:id="96"/>
      <w:bookmarkEnd w:id="97"/>
      <w:bookmarkEnd w:id="98"/>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年政府性基金预算拨款支出3426.58万元。</w:t>
      </w:r>
    </w:p>
    <w:p w:rsidR="00501310" w:rsidRDefault="00501310">
      <w:pPr>
        <w:numPr>
          <w:ilvl w:val="0"/>
          <w:numId w:val="1"/>
        </w:numPr>
        <w:spacing w:line="600" w:lineRule="exact"/>
        <w:ind w:firstLineChars="200" w:firstLine="640"/>
        <w:outlineLvl w:val="1"/>
        <w:rPr>
          <w:rStyle w:val="2Char"/>
          <w:rFonts w:ascii="黑体" w:eastAsia="黑体" w:hAnsi="黑体"/>
          <w:b w:val="0"/>
        </w:rPr>
      </w:pPr>
      <w:bookmarkStart w:id="99" w:name="_Toc82012110"/>
      <w:bookmarkStart w:id="100" w:name="_Toc15396611"/>
      <w:bookmarkStart w:id="101" w:name="_Toc15377219"/>
      <w:bookmarkStart w:id="102" w:name="_Toc82075641"/>
      <w:r>
        <w:rPr>
          <w:rStyle w:val="2Char"/>
          <w:rFonts w:ascii="黑体" w:eastAsia="黑体" w:hAnsi="黑体" w:hint="eastAsia"/>
          <w:b w:val="0"/>
        </w:rPr>
        <w:t>国有资本经营预算支出决算情况说明</w:t>
      </w:r>
      <w:bookmarkEnd w:id="99"/>
      <w:bookmarkEnd w:id="100"/>
      <w:bookmarkEnd w:id="101"/>
      <w:bookmarkEnd w:id="102"/>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年国有资本经营预算拨款支出0万元。</w:t>
      </w:r>
    </w:p>
    <w:p w:rsidR="00501310" w:rsidRDefault="00501310">
      <w:pPr>
        <w:spacing w:line="600" w:lineRule="exact"/>
        <w:ind w:firstLineChars="200" w:firstLine="640"/>
        <w:outlineLvl w:val="1"/>
        <w:rPr>
          <w:rStyle w:val="2Char"/>
          <w:rFonts w:ascii="黑体" w:eastAsia="黑体" w:hAnsi="黑体"/>
        </w:rPr>
      </w:pPr>
      <w:bookmarkStart w:id="103" w:name="_Toc82012111"/>
      <w:bookmarkStart w:id="104" w:name="_Toc15377221"/>
      <w:bookmarkStart w:id="105" w:name="_Toc15396612"/>
      <w:bookmarkStart w:id="106" w:name="_Toc82075642"/>
      <w:r>
        <w:rPr>
          <w:rFonts w:ascii="黑体" w:eastAsia="黑体" w:hAnsi="黑体" w:hint="eastAsia"/>
          <w:color w:val="000000"/>
          <w:sz w:val="32"/>
          <w:szCs w:val="32"/>
        </w:rPr>
        <w:t>十</w:t>
      </w:r>
      <w:r>
        <w:rPr>
          <w:rStyle w:val="2Char"/>
          <w:rFonts w:ascii="黑体" w:eastAsia="黑体" w:hAnsi="黑体" w:hint="eastAsia"/>
        </w:rPr>
        <w:t>、</w:t>
      </w:r>
      <w:r>
        <w:rPr>
          <w:rStyle w:val="2Char"/>
          <w:rFonts w:ascii="黑体" w:eastAsia="黑体" w:hAnsi="黑体" w:hint="eastAsia"/>
          <w:b w:val="0"/>
        </w:rPr>
        <w:t>其他重要事项的情况说明</w:t>
      </w:r>
      <w:bookmarkEnd w:id="103"/>
      <w:bookmarkEnd w:id="104"/>
      <w:bookmarkEnd w:id="105"/>
      <w:bookmarkEnd w:id="106"/>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107" w:name="_Toc82012112"/>
      <w:bookmarkStart w:id="108" w:name="_Toc15377222"/>
      <w:bookmarkStart w:id="109" w:name="_Toc82075643"/>
      <w:r>
        <w:rPr>
          <w:rFonts w:ascii="楷体" w:eastAsia="楷体" w:hAnsi="楷体" w:cs="楷体" w:hint="eastAsia"/>
          <w:bCs/>
          <w:color w:val="000000"/>
          <w:sz w:val="32"/>
          <w:szCs w:val="32"/>
        </w:rPr>
        <w:t>（一）机关运行经费支出情况</w:t>
      </w:r>
      <w:bookmarkEnd w:id="107"/>
      <w:bookmarkEnd w:id="108"/>
      <w:bookmarkEnd w:id="109"/>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年，攀枝花学院机关运行经费无支出。</w:t>
      </w:r>
      <w:r>
        <w:rPr>
          <w:rFonts w:ascii="仿宋_GB2312" w:eastAsia="仿宋_GB2312"/>
          <w:color w:val="000000"/>
          <w:sz w:val="32"/>
          <w:szCs w:val="32"/>
        </w:rPr>
        <w:t xml:space="preserve"> </w:t>
      </w:r>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110" w:name="_Toc82012113"/>
      <w:bookmarkStart w:id="111" w:name="_Toc15377223"/>
      <w:bookmarkStart w:id="112" w:name="_Toc82075644"/>
      <w:r>
        <w:rPr>
          <w:rFonts w:ascii="楷体" w:eastAsia="楷体" w:hAnsi="楷体" w:cs="楷体" w:hint="eastAsia"/>
          <w:bCs/>
          <w:color w:val="000000"/>
          <w:sz w:val="32"/>
          <w:szCs w:val="32"/>
        </w:rPr>
        <w:t>（二）政府采购支出情况</w:t>
      </w:r>
      <w:bookmarkEnd w:id="110"/>
      <w:bookmarkEnd w:id="111"/>
      <w:bookmarkEnd w:id="112"/>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攀枝花学院政府采购支出总额4581.08万元，其中：政府采购货物支出4308.47万元、政府采购工程支出272.61万元、政府采购服务支出0万元。主要用于教学设备采购，少部分行政办公设备采购。授予中小企业合同金额204.41万元，占政府采购支出总额的4.46</w:t>
      </w:r>
      <w:r>
        <w:rPr>
          <w:rFonts w:ascii="仿宋_GB2312" w:eastAsia="仿宋_GB2312"/>
          <w:color w:val="000000"/>
          <w:sz w:val="32"/>
          <w:szCs w:val="32"/>
        </w:rPr>
        <w:t>%</w:t>
      </w:r>
      <w:r>
        <w:rPr>
          <w:rFonts w:ascii="仿宋_GB2312" w:eastAsia="仿宋_GB2312" w:hint="eastAsia"/>
          <w:color w:val="000000"/>
          <w:sz w:val="32"/>
          <w:szCs w:val="32"/>
        </w:rPr>
        <w:t>，其中：授予小微企业合同金额68.20万元，占政府采购支出总额的1.49</w:t>
      </w:r>
      <w:r>
        <w:rPr>
          <w:rFonts w:ascii="仿宋_GB2312" w:eastAsia="仿宋_GB2312"/>
          <w:color w:val="000000"/>
          <w:sz w:val="32"/>
          <w:szCs w:val="32"/>
        </w:rPr>
        <w:t>%</w:t>
      </w:r>
      <w:r>
        <w:rPr>
          <w:rFonts w:ascii="仿宋_GB2312" w:eastAsia="仿宋_GB2312" w:hint="eastAsia"/>
          <w:color w:val="000000"/>
          <w:sz w:val="32"/>
          <w:szCs w:val="32"/>
        </w:rPr>
        <w:t>。</w:t>
      </w:r>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113" w:name="_Toc82012114"/>
      <w:bookmarkStart w:id="114" w:name="_Toc15377224"/>
      <w:bookmarkStart w:id="115" w:name="_Toc82075645"/>
      <w:r>
        <w:rPr>
          <w:rFonts w:ascii="楷体" w:eastAsia="楷体" w:hAnsi="楷体" w:cs="楷体" w:hint="eastAsia"/>
          <w:bCs/>
          <w:color w:val="000000"/>
          <w:sz w:val="32"/>
          <w:szCs w:val="32"/>
        </w:rPr>
        <w:t>（三）国有资产占有使用情况</w:t>
      </w:r>
      <w:bookmarkEnd w:id="113"/>
      <w:bookmarkEnd w:id="114"/>
      <w:bookmarkEnd w:id="115"/>
    </w:p>
    <w:p w:rsidR="00501310" w:rsidRDefault="00501310">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日，攀枝花学院共有车辆61辆，其中：主要领导干部用车0辆、机要通信用车5辆、应急保障用车10辆、特种专业技术用车45辆、其他用车1辆。单价</w:t>
      </w:r>
      <w:r>
        <w:rPr>
          <w:rFonts w:ascii="仿宋_GB2312" w:eastAsia="仿宋_GB2312"/>
          <w:color w:val="000000"/>
          <w:sz w:val="32"/>
          <w:szCs w:val="32"/>
        </w:rPr>
        <w:t>50</w:t>
      </w:r>
      <w:r>
        <w:rPr>
          <w:rFonts w:ascii="仿宋_GB2312" w:eastAsia="仿宋_GB2312" w:hint="eastAsia"/>
          <w:color w:val="000000"/>
          <w:sz w:val="32"/>
          <w:szCs w:val="32"/>
        </w:rPr>
        <w:t>万元以上通用设备49台（套），单价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万元以上专用设备3台（套）。</w:t>
      </w:r>
    </w:p>
    <w:p w:rsidR="00501310" w:rsidRDefault="00501310">
      <w:pPr>
        <w:spacing w:line="600" w:lineRule="exact"/>
        <w:ind w:firstLineChars="200" w:firstLine="640"/>
        <w:outlineLvl w:val="2"/>
        <w:rPr>
          <w:rFonts w:ascii="楷体" w:eastAsia="楷体" w:hAnsi="楷体" w:cs="楷体" w:hint="eastAsia"/>
          <w:bCs/>
          <w:color w:val="000000"/>
          <w:sz w:val="32"/>
          <w:szCs w:val="32"/>
        </w:rPr>
      </w:pPr>
      <w:bookmarkStart w:id="116" w:name="_Toc82012115"/>
      <w:bookmarkStart w:id="117" w:name="_Toc82075646"/>
      <w:r>
        <w:rPr>
          <w:rFonts w:ascii="楷体" w:eastAsia="楷体" w:hAnsi="楷体" w:cs="楷体" w:hint="eastAsia"/>
          <w:bCs/>
          <w:color w:val="000000"/>
          <w:sz w:val="32"/>
          <w:szCs w:val="32"/>
        </w:rPr>
        <w:t>（四）预算绩效管理情况。</w:t>
      </w:r>
      <w:bookmarkEnd w:id="116"/>
      <w:bookmarkEnd w:id="117"/>
    </w:p>
    <w:p w:rsidR="00501310" w:rsidRDefault="0050131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根据预算绩效管理要求，本单位在年初预算编制阶段，组织对2021年度国家助学金市级配套、2021年度市财政学</w:t>
      </w:r>
      <w:r>
        <w:rPr>
          <w:rFonts w:ascii="仿宋_GB2312" w:eastAsia="仿宋_GB2312" w:hAnsi="仿宋_GB2312" w:cs="仿宋_GB2312" w:hint="eastAsia"/>
          <w:sz w:val="32"/>
          <w:szCs w:val="32"/>
        </w:rPr>
        <w:lastRenderedPageBreak/>
        <w:t>生专项拨款、生均拨款提标、物价上涨、中央财政支持地方高校发展资金市级配套、助学贷款风险补偿金等项目开展了预算事前绩效评估，对7个项目编制了绩效目标，年终执行完毕后，对7个项目开展了绩效目标完成情况自评。</w:t>
      </w:r>
    </w:p>
    <w:p w:rsidR="00501310" w:rsidRDefault="0050131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开展绩效自评，从评价情况来看我校2020年招生计划执行率为100%；临床医学专业成功立项3个省级一流本科专业，申报省级应用型示范课程5门、省级创新创业教育示范课程2门；全力推进申硕攻坚，学校达到硕士学位授予单位基本条件，进入省内推荐公示名单；全年累计引进博士23人；在职攻读博士研究生毕业5人；遴选推荐国家自然科学基金项目36项、社科基金22项； 31项帮扶任务已经完成，8项任务正有序推进，定点帮扶“两县三村”均已完成脱贫。本部门还自行组织了7个项目支出绩效评价，从评价情况来看执行率100%，提升教学实验平台升级扩能；已完成助学贷款学生全额贴息及支付生源地助学贷款风险补偿金等。</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年度部门决算中反映“财政拨款物价上涨学生生活补助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“2020年援藏援彝干部人才补助经费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hint="eastAsia"/>
        </w:rPr>
        <w:t xml:space="preserve"> </w:t>
      </w:r>
      <w:r>
        <w:rPr>
          <w:rFonts w:ascii="仿宋_GB2312" w:eastAsia="仿宋_GB2312" w:hAnsi="仿宋_GB2312" w:cs="仿宋_GB2312" w:hint="eastAsia"/>
          <w:sz w:val="32"/>
          <w:szCs w:val="32"/>
        </w:rPr>
        <w:t>财政拨款中央支持地方高校改革发展专项资金市财政配套”“财政2020年度学生专项拨款”“教育收费专项支出”等5个项目绩效目标实际完成情况。</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）财政拨款物价上涨学生生活补助项目绩效目标完</w:t>
      </w:r>
      <w:r>
        <w:rPr>
          <w:rFonts w:ascii="仿宋_GB2312" w:eastAsia="仿宋_GB2312" w:hAnsi="仿宋_GB2312" w:cs="仿宋_GB2312" w:hint="eastAsia"/>
          <w:sz w:val="32"/>
          <w:szCs w:val="32"/>
        </w:rPr>
        <w:lastRenderedPageBreak/>
        <w:t>成情况综述。项目全年预算数50万元，执行数为50万元，完成预算的100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控制学生食堂饭菜价格补助食堂，本年项目受惠学生人数17684人，财政资金足额到位率100%。发现的主要问题：学生人数较多，额度较少，受惠面不大。下一步改进措施：希望市财政加大投入，让更多的困难学生受惠。</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）2020年援藏援彝干部人才补助经费项目绩效目标完成情况综述。项目全年预算数16万元，执行数为16万元，完成预算的100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。通过项目实施，援藏援彝干部补助全部按时发放，开展技能培训1次，帮助当地土豆种植和核桃深加工。</w:t>
      </w:r>
    </w:p>
    <w:p w:rsidR="00501310" w:rsidRDefault="00501310">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）财政拨款中央支持地方高校改革发展专项资金市财政配套项目绩效目标完成情况综述。项目全年预算数100万元，执行数为100万元，完成预算的100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2020年度中央支持地方高校改革发展专项资金市财政配套，项目总体目标提升教学实验平台升级扩能，本年度支持的专业数量18个，支持的教学实验室数量13个，支持的课程建设门数132个，实验项目开出率99%，学生就业率97%。发现的主要问题：升级实验室功能、设备需要大量资金，才能达到预期效果。下一步改进措施：财政加大资金投入，资金及时到位，升级扩容实验室设备以及相关设施。</w:t>
      </w:r>
    </w:p>
    <w:p w:rsidR="00501310" w:rsidRDefault="00501310">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（4）财政2020年度学生专项拨款项目绩效目标完成情况综述。项目全年预算数500万元，执行数500万元，完成</w:t>
      </w:r>
      <w:r>
        <w:rPr>
          <w:rFonts w:ascii="仿宋_GB2312" w:eastAsia="仿宋_GB2312" w:hAnsi="仿宋_GB2312" w:cs="仿宋_GB2312" w:hint="eastAsia"/>
          <w:sz w:val="32"/>
          <w:szCs w:val="32"/>
        </w:rPr>
        <w:lastRenderedPageBreak/>
        <w:t>预算的100%。发现的主要问题：学生参加实践教学、学科竞赛、创新实验的积极性较高，但资金有限，支持力度不大，受地域限制，实验成本和出行成本较高。下一步改进措施：加大实践教学、学科竞赛、创新实验的投入，提高资金使用效率。</w:t>
      </w:r>
    </w:p>
    <w:p w:rsidR="00501310" w:rsidRDefault="0050131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教育收费专项支出绩效目标完成情况综述。项目全年预算数3108万元，执行数2033.74万元，完成预算的65.44%。通过项目实施，学生奖助学金发放、长期聘用人员工资及社保、人才引进及稳定、教师培训、实验专用设备购置等，设立勤工助学岗105个，创新创业奖50名，青年奖学金1300名，长期聘用人员工资及社保缴纳508人，教师全员继续教育培训、辅导员培训、教师岗前培训500人次，学生资助经费占事业收入比率5%，高层次人才稳定率90%，教师培训合格率100%。发现的主要问题：聘用人员工资薪酬不高、流动性较大，不利于工作安排和开展。下一步改进措施：根据综合能力提高业务能力强、工作强度大的聘用人员工资待遇，减少聘用人员流动数量，保证工作的高效开展。</w:t>
      </w:r>
    </w:p>
    <w:tbl>
      <w:tblPr>
        <w:tblW w:w="9371" w:type="dxa"/>
        <w:tblInd w:w="93" w:type="dxa"/>
        <w:tblLook w:val="0000" w:firstRow="0" w:lastRow="0" w:firstColumn="0" w:lastColumn="0" w:noHBand="0" w:noVBand="0"/>
      </w:tblPr>
      <w:tblGrid>
        <w:gridCol w:w="720"/>
        <w:gridCol w:w="687"/>
        <w:gridCol w:w="696"/>
        <w:gridCol w:w="1716"/>
        <w:gridCol w:w="1197"/>
        <w:gridCol w:w="896"/>
        <w:gridCol w:w="816"/>
        <w:gridCol w:w="2643"/>
      </w:tblGrid>
      <w:tr w:rsidR="00501310">
        <w:trPr>
          <w:trHeight w:val="675"/>
        </w:trPr>
        <w:tc>
          <w:tcPr>
            <w:tcW w:w="9371" w:type="dxa"/>
            <w:gridSpan w:val="8"/>
            <w:tcBorders>
              <w:top w:val="nil"/>
              <w:left w:val="nil"/>
              <w:bottom w:val="nil"/>
              <w:right w:val="nil"/>
            </w:tcBorders>
            <w:vAlign w:val="center"/>
          </w:tcPr>
          <w:p w:rsidR="00501310" w:rsidRDefault="00501310">
            <w:pPr>
              <w:widowControl/>
              <w:jc w:val="center"/>
              <w:rPr>
                <w:rFonts w:ascii="宋体" w:hAnsi="宋体" w:cs="宋体"/>
                <w:b/>
                <w:bCs/>
                <w:kern w:val="0"/>
                <w:sz w:val="32"/>
                <w:szCs w:val="32"/>
              </w:rPr>
            </w:pPr>
            <w:r>
              <w:rPr>
                <w:rFonts w:ascii="宋体" w:hAnsi="宋体" w:cs="宋体" w:hint="eastAsia"/>
                <w:b/>
                <w:bCs/>
                <w:kern w:val="0"/>
                <w:sz w:val="32"/>
                <w:szCs w:val="32"/>
              </w:rPr>
              <w:t>专项（项目）资金绩效自评表</w:t>
            </w:r>
          </w:p>
        </w:tc>
      </w:tr>
      <w:tr w:rsidR="00501310">
        <w:trPr>
          <w:trHeight w:val="285"/>
        </w:trPr>
        <w:tc>
          <w:tcPr>
            <w:tcW w:w="9371" w:type="dxa"/>
            <w:gridSpan w:val="8"/>
            <w:tcBorders>
              <w:top w:val="nil"/>
              <w:left w:val="nil"/>
              <w:bottom w:val="nil"/>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r>
              <w:rPr>
                <w:kern w:val="0"/>
                <w:sz w:val="24"/>
              </w:rPr>
              <w:t>2020</w:t>
            </w:r>
            <w:r>
              <w:rPr>
                <w:rFonts w:ascii="宋体" w:hAnsi="宋体" w:cs="宋体" w:hint="eastAsia"/>
                <w:kern w:val="0"/>
                <w:sz w:val="24"/>
              </w:rPr>
              <w:t>年度）</w:t>
            </w:r>
          </w:p>
        </w:tc>
      </w:tr>
      <w:tr w:rsidR="00501310">
        <w:trPr>
          <w:trHeight w:val="435"/>
        </w:trPr>
        <w:tc>
          <w:tcPr>
            <w:tcW w:w="720" w:type="dxa"/>
            <w:tcBorders>
              <w:top w:val="nil"/>
              <w:left w:val="nil"/>
              <w:bottom w:val="single" w:sz="4" w:space="0" w:color="auto"/>
              <w:right w:val="nil"/>
            </w:tcBorders>
            <w:noWrap/>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687" w:type="dxa"/>
            <w:tcBorders>
              <w:top w:val="nil"/>
              <w:left w:val="nil"/>
              <w:bottom w:val="single" w:sz="4" w:space="0" w:color="auto"/>
              <w:right w:val="nil"/>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69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71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197"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9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1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643" w:type="dxa"/>
            <w:tcBorders>
              <w:top w:val="nil"/>
              <w:left w:val="nil"/>
              <w:bottom w:val="nil"/>
              <w:right w:val="nil"/>
            </w:tcBorders>
            <w:vAlign w:val="center"/>
          </w:tcPr>
          <w:p w:rsidR="00501310" w:rsidRDefault="00501310">
            <w:pPr>
              <w:widowControl/>
              <w:jc w:val="left"/>
              <w:rPr>
                <w:rFonts w:ascii="宋体" w:hAnsi="宋体" w:cs="宋体"/>
                <w:kern w:val="0"/>
                <w:sz w:val="24"/>
              </w:rPr>
            </w:pPr>
          </w:p>
        </w:tc>
      </w:tr>
      <w:tr w:rsidR="00501310">
        <w:trPr>
          <w:trHeight w:val="439"/>
        </w:trPr>
        <w:tc>
          <w:tcPr>
            <w:tcW w:w="2103"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专项（项目）名称</w:t>
            </w:r>
          </w:p>
        </w:tc>
        <w:tc>
          <w:tcPr>
            <w:tcW w:w="7268"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财政拨款物价上涨学生生活补助</w:t>
            </w:r>
          </w:p>
        </w:tc>
      </w:tr>
      <w:tr w:rsidR="00501310">
        <w:trPr>
          <w:trHeight w:val="439"/>
        </w:trPr>
        <w:tc>
          <w:tcPr>
            <w:tcW w:w="2103"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项目主管单位</w:t>
            </w:r>
          </w:p>
        </w:tc>
        <w:tc>
          <w:tcPr>
            <w:tcW w:w="7268"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攀枝花市财政局</w:t>
            </w:r>
          </w:p>
        </w:tc>
      </w:tr>
      <w:tr w:rsidR="00501310">
        <w:trPr>
          <w:trHeight w:val="439"/>
        </w:trPr>
        <w:tc>
          <w:tcPr>
            <w:tcW w:w="2103" w:type="dxa"/>
            <w:gridSpan w:val="3"/>
            <w:tcBorders>
              <w:top w:val="single" w:sz="4" w:space="0" w:color="auto"/>
              <w:left w:val="single" w:sz="4" w:space="0" w:color="auto"/>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项目实施单位</w:t>
            </w:r>
          </w:p>
        </w:tc>
        <w:tc>
          <w:tcPr>
            <w:tcW w:w="7268"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攀枝花学院</w:t>
            </w:r>
          </w:p>
        </w:tc>
      </w:tr>
      <w:tr w:rsidR="00501310">
        <w:trPr>
          <w:trHeight w:val="439"/>
        </w:trPr>
        <w:tc>
          <w:tcPr>
            <w:tcW w:w="2103" w:type="dxa"/>
            <w:gridSpan w:val="3"/>
            <w:vMerge w:val="restart"/>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lastRenderedPageBreak/>
              <w:t>项目资金</w:t>
            </w:r>
            <w:r>
              <w:rPr>
                <w:rFonts w:ascii="宋体" w:hAnsi="宋体" w:cs="宋体" w:hint="eastAsia"/>
                <w:kern w:val="0"/>
                <w:sz w:val="24"/>
              </w:rPr>
              <w:br/>
              <w:t>（万元）</w:t>
            </w:r>
          </w:p>
        </w:tc>
        <w:tc>
          <w:tcPr>
            <w:tcW w:w="171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全年预算数</w:t>
            </w:r>
          </w:p>
        </w:tc>
        <w:tc>
          <w:tcPr>
            <w:tcW w:w="8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3459"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执行率（%）</w:t>
            </w:r>
          </w:p>
        </w:tc>
      </w:tr>
      <w:tr w:rsidR="00501310">
        <w:trPr>
          <w:trHeight w:val="439"/>
        </w:trPr>
        <w:tc>
          <w:tcPr>
            <w:tcW w:w="2103"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年度资金总额：</w:t>
            </w:r>
          </w:p>
        </w:tc>
        <w:tc>
          <w:tcPr>
            <w:tcW w:w="11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8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3459"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2103"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1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3459"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2103"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本级财政资金</w:t>
            </w:r>
          </w:p>
        </w:tc>
        <w:tc>
          <w:tcPr>
            <w:tcW w:w="11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8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3459"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2103"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其他资金</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3459"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720" w:type="dxa"/>
            <w:vMerge w:val="restart"/>
            <w:tcBorders>
              <w:top w:val="nil"/>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3099" w:type="dxa"/>
            <w:gridSpan w:val="3"/>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年度设定目标</w:t>
            </w:r>
          </w:p>
        </w:tc>
        <w:tc>
          <w:tcPr>
            <w:tcW w:w="5552" w:type="dxa"/>
            <w:gridSpan w:val="4"/>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实际完成情况</w:t>
            </w:r>
          </w:p>
        </w:tc>
      </w:tr>
      <w:tr w:rsidR="00501310">
        <w:trPr>
          <w:trHeight w:val="900"/>
        </w:trPr>
        <w:tc>
          <w:tcPr>
            <w:tcW w:w="720" w:type="dxa"/>
            <w:vMerge/>
            <w:tcBorders>
              <w:top w:val="nil"/>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3099" w:type="dxa"/>
            <w:gridSpan w:val="3"/>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br/>
              <w:t>控制学生食堂饭菜价格补助食堂</w:t>
            </w:r>
          </w:p>
        </w:tc>
        <w:tc>
          <w:tcPr>
            <w:tcW w:w="5552" w:type="dxa"/>
            <w:gridSpan w:val="4"/>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控制学生食堂饭菜价格补助食堂，本年项目受惠学生人数17684人，财政资金足额到位率100%。</w:t>
            </w:r>
          </w:p>
        </w:tc>
      </w:tr>
      <w:tr w:rsidR="00501310">
        <w:trPr>
          <w:trHeight w:val="570"/>
        </w:trPr>
        <w:tc>
          <w:tcPr>
            <w:tcW w:w="72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687" w:type="dxa"/>
            <w:tcBorders>
              <w:top w:val="nil"/>
              <w:left w:val="nil"/>
              <w:bottom w:val="nil"/>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二级指标</w:t>
            </w:r>
          </w:p>
        </w:tc>
        <w:tc>
          <w:tcPr>
            <w:tcW w:w="171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三级指标</w:t>
            </w:r>
          </w:p>
        </w:tc>
        <w:tc>
          <w:tcPr>
            <w:tcW w:w="11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年度指标值</w:t>
            </w:r>
          </w:p>
        </w:tc>
        <w:tc>
          <w:tcPr>
            <w:tcW w:w="8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81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完成率（%）</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未完成原因和改进措施</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val="restart"/>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项目完成</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数量指标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指标1：项目受惠学生人数</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17684人</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17684人</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指标2：其中：贫困学生人数</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3791人</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4026人</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质量指标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指标1：财政资金足额到位率</w:t>
            </w:r>
          </w:p>
        </w:tc>
        <w:tc>
          <w:tcPr>
            <w:tcW w:w="1197"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9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时效指标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指标1：完成时间</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2020年1-12月</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成本指标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指标1：补助金额</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共计50万元</w:t>
            </w:r>
          </w:p>
        </w:tc>
        <w:tc>
          <w:tcPr>
            <w:tcW w:w="89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项目效益</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指标1：项目实施覆盖收益学生数</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17684名学生受益</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17684名学生受益</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指标1：学生满意度</w:t>
            </w:r>
          </w:p>
        </w:tc>
        <w:tc>
          <w:tcPr>
            <w:tcW w:w="1197"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9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8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17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9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43"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bl>
    <w:p w:rsidR="00501310" w:rsidRDefault="00501310">
      <w:pPr>
        <w:ind w:firstLineChars="200" w:firstLine="640"/>
        <w:rPr>
          <w:rFonts w:ascii="仿宋_GB2312" w:eastAsia="仿宋_GB2312" w:hAnsi="仿宋_GB2312" w:cs="仿宋_GB2312"/>
          <w:sz w:val="32"/>
          <w:szCs w:val="32"/>
        </w:rPr>
      </w:pPr>
    </w:p>
    <w:tbl>
      <w:tblPr>
        <w:tblW w:w="9371" w:type="dxa"/>
        <w:tblInd w:w="93" w:type="dxa"/>
        <w:tblLook w:val="0000" w:firstRow="0" w:lastRow="0" w:firstColumn="0" w:lastColumn="0" w:noHBand="0" w:noVBand="0"/>
      </w:tblPr>
      <w:tblGrid>
        <w:gridCol w:w="637"/>
        <w:gridCol w:w="103"/>
        <w:gridCol w:w="584"/>
        <w:gridCol w:w="125"/>
        <w:gridCol w:w="571"/>
        <w:gridCol w:w="1049"/>
        <w:gridCol w:w="1709"/>
        <w:gridCol w:w="18"/>
        <w:gridCol w:w="831"/>
        <w:gridCol w:w="674"/>
        <w:gridCol w:w="156"/>
        <w:gridCol w:w="879"/>
        <w:gridCol w:w="184"/>
        <w:gridCol w:w="1478"/>
        <w:gridCol w:w="373"/>
      </w:tblGrid>
      <w:tr w:rsidR="00501310">
        <w:trPr>
          <w:trHeight w:val="675"/>
        </w:trPr>
        <w:tc>
          <w:tcPr>
            <w:tcW w:w="9371" w:type="dxa"/>
            <w:gridSpan w:val="15"/>
            <w:tcBorders>
              <w:top w:val="nil"/>
              <w:left w:val="nil"/>
              <w:bottom w:val="nil"/>
              <w:right w:val="nil"/>
            </w:tcBorders>
            <w:vAlign w:val="center"/>
          </w:tcPr>
          <w:p w:rsidR="00501310" w:rsidRDefault="00501310">
            <w:pPr>
              <w:widowControl/>
              <w:jc w:val="center"/>
              <w:rPr>
                <w:rFonts w:ascii="宋体" w:hAnsi="宋体" w:cs="宋体"/>
                <w:b/>
                <w:bCs/>
                <w:kern w:val="0"/>
                <w:sz w:val="32"/>
                <w:szCs w:val="32"/>
              </w:rPr>
            </w:pPr>
            <w:r>
              <w:rPr>
                <w:rFonts w:ascii="宋体" w:hAnsi="宋体" w:cs="宋体" w:hint="eastAsia"/>
                <w:b/>
                <w:bCs/>
                <w:kern w:val="0"/>
                <w:sz w:val="32"/>
                <w:szCs w:val="32"/>
              </w:rPr>
              <w:t>专项（项目）资金绩效自评表</w:t>
            </w:r>
          </w:p>
        </w:tc>
      </w:tr>
      <w:tr w:rsidR="00501310">
        <w:trPr>
          <w:trHeight w:val="285"/>
        </w:trPr>
        <w:tc>
          <w:tcPr>
            <w:tcW w:w="9371" w:type="dxa"/>
            <w:gridSpan w:val="15"/>
            <w:tcBorders>
              <w:top w:val="nil"/>
              <w:left w:val="nil"/>
              <w:bottom w:val="nil"/>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r>
              <w:rPr>
                <w:kern w:val="0"/>
                <w:sz w:val="24"/>
              </w:rPr>
              <w:t>2020</w:t>
            </w:r>
            <w:r>
              <w:rPr>
                <w:rFonts w:ascii="宋体" w:hAnsi="宋体" w:cs="宋体" w:hint="eastAsia"/>
                <w:kern w:val="0"/>
                <w:sz w:val="24"/>
              </w:rPr>
              <w:t>年度）</w:t>
            </w:r>
          </w:p>
        </w:tc>
      </w:tr>
      <w:tr w:rsidR="00501310">
        <w:trPr>
          <w:trHeight w:val="435"/>
        </w:trPr>
        <w:tc>
          <w:tcPr>
            <w:tcW w:w="740" w:type="dxa"/>
            <w:gridSpan w:val="2"/>
            <w:tcBorders>
              <w:top w:val="nil"/>
              <w:left w:val="nil"/>
              <w:bottom w:val="single" w:sz="4" w:space="0" w:color="auto"/>
              <w:right w:val="nil"/>
            </w:tcBorders>
            <w:noWrap/>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700" w:type="dxa"/>
            <w:gridSpan w:val="2"/>
            <w:tcBorders>
              <w:top w:val="nil"/>
              <w:left w:val="nil"/>
              <w:bottom w:val="single" w:sz="4" w:space="0" w:color="auto"/>
              <w:right w:val="nil"/>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480"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780"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520"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040"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111" w:type="dxa"/>
            <w:gridSpan w:val="3"/>
            <w:tcBorders>
              <w:top w:val="nil"/>
              <w:left w:val="nil"/>
              <w:bottom w:val="nil"/>
              <w:right w:val="nil"/>
            </w:tcBorders>
            <w:vAlign w:val="center"/>
          </w:tcPr>
          <w:p w:rsidR="00501310" w:rsidRDefault="00501310">
            <w:pPr>
              <w:widowControl/>
              <w:jc w:val="left"/>
              <w:rPr>
                <w:rFonts w:ascii="宋体" w:hAnsi="宋体" w:cs="宋体"/>
                <w:kern w:val="0"/>
                <w:sz w:val="24"/>
              </w:rPr>
            </w:pPr>
          </w:p>
        </w:tc>
      </w:tr>
      <w:tr w:rsidR="00501310">
        <w:trPr>
          <w:trHeight w:val="439"/>
        </w:trPr>
        <w:tc>
          <w:tcPr>
            <w:tcW w:w="1440" w:type="dxa"/>
            <w:gridSpan w:val="4"/>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专项（项目）名称</w:t>
            </w:r>
          </w:p>
        </w:tc>
        <w:tc>
          <w:tcPr>
            <w:tcW w:w="7931" w:type="dxa"/>
            <w:gridSpan w:val="11"/>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2020年援藏援彝干部人才补助经费</w:t>
            </w:r>
          </w:p>
        </w:tc>
      </w:tr>
      <w:tr w:rsidR="00501310">
        <w:trPr>
          <w:trHeight w:val="439"/>
        </w:trPr>
        <w:tc>
          <w:tcPr>
            <w:tcW w:w="1440" w:type="dxa"/>
            <w:gridSpan w:val="4"/>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项目主管单位</w:t>
            </w:r>
          </w:p>
        </w:tc>
        <w:tc>
          <w:tcPr>
            <w:tcW w:w="7931" w:type="dxa"/>
            <w:gridSpan w:val="11"/>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攀枝花市财政局</w:t>
            </w:r>
          </w:p>
        </w:tc>
      </w:tr>
      <w:tr w:rsidR="00501310">
        <w:trPr>
          <w:trHeight w:val="439"/>
        </w:trPr>
        <w:tc>
          <w:tcPr>
            <w:tcW w:w="1440" w:type="dxa"/>
            <w:gridSpan w:val="4"/>
            <w:tcBorders>
              <w:top w:val="single" w:sz="4" w:space="0" w:color="auto"/>
              <w:left w:val="single" w:sz="4" w:space="0" w:color="auto"/>
              <w:bottom w:val="single" w:sz="4" w:space="0" w:color="auto"/>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项目实施单位</w:t>
            </w:r>
          </w:p>
        </w:tc>
        <w:tc>
          <w:tcPr>
            <w:tcW w:w="7931" w:type="dxa"/>
            <w:gridSpan w:val="11"/>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攀枝花学院</w:t>
            </w:r>
          </w:p>
        </w:tc>
      </w:tr>
      <w:tr w:rsidR="00501310">
        <w:trPr>
          <w:trHeight w:val="439"/>
        </w:trPr>
        <w:tc>
          <w:tcPr>
            <w:tcW w:w="1440" w:type="dxa"/>
            <w:gridSpan w:val="4"/>
            <w:vMerge w:val="restart"/>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全年预算数</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3151"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执行率（%）</w:t>
            </w:r>
          </w:p>
        </w:tc>
      </w:tr>
      <w:tr w:rsidR="00501310">
        <w:trPr>
          <w:trHeight w:val="439"/>
        </w:trPr>
        <w:tc>
          <w:tcPr>
            <w:tcW w:w="1440" w:type="dxa"/>
            <w:gridSpan w:val="4"/>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年度资金总额：</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16</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16</w:t>
            </w:r>
          </w:p>
        </w:tc>
        <w:tc>
          <w:tcPr>
            <w:tcW w:w="3151"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1440" w:type="dxa"/>
            <w:gridSpan w:val="4"/>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3151"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1440" w:type="dxa"/>
            <w:gridSpan w:val="4"/>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本级财政资金</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16</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16</w:t>
            </w:r>
          </w:p>
        </w:tc>
        <w:tc>
          <w:tcPr>
            <w:tcW w:w="3151"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1440" w:type="dxa"/>
            <w:gridSpan w:val="4"/>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其他资金</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3151"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740" w:type="dxa"/>
            <w:gridSpan w:val="2"/>
            <w:vMerge w:val="restart"/>
            <w:tcBorders>
              <w:top w:val="nil"/>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2180" w:type="dxa"/>
            <w:gridSpan w:val="4"/>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年度设定目标</w:t>
            </w:r>
          </w:p>
        </w:tc>
        <w:tc>
          <w:tcPr>
            <w:tcW w:w="6451" w:type="dxa"/>
            <w:gridSpan w:val="9"/>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实际完成情况</w:t>
            </w:r>
          </w:p>
        </w:tc>
      </w:tr>
      <w:tr w:rsidR="00501310">
        <w:trPr>
          <w:trHeight w:val="1590"/>
        </w:trPr>
        <w:tc>
          <w:tcPr>
            <w:tcW w:w="740" w:type="dxa"/>
            <w:gridSpan w:val="2"/>
            <w:vMerge/>
            <w:tcBorders>
              <w:top w:val="nil"/>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180" w:type="dxa"/>
            <w:gridSpan w:val="4"/>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br/>
              <w:t>保障援藏援彝干部补助正常发放</w:t>
            </w:r>
          </w:p>
        </w:tc>
        <w:tc>
          <w:tcPr>
            <w:tcW w:w="6451" w:type="dxa"/>
            <w:gridSpan w:val="9"/>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援藏援彝干部补助全部按时发放，开展技能培训1次，帮助当地土豆种植和核桃深加工</w:t>
            </w:r>
          </w:p>
        </w:tc>
      </w:tr>
      <w:tr w:rsidR="00501310">
        <w:trPr>
          <w:trHeight w:val="570"/>
        </w:trPr>
        <w:tc>
          <w:tcPr>
            <w:tcW w:w="74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700" w:type="dxa"/>
            <w:gridSpan w:val="2"/>
            <w:tcBorders>
              <w:top w:val="nil"/>
              <w:left w:val="nil"/>
              <w:bottom w:val="nil"/>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三级指标</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年度指标值</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完成率（%）</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未完成原因和改进措施</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val="restart"/>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项目完成</w:t>
            </w: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指标1：援藏援彝干部人数</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≥5人</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6</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指标1：智力帮扶</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开展技能培训</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1次</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指标2：产业帮扶</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研究和解决当地特色农产品种植及农副深加工</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土豆种植、核桃深加工</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指标1：完成时间</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2020年12月31日</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指标1：拨付补助经费</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全年共计16万元</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项目效益</w:t>
            </w: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指标1：为当地经济发展提供智力</w:t>
            </w:r>
            <w:r>
              <w:rPr>
                <w:rFonts w:ascii="宋体" w:hAnsi="宋体" w:cs="宋体" w:hint="eastAsia"/>
                <w:kern w:val="0"/>
                <w:sz w:val="24"/>
              </w:rPr>
              <w:lastRenderedPageBreak/>
              <w:t>支持，为当地居民带来财富</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lastRenderedPageBreak/>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指标1：落实帮扶措施</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发挥智力优势扶贫、发挥科技优势扶贫</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指标1：激发干部人才服务贫困地区的热情，促进项目的可持续性</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指标1：对口扶贫单位满意度</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4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0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40"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111" w:type="dxa"/>
            <w:gridSpan w:val="3"/>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05"/>
        </w:trPr>
        <w:tc>
          <w:tcPr>
            <w:tcW w:w="8980" w:type="dxa"/>
            <w:gridSpan w:val="14"/>
            <w:tcBorders>
              <w:top w:val="nil"/>
              <w:left w:val="nil"/>
              <w:bottom w:val="nil"/>
              <w:right w:val="nil"/>
            </w:tcBorders>
            <w:vAlign w:val="center"/>
          </w:tcPr>
          <w:p w:rsidR="00501310" w:rsidRDefault="00501310">
            <w:pPr>
              <w:widowControl/>
              <w:jc w:val="center"/>
              <w:rPr>
                <w:rFonts w:ascii="宋体" w:hAnsi="宋体" w:cs="宋体"/>
                <w:b/>
                <w:bCs/>
                <w:kern w:val="0"/>
                <w:sz w:val="32"/>
                <w:szCs w:val="32"/>
              </w:rPr>
            </w:pPr>
            <w:r>
              <w:rPr>
                <w:rFonts w:ascii="宋体" w:hAnsi="宋体" w:cs="宋体" w:hint="eastAsia"/>
                <w:b/>
                <w:bCs/>
                <w:kern w:val="0"/>
                <w:sz w:val="32"/>
                <w:szCs w:val="32"/>
              </w:rPr>
              <w:t>专项（项目）资金绩效自评表</w:t>
            </w:r>
          </w:p>
        </w:tc>
      </w:tr>
      <w:tr w:rsidR="00501310">
        <w:trPr>
          <w:gridAfter w:val="1"/>
          <w:wAfter w:w="391" w:type="dxa"/>
          <w:trHeight w:val="285"/>
        </w:trPr>
        <w:tc>
          <w:tcPr>
            <w:tcW w:w="8980" w:type="dxa"/>
            <w:gridSpan w:val="14"/>
            <w:tcBorders>
              <w:top w:val="nil"/>
              <w:left w:val="nil"/>
              <w:bottom w:val="nil"/>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r>
              <w:rPr>
                <w:kern w:val="0"/>
                <w:sz w:val="24"/>
              </w:rPr>
              <w:t>2020</w:t>
            </w:r>
            <w:r>
              <w:rPr>
                <w:rFonts w:ascii="宋体" w:hAnsi="宋体" w:cs="宋体" w:hint="eastAsia"/>
                <w:kern w:val="0"/>
                <w:sz w:val="24"/>
              </w:rPr>
              <w:t>年度）</w:t>
            </w:r>
          </w:p>
        </w:tc>
      </w:tr>
      <w:tr w:rsidR="00501310">
        <w:trPr>
          <w:gridAfter w:val="1"/>
          <w:wAfter w:w="391" w:type="dxa"/>
          <w:trHeight w:val="285"/>
        </w:trPr>
        <w:tc>
          <w:tcPr>
            <w:tcW w:w="637" w:type="dxa"/>
            <w:tcBorders>
              <w:top w:val="nil"/>
              <w:left w:val="nil"/>
              <w:bottom w:val="single" w:sz="4" w:space="0" w:color="auto"/>
              <w:right w:val="nil"/>
            </w:tcBorders>
            <w:noWrap/>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696" w:type="dxa"/>
            <w:gridSpan w:val="2"/>
            <w:tcBorders>
              <w:top w:val="nil"/>
              <w:left w:val="nil"/>
              <w:bottom w:val="single" w:sz="4" w:space="0" w:color="auto"/>
              <w:right w:val="nil"/>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510"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57"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37"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076" w:type="dxa"/>
            <w:gridSpan w:val="2"/>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528" w:type="dxa"/>
            <w:tcBorders>
              <w:top w:val="nil"/>
              <w:left w:val="nil"/>
              <w:bottom w:val="nil"/>
              <w:right w:val="nil"/>
            </w:tcBorders>
            <w:vAlign w:val="center"/>
          </w:tcPr>
          <w:p w:rsidR="00501310" w:rsidRDefault="00501310">
            <w:pPr>
              <w:widowControl/>
              <w:jc w:val="left"/>
              <w:rPr>
                <w:rFonts w:ascii="宋体" w:hAnsi="宋体" w:cs="宋体"/>
                <w:kern w:val="0"/>
                <w:sz w:val="24"/>
              </w:rPr>
            </w:pPr>
          </w:p>
        </w:tc>
      </w:tr>
      <w:tr w:rsidR="00501310">
        <w:trPr>
          <w:gridAfter w:val="1"/>
          <w:wAfter w:w="391" w:type="dxa"/>
          <w:trHeight w:val="439"/>
        </w:trPr>
        <w:tc>
          <w:tcPr>
            <w:tcW w:w="1843" w:type="dxa"/>
            <w:gridSpan w:val="5"/>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专项（项目）名称</w:t>
            </w:r>
          </w:p>
        </w:tc>
        <w:tc>
          <w:tcPr>
            <w:tcW w:w="7137" w:type="dxa"/>
            <w:gridSpan w:val="9"/>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财政拨款中央支持地方高校改革发展专项资金市财政配套</w:t>
            </w:r>
          </w:p>
        </w:tc>
      </w:tr>
      <w:tr w:rsidR="00501310">
        <w:trPr>
          <w:gridAfter w:val="1"/>
          <w:wAfter w:w="391" w:type="dxa"/>
          <w:trHeight w:val="439"/>
        </w:trPr>
        <w:tc>
          <w:tcPr>
            <w:tcW w:w="1843" w:type="dxa"/>
            <w:gridSpan w:val="5"/>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项目主管单位</w:t>
            </w:r>
          </w:p>
        </w:tc>
        <w:tc>
          <w:tcPr>
            <w:tcW w:w="7137" w:type="dxa"/>
            <w:gridSpan w:val="9"/>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攀枝花市财政局</w:t>
            </w:r>
          </w:p>
        </w:tc>
      </w:tr>
      <w:tr w:rsidR="00501310">
        <w:trPr>
          <w:gridAfter w:val="1"/>
          <w:wAfter w:w="391" w:type="dxa"/>
          <w:trHeight w:val="439"/>
        </w:trPr>
        <w:tc>
          <w:tcPr>
            <w:tcW w:w="1843" w:type="dxa"/>
            <w:gridSpan w:val="5"/>
            <w:tcBorders>
              <w:top w:val="single" w:sz="4" w:space="0" w:color="auto"/>
              <w:left w:val="single" w:sz="4" w:space="0" w:color="auto"/>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项目实施单位</w:t>
            </w:r>
          </w:p>
        </w:tc>
        <w:tc>
          <w:tcPr>
            <w:tcW w:w="7137" w:type="dxa"/>
            <w:gridSpan w:val="9"/>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攀枝花学院</w:t>
            </w:r>
          </w:p>
        </w:tc>
      </w:tr>
      <w:tr w:rsidR="00501310">
        <w:trPr>
          <w:gridAfter w:val="1"/>
          <w:wAfter w:w="391" w:type="dxa"/>
          <w:trHeight w:val="439"/>
        </w:trPr>
        <w:tc>
          <w:tcPr>
            <w:tcW w:w="1843" w:type="dxa"/>
            <w:gridSpan w:val="5"/>
            <w:vMerge w:val="restart"/>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lastRenderedPageBreak/>
              <w:t>项目资金</w:t>
            </w:r>
            <w:r>
              <w:rPr>
                <w:rFonts w:ascii="宋体" w:hAnsi="宋体" w:cs="宋体" w:hint="eastAsia"/>
                <w:kern w:val="0"/>
                <w:sz w:val="24"/>
              </w:rPr>
              <w:br/>
              <w:t>（万元）</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全年预算数</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2604" w:type="dxa"/>
            <w:gridSpan w:val="3"/>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执行率（%）</w:t>
            </w:r>
          </w:p>
        </w:tc>
      </w:tr>
      <w:tr w:rsidR="00501310">
        <w:trPr>
          <w:gridAfter w:val="1"/>
          <w:wAfter w:w="391" w:type="dxa"/>
          <w:trHeight w:val="439"/>
        </w:trPr>
        <w:tc>
          <w:tcPr>
            <w:tcW w:w="1843" w:type="dxa"/>
            <w:gridSpan w:val="5"/>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年度资金总额：</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c>
          <w:tcPr>
            <w:tcW w:w="2604" w:type="dxa"/>
            <w:gridSpan w:val="3"/>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gridAfter w:val="1"/>
          <w:wAfter w:w="391" w:type="dxa"/>
          <w:trHeight w:val="439"/>
        </w:trPr>
        <w:tc>
          <w:tcPr>
            <w:tcW w:w="1843" w:type="dxa"/>
            <w:gridSpan w:val="5"/>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2604" w:type="dxa"/>
            <w:gridSpan w:val="3"/>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9"/>
        </w:trPr>
        <w:tc>
          <w:tcPr>
            <w:tcW w:w="1843" w:type="dxa"/>
            <w:gridSpan w:val="5"/>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本级财政资金</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c>
          <w:tcPr>
            <w:tcW w:w="2604" w:type="dxa"/>
            <w:gridSpan w:val="3"/>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gridAfter w:val="1"/>
          <w:wAfter w:w="391" w:type="dxa"/>
          <w:trHeight w:val="439"/>
        </w:trPr>
        <w:tc>
          <w:tcPr>
            <w:tcW w:w="1843" w:type="dxa"/>
            <w:gridSpan w:val="5"/>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其他资金</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604" w:type="dxa"/>
            <w:gridSpan w:val="3"/>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9"/>
        </w:trPr>
        <w:tc>
          <w:tcPr>
            <w:tcW w:w="637" w:type="dxa"/>
            <w:vMerge w:val="restart"/>
            <w:tcBorders>
              <w:top w:val="nil"/>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4045" w:type="dxa"/>
            <w:gridSpan w:val="6"/>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年度设定目标</w:t>
            </w:r>
          </w:p>
        </w:tc>
        <w:tc>
          <w:tcPr>
            <w:tcW w:w="4298" w:type="dxa"/>
            <w:gridSpan w:val="7"/>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实际完成情况</w:t>
            </w:r>
          </w:p>
        </w:tc>
      </w:tr>
      <w:tr w:rsidR="00501310">
        <w:trPr>
          <w:gridAfter w:val="1"/>
          <w:wAfter w:w="391" w:type="dxa"/>
          <w:trHeight w:val="1575"/>
        </w:trPr>
        <w:tc>
          <w:tcPr>
            <w:tcW w:w="637" w:type="dxa"/>
            <w:vMerge/>
            <w:tcBorders>
              <w:top w:val="nil"/>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4045" w:type="dxa"/>
            <w:gridSpan w:val="6"/>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 xml:space="preserve">   有效提升实验教学平台，完善实践育人体系，提高学生实践动手能力和创新创业能力；帮助学校加大专业建设、课程建设力度，提高教育教学水平，提升教育教学质量；提高实践教学信息化水平，实现学生随时随地学习、反复学习，以学生为中心、增强学生自主学习能力；逐步建立新工科、新文科实验实训平台，帮助学生赢取竞争优势，提升学生就业竞争力。</w:t>
            </w:r>
          </w:p>
        </w:tc>
        <w:tc>
          <w:tcPr>
            <w:tcW w:w="4298" w:type="dxa"/>
            <w:gridSpan w:val="7"/>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2020年度中央支持地方高校改革发展专项资金市财政配套，项目总体目标提升教学实验平台升级扩能，本年度支持的专业数量18个，支持的教学实验室数量13个，支持的课程建设门数132个，实验项目开出率99%，学生就业率97%。</w:t>
            </w:r>
          </w:p>
        </w:tc>
      </w:tr>
      <w:tr w:rsidR="00501310">
        <w:trPr>
          <w:gridAfter w:val="1"/>
          <w:wAfter w:w="391" w:type="dxa"/>
          <w:trHeight w:val="570"/>
        </w:trPr>
        <w:tc>
          <w:tcPr>
            <w:tcW w:w="637"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696" w:type="dxa"/>
            <w:gridSpan w:val="2"/>
            <w:tcBorders>
              <w:top w:val="nil"/>
              <w:left w:val="nil"/>
              <w:bottom w:val="nil"/>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51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二级指标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三级指标</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年度指标值</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完成率（%）</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未完成原因和改进措施</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val="restart"/>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项目完成</w:t>
            </w: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数量指标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指标1：支持专业数量</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18个</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18个</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指标2：支持的教学实验室数量</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13个</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13个</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指标3：支持的课程建设门数</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132个</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132个</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质量指标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指标1：实验项目开出率</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99%</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99%</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指标2：学生就业率</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97%</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97%</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时效指标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指标1：完成时间</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2020年1-12月</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成本指标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指标1：中央支持地方高校改革专项市级配套的比率</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按10%配套，全年共计100万元</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100万</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项目效益</w:t>
            </w: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指标1：项目实施覆盖受益学生数占学校总学生比比例</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大于或等宇45%</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46%</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510" w:type="dxa"/>
            <w:gridSpan w:val="2"/>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指标1：学生满意度</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91" w:type="dxa"/>
          <w:trHeight w:val="435"/>
        </w:trPr>
        <w:tc>
          <w:tcPr>
            <w:tcW w:w="637"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gridSpan w:val="2"/>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gridSpan w:val="2"/>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839"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5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37"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076" w:type="dxa"/>
            <w:gridSpan w:val="2"/>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528"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bl>
    <w:p w:rsidR="00501310" w:rsidRDefault="00501310">
      <w:pPr>
        <w:rPr>
          <w:rFonts w:ascii="仿宋_GB2312" w:eastAsia="仿宋_GB2312" w:hAnsi="仿宋_GB2312" w:cs="仿宋_GB2312"/>
          <w:sz w:val="32"/>
          <w:szCs w:val="32"/>
        </w:rPr>
      </w:pPr>
    </w:p>
    <w:tbl>
      <w:tblPr>
        <w:tblW w:w="9902" w:type="dxa"/>
        <w:tblInd w:w="93" w:type="dxa"/>
        <w:tblLook w:val="0000" w:firstRow="0" w:lastRow="0" w:firstColumn="0" w:lastColumn="0" w:noHBand="0" w:noVBand="0"/>
      </w:tblPr>
      <w:tblGrid>
        <w:gridCol w:w="1080"/>
        <w:gridCol w:w="1400"/>
        <w:gridCol w:w="696"/>
        <w:gridCol w:w="2497"/>
        <w:gridCol w:w="1787"/>
        <w:gridCol w:w="847"/>
        <w:gridCol w:w="816"/>
        <w:gridCol w:w="457"/>
        <w:gridCol w:w="322"/>
      </w:tblGrid>
      <w:tr w:rsidR="00501310">
        <w:trPr>
          <w:trHeight w:val="405"/>
        </w:trPr>
        <w:tc>
          <w:tcPr>
            <w:tcW w:w="9902" w:type="dxa"/>
            <w:gridSpan w:val="9"/>
            <w:tcBorders>
              <w:top w:val="nil"/>
              <w:left w:val="nil"/>
              <w:bottom w:val="nil"/>
              <w:right w:val="nil"/>
            </w:tcBorders>
            <w:vAlign w:val="center"/>
          </w:tcPr>
          <w:tbl>
            <w:tblPr>
              <w:tblW w:w="9500" w:type="dxa"/>
              <w:tblInd w:w="0" w:type="dxa"/>
              <w:tblLook w:val="0000" w:firstRow="0" w:lastRow="0" w:firstColumn="0" w:lastColumn="0" w:noHBand="0" w:noVBand="0"/>
            </w:tblPr>
            <w:tblGrid>
              <w:gridCol w:w="729"/>
              <w:gridCol w:w="716"/>
              <w:gridCol w:w="696"/>
              <w:gridCol w:w="2439"/>
              <w:gridCol w:w="1965"/>
              <w:gridCol w:w="1125"/>
              <w:gridCol w:w="1338"/>
              <w:gridCol w:w="492"/>
            </w:tblGrid>
            <w:tr w:rsidR="00501310">
              <w:trPr>
                <w:trHeight w:val="675"/>
              </w:trPr>
              <w:tc>
                <w:tcPr>
                  <w:tcW w:w="9500" w:type="dxa"/>
                  <w:gridSpan w:val="8"/>
                  <w:tcBorders>
                    <w:top w:val="nil"/>
                    <w:left w:val="nil"/>
                    <w:bottom w:val="nil"/>
                    <w:right w:val="nil"/>
                  </w:tcBorders>
                  <w:vAlign w:val="center"/>
                </w:tcPr>
                <w:p w:rsidR="00501310" w:rsidRDefault="00501310">
                  <w:pPr>
                    <w:widowControl/>
                    <w:jc w:val="center"/>
                    <w:rPr>
                      <w:rFonts w:ascii="宋体" w:hAnsi="宋体" w:cs="宋体"/>
                      <w:b/>
                      <w:bCs/>
                      <w:kern w:val="0"/>
                      <w:sz w:val="32"/>
                      <w:szCs w:val="32"/>
                    </w:rPr>
                  </w:pPr>
                  <w:r>
                    <w:rPr>
                      <w:rFonts w:ascii="宋体" w:hAnsi="宋体" w:cs="宋体" w:hint="eastAsia"/>
                      <w:b/>
                      <w:bCs/>
                      <w:kern w:val="0"/>
                      <w:sz w:val="32"/>
                      <w:szCs w:val="32"/>
                    </w:rPr>
                    <w:t>专项（项目）资金绩效自评表</w:t>
                  </w:r>
                </w:p>
              </w:tc>
            </w:tr>
            <w:tr w:rsidR="00501310">
              <w:trPr>
                <w:trHeight w:val="285"/>
              </w:trPr>
              <w:tc>
                <w:tcPr>
                  <w:tcW w:w="9500" w:type="dxa"/>
                  <w:gridSpan w:val="8"/>
                  <w:tcBorders>
                    <w:top w:val="nil"/>
                    <w:left w:val="nil"/>
                    <w:bottom w:val="nil"/>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r>
                    <w:rPr>
                      <w:kern w:val="0"/>
                      <w:sz w:val="24"/>
                    </w:rPr>
                    <w:t>2020</w:t>
                  </w:r>
                  <w:r>
                    <w:rPr>
                      <w:rFonts w:ascii="宋体" w:hAnsi="宋体" w:cs="宋体" w:hint="eastAsia"/>
                      <w:kern w:val="0"/>
                      <w:sz w:val="24"/>
                    </w:rPr>
                    <w:t>年度）</w:t>
                  </w:r>
                </w:p>
              </w:tc>
            </w:tr>
            <w:tr w:rsidR="00501310">
              <w:trPr>
                <w:trHeight w:val="435"/>
              </w:trPr>
              <w:tc>
                <w:tcPr>
                  <w:tcW w:w="729" w:type="dxa"/>
                  <w:tcBorders>
                    <w:top w:val="nil"/>
                    <w:left w:val="nil"/>
                    <w:bottom w:val="single" w:sz="4" w:space="0" w:color="auto"/>
                    <w:right w:val="nil"/>
                  </w:tcBorders>
                  <w:noWrap/>
                  <w:vAlign w:val="center"/>
                </w:tcPr>
                <w:p w:rsidR="00501310" w:rsidRDefault="00501310">
                  <w:pPr>
                    <w:widowControl/>
                    <w:jc w:val="left"/>
                    <w:rPr>
                      <w:rFonts w:ascii="宋体" w:hAnsi="宋体" w:cs="宋体"/>
                      <w:kern w:val="0"/>
                      <w:sz w:val="24"/>
                    </w:rPr>
                  </w:pPr>
                  <w:r>
                    <w:rPr>
                      <w:rFonts w:ascii="宋体" w:hAnsi="宋体" w:cs="宋体" w:hint="eastAsia"/>
                      <w:kern w:val="0"/>
                      <w:sz w:val="24"/>
                    </w:rPr>
                    <w:lastRenderedPageBreak/>
                    <w:t xml:space="preserve">　</w:t>
                  </w:r>
                </w:p>
              </w:tc>
              <w:tc>
                <w:tcPr>
                  <w:tcW w:w="728" w:type="dxa"/>
                  <w:tcBorders>
                    <w:top w:val="nil"/>
                    <w:left w:val="nil"/>
                    <w:bottom w:val="single" w:sz="4" w:space="0" w:color="auto"/>
                    <w:right w:val="nil"/>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510"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512"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022"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144"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361"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494" w:type="dxa"/>
                  <w:tcBorders>
                    <w:top w:val="nil"/>
                    <w:left w:val="nil"/>
                    <w:bottom w:val="nil"/>
                    <w:right w:val="nil"/>
                  </w:tcBorders>
                  <w:vAlign w:val="center"/>
                </w:tcPr>
                <w:p w:rsidR="00501310" w:rsidRDefault="00501310">
                  <w:pPr>
                    <w:widowControl/>
                    <w:jc w:val="left"/>
                    <w:rPr>
                      <w:rFonts w:ascii="宋体" w:hAnsi="宋体" w:cs="宋体"/>
                      <w:kern w:val="0"/>
                      <w:sz w:val="24"/>
                    </w:rPr>
                  </w:pPr>
                </w:p>
              </w:tc>
            </w:tr>
            <w:tr w:rsidR="00501310">
              <w:trPr>
                <w:trHeight w:val="439"/>
              </w:trPr>
              <w:tc>
                <w:tcPr>
                  <w:tcW w:w="1967"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专项（项目）名称</w:t>
                  </w:r>
                </w:p>
              </w:tc>
              <w:tc>
                <w:tcPr>
                  <w:tcW w:w="7533"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财政2020年度学生专项拨款</w:t>
                  </w:r>
                </w:p>
              </w:tc>
            </w:tr>
            <w:tr w:rsidR="00501310">
              <w:trPr>
                <w:trHeight w:val="439"/>
              </w:trPr>
              <w:tc>
                <w:tcPr>
                  <w:tcW w:w="1967"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项目主管单位</w:t>
                  </w:r>
                </w:p>
              </w:tc>
              <w:tc>
                <w:tcPr>
                  <w:tcW w:w="7533"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攀枝花市财政局</w:t>
                  </w:r>
                </w:p>
              </w:tc>
            </w:tr>
            <w:tr w:rsidR="00501310">
              <w:trPr>
                <w:trHeight w:val="439"/>
              </w:trPr>
              <w:tc>
                <w:tcPr>
                  <w:tcW w:w="1967" w:type="dxa"/>
                  <w:gridSpan w:val="3"/>
                  <w:tcBorders>
                    <w:top w:val="single" w:sz="4" w:space="0" w:color="auto"/>
                    <w:left w:val="single" w:sz="4" w:space="0" w:color="auto"/>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项目实施单位</w:t>
                  </w:r>
                </w:p>
              </w:tc>
              <w:tc>
                <w:tcPr>
                  <w:tcW w:w="7533"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攀枝花学院</w:t>
                  </w:r>
                </w:p>
              </w:tc>
            </w:tr>
            <w:tr w:rsidR="00501310">
              <w:trPr>
                <w:trHeight w:val="439"/>
              </w:trPr>
              <w:tc>
                <w:tcPr>
                  <w:tcW w:w="1967" w:type="dxa"/>
                  <w:gridSpan w:val="3"/>
                  <w:vMerge w:val="restart"/>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251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全年预算数</w:t>
                  </w:r>
                </w:p>
              </w:tc>
              <w:tc>
                <w:tcPr>
                  <w:tcW w:w="1144"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1855"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执行率（%）</w:t>
                  </w:r>
                </w:p>
              </w:tc>
            </w:tr>
            <w:tr w:rsidR="00501310">
              <w:trPr>
                <w:trHeight w:val="439"/>
              </w:trPr>
              <w:tc>
                <w:tcPr>
                  <w:tcW w:w="1967"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年度资金总额：</w:t>
                  </w:r>
                </w:p>
              </w:tc>
              <w:tc>
                <w:tcPr>
                  <w:tcW w:w="202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500</w:t>
                  </w:r>
                </w:p>
              </w:tc>
              <w:tc>
                <w:tcPr>
                  <w:tcW w:w="1144"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500</w:t>
                  </w:r>
                </w:p>
              </w:tc>
              <w:tc>
                <w:tcPr>
                  <w:tcW w:w="1855"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1967"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202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855"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1967"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本级财政资金</w:t>
                  </w:r>
                </w:p>
              </w:tc>
              <w:tc>
                <w:tcPr>
                  <w:tcW w:w="202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500</w:t>
                  </w:r>
                </w:p>
              </w:tc>
              <w:tc>
                <w:tcPr>
                  <w:tcW w:w="1144"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500</w:t>
                  </w:r>
                </w:p>
              </w:tc>
              <w:tc>
                <w:tcPr>
                  <w:tcW w:w="1855"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trHeight w:val="439"/>
              </w:trPr>
              <w:tc>
                <w:tcPr>
                  <w:tcW w:w="1967"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其他资金</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855"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trHeight w:val="439"/>
              </w:trPr>
              <w:tc>
                <w:tcPr>
                  <w:tcW w:w="729" w:type="dxa"/>
                  <w:vMerge w:val="restart"/>
                  <w:tcBorders>
                    <w:top w:val="nil"/>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3750" w:type="dxa"/>
                  <w:gridSpan w:val="3"/>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年度设定目标</w:t>
                  </w:r>
                </w:p>
              </w:tc>
              <w:tc>
                <w:tcPr>
                  <w:tcW w:w="5021" w:type="dxa"/>
                  <w:gridSpan w:val="4"/>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实际完成情况</w:t>
                  </w:r>
                </w:p>
              </w:tc>
            </w:tr>
            <w:tr w:rsidR="00501310">
              <w:trPr>
                <w:trHeight w:val="1590"/>
              </w:trPr>
              <w:tc>
                <w:tcPr>
                  <w:tcW w:w="729" w:type="dxa"/>
                  <w:vMerge/>
                  <w:tcBorders>
                    <w:top w:val="nil"/>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3750" w:type="dxa"/>
                  <w:gridSpan w:val="3"/>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br/>
                    <w:t>学生实践教学、学科竞赛、创新实验等教学工作</w:t>
                  </w:r>
                </w:p>
              </w:tc>
              <w:tc>
                <w:tcPr>
                  <w:tcW w:w="5021" w:type="dxa"/>
                  <w:gridSpan w:val="4"/>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学生实践教学、学科竞赛、创新实验等教学工作，本年学生参加实践教学4500人，学科竞赛150项；创新实验项目部340项</w:t>
                  </w:r>
                </w:p>
              </w:tc>
            </w:tr>
            <w:tr w:rsidR="00501310">
              <w:trPr>
                <w:trHeight w:val="570"/>
              </w:trPr>
              <w:tc>
                <w:tcPr>
                  <w:tcW w:w="729"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728" w:type="dxa"/>
                  <w:tcBorders>
                    <w:top w:val="nil"/>
                    <w:left w:val="nil"/>
                    <w:bottom w:val="nil"/>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510"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二级指标</w:t>
                  </w:r>
                </w:p>
              </w:tc>
              <w:tc>
                <w:tcPr>
                  <w:tcW w:w="251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三级指标</w:t>
                  </w:r>
                </w:p>
              </w:tc>
              <w:tc>
                <w:tcPr>
                  <w:tcW w:w="2022"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年度指标值</w:t>
                  </w:r>
                </w:p>
              </w:tc>
              <w:tc>
                <w:tcPr>
                  <w:tcW w:w="1144"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1361"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完成率（%）</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未完成原因和改进措施</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val="restart"/>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项目完成</w:t>
                  </w: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数量指标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指标1：学生参加实践教学人数</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4500人</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4500人</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指标2：学科竞赛项目</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150项</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150项</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指标3：创新实验项目</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340项</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340项</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质量指标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指标1：省级及以上项目比率</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30%</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30%</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时效指标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指标1：完成时间</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2020年1-12月</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成本指标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指标1：实践教学生均成本</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生均成本520元，全年共计234万元</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指标2：创新实验项目</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2万元/国家级项目，1/省级项目，0.3万元/校级项目，全年共计266万元</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项目效益</w:t>
                  </w: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指标1：项目实施覆盖收益学生数占学校总学生数比例</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大于等于45%</w:t>
                  </w:r>
                </w:p>
              </w:tc>
              <w:tc>
                <w:tcPr>
                  <w:tcW w:w="1144"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46%</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51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指标1：学生满意度</w:t>
                  </w:r>
                </w:p>
              </w:tc>
              <w:tc>
                <w:tcPr>
                  <w:tcW w:w="2022"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144"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1361"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trHeight w:val="435"/>
              </w:trPr>
              <w:tc>
                <w:tcPr>
                  <w:tcW w:w="729"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728"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510"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51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2022"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14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361"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94"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bl>
          <w:p w:rsidR="00501310" w:rsidRDefault="00501310">
            <w:pPr>
              <w:widowControl/>
              <w:rPr>
                <w:rFonts w:ascii="宋体" w:hAnsi="宋体" w:cs="宋体" w:hint="eastAsia"/>
                <w:b/>
                <w:bCs/>
                <w:kern w:val="0"/>
                <w:sz w:val="32"/>
                <w:szCs w:val="32"/>
              </w:rPr>
            </w:pPr>
          </w:p>
          <w:p w:rsidR="00501310" w:rsidRDefault="00501310">
            <w:pPr>
              <w:widowControl/>
              <w:jc w:val="center"/>
              <w:rPr>
                <w:rFonts w:ascii="宋体" w:hAnsi="宋体" w:cs="宋体"/>
                <w:b/>
                <w:bCs/>
                <w:kern w:val="0"/>
                <w:sz w:val="32"/>
                <w:szCs w:val="32"/>
              </w:rPr>
            </w:pPr>
          </w:p>
        </w:tc>
      </w:tr>
      <w:tr w:rsidR="00501310">
        <w:trPr>
          <w:gridAfter w:val="1"/>
          <w:wAfter w:w="322" w:type="dxa"/>
          <w:trHeight w:val="405"/>
        </w:trPr>
        <w:tc>
          <w:tcPr>
            <w:tcW w:w="9580" w:type="dxa"/>
            <w:gridSpan w:val="8"/>
            <w:tcBorders>
              <w:top w:val="nil"/>
              <w:left w:val="nil"/>
              <w:bottom w:val="nil"/>
              <w:right w:val="nil"/>
            </w:tcBorders>
            <w:vAlign w:val="center"/>
          </w:tcPr>
          <w:p w:rsidR="00501310" w:rsidRDefault="00501310">
            <w:pPr>
              <w:widowControl/>
              <w:jc w:val="center"/>
              <w:rPr>
                <w:rFonts w:ascii="宋体" w:hAnsi="宋体" w:cs="宋体"/>
                <w:b/>
                <w:bCs/>
                <w:kern w:val="0"/>
                <w:sz w:val="32"/>
                <w:szCs w:val="32"/>
              </w:rPr>
            </w:pPr>
            <w:r>
              <w:rPr>
                <w:rFonts w:ascii="宋体" w:hAnsi="宋体" w:cs="宋体" w:hint="eastAsia"/>
                <w:b/>
                <w:bCs/>
                <w:kern w:val="0"/>
                <w:sz w:val="32"/>
                <w:szCs w:val="32"/>
              </w:rPr>
              <w:lastRenderedPageBreak/>
              <w:t>专项（项目）资金绩效自评表</w:t>
            </w:r>
          </w:p>
        </w:tc>
      </w:tr>
      <w:tr w:rsidR="00501310">
        <w:trPr>
          <w:gridAfter w:val="1"/>
          <w:wAfter w:w="322" w:type="dxa"/>
          <w:trHeight w:val="285"/>
        </w:trPr>
        <w:tc>
          <w:tcPr>
            <w:tcW w:w="9580" w:type="dxa"/>
            <w:gridSpan w:val="8"/>
            <w:tcBorders>
              <w:top w:val="nil"/>
              <w:left w:val="nil"/>
              <w:bottom w:val="nil"/>
              <w:right w:val="nil"/>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r>
              <w:rPr>
                <w:kern w:val="0"/>
                <w:sz w:val="24"/>
              </w:rPr>
              <w:t>2020</w:t>
            </w:r>
            <w:r>
              <w:rPr>
                <w:rFonts w:ascii="宋体" w:hAnsi="宋体" w:cs="宋体" w:hint="eastAsia"/>
                <w:kern w:val="0"/>
                <w:sz w:val="24"/>
              </w:rPr>
              <w:t>年度）</w:t>
            </w:r>
          </w:p>
        </w:tc>
      </w:tr>
      <w:tr w:rsidR="00501310">
        <w:trPr>
          <w:gridAfter w:val="1"/>
          <w:wAfter w:w="322" w:type="dxa"/>
          <w:trHeight w:val="285"/>
        </w:trPr>
        <w:tc>
          <w:tcPr>
            <w:tcW w:w="1080" w:type="dxa"/>
            <w:tcBorders>
              <w:top w:val="nil"/>
              <w:left w:val="nil"/>
              <w:bottom w:val="single" w:sz="4" w:space="0" w:color="auto"/>
              <w:right w:val="nil"/>
            </w:tcBorders>
            <w:noWrap/>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400" w:type="dxa"/>
            <w:tcBorders>
              <w:top w:val="nil"/>
              <w:left w:val="nil"/>
              <w:bottom w:val="single" w:sz="4" w:space="0" w:color="auto"/>
              <w:right w:val="nil"/>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69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2497"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1787"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47"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816" w:type="dxa"/>
            <w:tcBorders>
              <w:top w:val="nil"/>
              <w:left w:val="nil"/>
              <w:bottom w:val="nil"/>
              <w:right w:val="nil"/>
            </w:tcBorders>
            <w:vAlign w:val="center"/>
          </w:tcPr>
          <w:p w:rsidR="00501310" w:rsidRDefault="00501310">
            <w:pPr>
              <w:widowControl/>
              <w:jc w:val="left"/>
              <w:rPr>
                <w:rFonts w:ascii="宋体" w:hAnsi="宋体" w:cs="宋体"/>
                <w:kern w:val="0"/>
                <w:sz w:val="24"/>
              </w:rPr>
            </w:pPr>
          </w:p>
        </w:tc>
        <w:tc>
          <w:tcPr>
            <w:tcW w:w="457" w:type="dxa"/>
            <w:tcBorders>
              <w:top w:val="nil"/>
              <w:left w:val="nil"/>
              <w:bottom w:val="nil"/>
              <w:right w:val="nil"/>
            </w:tcBorders>
            <w:vAlign w:val="center"/>
          </w:tcPr>
          <w:p w:rsidR="00501310" w:rsidRDefault="00501310">
            <w:pPr>
              <w:widowControl/>
              <w:jc w:val="left"/>
              <w:rPr>
                <w:rFonts w:ascii="宋体" w:hAnsi="宋体" w:cs="宋体"/>
                <w:kern w:val="0"/>
                <w:sz w:val="24"/>
              </w:rPr>
            </w:pPr>
          </w:p>
        </w:tc>
      </w:tr>
      <w:tr w:rsidR="00501310">
        <w:trPr>
          <w:gridAfter w:val="1"/>
          <w:wAfter w:w="322" w:type="dxa"/>
          <w:trHeight w:val="439"/>
        </w:trPr>
        <w:tc>
          <w:tcPr>
            <w:tcW w:w="3176"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专项（项目）名称</w:t>
            </w:r>
          </w:p>
        </w:tc>
        <w:tc>
          <w:tcPr>
            <w:tcW w:w="6404"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教育收费支出 地方高水平特色大学师资队伍建设</w:t>
            </w:r>
          </w:p>
        </w:tc>
      </w:tr>
      <w:tr w:rsidR="00501310">
        <w:trPr>
          <w:gridAfter w:val="1"/>
          <w:wAfter w:w="322" w:type="dxa"/>
          <w:trHeight w:val="439"/>
        </w:trPr>
        <w:tc>
          <w:tcPr>
            <w:tcW w:w="3176" w:type="dxa"/>
            <w:gridSpan w:val="3"/>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项目主管单位</w:t>
            </w:r>
          </w:p>
        </w:tc>
        <w:tc>
          <w:tcPr>
            <w:tcW w:w="6404" w:type="dxa"/>
            <w:gridSpan w:val="5"/>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攀枝花市财政局</w:t>
            </w:r>
          </w:p>
        </w:tc>
      </w:tr>
      <w:tr w:rsidR="00501310">
        <w:trPr>
          <w:gridAfter w:val="1"/>
          <w:wAfter w:w="322" w:type="dxa"/>
          <w:trHeight w:val="439"/>
        </w:trPr>
        <w:tc>
          <w:tcPr>
            <w:tcW w:w="3176" w:type="dxa"/>
            <w:gridSpan w:val="3"/>
            <w:tcBorders>
              <w:top w:val="single" w:sz="4" w:space="0" w:color="auto"/>
              <w:left w:val="single" w:sz="4" w:space="0" w:color="auto"/>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项目实施单位</w:t>
            </w:r>
          </w:p>
        </w:tc>
        <w:tc>
          <w:tcPr>
            <w:tcW w:w="6404" w:type="dxa"/>
            <w:gridSpan w:val="5"/>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攀枝花学院</w:t>
            </w:r>
          </w:p>
        </w:tc>
      </w:tr>
      <w:tr w:rsidR="00501310">
        <w:trPr>
          <w:gridAfter w:val="1"/>
          <w:wAfter w:w="322" w:type="dxa"/>
          <w:trHeight w:val="439"/>
        </w:trPr>
        <w:tc>
          <w:tcPr>
            <w:tcW w:w="3176" w:type="dxa"/>
            <w:gridSpan w:val="3"/>
            <w:vMerge w:val="restart"/>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24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全年预算数</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1273"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执行率（%）</w:t>
            </w:r>
          </w:p>
        </w:tc>
      </w:tr>
      <w:tr w:rsidR="00501310">
        <w:trPr>
          <w:gridAfter w:val="1"/>
          <w:wAfter w:w="322" w:type="dxa"/>
          <w:trHeight w:val="439"/>
        </w:trPr>
        <w:tc>
          <w:tcPr>
            <w:tcW w:w="3176"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年度资金总额：</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1273"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gridAfter w:val="1"/>
          <w:wAfter w:w="322" w:type="dxa"/>
          <w:trHeight w:val="439"/>
        </w:trPr>
        <w:tc>
          <w:tcPr>
            <w:tcW w:w="3176"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1273"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9"/>
        </w:trPr>
        <w:tc>
          <w:tcPr>
            <w:tcW w:w="3176"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本级财政资金</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50</w:t>
            </w:r>
          </w:p>
        </w:tc>
        <w:tc>
          <w:tcPr>
            <w:tcW w:w="1273"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r>
      <w:tr w:rsidR="00501310">
        <w:trPr>
          <w:gridAfter w:val="1"/>
          <w:wAfter w:w="322" w:type="dxa"/>
          <w:trHeight w:val="439"/>
        </w:trPr>
        <w:tc>
          <w:tcPr>
            <w:tcW w:w="3176" w:type="dxa"/>
            <w:gridSpan w:val="3"/>
            <w:vMerge/>
            <w:tcBorders>
              <w:top w:val="single" w:sz="4" w:space="0" w:color="auto"/>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其他资金</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273" w:type="dxa"/>
            <w:gridSpan w:val="2"/>
            <w:tcBorders>
              <w:top w:val="single" w:sz="4" w:space="0" w:color="auto"/>
              <w:left w:val="nil"/>
              <w:bottom w:val="single" w:sz="4" w:space="0" w:color="auto"/>
              <w:right w:val="single" w:sz="4" w:space="0" w:color="000000"/>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9"/>
        </w:trPr>
        <w:tc>
          <w:tcPr>
            <w:tcW w:w="1080" w:type="dxa"/>
            <w:vMerge w:val="restart"/>
            <w:tcBorders>
              <w:top w:val="nil"/>
              <w:left w:val="single" w:sz="4" w:space="0" w:color="auto"/>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4593" w:type="dxa"/>
            <w:gridSpan w:val="3"/>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年度设定目标</w:t>
            </w:r>
          </w:p>
        </w:tc>
        <w:tc>
          <w:tcPr>
            <w:tcW w:w="3907" w:type="dxa"/>
            <w:gridSpan w:val="4"/>
            <w:tcBorders>
              <w:top w:val="single" w:sz="4" w:space="0" w:color="auto"/>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实际完成情况</w:t>
            </w:r>
          </w:p>
        </w:tc>
      </w:tr>
      <w:tr w:rsidR="00501310">
        <w:trPr>
          <w:gridAfter w:val="1"/>
          <w:wAfter w:w="322" w:type="dxa"/>
          <w:trHeight w:val="1245"/>
        </w:trPr>
        <w:tc>
          <w:tcPr>
            <w:tcW w:w="1080" w:type="dxa"/>
            <w:vMerge/>
            <w:tcBorders>
              <w:top w:val="nil"/>
              <w:left w:val="single" w:sz="4" w:space="0" w:color="auto"/>
              <w:bottom w:val="single" w:sz="4" w:space="0" w:color="auto"/>
              <w:right w:val="single" w:sz="4" w:space="0" w:color="auto"/>
            </w:tcBorders>
            <w:vAlign w:val="center"/>
          </w:tcPr>
          <w:p w:rsidR="00501310" w:rsidRDefault="00501310">
            <w:pPr>
              <w:widowControl/>
              <w:jc w:val="left"/>
              <w:rPr>
                <w:rFonts w:ascii="宋体" w:hAnsi="宋体" w:cs="宋体"/>
                <w:kern w:val="0"/>
                <w:sz w:val="24"/>
              </w:rPr>
            </w:pPr>
          </w:p>
        </w:tc>
        <w:tc>
          <w:tcPr>
            <w:tcW w:w="4593" w:type="dxa"/>
            <w:gridSpan w:val="3"/>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br/>
              <w:t>完成师资队伍培训，提高教学科研水平，服务学生和地方</w:t>
            </w:r>
          </w:p>
        </w:tc>
        <w:tc>
          <w:tcPr>
            <w:tcW w:w="3907" w:type="dxa"/>
            <w:gridSpan w:val="4"/>
            <w:tcBorders>
              <w:top w:val="single" w:sz="4" w:space="0" w:color="auto"/>
              <w:left w:val="nil"/>
              <w:bottom w:val="single" w:sz="4" w:space="0" w:color="auto"/>
              <w:right w:val="single" w:sz="4" w:space="0" w:color="auto"/>
            </w:tcBorders>
          </w:tcPr>
          <w:p w:rsidR="00501310" w:rsidRDefault="00501310">
            <w:pPr>
              <w:widowControl/>
              <w:jc w:val="center"/>
              <w:rPr>
                <w:rFonts w:ascii="宋体" w:hAnsi="宋体" w:cs="宋体"/>
                <w:kern w:val="0"/>
                <w:sz w:val="24"/>
              </w:rPr>
            </w:pPr>
            <w:r>
              <w:rPr>
                <w:rFonts w:ascii="宋体" w:hAnsi="宋体" w:cs="宋体" w:hint="eastAsia"/>
                <w:kern w:val="0"/>
                <w:sz w:val="24"/>
              </w:rPr>
              <w:t xml:space="preserve">教师培训人次60人次，教师培训合格率100%。 </w:t>
            </w:r>
          </w:p>
        </w:tc>
      </w:tr>
      <w:tr w:rsidR="00501310">
        <w:trPr>
          <w:gridAfter w:val="1"/>
          <w:wAfter w:w="322" w:type="dxa"/>
          <w:trHeight w:val="435"/>
        </w:trPr>
        <w:tc>
          <w:tcPr>
            <w:tcW w:w="108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1400" w:type="dxa"/>
            <w:tcBorders>
              <w:top w:val="nil"/>
              <w:left w:val="nil"/>
              <w:bottom w:val="nil"/>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二级指标</w:t>
            </w:r>
          </w:p>
        </w:tc>
        <w:tc>
          <w:tcPr>
            <w:tcW w:w="249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三级指标</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年度指标值</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实际完成数</w:t>
            </w:r>
          </w:p>
        </w:tc>
        <w:tc>
          <w:tcPr>
            <w:tcW w:w="81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完成率（%）</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未完成原因和改进措施</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val="restart"/>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项目完成</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数量指标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指标1：教师培训人次</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60人次</w:t>
            </w:r>
          </w:p>
        </w:tc>
        <w:tc>
          <w:tcPr>
            <w:tcW w:w="84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60人次</w:t>
            </w:r>
          </w:p>
        </w:tc>
        <w:tc>
          <w:tcPr>
            <w:tcW w:w="816" w:type="dxa"/>
            <w:tcBorders>
              <w:top w:val="nil"/>
              <w:left w:val="nil"/>
              <w:bottom w:val="single" w:sz="4" w:space="0" w:color="auto"/>
              <w:right w:val="single" w:sz="4" w:space="0" w:color="auto"/>
            </w:tcBorders>
            <w:noWrap/>
            <w:vAlign w:val="bottom"/>
          </w:tcPr>
          <w:p w:rsidR="00501310" w:rsidRDefault="00501310">
            <w:pPr>
              <w:widowControl/>
              <w:jc w:val="right"/>
              <w:rPr>
                <w:rFonts w:ascii="宋体" w:hAnsi="宋体" w:cs="宋体"/>
                <w:color w:val="000000"/>
                <w:kern w:val="0"/>
                <w:sz w:val="22"/>
                <w:szCs w:val="22"/>
              </w:rPr>
            </w:pPr>
            <w:r>
              <w:rPr>
                <w:rFonts w:ascii="宋体" w:hAnsi="宋体" w:cs="宋体" w:hint="eastAsia"/>
                <w:color w:val="000000"/>
                <w:kern w:val="0"/>
                <w:sz w:val="22"/>
                <w:szCs w:val="22"/>
              </w:rPr>
              <w:t>100%</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noWrap/>
            <w:vAlign w:val="bottom"/>
          </w:tcPr>
          <w:p w:rsidR="00501310" w:rsidRDefault="0050131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noWrap/>
            <w:vAlign w:val="bottom"/>
          </w:tcPr>
          <w:p w:rsidR="00501310" w:rsidRDefault="0050131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质量指标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指标1：教师培训合格率</w:t>
            </w:r>
          </w:p>
        </w:tc>
        <w:tc>
          <w:tcPr>
            <w:tcW w:w="1787"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100%</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noWrap/>
            <w:vAlign w:val="bottom"/>
          </w:tcPr>
          <w:p w:rsidR="00501310" w:rsidRDefault="0050131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时效指标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指标1：完成时间</w:t>
            </w:r>
          </w:p>
        </w:tc>
        <w:tc>
          <w:tcPr>
            <w:tcW w:w="1787"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2020年12月31日</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成本指标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指标1：培训成本</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8000元/人/次，全年预计50万元</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single" w:sz="4" w:space="0" w:color="auto"/>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项目效益</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指标1：教学科研水平</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提高教学科研水平，服务学生和地方</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696" w:type="dxa"/>
            <w:vMerge w:val="restart"/>
            <w:tcBorders>
              <w:top w:val="nil"/>
              <w:left w:val="single" w:sz="4" w:space="0" w:color="auto"/>
              <w:bottom w:val="single" w:sz="4" w:space="0" w:color="000000"/>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满意度指标</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指标1：教师满意度</w:t>
            </w:r>
          </w:p>
        </w:tc>
        <w:tc>
          <w:tcPr>
            <w:tcW w:w="1787"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47"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816" w:type="dxa"/>
            <w:tcBorders>
              <w:top w:val="nil"/>
              <w:left w:val="nil"/>
              <w:bottom w:val="single" w:sz="4" w:space="0" w:color="auto"/>
              <w:right w:val="single" w:sz="4" w:space="0" w:color="auto"/>
            </w:tcBorders>
            <w:vAlign w:val="center"/>
          </w:tcPr>
          <w:p w:rsidR="00501310" w:rsidRDefault="00501310">
            <w:pPr>
              <w:widowControl/>
              <w:jc w:val="right"/>
              <w:rPr>
                <w:rFonts w:ascii="宋体" w:hAnsi="宋体" w:cs="宋体"/>
                <w:kern w:val="0"/>
                <w:sz w:val="24"/>
              </w:rPr>
            </w:pPr>
            <w:r>
              <w:rPr>
                <w:rFonts w:ascii="宋体" w:hAnsi="宋体" w:cs="宋体" w:hint="eastAsia"/>
                <w:kern w:val="0"/>
                <w:sz w:val="24"/>
              </w:rPr>
              <w:t>100%</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指标2：</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r w:rsidR="00501310">
        <w:trPr>
          <w:gridAfter w:val="1"/>
          <w:wAfter w:w="322" w:type="dxa"/>
          <w:trHeight w:val="435"/>
        </w:trPr>
        <w:tc>
          <w:tcPr>
            <w:tcW w:w="108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1400" w:type="dxa"/>
            <w:vMerge/>
            <w:tcBorders>
              <w:top w:val="nil"/>
              <w:left w:val="single" w:sz="4" w:space="0" w:color="auto"/>
              <w:bottom w:val="single" w:sz="4" w:space="0" w:color="000000"/>
              <w:right w:val="single" w:sz="4" w:space="0" w:color="auto"/>
            </w:tcBorders>
            <w:vAlign w:val="center"/>
          </w:tcPr>
          <w:p w:rsidR="00501310" w:rsidRDefault="00501310">
            <w:pPr>
              <w:widowControl/>
              <w:jc w:val="left"/>
              <w:rPr>
                <w:rFonts w:ascii="宋体" w:hAnsi="宋体" w:cs="宋体"/>
                <w:kern w:val="0"/>
                <w:sz w:val="24"/>
              </w:rPr>
            </w:pPr>
          </w:p>
        </w:tc>
        <w:tc>
          <w:tcPr>
            <w:tcW w:w="696" w:type="dxa"/>
            <w:tcBorders>
              <w:top w:val="nil"/>
              <w:left w:val="nil"/>
              <w:bottom w:val="single" w:sz="4" w:space="0" w:color="auto"/>
              <w:right w:val="single" w:sz="4" w:space="0" w:color="auto"/>
            </w:tcBorders>
            <w:vAlign w:val="center"/>
          </w:tcPr>
          <w:p w:rsidR="00501310" w:rsidRDefault="00501310">
            <w:pPr>
              <w:widowControl/>
              <w:jc w:val="center"/>
              <w:rPr>
                <w:rFonts w:ascii="宋体" w:hAnsi="宋体" w:cs="宋体"/>
                <w:kern w:val="0"/>
                <w:sz w:val="24"/>
              </w:rPr>
            </w:pPr>
            <w:r>
              <w:rPr>
                <w:rFonts w:ascii="宋体" w:hAnsi="宋体" w:cs="宋体" w:hint="eastAsia"/>
                <w:kern w:val="0"/>
                <w:sz w:val="24"/>
              </w:rPr>
              <w:t>……</w:t>
            </w:r>
          </w:p>
        </w:tc>
        <w:tc>
          <w:tcPr>
            <w:tcW w:w="249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178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4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816"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c>
          <w:tcPr>
            <w:tcW w:w="457" w:type="dxa"/>
            <w:tcBorders>
              <w:top w:val="nil"/>
              <w:left w:val="nil"/>
              <w:bottom w:val="single" w:sz="4" w:space="0" w:color="auto"/>
              <w:right w:val="single" w:sz="4" w:space="0" w:color="auto"/>
            </w:tcBorders>
            <w:vAlign w:val="center"/>
          </w:tcPr>
          <w:p w:rsidR="00501310" w:rsidRDefault="00501310">
            <w:pPr>
              <w:widowControl/>
              <w:jc w:val="left"/>
              <w:rPr>
                <w:rFonts w:ascii="宋体" w:hAnsi="宋体" w:cs="宋体"/>
                <w:kern w:val="0"/>
                <w:sz w:val="24"/>
              </w:rPr>
            </w:pPr>
            <w:r>
              <w:rPr>
                <w:rFonts w:ascii="宋体" w:hAnsi="宋体" w:cs="宋体" w:hint="eastAsia"/>
                <w:kern w:val="0"/>
                <w:sz w:val="24"/>
              </w:rPr>
              <w:t xml:space="preserve">　</w:t>
            </w:r>
          </w:p>
        </w:tc>
      </w:tr>
    </w:tbl>
    <w:p w:rsidR="00501310" w:rsidRDefault="00501310">
      <w:pPr>
        <w:ind w:left="63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2.部门绩效评价结果。</w:t>
      </w:r>
    </w:p>
    <w:p w:rsidR="00501310" w:rsidRDefault="00501310">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年部门整体支出绩效评价情况开展自评，《攀枝花学院</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w:t>
      </w:r>
      <w:r>
        <w:rPr>
          <w:rFonts w:ascii="仿宋_GB2312" w:eastAsia="仿宋_GB2312" w:hAnsi="仿宋_GB2312" w:cs="仿宋_GB2312" w:hint="eastAsia"/>
          <w:sz w:val="32"/>
          <w:szCs w:val="32"/>
        </w:rPr>
        <w:lastRenderedPageBreak/>
        <w:t>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 xml:space="preserve">）。  </w:t>
      </w:r>
    </w:p>
    <w:p w:rsidR="00501310" w:rsidRDefault="00501310">
      <w:pPr>
        <w:ind w:firstLineChars="200" w:firstLine="640"/>
        <w:rPr>
          <w:rFonts w:ascii="仿宋_GB2312" w:eastAsia="仿宋_GB2312" w:hAnsi="仿宋_GB2312" w:cs="仿宋_GB2312" w:hint="eastAsia"/>
          <w:sz w:val="32"/>
          <w:szCs w:val="32"/>
        </w:rPr>
      </w:pPr>
    </w:p>
    <w:p w:rsidR="00501310" w:rsidRDefault="00501310">
      <w:pPr>
        <w:ind w:firstLineChars="200" w:firstLine="640"/>
        <w:rPr>
          <w:rFonts w:ascii="仿宋_GB2312" w:eastAsia="仿宋_GB2312" w:hAnsi="仿宋_GB2312" w:cs="仿宋_GB2312" w:hint="eastAsia"/>
          <w:sz w:val="32"/>
          <w:szCs w:val="32"/>
        </w:rPr>
      </w:pPr>
    </w:p>
    <w:p w:rsidR="00501310" w:rsidRDefault="00501310">
      <w:pPr>
        <w:ind w:firstLineChars="200" w:firstLine="640"/>
        <w:rPr>
          <w:rFonts w:ascii="仿宋_GB2312" w:eastAsia="仿宋_GB2312" w:hAnsi="仿宋_GB2312" w:cs="仿宋_GB2312" w:hint="eastAsia"/>
          <w:sz w:val="32"/>
          <w:szCs w:val="32"/>
        </w:rPr>
      </w:pPr>
    </w:p>
    <w:p w:rsidR="00501310" w:rsidRDefault="00501310">
      <w:pPr>
        <w:ind w:firstLineChars="200" w:firstLine="640"/>
        <w:rPr>
          <w:rFonts w:ascii="仿宋_GB2312" w:eastAsia="仿宋_GB2312" w:hAnsi="仿宋_GB2312" w:cs="仿宋_GB2312" w:hint="eastAsia"/>
          <w:sz w:val="32"/>
          <w:szCs w:val="32"/>
        </w:rPr>
      </w:pPr>
    </w:p>
    <w:p w:rsidR="00501310" w:rsidRDefault="00501310">
      <w:pPr>
        <w:ind w:firstLineChars="200" w:firstLine="640"/>
        <w:rPr>
          <w:rFonts w:ascii="仿宋_GB2312" w:eastAsia="仿宋_GB2312" w:hAnsi="仿宋_GB2312" w:cs="仿宋_GB2312" w:hint="eastAsia"/>
          <w:sz w:val="32"/>
          <w:szCs w:val="32"/>
        </w:rPr>
      </w:pPr>
    </w:p>
    <w:p w:rsidR="00501310" w:rsidRDefault="00501310">
      <w:pPr>
        <w:ind w:firstLineChars="200" w:firstLine="640"/>
        <w:rPr>
          <w:rFonts w:ascii="仿宋_GB2312" w:eastAsia="仿宋_GB2312" w:hAnsi="仿宋_GB2312" w:cs="仿宋_GB2312" w:hint="eastAsia"/>
          <w:sz w:val="32"/>
          <w:szCs w:val="32"/>
        </w:rPr>
      </w:pPr>
    </w:p>
    <w:p w:rsidR="00501310" w:rsidRDefault="00501310">
      <w:pPr>
        <w:rPr>
          <w:rFonts w:ascii="仿宋_GB2312" w:eastAsia="仿宋_GB2312" w:hAnsi="仿宋_GB2312" w:cs="仿宋_GB2312"/>
          <w:sz w:val="32"/>
          <w:szCs w:val="32"/>
        </w:rPr>
      </w:pPr>
    </w:p>
    <w:p w:rsidR="00501310" w:rsidRDefault="00501310">
      <w:pPr>
        <w:numPr>
          <w:ilvl w:val="0"/>
          <w:numId w:val="2"/>
        </w:numPr>
        <w:ind w:firstLineChars="150" w:firstLine="660"/>
        <w:jc w:val="center"/>
        <w:outlineLvl w:val="0"/>
        <w:rPr>
          <w:rStyle w:val="1Char"/>
          <w:rFonts w:ascii="黑体" w:eastAsia="黑体" w:hAnsi="黑体"/>
          <w:b w:val="0"/>
        </w:rPr>
      </w:pPr>
      <w:bookmarkStart w:id="118" w:name="_Toc15396613"/>
      <w:bookmarkStart w:id="119" w:name="_Toc15377225"/>
      <w:bookmarkStart w:id="120" w:name="_Toc82012116"/>
      <w:r>
        <w:rPr>
          <w:rFonts w:ascii="黑体" w:eastAsia="黑体" w:hAnsi="黑体" w:hint="eastAsia"/>
          <w:color w:val="000000"/>
          <w:sz w:val="44"/>
          <w:szCs w:val="44"/>
        </w:rPr>
        <w:t xml:space="preserve"> </w:t>
      </w:r>
      <w:bookmarkStart w:id="121" w:name="_Toc82075647"/>
      <w:r>
        <w:rPr>
          <w:rFonts w:ascii="黑体" w:eastAsia="黑体" w:hAnsi="黑体" w:hint="eastAsia"/>
          <w:color w:val="000000"/>
          <w:sz w:val="44"/>
          <w:szCs w:val="44"/>
        </w:rPr>
        <w:t>名</w:t>
      </w:r>
      <w:r>
        <w:rPr>
          <w:rStyle w:val="1Char"/>
          <w:rFonts w:ascii="黑体" w:eastAsia="黑体" w:hAnsi="黑体" w:hint="eastAsia"/>
          <w:b w:val="0"/>
        </w:rPr>
        <w:t>词解释</w:t>
      </w:r>
      <w:bookmarkEnd w:id="118"/>
      <w:bookmarkEnd w:id="119"/>
      <w:bookmarkEnd w:id="120"/>
      <w:bookmarkEnd w:id="121"/>
    </w:p>
    <w:p w:rsidR="00501310" w:rsidRDefault="00501310">
      <w:pPr>
        <w:jc w:val="left"/>
        <w:rPr>
          <w:rFonts w:ascii="宋体"/>
          <w:b/>
          <w:color w:val="000000"/>
          <w:sz w:val="44"/>
          <w:szCs w:val="44"/>
        </w:rPr>
      </w:pP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事业收入：指事业单位开展专业业务活动及辅助活动取得的收入。如横向科研收入等。</w:t>
      </w:r>
    </w:p>
    <w:p w:rsidR="00501310" w:rsidRDefault="00501310">
      <w:pPr>
        <w:pStyle w:val="Default"/>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其他收入：指单位取得的除上述收入以外的各项收入。</w:t>
      </w: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Pr>
          <w:rFonts w:ascii="仿宋_GB2312" w:eastAsia="仿宋_GB2312" w:hint="eastAsia"/>
          <w:sz w:val="32"/>
          <w:szCs w:val="32"/>
        </w:rPr>
        <w:t>结余分配：指事业单位按照事业单位会计制度的规定从非财政补助结余中分配的事业基金和职工福利基金等。</w:t>
      </w: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hint="eastAsia"/>
          <w:sz w:val="32"/>
          <w:szCs w:val="32"/>
        </w:rPr>
        <w:t>6、年末结转和结余：指单位按有关规定结转到下年或</w:t>
      </w:r>
      <w:r>
        <w:rPr>
          <w:rFonts w:ascii="仿宋_GB2312" w:eastAsia="仿宋_GB2312" w:hint="eastAsia"/>
          <w:sz w:val="32"/>
          <w:szCs w:val="32"/>
        </w:rPr>
        <w:lastRenderedPageBreak/>
        <w:t>以后年度继续使用的资金。</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color w:val="000000"/>
          <w:sz w:val="32"/>
          <w:szCs w:val="32"/>
        </w:rPr>
        <w:t>.</w:t>
      </w:r>
      <w:r>
        <w:rPr>
          <w:rFonts w:ascii="仿宋_GB2312" w:eastAsia="仿宋_GB2312" w:hint="eastAsia"/>
          <w:color w:val="000000"/>
          <w:sz w:val="32"/>
          <w:szCs w:val="32"/>
        </w:rPr>
        <w:t>一般公共服务</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一般公共服务支出（类）人力资源事务（款）其他人力资源事务支出（项）：指反映除行政运行、一般行政管理事务、机关服务、政府特殊津贴、资助留学回国人员、军队转业干部安置、博士后日常经费、引进人才费用、公务员考核、公务员履职能力提升、公务员招考、公务员综合管理、事业运行等项目以外其他人力资源事务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（2）一般公共服务支出（类）知识产权事务（款）专利试点和产业化推进（项）：指反映专利分类试点以及实施国家专利产业化工程、扶植拥有自主知识产权的新技术及其产业化等方面的支出。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（3）一般公共服务支出（类）知识产权事务（款）其他知识产权事务（项）：指反映用于其他知识产权事务方面的支出。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（4）一般公共服务支出（类）组织事务（款）其他组织事务支出（项）：指反映除行政运行、一般行政管理事务、机关服务、事业运行等项目以外其他用于中国共产党组织部门的事务支出。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color w:val="000000"/>
          <w:sz w:val="32"/>
          <w:szCs w:val="32"/>
        </w:rPr>
        <w:t>.</w:t>
      </w:r>
      <w:r>
        <w:rPr>
          <w:rFonts w:ascii="仿宋_GB2312" w:eastAsia="仿宋_GB2312" w:hint="eastAsia"/>
          <w:color w:val="000000"/>
          <w:sz w:val="32"/>
          <w:szCs w:val="32"/>
        </w:rPr>
        <w:t>教育支出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（1）教育支出（类）普通教育（款）高等教育（项）：指反映经国家批准设立的中央和省、自治区、直辖市各部门所属的全日制普通高等院校（包括研究生）的支出。政府各</w:t>
      </w:r>
      <w:r>
        <w:rPr>
          <w:rFonts w:ascii="仿宋_GB2312" w:eastAsia="仿宋_GB2312" w:hint="eastAsia"/>
          <w:color w:val="000000"/>
          <w:sz w:val="32"/>
          <w:szCs w:val="32"/>
        </w:rPr>
        <w:lastRenderedPageBreak/>
        <w:t>部门对社会中介组织等举办的各类高等院校的资助，如捐赠、补贴等，也在本科目中反映。</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（2）教育支出（类）职业教育（款）中专教育（项）：指反映各部门举办的各类中等专业学校的支出。</w:t>
      </w:r>
    </w:p>
    <w:p w:rsidR="00501310" w:rsidRDefault="00501310">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（3）教育支出（类）职业教育（款）技校教育（项）：指反映工业、交通、劳动保障等部门举办的技工学校支出。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（4）教育支出（类）职业教育（款）其他职业教育（项）：其他用于职业教育方面的支出。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教育支出（类）进修及培训（款）培训支出（项）：指反映各部门安排的用于培训的支出。教育部门的师资培训、党校、行政学院等专业干部教育机构的支出，以及退役士兵、转业士官的培训支出，不在本科目反映。</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教育支出（类）教育费附加安排的支出（款）其他教育费附加安排的支出（项）：指反映除农村中小学校舍建设、农村中小学教学设施、城市中小学校舍建设、城市中小学教学设施、中等职业学校教学设施等项目以外的教育费附加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教育支出（类）其他教育支出（款）其他教育支出（项）：指反映除教育管理事务、普通教育、职业教育、成人教育、广播电视教育、留学教育、特殊教育、进修及培训、教育费附加安排的支出等项目以外的教育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Pr>
          <w:rFonts w:ascii="仿宋_GB2312" w:eastAsia="仿宋_GB2312"/>
          <w:color w:val="000000"/>
          <w:sz w:val="32"/>
          <w:szCs w:val="32"/>
        </w:rPr>
        <w:t>.</w:t>
      </w:r>
      <w:r>
        <w:rPr>
          <w:rFonts w:ascii="仿宋_GB2312" w:eastAsia="仿宋_GB2312" w:hint="eastAsia"/>
          <w:color w:val="000000"/>
          <w:sz w:val="32"/>
          <w:szCs w:val="32"/>
        </w:rPr>
        <w:t>科学技术支出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（1）科学技术支出（类）基础研究（款）专项基础科研</w:t>
      </w:r>
      <w:r>
        <w:rPr>
          <w:rFonts w:ascii="仿宋_GB2312" w:eastAsia="仿宋_GB2312" w:hint="eastAsia"/>
          <w:color w:val="000000"/>
          <w:sz w:val="32"/>
          <w:szCs w:val="32"/>
        </w:rPr>
        <w:lastRenderedPageBreak/>
        <w:t>（项）：指反映用于专项基础科研方面的支出。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（2）科学技术支出（类）技术研究与开发（款）其他技术研究与开发支出（项）：指其他用于技术研究与开发的支出。</w:t>
      </w:r>
    </w:p>
    <w:p w:rsidR="00501310" w:rsidRDefault="00501310">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（3）科学技术支出（类）科技条件与服务（款）科技条件专项（项）：指反映国家用于完善科技条件的支出，包括科技文件信息、网络环境支撑等科技条件专项支出等。</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（4）科学技术支出（类）科技条件与服务（款）其他科技条件与服务支出（项）：指其他用于科技条件与服务的支出。</w:t>
      </w:r>
    </w:p>
    <w:p w:rsidR="00501310" w:rsidRDefault="00501310">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（5）科学技术支出（类）科技重大项目（款）重点研发计划（项）：指重点研发计划的有关经费支出。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（6）科学技术支出（类）其他科学技术支出（款）其他科学技术支出（项）：指其他用于科技的支出。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10</w:t>
      </w:r>
      <w:r>
        <w:rPr>
          <w:rFonts w:ascii="仿宋_GB2312" w:eastAsia="仿宋_GB2312"/>
          <w:color w:val="000000"/>
          <w:sz w:val="32"/>
          <w:szCs w:val="32"/>
        </w:rPr>
        <w:t>.</w:t>
      </w:r>
      <w:r>
        <w:rPr>
          <w:rFonts w:ascii="仿宋_GB2312" w:eastAsia="仿宋_GB2312" w:hint="eastAsia"/>
          <w:color w:val="000000"/>
          <w:sz w:val="32"/>
          <w:szCs w:val="32"/>
        </w:rPr>
        <w:t>社会保障和就业支出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（1）社会保障和就业支出（类）行政事业单位离退休（款）机关事业单位基本养老保险缴费支出（项）：指反映机关事业单位实施养老保险制度由单位缴纳的基本养老保险费支出。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社会保障和就业支出（类）就业补助（款）其他就业补助支出（项）：指反映除就业创业服务补贴、职业培训补贴、社会保险补贴、公益性岗位补贴、职业技能鉴定补贴、就业见习补贴、高技能人才培养补助、求职创业补贴等以外按规定确定的其他用于促进就业的补助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（3）社会保障和就业支出（类）抚恤（款）死亡抚恤（项）：指反映按规定用于烈士和牺牲、病故人员家属的一次性和定</w:t>
      </w:r>
      <w:r>
        <w:rPr>
          <w:rFonts w:ascii="仿宋_GB2312" w:eastAsia="仿宋_GB2312" w:hint="eastAsia"/>
          <w:color w:val="000000"/>
          <w:sz w:val="32"/>
          <w:szCs w:val="32"/>
        </w:rPr>
        <w:lastRenderedPageBreak/>
        <w:t>期抚恤金以及丧葬补助费。</w:t>
      </w:r>
    </w:p>
    <w:p w:rsidR="00501310" w:rsidRDefault="00501310">
      <w:pPr>
        <w:spacing w:line="600" w:lineRule="exact"/>
        <w:ind w:firstLineChars="200" w:firstLine="640"/>
        <w:rPr>
          <w:rFonts w:ascii="仿宋" w:eastAsia="仿宋" w:hAnsi="仿宋"/>
          <w:b/>
          <w:color w:val="000000"/>
          <w:sz w:val="32"/>
          <w:szCs w:val="32"/>
        </w:rPr>
      </w:pPr>
      <w:r>
        <w:rPr>
          <w:rFonts w:ascii="仿宋_GB2312" w:eastAsia="仿宋_GB2312" w:hint="eastAsia"/>
          <w:color w:val="000000"/>
          <w:sz w:val="32"/>
          <w:szCs w:val="32"/>
        </w:rPr>
        <w:t>11</w:t>
      </w:r>
      <w:r>
        <w:rPr>
          <w:rFonts w:ascii="仿宋_GB2312" w:eastAsia="仿宋_GB2312"/>
          <w:color w:val="000000"/>
          <w:sz w:val="32"/>
          <w:szCs w:val="32"/>
        </w:rPr>
        <w:t>.</w:t>
      </w:r>
      <w:r>
        <w:rPr>
          <w:rFonts w:ascii="仿宋_GB2312" w:eastAsia="仿宋_GB2312" w:hint="eastAsia"/>
          <w:color w:val="000000"/>
          <w:sz w:val="32"/>
          <w:szCs w:val="32"/>
        </w:rPr>
        <w:t>住房保障支出（类）住房改革支出（款）住房公积金（项）：指行政事业单位按人力资源和社会保障部、财政部规定的基本工资和津贴补贴以及规定比例为职工缴纳的住房公积金。</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rsidR="00501310" w:rsidRDefault="0050131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13</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501310" w:rsidRDefault="00501310">
      <w:pPr>
        <w:pStyle w:val="Default"/>
        <w:spacing w:line="600" w:lineRule="exact"/>
        <w:ind w:firstLineChars="200" w:firstLine="640"/>
        <w:rPr>
          <w:rFonts w:ascii="仿宋_GB2312" w:eastAsia="仿宋_GB2312"/>
          <w:sz w:val="32"/>
          <w:szCs w:val="32"/>
        </w:rPr>
      </w:pPr>
      <w:r>
        <w:rPr>
          <w:rFonts w:ascii="仿宋_GB2312" w:eastAsia="仿宋_GB2312" w:hint="eastAsia"/>
          <w:sz w:val="32"/>
          <w:szCs w:val="32"/>
        </w:rPr>
        <w:t>14</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01310" w:rsidRDefault="00501310">
      <w:pPr>
        <w:spacing w:line="6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501310" w:rsidRDefault="00501310">
      <w:pPr>
        <w:jc w:val="center"/>
        <w:outlineLvl w:val="0"/>
        <w:rPr>
          <w:rStyle w:val="1Char"/>
          <w:rFonts w:ascii="黑体" w:eastAsia="黑体" w:hAnsi="黑体"/>
          <w:b w:val="0"/>
        </w:rPr>
      </w:pPr>
      <w:bookmarkStart w:id="122" w:name="_Toc15377226"/>
      <w:r>
        <w:rPr>
          <w:rFonts w:ascii="宋体"/>
          <w:b/>
          <w:color w:val="000000"/>
          <w:sz w:val="44"/>
          <w:szCs w:val="44"/>
        </w:rPr>
        <w:br w:type="page"/>
      </w:r>
      <w:bookmarkStart w:id="123" w:name="_Toc15396614"/>
      <w:bookmarkStart w:id="124" w:name="_Toc82012117"/>
      <w:bookmarkStart w:id="125" w:name="_Toc82075648"/>
      <w:r>
        <w:rPr>
          <w:rFonts w:ascii="黑体" w:eastAsia="黑体" w:hAnsi="黑体" w:hint="eastAsia"/>
          <w:color w:val="000000"/>
          <w:sz w:val="44"/>
          <w:szCs w:val="44"/>
        </w:rPr>
        <w:lastRenderedPageBreak/>
        <w:t>第</w:t>
      </w:r>
      <w:r>
        <w:rPr>
          <w:rStyle w:val="1Char"/>
          <w:rFonts w:ascii="黑体" w:eastAsia="黑体" w:hAnsi="黑体" w:hint="eastAsia"/>
          <w:b w:val="0"/>
        </w:rPr>
        <w:t>四部分</w:t>
      </w:r>
      <w:r>
        <w:rPr>
          <w:rStyle w:val="1Char"/>
          <w:rFonts w:ascii="黑体" w:eastAsia="黑体" w:hAnsi="黑体"/>
          <w:b w:val="0"/>
        </w:rPr>
        <w:t xml:space="preserve"> </w:t>
      </w:r>
      <w:r>
        <w:rPr>
          <w:rStyle w:val="1Char"/>
          <w:rFonts w:ascii="黑体" w:eastAsia="黑体" w:hAnsi="黑体" w:hint="eastAsia"/>
          <w:b w:val="0"/>
        </w:rPr>
        <w:t>附件</w:t>
      </w:r>
      <w:bookmarkEnd w:id="123"/>
      <w:bookmarkEnd w:id="124"/>
      <w:bookmarkEnd w:id="125"/>
    </w:p>
    <w:p w:rsidR="00501310" w:rsidRDefault="00501310">
      <w:pPr>
        <w:tabs>
          <w:tab w:val="left" w:pos="7095"/>
        </w:tabs>
        <w:jc w:val="left"/>
        <w:outlineLvl w:val="1"/>
        <w:rPr>
          <w:rFonts w:ascii="方正小标宋_GBK" w:eastAsia="方正小标宋_GBK" w:hAnsi="黑体" w:cs="黑体" w:hint="eastAsia"/>
          <w:sz w:val="36"/>
          <w:szCs w:val="36"/>
        </w:rPr>
      </w:pPr>
      <w:bookmarkStart w:id="126" w:name="_Toc82012118"/>
      <w:bookmarkStart w:id="127" w:name="_Toc82075649"/>
      <w:r>
        <w:rPr>
          <w:rFonts w:ascii="黑体" w:eastAsia="黑体" w:hAnsi="黑体" w:cs="黑体" w:hint="eastAsia"/>
          <w:sz w:val="32"/>
          <w:szCs w:val="32"/>
        </w:rPr>
        <w:t>附件</w:t>
      </w:r>
      <w:r>
        <w:rPr>
          <w:rFonts w:ascii="黑体" w:eastAsia="黑体" w:hAnsi="黑体" w:cs="黑体"/>
          <w:sz w:val="32"/>
          <w:szCs w:val="32"/>
        </w:rPr>
        <w:t>1</w:t>
      </w:r>
      <w:bookmarkEnd w:id="126"/>
      <w:bookmarkEnd w:id="127"/>
      <w:r>
        <w:rPr>
          <w:rFonts w:ascii="黑体" w:eastAsia="黑体" w:hAnsi="黑体" w:cs="黑体"/>
          <w:sz w:val="32"/>
          <w:szCs w:val="32"/>
        </w:rPr>
        <w:tab/>
      </w:r>
    </w:p>
    <w:p w:rsidR="00501310" w:rsidRDefault="00501310">
      <w:pPr>
        <w:spacing w:line="600" w:lineRule="exact"/>
        <w:jc w:val="center"/>
        <w:rPr>
          <w:rFonts w:ascii="黑体" w:eastAsia="黑体" w:hAnsi="黑体" w:cs="仿宋_GB2312" w:hint="eastAsia"/>
          <w:sz w:val="32"/>
          <w:szCs w:val="32"/>
        </w:rPr>
      </w:pPr>
      <w:r>
        <w:rPr>
          <w:rFonts w:ascii="方正小标宋_GBK" w:eastAsia="方正小标宋_GBK" w:hAnsi="黑体" w:cs="黑体" w:hint="eastAsia"/>
          <w:sz w:val="36"/>
          <w:szCs w:val="36"/>
        </w:rPr>
        <w:t>攀枝花学院2020年度预算整体绩效自评报告</w:t>
      </w:r>
    </w:p>
    <w:p w:rsidR="00501310" w:rsidRDefault="00501310">
      <w:pPr>
        <w:spacing w:line="600" w:lineRule="exact"/>
        <w:ind w:firstLineChars="200" w:firstLine="640"/>
        <w:jc w:val="left"/>
        <w:rPr>
          <w:rFonts w:ascii="黑体" w:eastAsia="黑体" w:hAnsi="黑体" w:cs="仿宋_GB2312"/>
          <w:sz w:val="32"/>
          <w:szCs w:val="32"/>
        </w:rPr>
      </w:pPr>
      <w:r>
        <w:rPr>
          <w:rFonts w:ascii="黑体" w:eastAsia="黑体" w:hAnsi="黑体" w:cs="仿宋_GB2312" w:hint="eastAsia"/>
          <w:sz w:val="32"/>
          <w:szCs w:val="32"/>
        </w:rPr>
        <w:t>一、部门概况</w:t>
      </w:r>
    </w:p>
    <w:p w:rsidR="00501310" w:rsidRDefault="00501310">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攀枝花学院是教育部布点在川西南、滇西北唯一一所以工为主的综合性普通本科院校。1994年与攀枝花教育学院合并，1998年四川省攀枝花卫生学校并入，2001年经教育部批准改建为本科院校，更名为“攀枝花学院”，实行“省市共建，以市为主”的管理体制。2004年攀枝花市高级技工学校整体划归学校，2005年增列为学士学位授予单位，2007年攀枝花市中西医结合医院作为直管附属医院划归学校管理，2017年攀枝花市中心医院成为学校第二临床医学院，</w:t>
      </w:r>
      <w:r>
        <w:rPr>
          <w:rFonts w:ascii="仿宋_GB2312" w:eastAsia="仿宋_GB2312" w:hAnsi="仿宋"/>
          <w:sz w:val="32"/>
          <w:szCs w:val="32"/>
        </w:rPr>
        <w:t>2007年起举办研究生教育（</w:t>
      </w:r>
      <w:r>
        <w:rPr>
          <w:rFonts w:ascii="仿宋_GB2312" w:eastAsia="仿宋_GB2312" w:hAnsi="仿宋" w:hint="eastAsia"/>
          <w:sz w:val="32"/>
          <w:szCs w:val="32"/>
        </w:rPr>
        <w:t>与西华大学</w:t>
      </w:r>
      <w:r>
        <w:rPr>
          <w:rFonts w:ascii="仿宋_GB2312" w:eastAsia="仿宋_GB2312" w:hAnsi="仿宋"/>
          <w:sz w:val="32"/>
          <w:szCs w:val="32"/>
        </w:rPr>
        <w:t>联合培养）</w:t>
      </w:r>
      <w:r>
        <w:rPr>
          <w:rFonts w:ascii="仿宋_GB2312" w:eastAsia="仿宋_GB2312" w:hAnsi="仿宋" w:hint="eastAsia"/>
          <w:sz w:val="32"/>
          <w:szCs w:val="32"/>
        </w:rPr>
        <w:t>，2017年开始举办留学生教育，2018年高质量通过教育部本科教学审核评估。</w:t>
      </w:r>
    </w:p>
    <w:p w:rsidR="00501310" w:rsidRDefault="00501310">
      <w:pPr>
        <w:spacing w:line="600" w:lineRule="exact"/>
        <w:ind w:firstLineChars="200" w:firstLine="640"/>
        <w:rPr>
          <w:rFonts w:ascii="仿宋_GB2312" w:eastAsia="仿宋_GB2312" w:hAnsi="仿宋"/>
          <w:sz w:val="32"/>
          <w:szCs w:val="32"/>
        </w:rPr>
      </w:pPr>
      <w:r>
        <w:rPr>
          <w:rFonts w:ascii="仿宋_GB2312" w:eastAsia="仿宋_GB2312" w:hAnsi="仿宋"/>
          <w:sz w:val="32"/>
          <w:szCs w:val="32"/>
        </w:rPr>
        <w:t>学校现占地面积81.52万平方米，校舍面积5</w:t>
      </w:r>
      <w:r>
        <w:rPr>
          <w:rFonts w:ascii="仿宋_GB2312" w:eastAsia="仿宋_GB2312" w:hAnsi="仿宋" w:hint="eastAsia"/>
          <w:sz w:val="32"/>
          <w:szCs w:val="32"/>
        </w:rPr>
        <w:t>7</w:t>
      </w:r>
      <w:r>
        <w:rPr>
          <w:rFonts w:ascii="仿宋_GB2312" w:eastAsia="仿宋_GB2312" w:hAnsi="仿宋"/>
          <w:sz w:val="32"/>
          <w:szCs w:val="32"/>
        </w:rPr>
        <w:t>.</w:t>
      </w:r>
      <w:r>
        <w:rPr>
          <w:rFonts w:ascii="仿宋_GB2312" w:eastAsia="仿宋_GB2312" w:hAnsi="仿宋" w:hint="eastAsia"/>
          <w:sz w:val="32"/>
          <w:szCs w:val="32"/>
        </w:rPr>
        <w:t>41</w:t>
      </w:r>
      <w:r>
        <w:rPr>
          <w:rFonts w:ascii="仿宋_GB2312" w:eastAsia="仿宋_GB2312" w:hAnsi="仿宋"/>
          <w:sz w:val="32"/>
          <w:szCs w:val="32"/>
        </w:rPr>
        <w:t>万平方米（含在建项目），固定资产总值10.97亿元。馆藏文献4</w:t>
      </w:r>
      <w:r>
        <w:rPr>
          <w:rFonts w:ascii="仿宋_GB2312" w:eastAsia="仿宋_GB2312" w:hAnsi="仿宋" w:hint="eastAsia"/>
          <w:sz w:val="32"/>
          <w:szCs w:val="32"/>
        </w:rPr>
        <w:t>91.24</w:t>
      </w:r>
      <w:r>
        <w:rPr>
          <w:rFonts w:ascii="仿宋_GB2312" w:eastAsia="仿宋_GB2312" w:hAnsi="仿宋"/>
          <w:sz w:val="32"/>
          <w:szCs w:val="32"/>
        </w:rPr>
        <w:t>万册</w:t>
      </w:r>
      <w:r>
        <w:rPr>
          <w:rFonts w:ascii="仿宋_GB2312" w:eastAsia="仿宋_GB2312" w:hAnsi="仿宋" w:hint="eastAsia"/>
          <w:sz w:val="32"/>
          <w:szCs w:val="32"/>
        </w:rPr>
        <w:t>（其中纸质图书146.09万册）</w:t>
      </w:r>
      <w:r>
        <w:rPr>
          <w:rFonts w:ascii="仿宋_GB2312" w:eastAsia="仿宋_GB2312" w:hAnsi="仿宋"/>
          <w:sz w:val="32"/>
          <w:szCs w:val="32"/>
        </w:rPr>
        <w:t>。下设20个教学单位、3个科研单位、7个教辅单位、16个党政群团部门、2个下属法人单位和1个直管三甲附属医院（攀枝花市中西医结合医院）。现有教职工1560人，其中专任教师948人，副高及以上专业技术职务人员417人</w:t>
      </w:r>
      <w:r>
        <w:rPr>
          <w:rFonts w:ascii="仿宋_GB2312" w:eastAsia="仿宋_GB2312" w:hAnsi="仿宋" w:hint="eastAsia"/>
          <w:sz w:val="32"/>
          <w:szCs w:val="32"/>
        </w:rPr>
        <w:t>（其中：正高级119人）</w:t>
      </w:r>
      <w:r>
        <w:rPr>
          <w:rFonts w:ascii="仿宋_GB2312" w:eastAsia="仿宋_GB2312" w:hAnsi="仿宋"/>
          <w:sz w:val="32"/>
          <w:szCs w:val="32"/>
        </w:rPr>
        <w:t>，占专任教师的43.99％；硕士以上学位777人</w:t>
      </w:r>
      <w:r>
        <w:rPr>
          <w:rFonts w:ascii="仿宋_GB2312" w:eastAsia="仿宋_GB2312" w:hAnsi="仿宋" w:hint="eastAsia"/>
          <w:sz w:val="32"/>
          <w:szCs w:val="32"/>
        </w:rPr>
        <w:t>（其中：博士学位248人）</w:t>
      </w:r>
      <w:r>
        <w:rPr>
          <w:rFonts w:ascii="仿宋_GB2312" w:eastAsia="仿宋_GB2312" w:hAnsi="仿宋"/>
          <w:sz w:val="32"/>
          <w:szCs w:val="32"/>
        </w:rPr>
        <w:t>，占专任教师的81.96％</w:t>
      </w:r>
      <w:r>
        <w:rPr>
          <w:rFonts w:ascii="仿宋_GB2312" w:eastAsia="仿宋_GB2312" w:hAnsi="仿宋" w:hint="eastAsia"/>
          <w:sz w:val="32"/>
          <w:szCs w:val="32"/>
        </w:rPr>
        <w:t>；聘用人员4</w:t>
      </w:r>
      <w:r>
        <w:rPr>
          <w:rFonts w:ascii="仿宋_GB2312" w:eastAsia="仿宋_GB2312" w:hAnsi="仿宋"/>
          <w:sz w:val="32"/>
          <w:szCs w:val="32"/>
        </w:rPr>
        <w:t>91</w:t>
      </w:r>
      <w:r>
        <w:rPr>
          <w:rFonts w:ascii="仿宋_GB2312" w:eastAsia="仿宋_GB2312" w:hAnsi="仿宋" w:hint="eastAsia"/>
          <w:sz w:val="32"/>
          <w:szCs w:val="32"/>
        </w:rPr>
        <w:t>人</w:t>
      </w:r>
      <w:r>
        <w:rPr>
          <w:rFonts w:ascii="仿宋_GB2312" w:eastAsia="仿宋_GB2312" w:hAnsi="仿宋"/>
          <w:sz w:val="32"/>
          <w:szCs w:val="32"/>
        </w:rPr>
        <w:t>。现</w:t>
      </w:r>
      <w:r>
        <w:rPr>
          <w:rFonts w:ascii="仿宋_GB2312" w:eastAsia="仿宋_GB2312" w:hAnsi="仿宋"/>
          <w:sz w:val="32"/>
          <w:szCs w:val="32"/>
        </w:rPr>
        <w:lastRenderedPageBreak/>
        <w:t>有享受国务院政府特殊津贴专家1人，四川省学术和技术带头人1人，四川省教书育人名师2人，四川省第十批、十一批、十二批学术和技术带头人后备人选17人，攀枝花市学术和技术带头人及其后备人选、攀枝花市有突出贡献专家等40人，攀枝花英才6人，入选攀枝花优秀人才选培计划20人</w:t>
      </w:r>
      <w:r>
        <w:rPr>
          <w:rFonts w:ascii="仿宋_GB2312" w:eastAsia="仿宋_GB2312" w:hAnsi="仿宋" w:hint="eastAsia"/>
          <w:sz w:val="32"/>
          <w:szCs w:val="32"/>
        </w:rPr>
        <w:t>。</w:t>
      </w:r>
    </w:p>
    <w:p w:rsidR="00501310" w:rsidRDefault="00501310">
      <w:pPr>
        <w:spacing w:line="600" w:lineRule="exact"/>
        <w:ind w:firstLineChars="200" w:firstLine="640"/>
        <w:jc w:val="left"/>
        <w:rPr>
          <w:rFonts w:ascii="黑体" w:eastAsia="黑体" w:hAnsi="黑体" w:cs="仿宋_GB2312" w:hint="eastAsia"/>
          <w:sz w:val="32"/>
          <w:szCs w:val="32"/>
        </w:rPr>
      </w:pPr>
      <w:r>
        <w:rPr>
          <w:rFonts w:ascii="黑体" w:eastAsia="黑体" w:hAnsi="黑体" w:cs="仿宋_GB2312" w:hint="eastAsia"/>
          <w:sz w:val="32"/>
          <w:szCs w:val="32"/>
        </w:rPr>
        <w:t>二、部门资金基本情况</w:t>
      </w:r>
    </w:p>
    <w:p w:rsidR="00501310" w:rsidRDefault="00501310">
      <w:pPr>
        <w:spacing w:line="600" w:lineRule="exact"/>
        <w:ind w:firstLineChars="200" w:firstLine="640"/>
        <w:jc w:val="left"/>
        <w:rPr>
          <w:rFonts w:ascii="仿宋_GB2312" w:eastAsia="仿宋_GB2312" w:hAnsi="仿宋_GB2312" w:cs="仿宋_GB2312"/>
          <w:sz w:val="32"/>
          <w:szCs w:val="32"/>
        </w:rPr>
      </w:pPr>
      <w:r>
        <w:rPr>
          <w:rFonts w:ascii="楷体" w:eastAsia="楷体" w:hAnsi="楷体" w:cs="仿宋_GB2312" w:hint="eastAsia"/>
          <w:sz w:val="32"/>
          <w:szCs w:val="32"/>
        </w:rPr>
        <w:t>（一）年初部门预算安排及支出情况</w:t>
      </w:r>
    </w:p>
    <w:p w:rsidR="00501310" w:rsidRDefault="00501310">
      <w:pPr>
        <w:spacing w:line="60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 基本支出安排及使用情况</w:t>
      </w:r>
    </w:p>
    <w:p w:rsidR="00501310" w:rsidRDefault="00501310">
      <w:pPr>
        <w:spacing w:line="600" w:lineRule="exact"/>
        <w:ind w:firstLineChars="200" w:firstLine="640"/>
        <w:rPr>
          <w:rFonts w:ascii="仿宋_GB2312" w:eastAsia="仿宋_GB2312" w:hAnsi="仿宋" w:cs="宋体"/>
          <w:sz w:val="32"/>
          <w:szCs w:val="32"/>
        </w:rPr>
      </w:pPr>
      <w:r>
        <w:rPr>
          <w:rFonts w:ascii="仿宋_GB2312" w:eastAsia="仿宋_GB2312" w:hAnsi="仿宋" w:cs="宋体" w:hint="eastAsia"/>
          <w:sz w:val="32"/>
          <w:szCs w:val="32"/>
        </w:rPr>
        <w:t>本年年初预算财政拨款收入27515.52万元，其中</w:t>
      </w:r>
      <w:r>
        <w:rPr>
          <w:rFonts w:ascii="仿宋_GB2312" w:eastAsia="仿宋_GB2312" w:hAnsi="Calibri" w:cs="宋体" w:hint="eastAsia"/>
          <w:sz w:val="32"/>
          <w:szCs w:val="32"/>
        </w:rPr>
        <w:t>基</w:t>
      </w:r>
      <w:r>
        <w:rPr>
          <w:rFonts w:ascii="仿宋_GB2312" w:eastAsia="仿宋_GB2312" w:hAnsi="Calibri"/>
          <w:sz w:val="32"/>
          <w:szCs w:val="32"/>
        </w:rPr>
        <w:t>本支出安排</w:t>
      </w:r>
      <w:r>
        <w:rPr>
          <w:rFonts w:ascii="仿宋_GB2312" w:eastAsia="仿宋_GB2312" w:hAnsi="仿宋" w:cs="宋体" w:hint="eastAsia"/>
          <w:sz w:val="32"/>
          <w:szCs w:val="32"/>
        </w:rPr>
        <w:t>23631.52万元，已使用22792.65万元，结转838.87万元。</w:t>
      </w:r>
    </w:p>
    <w:p w:rsidR="00501310" w:rsidRDefault="00501310">
      <w:pPr>
        <w:spacing w:line="60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 部门预算项目安排及支出情况</w:t>
      </w:r>
    </w:p>
    <w:p w:rsidR="00501310" w:rsidRDefault="0050131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本年年初部门预算项目安排3884万元，已使用2809.74万元，</w:t>
      </w:r>
      <w:r>
        <w:rPr>
          <w:rFonts w:ascii="仿宋_GB2312" w:eastAsia="仿宋_GB2312" w:hAnsi="Courier New" w:cs="宋体" w:hint="eastAsia"/>
          <w:sz w:val="32"/>
          <w:szCs w:val="32"/>
        </w:rPr>
        <w:t>结转1074.26万元</w:t>
      </w:r>
      <w:r>
        <w:rPr>
          <w:rFonts w:ascii="仿宋_GB2312" w:eastAsia="仿宋_GB2312" w:hAnsi="仿宋_GB2312" w:cs="仿宋_GB2312" w:hint="eastAsia"/>
          <w:sz w:val="32"/>
          <w:szCs w:val="32"/>
        </w:rPr>
        <w:t>。其中</w:t>
      </w:r>
      <w:r>
        <w:rPr>
          <w:rFonts w:ascii="仿宋_GB2312" w:eastAsia="仿宋_GB2312" w:hAnsi="仿宋" w:cs="宋体" w:hint="eastAsia"/>
          <w:sz w:val="32"/>
          <w:szCs w:val="32"/>
        </w:rPr>
        <w:t>（1）2020年度物价上涨学生生活补助50万元，资金已全部使用完成；（2）2020年度助学贷款贴息及风险金60万元，资金已全部使用完成；（3）2020年度中央支持地方高校改革发展专项资金市财政配套100万元，资金已全部使用完成；（4）2020年度学生专项拨款500万元，资金已全部使用完成；（5）援藏援彝干部人才补助16万元，资金已全部使用完成；（6）</w:t>
      </w:r>
      <w:r>
        <w:rPr>
          <w:rFonts w:ascii="仿宋_GB2312" w:eastAsia="仿宋_GB2312" w:hAnsi="仿宋" w:cs="宋体" w:hint="eastAsia"/>
          <w:color w:val="000000"/>
          <w:sz w:val="32"/>
          <w:szCs w:val="32"/>
        </w:rPr>
        <w:t>2020年度教育收费专项支出及地方高水平特色大学师资队伍建设经费3158万元，</w:t>
      </w:r>
      <w:r>
        <w:rPr>
          <w:rFonts w:ascii="仿宋_GB2312" w:eastAsia="仿宋_GB2312" w:hAnsi="Courier New" w:cs="宋体" w:hint="eastAsia"/>
          <w:sz w:val="32"/>
          <w:szCs w:val="32"/>
        </w:rPr>
        <w:t>已使用2083.74万元，结转1074.26万元。</w:t>
      </w:r>
    </w:p>
    <w:p w:rsidR="00501310" w:rsidRDefault="00501310">
      <w:pPr>
        <w:spacing w:line="600" w:lineRule="exact"/>
        <w:ind w:firstLineChars="200" w:firstLine="640"/>
        <w:jc w:val="left"/>
        <w:rPr>
          <w:rFonts w:ascii="仿宋_GB2312" w:eastAsia="仿宋_GB2312" w:hAnsi="仿宋_GB2312" w:cs="仿宋_GB2312"/>
          <w:sz w:val="32"/>
          <w:szCs w:val="32"/>
        </w:rPr>
      </w:pPr>
      <w:r>
        <w:rPr>
          <w:rFonts w:ascii="楷体" w:eastAsia="楷体" w:hAnsi="楷体" w:cs="仿宋_GB2312" w:hint="eastAsia"/>
          <w:sz w:val="32"/>
          <w:szCs w:val="32"/>
        </w:rPr>
        <w:t>（二）追加预算安排及支出情况</w:t>
      </w:r>
    </w:p>
    <w:p w:rsidR="00501310" w:rsidRDefault="00501310">
      <w:pPr>
        <w:spacing w:line="600" w:lineRule="exact"/>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lastRenderedPageBreak/>
        <w:t>本年年中调整一般公共预算财政拨款收入16110.01万元，支出8701.35万元 ，结转7408.66万元。其中：2020年中央支持地方高校改革发展资金收入6000万元，支出2920.07万元；高校共建与发展省级资金3000万元，支出1184.64万元；攀西战略资源开发产教融合实训基地建设中央及省级资金2200万元，支出31.52万元；省市级科研经费收入 275万元，支出103万元；市级高层次人才经费1225万元 ，支出1225万元。</w:t>
      </w:r>
    </w:p>
    <w:p w:rsidR="00501310" w:rsidRDefault="00501310">
      <w:pPr>
        <w:spacing w:line="600" w:lineRule="exact"/>
        <w:ind w:firstLineChars="200" w:firstLine="640"/>
        <w:jc w:val="left"/>
        <w:rPr>
          <w:rFonts w:ascii="仿宋_GB2312" w:eastAsia="仿宋_GB2312" w:hAnsi="仿宋_GB2312" w:cs="仿宋_GB2312"/>
          <w:sz w:val="32"/>
          <w:szCs w:val="32"/>
        </w:rPr>
      </w:pPr>
      <w:r>
        <w:rPr>
          <w:rFonts w:ascii="楷体" w:eastAsia="楷体" w:hAnsi="楷体" w:cs="仿宋_GB2312" w:hint="eastAsia"/>
          <w:sz w:val="32"/>
          <w:szCs w:val="32"/>
        </w:rPr>
        <w:t>（三）专项资金安排及支出情况</w:t>
      </w:r>
    </w:p>
    <w:p w:rsidR="00501310" w:rsidRDefault="00501310">
      <w:pPr>
        <w:spacing w:line="600" w:lineRule="exact"/>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本年年中调整政府性基金预算财政拨款收入3589.97万元，其中：省级政府专项债券收入3000万元，钒钛产业领军人才集聚攻关计划专项资金收入200万元，2020年第三批人才专项经费及科技计划收入39.5万元，市级就业创业资金收入10.97万元，2020年高层次人才经费收入251.8万元。全年共支出3426.59万元，结转163.38万元。</w:t>
      </w:r>
    </w:p>
    <w:p w:rsidR="00501310" w:rsidRDefault="00501310">
      <w:pPr>
        <w:spacing w:line="600" w:lineRule="exact"/>
        <w:ind w:firstLineChars="200" w:firstLine="640"/>
        <w:jc w:val="left"/>
        <w:rPr>
          <w:rFonts w:ascii="楷体" w:eastAsia="楷体" w:hAnsi="楷体" w:cs="仿宋_GB2312" w:hint="eastAsia"/>
          <w:sz w:val="32"/>
          <w:szCs w:val="32"/>
        </w:rPr>
      </w:pPr>
      <w:r>
        <w:rPr>
          <w:rFonts w:ascii="楷体" w:eastAsia="楷体" w:hAnsi="楷体" w:cs="仿宋_GB2312" w:hint="eastAsia"/>
          <w:sz w:val="32"/>
          <w:szCs w:val="32"/>
        </w:rPr>
        <w:t>（四）其他资金收支及结转结余使用情况</w:t>
      </w:r>
    </w:p>
    <w:p w:rsidR="00501310" w:rsidRDefault="00501310">
      <w:pPr>
        <w:spacing w:line="60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横向科研事业收入1090.03万元，其他收入1383.90万元，本年共支出2000万元，结转11072万元。</w:t>
      </w:r>
    </w:p>
    <w:p w:rsidR="00501310" w:rsidRDefault="00501310">
      <w:pPr>
        <w:spacing w:line="600" w:lineRule="exact"/>
        <w:ind w:firstLineChars="200" w:firstLine="640"/>
        <w:jc w:val="left"/>
        <w:rPr>
          <w:rFonts w:ascii="楷体" w:eastAsia="楷体" w:hAnsi="楷体" w:cs="仿宋_GB2312"/>
          <w:sz w:val="32"/>
          <w:szCs w:val="32"/>
        </w:rPr>
      </w:pPr>
      <w:r>
        <w:rPr>
          <w:rFonts w:ascii="黑体" w:eastAsia="黑体" w:hAnsi="黑体" w:cs="仿宋_GB2312" w:hint="eastAsia"/>
          <w:sz w:val="32"/>
          <w:szCs w:val="32"/>
        </w:rPr>
        <w:t>三、绩效目标完成情况分析</w:t>
      </w:r>
    </w:p>
    <w:p w:rsidR="00501310" w:rsidRDefault="00501310">
      <w:pPr>
        <w:spacing w:line="600" w:lineRule="exact"/>
        <w:ind w:firstLineChars="200" w:firstLine="640"/>
        <w:jc w:val="left"/>
        <w:rPr>
          <w:rFonts w:ascii="楷体" w:eastAsia="楷体" w:hAnsi="楷体" w:cs="仿宋_GB2312"/>
          <w:sz w:val="32"/>
          <w:szCs w:val="32"/>
        </w:rPr>
      </w:pPr>
      <w:r>
        <w:rPr>
          <w:rFonts w:ascii="楷体" w:eastAsia="楷体" w:hAnsi="楷体" w:cs="仿宋_GB2312" w:hint="eastAsia"/>
          <w:sz w:val="32"/>
          <w:szCs w:val="32"/>
        </w:rPr>
        <w:t>（一）市级财政资金绩效目标完成情况</w:t>
      </w:r>
    </w:p>
    <w:p w:rsidR="00501310" w:rsidRDefault="00501310">
      <w:pPr>
        <w:spacing w:line="600" w:lineRule="exact"/>
        <w:ind w:firstLineChars="200" w:firstLine="640"/>
        <w:jc w:val="left"/>
        <w:rPr>
          <w:rFonts w:ascii="楷体" w:eastAsia="楷体" w:hAnsi="楷体" w:cs="仿宋_GB2312"/>
          <w:sz w:val="32"/>
          <w:szCs w:val="32"/>
        </w:rPr>
      </w:pPr>
      <w:r>
        <w:rPr>
          <w:rFonts w:ascii="仿宋_GB2312" w:eastAsia="仿宋_GB2312" w:hAnsi="仿宋_GB2312" w:cs="仿宋_GB2312" w:hint="eastAsia"/>
          <w:sz w:val="32"/>
          <w:szCs w:val="32"/>
        </w:rPr>
        <w:t>1.年初部门预算绩效目标完成情况</w:t>
      </w:r>
    </w:p>
    <w:p w:rsidR="00501310" w:rsidRDefault="00501310">
      <w:pPr>
        <w:adjustRightInd w:val="0"/>
        <w:spacing w:line="600" w:lineRule="exact"/>
        <w:ind w:firstLineChars="200" w:firstLine="640"/>
        <w:rPr>
          <w:rFonts w:ascii="仿宋_GB2312" w:eastAsia="仿宋_GB2312" w:hAnsi="仿宋_GB2312" w:cs="仿宋_GB2312" w:hint="eastAsia"/>
          <w:color w:val="000000"/>
          <w:sz w:val="32"/>
          <w:szCs w:val="32"/>
        </w:rPr>
      </w:pPr>
      <w:r>
        <w:rPr>
          <w:rFonts w:ascii="Calibri" w:eastAsia="仿宋_GB2312" w:hAnsi="Calibri" w:cs="Calibri"/>
          <w:sz w:val="32"/>
          <w:szCs w:val="32"/>
        </w:rPr>
        <w:t>（</w:t>
      </w:r>
      <w:r>
        <w:rPr>
          <w:rFonts w:ascii="Calibri" w:eastAsia="仿宋_GB2312" w:hAnsi="Calibri" w:cs="Calibri" w:hint="eastAsia"/>
          <w:sz w:val="32"/>
          <w:szCs w:val="32"/>
        </w:rPr>
        <w:t>1</w:t>
      </w:r>
      <w:r>
        <w:rPr>
          <w:rFonts w:ascii="Calibri" w:eastAsia="仿宋_GB2312" w:hAnsi="Calibri" w:cs="Calibri"/>
          <w:sz w:val="32"/>
          <w:szCs w:val="32"/>
        </w:rPr>
        <w:t>）</w:t>
      </w:r>
      <w:r>
        <w:rPr>
          <w:rFonts w:ascii="仿宋_GB2312" w:eastAsia="仿宋_GB2312" w:hAnsi="仿宋_GB2312" w:cs="仿宋_GB2312" w:hint="eastAsia"/>
          <w:color w:val="000000"/>
          <w:sz w:val="32"/>
          <w:szCs w:val="32"/>
        </w:rPr>
        <w:t>产出指标完成情况分析。</w:t>
      </w:r>
    </w:p>
    <w:p w:rsidR="00501310" w:rsidRDefault="00501310">
      <w:pPr>
        <w:adjustRightInd w:val="0"/>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 w:hint="eastAsia"/>
          <w:sz w:val="32"/>
          <w:szCs w:val="32"/>
        </w:rPr>
        <w:lastRenderedPageBreak/>
        <w:t>①我校</w:t>
      </w:r>
      <w:r>
        <w:rPr>
          <w:rFonts w:ascii="仿宋_GB2312" w:eastAsia="仿宋_GB2312" w:hAnsi="仿宋"/>
          <w:sz w:val="32"/>
          <w:szCs w:val="32"/>
        </w:rPr>
        <w:t>20</w:t>
      </w:r>
      <w:r>
        <w:rPr>
          <w:rFonts w:ascii="仿宋_GB2312" w:eastAsia="仿宋_GB2312" w:hAnsi="仿宋" w:hint="eastAsia"/>
          <w:sz w:val="32"/>
          <w:szCs w:val="32"/>
        </w:rPr>
        <w:t>20年</w:t>
      </w:r>
      <w:r>
        <w:rPr>
          <w:rFonts w:ascii="仿宋_GB2312" w:eastAsia="仿宋_GB2312" w:hAnsi="仿宋"/>
          <w:sz w:val="32"/>
          <w:szCs w:val="32"/>
        </w:rPr>
        <w:t>面向全国</w:t>
      </w:r>
      <w:r>
        <w:rPr>
          <w:rFonts w:ascii="仿宋_GB2312" w:eastAsia="仿宋_GB2312" w:hAnsi="仿宋" w:hint="eastAsia"/>
          <w:sz w:val="32"/>
          <w:szCs w:val="32"/>
        </w:rPr>
        <w:t>27个</w:t>
      </w:r>
      <w:r>
        <w:rPr>
          <w:rFonts w:ascii="仿宋_GB2312" w:eastAsia="仿宋_GB2312" w:hAnsi="仿宋"/>
          <w:sz w:val="32"/>
          <w:szCs w:val="32"/>
        </w:rPr>
        <w:t>省（</w:t>
      </w:r>
      <w:r>
        <w:rPr>
          <w:rFonts w:ascii="仿宋_GB2312" w:eastAsia="仿宋_GB2312" w:hAnsi="仿宋" w:hint="eastAsia"/>
          <w:sz w:val="32"/>
          <w:szCs w:val="32"/>
        </w:rPr>
        <w:t>市</w:t>
      </w:r>
      <w:r>
        <w:rPr>
          <w:rFonts w:ascii="仿宋_GB2312" w:eastAsia="仿宋_GB2312" w:hAnsi="仿宋"/>
          <w:sz w:val="32"/>
          <w:szCs w:val="32"/>
        </w:rPr>
        <w:t>、自治区）</w:t>
      </w:r>
      <w:r>
        <w:rPr>
          <w:rFonts w:ascii="仿宋_GB2312" w:eastAsia="仿宋_GB2312" w:hAnsi="仿宋" w:hint="eastAsia"/>
          <w:sz w:val="32"/>
          <w:szCs w:val="32"/>
        </w:rPr>
        <w:t>招生</w:t>
      </w:r>
      <w:r>
        <w:rPr>
          <w:rFonts w:ascii="仿宋_GB2312" w:eastAsia="仿宋_GB2312" w:hAnsi="仿宋"/>
          <w:sz w:val="32"/>
          <w:szCs w:val="32"/>
        </w:rPr>
        <w:t>，</w:t>
      </w:r>
      <w:r>
        <w:rPr>
          <w:rFonts w:ascii="仿宋_GB2312" w:eastAsia="仿宋_GB2312" w:hAnsi="仿宋" w:hint="eastAsia"/>
          <w:sz w:val="32"/>
          <w:szCs w:val="32"/>
        </w:rPr>
        <w:t>招生计划3800名，实际</w:t>
      </w:r>
      <w:r>
        <w:rPr>
          <w:rFonts w:ascii="仿宋_GB2312" w:eastAsia="仿宋_GB2312" w:hAnsi="仿宋"/>
          <w:sz w:val="32"/>
          <w:szCs w:val="32"/>
        </w:rPr>
        <w:t>录取</w:t>
      </w:r>
      <w:r>
        <w:rPr>
          <w:rFonts w:ascii="仿宋_GB2312" w:eastAsia="仿宋_GB2312" w:hAnsi="仿宋" w:hint="eastAsia"/>
          <w:sz w:val="32"/>
          <w:szCs w:val="32"/>
        </w:rPr>
        <w:t>3800名，执行率</w:t>
      </w:r>
      <w:r>
        <w:rPr>
          <w:rFonts w:ascii="仿宋_GB2312" w:eastAsia="仿宋_GB2312" w:hAnsi="仿宋"/>
          <w:sz w:val="32"/>
          <w:szCs w:val="32"/>
        </w:rPr>
        <w:t>为</w:t>
      </w:r>
      <w:r>
        <w:rPr>
          <w:rFonts w:ascii="仿宋_GB2312" w:eastAsia="仿宋_GB2312" w:hAnsi="仿宋" w:hint="eastAsia"/>
          <w:sz w:val="32"/>
          <w:szCs w:val="32"/>
        </w:rPr>
        <w:t>100</w:t>
      </w:r>
      <w:r>
        <w:rPr>
          <w:rFonts w:ascii="仿宋_GB2312" w:eastAsia="仿宋_GB2312" w:hAnsi="仿宋"/>
          <w:sz w:val="32"/>
          <w:szCs w:val="32"/>
        </w:rPr>
        <w:t>%</w:t>
      </w:r>
      <w:r>
        <w:rPr>
          <w:rFonts w:ascii="仿宋_GB2312" w:eastAsia="仿宋_GB2312" w:hAnsi="仿宋" w:hint="eastAsia"/>
          <w:sz w:val="32"/>
          <w:szCs w:val="32"/>
        </w:rPr>
        <w:t>；省内本科一批次生源</w:t>
      </w:r>
      <w:r>
        <w:rPr>
          <w:rFonts w:ascii="仿宋_GB2312" w:eastAsia="仿宋_GB2312" w:hAnsi="仿宋"/>
          <w:sz w:val="32"/>
          <w:szCs w:val="32"/>
        </w:rPr>
        <w:t>质量进一步</w:t>
      </w:r>
      <w:r>
        <w:rPr>
          <w:rFonts w:ascii="仿宋_GB2312" w:eastAsia="仿宋_GB2312" w:hAnsi="仿宋" w:hint="eastAsia"/>
          <w:sz w:val="32"/>
          <w:szCs w:val="32"/>
        </w:rPr>
        <w:t>提升，2020年</w:t>
      </w:r>
      <w:r>
        <w:rPr>
          <w:rFonts w:ascii="仿宋_GB2312" w:eastAsia="仿宋_GB2312" w:hAnsi="仿宋"/>
          <w:sz w:val="32"/>
          <w:szCs w:val="32"/>
        </w:rPr>
        <w:t>我</w:t>
      </w:r>
      <w:r>
        <w:rPr>
          <w:rFonts w:ascii="仿宋_GB2312" w:eastAsia="仿宋_GB2312" w:hAnsi="仿宋" w:hint="eastAsia"/>
          <w:sz w:val="32"/>
          <w:szCs w:val="32"/>
        </w:rPr>
        <w:t>校临床医学一本招生</w:t>
      </w:r>
      <w:r>
        <w:rPr>
          <w:rFonts w:ascii="仿宋_GB2312" w:eastAsia="仿宋_GB2312" w:hAnsi="仿宋"/>
          <w:sz w:val="32"/>
          <w:szCs w:val="32"/>
        </w:rPr>
        <w:t>计划为</w:t>
      </w:r>
      <w:r>
        <w:rPr>
          <w:rFonts w:ascii="仿宋_GB2312" w:eastAsia="仿宋_GB2312" w:hAnsi="仿宋" w:hint="eastAsia"/>
          <w:sz w:val="32"/>
          <w:szCs w:val="32"/>
        </w:rPr>
        <w:t>110名</w:t>
      </w:r>
      <w:r>
        <w:rPr>
          <w:rFonts w:ascii="仿宋_GB2312" w:eastAsia="仿宋_GB2312" w:hAnsi="仿宋"/>
          <w:sz w:val="32"/>
          <w:szCs w:val="32"/>
        </w:rPr>
        <w:t>，</w:t>
      </w:r>
      <w:r>
        <w:rPr>
          <w:rFonts w:ascii="仿宋_GB2312" w:eastAsia="仿宋_GB2312" w:hAnsi="仿宋" w:hint="eastAsia"/>
          <w:sz w:val="32"/>
          <w:szCs w:val="32"/>
        </w:rPr>
        <w:t>较</w:t>
      </w:r>
      <w:r>
        <w:rPr>
          <w:rFonts w:ascii="仿宋_GB2312" w:eastAsia="仿宋_GB2312" w:hAnsi="仿宋"/>
          <w:sz w:val="32"/>
          <w:szCs w:val="32"/>
        </w:rPr>
        <w:t>去年</w:t>
      </w:r>
      <w:r>
        <w:rPr>
          <w:rFonts w:ascii="仿宋_GB2312" w:eastAsia="仿宋_GB2312" w:hAnsi="仿宋" w:hint="eastAsia"/>
          <w:sz w:val="32"/>
          <w:szCs w:val="32"/>
        </w:rPr>
        <w:t>招生计划（100名）</w:t>
      </w:r>
      <w:r>
        <w:rPr>
          <w:rFonts w:ascii="仿宋_GB2312" w:eastAsia="仿宋_GB2312" w:hAnsi="仿宋"/>
          <w:sz w:val="32"/>
          <w:szCs w:val="32"/>
        </w:rPr>
        <w:t>增加</w:t>
      </w:r>
      <w:r>
        <w:rPr>
          <w:rFonts w:ascii="仿宋_GB2312" w:eastAsia="仿宋_GB2312" w:hAnsi="仿宋" w:hint="eastAsia"/>
          <w:sz w:val="32"/>
          <w:szCs w:val="32"/>
        </w:rPr>
        <w:t>了10名</w:t>
      </w:r>
      <w:r>
        <w:rPr>
          <w:rFonts w:ascii="仿宋_GB2312" w:eastAsia="仿宋_GB2312" w:hAnsi="仿宋"/>
          <w:sz w:val="32"/>
          <w:szCs w:val="32"/>
        </w:rPr>
        <w:t>，录取调档线</w:t>
      </w:r>
      <w:r>
        <w:rPr>
          <w:rFonts w:ascii="仿宋_GB2312" w:eastAsia="仿宋_GB2312" w:hAnsi="仿宋" w:hint="eastAsia"/>
          <w:sz w:val="32"/>
          <w:szCs w:val="32"/>
        </w:rPr>
        <w:t>超出</w:t>
      </w:r>
      <w:r>
        <w:rPr>
          <w:rFonts w:ascii="仿宋_GB2312" w:eastAsia="仿宋_GB2312" w:hAnsi="仿宋"/>
          <w:sz w:val="32"/>
          <w:szCs w:val="32"/>
        </w:rPr>
        <w:t>省控线</w:t>
      </w:r>
      <w:r>
        <w:rPr>
          <w:rFonts w:ascii="仿宋_GB2312" w:eastAsia="仿宋_GB2312" w:hAnsi="仿宋" w:hint="eastAsia"/>
          <w:sz w:val="32"/>
          <w:szCs w:val="32"/>
        </w:rPr>
        <w:t>14分；省内本科二批次</w:t>
      </w:r>
      <w:r>
        <w:rPr>
          <w:rFonts w:ascii="仿宋_GB2312" w:eastAsia="仿宋_GB2312" w:hAnsi="仿宋"/>
          <w:sz w:val="32"/>
          <w:szCs w:val="32"/>
        </w:rPr>
        <w:t>录取的</w:t>
      </w:r>
      <w:r>
        <w:rPr>
          <w:rFonts w:ascii="仿宋_GB2312" w:eastAsia="仿宋_GB2312" w:hAnsi="仿宋" w:hint="eastAsia"/>
          <w:sz w:val="32"/>
          <w:szCs w:val="32"/>
        </w:rPr>
        <w:t>调档线及位次稳中有升。</w:t>
      </w:r>
      <w:r>
        <w:rPr>
          <w:rFonts w:ascii="仿宋_GB2312" w:eastAsia="仿宋_GB2312" w:hAnsi="仿宋"/>
          <w:sz w:val="32"/>
          <w:szCs w:val="32"/>
        </w:rPr>
        <w:t>文科</w:t>
      </w:r>
      <w:r>
        <w:rPr>
          <w:rFonts w:ascii="仿宋_GB2312" w:eastAsia="仿宋_GB2312" w:hAnsi="仿宋" w:hint="eastAsia"/>
          <w:sz w:val="32"/>
          <w:szCs w:val="32"/>
        </w:rPr>
        <w:t>调档线（502）超出</w:t>
      </w:r>
      <w:r>
        <w:rPr>
          <w:rFonts w:ascii="仿宋_GB2312" w:eastAsia="仿宋_GB2312" w:hAnsi="仿宋"/>
          <w:sz w:val="32"/>
          <w:szCs w:val="32"/>
        </w:rPr>
        <w:t>省控线</w:t>
      </w:r>
      <w:r>
        <w:rPr>
          <w:rFonts w:ascii="仿宋_GB2312" w:eastAsia="仿宋_GB2312" w:hAnsi="仿宋" w:hint="eastAsia"/>
          <w:sz w:val="32"/>
          <w:szCs w:val="32"/>
        </w:rPr>
        <w:t>（459）43分，理科调档线（489）超出</w:t>
      </w:r>
      <w:r>
        <w:rPr>
          <w:rFonts w:ascii="仿宋_GB2312" w:eastAsia="仿宋_GB2312" w:hAnsi="仿宋"/>
          <w:sz w:val="32"/>
          <w:szCs w:val="32"/>
        </w:rPr>
        <w:t>省控线</w:t>
      </w:r>
      <w:r>
        <w:rPr>
          <w:rFonts w:ascii="仿宋_GB2312" w:eastAsia="仿宋_GB2312" w:hAnsi="仿宋" w:hint="eastAsia"/>
          <w:sz w:val="32"/>
          <w:szCs w:val="32"/>
        </w:rPr>
        <w:t>（443）46分；省外</w:t>
      </w:r>
      <w:r>
        <w:rPr>
          <w:rFonts w:ascii="仿宋_GB2312" w:eastAsia="仿宋_GB2312" w:hAnsi="仿宋"/>
          <w:sz w:val="32"/>
          <w:szCs w:val="32"/>
        </w:rPr>
        <w:t>录取</w:t>
      </w:r>
      <w:r>
        <w:rPr>
          <w:rFonts w:ascii="仿宋_GB2312" w:eastAsia="仿宋_GB2312" w:hAnsi="仿宋" w:hint="eastAsia"/>
          <w:sz w:val="32"/>
          <w:szCs w:val="32"/>
        </w:rPr>
        <w:t>有序推进，</w:t>
      </w:r>
      <w:r>
        <w:rPr>
          <w:rFonts w:ascii="仿宋_GB2312" w:eastAsia="仿宋_GB2312" w:hAnsi="仿宋"/>
          <w:sz w:val="32"/>
          <w:szCs w:val="32"/>
        </w:rPr>
        <w:t>全部省市调档线均</w:t>
      </w:r>
      <w:r>
        <w:rPr>
          <w:rFonts w:ascii="仿宋_GB2312" w:eastAsia="仿宋_GB2312" w:hAnsi="仿宋" w:hint="eastAsia"/>
          <w:sz w:val="32"/>
          <w:szCs w:val="32"/>
        </w:rPr>
        <w:t>高分</w:t>
      </w:r>
      <w:r>
        <w:rPr>
          <w:rFonts w:ascii="仿宋_GB2312" w:eastAsia="仿宋_GB2312" w:hAnsi="仿宋"/>
          <w:sz w:val="32"/>
          <w:szCs w:val="32"/>
        </w:rPr>
        <w:t>超过</w:t>
      </w:r>
      <w:r>
        <w:rPr>
          <w:rFonts w:ascii="仿宋_GB2312" w:eastAsia="仿宋_GB2312" w:hAnsi="仿宋" w:hint="eastAsia"/>
          <w:sz w:val="32"/>
          <w:szCs w:val="32"/>
        </w:rPr>
        <w:t>相应</w:t>
      </w:r>
      <w:r>
        <w:rPr>
          <w:rFonts w:ascii="仿宋_GB2312" w:eastAsia="仿宋_GB2312" w:hAnsi="仿宋"/>
          <w:sz w:val="32"/>
          <w:szCs w:val="32"/>
        </w:rPr>
        <w:t>批次省控线</w:t>
      </w:r>
      <w:r>
        <w:rPr>
          <w:rFonts w:ascii="仿宋_GB2312" w:eastAsia="仿宋_GB2312" w:hAnsi="仿宋" w:hint="eastAsia"/>
          <w:sz w:val="32"/>
          <w:szCs w:val="32"/>
        </w:rPr>
        <w:t>（50分以上）。全年平均在校学生（含成教学生）17161人。在学生就业方面，</w:t>
      </w:r>
      <w:r>
        <w:rPr>
          <w:rFonts w:ascii="仿宋_GB2312" w:eastAsia="仿宋_GB2312" w:hAnsi="仿宋_GB2312" w:cs="仿宋_GB2312" w:hint="eastAsia"/>
          <w:sz w:val="32"/>
          <w:szCs w:val="32"/>
        </w:rPr>
        <w:t>坚持“六稳”“六保”要求，强化就业指导帮扶，2020届毕业生就业率达90.04%。</w:t>
      </w:r>
    </w:p>
    <w:p w:rsidR="00501310" w:rsidRDefault="00501310">
      <w:pPr>
        <w:adjustRightInd w:val="0"/>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 w:cs="宋体" w:hint="eastAsia"/>
          <w:color w:val="000000"/>
          <w:sz w:val="32"/>
          <w:szCs w:val="32"/>
        </w:rPr>
        <w:t>②</w:t>
      </w:r>
      <w:r>
        <w:rPr>
          <w:rFonts w:ascii="仿宋_GB2312" w:eastAsia="仿宋_GB2312" w:hAnsi="仿宋_GB2312" w:cs="仿宋_GB2312" w:hint="eastAsia"/>
          <w:color w:val="000000"/>
          <w:sz w:val="32"/>
          <w:szCs w:val="32"/>
        </w:rPr>
        <w:t>全年累计引进博士23人；在职攻读博士研究生毕业5人。目前学校拥有研究生学历（位）的教师777名，占专任教师比例81.96%，其中博士学位教师246人，占专任教师比例为25.94%。遴选推荐国家自然科学基金项目36项、社科基金22项。推荐申报省、市级科研项目150余项。完成111项市级及以上科研项目结题。</w:t>
      </w:r>
    </w:p>
    <w:p w:rsidR="00501310" w:rsidRDefault="00501310">
      <w:pPr>
        <w:adjustRightInd w:val="0"/>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③全力推进申硕攻坚，学校达到硕士学位授予单位基本条件，进入省内推荐公示名单。完善了相关管理制度，建立了研究生教育管理体系。</w:t>
      </w:r>
    </w:p>
    <w:p w:rsidR="00501310" w:rsidRDefault="00501310">
      <w:pPr>
        <w:adjustRightInd w:val="0"/>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④临床医学专业接受了认证专家到校考察，得到充分认可。成功立项3个省级一流本科专业，申报省级应用型示范课程5门、省级创新创业教育示范课程2门；2门课程成为</w:t>
      </w:r>
      <w:r>
        <w:rPr>
          <w:rFonts w:ascii="仿宋_GB2312" w:eastAsia="仿宋_GB2312" w:hAnsi="仿宋_GB2312" w:cs="仿宋_GB2312" w:hint="eastAsia"/>
          <w:color w:val="000000"/>
          <w:sz w:val="32"/>
          <w:szCs w:val="32"/>
        </w:rPr>
        <w:lastRenderedPageBreak/>
        <w:t>省级虚拟仿真实验教学项目，跻身四川省一流课程。</w:t>
      </w:r>
    </w:p>
    <w:p w:rsidR="00501310" w:rsidRDefault="00501310">
      <w:pPr>
        <w:adjustRightInd w:val="0"/>
        <w:spacing w:line="600" w:lineRule="exact"/>
        <w:ind w:firstLineChars="200" w:firstLine="640"/>
        <w:rPr>
          <w:rFonts w:ascii="楷体" w:eastAsia="楷体" w:hAnsi="楷体" w:cs="仿宋_GB2312"/>
          <w:sz w:val="32"/>
          <w:szCs w:val="32"/>
        </w:rPr>
      </w:pPr>
      <w:r>
        <w:rPr>
          <w:rFonts w:ascii="仿宋_GB2312" w:eastAsia="仿宋_GB2312" w:hAnsi="仿宋" w:cs="宋体" w:hint="eastAsia"/>
          <w:color w:val="000000"/>
          <w:sz w:val="32"/>
          <w:szCs w:val="32"/>
        </w:rPr>
        <w:t>⑤</w:t>
      </w:r>
      <w:r>
        <w:rPr>
          <w:rFonts w:ascii="仿宋_GB2312" w:eastAsia="仿宋_GB2312" w:hAnsi="仿宋_GB2312" w:cs="仿宋_GB2312" w:hint="eastAsia"/>
          <w:color w:val="0D0D0D"/>
          <w:sz w:val="32"/>
          <w:szCs w:val="32"/>
        </w:rPr>
        <w:t>确定并分解了2020年帮扶任务，组织开展了</w:t>
      </w:r>
      <w:r>
        <w:rPr>
          <w:rFonts w:ascii="仿宋_GB2312" w:eastAsia="仿宋_GB2312" w:hAnsi="仿宋_GB2312" w:cs="仿宋_GB2312"/>
          <w:color w:val="0D0D0D"/>
          <w:sz w:val="32"/>
          <w:szCs w:val="32"/>
        </w:rPr>
        <w:t>2020</w:t>
      </w:r>
      <w:r>
        <w:rPr>
          <w:rFonts w:ascii="仿宋_GB2312" w:eastAsia="仿宋_GB2312" w:hAnsi="仿宋_GB2312" w:cs="仿宋_GB2312" w:hint="eastAsia"/>
          <w:color w:val="0D0D0D"/>
          <w:sz w:val="32"/>
          <w:szCs w:val="32"/>
        </w:rPr>
        <w:t>年乡城县财会人员、木里县教师等培训9项，针对人才工作开展专题研究1项，加强了乡城县土豆产业和木里县蔬菜、养鸡产业等帮扶，组织开展了淘宝直播带货等农产品线上销售培训。目前31项帮扶任务已经完成，8项任务正有序推进，定点帮扶“两县三村”均已完成脱贫。</w:t>
      </w:r>
    </w:p>
    <w:p w:rsidR="00501310" w:rsidRDefault="00501310">
      <w:pPr>
        <w:spacing w:line="600" w:lineRule="exact"/>
        <w:ind w:firstLineChars="200" w:firstLine="640"/>
        <w:rPr>
          <w:rFonts w:ascii="Calibri" w:eastAsia="仿宋_GB2312" w:hAnsi="Calibri"/>
          <w:sz w:val="32"/>
          <w:szCs w:val="32"/>
        </w:rPr>
      </w:pPr>
      <w:r>
        <w:rPr>
          <w:rFonts w:ascii="仿宋_GB2312" w:eastAsia="仿宋_GB2312" w:hAnsi="仿宋_GB2312" w:cs="仿宋_GB2312" w:hint="eastAsia"/>
          <w:sz w:val="32"/>
          <w:szCs w:val="32"/>
        </w:rPr>
        <w:t>（2）效益指标完成情况分析。</w:t>
      </w:r>
      <w:r>
        <w:rPr>
          <w:rFonts w:ascii="仿宋_GB2312" w:eastAsia="仿宋_GB2312" w:hAnsi="Calibri" w:cs="宋体" w:hint="eastAsia"/>
          <w:sz w:val="32"/>
          <w:szCs w:val="32"/>
        </w:rPr>
        <w:t>学校成为川西南、滇西北高素质应用型专人人才培养基地</w:t>
      </w:r>
      <w:r>
        <w:rPr>
          <w:rFonts w:ascii="Calibri" w:eastAsia="仿宋_GB2312" w:hAnsi="Calibri" w:cs="宋体" w:hint="eastAsia"/>
          <w:sz w:val="32"/>
          <w:szCs w:val="32"/>
        </w:rPr>
        <w:t xml:space="preserve"> </w:t>
      </w:r>
      <w:r>
        <w:rPr>
          <w:rFonts w:ascii="仿宋_GB2312" w:eastAsia="仿宋_GB2312" w:hAnsi="Calibri" w:cs="宋体" w:hint="eastAsia"/>
          <w:sz w:val="32"/>
          <w:szCs w:val="32"/>
        </w:rPr>
        <w:t>；成为区域技术创新和科技成果转化的重要平台，产生了良好的社会效益。</w:t>
      </w:r>
    </w:p>
    <w:p w:rsidR="00501310" w:rsidRDefault="00501310">
      <w:pPr>
        <w:spacing w:line="600" w:lineRule="exact"/>
        <w:ind w:firstLineChars="200" w:firstLine="640"/>
        <w:jc w:val="left"/>
        <w:rPr>
          <w:rFonts w:ascii="楷体" w:eastAsia="楷体" w:hAnsi="楷体" w:cs="仿宋_GB2312"/>
          <w:sz w:val="32"/>
          <w:szCs w:val="32"/>
        </w:rPr>
      </w:pPr>
      <w:r>
        <w:rPr>
          <w:rFonts w:ascii="Calibri" w:eastAsia="仿宋_GB2312" w:hAnsi="Calibri" w:cs="Calibri"/>
          <w:sz w:val="32"/>
          <w:szCs w:val="32"/>
        </w:rPr>
        <w:t>（</w:t>
      </w:r>
      <w:r>
        <w:rPr>
          <w:rFonts w:ascii="Calibri" w:eastAsia="仿宋_GB2312" w:hAnsi="Calibri" w:cs="Calibri" w:hint="eastAsia"/>
          <w:sz w:val="32"/>
          <w:szCs w:val="32"/>
        </w:rPr>
        <w:t>3</w:t>
      </w:r>
      <w:r>
        <w:rPr>
          <w:rFonts w:ascii="Calibri" w:eastAsia="仿宋_GB2312" w:hAnsi="Calibri" w:cs="Calibri"/>
          <w:sz w:val="32"/>
          <w:szCs w:val="32"/>
        </w:rPr>
        <w:t>）</w:t>
      </w:r>
      <w:r>
        <w:rPr>
          <w:rFonts w:ascii="仿宋_GB2312" w:eastAsia="仿宋_GB2312" w:hAnsi="仿宋_GB2312" w:cs="仿宋_GB2312" w:hint="eastAsia"/>
          <w:sz w:val="32"/>
          <w:szCs w:val="32"/>
        </w:rPr>
        <w:t>满意度指标完成情况分析。</w:t>
      </w:r>
      <w:r>
        <w:rPr>
          <w:rFonts w:ascii="仿宋_GB2312" w:eastAsia="仿宋_GB2312" w:hAnsi="Calibri" w:cs="宋体" w:hint="eastAsia"/>
          <w:sz w:val="32"/>
          <w:szCs w:val="32"/>
        </w:rPr>
        <w:t>疫情期间坚</w:t>
      </w:r>
      <w:r>
        <w:rPr>
          <w:rFonts w:ascii="仿宋_GB2312" w:eastAsia="仿宋_GB2312" w:hAnsi="仿宋_GB2312" w:cs="仿宋_GB2312" w:hint="eastAsia"/>
          <w:sz w:val="32"/>
          <w:szCs w:val="32"/>
        </w:rPr>
        <w:t>持</w:t>
      </w:r>
      <w:r>
        <w:rPr>
          <w:rFonts w:ascii="仿宋_GB2312" w:eastAsia="仿宋_GB2312" w:hAnsi="仿宋_GB2312" w:cs="仿宋_GB2312" w:hint="eastAsia"/>
          <w:color w:val="0D0D0D"/>
          <w:sz w:val="32"/>
          <w:szCs w:val="28"/>
        </w:rPr>
        <w:t>“停课不停教、停课不停学”，积极开展线上教学，开设课程891门，学生在线学习14万余人次、满意率为91%。</w:t>
      </w:r>
      <w:r>
        <w:rPr>
          <w:rFonts w:ascii="仿宋_GB2312" w:eastAsia="仿宋_GB2312" w:hAnsi="Courier New" w:cs="宋体" w:hint="eastAsia"/>
          <w:sz w:val="32"/>
          <w:szCs w:val="32"/>
        </w:rPr>
        <w:t>科研服务单位满意度</w:t>
      </w:r>
      <w:r>
        <w:rPr>
          <w:rFonts w:ascii="宋体" w:eastAsia="仿宋_GB2312" w:hAnsi="Courier New" w:hint="eastAsia"/>
          <w:sz w:val="32"/>
          <w:szCs w:val="32"/>
        </w:rPr>
        <w:t>98%</w:t>
      </w:r>
      <w:r>
        <w:rPr>
          <w:rFonts w:ascii="仿宋_GB2312" w:eastAsia="仿宋_GB2312" w:hAnsi="Courier New" w:cs="宋体" w:hint="eastAsia"/>
          <w:sz w:val="32"/>
          <w:szCs w:val="32"/>
        </w:rPr>
        <w:t>，教师满意度</w:t>
      </w:r>
      <w:r>
        <w:rPr>
          <w:rFonts w:ascii="宋体" w:eastAsia="仿宋_GB2312" w:hAnsi="Courier New" w:hint="eastAsia"/>
          <w:sz w:val="32"/>
          <w:szCs w:val="32"/>
        </w:rPr>
        <w:t>95%</w:t>
      </w:r>
      <w:r>
        <w:rPr>
          <w:rFonts w:ascii="仿宋_GB2312" w:eastAsia="仿宋_GB2312" w:hAnsi="Courier New" w:cs="宋体" w:hint="eastAsia"/>
          <w:sz w:val="32"/>
          <w:szCs w:val="32"/>
        </w:rPr>
        <w:t>。</w:t>
      </w:r>
    </w:p>
    <w:p w:rsidR="00501310" w:rsidRDefault="00501310">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sz w:val="32"/>
          <w:szCs w:val="32"/>
        </w:rPr>
        <w:t>.市级专项（</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资金绩效目标完成情况</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（1）2020年度物价上涨学生生活补助，项目总体目标是控制学生食堂饭菜价格补助食堂，本年项目受惠学生人数17684人，财政资金足额到位率100%。</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2020年度中央支持地方高校改革发展专项资金市财政配套，项目总体目标提升教学实验平台升级扩能，本年度支持的专业数量18个，支持的教学实验室数量13个，支持的课程建设门数132个，实验项目开出率99%，学生就业率97%。</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（3）2020年度学生专项拨款，项目总体目标完成学生实践教学、学科竞赛、创新实验等教学工作，本年学生参加实践教学4500人，学科竞赛150项；创新实验项目部340项。</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2020年度教育收费专项支出，项目总体目标完成学生奖助学金发放、长期聘用人员工资及社保、人才引进及稳定、教师培训、实验专用设备购置等，设立勤工助学岗105个，创新创业奖50名，青年奖学金1300名，长期聘用人员工资及社保缴纳508人，教师全员继续教育培训、辅导员培训、教师岗前培训500人次，学生资助经费占事业收入比率5%，高层次人才稳定率90%，教师培训合格率100%。</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（5）2020年度教育收费支出-地方高水平特色大学师资队伍队伍建设支出，项目总体目标完成师资队伍培训，提高教学科研水平，服务学生和地方，教师培训人次60人次，教师培训合格率100%。 </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2020年度援藏援彝干部人才补助经费，项目总体目标保障援藏干部补助正常发放，智力帮扶-开展技能培训，产业帮扶-研究和解决当地特色农产品种植及农副深加工，援藏援彝干部人数大于等于5人，对口扶贫单位满意度100%。</w:t>
      </w:r>
    </w:p>
    <w:p w:rsidR="00501310" w:rsidRDefault="00501310">
      <w:pPr>
        <w:spacing w:line="60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（二）上级专项（项目）资金绩效目标完成情况</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2020年中央支持地方高校改革发展资金共计1050万元，其中中央及省级资金950万，市级配套100万。学校积极利用以上资金加强实验教学平台建设，提高教育教学信息化水</w:t>
      </w:r>
      <w:r>
        <w:rPr>
          <w:rFonts w:ascii="仿宋_GB2312" w:eastAsia="仿宋_GB2312" w:hAnsi="仿宋_GB2312" w:cs="仿宋_GB2312" w:hint="eastAsia"/>
          <w:sz w:val="32"/>
          <w:szCs w:val="32"/>
        </w:rPr>
        <w:lastRenderedPageBreak/>
        <w:t>平。学校利用300万建设脑科学研究中心，利用250万建设装配式建筑工业化生产与信息技术中心，利用500万建设数字化设计与制造实验室。</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脑科学研究中心共计建设两间实验室，使用面积200㎡，分别为分子与免疫组化实验室、神经电生理实验室，开设“神经生物学”与“脑科学与认知科学”两个方向的课程。学生通过脑科学与神经生物学实验室学习，接触先进的神经生物学领域技术。通过理论与实践学习，学生可以掌握神经生物与认知科学基本知识，熟练操作脑科学研究仪器，具备制作神经组织病理切片和神经生物学动物模型的基本能力，提高神经科学的兴趣和探索热情, 拓展学生的自然科学和医学知识面，启发和激励发学生在今后临床工作与研究中对认知神经科学的作用和意义进行思考和想象。脑科学与神经生物学实验室实验室可面向全校服务于临床医学、护理学、康复医学、眼视光医学、生物工程等相关专业学生的学习，支撑基础医学与智能医学等方向的理论和实践教学、科研，每年受益学生1000余人。</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装配式建筑工业化生产与信息技术中心建设了混凝土装配式工法楼和装配式建筑信息化实训室。装配式建筑工业化生产与信息技术中心主要服务于学校土木工程和工程管理两个专业，可满足《装配式建筑生产工艺与施工技术》、《构造与识图》等课程的教学任务，年受益学生1000余人。</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数字化设计与制造实验室占地共计608平方米，包含3</w:t>
      </w:r>
      <w:r>
        <w:rPr>
          <w:rFonts w:ascii="仿宋_GB2312" w:eastAsia="仿宋_GB2312" w:hAnsi="仿宋_GB2312" w:cs="仿宋_GB2312" w:hint="eastAsia"/>
          <w:sz w:val="32"/>
          <w:szCs w:val="32"/>
        </w:rPr>
        <w:lastRenderedPageBreak/>
        <w:t>个实验室,1个存放室和1个学生机房，分别为金属切割机存放室、五轴数控实验室及配套学生机房、非金属激光雕刻切割实验室室、三坐标测量仪检测实验室。不仅可以开展常规的CAD、CAM、CAPP、生产管理等方面的研究和实验，也能开展基于Internet的协同设计、远程监控、并行工程等先进制造技术领域前沿性研究方向的研究工作。实验室采用现代化的设计、制造设备，覆盖机械设计制造及自动化、机械电子工程、产品设计、材料成型及控制工程等专业的多门课程实验、课程设计、毕业设计等实践教学环节，同时还对于学生的学科竞赛、大学生创新创业项目有着很强的推动作用，年受益学生3000余人。此外，相关设备还可服务攀枝花当地企业，带动地方经济，具有较大的社会意义。</w:t>
      </w:r>
    </w:p>
    <w:p w:rsidR="00501310" w:rsidRDefault="0050131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截止目前，学校已基本完成绩效目标。通过项目建设，搭建了数字化医学实验平台，可有效提升医学科研水平和质量，可围绕脑科学与认知科学、神经工程与生机交互、类脑智能理论与医学应用等研究方向，实现基础研究、应用研究、成果转化、产业化等环节的有机链接；强化了智能制造相关专业集群实验教学条件，可培养学生掌握智能制造、机器人运用与开发等相关领域基础知识；可培养大学生创新创业能力，提高教育教学质量和办学水平。</w:t>
      </w:r>
    </w:p>
    <w:p w:rsidR="00501310" w:rsidRDefault="00501310">
      <w:pPr>
        <w:spacing w:line="600" w:lineRule="exact"/>
        <w:ind w:firstLineChars="200" w:firstLine="640"/>
        <w:jc w:val="left"/>
        <w:rPr>
          <w:rFonts w:ascii="楷体" w:eastAsia="楷体" w:hAnsi="楷体" w:cs="仿宋_GB2312"/>
          <w:sz w:val="32"/>
          <w:szCs w:val="32"/>
        </w:rPr>
      </w:pPr>
      <w:r>
        <w:rPr>
          <w:rFonts w:ascii="楷体" w:eastAsia="楷体" w:hAnsi="楷体" w:cs="仿宋_GB2312" w:hint="eastAsia"/>
          <w:sz w:val="32"/>
          <w:szCs w:val="32"/>
        </w:rPr>
        <w:t>（</w:t>
      </w:r>
      <w:r>
        <w:rPr>
          <w:rFonts w:ascii="楷体" w:eastAsia="楷体" w:hAnsi="楷体" w:cs="楷体" w:hint="eastAsia"/>
          <w:sz w:val="32"/>
          <w:szCs w:val="32"/>
        </w:rPr>
        <w:t>三）无其他需要说明的情况</w:t>
      </w:r>
    </w:p>
    <w:p w:rsidR="00501310" w:rsidRDefault="00501310">
      <w:pPr>
        <w:spacing w:line="600" w:lineRule="exact"/>
        <w:ind w:firstLineChars="200" w:firstLine="640"/>
        <w:jc w:val="left"/>
        <w:rPr>
          <w:rFonts w:ascii="楷体" w:eastAsia="楷体" w:hAnsi="楷体" w:cs="楷体" w:hint="eastAsia"/>
          <w:sz w:val="32"/>
          <w:szCs w:val="32"/>
        </w:rPr>
      </w:pPr>
      <w:r>
        <w:rPr>
          <w:rFonts w:ascii="楷体" w:eastAsia="楷体" w:hAnsi="楷体" w:cs="楷体" w:hint="eastAsia"/>
          <w:sz w:val="32"/>
          <w:szCs w:val="32"/>
        </w:rPr>
        <w:t>（四）自评结论：较好的达到了绩效目标</w:t>
      </w:r>
    </w:p>
    <w:p w:rsidR="00501310" w:rsidRDefault="00501310">
      <w:pPr>
        <w:spacing w:line="600" w:lineRule="exact"/>
        <w:ind w:firstLineChars="200" w:firstLine="640"/>
        <w:jc w:val="left"/>
        <w:rPr>
          <w:rFonts w:ascii="黑体" w:eastAsia="黑体" w:hAnsi="黑体" w:cs="仿宋_GB2312"/>
          <w:sz w:val="32"/>
          <w:szCs w:val="32"/>
        </w:rPr>
      </w:pPr>
      <w:r>
        <w:rPr>
          <w:rFonts w:ascii="黑体" w:eastAsia="黑体" w:hAnsi="黑体" w:cs="仿宋_GB2312" w:hint="eastAsia"/>
          <w:sz w:val="32"/>
          <w:szCs w:val="32"/>
        </w:rPr>
        <w:t>四、偏离绩效目标的原因和下一步改进措施</w:t>
      </w:r>
    </w:p>
    <w:p w:rsidR="00501310" w:rsidRDefault="00501310">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lastRenderedPageBreak/>
        <w:t>财政拨款资金执行率78.63%，主要原因是科研项目和教研教改项目建设周期一般为两至三年；攀西战略资源开发产教融合实训基地项目按照教育厅及市委市政府抗疫安排，1-9月停工造成工程延期，无法按时竣工结算；因疫情原因及财政库款紧张，一部分设备款及教学支出未能及时支付。下一步我们将按研究项目经费拨付周期，使项目经费及时拨付，及时使用；预先做好</w:t>
      </w:r>
      <w:r>
        <w:rPr>
          <w:rFonts w:ascii="仿宋_GB2312" w:eastAsia="仿宋_GB2312" w:hAnsi="仿宋"/>
          <w:sz w:val="32"/>
          <w:szCs w:val="32"/>
        </w:rPr>
        <w:t>准备工作，提前谋划项目</w:t>
      </w:r>
      <w:r>
        <w:rPr>
          <w:rFonts w:ascii="仿宋_GB2312" w:eastAsia="仿宋_GB2312" w:hAnsi="仿宋" w:hint="eastAsia"/>
          <w:sz w:val="32"/>
          <w:szCs w:val="32"/>
        </w:rPr>
        <w:t>，</w:t>
      </w:r>
      <w:r>
        <w:rPr>
          <w:rFonts w:ascii="仿宋_GB2312" w:eastAsia="仿宋_GB2312" w:hAnsi="仿宋"/>
          <w:sz w:val="32"/>
          <w:szCs w:val="32"/>
        </w:rPr>
        <w:t>资金下达后及时开展项目工作，加快执行进度，加强项目督办力度</w:t>
      </w:r>
      <w:r>
        <w:rPr>
          <w:rFonts w:ascii="仿宋_GB2312" w:eastAsia="仿宋_GB2312" w:hAnsi="仿宋" w:hint="eastAsia"/>
          <w:sz w:val="32"/>
          <w:szCs w:val="32"/>
        </w:rPr>
        <w:t>，</w:t>
      </w:r>
      <w:r>
        <w:rPr>
          <w:rFonts w:ascii="仿宋_GB2312" w:eastAsia="仿宋_GB2312" w:hAnsi="仿宋"/>
          <w:sz w:val="32"/>
          <w:szCs w:val="32"/>
        </w:rPr>
        <w:t>充分发挥项目资金效益</w:t>
      </w:r>
      <w:r>
        <w:rPr>
          <w:rFonts w:ascii="仿宋_GB2312" w:eastAsia="仿宋_GB2312" w:hAnsi="仿宋" w:hint="eastAsia"/>
          <w:sz w:val="32"/>
          <w:szCs w:val="32"/>
        </w:rPr>
        <w:t>。</w:t>
      </w:r>
    </w:p>
    <w:p w:rsidR="00501310" w:rsidRDefault="00501310">
      <w:pPr>
        <w:spacing w:line="600" w:lineRule="exact"/>
        <w:ind w:firstLineChars="200" w:firstLine="640"/>
        <w:jc w:val="left"/>
        <w:rPr>
          <w:rFonts w:ascii="黑体" w:eastAsia="黑体" w:hAnsi="黑体" w:cs="仿宋_GB2312"/>
          <w:sz w:val="32"/>
          <w:szCs w:val="32"/>
        </w:rPr>
      </w:pPr>
      <w:r>
        <w:rPr>
          <w:rFonts w:ascii="黑体" w:eastAsia="黑体" w:hAnsi="黑体" w:cs="仿宋_GB2312" w:hint="eastAsia"/>
          <w:sz w:val="32"/>
          <w:szCs w:val="32"/>
        </w:rPr>
        <w:t>五、绩效自评结果拟应用和</w:t>
      </w:r>
      <w:r>
        <w:rPr>
          <w:rFonts w:ascii="黑体" w:eastAsia="黑体" w:hAnsi="黑体"/>
          <w:sz w:val="32"/>
          <w:szCs w:val="32"/>
        </w:rPr>
        <w:t>公开公示情况</w:t>
      </w:r>
    </w:p>
    <w:p w:rsidR="00501310" w:rsidRDefault="00501310">
      <w:pPr>
        <w:spacing w:line="600" w:lineRule="exact"/>
        <w:ind w:firstLineChars="200" w:firstLine="640"/>
        <w:rPr>
          <w:rFonts w:ascii="仿宋_GB2312" w:eastAsia="仿宋_GB2312" w:hAnsi="仿宋" w:cs="宋体"/>
          <w:color w:val="000000"/>
          <w:sz w:val="32"/>
          <w:szCs w:val="32"/>
        </w:rPr>
      </w:pPr>
      <w:r>
        <w:rPr>
          <w:rFonts w:ascii="仿宋_GB2312" w:eastAsia="仿宋_GB2312" w:hAnsi="仿宋" w:cs="宋体" w:hint="eastAsia"/>
          <w:color w:val="000000"/>
          <w:sz w:val="32"/>
          <w:szCs w:val="32"/>
        </w:rPr>
        <w:t>通过绩效评价，我校进一步掌握了项目经费使用情况和取得的效果，总结了项目资金管理经验，为下一年提高资金的使用效益，加强财政支出的规范管理、健全、完善支出项目和资金使用管理办法、完善预算编制和加强绩效目标管理等工作提供重要的参考依据。绩效自评结果将在上报后按规定在校园内网公开公示。</w:t>
      </w:r>
    </w:p>
    <w:p w:rsidR="009B11FD" w:rsidRDefault="009B11FD" w:rsidP="009B11FD">
      <w:pPr>
        <w:spacing w:line="700" w:lineRule="exact"/>
        <w:jc w:val="center"/>
        <w:rPr>
          <w:rFonts w:ascii="方正小标宋_GBK" w:eastAsia="方正小标宋_GBK" w:hAnsi="黑体" w:cs="黑体" w:hint="eastAsia"/>
          <w:sz w:val="44"/>
          <w:szCs w:val="44"/>
        </w:rPr>
      </w:pPr>
    </w:p>
    <w:p w:rsidR="009B11FD" w:rsidRDefault="009B11FD" w:rsidP="009B11FD">
      <w:pPr>
        <w:spacing w:line="700" w:lineRule="exact"/>
        <w:jc w:val="center"/>
        <w:rPr>
          <w:rFonts w:ascii="方正小标宋_GBK" w:eastAsia="方正小标宋_GBK" w:hAnsi="黑体" w:cs="黑体" w:hint="eastAsia"/>
          <w:sz w:val="44"/>
          <w:szCs w:val="44"/>
        </w:rPr>
      </w:pPr>
    </w:p>
    <w:p w:rsidR="009B11FD" w:rsidRDefault="009B11FD" w:rsidP="009B11FD">
      <w:pPr>
        <w:spacing w:line="700" w:lineRule="exact"/>
        <w:jc w:val="center"/>
        <w:rPr>
          <w:rFonts w:ascii="方正小标宋_GBK" w:eastAsia="方正小标宋_GBK" w:hAnsi="黑体" w:cs="黑体" w:hint="eastAsia"/>
          <w:sz w:val="44"/>
          <w:szCs w:val="44"/>
        </w:rPr>
      </w:pPr>
    </w:p>
    <w:p w:rsidR="009B11FD" w:rsidRDefault="009B11FD" w:rsidP="009B11FD">
      <w:pPr>
        <w:spacing w:line="700" w:lineRule="exact"/>
        <w:jc w:val="center"/>
        <w:rPr>
          <w:rFonts w:ascii="方正小标宋_GBK" w:eastAsia="方正小标宋_GBK" w:hAnsi="黑体" w:cs="黑体" w:hint="eastAsia"/>
          <w:sz w:val="44"/>
          <w:szCs w:val="44"/>
        </w:rPr>
      </w:pPr>
    </w:p>
    <w:p w:rsidR="009B11FD" w:rsidRDefault="009B11FD" w:rsidP="009B11FD">
      <w:pPr>
        <w:spacing w:line="700" w:lineRule="exact"/>
        <w:jc w:val="center"/>
        <w:rPr>
          <w:rFonts w:ascii="方正小标宋_GBK" w:eastAsia="方正小标宋_GBK" w:hAnsi="黑体" w:cs="黑体" w:hint="eastAsia"/>
          <w:sz w:val="44"/>
          <w:szCs w:val="44"/>
        </w:rPr>
      </w:pPr>
    </w:p>
    <w:p w:rsidR="009B11FD" w:rsidRPr="0043151C" w:rsidRDefault="009B11FD" w:rsidP="0043151C">
      <w:pPr>
        <w:tabs>
          <w:tab w:val="left" w:pos="7095"/>
        </w:tabs>
        <w:jc w:val="left"/>
        <w:outlineLvl w:val="1"/>
        <w:rPr>
          <w:rFonts w:ascii="黑体" w:eastAsia="黑体" w:hAnsi="黑体" w:cs="黑体" w:hint="eastAsia"/>
          <w:sz w:val="32"/>
          <w:szCs w:val="32"/>
        </w:rPr>
      </w:pPr>
      <w:bookmarkStart w:id="128" w:name="_Toc82075650"/>
      <w:r w:rsidRPr="0043151C">
        <w:rPr>
          <w:rFonts w:ascii="黑体" w:eastAsia="黑体" w:hAnsi="黑体" w:cs="黑体" w:hint="eastAsia"/>
          <w:sz w:val="32"/>
          <w:szCs w:val="32"/>
        </w:rPr>
        <w:t>附件2</w:t>
      </w:r>
      <w:bookmarkEnd w:id="128"/>
    </w:p>
    <w:p w:rsidR="009B11FD" w:rsidRPr="009B11FD" w:rsidRDefault="009B11FD" w:rsidP="009B11FD">
      <w:pPr>
        <w:spacing w:line="700" w:lineRule="exact"/>
        <w:jc w:val="center"/>
        <w:rPr>
          <w:rFonts w:ascii="方正小标宋_GBK" w:eastAsia="方正小标宋_GBK" w:hAnsi="黑体" w:cs="黑体"/>
          <w:sz w:val="44"/>
          <w:szCs w:val="44"/>
        </w:rPr>
      </w:pPr>
      <w:r w:rsidRPr="009B11FD">
        <w:rPr>
          <w:rFonts w:ascii="方正小标宋_GBK" w:eastAsia="方正小标宋_GBK" w:hAnsi="黑体" w:cs="黑体" w:hint="eastAsia"/>
          <w:sz w:val="44"/>
          <w:szCs w:val="44"/>
        </w:rPr>
        <w:lastRenderedPageBreak/>
        <w:t>攀枝花学院</w:t>
      </w:r>
    </w:p>
    <w:p w:rsidR="009B11FD" w:rsidRPr="009B11FD" w:rsidRDefault="009B11FD" w:rsidP="009B11FD">
      <w:pPr>
        <w:spacing w:line="700" w:lineRule="exact"/>
        <w:jc w:val="center"/>
        <w:rPr>
          <w:rFonts w:ascii="方正小标宋_GBK" w:eastAsia="方正小标宋_GBK" w:hAnsi="黑体" w:cs="黑体"/>
          <w:sz w:val="44"/>
          <w:szCs w:val="44"/>
        </w:rPr>
      </w:pPr>
      <w:r w:rsidRPr="009B11FD">
        <w:rPr>
          <w:rFonts w:ascii="方正小标宋_GBK" w:eastAsia="方正小标宋_GBK" w:hAnsi="黑体" w:cs="黑体" w:hint="eastAsia"/>
          <w:sz w:val="44"/>
          <w:szCs w:val="44"/>
        </w:rPr>
        <w:t>2020年度部门预算项目支出绩效自评报告</w:t>
      </w:r>
    </w:p>
    <w:p w:rsidR="009B11FD" w:rsidRPr="009B11FD" w:rsidRDefault="009B11FD" w:rsidP="009B11FD">
      <w:pPr>
        <w:spacing w:line="700" w:lineRule="exact"/>
        <w:jc w:val="center"/>
        <w:rPr>
          <w:rFonts w:ascii="方正小标宋_GBK" w:eastAsia="方正小标宋_GBK" w:hAnsi="黑体" w:cs="黑体"/>
          <w:sz w:val="44"/>
          <w:szCs w:val="44"/>
        </w:rPr>
      </w:pPr>
      <w:r w:rsidRPr="009B11FD">
        <w:rPr>
          <w:rFonts w:ascii="方正小标宋_GBK" w:eastAsia="方正小标宋_GBK" w:hAnsi="黑体" w:cs="黑体" w:hint="eastAsia"/>
          <w:sz w:val="44"/>
          <w:szCs w:val="44"/>
        </w:rPr>
        <w:t>（财政拨款中央支持地方高校改革发展</w:t>
      </w:r>
    </w:p>
    <w:p w:rsidR="009B11FD" w:rsidRPr="009B11FD" w:rsidRDefault="009B11FD" w:rsidP="009B11FD">
      <w:pPr>
        <w:spacing w:line="700" w:lineRule="exact"/>
        <w:jc w:val="center"/>
        <w:rPr>
          <w:rFonts w:ascii="方正小标宋_GBK" w:eastAsia="方正小标宋_GBK" w:hAnsi="黑体" w:cs="黑体"/>
          <w:sz w:val="44"/>
          <w:szCs w:val="44"/>
        </w:rPr>
      </w:pPr>
      <w:r w:rsidRPr="009B11FD">
        <w:rPr>
          <w:rFonts w:ascii="方正小标宋_GBK" w:eastAsia="方正小标宋_GBK" w:hAnsi="黑体" w:cs="黑体" w:hint="eastAsia"/>
          <w:sz w:val="44"/>
          <w:szCs w:val="44"/>
        </w:rPr>
        <w:t>专项资金市财政配套）</w:t>
      </w:r>
    </w:p>
    <w:p w:rsidR="009B11FD" w:rsidRPr="009B11FD" w:rsidRDefault="009B11FD" w:rsidP="009B11FD">
      <w:pPr>
        <w:spacing w:line="600" w:lineRule="exact"/>
        <w:ind w:firstLineChars="200" w:firstLine="640"/>
        <w:jc w:val="left"/>
        <w:rPr>
          <w:rFonts w:ascii="仿宋_GB2312" w:eastAsia="仿宋_GB2312" w:hAnsi="仿宋_GB2312" w:cs="仿宋_GB2312"/>
          <w:sz w:val="32"/>
          <w:szCs w:val="32"/>
        </w:rPr>
      </w:pPr>
    </w:p>
    <w:p w:rsidR="009B11FD" w:rsidRPr="009B11FD" w:rsidRDefault="009B11FD" w:rsidP="009B11FD">
      <w:pPr>
        <w:numPr>
          <w:ilvl w:val="0"/>
          <w:numId w:val="3"/>
        </w:numPr>
        <w:autoSpaceDE w:val="0"/>
        <w:autoSpaceDN w:val="0"/>
        <w:adjustRightInd w:val="0"/>
        <w:spacing w:line="560" w:lineRule="exact"/>
        <w:jc w:val="left"/>
        <w:rPr>
          <w:rFonts w:eastAsia="黑体"/>
          <w:kern w:val="0"/>
          <w:sz w:val="32"/>
          <w:szCs w:val="32"/>
        </w:rPr>
      </w:pPr>
      <w:r w:rsidRPr="009B11FD">
        <w:rPr>
          <w:rFonts w:eastAsia="黑体"/>
          <w:kern w:val="0"/>
          <w:sz w:val="32"/>
          <w:szCs w:val="32"/>
        </w:rPr>
        <w:t>项目概况</w:t>
      </w:r>
    </w:p>
    <w:p w:rsidR="009B11FD" w:rsidRPr="009B11FD" w:rsidRDefault="009B11FD" w:rsidP="009B11FD">
      <w:pPr>
        <w:autoSpaceDE w:val="0"/>
        <w:autoSpaceDN w:val="0"/>
        <w:adjustRightInd w:val="0"/>
        <w:spacing w:line="560" w:lineRule="exact"/>
        <w:ind w:left="640"/>
        <w:jc w:val="left"/>
        <w:rPr>
          <w:rFonts w:eastAsia="楷体_GB2312"/>
          <w:kern w:val="0"/>
          <w:sz w:val="32"/>
          <w:szCs w:val="32"/>
        </w:rPr>
      </w:pPr>
      <w:r w:rsidRPr="009B11FD">
        <w:rPr>
          <w:rFonts w:eastAsia="楷体_GB2312"/>
          <w:kern w:val="0"/>
          <w:sz w:val="32"/>
          <w:szCs w:val="32"/>
        </w:rPr>
        <w:t>（一）项目基本情况</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中央财政支持地方高校发展资金是国家为促进高等教育区域协调发展，提高地方高等教育质量，支持地方高校重点发展物特色办学而设立的专项资金。该专项资金主要用于地方高校重点学科建设、教学实验平台建设、科研平台和专业能力实践基地建设、公共服务体系建设以及人才培养和创新团队建设等。根据攀枝花市人民政府《关于同意给予攀枝花学院中央财政支持地方高校发展专项资金项目配套建设经费的函》（攀府函〔2010〕88号），同意给予攀枝花学院该项目配套经费30%。</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楷体_GB2312"/>
          <w:kern w:val="0"/>
          <w:sz w:val="32"/>
          <w:szCs w:val="32"/>
        </w:rPr>
        <w:t>（二）项目绩效目标</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中央财政支持地方高校发展资金将极大改善学校办学条件。第一，有效提升实验教学平台，完善实践育人体系，提高学生实践动手能力和创新创业能力；第二，帮助学校加大专业建设、课程建设力度，提高教育教学水平，提升教育教学质量；第三，提高实践教学信息化水平，实现学生随时随地学习、反复学习，以学生为中心、增强学生自主学习能</w:t>
      </w:r>
      <w:r w:rsidRPr="009B11FD">
        <w:rPr>
          <w:rFonts w:ascii="仿宋_GB2312" w:eastAsia="仿宋_GB2312" w:hAnsi="仿宋_GB2312" w:cs="仿宋_GB2312" w:hint="eastAsia"/>
          <w:sz w:val="32"/>
          <w:szCs w:val="32"/>
          <w:shd w:val="clear" w:color="auto" w:fill="FFFFFF"/>
        </w:rPr>
        <w:lastRenderedPageBreak/>
        <w:t>力；第四，逐步建立新工科、新文科实验实训平台，帮助学生赢取竞争优势，提升学生就业竞争力。</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黑体"/>
          <w:kern w:val="0"/>
          <w:sz w:val="32"/>
          <w:szCs w:val="32"/>
        </w:rPr>
        <w:t>二、项目资金申报及使用情况</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楷体_GB2312"/>
          <w:kern w:val="0"/>
          <w:sz w:val="32"/>
          <w:szCs w:val="32"/>
        </w:rPr>
        <w:t>（</w:t>
      </w:r>
      <w:r w:rsidRPr="009B11FD">
        <w:rPr>
          <w:rFonts w:eastAsia="楷体_GB2312" w:hint="eastAsia"/>
          <w:kern w:val="0"/>
          <w:sz w:val="32"/>
          <w:szCs w:val="32"/>
        </w:rPr>
        <w:t>一</w:t>
      </w:r>
      <w:r w:rsidRPr="009B11FD">
        <w:rPr>
          <w:rFonts w:eastAsia="楷体_GB2312"/>
          <w:kern w:val="0"/>
          <w:sz w:val="32"/>
          <w:szCs w:val="32"/>
        </w:rPr>
        <w:t>）资金计划、到位及使用情况</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本年年初预算财政拨款收入100万元，财政拨款中央支持地方高校改革发展专项资金市财政配套项目100万元，实际发生支出100万元，预算执行率100%。</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楷体_GB2312"/>
          <w:kern w:val="0"/>
          <w:sz w:val="32"/>
          <w:szCs w:val="32"/>
        </w:rPr>
        <w:t>（</w:t>
      </w:r>
      <w:r w:rsidRPr="009B11FD">
        <w:rPr>
          <w:rFonts w:eastAsia="楷体_GB2312" w:hint="eastAsia"/>
          <w:kern w:val="0"/>
          <w:sz w:val="32"/>
          <w:szCs w:val="32"/>
        </w:rPr>
        <w:t>二</w:t>
      </w:r>
      <w:r w:rsidRPr="009B11FD">
        <w:rPr>
          <w:rFonts w:eastAsia="楷体_GB2312"/>
          <w:kern w:val="0"/>
          <w:sz w:val="32"/>
          <w:szCs w:val="32"/>
        </w:rPr>
        <w:t>）项目财务管理情况</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我校财务管理严格依法依规，做到公开公平公正，在严格执行各项有关法律法规、财经纪律、财务规章制度的同时，我校根据单位自身情况结合各项规定编制了《攀枝花学院内部控制业务手册》。</w:t>
      </w:r>
    </w:p>
    <w:p w:rsidR="009B11FD" w:rsidRPr="009B11FD" w:rsidRDefault="009B11FD" w:rsidP="009B11FD">
      <w:pPr>
        <w:autoSpaceDE w:val="0"/>
        <w:autoSpaceDN w:val="0"/>
        <w:adjustRightInd w:val="0"/>
        <w:spacing w:line="560" w:lineRule="exact"/>
        <w:ind w:firstLineChars="200" w:firstLine="640"/>
        <w:jc w:val="left"/>
        <w:rPr>
          <w:rFonts w:eastAsia="黑体"/>
          <w:kern w:val="0"/>
          <w:sz w:val="32"/>
          <w:szCs w:val="32"/>
        </w:rPr>
      </w:pPr>
      <w:r w:rsidRPr="009B11FD">
        <w:rPr>
          <w:rFonts w:eastAsia="黑体"/>
          <w:kern w:val="0"/>
          <w:sz w:val="32"/>
          <w:szCs w:val="32"/>
        </w:rPr>
        <w:t>三、项目实施及管理情况</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中央财政支持地方高校发展资金由财政部、省级财政部门及市级财政部门确定后下达至学校，然后学校根据实际情况确定建设项目。项目实施由各项目承担单位负责落实，此外，学校相关部门将对项目实施进行评估、监督、检查和管理，切实保证专项资金用到实处，有效提升学校办学条件。</w:t>
      </w:r>
    </w:p>
    <w:p w:rsidR="009B11FD" w:rsidRPr="009B11FD" w:rsidRDefault="009B11FD" w:rsidP="009B11FD">
      <w:pPr>
        <w:autoSpaceDE w:val="0"/>
        <w:autoSpaceDN w:val="0"/>
        <w:adjustRightInd w:val="0"/>
        <w:spacing w:line="560" w:lineRule="exact"/>
        <w:ind w:firstLineChars="200" w:firstLine="640"/>
        <w:jc w:val="left"/>
        <w:rPr>
          <w:rFonts w:eastAsia="黑体"/>
          <w:kern w:val="0"/>
          <w:sz w:val="32"/>
          <w:szCs w:val="32"/>
        </w:rPr>
      </w:pPr>
      <w:r w:rsidRPr="009B11FD">
        <w:rPr>
          <w:rFonts w:eastAsia="黑体"/>
          <w:kern w:val="0"/>
          <w:sz w:val="32"/>
          <w:szCs w:val="32"/>
        </w:rPr>
        <w:t>四、项目绩效情况</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中央财政支持地方高校发展资金将极大改善学校办学条件，有效提升学校办学水平。首先，项目实施可以支持10余个学科的办学水平，支持数十间实验室，将为人才培养搭建良好平台，提高人才培养质量，年受益学生5000余人；其次，项目实施将为教师科研提供一定平台，有助于加强团队</w:t>
      </w:r>
      <w:r w:rsidRPr="009B11FD">
        <w:rPr>
          <w:rFonts w:ascii="仿宋_GB2312" w:eastAsia="仿宋_GB2312" w:hAnsi="仿宋_GB2312" w:cs="仿宋_GB2312" w:hint="eastAsia"/>
          <w:sz w:val="32"/>
          <w:szCs w:val="32"/>
          <w:shd w:val="clear" w:color="auto" w:fill="FFFFFF"/>
        </w:rPr>
        <w:lastRenderedPageBreak/>
        <w:t>建设，提高教师科研水平；最后，部分项目将同企事业单位合作建设，并开展对外服务，具有一定的社会效益。</w:t>
      </w:r>
    </w:p>
    <w:p w:rsidR="009B11FD" w:rsidRPr="009B11FD" w:rsidRDefault="009B11FD" w:rsidP="009B11FD">
      <w:pPr>
        <w:autoSpaceDE w:val="0"/>
        <w:autoSpaceDN w:val="0"/>
        <w:adjustRightInd w:val="0"/>
        <w:spacing w:line="560" w:lineRule="exact"/>
        <w:ind w:firstLineChars="200" w:firstLine="640"/>
        <w:jc w:val="left"/>
        <w:rPr>
          <w:rFonts w:eastAsia="黑体"/>
          <w:kern w:val="0"/>
          <w:sz w:val="32"/>
          <w:szCs w:val="32"/>
        </w:rPr>
      </w:pPr>
      <w:r w:rsidRPr="009B11FD">
        <w:rPr>
          <w:rFonts w:eastAsia="黑体"/>
          <w:kern w:val="0"/>
          <w:sz w:val="32"/>
          <w:szCs w:val="32"/>
        </w:rPr>
        <w:t>五、评价结论及建议</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楷体_GB2312"/>
          <w:kern w:val="0"/>
          <w:sz w:val="32"/>
          <w:szCs w:val="32"/>
        </w:rPr>
        <w:t>（一）评价结论</w:t>
      </w:r>
    </w:p>
    <w:p w:rsidR="009B11FD" w:rsidRPr="009B11FD" w:rsidRDefault="009B11FD" w:rsidP="009B11FD">
      <w:pPr>
        <w:autoSpaceDE w:val="0"/>
        <w:autoSpaceDN w:val="0"/>
        <w:adjustRightInd w:val="0"/>
        <w:spacing w:line="560" w:lineRule="exact"/>
        <w:ind w:firstLineChars="200" w:firstLine="640"/>
        <w:jc w:val="left"/>
        <w:rPr>
          <w:rFonts w:ascii="仿宋" w:eastAsia="仿宋" w:hAnsi="仿宋" w:cs="仿宋_GB2312"/>
          <w:bCs/>
          <w:sz w:val="32"/>
          <w:szCs w:val="32"/>
        </w:rPr>
      </w:pPr>
      <w:r w:rsidRPr="009B11FD">
        <w:rPr>
          <w:rFonts w:ascii="仿宋_GB2312" w:eastAsia="仿宋_GB2312" w:hAnsi="仿宋_GB2312" w:cs="仿宋_GB2312" w:hint="eastAsia"/>
          <w:sz w:val="32"/>
          <w:szCs w:val="32"/>
          <w:shd w:val="clear" w:color="auto" w:fill="FFFFFF"/>
        </w:rPr>
        <w:t>本预算项目目标明确，资金到位及时。项目实施过程中严格执行市里项目管理和经费管理的有关规定。项目进展顺利，完成了预期目标，产生了较好的社会效益，项目综合评定结论为：优。</w:t>
      </w:r>
    </w:p>
    <w:p w:rsidR="009B11FD" w:rsidRPr="009B11FD" w:rsidRDefault="009B11FD" w:rsidP="009B11FD">
      <w:pPr>
        <w:autoSpaceDE w:val="0"/>
        <w:autoSpaceDN w:val="0"/>
        <w:adjustRightInd w:val="0"/>
        <w:spacing w:line="560" w:lineRule="exact"/>
        <w:ind w:firstLineChars="200" w:firstLine="640"/>
        <w:jc w:val="left"/>
        <w:rPr>
          <w:rFonts w:eastAsia="楷体_GB2312"/>
          <w:kern w:val="0"/>
          <w:sz w:val="32"/>
          <w:szCs w:val="32"/>
        </w:rPr>
      </w:pPr>
      <w:r w:rsidRPr="009B11FD">
        <w:rPr>
          <w:rFonts w:eastAsia="楷体_GB2312"/>
          <w:kern w:val="0"/>
          <w:sz w:val="32"/>
          <w:szCs w:val="32"/>
        </w:rPr>
        <w:t>（</w:t>
      </w:r>
      <w:r w:rsidRPr="009B11FD">
        <w:rPr>
          <w:rFonts w:eastAsia="楷体_GB2312" w:hint="eastAsia"/>
          <w:kern w:val="0"/>
          <w:sz w:val="32"/>
          <w:szCs w:val="32"/>
        </w:rPr>
        <w:t>二</w:t>
      </w:r>
      <w:r w:rsidRPr="009B11FD">
        <w:rPr>
          <w:rFonts w:eastAsia="楷体_GB2312"/>
          <w:kern w:val="0"/>
          <w:sz w:val="32"/>
          <w:szCs w:val="32"/>
        </w:rPr>
        <w:t>）相关建议</w:t>
      </w:r>
    </w:p>
    <w:p w:rsidR="009B11FD" w:rsidRPr="009B11FD" w:rsidRDefault="009B11FD" w:rsidP="009B11FD">
      <w:pPr>
        <w:spacing w:line="560" w:lineRule="exact"/>
        <w:ind w:firstLineChars="200" w:firstLine="640"/>
        <w:rPr>
          <w:rFonts w:ascii="仿宋_GB2312" w:eastAsia="仿宋_GB2312" w:hAnsi="仿宋_GB2312" w:cs="仿宋_GB2312"/>
          <w:sz w:val="32"/>
          <w:szCs w:val="32"/>
          <w:shd w:val="clear" w:color="auto" w:fill="FFFFFF"/>
        </w:rPr>
      </w:pPr>
      <w:r w:rsidRPr="009B11FD">
        <w:rPr>
          <w:rFonts w:ascii="仿宋_GB2312" w:eastAsia="仿宋_GB2312" w:hAnsi="仿宋_GB2312" w:cs="仿宋_GB2312" w:hint="eastAsia"/>
          <w:sz w:val="32"/>
          <w:szCs w:val="32"/>
          <w:shd w:val="clear" w:color="auto" w:fill="FFFFFF"/>
        </w:rPr>
        <w:t>中央和省委对绩效评价工作提出了新的要求，我们会不断加强对绩效管理工作的认识，并总结经验为下年度的绩效考核做好充分准备。在下年度的预算编制工作中，我们会时刻跟踪项目的进度，更好地完成预算资金，做好绩效评价工作。</w:t>
      </w:r>
    </w:p>
    <w:p w:rsidR="00501310" w:rsidRPr="009B11FD" w:rsidRDefault="00501310">
      <w:pPr>
        <w:ind w:firstLineChars="200" w:firstLine="640"/>
        <w:rPr>
          <w:rFonts w:ascii="仿宋_GB2312" w:eastAsia="仿宋_GB2312" w:hAnsi="仿宋_GB2312" w:cs="仿宋_GB2312"/>
          <w:sz w:val="32"/>
          <w:szCs w:val="32"/>
        </w:rPr>
      </w:pPr>
    </w:p>
    <w:p w:rsidR="00501310" w:rsidRDefault="00501310">
      <w:pPr>
        <w:ind w:firstLine="640"/>
        <w:rPr>
          <w:rFonts w:ascii="仿宋_GB2312" w:eastAsia="仿宋_GB2312" w:hAnsi="仿宋_GB2312" w:cs="仿宋_GB2312"/>
          <w:sz w:val="32"/>
          <w:szCs w:val="32"/>
        </w:rPr>
      </w:pPr>
    </w:p>
    <w:p w:rsidR="00501310" w:rsidRDefault="00501310">
      <w:pPr>
        <w:widowControl/>
        <w:jc w:val="left"/>
        <w:rPr>
          <w:rStyle w:val="1Char"/>
          <w:rFonts w:ascii="黑体" w:eastAsia="黑体" w:hAnsi="黑体"/>
          <w:b w:val="0"/>
        </w:rPr>
      </w:pPr>
    </w:p>
    <w:p w:rsidR="00501310" w:rsidRDefault="00501310">
      <w:pPr>
        <w:widowControl/>
        <w:jc w:val="left"/>
        <w:rPr>
          <w:rStyle w:val="1Char"/>
          <w:rFonts w:ascii="黑体" w:eastAsia="黑体" w:hAnsi="黑体"/>
          <w:b w:val="0"/>
        </w:rPr>
      </w:pPr>
    </w:p>
    <w:p w:rsidR="00501310" w:rsidRDefault="00501310">
      <w:pPr>
        <w:widowControl/>
        <w:jc w:val="left"/>
        <w:rPr>
          <w:rStyle w:val="1Char"/>
          <w:rFonts w:ascii="黑体" w:eastAsia="黑体" w:hAnsi="黑体"/>
          <w:b w:val="0"/>
        </w:rPr>
      </w:pPr>
    </w:p>
    <w:p w:rsidR="00501310" w:rsidRDefault="00501310">
      <w:pPr>
        <w:widowControl/>
        <w:jc w:val="left"/>
        <w:rPr>
          <w:rStyle w:val="1Char"/>
          <w:rFonts w:ascii="黑体" w:eastAsia="黑体" w:hAnsi="黑体"/>
          <w:b w:val="0"/>
        </w:rPr>
      </w:pPr>
    </w:p>
    <w:p w:rsidR="009B11FD" w:rsidRDefault="009B11FD">
      <w:pPr>
        <w:spacing w:line="600" w:lineRule="exact"/>
        <w:jc w:val="center"/>
        <w:outlineLvl w:val="0"/>
        <w:rPr>
          <w:rFonts w:ascii="黑体" w:eastAsia="黑体" w:hAnsi="黑体" w:cs="黑体" w:hint="eastAsia"/>
          <w:color w:val="000000"/>
          <w:sz w:val="44"/>
          <w:szCs w:val="44"/>
        </w:rPr>
      </w:pPr>
      <w:bookmarkStart w:id="129" w:name="_Toc15396618"/>
      <w:bookmarkStart w:id="130" w:name="_Toc82012119"/>
    </w:p>
    <w:p w:rsidR="009B11FD" w:rsidRDefault="009B11FD">
      <w:pPr>
        <w:spacing w:line="600" w:lineRule="exact"/>
        <w:jc w:val="center"/>
        <w:outlineLvl w:val="0"/>
        <w:rPr>
          <w:rFonts w:ascii="黑体" w:eastAsia="黑体" w:hAnsi="黑体" w:cs="黑体" w:hint="eastAsia"/>
          <w:color w:val="000000"/>
          <w:sz w:val="44"/>
          <w:szCs w:val="44"/>
        </w:rPr>
      </w:pPr>
    </w:p>
    <w:p w:rsidR="009B11FD" w:rsidRDefault="009B11FD">
      <w:pPr>
        <w:spacing w:line="600" w:lineRule="exact"/>
        <w:jc w:val="center"/>
        <w:outlineLvl w:val="0"/>
        <w:rPr>
          <w:rFonts w:ascii="黑体" w:eastAsia="黑体" w:hAnsi="黑体" w:cs="黑体" w:hint="eastAsia"/>
          <w:color w:val="000000"/>
          <w:sz w:val="44"/>
          <w:szCs w:val="44"/>
        </w:rPr>
      </w:pPr>
    </w:p>
    <w:p w:rsidR="00501310" w:rsidRDefault="00501310">
      <w:pPr>
        <w:spacing w:line="600" w:lineRule="exact"/>
        <w:jc w:val="center"/>
        <w:outlineLvl w:val="0"/>
        <w:rPr>
          <w:rStyle w:val="1Char"/>
          <w:rFonts w:ascii="黑体" w:eastAsia="黑体" w:hAnsi="黑体" w:cs="黑体" w:hint="eastAsia"/>
          <w:b w:val="0"/>
        </w:rPr>
      </w:pPr>
      <w:bookmarkStart w:id="131" w:name="_Toc82075651"/>
      <w:r>
        <w:rPr>
          <w:rFonts w:ascii="黑体" w:eastAsia="黑体" w:hAnsi="黑体" w:cs="黑体" w:hint="eastAsia"/>
          <w:color w:val="000000"/>
          <w:sz w:val="44"/>
          <w:szCs w:val="44"/>
        </w:rPr>
        <w:lastRenderedPageBreak/>
        <w:t>第</w:t>
      </w:r>
      <w:r>
        <w:rPr>
          <w:rStyle w:val="1Char"/>
          <w:rFonts w:ascii="黑体" w:eastAsia="黑体" w:hAnsi="黑体" w:cs="黑体" w:hint="eastAsia"/>
          <w:b w:val="0"/>
        </w:rPr>
        <w:t>五部分 附表</w:t>
      </w:r>
      <w:bookmarkEnd w:id="122"/>
      <w:bookmarkEnd w:id="129"/>
      <w:bookmarkEnd w:id="130"/>
      <w:bookmarkEnd w:id="131"/>
    </w:p>
    <w:p w:rsidR="00501310" w:rsidRDefault="00501310">
      <w:pPr>
        <w:spacing w:line="600" w:lineRule="exact"/>
        <w:jc w:val="center"/>
        <w:outlineLvl w:val="0"/>
        <w:rPr>
          <w:rFonts w:ascii="仿宋" w:eastAsia="仿宋" w:hAnsi="仿宋"/>
          <w:b/>
          <w:color w:val="000000"/>
          <w:sz w:val="44"/>
          <w:szCs w:val="44"/>
        </w:rPr>
      </w:pPr>
    </w:p>
    <w:p w:rsidR="00501310" w:rsidRDefault="00501310">
      <w:pPr>
        <w:pStyle w:val="2"/>
        <w:spacing w:line="600" w:lineRule="exact"/>
        <w:rPr>
          <w:rFonts w:ascii="黑体" w:eastAsia="黑体" w:hAnsi="黑体" w:cs="黑体" w:hint="eastAsia"/>
          <w:color w:val="000000"/>
        </w:rPr>
      </w:pPr>
      <w:bookmarkStart w:id="132" w:name="_Toc15396619"/>
      <w:bookmarkStart w:id="133" w:name="_Toc82012120"/>
      <w:bookmarkStart w:id="134" w:name="_Toc82075652"/>
      <w:r>
        <w:rPr>
          <w:rFonts w:ascii="黑体" w:eastAsia="黑体" w:hAnsi="黑体" w:cs="黑体" w:hint="eastAsia"/>
          <w:b w:val="0"/>
          <w:color w:val="000000"/>
        </w:rPr>
        <w:t>一、收</w:t>
      </w:r>
      <w:r>
        <w:rPr>
          <w:rStyle w:val="2Char"/>
          <w:rFonts w:ascii="黑体" w:eastAsia="黑体" w:hAnsi="黑体" w:cs="黑体" w:hint="eastAsia"/>
        </w:rPr>
        <w:t>入支出决算总表</w:t>
      </w:r>
      <w:bookmarkEnd w:id="132"/>
      <w:bookmarkEnd w:id="133"/>
      <w:bookmarkEnd w:id="134"/>
    </w:p>
    <w:p w:rsidR="00501310" w:rsidRDefault="00501310">
      <w:pPr>
        <w:pStyle w:val="2"/>
        <w:spacing w:line="600" w:lineRule="exact"/>
        <w:rPr>
          <w:rFonts w:ascii="黑体" w:eastAsia="黑体" w:hAnsi="黑体" w:cs="黑体" w:hint="eastAsia"/>
          <w:color w:val="000000"/>
        </w:rPr>
      </w:pPr>
      <w:bookmarkStart w:id="135" w:name="_Toc15396620"/>
      <w:bookmarkStart w:id="136" w:name="_Toc82012121"/>
      <w:bookmarkStart w:id="137" w:name="_Toc82075653"/>
      <w:r>
        <w:rPr>
          <w:rFonts w:ascii="黑体" w:eastAsia="黑体" w:hAnsi="黑体" w:cs="黑体" w:hint="eastAsia"/>
          <w:b w:val="0"/>
          <w:color w:val="000000"/>
        </w:rPr>
        <w:t>二、收</w:t>
      </w:r>
      <w:r>
        <w:rPr>
          <w:rStyle w:val="2Char"/>
          <w:rFonts w:ascii="黑体" w:eastAsia="黑体" w:hAnsi="黑体" w:cs="黑体" w:hint="eastAsia"/>
        </w:rPr>
        <w:t>入决算表</w:t>
      </w:r>
      <w:bookmarkEnd w:id="135"/>
      <w:bookmarkEnd w:id="136"/>
      <w:bookmarkEnd w:id="137"/>
    </w:p>
    <w:p w:rsidR="00501310" w:rsidRDefault="00501310">
      <w:pPr>
        <w:pStyle w:val="2"/>
        <w:spacing w:line="600" w:lineRule="exact"/>
        <w:rPr>
          <w:rFonts w:ascii="黑体" w:eastAsia="黑体" w:hAnsi="黑体" w:cs="黑体" w:hint="eastAsia"/>
          <w:color w:val="000000"/>
        </w:rPr>
      </w:pPr>
      <w:bookmarkStart w:id="138" w:name="_Toc15396621"/>
      <w:bookmarkStart w:id="139" w:name="_Toc82012122"/>
      <w:bookmarkStart w:id="140" w:name="_Toc82075654"/>
      <w:r>
        <w:rPr>
          <w:rStyle w:val="2Char"/>
          <w:rFonts w:ascii="黑体" w:eastAsia="黑体" w:hAnsi="黑体" w:cs="黑体" w:hint="eastAsia"/>
        </w:rPr>
        <w:t>三、</w:t>
      </w:r>
      <w:r>
        <w:rPr>
          <w:rFonts w:ascii="黑体" w:eastAsia="黑体" w:hAnsi="黑体" w:cs="黑体" w:hint="eastAsia"/>
          <w:b w:val="0"/>
          <w:color w:val="000000"/>
        </w:rPr>
        <w:t>支</w:t>
      </w:r>
      <w:r>
        <w:rPr>
          <w:rStyle w:val="2Char"/>
          <w:rFonts w:ascii="黑体" w:eastAsia="黑体" w:hAnsi="黑体" w:cs="黑体" w:hint="eastAsia"/>
        </w:rPr>
        <w:t>出决算表</w:t>
      </w:r>
      <w:bookmarkEnd w:id="138"/>
      <w:bookmarkEnd w:id="139"/>
      <w:bookmarkEnd w:id="140"/>
    </w:p>
    <w:p w:rsidR="00501310" w:rsidRDefault="00501310">
      <w:pPr>
        <w:pStyle w:val="2"/>
        <w:spacing w:line="600" w:lineRule="exact"/>
        <w:rPr>
          <w:rFonts w:ascii="黑体" w:eastAsia="黑体" w:hAnsi="黑体" w:cs="黑体" w:hint="eastAsia"/>
          <w:b w:val="0"/>
          <w:color w:val="000000"/>
        </w:rPr>
      </w:pPr>
      <w:bookmarkStart w:id="141" w:name="_Toc15396622"/>
      <w:bookmarkStart w:id="142" w:name="_Toc82012123"/>
      <w:bookmarkStart w:id="143" w:name="_Toc82075655"/>
      <w:r>
        <w:rPr>
          <w:rStyle w:val="2Char"/>
          <w:rFonts w:ascii="黑体" w:eastAsia="黑体" w:hAnsi="黑体" w:cs="黑体" w:hint="eastAsia"/>
        </w:rPr>
        <w:t>四、</w:t>
      </w:r>
      <w:r>
        <w:rPr>
          <w:rFonts w:ascii="黑体" w:eastAsia="黑体" w:hAnsi="黑体" w:cs="黑体" w:hint="eastAsia"/>
          <w:b w:val="0"/>
          <w:color w:val="000000"/>
        </w:rPr>
        <w:t>财</w:t>
      </w:r>
      <w:r>
        <w:rPr>
          <w:rStyle w:val="2Char"/>
          <w:rFonts w:ascii="黑体" w:eastAsia="黑体" w:hAnsi="黑体" w:cs="黑体" w:hint="eastAsia"/>
        </w:rPr>
        <w:t>政拨款收入支出决算总表</w:t>
      </w:r>
      <w:bookmarkEnd w:id="141"/>
      <w:bookmarkEnd w:id="142"/>
      <w:bookmarkEnd w:id="143"/>
    </w:p>
    <w:p w:rsidR="00501310" w:rsidRDefault="00501310">
      <w:pPr>
        <w:pStyle w:val="2"/>
        <w:spacing w:line="600" w:lineRule="exact"/>
        <w:rPr>
          <w:rStyle w:val="2Char"/>
          <w:rFonts w:ascii="黑体" w:eastAsia="黑体" w:hAnsi="黑体" w:cs="黑体" w:hint="eastAsia"/>
        </w:rPr>
      </w:pPr>
      <w:bookmarkStart w:id="144" w:name="_Toc15396623"/>
      <w:bookmarkStart w:id="145" w:name="_Toc82012124"/>
      <w:bookmarkStart w:id="146" w:name="_Toc82075656"/>
      <w:r>
        <w:rPr>
          <w:rStyle w:val="2Char"/>
          <w:rFonts w:ascii="黑体" w:eastAsia="黑体" w:hAnsi="黑体" w:cs="黑体" w:hint="eastAsia"/>
        </w:rPr>
        <w:t>五、</w:t>
      </w:r>
      <w:r>
        <w:rPr>
          <w:rFonts w:ascii="黑体" w:eastAsia="黑体" w:hAnsi="黑体" w:cs="黑体" w:hint="eastAsia"/>
          <w:b w:val="0"/>
          <w:color w:val="000000"/>
        </w:rPr>
        <w:t>财</w:t>
      </w:r>
      <w:r>
        <w:rPr>
          <w:rStyle w:val="2Char"/>
          <w:rFonts w:ascii="黑体" w:eastAsia="黑体" w:hAnsi="黑体" w:cs="黑体" w:hint="eastAsia"/>
        </w:rPr>
        <w:t>政拨款支出决算明细表</w:t>
      </w:r>
      <w:bookmarkStart w:id="147" w:name="_Toc15396624"/>
      <w:bookmarkEnd w:id="144"/>
      <w:bookmarkEnd w:id="145"/>
      <w:bookmarkEnd w:id="146"/>
    </w:p>
    <w:p w:rsidR="00501310" w:rsidRDefault="00501310">
      <w:pPr>
        <w:pStyle w:val="2"/>
        <w:spacing w:line="600" w:lineRule="exact"/>
        <w:rPr>
          <w:rFonts w:ascii="黑体" w:eastAsia="黑体" w:hAnsi="黑体" w:cs="黑体" w:hint="eastAsia"/>
          <w:color w:val="000000"/>
        </w:rPr>
      </w:pPr>
      <w:bookmarkStart w:id="148" w:name="_Toc82012125"/>
      <w:bookmarkStart w:id="149" w:name="_Toc82075657"/>
      <w:r>
        <w:rPr>
          <w:rStyle w:val="2Char"/>
          <w:rFonts w:ascii="黑体" w:eastAsia="黑体" w:hAnsi="黑体" w:cs="黑体" w:hint="eastAsia"/>
        </w:rPr>
        <w:t>六、</w:t>
      </w:r>
      <w:r>
        <w:rPr>
          <w:rFonts w:ascii="黑体" w:eastAsia="黑体" w:hAnsi="黑体" w:cs="黑体" w:hint="eastAsia"/>
          <w:b w:val="0"/>
          <w:color w:val="000000"/>
        </w:rPr>
        <w:t>一</w:t>
      </w:r>
      <w:r>
        <w:rPr>
          <w:rStyle w:val="2Char"/>
          <w:rFonts w:ascii="黑体" w:eastAsia="黑体" w:hAnsi="黑体" w:cs="黑体" w:hint="eastAsia"/>
        </w:rPr>
        <w:t>般公共预算财政拨款支出决算表</w:t>
      </w:r>
      <w:bookmarkEnd w:id="147"/>
      <w:bookmarkEnd w:id="148"/>
      <w:bookmarkEnd w:id="149"/>
    </w:p>
    <w:p w:rsidR="00501310" w:rsidRDefault="00501310">
      <w:pPr>
        <w:pStyle w:val="2"/>
        <w:spacing w:line="600" w:lineRule="exact"/>
        <w:rPr>
          <w:rFonts w:ascii="黑体" w:eastAsia="黑体" w:hAnsi="黑体" w:cs="黑体" w:hint="eastAsia"/>
          <w:color w:val="000000"/>
        </w:rPr>
      </w:pPr>
      <w:bookmarkStart w:id="150" w:name="_Toc15396625"/>
      <w:bookmarkStart w:id="151" w:name="_Toc82012126"/>
      <w:bookmarkStart w:id="152" w:name="_Toc82075658"/>
      <w:r>
        <w:rPr>
          <w:rStyle w:val="2Char"/>
          <w:rFonts w:ascii="黑体" w:eastAsia="黑体" w:hAnsi="黑体" w:cs="黑体" w:hint="eastAsia"/>
        </w:rPr>
        <w:t>七、</w:t>
      </w:r>
      <w:r>
        <w:rPr>
          <w:rFonts w:ascii="黑体" w:eastAsia="黑体" w:hAnsi="黑体" w:cs="黑体" w:hint="eastAsia"/>
          <w:b w:val="0"/>
          <w:color w:val="000000"/>
        </w:rPr>
        <w:t>一</w:t>
      </w:r>
      <w:r>
        <w:rPr>
          <w:rStyle w:val="2Char"/>
          <w:rFonts w:ascii="黑体" w:eastAsia="黑体" w:hAnsi="黑体" w:cs="黑体" w:hint="eastAsia"/>
        </w:rPr>
        <w:t>般公共预算财政拨款支出决算明细表</w:t>
      </w:r>
      <w:bookmarkEnd w:id="150"/>
      <w:bookmarkEnd w:id="151"/>
      <w:bookmarkEnd w:id="152"/>
    </w:p>
    <w:p w:rsidR="00501310" w:rsidRDefault="00501310">
      <w:pPr>
        <w:pStyle w:val="2"/>
        <w:spacing w:line="600" w:lineRule="exact"/>
        <w:rPr>
          <w:rFonts w:ascii="黑体" w:eastAsia="黑体" w:hAnsi="黑体" w:cs="黑体" w:hint="eastAsia"/>
          <w:color w:val="000000"/>
        </w:rPr>
      </w:pPr>
      <w:bookmarkStart w:id="153" w:name="_Toc15396626"/>
      <w:bookmarkStart w:id="154" w:name="_Toc82012127"/>
      <w:bookmarkStart w:id="155" w:name="_Toc82075659"/>
      <w:r>
        <w:rPr>
          <w:rStyle w:val="2Char"/>
          <w:rFonts w:ascii="黑体" w:eastAsia="黑体" w:hAnsi="黑体" w:cs="黑体" w:hint="eastAsia"/>
        </w:rPr>
        <w:t>八、</w:t>
      </w:r>
      <w:r>
        <w:rPr>
          <w:rFonts w:ascii="黑体" w:eastAsia="黑体" w:hAnsi="黑体" w:cs="黑体" w:hint="eastAsia"/>
          <w:b w:val="0"/>
          <w:color w:val="000000"/>
        </w:rPr>
        <w:t>一</w:t>
      </w:r>
      <w:r>
        <w:rPr>
          <w:rStyle w:val="2Char"/>
          <w:rFonts w:ascii="黑体" w:eastAsia="黑体" w:hAnsi="黑体" w:cs="黑体" w:hint="eastAsia"/>
        </w:rPr>
        <w:t>般公共预算财政拨款基本支出决算表</w:t>
      </w:r>
      <w:bookmarkEnd w:id="153"/>
      <w:bookmarkEnd w:id="154"/>
      <w:bookmarkEnd w:id="155"/>
    </w:p>
    <w:p w:rsidR="00501310" w:rsidRDefault="00501310">
      <w:pPr>
        <w:pStyle w:val="2"/>
        <w:spacing w:line="600" w:lineRule="exact"/>
        <w:rPr>
          <w:rFonts w:ascii="黑体" w:eastAsia="黑体" w:hAnsi="黑体" w:cs="黑体" w:hint="eastAsia"/>
          <w:color w:val="000000"/>
        </w:rPr>
      </w:pPr>
      <w:bookmarkStart w:id="156" w:name="_Toc15396627"/>
      <w:bookmarkStart w:id="157" w:name="_Toc82012128"/>
      <w:bookmarkStart w:id="158" w:name="_Toc82075660"/>
      <w:r>
        <w:rPr>
          <w:rStyle w:val="2Char"/>
          <w:rFonts w:ascii="黑体" w:eastAsia="黑体" w:hAnsi="黑体" w:cs="黑体" w:hint="eastAsia"/>
        </w:rPr>
        <w:t>九、</w:t>
      </w:r>
      <w:r>
        <w:rPr>
          <w:rFonts w:ascii="黑体" w:eastAsia="黑体" w:hAnsi="黑体" w:cs="黑体" w:hint="eastAsia"/>
          <w:b w:val="0"/>
          <w:color w:val="000000"/>
        </w:rPr>
        <w:t>一</w:t>
      </w:r>
      <w:r>
        <w:rPr>
          <w:rStyle w:val="2Char"/>
          <w:rFonts w:ascii="黑体" w:eastAsia="黑体" w:hAnsi="黑体" w:cs="黑体" w:hint="eastAsia"/>
        </w:rPr>
        <w:t>般公共预算财政拨款项目支出决算表</w:t>
      </w:r>
      <w:bookmarkEnd w:id="156"/>
      <w:bookmarkEnd w:id="157"/>
      <w:bookmarkEnd w:id="158"/>
    </w:p>
    <w:p w:rsidR="00501310" w:rsidRDefault="00501310">
      <w:pPr>
        <w:pStyle w:val="2"/>
        <w:spacing w:line="600" w:lineRule="exact"/>
        <w:rPr>
          <w:rFonts w:ascii="黑体" w:eastAsia="黑体" w:hAnsi="黑体" w:cs="黑体" w:hint="eastAsia"/>
          <w:color w:val="000000"/>
        </w:rPr>
      </w:pPr>
      <w:bookmarkStart w:id="159" w:name="_Toc15396628"/>
      <w:bookmarkStart w:id="160" w:name="_Toc82012129"/>
      <w:bookmarkStart w:id="161" w:name="_Toc82075661"/>
      <w:r>
        <w:rPr>
          <w:rStyle w:val="2Char"/>
          <w:rFonts w:ascii="黑体" w:eastAsia="黑体" w:hAnsi="黑体" w:cs="黑体" w:hint="eastAsia"/>
        </w:rPr>
        <w:t>十、</w:t>
      </w:r>
      <w:r>
        <w:rPr>
          <w:rFonts w:ascii="黑体" w:eastAsia="黑体" w:hAnsi="黑体" w:cs="黑体" w:hint="eastAsia"/>
          <w:b w:val="0"/>
          <w:color w:val="000000"/>
        </w:rPr>
        <w:t>一</w:t>
      </w:r>
      <w:r>
        <w:rPr>
          <w:rStyle w:val="2Char"/>
          <w:rFonts w:ascii="黑体" w:eastAsia="黑体" w:hAnsi="黑体" w:cs="黑体" w:hint="eastAsia"/>
        </w:rPr>
        <w:t>般公共预算财政拨款“三公”经费支出决算表</w:t>
      </w:r>
      <w:bookmarkEnd w:id="159"/>
      <w:bookmarkEnd w:id="160"/>
      <w:bookmarkEnd w:id="161"/>
    </w:p>
    <w:p w:rsidR="00501310" w:rsidRDefault="00501310">
      <w:pPr>
        <w:pStyle w:val="2"/>
        <w:spacing w:line="600" w:lineRule="exact"/>
        <w:rPr>
          <w:rFonts w:ascii="黑体" w:eastAsia="黑体" w:hAnsi="黑体" w:cs="黑体" w:hint="eastAsia"/>
          <w:color w:val="000000"/>
        </w:rPr>
      </w:pPr>
      <w:bookmarkStart w:id="162" w:name="_Toc15396629"/>
      <w:bookmarkStart w:id="163" w:name="_Toc82012130"/>
      <w:bookmarkStart w:id="164" w:name="_Toc82075662"/>
      <w:r>
        <w:rPr>
          <w:rStyle w:val="2Char"/>
          <w:rFonts w:ascii="黑体" w:eastAsia="黑体" w:hAnsi="黑体" w:cs="黑体" w:hint="eastAsia"/>
        </w:rPr>
        <w:t>十一、</w:t>
      </w:r>
      <w:r>
        <w:rPr>
          <w:rFonts w:ascii="黑体" w:eastAsia="黑体" w:hAnsi="黑体" w:cs="黑体" w:hint="eastAsia"/>
          <w:b w:val="0"/>
          <w:color w:val="000000"/>
        </w:rPr>
        <w:t>政</w:t>
      </w:r>
      <w:r>
        <w:rPr>
          <w:rStyle w:val="2Char"/>
          <w:rFonts w:ascii="黑体" w:eastAsia="黑体" w:hAnsi="黑体" w:cs="黑体" w:hint="eastAsia"/>
        </w:rPr>
        <w:t>府性基金预算财政拨款收入支出决算表</w:t>
      </w:r>
      <w:bookmarkEnd w:id="162"/>
      <w:bookmarkEnd w:id="163"/>
      <w:bookmarkEnd w:id="164"/>
    </w:p>
    <w:p w:rsidR="00790E6E" w:rsidRDefault="00501310" w:rsidP="00790E6E">
      <w:pPr>
        <w:pStyle w:val="2"/>
        <w:spacing w:line="600" w:lineRule="exact"/>
        <w:rPr>
          <w:rStyle w:val="2Char"/>
          <w:rFonts w:ascii="黑体" w:eastAsia="黑体" w:hAnsi="黑体" w:cs="黑体" w:hint="eastAsia"/>
        </w:rPr>
      </w:pPr>
      <w:bookmarkStart w:id="165" w:name="_Toc15396630"/>
      <w:bookmarkStart w:id="166" w:name="_Toc82012131"/>
      <w:bookmarkStart w:id="167" w:name="_Toc82075663"/>
      <w:r>
        <w:rPr>
          <w:rStyle w:val="2Char"/>
          <w:rFonts w:ascii="黑体" w:eastAsia="黑体" w:hAnsi="黑体" w:cs="黑体" w:hint="eastAsia"/>
        </w:rPr>
        <w:t>十二、</w:t>
      </w:r>
      <w:r>
        <w:rPr>
          <w:rFonts w:ascii="黑体" w:eastAsia="黑体" w:hAnsi="黑体" w:cs="黑体" w:hint="eastAsia"/>
          <w:b w:val="0"/>
          <w:color w:val="000000"/>
        </w:rPr>
        <w:t>政</w:t>
      </w:r>
      <w:r>
        <w:rPr>
          <w:rStyle w:val="2Char"/>
          <w:rFonts w:ascii="黑体" w:eastAsia="黑体" w:hAnsi="黑体" w:cs="黑体" w:hint="eastAsia"/>
        </w:rPr>
        <w:t>府性基金预算财政拨款“三公”经费支出决算表</w:t>
      </w:r>
      <w:bookmarkEnd w:id="165"/>
      <w:bookmarkEnd w:id="166"/>
      <w:bookmarkEnd w:id="167"/>
    </w:p>
    <w:p w:rsidR="00790E6E" w:rsidRPr="00790E6E" w:rsidRDefault="00790E6E" w:rsidP="00790E6E">
      <w:pPr>
        <w:pStyle w:val="2"/>
        <w:spacing w:line="600" w:lineRule="exact"/>
        <w:rPr>
          <w:rStyle w:val="2Char"/>
          <w:rFonts w:ascii="黑体" w:eastAsia="黑体" w:hAnsi="黑体" w:cs="黑体" w:hint="eastAsia"/>
        </w:rPr>
      </w:pPr>
      <w:bookmarkStart w:id="168" w:name="_Toc82075664"/>
      <w:r>
        <w:rPr>
          <w:rStyle w:val="2Char"/>
          <w:rFonts w:ascii="黑体" w:eastAsia="黑体" w:hAnsi="黑体" w:cs="黑体" w:hint="eastAsia"/>
        </w:rPr>
        <w:t>十三、</w:t>
      </w:r>
      <w:r w:rsidRPr="00790E6E">
        <w:rPr>
          <w:rStyle w:val="2Char"/>
          <w:rFonts w:ascii="黑体" w:eastAsia="黑体" w:hAnsi="黑体" w:cs="黑体" w:hint="eastAsia"/>
        </w:rPr>
        <w:t>国有资本经营预算财政拨款收入支出决算表</w:t>
      </w:r>
      <w:r>
        <w:rPr>
          <w:rStyle w:val="2Char"/>
          <w:rFonts w:ascii="黑体" w:eastAsia="黑体" w:hAnsi="黑体" w:cs="黑体" w:hint="eastAsia"/>
        </w:rPr>
        <w:t>（</w:t>
      </w:r>
      <w:r w:rsidR="00663810">
        <w:rPr>
          <w:rStyle w:val="2Char"/>
          <w:rFonts w:ascii="黑体" w:eastAsia="黑体" w:hAnsi="黑体" w:cs="黑体" w:hint="eastAsia"/>
        </w:rPr>
        <w:t>此表无数据</w:t>
      </w:r>
      <w:r>
        <w:rPr>
          <w:rStyle w:val="2Char"/>
          <w:rFonts w:ascii="黑体" w:eastAsia="黑体" w:hAnsi="黑体" w:cs="黑体" w:hint="eastAsia"/>
        </w:rPr>
        <w:t>）</w:t>
      </w:r>
      <w:bookmarkEnd w:id="168"/>
    </w:p>
    <w:p w:rsidR="00501310" w:rsidRDefault="00501310">
      <w:pPr>
        <w:pStyle w:val="2"/>
        <w:spacing w:line="600" w:lineRule="exact"/>
        <w:rPr>
          <w:rFonts w:ascii="黑体" w:eastAsia="黑体" w:hAnsi="黑体" w:cs="黑体" w:hint="eastAsia"/>
          <w:color w:val="000000"/>
        </w:rPr>
      </w:pPr>
      <w:bookmarkStart w:id="169" w:name="_Toc15396631"/>
      <w:bookmarkStart w:id="170" w:name="_Toc82012132"/>
      <w:bookmarkStart w:id="171" w:name="_Toc82075665"/>
      <w:r>
        <w:rPr>
          <w:rStyle w:val="2Char"/>
          <w:rFonts w:ascii="黑体" w:eastAsia="黑体" w:hAnsi="黑体" w:cs="黑体" w:hint="eastAsia"/>
        </w:rPr>
        <w:t>十</w:t>
      </w:r>
      <w:r w:rsidR="00790E6E">
        <w:rPr>
          <w:rStyle w:val="2Char"/>
          <w:rFonts w:ascii="黑体" w:eastAsia="黑体" w:hAnsi="黑体" w:cs="黑体" w:hint="eastAsia"/>
        </w:rPr>
        <w:t>四</w:t>
      </w:r>
      <w:r>
        <w:rPr>
          <w:rStyle w:val="2Char"/>
          <w:rFonts w:ascii="黑体" w:eastAsia="黑体" w:hAnsi="黑体" w:cs="黑体" w:hint="eastAsia"/>
        </w:rPr>
        <w:t>、</w:t>
      </w:r>
      <w:r>
        <w:rPr>
          <w:rFonts w:ascii="黑体" w:eastAsia="黑体" w:hAnsi="黑体" w:cs="黑体" w:hint="eastAsia"/>
          <w:b w:val="0"/>
          <w:color w:val="000000"/>
        </w:rPr>
        <w:t>国</w:t>
      </w:r>
      <w:r>
        <w:rPr>
          <w:rStyle w:val="2Char"/>
          <w:rFonts w:ascii="黑体" w:eastAsia="黑体" w:hAnsi="黑体" w:cs="黑体" w:hint="eastAsia"/>
        </w:rPr>
        <w:t>有资本经营预算财政拨款支出决算表</w:t>
      </w:r>
      <w:bookmarkEnd w:id="169"/>
      <w:bookmarkEnd w:id="170"/>
      <w:r w:rsidR="00790E6E">
        <w:rPr>
          <w:rStyle w:val="2Char"/>
          <w:rFonts w:ascii="黑体" w:eastAsia="黑体" w:hAnsi="黑体" w:cs="黑体" w:hint="eastAsia"/>
        </w:rPr>
        <w:t>(</w:t>
      </w:r>
      <w:r w:rsidR="00663810">
        <w:rPr>
          <w:rStyle w:val="2Char"/>
          <w:rFonts w:ascii="黑体" w:eastAsia="黑体" w:hAnsi="黑体" w:cs="黑体" w:hint="eastAsia"/>
        </w:rPr>
        <w:t>此表无数据</w:t>
      </w:r>
      <w:r w:rsidR="00790E6E">
        <w:rPr>
          <w:rStyle w:val="2Char"/>
          <w:rFonts w:ascii="黑体" w:eastAsia="黑体" w:hAnsi="黑体" w:cs="黑体" w:hint="eastAsia"/>
        </w:rPr>
        <w:t>)</w:t>
      </w:r>
      <w:bookmarkEnd w:id="171"/>
    </w:p>
    <w:sectPr w:rsidR="00501310">
      <w:footerReference w:type="default" r:id="rId16"/>
      <w:footerReference w:type="first" r:id="rId17"/>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6B32" w:rsidRDefault="00C26B32">
      <w:r>
        <w:separator/>
      </w:r>
    </w:p>
  </w:endnote>
  <w:endnote w:type="continuationSeparator" w:id="0">
    <w:p w:rsidR="00C26B32" w:rsidRDefault="00C26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310" w:rsidRDefault="00501310">
    <w:pPr>
      <w:pStyle w:val="a5"/>
      <w:jc w:val="center"/>
    </w:pPr>
  </w:p>
  <w:p w:rsidR="00501310" w:rsidRDefault="0050131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310" w:rsidRDefault="00663810">
    <w:pPr>
      <w:pStyle w:val="a5"/>
      <w:jc w:val="center"/>
    </w:pPr>
    <w:r>
      <w:rPr>
        <w:noProof/>
      </w:rP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676275" cy="230505"/>
              <wp:effectExtent l="0" t="1270" r="0" b="0"/>
              <wp:wrapNone/>
              <wp:docPr id="2"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01310" w:rsidRDefault="00501310">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663810">
                            <w:rPr>
                              <w:rFonts w:ascii="仿宋_GB2312" w:eastAsia="仿宋_GB2312" w:hAnsi="仿宋_GB2312" w:cs="仿宋_GB2312"/>
                              <w:noProof/>
                              <w:sz w:val="28"/>
                              <w:szCs w:val="28"/>
                            </w:rPr>
                            <w:t>45</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2.05pt;margin-top:0;width:53.25pt;height:18.15pt;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" filled="f" stroked="f">
              <v:textbox style="mso-fit-shape-to-text:t" inset="0,0,0,0">
                <w:txbxContent>
                  <w:p w:rsidR="00501310" w:rsidRDefault="00501310">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663810">
                      <w:rPr>
                        <w:rFonts w:ascii="仿宋_GB2312" w:eastAsia="仿宋_GB2312" w:hAnsi="仿宋_GB2312" w:cs="仿宋_GB2312"/>
                        <w:noProof/>
                        <w:sz w:val="28"/>
                        <w:szCs w:val="28"/>
                      </w:rPr>
                      <w:t>45</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v:textbox>
              <w10:wrap anchorx="margin"/>
            </v:shape>
          </w:pict>
        </mc:Fallback>
      </mc:AlternateContent>
    </w:r>
  </w:p>
  <w:p w:rsidR="00501310" w:rsidRDefault="00501310">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310" w:rsidRDefault="00663810">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587375" cy="230505"/>
              <wp:effectExtent l="635" t="0" r="2540" b="635"/>
              <wp:wrapNone/>
              <wp:docPr id="1"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01310" w:rsidRDefault="00501310">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663810">
                            <w:rPr>
                              <w:rFonts w:ascii="仿宋_GB2312" w:eastAsia="仿宋_GB2312" w:hAnsi="仿宋_GB2312" w:cs="仿宋_GB2312"/>
                              <w:noProof/>
                              <w:sz w:val="28"/>
                              <w:szCs w:val="28"/>
                            </w:rPr>
                            <w:t>1</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7" o:spid="_x0000_s1027" type="#_x0000_t202" style="position:absolute;margin-left:-4.95pt;margin-top:0;width:46.2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k/A9QIAAHA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" filled="f" stroked="f">
              <v:textbox style="mso-fit-shape-to-text:t" inset="0,0,0,0">
                <w:txbxContent>
                  <w:p w:rsidR="00501310" w:rsidRDefault="00501310">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663810">
                      <w:rPr>
                        <w:rFonts w:ascii="仿宋_GB2312" w:eastAsia="仿宋_GB2312" w:hAnsi="仿宋_GB2312" w:cs="仿宋_GB2312"/>
                        <w:noProof/>
                        <w:sz w:val="28"/>
                        <w:szCs w:val="28"/>
                      </w:rPr>
                      <w:t>1</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6B32" w:rsidRDefault="00C26B32">
      <w:r>
        <w:separator/>
      </w:r>
    </w:p>
  </w:footnote>
  <w:footnote w:type="continuationSeparator" w:id="0">
    <w:p w:rsidR="00C26B32" w:rsidRDefault="00C26B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310" w:rsidRDefault="00501310">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2" w15:restartNumberingAfterBreak="0">
    <w:nsid w:val="2FA91E62"/>
    <w:multiLevelType w:val="multilevel"/>
    <w:tmpl w:val="2FA91E62"/>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52559"/>
    <w:rsid w:val="0006487A"/>
    <w:rsid w:val="0006590D"/>
    <w:rsid w:val="00065F8F"/>
    <w:rsid w:val="00070A43"/>
    <w:rsid w:val="00071A14"/>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E7E84"/>
    <w:rsid w:val="00114E9B"/>
    <w:rsid w:val="00115301"/>
    <w:rsid w:val="00120A77"/>
    <w:rsid w:val="00125900"/>
    <w:rsid w:val="001319E1"/>
    <w:rsid w:val="00142216"/>
    <w:rsid w:val="00144D6A"/>
    <w:rsid w:val="0014729F"/>
    <w:rsid w:val="00152086"/>
    <w:rsid w:val="001555AC"/>
    <w:rsid w:val="00157BAB"/>
    <w:rsid w:val="001654D1"/>
    <w:rsid w:val="00174518"/>
    <w:rsid w:val="0018106D"/>
    <w:rsid w:val="001877A7"/>
    <w:rsid w:val="00190639"/>
    <w:rsid w:val="00191536"/>
    <w:rsid w:val="00192E11"/>
    <w:rsid w:val="00196687"/>
    <w:rsid w:val="001B0607"/>
    <w:rsid w:val="001C0962"/>
    <w:rsid w:val="001C5F94"/>
    <w:rsid w:val="001D7531"/>
    <w:rsid w:val="001E737D"/>
    <w:rsid w:val="001F0592"/>
    <w:rsid w:val="001F7506"/>
    <w:rsid w:val="002006CD"/>
    <w:rsid w:val="00202B36"/>
    <w:rsid w:val="00204B7A"/>
    <w:rsid w:val="00204CDE"/>
    <w:rsid w:val="0021101A"/>
    <w:rsid w:val="00220536"/>
    <w:rsid w:val="00232FDA"/>
    <w:rsid w:val="00235629"/>
    <w:rsid w:val="00256262"/>
    <w:rsid w:val="0025652E"/>
    <w:rsid w:val="00260C38"/>
    <w:rsid w:val="002616C0"/>
    <w:rsid w:val="00264611"/>
    <w:rsid w:val="00265372"/>
    <w:rsid w:val="002662AA"/>
    <w:rsid w:val="002667ED"/>
    <w:rsid w:val="00280496"/>
    <w:rsid w:val="00294DC9"/>
    <w:rsid w:val="00295495"/>
    <w:rsid w:val="002A31DE"/>
    <w:rsid w:val="002B2613"/>
    <w:rsid w:val="002D6D05"/>
    <w:rsid w:val="002F1818"/>
    <w:rsid w:val="002F567B"/>
    <w:rsid w:val="003005B6"/>
    <w:rsid w:val="00316746"/>
    <w:rsid w:val="003216A9"/>
    <w:rsid w:val="00335A74"/>
    <w:rsid w:val="0036561B"/>
    <w:rsid w:val="00367219"/>
    <w:rsid w:val="0037013F"/>
    <w:rsid w:val="00373963"/>
    <w:rsid w:val="00380C92"/>
    <w:rsid w:val="00385727"/>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151C"/>
    <w:rsid w:val="00434489"/>
    <w:rsid w:val="00437085"/>
    <w:rsid w:val="00443880"/>
    <w:rsid w:val="004464F4"/>
    <w:rsid w:val="00471401"/>
    <w:rsid w:val="00473F31"/>
    <w:rsid w:val="0048263A"/>
    <w:rsid w:val="00487E5D"/>
    <w:rsid w:val="004A711F"/>
    <w:rsid w:val="004B199D"/>
    <w:rsid w:val="004B1A17"/>
    <w:rsid w:val="004B4690"/>
    <w:rsid w:val="004B6E46"/>
    <w:rsid w:val="004E0A2D"/>
    <w:rsid w:val="004E206B"/>
    <w:rsid w:val="004E6DF7"/>
    <w:rsid w:val="004F0FBD"/>
    <w:rsid w:val="00501310"/>
    <w:rsid w:val="00503B8B"/>
    <w:rsid w:val="00505A47"/>
    <w:rsid w:val="00512FDA"/>
    <w:rsid w:val="00520DA0"/>
    <w:rsid w:val="005269D7"/>
    <w:rsid w:val="005309AC"/>
    <w:rsid w:val="00553BCE"/>
    <w:rsid w:val="005664BB"/>
    <w:rsid w:val="00566FFA"/>
    <w:rsid w:val="0057481D"/>
    <w:rsid w:val="0058486E"/>
    <w:rsid w:val="00585B33"/>
    <w:rsid w:val="0059014D"/>
    <w:rsid w:val="005B5C64"/>
    <w:rsid w:val="005C5337"/>
    <w:rsid w:val="005C6BD0"/>
    <w:rsid w:val="005D1C8B"/>
    <w:rsid w:val="005D439F"/>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4954"/>
    <w:rsid w:val="0066343B"/>
    <w:rsid w:val="00663810"/>
    <w:rsid w:val="00664777"/>
    <w:rsid w:val="006748A4"/>
    <w:rsid w:val="00681A31"/>
    <w:rsid w:val="00683E73"/>
    <w:rsid w:val="006A3141"/>
    <w:rsid w:val="006A5E34"/>
    <w:rsid w:val="006B2422"/>
    <w:rsid w:val="006B2B9A"/>
    <w:rsid w:val="006C1937"/>
    <w:rsid w:val="006E3DB3"/>
    <w:rsid w:val="006F020C"/>
    <w:rsid w:val="006F5A4D"/>
    <w:rsid w:val="007127B7"/>
    <w:rsid w:val="0071798E"/>
    <w:rsid w:val="00720FAF"/>
    <w:rsid w:val="007416B6"/>
    <w:rsid w:val="00746F48"/>
    <w:rsid w:val="0075404D"/>
    <w:rsid w:val="00755D86"/>
    <w:rsid w:val="0076182A"/>
    <w:rsid w:val="007647AC"/>
    <w:rsid w:val="00767B7E"/>
    <w:rsid w:val="0077071E"/>
    <w:rsid w:val="0077508F"/>
    <w:rsid w:val="007770C3"/>
    <w:rsid w:val="00777318"/>
    <w:rsid w:val="00784D24"/>
    <w:rsid w:val="00785FBA"/>
    <w:rsid w:val="00786E4A"/>
    <w:rsid w:val="007875EB"/>
    <w:rsid w:val="00790E6E"/>
    <w:rsid w:val="00791F18"/>
    <w:rsid w:val="0079426B"/>
    <w:rsid w:val="007D1682"/>
    <w:rsid w:val="007D312A"/>
    <w:rsid w:val="007D3F19"/>
    <w:rsid w:val="007D5769"/>
    <w:rsid w:val="007D78B5"/>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A1BFA"/>
    <w:rsid w:val="008A4E0F"/>
    <w:rsid w:val="008B768C"/>
    <w:rsid w:val="008C4DB1"/>
    <w:rsid w:val="008C4EAF"/>
    <w:rsid w:val="008C5176"/>
    <w:rsid w:val="008C7FD0"/>
    <w:rsid w:val="008D507B"/>
    <w:rsid w:val="008D5F8E"/>
    <w:rsid w:val="008E1DE7"/>
    <w:rsid w:val="008E707C"/>
    <w:rsid w:val="008F2C4B"/>
    <w:rsid w:val="00900B08"/>
    <w:rsid w:val="00902155"/>
    <w:rsid w:val="00902FA3"/>
    <w:rsid w:val="009132A2"/>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B11FD"/>
    <w:rsid w:val="009B2C43"/>
    <w:rsid w:val="009B3BDE"/>
    <w:rsid w:val="009B4EAE"/>
    <w:rsid w:val="009B7573"/>
    <w:rsid w:val="009C22F4"/>
    <w:rsid w:val="009C2A4B"/>
    <w:rsid w:val="009C2E98"/>
    <w:rsid w:val="009D3447"/>
    <w:rsid w:val="009D4711"/>
    <w:rsid w:val="009F1185"/>
    <w:rsid w:val="009F18CD"/>
    <w:rsid w:val="009F2A13"/>
    <w:rsid w:val="009F7527"/>
    <w:rsid w:val="00A04EB0"/>
    <w:rsid w:val="00A07DF7"/>
    <w:rsid w:val="00A13CC1"/>
    <w:rsid w:val="00A16847"/>
    <w:rsid w:val="00A237D8"/>
    <w:rsid w:val="00A268C4"/>
    <w:rsid w:val="00A279AE"/>
    <w:rsid w:val="00A307CD"/>
    <w:rsid w:val="00A331C8"/>
    <w:rsid w:val="00A40A00"/>
    <w:rsid w:val="00A4142F"/>
    <w:rsid w:val="00A422EB"/>
    <w:rsid w:val="00A45BB7"/>
    <w:rsid w:val="00A475E4"/>
    <w:rsid w:val="00A56DF2"/>
    <w:rsid w:val="00A56E6E"/>
    <w:rsid w:val="00A67AB5"/>
    <w:rsid w:val="00A733B2"/>
    <w:rsid w:val="00A741C2"/>
    <w:rsid w:val="00A91760"/>
    <w:rsid w:val="00A93B00"/>
    <w:rsid w:val="00A93C21"/>
    <w:rsid w:val="00A95EA9"/>
    <w:rsid w:val="00AA216D"/>
    <w:rsid w:val="00AB64C9"/>
    <w:rsid w:val="00AC3C6A"/>
    <w:rsid w:val="00AD5620"/>
    <w:rsid w:val="00AD656B"/>
    <w:rsid w:val="00AD7C1B"/>
    <w:rsid w:val="00AE16BA"/>
    <w:rsid w:val="00AE1EBE"/>
    <w:rsid w:val="00AE32FF"/>
    <w:rsid w:val="00AF3A5E"/>
    <w:rsid w:val="00B03C9D"/>
    <w:rsid w:val="00B060AE"/>
    <w:rsid w:val="00B10517"/>
    <w:rsid w:val="00B14E76"/>
    <w:rsid w:val="00B161B8"/>
    <w:rsid w:val="00B17E7A"/>
    <w:rsid w:val="00B2048C"/>
    <w:rsid w:val="00B307A7"/>
    <w:rsid w:val="00B310B9"/>
    <w:rsid w:val="00B35F3F"/>
    <w:rsid w:val="00B36CBB"/>
    <w:rsid w:val="00B425E0"/>
    <w:rsid w:val="00B440AA"/>
    <w:rsid w:val="00B44B70"/>
    <w:rsid w:val="00B53C56"/>
    <w:rsid w:val="00B57DAF"/>
    <w:rsid w:val="00B77EA6"/>
    <w:rsid w:val="00B81598"/>
    <w:rsid w:val="00B827B5"/>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26B32"/>
    <w:rsid w:val="00C33E72"/>
    <w:rsid w:val="00C354B2"/>
    <w:rsid w:val="00C35554"/>
    <w:rsid w:val="00C42709"/>
    <w:rsid w:val="00C533CC"/>
    <w:rsid w:val="00C5751C"/>
    <w:rsid w:val="00C61BFC"/>
    <w:rsid w:val="00C62B85"/>
    <w:rsid w:val="00C65438"/>
    <w:rsid w:val="00C65AA9"/>
    <w:rsid w:val="00C808B3"/>
    <w:rsid w:val="00C87FD8"/>
    <w:rsid w:val="00C91381"/>
    <w:rsid w:val="00C91CBB"/>
    <w:rsid w:val="00CB4E70"/>
    <w:rsid w:val="00CC09B6"/>
    <w:rsid w:val="00CC666F"/>
    <w:rsid w:val="00CD1E3F"/>
    <w:rsid w:val="00CE44F6"/>
    <w:rsid w:val="00CE49DA"/>
    <w:rsid w:val="00CE7B61"/>
    <w:rsid w:val="00CF1214"/>
    <w:rsid w:val="00D00095"/>
    <w:rsid w:val="00D05A63"/>
    <w:rsid w:val="00D114F0"/>
    <w:rsid w:val="00D20620"/>
    <w:rsid w:val="00D254F7"/>
    <w:rsid w:val="00D26091"/>
    <w:rsid w:val="00D2685C"/>
    <w:rsid w:val="00D34E7C"/>
    <w:rsid w:val="00D35489"/>
    <w:rsid w:val="00D36AFE"/>
    <w:rsid w:val="00D51276"/>
    <w:rsid w:val="00D7035F"/>
    <w:rsid w:val="00D90AA8"/>
    <w:rsid w:val="00DA634F"/>
    <w:rsid w:val="00DA65AC"/>
    <w:rsid w:val="00DA77B7"/>
    <w:rsid w:val="00DB1913"/>
    <w:rsid w:val="00DC0D3B"/>
    <w:rsid w:val="00DC410D"/>
    <w:rsid w:val="00DC5A81"/>
    <w:rsid w:val="00DC68CA"/>
    <w:rsid w:val="00DC7CBA"/>
    <w:rsid w:val="00DD73B7"/>
    <w:rsid w:val="00DF28BC"/>
    <w:rsid w:val="00DF34B9"/>
    <w:rsid w:val="00E01053"/>
    <w:rsid w:val="00E07ACF"/>
    <w:rsid w:val="00E32CAD"/>
    <w:rsid w:val="00E331A1"/>
    <w:rsid w:val="00E33202"/>
    <w:rsid w:val="00E336A9"/>
    <w:rsid w:val="00E373C5"/>
    <w:rsid w:val="00E472B1"/>
    <w:rsid w:val="00E50624"/>
    <w:rsid w:val="00E568DF"/>
    <w:rsid w:val="00E64269"/>
    <w:rsid w:val="00E82267"/>
    <w:rsid w:val="00E853CE"/>
    <w:rsid w:val="00E867B6"/>
    <w:rsid w:val="00EA010F"/>
    <w:rsid w:val="00EA66B1"/>
    <w:rsid w:val="00ED1B63"/>
    <w:rsid w:val="00ED3C1F"/>
    <w:rsid w:val="00ED4085"/>
    <w:rsid w:val="00ED420E"/>
    <w:rsid w:val="00ED64A5"/>
    <w:rsid w:val="00ED6FBE"/>
    <w:rsid w:val="00EE2F57"/>
    <w:rsid w:val="00EF4C34"/>
    <w:rsid w:val="00EF60EF"/>
    <w:rsid w:val="00EF77C6"/>
    <w:rsid w:val="00F05438"/>
    <w:rsid w:val="00F1361C"/>
    <w:rsid w:val="00F156F0"/>
    <w:rsid w:val="00F160C7"/>
    <w:rsid w:val="00F2408F"/>
    <w:rsid w:val="00F240E9"/>
    <w:rsid w:val="00F36D8F"/>
    <w:rsid w:val="00F40C43"/>
    <w:rsid w:val="00F417B1"/>
    <w:rsid w:val="00F45853"/>
    <w:rsid w:val="00F46AED"/>
    <w:rsid w:val="00F602DF"/>
    <w:rsid w:val="00F64406"/>
    <w:rsid w:val="00F754A1"/>
    <w:rsid w:val="00F81FD9"/>
    <w:rsid w:val="00F841AA"/>
    <w:rsid w:val="00F84A94"/>
    <w:rsid w:val="00F87E96"/>
    <w:rsid w:val="00FA23E8"/>
    <w:rsid w:val="00FB730F"/>
    <w:rsid w:val="00FD3CC1"/>
    <w:rsid w:val="00FF1E02"/>
    <w:rsid w:val="00FF30B4"/>
    <w:rsid w:val="05DC131B"/>
    <w:rsid w:val="0A2032A3"/>
    <w:rsid w:val="0DE94DE9"/>
    <w:rsid w:val="10C055FF"/>
    <w:rsid w:val="118107EC"/>
    <w:rsid w:val="16BB723D"/>
    <w:rsid w:val="1ADA13C3"/>
    <w:rsid w:val="1B0A72F8"/>
    <w:rsid w:val="1B4B0F61"/>
    <w:rsid w:val="1C111097"/>
    <w:rsid w:val="1C901102"/>
    <w:rsid w:val="1D155CEE"/>
    <w:rsid w:val="20C26C4C"/>
    <w:rsid w:val="20C470DD"/>
    <w:rsid w:val="21287B91"/>
    <w:rsid w:val="218C3EB2"/>
    <w:rsid w:val="225B6A17"/>
    <w:rsid w:val="240371BF"/>
    <w:rsid w:val="29FD04D3"/>
    <w:rsid w:val="2AFF0D90"/>
    <w:rsid w:val="2E37529F"/>
    <w:rsid w:val="319F7F4E"/>
    <w:rsid w:val="3D2775D1"/>
    <w:rsid w:val="3F28296A"/>
    <w:rsid w:val="432776A4"/>
    <w:rsid w:val="4ECE2238"/>
    <w:rsid w:val="514C498F"/>
    <w:rsid w:val="56DC5B12"/>
    <w:rsid w:val="5F8A0C25"/>
    <w:rsid w:val="629043FC"/>
    <w:rsid w:val="68642F69"/>
    <w:rsid w:val="6C25452A"/>
    <w:rsid w:val="6C4A05C8"/>
    <w:rsid w:val="6F013F97"/>
    <w:rsid w:val="72734D90"/>
    <w:rsid w:val="73DC0C17"/>
    <w:rsid w:val="78896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B2FDE3"/>
  <w15:chartTrackingRefBased/>
  <w15:docId w15:val="{56C044A9-996D-419D-8297-77F62B9B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qFormat/>
    <w:locked/>
    <w:rPr>
      <w:rFonts w:ascii="Times New Roman" w:hAnsi="Times New Roman" w:cs="Times New Roman"/>
      <w:b/>
      <w:bCs/>
      <w:kern w:val="44"/>
      <w:sz w:val="44"/>
      <w:szCs w:val="44"/>
    </w:rPr>
  </w:style>
  <w:style w:type="character" w:customStyle="1" w:styleId="2Char">
    <w:name w:val="标题 2 Char"/>
    <w:link w:val="2"/>
    <w:uiPriority w:val="9"/>
    <w:qFormat/>
    <w:locked/>
    <w:rPr>
      <w:rFonts w:ascii="Cambria" w:eastAsia="宋体" w:hAnsi="Cambria" w:cs="Times New Roman"/>
      <w:b/>
      <w:bCs/>
      <w:kern w:val="2"/>
      <w:sz w:val="32"/>
      <w:szCs w:val="32"/>
    </w:rPr>
  </w:style>
  <w:style w:type="character" w:customStyle="1" w:styleId="3Char">
    <w:name w:val="标题 3 Char"/>
    <w:link w:val="3"/>
    <w:uiPriority w:val="9"/>
    <w:qFormat/>
    <w:locked/>
    <w:rPr>
      <w:rFonts w:ascii="Times New Roman" w:hAnsi="Times New Roman" w:cs="Times New Roman"/>
      <w:b/>
      <w:bCs/>
      <w:kern w:val="2"/>
      <w:sz w:val="32"/>
      <w:szCs w:val="32"/>
    </w:rPr>
  </w:style>
  <w:style w:type="paragraph" w:styleId="a3">
    <w:name w:val="Body Text"/>
    <w:basedOn w:val="a"/>
    <w:link w:val="Char"/>
    <w:uiPriority w:val="99"/>
    <w:qFormat/>
    <w:pPr>
      <w:spacing w:beforeLines="30"/>
    </w:pPr>
    <w:rPr>
      <w:rFonts w:ascii="仿宋_GB2312" w:eastAsia="仿宋_GB2312"/>
      <w:kern w:val="0"/>
      <w:sz w:val="24"/>
      <w:szCs w:val="20"/>
    </w:rPr>
  </w:style>
  <w:style w:type="character" w:customStyle="1" w:styleId="Char">
    <w:name w:val="正文文本 Char"/>
    <w:link w:val="a3"/>
    <w:uiPriority w:val="99"/>
    <w:qFormat/>
    <w:locked/>
    <w:rPr>
      <w:rFonts w:ascii="仿宋_GB2312" w:eastAsia="仿宋_GB2312" w:hAnsi="Times New Roman"/>
      <w:sz w:val="24"/>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unhideWhenUsed/>
    <w:qFormat/>
    <w:rPr>
      <w:sz w:val="18"/>
      <w:szCs w:val="18"/>
    </w:rPr>
  </w:style>
  <w:style w:type="character" w:customStyle="1" w:styleId="Char0">
    <w:name w:val="批注框文本 Char"/>
    <w:link w:val="a4"/>
    <w:uiPriority w:val="99"/>
    <w:semiHidden/>
    <w:qFormat/>
    <w:locked/>
    <w:rPr>
      <w:rFonts w:ascii="Times New Roman" w:hAnsi="Times New Roman" w:cs="Times New Roman"/>
      <w:kern w:val="2"/>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20"/>
    </w:rPr>
  </w:style>
  <w:style w:type="character" w:customStyle="1" w:styleId="Char1">
    <w:name w:val="页脚 Char"/>
    <w:link w:val="a5"/>
    <w:uiPriority w:val="99"/>
    <w:qFormat/>
    <w:locked/>
    <w:rPr>
      <w:sz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Char2">
    <w:name w:val="页眉 Char"/>
    <w:link w:val="a6"/>
    <w:uiPriority w:val="99"/>
    <w:semiHidden/>
    <w:qFormat/>
    <w:locked/>
    <w:rPr>
      <w:sz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uiPriority w:val="99"/>
    <w:qFormat/>
    <w:rPr>
      <w:rFonts w:cs="Times New Roman"/>
      <w:b/>
    </w:rPr>
  </w:style>
  <w:style w:type="character" w:styleId="a8">
    <w:name w:val="Hyperlink"/>
    <w:uiPriority w:val="99"/>
    <w:unhideWhenUsed/>
    <w:qFormat/>
    <w:rPr>
      <w:rFonts w:cs="Times New Roman"/>
      <w:color w:val="0000FF"/>
      <w:u w:val="single"/>
    </w:rPr>
  </w:style>
  <w:style w:type="character" w:customStyle="1" w:styleId="BodyTextChar">
    <w:name w:val="Body Text Char"/>
    <w:link w:val="a3"/>
    <w:uiPriority w:val="99"/>
    <w:semiHidden/>
    <w:qFormat/>
    <w:rPr>
      <w:rFonts w:ascii="Times New Roman" w:hAnsi="Times New Roman" w:cs="Times New Roman"/>
      <w:sz w:val="24"/>
      <w:szCs w:val="24"/>
    </w:rPr>
  </w:style>
  <w:style w:type="character" w:customStyle="1" w:styleId="FooterChar">
    <w:name w:val="Footer Char"/>
    <w:link w:val="a5"/>
    <w:uiPriority w:val="99"/>
    <w:semiHidden/>
    <w:qFormat/>
    <w:rPr>
      <w:rFonts w:ascii="Times New Roman" w:hAnsi="Times New Roman" w:cs="Times New Roman"/>
      <w:sz w:val="18"/>
      <w:szCs w:val="18"/>
    </w:rPr>
  </w:style>
  <w:style w:type="character" w:customStyle="1" w:styleId="HeaderChar">
    <w:name w:val="Header Char"/>
    <w:link w:val="a6"/>
    <w:uiPriority w:val="99"/>
    <w:semiHidden/>
    <w:qFormat/>
    <w:rPr>
      <w:rFonts w:ascii="Times New Roman" w:hAnsi="Times New Roman" w:cs="Times New Roman"/>
      <w:sz w:val="18"/>
      <w:szCs w:val="18"/>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customStyle="1" w:styleId="ListParagraph">
    <w:name w:val="List Paragraph"/>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styleId="TOC">
    <w:name w:val="TOC Heading"/>
    <w:basedOn w:val="1"/>
    <w:next w:val="a"/>
    <w:uiPriority w:val="39"/>
    <w:qFormat/>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3988</Words>
  <Characters>22733</Characters>
  <Application>Microsoft Office Word</Application>
  <DocSecurity>0</DocSecurity>
  <Lines>189</Lines>
  <Paragraphs>53</Paragraphs>
  <ScaleCrop>false</ScaleCrop>
  <Company>四川省财政厅</Company>
  <LinksUpToDate>false</LinksUpToDate>
  <CharactersWithSpaces>26668</CharactersWithSpaces>
  <SharedDoc>false</SharedDoc>
  <HLinks>
    <vt:vector size="264" baseType="variant">
      <vt:variant>
        <vt:i4>1114171</vt:i4>
      </vt:variant>
      <vt:variant>
        <vt:i4>260</vt:i4>
      </vt:variant>
      <vt:variant>
        <vt:i4>0</vt:i4>
      </vt:variant>
      <vt:variant>
        <vt:i4>5</vt:i4>
      </vt:variant>
      <vt:variant>
        <vt:lpwstr/>
      </vt:variant>
      <vt:variant>
        <vt:lpwstr>_Toc82075665</vt:lpwstr>
      </vt:variant>
      <vt:variant>
        <vt:i4>1048635</vt:i4>
      </vt:variant>
      <vt:variant>
        <vt:i4>254</vt:i4>
      </vt:variant>
      <vt:variant>
        <vt:i4>0</vt:i4>
      </vt:variant>
      <vt:variant>
        <vt:i4>5</vt:i4>
      </vt:variant>
      <vt:variant>
        <vt:lpwstr/>
      </vt:variant>
      <vt:variant>
        <vt:lpwstr>_Toc82075664</vt:lpwstr>
      </vt:variant>
      <vt:variant>
        <vt:i4>1507387</vt:i4>
      </vt:variant>
      <vt:variant>
        <vt:i4>248</vt:i4>
      </vt:variant>
      <vt:variant>
        <vt:i4>0</vt:i4>
      </vt:variant>
      <vt:variant>
        <vt:i4>5</vt:i4>
      </vt:variant>
      <vt:variant>
        <vt:lpwstr/>
      </vt:variant>
      <vt:variant>
        <vt:lpwstr>_Toc82075663</vt:lpwstr>
      </vt:variant>
      <vt:variant>
        <vt:i4>1441851</vt:i4>
      </vt:variant>
      <vt:variant>
        <vt:i4>242</vt:i4>
      </vt:variant>
      <vt:variant>
        <vt:i4>0</vt:i4>
      </vt:variant>
      <vt:variant>
        <vt:i4>5</vt:i4>
      </vt:variant>
      <vt:variant>
        <vt:lpwstr/>
      </vt:variant>
      <vt:variant>
        <vt:lpwstr>_Toc82075662</vt:lpwstr>
      </vt:variant>
      <vt:variant>
        <vt:i4>1376315</vt:i4>
      </vt:variant>
      <vt:variant>
        <vt:i4>236</vt:i4>
      </vt:variant>
      <vt:variant>
        <vt:i4>0</vt:i4>
      </vt:variant>
      <vt:variant>
        <vt:i4>5</vt:i4>
      </vt:variant>
      <vt:variant>
        <vt:lpwstr/>
      </vt:variant>
      <vt:variant>
        <vt:lpwstr>_Toc82075661</vt:lpwstr>
      </vt:variant>
      <vt:variant>
        <vt:i4>1310779</vt:i4>
      </vt:variant>
      <vt:variant>
        <vt:i4>230</vt:i4>
      </vt:variant>
      <vt:variant>
        <vt:i4>0</vt:i4>
      </vt:variant>
      <vt:variant>
        <vt:i4>5</vt:i4>
      </vt:variant>
      <vt:variant>
        <vt:lpwstr/>
      </vt:variant>
      <vt:variant>
        <vt:lpwstr>_Toc82075660</vt:lpwstr>
      </vt:variant>
      <vt:variant>
        <vt:i4>1900600</vt:i4>
      </vt:variant>
      <vt:variant>
        <vt:i4>224</vt:i4>
      </vt:variant>
      <vt:variant>
        <vt:i4>0</vt:i4>
      </vt:variant>
      <vt:variant>
        <vt:i4>5</vt:i4>
      </vt:variant>
      <vt:variant>
        <vt:lpwstr/>
      </vt:variant>
      <vt:variant>
        <vt:lpwstr>_Toc82075659</vt:lpwstr>
      </vt:variant>
      <vt:variant>
        <vt:i4>1835064</vt:i4>
      </vt:variant>
      <vt:variant>
        <vt:i4>218</vt:i4>
      </vt:variant>
      <vt:variant>
        <vt:i4>0</vt:i4>
      </vt:variant>
      <vt:variant>
        <vt:i4>5</vt:i4>
      </vt:variant>
      <vt:variant>
        <vt:lpwstr/>
      </vt:variant>
      <vt:variant>
        <vt:lpwstr>_Toc82075658</vt:lpwstr>
      </vt:variant>
      <vt:variant>
        <vt:i4>1245240</vt:i4>
      </vt:variant>
      <vt:variant>
        <vt:i4>212</vt:i4>
      </vt:variant>
      <vt:variant>
        <vt:i4>0</vt:i4>
      </vt:variant>
      <vt:variant>
        <vt:i4>5</vt:i4>
      </vt:variant>
      <vt:variant>
        <vt:lpwstr/>
      </vt:variant>
      <vt:variant>
        <vt:lpwstr>_Toc82075657</vt:lpwstr>
      </vt:variant>
      <vt:variant>
        <vt:i4>1179704</vt:i4>
      </vt:variant>
      <vt:variant>
        <vt:i4>206</vt:i4>
      </vt:variant>
      <vt:variant>
        <vt:i4>0</vt:i4>
      </vt:variant>
      <vt:variant>
        <vt:i4>5</vt:i4>
      </vt:variant>
      <vt:variant>
        <vt:lpwstr/>
      </vt:variant>
      <vt:variant>
        <vt:lpwstr>_Toc82075656</vt:lpwstr>
      </vt:variant>
      <vt:variant>
        <vt:i4>1114168</vt:i4>
      </vt:variant>
      <vt:variant>
        <vt:i4>200</vt:i4>
      </vt:variant>
      <vt:variant>
        <vt:i4>0</vt:i4>
      </vt:variant>
      <vt:variant>
        <vt:i4>5</vt:i4>
      </vt:variant>
      <vt:variant>
        <vt:lpwstr/>
      </vt:variant>
      <vt:variant>
        <vt:lpwstr>_Toc82075655</vt:lpwstr>
      </vt:variant>
      <vt:variant>
        <vt:i4>1048632</vt:i4>
      </vt:variant>
      <vt:variant>
        <vt:i4>194</vt:i4>
      </vt:variant>
      <vt:variant>
        <vt:i4>0</vt:i4>
      </vt:variant>
      <vt:variant>
        <vt:i4>5</vt:i4>
      </vt:variant>
      <vt:variant>
        <vt:lpwstr/>
      </vt:variant>
      <vt:variant>
        <vt:lpwstr>_Toc82075654</vt:lpwstr>
      </vt:variant>
      <vt:variant>
        <vt:i4>1507384</vt:i4>
      </vt:variant>
      <vt:variant>
        <vt:i4>188</vt:i4>
      </vt:variant>
      <vt:variant>
        <vt:i4>0</vt:i4>
      </vt:variant>
      <vt:variant>
        <vt:i4>5</vt:i4>
      </vt:variant>
      <vt:variant>
        <vt:lpwstr/>
      </vt:variant>
      <vt:variant>
        <vt:lpwstr>_Toc82075653</vt:lpwstr>
      </vt:variant>
      <vt:variant>
        <vt:i4>1441848</vt:i4>
      </vt:variant>
      <vt:variant>
        <vt:i4>182</vt:i4>
      </vt:variant>
      <vt:variant>
        <vt:i4>0</vt:i4>
      </vt:variant>
      <vt:variant>
        <vt:i4>5</vt:i4>
      </vt:variant>
      <vt:variant>
        <vt:lpwstr/>
      </vt:variant>
      <vt:variant>
        <vt:lpwstr>_Toc82075652</vt:lpwstr>
      </vt:variant>
      <vt:variant>
        <vt:i4>1376312</vt:i4>
      </vt:variant>
      <vt:variant>
        <vt:i4>176</vt:i4>
      </vt:variant>
      <vt:variant>
        <vt:i4>0</vt:i4>
      </vt:variant>
      <vt:variant>
        <vt:i4>5</vt:i4>
      </vt:variant>
      <vt:variant>
        <vt:lpwstr/>
      </vt:variant>
      <vt:variant>
        <vt:lpwstr>_Toc82075651</vt:lpwstr>
      </vt:variant>
      <vt:variant>
        <vt:i4>1310776</vt:i4>
      </vt:variant>
      <vt:variant>
        <vt:i4>170</vt:i4>
      </vt:variant>
      <vt:variant>
        <vt:i4>0</vt:i4>
      </vt:variant>
      <vt:variant>
        <vt:i4>5</vt:i4>
      </vt:variant>
      <vt:variant>
        <vt:lpwstr/>
      </vt:variant>
      <vt:variant>
        <vt:lpwstr>_Toc82075650</vt:lpwstr>
      </vt:variant>
      <vt:variant>
        <vt:i4>1900601</vt:i4>
      </vt:variant>
      <vt:variant>
        <vt:i4>164</vt:i4>
      </vt:variant>
      <vt:variant>
        <vt:i4>0</vt:i4>
      </vt:variant>
      <vt:variant>
        <vt:i4>5</vt:i4>
      </vt:variant>
      <vt:variant>
        <vt:lpwstr/>
      </vt:variant>
      <vt:variant>
        <vt:lpwstr>_Toc82075649</vt:lpwstr>
      </vt:variant>
      <vt:variant>
        <vt:i4>1835065</vt:i4>
      </vt:variant>
      <vt:variant>
        <vt:i4>158</vt:i4>
      </vt:variant>
      <vt:variant>
        <vt:i4>0</vt:i4>
      </vt:variant>
      <vt:variant>
        <vt:i4>5</vt:i4>
      </vt:variant>
      <vt:variant>
        <vt:lpwstr/>
      </vt:variant>
      <vt:variant>
        <vt:lpwstr>_Toc82075648</vt:lpwstr>
      </vt:variant>
      <vt:variant>
        <vt:i4>1245241</vt:i4>
      </vt:variant>
      <vt:variant>
        <vt:i4>152</vt:i4>
      </vt:variant>
      <vt:variant>
        <vt:i4>0</vt:i4>
      </vt:variant>
      <vt:variant>
        <vt:i4>5</vt:i4>
      </vt:variant>
      <vt:variant>
        <vt:lpwstr/>
      </vt:variant>
      <vt:variant>
        <vt:lpwstr>_Toc82075647</vt:lpwstr>
      </vt:variant>
      <vt:variant>
        <vt:i4>1179705</vt:i4>
      </vt:variant>
      <vt:variant>
        <vt:i4>146</vt:i4>
      </vt:variant>
      <vt:variant>
        <vt:i4>0</vt:i4>
      </vt:variant>
      <vt:variant>
        <vt:i4>5</vt:i4>
      </vt:variant>
      <vt:variant>
        <vt:lpwstr/>
      </vt:variant>
      <vt:variant>
        <vt:lpwstr>_Toc82075646</vt:lpwstr>
      </vt:variant>
      <vt:variant>
        <vt:i4>1114169</vt:i4>
      </vt:variant>
      <vt:variant>
        <vt:i4>140</vt:i4>
      </vt:variant>
      <vt:variant>
        <vt:i4>0</vt:i4>
      </vt:variant>
      <vt:variant>
        <vt:i4>5</vt:i4>
      </vt:variant>
      <vt:variant>
        <vt:lpwstr/>
      </vt:variant>
      <vt:variant>
        <vt:lpwstr>_Toc82075645</vt:lpwstr>
      </vt:variant>
      <vt:variant>
        <vt:i4>1048633</vt:i4>
      </vt:variant>
      <vt:variant>
        <vt:i4>134</vt:i4>
      </vt:variant>
      <vt:variant>
        <vt:i4>0</vt:i4>
      </vt:variant>
      <vt:variant>
        <vt:i4>5</vt:i4>
      </vt:variant>
      <vt:variant>
        <vt:lpwstr/>
      </vt:variant>
      <vt:variant>
        <vt:lpwstr>_Toc82075644</vt:lpwstr>
      </vt:variant>
      <vt:variant>
        <vt:i4>1507385</vt:i4>
      </vt:variant>
      <vt:variant>
        <vt:i4>128</vt:i4>
      </vt:variant>
      <vt:variant>
        <vt:i4>0</vt:i4>
      </vt:variant>
      <vt:variant>
        <vt:i4>5</vt:i4>
      </vt:variant>
      <vt:variant>
        <vt:lpwstr/>
      </vt:variant>
      <vt:variant>
        <vt:lpwstr>_Toc82075643</vt:lpwstr>
      </vt:variant>
      <vt:variant>
        <vt:i4>1441849</vt:i4>
      </vt:variant>
      <vt:variant>
        <vt:i4>122</vt:i4>
      </vt:variant>
      <vt:variant>
        <vt:i4>0</vt:i4>
      </vt:variant>
      <vt:variant>
        <vt:i4>5</vt:i4>
      </vt:variant>
      <vt:variant>
        <vt:lpwstr/>
      </vt:variant>
      <vt:variant>
        <vt:lpwstr>_Toc82075642</vt:lpwstr>
      </vt:variant>
      <vt:variant>
        <vt:i4>1376313</vt:i4>
      </vt:variant>
      <vt:variant>
        <vt:i4>116</vt:i4>
      </vt:variant>
      <vt:variant>
        <vt:i4>0</vt:i4>
      </vt:variant>
      <vt:variant>
        <vt:i4>5</vt:i4>
      </vt:variant>
      <vt:variant>
        <vt:lpwstr/>
      </vt:variant>
      <vt:variant>
        <vt:lpwstr>_Toc82075641</vt:lpwstr>
      </vt:variant>
      <vt:variant>
        <vt:i4>1310777</vt:i4>
      </vt:variant>
      <vt:variant>
        <vt:i4>110</vt:i4>
      </vt:variant>
      <vt:variant>
        <vt:i4>0</vt:i4>
      </vt:variant>
      <vt:variant>
        <vt:i4>5</vt:i4>
      </vt:variant>
      <vt:variant>
        <vt:lpwstr/>
      </vt:variant>
      <vt:variant>
        <vt:lpwstr>_Toc82075640</vt:lpwstr>
      </vt:variant>
      <vt:variant>
        <vt:i4>1900606</vt:i4>
      </vt:variant>
      <vt:variant>
        <vt:i4>104</vt:i4>
      </vt:variant>
      <vt:variant>
        <vt:i4>0</vt:i4>
      </vt:variant>
      <vt:variant>
        <vt:i4>5</vt:i4>
      </vt:variant>
      <vt:variant>
        <vt:lpwstr/>
      </vt:variant>
      <vt:variant>
        <vt:lpwstr>_Toc82075639</vt:lpwstr>
      </vt:variant>
      <vt:variant>
        <vt:i4>1835070</vt:i4>
      </vt:variant>
      <vt:variant>
        <vt:i4>98</vt:i4>
      </vt:variant>
      <vt:variant>
        <vt:i4>0</vt:i4>
      </vt:variant>
      <vt:variant>
        <vt:i4>5</vt:i4>
      </vt:variant>
      <vt:variant>
        <vt:lpwstr/>
      </vt:variant>
      <vt:variant>
        <vt:lpwstr>_Toc82075638</vt:lpwstr>
      </vt:variant>
      <vt:variant>
        <vt:i4>1245246</vt:i4>
      </vt:variant>
      <vt:variant>
        <vt:i4>92</vt:i4>
      </vt:variant>
      <vt:variant>
        <vt:i4>0</vt:i4>
      </vt:variant>
      <vt:variant>
        <vt:i4>5</vt:i4>
      </vt:variant>
      <vt:variant>
        <vt:lpwstr/>
      </vt:variant>
      <vt:variant>
        <vt:lpwstr>_Toc82075637</vt:lpwstr>
      </vt:variant>
      <vt:variant>
        <vt:i4>1179710</vt:i4>
      </vt:variant>
      <vt:variant>
        <vt:i4>86</vt:i4>
      </vt:variant>
      <vt:variant>
        <vt:i4>0</vt:i4>
      </vt:variant>
      <vt:variant>
        <vt:i4>5</vt:i4>
      </vt:variant>
      <vt:variant>
        <vt:lpwstr/>
      </vt:variant>
      <vt:variant>
        <vt:lpwstr>_Toc82075636</vt:lpwstr>
      </vt:variant>
      <vt:variant>
        <vt:i4>1048638</vt:i4>
      </vt:variant>
      <vt:variant>
        <vt:i4>80</vt:i4>
      </vt:variant>
      <vt:variant>
        <vt:i4>0</vt:i4>
      </vt:variant>
      <vt:variant>
        <vt:i4>5</vt:i4>
      </vt:variant>
      <vt:variant>
        <vt:lpwstr/>
      </vt:variant>
      <vt:variant>
        <vt:lpwstr>_Toc82075634</vt:lpwstr>
      </vt:variant>
      <vt:variant>
        <vt:i4>1507390</vt:i4>
      </vt:variant>
      <vt:variant>
        <vt:i4>74</vt:i4>
      </vt:variant>
      <vt:variant>
        <vt:i4>0</vt:i4>
      </vt:variant>
      <vt:variant>
        <vt:i4>5</vt:i4>
      </vt:variant>
      <vt:variant>
        <vt:lpwstr/>
      </vt:variant>
      <vt:variant>
        <vt:lpwstr>_Toc82075633</vt:lpwstr>
      </vt:variant>
      <vt:variant>
        <vt:i4>1441854</vt:i4>
      </vt:variant>
      <vt:variant>
        <vt:i4>68</vt:i4>
      </vt:variant>
      <vt:variant>
        <vt:i4>0</vt:i4>
      </vt:variant>
      <vt:variant>
        <vt:i4>5</vt:i4>
      </vt:variant>
      <vt:variant>
        <vt:lpwstr/>
      </vt:variant>
      <vt:variant>
        <vt:lpwstr>_Toc82075632</vt:lpwstr>
      </vt:variant>
      <vt:variant>
        <vt:i4>1376318</vt:i4>
      </vt:variant>
      <vt:variant>
        <vt:i4>62</vt:i4>
      </vt:variant>
      <vt:variant>
        <vt:i4>0</vt:i4>
      </vt:variant>
      <vt:variant>
        <vt:i4>5</vt:i4>
      </vt:variant>
      <vt:variant>
        <vt:lpwstr/>
      </vt:variant>
      <vt:variant>
        <vt:lpwstr>_Toc82075631</vt:lpwstr>
      </vt:variant>
      <vt:variant>
        <vt:i4>1310782</vt:i4>
      </vt:variant>
      <vt:variant>
        <vt:i4>56</vt:i4>
      </vt:variant>
      <vt:variant>
        <vt:i4>0</vt:i4>
      </vt:variant>
      <vt:variant>
        <vt:i4>5</vt:i4>
      </vt:variant>
      <vt:variant>
        <vt:lpwstr/>
      </vt:variant>
      <vt:variant>
        <vt:lpwstr>_Toc82075630</vt:lpwstr>
      </vt:variant>
      <vt:variant>
        <vt:i4>1900607</vt:i4>
      </vt:variant>
      <vt:variant>
        <vt:i4>50</vt:i4>
      </vt:variant>
      <vt:variant>
        <vt:i4>0</vt:i4>
      </vt:variant>
      <vt:variant>
        <vt:i4>5</vt:i4>
      </vt:variant>
      <vt:variant>
        <vt:lpwstr/>
      </vt:variant>
      <vt:variant>
        <vt:lpwstr>_Toc82075629</vt:lpwstr>
      </vt:variant>
      <vt:variant>
        <vt:i4>1245247</vt:i4>
      </vt:variant>
      <vt:variant>
        <vt:i4>44</vt:i4>
      </vt:variant>
      <vt:variant>
        <vt:i4>0</vt:i4>
      </vt:variant>
      <vt:variant>
        <vt:i4>5</vt:i4>
      </vt:variant>
      <vt:variant>
        <vt:lpwstr/>
      </vt:variant>
      <vt:variant>
        <vt:lpwstr>_Toc82075627</vt:lpwstr>
      </vt:variant>
      <vt:variant>
        <vt:i4>1179711</vt:i4>
      </vt:variant>
      <vt:variant>
        <vt:i4>38</vt:i4>
      </vt:variant>
      <vt:variant>
        <vt:i4>0</vt:i4>
      </vt:variant>
      <vt:variant>
        <vt:i4>5</vt:i4>
      </vt:variant>
      <vt:variant>
        <vt:lpwstr/>
      </vt:variant>
      <vt:variant>
        <vt:lpwstr>_Toc82075626</vt:lpwstr>
      </vt:variant>
      <vt:variant>
        <vt:i4>1114175</vt:i4>
      </vt:variant>
      <vt:variant>
        <vt:i4>32</vt:i4>
      </vt:variant>
      <vt:variant>
        <vt:i4>0</vt:i4>
      </vt:variant>
      <vt:variant>
        <vt:i4>5</vt:i4>
      </vt:variant>
      <vt:variant>
        <vt:lpwstr/>
      </vt:variant>
      <vt:variant>
        <vt:lpwstr>_Toc82075625</vt:lpwstr>
      </vt:variant>
      <vt:variant>
        <vt:i4>1048639</vt:i4>
      </vt:variant>
      <vt:variant>
        <vt:i4>26</vt:i4>
      </vt:variant>
      <vt:variant>
        <vt:i4>0</vt:i4>
      </vt:variant>
      <vt:variant>
        <vt:i4>5</vt:i4>
      </vt:variant>
      <vt:variant>
        <vt:lpwstr/>
      </vt:variant>
      <vt:variant>
        <vt:lpwstr>_Toc82075624</vt:lpwstr>
      </vt:variant>
      <vt:variant>
        <vt:i4>1507391</vt:i4>
      </vt:variant>
      <vt:variant>
        <vt:i4>20</vt:i4>
      </vt:variant>
      <vt:variant>
        <vt:i4>0</vt:i4>
      </vt:variant>
      <vt:variant>
        <vt:i4>5</vt:i4>
      </vt:variant>
      <vt:variant>
        <vt:lpwstr/>
      </vt:variant>
      <vt:variant>
        <vt:lpwstr>_Toc82075623</vt:lpwstr>
      </vt:variant>
      <vt:variant>
        <vt:i4>1441855</vt:i4>
      </vt:variant>
      <vt:variant>
        <vt:i4>14</vt:i4>
      </vt:variant>
      <vt:variant>
        <vt:i4>0</vt:i4>
      </vt:variant>
      <vt:variant>
        <vt:i4>5</vt:i4>
      </vt:variant>
      <vt:variant>
        <vt:lpwstr/>
      </vt:variant>
      <vt:variant>
        <vt:lpwstr>_Toc82075622</vt:lpwstr>
      </vt:variant>
      <vt:variant>
        <vt:i4>1376319</vt:i4>
      </vt:variant>
      <vt:variant>
        <vt:i4>8</vt:i4>
      </vt:variant>
      <vt:variant>
        <vt:i4>0</vt:i4>
      </vt:variant>
      <vt:variant>
        <vt:i4>5</vt:i4>
      </vt:variant>
      <vt:variant>
        <vt:lpwstr/>
      </vt:variant>
      <vt:variant>
        <vt:lpwstr>_Toc82075621</vt:lpwstr>
      </vt:variant>
      <vt:variant>
        <vt:i4>1310783</vt:i4>
      </vt:variant>
      <vt:variant>
        <vt:i4>2</vt:i4>
      </vt:variant>
      <vt:variant>
        <vt:i4>0</vt:i4>
      </vt:variant>
      <vt:variant>
        <vt:i4>5</vt:i4>
      </vt:variant>
      <vt:variant>
        <vt:lpwstr/>
      </vt:variant>
      <vt:variant>
        <vt:lpwstr>_Toc82075620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cp:lastModifiedBy>邓丽君</cp:lastModifiedBy>
  <cp:revision>2</cp:revision>
  <cp:lastPrinted>2021-07-29T03:56:00Z</cp:lastPrinted>
  <dcterms:created xsi:type="dcterms:W3CDTF">2021-09-09T02:48:00Z</dcterms:created>
  <dcterms:modified xsi:type="dcterms:W3CDTF">2021-09-09T02:48:00Z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449A11C298D745538108BE03A146F1E1</vt:lpwstr>
  </property>
</Properties>
</file>