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ascii="方正小标宋简体" w:eastAsia="方正小标宋简体"/>
          <w:color w:val="000000"/>
          <w:sz w:val="72"/>
          <w:szCs w:val="72"/>
        </w:rPr>
      </w:pPr>
      <w:bookmarkStart w:id="0" w:name="_Toc15306267"/>
    </w:p>
    <w:p>
      <w:pPr>
        <w:spacing w:line="600" w:lineRule="exact"/>
        <w:jc w:val="center"/>
        <w:outlineLvl w:val="0"/>
        <w:rPr>
          <w:rFonts w:ascii="方正小标宋简体" w:eastAsia="方正小标宋简体"/>
          <w:color w:val="000000"/>
          <w:sz w:val="72"/>
          <w:szCs w:val="72"/>
        </w:rPr>
      </w:pPr>
      <w:bookmarkStart w:id="1" w:name="_GoBack"/>
      <w:bookmarkEnd w:id="1"/>
    </w:p>
    <w:p>
      <w:pPr>
        <w:adjustRightInd w:val="0"/>
        <w:snapToGrid w:val="0"/>
        <w:spacing w:line="360" w:lineRule="auto"/>
        <w:jc w:val="center"/>
        <w:outlineLvl w:val="0"/>
        <w:rPr>
          <w:rFonts w:ascii="黑体" w:eastAsia="黑体"/>
          <w:color w:val="000000"/>
          <w:sz w:val="72"/>
          <w:szCs w:val="72"/>
        </w:rPr>
      </w:pPr>
    </w:p>
    <w:p>
      <w:pPr>
        <w:adjustRightInd w:val="0"/>
        <w:snapToGrid w:val="0"/>
        <w:spacing w:line="240" w:lineRule="atLeast"/>
        <w:jc w:val="center"/>
        <w:outlineLvl w:val="0"/>
        <w:rPr>
          <w:rFonts w:eastAsia="方正小标宋_GBK" w:hint="eastAsia"/>
          <w:color w:val="000000"/>
          <w:sz w:val="60"/>
          <w:szCs w:val="60"/>
        </w:rPr>
      </w:pPr>
      <w:bookmarkStart w:id="2" w:name="_Toc15396475"/>
      <w:bookmarkStart w:id="3" w:name="_Toc15377193"/>
      <w:bookmarkStart w:id="4" w:name="_Toc15378441"/>
      <w:bookmarkStart w:id="5" w:name="_Toc15377425"/>
      <w:bookmarkStart w:id="6" w:name="_Toc15396597"/>
      <w:bookmarkEnd w:id="0"/>
      <w:r>
        <w:rPr>
          <w:rFonts w:eastAsia="方正小标宋_GBK"/>
          <w:color w:val="000000"/>
          <w:sz w:val="60"/>
          <w:szCs w:val="60"/>
        </w:rPr>
        <w:t>20</w:t>
      </w:r>
      <w:r>
        <w:rPr>
          <w:rFonts w:eastAsia="方正小标宋_GBK" w:hint="eastAsia"/>
          <w:color w:val="000000"/>
          <w:sz w:val="60"/>
          <w:szCs w:val="60"/>
        </w:rPr>
        <w:t>20年度</w:t>
      </w:r>
      <w:bookmarkStart w:id="7" w:name="_Toc15396476"/>
      <w:bookmarkStart w:id="8" w:name="_Toc15377194"/>
      <w:bookmarkStart w:id="9" w:name="_Toc15396598"/>
      <w:bookmarkStart w:id="10" w:name="_Toc15377426"/>
      <w:bookmarkStart w:id="11" w:name="_Toc15378442"/>
      <w:bookmarkEnd w:id="2"/>
      <w:bookmarkEnd w:id="3"/>
      <w:bookmarkEnd w:id="4"/>
      <w:bookmarkEnd w:id="5"/>
      <w:bookmarkEnd w:id="6"/>
      <w:r>
        <w:rPr>
          <w:rFonts w:eastAsia="方正小标宋_GBK" w:hint="eastAsia"/>
          <w:color w:val="000000"/>
          <w:sz w:val="60"/>
          <w:szCs w:val="60"/>
        </w:rPr>
        <w:t>四川省</w:t>
      </w:r>
      <w:bookmarkStart w:id="12" w:name="_Toc15306268"/>
      <w:r>
        <w:rPr>
          <w:rFonts w:eastAsia="方正小标宋_GBK" w:hint="eastAsia"/>
          <w:color w:val="000000"/>
          <w:sz w:val="60"/>
          <w:szCs w:val="60"/>
        </w:rPr>
        <w:t>攀枝花市</w:t>
      </w:r>
    </w:p>
    <w:p>
      <w:pPr>
        <w:adjustRightInd w:val="0"/>
        <w:snapToGrid w:val="0"/>
        <w:spacing w:line="240" w:lineRule="atLeast"/>
        <w:jc w:val="center"/>
        <w:outlineLvl w:val="0"/>
        <w:rPr>
          <w:rFonts w:eastAsia="方正小标宋_GBK"/>
          <w:color w:val="000000"/>
          <w:sz w:val="60"/>
          <w:szCs w:val="60"/>
        </w:rPr>
      </w:pPr>
      <w:r>
        <w:rPr>
          <w:rFonts w:eastAsia="方正小标宋_GBK" w:hint="eastAsia"/>
          <w:color w:val="000000"/>
          <w:sz w:val="60"/>
          <w:szCs w:val="60"/>
        </w:rPr>
        <w:t>纪检监察教育培训与信息中心</w:t>
      </w:r>
    </w:p>
    <w:p>
      <w:pPr>
        <w:adjustRightInd w:val="0"/>
        <w:snapToGrid w:val="0"/>
        <w:spacing w:line="240" w:lineRule="atLeast"/>
        <w:jc w:val="center"/>
        <w:outlineLvl w:val="0"/>
        <w:rPr>
          <w:rFonts w:eastAsia="方正小标宋_GBK"/>
          <w:color w:val="000000"/>
          <w:sz w:val="72"/>
          <w:szCs w:val="72"/>
        </w:rPr>
      </w:pPr>
      <w:r>
        <w:rPr>
          <w:rFonts w:eastAsia="方正小标宋_GBK" w:hint="eastAsia"/>
          <w:color w:val="000000"/>
          <w:sz w:val="72"/>
          <w:szCs w:val="72"/>
        </w:rPr>
        <w:t>部门决算</w:t>
      </w:r>
      <w:bookmarkEnd w:id="7"/>
      <w:bookmarkEnd w:id="8"/>
      <w:bookmarkEnd w:id="9"/>
      <w:bookmarkEnd w:id="10"/>
      <w:bookmarkEnd w:id="11"/>
      <w:bookmarkEnd w:id="12"/>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p>
    <w:p>
      <w:pPr>
        <w:widowControl/>
        <w:jc w:val="center"/>
        <w:rPr>
          <w:rFonts w:ascii="方正黑体_GBK" w:eastAsia="方正黑体_GBK" w:hint="eastAsia"/>
          <w:color w:val="000000"/>
          <w:sz w:val="48"/>
          <w:szCs w:val="48"/>
        </w:rPr>
      </w:pPr>
      <w:r>
        <w:rPr>
          <w:rFonts w:ascii="方正黑体_GBK" w:eastAsia="方正黑体_GBK" w:hint="eastAsia"/>
          <w:color w:val="000000"/>
          <w:sz w:val="48"/>
          <w:szCs w:val="48"/>
        </w:rPr>
        <w:t>目  录</w:t>
      </w:r>
    </w:p>
    <w:p>
      <w:pPr>
        <w:widowControl/>
        <w:jc w:val="center"/>
        <w:rPr>
          <w:rFonts w:ascii="黑体" w:eastAsia="黑体"/>
          <w:sz w:val="28"/>
          <w:szCs w:val="28"/>
        </w:rPr>
      </w:pPr>
    </w:p>
    <w:p>
      <w:pPr>
        <w:pStyle w:val="20"/>
        <w:tabs>
          <w:tab w:val="right" w:leader="dot" w:pos="8296"/>
        </w:tabs>
        <w:spacing w:line="576" w:lineRule="exact"/>
        <w:rPr>
          <w:rFonts w:ascii="Times New Roman" w:eastAsia="方正仿宋_GBK" w:hAnsi="Times New Roman"/>
          <w:sz w:val="33"/>
          <w:szCs w:val="33"/>
        </w:rPr>
      </w:pPr>
      <w:r>
        <w:rPr>
          <w:rFonts w:ascii="Times New Roman" w:eastAsia="方正仿宋_GBK" w:hAnsi="Times New Roman"/>
          <w:sz w:val="33"/>
          <w:szCs w:val="33"/>
        </w:rPr>
        <w:t xml:space="preserve">公开时间：2021年 </w:t>
      </w:r>
      <w:r>
        <w:rPr>
          <w:rFonts w:ascii="Times New Roman" w:eastAsia="方正仿宋_GBK" w:hAnsi="Times New Roman" w:hint="eastAsia"/>
          <w:sz w:val="33"/>
          <w:szCs w:val="33"/>
        </w:rPr>
        <w:t>9</w:t>
      </w:r>
      <w:r>
        <w:rPr>
          <w:rFonts w:ascii="Times New Roman" w:eastAsia="方正仿宋_GBK" w:hAnsi="Times New Roman"/>
          <w:sz w:val="33"/>
          <w:szCs w:val="33"/>
        </w:rPr>
        <w:t xml:space="preserve">月 </w:t>
      </w:r>
      <w:r>
        <w:rPr>
          <w:rFonts w:ascii="Times New Roman" w:eastAsia="方正仿宋_GBK" w:hAnsi="Times New Roman" w:hint="eastAsia"/>
          <w:sz w:val="33"/>
          <w:szCs w:val="33"/>
        </w:rPr>
        <w:t>1</w:t>
      </w:r>
      <w:r>
        <w:rPr>
          <w:rFonts w:ascii="Times New Roman" w:eastAsia="方正仿宋_GBK" w:hAnsi="Times New Roman"/>
          <w:sz w:val="33"/>
          <w:szCs w:val="33"/>
        </w:rPr>
        <w:t>7日</w:t>
      </w:r>
    </w:p>
    <w:p>
      <w:pPr>
        <w:pStyle w:val="21"/>
        <w:tabs>
          <w:tab w:val="right" w:leader="dot" w:pos="8296"/>
        </w:tabs>
        <w:adjustRightInd w:val="0"/>
        <w:snapToGrid w:val="0"/>
        <w:spacing w:line="576" w:lineRule="exact"/>
        <w:ind w:firstLineChars="50" w:firstLine="165"/>
        <w:rPr>
          <w:rFonts w:eastAsia="方正仿宋_GBK"/>
          <w:sz w:val="33"/>
          <w:szCs w:val="33"/>
        </w:rPr>
      </w:pPr>
    </w:p>
    <w:p>
      <w:pPr>
        <w:pStyle w:val="21"/>
        <w:tabs>
          <w:tab w:val="right" w:leader="dot" w:pos="8296"/>
        </w:tabs>
        <w:adjustRightInd w:val="0"/>
        <w:snapToGrid w:val="0"/>
        <w:spacing w:line="576" w:lineRule="exact"/>
        <w:ind w:firstLineChars="50" w:firstLine="165"/>
        <w:rPr>
          <w:rFonts w:ascii="方正黑体_GBK" w:eastAsia="方正黑体_GBK" w:hint="eastAsia"/>
          <w:sz w:val="33"/>
          <w:szCs w:val="33"/>
        </w:rPr>
      </w:pPr>
      <w:r>
        <w:rPr>
          <w:rFonts w:ascii="方正黑体_GBK" w:eastAsia="方正黑体_GBK" w:hint="eastAsia"/>
          <w:sz w:val="33"/>
          <w:szCs w:val="33"/>
        </w:rPr>
        <w:t>第一部分 部门概况</w:t>
      </w:r>
      <w:r>
        <w:rPr>
          <w:rFonts w:ascii="方正黑体_GBK" w:eastAsia="方正黑体_GBK"/>
          <w:sz w:val="33"/>
          <w:szCs w:val="33"/>
        </w:rPr>
        <w:t>………………………………………</w:t>
      </w:r>
      <w:r>
        <w:rPr>
          <w:rFonts w:ascii="方正黑体_GBK" w:eastAsia="方正黑体_GBK" w:hint="eastAsia"/>
          <w:sz w:val="33"/>
          <w:szCs w:val="33"/>
        </w:rPr>
        <w:t>.</w:t>
      </w:r>
      <w:r>
        <w:rPr>
          <w:rFonts w:ascii="方正黑体_GBK" w:eastAsia="方正黑体_GBK"/>
          <w:sz w:val="33"/>
          <w:szCs w:val="33"/>
        </w:rPr>
        <w:t>4</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一、基本职能及主要工作……………………………………</w:t>
      </w:r>
      <w:r>
        <w:rPr>
          <w:rFonts w:eastAsia="方正仿宋_GBK" w:hint="eastAsia"/>
          <w:sz w:val="33"/>
          <w:szCs w:val="33"/>
        </w:rPr>
        <w:t>4</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二、机构设置………………………………………………</w:t>
      </w:r>
      <w:r>
        <w:rPr>
          <w:rFonts w:eastAsia="方正仿宋_GBK" w:hint="eastAsia"/>
          <w:sz w:val="33"/>
          <w:szCs w:val="33"/>
        </w:rPr>
        <w:t>..4</w:t>
      </w:r>
    </w:p>
    <w:p>
      <w:pPr>
        <w:pStyle w:val="21"/>
        <w:tabs>
          <w:tab w:val="right" w:leader="dot" w:pos="8296"/>
        </w:tabs>
        <w:adjustRightInd w:val="0"/>
        <w:snapToGrid w:val="0"/>
        <w:spacing w:line="576" w:lineRule="exact"/>
        <w:ind w:firstLineChars="50" w:firstLine="165"/>
        <w:rPr>
          <w:rFonts w:ascii="方正黑体_GBK" w:eastAsia="方正黑体_GBK" w:hint="eastAsia"/>
          <w:sz w:val="33"/>
          <w:szCs w:val="33"/>
        </w:rPr>
      </w:pPr>
      <w:r>
        <w:rPr>
          <w:rFonts w:ascii="方正黑体_GBK" w:eastAsia="方正黑体_GBK" w:hint="eastAsia"/>
          <w:sz w:val="33"/>
          <w:szCs w:val="33"/>
        </w:rPr>
        <w:t>第二部分度部门决算情况说明</w:t>
      </w:r>
      <w:r>
        <w:rPr>
          <w:rFonts w:ascii="方正黑体_GBK" w:eastAsia="方正黑体_GBK"/>
          <w:sz w:val="33"/>
          <w:szCs w:val="33"/>
        </w:rPr>
        <w:t>……………………………</w:t>
      </w:r>
      <w:r>
        <w:rPr>
          <w:rFonts w:ascii="方正黑体_GBK" w:eastAsia="方正黑体_GBK" w:hint="eastAsia"/>
          <w:sz w:val="33"/>
          <w:szCs w:val="33"/>
        </w:rPr>
        <w:t>.</w:t>
      </w:r>
      <w:r>
        <w:rPr>
          <w:rFonts w:ascii="方正黑体_GBK" w:eastAsia="方正黑体_GBK"/>
          <w:sz w:val="33"/>
          <w:szCs w:val="33"/>
        </w:rPr>
        <w:t>4</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一、收入支出决算总体情况说明…………………………</w:t>
      </w:r>
      <w:r>
        <w:rPr>
          <w:rFonts w:eastAsia="方正仿宋_GBK" w:hint="eastAsia"/>
          <w:sz w:val="33"/>
          <w:szCs w:val="33"/>
        </w:rPr>
        <w:t>..5</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二、收入决算情况说明……………………………………</w:t>
      </w:r>
      <w:r>
        <w:rPr>
          <w:rFonts w:eastAsia="方正仿宋_GBK" w:hint="eastAsia"/>
          <w:sz w:val="33"/>
          <w:szCs w:val="33"/>
        </w:rPr>
        <w:t>..5</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三、支出决算情况说明……………………………………</w:t>
      </w:r>
      <w:r>
        <w:rPr>
          <w:rFonts w:eastAsia="方正仿宋_GBK" w:hint="eastAsia"/>
          <w:sz w:val="33"/>
          <w:szCs w:val="33"/>
        </w:rPr>
        <w:t>..6</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四、财政拨款收入支出决算总体情况说明………………</w:t>
      </w:r>
      <w:r>
        <w:rPr>
          <w:rFonts w:eastAsia="方正仿宋_GBK" w:hint="eastAsia"/>
          <w:sz w:val="33"/>
          <w:szCs w:val="33"/>
        </w:rPr>
        <w:t>..7</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五、一般公共预算财政拨款支出决算情况说明…………</w:t>
      </w:r>
      <w:r>
        <w:rPr>
          <w:rFonts w:eastAsia="方正仿宋_GBK" w:hint="eastAsia"/>
          <w:sz w:val="33"/>
          <w:szCs w:val="33"/>
        </w:rPr>
        <w:t>..8</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六、一般公共预算财政拨款基本支出决算情况说明……</w:t>
      </w:r>
      <w:r>
        <w:rPr>
          <w:rFonts w:eastAsia="方正仿宋_GBK" w:hint="eastAsia"/>
          <w:sz w:val="33"/>
          <w:szCs w:val="33"/>
        </w:rPr>
        <w:t>.10</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七、“三公”经费财政拨款支出决算情况说明……………</w:t>
      </w:r>
      <w:r>
        <w:rPr>
          <w:rFonts w:eastAsia="方正仿宋_GBK" w:hint="eastAsia"/>
          <w:sz w:val="33"/>
          <w:szCs w:val="33"/>
        </w:rPr>
        <w:t>..11</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八、政府性基金预算支出决算情况说明…………………</w:t>
      </w:r>
      <w:r>
        <w:rPr>
          <w:rFonts w:eastAsia="方正仿宋_GBK" w:hint="eastAsia"/>
          <w:sz w:val="33"/>
          <w:szCs w:val="33"/>
        </w:rPr>
        <w:t>12</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九、国有资本经营预算支出决算情况说明………………</w:t>
      </w:r>
      <w:r>
        <w:rPr>
          <w:rFonts w:eastAsia="方正仿宋_GBK" w:hint="eastAsia"/>
          <w:sz w:val="33"/>
          <w:szCs w:val="33"/>
        </w:rPr>
        <w:t>.12</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十、其他重要事项的情况说明</w:t>
        <w:tab/>
        <w:t>………………</w:t>
      </w:r>
      <w:r>
        <w:rPr>
          <w:rFonts w:eastAsia="方正仿宋_GBK"/>
          <w:b/>
          <w:sz w:val="33"/>
          <w:szCs w:val="33"/>
        </w:rPr>
        <w:t>……………</w:t>
      </w:r>
      <w:r>
        <w:rPr>
          <w:rFonts w:eastAsia="方正仿宋_GBK" w:hint="eastAsia"/>
          <w:sz w:val="33"/>
          <w:szCs w:val="33"/>
        </w:rPr>
        <w:t>13</w:t>
      </w:r>
    </w:p>
    <w:p>
      <w:pPr>
        <w:pStyle w:val="21"/>
        <w:tabs>
          <w:tab w:val="right" w:leader="dot" w:pos="8296"/>
        </w:tabs>
        <w:adjustRightInd w:val="0"/>
        <w:snapToGrid w:val="0"/>
        <w:spacing w:line="576" w:lineRule="exact"/>
        <w:ind w:firstLineChars="50" w:firstLine="165"/>
        <w:rPr>
          <w:rFonts w:ascii="方正黑体_GBK" w:eastAsia="方正黑体_GBK"/>
          <w:b/>
          <w:sz w:val="33"/>
          <w:szCs w:val="33"/>
        </w:rPr>
      </w:pPr>
      <w:r>
        <w:rPr>
          <w:rFonts w:eastAsia="方正仿宋_GBK"/>
          <w:sz w:val="33"/>
          <w:szCs w:val="33"/>
        </w:rPr>
        <w:t>第三部分 名词解释………………………………………</w:t>
      </w:r>
      <w:r>
        <w:rPr>
          <w:rFonts w:eastAsia="方正仿宋_GBK" w:hint="eastAsia"/>
          <w:sz w:val="33"/>
          <w:szCs w:val="33"/>
        </w:rPr>
        <w:t>..18</w:t>
      </w:r>
    </w:p>
    <w:p>
      <w:pPr>
        <w:pStyle w:val="21"/>
        <w:tabs>
          <w:tab w:val="right" w:leader="dot" w:pos="8296"/>
        </w:tabs>
        <w:adjustRightInd w:val="0"/>
        <w:snapToGrid w:val="0"/>
        <w:spacing w:line="576" w:lineRule="exact"/>
        <w:ind w:firstLineChars="50" w:firstLine="165"/>
        <w:rPr>
          <w:rFonts w:ascii="方正黑体_GBK" w:eastAsia="方正黑体_GBK"/>
          <w:b/>
          <w:sz w:val="33"/>
          <w:szCs w:val="33"/>
        </w:rPr>
      </w:pPr>
      <w:r>
        <w:rPr>
          <w:rFonts w:ascii="方正黑体_GBK" w:eastAsia="方正黑体_GBK"/>
          <w:b/>
          <w:sz w:val="33"/>
          <w:szCs w:val="33"/>
        </w:rPr>
        <w:t>第四部分 附件……………………………………………21</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附件1………………………………………………………</w:t>
      </w:r>
      <w:r>
        <w:rPr>
          <w:rFonts w:eastAsia="方正仿宋_GBK" w:hint="eastAsia"/>
          <w:sz w:val="33"/>
          <w:szCs w:val="33"/>
        </w:rPr>
        <w:t>.21</w:t>
      </w:r>
    </w:p>
    <w:p>
      <w:pPr>
        <w:pStyle w:val="21"/>
        <w:tabs>
          <w:tab w:val="right" w:leader="dot" w:pos="8296"/>
        </w:tabs>
        <w:adjustRightInd w:val="0"/>
        <w:snapToGrid w:val="0"/>
        <w:spacing w:line="576" w:lineRule="exact"/>
        <w:ind w:firstLineChars="50" w:firstLine="165"/>
        <w:rPr>
          <w:rFonts w:eastAsia="方正仿宋_GBK"/>
          <w:sz w:val="33"/>
          <w:szCs w:val="33"/>
        </w:rPr>
      </w:pPr>
      <w:r>
        <w:rPr>
          <w:rFonts w:eastAsia="方正仿宋_GBK"/>
          <w:sz w:val="33"/>
          <w:szCs w:val="33"/>
        </w:rPr>
        <w:t>附件2………………………………………………………</w:t>
      </w:r>
      <w:r>
        <w:rPr>
          <w:rFonts w:eastAsia="方正仿宋_GBK" w:hint="eastAsia"/>
          <w:sz w:val="33"/>
          <w:szCs w:val="33"/>
        </w:rPr>
        <w:t>25</w:t>
      </w:r>
    </w:p>
    <w:p>
      <w:pPr>
        <w:pStyle w:val="21"/>
        <w:tabs>
          <w:tab w:val="right" w:leader="dot" w:pos="8296"/>
        </w:tabs>
        <w:adjustRightInd w:val="0"/>
        <w:snapToGrid w:val="0"/>
        <w:spacing w:line="576" w:lineRule="exact"/>
        <w:ind w:firstLineChars="50" w:firstLine="165"/>
        <w:rPr>
          <w:rFonts w:ascii="方正黑体_GBK" w:eastAsia="方正黑体_GBK"/>
          <w:sz w:val="33"/>
          <w:szCs w:val="33"/>
        </w:rPr>
      </w:pPr>
      <w:r>
        <w:rPr>
          <w:rFonts w:ascii="方正黑体_GBK" w:eastAsia="方正黑体_GBK"/>
          <w:sz w:val="33"/>
          <w:szCs w:val="33"/>
        </w:rPr>
        <w:t>第五部分 附表……………………………………………30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一、收入支出决算总表……………………………………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二、收入决算表……………………………………………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三、支出决算表……………………………………………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四、财政拨款收入支出决算总表…………………………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五、财政拨款支出决算明细表……………………………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六、一般公共预算财政拨款支出决算表…………………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七、一般公共预算财政拨款支出决算明细表……………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八、一般公共预算财政拨款基本支出决算表……………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九、一般公共预算财政拨款项目支出决算表……………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十、一般公共预算财政拨款“三公”经费支出决算表……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十一、政府性基金预算财政拨款收入支出决算表………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十二、政府性基金预算财政拨款“三公”经费支出决算表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十三、国有资本经营预算财政拨款收入支出决算表……</w:t>
      </w:r>
      <w:r>
        <w:rPr>
          <w:rFonts w:eastAsia="方正仿宋_GBK" w:hint="eastAsia"/>
          <w:sz w:val="33"/>
          <w:szCs w:val="33"/>
        </w:rPr>
        <w:t>.30</w:t>
      </w:r>
    </w:p>
    <w:p>
      <w:pPr>
        <w:pStyle w:val="21"/>
        <w:tabs>
          <w:tab w:val="right" w:leader="dot" w:pos="8296"/>
        </w:tabs>
        <w:adjustRightInd w:val="0"/>
        <w:snapToGrid w:val="0"/>
        <w:spacing w:line="576" w:lineRule="exact"/>
        <w:ind w:firstLineChars="50" w:firstLine="165"/>
        <w:rPr>
          <w:rFonts w:eastAsia="方正仿宋_GBK" w:hint="eastAsia"/>
          <w:sz w:val="33"/>
          <w:szCs w:val="33"/>
        </w:rPr>
      </w:pPr>
      <w:r>
        <w:rPr>
          <w:rFonts w:eastAsia="方正仿宋_GBK"/>
          <w:sz w:val="33"/>
          <w:szCs w:val="33"/>
        </w:rPr>
        <w:t>十四、国有资本经营预算财政拨款支出决算表…………</w:t>
      </w:r>
      <w:r>
        <w:rPr>
          <w:rFonts w:eastAsia="方正仿宋_GBK" w:hint="eastAsia"/>
          <w:sz w:val="33"/>
          <w:szCs w:val="33"/>
        </w:rPr>
        <w:t>.30</w:t>
      </w:r>
    </w:p>
    <w:p>
      <w:pPr>
        <w:widowControl/>
        <w:adjustRightInd w:val="0"/>
        <w:snapToGrid w:val="0"/>
        <w:spacing w:line="576" w:lineRule="exact"/>
        <w:ind w:firstLineChars="550" w:firstLine="1815"/>
        <w:rPr>
          <w:rFonts w:eastAsia="方正仿宋_GBK"/>
          <w:color w:val="FF0000"/>
          <w:sz w:val="33"/>
          <w:szCs w:val="33"/>
        </w:rPr>
      </w:pPr>
      <w:r>
        <w:rPr>
          <w:rFonts w:eastAsia="方正仿宋_GBK"/>
          <w:color w:val="FF0000"/>
          <w:sz w:val="33"/>
          <w:szCs w:val="33"/>
        </w:rPr>
        <w:t>(注：请部门根据实际注明页码)</w:t>
      </w:r>
    </w:p>
    <w:p>
      <w:pPr>
        <w:widowControl/>
        <w:spacing w:line="576" w:lineRule="exact"/>
        <w:rPr>
          <w:rFonts w:eastAsia="方正仿宋_GBK" w:hint="eastAsia"/>
          <w:b/>
          <w:sz w:val="33"/>
          <w:szCs w:val="33"/>
        </w:rPr>
      </w:pPr>
      <w:bookmarkStart w:id="13" w:name="_Toc15377196"/>
      <w:bookmarkStart w:id="14" w:name="_Toc15396599"/>
    </w:p>
    <w:p>
      <w:pPr>
        <w:widowControl/>
        <w:spacing w:line="576" w:lineRule="exact"/>
        <w:rPr>
          <w:rFonts w:eastAsia="方正仿宋_GBK"/>
          <w:bCs/>
          <w:kern w:val="44"/>
          <w:sz w:val="33"/>
          <w:szCs w:val="33"/>
        </w:rPr>
      </w:pPr>
    </w:p>
    <w:p>
      <w:pPr>
        <w:pStyle w:val="1"/>
        <w:spacing w:before="0" w:after="0" w:line="576" w:lineRule="exact"/>
        <w:rPr>
          <w:rFonts w:eastAsia="方正仿宋_GBK" w:hint="eastAsia"/>
          <w:b w:val="0"/>
          <w:sz w:val="33"/>
          <w:szCs w:val="33"/>
        </w:rPr>
      </w:pPr>
    </w:p>
    <w:p>
      <w:pPr>
        <w:rPr>
          <w:rFonts w:hint="eastAsia"/>
        </w:rPr>
      </w:pPr>
    </w:p>
    <w:p>
      <w:pPr>
        <w:pStyle w:val="1"/>
        <w:spacing w:before="0" w:after="0" w:line="576" w:lineRule="exact"/>
        <w:jc w:val="center"/>
        <w:rPr>
          <w:rFonts w:ascii="方正黑体_GBK" w:eastAsia="方正黑体_GBK" w:hint="eastAsia"/>
          <w:bCs w:val="0"/>
          <w:sz w:val="33"/>
          <w:szCs w:val="33"/>
        </w:rPr>
      </w:pPr>
      <w:r>
        <w:rPr>
          <w:rFonts w:ascii="方正黑体_GBK" w:eastAsia="方正黑体_GBK" w:hint="eastAsia"/>
          <w:b w:val="0"/>
          <w:sz w:val="33"/>
          <w:szCs w:val="33"/>
        </w:rPr>
        <w:t xml:space="preserve">第一部分 </w:t>
      </w:r>
      <w:r>
        <w:rPr>
          <w:rStyle w:val="1Char"/>
          <w:rFonts w:ascii="方正黑体_GBK" w:eastAsia="方正黑体_GBK" w:hint="eastAsia"/>
          <w:sz w:val="33"/>
          <w:szCs w:val="33"/>
        </w:rPr>
        <w:t>部门概况</w:t>
      </w:r>
      <w:bookmarkEnd w:id="13"/>
      <w:bookmarkEnd w:id="14"/>
    </w:p>
    <w:p>
      <w:pPr>
        <w:pStyle w:val="21"/>
        <w:tabs>
          <w:tab w:val="right" w:leader="dot" w:pos="8296"/>
        </w:tabs>
        <w:adjustRightInd w:val="0"/>
        <w:snapToGrid w:val="0"/>
        <w:spacing w:line="576" w:lineRule="exact"/>
        <w:ind w:firstLineChars="50" w:firstLine="165"/>
        <w:rPr>
          <w:rFonts w:ascii="方正楷体_GBK" w:eastAsia="方正楷体_GBK" w:hint="eastAsia"/>
          <w:b/>
          <w:bCs/>
          <w:color w:val="000000"/>
          <w:sz w:val="33"/>
          <w:szCs w:val="33"/>
        </w:rPr>
      </w:pPr>
      <w:bookmarkStart w:id="15" w:name="_Toc15396600"/>
      <w:bookmarkStart w:id="16" w:name="_Toc15377197"/>
      <w:r>
        <w:rPr>
          <w:rFonts w:ascii="方正楷体_GBK" w:eastAsia="方正楷体_GBK" w:hint="eastAsia"/>
          <w:b/>
          <w:color w:val="000000"/>
          <w:sz w:val="33"/>
          <w:szCs w:val="33"/>
        </w:rPr>
        <w:t>一、基</w:t>
      </w:r>
      <w:r>
        <w:rPr>
          <w:rFonts w:ascii="方正楷体_GBK" w:eastAsia="方正楷体_GBK" w:hint="eastAsia"/>
          <w:b/>
          <w:bCs/>
          <w:color w:val="000000"/>
          <w:sz w:val="33"/>
          <w:szCs w:val="33"/>
        </w:rPr>
        <w:t>本职能及主要工作</w:t>
      </w:r>
      <w:bookmarkEnd w:id="15"/>
      <w:bookmarkEnd w:id="16"/>
    </w:p>
    <w:p>
      <w:pPr>
        <w:spacing w:line="576" w:lineRule="exact"/>
        <w:ind w:firstLine="645"/>
        <w:rPr>
          <w:rFonts w:eastAsia="方正仿宋_GBK"/>
          <w:b/>
          <w:sz w:val="33"/>
          <w:szCs w:val="33"/>
        </w:rPr>
      </w:pPr>
      <w:bookmarkStart w:id="17" w:name="_Toc15378445"/>
      <w:bookmarkStart w:id="18" w:name="_Toc15377198"/>
      <w:r>
        <w:rPr>
          <w:rFonts w:eastAsia="方正仿宋_GBK"/>
          <w:b/>
          <w:sz w:val="33"/>
          <w:szCs w:val="33"/>
        </w:rPr>
        <w:t>（一）主要职能。</w:t>
      </w:r>
    </w:p>
    <w:p>
      <w:pPr>
        <w:spacing w:line="576" w:lineRule="exact"/>
        <w:ind w:firstLine="645"/>
        <w:rPr>
          <w:rFonts w:eastAsia="方正仿宋_GBK"/>
          <w:sz w:val="33"/>
          <w:szCs w:val="33"/>
        </w:rPr>
      </w:pPr>
      <w:bookmarkStart w:id="19" w:name="_Toc15378446"/>
      <w:bookmarkStart w:id="20" w:name="_Toc15377199"/>
      <w:bookmarkEnd w:id="17"/>
      <w:bookmarkEnd w:id="18"/>
      <w:r>
        <w:rPr>
          <w:rFonts w:eastAsia="方正仿宋_GBK"/>
          <w:sz w:val="33"/>
          <w:szCs w:val="33"/>
        </w:rPr>
        <w:t>攀枝花市纪检监察教育培训与信息中心</w:t>
      </w:r>
      <w:r>
        <w:rPr>
          <w:rFonts w:eastAsia="方正仿宋_GBK" w:hint="eastAsia"/>
          <w:sz w:val="33"/>
          <w:szCs w:val="33"/>
        </w:rPr>
        <w:t>（市监委留置中心）</w:t>
      </w:r>
      <w:r>
        <w:rPr>
          <w:rFonts w:eastAsia="方正仿宋_GBK"/>
          <w:sz w:val="33"/>
          <w:szCs w:val="33"/>
        </w:rPr>
        <w:t>，承担全市纪检监察</w:t>
      </w:r>
      <w:r>
        <w:rPr>
          <w:rFonts w:eastAsia="方正仿宋_GBK" w:hint="eastAsia"/>
          <w:sz w:val="33"/>
          <w:szCs w:val="33"/>
        </w:rPr>
        <w:t>系统信息化建设服务、纪检监察干部的教育培训</w:t>
      </w:r>
      <w:r>
        <w:rPr>
          <w:rFonts w:eastAsia="方正仿宋_GBK"/>
          <w:sz w:val="33"/>
          <w:szCs w:val="33"/>
        </w:rPr>
        <w:t>和查办党纪政纪案件的后勤保障服务工作</w:t>
      </w:r>
      <w:r>
        <w:rPr>
          <w:rFonts w:eastAsia="方正仿宋_GBK" w:hint="eastAsia"/>
          <w:sz w:val="33"/>
          <w:szCs w:val="33"/>
        </w:rPr>
        <w:t>，同时负责攀枝花市监委留置场所接纳、安置对象工作和场所的日常管理、安全保卫等后勤服务保障工作</w:t>
      </w:r>
      <w:r>
        <w:rPr>
          <w:rFonts w:eastAsia="方正仿宋_GBK"/>
          <w:sz w:val="33"/>
          <w:szCs w:val="33"/>
        </w:rPr>
        <w:t>。</w:t>
      </w:r>
    </w:p>
    <w:p>
      <w:pPr>
        <w:pStyle w:val="21"/>
        <w:tabs>
          <w:tab w:val="right" w:leader="dot" w:pos="8296"/>
        </w:tabs>
        <w:adjustRightInd w:val="0"/>
        <w:snapToGrid w:val="0"/>
        <w:spacing w:line="576" w:lineRule="exact"/>
        <w:ind w:firstLineChars="50" w:firstLine="165"/>
        <w:rPr>
          <w:rFonts w:eastAsia="方正仿宋_GBK"/>
          <w:b/>
          <w:color w:val="000000"/>
          <w:sz w:val="33"/>
          <w:szCs w:val="33"/>
        </w:rPr>
      </w:pPr>
      <w:r>
        <w:rPr>
          <w:rFonts w:eastAsia="方正仿宋_GBK"/>
          <w:b/>
          <w:color w:val="000000"/>
          <w:sz w:val="33"/>
          <w:szCs w:val="33"/>
        </w:rPr>
        <w:t>（二）2020年重点工作完成情况。</w:t>
      </w:r>
      <w:bookmarkEnd w:id="19"/>
      <w:bookmarkEnd w:id="20"/>
    </w:p>
    <w:p>
      <w:pPr>
        <w:spacing w:line="576" w:lineRule="exact"/>
        <w:ind w:firstLineChars="200" w:firstLine="660"/>
        <w:rPr>
          <w:rFonts w:eastAsia="方正仿宋_GBK" w:hint="eastAsia"/>
          <w:sz w:val="33"/>
          <w:szCs w:val="33"/>
        </w:rPr>
      </w:pPr>
      <w:r>
        <w:rPr>
          <w:rFonts w:eastAsia="方正仿宋_GBK"/>
          <w:sz w:val="33"/>
          <w:szCs w:val="33"/>
        </w:rPr>
        <w:t>2020年，市纪委监委各纪检监察室、东区纪委监委、西区纪委监委、仁和区纪委监委、米易县纪委监委、盐边县纪委监委办案组先后入驻市监委留置中心、临江路分中心、西区分中心。全年为三个留置点办案组、看护组共计800余人的提供了后勤保障服务，留置场所的后勤保障工作，有序推进留置场所日常维护管理工作</w:t>
      </w:r>
      <w:r>
        <w:rPr>
          <w:rFonts w:eastAsia="方正仿宋_GBK" w:hint="eastAsia"/>
          <w:sz w:val="33"/>
          <w:szCs w:val="33"/>
        </w:rPr>
        <w:t>。</w:t>
      </w:r>
    </w:p>
    <w:p>
      <w:pPr>
        <w:pStyle w:val="2"/>
        <w:spacing w:before="0" w:after="0" w:line="576" w:lineRule="exact"/>
        <w:ind w:firstLineChars="200" w:firstLine="660"/>
        <w:rPr>
          <w:rFonts w:ascii="方正楷体_GBK" w:eastAsia="方正楷体_GBK"/>
          <w:color w:val="000000"/>
          <w:sz w:val="33"/>
          <w:szCs w:val="33"/>
        </w:rPr>
      </w:pPr>
      <w:bookmarkStart w:id="21" w:name="_Toc15396601"/>
      <w:bookmarkStart w:id="22" w:name="_Toc15377200"/>
      <w:r>
        <w:rPr>
          <w:rFonts w:ascii="方正楷体_GBK" w:eastAsia="方正楷体_GBK"/>
          <w:color w:val="000000"/>
          <w:sz w:val="33"/>
          <w:szCs w:val="33"/>
        </w:rPr>
        <w:t>二、机构设置</w:t>
      </w:r>
      <w:bookmarkEnd w:id="21"/>
      <w:bookmarkEnd w:id="22"/>
    </w:p>
    <w:p>
      <w:pPr>
        <w:spacing w:line="576" w:lineRule="exact"/>
        <w:ind w:firstLineChars="200" w:firstLine="660"/>
        <w:rPr>
          <w:rFonts w:eastAsia="方正仿宋_GBK" w:hint="eastAsia"/>
          <w:b/>
          <w:sz w:val="33"/>
          <w:szCs w:val="33"/>
        </w:rPr>
      </w:pPr>
      <w:bookmarkStart w:id="23" w:name="_Toc15377432"/>
      <w:bookmarkStart w:id="24" w:name="_Toc15306275"/>
      <w:bookmarkStart w:id="25" w:name="_Toc15377201"/>
      <w:bookmarkStart w:id="26" w:name="_Toc15378448"/>
      <w:r>
        <w:rPr>
          <w:rFonts w:eastAsia="方正仿宋_GBK"/>
          <w:color w:val="000000"/>
          <w:sz w:val="33"/>
          <w:szCs w:val="33"/>
        </w:rPr>
        <w:t>攀枝花市纪检监察教育培训与信息中心</w:t>
      </w:r>
      <w:r>
        <w:rPr>
          <w:rFonts w:eastAsia="方正仿宋_GBK" w:hint="eastAsia"/>
          <w:color w:val="000000"/>
          <w:sz w:val="33"/>
          <w:szCs w:val="33"/>
        </w:rPr>
        <w:t>（市监委留置中心）</w:t>
      </w:r>
      <w:r>
        <w:rPr>
          <w:rFonts w:eastAsia="方正仿宋_GBK"/>
          <w:sz w:val="33"/>
          <w:szCs w:val="33"/>
        </w:rPr>
        <w:t>，为</w:t>
      </w:r>
      <w:r>
        <w:rPr>
          <w:rFonts w:eastAsia="方正仿宋_GBK" w:hint="eastAsia"/>
          <w:sz w:val="33"/>
          <w:szCs w:val="33"/>
        </w:rPr>
        <w:t>独立核算</w:t>
      </w:r>
      <w:r>
        <w:rPr>
          <w:rFonts w:eastAsia="方正仿宋_GBK"/>
          <w:sz w:val="33"/>
          <w:szCs w:val="33"/>
        </w:rPr>
        <w:t>公益一类事业单位</w:t>
      </w:r>
      <w:r>
        <w:rPr>
          <w:rFonts w:eastAsia="方正仿宋_GBK" w:hint="eastAsia"/>
          <w:sz w:val="33"/>
          <w:szCs w:val="33"/>
        </w:rPr>
        <w:t>。</w:t>
      </w:r>
    </w:p>
    <w:p>
      <w:pPr>
        <w:widowControl/>
        <w:spacing w:line="576" w:lineRule="exact"/>
        <w:rPr>
          <w:rFonts w:eastAsia="方正仿宋_GBK"/>
          <w:color w:val="000000"/>
          <w:kern w:val="0"/>
          <w:sz w:val="33"/>
          <w:szCs w:val="33"/>
        </w:rPr>
      </w:pPr>
      <w:bookmarkEnd w:id="23"/>
      <w:bookmarkEnd w:id="24"/>
      <w:bookmarkEnd w:id="25"/>
      <w:bookmarkEnd w:id="26"/>
    </w:p>
    <w:p>
      <w:pPr>
        <w:widowControl/>
        <w:spacing w:line="576" w:lineRule="exact"/>
        <w:rPr>
          <w:rFonts w:eastAsia="方正仿宋_GBK"/>
          <w:color w:val="000000"/>
          <w:kern w:val="0"/>
          <w:sz w:val="33"/>
          <w:szCs w:val="33"/>
        </w:rPr>
      </w:pPr>
    </w:p>
    <w:p>
      <w:pPr>
        <w:widowControl/>
        <w:spacing w:line="576" w:lineRule="exact"/>
        <w:rPr>
          <w:rFonts w:eastAsia="方正仿宋_GBK"/>
          <w:color w:val="000000"/>
          <w:kern w:val="0"/>
          <w:sz w:val="33"/>
          <w:szCs w:val="33"/>
        </w:rPr>
      </w:pPr>
    </w:p>
    <w:p>
      <w:pPr>
        <w:widowControl/>
        <w:spacing w:line="576" w:lineRule="exact"/>
        <w:rPr>
          <w:rFonts w:eastAsia="方正仿宋_GBK" w:hint="eastAsia"/>
          <w:color w:val="000000"/>
          <w:kern w:val="0"/>
          <w:sz w:val="33"/>
          <w:szCs w:val="33"/>
        </w:rPr>
      </w:pPr>
    </w:p>
    <w:p>
      <w:pPr>
        <w:widowControl/>
        <w:spacing w:line="576" w:lineRule="exact"/>
        <w:rPr>
          <w:rFonts w:eastAsia="方正仿宋_GBK"/>
          <w:color w:val="000000"/>
          <w:kern w:val="0"/>
          <w:sz w:val="33"/>
          <w:szCs w:val="33"/>
        </w:rPr>
      </w:pPr>
    </w:p>
    <w:p>
      <w:pPr>
        <w:pStyle w:val="1"/>
        <w:spacing w:before="0" w:after="0" w:line="576" w:lineRule="exact"/>
        <w:jc w:val="center"/>
        <w:rPr>
          <w:rFonts w:eastAsia="方正黑体_GBK"/>
          <w:bCs w:val="0"/>
          <w:sz w:val="33"/>
          <w:szCs w:val="33"/>
        </w:rPr>
      </w:pPr>
      <w:bookmarkStart w:id="27" w:name="_Toc15396602"/>
      <w:bookmarkStart w:id="28" w:name="_Toc15377204"/>
      <w:r>
        <w:rPr>
          <w:rFonts w:eastAsia="方正黑体_GBK"/>
          <w:b w:val="0"/>
          <w:sz w:val="33"/>
          <w:szCs w:val="33"/>
        </w:rPr>
        <w:t xml:space="preserve">第二部分 </w:t>
      </w:r>
      <w:r>
        <w:rPr>
          <w:rFonts w:eastAsia="方正黑体_GBK"/>
          <w:bCs w:val="0"/>
          <w:sz w:val="33"/>
          <w:szCs w:val="33"/>
        </w:rPr>
        <w:t>2020年度部门决算情况说明</w:t>
      </w:r>
      <w:bookmarkEnd w:id="27"/>
      <w:bookmarkEnd w:id="28"/>
    </w:p>
    <w:p>
      <w:pPr>
        <w:pStyle w:val="25"/>
        <w:spacing w:line="576" w:lineRule="exact"/>
        <w:ind w:left="1360" w:firstLineChars="0" w:firstLine="0"/>
        <w:outlineLvl w:val="1"/>
        <w:rPr>
          <w:rFonts w:ascii="方正楷体_GBK" w:eastAsia="方正楷体_GBK" w:hint="eastAsia"/>
          <w:b/>
          <w:color w:val="000000"/>
          <w:sz w:val="33"/>
          <w:szCs w:val="33"/>
        </w:rPr>
      </w:pPr>
      <w:bookmarkStart w:id="29" w:name="_Toc15377205"/>
      <w:bookmarkStart w:id="30" w:name="_Toc15396603"/>
    </w:p>
    <w:p>
      <w:pPr>
        <w:pStyle w:val="25"/>
        <w:numPr>
          <w:ilvl w:val="0"/>
          <w:numId w:val="1"/>
        </w:numPr>
        <w:spacing w:line="576" w:lineRule="exact"/>
        <w:ind w:firstLineChars="0"/>
        <w:outlineLvl w:val="1"/>
        <w:rPr>
          <w:rStyle w:val="2Char"/>
          <w:rFonts w:ascii="方正楷体_GBK" w:eastAsia="方正楷体_GBK" w:hint="eastAsia"/>
          <w:sz w:val="33"/>
          <w:szCs w:val="33"/>
        </w:rPr>
      </w:pPr>
      <w:r>
        <w:rPr>
          <w:rFonts w:ascii="方正楷体_GBK" w:eastAsia="方正楷体_GBK" w:hint="eastAsia"/>
          <w:color w:val="000000"/>
          <w:sz w:val="33"/>
          <w:szCs w:val="33"/>
        </w:rPr>
        <w:t>收</w:t>
      </w:r>
      <w:r>
        <w:rPr>
          <w:rStyle w:val="2Char"/>
          <w:rFonts w:ascii="方正楷体_GBK" w:eastAsia="方正楷体_GBK" w:hint="eastAsia"/>
          <w:sz w:val="33"/>
          <w:szCs w:val="33"/>
        </w:rPr>
        <w:t>入支出决算总体情况说明</w:t>
      </w:r>
      <w:bookmarkEnd w:id="29"/>
      <w:bookmarkEnd w:id="30"/>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2020年度收、支总计</w:t>
      </w:r>
      <w:r>
        <w:rPr>
          <w:rFonts w:eastAsia="方正仿宋_GBK" w:hint="eastAsia"/>
          <w:color w:val="000000"/>
          <w:kern w:val="0"/>
          <w:sz w:val="33"/>
          <w:szCs w:val="33"/>
          <w:lang w:val="x-none"/>
        </w:rPr>
        <w:t>300.89</w:t>
      </w:r>
      <w:r>
        <w:rPr>
          <w:rFonts w:eastAsia="方正仿宋_GBK"/>
          <w:color w:val="000000"/>
          <w:kern w:val="0"/>
          <w:sz w:val="33"/>
          <w:szCs w:val="33"/>
          <w:lang w:val="x-none" w:eastAsia="x-none"/>
        </w:rPr>
        <w:t>万元。与2019年相比，收、支总计各增加</w:t>
      </w:r>
      <w:r>
        <w:rPr>
          <w:rFonts w:eastAsia="方正仿宋_GBK" w:hint="eastAsia"/>
          <w:color w:val="000000"/>
          <w:kern w:val="0"/>
          <w:sz w:val="33"/>
          <w:szCs w:val="33"/>
          <w:lang w:val="x-none"/>
        </w:rPr>
        <w:t>21.24</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7.6</w:t>
      </w:r>
      <w:r>
        <w:rPr>
          <w:rFonts w:eastAsia="方正仿宋_GBK"/>
          <w:color w:val="000000"/>
          <w:kern w:val="0"/>
          <w:sz w:val="33"/>
          <w:szCs w:val="33"/>
          <w:lang w:val="x-none" w:eastAsia="x-none"/>
        </w:rPr>
        <w:t>%。主要变动原因</w:t>
      </w:r>
      <w:r>
        <w:rPr>
          <w:rFonts w:eastAsia="方正仿宋_GBK" w:hint="eastAsia"/>
          <w:color w:val="000000"/>
          <w:kern w:val="0"/>
          <w:sz w:val="33"/>
          <w:szCs w:val="33"/>
          <w:lang w:val="x-none"/>
        </w:rPr>
        <w:t>项目资金较上年支出增加。</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（图1：收、支决算总计变动情况图）（柱状图）</w:t>
      </w:r>
    </w:p>
    <w:p>
      <w:pPr>
        <w:spacing w:line="576" w:lineRule="exact"/>
        <w:ind w:firstLineChars="200" w:firstLine="660"/>
        <w:rPr>
          <w:rFonts w:eastAsia="方正仿宋_GBK" w:hint="eastAsia"/>
          <w:color w:val="000000"/>
          <w:kern w:val="0"/>
          <w:sz w:val="33"/>
          <w:szCs w:val="33"/>
          <w:lang w:val="x-none"/>
        </w:rPr>
      </w:pPr>
      <w:r>
        <w:rPr>
          <w:rFonts w:eastAsia="方正仿宋_GBK" w:hint="eastAsia"/>
          <w:color w:val="000000"/>
          <w:kern w:val="0"/>
          <w:sz w:val="33"/>
          <w:szCs w:val="33"/>
        </w:rPr>
        <w:drawing>
          <wp:anchor distT="0" distB="0" distL="114300" distR="114300" simplePos="0" relativeHeight="18" behindDoc="0" locked="0" layoutInCell="1" hidden="0" allowOverlap="1">
            <wp:simplePos x="0" y="0"/>
            <wp:positionH relativeFrom="column">
              <wp:posOffset>-400050</wp:posOffset>
            </wp:positionH>
            <wp:positionV relativeFrom="paragraph">
              <wp:posOffset>213360</wp:posOffset>
            </wp:positionV>
            <wp:extent cx="6594475" cy="3226435"/>
            <wp:effectExtent l="0" t="0" r="0" b="0"/>
            <wp:wrapNone/>
            <wp:docPr id="1" name="对象 10"/>
            <wp:cNvGraphicFramePr>
              <a:graphicFrameLocks noChangeAspect="1"/>
            </wp:cNvGraphicFramePr>
            <a:graphic>
              <a:graphicData uri="http://schemas.openxmlformats.org/drawingml/2006/chart">
                <c:chart xmlns:c="http://schemas.openxmlformats.org/drawingml/2006/chart" r:id="rId4"/>
              </a:graphicData>
            </a:graphic>
          </wp:anchor>
        </w:drawing>
      </w: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pStyle w:val="25"/>
        <w:spacing w:line="576" w:lineRule="exact"/>
        <w:ind w:firstLineChars="0" w:firstLine="0"/>
        <w:outlineLvl w:val="1"/>
        <w:rPr>
          <w:rFonts w:eastAsia="方正仿宋_GBK" w:hint="eastAsia"/>
          <w:color w:val="000000"/>
          <w:sz w:val="33"/>
          <w:szCs w:val="33"/>
        </w:rPr>
      </w:pPr>
      <w:bookmarkStart w:id="31" w:name="_Toc15396604"/>
      <w:bookmarkStart w:id="32" w:name="_Toc15377206"/>
    </w:p>
    <w:p>
      <w:pPr>
        <w:pStyle w:val="25"/>
        <w:numPr>
          <w:ilvl w:val="0"/>
          <w:numId w:val="1"/>
        </w:numPr>
        <w:spacing w:line="576" w:lineRule="exact"/>
        <w:ind w:firstLineChars="0"/>
        <w:outlineLvl w:val="1"/>
        <w:rPr>
          <w:rFonts w:ascii="方正楷体_GBK" w:eastAsia="方正楷体_GBK"/>
          <w:color w:val="000000"/>
          <w:sz w:val="33"/>
          <w:szCs w:val="33"/>
        </w:rPr>
      </w:pPr>
      <w:r>
        <w:rPr>
          <w:rFonts w:ascii="方正楷体_GBK" w:eastAsia="方正楷体_GBK"/>
          <w:color w:val="000000"/>
          <w:sz w:val="33"/>
          <w:szCs w:val="33"/>
        </w:rPr>
        <w:t>收入决算情况说明</w:t>
      </w:r>
      <w:bookmarkEnd w:id="31"/>
      <w:bookmarkEnd w:id="32"/>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2020年本年收入合计</w:t>
      </w:r>
      <w:r>
        <w:rPr>
          <w:rFonts w:eastAsia="方正仿宋_GBK" w:hint="eastAsia"/>
          <w:color w:val="000000"/>
          <w:kern w:val="0"/>
          <w:sz w:val="33"/>
          <w:szCs w:val="33"/>
          <w:lang w:val="x-none"/>
        </w:rPr>
        <w:t>298.92</w:t>
      </w:r>
      <w:r>
        <w:rPr>
          <w:rFonts w:eastAsia="方正仿宋_GBK"/>
          <w:color w:val="000000"/>
          <w:kern w:val="0"/>
          <w:sz w:val="33"/>
          <w:szCs w:val="33"/>
          <w:lang w:val="x-none" w:eastAsia="x-none"/>
        </w:rPr>
        <w:t>万元，其中：一般公共预算财政拨款收入</w:t>
      </w:r>
      <w:r>
        <w:rPr>
          <w:rFonts w:eastAsia="方正仿宋_GBK" w:hint="eastAsia"/>
          <w:color w:val="000000"/>
          <w:kern w:val="0"/>
          <w:sz w:val="33"/>
          <w:szCs w:val="33"/>
          <w:lang w:val="x-none"/>
        </w:rPr>
        <w:t>170.25</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56.96</w:t>
      </w:r>
      <w:r>
        <w:rPr>
          <w:rFonts w:eastAsia="方正仿宋_GBK"/>
          <w:color w:val="000000"/>
          <w:kern w:val="0"/>
          <w:sz w:val="33"/>
          <w:szCs w:val="33"/>
          <w:lang w:val="x-none" w:eastAsia="x-none"/>
        </w:rPr>
        <w:t>%；政府性基金预算财政拨款收入</w:t>
      </w:r>
      <w:r>
        <w:rPr>
          <w:rFonts w:eastAsia="方正仿宋_GBK" w:hint="eastAsia"/>
          <w:color w:val="000000"/>
          <w:kern w:val="0"/>
          <w:sz w:val="33"/>
          <w:szCs w:val="33"/>
          <w:lang w:val="x-none"/>
        </w:rPr>
        <w:t>128.64</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43.03</w:t>
      </w:r>
      <w:r>
        <w:rPr>
          <w:rFonts w:eastAsia="方正仿宋_GBK"/>
          <w:color w:val="000000"/>
          <w:kern w:val="0"/>
          <w:sz w:val="33"/>
          <w:szCs w:val="33"/>
          <w:lang w:val="x-none" w:eastAsia="x-none"/>
        </w:rPr>
        <w:t>%；上级补助收入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%；事业收入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%；经营收入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%；附属单位上缴收入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%；其他收入</w:t>
      </w:r>
      <w:r>
        <w:rPr>
          <w:rFonts w:eastAsia="方正仿宋_GBK"/>
          <w:color w:val="000000"/>
          <w:kern w:val="0"/>
          <w:sz w:val="33"/>
          <w:szCs w:val="33"/>
          <w:lang w:val="x-none"/>
        </w:rPr>
        <w:t>0.</w:t>
      </w:r>
      <w:r>
        <w:rPr>
          <w:rFonts w:eastAsia="方正仿宋_GBK" w:hint="eastAsia"/>
          <w:color w:val="000000"/>
          <w:kern w:val="0"/>
          <w:sz w:val="33"/>
          <w:szCs w:val="33"/>
          <w:lang w:val="x-none"/>
        </w:rPr>
        <w:t>03</w:t>
      </w:r>
      <w:r>
        <w:rPr>
          <w:rFonts w:eastAsia="方正仿宋_GBK"/>
          <w:color w:val="000000"/>
          <w:kern w:val="0"/>
          <w:sz w:val="33"/>
          <w:szCs w:val="33"/>
          <w:lang w:val="x-none" w:eastAsia="x-none"/>
        </w:rPr>
        <w:t>万元，占</w:t>
      </w:r>
      <w:r>
        <w:rPr>
          <w:rFonts w:eastAsia="方正仿宋_GBK"/>
          <w:color w:val="000000"/>
          <w:kern w:val="0"/>
          <w:sz w:val="33"/>
          <w:szCs w:val="33"/>
          <w:lang w:val="x-none"/>
        </w:rPr>
        <w:t>0.01</w:t>
      </w:r>
      <w:r>
        <w:rPr>
          <w:rFonts w:eastAsia="方正仿宋_GBK"/>
          <w:color w:val="000000"/>
          <w:kern w:val="0"/>
          <w:sz w:val="33"/>
          <w:szCs w:val="33"/>
          <w:lang w:val="x-none" w:eastAsia="x-none"/>
        </w:rPr>
        <w:t>%。</w:t>
      </w:r>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（注：数据来源于财决01表）</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（图2：收入决算结构图）（饼状图）</w:t>
      </w:r>
    </w:p>
    <w:p>
      <w:pPr>
        <w:spacing w:line="576" w:lineRule="exact"/>
        <w:ind w:firstLineChars="200" w:firstLine="660"/>
        <w:rPr>
          <w:rFonts w:eastAsia="方正仿宋_GBK" w:hint="eastAsia"/>
          <w:color w:val="000000"/>
          <w:kern w:val="0"/>
          <w:sz w:val="33"/>
          <w:szCs w:val="33"/>
          <w:lang w:val="x-none"/>
        </w:rPr>
      </w:pPr>
      <w:r>
        <w:rPr>
          <w:rFonts w:eastAsia="方正仿宋_GBK" w:hint="eastAsia"/>
          <w:color w:val="000000"/>
          <w:kern w:val="0"/>
          <w:sz w:val="33"/>
          <w:szCs w:val="33"/>
        </w:rPr>
        <w:drawing>
          <wp:anchor distT="0" distB="0" distL="114300" distR="114300" simplePos="0" relativeHeight="20" behindDoc="0" locked="0" layoutInCell="1" hidden="0" allowOverlap="1">
            <wp:simplePos x="0" y="0"/>
            <wp:positionH relativeFrom="column">
              <wp:posOffset>333375</wp:posOffset>
            </wp:positionH>
            <wp:positionV relativeFrom="paragraph">
              <wp:posOffset>182880</wp:posOffset>
            </wp:positionV>
            <wp:extent cx="4819649" cy="2781300"/>
            <wp:effectExtent l="0" t="0" r="0" b="0"/>
            <wp:wrapNone/>
            <wp:docPr id="2" name="对象 15"/>
            <wp:cNvGraphicFramePr>
              <a:graphicFrameLocks noChangeAspect="1"/>
            </wp:cNvGraphicFramePr>
            <a:graphic>
              <a:graphicData uri="http://schemas.openxmlformats.org/drawingml/2006/chart">
                <c:chart xmlns:c="http://schemas.openxmlformats.org/drawingml/2006/chart" r:id="rId5"/>
              </a:graphicData>
            </a:graphic>
          </wp:anchor>
        </w:drawing>
      </w: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bookmarkStart w:id="33" w:name="_Toc15396605"/>
      <w:bookmarkStart w:id="34" w:name="_Toc15377207"/>
    </w:p>
    <w:p>
      <w:pPr>
        <w:spacing w:line="576" w:lineRule="exact"/>
        <w:ind w:firstLineChars="200" w:firstLine="660"/>
        <w:rPr>
          <w:rFonts w:ascii="方正楷体_GBK" w:eastAsia="方正楷体_GBK" w:hint="eastAsia"/>
          <w:b/>
          <w:bCs/>
          <w:color w:val="000000"/>
          <w:kern w:val="0"/>
          <w:sz w:val="33"/>
          <w:szCs w:val="33"/>
          <w:lang w:val="x-none" w:eastAsia="x-none"/>
        </w:rPr>
      </w:pPr>
      <w:r>
        <w:rPr>
          <w:rFonts w:ascii="方正楷体_GBK" w:eastAsia="方正楷体_GBK" w:hint="eastAsia"/>
          <w:b/>
          <w:color w:val="000000"/>
          <w:kern w:val="0"/>
          <w:sz w:val="33"/>
          <w:szCs w:val="33"/>
          <w:lang w:val="x-none" w:eastAsia="x-none"/>
        </w:rPr>
        <w:t>三</w:t>
      </w:r>
      <w:r>
        <w:rPr>
          <w:rFonts w:ascii="方正楷体_GBK" w:eastAsia="方正楷体_GBK" w:hint="eastAsia"/>
          <w:b/>
          <w:color w:val="000000"/>
          <w:kern w:val="0"/>
          <w:sz w:val="33"/>
          <w:szCs w:val="33"/>
          <w:lang w:val="x-none"/>
        </w:rPr>
        <w:t>、</w:t>
      </w:r>
      <w:r>
        <w:rPr>
          <w:rFonts w:ascii="方正楷体_GBK" w:eastAsia="方正楷体_GBK" w:hint="eastAsia"/>
          <w:b/>
          <w:color w:val="000000"/>
          <w:kern w:val="0"/>
          <w:sz w:val="33"/>
          <w:szCs w:val="33"/>
          <w:lang w:val="x-none" w:eastAsia="x-none"/>
        </w:rPr>
        <w:t>支</w:t>
      </w:r>
      <w:r>
        <w:rPr>
          <w:rFonts w:ascii="方正楷体_GBK" w:eastAsia="方正楷体_GBK" w:hint="eastAsia"/>
          <w:b/>
          <w:bCs/>
          <w:color w:val="000000"/>
          <w:kern w:val="0"/>
          <w:sz w:val="33"/>
          <w:szCs w:val="33"/>
          <w:lang w:val="x-none" w:eastAsia="x-none"/>
        </w:rPr>
        <w:t>出决算情况说明</w:t>
      </w:r>
      <w:bookmarkEnd w:id="33"/>
      <w:bookmarkEnd w:id="34"/>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2020年本年支出合计</w:t>
      </w:r>
      <w:r>
        <w:rPr>
          <w:rFonts w:eastAsia="方正仿宋_GBK" w:hint="eastAsia"/>
          <w:color w:val="000000"/>
          <w:kern w:val="0"/>
          <w:sz w:val="33"/>
          <w:szCs w:val="33"/>
          <w:lang w:val="x-none"/>
        </w:rPr>
        <w:t>299.01</w:t>
      </w:r>
      <w:r>
        <w:rPr>
          <w:rFonts w:eastAsia="方正仿宋_GBK"/>
          <w:color w:val="000000"/>
          <w:kern w:val="0"/>
          <w:sz w:val="33"/>
          <w:szCs w:val="33"/>
          <w:lang w:val="x-none" w:eastAsia="x-none"/>
        </w:rPr>
        <w:t>万元，其中：基本支出</w:t>
      </w:r>
      <w:r>
        <w:rPr>
          <w:rFonts w:eastAsia="方正仿宋_GBK" w:hint="eastAsia"/>
          <w:color w:val="000000"/>
          <w:kern w:val="0"/>
          <w:sz w:val="33"/>
          <w:szCs w:val="33"/>
          <w:lang w:val="x-none"/>
        </w:rPr>
        <w:t>175.30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58.63</w:t>
      </w:r>
      <w:r>
        <w:rPr>
          <w:rFonts w:eastAsia="方正仿宋_GBK"/>
          <w:color w:val="000000"/>
          <w:kern w:val="0"/>
          <w:sz w:val="33"/>
          <w:szCs w:val="33"/>
          <w:lang w:val="x-none" w:eastAsia="x-none"/>
        </w:rPr>
        <w:t>%；项目支出</w:t>
      </w:r>
      <w:r>
        <w:rPr>
          <w:rFonts w:eastAsia="方正仿宋_GBK" w:hint="eastAsia"/>
          <w:color w:val="000000"/>
          <w:kern w:val="0"/>
          <w:sz w:val="33"/>
          <w:szCs w:val="33"/>
          <w:lang w:val="x-none"/>
        </w:rPr>
        <w:t>123.71</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41.37</w:t>
      </w:r>
      <w:r>
        <w:rPr>
          <w:rFonts w:eastAsia="方正仿宋_GBK"/>
          <w:color w:val="000000"/>
          <w:kern w:val="0"/>
          <w:sz w:val="33"/>
          <w:szCs w:val="33"/>
          <w:lang w:val="x-none" w:eastAsia="x-none"/>
        </w:rPr>
        <w:t>%；上缴上级支出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%；经营支出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%；对附属单位补助支出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（注：数据来源于财决04表）</w:t>
      </w:r>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（图3：支出决算结构图）（饼状图）</w:t>
      </w:r>
    </w:p>
    <w:p>
      <w:pPr>
        <w:spacing w:line="576" w:lineRule="exact"/>
        <w:ind w:firstLineChars="200" w:firstLine="660"/>
        <w:rPr>
          <w:rFonts w:eastAsia="方正仿宋_GBK"/>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r>
        <w:rPr>
          <w:rFonts w:eastAsia="方正仿宋_GBK"/>
          <w:color w:val="000000"/>
          <w:kern w:val="0"/>
          <w:sz w:val="33"/>
          <w:szCs w:val="33"/>
        </w:rPr>
        <w:drawing>
          <wp:anchor distT="0" distB="0" distL="114300" distR="114300" simplePos="0" relativeHeight="22" behindDoc="0" locked="0" layoutInCell="1" hidden="0" allowOverlap="1">
            <wp:simplePos x="0" y="0"/>
            <wp:positionH relativeFrom="column">
              <wp:posOffset>266700</wp:posOffset>
            </wp:positionH>
            <wp:positionV relativeFrom="paragraph">
              <wp:posOffset>0</wp:posOffset>
            </wp:positionV>
            <wp:extent cx="4829175" cy="2457450"/>
            <wp:effectExtent l="0" t="0" r="0" b="0"/>
            <wp:wrapNone/>
            <wp:docPr id="3" name="对象 16"/>
            <wp:cNvGraphicFramePr>
              <a:graphicFrameLocks noChangeAspect="1"/>
            </wp:cNvGraphicFramePr>
            <a:graphic>
              <a:graphicData uri="http://schemas.openxmlformats.org/drawingml/2006/chart">
                <c:chart xmlns:c="http://schemas.openxmlformats.org/drawingml/2006/chart" r:id="rId6"/>
              </a:graphicData>
            </a:graphic>
          </wp:anchor>
        </w:drawing>
      </w: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ind w:firstLineChars="200" w:firstLine="660"/>
        <w:rPr>
          <w:rFonts w:ascii="方正楷体_GBK" w:eastAsia="方正楷体_GBK"/>
          <w:b/>
          <w:color w:val="000000"/>
          <w:kern w:val="0"/>
          <w:sz w:val="33"/>
          <w:szCs w:val="33"/>
          <w:lang w:val="x-none" w:eastAsia="x-none"/>
        </w:rPr>
      </w:pPr>
      <w:bookmarkStart w:id="35" w:name="_Toc15396606"/>
      <w:bookmarkStart w:id="36" w:name="_Toc15377208"/>
      <w:r>
        <w:rPr>
          <w:rFonts w:ascii="方正楷体_GBK" w:eastAsia="方正楷体_GBK"/>
          <w:b/>
          <w:color w:val="000000"/>
          <w:kern w:val="0"/>
          <w:sz w:val="33"/>
          <w:szCs w:val="33"/>
          <w:lang w:val="x-none" w:eastAsia="x-none"/>
        </w:rPr>
        <w:t>四、财政拨款收入支出决算总体情况说明</w:t>
      </w:r>
      <w:bookmarkEnd w:id="35"/>
      <w:bookmarkEnd w:id="36"/>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2020年财政拨款收、支总计</w:t>
      </w:r>
      <w:r>
        <w:rPr>
          <w:rFonts w:eastAsia="方正仿宋_GBK" w:hint="eastAsia"/>
          <w:color w:val="000000"/>
          <w:kern w:val="0"/>
          <w:sz w:val="33"/>
          <w:szCs w:val="33"/>
          <w:lang w:val="x-none"/>
        </w:rPr>
        <w:t>300.83</w:t>
      </w:r>
      <w:r>
        <w:rPr>
          <w:rFonts w:eastAsia="方正仿宋_GBK"/>
          <w:color w:val="000000"/>
          <w:kern w:val="0"/>
          <w:sz w:val="33"/>
          <w:szCs w:val="33"/>
          <w:lang w:val="x-none" w:eastAsia="x-none"/>
        </w:rPr>
        <w:t>万元。与2019年</w:t>
      </w:r>
      <w:r>
        <w:rPr>
          <w:rFonts w:eastAsia="方正仿宋_GBK" w:hint="eastAsia"/>
          <w:color w:val="000000"/>
          <w:kern w:val="0"/>
          <w:sz w:val="33"/>
          <w:szCs w:val="33"/>
          <w:lang w:val="x-none"/>
        </w:rPr>
        <w:t>279.62</w:t>
      </w:r>
      <w:r>
        <w:rPr>
          <w:rFonts w:eastAsia="方正仿宋_GBK"/>
          <w:color w:val="000000"/>
          <w:kern w:val="0"/>
          <w:sz w:val="33"/>
          <w:szCs w:val="33"/>
          <w:lang w:val="x-none"/>
        </w:rPr>
        <w:t>万元</w:t>
      </w:r>
      <w:r>
        <w:rPr>
          <w:rFonts w:eastAsia="方正仿宋_GBK"/>
          <w:color w:val="000000"/>
          <w:kern w:val="0"/>
          <w:sz w:val="33"/>
          <w:szCs w:val="33"/>
          <w:lang w:val="x-none" w:eastAsia="x-none"/>
        </w:rPr>
        <w:t>相比，财政拨款收、支总计各增加</w:t>
      </w:r>
      <w:r>
        <w:rPr>
          <w:rFonts w:eastAsia="方正仿宋_GBK" w:hint="eastAsia"/>
          <w:color w:val="000000"/>
          <w:kern w:val="0"/>
          <w:sz w:val="33"/>
          <w:szCs w:val="33"/>
          <w:lang w:val="x-none"/>
        </w:rPr>
        <w:t>21.21</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7.58</w:t>
      </w:r>
      <w:r>
        <w:rPr>
          <w:rFonts w:eastAsia="方正仿宋_GBK"/>
          <w:color w:val="000000"/>
          <w:kern w:val="0"/>
          <w:sz w:val="33"/>
          <w:szCs w:val="33"/>
          <w:lang w:val="x-none" w:eastAsia="x-none"/>
        </w:rPr>
        <w:t>%。主要变动原因项目经费</w:t>
      </w:r>
      <w:r>
        <w:rPr>
          <w:rFonts w:eastAsia="方正仿宋_GBK" w:hint="eastAsia"/>
          <w:color w:val="000000"/>
          <w:kern w:val="0"/>
          <w:sz w:val="33"/>
          <w:szCs w:val="33"/>
          <w:lang w:val="x-none"/>
        </w:rPr>
        <w:t>支出较上年有所</w:t>
      </w:r>
      <w:r>
        <w:rPr>
          <w:rFonts w:eastAsia="方正仿宋_GBK"/>
          <w:color w:val="000000"/>
          <w:kern w:val="0"/>
          <w:sz w:val="33"/>
          <w:szCs w:val="33"/>
          <w:lang w:val="x-none" w:eastAsia="x-none"/>
        </w:rPr>
        <w:t>增加</w:t>
      </w:r>
      <w:r>
        <w:rPr>
          <w:rFonts w:eastAsia="方正仿宋_GBK"/>
          <w:color w:val="000000"/>
          <w:kern w:val="0"/>
          <w:sz w:val="33"/>
          <w:szCs w:val="33"/>
          <w:lang w:val="x-none"/>
        </w:rPr>
        <w:t>。</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（注：除国有资本经营预算外，数据来源于财决Z01-1表，口径为“总计”数+国有资本经营预算。）</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（图4：财政拨款收、支决算总计变动情况）（柱状图）</w:t>
      </w:r>
    </w:p>
    <w:p>
      <w:pPr>
        <w:spacing w:line="576" w:lineRule="exact"/>
        <w:ind w:firstLineChars="200" w:firstLine="660"/>
        <w:rPr>
          <w:rFonts w:eastAsia="方正仿宋_GBK"/>
          <w:color w:val="000000"/>
          <w:kern w:val="0"/>
          <w:sz w:val="33"/>
          <w:szCs w:val="33"/>
          <w:lang w:val="x-none"/>
        </w:rPr>
      </w:pPr>
      <w:r>
        <w:rPr>
          <w:rFonts w:eastAsia="方正仿宋_GBK" w:hint="eastAsia"/>
          <w:color w:val="000000"/>
          <w:kern w:val="0"/>
          <w:sz w:val="33"/>
          <w:szCs w:val="33"/>
        </w:rPr>
        <w:drawing>
          <wp:anchor distT="0" distB="0" distL="114300" distR="114300" simplePos="0" relativeHeight="24" behindDoc="0" locked="0" layoutInCell="1" hidden="0" allowOverlap="1">
            <wp:simplePos x="0" y="0"/>
            <wp:positionH relativeFrom="column">
              <wp:posOffset>466725</wp:posOffset>
            </wp:positionH>
            <wp:positionV relativeFrom="paragraph">
              <wp:posOffset>129540</wp:posOffset>
            </wp:positionV>
            <wp:extent cx="5164455" cy="2627629"/>
            <wp:effectExtent l="0" t="0" r="0" b="0"/>
            <wp:wrapNone/>
            <wp:docPr id="4" name="对象 17"/>
            <wp:cNvGraphicFramePr>
              <a:graphicFrameLocks noChangeAspect="1"/>
            </wp:cNvGraphicFramePr>
            <a:graphic>
              <a:graphicData uri="http://schemas.openxmlformats.org/drawingml/2006/chart">
                <c:chart xmlns:c="http://schemas.openxmlformats.org/drawingml/2006/chart" r:id="rId7"/>
              </a:graphicData>
            </a:graphic>
          </wp:anchor>
        </w:drawing>
      </w:r>
    </w:p>
    <w:p>
      <w:pPr>
        <w:spacing w:line="576" w:lineRule="exact"/>
        <w:ind w:firstLineChars="200" w:firstLine="660"/>
        <w:rPr>
          <w:rFonts w:eastAsia="方正仿宋_GBK"/>
          <w:color w:val="000000"/>
          <w:kern w:val="0"/>
          <w:sz w:val="33"/>
          <w:szCs w:val="33"/>
          <w:lang w:val="x-none"/>
        </w:rPr>
      </w:pPr>
    </w:p>
    <w:p>
      <w:pPr>
        <w:spacing w:line="576" w:lineRule="exact"/>
        <w:ind w:firstLineChars="200" w:firstLine="660"/>
        <w:rPr>
          <w:rFonts w:eastAsia="方正仿宋_GBK"/>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color w:val="000000"/>
          <w:kern w:val="0"/>
          <w:sz w:val="33"/>
          <w:szCs w:val="33"/>
          <w:lang w:val="x-none"/>
        </w:rPr>
      </w:pPr>
    </w:p>
    <w:p>
      <w:pPr>
        <w:spacing w:line="576" w:lineRule="exact"/>
        <w:ind w:firstLineChars="200" w:firstLine="660"/>
        <w:rPr>
          <w:rFonts w:eastAsia="方正仿宋_GBK"/>
          <w:color w:val="000000"/>
          <w:kern w:val="0"/>
          <w:sz w:val="33"/>
          <w:szCs w:val="33"/>
          <w:lang w:val="x-none"/>
        </w:rPr>
      </w:pPr>
    </w:p>
    <w:p>
      <w:pPr>
        <w:spacing w:line="576" w:lineRule="exact"/>
        <w:ind w:firstLineChars="200" w:firstLine="660"/>
        <w:rPr>
          <w:rFonts w:eastAsia="方正仿宋_GBK"/>
          <w:bCs/>
          <w:color w:val="000000"/>
          <w:kern w:val="0"/>
          <w:sz w:val="33"/>
          <w:szCs w:val="33"/>
          <w:lang w:val="x-none" w:eastAsia="x-none"/>
        </w:rPr>
      </w:pPr>
      <w:bookmarkStart w:id="37" w:name="_Toc15377209"/>
      <w:bookmarkStart w:id="38" w:name="_Toc15396607"/>
      <w:r>
        <w:rPr>
          <w:rFonts w:eastAsia="方正仿宋_GBK"/>
          <w:color w:val="000000"/>
          <w:kern w:val="0"/>
          <w:sz w:val="33"/>
          <w:szCs w:val="33"/>
          <w:lang w:val="x-none" w:eastAsia="x-none"/>
        </w:rPr>
        <w:t>五、一</w:t>
      </w:r>
      <w:r>
        <w:rPr>
          <w:rFonts w:eastAsia="方正仿宋_GBK"/>
          <w:bCs/>
          <w:color w:val="000000"/>
          <w:kern w:val="0"/>
          <w:sz w:val="33"/>
          <w:szCs w:val="33"/>
          <w:lang w:val="x-none" w:eastAsia="x-none"/>
        </w:rPr>
        <w:t>般公共预算财政拨款支出决算情况说明</w:t>
      </w:r>
      <w:bookmarkEnd w:id="37"/>
      <w:bookmarkEnd w:id="38"/>
    </w:p>
    <w:p>
      <w:pPr>
        <w:spacing w:line="576" w:lineRule="exact"/>
        <w:ind w:firstLineChars="200" w:firstLine="660"/>
        <w:rPr>
          <w:rFonts w:eastAsia="方正仿宋_GBK" w:hint="eastAsia"/>
          <w:color w:val="000000"/>
          <w:kern w:val="0"/>
          <w:sz w:val="33"/>
          <w:szCs w:val="33"/>
          <w:lang w:val="x-none"/>
        </w:rPr>
      </w:pPr>
      <w:bookmarkStart w:id="39" w:name="_Toc15377210"/>
      <w:r>
        <w:rPr>
          <w:rFonts w:eastAsia="方正仿宋_GBK"/>
          <w:color w:val="000000"/>
          <w:kern w:val="0"/>
          <w:sz w:val="33"/>
          <w:szCs w:val="33"/>
          <w:lang w:val="x-none" w:eastAsia="x-none"/>
        </w:rPr>
        <w:t>（一）一般公共预算财政拨款支出决算总体情况</w:t>
      </w:r>
      <w:bookmarkEnd w:id="39"/>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2020年一般公共预算财政拨款支出</w:t>
      </w:r>
      <w:r>
        <w:rPr>
          <w:rFonts w:eastAsia="方正仿宋_GBK" w:hint="eastAsia"/>
          <w:color w:val="000000"/>
          <w:kern w:val="0"/>
          <w:sz w:val="33"/>
          <w:szCs w:val="33"/>
          <w:lang w:val="x-none"/>
        </w:rPr>
        <w:t>171.28</w:t>
      </w:r>
      <w:r>
        <w:rPr>
          <w:rFonts w:eastAsia="方正仿宋_GBK"/>
          <w:color w:val="000000"/>
          <w:kern w:val="0"/>
          <w:sz w:val="33"/>
          <w:szCs w:val="33"/>
          <w:lang w:val="x-none" w:eastAsia="x-none"/>
        </w:rPr>
        <w:t>万元，占本年支出合计的</w:t>
      </w:r>
      <w:r>
        <w:rPr>
          <w:rFonts w:eastAsia="方正仿宋_GBK" w:hint="eastAsia"/>
          <w:color w:val="000000"/>
          <w:kern w:val="0"/>
          <w:sz w:val="33"/>
          <w:szCs w:val="33"/>
          <w:lang w:val="x-none"/>
        </w:rPr>
        <w:t>57.29</w:t>
      </w:r>
      <w:r>
        <w:rPr>
          <w:rFonts w:eastAsia="方正仿宋_GBK"/>
          <w:color w:val="000000"/>
          <w:kern w:val="0"/>
          <w:sz w:val="33"/>
          <w:szCs w:val="33"/>
          <w:lang w:val="x-none" w:eastAsia="x-none"/>
        </w:rPr>
        <w:t>%。与2019年相比，一般公共预算财政拨款增加</w:t>
      </w:r>
      <w:r>
        <w:rPr>
          <w:rFonts w:eastAsia="方正仿宋_GBK" w:hint="eastAsia"/>
          <w:color w:val="000000"/>
          <w:kern w:val="0"/>
          <w:sz w:val="33"/>
          <w:szCs w:val="33"/>
          <w:lang w:val="x-none"/>
        </w:rPr>
        <w:t>0.72</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0.42</w:t>
      </w:r>
      <w:r>
        <w:rPr>
          <w:rFonts w:eastAsia="方正仿宋_GBK"/>
          <w:color w:val="000000"/>
          <w:kern w:val="0"/>
          <w:sz w:val="33"/>
          <w:szCs w:val="33"/>
          <w:lang w:val="x-none" w:eastAsia="x-none"/>
        </w:rPr>
        <w:t>%。主要变动原因是</w:t>
      </w:r>
      <w:r>
        <w:rPr>
          <w:rFonts w:eastAsia="方正仿宋_GBK" w:hint="eastAsia"/>
          <w:color w:val="000000"/>
          <w:kern w:val="0"/>
          <w:sz w:val="33"/>
          <w:szCs w:val="33"/>
          <w:lang w:val="x-none"/>
        </w:rPr>
        <w:t>人员工资、保险等经费支出的较上年有所增加。</w:t>
      </w:r>
    </w:p>
    <w:p>
      <w:pPr>
        <w:spacing w:line="576" w:lineRule="exact"/>
        <w:rPr>
          <w:rFonts w:eastAsia="方正仿宋_GBK"/>
          <w:color w:val="000000"/>
          <w:kern w:val="0"/>
          <w:sz w:val="33"/>
          <w:szCs w:val="33"/>
          <w:lang w:val="x-none"/>
        </w:rPr>
      </w:pPr>
      <w:r>
        <w:rPr>
          <w:rFonts w:eastAsia="方正仿宋_GBK"/>
          <w:color w:val="000000"/>
          <w:kern w:val="0"/>
          <w:sz w:val="33"/>
          <w:szCs w:val="33"/>
          <w:lang w:val="x-none" w:eastAsia="x-none"/>
        </w:rPr>
        <w:t>（图5：一般公共预算财政拨款支出决算变动情况）（柱状图）</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rPr>
        <w:drawing>
          <wp:anchor distT="0" distB="0" distL="114300" distR="114300" simplePos="0" relativeHeight="26" behindDoc="0" locked="0" layoutInCell="1" hidden="0" allowOverlap="1">
            <wp:simplePos x="0" y="0"/>
            <wp:positionH relativeFrom="column">
              <wp:posOffset>133350</wp:posOffset>
            </wp:positionH>
            <wp:positionV relativeFrom="paragraph">
              <wp:posOffset>114300</wp:posOffset>
            </wp:positionV>
            <wp:extent cx="5288279" cy="2627629"/>
            <wp:effectExtent l="0" t="0" r="0" b="0"/>
            <wp:wrapNone/>
            <wp:docPr id="5" name="对象 18"/>
            <wp:cNvGraphicFramePr>
              <a:graphicFrameLocks noChangeAspect="1"/>
            </wp:cNvGraphicFramePr>
            <a:graphic>
              <a:graphicData uri="http://schemas.openxmlformats.org/drawingml/2006/chart">
                <c:chart xmlns:c="http://schemas.openxmlformats.org/drawingml/2006/chart" r:id="rId8"/>
              </a:graphicData>
            </a:graphic>
          </wp:anchor>
        </w:drawing>
      </w: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bookmarkStart w:id="40" w:name="_Toc15377211"/>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w:t>
      </w:r>
      <w:r>
        <w:rPr>
          <w:rFonts w:eastAsia="方正仿宋_GBK" w:hint="eastAsia"/>
          <w:color w:val="000000"/>
          <w:kern w:val="0"/>
          <w:sz w:val="33"/>
          <w:szCs w:val="33"/>
          <w:lang w:val="x-none"/>
        </w:rPr>
        <w:t>二</w:t>
      </w:r>
      <w:r>
        <w:rPr>
          <w:rFonts w:eastAsia="方正仿宋_GBK"/>
          <w:color w:val="000000"/>
          <w:kern w:val="0"/>
          <w:sz w:val="33"/>
          <w:szCs w:val="33"/>
          <w:lang w:val="x-none" w:eastAsia="x-none"/>
        </w:rPr>
        <w:t>）一般公共预算财政拨款支出决算结构情况</w:t>
      </w:r>
      <w:bookmarkEnd w:id="40"/>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2020年一般公共预算财政拨款支出</w:t>
      </w:r>
      <w:r>
        <w:rPr>
          <w:rFonts w:eastAsia="方正仿宋_GBK" w:hint="eastAsia"/>
          <w:color w:val="000000"/>
          <w:kern w:val="0"/>
          <w:sz w:val="33"/>
          <w:szCs w:val="33"/>
          <w:lang w:val="x-none"/>
        </w:rPr>
        <w:t>171.28</w:t>
      </w:r>
      <w:r>
        <w:rPr>
          <w:rFonts w:eastAsia="方正仿宋_GBK"/>
          <w:color w:val="000000"/>
          <w:kern w:val="0"/>
          <w:sz w:val="33"/>
          <w:szCs w:val="33"/>
          <w:lang w:val="x-none" w:eastAsia="x-none"/>
        </w:rPr>
        <w:t>万元，主要用于以下方面:一般公共服务（类）支出</w:t>
      </w:r>
      <w:r>
        <w:rPr>
          <w:rFonts w:eastAsia="方正仿宋_GBK" w:hint="eastAsia"/>
          <w:color w:val="000000"/>
          <w:kern w:val="0"/>
          <w:sz w:val="33"/>
          <w:szCs w:val="33"/>
          <w:lang w:val="x-none"/>
        </w:rPr>
        <w:t>148.22</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86.54</w:t>
      </w:r>
      <w:r>
        <w:rPr>
          <w:rFonts w:eastAsia="方正仿宋_GBK"/>
          <w:color w:val="000000"/>
          <w:kern w:val="0"/>
          <w:sz w:val="33"/>
          <w:szCs w:val="33"/>
          <w:lang w:val="x-none" w:eastAsia="x-none"/>
        </w:rPr>
        <w:t>%；教育支出（类）</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%；科学技术（类）支出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%；文化旅游体育与传媒（类）支出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%；社会保障和就业（类）支出</w:t>
      </w:r>
      <w:r>
        <w:rPr>
          <w:rFonts w:eastAsia="方正仿宋_GBK" w:hint="eastAsia"/>
          <w:color w:val="000000"/>
          <w:kern w:val="0"/>
          <w:sz w:val="33"/>
          <w:szCs w:val="33"/>
          <w:lang w:val="x-none"/>
        </w:rPr>
        <w:t>11.91</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6.95</w:t>
      </w:r>
      <w:r>
        <w:rPr>
          <w:rFonts w:eastAsia="方正仿宋_GBK"/>
          <w:color w:val="000000"/>
          <w:kern w:val="0"/>
          <w:sz w:val="33"/>
          <w:szCs w:val="33"/>
          <w:lang w:val="x-none" w:eastAsia="x-none"/>
        </w:rPr>
        <w:t>%；卫生健康支出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%；住房保障支出</w:t>
      </w:r>
      <w:r>
        <w:rPr>
          <w:rFonts w:eastAsia="方正仿宋_GBK" w:hint="eastAsia"/>
          <w:color w:val="000000"/>
          <w:kern w:val="0"/>
          <w:sz w:val="33"/>
          <w:szCs w:val="33"/>
          <w:lang w:val="x-none"/>
        </w:rPr>
        <w:t>11.15</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6.51</w:t>
      </w:r>
      <w:r>
        <w:rPr>
          <w:rFonts w:eastAsia="方正仿宋_GBK"/>
          <w:color w:val="000000"/>
          <w:kern w:val="0"/>
          <w:sz w:val="33"/>
          <w:szCs w:val="33"/>
          <w:lang w:val="x-none" w:eastAsia="x-none"/>
        </w:rPr>
        <w:t>%；</w:t>
      </w:r>
      <w:r>
        <w:rPr>
          <w:rFonts w:eastAsia="方正仿宋_GBK"/>
          <w:color w:val="000000"/>
          <w:kern w:val="0"/>
          <w:sz w:val="33"/>
          <w:szCs w:val="33"/>
          <w:lang w:val="x-none"/>
        </w:rPr>
        <w:t>城乡社区支出</w:t>
      </w:r>
      <w:r>
        <w:rPr>
          <w:rFonts w:eastAsia="方正仿宋_GBK" w:hint="eastAsia"/>
          <w:color w:val="000000"/>
          <w:kern w:val="0"/>
          <w:sz w:val="33"/>
          <w:szCs w:val="33"/>
          <w:lang w:val="x-none"/>
        </w:rPr>
        <w:t>0</w:t>
      </w:r>
      <w:r>
        <w:rPr>
          <w:rFonts w:eastAsia="方正仿宋_GBK"/>
          <w:color w:val="000000"/>
          <w:kern w:val="0"/>
          <w:sz w:val="33"/>
          <w:szCs w:val="33"/>
          <w:lang w:val="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rPr>
        <w:t>%</w:t>
      </w:r>
      <w:r>
        <w:rPr>
          <w:rFonts w:eastAsia="方正仿宋_GBK"/>
          <w:color w:val="000000"/>
          <w:kern w:val="0"/>
          <w:sz w:val="33"/>
          <w:szCs w:val="33"/>
          <w:lang w:val="x-none" w:eastAsia="x-none"/>
        </w:rPr>
        <w:t>。（罗列全部功能分类科目，至类级。）</w:t>
      </w:r>
    </w:p>
    <w:p>
      <w:pPr>
        <w:spacing w:line="576" w:lineRule="exact"/>
        <w:rPr>
          <w:rFonts w:eastAsia="方正仿宋_GBK" w:hint="eastAsia"/>
          <w:color w:val="000000"/>
          <w:kern w:val="0"/>
          <w:sz w:val="33"/>
          <w:szCs w:val="33"/>
          <w:lang w:val="x-none"/>
        </w:rPr>
      </w:pPr>
      <w:r>
        <w:rPr>
          <w:rFonts w:eastAsia="方正仿宋_GBK"/>
          <w:color w:val="000000"/>
          <w:kern w:val="0"/>
          <w:sz w:val="33"/>
          <w:szCs w:val="33"/>
          <w:lang w:val="x-none" w:eastAsia="x-none"/>
        </w:rPr>
        <w:t>（图6：一般公共预算财政拨款支出决算结构）（饼状图）</w:t>
      </w:r>
    </w:p>
    <w:p>
      <w:pPr>
        <w:spacing w:line="576" w:lineRule="exact"/>
        <w:rPr>
          <w:rFonts w:eastAsia="方正仿宋_GBK" w:hint="eastAsia"/>
          <w:color w:val="000000"/>
          <w:kern w:val="0"/>
          <w:sz w:val="33"/>
          <w:szCs w:val="33"/>
          <w:lang w:val="x-none"/>
        </w:rPr>
      </w:pPr>
      <w:r>
        <w:rPr>
          <w:rFonts w:eastAsia="方正仿宋_GBK" w:hint="eastAsia"/>
          <w:color w:val="000000"/>
          <w:kern w:val="0"/>
          <w:sz w:val="33"/>
          <w:szCs w:val="33"/>
        </w:rPr>
        <w:drawing>
          <wp:anchor distT="0" distB="0" distL="114300" distR="114300" simplePos="0" relativeHeight="28" behindDoc="0" locked="0" layoutInCell="1" hidden="0" allowOverlap="1">
            <wp:simplePos x="0" y="0"/>
            <wp:positionH relativeFrom="column">
              <wp:posOffset>400050</wp:posOffset>
            </wp:positionH>
            <wp:positionV relativeFrom="paragraph">
              <wp:posOffset>259080</wp:posOffset>
            </wp:positionV>
            <wp:extent cx="4783454" cy="2514600"/>
            <wp:effectExtent l="0" t="0" r="0" b="0"/>
            <wp:wrapNone/>
            <wp:docPr id="6" name="对象 19"/>
            <wp:cNvGraphicFramePr>
              <a:graphicFrameLocks noChangeAspect="1"/>
            </wp:cNvGraphicFramePr>
            <a:graphic>
              <a:graphicData uri="http://schemas.openxmlformats.org/drawingml/2006/chart">
                <c:chart xmlns:c="http://schemas.openxmlformats.org/drawingml/2006/chart" r:id="rId9"/>
              </a:graphicData>
            </a:graphic>
          </wp:anchor>
        </w:drawing>
      </w: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bookmarkStart w:id="41" w:name="_Toc15377212"/>
      <w:r>
        <w:rPr>
          <w:rFonts w:eastAsia="方正仿宋_GBK"/>
          <w:color w:val="000000"/>
          <w:kern w:val="0"/>
          <w:sz w:val="33"/>
          <w:szCs w:val="33"/>
          <w:lang w:val="x-none" w:eastAsia="x-none"/>
        </w:rPr>
        <w:t>（三）一般公共预算财政拨款支出决算具体情况</w:t>
      </w:r>
      <w:bookmarkStart w:id="42" w:name="_Toc15377213"/>
      <w:bookmarkStart w:id="43" w:name="_Toc15378460"/>
      <w:bookmarkStart w:id="44" w:name="_Toc15377444"/>
      <w:bookmarkEnd w:id="41"/>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2020年一般公共预算支出决算数为</w:t>
      </w:r>
      <w:r>
        <w:rPr>
          <w:rFonts w:eastAsia="方正仿宋_GBK" w:hint="eastAsia"/>
          <w:color w:val="000000"/>
          <w:kern w:val="0"/>
          <w:sz w:val="33"/>
          <w:szCs w:val="33"/>
          <w:lang w:val="x-none"/>
        </w:rPr>
        <w:t>171.28</w:t>
      </w:r>
      <w:r>
        <w:rPr>
          <w:rFonts w:eastAsia="方正仿宋_GBK"/>
          <w:color w:val="000000"/>
          <w:kern w:val="0"/>
          <w:sz w:val="33"/>
          <w:szCs w:val="33"/>
          <w:lang w:val="x-none" w:eastAsia="x-none"/>
        </w:rPr>
        <w:t>万元，完成预算</w:t>
      </w:r>
      <w:r>
        <w:rPr>
          <w:rFonts w:eastAsia="方正仿宋_GBK" w:hint="eastAsia"/>
          <w:color w:val="000000"/>
          <w:kern w:val="0"/>
          <w:sz w:val="33"/>
          <w:szCs w:val="33"/>
          <w:lang w:val="x-none"/>
        </w:rPr>
        <w:t>100</w:t>
      </w:r>
      <w:r>
        <w:rPr>
          <w:rFonts w:eastAsia="方正仿宋_GBK"/>
          <w:color w:val="000000"/>
          <w:kern w:val="0"/>
          <w:sz w:val="33"/>
          <w:szCs w:val="33"/>
          <w:lang w:val="x-none" w:eastAsia="x-none"/>
        </w:rPr>
        <w:t>%。其中：</w:t>
      </w:r>
      <w:bookmarkEnd w:id="42"/>
      <w:bookmarkEnd w:id="43"/>
      <w:bookmarkEnd w:id="44"/>
    </w:p>
    <w:p>
      <w:pPr>
        <w:spacing w:line="576" w:lineRule="exact"/>
        <w:ind w:firstLineChars="200" w:firstLine="660"/>
        <w:rPr>
          <w:rFonts w:eastAsia="方正仿宋_GBK" w:hint="eastAsia"/>
          <w:color w:val="000000"/>
          <w:kern w:val="0"/>
          <w:sz w:val="33"/>
          <w:szCs w:val="33"/>
          <w:lang w:val="x-none"/>
        </w:rPr>
      </w:pPr>
      <w:r>
        <w:rPr>
          <w:rFonts w:eastAsia="方正仿宋_GBK"/>
          <w:b/>
          <w:kern w:val="0"/>
          <w:sz w:val="33"/>
          <w:szCs w:val="33"/>
          <w:lang w:val="x-none" w:eastAsia="x-none"/>
        </w:rPr>
        <w:t>1.</w:t>
      </w:r>
      <w:r>
        <w:rPr>
          <w:rFonts w:eastAsia="方正仿宋_GBK"/>
          <w:sz w:val="33"/>
          <w:szCs w:val="33"/>
        </w:rPr>
        <w:t xml:space="preserve"> 一般公共服务201（类）</w:t>
      </w:r>
      <w:r>
        <w:rPr>
          <w:rFonts w:eastAsia="方正仿宋_GBK" w:hint="eastAsia"/>
          <w:sz w:val="33"/>
          <w:szCs w:val="33"/>
        </w:rPr>
        <w:t>人力资源事务</w:t>
      </w:r>
      <w:r>
        <w:rPr>
          <w:rFonts w:eastAsia="方正仿宋_GBK"/>
          <w:sz w:val="33"/>
          <w:szCs w:val="33"/>
        </w:rPr>
        <w:t>（款）</w:t>
      </w:r>
      <w:r>
        <w:rPr>
          <w:rFonts w:eastAsia="方正仿宋_GBK" w:hint="eastAsia"/>
          <w:sz w:val="33"/>
          <w:szCs w:val="33"/>
        </w:rPr>
        <w:t>其他人力资源事务支出</w:t>
      </w:r>
      <w:r>
        <w:rPr>
          <w:rFonts w:eastAsia="方正仿宋_GBK"/>
          <w:sz w:val="33"/>
          <w:szCs w:val="33"/>
        </w:rPr>
        <w:t>（项）:支出决算为</w:t>
      </w:r>
      <w:r>
        <w:rPr>
          <w:rFonts w:eastAsia="方正仿宋_GBK" w:hint="eastAsia"/>
          <w:sz w:val="33"/>
          <w:szCs w:val="33"/>
        </w:rPr>
        <w:t>17.40</w:t>
      </w:r>
      <w:r>
        <w:rPr>
          <w:rFonts w:eastAsia="方正仿宋_GBK"/>
          <w:sz w:val="33"/>
          <w:szCs w:val="33"/>
        </w:rPr>
        <w:t>万元，完成预算100%，决算数与预算数持平。</w:t>
      </w:r>
    </w:p>
    <w:p>
      <w:pPr>
        <w:spacing w:line="576" w:lineRule="exact"/>
        <w:ind w:firstLineChars="200" w:firstLine="660"/>
        <w:rPr>
          <w:rFonts w:eastAsia="方正仿宋_GBK" w:hint="eastAsia"/>
          <w:color w:val="000000"/>
          <w:kern w:val="0"/>
          <w:sz w:val="33"/>
          <w:szCs w:val="33"/>
          <w:lang w:val="x-none"/>
        </w:rPr>
      </w:pPr>
      <w:r>
        <w:rPr>
          <w:rFonts w:eastAsia="方正仿宋_GBK"/>
          <w:b/>
          <w:kern w:val="0"/>
          <w:sz w:val="33"/>
          <w:szCs w:val="33"/>
          <w:lang w:val="x-none" w:eastAsia="x-none"/>
        </w:rPr>
        <w:t>2.</w:t>
      </w:r>
      <w:r>
        <w:rPr>
          <w:rFonts w:eastAsia="方正仿宋_GBK"/>
          <w:sz w:val="33"/>
          <w:szCs w:val="33"/>
        </w:rPr>
        <w:t xml:space="preserve"> 一般公共服务201（类）纪检监察事务（款）事业运行（项）:支出决算数为129.8</w:t>
      </w:r>
      <w:r>
        <w:rPr>
          <w:rFonts w:eastAsia="方正仿宋_GBK" w:hint="eastAsia"/>
          <w:sz w:val="33"/>
          <w:szCs w:val="33"/>
        </w:rPr>
        <w:t>0</w:t>
      </w:r>
      <w:r>
        <w:rPr>
          <w:rFonts w:eastAsia="方正仿宋_GBK"/>
          <w:sz w:val="33"/>
          <w:szCs w:val="33"/>
        </w:rPr>
        <w:t>万元，完成预算100%，决算数与预算数持平。</w:t>
      </w:r>
    </w:p>
    <w:p>
      <w:pPr>
        <w:spacing w:line="576" w:lineRule="exact"/>
        <w:ind w:firstLineChars="200" w:firstLine="660"/>
        <w:rPr>
          <w:rFonts w:eastAsia="方正仿宋_GBK"/>
          <w:color w:val="000000"/>
          <w:kern w:val="0"/>
          <w:sz w:val="33"/>
          <w:szCs w:val="33"/>
          <w:lang w:val="x-none" w:eastAsia="x-none"/>
        </w:rPr>
      </w:pPr>
      <w:r>
        <w:rPr>
          <w:rFonts w:eastAsia="方正仿宋_GBK"/>
          <w:b/>
          <w:kern w:val="0"/>
          <w:sz w:val="33"/>
          <w:szCs w:val="33"/>
          <w:lang w:val="x-none" w:eastAsia="x-none"/>
        </w:rPr>
        <w:t>3.</w:t>
      </w:r>
      <w:r>
        <w:rPr>
          <w:rFonts w:eastAsia="方正仿宋_GBK"/>
          <w:sz w:val="33"/>
          <w:szCs w:val="33"/>
        </w:rPr>
        <w:t xml:space="preserve"> 一般公共服务201（类）纪检监察事务（款）其他纪检监察事务支出（项）:支出决算数为</w:t>
      </w:r>
      <w:r>
        <w:rPr>
          <w:rFonts w:eastAsia="方正仿宋_GBK" w:hint="eastAsia"/>
          <w:sz w:val="33"/>
          <w:szCs w:val="33"/>
        </w:rPr>
        <w:t>1.02</w:t>
      </w:r>
      <w:r>
        <w:rPr>
          <w:rFonts w:eastAsia="方正仿宋_GBK"/>
          <w:sz w:val="33"/>
          <w:szCs w:val="33"/>
        </w:rPr>
        <w:t>万元，决算数大于预算数的主要原因是以前年度结余项目资金在2020年执行。</w:t>
      </w:r>
    </w:p>
    <w:p>
      <w:pPr>
        <w:spacing w:line="576" w:lineRule="exact"/>
        <w:ind w:firstLineChars="200" w:firstLine="660"/>
        <w:rPr>
          <w:rFonts w:eastAsia="方正仿宋_GBK"/>
          <w:sz w:val="33"/>
          <w:szCs w:val="33"/>
        </w:rPr>
      </w:pPr>
      <w:r>
        <w:rPr>
          <w:rFonts w:eastAsia="方正仿宋_GBK"/>
          <w:b/>
          <w:kern w:val="0"/>
          <w:sz w:val="33"/>
          <w:szCs w:val="33"/>
          <w:lang w:val="x-none" w:eastAsia="x-none"/>
        </w:rPr>
        <w:t>4.</w:t>
      </w:r>
      <w:r>
        <w:rPr>
          <w:rFonts w:eastAsia="方正仿宋_GBK"/>
          <w:sz w:val="33"/>
          <w:szCs w:val="33"/>
        </w:rPr>
        <w:t xml:space="preserve"> 保障和就业（类）行政事业单位离退休（款）机关事业单位基本养老保险缴费支出（项）:支出决算数为</w:t>
      </w:r>
      <w:r>
        <w:rPr>
          <w:rFonts w:eastAsia="方正仿宋_GBK" w:hint="eastAsia"/>
          <w:sz w:val="33"/>
          <w:szCs w:val="33"/>
        </w:rPr>
        <w:t>11.91万元,完成预算</w:t>
      </w:r>
      <w:r>
        <w:rPr>
          <w:rFonts w:eastAsia="方正仿宋_GBK"/>
          <w:sz w:val="33"/>
          <w:szCs w:val="33"/>
        </w:rPr>
        <w:t>100%，决算数与预算数持</w:t>
      </w:r>
      <w:r>
        <w:rPr>
          <w:rFonts w:eastAsia="方正仿宋_GBK" w:hint="eastAsia"/>
          <w:sz w:val="33"/>
          <w:szCs w:val="33"/>
        </w:rPr>
        <w:t>平。</w:t>
      </w:r>
    </w:p>
    <w:p>
      <w:pPr>
        <w:spacing w:line="576" w:lineRule="exact"/>
        <w:ind w:firstLineChars="200" w:firstLine="660"/>
        <w:rPr>
          <w:rFonts w:eastAsia="方正仿宋_GBK" w:hint="eastAsia"/>
          <w:sz w:val="33"/>
          <w:szCs w:val="33"/>
        </w:rPr>
      </w:pPr>
      <w:r>
        <w:rPr>
          <w:rFonts w:eastAsia="方正仿宋_GBK"/>
          <w:b/>
          <w:kern w:val="0"/>
          <w:sz w:val="33"/>
          <w:szCs w:val="33"/>
          <w:lang w:val="x-none" w:eastAsia="x-none"/>
        </w:rPr>
        <w:t>5.</w:t>
      </w:r>
      <w:r>
        <w:rPr>
          <w:rFonts w:eastAsia="方正仿宋_GBK"/>
          <w:sz w:val="33"/>
          <w:szCs w:val="33"/>
        </w:rPr>
        <w:t xml:space="preserve"> 住房保障支出（类）住房改革支出（款）住房公积金（项）: 支出决算数为</w:t>
      </w:r>
      <w:r>
        <w:rPr>
          <w:rFonts w:eastAsia="方正仿宋_GBK" w:hint="eastAsia"/>
          <w:sz w:val="33"/>
          <w:szCs w:val="33"/>
        </w:rPr>
        <w:t>11.15</w:t>
      </w:r>
      <w:r>
        <w:rPr>
          <w:rFonts w:eastAsia="方正仿宋_GBK"/>
          <w:sz w:val="33"/>
          <w:szCs w:val="33"/>
        </w:rPr>
        <w:t>万元，完成预算100%，决算数与预算数持平。</w:t>
      </w:r>
    </w:p>
    <w:p>
      <w:pPr>
        <w:spacing w:line="576" w:lineRule="exact"/>
        <w:ind w:firstLineChars="200" w:firstLine="660"/>
        <w:rPr>
          <w:rFonts w:ascii="方正楷体_GBK" w:eastAsia="方正楷体_GBK"/>
          <w:b/>
          <w:color w:val="000000"/>
          <w:kern w:val="0"/>
          <w:sz w:val="33"/>
          <w:szCs w:val="33"/>
          <w:lang w:val="x-none" w:eastAsia="x-none"/>
        </w:rPr>
      </w:pPr>
      <w:bookmarkStart w:id="45" w:name="_Toc15396608"/>
      <w:bookmarkStart w:id="46" w:name="_Toc15377214"/>
      <w:r>
        <w:rPr>
          <w:rFonts w:ascii="方正楷体_GBK" w:eastAsia="方正楷体_GBK"/>
          <w:b/>
          <w:color w:val="000000"/>
          <w:kern w:val="0"/>
          <w:sz w:val="33"/>
          <w:szCs w:val="33"/>
          <w:lang w:val="x-none" w:eastAsia="x-none"/>
        </w:rPr>
        <w:t>六、一般公共预算财政拨款基本支出决算情况说明</w:t>
      </w:r>
      <w:bookmarkEnd w:id="45"/>
      <w:bookmarkEnd w:id="46"/>
      <w:r>
        <w:rPr>
          <w:rFonts w:ascii="方正楷体_GBK" w:eastAsia="方正楷体_GBK"/>
          <w:b/>
          <w:color w:val="000000"/>
          <w:kern w:val="0"/>
          <w:sz w:val="33"/>
          <w:szCs w:val="33"/>
          <w:lang w:val="x-none" w:eastAsia="x-none"/>
        </w:rPr>
        <w:tab/>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2020年一般公共预算财政拨款基本支出</w:t>
      </w:r>
      <w:r>
        <w:rPr>
          <w:rFonts w:eastAsia="方正仿宋_GBK" w:hint="eastAsia"/>
          <w:color w:val="000000"/>
          <w:kern w:val="0"/>
          <w:sz w:val="33"/>
          <w:szCs w:val="33"/>
          <w:lang w:val="x-none"/>
        </w:rPr>
        <w:t>170.26</w:t>
      </w:r>
      <w:r>
        <w:rPr>
          <w:rFonts w:eastAsia="方正仿宋_GBK"/>
          <w:color w:val="000000"/>
          <w:kern w:val="0"/>
          <w:sz w:val="33"/>
          <w:szCs w:val="33"/>
          <w:lang w:val="x-none" w:eastAsia="x-none"/>
        </w:rPr>
        <w:t>万元，其中：</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人员经费</w:t>
      </w:r>
      <w:r>
        <w:rPr>
          <w:rFonts w:eastAsia="方正仿宋_GBK" w:hint="eastAsia"/>
          <w:color w:val="000000"/>
          <w:kern w:val="0"/>
          <w:sz w:val="33"/>
          <w:szCs w:val="33"/>
          <w:lang w:val="x-none"/>
        </w:rPr>
        <w:t>153.6</w:t>
      </w:r>
      <w:r>
        <w:rPr>
          <w:rFonts w:eastAsia="方正仿宋_GBK"/>
          <w:color w:val="000000"/>
          <w:kern w:val="0"/>
          <w:sz w:val="33"/>
          <w:szCs w:val="33"/>
          <w:lang w:val="x-none" w:eastAsia="x-none"/>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br/>
        <w:t>　　日常公用经费</w:t>
      </w:r>
      <w:r>
        <w:rPr>
          <w:rFonts w:eastAsia="方正仿宋_GBK" w:hint="eastAsia"/>
          <w:color w:val="000000"/>
          <w:kern w:val="0"/>
          <w:sz w:val="33"/>
          <w:szCs w:val="33"/>
          <w:lang w:val="x-none"/>
        </w:rPr>
        <w:t>16.66</w:t>
      </w:r>
      <w:r>
        <w:rPr>
          <w:rFonts w:eastAsia="方正仿宋_GBK"/>
          <w:color w:val="000000"/>
          <w:kern w:val="0"/>
          <w:sz w:val="33"/>
          <w:szCs w:val="33"/>
          <w:lang w:val="x-none" w:eastAsia="x-none"/>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（注：数据来源于财决07表，根据本部门实际支出情况罗列全部经济分类科目。）</w:t>
      </w:r>
    </w:p>
    <w:p>
      <w:pPr>
        <w:spacing w:line="576" w:lineRule="exact"/>
        <w:ind w:firstLineChars="200" w:firstLine="660"/>
        <w:rPr>
          <w:rFonts w:ascii="方正楷体_GBK" w:eastAsia="方正楷体_GBK" w:hint="eastAsia"/>
          <w:b/>
          <w:bCs/>
          <w:color w:val="000000"/>
          <w:kern w:val="0"/>
          <w:sz w:val="33"/>
          <w:szCs w:val="33"/>
          <w:lang w:val="x-none" w:eastAsia="x-none"/>
        </w:rPr>
      </w:pPr>
      <w:bookmarkStart w:id="47" w:name="_Toc15396609"/>
      <w:bookmarkStart w:id="48" w:name="_Toc15377215"/>
      <w:r>
        <w:rPr>
          <w:rFonts w:ascii="方正楷体_GBK" w:eastAsia="方正楷体_GBK" w:hint="eastAsia"/>
          <w:b/>
          <w:color w:val="000000"/>
          <w:kern w:val="0"/>
          <w:sz w:val="33"/>
          <w:szCs w:val="33"/>
          <w:lang w:val="x-none" w:eastAsia="x-none"/>
        </w:rPr>
        <w:t>七、</w:t>
      </w:r>
      <w:r>
        <w:rPr>
          <w:rFonts w:ascii="方正楷体_GBK" w:eastAsia="方正楷体_GBK" w:hint="eastAsia"/>
          <w:b/>
          <w:bCs/>
          <w:color w:val="000000"/>
          <w:kern w:val="0"/>
          <w:sz w:val="33"/>
          <w:szCs w:val="33"/>
          <w:lang w:val="x-none" w:eastAsia="x-none"/>
        </w:rPr>
        <w:t>“三公”经费财政拨款支出决算情况说明</w:t>
      </w:r>
      <w:bookmarkEnd w:id="47"/>
      <w:bookmarkEnd w:id="48"/>
    </w:p>
    <w:p>
      <w:pPr>
        <w:spacing w:line="576" w:lineRule="exact"/>
        <w:ind w:firstLineChars="200" w:firstLine="660"/>
        <w:rPr>
          <w:rFonts w:eastAsia="方正仿宋_GBK"/>
          <w:b/>
          <w:color w:val="000000"/>
          <w:kern w:val="0"/>
          <w:sz w:val="33"/>
          <w:szCs w:val="33"/>
          <w:lang w:val="x-none" w:eastAsia="x-none"/>
        </w:rPr>
      </w:pPr>
      <w:bookmarkStart w:id="49" w:name="_Toc15377216"/>
      <w:r>
        <w:rPr>
          <w:rFonts w:eastAsia="方正仿宋_GBK"/>
          <w:b/>
          <w:color w:val="000000"/>
          <w:kern w:val="0"/>
          <w:sz w:val="33"/>
          <w:szCs w:val="33"/>
          <w:lang w:val="x-none" w:eastAsia="x-none"/>
        </w:rPr>
        <w:t>（一）“三公”经费财政拨款支出决算总体情况说明</w:t>
      </w:r>
      <w:bookmarkEnd w:id="49"/>
    </w:p>
    <w:p>
      <w:pPr>
        <w:spacing w:line="576" w:lineRule="exact"/>
        <w:ind w:firstLine="645"/>
        <w:rPr>
          <w:rFonts w:eastAsia="方正仿宋_GBK" w:hint="eastAsia"/>
          <w:b/>
          <w:sz w:val="33"/>
          <w:szCs w:val="33"/>
        </w:rPr>
      </w:pPr>
      <w:r>
        <w:rPr>
          <w:rFonts w:eastAsia="方正仿宋_GBK"/>
          <w:color w:val="000000"/>
          <w:kern w:val="0"/>
          <w:sz w:val="33"/>
          <w:szCs w:val="33"/>
          <w:lang w:val="x-none" w:eastAsia="x-none"/>
        </w:rPr>
        <w:t>2020年“三公”经费财政拨款支出决算为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万元，完成预算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%，决算数小于预算数的主要原因是</w:t>
      </w:r>
      <w:r>
        <w:rPr>
          <w:rFonts w:eastAsia="方正仿宋_GBK"/>
          <w:sz w:val="33"/>
          <w:szCs w:val="33"/>
        </w:rPr>
        <w:t>我单位严格遵守中央八项规定和省、市十项规定，规范单位接待范围和接待标准，在接待过程中减少不必要的花费，厉行节约。</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（注：上述“预算”口径为调整预算数，包括政府性基金支出决算情况。）</w:t>
      </w:r>
    </w:p>
    <w:p>
      <w:pPr>
        <w:spacing w:line="576" w:lineRule="exact"/>
        <w:ind w:firstLineChars="200" w:firstLine="660"/>
        <w:rPr>
          <w:rFonts w:eastAsia="方正仿宋_GBK"/>
          <w:b/>
          <w:color w:val="000000"/>
          <w:kern w:val="0"/>
          <w:sz w:val="33"/>
          <w:szCs w:val="33"/>
          <w:lang w:val="x-none" w:eastAsia="x-none"/>
        </w:rPr>
      </w:pPr>
      <w:bookmarkStart w:id="50" w:name="_Toc15377217"/>
      <w:r>
        <w:rPr>
          <w:rFonts w:eastAsia="方正仿宋_GBK"/>
          <w:b/>
          <w:color w:val="000000"/>
          <w:kern w:val="0"/>
          <w:sz w:val="33"/>
          <w:szCs w:val="33"/>
          <w:lang w:val="x-none" w:eastAsia="x-none"/>
        </w:rPr>
        <w:t>（二）“三公”经费财政拨款支出决算具体情况说明</w:t>
      </w:r>
      <w:bookmarkEnd w:id="50"/>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2020年“三公”经费财政拨款支出决算中，因公出国（境）费支出决算</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%；公务用车购置及运行维护费支出决算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%；公务接待费支出决算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%。具体情况如下：</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（图7：“三公”经费财政拨款支出结构）（饼状图）</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rPr>
        <w:drawing>
          <wp:anchor distT="0" distB="0" distL="114300" distR="114300" simplePos="0" relativeHeight="30" behindDoc="0" locked="0" layoutInCell="1" hidden="0" allowOverlap="1">
            <wp:simplePos x="0" y="0"/>
            <wp:positionH relativeFrom="column">
              <wp:posOffset>466725</wp:posOffset>
            </wp:positionH>
            <wp:positionV relativeFrom="paragraph">
              <wp:posOffset>190500</wp:posOffset>
            </wp:positionV>
            <wp:extent cx="5029200" cy="2095500"/>
            <wp:effectExtent l="0" t="0" r="0" b="0"/>
            <wp:wrapNone/>
            <wp:docPr id="7" name="对象 20"/>
            <wp:cNvGraphicFramePr>
              <a:graphicFrameLocks noChangeAspect="1"/>
            </wp:cNvGraphicFramePr>
            <a:graphic>
              <a:graphicData uri="http://schemas.openxmlformats.org/drawingml/2006/chart">
                <c:chart xmlns:c="http://schemas.openxmlformats.org/drawingml/2006/chart" r:id="rId10"/>
              </a:graphicData>
            </a:graphic>
          </wp:anchor>
        </w:drawing>
      </w: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ind w:firstLineChars="200" w:firstLine="660"/>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1</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因公出国（境）经费支出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r>
        <w:rPr>
          <w:rFonts w:eastAsia="方正仿宋_GBK"/>
          <w:kern w:val="0"/>
          <w:sz w:val="33"/>
          <w:szCs w:val="33"/>
          <w:lang w:val="x-none" w:eastAsia="x-none"/>
        </w:rPr>
        <w:t>完成预算</w:t>
      </w:r>
      <w:r>
        <w:rPr>
          <w:rFonts w:eastAsia="方正仿宋_GBK"/>
          <w:kern w:val="0"/>
          <w:sz w:val="33"/>
          <w:szCs w:val="33"/>
          <w:lang w:val="x-none"/>
        </w:rPr>
        <w:t>0</w:t>
      </w:r>
      <w:r>
        <w:rPr>
          <w:rFonts w:eastAsia="方正仿宋_GBK"/>
          <w:kern w:val="0"/>
          <w:sz w:val="33"/>
          <w:szCs w:val="33"/>
          <w:lang w:val="x-none" w:eastAsia="x-none"/>
        </w:rPr>
        <w:t>%。</w:t>
      </w:r>
      <w:r>
        <w:rPr>
          <w:rFonts w:eastAsia="方正仿宋_GBK"/>
          <w:color w:val="000000"/>
          <w:kern w:val="0"/>
          <w:sz w:val="33"/>
          <w:szCs w:val="33"/>
          <w:lang w:val="x-none" w:eastAsia="x-none"/>
        </w:rPr>
        <w:t>全年安排因公出国（境）团组</w:t>
      </w:r>
      <w:r>
        <w:rPr>
          <w:rFonts w:eastAsia="方正仿宋_GBK"/>
          <w:color w:val="000000"/>
          <w:kern w:val="0"/>
          <w:sz w:val="33"/>
          <w:szCs w:val="33"/>
          <w:lang w:val="x-none"/>
        </w:rPr>
        <w:t>0</w:t>
      </w:r>
      <w:r>
        <w:rPr>
          <w:rFonts w:eastAsia="方正仿宋_GBK"/>
          <w:color w:val="000000"/>
          <w:kern w:val="0"/>
          <w:sz w:val="33"/>
          <w:szCs w:val="33"/>
          <w:lang w:val="x-none" w:eastAsia="x-none"/>
        </w:rPr>
        <w:t>次，出国（境）</w:t>
      </w:r>
      <w:r>
        <w:rPr>
          <w:rFonts w:eastAsia="方正仿宋_GBK"/>
          <w:color w:val="000000"/>
          <w:kern w:val="0"/>
          <w:sz w:val="33"/>
          <w:szCs w:val="33"/>
          <w:lang w:val="x-none"/>
        </w:rPr>
        <w:t>0</w:t>
      </w:r>
      <w:r>
        <w:rPr>
          <w:rFonts w:eastAsia="方正仿宋_GBK"/>
          <w:color w:val="000000"/>
          <w:kern w:val="0"/>
          <w:sz w:val="33"/>
          <w:szCs w:val="33"/>
          <w:lang w:val="x-none" w:eastAsia="x-none"/>
        </w:rPr>
        <w:t>人。因公出国（境）支出决算比201</w:t>
      </w:r>
      <w:r>
        <w:rPr>
          <w:rFonts w:eastAsia="方正仿宋_GBK" w:hint="eastAsia"/>
          <w:color w:val="000000"/>
          <w:kern w:val="0"/>
          <w:sz w:val="33"/>
          <w:szCs w:val="33"/>
          <w:lang w:val="x-none"/>
        </w:rPr>
        <w:t>9</w:t>
      </w:r>
      <w:r>
        <w:rPr>
          <w:rFonts w:eastAsia="方正仿宋_GBK"/>
          <w:color w:val="000000"/>
          <w:kern w:val="0"/>
          <w:sz w:val="33"/>
          <w:szCs w:val="33"/>
          <w:lang w:val="x-none" w:eastAsia="x-none"/>
        </w:rPr>
        <w:t>年增加/减少</w:t>
      </w:r>
      <w:r>
        <w:rPr>
          <w:rFonts w:eastAsia="方正仿宋_GBK"/>
          <w:color w:val="000000"/>
          <w:kern w:val="0"/>
          <w:sz w:val="33"/>
          <w:szCs w:val="33"/>
          <w:lang w:val="x-none"/>
        </w:rPr>
        <w:t>0</w:t>
      </w:r>
      <w:r>
        <w:rPr>
          <w:rFonts w:eastAsia="方正仿宋_GBK"/>
          <w:color w:val="000000"/>
          <w:kern w:val="0"/>
          <w:sz w:val="33"/>
          <w:szCs w:val="33"/>
          <w:lang w:val="x-none" w:eastAsia="x-none"/>
        </w:rPr>
        <w:t>万元，增长/下降</w:t>
      </w:r>
      <w:r>
        <w:rPr>
          <w:rFonts w:eastAsia="方正仿宋_GBK"/>
          <w:color w:val="000000"/>
          <w:kern w:val="0"/>
          <w:sz w:val="33"/>
          <w:szCs w:val="33"/>
          <w:lang w:val="x-none"/>
        </w:rPr>
        <w:t>0</w:t>
      </w:r>
      <w:r>
        <w:rPr>
          <w:rFonts w:eastAsia="方正仿宋_GBK"/>
          <w:color w:val="000000"/>
          <w:kern w:val="0"/>
          <w:sz w:val="33"/>
          <w:szCs w:val="33"/>
          <w:lang w:val="x-none" w:eastAsia="x-none"/>
        </w:rPr>
        <w:t>%。</w:t>
      </w:r>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公务用车购置及运行维护费支出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kern w:val="0"/>
          <w:sz w:val="33"/>
          <w:szCs w:val="33"/>
          <w:lang w:val="x-none" w:eastAsia="x-none"/>
        </w:rPr>
        <w:t>完成预算</w:t>
      </w:r>
      <w:r>
        <w:rPr>
          <w:rFonts w:eastAsia="方正仿宋_GBK" w:hint="eastAsia"/>
          <w:kern w:val="0"/>
          <w:sz w:val="33"/>
          <w:szCs w:val="33"/>
          <w:lang w:val="x-none"/>
        </w:rPr>
        <w:t>0</w:t>
      </w:r>
      <w:r>
        <w:rPr>
          <w:rFonts w:eastAsia="方正仿宋_GBK"/>
          <w:kern w:val="0"/>
          <w:sz w:val="33"/>
          <w:szCs w:val="33"/>
          <w:lang w:val="x-none" w:eastAsia="x-none"/>
        </w:rPr>
        <w:t>%。</w:t>
      </w:r>
      <w:r>
        <w:rPr>
          <w:rFonts w:eastAsia="方正仿宋_GBK"/>
          <w:color w:val="000000"/>
          <w:kern w:val="0"/>
          <w:sz w:val="33"/>
          <w:szCs w:val="33"/>
          <w:lang w:val="x-none" w:eastAsia="x-none"/>
        </w:rPr>
        <w:t>公务用车购置及运行维护费支出决算</w:t>
      </w:r>
      <w:r>
        <w:rPr>
          <w:rFonts w:eastAsia="方正仿宋_GBK" w:hint="eastAsia"/>
          <w:color w:val="000000"/>
          <w:kern w:val="0"/>
          <w:sz w:val="33"/>
          <w:szCs w:val="33"/>
          <w:lang w:val="x-none"/>
        </w:rPr>
        <w:t>与</w:t>
      </w:r>
      <w:r>
        <w:rPr>
          <w:rFonts w:eastAsia="方正仿宋_GBK"/>
          <w:color w:val="000000"/>
          <w:kern w:val="0"/>
          <w:sz w:val="33"/>
          <w:szCs w:val="33"/>
          <w:lang w:val="x-none" w:eastAsia="x-none"/>
        </w:rPr>
        <w:t>201</w:t>
      </w:r>
      <w:r>
        <w:rPr>
          <w:rFonts w:eastAsia="方正仿宋_GBK"/>
          <w:color w:val="000000"/>
          <w:kern w:val="0"/>
          <w:sz w:val="33"/>
          <w:szCs w:val="33"/>
          <w:lang w:val="x-none"/>
        </w:rPr>
        <w:t>9</w:t>
      </w:r>
      <w:r>
        <w:rPr>
          <w:rFonts w:eastAsia="方正仿宋_GBK"/>
          <w:color w:val="000000"/>
          <w:kern w:val="0"/>
          <w:sz w:val="33"/>
          <w:szCs w:val="33"/>
          <w:lang w:val="x-none" w:eastAsia="x-none"/>
        </w:rPr>
        <w:t>年</w:t>
      </w:r>
      <w:r>
        <w:rPr>
          <w:rFonts w:eastAsia="方正仿宋_GBK" w:hint="eastAsia"/>
          <w:color w:val="000000"/>
          <w:kern w:val="0"/>
          <w:sz w:val="33"/>
          <w:szCs w:val="33"/>
          <w:lang w:val="x-none"/>
        </w:rPr>
        <w:t>持平</w:t>
      </w:r>
      <w:r>
        <w:rPr>
          <w:rFonts w:eastAsia="方正仿宋_GBK"/>
          <w:color w:val="000000"/>
          <w:kern w:val="0"/>
          <w:sz w:val="33"/>
          <w:szCs w:val="33"/>
          <w:lang w:val="x-none" w:eastAsia="x-none"/>
        </w:rPr>
        <w:t>。</w:t>
      </w:r>
    </w:p>
    <w:p>
      <w:pPr>
        <w:spacing w:line="576" w:lineRule="exact"/>
        <w:ind w:firstLineChars="200" w:firstLine="660"/>
        <w:rPr>
          <w:rFonts w:eastAsia="方正仿宋_GBK" w:hint="eastAsia"/>
          <w:color w:val="000000"/>
          <w:kern w:val="0"/>
          <w:sz w:val="33"/>
          <w:szCs w:val="33"/>
          <w:lang w:val="x-none" w:eastAsia="x-none"/>
        </w:rPr>
      </w:pPr>
      <w:r>
        <w:rPr>
          <w:rFonts w:eastAsia="方正仿宋_GBK"/>
          <w:color w:val="000000"/>
          <w:kern w:val="0"/>
          <w:sz w:val="33"/>
          <w:szCs w:val="33"/>
          <w:lang w:val="x-none" w:eastAsia="x-none"/>
        </w:rPr>
        <w:t>其中：公务用车购置支出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万元。全年按规定更新购置公务用车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辆，其中：轿车</w:t>
      </w:r>
      <w:r>
        <w:rPr>
          <w:rFonts w:eastAsia="方正仿宋_GBK"/>
          <w:color w:val="000000"/>
          <w:kern w:val="0"/>
          <w:sz w:val="33"/>
          <w:szCs w:val="33"/>
          <w:lang w:val="x-none"/>
        </w:rPr>
        <w:t>0</w:t>
      </w:r>
      <w:r>
        <w:rPr>
          <w:rFonts w:eastAsia="方正仿宋_GBK"/>
          <w:color w:val="000000"/>
          <w:kern w:val="0"/>
          <w:sz w:val="33"/>
          <w:szCs w:val="33"/>
          <w:lang w:val="x-none" w:eastAsia="x-none"/>
        </w:rPr>
        <w:t>辆、金额</w:t>
      </w:r>
      <w:r>
        <w:rPr>
          <w:rFonts w:eastAsia="方正仿宋_GBK"/>
          <w:color w:val="000000"/>
          <w:kern w:val="0"/>
          <w:sz w:val="33"/>
          <w:szCs w:val="33"/>
          <w:lang w:val="x-none"/>
        </w:rPr>
        <w:t>0</w:t>
      </w:r>
      <w:r>
        <w:rPr>
          <w:rFonts w:eastAsia="方正仿宋_GBK"/>
          <w:color w:val="000000"/>
          <w:kern w:val="0"/>
          <w:sz w:val="33"/>
          <w:szCs w:val="33"/>
          <w:lang w:val="x-none" w:eastAsia="x-none"/>
        </w:rPr>
        <w:t>万元，越野车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辆、金额</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万元，载客汽车</w:t>
      </w:r>
      <w:r>
        <w:rPr>
          <w:rFonts w:eastAsia="方正仿宋_GBK"/>
          <w:color w:val="000000"/>
          <w:kern w:val="0"/>
          <w:sz w:val="33"/>
          <w:szCs w:val="33"/>
          <w:lang w:val="x-none"/>
        </w:rPr>
        <w:t>0</w:t>
      </w:r>
      <w:r>
        <w:rPr>
          <w:rFonts w:eastAsia="方正仿宋_GBK"/>
          <w:color w:val="000000"/>
          <w:kern w:val="0"/>
          <w:sz w:val="33"/>
          <w:szCs w:val="33"/>
          <w:lang w:val="x-none" w:eastAsia="x-none"/>
        </w:rPr>
        <w:t>辆、金额</w:t>
      </w:r>
      <w:r>
        <w:rPr>
          <w:rFonts w:eastAsia="方正仿宋_GBK"/>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sz w:val="33"/>
          <w:szCs w:val="33"/>
        </w:rPr>
        <w:t>参加开展监督检查、调研、办案</w:t>
      </w:r>
      <w:r>
        <w:rPr>
          <w:rFonts w:eastAsia="方正仿宋_GBK"/>
          <w:color w:val="000000"/>
          <w:kern w:val="0"/>
          <w:sz w:val="33"/>
          <w:szCs w:val="33"/>
          <w:lang w:val="x-none" w:eastAsia="x-none"/>
        </w:rPr>
        <w:t>。截至2020年12月底，单位共有公务用车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辆，其中：轿车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辆、越野车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辆、载客汽车</w:t>
      </w:r>
      <w:r>
        <w:rPr>
          <w:rFonts w:eastAsia="方正仿宋_GBK"/>
          <w:color w:val="000000"/>
          <w:kern w:val="0"/>
          <w:sz w:val="33"/>
          <w:szCs w:val="33"/>
          <w:lang w:val="x-none"/>
        </w:rPr>
        <w:t>0</w:t>
      </w:r>
      <w:r>
        <w:rPr>
          <w:rFonts w:eastAsia="方正仿宋_GBK"/>
          <w:color w:val="000000"/>
          <w:kern w:val="0"/>
          <w:sz w:val="33"/>
          <w:szCs w:val="33"/>
          <w:lang w:val="x-none" w:eastAsia="x-none"/>
        </w:rPr>
        <w:t>辆。公务用车运行维护费支出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3</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公务接待费支出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kern w:val="0"/>
          <w:sz w:val="33"/>
          <w:szCs w:val="33"/>
          <w:lang w:val="x-none" w:eastAsia="x-none"/>
        </w:rPr>
        <w:t>完成预算</w:t>
      </w:r>
      <w:r>
        <w:rPr>
          <w:rFonts w:eastAsia="方正仿宋_GBK" w:hint="eastAsia"/>
          <w:kern w:val="0"/>
          <w:sz w:val="33"/>
          <w:szCs w:val="33"/>
          <w:lang w:val="x-none"/>
        </w:rPr>
        <w:t>0</w:t>
      </w:r>
      <w:r>
        <w:rPr>
          <w:rFonts w:eastAsia="方正仿宋_GBK"/>
          <w:kern w:val="0"/>
          <w:sz w:val="33"/>
          <w:szCs w:val="33"/>
          <w:lang w:val="x-none" w:eastAsia="x-none"/>
        </w:rPr>
        <w:t>%。</w:t>
      </w:r>
      <w:r>
        <w:rPr>
          <w:rFonts w:eastAsia="方正仿宋_GBK"/>
          <w:color w:val="000000"/>
          <w:kern w:val="0"/>
          <w:sz w:val="33"/>
          <w:szCs w:val="33"/>
          <w:lang w:val="x-none" w:eastAsia="x-none"/>
        </w:rPr>
        <w:t>公务接待费支出决算</w:t>
      </w:r>
      <w:r>
        <w:rPr>
          <w:rFonts w:eastAsia="方正仿宋_GBK" w:hint="eastAsia"/>
          <w:color w:val="000000"/>
          <w:kern w:val="0"/>
          <w:sz w:val="33"/>
          <w:szCs w:val="33"/>
          <w:lang w:val="x-none"/>
        </w:rPr>
        <w:t>与</w:t>
      </w:r>
      <w:r>
        <w:rPr>
          <w:rFonts w:eastAsia="方正仿宋_GBK"/>
          <w:color w:val="000000"/>
          <w:kern w:val="0"/>
          <w:sz w:val="33"/>
          <w:szCs w:val="33"/>
          <w:lang w:val="x-none" w:eastAsia="x-none"/>
        </w:rPr>
        <w:t>2019年</w:t>
      </w:r>
      <w:r>
        <w:rPr>
          <w:rFonts w:eastAsia="方正仿宋_GBK" w:hint="eastAsia"/>
          <w:color w:val="000000"/>
          <w:kern w:val="0"/>
          <w:sz w:val="33"/>
          <w:szCs w:val="33"/>
          <w:lang w:val="x-none"/>
        </w:rPr>
        <w:t>持平</w:t>
      </w:r>
      <w:r>
        <w:rPr>
          <w:rFonts w:eastAsia="方正仿宋_GBK"/>
          <w:color w:val="000000"/>
          <w:kern w:val="0"/>
          <w:sz w:val="33"/>
          <w:szCs w:val="33"/>
          <w:lang w:val="x-none" w:eastAsia="x-none"/>
        </w:rPr>
        <w:t>。其中：</w:t>
      </w:r>
    </w:p>
    <w:p>
      <w:pPr>
        <w:spacing w:line="576" w:lineRule="exact"/>
        <w:ind w:firstLineChars="200" w:firstLine="660"/>
        <w:rPr>
          <w:rFonts w:eastAsia="方正仿宋_GBK"/>
          <w:sz w:val="33"/>
          <w:szCs w:val="33"/>
        </w:rPr>
      </w:pPr>
      <w:r>
        <w:rPr>
          <w:rFonts w:eastAsia="方正仿宋_GBK"/>
          <w:color w:val="000000"/>
          <w:kern w:val="0"/>
          <w:sz w:val="33"/>
          <w:szCs w:val="33"/>
          <w:lang w:val="x-none" w:eastAsia="x-none"/>
        </w:rPr>
        <w:t>国内公务接待支出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color w:val="000000"/>
          <w:kern w:val="0"/>
          <w:sz w:val="33"/>
          <w:szCs w:val="33"/>
          <w:lang w:val="x-none"/>
        </w:rPr>
        <w:t>单位</w:t>
      </w:r>
      <w:r>
        <w:rPr>
          <w:rFonts w:eastAsia="方正仿宋_GBK"/>
          <w:color w:val="000000"/>
          <w:kern w:val="0"/>
          <w:sz w:val="33"/>
          <w:szCs w:val="33"/>
          <w:lang w:val="x-none" w:eastAsia="x-none"/>
        </w:rPr>
        <w:t>(执行公务、开展业务活动开支的交通费、住宿费、用餐费等)。国内公务接待</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批次，</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人次（不包括陪同人员），共计支出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万元，具体内容包括：</w:t>
      </w:r>
      <w:r>
        <w:rPr>
          <w:rFonts w:eastAsia="方正仿宋_GBK"/>
          <w:sz w:val="33"/>
          <w:szCs w:val="33"/>
        </w:rPr>
        <w:t>来自省、同级市州的检查、办案、交流、学习、调研等发生接待餐费</w:t>
      </w:r>
      <w:r>
        <w:rPr>
          <w:rFonts w:eastAsia="方正仿宋_GBK" w:hint="eastAsia"/>
          <w:sz w:val="33"/>
          <w:szCs w:val="33"/>
        </w:rPr>
        <w:t>0</w:t>
      </w:r>
      <w:r>
        <w:rPr>
          <w:rFonts w:eastAsia="方正仿宋_GBK"/>
          <w:sz w:val="33"/>
          <w:szCs w:val="33"/>
        </w:rPr>
        <w:t>万元。</w:t>
      </w:r>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外事接待支出</w:t>
      </w:r>
      <w:r>
        <w:rPr>
          <w:rFonts w:eastAsia="方正仿宋_GBK"/>
          <w:color w:val="000000"/>
          <w:kern w:val="0"/>
          <w:sz w:val="33"/>
          <w:szCs w:val="33"/>
          <w:lang w:val="x-none"/>
        </w:rPr>
        <w:t>0</w:t>
      </w:r>
      <w:r>
        <w:rPr>
          <w:rFonts w:eastAsia="方正仿宋_GBK"/>
          <w:color w:val="000000"/>
          <w:kern w:val="0"/>
          <w:sz w:val="33"/>
          <w:szCs w:val="33"/>
          <w:lang w:val="x-none" w:eastAsia="x-none"/>
        </w:rPr>
        <w:t>万元，外事接待</w:t>
      </w:r>
      <w:r>
        <w:rPr>
          <w:rFonts w:eastAsia="方正仿宋_GBK"/>
          <w:color w:val="000000"/>
          <w:kern w:val="0"/>
          <w:sz w:val="33"/>
          <w:szCs w:val="33"/>
          <w:lang w:val="x-none"/>
        </w:rPr>
        <w:t>0</w:t>
      </w:r>
      <w:r>
        <w:rPr>
          <w:rFonts w:eastAsia="方正仿宋_GBK"/>
          <w:color w:val="000000"/>
          <w:kern w:val="0"/>
          <w:sz w:val="33"/>
          <w:szCs w:val="33"/>
          <w:lang w:val="x-none" w:eastAsia="x-none"/>
        </w:rPr>
        <w:t>批次，</w:t>
      </w:r>
      <w:r>
        <w:rPr>
          <w:rFonts w:eastAsia="方正仿宋_GBK"/>
          <w:color w:val="000000"/>
          <w:kern w:val="0"/>
          <w:sz w:val="33"/>
          <w:szCs w:val="33"/>
          <w:lang w:val="x-none"/>
        </w:rPr>
        <w:t>0</w:t>
      </w:r>
      <w:r>
        <w:rPr>
          <w:rFonts w:eastAsia="方正仿宋_GBK"/>
          <w:color w:val="000000"/>
          <w:kern w:val="0"/>
          <w:sz w:val="33"/>
          <w:szCs w:val="33"/>
          <w:lang w:val="x-none" w:eastAsia="x-none"/>
        </w:rPr>
        <w:t>人，共计支出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bookmarkStart w:id="51" w:name="_Toc15396610"/>
      <w:bookmarkStart w:id="52" w:name="_Toc15377218"/>
    </w:p>
    <w:p>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八、政府性基金预算支出决算情况说明</w:t>
      </w:r>
      <w:bookmarkEnd w:id="51"/>
      <w:bookmarkEnd w:id="52"/>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2020年政府性基金预算拨款支出</w:t>
      </w:r>
      <w:r>
        <w:rPr>
          <w:rFonts w:eastAsia="方正仿宋_GBK" w:hint="eastAsia"/>
          <w:color w:val="000000"/>
          <w:kern w:val="0"/>
          <w:sz w:val="33"/>
          <w:szCs w:val="33"/>
          <w:lang w:val="x-none"/>
        </w:rPr>
        <w:t>128.64</w:t>
      </w:r>
      <w:r>
        <w:rPr>
          <w:rFonts w:eastAsia="方正仿宋_GBK"/>
          <w:color w:val="000000"/>
          <w:kern w:val="0"/>
          <w:sz w:val="33"/>
          <w:szCs w:val="33"/>
          <w:lang w:val="x-none" w:eastAsia="x-none"/>
        </w:rPr>
        <w:t>万元。</w:t>
      </w:r>
    </w:p>
    <w:p>
      <w:pPr>
        <w:spacing w:line="576" w:lineRule="exact"/>
        <w:ind w:firstLineChars="200" w:firstLine="660"/>
        <w:rPr>
          <w:rFonts w:ascii="方正楷体_GBK" w:eastAsia="方正楷体_GBK"/>
          <w:b/>
          <w:color w:val="000000"/>
          <w:kern w:val="0"/>
          <w:sz w:val="33"/>
          <w:szCs w:val="33"/>
          <w:lang w:val="x-none" w:eastAsia="x-none"/>
        </w:rPr>
      </w:pPr>
      <w:bookmarkStart w:id="53" w:name="_Toc15377219"/>
      <w:bookmarkStart w:id="54" w:name="_Toc15396611"/>
      <w:r>
        <w:rPr>
          <w:rFonts w:ascii="方正楷体_GBK" w:eastAsia="方正楷体_GBK"/>
          <w:b/>
          <w:color w:val="000000"/>
          <w:kern w:val="0"/>
          <w:sz w:val="33"/>
          <w:szCs w:val="33"/>
          <w:lang w:val="x-none" w:eastAsia="x-none"/>
        </w:rPr>
        <w:t>九</w:t>
      </w:r>
      <w:r>
        <w:rPr>
          <w:rFonts w:ascii="方正楷体_GBK" w:eastAsia="方正楷体_GBK" w:hint="eastAsia"/>
          <w:b/>
          <w:color w:val="000000"/>
          <w:kern w:val="0"/>
          <w:sz w:val="33"/>
          <w:szCs w:val="33"/>
          <w:lang w:val="x-none" w:eastAsia="x-none"/>
        </w:rPr>
        <w:t>、</w:t>
      </w:r>
      <w:r>
        <w:rPr>
          <w:rFonts w:ascii="方正楷体_GBK" w:eastAsia="方正楷体_GBK"/>
          <w:b/>
          <w:color w:val="000000"/>
          <w:kern w:val="0"/>
          <w:sz w:val="33"/>
          <w:szCs w:val="33"/>
          <w:lang w:val="x-none" w:eastAsia="x-none"/>
        </w:rPr>
        <w:t>国有资本经营预算支出决算情况说明</w:t>
      </w:r>
      <w:bookmarkEnd w:id="53"/>
      <w:bookmarkEnd w:id="54"/>
    </w:p>
    <w:p>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2020年国有资本经营预算拨款支出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p>
    <w:p>
      <w:pPr>
        <w:spacing w:line="576" w:lineRule="exact"/>
        <w:ind w:firstLineChars="200" w:firstLine="660"/>
        <w:rPr>
          <w:rFonts w:ascii="方正楷体_GBK" w:eastAsia="方正楷体_GBK"/>
          <w:b/>
          <w:color w:val="000000"/>
          <w:kern w:val="0"/>
          <w:sz w:val="33"/>
          <w:szCs w:val="33"/>
          <w:lang w:val="x-none" w:eastAsia="x-none"/>
        </w:rPr>
      </w:pPr>
      <w:bookmarkStart w:id="55" w:name="_Toc15396612"/>
      <w:bookmarkStart w:id="56" w:name="_Toc15377221"/>
      <w:r>
        <w:rPr>
          <w:rFonts w:ascii="方正楷体_GBK" w:eastAsia="方正楷体_GBK"/>
          <w:b/>
          <w:color w:val="000000"/>
          <w:kern w:val="0"/>
          <w:sz w:val="33"/>
          <w:szCs w:val="33"/>
          <w:lang w:val="x-none" w:eastAsia="x-none"/>
        </w:rPr>
        <w:t>十、其他重要事项的情况说明</w:t>
      </w:r>
      <w:bookmarkEnd w:id="55"/>
      <w:bookmarkEnd w:id="56"/>
    </w:p>
    <w:p>
      <w:pPr>
        <w:spacing w:line="576" w:lineRule="exact"/>
        <w:ind w:firstLineChars="200" w:firstLine="660"/>
        <w:rPr>
          <w:rFonts w:eastAsia="方正仿宋_GBK"/>
          <w:b/>
          <w:color w:val="000000"/>
          <w:kern w:val="0"/>
          <w:sz w:val="33"/>
          <w:szCs w:val="33"/>
          <w:lang w:val="x-none" w:eastAsia="x-none"/>
        </w:rPr>
      </w:pPr>
      <w:bookmarkStart w:id="57" w:name="_Toc15377222"/>
      <w:r>
        <w:rPr>
          <w:rFonts w:eastAsia="方正仿宋_GBK"/>
          <w:b/>
          <w:color w:val="000000"/>
          <w:kern w:val="0"/>
          <w:sz w:val="33"/>
          <w:szCs w:val="33"/>
          <w:lang w:val="x-none" w:eastAsia="x-none"/>
        </w:rPr>
        <w:t>（一）机关运行经费支出情况</w:t>
      </w:r>
      <w:bookmarkEnd w:id="57"/>
    </w:p>
    <w:p>
      <w:pPr>
        <w:spacing w:line="576" w:lineRule="exact"/>
        <w:ind w:firstLineChars="200" w:firstLine="660"/>
        <w:rPr>
          <w:rFonts w:eastAsia="方正仿宋_GBK" w:hint="eastAsia"/>
          <w:color w:val="000000"/>
          <w:kern w:val="0"/>
          <w:sz w:val="33"/>
          <w:szCs w:val="33"/>
          <w:lang w:val="x-none"/>
        </w:rPr>
      </w:pPr>
      <w:r>
        <w:rPr>
          <w:rFonts w:eastAsia="方正仿宋_GBK"/>
          <w:color w:val="000000"/>
          <w:kern w:val="0"/>
          <w:sz w:val="33"/>
          <w:szCs w:val="33"/>
          <w:lang w:val="x-none" w:eastAsia="x-none"/>
        </w:rPr>
        <w:t>2020年，</w:t>
      </w:r>
      <w:r>
        <w:rPr>
          <w:rFonts w:eastAsia="方正仿宋_GBK" w:hint="eastAsia"/>
          <w:color w:val="000000"/>
          <w:kern w:val="0"/>
          <w:sz w:val="33"/>
          <w:szCs w:val="33"/>
          <w:lang w:val="x-none"/>
        </w:rPr>
        <w:t>本单位机关</w:t>
      </w:r>
      <w:r>
        <w:rPr>
          <w:rFonts w:eastAsia="方正仿宋_GBK"/>
          <w:color w:val="000000"/>
          <w:kern w:val="0"/>
          <w:sz w:val="33"/>
          <w:szCs w:val="33"/>
          <w:lang w:val="x-none" w:eastAsia="x-none"/>
        </w:rPr>
        <w:t>运行经费支出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hint="eastAsia"/>
          <w:color w:val="000000"/>
          <w:kern w:val="0"/>
          <w:sz w:val="33"/>
          <w:szCs w:val="33"/>
          <w:lang w:val="x-none"/>
        </w:rPr>
        <w:t>。</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（注：数据来源于财决附03表）</w:t>
      </w:r>
    </w:p>
    <w:p>
      <w:pPr>
        <w:spacing w:line="576" w:lineRule="exact"/>
        <w:ind w:firstLineChars="200" w:firstLine="660"/>
        <w:rPr>
          <w:rFonts w:eastAsia="方正仿宋_GBK"/>
          <w:b/>
          <w:color w:val="000000"/>
          <w:kern w:val="0"/>
          <w:sz w:val="33"/>
          <w:szCs w:val="33"/>
          <w:lang w:val="x-none" w:eastAsia="x-none"/>
        </w:rPr>
      </w:pPr>
      <w:bookmarkStart w:id="58" w:name="_Toc15377223"/>
      <w:r>
        <w:rPr>
          <w:rFonts w:eastAsia="方正仿宋_GBK"/>
          <w:b/>
          <w:color w:val="000000"/>
          <w:kern w:val="0"/>
          <w:sz w:val="33"/>
          <w:szCs w:val="33"/>
          <w:lang w:val="x-none" w:eastAsia="x-none"/>
        </w:rPr>
        <w:t>（二）政府采购支出情况</w:t>
      </w:r>
      <w:bookmarkEnd w:id="58"/>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2020年，</w:t>
      </w:r>
      <w:r>
        <w:rPr>
          <w:rFonts w:eastAsia="方正仿宋_GBK"/>
          <w:color w:val="000000"/>
          <w:kern w:val="0"/>
          <w:sz w:val="33"/>
          <w:szCs w:val="33"/>
          <w:lang w:val="x-none"/>
        </w:rPr>
        <w:t>中共攀枝花市纪律检查委员会</w:t>
      </w:r>
      <w:r>
        <w:rPr>
          <w:rFonts w:eastAsia="方正仿宋_GBK"/>
          <w:color w:val="000000"/>
          <w:kern w:val="0"/>
          <w:sz w:val="33"/>
          <w:szCs w:val="33"/>
          <w:lang w:val="x-none" w:eastAsia="x-none"/>
        </w:rPr>
        <w:t>政府采购支出总额</w:t>
      </w:r>
      <w:r>
        <w:rPr>
          <w:rFonts w:eastAsia="方正仿宋_GBK" w:hint="eastAsia"/>
          <w:color w:val="000000"/>
          <w:kern w:val="0"/>
          <w:sz w:val="33"/>
          <w:szCs w:val="33"/>
          <w:lang w:val="x-none"/>
        </w:rPr>
        <w:t>4.18</w:t>
      </w:r>
      <w:r>
        <w:rPr>
          <w:rFonts w:eastAsia="方正仿宋_GBK"/>
          <w:color w:val="000000"/>
          <w:kern w:val="0"/>
          <w:sz w:val="33"/>
          <w:szCs w:val="33"/>
          <w:lang w:val="x-none" w:eastAsia="x-none"/>
        </w:rPr>
        <w:t>万元，其中：政府采购货物支出</w:t>
      </w:r>
      <w:r>
        <w:rPr>
          <w:rFonts w:eastAsia="方正仿宋_GBK" w:hint="eastAsia"/>
          <w:color w:val="000000"/>
          <w:kern w:val="0"/>
          <w:sz w:val="33"/>
          <w:szCs w:val="33"/>
          <w:lang w:val="x-none"/>
        </w:rPr>
        <w:t>4.18</w:t>
      </w:r>
      <w:r>
        <w:rPr>
          <w:rFonts w:eastAsia="方正仿宋_GBK"/>
          <w:color w:val="000000"/>
          <w:kern w:val="0"/>
          <w:sz w:val="33"/>
          <w:szCs w:val="33"/>
          <w:lang w:val="x-none" w:eastAsia="x-none"/>
        </w:rPr>
        <w:t>万元、政府采购工程支出</w:t>
      </w:r>
      <w:r>
        <w:rPr>
          <w:rFonts w:eastAsia="方正仿宋_GBK"/>
          <w:color w:val="000000"/>
          <w:kern w:val="0"/>
          <w:sz w:val="33"/>
          <w:szCs w:val="33"/>
          <w:lang w:val="x-none"/>
        </w:rPr>
        <w:t>0</w:t>
      </w:r>
      <w:r>
        <w:rPr>
          <w:rFonts w:eastAsia="方正仿宋_GBK"/>
          <w:color w:val="000000"/>
          <w:kern w:val="0"/>
          <w:sz w:val="33"/>
          <w:szCs w:val="33"/>
          <w:lang w:val="x-none" w:eastAsia="x-none"/>
        </w:rPr>
        <w:t>万元、政府采购服务支出</w:t>
      </w:r>
      <w:r>
        <w:rPr>
          <w:rFonts w:eastAsia="方正仿宋_GBK"/>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sz w:val="33"/>
          <w:szCs w:val="33"/>
        </w:rPr>
        <w:t>开展办案工作的执法执勤车辆采购与办公设备采购</w:t>
      </w:r>
      <w:r>
        <w:rPr>
          <w:rFonts w:eastAsia="方正仿宋_GBK"/>
          <w:color w:val="000000"/>
          <w:kern w:val="0"/>
          <w:sz w:val="33"/>
          <w:szCs w:val="33"/>
          <w:lang w:val="x-none" w:eastAsia="x-none"/>
        </w:rPr>
        <w:t>。授予中小企业合同金额</w:t>
      </w:r>
      <w:r>
        <w:rPr>
          <w:rFonts w:eastAsia="方正仿宋_GBK"/>
          <w:color w:val="000000"/>
          <w:kern w:val="0"/>
          <w:sz w:val="33"/>
          <w:szCs w:val="33"/>
          <w:lang w:val="x-none"/>
        </w:rPr>
        <w:t>0</w:t>
      </w:r>
      <w:r>
        <w:rPr>
          <w:rFonts w:eastAsia="方正仿宋_GBK"/>
          <w:color w:val="000000"/>
          <w:kern w:val="0"/>
          <w:sz w:val="33"/>
          <w:szCs w:val="33"/>
          <w:lang w:val="x-none" w:eastAsia="x-none"/>
        </w:rPr>
        <w:t>万元，占政府采购支出总额的</w:t>
      </w:r>
      <w:r>
        <w:rPr>
          <w:rFonts w:eastAsia="方正仿宋_GBK"/>
          <w:color w:val="000000"/>
          <w:kern w:val="0"/>
          <w:sz w:val="33"/>
          <w:szCs w:val="33"/>
          <w:lang w:val="x-none"/>
        </w:rPr>
        <w:t>0</w:t>
      </w:r>
      <w:r>
        <w:rPr>
          <w:rFonts w:eastAsia="方正仿宋_GBK"/>
          <w:color w:val="000000"/>
          <w:kern w:val="0"/>
          <w:sz w:val="33"/>
          <w:szCs w:val="33"/>
          <w:lang w:val="x-none" w:eastAsia="x-none"/>
        </w:rPr>
        <w:t>%，其中：授予小微企业合同金额</w:t>
      </w:r>
      <w:r>
        <w:rPr>
          <w:rFonts w:eastAsia="方正仿宋_GBK"/>
          <w:color w:val="000000"/>
          <w:kern w:val="0"/>
          <w:sz w:val="33"/>
          <w:szCs w:val="33"/>
          <w:lang w:val="x-none"/>
        </w:rPr>
        <w:t>0</w:t>
      </w:r>
      <w:r>
        <w:rPr>
          <w:rFonts w:eastAsia="方正仿宋_GBK"/>
          <w:color w:val="000000"/>
          <w:kern w:val="0"/>
          <w:sz w:val="33"/>
          <w:szCs w:val="33"/>
          <w:lang w:val="x-none" w:eastAsia="x-none"/>
        </w:rPr>
        <w:t>万元，占政府采购支出总额的</w:t>
      </w:r>
      <w:r>
        <w:rPr>
          <w:rFonts w:eastAsia="方正仿宋_GBK"/>
          <w:color w:val="000000"/>
          <w:kern w:val="0"/>
          <w:sz w:val="33"/>
          <w:szCs w:val="33"/>
          <w:lang w:val="x-none"/>
        </w:rPr>
        <w:t>0</w:t>
      </w:r>
      <w:r>
        <w:rPr>
          <w:rFonts w:eastAsia="方正仿宋_GBK"/>
          <w:color w:val="000000"/>
          <w:kern w:val="0"/>
          <w:sz w:val="33"/>
          <w:szCs w:val="33"/>
          <w:lang w:val="x-none" w:eastAsia="x-none"/>
        </w:rPr>
        <w:t>%。</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（注：数据来源于财决附03表）</w:t>
      </w:r>
    </w:p>
    <w:p>
      <w:pPr>
        <w:spacing w:line="576" w:lineRule="exact"/>
        <w:ind w:firstLineChars="200" w:firstLine="660"/>
        <w:rPr>
          <w:rFonts w:eastAsia="方正仿宋_GBK"/>
          <w:b/>
          <w:color w:val="000000"/>
          <w:kern w:val="0"/>
          <w:sz w:val="33"/>
          <w:szCs w:val="33"/>
          <w:lang w:val="x-none" w:eastAsia="x-none"/>
        </w:rPr>
      </w:pPr>
      <w:bookmarkStart w:id="59" w:name="_Toc15377224"/>
      <w:r>
        <w:rPr>
          <w:rFonts w:eastAsia="方正仿宋_GBK"/>
          <w:b/>
          <w:color w:val="000000"/>
          <w:kern w:val="0"/>
          <w:sz w:val="33"/>
          <w:szCs w:val="33"/>
          <w:lang w:val="x-none" w:eastAsia="x-none"/>
        </w:rPr>
        <w:t>（三）国有资产占有使用情况</w:t>
      </w:r>
      <w:bookmarkEnd w:id="59"/>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截至2020年12月31日，</w:t>
      </w:r>
      <w:r>
        <w:rPr>
          <w:rFonts w:eastAsia="方正仿宋_GBK"/>
          <w:color w:val="000000"/>
          <w:kern w:val="0"/>
          <w:sz w:val="33"/>
          <w:szCs w:val="33"/>
          <w:lang w:val="x-none"/>
        </w:rPr>
        <w:t>中共攀枝花市纪律检查委员会</w:t>
      </w:r>
      <w:r>
        <w:rPr>
          <w:rFonts w:eastAsia="方正仿宋_GBK"/>
          <w:color w:val="000000"/>
          <w:kern w:val="0"/>
          <w:sz w:val="33"/>
          <w:szCs w:val="33"/>
          <w:lang w:val="x-none" w:eastAsia="x-none"/>
        </w:rPr>
        <w:t>共有车辆</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辆，其中：主要领导干部用车</w:t>
      </w:r>
      <w:r>
        <w:rPr>
          <w:rFonts w:eastAsia="方正仿宋_GBK"/>
          <w:color w:val="000000"/>
          <w:kern w:val="0"/>
          <w:sz w:val="33"/>
          <w:szCs w:val="33"/>
          <w:lang w:val="x-none"/>
        </w:rPr>
        <w:t>0</w:t>
      </w:r>
      <w:r>
        <w:rPr>
          <w:rFonts w:eastAsia="方正仿宋_GBK"/>
          <w:color w:val="000000"/>
          <w:kern w:val="0"/>
          <w:sz w:val="33"/>
          <w:szCs w:val="33"/>
          <w:lang w:val="x-none" w:eastAsia="x-none"/>
        </w:rPr>
        <w:t>辆、机要通信用车</w:t>
      </w:r>
      <w:r>
        <w:rPr>
          <w:rFonts w:eastAsia="方正仿宋_GBK"/>
          <w:color w:val="000000"/>
          <w:kern w:val="0"/>
          <w:sz w:val="33"/>
          <w:szCs w:val="33"/>
          <w:lang w:val="x-none"/>
        </w:rPr>
        <w:t>0</w:t>
      </w:r>
      <w:r>
        <w:rPr>
          <w:rFonts w:eastAsia="方正仿宋_GBK"/>
          <w:color w:val="000000"/>
          <w:kern w:val="0"/>
          <w:sz w:val="33"/>
          <w:szCs w:val="33"/>
          <w:lang w:val="x-none" w:eastAsia="x-none"/>
        </w:rPr>
        <w:t>辆、应急保障用车</w:t>
      </w:r>
      <w:r>
        <w:rPr>
          <w:rFonts w:eastAsia="方正仿宋_GBK"/>
          <w:color w:val="000000"/>
          <w:kern w:val="0"/>
          <w:sz w:val="33"/>
          <w:szCs w:val="33"/>
          <w:lang w:val="x-none"/>
        </w:rPr>
        <w:t>0</w:t>
      </w:r>
      <w:r>
        <w:rPr>
          <w:rFonts w:eastAsia="方正仿宋_GBK"/>
          <w:color w:val="000000"/>
          <w:kern w:val="0"/>
          <w:sz w:val="33"/>
          <w:szCs w:val="33"/>
          <w:lang w:val="x-none" w:eastAsia="x-none"/>
        </w:rPr>
        <w:t>辆、</w:t>
      </w:r>
      <w:r>
        <w:rPr>
          <w:rFonts w:eastAsia="方正仿宋_GBK"/>
          <w:color w:val="000000"/>
          <w:kern w:val="0"/>
          <w:sz w:val="33"/>
          <w:szCs w:val="33"/>
          <w:lang w:val="x-none"/>
        </w:rPr>
        <w:t>执法执勤车</w:t>
      </w:r>
      <w:r>
        <w:rPr>
          <w:rFonts w:eastAsia="方正仿宋_GBK" w:hint="eastAsia"/>
          <w:color w:val="000000"/>
          <w:kern w:val="0"/>
          <w:sz w:val="33"/>
          <w:szCs w:val="33"/>
          <w:lang w:val="x-none"/>
        </w:rPr>
        <w:t>0</w:t>
      </w:r>
      <w:r>
        <w:rPr>
          <w:rFonts w:eastAsia="方正仿宋_GBK"/>
          <w:color w:val="000000"/>
          <w:kern w:val="0"/>
          <w:sz w:val="33"/>
          <w:szCs w:val="33"/>
          <w:lang w:val="x-none"/>
        </w:rPr>
        <w:t>辆、</w:t>
      </w:r>
      <w:r>
        <w:rPr>
          <w:rFonts w:eastAsia="方正仿宋_GBK"/>
          <w:color w:val="000000"/>
          <w:kern w:val="0"/>
          <w:sz w:val="33"/>
          <w:szCs w:val="33"/>
          <w:lang w:val="x-none" w:eastAsia="x-none"/>
        </w:rPr>
        <w:t>其他用车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w:t>
      </w:r>
      <w:r>
        <w:rPr>
          <w:rFonts w:eastAsia="方正仿宋_GBK"/>
          <w:color w:val="000000"/>
          <w:kern w:val="0"/>
          <w:sz w:val="33"/>
          <w:szCs w:val="33"/>
          <w:lang w:val="x-none"/>
        </w:rPr>
        <w:t>，</w:t>
      </w:r>
      <w:r>
        <w:rPr>
          <w:rFonts w:eastAsia="方正仿宋_GBK"/>
          <w:color w:val="000000"/>
          <w:kern w:val="0"/>
          <w:sz w:val="33"/>
          <w:szCs w:val="33"/>
          <w:lang w:val="x-none" w:eastAsia="x-none"/>
        </w:rPr>
        <w:t>主要是用于</w:t>
      </w:r>
      <w:r>
        <w:rPr>
          <w:rFonts w:eastAsia="方正仿宋_GBK"/>
          <w:sz w:val="33"/>
          <w:szCs w:val="33"/>
        </w:rPr>
        <w:t>单位办案、调研、检查工作等公务用车燃料费、维修费、过路过桥费、保险费等支出。</w:t>
      </w:r>
      <w:r>
        <w:rPr>
          <w:rFonts w:eastAsia="方正仿宋_GBK"/>
          <w:color w:val="000000"/>
          <w:kern w:val="0"/>
          <w:sz w:val="33"/>
          <w:szCs w:val="33"/>
          <w:lang w:val="x-none" w:eastAsia="x-none"/>
        </w:rPr>
        <w:t>单价50万元以上通用设备</w:t>
      </w:r>
      <w:r>
        <w:rPr>
          <w:rFonts w:eastAsia="方正仿宋_GBK"/>
          <w:color w:val="000000"/>
          <w:kern w:val="0"/>
          <w:sz w:val="33"/>
          <w:szCs w:val="33"/>
          <w:lang w:val="x-none"/>
        </w:rPr>
        <w:t>0</w:t>
      </w:r>
      <w:r>
        <w:rPr>
          <w:rFonts w:eastAsia="方正仿宋_GBK"/>
          <w:color w:val="000000"/>
          <w:kern w:val="0"/>
          <w:sz w:val="33"/>
          <w:szCs w:val="33"/>
          <w:lang w:val="x-none" w:eastAsia="x-none"/>
        </w:rPr>
        <w:t>台（套），单价100万元以上专用设备</w:t>
      </w:r>
      <w:r>
        <w:rPr>
          <w:rFonts w:eastAsia="方正仿宋_GBK"/>
          <w:color w:val="000000"/>
          <w:kern w:val="0"/>
          <w:sz w:val="33"/>
          <w:szCs w:val="33"/>
          <w:lang w:val="x-none"/>
        </w:rPr>
        <w:t>0</w:t>
      </w:r>
      <w:r>
        <w:rPr>
          <w:rFonts w:eastAsia="方正仿宋_GBK"/>
          <w:color w:val="000000"/>
          <w:kern w:val="0"/>
          <w:sz w:val="33"/>
          <w:szCs w:val="33"/>
          <w:lang w:val="x-none" w:eastAsia="x-none"/>
        </w:rPr>
        <w:t>台（套）。（注：数据来源财决附03表，按部门决算报表填报数据罗列车辆情况。）</w:t>
      </w:r>
    </w:p>
    <w:p>
      <w:pPr>
        <w:spacing w:line="576" w:lineRule="exact"/>
        <w:ind w:firstLineChars="200" w:firstLine="660"/>
        <w:rPr>
          <w:rFonts w:eastAsia="方正仿宋_GBK"/>
          <w:b/>
          <w:color w:val="000000"/>
          <w:kern w:val="0"/>
          <w:sz w:val="33"/>
          <w:szCs w:val="33"/>
          <w:lang w:val="x-none" w:eastAsia="x-none"/>
        </w:rPr>
      </w:pPr>
      <w:r>
        <w:rPr>
          <w:rFonts w:eastAsia="方正仿宋_GBK"/>
          <w:b/>
          <w:color w:val="000000"/>
          <w:kern w:val="0"/>
          <w:sz w:val="33"/>
          <w:szCs w:val="33"/>
          <w:lang w:val="x-none" w:eastAsia="x-none"/>
        </w:rPr>
        <w:t>（四）预算绩效管理情况。</w:t>
      </w:r>
    </w:p>
    <w:p>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根据预算绩效管理要求，本单位在年初预算编制阶段，组织</w:t>
      </w:r>
      <w:r>
        <w:rPr>
          <w:rFonts w:eastAsia="方正仿宋_GBK"/>
          <w:sz w:val="33"/>
          <w:szCs w:val="33"/>
        </w:rPr>
        <w:t>对</w:t>
      </w:r>
      <w:r>
        <w:rPr>
          <w:rFonts w:eastAsia="方正仿宋_GBK" w:hint="eastAsia"/>
          <w:sz w:val="33"/>
          <w:szCs w:val="33"/>
        </w:rPr>
        <w:t>反腐基地运行维护费用1</w:t>
      </w:r>
      <w:r>
        <w:rPr>
          <w:rFonts w:eastAsia="方正仿宋_GBK"/>
          <w:sz w:val="33"/>
          <w:szCs w:val="33"/>
        </w:rPr>
        <w:t>个项目开展了预算事前绩效评估</w:t>
      </w:r>
      <w:r>
        <w:rPr>
          <w:rFonts w:eastAsia="方正仿宋_GBK" w:hint="eastAsia"/>
          <w:sz w:val="33"/>
          <w:szCs w:val="33"/>
        </w:rPr>
        <w:t>；</w:t>
      </w:r>
      <w:r>
        <w:rPr>
          <w:rFonts w:eastAsia="方正仿宋_GBK"/>
          <w:sz w:val="33"/>
          <w:szCs w:val="33"/>
        </w:rPr>
        <w:t>对</w:t>
      </w:r>
      <w:r>
        <w:rPr>
          <w:rFonts w:eastAsia="方正仿宋_GBK" w:hint="eastAsia"/>
          <w:sz w:val="33"/>
          <w:szCs w:val="33"/>
        </w:rPr>
        <w:t>1</w:t>
      </w:r>
      <w:r>
        <w:rPr>
          <w:rFonts w:eastAsia="方正仿宋_GBK"/>
          <w:sz w:val="33"/>
          <w:szCs w:val="33"/>
        </w:rPr>
        <w:t>个项目编制了绩效目标，预算执行过程中，选取1个项目开展绩效监控</w:t>
      </w:r>
      <w:r>
        <w:rPr>
          <w:rFonts w:eastAsia="方正仿宋_GBK" w:hint="eastAsia"/>
          <w:sz w:val="33"/>
          <w:szCs w:val="33"/>
        </w:rPr>
        <w:t>；</w:t>
      </w:r>
      <w:r>
        <w:rPr>
          <w:rFonts w:eastAsia="方正仿宋_GBK"/>
          <w:sz w:val="33"/>
          <w:szCs w:val="33"/>
        </w:rPr>
        <w:t>年终执行完毕后，对1个项目开展了绩效目标完成情况自评。</w:t>
      </w:r>
    </w:p>
    <w:p>
      <w:pPr>
        <w:spacing w:line="576" w:lineRule="exact"/>
        <w:ind w:firstLineChars="200" w:firstLine="660"/>
        <w:rPr>
          <w:rFonts w:eastAsia="方正仿宋_GBK"/>
          <w:sz w:val="33"/>
          <w:szCs w:val="33"/>
        </w:rPr>
      </w:pPr>
      <w:r>
        <w:rPr>
          <w:rFonts w:eastAsia="方正仿宋_GBK"/>
          <w:sz w:val="33"/>
          <w:szCs w:val="33"/>
        </w:rPr>
        <w:t>本部门按要求对2020年部门整体支出开展绩效自评，从评价情况来看，</w:t>
      </w:r>
      <w:r>
        <w:rPr>
          <w:rFonts w:eastAsia="方正仿宋_GBK"/>
          <w:color w:val="000000"/>
          <w:kern w:val="0"/>
          <w:sz w:val="33"/>
          <w:szCs w:val="33"/>
          <w:lang w:val="x-none"/>
        </w:rPr>
        <w:t>项目实施保证及市纪检监察教育培训与信息中心</w:t>
      </w:r>
      <w:r>
        <w:rPr>
          <w:rFonts w:eastAsia="方正仿宋_GBK" w:hint="eastAsia"/>
          <w:color w:val="000000"/>
          <w:kern w:val="0"/>
          <w:sz w:val="33"/>
          <w:szCs w:val="33"/>
          <w:lang w:val="x-none"/>
        </w:rPr>
        <w:t>（留置中心）</w:t>
      </w:r>
      <w:r>
        <w:rPr>
          <w:rFonts w:eastAsia="方正仿宋_GBK"/>
          <w:color w:val="000000"/>
          <w:kern w:val="0"/>
          <w:sz w:val="33"/>
          <w:szCs w:val="33"/>
          <w:lang w:val="x-none"/>
        </w:rPr>
        <w:t>日常正常工作的正常运转，</w:t>
      </w:r>
      <w:r>
        <w:rPr>
          <w:rFonts w:eastAsia="方正仿宋_GBK"/>
          <w:color w:val="000000"/>
          <w:kern w:val="0"/>
          <w:sz w:val="33"/>
          <w:szCs w:val="33"/>
          <w:lang w:val="x-none" w:eastAsia="x-none"/>
        </w:rPr>
        <w:t>本部门还自行组织</w:t>
      </w:r>
      <w:r>
        <w:rPr>
          <w:rFonts w:eastAsia="方正仿宋_GBK"/>
          <w:sz w:val="33"/>
          <w:szCs w:val="33"/>
        </w:rPr>
        <w:t>了1个项目支出绩效评价，从评价情况来看项目运行良好，基本达到绩效目标。</w:t>
      </w:r>
      <w:r>
        <w:rPr>
          <w:rFonts w:eastAsia="方正仿宋_GBK"/>
          <w:color w:val="000000"/>
          <w:kern w:val="0"/>
          <w:sz w:val="33"/>
          <w:szCs w:val="33"/>
          <w:lang w:val="x-none"/>
        </w:rPr>
        <w:t xml:space="preserve">                                                                          </w:t>
      </w:r>
    </w:p>
    <w:p>
      <w:pPr>
        <w:spacing w:line="576" w:lineRule="exact"/>
        <w:ind w:firstLineChars="200" w:firstLine="660"/>
        <w:rPr>
          <w:rFonts w:eastAsia="方正仿宋_GBK"/>
          <w:color w:val="000000"/>
          <w:kern w:val="0"/>
          <w:sz w:val="33"/>
          <w:szCs w:val="33"/>
          <w:lang w:val="x-none" w:eastAsia="x-none"/>
        </w:rPr>
      </w:pPr>
      <w:r>
        <w:rPr>
          <w:rFonts w:eastAsia="方正仿宋_GBK"/>
          <w:b/>
          <w:color w:val="000000"/>
          <w:kern w:val="0"/>
          <w:sz w:val="33"/>
          <w:szCs w:val="33"/>
          <w:lang w:val="x-none" w:eastAsia="x-none"/>
        </w:rPr>
        <w:t>1</w:t>
      </w:r>
      <w:r>
        <w:rPr>
          <w:rFonts w:eastAsia="方正仿宋_GBK" w:hint="eastAsia"/>
          <w:b/>
          <w:color w:val="000000"/>
          <w:kern w:val="0"/>
          <w:sz w:val="33"/>
          <w:szCs w:val="33"/>
          <w:lang w:val="x-none"/>
        </w:rPr>
        <w:t>．</w:t>
      </w:r>
      <w:r>
        <w:rPr>
          <w:rFonts w:eastAsia="方正仿宋_GBK"/>
          <w:b/>
          <w:color w:val="000000"/>
          <w:kern w:val="0"/>
          <w:sz w:val="33"/>
          <w:szCs w:val="33"/>
          <w:lang w:val="x-none" w:eastAsia="x-none"/>
        </w:rPr>
        <w:t>项目绩效目标完成情况。</w:t>
        <w:br/>
      </w:r>
      <w:r>
        <w:rPr>
          <w:rFonts w:eastAsia="方正仿宋_GBK"/>
          <w:color w:val="000000"/>
          <w:kern w:val="0"/>
          <w:sz w:val="33"/>
          <w:szCs w:val="33"/>
          <w:lang w:val="x-none" w:eastAsia="x-none"/>
        </w:rPr>
        <w:t xml:space="preserve">    本部门在2020年度部门决算中反映</w:t>
      </w:r>
      <w:r>
        <w:rPr>
          <w:rFonts w:eastAsia="方正仿宋_GBK" w:hint="eastAsia"/>
          <w:sz w:val="33"/>
          <w:szCs w:val="33"/>
        </w:rPr>
        <w:t>反腐基地运行维护费用1</w:t>
      </w:r>
      <w:r>
        <w:rPr>
          <w:rFonts w:eastAsia="方正仿宋_GBK"/>
          <w:sz w:val="33"/>
          <w:szCs w:val="33"/>
        </w:rPr>
        <w:t>个项目绩效目标实际完成情况</w:t>
      </w:r>
      <w:r>
        <w:rPr>
          <w:rFonts w:eastAsia="方正仿宋_GBK"/>
          <w:color w:val="000000"/>
          <w:kern w:val="0"/>
          <w:sz w:val="33"/>
          <w:szCs w:val="33"/>
          <w:lang w:val="x-none" w:eastAsia="x-none"/>
        </w:rPr>
        <w:t>（本单位部门项目绩效目标个数在5个以上的，选取5个项目进行公开，目标个数在5个以下的，全部进行公开，公开内容包括选取的全部项目完成情况综述和完成情况表）。</w:t>
      </w:r>
    </w:p>
    <w:p>
      <w:pPr>
        <w:spacing w:line="580" w:lineRule="exact"/>
        <w:ind w:firstLineChars="200" w:firstLine="660"/>
        <w:rPr>
          <w:rFonts w:eastAsia="方正仿宋_GBK"/>
          <w:sz w:val="33"/>
          <w:szCs w:val="33"/>
        </w:rPr>
      </w:pPr>
      <w:r>
        <w:rPr>
          <w:rFonts w:eastAsia="方正仿宋_GBK" w:hint="eastAsia"/>
          <w:sz w:val="33"/>
          <w:szCs w:val="33"/>
        </w:rPr>
        <w:t>反腐基地运行维护费用项目绩效完成情况综述。项目全年预算数123.64万元，执行数为122.69万元，完成预算数的99%。通过项目实施，保障单位的正常运转，为市县两级监督检查、审查调查工作的开展提供了重要保障。发现的问题：年初年经费预算无法满足实际支出需求，中途需追加项目经费。下一步改进措施：根据工作开展情况提前向财政申请专项资金，保证项目顺利实施，并加快对项目的执行。</w:t>
      </w: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p>
      <w:pPr>
        <w:spacing w:line="576" w:lineRule="exact"/>
        <w:ind w:firstLineChars="200" w:firstLine="660"/>
        <w:rPr>
          <w:rFonts w:eastAsia="方正仿宋_GBK"/>
          <w:bCs/>
          <w:color w:val="000000"/>
          <w:kern w:val="0"/>
          <w:sz w:val="33"/>
          <w:szCs w:val="33"/>
        </w:rPr>
      </w:pPr>
    </w:p>
    <w:tbl>
      <w:tblPr>
        <w:tblpPr w:leftFromText="180" w:rightFromText="180" w:vertAnchor="text" w:horzAnchor="margin" w:tblpXSpec="center" w:tblpY="-4918"/>
        <w:tblOverlap w:val="never"/>
        <w:tblW w:w="9654"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149"/>
        <w:gridCol w:w="1134"/>
        <w:gridCol w:w="851"/>
        <w:gridCol w:w="142"/>
        <w:gridCol w:w="1254"/>
        <w:gridCol w:w="3282"/>
        <w:gridCol w:w="708"/>
        <w:gridCol w:w="1134"/>
      </w:tblGrid>
      <w:tr>
        <w:trPr>
          <w:trHeight w:val="1034"/>
        </w:trPr>
        <w:tc>
          <w:tcPr>
            <w:tcW w:w="9654" w:type="dxa"/>
            <w:gridSpan w:val="8"/>
            <w:tcBorders>
              <w:top w:val="nil"/>
              <w:left w:val="nil"/>
              <w:bottom w:val="nil"/>
              <w:right w:val="nil"/>
            </w:tcBorders>
            <w:tcMar>
              <w:top w:w="15" w:type="dxa"/>
              <w:left w:w="15" w:type="dxa"/>
              <w:right w:w="15" w:type="dxa"/>
            </w:tcMar>
            <w:vAlign w:val="center"/>
          </w:tcPr>
          <w:p>
            <w:pPr>
              <w:widowControl/>
              <w:spacing w:line="576" w:lineRule="exact"/>
              <w:textAlignment w:val="center"/>
              <w:rPr>
                <w:rFonts w:eastAsia="方正仿宋_GBK"/>
                <w:color w:val="000000"/>
                <w:sz w:val="33"/>
                <w:szCs w:val="33"/>
              </w:rPr>
            </w:pPr>
          </w:p>
          <w:p>
            <w:pPr>
              <w:spacing w:line="576" w:lineRule="exact"/>
              <w:ind w:firstLineChars="200" w:firstLine="660"/>
              <w:jc w:val="center"/>
              <w:rPr>
                <w:rFonts w:eastAsia="方正仿宋_GBK"/>
                <w:b/>
                <w:bCs/>
                <w:color w:val="000000"/>
                <w:kern w:val="0"/>
                <w:sz w:val="33"/>
                <w:szCs w:val="33"/>
              </w:rPr>
            </w:pPr>
          </w:p>
          <w:p>
            <w:pPr>
              <w:spacing w:line="576" w:lineRule="exact"/>
              <w:ind w:firstLineChars="200" w:firstLine="760"/>
              <w:jc w:val="center"/>
              <w:rPr>
                <w:rFonts w:ascii="方正小标宋_GBK" w:eastAsia="方正小标宋_GBK" w:hint="eastAsia"/>
                <w:b/>
                <w:bCs/>
                <w:color w:val="000000"/>
                <w:kern w:val="0"/>
                <w:sz w:val="38"/>
                <w:szCs w:val="38"/>
              </w:rPr>
            </w:pPr>
            <w:r>
              <w:rPr>
                <w:rFonts w:ascii="方正小标宋_GBK" w:eastAsia="方正小标宋_GBK" w:hint="eastAsia"/>
                <w:b/>
                <w:bCs/>
                <w:color w:val="000000"/>
                <w:kern w:val="0"/>
                <w:sz w:val="38"/>
                <w:szCs w:val="38"/>
              </w:rPr>
              <w:t>项目支出绩效目标完成情况表</w:t>
            </w:r>
          </w:p>
          <w:p>
            <w:pPr>
              <w:widowControl/>
              <w:spacing w:line="576" w:lineRule="exact"/>
              <w:jc w:val="center"/>
              <w:textAlignment w:val="center"/>
              <w:rPr>
                <w:rFonts w:eastAsia="方正仿宋_GBK"/>
                <w:color w:val="000000"/>
                <w:sz w:val="33"/>
                <w:szCs w:val="33"/>
              </w:rPr>
            </w:pPr>
            <w:r>
              <w:rPr>
                <w:rFonts w:eastAsia="方正仿宋_GBK"/>
                <w:color w:val="000000"/>
                <w:kern w:val="0"/>
                <w:sz w:val="33"/>
                <w:szCs w:val="33"/>
              </w:rPr>
              <w:t>(2020年度)</w:t>
            </w:r>
          </w:p>
        </w:tc>
      </w:tr>
      <w:tr>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项目名称</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反腐基地运行维护费用</w:t>
            </w:r>
          </w:p>
        </w:tc>
      </w:tr>
      <w:tr>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预算单位</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攀枝花市纪检监察教育培训与信息中心</w:t>
            </w:r>
          </w:p>
        </w:tc>
      </w:tr>
      <w:tr>
        <w:trPr>
          <w:trHeight w:val="27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预算执行情况(万元)</w:t>
            </w: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预算数:</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123.64</w:t>
            </w:r>
            <w:r>
              <w:rPr>
                <w:rFonts w:eastAsia="方正仿宋_GBK"/>
                <w:color w:val="000000"/>
                <w:sz w:val="24"/>
              </w:rPr>
              <w:t>万元</w:t>
            </w: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执行数:</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122.69</w:t>
            </w:r>
            <w:r>
              <w:rPr>
                <w:rFonts w:eastAsia="方正仿宋_GBK"/>
                <w:color w:val="000000"/>
                <w:sz w:val="24"/>
              </w:rPr>
              <w:t>万元</w:t>
            </w:r>
          </w:p>
        </w:tc>
      </w:tr>
      <w:tr>
        <w:trPr>
          <w:trHeight w:val="276"/>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其中-财政拨款:</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123.64</w:t>
            </w:r>
            <w:r>
              <w:rPr>
                <w:rFonts w:eastAsia="方正仿宋_GBK"/>
                <w:color w:val="000000"/>
                <w:sz w:val="24"/>
              </w:rPr>
              <w:t>万元</w:t>
            </w: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其中-财政拨款:</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122.69</w:t>
            </w:r>
            <w:r>
              <w:rPr>
                <w:rFonts w:eastAsia="方正仿宋_GBK"/>
                <w:color w:val="000000"/>
                <w:sz w:val="24"/>
              </w:rPr>
              <w:t>万元</w:t>
            </w:r>
          </w:p>
        </w:tc>
      </w:tr>
      <w:tr>
        <w:trPr>
          <w:trHeight w:val="510"/>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其它资金:</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其它资金:</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spacing w:line="500" w:lineRule="exact"/>
              <w:rPr>
                <w:rFonts w:eastAsia="方正仿宋_GBK"/>
                <w:color w:val="000000"/>
                <w:sz w:val="24"/>
              </w:rPr>
            </w:pPr>
          </w:p>
        </w:tc>
      </w:tr>
      <w:tr>
        <w:trPr>
          <w:trHeight w:val="45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年度目标</w:t>
            </w:r>
          </w:p>
          <w:p>
            <w:pPr>
              <w:widowControl/>
              <w:spacing w:line="500" w:lineRule="exact"/>
              <w:textAlignment w:val="center"/>
              <w:rPr>
                <w:rFonts w:eastAsia="方正仿宋_GBK"/>
                <w:color w:val="000000"/>
                <w:sz w:val="24"/>
              </w:rPr>
            </w:pPr>
            <w:r>
              <w:rPr>
                <w:rFonts w:eastAsia="方正仿宋_GBK"/>
                <w:color w:val="000000"/>
                <w:kern w:val="0"/>
                <w:sz w:val="24"/>
              </w:rPr>
              <w:t>完成情况</w:t>
            </w:r>
          </w:p>
        </w:tc>
        <w:tc>
          <w:tcPr>
            <w:tcW w:w="338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预期目标</w:t>
            </w:r>
          </w:p>
        </w:tc>
        <w:tc>
          <w:tcPr>
            <w:tcW w:w="512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实际完成目标</w:t>
            </w:r>
          </w:p>
        </w:tc>
      </w:tr>
      <w:tr>
        <w:trPr>
          <w:trHeight w:val="482"/>
        </w:trPr>
        <w:tc>
          <w:tcPr>
            <w:tcW w:w="1149"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tc>
        <w:tc>
          <w:tcPr>
            <w:tcW w:w="338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为留置中心办案做好有效保障</w:t>
            </w:r>
          </w:p>
        </w:tc>
        <w:tc>
          <w:tcPr>
            <w:tcW w:w="512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完成</w:t>
            </w:r>
          </w:p>
        </w:tc>
      </w:tr>
      <w:tr>
        <w:trPr>
          <w:trHeight w:val="1299"/>
        </w:trPr>
        <w:tc>
          <w:tcPr>
            <w:tcW w:w="1149"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绩效指标</w:t>
            </w:r>
          </w:p>
          <w:p>
            <w:pPr>
              <w:widowControl/>
              <w:spacing w:line="500" w:lineRule="exact"/>
              <w:textAlignment w:val="center"/>
              <w:rPr>
                <w:rFonts w:eastAsia="方正仿宋_GBK"/>
                <w:color w:val="000000"/>
                <w:sz w:val="24"/>
              </w:rPr>
            </w:pPr>
            <w:r>
              <w:rPr>
                <w:rFonts w:eastAsia="方正仿宋_GBK"/>
                <w:color w:val="000000"/>
                <w:sz w:val="24"/>
              </w:rPr>
              <w:t>完成情况</w:t>
            </w: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一级指标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二级指标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三级指标</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预期指标值(包含数字及文字描述)</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kern w:val="0"/>
                <w:sz w:val="24"/>
              </w:rPr>
              <w:t>实际完成指标值(包含数字及文字描述)</w:t>
            </w:r>
          </w:p>
        </w:tc>
      </w:tr>
      <w:tr>
        <w:trPr>
          <w:trHeight w:val="830"/>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数量指标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留置区</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3个留置区</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完成</w:t>
            </w:r>
          </w:p>
        </w:tc>
      </w:tr>
      <w:tr>
        <w:trPr>
          <w:trHeight w:val="1508"/>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质量指标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基地设备设施正常运行</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保障留置中心运行安保、保洁、绿化、驻点医务人员劳务费用，网络安全、水电及维修费用，办案日用损耗及其他相关运行费用支出</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完成</w:t>
            </w:r>
          </w:p>
        </w:tc>
      </w:tr>
      <w:tr>
        <w:trPr>
          <w:trHeight w:val="828"/>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时效指标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实施计划</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2020年</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已完成</w:t>
            </w:r>
          </w:p>
        </w:tc>
      </w:tr>
      <w:tr>
        <w:trPr>
          <w:trHeight w:val="826"/>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pPr>
              <w:widowControl/>
              <w:spacing w:line="500" w:lineRule="exact"/>
              <w:textAlignment w:val="center"/>
              <w:rPr>
                <w:rFonts w:eastAsia="方正仿宋_GBK"/>
                <w:color w:val="000000"/>
                <w:kern w:val="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成本指标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运行经费</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123.64万元</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完成99%</w:t>
            </w:r>
          </w:p>
        </w:tc>
      </w:tr>
      <w:tr>
        <w:trPr>
          <w:trHeight w:val="823"/>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kern w:val="0"/>
                <w:sz w:val="24"/>
              </w:rPr>
            </w:pPr>
            <w:r>
              <w:rPr>
                <w:rFonts w:eastAsia="方正仿宋_GBK"/>
                <w:color w:val="000000"/>
                <w:kern w:val="0"/>
                <w:sz w:val="24"/>
              </w:rPr>
              <w:t>满意度</w:t>
            </w:r>
          </w:p>
          <w:p>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color w:val="000000"/>
                <w:sz w:val="24"/>
              </w:rPr>
              <w:t>满意度</w:t>
            </w:r>
          </w:p>
          <w:p>
            <w:pPr>
              <w:widowControl/>
              <w:spacing w:line="500" w:lineRule="exact"/>
              <w:textAlignment w:val="center"/>
              <w:rPr>
                <w:rFonts w:eastAsia="方正仿宋_GBK"/>
                <w:color w:val="000000"/>
                <w:sz w:val="24"/>
              </w:rPr>
            </w:pPr>
            <w:r>
              <w:rPr>
                <w:rFonts w:eastAsia="方正仿宋_GBK"/>
                <w:color w:val="000000"/>
                <w:sz w:val="24"/>
              </w:rPr>
              <w:t>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color w:val="000000"/>
                <w:sz w:val="24"/>
              </w:rPr>
            </w:pPr>
            <w:r>
              <w:rPr>
                <w:rFonts w:eastAsia="方正仿宋_GBK" w:hint="eastAsia"/>
                <w:color w:val="000000"/>
                <w:sz w:val="24"/>
              </w:rPr>
              <w:t>办案单位满意度</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满意及以上</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500" w:lineRule="exact"/>
              <w:textAlignment w:val="center"/>
              <w:rPr>
                <w:rFonts w:eastAsia="方正仿宋_GBK" w:hint="eastAsia"/>
                <w:color w:val="000000"/>
                <w:sz w:val="24"/>
              </w:rPr>
            </w:pPr>
            <w:r>
              <w:rPr>
                <w:rFonts w:eastAsia="方正仿宋_GBK" w:hint="eastAsia"/>
                <w:color w:val="000000"/>
                <w:sz w:val="24"/>
              </w:rPr>
              <w:t>达到预期</w:t>
            </w:r>
          </w:p>
        </w:tc>
      </w:tr>
    </w:tbl>
    <w:p>
      <w:pPr>
        <w:spacing w:line="500" w:lineRule="exact"/>
        <w:rPr>
          <w:rFonts w:eastAsia="方正仿宋_GBK" w:hint="eastAsia"/>
          <w:sz w:val="24"/>
        </w:rPr>
      </w:pPr>
    </w:p>
    <w:p>
      <w:pPr>
        <w:spacing w:line="500" w:lineRule="exact"/>
        <w:rPr>
          <w:rFonts w:eastAsia="方正仿宋_GBK" w:hint="eastAsia"/>
          <w:sz w:val="24"/>
        </w:rPr>
      </w:pPr>
    </w:p>
    <w:p>
      <w:pPr>
        <w:spacing w:line="500" w:lineRule="exact"/>
        <w:rPr>
          <w:rFonts w:eastAsia="方正仿宋_GBK" w:hint="eastAsia"/>
          <w:sz w:val="24"/>
        </w:rPr>
      </w:pPr>
    </w:p>
    <w:p>
      <w:pPr>
        <w:spacing w:line="576" w:lineRule="exact"/>
        <w:ind w:firstLineChars="200" w:firstLine="660"/>
        <w:rPr>
          <w:rFonts w:eastAsia="方正仿宋_GBK"/>
          <w:b/>
          <w:color w:val="000000"/>
          <w:kern w:val="0"/>
          <w:sz w:val="33"/>
          <w:szCs w:val="33"/>
          <w:lang w:val="x-none" w:eastAsia="x-none"/>
        </w:rPr>
      </w:pPr>
      <w:r>
        <w:rPr>
          <w:rFonts w:eastAsia="方正仿宋_GBK"/>
          <w:b/>
          <w:color w:val="000000"/>
          <w:kern w:val="0"/>
          <w:sz w:val="33"/>
          <w:szCs w:val="33"/>
          <w:lang w:val="x-none" w:eastAsia="x-none"/>
        </w:rPr>
        <w:t>2</w:t>
      </w:r>
      <w:r>
        <w:rPr>
          <w:rFonts w:eastAsia="方正仿宋_GBK" w:hint="eastAsia"/>
          <w:b/>
          <w:color w:val="000000"/>
          <w:kern w:val="0"/>
          <w:sz w:val="33"/>
          <w:szCs w:val="33"/>
          <w:lang w:val="x-none"/>
        </w:rPr>
        <w:t>．</w:t>
      </w:r>
      <w:r>
        <w:rPr>
          <w:rFonts w:eastAsia="方正仿宋_GBK"/>
          <w:b/>
          <w:color w:val="000000"/>
          <w:kern w:val="0"/>
          <w:sz w:val="33"/>
          <w:szCs w:val="33"/>
          <w:lang w:val="x-none" w:eastAsia="x-none"/>
        </w:rPr>
        <w:t>部门绩效评价结果。</w:t>
      </w:r>
    </w:p>
    <w:p>
      <w:pPr>
        <w:spacing w:line="576" w:lineRule="exact"/>
        <w:ind w:firstLine="641"/>
        <w:rPr>
          <w:rFonts w:eastAsia="方正仿宋_GBK"/>
          <w:sz w:val="33"/>
          <w:szCs w:val="33"/>
        </w:rPr>
      </w:pPr>
      <w:r>
        <w:rPr>
          <w:rFonts w:eastAsia="方正仿宋_GBK"/>
          <w:sz w:val="33"/>
          <w:szCs w:val="33"/>
        </w:rPr>
        <w:t>本部门按要求对2020年部门整体支出绩效评价情况开展自评，《</w:t>
      </w:r>
      <w:r>
        <w:rPr>
          <w:rFonts w:eastAsia="方正仿宋_GBK" w:hint="eastAsia"/>
          <w:sz w:val="33"/>
          <w:szCs w:val="33"/>
        </w:rPr>
        <w:t>攀枝花市纪检监察教育培训与信息中心</w:t>
      </w:r>
      <w:r>
        <w:rPr>
          <w:rFonts w:eastAsia="方正仿宋_GBK"/>
          <w:sz w:val="33"/>
          <w:szCs w:val="33"/>
        </w:rPr>
        <w:t>2020年部门整体支出绩效评价报告》见附件（附件1）。</w:t>
      </w:r>
    </w:p>
    <w:p>
      <w:pPr>
        <w:spacing w:line="576" w:lineRule="exact"/>
        <w:ind w:firstLine="641"/>
        <w:rPr>
          <w:rFonts w:eastAsia="方正仿宋_GBK"/>
          <w:sz w:val="33"/>
          <w:szCs w:val="33"/>
        </w:rPr>
      </w:pPr>
      <w:r>
        <w:rPr>
          <w:rFonts w:eastAsia="方正仿宋_GBK"/>
          <w:sz w:val="33"/>
          <w:szCs w:val="33"/>
        </w:rPr>
        <w:t>本部门自行组织对</w:t>
      </w:r>
      <w:r>
        <w:rPr>
          <w:rFonts w:eastAsia="方正仿宋_GBK" w:hint="eastAsia"/>
          <w:sz w:val="33"/>
          <w:szCs w:val="33"/>
        </w:rPr>
        <w:t>反腐基地运行维护费用</w:t>
      </w:r>
      <w:r>
        <w:rPr>
          <w:rFonts w:eastAsia="方正仿宋_GBK"/>
          <w:sz w:val="33"/>
          <w:szCs w:val="33"/>
        </w:rPr>
        <w:t>项目开展了绩效评价，《</w:t>
      </w:r>
      <w:r>
        <w:rPr>
          <w:rFonts w:eastAsia="方正仿宋_GBK" w:hint="eastAsia"/>
          <w:sz w:val="33"/>
          <w:szCs w:val="33"/>
        </w:rPr>
        <w:t>攀枝花市纪检监察教育培训与信息中心</w:t>
      </w:r>
      <w:r>
        <w:rPr>
          <w:rFonts w:eastAsia="方正仿宋_GBK"/>
          <w:sz w:val="33"/>
          <w:szCs w:val="33"/>
        </w:rPr>
        <w:t>2020年绩效评价报告》见附件（附件2）。（非涉密部门均需公开部门整体支出评价报告，部门自行组织的绩效评价情况根据部门实际公开，若未组织项目绩效评价，则只需说明部门整体支出绩效评价情况）</w:t>
      </w:r>
    </w:p>
    <w:p>
      <w:pPr>
        <w:spacing w:line="576" w:lineRule="exact"/>
        <w:ind w:firstLineChars="200" w:firstLine="660"/>
        <w:rPr>
          <w:rFonts w:eastAsia="方正仿宋_GBK"/>
          <w:color w:val="000000"/>
          <w:kern w:val="0"/>
          <w:sz w:val="33"/>
          <w:szCs w:val="33"/>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ind w:firstLineChars="200" w:firstLine="660"/>
        <w:jc w:val="center"/>
        <w:rPr>
          <w:rFonts w:ascii="方正黑体_GBK" w:eastAsia="方正黑体_GBK" w:hint="eastAsia"/>
          <w:bCs/>
          <w:color w:val="000000"/>
          <w:kern w:val="0"/>
          <w:sz w:val="33"/>
          <w:szCs w:val="33"/>
          <w:lang w:val="x-none" w:eastAsia="x-none"/>
        </w:rPr>
      </w:pPr>
      <w:bookmarkStart w:id="60" w:name="_Toc15396613"/>
      <w:bookmarkStart w:id="61" w:name="_Toc15377225"/>
      <w:r>
        <w:rPr>
          <w:rFonts w:ascii="方正黑体_GBK" w:eastAsia="方正黑体_GBK" w:hint="eastAsia"/>
          <w:color w:val="000000"/>
          <w:kern w:val="0"/>
          <w:sz w:val="33"/>
          <w:szCs w:val="33"/>
          <w:lang w:val="x-none" w:eastAsia="x-none"/>
        </w:rPr>
        <w:t>第三部分</w:t>
      </w:r>
      <w:r>
        <w:rPr>
          <w:rFonts w:ascii="方正黑体_GBK" w:eastAsia="方正黑体_GBK" w:hint="eastAsia"/>
          <w:color w:val="000000"/>
          <w:kern w:val="0"/>
          <w:sz w:val="33"/>
          <w:szCs w:val="33"/>
          <w:lang w:val="x-none"/>
        </w:rPr>
        <w:t xml:space="preserve">  </w:t>
      </w:r>
      <w:r>
        <w:rPr>
          <w:rFonts w:ascii="方正黑体_GBK" w:eastAsia="方正黑体_GBK" w:hint="eastAsia"/>
          <w:color w:val="000000"/>
          <w:kern w:val="0"/>
          <w:sz w:val="33"/>
          <w:szCs w:val="33"/>
          <w:lang w:val="x-none" w:eastAsia="x-none"/>
        </w:rPr>
        <w:t>名</w:t>
      </w:r>
      <w:r>
        <w:rPr>
          <w:rFonts w:ascii="方正黑体_GBK" w:eastAsia="方正黑体_GBK" w:hint="eastAsia"/>
          <w:bCs/>
          <w:color w:val="000000"/>
          <w:kern w:val="0"/>
          <w:sz w:val="33"/>
          <w:szCs w:val="33"/>
          <w:lang w:val="x-none" w:eastAsia="x-none"/>
        </w:rPr>
        <w:t>词解释</w:t>
      </w:r>
      <w:bookmarkEnd w:id="60"/>
      <w:bookmarkEnd w:id="61"/>
    </w:p>
    <w:p>
      <w:pPr>
        <w:spacing w:line="576" w:lineRule="exact"/>
        <w:ind w:firstLineChars="200" w:firstLine="660"/>
        <w:rPr>
          <w:rFonts w:eastAsia="方正仿宋_GBK"/>
          <w:color w:val="000000"/>
          <w:kern w:val="0"/>
          <w:sz w:val="33"/>
          <w:szCs w:val="33"/>
          <w:lang w:val="x-none"/>
        </w:rPr>
      </w:pPr>
    </w:p>
    <w:p>
      <w:pPr>
        <w:spacing w:line="576" w:lineRule="exact"/>
        <w:ind w:firstLine="640"/>
        <w:rPr>
          <w:rFonts w:eastAsia="方正仿宋_GBK"/>
          <w:sz w:val="33"/>
          <w:szCs w:val="33"/>
        </w:rPr>
      </w:pPr>
      <w:r>
        <w:rPr>
          <w:rFonts w:eastAsia="方正仿宋_GBK"/>
          <w:sz w:val="33"/>
          <w:szCs w:val="33"/>
        </w:rPr>
        <w:t>1</w:t>
      </w:r>
      <w:r>
        <w:rPr>
          <w:rFonts w:eastAsia="方正仿宋_GBK" w:hint="eastAsia"/>
          <w:sz w:val="33"/>
          <w:szCs w:val="33"/>
        </w:rPr>
        <w:t>．</w:t>
      </w:r>
      <w:r>
        <w:rPr>
          <w:rFonts w:eastAsia="方正仿宋_GBK"/>
          <w:sz w:val="33"/>
          <w:szCs w:val="33"/>
        </w:rPr>
        <w:t>财政拨款收入：指单位从同级财政部门取得的财政预算资金。</w:t>
      </w:r>
    </w:p>
    <w:p>
      <w:pPr>
        <w:spacing w:line="576" w:lineRule="exact"/>
        <w:ind w:firstLine="640"/>
        <w:rPr>
          <w:rFonts w:eastAsia="方正仿宋_GBK" w:hint="eastAsia"/>
          <w:sz w:val="33"/>
          <w:szCs w:val="33"/>
        </w:rPr>
      </w:pPr>
      <w:r>
        <w:rPr>
          <w:rFonts w:eastAsia="方正仿宋_GBK"/>
          <w:sz w:val="33"/>
          <w:szCs w:val="33"/>
        </w:rPr>
        <w:t>2</w:t>
      </w:r>
      <w:r>
        <w:rPr>
          <w:rFonts w:eastAsia="方正仿宋_GBK" w:hint="eastAsia"/>
          <w:sz w:val="33"/>
          <w:szCs w:val="33"/>
        </w:rPr>
        <w:t>．</w:t>
      </w:r>
      <w:r>
        <w:rPr>
          <w:rFonts w:eastAsia="方正仿宋_GBK"/>
          <w:sz w:val="33"/>
          <w:szCs w:val="33"/>
        </w:rPr>
        <w:t>事业收入：指事业单位开展专业业务活动及辅助活动取得的收入。</w:t>
      </w:r>
    </w:p>
    <w:p>
      <w:pPr>
        <w:spacing w:line="576" w:lineRule="exact"/>
        <w:ind w:firstLine="640"/>
        <w:rPr>
          <w:rFonts w:eastAsia="方正仿宋_GBK" w:hint="eastAsia"/>
          <w:sz w:val="33"/>
          <w:szCs w:val="33"/>
        </w:rPr>
      </w:pPr>
      <w:r>
        <w:rPr>
          <w:rFonts w:eastAsia="方正仿宋_GBK"/>
          <w:sz w:val="33"/>
          <w:szCs w:val="33"/>
        </w:rPr>
        <w:t>3</w:t>
      </w:r>
      <w:r>
        <w:rPr>
          <w:rFonts w:eastAsia="方正仿宋_GBK" w:hint="eastAsia"/>
          <w:sz w:val="33"/>
          <w:szCs w:val="33"/>
        </w:rPr>
        <w:t>．</w:t>
      </w:r>
      <w:r>
        <w:rPr>
          <w:rFonts w:eastAsia="方正仿宋_GBK"/>
          <w:sz w:val="33"/>
          <w:szCs w:val="33"/>
        </w:rPr>
        <w:t>经营收入：指事业单位在专业业务活动及其辅助活动之外开展非独立核算经营活动取得的收入</w:t>
      </w:r>
      <w:r>
        <w:rPr>
          <w:rFonts w:eastAsia="方正仿宋_GBK" w:hint="eastAsia"/>
          <w:sz w:val="33"/>
          <w:szCs w:val="33"/>
        </w:rPr>
        <w:t>。</w:t>
      </w:r>
    </w:p>
    <w:p>
      <w:pPr>
        <w:spacing w:line="576" w:lineRule="exact"/>
        <w:ind w:firstLine="640"/>
        <w:rPr>
          <w:rFonts w:eastAsia="方正仿宋_GBK"/>
          <w:sz w:val="33"/>
          <w:szCs w:val="33"/>
        </w:rPr>
      </w:pPr>
      <w:r>
        <w:rPr>
          <w:rFonts w:eastAsia="方正仿宋_GBK"/>
          <w:sz w:val="33"/>
          <w:szCs w:val="33"/>
        </w:rPr>
        <w:t>4</w:t>
      </w:r>
      <w:r>
        <w:rPr>
          <w:rFonts w:eastAsia="方正仿宋_GBK" w:hint="eastAsia"/>
          <w:sz w:val="33"/>
          <w:szCs w:val="33"/>
        </w:rPr>
        <w:t>．</w:t>
      </w:r>
      <w:r>
        <w:rPr>
          <w:rFonts w:eastAsia="方正仿宋_GBK"/>
          <w:sz w:val="33"/>
          <w:szCs w:val="33"/>
        </w:rPr>
        <w:t xml:space="preserve">其他收入：指单位取得的除上述收入以外的各项收入。主要是单位的存款利息收入等。 </w:t>
      </w:r>
    </w:p>
    <w:p>
      <w:pPr>
        <w:spacing w:line="576" w:lineRule="exact"/>
        <w:ind w:firstLine="640"/>
        <w:rPr>
          <w:rFonts w:eastAsia="方正仿宋_GBK"/>
          <w:sz w:val="33"/>
          <w:szCs w:val="33"/>
        </w:rPr>
      </w:pPr>
      <w:r>
        <w:rPr>
          <w:rFonts w:eastAsia="方正仿宋_GBK"/>
          <w:sz w:val="33"/>
          <w:szCs w:val="33"/>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spacing w:line="576" w:lineRule="exact"/>
        <w:ind w:firstLine="640"/>
        <w:rPr>
          <w:rFonts w:eastAsia="方正仿宋_GBK"/>
          <w:sz w:val="33"/>
          <w:szCs w:val="33"/>
        </w:rPr>
      </w:pPr>
      <w:r>
        <w:rPr>
          <w:rFonts w:eastAsia="方正仿宋_GBK"/>
          <w:sz w:val="33"/>
          <w:szCs w:val="33"/>
        </w:rPr>
        <w:t xml:space="preserve">6．年初结转和结余：指以前年度尚未完成、结转到本年按有关规定继续使用的资金。 </w:t>
      </w:r>
    </w:p>
    <w:p>
      <w:pPr>
        <w:spacing w:line="576" w:lineRule="exact"/>
        <w:ind w:firstLine="640"/>
        <w:rPr>
          <w:rFonts w:eastAsia="方正仿宋_GBK"/>
          <w:sz w:val="33"/>
          <w:szCs w:val="33"/>
        </w:rPr>
      </w:pPr>
      <w:r>
        <w:rPr>
          <w:rFonts w:eastAsia="方正仿宋_GBK"/>
          <w:sz w:val="33"/>
          <w:szCs w:val="33"/>
        </w:rPr>
        <w:t>7．结余分配：指事业单位按照事业单位会计制度的规定从非财政补助结余中分配的事业基金和职工福利基金等。</w:t>
      </w:r>
    </w:p>
    <w:p>
      <w:pPr>
        <w:spacing w:line="576" w:lineRule="exact"/>
        <w:ind w:firstLine="640"/>
        <w:rPr>
          <w:rFonts w:eastAsia="方正仿宋_GBK"/>
          <w:sz w:val="33"/>
          <w:szCs w:val="33"/>
        </w:rPr>
      </w:pPr>
      <w:r>
        <w:rPr>
          <w:rFonts w:eastAsia="方正仿宋_GBK"/>
          <w:sz w:val="33"/>
          <w:szCs w:val="33"/>
        </w:rPr>
        <w:t>8．年末结转和结余：指单位按有关规定结转到下年或以后年度继续使用的资金。</w:t>
      </w:r>
    </w:p>
    <w:p>
      <w:pPr>
        <w:spacing w:line="576" w:lineRule="exact"/>
        <w:ind w:firstLine="640"/>
        <w:rPr>
          <w:rFonts w:eastAsia="方正仿宋_GBK" w:hint="eastAsia"/>
          <w:sz w:val="33"/>
          <w:szCs w:val="33"/>
        </w:rPr>
      </w:pPr>
      <w:r>
        <w:rPr>
          <w:rFonts w:eastAsia="方正仿宋_GBK"/>
          <w:sz w:val="33"/>
          <w:szCs w:val="33"/>
        </w:rPr>
        <w:t>9</w:t>
      </w:r>
      <w:r>
        <w:rPr>
          <w:rFonts w:eastAsia="方正仿宋_GBK" w:hint="eastAsia"/>
          <w:sz w:val="33"/>
          <w:szCs w:val="33"/>
        </w:rPr>
        <w:t>．</w:t>
      </w:r>
      <w:r>
        <w:rPr>
          <w:rFonts w:eastAsia="方正仿宋_GBK"/>
          <w:sz w:val="33"/>
          <w:szCs w:val="33"/>
        </w:rPr>
        <w:t xml:space="preserve">一般公共服务（类）纪检监察事务（款）其他纪检监察事务支出（项）：指其他纪检监察事务方面的支出。 </w:t>
      </w:r>
    </w:p>
    <w:p>
      <w:pPr>
        <w:spacing w:line="576" w:lineRule="exact"/>
        <w:ind w:firstLine="640"/>
        <w:rPr>
          <w:rFonts w:eastAsia="方正仿宋_GBK" w:hint="eastAsia"/>
          <w:sz w:val="33"/>
          <w:szCs w:val="33"/>
        </w:rPr>
      </w:pPr>
      <w:r>
        <w:rPr>
          <w:rFonts w:eastAsia="方正仿宋_GBK"/>
          <w:sz w:val="33"/>
          <w:szCs w:val="33"/>
        </w:rPr>
        <w:t>10</w:t>
      </w:r>
      <w:r>
        <w:rPr>
          <w:rFonts w:eastAsia="方正仿宋_GBK" w:hint="eastAsia"/>
          <w:sz w:val="33"/>
          <w:szCs w:val="33"/>
        </w:rPr>
        <w:t>．</w:t>
      </w:r>
      <w:r>
        <w:rPr>
          <w:rFonts w:eastAsia="方正仿宋_GBK"/>
          <w:sz w:val="33"/>
          <w:szCs w:val="33"/>
        </w:rPr>
        <w:t>社会保障和就业（类）行政事业单位离退休（款）机关事业单位基本养老保险缴费支出（项）：指机关事业单位并轨后基本养老保险缴费支出。</w:t>
      </w:r>
    </w:p>
    <w:p>
      <w:pPr>
        <w:spacing w:line="576" w:lineRule="exact"/>
        <w:ind w:firstLine="640"/>
        <w:rPr>
          <w:rFonts w:eastAsia="方正仿宋_GBK"/>
          <w:sz w:val="33"/>
          <w:szCs w:val="33"/>
        </w:rPr>
      </w:pPr>
      <w:r>
        <w:rPr>
          <w:rFonts w:eastAsia="方正仿宋_GBK"/>
          <w:sz w:val="33"/>
          <w:szCs w:val="33"/>
        </w:rPr>
        <w:t>11</w:t>
      </w:r>
      <w:r>
        <w:rPr>
          <w:rFonts w:eastAsia="方正仿宋_GBK" w:hint="eastAsia"/>
          <w:sz w:val="33"/>
          <w:szCs w:val="33"/>
        </w:rPr>
        <w:t>．</w:t>
      </w:r>
      <w:r>
        <w:rPr>
          <w:rFonts w:eastAsia="方正仿宋_GBK"/>
          <w:sz w:val="33"/>
          <w:szCs w:val="33"/>
        </w:rPr>
        <w:t>一般公共服务（类）纪检监察事务（款）事业运行（项）：指事业单位的职工基本工资、津贴补贴等人员经费的发放，以及事业单位的基本支出。</w:t>
      </w:r>
    </w:p>
    <w:p>
      <w:pPr>
        <w:spacing w:line="576" w:lineRule="exact"/>
        <w:ind w:firstLine="640"/>
        <w:rPr>
          <w:rFonts w:eastAsia="方正仿宋_GBK"/>
          <w:sz w:val="33"/>
          <w:szCs w:val="33"/>
        </w:rPr>
      </w:pPr>
      <w:r>
        <w:rPr>
          <w:rFonts w:eastAsia="方正仿宋_GBK"/>
          <w:sz w:val="33"/>
          <w:szCs w:val="33"/>
        </w:rPr>
        <w:t>12．医疗卫生与计划生育（类）医疗保障支出（款）其他医疗保障支出（项）</w:t>
      </w:r>
      <w:r>
        <w:rPr>
          <w:rFonts w:eastAsia="方正仿宋_GBK"/>
          <w:b/>
          <w:sz w:val="33"/>
          <w:szCs w:val="33"/>
        </w:rPr>
        <w:t>:</w:t>
      </w:r>
      <w:r>
        <w:rPr>
          <w:rFonts w:eastAsia="方正仿宋_GBK"/>
          <w:sz w:val="33"/>
          <w:szCs w:val="33"/>
        </w:rPr>
        <w:t>指单位职工其他医疗保障支出。</w:t>
      </w:r>
    </w:p>
    <w:p>
      <w:pPr>
        <w:spacing w:line="576" w:lineRule="exact"/>
        <w:ind w:firstLine="640"/>
        <w:rPr>
          <w:rFonts w:eastAsia="方正仿宋_GBK" w:hint="eastAsia"/>
          <w:sz w:val="33"/>
          <w:szCs w:val="33"/>
        </w:rPr>
      </w:pPr>
      <w:r>
        <w:rPr>
          <w:rFonts w:eastAsia="方正仿宋_GBK"/>
          <w:sz w:val="33"/>
          <w:szCs w:val="33"/>
        </w:rPr>
        <w:t>13．住房保障支出（类）住房改革支出（款）住房公积金（项）:指职工住房公积金支出。</w:t>
      </w:r>
    </w:p>
    <w:p>
      <w:pPr>
        <w:spacing w:line="576" w:lineRule="exact"/>
        <w:ind w:firstLine="640"/>
        <w:rPr>
          <w:rFonts w:eastAsia="方正仿宋_GBK" w:hint="eastAsia"/>
          <w:sz w:val="33"/>
          <w:szCs w:val="33"/>
        </w:rPr>
      </w:pPr>
      <w:r>
        <w:rPr>
          <w:rFonts w:eastAsia="方正仿宋_GBK"/>
          <w:sz w:val="33"/>
          <w:szCs w:val="33"/>
        </w:rPr>
        <w:t>14． 一般公共服务（类）</w:t>
      </w:r>
      <w:r>
        <w:rPr>
          <w:rFonts w:eastAsia="方正仿宋_GBK" w:hint="eastAsia"/>
          <w:sz w:val="33"/>
          <w:szCs w:val="33"/>
        </w:rPr>
        <w:t>人力资源事务</w:t>
      </w:r>
      <w:r>
        <w:rPr>
          <w:rFonts w:eastAsia="方正仿宋_GBK"/>
          <w:sz w:val="33"/>
          <w:szCs w:val="33"/>
        </w:rPr>
        <w:t>（款）其</w:t>
      </w:r>
      <w:r>
        <w:rPr>
          <w:rFonts w:eastAsia="方正仿宋_GBK" w:hint="eastAsia"/>
          <w:sz w:val="33"/>
          <w:szCs w:val="33"/>
        </w:rPr>
        <w:t>人力资源事务</w:t>
      </w:r>
      <w:r>
        <w:rPr>
          <w:rFonts w:eastAsia="方正仿宋_GBK"/>
          <w:sz w:val="33"/>
          <w:szCs w:val="33"/>
        </w:rPr>
        <w:t>支出（项）：指</w:t>
      </w:r>
      <w:r>
        <w:rPr>
          <w:rFonts w:eastAsia="方正仿宋_GBK" w:hint="eastAsia"/>
          <w:sz w:val="33"/>
          <w:szCs w:val="33"/>
        </w:rPr>
        <w:t>高层次引进人才住房补贴支出。</w:t>
      </w:r>
    </w:p>
    <w:p>
      <w:pPr>
        <w:spacing w:line="576" w:lineRule="exact"/>
        <w:ind w:firstLine="640"/>
        <w:rPr>
          <w:rFonts w:eastAsia="方正仿宋_GBK"/>
          <w:sz w:val="33"/>
          <w:szCs w:val="33"/>
        </w:rPr>
      </w:pPr>
      <w:r>
        <w:rPr>
          <w:rFonts w:eastAsia="方正仿宋_GBK" w:hint="eastAsia"/>
          <w:sz w:val="33"/>
          <w:szCs w:val="33"/>
        </w:rPr>
        <w:t>15</w:t>
      </w:r>
      <w:r>
        <w:rPr>
          <w:rFonts w:eastAsia="方正仿宋_GBK"/>
          <w:sz w:val="33"/>
          <w:szCs w:val="33"/>
        </w:rPr>
        <w:t>．</w:t>
      </w:r>
      <w:r>
        <w:rPr>
          <w:rFonts w:eastAsia="方正仿宋_GBK" w:hint="eastAsia"/>
          <w:sz w:val="33"/>
          <w:szCs w:val="33"/>
        </w:rPr>
        <w:t>城乡社区支出（类）国有土地使用权出让收入安排的支出（款）土地开发（项）：指反腐基地运行维护项目资金支出。</w:t>
      </w:r>
    </w:p>
    <w:p>
      <w:pPr>
        <w:spacing w:line="576" w:lineRule="exact"/>
        <w:ind w:firstLine="640"/>
        <w:rPr>
          <w:rFonts w:eastAsia="方正仿宋_GBK" w:hint="eastAsia"/>
          <w:sz w:val="33"/>
          <w:szCs w:val="33"/>
        </w:rPr>
      </w:pPr>
      <w:r>
        <w:rPr>
          <w:rFonts w:eastAsia="方正仿宋_GBK"/>
          <w:sz w:val="33"/>
          <w:szCs w:val="33"/>
        </w:rPr>
        <w:t>16．基本支出：指为保障机构正常运转、完成日常工作任务而发生的人员支出和公用支出。</w:t>
      </w:r>
    </w:p>
    <w:p>
      <w:pPr>
        <w:spacing w:line="576" w:lineRule="exact"/>
        <w:ind w:firstLine="640"/>
        <w:rPr>
          <w:rFonts w:eastAsia="方正仿宋_GBK" w:hint="eastAsia"/>
          <w:sz w:val="33"/>
          <w:szCs w:val="33"/>
        </w:rPr>
      </w:pPr>
      <w:r>
        <w:rPr>
          <w:rFonts w:eastAsia="方正仿宋_GBK"/>
          <w:sz w:val="33"/>
          <w:szCs w:val="33"/>
        </w:rPr>
        <w:t xml:space="preserve">17．项目支出：指在基本支出之外为完成特定行政任务和事业发展目标所发生的支出。 </w:t>
      </w:r>
    </w:p>
    <w:p>
      <w:pPr>
        <w:spacing w:line="576" w:lineRule="exact"/>
        <w:ind w:firstLine="640"/>
        <w:rPr>
          <w:rFonts w:eastAsia="方正仿宋_GBK"/>
          <w:sz w:val="33"/>
          <w:szCs w:val="33"/>
        </w:rPr>
      </w:pPr>
      <w:r>
        <w:rPr>
          <w:rFonts w:eastAsia="方正仿宋_GBK"/>
          <w:sz w:val="33"/>
          <w:szCs w:val="33"/>
        </w:rPr>
        <w:t>18．经营支出：指事业单位在专业业务活动及其辅助活动之外开展非独立核算经营活动发生的支出。</w:t>
      </w:r>
    </w:p>
    <w:p>
      <w:pPr>
        <w:spacing w:line="576" w:lineRule="exact"/>
        <w:ind w:firstLine="640"/>
        <w:rPr>
          <w:rFonts w:eastAsia="方正仿宋_GBK"/>
          <w:sz w:val="33"/>
          <w:szCs w:val="33"/>
        </w:rPr>
      </w:pPr>
      <w:r>
        <w:rPr>
          <w:rFonts w:eastAsia="方正仿宋_GBK"/>
          <w:sz w:val="33"/>
          <w:szCs w:val="33"/>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76" w:lineRule="exact"/>
        <w:ind w:firstLine="640"/>
        <w:rPr>
          <w:rFonts w:eastAsia="方正仿宋_GBK"/>
          <w:sz w:val="33"/>
          <w:szCs w:val="33"/>
        </w:rPr>
      </w:pPr>
      <w:r>
        <w:rPr>
          <w:rFonts w:eastAsia="方正仿宋_GBK"/>
          <w:sz w:val="33"/>
          <w:szCs w:val="33"/>
        </w:rPr>
        <w:t>（名词解释部分请根据各部门实际列支情况罗列，并根据本部门职责职能增减名词解释内容。）</w:t>
      </w:r>
    </w:p>
    <w:p>
      <w:pPr>
        <w:spacing w:line="576" w:lineRule="exact"/>
        <w:ind w:firstLine="640"/>
        <w:rPr>
          <w:rFonts w:eastAsia="方正仿宋_GBK"/>
          <w:sz w:val="33"/>
          <w:szCs w:val="33"/>
        </w:rPr>
      </w:pPr>
    </w:p>
    <w:p>
      <w:pPr>
        <w:spacing w:line="576" w:lineRule="exact"/>
        <w:ind w:firstLineChars="200" w:firstLine="660"/>
        <w:rPr>
          <w:rFonts w:eastAsia="方正仿宋_GBK"/>
          <w:color w:val="000000"/>
          <w:kern w:val="0"/>
          <w:sz w:val="33"/>
          <w:szCs w:val="33"/>
        </w:rPr>
      </w:pPr>
    </w:p>
    <w:p>
      <w:pPr>
        <w:pStyle w:val="1"/>
        <w:spacing w:before="0" w:after="0" w:line="576" w:lineRule="exact"/>
        <w:jc w:val="center"/>
        <w:rPr>
          <w:rFonts w:ascii="方正黑体_GBK" w:eastAsia="方正黑体_GBK"/>
          <w:b w:val="0"/>
          <w:sz w:val="33"/>
          <w:szCs w:val="33"/>
        </w:rPr>
      </w:pPr>
      <w:bookmarkStart w:id="62" w:name="_Toc15377226"/>
      <w:r>
        <w:rPr>
          <w:rFonts w:eastAsia="方正仿宋_GBK"/>
          <w:color w:val="000000"/>
          <w:kern w:val="0"/>
          <w:sz w:val="33"/>
          <w:szCs w:val="33"/>
          <w:lang w:val="x-none" w:eastAsia="x-none"/>
        </w:rPr>
        <w:br w:type="page"/>
      </w:r>
      <w:bookmarkStart w:id="63" w:name="_Toc15396614"/>
      <w:r>
        <w:rPr>
          <w:rFonts w:ascii="方正黑体_GBK" w:eastAsia="方正黑体_GBK"/>
          <w:b w:val="0"/>
          <w:sz w:val="33"/>
          <w:szCs w:val="33"/>
        </w:rPr>
        <w:t>第四部分 附件</w:t>
      </w:r>
      <w:bookmarkEnd w:id="63"/>
    </w:p>
    <w:p>
      <w:pPr>
        <w:spacing w:line="576" w:lineRule="exact"/>
        <w:ind w:firstLineChars="200" w:firstLine="660"/>
        <w:rPr>
          <w:rFonts w:ascii="方正黑体_GBK" w:eastAsia="方正黑体_GBK" w:hint="eastAsia"/>
          <w:color w:val="000000"/>
          <w:kern w:val="0"/>
          <w:sz w:val="33"/>
          <w:szCs w:val="33"/>
          <w:lang w:val="x-none"/>
        </w:rPr>
      </w:pPr>
    </w:p>
    <w:p>
      <w:pPr>
        <w:spacing w:line="576" w:lineRule="exact"/>
        <w:ind w:firstLineChars="200" w:firstLine="660"/>
        <w:rPr>
          <w:rFonts w:ascii="方正黑体_GBK" w:eastAsia="方正黑体_GBK" w:hint="eastAsia"/>
          <w:color w:val="000000"/>
          <w:kern w:val="0"/>
          <w:sz w:val="33"/>
          <w:szCs w:val="33"/>
          <w:lang w:val="x-none" w:eastAsia="x-none"/>
        </w:rPr>
      </w:pPr>
      <w:r>
        <w:rPr>
          <w:rFonts w:ascii="方正黑体_GBK" w:eastAsia="方正黑体_GBK" w:hint="eastAsia"/>
          <w:color w:val="000000"/>
          <w:kern w:val="0"/>
          <w:sz w:val="33"/>
          <w:szCs w:val="33"/>
          <w:lang w:val="x-none" w:eastAsia="x-none"/>
        </w:rPr>
        <w:t>附件1</w:t>
      </w:r>
    </w:p>
    <w:p>
      <w:pPr>
        <w:spacing w:line="576" w:lineRule="exact"/>
        <w:ind w:firstLineChars="200" w:firstLine="660"/>
        <w:rPr>
          <w:rFonts w:eastAsia="方正仿宋_GBK"/>
          <w:color w:val="000000"/>
          <w:kern w:val="0"/>
          <w:sz w:val="33"/>
          <w:szCs w:val="33"/>
          <w:lang w:val="x-none" w:eastAsia="x-none"/>
        </w:rPr>
      </w:pPr>
    </w:p>
    <w:p>
      <w:pPr>
        <w:spacing w:line="576" w:lineRule="exact"/>
        <w:ind w:firstLineChars="200" w:firstLine="760"/>
        <w:jc w:val="center"/>
        <w:rPr>
          <w:rFonts w:ascii="方正小标宋_GBK" w:eastAsia="方正小标宋_GBK" w:hint="eastAsia"/>
          <w:color w:val="000000"/>
          <w:kern w:val="0"/>
          <w:sz w:val="38"/>
          <w:szCs w:val="38"/>
          <w:lang w:val="x-none"/>
        </w:rPr>
      </w:pPr>
      <w:r>
        <w:rPr>
          <w:rFonts w:ascii="方正小标宋_GBK" w:eastAsia="方正小标宋_GBK" w:hint="eastAsia"/>
          <w:color w:val="000000"/>
          <w:kern w:val="0"/>
          <w:sz w:val="38"/>
          <w:szCs w:val="38"/>
          <w:lang w:val="x-none" w:eastAsia="x-none"/>
        </w:rPr>
        <w:t>攀枝花市纪检监察教育培训与信息中心</w:t>
      </w:r>
    </w:p>
    <w:p>
      <w:pPr>
        <w:spacing w:line="576" w:lineRule="exact"/>
        <w:ind w:firstLineChars="200" w:firstLine="760"/>
        <w:jc w:val="center"/>
        <w:rPr>
          <w:rFonts w:ascii="方正小标宋_GBK" w:eastAsia="方正小标宋_GBK" w:hint="eastAsia"/>
          <w:color w:val="000000"/>
          <w:kern w:val="0"/>
          <w:sz w:val="38"/>
          <w:szCs w:val="38"/>
          <w:lang w:val="x-none" w:eastAsia="x-none"/>
        </w:rPr>
      </w:pPr>
      <w:r>
        <w:rPr>
          <w:rFonts w:ascii="方正小标宋_GBK" w:eastAsia="方正小标宋_GBK" w:hint="eastAsia"/>
          <w:color w:val="000000"/>
          <w:kern w:val="0"/>
          <w:sz w:val="38"/>
          <w:szCs w:val="38"/>
          <w:lang w:val="x-none" w:eastAsia="x-none"/>
        </w:rPr>
        <w:t>2020年整体支出绩效评价报告</w:t>
      </w:r>
    </w:p>
    <w:p>
      <w:pPr>
        <w:spacing w:line="576" w:lineRule="exact"/>
        <w:ind w:firstLineChars="200" w:firstLine="660"/>
        <w:jc w:val="center"/>
        <w:rPr>
          <w:rFonts w:eastAsia="方正仿宋_GBK"/>
          <w:color w:val="000000"/>
          <w:kern w:val="0"/>
          <w:sz w:val="33"/>
          <w:szCs w:val="33"/>
          <w:lang w:val="x-none" w:eastAsia="x-none"/>
        </w:rPr>
      </w:pPr>
      <w:r>
        <w:rPr>
          <w:rFonts w:eastAsia="方正仿宋_GBK"/>
          <w:color w:val="000000"/>
          <w:kern w:val="0"/>
          <w:sz w:val="33"/>
          <w:szCs w:val="33"/>
          <w:lang w:val="x-none" w:eastAsia="x-none"/>
        </w:rPr>
        <w:t>（报告范围</w:t>
      </w:r>
      <w:r>
        <w:rPr>
          <w:rFonts w:eastAsia="方正仿宋_GBK" w:hint="eastAsia"/>
          <w:color w:val="000000"/>
          <w:kern w:val="0"/>
          <w:sz w:val="33"/>
          <w:szCs w:val="33"/>
          <w:lang w:val="x-none"/>
        </w:rPr>
        <w:t>仅本单位</w:t>
      </w:r>
      <w:r>
        <w:rPr>
          <w:rFonts w:eastAsia="方正仿宋_GBK"/>
          <w:color w:val="000000"/>
          <w:kern w:val="0"/>
          <w:sz w:val="33"/>
          <w:szCs w:val="33"/>
          <w:lang w:val="x-none" w:eastAsia="x-none"/>
        </w:rPr>
        <w:t>）</w:t>
      </w:r>
    </w:p>
    <w:p>
      <w:pPr>
        <w:widowControl/>
        <w:adjustRightInd w:val="0"/>
        <w:snapToGrid w:val="0"/>
        <w:spacing w:line="576" w:lineRule="exact"/>
        <w:ind w:firstLineChars="200" w:firstLine="660"/>
        <w:contextualSpacing/>
        <w:rPr>
          <w:rFonts w:eastAsia="方正仿宋_GBK"/>
          <w:color w:val="000000"/>
          <w:kern w:val="0"/>
          <w:sz w:val="33"/>
          <w:szCs w:val="33"/>
          <w:shd w:val="clear" w:color="auto" w:fill="FFFFFF"/>
        </w:rPr>
      </w:pPr>
    </w:p>
    <w:p>
      <w:pPr>
        <w:spacing w:line="576" w:lineRule="exact"/>
        <w:ind w:firstLine="640"/>
        <w:rPr>
          <w:rFonts w:ascii="方正黑体_GBK" w:eastAsia="方正黑体_GBK"/>
          <w:sz w:val="33"/>
          <w:szCs w:val="33"/>
        </w:rPr>
      </w:pPr>
      <w:r>
        <w:rPr>
          <w:rFonts w:ascii="方正黑体_GBK" w:eastAsia="方正黑体_GBK"/>
          <w:sz w:val="33"/>
          <w:szCs w:val="33"/>
        </w:rPr>
        <w:t>一、部门（单位）概况</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（一）机构组成</w:t>
      </w:r>
    </w:p>
    <w:p>
      <w:pPr>
        <w:spacing w:line="576" w:lineRule="exact"/>
        <w:ind w:firstLine="640"/>
        <w:rPr>
          <w:rFonts w:eastAsia="方正仿宋_GBK" w:hint="eastAsia"/>
          <w:sz w:val="33"/>
          <w:szCs w:val="33"/>
        </w:rPr>
      </w:pPr>
      <w:r>
        <w:rPr>
          <w:rFonts w:eastAsia="方正仿宋_GBK"/>
          <w:sz w:val="33"/>
          <w:szCs w:val="33"/>
        </w:rPr>
        <w:t>市纪检监察教育培训与信息中心</w:t>
      </w:r>
      <w:r>
        <w:rPr>
          <w:rFonts w:eastAsia="方正仿宋_GBK" w:hint="eastAsia"/>
          <w:sz w:val="33"/>
          <w:szCs w:val="33"/>
        </w:rPr>
        <w:t>（市委委留置中心）</w:t>
      </w:r>
      <w:r>
        <w:rPr>
          <w:rFonts w:eastAsia="方正仿宋_GBK"/>
          <w:sz w:val="33"/>
          <w:szCs w:val="33"/>
        </w:rPr>
        <w:t>为</w:t>
      </w:r>
      <w:r>
        <w:rPr>
          <w:rFonts w:eastAsia="方正仿宋_GBK" w:hint="eastAsia"/>
          <w:sz w:val="33"/>
          <w:szCs w:val="33"/>
        </w:rPr>
        <w:t>独立核算</w:t>
      </w:r>
      <w:r>
        <w:rPr>
          <w:rFonts w:eastAsia="方正仿宋_GBK"/>
          <w:sz w:val="33"/>
          <w:szCs w:val="33"/>
        </w:rPr>
        <w:t>公益一类事业单位，预算级次为二级预算单位</w:t>
      </w:r>
      <w:r>
        <w:rPr>
          <w:rFonts w:eastAsia="方正仿宋_GBK" w:hint="eastAsia"/>
          <w:sz w:val="33"/>
          <w:szCs w:val="33"/>
        </w:rPr>
        <w:t>。</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（二）机构职能</w:t>
      </w:r>
    </w:p>
    <w:p>
      <w:pPr>
        <w:spacing w:line="576" w:lineRule="exact"/>
        <w:ind w:firstLine="645"/>
        <w:rPr>
          <w:rFonts w:eastAsia="方正仿宋_GBK" w:hint="eastAsia"/>
          <w:sz w:val="33"/>
          <w:szCs w:val="33"/>
        </w:rPr>
      </w:pPr>
      <w:r>
        <w:rPr>
          <w:rFonts w:eastAsia="方正仿宋_GBK" w:hint="eastAsia"/>
          <w:sz w:val="33"/>
          <w:szCs w:val="33"/>
        </w:rPr>
        <w:t>承</w:t>
      </w:r>
      <w:r>
        <w:rPr>
          <w:rFonts w:eastAsia="方正仿宋_GBK"/>
          <w:sz w:val="33"/>
          <w:szCs w:val="33"/>
        </w:rPr>
        <w:t>担全市纪检监察</w:t>
      </w:r>
      <w:r>
        <w:rPr>
          <w:rFonts w:eastAsia="方正仿宋_GBK" w:hint="eastAsia"/>
          <w:sz w:val="33"/>
          <w:szCs w:val="33"/>
        </w:rPr>
        <w:t>系统信息化建设服务、纪检监察干部的教育培训</w:t>
      </w:r>
      <w:r>
        <w:rPr>
          <w:rFonts w:eastAsia="方正仿宋_GBK"/>
          <w:sz w:val="33"/>
          <w:szCs w:val="33"/>
        </w:rPr>
        <w:t>和查办党纪政纪案件的后勤保障服务工作</w:t>
      </w:r>
      <w:r>
        <w:rPr>
          <w:rFonts w:eastAsia="方正仿宋_GBK" w:hint="eastAsia"/>
          <w:sz w:val="33"/>
          <w:szCs w:val="33"/>
        </w:rPr>
        <w:t>，同时负责攀枝花市监委留置场所接纳、安置对象工作和场所的日常管理、安全保卫等后勤服务保障工作</w:t>
      </w:r>
      <w:r>
        <w:rPr>
          <w:rFonts w:eastAsia="方正仿宋_GBK"/>
          <w:sz w:val="33"/>
          <w:szCs w:val="33"/>
        </w:rPr>
        <w:t>。</w:t>
      </w:r>
    </w:p>
    <w:p>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（三）人员概况。</w:t>
      </w:r>
    </w:p>
    <w:p>
      <w:pPr>
        <w:snapToGrid w:val="0"/>
        <w:spacing w:line="576" w:lineRule="exact"/>
        <w:ind w:firstLineChars="200" w:firstLine="660"/>
        <w:rPr>
          <w:rFonts w:eastAsia="方正仿宋_GBK"/>
          <w:sz w:val="33"/>
          <w:szCs w:val="33"/>
        </w:rPr>
      </w:pPr>
      <w:r>
        <w:rPr>
          <w:rFonts w:eastAsia="方正仿宋_GBK"/>
          <w:sz w:val="33"/>
          <w:szCs w:val="33"/>
        </w:rPr>
        <w:t>中心现有事业编制19人，截止2020年12月31日共有在职人员11人，其中2020年调出3名职工，新调入3名职工。</w:t>
      </w:r>
    </w:p>
    <w:p>
      <w:pPr>
        <w:spacing w:line="576" w:lineRule="exact"/>
        <w:ind w:firstLine="640"/>
        <w:rPr>
          <w:rFonts w:ascii="方正黑体_GBK" w:eastAsia="方正黑体_GBK"/>
          <w:sz w:val="33"/>
          <w:szCs w:val="33"/>
        </w:rPr>
      </w:pPr>
      <w:r>
        <w:rPr>
          <w:rFonts w:ascii="方正黑体_GBK" w:eastAsia="方正黑体_GBK"/>
          <w:sz w:val="33"/>
          <w:szCs w:val="33"/>
        </w:rPr>
        <w:t>二、部门财政资金收支情况</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（一）部门财政资金收入情况</w:t>
      </w:r>
    </w:p>
    <w:p>
      <w:pPr>
        <w:spacing w:line="576" w:lineRule="exact"/>
        <w:ind w:firstLine="640"/>
        <w:rPr>
          <w:rFonts w:eastAsia="方正仿宋_GBK"/>
          <w:sz w:val="33"/>
          <w:szCs w:val="33"/>
        </w:rPr>
      </w:pPr>
      <w:r>
        <w:rPr>
          <w:rFonts w:eastAsia="方正仿宋_GBK"/>
          <w:sz w:val="33"/>
          <w:szCs w:val="33"/>
        </w:rPr>
        <w:t>2020年本部门财政拨款年初预算</w:t>
      </w:r>
      <w:r>
        <w:rPr>
          <w:rFonts w:eastAsia="方正仿宋_GBK" w:hint="eastAsia"/>
          <w:sz w:val="33"/>
          <w:szCs w:val="33"/>
        </w:rPr>
        <w:t>183.56</w:t>
      </w:r>
      <w:r>
        <w:rPr>
          <w:rFonts w:eastAsia="方正仿宋_GBK"/>
          <w:sz w:val="33"/>
          <w:szCs w:val="33"/>
        </w:rPr>
        <w:t>万元，财政拨款调整预算数</w:t>
      </w:r>
      <w:r>
        <w:rPr>
          <w:rFonts w:eastAsia="方正仿宋_GBK" w:hint="eastAsia"/>
          <w:sz w:val="33"/>
          <w:szCs w:val="33"/>
        </w:rPr>
        <w:t>298.89</w:t>
      </w:r>
      <w:r>
        <w:rPr>
          <w:rFonts w:eastAsia="方正仿宋_GBK"/>
          <w:sz w:val="33"/>
          <w:szCs w:val="33"/>
        </w:rPr>
        <w:t>万元，其他收入0.</w:t>
      </w:r>
      <w:r>
        <w:rPr>
          <w:rFonts w:eastAsia="方正仿宋_GBK" w:hint="eastAsia"/>
          <w:sz w:val="33"/>
          <w:szCs w:val="33"/>
        </w:rPr>
        <w:t>03</w:t>
      </w:r>
      <w:r>
        <w:rPr>
          <w:rFonts w:eastAsia="方正仿宋_GBK"/>
          <w:sz w:val="33"/>
          <w:szCs w:val="33"/>
        </w:rPr>
        <w:t>万元，全年收入合计</w:t>
      </w:r>
      <w:r>
        <w:rPr>
          <w:rFonts w:eastAsia="方正仿宋_GBK" w:hint="eastAsia"/>
          <w:sz w:val="33"/>
          <w:szCs w:val="33"/>
        </w:rPr>
        <w:t>298.92</w:t>
      </w:r>
      <w:r>
        <w:rPr>
          <w:rFonts w:eastAsia="方正仿宋_GBK"/>
          <w:sz w:val="33"/>
          <w:szCs w:val="33"/>
        </w:rPr>
        <w:t>万元。</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（二）部门财政资金支出情况</w:t>
      </w:r>
    </w:p>
    <w:p>
      <w:pPr>
        <w:spacing w:line="576" w:lineRule="exact"/>
        <w:ind w:firstLine="640"/>
        <w:rPr>
          <w:rFonts w:eastAsia="方正仿宋_GBK" w:hint="eastAsia"/>
          <w:sz w:val="33"/>
          <w:szCs w:val="33"/>
        </w:rPr>
      </w:pPr>
      <w:r>
        <w:rPr>
          <w:rFonts w:eastAsia="方正仿宋_GBK"/>
          <w:sz w:val="33"/>
          <w:szCs w:val="33"/>
        </w:rPr>
        <w:t>2020年财政拨款支出</w:t>
      </w:r>
      <w:r>
        <w:rPr>
          <w:rFonts w:eastAsia="方正仿宋_GBK" w:hint="eastAsia"/>
          <w:sz w:val="33"/>
          <w:szCs w:val="33"/>
        </w:rPr>
        <w:t>299.01</w:t>
      </w:r>
      <w:r>
        <w:rPr>
          <w:rFonts w:eastAsia="方正仿宋_GBK"/>
          <w:sz w:val="33"/>
          <w:szCs w:val="33"/>
        </w:rPr>
        <w:t>万元：其中</w:t>
      </w:r>
      <w:r>
        <w:rPr>
          <w:rFonts w:eastAsia="方正仿宋_GBK" w:hint="eastAsia"/>
          <w:sz w:val="33"/>
          <w:szCs w:val="33"/>
        </w:rPr>
        <w:t>一般公共预算拨款</w:t>
      </w:r>
      <w:r>
        <w:rPr>
          <w:rFonts w:eastAsia="方正仿宋_GBK"/>
          <w:sz w:val="33"/>
          <w:szCs w:val="33"/>
        </w:rPr>
        <w:t>支出</w:t>
      </w:r>
      <w:r>
        <w:rPr>
          <w:rFonts w:eastAsia="方正仿宋_GBK" w:hint="eastAsia"/>
          <w:sz w:val="33"/>
          <w:szCs w:val="33"/>
        </w:rPr>
        <w:t>171.28</w:t>
      </w:r>
      <w:r>
        <w:rPr>
          <w:rFonts w:eastAsia="方正仿宋_GBK"/>
          <w:sz w:val="33"/>
          <w:szCs w:val="33"/>
        </w:rPr>
        <w:t>万元（人员经费支出</w:t>
      </w:r>
      <w:r>
        <w:rPr>
          <w:rFonts w:eastAsia="方正仿宋_GBK" w:hint="eastAsia"/>
          <w:sz w:val="33"/>
          <w:szCs w:val="33"/>
        </w:rPr>
        <w:t>153.60</w:t>
      </w:r>
      <w:r>
        <w:rPr>
          <w:rFonts w:eastAsia="方正仿宋_GBK"/>
          <w:sz w:val="33"/>
          <w:szCs w:val="33"/>
        </w:rPr>
        <w:t>万元，日常公用支出</w:t>
      </w:r>
      <w:r>
        <w:rPr>
          <w:rFonts w:eastAsia="方正仿宋_GBK" w:hint="eastAsia"/>
          <w:sz w:val="33"/>
          <w:szCs w:val="33"/>
        </w:rPr>
        <w:t>16.66</w:t>
      </w:r>
      <w:r>
        <w:rPr>
          <w:rFonts w:eastAsia="方正仿宋_GBK"/>
          <w:sz w:val="33"/>
          <w:szCs w:val="33"/>
        </w:rPr>
        <w:t>万元，</w:t>
      </w:r>
      <w:r>
        <w:rPr>
          <w:rFonts w:eastAsia="方正仿宋_GBK" w:hint="eastAsia"/>
          <w:sz w:val="33"/>
          <w:szCs w:val="33"/>
        </w:rPr>
        <w:t>一般公共预算</w:t>
      </w:r>
      <w:r>
        <w:rPr>
          <w:rFonts w:eastAsia="方正仿宋_GBK"/>
          <w:sz w:val="33"/>
          <w:szCs w:val="33"/>
        </w:rPr>
        <w:t>项目支出</w:t>
      </w:r>
      <w:r>
        <w:rPr>
          <w:rFonts w:eastAsia="方正仿宋_GBK" w:hint="eastAsia"/>
          <w:sz w:val="33"/>
          <w:szCs w:val="33"/>
        </w:rPr>
        <w:t>1.02</w:t>
      </w:r>
      <w:r>
        <w:rPr>
          <w:rFonts w:eastAsia="方正仿宋_GBK"/>
          <w:sz w:val="33"/>
          <w:szCs w:val="33"/>
        </w:rPr>
        <w:t>万元</w:t>
      </w:r>
      <w:r>
        <w:rPr>
          <w:rFonts w:eastAsia="方正仿宋_GBK" w:hint="eastAsia"/>
          <w:sz w:val="33"/>
          <w:szCs w:val="33"/>
        </w:rPr>
        <w:t>）；政府基金财政拨款预算支出127.69万元。（基本支出5万元，项目支出122.69万元）。</w:t>
      </w:r>
    </w:p>
    <w:p>
      <w:pPr>
        <w:spacing w:line="576" w:lineRule="exact"/>
        <w:ind w:firstLine="640"/>
        <w:rPr>
          <w:rFonts w:ascii="方正黑体_GBK" w:eastAsia="方正黑体_GBK"/>
          <w:sz w:val="33"/>
          <w:szCs w:val="33"/>
        </w:rPr>
      </w:pPr>
      <w:r>
        <w:rPr>
          <w:rFonts w:ascii="方正黑体_GBK" w:eastAsia="方正黑体_GBK"/>
          <w:sz w:val="33"/>
          <w:szCs w:val="33"/>
        </w:rPr>
        <w:t>三、部门整体预算绩效管理情况</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（一）部门预算管理</w:t>
      </w:r>
    </w:p>
    <w:p>
      <w:pPr>
        <w:spacing w:line="576" w:lineRule="exact"/>
        <w:ind w:firstLine="640"/>
        <w:rPr>
          <w:rFonts w:eastAsia="方正仿宋_GBK"/>
          <w:sz w:val="33"/>
          <w:szCs w:val="33"/>
        </w:rPr>
      </w:pPr>
      <w:r>
        <w:rPr>
          <w:rFonts w:eastAsia="方正仿宋_GBK"/>
          <w:sz w:val="33"/>
          <w:szCs w:val="33"/>
        </w:rPr>
        <w:t>按照预算、决算绩效目标管理要求，攀枝花市</w:t>
      </w:r>
      <w:r>
        <w:rPr>
          <w:rFonts w:eastAsia="方正仿宋_GBK" w:hint="eastAsia"/>
          <w:sz w:val="33"/>
          <w:szCs w:val="33"/>
        </w:rPr>
        <w:t>纪检监察教育培训与信息中心</w:t>
      </w:r>
      <w:r>
        <w:rPr>
          <w:rFonts w:eastAsia="方正仿宋_GBK"/>
          <w:sz w:val="33"/>
          <w:szCs w:val="33"/>
        </w:rPr>
        <w:t>对2020年市级财政项目支出开展了绩效目标管理。年初制定绩效项目预期目标，根据绩效项目的执行进度进行预算动态调整，并积极向财政争取资金，纳入财政中期预算。使项目资金实现了经济效益、社会效益和生态效益，完成了年初设定的目标任务，绩效目标完成较好。无任何违规记录。</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（二）结果应用情况</w:t>
      </w:r>
    </w:p>
    <w:p>
      <w:pPr>
        <w:spacing w:line="576" w:lineRule="exact"/>
        <w:ind w:firstLine="640"/>
        <w:rPr>
          <w:rFonts w:eastAsia="方正仿宋_GBK" w:hint="eastAsia"/>
          <w:sz w:val="33"/>
          <w:szCs w:val="33"/>
        </w:rPr>
      </w:pPr>
      <w:r>
        <w:rPr>
          <w:rFonts w:eastAsia="方正仿宋_GBK"/>
          <w:sz w:val="33"/>
          <w:szCs w:val="33"/>
        </w:rPr>
        <w:t>按照预算绩效管理要求，本部门对2020年整体支出开展了绩效自评，自评质量达到中上，基本做到了资金使用有计划、有审批、有跟踪、有落实，实现了资金的计划管理。绩效目标在决算公开中进行一并公开，</w:t>
      </w:r>
      <w:r>
        <w:rPr>
          <w:rFonts w:eastAsia="方正仿宋_GBK" w:hint="eastAsia"/>
          <w:sz w:val="33"/>
          <w:szCs w:val="33"/>
        </w:rPr>
        <w:t>接受社会各界和</w:t>
      </w:r>
      <w:r>
        <w:rPr>
          <w:rFonts w:eastAsia="方正仿宋_GBK"/>
          <w:sz w:val="33"/>
          <w:szCs w:val="33"/>
        </w:rPr>
        <w:t>广大群众对我</w:t>
      </w:r>
      <w:r>
        <w:rPr>
          <w:rFonts w:eastAsia="方正仿宋_GBK" w:hint="eastAsia"/>
          <w:sz w:val="33"/>
          <w:szCs w:val="33"/>
        </w:rPr>
        <w:t>单位</w:t>
      </w:r>
      <w:r>
        <w:rPr>
          <w:rFonts w:eastAsia="方正仿宋_GBK"/>
          <w:sz w:val="33"/>
          <w:szCs w:val="33"/>
        </w:rPr>
        <w:t>的经费管理、使用</w:t>
      </w:r>
      <w:r>
        <w:rPr>
          <w:rFonts w:eastAsia="方正仿宋_GBK" w:hint="eastAsia"/>
          <w:sz w:val="33"/>
          <w:szCs w:val="33"/>
        </w:rPr>
        <w:t>情况</w:t>
      </w:r>
      <w:r>
        <w:rPr>
          <w:rFonts w:eastAsia="方正仿宋_GBK"/>
          <w:sz w:val="33"/>
          <w:szCs w:val="33"/>
        </w:rPr>
        <w:t>监督。并根据绩效目标监控结果应用加强单位内部审计，以保证合理合</w:t>
      </w:r>
      <w:r>
        <w:rPr>
          <w:rFonts w:eastAsia="方正仿宋_GBK" w:hint="eastAsia"/>
          <w:sz w:val="33"/>
          <w:szCs w:val="33"/>
        </w:rPr>
        <w:t>规</w:t>
      </w:r>
      <w:r>
        <w:rPr>
          <w:rFonts w:eastAsia="方正仿宋_GBK"/>
          <w:sz w:val="33"/>
          <w:szCs w:val="33"/>
        </w:rPr>
        <w:t>使用各项资金</w:t>
      </w:r>
      <w:r>
        <w:rPr>
          <w:rFonts w:eastAsia="方正仿宋_GBK" w:hint="eastAsia"/>
          <w:sz w:val="33"/>
          <w:szCs w:val="33"/>
        </w:rPr>
        <w:t>。</w:t>
      </w:r>
    </w:p>
    <w:p>
      <w:pPr>
        <w:spacing w:line="576" w:lineRule="exact"/>
        <w:ind w:firstLine="640"/>
        <w:rPr>
          <w:rFonts w:ascii="方正黑体_GBK" w:eastAsia="方正黑体_GBK"/>
          <w:sz w:val="33"/>
          <w:szCs w:val="33"/>
        </w:rPr>
      </w:pPr>
      <w:r>
        <w:rPr>
          <w:rFonts w:ascii="方正黑体_GBK" w:eastAsia="方正黑体_GBK"/>
          <w:sz w:val="33"/>
          <w:szCs w:val="33"/>
        </w:rPr>
        <w:t>四、评价结论及建议</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（一）评价结论</w:t>
      </w:r>
    </w:p>
    <w:p>
      <w:pPr>
        <w:spacing w:line="576" w:lineRule="exact"/>
        <w:ind w:firstLine="640"/>
        <w:rPr>
          <w:rFonts w:eastAsia="方正仿宋_GBK"/>
          <w:sz w:val="33"/>
          <w:szCs w:val="33"/>
        </w:rPr>
      </w:pPr>
      <w:r>
        <w:rPr>
          <w:rFonts w:eastAsia="方正仿宋_GBK"/>
          <w:sz w:val="33"/>
          <w:szCs w:val="33"/>
        </w:rPr>
        <w:t>我</w:t>
      </w:r>
      <w:r>
        <w:rPr>
          <w:rFonts w:eastAsia="方正仿宋_GBK" w:hint="eastAsia"/>
          <w:sz w:val="33"/>
          <w:szCs w:val="33"/>
        </w:rPr>
        <w:t>单位</w:t>
      </w:r>
      <w:r>
        <w:rPr>
          <w:rFonts w:eastAsia="方正仿宋_GBK"/>
          <w:sz w:val="33"/>
          <w:szCs w:val="33"/>
        </w:rPr>
        <w:t>能够严格按照财务制度、财经纪律办理支出，制度较为健全，支出程序清晰，支出绩效明显。</w:t>
      </w:r>
    </w:p>
    <w:p>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（二）存在问题。</w:t>
      </w:r>
    </w:p>
    <w:p>
      <w:pPr>
        <w:spacing w:line="576" w:lineRule="exact"/>
        <w:ind w:firstLine="640"/>
        <w:rPr>
          <w:rFonts w:eastAsia="方正仿宋_GBK"/>
          <w:sz w:val="33"/>
          <w:szCs w:val="33"/>
        </w:rPr>
      </w:pPr>
      <w:r>
        <w:rPr>
          <w:rFonts w:eastAsia="方正仿宋_GBK"/>
          <w:sz w:val="33"/>
          <w:szCs w:val="33"/>
        </w:rPr>
        <w:t xml:space="preserve">1．绩效评价指标体系还不完善。 财政支出的评价涉及多方面业务，各单位个性化项目指标体系设计存在难度，各单位绩效评价内容不够全面，多以工作总结替代绩效评价，难以满足不同需求者对财政绩效评价需求。 </w:t>
      </w:r>
    </w:p>
    <w:p>
      <w:pPr>
        <w:spacing w:line="576" w:lineRule="exact"/>
        <w:ind w:firstLine="640"/>
        <w:rPr>
          <w:rFonts w:eastAsia="方正仿宋_GBK"/>
          <w:sz w:val="33"/>
          <w:szCs w:val="33"/>
        </w:rPr>
      </w:pPr>
      <w:r>
        <w:rPr>
          <w:rFonts w:eastAsia="方正仿宋_GBK"/>
          <w:sz w:val="33"/>
          <w:szCs w:val="33"/>
        </w:rPr>
        <w:t>2．项目实施方对预算绩效评价重要性认识不够深，人员素质有待进一步提高。 由于预算绩效管理工作开展时间不长，单位项目实施者多数认为是财务的工作，财务人员对绩效评价大多理解不充分，具体对单位业务不精通，财务很难整合业务室</w:t>
      </w:r>
      <w:r>
        <w:rPr>
          <w:rFonts w:eastAsia="方正仿宋_GBK" w:hint="eastAsia"/>
          <w:sz w:val="33"/>
          <w:szCs w:val="33"/>
        </w:rPr>
        <w:t>部</w:t>
      </w:r>
      <w:r>
        <w:rPr>
          <w:rFonts w:eastAsia="方正仿宋_GBK"/>
          <w:sz w:val="33"/>
          <w:szCs w:val="33"/>
        </w:rPr>
        <w:t xml:space="preserve">人员共同搞好绩效评价，在一定程度上影响了绩效评价工作质量。 </w:t>
      </w:r>
    </w:p>
    <w:p>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（三）改进建议。</w:t>
      </w:r>
    </w:p>
    <w:p>
      <w:pPr>
        <w:spacing w:line="576" w:lineRule="exact"/>
        <w:ind w:firstLine="640"/>
        <w:rPr>
          <w:rFonts w:eastAsia="方正仿宋_GBK"/>
          <w:sz w:val="33"/>
          <w:szCs w:val="33"/>
        </w:rPr>
      </w:pPr>
      <w:r>
        <w:rPr>
          <w:rFonts w:eastAsia="方正仿宋_GBK"/>
          <w:sz w:val="33"/>
          <w:szCs w:val="33"/>
        </w:rPr>
        <w:t>1．建立科学的绩效评价指标体系和评价标准。兼顾单位绩效和全市绩效</w:t>
      </w:r>
      <w:r>
        <w:rPr>
          <w:rFonts w:eastAsia="方正仿宋_GBK" w:hint="eastAsia"/>
          <w:sz w:val="33"/>
          <w:szCs w:val="33"/>
        </w:rPr>
        <w:t>、</w:t>
      </w:r>
      <w:r>
        <w:rPr>
          <w:rFonts w:eastAsia="方正仿宋_GBK"/>
          <w:sz w:val="33"/>
          <w:szCs w:val="33"/>
        </w:rPr>
        <w:t>当前绩效</w:t>
      </w:r>
      <w:r>
        <w:rPr>
          <w:rFonts w:eastAsia="方正仿宋_GBK" w:hint="eastAsia"/>
          <w:sz w:val="33"/>
          <w:szCs w:val="33"/>
        </w:rPr>
        <w:t>和</w:t>
      </w:r>
      <w:r>
        <w:rPr>
          <w:rFonts w:eastAsia="方正仿宋_GBK"/>
          <w:sz w:val="33"/>
          <w:szCs w:val="33"/>
        </w:rPr>
        <w:t>长远绩效</w:t>
      </w:r>
      <w:r>
        <w:rPr>
          <w:rFonts w:eastAsia="方正仿宋_GBK" w:hint="eastAsia"/>
          <w:sz w:val="33"/>
          <w:szCs w:val="33"/>
        </w:rPr>
        <w:t>、</w:t>
      </w:r>
      <w:r>
        <w:rPr>
          <w:rFonts w:eastAsia="方正仿宋_GBK"/>
          <w:sz w:val="33"/>
          <w:szCs w:val="33"/>
        </w:rPr>
        <w:t>直接绩效和间接绩效，结合不同部门的实际情况设计符合</w:t>
      </w:r>
      <w:r>
        <w:rPr>
          <w:rFonts w:eastAsia="方正仿宋_GBK" w:hint="eastAsia"/>
          <w:sz w:val="33"/>
          <w:szCs w:val="33"/>
        </w:rPr>
        <w:t>单位各</w:t>
      </w:r>
      <w:r>
        <w:rPr>
          <w:rFonts w:eastAsia="方正仿宋_GBK"/>
          <w:sz w:val="33"/>
          <w:szCs w:val="33"/>
        </w:rPr>
        <w:t>项目特点的绩效评价指标。</w:t>
      </w:r>
    </w:p>
    <w:p>
      <w:pPr>
        <w:spacing w:line="576" w:lineRule="exact"/>
        <w:ind w:firstLine="640"/>
        <w:rPr>
          <w:rFonts w:eastAsia="方正仿宋_GBK"/>
          <w:sz w:val="33"/>
          <w:szCs w:val="33"/>
        </w:rPr>
      </w:pPr>
      <w:r>
        <w:rPr>
          <w:rFonts w:eastAsia="方正仿宋_GBK"/>
          <w:sz w:val="33"/>
          <w:szCs w:val="33"/>
        </w:rPr>
        <w:t xml:space="preserve">2．加强学习培训，提升业务能力。财务人员要学习业务和项目相关知识，业务人员要学财务经济类知识，各部门通过请进来与走出去方式相互学习，财政部门组织各类培训，通过进行多方位多层次的学习培训，努力提高绩效评价人员素质，真正将预算绩效管理工作落实到位。 </w:t>
      </w:r>
    </w:p>
    <w:p>
      <w:pPr>
        <w:spacing w:line="576" w:lineRule="exact"/>
        <w:rPr>
          <w:rFonts w:eastAsia="方正仿宋_GBK"/>
          <w:sz w:val="33"/>
          <w:szCs w:val="33"/>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eastAsia="方正仿宋_GBK" w:hint="eastAsia"/>
          <w:color w:val="000000"/>
          <w:kern w:val="0"/>
          <w:sz w:val="33"/>
          <w:szCs w:val="33"/>
          <w:lang w:val="x-none"/>
        </w:rPr>
      </w:pPr>
    </w:p>
    <w:p>
      <w:pPr>
        <w:spacing w:line="576" w:lineRule="exact"/>
        <w:rPr>
          <w:rFonts w:ascii="方正黑体_GBK" w:eastAsia="方正黑体_GBK" w:hint="eastAsia"/>
          <w:color w:val="000000"/>
          <w:kern w:val="0"/>
          <w:sz w:val="33"/>
          <w:szCs w:val="33"/>
          <w:lang w:val="x-none"/>
        </w:rPr>
      </w:pPr>
      <w:r>
        <w:rPr>
          <w:rFonts w:ascii="方正黑体_GBK" w:eastAsia="方正黑体_GBK" w:hint="eastAsia"/>
          <w:color w:val="000000"/>
          <w:kern w:val="0"/>
          <w:sz w:val="33"/>
          <w:szCs w:val="33"/>
          <w:lang w:val="x-none" w:eastAsia="x-none"/>
        </w:rPr>
        <w:t>附件2</w:t>
      </w:r>
    </w:p>
    <w:p>
      <w:pPr>
        <w:spacing w:line="576" w:lineRule="exact"/>
        <w:jc w:val="center"/>
        <w:rPr>
          <w:rFonts w:ascii="方正小标宋_GBK" w:eastAsia="方正小标宋_GBK" w:hint="eastAsia"/>
          <w:b/>
          <w:color w:val="000000"/>
          <w:kern w:val="0"/>
          <w:sz w:val="38"/>
          <w:szCs w:val="38"/>
          <w:lang w:val="zh-CN"/>
        </w:rPr>
      </w:pPr>
      <w:r>
        <w:rPr>
          <w:rFonts w:ascii="方正小标宋_GBK" w:eastAsia="方正小标宋_GBK" w:hint="eastAsia"/>
          <w:b/>
          <w:color w:val="000000"/>
          <w:kern w:val="0"/>
          <w:sz w:val="38"/>
          <w:szCs w:val="38"/>
          <w:lang w:val="zh-CN"/>
        </w:rPr>
        <w:t>反腐基地运行维护费用</w:t>
      </w:r>
    </w:p>
    <w:p>
      <w:pPr>
        <w:spacing w:line="576" w:lineRule="exact"/>
        <w:jc w:val="center"/>
        <w:rPr>
          <w:rFonts w:ascii="方正小标宋_GBK" w:eastAsia="方正小标宋_GBK" w:hint="eastAsia"/>
          <w:b/>
          <w:color w:val="000000"/>
          <w:kern w:val="0"/>
          <w:sz w:val="38"/>
          <w:szCs w:val="38"/>
          <w:lang w:val="zh-CN"/>
        </w:rPr>
      </w:pPr>
      <w:r>
        <w:rPr>
          <w:rFonts w:ascii="方正小标宋_GBK" w:eastAsia="方正小标宋_GBK" w:hint="eastAsia"/>
          <w:b/>
          <w:color w:val="000000"/>
          <w:kern w:val="0"/>
          <w:sz w:val="38"/>
          <w:szCs w:val="38"/>
          <w:lang w:val="zh-CN"/>
        </w:rPr>
        <w:t>2020年绩效评价报告</w:t>
      </w:r>
    </w:p>
    <w:p>
      <w:pPr>
        <w:spacing w:line="576" w:lineRule="exact"/>
        <w:rPr>
          <w:rFonts w:eastAsia="方正仿宋_GBK"/>
          <w:sz w:val="38"/>
          <w:szCs w:val="38"/>
          <w:lang w:val="zh-CN"/>
        </w:rPr>
      </w:pPr>
    </w:p>
    <w:p>
      <w:pPr>
        <w:spacing w:line="576" w:lineRule="exact"/>
        <w:ind w:firstLine="640"/>
        <w:rPr>
          <w:rFonts w:ascii="方正黑体_GBK" w:eastAsia="方正黑体_GBK"/>
          <w:sz w:val="33"/>
          <w:szCs w:val="33"/>
        </w:rPr>
      </w:pPr>
      <w:r>
        <w:rPr>
          <w:rFonts w:ascii="方正黑体_GBK" w:eastAsia="方正黑体_GBK"/>
          <w:sz w:val="33"/>
          <w:szCs w:val="33"/>
        </w:rPr>
        <w:t>一、项目概况</w:t>
      </w:r>
    </w:p>
    <w:p>
      <w:pPr>
        <w:spacing w:line="576" w:lineRule="exact"/>
        <w:ind w:firstLineChars="200" w:firstLine="660"/>
        <w:rPr>
          <w:rFonts w:ascii="方正楷体_GBK" w:eastAsia="方正楷体_GBK" w:hint="eastAsia"/>
          <w:b/>
          <w:color w:val="000000"/>
          <w:kern w:val="0"/>
          <w:sz w:val="33"/>
          <w:szCs w:val="33"/>
          <w:lang w:val="x-none"/>
        </w:rPr>
      </w:pPr>
      <w:r>
        <w:rPr>
          <w:rFonts w:ascii="方正楷体_GBK" w:eastAsia="方正楷体_GBK"/>
          <w:b/>
          <w:color w:val="000000"/>
          <w:kern w:val="0"/>
          <w:sz w:val="33"/>
          <w:szCs w:val="33"/>
          <w:lang w:val="x-none" w:eastAsia="x-none"/>
        </w:rPr>
        <w:t>（一）项目基本情况。</w:t>
      </w:r>
    </w:p>
    <w:p>
      <w:pPr>
        <w:spacing w:line="576" w:lineRule="exact"/>
        <w:ind w:firstLine="640"/>
        <w:rPr>
          <w:rFonts w:eastAsia="方正仿宋_GBK" w:hint="eastAsia"/>
          <w:sz w:val="33"/>
          <w:szCs w:val="33"/>
        </w:rPr>
      </w:pPr>
      <w:r>
        <w:rPr>
          <w:rFonts w:eastAsia="方正仿宋_GBK"/>
          <w:sz w:val="33"/>
          <w:szCs w:val="33"/>
        </w:rPr>
        <w:t>为进一步规范财政资金管理，牢固树立预算绩效概念，强化部门项目资金支出监控，提高财政资金使用效益；根据财政统一部署安排，我</w:t>
      </w:r>
      <w:r>
        <w:rPr>
          <w:rFonts w:eastAsia="方正仿宋_GBK" w:hint="eastAsia"/>
          <w:sz w:val="33"/>
          <w:szCs w:val="33"/>
        </w:rPr>
        <w:t>单位</w:t>
      </w:r>
      <w:r>
        <w:rPr>
          <w:rFonts w:eastAsia="方正仿宋_GBK"/>
          <w:sz w:val="33"/>
          <w:szCs w:val="33"/>
        </w:rPr>
        <w:t>对2020年度</w:t>
      </w:r>
      <w:r>
        <w:rPr>
          <w:rFonts w:eastAsia="方正仿宋_GBK" w:hint="eastAsia"/>
          <w:sz w:val="33"/>
          <w:szCs w:val="33"/>
        </w:rPr>
        <w:t>反腐基地运行维护费用</w:t>
      </w:r>
      <w:r>
        <w:rPr>
          <w:rFonts w:eastAsia="方正仿宋_GBK"/>
          <w:sz w:val="33"/>
          <w:szCs w:val="33"/>
        </w:rPr>
        <w:t>项目支出绩效进行了评价。按照年初预算、年中调整、年末梳理、全年监控的方法，开展绩效自评，对项目预算执行情况、项目绩效目标完成（调整）情况以及资金使用绩效进行全面自查，绩效评价自评结果为优良，同时充分运用绩效评价结果，不断加强项目资金管理。</w:t>
      </w:r>
    </w:p>
    <w:p>
      <w:pPr>
        <w:autoSpaceDE w:val="0"/>
        <w:autoSpaceDN w:val="0"/>
        <w:adjustRightInd w:val="0"/>
        <w:spacing w:line="600" w:lineRule="exact"/>
        <w:ind w:firstLineChars="200" w:firstLine="660"/>
        <w:jc w:val="left"/>
        <w:rPr>
          <w:rFonts w:eastAsia="仿宋_GB2312" w:hint="eastAsia"/>
          <w:kern w:val="0"/>
          <w:sz w:val="32"/>
          <w:szCs w:val="32"/>
        </w:rPr>
      </w:pPr>
      <w:r>
        <w:rPr>
          <w:rFonts w:ascii="方正楷体_GBK" w:eastAsia="方正楷体_GBK"/>
          <w:b/>
          <w:color w:val="000000"/>
          <w:kern w:val="0"/>
          <w:sz w:val="33"/>
          <w:szCs w:val="33"/>
          <w:lang w:val="x-none" w:eastAsia="x-none"/>
        </w:rPr>
        <w:t>（二）项目绩效目标。</w:t>
      </w:r>
      <w:r>
        <w:rPr>
          <w:rFonts w:eastAsia="仿宋_GB2312" w:hint="eastAsia"/>
          <w:kern w:val="0"/>
          <w:sz w:val="32"/>
          <w:szCs w:val="32"/>
        </w:rPr>
        <w:t>留置区设备设施正常运行，为办案单位提供有效的后勤保障。</w:t>
      </w:r>
    </w:p>
    <w:p>
      <w:pPr>
        <w:spacing w:line="576" w:lineRule="exact"/>
        <w:ind w:firstLineChars="197" w:firstLine="650"/>
        <w:rPr>
          <w:rFonts w:ascii="方正楷体_GBK" w:eastAsia="方正楷体_GBK" w:hint="eastAsia"/>
          <w:b/>
          <w:color w:val="000000"/>
          <w:kern w:val="0"/>
          <w:sz w:val="33"/>
          <w:szCs w:val="33"/>
        </w:rPr>
      </w:pPr>
    </w:p>
    <w:p>
      <w:pPr>
        <w:spacing w:line="576" w:lineRule="exact"/>
        <w:ind w:firstLineChars="200" w:firstLine="660"/>
        <w:rPr>
          <w:rFonts w:ascii="方正楷体_GBK" w:eastAsia="方正楷体_GBK" w:hint="eastAsia"/>
          <w:b/>
          <w:color w:val="000000"/>
          <w:kern w:val="0"/>
          <w:sz w:val="33"/>
          <w:szCs w:val="33"/>
        </w:rPr>
      </w:pPr>
    </w:p>
    <w:p>
      <w:pPr>
        <w:spacing w:line="576" w:lineRule="exact"/>
        <w:ind w:firstLineChars="200" w:firstLine="660"/>
        <w:rPr>
          <w:rFonts w:ascii="方正楷体_GBK" w:eastAsia="方正楷体_GBK" w:hint="eastAsia"/>
          <w:b/>
          <w:color w:val="000000"/>
          <w:kern w:val="0"/>
          <w:sz w:val="33"/>
          <w:szCs w:val="33"/>
        </w:rPr>
      </w:pPr>
    </w:p>
    <w:p>
      <w:pPr>
        <w:spacing w:line="576" w:lineRule="exact"/>
        <w:ind w:firstLineChars="200" w:firstLine="660"/>
        <w:rPr>
          <w:rFonts w:ascii="方正楷体_GBK" w:eastAsia="方正楷体_GBK" w:hint="eastAsia"/>
          <w:b/>
          <w:color w:val="000000"/>
          <w:kern w:val="0"/>
          <w:sz w:val="33"/>
          <w:szCs w:val="33"/>
        </w:rPr>
      </w:pPr>
    </w:p>
    <w:p>
      <w:pPr>
        <w:spacing w:line="576" w:lineRule="exact"/>
        <w:ind w:firstLineChars="200" w:firstLine="660"/>
        <w:rPr>
          <w:rFonts w:ascii="方正楷体_GBK" w:eastAsia="方正楷体_GBK" w:hint="eastAsia"/>
          <w:b/>
          <w:color w:val="000000"/>
          <w:kern w:val="0"/>
          <w:sz w:val="33"/>
          <w:szCs w:val="33"/>
        </w:rPr>
      </w:pPr>
    </w:p>
    <w:p>
      <w:pPr>
        <w:spacing w:line="576" w:lineRule="exact"/>
        <w:rPr>
          <w:rFonts w:ascii="方正小标宋_GBK" w:eastAsia="方正小标宋_GBK" w:hint="eastAsia"/>
          <w:b/>
          <w:color w:val="000000"/>
          <w:sz w:val="38"/>
          <w:szCs w:val="38"/>
        </w:rPr>
      </w:pPr>
    </w:p>
    <w:p>
      <w:pPr>
        <w:spacing w:line="576" w:lineRule="exact"/>
        <w:jc w:val="center"/>
        <w:rPr>
          <w:rFonts w:ascii="方正小标宋_GBK" w:eastAsia="方正小标宋_GBK" w:hint="eastAsia"/>
          <w:b/>
          <w:color w:val="000000"/>
          <w:sz w:val="38"/>
          <w:szCs w:val="38"/>
        </w:rPr>
      </w:pPr>
      <w:r>
        <w:rPr>
          <w:rFonts w:ascii="方正小标宋_GBK" w:eastAsia="方正小标宋_GBK" w:hint="eastAsia"/>
          <w:b/>
          <w:color w:val="000000"/>
          <w:sz w:val="38"/>
          <w:szCs w:val="38"/>
        </w:rPr>
        <w:t>项目支出绩效评价得分</w:t>
      </w:r>
    </w:p>
    <w:tbl>
      <w:tblPr>
        <w:tblpPr w:leftFromText="180" w:rightFromText="180" w:vertAnchor="text" w:horzAnchor="margin" w:tblpXSpec="center" w:tblpY="470"/>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8"/>
        <w:gridCol w:w="2113"/>
        <w:gridCol w:w="3535"/>
        <w:gridCol w:w="1311"/>
        <w:gridCol w:w="1311"/>
      </w:tblGrid>
      <w:tr>
        <w:trPr>
          <w:trHeight w:val="639"/>
        </w:trPr>
        <w:tc>
          <w:tcPr>
            <w:tcW w:w="1618"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单位名称/</w:t>
            </w:r>
          </w:p>
          <w:p>
            <w:pPr>
              <w:widowControl/>
              <w:spacing w:line="360" w:lineRule="exact"/>
              <w:rPr>
                <w:rFonts w:eastAsia="方正仿宋_GBK"/>
                <w:b/>
                <w:bCs/>
                <w:color w:val="000000"/>
                <w:kern w:val="0"/>
                <w:sz w:val="24"/>
              </w:rPr>
            </w:pPr>
            <w:r>
              <w:rPr>
                <w:rFonts w:eastAsia="方正仿宋_GBK"/>
                <w:b/>
                <w:bCs/>
                <w:color w:val="000000"/>
                <w:kern w:val="0"/>
                <w:sz w:val="24"/>
              </w:rPr>
              <w:t>项目名称</w:t>
            </w:r>
          </w:p>
        </w:tc>
        <w:tc>
          <w:tcPr>
            <w:tcW w:w="8270" w:type="dxa"/>
            <w:gridSpan w:val="4"/>
            <w:vAlign w:val="center"/>
          </w:tcPr>
          <w:p>
            <w:pPr>
              <w:widowControl/>
              <w:spacing w:line="360" w:lineRule="exact"/>
              <w:rPr>
                <w:rFonts w:eastAsia="方正仿宋_GBK" w:hint="eastAsia"/>
                <w:b/>
                <w:bCs/>
                <w:color w:val="000000"/>
                <w:kern w:val="0"/>
                <w:sz w:val="24"/>
              </w:rPr>
            </w:pPr>
            <w:r>
              <w:rPr>
                <w:rFonts w:eastAsia="方正仿宋_GBK" w:hint="eastAsia"/>
                <w:b/>
                <w:bCs/>
                <w:color w:val="000000"/>
                <w:kern w:val="0"/>
                <w:sz w:val="24"/>
              </w:rPr>
              <w:t>反腐基地运行维护费用</w:t>
            </w:r>
          </w:p>
        </w:tc>
      </w:tr>
      <w:tr>
        <w:trPr>
          <w:trHeight w:val="702"/>
        </w:trPr>
        <w:tc>
          <w:tcPr>
            <w:tcW w:w="1618"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一级</w:t>
            </w:r>
          </w:p>
          <w:p>
            <w:pPr>
              <w:widowControl/>
              <w:spacing w:line="360" w:lineRule="exact"/>
              <w:rPr>
                <w:rFonts w:eastAsia="方正仿宋_GBK"/>
                <w:b/>
                <w:bCs/>
                <w:color w:val="000000"/>
                <w:kern w:val="0"/>
                <w:sz w:val="24"/>
              </w:rPr>
            </w:pPr>
            <w:r>
              <w:rPr>
                <w:rFonts w:eastAsia="方正仿宋_GBK"/>
                <w:b/>
                <w:bCs/>
                <w:color w:val="000000"/>
                <w:kern w:val="0"/>
                <w:sz w:val="24"/>
              </w:rPr>
              <w:t>指标</w:t>
            </w:r>
          </w:p>
        </w:tc>
        <w:tc>
          <w:tcPr>
            <w:tcW w:w="2113"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二级</w:t>
            </w:r>
          </w:p>
          <w:p>
            <w:pPr>
              <w:widowControl/>
              <w:spacing w:line="360" w:lineRule="exact"/>
              <w:rPr>
                <w:rFonts w:eastAsia="方正仿宋_GBK"/>
                <w:b/>
                <w:bCs/>
                <w:color w:val="000000"/>
                <w:kern w:val="0"/>
                <w:sz w:val="24"/>
              </w:rPr>
            </w:pPr>
            <w:r>
              <w:rPr>
                <w:rFonts w:eastAsia="方正仿宋_GBK"/>
                <w:b/>
                <w:bCs/>
                <w:color w:val="000000"/>
                <w:kern w:val="0"/>
                <w:sz w:val="24"/>
              </w:rPr>
              <w:t>指标</w:t>
            </w:r>
          </w:p>
        </w:tc>
        <w:tc>
          <w:tcPr>
            <w:tcW w:w="3535"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三级指标</w:t>
            </w:r>
          </w:p>
        </w:tc>
        <w:tc>
          <w:tcPr>
            <w:tcW w:w="1311"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分值</w:t>
            </w:r>
          </w:p>
        </w:tc>
        <w:tc>
          <w:tcPr>
            <w:tcW w:w="1311" w:type="dxa"/>
            <w:vAlign w:val="center"/>
          </w:tcPr>
          <w:p>
            <w:pPr>
              <w:widowControl/>
              <w:spacing w:line="360" w:lineRule="exact"/>
              <w:rPr>
                <w:rFonts w:eastAsia="方正仿宋_GBK"/>
                <w:b/>
                <w:bCs/>
                <w:color w:val="000000"/>
                <w:kern w:val="0"/>
                <w:sz w:val="24"/>
              </w:rPr>
            </w:pPr>
            <w:r>
              <w:rPr>
                <w:rFonts w:eastAsia="方正仿宋_GBK"/>
                <w:b/>
                <w:bCs/>
                <w:color w:val="000000"/>
                <w:kern w:val="0"/>
                <w:sz w:val="24"/>
              </w:rPr>
              <w:t>得分</w:t>
            </w:r>
          </w:p>
        </w:tc>
      </w:tr>
      <w:tr>
        <w:trPr>
          <w:trHeight w:val="20"/>
        </w:trPr>
        <w:tc>
          <w:tcPr>
            <w:tcW w:w="1618"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（20分）</w:t>
              <w:br/>
              <w:t>项目决策</w:t>
            </w:r>
          </w:p>
        </w:tc>
        <w:tc>
          <w:tcPr>
            <w:tcW w:w="2113"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（10分）</w:t>
              <w:br/>
              <w:t>科学决策</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必要性</w:t>
              <w:br/>
              <w:t>（政策依据)</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r>
      <w:tr>
        <w:trPr>
          <w:trHeight w:val="20"/>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可行性</w:t>
              <w:br/>
              <w:t>（政策完善）</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r>
      <w:tr>
        <w:trPr>
          <w:trHeight w:val="485"/>
        </w:trPr>
        <w:tc>
          <w:tcPr>
            <w:tcW w:w="1618" w:type="dxa"/>
            <w:vMerge/>
            <w:vAlign w:val="center"/>
          </w:tcPr>
          <w:p/>
        </w:tc>
        <w:tc>
          <w:tcPr>
            <w:tcW w:w="2113"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（10）</w:t>
              <w:br/>
              <w:t xml:space="preserve">绩效目标    </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明确性</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r>
      <w:tr>
        <w:trPr>
          <w:trHeight w:val="563"/>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合理性</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r>
      <w:tr>
        <w:trPr>
          <w:trHeight w:val="543"/>
        </w:trPr>
        <w:tc>
          <w:tcPr>
            <w:tcW w:w="1618"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（10分）</w:t>
              <w:br/>
              <w:t>项目管理</w:t>
            </w:r>
          </w:p>
        </w:tc>
        <w:tc>
          <w:tcPr>
            <w:tcW w:w="2113"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（7分）</w:t>
              <w:br/>
              <w:t>资金管理</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资金分配</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3</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2</w:t>
            </w:r>
          </w:p>
        </w:tc>
      </w:tr>
      <w:tr>
        <w:trPr>
          <w:trHeight w:val="553"/>
        </w:trPr>
        <w:tc>
          <w:tcPr>
            <w:tcW w:w="1618" w:type="dxa"/>
            <w:vMerge/>
            <w:vAlign w:val="center"/>
          </w:tcPr>
          <w:p/>
        </w:tc>
        <w:tc>
          <w:tcPr>
            <w:tcW w:w="2113" w:type="dxa"/>
            <w:vMerge/>
            <w:textDirection w:val="tbRlV"/>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资金使用</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3</w:t>
            </w:r>
          </w:p>
        </w:tc>
      </w:tr>
      <w:tr>
        <w:trPr>
          <w:trHeight w:val="490"/>
        </w:trPr>
        <w:tc>
          <w:tcPr>
            <w:tcW w:w="1618" w:type="dxa"/>
            <w:vMerge/>
            <w:vAlign w:val="center"/>
          </w:tcPr>
          <w:p/>
        </w:tc>
        <w:tc>
          <w:tcPr>
            <w:tcW w:w="2113" w:type="dxa"/>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（3分）</w:t>
              <w:br/>
              <w:t>项目执行</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执行规范</w:t>
            </w:r>
          </w:p>
        </w:tc>
        <w:tc>
          <w:tcPr>
            <w:tcW w:w="1311" w:type="dxa"/>
            <w:vAlign w:val="center"/>
          </w:tcPr>
          <w:p>
            <w:pPr>
              <w:widowControl/>
              <w:spacing w:line="360" w:lineRule="exact"/>
              <w:rPr>
                <w:rFonts w:eastAsia="方正仿宋_GBK" w:hint="eastAsia"/>
                <w:color w:val="000000"/>
                <w:kern w:val="0"/>
                <w:sz w:val="24"/>
              </w:rPr>
            </w:pPr>
            <w:r>
              <w:rPr>
                <w:rFonts w:eastAsia="方正仿宋_GBK" w:hint="eastAsia"/>
                <w:color w:val="000000"/>
                <w:kern w:val="0"/>
                <w:sz w:val="24"/>
              </w:rPr>
              <w:t>3</w:t>
            </w:r>
          </w:p>
        </w:tc>
        <w:tc>
          <w:tcPr>
            <w:tcW w:w="1311" w:type="dxa"/>
            <w:vAlign w:val="center"/>
          </w:tcPr>
          <w:p>
            <w:pPr>
              <w:widowControl/>
              <w:spacing w:line="360" w:lineRule="exact"/>
              <w:rPr>
                <w:rFonts w:eastAsia="方正仿宋_GBK" w:hint="eastAsia"/>
                <w:color w:val="000000"/>
                <w:kern w:val="0"/>
                <w:sz w:val="24"/>
              </w:rPr>
            </w:pPr>
            <w:r>
              <w:rPr>
                <w:rFonts w:eastAsia="方正仿宋_GBK" w:hint="eastAsia"/>
                <w:color w:val="000000"/>
                <w:kern w:val="0"/>
                <w:sz w:val="24"/>
              </w:rPr>
              <w:t>3</w:t>
            </w:r>
          </w:p>
        </w:tc>
      </w:tr>
      <w:tr>
        <w:trPr>
          <w:trHeight w:val="446"/>
        </w:trPr>
        <w:tc>
          <w:tcPr>
            <w:tcW w:w="1618"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（特性指标70分）</w:t>
              <w:br/>
              <w:t xml:space="preserve">项目绩效  </w:t>
            </w:r>
          </w:p>
        </w:tc>
        <w:tc>
          <w:tcPr>
            <w:tcW w:w="2113"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（20）</w:t>
              <w:br/>
              <w:t>项目完成</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完成数量</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r>
      <w:tr>
        <w:trPr>
          <w:trHeight w:val="384"/>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完成质量</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r>
      <w:tr>
        <w:trPr>
          <w:trHeight w:val="520"/>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完成时效</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4</w:t>
            </w:r>
          </w:p>
        </w:tc>
      </w:tr>
      <w:tr>
        <w:trPr>
          <w:trHeight w:val="401"/>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完成成本</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r>
      <w:tr>
        <w:trPr>
          <w:trHeight w:val="566"/>
        </w:trPr>
        <w:tc>
          <w:tcPr>
            <w:tcW w:w="1618" w:type="dxa"/>
            <w:vMerge/>
            <w:vAlign w:val="center"/>
          </w:tcPr>
          <w:p/>
        </w:tc>
        <w:tc>
          <w:tcPr>
            <w:tcW w:w="2113" w:type="dxa"/>
            <w:vMerge w:val="restart"/>
            <w:textDirection w:val="tbRlV"/>
            <w:vAlign w:val="center"/>
          </w:tcPr>
          <w:p>
            <w:pPr>
              <w:widowControl/>
              <w:spacing w:line="360" w:lineRule="exact"/>
              <w:rPr>
                <w:rFonts w:eastAsia="方正仿宋_GBK"/>
                <w:color w:val="000000"/>
                <w:kern w:val="0"/>
                <w:sz w:val="24"/>
              </w:rPr>
            </w:pPr>
            <w:r>
              <w:rPr>
                <w:rFonts w:eastAsia="方正仿宋_GBK"/>
                <w:color w:val="000000"/>
                <w:kern w:val="0"/>
                <w:sz w:val="24"/>
              </w:rPr>
              <w:t>（50分）</w:t>
              <w:br/>
              <w:t>项目效益</w:t>
            </w: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经济效益（可选项）</w:t>
            </w:r>
          </w:p>
        </w:tc>
        <w:tc>
          <w:tcPr>
            <w:tcW w:w="1311" w:type="dxa"/>
            <w:vMerge w:val="restart"/>
            <w:vAlign w:val="center"/>
          </w:tcPr>
          <w:p>
            <w:pPr>
              <w:widowControl/>
              <w:spacing w:line="360" w:lineRule="exact"/>
              <w:rPr>
                <w:rFonts w:eastAsia="方正仿宋_GBK"/>
                <w:color w:val="000000"/>
                <w:kern w:val="0"/>
                <w:sz w:val="24"/>
              </w:rPr>
            </w:pPr>
            <w:r>
              <w:rPr>
                <w:rFonts w:eastAsia="方正仿宋_GBK"/>
                <w:color w:val="000000"/>
                <w:kern w:val="0"/>
                <w:sz w:val="24"/>
              </w:rPr>
              <w:t>40</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5</w:t>
            </w:r>
          </w:p>
        </w:tc>
      </w:tr>
      <w:tr>
        <w:trPr>
          <w:trHeight w:val="688"/>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社会效益（可选项）</w:t>
            </w:r>
          </w:p>
        </w:tc>
        <w:tc>
          <w:tcPr>
            <w:tcW w:w="1311" w:type="dxa"/>
            <w:vMerge/>
            <w:vAlign w:val="center"/>
          </w:tcP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8</w:t>
            </w:r>
          </w:p>
        </w:tc>
      </w:tr>
      <w:tr>
        <w:trPr>
          <w:trHeight w:val="557"/>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生态效益（可选项）</w:t>
            </w:r>
          </w:p>
        </w:tc>
        <w:tc>
          <w:tcPr>
            <w:tcW w:w="1311" w:type="dxa"/>
            <w:vMerge/>
            <w:vAlign w:val="center"/>
          </w:tcPr>
          <w:p/>
        </w:tc>
        <w:tc>
          <w:tcPr>
            <w:tcW w:w="1311" w:type="dxa"/>
            <w:vAlign w:val="center"/>
          </w:tcPr>
          <w:p>
            <w:pPr>
              <w:widowControl/>
              <w:spacing w:line="360" w:lineRule="exact"/>
              <w:rPr>
                <w:rFonts w:eastAsia="方正仿宋_GBK"/>
                <w:color w:val="000000"/>
                <w:kern w:val="0"/>
                <w:sz w:val="24"/>
              </w:rPr>
            </w:pPr>
          </w:p>
        </w:tc>
      </w:tr>
      <w:tr>
        <w:trPr>
          <w:trHeight w:val="511"/>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可持续效益（可选项）</w:t>
            </w:r>
          </w:p>
        </w:tc>
        <w:tc>
          <w:tcPr>
            <w:tcW w:w="1311" w:type="dxa"/>
            <w:vMerge/>
            <w:vAlign w:val="center"/>
          </w:tcP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9</w:t>
            </w:r>
          </w:p>
        </w:tc>
      </w:tr>
      <w:tr>
        <w:trPr>
          <w:trHeight w:val="576"/>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公平效率（可选项）</w:t>
            </w:r>
          </w:p>
        </w:tc>
        <w:tc>
          <w:tcPr>
            <w:tcW w:w="1311" w:type="dxa"/>
            <w:vMerge/>
            <w:vAlign w:val="center"/>
          </w:tcP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8</w:t>
            </w:r>
          </w:p>
        </w:tc>
      </w:tr>
      <w:tr>
        <w:trPr>
          <w:trHeight w:val="570"/>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使用效率（可选项）</w:t>
            </w:r>
          </w:p>
        </w:tc>
        <w:tc>
          <w:tcPr>
            <w:tcW w:w="1311" w:type="dxa"/>
            <w:vMerge/>
            <w:vAlign w:val="center"/>
          </w:tcP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8</w:t>
            </w:r>
          </w:p>
        </w:tc>
      </w:tr>
      <w:tr>
        <w:trPr>
          <w:trHeight w:val="502"/>
        </w:trPr>
        <w:tc>
          <w:tcPr>
            <w:tcW w:w="1618" w:type="dxa"/>
            <w:vMerge/>
            <w:vAlign w:val="center"/>
          </w:tcPr>
          <w:p/>
        </w:tc>
        <w:tc>
          <w:tcPr>
            <w:tcW w:w="2113" w:type="dxa"/>
            <w:vMerge/>
            <w:vAlign w:val="center"/>
          </w:tcPr>
          <w:p/>
        </w:tc>
        <w:tc>
          <w:tcPr>
            <w:tcW w:w="3535" w:type="dxa"/>
            <w:vAlign w:val="center"/>
          </w:tcPr>
          <w:p>
            <w:pPr>
              <w:widowControl/>
              <w:spacing w:line="360" w:lineRule="exact"/>
              <w:rPr>
                <w:rFonts w:eastAsia="方正仿宋_GBK"/>
                <w:color w:val="000000"/>
                <w:kern w:val="0"/>
                <w:sz w:val="24"/>
              </w:rPr>
            </w:pPr>
            <w:r>
              <w:rPr>
                <w:rFonts w:eastAsia="方正仿宋_GBK"/>
                <w:color w:val="000000"/>
                <w:kern w:val="0"/>
                <w:sz w:val="24"/>
              </w:rPr>
              <w:t>服务对象满意度</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10</w:t>
            </w:r>
          </w:p>
        </w:tc>
        <w:tc>
          <w:tcPr>
            <w:tcW w:w="1311" w:type="dxa"/>
            <w:vAlign w:val="center"/>
          </w:tcPr>
          <w:p>
            <w:pPr>
              <w:widowControl/>
              <w:spacing w:line="360" w:lineRule="exact"/>
              <w:rPr>
                <w:rFonts w:eastAsia="方正仿宋_GBK"/>
                <w:color w:val="000000"/>
                <w:kern w:val="0"/>
                <w:sz w:val="24"/>
              </w:rPr>
            </w:pPr>
            <w:r>
              <w:rPr>
                <w:rFonts w:eastAsia="方正仿宋_GBK"/>
                <w:color w:val="000000"/>
                <w:kern w:val="0"/>
                <w:sz w:val="24"/>
              </w:rPr>
              <w:t>9</w:t>
            </w:r>
          </w:p>
        </w:tc>
      </w:tr>
    </w:tbl>
    <w:p>
      <w:pPr>
        <w:spacing w:line="576" w:lineRule="exact"/>
        <w:rPr>
          <w:rFonts w:ascii="方正小标宋_GBK" w:eastAsia="方正小标宋_GBK" w:hint="eastAsia"/>
          <w:b/>
          <w:color w:val="000000"/>
          <w:sz w:val="38"/>
          <w:szCs w:val="38"/>
        </w:rPr>
      </w:pPr>
    </w:p>
    <w:p>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（三）项目自评步骤及方法。</w:t>
      </w:r>
    </w:p>
    <w:p>
      <w:pPr>
        <w:spacing w:line="576" w:lineRule="exact"/>
        <w:ind w:firstLine="640"/>
        <w:rPr>
          <w:rFonts w:eastAsia="方正仿宋_GBK"/>
          <w:sz w:val="33"/>
          <w:szCs w:val="33"/>
        </w:rPr>
      </w:pPr>
      <w:r>
        <w:rPr>
          <w:rFonts w:eastAsia="方正仿宋_GBK"/>
          <w:sz w:val="33"/>
          <w:szCs w:val="33"/>
        </w:rPr>
        <w:t>项目采取自评与他评相结合方式，成立项目自评小组，结合评价内容，做到有计划，有安排，扎实开展本次自评工作。按照上级下达的项目支出绩效评价指标体系，自评小组针对申报内容、实施情况、财务管理、社会效益等做好自评工作。</w:t>
      </w:r>
    </w:p>
    <w:p>
      <w:pPr>
        <w:spacing w:line="576" w:lineRule="exact"/>
        <w:ind w:firstLine="640"/>
        <w:rPr>
          <w:rFonts w:ascii="方正黑体_GBK" w:eastAsia="方正黑体_GBK"/>
          <w:sz w:val="33"/>
          <w:szCs w:val="33"/>
        </w:rPr>
      </w:pPr>
      <w:r>
        <w:rPr>
          <w:rFonts w:ascii="方正黑体_GBK" w:eastAsia="方正黑体_GBK"/>
          <w:sz w:val="33"/>
          <w:szCs w:val="33"/>
        </w:rPr>
        <w:t>二、项目资金申报及使用情况</w:t>
      </w:r>
    </w:p>
    <w:p>
      <w:pPr>
        <w:spacing w:line="576" w:lineRule="exact"/>
        <w:ind w:firstLine="640"/>
        <w:rPr>
          <w:rFonts w:eastAsia="方正仿宋_GBK"/>
          <w:sz w:val="33"/>
          <w:szCs w:val="33"/>
        </w:rPr>
      </w:pPr>
      <w:r>
        <w:rPr>
          <w:rFonts w:ascii="方正楷体_GBK" w:eastAsia="方正楷体_GBK" w:hint="eastAsia"/>
          <w:b/>
          <w:sz w:val="33"/>
          <w:szCs w:val="33"/>
        </w:rPr>
        <w:t>（一）项目资金申报及批复情况。</w:t>
      </w:r>
      <w:r>
        <w:rPr>
          <w:rFonts w:eastAsia="方正仿宋_GBK"/>
          <w:sz w:val="33"/>
          <w:szCs w:val="33"/>
        </w:rPr>
        <w:t>由我单位根据项目经费使用情况向财政申请项目资金，经财政审核同意，下达项目资金。</w:t>
      </w:r>
    </w:p>
    <w:p>
      <w:pPr>
        <w:spacing w:line="576" w:lineRule="exact"/>
        <w:ind w:firstLine="640"/>
        <w:rPr>
          <w:rFonts w:ascii="方正楷体_GBK" w:eastAsia="方正楷体_GBK"/>
          <w:b/>
          <w:sz w:val="33"/>
          <w:szCs w:val="33"/>
        </w:rPr>
      </w:pPr>
      <w:r>
        <w:rPr>
          <w:rFonts w:ascii="方正楷体_GBK" w:eastAsia="方正楷体_GBK"/>
          <w:b/>
          <w:sz w:val="33"/>
          <w:szCs w:val="33"/>
        </w:rPr>
        <w:t>（二）资金计划、到位及使用情况（可用表格形式反映）。</w:t>
      </w:r>
    </w:p>
    <w:p>
      <w:pPr>
        <w:autoSpaceDE w:val="0"/>
        <w:autoSpaceDN w:val="0"/>
        <w:adjustRightInd w:val="0"/>
        <w:spacing w:line="600" w:lineRule="exact"/>
        <w:ind w:firstLineChars="200" w:firstLine="660"/>
        <w:jc w:val="left"/>
        <w:rPr>
          <w:rFonts w:eastAsia="仿宋_GB2312"/>
          <w:kern w:val="0"/>
          <w:sz w:val="32"/>
          <w:szCs w:val="32"/>
        </w:rPr>
      </w:pPr>
      <w:r>
        <w:rPr>
          <w:rFonts w:eastAsia="方正仿宋_GBK"/>
          <w:b/>
          <w:color w:val="000000"/>
          <w:kern w:val="0"/>
          <w:sz w:val="33"/>
          <w:szCs w:val="33"/>
          <w:lang w:val="x-none"/>
        </w:rPr>
        <w:t>1．资金计划。</w:t>
      </w:r>
      <w:r>
        <w:rPr>
          <w:rFonts w:eastAsia="仿宋_GB2312" w:hint="eastAsia"/>
          <w:kern w:val="0"/>
          <w:sz w:val="32"/>
          <w:szCs w:val="32"/>
        </w:rPr>
        <w:t>项目资金123.64万元均为市级财政资金。</w:t>
      </w:r>
    </w:p>
    <w:p>
      <w:pPr>
        <w:autoSpaceDE w:val="0"/>
        <w:autoSpaceDN w:val="0"/>
        <w:adjustRightInd w:val="0"/>
        <w:spacing w:line="600" w:lineRule="exact"/>
        <w:ind w:firstLineChars="200" w:firstLine="660"/>
        <w:jc w:val="left"/>
        <w:rPr>
          <w:rFonts w:eastAsia="仿宋_GB2312" w:hint="eastAsia"/>
          <w:kern w:val="0"/>
          <w:sz w:val="32"/>
          <w:szCs w:val="32"/>
        </w:rPr>
      </w:pPr>
      <w:r>
        <w:rPr>
          <w:rFonts w:eastAsia="方正仿宋_GBK"/>
          <w:b/>
          <w:color w:val="000000"/>
          <w:kern w:val="0"/>
          <w:sz w:val="33"/>
          <w:szCs w:val="33"/>
          <w:lang w:val="x-none"/>
        </w:rPr>
        <w:t>2．资金到位。</w:t>
      </w:r>
      <w:r>
        <w:rPr>
          <w:rFonts w:eastAsia="仿宋_GB2312" w:hint="eastAsia"/>
          <w:kern w:val="0"/>
          <w:sz w:val="32"/>
          <w:szCs w:val="32"/>
        </w:rPr>
        <w:t>项目资金到位123.64万元，到位率</w:t>
      </w:r>
      <w:r>
        <w:rPr>
          <w:rFonts w:eastAsia="仿宋_GB2312"/>
          <w:kern w:val="0"/>
          <w:sz w:val="32"/>
          <w:szCs w:val="32"/>
        </w:rPr>
        <w:t>100</w:t>
      </w:r>
      <w:r>
        <w:rPr>
          <w:rFonts w:eastAsia="仿宋_GB2312" w:hint="eastAsia"/>
          <w:kern w:val="0"/>
          <w:sz w:val="32"/>
          <w:szCs w:val="32"/>
        </w:rPr>
        <w:t>%。</w:t>
      </w:r>
    </w:p>
    <w:p>
      <w:pPr>
        <w:autoSpaceDE w:val="0"/>
        <w:autoSpaceDN w:val="0"/>
        <w:adjustRightInd w:val="0"/>
        <w:spacing w:line="600" w:lineRule="exact"/>
        <w:ind w:firstLineChars="200" w:firstLine="660"/>
        <w:jc w:val="left"/>
        <w:rPr>
          <w:rFonts w:eastAsia="仿宋_GB2312"/>
          <w:kern w:val="0"/>
          <w:sz w:val="32"/>
          <w:szCs w:val="32"/>
        </w:rPr>
      </w:pPr>
      <w:r>
        <w:rPr>
          <w:rFonts w:eastAsia="方正仿宋_GBK" w:hint="eastAsia"/>
          <w:b/>
          <w:color w:val="000000"/>
          <w:kern w:val="0"/>
          <w:sz w:val="33"/>
          <w:szCs w:val="33"/>
          <w:lang w:val="x-none"/>
        </w:rPr>
        <w:t>3</w:t>
      </w:r>
      <w:r>
        <w:rPr>
          <w:rFonts w:eastAsia="方正仿宋_GBK"/>
          <w:b/>
          <w:color w:val="000000"/>
          <w:kern w:val="0"/>
          <w:sz w:val="33"/>
          <w:szCs w:val="33"/>
          <w:lang w:val="x-none"/>
        </w:rPr>
        <w:t>．资金使用。</w:t>
      </w:r>
      <w:r>
        <w:rPr>
          <w:rFonts w:eastAsia="方正仿宋_GBK"/>
          <w:spacing w:val="-2"/>
          <w:sz w:val="33"/>
          <w:szCs w:val="33"/>
        </w:rPr>
        <w:t>严格按照相关法律和制度规定执行资金支付，规范资金流程，强化会计核算，确保财政资金安全、规范、高效运行，切实加强财政资金拨付管理。</w:t>
      </w:r>
    </w:p>
    <w:p>
      <w:pPr>
        <w:spacing w:line="576" w:lineRule="exact"/>
        <w:ind w:firstLine="640"/>
        <w:rPr>
          <w:rFonts w:ascii="方正楷体_GBK" w:eastAsia="方正楷体_GBK"/>
          <w:b/>
          <w:sz w:val="33"/>
          <w:szCs w:val="33"/>
        </w:rPr>
      </w:pPr>
      <w:r>
        <w:rPr>
          <w:rFonts w:ascii="方正楷体_GBK" w:eastAsia="方正楷体_GBK"/>
          <w:b/>
          <w:sz w:val="33"/>
          <w:szCs w:val="33"/>
        </w:rPr>
        <w:t>（三）项目财务管理情况。</w:t>
      </w:r>
    </w:p>
    <w:p>
      <w:pPr>
        <w:spacing w:line="576" w:lineRule="exact"/>
        <w:ind w:firstLine="640"/>
        <w:rPr>
          <w:rFonts w:eastAsia="方正仿宋_GBK"/>
          <w:sz w:val="33"/>
          <w:szCs w:val="33"/>
        </w:rPr>
      </w:pPr>
      <w:r>
        <w:rPr>
          <w:rFonts w:eastAsia="方正仿宋_GBK"/>
          <w:sz w:val="33"/>
          <w:szCs w:val="33"/>
        </w:rPr>
        <w:t>我单位财务管理制度健全，严格执行财务管理制度，账务处理及时，会计核算规范。</w:t>
      </w:r>
    </w:p>
    <w:p>
      <w:pPr>
        <w:spacing w:line="576" w:lineRule="exact"/>
        <w:ind w:firstLine="640"/>
        <w:rPr>
          <w:rFonts w:ascii="方正黑体_GBK" w:eastAsia="方正黑体_GBK"/>
          <w:sz w:val="33"/>
          <w:szCs w:val="33"/>
        </w:rPr>
      </w:pPr>
      <w:r>
        <w:rPr>
          <w:rFonts w:ascii="方正黑体_GBK" w:eastAsia="方正黑体_GBK"/>
          <w:sz w:val="33"/>
          <w:szCs w:val="33"/>
        </w:rPr>
        <w:t>三、项目实施及管理情况</w:t>
      </w:r>
    </w:p>
    <w:p>
      <w:pPr>
        <w:spacing w:line="576" w:lineRule="exact"/>
        <w:ind w:firstLine="640"/>
        <w:rPr>
          <w:rFonts w:eastAsia="方正仿宋_GBK"/>
          <w:sz w:val="33"/>
          <w:szCs w:val="33"/>
        </w:rPr>
      </w:pPr>
      <w:r>
        <w:rPr>
          <w:rFonts w:eastAsia="方正仿宋_GBK"/>
          <w:sz w:val="33"/>
          <w:szCs w:val="33"/>
        </w:rPr>
        <w:t>结合项目组织实施管理办法，重点围绕以下内容进行分析评价，并对自评中发现的问题分析说明。</w:t>
      </w:r>
    </w:p>
    <w:p>
      <w:pPr>
        <w:spacing w:line="576" w:lineRule="exact"/>
        <w:ind w:firstLine="640"/>
        <w:rPr>
          <w:rFonts w:ascii="方正楷体_GBK" w:eastAsia="方正楷体_GBK"/>
          <w:b/>
          <w:sz w:val="33"/>
          <w:szCs w:val="33"/>
        </w:rPr>
      </w:pPr>
      <w:r>
        <w:rPr>
          <w:rFonts w:ascii="方正楷体_GBK" w:eastAsia="方正楷体_GBK"/>
          <w:b/>
          <w:sz w:val="33"/>
          <w:szCs w:val="33"/>
        </w:rPr>
        <w:t>（一）项目组织架构及实施流程。</w:t>
      </w:r>
    </w:p>
    <w:p>
      <w:pPr>
        <w:spacing w:line="576" w:lineRule="exact"/>
        <w:ind w:firstLine="640"/>
        <w:rPr>
          <w:rFonts w:eastAsia="方正仿宋_GBK"/>
          <w:sz w:val="33"/>
          <w:szCs w:val="33"/>
        </w:rPr>
      </w:pPr>
      <w:r>
        <w:rPr>
          <w:rFonts w:eastAsia="方正仿宋_GBK"/>
          <w:sz w:val="33"/>
          <w:szCs w:val="33"/>
        </w:rPr>
        <w:t>严格按照项目管理办法进行项目资金管理，确保专款专用，符合相关政策规定。根据项目建设进程，制定资金投资计划，并在项目实施过程中，定期向单位领导汇报资金使用情况。</w:t>
      </w:r>
    </w:p>
    <w:p>
      <w:pPr>
        <w:spacing w:line="576" w:lineRule="exact"/>
        <w:ind w:firstLine="640"/>
        <w:rPr>
          <w:rFonts w:ascii="方正楷体_GBK" w:eastAsia="方正楷体_GBK"/>
          <w:b/>
          <w:sz w:val="33"/>
          <w:szCs w:val="33"/>
        </w:rPr>
      </w:pPr>
      <w:r>
        <w:rPr>
          <w:rFonts w:ascii="方正楷体_GBK" w:eastAsia="方正楷体_GBK"/>
          <w:b/>
          <w:sz w:val="33"/>
          <w:szCs w:val="33"/>
        </w:rPr>
        <w:t>（二）项目管理情况。</w:t>
      </w:r>
    </w:p>
    <w:p>
      <w:pPr>
        <w:spacing w:line="576" w:lineRule="exact"/>
        <w:ind w:firstLine="640"/>
        <w:rPr>
          <w:rFonts w:eastAsia="方正仿宋_GBK"/>
          <w:sz w:val="33"/>
          <w:szCs w:val="33"/>
        </w:rPr>
      </w:pPr>
      <w:r>
        <w:rPr>
          <w:rFonts w:eastAsia="方正仿宋_GBK"/>
          <w:sz w:val="33"/>
          <w:szCs w:val="33"/>
        </w:rPr>
        <w:t>严格按照批准项目的资金要求，做好账务设置和账务管理，建立健全单位内部财务管理制度，项目建设进度、物资采购、项目验收、资金使用等方面进行指导、监督、检查，确保工程质量。</w:t>
      </w:r>
    </w:p>
    <w:p>
      <w:pPr>
        <w:spacing w:line="576" w:lineRule="exact"/>
        <w:ind w:firstLine="640"/>
        <w:rPr>
          <w:rFonts w:ascii="方正楷体_GBK" w:eastAsia="方正楷体_GBK"/>
          <w:b/>
          <w:sz w:val="33"/>
          <w:szCs w:val="33"/>
        </w:rPr>
      </w:pPr>
      <w:r>
        <w:rPr>
          <w:rFonts w:ascii="方正楷体_GBK" w:eastAsia="方正楷体_GBK"/>
          <w:b/>
          <w:sz w:val="33"/>
          <w:szCs w:val="33"/>
        </w:rPr>
        <w:t>（三）项目监管情况。</w:t>
      </w:r>
    </w:p>
    <w:p>
      <w:pPr>
        <w:spacing w:line="576" w:lineRule="exact"/>
        <w:ind w:firstLine="640"/>
        <w:rPr>
          <w:rFonts w:eastAsia="方正仿宋_GBK"/>
          <w:sz w:val="33"/>
          <w:szCs w:val="33"/>
        </w:rPr>
      </w:pPr>
      <w:r>
        <w:rPr>
          <w:rFonts w:eastAsia="方正仿宋_GBK"/>
          <w:sz w:val="33"/>
          <w:szCs w:val="33"/>
        </w:rPr>
        <w:t>建立健全内控制度，严格遵守国家及上有级的有关财经法律、法规、规章、制度，按程序支付相关项目经费，支出程序清晰，支出绩效明显。</w:t>
      </w:r>
    </w:p>
    <w:p>
      <w:pPr>
        <w:spacing w:line="576" w:lineRule="exact"/>
        <w:ind w:firstLine="640"/>
        <w:rPr>
          <w:rFonts w:ascii="方正黑体_GBK" w:eastAsia="方正黑体_GBK"/>
          <w:sz w:val="33"/>
          <w:szCs w:val="33"/>
        </w:rPr>
      </w:pPr>
      <w:r>
        <w:rPr>
          <w:rFonts w:ascii="方正黑体_GBK" w:eastAsia="方正黑体_GBK"/>
          <w:sz w:val="33"/>
          <w:szCs w:val="33"/>
        </w:rPr>
        <w:t>四、项目绩效情况</w:t>
        <w:tab/>
      </w:r>
    </w:p>
    <w:p>
      <w:pPr>
        <w:spacing w:line="520" w:lineRule="exact"/>
        <w:ind w:firstLineChars="251" w:firstLine="828"/>
        <w:rPr>
          <w:rFonts w:ascii="方正楷体_GBK" w:eastAsia="方正楷体_GBK" w:hint="eastAsia"/>
          <w:b/>
          <w:sz w:val="33"/>
          <w:szCs w:val="33"/>
        </w:rPr>
      </w:pPr>
      <w:r>
        <w:rPr>
          <w:rFonts w:ascii="方正楷体_GBK" w:eastAsia="方正楷体_GBK"/>
          <w:b/>
          <w:sz w:val="33"/>
          <w:szCs w:val="33"/>
        </w:rPr>
        <w:t>（一）项目完成情况</w:t>
      </w:r>
    </w:p>
    <w:p>
      <w:pPr>
        <w:spacing w:line="520" w:lineRule="exact"/>
        <w:ind w:firstLineChars="251" w:firstLine="803"/>
        <w:rPr>
          <w:rFonts w:eastAsia="仿宋_GB2312"/>
          <w:sz w:val="32"/>
          <w:szCs w:val="32"/>
          <w:shd w:val="clear" w:color="auto" w:fill="FFFFFF"/>
        </w:rPr>
      </w:pPr>
      <w:r>
        <w:rPr>
          <w:rFonts w:eastAsia="仿宋_GB2312" w:hint="eastAsia"/>
          <w:sz w:val="32"/>
          <w:szCs w:val="32"/>
          <w:shd w:val="clear" w:color="auto" w:fill="FFFFFF"/>
        </w:rPr>
        <w:t>全年为三个留置点办案组、看护组共计</w:t>
      </w:r>
      <w:r>
        <w:rPr>
          <w:rFonts w:eastAsia="仿宋_GB2312"/>
          <w:sz w:val="32"/>
          <w:szCs w:val="32"/>
          <w:shd w:val="clear" w:color="auto" w:fill="FFFFFF"/>
        </w:rPr>
        <w:t>800</w:t>
      </w:r>
      <w:r>
        <w:rPr>
          <w:rFonts w:eastAsia="仿宋_GB2312" w:hint="eastAsia"/>
          <w:sz w:val="32"/>
          <w:szCs w:val="32"/>
          <w:shd w:val="clear" w:color="auto" w:fill="FFFFFF"/>
        </w:rPr>
        <w:t>余人的提供了后勤保障服务，留置场所的后勤保障工作有序推进</w:t>
      </w:r>
      <w:r>
        <w:rPr>
          <w:rFonts w:eastAsia="方正仿宋_GB2312" w:hint="eastAsia"/>
          <w:color w:val="000000"/>
          <w:sz w:val="33"/>
          <w:szCs w:val="33"/>
        </w:rPr>
        <w:t>。</w:t>
      </w:r>
    </w:p>
    <w:p>
      <w:pPr>
        <w:spacing w:line="600" w:lineRule="exact"/>
        <w:ind w:firstLine="645"/>
        <w:rPr>
          <w:rFonts w:ascii="方正楷体_GBK" w:eastAsia="方正楷体_GBK" w:hint="eastAsia"/>
          <w:b/>
          <w:sz w:val="33"/>
          <w:szCs w:val="33"/>
        </w:rPr>
      </w:pPr>
      <w:r>
        <w:rPr>
          <w:rFonts w:ascii="方正楷体_GBK" w:eastAsia="方正楷体_GBK"/>
          <w:b/>
          <w:sz w:val="33"/>
          <w:szCs w:val="33"/>
        </w:rPr>
        <w:t>（二）项目效益情况</w:t>
      </w:r>
    </w:p>
    <w:p>
      <w:pPr>
        <w:autoSpaceDE w:val="0"/>
        <w:autoSpaceDN w:val="0"/>
        <w:adjustRightInd w:val="0"/>
        <w:spacing w:line="600" w:lineRule="exact"/>
        <w:ind w:firstLineChars="200" w:firstLine="640"/>
        <w:jc w:val="left"/>
        <w:rPr>
          <w:rFonts w:eastAsia="仿宋_GB2312" w:hint="eastAsia"/>
          <w:kern w:val="0"/>
          <w:sz w:val="32"/>
          <w:szCs w:val="32"/>
        </w:rPr>
      </w:pPr>
      <w:r>
        <w:rPr>
          <w:rFonts w:eastAsia="仿宋_GB2312" w:hint="eastAsia"/>
          <w:kern w:val="0"/>
          <w:sz w:val="32"/>
          <w:szCs w:val="32"/>
        </w:rPr>
        <w:t>保证办案工作开展，保障了留置场所内工作人员疫情期间的防疫物资供应，确保了留置场所疫情防控常态化工作落到实处，创造良好的办案环境。进一步提升纪检监察工作的社会影响力，对腐败行为及腐败分子起到震慑作用，更好的预防和治理腐败。</w:t>
      </w:r>
    </w:p>
    <w:p>
      <w:pPr>
        <w:spacing w:line="576" w:lineRule="exact"/>
        <w:ind w:firstLine="640"/>
        <w:rPr>
          <w:rFonts w:ascii="方正黑体_GBK" w:eastAsia="方正黑体_GBK" w:hint="eastAsia"/>
          <w:sz w:val="33"/>
          <w:szCs w:val="33"/>
        </w:rPr>
      </w:pPr>
      <w:r>
        <w:rPr>
          <w:rFonts w:ascii="方正黑体_GBK" w:eastAsia="方正黑体_GBK" w:hint="eastAsia"/>
          <w:sz w:val="33"/>
          <w:szCs w:val="33"/>
        </w:rPr>
        <w:t>五、评价结论及建议</w:t>
      </w:r>
    </w:p>
    <w:p>
      <w:pPr>
        <w:spacing w:line="576" w:lineRule="exact"/>
        <w:ind w:firstLine="640"/>
        <w:rPr>
          <w:rFonts w:ascii="方正楷体_GBK" w:eastAsia="方正楷体_GBK" w:hint="eastAsia"/>
          <w:b/>
          <w:sz w:val="33"/>
          <w:szCs w:val="33"/>
        </w:rPr>
      </w:pPr>
      <w:r>
        <w:rPr>
          <w:rFonts w:ascii="方正楷体_GBK" w:eastAsia="方正楷体_GBK"/>
          <w:b/>
          <w:sz w:val="33"/>
          <w:szCs w:val="33"/>
        </w:rPr>
        <w:t>（一）评价结论</w:t>
      </w:r>
    </w:p>
    <w:p>
      <w:pPr>
        <w:spacing w:line="576" w:lineRule="exact"/>
        <w:ind w:firstLine="640"/>
        <w:rPr>
          <w:rFonts w:eastAsia="方正仿宋_GBK"/>
          <w:sz w:val="33"/>
          <w:szCs w:val="33"/>
        </w:rPr>
      </w:pPr>
      <w:r>
        <w:rPr>
          <w:rFonts w:eastAsia="方正仿宋_GBK"/>
          <w:sz w:val="33"/>
          <w:szCs w:val="33"/>
        </w:rPr>
        <w:t>结合项目自身特点、评价重点及管理办法等要求，围绕专项项目支出绩效评价指标体系对项目进行总体评价。</w:t>
      </w:r>
    </w:p>
    <w:p>
      <w:pPr>
        <w:spacing w:line="576" w:lineRule="exact"/>
        <w:ind w:firstLine="640"/>
        <w:rPr>
          <w:rFonts w:eastAsia="方正仿宋_GBK" w:hint="eastAsia"/>
          <w:sz w:val="33"/>
          <w:szCs w:val="33"/>
        </w:rPr>
      </w:pPr>
      <w:r>
        <w:rPr>
          <w:rFonts w:eastAsia="方正仿宋_GBK" w:hint="eastAsia"/>
          <w:sz w:val="33"/>
          <w:szCs w:val="33"/>
        </w:rPr>
        <w:t>反腐基地运行维护费用</w:t>
      </w:r>
      <w:r>
        <w:rPr>
          <w:rFonts w:eastAsia="方正仿宋_GBK"/>
          <w:sz w:val="33"/>
          <w:szCs w:val="33"/>
        </w:rPr>
        <w:t>项目预算及绩效目标符合预算管理的相关程序</w:t>
      </w:r>
      <w:r>
        <w:rPr>
          <w:rFonts w:eastAsia="方正仿宋_GBK" w:hint="eastAsia"/>
          <w:sz w:val="33"/>
          <w:szCs w:val="33"/>
        </w:rPr>
        <w:t>，</w:t>
      </w:r>
      <w:r>
        <w:rPr>
          <w:rFonts w:eastAsia="方正仿宋_GBK"/>
          <w:sz w:val="33"/>
          <w:szCs w:val="33"/>
        </w:rPr>
        <w:t>有力促进了</w:t>
      </w:r>
      <w:r>
        <w:rPr>
          <w:rFonts w:eastAsia="方正仿宋_GBK" w:hint="eastAsia"/>
          <w:sz w:val="33"/>
          <w:szCs w:val="33"/>
        </w:rPr>
        <w:t>攀枝花市纪检监察教育培训与信息中心</w:t>
      </w:r>
      <w:r>
        <w:rPr>
          <w:rFonts w:eastAsia="方正仿宋_GBK"/>
          <w:sz w:val="33"/>
          <w:szCs w:val="33"/>
        </w:rPr>
        <w:t>2020年绩效评价工作的开展</w:t>
      </w:r>
      <w:r>
        <w:rPr>
          <w:rFonts w:eastAsia="方正仿宋_GBK" w:hint="eastAsia"/>
          <w:sz w:val="33"/>
          <w:szCs w:val="33"/>
        </w:rPr>
        <w:t>。</w:t>
      </w:r>
    </w:p>
    <w:p>
      <w:pPr>
        <w:spacing w:line="576" w:lineRule="exact"/>
        <w:ind w:firstLine="640"/>
        <w:rPr>
          <w:rFonts w:ascii="方正楷体_GBK" w:eastAsia="方正楷体_GBK" w:hint="eastAsia"/>
          <w:b/>
          <w:sz w:val="33"/>
          <w:szCs w:val="33"/>
        </w:rPr>
      </w:pPr>
      <w:r>
        <w:rPr>
          <w:rFonts w:ascii="方正楷体_GBK" w:eastAsia="方正楷体_GBK"/>
          <w:b/>
          <w:sz w:val="33"/>
          <w:szCs w:val="33"/>
        </w:rPr>
        <w:t>（二）存在的问题</w:t>
      </w:r>
    </w:p>
    <w:p>
      <w:pPr>
        <w:spacing w:line="576" w:lineRule="exact"/>
        <w:ind w:firstLine="640"/>
        <w:rPr>
          <w:rFonts w:eastAsia="方正仿宋_GBK" w:hint="eastAsia"/>
          <w:sz w:val="33"/>
          <w:szCs w:val="33"/>
        </w:rPr>
      </w:pPr>
      <w:r>
        <w:rPr>
          <w:rFonts w:eastAsia="方正仿宋_GBK" w:hint="eastAsia"/>
          <w:sz w:val="33"/>
          <w:szCs w:val="33"/>
        </w:rPr>
        <w:t>项目实施方对预算绩效评价重要性认识不够深，人员素质有待进一步提高。由于预算绩效管理工作开展时间不长，单位项目实施者多数认为是财务的工作，财务人员对绩效评价大多理解不充分，具体对单位业务不精通，财务很难整合业务室部分员共同搞好绩效评价，在一定程度上影响了绩效评价工作质量。</w:t>
      </w:r>
    </w:p>
    <w:p>
      <w:pPr>
        <w:spacing w:line="576" w:lineRule="exact"/>
        <w:ind w:firstLine="640"/>
        <w:rPr>
          <w:rFonts w:ascii="方正楷体_GBK" w:eastAsia="方正楷体_GBK" w:hint="eastAsia"/>
          <w:b/>
          <w:sz w:val="33"/>
          <w:szCs w:val="33"/>
        </w:rPr>
      </w:pPr>
      <w:r>
        <w:rPr>
          <w:rFonts w:ascii="方正楷体_GBK" w:eastAsia="方正楷体_GBK" w:hint="eastAsia"/>
          <w:b/>
          <w:sz w:val="33"/>
          <w:szCs w:val="33"/>
        </w:rPr>
        <w:t>（三）相关建议</w:t>
      </w:r>
    </w:p>
    <w:p>
      <w:pPr>
        <w:spacing w:line="576" w:lineRule="exact"/>
        <w:ind w:firstLine="640"/>
        <w:rPr>
          <w:rFonts w:eastAsia="方正仿宋_GBK" w:hint="eastAsia"/>
          <w:sz w:val="33"/>
          <w:szCs w:val="33"/>
        </w:rPr>
      </w:pPr>
      <w:r>
        <w:rPr>
          <w:rFonts w:eastAsia="方正仿宋_GBK"/>
          <w:sz w:val="33"/>
          <w:szCs w:val="33"/>
        </w:rPr>
        <w:t>根据工作情况</w:t>
      </w:r>
      <w:r>
        <w:rPr>
          <w:rFonts w:eastAsia="方正仿宋_GBK" w:hint="eastAsia"/>
          <w:sz w:val="33"/>
          <w:szCs w:val="33"/>
        </w:rPr>
        <w:t>希望</w:t>
      </w:r>
      <w:r>
        <w:rPr>
          <w:rFonts w:eastAsia="方正仿宋_GBK"/>
          <w:sz w:val="33"/>
          <w:szCs w:val="33"/>
        </w:rPr>
        <w:t>财政</w:t>
      </w:r>
      <w:r>
        <w:rPr>
          <w:rFonts w:eastAsia="方正仿宋_GBK" w:hint="eastAsia"/>
          <w:sz w:val="33"/>
          <w:szCs w:val="33"/>
        </w:rPr>
        <w:t>足额保障</w:t>
      </w:r>
      <w:r>
        <w:rPr>
          <w:rFonts w:eastAsia="方正仿宋_GBK"/>
          <w:sz w:val="33"/>
          <w:szCs w:val="33"/>
        </w:rPr>
        <w:t>专项资金，</w:t>
      </w:r>
      <w:r>
        <w:rPr>
          <w:rFonts w:eastAsia="方正仿宋_GBK" w:hint="eastAsia"/>
          <w:sz w:val="33"/>
          <w:szCs w:val="33"/>
        </w:rPr>
        <w:t>以便</w:t>
      </w:r>
      <w:r>
        <w:rPr>
          <w:rFonts w:eastAsia="方正仿宋_GBK"/>
          <w:sz w:val="33"/>
          <w:szCs w:val="33"/>
        </w:rPr>
        <w:t>项目顺利实施</w:t>
      </w:r>
      <w:r>
        <w:rPr>
          <w:rFonts w:eastAsia="方正仿宋_GBK" w:hint="eastAsia"/>
          <w:sz w:val="33"/>
          <w:szCs w:val="33"/>
        </w:rPr>
        <w:t>。</w:t>
      </w:r>
    </w:p>
    <w:p>
      <w:pPr>
        <w:spacing w:line="576" w:lineRule="exact"/>
        <w:ind w:firstLine="640"/>
        <w:rPr>
          <w:rStyle w:val="28"/>
          <w:rFonts w:eastAsia="方正仿宋_GBK" w:hint="eastAsia"/>
          <w:b w:val="0"/>
          <w:kern w:val="2"/>
          <w:sz w:val="33"/>
          <w:szCs w:val="33"/>
        </w:rPr>
      </w:pPr>
    </w:p>
    <w:p>
      <w:pPr>
        <w:spacing w:line="576" w:lineRule="exact"/>
        <w:ind w:firstLine="640"/>
        <w:rPr>
          <w:rStyle w:val="1Char"/>
          <w:rFonts w:eastAsia="方正仿宋_GBK"/>
          <w:b w:val="0"/>
          <w:bCs w:val="0"/>
          <w:kern w:val="2"/>
          <w:sz w:val="33"/>
          <w:szCs w:val="33"/>
        </w:rPr>
      </w:pPr>
    </w:p>
    <w:p>
      <w:pPr>
        <w:spacing w:line="576" w:lineRule="exact"/>
        <w:jc w:val="center"/>
        <w:outlineLvl w:val="0"/>
        <w:rPr>
          <w:rFonts w:ascii="方正黑体_GBK" w:eastAsia="方正黑体_GBK" w:hint="eastAsia"/>
          <w:color w:val="000000"/>
          <w:sz w:val="33"/>
          <w:szCs w:val="33"/>
        </w:rPr>
      </w:pPr>
      <w:bookmarkStart w:id="64" w:name="_Toc15396618"/>
    </w:p>
    <w:p>
      <w:pPr>
        <w:spacing w:line="576" w:lineRule="exact"/>
        <w:jc w:val="center"/>
        <w:outlineLvl w:val="0"/>
        <w:rPr>
          <w:rFonts w:ascii="方正黑体_GBK" w:eastAsia="方正黑体_GBK" w:hint="eastAsia"/>
          <w:color w:val="000000"/>
          <w:sz w:val="33"/>
          <w:szCs w:val="33"/>
        </w:rPr>
      </w:pPr>
    </w:p>
    <w:p>
      <w:pPr>
        <w:spacing w:line="576" w:lineRule="exact"/>
        <w:jc w:val="center"/>
        <w:rPr>
          <w:rFonts w:ascii="方正小标宋_GBK" w:eastAsia="方正小标宋_GBK" w:hint="eastAsia"/>
          <w:b/>
          <w:color w:val="000000"/>
          <w:kern w:val="0"/>
          <w:sz w:val="38"/>
          <w:szCs w:val="38"/>
          <w:lang w:val="zh-CN"/>
        </w:rPr>
      </w:pPr>
      <w:bookmarkStart w:id="65" w:name="_Toc15396619"/>
      <w:bookmarkEnd w:id="62"/>
      <w:bookmarkEnd w:id="64"/>
      <w:r>
        <w:rPr>
          <w:rFonts w:ascii="方正小标宋_GBK" w:eastAsia="方正小标宋_GBK" w:hint="eastAsia"/>
          <w:b/>
          <w:color w:val="000000"/>
          <w:kern w:val="0"/>
          <w:sz w:val="38"/>
          <w:szCs w:val="38"/>
          <w:lang w:val="zh-CN"/>
        </w:rPr>
        <w:t xml:space="preserve">                                                                 </w:t>
      </w:r>
    </w:p>
    <w:p>
      <w:pPr>
        <w:spacing w:line="576" w:lineRule="exact"/>
        <w:rPr>
          <w:rFonts w:ascii="方正小标宋_GBK" w:eastAsia="方正小标宋_GBK" w:hint="eastAsia"/>
          <w:b/>
          <w:color w:val="000000"/>
          <w:kern w:val="0"/>
          <w:sz w:val="38"/>
          <w:szCs w:val="38"/>
          <w:lang w:val="zh-CN"/>
        </w:rPr>
      </w:pPr>
    </w:p>
    <w:p>
      <w:pPr>
        <w:spacing w:beforeLines="100" w:before="312" w:afterLines="100" w:after="312" w:line="560" w:lineRule="exact"/>
        <w:jc w:val="center"/>
        <w:outlineLvl w:val="0"/>
        <w:rPr>
          <w:rFonts w:ascii="黑体" w:eastAsia="黑体"/>
          <w:bCs/>
          <w:kern w:val="44"/>
          <w:sz w:val="44"/>
          <w:szCs w:val="44"/>
        </w:rPr>
      </w:pPr>
      <w:r>
        <w:rPr>
          <w:rFonts w:ascii="黑体" w:eastAsia="黑体" w:hint="eastAsia"/>
          <w:color w:val="000000"/>
          <w:sz w:val="44"/>
          <w:szCs w:val="44"/>
        </w:rPr>
        <w:t>第</w:t>
      </w:r>
      <w:r>
        <w:rPr>
          <w:rStyle w:val="28"/>
          <w:rFonts w:ascii="黑体" w:eastAsia="黑体" w:hint="eastAsia"/>
          <w:b w:val="0"/>
          <w:bCs/>
        </w:rPr>
        <w:t>五部分</w:t>
      </w:r>
      <w:r>
        <w:rPr>
          <w:rStyle w:val="28"/>
          <w:rFonts w:ascii="黑体" w:eastAsia="黑体"/>
          <w:b w:val="0"/>
          <w:bCs/>
        </w:rPr>
        <w:t xml:space="preserve"> </w:t>
      </w:r>
      <w:r>
        <w:rPr>
          <w:rStyle w:val="28"/>
          <w:rFonts w:ascii="黑体" w:eastAsia="黑体" w:hint="eastAsia"/>
          <w:b w:val="0"/>
          <w:bCs/>
        </w:rPr>
        <w:t>附表</w:t>
      </w:r>
    </w:p>
    <w:p>
      <w:pPr>
        <w:spacing w:line="560" w:lineRule="exact"/>
        <w:ind w:firstLine="640"/>
        <w:rPr>
          <w:rFonts w:eastAsia="方正仿宋_GBK"/>
          <w:sz w:val="33"/>
          <w:szCs w:val="33"/>
        </w:rPr>
      </w:pPr>
      <w:r>
        <w:rPr>
          <w:rFonts w:eastAsia="方正仿宋_GBK" w:hint="eastAsia"/>
          <w:sz w:val="33"/>
          <w:szCs w:val="33"/>
        </w:rPr>
        <w:t>一、收</w:t>
      </w:r>
      <w:r>
        <w:rPr>
          <w:rFonts w:eastAsia="方正仿宋_GBK" w:hint="eastAsia"/>
          <w:bCs/>
          <w:sz w:val="33"/>
          <w:szCs w:val="33"/>
        </w:rPr>
        <w:t>入支出决算总表</w:t>
      </w:r>
    </w:p>
    <w:p>
      <w:pPr>
        <w:spacing w:line="560" w:lineRule="exact"/>
        <w:ind w:firstLine="640"/>
        <w:rPr>
          <w:rFonts w:eastAsia="方正仿宋_GBK"/>
          <w:sz w:val="33"/>
          <w:szCs w:val="33"/>
        </w:rPr>
      </w:pPr>
      <w:bookmarkStart w:id="66" w:name="_Toc15396620"/>
      <w:r>
        <w:rPr>
          <w:rFonts w:eastAsia="方正仿宋_GBK" w:hint="eastAsia"/>
          <w:sz w:val="33"/>
          <w:szCs w:val="33"/>
        </w:rPr>
        <w:t>二、收</w:t>
      </w:r>
      <w:r>
        <w:rPr>
          <w:rFonts w:eastAsia="方正仿宋_GBK" w:hint="eastAsia"/>
          <w:bCs/>
          <w:sz w:val="33"/>
          <w:szCs w:val="33"/>
        </w:rPr>
        <w:t>入决算表</w:t>
      </w:r>
      <w:bookmarkEnd w:id="66"/>
    </w:p>
    <w:p>
      <w:pPr>
        <w:spacing w:line="560" w:lineRule="exact"/>
        <w:ind w:firstLine="640"/>
        <w:rPr>
          <w:rFonts w:eastAsia="方正仿宋_GBK"/>
          <w:sz w:val="33"/>
          <w:szCs w:val="33"/>
        </w:rPr>
      </w:pPr>
      <w:bookmarkStart w:id="67" w:name="_Toc15396621"/>
      <w:r>
        <w:rPr>
          <w:rFonts w:eastAsia="方正仿宋_GBK" w:hint="eastAsia"/>
          <w:bCs/>
          <w:sz w:val="33"/>
          <w:szCs w:val="33"/>
        </w:rPr>
        <w:t>三、</w:t>
      </w:r>
      <w:r>
        <w:rPr>
          <w:rFonts w:eastAsia="方正仿宋_GBK" w:hint="eastAsia"/>
          <w:sz w:val="33"/>
          <w:szCs w:val="33"/>
        </w:rPr>
        <w:t>支</w:t>
      </w:r>
      <w:r>
        <w:rPr>
          <w:rFonts w:eastAsia="方正仿宋_GBK" w:hint="eastAsia"/>
          <w:bCs/>
          <w:sz w:val="33"/>
          <w:szCs w:val="33"/>
        </w:rPr>
        <w:t>出决算表</w:t>
      </w:r>
      <w:bookmarkEnd w:id="67"/>
    </w:p>
    <w:p>
      <w:pPr>
        <w:spacing w:line="560" w:lineRule="exact"/>
        <w:ind w:firstLine="640"/>
        <w:rPr>
          <w:rFonts w:eastAsia="方正仿宋_GBK"/>
          <w:sz w:val="33"/>
          <w:szCs w:val="33"/>
        </w:rPr>
      </w:pPr>
      <w:bookmarkStart w:id="68" w:name="_Toc15396622"/>
      <w:r>
        <w:rPr>
          <w:rFonts w:eastAsia="方正仿宋_GBK" w:hint="eastAsia"/>
          <w:bCs/>
          <w:sz w:val="33"/>
          <w:szCs w:val="33"/>
        </w:rPr>
        <w:t>四、</w:t>
      </w:r>
      <w:r>
        <w:rPr>
          <w:rFonts w:eastAsia="方正仿宋_GBK" w:hint="eastAsia"/>
          <w:sz w:val="33"/>
          <w:szCs w:val="33"/>
        </w:rPr>
        <w:t>财</w:t>
      </w:r>
      <w:r>
        <w:rPr>
          <w:rFonts w:eastAsia="方正仿宋_GBK" w:hint="eastAsia"/>
          <w:bCs/>
          <w:sz w:val="33"/>
          <w:szCs w:val="33"/>
        </w:rPr>
        <w:t>政拨款收入支出决算总表</w:t>
      </w:r>
      <w:bookmarkEnd w:id="68"/>
    </w:p>
    <w:p>
      <w:pPr>
        <w:spacing w:line="560" w:lineRule="exact"/>
        <w:ind w:firstLine="640"/>
        <w:rPr>
          <w:rFonts w:eastAsia="方正仿宋_GBK"/>
          <w:bCs/>
          <w:sz w:val="33"/>
          <w:szCs w:val="33"/>
        </w:rPr>
      </w:pPr>
      <w:bookmarkStart w:id="69" w:name="_Toc15396623"/>
      <w:r>
        <w:rPr>
          <w:rFonts w:eastAsia="方正仿宋_GBK" w:hint="eastAsia"/>
          <w:bCs/>
          <w:sz w:val="33"/>
          <w:szCs w:val="33"/>
        </w:rPr>
        <w:t>五、</w:t>
      </w:r>
      <w:r>
        <w:rPr>
          <w:rFonts w:eastAsia="方正仿宋_GBK" w:hint="eastAsia"/>
          <w:sz w:val="33"/>
          <w:szCs w:val="33"/>
        </w:rPr>
        <w:t>财</w:t>
      </w:r>
      <w:r>
        <w:rPr>
          <w:rFonts w:eastAsia="方正仿宋_GBK" w:hint="eastAsia"/>
          <w:bCs/>
          <w:sz w:val="33"/>
          <w:szCs w:val="33"/>
        </w:rPr>
        <w:t>政拨款支出决算明细表</w:t>
      </w:r>
      <w:bookmarkStart w:id="70" w:name="_Toc15396624"/>
      <w:bookmarkEnd w:id="69"/>
    </w:p>
    <w:p>
      <w:pPr>
        <w:spacing w:line="560" w:lineRule="exact"/>
        <w:ind w:firstLine="640"/>
        <w:rPr>
          <w:rFonts w:eastAsia="方正仿宋_GBK"/>
          <w:sz w:val="33"/>
          <w:szCs w:val="33"/>
        </w:rPr>
      </w:pPr>
      <w:r>
        <w:rPr>
          <w:rFonts w:eastAsia="方正仿宋_GBK" w:hint="eastAsia"/>
          <w:bCs/>
          <w:sz w:val="33"/>
          <w:szCs w:val="33"/>
        </w:rPr>
        <w:t>六、</w:t>
      </w:r>
      <w:r>
        <w:rPr>
          <w:rFonts w:eastAsia="方正仿宋_GBK" w:hint="eastAsia"/>
          <w:sz w:val="33"/>
          <w:szCs w:val="33"/>
        </w:rPr>
        <w:t>一</w:t>
      </w:r>
      <w:r>
        <w:rPr>
          <w:rFonts w:eastAsia="方正仿宋_GBK" w:hint="eastAsia"/>
          <w:bCs/>
          <w:sz w:val="33"/>
          <w:szCs w:val="33"/>
        </w:rPr>
        <w:t>般公共预算财政拨款支出决算表</w:t>
      </w:r>
      <w:bookmarkEnd w:id="70"/>
    </w:p>
    <w:p>
      <w:pPr>
        <w:spacing w:line="560" w:lineRule="exact"/>
        <w:ind w:firstLine="640"/>
        <w:rPr>
          <w:rFonts w:eastAsia="方正仿宋_GBK"/>
          <w:sz w:val="33"/>
          <w:szCs w:val="33"/>
        </w:rPr>
      </w:pPr>
      <w:bookmarkStart w:id="71" w:name="_Toc15396625"/>
      <w:r>
        <w:rPr>
          <w:rFonts w:eastAsia="方正仿宋_GBK" w:hint="eastAsia"/>
          <w:bCs/>
          <w:sz w:val="33"/>
          <w:szCs w:val="33"/>
        </w:rPr>
        <w:t>七、</w:t>
      </w:r>
      <w:r>
        <w:rPr>
          <w:rFonts w:eastAsia="方正仿宋_GBK" w:hint="eastAsia"/>
          <w:sz w:val="33"/>
          <w:szCs w:val="33"/>
        </w:rPr>
        <w:t>一</w:t>
      </w:r>
      <w:r>
        <w:rPr>
          <w:rFonts w:eastAsia="方正仿宋_GBK" w:hint="eastAsia"/>
          <w:bCs/>
          <w:sz w:val="33"/>
          <w:szCs w:val="33"/>
        </w:rPr>
        <w:t>般公共预算财政拨款支出决算明细表</w:t>
      </w:r>
      <w:bookmarkEnd w:id="71"/>
    </w:p>
    <w:p>
      <w:pPr>
        <w:spacing w:line="560" w:lineRule="exact"/>
        <w:ind w:firstLine="640"/>
        <w:rPr>
          <w:rFonts w:eastAsia="方正仿宋_GBK"/>
          <w:sz w:val="33"/>
          <w:szCs w:val="33"/>
        </w:rPr>
      </w:pPr>
      <w:bookmarkStart w:id="72" w:name="_Toc15396626"/>
      <w:r>
        <w:rPr>
          <w:rFonts w:eastAsia="方正仿宋_GBK" w:hint="eastAsia"/>
          <w:bCs/>
          <w:sz w:val="33"/>
          <w:szCs w:val="33"/>
        </w:rPr>
        <w:t>八、</w:t>
      </w:r>
      <w:r>
        <w:rPr>
          <w:rFonts w:eastAsia="方正仿宋_GBK" w:hint="eastAsia"/>
          <w:sz w:val="33"/>
          <w:szCs w:val="33"/>
        </w:rPr>
        <w:t>一</w:t>
      </w:r>
      <w:r>
        <w:rPr>
          <w:rFonts w:eastAsia="方正仿宋_GBK" w:hint="eastAsia"/>
          <w:bCs/>
          <w:sz w:val="33"/>
          <w:szCs w:val="33"/>
        </w:rPr>
        <w:t>般公共预算财政拨款基本支出决算表</w:t>
      </w:r>
      <w:bookmarkEnd w:id="72"/>
    </w:p>
    <w:p>
      <w:pPr>
        <w:spacing w:line="560" w:lineRule="exact"/>
        <w:ind w:firstLine="640"/>
        <w:rPr>
          <w:rFonts w:eastAsia="方正仿宋_GBK"/>
          <w:sz w:val="33"/>
          <w:szCs w:val="33"/>
        </w:rPr>
      </w:pPr>
      <w:bookmarkStart w:id="73" w:name="_Toc15396627"/>
      <w:r>
        <w:rPr>
          <w:rFonts w:eastAsia="方正仿宋_GBK" w:hint="eastAsia"/>
          <w:bCs/>
          <w:sz w:val="33"/>
          <w:szCs w:val="33"/>
        </w:rPr>
        <w:t>九、</w:t>
      </w:r>
      <w:r>
        <w:rPr>
          <w:rFonts w:eastAsia="方正仿宋_GBK" w:hint="eastAsia"/>
          <w:sz w:val="33"/>
          <w:szCs w:val="33"/>
        </w:rPr>
        <w:t>一</w:t>
      </w:r>
      <w:r>
        <w:rPr>
          <w:rFonts w:eastAsia="方正仿宋_GBK" w:hint="eastAsia"/>
          <w:bCs/>
          <w:sz w:val="33"/>
          <w:szCs w:val="33"/>
        </w:rPr>
        <w:t>般公共预算财政拨款项目支出决算表</w:t>
      </w:r>
      <w:bookmarkEnd w:id="73"/>
    </w:p>
    <w:p>
      <w:pPr>
        <w:spacing w:line="560" w:lineRule="exact"/>
        <w:ind w:firstLine="640"/>
        <w:rPr>
          <w:rFonts w:eastAsia="方正仿宋_GBK"/>
          <w:sz w:val="33"/>
          <w:szCs w:val="33"/>
        </w:rPr>
      </w:pPr>
      <w:bookmarkStart w:id="74" w:name="_Toc15396628"/>
      <w:r>
        <w:rPr>
          <w:rFonts w:eastAsia="方正仿宋_GBK" w:hint="eastAsia"/>
          <w:bCs/>
          <w:sz w:val="33"/>
          <w:szCs w:val="33"/>
        </w:rPr>
        <w:t>十、</w:t>
      </w:r>
      <w:r>
        <w:rPr>
          <w:rFonts w:eastAsia="方正仿宋_GBK" w:hint="eastAsia"/>
          <w:sz w:val="33"/>
          <w:szCs w:val="33"/>
        </w:rPr>
        <w:t>一</w:t>
      </w:r>
      <w:r>
        <w:rPr>
          <w:rFonts w:eastAsia="方正仿宋_GBK" w:hint="eastAsia"/>
          <w:bCs/>
          <w:sz w:val="33"/>
          <w:szCs w:val="33"/>
        </w:rPr>
        <w:t>般公共预算财政拨款“三公”经费支出决算表</w:t>
      </w:r>
      <w:bookmarkEnd w:id="74"/>
    </w:p>
    <w:p>
      <w:pPr>
        <w:spacing w:line="560" w:lineRule="exact"/>
        <w:ind w:firstLine="640"/>
        <w:rPr>
          <w:rFonts w:eastAsia="方正仿宋_GBK"/>
          <w:sz w:val="33"/>
          <w:szCs w:val="33"/>
        </w:rPr>
      </w:pPr>
      <w:bookmarkStart w:id="75" w:name="_Toc15396629"/>
      <w:r>
        <w:rPr>
          <w:rFonts w:eastAsia="方正仿宋_GBK" w:hint="eastAsia"/>
          <w:bCs/>
          <w:sz w:val="33"/>
          <w:szCs w:val="33"/>
        </w:rPr>
        <w:t>十一、</w:t>
      </w:r>
      <w:r>
        <w:rPr>
          <w:rFonts w:eastAsia="方正仿宋_GBK" w:hint="eastAsia"/>
          <w:sz w:val="33"/>
          <w:szCs w:val="33"/>
        </w:rPr>
        <w:t>政</w:t>
      </w:r>
      <w:r>
        <w:rPr>
          <w:rFonts w:eastAsia="方正仿宋_GBK" w:hint="eastAsia"/>
          <w:bCs/>
          <w:sz w:val="33"/>
          <w:szCs w:val="33"/>
        </w:rPr>
        <w:t>府性基金预算财政拨款收入支出决算表</w:t>
      </w:r>
      <w:bookmarkEnd w:id="75"/>
    </w:p>
    <w:p>
      <w:pPr>
        <w:spacing w:line="560" w:lineRule="exact"/>
        <w:ind w:firstLine="640"/>
        <w:rPr>
          <w:rFonts w:eastAsia="方正仿宋_GBK"/>
          <w:sz w:val="33"/>
          <w:szCs w:val="33"/>
        </w:rPr>
      </w:pPr>
      <w:bookmarkStart w:id="76" w:name="_Toc15396630"/>
      <w:r>
        <w:rPr>
          <w:rFonts w:eastAsia="方正仿宋_GBK" w:hint="eastAsia"/>
          <w:bCs/>
          <w:sz w:val="33"/>
          <w:szCs w:val="33"/>
        </w:rPr>
        <w:t>十二、</w:t>
      </w:r>
      <w:r>
        <w:rPr>
          <w:rFonts w:eastAsia="方正仿宋_GBK" w:hint="eastAsia"/>
          <w:sz w:val="33"/>
          <w:szCs w:val="33"/>
        </w:rPr>
        <w:t>政</w:t>
      </w:r>
      <w:r>
        <w:rPr>
          <w:rFonts w:eastAsia="方正仿宋_GBK" w:hint="eastAsia"/>
          <w:bCs/>
          <w:sz w:val="33"/>
          <w:szCs w:val="33"/>
        </w:rPr>
        <w:t>府性基金预算财政拨款“三公”经费支出决算表</w:t>
      </w:r>
      <w:bookmarkEnd w:id="76"/>
    </w:p>
    <w:p>
      <w:pPr>
        <w:spacing w:line="560" w:lineRule="exact"/>
        <w:ind w:firstLine="640"/>
        <w:rPr>
          <w:rFonts w:eastAsia="方正仿宋_GBK"/>
          <w:sz w:val="33"/>
          <w:szCs w:val="33"/>
        </w:rPr>
      </w:pPr>
      <w:bookmarkStart w:id="77" w:name="_Toc15396631"/>
      <w:r>
        <w:rPr>
          <w:rFonts w:eastAsia="方正仿宋_GBK" w:hint="eastAsia"/>
          <w:bCs/>
          <w:sz w:val="33"/>
          <w:szCs w:val="33"/>
        </w:rPr>
        <w:t>十三、</w:t>
      </w:r>
      <w:r>
        <w:rPr>
          <w:rFonts w:eastAsia="方正仿宋_GBK" w:hint="eastAsia"/>
          <w:sz w:val="33"/>
          <w:szCs w:val="33"/>
        </w:rPr>
        <w:t>国</w:t>
      </w:r>
      <w:r>
        <w:rPr>
          <w:rFonts w:eastAsia="方正仿宋_GBK" w:hint="eastAsia"/>
          <w:bCs/>
          <w:sz w:val="33"/>
          <w:szCs w:val="33"/>
        </w:rPr>
        <w:t>有资本经营预算财政拨款收入支出决算表</w:t>
      </w:r>
      <w:bookmarkEnd w:id="77"/>
      <w:r>
        <w:rPr>
          <w:rFonts w:eastAsia="方正仿宋_GBK" w:hint="eastAsia"/>
          <w:bCs/>
          <w:sz w:val="33"/>
          <w:szCs w:val="33"/>
        </w:rPr>
        <w:t>（此表无数据）</w:t>
      </w:r>
    </w:p>
    <w:p>
      <w:pPr>
        <w:spacing w:line="560" w:lineRule="exact"/>
        <w:ind w:firstLine="640"/>
        <w:rPr>
          <w:rFonts w:eastAsia="方正仿宋_GBK"/>
          <w:sz w:val="33"/>
          <w:szCs w:val="33"/>
        </w:rPr>
      </w:pPr>
      <w:r>
        <w:rPr>
          <w:rFonts w:eastAsia="方正仿宋_GBK" w:hint="eastAsia"/>
          <w:bCs/>
          <w:sz w:val="33"/>
          <w:szCs w:val="33"/>
        </w:rPr>
        <w:t>十四、</w:t>
      </w:r>
      <w:r>
        <w:rPr>
          <w:rFonts w:eastAsia="方正仿宋_GBK" w:hint="eastAsia"/>
          <w:sz w:val="33"/>
          <w:szCs w:val="33"/>
        </w:rPr>
        <w:t>国</w:t>
      </w:r>
      <w:r>
        <w:rPr>
          <w:rFonts w:eastAsia="方正仿宋_GBK" w:hint="eastAsia"/>
          <w:bCs/>
          <w:sz w:val="33"/>
          <w:szCs w:val="33"/>
        </w:rPr>
        <w:t>有资本经营预算财政拨款支出决算表（此表无数据）</w:t>
      </w:r>
    </w:p>
    <w:p>
      <w:pPr>
        <w:spacing w:line="576" w:lineRule="exact"/>
        <w:jc w:val="center"/>
        <w:rPr>
          <w:rFonts w:ascii="方正小标宋_GBK" w:eastAsia="方正小标宋_GBK" w:hint="eastAsia"/>
          <w:b/>
          <w:color w:val="000000"/>
          <w:kern w:val="0"/>
          <w:sz w:val="38"/>
          <w:szCs w:val="38"/>
        </w:rPr>
      </w:pPr>
      <w:bookmarkEnd w:id="65"/>
    </w:p>
    <w:sectPr>
      <w:headerReference w:type="default" r:id="rId2"/>
      <w:footerReference w:type="default" r:id="rId3"/>
      <w:pgSz w:w="11906" w:h="16838"/>
      <w:pgMar w:top="2098" w:right="1474" w:bottom="1985" w:left="1588"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3000509000000000000"/>
    <w:charset w:val="86"/>
    <w:family w:val="script"/>
    <w:pitch w:val="variable"/>
    <w:sig w:usb0="00000001" w:usb1="080E0000" w:usb2="0000001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仿宋_GB2312">
    <w:panose1 w:val="02010609030101010101"/>
    <w:charset w:val="86"/>
    <w:family w:val="modern"/>
    <w:pitch w:val="variable"/>
    <w:sig w:usb0="00000001" w:usb1="080E0000" w:usb2="00000010" w:usb3="00000000" w:csb0="00040000" w:csb1="00000000"/>
  </w:font>
  <w:font w:name="方正仿宋_GB2312">
    <w:altName w:val="微软雅黑"/>
    <w:panose1 w:val="00000000000000000000"/>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tabs>
        <w:tab w:val="center" w:pos="4153"/>
        <w:tab w:val="right" w:pos="8306"/>
      </w:tabs>
      <w:jc w:val="center"/>
    </w:pPr>
    <w:r>
      <w:fldChar w:fldCharType="begin"/>
    </w:r>
    <w:r>
      <w:instrText>PAGE   \* MERGEFORMAT</w:instrText>
    </w:r>
    <w:r>
      <w:fldChar w:fldCharType="separate"/>
    </w:r>
    <w:r>
      <w:rPr>
        <w:lang w:val="zh-CN"/>
      </w:rPr>
      <w:t>29</w:t>
    </w:r>
    <w:r>
      <w:fldChar w:fldCharType="end"/>
    </w:r>
  </w:p>
  <w:p>
    <w:pPr>
      <w:pStyle w:val="18"/>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6DD15EA"/>
    <w:multiLevelType w:val="hybridMultilevel"/>
    <w:tmpl w:val="3FC6061C"/>
    <w:lvl w:ilvl="0">
      <w:start w:val="1"/>
      <w:numFmt w:val="japaneseCounting"/>
      <w:lvlRestart w:val="0"/>
      <w:lvlText w:val="%1、"/>
      <w:lvlJc w:val="left"/>
      <w:pPr>
        <w:ind w:left="1383" w:hanging="720"/>
      </w:pPr>
      <w:rPr>
        <w:rFonts w:hint="default"/>
        <w:b/>
        <w:color w:val="000000"/>
      </w:rPr>
    </w:lvl>
    <w:lvl w:ilvl="1">
      <w:start w:val="1"/>
      <w:numFmt w:val="lowerLetter"/>
      <w:lvlText w:val="%2)"/>
      <w:lvlJc w:val="left"/>
      <w:pPr>
        <w:ind w:left="1503" w:hanging="420"/>
      </w:pPr>
    </w:lvl>
    <w:lvl w:ilvl="2">
      <w:start w:val="1"/>
      <w:numFmt w:val="lowerRoman"/>
      <w:lvlText w:val="%3."/>
      <w:lvlJc w:val="right"/>
      <w:pPr>
        <w:ind w:left="1923" w:hanging="420"/>
      </w:pPr>
    </w:lvl>
    <w:lvl w:ilvl="3">
      <w:start w:val="1"/>
      <w:numFmt w:val="decimal"/>
      <w:lvlText w:val="%4."/>
      <w:lvlJc w:val="left"/>
      <w:pPr>
        <w:ind w:left="2343" w:hanging="420"/>
      </w:pPr>
    </w:lvl>
    <w:lvl w:ilvl="4">
      <w:start w:val="1"/>
      <w:numFmt w:val="lowerLetter"/>
      <w:lvlText w:val="%5)"/>
      <w:lvlJc w:val="left"/>
      <w:pPr>
        <w:ind w:left="2763" w:hanging="420"/>
      </w:pPr>
    </w:lvl>
    <w:lvl w:ilvl="5">
      <w:start w:val="1"/>
      <w:numFmt w:val="lowerRoman"/>
      <w:lvlText w:val="%6."/>
      <w:lvlJc w:val="right"/>
      <w:pPr>
        <w:ind w:left="3183" w:hanging="420"/>
      </w:pPr>
    </w:lvl>
    <w:lvl w:ilvl="6">
      <w:start w:val="1"/>
      <w:numFmt w:val="decimal"/>
      <w:lvlText w:val="%7."/>
      <w:lvlJc w:val="left"/>
      <w:pPr>
        <w:ind w:left="3603" w:hanging="420"/>
      </w:pPr>
    </w:lvl>
    <w:lvl w:ilvl="7">
      <w:start w:val="1"/>
      <w:numFmt w:val="lowerLetter"/>
      <w:lvlText w:val="%8)"/>
      <w:lvlJc w:val="left"/>
      <w:pPr>
        <w:ind w:left="4023" w:hanging="420"/>
      </w:pPr>
    </w:lvl>
    <w:lvl w:ilvl="8">
      <w:start w:val="1"/>
      <w:numFmt w:val="lowerRoman"/>
      <w:lvlText w:val="%9."/>
      <w:lvlJc w:val="right"/>
      <w:pPr>
        <w:ind w:left="4443"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24"/>
      <w:szCs w:val="20"/>
      <w:lang w:val="x-none" w:eastAsia="x-none"/>
    </w:rPr>
  </w:style>
  <w:style w:type="paragraph" w:styleId="16">
    <w:name w:val="toc 3"/>
    <w:basedOn w:val="0"/>
    <w:next w:val="0"/>
    <w:pPr>
      <w:tabs>
        <w:tab w:val="right" w:leader="dot" w:pos="8296"/>
      </w:tabs>
      <w:ind w:leftChars="400" w:left="400"/>
    </w:p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rFonts w:ascii="Calibri" w:hAnsi="Calibri"/>
      <w:kern w:val="0"/>
      <w:sz w:val="18"/>
      <w:szCs w:val="20"/>
      <w:lang w:val="x-none" w:eastAsia="x-none"/>
    </w:rPr>
  </w:style>
  <w:style w:type="paragraph" w:styleId="19">
    <w:name w:val="header"/>
    <w:basedOn w:val="0"/>
    <w:pPr>
      <w:pBdr>
        <w:bottom w:val="single" w:sz="6" w:space="1" w:color="auto"/>
      </w:pBdr>
      <w:tabs>
        <w:tab w:val="center" w:pos="4153"/>
        <w:tab w:val="right" w:pos="8306"/>
      </w:tabs>
      <w:snapToGrid w:val="0"/>
      <w:jc w:val="center"/>
    </w:pPr>
    <w:rPr>
      <w:rFonts w:ascii="Calibri" w:hAnsi="Calibri"/>
      <w:kern w:val="0"/>
      <w:sz w:val="18"/>
      <w:szCs w:val="20"/>
      <w:lang w:val="x-none" w:eastAsia="x-none"/>
    </w:rPr>
  </w:style>
  <w:style w:type="paragraph" w:styleId="20">
    <w:name w:val="toc 1"/>
    <w:basedOn w:val="0"/>
    <w:next w:val="0"/>
    <w:pPr>
      <w:tabs>
        <w:tab w:val="right" w:leader="dot" w:pos="8296"/>
      </w:tabs>
      <w:spacing w:before="93"/>
      <w:jc w:val="center"/>
    </w:pPr>
    <w:rPr>
      <w:rFonts w:ascii="仿宋" w:eastAsia="仿宋"/>
      <w:sz w:val="28"/>
      <w:szCs w:val="28"/>
    </w:rPr>
  </w:style>
  <w:style w:type="paragraph" w:styleId="21">
    <w:name w:val="toc 2"/>
    <w:basedOn w:val="0"/>
    <w:next w:val="0"/>
    <w:pPr>
      <w:tabs>
        <w:tab w:val="right" w:leader="dot" w:pos="8296"/>
      </w:tabs>
      <w:ind w:leftChars="200" w:left="200"/>
    </w:pPr>
  </w:style>
  <w:style w:type="character" w:styleId="22">
    <w:name w:val="Strong"/>
    <w:rPr>
      <w:rFonts w:cs="Times New Roman"/>
      <w:b/>
    </w:rPr>
  </w:style>
  <w:style w:type="character" w:styleId="23">
    <w:name w:val="Hyperlink"/>
    <w:rPr>
      <w:rFonts w:cs="Times New Roman"/>
      <w:color w:val="0000FF"/>
      <w:u w:val="single"/>
    </w:rPr>
  </w:style>
  <w:style w:type="paragraph" w:customStyle="1" w:styleId="24">
    <w:name w:val="Default"/>
    <w:pPr>
      <w:widowControl w:val="0"/>
      <w:autoSpaceDE w:val="0"/>
      <w:autoSpaceDN w:val="0"/>
      <w:adjustRightInd w:val="0"/>
    </w:pPr>
    <w:rPr>
      <w:rFonts w:ascii="仿宋" w:eastAsia="仿宋" w:cs="仿宋"/>
      <w:color w:val="000000"/>
      <w:sz w:val="24"/>
      <w:szCs w:val="24"/>
      <w:lang w:val="en-US" w:eastAsia="zh-CN" w:bidi="ar-SA"/>
    </w:rPr>
  </w:style>
  <w:style w:type="paragraph" w:customStyle="1" w:styleId="25">
    <w:name w:val="List Paragraph"/>
    <w:basedOn w:val="0"/>
    <w:pPr>
      <w:ind w:firstLineChars="200" w:firstLine="200"/>
    </w:pPr>
  </w:style>
  <w:style w:type="paragraph" w:customStyle="1" w:styleId="26">
    <w:name w:val="TOC 标题1"/>
    <w:basedOn w:val="1"/>
    <w:next w:val="0"/>
    <w:pPr>
      <w:keepNext/>
      <w:keepLines/>
      <w:widowControl/>
      <w:spacing w:before="480" w:after="0" w:line="276" w:lineRule="auto"/>
      <w:jc w:val="left"/>
      <w:outlineLvl w:val="9"/>
    </w:pPr>
    <w:rPr>
      <w:rFonts w:ascii="Cambria" w:hAnsi="Cambria"/>
      <w:color w:val="365F91"/>
      <w:kern w:val="0"/>
      <w:sz w:val="28"/>
      <w:szCs w:val="28"/>
    </w:rPr>
  </w:style>
  <w:style w:type="paragraph" w:customStyle="1" w:styleId="27">
    <w:name w:val="TOC Heading1"/>
    <w:basedOn w:val="1"/>
    <w:next w:val="0"/>
    <w:pPr>
      <w:keepNext/>
      <w:keepLines/>
      <w:widowControl/>
      <w:spacing w:before="480" w:after="0" w:line="276" w:lineRule="auto"/>
      <w:jc w:val="left"/>
      <w:outlineLvl w:val="9"/>
    </w:pPr>
    <w:rPr>
      <w:rFonts w:ascii="Cambria" w:hAnsi="Cambria"/>
      <w:color w:val="365F91"/>
      <w:kern w:val="0"/>
      <w:sz w:val="28"/>
      <w:szCs w:val="28"/>
    </w:rPr>
  </w:style>
  <w:style w:type="character" w:customStyle="1" w:styleId="28">
    <w:name w:val="Heading 1 Char"/>
    <w:rPr>
      <w:rFonts w:ascii="Times New Roman" w:cs="Times New Roman" w:hAnsi="Times New Roman"/>
      <w:b/>
      <w:kern w:val="44"/>
      <w:sz w:val="44"/>
    </w:rPr>
  </w:style>
  <w:style w:type="paragraph" w:styleId="29">
    <w:name w:val="Plain Text"/>
    <w:basedOn w:val="0"/>
    <w:rPr>
      <w:rFonts w:ascii="宋体"/>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chart" Target="charts/chart1.xml"/><Relationship Id="rId5" Type="http://schemas.openxmlformats.org/officeDocument/2006/relationships/chart" Target="charts/chart2.xml"/><Relationship Id="rId6" Type="http://schemas.openxmlformats.org/officeDocument/2006/relationships/chart" Target="charts/chart3.xml"/><Relationship Id="rId7" Type="http://schemas.openxmlformats.org/officeDocument/2006/relationships/chart" Target="charts/chart4.xml"/><Relationship Id="rId8" Type="http://schemas.openxmlformats.org/officeDocument/2006/relationships/chart" Target="charts/chart5.xml"/><Relationship Id="rId9" Type="http://schemas.openxmlformats.org/officeDocument/2006/relationships/chart" Target="charts/chart6.xml"/><Relationship Id="rId10" Type="http://schemas.openxmlformats.org/officeDocument/2006/relationships/chart" Target="charts/chart7.xml"/><Relationship Id="rId11" Type="http://schemas.openxmlformats.org/officeDocument/2006/relationships/styles" Target="styles.xml"/><Relationship Id="rId12" Type="http://schemas.openxmlformats.org/officeDocument/2006/relationships/numbering" Target="numbering.xml"/><Relationship Id="rId13"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char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char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char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char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char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char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char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071847506"/>
          <c:y val="0.0668693"/>
          <c:w val="0.8181818"/>
          <c:h val="0.80851066"/>
        </c:manualLayout>
      </c:layout>
      <c:barChart>
        <c:barDir val="col"/>
        <c:grouping val="clustered"/>
        <c:varyColors val="0"/>
        <c:ser>
          <c:idx val="0"/>
          <c:order val="0"/>
          <c:spPr>
            <a:solidFill>
              <a:srgbClr val="9999FF"/>
            </a:solidFill>
            <a:ln w="6350">
              <a:solidFill>
                <a:srgbClr val="000000"/>
              </a:solidFill>
              <a:prstDash val="solid"/>
            </a:ln>
          </c:spPr>
          <c:invertIfNegative val="0"/>
          <c:dLbls>
            <c:spPr>
              <a:noFill/>
              <a:ln>
                <a:noFill/>
              </a:ln>
            </c:spPr>
            <c:txPr>
              <a:bodyPr vert="horz"/>
              <a:lstStyle/>
              <a:p>
                <a:pPr>
                  <a:defRPr sz="1150" b="0" i="0" u="none" strike="noStrike" baseline="0">
                    <a:solidFill>
                      <a:srgbClr val="000000"/>
                    </a:solidFill>
                    <a:latin typeface="宋体"/>
                    <a:ea typeface="宋体"/>
                    <a:cs typeface="Lucida Sans"/>
                  </a:defRPr>
                </a:pPr>
                <a:endParaRPr lang="zh-CN"/>
              </a:p>
            </c:txPr>
            <c:numFmt formatCode="g/&quot;通&quot;&quot;用&quot;&quot;格&quot;&quot;式&quot;" sourceLinked="1"/>
            <c:showLegendKey val="0"/>
            <c:showVal val="1"/>
            <c:showCatName val="0"/>
            <c:showSerName val="0"/>
            <c:showPercent val="0"/>
            <c:showBubbleSize val="0"/>
            <c:showLeaderLines val="0"/>
          </c:dLbls>
          <c:cat>
            <c:strRef>
              <c:f>'Sheet1'!$A$1:$A$2</c:f>
              <c:strCache>
                <c:ptCount val="2"/>
                <c:pt idx="0">
                  <c:v>2019年</c:v>
                </c:pt>
                <c:pt idx="1">
                  <c:v>2020年</c:v>
                </c:pt>
              </c:strCache>
            </c:strRef>
          </c:cat>
          <c:val>
            <c:numRef>
              <c:f>'Sheet1'!$B$1:$B$2</c:f>
              <c:numCache>
                <c:formatCode>g/"通""用""格""式"</c:formatCode>
                <c:ptCount val="2"/>
                <c:pt idx="0">
                  <c:v>279.65</c:v>
                </c:pt>
                <c:pt idx="1">
                  <c:v>300.89</c:v>
                </c:pt>
              </c:numCache>
            </c:numRef>
          </c:val>
        </c:ser>
        <c:gapWidth val="150"/>
        <c:axId val="0"/>
        <c:axId val="1"/>
      </c:barChart>
      <c:catAx>
        <c:axId val="0"/>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115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115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90469205"/>
          <c:y val="0.43768996"/>
          <c:w val="0.08944281"/>
          <c:h val="0.06382979"/>
        </c:manualLayout>
      </c:layout>
      <c:overlay val="0"/>
      <c:spPr>
        <a:solidFill>
          <a:srgbClr val="FFFFFF"/>
        </a:solidFill>
        <a:ln w="6350">
          <a:solidFill>
            <a:srgbClr val="000000"/>
          </a:solidFill>
          <a:prstDash val="solid"/>
        </a:ln>
      </c:spPr>
      <c:txPr>
        <a:bodyPr/>
        <a:lstStyle/>
        <a:p>
          <a:pPr>
            <a:defRPr sz="10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11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75"/>
          <c:y val="0.2781955"/>
          <c:w val="0.25"/>
          <c:h val="0.45112783"/>
        </c:manualLayout>
      </c:layout>
      <c:pieChart>
        <c:varyColors val="1"/>
        <c:ser>
          <c:idx val="0"/>
          <c:order val="0"/>
          <c:spPr>
            <a:solidFill>
              <a:srgbClr val="9999FF"/>
            </a:solidFill>
            <a:ln w="6350">
              <a:solidFill>
                <a:srgbClr val="000000"/>
              </a:solidFill>
              <a:prstDash val="solid"/>
            </a:ln>
          </c:spPr>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Lbls>
            <c:spPr>
              <a:noFill/>
              <a:ln>
                <a:noFill/>
              </a:ln>
            </c:spPr>
            <c:txPr>
              <a:bodyPr vert="horz"/>
              <a:lstStyle/>
              <a:p>
                <a:pPr>
                  <a:defRPr sz="850" b="0" i="0" u="none" strike="noStrike" baseline="0">
                    <a:solidFill>
                      <a:srgbClr val="000000"/>
                    </a:solidFill>
                    <a:latin typeface="宋体"/>
                    <a:ea typeface="宋体"/>
                    <a:cs typeface="Lucida Sans"/>
                  </a:defRPr>
                </a:pPr>
                <a:endParaRPr lang="zh-CN"/>
              </a:p>
            </c:txPr>
            <c:numFmt formatCode="g/&quot;通&quot;&quot;用&quot;&quot;格&quot;&quot;式&quot;" sourceLinked="1"/>
            <c:showLegendKey val="0"/>
            <c:showVal val="1"/>
            <c:showCatName val="1"/>
            <c:showSerName val="0"/>
            <c:showPercent val="0"/>
            <c:showBubbleSize val="0"/>
            <c:showLeaderLines val="1"/>
          </c:dLbls>
          <c:cat>
            <c:strRef>
              <c:f>'Sheet1 (2)'!$A$1:$A$3</c:f>
              <c:strCache>
                <c:ptCount val="3"/>
                <c:pt idx="0">
                  <c:v>一般公共预算财政拨款</c:v>
                </c:pt>
                <c:pt idx="1">
                  <c:v>政府基金预算财政拨款</c:v>
                </c:pt>
                <c:pt idx="2">
                  <c:v>其他收入</c:v>
                </c:pt>
              </c:strCache>
            </c:strRef>
          </c:cat>
          <c:val>
            <c:numRef>
              <c:f>'Sheet1 (2)'!$B$1:$B$3</c:f>
              <c:numCache>
                <c:formatCode>g/"通""用""格""式"</c:formatCode>
                <c:ptCount val="3"/>
                <c:pt idx="0">
                  <c:v>170.25</c:v>
                </c:pt>
                <c:pt idx="1">
                  <c:v>168.64</c:v>
                </c:pt>
                <c:pt idx="2">
                  <c:v>0.03</c:v>
                </c:pt>
              </c:numCache>
            </c:numRef>
          </c:val>
        </c:ser>
        <c:firstSliceAng val="0"/>
      </c:pieChart>
      <c:spPr>
        <a:noFill/>
        <a:ln>
          <a:noFill/>
        </a:ln>
      </c:spPr>
    </c:plotArea>
    <c:legend>
      <c:legendPos val="r"/>
      <c:layout>
        <c:manualLayout>
          <c:xMode val="edge"/>
          <c:yMode val="edge"/>
          <c:x val="0.725"/>
          <c:y val="0.40977442"/>
          <c:w val="0.26666668"/>
          <c:h val="0.18421052"/>
        </c:manualLayout>
      </c:layout>
      <c:overlay val="0"/>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321285"/>
          <c:y val="0.25403225"/>
          <c:w val="0.24899599"/>
          <c:h val="0.5"/>
        </c:manualLayout>
      </c:layout>
      <c:pieChart>
        <c:varyColors val="1"/>
        <c:ser>
          <c:idx val="0"/>
          <c:order val="0"/>
          <c:spPr>
            <a:solidFill>
              <a:srgbClr val="9999FF"/>
            </a:solidFill>
            <a:ln w="6350">
              <a:solidFill>
                <a:srgbClr val="000000"/>
              </a:solidFill>
              <a:prstDash val="solid"/>
            </a:ln>
          </c:spPr>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Lbls>
            <c:spPr>
              <a:noFill/>
              <a:ln>
                <a:noFill/>
              </a:ln>
            </c:spPr>
            <c:txPr>
              <a:bodyPr vert="horz"/>
              <a:lstStyle/>
              <a:p>
                <a:pPr>
                  <a:defRPr sz="900" b="0" i="0" u="none" strike="noStrike" baseline="0">
                    <a:solidFill>
                      <a:srgbClr val="000000"/>
                    </a:solidFill>
                    <a:latin typeface="宋体"/>
                    <a:ea typeface="宋体"/>
                    <a:cs typeface="Lucida Sans"/>
                  </a:defRPr>
                </a:pPr>
                <a:endParaRPr lang="zh-CN"/>
              </a:p>
            </c:txPr>
            <c:numFmt formatCode="g/&quot;通&quot;&quot;用&quot;&quot;格&quot;&quot;式&quot;" sourceLinked="1"/>
            <c:showLegendKey val="0"/>
            <c:showVal val="1"/>
            <c:showCatName val="1"/>
            <c:showSerName val="0"/>
            <c:showPercent val="0"/>
            <c:showBubbleSize val="0"/>
            <c:showLeaderLines val="1"/>
          </c:dLbls>
          <c:cat>
            <c:strRef>
              <c:f>'Sheet1 (3)'!$A$8:$A$9</c:f>
              <c:strCache>
                <c:ptCount val="2"/>
                <c:pt idx="0">
                  <c:v>基本支出</c:v>
                </c:pt>
                <c:pt idx="1">
                  <c:v>项目支出</c:v>
                </c:pt>
              </c:strCache>
            </c:strRef>
          </c:cat>
          <c:val>
            <c:numRef>
              <c:f>'Sheet1 (3)'!$B$8:$B$9</c:f>
              <c:numCache>
                <c:formatCode>g/"通""用""格""式"</c:formatCode>
                <c:ptCount val="2"/>
                <c:pt idx="0">
                  <c:v>175.3</c:v>
                </c:pt>
                <c:pt idx="1">
                  <c:v>123.71</c:v>
                </c:pt>
              </c:numCache>
            </c:numRef>
          </c:val>
        </c:ser>
        <c:firstSliceAng val="0"/>
      </c:pieChart>
      <c:spPr>
        <a:noFill/>
        <a:ln>
          <a:noFill/>
        </a:ln>
      </c:spPr>
    </c:plotArea>
    <c:legend>
      <c:legendPos val="r"/>
      <c:layout>
        <c:manualLayout>
          <c:xMode val="edge"/>
          <c:yMode val="edge"/>
          <c:x val="0.85542166"/>
          <c:y val="0.43145162"/>
          <c:w val="0.13654618"/>
          <c:h val="0.14112903"/>
        </c:manualLayout>
      </c:layout>
      <c:overlay val="0"/>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9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50" b="0" i="0" u="none" strike="noStrike" baseline="0">
                <a:solidFill>
                  <a:srgbClr val="000000"/>
                </a:solidFill>
                <a:latin typeface="宋体"/>
                <a:ea typeface="宋体"/>
                <a:cs typeface="Lucida Sans"/>
              </a:defRPr>
            </a:pPr>
            <a:r>
              <a:rPr lang="zh-CN"/>
              <a:t>财政拨款收支总计</a:t>
            </a:r>
          </a:p>
        </c:rich>
      </c:tx>
      <c:layout>
        <c:manualLayout>
          <c:xMode val="edge"/>
          <c:yMode val="edge"/>
          <c:x val="0.4052533"/>
          <c:y val="0.018796992"/>
        </c:manualLayout>
      </c:layout>
      <c:overlay val="0"/>
      <c:spPr>
        <a:noFill/>
        <a:ln>
          <a:noFill/>
        </a:ln>
      </c:spPr>
    </c:title>
    <c:autoTitleDeleted val="1"/>
    <c:plotArea>
      <c:layout>
        <c:manualLayout>
          <c:layoutTarget val="inner"/>
          <c:xMode val="edge"/>
          <c:yMode val="edge"/>
          <c:x val="0.07692308"/>
          <c:y val="0.18796992"/>
          <c:w val="0.81425893"/>
          <c:h val="0.6766917"/>
        </c:manualLayout>
      </c:layout>
      <c:barChart>
        <c:barDir val="col"/>
        <c:grouping val="clustered"/>
        <c:varyColors val="0"/>
        <c:ser>
          <c:idx val="0"/>
          <c:order val="0"/>
          <c:tx>
            <c:v>万元</c:v>
          </c:tx>
          <c:spPr>
            <a:solidFill>
              <a:srgbClr val="9999FF"/>
            </a:solidFill>
            <a:ln w="6350">
              <a:solidFill>
                <a:srgbClr val="000000"/>
              </a:solidFill>
              <a:prstDash val="solid"/>
            </a:ln>
          </c:spPr>
          <c:invertIfNegative val="0"/>
          <c:dLbls>
            <c:spPr>
              <a:noFill/>
              <a:ln>
                <a:noFill/>
              </a:ln>
            </c:spPr>
            <c:txPr>
              <a:bodyPr vert="horz"/>
              <a:lstStyle/>
              <a:p>
                <a:pPr>
                  <a:defRPr sz="950" b="0" i="0" u="none" strike="noStrike" baseline="0">
                    <a:solidFill>
                      <a:srgbClr val="000000"/>
                    </a:solidFill>
                    <a:latin typeface="宋体"/>
                    <a:ea typeface="宋体"/>
                    <a:cs typeface="Lucida Sans"/>
                  </a:defRPr>
                </a:pPr>
                <a:endParaRPr lang="zh-CN"/>
              </a:p>
            </c:txPr>
            <c:numFmt formatCode="g/&quot;通&quot;&quot;用&quot;&quot;格&quot;&quot;式&quot;" sourceLinked="1"/>
            <c:dLbl>
              <c:idx val="1"/>
              <c:spPr>
                <a:noFill/>
                <a:ln>
                  <a:noFill/>
                </a:ln>
              </c:spPr>
              <c:txPr>
                <a:bodyPr vert="horz"/>
                <a:lstStyle/>
                <a:p>
                  <a:pPr>
                    <a:defRPr sz="950" b="0" i="0" u="none" strike="noStrike" baseline="0">
                      <a:solidFill>
                        <a:srgbClr val="000000"/>
                      </a:solidFill>
                      <a:latin typeface="宋体"/>
                      <a:ea typeface="宋体"/>
                      <a:cs typeface="Lucida Sans"/>
                    </a:defRPr>
                  </a:pPr>
                  <a:endParaRPr lang="zh-CN"/>
                </a:p>
              </c:txPr>
              <c:tx>
                <c:rich>
                  <a:bodyPr vert="horz"/>
                  <a:lstStyle/>
                  <a:p>
                    <a:pPr>
                      <a:defRPr sz="950" b="0" i="0" u="none" strike="noStrike" baseline="0">
                        <a:solidFill>
                          <a:srgbClr val="000000"/>
                        </a:solidFill>
                        <a:latin typeface="宋体"/>
                        <a:ea typeface="宋体"/>
                        <a:cs typeface="Lucida Sans"/>
                      </a:defRPr>
                    </a:pPr>
                    <a:r>
                      <a:rPr lang="zh-CN"/>
                      <a:t>300.83</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'Sheet1 (4)'!$A$12:$A$13</c:f>
              <c:strCache>
                <c:ptCount val="2"/>
                <c:pt idx="0">
                  <c:v>2019年</c:v>
                </c:pt>
                <c:pt idx="1">
                  <c:v>2020年</c:v>
                </c:pt>
              </c:strCache>
            </c:strRef>
          </c:cat>
          <c:val>
            <c:numRef>
              <c:f>'Sheet1 (4)'!$B$12:$B$13</c:f>
              <c:numCache>
                <c:formatCode>g/"通""用""格""式"</c:formatCode>
                <c:ptCount val="2"/>
                <c:pt idx="0">
                  <c:v>279.62</c:v>
                </c:pt>
                <c:pt idx="1">
                  <c:v>300.82</c:v>
                </c:pt>
              </c:numCache>
            </c:numRef>
          </c:val>
        </c:ser>
        <c:gapWidth val="150"/>
        <c:axId val="0"/>
        <c:axId val="1"/>
      </c:barChart>
      <c:catAx>
        <c:axId val="0"/>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9099437"/>
          <c:y val="0.48872182"/>
          <c:w val="0.08255159"/>
          <c:h val="0.067669176"/>
        </c:manualLayout>
      </c:layout>
      <c:overlay val="0"/>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9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50" b="0" i="0" u="none" strike="noStrike" baseline="0">
                <a:solidFill>
                  <a:srgbClr val="000000"/>
                </a:solidFill>
                <a:latin typeface="宋体"/>
                <a:ea typeface="宋体"/>
                <a:cs typeface="Lucida Sans"/>
              </a:defRPr>
            </a:pPr>
            <a:r>
              <a:rPr lang="zh-CN"/>
              <a:t>一般公共预算财政拨款支出</a:t>
            </a:r>
          </a:p>
        </c:rich>
      </c:tx>
      <c:layout>
        <c:manualLayout>
          <c:xMode val="edge"/>
          <c:yMode val="edge"/>
          <c:x val="0.36446887"/>
          <c:y val="0.018796992"/>
        </c:manualLayout>
      </c:layout>
      <c:overlay val="0"/>
      <c:spPr>
        <a:noFill/>
        <a:ln>
          <a:noFill/>
        </a:ln>
      </c:spPr>
    </c:title>
    <c:autoTitleDeleted val="1"/>
    <c:plotArea>
      <c:layout>
        <c:manualLayout>
          <c:layoutTarget val="inner"/>
          <c:xMode val="edge"/>
          <c:yMode val="edge"/>
          <c:x val="0.0970696"/>
          <c:y val="0.18796992"/>
          <c:w val="0.7967033"/>
          <c:h val="0.6766917"/>
        </c:manualLayout>
      </c:layout>
      <c:barChart>
        <c:barDir val="col"/>
        <c:grouping val="clustered"/>
        <c:varyColors val="0"/>
        <c:ser>
          <c:idx val="0"/>
          <c:order val="0"/>
          <c:tx>
            <c:v>万元</c:v>
          </c:tx>
          <c:spPr>
            <a:solidFill>
              <a:srgbClr val="9999FF"/>
            </a:solidFill>
            <a:ln w="6350">
              <a:solidFill>
                <a:srgbClr val="000000"/>
              </a:solidFill>
              <a:prstDash val="solid"/>
            </a:ln>
          </c:spPr>
          <c:invertIfNegative val="0"/>
          <c:dLbls>
            <c:spPr>
              <a:noFill/>
              <a:ln>
                <a:noFill/>
              </a:ln>
            </c:spPr>
            <c:txPr>
              <a:bodyPr vert="horz"/>
              <a:lstStyle/>
              <a:p>
                <a:pPr>
                  <a:defRPr sz="950" b="0" i="0" u="none" strike="noStrike" baseline="0">
                    <a:solidFill>
                      <a:srgbClr val="000000"/>
                    </a:solidFill>
                    <a:latin typeface="宋体"/>
                    <a:ea typeface="宋体"/>
                    <a:cs typeface="Lucida Sans"/>
                  </a:defRPr>
                </a:pPr>
                <a:endParaRPr lang="zh-CN"/>
              </a:p>
            </c:txPr>
            <c:numFmt formatCode="g/&quot;通&quot;&quot;用&quot;&quot;格&quot;&quot;式&quot;" sourceLinked="1"/>
            <c:dLbl>
              <c:idx val="1"/>
              <c:spPr>
                <a:noFill/>
                <a:ln>
                  <a:noFill/>
                </a:ln>
              </c:spPr>
              <c:txPr>
                <a:bodyPr vert="horz"/>
                <a:lstStyle/>
                <a:p>
                  <a:pPr>
                    <a:defRPr sz="950" b="0" i="0" u="none" strike="noStrike" baseline="0">
                      <a:solidFill>
                        <a:srgbClr val="000000"/>
                      </a:solidFill>
                      <a:latin typeface="宋体"/>
                      <a:ea typeface="宋体"/>
                      <a:cs typeface="Lucida Sans"/>
                    </a:defRPr>
                  </a:pPr>
                  <a:endParaRPr lang="zh-CN"/>
                </a:p>
              </c:txPr>
              <c:tx>
                <c:rich>
                  <a:bodyPr vert="horz"/>
                  <a:lstStyle/>
                  <a:p>
                    <a:pPr>
                      <a:defRPr sz="950" b="0" i="0" u="none" strike="noStrike" baseline="0">
                        <a:solidFill>
                          <a:srgbClr val="000000"/>
                        </a:solidFill>
                        <a:latin typeface="宋体"/>
                        <a:ea typeface="宋体"/>
                        <a:cs typeface="Lucida Sans"/>
                      </a:defRPr>
                    </a:pPr>
                    <a:r>
                      <a:rPr lang="zh-CN"/>
                      <a:t>171.28</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'Sheet1 (5)'!$A$12:$A$13</c:f>
              <c:strCache>
                <c:ptCount val="2"/>
                <c:pt idx="0">
                  <c:v>2019年</c:v>
                </c:pt>
                <c:pt idx="1">
                  <c:v>2020年</c:v>
                </c:pt>
              </c:strCache>
            </c:strRef>
          </c:cat>
          <c:val>
            <c:numRef>
              <c:f>'Sheet1 (5)'!$B$12:$B$13</c:f>
              <c:numCache>
                <c:formatCode>g/"通""用""格""式"</c:formatCode>
                <c:ptCount val="2"/>
                <c:pt idx="0">
                  <c:v>170.56</c:v>
                </c:pt>
                <c:pt idx="1">
                  <c:v>171.27</c:v>
                </c:pt>
              </c:numCache>
            </c:numRef>
          </c:val>
        </c:ser>
        <c:gapWidth val="150"/>
        <c:axId val="0"/>
        <c:axId val="1"/>
      </c:barChart>
      <c:catAx>
        <c:axId val="0"/>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es val="autoZero"/>
        <c:auto val="1"/>
        <c:lblOffset val="100"/>
        <c:lblAlgn val="ctr"/>
        <c:noMultiLvlLbl val="0"/>
        <c:crossAx val="1"/>
      </c:catAx>
      <c:valAx>
        <c:axId val="1"/>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esAt val="1.0"/>
        <c:crossBetween val="between"/>
        <c:crossAx val="0"/>
      </c:valAx>
      <c:spPr>
        <a:solidFill>
          <a:srgbClr val="C0C0C0"/>
        </a:solidFill>
        <a:ln w="6350">
          <a:solidFill>
            <a:srgbClr val="808080"/>
          </a:solidFill>
          <a:prstDash val="solid"/>
        </a:ln>
      </c:spPr>
    </c:plotArea>
    <c:legend>
      <c:legendPos val="r"/>
      <c:layout>
        <c:manualLayout>
          <c:xMode val="edge"/>
          <c:yMode val="edge"/>
          <c:x val="0.9120879"/>
          <c:y val="0.48872182"/>
          <c:w val="0.08058608"/>
          <c:h val="0.067669176"/>
        </c:manualLayout>
      </c:layout>
      <c:overlay val="0"/>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9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5609756"/>
          <c:y val="0.25210086"/>
          <c:w val="0.24390244"/>
          <c:h val="0.5042017"/>
        </c:manualLayout>
      </c:layout>
      <c:pieChart>
        <c:varyColors val="1"/>
        <c:ser>
          <c:idx val="0"/>
          <c:order val="0"/>
          <c:spPr>
            <a:solidFill>
              <a:srgbClr val="9999FF"/>
            </a:solidFill>
            <a:ln w="6350">
              <a:solidFill>
                <a:srgbClr val="000000"/>
              </a:solidFill>
              <a:prstDash val="solid"/>
            </a:ln>
          </c:spPr>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Lbls>
            <c:spPr>
              <a:noFill/>
              <a:ln>
                <a:noFill/>
              </a:ln>
            </c:spPr>
            <c:txPr>
              <a:bodyPr vert="horz"/>
              <a:lstStyle/>
              <a:p>
                <a:pPr>
                  <a:defRPr sz="850" b="0" i="0" u="none" strike="noStrike" baseline="0">
                    <a:solidFill>
                      <a:srgbClr val="000000"/>
                    </a:solidFill>
                    <a:latin typeface="宋体"/>
                    <a:ea typeface="宋体"/>
                    <a:cs typeface="Lucida Sans"/>
                  </a:defRPr>
                </a:pPr>
                <a:endParaRPr lang="zh-CN"/>
              </a:p>
            </c:txPr>
            <c:numFmt formatCode="g/&quot;通&quot;&quot;用&quot;&quot;格&quot;&quot;式&quot;" sourceLinked="1"/>
            <c:dLbl>
              <c:idx val="0"/>
              <c:spPr>
                <a:noFill/>
                <a:ln>
                  <a:noFill/>
                </a:ln>
              </c:spPr>
              <c:txPr>
                <a:bodyPr vert="horz"/>
                <a:lstStyle/>
                <a:p>
                  <a:pPr>
                    <a:defRPr sz="850" b="0" i="0" u="none" strike="noStrike" baseline="0">
                      <a:solidFill>
                        <a:srgbClr val="000000"/>
                      </a:solidFill>
                      <a:latin typeface="宋体"/>
                      <a:ea typeface="宋体"/>
                      <a:cs typeface="Lucida Sans"/>
                    </a:defRPr>
                  </a:pPr>
                  <a:endParaRPr lang="zh-CN"/>
                </a:p>
              </c:txPr>
              <c:tx>
                <c:rich>
                  <a:bodyPr vert="horz"/>
                  <a:lstStyle/>
                  <a:p>
                    <a:pPr>
                      <a:defRPr sz="850" b="0" i="0" u="none" strike="noStrike" baseline="0">
                        <a:solidFill>
                          <a:srgbClr val="000000"/>
                        </a:solidFill>
                        <a:latin typeface="宋体"/>
                        <a:ea typeface="宋体"/>
                        <a:cs typeface="Lucida Sans"/>
                      </a:defRPr>
                    </a:pPr>
                    <a:r>
                      <a:rPr lang="zh-CN" sz="850" b="0" i="0" u="none" strike="noStrike" baseline="0">
                        <a:solidFill>
                          <a:srgbClr val="000000"/>
                        </a:solidFill>
                        <a:latin typeface="宋体"/>
                        <a:ea typeface="宋体"/>
                        <a:cs typeface="Lucida Sans"/>
                      </a:rPr>
                      <a:t>一般公共服务支出</a:t>
                    </a:r>
                    <a:r>
                      <a:rPr lang="zh-CN" sz="850" b="0" i="0" u="none" strike="noStrike" baseline="0">
                        <a:solidFill>
                          <a:srgbClr val="000000"/>
                        </a:solidFill>
                        <a:latin typeface="宋体"/>
                        <a:ea typeface="宋体"/>
                        <a:cs typeface="Lucida Sans"/>
                      </a:rPr>
                      <a:t>, 148.22</a:t>
                    </a:r>
                  </a:p>
                </c:rich>
              </c:tx>
              <c:showLegendKey val="0"/>
              <c:showVal val="1"/>
              <c:showCatName val="1"/>
              <c:showSerName val="0"/>
              <c:showPercent val="0"/>
              <c:showBubbleSize val="0"/>
            </c:dLbl>
            <c:showLegendKey val="0"/>
            <c:showVal val="1"/>
            <c:showCatName val="1"/>
            <c:showSerName val="0"/>
            <c:showPercent val="0"/>
            <c:showBubbleSize val="0"/>
            <c:showLeaderLines val="1"/>
          </c:dLbls>
          <c:cat>
            <c:strRef>
              <c:f>'Sheet1 (6)'!$A$18:$A$20</c:f>
              <c:strCache>
                <c:ptCount val="3"/>
                <c:pt idx="0">
                  <c:v>一般公共服务支出</c:v>
                </c:pt>
                <c:pt idx="1">
                  <c:v>社会保障和就业支出</c:v>
                </c:pt>
                <c:pt idx="2">
                  <c:v>住房保障支出</c:v>
                </c:pt>
              </c:strCache>
            </c:strRef>
          </c:cat>
          <c:val>
            <c:numRef>
              <c:f>'Sheet1 (6)'!$B$18:$B$20</c:f>
              <c:numCache>
                <c:formatCode>g/"通""用""格""式"</c:formatCode>
                <c:ptCount val="3"/>
                <c:pt idx="0">
                  <c:v>148.21</c:v>
                </c:pt>
                <c:pt idx="1">
                  <c:v>11.91</c:v>
                </c:pt>
                <c:pt idx="2">
                  <c:v>11.15</c:v>
                </c:pt>
              </c:numCache>
            </c:numRef>
          </c:val>
        </c:ser>
        <c:firstSliceAng val="0"/>
      </c:pieChart>
      <c:spPr>
        <a:noFill/>
        <a:ln>
          <a:noFill/>
        </a:ln>
      </c:spPr>
    </c:plotArea>
    <c:legend>
      <c:legendPos val="r"/>
      <c:layout>
        <c:manualLayout>
          <c:xMode val="edge"/>
          <c:yMode val="edge"/>
          <c:x val="0.75406504"/>
          <c:y val="0.39915967"/>
          <c:w val="0.23780487"/>
          <c:h val="0.20588236"/>
        </c:manualLayout>
      </c:layout>
      <c:overlay val="0"/>
      <c:spPr>
        <a:solidFill>
          <a:srgbClr val="FFFFFF"/>
        </a:solid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8921"/>
          <c:y val="0.2761905"/>
          <c:w val="0.1849711"/>
          <c:h val="0.45714286"/>
        </c:manualLayout>
      </c:layout>
      <c:pieChart>
        <c:varyColors val="1"/>
        <c:ser>
          <c:idx val="0"/>
          <c:order val="0"/>
          <c:spPr>
            <a:solidFill>
              <a:srgbClr val="9999FF"/>
            </a:solidFill>
            <a:ln w="6350">
              <a:solidFill>
                <a:srgbClr val="000000"/>
              </a:solidFill>
              <a:prstDash val="solid"/>
            </a:ln>
          </c:spPr>
          <c:dPt>
            <c:idx val="0"/>
            <c:bubble3D val="0"/>
            <c:spPr>
              <a:solidFill>
                <a:srgbClr val="9999FF"/>
              </a:solidFill>
              <a:ln w="6350">
                <a:solidFill>
                  <a:srgbClr val="000000"/>
                </a:solidFill>
                <a:prstDash val="solid"/>
              </a:ln>
            </c:spPr>
          </c:dPt>
          <c:dPt>
            <c:idx val="1"/>
            <c:bubble3D val="0"/>
            <c:spPr>
              <a:solidFill>
                <a:srgbClr val="993366"/>
              </a:solidFill>
              <a:ln w="6350">
                <a:solidFill>
                  <a:srgbClr val="000000"/>
                </a:solidFill>
                <a:prstDash val="solid"/>
              </a:ln>
            </c:spPr>
          </c:dPt>
          <c:dLbls>
            <c:spPr>
              <a:noFill/>
              <a:ln>
                <a:noFill/>
              </a:ln>
            </c:spPr>
            <c:txPr>
              <a:bodyPr vert="horz"/>
              <a:lstStyle/>
              <a:p>
                <a:pPr>
                  <a:defRPr sz="800" b="0" i="0" u="none" strike="noStrike" baseline="0">
                    <a:solidFill>
                      <a:srgbClr val="000000"/>
                    </a:solidFill>
                    <a:latin typeface="宋体"/>
                    <a:ea typeface="宋体"/>
                    <a:cs typeface="Lucida Sans"/>
                  </a:defRPr>
                </a:pPr>
                <a:endParaRPr lang="zh-CN"/>
              </a:p>
            </c:txPr>
            <c:numFmt formatCode="g/&quot;通&quot;&quot;用&quot;&quot;格&quot;&quot;式&quot;" sourceLinked="1"/>
            <c:showLegendKey val="0"/>
            <c:showVal val="1"/>
            <c:showCatName val="1"/>
            <c:showSerName val="0"/>
            <c:showPercent val="0"/>
            <c:showBubbleSize val="0"/>
            <c:showLeaderLines val="1"/>
          </c:dLbls>
          <c:cat>
            <c:strRef>
              <c:f>'Sheet1 (7)'!$A$25:$A$26</c:f>
              <c:strCache>
                <c:ptCount val="2"/>
                <c:pt idx="0">
                  <c:v>公务接待费支出</c:v>
                </c:pt>
                <c:pt idx="1">
                  <c:v>公务用车购置及运行维护费支出</c:v>
                </c:pt>
              </c:strCache>
            </c:strRef>
          </c:cat>
          <c:val>
            <c:numRef>
              <c:f>'Sheet1 (7)'!$B$25:$B$26</c:f>
              <c:numCache>
                <c:formatCode>g/"通""用""格""式"</c:formatCode>
                <c:ptCount val="2"/>
                <c:pt idx="0">
                  <c:v>0.0</c:v>
                </c:pt>
                <c:pt idx="1">
                  <c:v>0.0</c:v>
                </c:pt>
              </c:numCache>
            </c:numRef>
          </c:val>
        </c:ser>
        <c:firstSliceAng val="0"/>
      </c:pieChart>
      <c:spPr>
        <a:noFill/>
        <a:ln>
          <a:noFill/>
        </a:ln>
      </c:spPr>
    </c:plotArea>
    <c:legend>
      <c:legendPos val="r"/>
      <c:layout>
        <c:manualLayout>
          <c:xMode val="edge"/>
          <c:yMode val="edge"/>
          <c:x val="0.66088635"/>
          <c:y val="0.42380953"/>
          <c:w val="0.33140656"/>
          <c:h val="0.15714286"/>
        </c:manualLayout>
      </c:layout>
      <c:overlay val="0"/>
      <c:spPr>
        <a:solidFill>
          <a:srgbClr val="FFFFFF"/>
        </a:solid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printSettings>
    <c:headerFooter/>
    <c:pageMargins b="0.75" l="0.7" r="0.7" t="0.75" header="0.3" footer="0.3"/>
    <c:pageSetup/>
  </c:printSettings>
  <c:externalData r:id="rId1">
    <c:autoUpdate val="0"/>
  </c:externalData>
</c:chartSpace>
</file>

<file path=docProps/app.xml><?xml version="1.0" encoding="utf-8"?>
<Properties xmlns="http://schemas.openxmlformats.org/officeDocument/2006/extended-properties">
  <Template>Normal.eit</Template>
  <TotalTime>9</TotalTime>
  <Application>Yozo_Office27021597764231179</Application>
  <Pages>30</Pages>
  <Words>9303</Words>
  <Characters>10201</Characters>
  <Lines>736</Lines>
  <Paragraphs>349</Paragraphs>
  <CharactersWithSpaces>10401</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user</cp:lastModifiedBy>
  <cp:revision>3</cp:revision>
  <cp:lastPrinted>2021-10-13T06:56:00Z</cp:lastPrinted>
  <dcterms:created xsi:type="dcterms:W3CDTF">2021-10-18T02:16:00Z</dcterms:created>
  <dcterms:modified xsi:type="dcterms:W3CDTF">2021-11-23T02:12:19Z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2052-11.8.2.8361</vt:lpwstr>
  </property>
</Properties>
</file>