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lang w:eastAsia="zh-CN"/>
        </w:rPr>
        <w:t>攀枝花市残疾人联合会</w:t>
      </w:r>
    </w:p>
    <w:p>
      <w:pPr>
        <w:spacing w:line="600" w:lineRule="exact"/>
        <w:jc w:val="center"/>
        <w:rPr>
          <w:rFonts w:hint="eastAsia" w:ascii="方正小标宋简体" w:hAnsi="宋体" w:eastAsia="方正小标宋简体"/>
          <w:sz w:val="44"/>
          <w:szCs w:val="44"/>
          <w:u w:val="single"/>
        </w:rPr>
      </w:pPr>
      <w:r>
        <w:rPr>
          <w:rFonts w:hint="eastAsia" w:ascii="方正小标宋简体" w:hAnsi="宋体" w:eastAsia="方正小标宋简体"/>
          <w:sz w:val="44"/>
          <w:szCs w:val="44"/>
        </w:rPr>
        <w:t>2020年部门预算编制说明</w:t>
      </w:r>
    </w:p>
    <w:p>
      <w:pPr>
        <w:pStyle w:val="2"/>
        <w:adjustRightInd w:val="0"/>
        <w:spacing w:beforeLines="0" w:line="600" w:lineRule="exact"/>
        <w:rPr>
          <w:rFonts w:hint="eastAsia" w:ascii="宋体" w:hAnsi="宋体" w:eastAsia="宋体"/>
          <w:b/>
          <w:sz w:val="32"/>
        </w:rPr>
      </w:pPr>
      <w:r>
        <w:rPr>
          <w:rFonts w:hint="eastAsia" w:ascii="宋体" w:hAnsi="宋体" w:eastAsia="宋体"/>
          <w:b/>
          <w:sz w:val="32"/>
        </w:rPr>
        <w:t xml:space="preserve">    </w:t>
      </w:r>
    </w:p>
    <w:p>
      <w:pPr>
        <w:spacing w:line="600" w:lineRule="exact"/>
        <w:ind w:firstLine="640" w:firstLineChars="200"/>
        <w:rPr>
          <w:rFonts w:hint="eastAsia" w:ascii="黑体" w:eastAsia="黑体"/>
        </w:rPr>
      </w:pPr>
      <w:r>
        <w:rPr>
          <w:rFonts w:hint="eastAsia" w:ascii="黑体" w:eastAsia="黑体"/>
        </w:rPr>
        <w:t>一、基本职能及主要工作</w:t>
      </w:r>
    </w:p>
    <w:p>
      <w:pPr>
        <w:pStyle w:val="2"/>
        <w:adjustRightInd w:val="0"/>
        <w:spacing w:beforeLines="0" w:line="600" w:lineRule="exact"/>
        <w:ind w:firstLine="675" w:firstLineChars="210"/>
        <w:rPr>
          <w:rFonts w:hint="eastAsia" w:ascii="仿宋_GB2312" w:hAnsi="Times New Roman" w:eastAsia="仿宋_GB2312" w:cs="Times New Roman"/>
          <w:kern w:val="2"/>
          <w:sz w:val="32"/>
          <w:szCs w:val="32"/>
          <w:lang w:val="en-US" w:eastAsia="zh-CN" w:bidi="ar-SA"/>
        </w:rPr>
      </w:pPr>
      <w:r>
        <w:rPr>
          <w:rFonts w:hint="eastAsia" w:ascii="楷体_GB2312" w:eastAsia="楷体_GB2312"/>
          <w:b/>
          <w:sz w:val="32"/>
        </w:rPr>
        <w:t>（一）</w:t>
      </w:r>
      <w:r>
        <w:rPr>
          <w:rFonts w:hint="eastAsia" w:ascii="楷体_GB2312" w:eastAsia="楷体_GB2312"/>
          <w:b/>
          <w:sz w:val="32"/>
          <w:lang w:eastAsia="zh-CN"/>
        </w:rPr>
        <w:t>攀枝花市残联</w:t>
      </w:r>
      <w:r>
        <w:rPr>
          <w:rFonts w:hint="eastAsia" w:ascii="楷体_GB2312" w:eastAsia="楷体_GB2312"/>
          <w:b/>
          <w:sz w:val="32"/>
        </w:rPr>
        <w:t>职能简介。</w:t>
      </w:r>
      <w:r>
        <w:rPr>
          <w:rFonts w:hint="eastAsia"/>
          <w:sz w:val="32"/>
          <w:lang w:val="en-US" w:eastAsia="zh-CN"/>
        </w:rPr>
        <w:t>残联的主要职能是“代表、服务、管理”。主要任务是残疾人的社会保障、残疾人的劳动就业、残疾人的教育、残疾人的文化与体育、残疾人的康复与医疗、残疾人的扶贫、残疾预防。</w:t>
      </w:r>
    </w:p>
    <w:p>
      <w:pPr>
        <w:pStyle w:val="2"/>
        <w:adjustRightInd w:val="0"/>
        <w:spacing w:beforeLines="0" w:line="600" w:lineRule="exact"/>
        <w:ind w:firstLine="675" w:firstLineChars="210"/>
        <w:rPr>
          <w:rFonts w:hint="eastAsia"/>
          <w:bCs/>
          <w:sz w:val="32"/>
          <w:u w:val="single"/>
        </w:rPr>
      </w:pPr>
      <w:r>
        <w:rPr>
          <w:rFonts w:hint="eastAsia" w:ascii="楷体_GB2312" w:eastAsia="楷体_GB2312"/>
          <w:b/>
          <w:sz w:val="32"/>
        </w:rPr>
        <w:t>（二）</w:t>
      </w:r>
      <w:r>
        <w:rPr>
          <w:rFonts w:hint="eastAsia" w:ascii="楷体_GB2312" w:eastAsia="楷体_GB2312"/>
          <w:b/>
          <w:sz w:val="32"/>
          <w:lang w:eastAsia="zh-CN"/>
        </w:rPr>
        <w:t>攀</w:t>
      </w:r>
      <w:r>
        <w:rPr>
          <w:rFonts w:hint="eastAsia" w:ascii="楷体_GB2312" w:eastAsia="楷体_GB2312"/>
          <w:b/>
          <w:sz w:val="32"/>
          <w:highlight w:val="none"/>
          <w:lang w:eastAsia="zh-CN"/>
        </w:rPr>
        <w:t>枝花市残联</w:t>
      </w:r>
      <w:r>
        <w:rPr>
          <w:rFonts w:hint="eastAsia" w:ascii="楷体_GB2312" w:eastAsia="楷体_GB2312"/>
          <w:b/>
          <w:sz w:val="32"/>
          <w:highlight w:val="none"/>
        </w:rPr>
        <w:t>2020年重</w:t>
      </w:r>
      <w:r>
        <w:rPr>
          <w:rFonts w:hint="eastAsia" w:ascii="楷体_GB2312" w:eastAsia="楷体_GB2312"/>
          <w:b/>
          <w:sz w:val="32"/>
        </w:rPr>
        <w:t>点工作。</w:t>
      </w:r>
      <w:r>
        <w:rPr>
          <w:rFonts w:hint="eastAsia"/>
          <w:sz w:val="32"/>
          <w:lang w:val="en-US" w:eastAsia="zh-CN"/>
        </w:rPr>
        <w:t xml:space="preserve">2020年，攀枝花市残联不断深入践行 “量体裁衣”式残疾人服务，认真落实各项重点工作和残疾人民生项目。完成为贫困精神病患者实施医疗救助补贴、为贫困肢体残疾人适配基本型辅具、为贫困家庭脑瘫儿童提供康复救助、开展残疾人职业技能培训、扶持农村残疾人发展生产、残疾人家庭无障碍改造等项目。 </w:t>
      </w:r>
    </w:p>
    <w:p>
      <w:pPr>
        <w:spacing w:line="600" w:lineRule="exact"/>
        <w:ind w:firstLine="640" w:firstLineChars="200"/>
        <w:rPr>
          <w:rFonts w:hint="eastAsia" w:ascii="黑体" w:eastAsia="黑体"/>
        </w:rPr>
      </w:pPr>
      <w:r>
        <w:rPr>
          <w:rFonts w:hint="eastAsia" w:ascii="黑体" w:eastAsia="黑体"/>
        </w:rPr>
        <w:t>二、单位构成情况</w:t>
      </w:r>
    </w:p>
    <w:p>
      <w:pPr>
        <w:spacing w:line="600" w:lineRule="exact"/>
        <w:ind w:firstLine="640" w:firstLineChars="200"/>
        <w:rPr>
          <w:rFonts w:hint="eastAsia"/>
          <w:sz w:val="32"/>
          <w:lang w:eastAsia="zh-CN"/>
        </w:rPr>
      </w:pPr>
      <w:r>
        <w:rPr>
          <w:rFonts w:hint="eastAsia"/>
          <w:sz w:val="32"/>
          <w:lang w:eastAsia="zh-CN"/>
        </w:rPr>
        <w:t>攀枝花市残联是</w:t>
      </w:r>
      <w:r>
        <w:rPr>
          <w:rFonts w:hint="eastAsia"/>
          <w:sz w:val="32"/>
        </w:rPr>
        <w:t>参照公务员法管理的</w:t>
      </w:r>
      <w:r>
        <w:rPr>
          <w:rFonts w:hint="eastAsia"/>
          <w:sz w:val="32"/>
          <w:lang w:eastAsia="zh-CN"/>
        </w:rPr>
        <w:t>正县级事业单位，</w:t>
      </w:r>
      <w:r>
        <w:rPr>
          <w:rFonts w:hint="eastAsia"/>
          <w:sz w:val="32"/>
        </w:rPr>
        <w:t>单位</w:t>
      </w:r>
      <w:r>
        <w:rPr>
          <w:rFonts w:hint="eastAsia"/>
          <w:sz w:val="32"/>
          <w:lang w:eastAsia="zh-CN"/>
        </w:rPr>
        <w:t>内设三科一室，其</w:t>
      </w:r>
      <w:bookmarkStart w:id="0" w:name="_GoBack"/>
      <w:bookmarkEnd w:id="0"/>
      <w:r>
        <w:rPr>
          <w:rFonts w:hint="eastAsia"/>
          <w:sz w:val="32"/>
          <w:lang w:eastAsia="zh-CN"/>
        </w:rPr>
        <w:t>中攀枝花市残疾人劳动就业服务中心与残联机关合署办公。</w:t>
      </w:r>
    </w:p>
    <w:p>
      <w:pPr>
        <w:spacing w:line="600" w:lineRule="exact"/>
        <w:ind w:firstLine="640" w:firstLineChars="200"/>
        <w:rPr>
          <w:rFonts w:hint="eastAsia" w:ascii="黑体" w:eastAsia="黑体"/>
        </w:rPr>
      </w:pPr>
      <w:r>
        <w:rPr>
          <w:rFonts w:hint="eastAsia" w:ascii="黑体" w:eastAsia="黑体"/>
        </w:rPr>
        <w:t>三、收支预算情况说明</w:t>
      </w:r>
    </w:p>
    <w:p>
      <w:pPr>
        <w:spacing w:line="600" w:lineRule="exact"/>
        <w:ind w:firstLine="640" w:firstLineChars="200"/>
        <w:rPr>
          <w:rFonts w:hint="eastAsia" w:ascii="仿宋_GB2312"/>
        </w:rPr>
      </w:pPr>
      <w:r>
        <w:rPr>
          <w:rFonts w:hint="eastAsia"/>
        </w:rPr>
        <w:t>按照综合预算的原则，</w:t>
      </w:r>
      <w:r>
        <w:rPr>
          <w:rFonts w:hint="eastAsia"/>
          <w:lang w:eastAsia="zh-CN"/>
        </w:rPr>
        <w:t>攀枝花市残疾人联合会</w:t>
      </w:r>
      <w:r>
        <w:rPr>
          <w:rFonts w:hint="eastAsia" w:ascii="仿宋_GB2312"/>
        </w:rPr>
        <w:t>所有收入和支出均纳入部门预算管理。收入包括：一般公共预算拨款收入</w:t>
      </w:r>
      <w:r>
        <w:rPr>
          <w:rFonts w:hint="eastAsia" w:ascii="仿宋_GB2312"/>
          <w:lang w:val="en-US" w:eastAsia="zh-CN"/>
        </w:rPr>
        <w:t>366.45万元</w:t>
      </w:r>
      <w:r>
        <w:rPr>
          <w:rFonts w:hint="eastAsia" w:ascii="仿宋_GB2312"/>
        </w:rPr>
        <w:t>；支出包括：</w:t>
      </w:r>
      <w:r>
        <w:rPr>
          <w:rFonts w:hint="eastAsia" w:ascii="仿宋_GB2312"/>
          <w:lang w:eastAsia="zh-CN"/>
        </w:rPr>
        <w:t>社会保障和就业支出</w:t>
      </w:r>
      <w:r>
        <w:rPr>
          <w:rFonts w:hint="eastAsia" w:ascii="仿宋_GB2312"/>
          <w:lang w:val="en-US" w:eastAsia="zh-CN"/>
        </w:rPr>
        <w:t>343.94万元，住房保障支出22.51万元。</w:t>
      </w:r>
      <w:r>
        <w:rPr>
          <w:rFonts w:hint="eastAsia"/>
          <w:lang w:eastAsia="zh-CN"/>
        </w:rPr>
        <w:t>攀枝花市残联</w:t>
      </w:r>
      <w:r>
        <w:rPr>
          <w:rFonts w:hint="eastAsia" w:ascii="仿宋_GB2312"/>
        </w:rPr>
        <w:t>2020年收支总预算</w:t>
      </w:r>
      <w:r>
        <w:rPr>
          <w:rFonts w:hint="eastAsia"/>
          <w:lang w:val="en-US" w:eastAsia="zh-CN"/>
        </w:rPr>
        <w:t>366.45</w:t>
      </w:r>
      <w:r>
        <w:rPr>
          <w:rFonts w:hint="eastAsia" w:ascii="仿宋_GB2312"/>
        </w:rPr>
        <w:t>万元。</w:t>
      </w:r>
    </w:p>
    <w:p>
      <w:pPr>
        <w:spacing w:line="600" w:lineRule="exact"/>
        <w:ind w:firstLine="643" w:firstLineChars="200"/>
        <w:rPr>
          <w:rFonts w:hint="eastAsia" w:ascii="楷体_GB2312" w:eastAsia="楷体_GB2312"/>
          <w:b/>
        </w:rPr>
      </w:pPr>
      <w:r>
        <w:rPr>
          <w:rFonts w:hint="eastAsia" w:ascii="楷体_GB2312" w:eastAsia="楷体_GB2312"/>
          <w:b/>
        </w:rPr>
        <w:t>（一）收入预算情况</w:t>
      </w:r>
    </w:p>
    <w:p>
      <w:pPr>
        <w:spacing w:line="600" w:lineRule="exact"/>
        <w:ind w:firstLine="640" w:firstLineChars="200"/>
        <w:rPr>
          <w:rFonts w:hint="eastAsia" w:ascii="仿宋_GB2312"/>
        </w:rPr>
      </w:pPr>
      <w:r>
        <w:rPr>
          <w:rFonts w:hint="eastAsia"/>
          <w:lang w:eastAsia="zh-CN"/>
        </w:rPr>
        <w:t>攀枝花市残联</w:t>
      </w:r>
      <w:r>
        <w:rPr>
          <w:rFonts w:hint="eastAsia" w:ascii="仿宋_GB2312"/>
        </w:rPr>
        <w:t>2020年收入预算</w:t>
      </w:r>
      <w:r>
        <w:rPr>
          <w:rFonts w:hint="eastAsia"/>
          <w:lang w:val="en-US" w:eastAsia="zh-CN"/>
        </w:rPr>
        <w:t>366.45</w:t>
      </w:r>
      <w:r>
        <w:rPr>
          <w:rFonts w:hint="eastAsia" w:ascii="仿宋_GB2312"/>
        </w:rPr>
        <w:t>万元，</w:t>
      </w:r>
      <w:r>
        <w:rPr>
          <w:rFonts w:hint="eastAsia" w:ascii="仿宋_GB2312"/>
          <w:highlight w:val="none"/>
        </w:rPr>
        <w:t>比2019年预算数</w:t>
      </w:r>
      <w:r>
        <w:rPr>
          <w:rFonts w:hint="eastAsia" w:ascii="仿宋_GB2312"/>
          <w:highlight w:val="none"/>
          <w:lang w:eastAsia="zh-CN"/>
        </w:rPr>
        <w:t>增加</w:t>
      </w:r>
      <w:r>
        <w:rPr>
          <w:rFonts w:hint="eastAsia"/>
          <w:highlight w:val="none"/>
          <w:lang w:val="en-US" w:eastAsia="zh-CN"/>
        </w:rPr>
        <w:t>1.99</w:t>
      </w:r>
      <w:r>
        <w:rPr>
          <w:rFonts w:hint="eastAsia" w:ascii="仿宋_GB2312"/>
          <w:highlight w:val="none"/>
        </w:rPr>
        <w:t>万元，</w:t>
      </w:r>
      <w:r>
        <w:rPr>
          <w:rFonts w:hint="eastAsia" w:ascii="仿宋_GB2312"/>
        </w:rPr>
        <w:t>主要是</w:t>
      </w:r>
      <w:r>
        <w:rPr>
          <w:rFonts w:hint="eastAsia" w:ascii="仿宋_GB2312"/>
          <w:lang w:eastAsia="zh-CN"/>
        </w:rPr>
        <w:t>人员支出增加，</w:t>
      </w:r>
      <w:r>
        <w:rPr>
          <w:rFonts w:hint="eastAsia" w:ascii="仿宋_GB2312"/>
        </w:rPr>
        <w:t>其中：上年结转</w:t>
      </w:r>
      <w:r>
        <w:rPr>
          <w:rFonts w:hint="eastAsia"/>
          <w:lang w:val="en-US" w:eastAsia="zh-CN"/>
        </w:rPr>
        <w:t>0</w:t>
      </w:r>
      <w:r>
        <w:rPr>
          <w:rFonts w:hint="eastAsia" w:ascii="仿宋_GB2312"/>
        </w:rPr>
        <w:t>万元，占</w:t>
      </w:r>
      <w:r>
        <w:rPr>
          <w:rFonts w:hint="eastAsia"/>
          <w:lang w:val="en-US" w:eastAsia="zh-CN"/>
        </w:rPr>
        <w:t>0</w:t>
      </w:r>
      <w:r>
        <w:rPr>
          <w:rFonts w:hint="eastAsia" w:ascii="仿宋_GB2312"/>
        </w:rPr>
        <w:t>%；一般公共预算拨款收入</w:t>
      </w:r>
      <w:r>
        <w:rPr>
          <w:rFonts w:hint="eastAsia"/>
          <w:lang w:val="en-US" w:eastAsia="zh-CN"/>
        </w:rPr>
        <w:t>366.45</w:t>
      </w:r>
      <w:r>
        <w:rPr>
          <w:rFonts w:hint="eastAsia" w:ascii="仿宋_GB2312"/>
        </w:rPr>
        <w:t>万元，占</w:t>
      </w:r>
      <w:r>
        <w:rPr>
          <w:rFonts w:hint="eastAsia"/>
          <w:lang w:val="en-US" w:eastAsia="zh-CN"/>
        </w:rPr>
        <w:t>0</w:t>
      </w:r>
      <w:r>
        <w:rPr>
          <w:rFonts w:hint="eastAsia" w:ascii="仿宋_GB2312"/>
        </w:rPr>
        <w:t>%；政府性基金预算拨款收入</w:t>
      </w:r>
      <w:r>
        <w:rPr>
          <w:rFonts w:hint="eastAsia"/>
          <w:lang w:val="en-US" w:eastAsia="zh-CN"/>
        </w:rPr>
        <w:t>0</w:t>
      </w:r>
      <w:r>
        <w:rPr>
          <w:rFonts w:hint="eastAsia" w:ascii="仿宋_GB2312"/>
        </w:rPr>
        <w:t>万元，占</w:t>
      </w:r>
      <w:r>
        <w:rPr>
          <w:rFonts w:hint="eastAsia"/>
          <w:lang w:val="en-US" w:eastAsia="zh-CN"/>
        </w:rPr>
        <w:t>0</w:t>
      </w:r>
      <w:r>
        <w:rPr>
          <w:rFonts w:hint="eastAsia" w:ascii="仿宋_GB2312"/>
        </w:rPr>
        <w:t>%。</w:t>
      </w:r>
    </w:p>
    <w:p>
      <w:pPr>
        <w:spacing w:line="600" w:lineRule="exact"/>
        <w:ind w:firstLine="643" w:firstLineChars="200"/>
        <w:rPr>
          <w:rFonts w:hint="eastAsia" w:ascii="楷体_GB2312" w:eastAsia="楷体_GB2312"/>
          <w:b/>
        </w:rPr>
      </w:pPr>
      <w:r>
        <w:rPr>
          <w:rFonts w:hint="eastAsia" w:ascii="楷体_GB2312" w:eastAsia="楷体_GB2312"/>
          <w:b/>
        </w:rPr>
        <w:t>（二）支出预算情况</w:t>
      </w:r>
    </w:p>
    <w:p>
      <w:pPr>
        <w:spacing w:line="600" w:lineRule="exact"/>
        <w:ind w:firstLine="640" w:firstLineChars="200"/>
        <w:rPr>
          <w:rFonts w:hint="eastAsia" w:ascii="仿宋_GB2312"/>
          <w:lang w:val="en-US" w:eastAsia="zh-CN"/>
        </w:rPr>
      </w:pPr>
      <w:r>
        <w:rPr>
          <w:rFonts w:hint="eastAsia"/>
          <w:lang w:eastAsia="zh-CN"/>
        </w:rPr>
        <w:t>攀枝花市残联</w:t>
      </w:r>
      <w:r>
        <w:rPr>
          <w:rFonts w:hint="eastAsia" w:ascii="仿宋_GB2312"/>
        </w:rPr>
        <w:t>2020年支出预算</w:t>
      </w:r>
      <w:r>
        <w:rPr>
          <w:rFonts w:hint="eastAsia" w:ascii="仿宋_GB2312"/>
          <w:lang w:val="en-US" w:eastAsia="zh-CN"/>
        </w:rPr>
        <w:t>366.45</w:t>
      </w:r>
      <w:r>
        <w:rPr>
          <w:rFonts w:hint="eastAsia" w:ascii="仿宋_GB2312"/>
        </w:rPr>
        <w:t>万元，</w:t>
      </w:r>
      <w:r>
        <w:rPr>
          <w:rFonts w:hint="eastAsia" w:ascii="仿宋_GB2312"/>
          <w:highlight w:val="none"/>
        </w:rPr>
        <w:t>比2019年预算数</w:t>
      </w:r>
      <w:r>
        <w:rPr>
          <w:rFonts w:hint="eastAsia" w:ascii="仿宋_GB2312"/>
          <w:highlight w:val="none"/>
          <w:lang w:eastAsia="zh-CN"/>
        </w:rPr>
        <w:t>增加</w:t>
      </w:r>
      <w:r>
        <w:rPr>
          <w:rFonts w:hint="eastAsia"/>
          <w:highlight w:val="none"/>
          <w:lang w:val="en-US" w:eastAsia="zh-CN"/>
        </w:rPr>
        <w:t>1.99</w:t>
      </w:r>
      <w:r>
        <w:rPr>
          <w:rFonts w:hint="eastAsia" w:ascii="仿宋_GB2312"/>
          <w:highlight w:val="none"/>
        </w:rPr>
        <w:t>万元，</w:t>
      </w:r>
      <w:r>
        <w:rPr>
          <w:rFonts w:hint="eastAsia" w:ascii="仿宋_GB2312"/>
        </w:rPr>
        <w:t>主要是</w:t>
      </w:r>
      <w:r>
        <w:rPr>
          <w:rFonts w:hint="eastAsia" w:ascii="仿宋_GB2312"/>
          <w:lang w:eastAsia="zh-CN"/>
        </w:rPr>
        <w:t>人员支出增加，</w:t>
      </w:r>
      <w:r>
        <w:rPr>
          <w:rFonts w:hint="eastAsia" w:ascii="仿宋_GB2312"/>
        </w:rPr>
        <w:t>其中：基本支出</w:t>
      </w:r>
      <w:r>
        <w:rPr>
          <w:rFonts w:hint="eastAsia"/>
          <w:lang w:val="en-US" w:eastAsia="zh-CN"/>
        </w:rPr>
        <w:t>312.45</w:t>
      </w:r>
      <w:r>
        <w:rPr>
          <w:rFonts w:hint="eastAsia" w:ascii="仿宋_GB2312"/>
        </w:rPr>
        <w:t>万元，占</w:t>
      </w:r>
      <w:r>
        <w:rPr>
          <w:rFonts w:hint="eastAsia"/>
          <w:lang w:val="en-US" w:eastAsia="zh-CN"/>
        </w:rPr>
        <w:t>85.26</w:t>
      </w:r>
      <w:r>
        <w:rPr>
          <w:rFonts w:hint="eastAsia" w:ascii="仿宋_GB2312"/>
        </w:rPr>
        <w:t>%；项目支出</w:t>
      </w:r>
      <w:r>
        <w:rPr>
          <w:rFonts w:hint="eastAsia"/>
          <w:lang w:val="en-US" w:eastAsia="zh-CN"/>
        </w:rPr>
        <w:t>54</w:t>
      </w:r>
      <w:r>
        <w:rPr>
          <w:rFonts w:hint="eastAsia" w:ascii="仿宋_GB2312"/>
        </w:rPr>
        <w:t>万元，占</w:t>
      </w:r>
      <w:r>
        <w:rPr>
          <w:rFonts w:hint="eastAsia"/>
          <w:lang w:val="en-US" w:eastAsia="zh-CN"/>
        </w:rPr>
        <w:t>14.74</w:t>
      </w:r>
      <w:r>
        <w:rPr>
          <w:rFonts w:hint="eastAsia" w:ascii="仿宋_GB2312"/>
        </w:rPr>
        <w:t>%</w:t>
      </w:r>
      <w:r>
        <w:rPr>
          <w:rFonts w:hint="eastAsia" w:ascii="仿宋_GB2312"/>
          <w:lang w:eastAsia="zh-CN"/>
        </w:rPr>
        <w:t>。</w:t>
      </w:r>
      <w:r>
        <w:rPr>
          <w:rFonts w:hint="eastAsia" w:ascii="仿宋_GB2312"/>
          <w:lang w:val="en-US" w:eastAsia="zh-CN"/>
        </w:rPr>
        <w:t xml:space="preserve">    </w:t>
      </w:r>
    </w:p>
    <w:p>
      <w:pPr>
        <w:spacing w:line="600" w:lineRule="exact"/>
        <w:ind w:firstLine="640" w:firstLineChars="200"/>
        <w:rPr>
          <w:rFonts w:hint="eastAsia" w:ascii="黑体" w:eastAsia="黑体"/>
          <w:lang w:val="en-US" w:eastAsia="zh-CN"/>
        </w:rPr>
      </w:pPr>
      <w:r>
        <w:rPr>
          <w:rFonts w:hint="eastAsia" w:ascii="黑体" w:eastAsia="黑体"/>
          <w:lang w:val="en-US" w:eastAsia="zh-CN"/>
        </w:rPr>
        <w:t>四、财政拨款收支预算说明</w:t>
      </w:r>
    </w:p>
    <w:p>
      <w:pPr>
        <w:spacing w:line="600" w:lineRule="exact"/>
        <w:ind w:firstLine="640" w:firstLineChars="200"/>
        <w:rPr>
          <w:rFonts w:hint="eastAsia" w:ascii="黑体" w:eastAsia="黑体"/>
        </w:rPr>
      </w:pPr>
      <w:r>
        <w:rPr>
          <w:rFonts w:hint="eastAsia"/>
          <w:lang w:eastAsia="zh-CN"/>
        </w:rPr>
        <w:t>攀枝花市残联</w:t>
      </w:r>
      <w:r>
        <w:rPr>
          <w:rFonts w:hint="eastAsia" w:ascii="仿宋_GB2312"/>
        </w:rPr>
        <w:t>2020年财政拨款收支总预算</w:t>
      </w:r>
      <w:r>
        <w:rPr>
          <w:rFonts w:hint="eastAsia"/>
          <w:lang w:val="en-US" w:eastAsia="zh-CN"/>
        </w:rPr>
        <w:t>366.45</w:t>
      </w:r>
      <w:r>
        <w:rPr>
          <w:rFonts w:hint="eastAsia" w:ascii="仿宋_GB2312"/>
        </w:rPr>
        <w:t>万元。收入包括：一般公共预算拨款收入</w:t>
      </w:r>
      <w:r>
        <w:rPr>
          <w:rFonts w:hint="eastAsia"/>
          <w:lang w:val="en-US" w:eastAsia="zh-CN"/>
        </w:rPr>
        <w:t>366.45</w:t>
      </w:r>
      <w:r>
        <w:rPr>
          <w:rFonts w:hint="eastAsia" w:ascii="仿宋_GB2312"/>
        </w:rPr>
        <w:t>万元；支出包括：</w:t>
      </w:r>
      <w:r>
        <w:rPr>
          <w:rFonts w:hint="eastAsia" w:ascii="仿宋_GB2312"/>
          <w:lang w:eastAsia="zh-CN"/>
        </w:rPr>
        <w:t>社会保障和就业支出</w:t>
      </w:r>
      <w:r>
        <w:rPr>
          <w:rFonts w:hint="eastAsia" w:ascii="仿宋_GB2312"/>
          <w:lang w:val="en-US" w:eastAsia="zh-CN"/>
        </w:rPr>
        <w:t>343.94万元，住房保障支出22.51万元</w:t>
      </w:r>
      <w:r>
        <w:rPr>
          <w:rFonts w:hint="eastAsia" w:ascii="仿宋_GB2312"/>
        </w:rPr>
        <w:t>。</w:t>
      </w:r>
    </w:p>
    <w:p>
      <w:pPr>
        <w:spacing w:line="600" w:lineRule="exact"/>
        <w:ind w:firstLine="640" w:firstLineChars="200"/>
        <w:rPr>
          <w:rFonts w:hint="eastAsia" w:ascii="黑体" w:eastAsia="黑体"/>
        </w:rPr>
      </w:pPr>
      <w:r>
        <w:rPr>
          <w:rFonts w:hint="eastAsia" w:ascii="黑体" w:eastAsia="黑体"/>
        </w:rPr>
        <w:t>五、一般公共预算当年拨款情况说明</w:t>
      </w:r>
    </w:p>
    <w:p>
      <w:pPr>
        <w:spacing w:line="600" w:lineRule="exact"/>
        <w:ind w:firstLine="643" w:firstLineChars="200"/>
        <w:rPr>
          <w:rFonts w:hint="eastAsia" w:ascii="楷体_GB2312" w:eastAsia="楷体_GB2312"/>
          <w:b/>
        </w:rPr>
      </w:pPr>
      <w:r>
        <w:rPr>
          <w:rFonts w:hint="eastAsia" w:ascii="楷体_GB2312" w:eastAsia="楷体_GB2312"/>
          <w:b/>
        </w:rPr>
        <w:t>（一）一般公共预算当年拨款规模变化情况</w:t>
      </w:r>
    </w:p>
    <w:p>
      <w:pPr>
        <w:spacing w:line="600" w:lineRule="exact"/>
        <w:ind w:firstLine="640" w:firstLineChars="200"/>
        <w:rPr>
          <w:rFonts w:hint="eastAsia" w:ascii="仿宋_GB2312"/>
        </w:rPr>
      </w:pPr>
      <w:r>
        <w:rPr>
          <w:rFonts w:hint="eastAsia"/>
          <w:lang w:eastAsia="zh-CN"/>
        </w:rPr>
        <w:t>攀枝</w:t>
      </w:r>
      <w:r>
        <w:rPr>
          <w:rFonts w:hint="eastAsia"/>
          <w:highlight w:val="none"/>
          <w:lang w:eastAsia="zh-CN"/>
        </w:rPr>
        <w:t>花市残联</w:t>
      </w:r>
      <w:r>
        <w:rPr>
          <w:rFonts w:hint="eastAsia" w:ascii="仿宋_GB2312"/>
          <w:highlight w:val="none"/>
        </w:rPr>
        <w:t>2020年一般公共预算当年</w:t>
      </w:r>
      <w:r>
        <w:rPr>
          <w:rFonts w:hint="eastAsia" w:ascii="仿宋_GB2312"/>
          <w:highlight w:val="none"/>
          <w:lang w:eastAsia="zh-CN"/>
        </w:rPr>
        <w:t>收入总计</w:t>
      </w:r>
      <w:r>
        <w:rPr>
          <w:rFonts w:hint="eastAsia"/>
          <w:highlight w:val="none"/>
          <w:lang w:val="en-US" w:eastAsia="zh-CN"/>
        </w:rPr>
        <w:t>366.45</w:t>
      </w:r>
      <w:r>
        <w:rPr>
          <w:rFonts w:hint="eastAsia" w:ascii="仿宋_GB2312"/>
          <w:highlight w:val="none"/>
        </w:rPr>
        <w:t>万元，比2019年预算数</w:t>
      </w:r>
      <w:r>
        <w:rPr>
          <w:rFonts w:hint="eastAsia" w:ascii="仿宋_GB2312"/>
          <w:highlight w:val="none"/>
          <w:lang w:eastAsia="zh-CN"/>
        </w:rPr>
        <w:t>增加</w:t>
      </w:r>
      <w:r>
        <w:rPr>
          <w:rFonts w:hint="eastAsia"/>
          <w:highlight w:val="none"/>
          <w:lang w:val="en-US" w:eastAsia="zh-CN"/>
        </w:rPr>
        <w:t>1.99</w:t>
      </w:r>
      <w:r>
        <w:rPr>
          <w:rFonts w:hint="eastAsia" w:ascii="仿宋_GB2312"/>
          <w:highlight w:val="none"/>
        </w:rPr>
        <w:t>万元，</w:t>
      </w:r>
      <w:r>
        <w:rPr>
          <w:rFonts w:hint="eastAsia" w:ascii="仿宋_GB2312"/>
        </w:rPr>
        <w:t>主要是</w:t>
      </w:r>
      <w:r>
        <w:rPr>
          <w:rFonts w:hint="eastAsia" w:ascii="仿宋_GB2312"/>
          <w:lang w:eastAsia="zh-CN"/>
        </w:rPr>
        <w:t>人员支出增加</w:t>
      </w:r>
      <w:r>
        <w:rPr>
          <w:rFonts w:hint="eastAsia" w:ascii="仿宋_GB2312"/>
          <w:lang w:val="en-US" w:eastAsia="zh-CN"/>
        </w:rPr>
        <w:t>;</w:t>
      </w:r>
      <w:r>
        <w:rPr>
          <w:rFonts w:hint="eastAsia"/>
          <w:lang w:eastAsia="zh-CN"/>
        </w:rPr>
        <w:t>攀枝</w:t>
      </w:r>
      <w:r>
        <w:rPr>
          <w:rFonts w:hint="eastAsia"/>
          <w:highlight w:val="none"/>
          <w:lang w:eastAsia="zh-CN"/>
        </w:rPr>
        <w:t>花市残联</w:t>
      </w:r>
      <w:r>
        <w:rPr>
          <w:rFonts w:hint="eastAsia" w:ascii="仿宋_GB2312"/>
          <w:highlight w:val="none"/>
        </w:rPr>
        <w:t>2020年一般公共预算当年</w:t>
      </w:r>
      <w:r>
        <w:rPr>
          <w:rFonts w:hint="eastAsia" w:ascii="仿宋_GB2312"/>
          <w:highlight w:val="none"/>
          <w:lang w:eastAsia="zh-CN"/>
        </w:rPr>
        <w:t>支出总计</w:t>
      </w:r>
      <w:r>
        <w:rPr>
          <w:rFonts w:hint="eastAsia"/>
          <w:highlight w:val="none"/>
          <w:lang w:val="en-US" w:eastAsia="zh-CN"/>
        </w:rPr>
        <w:t>366.45</w:t>
      </w:r>
      <w:r>
        <w:rPr>
          <w:rFonts w:hint="eastAsia" w:ascii="仿宋_GB2312"/>
          <w:highlight w:val="none"/>
        </w:rPr>
        <w:t>万元，比2019年预算数</w:t>
      </w:r>
      <w:r>
        <w:rPr>
          <w:rFonts w:hint="eastAsia" w:ascii="仿宋_GB2312"/>
          <w:highlight w:val="none"/>
          <w:lang w:eastAsia="zh-CN"/>
        </w:rPr>
        <w:t>增加</w:t>
      </w:r>
      <w:r>
        <w:rPr>
          <w:rFonts w:hint="eastAsia"/>
          <w:highlight w:val="none"/>
          <w:lang w:val="en-US" w:eastAsia="zh-CN"/>
        </w:rPr>
        <w:t>1.99</w:t>
      </w:r>
      <w:r>
        <w:rPr>
          <w:rFonts w:hint="eastAsia" w:ascii="仿宋_GB2312"/>
          <w:highlight w:val="none"/>
        </w:rPr>
        <w:t>万元，</w:t>
      </w:r>
      <w:r>
        <w:rPr>
          <w:rFonts w:hint="eastAsia" w:ascii="仿宋_GB2312"/>
        </w:rPr>
        <w:t>主要是</w:t>
      </w:r>
      <w:r>
        <w:rPr>
          <w:rFonts w:hint="eastAsia" w:ascii="仿宋_GB2312"/>
          <w:lang w:eastAsia="zh-CN"/>
        </w:rPr>
        <w:t>人员支出增加。</w:t>
      </w:r>
    </w:p>
    <w:p>
      <w:pPr>
        <w:spacing w:line="600" w:lineRule="exact"/>
        <w:ind w:firstLine="643" w:firstLineChars="200"/>
        <w:rPr>
          <w:rFonts w:hint="eastAsia" w:ascii="楷体_GB2312" w:eastAsia="楷体_GB2312"/>
          <w:b/>
        </w:rPr>
      </w:pPr>
      <w:r>
        <w:rPr>
          <w:rFonts w:hint="eastAsia" w:ascii="楷体_GB2312" w:eastAsia="楷体_GB2312"/>
          <w:b/>
        </w:rPr>
        <w:t>（二）一般公共预算当年拨款结构情况</w:t>
      </w:r>
    </w:p>
    <w:p>
      <w:pPr>
        <w:spacing w:line="600" w:lineRule="exact"/>
        <w:ind w:firstLine="640" w:firstLineChars="200"/>
        <w:rPr>
          <w:rFonts w:hint="eastAsia" w:ascii="仿宋_GB2312"/>
        </w:rPr>
      </w:pPr>
      <w:r>
        <w:rPr>
          <w:rFonts w:hint="eastAsia" w:ascii="仿宋_GB2312"/>
          <w:lang w:eastAsia="zh-CN"/>
        </w:rPr>
        <w:t>社会保障和就业支出</w:t>
      </w:r>
      <w:r>
        <w:rPr>
          <w:rFonts w:hint="eastAsia" w:ascii="仿宋_GB2312"/>
          <w:lang w:val="en-US" w:eastAsia="zh-CN"/>
        </w:rPr>
        <w:t>343.94万元，住房保障支出22.51万元</w:t>
      </w:r>
      <w:r>
        <w:rPr>
          <w:rFonts w:hint="eastAsia" w:ascii="仿宋_GB2312"/>
        </w:rPr>
        <w:t>。</w:t>
      </w:r>
    </w:p>
    <w:p>
      <w:pPr>
        <w:spacing w:line="600" w:lineRule="exact"/>
        <w:ind w:firstLine="643" w:firstLineChars="200"/>
        <w:rPr>
          <w:rFonts w:hint="eastAsia" w:ascii="楷体_GB2312" w:eastAsia="楷体_GB2312"/>
          <w:b/>
        </w:rPr>
      </w:pPr>
      <w:r>
        <w:rPr>
          <w:rFonts w:hint="eastAsia" w:ascii="楷体_GB2312" w:eastAsia="楷体_GB2312"/>
          <w:b/>
        </w:rPr>
        <w:t>（三）一般公共预算当年拨款具体使用情况</w:t>
      </w:r>
    </w:p>
    <w:p>
      <w:pPr>
        <w:spacing w:line="600" w:lineRule="exact"/>
        <w:ind w:firstLine="640" w:firstLineChars="200"/>
        <w:rPr>
          <w:rFonts w:hint="eastAsia" w:ascii="仿宋_GB2312"/>
        </w:rPr>
      </w:pPr>
      <w:r>
        <w:rPr>
          <w:rFonts w:hint="eastAsia" w:ascii="仿宋_GB2312"/>
        </w:rPr>
        <w:t>1.</w:t>
      </w:r>
      <w:r>
        <w:rPr>
          <w:rFonts w:hint="eastAsia" w:ascii="仿宋_GB2312"/>
          <w:lang w:eastAsia="zh-CN"/>
        </w:rPr>
        <w:t>社会保障和就业</w:t>
      </w:r>
      <w:r>
        <w:rPr>
          <w:rFonts w:hint="eastAsia" w:ascii="仿宋_GB2312"/>
        </w:rPr>
        <w:t>（类）</w:t>
      </w:r>
      <w:r>
        <w:rPr>
          <w:rFonts w:hint="eastAsia" w:ascii="仿宋_GB2312"/>
          <w:lang w:eastAsia="zh-CN"/>
        </w:rPr>
        <w:t>残疾人事业</w:t>
      </w:r>
      <w:r>
        <w:rPr>
          <w:rFonts w:hint="eastAsia" w:ascii="仿宋_GB2312"/>
        </w:rPr>
        <w:t>（款）行政运行（项）2020年预算数为</w:t>
      </w:r>
      <w:r>
        <w:rPr>
          <w:rFonts w:hint="eastAsia"/>
          <w:lang w:val="en-US" w:eastAsia="zh-CN"/>
        </w:rPr>
        <w:t>203.05</w:t>
      </w:r>
      <w:r>
        <w:rPr>
          <w:rFonts w:hint="eastAsia" w:ascii="仿宋_GB2312"/>
        </w:rPr>
        <w:t>万元，主要用于：</w:t>
      </w:r>
      <w:r>
        <w:rPr>
          <w:rFonts w:hint="eastAsia" w:ascii="仿宋_GB2312"/>
          <w:lang w:eastAsia="zh-CN"/>
        </w:rPr>
        <w:t>工资福利支出、办公费等商品和服务支出、对个人和家庭的补助支出</w:t>
      </w:r>
      <w:r>
        <w:rPr>
          <w:rFonts w:hint="eastAsia" w:ascii="仿宋_GB2312"/>
        </w:rPr>
        <w:t>。</w:t>
      </w:r>
    </w:p>
    <w:p>
      <w:pPr>
        <w:spacing w:line="600" w:lineRule="exact"/>
        <w:ind w:firstLine="640" w:firstLineChars="200"/>
        <w:rPr>
          <w:rFonts w:hint="eastAsia" w:ascii="仿宋_GB2312"/>
          <w:lang w:eastAsia="zh-CN"/>
        </w:rPr>
      </w:pPr>
      <w:r>
        <w:rPr>
          <w:rFonts w:hint="eastAsia" w:ascii="仿宋_GB2312"/>
          <w:lang w:val="en-US" w:eastAsia="zh-CN"/>
        </w:rPr>
        <w:t>2</w:t>
      </w:r>
      <w:r>
        <w:rPr>
          <w:rFonts w:hint="eastAsia" w:ascii="仿宋_GB2312"/>
        </w:rPr>
        <w:t>.</w:t>
      </w:r>
      <w:r>
        <w:rPr>
          <w:rFonts w:hint="eastAsia" w:ascii="仿宋_GB2312"/>
          <w:lang w:eastAsia="zh-CN"/>
        </w:rPr>
        <w:t>社会保障和就业</w:t>
      </w:r>
      <w:r>
        <w:rPr>
          <w:rFonts w:hint="eastAsia" w:ascii="仿宋_GB2312"/>
        </w:rPr>
        <w:t>（类）</w:t>
      </w:r>
      <w:r>
        <w:rPr>
          <w:rFonts w:hint="eastAsia" w:ascii="仿宋_GB2312"/>
          <w:lang w:eastAsia="zh-CN"/>
        </w:rPr>
        <w:t>残疾人事业</w:t>
      </w:r>
      <w:r>
        <w:rPr>
          <w:rFonts w:hint="eastAsia" w:ascii="仿宋_GB2312"/>
        </w:rPr>
        <w:t>（款）机关服务（项）20</w:t>
      </w:r>
      <w:r>
        <w:rPr>
          <w:rFonts w:hint="eastAsia" w:ascii="仿宋_GB2312"/>
          <w:lang w:val="en-US" w:eastAsia="zh-CN"/>
        </w:rPr>
        <w:t>20</w:t>
      </w:r>
      <w:r>
        <w:rPr>
          <w:rFonts w:hint="eastAsia" w:ascii="仿宋_GB2312"/>
        </w:rPr>
        <w:t>年预算数为</w:t>
      </w:r>
      <w:r>
        <w:rPr>
          <w:rFonts w:hint="eastAsia"/>
          <w:lang w:val="en-US" w:eastAsia="zh-CN"/>
        </w:rPr>
        <w:t>52.07</w:t>
      </w:r>
      <w:r>
        <w:rPr>
          <w:rFonts w:hint="eastAsia" w:ascii="仿宋_GB2312"/>
        </w:rPr>
        <w:t>万元，主要用于：</w:t>
      </w:r>
      <w:r>
        <w:rPr>
          <w:rFonts w:hint="eastAsia" w:ascii="仿宋_GB2312"/>
          <w:lang w:eastAsia="zh-CN"/>
        </w:rPr>
        <w:t>工资福利支出、办公费等商品和服务支出、对个人和家庭的补助支出。</w:t>
      </w:r>
    </w:p>
    <w:p>
      <w:pPr>
        <w:spacing w:line="600" w:lineRule="exact"/>
        <w:ind w:firstLine="640" w:firstLineChars="200"/>
        <w:rPr>
          <w:rFonts w:hint="eastAsia" w:ascii="仿宋_GB2312"/>
        </w:rPr>
      </w:pPr>
      <w:r>
        <w:rPr>
          <w:rFonts w:hint="eastAsia" w:ascii="仿宋_GB2312"/>
          <w:lang w:val="en-US" w:eastAsia="zh-CN"/>
        </w:rPr>
        <w:t>3.</w:t>
      </w:r>
      <w:r>
        <w:rPr>
          <w:rFonts w:hint="eastAsia" w:ascii="仿宋_GB2312"/>
          <w:lang w:eastAsia="zh-CN"/>
        </w:rPr>
        <w:t>社会保障和就业</w:t>
      </w:r>
      <w:r>
        <w:rPr>
          <w:rFonts w:hint="eastAsia" w:ascii="仿宋_GB2312"/>
        </w:rPr>
        <w:t>（类）</w:t>
      </w:r>
      <w:r>
        <w:rPr>
          <w:rFonts w:hint="eastAsia" w:ascii="仿宋_GB2312"/>
          <w:lang w:eastAsia="zh-CN"/>
        </w:rPr>
        <w:t>残疾人事业</w:t>
      </w:r>
      <w:r>
        <w:rPr>
          <w:rFonts w:hint="eastAsia" w:ascii="仿宋_GB2312"/>
        </w:rPr>
        <w:t>（款）</w:t>
      </w:r>
      <w:r>
        <w:rPr>
          <w:rFonts w:hint="eastAsia" w:ascii="仿宋_GB2312"/>
          <w:lang w:eastAsia="zh-CN"/>
        </w:rPr>
        <w:t>残疾人体育</w:t>
      </w:r>
      <w:r>
        <w:rPr>
          <w:rFonts w:hint="eastAsia" w:ascii="仿宋_GB2312"/>
        </w:rPr>
        <w:t>（项）20</w:t>
      </w:r>
      <w:r>
        <w:rPr>
          <w:rFonts w:hint="eastAsia" w:ascii="仿宋_GB2312"/>
          <w:lang w:val="en-US" w:eastAsia="zh-CN"/>
        </w:rPr>
        <w:t>20</w:t>
      </w:r>
      <w:r>
        <w:rPr>
          <w:rFonts w:hint="eastAsia" w:ascii="仿宋_GB2312"/>
        </w:rPr>
        <w:t>年预算数为</w:t>
      </w:r>
      <w:r>
        <w:rPr>
          <w:rFonts w:hint="eastAsia"/>
          <w:lang w:val="en-US" w:eastAsia="zh-CN"/>
        </w:rPr>
        <w:t>9</w:t>
      </w:r>
      <w:r>
        <w:rPr>
          <w:rFonts w:hint="eastAsia" w:ascii="仿宋_GB2312"/>
        </w:rPr>
        <w:t>万元，主要用于：开展残疾人体育锻炼，打造攀枝花残疾人体育特色项目；开展残疾人运动员选拔、输送、培养工作。</w:t>
      </w:r>
    </w:p>
    <w:p>
      <w:pPr>
        <w:spacing w:line="600" w:lineRule="exact"/>
        <w:ind w:firstLine="640" w:firstLineChars="200"/>
        <w:rPr>
          <w:rFonts w:hint="eastAsia" w:ascii="仿宋_GB2312"/>
          <w:lang w:eastAsia="zh-CN"/>
        </w:rPr>
      </w:pPr>
      <w:r>
        <w:rPr>
          <w:rFonts w:hint="eastAsia" w:ascii="仿宋_GB2312"/>
          <w:lang w:val="en-US" w:eastAsia="zh-CN"/>
        </w:rPr>
        <w:t>4.</w:t>
      </w:r>
      <w:r>
        <w:rPr>
          <w:rFonts w:hint="eastAsia" w:ascii="仿宋_GB2312"/>
          <w:lang w:eastAsia="zh-CN"/>
        </w:rPr>
        <w:t>社会保障和就业</w:t>
      </w:r>
      <w:r>
        <w:rPr>
          <w:rFonts w:hint="eastAsia" w:ascii="仿宋_GB2312"/>
        </w:rPr>
        <w:t>（类）</w:t>
      </w:r>
      <w:r>
        <w:rPr>
          <w:rFonts w:hint="eastAsia" w:ascii="仿宋_GB2312"/>
          <w:lang w:eastAsia="zh-CN"/>
        </w:rPr>
        <w:t>残疾人事业</w:t>
      </w:r>
      <w:r>
        <w:rPr>
          <w:rFonts w:hint="eastAsia" w:ascii="仿宋_GB2312"/>
        </w:rPr>
        <w:t>（款）</w:t>
      </w:r>
      <w:r>
        <w:rPr>
          <w:rFonts w:hint="eastAsia" w:ascii="仿宋_GB2312"/>
          <w:lang w:eastAsia="zh-CN"/>
        </w:rPr>
        <w:t>其他残疾人事业支出</w:t>
      </w:r>
      <w:r>
        <w:rPr>
          <w:rFonts w:hint="eastAsia" w:ascii="仿宋_GB2312"/>
        </w:rPr>
        <w:t>（项）20</w:t>
      </w:r>
      <w:r>
        <w:rPr>
          <w:rFonts w:hint="eastAsia" w:ascii="仿宋_GB2312"/>
          <w:lang w:val="en-US" w:eastAsia="zh-CN"/>
        </w:rPr>
        <w:t>20</w:t>
      </w:r>
      <w:r>
        <w:rPr>
          <w:rFonts w:hint="eastAsia" w:ascii="仿宋_GB2312"/>
        </w:rPr>
        <w:t>年预算数为</w:t>
      </w:r>
      <w:r>
        <w:rPr>
          <w:rFonts w:hint="eastAsia"/>
          <w:lang w:val="en-US" w:eastAsia="zh-CN"/>
        </w:rPr>
        <w:t>45</w:t>
      </w:r>
      <w:r>
        <w:rPr>
          <w:rFonts w:hint="eastAsia" w:ascii="仿宋_GB2312"/>
        </w:rPr>
        <w:t>万元，主要用于：</w:t>
      </w:r>
      <w:r>
        <w:rPr>
          <w:rFonts w:hint="eastAsia" w:ascii="仿宋_GB2312"/>
          <w:lang w:eastAsia="zh-CN"/>
        </w:rPr>
        <w:t>“量体裁衣式”残疾人服务、残疾人走访慰问、残疾人事业宣传信访、残疾人文化艺术、残疾人就业服务等。</w:t>
      </w:r>
    </w:p>
    <w:p>
      <w:pPr>
        <w:spacing w:line="600" w:lineRule="exact"/>
        <w:ind w:firstLine="640" w:firstLineChars="200"/>
        <w:rPr>
          <w:rFonts w:hint="eastAsia" w:ascii="仿宋_GB2312"/>
        </w:rPr>
      </w:pPr>
      <w:r>
        <w:rPr>
          <w:rFonts w:hint="eastAsia" w:ascii="仿宋_GB2312"/>
          <w:lang w:val="en-US" w:eastAsia="zh-CN"/>
        </w:rPr>
        <w:t>5.</w:t>
      </w:r>
      <w:r>
        <w:rPr>
          <w:rFonts w:hint="eastAsia" w:ascii="仿宋_GB2312"/>
          <w:lang w:eastAsia="zh-CN"/>
        </w:rPr>
        <w:t>社会保障和就业</w:t>
      </w:r>
      <w:r>
        <w:rPr>
          <w:rFonts w:hint="eastAsia" w:ascii="仿宋_GB2312"/>
        </w:rPr>
        <w:t>（类）</w:t>
      </w:r>
      <w:r>
        <w:rPr>
          <w:rFonts w:hint="eastAsia" w:ascii="仿宋_GB2312"/>
          <w:lang w:eastAsia="zh-CN"/>
        </w:rPr>
        <w:t>行政事业单位离退休</w:t>
      </w:r>
      <w:r>
        <w:rPr>
          <w:rFonts w:hint="eastAsia" w:ascii="仿宋_GB2312"/>
        </w:rPr>
        <w:t>（款）</w:t>
      </w:r>
      <w:r>
        <w:rPr>
          <w:rFonts w:hint="eastAsia" w:ascii="仿宋_GB2312"/>
          <w:lang w:eastAsia="zh-CN"/>
        </w:rPr>
        <w:t>归口管理的行政单位离退休</w:t>
      </w:r>
      <w:r>
        <w:rPr>
          <w:rFonts w:hint="eastAsia" w:ascii="仿宋_GB2312"/>
        </w:rPr>
        <w:t>（项）20</w:t>
      </w:r>
      <w:r>
        <w:rPr>
          <w:rFonts w:hint="eastAsia" w:ascii="仿宋_GB2312"/>
          <w:lang w:val="en-US" w:eastAsia="zh-CN"/>
        </w:rPr>
        <w:t>20</w:t>
      </w:r>
      <w:r>
        <w:rPr>
          <w:rFonts w:hint="eastAsia" w:ascii="仿宋_GB2312"/>
        </w:rPr>
        <w:t>年预算数为</w:t>
      </w:r>
      <w:r>
        <w:rPr>
          <w:rFonts w:hint="eastAsia"/>
          <w:lang w:val="en-US" w:eastAsia="zh-CN"/>
        </w:rPr>
        <w:t>14.35</w:t>
      </w:r>
      <w:r>
        <w:rPr>
          <w:rFonts w:hint="eastAsia" w:ascii="仿宋_GB2312"/>
        </w:rPr>
        <w:t>万元，主要用于：</w:t>
      </w:r>
      <w:r>
        <w:rPr>
          <w:rFonts w:hint="eastAsia" w:ascii="仿宋_GB2312"/>
          <w:lang w:eastAsia="zh-CN"/>
        </w:rPr>
        <w:t>工资福利支出、办公费等商品和服务支出、对个人和家庭的补助支出</w:t>
      </w:r>
      <w:r>
        <w:rPr>
          <w:rFonts w:hint="eastAsia" w:ascii="仿宋_GB2312"/>
        </w:rPr>
        <w:t>。</w:t>
      </w:r>
    </w:p>
    <w:p>
      <w:pPr>
        <w:spacing w:line="600" w:lineRule="exact"/>
        <w:ind w:firstLine="640" w:firstLineChars="200"/>
        <w:rPr>
          <w:rFonts w:hint="eastAsia" w:ascii="仿宋_GB2312"/>
          <w:lang w:eastAsia="zh-CN"/>
        </w:rPr>
      </w:pPr>
      <w:r>
        <w:rPr>
          <w:rFonts w:hint="eastAsia" w:ascii="仿宋_GB2312"/>
          <w:lang w:val="en-US" w:eastAsia="zh-CN"/>
        </w:rPr>
        <w:t>6.</w:t>
      </w:r>
      <w:r>
        <w:rPr>
          <w:rFonts w:hint="eastAsia" w:ascii="仿宋_GB2312"/>
          <w:lang w:eastAsia="zh-CN"/>
        </w:rPr>
        <w:t>社会保障和就业</w:t>
      </w:r>
      <w:r>
        <w:rPr>
          <w:rFonts w:hint="eastAsia" w:ascii="仿宋_GB2312"/>
        </w:rPr>
        <w:t>（类）</w:t>
      </w:r>
      <w:r>
        <w:rPr>
          <w:rFonts w:hint="eastAsia" w:ascii="仿宋_GB2312"/>
          <w:lang w:eastAsia="zh-CN"/>
        </w:rPr>
        <w:t>行政事业单位离退休</w:t>
      </w:r>
      <w:r>
        <w:rPr>
          <w:rFonts w:hint="eastAsia" w:ascii="仿宋_GB2312"/>
        </w:rPr>
        <w:t>（款）</w:t>
      </w:r>
      <w:r>
        <w:rPr>
          <w:rFonts w:hint="eastAsia" w:ascii="仿宋_GB2312"/>
          <w:lang w:eastAsia="zh-CN"/>
        </w:rPr>
        <w:t>机关事业单位基本养老保险费支出</w:t>
      </w:r>
      <w:r>
        <w:rPr>
          <w:rFonts w:hint="eastAsia" w:ascii="仿宋_GB2312"/>
        </w:rPr>
        <w:t>（项）20</w:t>
      </w:r>
      <w:r>
        <w:rPr>
          <w:rFonts w:hint="eastAsia" w:ascii="仿宋_GB2312"/>
          <w:lang w:val="en-US" w:eastAsia="zh-CN"/>
        </w:rPr>
        <w:t>20</w:t>
      </w:r>
      <w:r>
        <w:rPr>
          <w:rFonts w:hint="eastAsia" w:ascii="仿宋_GB2312"/>
        </w:rPr>
        <w:t>年预算数为</w:t>
      </w:r>
      <w:r>
        <w:rPr>
          <w:rFonts w:hint="eastAsia"/>
          <w:lang w:val="en-US" w:eastAsia="zh-CN"/>
        </w:rPr>
        <w:t>20.47</w:t>
      </w:r>
      <w:r>
        <w:rPr>
          <w:rFonts w:hint="eastAsia" w:ascii="仿宋_GB2312"/>
        </w:rPr>
        <w:t>万元，主要用于：</w:t>
      </w:r>
      <w:r>
        <w:rPr>
          <w:rFonts w:hint="eastAsia" w:ascii="仿宋_GB2312"/>
          <w:lang w:eastAsia="zh-CN"/>
        </w:rPr>
        <w:t>缴纳职工机关事业单位基本养老保险费支出单位部分。</w:t>
      </w:r>
    </w:p>
    <w:p>
      <w:pPr>
        <w:spacing w:line="600" w:lineRule="exact"/>
        <w:ind w:firstLine="640" w:firstLineChars="200"/>
        <w:rPr>
          <w:rFonts w:hint="eastAsia" w:ascii="仿宋_GB2312"/>
          <w:lang w:val="en-US" w:eastAsia="zh-CN"/>
        </w:rPr>
      </w:pPr>
      <w:r>
        <w:rPr>
          <w:rFonts w:hint="eastAsia" w:ascii="仿宋_GB2312"/>
          <w:lang w:val="en-US" w:eastAsia="zh-CN"/>
        </w:rPr>
        <w:t>7.</w:t>
      </w:r>
      <w:r>
        <w:rPr>
          <w:rFonts w:hint="eastAsia" w:ascii="仿宋_GB2312"/>
          <w:lang w:eastAsia="zh-CN"/>
        </w:rPr>
        <w:t>住房保障支出</w:t>
      </w:r>
      <w:r>
        <w:rPr>
          <w:rFonts w:hint="eastAsia" w:ascii="仿宋_GB2312"/>
        </w:rPr>
        <w:t>（类）</w:t>
      </w:r>
      <w:r>
        <w:rPr>
          <w:rFonts w:hint="eastAsia" w:ascii="仿宋_GB2312"/>
          <w:lang w:eastAsia="zh-CN"/>
        </w:rPr>
        <w:t>住房改革支出</w:t>
      </w:r>
      <w:r>
        <w:rPr>
          <w:rFonts w:hint="eastAsia" w:ascii="仿宋_GB2312"/>
        </w:rPr>
        <w:t>（款）</w:t>
      </w:r>
      <w:r>
        <w:rPr>
          <w:rFonts w:hint="eastAsia" w:ascii="仿宋_GB2312"/>
          <w:lang w:eastAsia="zh-CN"/>
        </w:rPr>
        <w:t>住房公积金</w:t>
      </w:r>
      <w:r>
        <w:rPr>
          <w:rFonts w:hint="eastAsia" w:ascii="仿宋_GB2312"/>
        </w:rPr>
        <w:t>（项）20</w:t>
      </w:r>
      <w:r>
        <w:rPr>
          <w:rFonts w:hint="eastAsia" w:ascii="仿宋_GB2312"/>
          <w:lang w:val="en-US" w:eastAsia="zh-CN"/>
        </w:rPr>
        <w:t>20</w:t>
      </w:r>
      <w:r>
        <w:rPr>
          <w:rFonts w:hint="eastAsia" w:ascii="仿宋_GB2312"/>
        </w:rPr>
        <w:t>年预算数为</w:t>
      </w:r>
      <w:r>
        <w:rPr>
          <w:rFonts w:hint="eastAsia"/>
          <w:lang w:val="en-US" w:eastAsia="zh-CN"/>
        </w:rPr>
        <w:t>22.51</w:t>
      </w:r>
      <w:r>
        <w:rPr>
          <w:rFonts w:hint="eastAsia" w:ascii="仿宋_GB2312"/>
        </w:rPr>
        <w:t>万元，主要用于：</w:t>
      </w:r>
      <w:r>
        <w:rPr>
          <w:rFonts w:hint="eastAsia" w:ascii="仿宋_GB2312"/>
          <w:lang w:eastAsia="zh-CN"/>
        </w:rPr>
        <w:t>缴纳职工住房公积金单位部分。</w:t>
      </w:r>
    </w:p>
    <w:p>
      <w:pPr>
        <w:spacing w:line="600" w:lineRule="exact"/>
        <w:rPr>
          <w:rFonts w:hint="eastAsia" w:ascii="黑体" w:eastAsia="黑体"/>
        </w:rPr>
      </w:pPr>
      <w:r>
        <w:rPr>
          <w:rFonts w:hint="eastAsia" w:ascii="黑体" w:eastAsia="黑体"/>
          <w:lang w:val="en-US" w:eastAsia="zh-CN"/>
        </w:rPr>
        <w:t xml:space="preserve">    </w:t>
      </w:r>
      <w:r>
        <w:rPr>
          <w:rFonts w:hint="eastAsia" w:ascii="黑体" w:eastAsia="黑体"/>
        </w:rPr>
        <w:t>六、一般公共预算基本支出情况说明</w:t>
      </w:r>
    </w:p>
    <w:p>
      <w:pPr>
        <w:spacing w:line="600" w:lineRule="exact"/>
        <w:ind w:firstLine="640" w:firstLineChars="200"/>
        <w:rPr>
          <w:rFonts w:hint="eastAsia" w:ascii="仿宋_GB2312"/>
        </w:rPr>
      </w:pPr>
      <w:r>
        <w:rPr>
          <w:rFonts w:hint="eastAsia"/>
          <w:lang w:eastAsia="zh-CN"/>
        </w:rPr>
        <w:t>攀枝花市残联</w:t>
      </w:r>
      <w:r>
        <w:rPr>
          <w:rFonts w:hint="eastAsia" w:ascii="仿宋_GB2312"/>
        </w:rPr>
        <w:t>2020年一般公共预算基本支出</w:t>
      </w:r>
      <w:r>
        <w:rPr>
          <w:rFonts w:hint="eastAsia"/>
          <w:lang w:val="en-US" w:eastAsia="zh-CN"/>
        </w:rPr>
        <w:t>312.45</w:t>
      </w:r>
      <w:r>
        <w:rPr>
          <w:rFonts w:hint="eastAsia" w:ascii="仿宋_GB2312"/>
        </w:rPr>
        <w:t>万元，其中：</w:t>
      </w:r>
    </w:p>
    <w:p>
      <w:pPr>
        <w:spacing w:line="600" w:lineRule="exact"/>
        <w:ind w:firstLine="640" w:firstLineChars="200"/>
        <w:rPr>
          <w:rFonts w:hint="eastAsia" w:ascii="仿宋_GB2312"/>
        </w:rPr>
      </w:pPr>
      <w:r>
        <w:rPr>
          <w:rFonts w:hint="eastAsia" w:ascii="仿宋_GB2312"/>
        </w:rPr>
        <w:t>人员经费</w:t>
      </w:r>
      <w:r>
        <w:rPr>
          <w:rFonts w:hint="eastAsia"/>
          <w:lang w:val="en-US" w:eastAsia="zh-CN"/>
        </w:rPr>
        <w:t>267.89</w:t>
      </w:r>
      <w:r>
        <w:rPr>
          <w:rFonts w:hint="eastAsia" w:ascii="仿宋_GB2312"/>
        </w:rPr>
        <w:t>万元，主要包括：基本工资、津贴补贴、奖金、社会保险缴费</w:t>
      </w:r>
      <w:r>
        <w:rPr>
          <w:rFonts w:hint="eastAsia" w:ascii="仿宋_GB2312"/>
          <w:lang w:eastAsia="zh-CN"/>
        </w:rPr>
        <w:t>等。</w:t>
      </w:r>
    </w:p>
    <w:p>
      <w:pPr>
        <w:spacing w:line="600" w:lineRule="exact"/>
        <w:ind w:firstLine="640" w:firstLineChars="200"/>
        <w:rPr>
          <w:rFonts w:hint="eastAsia" w:ascii="仿宋_GB2312"/>
          <w:u w:val="single"/>
        </w:rPr>
      </w:pPr>
      <w:r>
        <w:rPr>
          <w:rFonts w:hint="eastAsia" w:ascii="仿宋_GB2312"/>
        </w:rPr>
        <w:t>公用经费</w:t>
      </w:r>
      <w:r>
        <w:rPr>
          <w:rFonts w:hint="eastAsia"/>
          <w:lang w:val="en-US" w:eastAsia="zh-CN"/>
        </w:rPr>
        <w:t>44.56</w:t>
      </w:r>
      <w:r>
        <w:rPr>
          <w:rFonts w:hint="eastAsia" w:ascii="仿宋_GB2312"/>
        </w:rPr>
        <w:t>万元，主要包括：办公费、</w:t>
      </w:r>
      <w:r>
        <w:rPr>
          <w:rFonts w:hint="eastAsia" w:ascii="仿宋_GB2312"/>
          <w:lang w:eastAsia="zh-CN"/>
        </w:rPr>
        <w:t>水电费、差旅费、其他交通费用、邮电费等</w:t>
      </w:r>
      <w:r>
        <w:rPr>
          <w:rFonts w:hint="eastAsia" w:ascii="仿宋_GB2312"/>
        </w:rPr>
        <w:t>。</w:t>
      </w:r>
    </w:p>
    <w:p>
      <w:pPr>
        <w:spacing w:line="600" w:lineRule="exact"/>
        <w:ind w:firstLine="640" w:firstLineChars="200"/>
        <w:rPr>
          <w:rFonts w:hint="eastAsia" w:ascii="黑体" w:eastAsia="黑体"/>
        </w:rPr>
      </w:pPr>
      <w:r>
        <w:rPr>
          <w:rFonts w:hint="eastAsia" w:ascii="黑体" w:eastAsia="黑体"/>
        </w:rPr>
        <w:t>七、“三公”经费财政拨款预算安排情况说明</w:t>
      </w:r>
    </w:p>
    <w:p>
      <w:pPr>
        <w:spacing w:line="600" w:lineRule="exact"/>
        <w:ind w:firstLine="640" w:firstLineChars="200"/>
        <w:rPr>
          <w:rFonts w:hint="eastAsia" w:ascii="仿宋_GB2312"/>
        </w:rPr>
      </w:pPr>
      <w:r>
        <w:rPr>
          <w:rFonts w:hint="eastAsia"/>
          <w:lang w:eastAsia="zh-CN"/>
        </w:rPr>
        <w:t>攀枝花市残联</w:t>
      </w:r>
      <w:r>
        <w:rPr>
          <w:rFonts w:hint="eastAsia" w:ascii="仿宋_GB2312"/>
        </w:rPr>
        <w:t>2020年“三公”经费财政拨款预算数</w:t>
      </w:r>
      <w:r>
        <w:rPr>
          <w:rFonts w:hint="eastAsia"/>
          <w:lang w:val="en-US" w:eastAsia="zh-CN"/>
        </w:rPr>
        <w:t>0.68</w:t>
      </w:r>
      <w:r>
        <w:rPr>
          <w:rFonts w:hint="eastAsia" w:ascii="仿宋_GB2312"/>
        </w:rPr>
        <w:t>万元，其中：因公出国（境）经费</w:t>
      </w:r>
      <w:r>
        <w:rPr>
          <w:rFonts w:hint="eastAsia"/>
          <w:lang w:val="en-US" w:eastAsia="zh-CN"/>
        </w:rPr>
        <w:t>0</w:t>
      </w:r>
      <w:r>
        <w:rPr>
          <w:rFonts w:hint="eastAsia" w:ascii="仿宋_GB2312"/>
        </w:rPr>
        <w:t>万元，公务接待费</w:t>
      </w:r>
      <w:r>
        <w:rPr>
          <w:rFonts w:hint="eastAsia"/>
          <w:lang w:val="en-US" w:eastAsia="zh-CN"/>
        </w:rPr>
        <w:t>0.68</w:t>
      </w:r>
      <w:r>
        <w:rPr>
          <w:rFonts w:hint="eastAsia" w:ascii="仿宋_GB2312"/>
        </w:rPr>
        <w:t>万元，公务用车购置及运行维护费</w:t>
      </w:r>
      <w:r>
        <w:rPr>
          <w:rFonts w:hint="eastAsia"/>
          <w:lang w:val="en-US" w:eastAsia="zh-CN"/>
        </w:rPr>
        <w:t>0</w:t>
      </w:r>
      <w:r>
        <w:rPr>
          <w:rFonts w:hint="eastAsia" w:ascii="仿宋_GB2312"/>
        </w:rPr>
        <w:t>万元。</w:t>
      </w:r>
    </w:p>
    <w:p>
      <w:pPr>
        <w:spacing w:line="600" w:lineRule="exact"/>
        <w:ind w:firstLine="640"/>
        <w:rPr>
          <w:rFonts w:ascii="仿宋_GB2312"/>
        </w:rPr>
      </w:pPr>
      <w:r>
        <w:rPr>
          <w:rFonts w:hint="eastAsia" w:ascii="楷体_GB2312" w:eastAsia="楷体_GB2312"/>
          <w:b/>
        </w:rPr>
        <w:t>（一）因公出国（境）经费较2019年预算</w:t>
      </w:r>
      <w:r>
        <w:rPr>
          <w:rFonts w:hint="eastAsia" w:ascii="楷体_GB2312" w:eastAsia="楷体_GB2312"/>
          <w:b/>
          <w:lang w:eastAsia="zh-CN"/>
        </w:rPr>
        <w:t>持平，都为</w:t>
      </w:r>
      <w:r>
        <w:rPr>
          <w:rFonts w:hint="eastAsia" w:ascii="楷体_GB2312" w:eastAsia="楷体_GB2312"/>
          <w:b/>
          <w:lang w:val="en-US" w:eastAsia="zh-CN"/>
        </w:rPr>
        <w:t>0万元。</w:t>
      </w:r>
    </w:p>
    <w:p>
      <w:pPr>
        <w:spacing w:line="600" w:lineRule="exact"/>
        <w:ind w:firstLine="640"/>
        <w:rPr>
          <w:rFonts w:hint="eastAsia" w:ascii="黑体" w:eastAsia="黑体"/>
          <w:b/>
        </w:rPr>
      </w:pPr>
      <w:r>
        <w:rPr>
          <w:rFonts w:hint="eastAsia" w:ascii="楷体_GB2312" w:eastAsia="楷体_GB2312"/>
          <w:b/>
        </w:rPr>
        <w:t>（二）公务接待费较2019年预算</w:t>
      </w:r>
      <w:r>
        <w:rPr>
          <w:rFonts w:hint="eastAsia" w:ascii="楷体_GB2312" w:eastAsia="楷体_GB2312"/>
          <w:b/>
          <w:lang w:eastAsia="zh-CN"/>
        </w:rPr>
        <w:t>下降</w:t>
      </w:r>
      <w:r>
        <w:rPr>
          <w:rFonts w:hint="eastAsia" w:eastAsia="楷体_GB2312"/>
          <w:b/>
          <w:lang w:val="en-US" w:eastAsia="zh-CN"/>
        </w:rPr>
        <w:t>5</w:t>
      </w:r>
      <w:r>
        <w:rPr>
          <w:rFonts w:ascii="楷体_GB2312" w:eastAsia="楷体_GB2312"/>
          <w:b/>
        </w:rPr>
        <w:t>%</w:t>
      </w:r>
      <w:r>
        <w:rPr>
          <w:rFonts w:hint="eastAsia" w:ascii="楷体_GB2312" w:eastAsia="楷体_GB2312"/>
          <w:b/>
        </w:rPr>
        <w:t>。</w:t>
      </w:r>
      <w:r>
        <w:rPr>
          <w:rFonts w:hint="eastAsia" w:ascii="仿宋_GB2312"/>
        </w:rPr>
        <w:t>主要原因是</w:t>
      </w:r>
      <w:r>
        <w:rPr>
          <w:rFonts w:hint="eastAsia" w:ascii="仿宋_GB2312"/>
          <w:lang w:eastAsia="zh-CN"/>
        </w:rPr>
        <w:t>压减开支</w:t>
      </w:r>
      <w:r>
        <w:rPr>
          <w:rFonts w:hint="eastAsia" w:ascii="仿宋_GB2312"/>
        </w:rPr>
        <w:t>。</w:t>
      </w:r>
    </w:p>
    <w:p>
      <w:pPr>
        <w:spacing w:line="600" w:lineRule="exact"/>
        <w:ind w:firstLine="640"/>
        <w:rPr>
          <w:rFonts w:ascii="仿宋_GB2312"/>
        </w:rPr>
      </w:pPr>
      <w:r>
        <w:rPr>
          <w:rFonts w:hint="eastAsia" w:ascii="仿宋_GB2312"/>
        </w:rPr>
        <w:t>2020年公务接待费计划用于</w:t>
      </w:r>
      <w:r>
        <w:rPr>
          <w:rFonts w:hint="eastAsia" w:ascii="仿宋_GB2312"/>
          <w:lang w:eastAsia="zh-CN"/>
        </w:rPr>
        <w:t>开展与残疾人事业工作相关的公务活动</w:t>
      </w:r>
      <w:r>
        <w:rPr>
          <w:rFonts w:hint="eastAsia" w:ascii="仿宋_GB2312"/>
        </w:rPr>
        <w:t>。</w:t>
      </w:r>
    </w:p>
    <w:p>
      <w:pPr>
        <w:spacing w:line="600" w:lineRule="exact"/>
        <w:ind w:firstLine="640"/>
        <w:rPr>
          <w:rFonts w:hint="eastAsia" w:ascii="黑体" w:eastAsia="黑体"/>
          <w:b/>
        </w:rPr>
      </w:pPr>
      <w:r>
        <w:rPr>
          <w:rFonts w:hint="eastAsia" w:ascii="楷体_GB2312" w:eastAsia="楷体_GB2312"/>
          <w:b/>
        </w:rPr>
        <w:t>（三）公务用车购置及运行维护费较2019年预算</w:t>
      </w:r>
      <w:r>
        <w:rPr>
          <w:rFonts w:hint="eastAsia" w:ascii="楷体_GB2312" w:eastAsia="楷体_GB2312"/>
          <w:b/>
          <w:lang w:eastAsia="zh-CN"/>
        </w:rPr>
        <w:t>持平</w:t>
      </w:r>
      <w:r>
        <w:rPr>
          <w:rFonts w:hint="eastAsia" w:ascii="楷体_GB2312" w:eastAsia="楷体_GB2312"/>
          <w:b/>
        </w:rPr>
        <w:t>。</w:t>
      </w:r>
    </w:p>
    <w:p>
      <w:pPr>
        <w:spacing w:line="600" w:lineRule="exact"/>
        <w:ind w:firstLine="640"/>
        <w:rPr>
          <w:rFonts w:hint="eastAsia" w:ascii="仿宋_GB2312"/>
          <w:lang w:eastAsia="zh-CN"/>
        </w:rPr>
      </w:pPr>
      <w:r>
        <w:rPr>
          <w:rFonts w:hint="eastAsia" w:ascii="仿宋_GB2312"/>
        </w:rPr>
        <w:t>单位现有公务用车</w:t>
      </w:r>
      <w:r>
        <w:rPr>
          <w:rFonts w:hint="eastAsia"/>
          <w:lang w:val="en-US" w:eastAsia="zh-CN"/>
        </w:rPr>
        <w:t>1</w:t>
      </w:r>
      <w:r>
        <w:rPr>
          <w:rFonts w:hint="eastAsia" w:ascii="仿宋_GB2312"/>
        </w:rPr>
        <w:t>辆，其中：轿车</w:t>
      </w:r>
      <w:r>
        <w:rPr>
          <w:rFonts w:hint="eastAsia" w:ascii="仿宋_GB2312"/>
          <w:lang w:val="en-US" w:eastAsia="zh-CN"/>
        </w:rPr>
        <w:t>1</w:t>
      </w:r>
      <w:r>
        <w:rPr>
          <w:rFonts w:hint="eastAsia" w:ascii="仿宋_GB2312"/>
        </w:rPr>
        <w:t>辆</w:t>
      </w:r>
      <w:r>
        <w:rPr>
          <w:rFonts w:hint="eastAsia" w:ascii="仿宋_GB2312"/>
          <w:lang w:eastAsia="zh-CN"/>
        </w:rPr>
        <w:t>。（该车已移交机关事务管理局，但财政局未下相关文件，未作账务处理）</w:t>
      </w:r>
    </w:p>
    <w:p>
      <w:pPr>
        <w:spacing w:line="600" w:lineRule="exact"/>
        <w:ind w:firstLine="640" w:firstLineChars="200"/>
        <w:rPr>
          <w:rFonts w:hint="eastAsia" w:ascii="黑体" w:eastAsia="黑体"/>
        </w:rPr>
      </w:pPr>
      <w:r>
        <w:rPr>
          <w:rFonts w:hint="eastAsia" w:ascii="黑体" w:eastAsia="黑体"/>
        </w:rPr>
        <w:t>八、政府性基金预算支出情况说明</w:t>
      </w:r>
    </w:p>
    <w:p>
      <w:pPr>
        <w:spacing w:line="600" w:lineRule="exact"/>
        <w:ind w:firstLine="640" w:firstLineChars="200"/>
        <w:rPr>
          <w:rFonts w:hint="eastAsia" w:ascii="仿宋_GB2312"/>
        </w:rPr>
      </w:pPr>
      <w:r>
        <w:rPr>
          <w:rFonts w:hint="eastAsia"/>
          <w:lang w:eastAsia="zh-CN"/>
        </w:rPr>
        <w:t>攀枝花市残联</w:t>
      </w:r>
      <w:r>
        <w:rPr>
          <w:rFonts w:hint="eastAsia" w:ascii="仿宋_GB2312"/>
        </w:rPr>
        <w:t>2020年政府性基金预算支出</w:t>
      </w:r>
      <w:r>
        <w:rPr>
          <w:rFonts w:hint="eastAsia"/>
          <w:lang w:val="en-US" w:eastAsia="zh-CN"/>
        </w:rPr>
        <w:t>0</w:t>
      </w:r>
      <w:r>
        <w:rPr>
          <w:rFonts w:hint="eastAsia" w:ascii="仿宋_GB2312"/>
        </w:rPr>
        <w:t>万元，其中：基本支出</w:t>
      </w:r>
      <w:r>
        <w:rPr>
          <w:rFonts w:hint="eastAsia"/>
          <w:lang w:val="en-US" w:eastAsia="zh-CN"/>
        </w:rPr>
        <w:t>0</w:t>
      </w:r>
      <w:r>
        <w:rPr>
          <w:rFonts w:hint="eastAsia" w:ascii="仿宋_GB2312"/>
        </w:rPr>
        <w:t>万元，项目支出</w:t>
      </w:r>
      <w:r>
        <w:rPr>
          <w:rFonts w:hint="eastAsia"/>
          <w:lang w:val="en-US" w:eastAsia="zh-CN"/>
        </w:rPr>
        <w:t>0</w:t>
      </w:r>
      <w:r>
        <w:rPr>
          <w:rFonts w:hint="eastAsia" w:ascii="仿宋_GB2312"/>
        </w:rPr>
        <w:t>万元。</w:t>
      </w:r>
    </w:p>
    <w:p>
      <w:pPr>
        <w:spacing w:line="600" w:lineRule="exact"/>
        <w:ind w:firstLine="640" w:firstLineChars="200"/>
        <w:rPr>
          <w:rFonts w:hint="eastAsia" w:ascii="黑体" w:eastAsia="黑体"/>
        </w:rPr>
      </w:pPr>
      <w:r>
        <w:rPr>
          <w:rFonts w:hint="eastAsia" w:ascii="黑体" w:eastAsia="黑体"/>
        </w:rPr>
        <w:t>九、其他重要事项的情况说明</w:t>
      </w:r>
    </w:p>
    <w:p>
      <w:pPr>
        <w:spacing w:line="600" w:lineRule="exact"/>
        <w:ind w:firstLine="643" w:firstLineChars="200"/>
        <w:rPr>
          <w:rFonts w:hint="eastAsia" w:ascii="楷体_GB2312" w:eastAsia="楷体_GB2312"/>
          <w:b/>
        </w:rPr>
      </w:pPr>
      <w:r>
        <w:rPr>
          <w:rFonts w:hint="eastAsia" w:ascii="楷体_GB2312" w:eastAsia="楷体_GB2312"/>
          <w:b/>
        </w:rPr>
        <w:t>（一）</w:t>
      </w:r>
      <w:r>
        <w:rPr>
          <w:rFonts w:hint="eastAsia" w:ascii="楷体_GB2312" w:eastAsia="楷体_GB2312"/>
          <w:b/>
          <w:lang w:val="en-US" w:eastAsia="zh-CN"/>
        </w:rPr>
        <w:t>机关</w:t>
      </w:r>
      <w:r>
        <w:rPr>
          <w:rFonts w:hint="eastAsia" w:ascii="楷体_GB2312" w:eastAsia="楷体_GB2312"/>
          <w:b/>
        </w:rPr>
        <w:t>运行经费</w:t>
      </w:r>
    </w:p>
    <w:p>
      <w:pPr>
        <w:spacing w:line="600" w:lineRule="exact"/>
        <w:ind w:firstLine="640" w:firstLineChars="200"/>
        <w:rPr>
          <w:rFonts w:hint="eastAsia" w:ascii="仿宋_GB2312"/>
          <w:highlight w:val="none"/>
        </w:rPr>
      </w:pPr>
      <w:r>
        <w:rPr>
          <w:rFonts w:hint="eastAsia" w:ascii="仿宋_GB2312"/>
        </w:rPr>
        <w:t>2020年，</w:t>
      </w:r>
      <w:r>
        <w:rPr>
          <w:rFonts w:hint="eastAsia"/>
          <w:lang w:eastAsia="zh-CN"/>
        </w:rPr>
        <w:t>攀枝花市残联以及</w:t>
      </w:r>
      <w:r>
        <w:rPr>
          <w:rFonts w:hint="eastAsia" w:ascii="仿宋_GB2312"/>
        </w:rPr>
        <w:t>下属</w:t>
      </w:r>
      <w:r>
        <w:rPr>
          <w:rFonts w:hint="eastAsia" w:ascii="仿宋_GB2312"/>
          <w:lang w:val="en-US" w:eastAsia="zh-CN"/>
        </w:rPr>
        <w:t>1家</w:t>
      </w:r>
      <w:r>
        <w:rPr>
          <w:rFonts w:hint="eastAsia" w:ascii="仿宋_GB2312"/>
          <w:lang w:eastAsia="zh-CN"/>
        </w:rPr>
        <w:t>事业单位残疾人劳动就业服务中心</w:t>
      </w:r>
      <w:r>
        <w:rPr>
          <w:rFonts w:hint="eastAsia" w:ascii="仿宋_GB2312"/>
        </w:rPr>
        <w:t>的机关运行经费财政拨款预算为</w:t>
      </w:r>
      <w:r>
        <w:rPr>
          <w:rFonts w:hint="eastAsia"/>
          <w:lang w:val="en-US" w:eastAsia="zh-CN"/>
        </w:rPr>
        <w:t>44.56</w:t>
      </w:r>
      <w:r>
        <w:rPr>
          <w:rFonts w:hint="eastAsia" w:ascii="仿宋_GB2312"/>
        </w:rPr>
        <w:t>万元，</w:t>
      </w:r>
      <w:r>
        <w:rPr>
          <w:rFonts w:hint="eastAsia" w:ascii="仿宋_GB2312"/>
          <w:highlight w:val="none"/>
        </w:rPr>
        <w:t>比2019年预算</w:t>
      </w:r>
      <w:r>
        <w:rPr>
          <w:rFonts w:hint="eastAsia" w:ascii="仿宋_GB2312"/>
          <w:highlight w:val="none"/>
          <w:lang w:eastAsia="zh-CN"/>
        </w:rPr>
        <w:t>增加</w:t>
      </w:r>
      <w:r>
        <w:rPr>
          <w:rFonts w:hint="eastAsia"/>
          <w:highlight w:val="none"/>
          <w:lang w:val="en-US" w:eastAsia="zh-CN"/>
        </w:rPr>
        <w:t>0.69</w:t>
      </w:r>
      <w:r>
        <w:rPr>
          <w:rFonts w:hint="eastAsia" w:ascii="仿宋_GB2312"/>
          <w:highlight w:val="none"/>
        </w:rPr>
        <w:t>万元，</w:t>
      </w:r>
      <w:r>
        <w:rPr>
          <w:rFonts w:hint="eastAsia" w:ascii="仿宋_GB2312"/>
          <w:highlight w:val="none"/>
          <w:lang w:eastAsia="zh-CN"/>
        </w:rPr>
        <w:t>增长</w:t>
      </w:r>
      <w:r>
        <w:rPr>
          <w:rFonts w:hint="eastAsia" w:ascii="仿宋_GB2312"/>
          <w:highlight w:val="none"/>
          <w:lang w:val="en-US" w:eastAsia="zh-CN"/>
        </w:rPr>
        <w:t>1.6</w:t>
      </w:r>
      <w:r>
        <w:rPr>
          <w:rFonts w:hint="eastAsia" w:ascii="仿宋_GB2312"/>
          <w:highlight w:val="none"/>
        </w:rPr>
        <w:t>%。</w:t>
      </w:r>
    </w:p>
    <w:p>
      <w:pPr>
        <w:spacing w:line="600" w:lineRule="exact"/>
        <w:ind w:firstLine="643" w:firstLineChars="200"/>
        <w:rPr>
          <w:rFonts w:hint="eastAsia" w:ascii="楷体_GB2312" w:eastAsia="楷体_GB2312"/>
          <w:b/>
        </w:rPr>
      </w:pPr>
      <w:r>
        <w:rPr>
          <w:rFonts w:hint="eastAsia" w:ascii="楷体_GB2312" w:eastAsia="楷体_GB2312"/>
          <w:b/>
        </w:rPr>
        <w:t>（二）国有资产占有使用情况</w:t>
      </w:r>
    </w:p>
    <w:p>
      <w:pPr>
        <w:spacing w:line="600" w:lineRule="exact"/>
        <w:ind w:firstLine="640" w:firstLineChars="200"/>
        <w:rPr>
          <w:rFonts w:hint="eastAsia" w:ascii="仿宋_GB2312"/>
        </w:rPr>
      </w:pPr>
      <w:r>
        <w:rPr>
          <w:rFonts w:hint="eastAsia" w:ascii="仿宋_GB2312"/>
        </w:rPr>
        <w:t>截至2019年底，</w:t>
      </w:r>
      <w:r>
        <w:rPr>
          <w:rFonts w:hint="eastAsia"/>
          <w:lang w:eastAsia="zh-CN"/>
        </w:rPr>
        <w:t>攀枝花市残联及</w:t>
      </w:r>
      <w:r>
        <w:rPr>
          <w:rFonts w:hint="eastAsia" w:ascii="仿宋_GB2312"/>
        </w:rPr>
        <w:t>所属的非独立核算单位共有车辆</w:t>
      </w:r>
      <w:r>
        <w:rPr>
          <w:rFonts w:hint="eastAsia"/>
          <w:lang w:val="en-US" w:eastAsia="zh-CN"/>
        </w:rPr>
        <w:t>1</w:t>
      </w:r>
      <w:r>
        <w:rPr>
          <w:rFonts w:hint="eastAsia" w:ascii="仿宋_GB2312"/>
        </w:rPr>
        <w:t>辆（车辆数与“三公”经费说明中单位现有公务用车保有量一致），其中，执法执勤用车</w:t>
      </w:r>
      <w:r>
        <w:rPr>
          <w:rFonts w:hint="eastAsia"/>
          <w:lang w:val="en-US" w:eastAsia="zh-CN"/>
        </w:rPr>
        <w:t>0</w:t>
      </w:r>
      <w:r>
        <w:rPr>
          <w:rFonts w:hint="eastAsia" w:ascii="仿宋_GB2312"/>
        </w:rPr>
        <w:t>辆。单位价值200万元以上大型设备</w:t>
      </w:r>
      <w:r>
        <w:rPr>
          <w:rFonts w:hint="eastAsia"/>
          <w:lang w:val="en-US" w:eastAsia="zh-CN"/>
        </w:rPr>
        <w:t>0</w:t>
      </w:r>
      <w:r>
        <w:rPr>
          <w:rFonts w:hint="eastAsia" w:ascii="仿宋_GB2312"/>
        </w:rPr>
        <w:t>台。</w:t>
      </w:r>
    </w:p>
    <w:p>
      <w:pPr>
        <w:spacing w:line="600" w:lineRule="exact"/>
        <w:ind w:firstLine="643" w:firstLineChars="200"/>
        <w:rPr>
          <w:rFonts w:hint="eastAsia" w:ascii="楷体_GB2312" w:eastAsia="楷体_GB2312"/>
          <w:b/>
        </w:rPr>
      </w:pPr>
      <w:r>
        <w:rPr>
          <w:rFonts w:hint="eastAsia" w:ascii="楷体_GB2312" w:eastAsia="楷体_GB2312"/>
          <w:b/>
        </w:rPr>
        <w:t>（三）绩效目标设置情况</w:t>
      </w:r>
    </w:p>
    <w:p>
      <w:pPr>
        <w:spacing w:line="600" w:lineRule="exact"/>
        <w:ind w:firstLine="640" w:firstLineChars="200"/>
        <w:rPr>
          <w:rFonts w:hint="eastAsia" w:ascii="仿宋_GB2312"/>
        </w:rPr>
      </w:pPr>
      <w:r>
        <w:rPr>
          <w:rFonts w:hint="eastAsia" w:ascii="仿宋_GB2312"/>
        </w:rPr>
        <w:t>2020年</w:t>
      </w:r>
      <w:r>
        <w:rPr>
          <w:rFonts w:hint="eastAsia"/>
          <w:lang w:eastAsia="zh-CN"/>
        </w:rPr>
        <w:t>攀枝花市残联</w:t>
      </w:r>
      <w:r>
        <w:rPr>
          <w:rFonts w:hint="eastAsia" w:ascii="仿宋_GB2312"/>
        </w:rPr>
        <w:t>部门通用项目和专用项目均按要求实行绩效目标管理，涉及一般公共预算当年拨款</w:t>
      </w:r>
      <w:r>
        <w:rPr>
          <w:rFonts w:hint="eastAsia"/>
          <w:lang w:val="en-US" w:eastAsia="zh-CN"/>
        </w:rPr>
        <w:t>54</w:t>
      </w:r>
      <w:r>
        <w:rPr>
          <w:rFonts w:hint="eastAsia" w:ascii="仿宋_GB2312"/>
        </w:rPr>
        <w:t>万元。</w:t>
      </w:r>
    </w:p>
    <w:p>
      <w:pPr>
        <w:spacing w:line="600" w:lineRule="exact"/>
        <w:ind w:firstLine="640" w:firstLineChars="200"/>
        <w:rPr>
          <w:rFonts w:hint="eastAsia" w:ascii="黑体" w:eastAsia="黑体"/>
        </w:rPr>
      </w:pPr>
      <w:r>
        <w:rPr>
          <w:rFonts w:hint="eastAsia" w:ascii="黑体" w:eastAsia="黑体"/>
        </w:rPr>
        <w:t>十、名词解释</w:t>
      </w:r>
    </w:p>
    <w:p>
      <w:pPr>
        <w:widowControl w:val="0"/>
        <w:spacing w:before="0" w:beforeAutospacing="0" w:after="0" w:afterAutospacing="0" w:line="600" w:lineRule="exact"/>
        <w:ind w:left="0" w:right="0" w:firstLine="640" w:firstLineChars="200"/>
        <w:jc w:val="both"/>
        <w:rPr>
          <w:rFonts w:hint="eastAsia" w:ascii="仿宋_GB2312" w:eastAsia="仿宋_GB2312" w:cs="仿宋_GB2312"/>
          <w:lang w:val="en-US"/>
        </w:rPr>
      </w:pPr>
      <w:r>
        <w:rPr>
          <w:rFonts w:hint="eastAsia" w:ascii="仿宋_GB2312" w:hAnsi="Times New Roman" w:eastAsia="仿宋_GB2312" w:cs="仿宋_GB2312"/>
          <w:color w:val="auto"/>
          <w:kern w:val="2"/>
          <w:sz w:val="32"/>
          <w:szCs w:val="32"/>
          <w:lang w:val="en-US" w:eastAsia="zh-CN" w:bidi="ar-SA"/>
        </w:rPr>
        <w:t>1.一般公共预算拨款收入：指市级财政当年拨付的资金。</w:t>
      </w:r>
    </w:p>
    <w:p>
      <w:pPr>
        <w:widowControl w:val="0"/>
        <w:spacing w:before="0" w:beforeAutospacing="0" w:after="0" w:afterAutospacing="0" w:line="600" w:lineRule="exact"/>
        <w:ind w:left="0" w:right="0" w:firstLine="640" w:firstLineChars="200"/>
        <w:jc w:val="both"/>
        <w:rPr>
          <w:rFonts w:hint="eastAsia" w:ascii="仿宋_GB2312" w:eastAsia="仿宋_GB2312" w:cs="仿宋_GB2312"/>
          <w:lang w:val="en-US"/>
        </w:rPr>
      </w:pPr>
      <w:r>
        <w:rPr>
          <w:rFonts w:hint="eastAsia" w:ascii="仿宋_GB2312" w:hAnsi="Times New Roman" w:eastAsia="仿宋_GB2312" w:cs="仿宋_GB2312"/>
          <w:color w:val="auto"/>
          <w:kern w:val="2"/>
          <w:sz w:val="32"/>
          <w:szCs w:val="32"/>
          <w:lang w:val="en-US" w:eastAsia="zh-CN" w:bidi="ar-SA"/>
        </w:rPr>
        <w:t>2.社会保障和就业（类）残疾人事业（款）行政运行（项）：指行政单位（包括实行公务员管理的事业单位）的基本支出。</w:t>
      </w:r>
    </w:p>
    <w:p>
      <w:pPr>
        <w:widowControl w:val="0"/>
        <w:spacing w:before="0" w:beforeAutospacing="0" w:after="0" w:afterAutospacing="0" w:line="600" w:lineRule="exact"/>
        <w:ind w:left="0" w:right="0" w:firstLine="640" w:firstLineChars="200"/>
        <w:jc w:val="both"/>
        <w:rPr>
          <w:rFonts w:hint="eastAsia" w:ascii="仿宋_GB2312" w:eastAsia="仿宋_GB2312" w:cs="仿宋_GB2312"/>
          <w:lang w:val="en-US"/>
        </w:rPr>
      </w:pPr>
      <w:r>
        <w:rPr>
          <w:rFonts w:hint="eastAsia" w:ascii="仿宋_GB2312" w:hAnsi="Times New Roman" w:eastAsia="仿宋_GB2312" w:cs="仿宋_GB2312"/>
          <w:color w:val="auto"/>
          <w:kern w:val="2"/>
          <w:sz w:val="32"/>
          <w:szCs w:val="32"/>
          <w:lang w:val="en-US" w:eastAsia="zh-CN" w:bidi="ar-SA"/>
        </w:rPr>
        <w:t>3.社会保障和就业（类）残疾人事业（款）机关服务（项）：指为行政单位（包括实行公务员管理的事业单位）提供各类服务的附属事业单位的支出。</w:t>
      </w:r>
    </w:p>
    <w:p>
      <w:pPr>
        <w:widowControl w:val="0"/>
        <w:spacing w:before="0" w:beforeAutospacing="0" w:after="0" w:afterAutospacing="0" w:line="600" w:lineRule="exact"/>
        <w:ind w:left="0" w:right="0" w:firstLine="640" w:firstLineChars="200"/>
        <w:jc w:val="both"/>
        <w:rPr>
          <w:rFonts w:hint="eastAsia" w:ascii="仿宋_GB2312" w:eastAsia="仿宋_GB2312" w:cs="仿宋_GB2312"/>
          <w:lang w:val="en-US"/>
        </w:rPr>
      </w:pPr>
      <w:r>
        <w:rPr>
          <w:rFonts w:hint="eastAsia" w:ascii="仿宋_GB2312" w:hAnsi="Times New Roman" w:eastAsia="仿宋_GB2312" w:cs="仿宋_GB2312"/>
          <w:color w:val="auto"/>
          <w:kern w:val="2"/>
          <w:sz w:val="32"/>
          <w:szCs w:val="32"/>
          <w:lang w:val="en-US" w:eastAsia="zh-CN" w:bidi="ar-SA"/>
        </w:rPr>
        <w:t>4.社会保障和就业（类）残疾人事业（款）残疾人康复（项）：指残疾人联合会用于残疾人康复方面的支出。</w:t>
      </w:r>
    </w:p>
    <w:p>
      <w:pPr>
        <w:widowControl w:val="0"/>
        <w:spacing w:before="0" w:beforeAutospacing="0" w:after="0" w:afterAutospacing="0" w:line="600" w:lineRule="exact"/>
        <w:ind w:left="0" w:right="0" w:firstLine="640" w:firstLineChars="200"/>
        <w:jc w:val="both"/>
        <w:rPr>
          <w:rFonts w:hint="eastAsia" w:ascii="仿宋_GB2312" w:eastAsia="仿宋_GB2312" w:cs="仿宋_GB2312"/>
          <w:lang w:val="en-US"/>
        </w:rPr>
      </w:pPr>
      <w:r>
        <w:rPr>
          <w:rFonts w:hint="eastAsia" w:ascii="仿宋_GB2312" w:hAnsi="Times New Roman" w:eastAsia="仿宋_GB2312" w:cs="仿宋_GB2312"/>
          <w:color w:val="auto"/>
          <w:kern w:val="2"/>
          <w:sz w:val="32"/>
          <w:szCs w:val="32"/>
          <w:lang w:val="en-US" w:eastAsia="zh-CN" w:bidi="ar-SA"/>
        </w:rPr>
        <w:t>5.社会保障和就业（类）残疾人事业（款）残疾人就业扶贫（项）：指残疾人联合会用于残疾人就业和扶贫方面的支出。</w:t>
      </w:r>
    </w:p>
    <w:p>
      <w:pPr>
        <w:widowControl w:val="0"/>
        <w:spacing w:before="0" w:beforeAutospacing="0" w:after="0" w:afterAutospacing="0" w:line="600" w:lineRule="exact"/>
        <w:ind w:left="0" w:right="0" w:firstLine="640" w:firstLineChars="200"/>
        <w:jc w:val="both"/>
        <w:rPr>
          <w:rFonts w:hint="eastAsia" w:ascii="仿宋_GB2312" w:eastAsia="仿宋_GB2312" w:cs="仿宋_GB2312"/>
          <w:lang w:val="en-US"/>
        </w:rPr>
      </w:pPr>
      <w:r>
        <w:rPr>
          <w:rFonts w:hint="eastAsia" w:ascii="仿宋_GB2312" w:hAnsi="Times New Roman" w:eastAsia="仿宋_GB2312" w:cs="仿宋_GB2312"/>
          <w:color w:val="auto"/>
          <w:kern w:val="2"/>
          <w:sz w:val="32"/>
          <w:szCs w:val="32"/>
          <w:lang w:val="en-US" w:eastAsia="zh-CN" w:bidi="ar-SA"/>
        </w:rPr>
        <w:t>6.社会保障和就业（类）残疾人事业（款）残疾人康复（项）：指残疾人联合会用于残疾人体育方面的支出。</w:t>
      </w:r>
    </w:p>
    <w:p>
      <w:pPr>
        <w:widowControl w:val="0"/>
        <w:spacing w:before="0" w:beforeAutospacing="0" w:after="0" w:afterAutospacing="0" w:line="600" w:lineRule="exact"/>
        <w:ind w:left="0" w:right="0" w:firstLine="640" w:firstLineChars="200"/>
        <w:jc w:val="both"/>
        <w:rPr>
          <w:rFonts w:hint="eastAsia" w:ascii="仿宋_GB2312" w:eastAsia="仿宋_GB2312" w:cs="仿宋_GB2312"/>
          <w:lang w:val="en-US"/>
        </w:rPr>
      </w:pPr>
      <w:r>
        <w:rPr>
          <w:rFonts w:hint="eastAsia" w:ascii="仿宋_GB2312" w:hAnsi="Times New Roman" w:eastAsia="仿宋_GB2312" w:cs="仿宋_GB2312"/>
          <w:color w:val="auto"/>
          <w:kern w:val="2"/>
          <w:sz w:val="32"/>
          <w:szCs w:val="32"/>
          <w:lang w:val="en-US" w:eastAsia="zh-CN" w:bidi="ar-SA"/>
        </w:rPr>
        <w:t>7.基本支出：指为保证机构正常运转，完成日常工作任务而发生的人员支出和公用支出。</w:t>
      </w:r>
    </w:p>
    <w:p>
      <w:pPr>
        <w:widowControl w:val="0"/>
        <w:spacing w:before="0" w:beforeAutospacing="0" w:after="0" w:afterAutospacing="0" w:line="600" w:lineRule="exact"/>
        <w:ind w:left="0" w:right="0" w:firstLine="640" w:firstLineChars="200"/>
        <w:jc w:val="both"/>
        <w:rPr>
          <w:rFonts w:hint="eastAsia" w:ascii="仿宋_GB2312" w:eastAsia="仿宋_GB2312" w:cs="仿宋_GB2312"/>
          <w:lang w:val="en-US"/>
        </w:rPr>
      </w:pPr>
      <w:r>
        <w:rPr>
          <w:rFonts w:hint="eastAsia" w:ascii="仿宋_GB2312" w:hAnsi="Times New Roman" w:eastAsia="仿宋_GB2312" w:cs="仿宋_GB2312"/>
          <w:color w:val="auto"/>
          <w:kern w:val="2"/>
          <w:sz w:val="32"/>
          <w:szCs w:val="32"/>
          <w:lang w:val="en-US" w:eastAsia="zh-CN" w:bidi="ar-SA"/>
        </w:rPr>
        <w:t>8.项目支出：指在基本支出之外为完成特定行政任务和事业发展目标所发生的支出。</w:t>
      </w:r>
    </w:p>
    <w:p>
      <w:pPr>
        <w:widowControl w:val="0"/>
        <w:spacing w:before="0" w:beforeAutospacing="0" w:after="0" w:afterAutospacing="0" w:line="600" w:lineRule="exact"/>
        <w:ind w:left="0" w:right="0" w:firstLine="640" w:firstLineChars="200"/>
        <w:jc w:val="both"/>
        <w:rPr>
          <w:rFonts w:hint="eastAsia" w:ascii="仿宋_GB2312" w:eastAsia="仿宋_GB2312" w:cs="仿宋_GB2312"/>
          <w:lang w:val="en-US"/>
        </w:rPr>
      </w:pPr>
      <w:r>
        <w:rPr>
          <w:rFonts w:hint="eastAsia" w:ascii="仿宋_GB2312" w:hAnsi="Times New Roman" w:eastAsia="仿宋_GB2312" w:cs="仿宋_GB2312"/>
          <w:color w:val="auto"/>
          <w:kern w:val="2"/>
          <w:sz w:val="32"/>
          <w:szCs w:val="32"/>
          <w:lang w:val="en-US" w:eastAsia="zh-CN" w:bidi="ar-SA"/>
        </w:rPr>
        <w:t>9.“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widowControl w:val="0"/>
        <w:spacing w:before="0" w:beforeAutospacing="0" w:after="0" w:afterAutospacing="0" w:line="600" w:lineRule="exact"/>
        <w:ind w:left="0" w:right="0" w:firstLine="640" w:firstLineChars="200"/>
        <w:jc w:val="both"/>
        <w:rPr>
          <w:rFonts w:hint="eastAsia" w:ascii="仿宋_GB2312" w:eastAsia="仿宋_GB2312" w:cs="仿宋_GB2312"/>
          <w:lang w:val="en-US"/>
        </w:rPr>
      </w:pPr>
      <w:r>
        <w:rPr>
          <w:rFonts w:hint="eastAsia" w:ascii="仿宋_GB2312" w:hAnsi="Times New Roman" w:eastAsia="仿宋_GB2312" w:cs="仿宋_GB2312"/>
          <w:color w:val="auto"/>
          <w:kern w:val="2"/>
          <w:sz w:val="32"/>
          <w:szCs w:val="32"/>
          <w:lang w:val="en-US" w:eastAsia="zh-CN" w:bidi="ar-SA"/>
        </w:rPr>
        <w:t>10.</w:t>
      </w:r>
      <w:r>
        <w:rPr>
          <w:rFonts w:hint="eastAsia" w:ascii="仿宋_GB2312" w:cs="仿宋_GB2312"/>
          <w:color w:val="auto"/>
          <w:kern w:val="2"/>
          <w:sz w:val="32"/>
          <w:szCs w:val="32"/>
          <w:lang w:val="en-US" w:eastAsia="zh-CN" w:bidi="ar-SA"/>
        </w:rPr>
        <w:t>机关</w:t>
      </w:r>
      <w:r>
        <w:rPr>
          <w:rFonts w:hint="eastAsia" w:ascii="仿宋_GB2312" w:hAnsi="Times New Roman" w:eastAsia="仿宋_GB2312" w:cs="仿宋_GB2312"/>
          <w:color w:val="auto"/>
          <w:kern w:val="2"/>
          <w:sz w:val="32"/>
          <w:szCs w:val="32"/>
          <w:lang w:val="en-US" w:eastAsia="zh-CN" w:bidi="ar-SA"/>
        </w:rPr>
        <w:t>运行费：为保障行政单位（包含参照公务员法管理的事业单位）运行用于购买货物和服务的各项资金。包括办公及办公费、水费、电费、印刷费、邮电费、差旅费、会议费等费用开支。</w:t>
      </w:r>
    </w:p>
    <w:p>
      <w:pPr>
        <w:spacing w:line="600" w:lineRule="exact"/>
        <w:ind w:firstLine="640" w:firstLineChars="200"/>
        <w:rPr>
          <w:rFonts w:hint="eastAsia" w:ascii="Arial" w:hAnsi="Arial" w:cs="Arial"/>
        </w:rPr>
      </w:pPr>
    </w:p>
    <w:p>
      <w:pPr>
        <w:spacing w:line="600" w:lineRule="exact"/>
        <w:rPr>
          <w:rFonts w:hint="eastAsia" w:ascii="仿宋_GB2312"/>
        </w:rPr>
      </w:pPr>
      <w:r>
        <w:rPr>
          <w:rFonts w:hint="eastAsia" w:ascii="仿宋_GB2312"/>
        </w:rPr>
        <w:t>附件：表1.部门收支总表</w:t>
      </w:r>
    </w:p>
    <w:p>
      <w:pPr>
        <w:spacing w:line="600" w:lineRule="exact"/>
        <w:rPr>
          <w:rFonts w:hint="eastAsia" w:ascii="仿宋_GB2312"/>
        </w:rPr>
      </w:pPr>
      <w:r>
        <w:rPr>
          <w:rFonts w:hint="eastAsia" w:ascii="仿宋_GB2312"/>
        </w:rPr>
        <w:t xml:space="preserve">      表1-1.部门收入总表</w:t>
      </w:r>
    </w:p>
    <w:p>
      <w:pPr>
        <w:spacing w:line="600" w:lineRule="exact"/>
        <w:rPr>
          <w:rFonts w:hint="eastAsia" w:ascii="仿宋_GB2312"/>
        </w:rPr>
      </w:pPr>
      <w:r>
        <w:rPr>
          <w:rFonts w:hint="eastAsia" w:ascii="仿宋_GB2312"/>
        </w:rPr>
        <w:t xml:space="preserve">      表1-2.部门支出总表</w:t>
      </w:r>
    </w:p>
    <w:p>
      <w:pPr>
        <w:spacing w:line="600" w:lineRule="exact"/>
        <w:ind w:firstLine="960" w:firstLineChars="300"/>
        <w:rPr>
          <w:rFonts w:hint="eastAsia" w:ascii="仿宋_GB2312"/>
        </w:rPr>
      </w:pPr>
      <w:r>
        <w:rPr>
          <w:rFonts w:hint="eastAsia" w:ascii="仿宋_GB2312"/>
        </w:rPr>
        <w:t>表2.财政拨款收支预算总表</w:t>
      </w:r>
    </w:p>
    <w:p>
      <w:pPr>
        <w:spacing w:line="600" w:lineRule="exact"/>
        <w:ind w:firstLine="960" w:firstLineChars="300"/>
        <w:rPr>
          <w:rFonts w:hint="eastAsia" w:ascii="仿宋_GB2312"/>
        </w:rPr>
      </w:pPr>
      <w:r>
        <w:rPr>
          <w:rFonts w:hint="eastAsia" w:ascii="仿宋_GB2312"/>
        </w:rPr>
        <w:t>表2-1.财政拨款支出预算表</w:t>
      </w:r>
    </w:p>
    <w:p>
      <w:pPr>
        <w:spacing w:line="600" w:lineRule="exact"/>
        <w:ind w:firstLine="960" w:firstLineChars="300"/>
        <w:rPr>
          <w:rFonts w:hint="eastAsia" w:ascii="仿宋_GB2312"/>
        </w:rPr>
      </w:pPr>
      <w:r>
        <w:rPr>
          <w:rFonts w:hint="eastAsia" w:ascii="仿宋_GB2312"/>
        </w:rPr>
        <w:t>表3.一般公共预算支出预算表</w:t>
      </w:r>
    </w:p>
    <w:p>
      <w:pPr>
        <w:spacing w:line="600" w:lineRule="exact"/>
        <w:ind w:firstLine="960" w:firstLineChars="300"/>
        <w:rPr>
          <w:rFonts w:hint="eastAsia" w:ascii="仿宋_GB2312"/>
        </w:rPr>
      </w:pPr>
      <w:r>
        <w:rPr>
          <w:rFonts w:hint="eastAsia" w:ascii="仿宋_GB2312"/>
        </w:rPr>
        <w:t>表3-1.一般公共预算基本支出预算表</w:t>
      </w:r>
    </w:p>
    <w:p>
      <w:pPr>
        <w:spacing w:line="600" w:lineRule="exact"/>
        <w:ind w:firstLine="960" w:firstLineChars="300"/>
        <w:rPr>
          <w:rFonts w:hint="eastAsia" w:ascii="仿宋_GB2312"/>
        </w:rPr>
      </w:pPr>
      <w:r>
        <w:rPr>
          <w:rFonts w:hint="eastAsia" w:ascii="仿宋_GB2312"/>
        </w:rPr>
        <w:t>表3-2.一般公共预算项目支出预算表</w:t>
      </w:r>
    </w:p>
    <w:p>
      <w:pPr>
        <w:spacing w:line="600" w:lineRule="exact"/>
        <w:ind w:firstLine="960" w:firstLineChars="300"/>
        <w:rPr>
          <w:rFonts w:hint="eastAsia" w:ascii="仿宋_GB2312"/>
        </w:rPr>
      </w:pPr>
      <w:r>
        <w:rPr>
          <w:rFonts w:hint="eastAsia" w:ascii="仿宋_GB2312"/>
        </w:rPr>
        <w:t>表3-3.一般公共预算“三公”经费支出预算表</w:t>
      </w:r>
    </w:p>
    <w:p>
      <w:pPr>
        <w:spacing w:line="600" w:lineRule="exact"/>
        <w:ind w:firstLine="960" w:firstLineChars="300"/>
        <w:rPr>
          <w:rFonts w:hint="eastAsia" w:ascii="仿宋_GB2312"/>
        </w:rPr>
      </w:pPr>
      <w:r>
        <w:rPr>
          <w:rFonts w:hint="eastAsia" w:ascii="仿宋_GB2312"/>
        </w:rPr>
        <w:t>表4.政府性基金支出预算表</w:t>
      </w:r>
    </w:p>
    <w:p>
      <w:pPr>
        <w:spacing w:line="600" w:lineRule="exact"/>
        <w:ind w:firstLine="960" w:firstLineChars="300"/>
        <w:rPr>
          <w:rFonts w:hint="eastAsia" w:ascii="仿宋_GB2312"/>
        </w:rPr>
      </w:pPr>
      <w:r>
        <w:rPr>
          <w:rFonts w:hint="eastAsia" w:ascii="仿宋_GB2312"/>
        </w:rPr>
        <w:t>表4-1.政府性基金预算“三公”经费支出预算表</w:t>
      </w:r>
    </w:p>
    <w:p>
      <w:pPr>
        <w:spacing w:line="600" w:lineRule="exact"/>
        <w:ind w:firstLine="960" w:firstLineChars="300"/>
        <w:rPr>
          <w:rFonts w:hint="eastAsia" w:ascii="仿宋_GB2312"/>
        </w:rPr>
      </w:pPr>
      <w:r>
        <w:rPr>
          <w:rFonts w:hint="eastAsia" w:ascii="仿宋_GB2312"/>
        </w:rPr>
        <w:t>表5.国有资本经营预算支出预算表</w:t>
      </w:r>
    </w:p>
    <w:p>
      <w:pPr>
        <w:spacing w:line="600" w:lineRule="exact"/>
        <w:ind w:firstLine="960" w:firstLineChars="300"/>
        <w:rPr>
          <w:rFonts w:hint="eastAsia" w:ascii="仿宋_GB2312"/>
        </w:rPr>
      </w:pPr>
      <w:r>
        <w:rPr>
          <w:rFonts w:hint="eastAsia" w:ascii="仿宋_GB2312"/>
        </w:rPr>
        <w:t>表6.（部门）单位预算项目绩效目标表</w:t>
      </w:r>
    </w:p>
    <w:p>
      <w:pPr>
        <w:spacing w:line="600" w:lineRule="exact"/>
        <w:ind w:firstLine="960" w:firstLineChars="300"/>
        <w:rPr>
          <w:rFonts w:hint="eastAsia" w:ascii="仿宋_GB2312"/>
          <w:u w:val="single"/>
        </w:rPr>
      </w:pPr>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Fonts w:ascii="宋体" w:hAnsi="宋体"/>
        <w:sz w:val="30"/>
        <w:szCs w:val="30"/>
      </w:rPr>
    </w:pPr>
    <w:r>
      <w:rPr>
        <w:rFonts w:ascii="宋体" w:hAnsi="宋体"/>
        <w:sz w:val="30"/>
        <w:szCs w:val="30"/>
      </w:rPr>
      <w:fldChar w:fldCharType="begin"/>
    </w:r>
    <w:r>
      <w:rPr>
        <w:rStyle w:val="9"/>
        <w:rFonts w:ascii="宋体" w:hAnsi="宋体"/>
        <w:sz w:val="30"/>
        <w:szCs w:val="30"/>
      </w:rPr>
      <w:instrText xml:space="preserve">PAGE  </w:instrText>
    </w:r>
    <w:r>
      <w:rPr>
        <w:rFonts w:ascii="宋体" w:hAnsi="宋体"/>
        <w:sz w:val="30"/>
        <w:szCs w:val="30"/>
      </w:rPr>
      <w:fldChar w:fldCharType="separate"/>
    </w:r>
    <w:r>
      <w:rPr>
        <w:rStyle w:val="9"/>
        <w:rFonts w:ascii="宋体" w:hAnsi="宋体"/>
        <w:sz w:val="30"/>
        <w:szCs w:val="30"/>
      </w:rPr>
      <w:t>- 1 -</w:t>
    </w:r>
    <w:r>
      <w:rPr>
        <w:rFonts w:ascii="宋体" w:hAnsi="宋体"/>
        <w:sz w:val="30"/>
        <w:szCs w:val="30"/>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- 6 -</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0"/>
  <w:doNotDisplayPageBoundaries w:val="1"/>
  <w:bordersDoNotSurroundHeader w:val="1"/>
  <w:bordersDoNotSurroundFooter w:val="1"/>
  <w:documentProtection w:enforcement="0"/>
  <w:defaultTabStop w:val="420"/>
  <w:drawingGridHorizontalSpacing w:val="0"/>
  <w:drawingGridVerticalSpacing w:val="43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000000"/>
    <w:rsid w:val="17BA7866"/>
    <w:rsid w:val="599822DF"/>
    <w:rsid w:val="639E27E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qFormat/>
    <w:uiPriority w:val="0"/>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uiPriority w:val="0"/>
    <w:pPr>
      <w:spacing w:beforeLines="30"/>
    </w:pPr>
    <w:rPr>
      <w:rFonts w:ascii="仿宋_GB2312"/>
      <w:sz w:val="30"/>
    </w:rPr>
  </w:style>
  <w:style w:type="paragraph" w:styleId="3">
    <w:name w:val="Balloon Text"/>
    <w:basedOn w:val="1"/>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rPr>
      <w:sz w:val="24"/>
    </w:rPr>
  </w:style>
  <w:style w:type="character" w:styleId="9">
    <w:name w:val="page number"/>
    <w:basedOn w:val="8"/>
    <w:uiPriority w:val="0"/>
  </w:style>
  <w:style w:type="paragraph" w:customStyle="1" w:styleId="10">
    <w:name w:val="Char Char Char Char Char Char Char Char Char Char Char Char"/>
    <w:basedOn w:val="1"/>
    <w:uiPriority w:val="0"/>
    <w:rPr>
      <w:szCs w:val="21"/>
    </w:rPr>
  </w:style>
  <w:style w:type="paragraph" w:customStyle="1" w:styleId="11">
    <w:name w:val=" Char Char1 Char Char Char Char Char Char Char Char"/>
    <w:basedOn w:val="1"/>
    <w:next w:val="1"/>
    <w:qFormat/>
    <w:uiPriority w:val="0"/>
    <w:pPr>
      <w:spacing w:line="240" w:lineRule="atLeast"/>
      <w:ind w:left="420" w:firstLine="420"/>
      <w:jc w:val="left"/>
    </w:pPr>
    <w:rPr>
      <w:rFonts w:eastAsia="宋体"/>
      <w:kern w:val="0"/>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2929</Words>
  <Characters>3226</Characters>
  <Lines>24</Lines>
  <Paragraphs>6</Paragraphs>
  <TotalTime>2</TotalTime>
  <ScaleCrop>false</ScaleCrop>
  <LinksUpToDate>false</LinksUpToDate>
  <CharactersWithSpaces>3252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2020-02-13T01:46:00Z</dcterms:created>
  <dc:creator>赵树子</dc:creator>
  <cp:lastModifiedBy>Administrator</cp:lastModifiedBy>
  <cp:lastPrinted>2020-11-30T03:47:00Z</cp:lastPrinted>
  <dcterms:modified xsi:type="dcterms:W3CDTF">2022-04-13T10:57:42Z</dcterms:modified>
  <dc:title>四川省财政厅2011年部门预算编制说明</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39AB510FC751414D8E93DF4BB25F16E7</vt:lpwstr>
  </property>
</Properties>
</file>