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Times New Roman"/>
          <w:sz w:val="32"/>
          <w:szCs w:val="32"/>
          <w:lang w:eastAsia="zh-CN"/>
        </w:rPr>
      </w:pPr>
    </w:p>
    <w:p>
      <w:pPr>
        <w:spacing w:line="600" w:lineRule="exact"/>
        <w:jc w:val="center"/>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val="en-US" w:eastAsia="zh-CN"/>
        </w:rPr>
        <w:t>攀枝花市交通运输管理处</w:t>
      </w:r>
      <w:r>
        <w:rPr>
          <w:rFonts w:hint="default" w:ascii="Times New Roman" w:hAnsi="Times New Roman" w:eastAsia="方正小标宋简体" w:cs="Times New Roman"/>
          <w:sz w:val="44"/>
          <w:szCs w:val="44"/>
        </w:rPr>
        <w:t>20</w:t>
      </w:r>
      <w:r>
        <w:rPr>
          <w:rFonts w:hint="default" w:ascii="Times New Roman" w:hAnsi="Times New Roman" w:eastAsia="方正小标宋简体" w:cs="Times New Roman"/>
          <w:sz w:val="44"/>
          <w:szCs w:val="44"/>
          <w:lang w:val="en-US" w:eastAsia="zh-CN"/>
        </w:rPr>
        <w:t>2</w:t>
      </w:r>
      <w:r>
        <w:rPr>
          <w:rFonts w:hint="eastAsia"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w:t>
      </w:r>
    </w:p>
    <w:p>
      <w:pPr>
        <w:spacing w:line="600" w:lineRule="exact"/>
        <w:jc w:val="center"/>
        <w:rPr>
          <w:rFonts w:hint="default" w:ascii="Times New Roman" w:hAnsi="Times New Roman" w:eastAsia="方正小标宋简体" w:cs="Times New Roman"/>
          <w:sz w:val="44"/>
          <w:szCs w:val="44"/>
          <w:u w:val="single"/>
        </w:rPr>
      </w:pPr>
      <w:r>
        <w:rPr>
          <w:rFonts w:hint="default" w:ascii="Times New Roman" w:hAnsi="Times New Roman" w:eastAsia="方正小标宋简体" w:cs="Times New Roman"/>
          <w:sz w:val="44"/>
          <w:szCs w:val="44"/>
        </w:rPr>
        <w:t>部门预算编制说明</w:t>
      </w:r>
    </w:p>
    <w:p>
      <w:pPr>
        <w:keepNext w:val="0"/>
        <w:keepLines w:val="0"/>
        <w:widowControl/>
        <w:suppressLineNumbers w:val="0"/>
        <w:shd w:val="clear" w:color="auto" w:fill="auto"/>
        <w:jc w:val="center"/>
        <w:outlineLvl w:val="0"/>
        <w:rPr>
          <w:rFonts w:hint="eastAsia" w:ascii="Times New Roman" w:hAnsi="Times New Roman" w:eastAsia="方正小标宋简体" w:cs="方正小标宋简体"/>
          <w:color w:val="auto"/>
          <w:kern w:val="0"/>
          <w:sz w:val="36"/>
          <w:szCs w:val="36"/>
          <w:highlight w:val="none"/>
          <w:shd w:val="clear" w:color="auto" w:fill="auto"/>
          <w:lang w:val="en-US" w:eastAsia="zh-CN" w:bidi="ar"/>
        </w:rPr>
      </w:pPr>
    </w:p>
    <w:p>
      <w:pPr>
        <w:keepNext w:val="0"/>
        <w:keepLines w:val="0"/>
        <w:widowControl/>
        <w:suppressLineNumbers w:val="0"/>
        <w:shd w:val="clear" w:color="auto" w:fill="auto"/>
        <w:jc w:val="center"/>
        <w:outlineLvl w:val="0"/>
        <w:rPr>
          <w:rStyle w:val="9"/>
          <w:rFonts w:ascii="Times New Roman" w:hAnsi="Times New Roman" w:eastAsia="黑体" w:cs="宋体"/>
          <w:i w:val="0"/>
          <w:caps w:val="0"/>
          <w:color w:val="333333"/>
          <w:spacing w:val="0"/>
          <w:sz w:val="36"/>
          <w:szCs w:val="36"/>
          <w:highlight w:val="none"/>
          <w:shd w:val="clear" w:color="auto" w:fill="auto"/>
        </w:rPr>
      </w:pPr>
      <w:r>
        <w:rPr>
          <w:rFonts w:hint="eastAsia" w:ascii="Times New Roman" w:hAnsi="Times New Roman" w:eastAsia="方正小标宋简体" w:cs="方正小标宋简体"/>
          <w:color w:val="auto"/>
          <w:kern w:val="0"/>
          <w:sz w:val="36"/>
          <w:szCs w:val="36"/>
          <w:highlight w:val="none"/>
          <w:shd w:val="clear" w:color="auto" w:fill="auto"/>
          <w:lang w:val="en-US" w:eastAsia="zh-CN" w:bidi="ar"/>
        </w:rPr>
        <w:t>目录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Style w:val="9"/>
          <w:rFonts w:ascii="Times New Roman" w:hAnsi="Times New Roman" w:eastAsia="黑体" w:cs="宋体"/>
          <w:i w:val="0"/>
          <w:caps w:val="0"/>
          <w:color w:val="333333"/>
          <w:spacing w:val="0"/>
          <w:sz w:val="32"/>
          <w:szCs w:val="21"/>
          <w:highlight w:val="none"/>
          <w:shd w:val="clear" w:color="auto" w:fill="auto"/>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333333"/>
          <w:spacing w:val="0"/>
          <w:sz w:val="32"/>
          <w:szCs w:val="32"/>
          <w:highlight w:val="none"/>
          <w:shd w:val="clear" w:color="auto" w:fill="auto"/>
        </w:rPr>
        <w:t>一、</w:t>
      </w:r>
      <w:r>
        <w:rPr>
          <w:rFonts w:hint="eastAsia" w:ascii="Times New Roman" w:hAnsi="Times New Roman" w:eastAsia="仿宋_GB2312" w:cs="仿宋_GB2312"/>
          <w:i w:val="0"/>
          <w:caps w:val="0"/>
          <w:color w:val="333333"/>
          <w:spacing w:val="0"/>
          <w:sz w:val="32"/>
          <w:szCs w:val="32"/>
          <w:highlight w:val="none"/>
          <w:shd w:val="clear" w:color="auto" w:fill="auto"/>
          <w:lang w:eastAsia="zh-CN"/>
        </w:rPr>
        <w:t>基本职能及主要工作</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（一）职能简介</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（二）20</w:t>
      </w:r>
      <w:r>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t>2</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1</w:t>
      </w:r>
      <w:r>
        <w:rPr>
          <w:rFonts w:hint="default" w:ascii="Times New Roman" w:hAnsi="Times New Roman" w:eastAsia="仿宋_GB2312" w:cs="仿宋_GB2312"/>
          <w:i w:val="0"/>
          <w:caps w:val="0"/>
          <w:color w:val="333333"/>
          <w:spacing w:val="0"/>
          <w:sz w:val="32"/>
          <w:szCs w:val="32"/>
          <w:highlight w:val="none"/>
          <w:shd w:val="clear" w:color="auto" w:fill="auto"/>
        </w:rPr>
        <w:t>年重点工作</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1</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333333"/>
          <w:spacing w:val="0"/>
          <w:sz w:val="32"/>
          <w:szCs w:val="32"/>
          <w:highlight w:val="none"/>
          <w:shd w:val="clear" w:color="auto" w:fill="auto"/>
        </w:rPr>
        <w:t>二、</w:t>
      </w:r>
      <w:r>
        <w:rPr>
          <w:rFonts w:hint="eastAsia" w:ascii="Times New Roman" w:hAnsi="Times New Roman" w:eastAsia="仿宋_GB2312" w:cs="仿宋_GB2312"/>
          <w:i w:val="0"/>
          <w:caps w:val="0"/>
          <w:color w:val="333333"/>
          <w:spacing w:val="0"/>
          <w:sz w:val="32"/>
          <w:szCs w:val="32"/>
          <w:highlight w:val="none"/>
          <w:shd w:val="clear" w:color="auto" w:fill="auto"/>
          <w:lang w:eastAsia="zh-CN"/>
        </w:rPr>
        <w:t>机构设置情况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2</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eastAsia" w:ascii="Times New Roman" w:hAnsi="Times New Roman" w:eastAsia="仿宋_GB2312" w:cs="仿宋_GB2312"/>
          <w:i w:val="0"/>
          <w:caps w:val="0"/>
          <w:color w:val="333333"/>
          <w:spacing w:val="0"/>
          <w:sz w:val="32"/>
          <w:szCs w:val="32"/>
          <w:highlight w:val="none"/>
          <w:shd w:val="clear" w:color="auto" w:fill="auto"/>
        </w:rPr>
        <w:t>三、收支预算情况说明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（一）收入预算情况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（二）支出预算情况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四、财政拨款收支预算情况说明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五、一般公共预算当年拨款情况说明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（一）一般公共预算当年拨款规模变化情况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（二）一般公共预算当年拨款结构情况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（三）一般公共预算当年拨款具体使用情况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六、一般公共预算基本支出情况说明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6</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七、“三公”经费财政拨款预算安排情况说明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6</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八、政府性基金预算支出情况说明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eastAsia" w:ascii="Times New Roman" w:hAnsi="Times New Roman"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九、其他重要事项的情况说明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w:t>
      </w:r>
      <w:r>
        <w:rPr>
          <w:rFonts w:hint="default" w:ascii="Times New Roman" w:hAnsi="Times New Roman" w:eastAsia="仿宋_GB2312" w:cs="仿宋_GB2312"/>
          <w:i w:val="0"/>
          <w:caps w:val="0"/>
          <w:color w:val="333333"/>
          <w:spacing w:val="0"/>
          <w:sz w:val="32"/>
          <w:szCs w:val="32"/>
          <w:highlight w:val="none"/>
          <w:shd w:val="clear" w:color="auto" w:fill="auto"/>
          <w:lang w:eastAsia="zh-CN"/>
        </w:rPr>
        <w:t>机关</w:t>
      </w:r>
      <w:r>
        <w:rPr>
          <w:rFonts w:hint="default" w:ascii="Times New Roman" w:hAnsi="Times New Roman" w:eastAsia="仿宋_GB2312" w:cs="仿宋_GB2312"/>
          <w:i w:val="0"/>
          <w:caps w:val="0"/>
          <w:color w:val="333333"/>
          <w:spacing w:val="0"/>
          <w:sz w:val="32"/>
          <w:szCs w:val="32"/>
          <w:highlight w:val="none"/>
          <w:shd w:val="clear" w:color="auto" w:fill="auto"/>
        </w:rPr>
        <w:t>运行经费</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rPr>
        <w:sectPr>
          <w:footerReference r:id="rId3" w:type="even"/>
          <w:pgSz w:w="11906" w:h="16838"/>
          <w:pgMar w:top="1247" w:right="1542" w:bottom="1247" w:left="2098" w:header="851" w:footer="992" w:gutter="0"/>
          <w:pgNumType w:fmt="decimal" w:start="1"/>
          <w:cols w:space="720" w:num="1"/>
          <w:docGrid w:type="lines" w:linePitch="435" w:charSpace="0"/>
        </w:sect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（二）国有资产占有使用情况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outlineLvl w:val="1"/>
        <w:rPr>
          <w:rFonts w:hint="eastAsia" w:ascii="Times New Roman" w:hAnsi="Times New Roman"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（三）绩效目标设置情况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32" w:firstLineChars="200"/>
        <w:jc w:val="both"/>
        <w:textAlignment w:val="auto"/>
        <w:outlineLvl w:val="1"/>
        <w:rPr>
          <w:rFonts w:hint="default" w:ascii="Times New Roman" w:hAnsi="Times New Roman" w:cs="仿宋_GB2312"/>
          <w:i w:val="0"/>
          <w:caps w:val="0"/>
          <w:color w:val="333333"/>
          <w:spacing w:val="0"/>
          <w:sz w:val="32"/>
          <w:szCs w:val="32"/>
          <w:highlight w:val="none"/>
          <w:shd w:val="clear" w:color="auto" w:fill="auto"/>
          <w:lang w:val="en-US" w:eastAsia="zh-CN"/>
        </w:rPr>
      </w:pPr>
      <w:r>
        <w:rPr>
          <w:rFonts w:hint="default" w:ascii="Times New Roman" w:hAnsi="Times New Roman" w:eastAsia="仿宋_GB2312" w:cs="仿宋_GB2312"/>
          <w:i w:val="0"/>
          <w:caps w:val="0"/>
          <w:color w:val="333333"/>
          <w:spacing w:val="0"/>
          <w:sz w:val="32"/>
          <w:szCs w:val="32"/>
          <w:highlight w:val="none"/>
          <w:shd w:val="clear" w:color="auto" w:fill="auto"/>
        </w:rPr>
        <w:t>（</w:t>
      </w:r>
      <w:r>
        <w:rPr>
          <w:rFonts w:hint="eastAsia" w:ascii="Times New Roman" w:hAnsi="Times New Roman" w:cs="仿宋_GB2312"/>
          <w:i w:val="0"/>
          <w:caps w:val="0"/>
          <w:color w:val="333333"/>
          <w:spacing w:val="0"/>
          <w:sz w:val="32"/>
          <w:szCs w:val="32"/>
          <w:highlight w:val="none"/>
          <w:shd w:val="clear" w:color="auto" w:fill="auto"/>
          <w:lang w:val="en-US" w:eastAsia="zh-CN"/>
        </w:rPr>
        <w:t>四</w:t>
      </w:r>
      <w:r>
        <w:rPr>
          <w:rFonts w:hint="default" w:ascii="Times New Roman" w:hAnsi="Times New Roman" w:eastAsia="仿宋_GB2312" w:cs="仿宋_GB2312"/>
          <w:i w:val="0"/>
          <w:caps w:val="0"/>
          <w:color w:val="333333"/>
          <w:spacing w:val="0"/>
          <w:sz w:val="32"/>
          <w:szCs w:val="32"/>
          <w:highlight w:val="none"/>
          <w:shd w:val="clear" w:color="auto" w:fill="auto"/>
        </w:rPr>
        <w:t>）</w:t>
      </w:r>
      <w:r>
        <w:rPr>
          <w:rFonts w:hint="eastAsia" w:ascii="Times New Roman" w:hAnsi="Times New Roman" w:cs="仿宋_GB2312"/>
          <w:i w:val="0"/>
          <w:caps w:val="0"/>
          <w:color w:val="333333"/>
          <w:spacing w:val="0"/>
          <w:sz w:val="32"/>
          <w:szCs w:val="32"/>
          <w:highlight w:val="none"/>
          <w:shd w:val="clear" w:color="auto" w:fill="auto"/>
          <w:lang w:val="en-US" w:eastAsia="zh-CN"/>
        </w:rPr>
        <w:t>政府采购情况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cs="仿宋_GB2312"/>
          <w:i w:val="0"/>
          <w:caps w:val="0"/>
          <w:color w:val="333333"/>
          <w:spacing w:val="0"/>
          <w:sz w:val="32"/>
          <w:szCs w:val="32"/>
          <w:highlight w:val="none"/>
          <w:shd w:val="clear" w:color="auto" w:fill="auto"/>
          <w:lang w:val="en-US"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keepNext w:val="0"/>
        <w:keepLines w:val="0"/>
        <w:pageBreakBefore w:val="0"/>
        <w:widowControl w:val="0"/>
        <w:kinsoku/>
        <w:wordWrap/>
        <w:overflowPunct/>
        <w:topLinePunct w:val="0"/>
        <w:autoSpaceDE/>
        <w:autoSpaceDN/>
        <w:bidi w:val="0"/>
        <w:adjustRightInd/>
        <w:snapToGrid/>
        <w:spacing w:line="760" w:lineRule="exact"/>
        <w:ind w:firstLine="632" w:firstLineChars="200"/>
        <w:jc w:val="both"/>
        <w:textAlignment w:val="auto"/>
        <w:rPr>
          <w:rFonts w:hint="eastAsia" w:ascii="方正小标宋简体" w:hAnsi="宋体" w:eastAsia="方正小标宋简体"/>
          <w:sz w:val="44"/>
          <w:szCs w:val="44"/>
          <w:lang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十、名词解释</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eastAsia" w:ascii="Times New Roman" w:hAnsi="Times New Roman" w:cs="仿宋_GB2312"/>
          <w:i w:val="0"/>
          <w:caps w:val="0"/>
          <w:color w:val="333333"/>
          <w:spacing w:val="0"/>
          <w:sz w:val="32"/>
          <w:szCs w:val="32"/>
          <w:highlight w:val="none"/>
          <w:shd w:val="clear" w:color="auto" w:fill="auto"/>
          <w:lang w:val="en-US" w:eastAsia="zh-CN"/>
        </w:rPr>
        <w:t>7</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宋体" w:eastAsia="方正小标宋简体"/>
          <w:sz w:val="44"/>
          <w:szCs w:val="44"/>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525" w:beforeAutospacing="0" w:after="375" w:afterAutospacing="0" w:line="560" w:lineRule="exact"/>
        <w:ind w:left="0" w:right="0" w:firstLine="0"/>
        <w:jc w:val="center"/>
        <w:textAlignment w:val="auto"/>
        <w:rPr>
          <w:rFonts w:hint="eastAsia" w:ascii="方正小标宋简体" w:hAnsi="方正小标宋简体" w:eastAsia="方正小标宋简体" w:cs="方正小标宋简体"/>
          <w:b/>
          <w:bCs/>
          <w:i w:val="0"/>
          <w:caps w:val="0"/>
          <w:color w:val="auto"/>
          <w:spacing w:val="0"/>
          <w:sz w:val="44"/>
          <w:szCs w:val="44"/>
          <w:shd w:val="clear" w:fill="FFFFFF"/>
        </w:rPr>
        <w:sectPr>
          <w:footerReference r:id="rId4" w:type="default"/>
          <w:footerReference r:id="rId5" w:type="even"/>
          <w:pgSz w:w="11906" w:h="16838"/>
          <w:pgMar w:top="2098" w:right="1474" w:bottom="1984" w:left="1587" w:header="851" w:footer="1417" w:gutter="0"/>
          <w:pgNumType w:fmt="decimal" w:start="1"/>
          <w:cols w:space="0" w:num="1"/>
          <w:rtlGutter w:val="0"/>
          <w:docGrid w:type="linesAndChars" w:linePitch="579" w:charSpace="-842"/>
        </w:sectPr>
      </w:pP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right="0" w:rightChars="0" w:firstLine="948" w:firstLineChars="300"/>
        <w:jc w:val="left"/>
        <w:textAlignment w:val="auto"/>
        <w:rPr>
          <w:rFonts w:hint="eastAsia" w:ascii="仿宋_GB2312" w:hAnsi="仿宋_GB2312" w:eastAsia="仿宋_GB2312" w:cs="仿宋_GB2312"/>
          <w:b/>
          <w:bCs/>
          <w:i w:val="0"/>
          <w:caps w:val="0"/>
          <w:color w:val="333333"/>
          <w:spacing w:val="0"/>
          <w:sz w:val="32"/>
          <w:szCs w:val="32"/>
          <w:shd w:val="clear" w:fill="FFFFFF"/>
          <w:lang w:val="en-US" w:eastAsia="zh-CN"/>
        </w:rPr>
      </w:pP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right="0" w:rightChars="0" w:firstLine="948" w:firstLineChars="300"/>
        <w:jc w:val="left"/>
        <w:textAlignment w:val="auto"/>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一、</w:t>
      </w:r>
      <w:r>
        <w:rPr>
          <w:rFonts w:hint="eastAsia" w:ascii="仿宋_GB2312" w:hAnsi="仿宋_GB2312" w:eastAsia="仿宋_GB2312" w:cs="仿宋_GB2312"/>
          <w:b/>
          <w:bCs/>
          <w:i w:val="0"/>
          <w:caps w:val="0"/>
          <w:color w:val="333333"/>
          <w:spacing w:val="0"/>
          <w:sz w:val="32"/>
          <w:szCs w:val="32"/>
          <w:shd w:val="clear" w:fill="FFFFFF"/>
        </w:rPr>
        <w:t>基本职能及主要工作</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Chars="0" w:right="0" w:rightChars="0" w:firstLine="632" w:firstLineChars="200"/>
        <w:jc w:val="left"/>
        <w:textAlignment w:val="auto"/>
        <w:rPr>
          <w:rFonts w:hint="eastAsia" w:ascii="仿宋_GB2312" w:hAnsi="仿宋_GB2312" w:eastAsia="仿宋_GB2312" w:cs="仿宋_GB2312"/>
          <w:b w:val="0"/>
          <w:bCs w:val="0"/>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（一）市运管处职能简介。</w:t>
      </w:r>
      <w:r>
        <w:rPr>
          <w:rFonts w:hint="eastAsia" w:ascii="仿宋_GB2312" w:hAnsi="仿宋_GB2312" w:eastAsia="仿宋_GB2312" w:cs="仿宋_GB2312"/>
          <w:b w:val="0"/>
          <w:bCs w:val="0"/>
          <w:i w:val="0"/>
          <w:caps w:val="0"/>
          <w:color w:val="333333"/>
          <w:spacing w:val="0"/>
          <w:sz w:val="32"/>
          <w:szCs w:val="32"/>
          <w:shd w:val="clear" w:fill="FFFFFF"/>
        </w:rPr>
        <w:t>依法承担道路旅客运输、货物运输、站场运营、机动车维修与综合性能检测、机动车驾驶员培训、城市公共交通、出租汽车、汽车租赁备案有关</w:t>
      </w:r>
      <w:r>
        <w:rPr>
          <w:rFonts w:hint="eastAsia" w:ascii="仿宋_GB2312" w:hAnsi="仿宋_GB2312" w:eastAsia="仿宋_GB2312" w:cs="仿宋_GB2312"/>
          <w:b w:val="0"/>
          <w:bCs w:val="0"/>
          <w:i w:val="0"/>
          <w:caps w:val="0"/>
          <w:color w:val="333333"/>
          <w:spacing w:val="0"/>
          <w:sz w:val="32"/>
          <w:szCs w:val="32"/>
          <w:shd w:val="clear" w:fill="FFFFFF"/>
          <w:lang w:val="en-US" w:eastAsia="zh-CN"/>
        </w:rPr>
        <w:t>服务指导和行政辅助</w:t>
      </w:r>
      <w:r>
        <w:rPr>
          <w:rFonts w:hint="eastAsia" w:ascii="仿宋_GB2312" w:hAnsi="仿宋_GB2312" w:eastAsia="仿宋_GB2312" w:cs="仿宋_GB2312"/>
          <w:b w:val="0"/>
          <w:bCs w:val="0"/>
          <w:i w:val="0"/>
          <w:caps w:val="0"/>
          <w:color w:val="333333"/>
          <w:spacing w:val="0"/>
          <w:sz w:val="32"/>
          <w:szCs w:val="32"/>
          <w:shd w:val="clear" w:fill="FFFFFF"/>
        </w:rPr>
        <w:t>职责</w:t>
      </w:r>
      <w:r>
        <w:rPr>
          <w:rFonts w:hint="eastAsia" w:ascii="仿宋_GB2312" w:hAnsi="仿宋_GB2312" w:eastAsia="仿宋_GB2312" w:cs="仿宋_GB2312"/>
          <w:b w:val="0"/>
          <w:bCs w:val="0"/>
          <w:i w:val="0"/>
          <w:caps w:val="0"/>
          <w:color w:val="333333"/>
          <w:spacing w:val="0"/>
          <w:sz w:val="32"/>
          <w:szCs w:val="32"/>
          <w:shd w:val="clear" w:fill="FFFFFF"/>
          <w:lang w:val="en-US" w:eastAsia="zh-CN"/>
        </w:rPr>
        <w:t>,开展道路运输行业统计调查和数据分析工作，促进行业健康发展</w:t>
      </w:r>
      <w:r>
        <w:rPr>
          <w:rFonts w:hint="eastAsia" w:ascii="仿宋_GB2312" w:hAnsi="仿宋_GB2312" w:eastAsia="仿宋_GB2312" w:cs="仿宋_GB2312"/>
          <w:b w:val="0"/>
          <w:bCs w:val="0"/>
          <w:i w:val="0"/>
          <w:caps w:val="0"/>
          <w:color w:val="333333"/>
          <w:spacing w:val="0"/>
          <w:sz w:val="32"/>
          <w:szCs w:val="32"/>
          <w:shd w:val="clear" w:fill="FFFFFF"/>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640"/>
        <w:jc w:val="left"/>
        <w:textAlignment w:val="auto"/>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rPr>
        <w:t>（二）市运管处20</w:t>
      </w:r>
      <w:r>
        <w:rPr>
          <w:rFonts w:hint="eastAsia" w:ascii="仿宋_GB2312" w:hAnsi="仿宋_GB2312" w:eastAsia="仿宋_GB2312" w:cs="仿宋_GB2312"/>
          <w:b/>
          <w:bCs/>
          <w:i w:val="0"/>
          <w:caps w:val="0"/>
          <w:color w:val="333333"/>
          <w:spacing w:val="0"/>
          <w:sz w:val="32"/>
          <w:szCs w:val="32"/>
          <w:shd w:val="clear" w:fill="FFFFFF"/>
          <w:lang w:val="en-US" w:eastAsia="zh-CN"/>
        </w:rPr>
        <w:t>21</w:t>
      </w:r>
      <w:r>
        <w:rPr>
          <w:rFonts w:hint="eastAsia" w:ascii="仿宋_GB2312" w:hAnsi="仿宋_GB2312" w:eastAsia="仿宋_GB2312" w:cs="仿宋_GB2312"/>
          <w:b/>
          <w:bCs/>
          <w:i w:val="0"/>
          <w:caps w:val="0"/>
          <w:color w:val="333333"/>
          <w:spacing w:val="0"/>
          <w:sz w:val="32"/>
          <w:szCs w:val="32"/>
          <w:shd w:val="clear" w:fill="FFFFFF"/>
        </w:rPr>
        <w:t>年重点工作。</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bCs/>
          <w:snapToGrid w:val="0"/>
          <w:kern w:val="0"/>
          <w:sz w:val="32"/>
          <w:szCs w:val="32"/>
        </w:rPr>
        <w:t>一是</w:t>
      </w:r>
      <w:r>
        <w:rPr>
          <w:rFonts w:hint="eastAsia" w:ascii="仿宋_GB2312" w:hAnsi="仿宋_GB2312" w:eastAsia="仿宋_GB2312" w:cs="仿宋_GB2312"/>
          <w:b w:val="0"/>
          <w:bCs w:val="0"/>
          <w:snapToGrid w:val="0"/>
          <w:kern w:val="0"/>
          <w:sz w:val="32"/>
          <w:szCs w:val="32"/>
        </w:rPr>
        <w:t>持续客运转型升级。进一步鼓励和规范定制客运服务，培育试点企业及客运线路，逐步推广运营模式、管理实践等经验；认真落实《攀枝花市乡村客运“金通工程”创建方案》，巩固建制村通客车成果，全面实现“四统一”并开展考核，助力康养产业“5115”工程建设；大力宣贯新《客规》，持续做好客运行业新冠肺炎疫情防控工作。</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bCs/>
          <w:snapToGrid w:val="0"/>
          <w:kern w:val="0"/>
          <w:sz w:val="32"/>
          <w:szCs w:val="32"/>
        </w:rPr>
        <w:t>二是</w:t>
      </w:r>
      <w:r>
        <w:rPr>
          <w:rFonts w:hint="eastAsia" w:ascii="仿宋_GB2312" w:hAnsi="仿宋_GB2312" w:eastAsia="仿宋_GB2312" w:cs="仿宋_GB2312"/>
          <w:b w:val="0"/>
          <w:bCs w:val="0"/>
          <w:snapToGrid w:val="0"/>
          <w:kern w:val="0"/>
          <w:sz w:val="32"/>
          <w:szCs w:val="32"/>
        </w:rPr>
        <w:t>提优城市客运服务。</w:t>
      </w:r>
      <w:r>
        <w:rPr>
          <w:rFonts w:hint="eastAsia" w:ascii="仿宋_GB2312" w:hAnsi="仿宋_GB2312" w:eastAsia="仿宋_GB2312" w:cs="仿宋_GB2312"/>
          <w:b w:val="0"/>
          <w:bCs w:val="0"/>
          <w:sz w:val="32"/>
        </w:rPr>
        <w:t>充分利用大数据，优化调整公交线路和班次；</w:t>
      </w:r>
      <w:r>
        <w:rPr>
          <w:rFonts w:hint="eastAsia" w:ascii="仿宋_GB2312" w:hAnsi="仿宋_GB2312" w:eastAsia="仿宋_GB2312" w:cs="仿宋_GB2312"/>
          <w:b w:val="0"/>
          <w:bCs w:val="0"/>
          <w:sz w:val="32"/>
          <w:szCs w:val="32"/>
        </w:rPr>
        <w:t>加快公交服务特色化发展</w:t>
      </w:r>
      <w:r>
        <w:rPr>
          <w:rFonts w:hint="eastAsia" w:ascii="仿宋_GB2312" w:hAnsi="仿宋_GB2312" w:eastAsia="仿宋_GB2312" w:cs="仿宋_GB2312"/>
          <w:b w:val="0"/>
          <w:bCs w:val="0"/>
          <w:sz w:val="32"/>
        </w:rPr>
        <w:t>，加大新能源公交车投放力度</w:t>
      </w:r>
      <w:r>
        <w:rPr>
          <w:rFonts w:hint="eastAsia" w:ascii="仿宋_GB2312" w:hAnsi="仿宋_GB2312" w:eastAsia="仿宋_GB2312" w:cs="仿宋_GB2312"/>
          <w:b w:val="0"/>
          <w:bCs w:val="0"/>
          <w:sz w:val="32"/>
          <w:szCs w:val="32"/>
        </w:rPr>
        <w:t>，大力发展定制公交</w:t>
      </w:r>
      <w:r>
        <w:rPr>
          <w:rFonts w:hint="eastAsia" w:ascii="仿宋_GB2312" w:hAnsi="仿宋_GB2312" w:eastAsia="仿宋_GB2312" w:cs="仿宋_GB2312"/>
          <w:b w:val="0"/>
          <w:bCs w:val="0"/>
          <w:kern w:val="0"/>
          <w:sz w:val="32"/>
          <w:szCs w:val="32"/>
        </w:rPr>
        <w:t>，满足城区居民多元化出行。</w:t>
      </w:r>
      <w:r>
        <w:rPr>
          <w:rFonts w:hint="eastAsia" w:ascii="仿宋_GB2312" w:hAnsi="仿宋_GB2312" w:eastAsia="仿宋_GB2312" w:cs="仿宋_GB2312"/>
          <w:b w:val="0"/>
          <w:bCs w:val="0"/>
          <w:snapToGrid w:val="0"/>
          <w:kern w:val="0"/>
          <w:sz w:val="32"/>
          <w:szCs w:val="32"/>
        </w:rPr>
        <w:t>指导出租汽车公司强化教育培训，规范经营管理，深化出租汽车服务质量提升行动；深入市场调研，适应改革趋势，开展维稳评估，提前做好2022年市区出租汽车运力更新方案；推进网约车合规化进程，严格把好平台公司、网约车车辆和驾驶员资质准入关。</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bCs/>
          <w:snapToGrid w:val="0"/>
          <w:kern w:val="0"/>
          <w:sz w:val="32"/>
          <w:szCs w:val="32"/>
        </w:rPr>
        <w:t>三是</w:t>
      </w:r>
      <w:r>
        <w:rPr>
          <w:rFonts w:hint="eastAsia" w:ascii="仿宋_GB2312" w:hAnsi="仿宋_GB2312" w:eastAsia="仿宋_GB2312" w:cs="仿宋_GB2312"/>
          <w:b w:val="0"/>
          <w:bCs w:val="0"/>
          <w:snapToGrid w:val="0"/>
          <w:kern w:val="0"/>
          <w:sz w:val="32"/>
          <w:szCs w:val="32"/>
        </w:rPr>
        <w:t>加快农村物流建设。完善农村物流节点、培育市场经营主体，深度融合推动农村物流高质量发展，深化交邮融合共建，不断拓展乡镇汽车客运站服务功能，推进集中配送和共同配送，构建电商、快递、农村物资需要的农村物流配送体系。</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bCs/>
          <w:snapToGrid w:val="0"/>
          <w:kern w:val="0"/>
          <w:sz w:val="32"/>
          <w:szCs w:val="32"/>
        </w:rPr>
        <w:t>四是</w:t>
      </w:r>
      <w:r>
        <w:rPr>
          <w:rFonts w:hint="eastAsia" w:ascii="仿宋_GB2312" w:hAnsi="仿宋_GB2312" w:eastAsia="仿宋_GB2312" w:cs="仿宋_GB2312"/>
          <w:b w:val="0"/>
          <w:bCs w:val="0"/>
          <w:snapToGrid w:val="0"/>
          <w:kern w:val="0"/>
          <w:sz w:val="32"/>
          <w:szCs w:val="32"/>
        </w:rPr>
        <w:t>巩固驾培整治成果。建立驾培市场长效管理和发展机制，坚决对面积不达标、场地混用、设置不规范、管理不到位、投资盲目的违规驾校予以整治，引导驾校良性投资、融合发展，促进行业健康稳定。</w:t>
      </w:r>
    </w:p>
    <w:p>
      <w:pPr>
        <w:keepNext w:val="0"/>
        <w:keepLines w:val="0"/>
        <w:pageBreakBefore w:val="0"/>
        <w:kinsoku/>
        <w:wordWrap/>
        <w:overflowPunct/>
        <w:topLinePunct w:val="0"/>
        <w:autoSpaceDE/>
        <w:autoSpaceDN/>
        <w:bidi w:val="0"/>
        <w:adjustRightInd/>
        <w:snapToGrid/>
        <w:spacing w:line="560" w:lineRule="exact"/>
        <w:ind w:firstLine="620" w:firstLineChars="196"/>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bCs/>
          <w:snapToGrid w:val="0"/>
          <w:kern w:val="0"/>
          <w:sz w:val="32"/>
          <w:szCs w:val="32"/>
        </w:rPr>
        <w:t>五是</w:t>
      </w:r>
      <w:r>
        <w:rPr>
          <w:rFonts w:hint="eastAsia" w:ascii="仿宋_GB2312" w:hAnsi="仿宋_GB2312" w:eastAsia="仿宋_GB2312" w:cs="仿宋_GB2312"/>
          <w:b w:val="0"/>
          <w:bCs w:val="0"/>
          <w:snapToGrid w:val="0"/>
          <w:kern w:val="0"/>
          <w:sz w:val="32"/>
          <w:szCs w:val="32"/>
        </w:rPr>
        <w:t>加强维修指导服务。继续指导维修企业加强污染防治和备案工作，加快推进M站建设和联网工作；加大维修信息化平台的推广应用，强化车辆二级维护信息化平台监控，严格把好客运车辆技术等级评定和等级复核关。</w:t>
      </w:r>
    </w:p>
    <w:p>
      <w:pPr>
        <w:pStyle w:val="3"/>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napToGrid w:val="0"/>
          <w:kern w:val="0"/>
          <w:szCs w:val="32"/>
        </w:rPr>
      </w:pPr>
      <w:r>
        <w:rPr>
          <w:rFonts w:hint="eastAsia" w:ascii="仿宋_GB2312" w:hAnsi="仿宋_GB2312" w:eastAsia="仿宋_GB2312" w:cs="仿宋_GB2312"/>
          <w:b/>
          <w:bCs/>
          <w:snapToGrid w:val="0"/>
          <w:kern w:val="0"/>
          <w:szCs w:val="32"/>
        </w:rPr>
        <w:t>六是</w:t>
      </w:r>
      <w:r>
        <w:rPr>
          <w:rFonts w:hint="eastAsia" w:ascii="仿宋_GB2312" w:hAnsi="仿宋_GB2312" w:eastAsia="仿宋_GB2312" w:cs="仿宋_GB2312"/>
          <w:b w:val="0"/>
          <w:bCs w:val="0"/>
          <w:snapToGrid w:val="0"/>
          <w:kern w:val="0"/>
          <w:szCs w:val="32"/>
        </w:rPr>
        <w:t>强化安全教育培训。指导企业建立并落实安全责任清单，加强行业安全生产教育培训工作，组织有针对性的专题培训，解决企业在安全生产工作中遇到的困难问题。配合有关部门扎实积极做好重点时段、重点领域的安全隐患排查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二、</w:t>
      </w:r>
      <w:r>
        <w:rPr>
          <w:rFonts w:hint="eastAsia" w:ascii="仿宋_GB2312" w:hAnsi="仿宋_GB2312" w:cs="仿宋_GB2312"/>
          <w:b/>
          <w:bCs/>
          <w:i w:val="0"/>
          <w:caps w:val="0"/>
          <w:color w:val="333333"/>
          <w:spacing w:val="0"/>
          <w:sz w:val="32"/>
          <w:szCs w:val="32"/>
          <w:shd w:val="clear" w:fill="FFFFFF"/>
          <w:lang w:val="en-US" w:eastAsia="zh-CN"/>
        </w:rPr>
        <w:t>机构设置</w:t>
      </w:r>
      <w:r>
        <w:rPr>
          <w:rFonts w:hint="eastAsia" w:ascii="仿宋_GB2312" w:hAnsi="仿宋_GB2312" w:eastAsia="仿宋_GB2312" w:cs="仿宋_GB2312"/>
          <w:b/>
          <w:bCs/>
          <w:i w:val="0"/>
          <w:caps w:val="0"/>
          <w:color w:val="333333"/>
          <w:spacing w:val="0"/>
          <w:sz w:val="32"/>
          <w:szCs w:val="32"/>
          <w:shd w:val="clear" w:fill="FFFFFF"/>
        </w:rPr>
        <w:t>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市运管处为市交通运输局下属二级预算单位，属</w:t>
      </w:r>
      <w:r>
        <w:rPr>
          <w:rFonts w:hint="eastAsia" w:ascii="仿宋_GB2312" w:hAnsi="仿宋_GB2312" w:eastAsia="仿宋_GB2312" w:cs="仿宋_GB2312"/>
          <w:i w:val="0"/>
          <w:caps w:val="0"/>
          <w:color w:val="333333"/>
          <w:spacing w:val="0"/>
          <w:sz w:val="32"/>
          <w:szCs w:val="32"/>
          <w:shd w:val="clear" w:fill="FFFFFF"/>
          <w:lang w:val="en-US" w:eastAsia="zh-CN"/>
        </w:rPr>
        <w:t>公益一类事业单位，目前编制还按照</w:t>
      </w:r>
      <w:r>
        <w:rPr>
          <w:rFonts w:hint="eastAsia" w:ascii="仿宋_GB2312" w:hAnsi="仿宋_GB2312" w:eastAsia="仿宋_GB2312" w:cs="仿宋_GB2312"/>
          <w:i w:val="0"/>
          <w:caps w:val="0"/>
          <w:color w:val="333333"/>
          <w:spacing w:val="0"/>
          <w:sz w:val="32"/>
          <w:szCs w:val="32"/>
          <w:shd w:val="clear" w:fill="FFFFFF"/>
        </w:rPr>
        <w:t>参照公务员法管理，由八科一室构成。在职人员</w:t>
      </w:r>
      <w:r>
        <w:rPr>
          <w:rFonts w:hint="eastAsia" w:ascii="仿宋_GB2312" w:hAnsi="仿宋_GB2312" w:eastAsia="仿宋_GB2312" w:cs="仿宋_GB2312"/>
          <w:i w:val="0"/>
          <w:caps w:val="0"/>
          <w:color w:val="333333"/>
          <w:spacing w:val="0"/>
          <w:sz w:val="32"/>
          <w:szCs w:val="32"/>
          <w:shd w:val="clear" w:fill="FFFFFF"/>
          <w:lang w:val="en-US" w:eastAsia="zh-CN"/>
        </w:rPr>
        <w:t>19</w:t>
      </w:r>
      <w:r>
        <w:rPr>
          <w:rFonts w:hint="eastAsia" w:ascii="仿宋_GB2312" w:hAnsi="仿宋_GB2312" w:eastAsia="仿宋_GB2312" w:cs="仿宋_GB2312"/>
          <w:i w:val="0"/>
          <w:caps w:val="0"/>
          <w:color w:val="333333"/>
          <w:spacing w:val="0"/>
          <w:sz w:val="32"/>
          <w:szCs w:val="32"/>
          <w:shd w:val="clear" w:fill="FFFFFF"/>
        </w:rPr>
        <w:t>人</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退休人员2</w:t>
      </w:r>
      <w:r>
        <w:rPr>
          <w:rFonts w:hint="eastAsia" w:ascii="仿宋_GB2312" w:hAnsi="仿宋_GB2312" w:eastAsia="仿宋_GB2312" w:cs="仿宋_GB2312"/>
          <w:i w:val="0"/>
          <w:caps w:val="0"/>
          <w:color w:val="333333"/>
          <w:spacing w:val="0"/>
          <w:sz w:val="32"/>
          <w:szCs w:val="32"/>
          <w:shd w:val="clear" w:fill="FFFFFF"/>
          <w:lang w:val="en-US" w:eastAsia="zh-CN"/>
        </w:rPr>
        <w:t>7</w:t>
      </w:r>
      <w:r>
        <w:rPr>
          <w:rFonts w:hint="eastAsia" w:ascii="仿宋_GB2312" w:hAnsi="仿宋_GB2312" w:eastAsia="仿宋_GB2312" w:cs="仿宋_GB2312"/>
          <w:i w:val="0"/>
          <w:caps w:val="0"/>
          <w:color w:val="333333"/>
          <w:spacing w:val="0"/>
          <w:sz w:val="32"/>
          <w:szCs w:val="32"/>
          <w:shd w:val="clear" w:fill="FFFFFF"/>
        </w:rPr>
        <w:t>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三、收支预算情况说明</w:t>
      </w:r>
    </w:p>
    <w:p>
      <w:pPr>
        <w:spacing w:line="600" w:lineRule="exact"/>
        <w:ind w:firstLine="632" w:firstLineChars="200"/>
        <w:rPr>
          <w:rFonts w:hint="eastAsia" w:ascii="仿宋_GB2312" w:hAnsi="仿宋_GB2312" w:eastAsia="仿宋_GB2312" w:cs="仿宋_GB2312"/>
          <w:i w:val="0"/>
          <w:caps w:val="0"/>
          <w:color w:val="333333"/>
          <w:spacing w:val="0"/>
          <w:sz w:val="32"/>
          <w:szCs w:val="32"/>
          <w:shd w:val="clear" w:fill="FFFFFF"/>
        </w:rPr>
      </w:pPr>
      <w:r>
        <w:rPr>
          <w:rFonts w:hint="default" w:ascii="Times New Roman" w:hAnsi="Times New Roman" w:cs="Times New Roman"/>
        </w:rPr>
        <w:t>按照综合预算的原则，</w:t>
      </w:r>
      <w:r>
        <w:rPr>
          <w:rFonts w:hint="eastAsia" w:ascii="Times New Roman" w:hAnsi="Times New Roman" w:cs="Times New Roman"/>
        </w:rPr>
        <w:t>市运管处</w:t>
      </w:r>
      <w:r>
        <w:rPr>
          <w:rFonts w:hint="default" w:ascii="Times New Roman" w:hAnsi="Times New Roman" w:cs="Times New Roman"/>
        </w:rPr>
        <w:t>所有收入和支出均纳入部门预算管理。收入包括：一般公共预算拨款收入</w:t>
      </w:r>
      <w:r>
        <w:rPr>
          <w:rFonts w:hint="eastAsia" w:ascii="Times New Roman" w:hAnsi="Times New Roman" w:cs="Times New Roman"/>
          <w:lang w:val="en-US" w:eastAsia="zh-CN"/>
        </w:rPr>
        <w:t>465.53万元</w:t>
      </w:r>
      <w:r>
        <w:rPr>
          <w:rFonts w:hint="default" w:ascii="Times New Roman" w:hAnsi="Times New Roman" w:cs="Times New Roman"/>
        </w:rPr>
        <w:t>；</w:t>
      </w:r>
      <w:r>
        <w:rPr>
          <w:rFonts w:hint="eastAsia" w:ascii="Times New Roman" w:hAnsi="Times New Roman" w:cs="Times New Roman"/>
        </w:rPr>
        <w:t>支出包括：社会保障和就业支出</w:t>
      </w:r>
      <w:r>
        <w:rPr>
          <w:rFonts w:hint="eastAsia" w:ascii="Times New Roman" w:hAnsi="Times New Roman" w:cs="Times New Roman"/>
          <w:lang w:val="en-US" w:eastAsia="zh-CN"/>
        </w:rPr>
        <w:t>78.71</w:t>
      </w:r>
      <w:r>
        <w:rPr>
          <w:rFonts w:hint="eastAsia" w:ascii="Times New Roman" w:hAnsi="Times New Roman" w:cs="Times New Roman"/>
        </w:rPr>
        <w:t>万元，交通运输支出</w:t>
      </w:r>
      <w:r>
        <w:rPr>
          <w:rFonts w:hint="eastAsia" w:ascii="Times New Roman" w:hAnsi="Times New Roman" w:cs="Times New Roman"/>
          <w:lang w:val="en-US" w:eastAsia="zh-CN"/>
        </w:rPr>
        <w:t>358.3</w:t>
      </w:r>
      <w:r>
        <w:rPr>
          <w:rFonts w:hint="eastAsia" w:ascii="Times New Roman" w:hAnsi="Times New Roman" w:cs="Times New Roman"/>
        </w:rPr>
        <w:t>万元，住房保障支出</w:t>
      </w:r>
      <w:r>
        <w:rPr>
          <w:rFonts w:hint="eastAsia" w:ascii="Times New Roman" w:hAnsi="Times New Roman" w:cs="Times New Roman"/>
          <w:lang w:val="en-US" w:eastAsia="zh-CN"/>
        </w:rPr>
        <w:t>28.52</w:t>
      </w:r>
      <w:r>
        <w:rPr>
          <w:rFonts w:hint="eastAsia" w:ascii="Times New Roman" w:hAnsi="Times New Roman" w:cs="Times New Roman"/>
        </w:rPr>
        <w:t>万元。市运管处</w:t>
      </w:r>
      <w:r>
        <w:rPr>
          <w:rFonts w:hint="default" w:ascii="Times New Roman" w:hAnsi="Times New Roman" w:cs="Times New Roman"/>
          <w:lang w:eastAsia="zh-CN"/>
        </w:rPr>
        <w:t>202</w:t>
      </w:r>
      <w:r>
        <w:rPr>
          <w:rFonts w:hint="eastAsia" w:ascii="Times New Roman" w:hAnsi="Times New Roman" w:cs="Times New Roman"/>
          <w:lang w:val="en-US" w:eastAsia="zh-CN"/>
        </w:rPr>
        <w:t>1</w:t>
      </w:r>
      <w:r>
        <w:rPr>
          <w:rFonts w:hint="default" w:ascii="Times New Roman" w:hAnsi="Times New Roman" w:cs="Times New Roman"/>
        </w:rPr>
        <w:t>年收支总预算</w:t>
      </w:r>
      <w:r>
        <w:rPr>
          <w:rFonts w:hint="eastAsia" w:ascii="Times New Roman" w:hAnsi="Times New Roman" w:cs="Times New Roman"/>
          <w:lang w:val="en-US" w:eastAsia="zh-CN"/>
        </w:rPr>
        <w:t>465.53</w:t>
      </w:r>
      <w:r>
        <w:rPr>
          <w:rFonts w:hint="default" w:ascii="Times New Roman" w:hAnsi="Times New Roman" w:cs="Times New Roman"/>
        </w:rPr>
        <w:t>万元。比</w:t>
      </w:r>
      <w:r>
        <w:rPr>
          <w:rFonts w:hint="default" w:ascii="Times New Roman" w:hAnsi="Times New Roman" w:cs="Times New Roman"/>
          <w:lang w:eastAsia="zh-CN"/>
        </w:rPr>
        <w:t>20</w:t>
      </w:r>
      <w:r>
        <w:rPr>
          <w:rFonts w:hint="default" w:ascii="Times New Roman" w:hAnsi="Times New Roman" w:cs="Times New Roman"/>
          <w:lang w:val="en-US" w:eastAsia="zh-CN"/>
        </w:rPr>
        <w:t>2</w:t>
      </w:r>
      <w:r>
        <w:rPr>
          <w:rFonts w:hint="eastAsia" w:ascii="Times New Roman" w:hAnsi="Times New Roman" w:cs="Times New Roman"/>
          <w:lang w:val="en-US" w:eastAsia="zh-CN"/>
        </w:rPr>
        <w:t>0</w:t>
      </w:r>
      <w:r>
        <w:rPr>
          <w:rFonts w:hint="default" w:ascii="Times New Roman" w:hAnsi="Times New Roman" w:cs="Times New Roman"/>
        </w:rPr>
        <w:t>年预算数减少</w:t>
      </w:r>
      <w:r>
        <w:rPr>
          <w:rFonts w:hint="eastAsia" w:ascii="Times New Roman" w:hAnsi="Times New Roman" w:cs="Times New Roman"/>
          <w:lang w:val="en-US" w:eastAsia="zh-CN"/>
        </w:rPr>
        <w:t>465.86</w:t>
      </w:r>
      <w:r>
        <w:rPr>
          <w:rFonts w:hint="default" w:ascii="Times New Roman" w:hAnsi="Times New Roman" w:cs="Times New Roman"/>
        </w:rPr>
        <w:t>万元，</w:t>
      </w:r>
      <w:r>
        <w:rPr>
          <w:rFonts w:hint="eastAsia" w:ascii="Times New Roman" w:hAnsi="Times New Roman" w:cs="Times New Roman"/>
        </w:rPr>
        <w:t>主要是</w:t>
      </w:r>
      <w:r>
        <w:rPr>
          <w:rFonts w:hint="eastAsia" w:ascii="Times New Roman" w:hAnsi="Times New Roman" w:cs="Times New Roman"/>
          <w:lang w:val="en-US" w:eastAsia="zh-CN"/>
        </w:rPr>
        <w:t>机构改革在职</w:t>
      </w:r>
      <w:r>
        <w:rPr>
          <w:rFonts w:hint="eastAsia" w:ascii="Times New Roman" w:hAnsi="Times New Roman" w:cs="Times New Roman"/>
        </w:rPr>
        <w:t>人员数量减少</w:t>
      </w:r>
      <w:r>
        <w:rPr>
          <w:rFonts w:hint="eastAsia" w:ascii="Times New Roman" w:hAnsi="Times New Roman" w:cs="Times New Roman"/>
          <w:lang w:eastAsia="zh-CN"/>
        </w:rPr>
        <w:t>、</w:t>
      </w:r>
      <w:r>
        <w:rPr>
          <w:rFonts w:hint="eastAsia" w:ascii="Times New Roman" w:hAnsi="Times New Roman" w:cs="Times New Roman"/>
          <w:lang w:val="en-US" w:eastAsia="zh-CN"/>
        </w:rPr>
        <w:t>部分专项压缩、部分项目改变支出方式</w:t>
      </w:r>
      <w:r>
        <w:rPr>
          <w:rFonts w:hint="eastAsia" w:ascii="Times New Roman" w:hAnsi="Times New Roman" w:cs="Times New Roman"/>
        </w:rPr>
        <w:t>导致。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（一）收入预算情况</w:t>
      </w:r>
    </w:p>
    <w:p>
      <w:pPr>
        <w:spacing w:line="600" w:lineRule="exact"/>
        <w:ind w:firstLine="632" w:firstLineChars="200"/>
        <w:rPr>
          <w:rFonts w:hint="eastAsia" w:ascii="仿宋_GB2312" w:hAnsi="仿宋_GB2312" w:eastAsia="仿宋_GB2312" w:cs="仿宋_GB2312"/>
          <w:i w:val="0"/>
          <w:caps w:val="0"/>
          <w:color w:val="333333"/>
          <w:spacing w:val="0"/>
          <w:sz w:val="32"/>
          <w:szCs w:val="32"/>
          <w:shd w:val="clear" w:fill="FFFFFF"/>
          <w:lang w:eastAsia="zh-CN"/>
        </w:rPr>
      </w:pPr>
      <w:r>
        <w:rPr>
          <w:rFonts w:hint="eastAsia" w:ascii="Times New Roman" w:hAnsi="Times New Roman" w:cs="Times New Roman"/>
        </w:rPr>
        <w:t>市运管处</w:t>
      </w:r>
      <w:r>
        <w:rPr>
          <w:rFonts w:hint="eastAsia" w:ascii="Times New Roman" w:hAnsi="Times New Roman" w:cs="Times New Roman"/>
          <w:lang w:eastAsia="zh-CN"/>
        </w:rPr>
        <w:t>202</w:t>
      </w:r>
      <w:r>
        <w:rPr>
          <w:rFonts w:hint="eastAsia" w:ascii="Times New Roman" w:hAnsi="Times New Roman" w:cs="Times New Roman"/>
          <w:lang w:val="en-US" w:eastAsia="zh-CN"/>
        </w:rPr>
        <w:t>1</w:t>
      </w:r>
      <w:r>
        <w:rPr>
          <w:rFonts w:hint="eastAsia" w:ascii="Times New Roman" w:hAnsi="Times New Roman" w:cs="Times New Roman"/>
        </w:rPr>
        <w:t>年</w:t>
      </w:r>
      <w:r>
        <w:rPr>
          <w:rFonts w:hint="eastAsia" w:ascii="Times New Roman" w:hAnsi="Times New Roman" w:cs="Times New Roman"/>
          <w:lang w:val="en-US" w:eastAsia="zh-CN"/>
        </w:rPr>
        <w:t>本年</w:t>
      </w:r>
      <w:r>
        <w:rPr>
          <w:rFonts w:hint="eastAsia" w:ascii="Times New Roman" w:hAnsi="Times New Roman" w:cs="Times New Roman"/>
        </w:rPr>
        <w:t>收入预算</w:t>
      </w:r>
      <w:r>
        <w:rPr>
          <w:rFonts w:hint="eastAsia" w:ascii="Times New Roman" w:hAnsi="Times New Roman" w:cs="Times New Roman"/>
          <w:lang w:val="en-US" w:eastAsia="zh-CN"/>
        </w:rPr>
        <w:t>465.53</w:t>
      </w:r>
      <w:r>
        <w:rPr>
          <w:rFonts w:hint="eastAsia" w:ascii="Times New Roman" w:hAnsi="Times New Roman" w:cs="Times New Roman"/>
        </w:rPr>
        <w:t>万元，其中：</w:t>
      </w:r>
      <w:r>
        <w:rPr>
          <w:rFonts w:hint="default" w:ascii="Times New Roman" w:hAnsi="Times New Roman" w:cs="Times New Roman"/>
        </w:rPr>
        <w:t>上年结转</w:t>
      </w:r>
      <w:r>
        <w:rPr>
          <w:rFonts w:hint="eastAsia" w:ascii="Times New Roman" w:hAnsi="Times New Roman" w:cs="Times New Roman"/>
          <w:lang w:val="en-US" w:eastAsia="zh-CN"/>
        </w:rPr>
        <w:t>0</w:t>
      </w:r>
      <w:r>
        <w:rPr>
          <w:rFonts w:hint="default" w:ascii="Times New Roman" w:hAnsi="Times New Roman" w:cs="Times New Roman"/>
        </w:rPr>
        <w:t>万元，占</w:t>
      </w:r>
      <w:r>
        <w:rPr>
          <w:rFonts w:hint="eastAsia" w:ascii="Times New Roman" w:hAnsi="Times New Roman" w:cs="Times New Roman"/>
          <w:lang w:val="en-US" w:eastAsia="zh-CN"/>
        </w:rPr>
        <w:t>0</w:t>
      </w:r>
      <w:r>
        <w:rPr>
          <w:rFonts w:hint="default" w:ascii="Times New Roman" w:hAnsi="Times New Roman" w:cs="Times New Roman"/>
        </w:rPr>
        <w:t>%；</w:t>
      </w:r>
      <w:r>
        <w:rPr>
          <w:rFonts w:hint="eastAsia" w:ascii="Times New Roman" w:hAnsi="Times New Roman" w:cs="Times New Roman"/>
          <w:lang w:val="en-US" w:eastAsia="zh-CN"/>
        </w:rPr>
        <w:t>本年</w:t>
      </w:r>
      <w:r>
        <w:rPr>
          <w:rFonts w:hint="eastAsia" w:ascii="Times New Roman" w:hAnsi="Times New Roman" w:cs="Times New Roman"/>
        </w:rPr>
        <w:t>一般公共预算拨款收入</w:t>
      </w:r>
      <w:r>
        <w:rPr>
          <w:rFonts w:hint="eastAsia" w:ascii="Times New Roman" w:hAnsi="Times New Roman" w:cs="Times New Roman"/>
          <w:lang w:val="en-US" w:eastAsia="zh-CN"/>
        </w:rPr>
        <w:t>465.53</w:t>
      </w:r>
      <w:r>
        <w:rPr>
          <w:rFonts w:hint="eastAsia" w:ascii="Times New Roman" w:hAnsi="Times New Roman" w:cs="Times New Roman"/>
        </w:rPr>
        <w:t>万元，占</w:t>
      </w:r>
      <w:r>
        <w:rPr>
          <w:rFonts w:hint="eastAsia" w:ascii="Times New Roman" w:hAnsi="Times New Roman" w:cs="Times New Roman"/>
          <w:lang w:val="en-US" w:eastAsia="zh-CN"/>
        </w:rPr>
        <w:t>100</w:t>
      </w:r>
      <w:r>
        <w:rPr>
          <w:rFonts w:hint="eastAsia" w:ascii="Times New Roman" w:hAnsi="Times New Roman" w:cs="Times New Roman"/>
        </w:rPr>
        <w:t>%</w:t>
      </w:r>
      <w:r>
        <w:rPr>
          <w:rFonts w:hint="eastAsia" w:ascii="Times New Roman" w:hAnsi="Times New Roman" w:cs="Times New Roman"/>
          <w:lang w:eastAsia="zh-CN"/>
        </w:rPr>
        <w:t>。</w:t>
      </w:r>
      <w:r>
        <w:rPr>
          <w:rFonts w:hint="default" w:ascii="Times New Roman" w:hAnsi="Times New Roman" w:cs="Times New Roman"/>
        </w:rPr>
        <w:t>政府性基金预算拨款收入</w:t>
      </w:r>
      <w:r>
        <w:rPr>
          <w:rFonts w:hint="eastAsia" w:ascii="Times New Roman" w:hAnsi="Times New Roman" w:cs="Times New Roman"/>
          <w:lang w:val="en-US" w:eastAsia="zh-CN"/>
        </w:rPr>
        <w:t>0</w:t>
      </w:r>
      <w:r>
        <w:rPr>
          <w:rFonts w:hint="default" w:ascii="Times New Roman" w:hAnsi="Times New Roman" w:cs="Times New Roman"/>
        </w:rPr>
        <w:t>万元，占</w:t>
      </w:r>
      <w:r>
        <w:rPr>
          <w:rFonts w:hint="eastAsia" w:ascii="Times New Roman" w:hAnsi="Times New Roman" w:cs="Times New Roman"/>
          <w:lang w:val="en-US" w:eastAsia="zh-CN"/>
        </w:rPr>
        <w:t>0</w:t>
      </w:r>
      <w:r>
        <w:rPr>
          <w:rFonts w:hint="default" w:ascii="Times New Roman" w:hAnsi="Times New Roman" w:cs="Times New Roman"/>
        </w:rPr>
        <w:t>%；事业收入</w:t>
      </w:r>
      <w:r>
        <w:rPr>
          <w:rFonts w:hint="eastAsia" w:ascii="Times New Roman" w:hAnsi="Times New Roman" w:cs="Times New Roman"/>
          <w:lang w:val="en-US" w:eastAsia="zh-CN"/>
        </w:rPr>
        <w:t>0</w:t>
      </w:r>
      <w:r>
        <w:rPr>
          <w:rFonts w:hint="default" w:ascii="Times New Roman" w:hAnsi="Times New Roman" w:cs="Times New Roman"/>
        </w:rPr>
        <w:t>万元，占</w:t>
      </w:r>
      <w:r>
        <w:rPr>
          <w:rFonts w:hint="eastAsia" w:ascii="Times New Roman" w:hAnsi="Times New Roman" w:cs="Times New Roman"/>
          <w:lang w:val="en-US" w:eastAsia="zh-CN"/>
        </w:rPr>
        <w:t>0</w:t>
      </w:r>
      <w:r>
        <w:rPr>
          <w:rFonts w:hint="default" w:ascii="Times New Roman" w:hAnsi="Times New Roman" w:cs="Times New Roma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right="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（二）支出预算情况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kern w:val="2"/>
          <w:sz w:val="32"/>
          <w:szCs w:val="24"/>
          <w:lang w:val="en-US" w:eastAsia="zh-CN" w:bidi="ar-SA"/>
        </w:rPr>
        <w:t>市运管处2021年本年支出预算465.53万元，其中：基本支出430.63万元，占92.50%；项目支出34.90万元，占7.50%。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right="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b/>
          <w:bCs/>
          <w:i w:val="0"/>
          <w:caps w:val="0"/>
          <w:color w:val="333333"/>
          <w:spacing w:val="0"/>
          <w:sz w:val="32"/>
          <w:szCs w:val="32"/>
          <w:shd w:val="clear" w:fill="FFFFFF"/>
        </w:rPr>
        <w:t>　四、财政拨款收支预算情况说明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Times New Roman" w:hAnsi="Times New Roman" w:eastAsia="仿宋_GB2312" w:cs="Times New Roman"/>
          <w:kern w:val="2"/>
          <w:sz w:val="32"/>
          <w:szCs w:val="24"/>
          <w:lang w:val="en-US" w:eastAsia="zh-CN" w:bidi="ar-SA"/>
        </w:rPr>
        <w:t>市运管处2021年财政拨款收支总预算465.53万元。收入包括：本年一般公共预算拨款收入465.53万元；支出包括：社会保障和就业支出78.71万元、交通运输</w:t>
      </w:r>
      <w:bookmarkStart w:id="0" w:name="_GoBack"/>
      <w:bookmarkEnd w:id="0"/>
      <w:r>
        <w:rPr>
          <w:rFonts w:hint="eastAsia" w:ascii="Times New Roman" w:hAnsi="Times New Roman" w:eastAsia="仿宋_GB2312" w:cs="Times New Roman"/>
          <w:kern w:val="2"/>
          <w:sz w:val="32"/>
          <w:szCs w:val="24"/>
          <w:lang w:val="en-US" w:eastAsia="zh-CN" w:bidi="ar-SA"/>
        </w:rPr>
        <w:t>支出358.30万元、住房保障支出28.52万元。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五、一般公共预算当年拨款情况说明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（一）一般公共预算当年拨款规模变化情况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w:t>
      </w:r>
      <w:r>
        <w:rPr>
          <w:rFonts w:hint="eastAsia" w:ascii="Times New Roman" w:hAnsi="Times New Roman" w:eastAsia="仿宋_GB2312" w:cs="Times New Roman"/>
          <w:kern w:val="2"/>
          <w:sz w:val="32"/>
          <w:szCs w:val="24"/>
          <w:lang w:val="en-US" w:eastAsia="zh-CN" w:bidi="ar-SA"/>
        </w:rPr>
        <w:t>市运管处2021年一般公共预算当年拨款465.53万元，比2020年预算数931.39万元减少465.86万元，降幅超50%，主要是机构改革在职人员数量减少、部分专项压缩、部分项目改变支出方式导致。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（二）一般公共预算当年拨款结构情况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w:t>
      </w:r>
      <w:r>
        <w:rPr>
          <w:rFonts w:hint="eastAsia" w:ascii="Times New Roman" w:hAnsi="Times New Roman" w:eastAsia="仿宋_GB2312" w:cs="Times New Roman"/>
          <w:kern w:val="2"/>
          <w:sz w:val="32"/>
          <w:szCs w:val="24"/>
          <w:lang w:val="en-US" w:eastAsia="zh-CN" w:bidi="ar-SA"/>
        </w:rPr>
        <w:t>　社会保障和就业支出78.71万元，占16.91%；交通运输支出358.30万元，占76.96%；住房保障支出28.52万元，占6.13%。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b/>
          <w:bCs/>
          <w:i w:val="0"/>
          <w:caps w:val="0"/>
          <w:color w:val="333333"/>
          <w:spacing w:val="0"/>
          <w:sz w:val="32"/>
          <w:szCs w:val="32"/>
          <w:shd w:val="clear" w:fill="FFFFFF"/>
        </w:rPr>
        <w:t>　（三）一般公共预算当年拨款具体使用情况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1.</w:t>
      </w:r>
      <w:r>
        <w:rPr>
          <w:rFonts w:hint="eastAsia" w:ascii="Times New Roman" w:hAnsi="Times New Roman" w:eastAsia="仿宋_GB2312" w:cs="Times New Roman"/>
          <w:kern w:val="2"/>
          <w:sz w:val="32"/>
          <w:szCs w:val="24"/>
          <w:lang w:val="en-US" w:eastAsia="zh-CN" w:bidi="ar-SA"/>
        </w:rPr>
        <w:t>社会保障和就业支出（类）行政事业单位离退休（款）行政单位离退休（项）2021年预算数为52.18万元，主要用于：离休人员目标奖；退休人员社保统筹外退休费（房贴）、目标奖；退休人员福利费及公用经费。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2.</w:t>
      </w:r>
      <w:r>
        <w:rPr>
          <w:rFonts w:hint="eastAsia" w:ascii="Times New Roman" w:hAnsi="Times New Roman" w:eastAsia="仿宋_GB2312" w:cs="Times New Roman"/>
          <w:kern w:val="2"/>
          <w:sz w:val="32"/>
          <w:szCs w:val="24"/>
          <w:lang w:val="en-US" w:eastAsia="zh-CN" w:bidi="ar-SA"/>
        </w:rPr>
        <w:t>社会保障和就业支出（类）行政事业单位离退休（款）机关事业单位基本养老保险缴费支出（项）2021年预算数为26.53万元，主要用于：在职人员基本养老保险缴费。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3.</w:t>
      </w:r>
      <w:r>
        <w:rPr>
          <w:rFonts w:hint="eastAsia" w:ascii="Times New Roman" w:hAnsi="Times New Roman" w:eastAsia="仿宋_GB2312" w:cs="Times New Roman"/>
          <w:kern w:val="2"/>
          <w:sz w:val="32"/>
          <w:szCs w:val="24"/>
          <w:lang w:val="en-US" w:eastAsia="zh-CN" w:bidi="ar-SA"/>
        </w:rPr>
        <w:t>交通运输支出（类）公路水路运输（款）行政运行（项）2021年预算为323.40万元，主要用于：在职职工基本工资、津补贴、奖金发放；医疗保险、失业保险缴纳；办公费、水费、电费、邮电费、差旅费、接待费、公务用车运行维护费、其他交通费用、工会经费、福利费、党建经费等公用经费开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4.</w:t>
      </w:r>
      <w:r>
        <w:rPr>
          <w:rFonts w:hint="eastAsia" w:ascii="Times New Roman" w:hAnsi="Times New Roman" w:eastAsia="仿宋_GB2312" w:cs="Times New Roman"/>
          <w:kern w:val="2"/>
          <w:sz w:val="32"/>
          <w:szCs w:val="24"/>
          <w:lang w:val="en-US" w:eastAsia="zh-CN" w:bidi="ar-SA"/>
        </w:rPr>
        <w:t>交通运输支出（类）公路水路运输（款）公路运输管理（项）2021年预算为34.90万元，主要用于：为完成道路运输行业服务指导，促进行业发展而安排的年度业务性质项目支出，包括道路运输服务业务运行费、工伤职工医疗费、出租汽车行业管理、道路运输统计调查经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5.</w:t>
      </w:r>
      <w:r>
        <w:rPr>
          <w:rFonts w:hint="eastAsia" w:ascii="Times New Roman" w:hAnsi="Times New Roman" w:eastAsia="仿宋_GB2312" w:cs="Times New Roman"/>
          <w:kern w:val="2"/>
          <w:sz w:val="32"/>
          <w:szCs w:val="24"/>
          <w:lang w:val="en-US" w:eastAsia="zh-CN" w:bidi="ar-SA"/>
        </w:rPr>
        <w:t>住房保障支出（类）住房改革支出（款）住房公积金（项）2021年预算数为28.52万元，主要用于：按照规定标准为在职职工缴纳住房公积金支出。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六、一般公共预算基本支出情况说明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316" w:right="0" w:hanging="316" w:hangingChars="10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 xml:space="preserve"> </w:t>
      </w:r>
      <w:r>
        <w:rPr>
          <w:rFonts w:hint="eastAsia" w:ascii="Times New Roman" w:hAnsi="Times New Roman" w:eastAsia="仿宋_GB2312" w:cs="Times New Roman"/>
          <w:kern w:val="2"/>
          <w:sz w:val="32"/>
          <w:szCs w:val="24"/>
          <w:lang w:val="en-US" w:eastAsia="zh-CN" w:bidi="ar-SA"/>
        </w:rPr>
        <w:t xml:space="preserve"> 市运管处2021年一般公共预算基本支出430.63万元，其中：</w:t>
      </w:r>
    </w:p>
    <w:p>
      <w:pPr>
        <w:spacing w:line="600" w:lineRule="exact"/>
        <w:ind w:firstLine="632" w:firstLineChars="200"/>
        <w:rPr>
          <w:rFonts w:hint="eastAsia"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kern w:val="2"/>
          <w:sz w:val="32"/>
          <w:szCs w:val="24"/>
          <w:lang w:val="en-US" w:eastAsia="zh-CN" w:bidi="ar-SA"/>
        </w:rPr>
        <w:t>人员经费373.36万元，主要包括：基本工资85.15万元、津贴补贴154.74万元、奖金6.8万元，机关事业单位基本养老保险缴费26.53万元，职工基本医疗保险缴费18.3万元，公务员医疗补助缴费1.52万元，住房公积金28.52万元、其他工资福利支出9.88万元、离休费1.79万元、退休费46.97万元，医疗费补助2.16万元。</w:t>
      </w:r>
    </w:p>
    <w:p>
      <w:pPr>
        <w:spacing w:line="600" w:lineRule="exact"/>
        <w:ind w:firstLine="632" w:firstLineChars="200"/>
        <w:rPr>
          <w:rFonts w:hint="eastAsia"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kern w:val="2"/>
          <w:sz w:val="32"/>
          <w:szCs w:val="24"/>
          <w:lang w:val="en-US" w:eastAsia="zh-CN" w:bidi="ar-SA"/>
        </w:rPr>
        <w:t>公用经费57.27万元，主要包括：办公费2.9万元、水费0.58万元、电费1.45万元、邮电费2.67万元、差旅费11.63万元、公务接待费1.1万元、工会经费4.75万元、福利费3.81万元、公务用车运行维护费2.59万元、其他交通费用17.22万元、其他商品和服务支出（含退休公用和党建经费）8.55万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七、“三公”经费财政拨款预算安排情况说明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w:t>
      </w:r>
      <w:r>
        <w:rPr>
          <w:rFonts w:hint="eastAsia" w:ascii="Times New Roman" w:hAnsi="Times New Roman" w:eastAsia="仿宋_GB2312" w:cs="Times New Roman"/>
          <w:kern w:val="2"/>
          <w:sz w:val="32"/>
          <w:szCs w:val="24"/>
          <w:lang w:val="en-US" w:eastAsia="zh-CN" w:bidi="ar-SA"/>
        </w:rPr>
        <w:t>市运管处2021年“三公”经费财政拨款预算数3.69万元，其中：因公出国（境）经费0万元，公务接待费1.10万元，，公务用车运行费2.59万元。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val="0"/>
          <w:bCs w:val="0"/>
          <w:i w:val="0"/>
          <w:caps w:val="0"/>
          <w:color w:val="333333"/>
          <w:spacing w:val="0"/>
          <w:sz w:val="32"/>
          <w:szCs w:val="32"/>
        </w:rPr>
      </w:pPr>
      <w:r>
        <w:rPr>
          <w:rFonts w:hint="eastAsia" w:ascii="仿宋_GB2312" w:hAnsi="仿宋_GB2312" w:eastAsia="仿宋_GB2312" w:cs="仿宋_GB2312"/>
          <w:b w:val="0"/>
          <w:bCs w:val="0"/>
          <w:i w:val="0"/>
          <w:caps w:val="0"/>
          <w:color w:val="333333"/>
          <w:spacing w:val="0"/>
          <w:sz w:val="32"/>
          <w:szCs w:val="32"/>
          <w:shd w:val="clear" w:fill="FFFFFF"/>
        </w:rPr>
        <w:t>　　（一）因公出国（境）经费</w:t>
      </w:r>
      <w:r>
        <w:rPr>
          <w:rFonts w:hint="eastAsia" w:ascii="仿宋_GB2312" w:hAnsi="仿宋_GB2312" w:cs="仿宋_GB2312"/>
          <w:b w:val="0"/>
          <w:bCs w:val="0"/>
          <w:i w:val="0"/>
          <w:caps w:val="0"/>
          <w:color w:val="333333"/>
          <w:spacing w:val="0"/>
          <w:sz w:val="32"/>
          <w:szCs w:val="32"/>
          <w:shd w:val="clear" w:fill="FFFFFF"/>
          <w:lang w:val="en-US" w:eastAsia="zh-CN"/>
        </w:rPr>
        <w:t>与</w:t>
      </w:r>
      <w:r>
        <w:rPr>
          <w:rFonts w:hint="eastAsia" w:ascii="仿宋_GB2312" w:hAnsi="仿宋_GB2312" w:eastAsia="仿宋_GB2312" w:cs="仿宋_GB2312"/>
          <w:b w:val="0"/>
          <w:bCs w:val="0"/>
          <w:i w:val="0"/>
          <w:caps w:val="0"/>
          <w:color w:val="333333"/>
          <w:spacing w:val="0"/>
          <w:sz w:val="32"/>
          <w:szCs w:val="32"/>
          <w:shd w:val="clear" w:fill="FFFFFF"/>
          <w:lang w:eastAsia="zh-CN"/>
        </w:rPr>
        <w:t>20</w:t>
      </w:r>
      <w:r>
        <w:rPr>
          <w:rFonts w:hint="eastAsia" w:ascii="仿宋_GB2312" w:hAnsi="仿宋_GB2312" w:eastAsia="仿宋_GB2312" w:cs="仿宋_GB2312"/>
          <w:b w:val="0"/>
          <w:bCs w:val="0"/>
          <w:i w:val="0"/>
          <w:caps w:val="0"/>
          <w:color w:val="333333"/>
          <w:spacing w:val="0"/>
          <w:sz w:val="32"/>
          <w:szCs w:val="32"/>
          <w:shd w:val="clear" w:fill="FFFFFF"/>
          <w:lang w:val="en-US" w:eastAsia="zh-CN"/>
        </w:rPr>
        <w:t>20</w:t>
      </w:r>
      <w:r>
        <w:rPr>
          <w:rFonts w:hint="eastAsia" w:ascii="仿宋_GB2312" w:hAnsi="仿宋_GB2312" w:cs="仿宋_GB2312"/>
          <w:b w:val="0"/>
          <w:bCs w:val="0"/>
          <w:i w:val="0"/>
          <w:caps w:val="0"/>
          <w:color w:val="333333"/>
          <w:spacing w:val="0"/>
          <w:sz w:val="32"/>
          <w:szCs w:val="32"/>
          <w:shd w:val="clear" w:fill="FFFFFF"/>
          <w:lang w:val="en-US" w:eastAsia="zh-CN"/>
        </w:rPr>
        <w:t>年预算持平，主要原因为2020年</w:t>
      </w:r>
      <w:r>
        <w:rPr>
          <w:rFonts w:hint="eastAsia" w:ascii="仿宋_GB2312" w:hAnsi="仿宋_GB2312" w:eastAsia="仿宋_GB2312" w:cs="仿宋_GB2312"/>
          <w:b w:val="0"/>
          <w:bCs w:val="0"/>
          <w:i w:val="0"/>
          <w:caps w:val="0"/>
          <w:color w:val="333333"/>
          <w:spacing w:val="0"/>
          <w:sz w:val="32"/>
          <w:szCs w:val="32"/>
          <w:shd w:val="clear" w:fill="FFFFFF"/>
        </w:rPr>
        <w:t>、</w:t>
      </w:r>
      <w:r>
        <w:rPr>
          <w:rFonts w:hint="eastAsia" w:ascii="仿宋_GB2312" w:hAnsi="仿宋_GB2312" w:eastAsia="仿宋_GB2312" w:cs="仿宋_GB2312"/>
          <w:b w:val="0"/>
          <w:bCs w:val="0"/>
          <w:i w:val="0"/>
          <w:caps w:val="0"/>
          <w:color w:val="333333"/>
          <w:spacing w:val="0"/>
          <w:sz w:val="32"/>
          <w:szCs w:val="32"/>
          <w:shd w:val="clear" w:fill="FFFFFF"/>
          <w:lang w:eastAsia="zh-CN"/>
        </w:rPr>
        <w:t>20</w:t>
      </w:r>
      <w:r>
        <w:rPr>
          <w:rFonts w:hint="eastAsia" w:ascii="仿宋_GB2312" w:hAnsi="仿宋_GB2312" w:eastAsia="仿宋_GB2312" w:cs="仿宋_GB2312"/>
          <w:b w:val="0"/>
          <w:bCs w:val="0"/>
          <w:i w:val="0"/>
          <w:caps w:val="0"/>
          <w:color w:val="333333"/>
          <w:spacing w:val="0"/>
          <w:sz w:val="32"/>
          <w:szCs w:val="32"/>
          <w:shd w:val="clear" w:fill="FFFFFF"/>
          <w:lang w:val="en-US" w:eastAsia="zh-CN"/>
        </w:rPr>
        <w:t>21</w:t>
      </w:r>
      <w:r>
        <w:rPr>
          <w:rFonts w:hint="eastAsia" w:ascii="仿宋_GB2312" w:hAnsi="仿宋_GB2312" w:eastAsia="仿宋_GB2312" w:cs="仿宋_GB2312"/>
          <w:b w:val="0"/>
          <w:bCs w:val="0"/>
          <w:i w:val="0"/>
          <w:caps w:val="0"/>
          <w:color w:val="333333"/>
          <w:spacing w:val="0"/>
          <w:sz w:val="32"/>
          <w:szCs w:val="32"/>
          <w:shd w:val="clear" w:fill="FFFFFF"/>
        </w:rPr>
        <w:t>年均</w:t>
      </w:r>
      <w:r>
        <w:rPr>
          <w:rFonts w:hint="eastAsia" w:ascii="仿宋_GB2312" w:hAnsi="仿宋_GB2312" w:cs="仿宋_GB2312"/>
          <w:b w:val="0"/>
          <w:bCs w:val="0"/>
          <w:i w:val="0"/>
          <w:caps w:val="0"/>
          <w:color w:val="333333"/>
          <w:spacing w:val="0"/>
          <w:sz w:val="32"/>
          <w:szCs w:val="32"/>
          <w:shd w:val="clear" w:fill="FFFFFF"/>
          <w:lang w:val="en-US" w:eastAsia="zh-CN"/>
        </w:rPr>
        <w:t>未安排</w:t>
      </w:r>
      <w:r>
        <w:rPr>
          <w:rFonts w:hint="eastAsia" w:ascii="仿宋_GB2312" w:hAnsi="仿宋_GB2312" w:eastAsia="仿宋_GB2312" w:cs="仿宋_GB2312"/>
          <w:b w:val="0"/>
          <w:bCs w:val="0"/>
          <w:i w:val="0"/>
          <w:caps w:val="0"/>
          <w:color w:val="333333"/>
          <w:spacing w:val="0"/>
          <w:sz w:val="32"/>
          <w:szCs w:val="32"/>
          <w:shd w:val="clear" w:fill="FFFFFF"/>
        </w:rPr>
        <w:t>因公出国（境）经费。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val="0"/>
          <w:bCs w:val="0"/>
          <w:i w:val="0"/>
          <w:caps w:val="0"/>
          <w:color w:val="333333"/>
          <w:spacing w:val="0"/>
          <w:sz w:val="32"/>
          <w:szCs w:val="32"/>
        </w:rPr>
      </w:pPr>
      <w:r>
        <w:rPr>
          <w:rFonts w:hint="eastAsia" w:ascii="仿宋_GB2312" w:hAnsi="仿宋_GB2312" w:eastAsia="仿宋_GB2312" w:cs="仿宋_GB2312"/>
          <w:b w:val="0"/>
          <w:bCs w:val="0"/>
          <w:i w:val="0"/>
          <w:caps w:val="0"/>
          <w:color w:val="333333"/>
          <w:spacing w:val="0"/>
          <w:sz w:val="32"/>
          <w:szCs w:val="32"/>
          <w:shd w:val="clear" w:fill="FFFFFF"/>
        </w:rPr>
        <w:t>　　（二）公务接待费与</w:t>
      </w:r>
      <w:r>
        <w:rPr>
          <w:rFonts w:hint="eastAsia" w:ascii="仿宋_GB2312" w:hAnsi="仿宋_GB2312" w:eastAsia="仿宋_GB2312" w:cs="仿宋_GB2312"/>
          <w:b w:val="0"/>
          <w:bCs w:val="0"/>
          <w:i w:val="0"/>
          <w:caps w:val="0"/>
          <w:color w:val="333333"/>
          <w:spacing w:val="0"/>
          <w:sz w:val="32"/>
          <w:szCs w:val="32"/>
          <w:shd w:val="clear" w:fill="FFFFFF"/>
          <w:lang w:eastAsia="zh-CN"/>
        </w:rPr>
        <w:t>20</w:t>
      </w:r>
      <w:r>
        <w:rPr>
          <w:rFonts w:hint="eastAsia" w:ascii="仿宋_GB2312" w:hAnsi="仿宋_GB2312" w:eastAsia="仿宋_GB2312" w:cs="仿宋_GB2312"/>
          <w:b w:val="0"/>
          <w:bCs w:val="0"/>
          <w:i w:val="0"/>
          <w:caps w:val="0"/>
          <w:color w:val="333333"/>
          <w:spacing w:val="0"/>
          <w:sz w:val="32"/>
          <w:szCs w:val="32"/>
          <w:shd w:val="clear" w:fill="FFFFFF"/>
          <w:lang w:val="en-US" w:eastAsia="zh-CN"/>
        </w:rPr>
        <w:t>20</w:t>
      </w:r>
      <w:r>
        <w:rPr>
          <w:rFonts w:hint="eastAsia" w:ascii="仿宋_GB2312" w:hAnsi="仿宋_GB2312" w:eastAsia="仿宋_GB2312" w:cs="仿宋_GB2312"/>
          <w:b w:val="0"/>
          <w:bCs w:val="0"/>
          <w:i w:val="0"/>
          <w:caps w:val="0"/>
          <w:color w:val="333333"/>
          <w:spacing w:val="0"/>
          <w:sz w:val="32"/>
          <w:szCs w:val="32"/>
          <w:shd w:val="clear" w:fill="FFFFFF"/>
        </w:rPr>
        <w:t>年预算</w:t>
      </w:r>
      <w:r>
        <w:rPr>
          <w:rFonts w:hint="eastAsia" w:ascii="仿宋_GB2312" w:hAnsi="仿宋_GB2312" w:eastAsia="仿宋_GB2312" w:cs="仿宋_GB2312"/>
          <w:b w:val="0"/>
          <w:bCs w:val="0"/>
          <w:i w:val="0"/>
          <w:caps w:val="0"/>
          <w:color w:val="333333"/>
          <w:spacing w:val="0"/>
          <w:sz w:val="32"/>
          <w:szCs w:val="32"/>
          <w:shd w:val="clear" w:fill="FFFFFF"/>
          <w:lang w:val="en-US" w:eastAsia="zh-CN"/>
        </w:rPr>
        <w:t>相比下降6.98%</w:t>
      </w:r>
      <w:r>
        <w:rPr>
          <w:rFonts w:hint="eastAsia" w:ascii="仿宋_GB2312" w:hAnsi="仿宋_GB2312" w:eastAsia="仿宋_GB2312" w:cs="仿宋_GB2312"/>
          <w:b w:val="0"/>
          <w:bCs w:val="0"/>
          <w:i w:val="0"/>
          <w:caps w:val="0"/>
          <w:color w:val="333333"/>
          <w:spacing w:val="0"/>
          <w:sz w:val="32"/>
          <w:szCs w:val="32"/>
          <w:shd w:val="clear" w:fill="FFFFFF"/>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计划用于检查执行公务、考察调研、检查指导等公务活动开支的接待用餐费等。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（三）</w:t>
      </w:r>
      <w:r>
        <w:rPr>
          <w:rFonts w:hint="eastAsia" w:ascii="Times New Roman" w:hAnsi="Times New Roman" w:eastAsia="仿宋_GB2312" w:cs="Times New Roman"/>
          <w:kern w:val="2"/>
          <w:sz w:val="32"/>
          <w:szCs w:val="24"/>
          <w:lang w:val="en-US" w:eastAsia="zh-CN" w:bidi="ar-SA"/>
        </w:rPr>
        <w:t>公务用车购置费去年为15万元，结转本年购置</w:t>
      </w:r>
      <w:r>
        <w:rPr>
          <w:rFonts w:hint="eastAsia" w:ascii="仿宋_GB2312" w:hAnsi="仿宋_GB2312" w:eastAsia="仿宋_GB2312" w:cs="仿宋_GB2312"/>
          <w:i w:val="0"/>
          <w:caps w:val="0"/>
          <w:color w:val="333333"/>
          <w:spacing w:val="0"/>
          <w:sz w:val="32"/>
          <w:szCs w:val="32"/>
          <w:shd w:val="clear" w:fill="FFFFFF"/>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rPr>
        <w:t>　　</w:t>
      </w:r>
      <w:r>
        <w:rPr>
          <w:rFonts w:hint="eastAsia" w:ascii="Times New Roman" w:hAnsi="Times New Roman" w:eastAsia="仿宋_GB2312" w:cs="Times New Roman"/>
          <w:kern w:val="2"/>
          <w:sz w:val="32"/>
          <w:szCs w:val="24"/>
          <w:lang w:val="en-US" w:eastAsia="zh-CN" w:bidi="ar-SA"/>
        </w:rPr>
        <w:t>2021年安排公务用车运行维护费2.59万元，用于1辆公务用车燃油、维修、车辆通行等方面支出，主要用于保障道路运输行业服务及行政辅助工作。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八、政府性基金预算支出情况说明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无政府性基金预算。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九、其他重要事项的情况说明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（一）</w:t>
      </w:r>
      <w:r>
        <w:rPr>
          <w:rFonts w:hint="eastAsia" w:ascii="仿宋_GB2312" w:hAnsi="仿宋_GB2312" w:cs="仿宋_GB2312"/>
          <w:i w:val="0"/>
          <w:caps w:val="0"/>
          <w:color w:val="333333"/>
          <w:spacing w:val="0"/>
          <w:sz w:val="32"/>
          <w:szCs w:val="32"/>
          <w:shd w:val="clear" w:fill="FFFFFF"/>
          <w:lang w:val="en-US" w:eastAsia="zh-CN"/>
        </w:rPr>
        <w:t>机关</w:t>
      </w:r>
      <w:r>
        <w:rPr>
          <w:rFonts w:hint="eastAsia" w:ascii="仿宋_GB2312" w:hAnsi="仿宋_GB2312" w:eastAsia="仿宋_GB2312" w:cs="仿宋_GB2312"/>
          <w:i w:val="0"/>
          <w:caps w:val="0"/>
          <w:color w:val="333333"/>
          <w:spacing w:val="0"/>
          <w:sz w:val="32"/>
          <w:szCs w:val="32"/>
          <w:shd w:val="clear" w:fill="FFFFFF"/>
        </w:rPr>
        <w:t>运行经费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632" w:firstLineChars="200"/>
        <w:jc w:val="left"/>
        <w:textAlignment w:val="auto"/>
        <w:rPr>
          <w:rFonts w:hint="eastAsia"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kern w:val="2"/>
          <w:sz w:val="32"/>
          <w:szCs w:val="24"/>
          <w:lang w:val="en-US" w:eastAsia="zh-CN" w:bidi="ar-SA"/>
        </w:rPr>
        <w:t>2021年，市运管处的机关运行经费财政拨款预算57.27万元，比2020年预算92.05万元减少34.78万元，降幅为37.78%，原因为在职人员减少导致的公用经费减少。</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（二）国有资产占有使用情况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Times New Roman" w:hAnsi="Times New Roman" w:eastAsia="仿宋_GB2312" w:cs="Times New Roman"/>
          <w:kern w:val="2"/>
          <w:sz w:val="32"/>
          <w:szCs w:val="24"/>
          <w:lang w:val="en-US" w:eastAsia="zh-CN" w:bidi="ar-SA"/>
        </w:rPr>
        <w:t>截至2020年底，市运管处共有在用车辆1辆，其中，执法执勤用车0辆。单位价值200万元以上大型设备0台（套）。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（三）绩效目标设置情况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631"/>
        <w:jc w:val="left"/>
        <w:textAlignment w:val="auto"/>
        <w:rPr>
          <w:rFonts w:hint="eastAsia" w:ascii="Times New Roman" w:hAnsi="Times New Roman" w:eastAsia="仿宋_GB2312" w:cs="Times New Roman"/>
          <w:kern w:val="2"/>
          <w:sz w:val="32"/>
          <w:szCs w:val="24"/>
          <w:lang w:val="en-US" w:eastAsia="zh-CN" w:bidi="ar-SA"/>
        </w:rPr>
      </w:pPr>
      <w:r>
        <w:rPr>
          <w:rFonts w:hint="eastAsia" w:ascii="Times New Roman" w:hAnsi="Times New Roman" w:eastAsia="仿宋_GB2312" w:cs="Times New Roman"/>
          <w:kern w:val="2"/>
          <w:sz w:val="32"/>
          <w:szCs w:val="24"/>
          <w:lang w:val="en-US" w:eastAsia="zh-CN" w:bidi="ar-SA"/>
        </w:rPr>
        <w:t>2020年市运管处部门通用项目和专用项目均按要求实行绩效目标管理，涉及一般公共预算当年拨款2221.57万元。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631"/>
        <w:jc w:val="left"/>
        <w:textAlignment w:val="auto"/>
        <w:rPr>
          <w:rFonts w:hint="default" w:ascii="Times New Roman" w:hAnsi="Times New Roman" w:eastAsia="仿宋_GB2312" w:cs="Times New Roman"/>
          <w:kern w:val="2"/>
          <w:sz w:val="32"/>
          <w:szCs w:val="24"/>
          <w:lang w:val="en-US" w:eastAsia="zh-CN" w:bidi="ar-SA"/>
        </w:rPr>
      </w:pPr>
      <w:r>
        <w:rPr>
          <w:rFonts w:hint="eastAsia" w:ascii="Times New Roman" w:hAnsi="Times New Roman" w:cs="Times New Roman"/>
          <w:kern w:val="2"/>
          <w:sz w:val="32"/>
          <w:szCs w:val="24"/>
          <w:lang w:val="en-US" w:eastAsia="zh-CN" w:bidi="ar-SA"/>
        </w:rPr>
        <w:t>（四）政府采购情况</w:t>
      </w:r>
    </w:p>
    <w:p>
      <w:pPr>
        <w:spacing w:line="600" w:lineRule="exact"/>
        <w:ind w:firstLine="632" w:firstLineChars="200"/>
        <w:rPr>
          <w:rFonts w:hint="eastAsia" w:ascii="仿宋_GB2312" w:hAnsi="仿宋_GB2312" w:eastAsia="仿宋_GB2312" w:cs="仿宋_GB2312"/>
          <w:b/>
          <w:bCs/>
          <w:i w:val="0"/>
          <w:caps w:val="0"/>
          <w:color w:val="333333"/>
          <w:spacing w:val="0"/>
          <w:sz w:val="32"/>
          <w:szCs w:val="32"/>
          <w:shd w:val="clear" w:fill="FFFFFF"/>
          <w:lang w:val="en-US" w:eastAsia="zh-CN"/>
        </w:rPr>
      </w:pPr>
      <w:r>
        <w:rPr>
          <w:rFonts w:hint="eastAsia" w:ascii="仿宋_GB2312" w:hAnsi="仿宋_GB2312" w:cs="仿宋_GB2312"/>
          <w:b/>
          <w:bCs/>
          <w:i w:val="0"/>
          <w:caps w:val="0"/>
          <w:color w:val="333333"/>
          <w:spacing w:val="0"/>
          <w:sz w:val="32"/>
          <w:szCs w:val="32"/>
          <w:shd w:val="clear" w:fill="FFFFFF"/>
          <w:lang w:val="en-US" w:eastAsia="zh-CN"/>
        </w:rPr>
        <w:t xml:space="preserve"> </w:t>
      </w:r>
      <w:r>
        <w:rPr>
          <w:rFonts w:hint="eastAsia" w:ascii="仿宋_GB2312"/>
          <w:lang w:eastAsia="zh-CN"/>
        </w:rPr>
        <w:t>202</w:t>
      </w:r>
      <w:r>
        <w:rPr>
          <w:rFonts w:hint="eastAsia" w:ascii="仿宋_GB2312"/>
          <w:lang w:val="en-US" w:eastAsia="zh-CN"/>
        </w:rPr>
        <w:t>1</w:t>
      </w:r>
      <w:r>
        <w:rPr>
          <w:rFonts w:hint="eastAsia" w:ascii="仿宋_GB2312"/>
        </w:rPr>
        <w:t>年</w:t>
      </w:r>
      <w:r>
        <w:rPr>
          <w:rFonts w:hint="eastAsia"/>
          <w:lang w:eastAsia="zh-CN"/>
        </w:rPr>
        <w:t>攀枝花市交通运输</w:t>
      </w:r>
      <w:r>
        <w:rPr>
          <w:rFonts w:hint="eastAsia"/>
          <w:lang w:val="en-US" w:eastAsia="zh-CN"/>
        </w:rPr>
        <w:t>管理处年初安排采购预算为15万元，为结转结余资金安排，报废更新采购特种车辆一辆。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632"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十、名词解释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1.一般公共预算拨款收入：指市级财政当年拨付的资金。</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shd w:val="clear" w:fill="FFFFFF"/>
        </w:rPr>
        <w:t>　　2.社会保障和就业支出（类）行政事业单位离退休（款）行政单位离退休（项）：指行政单位（包括实行公务员管理的事业单位）开支的离退休支出</w:t>
      </w:r>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3.</w:t>
      </w:r>
      <w:r>
        <w:rPr>
          <w:rFonts w:hint="eastAsia" w:ascii="仿宋_GB2312" w:hAnsi="仿宋_GB2312" w:eastAsia="仿宋_GB2312" w:cs="仿宋_GB2312"/>
          <w:i w:val="0"/>
          <w:caps w:val="0"/>
          <w:color w:val="333333"/>
          <w:spacing w:val="0"/>
          <w:sz w:val="32"/>
          <w:szCs w:val="32"/>
          <w:shd w:val="clear" w:fill="FFFFFF"/>
        </w:rPr>
        <w:t>社会保障和就业支出（类）行政事业单位离退休（款）机关事业单位基本养老保险缴费支出（项）：反映机关事业单位实施养老保险制度由单位缴纳的基本养老保险费支出。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4.</w:t>
      </w:r>
      <w:r>
        <w:rPr>
          <w:rFonts w:hint="eastAsia" w:ascii="仿宋_GB2312" w:hAnsi="仿宋_GB2312" w:eastAsia="仿宋_GB2312" w:cs="仿宋_GB2312"/>
          <w:i w:val="0"/>
          <w:caps w:val="0"/>
          <w:color w:val="333333"/>
          <w:spacing w:val="0"/>
          <w:sz w:val="32"/>
          <w:szCs w:val="32"/>
          <w:shd w:val="clear" w:fill="FFFFFF"/>
        </w:rPr>
        <w:t>交通运输支出（类）公路水路运输（款）行政运行(公路)（项）：反映公路水路运输类行政单位（包括实行公务员管理的事业单位）的基本支出。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5.</w:t>
      </w:r>
      <w:r>
        <w:rPr>
          <w:rFonts w:hint="eastAsia" w:ascii="仿宋_GB2312" w:hAnsi="仿宋_GB2312" w:eastAsia="仿宋_GB2312" w:cs="仿宋_GB2312"/>
          <w:i w:val="0"/>
          <w:caps w:val="0"/>
          <w:color w:val="333333"/>
          <w:spacing w:val="0"/>
          <w:sz w:val="32"/>
          <w:szCs w:val="32"/>
          <w:shd w:val="clear" w:fill="FFFFFF"/>
        </w:rPr>
        <w:t>交通运输支出（类）公路水路运输（款）公路运输管理（项）：反映公路运输管理支出和公路路政管理支出。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6.</w:t>
      </w:r>
      <w:r>
        <w:rPr>
          <w:rFonts w:hint="eastAsia" w:ascii="仿宋_GB2312" w:hAnsi="仿宋_GB2312" w:eastAsia="仿宋_GB2312" w:cs="仿宋_GB2312"/>
          <w:i w:val="0"/>
          <w:caps w:val="0"/>
          <w:color w:val="333333"/>
          <w:spacing w:val="0"/>
          <w:sz w:val="32"/>
          <w:szCs w:val="32"/>
          <w:shd w:val="clear" w:fill="FFFFFF"/>
        </w:rPr>
        <w:t>住房保障支出（类）住房改革支出（款）住房公积金（项）：反映行政事业单位按人力资源和社会保障部、财政部规定的基本工资和津贴补贴以及规定比例为职工缴纳的住房公积金。</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7</w:t>
      </w:r>
      <w:r>
        <w:rPr>
          <w:rFonts w:hint="eastAsia" w:ascii="仿宋_GB2312" w:hAnsi="仿宋_GB2312" w:eastAsia="仿宋_GB2312" w:cs="仿宋_GB2312"/>
          <w:i w:val="0"/>
          <w:caps w:val="0"/>
          <w:color w:val="333333"/>
          <w:spacing w:val="0"/>
          <w:sz w:val="32"/>
          <w:szCs w:val="32"/>
          <w:shd w:val="clear" w:fill="FFFFFF"/>
        </w:rPr>
        <w:t>.基本支出：指为保证机构正常运转，完成日常工作任务而发生的人员支出和公用支出。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8</w:t>
      </w:r>
      <w:r>
        <w:rPr>
          <w:rFonts w:hint="eastAsia" w:ascii="仿宋_GB2312" w:hAnsi="仿宋_GB2312" w:eastAsia="仿宋_GB2312" w:cs="仿宋_GB2312"/>
          <w:i w:val="0"/>
          <w:caps w:val="0"/>
          <w:color w:val="333333"/>
          <w:spacing w:val="0"/>
          <w:sz w:val="32"/>
          <w:szCs w:val="32"/>
          <w:shd w:val="clear" w:fill="FFFFFF"/>
        </w:rPr>
        <w:t>.项目支出：指在基本支出之外为完成特定行政任务和事业发展目标所发生的支出。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cs="仿宋_GB2312"/>
          <w:i w:val="0"/>
          <w:caps w:val="0"/>
          <w:color w:val="333333"/>
          <w:spacing w:val="0"/>
          <w:sz w:val="32"/>
          <w:szCs w:val="32"/>
          <w:shd w:val="clear" w:fill="FFFFFF"/>
          <w:lang w:val="en-US" w:eastAsia="zh-CN"/>
        </w:rPr>
        <w:t>9</w:t>
      </w:r>
      <w:r>
        <w:rPr>
          <w:rFonts w:hint="eastAsia" w:ascii="仿宋_GB2312" w:hAnsi="仿宋_GB2312" w:eastAsia="仿宋_GB2312" w:cs="仿宋_GB2312"/>
          <w:i w:val="0"/>
          <w:caps w:val="0"/>
          <w:color w:val="333333"/>
          <w:spacing w:val="0"/>
          <w:sz w:val="32"/>
          <w:szCs w:val="32"/>
          <w:shd w:val="clear" w:fill="FFFFFF"/>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32" w:firstLineChars="200"/>
        <w:rPr>
          <w:rFonts w:hint="default" w:ascii="Times New Roman" w:hAnsi="Times New Roman" w:cs="Times New Roman"/>
        </w:rPr>
      </w:pPr>
      <w:r>
        <w:rPr>
          <w:rFonts w:hint="eastAsia" w:ascii="仿宋_GB2312" w:hAnsi="仿宋_GB2312" w:cs="仿宋_GB2312"/>
          <w:i w:val="0"/>
          <w:caps w:val="0"/>
          <w:color w:val="333333"/>
          <w:spacing w:val="0"/>
          <w:sz w:val="32"/>
          <w:szCs w:val="32"/>
          <w:shd w:val="clear" w:fill="FFFFFF"/>
          <w:lang w:val="en-US" w:eastAsia="zh-CN"/>
        </w:rPr>
        <w:t>10</w:t>
      </w:r>
      <w:r>
        <w:rPr>
          <w:rFonts w:hint="eastAsia" w:ascii="仿宋_GB2312" w:hAnsi="仿宋_GB2312" w:eastAsia="仿宋_GB2312" w:cs="仿宋_GB2312"/>
          <w:i w:val="0"/>
          <w:caps w:val="0"/>
          <w:color w:val="333333"/>
          <w:spacing w:val="0"/>
          <w:sz w:val="32"/>
          <w:szCs w:val="32"/>
          <w:shd w:val="clear" w:fill="FFFFFF"/>
        </w:rPr>
        <w:t>.</w:t>
      </w:r>
      <w:r>
        <w:rPr>
          <w:rFonts w:hint="default" w:ascii="Times New Roman" w:hAnsi="Times New Roman" w:cs="Times New Roman"/>
          <w:lang w:eastAsia="zh-CN"/>
        </w:rPr>
        <w:t>机关</w:t>
      </w:r>
      <w:r>
        <w:rPr>
          <w:rFonts w:hint="default" w:ascii="Times New Roman" w:hAnsi="Times New Roman" w:cs="Times New Roman"/>
        </w:rPr>
        <w:t>运行</w:t>
      </w:r>
      <w:r>
        <w:rPr>
          <w:rFonts w:hint="default" w:ascii="Times New Roman" w:hAnsi="Times New Roman" w:cs="Times New Roman"/>
          <w:lang w:eastAsia="zh-CN"/>
        </w:rPr>
        <w:t>经</w:t>
      </w:r>
      <w:r>
        <w:rPr>
          <w:rFonts w:hint="default" w:ascii="Times New Roman" w:hAnsi="Times New Roman" w:cs="Times New Roman"/>
        </w:rPr>
        <w:t>费：为保障行政单位（包含参照公务员法管理的事业单位）运行用于购买货物和服务的各项资金。包括办公及办公费、水费、电费、印刷费、邮电费、差旅费、会议费等费用开支。</w:t>
      </w:r>
    </w:p>
    <w:p>
      <w:pPr>
        <w:spacing w:line="600" w:lineRule="exact"/>
        <w:ind w:firstLine="632" w:firstLineChars="200"/>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附件：表1.部门收支总表</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表1-1.部门收入总表</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表1-2.部门支出总表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表2.财政拨款收支预算总表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lang w:val="en-US" w:eastAsia="zh-CN"/>
        </w:rPr>
        <w:t>2-1.财政拨款支出预算表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表3.一般公共预算支出预算表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表3-1.一般公共预算基本支出预算表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表3-2.一般公共预算项目支出预算表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表3-3.一般公共预算“三公”经费支出预算表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表4.政府性基金支出预算表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表4-1.政府性基金预算“三公”经费支出预算表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表5.国有资本经营预算支出预算表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lang w:val="en-US" w:eastAsia="zh-CN"/>
        </w:rPr>
        <w:t>6.（部门）单位预算项目绩效目标表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表7.部门整体支出绩效目标表</w:t>
      </w:r>
    </w:p>
    <w:p>
      <w:pPr>
        <w:keepNext w:val="0"/>
        <w:keepLines w:val="0"/>
        <w:pageBreakBefore w:val="0"/>
        <w:kinsoku/>
        <w:wordWrap/>
        <w:overflowPunct/>
        <w:topLinePunct w:val="0"/>
        <w:autoSpaceDE/>
        <w:autoSpaceDN/>
        <w:bidi w:val="0"/>
        <w:adjustRightInd/>
        <w:snapToGrid/>
        <w:spacing w:line="560" w:lineRule="exact"/>
        <w:ind w:firstLine="1580" w:firstLineChars="5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Times New Roman" w:hAnsi="Times New Roman" w:eastAsia="仿宋_GB2312" w:cs="Times New Roman"/>
          <w:kern w:val="2"/>
          <w:sz w:val="32"/>
          <w:szCs w:val="24"/>
          <w:lang w:val="en-US" w:eastAsia="zh-CN" w:bidi="ar-SA"/>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Times New Roman" w:hAnsi="Times New Roman" w:eastAsia="仿宋_GB2312" w:cs="Times New Roman"/>
          <w:kern w:val="2"/>
          <w:sz w:val="32"/>
          <w:szCs w:val="24"/>
          <w:lang w:val="en-US" w:eastAsia="zh-CN" w:bidi="ar-SA"/>
        </w:rPr>
        <w:t>2021年2月</w:t>
      </w:r>
      <w:r>
        <w:rPr>
          <w:rFonts w:hint="eastAsia" w:ascii="Times New Roman" w:hAnsi="Times New Roman" w:cs="Times New Roman"/>
          <w:kern w:val="2"/>
          <w:sz w:val="32"/>
          <w:szCs w:val="24"/>
          <w:lang w:val="en-US" w:eastAsia="zh-CN" w:bidi="ar-SA"/>
        </w:rPr>
        <w:t>18</w:t>
      </w:r>
      <w:r>
        <w:rPr>
          <w:rFonts w:hint="eastAsia" w:ascii="Times New Roman" w:hAnsi="Times New Roman" w:eastAsia="仿宋_GB2312" w:cs="Times New Roman"/>
          <w:kern w:val="2"/>
          <w:sz w:val="32"/>
          <w:szCs w:val="24"/>
          <w:lang w:val="en-US" w:eastAsia="zh-CN" w:bidi="ar-SA"/>
        </w:rPr>
        <w:t>日</w:t>
      </w:r>
    </w:p>
    <w:sectPr>
      <w:footerReference r:id="rId6" w:type="default"/>
      <w:footerReference r:id="rId7" w:type="even"/>
      <w:pgSz w:w="11906" w:h="16838"/>
      <w:pgMar w:top="2098" w:right="1474" w:bottom="1984" w:left="1587" w:header="851" w:footer="1417" w:gutter="0"/>
      <w:pgNumType w:fmt="decimal" w:start="1"/>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仿宋_GB2312"/>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10"/>
                            </w:rPr>
                          </w:pPr>
                          <w:r>
                            <w:fldChar w:fldCharType="begin"/>
                          </w:r>
                          <w:r>
                            <w:rPr>
                              <w:rStyle w:val="10"/>
                            </w:rPr>
                            <w:instrText xml:space="preserve">PAGE  </w:instrText>
                          </w:r>
                          <w:r>
                            <w:fldChar w:fldCharType="separate"/>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rPr>
                        <w:rStyle w:val="10"/>
                      </w:rPr>
                    </w:pPr>
                    <w:r>
                      <w:fldChar w:fldCharType="begin"/>
                    </w:r>
                    <w:r>
                      <w:rPr>
                        <w:rStyle w:val="10"/>
                      </w:rPr>
                      <w:instrText xml:space="preserve">PAGE  </w:instrText>
                    </w:r>
                    <w:r>
                      <w:fldChar w:fldCharType="separate"/>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zZjExODZjZTdlNzI5NzkwMDdlYWFhNGUyYjdkODAifQ=="/>
  </w:docVars>
  <w:rsids>
    <w:rsidRoot w:val="00000000"/>
    <w:rsid w:val="00FE2F26"/>
    <w:rsid w:val="02F3589A"/>
    <w:rsid w:val="037A2FBF"/>
    <w:rsid w:val="086E50C9"/>
    <w:rsid w:val="08E32D69"/>
    <w:rsid w:val="0A0E099C"/>
    <w:rsid w:val="0ACC3C53"/>
    <w:rsid w:val="0E9F6365"/>
    <w:rsid w:val="0F827279"/>
    <w:rsid w:val="0FD3392A"/>
    <w:rsid w:val="12D37D14"/>
    <w:rsid w:val="18385E5E"/>
    <w:rsid w:val="1BAE13E7"/>
    <w:rsid w:val="1CAC785D"/>
    <w:rsid w:val="20337F52"/>
    <w:rsid w:val="23414E30"/>
    <w:rsid w:val="23D22429"/>
    <w:rsid w:val="24E71C03"/>
    <w:rsid w:val="25252FA1"/>
    <w:rsid w:val="26124979"/>
    <w:rsid w:val="263F381E"/>
    <w:rsid w:val="2803517E"/>
    <w:rsid w:val="2DBE060F"/>
    <w:rsid w:val="35717EE0"/>
    <w:rsid w:val="3A4D2CEE"/>
    <w:rsid w:val="3B5C501F"/>
    <w:rsid w:val="3C6B1125"/>
    <w:rsid w:val="42C446BB"/>
    <w:rsid w:val="454B484F"/>
    <w:rsid w:val="470E0B3B"/>
    <w:rsid w:val="485552E4"/>
    <w:rsid w:val="4A0B1080"/>
    <w:rsid w:val="4B6F4CAF"/>
    <w:rsid w:val="5201029F"/>
    <w:rsid w:val="528331B1"/>
    <w:rsid w:val="52834282"/>
    <w:rsid w:val="537412F3"/>
    <w:rsid w:val="56232510"/>
    <w:rsid w:val="5686718A"/>
    <w:rsid w:val="597841B8"/>
    <w:rsid w:val="5D5A0C14"/>
    <w:rsid w:val="5F66696E"/>
    <w:rsid w:val="618268EF"/>
    <w:rsid w:val="638D0763"/>
    <w:rsid w:val="662911B5"/>
    <w:rsid w:val="66DA0361"/>
    <w:rsid w:val="67326660"/>
    <w:rsid w:val="6A2643BD"/>
    <w:rsid w:val="6D945E8D"/>
    <w:rsid w:val="7B17453D"/>
    <w:rsid w:val="7C0619F7"/>
    <w:rsid w:val="7F914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rFonts w:ascii="Calibri" w:hAnsi="Calibri" w:eastAsia="仿宋_GB2312"/>
      <w:sz w:val="3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customStyle="1" w:styleId="11">
    <w:name w:val="fontstyle01"/>
    <w:basedOn w:val="8"/>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4078</Words>
  <Characters>5137</Characters>
  <Lines>0</Lines>
  <Paragraphs>0</Paragraphs>
  <TotalTime>3</TotalTime>
  <ScaleCrop>false</ScaleCrop>
  <LinksUpToDate>false</LinksUpToDate>
  <CharactersWithSpaces>5257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2020-02-07T08:53:00Z</dcterms:created>
  <dc:creator>Administrator</dc:creator>
  <cp:lastModifiedBy>Administrator</cp:lastModifiedBy>
  <dcterms:modified xsi:type="dcterms:W3CDTF">2022-07-13T08:39:20Z</dcterms:modified>
  <dc:title>一、基本职能及主要工作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BCD21EEB03BC4F64A75C6EDB32472475</vt:lpwstr>
  </property>
</Properties>
</file>