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eastAsia="方正小标宋简体"/>
          <w:sz w:val="44"/>
          <w:szCs w:val="44"/>
        </w:rPr>
      </w:pPr>
      <w:r>
        <w:rPr>
          <w:rFonts w:hint="eastAsia" w:eastAsia="方正小标宋简体" w:cs="方正小标宋简体"/>
          <w:sz w:val="44"/>
          <w:szCs w:val="44"/>
        </w:rPr>
        <w:t>攀枝花市交通运输综合行政执法支队</w:t>
      </w:r>
    </w:p>
    <w:p>
      <w:pPr>
        <w:spacing w:line="560" w:lineRule="exact"/>
        <w:jc w:val="center"/>
        <w:rPr>
          <w:rFonts w:eastAsia="方正小标宋简体"/>
          <w:sz w:val="44"/>
          <w:szCs w:val="44"/>
        </w:rPr>
      </w:pPr>
      <w:r>
        <w:rPr>
          <w:rFonts w:eastAsia="方正小标宋简体"/>
          <w:sz w:val="44"/>
          <w:szCs w:val="44"/>
        </w:rPr>
        <w:t xml:space="preserve"> 20</w:t>
      </w:r>
      <w:r>
        <w:rPr>
          <w:rFonts w:hint="eastAsia" w:eastAsia="方正小标宋简体"/>
          <w:sz w:val="44"/>
          <w:szCs w:val="44"/>
        </w:rPr>
        <w:t>21</w:t>
      </w:r>
      <w:r>
        <w:rPr>
          <w:rFonts w:hint="eastAsia" w:eastAsia="方正小标宋简体" w:cs="方正小标宋简体"/>
          <w:sz w:val="44"/>
          <w:szCs w:val="44"/>
        </w:rPr>
        <w:t>年部门预算编制说明</w:t>
      </w:r>
    </w:p>
    <w:p>
      <w:pPr>
        <w:widowControl/>
        <w:jc w:val="center"/>
        <w:outlineLvl w:val="0"/>
        <w:rPr>
          <w:rFonts w:eastAsia="方正小标宋简体" w:cs="方正小标宋简体"/>
          <w:kern w:val="0"/>
          <w:sz w:val="36"/>
          <w:szCs w:val="36"/>
        </w:rPr>
      </w:pPr>
    </w:p>
    <w:p>
      <w:pPr>
        <w:widowControl/>
        <w:jc w:val="center"/>
        <w:outlineLvl w:val="0"/>
        <w:rPr>
          <w:rStyle w:val="9"/>
          <w:rFonts w:eastAsia="黑体" w:cs="宋体"/>
          <w:color w:val="333333"/>
          <w:sz w:val="36"/>
          <w:szCs w:val="36"/>
        </w:rPr>
      </w:pPr>
      <w:r>
        <w:rPr>
          <w:rFonts w:hint="eastAsia" w:eastAsia="方正小标宋简体" w:cs="方正小标宋简体"/>
          <w:kern w:val="0"/>
          <w:sz w:val="36"/>
          <w:szCs w:val="36"/>
        </w:rPr>
        <w:t>目录</w:t>
      </w:r>
    </w:p>
    <w:p>
      <w:pPr>
        <w:pStyle w:val="6"/>
        <w:widowControl/>
        <w:spacing w:beforeAutospacing="0" w:afterAutospacing="0" w:line="600" w:lineRule="exact"/>
        <w:ind w:firstLine="643" w:firstLineChars="200"/>
        <w:jc w:val="both"/>
        <w:rPr>
          <w:rStyle w:val="9"/>
          <w:rFonts w:ascii="Times New Roman" w:hAnsi="Times New Roman" w:eastAsia="黑体" w:cs="宋体"/>
          <w:color w:val="333333"/>
          <w:sz w:val="32"/>
          <w:szCs w:val="21"/>
        </w:rPr>
      </w:pPr>
    </w:p>
    <w:p>
      <w:pPr>
        <w:pStyle w:val="6"/>
        <w:widowControl/>
        <w:spacing w:beforeAutospacing="0" w:afterAutospacing="0" w:line="600" w:lineRule="exact"/>
        <w:ind w:firstLine="640" w:firstLineChars="200"/>
        <w:jc w:val="both"/>
        <w:outlineLvl w:val="1"/>
        <w:rPr>
          <w:rFonts w:hint="eastAsia" w:ascii="Times New Roman" w:hAnsi="Times New Roman" w:eastAsia="仿宋_GB2312" w:cs="仿宋_GB2312"/>
          <w:color w:val="333333"/>
          <w:sz w:val="32"/>
          <w:szCs w:val="32"/>
          <w:lang w:eastAsia="zh-CN"/>
        </w:rPr>
      </w:pPr>
      <w:r>
        <w:rPr>
          <w:rFonts w:hint="eastAsia" w:ascii="Times New Roman" w:hAnsi="Times New Roman" w:eastAsia="仿宋_GB2312" w:cs="仿宋_GB2312"/>
          <w:color w:val="333333"/>
          <w:sz w:val="32"/>
          <w:szCs w:val="32"/>
        </w:rPr>
        <w:t>一、基本职能及主要工作....................................</w:t>
      </w:r>
      <w:r>
        <w:rPr>
          <w:rFonts w:hint="eastAsia" w:ascii="Times New Roman" w:hAnsi="Times New Roman" w:eastAsia="仿宋_GB2312" w:cs="仿宋_GB2312"/>
          <w:color w:val="333333"/>
          <w:sz w:val="32"/>
          <w:szCs w:val="32"/>
          <w:lang w:val="en-US" w:eastAsia="zh-CN"/>
        </w:rPr>
        <w:t>1</w:t>
      </w:r>
    </w:p>
    <w:p>
      <w:pPr>
        <w:pStyle w:val="6"/>
        <w:widowControl/>
        <w:spacing w:beforeAutospacing="0" w:afterAutospacing="0" w:line="600" w:lineRule="exact"/>
        <w:ind w:firstLine="640" w:firstLineChars="200"/>
        <w:jc w:val="both"/>
        <w:outlineLvl w:val="1"/>
        <w:rPr>
          <w:rFonts w:hint="eastAsia" w:ascii="Times New Roman" w:hAnsi="Times New Roman" w:eastAsia="仿宋_GB2312" w:cs="仿宋_GB2312"/>
          <w:color w:val="333333"/>
          <w:sz w:val="32"/>
          <w:szCs w:val="32"/>
          <w:lang w:eastAsia="zh-CN"/>
        </w:rPr>
      </w:pPr>
      <w:r>
        <w:rPr>
          <w:rFonts w:ascii="Times New Roman" w:hAnsi="Times New Roman" w:eastAsia="仿宋_GB2312" w:cs="仿宋_GB2312"/>
          <w:color w:val="333333"/>
          <w:sz w:val="32"/>
          <w:szCs w:val="32"/>
        </w:rPr>
        <w:t>（一）职能简介</w:t>
      </w:r>
      <w:r>
        <w:rPr>
          <w:rFonts w:hint="eastAsia" w:ascii="Times New Roman" w:hAnsi="Times New Roman" w:eastAsia="仿宋_GB2312" w:cs="仿宋_GB2312"/>
          <w:color w:val="333333"/>
          <w:sz w:val="32"/>
          <w:szCs w:val="32"/>
        </w:rPr>
        <w:t>....................................................</w:t>
      </w:r>
      <w:r>
        <w:rPr>
          <w:rFonts w:hint="eastAsia" w:ascii="Times New Roman" w:hAnsi="Times New Roman" w:eastAsia="仿宋_GB2312" w:cs="仿宋_GB2312"/>
          <w:color w:val="333333"/>
          <w:sz w:val="32"/>
          <w:szCs w:val="32"/>
          <w:lang w:val="en-US" w:eastAsia="zh-CN"/>
        </w:rPr>
        <w:t>1</w:t>
      </w:r>
    </w:p>
    <w:p>
      <w:pPr>
        <w:pStyle w:val="6"/>
        <w:widowControl/>
        <w:spacing w:beforeAutospacing="0" w:afterAutospacing="0" w:line="600" w:lineRule="exact"/>
        <w:ind w:firstLine="640" w:firstLineChars="200"/>
        <w:jc w:val="both"/>
        <w:outlineLvl w:val="1"/>
        <w:rPr>
          <w:rFonts w:hint="eastAsia" w:ascii="Times New Roman" w:hAnsi="Times New Roman" w:eastAsia="仿宋_GB2312" w:cs="仿宋_GB2312"/>
          <w:color w:val="333333"/>
          <w:sz w:val="32"/>
          <w:szCs w:val="32"/>
          <w:lang w:eastAsia="zh-CN"/>
        </w:rPr>
      </w:pPr>
      <w:r>
        <w:rPr>
          <w:rFonts w:ascii="Times New Roman" w:hAnsi="Times New Roman" w:eastAsia="仿宋_GB2312" w:cs="仿宋_GB2312"/>
          <w:color w:val="333333"/>
          <w:sz w:val="32"/>
          <w:szCs w:val="32"/>
        </w:rPr>
        <w:t>（二）202</w:t>
      </w:r>
      <w:r>
        <w:rPr>
          <w:rFonts w:hint="eastAsia" w:ascii="Times New Roman" w:hAnsi="Times New Roman" w:eastAsia="仿宋_GB2312" w:cs="仿宋_GB2312"/>
          <w:color w:val="333333"/>
          <w:sz w:val="32"/>
          <w:szCs w:val="32"/>
        </w:rPr>
        <w:t>1</w:t>
      </w:r>
      <w:r>
        <w:rPr>
          <w:rFonts w:ascii="Times New Roman" w:hAnsi="Times New Roman" w:eastAsia="仿宋_GB2312" w:cs="仿宋_GB2312"/>
          <w:color w:val="333333"/>
          <w:sz w:val="32"/>
          <w:szCs w:val="32"/>
        </w:rPr>
        <w:t>年重点工作</w:t>
      </w:r>
      <w:r>
        <w:rPr>
          <w:rFonts w:hint="eastAsia" w:ascii="Times New Roman" w:hAnsi="Times New Roman" w:eastAsia="仿宋_GB2312" w:cs="仿宋_GB2312"/>
          <w:color w:val="333333"/>
          <w:sz w:val="32"/>
          <w:szCs w:val="32"/>
        </w:rPr>
        <w:t>.....................................</w:t>
      </w:r>
      <w:r>
        <w:rPr>
          <w:rFonts w:hint="eastAsia" w:ascii="Times New Roman" w:hAnsi="Times New Roman" w:eastAsia="仿宋_GB2312" w:cs="仿宋_GB2312"/>
          <w:color w:val="333333"/>
          <w:sz w:val="32"/>
          <w:szCs w:val="32"/>
          <w:lang w:val="en-US" w:eastAsia="zh-CN"/>
        </w:rPr>
        <w:t>.</w:t>
      </w:r>
      <w:r>
        <w:rPr>
          <w:rFonts w:hint="eastAsia" w:ascii="Times New Roman" w:hAnsi="Times New Roman" w:eastAsia="仿宋_GB2312" w:cs="仿宋_GB2312"/>
          <w:color w:val="333333"/>
          <w:sz w:val="32"/>
          <w:szCs w:val="32"/>
        </w:rPr>
        <w:t>.</w:t>
      </w:r>
      <w:r>
        <w:rPr>
          <w:rFonts w:hint="eastAsia" w:ascii="Times New Roman" w:hAnsi="Times New Roman" w:eastAsia="仿宋_GB2312" w:cs="仿宋_GB2312"/>
          <w:color w:val="333333"/>
          <w:sz w:val="32"/>
          <w:szCs w:val="32"/>
          <w:lang w:val="en-US" w:eastAsia="zh-CN"/>
        </w:rPr>
        <w:t>1</w:t>
      </w:r>
    </w:p>
    <w:p>
      <w:pPr>
        <w:pStyle w:val="6"/>
        <w:widowControl/>
        <w:spacing w:beforeAutospacing="0" w:afterAutospacing="0" w:line="600" w:lineRule="exact"/>
        <w:ind w:firstLine="640" w:firstLineChars="200"/>
        <w:jc w:val="both"/>
        <w:outlineLvl w:val="1"/>
        <w:rPr>
          <w:rFonts w:hint="eastAsia" w:ascii="Times New Roman" w:hAnsi="Times New Roman" w:eastAsia="仿宋_GB2312" w:cs="仿宋_GB2312"/>
          <w:color w:val="333333"/>
          <w:sz w:val="32"/>
          <w:szCs w:val="32"/>
          <w:lang w:eastAsia="zh-CN"/>
        </w:rPr>
      </w:pPr>
      <w:r>
        <w:rPr>
          <w:rFonts w:hint="eastAsia" w:ascii="Times New Roman" w:hAnsi="Times New Roman" w:eastAsia="仿宋_GB2312" w:cs="仿宋_GB2312"/>
          <w:color w:val="333333"/>
          <w:sz w:val="32"/>
          <w:szCs w:val="32"/>
        </w:rPr>
        <w:t>二、机构设置情况................................................</w:t>
      </w:r>
      <w:r>
        <w:rPr>
          <w:rFonts w:hint="eastAsia" w:ascii="Times New Roman" w:hAnsi="Times New Roman" w:eastAsia="仿宋_GB2312" w:cs="仿宋_GB2312"/>
          <w:color w:val="333333"/>
          <w:sz w:val="32"/>
          <w:szCs w:val="32"/>
          <w:lang w:val="en-US" w:eastAsia="zh-CN"/>
        </w:rPr>
        <w:t>2</w:t>
      </w:r>
    </w:p>
    <w:p>
      <w:pPr>
        <w:pStyle w:val="6"/>
        <w:widowControl/>
        <w:spacing w:beforeAutospacing="0" w:afterAutospacing="0" w:line="600" w:lineRule="exact"/>
        <w:ind w:firstLine="640" w:firstLineChars="200"/>
        <w:jc w:val="both"/>
        <w:outlineLvl w:val="1"/>
        <w:rPr>
          <w:rFonts w:hint="eastAsia" w:ascii="Times New Roman" w:hAnsi="Times New Roman" w:eastAsia="仿宋_GB2312" w:cs="仿宋_GB2312"/>
          <w:color w:val="333333"/>
          <w:sz w:val="32"/>
          <w:szCs w:val="32"/>
          <w:lang w:eastAsia="zh-CN"/>
        </w:rPr>
      </w:pPr>
      <w:r>
        <w:rPr>
          <w:rFonts w:hint="eastAsia" w:ascii="Times New Roman" w:hAnsi="Times New Roman" w:eastAsia="仿宋_GB2312" w:cs="仿宋_GB2312"/>
          <w:color w:val="333333"/>
          <w:sz w:val="32"/>
          <w:szCs w:val="32"/>
        </w:rPr>
        <w:t>三、收支预算情况说明........................................</w:t>
      </w:r>
      <w:r>
        <w:rPr>
          <w:rFonts w:hint="eastAsia" w:ascii="Times New Roman" w:hAnsi="Times New Roman" w:eastAsia="仿宋_GB2312" w:cs="仿宋_GB2312"/>
          <w:color w:val="333333"/>
          <w:sz w:val="32"/>
          <w:szCs w:val="32"/>
          <w:lang w:val="en-US" w:eastAsia="zh-CN"/>
        </w:rPr>
        <w:t>2</w:t>
      </w:r>
    </w:p>
    <w:p>
      <w:pPr>
        <w:pStyle w:val="6"/>
        <w:widowControl/>
        <w:spacing w:beforeAutospacing="0" w:afterAutospacing="0" w:line="600" w:lineRule="exact"/>
        <w:ind w:firstLine="640" w:firstLineChars="200"/>
        <w:jc w:val="both"/>
        <w:outlineLvl w:val="1"/>
        <w:rPr>
          <w:rFonts w:hint="eastAsia" w:ascii="Times New Roman" w:hAnsi="Times New Roman" w:eastAsia="仿宋_GB2312" w:cs="仿宋_GB2312"/>
          <w:color w:val="333333"/>
          <w:sz w:val="32"/>
          <w:szCs w:val="32"/>
          <w:lang w:eastAsia="zh-CN"/>
        </w:rPr>
      </w:pPr>
      <w:r>
        <w:rPr>
          <w:rFonts w:ascii="Times New Roman" w:hAnsi="Times New Roman" w:eastAsia="仿宋_GB2312" w:cs="仿宋_GB2312"/>
          <w:color w:val="333333"/>
          <w:sz w:val="32"/>
          <w:szCs w:val="32"/>
        </w:rPr>
        <w:t>（一）收入预算情况</w:t>
      </w:r>
      <w:r>
        <w:rPr>
          <w:rFonts w:hint="eastAsia" w:ascii="Times New Roman" w:hAnsi="Times New Roman" w:eastAsia="仿宋_GB2312" w:cs="仿宋_GB2312"/>
          <w:color w:val="333333"/>
          <w:sz w:val="32"/>
          <w:szCs w:val="32"/>
        </w:rPr>
        <w:t>............................................</w:t>
      </w:r>
      <w:r>
        <w:rPr>
          <w:rFonts w:hint="eastAsia" w:ascii="Times New Roman" w:hAnsi="Times New Roman" w:eastAsia="仿宋_GB2312" w:cs="仿宋_GB2312"/>
          <w:color w:val="333333"/>
          <w:sz w:val="32"/>
          <w:szCs w:val="32"/>
          <w:lang w:val="en-US" w:eastAsia="zh-CN"/>
        </w:rPr>
        <w:t>3</w:t>
      </w:r>
    </w:p>
    <w:p>
      <w:pPr>
        <w:pStyle w:val="6"/>
        <w:widowControl/>
        <w:spacing w:beforeAutospacing="0" w:afterAutospacing="0" w:line="600" w:lineRule="exact"/>
        <w:ind w:firstLine="640" w:firstLineChars="200"/>
        <w:jc w:val="both"/>
        <w:outlineLvl w:val="1"/>
        <w:rPr>
          <w:rFonts w:hint="eastAsia" w:ascii="Times New Roman" w:hAnsi="Times New Roman" w:eastAsia="仿宋_GB2312" w:cs="仿宋_GB2312"/>
          <w:color w:val="333333"/>
          <w:sz w:val="32"/>
          <w:szCs w:val="32"/>
          <w:lang w:eastAsia="zh-CN"/>
        </w:rPr>
      </w:pPr>
      <w:r>
        <w:rPr>
          <w:rFonts w:ascii="Times New Roman" w:hAnsi="Times New Roman" w:eastAsia="仿宋_GB2312" w:cs="仿宋_GB2312"/>
          <w:color w:val="333333"/>
          <w:sz w:val="32"/>
          <w:szCs w:val="32"/>
        </w:rPr>
        <w:t>（二）支出预算情况</w:t>
      </w:r>
      <w:r>
        <w:rPr>
          <w:rFonts w:hint="eastAsia" w:ascii="Times New Roman" w:hAnsi="Times New Roman" w:eastAsia="仿宋_GB2312" w:cs="仿宋_GB2312"/>
          <w:color w:val="333333"/>
          <w:sz w:val="32"/>
          <w:szCs w:val="32"/>
        </w:rPr>
        <w:t>............................................</w:t>
      </w:r>
      <w:r>
        <w:rPr>
          <w:rFonts w:hint="eastAsia" w:ascii="Times New Roman" w:hAnsi="Times New Roman" w:eastAsia="仿宋_GB2312" w:cs="仿宋_GB2312"/>
          <w:color w:val="333333"/>
          <w:sz w:val="32"/>
          <w:szCs w:val="32"/>
          <w:lang w:val="en-US" w:eastAsia="zh-CN"/>
        </w:rPr>
        <w:t>3</w:t>
      </w:r>
    </w:p>
    <w:p>
      <w:pPr>
        <w:pStyle w:val="6"/>
        <w:widowControl/>
        <w:spacing w:beforeAutospacing="0" w:afterAutospacing="0" w:line="600" w:lineRule="exact"/>
        <w:ind w:firstLine="640" w:firstLineChars="200"/>
        <w:jc w:val="both"/>
        <w:outlineLvl w:val="1"/>
        <w:rPr>
          <w:rFonts w:hint="eastAsia" w:ascii="Times New Roman" w:hAnsi="Times New Roman" w:eastAsia="仿宋_GB2312" w:cs="仿宋_GB2312"/>
          <w:color w:val="333333"/>
          <w:sz w:val="32"/>
          <w:szCs w:val="32"/>
          <w:lang w:eastAsia="zh-CN"/>
        </w:rPr>
      </w:pPr>
      <w:r>
        <w:rPr>
          <w:rFonts w:ascii="Times New Roman" w:hAnsi="Times New Roman" w:eastAsia="仿宋_GB2312" w:cs="仿宋_GB2312"/>
          <w:color w:val="333333"/>
          <w:sz w:val="32"/>
          <w:szCs w:val="32"/>
        </w:rPr>
        <w:t>四、财政拨款收支预算情况说明</w:t>
      </w:r>
      <w:r>
        <w:rPr>
          <w:rFonts w:hint="eastAsia" w:ascii="Times New Roman" w:hAnsi="Times New Roman" w:eastAsia="仿宋_GB2312" w:cs="仿宋_GB2312"/>
          <w:color w:val="333333"/>
          <w:sz w:val="32"/>
          <w:szCs w:val="32"/>
        </w:rPr>
        <w:t>........................</w:t>
      </w:r>
      <w:r>
        <w:rPr>
          <w:rFonts w:hint="eastAsia" w:ascii="Times New Roman" w:hAnsi="Times New Roman" w:eastAsia="仿宋_GB2312" w:cs="仿宋_GB2312"/>
          <w:color w:val="333333"/>
          <w:sz w:val="32"/>
          <w:szCs w:val="32"/>
          <w:lang w:val="en-US" w:eastAsia="zh-CN"/>
        </w:rPr>
        <w:t>3</w:t>
      </w:r>
    </w:p>
    <w:p>
      <w:pPr>
        <w:pStyle w:val="6"/>
        <w:widowControl/>
        <w:spacing w:beforeAutospacing="0" w:afterAutospacing="0" w:line="600" w:lineRule="exact"/>
        <w:ind w:firstLine="640" w:firstLineChars="200"/>
        <w:jc w:val="both"/>
        <w:outlineLvl w:val="1"/>
        <w:rPr>
          <w:rFonts w:hint="eastAsia" w:ascii="Times New Roman" w:hAnsi="Times New Roman" w:eastAsia="仿宋_GB2312" w:cs="仿宋_GB2312"/>
          <w:color w:val="333333"/>
          <w:sz w:val="32"/>
          <w:szCs w:val="32"/>
          <w:lang w:eastAsia="zh-CN"/>
        </w:rPr>
      </w:pPr>
      <w:r>
        <w:rPr>
          <w:rFonts w:ascii="Times New Roman" w:hAnsi="Times New Roman" w:eastAsia="仿宋_GB2312" w:cs="仿宋_GB2312"/>
          <w:color w:val="333333"/>
          <w:sz w:val="32"/>
          <w:szCs w:val="32"/>
        </w:rPr>
        <w:t>五、一般公共预算当年拨款情况说明</w:t>
      </w:r>
      <w:r>
        <w:rPr>
          <w:rFonts w:hint="eastAsia" w:ascii="Times New Roman" w:hAnsi="Times New Roman" w:eastAsia="仿宋_GB2312" w:cs="仿宋_GB2312"/>
          <w:color w:val="333333"/>
          <w:sz w:val="32"/>
          <w:szCs w:val="32"/>
        </w:rPr>
        <w:t>................</w:t>
      </w:r>
      <w:r>
        <w:rPr>
          <w:rFonts w:hint="eastAsia" w:ascii="Times New Roman" w:hAnsi="Times New Roman" w:eastAsia="仿宋_GB2312" w:cs="仿宋_GB2312"/>
          <w:color w:val="333333"/>
          <w:sz w:val="32"/>
          <w:szCs w:val="32"/>
          <w:lang w:val="en-US" w:eastAsia="zh-CN"/>
        </w:rPr>
        <w:t>3</w:t>
      </w:r>
    </w:p>
    <w:p>
      <w:pPr>
        <w:pStyle w:val="6"/>
        <w:widowControl/>
        <w:spacing w:beforeAutospacing="0" w:afterAutospacing="0" w:line="600" w:lineRule="exact"/>
        <w:ind w:firstLine="640" w:firstLineChars="200"/>
        <w:jc w:val="both"/>
        <w:outlineLvl w:val="1"/>
        <w:rPr>
          <w:rFonts w:hint="eastAsia" w:ascii="Times New Roman" w:hAnsi="Times New Roman" w:eastAsia="仿宋_GB2312" w:cs="仿宋_GB2312"/>
          <w:color w:val="333333"/>
          <w:sz w:val="32"/>
          <w:szCs w:val="32"/>
          <w:lang w:eastAsia="zh-CN"/>
        </w:rPr>
      </w:pPr>
      <w:r>
        <w:rPr>
          <w:rFonts w:ascii="Times New Roman" w:hAnsi="Times New Roman" w:eastAsia="仿宋_GB2312" w:cs="仿宋_GB2312"/>
          <w:color w:val="333333"/>
          <w:sz w:val="32"/>
          <w:szCs w:val="32"/>
        </w:rPr>
        <w:t>（一）一般公共预算当年拨款规模变化情况</w:t>
      </w:r>
      <w:r>
        <w:rPr>
          <w:rFonts w:hint="eastAsia" w:ascii="Times New Roman" w:hAnsi="Times New Roman" w:eastAsia="仿宋_GB2312" w:cs="仿宋_GB2312"/>
          <w:color w:val="333333"/>
          <w:sz w:val="32"/>
          <w:szCs w:val="32"/>
        </w:rPr>
        <w:t>....</w:t>
      </w:r>
      <w:r>
        <w:rPr>
          <w:rFonts w:hint="eastAsia" w:ascii="Times New Roman" w:hAnsi="Times New Roman" w:eastAsia="仿宋_GB2312" w:cs="仿宋_GB2312"/>
          <w:color w:val="333333"/>
          <w:sz w:val="32"/>
          <w:szCs w:val="32"/>
          <w:lang w:val="en-US" w:eastAsia="zh-CN"/>
        </w:rPr>
        <w:t>3</w:t>
      </w:r>
    </w:p>
    <w:p>
      <w:pPr>
        <w:pStyle w:val="6"/>
        <w:widowControl/>
        <w:spacing w:beforeAutospacing="0" w:afterAutospacing="0" w:line="600" w:lineRule="exact"/>
        <w:ind w:firstLine="640" w:firstLineChars="200"/>
        <w:jc w:val="both"/>
        <w:outlineLvl w:val="1"/>
        <w:rPr>
          <w:rFonts w:hint="eastAsia" w:ascii="Times New Roman" w:hAnsi="Times New Roman" w:eastAsia="仿宋_GB2312" w:cs="仿宋_GB2312"/>
          <w:color w:val="333333"/>
          <w:sz w:val="32"/>
          <w:szCs w:val="32"/>
          <w:lang w:eastAsia="zh-CN"/>
        </w:rPr>
      </w:pPr>
      <w:r>
        <w:rPr>
          <w:rFonts w:ascii="Times New Roman" w:hAnsi="Times New Roman" w:eastAsia="仿宋_GB2312" w:cs="仿宋_GB2312"/>
          <w:color w:val="333333"/>
          <w:sz w:val="32"/>
          <w:szCs w:val="32"/>
        </w:rPr>
        <w:t>（二）一般公共预算当年拨款结构情况</w:t>
      </w:r>
      <w:r>
        <w:rPr>
          <w:rFonts w:hint="eastAsia" w:ascii="Times New Roman" w:hAnsi="Times New Roman" w:eastAsia="仿宋_GB2312" w:cs="仿宋_GB2312"/>
          <w:color w:val="333333"/>
          <w:sz w:val="32"/>
          <w:szCs w:val="32"/>
        </w:rPr>
        <w:t>............</w:t>
      </w:r>
      <w:r>
        <w:rPr>
          <w:rFonts w:hint="eastAsia" w:ascii="Times New Roman" w:hAnsi="Times New Roman" w:eastAsia="仿宋_GB2312" w:cs="仿宋_GB2312"/>
          <w:color w:val="333333"/>
          <w:sz w:val="32"/>
          <w:szCs w:val="32"/>
          <w:lang w:val="en-US" w:eastAsia="zh-CN"/>
        </w:rPr>
        <w:t>3</w:t>
      </w:r>
    </w:p>
    <w:p>
      <w:pPr>
        <w:pStyle w:val="6"/>
        <w:widowControl/>
        <w:spacing w:beforeAutospacing="0" w:afterAutospacing="0" w:line="600" w:lineRule="exact"/>
        <w:ind w:firstLine="640" w:firstLineChars="200"/>
        <w:jc w:val="both"/>
        <w:outlineLvl w:val="1"/>
        <w:rPr>
          <w:rFonts w:hint="eastAsia" w:ascii="Times New Roman" w:hAnsi="Times New Roman" w:eastAsia="仿宋_GB2312" w:cs="仿宋_GB2312"/>
          <w:color w:val="333333"/>
          <w:sz w:val="32"/>
          <w:szCs w:val="32"/>
          <w:lang w:eastAsia="zh-CN"/>
        </w:rPr>
      </w:pPr>
      <w:r>
        <w:rPr>
          <w:rFonts w:ascii="Times New Roman" w:hAnsi="Times New Roman" w:eastAsia="仿宋_GB2312" w:cs="仿宋_GB2312"/>
          <w:color w:val="333333"/>
          <w:sz w:val="32"/>
          <w:szCs w:val="32"/>
        </w:rPr>
        <w:t>（三）一般公共预算当年拨款具体使用情况</w:t>
      </w:r>
      <w:r>
        <w:rPr>
          <w:rFonts w:hint="eastAsia" w:ascii="Times New Roman" w:hAnsi="Times New Roman" w:eastAsia="仿宋_GB2312" w:cs="仿宋_GB2312"/>
          <w:color w:val="333333"/>
          <w:sz w:val="32"/>
          <w:szCs w:val="32"/>
        </w:rPr>
        <w:t>....</w:t>
      </w:r>
      <w:r>
        <w:rPr>
          <w:rFonts w:hint="eastAsia" w:ascii="Times New Roman" w:hAnsi="Times New Roman" w:eastAsia="仿宋_GB2312" w:cs="仿宋_GB2312"/>
          <w:color w:val="333333"/>
          <w:sz w:val="32"/>
          <w:szCs w:val="32"/>
          <w:lang w:val="en-US" w:eastAsia="zh-CN"/>
        </w:rPr>
        <w:t>5</w:t>
      </w:r>
    </w:p>
    <w:p>
      <w:pPr>
        <w:pStyle w:val="6"/>
        <w:widowControl/>
        <w:spacing w:beforeAutospacing="0" w:afterAutospacing="0" w:line="600" w:lineRule="exact"/>
        <w:ind w:firstLine="640" w:firstLineChars="200"/>
        <w:jc w:val="both"/>
        <w:outlineLvl w:val="1"/>
        <w:rPr>
          <w:rFonts w:hint="eastAsia" w:ascii="Times New Roman" w:hAnsi="Times New Roman" w:eastAsia="仿宋_GB2312" w:cs="仿宋_GB2312"/>
          <w:color w:val="333333"/>
          <w:sz w:val="32"/>
          <w:szCs w:val="32"/>
          <w:lang w:eastAsia="zh-CN"/>
        </w:rPr>
      </w:pPr>
      <w:r>
        <w:rPr>
          <w:rFonts w:ascii="Times New Roman" w:hAnsi="Times New Roman" w:eastAsia="仿宋_GB2312" w:cs="仿宋_GB2312"/>
          <w:color w:val="333333"/>
          <w:sz w:val="32"/>
          <w:szCs w:val="32"/>
        </w:rPr>
        <w:t>六、一般公共预算基本支出情况说明</w:t>
      </w:r>
      <w:r>
        <w:rPr>
          <w:rFonts w:hint="eastAsia" w:ascii="Times New Roman" w:hAnsi="Times New Roman" w:eastAsia="仿宋_GB2312" w:cs="仿宋_GB2312"/>
          <w:color w:val="333333"/>
          <w:sz w:val="32"/>
          <w:szCs w:val="32"/>
        </w:rPr>
        <w:t>................</w:t>
      </w:r>
      <w:r>
        <w:rPr>
          <w:rFonts w:hint="eastAsia" w:ascii="Times New Roman" w:hAnsi="Times New Roman" w:eastAsia="仿宋_GB2312" w:cs="仿宋_GB2312"/>
          <w:color w:val="333333"/>
          <w:sz w:val="32"/>
          <w:szCs w:val="32"/>
          <w:lang w:val="en-US" w:eastAsia="zh-CN"/>
        </w:rPr>
        <w:t>5</w:t>
      </w:r>
    </w:p>
    <w:p>
      <w:pPr>
        <w:pStyle w:val="6"/>
        <w:widowControl/>
        <w:spacing w:beforeAutospacing="0" w:afterAutospacing="0" w:line="600" w:lineRule="exact"/>
        <w:ind w:firstLine="640" w:firstLineChars="200"/>
        <w:jc w:val="both"/>
        <w:outlineLvl w:val="1"/>
        <w:rPr>
          <w:rFonts w:hint="eastAsia" w:ascii="Times New Roman" w:hAnsi="Times New Roman" w:eastAsia="仿宋_GB2312" w:cs="仿宋_GB2312"/>
          <w:color w:val="333333"/>
          <w:sz w:val="32"/>
          <w:szCs w:val="32"/>
          <w:lang w:eastAsia="zh-CN"/>
        </w:rPr>
      </w:pPr>
      <w:r>
        <w:rPr>
          <w:rFonts w:ascii="Times New Roman" w:hAnsi="Times New Roman" w:eastAsia="仿宋_GB2312" w:cs="仿宋_GB2312"/>
          <w:color w:val="333333"/>
          <w:sz w:val="32"/>
          <w:szCs w:val="32"/>
        </w:rPr>
        <w:t>七、“三公”经费财政拨款预算安排情况说明</w:t>
      </w:r>
      <w:r>
        <w:rPr>
          <w:rFonts w:hint="eastAsia" w:ascii="Times New Roman" w:hAnsi="Times New Roman" w:eastAsia="仿宋_GB2312" w:cs="仿宋_GB2312"/>
          <w:color w:val="333333"/>
          <w:sz w:val="32"/>
          <w:szCs w:val="32"/>
        </w:rPr>
        <w:t>.....</w:t>
      </w:r>
      <w:r>
        <w:rPr>
          <w:rFonts w:hint="eastAsia" w:ascii="Times New Roman" w:hAnsi="Times New Roman" w:eastAsia="仿宋_GB2312" w:cs="仿宋_GB2312"/>
          <w:color w:val="333333"/>
          <w:sz w:val="32"/>
          <w:szCs w:val="32"/>
          <w:lang w:val="en-US" w:eastAsia="zh-CN"/>
        </w:rPr>
        <w:t>6</w:t>
      </w:r>
    </w:p>
    <w:p>
      <w:pPr>
        <w:pStyle w:val="6"/>
        <w:widowControl/>
        <w:spacing w:beforeAutospacing="0" w:afterAutospacing="0" w:line="600" w:lineRule="exact"/>
        <w:ind w:firstLine="640" w:firstLineChars="200"/>
        <w:jc w:val="both"/>
        <w:outlineLvl w:val="1"/>
        <w:rPr>
          <w:rFonts w:hint="eastAsia" w:ascii="Times New Roman" w:hAnsi="Times New Roman" w:eastAsia="仿宋_GB2312" w:cs="仿宋_GB2312"/>
          <w:color w:val="333333"/>
          <w:sz w:val="32"/>
          <w:szCs w:val="32"/>
          <w:lang w:val="en-US" w:eastAsia="zh-CN"/>
        </w:rPr>
      </w:pPr>
      <w:r>
        <w:rPr>
          <w:rFonts w:ascii="Times New Roman" w:hAnsi="Times New Roman" w:eastAsia="仿宋_GB2312" w:cs="仿宋_GB2312"/>
          <w:color w:val="333333"/>
          <w:sz w:val="32"/>
          <w:szCs w:val="32"/>
        </w:rPr>
        <w:t>八、政府性基金预算支出情况说明</w:t>
      </w:r>
      <w:r>
        <w:rPr>
          <w:rFonts w:hint="eastAsia" w:ascii="Times New Roman" w:hAnsi="Times New Roman" w:eastAsia="仿宋_GB2312" w:cs="仿宋_GB2312"/>
          <w:color w:val="333333"/>
          <w:sz w:val="32"/>
          <w:szCs w:val="32"/>
        </w:rPr>
        <w:t>.....................</w:t>
      </w:r>
      <w:r>
        <w:rPr>
          <w:rFonts w:hint="eastAsia" w:ascii="Times New Roman" w:hAnsi="Times New Roman" w:eastAsia="仿宋_GB2312" w:cs="仿宋_GB2312"/>
          <w:color w:val="333333"/>
          <w:sz w:val="32"/>
          <w:szCs w:val="32"/>
          <w:lang w:val="en-US" w:eastAsia="zh-CN"/>
        </w:rPr>
        <w:t>7</w:t>
      </w:r>
    </w:p>
    <w:p>
      <w:pPr>
        <w:pStyle w:val="6"/>
        <w:widowControl/>
        <w:spacing w:beforeAutospacing="0" w:afterAutospacing="0" w:line="600" w:lineRule="exact"/>
        <w:ind w:firstLine="640" w:firstLineChars="200"/>
        <w:jc w:val="both"/>
        <w:outlineLvl w:val="1"/>
        <w:rPr>
          <w:rFonts w:hint="eastAsia" w:ascii="Times New Roman" w:hAnsi="Times New Roman" w:eastAsia="仿宋_GB2312" w:cs="仿宋_GB2312"/>
          <w:color w:val="333333"/>
          <w:sz w:val="32"/>
          <w:szCs w:val="32"/>
          <w:lang w:eastAsia="zh-CN"/>
        </w:rPr>
      </w:pPr>
      <w:r>
        <w:rPr>
          <w:rFonts w:ascii="Times New Roman" w:hAnsi="Times New Roman" w:eastAsia="仿宋_GB2312" w:cs="仿宋_GB2312"/>
          <w:color w:val="333333"/>
          <w:sz w:val="32"/>
          <w:szCs w:val="32"/>
        </w:rPr>
        <w:t>九、其他重要事项的情况说明</w:t>
      </w:r>
      <w:r>
        <w:rPr>
          <w:rFonts w:hint="eastAsia" w:ascii="Times New Roman" w:hAnsi="Times New Roman" w:eastAsia="仿宋_GB2312" w:cs="仿宋_GB2312"/>
          <w:color w:val="333333"/>
          <w:sz w:val="32"/>
          <w:szCs w:val="32"/>
        </w:rPr>
        <w:t>............................</w:t>
      </w:r>
      <w:r>
        <w:rPr>
          <w:rFonts w:hint="eastAsia" w:ascii="Times New Roman" w:hAnsi="Times New Roman" w:eastAsia="仿宋_GB2312" w:cs="仿宋_GB2312"/>
          <w:color w:val="333333"/>
          <w:sz w:val="32"/>
          <w:szCs w:val="32"/>
          <w:lang w:val="en-US" w:eastAsia="zh-CN"/>
        </w:rPr>
        <w:t>7</w:t>
      </w:r>
    </w:p>
    <w:p>
      <w:pPr>
        <w:pStyle w:val="6"/>
        <w:widowControl/>
        <w:spacing w:beforeAutospacing="0" w:afterAutospacing="0" w:line="600" w:lineRule="exact"/>
        <w:ind w:firstLine="640" w:firstLineChars="200"/>
        <w:jc w:val="both"/>
        <w:outlineLvl w:val="1"/>
        <w:rPr>
          <w:rFonts w:ascii="Times New Roman" w:hAnsi="Times New Roman" w:eastAsia="仿宋_GB2312" w:cs="仿宋_GB2312"/>
          <w:color w:val="333333"/>
          <w:sz w:val="32"/>
          <w:szCs w:val="32"/>
        </w:rPr>
        <w:sectPr>
          <w:footerReference r:id="rId3" w:type="default"/>
          <w:pgSz w:w="11906" w:h="16838"/>
          <w:pgMar w:top="2098" w:right="1474" w:bottom="1985" w:left="1588" w:header="851" w:footer="992" w:gutter="0"/>
          <w:pgNumType w:fmt="numberInDash" w:start="1"/>
          <w:cols w:space="720" w:num="1"/>
          <w:docGrid w:type="lines" w:linePitch="435" w:charSpace="0"/>
        </w:sectPr>
      </w:pPr>
    </w:p>
    <w:p>
      <w:pPr>
        <w:pStyle w:val="6"/>
        <w:widowControl/>
        <w:spacing w:beforeAutospacing="0" w:afterAutospacing="0" w:line="600" w:lineRule="exact"/>
        <w:ind w:firstLine="640" w:firstLineChars="200"/>
        <w:jc w:val="both"/>
        <w:outlineLvl w:val="1"/>
        <w:rPr>
          <w:rFonts w:hint="eastAsia" w:ascii="Times New Roman" w:hAnsi="Times New Roman" w:eastAsia="仿宋_GB2312" w:cs="仿宋_GB2312"/>
          <w:color w:val="333333"/>
          <w:sz w:val="32"/>
          <w:szCs w:val="32"/>
          <w:lang w:eastAsia="zh-CN"/>
        </w:rPr>
      </w:pPr>
      <w:r>
        <w:rPr>
          <w:rFonts w:ascii="Times New Roman" w:hAnsi="Times New Roman" w:eastAsia="仿宋_GB2312" w:cs="仿宋_GB2312"/>
          <w:color w:val="333333"/>
          <w:sz w:val="32"/>
          <w:szCs w:val="32"/>
        </w:rPr>
        <w:t>（一）机关运行经费</w:t>
      </w:r>
      <w:r>
        <w:rPr>
          <w:rFonts w:hint="eastAsia" w:ascii="Times New Roman" w:hAnsi="Times New Roman" w:eastAsia="仿宋_GB2312" w:cs="仿宋_GB2312"/>
          <w:color w:val="333333"/>
          <w:sz w:val="32"/>
          <w:szCs w:val="32"/>
        </w:rPr>
        <w:t>............................................</w:t>
      </w:r>
      <w:r>
        <w:rPr>
          <w:rFonts w:hint="eastAsia" w:ascii="Times New Roman" w:hAnsi="Times New Roman" w:eastAsia="仿宋_GB2312" w:cs="仿宋_GB2312"/>
          <w:color w:val="333333"/>
          <w:sz w:val="32"/>
          <w:szCs w:val="32"/>
          <w:lang w:val="en-US" w:eastAsia="zh-CN"/>
        </w:rPr>
        <w:t>7</w:t>
      </w:r>
    </w:p>
    <w:p>
      <w:pPr>
        <w:pStyle w:val="6"/>
        <w:widowControl/>
        <w:spacing w:beforeAutospacing="0" w:afterAutospacing="0" w:line="600" w:lineRule="exact"/>
        <w:ind w:firstLine="640" w:firstLineChars="200"/>
        <w:jc w:val="both"/>
        <w:outlineLvl w:val="1"/>
        <w:rPr>
          <w:rFonts w:hint="eastAsia" w:ascii="Times New Roman" w:hAnsi="Times New Roman" w:eastAsia="仿宋_GB2312" w:cs="仿宋_GB2312"/>
          <w:color w:val="333333"/>
          <w:sz w:val="32"/>
          <w:szCs w:val="32"/>
          <w:lang w:eastAsia="zh-CN"/>
        </w:rPr>
      </w:pPr>
      <w:r>
        <w:rPr>
          <w:rFonts w:ascii="Times New Roman" w:hAnsi="Times New Roman" w:eastAsia="仿宋_GB2312" w:cs="仿宋_GB2312"/>
          <w:color w:val="333333"/>
          <w:sz w:val="32"/>
          <w:szCs w:val="32"/>
        </w:rPr>
        <w:t>（二）国有资产占有使用情况</w:t>
      </w:r>
      <w:r>
        <w:rPr>
          <w:rFonts w:hint="eastAsia" w:ascii="Times New Roman" w:hAnsi="Times New Roman" w:eastAsia="仿宋_GB2312" w:cs="仿宋_GB2312"/>
          <w:color w:val="333333"/>
          <w:sz w:val="32"/>
          <w:szCs w:val="32"/>
        </w:rPr>
        <w:t>............................</w:t>
      </w:r>
      <w:r>
        <w:rPr>
          <w:rFonts w:hint="eastAsia" w:ascii="Times New Roman" w:hAnsi="Times New Roman" w:eastAsia="仿宋_GB2312" w:cs="仿宋_GB2312"/>
          <w:color w:val="333333"/>
          <w:sz w:val="32"/>
          <w:szCs w:val="32"/>
          <w:lang w:val="en-US" w:eastAsia="zh-CN"/>
        </w:rPr>
        <w:t>7</w:t>
      </w:r>
    </w:p>
    <w:p>
      <w:pPr>
        <w:pStyle w:val="6"/>
        <w:widowControl/>
        <w:spacing w:beforeAutospacing="0" w:afterAutospacing="0" w:line="600" w:lineRule="exact"/>
        <w:ind w:firstLine="640" w:firstLineChars="200"/>
        <w:jc w:val="both"/>
        <w:outlineLvl w:val="1"/>
        <w:rPr>
          <w:rFonts w:hint="eastAsia" w:ascii="Times New Roman" w:hAnsi="Times New Roman" w:eastAsia="仿宋_GB2312" w:cs="仿宋_GB2312"/>
          <w:color w:val="333333"/>
          <w:sz w:val="32"/>
          <w:szCs w:val="32"/>
          <w:lang w:eastAsia="zh-CN"/>
        </w:rPr>
      </w:pPr>
      <w:r>
        <w:rPr>
          <w:rFonts w:ascii="Times New Roman" w:hAnsi="Times New Roman" w:eastAsia="仿宋_GB2312" w:cs="仿宋_GB2312"/>
          <w:color w:val="333333"/>
          <w:sz w:val="32"/>
          <w:szCs w:val="32"/>
        </w:rPr>
        <w:t>（三）绩效目标设置情况</w:t>
      </w:r>
      <w:r>
        <w:rPr>
          <w:rFonts w:hint="eastAsia" w:ascii="Times New Roman" w:hAnsi="Times New Roman" w:eastAsia="仿宋_GB2312" w:cs="仿宋_GB2312"/>
          <w:color w:val="333333"/>
          <w:sz w:val="32"/>
          <w:szCs w:val="32"/>
        </w:rPr>
        <w:t>....................................</w:t>
      </w:r>
      <w:r>
        <w:rPr>
          <w:rFonts w:hint="eastAsia" w:ascii="Times New Roman" w:hAnsi="Times New Roman" w:eastAsia="仿宋_GB2312" w:cs="仿宋_GB2312"/>
          <w:color w:val="333333"/>
          <w:sz w:val="32"/>
          <w:szCs w:val="32"/>
          <w:lang w:val="en-US" w:eastAsia="zh-CN"/>
        </w:rPr>
        <w:t>7</w:t>
      </w:r>
    </w:p>
    <w:p>
      <w:pPr>
        <w:pStyle w:val="6"/>
        <w:widowControl/>
        <w:spacing w:beforeAutospacing="0" w:afterAutospacing="0" w:line="600" w:lineRule="exact"/>
        <w:ind w:firstLine="640" w:firstLineChars="200"/>
        <w:jc w:val="both"/>
        <w:outlineLvl w:val="1"/>
        <w:rPr>
          <w:rFonts w:hint="eastAsia" w:ascii="Times New Roman" w:hAnsi="Times New Roman" w:eastAsia="仿宋_GB2312" w:cs="仿宋_GB2312"/>
          <w:color w:val="333333"/>
          <w:sz w:val="32"/>
          <w:szCs w:val="32"/>
          <w:lang w:val="en-US" w:eastAsia="zh-CN"/>
        </w:rPr>
      </w:pPr>
      <w:r>
        <w:rPr>
          <w:rFonts w:ascii="Times New Roman" w:hAnsi="Times New Roman" w:eastAsia="仿宋_GB2312" w:cs="仿宋_GB2312"/>
          <w:color w:val="333333"/>
          <w:sz w:val="32"/>
          <w:szCs w:val="32"/>
        </w:rPr>
        <w:t>（</w:t>
      </w:r>
      <w:r>
        <w:rPr>
          <w:rFonts w:hint="eastAsia" w:ascii="Times New Roman" w:hAnsi="Times New Roman" w:eastAsia="仿宋_GB2312" w:cs="仿宋_GB2312"/>
          <w:color w:val="333333"/>
          <w:sz w:val="32"/>
          <w:szCs w:val="32"/>
          <w:lang w:val="en-US" w:eastAsia="zh-CN"/>
        </w:rPr>
        <w:t>四</w:t>
      </w:r>
      <w:r>
        <w:rPr>
          <w:rFonts w:ascii="Times New Roman" w:hAnsi="Times New Roman" w:eastAsia="仿宋_GB2312" w:cs="仿宋_GB2312"/>
          <w:color w:val="333333"/>
          <w:sz w:val="32"/>
          <w:szCs w:val="32"/>
        </w:rPr>
        <w:t>）</w:t>
      </w:r>
      <w:r>
        <w:rPr>
          <w:rFonts w:hint="eastAsia" w:ascii="Times New Roman" w:hAnsi="Times New Roman" w:eastAsia="仿宋_GB2312" w:cs="仿宋_GB2312"/>
          <w:color w:val="333333"/>
          <w:sz w:val="32"/>
          <w:szCs w:val="32"/>
          <w:lang w:val="en-US" w:eastAsia="zh-CN"/>
        </w:rPr>
        <w:t>政府采购情况</w:t>
      </w:r>
      <w:r>
        <w:rPr>
          <w:rFonts w:hint="eastAsia" w:ascii="Times New Roman" w:hAnsi="Times New Roman" w:eastAsia="仿宋_GB2312" w:cs="仿宋_GB2312"/>
          <w:color w:val="333333"/>
          <w:sz w:val="32"/>
          <w:szCs w:val="32"/>
        </w:rPr>
        <w:t>...............................</w:t>
      </w:r>
      <w:r>
        <w:rPr>
          <w:rFonts w:hint="eastAsia" w:ascii="Times New Roman" w:hAnsi="Times New Roman" w:eastAsia="仿宋_GB2312" w:cs="仿宋_GB2312"/>
          <w:color w:val="333333"/>
          <w:sz w:val="32"/>
          <w:szCs w:val="32"/>
          <w:lang w:val="en-US" w:eastAsia="zh-CN"/>
        </w:rPr>
        <w:t>........</w:t>
      </w:r>
      <w:r>
        <w:rPr>
          <w:rFonts w:hint="eastAsia" w:ascii="Times New Roman" w:hAnsi="Times New Roman" w:eastAsia="仿宋_GB2312" w:cs="仿宋_GB2312"/>
          <w:color w:val="333333"/>
          <w:sz w:val="32"/>
          <w:szCs w:val="32"/>
        </w:rPr>
        <w:t>.....</w:t>
      </w:r>
      <w:r>
        <w:rPr>
          <w:rFonts w:hint="eastAsia" w:ascii="Times New Roman" w:hAnsi="Times New Roman" w:eastAsia="仿宋_GB2312" w:cs="仿宋_GB2312"/>
          <w:color w:val="333333"/>
          <w:sz w:val="32"/>
          <w:szCs w:val="32"/>
          <w:lang w:val="en-US" w:eastAsia="zh-CN"/>
        </w:rPr>
        <w:t>7</w:t>
      </w:r>
    </w:p>
    <w:p>
      <w:pPr>
        <w:pStyle w:val="6"/>
        <w:widowControl/>
        <w:spacing w:beforeAutospacing="0" w:afterAutospacing="0" w:line="600" w:lineRule="exact"/>
        <w:ind w:firstLine="640" w:firstLineChars="200"/>
        <w:jc w:val="both"/>
        <w:outlineLvl w:val="1"/>
        <w:rPr>
          <w:rFonts w:hint="eastAsia" w:ascii="Times New Roman" w:hAnsi="Times New Roman" w:eastAsia="仿宋_GB2312" w:cs="仿宋_GB2312"/>
          <w:color w:val="333333"/>
          <w:sz w:val="32"/>
          <w:szCs w:val="32"/>
          <w:lang w:eastAsia="zh-CN"/>
        </w:rPr>
      </w:pPr>
      <w:r>
        <w:rPr>
          <w:rFonts w:ascii="Times New Roman" w:hAnsi="Times New Roman" w:eastAsia="仿宋_GB2312" w:cs="仿宋_GB2312"/>
          <w:color w:val="333333"/>
          <w:sz w:val="32"/>
          <w:szCs w:val="32"/>
        </w:rPr>
        <w:t>十、名词解释</w:t>
      </w:r>
      <w:r>
        <w:rPr>
          <w:rFonts w:hint="eastAsia" w:ascii="Times New Roman" w:hAnsi="Times New Roman" w:eastAsia="仿宋_GB2312" w:cs="仿宋_GB2312"/>
          <w:color w:val="333333"/>
          <w:sz w:val="32"/>
          <w:szCs w:val="32"/>
        </w:rPr>
        <w:t>........................................................</w:t>
      </w:r>
      <w:r>
        <w:rPr>
          <w:rFonts w:hint="eastAsia" w:ascii="Times New Roman" w:hAnsi="Times New Roman" w:eastAsia="仿宋_GB2312" w:cs="仿宋_GB2312"/>
          <w:color w:val="333333"/>
          <w:sz w:val="32"/>
          <w:szCs w:val="32"/>
          <w:lang w:val="en-US" w:eastAsia="zh-CN"/>
        </w:rPr>
        <w:t>8</w:t>
      </w:r>
    </w:p>
    <w:p>
      <w:pPr>
        <w:spacing w:line="600" w:lineRule="exact"/>
      </w:pPr>
    </w:p>
    <w:p>
      <w:pPr>
        <w:pStyle w:val="2"/>
        <w:adjustRightInd w:val="0"/>
        <w:spacing w:beforeLines="0" w:line="560" w:lineRule="exact"/>
        <w:rPr>
          <w:rFonts w:ascii="Times New Roman" w:eastAsia="宋体" w:cs="Times New Roman"/>
          <w:b/>
          <w:bCs/>
          <w:sz w:val="32"/>
          <w:szCs w:val="32"/>
        </w:rPr>
      </w:pPr>
    </w:p>
    <w:p>
      <w:pPr>
        <w:spacing w:line="560" w:lineRule="exact"/>
        <w:ind w:firstLine="640" w:firstLineChars="200"/>
        <w:rPr>
          <w:rFonts w:hint="eastAsia" w:eastAsia="黑体" w:cs="黑体"/>
        </w:rPr>
      </w:pPr>
    </w:p>
    <w:p>
      <w:pPr>
        <w:spacing w:line="560" w:lineRule="exact"/>
        <w:ind w:firstLine="640" w:firstLineChars="200"/>
        <w:rPr>
          <w:rFonts w:hint="eastAsia" w:eastAsia="黑体" w:cs="黑体"/>
        </w:rPr>
      </w:pPr>
    </w:p>
    <w:p>
      <w:pPr>
        <w:spacing w:line="560" w:lineRule="exact"/>
        <w:ind w:firstLine="640" w:firstLineChars="200"/>
        <w:rPr>
          <w:rFonts w:hint="eastAsia" w:eastAsia="黑体" w:cs="黑体"/>
        </w:rPr>
      </w:pPr>
    </w:p>
    <w:p>
      <w:pPr>
        <w:spacing w:line="560" w:lineRule="exact"/>
        <w:ind w:firstLine="640" w:firstLineChars="200"/>
        <w:rPr>
          <w:rFonts w:hint="eastAsia" w:eastAsia="黑体" w:cs="黑体"/>
        </w:rPr>
      </w:pPr>
    </w:p>
    <w:p>
      <w:pPr>
        <w:spacing w:line="560" w:lineRule="exact"/>
        <w:ind w:firstLine="640" w:firstLineChars="200"/>
        <w:rPr>
          <w:rFonts w:hint="eastAsia" w:eastAsia="黑体" w:cs="黑体"/>
        </w:rPr>
      </w:pPr>
    </w:p>
    <w:p>
      <w:pPr>
        <w:spacing w:line="560" w:lineRule="exact"/>
        <w:ind w:firstLine="640" w:firstLineChars="200"/>
        <w:rPr>
          <w:rFonts w:hint="eastAsia" w:eastAsia="黑体" w:cs="黑体"/>
        </w:rPr>
      </w:pPr>
    </w:p>
    <w:p>
      <w:pPr>
        <w:spacing w:line="560" w:lineRule="exact"/>
        <w:ind w:firstLine="640" w:firstLineChars="200"/>
        <w:rPr>
          <w:rFonts w:hint="eastAsia" w:eastAsia="黑体" w:cs="黑体"/>
        </w:rPr>
      </w:pPr>
    </w:p>
    <w:p>
      <w:pPr>
        <w:spacing w:line="560" w:lineRule="exact"/>
        <w:ind w:firstLine="640" w:firstLineChars="200"/>
        <w:rPr>
          <w:rFonts w:hint="eastAsia" w:eastAsia="黑体" w:cs="黑体"/>
        </w:rPr>
      </w:pPr>
    </w:p>
    <w:p>
      <w:pPr>
        <w:spacing w:line="560" w:lineRule="exact"/>
        <w:ind w:firstLine="640" w:firstLineChars="200"/>
        <w:rPr>
          <w:rFonts w:hint="eastAsia" w:eastAsia="黑体" w:cs="黑体"/>
        </w:rPr>
      </w:pPr>
    </w:p>
    <w:p>
      <w:pPr>
        <w:spacing w:line="560" w:lineRule="exact"/>
        <w:ind w:firstLine="640" w:firstLineChars="200"/>
        <w:rPr>
          <w:rFonts w:hint="eastAsia" w:eastAsia="黑体" w:cs="黑体"/>
        </w:rPr>
      </w:pPr>
    </w:p>
    <w:p>
      <w:pPr>
        <w:spacing w:line="560" w:lineRule="exact"/>
        <w:ind w:firstLine="640" w:firstLineChars="200"/>
        <w:rPr>
          <w:rFonts w:hint="eastAsia" w:eastAsia="黑体" w:cs="黑体"/>
        </w:rPr>
      </w:pPr>
    </w:p>
    <w:p>
      <w:pPr>
        <w:spacing w:line="560" w:lineRule="exact"/>
        <w:ind w:firstLine="640" w:firstLineChars="200"/>
        <w:rPr>
          <w:rFonts w:hint="eastAsia" w:eastAsia="黑体" w:cs="黑体"/>
        </w:rPr>
      </w:pPr>
    </w:p>
    <w:p>
      <w:pPr>
        <w:spacing w:line="560" w:lineRule="exact"/>
        <w:ind w:firstLine="640" w:firstLineChars="200"/>
        <w:rPr>
          <w:rFonts w:hint="eastAsia" w:eastAsia="黑体" w:cs="黑体"/>
        </w:rPr>
      </w:pPr>
    </w:p>
    <w:p>
      <w:pPr>
        <w:spacing w:line="560" w:lineRule="exact"/>
        <w:ind w:firstLine="640" w:firstLineChars="200"/>
        <w:rPr>
          <w:rFonts w:hint="eastAsia" w:eastAsia="黑体" w:cs="黑体"/>
        </w:rPr>
      </w:pPr>
    </w:p>
    <w:p>
      <w:pPr>
        <w:spacing w:line="560" w:lineRule="exact"/>
        <w:rPr>
          <w:rFonts w:hint="eastAsia" w:eastAsia="黑体" w:cs="黑体"/>
        </w:rPr>
        <w:sectPr>
          <w:footerReference r:id="rId4" w:type="default"/>
          <w:pgSz w:w="11906" w:h="16838"/>
          <w:pgMar w:top="2098" w:right="1474" w:bottom="1985" w:left="1588" w:header="851" w:footer="992" w:gutter="0"/>
          <w:pgNumType w:fmt="numberInDash" w:start="1"/>
          <w:cols w:space="720" w:num="1"/>
          <w:docGrid w:type="lines" w:linePitch="435" w:charSpace="0"/>
        </w:sectPr>
      </w:pPr>
    </w:p>
    <w:p>
      <w:pPr>
        <w:spacing w:line="560" w:lineRule="exact"/>
        <w:rPr>
          <w:rFonts w:hint="eastAsia" w:eastAsia="黑体" w:cs="黑体"/>
        </w:rPr>
      </w:pPr>
    </w:p>
    <w:p>
      <w:pPr>
        <w:spacing w:line="560" w:lineRule="exact"/>
        <w:ind w:firstLine="640" w:firstLineChars="200"/>
        <w:rPr>
          <w:rFonts w:eastAsia="黑体"/>
        </w:rPr>
      </w:pPr>
      <w:r>
        <w:rPr>
          <w:rFonts w:hint="eastAsia" w:eastAsia="黑体" w:cs="黑体"/>
        </w:rPr>
        <w:t>一、基本职能及主要工作</w:t>
      </w:r>
    </w:p>
    <w:p>
      <w:pPr>
        <w:pStyle w:val="2"/>
        <w:adjustRightInd w:val="0"/>
        <w:spacing w:beforeLines="0" w:line="600" w:lineRule="exact"/>
        <w:ind w:firstLine="675" w:firstLineChars="210"/>
        <w:rPr>
          <w:sz w:val="32"/>
        </w:rPr>
      </w:pPr>
      <w:r>
        <w:rPr>
          <w:rFonts w:hint="eastAsia" w:ascii="楷体" w:hAnsi="楷体" w:eastAsia="楷体" w:cs="楷体"/>
          <w:b/>
          <w:bCs/>
          <w:sz w:val="32"/>
          <w:szCs w:val="32"/>
        </w:rPr>
        <w:t>（一）攀枝花市交通运输综合行政执法支队职能简介。</w:t>
      </w:r>
      <w:r>
        <w:rPr>
          <w:rFonts w:hint="eastAsia"/>
          <w:sz w:val="32"/>
        </w:rPr>
        <w:t>负责全市交通运输综合行政执法监督指导、重大案件查处和跨区域执法和组织协调工作；承担依法取得的市本级、东区和西区公路路政、道路运政、水路运政、航道行政、港口行政、地方海事行政、工程质量监督管理等执法职责和仁和区、米易县、盐边县境内现行国省道路的路政执法职责。</w:t>
      </w:r>
    </w:p>
    <w:p>
      <w:pPr>
        <w:pStyle w:val="2"/>
        <w:adjustRightInd w:val="0"/>
        <w:spacing w:before="130" w:line="560" w:lineRule="exact"/>
        <w:ind w:firstLine="672"/>
        <w:rPr>
          <w:rFonts w:ascii="楷体" w:hAnsi="楷体" w:eastAsia="楷体" w:cs="Times New Roman"/>
          <w:b/>
          <w:bCs/>
          <w:sz w:val="32"/>
          <w:szCs w:val="32"/>
        </w:rPr>
      </w:pPr>
      <w:r>
        <w:rPr>
          <w:rFonts w:hint="eastAsia" w:ascii="楷体" w:hAnsi="楷体" w:eastAsia="楷体" w:cs="楷体"/>
          <w:b/>
          <w:bCs/>
          <w:sz w:val="32"/>
          <w:szCs w:val="32"/>
        </w:rPr>
        <w:t>（二）攀枝花市交通运输综合行政执法支队</w:t>
      </w:r>
      <w:r>
        <w:rPr>
          <w:rFonts w:ascii="楷体" w:hAnsi="楷体" w:eastAsia="楷体" w:cs="楷体"/>
          <w:b/>
          <w:bCs/>
          <w:sz w:val="32"/>
          <w:szCs w:val="32"/>
        </w:rPr>
        <w:t>20</w:t>
      </w:r>
      <w:r>
        <w:rPr>
          <w:rFonts w:hint="eastAsia" w:ascii="楷体" w:hAnsi="楷体" w:eastAsia="楷体" w:cs="楷体"/>
          <w:b/>
          <w:bCs/>
          <w:sz w:val="32"/>
          <w:szCs w:val="32"/>
        </w:rPr>
        <w:t>21年重点工作。</w:t>
      </w:r>
    </w:p>
    <w:p>
      <w:pPr>
        <w:pStyle w:val="2"/>
        <w:adjustRightInd w:val="0"/>
        <w:spacing w:beforeLines="0" w:line="600" w:lineRule="exact"/>
        <w:ind w:firstLine="672" w:firstLineChars="210"/>
        <w:rPr>
          <w:sz w:val="32"/>
        </w:rPr>
      </w:pPr>
      <w:r>
        <w:rPr>
          <w:rFonts w:hint="eastAsia"/>
          <w:sz w:val="32"/>
        </w:rPr>
        <w:t>1、强化队伍建设</w:t>
      </w:r>
    </w:p>
    <w:p>
      <w:pPr>
        <w:pStyle w:val="2"/>
        <w:adjustRightInd w:val="0"/>
        <w:spacing w:beforeLines="0" w:line="600" w:lineRule="exact"/>
        <w:ind w:firstLine="672" w:firstLineChars="210"/>
        <w:rPr>
          <w:sz w:val="32"/>
        </w:rPr>
      </w:pPr>
      <w:r>
        <w:rPr>
          <w:rFonts w:hint="eastAsia"/>
          <w:sz w:val="32"/>
        </w:rPr>
        <w:t>以打造一支忠诚干净担当的干部队伍为目标，提升队伍支撑</w:t>
      </w:r>
    </w:p>
    <w:p>
      <w:pPr>
        <w:pStyle w:val="2"/>
        <w:adjustRightInd w:val="0"/>
        <w:spacing w:beforeLines="0" w:line="600" w:lineRule="exact"/>
        <w:rPr>
          <w:sz w:val="32"/>
        </w:rPr>
      </w:pPr>
      <w:r>
        <w:rPr>
          <w:rFonts w:hint="eastAsia"/>
          <w:sz w:val="32"/>
        </w:rPr>
        <w:t>力。突出效能建设、廉政建设、纪律建设和能力培养，增强队伍对综合执法的整体适应性；加强优秀年轻干部队伍建设，引导年轻干部积极主动作为。</w:t>
      </w:r>
    </w:p>
    <w:p>
      <w:pPr>
        <w:pStyle w:val="2"/>
        <w:adjustRightInd w:val="0"/>
        <w:spacing w:beforeLines="0" w:line="600" w:lineRule="exact"/>
        <w:ind w:firstLine="672" w:firstLineChars="210"/>
        <w:rPr>
          <w:sz w:val="32"/>
        </w:rPr>
      </w:pPr>
      <w:r>
        <w:rPr>
          <w:rFonts w:hint="eastAsia"/>
          <w:sz w:val="32"/>
        </w:rPr>
        <w:t>2、安全监管</w:t>
      </w:r>
    </w:p>
    <w:p>
      <w:pPr>
        <w:pStyle w:val="2"/>
        <w:adjustRightInd w:val="0"/>
        <w:spacing w:beforeLines="0" w:line="600" w:lineRule="exact"/>
        <w:ind w:firstLine="672" w:firstLineChars="210"/>
        <w:rPr>
          <w:sz w:val="32"/>
        </w:rPr>
      </w:pPr>
      <w:r>
        <w:rPr>
          <w:rFonts w:hint="eastAsia"/>
          <w:sz w:val="32"/>
        </w:rPr>
        <w:t>进一步完善执法监管体系，以“两客一危”“一重”为重点，突出源头日常监管，狠抓重点时段（政治热点、节假日、春运、汛期）路面监管，盯紧盯牢“人”这一核心，努力确保不发生责任性安全监管不到位事故。</w:t>
      </w:r>
    </w:p>
    <w:p>
      <w:pPr>
        <w:pStyle w:val="2"/>
        <w:adjustRightInd w:val="0"/>
        <w:spacing w:beforeLines="0" w:line="600" w:lineRule="exact"/>
        <w:ind w:firstLine="672" w:firstLineChars="210"/>
        <w:rPr>
          <w:sz w:val="32"/>
        </w:rPr>
      </w:pPr>
      <w:r>
        <w:rPr>
          <w:rFonts w:hint="eastAsia"/>
          <w:sz w:val="32"/>
        </w:rPr>
        <w:t>3、行业乱象整治</w:t>
      </w:r>
    </w:p>
    <w:p>
      <w:pPr>
        <w:pStyle w:val="2"/>
        <w:adjustRightInd w:val="0"/>
        <w:spacing w:beforeLines="0" w:line="600" w:lineRule="exact"/>
        <w:ind w:firstLine="672" w:firstLineChars="210"/>
        <w:rPr>
          <w:sz w:val="32"/>
        </w:rPr>
      </w:pPr>
      <w:r>
        <w:rPr>
          <w:rFonts w:hint="eastAsia"/>
          <w:sz w:val="32"/>
        </w:rPr>
        <w:t>以整治道路旅客运输非法营运、擅自超限运输、巡游出租汽车拒载议价、网约车巡游、工程项目建设强买强卖为重点，不断规范行业秩序，巩固扫黑除恶专项斗争成果，努力构建交通运输好的营商环境，助力经济和社会发展。</w:t>
      </w:r>
    </w:p>
    <w:p>
      <w:pPr>
        <w:pStyle w:val="2"/>
        <w:adjustRightInd w:val="0"/>
        <w:spacing w:beforeLines="0" w:line="600" w:lineRule="exact"/>
        <w:ind w:firstLine="672" w:firstLineChars="210"/>
        <w:rPr>
          <w:sz w:val="32"/>
        </w:rPr>
      </w:pPr>
      <w:r>
        <w:rPr>
          <w:rFonts w:hint="eastAsia"/>
          <w:sz w:val="32"/>
        </w:rPr>
        <w:t>4、常态化疫情防控</w:t>
      </w:r>
    </w:p>
    <w:p>
      <w:pPr>
        <w:pStyle w:val="2"/>
        <w:adjustRightInd w:val="0"/>
        <w:spacing w:beforeLines="0" w:line="600" w:lineRule="exact"/>
        <w:ind w:firstLine="672" w:firstLineChars="210"/>
        <w:rPr>
          <w:sz w:val="32"/>
        </w:rPr>
      </w:pPr>
      <w:r>
        <w:rPr>
          <w:rFonts w:hint="eastAsia"/>
          <w:sz w:val="32"/>
        </w:rPr>
        <w:t>按照“外防输入、内防扩散”要求，立足支队职责，继续做好客运班线、出租车、客运站点等重点环节防疫措施的监督检查，抓好冷链运输车辆的查验登记移送等工作，做好队伍自身的防疫工作。</w:t>
      </w:r>
    </w:p>
    <w:p>
      <w:pPr>
        <w:pStyle w:val="2"/>
        <w:adjustRightInd w:val="0"/>
        <w:spacing w:beforeLines="0" w:line="600" w:lineRule="exact"/>
        <w:ind w:firstLine="672" w:firstLineChars="210"/>
        <w:rPr>
          <w:sz w:val="32"/>
        </w:rPr>
      </w:pPr>
      <w:r>
        <w:rPr>
          <w:rFonts w:hint="eastAsia"/>
          <w:sz w:val="32"/>
        </w:rPr>
        <w:t>5、法制宣传工作</w:t>
      </w:r>
    </w:p>
    <w:p>
      <w:pPr>
        <w:pStyle w:val="2"/>
        <w:adjustRightInd w:val="0"/>
        <w:spacing w:beforeLines="0" w:line="600" w:lineRule="exact"/>
        <w:ind w:firstLine="672" w:firstLineChars="210"/>
        <w:rPr>
          <w:sz w:val="32"/>
        </w:rPr>
      </w:pPr>
      <w:r>
        <w:rPr>
          <w:rFonts w:hint="eastAsia"/>
          <w:sz w:val="32"/>
        </w:rPr>
        <w:t>继续抓好执法人员学法用法， 确保依法履职等制度贯彻落实。以行业从业者为重点，深化普法教育，营造良好氛围环境。进一步强化执法监督，贯彻落实行政执法三项制度，推进重大案件“一案多查”，推进信用机制在行政执法中的应用，让违法行为人一处受限处处受限，发挥联合惩戒的威慑作用</w:t>
      </w:r>
    </w:p>
    <w:p>
      <w:pPr>
        <w:pStyle w:val="2"/>
        <w:adjustRightInd w:val="0"/>
        <w:spacing w:before="130" w:line="560" w:lineRule="exact"/>
        <w:ind w:firstLine="627" w:firstLineChars="196"/>
        <w:rPr>
          <w:rFonts w:ascii="黑体" w:hAnsi="黑体" w:eastAsia="黑体" w:cs="Times New Roman"/>
          <w:sz w:val="32"/>
          <w:szCs w:val="32"/>
        </w:rPr>
      </w:pPr>
      <w:r>
        <w:rPr>
          <w:rFonts w:hint="eastAsia" w:ascii="黑体" w:hAnsi="黑体" w:eastAsia="黑体" w:cs="黑体"/>
          <w:sz w:val="32"/>
          <w:szCs w:val="32"/>
        </w:rPr>
        <w:t>二、</w:t>
      </w:r>
      <w:r>
        <w:rPr>
          <w:rFonts w:hint="eastAsia" w:ascii="黑体" w:hAnsi="黑体" w:eastAsia="黑体" w:cs="黑体"/>
          <w:sz w:val="32"/>
          <w:szCs w:val="32"/>
          <w:lang w:val="en-US" w:eastAsia="zh-CN"/>
        </w:rPr>
        <w:t>机构设置</w:t>
      </w:r>
      <w:r>
        <w:rPr>
          <w:rFonts w:hint="eastAsia" w:ascii="黑体" w:hAnsi="黑体" w:eastAsia="黑体" w:cs="黑体"/>
          <w:sz w:val="32"/>
          <w:szCs w:val="32"/>
        </w:rPr>
        <w:t>情况</w:t>
      </w:r>
    </w:p>
    <w:p>
      <w:pPr>
        <w:pStyle w:val="2"/>
        <w:adjustRightInd w:val="0"/>
        <w:spacing w:before="130" w:line="560" w:lineRule="exact"/>
        <w:ind w:firstLine="640" w:firstLineChars="200"/>
        <w:rPr>
          <w:rFonts w:ascii="Times New Roman" w:cs="Times New Roman"/>
          <w:sz w:val="32"/>
          <w:szCs w:val="32"/>
        </w:rPr>
      </w:pPr>
      <w:r>
        <w:rPr>
          <w:rFonts w:hint="eastAsia" w:ascii="Times New Roman"/>
          <w:kern w:val="0"/>
          <w:sz w:val="32"/>
          <w:szCs w:val="32"/>
        </w:rPr>
        <w:t>攀枝花市交通运输综合行政执法支队其前身为攀枝花市公路路政管理支队，该支队成立于</w:t>
      </w:r>
      <w:r>
        <w:rPr>
          <w:rFonts w:ascii="Times New Roman" w:cs="Times New Roman"/>
          <w:kern w:val="0"/>
          <w:sz w:val="32"/>
          <w:szCs w:val="32"/>
        </w:rPr>
        <w:t>1999</w:t>
      </w:r>
      <w:r>
        <w:rPr>
          <w:rFonts w:hint="eastAsia" w:ascii="Times New Roman"/>
          <w:kern w:val="0"/>
          <w:sz w:val="32"/>
          <w:szCs w:val="32"/>
        </w:rPr>
        <w:t>年</w:t>
      </w:r>
      <w:r>
        <w:rPr>
          <w:rFonts w:ascii="Times New Roman" w:cs="Times New Roman"/>
          <w:kern w:val="0"/>
          <w:sz w:val="32"/>
          <w:szCs w:val="32"/>
        </w:rPr>
        <w:t>11</w:t>
      </w:r>
      <w:r>
        <w:rPr>
          <w:rFonts w:hint="eastAsia" w:ascii="Times New Roman"/>
          <w:kern w:val="0"/>
          <w:sz w:val="32"/>
          <w:szCs w:val="32"/>
        </w:rPr>
        <w:t>月，是具有公共事务管理职能的行政执法类事业单位；</w:t>
      </w:r>
      <w:r>
        <w:rPr>
          <w:rFonts w:ascii="Times New Roman" w:cs="Times New Roman"/>
          <w:kern w:val="0"/>
          <w:sz w:val="32"/>
          <w:szCs w:val="32"/>
        </w:rPr>
        <w:t>2009</w:t>
      </w:r>
      <w:r>
        <w:rPr>
          <w:rFonts w:hint="eastAsia" w:ascii="Times New Roman"/>
          <w:kern w:val="0"/>
          <w:sz w:val="32"/>
          <w:szCs w:val="32"/>
        </w:rPr>
        <w:t>年</w:t>
      </w:r>
      <w:r>
        <w:rPr>
          <w:rFonts w:ascii="Times New Roman" w:cs="Times New Roman"/>
          <w:kern w:val="0"/>
          <w:sz w:val="32"/>
          <w:szCs w:val="32"/>
        </w:rPr>
        <w:t>4</w:t>
      </w:r>
      <w:r>
        <w:rPr>
          <w:rFonts w:hint="eastAsia" w:ascii="Times New Roman"/>
          <w:kern w:val="0"/>
          <w:sz w:val="32"/>
          <w:szCs w:val="32"/>
        </w:rPr>
        <w:t>月经四川省人事厅批准为参照公务员法管理。因攀枝花市交通运输综合行政执法体制改革于</w:t>
      </w:r>
      <w:r>
        <w:rPr>
          <w:rFonts w:ascii="Times New Roman" w:cs="Times New Roman"/>
          <w:kern w:val="0"/>
          <w:sz w:val="32"/>
          <w:szCs w:val="32"/>
        </w:rPr>
        <w:t>2017</w:t>
      </w:r>
      <w:r>
        <w:rPr>
          <w:rFonts w:hint="eastAsia" w:ascii="Times New Roman"/>
          <w:kern w:val="0"/>
          <w:sz w:val="32"/>
          <w:szCs w:val="32"/>
        </w:rPr>
        <w:t>年</w:t>
      </w:r>
      <w:r>
        <w:rPr>
          <w:rFonts w:ascii="Times New Roman" w:cs="Times New Roman"/>
          <w:kern w:val="0"/>
          <w:sz w:val="32"/>
          <w:szCs w:val="32"/>
        </w:rPr>
        <w:t>12</w:t>
      </w:r>
      <w:r>
        <w:rPr>
          <w:rFonts w:hint="eastAsia" w:ascii="Times New Roman"/>
          <w:kern w:val="0"/>
          <w:sz w:val="32"/>
          <w:szCs w:val="32"/>
        </w:rPr>
        <w:t>月将攀枝花市公路路政管理支队更名为</w:t>
      </w:r>
      <w:r>
        <w:rPr>
          <w:rFonts w:ascii="Times New Roman" w:cs="Times New Roman"/>
          <w:kern w:val="0"/>
          <w:sz w:val="32"/>
          <w:szCs w:val="32"/>
        </w:rPr>
        <w:t>“</w:t>
      </w:r>
      <w:r>
        <w:rPr>
          <w:rFonts w:hint="eastAsia" w:ascii="Times New Roman"/>
          <w:kern w:val="0"/>
          <w:sz w:val="32"/>
          <w:szCs w:val="32"/>
        </w:rPr>
        <w:t>攀枝花市交通运输综合行政执法支队</w:t>
      </w:r>
      <w:r>
        <w:rPr>
          <w:rFonts w:ascii="Times New Roman" w:cs="Times New Roman"/>
          <w:kern w:val="0"/>
          <w:sz w:val="32"/>
          <w:szCs w:val="32"/>
        </w:rPr>
        <w:t>”</w:t>
      </w:r>
      <w:r>
        <w:rPr>
          <w:rFonts w:hint="eastAsia" w:ascii="Times New Roman"/>
          <w:kern w:val="0"/>
          <w:sz w:val="32"/>
          <w:szCs w:val="32"/>
        </w:rPr>
        <w:t>，为</w:t>
      </w:r>
      <w:r>
        <w:rPr>
          <w:rFonts w:hint="eastAsia" w:ascii="Times New Roman"/>
          <w:sz w:val="32"/>
          <w:szCs w:val="32"/>
        </w:rPr>
        <w:t>市交通运输局所属行政执法类事业单位。支队核定编制</w:t>
      </w:r>
      <w:r>
        <w:rPr>
          <w:rFonts w:hint="eastAsia" w:ascii="Times New Roman" w:cs="Times New Roman"/>
          <w:sz w:val="32"/>
          <w:szCs w:val="32"/>
        </w:rPr>
        <w:t>120</w:t>
      </w:r>
      <w:r>
        <w:rPr>
          <w:rFonts w:hint="eastAsia" w:ascii="Times New Roman"/>
          <w:sz w:val="32"/>
          <w:szCs w:val="32"/>
        </w:rPr>
        <w:t>名，内设</w:t>
      </w:r>
      <w:r>
        <w:rPr>
          <w:rFonts w:hint="eastAsia" w:ascii="Times New Roman" w:cs="Times New Roman"/>
          <w:sz w:val="32"/>
          <w:szCs w:val="32"/>
        </w:rPr>
        <w:t>6</w:t>
      </w:r>
      <w:r>
        <w:rPr>
          <w:rFonts w:hint="eastAsia" w:ascii="Times New Roman"/>
          <w:sz w:val="32"/>
          <w:szCs w:val="32"/>
        </w:rPr>
        <w:t>个业务科室和</w:t>
      </w:r>
      <w:r>
        <w:rPr>
          <w:rFonts w:hint="eastAsia" w:ascii="Times New Roman" w:cs="Times New Roman"/>
          <w:sz w:val="32"/>
          <w:szCs w:val="32"/>
        </w:rPr>
        <w:t>10</w:t>
      </w:r>
      <w:r>
        <w:rPr>
          <w:rFonts w:hint="eastAsia" w:ascii="Times New Roman"/>
          <w:sz w:val="32"/>
          <w:szCs w:val="32"/>
        </w:rPr>
        <w:t>个综合行政执法大队，具体为：办公室、政策法规科、安全与综合业务科、人事财务科、客运科、货运科、一大队、二大队、三大队、四大队、五大队、六大队、七大队、特勤大队、海事行政执法大队、工程质量监督行政执法大队，其中一大队、二大队、三大队、四大队、五大队、六大队、七大队实行派驻制，工作接受辖区地方政府的指导和监督，队伍相对固定且定期轮岗交流。工作目前在编正式队员</w:t>
      </w:r>
      <w:r>
        <w:rPr>
          <w:rFonts w:hint="eastAsia" w:ascii="Times New Roman" w:cs="Times New Roman"/>
          <w:sz w:val="32"/>
          <w:szCs w:val="32"/>
        </w:rPr>
        <w:t>92</w:t>
      </w:r>
      <w:r>
        <w:rPr>
          <w:rFonts w:hint="eastAsia" w:ascii="Times New Roman"/>
          <w:sz w:val="32"/>
          <w:szCs w:val="32"/>
        </w:rPr>
        <w:t>名；聘用人员</w:t>
      </w:r>
      <w:r>
        <w:rPr>
          <w:rFonts w:ascii="Times New Roman" w:cs="Times New Roman"/>
          <w:sz w:val="32"/>
          <w:szCs w:val="32"/>
        </w:rPr>
        <w:t>8</w:t>
      </w:r>
      <w:r>
        <w:rPr>
          <w:rFonts w:hint="eastAsia" w:ascii="Times New Roman" w:cs="Times New Roman"/>
          <w:sz w:val="32"/>
          <w:szCs w:val="32"/>
        </w:rPr>
        <w:t>6</w:t>
      </w:r>
      <w:r>
        <w:rPr>
          <w:rFonts w:hint="eastAsia" w:ascii="Times New Roman"/>
          <w:sz w:val="32"/>
          <w:szCs w:val="32"/>
        </w:rPr>
        <w:t>名，其中协助执法队员</w:t>
      </w:r>
      <w:r>
        <w:rPr>
          <w:rFonts w:ascii="Times New Roman" w:cs="Times New Roman"/>
          <w:sz w:val="32"/>
          <w:szCs w:val="32"/>
        </w:rPr>
        <w:t>8</w:t>
      </w:r>
      <w:r>
        <w:rPr>
          <w:rFonts w:hint="eastAsia" w:ascii="Times New Roman" w:cs="Times New Roman"/>
          <w:sz w:val="32"/>
          <w:szCs w:val="32"/>
        </w:rPr>
        <w:t>3</w:t>
      </w:r>
      <w:r>
        <w:rPr>
          <w:rFonts w:hint="eastAsia" w:ascii="Times New Roman"/>
          <w:sz w:val="32"/>
          <w:szCs w:val="32"/>
        </w:rPr>
        <w:t>人、后勤服务人员名</w:t>
      </w:r>
      <w:r>
        <w:rPr>
          <w:rFonts w:hint="eastAsia" w:ascii="Times New Roman" w:cs="Times New Roman"/>
          <w:sz w:val="32"/>
          <w:szCs w:val="32"/>
        </w:rPr>
        <w:t>3</w:t>
      </w:r>
      <w:r>
        <w:rPr>
          <w:rFonts w:hint="eastAsia" w:ascii="Times New Roman"/>
          <w:sz w:val="32"/>
          <w:szCs w:val="32"/>
        </w:rPr>
        <w:t>。</w:t>
      </w:r>
      <w:r>
        <w:rPr>
          <w:rFonts w:ascii="Times New Roman" w:cs="Times New Roman"/>
          <w:sz w:val="32"/>
          <w:szCs w:val="32"/>
        </w:rPr>
        <w:t> </w:t>
      </w:r>
    </w:p>
    <w:p>
      <w:pPr>
        <w:pStyle w:val="2"/>
        <w:adjustRightInd w:val="0"/>
        <w:spacing w:before="130" w:line="560" w:lineRule="exact"/>
        <w:ind w:firstLine="627" w:firstLineChars="196"/>
        <w:rPr>
          <w:rFonts w:ascii="黑体" w:hAnsi="黑体" w:eastAsia="黑体" w:cs="Times New Roman"/>
          <w:sz w:val="32"/>
          <w:szCs w:val="32"/>
        </w:rPr>
      </w:pPr>
      <w:r>
        <w:rPr>
          <w:rFonts w:hint="eastAsia" w:ascii="黑体" w:hAnsi="黑体" w:eastAsia="黑体" w:cs="黑体"/>
          <w:sz w:val="32"/>
          <w:szCs w:val="32"/>
        </w:rPr>
        <w:t>三、收支预算情况说明</w:t>
      </w:r>
    </w:p>
    <w:p>
      <w:pPr>
        <w:snapToGrid w:val="0"/>
        <w:spacing w:line="360" w:lineRule="auto"/>
        <w:ind w:firstLine="640" w:firstLineChars="200"/>
        <w:rPr>
          <w:rFonts w:ascii="仿宋_GB2312" w:hAnsi="仿宋"/>
        </w:rPr>
      </w:pPr>
      <w:r>
        <w:t>按照综合预算的原则，</w:t>
      </w:r>
      <w:r>
        <w:rPr>
          <w:rFonts w:hint="eastAsia"/>
        </w:rPr>
        <w:t>攀枝花市交通运输综合行政执法支队</w:t>
      </w:r>
      <w:r>
        <w:t>所有收入和支出均纳入部门预算管理。收入包括：一般公共预算拨款收入</w:t>
      </w:r>
      <w:r>
        <w:rPr>
          <w:rFonts w:hint="eastAsia"/>
        </w:rPr>
        <w:t>1668.1万元</w:t>
      </w:r>
      <w:r>
        <w:t>；支出包括：</w:t>
      </w:r>
      <w:r>
        <w:rPr>
          <w:rFonts w:hint="eastAsia"/>
        </w:rPr>
        <w:t>社会保障和就业支出137.52万元、交通运输支出1405.86万元、住房保障支出124.72万元</w:t>
      </w:r>
      <w:r>
        <w:t>。</w:t>
      </w:r>
      <w:r>
        <w:rPr>
          <w:rFonts w:hint="eastAsia"/>
        </w:rPr>
        <w:t>攀枝花市交通运输综合行政执法支队</w:t>
      </w:r>
      <w:r>
        <w:t>2022年收支总预算</w:t>
      </w:r>
      <w:r>
        <w:rPr>
          <w:rFonts w:hint="eastAsia"/>
        </w:rPr>
        <w:t>1668.1</w:t>
      </w:r>
      <w:r>
        <w:t>万元。比202</w:t>
      </w:r>
      <w:r>
        <w:rPr>
          <w:rFonts w:hint="eastAsia"/>
        </w:rPr>
        <w:t>0</w:t>
      </w:r>
      <w:r>
        <w:t>年预算数</w:t>
      </w:r>
      <w:r>
        <w:rPr>
          <w:u w:val="single"/>
        </w:rPr>
        <w:t>增加</w:t>
      </w:r>
      <w:r>
        <w:rPr>
          <w:rFonts w:hint="eastAsia"/>
        </w:rPr>
        <w:t>400.21</w:t>
      </w:r>
      <w:r>
        <w:t>万元，主要是</w:t>
      </w:r>
      <w:r>
        <w:rPr>
          <w:rFonts w:hint="eastAsia" w:ascii="仿宋_GB2312" w:hAnsi="仿宋" w:cs="仿宋"/>
          <w:color w:val="000000"/>
        </w:rPr>
        <w:t>综合行政执法改革人员增加，</w:t>
      </w:r>
      <w:r>
        <w:rPr>
          <w:rFonts w:hint="eastAsia" w:ascii="仿宋_GB2312" w:hAnsi="仿宋"/>
        </w:rPr>
        <w:t>增加了工资、津补贴及</w:t>
      </w:r>
      <w:r>
        <w:rPr>
          <w:rFonts w:hint="eastAsia"/>
        </w:rPr>
        <w:t>社会保障和就业支出。</w:t>
      </w:r>
    </w:p>
    <w:p>
      <w:pPr>
        <w:pStyle w:val="2"/>
        <w:adjustRightInd w:val="0"/>
        <w:spacing w:before="130" w:line="560" w:lineRule="exact"/>
        <w:ind w:firstLine="643"/>
        <w:rPr>
          <w:rFonts w:ascii="楷体" w:hAnsi="楷体" w:eastAsia="楷体" w:cs="Times New Roman"/>
          <w:b/>
          <w:bCs/>
          <w:sz w:val="32"/>
          <w:szCs w:val="32"/>
        </w:rPr>
      </w:pPr>
      <w:r>
        <w:rPr>
          <w:rFonts w:hint="eastAsia" w:ascii="楷体" w:hAnsi="楷体" w:eastAsia="楷体" w:cs="楷体"/>
          <w:b/>
          <w:bCs/>
          <w:sz w:val="32"/>
          <w:szCs w:val="32"/>
        </w:rPr>
        <w:t>（一）收入预算情况</w:t>
      </w:r>
    </w:p>
    <w:p>
      <w:pPr>
        <w:spacing w:line="600" w:lineRule="exact"/>
        <w:ind w:firstLine="640" w:firstLineChars="200"/>
      </w:pPr>
      <w:r>
        <w:rPr>
          <w:rFonts w:hint="eastAsia"/>
        </w:rPr>
        <w:t>攀枝花市交通运输综合行政执法支队</w:t>
      </w:r>
      <w:r>
        <w:t>202</w:t>
      </w:r>
      <w:r>
        <w:rPr>
          <w:rFonts w:hint="eastAsia"/>
        </w:rPr>
        <w:t>1</w:t>
      </w:r>
      <w:r>
        <w:t>年收入预算</w:t>
      </w:r>
      <w:r>
        <w:rPr>
          <w:rFonts w:hint="eastAsia"/>
        </w:rPr>
        <w:t>1668.1</w:t>
      </w:r>
      <w:r>
        <w:t>万元，其中：上年结转</w:t>
      </w:r>
      <w:r>
        <w:rPr>
          <w:rFonts w:hint="eastAsia"/>
        </w:rPr>
        <w:t>0</w:t>
      </w:r>
      <w:r>
        <w:t>万元，占</w:t>
      </w:r>
      <w:r>
        <w:rPr>
          <w:rFonts w:hint="eastAsia"/>
        </w:rPr>
        <w:t>0</w:t>
      </w:r>
      <w:r>
        <w:t>%；一般公共预算拨款收入</w:t>
      </w:r>
      <w:r>
        <w:rPr>
          <w:rFonts w:hint="eastAsia"/>
        </w:rPr>
        <w:t>1668.1</w:t>
      </w:r>
      <w:r>
        <w:t>万元，占</w:t>
      </w:r>
      <w:r>
        <w:rPr>
          <w:rFonts w:hint="eastAsia"/>
        </w:rPr>
        <w:t>100</w:t>
      </w:r>
      <w:r>
        <w:t>%。</w:t>
      </w:r>
    </w:p>
    <w:p>
      <w:pPr>
        <w:pStyle w:val="2"/>
        <w:adjustRightInd w:val="0"/>
        <w:spacing w:before="130" w:line="560" w:lineRule="exact"/>
        <w:ind w:firstLine="643"/>
        <w:rPr>
          <w:rFonts w:ascii="楷体" w:hAnsi="楷体" w:eastAsia="楷体" w:cs="Times New Roman"/>
          <w:b/>
          <w:bCs/>
          <w:sz w:val="32"/>
          <w:szCs w:val="32"/>
        </w:rPr>
      </w:pPr>
      <w:r>
        <w:rPr>
          <w:rFonts w:hint="eastAsia" w:ascii="楷体" w:hAnsi="楷体" w:eastAsia="楷体" w:cs="楷体"/>
          <w:b/>
          <w:bCs/>
          <w:sz w:val="32"/>
          <w:szCs w:val="32"/>
        </w:rPr>
        <w:t>（二）支出预算情况</w:t>
      </w:r>
    </w:p>
    <w:p>
      <w:pPr>
        <w:pStyle w:val="2"/>
        <w:adjustRightInd w:val="0"/>
        <w:spacing w:before="130" w:line="560" w:lineRule="exact"/>
        <w:ind w:firstLine="675"/>
        <w:rPr>
          <w:rFonts w:ascii="Times New Roman" w:cs="Times New Roman"/>
          <w:sz w:val="32"/>
          <w:szCs w:val="32"/>
        </w:rPr>
      </w:pPr>
      <w:r>
        <w:rPr>
          <w:rFonts w:hint="eastAsia" w:ascii="Times New Roman"/>
          <w:sz w:val="32"/>
          <w:szCs w:val="32"/>
        </w:rPr>
        <w:t>攀枝花市交通运输综合行政执法支队</w:t>
      </w:r>
      <w:r>
        <w:rPr>
          <w:rFonts w:ascii="Times New Roman" w:cs="Times New Roman"/>
          <w:sz w:val="32"/>
          <w:szCs w:val="32"/>
        </w:rPr>
        <w:t>20</w:t>
      </w:r>
      <w:r>
        <w:rPr>
          <w:rFonts w:hint="eastAsia" w:ascii="Times New Roman" w:cs="Times New Roman"/>
          <w:sz w:val="32"/>
          <w:szCs w:val="32"/>
        </w:rPr>
        <w:t>21</w:t>
      </w:r>
      <w:r>
        <w:rPr>
          <w:rFonts w:hint="eastAsia" w:ascii="Times New Roman"/>
          <w:sz w:val="32"/>
          <w:szCs w:val="32"/>
        </w:rPr>
        <w:t>年支出预算</w:t>
      </w:r>
      <w:r>
        <w:rPr>
          <w:rFonts w:hint="eastAsia" w:ascii="Times New Roman" w:cs="Times New Roman"/>
          <w:sz w:val="32"/>
          <w:szCs w:val="32"/>
        </w:rPr>
        <w:t>1668.10</w:t>
      </w:r>
      <w:r>
        <w:rPr>
          <w:rFonts w:hint="eastAsia" w:ascii="Times New Roman"/>
          <w:sz w:val="32"/>
          <w:szCs w:val="32"/>
        </w:rPr>
        <w:t>万元，其中：基本支出</w:t>
      </w:r>
      <w:r>
        <w:rPr>
          <w:rFonts w:hint="eastAsia" w:ascii="Times New Roman" w:cs="Times New Roman"/>
          <w:sz w:val="32"/>
          <w:szCs w:val="32"/>
        </w:rPr>
        <w:t>1668.10</w:t>
      </w:r>
      <w:r>
        <w:rPr>
          <w:rFonts w:hint="eastAsia" w:ascii="Times New Roman"/>
          <w:sz w:val="32"/>
          <w:szCs w:val="32"/>
        </w:rPr>
        <w:t>万元，占</w:t>
      </w:r>
      <w:r>
        <w:rPr>
          <w:rFonts w:hint="eastAsia" w:ascii="Times New Roman" w:cs="Times New Roman"/>
          <w:sz w:val="32"/>
          <w:szCs w:val="32"/>
        </w:rPr>
        <w:t>100</w:t>
      </w:r>
      <w:r>
        <w:rPr>
          <w:rFonts w:ascii="Times New Roman" w:cs="Times New Roman"/>
          <w:sz w:val="32"/>
          <w:szCs w:val="32"/>
        </w:rPr>
        <w:t>%</w:t>
      </w:r>
      <w:r>
        <w:rPr>
          <w:rFonts w:hint="eastAsia" w:ascii="Times New Roman"/>
          <w:sz w:val="32"/>
          <w:szCs w:val="32"/>
        </w:rPr>
        <w:t>。</w:t>
      </w:r>
    </w:p>
    <w:p>
      <w:pPr>
        <w:pStyle w:val="2"/>
        <w:adjustRightInd w:val="0"/>
        <w:spacing w:before="130" w:line="560" w:lineRule="exact"/>
        <w:ind w:firstLine="723"/>
        <w:rPr>
          <w:rFonts w:ascii="黑体" w:hAnsi="黑体" w:eastAsia="黑体" w:cs="Times New Roman"/>
          <w:sz w:val="32"/>
          <w:szCs w:val="32"/>
        </w:rPr>
      </w:pPr>
      <w:r>
        <w:rPr>
          <w:rFonts w:hint="eastAsia" w:ascii="黑体" w:hAnsi="黑体" w:eastAsia="黑体" w:cs="黑体"/>
          <w:sz w:val="32"/>
          <w:szCs w:val="32"/>
        </w:rPr>
        <w:t>四、财政拨款收支预算情况说明</w:t>
      </w:r>
    </w:p>
    <w:p>
      <w:pPr>
        <w:pStyle w:val="2"/>
        <w:adjustRightInd w:val="0"/>
        <w:spacing w:before="130" w:line="560" w:lineRule="exact"/>
        <w:ind w:firstLine="675"/>
        <w:rPr>
          <w:rFonts w:ascii="Times New Roman" w:cs="Times New Roman"/>
          <w:sz w:val="32"/>
          <w:szCs w:val="32"/>
        </w:rPr>
      </w:pPr>
      <w:r>
        <w:rPr>
          <w:rFonts w:hint="eastAsia" w:ascii="Times New Roman"/>
          <w:sz w:val="32"/>
          <w:szCs w:val="32"/>
        </w:rPr>
        <w:t>攀枝花市交通运输综合行政执法支队</w:t>
      </w:r>
      <w:r>
        <w:rPr>
          <w:rFonts w:ascii="Times New Roman" w:cs="Times New Roman"/>
          <w:sz w:val="32"/>
          <w:szCs w:val="32"/>
        </w:rPr>
        <w:t>20</w:t>
      </w:r>
      <w:r>
        <w:rPr>
          <w:rFonts w:hint="eastAsia" w:ascii="Times New Roman" w:cs="Times New Roman"/>
          <w:sz w:val="32"/>
          <w:szCs w:val="32"/>
        </w:rPr>
        <w:t>21</w:t>
      </w:r>
      <w:r>
        <w:rPr>
          <w:rFonts w:hint="eastAsia" w:ascii="Times New Roman"/>
          <w:sz w:val="32"/>
          <w:szCs w:val="32"/>
        </w:rPr>
        <w:t>财政拨款收支总预算</w:t>
      </w:r>
      <w:r>
        <w:rPr>
          <w:rFonts w:hint="eastAsia" w:ascii="Times New Roman" w:cs="Times New Roman"/>
          <w:sz w:val="32"/>
          <w:szCs w:val="32"/>
        </w:rPr>
        <w:t>1668.10</w:t>
      </w:r>
      <w:r>
        <w:rPr>
          <w:rFonts w:hint="eastAsia" w:ascii="Times New Roman"/>
          <w:sz w:val="32"/>
          <w:szCs w:val="32"/>
        </w:rPr>
        <w:t>万元。收入包括：本年一般公共预算拨款收入</w:t>
      </w:r>
      <w:r>
        <w:rPr>
          <w:rFonts w:hint="eastAsia" w:ascii="Times New Roman" w:cs="Times New Roman"/>
          <w:sz w:val="32"/>
          <w:szCs w:val="32"/>
        </w:rPr>
        <w:t>1668.10</w:t>
      </w:r>
      <w:r>
        <w:rPr>
          <w:rFonts w:hint="eastAsia" w:ascii="Times New Roman"/>
          <w:sz w:val="32"/>
          <w:szCs w:val="32"/>
        </w:rPr>
        <w:t>万元；支出包括：一般公共服务支出</w:t>
      </w:r>
      <w:r>
        <w:rPr>
          <w:rFonts w:hint="eastAsia" w:ascii="Times New Roman" w:cs="Times New Roman"/>
          <w:sz w:val="32"/>
          <w:szCs w:val="32"/>
        </w:rPr>
        <w:t>1668.10</w:t>
      </w:r>
      <w:r>
        <w:rPr>
          <w:rFonts w:hint="eastAsia" w:ascii="Times New Roman"/>
          <w:sz w:val="32"/>
          <w:szCs w:val="32"/>
        </w:rPr>
        <w:t>万元、其中：社会保障和就业支出</w:t>
      </w:r>
      <w:r>
        <w:rPr>
          <w:rFonts w:hint="eastAsia" w:ascii="Times New Roman" w:cs="Times New Roman"/>
          <w:sz w:val="32"/>
          <w:szCs w:val="32"/>
        </w:rPr>
        <w:t>137.52</w:t>
      </w:r>
      <w:r>
        <w:rPr>
          <w:rFonts w:hint="eastAsia" w:ascii="Times New Roman"/>
          <w:sz w:val="32"/>
          <w:szCs w:val="32"/>
        </w:rPr>
        <w:t>万元，交通运输支出</w:t>
      </w:r>
      <w:r>
        <w:rPr>
          <w:rFonts w:hint="eastAsia" w:ascii="Times New Roman" w:cs="Times New Roman"/>
          <w:sz w:val="32"/>
          <w:szCs w:val="32"/>
        </w:rPr>
        <w:t>1405.86</w:t>
      </w:r>
      <w:r>
        <w:rPr>
          <w:rFonts w:hint="eastAsia" w:ascii="Times New Roman"/>
          <w:sz w:val="32"/>
          <w:szCs w:val="32"/>
        </w:rPr>
        <w:t>万元，住房保障支出</w:t>
      </w:r>
      <w:r>
        <w:rPr>
          <w:rFonts w:hint="eastAsia" w:ascii="Times New Roman" w:cs="Times New Roman"/>
          <w:sz w:val="32"/>
          <w:szCs w:val="32"/>
        </w:rPr>
        <w:t>124.72</w:t>
      </w:r>
      <w:r>
        <w:rPr>
          <w:rFonts w:hint="eastAsia" w:ascii="Times New Roman"/>
          <w:sz w:val="32"/>
          <w:szCs w:val="32"/>
        </w:rPr>
        <w:t>万元；</w:t>
      </w:r>
    </w:p>
    <w:p>
      <w:pPr>
        <w:pStyle w:val="2"/>
        <w:adjustRightInd w:val="0"/>
        <w:spacing w:before="130" w:line="560" w:lineRule="exact"/>
        <w:ind w:firstLine="723"/>
        <w:rPr>
          <w:rFonts w:ascii="黑体" w:hAnsi="黑体" w:eastAsia="黑体" w:cs="Times New Roman"/>
          <w:sz w:val="32"/>
          <w:szCs w:val="32"/>
        </w:rPr>
      </w:pPr>
      <w:r>
        <w:rPr>
          <w:rFonts w:hint="eastAsia" w:ascii="黑体" w:hAnsi="黑体" w:eastAsia="黑体" w:cs="黑体"/>
          <w:sz w:val="32"/>
          <w:szCs w:val="32"/>
        </w:rPr>
        <w:t>五、一般公共预算当年拨款情况说明</w:t>
      </w:r>
    </w:p>
    <w:p>
      <w:pPr>
        <w:pStyle w:val="2"/>
        <w:adjustRightInd w:val="0"/>
        <w:spacing w:before="130" w:line="560" w:lineRule="exact"/>
        <w:ind w:firstLine="643"/>
        <w:rPr>
          <w:rFonts w:ascii="楷体" w:hAnsi="楷体" w:eastAsia="楷体" w:cs="Times New Roman"/>
          <w:b/>
          <w:bCs/>
          <w:sz w:val="32"/>
          <w:szCs w:val="32"/>
        </w:rPr>
      </w:pPr>
      <w:r>
        <w:rPr>
          <w:rFonts w:hint="eastAsia" w:ascii="楷体" w:hAnsi="楷体" w:eastAsia="楷体" w:cs="楷体"/>
          <w:b/>
          <w:bCs/>
          <w:sz w:val="32"/>
          <w:szCs w:val="32"/>
        </w:rPr>
        <w:t>（一）一般公共预算当年拨款规模变化情况</w:t>
      </w:r>
    </w:p>
    <w:p>
      <w:pPr>
        <w:pStyle w:val="2"/>
        <w:adjustRightInd w:val="0"/>
        <w:spacing w:before="130" w:line="560" w:lineRule="exact"/>
        <w:ind w:firstLine="675"/>
        <w:rPr>
          <w:rFonts w:ascii="Times New Roman" w:cs="Times New Roman"/>
          <w:sz w:val="32"/>
          <w:szCs w:val="32"/>
        </w:rPr>
      </w:pPr>
      <w:r>
        <w:rPr>
          <w:rFonts w:hint="eastAsia" w:ascii="Times New Roman"/>
          <w:sz w:val="32"/>
          <w:szCs w:val="32"/>
        </w:rPr>
        <w:t>攀枝花市交通运输综合行政执法支队</w:t>
      </w:r>
      <w:r>
        <w:rPr>
          <w:rFonts w:ascii="Times New Roman" w:cs="Times New Roman"/>
          <w:sz w:val="32"/>
          <w:szCs w:val="32"/>
        </w:rPr>
        <w:t>20</w:t>
      </w:r>
      <w:r>
        <w:rPr>
          <w:rFonts w:hint="eastAsia" w:ascii="Times New Roman" w:cs="Times New Roman"/>
          <w:sz w:val="32"/>
          <w:szCs w:val="32"/>
        </w:rPr>
        <w:t>21</w:t>
      </w:r>
      <w:r>
        <w:rPr>
          <w:rFonts w:hint="eastAsia" w:ascii="Times New Roman"/>
          <w:sz w:val="32"/>
          <w:szCs w:val="32"/>
        </w:rPr>
        <w:t>年一般公共预算当年拨款</w:t>
      </w:r>
      <w:r>
        <w:rPr>
          <w:rFonts w:hint="eastAsia" w:ascii="Times New Roman" w:cs="Times New Roman"/>
          <w:sz w:val="32"/>
          <w:szCs w:val="32"/>
        </w:rPr>
        <w:t>1668.1</w:t>
      </w:r>
      <w:r>
        <w:rPr>
          <w:rFonts w:hint="eastAsia" w:ascii="Times New Roman"/>
          <w:sz w:val="32"/>
          <w:szCs w:val="32"/>
        </w:rPr>
        <w:t>万元，比</w:t>
      </w:r>
      <w:r>
        <w:rPr>
          <w:rFonts w:ascii="Times New Roman" w:cs="Times New Roman"/>
          <w:sz w:val="32"/>
          <w:szCs w:val="32"/>
        </w:rPr>
        <w:t>20</w:t>
      </w:r>
      <w:r>
        <w:rPr>
          <w:rFonts w:hint="eastAsia" w:ascii="Times New Roman" w:cs="Times New Roman"/>
          <w:sz w:val="32"/>
          <w:szCs w:val="32"/>
        </w:rPr>
        <w:t>20</w:t>
      </w:r>
      <w:r>
        <w:rPr>
          <w:rFonts w:hint="eastAsia" w:ascii="Times New Roman"/>
          <w:sz w:val="32"/>
          <w:szCs w:val="32"/>
        </w:rPr>
        <w:t>年预算数减少</w:t>
      </w:r>
      <w:r>
        <w:rPr>
          <w:rFonts w:hint="eastAsia" w:ascii="Times New Roman" w:cs="Times New Roman"/>
          <w:sz w:val="32"/>
          <w:szCs w:val="32"/>
        </w:rPr>
        <w:t>236.76</w:t>
      </w:r>
      <w:r>
        <w:rPr>
          <w:rFonts w:hint="eastAsia" w:ascii="Times New Roman"/>
          <w:sz w:val="32"/>
          <w:szCs w:val="32"/>
        </w:rPr>
        <w:t>万元，主要是因项目改变支出方式导致。</w:t>
      </w:r>
    </w:p>
    <w:p>
      <w:pPr>
        <w:pStyle w:val="2"/>
        <w:adjustRightInd w:val="0"/>
        <w:spacing w:before="130" w:line="560" w:lineRule="exact"/>
        <w:ind w:firstLine="643"/>
        <w:rPr>
          <w:rFonts w:ascii="楷体" w:hAnsi="楷体" w:eastAsia="楷体" w:cs="Times New Roman"/>
          <w:b/>
          <w:bCs/>
          <w:sz w:val="32"/>
          <w:szCs w:val="32"/>
        </w:rPr>
      </w:pPr>
      <w:r>
        <w:rPr>
          <w:rFonts w:hint="eastAsia" w:ascii="楷体" w:hAnsi="楷体" w:eastAsia="楷体" w:cs="楷体"/>
          <w:b/>
          <w:bCs/>
          <w:sz w:val="32"/>
          <w:szCs w:val="32"/>
        </w:rPr>
        <w:t>（二）一般公共预算当年拨款结构情况</w:t>
      </w:r>
    </w:p>
    <w:p>
      <w:pPr>
        <w:pStyle w:val="2"/>
        <w:adjustRightInd w:val="0"/>
        <w:spacing w:before="130" w:line="560" w:lineRule="exact"/>
        <w:ind w:firstLine="675"/>
        <w:rPr>
          <w:rFonts w:ascii="Times New Roman" w:cs="Times New Roman"/>
          <w:sz w:val="32"/>
          <w:szCs w:val="32"/>
        </w:rPr>
      </w:pPr>
      <w:r>
        <w:rPr>
          <w:rFonts w:hint="eastAsia" w:ascii="Times New Roman"/>
          <w:sz w:val="32"/>
          <w:szCs w:val="32"/>
        </w:rPr>
        <w:t>社会保障和就业支出</w:t>
      </w:r>
      <w:r>
        <w:rPr>
          <w:rFonts w:hint="eastAsia" w:ascii="Times New Roman" w:cs="Times New Roman"/>
          <w:sz w:val="32"/>
          <w:szCs w:val="32"/>
        </w:rPr>
        <w:t>137.52</w:t>
      </w:r>
      <w:r>
        <w:rPr>
          <w:rFonts w:hint="eastAsia" w:ascii="Times New Roman"/>
          <w:sz w:val="32"/>
          <w:szCs w:val="32"/>
        </w:rPr>
        <w:t>万元，占</w:t>
      </w:r>
      <w:r>
        <w:rPr>
          <w:rFonts w:hint="eastAsia" w:ascii="Times New Roman" w:cs="Times New Roman"/>
          <w:sz w:val="32"/>
          <w:szCs w:val="32"/>
        </w:rPr>
        <w:t>8.24</w:t>
      </w:r>
      <w:r>
        <w:rPr>
          <w:rFonts w:ascii="Times New Roman" w:cs="Times New Roman"/>
          <w:sz w:val="32"/>
          <w:szCs w:val="32"/>
        </w:rPr>
        <w:t>%</w:t>
      </w:r>
      <w:r>
        <w:rPr>
          <w:rFonts w:hint="eastAsia" w:ascii="Times New Roman"/>
          <w:sz w:val="32"/>
          <w:szCs w:val="32"/>
        </w:rPr>
        <w:t>；交通运输支出</w:t>
      </w:r>
      <w:r>
        <w:rPr>
          <w:rFonts w:hint="eastAsia" w:ascii="Times New Roman" w:cs="Times New Roman"/>
          <w:sz w:val="32"/>
          <w:szCs w:val="32"/>
        </w:rPr>
        <w:t>1405.86</w:t>
      </w:r>
      <w:r>
        <w:rPr>
          <w:rFonts w:hint="eastAsia" w:ascii="Times New Roman"/>
          <w:sz w:val="32"/>
          <w:szCs w:val="32"/>
        </w:rPr>
        <w:t>万元，占</w:t>
      </w:r>
      <w:r>
        <w:rPr>
          <w:rFonts w:hint="eastAsia" w:ascii="Times New Roman" w:cs="Times New Roman"/>
          <w:sz w:val="32"/>
          <w:szCs w:val="32"/>
        </w:rPr>
        <w:t>84.28</w:t>
      </w:r>
      <w:r>
        <w:rPr>
          <w:rFonts w:ascii="Times New Roman" w:cs="Times New Roman"/>
          <w:sz w:val="32"/>
          <w:szCs w:val="32"/>
        </w:rPr>
        <w:t>%</w:t>
      </w:r>
      <w:r>
        <w:rPr>
          <w:rFonts w:hint="eastAsia" w:ascii="Times New Roman"/>
          <w:sz w:val="32"/>
          <w:szCs w:val="32"/>
        </w:rPr>
        <w:t>；住房保障支出</w:t>
      </w:r>
      <w:r>
        <w:rPr>
          <w:rFonts w:hint="eastAsia" w:ascii="Times New Roman" w:cs="Times New Roman"/>
          <w:sz w:val="32"/>
          <w:szCs w:val="32"/>
        </w:rPr>
        <w:t>124.72</w:t>
      </w:r>
      <w:r>
        <w:rPr>
          <w:rFonts w:hint="eastAsia" w:ascii="Times New Roman"/>
          <w:sz w:val="32"/>
          <w:szCs w:val="32"/>
        </w:rPr>
        <w:t>万元，占</w:t>
      </w:r>
      <w:r>
        <w:rPr>
          <w:rFonts w:hint="eastAsia" w:ascii="Times New Roman" w:cs="Times New Roman"/>
          <w:sz w:val="32"/>
          <w:szCs w:val="32"/>
        </w:rPr>
        <w:t>7.48</w:t>
      </w:r>
      <w:r>
        <w:rPr>
          <w:rFonts w:ascii="Times New Roman" w:cs="Times New Roman"/>
          <w:sz w:val="32"/>
          <w:szCs w:val="32"/>
        </w:rPr>
        <w:t>%</w:t>
      </w:r>
      <w:r>
        <w:rPr>
          <w:rFonts w:hint="eastAsia" w:ascii="Times New Roman"/>
          <w:sz w:val="32"/>
          <w:szCs w:val="32"/>
        </w:rPr>
        <w:t>。</w:t>
      </w:r>
    </w:p>
    <w:p>
      <w:pPr>
        <w:pStyle w:val="2"/>
        <w:adjustRightInd w:val="0"/>
        <w:spacing w:before="130" w:line="560" w:lineRule="exact"/>
        <w:ind w:firstLine="643"/>
        <w:rPr>
          <w:rFonts w:ascii="楷体" w:hAnsi="楷体" w:eastAsia="楷体" w:cs="Times New Roman"/>
          <w:b/>
          <w:bCs/>
          <w:sz w:val="32"/>
          <w:szCs w:val="32"/>
        </w:rPr>
      </w:pPr>
      <w:r>
        <w:rPr>
          <w:rFonts w:hint="eastAsia" w:ascii="楷体" w:hAnsi="楷体" w:eastAsia="楷体" w:cs="楷体"/>
          <w:b/>
          <w:bCs/>
          <w:sz w:val="32"/>
          <w:szCs w:val="32"/>
        </w:rPr>
        <w:t>（三）一般公共预算当年拨款具体使用情况</w:t>
      </w:r>
    </w:p>
    <w:p>
      <w:pPr>
        <w:pStyle w:val="2"/>
        <w:adjustRightInd w:val="0"/>
        <w:spacing w:before="130" w:line="560" w:lineRule="exact"/>
        <w:ind w:firstLine="675"/>
        <w:rPr>
          <w:rFonts w:ascii="Times New Roman" w:cs="Times New Roman"/>
          <w:sz w:val="32"/>
          <w:szCs w:val="32"/>
        </w:rPr>
      </w:pPr>
      <w:r>
        <w:rPr>
          <w:rFonts w:ascii="Times New Roman" w:cs="Times New Roman"/>
          <w:sz w:val="32"/>
          <w:szCs w:val="32"/>
        </w:rPr>
        <w:t>1.</w:t>
      </w:r>
      <w:r>
        <w:rPr>
          <w:rFonts w:hint="eastAsia" w:ascii="Times New Roman"/>
          <w:sz w:val="32"/>
          <w:szCs w:val="32"/>
        </w:rPr>
        <w:t>社会保障和就业支出（类）行政事业单位离退休（款）未归口管理的行政单位离退休（项）</w:t>
      </w:r>
      <w:r>
        <w:rPr>
          <w:rFonts w:ascii="Times New Roman" w:cs="Times New Roman"/>
          <w:sz w:val="32"/>
          <w:szCs w:val="32"/>
        </w:rPr>
        <w:t>20</w:t>
      </w:r>
      <w:r>
        <w:rPr>
          <w:rFonts w:hint="eastAsia" w:ascii="Times New Roman" w:cs="Times New Roman"/>
          <w:sz w:val="32"/>
          <w:szCs w:val="32"/>
        </w:rPr>
        <w:t>21</w:t>
      </w:r>
      <w:r>
        <w:rPr>
          <w:rFonts w:hint="eastAsia" w:ascii="Times New Roman"/>
          <w:sz w:val="32"/>
          <w:szCs w:val="32"/>
        </w:rPr>
        <w:t>年预算数为</w:t>
      </w:r>
      <w:r>
        <w:rPr>
          <w:rFonts w:hint="eastAsia" w:ascii="Times New Roman" w:cs="Times New Roman"/>
          <w:sz w:val="32"/>
          <w:szCs w:val="32"/>
        </w:rPr>
        <w:t>19.49</w:t>
      </w:r>
      <w:r>
        <w:rPr>
          <w:rFonts w:hint="eastAsia" w:ascii="Times New Roman"/>
          <w:sz w:val="32"/>
          <w:szCs w:val="32"/>
        </w:rPr>
        <w:t>万元，主要用于：离休人员离休费、目标奖；退休人员社保统筹外退休费、目标奖；离退休人员福利费及公用经费。</w:t>
      </w:r>
    </w:p>
    <w:p>
      <w:pPr>
        <w:pStyle w:val="2"/>
        <w:adjustRightInd w:val="0"/>
        <w:spacing w:before="130" w:line="560" w:lineRule="exact"/>
        <w:ind w:firstLine="675"/>
        <w:rPr>
          <w:rFonts w:ascii="Times New Roman" w:cs="Times New Roman"/>
          <w:sz w:val="32"/>
          <w:szCs w:val="32"/>
        </w:rPr>
      </w:pPr>
      <w:r>
        <w:rPr>
          <w:rFonts w:ascii="Times New Roman" w:cs="Times New Roman"/>
          <w:sz w:val="32"/>
          <w:szCs w:val="32"/>
        </w:rPr>
        <w:t>2.</w:t>
      </w:r>
      <w:r>
        <w:rPr>
          <w:rFonts w:hint="eastAsia" w:ascii="Times New Roman"/>
          <w:sz w:val="32"/>
          <w:szCs w:val="32"/>
        </w:rPr>
        <w:t>社会保障和就业支出（类）行政事业单位离退休（款）机关事业单位基本养老保险缴费支出（项）</w:t>
      </w:r>
      <w:r>
        <w:rPr>
          <w:rFonts w:ascii="Times New Roman" w:cs="Times New Roman"/>
          <w:sz w:val="32"/>
          <w:szCs w:val="32"/>
        </w:rPr>
        <w:t>20</w:t>
      </w:r>
      <w:r>
        <w:rPr>
          <w:rFonts w:hint="eastAsia" w:ascii="Times New Roman" w:cs="Times New Roman"/>
          <w:sz w:val="32"/>
          <w:szCs w:val="32"/>
        </w:rPr>
        <w:t>21</w:t>
      </w:r>
      <w:r>
        <w:rPr>
          <w:rFonts w:hint="eastAsia" w:ascii="Times New Roman"/>
          <w:sz w:val="32"/>
          <w:szCs w:val="32"/>
        </w:rPr>
        <w:t>年预算数为</w:t>
      </w:r>
      <w:r>
        <w:rPr>
          <w:rFonts w:hint="eastAsia" w:ascii="Times New Roman" w:cs="Times New Roman"/>
          <w:sz w:val="32"/>
          <w:szCs w:val="32"/>
        </w:rPr>
        <w:t>118.03</w:t>
      </w:r>
      <w:r>
        <w:rPr>
          <w:rFonts w:hint="eastAsia" w:ascii="Times New Roman"/>
          <w:sz w:val="32"/>
          <w:szCs w:val="32"/>
        </w:rPr>
        <w:t>万元，主要用于：在职人员基本养老保险缴费。</w:t>
      </w:r>
    </w:p>
    <w:p>
      <w:pPr>
        <w:pStyle w:val="2"/>
        <w:adjustRightInd w:val="0"/>
        <w:spacing w:before="130" w:line="560" w:lineRule="exact"/>
        <w:ind w:firstLine="675"/>
        <w:rPr>
          <w:rFonts w:ascii="Times New Roman" w:cs="Times New Roman"/>
          <w:sz w:val="32"/>
          <w:szCs w:val="32"/>
        </w:rPr>
      </w:pPr>
      <w:r>
        <w:rPr>
          <w:rFonts w:ascii="Times New Roman" w:cs="Times New Roman"/>
          <w:sz w:val="32"/>
          <w:szCs w:val="32"/>
        </w:rPr>
        <w:t>3.</w:t>
      </w:r>
      <w:r>
        <w:rPr>
          <w:rFonts w:hint="eastAsia" w:ascii="Times New Roman"/>
          <w:sz w:val="32"/>
          <w:szCs w:val="32"/>
        </w:rPr>
        <w:t>交通运输支出（类）公路水路运输（款）行政运行</w:t>
      </w:r>
      <w:r>
        <w:rPr>
          <w:rFonts w:ascii="Times New Roman" w:cs="Times New Roman"/>
          <w:sz w:val="32"/>
          <w:szCs w:val="32"/>
        </w:rPr>
        <w:t>(</w:t>
      </w:r>
      <w:r>
        <w:rPr>
          <w:rFonts w:hint="eastAsia" w:ascii="Times New Roman"/>
          <w:sz w:val="32"/>
          <w:szCs w:val="32"/>
        </w:rPr>
        <w:t>公路</w:t>
      </w:r>
      <w:r>
        <w:rPr>
          <w:rFonts w:ascii="Times New Roman" w:cs="Times New Roman"/>
          <w:sz w:val="32"/>
          <w:szCs w:val="32"/>
        </w:rPr>
        <w:t>)</w:t>
      </w:r>
      <w:r>
        <w:rPr>
          <w:rFonts w:hint="eastAsia" w:ascii="Times New Roman"/>
          <w:sz w:val="32"/>
          <w:szCs w:val="32"/>
        </w:rPr>
        <w:t>（项）</w:t>
      </w:r>
      <w:r>
        <w:rPr>
          <w:rFonts w:hint="eastAsia" w:ascii="Times New Roman" w:cs="Times New Roman"/>
          <w:sz w:val="32"/>
          <w:szCs w:val="32"/>
        </w:rPr>
        <w:t>2021</w:t>
      </w:r>
      <w:r>
        <w:rPr>
          <w:rFonts w:hint="eastAsia" w:ascii="Times New Roman"/>
          <w:sz w:val="32"/>
          <w:szCs w:val="32"/>
        </w:rPr>
        <w:t>年预算为</w:t>
      </w:r>
      <w:r>
        <w:rPr>
          <w:rFonts w:hint="eastAsia" w:ascii="Times New Roman" w:cs="Times New Roman"/>
          <w:sz w:val="32"/>
          <w:szCs w:val="32"/>
        </w:rPr>
        <w:t>1405.86</w:t>
      </w:r>
      <w:r>
        <w:rPr>
          <w:rFonts w:hint="eastAsia" w:ascii="Times New Roman"/>
          <w:sz w:val="32"/>
          <w:szCs w:val="32"/>
        </w:rPr>
        <w:t>万元，主要用于：在职职工基本工资、津补贴、奖金发放；医保、生育保险、失业保险缴纳；办公费、水费、电费、邮电费、差旅费、接待费、公务用车运行维护费、其他交通费用、工会经费、福利费、党建经费等公用经费开支。</w:t>
      </w:r>
    </w:p>
    <w:p>
      <w:pPr>
        <w:pStyle w:val="2"/>
        <w:adjustRightInd w:val="0"/>
        <w:spacing w:before="130" w:line="560" w:lineRule="exact"/>
        <w:ind w:firstLine="675"/>
        <w:rPr>
          <w:rFonts w:ascii="Times New Roman" w:cs="Times New Roman"/>
          <w:sz w:val="32"/>
          <w:szCs w:val="32"/>
        </w:rPr>
      </w:pPr>
      <w:r>
        <w:rPr>
          <w:rFonts w:hint="eastAsia" w:ascii="Times New Roman" w:cs="Times New Roman"/>
          <w:sz w:val="32"/>
          <w:szCs w:val="32"/>
        </w:rPr>
        <w:t>4</w:t>
      </w:r>
      <w:r>
        <w:rPr>
          <w:rFonts w:ascii="Times New Roman" w:cs="Times New Roman"/>
          <w:sz w:val="32"/>
          <w:szCs w:val="32"/>
        </w:rPr>
        <w:t>.</w:t>
      </w:r>
      <w:r>
        <w:rPr>
          <w:rFonts w:hint="eastAsia" w:ascii="Times New Roman"/>
          <w:sz w:val="32"/>
          <w:szCs w:val="32"/>
        </w:rPr>
        <w:t>住房保障支出（类）住房改革支出（款）住房公积金（项）</w:t>
      </w:r>
      <w:r>
        <w:rPr>
          <w:rFonts w:ascii="Times New Roman" w:cs="Times New Roman"/>
          <w:sz w:val="32"/>
          <w:szCs w:val="32"/>
        </w:rPr>
        <w:t>20</w:t>
      </w:r>
      <w:r>
        <w:rPr>
          <w:rFonts w:hint="eastAsia" w:ascii="Times New Roman" w:cs="Times New Roman"/>
          <w:sz w:val="32"/>
          <w:szCs w:val="32"/>
        </w:rPr>
        <w:t>21</w:t>
      </w:r>
      <w:r>
        <w:rPr>
          <w:rFonts w:hint="eastAsia" w:ascii="Times New Roman"/>
          <w:sz w:val="32"/>
          <w:szCs w:val="32"/>
        </w:rPr>
        <w:t>年预算数为</w:t>
      </w:r>
      <w:r>
        <w:rPr>
          <w:rFonts w:hint="eastAsia" w:ascii="Times New Roman" w:cs="Times New Roman"/>
          <w:sz w:val="32"/>
          <w:szCs w:val="32"/>
        </w:rPr>
        <w:t>124.72</w:t>
      </w:r>
      <w:r>
        <w:rPr>
          <w:rFonts w:hint="eastAsia" w:ascii="Times New Roman"/>
          <w:sz w:val="32"/>
          <w:szCs w:val="32"/>
        </w:rPr>
        <w:t>万元，主要用于：按照规定标准为在职职工缴纳住房公积金支出。</w:t>
      </w:r>
    </w:p>
    <w:p>
      <w:pPr>
        <w:pStyle w:val="2"/>
        <w:adjustRightInd w:val="0"/>
        <w:spacing w:before="130" w:line="560" w:lineRule="exact"/>
        <w:ind w:firstLine="643"/>
        <w:rPr>
          <w:rFonts w:ascii="黑体" w:hAnsi="黑体" w:eastAsia="黑体" w:cs="Times New Roman"/>
          <w:sz w:val="32"/>
          <w:szCs w:val="32"/>
        </w:rPr>
      </w:pPr>
      <w:r>
        <w:rPr>
          <w:rFonts w:hint="eastAsia" w:ascii="黑体" w:hAnsi="黑体" w:eastAsia="黑体" w:cs="黑体"/>
          <w:sz w:val="32"/>
          <w:szCs w:val="32"/>
        </w:rPr>
        <w:t>六、一般公共预算基本支出情况说明</w:t>
      </w:r>
    </w:p>
    <w:p>
      <w:pPr>
        <w:pStyle w:val="2"/>
        <w:adjustRightInd w:val="0"/>
        <w:spacing w:before="130" w:line="560" w:lineRule="exact"/>
        <w:ind w:firstLine="675"/>
        <w:rPr>
          <w:rFonts w:ascii="Times New Roman"/>
          <w:sz w:val="32"/>
          <w:szCs w:val="32"/>
        </w:rPr>
      </w:pPr>
      <w:r>
        <w:rPr>
          <w:rFonts w:hint="eastAsia" w:ascii="Times New Roman"/>
          <w:sz w:val="32"/>
          <w:szCs w:val="32"/>
        </w:rPr>
        <w:t>市交通运输综合行政执法支队</w:t>
      </w:r>
      <w:r>
        <w:rPr>
          <w:rFonts w:ascii="Times New Roman" w:cs="Times New Roman"/>
          <w:sz w:val="32"/>
          <w:szCs w:val="32"/>
        </w:rPr>
        <w:t>20</w:t>
      </w:r>
      <w:r>
        <w:rPr>
          <w:rFonts w:hint="eastAsia" w:ascii="Times New Roman" w:cs="Times New Roman"/>
          <w:sz w:val="32"/>
          <w:szCs w:val="32"/>
        </w:rPr>
        <w:t>21</w:t>
      </w:r>
      <w:r>
        <w:rPr>
          <w:rFonts w:hint="eastAsia" w:ascii="Times New Roman"/>
          <w:sz w:val="32"/>
          <w:szCs w:val="32"/>
        </w:rPr>
        <w:t>年一般公共预算基本支出</w:t>
      </w:r>
      <w:r>
        <w:rPr>
          <w:rFonts w:hint="eastAsia" w:ascii="Times New Roman" w:cs="Times New Roman"/>
          <w:sz w:val="32"/>
          <w:szCs w:val="32"/>
        </w:rPr>
        <w:t>1668.1</w:t>
      </w:r>
      <w:r>
        <w:rPr>
          <w:rFonts w:hint="eastAsia" w:ascii="Times New Roman"/>
          <w:sz w:val="32"/>
          <w:szCs w:val="32"/>
        </w:rPr>
        <w:t>万元，其中：</w:t>
      </w:r>
    </w:p>
    <w:p>
      <w:pPr>
        <w:pStyle w:val="2"/>
        <w:adjustRightInd w:val="0"/>
        <w:spacing w:before="130" w:line="560" w:lineRule="exact"/>
        <w:ind w:firstLine="675"/>
        <w:rPr>
          <w:rFonts w:ascii="Times New Roman"/>
          <w:sz w:val="32"/>
          <w:szCs w:val="32"/>
        </w:rPr>
      </w:pPr>
      <w:r>
        <w:rPr>
          <w:rFonts w:hint="eastAsia" w:ascii="Times New Roman"/>
          <w:sz w:val="32"/>
          <w:szCs w:val="32"/>
        </w:rPr>
        <w:t>人员经费</w:t>
      </w:r>
      <w:r>
        <w:rPr>
          <w:rFonts w:hint="eastAsia" w:ascii="Times New Roman" w:cs="Times New Roman"/>
          <w:sz w:val="32"/>
          <w:szCs w:val="32"/>
        </w:rPr>
        <w:t>1434.95</w:t>
      </w:r>
      <w:r>
        <w:rPr>
          <w:rFonts w:hint="eastAsia" w:ascii="Times New Roman"/>
          <w:sz w:val="32"/>
          <w:szCs w:val="32"/>
        </w:rPr>
        <w:t>万元，主要包括：基本工资371.12万元、津贴补贴641.23万元、奖金26.98万元、机关事业单位基本养老保险缴费118.03万元、职工基本医疗保险缴费80.03万元、公务员医疗补助缴费7.36万元、其他工资福利支出47.84万元、住房公积金124.72万元、退休费16.84万元、医疗费补助0.8万元。</w:t>
      </w:r>
    </w:p>
    <w:p>
      <w:pPr>
        <w:pStyle w:val="2"/>
        <w:adjustRightInd w:val="0"/>
        <w:spacing w:before="130" w:line="560" w:lineRule="exact"/>
        <w:ind w:firstLine="675"/>
        <w:rPr>
          <w:rFonts w:ascii="Times New Roman" w:cs="Times New Roman"/>
          <w:sz w:val="32"/>
          <w:szCs w:val="32"/>
        </w:rPr>
      </w:pPr>
      <w:r>
        <w:rPr>
          <w:rFonts w:hint="eastAsia" w:ascii="Times New Roman"/>
          <w:sz w:val="32"/>
          <w:szCs w:val="32"/>
        </w:rPr>
        <w:t>公用经费</w:t>
      </w:r>
      <w:r>
        <w:rPr>
          <w:rFonts w:hint="eastAsia" w:ascii="Times New Roman" w:cs="Times New Roman"/>
          <w:sz w:val="32"/>
          <w:szCs w:val="32"/>
        </w:rPr>
        <w:t>233.15</w:t>
      </w:r>
      <w:r>
        <w:rPr>
          <w:rFonts w:hint="eastAsia" w:ascii="Times New Roman"/>
          <w:sz w:val="32"/>
          <w:szCs w:val="32"/>
        </w:rPr>
        <w:t>万元，主要包括：办公费14.08万元、水费2.82万元、电费7.04万元、邮电费6.21万元、差旅费56.30万元、公务接待费2.19万元、工会经费20.79万元、福利费11.33万元、公务用车运行维护费21.71万元、其他交通费用74.82、其他商品和服务支出</w:t>
      </w:r>
      <w:r>
        <w:rPr>
          <w:rFonts w:ascii="Times New Roman" w:cs="Times New Roman"/>
          <w:sz w:val="32"/>
          <w:szCs w:val="32"/>
        </w:rPr>
        <w:t>(</w:t>
      </w:r>
      <w:r>
        <w:rPr>
          <w:rFonts w:hint="eastAsia" w:ascii="Times New Roman"/>
          <w:sz w:val="32"/>
          <w:szCs w:val="32"/>
        </w:rPr>
        <w:t>党建经费</w:t>
      </w:r>
      <w:r>
        <w:rPr>
          <w:rFonts w:ascii="Times New Roman" w:cs="Times New Roman"/>
          <w:sz w:val="32"/>
          <w:szCs w:val="32"/>
        </w:rPr>
        <w:t>)</w:t>
      </w:r>
      <w:r>
        <w:rPr>
          <w:rFonts w:hint="eastAsia" w:ascii="Times New Roman" w:cs="Times New Roman"/>
          <w:sz w:val="32"/>
          <w:szCs w:val="32"/>
        </w:rPr>
        <w:t>15.86万元</w:t>
      </w:r>
      <w:r>
        <w:rPr>
          <w:rFonts w:hint="eastAsia" w:ascii="Times New Roman"/>
          <w:sz w:val="32"/>
          <w:szCs w:val="32"/>
        </w:rPr>
        <w:t>。</w:t>
      </w:r>
    </w:p>
    <w:p>
      <w:pPr>
        <w:pStyle w:val="2"/>
        <w:adjustRightInd w:val="0"/>
        <w:spacing w:before="130" w:line="560" w:lineRule="exact"/>
        <w:ind w:firstLine="643"/>
        <w:rPr>
          <w:rFonts w:ascii="黑体" w:hAnsi="黑体" w:eastAsia="黑体" w:cs="Times New Roman"/>
          <w:sz w:val="32"/>
          <w:szCs w:val="32"/>
        </w:rPr>
      </w:pPr>
      <w:r>
        <w:rPr>
          <w:rFonts w:hint="eastAsia" w:ascii="黑体" w:hAnsi="黑体" w:eastAsia="黑体" w:cs="黑体"/>
          <w:sz w:val="32"/>
          <w:szCs w:val="32"/>
        </w:rPr>
        <w:t>七、“三公”经费财政拨款预算安排情况说明</w:t>
      </w:r>
    </w:p>
    <w:p>
      <w:pPr>
        <w:pStyle w:val="2"/>
        <w:adjustRightInd w:val="0"/>
        <w:spacing w:before="130" w:line="560" w:lineRule="exact"/>
        <w:ind w:firstLine="675"/>
        <w:rPr>
          <w:rFonts w:hint="eastAsia" w:ascii="Times New Roman"/>
          <w:sz w:val="32"/>
          <w:szCs w:val="32"/>
        </w:rPr>
      </w:pPr>
      <w:r>
        <w:rPr>
          <w:rFonts w:hint="eastAsia" w:ascii="Times New Roman"/>
          <w:sz w:val="32"/>
          <w:szCs w:val="32"/>
        </w:rPr>
        <w:t>市交通运输综合行政执法支队</w:t>
      </w:r>
      <w:r>
        <w:rPr>
          <w:rFonts w:ascii="Times New Roman" w:cs="Times New Roman"/>
          <w:sz w:val="32"/>
          <w:szCs w:val="32"/>
        </w:rPr>
        <w:t>20</w:t>
      </w:r>
      <w:r>
        <w:rPr>
          <w:rFonts w:hint="eastAsia" w:ascii="Times New Roman" w:cs="Times New Roman"/>
          <w:sz w:val="32"/>
          <w:szCs w:val="32"/>
        </w:rPr>
        <w:t>21</w:t>
      </w:r>
      <w:r>
        <w:rPr>
          <w:rFonts w:hint="eastAsia" w:ascii="Times New Roman"/>
          <w:sz w:val="32"/>
          <w:szCs w:val="32"/>
        </w:rPr>
        <w:t>年</w:t>
      </w:r>
      <w:r>
        <w:rPr>
          <w:rFonts w:ascii="Times New Roman" w:cs="Times New Roman"/>
          <w:sz w:val="32"/>
          <w:szCs w:val="32"/>
        </w:rPr>
        <w:t>“</w:t>
      </w:r>
      <w:r>
        <w:rPr>
          <w:rFonts w:hint="eastAsia" w:ascii="Times New Roman"/>
          <w:sz w:val="32"/>
          <w:szCs w:val="32"/>
        </w:rPr>
        <w:t>三公</w:t>
      </w:r>
      <w:r>
        <w:rPr>
          <w:rFonts w:ascii="Times New Roman" w:cs="Times New Roman"/>
          <w:sz w:val="32"/>
          <w:szCs w:val="32"/>
        </w:rPr>
        <w:t>”</w:t>
      </w:r>
      <w:r>
        <w:rPr>
          <w:rFonts w:hint="eastAsia" w:ascii="Times New Roman"/>
          <w:sz w:val="32"/>
          <w:szCs w:val="32"/>
        </w:rPr>
        <w:t>经费财政拨款预算数</w:t>
      </w:r>
      <w:r>
        <w:rPr>
          <w:rFonts w:hint="eastAsia" w:ascii="Times New Roman" w:cs="Times New Roman"/>
          <w:sz w:val="32"/>
          <w:szCs w:val="32"/>
        </w:rPr>
        <w:t>23.90</w:t>
      </w:r>
      <w:r>
        <w:rPr>
          <w:rFonts w:hint="eastAsia" w:ascii="Times New Roman"/>
          <w:sz w:val="32"/>
          <w:szCs w:val="32"/>
        </w:rPr>
        <w:t>万元，其中：因公出国（境）经费</w:t>
      </w:r>
      <w:r>
        <w:rPr>
          <w:rFonts w:ascii="Times New Roman" w:cs="Times New Roman"/>
          <w:sz w:val="32"/>
          <w:szCs w:val="32"/>
        </w:rPr>
        <w:t>0</w:t>
      </w:r>
      <w:r>
        <w:rPr>
          <w:rFonts w:hint="eastAsia" w:ascii="Times New Roman"/>
          <w:sz w:val="32"/>
          <w:szCs w:val="32"/>
        </w:rPr>
        <w:t>万元，公务接待费</w:t>
      </w:r>
      <w:r>
        <w:rPr>
          <w:rFonts w:ascii="Times New Roman" w:cs="Times New Roman"/>
          <w:sz w:val="32"/>
          <w:szCs w:val="32"/>
        </w:rPr>
        <w:t>2.</w:t>
      </w:r>
      <w:r>
        <w:rPr>
          <w:rFonts w:hint="eastAsia" w:ascii="Times New Roman" w:cs="Times New Roman"/>
          <w:sz w:val="32"/>
          <w:szCs w:val="32"/>
        </w:rPr>
        <w:t>19</w:t>
      </w:r>
      <w:r>
        <w:rPr>
          <w:rFonts w:hint="eastAsia" w:ascii="Times New Roman"/>
          <w:sz w:val="32"/>
          <w:szCs w:val="32"/>
        </w:rPr>
        <w:t>万元，公务用车购置及运行维护费</w:t>
      </w:r>
      <w:r>
        <w:rPr>
          <w:rFonts w:hint="eastAsia" w:ascii="Times New Roman" w:cs="Times New Roman"/>
          <w:sz w:val="32"/>
          <w:szCs w:val="32"/>
        </w:rPr>
        <w:t>21.71</w:t>
      </w:r>
      <w:r>
        <w:rPr>
          <w:rFonts w:hint="eastAsia" w:ascii="Times New Roman"/>
          <w:sz w:val="32"/>
          <w:szCs w:val="32"/>
        </w:rPr>
        <w:t>万元。</w:t>
      </w:r>
    </w:p>
    <w:p>
      <w:pPr>
        <w:pStyle w:val="2"/>
        <w:adjustRightInd w:val="0"/>
        <w:spacing w:before="130" w:line="560" w:lineRule="exact"/>
        <w:ind w:firstLine="675"/>
        <w:rPr>
          <w:rFonts w:ascii="楷体" w:hAnsi="楷体" w:eastAsia="楷体" w:cs="Times New Roman"/>
          <w:b/>
          <w:bCs/>
          <w:sz w:val="32"/>
          <w:szCs w:val="32"/>
        </w:rPr>
      </w:pPr>
      <w:r>
        <w:rPr>
          <w:rFonts w:hint="eastAsia" w:ascii="楷体" w:hAnsi="楷体" w:eastAsia="楷体" w:cs="楷体"/>
          <w:b/>
          <w:bCs/>
          <w:sz w:val="32"/>
          <w:szCs w:val="32"/>
        </w:rPr>
        <w:t>（一）因公出国（境）经费</w:t>
      </w:r>
      <w:r>
        <w:rPr>
          <w:rFonts w:hint="eastAsia" w:ascii="楷体" w:hAnsi="楷体" w:eastAsia="楷体" w:cs="楷体"/>
          <w:b/>
          <w:bCs/>
          <w:sz w:val="32"/>
          <w:szCs w:val="32"/>
          <w:lang w:val="en-US" w:eastAsia="zh-CN"/>
        </w:rPr>
        <w:t>与</w:t>
      </w:r>
      <w:r>
        <w:rPr>
          <w:rFonts w:hint="eastAsia" w:ascii="楷体" w:hAnsi="楷体" w:eastAsia="楷体" w:cs="楷体"/>
          <w:b/>
          <w:bCs/>
          <w:sz w:val="32"/>
          <w:szCs w:val="32"/>
          <w:lang w:eastAsia="zh-CN"/>
        </w:rPr>
        <w:t>20</w:t>
      </w:r>
      <w:r>
        <w:rPr>
          <w:rFonts w:hint="eastAsia" w:ascii="楷体" w:hAnsi="楷体" w:eastAsia="楷体" w:cs="楷体"/>
          <w:b/>
          <w:bCs/>
          <w:sz w:val="32"/>
          <w:szCs w:val="32"/>
          <w:lang w:val="en-US" w:eastAsia="zh-CN"/>
        </w:rPr>
        <w:t>20年预算持平，</w:t>
      </w:r>
      <w:r>
        <w:rPr>
          <w:rFonts w:hint="eastAsia" w:ascii="仿宋_GB2312" w:hAnsi="仿宋_GB2312" w:cs="仿宋_GB2312"/>
          <w:b w:val="0"/>
          <w:bCs w:val="0"/>
          <w:i w:val="0"/>
          <w:caps w:val="0"/>
          <w:color w:val="333333"/>
          <w:spacing w:val="0"/>
          <w:sz w:val="32"/>
          <w:szCs w:val="32"/>
          <w:shd w:val="clear" w:fill="FFFFFF"/>
          <w:lang w:val="en-US" w:eastAsia="zh-CN"/>
        </w:rPr>
        <w:t>主要原因为2020年</w:t>
      </w:r>
      <w:r>
        <w:rPr>
          <w:rFonts w:hint="eastAsia" w:ascii="仿宋_GB2312" w:hAnsi="仿宋_GB2312" w:eastAsia="仿宋_GB2312" w:cs="仿宋_GB2312"/>
          <w:b w:val="0"/>
          <w:bCs w:val="0"/>
          <w:i w:val="0"/>
          <w:caps w:val="0"/>
          <w:color w:val="333333"/>
          <w:spacing w:val="0"/>
          <w:sz w:val="32"/>
          <w:szCs w:val="32"/>
          <w:shd w:val="clear" w:fill="FFFFFF"/>
        </w:rPr>
        <w:t>、</w:t>
      </w:r>
      <w:r>
        <w:rPr>
          <w:rFonts w:hint="eastAsia" w:ascii="仿宋_GB2312" w:hAnsi="仿宋_GB2312" w:eastAsia="仿宋_GB2312" w:cs="仿宋_GB2312"/>
          <w:b w:val="0"/>
          <w:bCs w:val="0"/>
          <w:i w:val="0"/>
          <w:caps w:val="0"/>
          <w:color w:val="333333"/>
          <w:spacing w:val="0"/>
          <w:sz w:val="32"/>
          <w:szCs w:val="32"/>
          <w:shd w:val="clear" w:fill="FFFFFF"/>
          <w:lang w:eastAsia="zh-CN"/>
        </w:rPr>
        <w:t>20</w:t>
      </w:r>
      <w:r>
        <w:rPr>
          <w:rFonts w:hint="eastAsia" w:ascii="仿宋_GB2312" w:hAnsi="仿宋_GB2312" w:eastAsia="仿宋_GB2312" w:cs="仿宋_GB2312"/>
          <w:b w:val="0"/>
          <w:bCs w:val="0"/>
          <w:i w:val="0"/>
          <w:caps w:val="0"/>
          <w:color w:val="333333"/>
          <w:spacing w:val="0"/>
          <w:sz w:val="32"/>
          <w:szCs w:val="32"/>
          <w:shd w:val="clear" w:fill="FFFFFF"/>
          <w:lang w:val="en-US" w:eastAsia="zh-CN"/>
        </w:rPr>
        <w:t>21</w:t>
      </w:r>
      <w:r>
        <w:rPr>
          <w:rFonts w:hint="eastAsia" w:ascii="仿宋_GB2312" w:hAnsi="仿宋_GB2312" w:eastAsia="仿宋_GB2312" w:cs="仿宋_GB2312"/>
          <w:b w:val="0"/>
          <w:bCs w:val="0"/>
          <w:i w:val="0"/>
          <w:caps w:val="0"/>
          <w:color w:val="333333"/>
          <w:spacing w:val="0"/>
          <w:sz w:val="32"/>
          <w:szCs w:val="32"/>
          <w:shd w:val="clear" w:fill="FFFFFF"/>
        </w:rPr>
        <w:t>年均</w:t>
      </w:r>
      <w:r>
        <w:rPr>
          <w:rFonts w:hint="eastAsia" w:ascii="仿宋_GB2312" w:hAnsi="仿宋_GB2312" w:cs="仿宋_GB2312"/>
          <w:b w:val="0"/>
          <w:bCs w:val="0"/>
          <w:i w:val="0"/>
          <w:caps w:val="0"/>
          <w:color w:val="333333"/>
          <w:spacing w:val="0"/>
          <w:sz w:val="32"/>
          <w:szCs w:val="32"/>
          <w:shd w:val="clear" w:fill="FFFFFF"/>
          <w:lang w:val="en-US" w:eastAsia="zh-CN"/>
        </w:rPr>
        <w:t>未安排</w:t>
      </w:r>
      <w:r>
        <w:rPr>
          <w:rFonts w:hint="eastAsia" w:ascii="仿宋_GB2312" w:hAnsi="仿宋_GB2312" w:eastAsia="仿宋_GB2312" w:cs="仿宋_GB2312"/>
          <w:b w:val="0"/>
          <w:bCs w:val="0"/>
          <w:i w:val="0"/>
          <w:caps w:val="0"/>
          <w:color w:val="333333"/>
          <w:spacing w:val="0"/>
          <w:sz w:val="32"/>
          <w:szCs w:val="32"/>
          <w:shd w:val="clear" w:fill="FFFFFF"/>
        </w:rPr>
        <w:t>因公出国（境）经费。</w:t>
      </w:r>
    </w:p>
    <w:p>
      <w:pPr>
        <w:pStyle w:val="2"/>
        <w:adjustRightInd w:val="0"/>
        <w:spacing w:before="130" w:line="560" w:lineRule="exact"/>
        <w:ind w:firstLine="675"/>
        <w:rPr>
          <w:rFonts w:ascii="楷体" w:hAnsi="楷体" w:eastAsia="楷体" w:cs="Times New Roman"/>
          <w:b/>
          <w:bCs/>
          <w:sz w:val="32"/>
          <w:szCs w:val="32"/>
        </w:rPr>
      </w:pPr>
      <w:r>
        <w:rPr>
          <w:rFonts w:hint="eastAsia" w:ascii="楷体" w:hAnsi="楷体" w:eastAsia="楷体" w:cs="楷体"/>
          <w:b/>
          <w:bCs/>
          <w:sz w:val="32"/>
          <w:szCs w:val="32"/>
        </w:rPr>
        <w:t>（二）公务接待费</w:t>
      </w:r>
      <w:r>
        <w:rPr>
          <w:rFonts w:hint="eastAsia" w:ascii="楷体" w:hAnsi="楷体" w:eastAsia="楷体" w:cs="楷体"/>
          <w:b/>
          <w:bCs/>
          <w:sz w:val="32"/>
          <w:szCs w:val="32"/>
          <w:lang w:val="en-US" w:eastAsia="zh-CN"/>
        </w:rPr>
        <w:t>较</w:t>
      </w:r>
      <w:r>
        <w:rPr>
          <w:rFonts w:ascii="楷体" w:hAnsi="楷体" w:eastAsia="楷体" w:cs="楷体"/>
          <w:b/>
          <w:bCs/>
          <w:sz w:val="32"/>
          <w:szCs w:val="32"/>
        </w:rPr>
        <w:t>20</w:t>
      </w:r>
      <w:r>
        <w:rPr>
          <w:rFonts w:hint="eastAsia" w:ascii="楷体" w:hAnsi="楷体" w:eastAsia="楷体" w:cs="楷体"/>
          <w:b/>
          <w:bCs/>
          <w:sz w:val="32"/>
          <w:szCs w:val="32"/>
        </w:rPr>
        <w:t>20年预算略减。</w:t>
      </w:r>
      <w:r>
        <w:rPr>
          <w:rFonts w:hint="eastAsia" w:ascii="Times New Roman"/>
          <w:sz w:val="32"/>
          <w:szCs w:val="32"/>
        </w:rPr>
        <w:t>计划用于检查执行公务、考察调研、检查指导等公务活动开支的接待用餐费等。</w:t>
      </w:r>
    </w:p>
    <w:p>
      <w:pPr>
        <w:spacing w:line="600" w:lineRule="exact"/>
        <w:ind w:firstLine="803" w:firstLineChars="250"/>
        <w:rPr>
          <w:rFonts w:ascii="Times New Roman" w:cs="Times New Roman"/>
          <w:sz w:val="32"/>
          <w:szCs w:val="32"/>
        </w:rPr>
      </w:pPr>
      <w:r>
        <w:rPr>
          <w:rFonts w:hint="eastAsia" w:ascii="楷体" w:hAnsi="楷体" w:eastAsia="楷体" w:cs="楷体"/>
          <w:b/>
          <w:bCs/>
        </w:rPr>
        <w:t>（三）公务用车购置及运行维护费与</w:t>
      </w:r>
      <w:r>
        <w:rPr>
          <w:rFonts w:ascii="楷体" w:hAnsi="楷体" w:eastAsia="楷体" w:cs="楷体"/>
          <w:b/>
          <w:bCs/>
        </w:rPr>
        <w:t>20</w:t>
      </w:r>
      <w:r>
        <w:rPr>
          <w:rFonts w:hint="eastAsia" w:ascii="楷体" w:hAnsi="楷体" w:eastAsia="楷体" w:cs="楷体"/>
          <w:b/>
          <w:bCs/>
        </w:rPr>
        <w:t>20年预算略增。</w:t>
      </w:r>
      <w:r>
        <w:rPr>
          <w:rFonts w:hint="eastAsia"/>
        </w:rPr>
        <w:t>我支队现公务用车9辆，其中：货车3辆（皮卡）、特种专业用车6辆。</w:t>
      </w:r>
    </w:p>
    <w:p>
      <w:pPr>
        <w:pStyle w:val="2"/>
        <w:adjustRightInd w:val="0"/>
        <w:spacing w:before="130" w:line="560" w:lineRule="exact"/>
        <w:ind w:firstLine="675"/>
        <w:rPr>
          <w:rFonts w:ascii="Times New Roman" w:cs="Times New Roman"/>
          <w:sz w:val="32"/>
          <w:szCs w:val="32"/>
        </w:rPr>
      </w:pPr>
      <w:r>
        <w:rPr>
          <w:rFonts w:ascii="Times New Roman" w:cs="Times New Roman"/>
          <w:sz w:val="32"/>
          <w:szCs w:val="32"/>
        </w:rPr>
        <w:t>20</w:t>
      </w:r>
      <w:r>
        <w:rPr>
          <w:rFonts w:hint="eastAsia" w:ascii="Times New Roman" w:cs="Times New Roman"/>
          <w:sz w:val="32"/>
          <w:szCs w:val="32"/>
        </w:rPr>
        <w:t>21</w:t>
      </w:r>
      <w:r>
        <w:rPr>
          <w:rFonts w:hint="eastAsia" w:ascii="Times New Roman"/>
          <w:sz w:val="32"/>
          <w:szCs w:val="32"/>
        </w:rPr>
        <w:t>年无公车购置计划。</w:t>
      </w:r>
    </w:p>
    <w:p>
      <w:pPr>
        <w:pStyle w:val="2"/>
        <w:adjustRightInd w:val="0"/>
        <w:spacing w:before="130" w:line="560" w:lineRule="exact"/>
        <w:ind w:firstLine="675"/>
        <w:rPr>
          <w:rFonts w:ascii="Times New Roman" w:cs="Times New Roman"/>
          <w:sz w:val="32"/>
          <w:szCs w:val="32"/>
        </w:rPr>
      </w:pPr>
      <w:r>
        <w:rPr>
          <w:rFonts w:ascii="Times New Roman" w:cs="Times New Roman"/>
          <w:sz w:val="32"/>
          <w:szCs w:val="32"/>
        </w:rPr>
        <w:t>20</w:t>
      </w:r>
      <w:r>
        <w:rPr>
          <w:rFonts w:hint="eastAsia" w:ascii="Times New Roman" w:cs="Times New Roman"/>
          <w:sz w:val="32"/>
          <w:szCs w:val="32"/>
        </w:rPr>
        <w:t>21</w:t>
      </w:r>
      <w:r>
        <w:rPr>
          <w:rFonts w:hint="eastAsia" w:ascii="Times New Roman"/>
          <w:sz w:val="32"/>
          <w:szCs w:val="32"/>
        </w:rPr>
        <w:t>年安排公务用车运行维护费</w:t>
      </w:r>
      <w:r>
        <w:rPr>
          <w:rFonts w:hint="eastAsia" w:ascii="Times New Roman" w:cs="Times New Roman"/>
          <w:sz w:val="32"/>
          <w:szCs w:val="32"/>
        </w:rPr>
        <w:t>21.71</w:t>
      </w:r>
      <w:r>
        <w:rPr>
          <w:rFonts w:hint="eastAsia" w:ascii="Times New Roman"/>
          <w:sz w:val="32"/>
          <w:szCs w:val="32"/>
        </w:rPr>
        <w:t>万元，用于</w:t>
      </w:r>
      <w:r>
        <w:rPr>
          <w:rFonts w:hint="eastAsia" w:ascii="Times New Roman" w:cs="Times New Roman"/>
          <w:sz w:val="32"/>
          <w:szCs w:val="32"/>
        </w:rPr>
        <w:t>9</w:t>
      </w:r>
      <w:r>
        <w:rPr>
          <w:rFonts w:hint="eastAsia" w:ascii="Times New Roman"/>
          <w:sz w:val="32"/>
          <w:szCs w:val="32"/>
        </w:rPr>
        <w:t>辆公务用车燃油、维修、车辆通行等方面支出，主要用于保障道路运输监管工作和下企业检查工作的正常开展。</w:t>
      </w:r>
    </w:p>
    <w:p>
      <w:pPr>
        <w:pStyle w:val="2"/>
        <w:adjustRightInd w:val="0"/>
        <w:spacing w:before="130" w:line="560" w:lineRule="exact"/>
        <w:ind w:firstLine="675"/>
        <w:rPr>
          <w:rFonts w:ascii="黑体" w:hAnsi="黑体" w:eastAsia="黑体" w:cs="Times New Roman"/>
          <w:sz w:val="32"/>
          <w:szCs w:val="32"/>
        </w:rPr>
      </w:pPr>
      <w:r>
        <w:rPr>
          <w:rFonts w:hint="eastAsia" w:ascii="黑体" w:hAnsi="黑体" w:eastAsia="黑体" w:cs="黑体"/>
          <w:sz w:val="32"/>
          <w:szCs w:val="32"/>
        </w:rPr>
        <w:t>八、政府性基金预算支出情况说明</w:t>
      </w:r>
    </w:p>
    <w:p>
      <w:pPr>
        <w:pStyle w:val="2"/>
        <w:adjustRightInd w:val="0"/>
        <w:spacing w:before="130" w:line="560" w:lineRule="exact"/>
        <w:ind w:firstLine="675"/>
        <w:rPr>
          <w:rFonts w:ascii="Times New Roman" w:cs="Times New Roman"/>
          <w:sz w:val="32"/>
          <w:szCs w:val="32"/>
        </w:rPr>
      </w:pPr>
      <w:r>
        <w:rPr>
          <w:rFonts w:hint="eastAsia" w:ascii="Times New Roman"/>
          <w:sz w:val="32"/>
          <w:szCs w:val="32"/>
        </w:rPr>
        <w:t>无政府性基金预算。</w:t>
      </w:r>
    </w:p>
    <w:p>
      <w:pPr>
        <w:pStyle w:val="2"/>
        <w:adjustRightInd w:val="0"/>
        <w:spacing w:before="130" w:line="560" w:lineRule="exact"/>
        <w:ind w:firstLine="675"/>
        <w:rPr>
          <w:rFonts w:ascii="黑体" w:hAnsi="黑体" w:eastAsia="黑体" w:cs="Times New Roman"/>
          <w:sz w:val="32"/>
          <w:szCs w:val="32"/>
        </w:rPr>
      </w:pPr>
      <w:r>
        <w:rPr>
          <w:rFonts w:hint="eastAsia" w:ascii="黑体" w:hAnsi="黑体" w:eastAsia="黑体" w:cs="黑体"/>
          <w:sz w:val="32"/>
          <w:szCs w:val="32"/>
        </w:rPr>
        <w:t>九、其他重要事项的情况说明</w:t>
      </w:r>
    </w:p>
    <w:p>
      <w:pPr>
        <w:pStyle w:val="2"/>
        <w:adjustRightInd w:val="0"/>
        <w:spacing w:before="130" w:line="560" w:lineRule="exact"/>
        <w:ind w:firstLine="675"/>
        <w:rPr>
          <w:rFonts w:ascii="楷体" w:hAnsi="楷体" w:eastAsia="楷体" w:cs="Times New Roman"/>
          <w:b/>
          <w:bCs/>
          <w:sz w:val="32"/>
          <w:szCs w:val="32"/>
        </w:rPr>
      </w:pPr>
      <w:r>
        <w:rPr>
          <w:rFonts w:hint="eastAsia" w:ascii="楷体" w:hAnsi="楷体" w:eastAsia="楷体" w:cs="楷体"/>
          <w:b/>
          <w:bCs/>
          <w:sz w:val="32"/>
          <w:szCs w:val="32"/>
        </w:rPr>
        <w:t>（一）</w:t>
      </w:r>
      <w:r>
        <w:rPr>
          <w:rFonts w:hint="eastAsia" w:ascii="楷体" w:hAnsi="楷体" w:eastAsia="楷体" w:cs="楷体"/>
          <w:b/>
          <w:bCs/>
          <w:sz w:val="32"/>
          <w:szCs w:val="32"/>
          <w:lang w:val="en-US" w:eastAsia="zh-CN"/>
        </w:rPr>
        <w:t>机关</w:t>
      </w:r>
      <w:r>
        <w:rPr>
          <w:rFonts w:hint="eastAsia" w:ascii="楷体" w:hAnsi="楷体" w:eastAsia="楷体" w:cs="楷体"/>
          <w:b/>
          <w:bCs/>
          <w:sz w:val="32"/>
          <w:szCs w:val="32"/>
        </w:rPr>
        <w:t>运行经费</w:t>
      </w:r>
    </w:p>
    <w:p>
      <w:pPr>
        <w:pStyle w:val="2"/>
        <w:adjustRightInd w:val="0"/>
        <w:spacing w:before="130" w:line="560" w:lineRule="exact"/>
        <w:ind w:firstLine="675"/>
        <w:rPr>
          <w:rFonts w:ascii="Times New Roman" w:cs="Times New Roman"/>
          <w:sz w:val="32"/>
          <w:szCs w:val="32"/>
        </w:rPr>
      </w:pPr>
      <w:r>
        <w:rPr>
          <w:rFonts w:ascii="Times New Roman" w:cs="Times New Roman"/>
          <w:sz w:val="32"/>
          <w:szCs w:val="32"/>
        </w:rPr>
        <w:t>20</w:t>
      </w:r>
      <w:r>
        <w:rPr>
          <w:rFonts w:hint="eastAsia" w:ascii="Times New Roman" w:cs="Times New Roman"/>
          <w:sz w:val="32"/>
          <w:szCs w:val="32"/>
        </w:rPr>
        <w:t>21</w:t>
      </w:r>
      <w:r>
        <w:rPr>
          <w:rFonts w:hint="eastAsia" w:ascii="Times New Roman"/>
          <w:sz w:val="32"/>
          <w:szCs w:val="32"/>
        </w:rPr>
        <w:t>年，市交通运输综合行政执法支队的机关运行经费财政拨款预算为</w:t>
      </w:r>
      <w:r>
        <w:rPr>
          <w:rFonts w:hint="eastAsia" w:ascii="Times New Roman" w:cs="Times New Roman"/>
          <w:sz w:val="32"/>
          <w:szCs w:val="32"/>
        </w:rPr>
        <w:t>233.15</w:t>
      </w:r>
      <w:r>
        <w:rPr>
          <w:rFonts w:hint="eastAsia" w:ascii="Times New Roman"/>
          <w:sz w:val="32"/>
          <w:szCs w:val="32"/>
        </w:rPr>
        <w:t>万元，比</w:t>
      </w:r>
      <w:r>
        <w:rPr>
          <w:rFonts w:ascii="Times New Roman" w:cs="Times New Roman"/>
          <w:sz w:val="32"/>
          <w:szCs w:val="32"/>
        </w:rPr>
        <w:t>20</w:t>
      </w:r>
      <w:r>
        <w:rPr>
          <w:rFonts w:hint="eastAsia" w:ascii="Times New Roman" w:cs="Times New Roman"/>
          <w:sz w:val="32"/>
          <w:szCs w:val="32"/>
        </w:rPr>
        <w:t>20</w:t>
      </w:r>
      <w:r>
        <w:rPr>
          <w:rFonts w:hint="eastAsia" w:ascii="Times New Roman"/>
          <w:sz w:val="32"/>
          <w:szCs w:val="32"/>
        </w:rPr>
        <w:t>年预算</w:t>
      </w:r>
      <w:r>
        <w:rPr>
          <w:rFonts w:hint="eastAsia" w:ascii="Times New Roman" w:cs="Times New Roman"/>
          <w:sz w:val="32"/>
          <w:szCs w:val="32"/>
        </w:rPr>
        <w:t>177.03</w:t>
      </w:r>
      <w:r>
        <w:rPr>
          <w:rFonts w:hint="eastAsia" w:ascii="Times New Roman"/>
          <w:sz w:val="32"/>
          <w:szCs w:val="32"/>
        </w:rPr>
        <w:t>万元增加56.12万元，增加</w:t>
      </w:r>
      <w:r>
        <w:rPr>
          <w:rFonts w:hint="eastAsia" w:ascii="Times New Roman" w:cs="Times New Roman"/>
          <w:sz w:val="32"/>
          <w:szCs w:val="32"/>
        </w:rPr>
        <w:t>31.7</w:t>
      </w:r>
      <w:r>
        <w:rPr>
          <w:rFonts w:ascii="Times New Roman" w:cs="Times New Roman"/>
          <w:sz w:val="32"/>
          <w:szCs w:val="32"/>
        </w:rPr>
        <w:t>%</w:t>
      </w:r>
      <w:r>
        <w:rPr>
          <w:rFonts w:hint="eastAsia" w:ascii="Times New Roman"/>
          <w:sz w:val="32"/>
          <w:szCs w:val="32"/>
        </w:rPr>
        <w:t>，原因为机构改革人员增加，导致的计提类公用经费（福利费、工会经费、党建经费）的适当增加。</w:t>
      </w:r>
    </w:p>
    <w:p>
      <w:pPr>
        <w:pStyle w:val="2"/>
        <w:adjustRightInd w:val="0"/>
        <w:spacing w:before="130" w:line="560" w:lineRule="exact"/>
        <w:ind w:firstLine="675"/>
        <w:rPr>
          <w:rFonts w:ascii="楷体" w:hAnsi="楷体" w:eastAsia="楷体" w:cs="Times New Roman"/>
          <w:b/>
          <w:bCs/>
          <w:sz w:val="32"/>
          <w:szCs w:val="32"/>
        </w:rPr>
      </w:pPr>
      <w:r>
        <w:rPr>
          <w:rFonts w:hint="eastAsia" w:ascii="楷体" w:hAnsi="楷体" w:eastAsia="楷体" w:cs="楷体"/>
          <w:b/>
          <w:bCs/>
          <w:sz w:val="32"/>
          <w:szCs w:val="32"/>
        </w:rPr>
        <w:t>（二）国有资产占有使用情况</w:t>
      </w:r>
    </w:p>
    <w:p>
      <w:pPr>
        <w:pStyle w:val="2"/>
        <w:adjustRightInd w:val="0"/>
        <w:spacing w:before="130" w:line="560" w:lineRule="exact"/>
        <w:ind w:firstLine="675"/>
        <w:rPr>
          <w:rFonts w:ascii="Times New Roman" w:cs="Times New Roman"/>
          <w:sz w:val="32"/>
          <w:szCs w:val="32"/>
        </w:rPr>
      </w:pPr>
      <w:r>
        <w:rPr>
          <w:rFonts w:hint="eastAsia" w:ascii="Times New Roman"/>
          <w:sz w:val="32"/>
          <w:szCs w:val="32"/>
        </w:rPr>
        <w:t>截至</w:t>
      </w:r>
      <w:r>
        <w:rPr>
          <w:rFonts w:ascii="Times New Roman" w:cs="Times New Roman"/>
          <w:sz w:val="32"/>
          <w:szCs w:val="32"/>
        </w:rPr>
        <w:t>20</w:t>
      </w:r>
      <w:r>
        <w:rPr>
          <w:rFonts w:hint="eastAsia" w:ascii="Times New Roman" w:cs="Times New Roman"/>
          <w:sz w:val="32"/>
          <w:szCs w:val="32"/>
        </w:rPr>
        <w:t>20</w:t>
      </w:r>
      <w:r>
        <w:rPr>
          <w:rFonts w:hint="eastAsia" w:ascii="Times New Roman"/>
          <w:sz w:val="32"/>
          <w:szCs w:val="32"/>
        </w:rPr>
        <w:t>年底，市交通运输综合行政执法支队共有车辆</w:t>
      </w:r>
      <w:r>
        <w:rPr>
          <w:rFonts w:hint="eastAsia" w:ascii="Times New Roman" w:cs="Times New Roman"/>
          <w:sz w:val="32"/>
          <w:szCs w:val="32"/>
        </w:rPr>
        <w:t>9</w:t>
      </w:r>
      <w:r>
        <w:rPr>
          <w:rFonts w:hint="eastAsia" w:ascii="Times New Roman"/>
          <w:sz w:val="32"/>
          <w:szCs w:val="32"/>
        </w:rPr>
        <w:t>辆（车辆数应与</w:t>
      </w:r>
      <w:r>
        <w:rPr>
          <w:rFonts w:ascii="Times New Roman" w:cs="Times New Roman"/>
          <w:sz w:val="32"/>
          <w:szCs w:val="32"/>
        </w:rPr>
        <w:t>“</w:t>
      </w:r>
      <w:r>
        <w:rPr>
          <w:rFonts w:hint="eastAsia" w:ascii="Times New Roman"/>
          <w:sz w:val="32"/>
          <w:szCs w:val="32"/>
        </w:rPr>
        <w:t>三公</w:t>
      </w:r>
      <w:r>
        <w:rPr>
          <w:rFonts w:ascii="Times New Roman" w:cs="Times New Roman"/>
          <w:sz w:val="32"/>
          <w:szCs w:val="32"/>
        </w:rPr>
        <w:t>”</w:t>
      </w:r>
      <w:r>
        <w:rPr>
          <w:rFonts w:hint="eastAsia" w:ascii="Times New Roman"/>
          <w:sz w:val="32"/>
          <w:szCs w:val="32"/>
        </w:rPr>
        <w:t>经费说明中单位现有公务用车保有量一致），其中，执法执勤用车</w:t>
      </w:r>
      <w:r>
        <w:rPr>
          <w:rFonts w:hint="eastAsia" w:ascii="Times New Roman" w:cs="Times New Roman"/>
          <w:sz w:val="32"/>
          <w:szCs w:val="32"/>
        </w:rPr>
        <w:t>2</w:t>
      </w:r>
      <w:r>
        <w:rPr>
          <w:rFonts w:hint="eastAsia" w:ascii="Times New Roman"/>
          <w:sz w:val="32"/>
          <w:szCs w:val="32"/>
        </w:rPr>
        <w:t>辆。单位价值</w:t>
      </w:r>
      <w:r>
        <w:rPr>
          <w:rFonts w:ascii="Times New Roman" w:cs="Times New Roman"/>
          <w:sz w:val="32"/>
          <w:szCs w:val="32"/>
        </w:rPr>
        <w:t>200</w:t>
      </w:r>
      <w:r>
        <w:rPr>
          <w:rFonts w:hint="eastAsia" w:ascii="Times New Roman"/>
          <w:sz w:val="32"/>
          <w:szCs w:val="32"/>
        </w:rPr>
        <w:t>万元以上大型设备</w:t>
      </w:r>
      <w:r>
        <w:rPr>
          <w:rFonts w:ascii="Times New Roman" w:cs="Times New Roman"/>
          <w:sz w:val="32"/>
          <w:szCs w:val="32"/>
        </w:rPr>
        <w:t>0</w:t>
      </w:r>
      <w:r>
        <w:rPr>
          <w:rFonts w:hint="eastAsia" w:ascii="Times New Roman"/>
          <w:sz w:val="32"/>
          <w:szCs w:val="32"/>
        </w:rPr>
        <w:t>台（套）。</w:t>
      </w:r>
    </w:p>
    <w:p>
      <w:pPr>
        <w:pStyle w:val="2"/>
        <w:adjustRightInd w:val="0"/>
        <w:spacing w:before="130" w:line="560" w:lineRule="exact"/>
        <w:ind w:firstLine="675"/>
        <w:rPr>
          <w:rFonts w:ascii="楷体" w:hAnsi="楷体" w:eastAsia="楷体" w:cs="Times New Roman"/>
          <w:b/>
          <w:bCs/>
          <w:sz w:val="32"/>
          <w:szCs w:val="32"/>
        </w:rPr>
      </w:pPr>
      <w:r>
        <w:rPr>
          <w:rFonts w:hint="eastAsia" w:ascii="楷体" w:hAnsi="楷体" w:eastAsia="楷体" w:cs="楷体"/>
          <w:b/>
          <w:bCs/>
          <w:sz w:val="32"/>
          <w:szCs w:val="32"/>
        </w:rPr>
        <w:t>（三）绩效目标设置情况</w:t>
      </w:r>
    </w:p>
    <w:p>
      <w:pPr>
        <w:pStyle w:val="2"/>
        <w:adjustRightInd w:val="0"/>
        <w:spacing w:before="130" w:line="560" w:lineRule="exact"/>
        <w:ind w:firstLine="675"/>
        <w:rPr>
          <w:rFonts w:hint="eastAsia" w:ascii="Times New Roman"/>
          <w:sz w:val="32"/>
          <w:szCs w:val="32"/>
        </w:rPr>
      </w:pPr>
      <w:r>
        <w:rPr>
          <w:rFonts w:ascii="Times New Roman" w:cs="Times New Roman"/>
          <w:sz w:val="32"/>
          <w:szCs w:val="32"/>
        </w:rPr>
        <w:t>20</w:t>
      </w:r>
      <w:r>
        <w:rPr>
          <w:rFonts w:hint="eastAsia" w:ascii="Times New Roman" w:cs="Times New Roman"/>
          <w:sz w:val="32"/>
          <w:szCs w:val="32"/>
        </w:rPr>
        <w:t>21</w:t>
      </w:r>
      <w:r>
        <w:rPr>
          <w:rFonts w:hint="eastAsia" w:ascii="Times New Roman"/>
          <w:sz w:val="32"/>
          <w:szCs w:val="32"/>
        </w:rPr>
        <w:t>年市交通运输综合行政执法支队部门通用项目和专用项目均未在年初预算批复。</w:t>
      </w:r>
    </w:p>
    <w:p>
      <w:pPr>
        <w:pStyle w:val="2"/>
        <w:adjustRightInd w:val="0"/>
        <w:spacing w:before="130" w:line="560" w:lineRule="exact"/>
        <w:ind w:firstLine="675"/>
        <w:rPr>
          <w:rFonts w:hint="eastAsia" w:ascii="楷体" w:hAnsi="楷体" w:eastAsia="楷体" w:cs="楷体"/>
          <w:b/>
          <w:bCs/>
          <w:sz w:val="32"/>
          <w:szCs w:val="32"/>
        </w:rPr>
      </w:pPr>
      <w:r>
        <w:rPr>
          <w:rFonts w:hint="eastAsia" w:ascii="Times New Roman"/>
          <w:sz w:val="32"/>
          <w:szCs w:val="32"/>
        </w:rPr>
        <w:t>(</w:t>
      </w:r>
      <w:r>
        <w:rPr>
          <w:rFonts w:hint="eastAsia" w:ascii="楷体" w:hAnsi="楷体" w:eastAsia="楷体" w:cs="楷体"/>
          <w:b/>
          <w:bCs/>
          <w:sz w:val="32"/>
          <w:szCs w:val="32"/>
        </w:rPr>
        <w:t>四)政府采购情况</w:t>
      </w:r>
    </w:p>
    <w:p>
      <w:pPr>
        <w:pStyle w:val="2"/>
        <w:adjustRightInd w:val="0"/>
        <w:spacing w:before="130" w:line="560" w:lineRule="exact"/>
        <w:ind w:firstLine="675"/>
        <w:rPr>
          <w:rFonts w:ascii="Times New Roman" w:cs="Times New Roman"/>
          <w:sz w:val="32"/>
          <w:szCs w:val="32"/>
        </w:rPr>
      </w:pPr>
      <w:r>
        <w:rPr>
          <w:rFonts w:hint="eastAsia" w:ascii="Times New Roman" w:cs="Times New Roman"/>
          <w:sz w:val="32"/>
          <w:szCs w:val="32"/>
        </w:rPr>
        <w:t>年初未安排政府采购预算。</w:t>
      </w:r>
    </w:p>
    <w:p>
      <w:pPr>
        <w:pStyle w:val="2"/>
        <w:adjustRightInd w:val="0"/>
        <w:spacing w:before="130" w:line="560" w:lineRule="exact"/>
        <w:ind w:firstLine="643"/>
        <w:rPr>
          <w:rFonts w:ascii="黑体" w:hAnsi="黑体" w:eastAsia="黑体" w:cs="Times New Roman"/>
          <w:sz w:val="32"/>
          <w:szCs w:val="32"/>
        </w:rPr>
      </w:pPr>
      <w:r>
        <w:rPr>
          <w:rFonts w:hint="eastAsia" w:ascii="黑体" w:hAnsi="黑体" w:eastAsia="黑体" w:cs="黑体"/>
          <w:sz w:val="32"/>
          <w:szCs w:val="32"/>
        </w:rPr>
        <w:t>十、名词解释</w:t>
      </w:r>
    </w:p>
    <w:p>
      <w:pPr>
        <w:pStyle w:val="2"/>
        <w:adjustRightInd w:val="0"/>
        <w:spacing w:before="130" w:line="560" w:lineRule="exact"/>
        <w:ind w:firstLine="675"/>
        <w:rPr>
          <w:rFonts w:ascii="Times New Roman" w:cs="Times New Roman"/>
          <w:sz w:val="32"/>
          <w:szCs w:val="32"/>
        </w:rPr>
      </w:pPr>
      <w:r>
        <w:rPr>
          <w:rFonts w:ascii="Times New Roman" w:cs="Times New Roman"/>
          <w:sz w:val="32"/>
          <w:szCs w:val="32"/>
        </w:rPr>
        <w:t>1.</w:t>
      </w:r>
      <w:r>
        <w:rPr>
          <w:rFonts w:hint="eastAsia" w:ascii="Times New Roman"/>
          <w:sz w:val="32"/>
          <w:szCs w:val="32"/>
        </w:rPr>
        <w:t>一般公共预算拨款收入：指市级财政当年拨付的资金。</w:t>
      </w:r>
    </w:p>
    <w:p>
      <w:pPr>
        <w:pStyle w:val="2"/>
        <w:adjustRightInd w:val="0"/>
        <w:spacing w:before="130" w:line="560" w:lineRule="exact"/>
        <w:ind w:firstLine="675"/>
        <w:rPr>
          <w:rFonts w:ascii="Times New Roman" w:cs="Times New Roman"/>
          <w:sz w:val="32"/>
          <w:szCs w:val="32"/>
        </w:rPr>
      </w:pPr>
      <w:r>
        <w:rPr>
          <w:rFonts w:ascii="Times New Roman" w:cs="Times New Roman"/>
          <w:sz w:val="32"/>
          <w:szCs w:val="32"/>
        </w:rPr>
        <w:t>2.</w:t>
      </w:r>
      <w:r>
        <w:rPr>
          <w:rFonts w:hint="eastAsia" w:ascii="Times New Roman"/>
          <w:sz w:val="32"/>
          <w:szCs w:val="32"/>
        </w:rPr>
        <w:t>社会保障和就业支出（类）行政事业单位离退休（款）未归口管理的行政单位离退休（项）：指未实行归口管理的行政单位（包括实行公务员管理的事业单位）开支的离退休支出</w:t>
      </w:r>
    </w:p>
    <w:p>
      <w:pPr>
        <w:pStyle w:val="2"/>
        <w:adjustRightInd w:val="0"/>
        <w:spacing w:before="130" w:line="560" w:lineRule="exact"/>
        <w:ind w:firstLine="675"/>
        <w:rPr>
          <w:rFonts w:ascii="Times New Roman" w:cs="Times New Roman"/>
          <w:sz w:val="32"/>
          <w:szCs w:val="32"/>
        </w:rPr>
      </w:pPr>
      <w:r>
        <w:rPr>
          <w:rFonts w:hint="eastAsia" w:ascii="Times New Roman"/>
          <w:sz w:val="32"/>
          <w:szCs w:val="32"/>
        </w:rPr>
        <w:t>3.社会保障和就业支出（类）行政事业单位离退休（款）机关事业单位基本养老保险缴费支出（项）：反映机关事业单位实施养老保险制度由单位缴纳的基本养老保险费支出。</w:t>
      </w:r>
    </w:p>
    <w:p>
      <w:pPr>
        <w:pStyle w:val="2"/>
        <w:adjustRightInd w:val="0"/>
        <w:spacing w:before="130" w:line="560" w:lineRule="exact"/>
        <w:ind w:firstLine="675"/>
        <w:rPr>
          <w:rFonts w:ascii="Times New Roman" w:cs="Times New Roman"/>
          <w:sz w:val="32"/>
          <w:szCs w:val="32"/>
        </w:rPr>
      </w:pPr>
      <w:r>
        <w:rPr>
          <w:rFonts w:hint="eastAsia" w:ascii="Times New Roman"/>
          <w:sz w:val="32"/>
          <w:szCs w:val="32"/>
        </w:rPr>
        <w:t>4.交通运输支出（类）公路水路运输（款）行政运行</w:t>
      </w:r>
      <w:r>
        <w:rPr>
          <w:rFonts w:ascii="Times New Roman" w:cs="Times New Roman"/>
          <w:sz w:val="32"/>
          <w:szCs w:val="32"/>
        </w:rPr>
        <w:t>(</w:t>
      </w:r>
      <w:r>
        <w:rPr>
          <w:rFonts w:hint="eastAsia" w:ascii="Times New Roman"/>
          <w:sz w:val="32"/>
          <w:szCs w:val="32"/>
        </w:rPr>
        <w:t>公路</w:t>
      </w:r>
      <w:r>
        <w:rPr>
          <w:rFonts w:ascii="Times New Roman" w:cs="Times New Roman"/>
          <w:sz w:val="32"/>
          <w:szCs w:val="32"/>
        </w:rPr>
        <w:t>)</w:t>
      </w:r>
      <w:r>
        <w:rPr>
          <w:rFonts w:hint="eastAsia" w:ascii="Times New Roman"/>
          <w:sz w:val="32"/>
          <w:szCs w:val="32"/>
        </w:rPr>
        <w:t>（项）：反映公路水路运输类行政单位（包括实行公务员管理的事业单位）的基本支出。</w:t>
      </w:r>
    </w:p>
    <w:p>
      <w:pPr>
        <w:pStyle w:val="2"/>
        <w:adjustRightInd w:val="0"/>
        <w:spacing w:before="130" w:line="560" w:lineRule="exact"/>
        <w:ind w:firstLine="675"/>
        <w:rPr>
          <w:rFonts w:ascii="Times New Roman" w:cs="Times New Roman"/>
          <w:sz w:val="32"/>
          <w:szCs w:val="32"/>
        </w:rPr>
      </w:pPr>
      <w:r>
        <w:rPr>
          <w:rFonts w:hint="eastAsia" w:ascii="Times New Roman"/>
          <w:sz w:val="32"/>
          <w:szCs w:val="32"/>
        </w:rPr>
        <w:t>5.交通运输支出（类）公路水路运输（款）公路运输管理（项）：反映公路运输管理支出和公路路政管理支出。</w:t>
      </w:r>
    </w:p>
    <w:p>
      <w:pPr>
        <w:pStyle w:val="2"/>
        <w:adjustRightInd w:val="0"/>
        <w:spacing w:before="130" w:line="560" w:lineRule="exact"/>
        <w:ind w:firstLine="675"/>
        <w:rPr>
          <w:rFonts w:ascii="Times New Roman" w:cs="Times New Roman"/>
          <w:sz w:val="32"/>
          <w:szCs w:val="32"/>
        </w:rPr>
      </w:pPr>
      <w:r>
        <w:rPr>
          <w:rFonts w:hint="eastAsia" w:ascii="Times New Roman"/>
          <w:sz w:val="32"/>
          <w:szCs w:val="32"/>
        </w:rPr>
        <w:t>6.住房保障支出（类）住房改革支出（款）住房公积金（项）：反映行政事业单位按人力资源和社会保障部、财政部规定的基本工资和津贴补贴以及规定比例为职工缴纳的住房公积金。</w:t>
      </w:r>
    </w:p>
    <w:p>
      <w:pPr>
        <w:pStyle w:val="2"/>
        <w:adjustRightInd w:val="0"/>
        <w:spacing w:before="130" w:line="560" w:lineRule="exact"/>
        <w:ind w:firstLine="675"/>
        <w:rPr>
          <w:rFonts w:ascii="Times New Roman" w:cs="Times New Roman"/>
          <w:sz w:val="32"/>
          <w:szCs w:val="32"/>
        </w:rPr>
      </w:pPr>
      <w:r>
        <w:rPr>
          <w:rFonts w:hint="eastAsia" w:ascii="Times New Roman" w:cs="Times New Roman"/>
          <w:sz w:val="32"/>
          <w:szCs w:val="32"/>
        </w:rPr>
        <w:t>7</w:t>
      </w:r>
      <w:r>
        <w:rPr>
          <w:rFonts w:ascii="Times New Roman" w:cs="Times New Roman"/>
          <w:sz w:val="32"/>
          <w:szCs w:val="32"/>
        </w:rPr>
        <w:t>.</w:t>
      </w:r>
      <w:r>
        <w:rPr>
          <w:rFonts w:hint="eastAsia" w:ascii="Times New Roman"/>
          <w:sz w:val="32"/>
          <w:szCs w:val="32"/>
        </w:rPr>
        <w:t>基本支出：指为保证机构正常运转，完成日常工作任务</w:t>
      </w:r>
    </w:p>
    <w:p>
      <w:pPr>
        <w:pStyle w:val="2"/>
        <w:adjustRightInd w:val="0"/>
        <w:spacing w:before="130" w:line="560" w:lineRule="exact"/>
        <w:rPr>
          <w:rFonts w:ascii="Times New Roman" w:cs="Times New Roman"/>
          <w:sz w:val="32"/>
          <w:szCs w:val="32"/>
        </w:rPr>
      </w:pPr>
      <w:r>
        <w:rPr>
          <w:rFonts w:hint="eastAsia" w:ascii="Times New Roman"/>
          <w:sz w:val="32"/>
          <w:szCs w:val="32"/>
        </w:rPr>
        <w:t>而发生的人员支出和公用支出。</w:t>
      </w:r>
    </w:p>
    <w:p>
      <w:pPr>
        <w:pStyle w:val="2"/>
        <w:adjustRightInd w:val="0"/>
        <w:spacing w:before="130" w:line="560" w:lineRule="exact"/>
        <w:ind w:firstLine="675"/>
        <w:rPr>
          <w:rFonts w:ascii="Times New Roman" w:cs="Times New Roman"/>
          <w:sz w:val="32"/>
          <w:szCs w:val="32"/>
        </w:rPr>
      </w:pPr>
      <w:r>
        <w:rPr>
          <w:rFonts w:hint="eastAsia" w:ascii="Times New Roman" w:cs="Times New Roman"/>
          <w:sz w:val="32"/>
          <w:szCs w:val="32"/>
        </w:rPr>
        <w:t>8</w:t>
      </w:r>
      <w:r>
        <w:rPr>
          <w:rFonts w:ascii="Times New Roman" w:cs="Times New Roman"/>
          <w:sz w:val="32"/>
          <w:szCs w:val="32"/>
        </w:rPr>
        <w:t>.</w:t>
      </w:r>
      <w:r>
        <w:rPr>
          <w:rFonts w:hint="eastAsia" w:ascii="Times New Roman"/>
          <w:sz w:val="32"/>
          <w:szCs w:val="32"/>
        </w:rPr>
        <w:t>项目支出：指在基本支出之外为完成特定行政任务和事业发展目标所发生的支出。</w:t>
      </w:r>
    </w:p>
    <w:p>
      <w:pPr>
        <w:pStyle w:val="2"/>
        <w:adjustRightInd w:val="0"/>
        <w:spacing w:before="130" w:line="560" w:lineRule="exact"/>
        <w:ind w:firstLine="675"/>
        <w:rPr>
          <w:rFonts w:ascii="Times New Roman" w:cs="Times New Roman"/>
          <w:sz w:val="32"/>
          <w:szCs w:val="32"/>
        </w:rPr>
      </w:pPr>
      <w:r>
        <w:rPr>
          <w:rFonts w:hint="eastAsia" w:ascii="Times New Roman" w:cs="Times New Roman"/>
          <w:sz w:val="32"/>
          <w:szCs w:val="32"/>
        </w:rPr>
        <w:t>9</w:t>
      </w:r>
      <w:r>
        <w:rPr>
          <w:rFonts w:ascii="Times New Roman" w:cs="Times New Roman"/>
          <w:sz w:val="32"/>
          <w:szCs w:val="32"/>
        </w:rPr>
        <w:t>.“</w:t>
      </w:r>
      <w:r>
        <w:rPr>
          <w:rFonts w:hint="eastAsia" w:ascii="Times New Roman"/>
          <w:sz w:val="32"/>
          <w:szCs w:val="32"/>
        </w:rPr>
        <w:t>三公</w:t>
      </w:r>
      <w:r>
        <w:rPr>
          <w:rFonts w:ascii="Times New Roman" w:cs="Times New Roman"/>
          <w:sz w:val="32"/>
          <w:szCs w:val="32"/>
        </w:rPr>
        <w:t>”</w:t>
      </w:r>
      <w:r>
        <w:rPr>
          <w:rFonts w:hint="eastAsia" w:ascii="Times New Roman"/>
          <w:sz w:val="32"/>
          <w:szCs w:val="32"/>
        </w:rPr>
        <w:t>经费：纳入预决算管理的</w:t>
      </w:r>
      <w:r>
        <w:rPr>
          <w:rFonts w:ascii="Times New Roman" w:cs="Times New Roman"/>
          <w:sz w:val="32"/>
          <w:szCs w:val="32"/>
        </w:rPr>
        <w:t>“</w:t>
      </w:r>
      <w:r>
        <w:rPr>
          <w:rFonts w:hint="eastAsia" w:ascii="Times New Roman"/>
          <w:sz w:val="32"/>
          <w:szCs w:val="32"/>
        </w:rPr>
        <w:t>三公</w:t>
      </w:r>
      <w:r>
        <w:rPr>
          <w:rFonts w:ascii="Times New Roman" w:cs="Times New Roman"/>
          <w:sz w:val="32"/>
          <w:szCs w:val="32"/>
        </w:rPr>
        <w:t>”</w:t>
      </w:r>
      <w:r>
        <w:rPr>
          <w:rFonts w:hint="eastAsia" w:ascii="Times New Roman"/>
          <w:sz w:val="32"/>
          <w:szCs w:val="32"/>
        </w:rPr>
        <w:t>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
        <w:adjustRightInd w:val="0"/>
        <w:spacing w:before="130" w:line="560" w:lineRule="exact"/>
        <w:ind w:firstLine="675"/>
        <w:rPr>
          <w:rFonts w:hint="eastAsia" w:ascii="Times New Roman"/>
          <w:sz w:val="32"/>
          <w:szCs w:val="32"/>
        </w:rPr>
      </w:pPr>
      <w:r>
        <w:rPr>
          <w:rFonts w:hint="eastAsia" w:ascii="Times New Roman" w:cs="Times New Roman"/>
          <w:sz w:val="32"/>
          <w:szCs w:val="32"/>
        </w:rPr>
        <w:t>10</w:t>
      </w:r>
      <w:r>
        <w:rPr>
          <w:rFonts w:ascii="Times New Roman" w:cs="Times New Roman"/>
          <w:sz w:val="32"/>
          <w:szCs w:val="32"/>
        </w:rPr>
        <w:t>.</w:t>
      </w:r>
      <w:r>
        <w:rPr>
          <w:rFonts w:hint="eastAsia" w:ascii="Times New Roman"/>
          <w:sz w:val="32"/>
          <w:szCs w:val="32"/>
          <w:lang w:val="en-US" w:eastAsia="zh-CN"/>
        </w:rPr>
        <w:t>机关</w:t>
      </w:r>
      <w:r>
        <w:rPr>
          <w:rFonts w:hint="eastAsia" w:ascii="Times New Roman"/>
          <w:sz w:val="32"/>
          <w:szCs w:val="32"/>
        </w:rPr>
        <w:t>运行</w:t>
      </w:r>
      <w:r>
        <w:rPr>
          <w:rFonts w:hint="eastAsia" w:ascii="Times New Roman"/>
          <w:sz w:val="32"/>
          <w:szCs w:val="32"/>
          <w:lang w:val="en-US" w:eastAsia="zh-CN"/>
        </w:rPr>
        <w:t>经</w:t>
      </w:r>
      <w:r>
        <w:rPr>
          <w:rFonts w:hint="eastAsia" w:ascii="Times New Roman"/>
          <w:sz w:val="32"/>
          <w:szCs w:val="32"/>
        </w:rPr>
        <w:t>费：为保障行政单位（包含参照公务员法管理的事业单位）运行用于购买货物和服务的各项资金。包括办公及办公费、水费、电费、印刷费、邮电费、差旅费、会议费等开支。</w:t>
      </w:r>
    </w:p>
    <w:p>
      <w:pPr>
        <w:pStyle w:val="2"/>
        <w:adjustRightInd w:val="0"/>
        <w:spacing w:before="130" w:line="560" w:lineRule="exact"/>
        <w:ind w:firstLine="675"/>
        <w:rPr>
          <w:rFonts w:hint="eastAsia" w:ascii="Times New Roman"/>
          <w:sz w:val="32"/>
          <w:szCs w:val="32"/>
        </w:rPr>
      </w:pPr>
    </w:p>
    <w:p>
      <w:pPr>
        <w:pStyle w:val="2"/>
        <w:adjustRightInd w:val="0"/>
        <w:spacing w:before="130" w:line="560" w:lineRule="exact"/>
        <w:ind w:firstLine="675"/>
        <w:rPr>
          <w:rFonts w:ascii="仿宋_GB2312" w:hAnsi="仿宋_GB2312" w:cs="仿宋_GB2312"/>
        </w:rPr>
      </w:pPr>
      <w:r>
        <w:rPr>
          <w:rFonts w:hint="eastAsia" w:ascii="仿宋_GB2312" w:hAnsi="仿宋_GB2312" w:cs="仿宋_GB2312"/>
        </w:rPr>
        <w:t>附件：表1.部门收支总表</w:t>
      </w:r>
    </w:p>
    <w:p>
      <w:pPr>
        <w:spacing w:line="560" w:lineRule="exact"/>
        <w:rPr>
          <w:rFonts w:ascii="仿宋_GB2312" w:hAnsi="仿宋_GB2312" w:cs="仿宋_GB2312"/>
        </w:rPr>
      </w:pPr>
      <w:r>
        <w:rPr>
          <w:rFonts w:hint="eastAsia" w:ascii="仿宋_GB2312" w:hAnsi="仿宋_GB2312" w:cs="仿宋_GB2312"/>
        </w:rPr>
        <w:t xml:space="preserve">    </w:t>
      </w:r>
      <w:r>
        <w:rPr>
          <w:rFonts w:hint="eastAsia" w:ascii="仿宋_GB2312" w:hAnsi="仿宋_GB2312" w:cs="仿宋_GB2312"/>
          <w:lang w:val="en-US" w:eastAsia="zh-CN"/>
        </w:rPr>
        <w:t xml:space="preserve">    </w:t>
      </w:r>
      <w:r>
        <w:rPr>
          <w:rFonts w:hint="eastAsia" w:ascii="仿宋_GB2312" w:hAnsi="仿宋_GB2312" w:cs="仿宋_GB2312"/>
        </w:rPr>
        <w:t xml:space="preserve"> </w:t>
      </w:r>
      <w:r>
        <w:rPr>
          <w:rFonts w:hint="eastAsia" w:ascii="仿宋_GB2312" w:hAnsi="仿宋_GB2312" w:cs="仿宋_GB2312"/>
          <w:lang w:val="en-US" w:eastAsia="zh-CN"/>
        </w:rPr>
        <w:t xml:space="preserve"> </w:t>
      </w:r>
      <w:r>
        <w:rPr>
          <w:rFonts w:hint="eastAsia" w:ascii="仿宋_GB2312" w:hAnsi="仿宋_GB2312" w:cs="仿宋_GB2312"/>
        </w:rPr>
        <w:t>表1-1.部门收入总表</w:t>
      </w:r>
    </w:p>
    <w:p>
      <w:pPr>
        <w:spacing w:line="560" w:lineRule="exact"/>
        <w:rPr>
          <w:rFonts w:ascii="仿宋_GB2312" w:hAnsi="仿宋_GB2312" w:cs="仿宋_GB2312"/>
        </w:rPr>
      </w:pPr>
      <w:r>
        <w:rPr>
          <w:rFonts w:hint="eastAsia" w:ascii="仿宋_GB2312" w:hAnsi="仿宋_GB2312" w:cs="仿宋_GB2312"/>
        </w:rPr>
        <w:t xml:space="preserve">     </w:t>
      </w:r>
      <w:r>
        <w:rPr>
          <w:rFonts w:hint="eastAsia" w:ascii="仿宋_GB2312" w:hAnsi="仿宋_GB2312" w:cs="仿宋_GB2312"/>
          <w:lang w:val="en-US" w:eastAsia="zh-CN"/>
        </w:rPr>
        <w:t xml:space="preserve">    </w:t>
      </w:r>
      <w:r>
        <w:rPr>
          <w:rFonts w:hint="eastAsia" w:ascii="仿宋_GB2312" w:hAnsi="仿宋_GB2312" w:cs="仿宋_GB2312"/>
        </w:rPr>
        <w:t xml:space="preserve"> 表1-2.部门支出总表</w:t>
      </w:r>
    </w:p>
    <w:p>
      <w:pPr>
        <w:spacing w:line="560" w:lineRule="exact"/>
        <w:ind w:firstLine="1600" w:firstLineChars="500"/>
        <w:rPr>
          <w:rFonts w:ascii="仿宋_GB2312" w:hAnsi="仿宋_GB2312" w:cs="仿宋_GB2312"/>
        </w:rPr>
      </w:pPr>
      <w:r>
        <w:rPr>
          <w:rFonts w:hint="eastAsia" w:ascii="仿宋_GB2312" w:hAnsi="仿宋_GB2312" w:cs="仿宋_GB2312"/>
        </w:rPr>
        <w:t>表2.财政拨款收支预算总表</w:t>
      </w:r>
    </w:p>
    <w:p>
      <w:pPr>
        <w:spacing w:line="560" w:lineRule="exact"/>
        <w:ind w:firstLine="1600" w:firstLineChars="500"/>
        <w:rPr>
          <w:rFonts w:ascii="仿宋_GB2312" w:hAnsi="仿宋_GB2312" w:cs="仿宋_GB2312"/>
        </w:rPr>
      </w:pPr>
      <w:r>
        <w:rPr>
          <w:rFonts w:hint="eastAsia" w:ascii="仿宋_GB2312" w:hAnsi="仿宋_GB2312" w:cs="仿宋_GB2312"/>
        </w:rPr>
        <w:t>表2-1.财政拨款支出预算表</w:t>
      </w:r>
    </w:p>
    <w:p>
      <w:pPr>
        <w:spacing w:line="560" w:lineRule="exact"/>
        <w:ind w:firstLine="1600" w:firstLineChars="500"/>
        <w:rPr>
          <w:rFonts w:ascii="仿宋_GB2312" w:hAnsi="仿宋_GB2312" w:cs="仿宋_GB2312"/>
        </w:rPr>
      </w:pPr>
      <w:r>
        <w:rPr>
          <w:rFonts w:hint="eastAsia" w:ascii="仿宋_GB2312" w:hAnsi="仿宋_GB2312" w:cs="仿宋_GB2312"/>
        </w:rPr>
        <w:t>表3.一般公共预算支出预算表</w:t>
      </w:r>
    </w:p>
    <w:p>
      <w:pPr>
        <w:spacing w:line="560" w:lineRule="exact"/>
        <w:ind w:firstLine="1600" w:firstLineChars="500"/>
        <w:rPr>
          <w:rFonts w:ascii="仿宋_GB2312" w:hAnsi="仿宋_GB2312" w:cs="仿宋_GB2312"/>
        </w:rPr>
      </w:pPr>
      <w:r>
        <w:rPr>
          <w:rFonts w:hint="eastAsia" w:ascii="仿宋_GB2312" w:hAnsi="仿宋_GB2312" w:cs="仿宋_GB2312"/>
        </w:rPr>
        <w:t>表3-1.一般公共预算基本支出预算表</w:t>
      </w:r>
    </w:p>
    <w:p>
      <w:pPr>
        <w:spacing w:line="560" w:lineRule="exact"/>
        <w:ind w:firstLine="1600" w:firstLineChars="500"/>
        <w:rPr>
          <w:rFonts w:ascii="仿宋_GB2312" w:hAnsi="仿宋_GB2312" w:cs="仿宋_GB2312"/>
        </w:rPr>
      </w:pPr>
      <w:r>
        <w:rPr>
          <w:rFonts w:hint="eastAsia" w:ascii="仿宋_GB2312" w:hAnsi="仿宋_GB2312" w:cs="仿宋_GB2312"/>
        </w:rPr>
        <w:t>表3-2.一般公共预算项目支出预算表</w:t>
      </w:r>
    </w:p>
    <w:p>
      <w:pPr>
        <w:spacing w:line="560" w:lineRule="exact"/>
        <w:ind w:firstLine="1600" w:firstLineChars="500"/>
        <w:rPr>
          <w:rFonts w:ascii="仿宋_GB2312" w:hAnsi="仿宋_GB2312" w:cs="仿宋_GB2312"/>
        </w:rPr>
      </w:pPr>
      <w:r>
        <w:rPr>
          <w:rFonts w:hint="eastAsia" w:ascii="仿宋_GB2312" w:hAnsi="仿宋_GB2312" w:cs="仿宋_GB2312"/>
        </w:rPr>
        <w:t>表3-3.一般公共预算“三公”经费支出预算表</w:t>
      </w:r>
    </w:p>
    <w:p>
      <w:pPr>
        <w:spacing w:line="560" w:lineRule="exact"/>
        <w:ind w:firstLine="1600" w:firstLineChars="500"/>
        <w:rPr>
          <w:rFonts w:ascii="仿宋_GB2312" w:hAnsi="仿宋_GB2312" w:cs="仿宋_GB2312"/>
        </w:rPr>
      </w:pPr>
      <w:r>
        <w:rPr>
          <w:rFonts w:hint="eastAsia" w:ascii="仿宋_GB2312" w:hAnsi="仿宋_GB2312" w:cs="仿宋_GB2312"/>
        </w:rPr>
        <w:t>表4.政府性基金支出预算表</w:t>
      </w:r>
    </w:p>
    <w:p>
      <w:pPr>
        <w:spacing w:line="560" w:lineRule="exact"/>
        <w:ind w:firstLine="1600" w:firstLineChars="500"/>
        <w:rPr>
          <w:rFonts w:ascii="仿宋_GB2312" w:hAnsi="仿宋_GB2312" w:cs="仿宋_GB2312"/>
        </w:rPr>
      </w:pPr>
      <w:r>
        <w:rPr>
          <w:rFonts w:hint="eastAsia" w:ascii="仿宋_GB2312" w:hAnsi="仿宋_GB2312" w:cs="仿宋_GB2312"/>
        </w:rPr>
        <w:t>表4-1.政府性基金预算“三公”经费支出预算表</w:t>
      </w:r>
    </w:p>
    <w:p>
      <w:pPr>
        <w:spacing w:line="560" w:lineRule="exact"/>
        <w:ind w:firstLine="1600" w:firstLineChars="500"/>
        <w:rPr>
          <w:rFonts w:ascii="仿宋_GB2312" w:hAnsi="仿宋_GB2312" w:cs="仿宋_GB2312"/>
        </w:rPr>
      </w:pPr>
      <w:r>
        <w:rPr>
          <w:rFonts w:hint="eastAsia" w:ascii="仿宋_GB2312" w:hAnsi="仿宋_GB2312" w:cs="仿宋_GB2312"/>
        </w:rPr>
        <w:t>表5.国有资本经营预算支出预算表</w:t>
      </w:r>
    </w:p>
    <w:p>
      <w:pPr>
        <w:spacing w:line="560" w:lineRule="exact"/>
        <w:ind w:firstLine="1600" w:firstLineChars="500"/>
        <w:rPr>
          <w:rFonts w:ascii="仿宋_GB2312" w:hAnsi="仿宋_GB2312" w:cs="仿宋_GB2312"/>
        </w:rPr>
      </w:pPr>
      <w:r>
        <w:rPr>
          <w:rFonts w:hint="eastAsia" w:ascii="仿宋_GB2312" w:hAnsi="仿宋_GB2312" w:cs="仿宋_GB2312"/>
        </w:rPr>
        <w:t>表6.（部门）单位预算项目绩效目标表</w:t>
      </w:r>
      <w:bookmarkStart w:id="0" w:name="_GoBack"/>
      <w:bookmarkEnd w:id="0"/>
    </w:p>
    <w:p>
      <w:pPr>
        <w:spacing w:line="560" w:lineRule="exact"/>
        <w:rPr>
          <w:rFonts w:ascii="仿宋_GB2312" w:hAnsi="仿宋_GB2312" w:cs="仿宋_GB2312"/>
        </w:rPr>
      </w:pPr>
    </w:p>
    <w:p>
      <w:pPr>
        <w:spacing w:line="560" w:lineRule="exact"/>
      </w:pPr>
      <w:r>
        <w:t xml:space="preserve">                                  20</w:t>
      </w:r>
      <w:r>
        <w:rPr>
          <w:rFonts w:hint="eastAsia"/>
        </w:rPr>
        <w:t>21</w:t>
      </w:r>
      <w:r>
        <w:rPr>
          <w:rFonts w:hint="eastAsia" w:cs="仿宋_GB2312"/>
        </w:rPr>
        <w:t>年</w:t>
      </w:r>
      <w:r>
        <w:rPr>
          <w:rFonts w:hint="eastAsia"/>
        </w:rPr>
        <w:t>2</w:t>
      </w:r>
      <w:r>
        <w:rPr>
          <w:rFonts w:hint="eastAsia" w:cs="仿宋_GB2312"/>
        </w:rPr>
        <w:t>月</w:t>
      </w:r>
      <w:r>
        <w:rPr>
          <w:rFonts w:hint="eastAsia"/>
        </w:rPr>
        <w:t>18</w:t>
      </w:r>
      <w:r>
        <w:rPr>
          <w:rFonts w:hint="eastAsia" w:cs="仿宋_GB2312"/>
        </w:rPr>
        <w:t>日</w:t>
      </w:r>
    </w:p>
    <w:sectPr>
      <w:footerReference r:id="rId5" w:type="default"/>
      <w:pgSz w:w="11906" w:h="16838"/>
      <w:pgMar w:top="2098" w:right="1474" w:bottom="1985" w:left="1588" w:header="851" w:footer="992" w:gutter="0"/>
      <w:pgNumType w:fmt="numberInDash" w:start="1"/>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rPr>
        <w:rFonts w:cs="Times New Roma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rPr>
        <w:rFonts w:cs="Times New Roma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10"/>
        <w:rFonts w:ascii="宋体" w:cs="Times New Roman"/>
        <w:sz w:val="30"/>
        <w:szCs w:val="30"/>
      </w:rPr>
    </w:pPr>
    <w:r>
      <w:rPr>
        <w:rStyle w:val="10"/>
        <w:rFonts w:ascii="宋体" w:hAnsi="宋体" w:cs="宋体"/>
        <w:sz w:val="30"/>
        <w:szCs w:val="30"/>
      </w:rPr>
      <w:fldChar w:fldCharType="begin"/>
    </w:r>
    <w:r>
      <w:rPr>
        <w:rStyle w:val="10"/>
        <w:rFonts w:ascii="宋体" w:hAnsi="宋体" w:cs="宋体"/>
        <w:sz w:val="30"/>
        <w:szCs w:val="30"/>
      </w:rPr>
      <w:instrText xml:space="preserve">PAGE  </w:instrText>
    </w:r>
    <w:r>
      <w:rPr>
        <w:rStyle w:val="10"/>
        <w:rFonts w:ascii="宋体" w:hAnsi="宋体" w:cs="宋体"/>
        <w:sz w:val="30"/>
        <w:szCs w:val="30"/>
      </w:rPr>
      <w:fldChar w:fldCharType="separate"/>
    </w:r>
    <w:r>
      <w:rPr>
        <w:rStyle w:val="10"/>
        <w:rFonts w:ascii="宋体" w:hAnsi="宋体" w:cs="宋体"/>
        <w:sz w:val="30"/>
        <w:szCs w:val="30"/>
      </w:rPr>
      <w:t>- 9 -</w:t>
    </w:r>
    <w:r>
      <w:rPr>
        <w:rStyle w:val="10"/>
        <w:rFonts w:ascii="宋体" w:hAnsi="宋体" w:cs="宋体"/>
        <w:sz w:val="30"/>
        <w:szCs w:val="30"/>
      </w:rPr>
      <w:fldChar w:fldCharType="end"/>
    </w:r>
  </w:p>
  <w:p>
    <w:pPr>
      <w:pStyle w:val="4"/>
      <w:ind w:right="360" w:firstLine="360"/>
      <w:rPr>
        <w:rFonts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NotTrackMoves/>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ZmIzZjExODZjZTdlNzI5NzkwMDdlYWFhNGUyYjdkODAifQ=="/>
  </w:docVars>
  <w:rsids>
    <w:rsidRoot w:val="003F4C6F"/>
    <w:rsid w:val="000062B1"/>
    <w:rsid w:val="00026AEC"/>
    <w:rsid w:val="0003295A"/>
    <w:rsid w:val="00033389"/>
    <w:rsid w:val="00067BBB"/>
    <w:rsid w:val="000747C0"/>
    <w:rsid w:val="000E7711"/>
    <w:rsid w:val="000F656D"/>
    <w:rsid w:val="001603F0"/>
    <w:rsid w:val="00167C47"/>
    <w:rsid w:val="001A7176"/>
    <w:rsid w:val="0020298E"/>
    <w:rsid w:val="0023184C"/>
    <w:rsid w:val="00236249"/>
    <w:rsid w:val="00261BA7"/>
    <w:rsid w:val="002B5017"/>
    <w:rsid w:val="002D4CA3"/>
    <w:rsid w:val="002D7CAE"/>
    <w:rsid w:val="002F1248"/>
    <w:rsid w:val="003046C9"/>
    <w:rsid w:val="00323075"/>
    <w:rsid w:val="00331E5D"/>
    <w:rsid w:val="00395324"/>
    <w:rsid w:val="003A73BD"/>
    <w:rsid w:val="003B293C"/>
    <w:rsid w:val="003C6C60"/>
    <w:rsid w:val="003D7C74"/>
    <w:rsid w:val="003F0D40"/>
    <w:rsid w:val="003F4C6F"/>
    <w:rsid w:val="004319C9"/>
    <w:rsid w:val="00462ADF"/>
    <w:rsid w:val="0047603C"/>
    <w:rsid w:val="004B4DDC"/>
    <w:rsid w:val="004C0B0D"/>
    <w:rsid w:val="005341AE"/>
    <w:rsid w:val="00541AD3"/>
    <w:rsid w:val="0055245B"/>
    <w:rsid w:val="0056315A"/>
    <w:rsid w:val="00586CA0"/>
    <w:rsid w:val="00597CAE"/>
    <w:rsid w:val="006006AB"/>
    <w:rsid w:val="00614004"/>
    <w:rsid w:val="0064422C"/>
    <w:rsid w:val="0066471E"/>
    <w:rsid w:val="00680080"/>
    <w:rsid w:val="00692FEB"/>
    <w:rsid w:val="00696C96"/>
    <w:rsid w:val="00697FFA"/>
    <w:rsid w:val="006D5420"/>
    <w:rsid w:val="006F3730"/>
    <w:rsid w:val="007666F8"/>
    <w:rsid w:val="00791797"/>
    <w:rsid w:val="007A24DD"/>
    <w:rsid w:val="00815C4A"/>
    <w:rsid w:val="00827D53"/>
    <w:rsid w:val="008332C8"/>
    <w:rsid w:val="00850FA6"/>
    <w:rsid w:val="00871ABC"/>
    <w:rsid w:val="00874256"/>
    <w:rsid w:val="008909B8"/>
    <w:rsid w:val="00896432"/>
    <w:rsid w:val="008A3EBC"/>
    <w:rsid w:val="008B357D"/>
    <w:rsid w:val="008B390E"/>
    <w:rsid w:val="008E0A8A"/>
    <w:rsid w:val="00940A8B"/>
    <w:rsid w:val="00974067"/>
    <w:rsid w:val="009741B6"/>
    <w:rsid w:val="009A1DDA"/>
    <w:rsid w:val="009E4F44"/>
    <w:rsid w:val="009F0354"/>
    <w:rsid w:val="00AA47B1"/>
    <w:rsid w:val="00AA6459"/>
    <w:rsid w:val="00AB5AD1"/>
    <w:rsid w:val="00AD1C57"/>
    <w:rsid w:val="00B3382C"/>
    <w:rsid w:val="00B3453F"/>
    <w:rsid w:val="00B57DBF"/>
    <w:rsid w:val="00B72AD7"/>
    <w:rsid w:val="00B738B5"/>
    <w:rsid w:val="00BB15D9"/>
    <w:rsid w:val="00C00E63"/>
    <w:rsid w:val="00C17258"/>
    <w:rsid w:val="00C2457D"/>
    <w:rsid w:val="00C578FF"/>
    <w:rsid w:val="00C615B3"/>
    <w:rsid w:val="00C75825"/>
    <w:rsid w:val="00C906C4"/>
    <w:rsid w:val="00CA69AC"/>
    <w:rsid w:val="00CB75AA"/>
    <w:rsid w:val="00CF3861"/>
    <w:rsid w:val="00D21455"/>
    <w:rsid w:val="00D82CD0"/>
    <w:rsid w:val="00DC1802"/>
    <w:rsid w:val="00E879ED"/>
    <w:rsid w:val="00E974B2"/>
    <w:rsid w:val="00EB7A4C"/>
    <w:rsid w:val="00EC28D5"/>
    <w:rsid w:val="00F065C1"/>
    <w:rsid w:val="00F14A6B"/>
    <w:rsid w:val="00FB38A0"/>
    <w:rsid w:val="00FF72B1"/>
    <w:rsid w:val="08110091"/>
    <w:rsid w:val="1B903686"/>
    <w:rsid w:val="20254A9A"/>
    <w:rsid w:val="54056EEA"/>
    <w:rsid w:val="601E5732"/>
    <w:rsid w:val="63AB3633"/>
    <w:rsid w:val="7EC65EC0"/>
  </w:rsids>
  <m:mathPr>
    <m:mathFont m:val="Cambria Math"/>
    <m:brkBin m:val="before"/>
    <m:brkBinSub m:val="--"/>
    <m:smallFrac m:val="1"/>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3"/>
    <w:qFormat/>
    <w:uiPriority w:val="99"/>
    <w:pPr>
      <w:spacing w:beforeLines="30"/>
    </w:pPr>
    <w:rPr>
      <w:rFonts w:ascii="仿宋_GB2312" w:cs="仿宋_GB2312"/>
      <w:sz w:val="30"/>
      <w:szCs w:val="30"/>
    </w:rPr>
  </w:style>
  <w:style w:type="paragraph" w:styleId="3">
    <w:name w:val="Balloon Text"/>
    <w:basedOn w:val="1"/>
    <w:link w:val="14"/>
    <w:semiHidden/>
    <w:qFormat/>
    <w:uiPriority w:val="99"/>
    <w:rPr>
      <w:sz w:val="18"/>
      <w:szCs w:val="18"/>
    </w:rPr>
  </w:style>
  <w:style w:type="paragraph" w:styleId="4">
    <w:name w:val="footer"/>
    <w:basedOn w:val="1"/>
    <w:link w:val="12"/>
    <w:qFormat/>
    <w:uiPriority w:val="99"/>
    <w:pPr>
      <w:tabs>
        <w:tab w:val="center" w:pos="4153"/>
        <w:tab w:val="right" w:pos="8306"/>
      </w:tabs>
      <w:snapToGrid w:val="0"/>
      <w:jc w:val="left"/>
    </w:pPr>
    <w:rPr>
      <w:rFonts w:ascii="Calibri" w:hAnsi="Calibri" w:eastAsia="宋体" w:cs="Calibri"/>
      <w:sz w:val="18"/>
      <w:szCs w:val="18"/>
    </w:rPr>
  </w:style>
  <w:style w:type="paragraph" w:styleId="5">
    <w:name w:val="header"/>
    <w:basedOn w:val="1"/>
    <w:link w:val="11"/>
    <w:semiHidden/>
    <w:qFormat/>
    <w:uiPriority w:val="99"/>
    <w:pPr>
      <w:pBdr>
        <w:bottom w:val="single" w:color="auto" w:sz="6" w:space="1"/>
      </w:pBdr>
      <w:tabs>
        <w:tab w:val="center" w:pos="4153"/>
        <w:tab w:val="right" w:pos="8306"/>
      </w:tabs>
      <w:snapToGrid w:val="0"/>
      <w:jc w:val="center"/>
    </w:pPr>
    <w:rPr>
      <w:rFonts w:ascii="Calibri" w:hAnsi="Calibri" w:eastAsia="宋体" w:cs="Calibri"/>
      <w:sz w:val="18"/>
      <w:szCs w:val="18"/>
    </w:rPr>
  </w:style>
  <w:style w:type="paragraph" w:styleId="6">
    <w:name w:val="Normal (Web)"/>
    <w:basedOn w:val="1"/>
    <w:qFormat/>
    <w:uiPriority w:val="0"/>
    <w:pPr>
      <w:spacing w:beforeAutospacing="1" w:afterAutospacing="1"/>
      <w:jc w:val="left"/>
    </w:pPr>
    <w:rPr>
      <w:rFonts w:ascii="Calibri" w:hAnsi="Calibri" w:eastAsia="宋体"/>
      <w:kern w:val="0"/>
      <w:sz w:val="24"/>
      <w:szCs w:val="24"/>
    </w:rPr>
  </w:style>
  <w:style w:type="character" w:styleId="9">
    <w:name w:val="Strong"/>
    <w:basedOn w:val="8"/>
    <w:qFormat/>
    <w:locked/>
    <w:uiPriority w:val="0"/>
    <w:rPr>
      <w:b/>
    </w:rPr>
  </w:style>
  <w:style w:type="character" w:styleId="10">
    <w:name w:val="page number"/>
    <w:basedOn w:val="8"/>
    <w:qFormat/>
    <w:uiPriority w:val="99"/>
  </w:style>
  <w:style w:type="character" w:customStyle="1" w:styleId="11">
    <w:name w:val="页眉 Char"/>
    <w:basedOn w:val="8"/>
    <w:link w:val="5"/>
    <w:semiHidden/>
    <w:qFormat/>
    <w:locked/>
    <w:uiPriority w:val="99"/>
    <w:rPr>
      <w:sz w:val="18"/>
      <w:szCs w:val="18"/>
    </w:rPr>
  </w:style>
  <w:style w:type="character" w:customStyle="1" w:styleId="12">
    <w:name w:val="页脚 Char"/>
    <w:basedOn w:val="8"/>
    <w:link w:val="4"/>
    <w:locked/>
    <w:uiPriority w:val="99"/>
    <w:rPr>
      <w:sz w:val="18"/>
      <w:szCs w:val="18"/>
    </w:rPr>
  </w:style>
  <w:style w:type="character" w:customStyle="1" w:styleId="13">
    <w:name w:val="正文文本 Char"/>
    <w:basedOn w:val="8"/>
    <w:link w:val="2"/>
    <w:qFormat/>
    <w:locked/>
    <w:uiPriority w:val="99"/>
    <w:rPr>
      <w:rFonts w:ascii="仿宋_GB2312" w:hAnsi="Times New Roman" w:eastAsia="仿宋_GB2312" w:cs="仿宋_GB2312"/>
      <w:sz w:val="32"/>
      <w:szCs w:val="32"/>
    </w:rPr>
  </w:style>
  <w:style w:type="character" w:customStyle="1" w:styleId="14">
    <w:name w:val="批注框文本 Char"/>
    <w:basedOn w:val="8"/>
    <w:link w:val="3"/>
    <w:semiHidden/>
    <w:locked/>
    <w:uiPriority w:val="99"/>
    <w:rPr>
      <w:rFonts w:ascii="Times New Roman" w:hAnsi="Times New Roman" w:eastAsia="仿宋_GB2312"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12</Pages>
  <Words>4236</Words>
  <Characters>5308</Characters>
  <Lines>38</Lines>
  <Paragraphs>10</Paragraphs>
  <TotalTime>4</TotalTime>
  <ScaleCrop>false</ScaleCrop>
  <LinksUpToDate>false</LinksUpToDate>
  <CharactersWithSpaces>5357</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2019-01-24T09:08:00Z</dcterms:created>
  <dc:creator>何丹3</dc:creator>
  <cp:lastModifiedBy>Administrator</cp:lastModifiedBy>
  <cp:lastPrinted>2020-02-10T09:05:00Z</cp:lastPrinted>
  <dcterms:modified xsi:type="dcterms:W3CDTF">2022-07-13T08:35:27Z</dcterms:modified>
  <dc:title>攀枝花市交通运输综合行政执法支队</dc:title>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385C66271BE44905856D4C6E90919DBA</vt:lpwstr>
  </property>
</Properties>
</file>