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u w:val="none"/>
        </w:rPr>
      </w:pPr>
    </w:p>
    <w:p>
      <w:pPr>
        <w:adjustRightInd w:val="0"/>
        <w:snapToGrid w:val="0"/>
        <w:spacing w:line="360" w:lineRule="auto"/>
        <w:jc w:val="center"/>
        <w:outlineLvl w:val="0"/>
        <w:rPr>
          <w:rFonts w:ascii="方正小标宋简体" w:hAnsi="宋体" w:eastAsia="方正小标宋简体"/>
          <w:color w:val="000000"/>
          <w:sz w:val="72"/>
          <w:szCs w:val="72"/>
          <w:u w:val="none"/>
        </w:rPr>
      </w:pPr>
      <w:bookmarkStart w:id="0" w:name="_Toc15396597"/>
      <w:bookmarkStart w:id="1" w:name="_Toc15378441"/>
      <w:bookmarkStart w:id="2" w:name="_Toc15396475"/>
      <w:bookmarkStart w:id="3" w:name="_Toc15377193"/>
      <w:bookmarkStart w:id="4" w:name="_Toc15377425"/>
      <w:r>
        <w:rPr>
          <w:rFonts w:ascii="黑体" w:hAnsi="黑体" w:eastAsia="黑体"/>
          <w:color w:val="000000"/>
          <w:sz w:val="72"/>
          <w:szCs w:val="72"/>
          <w:u w:val="none"/>
        </w:rPr>
        <w:t>202</w:t>
      </w:r>
      <w:r>
        <w:rPr>
          <w:rFonts w:hint="eastAsia" w:ascii="黑体" w:hAnsi="黑体" w:eastAsia="黑体"/>
          <w:color w:val="000000"/>
          <w:sz w:val="72"/>
          <w:szCs w:val="72"/>
          <w:u w:val="none"/>
        </w:rPr>
        <w:t>1</w:t>
      </w:r>
      <w:r>
        <w:rPr>
          <w:rFonts w:hint="eastAsia" w:ascii="方正小标宋简体" w:hAnsi="宋体" w:eastAsia="方正小标宋简体"/>
          <w:color w:val="000000"/>
          <w:sz w:val="72"/>
          <w:szCs w:val="72"/>
          <w:u w:val="none"/>
        </w:rPr>
        <w:t>年度</w:t>
      </w:r>
      <w:bookmarkEnd w:id="0"/>
      <w:bookmarkEnd w:id="1"/>
      <w:bookmarkEnd w:id="2"/>
      <w:bookmarkEnd w:id="3"/>
      <w:bookmarkEnd w:id="4"/>
    </w:p>
    <w:p>
      <w:pPr>
        <w:adjustRightInd w:val="0"/>
        <w:snapToGrid w:val="0"/>
        <w:spacing w:line="360" w:lineRule="auto"/>
        <w:jc w:val="center"/>
        <w:outlineLvl w:val="0"/>
        <w:rPr>
          <w:rFonts w:ascii="方正小标宋简体" w:hAnsi="宋体" w:eastAsia="方正小标宋简体"/>
          <w:color w:val="000000"/>
          <w:sz w:val="72"/>
          <w:szCs w:val="72"/>
          <w:u w:val="none"/>
        </w:rPr>
      </w:pPr>
      <w:bookmarkStart w:id="5" w:name="_Toc15377426"/>
      <w:bookmarkStart w:id="6" w:name="_Toc15396476"/>
      <w:bookmarkStart w:id="7" w:name="_Toc15396598"/>
      <w:bookmarkStart w:id="8" w:name="_Toc15378442"/>
      <w:bookmarkStart w:id="9" w:name="_Toc15377194"/>
      <w:r>
        <w:rPr>
          <w:rFonts w:hint="eastAsia" w:ascii="方正小标宋简体" w:hAnsi="宋体" w:eastAsia="方正小标宋简体"/>
          <w:color w:val="000000"/>
          <w:sz w:val="72"/>
          <w:szCs w:val="72"/>
          <w:u w:val="none"/>
        </w:rPr>
        <w:t>四川省</w:t>
      </w:r>
      <w:bookmarkStart w:id="10" w:name="_Toc15306268"/>
      <w:r>
        <w:rPr>
          <w:rFonts w:hint="eastAsia" w:ascii="方正小标宋简体" w:hAnsi="宋体" w:eastAsia="方正小标宋简体"/>
          <w:color w:val="000000"/>
          <w:sz w:val="72"/>
          <w:szCs w:val="72"/>
          <w:u w:val="none"/>
        </w:rPr>
        <w:t>攀枝花市救助站</w:t>
      </w:r>
    </w:p>
    <w:p>
      <w:pPr>
        <w:adjustRightInd w:val="0"/>
        <w:snapToGrid w:val="0"/>
        <w:spacing w:line="360" w:lineRule="auto"/>
        <w:jc w:val="center"/>
        <w:outlineLvl w:val="0"/>
        <w:rPr>
          <w:rFonts w:ascii="方正小标宋简体" w:hAnsi="宋体" w:eastAsia="方正小标宋简体"/>
          <w:color w:val="000000"/>
          <w:sz w:val="72"/>
          <w:szCs w:val="72"/>
          <w:u w:val="none"/>
        </w:rPr>
      </w:pPr>
      <w:r>
        <w:rPr>
          <w:rFonts w:hint="eastAsia" w:ascii="方正小标宋简体" w:hAnsi="宋体" w:eastAsia="方正小标宋简体"/>
          <w:color w:val="000000"/>
          <w:sz w:val="72"/>
          <w:szCs w:val="72"/>
          <w:u w:val="none"/>
        </w:rPr>
        <w:t>部门</w:t>
      </w:r>
      <w:bookmarkEnd w:id="5"/>
      <w:bookmarkEnd w:id="6"/>
      <w:bookmarkEnd w:id="7"/>
      <w:bookmarkEnd w:id="8"/>
      <w:bookmarkEnd w:id="9"/>
      <w:bookmarkEnd w:id="10"/>
      <w:r>
        <w:rPr>
          <w:rFonts w:hint="eastAsia" w:ascii="方正小标宋简体" w:hAnsi="宋体" w:eastAsia="方正小标宋简体"/>
          <w:color w:val="000000"/>
          <w:sz w:val="72"/>
          <w:szCs w:val="72"/>
          <w:u w:val="none"/>
        </w:rPr>
        <w:t>预算</w:t>
      </w:r>
    </w:p>
    <w:p>
      <w:pPr>
        <w:widowControl/>
        <w:jc w:val="center"/>
        <w:rPr>
          <w:rFonts w:ascii="黑体" w:hAnsi="黑体" w:eastAsia="黑体"/>
          <w:color w:val="000000"/>
          <w:sz w:val="48"/>
          <w:szCs w:val="48"/>
          <w:u w:val="none"/>
        </w:rPr>
      </w:pPr>
      <w:r>
        <w:rPr>
          <w:rFonts w:ascii="方正小标宋简体" w:hAnsi="宋体" w:eastAsia="方正小标宋简体"/>
          <w:color w:val="000000"/>
          <w:sz w:val="36"/>
          <w:szCs w:val="36"/>
          <w:u w:val="none"/>
        </w:rPr>
        <w:br w:type="page"/>
      </w:r>
      <w:r>
        <w:rPr>
          <w:rFonts w:hint="eastAsia" w:ascii="黑体" w:hAnsi="黑体" w:eastAsia="黑体"/>
          <w:color w:val="000000"/>
          <w:sz w:val="48"/>
          <w:szCs w:val="48"/>
          <w:u w:val="none"/>
        </w:rPr>
        <w:t>目录</w:t>
      </w:r>
    </w:p>
    <w:p>
      <w:pPr>
        <w:widowControl/>
        <w:jc w:val="center"/>
        <w:rPr>
          <w:rFonts w:ascii="黑体" w:hAnsi="黑体" w:eastAsia="黑体"/>
          <w:sz w:val="28"/>
          <w:szCs w:val="28"/>
          <w:u w:val="none"/>
        </w:rPr>
      </w:pPr>
    </w:p>
    <w:p>
      <w:pPr>
        <w:pStyle w:val="11"/>
        <w:rPr>
          <w:rFonts w:ascii="黑体" w:eastAsia="黑体"/>
          <w:u w:val="none"/>
        </w:rPr>
      </w:pPr>
      <w:r>
        <w:rPr>
          <w:rFonts w:hint="eastAsia" w:ascii="黑体" w:eastAsia="黑体"/>
          <w:u w:val="none"/>
        </w:rPr>
        <w:t>公开时间：</w:t>
      </w:r>
      <w:r>
        <w:rPr>
          <w:rFonts w:ascii="黑体" w:eastAsia="黑体"/>
          <w:u w:val="none"/>
        </w:rPr>
        <w:t>202</w:t>
      </w:r>
      <w:r>
        <w:rPr>
          <w:rFonts w:hint="eastAsia" w:ascii="黑体" w:eastAsia="黑体"/>
          <w:u w:val="none"/>
          <w:lang w:val="en-US" w:eastAsia="zh-CN"/>
        </w:rPr>
        <w:t>1</w:t>
      </w:r>
      <w:r>
        <w:rPr>
          <w:rFonts w:hint="eastAsia" w:ascii="黑体" w:eastAsia="黑体"/>
          <w:u w:val="none"/>
        </w:rPr>
        <w:t>年</w:t>
      </w:r>
      <w:r>
        <w:rPr>
          <w:rFonts w:hint="eastAsia" w:ascii="黑体" w:eastAsia="黑体"/>
          <w:u w:val="none"/>
          <w:lang w:val="en-US" w:eastAsia="zh-CN"/>
        </w:rPr>
        <w:t>2</w:t>
      </w:r>
      <w:r>
        <w:rPr>
          <w:rFonts w:hint="eastAsia" w:ascii="黑体" w:eastAsia="黑体"/>
          <w:u w:val="none"/>
        </w:rPr>
        <w:t>月1</w:t>
      </w:r>
      <w:r>
        <w:rPr>
          <w:rFonts w:hint="eastAsia" w:ascii="黑体" w:eastAsia="黑体"/>
          <w:u w:val="none"/>
          <w:lang w:val="en-US" w:eastAsia="zh-CN"/>
        </w:rPr>
        <w:t>8</w:t>
      </w:r>
      <w:r>
        <w:rPr>
          <w:rFonts w:hint="eastAsia" w:ascii="黑体" w:eastAsia="黑体"/>
          <w:u w:val="none"/>
        </w:rPr>
        <w:t>日</w:t>
      </w:r>
    </w:p>
    <w:p>
      <w:pPr>
        <w:pStyle w:val="11"/>
        <w:adjustRightInd w:val="0"/>
        <w:snapToGrid w:val="0"/>
        <w:spacing w:before="0" w:line="440" w:lineRule="exact"/>
        <w:jc w:val="left"/>
        <w:rPr>
          <w:rFonts w:ascii="黑体" w:eastAsia="黑体"/>
          <w:u w:val="none"/>
        </w:rPr>
      </w:pPr>
      <w:r>
        <w:rPr>
          <w:rFonts w:hint="eastAsia" w:ascii="黑体" w:eastAsia="黑体"/>
          <w:u w:val="none"/>
        </w:rPr>
        <w:t>第一部分基本情况</w:t>
      </w:r>
    </w:p>
    <w:p>
      <w:pPr>
        <w:pStyle w:val="12"/>
        <w:adjustRightInd w:val="0"/>
        <w:snapToGrid w:val="0"/>
        <w:spacing w:line="440" w:lineRule="exact"/>
        <w:jc w:val="left"/>
        <w:rPr>
          <w:rFonts w:ascii="仿宋" w:hAnsi="仿宋" w:eastAsia="仿宋"/>
          <w:sz w:val="24"/>
          <w:u w:val="none"/>
        </w:rPr>
      </w:pPr>
      <w:r>
        <w:rPr>
          <w:rFonts w:hint="eastAsia"/>
          <w:sz w:val="24"/>
          <w:u w:val="none"/>
        </w:rPr>
        <w:t>一、基本职能及主要工作</w:t>
      </w:r>
      <w:r>
        <w:rPr>
          <w:rFonts w:ascii="仿宋" w:hAnsi="仿宋" w:eastAsia="仿宋"/>
          <w:sz w:val="24"/>
          <w:u w:val="none"/>
        </w:rPr>
        <w:tab/>
      </w:r>
      <w:r>
        <w:rPr>
          <w:rFonts w:hint="eastAsia" w:ascii="仿宋" w:hAnsi="仿宋" w:eastAsia="仿宋"/>
          <w:sz w:val="24"/>
          <w:u w:val="none"/>
        </w:rPr>
        <w:t>4</w:t>
      </w:r>
    </w:p>
    <w:p>
      <w:pPr>
        <w:pStyle w:val="12"/>
        <w:adjustRightInd w:val="0"/>
        <w:snapToGrid w:val="0"/>
        <w:spacing w:line="440" w:lineRule="exact"/>
        <w:jc w:val="left"/>
        <w:rPr>
          <w:rFonts w:ascii="仿宋" w:hAnsi="仿宋" w:eastAsia="仿宋"/>
          <w:sz w:val="24"/>
          <w:u w:val="none"/>
        </w:rPr>
      </w:pPr>
      <w:r>
        <w:rPr>
          <w:rFonts w:hint="eastAsia"/>
          <w:sz w:val="24"/>
          <w:u w:val="none"/>
        </w:rPr>
        <w:t>二、单位构成情况</w:t>
      </w:r>
      <w:r>
        <w:rPr>
          <w:rFonts w:ascii="仿宋" w:hAnsi="仿宋" w:eastAsia="仿宋"/>
          <w:sz w:val="24"/>
          <w:u w:val="none"/>
        </w:rPr>
        <w:tab/>
      </w:r>
      <w:r>
        <w:rPr>
          <w:rFonts w:hint="eastAsia" w:ascii="仿宋" w:hAnsi="仿宋" w:eastAsia="仿宋"/>
          <w:sz w:val="24"/>
          <w:u w:val="none"/>
        </w:rPr>
        <w:t>4</w:t>
      </w:r>
    </w:p>
    <w:p>
      <w:pPr>
        <w:pStyle w:val="11"/>
        <w:adjustRightInd w:val="0"/>
        <w:snapToGrid w:val="0"/>
        <w:spacing w:before="0" w:line="440" w:lineRule="exact"/>
        <w:jc w:val="left"/>
        <w:rPr>
          <w:sz w:val="24"/>
          <w:szCs w:val="24"/>
          <w:u w:val="none"/>
        </w:rPr>
      </w:pPr>
      <w:r>
        <w:rPr>
          <w:rFonts w:hint="eastAsia" w:ascii="黑体" w:eastAsia="黑体"/>
          <w:u w:val="none"/>
        </w:rPr>
        <w:t>第二部分2</w:t>
      </w:r>
      <w:r>
        <w:rPr>
          <w:rFonts w:ascii="黑体" w:eastAsia="黑体"/>
          <w:u w:val="none"/>
        </w:rPr>
        <w:t>020</w:t>
      </w:r>
      <w:r>
        <w:rPr>
          <w:rFonts w:hint="eastAsia" w:ascii="黑体" w:eastAsia="黑体"/>
          <w:u w:val="none"/>
        </w:rPr>
        <w:t>年度部门预算情况说明</w:t>
      </w:r>
      <w:r>
        <w:rPr>
          <w:sz w:val="24"/>
          <w:szCs w:val="24"/>
          <w:u w:val="none"/>
        </w:rPr>
        <w:tab/>
      </w:r>
      <w:r>
        <w:rPr>
          <w:rFonts w:hint="eastAsia"/>
          <w:sz w:val="24"/>
          <w:szCs w:val="24"/>
          <w:u w:val="none"/>
        </w:rPr>
        <w:t>8</w:t>
      </w:r>
    </w:p>
    <w:p>
      <w:pPr>
        <w:pStyle w:val="11"/>
        <w:adjustRightInd w:val="0"/>
        <w:snapToGrid w:val="0"/>
        <w:spacing w:before="0" w:line="440" w:lineRule="exact"/>
        <w:jc w:val="left"/>
        <w:rPr>
          <w:sz w:val="24"/>
          <w:szCs w:val="24"/>
          <w:u w:val="none"/>
        </w:rPr>
      </w:pPr>
      <w:r>
        <w:rPr>
          <w:rFonts w:hint="eastAsia"/>
          <w:sz w:val="24"/>
          <w:u w:val="none"/>
        </w:rPr>
        <w:t xml:space="preserve">   </w:t>
      </w:r>
      <w:r>
        <w:rPr>
          <w:rFonts w:hint="eastAsia" w:ascii="Times New Roman" w:hAnsi="Times New Roman" w:eastAsia="宋体"/>
          <w:sz w:val="24"/>
          <w:szCs w:val="24"/>
          <w:u w:val="none"/>
        </w:rPr>
        <w:t>三、2</w:t>
      </w:r>
      <w:r>
        <w:rPr>
          <w:rFonts w:ascii="Times New Roman" w:hAnsi="Times New Roman" w:eastAsia="宋体"/>
          <w:sz w:val="24"/>
          <w:szCs w:val="24"/>
          <w:u w:val="none"/>
        </w:rPr>
        <w:t>02</w:t>
      </w:r>
      <w:r>
        <w:rPr>
          <w:rFonts w:hint="eastAsia" w:ascii="Times New Roman" w:hAnsi="Times New Roman" w:eastAsia="宋体"/>
          <w:sz w:val="24"/>
          <w:szCs w:val="24"/>
          <w:u w:val="none"/>
        </w:rPr>
        <w:t>1年度</w:t>
      </w:r>
      <w:r>
        <w:rPr>
          <w:rFonts w:hint="eastAsia" w:ascii="黑体" w:eastAsia="黑体"/>
          <w:u w:val="none"/>
        </w:rPr>
        <w:t>收支预算情况说明</w:t>
      </w:r>
      <w:r>
        <w:rPr>
          <w:sz w:val="24"/>
          <w:szCs w:val="24"/>
          <w:u w:val="none"/>
        </w:rPr>
        <w:tab/>
      </w:r>
      <w:r>
        <w:rPr>
          <w:rFonts w:hint="eastAsia"/>
          <w:sz w:val="24"/>
          <w:szCs w:val="24"/>
          <w:u w:val="none"/>
        </w:rPr>
        <w:t>8</w:t>
      </w:r>
    </w:p>
    <w:p>
      <w:pPr>
        <w:pStyle w:val="11"/>
        <w:adjustRightInd w:val="0"/>
        <w:snapToGrid w:val="0"/>
        <w:spacing w:before="0" w:line="440" w:lineRule="exact"/>
        <w:jc w:val="left"/>
        <w:rPr>
          <w:rFonts w:ascii="Times New Roman" w:hAnsi="Times New Roman" w:eastAsia="宋体"/>
          <w:sz w:val="24"/>
          <w:szCs w:val="24"/>
          <w:u w:val="none"/>
        </w:rPr>
      </w:pPr>
      <w:r>
        <w:rPr>
          <w:rFonts w:hint="eastAsia" w:ascii="楷体_GB2312" w:eastAsia="楷体_GB2312"/>
          <w:b/>
          <w:u w:val="none"/>
        </w:rPr>
        <w:t>　</w:t>
      </w:r>
      <w:r>
        <w:rPr>
          <w:rFonts w:hint="eastAsia"/>
          <w:sz w:val="24"/>
          <w:u w:val="none"/>
        </w:rPr>
        <w:t>（一）</w:t>
      </w:r>
      <w:r>
        <w:rPr>
          <w:rFonts w:hint="eastAsia" w:ascii="Times New Roman" w:hAnsi="Times New Roman" w:eastAsia="宋体"/>
          <w:sz w:val="24"/>
          <w:szCs w:val="24"/>
          <w:u w:val="none"/>
        </w:rPr>
        <w:t>收入预算说明</w:t>
      </w:r>
      <w:r>
        <w:rPr>
          <w:rFonts w:ascii="Times New Roman" w:hAnsi="Times New Roman" w:eastAsia="宋体"/>
          <w:sz w:val="24"/>
          <w:szCs w:val="24"/>
          <w:u w:val="none"/>
        </w:rPr>
        <w:tab/>
      </w:r>
      <w:r>
        <w:rPr>
          <w:rFonts w:hint="eastAsia" w:ascii="Times New Roman" w:hAnsi="Times New Roman" w:eastAsia="宋体"/>
          <w:sz w:val="24"/>
          <w:szCs w:val="24"/>
          <w:u w:val="none"/>
        </w:rPr>
        <w:t>8</w:t>
      </w:r>
    </w:p>
    <w:p>
      <w:pPr>
        <w:pStyle w:val="11"/>
        <w:adjustRightInd w:val="0"/>
        <w:snapToGrid w:val="0"/>
        <w:spacing w:before="0" w:line="440" w:lineRule="exact"/>
        <w:jc w:val="left"/>
        <w:rPr>
          <w:sz w:val="24"/>
          <w:szCs w:val="24"/>
          <w:u w:val="none"/>
        </w:rPr>
      </w:pPr>
      <w:r>
        <w:rPr>
          <w:rFonts w:hint="eastAsia" w:ascii="Times New Roman" w:hAnsi="Times New Roman" w:eastAsia="宋体"/>
          <w:sz w:val="24"/>
          <w:szCs w:val="24"/>
          <w:u w:val="none"/>
        </w:rPr>
        <w:t>　（二）支出预算情况</w:t>
      </w:r>
      <w:r>
        <w:rPr>
          <w:sz w:val="24"/>
          <w:szCs w:val="24"/>
          <w:u w:val="none"/>
        </w:rPr>
        <w:tab/>
      </w:r>
      <w:r>
        <w:rPr>
          <w:rFonts w:hint="eastAsia"/>
          <w:sz w:val="24"/>
          <w:szCs w:val="24"/>
          <w:u w:val="none"/>
        </w:rPr>
        <w:t>9</w:t>
      </w:r>
    </w:p>
    <w:p>
      <w:pPr>
        <w:pStyle w:val="12"/>
        <w:adjustRightInd w:val="0"/>
        <w:snapToGrid w:val="0"/>
        <w:spacing w:line="440" w:lineRule="exact"/>
        <w:jc w:val="left"/>
        <w:rPr>
          <w:sz w:val="24"/>
          <w:u w:val="none"/>
        </w:rPr>
      </w:pPr>
      <w:r>
        <w:rPr>
          <w:rFonts w:hint="eastAsia"/>
          <w:sz w:val="24"/>
          <w:u w:val="none"/>
        </w:rPr>
        <w:t>四、财政拨款收支预算情况说明</w:t>
      </w:r>
      <w:r>
        <w:rPr>
          <w:sz w:val="24"/>
          <w:u w:val="none"/>
        </w:rPr>
        <w:tab/>
      </w:r>
      <w:r>
        <w:rPr>
          <w:rFonts w:hint="eastAsia"/>
          <w:sz w:val="24"/>
          <w:u w:val="none"/>
        </w:rPr>
        <w:t>9</w:t>
      </w:r>
    </w:p>
    <w:p>
      <w:pPr>
        <w:pStyle w:val="12"/>
        <w:adjustRightInd w:val="0"/>
        <w:snapToGrid w:val="0"/>
        <w:spacing w:line="440" w:lineRule="exact"/>
        <w:jc w:val="left"/>
        <w:rPr>
          <w:sz w:val="24"/>
          <w:u w:val="none"/>
        </w:rPr>
      </w:pPr>
      <w:r>
        <w:rPr>
          <w:rFonts w:hint="eastAsia"/>
          <w:sz w:val="24"/>
          <w:u w:val="none"/>
        </w:rPr>
        <w:t>五、一般公共预算当年拨款情况说明</w:t>
      </w:r>
      <w:r>
        <w:rPr>
          <w:sz w:val="24"/>
          <w:u w:val="none"/>
        </w:rPr>
        <w:tab/>
      </w:r>
      <w:r>
        <w:rPr>
          <w:rFonts w:hint="eastAsia"/>
          <w:sz w:val="24"/>
          <w:u w:val="none"/>
        </w:rPr>
        <w:t>9</w:t>
      </w:r>
    </w:p>
    <w:p>
      <w:pPr>
        <w:pStyle w:val="12"/>
        <w:adjustRightInd w:val="0"/>
        <w:snapToGrid w:val="0"/>
        <w:spacing w:line="440" w:lineRule="exact"/>
        <w:jc w:val="left"/>
        <w:rPr>
          <w:sz w:val="24"/>
          <w:u w:val="none"/>
        </w:rPr>
      </w:pPr>
      <w:r>
        <w:rPr>
          <w:rFonts w:hint="eastAsia"/>
          <w:sz w:val="24"/>
          <w:u w:val="none"/>
        </w:rPr>
        <w:t>六、一般公共预算基本支出情况说明</w:t>
      </w:r>
      <w:r>
        <w:rPr>
          <w:sz w:val="24"/>
          <w:u w:val="none"/>
        </w:rPr>
        <w:tab/>
      </w:r>
      <w:r>
        <w:rPr>
          <w:rFonts w:hint="eastAsia"/>
          <w:sz w:val="24"/>
          <w:u w:val="none"/>
        </w:rPr>
        <w:t>11</w:t>
      </w:r>
    </w:p>
    <w:p>
      <w:pPr>
        <w:pStyle w:val="12"/>
        <w:adjustRightInd w:val="0"/>
        <w:snapToGrid w:val="0"/>
        <w:spacing w:line="440" w:lineRule="exact"/>
        <w:jc w:val="left"/>
        <w:rPr>
          <w:rFonts w:ascii="仿宋" w:hAnsi="仿宋" w:eastAsia="仿宋"/>
          <w:sz w:val="24"/>
          <w:u w:val="none"/>
        </w:rPr>
      </w:pPr>
      <w:r>
        <w:rPr>
          <w:rFonts w:hint="eastAsia"/>
          <w:sz w:val="24"/>
          <w:u w:val="none"/>
        </w:rPr>
        <w:t>七、</w:t>
      </w:r>
      <w:r>
        <w:rPr>
          <w:sz w:val="24"/>
          <w:u w:val="none"/>
        </w:rPr>
        <w:t>“</w:t>
      </w:r>
      <w:r>
        <w:rPr>
          <w:rFonts w:hint="eastAsia"/>
          <w:sz w:val="24"/>
          <w:u w:val="none"/>
        </w:rPr>
        <w:t>三公”经费财政拨款预算安排情况说明</w:t>
      </w:r>
      <w:r>
        <w:rPr>
          <w:rFonts w:ascii="仿宋" w:hAnsi="仿宋" w:eastAsia="仿宋"/>
          <w:sz w:val="24"/>
          <w:u w:val="none"/>
        </w:rPr>
        <w:tab/>
      </w:r>
      <w:r>
        <w:rPr>
          <w:rFonts w:hint="eastAsia" w:ascii="仿宋" w:hAnsi="仿宋" w:eastAsia="仿宋"/>
          <w:sz w:val="24"/>
          <w:u w:val="none"/>
        </w:rPr>
        <w:t>12</w:t>
      </w:r>
    </w:p>
    <w:p>
      <w:pPr>
        <w:pStyle w:val="12"/>
        <w:adjustRightInd w:val="0"/>
        <w:snapToGrid w:val="0"/>
        <w:spacing w:line="440" w:lineRule="exact"/>
        <w:jc w:val="left"/>
        <w:rPr>
          <w:rFonts w:ascii="仿宋" w:hAnsi="仿宋" w:eastAsia="仿宋"/>
          <w:sz w:val="24"/>
          <w:u w:val="none"/>
        </w:rPr>
      </w:pPr>
      <w:r>
        <w:rPr>
          <w:rFonts w:hint="eastAsia"/>
          <w:sz w:val="24"/>
          <w:u w:val="none"/>
        </w:rPr>
        <w:t>八、政府性基金预算支出情况说明</w:t>
      </w:r>
      <w:r>
        <w:rPr>
          <w:rFonts w:ascii="仿宋" w:hAnsi="仿宋" w:eastAsia="仿宋"/>
          <w:sz w:val="24"/>
          <w:u w:val="none"/>
        </w:rPr>
        <w:tab/>
      </w:r>
      <w:r>
        <w:rPr>
          <w:rFonts w:hint="eastAsia" w:ascii="仿宋" w:hAnsi="仿宋" w:eastAsia="仿宋"/>
          <w:sz w:val="24"/>
          <w:u w:val="none"/>
        </w:rPr>
        <w:t>12</w:t>
      </w:r>
    </w:p>
    <w:p>
      <w:pPr>
        <w:tabs>
          <w:tab w:val="right" w:leader="dot" w:pos="8306"/>
        </w:tabs>
        <w:adjustRightInd w:val="0"/>
        <w:snapToGrid w:val="0"/>
        <w:spacing w:line="440" w:lineRule="exact"/>
        <w:ind w:firstLine="420" w:firstLineChars="200"/>
        <w:jc w:val="left"/>
        <w:rPr>
          <w:rFonts w:ascii="仿宋" w:hAnsi="仿宋" w:eastAsia="仿宋"/>
          <w:sz w:val="24"/>
          <w:u w:val="none"/>
        </w:rPr>
      </w:pPr>
      <w:r>
        <w:rPr>
          <w:rFonts w:hint="eastAsia"/>
          <w:u w:val="none"/>
        </w:rPr>
        <w:t>九、</w:t>
      </w:r>
      <w:r>
        <w:rPr>
          <w:rFonts w:hint="eastAsia"/>
          <w:sz w:val="24"/>
          <w:u w:val="none"/>
        </w:rPr>
        <w:t>其他重要事项的情况说明</w:t>
      </w:r>
      <w:r>
        <w:rPr>
          <w:rFonts w:ascii="仿宋" w:hAnsi="仿宋" w:eastAsia="仿宋"/>
          <w:sz w:val="24"/>
          <w:u w:val="none"/>
        </w:rPr>
        <w:tab/>
      </w:r>
      <w:r>
        <w:rPr>
          <w:rFonts w:hint="eastAsia" w:ascii="仿宋" w:hAnsi="仿宋" w:eastAsia="仿宋"/>
          <w:sz w:val="24"/>
          <w:u w:val="none"/>
        </w:rPr>
        <w:t>13</w:t>
      </w:r>
    </w:p>
    <w:p>
      <w:pPr>
        <w:tabs>
          <w:tab w:val="right" w:leader="dot" w:pos="8306"/>
        </w:tabs>
        <w:adjustRightInd w:val="0"/>
        <w:snapToGrid w:val="0"/>
        <w:spacing w:line="440" w:lineRule="exact"/>
        <w:jc w:val="left"/>
        <w:rPr>
          <w:rFonts w:ascii="仿宋" w:hAnsi="仿宋" w:eastAsia="仿宋"/>
          <w:sz w:val="24"/>
          <w:u w:val="none"/>
        </w:rPr>
      </w:pPr>
      <w:r>
        <w:rPr>
          <w:rFonts w:hint="eastAsia"/>
          <w:sz w:val="24"/>
          <w:u w:val="none"/>
        </w:rPr>
        <w:t xml:space="preserve">   十、采购预算说明</w:t>
      </w:r>
      <w:r>
        <w:rPr>
          <w:rFonts w:ascii="仿宋" w:hAnsi="仿宋" w:eastAsia="仿宋"/>
          <w:sz w:val="24"/>
          <w:u w:val="none"/>
        </w:rPr>
        <w:tab/>
      </w:r>
      <w:r>
        <w:rPr>
          <w:rFonts w:hint="eastAsia" w:ascii="仿宋" w:hAnsi="仿宋" w:eastAsia="仿宋"/>
          <w:sz w:val="24"/>
          <w:u w:val="none"/>
        </w:rPr>
        <w:t>13</w:t>
      </w:r>
    </w:p>
    <w:p>
      <w:pPr>
        <w:pStyle w:val="11"/>
        <w:adjustRightInd w:val="0"/>
        <w:snapToGrid w:val="0"/>
        <w:spacing w:before="0" w:line="440" w:lineRule="exact"/>
        <w:jc w:val="left"/>
        <w:rPr>
          <w:sz w:val="24"/>
          <w:szCs w:val="24"/>
          <w:u w:val="none"/>
        </w:rPr>
      </w:pPr>
      <w:r>
        <w:rPr>
          <w:rFonts w:hint="eastAsia"/>
          <w:sz w:val="24"/>
          <w:u w:val="none"/>
        </w:rPr>
        <w:t xml:space="preserve"> </w:t>
      </w:r>
      <w:r>
        <w:rPr>
          <w:rFonts w:hint="eastAsia" w:ascii="黑体" w:eastAsia="黑体"/>
          <w:u w:val="none"/>
        </w:rPr>
        <w:t>第三部分名词解释</w:t>
      </w:r>
      <w:r>
        <w:rPr>
          <w:sz w:val="24"/>
          <w:szCs w:val="24"/>
          <w:u w:val="none"/>
        </w:rPr>
        <w:tab/>
      </w:r>
      <w:r>
        <w:rPr>
          <w:rFonts w:hint="eastAsia"/>
          <w:sz w:val="24"/>
          <w:szCs w:val="24"/>
          <w:u w:val="none"/>
        </w:rPr>
        <w:t>13</w:t>
      </w:r>
    </w:p>
    <w:p>
      <w:pPr>
        <w:pStyle w:val="11"/>
        <w:adjustRightInd w:val="0"/>
        <w:snapToGrid w:val="0"/>
        <w:spacing w:before="0" w:line="440" w:lineRule="exact"/>
        <w:jc w:val="left"/>
        <w:rPr>
          <w:sz w:val="24"/>
          <w:szCs w:val="24"/>
          <w:u w:val="none"/>
        </w:rPr>
      </w:pPr>
      <w:r>
        <w:rPr>
          <w:rFonts w:hint="eastAsia" w:ascii="Times New Roman" w:hAnsi="Times New Roman" w:eastAsia="宋体"/>
          <w:sz w:val="24"/>
          <w:szCs w:val="24"/>
          <w:u w:val="none"/>
        </w:rPr>
        <w:t xml:space="preserve">   十一名词解释</w:t>
      </w:r>
      <w:r>
        <w:rPr>
          <w:sz w:val="24"/>
          <w:szCs w:val="24"/>
          <w:u w:val="none"/>
        </w:rPr>
        <w:tab/>
      </w:r>
      <w:r>
        <w:rPr>
          <w:rFonts w:hint="eastAsia"/>
          <w:sz w:val="24"/>
          <w:szCs w:val="24"/>
          <w:u w:val="none"/>
        </w:rPr>
        <w:t>13</w:t>
      </w:r>
    </w:p>
    <w:p>
      <w:pPr>
        <w:pStyle w:val="11"/>
        <w:adjustRightInd w:val="0"/>
        <w:snapToGrid w:val="0"/>
        <w:spacing w:before="0" w:line="440" w:lineRule="exact"/>
        <w:jc w:val="left"/>
        <w:rPr>
          <w:sz w:val="24"/>
          <w:szCs w:val="24"/>
          <w:u w:val="none"/>
        </w:rPr>
      </w:pPr>
      <w:r>
        <w:rPr>
          <w:rFonts w:hint="eastAsia" w:ascii="黑体" w:eastAsia="黑体"/>
          <w:u w:val="none"/>
        </w:rPr>
        <w:t>第四部分附表</w:t>
      </w:r>
      <w:r>
        <w:rPr>
          <w:sz w:val="24"/>
          <w:szCs w:val="24"/>
          <w:u w:val="none"/>
        </w:rPr>
        <w:tab/>
      </w:r>
    </w:p>
    <w:p>
      <w:pPr>
        <w:pStyle w:val="12"/>
        <w:adjustRightInd w:val="0"/>
        <w:snapToGrid w:val="0"/>
        <w:spacing w:line="440" w:lineRule="exact"/>
        <w:jc w:val="left"/>
        <w:rPr>
          <w:rFonts w:ascii="仿宋" w:hAnsi="仿宋" w:eastAsia="仿宋"/>
          <w:sz w:val="24"/>
          <w:u w:val="none"/>
        </w:rPr>
      </w:pPr>
      <w:r>
        <w:rPr>
          <w:rFonts w:hint="eastAsia" w:ascii="仿宋" w:hAnsi="仿宋" w:eastAsia="仿宋"/>
          <w:sz w:val="24"/>
          <w:u w:val="none"/>
        </w:rPr>
        <w:t>（一）表1单位</w:t>
      </w:r>
      <w:r>
        <w:rPr>
          <w:rFonts w:hint="eastAsia"/>
          <w:sz w:val="24"/>
          <w:u w:val="none"/>
        </w:rPr>
        <w:t>收支总表</w:t>
      </w:r>
      <w:r>
        <w:rPr>
          <w:rFonts w:ascii="仿宋" w:hAnsi="仿宋" w:eastAsia="仿宋"/>
          <w:sz w:val="24"/>
          <w:u w:val="none"/>
        </w:rPr>
        <w:tab/>
      </w:r>
    </w:p>
    <w:p>
      <w:pPr>
        <w:pStyle w:val="12"/>
        <w:adjustRightInd w:val="0"/>
        <w:snapToGrid w:val="0"/>
        <w:spacing w:line="440" w:lineRule="exact"/>
        <w:jc w:val="left"/>
        <w:rPr>
          <w:rFonts w:ascii="仿宋" w:hAnsi="仿宋" w:eastAsia="仿宋"/>
          <w:sz w:val="24"/>
          <w:u w:val="none"/>
        </w:rPr>
      </w:pPr>
      <w:r>
        <w:rPr>
          <w:rFonts w:hint="eastAsia" w:ascii="仿宋" w:hAnsi="仿宋" w:eastAsia="仿宋"/>
          <w:sz w:val="24"/>
          <w:u w:val="none"/>
        </w:rPr>
        <w:t>（二）表1-1单位</w:t>
      </w:r>
      <w:r>
        <w:rPr>
          <w:rFonts w:hint="eastAsia"/>
          <w:sz w:val="24"/>
          <w:u w:val="none"/>
        </w:rPr>
        <w:t>收入</w:t>
      </w:r>
      <w:r>
        <w:rPr>
          <w:rFonts w:hint="eastAsia" w:ascii="仿宋" w:hAnsi="仿宋" w:eastAsia="仿宋"/>
          <w:sz w:val="24"/>
          <w:u w:val="none"/>
        </w:rPr>
        <w:t>总</w:t>
      </w:r>
      <w:r>
        <w:rPr>
          <w:rFonts w:hint="eastAsia"/>
          <w:sz w:val="24"/>
          <w:u w:val="none"/>
        </w:rPr>
        <w:t>表</w:t>
      </w:r>
      <w:r>
        <w:rPr>
          <w:rFonts w:ascii="仿宋" w:hAnsi="仿宋" w:eastAsia="仿宋"/>
          <w:sz w:val="24"/>
          <w:u w:val="none"/>
        </w:rPr>
        <w:tab/>
      </w:r>
    </w:p>
    <w:p>
      <w:pPr>
        <w:pStyle w:val="12"/>
        <w:adjustRightInd w:val="0"/>
        <w:snapToGrid w:val="0"/>
        <w:spacing w:line="440" w:lineRule="exact"/>
        <w:jc w:val="left"/>
        <w:rPr>
          <w:rFonts w:ascii="仿宋" w:hAnsi="仿宋" w:eastAsia="仿宋"/>
          <w:sz w:val="24"/>
          <w:u w:val="none"/>
        </w:rPr>
      </w:pPr>
      <w:r>
        <w:rPr>
          <w:rFonts w:hint="eastAsia" w:ascii="仿宋" w:hAnsi="仿宋" w:eastAsia="仿宋"/>
          <w:sz w:val="24"/>
          <w:u w:val="none"/>
        </w:rPr>
        <w:t>（三）表1-2单位</w:t>
      </w:r>
      <w:r>
        <w:rPr>
          <w:rFonts w:hint="eastAsia"/>
          <w:sz w:val="24"/>
          <w:u w:val="none"/>
        </w:rPr>
        <w:t>支出</w:t>
      </w:r>
      <w:r>
        <w:rPr>
          <w:rFonts w:hint="eastAsia" w:ascii="仿宋" w:hAnsi="仿宋" w:eastAsia="仿宋"/>
          <w:sz w:val="24"/>
          <w:u w:val="none"/>
        </w:rPr>
        <w:t>总</w:t>
      </w:r>
      <w:r>
        <w:rPr>
          <w:rFonts w:hint="eastAsia"/>
          <w:sz w:val="24"/>
          <w:u w:val="none"/>
        </w:rPr>
        <w:t>表</w:t>
      </w:r>
      <w:r>
        <w:rPr>
          <w:rFonts w:ascii="仿宋" w:hAnsi="仿宋" w:eastAsia="仿宋"/>
          <w:sz w:val="24"/>
          <w:u w:val="none"/>
        </w:rPr>
        <w:tab/>
      </w:r>
    </w:p>
    <w:p>
      <w:pPr>
        <w:pStyle w:val="12"/>
        <w:adjustRightInd w:val="0"/>
        <w:snapToGrid w:val="0"/>
        <w:spacing w:line="440" w:lineRule="exact"/>
        <w:jc w:val="left"/>
        <w:rPr>
          <w:rFonts w:ascii="仿宋" w:hAnsi="仿宋" w:eastAsia="仿宋"/>
          <w:sz w:val="24"/>
          <w:u w:val="none"/>
        </w:rPr>
      </w:pPr>
      <w:r>
        <w:rPr>
          <w:rFonts w:hint="eastAsia" w:ascii="仿宋" w:hAnsi="仿宋" w:eastAsia="仿宋"/>
          <w:sz w:val="24"/>
          <w:u w:val="none"/>
        </w:rPr>
        <w:t>（四）表2财政拨款收支预算总表</w:t>
      </w:r>
    </w:p>
    <w:p>
      <w:pPr>
        <w:pStyle w:val="12"/>
        <w:adjustRightInd w:val="0"/>
        <w:snapToGrid w:val="0"/>
        <w:spacing w:line="440" w:lineRule="exact"/>
        <w:jc w:val="left"/>
        <w:rPr>
          <w:rFonts w:ascii="仿宋" w:hAnsi="仿宋" w:eastAsia="仿宋"/>
          <w:sz w:val="24"/>
          <w:u w:val="none"/>
        </w:rPr>
      </w:pPr>
      <w:r>
        <w:rPr>
          <w:rFonts w:hint="eastAsia"/>
          <w:sz w:val="24"/>
          <w:u w:val="none"/>
        </w:rPr>
        <w:t>（五）</w:t>
      </w:r>
      <w:r>
        <w:rPr>
          <w:rFonts w:hint="eastAsia" w:ascii="仿宋" w:hAnsi="仿宋" w:eastAsia="仿宋"/>
          <w:sz w:val="24"/>
          <w:u w:val="none"/>
        </w:rPr>
        <w:t>表2-1</w:t>
      </w:r>
      <w:r>
        <w:rPr>
          <w:rFonts w:hint="eastAsia"/>
          <w:sz w:val="24"/>
          <w:u w:val="none"/>
        </w:rPr>
        <w:t>财政拨款支出预算表（部门经济分类科目）</w:t>
      </w:r>
      <w:r>
        <w:rPr>
          <w:rFonts w:ascii="仿宋" w:hAnsi="仿宋" w:eastAsia="仿宋"/>
          <w:sz w:val="24"/>
          <w:u w:val="none"/>
        </w:rPr>
        <w:tab/>
      </w:r>
    </w:p>
    <w:p>
      <w:pPr>
        <w:pStyle w:val="12"/>
        <w:adjustRightInd w:val="0"/>
        <w:snapToGrid w:val="0"/>
        <w:spacing w:line="440" w:lineRule="exact"/>
        <w:jc w:val="left"/>
        <w:rPr>
          <w:rFonts w:ascii="仿宋" w:hAnsi="仿宋" w:eastAsia="仿宋"/>
          <w:sz w:val="24"/>
          <w:u w:val="none"/>
        </w:rPr>
      </w:pPr>
      <w:r>
        <w:rPr>
          <w:rFonts w:hint="eastAsia"/>
          <w:sz w:val="24"/>
          <w:u w:val="none"/>
        </w:rPr>
        <w:t>（六）表3-1一般公共预算基本支出预算表</w:t>
      </w:r>
      <w:r>
        <w:rPr>
          <w:rFonts w:ascii="仿宋" w:hAnsi="仿宋" w:eastAsia="仿宋"/>
          <w:sz w:val="24"/>
          <w:u w:val="none"/>
        </w:rPr>
        <w:tab/>
      </w:r>
    </w:p>
    <w:p>
      <w:pPr>
        <w:pStyle w:val="12"/>
        <w:adjustRightInd w:val="0"/>
        <w:snapToGrid w:val="0"/>
        <w:spacing w:line="440" w:lineRule="exact"/>
        <w:jc w:val="left"/>
        <w:rPr>
          <w:rFonts w:ascii="仿宋" w:hAnsi="仿宋" w:eastAsia="仿宋"/>
          <w:sz w:val="24"/>
          <w:u w:val="none"/>
        </w:rPr>
      </w:pPr>
      <w:r>
        <w:rPr>
          <w:rFonts w:hint="eastAsia" w:ascii="仿宋" w:hAnsi="仿宋" w:eastAsia="仿宋"/>
          <w:sz w:val="24"/>
          <w:u w:val="none"/>
        </w:rPr>
        <w:t>（七）表3-2</w:t>
      </w:r>
      <w:r>
        <w:rPr>
          <w:rFonts w:hint="eastAsia"/>
          <w:sz w:val="24"/>
          <w:u w:val="none"/>
        </w:rPr>
        <w:t>一般公共预算项目支出预算表</w:t>
      </w:r>
      <w:r>
        <w:rPr>
          <w:rFonts w:ascii="仿宋" w:hAnsi="仿宋" w:eastAsia="仿宋"/>
          <w:sz w:val="24"/>
          <w:u w:val="none"/>
        </w:rPr>
        <w:tab/>
      </w:r>
    </w:p>
    <w:p>
      <w:pPr>
        <w:pStyle w:val="12"/>
        <w:adjustRightInd w:val="0"/>
        <w:snapToGrid w:val="0"/>
        <w:spacing w:line="440" w:lineRule="exact"/>
        <w:jc w:val="left"/>
        <w:rPr>
          <w:rFonts w:ascii="仿宋" w:hAnsi="仿宋" w:eastAsia="仿宋"/>
          <w:sz w:val="24"/>
          <w:u w:val="none"/>
        </w:rPr>
      </w:pPr>
      <w:r>
        <w:rPr>
          <w:rFonts w:hint="eastAsia" w:ascii="仿宋" w:hAnsi="仿宋" w:eastAsia="仿宋"/>
          <w:sz w:val="24"/>
          <w:u w:val="none"/>
        </w:rPr>
        <w:t>（八）表3-3</w:t>
      </w:r>
      <w:r>
        <w:rPr>
          <w:rFonts w:hint="eastAsia"/>
          <w:sz w:val="24"/>
          <w:u w:val="none"/>
        </w:rPr>
        <w:t>一般公共预算“三公”经费支出预算表</w:t>
      </w:r>
      <w:r>
        <w:rPr>
          <w:rFonts w:ascii="仿宋" w:hAnsi="仿宋" w:eastAsia="仿宋"/>
          <w:sz w:val="24"/>
          <w:u w:val="none"/>
        </w:rPr>
        <w:tab/>
      </w:r>
    </w:p>
    <w:p>
      <w:pPr>
        <w:pStyle w:val="12"/>
        <w:adjustRightInd w:val="0"/>
        <w:snapToGrid w:val="0"/>
        <w:spacing w:line="440" w:lineRule="exact"/>
        <w:jc w:val="left"/>
        <w:rPr>
          <w:rFonts w:ascii="仿宋" w:hAnsi="仿宋" w:eastAsia="仿宋"/>
          <w:sz w:val="24"/>
          <w:u w:val="none"/>
        </w:rPr>
      </w:pPr>
      <w:r>
        <w:rPr>
          <w:rFonts w:hint="eastAsia" w:ascii="仿宋" w:hAnsi="仿宋" w:eastAsia="仿宋"/>
          <w:sz w:val="24"/>
          <w:u w:val="none"/>
        </w:rPr>
        <w:t>（九）表4</w:t>
      </w:r>
      <w:r>
        <w:rPr>
          <w:rFonts w:hint="eastAsia"/>
          <w:sz w:val="24"/>
          <w:u w:val="none"/>
        </w:rPr>
        <w:t>政府性基金支出预算表</w:t>
      </w:r>
      <w:r>
        <w:rPr>
          <w:rFonts w:ascii="仿宋" w:hAnsi="仿宋" w:eastAsia="仿宋"/>
          <w:sz w:val="24"/>
          <w:u w:val="none"/>
        </w:rPr>
        <w:tab/>
      </w:r>
    </w:p>
    <w:p>
      <w:pPr>
        <w:pStyle w:val="12"/>
        <w:adjustRightInd w:val="0"/>
        <w:snapToGrid w:val="0"/>
        <w:spacing w:line="440" w:lineRule="exact"/>
        <w:jc w:val="left"/>
        <w:rPr>
          <w:rFonts w:ascii="仿宋" w:hAnsi="仿宋" w:eastAsia="仿宋"/>
          <w:sz w:val="24"/>
          <w:u w:val="none"/>
        </w:rPr>
      </w:pPr>
      <w:r>
        <w:rPr>
          <w:rFonts w:hint="eastAsia" w:ascii="仿宋" w:hAnsi="仿宋" w:eastAsia="仿宋"/>
          <w:sz w:val="24"/>
          <w:u w:val="none"/>
        </w:rPr>
        <w:t>（十）表4-1</w:t>
      </w:r>
      <w:r>
        <w:rPr>
          <w:rFonts w:hint="eastAsia"/>
          <w:sz w:val="24"/>
          <w:u w:val="none"/>
        </w:rPr>
        <w:t>政府性基金预算“三公”经费支出预算表</w:t>
      </w:r>
      <w:r>
        <w:rPr>
          <w:rFonts w:ascii="仿宋" w:hAnsi="仿宋" w:eastAsia="仿宋"/>
          <w:sz w:val="24"/>
          <w:u w:val="none"/>
        </w:rPr>
        <w:tab/>
      </w:r>
    </w:p>
    <w:p>
      <w:pPr>
        <w:pStyle w:val="12"/>
        <w:adjustRightInd w:val="0"/>
        <w:snapToGrid w:val="0"/>
        <w:spacing w:line="440" w:lineRule="exact"/>
        <w:jc w:val="left"/>
        <w:rPr>
          <w:rFonts w:ascii="仿宋" w:hAnsi="仿宋" w:eastAsia="仿宋"/>
          <w:sz w:val="24"/>
          <w:u w:val="none"/>
        </w:rPr>
      </w:pPr>
      <w:r>
        <w:rPr>
          <w:rFonts w:hint="eastAsia" w:ascii="仿宋" w:hAnsi="仿宋" w:eastAsia="仿宋"/>
          <w:sz w:val="24"/>
          <w:u w:val="none"/>
        </w:rPr>
        <w:t>（十一）表5</w:t>
      </w:r>
      <w:r>
        <w:rPr>
          <w:rFonts w:hint="eastAsia"/>
          <w:sz w:val="24"/>
          <w:u w:val="none"/>
        </w:rPr>
        <w:t>国有资本经营预算支出预算表</w:t>
      </w:r>
      <w:r>
        <w:rPr>
          <w:rFonts w:ascii="仿宋" w:hAnsi="仿宋" w:eastAsia="仿宋"/>
          <w:sz w:val="24"/>
          <w:u w:val="none"/>
        </w:rPr>
        <w:tab/>
      </w:r>
    </w:p>
    <w:p>
      <w:pPr>
        <w:pStyle w:val="12"/>
        <w:adjustRightInd w:val="0"/>
        <w:snapToGrid w:val="0"/>
        <w:spacing w:line="440" w:lineRule="exact"/>
        <w:jc w:val="left"/>
        <w:rPr>
          <w:rFonts w:ascii="仿宋" w:hAnsi="仿宋" w:eastAsia="仿宋"/>
          <w:sz w:val="24"/>
          <w:u w:val="none"/>
        </w:rPr>
      </w:pPr>
      <w:r>
        <w:rPr>
          <w:rFonts w:hint="eastAsia" w:ascii="仿宋" w:hAnsi="仿宋" w:eastAsia="仿宋"/>
          <w:sz w:val="24"/>
          <w:u w:val="none"/>
        </w:rPr>
        <w:t>（十二）表6-1</w:t>
      </w:r>
      <w:r>
        <w:rPr>
          <w:rFonts w:hint="eastAsia"/>
          <w:sz w:val="24"/>
          <w:u w:val="none"/>
        </w:rPr>
        <w:t>部门（单位）预算项目支出绩效目标表</w:t>
      </w:r>
      <w:r>
        <w:rPr>
          <w:rFonts w:ascii="仿宋" w:hAnsi="仿宋" w:eastAsia="仿宋"/>
          <w:sz w:val="24"/>
          <w:u w:val="none"/>
        </w:rPr>
        <w:tab/>
      </w:r>
    </w:p>
    <w:p>
      <w:pPr>
        <w:pStyle w:val="12"/>
        <w:tabs>
          <w:tab w:val="right" w:leader="dot" w:pos="8306"/>
          <w:tab w:val="clear" w:pos="8296"/>
        </w:tabs>
        <w:adjustRightInd w:val="0"/>
        <w:snapToGrid w:val="0"/>
        <w:spacing w:line="440" w:lineRule="exact"/>
        <w:jc w:val="left"/>
        <w:rPr>
          <w:rFonts w:ascii="仿宋" w:hAnsi="仿宋" w:eastAsia="仿宋"/>
          <w:sz w:val="24"/>
          <w:u w:val="none"/>
        </w:rPr>
      </w:pPr>
      <w:r>
        <w:rPr>
          <w:rFonts w:hint="eastAsia" w:ascii="仿宋" w:hAnsi="仿宋" w:eastAsia="仿宋"/>
          <w:sz w:val="24"/>
          <w:u w:val="none"/>
        </w:rPr>
        <w:t>（十三）表6-2</w:t>
      </w:r>
      <w:r>
        <w:rPr>
          <w:rFonts w:hint="eastAsia"/>
          <w:sz w:val="24"/>
          <w:u w:val="none"/>
        </w:rPr>
        <w:t>部门（单位）预算项目支出绩效目标表</w:t>
      </w:r>
      <w:r>
        <w:rPr>
          <w:rFonts w:ascii="仿宋" w:hAnsi="仿宋" w:eastAsia="仿宋"/>
          <w:sz w:val="24"/>
          <w:u w:val="none"/>
        </w:rPr>
        <w:tab/>
      </w:r>
    </w:p>
    <w:p>
      <w:pPr>
        <w:pStyle w:val="12"/>
        <w:adjustRightInd w:val="0"/>
        <w:snapToGrid w:val="0"/>
        <w:spacing w:line="440" w:lineRule="exact"/>
        <w:jc w:val="left"/>
        <w:rPr>
          <w:sz w:val="24"/>
          <w:u w:val="none"/>
        </w:rPr>
      </w:pPr>
      <w:r>
        <w:rPr>
          <w:rFonts w:hint="eastAsia"/>
          <w:sz w:val="24"/>
          <w:u w:val="none"/>
        </w:rPr>
        <w:t xml:space="preserve"> </w:t>
      </w:r>
      <w:r>
        <w:rPr>
          <w:rFonts w:hint="eastAsia"/>
          <w:sz w:val="24"/>
          <w:u w:val="none"/>
        </w:rPr>
        <w:tab/>
      </w:r>
    </w:p>
    <w:p>
      <w:pPr>
        <w:widowControl/>
        <w:spacing w:line="440" w:lineRule="exact"/>
        <w:jc w:val="left"/>
        <w:rPr>
          <w:rFonts w:ascii="仿宋" w:hAnsi="仿宋" w:eastAsia="仿宋"/>
          <w:bCs/>
          <w:kern w:val="44"/>
          <w:sz w:val="24"/>
          <w:u w:val="none"/>
        </w:rPr>
      </w:pPr>
      <w:bookmarkStart w:id="11" w:name="_Toc15377196"/>
      <w:bookmarkStart w:id="12" w:name="_Toc15396599"/>
      <w:r>
        <w:rPr>
          <w:rFonts w:ascii="仿宋" w:hAnsi="仿宋" w:eastAsia="仿宋"/>
          <w:b/>
          <w:sz w:val="24"/>
          <w:u w:val="none"/>
        </w:rPr>
        <w:br w:type="page"/>
      </w:r>
    </w:p>
    <w:p>
      <w:pPr>
        <w:pStyle w:val="2"/>
        <w:jc w:val="center"/>
        <w:rPr>
          <w:rStyle w:val="19"/>
          <w:rFonts w:ascii="黑体" w:hAnsi="黑体" w:eastAsia="黑体"/>
          <w:b w:val="0"/>
          <w:bCs w:val="0"/>
          <w:u w:val="none"/>
        </w:rPr>
      </w:pPr>
      <w:r>
        <w:rPr>
          <w:rFonts w:hint="eastAsia" w:ascii="黑体" w:hAnsi="黑体" w:eastAsia="黑体"/>
          <w:b w:val="0"/>
          <w:u w:val="none"/>
        </w:rPr>
        <w:t>第一部分</w:t>
      </w:r>
      <w:bookmarkEnd w:id="11"/>
      <w:bookmarkEnd w:id="12"/>
      <w:r>
        <w:rPr>
          <w:rStyle w:val="19"/>
          <w:rFonts w:hint="eastAsia" w:ascii="黑体" w:hAnsi="黑体" w:eastAsia="黑体"/>
          <w:b w:val="0"/>
          <w:bCs w:val="0"/>
          <w:u w:val="none"/>
        </w:rPr>
        <w:t>部门概况</w:t>
      </w:r>
    </w:p>
    <w:p>
      <w:pPr>
        <w:widowControl/>
        <w:jc w:val="left"/>
        <w:rPr>
          <w:rFonts w:ascii="黑体" w:eastAsia="黑体"/>
          <w:color w:val="000000"/>
          <w:sz w:val="32"/>
          <w:szCs w:val="32"/>
          <w:u w:val="none"/>
        </w:rPr>
      </w:pPr>
    </w:p>
    <w:p>
      <w:pPr>
        <w:spacing w:line="600" w:lineRule="exact"/>
        <w:jc w:val="center"/>
        <w:rPr>
          <w:rFonts w:ascii="方正小标宋简体" w:hAnsi="宋体" w:eastAsia="方正小标宋简体"/>
          <w:sz w:val="44"/>
          <w:szCs w:val="44"/>
          <w:u w:val="none"/>
        </w:rPr>
      </w:pPr>
      <w:bookmarkStart w:id="13" w:name="_Toc15396602"/>
      <w:bookmarkStart w:id="14" w:name="_Toc15377204"/>
      <w:r>
        <w:rPr>
          <w:rFonts w:hint="eastAsia" w:ascii="方正小标宋简体" w:hAnsi="宋体" w:eastAsia="方正小标宋简体"/>
          <w:sz w:val="44"/>
          <w:szCs w:val="44"/>
          <w:u w:val="none"/>
        </w:rPr>
        <w:t>攀枝花市救助站2021年</w:t>
      </w:r>
    </w:p>
    <w:p>
      <w:pPr>
        <w:spacing w:line="600" w:lineRule="exact"/>
        <w:jc w:val="center"/>
        <w:rPr>
          <w:rFonts w:ascii="方正小标宋简体" w:hAnsi="宋体" w:eastAsia="方正小标宋简体"/>
          <w:sz w:val="44"/>
          <w:szCs w:val="44"/>
          <w:u w:val="none"/>
        </w:rPr>
      </w:pPr>
      <w:r>
        <w:rPr>
          <w:rFonts w:hint="eastAsia" w:ascii="方正小标宋简体" w:hAnsi="宋体" w:eastAsia="方正小标宋简体"/>
          <w:sz w:val="44"/>
          <w:szCs w:val="44"/>
          <w:u w:val="none"/>
        </w:rPr>
        <w:t xml:space="preserve">部门预算编制说明 </w:t>
      </w:r>
    </w:p>
    <w:p>
      <w:pPr>
        <w:pStyle w:val="5"/>
        <w:adjustRightInd w:val="0"/>
        <w:spacing w:beforeLines="0" w:line="600" w:lineRule="exact"/>
        <w:rPr>
          <w:rFonts w:ascii="宋体" w:hAnsi="宋体" w:eastAsia="宋体"/>
          <w:b/>
          <w:sz w:val="32"/>
          <w:u w:val="none"/>
        </w:rPr>
      </w:pPr>
      <w:r>
        <w:rPr>
          <w:rFonts w:hint="eastAsia" w:ascii="宋体" w:hAnsi="宋体" w:eastAsia="宋体"/>
          <w:b/>
          <w:sz w:val="32"/>
          <w:u w:val="none"/>
        </w:rPr>
        <w:t xml:space="preserve">    </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一、基本职能及主要工作</w:t>
      </w:r>
    </w:p>
    <w:p>
      <w:pPr>
        <w:spacing w:line="600" w:lineRule="exact"/>
        <w:ind w:firstLine="643" w:firstLineChars="200"/>
        <w:rPr>
          <w:rFonts w:ascii="仿宋_GB2312" w:eastAsia="仿宋_GB2312"/>
          <w:sz w:val="32"/>
          <w:szCs w:val="32"/>
          <w:u w:val="none"/>
        </w:rPr>
      </w:pPr>
      <w:r>
        <w:rPr>
          <w:rFonts w:hint="eastAsia" w:ascii="仿宋_GB2312" w:eastAsia="仿宋_GB2312"/>
          <w:b/>
          <w:sz w:val="32"/>
          <w:szCs w:val="32"/>
          <w:u w:val="none"/>
        </w:rPr>
        <w:t>（一）</w:t>
      </w:r>
      <w:r>
        <w:rPr>
          <w:rFonts w:hint="eastAsia" w:ascii="仿宋_GB2312" w:eastAsia="仿宋_GB2312"/>
          <w:sz w:val="32"/>
          <w:szCs w:val="32"/>
          <w:u w:val="none"/>
        </w:rPr>
        <w:t>我站为市民政局下属全额拨款公益一类事业单位，机构编制数19人，其中管理岗位11个，专业技术岗位5个，工勤技能岗位3个。年末在编人员18人 ，退休人员13人</w:t>
      </w:r>
      <w:r>
        <w:rPr>
          <w:rFonts w:hint="eastAsia" w:ascii="仿宋_GB2312" w:eastAsia="仿宋_GB2312"/>
          <w:sz w:val="32"/>
          <w:szCs w:val="32"/>
          <w:u w:val="none"/>
          <w:lang w:val="zh-CN"/>
        </w:rPr>
        <w:t>。</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lang w:val="zh-CN"/>
        </w:rPr>
        <w:t>主要职能。攀枝花市救助站是民政局下属全额拨款事业单位，全面贯彻落实《城市生活无着的流浪乞讨人员救助管理办法》、《国务院办公厅关于加强和改进流浪未成年人救助保护工作的意见》等政策和文件要求，为生活无着流浪乞讨人员提供临时食宿、监护照料、急病救治、接领护送、返乡、跨省中转、寻亲服务、教育娇治、未成年人保护等工作，规范实施临时救助政策，实现及时高效，救急解难，切实做好我市救助人员救助保护工作。</w:t>
      </w:r>
    </w:p>
    <w:p>
      <w:pPr>
        <w:pStyle w:val="5"/>
        <w:adjustRightInd w:val="0"/>
        <w:spacing w:beforeLines="0" w:line="600" w:lineRule="exact"/>
        <w:ind w:firstLine="675" w:firstLineChars="210"/>
        <w:rPr>
          <w:bCs/>
          <w:sz w:val="32"/>
          <w:u w:val="none"/>
        </w:rPr>
      </w:pPr>
      <w:r>
        <w:rPr>
          <w:rFonts w:hint="eastAsia" w:ascii="楷体_GB2312" w:eastAsia="楷体_GB2312"/>
          <w:b/>
          <w:sz w:val="32"/>
          <w:u w:val="none"/>
        </w:rPr>
        <w:t>（二）市救助站2021年重点工作。</w:t>
      </w:r>
    </w:p>
    <w:p>
      <w:pPr>
        <w:spacing w:line="500" w:lineRule="exact"/>
        <w:ind w:firstLine="640" w:firstLineChars="200"/>
        <w:rPr>
          <w:rFonts w:ascii="仿宋_GB2312" w:eastAsia="仿宋_GB2312"/>
          <w:sz w:val="32"/>
          <w:szCs w:val="32"/>
          <w:u w:val="none"/>
          <w:lang w:val="zh-CN"/>
        </w:rPr>
      </w:pPr>
      <w:r>
        <w:rPr>
          <w:rFonts w:hint="eastAsia" w:ascii="仿宋_GB2312" w:eastAsia="仿宋_GB2312"/>
          <w:sz w:val="32"/>
          <w:szCs w:val="32"/>
          <w:u w:val="none"/>
          <w:lang w:val="zh-CN"/>
        </w:rPr>
        <w:t>2021年，救助管理和救助保护工作以习近平新时代中国特色社会主义思想为指导，全面贯彻党的十九大和十九届二中、三中、四中、五中全会精神，贯彻落实省委十一届八次全会精神及市委十届十次全会精神，坚持以人民为中心，立足新发展阶段，贯彻新发展理念，构建新发展格局，自觉践行“民政为民、民政爱民”工作理念，统筹常态化疫情防控和救助工作，为“十四五”开好头、起好步。</w:t>
      </w:r>
    </w:p>
    <w:p>
      <w:pPr>
        <w:spacing w:line="500" w:lineRule="exact"/>
        <w:ind w:firstLine="420" w:firstLineChars="200"/>
        <w:rPr>
          <w:u w:val="none"/>
          <w:lang w:val="zh-CN"/>
        </w:rPr>
      </w:pPr>
      <w:r>
        <w:rPr>
          <w:rFonts w:hint="eastAsia"/>
          <w:u w:val="none"/>
          <w:lang w:val="zh-CN"/>
        </w:rPr>
        <w:t>一、坚定不移推进从严治党</w:t>
      </w:r>
    </w:p>
    <w:p>
      <w:pPr>
        <w:spacing w:line="500" w:lineRule="exact"/>
        <w:ind w:firstLine="640" w:firstLineChars="200"/>
        <w:rPr>
          <w:rFonts w:ascii="仿宋_GB2312" w:eastAsia="仿宋_GB2312"/>
          <w:sz w:val="32"/>
          <w:szCs w:val="32"/>
          <w:u w:val="none"/>
          <w:lang w:val="zh-CN"/>
        </w:rPr>
      </w:pPr>
      <w:r>
        <w:rPr>
          <w:rFonts w:hint="eastAsia" w:ascii="仿宋_GB2312" w:eastAsia="仿宋_GB2312"/>
          <w:sz w:val="32"/>
          <w:szCs w:val="32"/>
          <w:u w:val="none"/>
          <w:lang w:val="zh-CN"/>
        </w:rPr>
        <w:t>（一）深入开展党史学习教育。联系救助工作实际、突出特色、务求实效，以好的学风开展党史学习教育，抓好专题学习、专题党课、专题民主生活会、专题培训。1. 树立正确的党史观。坚持以我们党关于历史问题的两个决议和党中央有关精神为依据，准确把握党的历史发展的主题主线、主流本质，正确认识和科学评价党史上的重大事件、重要会议、重要人物。2. 要切实为群众办实事解难题。要把学习党史同总结经验、观照现实、推动工作结合起来，同解决实际问题结合起来，开展好“我为群众办实事”实践活动，把学习成效转化为工作动力和成效，防止学习和工作“两张皮”。3. 要注重方式方法创新。要发扬马克思主义优良学风，明确学习要求、学习任务，推进内容、形式、方法的创新，不断增强针对性和实效性。</w:t>
      </w:r>
    </w:p>
    <w:p>
      <w:pPr>
        <w:spacing w:line="500" w:lineRule="exact"/>
        <w:ind w:firstLine="640" w:firstLineChars="200"/>
        <w:rPr>
          <w:rFonts w:ascii="仿宋_GB2312" w:eastAsia="仿宋_GB2312"/>
          <w:sz w:val="32"/>
          <w:szCs w:val="32"/>
          <w:u w:val="none"/>
          <w:lang w:val="zh-CN"/>
        </w:rPr>
      </w:pPr>
      <w:r>
        <w:rPr>
          <w:rFonts w:hint="eastAsia" w:ascii="仿宋_GB2312" w:eastAsia="仿宋_GB2312"/>
          <w:sz w:val="32"/>
          <w:szCs w:val="32"/>
          <w:u w:val="none"/>
          <w:lang w:val="zh-CN"/>
        </w:rPr>
        <w:t>（二）庆祝建党100周年活动。按照上级党组织安排部署，组织党员职工积极参加庆祝纪念活动，做好组织、动员相关工作。</w:t>
      </w:r>
    </w:p>
    <w:p>
      <w:pPr>
        <w:spacing w:line="500" w:lineRule="exact"/>
        <w:ind w:firstLine="640" w:firstLineChars="200"/>
        <w:rPr>
          <w:rFonts w:ascii="仿宋_GB2312" w:eastAsia="仿宋_GB2312"/>
          <w:sz w:val="32"/>
          <w:szCs w:val="32"/>
          <w:u w:val="none"/>
          <w:lang w:val="zh-CN"/>
        </w:rPr>
      </w:pPr>
      <w:r>
        <w:rPr>
          <w:rFonts w:hint="eastAsia" w:ascii="仿宋_GB2312" w:eastAsia="仿宋_GB2312"/>
          <w:sz w:val="32"/>
          <w:szCs w:val="32"/>
          <w:u w:val="none"/>
          <w:lang w:val="zh-CN"/>
        </w:rPr>
        <w:t>（三）争创“五好”党支部。积极发挥班子作用，严格落实党的各项制度，建设党员队伍，服务中心工作，做好廉洁自律。</w:t>
      </w:r>
    </w:p>
    <w:p>
      <w:pPr>
        <w:spacing w:line="500" w:lineRule="exact"/>
        <w:ind w:firstLine="640" w:firstLineChars="200"/>
        <w:rPr>
          <w:rFonts w:ascii="仿宋_GB2312" w:eastAsia="仿宋_GB2312"/>
          <w:sz w:val="32"/>
          <w:szCs w:val="32"/>
          <w:u w:val="none"/>
          <w:lang w:val="zh-CN"/>
        </w:rPr>
      </w:pPr>
      <w:r>
        <w:rPr>
          <w:rFonts w:hint="eastAsia" w:ascii="仿宋_GB2312" w:eastAsia="仿宋_GB2312"/>
          <w:sz w:val="32"/>
          <w:szCs w:val="32"/>
          <w:u w:val="none"/>
          <w:lang w:val="zh-CN"/>
        </w:rPr>
        <w:t>（四）打造支部品牌创建。按照上级部署，抓好支部党建品牌创建工作，立足救助工作实际，打造街面巡查劝导和助力寻亲子品牌。</w:t>
      </w:r>
    </w:p>
    <w:p>
      <w:pPr>
        <w:spacing w:line="500" w:lineRule="exact"/>
        <w:ind w:firstLine="640" w:firstLineChars="200"/>
        <w:rPr>
          <w:rFonts w:ascii="仿宋_GB2312" w:eastAsia="仿宋_GB2312"/>
          <w:sz w:val="32"/>
          <w:szCs w:val="32"/>
          <w:u w:val="none"/>
          <w:lang w:val="zh-CN"/>
        </w:rPr>
      </w:pPr>
      <w:r>
        <w:rPr>
          <w:rFonts w:hint="eastAsia" w:ascii="仿宋_GB2312" w:eastAsia="仿宋_GB2312"/>
          <w:sz w:val="32"/>
          <w:szCs w:val="32"/>
          <w:u w:val="none"/>
          <w:lang w:val="zh-CN"/>
        </w:rPr>
        <w:t>（五）持之以恒推进党风廉政建设和反腐败。开展好警示教育相关活动，组织干部职工观看警示教育片、参观警示教育基地，做好节日廉洁提醒。</w:t>
      </w:r>
    </w:p>
    <w:p>
      <w:pPr>
        <w:spacing w:line="500" w:lineRule="exact"/>
        <w:ind w:firstLine="640" w:firstLineChars="200"/>
        <w:rPr>
          <w:rFonts w:ascii="仿宋_GB2312" w:eastAsia="仿宋_GB2312"/>
          <w:sz w:val="32"/>
          <w:szCs w:val="32"/>
          <w:u w:val="none"/>
          <w:lang w:val="zh-CN"/>
        </w:rPr>
      </w:pPr>
      <w:r>
        <w:rPr>
          <w:rFonts w:hint="eastAsia" w:ascii="仿宋_GB2312" w:eastAsia="仿宋_GB2312"/>
          <w:sz w:val="32"/>
          <w:szCs w:val="32"/>
          <w:u w:val="none"/>
          <w:lang w:val="zh-CN"/>
        </w:rPr>
        <w:t>二、强化疫情常态化防控</w:t>
      </w:r>
    </w:p>
    <w:p>
      <w:pPr>
        <w:spacing w:line="500" w:lineRule="exact"/>
        <w:ind w:firstLine="640" w:firstLineChars="200"/>
        <w:rPr>
          <w:rFonts w:ascii="仿宋_GB2312" w:eastAsia="仿宋_GB2312"/>
          <w:sz w:val="32"/>
          <w:szCs w:val="32"/>
          <w:u w:val="none"/>
          <w:lang w:val="zh-CN"/>
        </w:rPr>
      </w:pPr>
      <w:r>
        <w:rPr>
          <w:rFonts w:hint="eastAsia" w:ascii="仿宋_GB2312" w:eastAsia="仿宋_GB2312"/>
          <w:sz w:val="32"/>
          <w:szCs w:val="32"/>
          <w:u w:val="none"/>
          <w:lang w:val="zh-CN"/>
        </w:rPr>
        <w:t>（一）盘点储备的防控物资，积极补充库存，确保至少够3个月使用的防控物资存量。同时按时清点、使用快过期库存，避免浪费。</w:t>
      </w:r>
    </w:p>
    <w:p>
      <w:pPr>
        <w:spacing w:line="500" w:lineRule="exact"/>
        <w:ind w:firstLine="640" w:firstLineChars="200"/>
        <w:rPr>
          <w:rFonts w:ascii="仿宋_GB2312" w:eastAsia="仿宋_GB2312"/>
          <w:sz w:val="32"/>
          <w:szCs w:val="32"/>
          <w:u w:val="none"/>
          <w:lang w:val="zh-CN"/>
        </w:rPr>
      </w:pPr>
      <w:r>
        <w:rPr>
          <w:rFonts w:hint="eastAsia" w:ascii="仿宋_GB2312" w:eastAsia="仿宋_GB2312"/>
          <w:sz w:val="32"/>
          <w:szCs w:val="32"/>
          <w:u w:val="none"/>
          <w:lang w:val="zh-CN"/>
        </w:rPr>
        <w:t>（二）开展经常性防控宣传培训。每季度开展一次疫情防控培训，每半年开展一次防控演练。</w:t>
      </w:r>
    </w:p>
    <w:p>
      <w:pPr>
        <w:spacing w:line="500" w:lineRule="exact"/>
        <w:ind w:firstLine="640" w:firstLineChars="200"/>
        <w:rPr>
          <w:rFonts w:ascii="仿宋_GB2312" w:eastAsia="仿宋_GB2312"/>
          <w:sz w:val="32"/>
          <w:szCs w:val="32"/>
          <w:u w:val="none"/>
          <w:lang w:val="zh-CN"/>
        </w:rPr>
      </w:pPr>
      <w:r>
        <w:rPr>
          <w:rFonts w:hint="eastAsia" w:ascii="仿宋_GB2312" w:eastAsia="仿宋_GB2312"/>
          <w:sz w:val="32"/>
          <w:szCs w:val="32"/>
          <w:u w:val="none"/>
          <w:lang w:val="zh-CN"/>
        </w:rPr>
        <w:t>（三）不断完善救助流程和疫情常态化防控流程。开展经常性排查检查，发现问题及时整改。</w:t>
      </w:r>
    </w:p>
    <w:p>
      <w:pPr>
        <w:spacing w:line="500" w:lineRule="exact"/>
        <w:ind w:firstLine="640" w:firstLineChars="200"/>
        <w:rPr>
          <w:rFonts w:ascii="仿宋_GB2312" w:hAnsi="黑体" w:eastAsia="仿宋_GB2312"/>
          <w:sz w:val="32"/>
          <w:szCs w:val="32"/>
          <w:u w:val="none"/>
        </w:rPr>
      </w:pPr>
      <w:r>
        <w:rPr>
          <w:rFonts w:hint="eastAsia" w:ascii="仿宋_GB2312" w:hAnsi="黑体" w:eastAsia="仿宋_GB2312"/>
          <w:sz w:val="32"/>
          <w:szCs w:val="32"/>
          <w:u w:val="none"/>
        </w:rPr>
        <w:t>三、防范重大安全风险隐患</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（一）健全和落实安全管理制度。进一步完善安全管理相关制度，落实责任，明确责任人。做好值班人员每天安全巡查，安管股每周巡查，做好巡查登记及报备，及时排险除患，确保站内安全。</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（二）提高应急处置能力。组织几次消防安全演练、疫情防控培训演练和安全消防培训演练，不断提高职工应急处突能力。</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（三）加大宣传教育。开展2次全站职工安全生产专题教育培训，以宣传标语、招贴画等方式向服务对象宣传消防知识。</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（四）设立微型消防站。6月前完成设立工作，并开展相应培训演练工作，进一步提高火灾防范及扑救能力。</w:t>
      </w:r>
    </w:p>
    <w:p>
      <w:pPr>
        <w:spacing w:line="500" w:lineRule="exact"/>
        <w:ind w:firstLine="640" w:firstLineChars="200"/>
        <w:rPr>
          <w:rFonts w:ascii="仿宋_GB2312" w:hAnsi="黑体" w:eastAsia="仿宋_GB2312"/>
          <w:sz w:val="32"/>
          <w:szCs w:val="32"/>
          <w:u w:val="none"/>
        </w:rPr>
      </w:pPr>
      <w:r>
        <w:rPr>
          <w:rFonts w:hint="eastAsia" w:ascii="仿宋_GB2312" w:hAnsi="黑体" w:eastAsia="仿宋_GB2312"/>
          <w:sz w:val="32"/>
          <w:szCs w:val="32"/>
          <w:u w:val="none"/>
        </w:rPr>
        <w:t>四、持续提升救助管理服务质量。</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（一）积极探索寻亲新途径新方法，采取加强寻亲工作人生等方式，进一步化解长期滞站人员存量。</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（二）积极探索站内照料工作的方式方法，在确保安全的前提下，将临时托养人员接回站内照料救助，尽力减少临时托养人员存量。</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（三）常态化实施落实街面巡查制度。1. 主动加强与公安、卫健等部门以及街道、社区等基层单位的协调对接，努力建立生活无着流浪乞讨人员综合救助管理机制。2.提前采购适时适用的物资（食品、饮水、衣物、清凉药品等），制定工作方案，联系公安机关，适时开展专项劝导巡查工作，切实做好“夏季送清凉”“寒冬送温暖”等专项救助行动，保障好极端天气下流浪乞讨人员生存权益。</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（四）聚焦长期滞站人员落户安置难点工作，积极争取上级支持，协调有关部门，力争年内将几名长期滞站人员完成落户安置。</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（五）全力推进源头治理。协调县区救助管理机构，建立返乡人员信息台账，及时给予有效救助。对易流浪走失人员和有流浪乞讨经历的建档立卡贫困户给予重点关注和帮扶。</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（六）进一步加强救助管理和救助保护队伍建设。1. 针对工作中暴露出来的短板和缺陷，加强岗位教育培训，提升职工服务能力。2.制定措施鼓励职工参加各级各类技能培训、知识培训，提升个人素质能力。</w:t>
      </w:r>
    </w:p>
    <w:p>
      <w:pPr>
        <w:spacing w:line="500" w:lineRule="exact"/>
        <w:ind w:firstLine="640" w:firstLineChars="200"/>
        <w:rPr>
          <w:rFonts w:ascii="仿宋_GB2312" w:hAnsi="黑体" w:eastAsia="仿宋_GB2312"/>
          <w:sz w:val="32"/>
          <w:szCs w:val="32"/>
          <w:u w:val="none"/>
        </w:rPr>
      </w:pPr>
      <w:r>
        <w:rPr>
          <w:rFonts w:hint="eastAsia" w:ascii="仿宋_GB2312" w:hAnsi="黑体" w:eastAsia="仿宋_GB2312"/>
          <w:sz w:val="32"/>
          <w:szCs w:val="32"/>
          <w:u w:val="none"/>
        </w:rPr>
        <w:t>五、提升未成年人救助保护工作能力。</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（一）完善硬件设施。积极争取上级支持，完成站内重新分区设置，合理布局科学施工，在硬件上为未保中心转型升级做好相应准备。</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（二）加强未保工作力量。开展社工技能学习培训，提升工作人员社会工作能力和素质</w:t>
      </w:r>
    </w:p>
    <w:p>
      <w:pPr>
        <w:spacing w:line="500" w:lineRule="exact"/>
        <w:ind w:firstLine="640" w:firstLineChars="200"/>
        <w:rPr>
          <w:rFonts w:ascii="仿宋_GB2312" w:hAnsi="黑体" w:eastAsia="仿宋_GB2312"/>
          <w:sz w:val="32"/>
          <w:szCs w:val="32"/>
          <w:u w:val="none"/>
        </w:rPr>
      </w:pPr>
      <w:r>
        <w:rPr>
          <w:rFonts w:hint="eastAsia" w:ascii="仿宋_GB2312" w:hAnsi="黑体" w:eastAsia="仿宋_GB2312"/>
          <w:sz w:val="32"/>
          <w:szCs w:val="32"/>
          <w:u w:val="none"/>
        </w:rPr>
        <w:t>六、补短板优化站内设施设备。</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（一）争取资金完成救助区屋顶防水改造和安装太阳能集中供热项目目标，提升救助服务质量。</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（二）争取资金完成救助专用车的更新，确保服务对象和工作人员护送途中安全。</w:t>
      </w:r>
    </w:p>
    <w:p>
      <w:pPr>
        <w:spacing w:line="500" w:lineRule="exact"/>
        <w:ind w:firstLine="640" w:firstLineChars="200"/>
        <w:rPr>
          <w:rFonts w:ascii="仿宋_GB2312" w:hAnsi="黑体" w:eastAsia="仿宋_GB2312"/>
          <w:sz w:val="32"/>
          <w:szCs w:val="32"/>
          <w:u w:val="none"/>
        </w:rPr>
      </w:pPr>
      <w:r>
        <w:rPr>
          <w:rFonts w:hint="eastAsia" w:ascii="仿宋_GB2312" w:hAnsi="黑体" w:eastAsia="仿宋_GB2312"/>
          <w:sz w:val="32"/>
          <w:szCs w:val="32"/>
          <w:u w:val="none"/>
        </w:rPr>
        <w:t>七、进一步规范完善站内管理。</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完成站内各项制度规定的修订工作，推进站内管理科学化、规范化。</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（一）加快制度建设。在4月前完成站内内部管理制定修订完善工作。</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（二）严肃财经纪律。完善内部管理及财经制度建设，切实管控好资金使用。</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（三）规范工作流程。组织职工学习掌握修订后的各项制度，从制度上完善站内各项工作流程。</w:t>
      </w:r>
    </w:p>
    <w:p>
      <w:pPr>
        <w:spacing w:line="600" w:lineRule="exact"/>
        <w:ind w:firstLine="643" w:firstLineChars="200"/>
        <w:rPr>
          <w:rFonts w:ascii="仿宋_GB2312" w:eastAsia="仿宋_GB2312"/>
          <w:b/>
          <w:sz w:val="32"/>
          <w:szCs w:val="32"/>
          <w:u w:val="none"/>
        </w:rPr>
      </w:pPr>
      <w:r>
        <w:rPr>
          <w:rFonts w:hint="eastAsia" w:ascii="仿宋_GB2312" w:eastAsia="仿宋_GB2312"/>
          <w:b/>
          <w:sz w:val="32"/>
          <w:szCs w:val="32"/>
          <w:u w:val="none"/>
        </w:rPr>
        <w:t>二、单位构成情况</w:t>
      </w:r>
    </w:p>
    <w:p>
      <w:pPr>
        <w:pStyle w:val="5"/>
        <w:adjustRightInd w:val="0"/>
        <w:spacing w:beforeLines="0" w:line="600" w:lineRule="exact"/>
        <w:ind w:firstLine="672" w:firstLineChars="210"/>
        <w:rPr>
          <w:sz w:val="32"/>
          <w:szCs w:val="32"/>
          <w:u w:val="none"/>
        </w:rPr>
      </w:pPr>
      <w:r>
        <w:rPr>
          <w:rFonts w:hint="eastAsia"/>
          <w:sz w:val="32"/>
          <w:szCs w:val="32"/>
          <w:u w:val="none"/>
        </w:rPr>
        <w:t xml:space="preserve">市救助站下属非独立核算单位0个，其中行政单位0个，参照公务员法管理的事业单位0个，其他事业单位0个。 </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三、收支预算情况说明</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按照综合预算的原则，市救助站所有收入和支出均纳入部门预算管理。收入包括：一般公共预算拨款收入 2959791元；支出包括：2082002--流浪乞讨人员救助支出2540046元；2210201--住房公积金206771元；2080505--机关事业单位基本养老保险缴费支出212974元。市救助站2021年收支总预算295.98万元。</w:t>
      </w:r>
    </w:p>
    <w:p>
      <w:pPr>
        <w:spacing w:line="600" w:lineRule="exact"/>
        <w:ind w:firstLine="643" w:firstLineChars="200"/>
        <w:rPr>
          <w:rFonts w:ascii="仿宋_GB2312" w:eastAsia="仿宋_GB2312"/>
          <w:b/>
          <w:sz w:val="32"/>
          <w:szCs w:val="32"/>
          <w:u w:val="none"/>
        </w:rPr>
      </w:pPr>
      <w:r>
        <w:rPr>
          <w:rFonts w:hint="eastAsia" w:ascii="仿宋_GB2312" w:eastAsia="仿宋_GB2312"/>
          <w:b/>
          <w:sz w:val="32"/>
          <w:szCs w:val="32"/>
          <w:u w:val="none"/>
        </w:rPr>
        <w:t>（一）收入预算情况</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lang w:val="zh-CN"/>
        </w:rPr>
        <w:t>攀枝花市救助站</w:t>
      </w:r>
      <w:r>
        <w:rPr>
          <w:rFonts w:hint="eastAsia" w:ascii="仿宋_GB2312" w:eastAsia="仿宋_GB2312"/>
          <w:sz w:val="32"/>
          <w:szCs w:val="32"/>
          <w:u w:val="none"/>
        </w:rPr>
        <w:t xml:space="preserve">2021年收入预算295.98万元，其中： </w:t>
      </w:r>
      <w:r>
        <w:rPr>
          <w:rFonts w:hint="eastAsia" w:ascii="仿宋_GB2312" w:eastAsia="仿宋_GB2312"/>
          <w:sz w:val="32"/>
          <w:szCs w:val="32"/>
          <w:u w:val="none"/>
          <w:lang w:val="zh-CN"/>
        </w:rPr>
        <w:t>一般公共预算拨款收入295.98万元，占100%</w:t>
      </w:r>
      <w:r>
        <w:rPr>
          <w:rFonts w:hint="eastAsia" w:ascii="仿宋_GB2312" w:eastAsia="仿宋_GB2312"/>
          <w:sz w:val="32"/>
          <w:szCs w:val="32"/>
          <w:u w:val="none"/>
        </w:rPr>
        <w:t>；政府性基金预算拨款收入0万元，占0%；事业收入0万元，占0% 。</w:t>
      </w:r>
    </w:p>
    <w:p>
      <w:pPr>
        <w:spacing w:line="600" w:lineRule="exact"/>
        <w:ind w:firstLine="640" w:firstLineChars="200"/>
        <w:rPr>
          <w:rFonts w:ascii="仿宋_GB2312" w:eastAsia="仿宋_GB2312"/>
          <w:sz w:val="32"/>
          <w:szCs w:val="32"/>
          <w:u w:val="none"/>
          <w:lang w:val="zh-CN"/>
        </w:rPr>
      </w:pPr>
      <w:r>
        <w:rPr>
          <w:rFonts w:hint="eastAsia" w:ascii="仿宋_GB2312" w:eastAsia="仿宋_GB2312"/>
          <w:sz w:val="32"/>
          <w:szCs w:val="32"/>
          <w:u w:val="none"/>
          <w:lang w:val="zh-CN"/>
        </w:rPr>
        <w:t>（二）支出预算情况</w:t>
      </w:r>
    </w:p>
    <w:p>
      <w:pPr>
        <w:rPr>
          <w:rFonts w:ascii="仿宋_GB2312" w:eastAsia="仿宋_GB2312"/>
          <w:sz w:val="32"/>
          <w:szCs w:val="32"/>
          <w:u w:val="none"/>
          <w:lang w:val="zh-CN"/>
        </w:rPr>
      </w:pPr>
      <w:r>
        <w:rPr>
          <w:rFonts w:hint="eastAsia" w:ascii="仿宋_GB2312" w:eastAsia="仿宋_GB2312"/>
          <w:sz w:val="32"/>
          <w:szCs w:val="32"/>
          <w:u w:val="none"/>
          <w:lang w:val="zh-CN"/>
        </w:rPr>
        <w:t xml:space="preserve">    攀枝花市救助站2021年支出预算295.98万元，其中：基本支出283.2791万元，占95.71%；项目支出12.7万元，占4.29% 根据公开表1-2具体项目进行说明）。</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四、财政拨款收支预算情况说明</w:t>
      </w:r>
    </w:p>
    <w:p>
      <w:pPr>
        <w:spacing w:line="500" w:lineRule="exact"/>
        <w:ind w:firstLine="640" w:firstLineChars="200"/>
        <w:rPr>
          <w:rFonts w:ascii="仿宋_GB2312" w:eastAsia="仿宋_GB2312"/>
          <w:sz w:val="32"/>
          <w:szCs w:val="32"/>
          <w:u w:val="none"/>
        </w:rPr>
      </w:pPr>
      <w:r>
        <w:rPr>
          <w:rFonts w:hint="eastAsia" w:ascii="仿宋_GB2312" w:eastAsia="仿宋_GB2312"/>
          <w:sz w:val="32"/>
          <w:szCs w:val="32"/>
          <w:u w:val="none"/>
        </w:rPr>
        <w:t>市救助站2021年财政拨款收支总预算295.98万元。收入包括：本年一般公共预算拨款收入295.98万元、本年政府性基金预算拨款收入0万元；支出包括：一般公共服务支出295.98万元主要用于：基本支出283.2791万元，主要用于工工资福利支出 231.3236万元，主要是基本工资61.2132万元，津贴补贴10.1892万元，绩效工资 96.1294万元，职工基本医疗保险13.2678万元，公务员医疗补助缴费1.36万元，其他社会保险缴费2.4123万元，住房公积金20.6771万元，其他工资福利0万元 。日常公用支出33.7757万元，主要用于单位运转的办公费支出、差旅费、水电费、三公经费。</w:t>
      </w:r>
    </w:p>
    <w:p>
      <w:pPr>
        <w:spacing w:line="500" w:lineRule="exact"/>
        <w:ind w:firstLine="640" w:firstLineChars="200"/>
        <w:rPr>
          <w:rFonts w:ascii="仿宋_GB2312" w:hAnsi="宋体" w:eastAsia="仿宋_GB2312" w:cs="宋体"/>
          <w:kern w:val="0"/>
          <w:sz w:val="32"/>
          <w:szCs w:val="32"/>
          <w:u w:val="none"/>
        </w:rPr>
      </w:pPr>
      <w:r>
        <w:rPr>
          <w:rFonts w:hint="eastAsia" w:ascii="仿宋_GB2312" w:eastAsia="仿宋_GB2312"/>
          <w:sz w:val="32"/>
          <w:szCs w:val="32"/>
          <w:u w:val="none"/>
        </w:rPr>
        <w:t>对个人和家庭的补助支出18.1798</w:t>
      </w:r>
      <w:r>
        <w:rPr>
          <w:rFonts w:hint="eastAsia" w:ascii="仿宋_GB2312" w:eastAsia="仿宋_GB2312"/>
          <w:sz w:val="32"/>
          <w:szCs w:val="32"/>
          <w:u w:val="none"/>
          <w:lang w:val="zh-CN"/>
        </w:rPr>
        <w:t>万元，主要用于支出退休</w:t>
      </w:r>
      <w:r>
        <w:rPr>
          <w:rFonts w:hint="eastAsia" w:ascii="仿宋_GB2312" w:eastAsia="仿宋_GB2312"/>
          <w:sz w:val="32"/>
          <w:szCs w:val="32"/>
          <w:u w:val="none"/>
        </w:rPr>
        <w:t>费。</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项目支出12.7万元，业务运行费2.7万元，部门预算项目支出救助专项支出10万元 。</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五、一般公共预算当年拨款情况说明</w:t>
      </w:r>
    </w:p>
    <w:p>
      <w:pPr>
        <w:spacing w:line="600" w:lineRule="exact"/>
        <w:ind w:firstLine="643" w:firstLineChars="200"/>
        <w:rPr>
          <w:rFonts w:ascii="仿宋_GB2312" w:eastAsia="仿宋_GB2312"/>
          <w:b/>
          <w:sz w:val="32"/>
          <w:szCs w:val="32"/>
          <w:u w:val="none"/>
        </w:rPr>
      </w:pPr>
      <w:r>
        <w:rPr>
          <w:rFonts w:hint="eastAsia" w:ascii="仿宋_GB2312" w:eastAsia="仿宋_GB2312"/>
          <w:b/>
          <w:sz w:val="32"/>
          <w:szCs w:val="32"/>
          <w:u w:val="none"/>
        </w:rPr>
        <w:t>（一）一般公共预算当年拨款规模变化情况</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市救助站2021年一般公共预算当年拨款295.98万元，比2020年预算数减少3.113万元，主要是市级财政部门削减预算支出。</w:t>
      </w:r>
    </w:p>
    <w:p>
      <w:pPr>
        <w:spacing w:line="600" w:lineRule="exact"/>
        <w:ind w:firstLine="643" w:firstLineChars="200"/>
        <w:rPr>
          <w:rFonts w:ascii="仿宋_GB2312" w:eastAsia="仿宋_GB2312"/>
          <w:b/>
          <w:sz w:val="32"/>
          <w:szCs w:val="32"/>
          <w:u w:val="none"/>
        </w:rPr>
      </w:pPr>
      <w:r>
        <w:rPr>
          <w:rFonts w:hint="eastAsia" w:ascii="仿宋_GB2312" w:eastAsia="仿宋_GB2312"/>
          <w:b/>
          <w:sz w:val="32"/>
          <w:szCs w:val="32"/>
          <w:u w:val="none"/>
        </w:rPr>
        <w:t>（二）一般公共预算当年拨款结构情况</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一般公共服务支出295.9791万元，占100% 。</w:t>
      </w:r>
    </w:p>
    <w:p>
      <w:pPr>
        <w:spacing w:line="600" w:lineRule="exact"/>
        <w:ind w:firstLine="643" w:firstLineChars="200"/>
        <w:rPr>
          <w:rFonts w:ascii="仿宋_GB2312" w:eastAsia="仿宋_GB2312"/>
          <w:b/>
          <w:sz w:val="32"/>
          <w:szCs w:val="32"/>
          <w:u w:val="none"/>
        </w:rPr>
      </w:pPr>
      <w:r>
        <w:rPr>
          <w:rFonts w:hint="eastAsia" w:ascii="仿宋_GB2312" w:eastAsia="仿宋_GB2312"/>
          <w:b/>
          <w:sz w:val="32"/>
          <w:szCs w:val="32"/>
          <w:u w:val="none"/>
        </w:rPr>
        <w:t>（三）一般公共预算当年拨款具体使用情况</w:t>
      </w:r>
    </w:p>
    <w:p>
      <w:pPr>
        <w:rPr>
          <w:rFonts w:ascii="仿宋_GB2312" w:hAnsi="宋体" w:eastAsia="仿宋_GB2312" w:cs="宋体"/>
          <w:kern w:val="0"/>
          <w:sz w:val="32"/>
          <w:szCs w:val="32"/>
          <w:u w:val="none"/>
        </w:rPr>
      </w:pPr>
      <w:r>
        <w:rPr>
          <w:rFonts w:hint="eastAsia" w:ascii="仿宋_GB2312" w:eastAsia="仿宋_GB2312"/>
          <w:sz w:val="32"/>
          <w:szCs w:val="32"/>
          <w:u w:val="none"/>
        </w:rPr>
        <w:t xml:space="preserve">    一般公共服务（类）人大事务（款）行政运行（项）2021年预算数295.9791万元，主要用于：基本支出283.2791</w:t>
      </w:r>
    </w:p>
    <w:p>
      <w:pPr>
        <w:rPr>
          <w:rFonts w:ascii="仿宋_GB2312" w:eastAsia="仿宋_GB2312"/>
          <w:sz w:val="32"/>
          <w:szCs w:val="32"/>
          <w:u w:val="none"/>
          <w:lang w:val="zh-CN"/>
        </w:rPr>
      </w:pPr>
      <w:r>
        <w:rPr>
          <w:rFonts w:hint="eastAsia" w:ascii="仿宋_GB2312" w:eastAsia="仿宋_GB2312"/>
          <w:sz w:val="32"/>
          <w:szCs w:val="32"/>
          <w:u w:val="none"/>
        </w:rPr>
        <w:t>万元。主要用于：</w:t>
      </w:r>
      <w:r>
        <w:rPr>
          <w:rFonts w:hint="eastAsia" w:ascii="仿宋_GB2312" w:eastAsia="仿宋_GB2312"/>
          <w:sz w:val="32"/>
          <w:szCs w:val="32"/>
          <w:u w:val="none"/>
          <w:lang w:val="zh-CN"/>
        </w:rPr>
        <w:t>基本工资61.2132万元，津贴补贴10.1892万元，绩效工资 96.1294万元，职工基本医疗保险13.2678万元，公务员医疗补助缴费1.36万元，其他社会保险缴费2.4123万元，住房公积金20.6771万元，其他工资福利0万元 。</w:t>
      </w:r>
    </w:p>
    <w:p>
      <w:pPr>
        <w:rPr>
          <w:rFonts w:ascii="仿宋_GB2312" w:hAnsi="宋体" w:eastAsia="仿宋_GB2312" w:cs="宋体"/>
          <w:kern w:val="0"/>
          <w:sz w:val="32"/>
          <w:szCs w:val="32"/>
          <w:u w:val="none"/>
        </w:rPr>
      </w:pPr>
      <w:r>
        <w:rPr>
          <w:rFonts w:hint="eastAsia" w:ascii="仿宋_GB2312" w:eastAsia="仿宋_GB2312"/>
          <w:sz w:val="32"/>
          <w:szCs w:val="32"/>
          <w:u w:val="none"/>
        </w:rPr>
        <w:t xml:space="preserve">    日常公用支出33.7757万元，主要用于单位运转的办公费支出、差旅费、水电费、三公经费等。</w:t>
      </w:r>
    </w:p>
    <w:p>
      <w:pPr>
        <w:rPr>
          <w:rFonts w:ascii="仿宋_GB2312" w:hAnsi="宋体" w:eastAsia="仿宋_GB2312" w:cs="宋体"/>
          <w:kern w:val="0"/>
          <w:sz w:val="32"/>
          <w:szCs w:val="32"/>
          <w:u w:val="none"/>
        </w:rPr>
      </w:pPr>
      <w:r>
        <w:rPr>
          <w:rFonts w:hint="eastAsia" w:ascii="仿宋_GB2312" w:eastAsia="仿宋_GB2312"/>
          <w:sz w:val="32"/>
          <w:szCs w:val="32"/>
          <w:u w:val="none"/>
        </w:rPr>
        <w:t>对个人和家庭的补助支出18.1798万元，主要用于支出退休费。</w:t>
      </w:r>
    </w:p>
    <w:p>
      <w:pPr>
        <w:spacing w:line="560" w:lineRule="exact"/>
        <w:ind w:firstLine="640" w:firstLineChars="200"/>
        <w:rPr>
          <w:rFonts w:ascii="仿宋_GB2312" w:eastAsia="仿宋_GB2312"/>
          <w:sz w:val="32"/>
          <w:szCs w:val="32"/>
          <w:u w:val="none"/>
        </w:rPr>
      </w:pPr>
      <w:r>
        <w:rPr>
          <w:rFonts w:hint="eastAsia" w:ascii="仿宋_GB2312" w:eastAsia="仿宋_GB2312"/>
          <w:sz w:val="32"/>
          <w:szCs w:val="32"/>
          <w:u w:val="none"/>
        </w:rPr>
        <w:t>项目支出12.7万元.</w:t>
      </w:r>
    </w:p>
    <w:p>
      <w:pPr>
        <w:spacing w:line="560" w:lineRule="exact"/>
        <w:ind w:firstLine="640" w:firstLineChars="200"/>
        <w:rPr>
          <w:rFonts w:ascii="仿宋_GB2312" w:hAnsi="仿宋_GB2312" w:eastAsia="仿宋_GB2312" w:cs="仿宋_GB2312"/>
          <w:sz w:val="32"/>
          <w:szCs w:val="32"/>
          <w:u w:val="none"/>
        </w:rPr>
      </w:pPr>
      <w:r>
        <w:rPr>
          <w:rFonts w:hint="eastAsia" w:ascii="仿宋_GB2312" w:eastAsia="仿宋_GB2312"/>
          <w:sz w:val="32"/>
          <w:szCs w:val="32"/>
          <w:u w:val="none"/>
        </w:rPr>
        <w:t>其中：业务运行费2.7万元，绩效目标：</w:t>
      </w:r>
      <w:r>
        <w:rPr>
          <w:rFonts w:hint="eastAsia" w:ascii="仿宋_GB2312" w:eastAsia="仿宋_GB2312"/>
          <w:sz w:val="32"/>
          <w:szCs w:val="32"/>
          <w:u w:val="none"/>
          <w:lang w:val="zh-CN"/>
        </w:rPr>
        <w:t>1.对符合救助条件的困难群众做到“应救尽救、应救必救”。由于救助工作的特殊性，无法准确预估年度救助工作量，预计2021年站内救助量将达到800人次左右。对于所有求助人员，均按照要求做好站内服务，提供符合食品卫生要求的食物；提供符合基本条件的住处；对在站内突发疾病的，及时送医院救治；帮助与其亲属或者所在单位联系；对没有交通费返回其住所地或者所在单位的，提供乘车凭证；对行动困难、未成年人等特殊对象，提供护送返乡服务等</w:t>
      </w:r>
      <w:r>
        <w:rPr>
          <w:rFonts w:hint="eastAsia" w:ascii="仿宋_GB2312" w:eastAsia="仿宋_GB2312"/>
          <w:kern w:val="0"/>
          <w:sz w:val="32"/>
          <w:szCs w:val="32"/>
          <w:u w:val="none"/>
        </w:rPr>
        <w:t>。</w:t>
      </w:r>
      <w:r>
        <w:rPr>
          <w:rFonts w:hint="eastAsia" w:ascii="仿宋_GB2312" w:hAnsi="仿宋_GB2312" w:eastAsia="仿宋_GB2312" w:cs="仿宋_GB2312"/>
          <w:sz w:val="32"/>
          <w:szCs w:val="32"/>
          <w:u w:val="none"/>
        </w:rPr>
        <w:t>在极端天气情况下，开展“寒冬送温暖”“夏季送清凉”等专项救助行动，防止发生冻饿死伤等极端事件。</w:t>
      </w:r>
    </w:p>
    <w:p>
      <w:pPr>
        <w:spacing w:line="560" w:lineRule="exact"/>
        <w:ind w:firstLine="640" w:firstLineChars="200"/>
        <w:rPr>
          <w:rFonts w:ascii="仿宋_GB2312" w:eastAsia="仿宋_GB2312"/>
          <w:sz w:val="32"/>
          <w:szCs w:val="32"/>
          <w:u w:val="none"/>
        </w:rPr>
      </w:pPr>
      <w:r>
        <w:rPr>
          <w:rFonts w:hint="eastAsia" w:ascii="仿宋_GB2312" w:hAnsi="仿宋_GB2312" w:eastAsia="仿宋_GB2312" w:cs="仿宋_GB2312"/>
          <w:sz w:val="32"/>
          <w:szCs w:val="32"/>
          <w:u w:val="none"/>
        </w:rPr>
        <w:t>2.提升身份不明救助对象的身份信息核查能力。通过人脸识别、DNA比对等技术手段，与全国寻亲网、今日头条寻亲网、“宝贝回家”网等机构组织密切协作，开展身份不明</w:t>
      </w:r>
      <w:r>
        <w:rPr>
          <w:rFonts w:hint="eastAsia" w:ascii="仿宋_GB2312" w:eastAsia="仿宋_GB2312"/>
          <w:sz w:val="32"/>
          <w:szCs w:val="32"/>
          <w:u w:val="none"/>
        </w:rPr>
        <w:t>长期滞站人员寻亲工作，核查清楚的及时送返；确实无法核实的，按规定报请政府安置。</w:t>
      </w:r>
    </w:p>
    <w:p>
      <w:pPr>
        <w:spacing w:line="560" w:lineRule="exact"/>
        <w:ind w:firstLine="640" w:firstLineChars="200"/>
        <w:rPr>
          <w:rFonts w:ascii="仿宋_GB2312" w:eastAsia="仿宋_GB2312"/>
          <w:sz w:val="32"/>
          <w:szCs w:val="32"/>
          <w:u w:val="none"/>
        </w:rPr>
      </w:pPr>
      <w:r>
        <w:rPr>
          <w:rFonts w:hint="eastAsia" w:ascii="仿宋_GB2312" w:eastAsia="仿宋_GB2312"/>
          <w:sz w:val="32"/>
          <w:szCs w:val="32"/>
          <w:u w:val="none"/>
        </w:rPr>
        <w:t>3.保证变压器及配电房等附属设施正常、安全运行，为救助服务提供稳定的电力保障。</w:t>
      </w:r>
    </w:p>
    <w:p>
      <w:pPr>
        <w:spacing w:line="560" w:lineRule="exact"/>
        <w:ind w:firstLine="640" w:firstLineChars="200"/>
        <w:rPr>
          <w:rFonts w:ascii="仿宋_GB2312" w:eastAsia="仿宋_GB2312"/>
          <w:sz w:val="32"/>
          <w:szCs w:val="32"/>
          <w:u w:val="none"/>
          <w:lang w:val="zh-CN"/>
        </w:rPr>
      </w:pPr>
      <w:r>
        <w:rPr>
          <w:rFonts w:hint="eastAsia" w:ascii="仿宋_GB2312" w:eastAsia="仿宋_GB2312"/>
          <w:sz w:val="32"/>
          <w:szCs w:val="32"/>
          <w:u w:val="none"/>
        </w:rPr>
        <w:t>部门预算项目支出救助专项支出10万元 。绩效目标：</w:t>
      </w:r>
      <w:r>
        <w:rPr>
          <w:rFonts w:hint="eastAsia" w:ascii="仿宋_GB2312" w:eastAsia="仿宋_GB2312"/>
          <w:sz w:val="32"/>
          <w:szCs w:val="32"/>
          <w:u w:val="none"/>
          <w:lang w:val="zh-CN"/>
        </w:rPr>
        <w:t>针对街面流浪乞讨人员或站内受助人员突发疾病的受助人员，实行分类救治，精神病人护送到市第三人民医院或其他精神疾病救治机构进行医疗救治，传染性疾病护送到第四人民医院进行医疗救治，其他疾病护送到定点综合性医疗机构进行医疗救治，做到发现一例救治一例，发生一起救治一起，应救尽救、应救必救，防止发生流浪乞讨人员病死街面等极端事件。</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六、一般公共预算基本支出情况说明</w:t>
      </w:r>
    </w:p>
    <w:p>
      <w:pPr>
        <w:spacing w:line="560" w:lineRule="exact"/>
        <w:ind w:firstLine="640" w:firstLineChars="200"/>
        <w:rPr>
          <w:rFonts w:ascii="仿宋_GB2312" w:eastAsia="仿宋_GB2312"/>
          <w:sz w:val="32"/>
          <w:szCs w:val="32"/>
          <w:u w:val="none"/>
        </w:rPr>
      </w:pPr>
      <w:r>
        <w:rPr>
          <w:rFonts w:hint="eastAsia" w:ascii="仿宋_GB2312" w:eastAsia="仿宋_GB2312"/>
          <w:sz w:val="32"/>
          <w:szCs w:val="32"/>
          <w:u w:val="none"/>
        </w:rPr>
        <w:t>攀枝花市救助站2021年一般公共预算基本支出281.3904万元，其中：</w:t>
      </w:r>
    </w:p>
    <w:p>
      <w:pPr>
        <w:spacing w:line="560" w:lineRule="exact"/>
        <w:ind w:firstLine="640" w:firstLineChars="200"/>
        <w:rPr>
          <w:rFonts w:ascii="仿宋_GB2312" w:eastAsia="仿宋_GB2312"/>
          <w:sz w:val="32"/>
          <w:szCs w:val="32"/>
          <w:u w:val="none"/>
        </w:rPr>
      </w:pPr>
      <w:r>
        <w:rPr>
          <w:rFonts w:hint="eastAsia" w:ascii="仿宋_GB2312" w:eastAsia="仿宋_GB2312"/>
          <w:sz w:val="32"/>
          <w:szCs w:val="32"/>
          <w:u w:val="none"/>
        </w:rPr>
        <w:t>其中：</w:t>
      </w:r>
    </w:p>
    <w:p>
      <w:pPr>
        <w:spacing w:line="560" w:lineRule="exact"/>
        <w:rPr>
          <w:rFonts w:ascii="仿宋_GB2312" w:hAnsi="宋体" w:eastAsia="仿宋_GB2312" w:cs="宋体"/>
          <w:kern w:val="0"/>
          <w:sz w:val="32"/>
          <w:szCs w:val="32"/>
          <w:u w:val="none"/>
        </w:rPr>
      </w:pPr>
      <w:r>
        <w:rPr>
          <w:rFonts w:hint="eastAsia" w:ascii="仿宋_GB2312" w:eastAsia="仿宋_GB2312"/>
          <w:sz w:val="32"/>
          <w:szCs w:val="32"/>
          <w:u w:val="none"/>
        </w:rPr>
        <w:t xml:space="preserve">    人员经费231.3236万元，主要包括：基本工资、津贴补贴、奖金、社会保险缴费，住房公积金 。</w:t>
      </w:r>
    </w:p>
    <w:p>
      <w:pPr>
        <w:spacing w:line="560" w:lineRule="exact"/>
        <w:rPr>
          <w:rFonts w:ascii="仿宋_GB2312" w:hAnsi="宋体" w:eastAsia="仿宋_GB2312" w:cs="宋体"/>
          <w:kern w:val="0"/>
          <w:sz w:val="32"/>
          <w:szCs w:val="32"/>
          <w:u w:val="none"/>
        </w:rPr>
      </w:pPr>
      <w:r>
        <w:rPr>
          <w:rFonts w:hint="eastAsia" w:ascii="仿宋_GB2312" w:eastAsia="仿宋_GB2312"/>
          <w:sz w:val="32"/>
          <w:szCs w:val="32"/>
          <w:u w:val="none"/>
        </w:rPr>
        <w:t xml:space="preserve">    公用经费33.7757万元，主要包括：办公费、咨询费、手续费 。</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七、“三公”经费财政拨款预算安排情况说明</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市救助站2021年“三公”经费财政拨款预算数6.2408万元，其中：因公出国（境）经费0万元，公务接待费1.3808万元，公务用车购置及运行维护费4.86万元。</w:t>
      </w:r>
    </w:p>
    <w:p>
      <w:pPr>
        <w:spacing w:line="600" w:lineRule="exact"/>
        <w:ind w:firstLine="640"/>
        <w:rPr>
          <w:rFonts w:ascii="仿宋_GB2312" w:eastAsia="仿宋_GB2312"/>
          <w:sz w:val="32"/>
          <w:szCs w:val="32"/>
          <w:u w:val="none"/>
        </w:rPr>
      </w:pPr>
      <w:r>
        <w:rPr>
          <w:rFonts w:hint="eastAsia" w:ascii="仿宋_GB2312" w:eastAsia="仿宋_GB2312"/>
          <w:b/>
          <w:sz w:val="32"/>
          <w:szCs w:val="32"/>
          <w:u w:val="none"/>
        </w:rPr>
        <w:t>（一）因公出国（境）经费</w:t>
      </w:r>
      <w:r>
        <w:rPr>
          <w:rFonts w:hint="eastAsia" w:ascii="仿宋_GB2312" w:eastAsia="仿宋_GB2312"/>
          <w:b/>
          <w:sz w:val="32"/>
          <w:szCs w:val="32"/>
          <w:u w:val="none"/>
          <w:lang w:val="en-US" w:eastAsia="zh-CN"/>
        </w:rPr>
        <w:t>与</w:t>
      </w:r>
      <w:r>
        <w:rPr>
          <w:rFonts w:hint="eastAsia" w:ascii="仿宋_GB2312" w:eastAsia="仿宋_GB2312"/>
          <w:b/>
          <w:sz w:val="32"/>
          <w:szCs w:val="32"/>
          <w:u w:val="none"/>
        </w:rPr>
        <w:t>2020年预算持平。</w:t>
      </w:r>
      <w:r>
        <w:rPr>
          <w:rFonts w:hint="eastAsia" w:ascii="仿宋_GB2312" w:eastAsia="仿宋_GB2312"/>
          <w:sz w:val="32"/>
          <w:szCs w:val="32"/>
          <w:u w:val="none"/>
        </w:rPr>
        <w:t>主要原因是</w:t>
      </w:r>
      <w:r>
        <w:rPr>
          <w:rFonts w:hint="eastAsia" w:ascii="仿宋_GB2312" w:eastAsia="仿宋_GB2312"/>
          <w:sz w:val="32"/>
          <w:szCs w:val="32"/>
          <w:u w:val="none"/>
          <w:lang w:val="en-US" w:eastAsia="zh-CN"/>
        </w:rPr>
        <w:t>2020年、2021年均未安排因公出国（境）经费</w:t>
      </w:r>
      <w:r>
        <w:rPr>
          <w:rFonts w:hint="eastAsia" w:ascii="仿宋_GB2312" w:eastAsia="仿宋_GB2312"/>
          <w:sz w:val="32"/>
          <w:szCs w:val="32"/>
          <w:u w:val="none"/>
        </w:rPr>
        <w:t>。</w:t>
      </w:r>
    </w:p>
    <w:p>
      <w:pPr>
        <w:spacing w:line="600" w:lineRule="exact"/>
        <w:ind w:firstLine="640"/>
        <w:rPr>
          <w:rFonts w:ascii="仿宋_GB2312" w:eastAsia="仿宋_GB2312"/>
          <w:b/>
          <w:sz w:val="32"/>
          <w:szCs w:val="32"/>
          <w:u w:val="none"/>
        </w:rPr>
      </w:pPr>
      <w:r>
        <w:rPr>
          <w:rFonts w:hint="eastAsia" w:ascii="仿宋_GB2312" w:eastAsia="仿宋_GB2312"/>
          <w:b/>
          <w:sz w:val="32"/>
          <w:szCs w:val="32"/>
          <w:u w:val="none"/>
        </w:rPr>
        <w:t>（二）公务接待费较2020年预算下降5% 。</w:t>
      </w:r>
      <w:r>
        <w:rPr>
          <w:rFonts w:hint="eastAsia" w:ascii="仿宋_GB2312" w:eastAsia="仿宋_GB2312"/>
          <w:sz w:val="32"/>
          <w:szCs w:val="32"/>
          <w:u w:val="none"/>
        </w:rPr>
        <w:t>主要原因是</w:t>
      </w:r>
      <w:r>
        <w:rPr>
          <w:rFonts w:hint="eastAsia" w:ascii="仿宋_GB2312" w:eastAsia="仿宋_GB2312"/>
          <w:sz w:val="32"/>
          <w:szCs w:val="32"/>
          <w:u w:val="none"/>
          <w:lang w:val="en-US" w:eastAsia="zh-CN"/>
        </w:rPr>
        <w:t>压缩</w:t>
      </w:r>
      <w:r>
        <w:rPr>
          <w:rFonts w:hint="eastAsia" w:ascii="仿宋_GB2312" w:eastAsia="仿宋_GB2312"/>
          <w:sz w:val="32"/>
          <w:szCs w:val="32"/>
          <w:u w:val="none"/>
        </w:rPr>
        <w:t>预算支出。</w:t>
      </w:r>
    </w:p>
    <w:p>
      <w:pPr>
        <w:spacing w:line="600" w:lineRule="exact"/>
        <w:ind w:firstLine="640"/>
        <w:rPr>
          <w:rFonts w:ascii="仿宋_GB2312" w:eastAsia="仿宋_GB2312"/>
          <w:sz w:val="32"/>
          <w:szCs w:val="32"/>
          <w:u w:val="none"/>
        </w:rPr>
      </w:pPr>
      <w:r>
        <w:rPr>
          <w:rFonts w:hint="eastAsia" w:ascii="仿宋_GB2312" w:eastAsia="仿宋_GB2312"/>
          <w:sz w:val="32"/>
          <w:szCs w:val="32"/>
          <w:u w:val="none"/>
        </w:rPr>
        <w:t>2021年公务接待费计划用于接待各州站来站工作人员。</w:t>
      </w:r>
    </w:p>
    <w:p>
      <w:pPr>
        <w:spacing w:line="600" w:lineRule="exact"/>
        <w:ind w:firstLine="640"/>
        <w:rPr>
          <w:rFonts w:ascii="仿宋_GB2312" w:eastAsia="仿宋_GB2312"/>
          <w:b/>
          <w:sz w:val="32"/>
          <w:szCs w:val="32"/>
          <w:u w:val="none"/>
        </w:rPr>
      </w:pPr>
      <w:r>
        <w:rPr>
          <w:rFonts w:hint="eastAsia" w:ascii="仿宋_GB2312" w:eastAsia="仿宋_GB2312"/>
          <w:b/>
          <w:sz w:val="32"/>
          <w:szCs w:val="32"/>
          <w:u w:val="none"/>
        </w:rPr>
        <w:t>（三）公务用车购置及运行维护费较2020年预算下降5.26%。</w:t>
      </w:r>
      <w:r>
        <w:rPr>
          <w:rFonts w:hint="eastAsia" w:ascii="仿宋_GB2312" w:eastAsia="仿宋_GB2312"/>
          <w:sz w:val="32"/>
          <w:szCs w:val="32"/>
          <w:u w:val="none"/>
        </w:rPr>
        <w:t>主要原因是消减预算支出。</w:t>
      </w:r>
    </w:p>
    <w:p>
      <w:pPr>
        <w:spacing w:line="600" w:lineRule="exact"/>
        <w:ind w:firstLine="640"/>
        <w:rPr>
          <w:rFonts w:ascii="仿宋_GB2312" w:eastAsia="仿宋_GB2312"/>
          <w:sz w:val="32"/>
          <w:szCs w:val="32"/>
          <w:u w:val="none"/>
        </w:rPr>
      </w:pPr>
      <w:r>
        <w:rPr>
          <w:rFonts w:hint="eastAsia" w:ascii="仿宋_GB2312" w:eastAsia="仿宋_GB2312"/>
          <w:sz w:val="32"/>
          <w:szCs w:val="32"/>
          <w:u w:val="none"/>
        </w:rPr>
        <w:t>单位现有公务用车3辆，其中：轿车（含7座以下商务车、城市越野车）2辆，7座以上19座（含19座）以下客车1辆 。</w:t>
      </w:r>
    </w:p>
    <w:p>
      <w:pPr>
        <w:spacing w:line="600" w:lineRule="exact"/>
        <w:ind w:firstLine="640"/>
        <w:rPr>
          <w:rFonts w:ascii="仿宋_GB2312" w:eastAsia="仿宋_GB2312"/>
          <w:sz w:val="32"/>
          <w:szCs w:val="32"/>
          <w:u w:val="none"/>
        </w:rPr>
      </w:pPr>
      <w:r>
        <w:rPr>
          <w:rFonts w:hint="eastAsia" w:ascii="仿宋_GB2312" w:eastAsia="仿宋_GB2312"/>
          <w:sz w:val="32"/>
          <w:szCs w:val="32"/>
          <w:u w:val="none"/>
        </w:rPr>
        <w:t>2021年安排公务用车运行维护费4.86万元，用于3辆公务用车（燃油、维修、车辆通行）等方面支出，主要保障特种业务用车护送流浪乞讨人员返乡及工作人员开展救助工作出行用车等工作开展。</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八、政府性基金预算支出情况说明</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攀枝花市救助站 2020年没有使用政府性基金预算拨款安排的支出。</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九、其他重要事项的情况说明</w:t>
      </w:r>
    </w:p>
    <w:p>
      <w:pPr>
        <w:spacing w:line="600" w:lineRule="exact"/>
        <w:ind w:firstLine="643" w:firstLineChars="200"/>
        <w:rPr>
          <w:rFonts w:ascii="仿宋_GB2312" w:eastAsia="仿宋_GB2312"/>
          <w:b/>
          <w:sz w:val="32"/>
          <w:szCs w:val="32"/>
          <w:u w:val="none"/>
        </w:rPr>
      </w:pPr>
      <w:r>
        <w:rPr>
          <w:rFonts w:hint="eastAsia" w:ascii="仿宋_GB2312" w:eastAsia="仿宋_GB2312"/>
          <w:b/>
          <w:sz w:val="32"/>
          <w:szCs w:val="32"/>
          <w:u w:val="none"/>
        </w:rPr>
        <w:t>（一）</w:t>
      </w:r>
      <w:r>
        <w:rPr>
          <w:rFonts w:hint="eastAsia" w:ascii="仿宋_GB2312" w:eastAsia="仿宋_GB2312"/>
          <w:b/>
          <w:sz w:val="32"/>
          <w:szCs w:val="32"/>
          <w:u w:val="none"/>
          <w:lang w:val="en-US" w:eastAsia="zh-CN"/>
        </w:rPr>
        <w:t>机关</w:t>
      </w:r>
      <w:r>
        <w:rPr>
          <w:rFonts w:hint="eastAsia" w:ascii="仿宋_GB2312" w:eastAsia="仿宋_GB2312"/>
          <w:b/>
          <w:sz w:val="32"/>
          <w:szCs w:val="32"/>
          <w:u w:val="none"/>
        </w:rPr>
        <w:t>运行经费</w:t>
      </w:r>
    </w:p>
    <w:p>
      <w:pPr>
        <w:spacing w:line="600" w:lineRule="exact"/>
        <w:ind w:firstLine="640" w:firstLineChars="200"/>
        <w:rPr>
          <w:rFonts w:hint="default" w:ascii="仿宋_GB2312" w:hAnsi="Times New Roman" w:eastAsia="仿宋_GB2312" w:cs="Times New Roman"/>
          <w:sz w:val="32"/>
          <w:szCs w:val="32"/>
          <w:u w:val="none"/>
          <w:lang w:val="en-US" w:eastAsia="zh-CN"/>
        </w:rPr>
      </w:pPr>
      <w:r>
        <w:rPr>
          <w:rFonts w:hint="eastAsia" w:ascii="仿宋_GB2312" w:hAnsi="Times New Roman" w:eastAsia="仿宋_GB2312" w:cs="Times New Roman"/>
          <w:sz w:val="32"/>
          <w:szCs w:val="32"/>
          <w:u w:val="none"/>
        </w:rPr>
        <w:t>2021年，攀枝花市救助站</w:t>
      </w:r>
      <w:r>
        <w:rPr>
          <w:rFonts w:hint="eastAsia" w:ascii="仿宋_GB2312" w:hAnsi="Times New Roman" w:eastAsia="仿宋_GB2312" w:cs="Times New Roman"/>
          <w:sz w:val="32"/>
          <w:szCs w:val="32"/>
          <w:u w:val="none"/>
          <w:lang w:val="en-US" w:eastAsia="zh-CN"/>
        </w:rPr>
        <w:t>为事业单位，按规定未使用机关运行的相关科目。</w:t>
      </w:r>
    </w:p>
    <w:p>
      <w:pPr>
        <w:spacing w:line="600" w:lineRule="exact"/>
        <w:ind w:firstLine="643" w:firstLineChars="200"/>
        <w:rPr>
          <w:rFonts w:ascii="仿宋_GB2312" w:eastAsia="仿宋_GB2312"/>
          <w:b/>
          <w:sz w:val="32"/>
          <w:szCs w:val="32"/>
          <w:u w:val="none"/>
        </w:rPr>
      </w:pPr>
      <w:r>
        <w:rPr>
          <w:rFonts w:hint="eastAsia" w:ascii="仿宋_GB2312" w:eastAsia="仿宋_GB2312"/>
          <w:b/>
          <w:sz w:val="32"/>
          <w:szCs w:val="32"/>
          <w:u w:val="none"/>
        </w:rPr>
        <w:t>（二）国有资产占有使用情况</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截至2020年底，市救助站共有车辆3辆，其中，执法执勤用车0辆。单位价值200万元以上大型设备0台（套）。</w:t>
      </w:r>
    </w:p>
    <w:p>
      <w:pPr>
        <w:spacing w:line="600" w:lineRule="exact"/>
        <w:ind w:firstLine="643" w:firstLineChars="200"/>
        <w:rPr>
          <w:rFonts w:ascii="仿宋_GB2312" w:eastAsia="仿宋_GB2312"/>
          <w:b/>
          <w:sz w:val="32"/>
          <w:szCs w:val="32"/>
          <w:u w:val="none"/>
        </w:rPr>
      </w:pPr>
      <w:r>
        <w:rPr>
          <w:rFonts w:hint="eastAsia" w:ascii="仿宋_GB2312" w:eastAsia="仿宋_GB2312"/>
          <w:b/>
          <w:sz w:val="32"/>
          <w:szCs w:val="32"/>
          <w:u w:val="none"/>
        </w:rPr>
        <w:t>（三）绩效目标设置情况</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2021年市救助站部门通用项目和专用项目均按要求实行绩效目标管理，涉及一般公共预算当年拨款295.9791万元。</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 xml:space="preserve">十、采购预算说明 </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本年我单位因无资金预算，暂缓采购，待有资金预算再采购。</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十一、名词解释</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1.一般公共预算拨款收入：指市级财政当年拨付的资金。</w:t>
      </w:r>
    </w:p>
    <w:p>
      <w:pPr>
        <w:spacing w:line="600" w:lineRule="exact"/>
        <w:ind w:firstLine="640" w:firstLineChars="200"/>
        <w:rPr>
          <w:rFonts w:hint="eastAsia" w:ascii="仿宋_GB2312" w:eastAsia="仿宋_GB2312"/>
          <w:sz w:val="32"/>
          <w:szCs w:val="32"/>
          <w:u w:val="none"/>
        </w:rPr>
      </w:pPr>
      <w:r>
        <w:rPr>
          <w:rFonts w:hint="eastAsia" w:ascii="仿宋_GB2312" w:eastAsia="仿宋_GB2312"/>
          <w:sz w:val="32"/>
          <w:szCs w:val="32"/>
          <w:u w:val="none"/>
        </w:rPr>
        <w:t>2.医疗卫生与计划生育（类）行政事业单位医疗（款）行政单位医疗（项）：指市机关及参公管理事业单位用于缴纳单位基本医疗保险支出。</w:t>
      </w:r>
    </w:p>
    <w:p>
      <w:pPr>
        <w:spacing w:line="600" w:lineRule="exact"/>
        <w:ind w:firstLine="640" w:firstLineChars="200"/>
        <w:rPr>
          <w:rFonts w:ascii="仿宋_GB2312" w:eastAsia="仿宋_GB2312"/>
          <w:sz w:val="32"/>
          <w:szCs w:val="32"/>
          <w:u w:val="none"/>
        </w:rPr>
      </w:pPr>
      <w:bookmarkStart w:id="15" w:name="_GoBack"/>
      <w:bookmarkEnd w:id="15"/>
      <w:r>
        <w:rPr>
          <w:rFonts w:hint="eastAsia" w:ascii="仿宋_GB2312" w:eastAsia="仿宋_GB2312"/>
          <w:sz w:val="32"/>
          <w:szCs w:val="32"/>
          <w:u w:val="none"/>
        </w:rPr>
        <w:t>3.基本支出：指为保证机构正常运转，完成日常工作任务而发生的人员支出和公用支出。</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4.项目支出：指在基本支出之外为完成特定行政任务和事业发展目标所发生的支出。</w:t>
      </w:r>
    </w:p>
    <w:p>
      <w:pPr>
        <w:spacing w:line="600" w:lineRule="exact"/>
        <w:ind w:firstLine="640" w:firstLineChars="200"/>
        <w:rPr>
          <w:rFonts w:ascii="仿宋_GB2312" w:eastAsia="仿宋_GB2312"/>
          <w:sz w:val="32"/>
          <w:szCs w:val="32"/>
          <w:u w:val="none"/>
        </w:rPr>
      </w:pPr>
      <w:r>
        <w:rPr>
          <w:rFonts w:hint="eastAsia" w:ascii="仿宋_GB2312" w:eastAsia="仿宋_GB2312"/>
          <w:sz w:val="32"/>
          <w:szCs w:val="32"/>
          <w:u w:val="none"/>
        </w:rPr>
        <w:t>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hint="eastAsia" w:ascii="仿宋_GB2312" w:eastAsia="仿宋_GB2312"/>
          <w:sz w:val="32"/>
          <w:szCs w:val="32"/>
          <w:u w:val="none"/>
        </w:rPr>
      </w:pPr>
      <w:r>
        <w:rPr>
          <w:rFonts w:hint="eastAsia" w:ascii="仿宋_GB2312" w:eastAsia="仿宋_GB2312"/>
          <w:sz w:val="32"/>
          <w:szCs w:val="32"/>
          <w:u w:val="none"/>
        </w:rPr>
        <w:t>6.</w:t>
      </w:r>
      <w:r>
        <w:rPr>
          <w:rFonts w:hint="eastAsia" w:ascii="仿宋_GB2312" w:eastAsia="仿宋_GB2312"/>
          <w:sz w:val="32"/>
          <w:szCs w:val="32"/>
          <w:u w:val="none"/>
          <w:lang w:val="en-US" w:eastAsia="zh-CN"/>
        </w:rPr>
        <w:t>机关</w:t>
      </w:r>
      <w:r>
        <w:rPr>
          <w:rFonts w:hint="eastAsia" w:ascii="仿宋_GB2312" w:eastAsia="仿宋_GB2312"/>
          <w:sz w:val="32"/>
          <w:szCs w:val="32"/>
          <w:u w:val="none"/>
        </w:rPr>
        <w:t>运行</w:t>
      </w:r>
      <w:r>
        <w:rPr>
          <w:rFonts w:hint="eastAsia" w:ascii="仿宋_GB2312" w:eastAsia="仿宋_GB2312"/>
          <w:sz w:val="32"/>
          <w:szCs w:val="32"/>
          <w:u w:val="none"/>
          <w:lang w:val="en-US" w:eastAsia="zh-CN"/>
        </w:rPr>
        <w:t>经</w:t>
      </w:r>
      <w:r>
        <w:rPr>
          <w:rFonts w:hint="eastAsia" w:ascii="仿宋_GB2312" w:eastAsia="仿宋_GB2312"/>
          <w:sz w:val="32"/>
          <w:szCs w:val="32"/>
          <w:u w:val="none"/>
        </w:rPr>
        <w:t>费：为保障行政单位（包含参照公务员法管理的事业单位）运行用于购买货物和服务的各项资金。包括办公及办公费、水费、电费、邮电费、差旅费、会议费等费用开支。</w:t>
      </w:r>
    </w:p>
    <w:p>
      <w:pPr>
        <w:spacing w:line="600" w:lineRule="exact"/>
        <w:ind w:firstLine="640" w:firstLineChars="200"/>
        <w:rPr>
          <w:rFonts w:hint="eastAsia" w:ascii="仿宋_GB2312" w:eastAsia="仿宋_GB2312"/>
          <w:sz w:val="32"/>
          <w:szCs w:val="32"/>
          <w:u w:val="none"/>
        </w:rPr>
      </w:pPr>
    </w:p>
    <w:p>
      <w:pPr>
        <w:spacing w:line="600" w:lineRule="exact"/>
        <w:ind w:firstLine="640" w:firstLineChars="200"/>
        <w:rPr>
          <w:rFonts w:hint="eastAsia" w:ascii="仿宋_GB2312" w:eastAsia="仿宋_GB2312"/>
          <w:sz w:val="32"/>
          <w:szCs w:val="32"/>
          <w:u w:val="none"/>
        </w:rPr>
      </w:pPr>
      <w:r>
        <w:rPr>
          <w:rFonts w:hint="eastAsia" w:ascii="仿宋_GB2312" w:eastAsia="仿宋_GB2312"/>
          <w:sz w:val="32"/>
          <w:szCs w:val="32"/>
          <w:u w:val="none"/>
        </w:rPr>
        <w:t>附件：表1.部门收支总表</w:t>
      </w:r>
    </w:p>
    <w:p>
      <w:pPr>
        <w:spacing w:line="600" w:lineRule="exact"/>
        <w:ind w:firstLine="640" w:firstLineChars="200"/>
        <w:rPr>
          <w:rFonts w:hint="eastAsia" w:ascii="仿宋_GB2312" w:eastAsia="仿宋_GB2312"/>
          <w:sz w:val="32"/>
          <w:szCs w:val="32"/>
          <w:u w:val="none"/>
        </w:rPr>
      </w:pPr>
      <w:r>
        <w:rPr>
          <w:rFonts w:hint="eastAsia" w:ascii="仿宋_GB2312" w:eastAsia="仿宋_GB2312"/>
          <w:sz w:val="32"/>
          <w:szCs w:val="32"/>
          <w:u w:val="none"/>
        </w:rPr>
        <w:t xml:space="preserve">      表1-1.部门收入总表</w:t>
      </w:r>
    </w:p>
    <w:p>
      <w:pPr>
        <w:spacing w:line="600" w:lineRule="exact"/>
        <w:ind w:firstLine="640" w:firstLineChars="200"/>
        <w:rPr>
          <w:rFonts w:hint="eastAsia" w:ascii="仿宋_GB2312" w:eastAsia="仿宋_GB2312"/>
          <w:sz w:val="32"/>
          <w:szCs w:val="32"/>
          <w:u w:val="none"/>
        </w:rPr>
      </w:pPr>
      <w:r>
        <w:rPr>
          <w:rFonts w:hint="eastAsia" w:ascii="仿宋_GB2312" w:eastAsia="仿宋_GB2312"/>
          <w:sz w:val="32"/>
          <w:szCs w:val="32"/>
          <w:u w:val="none"/>
        </w:rPr>
        <w:t xml:space="preserve">      表1-2.部门支出总表</w:t>
      </w:r>
    </w:p>
    <w:p>
      <w:pPr>
        <w:spacing w:line="600" w:lineRule="exact"/>
        <w:ind w:firstLine="1600" w:firstLineChars="500"/>
        <w:rPr>
          <w:rFonts w:hint="eastAsia" w:ascii="仿宋_GB2312" w:eastAsia="仿宋_GB2312"/>
          <w:sz w:val="32"/>
          <w:szCs w:val="32"/>
          <w:u w:val="none"/>
        </w:rPr>
      </w:pPr>
      <w:r>
        <w:rPr>
          <w:rFonts w:hint="eastAsia" w:ascii="仿宋_GB2312" w:eastAsia="仿宋_GB2312"/>
          <w:sz w:val="32"/>
          <w:szCs w:val="32"/>
          <w:u w:val="none"/>
        </w:rPr>
        <w:t>表2.财政拨款收支预算总表</w:t>
      </w:r>
    </w:p>
    <w:p>
      <w:pPr>
        <w:spacing w:line="600" w:lineRule="exact"/>
        <w:ind w:firstLine="1600" w:firstLineChars="500"/>
        <w:rPr>
          <w:rFonts w:hint="eastAsia" w:ascii="仿宋_GB2312" w:eastAsia="仿宋_GB2312"/>
          <w:sz w:val="32"/>
          <w:szCs w:val="32"/>
          <w:u w:val="none"/>
        </w:rPr>
      </w:pPr>
      <w:r>
        <w:rPr>
          <w:rFonts w:hint="eastAsia" w:ascii="仿宋_GB2312" w:eastAsia="仿宋_GB2312"/>
          <w:sz w:val="32"/>
          <w:szCs w:val="32"/>
          <w:u w:val="none"/>
        </w:rPr>
        <w:t>表2-1.财政拨款支出预算表</w:t>
      </w:r>
    </w:p>
    <w:p>
      <w:pPr>
        <w:spacing w:line="600" w:lineRule="exact"/>
        <w:ind w:firstLine="1600" w:firstLineChars="500"/>
        <w:rPr>
          <w:rFonts w:hint="eastAsia" w:ascii="仿宋_GB2312" w:eastAsia="仿宋_GB2312"/>
          <w:sz w:val="32"/>
          <w:szCs w:val="32"/>
          <w:u w:val="none"/>
        </w:rPr>
      </w:pPr>
      <w:r>
        <w:rPr>
          <w:rFonts w:hint="eastAsia" w:ascii="仿宋_GB2312" w:eastAsia="仿宋_GB2312"/>
          <w:sz w:val="32"/>
          <w:szCs w:val="32"/>
          <w:u w:val="none"/>
        </w:rPr>
        <w:t>表3.一般公共预算支出预算表</w:t>
      </w:r>
    </w:p>
    <w:p>
      <w:pPr>
        <w:spacing w:line="600" w:lineRule="exact"/>
        <w:ind w:firstLine="1600" w:firstLineChars="500"/>
        <w:rPr>
          <w:rFonts w:hint="eastAsia" w:ascii="仿宋_GB2312" w:eastAsia="仿宋_GB2312"/>
          <w:sz w:val="32"/>
          <w:szCs w:val="32"/>
          <w:u w:val="none"/>
        </w:rPr>
      </w:pPr>
      <w:r>
        <w:rPr>
          <w:rFonts w:hint="eastAsia" w:ascii="仿宋_GB2312" w:eastAsia="仿宋_GB2312"/>
          <w:sz w:val="32"/>
          <w:szCs w:val="32"/>
          <w:u w:val="none"/>
        </w:rPr>
        <w:t>表3-1.一般公共预算基本支出预算表</w:t>
      </w:r>
    </w:p>
    <w:p>
      <w:pPr>
        <w:spacing w:line="600" w:lineRule="exact"/>
        <w:ind w:firstLine="1600" w:firstLineChars="500"/>
        <w:rPr>
          <w:rFonts w:hint="eastAsia" w:ascii="仿宋_GB2312" w:eastAsia="仿宋_GB2312"/>
          <w:sz w:val="32"/>
          <w:szCs w:val="32"/>
          <w:u w:val="none"/>
        </w:rPr>
      </w:pPr>
      <w:r>
        <w:rPr>
          <w:rFonts w:hint="eastAsia" w:ascii="仿宋_GB2312" w:eastAsia="仿宋_GB2312"/>
          <w:sz w:val="32"/>
          <w:szCs w:val="32"/>
          <w:u w:val="none"/>
        </w:rPr>
        <w:t>表3-2.一般公共预算项目支出预算表</w:t>
      </w:r>
    </w:p>
    <w:p>
      <w:pPr>
        <w:spacing w:line="600" w:lineRule="exact"/>
        <w:ind w:firstLine="1600" w:firstLineChars="500"/>
        <w:rPr>
          <w:rFonts w:hint="eastAsia" w:ascii="仿宋_GB2312" w:eastAsia="仿宋_GB2312"/>
          <w:sz w:val="32"/>
          <w:szCs w:val="32"/>
          <w:u w:val="none"/>
        </w:rPr>
      </w:pPr>
      <w:r>
        <w:rPr>
          <w:rFonts w:hint="eastAsia" w:ascii="仿宋_GB2312" w:eastAsia="仿宋_GB2312"/>
          <w:sz w:val="32"/>
          <w:szCs w:val="32"/>
          <w:u w:val="none"/>
        </w:rPr>
        <w:t>表3-3.一般公共预算“三公”经费支出预算表</w:t>
      </w:r>
    </w:p>
    <w:p>
      <w:pPr>
        <w:spacing w:line="600" w:lineRule="exact"/>
        <w:ind w:firstLine="1600" w:firstLineChars="500"/>
        <w:rPr>
          <w:rFonts w:hint="eastAsia" w:ascii="仿宋_GB2312" w:eastAsia="仿宋_GB2312"/>
          <w:sz w:val="32"/>
          <w:szCs w:val="32"/>
          <w:u w:val="none"/>
        </w:rPr>
      </w:pPr>
      <w:r>
        <w:rPr>
          <w:rFonts w:hint="eastAsia" w:ascii="仿宋_GB2312" w:eastAsia="仿宋_GB2312"/>
          <w:sz w:val="32"/>
          <w:szCs w:val="32"/>
          <w:u w:val="none"/>
        </w:rPr>
        <w:t>表4.政府性基金支出预算表</w:t>
      </w:r>
    </w:p>
    <w:p>
      <w:pPr>
        <w:spacing w:line="600" w:lineRule="exact"/>
        <w:ind w:firstLine="1600" w:firstLineChars="500"/>
        <w:rPr>
          <w:rFonts w:hint="eastAsia" w:ascii="仿宋_GB2312" w:eastAsia="仿宋_GB2312"/>
          <w:sz w:val="32"/>
          <w:szCs w:val="32"/>
          <w:u w:val="none"/>
        </w:rPr>
      </w:pPr>
      <w:r>
        <w:rPr>
          <w:rFonts w:hint="eastAsia" w:ascii="仿宋_GB2312" w:eastAsia="仿宋_GB2312"/>
          <w:sz w:val="32"/>
          <w:szCs w:val="32"/>
          <w:u w:val="none"/>
        </w:rPr>
        <w:t>表4-1.政府性基金预算“三公”经费支出预算表</w:t>
      </w:r>
    </w:p>
    <w:p>
      <w:pPr>
        <w:spacing w:line="600" w:lineRule="exact"/>
        <w:ind w:firstLine="1600" w:firstLineChars="500"/>
        <w:rPr>
          <w:rFonts w:hint="eastAsia" w:ascii="仿宋_GB2312" w:eastAsia="仿宋_GB2312"/>
          <w:sz w:val="32"/>
          <w:szCs w:val="32"/>
          <w:u w:val="none"/>
        </w:rPr>
      </w:pPr>
      <w:r>
        <w:rPr>
          <w:rFonts w:hint="eastAsia" w:ascii="仿宋_GB2312" w:eastAsia="仿宋_GB2312"/>
          <w:sz w:val="32"/>
          <w:szCs w:val="32"/>
          <w:u w:val="none"/>
        </w:rPr>
        <w:t>表5.国有资本经营预算支出预算表</w:t>
      </w:r>
    </w:p>
    <w:p>
      <w:pPr>
        <w:spacing w:line="600" w:lineRule="exact"/>
        <w:ind w:firstLine="1600" w:firstLineChars="500"/>
        <w:rPr>
          <w:rFonts w:hint="eastAsia" w:ascii="仿宋_GB2312" w:eastAsia="仿宋_GB2312"/>
          <w:sz w:val="32"/>
          <w:szCs w:val="32"/>
          <w:u w:val="none"/>
        </w:rPr>
      </w:pPr>
      <w:r>
        <w:rPr>
          <w:rFonts w:hint="eastAsia" w:ascii="仿宋_GB2312" w:eastAsia="仿宋_GB2312"/>
          <w:sz w:val="32"/>
          <w:szCs w:val="32"/>
          <w:u w:val="none"/>
        </w:rPr>
        <w:t>表6.（部门）单位预算项目绩效目标表</w:t>
      </w:r>
    </w:p>
    <w:bookmarkEnd w:id="13"/>
    <w:bookmarkEnd w:id="14"/>
    <w:p>
      <w:pPr>
        <w:spacing w:line="600" w:lineRule="exact"/>
        <w:ind w:firstLine="640" w:firstLineChars="200"/>
        <w:rPr>
          <w:rFonts w:hint="eastAsia" w:ascii="仿宋_GB2312" w:eastAsia="仿宋_GB2312"/>
          <w:sz w:val="32"/>
          <w:szCs w:val="32"/>
          <w:u w:val="none"/>
        </w:rPr>
      </w:pP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210701"/>
      <w:docPartObj>
        <w:docPartGallery w:val="autotext"/>
      </w:docPartObj>
    </w:sdtPr>
    <w:sdtContent>
      <w:p>
        <w:pPr>
          <w:pStyle w:val="9"/>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IzZjExODZjZTdlNzI5NzkwMDdlYWFhNGUyYjdkODAifQ=="/>
  </w:docVars>
  <w:rsids>
    <w:rsidRoot w:val="001A06A8"/>
    <w:rsid w:val="00005F6E"/>
    <w:rsid w:val="000121DC"/>
    <w:rsid w:val="0002158A"/>
    <w:rsid w:val="00036CA3"/>
    <w:rsid w:val="00054BD5"/>
    <w:rsid w:val="0005661A"/>
    <w:rsid w:val="00092F53"/>
    <w:rsid w:val="000A2237"/>
    <w:rsid w:val="001117B4"/>
    <w:rsid w:val="00133AFA"/>
    <w:rsid w:val="001439DF"/>
    <w:rsid w:val="00192A8C"/>
    <w:rsid w:val="001A06A8"/>
    <w:rsid w:val="001A53E4"/>
    <w:rsid w:val="001B6C75"/>
    <w:rsid w:val="001D68B3"/>
    <w:rsid w:val="0020158E"/>
    <w:rsid w:val="00262F7C"/>
    <w:rsid w:val="00287DA3"/>
    <w:rsid w:val="002A35A4"/>
    <w:rsid w:val="002F148F"/>
    <w:rsid w:val="00303242"/>
    <w:rsid w:val="00304E76"/>
    <w:rsid w:val="00314AD1"/>
    <w:rsid w:val="00331C05"/>
    <w:rsid w:val="00377627"/>
    <w:rsid w:val="00395B07"/>
    <w:rsid w:val="004157AF"/>
    <w:rsid w:val="004D6708"/>
    <w:rsid w:val="0055073C"/>
    <w:rsid w:val="005576B3"/>
    <w:rsid w:val="005C0ADA"/>
    <w:rsid w:val="005E3C57"/>
    <w:rsid w:val="005F5626"/>
    <w:rsid w:val="00622E39"/>
    <w:rsid w:val="00630479"/>
    <w:rsid w:val="00642895"/>
    <w:rsid w:val="006667C3"/>
    <w:rsid w:val="0068192E"/>
    <w:rsid w:val="00682F07"/>
    <w:rsid w:val="006C277A"/>
    <w:rsid w:val="006C68F5"/>
    <w:rsid w:val="006D0429"/>
    <w:rsid w:val="006D4BC1"/>
    <w:rsid w:val="00701766"/>
    <w:rsid w:val="00732620"/>
    <w:rsid w:val="007522C1"/>
    <w:rsid w:val="00766B4E"/>
    <w:rsid w:val="007E1C46"/>
    <w:rsid w:val="008274E0"/>
    <w:rsid w:val="008714D6"/>
    <w:rsid w:val="00896A94"/>
    <w:rsid w:val="008D0265"/>
    <w:rsid w:val="009145D2"/>
    <w:rsid w:val="009167D8"/>
    <w:rsid w:val="00924AA1"/>
    <w:rsid w:val="00964877"/>
    <w:rsid w:val="009D4085"/>
    <w:rsid w:val="00A11B28"/>
    <w:rsid w:val="00A72297"/>
    <w:rsid w:val="00A91474"/>
    <w:rsid w:val="00AC0C15"/>
    <w:rsid w:val="00AD55FB"/>
    <w:rsid w:val="00B43AA1"/>
    <w:rsid w:val="00B45839"/>
    <w:rsid w:val="00B47861"/>
    <w:rsid w:val="00B67EE5"/>
    <w:rsid w:val="00BA5BF9"/>
    <w:rsid w:val="00BE1F61"/>
    <w:rsid w:val="00C07F91"/>
    <w:rsid w:val="00C30C5A"/>
    <w:rsid w:val="00C963DB"/>
    <w:rsid w:val="00D12E00"/>
    <w:rsid w:val="00D1799A"/>
    <w:rsid w:val="00D23F9B"/>
    <w:rsid w:val="00DA2AD6"/>
    <w:rsid w:val="00DA6DA0"/>
    <w:rsid w:val="00DA7FEF"/>
    <w:rsid w:val="00DB7247"/>
    <w:rsid w:val="00E13850"/>
    <w:rsid w:val="00E45B69"/>
    <w:rsid w:val="00E45F5A"/>
    <w:rsid w:val="00EA12EC"/>
    <w:rsid w:val="00EB2149"/>
    <w:rsid w:val="00EB6C18"/>
    <w:rsid w:val="00ED0AFA"/>
    <w:rsid w:val="00ED3CF4"/>
    <w:rsid w:val="00F12858"/>
    <w:rsid w:val="00F37583"/>
    <w:rsid w:val="00F714A0"/>
    <w:rsid w:val="00FC64ED"/>
    <w:rsid w:val="00FD3811"/>
    <w:rsid w:val="00FE2B6F"/>
    <w:rsid w:val="24CF0612"/>
    <w:rsid w:val="5C643EC4"/>
    <w:rsid w:val="5CF521C0"/>
    <w:rsid w:val="685844D1"/>
    <w:rsid w:val="76685904"/>
    <w:rsid w:val="7DF610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21"/>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2"/>
    <w:qFormat/>
    <w:uiPriority w:val="99"/>
    <w:pPr>
      <w:spacing w:beforeLines="30"/>
    </w:pPr>
    <w:rPr>
      <w:rFonts w:ascii="仿宋_GB2312" w:eastAsia="仿宋_GB2312"/>
      <w:kern w:val="0"/>
      <w:sz w:val="24"/>
      <w:szCs w:val="20"/>
      <w:lang w:val="zh-CN"/>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link w:val="23"/>
    <w:qFormat/>
    <w:uiPriority w:val="0"/>
    <w:rPr>
      <w:rFonts w:ascii="宋体" w:hAnsi="Courier New"/>
    </w:rPr>
  </w:style>
  <w:style w:type="paragraph" w:styleId="8">
    <w:name w:val="Balloon Text"/>
    <w:basedOn w:val="1"/>
    <w:link w:val="24"/>
    <w:semiHidden/>
    <w:unhideWhenUsed/>
    <w:qFormat/>
    <w:uiPriority w:val="99"/>
    <w:rPr>
      <w:sz w:val="18"/>
      <w:szCs w:val="18"/>
    </w:rPr>
  </w:style>
  <w:style w:type="paragraph" w:styleId="9">
    <w:name w:val="footer"/>
    <w:basedOn w:val="1"/>
    <w:link w:val="18"/>
    <w:unhideWhenUsed/>
    <w:qFormat/>
    <w:uiPriority w:val="99"/>
    <w:pPr>
      <w:tabs>
        <w:tab w:val="center" w:pos="4153"/>
        <w:tab w:val="right" w:pos="8306"/>
      </w:tabs>
      <w:snapToGrid w:val="0"/>
      <w:jc w:val="left"/>
    </w:pPr>
    <w:rPr>
      <w:sz w:val="18"/>
      <w:szCs w:val="18"/>
    </w:rPr>
  </w:style>
  <w:style w:type="paragraph" w:styleId="10">
    <w:name w:val="header"/>
    <w:basedOn w:val="1"/>
    <w:link w:val="1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qFormat/>
    <w:uiPriority w:val="99"/>
    <w:rPr>
      <w:rFonts w:cs="Times New Roman"/>
      <w:b/>
    </w:rPr>
  </w:style>
  <w:style w:type="character" w:styleId="16">
    <w:name w:val="Hyperlink"/>
    <w:unhideWhenUsed/>
    <w:qFormat/>
    <w:uiPriority w:val="99"/>
    <w:rPr>
      <w:rFonts w:cs="Times New Roman"/>
      <w:color w:val="0000FF"/>
      <w:u w:val="single"/>
    </w:rPr>
  </w:style>
  <w:style w:type="character" w:customStyle="1" w:styleId="17">
    <w:name w:val="页眉 Char"/>
    <w:basedOn w:val="14"/>
    <w:link w:val="10"/>
    <w:semiHidden/>
    <w:qFormat/>
    <w:uiPriority w:val="99"/>
    <w:rPr>
      <w:sz w:val="18"/>
      <w:szCs w:val="18"/>
    </w:rPr>
  </w:style>
  <w:style w:type="character" w:customStyle="1" w:styleId="18">
    <w:name w:val="页脚 Char"/>
    <w:basedOn w:val="14"/>
    <w:link w:val="9"/>
    <w:qFormat/>
    <w:uiPriority w:val="99"/>
    <w:rPr>
      <w:sz w:val="18"/>
      <w:szCs w:val="18"/>
    </w:rPr>
  </w:style>
  <w:style w:type="character" w:customStyle="1" w:styleId="19">
    <w:name w:val="标题 1 Char"/>
    <w:basedOn w:val="14"/>
    <w:link w:val="2"/>
    <w:qFormat/>
    <w:uiPriority w:val="9"/>
    <w:rPr>
      <w:rFonts w:ascii="Times New Roman" w:hAnsi="Times New Roman" w:eastAsia="宋体" w:cs="Times New Roman"/>
      <w:b/>
      <w:bCs/>
      <w:kern w:val="44"/>
      <w:sz w:val="44"/>
      <w:szCs w:val="44"/>
    </w:rPr>
  </w:style>
  <w:style w:type="character" w:customStyle="1" w:styleId="20">
    <w:name w:val="标题 2 Char"/>
    <w:basedOn w:val="14"/>
    <w:link w:val="3"/>
    <w:qFormat/>
    <w:uiPriority w:val="9"/>
    <w:rPr>
      <w:rFonts w:ascii="Cambria" w:hAnsi="Cambria" w:eastAsia="宋体" w:cs="Times New Roman"/>
      <w:b/>
      <w:bCs/>
      <w:sz w:val="32"/>
      <w:szCs w:val="32"/>
    </w:rPr>
  </w:style>
  <w:style w:type="character" w:customStyle="1" w:styleId="21">
    <w:name w:val="标题 3 Char"/>
    <w:basedOn w:val="14"/>
    <w:link w:val="4"/>
    <w:qFormat/>
    <w:uiPriority w:val="9"/>
    <w:rPr>
      <w:rFonts w:ascii="Times New Roman" w:hAnsi="Times New Roman" w:eastAsia="宋体" w:cs="Times New Roman"/>
      <w:b/>
      <w:bCs/>
      <w:sz w:val="32"/>
      <w:szCs w:val="32"/>
    </w:rPr>
  </w:style>
  <w:style w:type="character" w:customStyle="1" w:styleId="22">
    <w:name w:val="正文文本 Char"/>
    <w:basedOn w:val="14"/>
    <w:link w:val="5"/>
    <w:qFormat/>
    <w:uiPriority w:val="99"/>
    <w:rPr>
      <w:rFonts w:ascii="仿宋_GB2312" w:hAnsi="Times New Roman" w:eastAsia="仿宋_GB2312" w:cs="Times New Roman"/>
      <w:kern w:val="0"/>
      <w:sz w:val="24"/>
      <w:szCs w:val="20"/>
      <w:lang w:val="zh-CN"/>
    </w:rPr>
  </w:style>
  <w:style w:type="character" w:customStyle="1" w:styleId="23">
    <w:name w:val="纯文本 Char"/>
    <w:basedOn w:val="14"/>
    <w:link w:val="7"/>
    <w:uiPriority w:val="99"/>
    <w:rPr>
      <w:rFonts w:ascii="宋体" w:hAnsi="Courier New" w:eastAsia="宋体" w:cs="Times New Roman"/>
      <w:szCs w:val="24"/>
    </w:rPr>
  </w:style>
  <w:style w:type="character" w:customStyle="1" w:styleId="24">
    <w:name w:val="批注框文本 Char"/>
    <w:basedOn w:val="14"/>
    <w:link w:val="8"/>
    <w:semiHidden/>
    <w:qFormat/>
    <w:uiPriority w:val="99"/>
    <w:rPr>
      <w:rFonts w:ascii="Times New Roman" w:hAnsi="Times New Roman" w:eastAsia="宋体" w:cs="Times New Roman"/>
      <w:sz w:val="18"/>
      <w:szCs w:val="18"/>
    </w:rPr>
  </w:style>
  <w:style w:type="character" w:customStyle="1" w:styleId="25">
    <w:name w:val="Body Text Char"/>
    <w:semiHidden/>
    <w:qFormat/>
    <w:uiPriority w:val="99"/>
    <w:rPr>
      <w:rFonts w:ascii="Times New Roman" w:hAnsi="Times New Roman" w:cs="Times New Roman"/>
      <w:sz w:val="24"/>
      <w:szCs w:val="24"/>
    </w:rPr>
  </w:style>
  <w:style w:type="character" w:customStyle="1" w:styleId="26">
    <w:name w:val="Footer Char"/>
    <w:semiHidden/>
    <w:qFormat/>
    <w:uiPriority w:val="99"/>
    <w:rPr>
      <w:rFonts w:ascii="Times New Roman" w:hAnsi="Times New Roman" w:cs="Times New Roman"/>
      <w:sz w:val="18"/>
      <w:szCs w:val="18"/>
    </w:rPr>
  </w:style>
  <w:style w:type="character" w:customStyle="1" w:styleId="27">
    <w:name w:val="Header Char"/>
    <w:semiHidden/>
    <w:qFormat/>
    <w:uiPriority w:val="99"/>
    <w:rPr>
      <w:rFonts w:ascii="Times New Roman" w:hAnsi="Times New Roman" w:cs="Times New Roman"/>
      <w:sz w:val="18"/>
      <w:szCs w:val="18"/>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customStyle="1" w:styleId="29">
    <w:name w:val="列出段落1"/>
    <w:basedOn w:val="1"/>
    <w:qFormat/>
    <w:uiPriority w:val="34"/>
    <w:pPr>
      <w:ind w:firstLine="420" w:firstLineChars="200"/>
    </w:pPr>
  </w:style>
  <w:style w:type="paragraph" w:customStyle="1" w:styleId="30">
    <w:name w:val="TOC 标题1"/>
    <w:basedOn w:val="2"/>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31">
    <w:name w:val="TOC Heading1"/>
    <w:basedOn w:val="2"/>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32">
    <w:name w:val="font11"/>
    <w:basedOn w:val="14"/>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ompany>
  <Pages>15</Pages>
  <Words>5733</Words>
  <Characters>6214</Characters>
  <Lines>61</Lines>
  <Paragraphs>17</Paragraphs>
  <TotalTime>1</TotalTime>
  <ScaleCrop>false</ScaleCrop>
  <LinksUpToDate>false</LinksUpToDate>
  <CharactersWithSpaces>6318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2022-07-13T05:16:00Z</dcterms:created>
  <dc:creator>test</dc:creator>
  <cp:lastModifiedBy>Administrator</cp:lastModifiedBy>
  <cp:lastPrinted>2021-10-12T03:38:00Z</cp:lastPrinted>
  <dcterms:modified xsi:type="dcterms:W3CDTF">2022-07-14T04:17:40Z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591E2C6EE4954D58A996E17C642EF03B</vt:lpwstr>
  </property>
</Properties>
</file>