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before="285" w:beforeAutospacing="0" w:after="285" w:afterAutospacing="0" w:line="0" w:lineRule="atLeast"/>
        <w:jc w:val="center"/>
        <w:rPr>
          <w:rFonts w:ascii="方正小标宋_GBK" w:hAnsi="方正小标宋_GBK" w:eastAsia="方正小标宋_GBK" w:cs="方正小标宋_GBK"/>
          <w:color w:val="333333"/>
          <w:sz w:val="44"/>
          <w:szCs w:val="44"/>
        </w:rPr>
      </w:pPr>
      <w:r>
        <w:rPr>
          <w:rFonts w:hint="eastAsia" w:ascii="方正小标宋_GBK" w:hAnsi="方正小标宋_GBK" w:eastAsia="方正小标宋_GBK" w:cs="方正小标宋_GBK"/>
          <w:color w:val="333333"/>
          <w:sz w:val="44"/>
          <w:szCs w:val="44"/>
        </w:rPr>
        <w:t>攀枝花市公安局交通警察支队</w:t>
      </w:r>
    </w:p>
    <w:p>
      <w:pPr>
        <w:pStyle w:val="5"/>
        <w:shd w:val="clear" w:color="auto" w:fill="FFFFFF"/>
        <w:spacing w:before="285" w:beforeAutospacing="0" w:after="285" w:afterAutospacing="0" w:line="0" w:lineRule="atLeast"/>
        <w:jc w:val="center"/>
        <w:rPr>
          <w:rFonts w:ascii="方正小标宋_GBK" w:hAnsi="方正小标宋_GBK" w:eastAsia="方正小标宋_GBK" w:cs="方正小标宋_GBK"/>
          <w:color w:val="333333"/>
          <w:sz w:val="44"/>
          <w:szCs w:val="44"/>
        </w:rPr>
      </w:pPr>
      <w:r>
        <w:rPr>
          <w:rFonts w:hint="eastAsia" w:ascii="方正小标宋_GBK" w:hAnsi="方正小标宋_GBK" w:eastAsia="方正小标宋_GBK" w:cs="方正小标宋_GBK"/>
          <w:color w:val="333333"/>
          <w:sz w:val="44"/>
          <w:szCs w:val="44"/>
        </w:rPr>
        <w:t>2021年部门预算编制说明</w:t>
      </w:r>
    </w:p>
    <w:p>
      <w:pPr>
        <w:pStyle w:val="5"/>
        <w:shd w:val="clear" w:color="auto" w:fill="FFFFFF"/>
        <w:spacing w:before="0" w:beforeAutospacing="0" w:after="0" w:afterAutospacing="0" w:line="10" w:lineRule="atLeast"/>
        <w:rPr>
          <w:rFonts w:ascii="Arial" w:hAnsi="Arial" w:cs="Arial"/>
          <w:color w:val="333333"/>
          <w:sz w:val="28"/>
          <w:szCs w:val="28"/>
        </w:rPr>
      </w:pPr>
      <w:r>
        <w:rPr>
          <w:rFonts w:ascii="Arial" w:hAnsi="Arial" w:cs="Arial"/>
          <w:color w:val="333333"/>
          <w:sz w:val="28"/>
          <w:szCs w:val="28"/>
        </w:rPr>
        <w:t>    </w:t>
      </w:r>
    </w:p>
    <w:sdt>
      <w:sdtPr>
        <w:rPr>
          <w:rFonts w:ascii="宋体" w:hAnsi="宋体" w:eastAsia="宋体" w:cs="宋体"/>
          <w:kern w:val="0"/>
          <w:sz w:val="28"/>
          <w:szCs w:val="28"/>
        </w:rPr>
        <w:id w:val="147463141"/>
        <w:docPartObj>
          <w:docPartGallery w:val="Table of Contents"/>
          <w:docPartUnique/>
        </w:docPartObj>
      </w:sdtPr>
      <w:sdtEndPr>
        <w:rPr>
          <w:rFonts w:ascii="Arial" w:hAnsi="Arial" w:eastAsia="宋体" w:cs="Arial"/>
          <w:b/>
          <w:color w:val="333333"/>
          <w:kern w:val="0"/>
          <w:sz w:val="24"/>
          <w:szCs w:val="30"/>
        </w:rPr>
      </w:sdtEndPr>
      <w:sdtContent>
        <w:p>
          <w:pPr>
            <w:spacing w:line="10" w:lineRule="atLeast"/>
            <w:jc w:val="center"/>
            <w:rPr>
              <w:sz w:val="28"/>
              <w:szCs w:val="28"/>
            </w:rPr>
          </w:pPr>
          <w:r>
            <w:rPr>
              <w:rFonts w:ascii="宋体" w:hAnsi="宋体" w:eastAsia="宋体"/>
              <w:sz w:val="28"/>
              <w:szCs w:val="28"/>
            </w:rPr>
            <w:t>目录</w:t>
          </w:r>
        </w:p>
        <w:p>
          <w:pPr>
            <w:pStyle w:val="12"/>
            <w:tabs>
              <w:tab w:val="right" w:leader="dot" w:pos="8306"/>
            </w:tabs>
            <w:spacing w:line="10" w:lineRule="atLeast"/>
            <w:rPr>
              <w:b/>
              <w:sz w:val="28"/>
              <w:szCs w:val="28"/>
            </w:rPr>
          </w:pPr>
          <w:r>
            <w:rPr>
              <w:rFonts w:ascii="Arial" w:hAnsi="Arial" w:cs="Arial"/>
              <w:color w:val="333333"/>
              <w:sz w:val="28"/>
              <w:szCs w:val="28"/>
            </w:rPr>
            <w:fldChar w:fldCharType="begin"/>
          </w:r>
          <w:r>
            <w:rPr>
              <w:rFonts w:ascii="Arial" w:hAnsi="Arial" w:cs="Arial"/>
              <w:color w:val="333333"/>
              <w:sz w:val="28"/>
              <w:szCs w:val="28"/>
            </w:rPr>
            <w:instrText xml:space="preserve">TOC \o "1-2" \h \u </w:instrText>
          </w:r>
          <w:r>
            <w:rPr>
              <w:rFonts w:ascii="Arial" w:hAnsi="Arial" w:cs="Arial"/>
              <w:color w:val="333333"/>
              <w:sz w:val="28"/>
              <w:szCs w:val="28"/>
            </w:rPr>
            <w:fldChar w:fldCharType="separate"/>
          </w:r>
          <w:r>
            <w:fldChar w:fldCharType="begin"/>
          </w:r>
          <w:r>
            <w:instrText xml:space="preserve"> HYPERLINK \l "_Toc1684" </w:instrText>
          </w:r>
          <w:r>
            <w:fldChar w:fldCharType="separate"/>
          </w:r>
          <w:r>
            <w:rPr>
              <w:rFonts w:hint="eastAsia" w:ascii="黑体" w:hAnsi="黑体" w:eastAsia="黑体" w:cs="Arial"/>
              <w:b/>
              <w:bCs/>
              <w:sz w:val="28"/>
              <w:szCs w:val="28"/>
            </w:rPr>
            <w:t>一、基本职能及主要工作</w:t>
          </w:r>
          <w:r>
            <w:rPr>
              <w:b/>
              <w:sz w:val="28"/>
              <w:szCs w:val="28"/>
            </w:rPr>
            <w:tab/>
          </w:r>
          <w:r>
            <w:rPr>
              <w:b/>
              <w:sz w:val="28"/>
              <w:szCs w:val="28"/>
            </w:rPr>
            <w:fldChar w:fldCharType="begin"/>
          </w:r>
          <w:r>
            <w:rPr>
              <w:b/>
              <w:sz w:val="28"/>
              <w:szCs w:val="28"/>
            </w:rPr>
            <w:instrText xml:space="preserve"> PAGEREF _Toc1684 </w:instrText>
          </w:r>
          <w:r>
            <w:rPr>
              <w:b/>
              <w:sz w:val="28"/>
              <w:szCs w:val="28"/>
            </w:rPr>
            <w:fldChar w:fldCharType="separate"/>
          </w:r>
          <w:r>
            <w:rPr>
              <w:b/>
              <w:sz w:val="28"/>
              <w:szCs w:val="28"/>
            </w:rPr>
            <w:t>1</w:t>
          </w:r>
          <w:r>
            <w:rPr>
              <w:b/>
              <w:sz w:val="28"/>
              <w:szCs w:val="28"/>
            </w:rPr>
            <w:fldChar w:fldCharType="end"/>
          </w:r>
          <w:r>
            <w:rPr>
              <w:b/>
              <w:sz w:val="28"/>
              <w:szCs w:val="28"/>
            </w:rPr>
            <w:fldChar w:fldCharType="end"/>
          </w:r>
        </w:p>
        <w:p>
          <w:pPr>
            <w:pStyle w:val="13"/>
            <w:tabs>
              <w:tab w:val="right" w:leader="dot" w:pos="8306"/>
            </w:tabs>
            <w:spacing w:line="10" w:lineRule="atLeast"/>
            <w:ind w:left="420"/>
            <w:rPr>
              <w:sz w:val="28"/>
              <w:szCs w:val="28"/>
            </w:rPr>
          </w:pPr>
          <w:r>
            <w:fldChar w:fldCharType="begin"/>
          </w:r>
          <w:r>
            <w:instrText xml:space="preserve"> HYPERLINK \l "_Toc9355" </w:instrText>
          </w:r>
          <w:r>
            <w:fldChar w:fldCharType="separate"/>
          </w:r>
          <w:r>
            <w:rPr>
              <w:rFonts w:hint="eastAsia" w:ascii="楷体_GB2312" w:hAnsi="Arial" w:eastAsia="楷体_GB2312" w:cs="Arial"/>
              <w:sz w:val="28"/>
              <w:szCs w:val="28"/>
            </w:rPr>
            <w:t>（一）交警支队职能简介。</w:t>
          </w:r>
          <w:r>
            <w:rPr>
              <w:sz w:val="28"/>
              <w:szCs w:val="28"/>
            </w:rPr>
            <w:tab/>
          </w:r>
          <w:r>
            <w:rPr>
              <w:sz w:val="28"/>
              <w:szCs w:val="28"/>
            </w:rPr>
            <w:fldChar w:fldCharType="begin"/>
          </w:r>
          <w:r>
            <w:rPr>
              <w:sz w:val="28"/>
              <w:szCs w:val="28"/>
            </w:rPr>
            <w:instrText xml:space="preserve"> PAGEREF _Toc9355 </w:instrText>
          </w:r>
          <w:r>
            <w:rPr>
              <w:sz w:val="28"/>
              <w:szCs w:val="28"/>
            </w:rPr>
            <w:fldChar w:fldCharType="separate"/>
          </w:r>
          <w:r>
            <w:rPr>
              <w:sz w:val="28"/>
              <w:szCs w:val="28"/>
            </w:rPr>
            <w:t>1</w:t>
          </w:r>
          <w:r>
            <w:rPr>
              <w:sz w:val="28"/>
              <w:szCs w:val="28"/>
            </w:rPr>
            <w:fldChar w:fldCharType="end"/>
          </w:r>
          <w:r>
            <w:rPr>
              <w:sz w:val="28"/>
              <w:szCs w:val="28"/>
            </w:rPr>
            <w:fldChar w:fldCharType="end"/>
          </w:r>
        </w:p>
        <w:p>
          <w:pPr>
            <w:pStyle w:val="13"/>
            <w:tabs>
              <w:tab w:val="right" w:leader="dot" w:pos="8306"/>
            </w:tabs>
            <w:spacing w:line="10" w:lineRule="atLeast"/>
            <w:ind w:left="420"/>
            <w:rPr>
              <w:sz w:val="28"/>
              <w:szCs w:val="28"/>
            </w:rPr>
          </w:pPr>
          <w:r>
            <w:fldChar w:fldCharType="begin"/>
          </w:r>
          <w:r>
            <w:instrText xml:space="preserve"> HYPERLINK \l "_Toc17604" </w:instrText>
          </w:r>
          <w:r>
            <w:fldChar w:fldCharType="separate"/>
          </w:r>
          <w:r>
            <w:rPr>
              <w:rFonts w:hint="eastAsia" w:ascii="楷体_GB2312" w:hAnsi="Arial" w:eastAsia="楷体_GB2312" w:cs="Arial"/>
              <w:sz w:val="28"/>
              <w:szCs w:val="28"/>
            </w:rPr>
            <w:t>（二）交警支队2021年重点工作。</w:t>
          </w:r>
          <w:r>
            <w:rPr>
              <w:sz w:val="28"/>
              <w:szCs w:val="28"/>
            </w:rPr>
            <w:tab/>
          </w:r>
          <w:r>
            <w:rPr>
              <w:sz w:val="28"/>
              <w:szCs w:val="28"/>
            </w:rPr>
            <w:fldChar w:fldCharType="begin"/>
          </w:r>
          <w:r>
            <w:rPr>
              <w:sz w:val="28"/>
              <w:szCs w:val="28"/>
            </w:rPr>
            <w:instrText xml:space="preserve"> PAGEREF _Toc17604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12"/>
            <w:tabs>
              <w:tab w:val="right" w:leader="dot" w:pos="8306"/>
            </w:tabs>
            <w:spacing w:line="10" w:lineRule="atLeast"/>
            <w:rPr>
              <w:b/>
              <w:sz w:val="28"/>
              <w:szCs w:val="28"/>
            </w:rPr>
          </w:pPr>
          <w:r>
            <w:fldChar w:fldCharType="begin"/>
          </w:r>
          <w:r>
            <w:instrText xml:space="preserve"> HYPERLINK \l "_Toc12074" </w:instrText>
          </w:r>
          <w:r>
            <w:fldChar w:fldCharType="separate"/>
          </w:r>
          <w:r>
            <w:rPr>
              <w:rFonts w:hint="eastAsia" w:ascii="黑体" w:hAnsi="黑体" w:eastAsia="黑体" w:cs="Arial"/>
              <w:b/>
              <w:bCs/>
              <w:sz w:val="28"/>
              <w:szCs w:val="28"/>
            </w:rPr>
            <w:t>二、单位构成情况</w:t>
          </w:r>
          <w:r>
            <w:rPr>
              <w:b/>
              <w:sz w:val="28"/>
              <w:szCs w:val="28"/>
            </w:rPr>
            <w:tab/>
          </w:r>
          <w:r>
            <w:rPr>
              <w:b/>
              <w:sz w:val="28"/>
              <w:szCs w:val="28"/>
            </w:rPr>
            <w:fldChar w:fldCharType="begin"/>
          </w:r>
          <w:r>
            <w:rPr>
              <w:b/>
              <w:sz w:val="28"/>
              <w:szCs w:val="28"/>
            </w:rPr>
            <w:instrText xml:space="preserve"> PAGEREF _Toc12074 </w:instrText>
          </w:r>
          <w:r>
            <w:rPr>
              <w:b/>
              <w:sz w:val="28"/>
              <w:szCs w:val="28"/>
            </w:rPr>
            <w:fldChar w:fldCharType="separate"/>
          </w:r>
          <w:r>
            <w:rPr>
              <w:b/>
              <w:sz w:val="28"/>
              <w:szCs w:val="28"/>
            </w:rPr>
            <w:t>5</w:t>
          </w:r>
          <w:r>
            <w:rPr>
              <w:b/>
              <w:sz w:val="28"/>
              <w:szCs w:val="28"/>
            </w:rPr>
            <w:fldChar w:fldCharType="end"/>
          </w:r>
          <w:r>
            <w:rPr>
              <w:b/>
              <w:sz w:val="28"/>
              <w:szCs w:val="28"/>
            </w:rPr>
            <w:fldChar w:fldCharType="end"/>
          </w:r>
        </w:p>
        <w:p>
          <w:pPr>
            <w:pStyle w:val="12"/>
            <w:tabs>
              <w:tab w:val="right" w:leader="dot" w:pos="8306"/>
            </w:tabs>
            <w:spacing w:line="10" w:lineRule="atLeast"/>
            <w:rPr>
              <w:b/>
              <w:sz w:val="28"/>
              <w:szCs w:val="28"/>
            </w:rPr>
          </w:pPr>
          <w:r>
            <w:fldChar w:fldCharType="begin"/>
          </w:r>
          <w:r>
            <w:instrText xml:space="preserve"> HYPERLINK \l "_Toc8823" </w:instrText>
          </w:r>
          <w:r>
            <w:fldChar w:fldCharType="separate"/>
          </w:r>
          <w:r>
            <w:rPr>
              <w:rFonts w:hint="eastAsia" w:ascii="黑体" w:hAnsi="黑体" w:eastAsia="黑体" w:cs="Arial"/>
              <w:b/>
              <w:bCs/>
              <w:sz w:val="28"/>
              <w:szCs w:val="28"/>
            </w:rPr>
            <w:t>三、收支预算情况说明</w:t>
          </w:r>
          <w:r>
            <w:rPr>
              <w:b/>
              <w:sz w:val="28"/>
              <w:szCs w:val="28"/>
            </w:rPr>
            <w:tab/>
          </w:r>
          <w:r>
            <w:rPr>
              <w:b/>
              <w:sz w:val="28"/>
              <w:szCs w:val="28"/>
            </w:rPr>
            <w:fldChar w:fldCharType="begin"/>
          </w:r>
          <w:r>
            <w:rPr>
              <w:b/>
              <w:sz w:val="28"/>
              <w:szCs w:val="28"/>
            </w:rPr>
            <w:instrText xml:space="preserve"> PAGEREF _Toc8823 </w:instrText>
          </w:r>
          <w:r>
            <w:rPr>
              <w:b/>
              <w:sz w:val="28"/>
              <w:szCs w:val="28"/>
            </w:rPr>
            <w:fldChar w:fldCharType="separate"/>
          </w:r>
          <w:r>
            <w:rPr>
              <w:b/>
              <w:sz w:val="28"/>
              <w:szCs w:val="28"/>
            </w:rPr>
            <w:t>5</w:t>
          </w:r>
          <w:r>
            <w:rPr>
              <w:b/>
              <w:sz w:val="28"/>
              <w:szCs w:val="28"/>
            </w:rPr>
            <w:fldChar w:fldCharType="end"/>
          </w:r>
          <w:r>
            <w:rPr>
              <w:b/>
              <w:sz w:val="28"/>
              <w:szCs w:val="28"/>
            </w:rPr>
            <w:fldChar w:fldCharType="end"/>
          </w:r>
        </w:p>
        <w:p>
          <w:pPr>
            <w:pStyle w:val="13"/>
            <w:tabs>
              <w:tab w:val="right" w:leader="dot" w:pos="8306"/>
            </w:tabs>
            <w:spacing w:line="10" w:lineRule="atLeast"/>
            <w:ind w:left="420"/>
            <w:rPr>
              <w:sz w:val="28"/>
              <w:szCs w:val="28"/>
            </w:rPr>
          </w:pPr>
          <w:r>
            <w:fldChar w:fldCharType="begin"/>
          </w:r>
          <w:r>
            <w:instrText xml:space="preserve"> HYPERLINK \l "_Toc13834" </w:instrText>
          </w:r>
          <w:r>
            <w:fldChar w:fldCharType="separate"/>
          </w:r>
          <w:r>
            <w:rPr>
              <w:rFonts w:hint="eastAsia" w:ascii="楷体_GB2312" w:hAnsi="Arial" w:eastAsia="楷体_GB2312" w:cs="Arial"/>
              <w:sz w:val="28"/>
              <w:szCs w:val="28"/>
            </w:rPr>
            <w:t>（一）收入预算情况</w:t>
          </w:r>
          <w:r>
            <w:rPr>
              <w:sz w:val="28"/>
              <w:szCs w:val="28"/>
            </w:rPr>
            <w:tab/>
          </w:r>
          <w:r>
            <w:rPr>
              <w:sz w:val="28"/>
              <w:szCs w:val="28"/>
            </w:rPr>
            <w:fldChar w:fldCharType="begin"/>
          </w:r>
          <w:r>
            <w:rPr>
              <w:sz w:val="28"/>
              <w:szCs w:val="28"/>
            </w:rPr>
            <w:instrText xml:space="preserve"> PAGEREF _Toc13834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13"/>
            <w:tabs>
              <w:tab w:val="right" w:leader="dot" w:pos="8306"/>
            </w:tabs>
            <w:spacing w:line="10" w:lineRule="atLeast"/>
            <w:ind w:left="420"/>
            <w:rPr>
              <w:sz w:val="28"/>
              <w:szCs w:val="28"/>
            </w:rPr>
          </w:pPr>
          <w:r>
            <w:fldChar w:fldCharType="begin"/>
          </w:r>
          <w:r>
            <w:instrText xml:space="preserve"> HYPERLINK \l "_Toc25617" </w:instrText>
          </w:r>
          <w:r>
            <w:fldChar w:fldCharType="separate"/>
          </w:r>
          <w:r>
            <w:rPr>
              <w:rFonts w:hint="eastAsia" w:ascii="楷体_GB2312" w:hAnsi="Arial" w:eastAsia="楷体_GB2312" w:cs="Arial"/>
              <w:sz w:val="28"/>
              <w:szCs w:val="28"/>
            </w:rPr>
            <w:t>（二）支出预算情况</w:t>
          </w:r>
          <w:r>
            <w:rPr>
              <w:sz w:val="28"/>
              <w:szCs w:val="28"/>
            </w:rPr>
            <w:tab/>
          </w:r>
          <w:r>
            <w:rPr>
              <w:sz w:val="28"/>
              <w:szCs w:val="28"/>
            </w:rPr>
            <w:fldChar w:fldCharType="begin"/>
          </w:r>
          <w:r>
            <w:rPr>
              <w:sz w:val="28"/>
              <w:szCs w:val="28"/>
            </w:rPr>
            <w:instrText xml:space="preserve"> PAGEREF _Toc25617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12"/>
            <w:tabs>
              <w:tab w:val="right" w:leader="dot" w:pos="8306"/>
            </w:tabs>
            <w:spacing w:line="10" w:lineRule="atLeast"/>
            <w:rPr>
              <w:b/>
              <w:sz w:val="28"/>
              <w:szCs w:val="28"/>
            </w:rPr>
          </w:pPr>
          <w:r>
            <w:fldChar w:fldCharType="begin"/>
          </w:r>
          <w:r>
            <w:instrText xml:space="preserve"> HYPERLINK \l "_Toc19499" </w:instrText>
          </w:r>
          <w:r>
            <w:fldChar w:fldCharType="separate"/>
          </w:r>
          <w:r>
            <w:rPr>
              <w:rFonts w:hint="eastAsia" w:ascii="黑体" w:hAnsi="黑体" w:eastAsia="黑体" w:cs="Arial"/>
              <w:b/>
              <w:bCs/>
              <w:sz w:val="28"/>
              <w:szCs w:val="28"/>
            </w:rPr>
            <w:t>四、财政拨款收支预算情况说明</w:t>
          </w:r>
          <w:r>
            <w:rPr>
              <w:b/>
              <w:sz w:val="28"/>
              <w:szCs w:val="28"/>
            </w:rPr>
            <w:tab/>
          </w:r>
          <w:r>
            <w:rPr>
              <w:b/>
              <w:sz w:val="28"/>
              <w:szCs w:val="28"/>
            </w:rPr>
            <w:fldChar w:fldCharType="begin"/>
          </w:r>
          <w:r>
            <w:rPr>
              <w:b/>
              <w:sz w:val="28"/>
              <w:szCs w:val="28"/>
            </w:rPr>
            <w:instrText xml:space="preserve"> PAGEREF _Toc19499 </w:instrText>
          </w:r>
          <w:r>
            <w:rPr>
              <w:b/>
              <w:sz w:val="28"/>
              <w:szCs w:val="28"/>
            </w:rPr>
            <w:fldChar w:fldCharType="separate"/>
          </w:r>
          <w:r>
            <w:rPr>
              <w:b/>
              <w:sz w:val="28"/>
              <w:szCs w:val="28"/>
            </w:rPr>
            <w:t>6</w:t>
          </w:r>
          <w:r>
            <w:rPr>
              <w:b/>
              <w:sz w:val="28"/>
              <w:szCs w:val="28"/>
            </w:rPr>
            <w:fldChar w:fldCharType="end"/>
          </w:r>
          <w:r>
            <w:rPr>
              <w:b/>
              <w:sz w:val="28"/>
              <w:szCs w:val="28"/>
            </w:rPr>
            <w:fldChar w:fldCharType="end"/>
          </w:r>
        </w:p>
        <w:p>
          <w:pPr>
            <w:pStyle w:val="12"/>
            <w:tabs>
              <w:tab w:val="right" w:leader="dot" w:pos="8306"/>
            </w:tabs>
            <w:spacing w:line="10" w:lineRule="atLeast"/>
            <w:rPr>
              <w:b/>
              <w:sz w:val="28"/>
              <w:szCs w:val="28"/>
            </w:rPr>
          </w:pPr>
          <w:r>
            <w:fldChar w:fldCharType="begin"/>
          </w:r>
          <w:r>
            <w:instrText xml:space="preserve"> HYPERLINK \l "_Toc30720" </w:instrText>
          </w:r>
          <w:r>
            <w:fldChar w:fldCharType="separate"/>
          </w:r>
          <w:r>
            <w:rPr>
              <w:rFonts w:hint="eastAsia" w:ascii="黑体" w:hAnsi="黑体" w:eastAsia="黑体" w:cs="Arial"/>
              <w:b/>
              <w:bCs/>
              <w:sz w:val="28"/>
              <w:szCs w:val="28"/>
            </w:rPr>
            <w:t>五、一般公共预算当年拨款情况说明</w:t>
          </w:r>
          <w:r>
            <w:rPr>
              <w:b/>
              <w:sz w:val="28"/>
              <w:szCs w:val="28"/>
            </w:rPr>
            <w:tab/>
          </w:r>
          <w:r>
            <w:rPr>
              <w:b/>
              <w:sz w:val="28"/>
              <w:szCs w:val="28"/>
            </w:rPr>
            <w:fldChar w:fldCharType="begin"/>
          </w:r>
          <w:r>
            <w:rPr>
              <w:b/>
              <w:sz w:val="28"/>
              <w:szCs w:val="28"/>
            </w:rPr>
            <w:instrText xml:space="preserve"> PAGEREF _Toc30720 </w:instrText>
          </w:r>
          <w:r>
            <w:rPr>
              <w:b/>
              <w:sz w:val="28"/>
              <w:szCs w:val="28"/>
            </w:rPr>
            <w:fldChar w:fldCharType="separate"/>
          </w:r>
          <w:r>
            <w:rPr>
              <w:b/>
              <w:sz w:val="28"/>
              <w:szCs w:val="28"/>
            </w:rPr>
            <w:t>6</w:t>
          </w:r>
          <w:r>
            <w:rPr>
              <w:b/>
              <w:sz w:val="28"/>
              <w:szCs w:val="28"/>
            </w:rPr>
            <w:fldChar w:fldCharType="end"/>
          </w:r>
          <w:r>
            <w:rPr>
              <w:b/>
              <w:sz w:val="28"/>
              <w:szCs w:val="28"/>
            </w:rPr>
            <w:fldChar w:fldCharType="end"/>
          </w:r>
        </w:p>
        <w:p>
          <w:pPr>
            <w:pStyle w:val="13"/>
            <w:tabs>
              <w:tab w:val="right" w:leader="dot" w:pos="8306"/>
            </w:tabs>
            <w:spacing w:line="10" w:lineRule="atLeast"/>
            <w:ind w:left="420"/>
            <w:rPr>
              <w:sz w:val="28"/>
              <w:szCs w:val="28"/>
            </w:rPr>
          </w:pPr>
          <w:r>
            <w:fldChar w:fldCharType="begin"/>
          </w:r>
          <w:r>
            <w:instrText xml:space="preserve"> HYPERLINK \l "_Toc22534" </w:instrText>
          </w:r>
          <w:r>
            <w:fldChar w:fldCharType="separate"/>
          </w:r>
          <w:r>
            <w:rPr>
              <w:rFonts w:hint="eastAsia" w:ascii="楷体_GB2312" w:hAnsi="Arial" w:eastAsia="楷体_GB2312" w:cs="Arial"/>
              <w:sz w:val="28"/>
              <w:szCs w:val="28"/>
            </w:rPr>
            <w:t>（一）一般公共预算当年拨款规模变化情况</w:t>
          </w:r>
          <w:r>
            <w:rPr>
              <w:sz w:val="28"/>
              <w:szCs w:val="28"/>
            </w:rPr>
            <w:tab/>
          </w:r>
          <w:r>
            <w:rPr>
              <w:sz w:val="28"/>
              <w:szCs w:val="28"/>
            </w:rPr>
            <w:fldChar w:fldCharType="begin"/>
          </w:r>
          <w:r>
            <w:rPr>
              <w:sz w:val="28"/>
              <w:szCs w:val="28"/>
            </w:rPr>
            <w:instrText xml:space="preserve"> PAGEREF _Toc22534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13"/>
            <w:tabs>
              <w:tab w:val="right" w:leader="dot" w:pos="8306"/>
            </w:tabs>
            <w:spacing w:line="10" w:lineRule="atLeast"/>
            <w:ind w:left="420"/>
            <w:rPr>
              <w:sz w:val="28"/>
              <w:szCs w:val="28"/>
            </w:rPr>
          </w:pPr>
          <w:r>
            <w:fldChar w:fldCharType="begin"/>
          </w:r>
          <w:r>
            <w:instrText xml:space="preserve"> HYPERLINK \l "_Toc7571" </w:instrText>
          </w:r>
          <w:r>
            <w:fldChar w:fldCharType="separate"/>
          </w:r>
          <w:r>
            <w:rPr>
              <w:rFonts w:hint="eastAsia" w:ascii="楷体_GB2312" w:hAnsi="Arial" w:eastAsia="楷体_GB2312" w:cs="Arial"/>
              <w:sz w:val="28"/>
              <w:szCs w:val="28"/>
            </w:rPr>
            <w:t>（二）一般公共预算当年拨款结构情况</w:t>
          </w:r>
          <w:r>
            <w:rPr>
              <w:sz w:val="28"/>
              <w:szCs w:val="28"/>
            </w:rPr>
            <w:tab/>
          </w:r>
          <w:r>
            <w:rPr>
              <w:sz w:val="28"/>
              <w:szCs w:val="28"/>
            </w:rPr>
            <w:fldChar w:fldCharType="begin"/>
          </w:r>
          <w:r>
            <w:rPr>
              <w:sz w:val="28"/>
              <w:szCs w:val="28"/>
            </w:rPr>
            <w:instrText xml:space="preserve"> PAGEREF _Toc7571 </w:instrText>
          </w:r>
          <w:r>
            <w:rPr>
              <w:sz w:val="28"/>
              <w:szCs w:val="28"/>
            </w:rPr>
            <w:fldChar w:fldCharType="separate"/>
          </w:r>
          <w:r>
            <w:rPr>
              <w:sz w:val="28"/>
              <w:szCs w:val="28"/>
            </w:rPr>
            <w:t>7</w:t>
          </w:r>
          <w:r>
            <w:rPr>
              <w:sz w:val="28"/>
              <w:szCs w:val="28"/>
            </w:rPr>
            <w:fldChar w:fldCharType="end"/>
          </w:r>
          <w:r>
            <w:rPr>
              <w:sz w:val="28"/>
              <w:szCs w:val="28"/>
            </w:rPr>
            <w:fldChar w:fldCharType="end"/>
          </w:r>
        </w:p>
        <w:p>
          <w:pPr>
            <w:pStyle w:val="13"/>
            <w:tabs>
              <w:tab w:val="right" w:leader="dot" w:pos="8306"/>
            </w:tabs>
            <w:spacing w:line="10" w:lineRule="atLeast"/>
            <w:ind w:left="420"/>
            <w:rPr>
              <w:sz w:val="28"/>
              <w:szCs w:val="28"/>
            </w:rPr>
          </w:pPr>
          <w:r>
            <w:fldChar w:fldCharType="begin"/>
          </w:r>
          <w:r>
            <w:instrText xml:space="preserve"> HYPERLINK \l "_Toc11139" </w:instrText>
          </w:r>
          <w:r>
            <w:fldChar w:fldCharType="separate"/>
          </w:r>
          <w:r>
            <w:rPr>
              <w:rFonts w:hint="eastAsia" w:ascii="楷体_GB2312" w:hAnsi="Arial" w:eastAsia="楷体_GB2312" w:cs="Arial"/>
              <w:sz w:val="28"/>
              <w:szCs w:val="28"/>
            </w:rPr>
            <w:t>（三）一般公共预算当年拨款具体使用情况</w:t>
          </w:r>
          <w:r>
            <w:rPr>
              <w:sz w:val="28"/>
              <w:szCs w:val="28"/>
            </w:rPr>
            <w:tab/>
          </w:r>
          <w:r>
            <w:rPr>
              <w:sz w:val="28"/>
              <w:szCs w:val="28"/>
            </w:rPr>
            <w:fldChar w:fldCharType="begin"/>
          </w:r>
          <w:r>
            <w:rPr>
              <w:sz w:val="28"/>
              <w:szCs w:val="28"/>
            </w:rPr>
            <w:instrText xml:space="preserve"> PAGEREF _Toc11139 </w:instrText>
          </w:r>
          <w:r>
            <w:rPr>
              <w:sz w:val="28"/>
              <w:szCs w:val="28"/>
            </w:rPr>
            <w:fldChar w:fldCharType="separate"/>
          </w:r>
          <w:r>
            <w:rPr>
              <w:sz w:val="28"/>
              <w:szCs w:val="28"/>
            </w:rPr>
            <w:t>7</w:t>
          </w:r>
          <w:r>
            <w:rPr>
              <w:sz w:val="28"/>
              <w:szCs w:val="28"/>
            </w:rPr>
            <w:fldChar w:fldCharType="end"/>
          </w:r>
          <w:r>
            <w:rPr>
              <w:sz w:val="28"/>
              <w:szCs w:val="28"/>
            </w:rPr>
            <w:fldChar w:fldCharType="end"/>
          </w:r>
        </w:p>
        <w:p>
          <w:pPr>
            <w:pStyle w:val="12"/>
            <w:tabs>
              <w:tab w:val="right" w:leader="dot" w:pos="8306"/>
            </w:tabs>
            <w:spacing w:line="10" w:lineRule="atLeast"/>
            <w:rPr>
              <w:b/>
              <w:sz w:val="28"/>
              <w:szCs w:val="28"/>
            </w:rPr>
          </w:pPr>
          <w:r>
            <w:fldChar w:fldCharType="begin"/>
          </w:r>
          <w:r>
            <w:instrText xml:space="preserve"> HYPERLINK \l "_Toc30617" </w:instrText>
          </w:r>
          <w:r>
            <w:fldChar w:fldCharType="separate"/>
          </w:r>
          <w:r>
            <w:rPr>
              <w:rFonts w:hint="eastAsia" w:ascii="黑体" w:hAnsi="黑体" w:eastAsia="黑体" w:cs="Arial"/>
              <w:b/>
              <w:bCs/>
              <w:sz w:val="28"/>
              <w:szCs w:val="28"/>
            </w:rPr>
            <w:t>六、一般公共预算基本支出情况说明</w:t>
          </w:r>
          <w:r>
            <w:rPr>
              <w:b/>
              <w:sz w:val="28"/>
              <w:szCs w:val="28"/>
            </w:rPr>
            <w:tab/>
          </w:r>
          <w:r>
            <w:rPr>
              <w:b/>
              <w:sz w:val="28"/>
              <w:szCs w:val="28"/>
            </w:rPr>
            <w:fldChar w:fldCharType="begin"/>
          </w:r>
          <w:r>
            <w:rPr>
              <w:b/>
              <w:sz w:val="28"/>
              <w:szCs w:val="28"/>
            </w:rPr>
            <w:instrText xml:space="preserve"> PAGEREF _Toc30617 </w:instrText>
          </w:r>
          <w:r>
            <w:rPr>
              <w:b/>
              <w:sz w:val="28"/>
              <w:szCs w:val="28"/>
            </w:rPr>
            <w:fldChar w:fldCharType="separate"/>
          </w:r>
          <w:r>
            <w:rPr>
              <w:b/>
              <w:sz w:val="28"/>
              <w:szCs w:val="28"/>
            </w:rPr>
            <w:t>9</w:t>
          </w:r>
          <w:r>
            <w:rPr>
              <w:b/>
              <w:sz w:val="28"/>
              <w:szCs w:val="28"/>
            </w:rPr>
            <w:fldChar w:fldCharType="end"/>
          </w:r>
          <w:r>
            <w:rPr>
              <w:b/>
              <w:sz w:val="28"/>
              <w:szCs w:val="28"/>
            </w:rPr>
            <w:fldChar w:fldCharType="end"/>
          </w:r>
        </w:p>
        <w:p>
          <w:pPr>
            <w:pStyle w:val="12"/>
            <w:tabs>
              <w:tab w:val="right" w:leader="dot" w:pos="8306"/>
            </w:tabs>
            <w:spacing w:line="10" w:lineRule="atLeast"/>
            <w:rPr>
              <w:b/>
              <w:sz w:val="28"/>
              <w:szCs w:val="28"/>
            </w:rPr>
          </w:pPr>
          <w:r>
            <w:fldChar w:fldCharType="begin"/>
          </w:r>
          <w:r>
            <w:instrText xml:space="preserve"> HYPERLINK \l "_Toc15509" </w:instrText>
          </w:r>
          <w:r>
            <w:fldChar w:fldCharType="separate"/>
          </w:r>
          <w:r>
            <w:rPr>
              <w:rFonts w:hint="eastAsia" w:ascii="黑体" w:hAnsi="黑体" w:eastAsia="黑体" w:cs="Arial"/>
              <w:b/>
              <w:bCs/>
              <w:sz w:val="28"/>
              <w:szCs w:val="28"/>
            </w:rPr>
            <w:t>七、“三公”经费财政拨款预算安排情况说明</w:t>
          </w:r>
          <w:r>
            <w:rPr>
              <w:b/>
              <w:sz w:val="28"/>
              <w:szCs w:val="28"/>
            </w:rPr>
            <w:tab/>
          </w:r>
          <w:r>
            <w:rPr>
              <w:b/>
              <w:sz w:val="28"/>
              <w:szCs w:val="28"/>
            </w:rPr>
            <w:fldChar w:fldCharType="begin"/>
          </w:r>
          <w:r>
            <w:rPr>
              <w:b/>
              <w:sz w:val="28"/>
              <w:szCs w:val="28"/>
            </w:rPr>
            <w:instrText xml:space="preserve"> PAGEREF _Toc15509 </w:instrText>
          </w:r>
          <w:r>
            <w:rPr>
              <w:b/>
              <w:sz w:val="28"/>
              <w:szCs w:val="28"/>
            </w:rPr>
            <w:fldChar w:fldCharType="separate"/>
          </w:r>
          <w:r>
            <w:rPr>
              <w:b/>
              <w:sz w:val="28"/>
              <w:szCs w:val="28"/>
            </w:rPr>
            <w:t>9</w:t>
          </w:r>
          <w:r>
            <w:rPr>
              <w:b/>
              <w:sz w:val="28"/>
              <w:szCs w:val="28"/>
            </w:rPr>
            <w:fldChar w:fldCharType="end"/>
          </w:r>
          <w:r>
            <w:rPr>
              <w:b/>
              <w:sz w:val="28"/>
              <w:szCs w:val="28"/>
            </w:rPr>
            <w:fldChar w:fldCharType="end"/>
          </w:r>
        </w:p>
        <w:p>
          <w:pPr>
            <w:pStyle w:val="12"/>
            <w:tabs>
              <w:tab w:val="right" w:leader="dot" w:pos="8306"/>
            </w:tabs>
            <w:spacing w:line="10" w:lineRule="atLeast"/>
            <w:rPr>
              <w:b/>
              <w:sz w:val="28"/>
              <w:szCs w:val="28"/>
            </w:rPr>
          </w:pPr>
          <w:r>
            <w:fldChar w:fldCharType="begin"/>
          </w:r>
          <w:r>
            <w:instrText xml:space="preserve"> HYPERLINK \l "_Toc4377" </w:instrText>
          </w:r>
          <w:r>
            <w:fldChar w:fldCharType="separate"/>
          </w:r>
          <w:r>
            <w:rPr>
              <w:rFonts w:hint="eastAsia" w:ascii="黑体" w:hAnsi="黑体" w:eastAsia="黑体" w:cs="Arial"/>
              <w:b/>
              <w:bCs/>
              <w:sz w:val="28"/>
              <w:szCs w:val="28"/>
            </w:rPr>
            <w:t>八、政府性基金预算支出情况说明</w:t>
          </w:r>
          <w:r>
            <w:rPr>
              <w:b/>
              <w:sz w:val="28"/>
              <w:szCs w:val="28"/>
            </w:rPr>
            <w:tab/>
          </w:r>
          <w:r>
            <w:rPr>
              <w:b/>
              <w:sz w:val="28"/>
              <w:szCs w:val="28"/>
            </w:rPr>
            <w:fldChar w:fldCharType="begin"/>
          </w:r>
          <w:r>
            <w:rPr>
              <w:b/>
              <w:sz w:val="28"/>
              <w:szCs w:val="28"/>
            </w:rPr>
            <w:instrText xml:space="preserve"> PAGEREF _Toc4377 </w:instrText>
          </w:r>
          <w:r>
            <w:rPr>
              <w:b/>
              <w:sz w:val="28"/>
              <w:szCs w:val="28"/>
            </w:rPr>
            <w:fldChar w:fldCharType="separate"/>
          </w:r>
          <w:r>
            <w:rPr>
              <w:b/>
              <w:sz w:val="28"/>
              <w:szCs w:val="28"/>
            </w:rPr>
            <w:t>11</w:t>
          </w:r>
          <w:r>
            <w:rPr>
              <w:b/>
              <w:sz w:val="28"/>
              <w:szCs w:val="28"/>
            </w:rPr>
            <w:fldChar w:fldCharType="end"/>
          </w:r>
          <w:r>
            <w:rPr>
              <w:b/>
              <w:sz w:val="28"/>
              <w:szCs w:val="28"/>
            </w:rPr>
            <w:fldChar w:fldCharType="end"/>
          </w:r>
        </w:p>
        <w:p>
          <w:pPr>
            <w:pStyle w:val="12"/>
            <w:tabs>
              <w:tab w:val="right" w:leader="dot" w:pos="8306"/>
            </w:tabs>
            <w:spacing w:line="10" w:lineRule="atLeast"/>
            <w:rPr>
              <w:b/>
              <w:sz w:val="28"/>
              <w:szCs w:val="28"/>
            </w:rPr>
          </w:pPr>
          <w:r>
            <w:fldChar w:fldCharType="begin"/>
          </w:r>
          <w:r>
            <w:instrText xml:space="preserve"> HYPERLINK \l "_Toc2971" </w:instrText>
          </w:r>
          <w:r>
            <w:fldChar w:fldCharType="separate"/>
          </w:r>
          <w:r>
            <w:rPr>
              <w:rFonts w:hint="eastAsia" w:ascii="黑体" w:hAnsi="黑体" w:eastAsia="黑体" w:cs="Arial"/>
              <w:b/>
              <w:bCs/>
              <w:sz w:val="28"/>
              <w:szCs w:val="28"/>
            </w:rPr>
            <w:t>九、其他重要事项的情况说明</w:t>
          </w:r>
          <w:r>
            <w:rPr>
              <w:b/>
              <w:sz w:val="28"/>
              <w:szCs w:val="28"/>
            </w:rPr>
            <w:tab/>
          </w:r>
          <w:r>
            <w:rPr>
              <w:b/>
              <w:sz w:val="28"/>
              <w:szCs w:val="28"/>
            </w:rPr>
            <w:fldChar w:fldCharType="begin"/>
          </w:r>
          <w:r>
            <w:rPr>
              <w:b/>
              <w:sz w:val="28"/>
              <w:szCs w:val="28"/>
            </w:rPr>
            <w:instrText xml:space="preserve"> PAGEREF _Toc2971 </w:instrText>
          </w:r>
          <w:r>
            <w:rPr>
              <w:b/>
              <w:sz w:val="28"/>
              <w:szCs w:val="28"/>
            </w:rPr>
            <w:fldChar w:fldCharType="separate"/>
          </w:r>
          <w:r>
            <w:rPr>
              <w:b/>
              <w:sz w:val="28"/>
              <w:szCs w:val="28"/>
            </w:rPr>
            <w:t>11</w:t>
          </w:r>
          <w:r>
            <w:rPr>
              <w:b/>
              <w:sz w:val="28"/>
              <w:szCs w:val="28"/>
            </w:rPr>
            <w:fldChar w:fldCharType="end"/>
          </w:r>
          <w:r>
            <w:rPr>
              <w:b/>
              <w:sz w:val="28"/>
              <w:szCs w:val="28"/>
            </w:rPr>
            <w:fldChar w:fldCharType="end"/>
          </w:r>
        </w:p>
        <w:p>
          <w:pPr>
            <w:pStyle w:val="13"/>
            <w:tabs>
              <w:tab w:val="right" w:leader="dot" w:pos="8306"/>
            </w:tabs>
            <w:spacing w:line="10" w:lineRule="atLeast"/>
            <w:ind w:left="420"/>
            <w:rPr>
              <w:sz w:val="28"/>
              <w:szCs w:val="28"/>
            </w:rPr>
          </w:pPr>
          <w:r>
            <w:fldChar w:fldCharType="begin"/>
          </w:r>
          <w:r>
            <w:instrText xml:space="preserve"> HYPERLINK \l "_Toc19608" </w:instrText>
          </w:r>
          <w:r>
            <w:fldChar w:fldCharType="separate"/>
          </w:r>
          <w:r>
            <w:rPr>
              <w:rFonts w:hint="eastAsia" w:ascii="楷体_GB2312" w:hAnsi="Arial" w:eastAsia="楷体_GB2312" w:cs="Arial"/>
              <w:sz w:val="28"/>
              <w:szCs w:val="28"/>
            </w:rPr>
            <w:t>（一）</w:t>
          </w:r>
          <w:r>
            <w:rPr>
              <w:rFonts w:hint="eastAsia" w:ascii="楷体_GB2312" w:hAnsi="Arial" w:eastAsia="楷体_GB2312" w:cs="Arial"/>
              <w:sz w:val="28"/>
              <w:szCs w:val="28"/>
              <w:lang w:val="en-US" w:eastAsia="zh-CN"/>
            </w:rPr>
            <w:t>机关</w:t>
          </w:r>
          <w:r>
            <w:rPr>
              <w:rFonts w:hint="eastAsia" w:ascii="楷体_GB2312" w:hAnsi="Arial" w:eastAsia="楷体_GB2312" w:cs="Arial"/>
              <w:sz w:val="28"/>
              <w:szCs w:val="28"/>
            </w:rPr>
            <w:t>运行经费</w:t>
          </w:r>
          <w:r>
            <w:rPr>
              <w:sz w:val="28"/>
              <w:szCs w:val="28"/>
            </w:rPr>
            <w:tab/>
          </w:r>
          <w:r>
            <w:rPr>
              <w:sz w:val="28"/>
              <w:szCs w:val="28"/>
            </w:rPr>
            <w:fldChar w:fldCharType="begin"/>
          </w:r>
          <w:r>
            <w:rPr>
              <w:sz w:val="28"/>
              <w:szCs w:val="28"/>
            </w:rPr>
            <w:instrText xml:space="preserve"> PAGEREF _Toc19608 </w:instrText>
          </w:r>
          <w:r>
            <w:rPr>
              <w:sz w:val="28"/>
              <w:szCs w:val="28"/>
            </w:rPr>
            <w:fldChar w:fldCharType="separate"/>
          </w:r>
          <w:r>
            <w:rPr>
              <w:sz w:val="28"/>
              <w:szCs w:val="28"/>
            </w:rPr>
            <w:t>11</w:t>
          </w:r>
          <w:r>
            <w:rPr>
              <w:sz w:val="28"/>
              <w:szCs w:val="28"/>
            </w:rPr>
            <w:fldChar w:fldCharType="end"/>
          </w:r>
          <w:r>
            <w:rPr>
              <w:sz w:val="28"/>
              <w:szCs w:val="28"/>
            </w:rPr>
            <w:fldChar w:fldCharType="end"/>
          </w:r>
        </w:p>
        <w:p>
          <w:pPr>
            <w:pStyle w:val="13"/>
            <w:tabs>
              <w:tab w:val="right" w:leader="dot" w:pos="8306"/>
            </w:tabs>
            <w:spacing w:line="10" w:lineRule="atLeast"/>
            <w:ind w:left="420"/>
            <w:rPr>
              <w:sz w:val="28"/>
              <w:szCs w:val="28"/>
            </w:rPr>
          </w:pPr>
          <w:r>
            <w:fldChar w:fldCharType="begin"/>
          </w:r>
          <w:r>
            <w:instrText xml:space="preserve"> HYPERLINK \l "_Toc28162" </w:instrText>
          </w:r>
          <w:r>
            <w:fldChar w:fldCharType="separate"/>
          </w:r>
          <w:r>
            <w:rPr>
              <w:rFonts w:hint="eastAsia" w:ascii="楷体_GB2312" w:hAnsi="Arial" w:eastAsia="楷体_GB2312" w:cs="Arial"/>
              <w:sz w:val="28"/>
              <w:szCs w:val="28"/>
            </w:rPr>
            <w:t>（二）国有资产占有使用情况</w:t>
          </w:r>
          <w:r>
            <w:rPr>
              <w:sz w:val="28"/>
              <w:szCs w:val="28"/>
            </w:rPr>
            <w:tab/>
          </w:r>
          <w:r>
            <w:rPr>
              <w:sz w:val="28"/>
              <w:szCs w:val="28"/>
            </w:rPr>
            <w:fldChar w:fldCharType="begin"/>
          </w:r>
          <w:r>
            <w:rPr>
              <w:sz w:val="28"/>
              <w:szCs w:val="28"/>
            </w:rPr>
            <w:instrText xml:space="preserve"> PAGEREF _Toc28162 </w:instrText>
          </w:r>
          <w:r>
            <w:rPr>
              <w:sz w:val="28"/>
              <w:szCs w:val="28"/>
            </w:rPr>
            <w:fldChar w:fldCharType="separate"/>
          </w:r>
          <w:r>
            <w:rPr>
              <w:sz w:val="28"/>
              <w:szCs w:val="28"/>
            </w:rPr>
            <w:t>12</w:t>
          </w:r>
          <w:r>
            <w:rPr>
              <w:sz w:val="28"/>
              <w:szCs w:val="28"/>
            </w:rPr>
            <w:fldChar w:fldCharType="end"/>
          </w:r>
          <w:r>
            <w:rPr>
              <w:sz w:val="28"/>
              <w:szCs w:val="28"/>
            </w:rPr>
            <w:fldChar w:fldCharType="end"/>
          </w:r>
        </w:p>
        <w:p>
          <w:pPr>
            <w:pStyle w:val="13"/>
            <w:tabs>
              <w:tab w:val="right" w:leader="dot" w:pos="8306"/>
            </w:tabs>
            <w:spacing w:line="10" w:lineRule="atLeast"/>
            <w:ind w:left="420"/>
            <w:rPr>
              <w:sz w:val="28"/>
              <w:szCs w:val="28"/>
            </w:rPr>
          </w:pPr>
          <w:r>
            <w:fldChar w:fldCharType="begin"/>
          </w:r>
          <w:r>
            <w:instrText xml:space="preserve"> HYPERLINK \l "_Toc15055" </w:instrText>
          </w:r>
          <w:r>
            <w:fldChar w:fldCharType="separate"/>
          </w:r>
          <w:r>
            <w:rPr>
              <w:rFonts w:hint="eastAsia" w:ascii="楷体_GB2312" w:hAnsi="Arial" w:eastAsia="楷体_GB2312" w:cs="Arial"/>
              <w:sz w:val="28"/>
              <w:szCs w:val="28"/>
            </w:rPr>
            <w:t>（三）绩效目标设置情况</w:t>
          </w:r>
          <w:r>
            <w:rPr>
              <w:sz w:val="28"/>
              <w:szCs w:val="28"/>
            </w:rPr>
            <w:tab/>
          </w:r>
          <w:r>
            <w:rPr>
              <w:sz w:val="28"/>
              <w:szCs w:val="28"/>
            </w:rPr>
            <w:fldChar w:fldCharType="begin"/>
          </w:r>
          <w:r>
            <w:rPr>
              <w:sz w:val="28"/>
              <w:szCs w:val="28"/>
            </w:rPr>
            <w:instrText xml:space="preserve"> PAGEREF _Toc15055 </w:instrText>
          </w:r>
          <w:r>
            <w:rPr>
              <w:sz w:val="28"/>
              <w:szCs w:val="28"/>
            </w:rPr>
            <w:fldChar w:fldCharType="separate"/>
          </w:r>
          <w:r>
            <w:rPr>
              <w:sz w:val="28"/>
              <w:szCs w:val="28"/>
            </w:rPr>
            <w:t>12</w:t>
          </w:r>
          <w:r>
            <w:rPr>
              <w:sz w:val="28"/>
              <w:szCs w:val="28"/>
            </w:rPr>
            <w:fldChar w:fldCharType="end"/>
          </w:r>
          <w:r>
            <w:rPr>
              <w:sz w:val="28"/>
              <w:szCs w:val="28"/>
            </w:rPr>
            <w:fldChar w:fldCharType="end"/>
          </w:r>
        </w:p>
        <w:p>
          <w:pPr>
            <w:pStyle w:val="12"/>
            <w:tabs>
              <w:tab w:val="right" w:leader="dot" w:pos="8306"/>
            </w:tabs>
            <w:spacing w:line="10" w:lineRule="atLeast"/>
            <w:rPr>
              <w:b/>
              <w:sz w:val="28"/>
              <w:szCs w:val="28"/>
            </w:rPr>
          </w:pPr>
          <w:r>
            <w:fldChar w:fldCharType="begin"/>
          </w:r>
          <w:r>
            <w:instrText xml:space="preserve"> HYPERLINK \l "_Toc26298" </w:instrText>
          </w:r>
          <w:r>
            <w:fldChar w:fldCharType="separate"/>
          </w:r>
          <w:r>
            <w:rPr>
              <w:rFonts w:hint="eastAsia" w:ascii="黑体" w:hAnsi="黑体" w:eastAsia="黑体" w:cs="Arial"/>
              <w:b/>
              <w:bCs/>
              <w:sz w:val="28"/>
              <w:szCs w:val="28"/>
            </w:rPr>
            <w:t>十、名词解释</w:t>
          </w:r>
          <w:r>
            <w:rPr>
              <w:b/>
              <w:sz w:val="28"/>
              <w:szCs w:val="28"/>
            </w:rPr>
            <w:tab/>
          </w:r>
          <w:r>
            <w:rPr>
              <w:b/>
              <w:sz w:val="28"/>
              <w:szCs w:val="28"/>
            </w:rPr>
            <w:fldChar w:fldCharType="begin"/>
          </w:r>
          <w:r>
            <w:rPr>
              <w:b/>
              <w:sz w:val="28"/>
              <w:szCs w:val="28"/>
            </w:rPr>
            <w:instrText xml:space="preserve"> PAGEREF _Toc26298 </w:instrText>
          </w:r>
          <w:r>
            <w:rPr>
              <w:b/>
              <w:sz w:val="28"/>
              <w:szCs w:val="28"/>
            </w:rPr>
            <w:fldChar w:fldCharType="separate"/>
          </w:r>
          <w:r>
            <w:rPr>
              <w:b/>
              <w:sz w:val="28"/>
              <w:szCs w:val="28"/>
            </w:rPr>
            <w:t>12</w:t>
          </w:r>
          <w:r>
            <w:rPr>
              <w:b/>
              <w:sz w:val="28"/>
              <w:szCs w:val="28"/>
            </w:rPr>
            <w:fldChar w:fldCharType="end"/>
          </w:r>
          <w:r>
            <w:rPr>
              <w:b/>
              <w:sz w:val="28"/>
              <w:szCs w:val="28"/>
            </w:rPr>
            <w:fldChar w:fldCharType="end"/>
          </w:r>
        </w:p>
        <w:p>
          <w:pPr>
            <w:pStyle w:val="5"/>
            <w:shd w:val="clear" w:color="auto" w:fill="FFFFFF"/>
            <w:spacing w:before="0" w:beforeAutospacing="0" w:after="0" w:afterAutospacing="0" w:line="10" w:lineRule="atLeast"/>
            <w:rPr>
              <w:rFonts w:ascii="Arial" w:hAnsi="Arial" w:cs="Arial"/>
              <w:color w:val="333333"/>
              <w:sz w:val="30"/>
              <w:szCs w:val="30"/>
            </w:rPr>
          </w:pPr>
          <w:r>
            <w:rPr>
              <w:rFonts w:ascii="Arial" w:hAnsi="Arial" w:cs="Arial"/>
              <w:b/>
              <w:color w:val="333333"/>
              <w:sz w:val="28"/>
              <w:szCs w:val="28"/>
            </w:rPr>
            <w:fldChar w:fldCharType="end"/>
          </w:r>
        </w:p>
      </w:sdtContent>
    </w:sdt>
    <w:p>
      <w:pPr>
        <w:pStyle w:val="5"/>
        <w:shd w:val="clear" w:color="auto" w:fill="FFFFFF"/>
        <w:spacing w:before="285" w:beforeAutospacing="0" w:after="285" w:afterAutospacing="0" w:line="560" w:lineRule="exact"/>
        <w:ind w:firstLine="640"/>
        <w:outlineLvl w:val="0"/>
        <w:rPr>
          <w:rFonts w:ascii="Arial" w:hAnsi="Arial" w:cs="Arial"/>
          <w:color w:val="333333"/>
          <w:sz w:val="30"/>
          <w:szCs w:val="30"/>
        </w:rPr>
      </w:pPr>
      <w:bookmarkStart w:id="0" w:name="_Toc1684"/>
      <w:r>
        <w:rPr>
          <w:rFonts w:hint="eastAsia" w:ascii="黑体" w:hAnsi="黑体" w:eastAsia="黑体" w:cs="Arial"/>
          <w:b/>
          <w:bCs/>
          <w:color w:val="333333"/>
          <w:sz w:val="32"/>
          <w:szCs w:val="32"/>
        </w:rPr>
        <w:t>一、基本职能及主要工作</w:t>
      </w:r>
      <w:bookmarkEnd w:id="0"/>
    </w:p>
    <w:p>
      <w:pPr>
        <w:pStyle w:val="5"/>
        <w:shd w:val="clear" w:color="auto" w:fill="FFFFFF"/>
        <w:spacing w:before="285" w:beforeAutospacing="0" w:after="285" w:afterAutospacing="0" w:line="560" w:lineRule="exact"/>
        <w:ind w:firstLine="643"/>
        <w:outlineLvl w:val="1"/>
        <w:rPr>
          <w:rFonts w:ascii="Arial" w:hAnsi="Arial" w:cs="Arial"/>
          <w:color w:val="333333"/>
          <w:sz w:val="30"/>
          <w:szCs w:val="30"/>
        </w:rPr>
      </w:pPr>
      <w:bookmarkStart w:id="1" w:name="_Toc9355"/>
      <w:r>
        <w:rPr>
          <w:rStyle w:val="8"/>
          <w:rFonts w:hint="eastAsia" w:ascii="楷体_GB2312" w:hAnsi="Arial" w:eastAsia="楷体_GB2312" w:cs="Arial"/>
          <w:color w:val="333333"/>
          <w:sz w:val="32"/>
          <w:szCs w:val="32"/>
        </w:rPr>
        <w:t>（一）交警支队职能简介。</w:t>
      </w:r>
      <w:bookmarkEnd w:id="1"/>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攀枝花市公安局交通警察支队组建于1987年，掌握全市道路交通安全情况，组织、指导、监督全市公安机关依法查处道路交通违法行为、处理交通事故、维护道路交通安全秩序；组织、指导、监督机动车（不含拖拉机）登记、安全检验和驾驶人员考试发证工作；组织、指导道路交通安全宣传教育工作；负责民用爆炸物品、剧毒化学品、易制毒化学品的道路运输审批；组织、指导道路交通管理科技工作；指导全市公安机关参与城市建设、道路交通和安全设施的规划。</w:t>
      </w:r>
    </w:p>
    <w:p>
      <w:pPr>
        <w:pStyle w:val="5"/>
        <w:shd w:val="clear" w:color="auto" w:fill="FFFFFF"/>
        <w:spacing w:before="130" w:beforeAutospacing="0" w:after="285" w:afterAutospacing="0" w:line="560" w:lineRule="exact"/>
        <w:ind w:firstLine="675"/>
        <w:outlineLvl w:val="1"/>
        <w:rPr>
          <w:rFonts w:ascii="Arial" w:hAnsi="Arial" w:cs="Arial"/>
          <w:color w:val="333333"/>
          <w:sz w:val="30"/>
          <w:szCs w:val="30"/>
        </w:rPr>
      </w:pPr>
      <w:bookmarkStart w:id="2" w:name="_Toc17604"/>
      <w:r>
        <w:rPr>
          <w:rStyle w:val="8"/>
          <w:rFonts w:hint="eastAsia" w:ascii="楷体_GB2312" w:hAnsi="Arial" w:eastAsia="楷体_GB2312" w:cs="Arial"/>
          <w:color w:val="333333"/>
          <w:sz w:val="32"/>
          <w:szCs w:val="32"/>
        </w:rPr>
        <w:t>（二）交警支队2021年重点工作。</w:t>
      </w:r>
      <w:bookmarkEnd w:id="2"/>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2021年，交警支队坚持以习近平新时代中国特色社会主义思想为指导，深入贯彻习近平法治思想，牢牢把握“四句话十六字”总要求，坚持人民至上、生命至上，扎实推动交通管理日常业务和专项工作，奋力实现“创品牌谋升位”目标。</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1.深入推进事故预防工作。</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一是健全精准研判预防预警机制，深化两级交通安全动态监测、常态研判、精准预防机制，设置专职事故统计分析员，依托公安交管大数据平台健全风险预警指标体系。二是开展源头安全隐患控增减存，落实道路安防设施“三同步”要求，完善全要素动态化基础台账，深入推进重点车辆及、驾驶人隐患“清零”行动、货车非法改装专项整治、交通安全隐患治理闭环体系建设。三是提升辖区公路安全防控能力，打造红格大道安全文明样板路，深化公路交通安防体系建设应用，持续提升重要点位监控设备运行质量和联网联控，突出集指平台应用，提高执法管控的针对性和实效性，强化重点管控，营造高压严管态势。四是夯实农村交通安全管理基础，发挥警保合作“两站两员”基层基础作用，借力“一村一辅警”机制，抓好“四好农村路”和农村平交路口“千灯万带”示范工程建设，充分利用科技设备资源，深化农村地区“两违”治理。五是推进市域社会治理现代化建设，加强“社区交警”“智慧小区”建设，提高社会管理效能，探索积累市域社会治理现代化试点经验。六是完善交通应急管理机制，做好常态化疫情防控交通应急管理，加强交通态势监测预警和实战应急保障能力建设；进一步规范指挥调度工作，提升“四位一体”联动水平，降低事故死亡率和死伤比。七是强化道路交通安全宣传引导。加强新媒体矩阵建设，持续开展各类警示曝光，引导巩固群众交通安全意识，推进交通安全宣传“七进”活动，组织开展好第10个122“全国交通安全日”主题活动。</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2.扎实推进道路交通安全综合治理。</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一是构建完善交通安全协同共治大格局，建立完善四级道路交通安全议事协调机制，借力各级道安办、安委会、联席会，推动落实属地责任、部门责任和治理措施；深入推进道路运输安全专项整治三年行动，积极推行道路运输企业安全风险画像制度。二是合力攻坚道路交通安全综合治理，持续开展打击非法改装、“百吨王”、冲关拒检等专项行动；加强对危化品运输车辆运行的监督检查，严格核发剧毒化学品道路运输通行证，严查路面交通违法行为；全面实施“头盔工程”，提升摩托车头盔佩戴率、降低事故伤亡率；规范牌证办理、加强报废管理，严厉打击伪造拖拉机牌证、非法以拖拉机名义销售货车行为。</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3.精心组织实施城市交通治理。</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一是更加注重城市道路交通顶层设计，积极争取党委政府支持，推动完善城市规划和交通规划，改善交通出行结构，优化城市路网，提升城市综合交通体系现代化。二是更加精细城市道路交通组织管理，全面优化城市区域、路段、路口交通组织，精准分配空间路权和时间路权；加强快递、外卖行业交通安全管理，服务交通新业态健康有序发展。三是更加着力城市交通治乱疏堵整治，保持酒（醉）、毒驾治理力度，深化“一盔一带”安全守护行动，加大对严重扰乱通行秩序违法行为的查处力度；深化车站、商圈、医院、学校等堵点乱点治理；推动完善停车管理政策，优化静态交通治理，推动破解“停车难”问题。四是综合治理行人非机动车事故多发问题，排查事故多发点段，深度分析，综合治理，对三大事故多发点段实行挂牌督办；持续深化机动车不礼让斑马线治理，综合治理行人、非机动车闯红灯违法行为；推动落实电动自行车登记管理，系统治理电动自行车乱象。</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4.持续深化交管“放管服”改革。</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一是构建公安交管社会服务网，强化县级车管所规范化建设水平，加大业务下放力度、增设4S店代办点、扩大驾驶人体检医院范围，完善“一公里服务圈”；深化事故快处快赔，建立警保联动指挥调度机制，实现“调度快、处置快、理赔快”；推进保险行业、人民调解、仲裁机构前置调解交通事故损害赔偿，从源头化解矛盾纠纷。二是抓好已出台改革措施落实见效，结合疫情防控常态化要求，推出更多“非接触”“预约制”便民利企新举措，拓展成渝交管合作深度，深度融合、主动服务建设钒钛新城和攀西科技城重大战略。</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5.注重加强科技支撑保障。</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一是加快建设智能化实战指挥中心，推动交通警务机制迭代升级。二是进一步完善基础设施布局建点，加快完善智能管控设施基础建设，实现城市核心、县区交界、市域边界三级公路交通圈层全覆盖，推进各智能化平台建设、改造、升级，推动智慧警务、智慧公共交通、智慧安保，提升基层治理能化水平。三是分步搭建“城市交通管理数据大脑”，升级智能交通管控平台，建立数据信息资源共享应用机制，实现数据资源整合共享、比对、计算、分析，及市交通运行状态实时评估、异常报警、预警推送、智能反馈解决建议等。</w:t>
      </w:r>
    </w:p>
    <w:p>
      <w:pPr>
        <w:pStyle w:val="5"/>
        <w:shd w:val="clear" w:color="auto" w:fill="FFFFFF"/>
        <w:spacing w:before="285" w:beforeAutospacing="0" w:after="285" w:afterAutospacing="0" w:line="560" w:lineRule="exact"/>
        <w:ind w:firstLine="640"/>
        <w:outlineLvl w:val="0"/>
        <w:rPr>
          <w:rFonts w:ascii="Arial" w:hAnsi="Arial" w:cs="Arial"/>
          <w:color w:val="333333"/>
          <w:sz w:val="30"/>
          <w:szCs w:val="30"/>
        </w:rPr>
      </w:pPr>
      <w:bookmarkStart w:id="3" w:name="_Toc12074"/>
      <w:r>
        <w:rPr>
          <w:rFonts w:hint="eastAsia" w:ascii="黑体" w:hAnsi="黑体" w:eastAsia="黑体" w:cs="Arial"/>
          <w:b/>
          <w:bCs/>
          <w:color w:val="333333"/>
          <w:sz w:val="32"/>
          <w:szCs w:val="32"/>
        </w:rPr>
        <w:t>二、单位构成情况</w:t>
      </w:r>
      <w:bookmarkEnd w:id="3"/>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交警支队为一级预算部门，下属非独立核算单位</w:t>
      </w:r>
      <w:r>
        <w:rPr>
          <w:rFonts w:ascii="Times New Roman" w:hAnsi="Times New Roman" w:eastAsia="仿宋_GB2312" w:cs="Times New Roman"/>
          <w:color w:val="333333"/>
          <w:sz w:val="32"/>
          <w:szCs w:val="32"/>
        </w:rPr>
        <w:t>0</w:t>
      </w:r>
      <w:r>
        <w:rPr>
          <w:rFonts w:hint="eastAsia" w:ascii="仿宋_GB2312" w:hAnsi="Arial" w:eastAsia="仿宋_GB2312" w:cs="Arial"/>
          <w:color w:val="333333"/>
          <w:sz w:val="32"/>
          <w:szCs w:val="32"/>
        </w:rPr>
        <w:t>个，其中行政事业单位</w:t>
      </w:r>
      <w:r>
        <w:rPr>
          <w:rFonts w:ascii="Times New Roman" w:hAnsi="Times New Roman" w:eastAsia="仿宋_GB2312" w:cs="Times New Roman"/>
          <w:color w:val="333333"/>
          <w:sz w:val="32"/>
          <w:szCs w:val="32"/>
        </w:rPr>
        <w:t>0</w:t>
      </w:r>
      <w:r>
        <w:rPr>
          <w:rFonts w:hint="eastAsia" w:ascii="仿宋_GB2312" w:hAnsi="Arial" w:eastAsia="仿宋_GB2312" w:cs="Arial"/>
          <w:color w:val="333333"/>
          <w:sz w:val="32"/>
          <w:szCs w:val="32"/>
        </w:rPr>
        <w:t>个，参照公务员法管理的事业单位</w:t>
      </w:r>
      <w:r>
        <w:rPr>
          <w:rFonts w:ascii="Times New Roman" w:hAnsi="Times New Roman" w:eastAsia="仿宋_GB2312" w:cs="Times New Roman"/>
          <w:color w:val="333333"/>
          <w:sz w:val="32"/>
          <w:szCs w:val="32"/>
        </w:rPr>
        <w:t>0</w:t>
      </w:r>
      <w:r>
        <w:rPr>
          <w:rFonts w:hint="eastAsia" w:ascii="仿宋_GB2312" w:hAnsi="Arial" w:eastAsia="仿宋_GB2312" w:cs="Arial"/>
          <w:color w:val="333333"/>
          <w:sz w:val="32"/>
          <w:szCs w:val="32"/>
        </w:rPr>
        <w:t>个，其他事业单位</w:t>
      </w:r>
      <w:r>
        <w:rPr>
          <w:rFonts w:ascii="Times New Roman" w:hAnsi="Times New Roman" w:eastAsia="仿宋_GB2312" w:cs="Times New Roman"/>
          <w:color w:val="333333"/>
          <w:sz w:val="32"/>
          <w:szCs w:val="32"/>
        </w:rPr>
        <w:t>0</w:t>
      </w:r>
      <w:r>
        <w:rPr>
          <w:rFonts w:hint="eastAsia" w:ascii="仿宋_GB2312" w:hAnsi="Arial" w:eastAsia="仿宋_GB2312" w:cs="Arial"/>
          <w:color w:val="333333"/>
          <w:sz w:val="32"/>
          <w:szCs w:val="32"/>
        </w:rPr>
        <w:t>个。</w:t>
      </w:r>
    </w:p>
    <w:p>
      <w:pPr>
        <w:pStyle w:val="5"/>
        <w:shd w:val="clear" w:color="auto" w:fill="FFFFFF"/>
        <w:spacing w:before="285" w:beforeAutospacing="0" w:after="285" w:afterAutospacing="0" w:line="560" w:lineRule="exact"/>
        <w:ind w:firstLine="640"/>
        <w:outlineLvl w:val="0"/>
        <w:rPr>
          <w:rFonts w:ascii="Arial" w:hAnsi="Arial" w:cs="Arial"/>
          <w:b/>
          <w:bCs/>
          <w:color w:val="333333"/>
          <w:sz w:val="32"/>
          <w:szCs w:val="32"/>
        </w:rPr>
      </w:pPr>
      <w:bookmarkStart w:id="4" w:name="_Toc8823"/>
      <w:r>
        <w:rPr>
          <w:rFonts w:hint="eastAsia" w:ascii="黑体" w:hAnsi="黑体" w:eastAsia="黑体" w:cs="Arial"/>
          <w:b/>
          <w:bCs/>
          <w:color w:val="333333"/>
          <w:sz w:val="32"/>
          <w:szCs w:val="32"/>
        </w:rPr>
        <w:t>三、收支预算情况说明</w:t>
      </w:r>
      <w:bookmarkEnd w:id="4"/>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按照综合预算的原则，交警支队所有收入和支出均纳入部门预算管理。收入包括：一般公共预算拨款收入；支出包括：公共安全支出、社会保障和就业支出、住房保障支出。交警支队2021年收支总预算</w:t>
      </w:r>
      <w:r>
        <w:rPr>
          <w:rFonts w:ascii="Times New Roman" w:hAnsi="Times New Roman" w:eastAsia="仿宋_GB2312" w:cs="Times New Roman"/>
          <w:color w:val="333333"/>
          <w:sz w:val="32"/>
          <w:szCs w:val="32"/>
        </w:rPr>
        <w:t>7038.40</w:t>
      </w:r>
      <w:r>
        <w:rPr>
          <w:rFonts w:hint="eastAsia" w:ascii="仿宋_GB2312" w:hAnsi="Arial" w:eastAsia="仿宋_GB2312" w:cs="Arial"/>
          <w:color w:val="333333"/>
          <w:sz w:val="32"/>
          <w:szCs w:val="32"/>
        </w:rPr>
        <w:t>万元</w:t>
      </w:r>
      <w:r>
        <w:rPr>
          <w:rFonts w:hint="eastAsia" w:ascii="仿宋_GB2312" w:hAnsi="Arial" w:eastAsia="仿宋_GB2312" w:cs="Arial"/>
          <w:color w:val="333333"/>
          <w:sz w:val="32"/>
          <w:szCs w:val="32"/>
          <w:lang w:eastAsia="zh-CN"/>
        </w:rPr>
        <w:t>，</w:t>
      </w:r>
      <w:r>
        <w:rPr>
          <w:rFonts w:hint="eastAsia" w:ascii="仿宋_GB2312" w:hAnsi="Arial" w:eastAsia="仿宋_GB2312" w:cs="Arial"/>
          <w:color w:val="333333"/>
          <w:sz w:val="32"/>
          <w:szCs w:val="32"/>
          <w:lang w:val="en-US" w:eastAsia="zh-CN"/>
        </w:rPr>
        <w:t>较2020年预算数减少274.58万元，降幅3.75%，主要原因是公安交通管理业务费减少</w:t>
      </w:r>
      <w:r>
        <w:rPr>
          <w:rFonts w:hint="eastAsia" w:ascii="仿宋_GB2312" w:hAnsi="Arial" w:eastAsia="仿宋_GB2312" w:cs="Arial"/>
          <w:color w:val="333333"/>
          <w:sz w:val="32"/>
          <w:szCs w:val="32"/>
        </w:rPr>
        <w:t>。</w:t>
      </w:r>
    </w:p>
    <w:p>
      <w:pPr>
        <w:pStyle w:val="5"/>
        <w:shd w:val="clear" w:color="auto" w:fill="FFFFFF"/>
        <w:spacing w:before="285" w:beforeAutospacing="0" w:after="285" w:afterAutospacing="0" w:line="560" w:lineRule="exact"/>
        <w:ind w:firstLine="643"/>
        <w:outlineLvl w:val="1"/>
        <w:rPr>
          <w:rFonts w:ascii="Arial" w:hAnsi="Arial" w:cs="Arial"/>
          <w:color w:val="333333"/>
          <w:sz w:val="30"/>
          <w:szCs w:val="30"/>
        </w:rPr>
      </w:pPr>
      <w:bookmarkStart w:id="5" w:name="_Toc13834"/>
      <w:r>
        <w:rPr>
          <w:rStyle w:val="8"/>
          <w:rFonts w:hint="eastAsia" w:ascii="楷体_GB2312" w:hAnsi="Arial" w:eastAsia="楷体_GB2312" w:cs="Arial"/>
          <w:color w:val="333333"/>
          <w:sz w:val="32"/>
          <w:szCs w:val="32"/>
        </w:rPr>
        <w:t>（一）收入预算情况</w:t>
      </w:r>
      <w:bookmarkEnd w:id="5"/>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交警支队2021年收入预算</w:t>
      </w:r>
      <w:r>
        <w:rPr>
          <w:rFonts w:ascii="Times New Roman" w:hAnsi="Times New Roman" w:eastAsia="仿宋_GB2312" w:cs="Times New Roman"/>
          <w:color w:val="333333"/>
          <w:sz w:val="32"/>
          <w:szCs w:val="32"/>
        </w:rPr>
        <w:t>7038.40</w:t>
      </w:r>
      <w:r>
        <w:rPr>
          <w:rFonts w:hint="eastAsia" w:ascii="仿宋_GB2312" w:hAnsi="Arial" w:eastAsia="仿宋_GB2312" w:cs="Arial"/>
          <w:color w:val="333333"/>
          <w:sz w:val="32"/>
          <w:szCs w:val="32"/>
        </w:rPr>
        <w:t>万元，其中：上年结转</w:t>
      </w:r>
      <w:r>
        <w:rPr>
          <w:rFonts w:ascii="Times New Roman" w:hAnsi="Times New Roman" w:eastAsia="仿宋_GB2312" w:cs="Times New Roman"/>
          <w:color w:val="333333"/>
          <w:sz w:val="32"/>
          <w:szCs w:val="32"/>
        </w:rPr>
        <w:t>0</w:t>
      </w:r>
      <w:r>
        <w:rPr>
          <w:rFonts w:hint="eastAsia" w:ascii="仿宋_GB2312" w:hAnsi="Arial" w:eastAsia="仿宋_GB2312" w:cs="Arial"/>
          <w:color w:val="333333"/>
          <w:sz w:val="32"/>
          <w:szCs w:val="32"/>
        </w:rPr>
        <w:t>万元，占</w:t>
      </w:r>
      <w:r>
        <w:rPr>
          <w:rFonts w:ascii="Times New Roman" w:hAnsi="Times New Roman" w:eastAsia="仿宋_GB2312" w:cs="Times New Roman"/>
          <w:color w:val="333333"/>
          <w:sz w:val="32"/>
          <w:szCs w:val="32"/>
        </w:rPr>
        <w:t>0</w:t>
      </w:r>
      <w:r>
        <w:rPr>
          <w:rFonts w:hint="eastAsia" w:ascii="仿宋_GB2312" w:hAnsi="Arial" w:eastAsia="仿宋_GB2312" w:cs="Arial"/>
          <w:color w:val="333333"/>
          <w:sz w:val="32"/>
          <w:szCs w:val="32"/>
        </w:rPr>
        <w:t>%；一般公共预算拨款收入</w:t>
      </w:r>
      <w:r>
        <w:rPr>
          <w:rFonts w:ascii="Times New Roman" w:hAnsi="Times New Roman" w:eastAsia="仿宋_GB2312" w:cs="Times New Roman"/>
          <w:color w:val="333333"/>
          <w:sz w:val="32"/>
          <w:szCs w:val="32"/>
        </w:rPr>
        <w:t>7038.40</w:t>
      </w:r>
      <w:r>
        <w:rPr>
          <w:rFonts w:hint="eastAsia" w:ascii="仿宋_GB2312" w:hAnsi="Arial" w:eastAsia="仿宋_GB2312" w:cs="Arial"/>
          <w:color w:val="333333"/>
          <w:sz w:val="32"/>
          <w:szCs w:val="32"/>
        </w:rPr>
        <w:t>万元，占</w:t>
      </w:r>
      <w:r>
        <w:rPr>
          <w:rFonts w:ascii="Times New Roman" w:hAnsi="Times New Roman" w:eastAsia="仿宋_GB2312" w:cs="Times New Roman"/>
          <w:color w:val="333333"/>
          <w:sz w:val="32"/>
          <w:szCs w:val="32"/>
        </w:rPr>
        <w:t>100</w:t>
      </w:r>
      <w:r>
        <w:rPr>
          <w:rFonts w:hint="eastAsia" w:ascii="仿宋_GB2312" w:hAnsi="Arial" w:eastAsia="仿宋_GB2312" w:cs="Arial"/>
          <w:color w:val="333333"/>
          <w:sz w:val="32"/>
          <w:szCs w:val="32"/>
        </w:rPr>
        <w:t>%。</w:t>
      </w:r>
    </w:p>
    <w:p>
      <w:pPr>
        <w:pStyle w:val="5"/>
        <w:shd w:val="clear" w:color="auto" w:fill="FFFFFF"/>
        <w:spacing w:before="285" w:beforeAutospacing="0" w:after="285" w:afterAutospacing="0" w:line="560" w:lineRule="exact"/>
        <w:ind w:firstLine="643"/>
        <w:outlineLvl w:val="1"/>
        <w:rPr>
          <w:rFonts w:ascii="Arial" w:hAnsi="Arial" w:cs="Arial"/>
          <w:color w:val="333333"/>
          <w:sz w:val="30"/>
          <w:szCs w:val="30"/>
        </w:rPr>
      </w:pPr>
      <w:bookmarkStart w:id="6" w:name="_Toc25617"/>
      <w:r>
        <w:rPr>
          <w:rStyle w:val="8"/>
          <w:rFonts w:hint="eastAsia" w:ascii="楷体_GB2312" w:hAnsi="Arial" w:eastAsia="楷体_GB2312" w:cs="Arial"/>
          <w:color w:val="333333"/>
          <w:sz w:val="32"/>
          <w:szCs w:val="32"/>
        </w:rPr>
        <w:t>（二）支出预算情况</w:t>
      </w:r>
      <w:bookmarkEnd w:id="6"/>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交警支队2021年支出预算</w:t>
      </w:r>
      <w:r>
        <w:rPr>
          <w:rFonts w:ascii="Times New Roman" w:hAnsi="Times New Roman" w:eastAsia="仿宋_GB2312" w:cs="Times New Roman"/>
          <w:color w:val="333333"/>
          <w:sz w:val="32"/>
          <w:szCs w:val="32"/>
        </w:rPr>
        <w:t>7038.40</w:t>
      </w:r>
      <w:r>
        <w:rPr>
          <w:rFonts w:hint="eastAsia" w:ascii="仿宋_GB2312" w:hAnsi="Arial" w:eastAsia="仿宋_GB2312" w:cs="Arial"/>
          <w:color w:val="333333"/>
          <w:sz w:val="32"/>
          <w:szCs w:val="32"/>
        </w:rPr>
        <w:t>万元，其中：基本支出</w:t>
      </w:r>
      <w:r>
        <w:rPr>
          <w:rFonts w:ascii="Times New Roman" w:hAnsi="Times New Roman" w:eastAsia="仿宋_GB2312" w:cs="Times New Roman"/>
          <w:color w:val="333333"/>
          <w:sz w:val="32"/>
          <w:szCs w:val="32"/>
        </w:rPr>
        <w:t>5046.70</w:t>
      </w:r>
      <w:r>
        <w:rPr>
          <w:rFonts w:hint="eastAsia" w:ascii="仿宋_GB2312" w:hAnsi="Arial" w:eastAsia="仿宋_GB2312" w:cs="Arial"/>
          <w:color w:val="333333"/>
          <w:sz w:val="32"/>
          <w:szCs w:val="32"/>
        </w:rPr>
        <w:t>万元，占</w:t>
      </w:r>
      <w:r>
        <w:rPr>
          <w:rFonts w:ascii="Times New Roman" w:hAnsi="Times New Roman" w:eastAsia="仿宋_GB2312" w:cs="Times New Roman"/>
          <w:color w:val="333333"/>
          <w:sz w:val="32"/>
          <w:szCs w:val="32"/>
        </w:rPr>
        <w:t>71.70</w:t>
      </w:r>
      <w:r>
        <w:rPr>
          <w:rFonts w:hint="eastAsia" w:ascii="仿宋_GB2312" w:hAnsi="Arial" w:eastAsia="仿宋_GB2312" w:cs="Arial"/>
          <w:color w:val="333333"/>
          <w:sz w:val="32"/>
          <w:szCs w:val="32"/>
        </w:rPr>
        <w:t>%；项目支出</w:t>
      </w:r>
      <w:r>
        <w:rPr>
          <w:rFonts w:ascii="Times New Roman" w:hAnsi="Times New Roman" w:eastAsia="仿宋_GB2312" w:cs="Times New Roman"/>
          <w:color w:val="333333"/>
          <w:sz w:val="32"/>
          <w:szCs w:val="32"/>
        </w:rPr>
        <w:t>1991.70</w:t>
      </w:r>
      <w:r>
        <w:rPr>
          <w:rFonts w:hint="eastAsia" w:ascii="仿宋_GB2312" w:hAnsi="Arial" w:eastAsia="仿宋_GB2312" w:cs="Arial"/>
          <w:color w:val="333333"/>
          <w:sz w:val="32"/>
          <w:szCs w:val="32"/>
        </w:rPr>
        <w:t>万元，占</w:t>
      </w:r>
      <w:r>
        <w:rPr>
          <w:rFonts w:ascii="Times New Roman" w:hAnsi="Times New Roman" w:eastAsia="仿宋_GB2312" w:cs="Times New Roman"/>
          <w:color w:val="333333"/>
          <w:sz w:val="32"/>
          <w:szCs w:val="32"/>
        </w:rPr>
        <w:t>28.30</w:t>
      </w:r>
      <w:r>
        <w:rPr>
          <w:rFonts w:hint="eastAsia" w:ascii="仿宋_GB2312" w:hAnsi="Arial" w:eastAsia="仿宋_GB2312" w:cs="Arial"/>
          <w:color w:val="333333"/>
          <w:sz w:val="32"/>
          <w:szCs w:val="32"/>
        </w:rPr>
        <w:t>%。</w:t>
      </w:r>
    </w:p>
    <w:p>
      <w:pPr>
        <w:pStyle w:val="5"/>
        <w:shd w:val="clear" w:color="auto" w:fill="FFFFFF"/>
        <w:spacing w:before="285" w:beforeAutospacing="0" w:after="285" w:afterAutospacing="0" w:line="560" w:lineRule="exact"/>
        <w:ind w:firstLine="640"/>
        <w:outlineLvl w:val="0"/>
        <w:rPr>
          <w:rFonts w:ascii="Arial" w:hAnsi="Arial" w:cs="Arial"/>
          <w:color w:val="333333"/>
          <w:sz w:val="30"/>
          <w:szCs w:val="30"/>
        </w:rPr>
      </w:pPr>
      <w:bookmarkStart w:id="7" w:name="_Toc19499"/>
      <w:r>
        <w:rPr>
          <w:rFonts w:hint="eastAsia" w:ascii="黑体" w:hAnsi="黑体" w:eastAsia="黑体" w:cs="Arial"/>
          <w:b/>
          <w:bCs/>
          <w:color w:val="333333"/>
          <w:sz w:val="32"/>
          <w:szCs w:val="32"/>
        </w:rPr>
        <w:t>四、财政拨款收支预算情况说明</w:t>
      </w:r>
      <w:bookmarkEnd w:id="7"/>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交警支队2021年财政拨款收支总预算7038.40万元。收入包括：本年一般公共预算拨款收入7038.40万元；支出包括：公共安全支出6202.78万元、社会保障和就业支出488.82万元、住房保障支出346.80万元。</w:t>
      </w:r>
    </w:p>
    <w:p>
      <w:pPr>
        <w:pStyle w:val="5"/>
        <w:shd w:val="clear" w:color="auto" w:fill="FFFFFF"/>
        <w:spacing w:before="285" w:beforeAutospacing="0" w:after="285" w:afterAutospacing="0" w:line="560" w:lineRule="exact"/>
        <w:ind w:firstLine="640"/>
        <w:outlineLvl w:val="0"/>
        <w:rPr>
          <w:rFonts w:ascii="Arial" w:hAnsi="Arial" w:cs="Arial"/>
          <w:b/>
          <w:bCs/>
          <w:color w:val="333333"/>
          <w:sz w:val="32"/>
          <w:szCs w:val="32"/>
        </w:rPr>
      </w:pPr>
      <w:bookmarkStart w:id="8" w:name="_Toc30720"/>
      <w:r>
        <w:rPr>
          <w:rFonts w:hint="eastAsia" w:ascii="黑体" w:hAnsi="黑体" w:eastAsia="黑体" w:cs="Arial"/>
          <w:b/>
          <w:bCs/>
          <w:color w:val="333333"/>
          <w:sz w:val="32"/>
          <w:szCs w:val="32"/>
        </w:rPr>
        <w:t>五、一般公共预算当年拨款情况说明</w:t>
      </w:r>
      <w:bookmarkEnd w:id="8"/>
    </w:p>
    <w:p>
      <w:pPr>
        <w:pStyle w:val="5"/>
        <w:shd w:val="clear" w:color="auto" w:fill="FFFFFF"/>
        <w:spacing w:before="285" w:beforeAutospacing="0" w:after="285" w:afterAutospacing="0" w:line="560" w:lineRule="exact"/>
        <w:ind w:firstLine="643"/>
        <w:outlineLvl w:val="1"/>
        <w:rPr>
          <w:rFonts w:ascii="Arial" w:hAnsi="Arial" w:cs="Arial"/>
          <w:color w:val="333333"/>
          <w:sz w:val="30"/>
          <w:szCs w:val="30"/>
        </w:rPr>
      </w:pPr>
      <w:bookmarkStart w:id="9" w:name="_Toc22534"/>
      <w:r>
        <w:rPr>
          <w:rStyle w:val="8"/>
          <w:rFonts w:hint="eastAsia" w:ascii="楷体_GB2312" w:hAnsi="Arial" w:eastAsia="楷体_GB2312" w:cs="Arial"/>
          <w:color w:val="333333"/>
          <w:sz w:val="32"/>
          <w:szCs w:val="32"/>
        </w:rPr>
        <w:t>（一）一般公共预算当年拨款规模变化情况</w:t>
      </w:r>
      <w:bookmarkEnd w:id="9"/>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交警支队2021年一般公共预算当年拨款</w:t>
      </w:r>
      <w:r>
        <w:rPr>
          <w:rFonts w:ascii="Times New Roman" w:hAnsi="Times New Roman" w:eastAsia="仿宋_GB2312" w:cs="Times New Roman"/>
          <w:color w:val="333333"/>
          <w:sz w:val="32"/>
          <w:szCs w:val="32"/>
        </w:rPr>
        <w:t>7038.40</w:t>
      </w:r>
      <w:r>
        <w:rPr>
          <w:rFonts w:hint="eastAsia" w:ascii="仿宋_GB2312" w:hAnsi="Arial" w:eastAsia="仿宋_GB2312" w:cs="Arial"/>
          <w:color w:val="333333"/>
          <w:sz w:val="32"/>
          <w:szCs w:val="32"/>
        </w:rPr>
        <w:t>万元，比2020年预算数</w:t>
      </w:r>
      <w:r>
        <w:rPr>
          <w:rFonts w:hint="eastAsia" w:ascii="仿宋_GB2312" w:hAnsi="Arial" w:eastAsia="仿宋_GB2312" w:cs="Arial"/>
          <w:color w:val="333333"/>
          <w:sz w:val="32"/>
          <w:szCs w:val="32"/>
          <w:lang w:val="en-US" w:eastAsia="zh-CN"/>
        </w:rPr>
        <w:t>增加</w:t>
      </w:r>
      <w:r>
        <w:rPr>
          <w:rFonts w:ascii="Times New Roman" w:hAnsi="Times New Roman" w:eastAsia="仿宋_GB2312" w:cs="Times New Roman"/>
          <w:color w:val="333333"/>
          <w:sz w:val="32"/>
          <w:szCs w:val="32"/>
        </w:rPr>
        <w:t>24.26</w:t>
      </w:r>
      <w:r>
        <w:rPr>
          <w:rFonts w:hint="eastAsia" w:ascii="仿宋_GB2312" w:hAnsi="Arial" w:eastAsia="仿宋_GB2312" w:cs="Arial"/>
          <w:color w:val="333333"/>
          <w:sz w:val="32"/>
          <w:szCs w:val="32"/>
        </w:rPr>
        <w:t>万元，主要原因</w:t>
      </w:r>
      <w:r>
        <w:rPr>
          <w:rFonts w:hint="eastAsia" w:ascii="仿宋_GB2312" w:hAnsi="Arial" w:eastAsia="仿宋_GB2312" w:cs="Arial"/>
          <w:color w:val="333333"/>
          <w:sz w:val="32"/>
          <w:szCs w:val="32"/>
          <w:lang w:val="en-US" w:eastAsia="zh-CN"/>
        </w:rPr>
        <w:t>是一般公共预算</w:t>
      </w:r>
      <w:r>
        <w:rPr>
          <w:rFonts w:hint="eastAsia" w:ascii="仿宋_GB2312" w:hAnsi="Arial" w:eastAsia="仿宋_GB2312" w:cs="Arial"/>
          <w:color w:val="333333"/>
          <w:sz w:val="32"/>
          <w:szCs w:val="32"/>
        </w:rPr>
        <w:t>公安交通管理业务费</w:t>
      </w:r>
      <w:r>
        <w:rPr>
          <w:rFonts w:hint="eastAsia" w:ascii="仿宋_GB2312" w:hAnsi="Arial" w:eastAsia="仿宋_GB2312" w:cs="Arial"/>
          <w:color w:val="333333"/>
          <w:sz w:val="32"/>
          <w:szCs w:val="32"/>
          <w:lang w:val="en-US" w:eastAsia="zh-CN"/>
        </w:rPr>
        <w:t>增加</w:t>
      </w:r>
      <w:r>
        <w:rPr>
          <w:rFonts w:hint="eastAsia" w:ascii="仿宋_GB2312" w:hAnsi="Arial" w:eastAsia="仿宋_GB2312" w:cs="Arial"/>
          <w:color w:val="333333"/>
          <w:sz w:val="32"/>
          <w:szCs w:val="32"/>
        </w:rPr>
        <w:t>。</w:t>
      </w:r>
    </w:p>
    <w:p>
      <w:pPr>
        <w:pStyle w:val="5"/>
        <w:shd w:val="clear" w:color="auto" w:fill="FFFFFF"/>
        <w:spacing w:before="285" w:beforeAutospacing="0" w:after="285" w:afterAutospacing="0" w:line="560" w:lineRule="exact"/>
        <w:ind w:firstLine="643"/>
        <w:outlineLvl w:val="1"/>
        <w:rPr>
          <w:rFonts w:ascii="Arial" w:hAnsi="Arial" w:cs="Arial"/>
          <w:color w:val="333333"/>
          <w:sz w:val="30"/>
          <w:szCs w:val="30"/>
        </w:rPr>
      </w:pPr>
      <w:bookmarkStart w:id="10" w:name="_Toc7571"/>
      <w:r>
        <w:rPr>
          <w:rStyle w:val="8"/>
          <w:rFonts w:hint="eastAsia" w:ascii="楷体_GB2312" w:hAnsi="Arial" w:eastAsia="楷体_GB2312" w:cs="Arial"/>
          <w:color w:val="333333"/>
          <w:sz w:val="32"/>
          <w:szCs w:val="32"/>
        </w:rPr>
        <w:t>（二）一般公共预算当年拨款结构情况</w:t>
      </w:r>
      <w:bookmarkEnd w:id="10"/>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公共安全支出6202.78万元，占88.13%；社会保障和就业支出488.82万元，占6.95%；住房保障支出346.80万元，占4.92%。</w:t>
      </w:r>
    </w:p>
    <w:p>
      <w:pPr>
        <w:pStyle w:val="5"/>
        <w:shd w:val="clear" w:color="auto" w:fill="FFFFFF"/>
        <w:spacing w:before="285" w:beforeAutospacing="0" w:after="285" w:afterAutospacing="0" w:line="560" w:lineRule="exact"/>
        <w:ind w:firstLine="643"/>
        <w:outlineLvl w:val="1"/>
        <w:rPr>
          <w:rFonts w:ascii="Arial" w:hAnsi="Arial" w:cs="Arial"/>
          <w:color w:val="333333"/>
          <w:sz w:val="30"/>
          <w:szCs w:val="30"/>
        </w:rPr>
      </w:pPr>
      <w:bookmarkStart w:id="11" w:name="_Toc11139"/>
      <w:r>
        <w:rPr>
          <w:rStyle w:val="8"/>
          <w:rFonts w:hint="eastAsia" w:ascii="楷体_GB2312" w:hAnsi="Arial" w:eastAsia="楷体_GB2312" w:cs="Arial"/>
          <w:color w:val="333333"/>
          <w:sz w:val="32"/>
          <w:szCs w:val="32"/>
        </w:rPr>
        <w:t>（三）一般公共预算当年拨款具体使用情况</w:t>
      </w:r>
      <w:bookmarkEnd w:id="11"/>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1.公共安全支出（类）公安（款）行政运行（项）2021年预算数为</w:t>
      </w:r>
      <w:r>
        <w:rPr>
          <w:rFonts w:ascii="Times New Roman" w:hAnsi="Times New Roman" w:eastAsia="仿宋_GB2312" w:cs="Times New Roman"/>
          <w:color w:val="333333"/>
          <w:sz w:val="32"/>
          <w:szCs w:val="32"/>
        </w:rPr>
        <w:t>4211.08</w:t>
      </w:r>
      <w:r>
        <w:rPr>
          <w:rFonts w:hint="eastAsia" w:ascii="仿宋_GB2312" w:hAnsi="Arial" w:eastAsia="仿宋_GB2312" w:cs="Arial"/>
          <w:color w:val="333333"/>
          <w:sz w:val="32"/>
          <w:szCs w:val="32"/>
        </w:rPr>
        <w:t>万元，主要用于：</w:t>
      </w:r>
      <w:r>
        <w:rPr>
          <w:rStyle w:val="8"/>
          <w:rFonts w:hint="eastAsia" w:ascii="仿宋_GB2312" w:hAnsi="Arial" w:eastAsia="仿宋_GB2312" w:cs="Arial"/>
          <w:color w:val="333333"/>
          <w:sz w:val="32"/>
          <w:szCs w:val="32"/>
        </w:rPr>
        <w:t>一是</w:t>
      </w:r>
      <w:r>
        <w:rPr>
          <w:rFonts w:hint="eastAsia" w:ascii="仿宋_GB2312" w:hAnsi="Arial" w:eastAsia="仿宋_GB2312" w:cs="Arial"/>
          <w:color w:val="333333"/>
          <w:sz w:val="32"/>
          <w:szCs w:val="32"/>
        </w:rPr>
        <w:t>保障在职人员基本工资、津贴补贴、奖金、职工基本医疗保险缴费及其他社会保障缴费等工资福利支出；</w:t>
      </w:r>
      <w:r>
        <w:rPr>
          <w:rStyle w:val="8"/>
          <w:rFonts w:hint="eastAsia" w:ascii="仿宋_GB2312" w:hAnsi="Arial" w:eastAsia="仿宋_GB2312" w:cs="Arial"/>
          <w:color w:val="333333"/>
          <w:sz w:val="32"/>
          <w:szCs w:val="32"/>
        </w:rPr>
        <w:t>二是</w:t>
      </w:r>
      <w:r>
        <w:rPr>
          <w:rFonts w:hint="eastAsia" w:ascii="仿宋_GB2312" w:hAnsi="Arial" w:eastAsia="仿宋_GB2312" w:cs="Arial"/>
          <w:color w:val="333333"/>
          <w:sz w:val="32"/>
          <w:szCs w:val="32"/>
        </w:rPr>
        <w:t>保障支队办公费、水电费、邮电费、差旅费、公务接待费、工会经费、福利费、公务用车运行维护费、其他交通费、在职人员党建经费等日常公用经费开支，确保交通管理基本业务的正常运转。</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2.公共安全支出（类）公安（款）一般行政管理事务（项）2021年预算数为</w:t>
      </w:r>
      <w:r>
        <w:rPr>
          <w:rFonts w:ascii="Times New Roman" w:hAnsi="Times New Roman" w:eastAsia="仿宋_GB2312" w:cs="Times New Roman"/>
          <w:color w:val="333333"/>
          <w:sz w:val="32"/>
          <w:szCs w:val="32"/>
        </w:rPr>
        <w:t>620</w:t>
      </w:r>
      <w:r>
        <w:rPr>
          <w:rFonts w:hint="eastAsia" w:ascii="仿宋_GB2312" w:hAnsi="Arial" w:eastAsia="仿宋_GB2312" w:cs="Arial"/>
          <w:color w:val="333333"/>
          <w:sz w:val="32"/>
          <w:szCs w:val="32"/>
        </w:rPr>
        <w:t>万元，主要用于：保障辅警人员工资和“五险一金”等基本人员经费，让这支队伍在我市道路交通管理工作中协助交通民警疏导交通，维护交通事故现场秩序，开展交通安全宣传等警务活动中充分发挥作用。</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3.公共安全支出（类）公安（款）信息化建设（项）2021年预算数为</w:t>
      </w:r>
      <w:r>
        <w:rPr>
          <w:rFonts w:ascii="Times New Roman" w:hAnsi="Times New Roman" w:eastAsia="仿宋_GB2312" w:cs="Times New Roman"/>
          <w:color w:val="333333"/>
          <w:sz w:val="32"/>
          <w:szCs w:val="32"/>
        </w:rPr>
        <w:t>54.90</w:t>
      </w:r>
      <w:r>
        <w:rPr>
          <w:rFonts w:hint="eastAsia" w:ascii="仿宋_GB2312" w:hAnsi="Arial" w:eastAsia="仿宋_GB2312" w:cs="Arial"/>
          <w:color w:val="333333"/>
          <w:sz w:val="32"/>
          <w:szCs w:val="32"/>
        </w:rPr>
        <w:t>万元，主要用于：按照政府采购合同约定支付智能交通建设项目50%质保金，确保缓堵保畅初见成效，增强人民群众满意度。</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4.公共安全支出（类）公安（款）其他公安支出（项）2021年预算数为1316.80万元，主要用于：</w:t>
      </w:r>
      <w:r>
        <w:rPr>
          <w:rStyle w:val="8"/>
          <w:rFonts w:hint="eastAsia" w:ascii="仿宋_GB2312" w:hAnsi="Arial" w:eastAsia="仿宋_GB2312" w:cs="Arial"/>
          <w:color w:val="333333"/>
          <w:sz w:val="32"/>
          <w:szCs w:val="32"/>
        </w:rPr>
        <w:t>一是</w:t>
      </w:r>
      <w:r>
        <w:rPr>
          <w:rFonts w:hint="eastAsia" w:ascii="仿宋_GB2312" w:hAnsi="Arial" w:eastAsia="仿宋_GB2312" w:cs="Arial"/>
          <w:color w:val="333333"/>
          <w:sz w:val="32"/>
          <w:szCs w:val="32"/>
        </w:rPr>
        <w:t>支付攀枝花市公安局交通管理指挥中心空调设备款154万元，项目建成后将极大促进我市道路交通管理工作的发展，提升工作质效，从而达到提升服务社会能力需求的效果。</w:t>
      </w:r>
      <w:r>
        <w:rPr>
          <w:rStyle w:val="8"/>
          <w:rFonts w:hint="eastAsia" w:ascii="仿宋_GB2312" w:hAnsi="Arial" w:eastAsia="仿宋_GB2312" w:cs="Arial"/>
          <w:color w:val="333333"/>
          <w:sz w:val="32"/>
          <w:szCs w:val="32"/>
        </w:rPr>
        <w:t>二是</w:t>
      </w:r>
      <w:r>
        <w:rPr>
          <w:rFonts w:hint="eastAsia" w:ascii="仿宋_GB2312" w:hAnsi="Arial" w:eastAsia="仿宋_GB2312" w:cs="Arial"/>
          <w:color w:val="333333"/>
          <w:sz w:val="32"/>
          <w:szCs w:val="32"/>
        </w:rPr>
        <w:t>用于车辆违法超速抓拍系统维护费、公安道路交通管理执勤执法办案费、车驾管业务基本运行费、标志标线维护费、公安交通执法装备购置费、道路交通事故救助基金专项工作经费、辅警人员经费、全市货运脏车治理专项经费等各项项目经费1162.80万元。</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5.社会保障和就业支出（类）行政事业单位养老支出（款）行政单位离退休（项）2020年预算数156.29万元，主要用于：保障单位退休人员退休费、医疗补助等人员经费和福利费、党建经费等退休人员公用经费。</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6.社会保障和就业支出（类）行政事业单位养老支出（款）机关事业单位基本养老保险缴费支出（项）2021年预算数328.43万元，主要用于：在职民警缴纳机关养老保险支出，保障在职人员的合法合规权益。</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7.社会保障和就业支出（类）抚恤（款）死亡抚恤2021年预算数4.10万元，主要用于：4名长赡人员的生活补助。</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8.住房保障支出（类）住房改革支出（款）住房公积金（项）2021年预算数346.80万元，主要用于：为在职民警缴纳住房公积金支出。</w:t>
      </w:r>
    </w:p>
    <w:p>
      <w:pPr>
        <w:pStyle w:val="5"/>
        <w:shd w:val="clear" w:color="auto" w:fill="FFFFFF"/>
        <w:spacing w:before="285" w:beforeAutospacing="0" w:after="285" w:afterAutospacing="0" w:line="560" w:lineRule="exact"/>
        <w:ind w:firstLine="640"/>
        <w:outlineLvl w:val="0"/>
        <w:rPr>
          <w:rFonts w:ascii="Arial" w:hAnsi="Arial" w:cs="Arial"/>
          <w:b/>
          <w:bCs/>
          <w:color w:val="333333"/>
          <w:sz w:val="32"/>
          <w:szCs w:val="32"/>
        </w:rPr>
      </w:pPr>
      <w:bookmarkStart w:id="12" w:name="_Toc30617"/>
      <w:r>
        <w:rPr>
          <w:rFonts w:hint="eastAsia" w:ascii="黑体" w:hAnsi="黑体" w:eastAsia="黑体" w:cs="Arial"/>
          <w:b/>
          <w:bCs/>
          <w:color w:val="333333"/>
          <w:sz w:val="32"/>
          <w:szCs w:val="32"/>
        </w:rPr>
        <w:t>六、一般公共预算基本支出情况说明</w:t>
      </w:r>
      <w:bookmarkEnd w:id="12"/>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交警支队2021年一般公共预算基本支出</w:t>
      </w:r>
      <w:r>
        <w:rPr>
          <w:rFonts w:ascii="Times New Roman" w:hAnsi="Times New Roman" w:eastAsia="仿宋_GB2312" w:cs="Times New Roman"/>
          <w:color w:val="333333"/>
          <w:sz w:val="32"/>
          <w:szCs w:val="32"/>
        </w:rPr>
        <w:t>5046.70</w:t>
      </w:r>
      <w:r>
        <w:rPr>
          <w:rFonts w:hint="eastAsia" w:ascii="仿宋_GB2312" w:hAnsi="Arial" w:eastAsia="仿宋_GB2312" w:cs="Arial"/>
          <w:color w:val="333333"/>
          <w:sz w:val="32"/>
          <w:szCs w:val="32"/>
        </w:rPr>
        <w:t>万元，其中：</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人员经费</w:t>
      </w:r>
      <w:r>
        <w:rPr>
          <w:rFonts w:ascii="Times New Roman" w:hAnsi="Times New Roman" w:eastAsia="仿宋_GB2312" w:cs="Times New Roman"/>
          <w:color w:val="333333"/>
          <w:sz w:val="32"/>
          <w:szCs w:val="32"/>
        </w:rPr>
        <w:t>4233.27</w:t>
      </w:r>
      <w:r>
        <w:rPr>
          <w:rFonts w:hint="eastAsia" w:ascii="仿宋_GB2312" w:hAnsi="Arial" w:eastAsia="仿宋_GB2312" w:cs="Arial"/>
          <w:color w:val="333333"/>
          <w:sz w:val="32"/>
          <w:szCs w:val="32"/>
        </w:rPr>
        <w:t>万元，主要包括：基本工资884.13万元、津贴补贴1938.03万元、奖金67.76万元、机关事业单位基本养老保险缴费328.44万元、职工基本医疗保险缴费222.52万元、公务员医疗补助缴费17.12万元、住房公积金346.79万元、其他工资福利支出292.76万元、退休费125.06万元、生活补助4.10万元、退休人员医疗费补助6.56万元。</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公用经费</w:t>
      </w:r>
      <w:r>
        <w:rPr>
          <w:rFonts w:ascii="Times New Roman" w:hAnsi="Times New Roman" w:eastAsia="仿宋_GB2312" w:cs="Times New Roman"/>
          <w:color w:val="333333"/>
          <w:sz w:val="32"/>
          <w:szCs w:val="32"/>
        </w:rPr>
        <w:t>813.43</w:t>
      </w:r>
      <w:r>
        <w:rPr>
          <w:rFonts w:hint="eastAsia" w:ascii="仿宋_GB2312" w:hAnsi="Arial" w:eastAsia="仿宋_GB2312" w:cs="Arial"/>
          <w:color w:val="333333"/>
          <w:sz w:val="32"/>
          <w:szCs w:val="32"/>
        </w:rPr>
        <w:t>万元，主要包括：办公费180.08万元、水费8.56万元、电费21.40万元、邮电费3.82万元、差旅费64.20万元、公务接待费9.40万元、工会经费57.80万元、福利费31.65万元，公务用车运行维护费185.16万元、其他交通费192.12万元、其他商品和服务支出（党建经费、退休人员公用经费）59.24万元。</w:t>
      </w:r>
    </w:p>
    <w:p>
      <w:pPr>
        <w:pStyle w:val="5"/>
        <w:shd w:val="clear" w:color="auto" w:fill="FFFFFF"/>
        <w:spacing w:before="285" w:beforeAutospacing="0" w:after="285" w:afterAutospacing="0" w:line="560" w:lineRule="exact"/>
        <w:ind w:firstLine="640"/>
        <w:outlineLvl w:val="0"/>
        <w:rPr>
          <w:rFonts w:ascii="Arial" w:hAnsi="Arial" w:cs="Arial"/>
          <w:b/>
          <w:bCs/>
          <w:color w:val="333333"/>
          <w:sz w:val="32"/>
          <w:szCs w:val="32"/>
        </w:rPr>
      </w:pPr>
      <w:bookmarkStart w:id="13" w:name="_Toc15509"/>
      <w:r>
        <w:rPr>
          <w:rFonts w:hint="eastAsia" w:ascii="黑体" w:hAnsi="黑体" w:eastAsia="黑体" w:cs="Arial"/>
          <w:b/>
          <w:bCs/>
          <w:color w:val="333333"/>
          <w:sz w:val="32"/>
          <w:szCs w:val="32"/>
        </w:rPr>
        <w:t>七、“三公”经费财政拨款预算安排情况说明</w:t>
      </w:r>
      <w:bookmarkEnd w:id="13"/>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交警支队2021年“三公”经费财政拨款预算数</w:t>
      </w:r>
      <w:r>
        <w:rPr>
          <w:rFonts w:ascii="Times New Roman" w:hAnsi="Times New Roman" w:eastAsia="仿宋_GB2312" w:cs="Times New Roman"/>
          <w:color w:val="333333"/>
          <w:sz w:val="32"/>
          <w:szCs w:val="32"/>
        </w:rPr>
        <w:t>194.56</w:t>
      </w:r>
      <w:r>
        <w:rPr>
          <w:rFonts w:hint="eastAsia" w:ascii="仿宋_GB2312" w:hAnsi="Arial" w:eastAsia="仿宋_GB2312" w:cs="Arial"/>
          <w:color w:val="333333"/>
          <w:sz w:val="32"/>
          <w:szCs w:val="32"/>
        </w:rPr>
        <w:t>万元，其中：因公出国（境）经费</w:t>
      </w:r>
      <w:r>
        <w:rPr>
          <w:rFonts w:ascii="Times New Roman" w:hAnsi="Times New Roman" w:eastAsia="仿宋_GB2312" w:cs="Times New Roman"/>
          <w:color w:val="333333"/>
          <w:sz w:val="32"/>
          <w:szCs w:val="32"/>
        </w:rPr>
        <w:t>0</w:t>
      </w:r>
      <w:r>
        <w:rPr>
          <w:rFonts w:hint="eastAsia" w:ascii="仿宋_GB2312" w:hAnsi="Arial" w:eastAsia="仿宋_GB2312" w:cs="Arial"/>
          <w:color w:val="333333"/>
          <w:sz w:val="32"/>
          <w:szCs w:val="32"/>
        </w:rPr>
        <w:t>万元，公务接待费</w:t>
      </w:r>
      <w:r>
        <w:rPr>
          <w:rFonts w:ascii="Times New Roman" w:hAnsi="Times New Roman" w:eastAsia="仿宋_GB2312" w:cs="Times New Roman"/>
          <w:color w:val="333333"/>
          <w:sz w:val="32"/>
          <w:szCs w:val="32"/>
        </w:rPr>
        <w:t>9.40</w:t>
      </w:r>
      <w:r>
        <w:rPr>
          <w:rFonts w:hint="eastAsia" w:ascii="仿宋_GB2312" w:hAnsi="Arial" w:eastAsia="仿宋_GB2312" w:cs="Arial"/>
          <w:color w:val="333333"/>
          <w:sz w:val="32"/>
          <w:szCs w:val="32"/>
        </w:rPr>
        <w:t>万元，公务用车购置及运行维护费</w:t>
      </w:r>
      <w:r>
        <w:rPr>
          <w:rFonts w:ascii="Times New Roman" w:hAnsi="Times New Roman" w:eastAsia="仿宋_GB2312" w:cs="Times New Roman"/>
          <w:color w:val="333333"/>
          <w:sz w:val="32"/>
          <w:szCs w:val="32"/>
        </w:rPr>
        <w:t>185.16</w:t>
      </w:r>
      <w:r>
        <w:rPr>
          <w:rFonts w:hint="eastAsia" w:ascii="仿宋_GB2312" w:hAnsi="Arial" w:eastAsia="仿宋_GB2312" w:cs="Arial"/>
          <w:color w:val="333333"/>
          <w:sz w:val="32"/>
          <w:szCs w:val="32"/>
        </w:rPr>
        <w:t>万元（其中：公务公车购置费0万元，公务用车运行维护费185.16万元）。</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Style w:val="8"/>
          <w:rFonts w:hint="eastAsia" w:ascii="楷体_GB2312" w:hAnsi="Arial" w:eastAsia="楷体_GB2312" w:cs="Arial"/>
          <w:color w:val="333333"/>
          <w:sz w:val="32"/>
          <w:szCs w:val="32"/>
        </w:rPr>
        <w:t>（一）因公出国（境）经费与2020年预算持平。</w:t>
      </w:r>
      <w:r>
        <w:rPr>
          <w:rFonts w:hint="eastAsia" w:ascii="仿宋_GB2312" w:hAnsi="Arial" w:eastAsia="仿宋_GB2312" w:cs="Arial"/>
          <w:color w:val="333333"/>
          <w:sz w:val="32"/>
          <w:szCs w:val="32"/>
        </w:rPr>
        <w:t>主要原因是交警支队2021年与2020年均未安排因公出国（境）经费，拟安排出国（境）团组</w:t>
      </w:r>
      <w:r>
        <w:rPr>
          <w:rFonts w:ascii="Times New Roman" w:hAnsi="Times New Roman" w:eastAsia="仿宋_GB2312" w:cs="Times New Roman"/>
          <w:color w:val="333333"/>
          <w:sz w:val="32"/>
          <w:szCs w:val="32"/>
        </w:rPr>
        <w:t>0</w:t>
      </w:r>
      <w:r>
        <w:rPr>
          <w:rFonts w:hint="eastAsia" w:ascii="仿宋_GB2312" w:hAnsi="Arial" w:eastAsia="仿宋_GB2312" w:cs="Arial"/>
          <w:color w:val="333333"/>
          <w:sz w:val="32"/>
          <w:szCs w:val="32"/>
        </w:rPr>
        <w:t>次,</w:t>
      </w:r>
      <w:r>
        <w:rPr>
          <w:rFonts w:ascii="Arial" w:hAnsi="Arial" w:cs="Arial"/>
          <w:color w:val="333333"/>
          <w:sz w:val="30"/>
          <w:szCs w:val="30"/>
        </w:rPr>
        <w:t> </w:t>
      </w:r>
      <w:r>
        <w:rPr>
          <w:rFonts w:ascii="Times New Roman" w:hAnsi="Times New Roman" w:eastAsia="仿宋_GB2312" w:cs="Times New Roman"/>
          <w:color w:val="333333"/>
          <w:sz w:val="32"/>
          <w:szCs w:val="32"/>
        </w:rPr>
        <w:t>0</w:t>
      </w:r>
      <w:r>
        <w:rPr>
          <w:rFonts w:hint="eastAsia" w:ascii="仿宋_GB2312" w:hAnsi="Arial" w:eastAsia="仿宋_GB2312" w:cs="Arial"/>
          <w:color w:val="333333"/>
          <w:sz w:val="32"/>
          <w:szCs w:val="32"/>
        </w:rPr>
        <w:t>人。</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Style w:val="8"/>
          <w:rFonts w:hint="eastAsia" w:ascii="楷体_GB2312" w:hAnsi="Arial" w:eastAsia="楷体_GB2312" w:cs="Arial"/>
          <w:color w:val="333333"/>
          <w:sz w:val="32"/>
          <w:szCs w:val="32"/>
        </w:rPr>
        <w:t>（二）公务接待费与2020年预算持平。</w:t>
      </w:r>
      <w:r>
        <w:rPr>
          <w:rFonts w:hint="eastAsia" w:ascii="仿宋_GB2312" w:hAnsi="Arial" w:eastAsia="仿宋_GB2312" w:cs="Arial"/>
          <w:color w:val="333333"/>
          <w:sz w:val="32"/>
          <w:szCs w:val="32"/>
        </w:rPr>
        <w:t>主要原因是按照市财政局关于2021年预算编制的要求，公务接待费预算数与上年一致。</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2021年公务接待费计划用于接待各相关工作单位人员来攀考察调研、执行任务、学习交流、检查指导等公务活动。</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交警支队在公务接待工作中将继续厉行勤俭节约，反对铺张浪费，严格遵守《四川省党政机关国内公务接待管理办法》、《攀枝花市党政机关国内公务接待管理办法》等相关规定，坚持有利公务、务实节约、严格标准和对口接待等原则，严格控制公务接待费支出。</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Style w:val="8"/>
          <w:rFonts w:hint="eastAsia" w:ascii="楷体_GB2312" w:hAnsi="Arial" w:eastAsia="楷体_GB2312" w:cs="Arial"/>
          <w:color w:val="333333"/>
          <w:sz w:val="32"/>
          <w:szCs w:val="32"/>
        </w:rPr>
        <w:t>（三）公务用车购置及运行维护费较2020年预算增长</w:t>
      </w:r>
      <w:r>
        <w:rPr>
          <w:rStyle w:val="8"/>
          <w:rFonts w:ascii="Times New Roman" w:hAnsi="Times New Roman" w:eastAsia="仿宋_GB2312" w:cs="Times New Roman"/>
          <w:color w:val="333333"/>
          <w:sz w:val="32"/>
          <w:szCs w:val="32"/>
        </w:rPr>
        <w:t>0.46</w:t>
      </w:r>
      <w:r>
        <w:rPr>
          <w:rStyle w:val="8"/>
          <w:rFonts w:hint="eastAsia" w:ascii="楷体_GB2312" w:hAnsi="Arial" w:eastAsia="楷体_GB2312" w:cs="Arial"/>
          <w:color w:val="333333"/>
          <w:sz w:val="32"/>
          <w:szCs w:val="32"/>
        </w:rPr>
        <w:t>%。</w:t>
      </w:r>
      <w:r>
        <w:rPr>
          <w:rFonts w:hint="eastAsia" w:ascii="仿宋_GB2312" w:hAnsi="Arial" w:eastAsia="仿宋_GB2312" w:cs="Arial"/>
          <w:color w:val="333333"/>
          <w:sz w:val="32"/>
          <w:szCs w:val="32"/>
        </w:rPr>
        <w:t>主要原因是支队因工作需要采购10辆路面执勤执法轻骑摩托车，2021年部门预算中较上年增加摩托车运行维护费8.08万元。</w:t>
      </w:r>
    </w:p>
    <w:p>
      <w:pPr>
        <w:pStyle w:val="5"/>
        <w:shd w:val="clear" w:color="auto" w:fill="FFFFFF"/>
        <w:spacing w:before="285" w:beforeAutospacing="0" w:after="285" w:afterAutospacing="0" w:line="560" w:lineRule="exact"/>
        <w:ind w:firstLine="640"/>
        <w:rPr>
          <w:rFonts w:ascii="仿宋_GB2312" w:hAnsi="Arial" w:eastAsia="仿宋_GB2312" w:cs="Arial"/>
          <w:color w:val="333333"/>
          <w:sz w:val="32"/>
          <w:szCs w:val="32"/>
        </w:rPr>
      </w:pPr>
      <w:r>
        <w:rPr>
          <w:rFonts w:hint="eastAsia" w:ascii="仿宋_GB2312" w:hAnsi="Arial" w:eastAsia="仿宋_GB2312" w:cs="Arial"/>
          <w:color w:val="333333"/>
          <w:sz w:val="32"/>
          <w:szCs w:val="32"/>
        </w:rPr>
        <w:t>单位现有公务用车</w:t>
      </w:r>
      <w:r>
        <w:rPr>
          <w:rFonts w:ascii="Times New Roman" w:hAnsi="Times New Roman" w:eastAsia="仿宋_GB2312" w:cs="Times New Roman"/>
          <w:color w:val="333333"/>
          <w:sz w:val="32"/>
          <w:szCs w:val="32"/>
        </w:rPr>
        <w:t>148</w:t>
      </w:r>
      <w:r>
        <w:rPr>
          <w:rFonts w:hint="eastAsia" w:ascii="仿宋_GB2312" w:hAnsi="Arial" w:eastAsia="仿宋_GB2312" w:cs="Arial"/>
          <w:color w:val="333333"/>
          <w:sz w:val="32"/>
          <w:szCs w:val="32"/>
        </w:rPr>
        <w:t>辆，其中：轿车（含7座以下商务车、城市越野车）</w:t>
      </w:r>
      <w:r>
        <w:rPr>
          <w:rFonts w:ascii="Times New Roman" w:hAnsi="Times New Roman" w:eastAsia="仿宋_GB2312" w:cs="Times New Roman"/>
          <w:color w:val="333333"/>
          <w:sz w:val="32"/>
          <w:szCs w:val="32"/>
        </w:rPr>
        <w:t>55</w:t>
      </w:r>
      <w:r>
        <w:rPr>
          <w:rFonts w:hint="eastAsia" w:ascii="仿宋_GB2312" w:hAnsi="Arial" w:eastAsia="仿宋_GB2312" w:cs="Arial"/>
          <w:color w:val="333333"/>
          <w:sz w:val="32"/>
          <w:szCs w:val="32"/>
        </w:rPr>
        <w:t>辆，7座以上19座（含19座）以下客车</w:t>
      </w:r>
      <w:r>
        <w:rPr>
          <w:rFonts w:ascii="Times New Roman" w:hAnsi="Times New Roman" w:eastAsia="仿宋_GB2312" w:cs="Times New Roman"/>
          <w:color w:val="333333"/>
          <w:sz w:val="32"/>
          <w:szCs w:val="32"/>
        </w:rPr>
        <w:t>3</w:t>
      </w:r>
      <w:r>
        <w:rPr>
          <w:rFonts w:hint="eastAsia" w:ascii="仿宋_GB2312" w:hAnsi="Arial" w:eastAsia="仿宋_GB2312" w:cs="Arial"/>
          <w:color w:val="333333"/>
          <w:sz w:val="32"/>
          <w:szCs w:val="32"/>
        </w:rPr>
        <w:t>辆，越野车</w:t>
      </w:r>
      <w:r>
        <w:rPr>
          <w:rFonts w:ascii="Times New Roman" w:hAnsi="Times New Roman" w:eastAsia="仿宋_GB2312" w:cs="Times New Roman"/>
          <w:color w:val="333333"/>
          <w:sz w:val="32"/>
          <w:szCs w:val="32"/>
        </w:rPr>
        <w:t>3</w:t>
      </w:r>
      <w:r>
        <w:rPr>
          <w:rFonts w:hint="eastAsia" w:ascii="仿宋_GB2312" w:hAnsi="Arial" w:eastAsia="仿宋_GB2312" w:cs="Arial"/>
          <w:color w:val="333333"/>
          <w:sz w:val="32"/>
          <w:szCs w:val="32"/>
        </w:rPr>
        <w:t>辆，货车及19座以上客车</w:t>
      </w:r>
      <w:r>
        <w:rPr>
          <w:rFonts w:ascii="Times New Roman" w:hAnsi="Times New Roman" w:eastAsia="仿宋_GB2312" w:cs="Times New Roman"/>
          <w:color w:val="333333"/>
          <w:sz w:val="32"/>
          <w:szCs w:val="32"/>
        </w:rPr>
        <w:t>1</w:t>
      </w:r>
      <w:r>
        <w:rPr>
          <w:rFonts w:hint="eastAsia" w:ascii="仿宋_GB2312" w:hAnsi="Arial" w:eastAsia="仿宋_GB2312" w:cs="Arial"/>
          <w:color w:val="333333"/>
          <w:sz w:val="32"/>
          <w:szCs w:val="32"/>
        </w:rPr>
        <w:t>辆，摩托车</w:t>
      </w:r>
      <w:r>
        <w:rPr>
          <w:rFonts w:ascii="Times New Roman" w:hAnsi="Times New Roman" w:eastAsia="仿宋_GB2312" w:cs="Times New Roman"/>
          <w:color w:val="333333"/>
          <w:sz w:val="32"/>
          <w:szCs w:val="32"/>
        </w:rPr>
        <w:t>86</w:t>
      </w:r>
      <w:r>
        <w:rPr>
          <w:rFonts w:hint="eastAsia" w:ascii="仿宋_GB2312" w:hAnsi="Arial" w:eastAsia="仿宋_GB2312" w:cs="Arial"/>
          <w:color w:val="333333"/>
          <w:sz w:val="32"/>
          <w:szCs w:val="32"/>
        </w:rPr>
        <w:t>辆。</w:t>
      </w:r>
    </w:p>
    <w:p>
      <w:pPr>
        <w:pStyle w:val="5"/>
        <w:shd w:val="clear" w:color="auto" w:fill="FFFFFF"/>
        <w:spacing w:before="285" w:beforeAutospacing="0" w:after="285" w:afterAutospacing="0" w:line="560" w:lineRule="exact"/>
        <w:ind w:firstLine="640" w:firstLineChars="200"/>
        <w:rPr>
          <w:rFonts w:ascii="仿宋_GB2312" w:hAnsi="Arial" w:eastAsia="仿宋_GB2312" w:cs="Arial"/>
          <w:color w:val="333333"/>
          <w:sz w:val="32"/>
          <w:szCs w:val="32"/>
        </w:rPr>
      </w:pPr>
      <w:r>
        <w:rPr>
          <w:rFonts w:hint="eastAsia" w:ascii="仿宋_GB2312" w:hAnsi="Arial" w:eastAsia="仿宋_GB2312" w:cs="Arial"/>
          <w:color w:val="333333"/>
          <w:sz w:val="32"/>
          <w:szCs w:val="32"/>
        </w:rPr>
        <w:t>2021年安排公务用车购置费</w:t>
      </w:r>
      <w:r>
        <w:rPr>
          <w:rFonts w:ascii="Times New Roman" w:hAnsi="Times New Roman" w:eastAsia="仿宋_GB2312" w:cs="Times New Roman"/>
          <w:color w:val="333333"/>
          <w:sz w:val="32"/>
          <w:szCs w:val="32"/>
        </w:rPr>
        <w:t>0</w:t>
      </w:r>
      <w:r>
        <w:rPr>
          <w:rFonts w:hint="eastAsia" w:ascii="仿宋_GB2312" w:hAnsi="Arial" w:eastAsia="仿宋_GB2312" w:cs="Arial"/>
          <w:color w:val="333333"/>
          <w:sz w:val="32"/>
          <w:szCs w:val="32"/>
        </w:rPr>
        <w:t>万元，购置公务用车</w:t>
      </w:r>
      <w:r>
        <w:rPr>
          <w:rFonts w:ascii="Times New Roman" w:hAnsi="Times New Roman" w:eastAsia="仿宋_GB2312" w:cs="Times New Roman"/>
          <w:color w:val="333333"/>
          <w:sz w:val="32"/>
          <w:szCs w:val="32"/>
        </w:rPr>
        <w:t>0</w:t>
      </w:r>
      <w:r>
        <w:rPr>
          <w:rFonts w:hint="eastAsia" w:ascii="仿宋_GB2312" w:hAnsi="Arial" w:eastAsia="仿宋_GB2312" w:cs="Arial"/>
          <w:color w:val="333333"/>
          <w:sz w:val="32"/>
          <w:szCs w:val="32"/>
        </w:rPr>
        <w:t>辆。</w:t>
      </w:r>
    </w:p>
    <w:p>
      <w:pPr>
        <w:pStyle w:val="5"/>
        <w:shd w:val="clear" w:color="auto" w:fill="FFFFFF"/>
        <w:spacing w:before="285" w:beforeAutospacing="0" w:after="285" w:afterAutospacing="0" w:line="560" w:lineRule="exact"/>
        <w:ind w:firstLine="640" w:firstLineChars="200"/>
        <w:rPr>
          <w:rFonts w:ascii="Arial" w:hAnsi="Arial" w:cs="Arial"/>
          <w:color w:val="333333"/>
          <w:sz w:val="30"/>
          <w:szCs w:val="30"/>
        </w:rPr>
      </w:pPr>
      <w:r>
        <w:rPr>
          <w:rFonts w:hint="eastAsia" w:ascii="仿宋_GB2312" w:hAnsi="Arial" w:eastAsia="仿宋_GB2312" w:cs="Arial"/>
          <w:color w:val="333333"/>
          <w:sz w:val="32"/>
          <w:szCs w:val="32"/>
        </w:rPr>
        <w:t>2021年安排公务用车运行维护费</w:t>
      </w:r>
      <w:r>
        <w:rPr>
          <w:rFonts w:ascii="Times New Roman" w:hAnsi="Times New Roman" w:eastAsia="仿宋_GB2312" w:cs="Times New Roman"/>
          <w:color w:val="333333"/>
          <w:sz w:val="32"/>
          <w:szCs w:val="32"/>
        </w:rPr>
        <w:t>185.16</w:t>
      </w:r>
      <w:r>
        <w:rPr>
          <w:rFonts w:hint="eastAsia" w:ascii="仿宋_GB2312" w:hAnsi="Arial" w:eastAsia="仿宋_GB2312" w:cs="Arial"/>
          <w:color w:val="333333"/>
          <w:sz w:val="32"/>
          <w:szCs w:val="32"/>
        </w:rPr>
        <w:t>万元，用于</w:t>
      </w:r>
      <w:r>
        <w:rPr>
          <w:rFonts w:ascii="Times New Roman" w:hAnsi="Times New Roman" w:eastAsia="仿宋_GB2312" w:cs="Times New Roman"/>
          <w:color w:val="333333"/>
          <w:sz w:val="32"/>
          <w:szCs w:val="32"/>
        </w:rPr>
        <w:t>148</w:t>
      </w:r>
      <w:r>
        <w:rPr>
          <w:rFonts w:hint="eastAsia" w:ascii="仿宋_GB2312" w:hAnsi="Arial" w:eastAsia="仿宋_GB2312" w:cs="Arial"/>
          <w:color w:val="333333"/>
          <w:sz w:val="32"/>
          <w:szCs w:val="32"/>
        </w:rPr>
        <w:t>辆公务用车燃油、维修、车辆通行、保险等方面支出，主要保障道路交通事故处理、道路交通安全隐患排查、交通秩序管理路面巡逻、交通安全宣传、执行其他公务等工作开展。</w:t>
      </w:r>
    </w:p>
    <w:p>
      <w:pPr>
        <w:pStyle w:val="5"/>
        <w:shd w:val="clear" w:color="auto" w:fill="FFFFFF"/>
        <w:spacing w:before="285" w:beforeAutospacing="0" w:after="285" w:afterAutospacing="0" w:line="560" w:lineRule="exact"/>
        <w:ind w:firstLine="640"/>
        <w:outlineLvl w:val="0"/>
        <w:rPr>
          <w:rFonts w:ascii="Arial" w:hAnsi="Arial" w:cs="Arial"/>
          <w:b/>
          <w:bCs/>
          <w:color w:val="333333"/>
          <w:sz w:val="32"/>
          <w:szCs w:val="32"/>
        </w:rPr>
      </w:pPr>
      <w:bookmarkStart w:id="14" w:name="_Toc4377"/>
      <w:r>
        <w:rPr>
          <w:rFonts w:hint="eastAsia" w:ascii="黑体" w:hAnsi="黑体" w:eastAsia="黑体" w:cs="Arial"/>
          <w:b/>
          <w:bCs/>
          <w:color w:val="333333"/>
          <w:sz w:val="32"/>
          <w:szCs w:val="32"/>
        </w:rPr>
        <w:t>八、政府性基金预算支出情况说明</w:t>
      </w:r>
      <w:bookmarkEnd w:id="14"/>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交警支队2021年没有使用政府性基金预算拨款安排的支出。</w:t>
      </w:r>
    </w:p>
    <w:p>
      <w:pPr>
        <w:pStyle w:val="5"/>
        <w:shd w:val="clear" w:color="auto" w:fill="FFFFFF"/>
        <w:spacing w:before="285" w:beforeAutospacing="0" w:after="285" w:afterAutospacing="0" w:line="560" w:lineRule="exact"/>
        <w:ind w:firstLine="640"/>
        <w:outlineLvl w:val="0"/>
        <w:rPr>
          <w:rFonts w:ascii="Arial" w:hAnsi="Arial" w:cs="Arial"/>
          <w:b/>
          <w:bCs/>
          <w:color w:val="333333"/>
          <w:sz w:val="32"/>
          <w:szCs w:val="32"/>
        </w:rPr>
      </w:pPr>
      <w:bookmarkStart w:id="15" w:name="_Toc2971"/>
      <w:r>
        <w:rPr>
          <w:rFonts w:hint="eastAsia" w:ascii="黑体" w:hAnsi="黑体" w:eastAsia="黑体" w:cs="Arial"/>
          <w:b/>
          <w:bCs/>
          <w:color w:val="333333"/>
          <w:sz w:val="32"/>
          <w:szCs w:val="32"/>
        </w:rPr>
        <w:t>九、其他重要事项的情况说明</w:t>
      </w:r>
      <w:bookmarkEnd w:id="15"/>
    </w:p>
    <w:p>
      <w:pPr>
        <w:pStyle w:val="5"/>
        <w:shd w:val="clear" w:color="auto" w:fill="FFFFFF"/>
        <w:spacing w:before="285" w:beforeAutospacing="0" w:after="285" w:afterAutospacing="0" w:line="560" w:lineRule="exact"/>
        <w:ind w:firstLine="643"/>
        <w:outlineLvl w:val="1"/>
        <w:rPr>
          <w:rFonts w:ascii="Arial" w:hAnsi="Arial" w:cs="Arial"/>
          <w:color w:val="333333"/>
          <w:sz w:val="30"/>
          <w:szCs w:val="30"/>
        </w:rPr>
      </w:pPr>
      <w:bookmarkStart w:id="16" w:name="_Toc19608"/>
      <w:r>
        <w:rPr>
          <w:rStyle w:val="8"/>
          <w:rFonts w:hint="eastAsia" w:ascii="楷体_GB2312" w:hAnsi="Arial" w:eastAsia="楷体_GB2312" w:cs="Arial"/>
          <w:color w:val="333333"/>
          <w:sz w:val="32"/>
          <w:szCs w:val="32"/>
        </w:rPr>
        <w:t>（一）</w:t>
      </w:r>
      <w:r>
        <w:rPr>
          <w:rStyle w:val="8"/>
          <w:rFonts w:hint="eastAsia" w:ascii="楷体_GB2312" w:hAnsi="Arial" w:eastAsia="楷体_GB2312" w:cs="Arial"/>
          <w:color w:val="333333"/>
          <w:sz w:val="32"/>
          <w:szCs w:val="32"/>
          <w:lang w:val="en-US" w:eastAsia="zh-CN"/>
        </w:rPr>
        <w:t>机关</w:t>
      </w:r>
      <w:r>
        <w:rPr>
          <w:rStyle w:val="8"/>
          <w:rFonts w:hint="eastAsia" w:ascii="楷体_GB2312" w:hAnsi="Arial" w:eastAsia="楷体_GB2312" w:cs="Arial"/>
          <w:color w:val="333333"/>
          <w:sz w:val="32"/>
          <w:szCs w:val="32"/>
        </w:rPr>
        <w:t>运行经费</w:t>
      </w:r>
      <w:bookmarkEnd w:id="16"/>
    </w:p>
    <w:p>
      <w:pPr>
        <w:pStyle w:val="5"/>
        <w:shd w:val="clear" w:color="auto" w:fill="FFFFFF"/>
        <w:spacing w:before="285" w:beforeAutospacing="0" w:after="285" w:afterAutospacing="0" w:line="560" w:lineRule="exact"/>
        <w:ind w:firstLine="640"/>
        <w:rPr>
          <w:rFonts w:hint="eastAsia" w:ascii="仿宋_GB2312" w:hAnsi="Arial" w:eastAsia="仿宋_GB2312" w:cs="Arial"/>
          <w:color w:val="333333"/>
          <w:sz w:val="32"/>
          <w:szCs w:val="32"/>
        </w:rPr>
      </w:pPr>
      <w:r>
        <w:rPr>
          <w:rFonts w:hint="eastAsia" w:ascii="仿宋_GB2312" w:hAnsi="Arial" w:eastAsia="仿宋_GB2312" w:cs="Arial"/>
          <w:color w:val="333333"/>
          <w:sz w:val="32"/>
          <w:szCs w:val="32"/>
        </w:rPr>
        <w:t>2021年，交警支队的机关运行经费财政拨款预算为</w:t>
      </w:r>
      <w:r>
        <w:rPr>
          <w:rFonts w:ascii="Times New Roman" w:hAnsi="Times New Roman" w:eastAsia="仿宋_GB2312" w:cs="Times New Roman"/>
          <w:color w:val="333333"/>
          <w:sz w:val="32"/>
          <w:szCs w:val="32"/>
        </w:rPr>
        <w:t>813.43</w:t>
      </w:r>
      <w:r>
        <w:rPr>
          <w:rFonts w:hint="eastAsia" w:ascii="仿宋_GB2312" w:hAnsi="Arial" w:eastAsia="仿宋_GB2312" w:cs="Arial"/>
          <w:color w:val="333333"/>
          <w:sz w:val="32"/>
          <w:szCs w:val="32"/>
        </w:rPr>
        <w:t>万元，比2020年预算增加</w:t>
      </w:r>
      <w:r>
        <w:rPr>
          <w:rFonts w:ascii="Times New Roman" w:hAnsi="Times New Roman" w:eastAsia="仿宋_GB2312" w:cs="Times New Roman"/>
          <w:color w:val="333333"/>
          <w:sz w:val="32"/>
          <w:szCs w:val="32"/>
        </w:rPr>
        <w:t>169.74</w:t>
      </w:r>
      <w:r>
        <w:rPr>
          <w:rFonts w:hint="eastAsia" w:ascii="仿宋_GB2312" w:hAnsi="Arial" w:eastAsia="仿宋_GB2312" w:cs="Arial"/>
          <w:color w:val="333333"/>
          <w:sz w:val="32"/>
          <w:szCs w:val="32"/>
        </w:rPr>
        <w:t>万元，增长</w:t>
      </w:r>
      <w:r>
        <w:rPr>
          <w:rFonts w:ascii="Times New Roman" w:hAnsi="Times New Roman" w:eastAsia="仿宋_GB2312" w:cs="Times New Roman"/>
          <w:color w:val="333333"/>
          <w:sz w:val="32"/>
          <w:szCs w:val="32"/>
        </w:rPr>
        <w:t>26.37</w:t>
      </w:r>
      <w:r>
        <w:rPr>
          <w:rFonts w:hint="eastAsia" w:ascii="仿宋_GB2312" w:hAnsi="Arial" w:eastAsia="仿宋_GB2312" w:cs="Arial"/>
          <w:color w:val="333333"/>
          <w:sz w:val="32"/>
          <w:szCs w:val="32"/>
        </w:rPr>
        <w:t>%。原因</w:t>
      </w:r>
      <w:r>
        <w:rPr>
          <w:rFonts w:hint="eastAsia" w:ascii="仿宋_GB2312" w:hAnsi="Arial" w:eastAsia="仿宋_GB2312" w:cs="Arial"/>
          <w:b/>
          <w:color w:val="333333"/>
          <w:sz w:val="32"/>
          <w:szCs w:val="32"/>
        </w:rPr>
        <w:t>一是</w:t>
      </w:r>
      <w:r>
        <w:rPr>
          <w:rFonts w:hint="eastAsia" w:ascii="仿宋_GB2312" w:hAnsi="Arial" w:eastAsia="仿宋_GB2312" w:cs="Arial"/>
          <w:color w:val="333333"/>
          <w:sz w:val="32"/>
          <w:szCs w:val="32"/>
        </w:rPr>
        <w:t>财政保障公安人均公用经费标准提高；</w:t>
      </w:r>
      <w:r>
        <w:rPr>
          <w:rFonts w:hint="eastAsia" w:ascii="仿宋_GB2312" w:hAnsi="Arial" w:eastAsia="仿宋_GB2312" w:cs="Arial"/>
          <w:b/>
          <w:color w:val="333333"/>
          <w:sz w:val="32"/>
          <w:szCs w:val="32"/>
        </w:rPr>
        <w:t>二是</w:t>
      </w:r>
      <w:r>
        <w:rPr>
          <w:rFonts w:hint="eastAsia" w:ascii="仿宋_GB2312" w:hAnsi="Arial" w:eastAsia="仿宋_GB2312" w:cs="Arial"/>
          <w:color w:val="333333"/>
          <w:sz w:val="32"/>
          <w:szCs w:val="32"/>
        </w:rPr>
        <w:t>2021年预算批复将项目经费—特别业务费纳入公用经费—办公费中下达。</w:t>
      </w:r>
      <w:r>
        <w:rPr>
          <w:rFonts w:hint="eastAsia" w:ascii="仿宋_GB2312" w:hAnsi="Arial" w:eastAsia="仿宋_GB2312" w:cs="Arial"/>
          <w:color w:val="333333"/>
          <w:sz w:val="32"/>
          <w:szCs w:val="32"/>
          <w:lang w:val="en-US" w:eastAsia="zh-CN"/>
        </w:rPr>
        <w:t>具体安排为</w:t>
      </w:r>
      <w:r>
        <w:rPr>
          <w:rFonts w:hint="eastAsia" w:ascii="仿宋_GB2312" w:hAnsi="Arial" w:eastAsia="仿宋_GB2312" w:cs="Arial"/>
          <w:color w:val="333333"/>
          <w:sz w:val="32"/>
          <w:szCs w:val="32"/>
        </w:rPr>
        <w:t>：办公费180.08万元、水费8.56万元、电费21.40万元、邮电费3.82万元、差旅费64.20万元、公务接待费9.40万元、工会经费57.80万元、福利费31.65万元，公务用车运行维护费185.16万元、其他交通费192.12万元、其他商品和服务支出（党建经费、退休人员公用经费）59.24万元。</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以上机关运行经费用于保障全年交警支队的正常运转以及公务用车的正常运维，同时保障了在职人员工会活动及慰问等福利及车补的发放。</w:t>
      </w:r>
    </w:p>
    <w:p>
      <w:pPr>
        <w:pStyle w:val="5"/>
        <w:shd w:val="clear" w:color="auto" w:fill="FFFFFF"/>
        <w:spacing w:before="285" w:beforeAutospacing="0" w:after="285" w:afterAutospacing="0" w:line="560" w:lineRule="exact"/>
        <w:ind w:firstLine="643"/>
        <w:outlineLvl w:val="1"/>
        <w:rPr>
          <w:rFonts w:ascii="Arial" w:hAnsi="Arial" w:cs="Arial"/>
          <w:color w:val="333333"/>
          <w:sz w:val="30"/>
          <w:szCs w:val="30"/>
        </w:rPr>
      </w:pPr>
      <w:bookmarkStart w:id="17" w:name="_Toc28162"/>
      <w:r>
        <w:rPr>
          <w:rStyle w:val="8"/>
          <w:rFonts w:hint="eastAsia" w:ascii="楷体_GB2312" w:hAnsi="Arial" w:eastAsia="楷体_GB2312" w:cs="Arial"/>
          <w:color w:val="333333"/>
          <w:sz w:val="32"/>
          <w:szCs w:val="32"/>
        </w:rPr>
        <w:t>（二）国有资产占有使用情况</w:t>
      </w:r>
      <w:bookmarkEnd w:id="17"/>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截至2020年底，交警支队共有车辆</w:t>
      </w:r>
      <w:r>
        <w:rPr>
          <w:rFonts w:ascii="Times New Roman" w:hAnsi="Times New Roman" w:eastAsia="仿宋_GB2312" w:cs="Times New Roman"/>
          <w:color w:val="333333"/>
          <w:sz w:val="32"/>
          <w:szCs w:val="32"/>
        </w:rPr>
        <w:t>148</w:t>
      </w:r>
      <w:r>
        <w:rPr>
          <w:rFonts w:hint="eastAsia" w:ascii="仿宋_GB2312" w:hAnsi="Arial" w:eastAsia="仿宋_GB2312" w:cs="Arial"/>
          <w:color w:val="333333"/>
          <w:sz w:val="32"/>
          <w:szCs w:val="32"/>
        </w:rPr>
        <w:t>辆，其中，执法执勤用车</w:t>
      </w:r>
      <w:r>
        <w:rPr>
          <w:rFonts w:ascii="Times New Roman" w:hAnsi="Times New Roman" w:eastAsia="仿宋_GB2312" w:cs="Times New Roman"/>
          <w:color w:val="333333"/>
          <w:sz w:val="32"/>
          <w:szCs w:val="32"/>
        </w:rPr>
        <w:t>147</w:t>
      </w:r>
      <w:r>
        <w:rPr>
          <w:rFonts w:hint="eastAsia" w:ascii="仿宋_GB2312" w:hAnsi="Arial" w:eastAsia="仿宋_GB2312" w:cs="Arial"/>
          <w:color w:val="333333"/>
          <w:sz w:val="32"/>
          <w:szCs w:val="32"/>
        </w:rPr>
        <w:t>辆。单位价值200万元以上大型设备</w:t>
      </w:r>
      <w:r>
        <w:rPr>
          <w:rFonts w:ascii="Times New Roman" w:hAnsi="Times New Roman" w:eastAsia="仿宋_GB2312" w:cs="Times New Roman"/>
          <w:color w:val="333333"/>
          <w:sz w:val="32"/>
          <w:szCs w:val="32"/>
        </w:rPr>
        <w:t>0</w:t>
      </w:r>
      <w:r>
        <w:rPr>
          <w:rFonts w:hint="eastAsia" w:ascii="仿宋_GB2312" w:hAnsi="Arial" w:eastAsia="仿宋_GB2312" w:cs="Arial"/>
          <w:color w:val="333333"/>
          <w:sz w:val="32"/>
          <w:szCs w:val="32"/>
        </w:rPr>
        <w:t>台（套）。</w:t>
      </w:r>
    </w:p>
    <w:p>
      <w:pPr>
        <w:pStyle w:val="5"/>
        <w:shd w:val="clear" w:color="auto" w:fill="FFFFFF"/>
        <w:spacing w:before="285" w:beforeAutospacing="0" w:after="285" w:afterAutospacing="0" w:line="560" w:lineRule="exact"/>
        <w:ind w:firstLine="643"/>
        <w:outlineLvl w:val="1"/>
        <w:rPr>
          <w:rFonts w:ascii="Arial" w:hAnsi="Arial" w:cs="Arial"/>
          <w:color w:val="333333"/>
          <w:sz w:val="30"/>
          <w:szCs w:val="30"/>
        </w:rPr>
      </w:pPr>
      <w:bookmarkStart w:id="18" w:name="_Toc15055"/>
      <w:r>
        <w:rPr>
          <w:rStyle w:val="8"/>
          <w:rFonts w:hint="eastAsia" w:ascii="楷体_GB2312" w:hAnsi="Arial" w:eastAsia="楷体_GB2312" w:cs="Arial"/>
          <w:color w:val="333333"/>
          <w:sz w:val="32"/>
          <w:szCs w:val="32"/>
        </w:rPr>
        <w:t>（三）绩效目标设置情况</w:t>
      </w:r>
      <w:bookmarkEnd w:id="18"/>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2021年交警支队部门通用项目和专用项目均按要求实行绩效目标管理，涉及一般公共预算当年拨款</w:t>
      </w:r>
      <w:r>
        <w:rPr>
          <w:rFonts w:ascii="Times New Roman" w:hAnsi="Times New Roman" w:eastAsia="仿宋_GB2312" w:cs="Times New Roman"/>
          <w:color w:val="333333"/>
          <w:sz w:val="32"/>
          <w:szCs w:val="32"/>
        </w:rPr>
        <w:t>1991.70</w:t>
      </w:r>
      <w:r>
        <w:rPr>
          <w:rFonts w:hint="eastAsia" w:ascii="仿宋_GB2312" w:hAnsi="Arial" w:eastAsia="仿宋_GB2312" w:cs="Arial"/>
          <w:color w:val="333333"/>
          <w:sz w:val="32"/>
          <w:szCs w:val="32"/>
        </w:rPr>
        <w:t>万元，其中：辅警人员经费620万元，智能交通建设项目质保金54.90万元，攀枝花市公安局交通管理指挥中心空调154万元，各项项目经费1162.80万元。</w:t>
      </w:r>
    </w:p>
    <w:p>
      <w:pPr>
        <w:pStyle w:val="5"/>
        <w:shd w:val="clear" w:color="auto" w:fill="FFFFFF"/>
        <w:spacing w:before="285" w:beforeAutospacing="0" w:after="285" w:afterAutospacing="0" w:line="560" w:lineRule="exact"/>
        <w:ind w:firstLine="640"/>
        <w:outlineLvl w:val="0"/>
        <w:rPr>
          <w:rFonts w:ascii="Arial" w:hAnsi="Arial" w:cs="Arial"/>
          <w:b/>
          <w:bCs/>
          <w:color w:val="333333"/>
          <w:sz w:val="32"/>
          <w:szCs w:val="32"/>
        </w:rPr>
      </w:pPr>
      <w:bookmarkStart w:id="19" w:name="_Toc26298"/>
      <w:r>
        <w:rPr>
          <w:rFonts w:hint="eastAsia" w:ascii="黑体" w:hAnsi="黑体" w:eastAsia="黑体" w:cs="Arial"/>
          <w:b/>
          <w:bCs/>
          <w:color w:val="333333"/>
          <w:sz w:val="32"/>
          <w:szCs w:val="32"/>
        </w:rPr>
        <w:t>十、名词解释</w:t>
      </w:r>
      <w:bookmarkEnd w:id="19"/>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1.一般公共预算财政拨款收入：指市级财政当年拨付的资金。</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2.公共安全支出公安行政运行：指反映行政单位（包括实行公务员管理的事业单位）的基本支出。</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3.公共安全支出公安一般行政管理事务：指反映行政单位（包括实行公务员管理的事业单位）未单独设置项级科目的其他项目支出。</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4.公共安全支出公安信息化建设：反映各级公安机关用于非涉密的信息网络建设和运行维护相关支出。</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5.社会保障和就业支出行政事业单位离退休未归口管理的行政单位离退休：指反映未实行归口管理的行政单位（包括实行公务员管理的事业单位）开支的离退休支出。</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6.社会保障和就业支出行政事业单位离退休机关事业单位基本养老保险缴费支出：指反映机关事业单位实施养老保险制度由单位缴纳的基本养老保险费支出。</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7.社会保障和就业支出行政事业单位离退休机关事业单位职业年金缴费支出：指反映机关事业单位实施养老保险制度由单位实际缴纳的职业年金支出。</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8.社会保障和就业支出抚恤死亡抚恤：指反映按规定用于烈士和牺牲、病故人员家属的一次性和定期抚恤金以及丧葬补助费。</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9.住房保障支出住房改革支出住房公积金：指反映行政事业单位按人力资源和社会保障部、财政部规定的基本工资和津贴补贴以及规定比例为职工缴纳的住房公积金。</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10.基本支出：指为保障机构正常运转、完成日常工作任务而发生的人员支出和公用支出。</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11.项目支出：指在基本支出之外为完成特定行政任务和事业发展目标所发生的支出。</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12.“三公”经费：纳入市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hint="eastAsia" w:ascii="仿宋_GB2312" w:hAnsi="Arial" w:eastAsia="仿宋_GB2312" w:cs="Arial"/>
          <w:color w:val="333333"/>
          <w:sz w:val="32"/>
          <w:szCs w:val="32"/>
        </w:rPr>
        <w:t>13.机关运行经费：为保障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5"/>
        <w:shd w:val="clear" w:color="auto" w:fill="FFFFFF"/>
        <w:spacing w:before="285" w:beforeAutospacing="0" w:after="285" w:afterAutospacing="0" w:line="560" w:lineRule="exact"/>
        <w:ind w:firstLine="640"/>
        <w:rPr>
          <w:rFonts w:ascii="Arial" w:hAnsi="Arial" w:cs="Arial"/>
          <w:color w:val="333333"/>
          <w:sz w:val="30"/>
          <w:szCs w:val="30"/>
        </w:rPr>
      </w:pPr>
      <w:r>
        <w:rPr>
          <w:rFonts w:ascii="Arial" w:hAnsi="Arial" w:cs="Arial"/>
          <w:color w:val="333333"/>
          <w:sz w:val="30"/>
          <w:szCs w:val="30"/>
        </w:rPr>
        <w:t> </w:t>
      </w:r>
    </w:p>
    <w:p>
      <w:pPr>
        <w:pStyle w:val="5"/>
        <w:shd w:val="clear" w:color="auto" w:fill="FFFFFF"/>
        <w:spacing w:before="285" w:beforeAutospacing="0" w:after="285" w:afterAutospacing="0" w:line="560" w:lineRule="exact"/>
        <w:ind w:firstLine="640" w:firstLineChars="200"/>
        <w:rPr>
          <w:rFonts w:ascii="仿宋_GB2312" w:hAnsi="Arial" w:eastAsia="仿宋_GB2312" w:cs="Arial"/>
          <w:color w:val="333333"/>
          <w:sz w:val="32"/>
          <w:szCs w:val="32"/>
        </w:rPr>
      </w:pPr>
      <w:r>
        <w:rPr>
          <w:rFonts w:hint="eastAsia" w:ascii="仿宋_GB2312" w:hAnsi="Arial" w:eastAsia="仿宋_GB2312" w:cs="Arial"/>
          <w:color w:val="333333"/>
          <w:sz w:val="32"/>
          <w:szCs w:val="32"/>
        </w:rPr>
        <w:t>附件：表1.单位收支总表</w:t>
      </w:r>
    </w:p>
    <w:p>
      <w:pPr>
        <w:pStyle w:val="5"/>
        <w:shd w:val="clear" w:color="auto" w:fill="FFFFFF"/>
        <w:spacing w:before="285" w:beforeAutospacing="0" w:after="285" w:afterAutospacing="0" w:line="560" w:lineRule="exact"/>
        <w:ind w:firstLine="1600" w:firstLineChars="500"/>
        <w:rPr>
          <w:rFonts w:ascii="仿宋_GB2312" w:hAnsi="Arial" w:eastAsia="仿宋_GB2312" w:cs="Arial"/>
          <w:color w:val="333333"/>
          <w:sz w:val="32"/>
          <w:szCs w:val="32"/>
        </w:rPr>
      </w:pPr>
      <w:r>
        <w:rPr>
          <w:rFonts w:hint="eastAsia" w:ascii="仿宋_GB2312" w:hAnsi="Arial" w:eastAsia="仿宋_GB2312" w:cs="Arial"/>
          <w:color w:val="333333"/>
          <w:sz w:val="32"/>
          <w:szCs w:val="32"/>
        </w:rPr>
        <w:t>表1-1.单位收入总表</w:t>
      </w:r>
    </w:p>
    <w:p>
      <w:pPr>
        <w:pStyle w:val="5"/>
        <w:shd w:val="clear" w:color="auto" w:fill="FFFFFF"/>
        <w:spacing w:before="285" w:beforeAutospacing="0" w:after="285" w:afterAutospacing="0" w:line="560" w:lineRule="exact"/>
        <w:ind w:firstLine="1600" w:firstLineChars="500"/>
        <w:rPr>
          <w:rFonts w:ascii="Arial" w:hAnsi="Arial" w:cs="Arial"/>
          <w:color w:val="333333"/>
          <w:sz w:val="30"/>
          <w:szCs w:val="30"/>
        </w:rPr>
      </w:pPr>
      <w:r>
        <w:rPr>
          <w:rFonts w:hint="eastAsia" w:ascii="仿宋_GB2312" w:hAnsi="Arial" w:eastAsia="仿宋_GB2312" w:cs="Arial"/>
          <w:color w:val="333333"/>
          <w:sz w:val="32"/>
          <w:szCs w:val="32"/>
        </w:rPr>
        <w:t>表1-2.单位支出总表</w:t>
      </w:r>
    </w:p>
    <w:p>
      <w:pPr>
        <w:pStyle w:val="5"/>
        <w:shd w:val="clear" w:color="auto" w:fill="FFFFFF"/>
        <w:spacing w:before="285" w:beforeAutospacing="0" w:after="285" w:afterAutospacing="0" w:line="560" w:lineRule="exact"/>
        <w:ind w:firstLine="1600" w:firstLineChars="500"/>
        <w:rPr>
          <w:rFonts w:ascii="Arial" w:hAnsi="Arial" w:cs="Arial"/>
          <w:color w:val="333333"/>
          <w:sz w:val="30"/>
          <w:szCs w:val="30"/>
        </w:rPr>
      </w:pPr>
      <w:r>
        <w:rPr>
          <w:rFonts w:hint="eastAsia" w:ascii="仿宋_GB2312" w:hAnsi="Arial" w:eastAsia="仿宋_GB2312" w:cs="Arial"/>
          <w:color w:val="333333"/>
          <w:sz w:val="32"/>
          <w:szCs w:val="32"/>
        </w:rPr>
        <w:t>表2.财政拨款收支预算总表</w:t>
      </w:r>
    </w:p>
    <w:p>
      <w:pPr>
        <w:pStyle w:val="5"/>
        <w:shd w:val="clear" w:color="auto" w:fill="FFFFFF"/>
        <w:spacing w:before="285" w:beforeAutospacing="0" w:after="285" w:afterAutospacing="0" w:line="560" w:lineRule="exact"/>
        <w:ind w:firstLine="1600" w:firstLineChars="500"/>
        <w:rPr>
          <w:rFonts w:ascii="Arial" w:hAnsi="Arial" w:cs="Arial"/>
          <w:color w:val="333333"/>
          <w:sz w:val="30"/>
          <w:szCs w:val="30"/>
        </w:rPr>
      </w:pPr>
      <w:r>
        <w:rPr>
          <w:rFonts w:hint="eastAsia" w:ascii="仿宋_GB2312" w:hAnsi="Arial" w:eastAsia="仿宋_GB2312" w:cs="Arial"/>
          <w:color w:val="333333"/>
          <w:sz w:val="32"/>
          <w:szCs w:val="32"/>
        </w:rPr>
        <w:t>表2-1.财政拨款支出预算表</w:t>
      </w:r>
    </w:p>
    <w:p>
      <w:pPr>
        <w:pStyle w:val="5"/>
        <w:shd w:val="clear" w:color="auto" w:fill="FFFFFF"/>
        <w:spacing w:before="285" w:beforeAutospacing="0" w:after="285" w:afterAutospacing="0" w:line="560" w:lineRule="exact"/>
        <w:ind w:firstLine="1600" w:firstLineChars="500"/>
        <w:rPr>
          <w:rFonts w:ascii="Arial" w:hAnsi="Arial" w:cs="Arial"/>
          <w:color w:val="333333"/>
          <w:sz w:val="30"/>
          <w:szCs w:val="30"/>
        </w:rPr>
      </w:pPr>
      <w:r>
        <w:rPr>
          <w:rFonts w:hint="eastAsia" w:ascii="仿宋_GB2312" w:hAnsi="Arial" w:eastAsia="仿宋_GB2312" w:cs="Arial"/>
          <w:color w:val="333333"/>
          <w:sz w:val="32"/>
          <w:szCs w:val="32"/>
        </w:rPr>
        <w:t>表3.一般公共预算支出预算表</w:t>
      </w:r>
    </w:p>
    <w:p>
      <w:pPr>
        <w:pStyle w:val="5"/>
        <w:shd w:val="clear" w:color="auto" w:fill="FFFFFF"/>
        <w:spacing w:before="285" w:beforeAutospacing="0" w:after="285" w:afterAutospacing="0" w:line="560" w:lineRule="exact"/>
        <w:ind w:firstLine="1600" w:firstLineChars="500"/>
        <w:rPr>
          <w:rFonts w:ascii="Arial" w:hAnsi="Arial" w:cs="Arial"/>
          <w:color w:val="333333"/>
          <w:sz w:val="30"/>
          <w:szCs w:val="30"/>
        </w:rPr>
      </w:pPr>
      <w:r>
        <w:rPr>
          <w:rFonts w:hint="eastAsia" w:ascii="仿宋_GB2312" w:hAnsi="Arial" w:eastAsia="仿宋_GB2312" w:cs="Arial"/>
          <w:color w:val="333333"/>
          <w:sz w:val="32"/>
          <w:szCs w:val="32"/>
        </w:rPr>
        <w:t>表3-1.一般公共预算基本支出预算表</w:t>
      </w:r>
    </w:p>
    <w:p>
      <w:pPr>
        <w:pStyle w:val="5"/>
        <w:shd w:val="clear" w:color="auto" w:fill="FFFFFF"/>
        <w:spacing w:before="285" w:beforeAutospacing="0" w:after="285" w:afterAutospacing="0" w:line="560" w:lineRule="exact"/>
        <w:ind w:firstLine="1600" w:firstLineChars="500"/>
        <w:rPr>
          <w:rFonts w:ascii="Arial" w:hAnsi="Arial" w:cs="Arial"/>
          <w:color w:val="333333"/>
          <w:sz w:val="30"/>
          <w:szCs w:val="30"/>
        </w:rPr>
      </w:pPr>
      <w:r>
        <w:rPr>
          <w:rFonts w:hint="eastAsia" w:ascii="仿宋_GB2312" w:hAnsi="Arial" w:eastAsia="仿宋_GB2312" w:cs="Arial"/>
          <w:color w:val="333333"/>
          <w:sz w:val="32"/>
          <w:szCs w:val="32"/>
        </w:rPr>
        <w:t>表3-2.一般公共预算项目支出预算表</w:t>
      </w:r>
    </w:p>
    <w:p>
      <w:pPr>
        <w:pStyle w:val="5"/>
        <w:shd w:val="clear" w:color="auto" w:fill="FFFFFF"/>
        <w:spacing w:before="285" w:beforeAutospacing="0" w:after="285" w:afterAutospacing="0" w:line="560" w:lineRule="exact"/>
        <w:ind w:firstLine="1600" w:firstLineChars="500"/>
        <w:rPr>
          <w:rFonts w:ascii="Arial" w:hAnsi="Arial" w:cs="Arial"/>
          <w:color w:val="333333"/>
          <w:sz w:val="30"/>
          <w:szCs w:val="30"/>
        </w:rPr>
      </w:pPr>
      <w:r>
        <w:rPr>
          <w:rFonts w:hint="eastAsia" w:ascii="仿宋_GB2312" w:hAnsi="Arial" w:eastAsia="仿宋_GB2312" w:cs="Arial"/>
          <w:color w:val="333333"/>
          <w:sz w:val="32"/>
          <w:szCs w:val="32"/>
        </w:rPr>
        <w:t>表3-3.一般公共预算“三公”经费支出预算表</w:t>
      </w:r>
    </w:p>
    <w:p>
      <w:pPr>
        <w:pStyle w:val="5"/>
        <w:shd w:val="clear" w:color="auto" w:fill="FFFFFF"/>
        <w:spacing w:before="285" w:beforeAutospacing="0" w:after="285" w:afterAutospacing="0" w:line="560" w:lineRule="exact"/>
        <w:ind w:firstLine="1600" w:firstLineChars="500"/>
        <w:rPr>
          <w:rFonts w:hint="eastAsia" w:ascii="Arial" w:hAnsi="Arial" w:eastAsia="仿宋_GB2312" w:cs="Arial"/>
          <w:color w:val="333333"/>
          <w:sz w:val="30"/>
          <w:szCs w:val="30"/>
          <w:lang w:eastAsia="zh-CN"/>
        </w:rPr>
      </w:pPr>
      <w:r>
        <w:rPr>
          <w:rFonts w:hint="eastAsia" w:ascii="仿宋_GB2312" w:hAnsi="Arial" w:eastAsia="仿宋_GB2312" w:cs="Arial"/>
          <w:color w:val="333333"/>
          <w:sz w:val="32"/>
          <w:szCs w:val="32"/>
        </w:rPr>
        <w:t>表4.政府性基金支出预算表</w:t>
      </w:r>
      <w:r>
        <w:rPr>
          <w:rFonts w:hint="eastAsia" w:ascii="仿宋_GB2312" w:hAnsi="Arial" w:eastAsia="仿宋_GB2312" w:cs="Arial"/>
          <w:color w:val="333333"/>
          <w:sz w:val="32"/>
          <w:szCs w:val="32"/>
          <w:lang w:eastAsia="zh-CN"/>
        </w:rPr>
        <w:t>（</w:t>
      </w:r>
      <w:r>
        <w:rPr>
          <w:rFonts w:hint="eastAsia" w:ascii="仿宋_GB2312" w:hAnsi="Arial" w:eastAsia="仿宋_GB2312" w:cs="Arial"/>
          <w:color w:val="333333"/>
          <w:sz w:val="32"/>
          <w:szCs w:val="32"/>
          <w:lang w:val="en-US" w:eastAsia="zh-CN"/>
        </w:rPr>
        <w:t>此表无数据</w:t>
      </w:r>
      <w:r>
        <w:rPr>
          <w:rFonts w:hint="eastAsia" w:ascii="仿宋_GB2312" w:hAnsi="Arial" w:eastAsia="仿宋_GB2312" w:cs="Arial"/>
          <w:color w:val="333333"/>
          <w:sz w:val="32"/>
          <w:szCs w:val="32"/>
          <w:lang w:eastAsia="zh-CN"/>
        </w:rPr>
        <w:t>）</w:t>
      </w:r>
    </w:p>
    <w:p>
      <w:pPr>
        <w:pStyle w:val="5"/>
        <w:shd w:val="clear" w:color="auto" w:fill="FFFFFF"/>
        <w:spacing w:before="285" w:beforeAutospacing="0" w:after="285" w:afterAutospacing="0" w:line="560" w:lineRule="exact"/>
        <w:ind w:firstLine="1600" w:firstLineChars="500"/>
        <w:rPr>
          <w:rFonts w:ascii="Arial" w:hAnsi="Arial" w:cs="Arial"/>
          <w:color w:val="333333"/>
          <w:sz w:val="30"/>
          <w:szCs w:val="30"/>
        </w:rPr>
      </w:pPr>
      <w:r>
        <w:rPr>
          <w:rFonts w:hint="eastAsia" w:ascii="仿宋_GB2312" w:hAnsi="Arial" w:eastAsia="仿宋_GB2312" w:cs="Arial"/>
          <w:color w:val="333333"/>
          <w:sz w:val="32"/>
          <w:szCs w:val="32"/>
        </w:rPr>
        <w:t>表4-1.政府性基金预算“三公”经费支出预算表（此表无数据）</w:t>
      </w:r>
    </w:p>
    <w:p>
      <w:pPr>
        <w:pStyle w:val="5"/>
        <w:shd w:val="clear" w:color="auto" w:fill="FFFFFF"/>
        <w:spacing w:before="285" w:beforeAutospacing="0" w:after="285" w:afterAutospacing="0" w:line="560" w:lineRule="exact"/>
        <w:ind w:firstLine="1600" w:firstLineChars="500"/>
        <w:rPr>
          <w:rFonts w:ascii="Arial" w:hAnsi="Arial" w:cs="Arial"/>
          <w:color w:val="333333"/>
          <w:sz w:val="30"/>
          <w:szCs w:val="30"/>
        </w:rPr>
      </w:pPr>
      <w:r>
        <w:rPr>
          <w:rFonts w:hint="eastAsia" w:ascii="仿宋_GB2312" w:hAnsi="Arial" w:eastAsia="仿宋_GB2312" w:cs="Arial"/>
          <w:color w:val="333333"/>
          <w:sz w:val="32"/>
          <w:szCs w:val="32"/>
        </w:rPr>
        <w:t>表5.国有资本经营预算支出预算表（此表无数据）</w:t>
      </w:r>
    </w:p>
    <w:p>
      <w:pPr>
        <w:pStyle w:val="5"/>
        <w:shd w:val="clear" w:color="auto" w:fill="FFFFFF"/>
        <w:spacing w:before="285" w:beforeAutospacing="0" w:after="285" w:afterAutospacing="0" w:line="560" w:lineRule="exact"/>
        <w:ind w:firstLine="1600" w:firstLineChars="500"/>
        <w:rPr>
          <w:rFonts w:hint="eastAsia" w:ascii="仿宋_GB2312" w:hAnsi="Arial" w:eastAsia="仿宋_GB2312" w:cs="Arial"/>
          <w:color w:val="333333"/>
          <w:sz w:val="32"/>
          <w:szCs w:val="32"/>
        </w:rPr>
      </w:pPr>
      <w:r>
        <w:rPr>
          <w:rFonts w:hint="eastAsia" w:ascii="仿宋_GB2312" w:hAnsi="Arial" w:eastAsia="仿宋_GB2312" w:cs="Arial"/>
          <w:color w:val="333333"/>
          <w:sz w:val="32"/>
          <w:szCs w:val="32"/>
        </w:rPr>
        <w:t>表</w:t>
      </w:r>
      <w:r>
        <w:rPr>
          <w:rFonts w:hint="eastAsia" w:ascii="仿宋_GB2312" w:hAnsi="Arial" w:eastAsia="仿宋_GB2312" w:cs="Arial"/>
          <w:color w:val="333333"/>
          <w:sz w:val="32"/>
          <w:szCs w:val="32"/>
          <w:lang w:val="en-US" w:eastAsia="zh-CN"/>
        </w:rPr>
        <w:t>6</w:t>
      </w:r>
      <w:r>
        <w:rPr>
          <w:rFonts w:hint="eastAsia" w:ascii="仿宋_GB2312" w:hAnsi="Arial" w:eastAsia="仿宋_GB2312" w:cs="Arial"/>
          <w:color w:val="333333"/>
          <w:sz w:val="32"/>
          <w:szCs w:val="32"/>
        </w:rPr>
        <w:t>.（部门）单位预算项目绩效目标表</w:t>
      </w:r>
    </w:p>
    <w:p>
      <w:pPr>
        <w:pStyle w:val="5"/>
        <w:shd w:val="clear" w:color="auto" w:fill="FFFFFF"/>
        <w:spacing w:before="285" w:beforeAutospacing="0" w:after="285" w:afterAutospacing="0" w:line="560" w:lineRule="exact"/>
        <w:ind w:firstLine="1600" w:firstLineChars="500"/>
        <w:rPr>
          <w:rFonts w:hint="default" w:ascii="仿宋_GB2312" w:hAnsi="Arial" w:eastAsia="仿宋_GB2312" w:cs="Arial"/>
          <w:color w:val="333333"/>
          <w:sz w:val="32"/>
          <w:szCs w:val="32"/>
          <w:lang w:val="en-US" w:eastAsia="zh-CN"/>
        </w:rPr>
      </w:pPr>
      <w:r>
        <w:rPr>
          <w:rFonts w:hint="eastAsia" w:ascii="仿宋_GB2312" w:hAnsi="Arial" w:eastAsia="仿宋_GB2312" w:cs="Arial"/>
          <w:color w:val="333333"/>
          <w:sz w:val="32"/>
          <w:szCs w:val="32"/>
          <w:lang w:val="en-US" w:eastAsia="zh-CN"/>
        </w:rPr>
        <w:t>表7.部门整体支出绩效目标表</w:t>
      </w:r>
      <w:bookmarkStart w:id="20" w:name="_GoBack"/>
      <w:bookmarkEnd w:id="20"/>
    </w:p>
    <w:p>
      <w:pPr>
        <w:pStyle w:val="5"/>
        <w:shd w:val="clear" w:color="auto" w:fill="FFFFFF"/>
        <w:spacing w:before="285" w:beforeAutospacing="0" w:after="285" w:afterAutospacing="0" w:line="560" w:lineRule="exact"/>
        <w:rPr>
          <w:rFonts w:ascii="Arial" w:hAnsi="Arial" w:cs="Arial"/>
          <w:color w:val="333333"/>
          <w:sz w:val="30"/>
          <w:szCs w:val="30"/>
        </w:rPr>
      </w:pPr>
    </w:p>
    <w:p>
      <w:pPr>
        <w:pStyle w:val="5"/>
        <w:shd w:val="clear" w:color="auto" w:fill="FFFFFF"/>
        <w:spacing w:before="285" w:beforeAutospacing="0" w:after="285" w:afterAutospacing="0" w:line="560" w:lineRule="exact"/>
        <w:ind w:firstLine="960"/>
        <w:rPr>
          <w:rFonts w:ascii="Arial" w:hAnsi="Arial" w:cs="Arial"/>
          <w:color w:val="333333"/>
          <w:sz w:val="30"/>
          <w:szCs w:val="30"/>
        </w:rPr>
      </w:pPr>
      <w:r>
        <w:rPr>
          <w:rFonts w:hint="eastAsia" w:ascii="仿宋_GB2312" w:hAnsi="Arial" w:eastAsia="仿宋_GB2312" w:cs="Arial"/>
          <w:color w:val="333333"/>
          <w:sz w:val="32"/>
          <w:szCs w:val="32"/>
        </w:rPr>
        <w:t>                      攀枝花市公安局交通警察支队</w:t>
      </w:r>
    </w:p>
    <w:p>
      <w:pPr>
        <w:pStyle w:val="5"/>
        <w:shd w:val="clear" w:color="auto" w:fill="FFFFFF"/>
        <w:spacing w:before="285" w:beforeAutospacing="0" w:after="285" w:afterAutospacing="0" w:line="560" w:lineRule="exact"/>
        <w:ind w:firstLine="960"/>
        <w:rPr>
          <w:rFonts w:ascii="Arial" w:hAnsi="Arial" w:cs="Arial"/>
          <w:color w:val="333333"/>
          <w:sz w:val="30"/>
          <w:szCs w:val="30"/>
        </w:rPr>
      </w:pPr>
      <w:r>
        <w:rPr>
          <w:rFonts w:hint="eastAsia" w:ascii="仿宋_GB2312" w:hAnsi="Arial" w:eastAsia="仿宋_GB2312" w:cs="Arial"/>
          <w:color w:val="333333"/>
          <w:sz w:val="32"/>
          <w:szCs w:val="32"/>
        </w:rPr>
        <w:t>                                   2021年2月18日</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367563"/>
    </w:sdtPr>
    <w:sdtContent>
      <w:p>
        <w:pPr>
          <w:pStyle w:val="3"/>
          <w:jc w:val="center"/>
        </w:pPr>
        <w:r>
          <w:fldChar w:fldCharType="begin"/>
        </w:r>
        <w:r>
          <w:instrText xml:space="preserve"> PAGE   \* MERGEFORMAT </w:instrText>
        </w:r>
        <w:r>
          <w:fldChar w:fldCharType="separate"/>
        </w:r>
        <w:r>
          <w:rPr>
            <w:lang w:val="zh-CN"/>
          </w:rPr>
          <w:t>13</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mIzZjExODZjZTdlNzI5NzkwMDdlYWFhNGUyYjdkODAifQ=="/>
  </w:docVars>
  <w:rsids>
    <w:rsidRoot w:val="002D1D5D"/>
    <w:rsid w:val="000047A5"/>
    <w:rsid w:val="000060E9"/>
    <w:rsid w:val="00020272"/>
    <w:rsid w:val="001514F4"/>
    <w:rsid w:val="001656DB"/>
    <w:rsid w:val="0023064D"/>
    <w:rsid w:val="002D1D5D"/>
    <w:rsid w:val="002F6479"/>
    <w:rsid w:val="003044B5"/>
    <w:rsid w:val="003B5372"/>
    <w:rsid w:val="00446D9C"/>
    <w:rsid w:val="004800E5"/>
    <w:rsid w:val="00551B5E"/>
    <w:rsid w:val="005A3FE0"/>
    <w:rsid w:val="006A2978"/>
    <w:rsid w:val="007A4D66"/>
    <w:rsid w:val="007B20B3"/>
    <w:rsid w:val="008F19F3"/>
    <w:rsid w:val="00A1069A"/>
    <w:rsid w:val="00A612AF"/>
    <w:rsid w:val="00AE64F8"/>
    <w:rsid w:val="00B33266"/>
    <w:rsid w:val="00B426F3"/>
    <w:rsid w:val="00B4725D"/>
    <w:rsid w:val="00BA5B35"/>
    <w:rsid w:val="00C65919"/>
    <w:rsid w:val="00CD2A87"/>
    <w:rsid w:val="00CF6E40"/>
    <w:rsid w:val="00D84818"/>
    <w:rsid w:val="00D9577C"/>
    <w:rsid w:val="00E26056"/>
    <w:rsid w:val="00F12A60"/>
    <w:rsid w:val="01963EE0"/>
    <w:rsid w:val="04654B71"/>
    <w:rsid w:val="095742E5"/>
    <w:rsid w:val="0B9331A4"/>
    <w:rsid w:val="0EEC49DB"/>
    <w:rsid w:val="159612E3"/>
    <w:rsid w:val="207520CF"/>
    <w:rsid w:val="2EFD1816"/>
    <w:rsid w:val="32A93554"/>
    <w:rsid w:val="4B4F24CB"/>
    <w:rsid w:val="4CC21042"/>
    <w:rsid w:val="4E06575B"/>
    <w:rsid w:val="507C6932"/>
    <w:rsid w:val="59721398"/>
    <w:rsid w:val="6BEF5CC6"/>
    <w:rsid w:val="6F696D41"/>
    <w:rsid w:val="797912E6"/>
    <w:rsid w:val="7FEF64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4"/>
    <w:semiHidden/>
    <w:unhideWhenUsed/>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Hyperlink"/>
    <w:basedOn w:val="7"/>
    <w:semiHidden/>
    <w:unhideWhenUsed/>
    <w:qFormat/>
    <w:uiPriority w:val="99"/>
    <w:rPr>
      <w:color w:val="0000FF"/>
      <w:u w:val="single"/>
    </w:rPr>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qFormat/>
    <w:uiPriority w:val="99"/>
    <w:rPr>
      <w:sz w:val="18"/>
      <w:szCs w:val="18"/>
    </w:rPr>
  </w:style>
  <w:style w:type="paragraph" w:customStyle="1" w:styleId="12">
    <w:name w:val="WPSOffice手动目录 1"/>
    <w:qFormat/>
    <w:uiPriority w:val="0"/>
    <w:rPr>
      <w:rFonts w:asciiTheme="minorHAnsi" w:hAnsiTheme="minorHAnsi" w:eastAsiaTheme="minorEastAsia" w:cstheme="minorBidi"/>
      <w:lang w:val="en-US" w:eastAsia="zh-CN" w:bidi="ar-SA"/>
    </w:rPr>
  </w:style>
  <w:style w:type="paragraph" w:customStyle="1" w:styleId="13">
    <w:name w:val="WPSOffice手动目录 2"/>
    <w:uiPriority w:val="0"/>
    <w:pPr>
      <w:ind w:left="200" w:leftChars="200"/>
    </w:pPr>
    <w:rPr>
      <w:rFonts w:asciiTheme="minorHAnsi" w:hAnsiTheme="minorHAnsi" w:eastAsiaTheme="minorEastAsia" w:cstheme="minorBidi"/>
      <w:lang w:val="en-US" w:eastAsia="zh-CN" w:bidi="ar-SA"/>
    </w:rPr>
  </w:style>
  <w:style w:type="character" w:customStyle="1" w:styleId="14">
    <w:name w:val="批注框文本 Char"/>
    <w:basedOn w:val="7"/>
    <w:link w:val="2"/>
    <w:semiHidden/>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16</Pages>
  <Words>6526</Words>
  <Characters>7122</Characters>
  <Lines>56</Lines>
  <Paragraphs>16</Paragraphs>
  <TotalTime>28</TotalTime>
  <ScaleCrop>false</ScaleCrop>
  <LinksUpToDate>false</LinksUpToDate>
  <CharactersWithSpaces>7245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2022-03-02T08:05:00Z</dcterms:created>
  <dc:creator>汤莹</dc:creator>
  <cp:lastModifiedBy>Administrator</cp:lastModifiedBy>
  <dcterms:modified xsi:type="dcterms:W3CDTF">2022-07-19T13:26:36Z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46997D4714C24425B4C8EDCB0478AF88</vt:lpwstr>
  </property>
</Properties>
</file>