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spacing w:line="600" w:lineRule="exact"/>
        <w:jc w:val="center"/>
        <w:rPr>
          <w:rFonts w:hint="eastAsia" w:ascii="方正小标宋简体" w:hAnsi="宋体" w:eastAsia="方正小标宋简体"/>
          <w:sz w:val="44"/>
          <w:szCs w:val="44"/>
        </w:rPr>
      </w:pPr>
    </w:p>
    <w:p>
      <w:pPr>
        <w:adjustRightInd w:val="0"/>
        <w:snapToGrid w:val="0"/>
        <w:spacing w:line="360" w:lineRule="auto"/>
        <w:jc w:val="center"/>
        <w:outlineLvl w:val="0"/>
        <w:rPr>
          <w:rFonts w:hint="eastAsia" w:ascii="Times New Roman" w:hAnsi="Times New Roman" w:eastAsia="方正小标宋简体" w:cs="Times New Roman"/>
          <w:color w:val="000000"/>
          <w:sz w:val="72"/>
          <w:szCs w:val="72"/>
          <w:lang w:eastAsia="zh-CN"/>
        </w:rPr>
      </w:pPr>
      <w:r>
        <w:rPr>
          <w:rFonts w:hint="eastAsia" w:ascii="Times New Roman" w:hAnsi="Times New Roman" w:eastAsia="方正小标宋简体" w:cs="Times New Roman"/>
          <w:color w:val="000000"/>
          <w:sz w:val="72"/>
          <w:szCs w:val="72"/>
          <w:lang w:eastAsia="zh-CN"/>
        </w:rPr>
        <w:t>202</w:t>
      </w:r>
      <w:r>
        <w:rPr>
          <w:rFonts w:hint="eastAsia" w:ascii="Times New Roman" w:hAnsi="Times New Roman" w:eastAsia="方正小标宋简体" w:cs="Times New Roman"/>
          <w:color w:val="000000"/>
          <w:sz w:val="72"/>
          <w:szCs w:val="72"/>
          <w:lang w:val="en-US" w:eastAsia="zh-CN"/>
        </w:rPr>
        <w:t>1</w:t>
      </w:r>
      <w:r>
        <w:rPr>
          <w:rFonts w:hint="eastAsia" w:ascii="Times New Roman" w:hAnsi="Times New Roman" w:eastAsia="方正小标宋简体" w:cs="Times New Roman"/>
          <w:color w:val="000000"/>
          <w:sz w:val="72"/>
          <w:szCs w:val="72"/>
          <w:lang w:eastAsia="zh-CN"/>
        </w:rPr>
        <w:t>年</w:t>
      </w:r>
    </w:p>
    <w:p>
      <w:pPr>
        <w:adjustRightInd w:val="0"/>
        <w:snapToGrid w:val="0"/>
        <w:spacing w:line="360" w:lineRule="auto"/>
        <w:jc w:val="center"/>
        <w:outlineLvl w:val="0"/>
        <w:rPr>
          <w:rFonts w:hint="eastAsia" w:ascii="Times New Roman" w:hAnsi="Times New Roman" w:eastAsia="方正小标宋简体" w:cs="Times New Roman"/>
          <w:color w:val="000000"/>
          <w:sz w:val="72"/>
          <w:szCs w:val="72"/>
          <w:lang w:eastAsia="zh-CN"/>
        </w:rPr>
      </w:pPr>
      <w:r>
        <w:rPr>
          <w:rFonts w:hint="eastAsia" w:ascii="Times New Roman" w:hAnsi="Times New Roman" w:eastAsia="方正小标宋简体" w:cs="Times New Roman"/>
          <w:color w:val="000000"/>
          <w:sz w:val="72"/>
          <w:szCs w:val="72"/>
          <w:lang w:eastAsia="zh-CN"/>
        </w:rPr>
        <w:t>攀枝花市人才服务中心</w:t>
      </w:r>
    </w:p>
    <w:p>
      <w:pPr>
        <w:adjustRightInd w:val="0"/>
        <w:snapToGrid w:val="0"/>
        <w:spacing w:line="360" w:lineRule="auto"/>
        <w:jc w:val="center"/>
        <w:outlineLvl w:val="0"/>
        <w:rPr>
          <w:rFonts w:hint="eastAsia" w:ascii="方正小标宋_GBK" w:hAnsi="方正小标宋_GBK" w:eastAsia="方正小标宋_GBK" w:cs="方正小标宋_GBK"/>
          <w:sz w:val="44"/>
          <w:szCs w:val="44"/>
          <w:u w:val="single"/>
        </w:rPr>
      </w:pPr>
      <w:r>
        <w:rPr>
          <w:rFonts w:hint="eastAsia" w:ascii="Times New Roman" w:hAnsi="Times New Roman" w:eastAsia="方正小标宋简体" w:cs="Times New Roman"/>
          <w:color w:val="000000"/>
          <w:sz w:val="72"/>
          <w:szCs w:val="72"/>
          <w:lang w:eastAsia="zh-CN"/>
        </w:rPr>
        <w:t>部门预算编制说明</w:t>
      </w:r>
    </w:p>
    <w:p>
      <w:pPr>
        <w:pStyle w:val="2"/>
        <w:adjustRightInd w:val="0"/>
        <w:spacing w:beforeLines="0" w:line="600" w:lineRule="exact"/>
        <w:rPr>
          <w:rFonts w:hint="eastAsia" w:ascii="宋体" w:hAnsi="宋体" w:eastAsia="宋体"/>
          <w:b/>
          <w:sz w:val="32"/>
        </w:rPr>
      </w:pPr>
      <w:r>
        <w:rPr>
          <w:rFonts w:hint="eastAsia" w:ascii="宋体" w:hAnsi="宋体" w:eastAsia="宋体"/>
          <w:b/>
          <w:sz w:val="32"/>
        </w:rPr>
        <w:t xml:space="preserve">    </w:t>
      </w: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p>
      <w:pPr>
        <w:pStyle w:val="2"/>
        <w:adjustRightInd w:val="0"/>
        <w:spacing w:beforeLines="0" w:line="600" w:lineRule="exact"/>
        <w:rPr>
          <w:rFonts w:hint="eastAsia" w:ascii="宋体" w:hAnsi="宋体" w:eastAsia="宋体"/>
          <w:b/>
          <w:sz w:val="32"/>
        </w:rPr>
      </w:pPr>
    </w:p>
    <w:sdt>
      <w:sdtPr>
        <w:rPr>
          <w:rFonts w:hint="eastAsia" w:ascii="仿宋_GB2312" w:hAnsi="仿宋_GB2312" w:eastAsia="仿宋_GB2312" w:cs="仿宋_GB2312"/>
          <w:kern w:val="2"/>
          <w:sz w:val="32"/>
          <w:szCs w:val="32"/>
          <w:lang w:val="en-US" w:eastAsia="zh-CN" w:bidi="ar-SA"/>
        </w:rPr>
        <w:id w:val="147479918"/>
        <w15:color w:val="DBDBDB"/>
        <w:docPartObj>
          <w:docPartGallery w:val="Table of Contents"/>
          <w:docPartUnique/>
        </w:docPartObj>
      </w:sdtPr>
      <w:sdtEndPr>
        <w:rPr>
          <w:rFonts w:hint="eastAsia" w:ascii="仿宋_GB2312" w:hAnsi="仿宋_GB2312" w:eastAsia="仿宋_GB2312" w:cs="仿宋_GB2312"/>
          <w:b/>
          <w:kern w:val="2"/>
          <w:sz w:val="32"/>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目录</w:t>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TOC \o "1-2" \h \u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_Toc21449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一、基本职能及主要工作</w:t>
          </w:r>
          <w:r>
            <w:rPr>
              <w:rFonts w:hint="eastAsia" w:ascii="仿宋_GB2312" w:hAnsi="仿宋_GB2312" w:eastAsia="仿宋_GB2312" w:cs="仿宋_GB2312"/>
              <w:sz w:val="32"/>
              <w:szCs w:val="32"/>
            </w:rPr>
            <w:tab/>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_Toc21449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_Toc17421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（一）攀枝花市人才服务中心职能简介</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_Toc17421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_Toc10041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（二）攀枝花市人才服务中心202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年重点工作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_Toc10041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_Toc16831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二、单位构成情况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_Toc16831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- 3 -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_Toc17981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三、收支预算情况说明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_Toc17981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_Toc7167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（一）收入预算情况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_Toc7167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_Toc4789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（二）支出预算情况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_Toc4789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_Toc8597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四、财政拨款收支预算情况说明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_Toc8597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_Toc19230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五、一般公共预算当年拨款情况说明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_Toc19230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_Toc32374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（一）一般公共预算当年拨款规模变化情况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_Toc32374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- 4 -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_Toc32069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（二）一般公共预算当年拨款结构情况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_Toc32069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_Toc31806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（三）一般公共预算当年拨款具体使用情况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_Toc31806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_Toc31571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六、一般公共预算基本支出情况说明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_Toc31571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- 5 -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_Toc32647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七、“三公”经费财政拨款预算安排情况说明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_Toc32647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- 6 -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_Toc20032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八、政府性基金预算支出情况说明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_Toc20032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- 6 -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_Toc28938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九、其他重要事项的情况说明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_Toc28938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- 7 -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_Toc14588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（一）</w:t>
          </w:r>
          <w:r>
            <w:rPr>
              <w:rFonts w:hint="eastAsia" w:ascii="仿宋_GB2312" w:hAnsi="仿宋_GB2312" w:cs="仿宋_GB2312"/>
              <w:sz w:val="32"/>
              <w:szCs w:val="32"/>
              <w:lang w:val="en-US" w:eastAsia="zh-CN"/>
            </w:rPr>
            <w:t>机关</w:t>
          </w:r>
          <w:r>
            <w:rPr>
              <w:rFonts w:hint="eastAsia" w:ascii="仿宋_GB2312" w:hAnsi="仿宋_GB2312" w:eastAsia="仿宋_GB2312" w:cs="仿宋_GB2312"/>
              <w:sz w:val="32"/>
              <w:szCs w:val="32"/>
            </w:rPr>
            <w:t>运行经费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_Toc14588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- 7 -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_Toc30887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（二）国有资产占有使用情况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_Toc30887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- 7 -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7"/>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_Toc14800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（三）绩效目标设置情况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_Toc14800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- 7 -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pStyle w:val="6"/>
            <w:tabs>
              <w:tab w:val="right" w:leader="dot" w:pos="8266"/>
            </w:tabs>
            <w:rPr>
              <w:rFonts w:hint="eastAsia" w:ascii="仿宋_GB2312" w:hAnsi="仿宋_GB2312" w:eastAsia="仿宋_GB2312" w:cs="仿宋_GB2312"/>
              <w:sz w:val="32"/>
              <w:szCs w:val="32"/>
            </w:rPr>
          </w:pPr>
          <w:r>
            <w:rPr>
              <w:rFonts w:hint="eastAsia" w:ascii="仿宋_GB2312" w:hAnsi="仿宋_GB2312" w:eastAsia="仿宋_GB2312" w:cs="仿宋_GB2312"/>
              <w:bCs w:val="0"/>
              <w:sz w:val="32"/>
              <w:szCs w:val="32"/>
            </w:rPr>
            <w:fldChar w:fldCharType="begin"/>
          </w:r>
          <w:r>
            <w:rPr>
              <w:rFonts w:hint="eastAsia" w:ascii="仿宋_GB2312" w:hAnsi="仿宋_GB2312" w:eastAsia="仿宋_GB2312" w:cs="仿宋_GB2312"/>
              <w:bCs w:val="0"/>
              <w:sz w:val="32"/>
              <w:szCs w:val="32"/>
            </w:rPr>
            <w:instrText xml:space="preserve"> HYPERLINK \l _Toc31670 </w:instrText>
          </w:r>
          <w:r>
            <w:rPr>
              <w:rFonts w:hint="eastAsia" w:ascii="仿宋_GB2312" w:hAnsi="仿宋_GB2312" w:eastAsia="仿宋_GB2312" w:cs="仿宋_GB2312"/>
              <w:bCs w:val="0"/>
              <w:sz w:val="32"/>
              <w:szCs w:val="32"/>
            </w:rPr>
            <w:fldChar w:fldCharType="separate"/>
          </w:r>
          <w:r>
            <w:rPr>
              <w:rFonts w:hint="eastAsia" w:ascii="仿宋_GB2312" w:hAnsi="仿宋_GB2312" w:eastAsia="仿宋_GB2312" w:cs="仿宋_GB2312"/>
              <w:sz w:val="32"/>
              <w:szCs w:val="32"/>
            </w:rPr>
            <w:t>十、名词解释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_Toc31670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- 7 -</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bCs w:val="0"/>
              <w:sz w:val="32"/>
              <w:szCs w:val="32"/>
            </w:rPr>
            <w:fldChar w:fldCharType="end"/>
          </w:r>
        </w:p>
        <w:p>
          <w:pPr>
            <w:rPr>
              <w:b/>
            </w:rPr>
          </w:pPr>
          <w:r>
            <w:rPr>
              <w:rFonts w:hint="eastAsia" w:ascii="仿宋_GB2312" w:hAnsi="仿宋_GB2312" w:eastAsia="仿宋_GB2312" w:cs="仿宋_GB2312"/>
              <w:bCs w:val="0"/>
              <w:sz w:val="32"/>
              <w:szCs w:val="32"/>
            </w:rPr>
            <w:fldChar w:fldCharType="end"/>
          </w:r>
        </w:p>
      </w:sdtContent>
    </w:sdt>
    <w:p>
      <w:pPr>
        <w:rPr>
          <w:b/>
        </w:rPr>
      </w:pPr>
    </w:p>
    <w:p>
      <w:pPr>
        <w:rPr>
          <w:b/>
        </w:rPr>
      </w:pPr>
    </w:p>
    <w:p>
      <w:pPr>
        <w:rPr>
          <w:b/>
        </w:rPr>
      </w:pPr>
    </w:p>
    <w:p>
      <w:pPr>
        <w:rPr>
          <w:b/>
        </w:rPr>
      </w:pPr>
    </w:p>
    <w:p>
      <w:pPr>
        <w:rPr>
          <w:b/>
        </w:rPr>
      </w:pPr>
    </w:p>
    <w:p>
      <w:pPr>
        <w:rPr>
          <w:b/>
        </w:rPr>
      </w:pPr>
    </w:p>
    <w:p>
      <w:pPr>
        <w:rPr>
          <w:b/>
        </w:rPr>
      </w:pPr>
    </w:p>
    <w:p>
      <w:pPr>
        <w:rPr>
          <w:b/>
        </w:rPr>
      </w:pPr>
    </w:p>
    <w:p>
      <w:pPr>
        <w:rPr>
          <w:b/>
        </w:rPr>
      </w:pPr>
    </w:p>
    <w:p>
      <w:pPr>
        <w:spacing w:line="600" w:lineRule="exact"/>
        <w:ind w:firstLine="640" w:firstLineChars="200"/>
        <w:outlineLvl w:val="0"/>
        <w:rPr>
          <w:rFonts w:ascii="黑体" w:eastAsia="黑体"/>
        </w:rPr>
      </w:pPr>
      <w:bookmarkStart w:id="0" w:name="_Toc21449"/>
      <w:r>
        <w:rPr>
          <w:rFonts w:hint="eastAsia" w:ascii="黑体" w:eastAsia="黑体"/>
        </w:rPr>
        <w:t>一、基本职能及主要工作</w:t>
      </w:r>
      <w:bookmarkEnd w:id="0"/>
    </w:p>
    <w:p>
      <w:pPr>
        <w:pStyle w:val="2"/>
        <w:adjustRightInd w:val="0"/>
        <w:spacing w:before="130" w:line="600" w:lineRule="exact"/>
        <w:ind w:firstLine="643" w:firstLineChars="200"/>
        <w:outlineLvl w:val="1"/>
        <w:rPr>
          <w:rFonts w:ascii="楷体_GB2312" w:eastAsia="楷体_GB2312"/>
          <w:b/>
          <w:sz w:val="32"/>
        </w:rPr>
      </w:pPr>
      <w:bookmarkStart w:id="1" w:name="_Toc17421"/>
      <w:r>
        <w:rPr>
          <w:rFonts w:hint="eastAsia" w:ascii="楷体_GB2312" w:eastAsia="楷体_GB2312"/>
          <w:b/>
          <w:sz w:val="32"/>
        </w:rPr>
        <w:t>（一）攀枝花市人才服务中心职能简介。</w:t>
      </w:r>
      <w:bookmarkEnd w:id="1"/>
    </w:p>
    <w:p>
      <w:pPr>
        <w:pStyle w:val="2"/>
        <w:adjustRightInd w:val="0"/>
        <w:spacing w:before="130" w:line="600" w:lineRule="exact"/>
        <w:ind w:firstLine="672" w:firstLineChars="210"/>
        <w:rPr>
          <w:sz w:val="32"/>
          <w:szCs w:val="32"/>
        </w:rPr>
      </w:pPr>
      <w:r>
        <w:rPr>
          <w:rFonts w:hint="eastAsia"/>
          <w:sz w:val="32"/>
          <w:szCs w:val="32"/>
        </w:rPr>
        <w:t>攀枝花市人才服务中心成立于1984年8月，隶属于攀枝花市人力资源</w:t>
      </w:r>
      <w:r>
        <w:rPr>
          <w:rFonts w:hint="eastAsia"/>
          <w:sz w:val="32"/>
          <w:szCs w:val="32"/>
          <w:lang w:val="en-US" w:eastAsia="zh-CN"/>
        </w:rPr>
        <w:t>和</w:t>
      </w:r>
      <w:bookmarkStart w:id="20" w:name="_GoBack"/>
      <w:bookmarkEnd w:id="20"/>
      <w:r>
        <w:rPr>
          <w:rFonts w:hint="eastAsia"/>
          <w:sz w:val="32"/>
          <w:szCs w:val="32"/>
        </w:rPr>
        <w:t>社会保障局，主要从事流动人员人事档案管理服务、人才资源开发、高层次人才服务、专家服务基层行动、人力资源市场化配置的综合性人才服务机构。中心下设办公室、人事代理部、专业技术人才服务部、人才市场部、高校毕业生就业指导服务部、信息部。</w:t>
      </w:r>
    </w:p>
    <w:p>
      <w:pPr>
        <w:pStyle w:val="2"/>
        <w:adjustRightInd w:val="0"/>
        <w:spacing w:before="130" w:line="600" w:lineRule="exact"/>
        <w:ind w:firstLine="643" w:firstLineChars="200"/>
        <w:outlineLvl w:val="1"/>
        <w:rPr>
          <w:rFonts w:ascii="楷体_GB2312" w:eastAsia="楷体_GB2312"/>
          <w:b/>
          <w:sz w:val="32"/>
        </w:rPr>
      </w:pPr>
      <w:bookmarkStart w:id="2" w:name="_Toc10041"/>
      <w:r>
        <w:rPr>
          <w:rFonts w:hint="eastAsia" w:ascii="楷体_GB2312" w:eastAsia="楷体_GB2312"/>
          <w:b/>
          <w:sz w:val="32"/>
        </w:rPr>
        <w:t>（二）攀枝花市人才服务中心202</w:t>
      </w:r>
      <w:r>
        <w:rPr>
          <w:rFonts w:hint="eastAsia" w:ascii="楷体_GB2312" w:eastAsia="楷体_GB2312"/>
          <w:b/>
          <w:sz w:val="32"/>
          <w:lang w:val="en-US" w:eastAsia="zh-CN"/>
        </w:rPr>
        <w:t>1</w:t>
      </w:r>
      <w:r>
        <w:rPr>
          <w:rFonts w:hint="eastAsia" w:ascii="楷体_GB2312" w:eastAsia="楷体_GB2312"/>
          <w:b/>
          <w:sz w:val="32"/>
        </w:rPr>
        <w:t>年重点工作。</w:t>
      </w:r>
      <w:bookmarkEnd w:id="2"/>
    </w:p>
    <w:p>
      <w:pPr>
        <w:pStyle w:val="2"/>
        <w:adjustRightInd w:val="0"/>
        <w:spacing w:beforeLines="0" w:line="600" w:lineRule="exact"/>
        <w:ind w:firstLine="640" w:firstLineChars="200"/>
        <w:rPr>
          <w:sz w:val="32"/>
          <w:szCs w:val="32"/>
        </w:rPr>
      </w:pPr>
      <w:r>
        <w:rPr>
          <w:rFonts w:hint="eastAsia"/>
          <w:sz w:val="32"/>
          <w:szCs w:val="32"/>
        </w:rPr>
        <w:t>1、做好库存</w:t>
      </w:r>
      <w:r>
        <w:rPr>
          <w:rFonts w:hint="eastAsia"/>
          <w:sz w:val="32"/>
          <w:szCs w:val="32"/>
          <w:lang w:eastAsia="zh-CN"/>
        </w:rPr>
        <w:t>已</w:t>
      </w:r>
      <w:r>
        <w:rPr>
          <w:rFonts w:hint="eastAsia"/>
          <w:sz w:val="32"/>
          <w:szCs w:val="32"/>
        </w:rPr>
        <w:t>退休人员档案迁移工作。</w:t>
      </w:r>
    </w:p>
    <w:p>
      <w:pPr>
        <w:pStyle w:val="2"/>
        <w:adjustRightInd w:val="0"/>
        <w:spacing w:beforeLines="0" w:line="600" w:lineRule="exact"/>
        <w:ind w:firstLine="640" w:firstLineChars="200"/>
        <w:rPr>
          <w:rFonts w:hint="eastAsia"/>
          <w:sz w:val="32"/>
          <w:szCs w:val="32"/>
        </w:rPr>
      </w:pPr>
      <w:r>
        <w:rPr>
          <w:rFonts w:hint="eastAsia"/>
          <w:sz w:val="32"/>
          <w:szCs w:val="32"/>
        </w:rPr>
        <w:t>2、做好企业（改制）解除人员档案接收工作。</w:t>
      </w:r>
    </w:p>
    <w:p>
      <w:pPr>
        <w:pStyle w:val="2"/>
        <w:adjustRightInd w:val="0"/>
        <w:spacing w:beforeLines="0" w:line="600" w:lineRule="exact"/>
        <w:ind w:firstLine="640" w:firstLineChars="200"/>
        <w:rPr>
          <w:rFonts w:hint="eastAsia"/>
        </w:rPr>
      </w:pPr>
      <w:r>
        <w:rPr>
          <w:rFonts w:hint="eastAsia"/>
          <w:sz w:val="32"/>
          <w:szCs w:val="32"/>
        </w:rPr>
        <w:t>3、突出服务中心，做好公共服务，进一步强化人力资源市场化配置平台建设,以促进就业保障民生为主线，组织好例行现场招聘会和网络招聘</w:t>
      </w:r>
      <w:r>
        <w:rPr>
          <w:rFonts w:hint="eastAsia"/>
          <w:sz w:val="32"/>
          <w:szCs w:val="32"/>
          <w:lang w:eastAsia="zh-CN"/>
        </w:rPr>
        <w:t>的同时</w:t>
      </w:r>
      <w:r>
        <w:rPr>
          <w:rFonts w:hint="eastAsia"/>
          <w:sz w:val="32"/>
          <w:szCs w:val="32"/>
        </w:rPr>
        <w:t>结合用人单位和求职人员需求适时举办专场招聘会。</w:t>
      </w:r>
    </w:p>
    <w:p>
      <w:pPr>
        <w:pStyle w:val="2"/>
        <w:adjustRightInd w:val="0"/>
        <w:spacing w:beforeLines="0" w:line="600" w:lineRule="exact"/>
        <w:ind w:firstLine="630" w:firstLineChars="210"/>
        <w:outlineLvl w:val="0"/>
        <w:rPr>
          <w:rFonts w:ascii="黑体" w:eastAsia="黑体"/>
        </w:rPr>
      </w:pPr>
      <w:bookmarkStart w:id="3" w:name="_Toc16831"/>
      <w:r>
        <w:rPr>
          <w:rFonts w:hint="eastAsia" w:ascii="黑体" w:eastAsia="黑体"/>
        </w:rPr>
        <w:t>二、单位构成情况</w:t>
      </w:r>
      <w:bookmarkEnd w:id="3"/>
    </w:p>
    <w:p>
      <w:pPr>
        <w:pStyle w:val="2"/>
        <w:adjustRightInd w:val="0"/>
        <w:spacing w:beforeLines="0" w:line="600" w:lineRule="exact"/>
        <w:ind w:firstLine="672" w:firstLineChars="210"/>
        <w:rPr>
          <w:rFonts w:hint="eastAsia"/>
          <w:sz w:val="32"/>
          <w:u w:val="none"/>
        </w:rPr>
      </w:pPr>
      <w:r>
        <w:rPr>
          <w:rFonts w:hint="eastAsia"/>
          <w:sz w:val="32"/>
          <w:lang w:eastAsia="zh-CN"/>
        </w:rPr>
        <w:t>攀枝花市人才服务中心</w:t>
      </w:r>
      <w:r>
        <w:rPr>
          <w:rFonts w:hint="eastAsia"/>
          <w:sz w:val="32"/>
        </w:rPr>
        <w:t>下属非独立核算单位</w:t>
      </w:r>
      <w:r>
        <w:rPr>
          <w:rFonts w:hint="eastAsia"/>
          <w:sz w:val="32"/>
          <w:lang w:val="en-US" w:eastAsia="zh-CN"/>
        </w:rPr>
        <w:t>0</w:t>
      </w:r>
      <w:r>
        <w:rPr>
          <w:rFonts w:hint="eastAsia"/>
          <w:sz w:val="32"/>
        </w:rPr>
        <w:t>个，其中行政单位</w:t>
      </w:r>
      <w:r>
        <w:rPr>
          <w:rFonts w:hint="eastAsia"/>
          <w:sz w:val="32"/>
          <w:lang w:val="en-US" w:eastAsia="zh-CN"/>
        </w:rPr>
        <w:t>0</w:t>
      </w:r>
      <w:r>
        <w:rPr>
          <w:rFonts w:hint="eastAsia"/>
          <w:sz w:val="32"/>
        </w:rPr>
        <w:t>个，参照公务员法管理的事业单位</w:t>
      </w:r>
      <w:r>
        <w:rPr>
          <w:rFonts w:hint="eastAsia"/>
          <w:sz w:val="32"/>
          <w:lang w:val="en-US" w:eastAsia="zh-CN"/>
        </w:rPr>
        <w:t>0</w:t>
      </w:r>
      <w:r>
        <w:rPr>
          <w:rFonts w:hint="eastAsia"/>
          <w:sz w:val="32"/>
        </w:rPr>
        <w:t>个，其他事业单位</w:t>
      </w:r>
      <w:r>
        <w:rPr>
          <w:rFonts w:hint="eastAsia"/>
          <w:sz w:val="32"/>
          <w:lang w:val="en-US" w:eastAsia="zh-CN"/>
        </w:rPr>
        <w:t>0</w:t>
      </w:r>
      <w:r>
        <w:rPr>
          <w:rFonts w:hint="eastAsia"/>
          <w:sz w:val="32"/>
        </w:rPr>
        <w:t>个。主要包括：我中心是全额拨款的事业单位，内设机构6个，人员编制22人，现实有在编人员18人，退休人员6人，车辆0台。</w:t>
      </w:r>
    </w:p>
    <w:p>
      <w:pPr>
        <w:pStyle w:val="2"/>
        <w:adjustRightInd w:val="0"/>
        <w:spacing w:beforeLines="0" w:line="600" w:lineRule="exact"/>
        <w:ind w:firstLine="630" w:firstLineChars="210"/>
        <w:outlineLvl w:val="0"/>
        <w:rPr>
          <w:rFonts w:ascii="黑体" w:eastAsia="黑体"/>
        </w:rPr>
      </w:pPr>
      <w:bookmarkStart w:id="4" w:name="_Toc17981"/>
      <w:r>
        <w:rPr>
          <w:rFonts w:hint="eastAsia" w:ascii="黑体" w:eastAsia="黑体"/>
        </w:rPr>
        <w:t>三、收支预算情况说明</w:t>
      </w:r>
      <w:bookmarkEnd w:id="4"/>
    </w:p>
    <w:p>
      <w:pPr>
        <w:spacing w:line="600" w:lineRule="exact"/>
        <w:ind w:firstLine="640" w:firstLineChars="200"/>
        <w:rPr>
          <w:rFonts w:hint="default" w:ascii="仿宋_GB2312" w:eastAsia="仿宋_GB2312"/>
          <w:lang w:val="en-US" w:eastAsia="zh-CN"/>
        </w:rPr>
      </w:pPr>
      <w:r>
        <w:rPr>
          <w:rFonts w:hint="eastAsia"/>
        </w:rPr>
        <w:t>按照综合预算的原则，攀枝花市人才服务中心</w:t>
      </w:r>
      <w:r>
        <w:rPr>
          <w:rFonts w:hint="eastAsia" w:ascii="仿宋_GB2312"/>
        </w:rPr>
        <w:t>所有收入和支出均纳入部门预算管理。收入包括：一般公共预算拨款收入；支出包括：一般公共服务支出、社会保障和就业支出和住房保障支出。</w:t>
      </w:r>
      <w:r>
        <w:rPr>
          <w:rFonts w:hint="default" w:ascii="Times New Roman" w:hAnsi="Times New Roman" w:cs="Times New Roman"/>
        </w:rPr>
        <w:t>攀枝花市人才服务中心202</w:t>
      </w:r>
      <w:r>
        <w:rPr>
          <w:rFonts w:hint="default" w:ascii="Times New Roman" w:hAnsi="Times New Roman" w:cs="Times New Roman"/>
          <w:lang w:val="en-US" w:eastAsia="zh-CN"/>
        </w:rPr>
        <w:t>1</w:t>
      </w:r>
      <w:r>
        <w:rPr>
          <w:rFonts w:hint="default" w:ascii="Times New Roman" w:hAnsi="Times New Roman" w:cs="Times New Roman"/>
        </w:rPr>
        <w:t>年收支总预算</w:t>
      </w:r>
      <w:r>
        <w:rPr>
          <w:rFonts w:hint="default" w:ascii="Times New Roman" w:hAnsi="Times New Roman" w:cs="Times New Roman"/>
          <w:lang w:val="en-US" w:eastAsia="zh-CN"/>
        </w:rPr>
        <w:t>309.35</w:t>
      </w:r>
      <w:r>
        <w:rPr>
          <w:rFonts w:hint="default" w:ascii="Times New Roman" w:hAnsi="Times New Roman" w:cs="Times New Roman"/>
        </w:rPr>
        <w:t>万元</w:t>
      </w:r>
      <w:r>
        <w:rPr>
          <w:rFonts w:hint="eastAsia" w:cs="Times New Roman"/>
          <w:lang w:eastAsia="zh-CN"/>
        </w:rPr>
        <w:t>，</w:t>
      </w:r>
      <w:r>
        <w:rPr>
          <w:rFonts w:hint="default" w:ascii="Times New Roman" w:hAnsi="Times New Roman" w:cs="Times New Roman"/>
          <w:lang w:val="en-US" w:eastAsia="zh-CN"/>
        </w:rPr>
        <w:t>较2020年减少141.65万元，下降31.4%</w:t>
      </w:r>
      <w:r>
        <w:rPr>
          <w:rFonts w:hint="eastAsia" w:cs="Times New Roman"/>
          <w:lang w:val="en-US" w:eastAsia="zh-CN"/>
        </w:rPr>
        <w:t>，减少原因为项目经费减少。</w:t>
      </w:r>
    </w:p>
    <w:p>
      <w:pPr>
        <w:spacing w:line="600" w:lineRule="exact"/>
        <w:ind w:firstLine="643" w:firstLineChars="200"/>
        <w:outlineLvl w:val="1"/>
        <w:rPr>
          <w:rFonts w:ascii="楷体_GB2312" w:eastAsia="楷体_GB2312"/>
          <w:b/>
        </w:rPr>
      </w:pPr>
      <w:bookmarkStart w:id="5" w:name="_Toc7167"/>
      <w:r>
        <w:rPr>
          <w:rFonts w:hint="eastAsia" w:ascii="楷体_GB2312" w:eastAsia="楷体_GB2312"/>
          <w:b/>
        </w:rPr>
        <w:t>（一）收入预算情况</w:t>
      </w:r>
      <w:bookmarkEnd w:id="5"/>
    </w:p>
    <w:p>
      <w:pPr>
        <w:spacing w:line="600" w:lineRule="exact"/>
        <w:ind w:firstLine="640" w:firstLineChars="200"/>
        <w:rPr>
          <w:rFonts w:ascii="仿宋_GB2312"/>
        </w:rPr>
      </w:pPr>
      <w:r>
        <w:rPr>
          <w:rFonts w:hint="eastAsia"/>
        </w:rPr>
        <w:t>攀枝花市人才服务中心</w:t>
      </w:r>
      <w:r>
        <w:rPr>
          <w:rFonts w:hint="eastAsia" w:ascii="仿宋_GB2312"/>
        </w:rPr>
        <w:t>202</w:t>
      </w:r>
      <w:r>
        <w:rPr>
          <w:rFonts w:hint="eastAsia" w:ascii="仿宋_GB2312"/>
          <w:lang w:val="en-US" w:eastAsia="zh-CN"/>
        </w:rPr>
        <w:t>1</w:t>
      </w:r>
      <w:r>
        <w:rPr>
          <w:rFonts w:hint="eastAsia" w:ascii="仿宋_GB2312"/>
        </w:rPr>
        <w:t>年收入预算</w:t>
      </w:r>
      <w:r>
        <w:rPr>
          <w:rFonts w:hint="eastAsia"/>
          <w:lang w:val="en-US" w:eastAsia="zh-CN"/>
        </w:rPr>
        <w:t>309.35</w:t>
      </w:r>
      <w:r>
        <w:rPr>
          <w:rFonts w:hint="eastAsia" w:ascii="仿宋_GB2312"/>
        </w:rPr>
        <w:t>万元，其中：上年结转</w:t>
      </w:r>
      <w:r>
        <w:rPr>
          <w:rFonts w:hint="eastAsia"/>
        </w:rPr>
        <w:t>0</w:t>
      </w:r>
      <w:r>
        <w:rPr>
          <w:rFonts w:hint="eastAsia" w:ascii="仿宋_GB2312"/>
        </w:rPr>
        <w:t>万元，占</w:t>
      </w:r>
      <w:r>
        <w:rPr>
          <w:rFonts w:hint="eastAsia"/>
        </w:rPr>
        <w:t>0</w:t>
      </w:r>
      <w:r>
        <w:rPr>
          <w:rFonts w:hint="eastAsia" w:ascii="仿宋_GB2312"/>
        </w:rPr>
        <w:t>%；一般公共预算拨款收入</w:t>
      </w:r>
      <w:r>
        <w:rPr>
          <w:rFonts w:hint="eastAsia"/>
          <w:lang w:val="en-US" w:eastAsia="zh-CN"/>
        </w:rPr>
        <w:t>309.35</w:t>
      </w:r>
      <w:r>
        <w:rPr>
          <w:rFonts w:hint="eastAsia" w:ascii="仿宋_GB2312"/>
        </w:rPr>
        <w:t>万元，占</w:t>
      </w:r>
      <w:r>
        <w:rPr>
          <w:rFonts w:hint="eastAsia"/>
        </w:rPr>
        <w:t>100</w:t>
      </w:r>
      <w:r>
        <w:rPr>
          <w:rFonts w:hint="eastAsia" w:ascii="仿宋_GB2312"/>
        </w:rPr>
        <w:t>%；政府性基金预算拨款收入</w:t>
      </w:r>
      <w:r>
        <w:rPr>
          <w:rFonts w:hint="eastAsia"/>
        </w:rPr>
        <w:t>0</w:t>
      </w:r>
      <w:r>
        <w:rPr>
          <w:rFonts w:hint="eastAsia" w:ascii="仿宋_GB2312"/>
        </w:rPr>
        <w:t>万元，占</w:t>
      </w:r>
      <w:r>
        <w:rPr>
          <w:rFonts w:hint="eastAsia"/>
        </w:rPr>
        <w:t>0</w:t>
      </w:r>
      <w:r>
        <w:rPr>
          <w:rFonts w:hint="eastAsia" w:ascii="仿宋_GB2312"/>
        </w:rPr>
        <w:t>%；事业收入</w:t>
      </w:r>
      <w:r>
        <w:rPr>
          <w:rFonts w:hint="eastAsia"/>
        </w:rPr>
        <w:t>0</w:t>
      </w:r>
      <w:r>
        <w:rPr>
          <w:rFonts w:hint="eastAsia" w:ascii="仿宋_GB2312"/>
        </w:rPr>
        <w:t>万元，占</w:t>
      </w:r>
      <w:r>
        <w:rPr>
          <w:rFonts w:hint="eastAsia"/>
        </w:rPr>
        <w:t>0</w:t>
      </w:r>
      <w:r>
        <w:rPr>
          <w:rFonts w:hint="eastAsia" w:ascii="仿宋_GB2312"/>
        </w:rPr>
        <w:t>%。</w:t>
      </w:r>
    </w:p>
    <w:p>
      <w:pPr>
        <w:spacing w:line="600" w:lineRule="exact"/>
        <w:ind w:firstLine="643" w:firstLineChars="200"/>
        <w:outlineLvl w:val="1"/>
        <w:rPr>
          <w:rFonts w:ascii="楷体_GB2312" w:eastAsia="楷体_GB2312"/>
          <w:b/>
        </w:rPr>
      </w:pPr>
      <w:bookmarkStart w:id="6" w:name="_Toc4789"/>
      <w:r>
        <w:rPr>
          <w:rFonts w:hint="eastAsia" w:ascii="楷体_GB2312" w:eastAsia="楷体_GB2312"/>
          <w:b/>
        </w:rPr>
        <w:t>（二）支出预算情况</w:t>
      </w:r>
      <w:bookmarkEnd w:id="6"/>
    </w:p>
    <w:p>
      <w:pPr>
        <w:spacing w:line="600" w:lineRule="exact"/>
        <w:ind w:firstLine="640" w:firstLineChars="200"/>
        <w:rPr>
          <w:rFonts w:ascii="仿宋_GB2312"/>
          <w:u w:val="none"/>
        </w:rPr>
      </w:pPr>
      <w:r>
        <w:rPr>
          <w:rFonts w:hint="eastAsia"/>
        </w:rPr>
        <w:t>攀枝花市人才服务中心</w:t>
      </w:r>
      <w:r>
        <w:rPr>
          <w:rFonts w:hint="eastAsia" w:ascii="仿宋_GB2312"/>
        </w:rPr>
        <w:t>202</w:t>
      </w:r>
      <w:r>
        <w:rPr>
          <w:rFonts w:hint="eastAsia" w:ascii="仿宋_GB2312"/>
          <w:lang w:val="en-US" w:eastAsia="zh-CN"/>
        </w:rPr>
        <w:t>1</w:t>
      </w:r>
      <w:r>
        <w:rPr>
          <w:rFonts w:hint="eastAsia" w:ascii="仿宋_GB2312"/>
        </w:rPr>
        <w:t>年支出预算</w:t>
      </w:r>
      <w:r>
        <w:rPr>
          <w:rFonts w:hint="eastAsia"/>
          <w:lang w:val="en-US" w:eastAsia="zh-CN"/>
        </w:rPr>
        <w:t>309.35</w:t>
      </w:r>
      <w:r>
        <w:rPr>
          <w:rFonts w:hint="eastAsia" w:ascii="仿宋_GB2312"/>
        </w:rPr>
        <w:t>万元，其中：基本支出</w:t>
      </w:r>
      <w:r>
        <w:rPr>
          <w:rFonts w:hint="eastAsia"/>
          <w:lang w:val="en-US" w:eastAsia="zh-CN"/>
        </w:rPr>
        <w:t>274.35</w:t>
      </w:r>
      <w:r>
        <w:rPr>
          <w:rFonts w:hint="eastAsia" w:ascii="仿宋_GB2312"/>
        </w:rPr>
        <w:t>万元，占</w:t>
      </w:r>
      <w:r>
        <w:rPr>
          <w:rFonts w:hint="eastAsia"/>
          <w:lang w:val="en-US" w:eastAsia="zh-CN"/>
        </w:rPr>
        <w:t>88.68</w:t>
      </w:r>
      <w:r>
        <w:rPr>
          <w:rFonts w:hint="eastAsia" w:ascii="仿宋_GB2312"/>
        </w:rPr>
        <w:t>%；项目支出</w:t>
      </w:r>
      <w:r>
        <w:rPr>
          <w:rFonts w:hint="eastAsia"/>
          <w:lang w:val="en-US" w:eastAsia="zh-CN"/>
        </w:rPr>
        <w:t>35</w:t>
      </w:r>
      <w:r>
        <w:rPr>
          <w:rFonts w:hint="eastAsia" w:ascii="仿宋_GB2312"/>
        </w:rPr>
        <w:t>万元，占</w:t>
      </w:r>
      <w:r>
        <w:rPr>
          <w:rFonts w:hint="eastAsia"/>
          <w:lang w:val="en-US" w:eastAsia="zh-CN"/>
        </w:rPr>
        <w:t>11.32</w:t>
      </w:r>
      <w:r>
        <w:rPr>
          <w:rFonts w:hint="eastAsia" w:ascii="仿宋_GB2312"/>
        </w:rPr>
        <w:t>%</w:t>
      </w:r>
      <w:r>
        <w:rPr>
          <w:rFonts w:hint="eastAsia" w:ascii="仿宋_GB2312"/>
          <w:u w:val="none"/>
        </w:rPr>
        <w:t>。</w:t>
      </w:r>
    </w:p>
    <w:p>
      <w:pPr>
        <w:spacing w:line="600" w:lineRule="exact"/>
        <w:ind w:firstLine="640" w:firstLineChars="200"/>
        <w:outlineLvl w:val="0"/>
        <w:rPr>
          <w:rFonts w:ascii="黑体" w:eastAsia="黑体"/>
        </w:rPr>
      </w:pPr>
      <w:bookmarkStart w:id="7" w:name="_Toc8597"/>
      <w:r>
        <w:rPr>
          <w:rFonts w:hint="eastAsia" w:ascii="黑体" w:eastAsia="黑体"/>
        </w:rPr>
        <w:t>四、财政拨款收支预算情况说明</w:t>
      </w:r>
      <w:bookmarkEnd w:id="7"/>
    </w:p>
    <w:p>
      <w:pPr>
        <w:spacing w:line="600" w:lineRule="exact"/>
        <w:ind w:firstLine="640" w:firstLineChars="200"/>
        <w:rPr>
          <w:rFonts w:ascii="黑体" w:eastAsia="黑体"/>
        </w:rPr>
      </w:pPr>
      <w:r>
        <w:rPr>
          <w:rFonts w:hint="eastAsia"/>
        </w:rPr>
        <w:t>攀枝花市人才服务中心</w:t>
      </w:r>
      <w:r>
        <w:rPr>
          <w:rFonts w:hint="eastAsia" w:ascii="仿宋_GB2312"/>
        </w:rPr>
        <w:t>202</w:t>
      </w:r>
      <w:r>
        <w:rPr>
          <w:rFonts w:hint="eastAsia" w:ascii="仿宋_GB2312"/>
          <w:lang w:val="en-US" w:eastAsia="zh-CN"/>
        </w:rPr>
        <w:t>1</w:t>
      </w:r>
      <w:r>
        <w:rPr>
          <w:rFonts w:hint="eastAsia" w:ascii="仿宋_GB2312"/>
        </w:rPr>
        <w:t>年财政拨款收支总预算</w:t>
      </w:r>
      <w:r>
        <w:rPr>
          <w:rFonts w:hint="eastAsia"/>
          <w:lang w:val="en-US" w:eastAsia="zh-CN"/>
        </w:rPr>
        <w:t>309.35</w:t>
      </w:r>
      <w:r>
        <w:rPr>
          <w:rFonts w:hint="eastAsia" w:ascii="仿宋_GB2312"/>
        </w:rPr>
        <w:t>万元。收入包括：本年一般公共预算拨款收入</w:t>
      </w:r>
      <w:r>
        <w:rPr>
          <w:rFonts w:hint="eastAsia"/>
          <w:lang w:val="en-US" w:eastAsia="zh-CN"/>
        </w:rPr>
        <w:t>309.35</w:t>
      </w:r>
      <w:r>
        <w:rPr>
          <w:rFonts w:hint="eastAsia" w:ascii="仿宋_GB2312"/>
        </w:rPr>
        <w:t>万元、本年政府性基金预算拨款收入</w:t>
      </w:r>
      <w:r>
        <w:rPr>
          <w:rFonts w:hint="eastAsia"/>
        </w:rPr>
        <w:t>0</w:t>
      </w:r>
      <w:r>
        <w:rPr>
          <w:rFonts w:hint="eastAsia" w:ascii="仿宋_GB2312"/>
        </w:rPr>
        <w:t>万元；支出包括：一般公共服务支出</w:t>
      </w:r>
      <w:r>
        <w:rPr>
          <w:rFonts w:hint="eastAsia" w:ascii="仿宋_GB2312"/>
          <w:lang w:val="en-US" w:eastAsia="zh-CN"/>
        </w:rPr>
        <w:t>5</w:t>
      </w:r>
      <w:r>
        <w:rPr>
          <w:rFonts w:hint="eastAsia" w:ascii="仿宋_GB2312"/>
        </w:rPr>
        <w:t>万元、社会保障和就业支出</w:t>
      </w:r>
      <w:r>
        <w:rPr>
          <w:rFonts w:hint="eastAsia" w:ascii="仿宋_GB2312"/>
          <w:lang w:val="en-US" w:eastAsia="zh-CN"/>
        </w:rPr>
        <w:t>284.4</w:t>
      </w:r>
      <w:r>
        <w:rPr>
          <w:rFonts w:hint="eastAsia" w:ascii="仿宋_GB2312"/>
        </w:rPr>
        <w:t>万元、住房保障支出</w:t>
      </w:r>
      <w:r>
        <w:rPr>
          <w:rFonts w:hint="eastAsia" w:ascii="仿宋_GB2312"/>
          <w:lang w:val="en-US" w:eastAsia="zh-CN"/>
        </w:rPr>
        <w:t>19.95</w:t>
      </w:r>
      <w:r>
        <w:rPr>
          <w:rFonts w:hint="eastAsia" w:ascii="仿宋_GB2312"/>
        </w:rPr>
        <w:t>万元。</w:t>
      </w:r>
    </w:p>
    <w:p>
      <w:pPr>
        <w:spacing w:line="600" w:lineRule="exact"/>
        <w:ind w:firstLine="640" w:firstLineChars="200"/>
        <w:outlineLvl w:val="0"/>
        <w:rPr>
          <w:rFonts w:ascii="黑体" w:eastAsia="黑体"/>
        </w:rPr>
      </w:pPr>
      <w:bookmarkStart w:id="8" w:name="_Toc19230"/>
      <w:r>
        <w:rPr>
          <w:rFonts w:hint="eastAsia" w:ascii="黑体" w:eastAsia="黑体"/>
        </w:rPr>
        <w:t>五、一般公共预算当年拨款情况说明</w:t>
      </w:r>
      <w:bookmarkEnd w:id="8"/>
    </w:p>
    <w:p>
      <w:pPr>
        <w:spacing w:line="600" w:lineRule="exact"/>
        <w:ind w:firstLine="643" w:firstLineChars="200"/>
        <w:outlineLvl w:val="1"/>
        <w:rPr>
          <w:rFonts w:hint="eastAsia" w:ascii="楷体_GB2312" w:eastAsia="楷体_GB2312"/>
          <w:b/>
          <w:lang w:eastAsia="zh-CN"/>
        </w:rPr>
      </w:pPr>
      <w:bookmarkStart w:id="9" w:name="_Toc32374"/>
      <w:r>
        <w:rPr>
          <w:rFonts w:hint="eastAsia" w:ascii="楷体_GB2312" w:eastAsia="楷体_GB2312"/>
          <w:b/>
        </w:rPr>
        <w:t>（一）一般公共预算当年拨款规模变化情况</w:t>
      </w:r>
      <w:r>
        <w:rPr>
          <w:rFonts w:hint="eastAsia" w:ascii="楷体_GB2312" w:eastAsia="楷体_GB2312"/>
          <w:b/>
          <w:lang w:eastAsia="zh-CN"/>
        </w:rPr>
        <w:t>。</w:t>
      </w:r>
      <w:bookmarkEnd w:id="9"/>
    </w:p>
    <w:p>
      <w:pPr>
        <w:spacing w:line="600" w:lineRule="exact"/>
        <w:ind w:firstLine="640" w:firstLineChars="200"/>
        <w:rPr>
          <w:rFonts w:ascii="仿宋_GB2312"/>
        </w:rPr>
      </w:pPr>
      <w:r>
        <w:rPr>
          <w:rFonts w:hint="eastAsia"/>
        </w:rPr>
        <w:t>攀枝花市人才服务中心</w:t>
      </w:r>
      <w:r>
        <w:rPr>
          <w:rFonts w:hint="eastAsia" w:ascii="仿宋_GB2312"/>
        </w:rPr>
        <w:t>202</w:t>
      </w:r>
      <w:r>
        <w:rPr>
          <w:rFonts w:hint="eastAsia" w:ascii="仿宋_GB2312"/>
          <w:lang w:val="en-US" w:eastAsia="zh-CN"/>
        </w:rPr>
        <w:t>1</w:t>
      </w:r>
      <w:r>
        <w:rPr>
          <w:rFonts w:hint="eastAsia" w:ascii="仿宋_GB2312"/>
        </w:rPr>
        <w:t>年一般公共预算当年拨款</w:t>
      </w:r>
      <w:r>
        <w:rPr>
          <w:rFonts w:hint="eastAsia"/>
          <w:lang w:val="en-US" w:eastAsia="zh-CN"/>
        </w:rPr>
        <w:t>309.35</w:t>
      </w:r>
      <w:r>
        <w:rPr>
          <w:rFonts w:hint="eastAsia" w:ascii="仿宋_GB2312"/>
        </w:rPr>
        <w:t>万元，比20</w:t>
      </w:r>
      <w:r>
        <w:rPr>
          <w:rFonts w:hint="eastAsia" w:ascii="仿宋_GB2312"/>
          <w:lang w:val="en-US" w:eastAsia="zh-CN"/>
        </w:rPr>
        <w:t>20</w:t>
      </w:r>
      <w:r>
        <w:rPr>
          <w:rFonts w:hint="eastAsia" w:ascii="仿宋_GB2312"/>
        </w:rPr>
        <w:t>年预算数</w:t>
      </w:r>
      <w:r>
        <w:rPr>
          <w:rFonts w:hint="eastAsia" w:ascii="仿宋_GB2312"/>
          <w:u w:val="none"/>
        </w:rPr>
        <w:t>减少</w:t>
      </w:r>
      <w:r>
        <w:rPr>
          <w:rFonts w:hint="eastAsia"/>
          <w:lang w:val="en-US" w:eastAsia="zh-CN"/>
        </w:rPr>
        <w:t>142.35</w:t>
      </w:r>
      <w:r>
        <w:rPr>
          <w:rFonts w:hint="eastAsia" w:ascii="仿宋_GB2312"/>
        </w:rPr>
        <w:t>万元，主要是20</w:t>
      </w:r>
      <w:r>
        <w:rPr>
          <w:rFonts w:hint="eastAsia" w:ascii="仿宋_GB2312"/>
          <w:lang w:val="en-US" w:eastAsia="zh-CN"/>
        </w:rPr>
        <w:t>21</w:t>
      </w:r>
      <w:r>
        <w:rPr>
          <w:rFonts w:hint="eastAsia" w:ascii="仿宋_GB2312"/>
        </w:rPr>
        <w:t>年</w:t>
      </w:r>
      <w:r>
        <w:rPr>
          <w:rFonts w:hint="eastAsia" w:ascii="仿宋_GB2312"/>
          <w:lang w:eastAsia="zh-CN"/>
        </w:rPr>
        <w:t>压减公共支出和项目支出</w:t>
      </w:r>
      <w:r>
        <w:rPr>
          <w:rFonts w:hint="eastAsia" w:ascii="仿宋_GB2312"/>
        </w:rPr>
        <w:t>。</w:t>
      </w:r>
    </w:p>
    <w:p>
      <w:pPr>
        <w:spacing w:line="600" w:lineRule="exact"/>
        <w:ind w:firstLine="643" w:firstLineChars="200"/>
        <w:outlineLvl w:val="1"/>
        <w:rPr>
          <w:rFonts w:hint="eastAsia" w:ascii="楷体_GB2312" w:eastAsia="楷体_GB2312"/>
          <w:b/>
          <w:lang w:eastAsia="zh-CN"/>
        </w:rPr>
      </w:pPr>
      <w:bookmarkStart w:id="10" w:name="_Toc32069"/>
      <w:r>
        <w:rPr>
          <w:rFonts w:hint="eastAsia" w:ascii="楷体_GB2312" w:eastAsia="楷体_GB2312"/>
          <w:b/>
        </w:rPr>
        <w:t>（二）一般公共预算当年拨款结构情况</w:t>
      </w:r>
      <w:r>
        <w:rPr>
          <w:rFonts w:hint="eastAsia" w:ascii="楷体_GB2312" w:eastAsia="楷体_GB2312"/>
          <w:b/>
          <w:lang w:eastAsia="zh-CN"/>
        </w:rPr>
        <w:t>。</w:t>
      </w:r>
      <w:bookmarkEnd w:id="10"/>
    </w:p>
    <w:p>
      <w:pPr>
        <w:spacing w:line="600" w:lineRule="exact"/>
        <w:ind w:firstLine="640" w:firstLineChars="200"/>
        <w:rPr>
          <w:rFonts w:ascii="仿宋_GB2312"/>
        </w:rPr>
      </w:pPr>
      <w:r>
        <w:rPr>
          <w:rFonts w:hint="eastAsia" w:ascii="仿宋_GB2312"/>
          <w:lang w:eastAsia="zh-CN"/>
        </w:rPr>
        <w:t>一般公共服务支出3</w:t>
      </w:r>
      <w:r>
        <w:rPr>
          <w:rFonts w:hint="eastAsia" w:ascii="仿宋_GB2312"/>
          <w:lang w:val="en-US" w:eastAsia="zh-CN"/>
        </w:rPr>
        <w:t>09.35</w:t>
      </w:r>
      <w:r>
        <w:rPr>
          <w:rFonts w:hint="eastAsia" w:ascii="仿宋_GB2312"/>
          <w:lang w:eastAsia="zh-CN"/>
        </w:rPr>
        <w:t>万元，占100%；外交支出0万元，占0%。</w:t>
      </w:r>
    </w:p>
    <w:p>
      <w:pPr>
        <w:spacing w:line="600" w:lineRule="exact"/>
        <w:ind w:firstLine="643" w:firstLineChars="200"/>
        <w:outlineLvl w:val="1"/>
        <w:rPr>
          <w:rFonts w:hint="eastAsia" w:ascii="楷体_GB2312" w:eastAsia="楷体_GB2312"/>
          <w:b/>
          <w:lang w:eastAsia="zh-CN"/>
        </w:rPr>
      </w:pPr>
      <w:bookmarkStart w:id="11" w:name="_Toc31806"/>
      <w:r>
        <w:rPr>
          <w:rFonts w:hint="eastAsia" w:ascii="楷体_GB2312" w:eastAsia="楷体_GB2312"/>
          <w:b/>
        </w:rPr>
        <w:t>（三）一般公共预算当年拨款具体使用情况</w:t>
      </w:r>
      <w:r>
        <w:rPr>
          <w:rFonts w:hint="eastAsia" w:ascii="楷体_GB2312" w:eastAsia="楷体_GB2312"/>
          <w:b/>
          <w:lang w:eastAsia="zh-CN"/>
        </w:rPr>
        <w:t>。</w:t>
      </w:r>
      <w:bookmarkEnd w:id="11"/>
    </w:p>
    <w:p>
      <w:pPr>
        <w:spacing w:line="600" w:lineRule="exact"/>
        <w:ind w:firstLine="640" w:firstLineChars="200"/>
        <w:rPr>
          <w:rFonts w:ascii="仿宋_GB2312"/>
        </w:rPr>
      </w:pPr>
      <w:r>
        <w:rPr>
          <w:rFonts w:hint="eastAsia" w:ascii="仿宋_GB2312"/>
        </w:rPr>
        <w:t>1.一般公共服务（类）人力资源事务（款）</w:t>
      </w:r>
      <w:r>
        <w:rPr>
          <w:rFonts w:hint="eastAsia" w:ascii="仿宋_GB2312"/>
          <w:lang w:val="en-US" w:eastAsia="zh-CN"/>
        </w:rPr>
        <w:t>其他组织事务</w:t>
      </w:r>
      <w:r>
        <w:rPr>
          <w:rFonts w:hint="eastAsia" w:ascii="仿宋_GB2312"/>
          <w:lang w:eastAsia="zh-CN"/>
        </w:rPr>
        <w:t>支出</w:t>
      </w:r>
      <w:r>
        <w:rPr>
          <w:rFonts w:hint="eastAsia" w:ascii="仿宋_GB2312"/>
        </w:rPr>
        <w:t>（项）202</w:t>
      </w:r>
      <w:r>
        <w:rPr>
          <w:rFonts w:hint="eastAsia" w:ascii="仿宋_GB2312"/>
          <w:lang w:val="en-US" w:eastAsia="zh-CN"/>
        </w:rPr>
        <w:t>1</w:t>
      </w:r>
      <w:r>
        <w:rPr>
          <w:rFonts w:hint="eastAsia" w:ascii="仿宋_GB2312"/>
        </w:rPr>
        <w:t>年预算数为</w:t>
      </w:r>
      <w:r>
        <w:rPr>
          <w:rFonts w:hint="eastAsia"/>
          <w:lang w:val="en-US" w:eastAsia="zh-CN"/>
        </w:rPr>
        <w:t>5</w:t>
      </w:r>
      <w:r>
        <w:rPr>
          <w:rFonts w:hint="eastAsia" w:ascii="仿宋_GB2312"/>
        </w:rPr>
        <w:t>万元，主要用于</w:t>
      </w:r>
      <w:r>
        <w:rPr>
          <w:rFonts w:hint="eastAsia" w:ascii="仿宋_GB2312"/>
          <w:lang w:eastAsia="zh-CN"/>
        </w:rPr>
        <w:t>：</w:t>
      </w:r>
      <w:r>
        <w:rPr>
          <w:rFonts w:hint="eastAsia" w:ascii="仿宋_GB2312"/>
        </w:rPr>
        <w:t>（1）</w:t>
      </w:r>
      <w:r>
        <w:rPr>
          <w:rFonts w:hint="eastAsia" w:ascii="仿宋_GB2312"/>
          <w:lang w:eastAsia="zh-CN"/>
        </w:rPr>
        <w:t>援藏援彝干部补助</w:t>
      </w:r>
      <w:r>
        <w:rPr>
          <w:rFonts w:hint="eastAsia" w:ascii="仿宋_GB2312"/>
        </w:rPr>
        <w:t>。</w:t>
      </w:r>
    </w:p>
    <w:p>
      <w:pPr>
        <w:spacing w:line="600" w:lineRule="exact"/>
        <w:ind w:firstLine="640" w:firstLineChars="200"/>
        <w:rPr>
          <w:rFonts w:ascii="仿宋_GB2312"/>
        </w:rPr>
      </w:pPr>
      <w:r>
        <w:rPr>
          <w:rFonts w:hint="eastAsia" w:ascii="仿宋_GB2312"/>
        </w:rPr>
        <w:t>2.一般公共服务（类）人力资源事务（款）</w:t>
      </w:r>
      <w:r>
        <w:rPr>
          <w:rFonts w:hint="eastAsia" w:ascii="仿宋_GB2312"/>
          <w:lang w:eastAsia="zh-CN"/>
        </w:rPr>
        <w:t>事业运行支出</w:t>
      </w:r>
      <w:r>
        <w:rPr>
          <w:rFonts w:hint="eastAsia" w:ascii="仿宋_GB2312"/>
        </w:rPr>
        <w:t>（项）202</w:t>
      </w:r>
      <w:r>
        <w:rPr>
          <w:rFonts w:hint="eastAsia" w:ascii="仿宋_GB2312"/>
          <w:lang w:val="en-US" w:eastAsia="zh-CN"/>
        </w:rPr>
        <w:t>1</w:t>
      </w:r>
      <w:r>
        <w:rPr>
          <w:rFonts w:hint="eastAsia" w:ascii="仿宋_GB2312"/>
        </w:rPr>
        <w:t>年预算数为</w:t>
      </w:r>
      <w:r>
        <w:rPr>
          <w:rFonts w:hint="eastAsia"/>
          <w:lang w:val="en-US" w:eastAsia="zh-CN"/>
        </w:rPr>
        <w:t>252.21</w:t>
      </w:r>
      <w:r>
        <w:rPr>
          <w:rFonts w:hint="eastAsia" w:ascii="仿宋_GB2312"/>
        </w:rPr>
        <w:t>万元，主要用于：（1）</w:t>
      </w:r>
      <w:r>
        <w:rPr>
          <w:rFonts w:hint="eastAsia" w:ascii="仿宋_GB2312"/>
          <w:lang w:eastAsia="zh-CN"/>
        </w:rPr>
        <w:t>工资福利支出、（</w:t>
      </w:r>
      <w:r>
        <w:rPr>
          <w:rFonts w:hint="eastAsia" w:ascii="仿宋_GB2312"/>
          <w:lang w:val="en-US" w:eastAsia="zh-CN"/>
        </w:rPr>
        <w:t>2</w:t>
      </w:r>
      <w:r>
        <w:rPr>
          <w:rFonts w:hint="eastAsia" w:ascii="仿宋_GB2312"/>
          <w:lang w:eastAsia="zh-CN"/>
        </w:rPr>
        <w:t>）</w:t>
      </w:r>
      <w:r>
        <w:rPr>
          <w:rFonts w:hint="eastAsia" w:ascii="仿宋_GB2312"/>
        </w:rPr>
        <w:t>成本性支出、（2）</w:t>
      </w:r>
      <w:r>
        <w:rPr>
          <w:rFonts w:hint="eastAsia" w:ascii="仿宋_GB2312"/>
          <w:lang w:eastAsia="zh-CN"/>
        </w:rPr>
        <w:t>公务接待等</w:t>
      </w:r>
      <w:r>
        <w:rPr>
          <w:rFonts w:hint="eastAsia" w:ascii="仿宋_GB2312"/>
        </w:rPr>
        <w:t>。。</w:t>
      </w:r>
    </w:p>
    <w:p>
      <w:pPr>
        <w:spacing w:line="600" w:lineRule="exact"/>
        <w:ind w:firstLine="640" w:firstLineChars="200"/>
        <w:rPr>
          <w:rFonts w:hint="eastAsia" w:ascii="仿宋_GB2312"/>
        </w:rPr>
      </w:pPr>
      <w:r>
        <w:rPr>
          <w:rFonts w:hint="eastAsia" w:ascii="仿宋_GB2312"/>
        </w:rPr>
        <w:t>3.一般公共服务（类）人力资源事务（款）</w:t>
      </w:r>
      <w:r>
        <w:rPr>
          <w:rFonts w:hint="eastAsia" w:ascii="仿宋_GB2312"/>
          <w:lang w:eastAsia="zh-CN"/>
        </w:rPr>
        <w:t>事业单位离退休支出</w:t>
      </w:r>
      <w:r>
        <w:rPr>
          <w:rFonts w:hint="eastAsia" w:ascii="仿宋_GB2312"/>
        </w:rPr>
        <w:t>（项）20</w:t>
      </w:r>
      <w:r>
        <w:rPr>
          <w:rFonts w:hint="eastAsia" w:ascii="仿宋_GB2312"/>
          <w:lang w:val="en-US" w:eastAsia="zh-CN"/>
        </w:rPr>
        <w:t>21</w:t>
      </w:r>
      <w:r>
        <w:rPr>
          <w:rFonts w:hint="eastAsia" w:ascii="仿宋_GB2312"/>
        </w:rPr>
        <w:t>年预算数为</w:t>
      </w:r>
      <w:r>
        <w:rPr>
          <w:rFonts w:hint="eastAsia" w:ascii="仿宋_GB2312"/>
          <w:lang w:val="en-US" w:eastAsia="zh-CN"/>
        </w:rPr>
        <w:t>11.21</w:t>
      </w:r>
      <w:r>
        <w:rPr>
          <w:rFonts w:hint="eastAsia" w:ascii="仿宋_GB2312"/>
        </w:rPr>
        <w:t>万元，主要用于：退休费。</w:t>
      </w:r>
    </w:p>
    <w:p>
      <w:pPr>
        <w:spacing w:line="600" w:lineRule="exact"/>
        <w:ind w:firstLine="640" w:firstLineChars="200"/>
        <w:rPr>
          <w:rFonts w:hint="eastAsia" w:ascii="仿宋_GB2312"/>
        </w:rPr>
      </w:pPr>
      <w:r>
        <w:rPr>
          <w:rFonts w:hint="eastAsia" w:ascii="仿宋_GB2312"/>
          <w:lang w:val="en-US" w:eastAsia="zh-CN"/>
        </w:rPr>
        <w:t>4.</w:t>
      </w:r>
      <w:r>
        <w:rPr>
          <w:rFonts w:hint="eastAsia" w:ascii="仿宋_GB2312"/>
        </w:rPr>
        <w:t>一般公共服务（类）人力资源事务（款）</w:t>
      </w:r>
      <w:r>
        <w:rPr>
          <w:rFonts w:hint="eastAsia" w:ascii="仿宋_GB2312"/>
          <w:lang w:val="en-US" w:eastAsia="zh-CN"/>
        </w:rPr>
        <w:t>机关事业单位基本养老保险缴费支出（项）</w:t>
      </w:r>
      <w:r>
        <w:rPr>
          <w:rFonts w:hint="eastAsia" w:ascii="仿宋_GB2312"/>
        </w:rPr>
        <w:t>20</w:t>
      </w:r>
      <w:r>
        <w:rPr>
          <w:rFonts w:hint="eastAsia" w:ascii="仿宋_GB2312"/>
          <w:lang w:val="en-US" w:eastAsia="zh-CN"/>
        </w:rPr>
        <w:t>21</w:t>
      </w:r>
      <w:r>
        <w:rPr>
          <w:rFonts w:hint="eastAsia" w:ascii="仿宋_GB2312"/>
        </w:rPr>
        <w:t>年预算数为</w:t>
      </w:r>
      <w:r>
        <w:rPr>
          <w:rFonts w:hint="eastAsia" w:ascii="仿宋_GB2312"/>
          <w:lang w:val="en-US" w:eastAsia="zh-CN"/>
        </w:rPr>
        <w:t>20.98</w:t>
      </w:r>
      <w:r>
        <w:rPr>
          <w:rFonts w:hint="eastAsia" w:ascii="仿宋_GB2312"/>
        </w:rPr>
        <w:t>万元</w:t>
      </w:r>
      <w:r>
        <w:rPr>
          <w:rFonts w:hint="eastAsia" w:ascii="仿宋_GB2312"/>
          <w:lang w:eastAsia="zh-CN"/>
        </w:rPr>
        <w:t>，主要用于机关事业单位基本养老保险缴费</w:t>
      </w:r>
      <w:r>
        <w:rPr>
          <w:rFonts w:hint="eastAsia" w:ascii="仿宋_GB2312"/>
        </w:rPr>
        <w:t>。</w:t>
      </w:r>
    </w:p>
    <w:p>
      <w:pPr>
        <w:spacing w:line="600" w:lineRule="exact"/>
        <w:ind w:firstLine="640" w:firstLineChars="200"/>
        <w:rPr>
          <w:rFonts w:hint="eastAsia" w:ascii="仿宋_GB2312"/>
        </w:rPr>
      </w:pPr>
      <w:r>
        <w:rPr>
          <w:rFonts w:hint="eastAsia" w:ascii="仿宋_GB2312"/>
          <w:lang w:val="en-US" w:eastAsia="zh-CN"/>
        </w:rPr>
        <w:t>4.</w:t>
      </w:r>
      <w:r>
        <w:rPr>
          <w:rFonts w:hint="eastAsia" w:ascii="仿宋_GB2312"/>
        </w:rPr>
        <w:t>一般公共服务（类）人力资源事务（款）</w:t>
      </w:r>
      <w:r>
        <w:rPr>
          <w:rFonts w:hint="eastAsia" w:ascii="仿宋_GB2312"/>
          <w:lang w:val="en-US" w:eastAsia="zh-CN"/>
        </w:rPr>
        <w:t>住房公积金支出（项）</w:t>
      </w:r>
      <w:r>
        <w:rPr>
          <w:rFonts w:hint="eastAsia" w:ascii="仿宋_GB2312"/>
        </w:rPr>
        <w:t>20</w:t>
      </w:r>
      <w:r>
        <w:rPr>
          <w:rFonts w:hint="eastAsia" w:ascii="仿宋_GB2312"/>
          <w:lang w:val="en-US" w:eastAsia="zh-CN"/>
        </w:rPr>
        <w:t>21</w:t>
      </w:r>
      <w:r>
        <w:rPr>
          <w:rFonts w:hint="eastAsia" w:ascii="仿宋_GB2312"/>
        </w:rPr>
        <w:t>年预算数为</w:t>
      </w:r>
      <w:r>
        <w:rPr>
          <w:rFonts w:hint="eastAsia" w:ascii="仿宋_GB2312"/>
          <w:lang w:val="en-US" w:eastAsia="zh-CN"/>
        </w:rPr>
        <w:t>19.95</w:t>
      </w:r>
      <w:r>
        <w:rPr>
          <w:rFonts w:hint="eastAsia" w:ascii="仿宋_GB2312"/>
        </w:rPr>
        <w:t>万元</w:t>
      </w:r>
      <w:r>
        <w:rPr>
          <w:rFonts w:hint="eastAsia" w:ascii="仿宋_GB2312"/>
          <w:lang w:eastAsia="zh-CN"/>
        </w:rPr>
        <w:t>，主要用于住房公积金缴费</w:t>
      </w:r>
      <w:r>
        <w:rPr>
          <w:rFonts w:hint="eastAsia" w:ascii="仿宋_GB2312"/>
        </w:rPr>
        <w:t>。</w:t>
      </w:r>
    </w:p>
    <w:p>
      <w:pPr>
        <w:spacing w:line="600" w:lineRule="exact"/>
        <w:ind w:firstLine="640" w:firstLineChars="200"/>
        <w:outlineLvl w:val="0"/>
        <w:rPr>
          <w:rFonts w:ascii="黑体" w:eastAsia="黑体"/>
        </w:rPr>
      </w:pPr>
      <w:bookmarkStart w:id="12" w:name="_Toc31571"/>
      <w:r>
        <w:rPr>
          <w:rFonts w:hint="eastAsia" w:ascii="黑体" w:eastAsia="黑体"/>
        </w:rPr>
        <w:t>六、一般公共预算基本支出情况说明</w:t>
      </w:r>
      <w:bookmarkEnd w:id="12"/>
    </w:p>
    <w:p>
      <w:pPr>
        <w:spacing w:line="600" w:lineRule="exact"/>
        <w:ind w:firstLine="640" w:firstLineChars="200"/>
        <w:rPr>
          <w:rFonts w:ascii="仿宋_GB2312"/>
        </w:rPr>
      </w:pPr>
      <w:r>
        <w:rPr>
          <w:rFonts w:hint="eastAsia"/>
        </w:rPr>
        <w:t>攀枝花市人才服务中心</w:t>
      </w:r>
      <w:r>
        <w:rPr>
          <w:rFonts w:hint="eastAsia" w:ascii="仿宋_GB2312"/>
        </w:rPr>
        <w:t>20</w:t>
      </w:r>
      <w:r>
        <w:rPr>
          <w:rFonts w:hint="eastAsia" w:ascii="仿宋_GB2312"/>
          <w:lang w:val="en-US" w:eastAsia="zh-CN"/>
        </w:rPr>
        <w:t>21</w:t>
      </w:r>
      <w:r>
        <w:rPr>
          <w:rFonts w:hint="eastAsia" w:ascii="仿宋_GB2312"/>
        </w:rPr>
        <w:t>年一般公共预算基本支出</w:t>
      </w:r>
      <w:r>
        <w:rPr>
          <w:rFonts w:hint="eastAsia"/>
          <w:lang w:val="en-US" w:eastAsia="zh-CN"/>
        </w:rPr>
        <w:t>274.35</w:t>
      </w:r>
      <w:r>
        <w:rPr>
          <w:rFonts w:hint="eastAsia" w:ascii="仿宋_GB2312"/>
        </w:rPr>
        <w:t>万元，其中：</w:t>
      </w:r>
    </w:p>
    <w:p>
      <w:pPr>
        <w:spacing w:line="600" w:lineRule="exact"/>
        <w:ind w:firstLine="640" w:firstLineChars="200"/>
        <w:rPr>
          <w:rFonts w:hint="eastAsia" w:ascii="仿宋_GB2312" w:eastAsia="仿宋_GB2312"/>
          <w:u w:val="single"/>
          <w:lang w:eastAsia="zh-CN"/>
        </w:rPr>
      </w:pPr>
      <w:r>
        <w:rPr>
          <w:rFonts w:hint="eastAsia" w:ascii="仿宋_GB2312"/>
        </w:rPr>
        <w:t>人员经费</w:t>
      </w:r>
      <w:r>
        <w:rPr>
          <w:rFonts w:hint="eastAsia"/>
        </w:rPr>
        <w:t>2</w:t>
      </w:r>
      <w:r>
        <w:rPr>
          <w:rFonts w:hint="eastAsia"/>
          <w:lang w:val="en-US" w:eastAsia="zh-CN"/>
        </w:rPr>
        <w:t>42.44</w:t>
      </w:r>
      <w:r>
        <w:rPr>
          <w:rFonts w:hint="eastAsia"/>
          <w:lang w:val="en-US" w:eastAsia="zh-CN"/>
        </w:rPr>
        <w:tab/>
      </w:r>
      <w:r>
        <w:rPr>
          <w:rFonts w:hint="eastAsia" w:ascii="仿宋_GB2312"/>
        </w:rPr>
        <w:t>万元，主要包括：基本工资、津贴补贴、奖金、社会保险缴费等</w:t>
      </w:r>
      <w:r>
        <w:rPr>
          <w:rFonts w:hint="eastAsia" w:ascii="仿宋_GB2312"/>
          <w:lang w:eastAsia="zh-CN"/>
        </w:rPr>
        <w:t>。</w:t>
      </w:r>
    </w:p>
    <w:p>
      <w:pPr>
        <w:spacing w:line="600" w:lineRule="exact"/>
        <w:ind w:firstLine="640" w:firstLineChars="200"/>
        <w:rPr>
          <w:rFonts w:ascii="仿宋_GB2312"/>
          <w:u w:val="single"/>
        </w:rPr>
      </w:pPr>
      <w:r>
        <w:rPr>
          <w:rFonts w:hint="eastAsia" w:ascii="仿宋_GB2312"/>
        </w:rPr>
        <w:t>公用经费</w:t>
      </w:r>
      <w:r>
        <w:rPr>
          <w:rFonts w:hint="eastAsia"/>
          <w:lang w:val="en-US" w:eastAsia="zh-CN"/>
        </w:rPr>
        <w:t>31.91</w:t>
      </w:r>
      <w:r>
        <w:rPr>
          <w:rFonts w:hint="eastAsia" w:ascii="仿宋_GB2312"/>
        </w:rPr>
        <w:t>万元，主要包括：办公费、咨询费、手续费等。</w:t>
      </w:r>
    </w:p>
    <w:p>
      <w:pPr>
        <w:spacing w:line="600" w:lineRule="exact"/>
        <w:ind w:firstLine="640" w:firstLineChars="200"/>
        <w:outlineLvl w:val="0"/>
        <w:rPr>
          <w:rFonts w:ascii="黑体" w:eastAsia="黑体"/>
        </w:rPr>
      </w:pPr>
      <w:bookmarkStart w:id="13" w:name="_Toc32647"/>
      <w:r>
        <w:rPr>
          <w:rFonts w:hint="eastAsia" w:ascii="黑体" w:eastAsia="黑体"/>
        </w:rPr>
        <w:t>七、“三公”经费财政拨款预算安排情况说明</w:t>
      </w:r>
      <w:bookmarkEnd w:id="13"/>
    </w:p>
    <w:p>
      <w:pPr>
        <w:spacing w:line="600" w:lineRule="exact"/>
        <w:ind w:firstLine="640" w:firstLineChars="200"/>
        <w:rPr>
          <w:rFonts w:ascii="仿宋_GB2312"/>
        </w:rPr>
      </w:pPr>
      <w:r>
        <w:rPr>
          <w:rFonts w:hint="eastAsia"/>
        </w:rPr>
        <w:t>攀枝花市人才服务中心</w:t>
      </w:r>
      <w:r>
        <w:rPr>
          <w:rFonts w:hint="eastAsia" w:ascii="仿宋_GB2312"/>
        </w:rPr>
        <w:t>202</w:t>
      </w:r>
      <w:r>
        <w:rPr>
          <w:rFonts w:hint="eastAsia" w:ascii="仿宋_GB2312"/>
          <w:lang w:val="en-US" w:eastAsia="zh-CN"/>
        </w:rPr>
        <w:t>1</w:t>
      </w:r>
      <w:r>
        <w:rPr>
          <w:rFonts w:hint="eastAsia" w:ascii="仿宋_GB2312"/>
        </w:rPr>
        <w:t>年“三公”经费财政拨款预算数</w:t>
      </w:r>
      <w:r>
        <w:rPr>
          <w:rFonts w:hint="eastAsia"/>
        </w:rPr>
        <w:t>0.</w:t>
      </w:r>
      <w:r>
        <w:rPr>
          <w:rFonts w:hint="eastAsia"/>
          <w:lang w:val="en-US" w:eastAsia="zh-CN"/>
        </w:rPr>
        <w:t>45</w:t>
      </w:r>
      <w:r>
        <w:rPr>
          <w:rFonts w:hint="eastAsia" w:ascii="仿宋_GB2312"/>
        </w:rPr>
        <w:t>万元，其中：因公出国（境）经费</w:t>
      </w:r>
      <w:r>
        <w:rPr>
          <w:rFonts w:hint="eastAsia"/>
        </w:rPr>
        <w:t>0</w:t>
      </w:r>
      <w:r>
        <w:rPr>
          <w:rFonts w:hint="eastAsia" w:ascii="仿宋_GB2312"/>
        </w:rPr>
        <w:t>万元，公务接待费</w:t>
      </w:r>
      <w:r>
        <w:rPr>
          <w:rFonts w:hint="eastAsia"/>
        </w:rPr>
        <w:t>0.</w:t>
      </w:r>
      <w:r>
        <w:rPr>
          <w:rFonts w:hint="eastAsia"/>
          <w:lang w:val="en-US" w:eastAsia="zh-CN"/>
        </w:rPr>
        <w:t>45</w:t>
      </w:r>
      <w:r>
        <w:rPr>
          <w:rFonts w:hint="eastAsia" w:ascii="仿宋_GB2312"/>
        </w:rPr>
        <w:t>万元，公务用车购置及运行维护费</w:t>
      </w:r>
      <w:r>
        <w:rPr>
          <w:rFonts w:hint="eastAsia"/>
        </w:rPr>
        <w:t>0</w:t>
      </w:r>
      <w:r>
        <w:rPr>
          <w:rFonts w:hint="eastAsia" w:ascii="仿宋_GB2312"/>
        </w:rPr>
        <w:t>万元。</w:t>
      </w:r>
    </w:p>
    <w:p>
      <w:pPr>
        <w:spacing w:line="600" w:lineRule="exact"/>
        <w:ind w:firstLine="643" w:firstLineChars="200"/>
        <w:rPr>
          <w:rFonts w:hint="eastAsia" w:ascii="仿宋_GB2312"/>
        </w:rPr>
      </w:pPr>
      <w:r>
        <w:rPr>
          <w:rFonts w:hint="eastAsia" w:ascii="楷体_GB2312" w:eastAsia="楷体_GB2312"/>
          <w:b/>
        </w:rPr>
        <w:t>（一）因公出国（境）经费与202</w:t>
      </w:r>
      <w:r>
        <w:rPr>
          <w:rFonts w:hint="eastAsia" w:ascii="楷体_GB2312" w:eastAsia="楷体_GB2312"/>
          <w:b/>
          <w:lang w:val="en-US" w:eastAsia="zh-CN"/>
        </w:rPr>
        <w:t>0</w:t>
      </w:r>
      <w:r>
        <w:rPr>
          <w:rFonts w:hint="eastAsia" w:ascii="楷体_GB2312" w:eastAsia="楷体_GB2312"/>
          <w:b/>
        </w:rPr>
        <w:t>年预算持平</w:t>
      </w:r>
      <w:r>
        <w:rPr>
          <w:rFonts w:hint="eastAsia" w:ascii="楷体_GB2312" w:eastAsia="楷体_GB2312"/>
          <w:b/>
          <w:lang w:eastAsia="zh-CN"/>
        </w:rPr>
        <w:t>。</w:t>
      </w:r>
      <w:r>
        <w:rPr>
          <w:rFonts w:hint="eastAsia" w:ascii="仿宋_GB2312"/>
        </w:rPr>
        <w:t>主要原因是202</w:t>
      </w:r>
      <w:r>
        <w:rPr>
          <w:rFonts w:hint="eastAsia" w:ascii="仿宋_GB2312"/>
          <w:lang w:val="en-US" w:eastAsia="zh-CN"/>
        </w:rPr>
        <w:t>1</w:t>
      </w:r>
      <w:r>
        <w:rPr>
          <w:rFonts w:hint="eastAsia" w:ascii="仿宋_GB2312"/>
        </w:rPr>
        <w:t>没有安排因公出国（境）经费。</w:t>
      </w:r>
    </w:p>
    <w:p>
      <w:pPr>
        <w:spacing w:line="600" w:lineRule="exact"/>
        <w:ind w:firstLine="640"/>
        <w:rPr>
          <w:rFonts w:ascii="黑体" w:eastAsia="黑体"/>
          <w:b/>
        </w:rPr>
      </w:pPr>
      <w:r>
        <w:rPr>
          <w:rFonts w:hint="eastAsia" w:ascii="楷体_GB2312" w:eastAsia="楷体_GB2312"/>
          <w:b/>
        </w:rPr>
        <w:t>（二）公务接待费较20</w:t>
      </w:r>
      <w:r>
        <w:rPr>
          <w:rFonts w:hint="eastAsia" w:ascii="楷体_GB2312" w:eastAsia="楷体_GB2312"/>
          <w:b/>
          <w:lang w:val="en-US" w:eastAsia="zh-CN"/>
        </w:rPr>
        <w:t>20</w:t>
      </w:r>
      <w:r>
        <w:rPr>
          <w:rFonts w:hint="eastAsia" w:ascii="楷体_GB2312" w:eastAsia="楷体_GB2312"/>
          <w:b/>
        </w:rPr>
        <w:t>年预算</w:t>
      </w:r>
      <w:r>
        <w:rPr>
          <w:rFonts w:hint="eastAsia" w:ascii="楷体_GB2312" w:eastAsia="楷体_GB2312"/>
          <w:b/>
          <w:u w:val="none"/>
        </w:rPr>
        <w:t>下降</w:t>
      </w:r>
      <w:r>
        <w:rPr>
          <w:rFonts w:hint="eastAsia" w:eastAsia="楷体_GB2312"/>
          <w:b/>
          <w:lang w:val="en-US" w:eastAsia="zh-CN"/>
        </w:rPr>
        <w:t>5</w:t>
      </w:r>
      <w:r>
        <w:rPr>
          <w:rFonts w:ascii="楷体_GB2312" w:eastAsia="楷体_GB2312"/>
          <w:b/>
        </w:rPr>
        <w:t>%</w:t>
      </w:r>
      <w:r>
        <w:rPr>
          <w:rFonts w:hint="eastAsia" w:ascii="楷体_GB2312" w:eastAsia="楷体_GB2312"/>
          <w:b/>
        </w:rPr>
        <w:t>。</w:t>
      </w:r>
      <w:r>
        <w:rPr>
          <w:rFonts w:hint="eastAsia" w:ascii="仿宋_GB2312"/>
        </w:rPr>
        <w:t>主要原因是公务接待数量少。</w:t>
      </w:r>
    </w:p>
    <w:p>
      <w:pPr>
        <w:spacing w:line="600" w:lineRule="exact"/>
        <w:ind w:firstLine="640"/>
        <w:rPr>
          <w:rFonts w:ascii="仿宋_GB2312"/>
        </w:rPr>
      </w:pPr>
      <w:r>
        <w:rPr>
          <w:rFonts w:hint="eastAsia" w:ascii="仿宋_GB2312"/>
        </w:rPr>
        <w:t>202</w:t>
      </w:r>
      <w:r>
        <w:rPr>
          <w:rFonts w:hint="eastAsia" w:ascii="仿宋_GB2312"/>
          <w:lang w:val="en-US" w:eastAsia="zh-CN"/>
        </w:rPr>
        <w:t>1</w:t>
      </w:r>
      <w:r>
        <w:rPr>
          <w:rFonts w:hint="eastAsia" w:ascii="仿宋_GB2312"/>
        </w:rPr>
        <w:t>年公务接待费计划用于接待外地到攀调研学习交流的人员。</w:t>
      </w:r>
    </w:p>
    <w:p>
      <w:pPr>
        <w:numPr>
          <w:ilvl w:val="0"/>
          <w:numId w:val="0"/>
        </w:numPr>
        <w:spacing w:line="600" w:lineRule="exact"/>
        <w:ind w:leftChars="200"/>
        <w:rPr>
          <w:rFonts w:hint="eastAsia" w:ascii="楷体_GB2312" w:eastAsia="楷体_GB2312"/>
          <w:b/>
          <w:lang w:eastAsia="zh-CN"/>
        </w:rPr>
      </w:pPr>
      <w:r>
        <w:rPr>
          <w:rFonts w:hint="eastAsia" w:ascii="楷体_GB2312" w:eastAsia="楷体_GB2312"/>
          <w:b/>
          <w:lang w:eastAsia="zh-CN"/>
        </w:rPr>
        <w:t>（</w:t>
      </w:r>
      <w:r>
        <w:rPr>
          <w:rFonts w:hint="eastAsia" w:ascii="楷体_GB2312" w:eastAsia="楷体_GB2312"/>
          <w:b/>
          <w:lang w:val="en-US" w:eastAsia="zh-CN"/>
        </w:rPr>
        <w:t>三</w:t>
      </w:r>
      <w:r>
        <w:rPr>
          <w:rFonts w:hint="eastAsia" w:ascii="楷体_GB2312" w:eastAsia="楷体_GB2312"/>
          <w:b/>
          <w:lang w:eastAsia="zh-CN"/>
        </w:rPr>
        <w:t>）</w:t>
      </w:r>
      <w:r>
        <w:rPr>
          <w:rFonts w:hint="eastAsia" w:ascii="楷体_GB2312" w:eastAsia="楷体_GB2312"/>
          <w:b/>
        </w:rPr>
        <w:t>公务用车购置及运行维护费与202</w:t>
      </w:r>
      <w:r>
        <w:rPr>
          <w:rFonts w:hint="eastAsia" w:ascii="楷体_GB2312" w:eastAsia="楷体_GB2312"/>
          <w:b/>
          <w:lang w:val="en-US" w:eastAsia="zh-CN"/>
        </w:rPr>
        <w:t>0</w:t>
      </w:r>
      <w:r>
        <w:rPr>
          <w:rFonts w:hint="eastAsia" w:ascii="楷体_GB2312" w:eastAsia="楷体_GB2312"/>
          <w:b/>
        </w:rPr>
        <w:t>年预算持平</w:t>
      </w:r>
      <w:r>
        <w:rPr>
          <w:rFonts w:hint="eastAsia" w:ascii="楷体_GB2312" w:eastAsia="楷体_GB2312"/>
          <w:b/>
          <w:lang w:eastAsia="zh-CN"/>
        </w:rPr>
        <w:t>。</w:t>
      </w:r>
    </w:p>
    <w:p>
      <w:pPr>
        <w:numPr>
          <w:ilvl w:val="0"/>
          <w:numId w:val="0"/>
        </w:numPr>
        <w:spacing w:line="600" w:lineRule="exact"/>
        <w:rPr>
          <w:rFonts w:hint="eastAsia" w:ascii="仿宋_GB2312"/>
        </w:rPr>
      </w:pPr>
      <w:r>
        <w:rPr>
          <w:rFonts w:hint="eastAsia" w:ascii="仿宋_GB2312"/>
        </w:rPr>
        <w:t>主要原因是202</w:t>
      </w:r>
      <w:r>
        <w:rPr>
          <w:rFonts w:hint="eastAsia" w:ascii="仿宋_GB2312"/>
          <w:lang w:val="en-US" w:eastAsia="zh-CN"/>
        </w:rPr>
        <w:t>1</w:t>
      </w:r>
      <w:r>
        <w:rPr>
          <w:rFonts w:hint="eastAsia" w:ascii="仿宋_GB2312"/>
        </w:rPr>
        <w:t>年没有安排公务用车购置及运行维护费。</w:t>
      </w:r>
    </w:p>
    <w:p>
      <w:pPr>
        <w:spacing w:line="600" w:lineRule="exact"/>
        <w:ind w:firstLine="640"/>
        <w:rPr>
          <w:rFonts w:ascii="仿宋_GB2312"/>
        </w:rPr>
      </w:pPr>
      <w:r>
        <w:rPr>
          <w:rFonts w:hint="eastAsia" w:ascii="仿宋_GB2312"/>
        </w:rPr>
        <w:t>单位现有公务用车</w:t>
      </w:r>
      <w:r>
        <w:rPr>
          <w:rFonts w:hint="eastAsia"/>
        </w:rPr>
        <w:t>0</w:t>
      </w:r>
      <w:r>
        <w:rPr>
          <w:rFonts w:hint="eastAsia" w:ascii="仿宋_GB2312"/>
        </w:rPr>
        <w:t>辆。</w:t>
      </w:r>
    </w:p>
    <w:p>
      <w:pPr>
        <w:spacing w:line="600" w:lineRule="exact"/>
        <w:ind w:firstLine="640"/>
        <w:rPr>
          <w:rFonts w:ascii="仿宋_GB2312"/>
        </w:rPr>
      </w:pPr>
      <w:r>
        <w:rPr>
          <w:rFonts w:hint="eastAsia" w:ascii="仿宋_GB2312"/>
        </w:rPr>
        <w:t>202</w:t>
      </w:r>
      <w:r>
        <w:rPr>
          <w:rFonts w:hint="eastAsia" w:ascii="仿宋_GB2312"/>
          <w:lang w:val="en-US" w:eastAsia="zh-CN"/>
        </w:rPr>
        <w:t>1</w:t>
      </w:r>
      <w:r>
        <w:rPr>
          <w:rFonts w:hint="eastAsia" w:ascii="仿宋_GB2312"/>
        </w:rPr>
        <w:t>年安排公务用车购置费</w:t>
      </w:r>
      <w:r>
        <w:rPr>
          <w:rFonts w:hint="eastAsia"/>
        </w:rPr>
        <w:t>0</w:t>
      </w:r>
      <w:r>
        <w:rPr>
          <w:rFonts w:hint="eastAsia" w:ascii="仿宋_GB2312"/>
        </w:rPr>
        <w:t>万元。</w:t>
      </w:r>
    </w:p>
    <w:p>
      <w:pPr>
        <w:spacing w:line="600" w:lineRule="exact"/>
        <w:ind w:firstLine="640"/>
        <w:rPr>
          <w:rFonts w:ascii="仿宋_GB2312"/>
        </w:rPr>
      </w:pPr>
      <w:r>
        <w:rPr>
          <w:rFonts w:hint="eastAsia" w:ascii="仿宋_GB2312"/>
        </w:rPr>
        <w:t>202</w:t>
      </w:r>
      <w:r>
        <w:rPr>
          <w:rFonts w:hint="eastAsia" w:ascii="仿宋_GB2312"/>
          <w:lang w:val="en-US" w:eastAsia="zh-CN"/>
        </w:rPr>
        <w:t>1</w:t>
      </w:r>
      <w:r>
        <w:rPr>
          <w:rFonts w:hint="eastAsia" w:ascii="仿宋_GB2312"/>
        </w:rPr>
        <w:t>年安排公务用车运行维护费</w:t>
      </w:r>
      <w:r>
        <w:rPr>
          <w:rFonts w:hint="eastAsia"/>
        </w:rPr>
        <w:t>0</w:t>
      </w:r>
      <w:r>
        <w:rPr>
          <w:rFonts w:hint="eastAsia" w:ascii="仿宋_GB2312"/>
        </w:rPr>
        <w:t>万元。</w:t>
      </w:r>
    </w:p>
    <w:p>
      <w:pPr>
        <w:spacing w:line="600" w:lineRule="exact"/>
        <w:ind w:firstLine="640" w:firstLineChars="200"/>
        <w:outlineLvl w:val="0"/>
        <w:rPr>
          <w:rFonts w:ascii="黑体" w:eastAsia="黑体"/>
        </w:rPr>
      </w:pPr>
      <w:bookmarkStart w:id="14" w:name="_Toc20032"/>
      <w:r>
        <w:rPr>
          <w:rFonts w:hint="eastAsia" w:ascii="黑体" w:eastAsia="黑体"/>
        </w:rPr>
        <w:t>八、政府性基金预算支出情况说明</w:t>
      </w:r>
      <w:bookmarkEnd w:id="14"/>
    </w:p>
    <w:p>
      <w:pPr>
        <w:spacing w:line="600" w:lineRule="exact"/>
        <w:ind w:firstLine="640" w:firstLineChars="200"/>
        <w:rPr>
          <w:rFonts w:ascii="仿宋_GB2312"/>
        </w:rPr>
      </w:pPr>
      <w:r>
        <w:rPr>
          <w:rFonts w:hint="eastAsia"/>
        </w:rPr>
        <w:t>攀枝花市人才服务中心</w:t>
      </w:r>
      <w:r>
        <w:rPr>
          <w:rFonts w:hint="eastAsia" w:ascii="仿宋_GB2312"/>
        </w:rPr>
        <w:t>202</w:t>
      </w:r>
      <w:r>
        <w:rPr>
          <w:rFonts w:hint="eastAsia" w:ascii="仿宋_GB2312"/>
          <w:lang w:val="en-US" w:eastAsia="zh-CN"/>
        </w:rPr>
        <w:t>1</w:t>
      </w:r>
      <w:r>
        <w:rPr>
          <w:rFonts w:hint="eastAsia" w:ascii="仿宋_GB2312"/>
        </w:rPr>
        <w:t>年没有使用政府性基金预算拨款安排的支出。</w:t>
      </w:r>
    </w:p>
    <w:p>
      <w:pPr>
        <w:spacing w:line="600" w:lineRule="exact"/>
        <w:ind w:firstLine="640" w:firstLineChars="200"/>
        <w:outlineLvl w:val="0"/>
        <w:rPr>
          <w:rFonts w:ascii="黑体" w:eastAsia="黑体"/>
        </w:rPr>
      </w:pPr>
      <w:bookmarkStart w:id="15" w:name="_Toc28938"/>
      <w:r>
        <w:rPr>
          <w:rFonts w:hint="eastAsia" w:ascii="黑体" w:eastAsia="黑体"/>
        </w:rPr>
        <w:t>九、其他重要事项的情况说明</w:t>
      </w:r>
      <w:bookmarkEnd w:id="15"/>
    </w:p>
    <w:p>
      <w:pPr>
        <w:spacing w:line="600" w:lineRule="exact"/>
        <w:ind w:firstLine="643" w:firstLineChars="200"/>
        <w:outlineLvl w:val="1"/>
        <w:rPr>
          <w:rFonts w:hint="eastAsia" w:ascii="楷体_GB2312" w:eastAsia="楷体_GB2312"/>
          <w:b/>
          <w:lang w:eastAsia="zh-CN"/>
        </w:rPr>
      </w:pPr>
      <w:bookmarkStart w:id="16" w:name="_Toc14588"/>
      <w:r>
        <w:rPr>
          <w:rFonts w:hint="eastAsia" w:ascii="楷体_GB2312" w:eastAsia="楷体_GB2312"/>
          <w:b/>
        </w:rPr>
        <w:t>（一）</w:t>
      </w:r>
      <w:r>
        <w:rPr>
          <w:rFonts w:hint="eastAsia" w:ascii="楷体_GB2312" w:eastAsia="楷体_GB2312"/>
          <w:b/>
          <w:lang w:eastAsia="zh-CN"/>
        </w:rPr>
        <w:t>机关</w:t>
      </w:r>
      <w:r>
        <w:rPr>
          <w:rFonts w:hint="eastAsia" w:ascii="楷体_GB2312" w:eastAsia="楷体_GB2312"/>
          <w:b/>
        </w:rPr>
        <w:t>运行经费</w:t>
      </w:r>
      <w:r>
        <w:rPr>
          <w:rFonts w:hint="eastAsia" w:ascii="楷体_GB2312" w:eastAsia="楷体_GB2312"/>
          <w:b/>
          <w:lang w:eastAsia="zh-CN"/>
        </w:rPr>
        <w:t>。</w:t>
      </w:r>
      <w:bookmarkEnd w:id="16"/>
    </w:p>
    <w:p>
      <w:pPr>
        <w:spacing w:line="600" w:lineRule="exact"/>
        <w:ind w:firstLine="640" w:firstLineChars="200"/>
        <w:rPr>
          <w:rFonts w:ascii="楷体_GB2312" w:eastAsia="楷体_GB2312"/>
          <w:b/>
        </w:rPr>
      </w:pPr>
      <w:r>
        <w:rPr>
          <w:rFonts w:hint="eastAsia"/>
        </w:rPr>
        <w:t>攀枝花市人才服务中心</w:t>
      </w:r>
      <w:r>
        <w:rPr>
          <w:rFonts w:hint="eastAsia"/>
          <w:lang w:eastAsia="zh-CN"/>
        </w:rPr>
        <w:t>为</w:t>
      </w:r>
      <w:r>
        <w:rPr>
          <w:rFonts w:hint="eastAsia" w:ascii="仿宋_GB2312"/>
        </w:rPr>
        <w:t>事业</w:t>
      </w:r>
      <w:r>
        <w:rPr>
          <w:rFonts w:hint="eastAsia" w:ascii="仿宋_GB2312"/>
          <w:lang w:eastAsia="zh-CN"/>
        </w:rPr>
        <w:t>单位，按规定未使用机关运行的相关科目。</w:t>
      </w:r>
    </w:p>
    <w:p>
      <w:pPr>
        <w:spacing w:line="600" w:lineRule="exact"/>
        <w:ind w:firstLine="643" w:firstLineChars="200"/>
        <w:outlineLvl w:val="1"/>
        <w:rPr>
          <w:rFonts w:hint="eastAsia" w:ascii="楷体_GB2312" w:eastAsia="楷体_GB2312"/>
          <w:b/>
          <w:lang w:eastAsia="zh-CN"/>
        </w:rPr>
      </w:pPr>
      <w:bookmarkStart w:id="17" w:name="_Toc30887"/>
      <w:r>
        <w:rPr>
          <w:rFonts w:hint="eastAsia" w:ascii="楷体_GB2312" w:eastAsia="楷体_GB2312"/>
          <w:b/>
        </w:rPr>
        <w:t>（二）国有资产占有使用情况</w:t>
      </w:r>
      <w:r>
        <w:rPr>
          <w:rFonts w:hint="eastAsia" w:ascii="楷体_GB2312" w:eastAsia="楷体_GB2312"/>
          <w:b/>
          <w:lang w:eastAsia="zh-CN"/>
        </w:rPr>
        <w:t>。</w:t>
      </w:r>
      <w:bookmarkEnd w:id="17"/>
    </w:p>
    <w:p>
      <w:pPr>
        <w:spacing w:line="600" w:lineRule="exact"/>
        <w:ind w:firstLine="640" w:firstLineChars="200"/>
        <w:rPr>
          <w:rFonts w:ascii="仿宋_GB2312"/>
        </w:rPr>
      </w:pPr>
      <w:r>
        <w:rPr>
          <w:rFonts w:hint="eastAsia" w:ascii="仿宋_GB2312"/>
        </w:rPr>
        <w:t>截至20</w:t>
      </w:r>
      <w:r>
        <w:rPr>
          <w:rFonts w:hint="eastAsia" w:ascii="仿宋_GB2312"/>
          <w:lang w:val="en-US" w:eastAsia="zh-CN"/>
        </w:rPr>
        <w:t>20</w:t>
      </w:r>
      <w:r>
        <w:rPr>
          <w:rFonts w:hint="eastAsia" w:ascii="仿宋_GB2312"/>
        </w:rPr>
        <w:t>年底，</w:t>
      </w:r>
      <w:r>
        <w:rPr>
          <w:rFonts w:hint="eastAsia"/>
        </w:rPr>
        <w:t>攀枝花市人才服务中心</w:t>
      </w:r>
      <w:r>
        <w:rPr>
          <w:rFonts w:hint="eastAsia" w:ascii="仿宋_GB2312"/>
          <w:u w:val="single"/>
        </w:rPr>
        <w:t>及</w:t>
      </w:r>
      <w:r>
        <w:rPr>
          <w:rFonts w:hint="eastAsia" w:ascii="仿宋_GB2312"/>
        </w:rPr>
        <w:t>所属的非独立核算单位共有车辆</w:t>
      </w:r>
      <w:r>
        <w:rPr>
          <w:rFonts w:hint="eastAsia"/>
        </w:rPr>
        <w:t>0</w:t>
      </w:r>
      <w:r>
        <w:rPr>
          <w:rFonts w:hint="eastAsia" w:ascii="仿宋_GB2312"/>
        </w:rPr>
        <w:t>辆，其中，执法执勤用车</w:t>
      </w:r>
      <w:r>
        <w:rPr>
          <w:rFonts w:hint="eastAsia"/>
        </w:rPr>
        <w:t>0</w:t>
      </w:r>
      <w:r>
        <w:rPr>
          <w:rFonts w:hint="eastAsia" w:ascii="仿宋_GB2312"/>
        </w:rPr>
        <w:t>辆。单位价值200万元以上大型设备</w:t>
      </w:r>
      <w:r>
        <w:rPr>
          <w:rFonts w:hint="eastAsia"/>
        </w:rPr>
        <w:t>0</w:t>
      </w:r>
      <w:r>
        <w:rPr>
          <w:rFonts w:hint="eastAsia" w:ascii="仿宋_GB2312"/>
        </w:rPr>
        <w:t>台。</w:t>
      </w:r>
    </w:p>
    <w:p>
      <w:pPr>
        <w:spacing w:line="600" w:lineRule="exact"/>
        <w:ind w:firstLine="643" w:firstLineChars="200"/>
        <w:outlineLvl w:val="1"/>
        <w:rPr>
          <w:rFonts w:hint="eastAsia" w:ascii="楷体_GB2312" w:eastAsia="楷体_GB2312"/>
          <w:b/>
          <w:lang w:eastAsia="zh-CN"/>
        </w:rPr>
      </w:pPr>
      <w:bookmarkStart w:id="18" w:name="_Toc14800"/>
      <w:r>
        <w:rPr>
          <w:rFonts w:hint="eastAsia" w:ascii="楷体_GB2312" w:eastAsia="楷体_GB2312"/>
          <w:b/>
        </w:rPr>
        <w:t>（三）绩效目标设置情况</w:t>
      </w:r>
      <w:r>
        <w:rPr>
          <w:rFonts w:hint="eastAsia" w:ascii="楷体_GB2312" w:eastAsia="楷体_GB2312"/>
          <w:b/>
          <w:lang w:eastAsia="zh-CN"/>
        </w:rPr>
        <w:t>。</w:t>
      </w:r>
      <w:bookmarkEnd w:id="18"/>
    </w:p>
    <w:p>
      <w:pPr>
        <w:spacing w:line="600" w:lineRule="exact"/>
        <w:ind w:firstLine="640" w:firstLineChars="200"/>
        <w:rPr>
          <w:rFonts w:hint="eastAsia" w:ascii="楷体_GB2312" w:eastAsia="楷体_GB2312"/>
          <w:b/>
          <w:lang w:val="en-US" w:eastAsia="zh-CN"/>
        </w:rPr>
      </w:pPr>
      <w:r>
        <w:rPr>
          <w:rFonts w:hint="eastAsia" w:ascii="仿宋_GB2312"/>
        </w:rPr>
        <w:t>202</w:t>
      </w:r>
      <w:r>
        <w:rPr>
          <w:rFonts w:hint="eastAsia" w:ascii="仿宋_GB2312"/>
          <w:lang w:val="en-US" w:eastAsia="zh-CN"/>
        </w:rPr>
        <w:t>1</w:t>
      </w:r>
      <w:r>
        <w:rPr>
          <w:rFonts w:hint="eastAsia" w:ascii="仿宋_GB2312"/>
        </w:rPr>
        <w:t>年</w:t>
      </w:r>
      <w:r>
        <w:rPr>
          <w:rFonts w:hint="eastAsia"/>
        </w:rPr>
        <w:t>攀枝花市人才服务中心</w:t>
      </w:r>
      <w:r>
        <w:rPr>
          <w:rFonts w:hint="eastAsia" w:ascii="仿宋_GB2312"/>
        </w:rPr>
        <w:t>部门通用项目和专用项目均按要求实行绩效目标管理，涉及一般公共预算当年拨款</w:t>
      </w:r>
      <w:r>
        <w:rPr>
          <w:rFonts w:hint="eastAsia"/>
          <w:lang w:val="en-US" w:eastAsia="zh-CN"/>
        </w:rPr>
        <w:t>35</w:t>
      </w:r>
      <w:r>
        <w:rPr>
          <w:rFonts w:hint="eastAsia" w:ascii="仿宋_GB2312"/>
        </w:rPr>
        <w:t>万元。</w:t>
      </w:r>
    </w:p>
    <w:p>
      <w:pPr>
        <w:spacing w:line="600" w:lineRule="exact"/>
        <w:ind w:firstLine="640" w:firstLineChars="200"/>
        <w:outlineLvl w:val="0"/>
        <w:rPr>
          <w:rFonts w:ascii="仿宋_GB2312"/>
          <w:u w:val="single"/>
        </w:rPr>
      </w:pPr>
      <w:bookmarkStart w:id="19" w:name="_Toc31670"/>
      <w:r>
        <w:rPr>
          <w:rFonts w:hint="eastAsia" w:ascii="黑体" w:eastAsia="黑体"/>
        </w:rPr>
        <w:t>十、名词解释</w:t>
      </w:r>
      <w:bookmarkEnd w:id="19"/>
    </w:p>
    <w:p>
      <w:pPr>
        <w:spacing w:line="600" w:lineRule="exact"/>
        <w:ind w:firstLine="640" w:firstLineChars="200"/>
        <w:rPr>
          <w:rFonts w:ascii="仿宋_GB2312"/>
        </w:rPr>
      </w:pPr>
      <w:r>
        <w:rPr>
          <w:rFonts w:hint="eastAsia" w:ascii="仿宋_GB2312"/>
        </w:rPr>
        <w:t>1.一般公共预算拨款收入：指市级财政当年拨付的资金。</w:t>
      </w:r>
    </w:p>
    <w:p>
      <w:pPr>
        <w:numPr>
          <w:ilvl w:val="0"/>
          <w:numId w:val="0"/>
        </w:numPr>
        <w:spacing w:line="600" w:lineRule="exact"/>
        <w:ind w:firstLine="640" w:firstLineChars="200"/>
        <w:rPr>
          <w:rFonts w:hint="default" w:ascii="Times New Roman" w:hAnsi="Times New Roman" w:cs="Times New Roman"/>
          <w:u w:val="none"/>
          <w:lang w:eastAsia="zh-CN"/>
        </w:rPr>
      </w:pPr>
      <w:r>
        <w:rPr>
          <w:rFonts w:hint="eastAsia" w:ascii="Times New Roman" w:hAnsi="Times New Roman" w:cs="Times New Roman"/>
          <w:lang w:val="en-US" w:eastAsia="zh-CN"/>
        </w:rPr>
        <w:t>2.</w:t>
      </w:r>
      <w:r>
        <w:rPr>
          <w:rFonts w:hint="default" w:ascii="Times New Roman" w:hAnsi="Times New Roman" w:cs="Times New Roman"/>
        </w:rPr>
        <w:t>一般公共服务支出</w:t>
      </w:r>
      <w:r>
        <w:rPr>
          <w:rFonts w:hint="eastAsia" w:ascii="Times New Roman" w:hAnsi="Times New Roman" w:cs="Times New Roman"/>
          <w:lang w:eastAsia="zh-CN"/>
        </w:rPr>
        <w:t>：指反映政府提供一般公共服务的支出。</w:t>
      </w:r>
    </w:p>
    <w:p>
      <w:pPr>
        <w:spacing w:line="600" w:lineRule="exact"/>
        <w:ind w:firstLine="640" w:firstLineChars="200"/>
        <w:rPr>
          <w:rFonts w:hint="default" w:ascii="Times New Roman" w:hAnsi="Times New Roman" w:cs="Times New Roman"/>
          <w:u w:val="none"/>
          <w:lang w:eastAsia="zh-CN"/>
        </w:rPr>
      </w:pPr>
      <w:r>
        <w:rPr>
          <w:rFonts w:hint="eastAsia" w:ascii="Times New Roman" w:hAnsi="Times New Roman" w:cs="Times New Roman"/>
          <w:u w:val="none"/>
          <w:lang w:val="en-US" w:eastAsia="zh-CN"/>
        </w:rPr>
        <w:t>3</w:t>
      </w:r>
      <w:r>
        <w:rPr>
          <w:rFonts w:hint="default" w:ascii="Times New Roman" w:hAnsi="Times New Roman" w:cs="Times New Roman"/>
          <w:u w:val="none"/>
          <w:lang w:val="en-US" w:eastAsia="zh-CN"/>
        </w:rPr>
        <w:t>.</w:t>
      </w:r>
      <w:r>
        <w:rPr>
          <w:rFonts w:hint="default" w:ascii="Times New Roman" w:hAnsi="Times New Roman" w:cs="Times New Roman"/>
          <w:u w:val="none"/>
          <w:lang w:eastAsia="zh-CN"/>
        </w:rPr>
        <w:t>社会保障和就业</w:t>
      </w:r>
      <w:r>
        <w:rPr>
          <w:rFonts w:hint="eastAsia" w:ascii="Times New Roman" w:hAnsi="Times New Roman" w:cs="Times New Roman"/>
          <w:u w:val="none"/>
          <w:lang w:eastAsia="zh-CN"/>
        </w:rPr>
        <w:t>支出</w:t>
      </w:r>
      <w:r>
        <w:rPr>
          <w:rFonts w:hint="default" w:ascii="Times New Roman" w:hAnsi="Times New Roman" w:cs="Times New Roman"/>
          <w:u w:val="none"/>
          <w:lang w:eastAsia="zh-CN"/>
        </w:rPr>
        <w:t>（类）人力资源和社会保障管理事务（款）事业运行（项）:指反映事业单位</w:t>
      </w:r>
      <w:r>
        <w:rPr>
          <w:rFonts w:hint="eastAsia" w:ascii="Times New Roman" w:hAnsi="Times New Roman" w:cs="Times New Roman"/>
          <w:u w:val="none"/>
          <w:lang w:eastAsia="zh-CN"/>
        </w:rPr>
        <w:t>的基本支出，不包括行政单位（包括实行公务员管理的事业单位）后勤服务中心、医务室等附属事业单位。</w:t>
      </w:r>
    </w:p>
    <w:p>
      <w:pPr>
        <w:spacing w:line="600" w:lineRule="exact"/>
        <w:ind w:firstLine="640" w:firstLineChars="200"/>
        <w:rPr>
          <w:rFonts w:hint="default" w:ascii="Times New Roman" w:hAnsi="Times New Roman" w:cs="Times New Roman"/>
          <w:u w:val="none"/>
          <w:lang w:eastAsia="zh-CN"/>
        </w:rPr>
      </w:pPr>
      <w:r>
        <w:rPr>
          <w:rFonts w:hint="eastAsia" w:ascii="Times New Roman" w:hAnsi="Times New Roman" w:cs="Times New Roman"/>
          <w:u w:val="none"/>
          <w:lang w:val="en-US" w:eastAsia="zh-CN"/>
        </w:rPr>
        <w:t>4.</w:t>
      </w:r>
      <w:r>
        <w:rPr>
          <w:rFonts w:hint="default" w:ascii="Times New Roman" w:hAnsi="Times New Roman" w:cs="Times New Roman"/>
          <w:u w:val="none"/>
          <w:lang w:eastAsia="zh-CN"/>
        </w:rPr>
        <w:t>社会保障和就业</w:t>
      </w:r>
      <w:r>
        <w:rPr>
          <w:rFonts w:hint="eastAsia" w:ascii="Times New Roman" w:hAnsi="Times New Roman" w:cs="Times New Roman"/>
          <w:u w:val="none"/>
          <w:lang w:eastAsia="zh-CN"/>
        </w:rPr>
        <w:t>支出</w:t>
      </w:r>
      <w:r>
        <w:rPr>
          <w:rFonts w:hint="default" w:ascii="Times New Roman" w:hAnsi="Times New Roman" w:cs="Times New Roman"/>
          <w:u w:val="none"/>
          <w:lang w:eastAsia="zh-CN"/>
        </w:rPr>
        <w:t>（类）行政事业单位养老支出（款）事业单位离退休（项）:指反映事业单位</w:t>
      </w:r>
      <w:r>
        <w:rPr>
          <w:rFonts w:hint="eastAsia" w:ascii="Times New Roman" w:hAnsi="Times New Roman" w:cs="Times New Roman"/>
          <w:u w:val="none"/>
          <w:lang w:eastAsia="zh-CN"/>
        </w:rPr>
        <w:t>开支的离退休经费。</w:t>
      </w:r>
    </w:p>
    <w:p>
      <w:pPr>
        <w:spacing w:line="600" w:lineRule="exact"/>
        <w:ind w:firstLine="640" w:firstLineChars="200"/>
        <w:rPr>
          <w:rFonts w:hint="default" w:ascii="Times New Roman" w:hAnsi="Times New Roman" w:cs="Times New Roman"/>
          <w:u w:val="none"/>
          <w:lang w:eastAsia="zh-CN"/>
        </w:rPr>
      </w:pPr>
      <w:r>
        <w:rPr>
          <w:rFonts w:hint="eastAsia" w:ascii="Times New Roman" w:hAnsi="Times New Roman" w:cs="Times New Roman"/>
          <w:u w:val="none"/>
          <w:lang w:val="en-US" w:eastAsia="zh-CN"/>
        </w:rPr>
        <w:t>5.</w:t>
      </w:r>
      <w:r>
        <w:rPr>
          <w:rFonts w:hint="default" w:ascii="Times New Roman" w:hAnsi="Times New Roman" w:cs="Times New Roman"/>
          <w:u w:val="none"/>
          <w:lang w:eastAsia="zh-CN"/>
        </w:rPr>
        <w:t>社会保障和就业</w:t>
      </w:r>
      <w:r>
        <w:rPr>
          <w:rFonts w:hint="eastAsia" w:ascii="Times New Roman" w:hAnsi="Times New Roman" w:cs="Times New Roman"/>
          <w:u w:val="none"/>
          <w:lang w:eastAsia="zh-CN"/>
        </w:rPr>
        <w:t>支出</w:t>
      </w:r>
      <w:r>
        <w:rPr>
          <w:rFonts w:hint="default" w:ascii="Times New Roman" w:hAnsi="Times New Roman" w:cs="Times New Roman"/>
          <w:u w:val="none"/>
          <w:lang w:eastAsia="zh-CN"/>
        </w:rPr>
        <w:t>（类）行政事业单位养老支出（款）机关事业单位基本养老保险缴费支出（项）:指反映机关事业单位实施养老保险制度由单位缴纳的基本养老保险费支出。</w:t>
      </w:r>
    </w:p>
    <w:p>
      <w:pPr>
        <w:spacing w:line="600" w:lineRule="exact"/>
        <w:ind w:firstLine="640" w:firstLineChars="200"/>
        <w:rPr>
          <w:rFonts w:hint="default" w:ascii="Times New Roman" w:hAnsi="Times New Roman" w:cs="Times New Roman"/>
          <w:u w:val="none"/>
          <w:lang w:eastAsia="zh-CN"/>
        </w:rPr>
      </w:pPr>
      <w:r>
        <w:rPr>
          <w:rFonts w:hint="eastAsia" w:ascii="Times New Roman" w:hAnsi="Times New Roman" w:cs="Times New Roman"/>
          <w:u w:val="none"/>
          <w:lang w:val="en-US" w:eastAsia="zh-CN"/>
        </w:rPr>
        <w:t>6.</w:t>
      </w:r>
      <w:r>
        <w:rPr>
          <w:rFonts w:hint="default" w:ascii="Times New Roman" w:hAnsi="Times New Roman" w:cs="Times New Roman"/>
          <w:u w:val="none"/>
          <w:lang w:eastAsia="zh-CN"/>
        </w:rPr>
        <w:t>住房保障支出（类）住房改革支出（款）住房公积金（项）：指反映行政事业单位按人力资源和社会保障部、财政部规定的基本工资和津贴补贴以及规定比例为职工缴纳的住房公积金。</w:t>
      </w:r>
    </w:p>
    <w:p>
      <w:pPr>
        <w:spacing w:line="600" w:lineRule="exact"/>
        <w:ind w:firstLine="640" w:firstLineChars="200"/>
        <w:rPr>
          <w:rFonts w:hint="default" w:ascii="Times New Roman" w:hAnsi="Times New Roman" w:cs="Times New Roman"/>
        </w:rPr>
      </w:pPr>
      <w:r>
        <w:rPr>
          <w:rFonts w:hint="eastAsia" w:ascii="Times New Roman" w:hAnsi="Times New Roman" w:cs="Times New Roman"/>
          <w:lang w:val="en-US" w:eastAsia="zh-CN"/>
        </w:rPr>
        <w:t>7</w:t>
      </w:r>
      <w:r>
        <w:rPr>
          <w:rFonts w:hint="default" w:ascii="Times New Roman" w:hAnsi="Times New Roman" w:cs="Times New Roman"/>
          <w:lang w:val="en-US" w:eastAsia="zh-CN"/>
        </w:rPr>
        <w:t>.</w:t>
      </w:r>
      <w:r>
        <w:rPr>
          <w:rFonts w:hint="default" w:ascii="Times New Roman" w:hAnsi="Times New Roman" w:cs="Times New Roman"/>
        </w:rPr>
        <w:t>基本支出：指为保证机构正常运转，完成日常工作任务而发生的人员支出和公用支出。</w:t>
      </w:r>
    </w:p>
    <w:p>
      <w:pPr>
        <w:spacing w:line="600" w:lineRule="exact"/>
        <w:ind w:firstLine="640" w:firstLineChars="200"/>
        <w:rPr>
          <w:rFonts w:hint="default" w:ascii="Times New Roman" w:hAnsi="Times New Roman" w:cs="Times New Roman"/>
        </w:rPr>
      </w:pPr>
      <w:r>
        <w:rPr>
          <w:rFonts w:hint="eastAsia" w:ascii="Times New Roman" w:hAnsi="Times New Roman" w:cs="Times New Roman"/>
          <w:lang w:val="en-US" w:eastAsia="zh-CN"/>
        </w:rPr>
        <w:t>8</w:t>
      </w:r>
      <w:r>
        <w:rPr>
          <w:rFonts w:hint="default" w:ascii="Times New Roman" w:hAnsi="Times New Roman" w:cs="Times New Roman"/>
        </w:rPr>
        <w:t>.项目支出：指在基本支出之外为完成特定</w:t>
      </w:r>
      <w:r>
        <w:rPr>
          <w:rFonts w:hint="default" w:ascii="Times New Roman" w:hAnsi="Times New Roman" w:cs="Times New Roman"/>
          <w:lang w:eastAsia="zh-CN"/>
        </w:rPr>
        <w:t>的工作</w:t>
      </w:r>
      <w:r>
        <w:rPr>
          <w:rFonts w:hint="default" w:ascii="Times New Roman" w:hAnsi="Times New Roman" w:cs="Times New Roman"/>
        </w:rPr>
        <w:t>任务和事业发展目标所发生的支出。</w:t>
      </w:r>
    </w:p>
    <w:p>
      <w:pPr>
        <w:spacing w:line="600" w:lineRule="exact"/>
        <w:ind w:firstLine="640" w:firstLineChars="200"/>
        <w:rPr>
          <w:rFonts w:hint="default" w:ascii="Times New Roman" w:hAnsi="Times New Roman" w:cs="Times New Roman"/>
        </w:rPr>
      </w:pPr>
      <w:r>
        <w:rPr>
          <w:rFonts w:hint="eastAsia" w:ascii="Times New Roman" w:hAnsi="Times New Roman" w:cs="Times New Roman"/>
          <w:lang w:val="en-US" w:eastAsia="zh-CN"/>
        </w:rPr>
        <w:t>9</w:t>
      </w:r>
      <w:r>
        <w:rPr>
          <w:rFonts w:hint="default" w:ascii="Times New Roman" w:hAnsi="Times New Roman" w:cs="Times New Roman"/>
          <w:lang w:val="en-US" w:eastAsia="zh-CN"/>
        </w:rPr>
        <w:t>.</w:t>
      </w:r>
      <w:r>
        <w:rPr>
          <w:rFonts w:hint="default" w:ascii="Times New Roman" w:hAnsi="Times New Roman" w:cs="Times New Roman"/>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hint="eastAsia" w:ascii="仿宋_GB2312"/>
          <w:lang w:val="en-US" w:eastAsia="zh-CN"/>
        </w:rPr>
        <w:t>10</w:t>
      </w:r>
      <w:r>
        <w:rPr>
          <w:rFonts w:hint="eastAsia" w:ascii="仿宋_GB2312"/>
        </w:rPr>
        <w:t>.</w:t>
      </w:r>
      <w:r>
        <w:rPr>
          <w:rFonts w:hint="eastAsia" w:ascii="仿宋_GB2312"/>
          <w:lang w:val="en-US" w:eastAsia="zh-CN"/>
        </w:rPr>
        <w:t>机关</w:t>
      </w:r>
      <w:r>
        <w:rPr>
          <w:rFonts w:hint="eastAsia" w:ascii="仿宋_GB2312"/>
        </w:rPr>
        <w:t>运行</w:t>
      </w:r>
      <w:r>
        <w:rPr>
          <w:rFonts w:hint="eastAsia" w:ascii="仿宋_GB2312"/>
          <w:lang w:val="en-US" w:eastAsia="zh-CN"/>
        </w:rPr>
        <w:t>经</w:t>
      </w:r>
      <w:r>
        <w:rPr>
          <w:rFonts w:hint="eastAsia" w:ascii="仿宋_GB2312"/>
        </w:rPr>
        <w:t>费：为保障行政单位（包含参照公务员法管理的事业单位）运行用于购买货物和服务的各项资金。包括办公及办公费、水费、电费、邮电费、差旅费、会议费等费用开支。</w:t>
      </w:r>
    </w:p>
    <w:p>
      <w:pPr>
        <w:spacing w:line="600" w:lineRule="exact"/>
        <w:rPr>
          <w:rFonts w:ascii="Arial" w:hAnsi="Arial" w:cs="Arial"/>
        </w:rPr>
      </w:pPr>
    </w:p>
    <w:p>
      <w:pPr>
        <w:spacing w:line="600" w:lineRule="exact"/>
        <w:rPr>
          <w:rFonts w:ascii="Arial" w:hAnsi="Arial" w:cs="Arial"/>
        </w:rPr>
      </w:pPr>
    </w:p>
    <w:p>
      <w:pPr>
        <w:spacing w:line="600" w:lineRule="exact"/>
        <w:rPr>
          <w:rFonts w:ascii="仿宋_GB2312"/>
        </w:rPr>
      </w:pPr>
      <w:r>
        <w:rPr>
          <w:rFonts w:hint="eastAsia" w:ascii="仿宋_GB2312"/>
        </w:rPr>
        <w:t>附件：表1.</w:t>
      </w:r>
      <w:r>
        <w:rPr>
          <w:rFonts w:hint="eastAsia" w:ascii="仿宋_GB2312"/>
          <w:lang w:eastAsia="zh-CN"/>
        </w:rPr>
        <w:t>单位</w:t>
      </w:r>
      <w:r>
        <w:rPr>
          <w:rFonts w:hint="eastAsia" w:ascii="仿宋_GB2312"/>
        </w:rPr>
        <w:t>收支总表</w:t>
      </w:r>
    </w:p>
    <w:p>
      <w:pPr>
        <w:spacing w:line="600" w:lineRule="exact"/>
        <w:rPr>
          <w:rFonts w:ascii="仿宋_GB2312"/>
        </w:rPr>
      </w:pPr>
      <w:r>
        <w:rPr>
          <w:rFonts w:hint="eastAsia" w:ascii="仿宋_GB2312"/>
        </w:rPr>
        <w:t xml:space="preserve">      表1-1.</w:t>
      </w:r>
      <w:r>
        <w:rPr>
          <w:rFonts w:hint="eastAsia" w:ascii="仿宋_GB2312"/>
          <w:lang w:eastAsia="zh-CN"/>
        </w:rPr>
        <w:t>单位</w:t>
      </w:r>
      <w:r>
        <w:rPr>
          <w:rFonts w:hint="eastAsia" w:ascii="仿宋_GB2312"/>
        </w:rPr>
        <w:t>收入总表</w:t>
      </w:r>
    </w:p>
    <w:p>
      <w:pPr>
        <w:spacing w:line="600" w:lineRule="exact"/>
        <w:rPr>
          <w:rFonts w:ascii="仿宋_GB2312"/>
        </w:rPr>
      </w:pPr>
      <w:r>
        <w:rPr>
          <w:rFonts w:hint="eastAsia" w:ascii="仿宋_GB2312"/>
        </w:rPr>
        <w:t xml:space="preserve">      表1-2.</w:t>
      </w:r>
      <w:r>
        <w:rPr>
          <w:rFonts w:hint="eastAsia" w:ascii="仿宋_GB2312"/>
          <w:lang w:eastAsia="zh-CN"/>
        </w:rPr>
        <w:t>单位</w:t>
      </w:r>
      <w:r>
        <w:rPr>
          <w:rFonts w:hint="eastAsia" w:ascii="仿宋_GB2312"/>
        </w:rPr>
        <w:t>支出总表</w:t>
      </w:r>
    </w:p>
    <w:p>
      <w:pPr>
        <w:spacing w:line="600" w:lineRule="exact"/>
        <w:ind w:firstLine="960" w:firstLineChars="300"/>
        <w:rPr>
          <w:rFonts w:ascii="仿宋_GB2312"/>
        </w:rPr>
      </w:pPr>
      <w:r>
        <w:rPr>
          <w:rFonts w:hint="eastAsia" w:ascii="仿宋_GB2312"/>
        </w:rPr>
        <w:t>表2.财政拨款收支预算总表</w:t>
      </w:r>
    </w:p>
    <w:p>
      <w:pPr>
        <w:spacing w:line="600" w:lineRule="exact"/>
        <w:ind w:firstLine="960" w:firstLineChars="300"/>
        <w:rPr>
          <w:rFonts w:ascii="仿宋_GB2312"/>
        </w:rPr>
      </w:pPr>
      <w:r>
        <w:rPr>
          <w:rFonts w:hint="eastAsia" w:ascii="仿宋_GB2312"/>
        </w:rPr>
        <w:t>表2-1.财政拨款支出预算表</w:t>
      </w:r>
    </w:p>
    <w:p>
      <w:pPr>
        <w:spacing w:line="600" w:lineRule="exact"/>
        <w:ind w:firstLine="960" w:firstLineChars="300"/>
        <w:rPr>
          <w:rFonts w:ascii="仿宋_GB2312"/>
        </w:rPr>
      </w:pPr>
      <w:r>
        <w:rPr>
          <w:rFonts w:hint="eastAsia" w:ascii="仿宋_GB2312"/>
        </w:rPr>
        <w:t>表3.一般公共预算支出预算表</w:t>
      </w:r>
    </w:p>
    <w:p>
      <w:pPr>
        <w:spacing w:line="600" w:lineRule="exact"/>
        <w:ind w:firstLine="960" w:firstLineChars="300"/>
        <w:rPr>
          <w:rFonts w:ascii="仿宋_GB2312"/>
        </w:rPr>
      </w:pPr>
      <w:r>
        <w:rPr>
          <w:rFonts w:hint="eastAsia" w:ascii="仿宋_GB2312"/>
        </w:rPr>
        <w:t>表3-1.一般公共预算基本支出预算表</w:t>
      </w:r>
    </w:p>
    <w:p>
      <w:pPr>
        <w:spacing w:line="600" w:lineRule="exact"/>
        <w:ind w:firstLine="960" w:firstLineChars="300"/>
        <w:rPr>
          <w:rFonts w:ascii="仿宋_GB2312"/>
        </w:rPr>
      </w:pPr>
      <w:r>
        <w:rPr>
          <w:rFonts w:hint="eastAsia" w:ascii="仿宋_GB2312"/>
        </w:rPr>
        <w:t>表3-2.一般公共预算项目支出预算表</w:t>
      </w:r>
    </w:p>
    <w:p>
      <w:pPr>
        <w:spacing w:line="600" w:lineRule="exact"/>
        <w:ind w:firstLine="960" w:firstLineChars="300"/>
        <w:rPr>
          <w:rFonts w:ascii="仿宋_GB2312"/>
        </w:rPr>
      </w:pPr>
      <w:r>
        <w:rPr>
          <w:rFonts w:hint="eastAsia" w:ascii="仿宋_GB2312"/>
        </w:rPr>
        <w:t>表3-3.一般公共预算“三公”经费支出预算表</w:t>
      </w:r>
    </w:p>
    <w:p>
      <w:pPr>
        <w:spacing w:line="600" w:lineRule="exact"/>
        <w:ind w:firstLine="960" w:firstLineChars="300"/>
        <w:rPr>
          <w:rFonts w:ascii="仿宋_GB2312"/>
        </w:rPr>
      </w:pPr>
      <w:r>
        <w:rPr>
          <w:rFonts w:hint="eastAsia" w:ascii="仿宋_GB2312"/>
        </w:rPr>
        <w:t>表4.政府性基金支出预算表</w:t>
      </w:r>
    </w:p>
    <w:p>
      <w:pPr>
        <w:spacing w:line="600" w:lineRule="exact"/>
        <w:ind w:firstLine="960" w:firstLineChars="300"/>
        <w:rPr>
          <w:rFonts w:ascii="仿宋_GB2312"/>
        </w:rPr>
      </w:pPr>
      <w:r>
        <w:rPr>
          <w:rFonts w:hint="eastAsia" w:ascii="仿宋_GB2312"/>
        </w:rPr>
        <w:t>表4-1.政府性基金预算“三公”经费支出预算表</w:t>
      </w:r>
    </w:p>
    <w:p>
      <w:pPr>
        <w:spacing w:line="600" w:lineRule="exact"/>
        <w:ind w:firstLine="960" w:firstLineChars="300"/>
        <w:rPr>
          <w:rFonts w:ascii="仿宋_GB2312"/>
        </w:rPr>
      </w:pPr>
      <w:r>
        <w:rPr>
          <w:rFonts w:hint="eastAsia" w:ascii="仿宋_GB2312"/>
        </w:rPr>
        <w:t>表5.国有资本经营预算支出预算表</w:t>
      </w:r>
    </w:p>
    <w:p>
      <w:pPr>
        <w:spacing w:line="600" w:lineRule="exact"/>
        <w:ind w:firstLine="960" w:firstLineChars="300"/>
        <w:rPr>
          <w:rFonts w:hint="eastAsia" w:ascii="仿宋_GB2312"/>
        </w:rPr>
      </w:pPr>
      <w:r>
        <w:rPr>
          <w:rFonts w:hint="eastAsia" w:ascii="仿宋_GB2312"/>
        </w:rPr>
        <w:t>表6</w:t>
      </w:r>
      <w:r>
        <w:rPr>
          <w:rFonts w:hint="eastAsia" w:ascii="仿宋_GB2312"/>
          <w:lang w:val="en-US" w:eastAsia="zh-CN"/>
        </w:rPr>
        <w:t>-1至6-3</w:t>
      </w:r>
      <w:r>
        <w:rPr>
          <w:rFonts w:hint="eastAsia" w:ascii="仿宋_GB2312"/>
        </w:rPr>
        <w:t>.（部门）单位预算项目绩效目标表</w:t>
      </w:r>
    </w:p>
    <w:p>
      <w:pPr>
        <w:spacing w:line="600" w:lineRule="exact"/>
        <w:ind w:firstLine="964" w:firstLineChars="300"/>
        <w:rPr>
          <w:rFonts w:hint="eastAsia" w:ascii="仿宋_GB2312"/>
          <w:b/>
          <w:bCs/>
        </w:rPr>
      </w:pPr>
    </w:p>
    <w:p>
      <w:pPr>
        <w:spacing w:line="600" w:lineRule="exact"/>
        <w:ind w:firstLine="960" w:firstLineChars="300"/>
        <w:rPr>
          <w:rFonts w:ascii="仿宋_GB2312"/>
          <w:u w:val="single"/>
        </w:rPr>
      </w:pP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Fonts w:ascii="宋体" w:hAnsi="宋体"/>
        <w:sz w:val="30"/>
        <w:szCs w:val="30"/>
      </w:rPr>
    </w:pPr>
    <w:r>
      <w:rPr>
        <w:rFonts w:ascii="宋体" w:hAnsi="宋体"/>
        <w:sz w:val="30"/>
        <w:szCs w:val="30"/>
      </w:rPr>
      <w:fldChar w:fldCharType="begin"/>
    </w:r>
    <w:r>
      <w:rPr>
        <w:rStyle w:val="10"/>
        <w:rFonts w:ascii="宋体" w:hAnsi="宋体"/>
        <w:sz w:val="30"/>
        <w:szCs w:val="30"/>
      </w:rPr>
      <w:instrText xml:space="preserve">PAGE  </w:instrText>
    </w:r>
    <w:r>
      <w:rPr>
        <w:rFonts w:ascii="宋体" w:hAnsi="宋体"/>
        <w:sz w:val="30"/>
        <w:szCs w:val="30"/>
      </w:rPr>
      <w:fldChar w:fldCharType="separate"/>
    </w:r>
    <w:r>
      <w:rPr>
        <w:rStyle w:val="10"/>
        <w:rFonts w:ascii="宋体" w:hAnsi="宋体"/>
        <w:sz w:val="30"/>
        <w:szCs w:val="30"/>
      </w:rPr>
      <w:t>- 8 -</w:t>
    </w:r>
    <w:r>
      <w:rPr>
        <w:rFonts w:ascii="宋体" w:hAnsi="宋体"/>
        <w:sz w:val="30"/>
        <w:szCs w:val="30"/>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60"/>
  <w:drawingGridVerticalSpacing w:val="435"/>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zZjExODZjZTdlNzI5NzkwMDdlYWFhNGUyYjdkODAifQ=="/>
  </w:docVars>
  <w:rsids>
    <w:rsidRoot w:val="00172A27"/>
    <w:rsid w:val="001414BB"/>
    <w:rsid w:val="00172A27"/>
    <w:rsid w:val="00214365"/>
    <w:rsid w:val="00287CC9"/>
    <w:rsid w:val="00324E1C"/>
    <w:rsid w:val="009B0B7E"/>
    <w:rsid w:val="00A82D9A"/>
    <w:rsid w:val="00BA4AB7"/>
    <w:rsid w:val="00BC34E0"/>
    <w:rsid w:val="00BE1FFB"/>
    <w:rsid w:val="00E32E82"/>
    <w:rsid w:val="00E94545"/>
    <w:rsid w:val="00F10D3B"/>
    <w:rsid w:val="00FE2BB0"/>
    <w:rsid w:val="010B62C8"/>
    <w:rsid w:val="057A6A06"/>
    <w:rsid w:val="05C07B0D"/>
    <w:rsid w:val="07517C16"/>
    <w:rsid w:val="0A36214C"/>
    <w:rsid w:val="1A8F43B3"/>
    <w:rsid w:val="1B0851A5"/>
    <w:rsid w:val="217D0D66"/>
    <w:rsid w:val="25102EC3"/>
    <w:rsid w:val="2A7A4CF5"/>
    <w:rsid w:val="357F58F8"/>
    <w:rsid w:val="3AC04E69"/>
    <w:rsid w:val="3B690F2D"/>
    <w:rsid w:val="3CE76215"/>
    <w:rsid w:val="3DF15AA5"/>
    <w:rsid w:val="405640EB"/>
    <w:rsid w:val="410F7001"/>
    <w:rsid w:val="48D86784"/>
    <w:rsid w:val="4B270992"/>
    <w:rsid w:val="4B31194C"/>
    <w:rsid w:val="4EDD713E"/>
    <w:rsid w:val="56045C84"/>
    <w:rsid w:val="5A826369"/>
    <w:rsid w:val="5C3F6DEB"/>
    <w:rsid w:val="60E75678"/>
    <w:rsid w:val="641510FF"/>
    <w:rsid w:val="66DC4F6D"/>
    <w:rsid w:val="68C21792"/>
    <w:rsid w:val="694B77C8"/>
    <w:rsid w:val="73A008DD"/>
    <w:rsid w:val="740D2C6D"/>
    <w:rsid w:val="76C2663F"/>
    <w:rsid w:val="773E6472"/>
    <w:rsid w:val="7A2E630B"/>
    <w:rsid w:val="7D141727"/>
    <w:rsid w:val="7E62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uiPriority w:val="0"/>
  </w:style>
  <w:style w:type="paragraph" w:styleId="7">
    <w:name w:val="toc 2"/>
    <w:basedOn w:val="1"/>
    <w:next w:val="1"/>
    <w:qFormat/>
    <w:uiPriority w:val="0"/>
    <w:pPr>
      <w:ind w:left="420" w:leftChars="200"/>
    </w:pPr>
  </w:style>
  <w:style w:type="character" w:styleId="10">
    <w:name w:val="page number"/>
    <w:basedOn w:val="9"/>
    <w:qFormat/>
    <w:uiPriority w:val="0"/>
  </w:style>
  <w:style w:type="paragraph" w:customStyle="1" w:styleId="11">
    <w:name w:val="Char Char Char Char Char Char Char Char Char Char Char Char"/>
    <w:basedOn w:val="1"/>
    <w:qFormat/>
    <w:uiPriority w:val="0"/>
    <w:rPr>
      <w:szCs w:val="21"/>
    </w:rPr>
  </w:style>
  <w:style w:type="paragraph" w:customStyle="1" w:styleId="12">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3176</Words>
  <Characters>3445</Characters>
  <Lines>24</Lines>
  <Paragraphs>6</Paragraphs>
  <TotalTime>2</TotalTime>
  <ScaleCrop>false</ScaleCrop>
  <LinksUpToDate>false</LinksUpToDate>
  <CharactersWithSpaces>3563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2020-02-11T05:50:00Z</dcterms:created>
  <dc:creator>赵树子</dc:creator>
  <cp:lastModifiedBy>Administrator</cp:lastModifiedBy>
  <cp:lastPrinted>2017-02-23T08:48:00Z</cp:lastPrinted>
  <dcterms:modified xsi:type="dcterms:W3CDTF">2022-07-20T02:11:19Z</dcterms:modified>
  <dc:title>四川省财政厅2011年部门预算编制说明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7C139AD59F664A4A993FE0F74F6CA44E</vt:lpwstr>
  </property>
</Properties>
</file>