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攀枝花市健康促进和卫生大数据中心</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2021年部门预算编制说明</w:t>
      </w:r>
    </w:p>
    <w:p>
      <w:pPr>
        <w:pStyle w:val="5"/>
        <w:adjustRightInd w:val="0"/>
        <w:spacing w:beforeLines="0" w:line="600" w:lineRule="exact"/>
        <w:rPr>
          <w:rFonts w:ascii="宋体" w:eastAsia="宋体"/>
          <w:b/>
          <w:sz w:val="32"/>
        </w:rPr>
      </w:pPr>
      <w:r>
        <w:rPr>
          <w:rFonts w:hint="eastAsia" w:ascii="宋体" w:eastAsia="宋体"/>
          <w:b/>
          <w:sz w:val="32"/>
        </w:rPr>
        <w:t xml:space="preserve">    </w:t>
      </w:r>
    </w:p>
    <w:sdt>
      <w:sdtPr>
        <w:rPr>
          <w:rFonts w:ascii="宋体" w:hAnsi="宋体" w:eastAsia="宋体"/>
          <w:sz w:val="21"/>
        </w:rPr>
        <w:id w:val="371277474"/>
        <w:docPartObj>
          <w:docPartGallery w:val="Table of Contents"/>
          <w:docPartUnique/>
        </w:docPartObj>
      </w:sdtPr>
      <w:sdtEndPr>
        <w:rPr>
          <w:rFonts w:ascii="宋体" w:hAnsi="宋体" w:eastAsia="宋体"/>
          <w:b/>
          <w:bCs/>
          <w:sz w:val="20"/>
          <w:szCs w:val="20"/>
        </w:rPr>
      </w:sdtEndPr>
      <w:sdtContent>
        <w:p>
          <w:pPr>
            <w:jc w:val="center"/>
          </w:pPr>
          <w:bookmarkStart w:id="0" w:name="_Toc825586263_WPSOffice_Type2"/>
          <w:r>
            <w:rPr>
              <w:rFonts w:ascii="宋体" w:hAnsi="宋体" w:eastAsia="宋体"/>
              <w:sz w:val="21"/>
            </w:rPr>
            <w:t>目录</w:t>
          </w:r>
        </w:p>
        <w:p>
          <w:pPr>
            <w:pStyle w:val="14"/>
            <w:tabs>
              <w:tab w:val="right" w:leader="dot" w:pos="8266"/>
            </w:tabs>
          </w:pPr>
          <w:r>
            <w:fldChar w:fldCharType="begin"/>
          </w:r>
          <w:r>
            <w:instrText xml:space="preserve"> HYPERLINK \l "_Toc1244531792_WPSOffice_Level1" </w:instrText>
          </w:r>
          <w:r>
            <w:fldChar w:fldCharType="separate"/>
          </w:r>
          <w:sdt>
            <w:sdtPr>
              <w:rPr>
                <w:rFonts w:eastAsia="仿宋_GB2312"/>
                <w:b/>
                <w:bCs/>
                <w:kern w:val="2"/>
                <w:sz w:val="32"/>
                <w:szCs w:val="32"/>
              </w:rPr>
              <w:id w:val="181446052"/>
              <w:placeholder>
                <w:docPart w:val="{a91a5ced-bf26-4cc4-8bfb-ea3f02a842e6}"/>
              </w:placeholder>
            </w:sdtPr>
            <w:sdtEndPr>
              <w:rPr>
                <w:rFonts w:eastAsia="仿宋_GB2312"/>
                <w:b/>
                <w:bCs/>
                <w:kern w:val="2"/>
                <w:sz w:val="32"/>
                <w:szCs w:val="32"/>
              </w:rPr>
            </w:sdtEndPr>
            <w:sdtContent>
              <w:r>
                <w:rPr>
                  <w:rFonts w:hint="eastAsia" w:ascii="黑体" w:eastAsia="黑体"/>
                  <w:b/>
                  <w:bCs/>
                </w:rPr>
                <w:t>一、基本职能及主要工作</w:t>
              </w:r>
            </w:sdtContent>
          </w:sdt>
          <w:r>
            <w:rPr>
              <w:b/>
              <w:bCs/>
            </w:rPr>
            <w:tab/>
          </w:r>
          <w:bookmarkStart w:id="1" w:name="_Toc1244531792_WPSOffice_Level1Page"/>
          <w:r>
            <w:rPr>
              <w:b/>
              <w:bCs/>
            </w:rPr>
            <w:t>1</w:t>
          </w:r>
          <w:bookmarkEnd w:id="1"/>
          <w:r>
            <w:rPr>
              <w:b/>
              <w:bCs/>
            </w:rPr>
            <w:fldChar w:fldCharType="end"/>
          </w:r>
        </w:p>
        <w:p>
          <w:pPr>
            <w:pStyle w:val="14"/>
            <w:tabs>
              <w:tab w:val="right" w:leader="dot" w:pos="8266"/>
            </w:tabs>
          </w:pPr>
          <w:r>
            <w:fldChar w:fldCharType="begin"/>
          </w:r>
          <w:r>
            <w:instrText xml:space="preserve"> HYPERLINK \l "_Toc825586263_WPSOffice_Level1" </w:instrText>
          </w:r>
          <w:r>
            <w:fldChar w:fldCharType="separate"/>
          </w:r>
          <w:sdt>
            <w:sdtPr>
              <w:rPr>
                <w:rFonts w:eastAsia="仿宋_GB2312"/>
                <w:b/>
                <w:bCs/>
                <w:kern w:val="2"/>
                <w:sz w:val="32"/>
                <w:szCs w:val="32"/>
              </w:rPr>
              <w:id w:val="-1534181144"/>
              <w:placeholder>
                <w:docPart w:val="{d3ea118e-077e-44fa-a633-771a9230a90e}"/>
              </w:placeholder>
            </w:sdtPr>
            <w:sdtEndPr>
              <w:rPr>
                <w:rFonts w:eastAsia="仿宋_GB2312"/>
                <w:b/>
                <w:bCs/>
                <w:kern w:val="2"/>
                <w:sz w:val="32"/>
                <w:szCs w:val="32"/>
              </w:rPr>
            </w:sdtEndPr>
            <w:sdtContent>
              <w:r>
                <w:rPr>
                  <w:rFonts w:hint="eastAsia" w:ascii="黑体" w:eastAsia="黑体"/>
                  <w:b/>
                  <w:bCs/>
                </w:rPr>
                <w:t>二、单位构成情况</w:t>
              </w:r>
            </w:sdtContent>
          </w:sdt>
          <w:r>
            <w:rPr>
              <w:b/>
              <w:bCs/>
            </w:rPr>
            <w:tab/>
          </w:r>
          <w:bookmarkStart w:id="2" w:name="_Toc825586263_WPSOffice_Level1Page"/>
          <w:r>
            <w:rPr>
              <w:b/>
              <w:bCs/>
            </w:rPr>
            <w:t>2</w:t>
          </w:r>
          <w:bookmarkEnd w:id="2"/>
          <w:r>
            <w:rPr>
              <w:b/>
              <w:bCs/>
            </w:rPr>
            <w:fldChar w:fldCharType="end"/>
          </w:r>
        </w:p>
        <w:p>
          <w:pPr>
            <w:pStyle w:val="14"/>
            <w:tabs>
              <w:tab w:val="right" w:leader="dot" w:pos="8266"/>
            </w:tabs>
          </w:pPr>
          <w:r>
            <w:fldChar w:fldCharType="begin"/>
          </w:r>
          <w:r>
            <w:instrText xml:space="preserve"> HYPERLINK \l "_Toc306315615_WPSOffice_Level1" </w:instrText>
          </w:r>
          <w:r>
            <w:fldChar w:fldCharType="separate"/>
          </w:r>
          <w:sdt>
            <w:sdtPr>
              <w:rPr>
                <w:rFonts w:eastAsia="仿宋_GB2312"/>
                <w:b/>
                <w:bCs/>
                <w:kern w:val="2"/>
                <w:sz w:val="32"/>
                <w:szCs w:val="32"/>
              </w:rPr>
              <w:id w:val="1539012330"/>
              <w:placeholder>
                <w:docPart w:val="{64b409e7-4532-4977-88c5-a533f0b101e2}"/>
              </w:placeholder>
            </w:sdtPr>
            <w:sdtEndPr>
              <w:rPr>
                <w:rFonts w:eastAsia="仿宋_GB2312"/>
                <w:b/>
                <w:bCs/>
                <w:kern w:val="2"/>
                <w:sz w:val="32"/>
                <w:szCs w:val="32"/>
              </w:rPr>
            </w:sdtEndPr>
            <w:sdtContent>
              <w:r>
                <w:rPr>
                  <w:rFonts w:hint="eastAsia" w:ascii="黑体" w:eastAsia="黑体"/>
                  <w:b/>
                  <w:bCs/>
                </w:rPr>
                <w:t>三、收支预算情况说明</w:t>
              </w:r>
            </w:sdtContent>
          </w:sdt>
          <w:r>
            <w:rPr>
              <w:b/>
              <w:bCs/>
            </w:rPr>
            <w:tab/>
          </w:r>
          <w:bookmarkStart w:id="3" w:name="_Toc306315615_WPSOffice_Level1Page"/>
          <w:r>
            <w:rPr>
              <w:b/>
              <w:bCs/>
            </w:rPr>
            <w:t>2</w:t>
          </w:r>
          <w:bookmarkEnd w:id="3"/>
          <w:r>
            <w:rPr>
              <w:b/>
              <w:bCs/>
            </w:rPr>
            <w:fldChar w:fldCharType="end"/>
          </w:r>
        </w:p>
        <w:p>
          <w:pPr>
            <w:pStyle w:val="15"/>
            <w:tabs>
              <w:tab w:val="right" w:leader="dot" w:pos="8266"/>
            </w:tabs>
            <w:ind w:left="640"/>
          </w:pPr>
          <w:r>
            <w:fldChar w:fldCharType="begin"/>
          </w:r>
          <w:r>
            <w:instrText xml:space="preserve"> HYPERLINK \l "_Toc243003177_WPSOffice_Level2" </w:instrText>
          </w:r>
          <w:r>
            <w:fldChar w:fldCharType="separate"/>
          </w:r>
          <w:sdt>
            <w:sdtPr>
              <w:rPr>
                <w:rFonts w:eastAsia="仿宋_GB2312"/>
                <w:kern w:val="2"/>
                <w:sz w:val="32"/>
                <w:szCs w:val="32"/>
              </w:rPr>
              <w:id w:val="1220790147"/>
              <w:placeholder>
                <w:docPart w:val="{b2eb4f50-eb51-44ce-a76a-86cb67635165}"/>
              </w:placeholder>
            </w:sdtPr>
            <w:sdtEndPr>
              <w:rPr>
                <w:rFonts w:eastAsia="仿宋_GB2312"/>
                <w:kern w:val="2"/>
                <w:sz w:val="32"/>
                <w:szCs w:val="32"/>
              </w:rPr>
            </w:sdtEndPr>
            <w:sdtContent>
              <w:r>
                <w:rPr>
                  <w:rFonts w:hint="eastAsia" w:ascii="楷体_GB2312" w:eastAsia="楷体_GB2312"/>
                </w:rPr>
                <w:t>（一）收入预算情况</w:t>
              </w:r>
            </w:sdtContent>
          </w:sdt>
          <w:r>
            <w:tab/>
          </w:r>
          <w:bookmarkStart w:id="4" w:name="_Toc243003177_WPSOffice_Level2Page"/>
          <w:r>
            <w:t>3</w:t>
          </w:r>
          <w:bookmarkEnd w:id="4"/>
          <w:r>
            <w:fldChar w:fldCharType="end"/>
          </w:r>
        </w:p>
        <w:p>
          <w:pPr>
            <w:pStyle w:val="15"/>
            <w:tabs>
              <w:tab w:val="right" w:leader="dot" w:pos="8266"/>
            </w:tabs>
            <w:ind w:left="640"/>
          </w:pPr>
          <w:r>
            <w:fldChar w:fldCharType="begin"/>
          </w:r>
          <w:r>
            <w:instrText xml:space="preserve"> HYPERLINK \l "_Toc428960901_WPSOffice_Level2" </w:instrText>
          </w:r>
          <w:r>
            <w:fldChar w:fldCharType="separate"/>
          </w:r>
          <w:sdt>
            <w:sdtPr>
              <w:rPr>
                <w:rFonts w:eastAsia="仿宋_GB2312"/>
                <w:kern w:val="2"/>
                <w:sz w:val="32"/>
                <w:szCs w:val="32"/>
              </w:rPr>
              <w:id w:val="1149169540"/>
              <w:placeholder>
                <w:docPart w:val="{8f1f37ff-43d2-4e9e-8294-aae49ff8ab4a}"/>
              </w:placeholder>
            </w:sdtPr>
            <w:sdtEndPr>
              <w:rPr>
                <w:rFonts w:eastAsia="仿宋_GB2312"/>
                <w:kern w:val="2"/>
                <w:sz w:val="32"/>
                <w:szCs w:val="32"/>
              </w:rPr>
            </w:sdtEndPr>
            <w:sdtContent>
              <w:r>
                <w:rPr>
                  <w:rFonts w:hint="eastAsia" w:ascii="楷体_GB2312" w:eastAsia="楷体_GB2312"/>
                </w:rPr>
                <w:t>（二）支出预算情况</w:t>
              </w:r>
            </w:sdtContent>
          </w:sdt>
          <w:r>
            <w:tab/>
          </w:r>
          <w:bookmarkStart w:id="5" w:name="_Toc428960901_WPSOffice_Level2Page"/>
          <w:r>
            <w:t>3</w:t>
          </w:r>
          <w:bookmarkEnd w:id="5"/>
          <w:r>
            <w:fldChar w:fldCharType="end"/>
          </w:r>
        </w:p>
        <w:p>
          <w:pPr>
            <w:pStyle w:val="14"/>
            <w:tabs>
              <w:tab w:val="right" w:leader="dot" w:pos="8266"/>
            </w:tabs>
          </w:pPr>
          <w:r>
            <w:fldChar w:fldCharType="begin"/>
          </w:r>
          <w:r>
            <w:instrText xml:space="preserve"> HYPERLINK \l "_Toc243003177_WPSOffice_Level1" </w:instrText>
          </w:r>
          <w:r>
            <w:fldChar w:fldCharType="separate"/>
          </w:r>
          <w:sdt>
            <w:sdtPr>
              <w:rPr>
                <w:rFonts w:eastAsia="仿宋_GB2312"/>
                <w:b/>
                <w:bCs/>
                <w:kern w:val="2"/>
                <w:sz w:val="32"/>
                <w:szCs w:val="32"/>
              </w:rPr>
              <w:id w:val="-89553266"/>
              <w:placeholder>
                <w:docPart w:val="{e51d7ddc-e7b8-4de9-adb7-1d4202e9b03e}"/>
              </w:placeholder>
            </w:sdtPr>
            <w:sdtEndPr>
              <w:rPr>
                <w:rFonts w:eastAsia="仿宋_GB2312"/>
                <w:b/>
                <w:bCs/>
                <w:kern w:val="2"/>
                <w:sz w:val="32"/>
                <w:szCs w:val="32"/>
              </w:rPr>
            </w:sdtEndPr>
            <w:sdtContent>
              <w:r>
                <w:rPr>
                  <w:rFonts w:hint="eastAsia" w:ascii="黑体" w:eastAsia="黑体"/>
                  <w:b/>
                  <w:bCs/>
                </w:rPr>
                <w:t>四、财政拨款收支预算情况说明</w:t>
              </w:r>
            </w:sdtContent>
          </w:sdt>
          <w:r>
            <w:rPr>
              <w:b/>
              <w:bCs/>
            </w:rPr>
            <w:tab/>
          </w:r>
          <w:bookmarkStart w:id="6" w:name="_Toc243003177_WPSOffice_Level1Page"/>
          <w:r>
            <w:rPr>
              <w:b/>
              <w:bCs/>
            </w:rPr>
            <w:t>3</w:t>
          </w:r>
          <w:bookmarkEnd w:id="6"/>
          <w:r>
            <w:rPr>
              <w:b/>
              <w:bCs/>
            </w:rPr>
            <w:fldChar w:fldCharType="end"/>
          </w:r>
        </w:p>
        <w:p>
          <w:pPr>
            <w:pStyle w:val="14"/>
            <w:tabs>
              <w:tab w:val="right" w:leader="dot" w:pos="8266"/>
            </w:tabs>
          </w:pPr>
          <w:r>
            <w:fldChar w:fldCharType="begin"/>
          </w:r>
          <w:r>
            <w:instrText xml:space="preserve"> HYPERLINK \l "_Toc428960901_WPSOffice_Level1" </w:instrText>
          </w:r>
          <w:r>
            <w:fldChar w:fldCharType="separate"/>
          </w:r>
          <w:sdt>
            <w:sdtPr>
              <w:rPr>
                <w:rFonts w:eastAsia="仿宋_GB2312"/>
                <w:b/>
                <w:bCs/>
                <w:kern w:val="2"/>
                <w:sz w:val="32"/>
                <w:szCs w:val="32"/>
              </w:rPr>
              <w:id w:val="1191798727"/>
              <w:placeholder>
                <w:docPart w:val="{81fd4b8c-df9c-4c16-83d9-31fd322a4000}"/>
              </w:placeholder>
            </w:sdtPr>
            <w:sdtEndPr>
              <w:rPr>
                <w:rFonts w:eastAsia="仿宋_GB2312"/>
                <w:b/>
                <w:bCs/>
                <w:kern w:val="2"/>
                <w:sz w:val="32"/>
                <w:szCs w:val="32"/>
              </w:rPr>
            </w:sdtEndPr>
            <w:sdtContent>
              <w:r>
                <w:rPr>
                  <w:rFonts w:hint="eastAsia" w:ascii="黑体" w:eastAsia="黑体"/>
                  <w:b/>
                  <w:bCs/>
                </w:rPr>
                <w:t>五、一般公共预算当年拨款情况说明</w:t>
              </w:r>
            </w:sdtContent>
          </w:sdt>
          <w:r>
            <w:rPr>
              <w:b/>
              <w:bCs/>
            </w:rPr>
            <w:tab/>
          </w:r>
          <w:bookmarkStart w:id="7" w:name="_Toc428960901_WPSOffice_Level1Page"/>
          <w:r>
            <w:rPr>
              <w:b/>
              <w:bCs/>
            </w:rPr>
            <w:t>3</w:t>
          </w:r>
          <w:bookmarkEnd w:id="7"/>
          <w:r>
            <w:rPr>
              <w:b/>
              <w:bCs/>
            </w:rPr>
            <w:fldChar w:fldCharType="end"/>
          </w:r>
        </w:p>
        <w:p>
          <w:pPr>
            <w:pStyle w:val="15"/>
            <w:tabs>
              <w:tab w:val="right" w:leader="dot" w:pos="8266"/>
            </w:tabs>
            <w:ind w:left="640"/>
          </w:pPr>
          <w:r>
            <w:fldChar w:fldCharType="begin"/>
          </w:r>
          <w:r>
            <w:instrText xml:space="preserve"> HYPERLINK \l "_Toc169620121_WPSOffice_Level2" </w:instrText>
          </w:r>
          <w:r>
            <w:fldChar w:fldCharType="separate"/>
          </w:r>
          <w:sdt>
            <w:sdtPr>
              <w:rPr>
                <w:rFonts w:eastAsia="仿宋_GB2312"/>
                <w:kern w:val="2"/>
                <w:sz w:val="32"/>
                <w:szCs w:val="32"/>
              </w:rPr>
              <w:id w:val="-1760902934"/>
              <w:placeholder>
                <w:docPart w:val="{d194e986-f55d-446f-99d5-d96abd6a91e4}"/>
              </w:placeholder>
            </w:sdtPr>
            <w:sdtEndPr>
              <w:rPr>
                <w:rFonts w:eastAsia="仿宋_GB2312"/>
                <w:kern w:val="2"/>
                <w:sz w:val="32"/>
                <w:szCs w:val="32"/>
              </w:rPr>
            </w:sdtEndPr>
            <w:sdtContent>
              <w:r>
                <w:rPr>
                  <w:rFonts w:hint="eastAsia" w:ascii="楷体_GB2312" w:eastAsia="楷体_GB2312"/>
                </w:rPr>
                <w:t>（一）一般公共预算当年拨款规模变化情况</w:t>
              </w:r>
            </w:sdtContent>
          </w:sdt>
          <w:r>
            <w:tab/>
          </w:r>
          <w:bookmarkStart w:id="8" w:name="_Toc169620121_WPSOffice_Level2Page"/>
          <w:r>
            <w:t>3</w:t>
          </w:r>
          <w:bookmarkEnd w:id="8"/>
          <w:r>
            <w:fldChar w:fldCharType="end"/>
          </w:r>
        </w:p>
        <w:p>
          <w:pPr>
            <w:pStyle w:val="15"/>
            <w:tabs>
              <w:tab w:val="right" w:leader="dot" w:pos="8266"/>
            </w:tabs>
            <w:ind w:left="640"/>
          </w:pPr>
          <w:r>
            <w:fldChar w:fldCharType="begin"/>
          </w:r>
          <w:r>
            <w:instrText xml:space="preserve"> HYPERLINK \l "_Toc680200084_WPSOffice_Level2" </w:instrText>
          </w:r>
          <w:r>
            <w:fldChar w:fldCharType="separate"/>
          </w:r>
          <w:sdt>
            <w:sdtPr>
              <w:rPr>
                <w:rFonts w:eastAsia="仿宋_GB2312"/>
                <w:kern w:val="2"/>
                <w:sz w:val="32"/>
                <w:szCs w:val="32"/>
              </w:rPr>
              <w:id w:val="666764186"/>
              <w:placeholder>
                <w:docPart w:val="{53701e2d-7c82-4016-837a-e3456c7a6216}"/>
              </w:placeholder>
            </w:sdtPr>
            <w:sdtEndPr>
              <w:rPr>
                <w:rFonts w:eastAsia="仿宋_GB2312"/>
                <w:kern w:val="2"/>
                <w:sz w:val="32"/>
                <w:szCs w:val="32"/>
              </w:rPr>
            </w:sdtEndPr>
            <w:sdtContent>
              <w:r>
                <w:rPr>
                  <w:rFonts w:hint="eastAsia" w:ascii="楷体_GB2312" w:eastAsia="楷体_GB2312"/>
                </w:rPr>
                <w:t>（二）一般公共预算当年拨款结构情况</w:t>
              </w:r>
            </w:sdtContent>
          </w:sdt>
          <w:r>
            <w:tab/>
          </w:r>
          <w:bookmarkStart w:id="9" w:name="_Toc680200084_WPSOffice_Level2Page"/>
          <w:r>
            <w:t>4</w:t>
          </w:r>
          <w:bookmarkEnd w:id="9"/>
          <w:r>
            <w:fldChar w:fldCharType="end"/>
          </w:r>
        </w:p>
        <w:p>
          <w:pPr>
            <w:pStyle w:val="15"/>
            <w:tabs>
              <w:tab w:val="right" w:leader="dot" w:pos="8266"/>
            </w:tabs>
            <w:ind w:left="640"/>
          </w:pPr>
          <w:r>
            <w:fldChar w:fldCharType="begin"/>
          </w:r>
          <w:r>
            <w:instrText xml:space="preserve"> HYPERLINK \l "_Toc656876819_WPSOffice_Level2" </w:instrText>
          </w:r>
          <w:r>
            <w:fldChar w:fldCharType="separate"/>
          </w:r>
          <w:sdt>
            <w:sdtPr>
              <w:rPr>
                <w:rFonts w:eastAsia="仿宋_GB2312"/>
                <w:kern w:val="2"/>
                <w:sz w:val="32"/>
                <w:szCs w:val="32"/>
              </w:rPr>
              <w:id w:val="1882211496"/>
              <w:placeholder>
                <w:docPart w:val="{8ed8df71-e0e2-4893-af0c-d8afcaf2150d}"/>
              </w:placeholder>
            </w:sdtPr>
            <w:sdtEndPr>
              <w:rPr>
                <w:rFonts w:eastAsia="仿宋_GB2312"/>
                <w:kern w:val="2"/>
                <w:sz w:val="32"/>
                <w:szCs w:val="32"/>
              </w:rPr>
            </w:sdtEndPr>
            <w:sdtContent>
              <w:r>
                <w:rPr>
                  <w:rFonts w:hint="eastAsia" w:ascii="楷体_GB2312" w:eastAsia="楷体_GB2312"/>
                </w:rPr>
                <w:t>（三）一般公共预算当年拨款具体使用情况</w:t>
              </w:r>
            </w:sdtContent>
          </w:sdt>
          <w:r>
            <w:tab/>
          </w:r>
          <w:bookmarkStart w:id="10" w:name="_Toc656876819_WPSOffice_Level2Page"/>
          <w:r>
            <w:t>4</w:t>
          </w:r>
          <w:bookmarkEnd w:id="10"/>
          <w:r>
            <w:fldChar w:fldCharType="end"/>
          </w:r>
        </w:p>
        <w:p>
          <w:pPr>
            <w:pStyle w:val="14"/>
            <w:tabs>
              <w:tab w:val="right" w:leader="dot" w:pos="8266"/>
            </w:tabs>
          </w:pPr>
          <w:r>
            <w:fldChar w:fldCharType="begin"/>
          </w:r>
          <w:r>
            <w:instrText xml:space="preserve"> HYPERLINK \l "_Toc169620121_WPSOffice_Level1" </w:instrText>
          </w:r>
          <w:r>
            <w:fldChar w:fldCharType="separate"/>
          </w:r>
          <w:sdt>
            <w:sdtPr>
              <w:rPr>
                <w:rFonts w:eastAsia="仿宋_GB2312"/>
                <w:b/>
                <w:bCs/>
                <w:kern w:val="2"/>
                <w:sz w:val="32"/>
                <w:szCs w:val="32"/>
              </w:rPr>
              <w:id w:val="863093899"/>
              <w:placeholder>
                <w:docPart w:val="{eea557ad-f2e1-429b-9932-c3f46ba09044}"/>
              </w:placeholder>
            </w:sdtPr>
            <w:sdtEndPr>
              <w:rPr>
                <w:rFonts w:eastAsia="仿宋_GB2312"/>
                <w:b/>
                <w:bCs/>
                <w:kern w:val="2"/>
                <w:sz w:val="32"/>
                <w:szCs w:val="32"/>
              </w:rPr>
            </w:sdtEndPr>
            <w:sdtContent>
              <w:r>
                <w:rPr>
                  <w:rFonts w:hint="eastAsia" w:ascii="黑体" w:eastAsia="黑体"/>
                  <w:b/>
                  <w:bCs/>
                </w:rPr>
                <w:t>六、一般公共预算基本支出情况说明</w:t>
              </w:r>
            </w:sdtContent>
          </w:sdt>
          <w:r>
            <w:rPr>
              <w:b/>
              <w:bCs/>
            </w:rPr>
            <w:tab/>
          </w:r>
          <w:bookmarkStart w:id="11" w:name="_Toc169620121_WPSOffice_Level1Page"/>
          <w:r>
            <w:rPr>
              <w:b/>
              <w:bCs/>
            </w:rPr>
            <w:t>4</w:t>
          </w:r>
          <w:bookmarkEnd w:id="11"/>
          <w:r>
            <w:rPr>
              <w:b/>
              <w:bCs/>
            </w:rPr>
            <w:fldChar w:fldCharType="end"/>
          </w:r>
        </w:p>
        <w:p>
          <w:pPr>
            <w:pStyle w:val="14"/>
            <w:tabs>
              <w:tab w:val="right" w:leader="dot" w:pos="8266"/>
            </w:tabs>
          </w:pPr>
          <w:r>
            <w:fldChar w:fldCharType="begin"/>
          </w:r>
          <w:r>
            <w:instrText xml:space="preserve"> HYPERLINK \l "_Toc680200084_WPSOffice_Level1" </w:instrText>
          </w:r>
          <w:r>
            <w:fldChar w:fldCharType="separate"/>
          </w:r>
          <w:sdt>
            <w:sdtPr>
              <w:rPr>
                <w:rFonts w:eastAsia="仿宋_GB2312"/>
                <w:b/>
                <w:bCs/>
                <w:kern w:val="2"/>
                <w:sz w:val="32"/>
                <w:szCs w:val="32"/>
              </w:rPr>
              <w:id w:val="1751851764"/>
              <w:placeholder>
                <w:docPart w:val="{e1faba4e-f1f9-4a88-aa0c-7773e91c039b}"/>
              </w:placeholder>
            </w:sdtPr>
            <w:sdtEndPr>
              <w:rPr>
                <w:rFonts w:eastAsia="仿宋_GB2312"/>
                <w:b/>
                <w:bCs/>
                <w:kern w:val="2"/>
                <w:sz w:val="32"/>
                <w:szCs w:val="32"/>
              </w:rPr>
            </w:sdtEndPr>
            <w:sdtContent>
              <w:r>
                <w:rPr>
                  <w:rFonts w:hint="eastAsia" w:ascii="黑体" w:eastAsia="黑体"/>
                  <w:b/>
                  <w:bCs/>
                </w:rPr>
                <w:t>七、“三公”经费财政拨款预算安排情况说明</w:t>
              </w:r>
            </w:sdtContent>
          </w:sdt>
          <w:r>
            <w:rPr>
              <w:b/>
              <w:bCs/>
            </w:rPr>
            <w:tab/>
          </w:r>
          <w:bookmarkStart w:id="12" w:name="_Toc680200084_WPSOffice_Level1Page"/>
          <w:r>
            <w:rPr>
              <w:b/>
              <w:bCs/>
            </w:rPr>
            <w:t>5</w:t>
          </w:r>
          <w:bookmarkEnd w:id="12"/>
          <w:r>
            <w:rPr>
              <w:b/>
              <w:bCs/>
            </w:rPr>
            <w:fldChar w:fldCharType="end"/>
          </w:r>
        </w:p>
        <w:p>
          <w:pPr>
            <w:pStyle w:val="14"/>
            <w:tabs>
              <w:tab w:val="right" w:leader="dot" w:pos="8266"/>
            </w:tabs>
          </w:pPr>
          <w:r>
            <w:fldChar w:fldCharType="begin"/>
          </w:r>
          <w:r>
            <w:instrText xml:space="preserve"> HYPERLINK \l "_Toc656876819_WPSOffice_Level1" </w:instrText>
          </w:r>
          <w:r>
            <w:fldChar w:fldCharType="separate"/>
          </w:r>
          <w:sdt>
            <w:sdtPr>
              <w:rPr>
                <w:rFonts w:eastAsia="仿宋_GB2312"/>
                <w:b/>
                <w:bCs/>
                <w:kern w:val="2"/>
                <w:sz w:val="32"/>
                <w:szCs w:val="32"/>
              </w:rPr>
              <w:id w:val="685172022"/>
              <w:placeholder>
                <w:docPart w:val="{fcce553f-f479-4601-9b58-9156639476c8}"/>
              </w:placeholder>
            </w:sdtPr>
            <w:sdtEndPr>
              <w:rPr>
                <w:rFonts w:eastAsia="仿宋_GB2312"/>
                <w:b/>
                <w:bCs/>
                <w:kern w:val="2"/>
                <w:sz w:val="32"/>
                <w:szCs w:val="32"/>
              </w:rPr>
            </w:sdtEndPr>
            <w:sdtContent>
              <w:r>
                <w:rPr>
                  <w:rFonts w:hint="eastAsia" w:ascii="黑体" w:eastAsia="黑体"/>
                  <w:b/>
                  <w:bCs/>
                </w:rPr>
                <w:t>八、政府性基金预算支出情况说明</w:t>
              </w:r>
            </w:sdtContent>
          </w:sdt>
          <w:r>
            <w:rPr>
              <w:b/>
              <w:bCs/>
            </w:rPr>
            <w:tab/>
          </w:r>
          <w:bookmarkStart w:id="13" w:name="_Toc656876819_WPSOffice_Level1Page"/>
          <w:r>
            <w:rPr>
              <w:b/>
              <w:bCs/>
            </w:rPr>
            <w:t>5</w:t>
          </w:r>
          <w:bookmarkEnd w:id="13"/>
          <w:r>
            <w:rPr>
              <w:b/>
              <w:bCs/>
            </w:rPr>
            <w:fldChar w:fldCharType="end"/>
          </w:r>
        </w:p>
        <w:p>
          <w:pPr>
            <w:pStyle w:val="14"/>
            <w:tabs>
              <w:tab w:val="right" w:leader="dot" w:pos="8266"/>
            </w:tabs>
          </w:pPr>
          <w:r>
            <w:fldChar w:fldCharType="begin"/>
          </w:r>
          <w:r>
            <w:instrText xml:space="preserve"> HYPERLINK \l "_Toc1883143563_WPSOffice_Level1" </w:instrText>
          </w:r>
          <w:r>
            <w:fldChar w:fldCharType="separate"/>
          </w:r>
          <w:sdt>
            <w:sdtPr>
              <w:rPr>
                <w:rFonts w:eastAsia="仿宋_GB2312"/>
                <w:b/>
                <w:bCs/>
                <w:kern w:val="2"/>
                <w:sz w:val="32"/>
                <w:szCs w:val="32"/>
              </w:rPr>
              <w:id w:val="-1363273292"/>
              <w:placeholder>
                <w:docPart w:val="{c7e8795d-7b0e-4203-8368-c360a4a43a6c}"/>
              </w:placeholder>
            </w:sdtPr>
            <w:sdtEndPr>
              <w:rPr>
                <w:rFonts w:eastAsia="仿宋_GB2312"/>
                <w:b/>
                <w:bCs/>
                <w:kern w:val="2"/>
                <w:sz w:val="32"/>
                <w:szCs w:val="32"/>
              </w:rPr>
            </w:sdtEndPr>
            <w:sdtContent>
              <w:r>
                <w:rPr>
                  <w:rFonts w:hint="eastAsia" w:ascii="黑体" w:eastAsia="黑体"/>
                  <w:b/>
                  <w:bCs/>
                </w:rPr>
                <w:t>九、其他重要事项的情况说明</w:t>
              </w:r>
            </w:sdtContent>
          </w:sdt>
          <w:r>
            <w:rPr>
              <w:b/>
              <w:bCs/>
            </w:rPr>
            <w:tab/>
          </w:r>
          <w:bookmarkStart w:id="14" w:name="_Toc1883143563_WPSOffice_Level1Page"/>
          <w:r>
            <w:rPr>
              <w:b/>
              <w:bCs/>
            </w:rPr>
            <w:t>5</w:t>
          </w:r>
          <w:bookmarkEnd w:id="14"/>
          <w:r>
            <w:rPr>
              <w:b/>
              <w:bCs/>
            </w:rPr>
            <w:fldChar w:fldCharType="end"/>
          </w:r>
        </w:p>
        <w:p>
          <w:pPr>
            <w:pStyle w:val="15"/>
            <w:tabs>
              <w:tab w:val="right" w:leader="dot" w:pos="8266"/>
            </w:tabs>
            <w:ind w:left="640"/>
          </w:pPr>
          <w:r>
            <w:fldChar w:fldCharType="begin"/>
          </w:r>
          <w:r>
            <w:instrText xml:space="preserve"> HYPERLINK \l "_Toc1883143563_WPSOffice_Level2" </w:instrText>
          </w:r>
          <w:r>
            <w:fldChar w:fldCharType="separate"/>
          </w:r>
          <w:sdt>
            <w:sdtPr>
              <w:rPr>
                <w:rFonts w:eastAsia="仿宋_GB2312"/>
                <w:kern w:val="2"/>
                <w:sz w:val="32"/>
                <w:szCs w:val="32"/>
              </w:rPr>
              <w:id w:val="1293102121"/>
              <w:placeholder>
                <w:docPart w:val="{00c04d42-3b22-4a7f-99d9-d16e88417bed}"/>
              </w:placeholder>
            </w:sdtPr>
            <w:sdtEndPr>
              <w:rPr>
                <w:rFonts w:eastAsia="仿宋_GB2312"/>
                <w:kern w:val="2"/>
                <w:sz w:val="32"/>
                <w:szCs w:val="32"/>
              </w:rPr>
            </w:sdtEndPr>
            <w:sdtContent>
              <w:r>
                <w:rPr>
                  <w:rFonts w:hint="eastAsia" w:ascii="楷体_GB2312" w:eastAsia="楷体_GB2312"/>
                </w:rPr>
                <w:t>（一）</w:t>
              </w:r>
              <w:r>
                <w:rPr>
                  <w:rFonts w:hint="eastAsia" w:ascii="方正楷体_GBK" w:eastAsia="方正楷体_GBK"/>
                </w:rPr>
                <w:t>机关运行经费</w:t>
              </w:r>
            </w:sdtContent>
          </w:sdt>
          <w:r>
            <w:tab/>
          </w:r>
          <w:bookmarkStart w:id="15" w:name="_Toc1883143563_WPSOffice_Level2Page"/>
          <w:r>
            <w:t>6</w:t>
          </w:r>
          <w:bookmarkEnd w:id="15"/>
          <w:r>
            <w:fldChar w:fldCharType="end"/>
          </w:r>
        </w:p>
        <w:p>
          <w:pPr>
            <w:pStyle w:val="15"/>
            <w:tabs>
              <w:tab w:val="right" w:leader="dot" w:pos="8266"/>
            </w:tabs>
            <w:ind w:left="640"/>
          </w:pPr>
          <w:r>
            <w:fldChar w:fldCharType="begin"/>
          </w:r>
          <w:r>
            <w:instrText xml:space="preserve"> HYPERLINK \l "_Toc812570556_WPSOffice_Level2" </w:instrText>
          </w:r>
          <w:r>
            <w:fldChar w:fldCharType="separate"/>
          </w:r>
          <w:sdt>
            <w:sdtPr>
              <w:rPr>
                <w:rFonts w:eastAsia="仿宋_GB2312"/>
                <w:kern w:val="2"/>
                <w:sz w:val="32"/>
                <w:szCs w:val="32"/>
              </w:rPr>
              <w:id w:val="1998445463"/>
              <w:placeholder>
                <w:docPart w:val="{07665a6e-813e-439e-9e17-93aa1ed1a8d3}"/>
              </w:placeholder>
            </w:sdtPr>
            <w:sdtEndPr>
              <w:rPr>
                <w:rFonts w:eastAsia="仿宋_GB2312"/>
                <w:kern w:val="2"/>
                <w:sz w:val="32"/>
                <w:szCs w:val="32"/>
              </w:rPr>
            </w:sdtEndPr>
            <w:sdtContent>
              <w:r>
                <w:rPr>
                  <w:rFonts w:hint="eastAsia" w:ascii="楷体_GB2312" w:eastAsia="楷体_GB2312"/>
                </w:rPr>
                <w:t>（二）国有资产占有使用情况</w:t>
              </w:r>
            </w:sdtContent>
          </w:sdt>
          <w:r>
            <w:tab/>
          </w:r>
          <w:bookmarkStart w:id="16" w:name="_Toc812570556_WPSOffice_Level2Page"/>
          <w:r>
            <w:t>6</w:t>
          </w:r>
          <w:bookmarkEnd w:id="16"/>
          <w:r>
            <w:fldChar w:fldCharType="end"/>
          </w:r>
        </w:p>
        <w:p>
          <w:pPr>
            <w:pStyle w:val="15"/>
            <w:tabs>
              <w:tab w:val="right" w:leader="dot" w:pos="8266"/>
            </w:tabs>
            <w:ind w:left="640"/>
          </w:pPr>
          <w:r>
            <w:fldChar w:fldCharType="begin"/>
          </w:r>
          <w:r>
            <w:instrText xml:space="preserve"> HYPERLINK \l "_Toc1759814228_WPSOffice_Level2" </w:instrText>
          </w:r>
          <w:r>
            <w:fldChar w:fldCharType="separate"/>
          </w:r>
          <w:sdt>
            <w:sdtPr>
              <w:rPr>
                <w:rFonts w:eastAsia="仿宋_GB2312"/>
                <w:kern w:val="2"/>
                <w:sz w:val="32"/>
                <w:szCs w:val="32"/>
              </w:rPr>
              <w:id w:val="-1918633550"/>
              <w:placeholder>
                <w:docPart w:val="{4cf584a9-df64-4b1e-aeec-ec2980ed81c6}"/>
              </w:placeholder>
            </w:sdtPr>
            <w:sdtEndPr>
              <w:rPr>
                <w:rFonts w:eastAsia="仿宋_GB2312"/>
                <w:kern w:val="2"/>
                <w:sz w:val="32"/>
                <w:szCs w:val="32"/>
              </w:rPr>
            </w:sdtEndPr>
            <w:sdtContent>
              <w:r>
                <w:rPr>
                  <w:rFonts w:hint="eastAsia" w:ascii="楷体_GB2312" w:eastAsia="楷体_GB2312"/>
                </w:rPr>
                <w:t>（三）绩效目标设置情况</w:t>
              </w:r>
            </w:sdtContent>
          </w:sdt>
          <w:r>
            <w:tab/>
          </w:r>
          <w:bookmarkStart w:id="17" w:name="_Toc1759814228_WPSOffice_Level2Page"/>
          <w:r>
            <w:t>6</w:t>
          </w:r>
          <w:bookmarkEnd w:id="17"/>
          <w:r>
            <w:fldChar w:fldCharType="end"/>
          </w:r>
        </w:p>
        <w:p>
          <w:pPr>
            <w:pStyle w:val="14"/>
            <w:tabs>
              <w:tab w:val="right" w:leader="dot" w:pos="8266"/>
            </w:tabs>
          </w:pPr>
          <w:r>
            <w:fldChar w:fldCharType="begin"/>
          </w:r>
          <w:r>
            <w:instrText xml:space="preserve"> HYPERLINK \l "_Toc812570556_WPSOffice_Level1" </w:instrText>
          </w:r>
          <w:r>
            <w:fldChar w:fldCharType="separate"/>
          </w:r>
          <w:sdt>
            <w:sdtPr>
              <w:rPr>
                <w:rFonts w:eastAsia="仿宋_GB2312"/>
                <w:b/>
                <w:bCs/>
                <w:kern w:val="2"/>
                <w:sz w:val="32"/>
                <w:szCs w:val="32"/>
              </w:rPr>
              <w:id w:val="-1860652317"/>
              <w:placeholder>
                <w:docPart w:val="{f014f457-eea1-4054-a2c1-2db383757f4b}"/>
              </w:placeholder>
            </w:sdtPr>
            <w:sdtEndPr>
              <w:rPr>
                <w:rFonts w:eastAsia="仿宋_GB2312"/>
                <w:b/>
                <w:bCs/>
                <w:kern w:val="2"/>
                <w:sz w:val="32"/>
                <w:szCs w:val="32"/>
              </w:rPr>
            </w:sdtEndPr>
            <w:sdtContent>
              <w:r>
                <w:rPr>
                  <w:rFonts w:hint="eastAsia" w:ascii="黑体" w:eastAsia="黑体"/>
                  <w:b/>
                  <w:bCs/>
                </w:rPr>
                <w:t>十、名词解释</w:t>
              </w:r>
            </w:sdtContent>
          </w:sdt>
          <w:r>
            <w:rPr>
              <w:b/>
              <w:bCs/>
            </w:rPr>
            <w:tab/>
          </w:r>
          <w:bookmarkStart w:id="18" w:name="_Toc812570556_WPSOffice_Level1Page"/>
          <w:r>
            <w:rPr>
              <w:b/>
              <w:bCs/>
            </w:rPr>
            <w:t>6</w:t>
          </w:r>
          <w:bookmarkEnd w:id="18"/>
          <w:r>
            <w:rPr>
              <w:b/>
              <w:bCs/>
            </w:rPr>
            <w:fldChar w:fldCharType="end"/>
          </w:r>
        </w:p>
      </w:sdtContent>
    </w:sdt>
    <w:bookmarkEnd w:id="0"/>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rPr>
          <w:rFonts w:ascii="黑体" w:eastAsia="黑体"/>
        </w:rPr>
      </w:pPr>
    </w:p>
    <w:p>
      <w:pPr>
        <w:spacing w:line="600" w:lineRule="exact"/>
        <w:ind w:firstLine="640" w:firstLineChars="200"/>
        <w:outlineLvl w:val="0"/>
        <w:rPr>
          <w:rFonts w:ascii="黑体" w:eastAsia="黑体"/>
        </w:rPr>
      </w:pPr>
      <w:bookmarkStart w:id="19" w:name="_Toc1244531792_WPSOffice_Level1"/>
      <w:r>
        <w:rPr>
          <w:rFonts w:hint="eastAsia" w:ascii="黑体" w:eastAsia="黑体"/>
        </w:rPr>
        <w:t>一、基本职能及主要工作</w:t>
      </w:r>
      <w:bookmarkEnd w:id="19"/>
    </w:p>
    <w:p>
      <w:pPr>
        <w:pStyle w:val="5"/>
        <w:adjustRightInd w:val="0"/>
        <w:spacing w:beforeLines="0" w:line="600" w:lineRule="exact"/>
        <w:ind w:firstLine="668" w:firstLineChars="208"/>
        <w:outlineLvl w:val="1"/>
        <w:rPr>
          <w:sz w:val="32"/>
        </w:rPr>
      </w:pPr>
      <w:bookmarkStart w:id="20" w:name="_Toc825586263_WPSOffice_Level2"/>
      <w:r>
        <w:rPr>
          <w:rFonts w:hint="eastAsia" w:ascii="楷体_GB2312" w:eastAsia="楷体_GB2312"/>
          <w:b/>
          <w:sz w:val="32"/>
        </w:rPr>
        <w:t>（一）市健康促进和卫生大数据中心职能简介。</w:t>
      </w:r>
      <w:bookmarkEnd w:id="20"/>
    </w:p>
    <w:p>
      <w:pPr>
        <w:spacing w:line="560" w:lineRule="exact"/>
        <w:ind w:firstLine="660" w:firstLineChars="200"/>
        <w:rPr>
          <w:sz w:val="33"/>
          <w:szCs w:val="33"/>
        </w:rPr>
      </w:pPr>
      <w:r>
        <w:rPr>
          <w:rFonts w:hint="eastAsia"/>
          <w:sz w:val="33"/>
          <w:szCs w:val="33"/>
        </w:rPr>
        <w:t>承担全市卫生健康教育与促进、人才项目实施、继续医学教育、人才专业评价、行业资格考试等服务工作；负责卫生健康信息化、健康医疗大数据产业发展、卫生统计等工作；开展医学情报分析、研究，为有关医疗卫生机构、市医学会、市药学会等提供医疗技术评审服务工作。</w:t>
      </w:r>
    </w:p>
    <w:p>
      <w:pPr>
        <w:spacing w:line="560" w:lineRule="exact"/>
        <w:ind w:firstLine="643" w:firstLineChars="200"/>
        <w:outlineLvl w:val="1"/>
        <w:rPr>
          <w:rFonts w:ascii="楷体_GB2312" w:eastAsia="楷体_GB2312"/>
          <w:b/>
        </w:rPr>
      </w:pPr>
      <w:bookmarkStart w:id="21" w:name="_Toc306315615_WPSOffice_Level2"/>
      <w:r>
        <w:rPr>
          <w:rFonts w:hint="eastAsia" w:ascii="楷体_GB2312" w:eastAsia="楷体_GB2312"/>
          <w:b/>
        </w:rPr>
        <w:t>（二）市健康促进和卫生大数据中心2021年重点工作。</w:t>
      </w:r>
      <w:bookmarkEnd w:id="21"/>
    </w:p>
    <w:p>
      <w:pPr>
        <w:spacing w:line="560" w:lineRule="exact"/>
        <w:ind w:firstLine="640" w:firstLineChars="200"/>
        <w:rPr>
          <w:rFonts w:ascii="仿宋_GB2312"/>
          <w:b/>
          <w:bCs/>
        </w:rPr>
      </w:pPr>
      <w:r>
        <w:rPr>
          <w:rFonts w:hint="eastAsia"/>
          <w:bCs/>
        </w:rPr>
        <w:t>1.</w:t>
      </w:r>
      <w:r>
        <w:rPr>
          <w:rFonts w:hint="eastAsia" w:ascii="仿宋_GB2312"/>
          <w:bCs/>
        </w:rPr>
        <w:t>推进平台（一期）第四阶段建设工作。</w:t>
      </w:r>
    </w:p>
    <w:p>
      <w:pPr>
        <w:spacing w:line="560" w:lineRule="exact"/>
        <w:ind w:firstLine="640" w:firstLineChars="200"/>
        <w:rPr>
          <w:rFonts w:ascii="仿宋_GB2312"/>
        </w:rPr>
      </w:pPr>
      <w:r>
        <w:rPr>
          <w:bCs/>
        </w:rPr>
        <w:t>2.</w:t>
      </w:r>
      <w:r>
        <w:rPr>
          <w:rFonts w:hint="eastAsia" w:ascii="仿宋_GB2312"/>
          <w:bCs/>
        </w:rPr>
        <w:t>推进全民健康信息平台（二期）项目工作。</w:t>
      </w:r>
    </w:p>
    <w:p>
      <w:pPr>
        <w:spacing w:line="560" w:lineRule="exact"/>
        <w:ind w:firstLine="640" w:firstLineChars="200"/>
        <w:rPr>
          <w:rFonts w:ascii="楷体_GB2312" w:eastAsia="楷体_GB2312" w:cs="楷体_GB2312"/>
        </w:rPr>
      </w:pPr>
      <w:r>
        <w:rPr>
          <w:rFonts w:hint="eastAsia" w:ascii="楷体_GB2312" w:eastAsia="楷体_GB2312" w:cs="楷体_GB2312"/>
        </w:rPr>
        <w:t>3.</w:t>
      </w:r>
      <w:r>
        <w:rPr>
          <w:rFonts w:hint="eastAsia" w:ascii="仿宋_GB2312" w:cs="楷体_GB2312"/>
        </w:rPr>
        <w:t>推进电子健康卡普及应用工作。</w:t>
      </w:r>
    </w:p>
    <w:p>
      <w:pPr>
        <w:spacing w:line="560" w:lineRule="exact"/>
        <w:ind w:firstLine="640" w:firstLineChars="200"/>
        <w:rPr>
          <w:rFonts w:ascii="楷体_GB2312" w:eastAsia="楷体_GB2312" w:cs="楷体_GB2312"/>
        </w:rPr>
      </w:pPr>
      <w:r>
        <w:rPr>
          <w:rFonts w:hint="eastAsia" w:ascii="楷体_GB2312" w:eastAsia="楷体_GB2312" w:cs="楷体_GB2312"/>
        </w:rPr>
        <w:t>4.</w:t>
      </w:r>
      <w:r>
        <w:rPr>
          <w:rFonts w:hint="eastAsia" w:ascii="仿宋_GB2312" w:cs="楷体_GB2312"/>
        </w:rPr>
        <w:t>推进智慧医院评审及建设工作。</w:t>
      </w:r>
    </w:p>
    <w:p>
      <w:pPr>
        <w:spacing w:line="560" w:lineRule="exact"/>
        <w:ind w:firstLine="640" w:firstLineChars="200"/>
        <w:rPr>
          <w:rFonts w:ascii="仿宋_GB2312" w:cs="楷体_GB2312"/>
        </w:rPr>
      </w:pPr>
      <w:r>
        <w:rPr>
          <w:rFonts w:hint="eastAsia" w:ascii="楷体_GB2312" w:eastAsia="楷体_GB2312" w:cs="楷体_GB2312"/>
        </w:rPr>
        <w:t>5.</w:t>
      </w:r>
      <w:r>
        <w:rPr>
          <w:rFonts w:hint="eastAsia" w:ascii="仿宋_GB2312" w:cs="楷体_GB2312"/>
        </w:rPr>
        <w:t>推进全市卫生统计工作。</w:t>
      </w:r>
    </w:p>
    <w:p>
      <w:pPr>
        <w:spacing w:line="560" w:lineRule="exact"/>
        <w:ind w:firstLine="640" w:firstLineChars="200"/>
        <w:rPr>
          <w:rFonts w:ascii="楷体_GB2312" w:eastAsia="楷体_GB2312" w:cs="楷体_GB2312"/>
        </w:rPr>
      </w:pPr>
      <w:r>
        <w:rPr>
          <w:rFonts w:hint="eastAsia" w:ascii="楷体_GB2312" w:eastAsia="楷体_GB2312" w:cs="楷体_GB2312"/>
        </w:rPr>
        <w:t>6.</w:t>
      </w:r>
      <w:r>
        <w:rPr>
          <w:rFonts w:hint="eastAsia" w:ascii="仿宋_GB2312" w:cs="楷体_GB2312"/>
        </w:rPr>
        <w:t>探索健康医疗大数据应用建设。</w:t>
      </w:r>
    </w:p>
    <w:p>
      <w:pPr>
        <w:spacing w:line="560" w:lineRule="exact"/>
        <w:ind w:firstLine="640" w:firstLineChars="200"/>
        <w:rPr>
          <w:rFonts w:ascii="楷体_GB2312" w:eastAsia="楷体_GB2312" w:cs="楷体_GB2312"/>
        </w:rPr>
      </w:pPr>
      <w:r>
        <w:rPr>
          <w:rFonts w:hint="eastAsia" w:ascii="楷体_GB2312" w:eastAsia="楷体_GB2312" w:cs="楷体_GB2312"/>
        </w:rPr>
        <w:t>7.</w:t>
      </w:r>
      <w:r>
        <w:rPr>
          <w:rFonts w:hint="eastAsia" w:ascii="仿宋_GB2312" w:cs="楷体_GB2312"/>
        </w:rPr>
        <w:t>提升医疗“三监管”平台数据质量。</w:t>
      </w:r>
    </w:p>
    <w:p>
      <w:pPr>
        <w:spacing w:line="560" w:lineRule="exact"/>
        <w:ind w:firstLine="640" w:firstLineChars="200"/>
        <w:rPr>
          <w:rFonts w:ascii="楷体_GB2312" w:eastAsia="楷体_GB2312" w:cs="楷体_GB2312"/>
        </w:rPr>
      </w:pPr>
      <w:r>
        <w:rPr>
          <w:rFonts w:hint="eastAsia" w:ascii="楷体_GB2312" w:eastAsia="楷体_GB2312" w:cs="楷体_GB2312"/>
        </w:rPr>
        <w:t>8.</w:t>
      </w:r>
      <w:r>
        <w:rPr>
          <w:rFonts w:hint="eastAsia" w:ascii="仿宋_GB2312" w:cs="楷体_GB2312"/>
        </w:rPr>
        <w:t>加强网络和信息安全工作。</w:t>
      </w:r>
    </w:p>
    <w:p>
      <w:pPr>
        <w:spacing w:line="560" w:lineRule="exact"/>
        <w:ind w:firstLine="640" w:firstLineChars="200"/>
        <w:rPr>
          <w:rFonts w:ascii="仿宋_GB2312"/>
        </w:rPr>
      </w:pPr>
      <w:r>
        <w:rPr>
          <w:rFonts w:hint="eastAsia" w:ascii="仿宋_GB2312"/>
        </w:rPr>
        <w:t>9.做好护士资格考试、卫生专业技术人员考试、卫生人才评价考试、医师资格考试、卫生健康行业职业技能鉴定和全国大型医用设备使用人员业务能力考评组织等工作。</w:t>
      </w:r>
    </w:p>
    <w:p>
      <w:pPr>
        <w:spacing w:line="560" w:lineRule="exact"/>
        <w:ind w:firstLine="640" w:firstLineChars="200"/>
        <w:rPr>
          <w:rFonts w:ascii="仿宋_GB2312"/>
        </w:rPr>
      </w:pPr>
      <w:r>
        <w:rPr>
          <w:rFonts w:hint="eastAsia" w:ascii="仿宋_GB2312" w:cs="楷体_GB2312"/>
        </w:rPr>
        <w:t>10.</w:t>
      </w:r>
      <w:r>
        <w:rPr>
          <w:rFonts w:hint="eastAsia" w:ascii="仿宋_GB2312"/>
        </w:rPr>
        <w:t>做好医疗事故技术鉴定和职业病诊断鉴定工作。</w:t>
      </w:r>
    </w:p>
    <w:p>
      <w:pPr>
        <w:spacing w:line="560" w:lineRule="exact"/>
        <w:ind w:firstLine="640" w:firstLineChars="200"/>
        <w:rPr>
          <w:rFonts w:ascii="仿宋_GB2312"/>
        </w:rPr>
      </w:pPr>
      <w:r>
        <w:rPr>
          <w:rFonts w:hint="eastAsia" w:ascii="仿宋_GB2312" w:cs="楷体_GB2312"/>
        </w:rPr>
        <w:t>11.</w:t>
      </w:r>
      <w:r>
        <w:rPr>
          <w:rFonts w:hint="eastAsia" w:ascii="仿宋_GB2312"/>
        </w:rPr>
        <w:t>深入开展科技情报分析和科技项目查新咨询，积极开展科技评价工作。</w:t>
      </w:r>
    </w:p>
    <w:p>
      <w:pPr>
        <w:spacing w:line="560" w:lineRule="exact"/>
        <w:ind w:firstLine="640" w:firstLineChars="200"/>
        <w:rPr>
          <w:rFonts w:ascii="仿宋_GB2312" w:cs="楷体_GB2312"/>
        </w:rPr>
      </w:pPr>
      <w:r>
        <w:rPr>
          <w:rFonts w:hint="eastAsia" w:ascii="仿宋_GB2312" w:cs="楷体_GB2312"/>
        </w:rPr>
        <w:t>12夯实继续医学教育工作</w:t>
      </w:r>
    </w:p>
    <w:p>
      <w:pPr>
        <w:spacing w:line="600" w:lineRule="exact"/>
        <w:ind w:firstLine="640" w:firstLineChars="200"/>
        <w:outlineLvl w:val="0"/>
        <w:rPr>
          <w:rFonts w:ascii="黑体" w:eastAsia="黑体"/>
        </w:rPr>
      </w:pPr>
      <w:bookmarkStart w:id="22" w:name="_Toc825586263_WPSOffice_Level1"/>
      <w:r>
        <w:rPr>
          <w:rFonts w:hint="eastAsia" w:ascii="黑体" w:eastAsia="黑体"/>
        </w:rPr>
        <w:t>二、单位构成情况</w:t>
      </w:r>
      <w:bookmarkEnd w:id="22"/>
    </w:p>
    <w:p>
      <w:pPr>
        <w:spacing w:line="600" w:lineRule="exact"/>
        <w:ind w:firstLine="640" w:firstLineChars="200"/>
        <w:rPr>
          <w:rFonts w:ascii="黑体" w:eastAsia="黑体"/>
        </w:rPr>
      </w:pPr>
      <w:r>
        <w:rPr>
          <w:rFonts w:hint="eastAsia" w:ascii="楷体_GB2312" w:hAnsi="楷体_GB2312"/>
        </w:rPr>
        <w:t>攀枝花市健康促进和卫生大数据中心是全额拨款二级预算单位。</w:t>
      </w:r>
    </w:p>
    <w:p>
      <w:pPr>
        <w:spacing w:line="600" w:lineRule="exact"/>
        <w:ind w:firstLine="640" w:firstLineChars="200"/>
        <w:outlineLvl w:val="0"/>
        <w:rPr>
          <w:rFonts w:ascii="黑体" w:eastAsia="黑体"/>
        </w:rPr>
      </w:pPr>
      <w:bookmarkStart w:id="23" w:name="_Toc306315615_WPSOffice_Level1"/>
      <w:r>
        <w:rPr>
          <w:rFonts w:hint="eastAsia" w:ascii="黑体" w:eastAsia="黑体"/>
        </w:rPr>
        <w:t>三、收支预算情况说明</w:t>
      </w:r>
      <w:bookmarkEnd w:id="23"/>
    </w:p>
    <w:p>
      <w:pPr>
        <w:spacing w:line="600" w:lineRule="exact"/>
        <w:ind w:firstLine="640" w:firstLineChars="200"/>
        <w:rPr>
          <w:rFonts w:hint="eastAsia" w:ascii="仿宋_GB2312" w:eastAsia="仿宋_GB2312"/>
          <w:lang w:eastAsia="zh-CN"/>
        </w:rPr>
      </w:pPr>
      <w:r>
        <w:rPr>
          <w:rFonts w:hint="eastAsia"/>
        </w:rPr>
        <w:t>按照综合预算的原则，</w:t>
      </w:r>
      <w:r>
        <w:rPr>
          <w:rFonts w:hint="eastAsia" w:ascii="楷体_GB2312" w:hAnsi="楷体_GB2312"/>
        </w:rPr>
        <w:t>攀枝花市健康促进和卫生大数据中心</w:t>
      </w:r>
      <w:r>
        <w:rPr>
          <w:rFonts w:hint="eastAsia" w:ascii="仿宋_GB2312"/>
        </w:rPr>
        <w:t>所有收入和支出均纳入部门预算管理。收入全部为一般公共预算拨款收入；支出包括：社会保障和就业支出、卫生</w:t>
      </w:r>
      <w:r>
        <w:rPr>
          <w:rFonts w:ascii="仿宋_GB2312"/>
        </w:rPr>
        <w:t>健康</w:t>
      </w:r>
      <w:r>
        <w:rPr>
          <w:rFonts w:hint="eastAsia" w:ascii="仿宋_GB2312"/>
        </w:rPr>
        <w:t>支出、住房保障支出。</w:t>
      </w:r>
      <w:r>
        <w:rPr>
          <w:rFonts w:hint="eastAsia" w:ascii="楷体_GB2312" w:hAnsi="楷体_GB2312"/>
        </w:rPr>
        <w:t>攀枝花市健康促进和卫生大数据中心</w:t>
      </w:r>
      <w:r>
        <w:rPr>
          <w:rFonts w:hint="eastAsia" w:ascii="仿宋_GB2312"/>
        </w:rPr>
        <w:t>2021年收支总预算</w:t>
      </w:r>
      <w:r>
        <w:t>222.10</w:t>
      </w:r>
      <w:r>
        <w:rPr>
          <w:rFonts w:hint="eastAsia" w:ascii="仿宋_GB2312"/>
        </w:rPr>
        <w:t>万元</w:t>
      </w:r>
      <w:r>
        <w:rPr>
          <w:rFonts w:hint="eastAsia" w:ascii="仿宋_GB2312"/>
          <w:lang w:eastAsia="zh-CN"/>
        </w:rPr>
        <w:t>，</w:t>
      </w:r>
      <w:r>
        <w:rPr>
          <w:rFonts w:hint="eastAsia" w:ascii="仿宋_GB2312"/>
        </w:rPr>
        <w:t>比2020年预算数减少</w:t>
      </w:r>
      <w:r>
        <w:rPr>
          <w:rFonts w:hint="eastAsia"/>
        </w:rPr>
        <w:t>126.74</w:t>
      </w:r>
      <w:r>
        <w:rPr>
          <w:rFonts w:hint="eastAsia" w:ascii="仿宋_GB2312"/>
        </w:rPr>
        <w:t>万元，主要是2021年减少卫生信息化建设项目支出129.50万元。</w:t>
      </w:r>
    </w:p>
    <w:p>
      <w:pPr>
        <w:spacing w:line="600" w:lineRule="exact"/>
        <w:ind w:firstLine="643" w:firstLineChars="200"/>
        <w:outlineLvl w:val="1"/>
        <w:rPr>
          <w:rFonts w:ascii="楷体_GB2312" w:eastAsia="楷体_GB2312"/>
          <w:b/>
        </w:rPr>
      </w:pPr>
      <w:bookmarkStart w:id="24" w:name="_Toc243003177_WPSOffice_Level2"/>
      <w:r>
        <w:rPr>
          <w:rFonts w:hint="eastAsia" w:ascii="楷体_GB2312" w:eastAsia="楷体_GB2312"/>
          <w:b/>
        </w:rPr>
        <w:t>（一）收入预算情况</w:t>
      </w:r>
      <w:bookmarkEnd w:id="24"/>
    </w:p>
    <w:p>
      <w:pPr>
        <w:spacing w:line="600" w:lineRule="exact"/>
        <w:ind w:firstLine="640" w:firstLineChars="200"/>
        <w:rPr>
          <w:rFonts w:ascii="仿宋_GB2312"/>
        </w:rPr>
      </w:pPr>
      <w:r>
        <w:rPr>
          <w:rFonts w:hint="eastAsia" w:ascii="楷体_GB2312" w:hAnsi="楷体_GB2312"/>
        </w:rPr>
        <w:t>攀枝花市健康促进和卫生大数据中心</w:t>
      </w:r>
      <w:r>
        <w:rPr>
          <w:rFonts w:hint="eastAsia" w:ascii="仿宋_GB2312"/>
        </w:rPr>
        <w:t>2021年收入预算</w:t>
      </w:r>
      <w:r>
        <w:t>222.10</w:t>
      </w:r>
      <w:r>
        <w:rPr>
          <w:rFonts w:hint="eastAsia" w:ascii="仿宋_GB2312"/>
        </w:rPr>
        <w:t>万元，其中：上年结转</w:t>
      </w:r>
      <w:r>
        <w:t>0</w:t>
      </w:r>
      <w:r>
        <w:rPr>
          <w:rFonts w:hint="eastAsia" w:ascii="仿宋_GB2312"/>
        </w:rPr>
        <w:t>万元；一般公共预算拨款收入</w:t>
      </w:r>
      <w:r>
        <w:rPr>
          <w:rFonts w:hint="eastAsia"/>
        </w:rPr>
        <w:t>222.10</w:t>
      </w:r>
      <w:r>
        <w:rPr>
          <w:rFonts w:hint="eastAsia" w:ascii="仿宋_GB2312"/>
        </w:rPr>
        <w:t>万元，占</w:t>
      </w:r>
      <w:r>
        <w:t>100</w:t>
      </w:r>
      <w:r>
        <w:rPr>
          <w:rFonts w:hint="eastAsia" w:ascii="仿宋_GB2312"/>
        </w:rPr>
        <w:t>%</w:t>
      </w:r>
      <w:r>
        <w:rPr>
          <w:rFonts w:ascii="仿宋_GB2312"/>
        </w:rPr>
        <w:t>；</w:t>
      </w:r>
      <w:r>
        <w:rPr>
          <w:rFonts w:hint="eastAsia" w:ascii="仿宋_GB2312"/>
        </w:rPr>
        <w:t>政府性基金预算拨款收入</w:t>
      </w:r>
      <w:r>
        <w:t>0</w:t>
      </w:r>
      <w:r>
        <w:rPr>
          <w:rFonts w:hint="eastAsia" w:ascii="仿宋_GB2312"/>
        </w:rPr>
        <w:t>万元；事业收入</w:t>
      </w:r>
      <w:r>
        <w:t>0</w:t>
      </w:r>
      <w:r>
        <w:rPr>
          <w:rFonts w:hint="eastAsia" w:ascii="仿宋_GB2312"/>
        </w:rPr>
        <w:t>万元。</w:t>
      </w:r>
    </w:p>
    <w:p>
      <w:pPr>
        <w:spacing w:line="600" w:lineRule="exact"/>
        <w:ind w:firstLine="643" w:firstLineChars="200"/>
        <w:outlineLvl w:val="1"/>
        <w:rPr>
          <w:rFonts w:ascii="楷体_GB2312" w:eastAsia="楷体_GB2312"/>
          <w:b/>
        </w:rPr>
      </w:pPr>
      <w:bookmarkStart w:id="25" w:name="_Toc428960901_WPSOffice_Level2"/>
      <w:r>
        <w:rPr>
          <w:rFonts w:hint="eastAsia" w:ascii="楷体_GB2312" w:eastAsia="楷体_GB2312"/>
          <w:b/>
        </w:rPr>
        <w:t>（二）支出预算情况</w:t>
      </w:r>
      <w:bookmarkEnd w:id="25"/>
    </w:p>
    <w:p>
      <w:pPr>
        <w:spacing w:line="600" w:lineRule="exact"/>
        <w:ind w:firstLine="640" w:firstLineChars="200"/>
        <w:rPr>
          <w:rFonts w:ascii="仿宋_GB2312"/>
          <w:u w:val="single"/>
        </w:rPr>
      </w:pPr>
      <w:r>
        <w:rPr>
          <w:rFonts w:hint="eastAsia" w:ascii="楷体_GB2312" w:hAnsi="楷体_GB2312"/>
        </w:rPr>
        <w:t>攀枝花市健康促进和卫生大数据中心</w:t>
      </w:r>
      <w:r>
        <w:rPr>
          <w:rFonts w:hint="eastAsia" w:ascii="仿宋_GB2312"/>
        </w:rPr>
        <w:t>2021年支出预算</w:t>
      </w:r>
      <w:r>
        <w:rPr>
          <w:rFonts w:hint="eastAsia"/>
        </w:rPr>
        <w:t>222.10</w:t>
      </w:r>
      <w:r>
        <w:rPr>
          <w:rFonts w:hint="eastAsia" w:ascii="仿宋_GB2312"/>
        </w:rPr>
        <w:t>万元，其中：基本支出</w:t>
      </w:r>
      <w:r>
        <w:rPr>
          <w:rFonts w:hint="eastAsia"/>
        </w:rPr>
        <w:t>208.33</w:t>
      </w:r>
      <w:r>
        <w:rPr>
          <w:rFonts w:hint="eastAsia" w:ascii="仿宋_GB2312"/>
        </w:rPr>
        <w:t>万元，占</w:t>
      </w:r>
      <w:r>
        <w:rPr>
          <w:rFonts w:hint="eastAsia"/>
        </w:rPr>
        <w:t>93.8</w:t>
      </w:r>
      <w:r>
        <w:rPr>
          <w:rFonts w:hint="eastAsia" w:ascii="仿宋_GB2312"/>
        </w:rPr>
        <w:t>%；项目支出</w:t>
      </w:r>
      <w:r>
        <w:rPr>
          <w:rFonts w:hint="eastAsia"/>
        </w:rPr>
        <w:t>13.77</w:t>
      </w:r>
      <w:r>
        <w:rPr>
          <w:rFonts w:hint="eastAsia" w:ascii="仿宋_GB2312"/>
        </w:rPr>
        <w:t>万元，占</w:t>
      </w:r>
      <w:r>
        <w:rPr>
          <w:rFonts w:hint="eastAsia"/>
        </w:rPr>
        <w:t>6.20</w:t>
      </w:r>
      <w:r>
        <w:rPr>
          <w:rFonts w:hint="eastAsia" w:ascii="仿宋_GB2312"/>
        </w:rPr>
        <w:t>%。</w:t>
      </w:r>
    </w:p>
    <w:p>
      <w:pPr>
        <w:spacing w:line="600" w:lineRule="exact"/>
        <w:ind w:firstLine="640" w:firstLineChars="200"/>
        <w:outlineLvl w:val="0"/>
        <w:rPr>
          <w:rFonts w:ascii="黑体" w:eastAsia="黑体"/>
        </w:rPr>
      </w:pPr>
      <w:bookmarkStart w:id="26" w:name="_Toc243003177_WPSOffice_Level1"/>
      <w:r>
        <w:rPr>
          <w:rFonts w:hint="eastAsia" w:ascii="黑体" w:eastAsia="黑体"/>
        </w:rPr>
        <w:t>四、财政拨款收支预算情况说明</w:t>
      </w:r>
      <w:bookmarkEnd w:id="26"/>
    </w:p>
    <w:p>
      <w:pPr>
        <w:spacing w:line="600" w:lineRule="exact"/>
        <w:ind w:firstLine="640" w:firstLineChars="200"/>
        <w:rPr>
          <w:rFonts w:ascii="黑体" w:eastAsia="黑体"/>
        </w:rPr>
      </w:pPr>
      <w:r>
        <w:rPr>
          <w:rFonts w:hint="eastAsia" w:ascii="楷体_GB2312" w:hAnsi="楷体_GB2312"/>
        </w:rPr>
        <w:t>攀枝花市健康促进和卫生大数据中心</w:t>
      </w:r>
      <w:r>
        <w:rPr>
          <w:rFonts w:hint="eastAsia" w:ascii="仿宋_GB2312"/>
        </w:rPr>
        <w:t>2021年财政拨款收支总预算</w:t>
      </w:r>
      <w:r>
        <w:rPr>
          <w:rFonts w:hint="eastAsia"/>
        </w:rPr>
        <w:t>222.10</w:t>
      </w:r>
      <w:r>
        <w:rPr>
          <w:rFonts w:hint="eastAsia" w:ascii="仿宋_GB2312"/>
        </w:rPr>
        <w:t>万元。收入包括：本年一般公共预算拨款收入</w:t>
      </w:r>
      <w:r>
        <w:rPr>
          <w:rFonts w:hint="eastAsia"/>
        </w:rPr>
        <w:t>222.10</w:t>
      </w:r>
      <w:r>
        <w:rPr>
          <w:rFonts w:hint="eastAsia" w:ascii="仿宋_GB2312"/>
        </w:rPr>
        <w:t>万元；支出包括：社会保障和就业支出</w:t>
      </w:r>
      <w:r>
        <w:rPr>
          <w:rFonts w:hint="eastAsia"/>
        </w:rPr>
        <w:t>15.28</w:t>
      </w:r>
      <w:r>
        <w:rPr>
          <w:rFonts w:hint="eastAsia" w:ascii="仿宋_GB2312"/>
        </w:rPr>
        <w:t>万元、卫生</w:t>
      </w:r>
      <w:r>
        <w:rPr>
          <w:rFonts w:ascii="仿宋_GB2312"/>
        </w:rPr>
        <w:t>健康</w:t>
      </w:r>
      <w:r>
        <w:rPr>
          <w:rFonts w:hint="eastAsia" w:ascii="仿宋_GB2312"/>
        </w:rPr>
        <w:t>支出</w:t>
      </w:r>
      <w:r>
        <w:rPr>
          <w:rFonts w:hint="eastAsia"/>
        </w:rPr>
        <w:t>192.05</w:t>
      </w:r>
      <w:r>
        <w:rPr>
          <w:rFonts w:hint="eastAsia" w:ascii="仿宋_GB2312"/>
        </w:rPr>
        <w:t>万元、住房保障支出</w:t>
      </w:r>
      <w:r>
        <w:rPr>
          <w:rFonts w:hint="eastAsia"/>
        </w:rPr>
        <w:t>14.77</w:t>
      </w:r>
      <w:r>
        <w:rPr>
          <w:rFonts w:hint="eastAsia" w:ascii="仿宋_GB2312"/>
        </w:rPr>
        <w:t>万元。。</w:t>
      </w:r>
    </w:p>
    <w:p>
      <w:pPr>
        <w:spacing w:line="600" w:lineRule="exact"/>
        <w:ind w:firstLine="640" w:firstLineChars="200"/>
        <w:outlineLvl w:val="0"/>
        <w:rPr>
          <w:rFonts w:ascii="黑体" w:eastAsia="黑体"/>
        </w:rPr>
      </w:pPr>
      <w:bookmarkStart w:id="27" w:name="_Toc428960901_WPSOffice_Level1"/>
      <w:r>
        <w:rPr>
          <w:rFonts w:hint="eastAsia" w:ascii="黑体" w:eastAsia="黑体"/>
        </w:rPr>
        <w:t>五、一般公共预算当年拨款情况说明</w:t>
      </w:r>
      <w:bookmarkEnd w:id="27"/>
    </w:p>
    <w:p>
      <w:pPr>
        <w:spacing w:line="600" w:lineRule="exact"/>
        <w:ind w:firstLine="643" w:firstLineChars="200"/>
        <w:outlineLvl w:val="1"/>
        <w:rPr>
          <w:rFonts w:ascii="楷体_GB2312" w:eastAsia="楷体_GB2312"/>
          <w:b/>
        </w:rPr>
      </w:pPr>
      <w:bookmarkStart w:id="28" w:name="_Toc169620121_WPSOffice_Level2"/>
      <w:r>
        <w:rPr>
          <w:rFonts w:hint="eastAsia" w:ascii="楷体_GB2312" w:eastAsia="楷体_GB2312"/>
          <w:b/>
        </w:rPr>
        <w:t>（一）一般公共预算当年拨款规模变化情况</w:t>
      </w:r>
      <w:bookmarkEnd w:id="28"/>
    </w:p>
    <w:p>
      <w:pPr>
        <w:spacing w:line="600" w:lineRule="exact"/>
        <w:ind w:firstLine="640" w:firstLineChars="200"/>
        <w:rPr>
          <w:rFonts w:ascii="仿宋_GB2312"/>
        </w:rPr>
      </w:pPr>
      <w:r>
        <w:rPr>
          <w:rFonts w:hint="eastAsia" w:ascii="楷体_GB2312" w:hAnsi="楷体_GB2312"/>
        </w:rPr>
        <w:t>攀枝花市健康促进和卫生大数据中心</w:t>
      </w:r>
      <w:r>
        <w:rPr>
          <w:rFonts w:hint="eastAsia" w:ascii="仿宋_GB2312"/>
        </w:rPr>
        <w:t>2021年一般公共预算当年拨款</w:t>
      </w:r>
      <w:r>
        <w:rPr>
          <w:rFonts w:hint="eastAsia"/>
        </w:rPr>
        <w:t>222.10</w:t>
      </w:r>
      <w:r>
        <w:rPr>
          <w:rFonts w:hint="eastAsia" w:ascii="仿宋_GB2312"/>
        </w:rPr>
        <w:t>万元，比2020年预算数减少</w:t>
      </w:r>
      <w:r>
        <w:rPr>
          <w:rFonts w:hint="eastAsia"/>
        </w:rPr>
        <w:t>126.74</w:t>
      </w:r>
      <w:r>
        <w:rPr>
          <w:rFonts w:hint="eastAsia" w:ascii="仿宋_GB2312"/>
        </w:rPr>
        <w:t>万元，主要是2021年减少卫生信息化建设项目支出129.50万元。</w:t>
      </w:r>
    </w:p>
    <w:p>
      <w:pPr>
        <w:spacing w:line="600" w:lineRule="exact"/>
        <w:ind w:firstLine="643" w:firstLineChars="200"/>
        <w:outlineLvl w:val="1"/>
        <w:rPr>
          <w:rFonts w:ascii="楷体_GB2312" w:eastAsia="楷体_GB2312"/>
          <w:b/>
        </w:rPr>
      </w:pPr>
      <w:bookmarkStart w:id="29" w:name="_Toc680200084_WPSOffice_Level2"/>
      <w:r>
        <w:rPr>
          <w:rFonts w:hint="eastAsia" w:ascii="楷体_GB2312" w:eastAsia="楷体_GB2312"/>
          <w:b/>
        </w:rPr>
        <w:t>（二）一般公共预算当年拨款结构情况</w:t>
      </w:r>
      <w:bookmarkEnd w:id="29"/>
    </w:p>
    <w:p>
      <w:pPr>
        <w:spacing w:line="560" w:lineRule="exact"/>
        <w:ind w:firstLine="640" w:firstLineChars="200"/>
        <w:rPr>
          <w:rFonts w:ascii="仿宋_GB2312"/>
        </w:rPr>
      </w:pPr>
      <w:r>
        <w:rPr>
          <w:rFonts w:hint="eastAsia" w:ascii="仿宋_GB2312"/>
        </w:rPr>
        <w:t>机关事业单位养老保险支出</w:t>
      </w:r>
      <w:r>
        <w:rPr>
          <w:rFonts w:hint="eastAsia"/>
        </w:rPr>
        <w:t>15.28</w:t>
      </w:r>
      <w:r>
        <w:rPr>
          <w:rFonts w:hint="eastAsia" w:ascii="仿宋_GB2312"/>
        </w:rPr>
        <w:t>万元，占</w:t>
      </w:r>
      <w:r>
        <w:rPr>
          <w:rFonts w:hint="eastAsia"/>
        </w:rPr>
        <w:t>6.88</w:t>
      </w:r>
      <w:r>
        <w:t>%</w:t>
      </w:r>
      <w:r>
        <w:rPr>
          <w:rFonts w:hint="eastAsia" w:ascii="仿宋_GB2312"/>
        </w:rPr>
        <w:t>；其他卫生健康支出</w:t>
      </w:r>
      <w:r>
        <w:rPr>
          <w:rFonts w:hint="eastAsia"/>
        </w:rPr>
        <w:t>192.05</w:t>
      </w:r>
      <w:r>
        <w:rPr>
          <w:rFonts w:hint="eastAsia" w:ascii="仿宋_GB2312"/>
        </w:rPr>
        <w:t>万元，占</w:t>
      </w:r>
      <w:r>
        <w:rPr>
          <w:rFonts w:hint="eastAsia"/>
        </w:rPr>
        <w:t>86.47</w:t>
      </w:r>
      <w:r>
        <w:t>%</w:t>
      </w:r>
      <w:r>
        <w:rPr>
          <w:rFonts w:hint="eastAsia" w:ascii="仿宋_GB2312"/>
        </w:rPr>
        <w:t>；住房公积金支出</w:t>
      </w:r>
      <w:r>
        <w:rPr>
          <w:rFonts w:hint="eastAsia"/>
        </w:rPr>
        <w:t>14.77</w:t>
      </w:r>
      <w:r>
        <w:rPr>
          <w:rFonts w:hint="eastAsia" w:ascii="仿宋_GB2312"/>
        </w:rPr>
        <w:t>万元，占</w:t>
      </w:r>
      <w:r>
        <w:rPr>
          <w:rFonts w:hint="eastAsia"/>
        </w:rPr>
        <w:t>6.65</w:t>
      </w:r>
      <w:r>
        <w:t>%</w:t>
      </w:r>
      <w:r>
        <w:rPr>
          <w:rFonts w:hint="eastAsia" w:ascii="仿宋_GB2312"/>
        </w:rPr>
        <w:t>。</w:t>
      </w:r>
    </w:p>
    <w:p>
      <w:pPr>
        <w:spacing w:line="600" w:lineRule="exact"/>
        <w:ind w:firstLine="643" w:firstLineChars="200"/>
        <w:outlineLvl w:val="1"/>
        <w:rPr>
          <w:rFonts w:ascii="楷体_GB2312" w:eastAsia="楷体_GB2312"/>
          <w:b/>
        </w:rPr>
      </w:pPr>
      <w:bookmarkStart w:id="30" w:name="_Toc656876819_WPSOffice_Level2"/>
      <w:r>
        <w:rPr>
          <w:rFonts w:hint="eastAsia" w:ascii="楷体_GB2312" w:eastAsia="楷体_GB2312"/>
          <w:b/>
        </w:rPr>
        <w:t>（三）一般公共预算当年拨款具体使用情况</w:t>
      </w:r>
      <w:bookmarkEnd w:id="30"/>
    </w:p>
    <w:p>
      <w:pPr>
        <w:spacing w:line="560" w:lineRule="exact"/>
        <w:ind w:firstLine="640" w:firstLineChars="200"/>
        <w:rPr>
          <w:rFonts w:ascii="仿宋_GB2312"/>
        </w:rPr>
      </w:pPr>
      <w:r>
        <w:rPr>
          <w:rFonts w:hint="eastAsia"/>
        </w:rPr>
        <w:t>1</w:t>
      </w:r>
      <w:r>
        <w:t>.社会保障和就业支出（类）行政事业单位养老支出（款）机关事业单位基本养老保险缴费支出（项）202</w:t>
      </w:r>
      <w:r>
        <w:rPr>
          <w:rFonts w:hint="eastAsia"/>
        </w:rPr>
        <w:t>1</w:t>
      </w:r>
      <w:r>
        <w:t>年预算数为15.28</w:t>
      </w:r>
      <w:r>
        <w:rPr>
          <w:color w:val="000000"/>
        </w:rPr>
        <w:t>万元，主要用于：</w:t>
      </w:r>
      <w:r>
        <w:rPr>
          <w:rFonts w:hint="eastAsia" w:ascii="仿宋_GB2312"/>
          <w:color w:val="000000"/>
        </w:rPr>
        <w:t>机关事业单位实施养老保险制度由</w:t>
      </w:r>
      <w:r>
        <w:rPr>
          <w:rFonts w:hint="eastAsia" w:ascii="仿宋_GB2312"/>
        </w:rPr>
        <w:t>单位缴纳的基本养老保险费支出。</w:t>
      </w:r>
    </w:p>
    <w:p>
      <w:pPr>
        <w:spacing w:line="560" w:lineRule="exact"/>
        <w:ind w:firstLine="640" w:firstLineChars="200"/>
        <w:rPr>
          <w:rFonts w:ascii="仿宋_GB2312"/>
        </w:rPr>
      </w:pPr>
      <w:r>
        <w:rPr>
          <w:rFonts w:hint="eastAsia"/>
        </w:rPr>
        <w:t>2</w:t>
      </w:r>
      <w:r>
        <w:t>.卫生健康支出</w:t>
      </w:r>
      <w:r>
        <w:rPr>
          <w:rFonts w:hint="eastAsia"/>
        </w:rPr>
        <w:t>（类）</w:t>
      </w:r>
      <w:r>
        <w:t>其他卫生健康支出</w:t>
      </w:r>
      <w:r>
        <w:rPr>
          <w:rFonts w:hint="eastAsia"/>
        </w:rPr>
        <w:t>（款）</w:t>
      </w:r>
      <w:r>
        <w:t>其他卫生健康支出（</w:t>
      </w:r>
      <w:r>
        <w:rPr>
          <w:rFonts w:hint="eastAsia"/>
        </w:rPr>
        <w:t>项</w:t>
      </w:r>
      <w:r>
        <w:t>）</w:t>
      </w:r>
      <w:r>
        <w:rPr>
          <w:rFonts w:hint="eastAsia"/>
        </w:rPr>
        <w:t>2021年</w:t>
      </w:r>
      <w:r>
        <w:t>预算数为192.05万元，主要用于：</w:t>
      </w:r>
      <w:r>
        <w:rPr>
          <w:rFonts w:hint="eastAsia" w:ascii="仿宋_GB2312"/>
        </w:rPr>
        <w:t>本单位人员工资、日常运转以及为完成特定行政工作任务和事业发展目标而安排的年度项目支出，主要包括：卫</w:t>
      </w:r>
      <w:r>
        <w:rPr>
          <w:rFonts w:ascii="仿宋_GB2312"/>
        </w:rPr>
        <w:t>生统计工作的开展</w:t>
      </w:r>
      <w:r>
        <w:rPr>
          <w:rFonts w:hint="eastAsia" w:ascii="仿宋_GB2312"/>
        </w:rPr>
        <w:t>，医疗事故鉴定</w:t>
      </w:r>
      <w:r>
        <w:rPr>
          <w:rFonts w:ascii="仿宋_GB2312"/>
        </w:rPr>
        <w:t>,</w:t>
      </w:r>
      <w:r>
        <w:rPr>
          <w:rFonts w:hint="eastAsia" w:ascii="仿宋_GB2312"/>
        </w:rPr>
        <w:t>职业病鉴定，科研查新的中、英文数据库租用等。</w:t>
      </w:r>
    </w:p>
    <w:p>
      <w:pPr>
        <w:spacing w:line="560" w:lineRule="exact"/>
        <w:ind w:firstLine="640" w:firstLineChars="200"/>
      </w:pPr>
      <w:r>
        <w:rPr>
          <w:rFonts w:hint="eastAsia"/>
        </w:rPr>
        <w:t>3</w:t>
      </w:r>
      <w:r>
        <w:t>.住房保障支出</w:t>
      </w:r>
      <w:r>
        <w:rPr>
          <w:rFonts w:hint="eastAsia"/>
        </w:rPr>
        <w:t>（类）</w:t>
      </w:r>
      <w:r>
        <w:t>住房改革支出</w:t>
      </w:r>
      <w:r>
        <w:rPr>
          <w:rFonts w:hint="eastAsia"/>
        </w:rPr>
        <w:t>（款）</w:t>
      </w:r>
      <w:r>
        <w:t>住房公积金</w:t>
      </w:r>
      <w:r>
        <w:rPr>
          <w:rFonts w:hint="eastAsia"/>
        </w:rPr>
        <w:t>（项）2021年</w:t>
      </w:r>
      <w:r>
        <w:t>预算数为14.77万元，主要用于：</w:t>
      </w:r>
      <w:r>
        <w:rPr>
          <w:rFonts w:hint="eastAsia" w:ascii="仿宋_GB2312"/>
        </w:rPr>
        <w:t>按规定比例为职工缴纳的住房公积金。</w:t>
      </w:r>
    </w:p>
    <w:p>
      <w:pPr>
        <w:spacing w:line="600" w:lineRule="exact"/>
        <w:ind w:firstLine="640" w:firstLineChars="200"/>
        <w:outlineLvl w:val="0"/>
        <w:rPr>
          <w:rFonts w:ascii="黑体" w:eastAsia="黑体"/>
        </w:rPr>
      </w:pPr>
      <w:bookmarkStart w:id="31" w:name="_Toc169620121_WPSOffice_Level1"/>
      <w:r>
        <w:rPr>
          <w:rFonts w:hint="eastAsia" w:ascii="黑体" w:eastAsia="黑体"/>
        </w:rPr>
        <w:t>六、一般公共预算基本支出情况说明</w:t>
      </w:r>
      <w:bookmarkEnd w:id="31"/>
    </w:p>
    <w:p>
      <w:pPr>
        <w:spacing w:line="600" w:lineRule="exact"/>
        <w:ind w:firstLine="640" w:firstLineChars="200"/>
        <w:rPr>
          <w:rFonts w:ascii="仿宋_GB2312"/>
        </w:rPr>
      </w:pPr>
      <w:r>
        <w:rPr>
          <w:rFonts w:hint="eastAsia" w:ascii="楷体_GB2312" w:hAnsi="楷体_GB2312"/>
        </w:rPr>
        <w:t>攀枝花市健康促进和卫生大数据中心</w:t>
      </w:r>
      <w:r>
        <w:rPr>
          <w:rFonts w:hint="eastAsia" w:ascii="仿宋_GB2312"/>
        </w:rPr>
        <w:t>2021年一般公共预算基本支出</w:t>
      </w:r>
      <w:r>
        <w:rPr>
          <w:rFonts w:hint="eastAsia"/>
        </w:rPr>
        <w:t>208.33</w:t>
      </w:r>
      <w:r>
        <w:rPr>
          <w:rFonts w:hint="eastAsia" w:ascii="仿宋_GB2312"/>
        </w:rPr>
        <w:t>万元，其中：</w:t>
      </w:r>
    </w:p>
    <w:p>
      <w:pPr>
        <w:spacing w:line="600" w:lineRule="exact"/>
        <w:ind w:firstLine="640" w:firstLineChars="200"/>
        <w:rPr>
          <w:rFonts w:ascii="仿宋_GB2312"/>
          <w:u w:val="single"/>
        </w:rPr>
      </w:pPr>
      <w:r>
        <w:rPr>
          <w:rFonts w:hint="eastAsia" w:ascii="仿宋_GB2312"/>
        </w:rPr>
        <w:t>人员经费</w:t>
      </w:r>
      <w:r>
        <w:rPr>
          <w:rFonts w:hint="eastAsia"/>
        </w:rPr>
        <w:t>185.15</w:t>
      </w:r>
      <w:r>
        <w:rPr>
          <w:rFonts w:hint="eastAsia" w:ascii="仿宋_GB2312"/>
        </w:rPr>
        <w:t>万元，主要包括：基本工资、津贴补贴、绩效工资、社会保险缴费、住房公积金、退休人员经费。</w:t>
      </w:r>
    </w:p>
    <w:p>
      <w:pPr>
        <w:spacing w:line="600" w:lineRule="exact"/>
        <w:ind w:firstLine="640" w:firstLineChars="200"/>
        <w:rPr>
          <w:rFonts w:ascii="仿宋_GB2312"/>
          <w:u w:val="single"/>
        </w:rPr>
      </w:pPr>
      <w:r>
        <w:rPr>
          <w:rFonts w:hint="eastAsia" w:ascii="仿宋_GB2312"/>
        </w:rPr>
        <w:t>公用经费</w:t>
      </w:r>
      <w:r>
        <w:rPr>
          <w:rFonts w:hint="eastAsia"/>
        </w:rPr>
        <w:t>23.17</w:t>
      </w:r>
      <w:r>
        <w:rPr>
          <w:rFonts w:hint="eastAsia" w:ascii="仿宋_GB2312"/>
        </w:rPr>
        <w:t>万元，主要包括：办公费、水费、电费、印刷费、邮电费、差旅费、公务接待、工会经费、公务车运行维护费等费用开支。</w:t>
      </w:r>
    </w:p>
    <w:p>
      <w:pPr>
        <w:spacing w:line="600" w:lineRule="exact"/>
        <w:ind w:firstLine="640" w:firstLineChars="200"/>
        <w:outlineLvl w:val="0"/>
        <w:rPr>
          <w:rFonts w:ascii="黑体" w:eastAsia="黑体"/>
        </w:rPr>
      </w:pPr>
      <w:bookmarkStart w:id="32" w:name="_Toc680200084_WPSOffice_Level1"/>
      <w:r>
        <w:rPr>
          <w:rFonts w:hint="eastAsia" w:ascii="黑体" w:eastAsia="黑体"/>
        </w:rPr>
        <w:t>七、“三公”经费财政拨款预算安排情况说明</w:t>
      </w:r>
      <w:bookmarkEnd w:id="32"/>
    </w:p>
    <w:p>
      <w:pPr>
        <w:spacing w:line="600" w:lineRule="exact"/>
        <w:ind w:firstLine="640" w:firstLineChars="200"/>
        <w:rPr>
          <w:rFonts w:ascii="仿宋_GB2312"/>
        </w:rPr>
      </w:pPr>
      <w:r>
        <w:rPr>
          <w:rFonts w:hint="eastAsia" w:ascii="楷体_GB2312" w:hAnsi="楷体_GB2312"/>
        </w:rPr>
        <w:t>攀枝花市健康促进和卫生大数据中心</w:t>
      </w:r>
      <w:r>
        <w:rPr>
          <w:rFonts w:hint="eastAsia" w:ascii="仿宋_GB2312"/>
        </w:rPr>
        <w:t>2021年“三公”经费财政拨款预算数</w:t>
      </w:r>
      <w:r>
        <w:rPr>
          <w:rFonts w:hint="eastAsia"/>
        </w:rPr>
        <w:t>3.7</w:t>
      </w:r>
      <w:r>
        <w:t>1</w:t>
      </w:r>
      <w:r>
        <w:rPr>
          <w:rFonts w:hint="eastAsia" w:ascii="仿宋_GB2312"/>
        </w:rPr>
        <w:t>万元，其中：因公出国（境）经费</w:t>
      </w:r>
      <w:r>
        <w:rPr>
          <w:rFonts w:hint="eastAsia"/>
        </w:rPr>
        <w:t>0</w:t>
      </w:r>
      <w:r>
        <w:rPr>
          <w:rFonts w:hint="eastAsia" w:ascii="仿宋_GB2312"/>
        </w:rPr>
        <w:t>万元，公务接待费</w:t>
      </w:r>
      <w:r>
        <w:rPr>
          <w:rFonts w:hint="eastAsia"/>
        </w:rPr>
        <w:t>0.4</w:t>
      </w:r>
      <w:r>
        <w:t>7</w:t>
      </w:r>
      <w:r>
        <w:rPr>
          <w:rFonts w:hint="eastAsia" w:ascii="仿宋_GB2312"/>
        </w:rPr>
        <w:t>万元，公务用车购置及运行维护费</w:t>
      </w:r>
      <w:r>
        <w:rPr>
          <w:rFonts w:hint="eastAsia"/>
        </w:rPr>
        <w:t>3.24</w:t>
      </w:r>
      <w:r>
        <w:rPr>
          <w:rFonts w:hint="eastAsia" w:ascii="仿宋_GB2312"/>
        </w:rPr>
        <w:t>万元。</w:t>
      </w:r>
    </w:p>
    <w:p>
      <w:pPr>
        <w:spacing w:line="600" w:lineRule="exact"/>
        <w:ind w:firstLine="643" w:firstLineChars="200"/>
        <w:rPr>
          <w:rFonts w:ascii="仿宋_GB2312"/>
        </w:rPr>
      </w:pPr>
      <w:r>
        <w:rPr>
          <w:rFonts w:eastAsia="楷体_GB2312"/>
          <w:b/>
        </w:rPr>
        <w:t>（一）因公出国（境）经费与202</w:t>
      </w:r>
      <w:r>
        <w:rPr>
          <w:rFonts w:hint="eastAsia" w:eastAsia="楷体_GB2312"/>
          <w:b/>
        </w:rPr>
        <w:t>0</w:t>
      </w:r>
      <w:r>
        <w:rPr>
          <w:rFonts w:eastAsia="楷体_GB2312"/>
          <w:b/>
        </w:rPr>
        <w:t>年预算持平。</w:t>
      </w:r>
      <w:r>
        <w:rPr>
          <w:rFonts w:hint="eastAsia" w:ascii="仿宋_GB2312"/>
        </w:rPr>
        <w:t>主要原因是均未安排预算。</w:t>
      </w:r>
    </w:p>
    <w:p>
      <w:pPr>
        <w:spacing w:line="600" w:lineRule="exact"/>
        <w:ind w:firstLine="640"/>
        <w:rPr>
          <w:rFonts w:ascii="黑体" w:eastAsia="黑体"/>
          <w:b/>
        </w:rPr>
      </w:pPr>
      <w:r>
        <w:rPr>
          <w:rFonts w:hint="eastAsia" w:ascii="楷体_GB2312" w:eastAsia="楷体_GB2312"/>
          <w:b/>
        </w:rPr>
        <w:t>（二）公务接待费与2020年预算持平。</w:t>
      </w:r>
      <w:r>
        <w:rPr>
          <w:rFonts w:hint="eastAsia" w:ascii="仿宋_GB2312"/>
        </w:rPr>
        <w:t>主要原因是工作需要。</w:t>
      </w:r>
    </w:p>
    <w:p>
      <w:pPr>
        <w:spacing w:line="600" w:lineRule="exact"/>
        <w:ind w:firstLine="640"/>
        <w:rPr>
          <w:rFonts w:ascii="仿宋_GB2312"/>
        </w:rPr>
      </w:pPr>
      <w:r>
        <w:rPr>
          <w:rFonts w:hint="eastAsia" w:ascii="仿宋_GB2312"/>
        </w:rPr>
        <w:t>2021年公务接待费计划用于</w:t>
      </w:r>
      <w:r>
        <w:rPr>
          <w:rFonts w:hint="eastAsia" w:ascii="仿宋_GB2312"/>
          <w:color w:val="333333"/>
        </w:rPr>
        <w:t>接待专家等公务活动开支。</w:t>
      </w:r>
    </w:p>
    <w:p>
      <w:pPr>
        <w:spacing w:line="600" w:lineRule="exact"/>
        <w:ind w:firstLine="640"/>
        <w:rPr>
          <w:rFonts w:ascii="黑体" w:eastAsia="黑体"/>
          <w:b/>
        </w:rPr>
      </w:pPr>
      <w:r>
        <w:rPr>
          <w:rFonts w:hint="eastAsia" w:ascii="楷体_GB2312" w:eastAsia="楷体_GB2312"/>
          <w:b/>
        </w:rPr>
        <w:t>（三）公务用车购置及运行维护费与2020年预算持平。</w:t>
      </w:r>
    </w:p>
    <w:p>
      <w:pPr>
        <w:spacing w:line="600" w:lineRule="exact"/>
        <w:ind w:firstLine="640"/>
        <w:rPr>
          <w:rFonts w:ascii="仿宋_GB2312"/>
        </w:rPr>
      </w:pPr>
      <w:r>
        <w:rPr>
          <w:rFonts w:hint="eastAsia" w:ascii="仿宋_GB2312"/>
        </w:rPr>
        <w:t>单位现有公务用车</w:t>
      </w:r>
      <w:r>
        <w:rPr>
          <w:rFonts w:hint="eastAsia"/>
        </w:rPr>
        <w:t>2</w:t>
      </w:r>
      <w:r>
        <w:rPr>
          <w:rFonts w:hint="eastAsia" w:ascii="仿宋_GB2312"/>
        </w:rPr>
        <w:t>辆，其中：轿车（含7座以下商务车、城市越野车）</w:t>
      </w:r>
      <w:r>
        <w:rPr>
          <w:rFonts w:hint="eastAsia"/>
        </w:rPr>
        <w:t>2</w:t>
      </w:r>
      <w:r>
        <w:rPr>
          <w:rFonts w:hint="eastAsia" w:ascii="仿宋_GB2312"/>
        </w:rPr>
        <w:t>辆。</w:t>
      </w:r>
    </w:p>
    <w:p>
      <w:pPr>
        <w:spacing w:line="600" w:lineRule="exact"/>
        <w:ind w:firstLine="640"/>
        <w:rPr>
          <w:rFonts w:ascii="仿宋_GB2312"/>
        </w:rPr>
      </w:pPr>
      <w:r>
        <w:rPr>
          <w:rFonts w:hint="eastAsia" w:ascii="仿宋_GB2312"/>
        </w:rPr>
        <w:t>2021年安排公务用车购置费</w:t>
      </w:r>
      <w:r>
        <w:rPr>
          <w:rFonts w:hint="eastAsia"/>
        </w:rPr>
        <w:t>0</w:t>
      </w:r>
      <w:r>
        <w:rPr>
          <w:rFonts w:hint="eastAsia" w:ascii="仿宋_GB2312"/>
        </w:rPr>
        <w:t>万元。</w:t>
      </w:r>
    </w:p>
    <w:p>
      <w:pPr>
        <w:spacing w:line="600" w:lineRule="exact"/>
        <w:ind w:firstLine="640"/>
        <w:rPr>
          <w:rFonts w:ascii="仿宋_GB2312"/>
        </w:rPr>
      </w:pPr>
      <w:r>
        <w:rPr>
          <w:rFonts w:hint="eastAsia" w:ascii="仿宋_GB2312"/>
        </w:rPr>
        <w:t>2021年安排公务用车运行维护费</w:t>
      </w:r>
      <w:r>
        <w:rPr>
          <w:rFonts w:hint="eastAsia"/>
        </w:rPr>
        <w:t>3.24</w:t>
      </w:r>
      <w:r>
        <w:rPr>
          <w:rFonts w:hint="eastAsia" w:ascii="仿宋_GB2312"/>
        </w:rPr>
        <w:t>万元，用于</w:t>
      </w:r>
      <w:r>
        <w:t>2</w:t>
      </w:r>
      <w:r>
        <w:rPr>
          <w:rFonts w:hint="eastAsia" w:ascii="仿宋_GB2312"/>
        </w:rPr>
        <w:t>辆公务用车燃油、维修、车辆通行等方面支出，主要保障日常业务工作开展。</w:t>
      </w:r>
    </w:p>
    <w:p>
      <w:pPr>
        <w:spacing w:line="600" w:lineRule="exact"/>
        <w:ind w:firstLine="640" w:firstLineChars="200"/>
        <w:outlineLvl w:val="0"/>
        <w:rPr>
          <w:rFonts w:ascii="黑体" w:eastAsia="黑体"/>
        </w:rPr>
      </w:pPr>
      <w:bookmarkStart w:id="33" w:name="_Toc656876819_WPSOffice_Level1"/>
      <w:r>
        <w:rPr>
          <w:rFonts w:hint="eastAsia" w:ascii="黑体" w:eastAsia="黑体"/>
        </w:rPr>
        <w:t>八、政府性基金预算支出情况说明</w:t>
      </w:r>
      <w:bookmarkEnd w:id="33"/>
    </w:p>
    <w:p>
      <w:pPr>
        <w:spacing w:line="600" w:lineRule="exact"/>
        <w:ind w:firstLine="640" w:firstLineChars="200"/>
        <w:rPr>
          <w:rFonts w:ascii="仿宋_GB2312"/>
        </w:rPr>
      </w:pPr>
      <w:r>
        <w:rPr>
          <w:rFonts w:hint="eastAsia" w:ascii="楷体_GB2312" w:hAnsi="楷体_GB2312"/>
        </w:rPr>
        <w:t>攀枝花市健康促进和卫生大数据中心</w:t>
      </w:r>
      <w:r>
        <w:rPr>
          <w:rFonts w:hint="eastAsia" w:ascii="仿宋_GB2312"/>
        </w:rPr>
        <w:t>2021年没有使用政府性基金预算拨款安排的支出。</w:t>
      </w:r>
    </w:p>
    <w:p>
      <w:pPr>
        <w:spacing w:line="600" w:lineRule="exact"/>
        <w:ind w:firstLine="640" w:firstLineChars="200"/>
        <w:outlineLvl w:val="0"/>
        <w:rPr>
          <w:rFonts w:ascii="黑体" w:eastAsia="黑体"/>
        </w:rPr>
      </w:pPr>
      <w:bookmarkStart w:id="34" w:name="_Toc1883143563_WPSOffice_Level1"/>
      <w:r>
        <w:rPr>
          <w:rFonts w:hint="eastAsia" w:ascii="黑体" w:eastAsia="黑体"/>
        </w:rPr>
        <w:t>九、其他重要事项的情况说明</w:t>
      </w:r>
      <w:bookmarkEnd w:id="34"/>
    </w:p>
    <w:p>
      <w:pPr>
        <w:spacing w:line="600" w:lineRule="exact"/>
        <w:ind w:firstLine="643" w:firstLineChars="200"/>
        <w:outlineLvl w:val="1"/>
        <w:rPr>
          <w:rFonts w:ascii="方正楷体_GBK" w:eastAsia="方正楷体_GBK"/>
          <w:b/>
          <w:bCs/>
        </w:rPr>
      </w:pPr>
      <w:bookmarkStart w:id="35" w:name="_Toc1883143563_WPSOffice_Level2"/>
      <w:r>
        <w:rPr>
          <w:rFonts w:hint="eastAsia" w:ascii="楷体_GB2312" w:eastAsia="楷体_GB2312"/>
          <w:b/>
        </w:rPr>
        <w:t>（一）</w:t>
      </w:r>
      <w:r>
        <w:rPr>
          <w:rFonts w:hint="eastAsia" w:ascii="方正楷体_GBK" w:eastAsia="方正楷体_GBK"/>
          <w:b/>
          <w:bCs/>
        </w:rPr>
        <w:t>机关运行经费</w:t>
      </w:r>
      <w:bookmarkEnd w:id="35"/>
    </w:p>
    <w:p>
      <w:pPr>
        <w:spacing w:line="600" w:lineRule="exact"/>
        <w:ind w:firstLine="640" w:firstLineChars="200"/>
        <w:rPr>
          <w:rFonts w:ascii="楷体_GB2312" w:eastAsia="楷体_GB2312"/>
          <w:b/>
        </w:rPr>
      </w:pPr>
      <w:r>
        <w:rPr>
          <w:rFonts w:hint="eastAsia" w:ascii="楷体_GB2312" w:hAnsi="楷体_GB2312"/>
          <w:color w:val="0D0D0D" w:themeColor="text1" w:themeTint="F2"/>
          <w14:textFill>
            <w14:solidFill>
              <w14:schemeClr w14:val="tx1">
                <w14:lumMod w14:val="95000"/>
                <w14:lumOff w14:val="5000"/>
              </w14:schemeClr>
            </w14:solidFill>
          </w14:textFill>
        </w:rPr>
        <w:t>攀枝花市健康促进和卫生大数据中心</w:t>
      </w:r>
      <w:r>
        <w:rPr>
          <w:color w:val="0D0D0D" w:themeColor="text1" w:themeTint="F2"/>
          <w14:textFill>
            <w14:solidFill>
              <w14:schemeClr w14:val="tx1">
                <w14:lumMod w14:val="95000"/>
                <w14:lumOff w14:val="5000"/>
              </w14:schemeClr>
            </w14:solidFill>
          </w14:textFill>
        </w:rPr>
        <w:t>为事业单位，按规定未使用机关运行的相关科目</w:t>
      </w:r>
      <w:r>
        <w:rPr>
          <w:rFonts w:hint="eastAsia"/>
          <w:color w:val="0D0D0D" w:themeColor="text1" w:themeTint="F2"/>
          <w:shd w:val="clear" w:color="auto" w:fill="FFFFFF"/>
          <w14:textFill>
            <w14:solidFill>
              <w14:schemeClr w14:val="tx1">
                <w14:lumMod w14:val="95000"/>
                <w14:lumOff w14:val="5000"/>
              </w14:schemeClr>
            </w14:solidFill>
          </w14:textFill>
        </w:rPr>
        <w:t>。</w:t>
      </w:r>
    </w:p>
    <w:p>
      <w:pPr>
        <w:spacing w:line="600" w:lineRule="exact"/>
        <w:ind w:firstLine="643" w:firstLineChars="200"/>
        <w:outlineLvl w:val="1"/>
        <w:rPr>
          <w:rFonts w:ascii="楷体_GB2312" w:eastAsia="楷体_GB2312"/>
          <w:b/>
        </w:rPr>
      </w:pPr>
      <w:bookmarkStart w:id="36" w:name="_Toc812570556_WPSOffice_Level2"/>
      <w:r>
        <w:rPr>
          <w:rFonts w:hint="eastAsia" w:ascii="楷体_GB2312" w:eastAsia="楷体_GB2312"/>
          <w:b/>
        </w:rPr>
        <w:t>（二）国有资产占有使用情况</w:t>
      </w:r>
      <w:bookmarkEnd w:id="36"/>
    </w:p>
    <w:p>
      <w:pPr>
        <w:spacing w:line="560" w:lineRule="exact"/>
        <w:ind w:firstLine="640" w:firstLineChars="200"/>
        <w:rPr>
          <w:rFonts w:ascii="仿宋_GB2312"/>
        </w:rPr>
      </w:pPr>
      <w:r>
        <w:rPr>
          <w:rFonts w:hint="eastAsia" w:ascii="仿宋_GB2312"/>
        </w:rPr>
        <w:t>截至2020年底，</w:t>
      </w:r>
      <w:r>
        <w:rPr>
          <w:rFonts w:hint="eastAsia" w:ascii="楷体_GB2312" w:hAnsi="楷体_GB2312"/>
        </w:rPr>
        <w:t>攀枝花市健康促进和卫生大数据中心</w:t>
      </w:r>
      <w:r>
        <w:rPr>
          <w:rFonts w:hint="eastAsia" w:ascii="仿宋_GB2312"/>
        </w:rPr>
        <w:t>共有车辆</w:t>
      </w:r>
      <w:r>
        <w:t>2</w:t>
      </w:r>
      <w:r>
        <w:rPr>
          <w:rFonts w:hint="eastAsia" w:ascii="仿宋_GB2312"/>
        </w:rPr>
        <w:t>辆，其中，执法执勤用车</w:t>
      </w:r>
      <w:r>
        <w:t>0</w:t>
      </w:r>
      <w:r>
        <w:rPr>
          <w:rFonts w:hint="eastAsia" w:ascii="仿宋_GB2312"/>
        </w:rPr>
        <w:t>辆。单位价值</w:t>
      </w:r>
      <w:r>
        <w:t>200</w:t>
      </w:r>
      <w:r>
        <w:rPr>
          <w:rFonts w:hint="eastAsia" w:ascii="仿宋_GB2312"/>
        </w:rPr>
        <w:t>万元以上大型设备</w:t>
      </w:r>
      <w:r>
        <w:rPr>
          <w:rFonts w:hint="eastAsia"/>
        </w:rPr>
        <w:t>0</w:t>
      </w:r>
      <w:r>
        <w:rPr>
          <w:rFonts w:hint="eastAsia" w:ascii="仿宋_GB2312"/>
        </w:rPr>
        <w:t>套。</w:t>
      </w:r>
    </w:p>
    <w:p>
      <w:pPr>
        <w:spacing w:line="600" w:lineRule="exact"/>
        <w:ind w:firstLine="643" w:firstLineChars="200"/>
        <w:outlineLvl w:val="1"/>
        <w:rPr>
          <w:rFonts w:ascii="楷体_GB2312" w:eastAsia="楷体_GB2312"/>
          <w:b/>
        </w:rPr>
      </w:pPr>
      <w:bookmarkStart w:id="37" w:name="_Toc1759814228_WPSOffice_Level2"/>
      <w:r>
        <w:rPr>
          <w:rFonts w:hint="eastAsia" w:ascii="楷体_GB2312" w:eastAsia="楷体_GB2312"/>
          <w:b/>
        </w:rPr>
        <w:t>（三）绩效目标设置情况</w:t>
      </w:r>
      <w:bookmarkEnd w:id="37"/>
    </w:p>
    <w:p>
      <w:pPr>
        <w:spacing w:line="600" w:lineRule="exact"/>
        <w:ind w:firstLine="640" w:firstLineChars="200"/>
        <w:rPr>
          <w:rFonts w:ascii="仿宋_GB2312"/>
        </w:rPr>
      </w:pPr>
      <w:r>
        <w:rPr>
          <w:rFonts w:hint="eastAsia" w:ascii="仿宋_GB2312"/>
        </w:rPr>
        <w:t>2021年</w:t>
      </w:r>
      <w:r>
        <w:rPr>
          <w:rFonts w:hint="eastAsia" w:ascii="楷体_GB2312" w:hAnsi="楷体_GB2312"/>
        </w:rPr>
        <w:t>攀枝花市健康促进和卫生大数据中心</w:t>
      </w:r>
      <w:r>
        <w:rPr>
          <w:rFonts w:hint="eastAsia" w:ascii="仿宋_GB2312"/>
        </w:rPr>
        <w:t>部门通用项目和专用项目均按要求实行绩效目标管理，涉及一般公共预算当年拨款</w:t>
      </w:r>
      <w:r>
        <w:rPr>
          <w:rFonts w:hint="eastAsia"/>
        </w:rPr>
        <w:t>13.77</w:t>
      </w:r>
      <w:r>
        <w:rPr>
          <w:rFonts w:hint="eastAsia" w:ascii="仿宋_GB2312"/>
        </w:rPr>
        <w:t>万元。</w:t>
      </w:r>
    </w:p>
    <w:p>
      <w:pPr>
        <w:spacing w:line="600" w:lineRule="exact"/>
        <w:ind w:firstLine="640" w:firstLineChars="200"/>
        <w:outlineLvl w:val="0"/>
        <w:rPr>
          <w:rFonts w:ascii="黑体" w:eastAsia="黑体"/>
        </w:rPr>
      </w:pPr>
      <w:bookmarkStart w:id="38" w:name="_Toc812570556_WPSOffice_Level1"/>
      <w:r>
        <w:rPr>
          <w:rFonts w:hint="eastAsia" w:ascii="黑体" w:eastAsia="黑体"/>
        </w:rPr>
        <w:t>十、名词解释</w:t>
      </w:r>
      <w:bookmarkEnd w:id="38"/>
    </w:p>
    <w:p>
      <w:pPr>
        <w:spacing w:line="600" w:lineRule="exact"/>
        <w:ind w:firstLine="640" w:firstLineChars="200"/>
        <w:rPr>
          <w:rFonts w:ascii="仿宋_GB2312"/>
        </w:rPr>
      </w:pPr>
      <w:r>
        <w:rPr>
          <w:rFonts w:hint="eastAsia" w:ascii="仿宋_GB2312"/>
        </w:rPr>
        <w:t>1.一般公共预算拨款收入：指市级财政当年拨付的资金。</w:t>
      </w:r>
    </w:p>
    <w:p>
      <w:pPr>
        <w:spacing w:line="600" w:lineRule="exact"/>
        <w:ind w:firstLine="640" w:firstLineChars="200"/>
        <w:rPr>
          <w:rFonts w:ascii="仿宋_GB2312"/>
        </w:rPr>
      </w:pPr>
      <w:r>
        <w:rPr>
          <w:rFonts w:hint="eastAsia" w:ascii="仿宋_GB2312"/>
        </w:rPr>
        <w:t>2.医疗卫生与计划生育（类）行政事业单位医疗（款）行政单位医疗（项）：指市机关及参公管理事业单位用于缴纳单位基本医疗保险支出。</w:t>
      </w:r>
    </w:p>
    <w:p>
      <w:pPr>
        <w:spacing w:line="600" w:lineRule="exact"/>
        <w:ind w:firstLine="640" w:firstLineChars="200"/>
        <w:rPr>
          <w:rFonts w:ascii="仿宋_GB2312"/>
        </w:rPr>
      </w:pPr>
      <w:r>
        <w:rPr>
          <w:rFonts w:hint="eastAsia" w:ascii="仿宋_GB2312"/>
        </w:rPr>
        <w:t>3.基本支出：指为保证机构正常运转，完成日常工作任务而发生的人员支出和公用支出。</w:t>
      </w:r>
    </w:p>
    <w:p>
      <w:pPr>
        <w:spacing w:line="600" w:lineRule="exact"/>
        <w:ind w:firstLine="640" w:firstLineChars="200"/>
        <w:rPr>
          <w:rFonts w:ascii="仿宋_GB2312"/>
        </w:rPr>
      </w:pPr>
      <w:r>
        <w:rPr>
          <w:rFonts w:hint="eastAsia" w:ascii="仿宋_GB2312"/>
        </w:rPr>
        <w:t>4.项目支出：指在基本支出之外为完成特定行政任务和事业发展目标所发生的支出。</w:t>
      </w:r>
    </w:p>
    <w:p>
      <w:pPr>
        <w:spacing w:line="600" w:lineRule="exact"/>
        <w:ind w:firstLine="640" w:firstLineChars="200"/>
        <w:rPr>
          <w:rFonts w:ascii="仿宋_GB2312"/>
        </w:rPr>
      </w:pPr>
      <w:r>
        <w:rPr>
          <w:rFonts w:hint="eastAsia" w:ascii="仿宋_GB231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rPr>
        <w:t>6.</w:t>
      </w:r>
      <w:r>
        <w:t>机关运行经费</w:t>
      </w:r>
      <w:r>
        <w:rPr>
          <w:rFonts w:hint="eastAsia" w:ascii="仿宋_GB2312"/>
        </w:rPr>
        <w:t>：为保障行政单位（包含参照公务员法管理的事业单位）运行用于购买货物和服务的各项资金。包括办公及办公费、水费、电费、印刷费、邮电费、差旅费、会议费等费用开支。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Arial" w:hAnsi="Arial" w:cs="Arial"/>
        </w:rPr>
      </w:pPr>
    </w:p>
    <w:p>
      <w:pPr>
        <w:spacing w:line="600" w:lineRule="exact"/>
        <w:ind w:firstLine="800" w:firstLineChars="250"/>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w:t>
      </w:r>
      <w:r>
        <w:rPr>
          <w:rFonts w:ascii="仿宋_GB2312"/>
        </w:rPr>
        <w:t xml:space="preserve">     </w:t>
      </w:r>
      <w:r>
        <w:rPr>
          <w:rFonts w:hint="eastAsia" w:ascii="仿宋_GB2312"/>
        </w:rPr>
        <w:t>表1-1.部门收入总表</w:t>
      </w:r>
    </w:p>
    <w:p>
      <w:pPr>
        <w:spacing w:line="600" w:lineRule="exact"/>
        <w:rPr>
          <w:rFonts w:ascii="仿宋_GB2312"/>
        </w:rPr>
      </w:pPr>
      <w:r>
        <w:rPr>
          <w:rFonts w:hint="eastAsia" w:ascii="仿宋_GB2312"/>
        </w:rPr>
        <w:t xml:space="preserve">      </w:t>
      </w:r>
      <w:r>
        <w:rPr>
          <w:rFonts w:ascii="仿宋_GB2312"/>
        </w:rPr>
        <w:t xml:space="preserve">     </w:t>
      </w:r>
      <w:r>
        <w:rPr>
          <w:rFonts w:hint="eastAsia" w:ascii="仿宋_GB2312"/>
        </w:rPr>
        <w:t>表1-2.部门支出总表</w:t>
      </w:r>
    </w:p>
    <w:p>
      <w:pPr>
        <w:spacing w:line="600" w:lineRule="exact"/>
        <w:ind w:firstLine="1600" w:firstLineChars="500"/>
        <w:rPr>
          <w:rFonts w:ascii="仿宋_GB2312"/>
        </w:rPr>
      </w:pPr>
      <w:r>
        <w:rPr>
          <w:rFonts w:hint="eastAsia" w:ascii="仿宋_GB2312"/>
        </w:rPr>
        <w:t>表2.财政拨款收支预算总表</w:t>
      </w:r>
    </w:p>
    <w:p>
      <w:pPr>
        <w:spacing w:line="600" w:lineRule="exact"/>
        <w:ind w:firstLine="1600" w:firstLineChars="500"/>
        <w:rPr>
          <w:rFonts w:ascii="仿宋_GB2312"/>
        </w:rPr>
      </w:pPr>
      <w:r>
        <w:rPr>
          <w:rFonts w:hint="eastAsia" w:ascii="仿宋_GB2312"/>
        </w:rPr>
        <w:t>表2-1.财政拨款支出预算表</w:t>
      </w:r>
    </w:p>
    <w:p>
      <w:pPr>
        <w:spacing w:line="600" w:lineRule="exact"/>
        <w:ind w:firstLine="1600" w:firstLineChars="500"/>
        <w:rPr>
          <w:rFonts w:ascii="仿宋_GB2312"/>
        </w:rPr>
      </w:pPr>
      <w:r>
        <w:rPr>
          <w:rFonts w:hint="eastAsia" w:ascii="仿宋_GB2312"/>
        </w:rPr>
        <w:t>表3.一般公共预算支出预算表</w:t>
      </w:r>
    </w:p>
    <w:p>
      <w:pPr>
        <w:spacing w:line="600" w:lineRule="exact"/>
        <w:ind w:firstLine="1600" w:firstLineChars="500"/>
        <w:rPr>
          <w:rFonts w:ascii="仿宋_GB2312"/>
        </w:rPr>
      </w:pPr>
      <w:r>
        <w:rPr>
          <w:rFonts w:hint="eastAsia" w:ascii="仿宋_GB2312"/>
        </w:rPr>
        <w:t>表3-1.一般公共预算基本支出预算表</w:t>
      </w:r>
    </w:p>
    <w:p>
      <w:pPr>
        <w:spacing w:line="600" w:lineRule="exact"/>
        <w:ind w:firstLine="1600" w:firstLineChars="500"/>
        <w:rPr>
          <w:rFonts w:ascii="仿宋_GB2312"/>
        </w:rPr>
      </w:pPr>
      <w:r>
        <w:rPr>
          <w:rFonts w:hint="eastAsia" w:ascii="仿宋_GB2312"/>
        </w:rPr>
        <w:t>表3-2.一般公共预算项目支出预算表</w:t>
      </w:r>
    </w:p>
    <w:p>
      <w:pPr>
        <w:spacing w:line="600" w:lineRule="exact"/>
        <w:ind w:firstLine="1600" w:firstLineChars="500"/>
        <w:rPr>
          <w:rFonts w:ascii="仿宋_GB2312"/>
        </w:rPr>
      </w:pPr>
      <w:r>
        <w:rPr>
          <w:rFonts w:hint="eastAsia" w:ascii="仿宋_GB2312"/>
        </w:rPr>
        <w:t>表3-3.一般公共预算“三公”经费支出预算表</w:t>
      </w:r>
    </w:p>
    <w:p>
      <w:pPr>
        <w:spacing w:line="600" w:lineRule="exact"/>
        <w:ind w:firstLine="1600" w:firstLineChars="500"/>
        <w:rPr>
          <w:rFonts w:ascii="仿宋_GB2312"/>
        </w:rPr>
      </w:pPr>
      <w:r>
        <w:rPr>
          <w:rFonts w:hint="eastAsia" w:ascii="仿宋_GB2312"/>
        </w:rPr>
        <w:t>表4.政府性基金支出预算表</w:t>
      </w:r>
    </w:p>
    <w:p>
      <w:pPr>
        <w:spacing w:line="600" w:lineRule="exact"/>
        <w:ind w:firstLine="1600" w:firstLineChars="500"/>
        <w:rPr>
          <w:rFonts w:ascii="仿宋_GB2312"/>
        </w:rPr>
      </w:pPr>
      <w:r>
        <w:rPr>
          <w:rFonts w:hint="eastAsia" w:ascii="仿宋_GB2312"/>
        </w:rPr>
        <w:t>表4-1.政府性基金预算“三公”经费支出预算表</w:t>
      </w:r>
    </w:p>
    <w:p>
      <w:pPr>
        <w:spacing w:line="600" w:lineRule="exact"/>
        <w:ind w:firstLine="1600" w:firstLineChars="500"/>
        <w:rPr>
          <w:rFonts w:ascii="仿宋_GB2312"/>
        </w:rPr>
      </w:pPr>
      <w:r>
        <w:rPr>
          <w:rFonts w:hint="eastAsia" w:ascii="仿宋_GB2312"/>
        </w:rPr>
        <w:t>表5.国有资本经营预算支出预算表</w:t>
      </w:r>
    </w:p>
    <w:p>
      <w:pPr>
        <w:spacing w:line="600" w:lineRule="exact"/>
        <w:ind w:firstLine="1600" w:firstLineChars="500"/>
        <w:rPr>
          <w:rFonts w:ascii="仿宋_GB2312"/>
        </w:rPr>
      </w:pPr>
      <w:r>
        <w:rPr>
          <w:rFonts w:hint="eastAsia" w:ascii="仿宋_GB2312"/>
        </w:rPr>
        <w:t>表6.（部门）单位预算项目绩效目标表</w:t>
      </w:r>
    </w:p>
    <w:p>
      <w:pPr>
        <w:spacing w:line="600" w:lineRule="exact"/>
        <w:ind w:firstLine="960" w:firstLineChars="300"/>
        <w:rPr>
          <w:rFonts w:ascii="仿宋_GB2312"/>
          <w:u w:val="single"/>
        </w:rPr>
      </w:pPr>
    </w:p>
    <w:p>
      <w:pPr>
        <w:spacing w:line="600" w:lineRule="exact"/>
        <w:ind w:firstLine="960" w:firstLineChars="300"/>
        <w:rPr>
          <w:rFonts w:ascii="仿宋_GB2312"/>
          <w:u w:val="single"/>
        </w:rPr>
      </w:pPr>
    </w:p>
    <w:p>
      <w:pPr>
        <w:spacing w:line="600" w:lineRule="exact"/>
        <w:ind w:firstLine="2880" w:firstLineChars="900"/>
        <w:rPr>
          <w:rFonts w:ascii="仿宋_GB2312"/>
        </w:rPr>
      </w:pPr>
      <w:r>
        <w:rPr>
          <w:rFonts w:hint="eastAsia" w:ascii="仿宋_GB2312"/>
        </w:rPr>
        <w:t>攀枝花市健康促进和卫生大数据中心</w:t>
      </w:r>
    </w:p>
    <w:p>
      <w:pPr>
        <w:spacing w:line="600" w:lineRule="exact"/>
        <w:ind w:firstLine="4320" w:firstLineChars="1350"/>
        <w:rPr>
          <w:rFonts w:ascii="仿宋_GB2312"/>
        </w:rPr>
      </w:pPr>
      <w:r>
        <w:rPr>
          <w:rFonts w:hint="eastAsia" w:ascii="仿宋_GB2312"/>
        </w:rPr>
        <w:t>2021年2月</w:t>
      </w:r>
      <w:r>
        <w:rPr>
          <w:rFonts w:hint="eastAsia" w:ascii="仿宋_GB2312"/>
          <w:lang w:val="en-US" w:eastAsia="zh-CN"/>
        </w:rPr>
        <w:t>18</w:t>
      </w:r>
      <w:bookmarkStart w:id="39" w:name="_GoBack"/>
      <w:bookmarkEnd w:id="39"/>
      <w:r>
        <w:rPr>
          <w:rFonts w:hint="eastAsia" w:ascii="仿宋_GB2312"/>
        </w:rPr>
        <w:t>日</w:t>
      </w: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Luxi Sans">
    <w:altName w:val="Arial"/>
    <w:panose1 w:val="00000000000000000000"/>
    <w:charset w:val="00"/>
    <w:family w:val="auto"/>
    <w:pitch w:val="default"/>
    <w:sig w:usb0="00000000" w:usb1="00000000" w:usb2="00000000" w:usb3="00000000" w:csb0="0000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Fonts w:ascii="宋体"/>
        <w:sz w:val="30"/>
        <w:szCs w:val="30"/>
      </w:rPr>
    </w:pPr>
    <w:r>
      <w:rPr>
        <w:rStyle w:val="11"/>
      </w:rPr>
      <w:fldChar w:fldCharType="begin"/>
    </w:r>
    <w:r>
      <w:rPr>
        <w:rStyle w:val="11"/>
        <w:rFonts w:ascii="宋体"/>
        <w:sz w:val="30"/>
        <w:szCs w:val="30"/>
      </w:rPr>
      <w:instrText xml:space="preserve">PAGE  </w:instrText>
    </w:r>
    <w:r>
      <w:rPr>
        <w:rFonts w:ascii="宋体" w:hAnsi="宋体"/>
        <w:sz w:val="30"/>
        <w:szCs w:val="30"/>
      </w:rPr>
      <w:fldChar w:fldCharType="separate"/>
    </w:r>
    <w:r>
      <w:rPr>
        <w:rStyle w:val="11"/>
        <w:rFonts w:ascii="宋体"/>
        <w:sz w:val="30"/>
        <w:szCs w:val="30"/>
      </w:rPr>
      <w:t>- 6 -</w:t>
    </w:r>
    <w:r>
      <w:rPr>
        <w:rFonts w:ascii="宋体" w:hAnsi="宋体"/>
        <w:sz w:val="30"/>
        <w:szCs w:val="30"/>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rPr>
        <w:rStyle w:val="11"/>
      </w:rPr>
      <w:fldChar w:fldCharType="begin"/>
    </w:r>
    <w:r>
      <w:rPr>
        <w:rStyle w:val="11"/>
      </w:rPr>
      <w:instrText xml:space="preserve">PAGE  </w:instrText>
    </w:r>
    <w:r>
      <w:fldChar w:fldCharType="separate"/>
    </w:r>
    <w:r>
      <w:t xml:space="preserve"> </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60"/>
  <w:drawingGridVerticalSpacing w:val="435"/>
  <w:displayHorizontalDrawingGridEvery w:val="0"/>
  <w:noPunctuationKerning w:val="1"/>
  <w:characterSpacingControl w:val="compressPunctuation"/>
  <w:compat>
    <w:spaceForUL/>
    <w:balanceSingleByteDoubleByteWidth/>
    <w:doNotExpandShiftReturn/>
    <w:adjustLineHeightInTable/>
    <w:useFELayout/>
    <w:compatSetting w:name="compatibilityMode" w:uri="http://schemas.microsoft.com/office/word" w:val="14"/>
  </w:compat>
  <w:docVars>
    <w:docVar w:name="commondata" w:val="eyJoZGlkIjoiZmIzZjExODZjZTdlNzI5NzkwMDdlYWFhNGUyYjdkODAifQ=="/>
  </w:docVars>
  <w:rsids>
    <w:rsidRoot w:val="00A4364D"/>
    <w:rsid w:val="0013597B"/>
    <w:rsid w:val="0032784F"/>
    <w:rsid w:val="008C1B4F"/>
    <w:rsid w:val="00A4364D"/>
    <w:rsid w:val="00FE2337"/>
    <w:rsid w:val="7FC36749"/>
    <w:rsid w:val="F7DBF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rPr>
  </w:style>
  <w:style w:type="paragraph" w:styleId="4">
    <w:name w:val="heading 3"/>
    <w:basedOn w:val="1"/>
    <w:next w:val="1"/>
    <w:qFormat/>
    <w:uiPriority w:val="0"/>
    <w:pPr>
      <w:keepNext/>
      <w:keepLines/>
      <w:spacing w:before="260" w:after="260" w:line="415" w:lineRule="auto"/>
      <w:outlineLvl w:val="2"/>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0"/>
    <w:pPr>
      <w:spacing w:before="30" w:beforeLines="30"/>
    </w:pPr>
    <w:rPr>
      <w:rFonts w:ascii="仿宋_GB2312"/>
      <w:sz w:val="30"/>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paragraph" w:customStyle="1" w:styleId="12">
    <w:name w:val="Char Char Char Char Char Char Char Char Char Char Char Char"/>
    <w:basedOn w:val="1"/>
    <w:qFormat/>
    <w:uiPriority w:val="0"/>
    <w:rPr>
      <w:szCs w:val="21"/>
    </w:rPr>
  </w:style>
  <w:style w:type="paragraph" w:customStyle="1" w:styleId="13">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 w:type="paragraph" w:customStyle="1" w:styleId="14">
    <w:name w:val="WPSOffice手动目录 1"/>
    <w:uiPriority w:val="0"/>
    <w:rPr>
      <w:rFonts w:ascii="Times New Roman" w:hAnsi="Times New Roman" w:eastAsia="宋体" w:cs="Times New Roman"/>
      <w:lang w:val="en-US" w:eastAsia="zh-CN" w:bidi="ar-SA"/>
    </w:rPr>
  </w:style>
  <w:style w:type="paragraph" w:customStyle="1" w:styleId="15">
    <w:name w:val="WPSOffice手动目录 2"/>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91a5ced-bf26-4cc4-8bfb-ea3f02a842e6}"/>
        <w:style w:val=""/>
        <w:category>
          <w:name w:val="常规"/>
          <w:gallery w:val="placeholder"/>
        </w:category>
        <w:types>
          <w:type w:val="bbPlcHdr"/>
        </w:types>
        <w:behaviors>
          <w:behavior w:val="content"/>
        </w:behaviors>
        <w:description w:val=""/>
        <w:guid w:val="{A91A5CED-BF26-4CC4-8BFB-EA3F02A842E6}"/>
      </w:docPartPr>
      <w:docPartBody>
        <w:p>
          <w:r>
            <w:rPr>
              <w:color w:val="808080"/>
            </w:rPr>
            <w:t>单击此处输入文字。</w:t>
          </w:r>
        </w:p>
      </w:docPartBody>
    </w:docPart>
    <w:docPart>
      <w:docPartPr>
        <w:name w:val="{d3ea118e-077e-44fa-a633-771a9230a90e}"/>
        <w:style w:val=""/>
        <w:category>
          <w:name w:val="常规"/>
          <w:gallery w:val="placeholder"/>
        </w:category>
        <w:types>
          <w:type w:val="bbPlcHdr"/>
        </w:types>
        <w:behaviors>
          <w:behavior w:val="content"/>
        </w:behaviors>
        <w:description w:val=""/>
        <w:guid w:val="{D3EA118E-077E-44FA-A633-771A9230A90E}"/>
      </w:docPartPr>
      <w:docPartBody>
        <w:p>
          <w:r>
            <w:rPr>
              <w:color w:val="808080"/>
            </w:rPr>
            <w:t>单击此处输入文字。</w:t>
          </w:r>
        </w:p>
      </w:docPartBody>
    </w:docPart>
    <w:docPart>
      <w:docPartPr>
        <w:name w:val="{64b409e7-4532-4977-88c5-a533f0b101e2}"/>
        <w:style w:val=""/>
        <w:category>
          <w:name w:val="常规"/>
          <w:gallery w:val="placeholder"/>
        </w:category>
        <w:types>
          <w:type w:val="bbPlcHdr"/>
        </w:types>
        <w:behaviors>
          <w:behavior w:val="content"/>
        </w:behaviors>
        <w:description w:val=""/>
        <w:guid w:val="{64B409E7-4532-4977-88C5-A533F0B101E2}"/>
      </w:docPartPr>
      <w:docPartBody>
        <w:p>
          <w:r>
            <w:rPr>
              <w:color w:val="808080"/>
            </w:rPr>
            <w:t>单击此处输入文字。</w:t>
          </w:r>
        </w:p>
      </w:docPartBody>
    </w:docPart>
    <w:docPart>
      <w:docPartPr>
        <w:name w:val="{b2eb4f50-eb51-44ce-a76a-86cb67635165}"/>
        <w:style w:val=""/>
        <w:category>
          <w:name w:val="常规"/>
          <w:gallery w:val="placeholder"/>
        </w:category>
        <w:types>
          <w:type w:val="bbPlcHdr"/>
        </w:types>
        <w:behaviors>
          <w:behavior w:val="content"/>
        </w:behaviors>
        <w:description w:val=""/>
        <w:guid w:val="{B2EB4F50-EB51-44CE-A76A-86CB67635165}"/>
      </w:docPartPr>
      <w:docPartBody>
        <w:p>
          <w:r>
            <w:rPr>
              <w:color w:val="808080"/>
            </w:rPr>
            <w:t>单击此处输入文字。</w:t>
          </w:r>
        </w:p>
      </w:docPartBody>
    </w:docPart>
    <w:docPart>
      <w:docPartPr>
        <w:name w:val="{8f1f37ff-43d2-4e9e-8294-aae49ff8ab4a}"/>
        <w:style w:val=""/>
        <w:category>
          <w:name w:val="常规"/>
          <w:gallery w:val="placeholder"/>
        </w:category>
        <w:types>
          <w:type w:val="bbPlcHdr"/>
        </w:types>
        <w:behaviors>
          <w:behavior w:val="content"/>
        </w:behaviors>
        <w:description w:val=""/>
        <w:guid w:val="{8F1F37FF-43D2-4E9E-8294-AAE49FF8AB4A}"/>
      </w:docPartPr>
      <w:docPartBody>
        <w:p>
          <w:r>
            <w:rPr>
              <w:color w:val="808080"/>
            </w:rPr>
            <w:t>单击此处输入文字。</w:t>
          </w:r>
        </w:p>
      </w:docPartBody>
    </w:docPart>
    <w:docPart>
      <w:docPartPr>
        <w:name w:val="{e51d7ddc-e7b8-4de9-adb7-1d4202e9b03e}"/>
        <w:style w:val=""/>
        <w:category>
          <w:name w:val="常规"/>
          <w:gallery w:val="placeholder"/>
        </w:category>
        <w:types>
          <w:type w:val="bbPlcHdr"/>
        </w:types>
        <w:behaviors>
          <w:behavior w:val="content"/>
        </w:behaviors>
        <w:description w:val=""/>
        <w:guid w:val="{E51D7DDC-E7B8-4DE9-ADB7-1D4202E9B03E}"/>
      </w:docPartPr>
      <w:docPartBody>
        <w:p>
          <w:r>
            <w:rPr>
              <w:color w:val="808080"/>
            </w:rPr>
            <w:t>单击此处输入文字。</w:t>
          </w:r>
        </w:p>
      </w:docPartBody>
    </w:docPart>
    <w:docPart>
      <w:docPartPr>
        <w:name w:val="{81fd4b8c-df9c-4c16-83d9-31fd322a4000}"/>
        <w:style w:val=""/>
        <w:category>
          <w:name w:val="常规"/>
          <w:gallery w:val="placeholder"/>
        </w:category>
        <w:types>
          <w:type w:val="bbPlcHdr"/>
        </w:types>
        <w:behaviors>
          <w:behavior w:val="content"/>
        </w:behaviors>
        <w:description w:val=""/>
        <w:guid w:val="{81FD4B8C-DF9C-4C16-83D9-31FD322A4000}"/>
      </w:docPartPr>
      <w:docPartBody>
        <w:p>
          <w:r>
            <w:rPr>
              <w:color w:val="808080"/>
            </w:rPr>
            <w:t>单击此处输入文字。</w:t>
          </w:r>
        </w:p>
      </w:docPartBody>
    </w:docPart>
    <w:docPart>
      <w:docPartPr>
        <w:name w:val="{d194e986-f55d-446f-99d5-d96abd6a91e4}"/>
        <w:style w:val=""/>
        <w:category>
          <w:name w:val="常规"/>
          <w:gallery w:val="placeholder"/>
        </w:category>
        <w:types>
          <w:type w:val="bbPlcHdr"/>
        </w:types>
        <w:behaviors>
          <w:behavior w:val="content"/>
        </w:behaviors>
        <w:description w:val=""/>
        <w:guid w:val="{D194E986-F55D-446F-99D5-D96ABD6A91E4}"/>
      </w:docPartPr>
      <w:docPartBody>
        <w:p>
          <w:r>
            <w:rPr>
              <w:color w:val="808080"/>
            </w:rPr>
            <w:t>单击此处输入文字。</w:t>
          </w:r>
        </w:p>
      </w:docPartBody>
    </w:docPart>
    <w:docPart>
      <w:docPartPr>
        <w:name w:val="{53701e2d-7c82-4016-837a-e3456c7a6216}"/>
        <w:style w:val=""/>
        <w:category>
          <w:name w:val="常规"/>
          <w:gallery w:val="placeholder"/>
        </w:category>
        <w:types>
          <w:type w:val="bbPlcHdr"/>
        </w:types>
        <w:behaviors>
          <w:behavior w:val="content"/>
        </w:behaviors>
        <w:description w:val=""/>
        <w:guid w:val="{53701E2D-7C82-4016-837A-E3456C7A6216}"/>
      </w:docPartPr>
      <w:docPartBody>
        <w:p>
          <w:r>
            <w:rPr>
              <w:color w:val="808080"/>
            </w:rPr>
            <w:t>单击此处输入文字。</w:t>
          </w:r>
        </w:p>
      </w:docPartBody>
    </w:docPart>
    <w:docPart>
      <w:docPartPr>
        <w:name w:val="{8ed8df71-e0e2-4893-af0c-d8afcaf2150d}"/>
        <w:style w:val=""/>
        <w:category>
          <w:name w:val="常规"/>
          <w:gallery w:val="placeholder"/>
        </w:category>
        <w:types>
          <w:type w:val="bbPlcHdr"/>
        </w:types>
        <w:behaviors>
          <w:behavior w:val="content"/>
        </w:behaviors>
        <w:description w:val=""/>
        <w:guid w:val="{8ED8DF71-E0E2-4893-AF0C-D8AFCAF2150D}"/>
      </w:docPartPr>
      <w:docPartBody>
        <w:p>
          <w:r>
            <w:rPr>
              <w:color w:val="808080"/>
            </w:rPr>
            <w:t>单击此处输入文字。</w:t>
          </w:r>
        </w:p>
      </w:docPartBody>
    </w:docPart>
    <w:docPart>
      <w:docPartPr>
        <w:name w:val="{eea557ad-f2e1-429b-9932-c3f46ba09044}"/>
        <w:style w:val=""/>
        <w:category>
          <w:name w:val="常规"/>
          <w:gallery w:val="placeholder"/>
        </w:category>
        <w:types>
          <w:type w:val="bbPlcHdr"/>
        </w:types>
        <w:behaviors>
          <w:behavior w:val="content"/>
        </w:behaviors>
        <w:description w:val=""/>
        <w:guid w:val="{EEA557AD-F2E1-429B-9932-C3F46BA09044}"/>
      </w:docPartPr>
      <w:docPartBody>
        <w:p>
          <w:r>
            <w:rPr>
              <w:color w:val="808080"/>
            </w:rPr>
            <w:t>单击此处输入文字。</w:t>
          </w:r>
        </w:p>
      </w:docPartBody>
    </w:docPart>
    <w:docPart>
      <w:docPartPr>
        <w:name w:val="{e1faba4e-f1f9-4a88-aa0c-7773e91c039b}"/>
        <w:style w:val=""/>
        <w:category>
          <w:name w:val="常规"/>
          <w:gallery w:val="placeholder"/>
        </w:category>
        <w:types>
          <w:type w:val="bbPlcHdr"/>
        </w:types>
        <w:behaviors>
          <w:behavior w:val="content"/>
        </w:behaviors>
        <w:description w:val=""/>
        <w:guid w:val="{E1FABA4E-F1F9-4A88-AA0C-7773E91C039B}"/>
      </w:docPartPr>
      <w:docPartBody>
        <w:p>
          <w:r>
            <w:rPr>
              <w:color w:val="808080"/>
            </w:rPr>
            <w:t>单击此处输入文字。</w:t>
          </w:r>
        </w:p>
      </w:docPartBody>
    </w:docPart>
    <w:docPart>
      <w:docPartPr>
        <w:name w:val="{fcce553f-f479-4601-9b58-9156639476c8}"/>
        <w:style w:val=""/>
        <w:category>
          <w:name w:val="常规"/>
          <w:gallery w:val="placeholder"/>
        </w:category>
        <w:types>
          <w:type w:val="bbPlcHdr"/>
        </w:types>
        <w:behaviors>
          <w:behavior w:val="content"/>
        </w:behaviors>
        <w:description w:val=""/>
        <w:guid w:val="{FCCE553F-F479-4601-9B58-9156639476C8}"/>
      </w:docPartPr>
      <w:docPartBody>
        <w:p>
          <w:r>
            <w:rPr>
              <w:color w:val="808080"/>
            </w:rPr>
            <w:t>单击此处输入文字。</w:t>
          </w:r>
        </w:p>
      </w:docPartBody>
    </w:docPart>
    <w:docPart>
      <w:docPartPr>
        <w:name w:val="{c7e8795d-7b0e-4203-8368-c360a4a43a6c}"/>
        <w:style w:val=""/>
        <w:category>
          <w:name w:val="常规"/>
          <w:gallery w:val="placeholder"/>
        </w:category>
        <w:types>
          <w:type w:val="bbPlcHdr"/>
        </w:types>
        <w:behaviors>
          <w:behavior w:val="content"/>
        </w:behaviors>
        <w:description w:val=""/>
        <w:guid w:val="{C7E8795D-7B0E-4203-8368-C360A4A43A6C}"/>
      </w:docPartPr>
      <w:docPartBody>
        <w:p>
          <w:r>
            <w:rPr>
              <w:color w:val="808080"/>
            </w:rPr>
            <w:t>单击此处输入文字。</w:t>
          </w:r>
        </w:p>
      </w:docPartBody>
    </w:docPart>
    <w:docPart>
      <w:docPartPr>
        <w:name w:val="{00c04d42-3b22-4a7f-99d9-d16e88417bed}"/>
        <w:style w:val=""/>
        <w:category>
          <w:name w:val="常规"/>
          <w:gallery w:val="placeholder"/>
        </w:category>
        <w:types>
          <w:type w:val="bbPlcHdr"/>
        </w:types>
        <w:behaviors>
          <w:behavior w:val="content"/>
        </w:behaviors>
        <w:description w:val=""/>
        <w:guid w:val="{00C04D42-3B22-4A7F-99D9-D16E88417BED}"/>
      </w:docPartPr>
      <w:docPartBody>
        <w:p>
          <w:r>
            <w:rPr>
              <w:color w:val="808080"/>
            </w:rPr>
            <w:t>单击此处输入文字。</w:t>
          </w:r>
        </w:p>
      </w:docPartBody>
    </w:docPart>
    <w:docPart>
      <w:docPartPr>
        <w:name w:val="{07665a6e-813e-439e-9e17-93aa1ed1a8d3}"/>
        <w:style w:val=""/>
        <w:category>
          <w:name w:val="常规"/>
          <w:gallery w:val="placeholder"/>
        </w:category>
        <w:types>
          <w:type w:val="bbPlcHdr"/>
        </w:types>
        <w:behaviors>
          <w:behavior w:val="content"/>
        </w:behaviors>
        <w:description w:val=""/>
        <w:guid w:val="{07665A6E-813E-439E-9E17-93AA1ED1A8D3}"/>
      </w:docPartPr>
      <w:docPartBody>
        <w:p>
          <w:r>
            <w:rPr>
              <w:color w:val="808080"/>
            </w:rPr>
            <w:t>单击此处输入文字。</w:t>
          </w:r>
        </w:p>
      </w:docPartBody>
    </w:docPart>
    <w:docPart>
      <w:docPartPr>
        <w:name w:val="{4cf584a9-df64-4b1e-aeec-ec2980ed81c6}"/>
        <w:style w:val=""/>
        <w:category>
          <w:name w:val="常规"/>
          <w:gallery w:val="placeholder"/>
        </w:category>
        <w:types>
          <w:type w:val="bbPlcHdr"/>
        </w:types>
        <w:behaviors>
          <w:behavior w:val="content"/>
        </w:behaviors>
        <w:description w:val=""/>
        <w:guid w:val="{4CF584A9-DF64-4B1E-AEEC-EC2980ED81C6}"/>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D230FC"/>
    <w:rsid w:val="00C440A6"/>
    <w:rsid w:val="00D23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7EC2B-35C7-4C70-8126-5488208E6DA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2973</Words>
  <Characters>3245</Characters>
  <Lines>30</Lines>
  <Paragraphs>8</Paragraphs>
  <TotalTime>0</TotalTime>
  <ScaleCrop>false</ScaleCrop>
  <LinksUpToDate>false</LinksUpToDate>
  <CharactersWithSpaces>3325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2021-03-05T15:46:00Z</dcterms:created>
  <dc:creator>赵树子</dc:creator>
  <cp:lastModifiedBy>Administrator</cp:lastModifiedBy>
  <cp:lastPrinted>2017-02-23T16:48:00Z</cp:lastPrinted>
  <dcterms:modified xsi:type="dcterms:W3CDTF">2022-07-22T02:06:17Z</dcterms:modified>
  <dc:title>四川省财政厅2011年部门预算编制说明</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FBAC499CC0444271BE4FFF7B9887AC77</vt:lpwstr>
  </property>
</Properties>
</file>