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FFFFF"/>
        <w:spacing w:before="255" w:beforeAutospacing="0" w:after="255" w:afterAutospacing="0" w:line="600" w:lineRule="atLeast"/>
        <w:jc w:val="center"/>
        <w:rPr>
          <w:rFonts w:ascii="Times New Roman" w:hAnsi="Times New Roman" w:cs="Times New Roman"/>
          <w:color w:val="333333"/>
          <w:sz w:val="27"/>
          <w:szCs w:val="27"/>
        </w:rPr>
      </w:pPr>
      <w:r>
        <w:rPr>
          <w:rFonts w:ascii="Times New Roman" w:hAnsi="Times New Roman" w:eastAsia="方正小标宋简体" w:cs="Times New Roman"/>
          <w:color w:val="333333"/>
          <w:sz w:val="44"/>
          <w:szCs w:val="44"/>
        </w:rPr>
        <w:t>攀枝花市医疗保障局</w:t>
      </w:r>
    </w:p>
    <w:p>
      <w:pPr>
        <w:pStyle w:val="2"/>
        <w:shd w:val="clear" w:color="auto" w:fill="FFFFFF"/>
        <w:spacing w:before="255" w:beforeAutospacing="0" w:after="255" w:afterAutospacing="0" w:line="600" w:lineRule="atLeast"/>
        <w:jc w:val="center"/>
        <w:rPr>
          <w:rFonts w:ascii="Times New Roman" w:hAnsi="Times New Roman" w:cs="Times New Roman"/>
          <w:color w:val="333333"/>
          <w:sz w:val="27"/>
          <w:szCs w:val="27"/>
        </w:rPr>
      </w:pPr>
      <w:r>
        <w:rPr>
          <w:rFonts w:ascii="Times New Roman" w:hAnsi="Times New Roman" w:cs="Times New Roman"/>
          <w:color w:val="333333"/>
          <w:sz w:val="44"/>
          <w:szCs w:val="44"/>
        </w:rPr>
        <w:t>2021</w:t>
      </w:r>
      <w:r>
        <w:rPr>
          <w:rFonts w:ascii="Times New Roman" w:hAnsi="Times New Roman" w:eastAsia="方正小标宋简体" w:cs="Times New Roman"/>
          <w:color w:val="333333"/>
          <w:sz w:val="44"/>
          <w:szCs w:val="44"/>
        </w:rPr>
        <w:t>年部门预算编制说明</w:t>
      </w:r>
    </w:p>
    <w:p>
      <w:pPr>
        <w:pStyle w:val="2"/>
        <w:shd w:val="clear" w:color="auto" w:fill="FFFFFF"/>
        <w:spacing w:before="130" w:beforeAutospacing="0" w:after="255" w:afterAutospacing="0" w:line="600" w:lineRule="atLeast"/>
        <w:rPr>
          <w:rFonts w:ascii="Times New Roman" w:hAnsi="Times New Roman" w:cs="Times New Roman"/>
          <w:color w:val="333333"/>
          <w:sz w:val="27"/>
          <w:szCs w:val="27"/>
        </w:rPr>
      </w:pPr>
      <w:r>
        <w:rPr>
          <w:rFonts w:ascii="Times New Roman" w:hAnsi="Times New Roman" w:cs="Times New Roman"/>
          <w:color w:val="333333"/>
          <w:sz w:val="27"/>
          <w:szCs w:val="27"/>
        </w:rPr>
        <w:t>    </w:t>
      </w:r>
    </w:p>
    <w:p>
      <w:pPr>
        <w:pStyle w:val="2"/>
        <w:shd w:val="clear" w:color="auto" w:fill="FFFFFF"/>
        <w:spacing w:before="255" w:beforeAutospacing="0" w:after="255" w:afterAutospacing="0"/>
        <w:jc w:val="center"/>
        <w:rPr>
          <w:rFonts w:ascii="Times New Roman" w:hAnsi="Times New Roman" w:cs="Times New Roman"/>
          <w:color w:val="333333"/>
          <w:sz w:val="27"/>
          <w:szCs w:val="27"/>
        </w:rPr>
      </w:pPr>
      <w:r>
        <w:rPr>
          <w:rFonts w:ascii="Times New Roman" w:hAnsi="Times New Roman" w:eastAsia="黑体" w:cs="Times New Roman"/>
          <w:color w:val="333333"/>
          <w:sz w:val="32"/>
          <w:szCs w:val="32"/>
        </w:rPr>
        <w:t>目录</w:t>
      </w:r>
    </w:p>
    <w:p>
      <w:pPr>
        <w:pStyle w:val="2"/>
        <w:shd w:val="clear" w:color="auto" w:fill="FFFFFF"/>
        <w:spacing w:before="255" w:beforeAutospacing="0" w:after="255" w:afterAutospacing="0" w:line="440" w:lineRule="atLeast"/>
        <w:jc w:val="both"/>
        <w:rPr>
          <w:rFonts w:ascii="Times New Roman" w:hAnsi="Times New Roman" w:cs="Times New Roman"/>
          <w:color w:val="333333"/>
          <w:sz w:val="27"/>
          <w:szCs w:val="27"/>
        </w:rPr>
      </w:pPr>
      <w:r>
        <w:rPr>
          <w:rFonts w:ascii="Times New Roman" w:hAnsi="Times New Roman" w:eastAsia="仿宋_GB2312" w:cs="Times New Roman"/>
          <w:color w:val="333333"/>
        </w:rPr>
        <w:t>一、基本职能及主要工作……………………………………………………………2</w:t>
      </w:r>
    </w:p>
    <w:p>
      <w:pPr>
        <w:pStyle w:val="2"/>
        <w:shd w:val="clear" w:color="auto" w:fill="FFFFFF"/>
        <w:spacing w:before="255" w:beforeAutospacing="0" w:after="255" w:afterAutospacing="0" w:line="440" w:lineRule="atLeast"/>
        <w:jc w:val="both"/>
        <w:rPr>
          <w:rFonts w:ascii="Times New Roman" w:hAnsi="Times New Roman" w:cs="Times New Roman"/>
          <w:color w:val="333333"/>
          <w:sz w:val="27"/>
          <w:szCs w:val="27"/>
        </w:rPr>
      </w:pPr>
      <w:r>
        <w:rPr>
          <w:rFonts w:ascii="Times New Roman" w:hAnsi="Times New Roman" w:eastAsia="仿宋_GB2312" w:cs="Times New Roman"/>
          <w:color w:val="333333"/>
        </w:rPr>
        <w:t>（一）市医保局职能简介……………………………………………………………2</w:t>
      </w:r>
    </w:p>
    <w:p>
      <w:pPr>
        <w:pStyle w:val="2"/>
        <w:shd w:val="clear" w:color="auto" w:fill="FFFFFF"/>
        <w:spacing w:before="255" w:beforeAutospacing="0" w:after="255" w:afterAutospacing="0" w:line="440" w:lineRule="atLeast"/>
        <w:jc w:val="both"/>
        <w:rPr>
          <w:rFonts w:ascii="Times New Roman" w:hAnsi="Times New Roman" w:cs="Times New Roman"/>
          <w:color w:val="333333"/>
          <w:sz w:val="27"/>
          <w:szCs w:val="27"/>
        </w:rPr>
      </w:pPr>
      <w:r>
        <w:rPr>
          <w:rFonts w:ascii="Times New Roman" w:hAnsi="Times New Roman" w:eastAsia="仿宋_GB2312" w:cs="Times New Roman"/>
          <w:color w:val="333333"/>
        </w:rPr>
        <w:t>（二）市医保局</w:t>
      </w:r>
      <w:r>
        <w:rPr>
          <w:rFonts w:ascii="Times New Roman" w:hAnsi="Times New Roman" w:cs="Times New Roman"/>
          <w:color w:val="333333"/>
        </w:rPr>
        <w:t>2021</w:t>
      </w:r>
      <w:r>
        <w:rPr>
          <w:rFonts w:ascii="Times New Roman" w:hAnsi="Times New Roman" w:eastAsia="仿宋_GB2312" w:cs="Times New Roman"/>
          <w:color w:val="333333"/>
        </w:rPr>
        <w:t>年重点工作…………………………………………… …….4</w:t>
      </w:r>
    </w:p>
    <w:p>
      <w:pPr>
        <w:pStyle w:val="2"/>
        <w:shd w:val="clear" w:color="auto" w:fill="FFFFFF"/>
        <w:spacing w:before="255" w:beforeAutospacing="0" w:after="255" w:afterAutospacing="0" w:line="440" w:lineRule="atLeast"/>
        <w:jc w:val="both"/>
        <w:rPr>
          <w:rFonts w:ascii="Times New Roman" w:hAnsi="Times New Roman" w:cs="Times New Roman"/>
          <w:color w:val="333333"/>
          <w:sz w:val="27"/>
          <w:szCs w:val="27"/>
        </w:rPr>
      </w:pPr>
      <w:r>
        <w:rPr>
          <w:rFonts w:ascii="Times New Roman" w:hAnsi="Times New Roman" w:eastAsia="仿宋_GB2312" w:cs="Times New Roman"/>
          <w:color w:val="333333"/>
        </w:rPr>
        <w:t>二、机构设置情况……………………………………………………………………4</w:t>
      </w:r>
    </w:p>
    <w:p>
      <w:pPr>
        <w:pStyle w:val="2"/>
        <w:shd w:val="clear" w:color="auto" w:fill="FFFFFF"/>
        <w:spacing w:before="255" w:beforeAutospacing="0" w:after="255" w:afterAutospacing="0" w:line="440" w:lineRule="atLeast"/>
        <w:jc w:val="both"/>
        <w:rPr>
          <w:rFonts w:ascii="Times New Roman" w:hAnsi="Times New Roman" w:cs="Times New Roman"/>
          <w:color w:val="333333"/>
          <w:sz w:val="27"/>
          <w:szCs w:val="27"/>
        </w:rPr>
      </w:pPr>
      <w:r>
        <w:rPr>
          <w:rFonts w:ascii="Times New Roman" w:hAnsi="Times New Roman" w:eastAsia="仿宋_GB2312" w:cs="Times New Roman"/>
          <w:color w:val="333333"/>
        </w:rPr>
        <w:t>三、收支预算情况说明………………………………………………………………4</w:t>
      </w:r>
    </w:p>
    <w:p>
      <w:pPr>
        <w:pStyle w:val="2"/>
        <w:shd w:val="clear" w:color="auto" w:fill="FFFFFF"/>
        <w:spacing w:before="0" w:beforeAutospacing="0" w:after="255" w:afterAutospacing="0" w:line="440" w:lineRule="atLeast"/>
        <w:jc w:val="both"/>
        <w:rPr>
          <w:rFonts w:ascii="Times New Roman" w:hAnsi="Times New Roman" w:cs="Times New Roman"/>
          <w:color w:val="333333"/>
          <w:sz w:val="27"/>
          <w:szCs w:val="27"/>
        </w:rPr>
      </w:pPr>
      <w:r>
        <w:rPr>
          <w:rFonts w:ascii="Times New Roman" w:hAnsi="Times New Roman" w:eastAsia="仿宋_GB2312" w:cs="Times New Roman"/>
          <w:color w:val="333333"/>
        </w:rPr>
        <w:t>（一）收入预算情况…………………………………………………………………5</w:t>
      </w:r>
    </w:p>
    <w:p>
      <w:pPr>
        <w:pStyle w:val="2"/>
        <w:shd w:val="clear" w:color="auto" w:fill="FFFFFF"/>
        <w:spacing w:before="255" w:beforeAutospacing="0" w:after="255" w:afterAutospacing="0" w:line="440" w:lineRule="atLeast"/>
        <w:jc w:val="both"/>
        <w:rPr>
          <w:rFonts w:ascii="Times New Roman" w:hAnsi="Times New Roman" w:cs="Times New Roman"/>
          <w:color w:val="333333"/>
          <w:sz w:val="27"/>
          <w:szCs w:val="27"/>
        </w:rPr>
      </w:pPr>
      <w:r>
        <w:rPr>
          <w:rFonts w:ascii="Times New Roman" w:hAnsi="Times New Roman" w:eastAsia="仿宋_GB2312" w:cs="Times New Roman"/>
          <w:color w:val="333333"/>
        </w:rPr>
        <w:t>（二）支出预算情况…………………………………………………………………6</w:t>
      </w:r>
    </w:p>
    <w:p>
      <w:pPr>
        <w:pStyle w:val="2"/>
        <w:shd w:val="clear" w:color="auto" w:fill="FFFFFF"/>
        <w:spacing w:before="255" w:beforeAutospacing="0" w:after="255" w:afterAutospacing="0" w:line="440" w:lineRule="atLeast"/>
        <w:jc w:val="both"/>
        <w:rPr>
          <w:rFonts w:ascii="Times New Roman" w:hAnsi="Times New Roman" w:cs="Times New Roman"/>
          <w:color w:val="333333"/>
          <w:sz w:val="27"/>
          <w:szCs w:val="27"/>
        </w:rPr>
      </w:pPr>
      <w:r>
        <w:rPr>
          <w:rFonts w:ascii="Times New Roman" w:hAnsi="Times New Roman" w:eastAsia="仿宋_GB2312" w:cs="Times New Roman"/>
          <w:color w:val="333333"/>
        </w:rPr>
        <w:t>四、财政拨款收支预算情况说明……………………………………………………6</w:t>
      </w:r>
    </w:p>
    <w:p>
      <w:pPr>
        <w:pStyle w:val="2"/>
        <w:shd w:val="clear" w:color="auto" w:fill="FFFFFF"/>
        <w:spacing w:before="255" w:beforeAutospacing="0" w:after="255" w:afterAutospacing="0" w:line="440" w:lineRule="atLeast"/>
        <w:jc w:val="both"/>
        <w:rPr>
          <w:rFonts w:ascii="Times New Roman" w:hAnsi="Times New Roman" w:cs="Times New Roman"/>
          <w:color w:val="333333"/>
          <w:sz w:val="27"/>
          <w:szCs w:val="27"/>
        </w:rPr>
      </w:pPr>
      <w:r>
        <w:rPr>
          <w:rFonts w:ascii="Times New Roman" w:hAnsi="Times New Roman" w:eastAsia="仿宋_GB2312" w:cs="Times New Roman"/>
          <w:color w:val="333333"/>
        </w:rPr>
        <w:t>五、一般公共预算当年拨款情况说明………………………………………………6</w:t>
      </w:r>
    </w:p>
    <w:p>
      <w:pPr>
        <w:pStyle w:val="2"/>
        <w:shd w:val="clear" w:color="auto" w:fill="FFFFFF"/>
        <w:spacing w:before="255" w:beforeAutospacing="0" w:after="255" w:afterAutospacing="0" w:line="440" w:lineRule="atLeast"/>
        <w:jc w:val="both"/>
        <w:rPr>
          <w:rFonts w:ascii="Times New Roman" w:hAnsi="Times New Roman" w:cs="Times New Roman"/>
          <w:color w:val="333333"/>
          <w:sz w:val="27"/>
          <w:szCs w:val="27"/>
        </w:rPr>
      </w:pPr>
      <w:r>
        <w:rPr>
          <w:rFonts w:ascii="Times New Roman" w:hAnsi="Times New Roman" w:eastAsia="仿宋_GB2312" w:cs="Times New Roman"/>
          <w:color w:val="333333"/>
        </w:rPr>
        <w:t>（一）一般公共预算当年拨款规模变化情况………………………………………6</w:t>
      </w:r>
    </w:p>
    <w:p>
      <w:pPr>
        <w:pStyle w:val="2"/>
        <w:shd w:val="clear" w:color="auto" w:fill="FFFFFF"/>
        <w:spacing w:before="255" w:beforeAutospacing="0" w:after="255" w:afterAutospacing="0" w:line="440" w:lineRule="atLeast"/>
        <w:jc w:val="both"/>
        <w:rPr>
          <w:rFonts w:ascii="Times New Roman" w:hAnsi="Times New Roman" w:cs="Times New Roman"/>
          <w:color w:val="333333"/>
          <w:sz w:val="27"/>
          <w:szCs w:val="27"/>
        </w:rPr>
      </w:pPr>
      <w:r>
        <w:rPr>
          <w:rFonts w:ascii="Times New Roman" w:hAnsi="Times New Roman" w:eastAsia="仿宋_GB2312" w:cs="Times New Roman"/>
          <w:color w:val="333333"/>
        </w:rPr>
        <w:t>（二）一般公共预算当年拨款结构情况……………………………………………6</w:t>
      </w:r>
    </w:p>
    <w:p>
      <w:pPr>
        <w:pStyle w:val="2"/>
        <w:shd w:val="clear" w:color="auto" w:fill="FFFFFF"/>
        <w:spacing w:before="255" w:beforeAutospacing="0" w:after="255" w:afterAutospacing="0" w:line="440" w:lineRule="atLeast"/>
        <w:jc w:val="both"/>
        <w:rPr>
          <w:rFonts w:ascii="Times New Roman" w:hAnsi="Times New Roman" w:cs="Times New Roman"/>
          <w:color w:val="333333"/>
          <w:sz w:val="27"/>
          <w:szCs w:val="27"/>
        </w:rPr>
      </w:pPr>
      <w:r>
        <w:rPr>
          <w:rFonts w:ascii="Times New Roman" w:hAnsi="Times New Roman" w:eastAsia="仿宋_GB2312" w:cs="Times New Roman"/>
          <w:color w:val="333333"/>
        </w:rPr>
        <w:t>（三）一般公共预算当年拨款具体使用情况………………………………………7</w:t>
      </w:r>
    </w:p>
    <w:p>
      <w:pPr>
        <w:pStyle w:val="2"/>
        <w:shd w:val="clear" w:color="auto" w:fill="FFFFFF"/>
        <w:spacing w:before="255" w:beforeAutospacing="0" w:after="255" w:afterAutospacing="0" w:line="440" w:lineRule="atLeast"/>
        <w:jc w:val="both"/>
        <w:rPr>
          <w:rFonts w:ascii="Times New Roman" w:hAnsi="Times New Roman" w:cs="Times New Roman"/>
          <w:color w:val="333333"/>
          <w:sz w:val="27"/>
          <w:szCs w:val="27"/>
        </w:rPr>
      </w:pPr>
      <w:r>
        <w:rPr>
          <w:rFonts w:ascii="Times New Roman" w:hAnsi="Times New Roman" w:eastAsia="仿宋_GB2312" w:cs="Times New Roman"/>
          <w:color w:val="333333"/>
        </w:rPr>
        <w:t>六、一般公共预算基本支出情况说明………………………………………………7</w:t>
      </w:r>
    </w:p>
    <w:p>
      <w:pPr>
        <w:pStyle w:val="2"/>
        <w:shd w:val="clear" w:color="auto" w:fill="FFFFFF"/>
        <w:spacing w:before="255" w:beforeAutospacing="0" w:after="255" w:afterAutospacing="0" w:line="440" w:lineRule="atLeast"/>
        <w:jc w:val="both"/>
        <w:rPr>
          <w:rFonts w:ascii="Times New Roman" w:hAnsi="Times New Roman" w:cs="Times New Roman"/>
          <w:color w:val="333333"/>
          <w:sz w:val="27"/>
          <w:szCs w:val="27"/>
        </w:rPr>
      </w:pPr>
      <w:r>
        <w:rPr>
          <w:rFonts w:ascii="Times New Roman" w:hAnsi="Times New Roman" w:eastAsia="仿宋_GB2312" w:cs="Times New Roman"/>
          <w:color w:val="333333"/>
        </w:rPr>
        <w:t>七、“三公”经费财政拨款预算安排情况说明………………………………………8</w:t>
      </w:r>
    </w:p>
    <w:p>
      <w:pPr>
        <w:pStyle w:val="2"/>
        <w:shd w:val="clear" w:color="auto" w:fill="FFFFFF"/>
        <w:spacing w:before="255" w:beforeAutospacing="0" w:after="255" w:afterAutospacing="0" w:line="440" w:lineRule="atLeast"/>
        <w:jc w:val="both"/>
        <w:rPr>
          <w:rFonts w:ascii="Times New Roman" w:hAnsi="Times New Roman" w:cs="Times New Roman"/>
          <w:color w:val="333333"/>
          <w:sz w:val="27"/>
          <w:szCs w:val="27"/>
        </w:rPr>
      </w:pPr>
      <w:r>
        <w:rPr>
          <w:rFonts w:ascii="Times New Roman" w:hAnsi="Times New Roman" w:eastAsia="仿宋_GB2312" w:cs="Times New Roman"/>
          <w:color w:val="333333"/>
        </w:rPr>
        <w:t>八、政府性基金预算支出情况说明…………………………………………………9</w:t>
      </w:r>
    </w:p>
    <w:p>
      <w:pPr>
        <w:pStyle w:val="2"/>
        <w:shd w:val="clear" w:color="auto" w:fill="FFFFFF"/>
        <w:spacing w:before="255" w:beforeAutospacing="0" w:after="255" w:afterAutospacing="0" w:line="440" w:lineRule="atLeast"/>
        <w:jc w:val="both"/>
        <w:rPr>
          <w:rFonts w:ascii="Times New Roman" w:hAnsi="Times New Roman" w:cs="Times New Roman"/>
          <w:color w:val="333333"/>
          <w:sz w:val="27"/>
          <w:szCs w:val="27"/>
        </w:rPr>
      </w:pPr>
      <w:r>
        <w:rPr>
          <w:rFonts w:ascii="Times New Roman" w:hAnsi="Times New Roman" w:eastAsia="仿宋_GB2312" w:cs="Times New Roman"/>
          <w:color w:val="333333"/>
        </w:rPr>
        <w:t>九、其他重要事项的情况说明………………………………………………………9</w:t>
      </w:r>
    </w:p>
    <w:p>
      <w:pPr>
        <w:pStyle w:val="2"/>
        <w:shd w:val="clear" w:color="auto" w:fill="FFFFFF"/>
        <w:spacing w:before="255" w:beforeAutospacing="0" w:after="255" w:afterAutospacing="0" w:line="440" w:lineRule="atLeast"/>
        <w:jc w:val="both"/>
        <w:rPr>
          <w:rFonts w:ascii="Times New Roman" w:hAnsi="Times New Roman" w:cs="Times New Roman"/>
          <w:color w:val="333333"/>
          <w:sz w:val="27"/>
          <w:szCs w:val="27"/>
        </w:rPr>
      </w:pPr>
      <w:r>
        <w:rPr>
          <w:rFonts w:ascii="Times New Roman" w:hAnsi="Times New Roman" w:eastAsia="仿宋_GB2312" w:cs="Times New Roman"/>
          <w:color w:val="333333"/>
        </w:rPr>
        <w:t>（一）机关运行经费…………………………………………………………………9</w:t>
      </w:r>
    </w:p>
    <w:p>
      <w:pPr>
        <w:pStyle w:val="2"/>
        <w:shd w:val="clear" w:color="auto" w:fill="FFFFFF"/>
        <w:spacing w:before="255" w:beforeAutospacing="0" w:after="255" w:afterAutospacing="0" w:line="440" w:lineRule="atLeast"/>
        <w:jc w:val="both"/>
        <w:rPr>
          <w:rFonts w:ascii="Times New Roman" w:hAnsi="Times New Roman" w:cs="Times New Roman"/>
          <w:color w:val="333333"/>
          <w:sz w:val="27"/>
          <w:szCs w:val="27"/>
        </w:rPr>
      </w:pPr>
      <w:r>
        <w:rPr>
          <w:rFonts w:ascii="Times New Roman" w:hAnsi="Times New Roman" w:eastAsia="仿宋_GB2312" w:cs="Times New Roman"/>
          <w:color w:val="333333"/>
        </w:rPr>
        <w:t>（二）国有资产占有使用情况………………………………………………………9</w:t>
      </w:r>
    </w:p>
    <w:p>
      <w:pPr>
        <w:pStyle w:val="2"/>
        <w:shd w:val="clear" w:color="auto" w:fill="FFFFFF"/>
        <w:spacing w:before="255" w:beforeAutospacing="0" w:after="255" w:afterAutospacing="0" w:line="440" w:lineRule="atLeast"/>
        <w:jc w:val="both"/>
        <w:rPr>
          <w:rFonts w:ascii="Times New Roman" w:hAnsi="Times New Roman" w:cs="Times New Roman"/>
          <w:color w:val="333333"/>
          <w:sz w:val="27"/>
          <w:szCs w:val="27"/>
        </w:rPr>
      </w:pPr>
      <w:r>
        <w:rPr>
          <w:rFonts w:ascii="Times New Roman" w:hAnsi="Times New Roman" w:eastAsia="仿宋_GB2312" w:cs="Times New Roman"/>
          <w:color w:val="333333"/>
        </w:rPr>
        <w:t>（三）绩效目标设置情况……………………………………………………………9</w:t>
      </w:r>
    </w:p>
    <w:p>
      <w:pPr>
        <w:pStyle w:val="2"/>
        <w:shd w:val="clear" w:color="auto" w:fill="FFFFFF"/>
        <w:spacing w:before="255" w:beforeAutospacing="0" w:after="255" w:afterAutospacing="0" w:line="440" w:lineRule="atLeast"/>
        <w:jc w:val="both"/>
        <w:rPr>
          <w:rFonts w:ascii="Times New Roman" w:hAnsi="Times New Roman" w:cs="Times New Roman"/>
          <w:color w:val="333333"/>
          <w:sz w:val="27"/>
          <w:szCs w:val="27"/>
        </w:rPr>
      </w:pPr>
      <w:r>
        <w:rPr>
          <w:rFonts w:ascii="Times New Roman" w:hAnsi="Times New Roman" w:eastAsia="仿宋_GB2312" w:cs="Times New Roman"/>
          <w:color w:val="333333"/>
        </w:rPr>
        <w:t>（四）政府采购预算安排情况………………………………………………………9</w:t>
      </w:r>
    </w:p>
    <w:p>
      <w:pPr>
        <w:pStyle w:val="2"/>
        <w:shd w:val="clear" w:color="auto" w:fill="FFFFFF"/>
        <w:spacing w:before="255" w:beforeAutospacing="0" w:after="255" w:afterAutospacing="0" w:line="440" w:lineRule="atLeast"/>
        <w:jc w:val="both"/>
        <w:rPr>
          <w:rFonts w:ascii="Times New Roman" w:hAnsi="Times New Roman" w:cs="Times New Roman"/>
          <w:color w:val="333333"/>
          <w:sz w:val="27"/>
          <w:szCs w:val="27"/>
        </w:rPr>
      </w:pPr>
      <w:r>
        <w:rPr>
          <w:rFonts w:ascii="Times New Roman" w:hAnsi="Times New Roman" w:eastAsia="仿宋_GB2312" w:cs="Times New Roman"/>
          <w:color w:val="333333"/>
        </w:rPr>
        <w:t>十、名词解释…………………………………………………………………………10</w:t>
      </w:r>
    </w:p>
    <w:p>
      <w:pPr>
        <w:pStyle w:val="2"/>
        <w:shd w:val="clear" w:color="auto" w:fill="FFFFFF"/>
        <w:spacing w:before="255" w:beforeAutospacing="0" w:after="255" w:afterAutospacing="0" w:line="440" w:lineRule="atLeast"/>
        <w:jc w:val="both"/>
        <w:rPr>
          <w:rFonts w:ascii="Times New Roman" w:hAnsi="Times New Roman" w:cs="Times New Roman"/>
          <w:color w:val="333333"/>
          <w:sz w:val="27"/>
          <w:szCs w:val="27"/>
        </w:rPr>
      </w:pPr>
      <w:r>
        <w:rPr>
          <w:rFonts w:ascii="Times New Roman" w:hAnsi="Times New Roman" w:eastAsia="仿宋_GB2312" w:cs="Times New Roman"/>
          <w:color w:val="333333"/>
        </w:rPr>
        <w:t>附表…………………………………………………………………………………..11</w:t>
      </w:r>
    </w:p>
    <w:p>
      <w:pPr>
        <w:pStyle w:val="2"/>
        <w:shd w:val="clear" w:color="auto" w:fill="FFFFFF"/>
        <w:spacing w:before="130" w:beforeAutospacing="0" w:after="255" w:afterAutospacing="0" w:line="600" w:lineRule="atLeast"/>
        <w:rPr>
          <w:rFonts w:ascii="Times New Roman" w:hAnsi="Times New Roman" w:cs="Times New Roman"/>
          <w:color w:val="333333"/>
          <w:sz w:val="27"/>
          <w:szCs w:val="27"/>
        </w:rPr>
      </w:pPr>
      <w:r>
        <w:rPr>
          <w:rFonts w:ascii="Times New Roman" w:hAnsi="Times New Roman" w:cs="Times New Roman"/>
          <w:color w:val="333333"/>
          <w:sz w:val="27"/>
          <w:szCs w:val="27"/>
        </w:rPr>
        <w:t> </w:t>
      </w:r>
    </w:p>
    <w:p>
      <w:pPr>
        <w:pStyle w:val="2"/>
        <w:shd w:val="clear" w:color="auto" w:fill="FFFFFF"/>
        <w:spacing w:before="130" w:beforeAutospacing="0" w:after="255" w:afterAutospacing="0" w:line="600" w:lineRule="atLeast"/>
        <w:rPr>
          <w:rFonts w:ascii="Times New Roman" w:hAnsi="Times New Roman" w:cs="Times New Roman"/>
          <w:color w:val="333333"/>
          <w:sz w:val="27"/>
          <w:szCs w:val="27"/>
        </w:rPr>
      </w:pPr>
      <w:r>
        <w:rPr>
          <w:rFonts w:ascii="Times New Roman" w:hAnsi="Times New Roman" w:cs="Times New Roman"/>
          <w:color w:val="333333"/>
          <w:sz w:val="27"/>
          <w:szCs w:val="27"/>
        </w:rPr>
        <w:t> </w:t>
      </w:r>
    </w:p>
    <w:p>
      <w:pPr>
        <w:pStyle w:val="2"/>
        <w:shd w:val="clear" w:color="auto" w:fill="FFFFFF"/>
        <w:spacing w:before="130" w:beforeAutospacing="0" w:after="255" w:afterAutospacing="0" w:line="600" w:lineRule="atLeast"/>
        <w:rPr>
          <w:rFonts w:ascii="Times New Roman" w:hAnsi="Times New Roman" w:cs="Times New Roman"/>
          <w:color w:val="333333"/>
          <w:sz w:val="27"/>
          <w:szCs w:val="27"/>
        </w:rPr>
      </w:pPr>
      <w:r>
        <w:rPr>
          <w:rFonts w:ascii="Times New Roman" w:hAnsi="Times New Roman" w:cs="Times New Roman"/>
          <w:color w:val="333333"/>
          <w:sz w:val="27"/>
          <w:szCs w:val="27"/>
        </w:rPr>
        <w:t> </w:t>
      </w:r>
    </w:p>
    <w:p>
      <w:pPr>
        <w:pStyle w:val="2"/>
        <w:shd w:val="clear" w:color="auto" w:fill="FFFFFF"/>
        <w:spacing w:before="130" w:beforeAutospacing="0" w:after="255" w:afterAutospacing="0" w:line="600" w:lineRule="atLeast"/>
        <w:rPr>
          <w:rFonts w:ascii="Times New Roman" w:hAnsi="Times New Roman" w:cs="Times New Roman"/>
          <w:color w:val="333333"/>
          <w:sz w:val="27"/>
          <w:szCs w:val="27"/>
        </w:rPr>
      </w:pPr>
    </w:p>
    <w:p>
      <w:pPr>
        <w:pStyle w:val="2"/>
        <w:shd w:val="clear" w:color="auto" w:fill="FFFFFF"/>
        <w:spacing w:before="130" w:beforeAutospacing="0" w:after="255" w:afterAutospacing="0" w:line="600" w:lineRule="atLeast"/>
        <w:rPr>
          <w:rFonts w:ascii="Times New Roman" w:hAnsi="Times New Roman" w:cs="Times New Roman"/>
          <w:color w:val="333333"/>
          <w:sz w:val="27"/>
          <w:szCs w:val="27"/>
        </w:rPr>
      </w:pPr>
    </w:p>
    <w:p>
      <w:pPr>
        <w:pStyle w:val="2"/>
        <w:shd w:val="clear" w:color="auto" w:fill="FFFFFF"/>
        <w:spacing w:before="130" w:beforeAutospacing="0" w:after="255" w:afterAutospacing="0" w:line="600" w:lineRule="atLeast"/>
        <w:rPr>
          <w:rFonts w:ascii="Times New Roman" w:hAnsi="Times New Roman" w:cs="Times New Roman"/>
          <w:color w:val="333333"/>
          <w:sz w:val="27"/>
          <w:szCs w:val="27"/>
        </w:rPr>
      </w:pPr>
    </w:p>
    <w:p>
      <w:pPr>
        <w:pStyle w:val="2"/>
        <w:shd w:val="clear" w:color="auto" w:fill="FFFFFF"/>
        <w:spacing w:before="130" w:beforeAutospacing="0" w:after="255" w:afterAutospacing="0" w:line="600" w:lineRule="atLeast"/>
        <w:rPr>
          <w:rFonts w:ascii="Times New Roman" w:hAnsi="Times New Roman" w:cs="Times New Roman"/>
          <w:color w:val="333333"/>
          <w:sz w:val="27"/>
          <w:szCs w:val="27"/>
        </w:rPr>
      </w:pPr>
    </w:p>
    <w:p>
      <w:pPr>
        <w:pStyle w:val="2"/>
        <w:shd w:val="clear" w:color="auto" w:fill="FFFFFF"/>
        <w:spacing w:before="130" w:beforeAutospacing="0" w:after="255" w:afterAutospacing="0" w:line="600" w:lineRule="atLeast"/>
        <w:rPr>
          <w:rFonts w:ascii="Times New Roman" w:hAnsi="Times New Roman" w:cs="Times New Roman"/>
          <w:color w:val="333333"/>
          <w:sz w:val="27"/>
          <w:szCs w:val="27"/>
        </w:rPr>
      </w:pPr>
    </w:p>
    <w:p>
      <w:pPr>
        <w:pStyle w:val="2"/>
        <w:shd w:val="clear" w:color="auto" w:fill="FFFFFF"/>
        <w:spacing w:before="130" w:beforeAutospacing="0" w:after="255" w:afterAutospacing="0" w:line="600" w:lineRule="atLeast"/>
        <w:rPr>
          <w:rFonts w:ascii="Times New Roman" w:hAnsi="Times New Roman" w:cs="Times New Roman"/>
          <w:color w:val="333333"/>
          <w:sz w:val="27"/>
          <w:szCs w:val="27"/>
        </w:rPr>
      </w:pPr>
    </w:p>
    <w:p>
      <w:pPr>
        <w:pStyle w:val="2"/>
        <w:shd w:val="clear" w:color="auto" w:fill="FFFFFF"/>
        <w:spacing w:before="130" w:beforeAutospacing="0" w:after="255" w:afterAutospacing="0" w:line="600" w:lineRule="atLeast"/>
        <w:rPr>
          <w:rFonts w:ascii="Times New Roman" w:hAnsi="Times New Roman" w:cs="Times New Roman"/>
          <w:color w:val="333333"/>
          <w:sz w:val="27"/>
          <w:szCs w:val="27"/>
        </w:rPr>
      </w:pP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黑体" w:cs="Times New Roman"/>
          <w:color w:val="333333"/>
          <w:sz w:val="32"/>
          <w:szCs w:val="32"/>
        </w:rPr>
        <w:t>一、基本职能及主要工作</w:t>
      </w:r>
    </w:p>
    <w:p>
      <w:pPr>
        <w:pStyle w:val="2"/>
        <w:shd w:val="clear" w:color="auto" w:fill="FFFFFF"/>
        <w:spacing w:before="130" w:beforeAutospacing="0" w:after="255" w:afterAutospacing="0" w:line="405" w:lineRule="atLeast"/>
        <w:ind w:firstLine="675"/>
        <w:rPr>
          <w:rFonts w:ascii="Times New Roman" w:hAnsi="Times New Roman" w:cs="Times New Roman"/>
          <w:color w:val="333333"/>
          <w:sz w:val="27"/>
          <w:szCs w:val="27"/>
        </w:rPr>
      </w:pPr>
      <w:r>
        <w:rPr>
          <w:rStyle w:val="5"/>
          <w:rFonts w:ascii="Times New Roman" w:hAnsi="Times New Roman" w:eastAsia="楷体_GB2312" w:cs="Times New Roman"/>
          <w:color w:val="333333"/>
          <w:sz w:val="32"/>
          <w:szCs w:val="32"/>
        </w:rPr>
        <w:t>（一）市医疗保障局（以下简称“市医保局”）职能简介。</w:t>
      </w:r>
    </w:p>
    <w:p>
      <w:pPr>
        <w:pStyle w:val="2"/>
        <w:shd w:val="clear" w:color="auto" w:fill="FFFFFF"/>
        <w:spacing w:before="255" w:beforeAutospacing="0" w:after="255" w:afterAutospacing="0" w:line="405" w:lineRule="atLeast"/>
        <w:ind w:firstLine="640" w:firstLineChars="200"/>
        <w:rPr>
          <w:rFonts w:ascii="Times New Roman" w:hAnsi="Times New Roman" w:eastAsia="仿宋_GB2312" w:cs="Times New Roman"/>
          <w:color w:val="333333"/>
          <w:sz w:val="32"/>
          <w:szCs w:val="32"/>
        </w:rPr>
      </w:pPr>
      <w:r>
        <w:rPr>
          <w:rFonts w:ascii="Times New Roman" w:hAnsi="Times New Roman" w:cs="Times New Roman"/>
          <w:color w:val="333333"/>
          <w:sz w:val="32"/>
          <w:szCs w:val="32"/>
        </w:rPr>
        <w:t>1.</w:t>
      </w:r>
      <w:r>
        <w:rPr>
          <w:rFonts w:ascii="Times New Roman" w:hAnsi="Times New Roman" w:eastAsia="仿宋_GB2312" w:cs="Times New Roman"/>
          <w:color w:val="333333"/>
          <w:sz w:val="32"/>
          <w:szCs w:val="32"/>
        </w:rPr>
        <w:t>贯彻执行医疗保险、生育保险、医疗救助等医疗保障法律、法规、规章。拟订全市医疗保障事业发展规划、政策和标准，并组织实施和监督检查。</w:t>
      </w:r>
    </w:p>
    <w:p>
      <w:pPr>
        <w:pStyle w:val="2"/>
        <w:shd w:val="clear" w:color="auto" w:fill="FFFFFF"/>
        <w:spacing w:before="255" w:beforeAutospacing="0" w:after="255" w:afterAutospacing="0" w:line="405" w:lineRule="atLeast"/>
        <w:ind w:firstLine="640" w:firstLineChars="200"/>
        <w:rPr>
          <w:rFonts w:ascii="Times New Roman" w:hAnsi="Times New Roman" w:eastAsia="仿宋_GB2312" w:cs="Times New Roman"/>
          <w:color w:val="333333"/>
          <w:sz w:val="32"/>
          <w:szCs w:val="32"/>
        </w:rPr>
      </w:pPr>
      <w:r>
        <w:rPr>
          <w:rFonts w:ascii="Times New Roman" w:hAnsi="Times New Roman" w:cs="Times New Roman"/>
          <w:color w:val="333333"/>
          <w:sz w:val="32"/>
          <w:szCs w:val="32"/>
        </w:rPr>
        <w:t>2.</w:t>
      </w:r>
      <w:r>
        <w:rPr>
          <w:rFonts w:ascii="Times New Roman" w:hAnsi="Times New Roman" w:eastAsia="仿宋_GB2312" w:cs="Times New Roman"/>
          <w:color w:val="333333"/>
          <w:sz w:val="32"/>
          <w:szCs w:val="32"/>
        </w:rPr>
        <w:t>组织拟订并实施医疗保障基金监督管理制度，建立健全医疗保障基金安全防控机制，监督强化全市医疗保障基金运行管理。</w:t>
      </w:r>
    </w:p>
    <w:p>
      <w:pPr>
        <w:pStyle w:val="2"/>
        <w:shd w:val="clear" w:color="auto" w:fill="FFFFFF"/>
        <w:spacing w:before="255" w:beforeAutospacing="0" w:after="255" w:afterAutospacing="0" w:line="405" w:lineRule="atLeast"/>
        <w:ind w:firstLine="640" w:firstLineChars="200"/>
        <w:rPr>
          <w:rFonts w:ascii="Times New Roman" w:hAnsi="Times New Roman" w:eastAsia="仿宋_GB2312" w:cs="Times New Roman"/>
          <w:color w:val="333333"/>
          <w:sz w:val="32"/>
          <w:szCs w:val="32"/>
        </w:rPr>
      </w:pPr>
      <w:r>
        <w:rPr>
          <w:rFonts w:ascii="Times New Roman" w:hAnsi="Times New Roman" w:cs="Times New Roman"/>
          <w:color w:val="333333"/>
          <w:sz w:val="32"/>
          <w:szCs w:val="32"/>
        </w:rPr>
        <w:t>3.</w:t>
      </w:r>
      <w:r>
        <w:rPr>
          <w:rFonts w:ascii="Times New Roman" w:hAnsi="Times New Roman" w:eastAsia="仿宋_GB2312" w:cs="Times New Roman"/>
          <w:color w:val="333333"/>
          <w:sz w:val="32"/>
          <w:szCs w:val="32"/>
        </w:rPr>
        <w:t>组织拟订并实施医疗保障筹资和待遇政策，完善全市医疗保障筹资标准动态调整机制，统筹城乡医疗保障待遇标准，建立健全与筹资水平相适应的待遇调整机制。组织拟订并实施长期护理保险制度改革方案。</w:t>
      </w:r>
    </w:p>
    <w:p>
      <w:pPr>
        <w:pStyle w:val="2"/>
        <w:shd w:val="clear" w:color="auto" w:fill="FFFFFF"/>
        <w:spacing w:before="255" w:beforeAutospacing="0" w:after="255" w:afterAutospacing="0" w:line="405" w:lineRule="atLeast"/>
        <w:ind w:firstLine="640" w:firstLineChars="200"/>
        <w:rPr>
          <w:rFonts w:ascii="Times New Roman" w:hAnsi="Times New Roman" w:eastAsia="仿宋_GB2312" w:cs="Times New Roman"/>
          <w:color w:val="333333"/>
          <w:sz w:val="32"/>
          <w:szCs w:val="32"/>
        </w:rPr>
      </w:pPr>
      <w:r>
        <w:rPr>
          <w:rFonts w:ascii="Times New Roman" w:hAnsi="Times New Roman" w:cs="Times New Roman"/>
          <w:color w:val="333333"/>
          <w:sz w:val="32"/>
          <w:szCs w:val="32"/>
        </w:rPr>
        <w:t>4.</w:t>
      </w:r>
      <w:r>
        <w:rPr>
          <w:rFonts w:ascii="Times New Roman" w:hAnsi="Times New Roman" w:eastAsia="仿宋_GB2312" w:cs="Times New Roman"/>
          <w:color w:val="333333"/>
          <w:sz w:val="32"/>
          <w:szCs w:val="32"/>
        </w:rPr>
        <w:t>组织实施全省城乡统一的药品、医用耗材、医疗服务项目、医疗服务设施等医疗保障目录和支付标准，根据授权在医疗保障目录准入谈判规则下进行目录增补和支付标准的调整。</w:t>
      </w:r>
    </w:p>
    <w:p>
      <w:pPr>
        <w:pStyle w:val="2"/>
        <w:shd w:val="clear" w:color="auto" w:fill="FFFFFF"/>
        <w:spacing w:before="255" w:beforeAutospacing="0" w:after="255" w:afterAutospacing="0" w:line="405" w:lineRule="atLeast"/>
        <w:ind w:firstLine="640" w:firstLineChars="200"/>
        <w:rPr>
          <w:rFonts w:ascii="Times New Roman" w:hAnsi="Times New Roman" w:eastAsia="仿宋_GB2312" w:cs="Times New Roman"/>
          <w:color w:val="333333"/>
          <w:sz w:val="32"/>
          <w:szCs w:val="32"/>
        </w:rPr>
      </w:pPr>
      <w:r>
        <w:rPr>
          <w:rFonts w:ascii="Times New Roman" w:hAnsi="Times New Roman" w:cs="Times New Roman"/>
          <w:color w:val="333333"/>
          <w:sz w:val="32"/>
          <w:szCs w:val="32"/>
        </w:rPr>
        <w:t>5.</w:t>
      </w:r>
      <w:r>
        <w:rPr>
          <w:rFonts w:ascii="Times New Roman" w:hAnsi="Times New Roman" w:eastAsia="仿宋_GB2312" w:cs="Times New Roman"/>
          <w:color w:val="333333"/>
          <w:sz w:val="32"/>
          <w:szCs w:val="32"/>
        </w:rPr>
        <w:t>组织拟订并实施全市统一的药品、医用耗材价格和医疗服务项目、医疗服务设施收费等政策，建立医保支付医药服务价格合理确定和动态调整机制，推动建立市场主导的社会医药服务价格形成机制，建立价格信息监测和信息发布制度。</w:t>
      </w:r>
    </w:p>
    <w:p>
      <w:pPr>
        <w:pStyle w:val="2"/>
        <w:shd w:val="clear" w:color="auto" w:fill="FFFFFF"/>
        <w:spacing w:before="255" w:beforeAutospacing="0" w:after="255" w:afterAutospacing="0" w:line="405" w:lineRule="atLeast"/>
        <w:ind w:firstLine="640" w:firstLineChars="200"/>
        <w:rPr>
          <w:rFonts w:ascii="Times New Roman" w:hAnsi="Times New Roman" w:eastAsia="仿宋_GB2312" w:cs="Times New Roman"/>
          <w:color w:val="333333"/>
          <w:sz w:val="32"/>
          <w:szCs w:val="32"/>
        </w:rPr>
      </w:pPr>
      <w:r>
        <w:rPr>
          <w:rFonts w:ascii="Times New Roman" w:hAnsi="Times New Roman" w:cs="Times New Roman"/>
          <w:color w:val="333333"/>
          <w:sz w:val="32"/>
          <w:szCs w:val="32"/>
        </w:rPr>
        <w:t>6.</w:t>
      </w:r>
      <w:r>
        <w:rPr>
          <w:rFonts w:ascii="Times New Roman" w:hAnsi="Times New Roman" w:eastAsia="仿宋_GB2312" w:cs="Times New Roman"/>
          <w:color w:val="333333"/>
          <w:sz w:val="32"/>
          <w:szCs w:val="32"/>
        </w:rPr>
        <w:t>贯彻执行全省药品、医用耗材的招标采购政策并监督实施，根据省上统一安排部署，参与全省药品、医用耗材招标采购平台建设，承担相关工作任务。</w:t>
      </w:r>
    </w:p>
    <w:p>
      <w:pPr>
        <w:pStyle w:val="2"/>
        <w:shd w:val="clear" w:color="auto" w:fill="FFFFFF"/>
        <w:spacing w:before="255" w:beforeAutospacing="0" w:after="255" w:afterAutospacing="0" w:line="405" w:lineRule="atLeast"/>
        <w:ind w:firstLine="640" w:firstLineChars="200"/>
        <w:rPr>
          <w:rFonts w:ascii="Times New Roman" w:hAnsi="Times New Roman" w:eastAsia="仿宋_GB2312" w:cs="Times New Roman"/>
          <w:color w:val="333333"/>
          <w:sz w:val="32"/>
          <w:szCs w:val="32"/>
        </w:rPr>
      </w:pPr>
      <w:r>
        <w:rPr>
          <w:rFonts w:ascii="Times New Roman" w:hAnsi="Times New Roman" w:cs="Times New Roman"/>
          <w:color w:val="333333"/>
          <w:sz w:val="32"/>
          <w:szCs w:val="32"/>
        </w:rPr>
        <w:t>7.</w:t>
      </w:r>
      <w:r>
        <w:rPr>
          <w:rFonts w:ascii="Times New Roman" w:hAnsi="Times New Roman" w:eastAsia="仿宋_GB2312" w:cs="Times New Roman"/>
          <w:color w:val="333333"/>
          <w:sz w:val="32"/>
          <w:szCs w:val="32"/>
        </w:rPr>
        <w:t>推进医疗保障基金支付方式改革，制定全市医疗保障定点医药机构服务协议和基金支付管理办法并组织实施，指导全市医疗保障定点医药机构管理。建立健全医疗保障信用评价体系和信息披露制度，监督管理纳入医疗保障范围内的医疗服务行为和医疗费用，依法查处医疗保障领域违法违规行为。</w:t>
      </w:r>
    </w:p>
    <w:p>
      <w:pPr>
        <w:pStyle w:val="2"/>
        <w:shd w:val="clear" w:color="auto" w:fill="FFFFFF"/>
        <w:spacing w:before="255" w:beforeAutospacing="0" w:after="255" w:afterAutospacing="0" w:line="405" w:lineRule="atLeast"/>
        <w:ind w:firstLine="640" w:firstLineChars="200"/>
        <w:rPr>
          <w:rFonts w:ascii="Times New Roman" w:hAnsi="Times New Roman" w:eastAsia="仿宋_GB2312" w:cs="Times New Roman"/>
          <w:color w:val="333333"/>
          <w:sz w:val="32"/>
          <w:szCs w:val="32"/>
        </w:rPr>
      </w:pPr>
      <w:r>
        <w:rPr>
          <w:rFonts w:ascii="Times New Roman" w:hAnsi="Times New Roman" w:cs="Times New Roman"/>
          <w:color w:val="333333"/>
          <w:sz w:val="32"/>
          <w:szCs w:val="32"/>
        </w:rPr>
        <w:t>8.</w:t>
      </w:r>
      <w:r>
        <w:rPr>
          <w:rFonts w:ascii="Times New Roman" w:hAnsi="Times New Roman" w:eastAsia="仿宋_GB2312" w:cs="Times New Roman"/>
          <w:color w:val="333333"/>
          <w:sz w:val="32"/>
          <w:szCs w:val="32"/>
        </w:rPr>
        <w:t>负责全市医疗保障业务经办管理和公共服务体系建设。组织实施异地就医管理规定和费用结算政策。贯彻执行医疗保障关系转移接续政策。指导和监督管理全市医保经办服务工作。开展医疗保障领域对外合作交流。</w:t>
      </w:r>
    </w:p>
    <w:p>
      <w:pPr>
        <w:pStyle w:val="2"/>
        <w:shd w:val="clear" w:color="auto" w:fill="FFFFFF"/>
        <w:spacing w:before="255" w:beforeAutospacing="0" w:after="255" w:afterAutospacing="0" w:line="405" w:lineRule="atLeast"/>
        <w:ind w:firstLine="640" w:firstLineChars="200"/>
        <w:rPr>
          <w:rFonts w:ascii="Times New Roman" w:hAnsi="Times New Roman" w:eastAsia="仿宋_GB2312" w:cs="Times New Roman"/>
          <w:color w:val="333333"/>
          <w:sz w:val="32"/>
          <w:szCs w:val="32"/>
        </w:rPr>
      </w:pPr>
      <w:r>
        <w:rPr>
          <w:rFonts w:ascii="Times New Roman" w:hAnsi="Times New Roman" w:cs="Times New Roman"/>
          <w:color w:val="333333"/>
          <w:sz w:val="32"/>
          <w:szCs w:val="32"/>
        </w:rPr>
        <w:t>9.</w:t>
      </w:r>
      <w:r>
        <w:rPr>
          <w:rFonts w:ascii="Times New Roman" w:hAnsi="Times New Roman" w:eastAsia="仿宋_GB2312" w:cs="Times New Roman"/>
          <w:color w:val="333333"/>
          <w:sz w:val="32"/>
          <w:szCs w:val="32"/>
        </w:rPr>
        <w:t>拟订全市医疗保障信息化建设规划并参与全省医疗保障信息化建设。组织开展医疗保障大数据管理和应用。</w:t>
      </w:r>
    </w:p>
    <w:p>
      <w:pPr>
        <w:pStyle w:val="2"/>
        <w:shd w:val="clear" w:color="auto" w:fill="FFFFFF"/>
        <w:spacing w:before="255" w:beforeAutospacing="0" w:after="255" w:afterAutospacing="0" w:line="405" w:lineRule="atLeast"/>
        <w:ind w:firstLine="640" w:firstLineChars="200"/>
        <w:rPr>
          <w:rFonts w:ascii="Times New Roman" w:hAnsi="Times New Roman" w:eastAsia="仿宋_GB2312" w:cs="Times New Roman"/>
          <w:color w:val="333333"/>
          <w:sz w:val="32"/>
          <w:szCs w:val="32"/>
        </w:rPr>
      </w:pPr>
      <w:r>
        <w:rPr>
          <w:rFonts w:ascii="Times New Roman" w:hAnsi="Times New Roman" w:cs="Times New Roman"/>
          <w:color w:val="333333"/>
          <w:sz w:val="32"/>
          <w:szCs w:val="32"/>
        </w:rPr>
        <w:t>10.</w:t>
      </w:r>
      <w:r>
        <w:rPr>
          <w:rFonts w:ascii="Times New Roman" w:hAnsi="Times New Roman" w:eastAsia="仿宋_GB2312" w:cs="Times New Roman"/>
          <w:color w:val="333333"/>
          <w:sz w:val="32"/>
          <w:szCs w:val="32"/>
        </w:rPr>
        <w:t>组织拟订市本级离休干部、六级以上革命伤残军人的医疗保障政策和厅级干部、县级干部、高级知识分子的医疗照顾政策。</w:t>
      </w:r>
    </w:p>
    <w:p>
      <w:pPr>
        <w:pStyle w:val="2"/>
        <w:shd w:val="clear" w:color="auto" w:fill="FFFFFF"/>
        <w:spacing w:before="255" w:beforeAutospacing="0" w:after="255" w:afterAutospacing="0" w:line="405" w:lineRule="atLeast"/>
        <w:ind w:firstLine="640" w:firstLineChars="200"/>
        <w:rPr>
          <w:rFonts w:ascii="Times New Roman" w:hAnsi="Times New Roman" w:eastAsia="仿宋_GB2312" w:cs="Times New Roman"/>
          <w:color w:val="333333"/>
          <w:sz w:val="32"/>
          <w:szCs w:val="32"/>
        </w:rPr>
      </w:pPr>
      <w:r>
        <w:rPr>
          <w:rFonts w:ascii="Times New Roman" w:hAnsi="Times New Roman" w:cs="Times New Roman"/>
          <w:color w:val="333333"/>
          <w:sz w:val="32"/>
          <w:szCs w:val="32"/>
        </w:rPr>
        <w:t>11.</w:t>
      </w:r>
      <w:r>
        <w:rPr>
          <w:rFonts w:ascii="Times New Roman" w:hAnsi="Times New Roman" w:eastAsia="仿宋_GB2312" w:cs="Times New Roman"/>
          <w:color w:val="333333"/>
          <w:sz w:val="32"/>
          <w:szCs w:val="32"/>
        </w:rPr>
        <w:t>负责职责范围内的安全生产和职业健康、生态环境保护、审批服务便民化等工作。</w:t>
      </w:r>
    </w:p>
    <w:p>
      <w:pPr>
        <w:pStyle w:val="2"/>
        <w:shd w:val="clear" w:color="auto" w:fill="FFFFFF"/>
        <w:spacing w:before="255" w:beforeAutospacing="0" w:after="255" w:afterAutospacing="0" w:line="405" w:lineRule="atLeast"/>
        <w:ind w:firstLine="640" w:firstLineChars="200"/>
        <w:rPr>
          <w:rFonts w:ascii="Times New Roman" w:hAnsi="Times New Roman" w:eastAsia="方正仿宋" w:cs="Times New Roman"/>
          <w:color w:val="333333"/>
          <w:sz w:val="33"/>
          <w:szCs w:val="33"/>
        </w:rPr>
      </w:pPr>
      <w:r>
        <w:rPr>
          <w:rFonts w:ascii="Times New Roman" w:hAnsi="Times New Roman" w:cs="Times New Roman"/>
          <w:color w:val="333333"/>
          <w:sz w:val="32"/>
          <w:szCs w:val="32"/>
        </w:rPr>
        <w:t>12.</w:t>
      </w:r>
      <w:r>
        <w:rPr>
          <w:rFonts w:ascii="Times New Roman" w:hAnsi="Times New Roman" w:eastAsia="仿宋_GB2312" w:cs="Times New Roman"/>
          <w:color w:val="333333"/>
          <w:sz w:val="32"/>
          <w:szCs w:val="32"/>
        </w:rPr>
        <w:t>完成市委、市政府交办的其他任务</w:t>
      </w:r>
      <w:r>
        <w:rPr>
          <w:rFonts w:ascii="Times New Roman" w:hAnsi="Times New Roman" w:eastAsia="方正仿宋" w:cs="Times New Roman"/>
          <w:color w:val="333333"/>
          <w:sz w:val="33"/>
          <w:szCs w:val="33"/>
        </w:rPr>
        <w:t>。</w:t>
      </w:r>
    </w:p>
    <w:p>
      <w:pPr>
        <w:pStyle w:val="2"/>
        <w:shd w:val="clear" w:color="auto" w:fill="FFFFFF"/>
        <w:spacing w:before="255" w:beforeAutospacing="0" w:after="255" w:afterAutospacing="0" w:line="405" w:lineRule="atLeast"/>
        <w:ind w:firstLine="643" w:firstLineChars="200"/>
        <w:rPr>
          <w:rStyle w:val="5"/>
          <w:rFonts w:ascii="Times New Roman" w:hAnsi="Times New Roman" w:eastAsia="楷体_GB2312" w:cs="Times New Roman"/>
          <w:color w:val="333333"/>
          <w:sz w:val="32"/>
          <w:szCs w:val="32"/>
        </w:rPr>
      </w:pPr>
      <w:r>
        <w:rPr>
          <w:rStyle w:val="5"/>
          <w:rFonts w:ascii="Times New Roman" w:hAnsi="Times New Roman" w:eastAsia="楷体_GB2312" w:cs="Times New Roman"/>
          <w:color w:val="333333"/>
          <w:sz w:val="32"/>
          <w:szCs w:val="32"/>
        </w:rPr>
        <w:t>（二）市医保局2021年重点工作。</w:t>
      </w:r>
    </w:p>
    <w:p>
      <w:pPr>
        <w:pStyle w:val="2"/>
        <w:shd w:val="clear" w:color="auto" w:fill="FFFFFF"/>
        <w:spacing w:before="255" w:beforeAutospacing="0" w:after="255" w:afterAutospacing="0" w:line="405" w:lineRule="atLeast"/>
        <w:ind w:firstLine="640" w:firstLineChars="200"/>
        <w:rPr>
          <w:rFonts w:ascii="Times New Roman" w:hAnsi="Times New Roman" w:cs="Times New Roman"/>
          <w:color w:val="333333"/>
          <w:sz w:val="27"/>
          <w:szCs w:val="27"/>
        </w:rPr>
      </w:pPr>
      <w:r>
        <w:rPr>
          <w:rFonts w:ascii="Times New Roman" w:hAnsi="Times New Roman" w:cs="Times New Roman"/>
          <w:color w:val="333333"/>
          <w:sz w:val="32"/>
          <w:szCs w:val="32"/>
        </w:rPr>
        <w:t>1.</w:t>
      </w:r>
      <w:r>
        <w:rPr>
          <w:rFonts w:ascii="Times New Roman" w:hAnsi="Times New Roman" w:eastAsia="仿宋_GB2312" w:cs="Times New Roman"/>
          <w:color w:val="333333"/>
          <w:sz w:val="32"/>
          <w:szCs w:val="32"/>
        </w:rPr>
        <w:t>完善医保制度，提升医疗保障水平</w:t>
      </w:r>
    </w:p>
    <w:p>
      <w:pPr>
        <w:pStyle w:val="2"/>
        <w:shd w:val="clear" w:color="auto" w:fill="FFFFFF"/>
        <w:spacing w:before="130" w:beforeAutospacing="0" w:after="255" w:afterAutospacing="0" w:line="600" w:lineRule="atLeast"/>
        <w:ind w:firstLine="672"/>
        <w:rPr>
          <w:rFonts w:ascii="Times New Roman" w:hAnsi="Times New Roman" w:cs="Times New Roman"/>
          <w:color w:val="333333"/>
          <w:sz w:val="27"/>
          <w:szCs w:val="27"/>
        </w:rPr>
      </w:pPr>
      <w:r>
        <w:rPr>
          <w:rFonts w:ascii="Times New Roman" w:hAnsi="Times New Roman" w:cs="Times New Roman"/>
          <w:color w:val="333333"/>
          <w:sz w:val="32"/>
          <w:szCs w:val="32"/>
        </w:rPr>
        <w:t>2.</w:t>
      </w:r>
      <w:r>
        <w:rPr>
          <w:rFonts w:ascii="Times New Roman" w:hAnsi="Times New Roman" w:eastAsia="仿宋_GB2312" w:cs="Times New Roman"/>
          <w:color w:val="333333"/>
          <w:sz w:val="32"/>
          <w:szCs w:val="32"/>
        </w:rPr>
        <w:t>积极落实政策，推进医保扶贫工作</w:t>
      </w:r>
    </w:p>
    <w:p>
      <w:pPr>
        <w:pStyle w:val="2"/>
        <w:shd w:val="clear" w:color="auto" w:fill="FFFFFF"/>
        <w:spacing w:before="130" w:beforeAutospacing="0" w:after="255" w:afterAutospacing="0" w:line="600" w:lineRule="atLeast"/>
        <w:ind w:firstLine="672"/>
        <w:rPr>
          <w:rFonts w:ascii="Times New Roman" w:hAnsi="Times New Roman" w:cs="Times New Roman"/>
          <w:color w:val="333333"/>
          <w:sz w:val="27"/>
          <w:szCs w:val="27"/>
        </w:rPr>
      </w:pPr>
      <w:r>
        <w:rPr>
          <w:rFonts w:ascii="Times New Roman" w:hAnsi="Times New Roman" w:cs="Times New Roman"/>
          <w:color w:val="333333"/>
          <w:sz w:val="32"/>
          <w:szCs w:val="32"/>
        </w:rPr>
        <w:t>3.</w:t>
      </w:r>
      <w:r>
        <w:rPr>
          <w:rFonts w:ascii="Times New Roman" w:hAnsi="Times New Roman" w:eastAsia="仿宋_GB2312" w:cs="Times New Roman"/>
          <w:color w:val="333333"/>
          <w:sz w:val="32"/>
          <w:szCs w:val="32"/>
        </w:rPr>
        <w:t>强化保障功能，打赢疫情防控阻击战。</w:t>
      </w:r>
    </w:p>
    <w:p>
      <w:pPr>
        <w:pStyle w:val="2"/>
        <w:shd w:val="clear" w:color="auto" w:fill="FFFFFF"/>
        <w:spacing w:before="130" w:beforeAutospacing="0" w:after="255" w:afterAutospacing="0" w:line="600" w:lineRule="atLeast"/>
        <w:ind w:firstLine="672"/>
        <w:rPr>
          <w:rFonts w:ascii="Times New Roman" w:hAnsi="Times New Roman" w:cs="Times New Roman"/>
          <w:color w:val="333333"/>
          <w:sz w:val="27"/>
          <w:szCs w:val="27"/>
        </w:rPr>
      </w:pPr>
      <w:r>
        <w:rPr>
          <w:rFonts w:ascii="Times New Roman" w:hAnsi="Times New Roman" w:cs="Times New Roman"/>
          <w:color w:val="333333"/>
          <w:sz w:val="32"/>
          <w:szCs w:val="32"/>
        </w:rPr>
        <w:t>4.</w:t>
      </w:r>
      <w:r>
        <w:rPr>
          <w:rFonts w:ascii="Times New Roman" w:hAnsi="Times New Roman" w:eastAsia="仿宋_GB2312" w:cs="Times New Roman"/>
          <w:color w:val="333333"/>
          <w:sz w:val="32"/>
          <w:szCs w:val="32"/>
        </w:rPr>
        <w:t>发挥引领作用，深化付费方式改革。</w:t>
      </w:r>
    </w:p>
    <w:p>
      <w:pPr>
        <w:pStyle w:val="2"/>
        <w:shd w:val="clear" w:color="auto" w:fill="FFFFFF"/>
        <w:spacing w:before="130" w:beforeAutospacing="0" w:after="255" w:afterAutospacing="0" w:line="600" w:lineRule="atLeast"/>
        <w:ind w:firstLine="672"/>
        <w:rPr>
          <w:rFonts w:ascii="Times New Roman" w:hAnsi="Times New Roman" w:cs="Times New Roman"/>
          <w:color w:val="333333"/>
          <w:sz w:val="27"/>
          <w:szCs w:val="27"/>
        </w:rPr>
      </w:pPr>
      <w:r>
        <w:rPr>
          <w:rFonts w:ascii="Times New Roman" w:hAnsi="Times New Roman" w:cs="Times New Roman"/>
          <w:color w:val="333333"/>
          <w:sz w:val="32"/>
          <w:szCs w:val="32"/>
        </w:rPr>
        <w:t>5.</w:t>
      </w:r>
      <w:r>
        <w:rPr>
          <w:rFonts w:ascii="Times New Roman" w:hAnsi="Times New Roman" w:eastAsia="仿宋_GB2312" w:cs="Times New Roman"/>
          <w:color w:val="333333"/>
          <w:sz w:val="32"/>
          <w:szCs w:val="32"/>
        </w:rPr>
        <w:t>扩大结算范围，积极融入成渝双城经济圈建设。</w:t>
      </w:r>
    </w:p>
    <w:p>
      <w:pPr>
        <w:pStyle w:val="2"/>
        <w:shd w:val="clear" w:color="auto" w:fill="FFFFFF"/>
        <w:spacing w:before="130" w:beforeAutospacing="0" w:after="255" w:afterAutospacing="0" w:line="600" w:lineRule="atLeast"/>
        <w:ind w:firstLine="672"/>
        <w:rPr>
          <w:rFonts w:ascii="Times New Roman" w:hAnsi="Times New Roman" w:cs="Times New Roman"/>
          <w:color w:val="333333"/>
          <w:sz w:val="27"/>
          <w:szCs w:val="27"/>
        </w:rPr>
      </w:pPr>
      <w:r>
        <w:rPr>
          <w:rFonts w:ascii="Times New Roman" w:hAnsi="Times New Roman" w:cs="Times New Roman"/>
          <w:color w:val="333333"/>
          <w:sz w:val="32"/>
          <w:szCs w:val="32"/>
        </w:rPr>
        <w:t>6.</w:t>
      </w:r>
      <w:r>
        <w:rPr>
          <w:rFonts w:ascii="Times New Roman" w:hAnsi="Times New Roman" w:eastAsia="仿宋_GB2312" w:cs="Times New Roman"/>
          <w:color w:val="333333"/>
          <w:sz w:val="32"/>
          <w:szCs w:val="32"/>
        </w:rPr>
        <w:t>按照统一部署，落实药品及高值耗材集中带量采购。</w:t>
      </w:r>
    </w:p>
    <w:p>
      <w:pPr>
        <w:pStyle w:val="2"/>
        <w:shd w:val="clear" w:color="auto" w:fill="FFFFFF"/>
        <w:spacing w:before="130" w:beforeAutospacing="0" w:after="255" w:afterAutospacing="0" w:line="600" w:lineRule="atLeast"/>
        <w:ind w:firstLine="672"/>
        <w:rPr>
          <w:rFonts w:ascii="Times New Roman" w:hAnsi="Times New Roman" w:cs="Times New Roman"/>
          <w:color w:val="333333"/>
          <w:sz w:val="27"/>
          <w:szCs w:val="27"/>
        </w:rPr>
      </w:pPr>
      <w:r>
        <w:rPr>
          <w:rFonts w:ascii="Times New Roman" w:hAnsi="Times New Roman" w:cs="Times New Roman"/>
          <w:color w:val="333333"/>
          <w:sz w:val="32"/>
          <w:szCs w:val="32"/>
        </w:rPr>
        <w:t>7.</w:t>
      </w:r>
      <w:r>
        <w:rPr>
          <w:rFonts w:ascii="Times New Roman" w:hAnsi="Times New Roman" w:eastAsia="仿宋_GB2312" w:cs="Times New Roman"/>
          <w:color w:val="333333"/>
          <w:sz w:val="32"/>
          <w:szCs w:val="32"/>
        </w:rPr>
        <w:t>明确调整重点，健全医药服务价格体制机制。</w:t>
      </w:r>
    </w:p>
    <w:p>
      <w:pPr>
        <w:pStyle w:val="2"/>
        <w:shd w:val="clear" w:color="auto" w:fill="FFFFFF"/>
        <w:spacing w:before="130" w:beforeAutospacing="0" w:after="255" w:afterAutospacing="0" w:line="600" w:lineRule="atLeast"/>
        <w:ind w:firstLine="672"/>
        <w:rPr>
          <w:rFonts w:ascii="Times New Roman" w:hAnsi="Times New Roman" w:cs="Times New Roman"/>
          <w:color w:val="333333"/>
          <w:sz w:val="27"/>
          <w:szCs w:val="27"/>
        </w:rPr>
      </w:pPr>
      <w:r>
        <w:rPr>
          <w:rFonts w:ascii="Times New Roman" w:hAnsi="Times New Roman" w:cs="Times New Roman"/>
          <w:color w:val="333333"/>
          <w:sz w:val="32"/>
          <w:szCs w:val="32"/>
        </w:rPr>
        <w:t>8.</w:t>
      </w:r>
      <w:r>
        <w:rPr>
          <w:rFonts w:ascii="Times New Roman" w:hAnsi="Times New Roman" w:eastAsia="仿宋_GB2312" w:cs="Times New Roman"/>
          <w:color w:val="333333"/>
          <w:sz w:val="32"/>
          <w:szCs w:val="32"/>
        </w:rPr>
        <w:t>加强基金监管，严厉打击医保欺诈骗保行为。</w:t>
      </w:r>
    </w:p>
    <w:p>
      <w:pPr>
        <w:pStyle w:val="2"/>
        <w:shd w:val="clear" w:color="auto" w:fill="FFFFFF"/>
        <w:spacing w:before="130" w:beforeAutospacing="0" w:after="255" w:afterAutospacing="0" w:line="600" w:lineRule="atLeast"/>
        <w:ind w:firstLine="672"/>
        <w:rPr>
          <w:rFonts w:ascii="Times New Roman" w:hAnsi="Times New Roman" w:cs="Times New Roman"/>
          <w:color w:val="333333"/>
          <w:sz w:val="27"/>
          <w:szCs w:val="27"/>
        </w:rPr>
      </w:pPr>
      <w:r>
        <w:rPr>
          <w:rFonts w:ascii="Times New Roman" w:hAnsi="Times New Roman" w:cs="Times New Roman"/>
          <w:color w:val="333333"/>
          <w:sz w:val="32"/>
          <w:szCs w:val="32"/>
        </w:rPr>
        <w:t>9.</w:t>
      </w:r>
      <w:r>
        <w:rPr>
          <w:rFonts w:ascii="Times New Roman" w:hAnsi="Times New Roman" w:eastAsia="仿宋_GB2312" w:cs="Times New Roman"/>
          <w:color w:val="333333"/>
          <w:sz w:val="32"/>
          <w:szCs w:val="32"/>
        </w:rPr>
        <w:t>加快信息化建设，推动医保工作便捷高效。</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黑体" w:cs="Times New Roman"/>
          <w:color w:val="333333"/>
          <w:sz w:val="32"/>
          <w:szCs w:val="32"/>
        </w:rPr>
        <w:t>二、机构设置情况</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市医保局下属非独立核算单位</w:t>
      </w:r>
      <w:r>
        <w:rPr>
          <w:rFonts w:ascii="Times New Roman" w:hAnsi="Times New Roman" w:cs="Times New Roman"/>
          <w:color w:val="333333"/>
          <w:sz w:val="32"/>
          <w:szCs w:val="32"/>
        </w:rPr>
        <w:t>1</w:t>
      </w:r>
      <w:r>
        <w:rPr>
          <w:rFonts w:ascii="Times New Roman" w:hAnsi="Times New Roman" w:eastAsia="仿宋_GB2312" w:cs="Times New Roman"/>
          <w:color w:val="333333"/>
          <w:sz w:val="32"/>
          <w:szCs w:val="32"/>
        </w:rPr>
        <w:t>个，其中行政单位</w:t>
      </w:r>
      <w:r>
        <w:rPr>
          <w:rFonts w:ascii="Times New Roman" w:hAnsi="Times New Roman" w:cs="Times New Roman"/>
          <w:color w:val="333333"/>
          <w:sz w:val="32"/>
          <w:szCs w:val="32"/>
        </w:rPr>
        <w:t>0</w:t>
      </w:r>
      <w:r>
        <w:rPr>
          <w:rFonts w:ascii="Times New Roman" w:hAnsi="Times New Roman" w:eastAsia="仿宋_GB2312" w:cs="Times New Roman"/>
          <w:color w:val="333333"/>
          <w:sz w:val="32"/>
          <w:szCs w:val="32"/>
        </w:rPr>
        <w:t>个，参照公务员法管理的事业单位</w:t>
      </w:r>
      <w:r>
        <w:rPr>
          <w:rFonts w:ascii="Times New Roman" w:hAnsi="Times New Roman" w:cs="Times New Roman"/>
          <w:color w:val="333333"/>
          <w:sz w:val="32"/>
          <w:szCs w:val="32"/>
        </w:rPr>
        <w:t>0</w:t>
      </w:r>
      <w:r>
        <w:rPr>
          <w:rFonts w:ascii="Times New Roman" w:hAnsi="Times New Roman" w:eastAsia="仿宋_GB2312" w:cs="Times New Roman"/>
          <w:color w:val="333333"/>
          <w:sz w:val="32"/>
          <w:szCs w:val="32"/>
        </w:rPr>
        <w:t>个，其他事业单位</w:t>
      </w:r>
      <w:r>
        <w:rPr>
          <w:rFonts w:ascii="Times New Roman" w:hAnsi="Times New Roman" w:cs="Times New Roman"/>
          <w:color w:val="333333"/>
          <w:sz w:val="32"/>
          <w:szCs w:val="32"/>
        </w:rPr>
        <w:t>1</w:t>
      </w:r>
      <w:r>
        <w:rPr>
          <w:rFonts w:ascii="Times New Roman" w:hAnsi="Times New Roman" w:eastAsia="仿宋_GB2312" w:cs="Times New Roman"/>
          <w:color w:val="333333"/>
          <w:sz w:val="32"/>
          <w:szCs w:val="32"/>
        </w:rPr>
        <w:t>个。主要包括：攀枝花市医疗保障信息中心。</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黑体" w:cs="Times New Roman"/>
          <w:color w:val="333333"/>
          <w:sz w:val="32"/>
          <w:szCs w:val="32"/>
        </w:rPr>
        <w:t>三、收支预算情况说明</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按照综合预算的原则，市医保局所有收入和支出均纳入部门预算管理。收入包括：一般公共预算拨款收入307.13万元、政府性基金预算拨款收入0万元、国有资本经营预算拨款收入0万元、事业收入0万元、事业单位经营收入0万元、其他收入0万元；支出包括：一般公共服务支出0万元、外交支出0万元、国防支出0万元、公共安全支出0万元、教育支出0万元、科学技术支出0万元、文化体育与传媒支出0万元、社会保障和就业支出20.75万元、社会保险基金支出0万元、医疗卫生与计划生育支出264.02万元、节能环保支出0万元、城乡社区支出0万元、农林水支出0万元、交通运输支出0万元、资源勘探信息等支出0万元、商业服务业等支出0万元、金融支出0万元、援助其他地区支出0万元、国土海洋气象等支出0万元、住房保障支出22.36万元、粮油物资储备支出0万元、国有资本经营预算支出0万元、灾害防治及应急管理支出0万元、预备费0万元、其他支出0万元、转移性支出0万元、债务还本支出0万元、债务付息支出0万元、债务发行费用支出0万元、抗疫特别国债安排的支出0万元。市医疗保障局2021年收支总预算307.13万元，比2020年预算数增加4.93万元，主要是调增了1名公招事业人员经费。</w:t>
      </w:r>
    </w:p>
    <w:p>
      <w:pPr>
        <w:pStyle w:val="2"/>
        <w:shd w:val="clear" w:color="auto" w:fill="FFFFFF"/>
        <w:spacing w:before="255" w:beforeAutospacing="0" w:after="255" w:afterAutospacing="0" w:line="600" w:lineRule="atLeast"/>
        <w:ind w:firstLine="643"/>
        <w:rPr>
          <w:rFonts w:ascii="Times New Roman" w:hAnsi="Times New Roman" w:cs="Times New Roman"/>
          <w:color w:val="333333"/>
          <w:sz w:val="27"/>
          <w:szCs w:val="27"/>
        </w:rPr>
      </w:pPr>
      <w:r>
        <w:rPr>
          <w:rStyle w:val="5"/>
          <w:rFonts w:ascii="Times New Roman" w:hAnsi="Times New Roman" w:eastAsia="楷体_GB2312" w:cs="Times New Roman"/>
          <w:color w:val="333333"/>
          <w:sz w:val="32"/>
          <w:szCs w:val="32"/>
        </w:rPr>
        <w:t>（一）收入预算情况</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市医保局2021年收入预算307.13万元，其中：上年结转0万元，占0%；一般公共预算拨款收入307.13万元（包括：机关事业单位基本养老保险缴费支出20.75万元、行政运行（医疗）210.17万元、医疗保障政策管理7.65万元、事业运行（医疗）46.2万元、住房公积金22.36万元），占100%；政府性基金预算拨款收入0万元，占0%；国有资本经营预算拨款收入0万元，占0%；事业收入0万元，占0%；事业单位经营收入0万元，占0%；其他收入</w:t>
      </w:r>
      <w:r>
        <w:rPr>
          <w:rFonts w:ascii="Times New Roman" w:hAnsi="Times New Roman" w:cs="Times New Roman"/>
          <w:color w:val="333333"/>
          <w:sz w:val="32"/>
          <w:szCs w:val="32"/>
        </w:rPr>
        <w:t>0</w:t>
      </w:r>
      <w:r>
        <w:rPr>
          <w:rFonts w:ascii="Times New Roman" w:hAnsi="Times New Roman" w:eastAsia="仿宋_GB2312" w:cs="Times New Roman"/>
          <w:color w:val="333333"/>
          <w:sz w:val="32"/>
          <w:szCs w:val="32"/>
        </w:rPr>
        <w:t>万元，占0%；上级补助收入</w:t>
      </w:r>
      <w:r>
        <w:rPr>
          <w:rFonts w:ascii="Times New Roman" w:hAnsi="Times New Roman" w:cs="Times New Roman"/>
          <w:color w:val="333333"/>
          <w:sz w:val="32"/>
          <w:szCs w:val="32"/>
        </w:rPr>
        <w:t>0</w:t>
      </w:r>
      <w:r>
        <w:rPr>
          <w:rFonts w:ascii="Times New Roman" w:hAnsi="Times New Roman" w:eastAsia="仿宋_GB2312" w:cs="Times New Roman"/>
          <w:color w:val="333333"/>
          <w:sz w:val="32"/>
          <w:szCs w:val="32"/>
        </w:rPr>
        <w:t>万元，占0%；附属单位上缴收入</w:t>
      </w:r>
      <w:r>
        <w:rPr>
          <w:rFonts w:ascii="Times New Roman" w:hAnsi="Times New Roman" w:cs="Times New Roman"/>
          <w:color w:val="333333"/>
          <w:sz w:val="32"/>
          <w:szCs w:val="32"/>
        </w:rPr>
        <w:t>0</w:t>
      </w:r>
      <w:r>
        <w:rPr>
          <w:rFonts w:ascii="Times New Roman" w:hAnsi="Times New Roman" w:eastAsia="仿宋_GB2312" w:cs="Times New Roman"/>
          <w:color w:val="333333"/>
          <w:sz w:val="32"/>
          <w:szCs w:val="32"/>
        </w:rPr>
        <w:t>万元，占0%；用事业基金弥补收支差额</w:t>
      </w:r>
      <w:r>
        <w:rPr>
          <w:rFonts w:ascii="Times New Roman" w:hAnsi="Times New Roman" w:cs="Times New Roman"/>
          <w:color w:val="333333"/>
          <w:sz w:val="32"/>
          <w:szCs w:val="32"/>
        </w:rPr>
        <w:t>0</w:t>
      </w:r>
      <w:r>
        <w:rPr>
          <w:rFonts w:ascii="Times New Roman" w:hAnsi="Times New Roman" w:eastAsia="仿宋_GB2312" w:cs="Times New Roman"/>
          <w:color w:val="333333"/>
          <w:sz w:val="32"/>
          <w:szCs w:val="32"/>
        </w:rPr>
        <w:t>万元，占0%。</w:t>
      </w:r>
    </w:p>
    <w:p>
      <w:pPr>
        <w:pStyle w:val="2"/>
        <w:shd w:val="clear" w:color="auto" w:fill="FFFFFF"/>
        <w:spacing w:before="255" w:beforeAutospacing="0" w:after="255" w:afterAutospacing="0" w:line="600" w:lineRule="atLeast"/>
        <w:ind w:firstLine="643"/>
        <w:rPr>
          <w:rFonts w:ascii="Times New Roman" w:hAnsi="Times New Roman" w:cs="Times New Roman"/>
          <w:color w:val="333333"/>
          <w:sz w:val="27"/>
          <w:szCs w:val="27"/>
        </w:rPr>
      </w:pPr>
      <w:r>
        <w:rPr>
          <w:rStyle w:val="5"/>
          <w:rFonts w:ascii="Times New Roman" w:hAnsi="Times New Roman" w:eastAsia="楷体_GB2312" w:cs="Times New Roman"/>
          <w:color w:val="333333"/>
          <w:sz w:val="32"/>
          <w:szCs w:val="32"/>
        </w:rPr>
        <w:t>（二）支出预算情况</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市医保局2021年支出预算307.13万元，其中：基本支出299.48万元（包括：机关事业单位基本养老保险缴费支出20.75万元，行政运行（医疗）210.17万元、事业运行（医疗）46.2万元、住房公积金22.36万元），占97.51%；项目支出7.65万元(包括：医疗保障政策管理7.65万元)，占2.49%。</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黑体" w:cs="Times New Roman"/>
          <w:color w:val="333333"/>
          <w:sz w:val="32"/>
          <w:szCs w:val="32"/>
        </w:rPr>
        <w:t>四、财政拨款收支预算情况说明</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市医保局2021年财政拨款收支总预算307.13万元。收入包括：本年一般公共预算拨款收入307.13万元；支出包括：社会保障和就业支出20.75万元、卫生健康支出264.02万元、住房保障支出22.36万元。</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黑体" w:cs="Times New Roman"/>
          <w:color w:val="333333"/>
          <w:sz w:val="32"/>
          <w:szCs w:val="32"/>
        </w:rPr>
        <w:t>五、一般公共预算当年拨款情况说明</w:t>
      </w:r>
    </w:p>
    <w:p>
      <w:pPr>
        <w:pStyle w:val="2"/>
        <w:shd w:val="clear" w:color="auto" w:fill="FFFFFF"/>
        <w:spacing w:before="255" w:beforeAutospacing="0" w:after="255" w:afterAutospacing="0" w:line="600" w:lineRule="atLeast"/>
        <w:ind w:firstLine="643"/>
        <w:rPr>
          <w:rFonts w:ascii="Times New Roman" w:hAnsi="Times New Roman" w:cs="Times New Roman"/>
          <w:color w:val="333333"/>
          <w:sz w:val="27"/>
          <w:szCs w:val="27"/>
        </w:rPr>
      </w:pPr>
      <w:r>
        <w:rPr>
          <w:rStyle w:val="5"/>
          <w:rFonts w:ascii="Times New Roman" w:hAnsi="Times New Roman" w:eastAsia="楷体_GB2312" w:cs="Times New Roman"/>
          <w:color w:val="333333"/>
          <w:sz w:val="32"/>
          <w:szCs w:val="32"/>
        </w:rPr>
        <w:t>（一）一般公共预算当年拨款规模变化情况</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市医疗保障局2021年一般公共预算当年拨款307.13万元，比</w:t>
      </w:r>
      <w:r>
        <w:rPr>
          <w:rFonts w:ascii="Times New Roman" w:hAnsi="Times New Roman" w:cs="Times New Roman"/>
          <w:color w:val="333333"/>
          <w:sz w:val="32"/>
          <w:szCs w:val="32"/>
        </w:rPr>
        <w:t>2020</w:t>
      </w:r>
      <w:r>
        <w:rPr>
          <w:rFonts w:ascii="Times New Roman" w:hAnsi="Times New Roman" w:eastAsia="仿宋_GB2312" w:cs="Times New Roman"/>
          <w:color w:val="333333"/>
          <w:sz w:val="32"/>
          <w:szCs w:val="32"/>
        </w:rPr>
        <w:t>年预算数增加</w:t>
      </w:r>
      <w:r>
        <w:rPr>
          <w:rFonts w:ascii="Times New Roman" w:hAnsi="Times New Roman" w:cs="Times New Roman"/>
          <w:color w:val="333333"/>
          <w:sz w:val="32"/>
          <w:szCs w:val="32"/>
        </w:rPr>
        <w:t>4.93</w:t>
      </w:r>
      <w:r>
        <w:rPr>
          <w:rFonts w:ascii="Times New Roman" w:hAnsi="Times New Roman" w:eastAsia="仿宋_GB2312" w:cs="Times New Roman"/>
          <w:color w:val="333333"/>
          <w:sz w:val="32"/>
          <w:szCs w:val="32"/>
        </w:rPr>
        <w:t>万元，主要是非独立核算下属事业单位攀枝花市医疗保障信息中心（以下简称</w:t>
      </w:r>
      <w:r>
        <w:rPr>
          <w:rFonts w:ascii="Times New Roman" w:hAnsi="Times New Roman" w:cs="Times New Roman"/>
          <w:color w:val="333333"/>
          <w:sz w:val="32"/>
          <w:szCs w:val="32"/>
        </w:rPr>
        <w:t>“</w:t>
      </w:r>
      <w:r>
        <w:rPr>
          <w:rFonts w:ascii="Times New Roman" w:hAnsi="Times New Roman" w:eastAsia="仿宋_GB2312" w:cs="Times New Roman"/>
          <w:color w:val="333333"/>
          <w:sz w:val="32"/>
          <w:szCs w:val="32"/>
        </w:rPr>
        <w:t>市医保信息中心</w:t>
      </w:r>
      <w:r>
        <w:rPr>
          <w:rFonts w:ascii="Times New Roman" w:hAnsi="Times New Roman" w:cs="Times New Roman"/>
          <w:color w:val="333333"/>
          <w:sz w:val="32"/>
          <w:szCs w:val="32"/>
        </w:rPr>
        <w:t>”</w:t>
      </w:r>
      <w:r>
        <w:rPr>
          <w:rFonts w:ascii="Times New Roman" w:hAnsi="Times New Roman" w:eastAsia="仿宋_GB2312" w:cs="Times New Roman"/>
          <w:color w:val="333333"/>
          <w:sz w:val="32"/>
          <w:szCs w:val="32"/>
        </w:rPr>
        <w:t>）增加公务用车运行维护费等。</w:t>
      </w:r>
    </w:p>
    <w:p>
      <w:pPr>
        <w:pStyle w:val="2"/>
        <w:shd w:val="clear" w:color="auto" w:fill="FFFFFF"/>
        <w:spacing w:before="255" w:beforeAutospacing="0" w:after="255" w:afterAutospacing="0" w:line="600" w:lineRule="atLeast"/>
        <w:ind w:firstLine="643"/>
        <w:rPr>
          <w:rFonts w:ascii="Times New Roman" w:hAnsi="Times New Roman" w:cs="Times New Roman"/>
          <w:color w:val="333333"/>
          <w:sz w:val="27"/>
          <w:szCs w:val="27"/>
        </w:rPr>
      </w:pPr>
      <w:r>
        <w:rPr>
          <w:rStyle w:val="5"/>
          <w:rFonts w:ascii="Times New Roman" w:hAnsi="Times New Roman" w:eastAsia="楷体_GB2312" w:cs="Times New Roman"/>
          <w:color w:val="333333"/>
          <w:sz w:val="32"/>
          <w:szCs w:val="32"/>
        </w:rPr>
        <w:t>（二）一般公共预算当年拨款结构情况</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一般公共服务支出307.13万元（包括：机关事业单位基本养老保险缴费支出20.75万元，行政运行（医疗）210.17万元、事业运行（医疗）46.2万元、住房公积金22.36万元），占100</w:t>
      </w:r>
      <w:r>
        <w:rPr>
          <w:rFonts w:ascii="Times New Roman" w:hAnsi="Times New Roman" w:cs="Times New Roman"/>
          <w:color w:val="333333"/>
          <w:sz w:val="32"/>
          <w:szCs w:val="32"/>
        </w:rPr>
        <w:t>%</w:t>
      </w:r>
      <w:r>
        <w:rPr>
          <w:rFonts w:ascii="Times New Roman" w:hAnsi="Times New Roman" w:eastAsia="仿宋_GB2312" w:cs="Times New Roman"/>
          <w:color w:val="333333"/>
          <w:sz w:val="32"/>
          <w:szCs w:val="32"/>
        </w:rPr>
        <w:t>；外交支出0万元，占0</w:t>
      </w:r>
      <w:r>
        <w:rPr>
          <w:rFonts w:ascii="Times New Roman" w:hAnsi="Times New Roman" w:cs="Times New Roman"/>
          <w:color w:val="333333"/>
          <w:sz w:val="32"/>
          <w:szCs w:val="32"/>
        </w:rPr>
        <w:t>%</w:t>
      </w:r>
      <w:r>
        <w:rPr>
          <w:rFonts w:ascii="Times New Roman" w:hAnsi="Times New Roman" w:eastAsia="仿宋_GB2312" w:cs="Times New Roman"/>
          <w:color w:val="333333"/>
          <w:sz w:val="32"/>
          <w:szCs w:val="32"/>
        </w:rPr>
        <w:t>。</w:t>
      </w:r>
    </w:p>
    <w:p>
      <w:pPr>
        <w:pStyle w:val="2"/>
        <w:shd w:val="clear" w:color="auto" w:fill="FFFFFF"/>
        <w:spacing w:before="255" w:beforeAutospacing="0" w:after="255" w:afterAutospacing="0" w:line="600" w:lineRule="atLeast"/>
        <w:ind w:firstLine="643"/>
        <w:rPr>
          <w:rFonts w:ascii="Times New Roman" w:hAnsi="Times New Roman" w:cs="Times New Roman"/>
          <w:color w:val="333333"/>
          <w:sz w:val="27"/>
          <w:szCs w:val="27"/>
        </w:rPr>
      </w:pPr>
      <w:r>
        <w:rPr>
          <w:rStyle w:val="5"/>
          <w:rFonts w:ascii="Times New Roman" w:hAnsi="Times New Roman" w:eastAsia="楷体_GB2312" w:cs="Times New Roman"/>
          <w:color w:val="333333"/>
          <w:sz w:val="32"/>
          <w:szCs w:val="32"/>
        </w:rPr>
        <w:t>（三）一般公共预算当年拨款具体使用情况</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cs="Times New Roman"/>
          <w:color w:val="333333"/>
          <w:sz w:val="32"/>
          <w:szCs w:val="32"/>
        </w:rPr>
        <w:t>1.</w:t>
      </w:r>
      <w:r>
        <w:rPr>
          <w:rFonts w:ascii="Times New Roman" w:hAnsi="Times New Roman" w:eastAsia="仿宋_GB2312" w:cs="Times New Roman"/>
          <w:color w:val="333333"/>
          <w:sz w:val="32"/>
          <w:szCs w:val="32"/>
        </w:rPr>
        <w:t>社会保障和就业支出（类）机关事业单位基本养老保险缴费（款）机关事业单位基本养老保险缴费支出（项）2021年预算数为20.75万元，主要用于：行政事业单位在职人员基本养老保险缴费支出。</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cs="Times New Roman"/>
          <w:color w:val="333333"/>
          <w:sz w:val="32"/>
          <w:szCs w:val="32"/>
        </w:rPr>
        <w:t>2.</w:t>
      </w:r>
      <w:r>
        <w:rPr>
          <w:rFonts w:ascii="Times New Roman" w:hAnsi="Times New Roman" w:eastAsia="仿宋_GB2312" w:cs="Times New Roman"/>
          <w:color w:val="333333"/>
          <w:sz w:val="32"/>
          <w:szCs w:val="32"/>
        </w:rPr>
        <w:t>医疗卫生与计划生育支出（类）医疗保障管理事务（款）行政运行（项）2021年预算数为210.17万元，主要用于：人员工资福利支出、社会保险缴费及单位日常运转支出。</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cs="Times New Roman"/>
          <w:color w:val="333333"/>
          <w:sz w:val="32"/>
          <w:szCs w:val="32"/>
        </w:rPr>
        <w:t>3.</w:t>
      </w:r>
      <w:r>
        <w:rPr>
          <w:rFonts w:ascii="Times New Roman" w:hAnsi="Times New Roman" w:eastAsia="仿宋_GB2312" w:cs="Times New Roman"/>
          <w:color w:val="333333"/>
          <w:sz w:val="32"/>
          <w:szCs w:val="32"/>
        </w:rPr>
        <w:t>医疗卫生与计划生育支出（类）医疗保障管理事务（款）医疗保障政策管理（项）2021年预算数为7.65万元，主要用于：医保宣传培训、医疗救助、法制建设、医药价格和药品招标采购、医保基金监管、付费方式改革、医保信息化建设等方面的业务运行费用。</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cs="Times New Roman"/>
          <w:color w:val="333333"/>
          <w:sz w:val="32"/>
          <w:szCs w:val="32"/>
        </w:rPr>
        <w:t>4.</w:t>
      </w:r>
      <w:r>
        <w:rPr>
          <w:rFonts w:ascii="Times New Roman" w:hAnsi="Times New Roman" w:eastAsia="仿宋_GB2312" w:cs="Times New Roman"/>
          <w:color w:val="333333"/>
          <w:sz w:val="32"/>
          <w:szCs w:val="32"/>
        </w:rPr>
        <w:t>医疗卫生与计划生育支出（类）医疗保障管理事务（款）事业运行（项）2021年预算数为46.2万元，主要用于：市医保信息中心在职人员工资福利支出、社会保险缴费及日常运转支出。</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cs="Times New Roman"/>
          <w:color w:val="333333"/>
          <w:sz w:val="32"/>
          <w:szCs w:val="32"/>
        </w:rPr>
        <w:t>5.</w:t>
      </w:r>
      <w:r>
        <w:rPr>
          <w:rFonts w:ascii="Times New Roman" w:hAnsi="Times New Roman" w:eastAsia="仿宋_GB2312" w:cs="Times New Roman"/>
          <w:color w:val="333333"/>
          <w:sz w:val="32"/>
          <w:szCs w:val="32"/>
        </w:rPr>
        <w:t>住房保障支出（类）住房改革支出（款）住房公积金（项）2021年预算数为22.36万元，主要用于：单位按照规定标准为职工缴纳住房公积金。</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黑体" w:cs="Times New Roman"/>
          <w:color w:val="333333"/>
          <w:sz w:val="32"/>
          <w:szCs w:val="32"/>
        </w:rPr>
        <w:t>六、一般公共预算基本支出情况说明</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市医保局2021年一般公共预算基本支出299.48万元，其中：</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人员经费253.26</w:t>
      </w:r>
      <w:r>
        <w:rPr>
          <w:rFonts w:hint="eastAsia" w:ascii="Times New Roman" w:hAnsi="Times New Roman" w:eastAsia="仿宋_GB2312" w:cs="Times New Roman"/>
          <w:color w:val="333333"/>
          <w:sz w:val="32"/>
          <w:szCs w:val="32"/>
        </w:rPr>
        <w:t>万</w:t>
      </w:r>
      <w:r>
        <w:rPr>
          <w:rFonts w:ascii="Times New Roman" w:hAnsi="Times New Roman" w:eastAsia="仿宋_GB2312" w:cs="Times New Roman"/>
          <w:color w:val="333333"/>
          <w:sz w:val="32"/>
          <w:szCs w:val="32"/>
        </w:rPr>
        <w:t>元，主要包括：基本工资、津贴补贴、奖金、绩效工资、机关事业单位基本养老保险缴费、职工基本医疗保险缴费、公务员医疗补助缴费、其他社会保障缴费、住房公积金、其他工资福利支出。</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公用经费46.22万元，主要包括：办公费、水费、电费、邮电费、差旅费、工会经费、福利费、公务用车运行维护费、其他交通费用、其他商品和服务支出。</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黑体" w:cs="Times New Roman"/>
          <w:color w:val="333333"/>
          <w:sz w:val="32"/>
          <w:szCs w:val="32"/>
        </w:rPr>
        <w:t>七、“三公”经费财政拨款预算安排情况说明</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市医保局</w:t>
      </w:r>
      <w:r>
        <w:rPr>
          <w:rFonts w:ascii="Times New Roman" w:hAnsi="Times New Roman" w:cs="Times New Roman"/>
          <w:color w:val="333333"/>
          <w:sz w:val="32"/>
          <w:szCs w:val="32"/>
        </w:rPr>
        <w:t>2021</w:t>
      </w:r>
      <w:r>
        <w:rPr>
          <w:rFonts w:ascii="Times New Roman" w:hAnsi="Times New Roman" w:eastAsia="仿宋_GB2312" w:cs="Times New Roman"/>
          <w:color w:val="333333"/>
          <w:sz w:val="32"/>
          <w:szCs w:val="32"/>
        </w:rPr>
        <w:t>年</w:t>
      </w:r>
      <w:r>
        <w:rPr>
          <w:rFonts w:ascii="Times New Roman" w:hAnsi="Times New Roman" w:cs="Times New Roman"/>
          <w:color w:val="333333"/>
          <w:sz w:val="32"/>
          <w:szCs w:val="32"/>
        </w:rPr>
        <w:t>“</w:t>
      </w:r>
      <w:r>
        <w:rPr>
          <w:rFonts w:ascii="Times New Roman" w:hAnsi="Times New Roman" w:eastAsia="仿宋_GB2312" w:cs="Times New Roman"/>
          <w:color w:val="333333"/>
          <w:sz w:val="32"/>
          <w:szCs w:val="32"/>
        </w:rPr>
        <w:t>三公</w:t>
      </w:r>
      <w:r>
        <w:rPr>
          <w:rFonts w:ascii="Times New Roman" w:hAnsi="Times New Roman" w:cs="Times New Roman"/>
          <w:color w:val="333333"/>
          <w:sz w:val="32"/>
          <w:szCs w:val="32"/>
        </w:rPr>
        <w:t>”</w:t>
      </w:r>
      <w:r>
        <w:rPr>
          <w:rFonts w:ascii="Times New Roman" w:hAnsi="Times New Roman" w:eastAsia="仿宋_GB2312" w:cs="Times New Roman"/>
          <w:color w:val="333333"/>
          <w:sz w:val="32"/>
          <w:szCs w:val="32"/>
        </w:rPr>
        <w:t>经费财政拨款预算数</w:t>
      </w:r>
      <w:r>
        <w:rPr>
          <w:rFonts w:ascii="Times New Roman" w:hAnsi="Times New Roman" w:cs="Times New Roman"/>
          <w:color w:val="333333"/>
          <w:sz w:val="32"/>
          <w:szCs w:val="32"/>
        </w:rPr>
        <w:t>4.05</w:t>
      </w:r>
      <w:r>
        <w:rPr>
          <w:rFonts w:ascii="Times New Roman" w:hAnsi="Times New Roman" w:eastAsia="仿宋_GB2312" w:cs="Times New Roman"/>
          <w:color w:val="333333"/>
          <w:sz w:val="32"/>
          <w:szCs w:val="32"/>
        </w:rPr>
        <w:t>万元，其中：因公出国（境）经费</w:t>
      </w:r>
      <w:r>
        <w:rPr>
          <w:rFonts w:ascii="Times New Roman" w:hAnsi="Times New Roman" w:cs="Times New Roman"/>
          <w:color w:val="333333"/>
          <w:sz w:val="32"/>
          <w:szCs w:val="32"/>
        </w:rPr>
        <w:t>0</w:t>
      </w:r>
      <w:r>
        <w:rPr>
          <w:rFonts w:ascii="Times New Roman" w:hAnsi="Times New Roman" w:eastAsia="仿宋_GB2312" w:cs="Times New Roman"/>
          <w:color w:val="333333"/>
          <w:sz w:val="32"/>
          <w:szCs w:val="32"/>
        </w:rPr>
        <w:t>万元，公务接待费</w:t>
      </w:r>
      <w:r>
        <w:rPr>
          <w:rFonts w:ascii="Times New Roman" w:hAnsi="Times New Roman" w:cs="Times New Roman"/>
          <w:color w:val="333333"/>
          <w:sz w:val="32"/>
          <w:szCs w:val="32"/>
        </w:rPr>
        <w:t>0</w:t>
      </w:r>
      <w:r>
        <w:rPr>
          <w:rFonts w:hint="eastAsia" w:ascii="仿宋_GB2312" w:hAnsi="Times New Roman" w:eastAsia="仿宋_GB2312" w:cs="Times New Roman"/>
          <w:color w:val="333333"/>
          <w:sz w:val="32"/>
          <w:szCs w:val="32"/>
        </w:rPr>
        <w:t>万</w:t>
      </w:r>
      <w:r>
        <w:rPr>
          <w:rFonts w:ascii="Times New Roman" w:hAnsi="Times New Roman" w:eastAsia="仿宋_GB2312" w:cs="Times New Roman"/>
          <w:color w:val="333333"/>
          <w:sz w:val="32"/>
          <w:szCs w:val="32"/>
        </w:rPr>
        <w:t>元，公务用车购置及运行维护费</w:t>
      </w:r>
      <w:r>
        <w:rPr>
          <w:rFonts w:ascii="Times New Roman" w:hAnsi="Times New Roman" w:cs="Times New Roman"/>
          <w:color w:val="333333"/>
          <w:sz w:val="32"/>
          <w:szCs w:val="32"/>
        </w:rPr>
        <w:t>4.05</w:t>
      </w:r>
      <w:r>
        <w:rPr>
          <w:rFonts w:hint="eastAsia" w:ascii="仿宋_GB2312" w:hAnsi="Times New Roman" w:eastAsia="仿宋_GB2312" w:cs="Times New Roman"/>
          <w:color w:val="333333"/>
          <w:sz w:val="32"/>
          <w:szCs w:val="32"/>
        </w:rPr>
        <w:t>万</w:t>
      </w:r>
      <w:r>
        <w:rPr>
          <w:rFonts w:ascii="Times New Roman" w:hAnsi="Times New Roman" w:eastAsia="仿宋_GB2312" w:cs="Times New Roman"/>
          <w:color w:val="333333"/>
          <w:sz w:val="32"/>
          <w:szCs w:val="32"/>
        </w:rPr>
        <w:t>元。</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Style w:val="5"/>
          <w:rFonts w:ascii="Times New Roman" w:hAnsi="Times New Roman" w:eastAsia="楷体_GB2312" w:cs="Times New Roman"/>
          <w:color w:val="333333"/>
          <w:sz w:val="32"/>
          <w:szCs w:val="32"/>
        </w:rPr>
        <w:t>（一）因公出国（境）经费与</w:t>
      </w:r>
      <w:r>
        <w:rPr>
          <w:rStyle w:val="5"/>
          <w:rFonts w:ascii="Times New Roman" w:hAnsi="Times New Roman" w:cs="Times New Roman"/>
          <w:color w:val="333333"/>
          <w:sz w:val="32"/>
          <w:szCs w:val="32"/>
        </w:rPr>
        <w:t>2020</w:t>
      </w:r>
      <w:r>
        <w:rPr>
          <w:rStyle w:val="5"/>
          <w:rFonts w:ascii="Times New Roman" w:hAnsi="Times New Roman" w:eastAsia="楷体_GB2312" w:cs="Times New Roman"/>
          <w:color w:val="333333"/>
          <w:sz w:val="32"/>
          <w:szCs w:val="32"/>
        </w:rPr>
        <w:t>年预算持平。</w:t>
      </w:r>
      <w:r>
        <w:rPr>
          <w:rFonts w:ascii="Times New Roman" w:hAnsi="Times New Roman" w:eastAsia="仿宋_GB2312" w:cs="Times New Roman"/>
          <w:color w:val="333333"/>
          <w:sz w:val="32"/>
          <w:szCs w:val="32"/>
        </w:rPr>
        <w:t>主要原因是市医保局无因公出国（境）经费用。</w:t>
      </w:r>
    </w:p>
    <w:p>
      <w:pPr>
        <w:spacing w:line="600" w:lineRule="exact"/>
        <w:ind w:firstLine="640"/>
        <w:rPr>
          <w:rFonts w:ascii="Times New Roman" w:hAnsi="Times New Roman" w:eastAsia="仿宋_GB2312" w:cs="Times New Roman"/>
          <w:color w:val="000000"/>
          <w:sz w:val="32"/>
          <w:szCs w:val="32"/>
        </w:rPr>
      </w:pPr>
      <w:r>
        <w:rPr>
          <w:rStyle w:val="5"/>
          <w:rFonts w:ascii="Times New Roman" w:hAnsi="Times New Roman" w:eastAsia="楷体_GB2312" w:cs="Times New Roman"/>
          <w:color w:val="333333"/>
          <w:sz w:val="32"/>
          <w:szCs w:val="32"/>
        </w:rPr>
        <w:t>（二）公务接待费与</w:t>
      </w:r>
      <w:r>
        <w:rPr>
          <w:rStyle w:val="5"/>
          <w:rFonts w:ascii="Times New Roman" w:hAnsi="Times New Roman" w:cs="Times New Roman"/>
          <w:color w:val="333333"/>
          <w:sz w:val="32"/>
          <w:szCs w:val="32"/>
        </w:rPr>
        <w:t>2020</w:t>
      </w:r>
      <w:r>
        <w:rPr>
          <w:rStyle w:val="5"/>
          <w:rFonts w:ascii="Times New Roman" w:hAnsi="Times New Roman" w:eastAsia="楷体_GB2312" w:cs="Times New Roman"/>
          <w:color w:val="333333"/>
          <w:sz w:val="32"/>
          <w:szCs w:val="32"/>
        </w:rPr>
        <w:t>年预算持平。</w:t>
      </w:r>
      <w:r>
        <w:rPr>
          <w:rFonts w:ascii="Times New Roman" w:hAnsi="Times New Roman" w:eastAsia="仿宋_GB2312" w:cs="Times New Roman"/>
          <w:sz w:val="32"/>
          <w:szCs w:val="32"/>
        </w:rPr>
        <w:t>2021年公务接待费年初预算0万元，主要原因是市医保局</w:t>
      </w:r>
      <w:r>
        <w:rPr>
          <w:rFonts w:ascii="Times New Roman" w:hAnsi="Times New Roman" w:eastAsia="仿宋_GB2312" w:cs="Times New Roman"/>
          <w:color w:val="000000"/>
          <w:sz w:val="32"/>
          <w:szCs w:val="32"/>
        </w:rPr>
        <w:t>2019年成立以来，一直未安排公务接待费年初预算，由于</w:t>
      </w:r>
      <w:r>
        <w:rPr>
          <w:rFonts w:ascii="Times New Roman" w:hAnsi="Times New Roman" w:eastAsia="仿宋_GB2312" w:cs="Times New Roman"/>
          <w:sz w:val="32"/>
          <w:szCs w:val="32"/>
        </w:rPr>
        <w:t>2020年公务接待费年初预算为0万元，故2021年公务接待费与2020年预算持平</w:t>
      </w:r>
      <w:r>
        <w:rPr>
          <w:rFonts w:ascii="Times New Roman" w:hAnsi="Times New Roman" w:eastAsia="仿宋_GB2312" w:cs="Times New Roman"/>
          <w:color w:val="000000"/>
          <w:sz w:val="32"/>
          <w:szCs w:val="32"/>
        </w:rPr>
        <w:t>。</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Style w:val="5"/>
          <w:rFonts w:ascii="Times New Roman" w:hAnsi="Times New Roman" w:eastAsia="楷体_GB2312" w:cs="Times New Roman"/>
          <w:color w:val="333333"/>
          <w:sz w:val="32"/>
          <w:szCs w:val="32"/>
        </w:rPr>
        <w:t>（三）公务用车购置及运行维护费较2020年预算增长</w:t>
      </w:r>
      <w:r>
        <w:rPr>
          <w:rStyle w:val="5"/>
          <w:rFonts w:ascii="Times New Roman" w:hAnsi="Times New Roman" w:cs="Times New Roman"/>
          <w:color w:val="333333"/>
          <w:sz w:val="32"/>
          <w:szCs w:val="32"/>
        </w:rPr>
        <w:t>100%</w:t>
      </w:r>
      <w:r>
        <w:rPr>
          <w:rStyle w:val="5"/>
          <w:rFonts w:ascii="Times New Roman" w:hAnsi="Times New Roman" w:eastAsia="楷体_GB2312" w:cs="Times New Roman"/>
          <w:color w:val="333333"/>
          <w:sz w:val="32"/>
          <w:szCs w:val="32"/>
        </w:rPr>
        <w:t>。</w:t>
      </w:r>
      <w:r>
        <w:rPr>
          <w:rFonts w:ascii="Times New Roman" w:hAnsi="Times New Roman" w:eastAsia="仿宋_GB2312" w:cs="Times New Roman"/>
          <w:color w:val="333333"/>
          <w:sz w:val="32"/>
          <w:szCs w:val="32"/>
        </w:rPr>
        <w:t>主要原因是非独立核算下属事业单位市医保信息中心因工作需要，新增业务用车</w:t>
      </w:r>
      <w:r>
        <w:rPr>
          <w:rFonts w:ascii="Times New Roman" w:hAnsi="Times New Roman" w:cs="Times New Roman"/>
          <w:color w:val="333333"/>
          <w:sz w:val="32"/>
          <w:szCs w:val="32"/>
        </w:rPr>
        <w:t>1</w:t>
      </w:r>
      <w:r>
        <w:rPr>
          <w:rFonts w:ascii="Times New Roman" w:hAnsi="Times New Roman" w:eastAsia="仿宋_GB2312" w:cs="Times New Roman"/>
          <w:color w:val="333333"/>
          <w:sz w:val="32"/>
          <w:szCs w:val="32"/>
        </w:rPr>
        <w:t>台，单位现有业务用车1辆，为城市越野车。2021年安排业务用车运行维护费4.05万元，用于燃油、维修、车辆通行等方面支出，主要保障县区定点医药机构信息化建设和日常网络维护等工作开展。</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黑体" w:cs="Times New Roman"/>
          <w:color w:val="333333"/>
          <w:sz w:val="32"/>
          <w:szCs w:val="32"/>
        </w:rPr>
        <w:t>八、政府性基金预算支出情况说明</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市医保局2021年政府性基金预算支出0万元，其中：基本支出0万元，项目支出0万元。</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黑体" w:cs="Times New Roman"/>
          <w:color w:val="333333"/>
          <w:sz w:val="32"/>
          <w:szCs w:val="32"/>
        </w:rPr>
        <w:t>九、其他重要事项的情况说明</w:t>
      </w:r>
    </w:p>
    <w:p>
      <w:pPr>
        <w:pStyle w:val="2"/>
        <w:shd w:val="clear" w:color="auto" w:fill="FFFFFF"/>
        <w:spacing w:before="255" w:beforeAutospacing="0" w:after="255" w:afterAutospacing="0" w:line="600" w:lineRule="atLeast"/>
        <w:ind w:firstLine="643"/>
        <w:rPr>
          <w:rFonts w:ascii="Times New Roman" w:hAnsi="Times New Roman" w:cs="Times New Roman"/>
          <w:color w:val="333333"/>
          <w:sz w:val="27"/>
          <w:szCs w:val="27"/>
        </w:rPr>
      </w:pPr>
      <w:r>
        <w:rPr>
          <w:rStyle w:val="5"/>
          <w:rFonts w:ascii="Times New Roman" w:hAnsi="Times New Roman" w:eastAsia="楷体_GB2312" w:cs="Times New Roman"/>
          <w:color w:val="333333"/>
          <w:sz w:val="32"/>
          <w:szCs w:val="32"/>
        </w:rPr>
        <w:t>（一）机关运行经费</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cs="Times New Roman"/>
          <w:color w:val="333333"/>
          <w:sz w:val="32"/>
          <w:szCs w:val="32"/>
        </w:rPr>
        <w:t>2021</w:t>
      </w:r>
      <w:r>
        <w:rPr>
          <w:rFonts w:ascii="Times New Roman" w:hAnsi="Times New Roman" w:eastAsia="仿宋_GB2312" w:cs="Times New Roman"/>
          <w:color w:val="333333"/>
          <w:sz w:val="32"/>
          <w:szCs w:val="32"/>
        </w:rPr>
        <w:t>年，市医保局（含下属事业单位市医保信息中心）机关运行经费财政拨款预算为46.22万元，比2020年预算增加7.53万元，增长19.46%。主要用于办公、水电、邮电、差旅等日常运行支出</w:t>
      </w:r>
      <w:r>
        <w:rPr>
          <w:rFonts w:ascii="Times New Roman" w:hAnsi="Times New Roman" w:eastAsia="仿宋_GB2312" w:cs="Times New Roman"/>
          <w:color w:val="333333"/>
          <w:sz w:val="36"/>
          <w:szCs w:val="36"/>
        </w:rPr>
        <w:t>。</w:t>
      </w:r>
    </w:p>
    <w:p>
      <w:pPr>
        <w:pStyle w:val="2"/>
        <w:shd w:val="clear" w:color="auto" w:fill="FFFFFF"/>
        <w:spacing w:before="255" w:beforeAutospacing="0" w:after="255" w:afterAutospacing="0" w:line="600" w:lineRule="atLeast"/>
        <w:ind w:firstLine="643"/>
        <w:rPr>
          <w:rFonts w:ascii="Times New Roman" w:hAnsi="Times New Roman" w:cs="Times New Roman"/>
          <w:color w:val="333333"/>
          <w:sz w:val="27"/>
          <w:szCs w:val="27"/>
        </w:rPr>
      </w:pPr>
      <w:r>
        <w:rPr>
          <w:rStyle w:val="5"/>
          <w:rFonts w:ascii="Times New Roman" w:hAnsi="Times New Roman" w:eastAsia="楷体_GB2312" w:cs="Times New Roman"/>
          <w:color w:val="333333"/>
          <w:sz w:val="32"/>
          <w:szCs w:val="32"/>
        </w:rPr>
        <w:t>（二）国有资产占有使用情况</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截至2021年底，市医保局及所属的非独立核算单位共有车辆1辆，其中，业务用车1辆，执法执勤用车0辆。单位价值200万元以上大型设备0台（套）。</w:t>
      </w:r>
    </w:p>
    <w:p>
      <w:pPr>
        <w:pStyle w:val="2"/>
        <w:shd w:val="clear" w:color="auto" w:fill="FFFFFF"/>
        <w:spacing w:before="255" w:beforeAutospacing="0" w:after="255" w:afterAutospacing="0" w:line="600" w:lineRule="atLeast"/>
        <w:ind w:firstLine="643"/>
        <w:rPr>
          <w:rFonts w:ascii="Times New Roman" w:hAnsi="Times New Roman" w:cs="Times New Roman"/>
          <w:color w:val="333333"/>
          <w:sz w:val="27"/>
          <w:szCs w:val="27"/>
        </w:rPr>
      </w:pPr>
      <w:r>
        <w:rPr>
          <w:rStyle w:val="5"/>
          <w:rFonts w:ascii="Times New Roman" w:hAnsi="Times New Roman" w:eastAsia="楷体_GB2312" w:cs="Times New Roman"/>
          <w:color w:val="333333"/>
          <w:sz w:val="32"/>
          <w:szCs w:val="32"/>
        </w:rPr>
        <w:t>（三）绩效目标设置情况</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cs="Times New Roman"/>
          <w:color w:val="333333"/>
          <w:sz w:val="32"/>
          <w:szCs w:val="32"/>
        </w:rPr>
        <w:t>2021</w:t>
      </w:r>
      <w:r>
        <w:rPr>
          <w:rFonts w:ascii="Times New Roman" w:hAnsi="Times New Roman" w:eastAsia="仿宋_GB2312" w:cs="Times New Roman"/>
          <w:color w:val="333333"/>
          <w:sz w:val="32"/>
          <w:szCs w:val="32"/>
        </w:rPr>
        <w:t>年市医保局部门通用项目和专用项目均按要求实行绩效目标管理，涉及一般公共预算当年拨款</w:t>
      </w:r>
      <w:r>
        <w:rPr>
          <w:rFonts w:ascii="Times New Roman" w:hAnsi="Times New Roman" w:cs="Times New Roman"/>
          <w:color w:val="333333"/>
          <w:sz w:val="32"/>
          <w:szCs w:val="32"/>
        </w:rPr>
        <w:t>7.65</w:t>
      </w:r>
      <w:r>
        <w:rPr>
          <w:rFonts w:ascii="Times New Roman" w:hAnsi="Times New Roman" w:eastAsia="仿宋_GB2312" w:cs="Times New Roman"/>
          <w:color w:val="333333"/>
          <w:sz w:val="32"/>
          <w:szCs w:val="32"/>
        </w:rPr>
        <w:t>万元。</w:t>
      </w:r>
    </w:p>
    <w:p>
      <w:pPr>
        <w:pStyle w:val="2"/>
        <w:shd w:val="clear" w:color="auto" w:fill="FFFFFF"/>
        <w:spacing w:before="255" w:beforeAutospacing="0" w:after="255" w:afterAutospacing="0" w:line="600" w:lineRule="atLeast"/>
        <w:ind w:firstLine="643"/>
        <w:rPr>
          <w:rFonts w:ascii="Times New Roman" w:hAnsi="Times New Roman" w:cs="Times New Roman"/>
          <w:color w:val="333333"/>
          <w:sz w:val="27"/>
          <w:szCs w:val="27"/>
        </w:rPr>
      </w:pPr>
      <w:r>
        <w:rPr>
          <w:rStyle w:val="5"/>
          <w:rFonts w:ascii="Times New Roman" w:hAnsi="Times New Roman" w:eastAsia="楷体_GB2312" w:cs="Times New Roman"/>
          <w:color w:val="333333"/>
          <w:sz w:val="32"/>
          <w:szCs w:val="32"/>
        </w:rPr>
        <w:t>（四）政府采购预算安排情况</w:t>
      </w:r>
    </w:p>
    <w:p>
      <w:pPr>
        <w:pStyle w:val="2"/>
        <w:shd w:val="clear" w:color="auto" w:fill="FFFFFF"/>
        <w:spacing w:before="0" w:beforeAutospacing="0" w:after="0" w:afterAutospacing="0" w:line="578" w:lineRule="atLeast"/>
        <w:ind w:firstLine="640"/>
        <w:jc w:val="both"/>
        <w:rPr>
          <w:rFonts w:ascii="Times New Roman" w:hAnsi="Times New Roman" w:cs="Times New Roman"/>
          <w:color w:val="333333"/>
          <w:sz w:val="27"/>
          <w:szCs w:val="27"/>
        </w:rPr>
      </w:pPr>
      <w:r>
        <w:rPr>
          <w:rFonts w:ascii="Times New Roman" w:hAnsi="Times New Roman" w:cs="Times New Roman"/>
          <w:color w:val="333333"/>
          <w:sz w:val="32"/>
          <w:szCs w:val="32"/>
        </w:rPr>
        <w:t>2021</w:t>
      </w:r>
      <w:r>
        <w:rPr>
          <w:rFonts w:ascii="Times New Roman" w:hAnsi="Times New Roman" w:eastAsia="仿宋_GB2312" w:cs="Times New Roman"/>
          <w:color w:val="333333"/>
          <w:sz w:val="32"/>
          <w:szCs w:val="32"/>
        </w:rPr>
        <w:t>年市财政局批复市医保局下属事业单位市医保信息中心（财务未独立核算）政府采购项目预算金额842.14万元,用于医保“综合柜员制”系统政策性功能调整项目；攀枝花“智慧医保”微信小程序及后台管理系统开发项目；“一网通办”百日攻坚业务系统暨互联网网上服务渠道改造项目；“金保工程”医保平台运维保障项目；贯标系统建设改造；综合统计报表软件服务。</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黑体" w:cs="Times New Roman"/>
          <w:color w:val="333333"/>
          <w:sz w:val="32"/>
          <w:szCs w:val="32"/>
        </w:rPr>
        <w:t>十、名词解释</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cs="Times New Roman"/>
          <w:color w:val="333333"/>
          <w:sz w:val="32"/>
          <w:szCs w:val="32"/>
        </w:rPr>
        <w:t>1.</w:t>
      </w:r>
      <w:r>
        <w:rPr>
          <w:rFonts w:ascii="Times New Roman" w:hAnsi="Times New Roman" w:eastAsia="仿宋_GB2312" w:cs="Times New Roman"/>
          <w:color w:val="333333"/>
          <w:sz w:val="32"/>
          <w:szCs w:val="32"/>
        </w:rPr>
        <w:t>一般公共预算拨款收入：指市级财政当年拨付的资金。</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cs="Times New Roman"/>
          <w:color w:val="333333"/>
          <w:sz w:val="32"/>
          <w:szCs w:val="32"/>
        </w:rPr>
        <w:t>2.</w:t>
      </w:r>
      <w:r>
        <w:rPr>
          <w:rFonts w:ascii="Times New Roman" w:hAnsi="Times New Roman" w:eastAsia="仿宋_GB2312" w:cs="Times New Roman"/>
          <w:color w:val="333333"/>
          <w:sz w:val="32"/>
          <w:szCs w:val="32"/>
        </w:rPr>
        <w:t>社会保障和就业支出（类）机关事业单位基本养老保险缴费（款）机关事业单位基本养老保险缴费支出（项）：指机关事业单位实施养老保险制度由单位缴纳的基本养老保险费支出。</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cs="Times New Roman"/>
          <w:color w:val="333333"/>
          <w:sz w:val="32"/>
          <w:szCs w:val="32"/>
        </w:rPr>
        <w:t>3.</w:t>
      </w:r>
      <w:r>
        <w:rPr>
          <w:rFonts w:ascii="Times New Roman" w:hAnsi="Times New Roman" w:eastAsia="仿宋_GB2312" w:cs="Times New Roman"/>
          <w:color w:val="333333"/>
          <w:sz w:val="32"/>
          <w:szCs w:val="32"/>
        </w:rPr>
        <w:t>医疗卫生与计划生育支出（类）医疗保障管理事务（款）行政运行（项）：指行政单位的基本支出。</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4</w:t>
      </w:r>
      <w:r>
        <w:rPr>
          <w:rFonts w:ascii="Times New Roman" w:hAnsi="Times New Roman" w:cs="Times New Roman"/>
          <w:color w:val="333333"/>
          <w:sz w:val="32"/>
          <w:szCs w:val="32"/>
        </w:rPr>
        <w:t>.</w:t>
      </w:r>
      <w:r>
        <w:rPr>
          <w:rFonts w:ascii="Times New Roman" w:hAnsi="Times New Roman" w:eastAsia="仿宋_GB2312" w:cs="Times New Roman"/>
          <w:color w:val="333333"/>
          <w:sz w:val="32"/>
          <w:szCs w:val="32"/>
        </w:rPr>
        <w:t>医疗卫生与计划生育支出（类）医疗保障管理事务（款）医疗保障政策管理（项）：指医疗保障待遇管理、医药服务管理、医药价格和招标采购管理、医疗保障基金监管等支出。</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5</w:t>
      </w:r>
      <w:r>
        <w:rPr>
          <w:rFonts w:ascii="Times New Roman" w:hAnsi="Times New Roman" w:cs="Times New Roman"/>
          <w:color w:val="333333"/>
          <w:sz w:val="32"/>
          <w:szCs w:val="32"/>
        </w:rPr>
        <w:t>.</w:t>
      </w:r>
      <w:r>
        <w:rPr>
          <w:rFonts w:ascii="Times New Roman" w:hAnsi="Times New Roman" w:eastAsia="仿宋_GB2312" w:cs="Times New Roman"/>
          <w:color w:val="333333"/>
          <w:sz w:val="32"/>
          <w:szCs w:val="32"/>
        </w:rPr>
        <w:t>住房保障支出（类）住房改革支出（款）住房公积金（项）：指行政事业单位按人力资源和社会保障部、财政部规定的基本工资和津贴补贴以及规定比例为职工缴纳的住房公积金。</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6</w:t>
      </w:r>
      <w:r>
        <w:rPr>
          <w:rFonts w:ascii="Times New Roman" w:hAnsi="Times New Roman" w:cs="Times New Roman"/>
          <w:color w:val="333333"/>
          <w:sz w:val="32"/>
          <w:szCs w:val="32"/>
        </w:rPr>
        <w:t>.</w:t>
      </w:r>
      <w:r>
        <w:rPr>
          <w:rFonts w:ascii="Times New Roman" w:hAnsi="Times New Roman" w:eastAsia="仿宋_GB2312" w:cs="Times New Roman"/>
          <w:color w:val="333333"/>
          <w:sz w:val="32"/>
          <w:szCs w:val="32"/>
        </w:rPr>
        <w:t>基本支出：指为保证机构正常运转，完成日常工作任务而发生的人员支出和公用支出。</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7</w:t>
      </w:r>
      <w:r>
        <w:rPr>
          <w:rFonts w:ascii="Times New Roman" w:hAnsi="Times New Roman" w:cs="Times New Roman"/>
          <w:color w:val="333333"/>
          <w:sz w:val="32"/>
          <w:szCs w:val="32"/>
        </w:rPr>
        <w:t>.</w:t>
      </w:r>
      <w:r>
        <w:rPr>
          <w:rFonts w:ascii="Times New Roman" w:hAnsi="Times New Roman" w:eastAsia="仿宋_GB2312" w:cs="Times New Roman"/>
          <w:color w:val="333333"/>
          <w:sz w:val="32"/>
          <w:szCs w:val="32"/>
        </w:rPr>
        <w:t>项目支出：指在基本支出之外为完成特定行政任务和事业发展目标所发生的支出。</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8</w:t>
      </w:r>
      <w:r>
        <w:rPr>
          <w:rFonts w:ascii="Times New Roman" w:hAnsi="Times New Roman" w:cs="Times New Roman"/>
          <w:color w:val="333333"/>
          <w:sz w:val="32"/>
          <w:szCs w:val="32"/>
        </w:rPr>
        <w:t>.“</w:t>
      </w:r>
      <w:r>
        <w:rPr>
          <w:rFonts w:ascii="Times New Roman" w:hAnsi="Times New Roman" w:eastAsia="仿宋_GB2312" w:cs="Times New Roman"/>
          <w:color w:val="333333"/>
          <w:sz w:val="32"/>
          <w:szCs w:val="32"/>
        </w:rPr>
        <w:t>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
        <w:shd w:val="clear" w:color="auto" w:fill="FFFFFF"/>
        <w:spacing w:before="255" w:beforeAutospacing="0" w:after="255" w:afterAutospacing="0" w:line="600" w:lineRule="atLeast"/>
        <w:ind w:firstLine="64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9</w:t>
      </w:r>
      <w:r>
        <w:rPr>
          <w:rFonts w:ascii="Times New Roman" w:hAnsi="Times New Roman" w:cs="Times New Roman"/>
          <w:color w:val="333333"/>
          <w:sz w:val="32"/>
          <w:szCs w:val="32"/>
        </w:rPr>
        <w:t>.</w:t>
      </w:r>
      <w:r>
        <w:rPr>
          <w:rFonts w:ascii="Times New Roman" w:hAnsi="Times New Roman" w:eastAsia="仿宋_GB2312" w:cs="Times New Roman"/>
          <w:color w:val="333333"/>
          <w:sz w:val="32"/>
          <w:szCs w:val="32"/>
        </w:rPr>
        <w:t>机关运行经费：为保障行政单位（包含参照公务员法管理的事业单位）运行用于购买货物和服务的各项资金。包括办公及办公费、水费、电费、印刷费、邮电费、差旅费、会议费等费用开支。</w:t>
      </w:r>
    </w:p>
    <w:p>
      <w:pPr>
        <w:pStyle w:val="2"/>
        <w:shd w:val="clear" w:color="auto" w:fill="FFFFFF"/>
        <w:spacing w:before="255" w:beforeAutospacing="0" w:after="255" w:afterAutospacing="0" w:line="600" w:lineRule="atLeast"/>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附件：表1.部门收支总表</w:t>
      </w:r>
    </w:p>
    <w:p>
      <w:pPr>
        <w:pStyle w:val="2"/>
        <w:shd w:val="clear" w:color="auto" w:fill="FFFFFF"/>
        <w:spacing w:before="255" w:beforeAutospacing="0" w:after="255" w:afterAutospacing="0" w:line="600" w:lineRule="atLeast"/>
        <w:rPr>
          <w:rFonts w:ascii="Times New Roman" w:hAnsi="Times New Roman" w:cs="Times New Roman"/>
          <w:color w:val="333333"/>
          <w:sz w:val="27"/>
          <w:szCs w:val="27"/>
        </w:rPr>
      </w:pPr>
      <w:r>
        <w:rPr>
          <w:rFonts w:ascii="Times New Roman" w:hAnsi="Times New Roman" w:cs="Times New Roman"/>
          <w:color w:val="333333"/>
          <w:sz w:val="32"/>
          <w:szCs w:val="32"/>
        </w:rPr>
        <w:t>         </w:t>
      </w:r>
      <w:r>
        <w:rPr>
          <w:rFonts w:ascii="Times New Roman" w:hAnsi="Times New Roman" w:eastAsia="仿宋_GB2312" w:cs="Times New Roman"/>
          <w:color w:val="333333"/>
          <w:sz w:val="32"/>
          <w:szCs w:val="32"/>
        </w:rPr>
        <w:t>表1-1.部门收入总表</w:t>
      </w:r>
    </w:p>
    <w:p>
      <w:pPr>
        <w:pStyle w:val="2"/>
        <w:shd w:val="clear" w:color="auto" w:fill="FFFFFF"/>
        <w:spacing w:before="255" w:beforeAutospacing="0" w:after="255" w:afterAutospacing="0" w:line="600" w:lineRule="atLeast"/>
        <w:rPr>
          <w:rFonts w:ascii="Times New Roman" w:hAnsi="Times New Roman" w:cs="Times New Roman"/>
          <w:color w:val="333333"/>
          <w:sz w:val="27"/>
          <w:szCs w:val="27"/>
        </w:rPr>
      </w:pPr>
      <w:r>
        <w:rPr>
          <w:rFonts w:ascii="Times New Roman" w:hAnsi="Times New Roman" w:cs="Times New Roman"/>
          <w:color w:val="333333"/>
          <w:sz w:val="32"/>
          <w:szCs w:val="32"/>
        </w:rPr>
        <w:t>         </w:t>
      </w:r>
      <w:r>
        <w:rPr>
          <w:rFonts w:ascii="Times New Roman" w:hAnsi="Times New Roman" w:eastAsia="仿宋_GB2312" w:cs="Times New Roman"/>
          <w:color w:val="333333"/>
          <w:sz w:val="32"/>
          <w:szCs w:val="32"/>
        </w:rPr>
        <w:t>表1-2.部门支出总表</w:t>
      </w:r>
    </w:p>
    <w:p>
      <w:pPr>
        <w:pStyle w:val="2"/>
        <w:shd w:val="clear" w:color="auto" w:fill="FFFFFF"/>
        <w:spacing w:before="255" w:beforeAutospacing="0" w:after="255" w:afterAutospacing="0" w:line="600" w:lineRule="atLeast"/>
        <w:ind w:firstLine="960" w:firstLineChars="30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表2.财政拨款收支预算总表</w:t>
      </w:r>
    </w:p>
    <w:p>
      <w:pPr>
        <w:pStyle w:val="2"/>
        <w:shd w:val="clear" w:color="auto" w:fill="FFFFFF"/>
        <w:spacing w:before="255" w:beforeAutospacing="0" w:after="255" w:afterAutospacing="0" w:line="600" w:lineRule="atLeast"/>
        <w:ind w:firstLine="96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表2-1.财政拨款支出预算表</w:t>
      </w:r>
    </w:p>
    <w:p>
      <w:pPr>
        <w:pStyle w:val="2"/>
        <w:shd w:val="clear" w:color="auto" w:fill="FFFFFF"/>
        <w:spacing w:before="255" w:beforeAutospacing="0" w:after="255" w:afterAutospacing="0" w:line="600" w:lineRule="atLeast"/>
        <w:ind w:firstLine="96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表3.一般公共预算支出预算表</w:t>
      </w:r>
    </w:p>
    <w:p>
      <w:pPr>
        <w:pStyle w:val="2"/>
        <w:shd w:val="clear" w:color="auto" w:fill="FFFFFF"/>
        <w:spacing w:before="255" w:beforeAutospacing="0" w:after="255" w:afterAutospacing="0" w:line="600" w:lineRule="atLeast"/>
        <w:ind w:firstLine="96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表3-1.一般公共预算基本支出预算表</w:t>
      </w:r>
    </w:p>
    <w:p>
      <w:pPr>
        <w:pStyle w:val="2"/>
        <w:shd w:val="clear" w:color="auto" w:fill="FFFFFF"/>
        <w:spacing w:before="255" w:beforeAutospacing="0" w:after="255" w:afterAutospacing="0" w:line="600" w:lineRule="atLeast"/>
        <w:ind w:firstLine="96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表3-2.一般公共预算项目支出预算表</w:t>
      </w:r>
    </w:p>
    <w:p>
      <w:pPr>
        <w:pStyle w:val="2"/>
        <w:shd w:val="clear" w:color="auto" w:fill="FFFFFF"/>
        <w:spacing w:before="255" w:beforeAutospacing="0" w:after="255" w:afterAutospacing="0" w:line="600" w:lineRule="atLeast"/>
        <w:ind w:firstLine="96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表3-3.一般公共预算“三公”经费支出预算表</w:t>
      </w:r>
    </w:p>
    <w:p>
      <w:pPr>
        <w:pStyle w:val="2"/>
        <w:shd w:val="clear" w:color="auto" w:fill="FFFFFF"/>
        <w:spacing w:before="255" w:beforeAutospacing="0" w:after="255" w:afterAutospacing="0" w:line="600" w:lineRule="atLeast"/>
        <w:ind w:firstLine="96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表4.政府性基金支出预算表</w:t>
      </w:r>
    </w:p>
    <w:p>
      <w:pPr>
        <w:pStyle w:val="2"/>
        <w:shd w:val="clear" w:color="auto" w:fill="FFFFFF"/>
        <w:spacing w:before="255" w:beforeAutospacing="0" w:after="255" w:afterAutospacing="0" w:line="600" w:lineRule="atLeast"/>
        <w:ind w:firstLine="96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表4-1.政府性基金预算“三公”经费支出预算表</w:t>
      </w:r>
    </w:p>
    <w:p>
      <w:pPr>
        <w:pStyle w:val="2"/>
        <w:shd w:val="clear" w:color="auto" w:fill="FFFFFF"/>
        <w:spacing w:before="255" w:beforeAutospacing="0" w:after="255" w:afterAutospacing="0" w:line="600" w:lineRule="atLeast"/>
        <w:ind w:firstLine="960"/>
        <w:rPr>
          <w:rFonts w:ascii="Times New Roman" w:hAnsi="Times New Roman" w:cs="Times New Roman"/>
          <w:color w:val="333333"/>
          <w:sz w:val="27"/>
          <w:szCs w:val="27"/>
        </w:rPr>
      </w:pPr>
      <w:r>
        <w:rPr>
          <w:rFonts w:ascii="Times New Roman" w:hAnsi="Times New Roman" w:eastAsia="仿宋_GB2312" w:cs="Times New Roman"/>
          <w:color w:val="333333"/>
          <w:sz w:val="32"/>
          <w:szCs w:val="32"/>
        </w:rPr>
        <w:t>表5.国有资本经营预算支出预算表</w:t>
      </w:r>
    </w:p>
    <w:p>
      <w:pPr>
        <w:pStyle w:val="2"/>
        <w:shd w:val="clear" w:color="auto" w:fill="FFFFFF"/>
        <w:spacing w:before="255" w:beforeAutospacing="0" w:after="255" w:afterAutospacing="0" w:line="600" w:lineRule="atLeast"/>
        <w:ind w:firstLine="960"/>
        <w:rPr>
          <w:rFonts w:ascii="Times New Roman" w:hAnsi="Times New Roman" w:eastAsia="仿宋_GB2312" w:cs="Times New Roman"/>
          <w:color w:val="333333"/>
          <w:sz w:val="32"/>
          <w:szCs w:val="32"/>
        </w:rPr>
      </w:pPr>
      <w:r>
        <w:rPr>
          <w:rFonts w:ascii="Times New Roman" w:hAnsi="Times New Roman" w:eastAsia="仿宋_GB2312" w:cs="Times New Roman"/>
          <w:color w:val="333333"/>
          <w:sz w:val="32"/>
          <w:szCs w:val="32"/>
        </w:rPr>
        <w:t>表6.部门预算项目绩效目标表（2021年）</w:t>
      </w:r>
    </w:p>
    <w:p>
      <w:pPr>
        <w:pStyle w:val="2"/>
        <w:shd w:val="clear" w:color="auto" w:fill="FFFFFF"/>
        <w:spacing w:before="255" w:beforeAutospacing="0" w:after="255" w:afterAutospacing="0" w:line="600" w:lineRule="atLeast"/>
        <w:ind w:firstLine="960"/>
        <w:rPr>
          <w:rFonts w:ascii="Times New Roman" w:hAnsi="Times New Roman" w:eastAsia="仿宋_GB2312" w:cs="Times New Roman"/>
          <w:color w:val="333333"/>
          <w:sz w:val="32"/>
          <w:szCs w:val="32"/>
        </w:rPr>
      </w:pPr>
      <w:r>
        <w:rPr>
          <w:rFonts w:hint="eastAsia" w:ascii="Times New Roman" w:hAnsi="Times New Roman" w:eastAsia="仿宋_GB2312" w:cs="Times New Roman"/>
          <w:color w:val="333333"/>
          <w:sz w:val="32"/>
          <w:szCs w:val="32"/>
        </w:rPr>
        <w:t>表7.部门整体支出绩效目标表</w:t>
      </w:r>
      <w:bookmarkStart w:id="0" w:name="_GoBack"/>
      <w:bookmarkEnd w:id="0"/>
    </w:p>
    <w:p>
      <w:pPr>
        <w:pStyle w:val="2"/>
        <w:shd w:val="clear" w:color="auto" w:fill="FFFFFF"/>
        <w:spacing w:before="255" w:beforeAutospacing="0" w:after="255" w:afterAutospacing="0" w:line="600" w:lineRule="atLeast"/>
        <w:ind w:firstLine="960"/>
        <w:rPr>
          <w:rFonts w:ascii="Times New Roman" w:hAnsi="Times New Roman" w:eastAsia="仿宋_GB2312" w:cs="Times New Roman"/>
          <w:color w:val="333333"/>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
    <w:altName w:val="宋体"/>
    <w:panose1 w:val="00000000000000000000"/>
    <w:charset w:val="86"/>
    <w:family w:val="roma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IzZjExODZjZTdlNzI5NzkwMDdlYWFhNGUyYjdkODAifQ=="/>
  </w:docVars>
  <w:rsids>
    <w:rsidRoot w:val="009B2551"/>
    <w:rsid w:val="00081F0C"/>
    <w:rsid w:val="00117B76"/>
    <w:rsid w:val="005A68FA"/>
    <w:rsid w:val="00752222"/>
    <w:rsid w:val="009B2551"/>
    <w:rsid w:val="00E66371"/>
    <w:rsid w:val="197023E8"/>
    <w:rsid w:val="376018BF"/>
    <w:rsid w:val="3BBC73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 w:type="character" w:styleId="6">
    <w:name w:val="Hyperlink"/>
    <w:basedOn w:val="4"/>
    <w:semiHidden/>
    <w:unhideWhenUsed/>
    <w:qFormat/>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CDBEBA-22B3-442E-8429-4E578D90B2C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4959</Words>
  <Characters>5831</Characters>
  <Lines>45</Lines>
  <Paragraphs>12</Paragraphs>
  <TotalTime>19</TotalTime>
  <ScaleCrop>false</ScaleCrop>
  <LinksUpToDate>false</LinksUpToDate>
  <CharactersWithSpaces>5857</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2022-08-10T15:04:00Z</dcterms:created>
  <dc:creator>Windows</dc:creator>
  <cp:lastModifiedBy>Administrator</cp:lastModifiedBy>
  <dcterms:modified xsi:type="dcterms:W3CDTF">2022-08-12T01:54:44Z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C7C50CE4651F403FBD54CB26F5A7672F</vt:lpwstr>
  </property>
</Properties>
</file>