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77425"/>
      <w:bookmarkStart w:id="3" w:name="_Toc15396597"/>
      <w:bookmarkStart w:id="4" w:name="_Toc82594959"/>
      <w:bookmarkStart w:id="5" w:name="_Toc15396475"/>
      <w:bookmarkStart w:id="6" w:name="_Toc15377193"/>
      <w:r>
        <w:rPr>
          <w:rFonts w:ascii="黑体" w:hAnsi="黑体" w:eastAsia="黑体"/>
          <w:color w:val="000000"/>
          <w:sz w:val="72"/>
          <w:szCs w:val="72"/>
        </w:rPr>
        <w:t>2020</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77426"/>
      <w:bookmarkStart w:id="8" w:name="_Toc82594960"/>
      <w:bookmarkStart w:id="9" w:name="_Toc15378442"/>
      <w:bookmarkStart w:id="10" w:name="_Toc15396476"/>
      <w:bookmarkStart w:id="11" w:name="_Toc15377194"/>
      <w:bookmarkStart w:id="12" w:name="_Toc15396598"/>
      <w:r>
        <w:rPr>
          <w:rFonts w:hint="eastAsia" w:ascii="方正小标宋简体" w:hAnsi="宋体" w:eastAsia="方正小标宋简体"/>
          <w:color w:val="000000"/>
          <w:sz w:val="72"/>
          <w:szCs w:val="72"/>
        </w:rPr>
        <w:t>四川省</w:t>
      </w:r>
      <w:bookmarkEnd w:id="0"/>
      <w:bookmarkStart w:id="13" w:name="_Toc15306268"/>
      <w:r>
        <w:rPr>
          <w:rFonts w:hint="eastAsia" w:ascii="方正小标宋简体" w:hAnsi="宋体" w:eastAsia="方正小标宋简体"/>
          <w:color w:val="000000"/>
          <w:sz w:val="72"/>
          <w:szCs w:val="72"/>
        </w:rPr>
        <w:t>攀枝花市委组织部（市委老干部局）部门决算</w:t>
      </w:r>
      <w:bookmarkEnd w:id="7"/>
      <w:bookmarkEnd w:id="8"/>
      <w:bookmarkEnd w:id="9"/>
      <w:bookmarkEnd w:id="10"/>
      <w:bookmarkEnd w:id="11"/>
      <w:bookmarkEnd w:id="12"/>
      <w:bookmarkEnd w:id="13"/>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bookmarkStart w:id="121" w:name="_GoBack"/>
      <w:r>
        <w:rPr>
          <w:rFonts w:hint="eastAsia" w:ascii="黑体" w:hAnsi="黑体" w:eastAsia="黑体"/>
          <w:color w:val="000000"/>
          <w:sz w:val="48"/>
          <w:szCs w:val="48"/>
        </w:rPr>
        <w:t>目录</w:t>
      </w:r>
    </w:p>
    <w:p>
      <w:pPr>
        <w:widowControl/>
        <w:jc w:val="center"/>
        <w:rPr>
          <w:rFonts w:ascii="黑体" w:hAnsi="黑体" w:eastAsia="黑体"/>
          <w:sz w:val="28"/>
          <w:szCs w:val="28"/>
        </w:rPr>
      </w:pPr>
    </w:p>
    <w:p>
      <w:pPr>
        <w:pStyle w:val="12"/>
      </w:pPr>
      <w:r>
        <w:rPr>
          <w:rFonts w:hint="eastAsia"/>
        </w:rPr>
        <w:t>公开时间：</w:t>
      </w:r>
      <w:r>
        <w:t>2021</w:t>
      </w:r>
      <w:r>
        <w:rPr>
          <w:rFonts w:hint="eastAsia"/>
        </w:rPr>
        <w:t>年9月1</w:t>
      </w:r>
      <w:r>
        <w:rPr>
          <w:rFonts w:hint="eastAsia"/>
          <w:lang w:val="en-US" w:eastAsia="zh-CN"/>
        </w:rPr>
        <w:t>6</w:t>
      </w:r>
      <w:r>
        <w:rPr>
          <w:rFonts w:hint="eastAsia"/>
        </w:rPr>
        <w:t>日</w:t>
      </w:r>
    </w:p>
    <w:p/>
    <w:p>
      <w:pPr>
        <w:pStyle w:val="12"/>
        <w:adjustRightInd w:val="0"/>
        <w:snapToGrid w:val="0"/>
        <w:spacing w:before="0" w:line="440" w:lineRule="exact"/>
        <w:jc w:val="left"/>
        <w:rPr>
          <w:sz w:val="24"/>
          <w:szCs w:val="24"/>
        </w:rPr>
      </w:pPr>
      <w:r>
        <w:rPr>
          <w:rFonts w:hint="eastAsia"/>
          <w:sz w:val="24"/>
        </w:rPr>
        <w:t>第一部分</w:t>
      </w:r>
      <w:r>
        <w:rPr>
          <w:sz w:val="24"/>
        </w:rPr>
        <w:t xml:space="preserve"> </w:t>
      </w:r>
      <w:r>
        <w:rPr>
          <w:rFonts w:hint="eastAsia"/>
          <w:sz w:val="24"/>
        </w:rPr>
        <w:t>部门概况</w:t>
      </w:r>
      <w:r>
        <w:rPr>
          <w:sz w:val="24"/>
        </w:rPr>
        <w:t>………………………………………………………4</w:t>
      </w:r>
    </w:p>
    <w:p>
      <w:pPr>
        <w:pStyle w:val="13"/>
        <w:adjustRightInd w:val="0"/>
        <w:snapToGrid w:val="0"/>
        <w:spacing w:line="440" w:lineRule="exact"/>
        <w:jc w:val="left"/>
        <w:rPr>
          <w:rFonts w:ascii="仿宋" w:hAnsi="仿宋" w:eastAsia="仿宋"/>
          <w:sz w:val="24"/>
        </w:rPr>
      </w:pPr>
      <w:r>
        <w:rPr>
          <w:rFonts w:hint="eastAsia"/>
          <w:sz w:val="24"/>
        </w:rPr>
        <w:t>一、基本职能及主要工作</w:t>
      </w:r>
      <w:r>
        <w:rPr>
          <w:sz w:val="24"/>
        </w:rPr>
        <w:t>…………………………………………</w:t>
      </w:r>
      <w:r>
        <w:rPr>
          <w:rFonts w:hint="eastAsia"/>
          <w:sz w:val="24"/>
        </w:rPr>
        <w:t>..</w:t>
      </w:r>
      <w:r>
        <w:rPr>
          <w:sz w:val="24"/>
        </w:rPr>
        <w:t>4</w:t>
      </w:r>
    </w:p>
    <w:p>
      <w:pPr>
        <w:pStyle w:val="13"/>
        <w:adjustRightInd w:val="0"/>
        <w:snapToGrid w:val="0"/>
        <w:spacing w:line="440" w:lineRule="exact"/>
        <w:jc w:val="left"/>
        <w:rPr>
          <w:rFonts w:ascii="仿宋" w:hAnsi="仿宋" w:eastAsia="仿宋"/>
          <w:sz w:val="24"/>
        </w:rPr>
      </w:pPr>
      <w:r>
        <w:rPr>
          <w:rFonts w:hint="eastAsia"/>
          <w:sz w:val="24"/>
        </w:rPr>
        <w:t>二、机构设置</w:t>
      </w:r>
      <w:r>
        <w:rPr>
          <w:sz w:val="24"/>
        </w:rPr>
        <w:t>………………………………………………………</w:t>
      </w:r>
      <w:r>
        <w:rPr>
          <w:rFonts w:hint="eastAsia"/>
          <w:sz w:val="24"/>
        </w:rPr>
        <w:t>..</w:t>
      </w:r>
      <w:r>
        <w:rPr>
          <w:sz w:val="24"/>
        </w:rPr>
        <w:t>11</w:t>
      </w:r>
    </w:p>
    <w:p>
      <w:pPr>
        <w:pStyle w:val="12"/>
        <w:adjustRightInd w:val="0"/>
        <w:snapToGrid w:val="0"/>
        <w:spacing w:before="0" w:line="440" w:lineRule="exact"/>
        <w:jc w:val="left"/>
        <w:rPr>
          <w:sz w:val="24"/>
          <w:szCs w:val="24"/>
        </w:rPr>
      </w:pPr>
      <w:r>
        <w:rPr>
          <w:rFonts w:hint="eastAsia"/>
          <w:sz w:val="24"/>
        </w:rPr>
        <w:t>第二部分2</w:t>
      </w:r>
      <w:r>
        <w:rPr>
          <w:sz w:val="24"/>
        </w:rPr>
        <w:t>020</w:t>
      </w:r>
      <w:r>
        <w:rPr>
          <w:rFonts w:hint="eastAsia"/>
          <w:sz w:val="24"/>
        </w:rPr>
        <w:t>年度部门决算情况说明</w:t>
      </w:r>
      <w:r>
        <w:rPr>
          <w:sz w:val="24"/>
        </w:rPr>
        <w:t>…………………………………12</w:t>
      </w:r>
    </w:p>
    <w:p>
      <w:pPr>
        <w:pStyle w:val="13"/>
        <w:adjustRightInd w:val="0"/>
        <w:snapToGrid w:val="0"/>
        <w:spacing w:line="440" w:lineRule="exact"/>
        <w:jc w:val="left"/>
        <w:rPr>
          <w:rFonts w:ascii="仿宋" w:hAnsi="仿宋" w:eastAsia="仿宋"/>
          <w:sz w:val="24"/>
        </w:rPr>
      </w:pPr>
      <w:r>
        <w:rPr>
          <w:rFonts w:hint="eastAsia"/>
          <w:sz w:val="24"/>
        </w:rPr>
        <w:t>一、收入支出决算总体情况说明</w:t>
      </w:r>
      <w:r>
        <w:rPr>
          <w:sz w:val="24"/>
        </w:rPr>
        <w:t>…………………………………</w:t>
      </w:r>
      <w:r>
        <w:rPr>
          <w:rFonts w:hint="eastAsia"/>
          <w:sz w:val="24"/>
        </w:rPr>
        <w:t>..</w:t>
      </w:r>
      <w:r>
        <w:rPr>
          <w:sz w:val="24"/>
        </w:rPr>
        <w:t>12</w:t>
      </w:r>
    </w:p>
    <w:p>
      <w:pPr>
        <w:pStyle w:val="13"/>
        <w:adjustRightInd w:val="0"/>
        <w:snapToGrid w:val="0"/>
        <w:spacing w:line="440" w:lineRule="exact"/>
        <w:jc w:val="left"/>
        <w:rPr>
          <w:rFonts w:ascii="仿宋" w:hAnsi="仿宋" w:eastAsia="仿宋"/>
          <w:sz w:val="24"/>
        </w:rPr>
      </w:pPr>
      <w:r>
        <w:rPr>
          <w:rFonts w:hint="eastAsia"/>
          <w:sz w:val="24"/>
        </w:rPr>
        <w:t>二、收入决算情况说明</w:t>
      </w:r>
      <w:r>
        <w:rPr>
          <w:sz w:val="24"/>
        </w:rPr>
        <w:t>……………………………………………</w:t>
      </w:r>
      <w:r>
        <w:rPr>
          <w:rFonts w:hint="eastAsia"/>
          <w:sz w:val="24"/>
          <w:lang w:val="en-US" w:eastAsia="zh-CN"/>
        </w:rPr>
        <w:t>...</w:t>
      </w:r>
      <w:r>
        <w:rPr>
          <w:sz w:val="24"/>
        </w:rPr>
        <w:t>12</w:t>
      </w:r>
    </w:p>
    <w:p>
      <w:pPr>
        <w:pStyle w:val="13"/>
        <w:adjustRightInd w:val="0"/>
        <w:snapToGrid w:val="0"/>
        <w:spacing w:line="440" w:lineRule="exact"/>
        <w:jc w:val="left"/>
        <w:rPr>
          <w:rFonts w:ascii="仿宋" w:hAnsi="仿宋" w:eastAsia="仿宋"/>
          <w:sz w:val="24"/>
        </w:rPr>
      </w:pPr>
      <w:r>
        <w:rPr>
          <w:rFonts w:hint="eastAsia"/>
          <w:sz w:val="24"/>
        </w:rPr>
        <w:t>三、支出决算情况说明</w:t>
      </w:r>
      <w:r>
        <w:rPr>
          <w:sz w:val="24"/>
        </w:rPr>
        <w:t>………………………………………………13</w:t>
      </w:r>
    </w:p>
    <w:p>
      <w:pPr>
        <w:pStyle w:val="13"/>
        <w:adjustRightInd w:val="0"/>
        <w:snapToGrid w:val="0"/>
        <w:spacing w:line="440" w:lineRule="exact"/>
        <w:jc w:val="left"/>
        <w:rPr>
          <w:rFonts w:ascii="仿宋" w:hAnsi="仿宋" w:eastAsia="仿宋"/>
          <w:sz w:val="24"/>
        </w:rPr>
      </w:pPr>
      <w:r>
        <w:rPr>
          <w:rFonts w:hint="eastAsia"/>
          <w:sz w:val="24"/>
        </w:rPr>
        <w:t>四、财政拨款收入支出决算总体情况说明</w:t>
      </w:r>
      <w:r>
        <w:rPr>
          <w:sz w:val="24"/>
        </w:rPr>
        <w:t>…………………………14</w:t>
      </w:r>
    </w:p>
    <w:p>
      <w:pPr>
        <w:pStyle w:val="13"/>
        <w:adjustRightInd w:val="0"/>
        <w:snapToGrid w:val="0"/>
        <w:spacing w:line="440" w:lineRule="exact"/>
        <w:jc w:val="left"/>
        <w:rPr>
          <w:rFonts w:ascii="仿宋" w:hAnsi="仿宋" w:eastAsia="仿宋"/>
          <w:sz w:val="24"/>
        </w:rPr>
      </w:pPr>
      <w:r>
        <w:rPr>
          <w:rFonts w:hint="eastAsia"/>
          <w:sz w:val="24"/>
        </w:rPr>
        <w:t>五、一般公共预算财政拨款支出决算情况说明</w:t>
      </w:r>
      <w:r>
        <w:rPr>
          <w:sz w:val="24"/>
        </w:rPr>
        <w:t>……………………15</w:t>
      </w:r>
    </w:p>
    <w:p>
      <w:pPr>
        <w:pStyle w:val="13"/>
        <w:adjustRightInd w:val="0"/>
        <w:snapToGrid w:val="0"/>
        <w:spacing w:line="440" w:lineRule="exact"/>
        <w:jc w:val="left"/>
        <w:rPr>
          <w:rFonts w:hint="eastAsia" w:ascii="仿宋" w:hAnsi="仿宋" w:eastAsia="宋体"/>
          <w:sz w:val="24"/>
          <w:lang w:eastAsia="zh-CN"/>
        </w:rPr>
      </w:pPr>
      <w:r>
        <w:rPr>
          <w:rFonts w:hint="eastAsia"/>
          <w:sz w:val="24"/>
        </w:rPr>
        <w:t>六、一般公共预算财政拨款基本支出决算情况说明</w:t>
      </w:r>
      <w:r>
        <w:rPr>
          <w:sz w:val="24"/>
        </w:rPr>
        <w:t>………………1</w:t>
      </w:r>
      <w:r>
        <w:rPr>
          <w:rFonts w:hint="eastAsia"/>
          <w:sz w:val="24"/>
          <w:lang w:val="en-US" w:eastAsia="zh-CN"/>
        </w:rPr>
        <w:t>7</w:t>
      </w:r>
    </w:p>
    <w:p>
      <w:pPr>
        <w:pStyle w:val="13"/>
        <w:adjustRightInd w:val="0"/>
        <w:snapToGrid w:val="0"/>
        <w:spacing w:line="440" w:lineRule="exact"/>
        <w:jc w:val="left"/>
        <w:rPr>
          <w:rFonts w:hint="eastAsia" w:eastAsia="宋体"/>
          <w:sz w:val="24"/>
          <w:lang w:eastAsia="zh-CN"/>
        </w:rPr>
      </w:pPr>
      <w:r>
        <w:rPr>
          <w:rFonts w:hint="eastAsia"/>
          <w:sz w:val="24"/>
        </w:rPr>
        <w:t>七、</w:t>
      </w:r>
      <w:r>
        <w:rPr>
          <w:sz w:val="24"/>
        </w:rPr>
        <w:t>“</w:t>
      </w:r>
      <w:r>
        <w:rPr>
          <w:rFonts w:hint="eastAsia"/>
          <w:sz w:val="24"/>
        </w:rPr>
        <w:t>三公”经费财政拨款支出决算情况说明</w:t>
      </w:r>
      <w:r>
        <w:rPr>
          <w:sz w:val="24"/>
        </w:rPr>
        <w:t>……………………</w:t>
      </w:r>
      <w:r>
        <w:rPr>
          <w:rFonts w:hint="eastAsia"/>
          <w:sz w:val="24"/>
        </w:rPr>
        <w:t>..</w:t>
      </w:r>
      <w:r>
        <w:rPr>
          <w:sz w:val="24"/>
        </w:rPr>
        <w:t>1</w:t>
      </w:r>
      <w:r>
        <w:rPr>
          <w:rFonts w:hint="eastAsia"/>
          <w:sz w:val="24"/>
          <w:lang w:val="en-US" w:eastAsia="zh-CN"/>
        </w:rPr>
        <w:t>8</w:t>
      </w:r>
    </w:p>
    <w:p>
      <w:pPr>
        <w:pStyle w:val="13"/>
        <w:adjustRightInd w:val="0"/>
        <w:snapToGrid w:val="0"/>
        <w:spacing w:line="440" w:lineRule="exact"/>
        <w:jc w:val="left"/>
        <w:rPr>
          <w:rFonts w:hint="eastAsia" w:ascii="仿宋" w:hAnsi="仿宋" w:eastAsia="宋体"/>
          <w:sz w:val="24"/>
          <w:lang w:eastAsia="zh-CN"/>
        </w:rPr>
      </w:pPr>
      <w:r>
        <w:rPr>
          <w:rFonts w:hint="eastAsia"/>
          <w:sz w:val="24"/>
        </w:rPr>
        <w:t>八、政府性基金预算支出决算情况说明</w:t>
      </w:r>
      <w:r>
        <w:rPr>
          <w:sz w:val="24"/>
        </w:rPr>
        <w:t>……………………………2</w:t>
      </w:r>
      <w:r>
        <w:rPr>
          <w:rFonts w:hint="eastAsia"/>
          <w:sz w:val="24"/>
          <w:lang w:val="en-US" w:eastAsia="zh-CN"/>
        </w:rPr>
        <w:t>0</w:t>
      </w:r>
    </w:p>
    <w:p>
      <w:pPr>
        <w:pStyle w:val="13"/>
        <w:adjustRightInd w:val="0"/>
        <w:snapToGrid w:val="0"/>
        <w:spacing w:line="440" w:lineRule="exact"/>
        <w:ind w:leftChars="0"/>
        <w:jc w:val="left"/>
        <w:rPr>
          <w:rFonts w:hint="eastAsia" w:ascii="仿宋" w:hAnsi="仿宋" w:eastAsia="宋体"/>
          <w:sz w:val="24"/>
          <w:lang w:eastAsia="zh-CN"/>
        </w:rPr>
      </w:pPr>
      <w:r>
        <w:rPr>
          <w:rFonts w:hint="eastAsia" w:ascii="仿宋" w:hAnsi="仿宋" w:eastAsia="仿宋"/>
          <w:sz w:val="24"/>
        </w:rPr>
        <w:t>九、</w:t>
      </w:r>
      <w:r>
        <w:rPr>
          <w:sz w:val="24"/>
        </w:rPr>
        <w:t xml:space="preserve"> </w:t>
      </w:r>
      <w:r>
        <w:rPr>
          <w:rFonts w:hint="eastAsia"/>
          <w:sz w:val="24"/>
        </w:rPr>
        <w:t>国有资本经营预算支出决算情况说明</w:t>
      </w:r>
      <w:r>
        <w:rPr>
          <w:sz w:val="24"/>
        </w:rPr>
        <w:t>………………………</w:t>
      </w:r>
      <w:r>
        <w:rPr>
          <w:rFonts w:hint="eastAsia"/>
          <w:sz w:val="24"/>
        </w:rPr>
        <w:t>..2</w:t>
      </w:r>
      <w:r>
        <w:rPr>
          <w:rFonts w:hint="eastAsia"/>
          <w:sz w:val="24"/>
          <w:lang w:val="en-US" w:eastAsia="zh-CN"/>
        </w:rPr>
        <w:t>0</w:t>
      </w:r>
    </w:p>
    <w:p>
      <w:pPr>
        <w:adjustRightInd w:val="0"/>
        <w:snapToGrid w:val="0"/>
        <w:spacing w:line="440" w:lineRule="exact"/>
        <w:ind w:firstLine="480" w:firstLineChars="200"/>
        <w:jc w:val="left"/>
        <w:rPr>
          <w:rFonts w:hint="eastAsia" w:ascii="仿宋" w:hAnsi="仿宋" w:eastAsia="仿宋"/>
          <w:sz w:val="24"/>
          <w:lang w:eastAsia="zh-CN"/>
        </w:rPr>
      </w:pPr>
      <w:r>
        <w:rPr>
          <w:rStyle w:val="17"/>
          <w:rFonts w:hint="eastAsia" w:ascii="仿宋" w:hAnsi="仿宋" w:eastAsia="仿宋"/>
          <w:color w:val="000000"/>
          <w:sz w:val="24"/>
          <w:u w:val="none"/>
        </w:rPr>
        <w:t>十、</w:t>
      </w:r>
      <w:r>
        <w:rPr>
          <w:rFonts w:hint="eastAsia"/>
          <w:sz w:val="24"/>
        </w:rPr>
        <w:t>其他重要事项的情况说明</w:t>
      </w:r>
      <w:r>
        <w:rPr>
          <w:sz w:val="24"/>
        </w:rPr>
        <w:t>………………………………………</w:t>
      </w:r>
      <w:r>
        <w:rPr>
          <w:rFonts w:ascii="仿宋" w:hAnsi="仿宋" w:eastAsia="仿宋"/>
          <w:sz w:val="24"/>
        </w:rPr>
        <w:t>2</w:t>
      </w:r>
      <w:r>
        <w:rPr>
          <w:rFonts w:hint="eastAsia" w:ascii="仿宋" w:hAnsi="仿宋" w:eastAsia="仿宋"/>
          <w:sz w:val="24"/>
          <w:lang w:val="en-US" w:eastAsia="zh-CN"/>
        </w:rPr>
        <w:t>0</w:t>
      </w:r>
    </w:p>
    <w:p>
      <w:pPr>
        <w:pStyle w:val="12"/>
        <w:adjustRightInd w:val="0"/>
        <w:snapToGrid w:val="0"/>
        <w:spacing w:before="0" w:line="440" w:lineRule="exact"/>
        <w:jc w:val="left"/>
        <w:rPr>
          <w:rFonts w:hint="eastAsia" w:eastAsia="仿宋"/>
          <w:sz w:val="24"/>
          <w:szCs w:val="24"/>
          <w:lang w:eastAsia="zh-CN"/>
        </w:rPr>
      </w:pPr>
      <w:r>
        <w:rPr>
          <w:rFonts w:hint="eastAsia"/>
          <w:sz w:val="24"/>
        </w:rPr>
        <w:t>第三部分</w:t>
      </w:r>
      <w:r>
        <w:rPr>
          <w:sz w:val="24"/>
        </w:rPr>
        <w:t xml:space="preserve"> </w:t>
      </w:r>
      <w:r>
        <w:rPr>
          <w:rFonts w:hint="eastAsia"/>
          <w:sz w:val="24"/>
        </w:rPr>
        <w:t>名词解释</w:t>
      </w:r>
      <w:r>
        <w:rPr>
          <w:sz w:val="24"/>
        </w:rPr>
        <w:t>………………………………………………………</w:t>
      </w:r>
      <w:r>
        <w:rPr>
          <w:rFonts w:hint="eastAsia"/>
          <w:sz w:val="24"/>
        </w:rPr>
        <w:t>2</w:t>
      </w:r>
      <w:r>
        <w:rPr>
          <w:rFonts w:hint="eastAsia"/>
          <w:sz w:val="24"/>
          <w:lang w:val="en-US" w:eastAsia="zh-CN"/>
        </w:rPr>
        <w:t>5</w:t>
      </w:r>
    </w:p>
    <w:p>
      <w:pPr>
        <w:pStyle w:val="12"/>
        <w:adjustRightInd w:val="0"/>
        <w:snapToGrid w:val="0"/>
        <w:spacing w:before="0" w:line="440" w:lineRule="exact"/>
        <w:jc w:val="left"/>
        <w:rPr>
          <w:sz w:val="24"/>
          <w:szCs w:val="24"/>
        </w:rPr>
      </w:pPr>
      <w:r>
        <w:rPr>
          <w:rFonts w:hint="eastAsia"/>
          <w:sz w:val="24"/>
        </w:rPr>
        <w:t>第四部分</w:t>
      </w:r>
      <w:r>
        <w:rPr>
          <w:sz w:val="24"/>
        </w:rPr>
        <w:t xml:space="preserve"> </w:t>
      </w:r>
      <w:r>
        <w:rPr>
          <w:rFonts w:hint="eastAsia"/>
          <w:sz w:val="24"/>
        </w:rPr>
        <w:t>附件</w:t>
      </w:r>
      <w:r>
        <w:rPr>
          <w:sz w:val="24"/>
        </w:rPr>
        <w:t>……………………………………………………………</w:t>
      </w:r>
      <w:r>
        <w:rPr>
          <w:rFonts w:hint="eastAsia"/>
          <w:sz w:val="24"/>
          <w:lang w:val="en-US" w:eastAsia="zh-CN"/>
        </w:rPr>
        <w:t>27</w:t>
      </w:r>
    </w:p>
    <w:p>
      <w:pPr>
        <w:pStyle w:val="13"/>
        <w:adjustRightInd w:val="0"/>
        <w:snapToGrid w:val="0"/>
        <w:spacing w:line="440" w:lineRule="exact"/>
        <w:jc w:val="left"/>
        <w:rPr>
          <w:rFonts w:hint="default" w:ascii="仿宋" w:hAnsi="仿宋" w:eastAsia="仿宋"/>
          <w:sz w:val="24"/>
          <w:lang w:val="en-US"/>
        </w:rPr>
      </w:pPr>
      <w:r>
        <w:rPr>
          <w:rFonts w:hint="eastAsia"/>
          <w:sz w:val="24"/>
        </w:rPr>
        <w:t>附件</w:t>
      </w:r>
      <w:r>
        <w:rPr>
          <w:sz w:val="24"/>
        </w:rPr>
        <w:t>1…………………………………………………………………</w:t>
      </w:r>
      <w:r>
        <w:rPr>
          <w:rFonts w:hint="eastAsia"/>
          <w:sz w:val="24"/>
          <w:lang w:val="en-US" w:eastAsia="zh-CN"/>
        </w:rPr>
        <w:t>27</w:t>
      </w:r>
    </w:p>
    <w:p>
      <w:pPr>
        <w:pStyle w:val="13"/>
        <w:adjustRightInd w:val="0"/>
        <w:snapToGrid w:val="0"/>
        <w:spacing w:line="440" w:lineRule="exact"/>
        <w:jc w:val="left"/>
        <w:rPr>
          <w:rFonts w:hint="default" w:ascii="仿宋" w:hAnsi="仿宋" w:eastAsia="仿宋"/>
          <w:sz w:val="24"/>
          <w:lang w:val="en-US"/>
        </w:rPr>
      </w:pPr>
      <w:r>
        <w:rPr>
          <w:rFonts w:hint="eastAsia"/>
          <w:sz w:val="24"/>
        </w:rPr>
        <w:t>附件</w:t>
      </w:r>
      <w:r>
        <w:rPr>
          <w:sz w:val="24"/>
        </w:rPr>
        <w:t>2…………………………………………………………………</w:t>
      </w:r>
      <w:r>
        <w:rPr>
          <w:rFonts w:hint="eastAsia"/>
          <w:sz w:val="24"/>
          <w:lang w:val="en-US" w:eastAsia="zh-CN"/>
        </w:rPr>
        <w:t>32</w:t>
      </w:r>
    </w:p>
    <w:p>
      <w:pPr>
        <w:pStyle w:val="12"/>
        <w:adjustRightInd w:val="0"/>
        <w:snapToGrid w:val="0"/>
        <w:spacing w:before="0" w:line="440" w:lineRule="exact"/>
        <w:jc w:val="left"/>
        <w:rPr>
          <w:rFonts w:hint="default" w:eastAsia="仿宋"/>
          <w:sz w:val="24"/>
          <w:lang w:val="en-US" w:eastAsia="zh-CN"/>
        </w:rPr>
      </w:pPr>
      <w:r>
        <w:rPr>
          <w:rFonts w:hint="eastAsia"/>
          <w:sz w:val="24"/>
        </w:rPr>
        <w:t>第五部分</w:t>
      </w:r>
      <w:r>
        <w:rPr>
          <w:sz w:val="24"/>
        </w:rPr>
        <w:t xml:space="preserve"> </w:t>
      </w:r>
      <w:r>
        <w:rPr>
          <w:rFonts w:hint="eastAsia"/>
          <w:sz w:val="24"/>
        </w:rPr>
        <w:t>附表</w:t>
      </w:r>
      <w:r>
        <w:rPr>
          <w:sz w:val="24"/>
        </w:rPr>
        <w:t>……………………………………………………………</w:t>
      </w:r>
      <w:r>
        <w:rPr>
          <w:rFonts w:hint="eastAsia"/>
          <w:sz w:val="24"/>
          <w:lang w:val="en-US" w:eastAsia="zh-CN"/>
        </w:rPr>
        <w:t>37</w:t>
      </w:r>
    </w:p>
    <w:p>
      <w:pPr>
        <w:pStyle w:val="13"/>
        <w:adjustRightInd w:val="0"/>
        <w:snapToGrid w:val="0"/>
        <w:spacing w:line="440" w:lineRule="exact"/>
        <w:jc w:val="left"/>
        <w:rPr>
          <w:rFonts w:hint="default"/>
          <w:sz w:val="24"/>
          <w:lang w:val="en-US"/>
        </w:rPr>
      </w:pPr>
      <w:r>
        <w:rPr>
          <w:rFonts w:hint="eastAsia"/>
          <w:sz w:val="24"/>
        </w:rPr>
        <w:t>一、收入支出决算总表</w:t>
      </w:r>
      <w:r>
        <w:rPr>
          <w:sz w:val="24"/>
        </w:rPr>
        <w:t>……………………………………………</w:t>
      </w:r>
      <w:r>
        <w:rPr>
          <w:rFonts w:hint="eastAsia"/>
          <w:sz w:val="24"/>
        </w:rPr>
        <w:t>..</w:t>
      </w:r>
      <w:r>
        <w:rPr>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二、收入决算表</w:t>
      </w:r>
      <w:r>
        <w:rPr>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三、支出决算表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rFonts w:hint="eastAsia"/>
          <w:sz w:val="24"/>
          <w:lang w:val="en-US" w:eastAsia="zh-CN"/>
        </w:rPr>
      </w:pPr>
      <w:r>
        <w:rPr>
          <w:rFonts w:hint="eastAsia"/>
          <w:sz w:val="24"/>
        </w:rPr>
        <w:t>四、财政拨款收入支出决算总表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五、财政拨款支出决算明细表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六、一般公共预算财政拨款支出决算表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七、一般公共预算财政拨款支出决算明细表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八、一般公共预算财政拨款基本支出决算表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rFonts w:hint="eastAsia"/>
          <w:sz w:val="24"/>
          <w:lang w:val="en-US" w:eastAsia="zh-CN"/>
        </w:rPr>
      </w:pPr>
      <w:r>
        <w:rPr>
          <w:rFonts w:hint="eastAsia"/>
          <w:sz w:val="24"/>
        </w:rPr>
        <w:t>九、一般公共预算财政拨款项目支出决算表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十、一般公共预算财政拨款“三公”经费支出决算表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十一、政府性基金预算财政拨款收入支出决算表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十二、政府性基金预算财政拨款“三公”经费支出决算表</w:t>
      </w:r>
      <w:r>
        <w:rPr>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十三、国有资本经营预算财政拨款收入支出决算表</w:t>
      </w:r>
      <w:r>
        <w:rPr>
          <w:sz w:val="24"/>
        </w:rPr>
        <w:t>……………</w:t>
      </w:r>
      <w:r>
        <w:rPr>
          <w:rFonts w:hint="eastAsia"/>
          <w:sz w:val="24"/>
        </w:rPr>
        <w:t>3</w:t>
      </w:r>
      <w:r>
        <w:rPr>
          <w:rFonts w:hint="eastAsia"/>
          <w:sz w:val="24"/>
          <w:lang w:val="en-US" w:eastAsia="zh-CN"/>
        </w:rPr>
        <w:t>8</w:t>
      </w:r>
    </w:p>
    <w:p>
      <w:pPr>
        <w:pStyle w:val="13"/>
        <w:adjustRightInd w:val="0"/>
        <w:snapToGrid w:val="0"/>
        <w:spacing w:line="440" w:lineRule="exact"/>
        <w:jc w:val="left"/>
        <w:rPr>
          <w:sz w:val="24"/>
        </w:rPr>
      </w:pPr>
      <w:r>
        <w:rPr>
          <w:rFonts w:hint="eastAsia"/>
          <w:sz w:val="24"/>
        </w:rPr>
        <w:t>十四、国有资本经营预算财政拨款支出决算表</w:t>
      </w:r>
      <w:r>
        <w:rPr>
          <w:sz w:val="24"/>
        </w:rPr>
        <w:t>…………………</w:t>
      </w:r>
      <w:r>
        <w:rPr>
          <w:rFonts w:hint="eastAsia"/>
          <w:sz w:val="24"/>
        </w:rPr>
        <w:t>.3</w:t>
      </w:r>
      <w:r>
        <w:rPr>
          <w:rFonts w:hint="eastAsia"/>
          <w:sz w:val="24"/>
          <w:lang w:val="en-US" w:eastAsia="zh-CN"/>
        </w:rPr>
        <w:t>9</w:t>
      </w:r>
    </w:p>
    <w:bookmarkEnd w:id="121"/>
    <w:p>
      <w:pPr>
        <w:widowControl/>
        <w:spacing w:line="440" w:lineRule="exact"/>
        <w:jc w:val="left"/>
        <w:rPr>
          <w:rFonts w:ascii="仿宋" w:hAnsi="仿宋" w:eastAsia="仿宋"/>
          <w:bCs/>
          <w:kern w:val="44"/>
          <w:sz w:val="24"/>
        </w:rPr>
      </w:pPr>
      <w:bookmarkStart w:id="14" w:name="_Toc15396599"/>
      <w:bookmarkStart w:id="15" w:name="_Toc15377196"/>
      <w:r>
        <w:rPr>
          <w:rFonts w:ascii="仿宋" w:hAnsi="仿宋" w:eastAsia="仿宋"/>
          <w:b/>
          <w:sz w:val="24"/>
        </w:rPr>
        <w:br w:type="page"/>
      </w:r>
    </w:p>
    <w:p>
      <w:pPr>
        <w:pStyle w:val="4"/>
        <w:jc w:val="center"/>
        <w:rPr>
          <w:rStyle w:val="18"/>
          <w:rFonts w:ascii="黑体" w:hAnsi="黑体" w:eastAsia="黑体"/>
          <w:b/>
          <w:bCs w:val="0"/>
        </w:rPr>
      </w:pPr>
      <w:bookmarkStart w:id="16" w:name="_Toc82594961"/>
      <w:r>
        <w:rPr>
          <w:rFonts w:hint="eastAsia" w:ascii="黑体" w:hAnsi="黑体" w:eastAsia="黑体"/>
          <w:b w:val="0"/>
        </w:rPr>
        <w:t>第一部分</w:t>
      </w:r>
      <w:r>
        <w:rPr>
          <w:rFonts w:ascii="黑体" w:hAnsi="黑体" w:eastAsia="黑体"/>
          <w:b w:val="0"/>
        </w:rPr>
        <w:t xml:space="preserve"> </w:t>
      </w:r>
      <w:r>
        <w:rPr>
          <w:rStyle w:val="18"/>
          <w:rFonts w:hint="eastAsia" w:ascii="黑体" w:hAnsi="黑体" w:eastAsia="黑体"/>
          <w:b w:val="0"/>
          <w:bCs w:val="0"/>
        </w:rPr>
        <w:t>部门概况</w:t>
      </w:r>
      <w:bookmarkEnd w:id="14"/>
      <w:bookmarkEnd w:id="15"/>
      <w:bookmarkEnd w:id="16"/>
    </w:p>
    <w:p>
      <w:pPr>
        <w:widowControl/>
        <w:jc w:val="left"/>
        <w:rPr>
          <w:rFonts w:ascii="黑体" w:eastAsia="黑体"/>
          <w:color w:val="000000"/>
          <w:sz w:val="32"/>
          <w:szCs w:val="32"/>
        </w:rPr>
      </w:pPr>
    </w:p>
    <w:p>
      <w:pPr>
        <w:pStyle w:val="5"/>
        <w:rPr>
          <w:rStyle w:val="19"/>
          <w:rFonts w:ascii="仿宋" w:hAnsi="仿宋" w:eastAsia="仿宋"/>
          <w:b w:val="0"/>
          <w:bCs w:val="0"/>
        </w:rPr>
      </w:pPr>
      <w:bookmarkStart w:id="17" w:name="_Toc82594962"/>
      <w:bookmarkStart w:id="18" w:name="_Toc15377197"/>
      <w:bookmarkStart w:id="19" w:name="_Toc15396600"/>
      <w:r>
        <w:rPr>
          <w:rFonts w:hint="eastAsia" w:ascii="黑体" w:hAnsi="黑体" w:eastAsia="黑体"/>
          <w:b w:val="0"/>
          <w:color w:val="000000"/>
        </w:rPr>
        <w:t>一、基</w:t>
      </w:r>
      <w:r>
        <w:rPr>
          <w:rStyle w:val="19"/>
          <w:rFonts w:hint="eastAsia" w:ascii="黑体" w:hAnsi="黑体" w:eastAsia="黑体"/>
          <w:b w:val="0"/>
          <w:bCs w:val="0"/>
        </w:rPr>
        <w:t>本职能及主要工作</w:t>
      </w:r>
      <w:bookmarkEnd w:id="17"/>
      <w:bookmarkEnd w:id="18"/>
      <w:bookmarkEnd w:id="19"/>
    </w:p>
    <w:p>
      <w:pPr>
        <w:pStyle w:val="7"/>
        <w:adjustRightInd w:val="0"/>
        <w:snapToGrid w:val="0"/>
        <w:spacing w:before="93" w:line="600" w:lineRule="exact"/>
        <w:ind w:firstLine="672" w:firstLineChars="210"/>
        <w:outlineLvl w:val="2"/>
        <w:rPr>
          <w:rFonts w:ascii="仿宋" w:hAnsi="仿宋" w:eastAsia="仿宋"/>
          <w:bCs/>
          <w:color w:val="000000"/>
          <w:sz w:val="32"/>
          <w:szCs w:val="32"/>
        </w:rPr>
      </w:pPr>
      <w:bookmarkStart w:id="20" w:name="_Toc82594963"/>
      <w:bookmarkStart w:id="21" w:name="_Toc15378445"/>
      <w:bookmarkStart w:id="22" w:name="_Toc15377198"/>
      <w:r>
        <w:rPr>
          <w:rFonts w:hint="eastAsia" w:ascii="仿宋" w:hAnsi="仿宋" w:eastAsia="仿宋"/>
          <w:bCs/>
          <w:color w:val="000000"/>
          <w:sz w:val="32"/>
          <w:szCs w:val="32"/>
        </w:rPr>
        <w:t>（一）主要职能。</w:t>
      </w:r>
      <w:bookmarkEnd w:id="20"/>
    </w:p>
    <w:bookmarkEnd w:id="21"/>
    <w:bookmarkEnd w:id="22"/>
    <w:p>
      <w:pPr>
        <w:rPr>
          <w:rFonts w:eastAsia="方正仿宋_GBK"/>
          <w:sz w:val="33"/>
          <w:szCs w:val="33"/>
        </w:rPr>
      </w:pPr>
      <w:r>
        <w:rPr>
          <w:rFonts w:hint="eastAsia" w:eastAsia="方正楷体_GBK"/>
          <w:b/>
          <w:sz w:val="33"/>
          <w:szCs w:val="33"/>
        </w:rPr>
        <w:t xml:space="preserve">   1.</w:t>
      </w:r>
      <w:r>
        <w:rPr>
          <w:rFonts w:eastAsia="方正楷体_GBK"/>
          <w:b/>
          <w:sz w:val="33"/>
          <w:szCs w:val="33"/>
        </w:rPr>
        <w:t>市委组织部职能职责</w:t>
      </w:r>
    </w:p>
    <w:p>
      <w:pPr>
        <w:rPr>
          <w:rFonts w:eastAsia="方正仿宋_GBK"/>
          <w:sz w:val="33"/>
          <w:szCs w:val="33"/>
        </w:rPr>
      </w:pPr>
      <w:r>
        <w:rPr>
          <w:rFonts w:eastAsia="方正仿宋_GBK"/>
          <w:sz w:val="33"/>
          <w:szCs w:val="33"/>
        </w:rPr>
        <w:t xml:space="preserve">   </w:t>
      </w:r>
      <w:r>
        <w:rPr>
          <w:rFonts w:hint="eastAsia" w:eastAsia="方正仿宋_GBK"/>
          <w:sz w:val="33"/>
          <w:szCs w:val="33"/>
        </w:rPr>
        <w:t>（1）</w:t>
      </w:r>
      <w:r>
        <w:rPr>
          <w:rFonts w:eastAsia="方正仿宋_GBK"/>
          <w:sz w:val="33"/>
          <w:szCs w:val="33"/>
        </w:rPr>
        <w:t>负责有关组织工作、干部工作、人才工作的理论研究及重要政策的综合研究；承担中组部、省委组织部下达的重点调研课题，指导全市组织系统调研工作。</w:t>
      </w:r>
    </w:p>
    <w:p>
      <w:pPr>
        <w:rPr>
          <w:rFonts w:eastAsia="方正仿宋_GBK"/>
          <w:sz w:val="33"/>
          <w:szCs w:val="33"/>
        </w:rPr>
      </w:pPr>
      <w:r>
        <w:rPr>
          <w:rFonts w:eastAsia="方正仿宋_GBK"/>
          <w:sz w:val="33"/>
          <w:szCs w:val="33"/>
        </w:rPr>
        <w:t>　　</w:t>
      </w:r>
      <w:r>
        <w:rPr>
          <w:rFonts w:hint="eastAsia" w:eastAsia="方正仿宋_GBK"/>
          <w:sz w:val="33"/>
          <w:szCs w:val="33"/>
        </w:rPr>
        <w:t>（2）</w:t>
      </w:r>
      <w:r>
        <w:rPr>
          <w:rFonts w:eastAsia="方正仿宋_GBK"/>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pPr>
        <w:rPr>
          <w:rFonts w:eastAsia="方正仿宋_GBK"/>
          <w:sz w:val="33"/>
          <w:szCs w:val="33"/>
        </w:rPr>
      </w:pPr>
      <w:r>
        <w:rPr>
          <w:rFonts w:eastAsia="方正仿宋_GBK"/>
          <w:sz w:val="33"/>
          <w:szCs w:val="33"/>
        </w:rPr>
        <w:t>　　</w:t>
      </w:r>
      <w:r>
        <w:rPr>
          <w:rFonts w:hint="eastAsia" w:eastAsia="方正仿宋_GBK"/>
          <w:sz w:val="33"/>
          <w:szCs w:val="33"/>
        </w:rPr>
        <w:t>（3）</w:t>
      </w:r>
      <w:r>
        <w:rPr>
          <w:rFonts w:eastAsia="方正仿宋_GBK"/>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pPr>
        <w:rPr>
          <w:rFonts w:eastAsia="方正仿宋_GBK"/>
          <w:sz w:val="33"/>
          <w:szCs w:val="33"/>
        </w:rPr>
      </w:pPr>
      <w:r>
        <w:rPr>
          <w:rFonts w:eastAsia="方正仿宋_GBK"/>
          <w:sz w:val="33"/>
          <w:szCs w:val="33"/>
        </w:rPr>
        <w:t>　</w:t>
      </w:r>
      <w:r>
        <w:rPr>
          <w:rFonts w:hint="eastAsia" w:eastAsia="方正仿宋_GBK"/>
          <w:sz w:val="33"/>
          <w:szCs w:val="33"/>
        </w:rPr>
        <w:t xml:space="preserve">  （4）</w:t>
      </w:r>
      <w:r>
        <w:rPr>
          <w:rFonts w:eastAsia="方正仿宋_GBK"/>
          <w:sz w:val="33"/>
          <w:szCs w:val="33"/>
        </w:rPr>
        <w:t>负责研究和指导全市农村、国有企业、街道社区、机关、学校、科研院所等党的基层组织建设；负责基层党组织干部培训的组织、指导工作；指导基层党组织党员活动阵地建设；指导全市大学生村干部工作，承担大学生村干部管理办公室日常工作。</w:t>
      </w:r>
    </w:p>
    <w:p>
      <w:pPr>
        <w:rPr>
          <w:rFonts w:eastAsia="方正仿宋_GBK"/>
          <w:sz w:val="33"/>
          <w:szCs w:val="33"/>
        </w:rPr>
      </w:pPr>
      <w:r>
        <w:rPr>
          <w:rFonts w:hint="eastAsia" w:eastAsia="方正仿宋_GBK"/>
          <w:sz w:val="33"/>
          <w:szCs w:val="33"/>
        </w:rPr>
        <w:t xml:space="preserve">   （5）</w:t>
      </w:r>
      <w:r>
        <w:rPr>
          <w:rFonts w:eastAsia="方正仿宋_GBK"/>
          <w:sz w:val="33"/>
          <w:szCs w:val="33"/>
        </w:rPr>
        <w:t>负责干部综合管理和公务员管理工作；负责市委管理干部工资、退休费比例的审批工作；具体负责综合管理市级党群机关公务员考录、考核、交流、培训、申诉、控告、非领导职务设置等工作。</w:t>
      </w:r>
    </w:p>
    <w:p>
      <w:pPr>
        <w:rPr>
          <w:rFonts w:eastAsia="方正仿宋_GBK"/>
          <w:sz w:val="33"/>
          <w:szCs w:val="33"/>
        </w:rPr>
      </w:pPr>
      <w:r>
        <w:rPr>
          <w:rFonts w:hint="eastAsia" w:eastAsia="方正仿宋_GBK"/>
          <w:sz w:val="33"/>
          <w:szCs w:val="33"/>
        </w:rPr>
        <w:t xml:space="preserve">   （6）</w:t>
      </w:r>
      <w:r>
        <w:rPr>
          <w:rFonts w:eastAsia="方正仿宋_GBK"/>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pPr>
        <w:rPr>
          <w:rFonts w:eastAsia="方正仿宋_GBK"/>
          <w:sz w:val="33"/>
          <w:szCs w:val="33"/>
        </w:rPr>
      </w:pPr>
      <w:r>
        <w:rPr>
          <w:rFonts w:eastAsia="方正仿宋_GBK"/>
          <w:sz w:val="33"/>
          <w:szCs w:val="33"/>
        </w:rPr>
        <w:t>　　</w:t>
      </w:r>
      <w:r>
        <w:rPr>
          <w:rFonts w:hint="eastAsia" w:eastAsia="方正仿宋_GBK"/>
          <w:sz w:val="33"/>
          <w:szCs w:val="33"/>
        </w:rPr>
        <w:t>（7）</w:t>
      </w:r>
      <w:r>
        <w:rPr>
          <w:rFonts w:eastAsia="方正仿宋_GBK"/>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pPr>
        <w:rPr>
          <w:rFonts w:eastAsia="方正仿宋_GBK"/>
          <w:sz w:val="33"/>
          <w:szCs w:val="33"/>
        </w:rPr>
      </w:pPr>
      <w:r>
        <w:rPr>
          <w:rFonts w:eastAsia="方正仿宋_GBK"/>
          <w:sz w:val="33"/>
          <w:szCs w:val="33"/>
        </w:rPr>
        <w:t>　</w:t>
      </w:r>
      <w:r>
        <w:rPr>
          <w:rFonts w:hint="eastAsia" w:eastAsia="方正仿宋_GBK"/>
          <w:sz w:val="33"/>
          <w:szCs w:val="33"/>
        </w:rPr>
        <w:t xml:space="preserve"> （8）</w:t>
      </w:r>
      <w:r>
        <w:rPr>
          <w:rFonts w:eastAsia="方正仿宋_GBK"/>
          <w:sz w:val="33"/>
          <w:szCs w:val="33"/>
        </w:rPr>
        <w:t>负责对全市组织部门干部监督工作的综合协调和宏观指导，研究完善干部监督工作机制；负责受理“12380”信访、电话、网络举报，按干部管理权限直接或联合有关部门查办、督办，提出处理意见；办理市管干部因私事出国（境）的审批、因公出国（境）的政审。</w:t>
      </w:r>
    </w:p>
    <w:p>
      <w:pPr>
        <w:rPr>
          <w:rFonts w:eastAsia="方正仿宋_GBK"/>
          <w:sz w:val="33"/>
          <w:szCs w:val="33"/>
        </w:rPr>
      </w:pPr>
      <w:r>
        <w:rPr>
          <w:rFonts w:hint="eastAsia" w:eastAsia="方正仿宋_GBK"/>
          <w:sz w:val="33"/>
          <w:szCs w:val="33"/>
        </w:rPr>
        <w:t xml:space="preserve">   （9）</w:t>
      </w:r>
      <w:r>
        <w:rPr>
          <w:rFonts w:eastAsia="方正仿宋_GBK"/>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pPr>
        <w:rPr>
          <w:rFonts w:eastAsia="方正仿宋_GBK"/>
          <w:sz w:val="33"/>
          <w:szCs w:val="33"/>
        </w:rPr>
      </w:pPr>
      <w:r>
        <w:rPr>
          <w:rFonts w:eastAsia="方正仿宋_GBK"/>
          <w:sz w:val="33"/>
          <w:szCs w:val="33"/>
        </w:rPr>
        <w:t>　</w:t>
      </w:r>
      <w:r>
        <w:rPr>
          <w:rFonts w:hint="eastAsia" w:eastAsia="方正仿宋_GBK"/>
          <w:sz w:val="33"/>
          <w:szCs w:val="33"/>
        </w:rPr>
        <w:t xml:space="preserve">  （10）</w:t>
      </w:r>
      <w:r>
        <w:rPr>
          <w:rFonts w:eastAsia="方正仿宋_GBK"/>
          <w:sz w:val="33"/>
          <w:szCs w:val="33"/>
        </w:rPr>
        <w:t>负责市定点扶贫、对口支援木里藏族自治县工作领导小组日常工作；对口联系省委藏区办、受援藏区，承办市上援藏任务的对外组织协调和工作经费管理。</w:t>
      </w:r>
    </w:p>
    <w:p>
      <w:pPr>
        <w:ind w:firstLine="660" w:firstLineChars="200"/>
        <w:rPr>
          <w:rFonts w:eastAsia="方正楷体_GBK"/>
          <w:b/>
          <w:sz w:val="33"/>
          <w:szCs w:val="33"/>
        </w:rPr>
      </w:pPr>
      <w:r>
        <w:rPr>
          <w:rFonts w:hint="eastAsia" w:eastAsia="方正楷体_GBK"/>
          <w:b/>
          <w:sz w:val="33"/>
          <w:szCs w:val="33"/>
        </w:rPr>
        <w:t>2.</w:t>
      </w:r>
      <w:r>
        <w:rPr>
          <w:rFonts w:eastAsia="方正楷体_GBK"/>
          <w:b/>
          <w:sz w:val="33"/>
          <w:szCs w:val="33"/>
        </w:rPr>
        <w:t>市委老干部局职能职责</w:t>
      </w:r>
    </w:p>
    <w:p>
      <w:pPr>
        <w:rPr>
          <w:rFonts w:eastAsia="方正仿宋_GBK"/>
          <w:sz w:val="33"/>
          <w:szCs w:val="33"/>
        </w:rPr>
      </w:pPr>
      <w:r>
        <w:rPr>
          <w:rFonts w:eastAsia="方正仿宋_GBK"/>
          <w:sz w:val="33"/>
          <w:szCs w:val="33"/>
        </w:rPr>
        <w:t>　　指导离休干部和县级以上退休干部的安置管理工作；管理、指导老干部的思想</w:t>
      </w:r>
      <w:r>
        <w:rPr>
          <w:rFonts w:hint="eastAsia" w:eastAsia="方正仿宋_GBK"/>
          <w:sz w:val="33"/>
          <w:szCs w:val="33"/>
        </w:rPr>
        <w:t>政治</w:t>
      </w:r>
      <w:r>
        <w:rPr>
          <w:rFonts w:eastAsia="方正仿宋_GBK"/>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pPr>
        <w:ind w:firstLine="660" w:firstLineChars="200"/>
        <w:rPr>
          <w:rFonts w:eastAsia="方正楷体_GBK"/>
          <w:b/>
          <w:sz w:val="33"/>
          <w:szCs w:val="33"/>
        </w:rPr>
      </w:pPr>
      <w:r>
        <w:rPr>
          <w:rFonts w:hint="eastAsia" w:eastAsia="方正楷体_GBK"/>
          <w:b/>
          <w:sz w:val="33"/>
          <w:szCs w:val="33"/>
        </w:rPr>
        <w:t>3.</w:t>
      </w:r>
      <w:r>
        <w:rPr>
          <w:rFonts w:eastAsia="方正楷体_GBK"/>
          <w:b/>
          <w:sz w:val="33"/>
          <w:szCs w:val="33"/>
        </w:rPr>
        <w:t>市委“两新组织”工委职能职责</w:t>
      </w:r>
    </w:p>
    <w:p>
      <w:pPr>
        <w:rPr>
          <w:rFonts w:eastAsia="方正仿宋_GBK"/>
          <w:sz w:val="33"/>
          <w:szCs w:val="33"/>
        </w:rPr>
      </w:pPr>
      <w:r>
        <w:rPr>
          <w:rFonts w:eastAsia="方正仿宋_GBK"/>
          <w:sz w:val="33"/>
          <w:szCs w:val="33"/>
        </w:rPr>
        <w:t>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pPr>
        <w:ind w:firstLine="660" w:firstLineChars="200"/>
        <w:rPr>
          <w:rFonts w:hint="eastAsia" w:eastAsia="方正楷体_GBK"/>
          <w:b/>
          <w:sz w:val="33"/>
          <w:szCs w:val="33"/>
        </w:rPr>
      </w:pPr>
      <w:r>
        <w:rPr>
          <w:rFonts w:hint="eastAsia" w:eastAsia="方正楷体_GBK"/>
          <w:b/>
          <w:sz w:val="33"/>
          <w:szCs w:val="33"/>
        </w:rPr>
        <w:t>4.</w:t>
      </w:r>
      <w:r>
        <w:rPr>
          <w:rFonts w:eastAsia="方正楷体_GBK"/>
          <w:b/>
          <w:sz w:val="33"/>
          <w:szCs w:val="33"/>
        </w:rPr>
        <w:t>市委组织部党员教育中心职能职责</w:t>
      </w:r>
    </w:p>
    <w:p>
      <w:pPr>
        <w:rPr>
          <w:rFonts w:eastAsia="方正仿宋_GBK"/>
          <w:sz w:val="33"/>
          <w:szCs w:val="33"/>
        </w:rPr>
      </w:pPr>
      <w:r>
        <w:rPr>
          <w:rFonts w:eastAsia="方正仿宋_GBK"/>
          <w:sz w:val="33"/>
          <w:szCs w:val="33"/>
        </w:rPr>
        <w:t>　　负责全市党员干部现代远程教育学习培训的组织、管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pPr>
        <w:rPr>
          <w:rFonts w:eastAsia="方正仿宋_GBK"/>
          <w:b/>
          <w:sz w:val="33"/>
          <w:szCs w:val="33"/>
        </w:rPr>
      </w:pPr>
      <w:r>
        <w:rPr>
          <w:rFonts w:eastAsia="方正仿宋_GBK"/>
          <w:sz w:val="33"/>
          <w:szCs w:val="33"/>
        </w:rPr>
        <w:t>　</w:t>
      </w:r>
      <w:r>
        <w:rPr>
          <w:rFonts w:eastAsia="方正楷体_GBK"/>
          <w:sz w:val="33"/>
          <w:szCs w:val="33"/>
        </w:rPr>
        <w:t>　</w:t>
      </w:r>
      <w:r>
        <w:rPr>
          <w:rFonts w:hint="eastAsia" w:eastAsia="方正楷体_GBK"/>
          <w:b/>
          <w:sz w:val="33"/>
          <w:szCs w:val="33"/>
        </w:rPr>
        <w:t>5.</w:t>
      </w:r>
      <w:r>
        <w:rPr>
          <w:rFonts w:eastAsia="方正楷体_GBK"/>
          <w:b/>
          <w:sz w:val="33"/>
          <w:szCs w:val="33"/>
        </w:rPr>
        <w:t>援助木里藏区工作组职能职责</w:t>
      </w:r>
    </w:p>
    <w:p>
      <w:pPr>
        <w:ind w:firstLine="661"/>
        <w:rPr>
          <w:rFonts w:eastAsia="方正仿宋_GBK"/>
          <w:sz w:val="33"/>
          <w:szCs w:val="33"/>
        </w:rPr>
      </w:pPr>
      <w:r>
        <w:rPr>
          <w:rFonts w:eastAsia="方正仿宋_GBK"/>
          <w:sz w:val="33"/>
          <w:szCs w:val="33"/>
        </w:rPr>
        <w:t>协助做好援藏项目推进工作；协助受援单位共同做好援藏干部人才日常管理工作；了解和掌握援藏工作动态，收集、整理援藏工作信息，做好宣传报道工作，及时总结推广典型经验。</w:t>
      </w:r>
    </w:p>
    <w:p>
      <w:pPr>
        <w:ind w:firstLine="660" w:firstLineChars="200"/>
        <w:rPr>
          <w:rFonts w:eastAsia="方正仿宋_GBK"/>
          <w:sz w:val="33"/>
          <w:szCs w:val="33"/>
        </w:rPr>
      </w:pPr>
      <w:r>
        <w:rPr>
          <w:rFonts w:hint="eastAsia" w:eastAsia="方正楷体_GBK"/>
          <w:b/>
          <w:sz w:val="33"/>
          <w:szCs w:val="33"/>
        </w:rPr>
        <w:t>6.</w:t>
      </w:r>
      <w:r>
        <w:rPr>
          <w:rFonts w:eastAsia="方正楷体_GBK"/>
          <w:b/>
          <w:sz w:val="33"/>
          <w:szCs w:val="33"/>
        </w:rPr>
        <w:t>攀枝花市干部人事档案服务中心职能职责</w:t>
      </w:r>
    </w:p>
    <w:p>
      <w:pPr>
        <w:ind w:firstLine="660" w:firstLineChars="200"/>
        <w:rPr>
          <w:rFonts w:eastAsia="方正仿宋_GBK"/>
          <w:sz w:val="33"/>
          <w:szCs w:val="33"/>
        </w:rPr>
      </w:pPr>
      <w:r>
        <w:rPr>
          <w:rFonts w:eastAsia="方正仿宋_GBK"/>
          <w:sz w:val="33"/>
          <w:szCs w:val="33"/>
        </w:rPr>
        <w:t>负责干部人事档案的收集、审核、整理、转接、信息化和保管利用等事务性工作；承担全市干部人事档案管理人员的业务培训。</w:t>
      </w:r>
    </w:p>
    <w:p>
      <w:pPr>
        <w:pStyle w:val="7"/>
        <w:adjustRightInd w:val="0"/>
        <w:snapToGrid w:val="0"/>
        <w:spacing w:before="93" w:line="600" w:lineRule="exact"/>
        <w:ind w:firstLine="672" w:firstLineChars="210"/>
        <w:outlineLvl w:val="2"/>
        <w:rPr>
          <w:rFonts w:ascii="仿宋" w:hAnsi="仿宋" w:eastAsia="仿宋"/>
          <w:bCs/>
          <w:color w:val="000000"/>
          <w:sz w:val="32"/>
          <w:szCs w:val="32"/>
        </w:rPr>
      </w:pPr>
      <w:bookmarkStart w:id="23" w:name="_Toc15377199"/>
      <w:bookmarkStart w:id="24" w:name="_Toc15378446"/>
      <w:bookmarkStart w:id="25" w:name="_Toc82594964"/>
      <w:r>
        <w:rPr>
          <w:rFonts w:hint="eastAsia" w:ascii="仿宋" w:hAnsi="仿宋" w:eastAsia="仿宋"/>
          <w:bCs/>
          <w:color w:val="000000"/>
          <w:sz w:val="32"/>
          <w:szCs w:val="32"/>
        </w:rPr>
        <w:t>（二）</w:t>
      </w:r>
      <w:r>
        <w:rPr>
          <w:rFonts w:ascii="仿宋" w:hAnsi="仿宋" w:eastAsia="仿宋"/>
          <w:bCs/>
          <w:color w:val="000000"/>
          <w:sz w:val="32"/>
          <w:szCs w:val="32"/>
        </w:rPr>
        <w:t>2020</w:t>
      </w:r>
      <w:r>
        <w:rPr>
          <w:rFonts w:hint="eastAsia" w:ascii="仿宋" w:hAnsi="仿宋" w:eastAsia="仿宋"/>
          <w:bCs/>
          <w:color w:val="000000"/>
          <w:sz w:val="32"/>
          <w:szCs w:val="32"/>
        </w:rPr>
        <w:t>年重点工作完成情况。</w:t>
      </w:r>
      <w:bookmarkEnd w:id="23"/>
      <w:bookmarkEnd w:id="24"/>
      <w:bookmarkEnd w:id="25"/>
    </w:p>
    <w:p>
      <w:pPr>
        <w:autoSpaceDE w:val="0"/>
        <w:ind w:firstLine="675"/>
        <w:rPr>
          <w:rFonts w:eastAsia="方正仿宋_GBK"/>
          <w:sz w:val="33"/>
          <w:szCs w:val="33"/>
        </w:rPr>
      </w:pPr>
      <w:r>
        <w:rPr>
          <w:rFonts w:eastAsia="方正仿宋_GBK"/>
          <w:sz w:val="33"/>
          <w:szCs w:val="33"/>
        </w:rPr>
        <w:t>2020年，全市组织系统认真学习贯彻全国、全省组织部长会议精神，围绕中心、服务大局，聚焦主业、精准施策，推动各项工作取得新进展。</w:t>
      </w:r>
    </w:p>
    <w:p>
      <w:pPr>
        <w:autoSpaceDE w:val="0"/>
        <w:ind w:firstLine="675"/>
        <w:rPr>
          <w:rFonts w:eastAsia="方正仿宋_GBK"/>
          <w:sz w:val="33"/>
          <w:szCs w:val="33"/>
        </w:rPr>
      </w:pPr>
      <w:r>
        <w:rPr>
          <w:rFonts w:hint="eastAsia" w:ascii="方正楷体_GBK" w:eastAsia="方正楷体_GBK"/>
          <w:b/>
          <w:sz w:val="33"/>
          <w:szCs w:val="33"/>
        </w:rPr>
        <w:t>1.坚持用习近平新时代中国特色社会主义思想武装党员干部。</w:t>
      </w:r>
      <w:r>
        <w:rPr>
          <w:rFonts w:eastAsia="方正仿宋_GBK"/>
          <w:sz w:val="33"/>
          <w:szCs w:val="33"/>
        </w:rPr>
        <w:t>坚持党委（党组）会议“第一议题”制度，创新开展“守纪律、提效能、强执行、做表率”活动。制定县级党校分类改革“1+9”政策措施和过渡期办学指导意见，市县两级举办各类主体班次62期、调训5500余人，市委党校新校区主体工程封顶，米易县、盐边县新党校开工建设。</w:t>
      </w:r>
    </w:p>
    <w:p>
      <w:pPr>
        <w:autoSpaceDE w:val="0"/>
        <w:ind w:firstLine="675"/>
        <w:rPr>
          <w:rFonts w:eastAsia="方正仿宋_GBK"/>
          <w:sz w:val="33"/>
          <w:szCs w:val="33"/>
        </w:rPr>
      </w:pPr>
      <w:r>
        <w:rPr>
          <w:rFonts w:hint="eastAsia" w:ascii="方正楷体_GBK" w:eastAsia="方正楷体_GBK"/>
          <w:b/>
          <w:sz w:val="33"/>
          <w:szCs w:val="33"/>
        </w:rPr>
        <w:t>2.</w:t>
      </w:r>
      <w:r>
        <w:rPr>
          <w:rFonts w:ascii="方正楷体_GBK" w:eastAsia="方正楷体_GBK"/>
          <w:b/>
          <w:sz w:val="33"/>
          <w:szCs w:val="33"/>
        </w:rPr>
        <w:t>持续用力加强干部队伍建设。</w:t>
      </w:r>
      <w:r>
        <w:rPr>
          <w:rFonts w:eastAsia="方正仿宋_GBK"/>
          <w:sz w:val="33"/>
          <w:szCs w:val="33"/>
        </w:rPr>
        <w:t>制定贯彻落实党政领导班子建设《规划纲要》的实施细则，用好考核调研成果，着眼换届调整优化干部338名。推行“五个一批”措施，择优培养使用98名、分类储备100名优秀年轻干部。落实选调生下基层制度，“一人一策”安排50名选调生到村任职。制定加强政治把关的12条措施，建立领导班子和领导干部“8+8”政治素质档案。组织800余名填报对象全覆盖开展在线测试，干部个人有关事项查核一致率提升至90.7%。</w:t>
      </w:r>
    </w:p>
    <w:p>
      <w:pPr>
        <w:autoSpaceDE w:val="0"/>
        <w:ind w:firstLine="675"/>
        <w:rPr>
          <w:rFonts w:eastAsia="方正仿宋_GBK"/>
          <w:sz w:val="33"/>
          <w:szCs w:val="33"/>
        </w:rPr>
      </w:pPr>
      <w:r>
        <w:rPr>
          <w:rFonts w:hint="eastAsia" w:ascii="方正楷体_GBK" w:eastAsia="方正楷体_GBK"/>
          <w:b/>
          <w:sz w:val="33"/>
          <w:szCs w:val="33"/>
        </w:rPr>
        <w:t>3.</w:t>
      </w:r>
      <w:r>
        <w:rPr>
          <w:rFonts w:ascii="方正楷体_GBK" w:eastAsia="方正楷体_GBK"/>
          <w:b/>
          <w:sz w:val="33"/>
          <w:szCs w:val="33"/>
        </w:rPr>
        <w:t>规范公务员队伍管理。</w:t>
      </w:r>
      <w:r>
        <w:rPr>
          <w:rFonts w:eastAsia="方正仿宋_GBK"/>
          <w:sz w:val="33"/>
          <w:szCs w:val="33"/>
        </w:rPr>
        <w:t>拓宽公务员来源渠道，面向社会招录公务员176名，从攀钢、攀枝花学院等国有企事业单位调任40名公务员，面向县级及以下机关公开遴选39名公务员。稳步实施职务与职级并行制度，深化司法人员分类改革，晋升职级1599人次。严格规范绩效奖发放管理。</w:t>
      </w:r>
    </w:p>
    <w:p>
      <w:pPr>
        <w:autoSpaceDE w:val="0"/>
        <w:ind w:firstLine="675"/>
        <w:rPr>
          <w:rFonts w:eastAsia="方正仿宋_GBK"/>
          <w:sz w:val="33"/>
          <w:szCs w:val="33"/>
        </w:rPr>
      </w:pPr>
      <w:r>
        <w:rPr>
          <w:rFonts w:hint="eastAsia" w:ascii="方正楷体_GBK" w:eastAsia="方正楷体_GBK"/>
          <w:b/>
          <w:sz w:val="33"/>
          <w:szCs w:val="33"/>
        </w:rPr>
        <w:t>4.</w:t>
      </w:r>
      <w:r>
        <w:rPr>
          <w:rFonts w:ascii="方正楷体_GBK" w:eastAsia="方正楷体_GBK"/>
          <w:b/>
          <w:sz w:val="33"/>
          <w:szCs w:val="33"/>
        </w:rPr>
        <w:t>紧扣产业发展需求引才聚才。</w:t>
      </w:r>
      <w:r>
        <w:rPr>
          <w:rFonts w:eastAsia="方正仿宋_GBK"/>
          <w:sz w:val="33"/>
          <w:szCs w:val="33"/>
        </w:rPr>
        <w:t>实施“千人（引才）计划”，柔性引进张锁江、王汉中、毛新平等专家团队，全年引进高层次人才1400余人。建成中国热科院四川攀枝花研究院，推动“钛材料深加工创新团队”项目落地。制定科技创新政策六条，举办首届全国钛工业创新创业大赛，“以赛代招”与18家企业达成合作意向，全市创新综合指数、省科技进步奖获奖总数，分别居全省第2名和第4名。发放867张首批“天府英才卡”B卡，评选表彰200名“攀枝花英才”和“科技创新英杰”。</w:t>
      </w:r>
    </w:p>
    <w:p>
      <w:pPr>
        <w:autoSpaceDE w:val="0"/>
        <w:ind w:firstLine="675"/>
        <w:rPr>
          <w:rFonts w:eastAsia="方正仿宋_GBK"/>
          <w:sz w:val="33"/>
          <w:szCs w:val="33"/>
        </w:rPr>
      </w:pPr>
      <w:r>
        <w:rPr>
          <w:rFonts w:hint="eastAsia" w:ascii="方正楷体_GBK" w:eastAsia="方正楷体_GBK"/>
          <w:b/>
          <w:sz w:val="33"/>
          <w:szCs w:val="33"/>
        </w:rPr>
        <w:t>5.</w:t>
      </w:r>
      <w:r>
        <w:rPr>
          <w:rFonts w:ascii="方正楷体_GBK" w:eastAsia="方正楷体_GBK"/>
          <w:b/>
          <w:sz w:val="33"/>
          <w:szCs w:val="33"/>
        </w:rPr>
        <w:t>抓实党建引领城乡基层治理。</w:t>
      </w:r>
      <w:r>
        <w:rPr>
          <w:rFonts w:eastAsia="方正仿宋_GBK"/>
          <w:sz w:val="33"/>
          <w:szCs w:val="33"/>
        </w:rPr>
        <w:t>市县两级全覆盖设置基层治理委员会，探索建立城乡基层治理与市域社会治理“七共七促”工作机制，成立社会治理研究中心，分级分类创建231个基层治理示范点。完成镇村建制调整系列改革，乡镇（街道）、村（社区）、村（居）民小组，分别减少18%、31%、27%。推进农民工党建、康养产业党建、军地共建党建、企业联盟党建，创新开展党建项目拉练活动，全覆盖建立基层党支部联系点。建立3岗12级社区工作者薪酬体系，完成1.4万余名国企退休党员社会化移交。开展“两个覆盖”集中攻坚，钒钛高新区成功创建为全省首批两新组织党建示范园区。</w:t>
      </w:r>
    </w:p>
    <w:p>
      <w:pPr>
        <w:autoSpaceDE w:val="0"/>
        <w:ind w:firstLine="675"/>
        <w:rPr>
          <w:rFonts w:eastAsia="方正仿宋_GBK"/>
          <w:sz w:val="33"/>
          <w:szCs w:val="33"/>
        </w:rPr>
      </w:pPr>
      <w:r>
        <w:rPr>
          <w:rFonts w:hint="eastAsia" w:ascii="方正楷体_GBK" w:eastAsia="方正楷体_GBK"/>
          <w:b/>
          <w:sz w:val="33"/>
          <w:szCs w:val="33"/>
        </w:rPr>
        <w:t>6.</w:t>
      </w:r>
      <w:r>
        <w:rPr>
          <w:rFonts w:ascii="方正楷体_GBK" w:eastAsia="方正楷体_GBK"/>
          <w:b/>
          <w:sz w:val="33"/>
          <w:szCs w:val="33"/>
        </w:rPr>
        <w:t>强化中心工作组织保障。</w:t>
      </w:r>
      <w:r>
        <w:rPr>
          <w:rFonts w:eastAsia="方正仿宋_GBK"/>
          <w:sz w:val="33"/>
          <w:szCs w:val="33"/>
        </w:rPr>
        <w:t>做好疫情防控考核激励，提拔重用县级领导干部33名、优先晋升职级89名。扎实抓好援藏援彝工作，完成22个对口帮扶项目。保持389名贫困村驻村干部和援藏援彝队伍稳定，认真落实省委关心激励脱贫攻坚帮扶干部政策，已提拔重用、晋级晋升80名。</w:t>
      </w:r>
    </w:p>
    <w:p>
      <w:pPr>
        <w:autoSpaceDE w:val="0"/>
        <w:ind w:firstLine="660" w:firstLineChars="200"/>
        <w:rPr>
          <w:rFonts w:eastAsia="方正黑体_GBK"/>
          <w:sz w:val="33"/>
          <w:szCs w:val="33"/>
        </w:rPr>
      </w:pPr>
      <w:r>
        <w:rPr>
          <w:rFonts w:hint="eastAsia" w:eastAsia="方正楷体_GBK"/>
          <w:b/>
          <w:bCs/>
          <w:color w:val="000000"/>
          <w:sz w:val="33"/>
          <w:szCs w:val="33"/>
        </w:rPr>
        <w:t>7.</w:t>
      </w:r>
      <w:r>
        <w:rPr>
          <w:rFonts w:ascii="方正楷体_GBK" w:eastAsia="方正楷体_GBK"/>
          <w:b/>
          <w:bCs/>
          <w:color w:val="000000"/>
          <w:sz w:val="33"/>
          <w:szCs w:val="33"/>
        </w:rPr>
        <w:t>坚持围绕中心、服务大局，着力做好老干部服务保障工作。</w:t>
      </w:r>
      <w:r>
        <w:rPr>
          <w:rFonts w:hint="eastAsia" w:eastAsia="方正仿宋_GBK"/>
          <w:sz w:val="33"/>
          <w:szCs w:val="33"/>
        </w:rPr>
        <w:t>一是着力以政治建设为统领，加强离退休干部党的建设。</w:t>
      </w:r>
      <w:r>
        <w:rPr>
          <w:rFonts w:eastAsia="方正仿宋_GBK"/>
          <w:sz w:val="33"/>
          <w:szCs w:val="33"/>
        </w:rPr>
        <w:t>通过“金沙晚晴”推送</w:t>
      </w:r>
      <w:r>
        <w:rPr>
          <w:rFonts w:hint="eastAsia" w:eastAsia="方正仿宋_GBK"/>
          <w:sz w:val="33"/>
          <w:szCs w:val="33"/>
        </w:rPr>
        <w:t>信息</w:t>
      </w:r>
      <w:r>
        <w:rPr>
          <w:rFonts w:eastAsia="方正仿宋_GBK"/>
          <w:sz w:val="33"/>
          <w:szCs w:val="33"/>
        </w:rPr>
        <w:t>等</w:t>
      </w:r>
      <w:r>
        <w:rPr>
          <w:rFonts w:hint="eastAsia" w:eastAsia="方正仿宋_GBK"/>
          <w:sz w:val="33"/>
          <w:szCs w:val="33"/>
        </w:rPr>
        <w:t>208</w:t>
      </w:r>
      <w:r>
        <w:rPr>
          <w:rFonts w:eastAsia="方正仿宋_GBK"/>
          <w:sz w:val="33"/>
          <w:szCs w:val="33"/>
        </w:rPr>
        <w:t>期，</w:t>
      </w:r>
      <w:r>
        <w:rPr>
          <w:rFonts w:hint="eastAsia" w:eastAsia="方正仿宋_GBK"/>
          <w:sz w:val="33"/>
          <w:szCs w:val="33"/>
        </w:rPr>
        <w:t>组织收听收看各类专题报告会、线上学习会11场次，积极开展“我为基层社会治理出份力”活动，荣获“2020年度全省老干部工作重点课题调研先进单位”。二是</w:t>
      </w:r>
      <w:r>
        <w:rPr>
          <w:rFonts w:eastAsia="方正仿宋_GBK"/>
          <w:sz w:val="33"/>
          <w:szCs w:val="33"/>
        </w:rPr>
        <w:t>着力以</w:t>
      </w:r>
      <w:r>
        <w:rPr>
          <w:rFonts w:hint="eastAsia" w:eastAsia="方正仿宋_GBK"/>
          <w:sz w:val="33"/>
          <w:szCs w:val="33"/>
        </w:rPr>
        <w:t>落实</w:t>
      </w:r>
      <w:r>
        <w:rPr>
          <w:rFonts w:eastAsia="方正仿宋_GBK"/>
          <w:sz w:val="33"/>
          <w:szCs w:val="33"/>
        </w:rPr>
        <w:t>“两项待遇”为重点，做好服务保障工作。组织</w:t>
      </w:r>
      <w:r>
        <w:rPr>
          <w:rFonts w:hint="eastAsia" w:eastAsia="方正仿宋_GBK"/>
          <w:sz w:val="33"/>
          <w:szCs w:val="33"/>
        </w:rPr>
        <w:t>离退休干部</w:t>
      </w:r>
      <w:r>
        <w:rPr>
          <w:rFonts w:eastAsia="方正仿宋_GBK"/>
          <w:sz w:val="33"/>
          <w:szCs w:val="33"/>
        </w:rPr>
        <w:t>情况通报会</w:t>
      </w:r>
      <w:r>
        <w:rPr>
          <w:rFonts w:hint="eastAsia" w:eastAsia="方正仿宋_GBK"/>
          <w:sz w:val="33"/>
          <w:szCs w:val="33"/>
        </w:rPr>
        <w:t>、集中学习8次，</w:t>
      </w:r>
      <w:r>
        <w:rPr>
          <w:rFonts w:eastAsia="方正仿宋_GBK"/>
          <w:sz w:val="33"/>
          <w:szCs w:val="33"/>
        </w:rPr>
        <w:t>编辑印发《老干部学习参考》6期</w:t>
      </w:r>
      <w:r>
        <w:rPr>
          <w:rFonts w:hint="eastAsia" w:eastAsia="方正仿宋_GBK"/>
          <w:sz w:val="33"/>
          <w:szCs w:val="33"/>
        </w:rPr>
        <w:t>，牵头</w:t>
      </w:r>
      <w:r>
        <w:rPr>
          <w:rFonts w:eastAsia="方正仿宋_GBK"/>
          <w:sz w:val="33"/>
          <w:szCs w:val="33"/>
        </w:rPr>
        <w:t>开展纪念攀枝花开发建设55周年暨成昆铁路通车50周年</w:t>
      </w:r>
      <w:r>
        <w:rPr>
          <w:rFonts w:hint="eastAsia" w:eastAsia="方正仿宋_GBK"/>
          <w:sz w:val="33"/>
          <w:szCs w:val="33"/>
        </w:rPr>
        <w:t>座谈会和</w:t>
      </w:r>
      <w:r>
        <w:rPr>
          <w:rFonts w:eastAsia="方正仿宋_GBK"/>
          <w:sz w:val="33"/>
          <w:szCs w:val="33"/>
        </w:rPr>
        <w:t>走访慰</w:t>
      </w:r>
      <w:r>
        <w:rPr>
          <w:rFonts w:hint="eastAsia" w:eastAsia="方正仿宋_GBK"/>
          <w:sz w:val="33"/>
          <w:szCs w:val="33"/>
        </w:rPr>
        <w:t>问活动，</w:t>
      </w:r>
      <w:r>
        <w:rPr>
          <w:rFonts w:eastAsia="方正仿宋_GBK"/>
          <w:sz w:val="33"/>
          <w:szCs w:val="33"/>
        </w:rPr>
        <w:t>多渠道帮扶31名离退休干部及遗孀</w:t>
      </w:r>
      <w:r>
        <w:rPr>
          <w:rFonts w:hint="eastAsia" w:eastAsia="方正仿宋_GBK"/>
          <w:sz w:val="33"/>
          <w:szCs w:val="33"/>
        </w:rPr>
        <w:t>，不折不扣落实离退休干部各项政治和生活待遇。三是</w:t>
      </w:r>
      <w:r>
        <w:rPr>
          <w:rFonts w:eastAsia="方正仿宋_GBK"/>
          <w:sz w:val="33"/>
          <w:szCs w:val="33"/>
        </w:rPr>
        <w:t>着力以</w:t>
      </w:r>
      <w:r>
        <w:rPr>
          <w:rFonts w:hint="eastAsia" w:eastAsia="方正仿宋_GBK"/>
          <w:sz w:val="33"/>
          <w:szCs w:val="33"/>
        </w:rPr>
        <w:t>解决问题</w:t>
      </w:r>
      <w:r>
        <w:rPr>
          <w:rFonts w:eastAsia="方正仿宋_GBK"/>
          <w:sz w:val="33"/>
          <w:szCs w:val="33"/>
        </w:rPr>
        <w:t>为导向，不断提高老干部工作质量。</w:t>
      </w:r>
      <w:r>
        <w:rPr>
          <w:rFonts w:hint="eastAsia" w:eastAsia="方正仿宋_GBK"/>
          <w:sz w:val="33"/>
          <w:szCs w:val="33"/>
        </w:rPr>
        <w:t>推动老</w:t>
      </w:r>
      <w:r>
        <w:rPr>
          <w:rFonts w:eastAsia="方正仿宋_GBK"/>
          <w:sz w:val="33"/>
          <w:szCs w:val="33"/>
        </w:rPr>
        <w:t>市委楼和市长楼</w:t>
      </w:r>
      <w:r>
        <w:rPr>
          <w:rFonts w:hint="eastAsia" w:eastAsia="方正仿宋_GBK"/>
          <w:sz w:val="33"/>
          <w:szCs w:val="33"/>
        </w:rPr>
        <w:t>加装</w:t>
      </w:r>
      <w:r>
        <w:rPr>
          <w:rFonts w:eastAsia="方正仿宋_GBK"/>
          <w:sz w:val="33"/>
          <w:szCs w:val="33"/>
        </w:rPr>
        <w:t>电梯</w:t>
      </w:r>
      <w:r>
        <w:rPr>
          <w:rFonts w:hint="eastAsia" w:eastAsia="方正仿宋_GBK"/>
          <w:sz w:val="33"/>
          <w:szCs w:val="33"/>
        </w:rPr>
        <w:t>，</w:t>
      </w:r>
      <w:r>
        <w:rPr>
          <w:rFonts w:eastAsia="方正仿宋_GBK"/>
          <w:sz w:val="33"/>
          <w:szCs w:val="33"/>
        </w:rPr>
        <w:t>接待处理老同志来信来访28件次，办结率100%。</w:t>
      </w:r>
      <w:r>
        <w:rPr>
          <w:rFonts w:hint="eastAsia" w:eastAsia="方正仿宋_GBK"/>
          <w:sz w:val="33"/>
          <w:szCs w:val="33"/>
        </w:rPr>
        <w:t>出台11项规章制度，“三化”建设稳步推进。四是</w:t>
      </w:r>
      <w:r>
        <w:rPr>
          <w:rFonts w:eastAsia="方正仿宋_GBK"/>
          <w:sz w:val="33"/>
          <w:szCs w:val="33"/>
        </w:rPr>
        <w:t>着力以改革创新为动力，探索</w:t>
      </w:r>
      <w:r>
        <w:rPr>
          <w:rFonts w:hint="eastAsia" w:eastAsia="方正仿宋_GBK"/>
          <w:sz w:val="33"/>
          <w:szCs w:val="33"/>
        </w:rPr>
        <w:t>老年教育新机制</w:t>
      </w:r>
      <w:r>
        <w:rPr>
          <w:rFonts w:eastAsia="方正仿宋_GBK"/>
          <w:sz w:val="33"/>
          <w:szCs w:val="33"/>
        </w:rPr>
        <w:t>。创新办学</w:t>
      </w:r>
      <w:r>
        <w:rPr>
          <w:rFonts w:hint="eastAsia" w:eastAsia="方正仿宋_GBK"/>
          <w:sz w:val="33"/>
          <w:szCs w:val="33"/>
        </w:rPr>
        <w:t>机制</w:t>
      </w:r>
      <w:r>
        <w:rPr>
          <w:rFonts w:eastAsia="方正仿宋_GBK"/>
          <w:sz w:val="33"/>
          <w:szCs w:val="33"/>
        </w:rPr>
        <w:t>，</w:t>
      </w:r>
      <w:r>
        <w:rPr>
          <w:rFonts w:hint="eastAsia" w:eastAsia="方正仿宋_GBK"/>
          <w:sz w:val="33"/>
          <w:szCs w:val="33"/>
        </w:rPr>
        <w:t>拓宽老年教育阵地和渠道及覆盖面，</w:t>
      </w:r>
      <w:r>
        <w:rPr>
          <w:rFonts w:eastAsia="方正仿宋_GBK"/>
          <w:sz w:val="33"/>
          <w:szCs w:val="33"/>
        </w:rPr>
        <w:t>抓好老干部活动中心</w:t>
      </w:r>
      <w:r>
        <w:rPr>
          <w:rFonts w:hint="eastAsia" w:eastAsia="方正仿宋_GBK"/>
          <w:sz w:val="33"/>
          <w:szCs w:val="33"/>
        </w:rPr>
        <w:t>提质改造。</w:t>
      </w:r>
      <w:r>
        <w:rPr>
          <w:rFonts w:eastAsia="方正仿宋_GBK"/>
          <w:sz w:val="33"/>
          <w:szCs w:val="33"/>
        </w:rPr>
        <w:t>2020年度市老年大学健身球代表队获得了省级双优胜奖</w:t>
      </w:r>
      <w:r>
        <w:rPr>
          <w:rFonts w:hint="eastAsia" w:eastAsia="方正仿宋_GBK"/>
          <w:sz w:val="33"/>
          <w:szCs w:val="33"/>
        </w:rPr>
        <w:t>，市老年大学被评为</w:t>
      </w:r>
      <w:r>
        <w:rPr>
          <w:rFonts w:eastAsia="方正仿宋_GBK"/>
          <w:sz w:val="33"/>
          <w:szCs w:val="33"/>
        </w:rPr>
        <w:t>“四川省优秀成</w:t>
      </w:r>
      <w:r>
        <w:rPr>
          <w:rFonts w:hint="eastAsia" w:eastAsia="方正仿宋_GBK"/>
          <w:sz w:val="33"/>
          <w:szCs w:val="33"/>
        </w:rPr>
        <w:t>继续</w:t>
      </w:r>
      <w:r>
        <w:rPr>
          <w:rFonts w:eastAsia="方正仿宋_GBK"/>
          <w:sz w:val="33"/>
          <w:szCs w:val="33"/>
        </w:rPr>
        <w:t>教育院校”。</w:t>
      </w:r>
      <w:r>
        <w:rPr>
          <w:rFonts w:hint="eastAsia" w:eastAsia="方正仿宋_GBK"/>
          <w:sz w:val="33"/>
          <w:szCs w:val="33"/>
        </w:rPr>
        <w:t>积极</w:t>
      </w:r>
      <w:r>
        <w:rPr>
          <w:rFonts w:eastAsia="方正仿宋_GBK"/>
          <w:sz w:val="33"/>
          <w:szCs w:val="33"/>
        </w:rPr>
        <w:t>推进老年教育进</w:t>
      </w:r>
      <w:r>
        <w:rPr>
          <w:rFonts w:hint="eastAsia" w:eastAsia="方正仿宋_GBK"/>
          <w:sz w:val="33"/>
          <w:szCs w:val="33"/>
        </w:rPr>
        <w:t>机关、进</w:t>
      </w:r>
      <w:r>
        <w:rPr>
          <w:rFonts w:eastAsia="方正仿宋_GBK"/>
          <w:sz w:val="33"/>
          <w:szCs w:val="33"/>
        </w:rPr>
        <w:t>社区</w:t>
      </w:r>
      <w:r>
        <w:rPr>
          <w:rFonts w:hint="eastAsia" w:eastAsia="方正仿宋_GBK"/>
          <w:sz w:val="33"/>
          <w:szCs w:val="33"/>
        </w:rPr>
        <w:t>、进企业</w:t>
      </w:r>
      <w:r>
        <w:rPr>
          <w:rFonts w:eastAsia="方正仿宋_GBK"/>
          <w:sz w:val="33"/>
          <w:szCs w:val="33"/>
        </w:rPr>
        <w:t>，与企业合作筹建</w:t>
      </w:r>
      <w:r>
        <w:rPr>
          <w:rFonts w:hint="eastAsia" w:eastAsia="方正仿宋_GBK"/>
          <w:sz w:val="33"/>
          <w:szCs w:val="33"/>
        </w:rPr>
        <w:t>市老年大学</w:t>
      </w:r>
      <w:r>
        <w:rPr>
          <w:rFonts w:eastAsia="方正仿宋_GBK"/>
          <w:sz w:val="33"/>
          <w:szCs w:val="33"/>
        </w:rPr>
        <w:t>普达</w:t>
      </w:r>
      <w:r>
        <w:rPr>
          <w:rFonts w:hint="eastAsia" w:eastAsia="方正仿宋_GBK"/>
          <w:sz w:val="33"/>
          <w:szCs w:val="33"/>
        </w:rPr>
        <w:t>阳光</w:t>
      </w:r>
      <w:r>
        <w:rPr>
          <w:rFonts w:eastAsia="方正仿宋_GBK"/>
          <w:sz w:val="33"/>
          <w:szCs w:val="33"/>
        </w:rPr>
        <w:t>分校，</w:t>
      </w:r>
      <w:r>
        <w:rPr>
          <w:rFonts w:hint="eastAsia" w:eastAsia="方正仿宋_GBK"/>
          <w:sz w:val="33"/>
          <w:szCs w:val="33"/>
        </w:rPr>
        <w:t>在米易县设立</w:t>
      </w:r>
      <w:r>
        <w:rPr>
          <w:rFonts w:eastAsia="方正仿宋_GBK"/>
          <w:sz w:val="33"/>
          <w:szCs w:val="33"/>
        </w:rPr>
        <w:t>贤家村</w:t>
      </w:r>
      <w:r>
        <w:rPr>
          <w:rFonts w:hint="eastAsia" w:eastAsia="方正仿宋_GBK"/>
          <w:sz w:val="33"/>
          <w:szCs w:val="33"/>
        </w:rPr>
        <w:t>老年大学</w:t>
      </w:r>
      <w:r>
        <w:rPr>
          <w:rFonts w:eastAsia="方正仿宋_GBK"/>
          <w:sz w:val="33"/>
          <w:szCs w:val="33"/>
        </w:rPr>
        <w:t>办学点</w:t>
      </w:r>
      <w:r>
        <w:rPr>
          <w:rFonts w:hint="eastAsia" w:eastAsia="方正仿宋_GBK"/>
          <w:sz w:val="33"/>
          <w:szCs w:val="33"/>
        </w:rPr>
        <w:t>，结合</w:t>
      </w:r>
      <w:r>
        <w:rPr>
          <w:rFonts w:eastAsia="方正仿宋_GBK"/>
          <w:sz w:val="33"/>
          <w:szCs w:val="33"/>
        </w:rPr>
        <w:t>背水小道、初心园</w:t>
      </w:r>
      <w:r>
        <w:rPr>
          <w:rFonts w:hint="eastAsia" w:eastAsia="方正仿宋_GBK"/>
          <w:sz w:val="33"/>
          <w:szCs w:val="33"/>
        </w:rPr>
        <w:t>等特色</w:t>
      </w:r>
      <w:r>
        <w:rPr>
          <w:rFonts w:eastAsia="方正仿宋_GBK"/>
          <w:sz w:val="33"/>
          <w:szCs w:val="33"/>
        </w:rPr>
        <w:t>党建项目推进</w:t>
      </w:r>
      <w:r>
        <w:rPr>
          <w:rFonts w:hint="eastAsia" w:eastAsia="方正仿宋_GBK"/>
          <w:sz w:val="33"/>
          <w:szCs w:val="33"/>
        </w:rPr>
        <w:t>县（</w:t>
      </w:r>
      <w:r>
        <w:rPr>
          <w:rFonts w:eastAsia="方正仿宋_GBK"/>
          <w:sz w:val="33"/>
          <w:szCs w:val="33"/>
        </w:rPr>
        <w:t>区</w:t>
      </w:r>
      <w:r>
        <w:rPr>
          <w:rFonts w:hint="eastAsia" w:eastAsia="方正仿宋_GBK"/>
          <w:sz w:val="33"/>
          <w:szCs w:val="33"/>
        </w:rPr>
        <w:t>）</w:t>
      </w:r>
      <w:r>
        <w:rPr>
          <w:rFonts w:eastAsia="方正仿宋_GBK"/>
          <w:sz w:val="33"/>
          <w:szCs w:val="33"/>
        </w:rPr>
        <w:t>级老年大学建设</w:t>
      </w:r>
      <w:r>
        <w:rPr>
          <w:rFonts w:hint="eastAsia" w:eastAsia="方正仿宋_GBK"/>
          <w:sz w:val="33"/>
          <w:szCs w:val="33"/>
        </w:rPr>
        <w:t>。五是</w:t>
      </w:r>
      <w:r>
        <w:rPr>
          <w:rFonts w:eastAsia="方正仿宋_GBK"/>
          <w:sz w:val="33"/>
          <w:szCs w:val="33"/>
        </w:rPr>
        <w:t>着力以增添正能量为取向，聚力服务中心大局。</w:t>
      </w:r>
      <w:r>
        <w:rPr>
          <w:rFonts w:hint="eastAsia" w:eastAsia="方正仿宋_GBK"/>
          <w:sz w:val="33"/>
          <w:szCs w:val="33"/>
        </w:rPr>
        <w:t>多形式、多渠道收集离退休干部意见，</w:t>
      </w:r>
      <w:r>
        <w:rPr>
          <w:rFonts w:eastAsia="方正仿宋_GBK"/>
          <w:sz w:val="33"/>
          <w:szCs w:val="33"/>
        </w:rPr>
        <w:t>号召全市离退休干部积极为抗击疫情助力，累计捐款30.5万元。助力脱贫攻坚</w:t>
      </w:r>
      <w:r>
        <w:rPr>
          <w:rFonts w:hint="eastAsia" w:eastAsia="方正仿宋_GBK"/>
          <w:sz w:val="33"/>
          <w:szCs w:val="33"/>
        </w:rPr>
        <w:t>，</w:t>
      </w:r>
      <w:r>
        <w:rPr>
          <w:rFonts w:eastAsia="方正仿宋_GBK"/>
          <w:sz w:val="33"/>
          <w:szCs w:val="33"/>
        </w:rPr>
        <w:t>牵头帮扶永兴镇岩门村</w:t>
      </w:r>
      <w:r>
        <w:rPr>
          <w:rFonts w:hint="eastAsia" w:eastAsia="方正仿宋_GBK"/>
          <w:sz w:val="33"/>
          <w:szCs w:val="33"/>
        </w:rPr>
        <w:t>，向平地镇波西村派出第一书记，</w:t>
      </w:r>
      <w:r>
        <w:rPr>
          <w:rFonts w:eastAsia="方正仿宋_GBK"/>
          <w:sz w:val="33"/>
          <w:szCs w:val="33"/>
        </w:rPr>
        <w:t>争取发展项目</w:t>
      </w:r>
      <w:r>
        <w:rPr>
          <w:rFonts w:hint="eastAsia" w:eastAsia="方正仿宋_GBK"/>
          <w:sz w:val="33"/>
          <w:szCs w:val="33"/>
        </w:rPr>
        <w:t>3</w:t>
      </w:r>
      <w:r>
        <w:rPr>
          <w:rFonts w:eastAsia="方正仿宋_GBK"/>
          <w:sz w:val="33"/>
          <w:szCs w:val="33"/>
        </w:rPr>
        <w:t>个，筹集帮扶资金</w:t>
      </w:r>
      <w:r>
        <w:rPr>
          <w:rFonts w:hint="eastAsia" w:eastAsia="方正仿宋_GBK"/>
          <w:sz w:val="33"/>
          <w:szCs w:val="33"/>
        </w:rPr>
        <w:t>60</w:t>
      </w:r>
      <w:r>
        <w:rPr>
          <w:rFonts w:eastAsia="方正仿宋_GBK"/>
          <w:sz w:val="33"/>
          <w:szCs w:val="33"/>
        </w:rPr>
        <w:t>万元，开展实地调研6次，</w:t>
      </w:r>
      <w:r>
        <w:rPr>
          <w:rFonts w:hint="eastAsia" w:eastAsia="方正仿宋_GBK"/>
          <w:sz w:val="33"/>
          <w:szCs w:val="33"/>
        </w:rPr>
        <w:t>走访慰问贫困户80余户次，</w:t>
      </w:r>
      <w:r>
        <w:rPr>
          <w:rFonts w:eastAsia="方正仿宋_GBK"/>
          <w:sz w:val="33"/>
          <w:szCs w:val="33"/>
        </w:rPr>
        <w:t>帮助协调解决困难问题25个。</w:t>
      </w:r>
      <w:r>
        <w:rPr>
          <w:rFonts w:hint="eastAsia" w:eastAsia="方正仿宋_GBK"/>
          <w:sz w:val="33"/>
          <w:szCs w:val="33"/>
        </w:rPr>
        <w:t>六是</w:t>
      </w:r>
      <w:r>
        <w:rPr>
          <w:rFonts w:eastAsia="方正仿宋_GBK"/>
          <w:sz w:val="33"/>
          <w:szCs w:val="33"/>
        </w:rPr>
        <w:t>着力以自身建设为抓手，打造高素质老干部队伍。优化队伍配置，</w:t>
      </w:r>
      <w:r>
        <w:rPr>
          <w:rFonts w:hint="eastAsia" w:eastAsia="方正仿宋_GBK"/>
          <w:sz w:val="33"/>
          <w:szCs w:val="33"/>
        </w:rPr>
        <w:t>组织专题培训，</w:t>
      </w:r>
      <w:r>
        <w:rPr>
          <w:rFonts w:eastAsia="方正仿宋_GBK"/>
          <w:sz w:val="33"/>
          <w:szCs w:val="33"/>
        </w:rPr>
        <w:t>提高</w:t>
      </w:r>
      <w:r>
        <w:rPr>
          <w:rFonts w:hint="eastAsia" w:eastAsia="方正仿宋_GBK"/>
          <w:sz w:val="33"/>
          <w:szCs w:val="33"/>
        </w:rPr>
        <w:t>干部队伍</w:t>
      </w:r>
      <w:r>
        <w:rPr>
          <w:rFonts w:eastAsia="方正仿宋_GBK"/>
          <w:sz w:val="33"/>
          <w:szCs w:val="33"/>
        </w:rPr>
        <w:t>能力素质。加强党的建设，</w:t>
      </w:r>
      <w:r>
        <w:rPr>
          <w:rFonts w:hint="eastAsia" w:eastAsia="方正仿宋_GBK"/>
          <w:sz w:val="33"/>
          <w:szCs w:val="33"/>
        </w:rPr>
        <w:t>顺利完成支部换届选举，</w:t>
      </w:r>
      <w:r>
        <w:rPr>
          <w:rFonts w:eastAsia="方正仿宋_GBK"/>
          <w:sz w:val="33"/>
          <w:szCs w:val="33"/>
        </w:rPr>
        <w:t>开展多种形式的</w:t>
      </w:r>
      <w:r>
        <w:rPr>
          <w:rFonts w:hint="eastAsia" w:eastAsia="方正仿宋_GBK"/>
          <w:sz w:val="33"/>
          <w:szCs w:val="33"/>
        </w:rPr>
        <w:t>支部活动，进一步</w:t>
      </w:r>
      <w:r>
        <w:rPr>
          <w:rFonts w:eastAsia="方正仿宋_GBK"/>
          <w:sz w:val="33"/>
          <w:szCs w:val="33"/>
        </w:rPr>
        <w:t>转变思想作风。</w:t>
      </w:r>
    </w:p>
    <w:p>
      <w:pPr>
        <w:pStyle w:val="5"/>
        <w:rPr>
          <w:rStyle w:val="19"/>
          <w:b w:val="0"/>
          <w:bCs w:val="0"/>
        </w:rPr>
      </w:pPr>
      <w:bookmarkStart w:id="26" w:name="_Toc15377200"/>
      <w:bookmarkStart w:id="27" w:name="_Toc15396601"/>
      <w:bookmarkStart w:id="28" w:name="_Toc82594965"/>
      <w:r>
        <w:rPr>
          <w:rFonts w:hint="eastAsia" w:ascii="黑体" w:eastAsia="黑体"/>
          <w:b w:val="0"/>
          <w:color w:val="000000"/>
        </w:rPr>
        <w:t>二、</w:t>
      </w:r>
      <w:r>
        <w:rPr>
          <w:rFonts w:hint="eastAsia" w:ascii="黑体" w:hAnsi="黑体" w:eastAsia="黑体"/>
          <w:b w:val="0"/>
          <w:color w:val="000000"/>
        </w:rPr>
        <w:t>机</w:t>
      </w:r>
      <w:r>
        <w:rPr>
          <w:rStyle w:val="19"/>
          <w:rFonts w:hint="eastAsia" w:ascii="黑体" w:hAnsi="黑体" w:eastAsia="黑体"/>
          <w:b w:val="0"/>
          <w:bCs w:val="0"/>
        </w:rPr>
        <w:t>构设置</w:t>
      </w:r>
      <w:bookmarkEnd w:id="26"/>
      <w:bookmarkEnd w:id="27"/>
      <w:bookmarkEnd w:id="28"/>
    </w:p>
    <w:p>
      <w:pPr>
        <w:pStyle w:val="7"/>
        <w:adjustRightInd w:val="0"/>
        <w:spacing w:beforeLines="0"/>
        <w:ind w:firstLine="693" w:firstLineChars="210"/>
        <w:rPr>
          <w:rFonts w:ascii="Times New Roman" w:eastAsia="方正仿宋_GBK"/>
          <w:sz w:val="33"/>
          <w:szCs w:val="33"/>
        </w:rPr>
      </w:pPr>
      <w:r>
        <w:rPr>
          <w:rFonts w:ascii="Times New Roman" w:eastAsia="方正仿宋_GBK"/>
          <w:sz w:val="33"/>
          <w:szCs w:val="33"/>
        </w:rPr>
        <w:t>市委组织部下属非独立核算单位4个，其中行政单位1个，参照公务员法管理的事业单位2个，其他事业单位</w:t>
      </w:r>
      <w:r>
        <w:rPr>
          <w:rFonts w:hint="eastAsia" w:ascii="Times New Roman" w:eastAsia="方正仿宋_GBK"/>
          <w:sz w:val="33"/>
          <w:szCs w:val="33"/>
          <w:lang w:val="en-US"/>
        </w:rPr>
        <w:t>2</w:t>
      </w:r>
      <w:r>
        <w:rPr>
          <w:rFonts w:ascii="Times New Roman" w:eastAsia="方正仿宋_GBK"/>
          <w:sz w:val="33"/>
          <w:szCs w:val="33"/>
        </w:rPr>
        <w:t>个。主要包括：</w:t>
      </w:r>
      <w:r>
        <w:rPr>
          <w:rFonts w:hint="eastAsia" w:ascii="Times New Roman" w:eastAsia="方正仿宋_GBK"/>
          <w:sz w:val="33"/>
          <w:szCs w:val="33"/>
        </w:rPr>
        <w:t>市委组织部、</w:t>
      </w:r>
      <w:r>
        <w:rPr>
          <w:rFonts w:ascii="Times New Roman" w:eastAsia="方正仿宋_GBK"/>
          <w:sz w:val="33"/>
          <w:szCs w:val="33"/>
        </w:rPr>
        <w:t>市委老干部局、市委组织部党员教育中心、</w:t>
      </w:r>
      <w:r>
        <w:rPr>
          <w:rFonts w:hint="eastAsia" w:ascii="Times New Roman" w:eastAsia="方正仿宋_GBK"/>
          <w:sz w:val="33"/>
          <w:szCs w:val="33"/>
          <w:lang w:val="en-US"/>
        </w:rPr>
        <w:t xml:space="preserve"> </w:t>
      </w:r>
      <w:r>
        <w:rPr>
          <w:rFonts w:ascii="Times New Roman" w:eastAsia="方正仿宋_GBK"/>
          <w:sz w:val="33"/>
          <w:szCs w:val="33"/>
        </w:rPr>
        <w:t>炳草岗干部休养所、老干部活动中心（老年大学）</w:t>
      </w:r>
    </w:p>
    <w:p>
      <w:pPr>
        <w:pStyle w:val="7"/>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w:t>
      </w:r>
      <w:r>
        <w:rPr>
          <w:rFonts w:ascii="仿宋" w:hAnsi="仿宋" w:eastAsia="仿宋"/>
          <w:color w:val="000000"/>
          <w:sz w:val="32"/>
          <w:szCs w:val="32"/>
        </w:rPr>
        <w:t>2020</w:t>
      </w:r>
      <w:r>
        <w:rPr>
          <w:rFonts w:hint="eastAsia" w:ascii="仿宋" w:hAnsi="仿宋" w:eastAsia="仿宋"/>
          <w:color w:val="000000"/>
          <w:sz w:val="32"/>
          <w:szCs w:val="32"/>
        </w:rPr>
        <w:t>年度部门决算编制范围的二级预算单位包括：</w:t>
      </w:r>
    </w:p>
    <w:p>
      <w:pPr>
        <w:pStyle w:val="7"/>
        <w:numPr>
          <w:ilvl w:val="0"/>
          <w:numId w:val="1"/>
        </w:numPr>
        <w:adjustRightInd w:val="0"/>
        <w:snapToGrid w:val="0"/>
        <w:spacing w:before="93" w:line="600" w:lineRule="exact"/>
        <w:outlineLvl w:val="2"/>
        <w:rPr>
          <w:rFonts w:ascii="仿宋" w:hAnsi="仿宋" w:eastAsia="仿宋"/>
          <w:color w:val="000000"/>
          <w:sz w:val="32"/>
          <w:szCs w:val="32"/>
        </w:rPr>
      </w:pPr>
      <w:r>
        <w:rPr>
          <w:rFonts w:hint="eastAsia" w:ascii="仿宋" w:hAnsi="仿宋" w:eastAsia="仿宋"/>
          <w:color w:val="000000"/>
          <w:sz w:val="32"/>
          <w:szCs w:val="32"/>
        </w:rPr>
        <w:t>市老干部局</w:t>
      </w:r>
    </w:p>
    <w:p>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pPr>
        <w:pStyle w:val="4"/>
        <w:ind w:right="440"/>
        <w:jc w:val="right"/>
        <w:rPr>
          <w:rStyle w:val="18"/>
          <w:rFonts w:ascii="黑体" w:hAnsi="黑体" w:eastAsia="黑体"/>
          <w:b w:val="0"/>
          <w:bCs w:val="0"/>
        </w:rPr>
      </w:pPr>
      <w:bookmarkStart w:id="29" w:name="_Toc82594969"/>
      <w:bookmarkStart w:id="30" w:name="_Toc15396602"/>
      <w:bookmarkStart w:id="31" w:name="_Toc15377204"/>
      <w:r>
        <w:rPr>
          <w:rFonts w:hint="eastAsia" w:ascii="黑体" w:hAnsi="黑体" w:eastAsia="黑体"/>
          <w:b w:val="0"/>
          <w:color w:val="000000"/>
        </w:rPr>
        <w:t>第二部分</w:t>
      </w:r>
      <w:r>
        <w:rPr>
          <w:rFonts w:ascii="黑体" w:hAnsi="黑体" w:eastAsia="黑体"/>
          <w:color w:val="000000"/>
        </w:rPr>
        <w:t xml:space="preserve"> </w:t>
      </w:r>
      <w:r>
        <w:rPr>
          <w:rStyle w:val="18"/>
          <w:rFonts w:ascii="黑体" w:hAnsi="黑体" w:eastAsia="黑体"/>
          <w:b w:val="0"/>
          <w:bCs w:val="0"/>
        </w:rPr>
        <w:t>2020</w:t>
      </w:r>
      <w:r>
        <w:rPr>
          <w:rStyle w:val="18"/>
          <w:rFonts w:hint="eastAsia" w:ascii="黑体" w:hAnsi="黑体" w:eastAsia="黑体"/>
          <w:b w:val="0"/>
          <w:bCs w:val="0"/>
        </w:rPr>
        <w:t>年度部门决算情况说明</w:t>
      </w:r>
      <w:bookmarkEnd w:id="29"/>
      <w:bookmarkEnd w:id="30"/>
      <w:bookmarkEnd w:id="31"/>
    </w:p>
    <w:p/>
    <w:p>
      <w:pPr>
        <w:pStyle w:val="29"/>
        <w:numPr>
          <w:ilvl w:val="0"/>
          <w:numId w:val="2"/>
        </w:numPr>
        <w:spacing w:line="600" w:lineRule="exact"/>
        <w:ind w:firstLineChars="0"/>
        <w:outlineLvl w:val="1"/>
        <w:rPr>
          <w:rStyle w:val="19"/>
          <w:rFonts w:ascii="黑体" w:hAnsi="黑体" w:eastAsia="黑体"/>
          <w:b w:val="0"/>
        </w:rPr>
      </w:pPr>
      <w:bookmarkStart w:id="32" w:name="_Toc15377205"/>
      <w:bookmarkStart w:id="33" w:name="_Toc15396603"/>
      <w:bookmarkStart w:id="34" w:name="_Toc82594970"/>
      <w:r>
        <w:rPr>
          <w:rFonts w:hint="eastAsia" w:ascii="黑体" w:hAnsi="黑体" w:eastAsia="黑体"/>
          <w:color w:val="000000"/>
          <w:sz w:val="32"/>
          <w:szCs w:val="32"/>
        </w:rPr>
        <w:t>收</w:t>
      </w:r>
      <w:r>
        <w:rPr>
          <w:rStyle w:val="19"/>
          <w:rFonts w:hint="eastAsia" w:ascii="黑体" w:hAnsi="黑体" w:eastAsia="黑体"/>
          <w:b w:val="0"/>
        </w:rPr>
        <w:t>入支出决算总体情况说明</w:t>
      </w:r>
      <w:bookmarkEnd w:id="32"/>
      <w:bookmarkEnd w:id="33"/>
      <w:bookmarkEnd w:id="34"/>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年度收、支总计2,262.08万元。与</w:t>
      </w:r>
      <w:r>
        <w:rPr>
          <w:rFonts w:ascii="仿宋" w:hAnsi="仿宋" w:eastAsia="仿宋"/>
          <w:color w:val="000000"/>
          <w:sz w:val="32"/>
          <w:szCs w:val="32"/>
        </w:rPr>
        <w:t>2019</w:t>
      </w:r>
      <w:r>
        <w:rPr>
          <w:rFonts w:hint="eastAsia" w:ascii="仿宋" w:hAnsi="仿宋" w:eastAsia="仿宋"/>
          <w:color w:val="000000"/>
          <w:sz w:val="32"/>
          <w:szCs w:val="32"/>
        </w:rPr>
        <w:t>年相比，收、支总计各增加61.67万元，增长2.80</w:t>
      </w:r>
      <w:r>
        <w:rPr>
          <w:rFonts w:ascii="仿宋" w:hAnsi="仿宋" w:eastAsia="仿宋"/>
          <w:color w:val="000000"/>
          <w:sz w:val="32"/>
          <w:szCs w:val="32"/>
        </w:rPr>
        <w:t>%</w:t>
      </w:r>
      <w:r>
        <w:rPr>
          <w:rFonts w:hint="eastAsia" w:ascii="仿宋" w:hAnsi="仿宋" w:eastAsia="仿宋"/>
          <w:color w:val="000000"/>
          <w:sz w:val="32"/>
          <w:szCs w:val="32"/>
        </w:rPr>
        <w:t>。主要变动原因是新进人员，相应增加人员经费，</w:t>
      </w:r>
      <w:r>
        <w:rPr>
          <w:rFonts w:eastAsia="方正仿宋_GBK"/>
          <w:color w:val="000000"/>
          <w:sz w:val="33"/>
          <w:szCs w:val="33"/>
        </w:rPr>
        <w:t>20</w:t>
      </w:r>
      <w:r>
        <w:rPr>
          <w:rFonts w:hint="eastAsia" w:eastAsia="方正仿宋_GBK"/>
          <w:color w:val="000000"/>
          <w:sz w:val="33"/>
          <w:szCs w:val="33"/>
        </w:rPr>
        <w:t>20</w:t>
      </w:r>
      <w:r>
        <w:rPr>
          <w:rFonts w:eastAsia="方正仿宋_GBK"/>
          <w:color w:val="000000"/>
          <w:sz w:val="33"/>
          <w:szCs w:val="33"/>
        </w:rPr>
        <w:t>年老干部专项工作增加</w:t>
      </w:r>
      <w:r>
        <w:rPr>
          <w:rFonts w:hint="eastAsia" w:eastAsia="方正仿宋_GBK"/>
          <w:color w:val="000000"/>
          <w:sz w:val="33"/>
          <w:szCs w:val="33"/>
        </w:rPr>
        <w:t>支出增加</w:t>
      </w:r>
      <w:r>
        <w:rPr>
          <w:rFonts w:hint="eastAsia" w:ascii="仿宋" w:hAnsi="仿宋" w:eastAsia="仿宋"/>
          <w:color w:val="000000"/>
          <w:sz w:val="32"/>
          <w:szCs w:val="32"/>
        </w:rPr>
        <w:t>。</w:t>
      </w:r>
    </w:p>
    <w:p>
      <w:pPr>
        <w:pStyle w:val="2"/>
        <w:ind w:left="0" w:leftChars="0" w:firstLine="0" w:firstLineChars="0"/>
        <w:rPr>
          <w:rFonts w:ascii="仿宋" w:hAnsi="仿宋" w:eastAsia="仿宋"/>
          <w:color w:val="000000"/>
          <w:sz w:val="32"/>
          <w:szCs w:val="32"/>
        </w:rPr>
      </w:pPr>
      <w:r>
        <w:drawing>
          <wp:inline distT="0" distB="0" distL="114300" distR="114300">
            <wp:extent cx="5267960" cy="27184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7960" cy="2718435"/>
                    </a:xfrm>
                    <a:prstGeom prst="rect">
                      <a:avLst/>
                    </a:prstGeom>
                    <a:noFill/>
                    <a:ln w="9525">
                      <a:noFill/>
                    </a:ln>
                  </pic:spPr>
                </pic:pic>
              </a:graphicData>
            </a:graphic>
          </wp:inline>
        </w:drawing>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：收、支决算总计变动情况图）（柱状图）</w:t>
      </w:r>
    </w:p>
    <w:p>
      <w:pPr>
        <w:spacing w:line="600" w:lineRule="exact"/>
        <w:ind w:firstLine="640" w:firstLineChars="200"/>
        <w:jc w:val="left"/>
        <w:rPr>
          <w:rFonts w:ascii="仿宋_GB2312" w:eastAsia="仿宋_GB2312"/>
          <w:color w:val="000000"/>
          <w:sz w:val="32"/>
          <w:szCs w:val="32"/>
        </w:rPr>
      </w:pPr>
    </w:p>
    <w:p>
      <w:pPr>
        <w:pStyle w:val="29"/>
        <w:numPr>
          <w:ilvl w:val="0"/>
          <w:numId w:val="2"/>
        </w:numPr>
        <w:spacing w:line="600" w:lineRule="exact"/>
        <w:ind w:firstLineChars="0"/>
        <w:outlineLvl w:val="1"/>
        <w:rPr>
          <w:rStyle w:val="19"/>
          <w:rFonts w:ascii="黑体" w:hAnsi="黑体" w:eastAsia="黑体"/>
          <w:b w:val="0"/>
        </w:rPr>
      </w:pPr>
      <w:bookmarkStart w:id="35" w:name="_Toc15377206"/>
      <w:bookmarkStart w:id="36" w:name="_Toc15396604"/>
      <w:bookmarkStart w:id="37" w:name="_Toc82594971"/>
      <w:r>
        <w:rPr>
          <w:rFonts w:hint="eastAsia" w:ascii="黑体" w:hAnsi="黑体" w:eastAsia="黑体"/>
          <w:color w:val="000000"/>
          <w:sz w:val="32"/>
          <w:szCs w:val="32"/>
        </w:rPr>
        <w:t>收</w:t>
      </w:r>
      <w:r>
        <w:rPr>
          <w:rStyle w:val="19"/>
          <w:rFonts w:hint="eastAsia" w:ascii="黑体" w:hAnsi="黑体" w:eastAsia="黑体"/>
          <w:b w:val="0"/>
        </w:rPr>
        <w:t>入决算情况说明</w:t>
      </w:r>
      <w:bookmarkEnd w:id="35"/>
      <w:bookmarkEnd w:id="36"/>
      <w:bookmarkEnd w:id="37"/>
    </w:p>
    <w:p>
      <w:pPr>
        <w:spacing w:line="600" w:lineRule="exact"/>
        <w:ind w:firstLine="640" w:firstLineChars="200"/>
        <w:outlineLvl w:val="1"/>
        <w:rPr>
          <w:rFonts w:ascii="仿宋" w:hAnsi="仿宋" w:eastAsia="仿宋"/>
          <w:color w:val="000000"/>
          <w:sz w:val="32"/>
          <w:szCs w:val="32"/>
        </w:rPr>
      </w:pPr>
      <w:bookmarkStart w:id="38" w:name="_Toc82594972"/>
      <w:r>
        <w:rPr>
          <w:rFonts w:ascii="仿宋" w:hAnsi="仿宋" w:eastAsia="仿宋"/>
          <w:color w:val="000000"/>
          <w:sz w:val="32"/>
          <w:szCs w:val="32"/>
        </w:rPr>
        <w:t>2020</w:t>
      </w:r>
      <w:r>
        <w:rPr>
          <w:rFonts w:hint="eastAsia" w:ascii="仿宋" w:hAnsi="仿宋" w:eastAsia="仿宋"/>
          <w:color w:val="000000"/>
          <w:sz w:val="32"/>
          <w:szCs w:val="32"/>
        </w:rPr>
        <w:t>年本年收入合计2,262.08万元，其中：一般公共预算财政拨款收入2,191.56万元，占96.88</w:t>
      </w:r>
      <w:r>
        <w:rPr>
          <w:rFonts w:ascii="仿宋" w:hAnsi="仿宋" w:eastAsia="仿宋"/>
          <w:color w:val="000000"/>
          <w:sz w:val="32"/>
          <w:szCs w:val="32"/>
        </w:rPr>
        <w:t>%</w:t>
      </w:r>
      <w:r>
        <w:rPr>
          <w:rFonts w:hint="eastAsia" w:ascii="仿宋" w:hAnsi="仿宋" w:eastAsia="仿宋"/>
          <w:color w:val="000000"/>
          <w:sz w:val="32"/>
          <w:szCs w:val="32"/>
        </w:rPr>
        <w:t>；政府性基金预算财政拨款收入70.34万元，占3.11</w:t>
      </w:r>
      <w:r>
        <w:rPr>
          <w:rFonts w:ascii="仿宋" w:hAnsi="仿宋" w:eastAsia="仿宋"/>
          <w:color w:val="000000"/>
          <w:sz w:val="32"/>
          <w:szCs w:val="32"/>
        </w:rPr>
        <w:t>%</w:t>
      </w:r>
      <w:r>
        <w:rPr>
          <w:rFonts w:hint="eastAsia" w:ascii="仿宋" w:hAnsi="仿宋" w:eastAsia="仿宋"/>
          <w:color w:val="000000"/>
          <w:sz w:val="32"/>
          <w:szCs w:val="32"/>
        </w:rPr>
        <w:t>；上级补助收入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；事业收入</w:t>
      </w:r>
      <w:r>
        <w:rPr>
          <w:rFonts w:ascii="仿宋" w:hAnsi="仿宋" w:eastAsia="仿宋"/>
          <w:color w:val="000000"/>
          <w:sz w:val="32"/>
          <w:szCs w:val="32"/>
        </w:rPr>
        <w:t>0</w:t>
      </w:r>
      <w:r>
        <w:rPr>
          <w:rFonts w:hint="eastAsia" w:ascii="仿宋" w:hAnsi="仿宋" w:eastAsia="仿宋"/>
          <w:color w:val="000000"/>
          <w:sz w:val="32"/>
          <w:szCs w:val="32"/>
        </w:rPr>
        <w:t>元，占</w:t>
      </w:r>
      <w:r>
        <w:rPr>
          <w:rFonts w:ascii="仿宋" w:hAnsi="仿宋" w:eastAsia="仿宋"/>
          <w:color w:val="000000"/>
          <w:sz w:val="32"/>
          <w:szCs w:val="32"/>
        </w:rPr>
        <w:t>0%</w:t>
      </w:r>
      <w:r>
        <w:rPr>
          <w:rFonts w:hint="eastAsia" w:ascii="仿宋" w:hAnsi="仿宋" w:eastAsia="仿宋"/>
          <w:color w:val="000000"/>
          <w:sz w:val="32"/>
          <w:szCs w:val="32"/>
        </w:rPr>
        <w:t>；经营收入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；附属单位上缴收入</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；其他收入0.18万元，占0.007</w:t>
      </w:r>
      <w:r>
        <w:rPr>
          <w:rFonts w:ascii="仿宋" w:hAnsi="仿宋" w:eastAsia="仿宋"/>
          <w:color w:val="000000"/>
          <w:sz w:val="32"/>
          <w:szCs w:val="32"/>
        </w:rPr>
        <w:t>%</w:t>
      </w:r>
      <w:r>
        <w:rPr>
          <w:rFonts w:hint="eastAsia" w:ascii="仿宋" w:hAnsi="仿宋" w:eastAsia="仿宋"/>
          <w:color w:val="000000"/>
          <w:sz w:val="32"/>
          <w:szCs w:val="32"/>
        </w:rPr>
        <w:t>。</w:t>
      </w:r>
      <w:bookmarkEnd w:id="38"/>
    </w:p>
    <w:p>
      <w:pPr>
        <w:spacing w:line="600" w:lineRule="exact"/>
        <w:ind w:firstLine="640" w:firstLineChars="200"/>
        <w:outlineLvl w:val="1"/>
        <w:rPr>
          <w:rFonts w:ascii="仿宋" w:hAnsi="仿宋" w:eastAsia="仿宋"/>
          <w:color w:val="000000"/>
          <w:sz w:val="32"/>
          <w:szCs w:val="32"/>
        </w:rPr>
      </w:pPr>
    </w:p>
    <w:p>
      <w:pPr>
        <w:pStyle w:val="2"/>
        <w:ind w:left="0" w:leftChars="0" w:firstLine="0" w:firstLineChars="0"/>
        <w:rPr>
          <w:rFonts w:ascii="仿宋" w:hAnsi="仿宋" w:eastAsia="仿宋"/>
          <w:color w:val="000000"/>
          <w:sz w:val="32"/>
          <w:szCs w:val="32"/>
        </w:rPr>
      </w:pPr>
      <w:r>
        <w:drawing>
          <wp:inline distT="0" distB="0" distL="114300" distR="114300">
            <wp:extent cx="5274310" cy="32207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3220720"/>
                    </a:xfrm>
                    <a:prstGeom prst="rect">
                      <a:avLst/>
                    </a:prstGeom>
                    <a:noFill/>
                    <a:ln w="9525">
                      <a:noFill/>
                    </a:ln>
                  </pic:spPr>
                </pic:pic>
              </a:graphicData>
            </a:graphic>
          </wp:inline>
        </w:drawing>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：收入决算结构图）（饼状图）</w:t>
      </w:r>
    </w:p>
    <w:p>
      <w:pPr>
        <w:spacing w:line="600" w:lineRule="exact"/>
        <w:ind w:firstLine="640" w:firstLineChars="200"/>
        <w:rPr>
          <w:rFonts w:ascii="仿宋_GB2312" w:eastAsia="仿宋_GB2312"/>
          <w:color w:val="FF0000"/>
          <w:sz w:val="32"/>
          <w:szCs w:val="32"/>
        </w:rPr>
      </w:pPr>
    </w:p>
    <w:p>
      <w:pPr>
        <w:pStyle w:val="29"/>
        <w:numPr>
          <w:ilvl w:val="0"/>
          <w:numId w:val="2"/>
        </w:numPr>
        <w:spacing w:line="600" w:lineRule="exact"/>
        <w:ind w:firstLineChars="0"/>
        <w:outlineLvl w:val="1"/>
        <w:rPr>
          <w:rStyle w:val="19"/>
          <w:rFonts w:ascii="黑体" w:hAnsi="黑体" w:eastAsia="黑体"/>
          <w:b w:val="0"/>
        </w:rPr>
      </w:pPr>
      <w:bookmarkStart w:id="39" w:name="_Toc82594974"/>
      <w:bookmarkStart w:id="40" w:name="_Toc15396605"/>
      <w:bookmarkStart w:id="41" w:name="_Toc15377207"/>
      <w:r>
        <w:rPr>
          <w:rFonts w:hint="eastAsia" w:ascii="黑体" w:hAnsi="黑体" w:eastAsia="黑体"/>
          <w:color w:val="000000"/>
          <w:sz w:val="32"/>
          <w:szCs w:val="32"/>
        </w:rPr>
        <w:t>支</w:t>
      </w:r>
      <w:r>
        <w:rPr>
          <w:rStyle w:val="19"/>
          <w:rFonts w:hint="eastAsia" w:ascii="黑体" w:hAnsi="黑体" w:eastAsia="黑体"/>
          <w:b w:val="0"/>
        </w:rPr>
        <w:t>出决算情况说明</w:t>
      </w:r>
      <w:bookmarkEnd w:id="39"/>
      <w:bookmarkEnd w:id="40"/>
      <w:bookmarkEnd w:id="41"/>
    </w:p>
    <w:p>
      <w:pPr>
        <w:spacing w:line="600" w:lineRule="exact"/>
        <w:ind w:firstLine="640" w:firstLineChars="200"/>
        <w:outlineLvl w:val="1"/>
        <w:rPr>
          <w:rFonts w:ascii="仿宋" w:hAnsi="仿宋" w:eastAsia="仿宋"/>
          <w:color w:val="000000"/>
          <w:sz w:val="32"/>
          <w:szCs w:val="32"/>
        </w:rPr>
      </w:pPr>
      <w:bookmarkStart w:id="42" w:name="_Toc82594975"/>
      <w:r>
        <w:rPr>
          <w:rFonts w:ascii="仿宋" w:hAnsi="仿宋" w:eastAsia="仿宋"/>
          <w:color w:val="000000"/>
          <w:sz w:val="32"/>
          <w:szCs w:val="32"/>
        </w:rPr>
        <w:t>2020</w:t>
      </w:r>
      <w:r>
        <w:rPr>
          <w:rFonts w:hint="eastAsia" w:ascii="仿宋" w:hAnsi="仿宋" w:eastAsia="仿宋"/>
          <w:color w:val="000000"/>
          <w:sz w:val="32"/>
          <w:szCs w:val="32"/>
        </w:rPr>
        <w:t>年本年支出合计2,231.89万元，其中：基本支出1,690.88万元，占75.76</w:t>
      </w:r>
      <w:r>
        <w:rPr>
          <w:rFonts w:ascii="仿宋" w:hAnsi="仿宋" w:eastAsia="仿宋"/>
          <w:color w:val="000000"/>
          <w:sz w:val="32"/>
          <w:szCs w:val="32"/>
        </w:rPr>
        <w:t>%</w:t>
      </w:r>
      <w:r>
        <w:rPr>
          <w:rFonts w:hint="eastAsia" w:ascii="仿宋" w:hAnsi="仿宋" w:eastAsia="仿宋"/>
          <w:color w:val="000000"/>
          <w:sz w:val="32"/>
          <w:szCs w:val="32"/>
        </w:rPr>
        <w:t>；项目支出541.01万元，占24.24</w:t>
      </w:r>
      <w:r>
        <w:rPr>
          <w:rFonts w:ascii="仿宋" w:hAnsi="仿宋" w:eastAsia="仿宋"/>
          <w:color w:val="000000"/>
          <w:sz w:val="32"/>
          <w:szCs w:val="32"/>
        </w:rPr>
        <w:t>%</w:t>
      </w:r>
      <w:r>
        <w:rPr>
          <w:rFonts w:hint="eastAsia" w:ascii="仿宋" w:hAnsi="仿宋" w:eastAsia="仿宋"/>
          <w:color w:val="000000"/>
          <w:sz w:val="32"/>
          <w:szCs w:val="32"/>
        </w:rPr>
        <w:t>；上缴上级支出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；经营支出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；对附属单位补助支出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w:t>
      </w:r>
      <w:bookmarkEnd w:id="42"/>
    </w:p>
    <w:p>
      <w:pPr>
        <w:spacing w:line="600" w:lineRule="exact"/>
        <w:rPr>
          <w:rFonts w:ascii="仿宋" w:hAnsi="仿宋" w:eastAsia="仿宋"/>
          <w:color w:val="000000"/>
          <w:sz w:val="32"/>
          <w:szCs w:val="32"/>
          <w:shd w:val="pct10" w:color="auto" w:fill="FFFFFF"/>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pStyle w:val="2"/>
        <w:ind w:left="0" w:leftChars="0" w:firstLine="0" w:firstLineChars="0"/>
        <w:rPr>
          <w:rFonts w:ascii="仿宋" w:hAnsi="仿宋" w:eastAsia="仿宋"/>
          <w:color w:val="000000"/>
          <w:sz w:val="32"/>
          <w:szCs w:val="32"/>
        </w:rPr>
      </w:pPr>
      <w:r>
        <w:drawing>
          <wp:inline distT="0" distB="0" distL="114300" distR="114300">
            <wp:extent cx="5268595" cy="27216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tretch>
                      <a:fillRect/>
                    </a:stretch>
                  </pic:blipFill>
                  <pic:spPr>
                    <a:xfrm>
                      <a:off x="0" y="0"/>
                      <a:ext cx="5268595" cy="2721610"/>
                    </a:xfrm>
                    <a:prstGeom prst="rect">
                      <a:avLst/>
                    </a:prstGeom>
                    <a:noFill/>
                    <a:ln w="9525">
                      <a:noFill/>
                    </a:ln>
                  </pic:spPr>
                </pic:pic>
              </a:graphicData>
            </a:graphic>
          </wp:inline>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3</w:t>
      </w:r>
      <w:r>
        <w:rPr>
          <w:rFonts w:hint="eastAsia" w:ascii="仿宋" w:hAnsi="仿宋" w:eastAsia="仿宋"/>
          <w:color w:val="000000"/>
          <w:sz w:val="32"/>
          <w:szCs w:val="32"/>
        </w:rPr>
        <w:t>：支出决算结构图）（饼状图）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outlineLvl w:val="1"/>
        <w:rPr>
          <w:rStyle w:val="19"/>
          <w:rFonts w:ascii="黑体" w:hAnsi="黑体" w:eastAsia="黑体"/>
          <w:b w:val="0"/>
        </w:rPr>
      </w:pPr>
      <w:bookmarkStart w:id="43" w:name="_Toc15396606"/>
      <w:bookmarkStart w:id="44" w:name="_Toc15377208"/>
      <w:bookmarkStart w:id="45" w:name="_Toc82594977"/>
      <w:r>
        <w:rPr>
          <w:rFonts w:hint="eastAsia" w:ascii="黑体" w:hAnsi="黑体" w:eastAsia="黑体"/>
          <w:color w:val="000000"/>
          <w:sz w:val="32"/>
          <w:szCs w:val="32"/>
        </w:rPr>
        <w:t>四、财</w:t>
      </w:r>
      <w:r>
        <w:rPr>
          <w:rStyle w:val="19"/>
          <w:rFonts w:hint="eastAsia" w:ascii="黑体" w:hAnsi="黑体" w:eastAsia="黑体"/>
          <w:b w:val="0"/>
        </w:rPr>
        <w:t>政拨款收入支出决算总体情况说明</w:t>
      </w:r>
      <w:bookmarkEnd w:id="43"/>
      <w:bookmarkEnd w:id="44"/>
      <w:bookmarkEnd w:id="4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年财政拨款收、支总计分别2,262.08万元、2,232.08万元。与</w:t>
      </w:r>
      <w:r>
        <w:rPr>
          <w:rFonts w:ascii="仿宋" w:hAnsi="仿宋" w:eastAsia="仿宋"/>
          <w:color w:val="000000"/>
          <w:sz w:val="32"/>
          <w:szCs w:val="32"/>
        </w:rPr>
        <w:t>2019</w:t>
      </w:r>
      <w:r>
        <w:rPr>
          <w:rFonts w:hint="eastAsia" w:ascii="仿宋" w:hAnsi="仿宋" w:eastAsia="仿宋"/>
          <w:color w:val="000000"/>
          <w:sz w:val="32"/>
          <w:szCs w:val="32"/>
        </w:rPr>
        <w:t>年相比，财政拨款收、支总计各增加96.78万元、38.64万元，增长4.47</w:t>
      </w:r>
      <w:r>
        <w:rPr>
          <w:rFonts w:ascii="仿宋" w:hAnsi="仿宋" w:eastAsia="仿宋"/>
          <w:color w:val="000000"/>
          <w:sz w:val="32"/>
          <w:szCs w:val="32"/>
        </w:rPr>
        <w:t>%</w:t>
      </w:r>
      <w:r>
        <w:rPr>
          <w:rFonts w:hint="eastAsia" w:ascii="仿宋" w:hAnsi="仿宋" w:eastAsia="仿宋"/>
          <w:color w:val="000000"/>
          <w:sz w:val="32"/>
          <w:szCs w:val="32"/>
        </w:rPr>
        <w:t>、1.76%。主要变动原因是新增人员支出增加，</w:t>
      </w:r>
      <w:r>
        <w:rPr>
          <w:rFonts w:eastAsia="方正仿宋_GBK"/>
          <w:color w:val="000000"/>
          <w:sz w:val="33"/>
          <w:szCs w:val="33"/>
        </w:rPr>
        <w:t>20</w:t>
      </w:r>
      <w:r>
        <w:rPr>
          <w:rFonts w:hint="eastAsia" w:eastAsia="方正仿宋_GBK"/>
          <w:color w:val="000000"/>
          <w:sz w:val="33"/>
          <w:szCs w:val="33"/>
        </w:rPr>
        <w:t>20</w:t>
      </w:r>
      <w:r>
        <w:rPr>
          <w:rFonts w:eastAsia="方正仿宋_GBK"/>
          <w:color w:val="000000"/>
          <w:sz w:val="33"/>
          <w:szCs w:val="33"/>
        </w:rPr>
        <w:t>年老干部专项工作增加</w:t>
      </w:r>
      <w:r>
        <w:rPr>
          <w:rFonts w:hint="eastAsia" w:eastAsia="方正仿宋_GBK"/>
          <w:color w:val="000000"/>
          <w:sz w:val="33"/>
          <w:szCs w:val="33"/>
        </w:rPr>
        <w:t>支出增加</w:t>
      </w:r>
      <w:r>
        <w:rPr>
          <w:rFonts w:hint="eastAsia" w:ascii="仿宋" w:hAnsi="仿宋" w:eastAsia="仿宋"/>
          <w:color w:val="000000"/>
          <w:sz w:val="32"/>
          <w:szCs w:val="32"/>
        </w:rPr>
        <w:t>。</w:t>
      </w:r>
    </w:p>
    <w:p>
      <w:pPr>
        <w:spacing w:line="600" w:lineRule="exact"/>
        <w:rPr>
          <w:rFonts w:ascii="仿宋" w:hAnsi="仿宋" w:eastAsia="仿宋"/>
          <w:color w:val="000000"/>
          <w:sz w:val="32"/>
          <w:szCs w:val="32"/>
        </w:rPr>
      </w:pPr>
    </w:p>
    <w:p>
      <w:pPr>
        <w:spacing w:line="600" w:lineRule="exact"/>
        <w:rPr>
          <w:rFonts w:ascii="仿宋" w:hAnsi="仿宋" w:eastAsia="仿宋"/>
          <w:color w:val="000000"/>
          <w:sz w:val="32"/>
          <w:szCs w:val="32"/>
        </w:rPr>
      </w:pPr>
    </w:p>
    <w:p>
      <w:pPr>
        <w:spacing w:line="600" w:lineRule="exact"/>
        <w:rPr>
          <w:rFonts w:ascii="仿宋" w:hAnsi="仿宋" w:eastAsia="仿宋"/>
          <w:color w:val="000000"/>
          <w:sz w:val="32"/>
          <w:szCs w:val="32"/>
        </w:rPr>
      </w:pPr>
    </w:p>
    <w:p>
      <w:pPr>
        <w:spacing w:line="600" w:lineRule="exact"/>
        <w:rPr>
          <w:rFonts w:ascii="仿宋" w:hAnsi="仿宋" w:eastAsia="仿宋"/>
          <w:color w:val="000000"/>
          <w:sz w:val="32"/>
          <w:szCs w:val="32"/>
        </w:rPr>
      </w:pPr>
    </w:p>
    <w:p>
      <w:pPr>
        <w:pStyle w:val="2"/>
        <w:rPr>
          <w:rFonts w:ascii="仿宋" w:hAnsi="仿宋" w:eastAsia="仿宋"/>
          <w:color w:val="000000"/>
          <w:sz w:val="32"/>
          <w:szCs w:val="32"/>
        </w:rPr>
      </w:pPr>
      <w:r>
        <w:drawing>
          <wp:anchor distT="0" distB="0" distL="114300" distR="114300" simplePos="0" relativeHeight="251659264" behindDoc="1" locked="0" layoutInCell="1" allowOverlap="1">
            <wp:simplePos x="0" y="0"/>
            <wp:positionH relativeFrom="column">
              <wp:posOffset>-7620</wp:posOffset>
            </wp:positionH>
            <wp:positionV relativeFrom="paragraph">
              <wp:posOffset>337185</wp:posOffset>
            </wp:positionV>
            <wp:extent cx="5268595" cy="2619375"/>
            <wp:effectExtent l="0" t="0" r="0" b="0"/>
            <wp:wrapTight wrapText="bothSides">
              <wp:wrapPolygon>
                <wp:start x="125" y="503"/>
                <wp:lineTo x="125" y="21239"/>
                <wp:lineTo x="21431" y="21239"/>
                <wp:lineTo x="21431" y="503"/>
                <wp:lineTo x="125" y="503"/>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5268595" cy="2619375"/>
                    </a:xfrm>
                    <a:prstGeom prst="rect">
                      <a:avLst/>
                    </a:prstGeom>
                    <a:noFill/>
                    <a:ln w="9525">
                      <a:noFill/>
                    </a:ln>
                  </pic:spPr>
                </pic:pic>
              </a:graphicData>
            </a:graphic>
          </wp:anchor>
        </w:drawing>
      </w:r>
    </w:p>
    <w:p>
      <w:pPr>
        <w:spacing w:line="600" w:lineRule="exact"/>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4</w:t>
      </w:r>
      <w:r>
        <w:rPr>
          <w:rFonts w:hint="eastAsia" w:ascii="仿宋" w:hAnsi="仿宋" w:eastAsia="仿宋"/>
          <w:color w:val="000000"/>
          <w:sz w:val="32"/>
          <w:szCs w:val="32"/>
        </w:rPr>
        <w:t>：财政拨款收、支决算总计变动情况）（柱状图）</w:t>
      </w: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Style w:val="19"/>
          <w:rFonts w:ascii="黑体" w:hAnsi="黑体" w:eastAsia="黑体"/>
          <w:b w:val="0"/>
        </w:rPr>
      </w:pPr>
      <w:bookmarkStart w:id="46" w:name="_Toc15377209"/>
      <w:bookmarkStart w:id="47" w:name="_Toc15396607"/>
      <w:bookmarkStart w:id="48" w:name="_Toc82594978"/>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9"/>
          <w:rFonts w:hint="eastAsia" w:ascii="黑体" w:hAnsi="黑体" w:eastAsia="黑体"/>
          <w:b w:val="0"/>
        </w:rPr>
        <w:t>般公共预算财政拨款支出决算情况说明</w:t>
      </w:r>
      <w:bookmarkEnd w:id="46"/>
      <w:bookmarkEnd w:id="47"/>
      <w:bookmarkEnd w:id="48"/>
    </w:p>
    <w:p>
      <w:pPr>
        <w:spacing w:line="600" w:lineRule="exact"/>
        <w:ind w:firstLine="643" w:firstLineChars="200"/>
        <w:outlineLvl w:val="2"/>
        <w:rPr>
          <w:rFonts w:ascii="仿宋" w:hAnsi="仿宋" w:eastAsia="仿宋"/>
          <w:b/>
          <w:color w:val="000000"/>
          <w:sz w:val="32"/>
          <w:szCs w:val="32"/>
        </w:rPr>
      </w:pPr>
      <w:bookmarkStart w:id="49" w:name="_Toc15377210"/>
      <w:bookmarkStart w:id="50" w:name="_Toc82594979"/>
      <w:r>
        <w:rPr>
          <w:rFonts w:hint="eastAsia" w:ascii="仿宋" w:hAnsi="仿宋" w:eastAsia="仿宋"/>
          <w:b/>
          <w:color w:val="000000"/>
          <w:sz w:val="32"/>
          <w:szCs w:val="32"/>
        </w:rPr>
        <w:t>（一）一般公共预算财政拨款支出决算总体情况</w:t>
      </w:r>
      <w:bookmarkEnd w:id="49"/>
      <w:bookmarkEnd w:id="50"/>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年一般公共预算财政拨款支出2191.55万元，占本年支出合计的98.19</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2019</w:t>
      </w:r>
      <w:r>
        <w:rPr>
          <w:rFonts w:hint="eastAsia" w:ascii="仿宋" w:hAnsi="仿宋" w:eastAsia="仿宋"/>
          <w:color w:val="000000"/>
          <w:sz w:val="32"/>
          <w:szCs w:val="32"/>
        </w:rPr>
        <w:t>年相比，一般公共预算财政拨款增加47.89万元，增长2.23</w:t>
      </w:r>
      <w:r>
        <w:rPr>
          <w:rFonts w:ascii="仿宋" w:hAnsi="仿宋" w:eastAsia="仿宋"/>
          <w:color w:val="000000"/>
          <w:sz w:val="32"/>
          <w:szCs w:val="32"/>
        </w:rPr>
        <w:t>%</w:t>
      </w:r>
      <w:r>
        <w:rPr>
          <w:rFonts w:hint="eastAsia" w:ascii="仿宋" w:hAnsi="仿宋" w:eastAsia="仿宋"/>
          <w:color w:val="000000"/>
          <w:sz w:val="32"/>
          <w:szCs w:val="32"/>
        </w:rPr>
        <w:t>。主要变动原因是人员增加，专项工作增加，支出费用增加。</w:t>
      </w:r>
    </w:p>
    <w:p>
      <w:pPr>
        <w:spacing w:line="600" w:lineRule="exact"/>
        <w:ind w:firstLine="640" w:firstLineChars="200"/>
        <w:rPr>
          <w:rFonts w:ascii="仿宋" w:hAnsi="仿宋" w:eastAsia="仿宋"/>
          <w:color w:val="000000"/>
          <w:sz w:val="32"/>
          <w:szCs w:val="32"/>
        </w:rPr>
      </w:pPr>
    </w:p>
    <w:p>
      <w:pPr>
        <w:pStyle w:val="2"/>
        <w:ind w:firstLine="640"/>
        <w:rPr>
          <w:rFonts w:ascii="仿宋" w:hAnsi="仿宋" w:eastAsia="仿宋"/>
          <w:color w:val="000000"/>
          <w:sz w:val="32"/>
          <w:szCs w:val="32"/>
        </w:rPr>
      </w:pPr>
    </w:p>
    <w:p>
      <w:pPr>
        <w:pStyle w:val="2"/>
        <w:ind w:left="0" w:leftChars="0" w:firstLine="0" w:firstLineChars="0"/>
        <w:rPr>
          <w:rFonts w:ascii="仿宋" w:hAnsi="仿宋" w:eastAsia="仿宋"/>
          <w:color w:val="000000"/>
          <w:sz w:val="32"/>
          <w:szCs w:val="32"/>
        </w:rPr>
      </w:pPr>
      <w:r>
        <w:drawing>
          <wp:inline distT="0" distB="0" distL="114300" distR="114300">
            <wp:extent cx="5268595" cy="27158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5268595" cy="2715895"/>
                    </a:xfrm>
                    <a:prstGeom prst="rect">
                      <a:avLst/>
                    </a:prstGeom>
                    <a:noFill/>
                    <a:ln w="9525">
                      <a:noFill/>
                    </a:ln>
                  </pic:spPr>
                </pic:pic>
              </a:graphicData>
            </a:graphic>
          </wp:inline>
        </w:drawing>
      </w:r>
    </w:p>
    <w:p>
      <w:pPr>
        <w:pStyle w:val="2"/>
        <w:ind w:firstLine="64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5</w:t>
      </w:r>
      <w:r>
        <w:rPr>
          <w:rFonts w:hint="eastAsia" w:ascii="仿宋" w:hAnsi="仿宋" w:eastAsia="仿宋"/>
          <w:color w:val="000000"/>
          <w:sz w:val="32"/>
          <w:szCs w:val="32"/>
        </w:rPr>
        <w:t>：一般公共预算财政拨款支出决算变动情况）（柱状图）</w:t>
      </w:r>
    </w:p>
    <w:p>
      <w:pPr>
        <w:spacing w:line="600" w:lineRule="exact"/>
        <w:ind w:firstLine="640" w:firstLineChars="200"/>
        <w:rPr>
          <w:rFonts w:ascii="仿宋" w:hAnsi="仿宋" w:eastAsia="仿宋"/>
          <w:color w:val="000000"/>
          <w:sz w:val="32"/>
          <w:szCs w:val="32"/>
        </w:rPr>
      </w:pPr>
    </w:p>
    <w:p>
      <w:pPr>
        <w:spacing w:line="600" w:lineRule="exact"/>
        <w:ind w:firstLine="643" w:firstLineChars="200"/>
        <w:outlineLvl w:val="2"/>
        <w:rPr>
          <w:rFonts w:ascii="仿宋" w:hAnsi="仿宋" w:eastAsia="仿宋"/>
          <w:b/>
          <w:color w:val="000000"/>
          <w:sz w:val="32"/>
          <w:szCs w:val="32"/>
        </w:rPr>
      </w:pPr>
      <w:bookmarkStart w:id="51" w:name="_Toc15377211"/>
      <w:bookmarkStart w:id="52" w:name="_Toc82594980"/>
      <w:r>
        <w:rPr>
          <w:rFonts w:hint="eastAsia" w:ascii="仿宋" w:hAnsi="仿宋" w:eastAsia="仿宋"/>
          <w:b/>
          <w:color w:val="000000"/>
          <w:sz w:val="32"/>
          <w:szCs w:val="32"/>
        </w:rPr>
        <w:t>（二）一般公共预算财政拨款支出决算结构情况</w:t>
      </w:r>
      <w:bookmarkEnd w:id="51"/>
      <w:bookmarkEnd w:id="52"/>
    </w:p>
    <w:p>
      <w:pPr>
        <w:spacing w:line="600" w:lineRule="exact"/>
        <w:ind w:firstLine="640"/>
        <w:rPr>
          <w:rFonts w:ascii="仿宋" w:hAnsi="仿宋" w:eastAsia="仿宋"/>
          <w:b/>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年一般公共预算财政拨款支出2,191.57万元，主要用于以下方面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支出1,875.99万元，；</w:t>
      </w:r>
      <w:r>
        <w:rPr>
          <w:rFonts w:hint="eastAsia" w:ascii="仿宋" w:hAnsi="仿宋" w:eastAsia="仿宋"/>
          <w:b/>
          <w:color w:val="000000"/>
          <w:sz w:val="32"/>
          <w:szCs w:val="32"/>
        </w:rPr>
        <w:t>教育支出（类）</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w:t>
      </w:r>
      <w:r>
        <w:rPr>
          <w:rFonts w:hint="eastAsia" w:ascii="仿宋" w:hAnsi="仿宋" w:eastAsia="仿宋"/>
          <w:b/>
          <w:color w:val="000000"/>
          <w:sz w:val="32"/>
          <w:szCs w:val="32"/>
        </w:rPr>
        <w:t>科学技术（类）</w:t>
      </w:r>
      <w:r>
        <w:rPr>
          <w:rFonts w:hint="eastAsia" w:ascii="仿宋" w:hAnsi="仿宋" w:eastAsia="仿宋"/>
          <w:color w:val="000000"/>
          <w:sz w:val="32"/>
          <w:szCs w:val="32"/>
        </w:rPr>
        <w:t>支出</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w:t>
      </w:r>
      <w:r>
        <w:rPr>
          <w:rFonts w:hint="eastAsia" w:ascii="仿宋" w:hAnsi="仿宋" w:eastAsia="仿宋"/>
          <w:b/>
          <w:bCs/>
          <w:color w:val="000000"/>
          <w:sz w:val="32"/>
          <w:szCs w:val="32"/>
        </w:rPr>
        <w:t>文化旅游体育与传媒（类）支出</w:t>
      </w:r>
      <w:r>
        <w:rPr>
          <w:rFonts w:ascii="仿宋" w:hAnsi="仿宋" w:eastAsia="仿宋"/>
          <w:b/>
          <w:bCs/>
          <w:color w:val="000000"/>
          <w:sz w:val="32"/>
          <w:szCs w:val="32"/>
        </w:rPr>
        <w:t>0</w:t>
      </w:r>
      <w:r>
        <w:rPr>
          <w:rFonts w:hint="eastAsia" w:ascii="仿宋" w:hAnsi="仿宋" w:eastAsia="仿宋"/>
          <w:b/>
          <w:bCs/>
          <w:color w:val="000000"/>
          <w:sz w:val="32"/>
          <w:szCs w:val="32"/>
        </w:rPr>
        <w:t>万元，占</w:t>
      </w:r>
      <w:r>
        <w:rPr>
          <w:rFonts w:ascii="仿宋" w:hAnsi="仿宋" w:eastAsia="仿宋"/>
          <w:b/>
          <w:bCs/>
          <w:color w:val="000000"/>
          <w:sz w:val="32"/>
          <w:szCs w:val="32"/>
        </w:rPr>
        <w:t>0%</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支出189.88万元；</w:t>
      </w:r>
      <w:r>
        <w:rPr>
          <w:rFonts w:hint="eastAsia" w:ascii="仿宋" w:hAnsi="仿宋" w:eastAsia="仿宋"/>
          <w:b/>
          <w:bCs/>
          <w:color w:val="000000"/>
          <w:sz w:val="32"/>
          <w:szCs w:val="32"/>
        </w:rPr>
        <w:t>卫生健康支出</w:t>
      </w:r>
      <w:r>
        <w:rPr>
          <w:rFonts w:hint="eastAsia" w:ascii="仿宋" w:hAnsi="仿宋" w:eastAsia="仿宋"/>
          <w:color w:val="000000"/>
          <w:sz w:val="32"/>
          <w:szCs w:val="32"/>
        </w:rPr>
        <w:t>1</w:t>
      </w:r>
      <w:r>
        <w:rPr>
          <w:rFonts w:ascii="仿宋" w:hAnsi="仿宋" w:eastAsia="仿宋"/>
          <w:color w:val="000000"/>
          <w:sz w:val="32"/>
          <w:szCs w:val="32"/>
        </w:rPr>
        <w:t>25.7</w:t>
      </w:r>
      <w:r>
        <w:rPr>
          <w:rFonts w:hint="eastAsia" w:ascii="仿宋" w:hAnsi="仿宋" w:eastAsia="仿宋"/>
          <w:color w:val="000000"/>
          <w:sz w:val="32"/>
          <w:szCs w:val="32"/>
        </w:rPr>
        <w:t>万元；住房保障支出125.7万元，占</w:t>
      </w:r>
      <w:r>
        <w:rPr>
          <w:rFonts w:ascii="仿宋" w:hAnsi="仿宋" w:eastAsia="仿宋"/>
          <w:color w:val="000000"/>
          <w:sz w:val="32"/>
          <w:szCs w:val="32"/>
        </w:rPr>
        <w:t>0%</w:t>
      </w:r>
      <w:r>
        <w:rPr>
          <w:rFonts w:hint="eastAsia" w:ascii="仿宋" w:hAnsi="仿宋" w:eastAsia="仿宋"/>
          <w:color w:val="000000"/>
          <w:sz w:val="32"/>
          <w:szCs w:val="32"/>
        </w:rPr>
        <w:t>。</w:t>
      </w:r>
    </w:p>
    <w:p>
      <w:pPr>
        <w:spacing w:line="600" w:lineRule="exact"/>
        <w:ind w:firstLine="64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0288" behindDoc="0" locked="0" layoutInCell="1" allowOverlap="1">
            <wp:simplePos x="0" y="0"/>
            <wp:positionH relativeFrom="column">
              <wp:posOffset>-99060</wp:posOffset>
            </wp:positionH>
            <wp:positionV relativeFrom="paragraph">
              <wp:posOffset>38100</wp:posOffset>
            </wp:positionV>
            <wp:extent cx="5273675" cy="2660015"/>
            <wp:effectExtent l="0" t="0" r="0" b="0"/>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1"/>
                    <a:stretch>
                      <a:fillRect/>
                    </a:stretch>
                  </pic:blipFill>
                  <pic:spPr>
                    <a:xfrm>
                      <a:off x="0" y="0"/>
                      <a:ext cx="5273675" cy="2660015"/>
                    </a:xfrm>
                    <a:prstGeom prst="rect">
                      <a:avLst/>
                    </a:prstGeom>
                    <a:noFill/>
                    <a:ln w="9525">
                      <a:noFill/>
                    </a:ln>
                  </pic:spPr>
                </pic:pic>
              </a:graphicData>
            </a:graphic>
          </wp:anchor>
        </w:drawing>
      </w:r>
    </w:p>
    <w:p>
      <w:pPr>
        <w:spacing w:line="600" w:lineRule="exact"/>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6</w:t>
      </w:r>
      <w:r>
        <w:rPr>
          <w:rFonts w:hint="eastAsia" w:ascii="仿宋" w:hAnsi="仿宋" w:eastAsia="仿宋"/>
          <w:color w:val="000000"/>
          <w:sz w:val="32"/>
          <w:szCs w:val="32"/>
        </w:rPr>
        <w:t>：一般公共预算财政拨款支出决算结构）（饼状图）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3" w:firstLineChars="200"/>
        <w:outlineLvl w:val="2"/>
        <w:rPr>
          <w:rFonts w:ascii="仿宋" w:hAnsi="仿宋" w:eastAsia="仿宋"/>
          <w:b/>
          <w:color w:val="000000"/>
          <w:sz w:val="32"/>
          <w:szCs w:val="32"/>
        </w:rPr>
      </w:pPr>
      <w:bookmarkStart w:id="53" w:name="_Toc82594981"/>
      <w:bookmarkStart w:id="54" w:name="_Toc15377212"/>
      <w:r>
        <w:rPr>
          <w:rFonts w:hint="eastAsia" w:ascii="仿宋" w:hAnsi="仿宋" w:eastAsia="仿宋"/>
          <w:b/>
          <w:color w:val="000000"/>
          <w:sz w:val="32"/>
          <w:szCs w:val="32"/>
        </w:rPr>
        <w:t>（三）一般公共预算财政拨款支出决算具体情况</w:t>
      </w:r>
      <w:bookmarkEnd w:id="53"/>
      <w:bookmarkEnd w:id="54"/>
    </w:p>
    <w:p>
      <w:pPr>
        <w:spacing w:line="600" w:lineRule="exact"/>
        <w:ind w:firstLine="643" w:firstLineChars="200"/>
        <w:outlineLvl w:val="2"/>
        <w:rPr>
          <w:rFonts w:ascii="仿宋" w:hAnsi="仿宋" w:eastAsia="仿宋"/>
          <w:color w:val="FF0000"/>
          <w:sz w:val="32"/>
          <w:szCs w:val="32"/>
        </w:rPr>
      </w:pPr>
      <w:bookmarkStart w:id="55" w:name="_Toc82594982"/>
      <w:bookmarkStart w:id="56" w:name="_Toc15377213"/>
      <w:bookmarkStart w:id="57" w:name="_Toc15378460"/>
      <w:bookmarkStart w:id="58" w:name="_Toc15377444"/>
      <w:r>
        <w:rPr>
          <w:rFonts w:ascii="仿宋" w:hAnsi="仿宋" w:eastAsia="仿宋"/>
          <w:b/>
          <w:color w:val="000000"/>
          <w:sz w:val="32"/>
          <w:szCs w:val="32"/>
        </w:rPr>
        <w:t>2020</w:t>
      </w:r>
      <w:r>
        <w:rPr>
          <w:rFonts w:hint="eastAsia" w:ascii="仿宋" w:hAnsi="仿宋" w:eastAsia="仿宋"/>
          <w:b/>
          <w:color w:val="000000"/>
          <w:sz w:val="32"/>
          <w:szCs w:val="32"/>
        </w:rPr>
        <w:t>年一般公共预算支出决算数为2191.57万元</w:t>
      </w:r>
      <w:r>
        <w:rPr>
          <w:rFonts w:hint="eastAsia" w:ascii="仿宋" w:hAnsi="仿宋" w:eastAsia="仿宋"/>
          <w:color w:val="000000"/>
          <w:sz w:val="32"/>
          <w:szCs w:val="32"/>
        </w:rPr>
        <w:t>，</w:t>
      </w:r>
      <w:r>
        <w:rPr>
          <w:rStyle w:val="16"/>
          <w:rFonts w:hint="eastAsia" w:ascii="仿宋" w:hAnsi="仿宋" w:eastAsia="仿宋"/>
          <w:bCs/>
          <w:color w:val="000000"/>
          <w:sz w:val="32"/>
          <w:szCs w:val="32"/>
        </w:rPr>
        <w:t>完成预算100</w:t>
      </w:r>
      <w:r>
        <w:rPr>
          <w:rStyle w:val="16"/>
          <w:rFonts w:ascii="仿宋" w:hAnsi="仿宋" w:eastAsia="仿宋"/>
          <w:bCs/>
          <w:color w:val="000000"/>
          <w:sz w:val="32"/>
          <w:szCs w:val="32"/>
        </w:rPr>
        <w:t>%</w:t>
      </w:r>
      <w:r>
        <w:rPr>
          <w:rStyle w:val="16"/>
          <w:rFonts w:hint="eastAsia" w:ascii="仿宋" w:hAnsi="仿宋" w:eastAsia="仿宋"/>
          <w:bCs/>
          <w:color w:val="000000"/>
          <w:sz w:val="32"/>
          <w:szCs w:val="32"/>
        </w:rPr>
        <w:t>。其中：</w:t>
      </w:r>
      <w:bookmarkEnd w:id="55"/>
      <w:bookmarkEnd w:id="56"/>
      <w:bookmarkEnd w:id="57"/>
      <w:bookmarkEnd w:id="58"/>
    </w:p>
    <w:p>
      <w:pPr>
        <w:spacing w:line="600" w:lineRule="exact"/>
        <w:ind w:firstLine="643" w:firstLineChars="200"/>
        <w:rPr>
          <w:rFonts w:ascii="仿宋" w:hAnsi="仿宋" w:eastAsia="仿宋"/>
          <w:b/>
          <w:color w:val="000000"/>
          <w:sz w:val="32"/>
          <w:szCs w:val="32"/>
        </w:rPr>
      </w:pPr>
      <w:r>
        <w:rPr>
          <w:rStyle w:val="16"/>
          <w:rFonts w:ascii="仿宋" w:hAnsi="仿宋" w:eastAsia="仿宋"/>
          <w:bCs/>
          <w:color w:val="000000"/>
          <w:sz w:val="32"/>
          <w:szCs w:val="32"/>
        </w:rPr>
        <w:t>1.</w:t>
      </w:r>
      <w:r>
        <w:rPr>
          <w:rStyle w:val="16"/>
          <w:rFonts w:hint="eastAsia" w:ascii="仿宋" w:hAnsi="仿宋" w:eastAsia="仿宋"/>
          <w:bCs/>
          <w:color w:val="000000"/>
          <w:sz w:val="32"/>
          <w:szCs w:val="32"/>
        </w:rPr>
        <w:t>一般公共服务组织事务支出</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支出决算为1875.99万元，完成预算99.99</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，决算数小于预算数的主要原因是一般公共预算支出预算数0.18万元尾数收整。</w:t>
      </w:r>
    </w:p>
    <w:p>
      <w:pPr>
        <w:spacing w:line="600" w:lineRule="exact"/>
        <w:ind w:firstLine="643" w:firstLineChars="200"/>
        <w:rPr>
          <w:rFonts w:ascii="仿宋" w:hAnsi="仿宋" w:eastAsia="仿宋"/>
          <w:b/>
          <w:color w:val="000000"/>
          <w:sz w:val="32"/>
          <w:szCs w:val="32"/>
        </w:rPr>
      </w:pPr>
      <w:r>
        <w:rPr>
          <w:rStyle w:val="16"/>
          <w:rFonts w:ascii="仿宋" w:hAnsi="仿宋" w:eastAsia="仿宋"/>
          <w:bCs/>
          <w:color w:val="000000"/>
          <w:sz w:val="32"/>
          <w:szCs w:val="32"/>
        </w:rPr>
        <w:t>2.</w:t>
      </w:r>
      <w:r>
        <w:rPr>
          <w:rStyle w:val="16"/>
          <w:rFonts w:hint="eastAsia" w:ascii="仿宋" w:hAnsi="仿宋" w:eastAsia="仿宋"/>
          <w:bCs/>
          <w:color w:val="000000"/>
          <w:sz w:val="32"/>
          <w:szCs w:val="32"/>
        </w:rPr>
        <w:t>社会保障和就业支出</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支出决算为189.88万元，完成预算100</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pStyle w:val="2"/>
        <w:ind w:left="0" w:leftChars="0" w:firstLine="0" w:firstLineChars="0"/>
      </w:pPr>
      <w:r>
        <w:rPr>
          <w:rStyle w:val="16"/>
          <w:rFonts w:hint="eastAsia" w:ascii="仿宋" w:hAnsi="仿宋" w:eastAsia="仿宋"/>
          <w:bCs/>
          <w:color w:val="000000"/>
          <w:sz w:val="32"/>
          <w:szCs w:val="32"/>
          <w:lang w:val="en-US" w:eastAsia="zh-CN"/>
        </w:rPr>
        <w:t xml:space="preserve">    </w:t>
      </w:r>
      <w:r>
        <w:rPr>
          <w:rStyle w:val="16"/>
          <w:rFonts w:ascii="仿宋" w:hAnsi="仿宋" w:eastAsia="仿宋"/>
          <w:bCs/>
          <w:color w:val="000000"/>
          <w:sz w:val="32"/>
          <w:szCs w:val="32"/>
        </w:rPr>
        <w:t>3.</w:t>
      </w:r>
      <w:r>
        <w:rPr>
          <w:rStyle w:val="16"/>
          <w:rFonts w:eastAsia="方正仿宋_GBK"/>
          <w:color w:val="000000"/>
          <w:sz w:val="33"/>
          <w:szCs w:val="33"/>
        </w:rPr>
        <w:t>住房保障支出:</w:t>
      </w:r>
      <w:r>
        <w:rPr>
          <w:rFonts w:hint="eastAsia" w:eastAsia="方正仿宋_GBK"/>
          <w:color w:val="000000"/>
          <w:sz w:val="33"/>
          <w:szCs w:val="33"/>
        </w:rPr>
        <w:t>支出</w:t>
      </w:r>
      <w:r>
        <w:rPr>
          <w:rFonts w:eastAsia="方正仿宋_GBK"/>
          <w:color w:val="000000"/>
          <w:sz w:val="33"/>
          <w:szCs w:val="33"/>
        </w:rPr>
        <w:t>决算数为</w:t>
      </w:r>
      <w:r>
        <w:rPr>
          <w:rFonts w:hint="eastAsia" w:eastAsia="方正仿宋_GBK"/>
          <w:color w:val="000000"/>
          <w:sz w:val="33"/>
          <w:szCs w:val="33"/>
        </w:rPr>
        <w:t>125.7</w:t>
      </w:r>
      <w:r>
        <w:rPr>
          <w:rFonts w:eastAsia="方正仿宋_GBK"/>
          <w:color w:val="000000"/>
          <w:sz w:val="33"/>
          <w:szCs w:val="33"/>
        </w:rPr>
        <w:t>万元，完成预算100%</w:t>
      </w:r>
      <w:r>
        <w:rPr>
          <w:rFonts w:hint="eastAsia" w:eastAsia="方正仿宋_GBK"/>
          <w:color w:val="000000"/>
          <w:sz w:val="33"/>
          <w:szCs w:val="33"/>
        </w:rPr>
        <w:t>，</w:t>
      </w:r>
      <w:r>
        <w:rPr>
          <w:rStyle w:val="16"/>
          <w:rFonts w:hint="eastAsia" w:eastAsia="仿宋"/>
          <w:b w:val="0"/>
          <w:bCs/>
          <w:color w:val="000000"/>
          <w:sz w:val="32"/>
          <w:szCs w:val="32"/>
        </w:rPr>
        <w:t>决算数等于预算数</w:t>
      </w:r>
      <w:r>
        <w:rPr>
          <w:rFonts w:eastAsia="方正仿宋_GBK"/>
          <w:color w:val="000000"/>
          <w:sz w:val="33"/>
          <w:szCs w:val="33"/>
        </w:rPr>
        <w:t>。</w:t>
      </w:r>
    </w:p>
    <w:p>
      <w:pPr>
        <w:tabs>
          <w:tab w:val="right" w:pos="8306"/>
        </w:tabs>
        <w:spacing w:line="600" w:lineRule="exact"/>
        <w:ind w:firstLine="640"/>
        <w:outlineLvl w:val="1"/>
        <w:rPr>
          <w:rStyle w:val="19"/>
        </w:rPr>
      </w:pPr>
      <w:bookmarkStart w:id="59" w:name="_Toc15377214"/>
      <w:bookmarkStart w:id="60" w:name="_Toc82594983"/>
      <w:bookmarkStart w:id="61"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9"/>
          <w:rFonts w:hint="eastAsia" w:ascii="黑体" w:hAnsi="黑体" w:eastAsia="黑体"/>
          <w:b w:val="0"/>
        </w:rPr>
        <w:t>般公共预算财政拨款基本支出决算情况说明</w:t>
      </w:r>
      <w:bookmarkEnd w:id="59"/>
      <w:bookmarkEnd w:id="60"/>
      <w:bookmarkEnd w:id="61"/>
      <w:r>
        <w:rPr>
          <w:rStyle w:val="19"/>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年一般公共预算财政拨款基本支出1690.89万元，其中：</w:t>
      </w:r>
    </w:p>
    <w:p>
      <w:pPr>
        <w:spacing w:line="600" w:lineRule="exact"/>
        <w:ind w:firstLine="645"/>
        <w:rPr>
          <w:rFonts w:ascii="仿宋" w:hAnsi="仿宋" w:eastAsia="仿宋"/>
          <w:b/>
          <w:color w:val="FF0000"/>
          <w:sz w:val="32"/>
          <w:szCs w:val="32"/>
        </w:rPr>
      </w:pPr>
      <w:r>
        <w:rPr>
          <w:rFonts w:hint="eastAsia" w:ascii="仿宋" w:hAnsi="仿宋" w:eastAsia="仿宋"/>
          <w:color w:val="000000"/>
          <w:sz w:val="32"/>
          <w:szCs w:val="32"/>
        </w:rPr>
        <w:t>人员经费1535.67万元，主要包括：基本工资339.06万元、津贴补贴711.62万元、奖金、伙食补助费、绩效工资1.3万元、机关事业单位基本养老保险缴费102.81万元、职业年金缴费、其他社会保障缴费46.4万元、其他工资福利支出36.79万元、离休费、退休费、抚恤金、生活补助、医疗费补助97.73万元、奖励金、住房公积金125.7万元、其他对个人和家庭的补助支出等74.26万元。</w:t>
      </w:r>
      <w:r>
        <w:rPr>
          <w:rFonts w:ascii="仿宋" w:hAnsi="仿宋" w:eastAsia="仿宋"/>
          <w:color w:val="000000"/>
          <w:sz w:val="32"/>
          <w:szCs w:val="32"/>
        </w:rPr>
        <w:br w:type="textWrapping"/>
      </w:r>
      <w:r>
        <w:rPr>
          <w:rFonts w:hint="eastAsia" w:ascii="仿宋" w:hAnsi="仿宋" w:eastAsia="仿宋"/>
          <w:color w:val="000000"/>
          <w:sz w:val="32"/>
          <w:szCs w:val="32"/>
        </w:rPr>
        <w:t>　　日常公用经费155.2万元，主要包括：办公费4.49万元、印刷费、咨询费、手续费、水费1.59万元、电费0.38万元、邮电费0.15万元、取暖费、物业管理费、差旅费25.66万元、因公出国（境）费用、维修（护）费、租赁费、会议费、培训费、公务接待费1.93万元、劳务费、委托业务费、工会经费19.8万元、福利费2.69万元、公务用车运行维护费10.81万元、其他交通费78.19万元、税金及附加费用、其他商品和服务支出9.51万元、办公设备购置、专用设备购置、信息网络及软件购置更新、其他资本性支出等。</w:t>
      </w:r>
    </w:p>
    <w:p>
      <w:pPr>
        <w:spacing w:line="600" w:lineRule="exact"/>
        <w:ind w:firstLine="640"/>
        <w:outlineLvl w:val="1"/>
        <w:rPr>
          <w:rStyle w:val="19"/>
          <w:rFonts w:ascii="黑体" w:hAnsi="黑体" w:eastAsia="黑体"/>
          <w:b w:val="0"/>
        </w:rPr>
      </w:pPr>
      <w:bookmarkStart w:id="62" w:name="_Toc82594984"/>
      <w:bookmarkStart w:id="63" w:name="_Toc15396609"/>
      <w:bookmarkStart w:id="64" w:name="_Toc15377215"/>
      <w:r>
        <w:rPr>
          <w:rFonts w:hint="eastAsia" w:ascii="黑体" w:eastAsia="黑体"/>
          <w:color w:val="000000"/>
          <w:sz w:val="32"/>
          <w:szCs w:val="32"/>
        </w:rPr>
        <w:t>七、</w:t>
      </w:r>
      <w:r>
        <w:rPr>
          <w:rStyle w:val="19"/>
          <w:rFonts w:hint="eastAsia" w:ascii="黑体" w:hAnsi="黑体" w:eastAsia="黑体"/>
        </w:rPr>
        <w:t>“</w:t>
      </w:r>
      <w:r>
        <w:rPr>
          <w:rStyle w:val="19"/>
          <w:rFonts w:hint="eastAsia" w:ascii="黑体" w:hAnsi="黑体" w:eastAsia="黑体"/>
          <w:b w:val="0"/>
        </w:rPr>
        <w:t>三公”经费财政拨款支出决算情况说明</w:t>
      </w:r>
      <w:bookmarkEnd w:id="62"/>
      <w:bookmarkEnd w:id="63"/>
      <w:bookmarkEnd w:id="64"/>
    </w:p>
    <w:p>
      <w:pPr>
        <w:spacing w:line="600" w:lineRule="exact"/>
        <w:ind w:firstLine="640"/>
        <w:outlineLvl w:val="2"/>
        <w:rPr>
          <w:rFonts w:ascii="仿宋" w:hAnsi="仿宋" w:eastAsia="仿宋"/>
          <w:b/>
          <w:color w:val="000000"/>
          <w:sz w:val="32"/>
          <w:szCs w:val="32"/>
        </w:rPr>
      </w:pPr>
      <w:bookmarkStart w:id="65" w:name="_Toc82594985"/>
      <w:bookmarkStart w:id="66" w:name="_Toc15377216"/>
      <w:r>
        <w:rPr>
          <w:rFonts w:hint="eastAsia" w:ascii="仿宋" w:hAnsi="仿宋" w:eastAsia="仿宋"/>
          <w:b/>
          <w:color w:val="000000"/>
          <w:sz w:val="32"/>
          <w:szCs w:val="32"/>
        </w:rPr>
        <w:t>（一）“三公”经费财政拨款支出决算总体情况说明</w:t>
      </w:r>
      <w:bookmarkEnd w:id="65"/>
      <w:bookmarkEnd w:id="66"/>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年“三公”经费财政拨款支出决算为12.85万元，完成预算98.16</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w:t>
      </w:r>
      <w:r>
        <w:rPr>
          <w:rFonts w:eastAsia="方正仿宋_GBK"/>
          <w:color w:val="333333"/>
          <w:sz w:val="33"/>
          <w:szCs w:val="33"/>
        </w:rPr>
        <w:t>20</w:t>
      </w:r>
      <w:r>
        <w:rPr>
          <w:rFonts w:hint="eastAsia" w:eastAsia="方正仿宋_GBK"/>
          <w:color w:val="333333"/>
          <w:sz w:val="33"/>
          <w:szCs w:val="33"/>
        </w:rPr>
        <w:t>20</w:t>
      </w:r>
      <w:r>
        <w:rPr>
          <w:rFonts w:eastAsia="方正仿宋_GBK"/>
          <w:color w:val="333333"/>
          <w:sz w:val="33"/>
          <w:szCs w:val="33"/>
        </w:rPr>
        <w:t>年</w:t>
      </w:r>
      <w:r>
        <w:rPr>
          <w:rFonts w:hint="eastAsia" w:eastAsia="方正仿宋_GBK"/>
          <w:color w:val="333333"/>
          <w:sz w:val="33"/>
          <w:szCs w:val="33"/>
        </w:rPr>
        <w:t>三公经</w:t>
      </w:r>
      <w:r>
        <w:rPr>
          <w:rFonts w:eastAsia="方正仿宋_GBK"/>
          <w:color w:val="333333"/>
          <w:sz w:val="33"/>
          <w:szCs w:val="33"/>
        </w:rPr>
        <w:t>费支出严格控制在预算内</w:t>
      </w:r>
      <w:r>
        <w:rPr>
          <w:rFonts w:hint="eastAsia" w:eastAsia="方正仿宋_GBK"/>
          <w:color w:val="333333"/>
          <w:sz w:val="33"/>
          <w:szCs w:val="33"/>
        </w:rPr>
        <w:t>。</w:t>
      </w:r>
    </w:p>
    <w:p>
      <w:pPr>
        <w:spacing w:line="600" w:lineRule="exact"/>
        <w:ind w:firstLine="640"/>
        <w:outlineLvl w:val="2"/>
        <w:rPr>
          <w:rFonts w:ascii="仿宋" w:hAnsi="仿宋" w:eastAsia="仿宋"/>
          <w:b/>
          <w:color w:val="000000"/>
          <w:sz w:val="32"/>
          <w:szCs w:val="32"/>
        </w:rPr>
      </w:pPr>
      <w:bookmarkStart w:id="67" w:name="_Toc15377217"/>
      <w:bookmarkStart w:id="68" w:name="_Toc82594986"/>
      <w:r>
        <w:rPr>
          <w:rFonts w:hint="eastAsia" w:ascii="仿宋" w:hAnsi="仿宋" w:eastAsia="仿宋"/>
          <w:b/>
          <w:color w:val="000000"/>
          <w:sz w:val="32"/>
          <w:szCs w:val="32"/>
        </w:rPr>
        <w:t>（二）“三公”经费财政拨款支出决算具体情况说明</w:t>
      </w:r>
      <w:bookmarkEnd w:id="67"/>
      <w:bookmarkEnd w:id="68"/>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年“三公”经费财政拨款支出决算中，因公出国（境）费支出决算</w:t>
      </w:r>
      <w:r>
        <w:rPr>
          <w:rFonts w:ascii="仿宋" w:hAnsi="仿宋" w:eastAsia="仿宋"/>
          <w:color w:val="000000"/>
          <w:sz w:val="32"/>
          <w:szCs w:val="32"/>
        </w:rPr>
        <w:t>0</w:t>
      </w:r>
      <w:r>
        <w:rPr>
          <w:rFonts w:hint="eastAsia" w:ascii="仿宋" w:hAnsi="仿宋" w:eastAsia="仿宋"/>
          <w:color w:val="000000"/>
          <w:sz w:val="32"/>
          <w:szCs w:val="32"/>
        </w:rPr>
        <w:t>万元，占</w:t>
      </w:r>
      <w:r>
        <w:rPr>
          <w:rFonts w:ascii="仿宋" w:hAnsi="仿宋" w:eastAsia="仿宋"/>
          <w:color w:val="000000"/>
          <w:sz w:val="32"/>
          <w:szCs w:val="32"/>
        </w:rPr>
        <w:t>0%</w:t>
      </w:r>
      <w:r>
        <w:rPr>
          <w:rFonts w:hint="eastAsia" w:ascii="仿宋" w:hAnsi="仿宋" w:eastAsia="仿宋"/>
          <w:color w:val="000000"/>
          <w:sz w:val="32"/>
          <w:szCs w:val="32"/>
        </w:rPr>
        <w:t>；公务用车购置及运行维护费支出决算10.92万元，占0.49</w:t>
      </w:r>
      <w:r>
        <w:rPr>
          <w:rFonts w:ascii="仿宋" w:hAnsi="仿宋" w:eastAsia="仿宋"/>
          <w:color w:val="000000"/>
          <w:sz w:val="32"/>
          <w:szCs w:val="32"/>
        </w:rPr>
        <w:t>%</w:t>
      </w:r>
      <w:r>
        <w:rPr>
          <w:rFonts w:hint="eastAsia" w:ascii="仿宋" w:hAnsi="仿宋" w:eastAsia="仿宋"/>
          <w:color w:val="000000"/>
          <w:sz w:val="32"/>
          <w:szCs w:val="32"/>
        </w:rPr>
        <w:t>；公务接待费支出决算1.93万元，占0.09</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7</w:t>
      </w:r>
      <w:r>
        <w:rPr>
          <w:rFonts w:hint="eastAsia" w:ascii="仿宋" w:hAnsi="仿宋" w:eastAsia="仿宋"/>
          <w:color w:val="000000"/>
          <w:sz w:val="32"/>
          <w:szCs w:val="32"/>
        </w:rPr>
        <w:t>：“三公”经费财政拨款支出结构）（饼状图）</w:t>
      </w:r>
    </w:p>
    <w:p>
      <w:pPr>
        <w:numPr>
          <w:ilvl w:val="0"/>
          <w:numId w:val="3"/>
        </w:numPr>
        <w:spacing w:line="600" w:lineRule="exact"/>
        <w:ind w:firstLine="640"/>
        <w:rPr>
          <w:rFonts w:hint="eastAsia" w:ascii="仿宋_GB2312" w:eastAsia="仿宋_GB2312"/>
          <w:color w:val="000000"/>
          <w:sz w:val="32"/>
          <w:szCs w:val="32"/>
          <w:lang w:val="en-US" w:eastAsia="zh-CN"/>
        </w:rPr>
      </w:pPr>
      <w:r>
        <w:rPr>
          <w:rFonts w:hint="eastAsia" w:ascii="仿宋_GB2312" w:eastAsia="仿宋_GB2312"/>
          <w:b/>
          <w:color w:val="000000"/>
          <w:sz w:val="32"/>
          <w:szCs w:val="32"/>
        </w:rPr>
        <w:t>因公出国（境）经费支出</w:t>
      </w:r>
      <w:r>
        <w:rPr>
          <w:rFonts w:hint="eastAsia" w:ascii="仿宋_GB2312" w:eastAsia="仿宋_GB2312"/>
          <w:b/>
          <w:color w:val="000000"/>
          <w:sz w:val="32"/>
          <w:szCs w:val="32"/>
          <w:lang w:val="en-US" w:eastAsia="zh-CN"/>
        </w:rPr>
        <w:t>0</w:t>
      </w:r>
      <w:r>
        <w:rPr>
          <w:rFonts w:hint="eastAsia" w:ascii="仿宋_GB2312" w:eastAsia="仿宋_GB2312"/>
          <w:color w:val="000000"/>
          <w:sz w:val="32"/>
          <w:szCs w:val="32"/>
        </w:rPr>
        <w:t>万元，</w:t>
      </w:r>
      <w:r>
        <w:rPr>
          <w:rStyle w:val="16"/>
          <w:rFonts w:hint="eastAsia" w:ascii="仿宋" w:hAnsi="仿宋" w:eastAsia="仿宋"/>
          <w:b w:val="0"/>
          <w:bCs/>
          <w:color w:val="000000"/>
          <w:sz w:val="32"/>
          <w:szCs w:val="32"/>
        </w:rPr>
        <w:t>完成预算</w:t>
      </w:r>
      <w:r>
        <w:rPr>
          <w:rStyle w:val="16"/>
          <w:rFonts w:hint="eastAsia" w:ascii="仿宋" w:hAnsi="仿宋" w:eastAsia="仿宋"/>
          <w:b w:val="0"/>
          <w:bCs/>
          <w:color w:val="000000"/>
          <w:sz w:val="32"/>
          <w:szCs w:val="32"/>
          <w:lang w:val="en-US" w:eastAsia="zh-CN"/>
        </w:rPr>
        <w:t>0</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2018</w:t>
      </w:r>
      <w:r>
        <w:rPr>
          <w:rFonts w:hint="eastAsia" w:ascii="仿宋_GB2312" w:eastAsia="仿宋_GB2312"/>
          <w:color w:val="000000"/>
          <w:sz w:val="32"/>
          <w:szCs w:val="32"/>
        </w:rPr>
        <w:t>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 xml:space="preserve">    </w:t>
      </w:r>
    </w:p>
    <w:p>
      <w:pPr>
        <w:numPr>
          <w:ilvl w:val="0"/>
          <w:numId w:val="0"/>
        </w:numPr>
        <w:spacing w:line="600" w:lineRule="exact"/>
        <w:rPr>
          <w:rFonts w:ascii="仿宋_GB2312" w:eastAsia="仿宋_GB2312"/>
          <w:b/>
          <w:color w:val="000000"/>
          <w:sz w:val="32"/>
          <w:szCs w:val="32"/>
        </w:rPr>
      </w:pPr>
      <w:r>
        <w:rPr>
          <w:rFonts w:hint="eastAsia" w:ascii="仿宋_GB2312" w:eastAsia="仿宋_GB2312"/>
          <w:b/>
          <w:color w:val="000000"/>
          <w:sz w:val="32"/>
          <w:szCs w:val="32"/>
          <w:lang w:val="en-US" w:eastAsia="zh-CN"/>
        </w:rPr>
        <w:t xml:space="preserve">    </w:t>
      </w: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10.92万元</w:t>
      </w:r>
      <w:r>
        <w:rPr>
          <w:rFonts w:ascii="仿宋_GB2312" w:eastAsia="仿宋_GB2312"/>
          <w:color w:val="000000"/>
          <w:sz w:val="32"/>
          <w:szCs w:val="32"/>
        </w:rPr>
        <w:t>,</w:t>
      </w:r>
      <w:r>
        <w:rPr>
          <w:rStyle w:val="16"/>
          <w:rFonts w:hint="eastAsia" w:ascii="仿宋" w:hAnsi="仿宋" w:eastAsia="仿宋"/>
          <w:b w:val="0"/>
          <w:bCs/>
          <w:color w:val="000000"/>
          <w:sz w:val="32"/>
          <w:szCs w:val="32"/>
        </w:rPr>
        <w:t>完成预算98.2</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2018</w:t>
      </w:r>
      <w:r>
        <w:rPr>
          <w:rFonts w:hint="eastAsia" w:ascii="仿宋_GB2312" w:eastAsia="仿宋_GB2312"/>
          <w:color w:val="000000"/>
          <w:sz w:val="32"/>
          <w:szCs w:val="32"/>
        </w:rPr>
        <w:t>年增加0.81万元，增长8.01</w:t>
      </w:r>
      <w:r>
        <w:rPr>
          <w:rFonts w:ascii="仿宋_GB2312" w:eastAsia="仿宋_GB2312"/>
          <w:color w:val="000000"/>
          <w:sz w:val="32"/>
          <w:szCs w:val="32"/>
        </w:rPr>
        <w:t>%</w:t>
      </w:r>
      <w:r>
        <w:rPr>
          <w:rFonts w:hint="eastAsia" w:ascii="仿宋_GB2312" w:eastAsia="仿宋_GB2312"/>
          <w:color w:val="000000"/>
          <w:sz w:val="32"/>
          <w:szCs w:val="32"/>
        </w:rPr>
        <w:t>。主要原因是公务车年限长，维修费用增加。</w:t>
      </w:r>
    </w:p>
    <w:p>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万元，越野车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万元，载客汽车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万元。截至</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辆、越野车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辆、载客汽车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p>
    <w:p>
      <w:pPr>
        <w:spacing w:line="600" w:lineRule="exact"/>
        <w:ind w:firstLine="640"/>
        <w:rPr>
          <w:rFonts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10.92万元。主要用于</w:t>
      </w:r>
      <w:r>
        <w:rPr>
          <w:rFonts w:eastAsia="方正仿宋_GBK"/>
          <w:sz w:val="33"/>
          <w:szCs w:val="33"/>
        </w:rPr>
        <w:t>市委组织部机关及党员教育中心、市委老干部局、炳草岗干休所、市老干部活动中心日常公务外出考察、调研、专项检查等</w:t>
      </w:r>
      <w:r>
        <w:rPr>
          <w:rFonts w:hint="eastAsia" w:eastAsia="仿宋_GB2312"/>
          <w:color w:val="000000"/>
          <w:sz w:val="32"/>
          <w:szCs w:val="32"/>
        </w:rPr>
        <w:t>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1.93万元，</w:t>
      </w:r>
      <w:r>
        <w:rPr>
          <w:rStyle w:val="16"/>
          <w:rFonts w:hint="eastAsia" w:ascii="仿宋" w:hAnsi="仿宋" w:eastAsia="仿宋"/>
          <w:b w:val="0"/>
          <w:bCs/>
          <w:color w:val="000000"/>
          <w:sz w:val="32"/>
          <w:szCs w:val="32"/>
        </w:rPr>
        <w:t>完成预算97.97</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2019</w:t>
      </w:r>
      <w:r>
        <w:rPr>
          <w:rFonts w:hint="eastAsia" w:ascii="仿宋_GB2312" w:eastAsia="仿宋_GB2312"/>
          <w:color w:val="000000"/>
          <w:sz w:val="32"/>
          <w:szCs w:val="32"/>
        </w:rPr>
        <w:t>年增加0.79万元，增长7.81</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eastAsia="方正仿宋_GBK"/>
          <w:color w:val="333333"/>
          <w:sz w:val="33"/>
          <w:szCs w:val="33"/>
        </w:rPr>
        <w:t>20</w:t>
      </w:r>
      <w:r>
        <w:rPr>
          <w:rFonts w:hint="eastAsia" w:eastAsia="方正仿宋_GBK"/>
          <w:color w:val="333333"/>
          <w:sz w:val="33"/>
          <w:szCs w:val="33"/>
        </w:rPr>
        <w:t>20</w:t>
      </w:r>
      <w:r>
        <w:rPr>
          <w:rFonts w:eastAsia="方正仿宋_GBK"/>
          <w:color w:val="333333"/>
          <w:sz w:val="33"/>
          <w:szCs w:val="33"/>
        </w:rPr>
        <w:t>年公务</w:t>
      </w:r>
      <w:r>
        <w:rPr>
          <w:rFonts w:eastAsia="方正仿宋_GBK"/>
          <w:sz w:val="33"/>
          <w:szCs w:val="33"/>
        </w:rPr>
        <w:t>接待任务较201</w:t>
      </w:r>
      <w:r>
        <w:rPr>
          <w:rFonts w:hint="eastAsia" w:eastAsia="方正仿宋_GBK"/>
          <w:sz w:val="33"/>
          <w:szCs w:val="33"/>
        </w:rPr>
        <w:t>9</w:t>
      </w:r>
      <w:r>
        <w:rPr>
          <w:rFonts w:eastAsia="方正仿宋_GBK"/>
          <w:sz w:val="33"/>
          <w:szCs w:val="33"/>
        </w:rPr>
        <w:t>年</w:t>
      </w:r>
      <w:r>
        <w:rPr>
          <w:rFonts w:hint="eastAsia" w:eastAsia="方正仿宋_GBK"/>
          <w:sz w:val="33"/>
          <w:szCs w:val="33"/>
        </w:rPr>
        <w:t>有所增加</w:t>
      </w:r>
      <w:r>
        <w:rPr>
          <w:rFonts w:hint="eastAsia" w:ascii="仿宋_GB2312" w:eastAsia="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1.93</w:t>
      </w:r>
      <w:r>
        <w:rPr>
          <w:rFonts w:hint="eastAsia" w:ascii="仿宋_GB2312" w:eastAsia="仿宋_GB2312"/>
          <w:color w:val="000000"/>
          <w:sz w:val="32"/>
          <w:szCs w:val="32"/>
        </w:rPr>
        <w:t>万元，主要用于</w:t>
      </w:r>
      <w:r>
        <w:rPr>
          <w:rFonts w:hint="eastAsia" w:eastAsia="仿宋_GB2312"/>
          <w:color w:val="000000"/>
          <w:sz w:val="32"/>
          <w:szCs w:val="32"/>
        </w:rPr>
        <w:t>上级部门来攀调研工作、省内对口部门来攀对接工作，执行公务、开展业务活动开支的用餐费。</w:t>
      </w:r>
      <w:r>
        <w:rPr>
          <w:rFonts w:hint="eastAsia" w:ascii="仿宋_GB2312" w:eastAsia="仿宋_GB2312"/>
          <w:color w:val="000000"/>
          <w:sz w:val="32"/>
          <w:szCs w:val="32"/>
        </w:rPr>
        <w:t>国内公务接待15批次，63人次（不包括陪同人员），共计支出1.93万元，具体内容包括：省级对口部门来攀考察0.93万元，省级对口部门来攀对接工作0.55万元，省内对口部门来攀交流学习、对接工作0.18万元，援助木里藏区相关部门来攀对接工作0.17万元</w:t>
      </w:r>
      <w:r>
        <w:rPr>
          <w:rFonts w:hint="eastAsia" w:ascii="仿宋_GB2312" w:eastAsia="仿宋_GB2312"/>
          <w:color w:val="000000"/>
          <w:sz w:val="32"/>
          <w:szCs w:val="32"/>
          <w:lang w:val="en-US" w:eastAsia="zh-CN"/>
        </w:rPr>
        <w:t>。</w:t>
      </w:r>
    </w:p>
    <w:p>
      <w:pPr>
        <w:spacing w:line="600" w:lineRule="exact"/>
        <w:ind w:firstLine="643" w:firstLineChars="200"/>
        <w:rPr>
          <w:rFonts w:ascii="仿宋_GB2312" w:eastAsia="仿宋_GB2312"/>
          <w:color w:val="000000"/>
          <w:sz w:val="32"/>
          <w:szCs w:val="32"/>
          <w:lang w:val="en-US"/>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万元，外事接待</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人，共计支出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p>
    <w:p>
      <w:pPr>
        <w:spacing w:line="600" w:lineRule="exact"/>
        <w:ind w:firstLine="640"/>
        <w:outlineLvl w:val="1"/>
        <w:rPr>
          <w:rStyle w:val="19"/>
          <w:rFonts w:ascii="黑体" w:hAnsi="黑体" w:eastAsia="黑体"/>
        </w:rPr>
      </w:pPr>
      <w:bookmarkStart w:id="69" w:name="_Toc15396610"/>
      <w:bookmarkStart w:id="70" w:name="_Toc15377218"/>
      <w:bookmarkStart w:id="71" w:name="_Toc82594987"/>
      <w:r>
        <w:rPr>
          <w:rFonts w:hint="eastAsia" w:ascii="黑体" w:eastAsia="黑体"/>
          <w:color w:val="000000"/>
          <w:sz w:val="32"/>
          <w:szCs w:val="32"/>
        </w:rPr>
        <w:t>八、</w:t>
      </w:r>
      <w:r>
        <w:rPr>
          <w:rStyle w:val="19"/>
          <w:rFonts w:hint="eastAsia" w:ascii="黑体" w:hAnsi="黑体" w:eastAsia="黑体"/>
          <w:b w:val="0"/>
        </w:rPr>
        <w:t>政府性基金预算支出决算情况说明</w:t>
      </w:r>
      <w:bookmarkEnd w:id="69"/>
      <w:bookmarkEnd w:id="70"/>
      <w:bookmarkEnd w:id="71"/>
    </w:p>
    <w:p>
      <w:pPr>
        <w:spacing w:line="600" w:lineRule="exact"/>
        <w:ind w:firstLine="640"/>
        <w:rPr>
          <w:rFonts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年政府性基金预算拨款支出,40.34万元。</w:t>
      </w:r>
      <w:r>
        <w:rPr>
          <w:rFonts w:hint="eastAsia" w:eastAsia="仿宋_GB2312"/>
          <w:color w:val="000000"/>
          <w:sz w:val="32"/>
          <w:szCs w:val="32"/>
        </w:rPr>
        <w:t>用于市委组织部业务运行费，全市老干部开展活动所需费用。</w:t>
      </w:r>
    </w:p>
    <w:p>
      <w:pPr>
        <w:numPr>
          <w:ilvl w:val="0"/>
          <w:numId w:val="4"/>
        </w:numPr>
        <w:spacing w:line="600" w:lineRule="exact"/>
        <w:ind w:firstLine="640"/>
        <w:outlineLvl w:val="1"/>
        <w:rPr>
          <w:rStyle w:val="19"/>
          <w:rFonts w:ascii="黑体" w:hAnsi="黑体" w:eastAsia="黑体"/>
          <w:b w:val="0"/>
        </w:rPr>
      </w:pPr>
      <w:bookmarkStart w:id="72" w:name="_Toc15377219"/>
      <w:bookmarkStart w:id="73" w:name="_Toc15396611"/>
      <w:bookmarkStart w:id="74" w:name="_Toc82594988"/>
      <w:r>
        <w:rPr>
          <w:rStyle w:val="19"/>
          <w:rFonts w:hint="eastAsia" w:ascii="黑体" w:hAnsi="黑体" w:eastAsia="黑体"/>
          <w:b w:val="0"/>
        </w:rPr>
        <w:t>国有资本经营预算支出决算情况说明</w:t>
      </w:r>
      <w:bookmarkEnd w:id="72"/>
      <w:bookmarkEnd w:id="73"/>
      <w:bookmarkEnd w:id="7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firstLine="800" w:firstLineChars="250"/>
        <w:outlineLvl w:val="1"/>
        <w:rPr>
          <w:rStyle w:val="19"/>
          <w:rFonts w:ascii="黑体" w:hAnsi="黑体" w:eastAsia="黑体"/>
        </w:rPr>
      </w:pPr>
      <w:bookmarkStart w:id="75" w:name="_Toc15377221"/>
      <w:bookmarkStart w:id="76" w:name="_Toc82594989"/>
      <w:bookmarkStart w:id="77" w:name="_Toc15396612"/>
      <w:r>
        <w:rPr>
          <w:rFonts w:hint="eastAsia" w:ascii="黑体" w:hAnsi="黑体" w:eastAsia="黑体"/>
          <w:color w:val="000000"/>
          <w:sz w:val="32"/>
          <w:szCs w:val="32"/>
        </w:rPr>
        <w:t>十</w:t>
      </w:r>
      <w:r>
        <w:rPr>
          <w:rStyle w:val="19"/>
          <w:rFonts w:hint="eastAsia" w:ascii="黑体" w:hAnsi="黑体" w:eastAsia="黑体"/>
        </w:rPr>
        <w:t>、</w:t>
      </w:r>
      <w:r>
        <w:rPr>
          <w:rStyle w:val="19"/>
          <w:rFonts w:hint="eastAsia" w:ascii="黑体" w:hAnsi="黑体" w:eastAsia="黑体"/>
          <w:b w:val="0"/>
        </w:rPr>
        <w:t>其他重要事项的情况说明</w:t>
      </w:r>
      <w:bookmarkEnd w:id="75"/>
      <w:bookmarkEnd w:id="76"/>
      <w:bookmarkEnd w:id="77"/>
    </w:p>
    <w:p>
      <w:pPr>
        <w:spacing w:line="600" w:lineRule="exact"/>
        <w:ind w:firstLine="643" w:firstLineChars="200"/>
        <w:outlineLvl w:val="2"/>
        <w:rPr>
          <w:rFonts w:ascii="仿宋" w:hAnsi="仿宋" w:eastAsia="仿宋"/>
          <w:color w:val="000000"/>
          <w:sz w:val="32"/>
          <w:szCs w:val="32"/>
        </w:rPr>
      </w:pPr>
      <w:bookmarkStart w:id="78" w:name="_Toc82594990"/>
      <w:bookmarkStart w:id="79" w:name="_Toc15377222"/>
      <w:r>
        <w:rPr>
          <w:rFonts w:hint="eastAsia" w:ascii="仿宋" w:hAnsi="仿宋" w:eastAsia="仿宋"/>
          <w:b/>
          <w:color w:val="000000"/>
          <w:sz w:val="32"/>
          <w:szCs w:val="32"/>
        </w:rPr>
        <w:t>（一）机关运行经费支出情况</w:t>
      </w:r>
      <w:bookmarkEnd w:id="78"/>
      <w:bookmarkEnd w:id="79"/>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w:t>
      </w:r>
      <w:r>
        <w:rPr>
          <w:rFonts w:hint="eastAsia" w:eastAsia="仿宋_GB2312"/>
          <w:color w:val="000000"/>
          <w:sz w:val="32"/>
          <w:szCs w:val="32"/>
        </w:rPr>
        <w:t>市委组织部（市委老干部局）</w:t>
      </w:r>
      <w:r>
        <w:rPr>
          <w:rFonts w:hint="eastAsia" w:ascii="仿宋_GB2312" w:eastAsia="仿宋_GB2312"/>
          <w:color w:val="000000"/>
          <w:sz w:val="32"/>
          <w:szCs w:val="32"/>
        </w:rPr>
        <w:t>机关运行经费支出155.20万元，比</w:t>
      </w:r>
      <w:r>
        <w:rPr>
          <w:rFonts w:ascii="仿宋_GB2312" w:eastAsia="仿宋_GB2312"/>
          <w:color w:val="000000"/>
          <w:sz w:val="32"/>
          <w:szCs w:val="32"/>
        </w:rPr>
        <w:t>2019</w:t>
      </w:r>
      <w:r>
        <w:rPr>
          <w:rFonts w:hint="eastAsia" w:ascii="仿宋_GB2312" w:eastAsia="仿宋_GB2312"/>
          <w:color w:val="000000"/>
          <w:sz w:val="32"/>
          <w:szCs w:val="32"/>
        </w:rPr>
        <w:t>年减少38.63万元，下降19.93</w:t>
      </w:r>
      <w:r>
        <w:rPr>
          <w:rFonts w:ascii="仿宋_GB2312" w:eastAsia="仿宋_GB2312"/>
          <w:color w:val="000000"/>
          <w:sz w:val="32"/>
          <w:szCs w:val="32"/>
        </w:rPr>
        <w:t>%</w:t>
      </w:r>
      <w:r>
        <w:rPr>
          <w:rFonts w:hint="eastAsia" w:ascii="仿宋_GB2312" w:eastAsia="仿宋_GB2312"/>
          <w:color w:val="000000"/>
          <w:sz w:val="32"/>
          <w:szCs w:val="32"/>
        </w:rPr>
        <w:t>。主要原因是部分机关运行费由政府性基金预算弥补。</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0" w:name="_Toc82594991"/>
      <w:bookmarkStart w:id="81" w:name="_Toc15377223"/>
      <w:r>
        <w:rPr>
          <w:rFonts w:hint="eastAsia" w:ascii="仿宋" w:hAnsi="仿宋" w:eastAsia="仿宋"/>
          <w:b/>
          <w:color w:val="000000"/>
          <w:sz w:val="32"/>
          <w:szCs w:val="32"/>
        </w:rPr>
        <w:t>（二）政府采购支出情况</w:t>
      </w:r>
      <w:bookmarkEnd w:id="80"/>
      <w:bookmarkEnd w:id="81"/>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市委组织部</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万元、政府采购工程支出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万元、政府采购服务支出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w:t>
      </w:r>
      <w:r>
        <w:rPr>
          <w:rFonts w:ascii="仿宋_GB2312" w:eastAsia="仿宋_GB2312"/>
          <w:color w:val="000000"/>
          <w:sz w:val="32"/>
          <w:szCs w:val="32"/>
        </w:rPr>
        <w:t>…</w:t>
      </w:r>
      <w:r>
        <w:rPr>
          <w:rFonts w:hint="eastAsia" w:ascii="仿宋_GB2312" w:eastAsia="仿宋_GB2312"/>
          <w:color w:val="000000"/>
          <w:sz w:val="32"/>
          <w:szCs w:val="32"/>
        </w:rPr>
        <w:t>（具体工作）。授予中小企业合同金额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2" w:name="_Toc15377224"/>
      <w:bookmarkStart w:id="83" w:name="_Toc82594992"/>
      <w:r>
        <w:rPr>
          <w:rFonts w:hint="eastAsia" w:ascii="仿宋" w:hAnsi="仿宋" w:eastAsia="仿宋"/>
          <w:b/>
          <w:color w:val="000000"/>
          <w:sz w:val="32"/>
          <w:szCs w:val="32"/>
        </w:rPr>
        <w:t>（三）国有资产占有使用情况</w:t>
      </w:r>
      <w:bookmarkEnd w:id="82"/>
      <w:bookmarkEnd w:id="83"/>
    </w:p>
    <w:p>
      <w:pPr>
        <w:autoSpaceDE w:val="0"/>
        <w:autoSpaceDN w:val="0"/>
        <w:adjustRightInd w:val="0"/>
        <w:spacing w:line="600" w:lineRule="exact"/>
        <w:ind w:firstLine="640" w:firstLineChars="200"/>
        <w:jc w:val="left"/>
        <w:rPr>
          <w:rFonts w:hint="eastAsia"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eastAsia="仿宋_GB2312"/>
          <w:color w:val="000000"/>
          <w:sz w:val="32"/>
          <w:szCs w:val="32"/>
        </w:rPr>
        <w:t>市委组织部（市委老干部局）</w:t>
      </w:r>
      <w:r>
        <w:rPr>
          <w:rFonts w:hint="eastAsia" w:ascii="仿宋_GB2312" w:eastAsia="仿宋_GB2312"/>
          <w:color w:val="000000"/>
          <w:sz w:val="32"/>
          <w:szCs w:val="32"/>
        </w:rPr>
        <w:t>共有车辆5辆，其中：主要领导干部用车1辆、机要通信用车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辆、其他用车4辆主要是用于</w:t>
      </w:r>
      <w:r>
        <w:rPr>
          <w:rFonts w:eastAsia="方正仿宋_GBK"/>
          <w:sz w:val="33"/>
          <w:szCs w:val="33"/>
        </w:rPr>
        <w:t>市委组织部机关及党员教育中心、市委老干部局、炳草岗干休所、市老干部活动中心日常公务外出考察、调研、专项检查等工作用车所需</w:t>
      </w:r>
      <w:r>
        <w:rPr>
          <w:rFonts w:hint="eastAsia" w:ascii="仿宋_GB2312" w:eastAsia="仿宋_GB2312"/>
          <w:color w:val="000000"/>
          <w:sz w:val="32"/>
          <w:szCs w:val="32"/>
        </w:rPr>
        <w:t>的公务用车燃料费、维修费、过路过桥费、保险费等支出。单价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4" w:name="_Toc82594993"/>
      <w:r>
        <w:rPr>
          <w:rFonts w:hint="eastAsia" w:ascii="仿宋" w:hAnsi="仿宋" w:eastAsia="仿宋"/>
          <w:b/>
          <w:color w:val="000000"/>
          <w:sz w:val="32"/>
          <w:szCs w:val="32"/>
        </w:rPr>
        <w:t>（四）预算绩效管理情况。</w:t>
      </w:r>
      <w:bookmarkEnd w:id="84"/>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hint="eastAsia" w:ascii="仿宋_GB2312" w:hAnsi="仿宋_GB2312" w:eastAsia="仿宋_GB2312" w:cs="仿宋_GB2312"/>
          <w:sz w:val="32"/>
          <w:szCs w:val="32"/>
          <w:lang w:eastAsia="zh-CN"/>
        </w:rPr>
        <w:t>干部人才工作经费</w:t>
      </w:r>
      <w:r>
        <w:rPr>
          <w:rFonts w:hint="eastAsia" w:ascii="仿宋_GB2312" w:hAnsi="仿宋_GB2312" w:eastAsia="仿宋_GB2312" w:cs="仿宋_GB2312"/>
          <w:sz w:val="32"/>
          <w:szCs w:val="32"/>
        </w:rPr>
        <w:t>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个项目开展了绩效目标完成情况自评。</w:t>
      </w:r>
    </w:p>
    <w:p>
      <w:pPr>
        <w:adjustRightInd w:val="0"/>
        <w:snapToGrid w:val="0"/>
        <w:spacing w:line="560" w:lineRule="exact"/>
        <w:ind w:firstLine="720"/>
        <w:rPr>
          <w:rFonts w:eastAsia="方正仿宋_GBK"/>
          <w:sz w:val="33"/>
          <w:szCs w:val="33"/>
          <w:lang w:val="zh-CN"/>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年部门整体支出开展绩效自评，从评价情况来看较好</w:t>
      </w:r>
      <w:r>
        <w:rPr>
          <w:rFonts w:hint="eastAsia" w:ascii="仿宋_GB2312" w:hAnsi="仿宋_GB2312" w:eastAsia="仿宋_GB2312" w:cs="仿宋_GB2312"/>
          <w:sz w:val="32"/>
          <w:szCs w:val="32"/>
          <w:lang w:val="zh-CN"/>
        </w:rPr>
        <w:t>保障了机关正常运转、履行职能职责较好，财</w:t>
      </w:r>
      <w:r>
        <w:rPr>
          <w:rFonts w:eastAsia="方正仿宋_GBK"/>
          <w:sz w:val="33"/>
          <w:szCs w:val="33"/>
          <w:lang w:val="zh-CN"/>
        </w:rPr>
        <w:t>务管理健全规范，没有发生违法违规的现象。</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本部门还自行组织了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个项目支出绩效评价。</w:t>
      </w:r>
    </w:p>
    <w:p>
      <w:pPr>
        <w:spacing w:line="58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年度部门决算中反映“</w:t>
      </w:r>
      <w:r>
        <w:rPr>
          <w:rFonts w:hint="eastAsia" w:ascii="仿宋_GB2312" w:hAnsi="仿宋_GB2312" w:eastAsia="仿宋_GB2312" w:cs="仿宋_GB2312"/>
          <w:sz w:val="32"/>
          <w:szCs w:val="32"/>
          <w:lang w:eastAsia="zh-CN"/>
        </w:rPr>
        <w:t>人才专项经费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个以下的，全部进行公开，公开内容包括选取的全部项目完成情况综述和完成情况表）。</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）人才专项经费项目绩效目标完成情况综述。项目全年预算数28.825万元，执行数为28.825万元，完成预算的100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eastAsia="方正仿宋_GBK"/>
          <w:sz w:val="33"/>
          <w:szCs w:val="33"/>
        </w:rPr>
        <w:t>人才专项经费突出支持重点优势产业</w:t>
      </w:r>
      <w:r>
        <w:rPr>
          <w:rFonts w:hint="eastAsia" w:eastAsia="方正仿宋_GBK"/>
          <w:sz w:val="33"/>
          <w:szCs w:val="33"/>
        </w:rPr>
        <w:t>，加大</w:t>
      </w:r>
      <w:r>
        <w:rPr>
          <w:rFonts w:eastAsia="方正仿宋_GBK"/>
          <w:sz w:val="33"/>
          <w:szCs w:val="33"/>
        </w:rPr>
        <w:t>高层次和紧缺人才</w:t>
      </w:r>
      <w:r>
        <w:rPr>
          <w:rFonts w:hint="eastAsia" w:eastAsia="方正仿宋_GBK"/>
          <w:sz w:val="33"/>
          <w:szCs w:val="33"/>
        </w:rPr>
        <w:t>支持力度</w:t>
      </w:r>
      <w:r>
        <w:rPr>
          <w:rFonts w:eastAsia="方正仿宋_GBK"/>
          <w:sz w:val="33"/>
          <w:szCs w:val="33"/>
        </w:rPr>
        <w:t>，</w:t>
      </w:r>
      <w:r>
        <w:rPr>
          <w:rFonts w:hint="eastAsia" w:eastAsia="方正仿宋_GBK"/>
          <w:sz w:val="33"/>
          <w:szCs w:val="33"/>
        </w:rPr>
        <w:t>在财政资金保障和引导作用下，有力</w:t>
      </w:r>
      <w:r>
        <w:rPr>
          <w:rFonts w:eastAsia="方正仿宋_GBK"/>
          <w:sz w:val="33"/>
          <w:szCs w:val="33"/>
        </w:rPr>
        <w:t>促进人才集聚，</w:t>
      </w:r>
      <w:r>
        <w:rPr>
          <w:rFonts w:hint="eastAsia" w:eastAsia="方正仿宋_GBK"/>
          <w:sz w:val="33"/>
          <w:szCs w:val="33"/>
        </w:rPr>
        <w:t>为</w:t>
      </w:r>
      <w:r>
        <w:rPr>
          <w:rFonts w:eastAsia="方正仿宋_GBK"/>
          <w:sz w:val="33"/>
          <w:szCs w:val="33"/>
        </w:rPr>
        <w:t>推动攀枝花</w:t>
      </w:r>
      <w:r>
        <w:rPr>
          <w:rFonts w:hint="eastAsia" w:eastAsia="方正仿宋_GBK"/>
          <w:sz w:val="33"/>
          <w:szCs w:val="33"/>
        </w:rPr>
        <w:t>转型升级</w:t>
      </w:r>
      <w:r>
        <w:rPr>
          <w:rFonts w:eastAsia="方正仿宋_GBK"/>
          <w:sz w:val="33"/>
          <w:szCs w:val="33"/>
        </w:rPr>
        <w:t>发展提供了人才</w:t>
      </w:r>
      <w:r>
        <w:rPr>
          <w:rFonts w:hint="eastAsia" w:eastAsia="方正仿宋_GBK"/>
          <w:sz w:val="33"/>
          <w:szCs w:val="33"/>
        </w:rPr>
        <w:t>保障和智力支撑。下一步，我们将进一步建立完善人才发展专项资金投入稳定增长机制，保障《攀枝花人才新政》等人才政策实施，为人才在攀创新创业创造良好环境。</w:t>
      </w:r>
    </w:p>
    <w:p>
      <w:pPr>
        <w:spacing w:line="580" w:lineRule="exact"/>
        <w:ind w:firstLine="640" w:firstLineChars="200"/>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ind w:left="0" w:leftChars="0" w:firstLine="0" w:firstLineChars="0"/>
        <w:rPr>
          <w:rFonts w:ascii="仿宋_GB2312" w:hAnsi="仿宋_GB2312" w:eastAsia="仿宋_GB2312" w:cs="仿宋_GB2312"/>
          <w:sz w:val="32"/>
          <w:szCs w:val="32"/>
        </w:rPr>
      </w:pPr>
    </w:p>
    <w:p>
      <w:pPr>
        <w:pStyle w:val="2"/>
        <w:ind w:left="0" w:leftChars="0" w:firstLine="0" w:firstLineChars="0"/>
        <w:rPr>
          <w:rFonts w:ascii="仿宋_GB2312" w:hAnsi="仿宋_GB2312" w:eastAsia="仿宋_GB2312" w:cs="仿宋_GB2312"/>
          <w:sz w:val="32"/>
          <w:szCs w:val="32"/>
        </w:rPr>
      </w:pPr>
    </w:p>
    <w:p>
      <w:pPr>
        <w:pStyle w:val="2"/>
        <w:ind w:left="0" w:leftChars="0" w:firstLine="0" w:firstLineChars="0"/>
        <w:rPr>
          <w:rFonts w:ascii="仿宋_GB2312" w:hAnsi="仿宋_GB2312" w:eastAsia="仿宋_GB2312" w:cs="仿宋_GB2312"/>
          <w:sz w:val="32"/>
          <w:szCs w:val="32"/>
        </w:rPr>
      </w:pPr>
    </w:p>
    <w:p>
      <w:pPr>
        <w:pStyle w:val="2"/>
        <w:ind w:left="0" w:leftChars="0" w:firstLine="0" w:firstLineChars="0"/>
        <w:rPr>
          <w:rFonts w:ascii="仿宋_GB2312" w:hAnsi="仿宋_GB2312" w:eastAsia="仿宋_GB2312" w:cs="仿宋_GB2312"/>
          <w:sz w:val="32"/>
          <w:szCs w:val="32"/>
        </w:rPr>
      </w:pPr>
    </w:p>
    <w:tbl>
      <w:tblPr>
        <w:tblStyle w:val="14"/>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9"/>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lang w:bidi="ar"/>
              </w:rPr>
              <w:t>项目支出绩效目标完成情况表</w:t>
            </w:r>
            <w:r>
              <w:rPr>
                <w:rFonts w:ascii="宋体" w:cs="宋体"/>
                <w:b/>
                <w:bCs/>
                <w:color w:val="000000"/>
                <w:kern w:val="0"/>
                <w:sz w:val="36"/>
                <w:szCs w:val="36"/>
                <w:lang w:bidi="ar"/>
              </w:rPr>
              <w:br w:type="textWrapping"/>
            </w:r>
            <w:r>
              <w:rPr>
                <w:rFonts w:ascii="宋体" w:hAnsi="宋体" w:cs="宋体"/>
                <w:color w:val="000000"/>
                <w:kern w:val="0"/>
                <w:sz w:val="36"/>
                <w:szCs w:val="36"/>
                <w:lang w:bidi="ar"/>
              </w:rPr>
              <w:t>(20</w:t>
            </w:r>
            <w:r>
              <w:rPr>
                <w:rFonts w:hint="eastAsia" w:ascii="宋体" w:hAnsi="宋体" w:cs="宋体"/>
                <w:color w:val="000000"/>
                <w:kern w:val="0"/>
                <w:sz w:val="36"/>
                <w:szCs w:val="36"/>
                <w:lang w:bidi="ar"/>
              </w:rPr>
              <w:t>20年度</w:t>
            </w:r>
            <w:r>
              <w:rPr>
                <w:rFonts w:ascii="宋体" w:hAnsi="宋体" w:cs="宋体"/>
                <w:color w:val="000000"/>
                <w:kern w:val="0"/>
                <w:sz w:val="36"/>
                <w:szCs w:val="36"/>
                <w:lang w:bidi="ar"/>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人才专项经费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28.825万元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28.825万元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28.825万元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28.825万元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lang w:bidi="ar"/>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cs="宋体"/>
                <w:color w:val="000000"/>
                <w:sz w:val="24"/>
              </w:rPr>
              <w:t>大力实施攀枝花人才新政七条，按规定兑现相关经费资助，强化人才集聚。</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人才专项经费突出支持重点优势产业</w:t>
            </w:r>
            <w:r>
              <w:rPr>
                <w:rFonts w:hint="eastAsia" w:ascii="宋体" w:cs="宋体"/>
                <w:color w:val="000000"/>
                <w:sz w:val="24"/>
              </w:rPr>
              <w:t>，加大</w:t>
            </w:r>
            <w:r>
              <w:rPr>
                <w:rFonts w:ascii="宋体" w:cs="宋体"/>
                <w:color w:val="000000"/>
                <w:sz w:val="24"/>
              </w:rPr>
              <w:t>高层次和紧缺人才</w:t>
            </w:r>
            <w:r>
              <w:rPr>
                <w:rFonts w:hint="eastAsia" w:ascii="宋体" w:cs="宋体"/>
                <w:color w:val="000000"/>
                <w:sz w:val="24"/>
              </w:rPr>
              <w:t>支持力度</w:t>
            </w:r>
            <w:r>
              <w:rPr>
                <w:rFonts w:ascii="宋体" w:cs="宋体"/>
                <w:color w:val="000000"/>
                <w:sz w:val="24"/>
              </w:rPr>
              <w:t>，</w:t>
            </w:r>
            <w:r>
              <w:rPr>
                <w:rFonts w:hint="eastAsia" w:ascii="宋体" w:cs="宋体"/>
                <w:color w:val="000000"/>
                <w:sz w:val="24"/>
              </w:rPr>
              <w:t>在财政资金保障和引导作用下，有力</w:t>
            </w:r>
            <w:r>
              <w:rPr>
                <w:rFonts w:ascii="宋体" w:cs="宋体"/>
                <w:color w:val="000000"/>
                <w:sz w:val="24"/>
              </w:rPr>
              <w:t>促进人才集聚，</w:t>
            </w:r>
            <w:r>
              <w:rPr>
                <w:rFonts w:hint="eastAsia" w:ascii="宋体" w:cs="宋体"/>
                <w:color w:val="000000"/>
                <w:sz w:val="24"/>
              </w:rPr>
              <w:t>为</w:t>
            </w:r>
            <w:r>
              <w:rPr>
                <w:rFonts w:ascii="宋体" w:cs="宋体"/>
                <w:color w:val="000000"/>
                <w:sz w:val="24"/>
              </w:rPr>
              <w:t>推动攀枝花</w:t>
            </w:r>
            <w:r>
              <w:rPr>
                <w:rFonts w:hint="eastAsia" w:ascii="宋体" w:cs="宋体"/>
                <w:color w:val="000000"/>
                <w:sz w:val="24"/>
              </w:rPr>
              <w:t>转型升级</w:t>
            </w:r>
            <w:r>
              <w:rPr>
                <w:rFonts w:ascii="宋体" w:cs="宋体"/>
                <w:color w:val="000000"/>
                <w:sz w:val="24"/>
              </w:rPr>
              <w:t>发展提供了人才</w:t>
            </w:r>
            <w:r>
              <w:rPr>
                <w:rFonts w:hint="eastAsia" w:ascii="宋体" w:cs="宋体"/>
                <w:color w:val="000000"/>
                <w:sz w:val="24"/>
              </w:rPr>
              <w:t>保障和智力支撑。</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1297" w:hRule="atLeast"/>
        </w:trPr>
        <w:tc>
          <w:tcPr>
            <w:tcW w:w="390" w:type="dxa"/>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2020攀西联合专场招聘活动经费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28.825万元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支付北京网聘咨询有限公司“2020攀西联合专场招聘活动”广告、设计、校招系统、高校宣传、落地活动、场地租用等费用，共计28.825万元</w:t>
            </w:r>
          </w:p>
        </w:tc>
      </w:tr>
    </w:tbl>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年部门整体支出绩效评价情况开展自评，《</w:t>
      </w:r>
      <w:r>
        <w:rPr>
          <w:rFonts w:hint="eastAsia" w:ascii="仿宋_GB2312" w:hAnsi="仿宋_GB2312" w:eastAsia="仿宋_GB2312" w:cs="仿宋_GB2312"/>
          <w:sz w:val="32"/>
          <w:szCs w:val="32"/>
          <w:lang w:eastAsia="zh-CN"/>
        </w:rPr>
        <w:t>市委组织部（市委老干部局）</w:t>
      </w:r>
      <w:r>
        <w:rPr>
          <w:rFonts w:hint="eastAsia" w:ascii="仿宋_GB2312" w:hAnsi="仿宋_GB2312" w:eastAsia="仿宋_GB2312" w:cs="仿宋_GB2312"/>
          <w:sz w:val="32"/>
          <w:szCs w:val="32"/>
        </w:rPr>
        <w:t>部门</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w:t>
      </w:r>
      <w:r>
        <w:rPr>
          <w:rFonts w:hint="eastAsia" w:ascii="仿宋_GB2312" w:hAnsi="仿宋_GB2312" w:eastAsia="仿宋_GB2312" w:cs="仿宋_GB2312"/>
          <w:sz w:val="32"/>
          <w:szCs w:val="32"/>
          <w:lang w:eastAsia="zh-CN"/>
        </w:rPr>
        <w:t>人才专项经费</w:t>
      </w:r>
      <w:r>
        <w:rPr>
          <w:rFonts w:hint="eastAsia" w:ascii="仿宋_GB2312" w:hAnsi="仿宋_GB2312" w:eastAsia="仿宋_GB2312" w:cs="仿宋_GB2312"/>
          <w:sz w:val="32"/>
          <w:szCs w:val="32"/>
        </w:rPr>
        <w:t>项目开展了绩效评价，《</w:t>
      </w:r>
      <w:r>
        <w:rPr>
          <w:rFonts w:hint="eastAsia" w:ascii="仿宋_GB2312" w:hAnsi="仿宋_GB2312" w:eastAsia="仿宋_GB2312" w:cs="仿宋_GB2312"/>
          <w:sz w:val="32"/>
          <w:szCs w:val="32"/>
          <w:lang w:eastAsia="zh-CN"/>
        </w:rPr>
        <w:t>人才专项经费</w:t>
      </w: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）。（非涉密部门均需公开部门整体支出评价报告，部门自行组织的绩效评价情况根据部门实际公开，若未组织项目绩效评价，则只需说明部门整体支出绩效评价情况）</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5"/>
        </w:numPr>
        <w:spacing w:line="600" w:lineRule="exact"/>
        <w:ind w:firstLine="660" w:firstLineChars="150"/>
        <w:jc w:val="center"/>
        <w:outlineLvl w:val="0"/>
        <w:rPr>
          <w:rStyle w:val="18"/>
          <w:rFonts w:ascii="黑体" w:hAnsi="黑体" w:eastAsia="黑体"/>
          <w:b w:val="0"/>
        </w:rPr>
      </w:pPr>
      <w:bookmarkStart w:id="85" w:name="_Toc15396613"/>
      <w:bookmarkStart w:id="86" w:name="_Toc82594994"/>
      <w:bookmarkStart w:id="87" w:name="_Toc15377225"/>
      <w:r>
        <w:rPr>
          <w:rFonts w:hint="eastAsia" w:ascii="黑体" w:hAnsi="黑体" w:eastAsia="黑体"/>
          <w:color w:val="000000"/>
          <w:sz w:val="44"/>
          <w:szCs w:val="44"/>
        </w:rPr>
        <w:t>名</w:t>
      </w:r>
      <w:r>
        <w:rPr>
          <w:rStyle w:val="18"/>
          <w:rFonts w:hint="eastAsia" w:ascii="黑体" w:hAnsi="黑体" w:eastAsia="黑体"/>
          <w:b w:val="0"/>
        </w:rPr>
        <w:t>词解释</w:t>
      </w:r>
      <w:bookmarkEnd w:id="85"/>
      <w:bookmarkEnd w:id="86"/>
      <w:bookmarkEnd w:id="87"/>
    </w:p>
    <w:p>
      <w:pPr>
        <w:spacing w:line="600" w:lineRule="exact"/>
        <w:jc w:val="left"/>
        <w:rPr>
          <w:rFonts w:ascii="宋体"/>
          <w:b/>
          <w:color w:val="000000"/>
          <w:sz w:val="44"/>
          <w:szCs w:val="44"/>
        </w:rPr>
      </w:pPr>
    </w:p>
    <w:p>
      <w:pPr>
        <w:pStyle w:val="28"/>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lang w:val="en-US" w:eastAsia="zh-CN"/>
        </w:rPr>
        <w:t>.</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w:t>
      </w:r>
      <w:r>
        <w:rPr>
          <w:rFonts w:hint="eastAsia" w:ascii="仿宋_GB2312" w:eastAsia="仿宋_GB2312"/>
          <w:color w:val="000000"/>
          <w:sz w:val="32"/>
          <w:szCs w:val="32"/>
          <w:lang w:eastAsia="zh-CN"/>
        </w:rPr>
        <w:t>支出</w:t>
      </w:r>
      <w:r>
        <w:rPr>
          <w:rFonts w:hint="eastAsia" w:ascii="仿宋_GB2312" w:eastAsia="仿宋_GB2312"/>
          <w:color w:val="000000"/>
          <w:sz w:val="32"/>
          <w:szCs w:val="32"/>
          <w:lang w:val="en-US" w:eastAsia="zh-CN"/>
        </w:rPr>
        <w:t>-组织事务</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反映中国共产党组织部门的支出</w:t>
      </w: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社会保障和就业</w:t>
      </w:r>
      <w:r>
        <w:rPr>
          <w:rFonts w:hint="eastAsia" w:ascii="仿宋_GB2312" w:eastAsia="仿宋_GB2312"/>
          <w:color w:val="000000"/>
          <w:sz w:val="32"/>
          <w:szCs w:val="32"/>
          <w:lang w:eastAsia="zh-CN"/>
        </w:rPr>
        <w:t>支出</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反映用于行政事业单位离退休方面的支出</w:t>
      </w:r>
      <w:r>
        <w:rPr>
          <w:rFonts w:hint="eastAsia" w:ascii="仿宋_GB2312" w:eastAsia="仿宋_GB2312"/>
          <w:color w:val="000000"/>
          <w:sz w:val="32"/>
          <w:szCs w:val="32"/>
        </w:rPr>
        <w:t>。</w:t>
      </w:r>
    </w:p>
    <w:p>
      <w:pPr>
        <w:ind w:firstLine="640" w:firstLineChars="200"/>
        <w:rPr>
          <w:rFonts w:hint="eastAsia"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住房保障</w:t>
      </w:r>
      <w:r>
        <w:rPr>
          <w:rFonts w:hint="eastAsia" w:ascii="仿宋_GB2312" w:eastAsia="仿宋_GB2312"/>
          <w:color w:val="000000"/>
          <w:sz w:val="32"/>
          <w:szCs w:val="32"/>
          <w:lang w:eastAsia="zh-CN"/>
        </w:rPr>
        <w:t>支出</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反映行政事业单位用财政拨款资金和其他资金等安排的住房改革支出</w:t>
      </w: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12</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13</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14</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8"/>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8"/>
        <w:spacing w:line="560" w:lineRule="exact"/>
        <w:ind w:firstLine="640" w:firstLineChars="200"/>
        <w:rPr>
          <w:rFonts w:ascii="仿宋_GB2312" w:eastAsia="仿宋_GB2312" w:cs="黑体"/>
          <w:sz w:val="32"/>
          <w:szCs w:val="32"/>
        </w:rPr>
      </w:pPr>
    </w:p>
    <w:p>
      <w:pPr>
        <w:spacing w:line="600" w:lineRule="exact"/>
        <w:jc w:val="center"/>
        <w:outlineLvl w:val="0"/>
        <w:rPr>
          <w:rStyle w:val="18"/>
          <w:rFonts w:ascii="黑体" w:hAnsi="黑体" w:eastAsia="黑体"/>
          <w:b w:val="0"/>
        </w:rPr>
      </w:pPr>
      <w:bookmarkStart w:id="88" w:name="_Toc15377226"/>
      <w:r>
        <w:rPr>
          <w:rFonts w:ascii="宋体"/>
          <w:b/>
          <w:color w:val="000000"/>
          <w:sz w:val="44"/>
          <w:szCs w:val="44"/>
        </w:rPr>
        <w:br w:type="page"/>
      </w:r>
      <w:bookmarkStart w:id="89" w:name="_Toc15396614"/>
      <w:bookmarkStart w:id="90" w:name="_Toc82594995"/>
      <w:r>
        <w:rPr>
          <w:rFonts w:hint="eastAsia" w:ascii="黑体" w:hAnsi="黑体" w:eastAsia="黑体"/>
          <w:color w:val="000000"/>
          <w:sz w:val="44"/>
          <w:szCs w:val="44"/>
        </w:rPr>
        <w:t>第</w:t>
      </w:r>
      <w:r>
        <w:rPr>
          <w:rStyle w:val="18"/>
          <w:rFonts w:hint="eastAsia" w:ascii="黑体" w:hAnsi="黑体" w:eastAsia="黑体"/>
          <w:b w:val="0"/>
        </w:rPr>
        <w:t>四部分</w:t>
      </w:r>
      <w:r>
        <w:rPr>
          <w:rStyle w:val="18"/>
          <w:rFonts w:ascii="黑体" w:hAnsi="黑体" w:eastAsia="黑体"/>
          <w:b w:val="0"/>
        </w:rPr>
        <w:t xml:space="preserve"> </w:t>
      </w:r>
      <w:r>
        <w:rPr>
          <w:rStyle w:val="18"/>
          <w:rFonts w:hint="eastAsia" w:ascii="黑体" w:hAnsi="黑体" w:eastAsia="黑体"/>
          <w:b w:val="0"/>
        </w:rPr>
        <w:t>附件</w:t>
      </w:r>
      <w:bookmarkEnd w:id="89"/>
      <w:bookmarkEnd w:id="90"/>
    </w:p>
    <w:p>
      <w:pPr>
        <w:spacing w:line="600" w:lineRule="exact"/>
        <w:jc w:val="left"/>
        <w:outlineLvl w:val="0"/>
        <w:rPr>
          <w:rFonts w:ascii="方正小标宋简体" w:hAnsi="方正小标宋简体" w:eastAsia="方正小标宋简体" w:cs="方正小标宋简体"/>
          <w:sz w:val="32"/>
          <w:szCs w:val="32"/>
        </w:rPr>
      </w:pPr>
      <w:bookmarkStart w:id="91" w:name="_Toc82594996"/>
      <w:r>
        <w:rPr>
          <w:rFonts w:hint="eastAsia" w:ascii="黑体" w:hAnsi="黑体" w:eastAsia="黑体" w:cs="黑体"/>
          <w:sz w:val="32"/>
          <w:szCs w:val="32"/>
        </w:rPr>
        <w:t>附件</w:t>
      </w:r>
      <w:r>
        <w:rPr>
          <w:rFonts w:ascii="黑体" w:hAnsi="黑体" w:eastAsia="黑体" w:cs="黑体"/>
          <w:sz w:val="32"/>
          <w:szCs w:val="32"/>
        </w:rPr>
        <w:t>1</w:t>
      </w:r>
      <w:bookmarkEnd w:id="91"/>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hint="eastAsia" w:ascii="方正小标宋简体" w:hAnsi="宋体" w:eastAsia="方正小标宋简体"/>
          <w:color w:val="000000"/>
          <w:kern w:val="0"/>
          <w:sz w:val="40"/>
          <w:szCs w:val="44"/>
        </w:rPr>
      </w:pPr>
      <w:r>
        <w:rPr>
          <w:rFonts w:hint="eastAsia" w:ascii="方正小标宋简体" w:hAnsi="宋体" w:eastAsia="方正小标宋简体"/>
          <w:color w:val="000000"/>
          <w:kern w:val="0"/>
          <w:sz w:val="40"/>
          <w:szCs w:val="44"/>
          <w:lang w:eastAsia="zh-CN"/>
        </w:rPr>
        <w:t>市委组织部（市委老干部局）</w:t>
      </w:r>
      <w:r>
        <w:rPr>
          <w:rFonts w:ascii="方正小标宋简体" w:hAnsi="宋体" w:eastAsia="方正小标宋简体"/>
          <w:color w:val="000000"/>
          <w:kern w:val="0"/>
          <w:sz w:val="40"/>
          <w:szCs w:val="44"/>
        </w:rPr>
        <w:t>2020</w:t>
      </w:r>
      <w:r>
        <w:rPr>
          <w:rFonts w:hint="eastAsia" w:ascii="方正小标宋简体" w:hAnsi="宋体" w:eastAsia="方正小标宋简体"/>
          <w:color w:val="000000"/>
          <w:kern w:val="0"/>
          <w:sz w:val="40"/>
          <w:szCs w:val="44"/>
        </w:rPr>
        <w:t>年部门</w:t>
      </w:r>
    </w:p>
    <w:p>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lang w:val="zh-CN"/>
        </w:rPr>
      </w:pPr>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pStyle w:val="7"/>
        <w:keepNext w:val="0"/>
        <w:keepLines w:val="0"/>
        <w:pageBreakBefore w:val="0"/>
        <w:widowControl w:val="0"/>
        <w:kinsoku/>
        <w:wordWrap/>
        <w:overflowPunct/>
        <w:topLinePunct w:val="0"/>
        <w:autoSpaceDE/>
        <w:autoSpaceDN/>
        <w:bidi w:val="0"/>
        <w:adjustRightInd w:val="0"/>
        <w:snapToGrid/>
        <w:spacing w:before="0" w:beforeLines="0" w:line="240" w:lineRule="auto"/>
        <w:ind w:left="0" w:leftChars="0" w:right="0" w:rightChars="0" w:firstLine="693" w:firstLineChars="21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市委组织部下属非独立核算单位4个，其中行政单位1个，参照公务员法管理的事业单位2个，其他事业单位1个。主要包括：市委组织部、市委老干部局、市委组织部党员教育中心</w:t>
      </w:r>
      <w:r>
        <w:rPr>
          <w:rFonts w:hint="eastAsia" w:ascii="Times New Roman" w:eastAsia="方正仿宋_GBK" w:cs="Times New Roman"/>
          <w:sz w:val="33"/>
          <w:szCs w:val="33"/>
          <w:lang w:eastAsia="zh-CN"/>
        </w:rPr>
        <w:t>、</w:t>
      </w:r>
      <w:r>
        <w:rPr>
          <w:rFonts w:hint="default" w:ascii="Times New Roman" w:hAnsi="Times New Roman" w:eastAsia="方正仿宋_GBK" w:cs="Times New Roman"/>
          <w:sz w:val="33"/>
          <w:szCs w:val="33"/>
        </w:rPr>
        <w:t>炳草岗干部休养所、老干部活动中心（老年大学</w:t>
      </w:r>
      <w:r>
        <w:rPr>
          <w:rFonts w:hint="eastAsia" w:ascii="Times New Roman" w:eastAsia="方正仿宋_GBK" w:cs="Times New Roman"/>
          <w:sz w:val="33"/>
          <w:szCs w:val="33"/>
          <w:lang w:val="en-US" w:eastAsia="zh-CN"/>
        </w:rPr>
        <w:t>)。</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（二）机构职能。</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eastAsia" w:eastAsia="方正楷体_GBK" w:cs="Times New Roman"/>
          <w:b/>
          <w:sz w:val="33"/>
          <w:szCs w:val="33"/>
          <w:lang w:val="en-US" w:eastAsia="zh-CN"/>
        </w:rPr>
        <w:t xml:space="preserve">  1.</w:t>
      </w:r>
      <w:r>
        <w:rPr>
          <w:rFonts w:hint="default" w:ascii="Times New Roman" w:hAnsi="Times New Roman" w:eastAsia="方正楷体_GBK" w:cs="Times New Roman"/>
          <w:b/>
          <w:sz w:val="33"/>
          <w:szCs w:val="33"/>
          <w:lang w:eastAsia="zh-CN"/>
        </w:rPr>
        <w:t>市委组织部</w:t>
      </w:r>
      <w:r>
        <w:rPr>
          <w:rFonts w:hint="default" w:ascii="Times New Roman" w:hAnsi="Times New Roman" w:eastAsia="方正楷体_GBK" w:cs="Times New Roman"/>
          <w:b/>
          <w:sz w:val="33"/>
          <w:szCs w:val="33"/>
        </w:rPr>
        <w:t>职能</w:t>
      </w:r>
      <w:r>
        <w:rPr>
          <w:rFonts w:hint="default" w:ascii="Times New Roman" w:hAnsi="Times New Roman" w:eastAsia="方正楷体_GBK" w:cs="Times New Roman"/>
          <w:b/>
          <w:sz w:val="33"/>
          <w:szCs w:val="33"/>
          <w:lang w:eastAsia="zh-CN"/>
        </w:rPr>
        <w:t>职责</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lang w:val="en-US" w:eastAsia="zh-CN"/>
        </w:rPr>
        <w:t xml:space="preserve">  </w:t>
      </w:r>
      <w:r>
        <w:rPr>
          <w:rFonts w:hint="eastAsia" w:eastAsia="方正仿宋_GBK" w:cs="Times New Roman"/>
          <w:sz w:val="33"/>
          <w:szCs w:val="33"/>
          <w:lang w:val="en-US" w:eastAsia="zh-CN"/>
        </w:rPr>
        <w:t xml:space="preserve"> （1）</w:t>
      </w:r>
      <w:r>
        <w:rPr>
          <w:rFonts w:hint="default" w:ascii="Times New Roman" w:hAnsi="Times New Roman" w:eastAsia="方正仿宋_GBK" w:cs="Times New Roman"/>
          <w:sz w:val="33"/>
          <w:szCs w:val="33"/>
        </w:rPr>
        <w:t>负责有关组织工作、干部工作、人才工作的理论研究及重要政策的综合研究；承担中组部、省委组织部下达的重点调研课题，指导全市组织系统调研工作。</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2</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3</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4</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研究和指导全市农村、国有企业、街道社区、机关、学校、科研院所等党的基层组织建设；负责基层党组织干部培训的组织、指导工作；指导基层党组织党员活动阵地建设；指导全市大学生村干部工作，承担大学生村干部管理办公室日常工作。</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5</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负责干部综合管理和公务员管理工作；负责市委管理干部工资、退休费比例的审批工作；具体负责综合管理市级党群机关公务员考录、考核、交流、培训、申诉、控告、非领导职务设置等工作。</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6</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7</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8</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对全市组织部门干部监督工作的综合协调和宏观指导，研究完善干部监督工作机制；负责受理“12380”信访、电话、网络举报，按干部管理权限直接或联合有关部门查办、督办，提出处理意见；办理市管干部因私事出国（境）的审批、因公出国（境）的政审。</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9</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w:t>
      </w:r>
      <w:r>
        <w:rPr>
          <w:rFonts w:hint="eastAsia" w:eastAsia="方正仿宋_GBK" w:cs="Times New Roman"/>
          <w:sz w:val="33"/>
          <w:szCs w:val="33"/>
          <w:lang w:eastAsia="zh-CN"/>
        </w:rPr>
        <w:t>（</w:t>
      </w:r>
      <w:r>
        <w:rPr>
          <w:rFonts w:hint="eastAsia" w:eastAsia="方正仿宋_GBK" w:cs="Times New Roman"/>
          <w:sz w:val="33"/>
          <w:szCs w:val="33"/>
          <w:lang w:val="en-US" w:eastAsia="zh-CN"/>
        </w:rPr>
        <w:t>10</w:t>
      </w:r>
      <w:r>
        <w:rPr>
          <w:rFonts w:hint="eastAsia" w:eastAsia="方正仿宋_GBK" w:cs="Times New Roman"/>
          <w:sz w:val="33"/>
          <w:szCs w:val="33"/>
          <w:lang w:eastAsia="zh-CN"/>
        </w:rPr>
        <w:t>）</w:t>
      </w:r>
      <w:r>
        <w:rPr>
          <w:rFonts w:hint="default" w:ascii="Times New Roman" w:hAnsi="Times New Roman" w:eastAsia="方正仿宋_GBK" w:cs="Times New Roman"/>
          <w:sz w:val="33"/>
          <w:szCs w:val="33"/>
        </w:rPr>
        <w:t>负责市定点扶贫、对口支援木里藏族自治县工作领导小组日常工作；对口联系省委藏区办、受援藏区，承办市上援藏任务的对外组织协调和工作经费管理。</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60" w:firstLineChars="200"/>
        <w:textAlignment w:val="auto"/>
        <w:outlineLvl w:val="9"/>
        <w:rPr>
          <w:rFonts w:hint="default" w:ascii="Times New Roman" w:hAnsi="Times New Roman" w:eastAsia="方正楷体_GBK" w:cs="Times New Roman"/>
          <w:b/>
          <w:sz w:val="33"/>
          <w:szCs w:val="33"/>
        </w:rPr>
      </w:pPr>
      <w:r>
        <w:rPr>
          <w:rFonts w:hint="eastAsia" w:eastAsia="方正楷体_GBK" w:cs="Times New Roman"/>
          <w:b/>
          <w:sz w:val="33"/>
          <w:szCs w:val="33"/>
          <w:lang w:val="en-US" w:eastAsia="zh-CN"/>
        </w:rPr>
        <w:t>2.</w:t>
      </w:r>
      <w:r>
        <w:rPr>
          <w:rFonts w:hint="default" w:ascii="Times New Roman" w:hAnsi="Times New Roman" w:eastAsia="方正楷体_GBK" w:cs="Times New Roman"/>
          <w:b/>
          <w:sz w:val="33"/>
          <w:szCs w:val="33"/>
        </w:rPr>
        <w:t>市委老干部局职能职责</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指导离休干部和县级以上退休干部的安置管理工作；管理、指导老干部的思想</w:t>
      </w:r>
      <w:r>
        <w:rPr>
          <w:rFonts w:hint="eastAsia" w:eastAsia="方正仿宋_GBK" w:cs="Times New Roman"/>
          <w:sz w:val="33"/>
          <w:szCs w:val="33"/>
          <w:lang w:eastAsia="zh-CN"/>
        </w:rPr>
        <w:t>政治</w:t>
      </w:r>
      <w:r>
        <w:rPr>
          <w:rFonts w:hint="default" w:ascii="Times New Roman" w:hAnsi="Times New Roman" w:eastAsia="方正仿宋_GBK" w:cs="Times New Roman"/>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60" w:firstLineChars="200"/>
        <w:textAlignment w:val="auto"/>
        <w:outlineLvl w:val="9"/>
        <w:rPr>
          <w:rFonts w:hint="default" w:ascii="Times New Roman" w:hAnsi="Times New Roman" w:eastAsia="方正楷体_GBK" w:cs="Times New Roman"/>
          <w:b/>
          <w:sz w:val="33"/>
          <w:szCs w:val="33"/>
        </w:rPr>
      </w:pPr>
      <w:r>
        <w:rPr>
          <w:rFonts w:hint="eastAsia" w:eastAsia="方正楷体_GBK" w:cs="Times New Roman"/>
          <w:b/>
          <w:sz w:val="33"/>
          <w:szCs w:val="33"/>
          <w:lang w:val="en-US" w:eastAsia="zh-CN"/>
        </w:rPr>
        <w:t>3.</w:t>
      </w:r>
      <w:r>
        <w:rPr>
          <w:rFonts w:hint="default" w:ascii="Times New Roman" w:hAnsi="Times New Roman" w:eastAsia="方正楷体_GBK" w:cs="Times New Roman"/>
          <w:b/>
          <w:sz w:val="33"/>
          <w:szCs w:val="33"/>
        </w:rPr>
        <w:t>市委“两新组织”工委职能职责</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60" w:firstLineChars="200"/>
        <w:textAlignment w:val="auto"/>
        <w:outlineLvl w:val="9"/>
        <w:rPr>
          <w:rFonts w:hint="default" w:ascii="Times New Roman" w:hAnsi="Times New Roman" w:eastAsia="方正楷体_GBK" w:cs="Times New Roman"/>
          <w:b/>
          <w:sz w:val="33"/>
          <w:szCs w:val="33"/>
        </w:rPr>
      </w:pPr>
      <w:r>
        <w:rPr>
          <w:rFonts w:hint="eastAsia" w:eastAsia="方正楷体_GBK" w:cs="Times New Roman"/>
          <w:b/>
          <w:sz w:val="33"/>
          <w:szCs w:val="33"/>
          <w:lang w:val="en-US" w:eastAsia="zh-CN"/>
        </w:rPr>
        <w:t>4.</w:t>
      </w:r>
      <w:r>
        <w:rPr>
          <w:rFonts w:hint="default" w:ascii="Times New Roman" w:hAnsi="Times New Roman" w:eastAsia="方正楷体_GBK" w:cs="Times New Roman"/>
          <w:b/>
          <w:sz w:val="33"/>
          <w:szCs w:val="33"/>
        </w:rPr>
        <w:t>市委组织部党员教育中心职能职责</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负责全市党员干部现代远程教育学习培训的组织、管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default" w:ascii="Times New Roman" w:hAnsi="Times New Roman" w:eastAsia="方正仿宋_GBK" w:cs="Times New Roman"/>
          <w:b/>
          <w:sz w:val="33"/>
          <w:szCs w:val="33"/>
        </w:rPr>
      </w:pPr>
      <w:r>
        <w:rPr>
          <w:rFonts w:hint="default" w:ascii="Times New Roman" w:hAnsi="Times New Roman" w:eastAsia="方正仿宋_GBK" w:cs="Times New Roman"/>
          <w:sz w:val="33"/>
          <w:szCs w:val="33"/>
        </w:rPr>
        <w:t>　</w:t>
      </w:r>
      <w:r>
        <w:rPr>
          <w:rFonts w:hint="default" w:ascii="Times New Roman" w:hAnsi="Times New Roman" w:eastAsia="方正楷体_GBK" w:cs="Times New Roman"/>
          <w:sz w:val="33"/>
          <w:szCs w:val="33"/>
        </w:rPr>
        <w:t>　</w:t>
      </w:r>
      <w:r>
        <w:rPr>
          <w:rFonts w:hint="eastAsia" w:eastAsia="方正楷体_GBK" w:cs="Times New Roman"/>
          <w:b/>
          <w:sz w:val="33"/>
          <w:szCs w:val="33"/>
          <w:lang w:val="en-US" w:eastAsia="zh-CN"/>
        </w:rPr>
        <w:t>5.</w:t>
      </w:r>
      <w:r>
        <w:rPr>
          <w:rFonts w:hint="default" w:ascii="Times New Roman" w:hAnsi="Times New Roman" w:eastAsia="方正楷体_GBK" w:cs="Times New Roman"/>
          <w:b/>
          <w:sz w:val="33"/>
          <w:szCs w:val="33"/>
        </w:rPr>
        <w:t>援助木里藏区工作组职能职责</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661"/>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协助做好援藏项目推进工作；协助受援单位共同做好援藏干部人才日常管理工作；了解和掌握援藏工作动态，收集、整理援藏工作信息，做好宣传报道工作，及时总结推广典型经验。</w:t>
      </w:r>
    </w:p>
    <w:p>
      <w:pPr>
        <w:keepNext w:val="0"/>
        <w:keepLines w:val="0"/>
        <w:pageBreakBefore w:val="0"/>
        <w:widowControl w:val="0"/>
        <w:kinsoku/>
        <w:wordWrap/>
        <w:overflowPunct/>
        <w:topLinePunct w:val="0"/>
        <w:autoSpaceDE/>
        <w:autoSpaceDN/>
        <w:bidi w:val="0"/>
        <w:snapToGrid/>
        <w:spacing w:line="240" w:lineRule="auto"/>
        <w:ind w:left="0" w:leftChars="0" w:right="0" w:rightChars="0"/>
        <w:textAlignment w:val="auto"/>
        <w:outlineLvl w:val="9"/>
        <w:rPr>
          <w:rFonts w:hint="eastAsia" w:ascii="Times New Roman" w:hAnsi="Times New Roman" w:eastAsia="方正楷体_GBK" w:cs="Times New Roman"/>
          <w:b/>
          <w:sz w:val="33"/>
          <w:szCs w:val="33"/>
          <w:lang w:val="zh-CN"/>
        </w:rPr>
      </w:pPr>
      <w:r>
        <w:rPr>
          <w:rFonts w:hint="eastAsia" w:eastAsia="方正楷体_GBK" w:cs="Times New Roman"/>
          <w:b/>
          <w:sz w:val="33"/>
          <w:szCs w:val="33"/>
          <w:lang w:val="en-US" w:eastAsia="zh-CN"/>
        </w:rPr>
        <w:t xml:space="preserve">   </w:t>
      </w:r>
      <w:r>
        <w:rPr>
          <w:rFonts w:hint="eastAsia" w:ascii="仿宋_GB2312" w:hAnsi="宋体" w:eastAsia="仿宋_GB2312" w:cs="宋体"/>
          <w:color w:val="000000"/>
          <w:kern w:val="0"/>
          <w:sz w:val="32"/>
          <w:szCs w:val="32"/>
          <w:shd w:val="clear" w:color="auto" w:fill="FFFFFF"/>
          <w:lang w:val="zh-CN"/>
        </w:rPr>
        <w:t>（三）人员概况。</w:t>
      </w:r>
    </w:p>
    <w:p>
      <w:pPr>
        <w:widowControl/>
        <w:numPr>
          <w:ilvl w:val="0"/>
          <w:numId w:val="0"/>
        </w:numPr>
        <w:adjustRightInd w:val="0"/>
        <w:snapToGrid w:val="0"/>
        <w:spacing w:line="580" w:lineRule="exact"/>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 w:hAnsi="仿宋" w:eastAsia="仿宋" w:cs="仿宋_GB2312"/>
          <w:sz w:val="32"/>
          <w:szCs w:val="32"/>
          <w:lang w:val="en-US" w:eastAsia="zh-CN"/>
        </w:rPr>
        <w:t xml:space="preserve">    </w:t>
      </w:r>
      <w:r>
        <w:rPr>
          <w:rFonts w:hint="eastAsia" w:ascii="仿宋" w:hAnsi="仿宋" w:eastAsia="仿宋" w:cs="仿宋_GB2312"/>
          <w:sz w:val="32"/>
          <w:szCs w:val="32"/>
          <w:lang w:eastAsia="zh-CN"/>
        </w:rPr>
        <w:t>截止</w:t>
      </w:r>
      <w:r>
        <w:rPr>
          <w:rFonts w:hint="eastAsia" w:ascii="仿宋" w:hAnsi="仿宋" w:eastAsia="仿宋" w:cs="仿宋_GB2312"/>
          <w:sz w:val="32"/>
          <w:szCs w:val="32"/>
          <w:lang w:val="en-US" w:eastAsia="zh-CN"/>
        </w:rPr>
        <w:t>2020年底，市委组织部（市委老干部局）实有行政人员58人，实有参照公务员14人，实有财政补助人员10人，实有离休人员1人。</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spacing w:line="580" w:lineRule="exact"/>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2020年部门财政拨款收入2,262.08万元。</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（二）部门财政资金支出情况。</w:t>
      </w:r>
    </w:p>
    <w:p>
      <w:pPr>
        <w:numPr>
          <w:ilvl w:val="0"/>
          <w:numId w:val="0"/>
        </w:numPr>
        <w:spacing w:line="580" w:lineRule="exact"/>
        <w:rPr>
          <w:rFonts w:hint="eastAsia" w:ascii="仿宋" w:hAnsi="仿宋" w:eastAsia="仿宋" w:cs="仿宋_GB2312"/>
          <w:sz w:val="32"/>
          <w:szCs w:val="32"/>
          <w:lang w:val="en-US" w:eastAsia="zh-CN"/>
        </w:rPr>
      </w:pPr>
      <w:r>
        <w:rPr>
          <w:rFonts w:hint="eastAsia" w:eastAsia="仿宋_GB2312" w:cs="Times New Roman"/>
          <w:color w:val="000000"/>
          <w:kern w:val="0"/>
          <w:sz w:val="32"/>
          <w:szCs w:val="32"/>
          <w:shd w:val="clear" w:color="auto" w:fill="FFFFFF"/>
          <w:lang w:val="en-US" w:eastAsia="zh-CN"/>
        </w:rPr>
        <w:t xml:space="preserve">    </w:t>
      </w:r>
      <w:r>
        <w:rPr>
          <w:rFonts w:hint="eastAsia" w:ascii="仿宋" w:hAnsi="仿宋" w:eastAsia="仿宋" w:cs="仿宋_GB2312"/>
          <w:sz w:val="32"/>
          <w:szCs w:val="32"/>
          <w:lang w:val="en-US" w:eastAsia="zh-CN"/>
        </w:rPr>
        <w:t>2020年部门财政拨款支出2,231.89万元。</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根据</w:t>
      </w:r>
      <w:r>
        <w:rPr>
          <w:rFonts w:hint="eastAsia" w:ascii="仿宋" w:hAnsi="仿宋" w:eastAsia="仿宋" w:cs="仿宋_GB2312"/>
          <w:sz w:val="32"/>
          <w:szCs w:val="32"/>
          <w:lang w:val="en-US" w:eastAsia="zh-CN"/>
        </w:rPr>
        <w:t>2019年</w:t>
      </w:r>
      <w:r>
        <w:rPr>
          <w:rFonts w:hint="eastAsia" w:ascii="仿宋" w:hAnsi="仿宋" w:eastAsia="仿宋" w:cs="仿宋_GB2312"/>
          <w:sz w:val="32"/>
          <w:szCs w:val="32"/>
          <w:lang w:eastAsia="zh-CN"/>
        </w:rPr>
        <w:t>工作任务制定了部门绩效目标，编制了较准确的部门预算，预算执行进度与目标执行情况基本一致，资金进度严格按照预算执行情况支出，没有违规</w:t>
      </w:r>
      <w:r>
        <w:rPr>
          <w:rFonts w:hint="eastAsia" w:ascii="仿宋" w:hAnsi="仿宋" w:eastAsia="仿宋" w:cs="仿宋_GB2312"/>
          <w:sz w:val="32"/>
          <w:szCs w:val="32"/>
        </w:rPr>
        <w:t>使用资金</w:t>
      </w:r>
      <w:r>
        <w:rPr>
          <w:rFonts w:hint="eastAsia" w:ascii="仿宋" w:hAnsi="仿宋" w:eastAsia="仿宋" w:cs="仿宋_GB2312"/>
          <w:sz w:val="32"/>
          <w:szCs w:val="32"/>
          <w:lang w:eastAsia="zh-CN"/>
        </w:rPr>
        <w:t>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包括绩效自评公开、评价结果整改和应用结果反馈等情况。</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仿宋_GB2312" w:eastAsia="仿宋_GB2312" w:cs="仿宋_GB2312"/>
          <w:sz w:val="32"/>
          <w:szCs w:val="32"/>
          <w:lang w:eastAsia="zh-CN"/>
        </w:rPr>
        <w:t>较好</w:t>
      </w:r>
      <w:r>
        <w:rPr>
          <w:rFonts w:hint="eastAsia" w:ascii="仿宋_GB2312" w:hAnsi="仿宋_GB2312" w:eastAsia="仿宋_GB2312" w:cs="仿宋_GB2312"/>
          <w:sz w:val="32"/>
          <w:szCs w:val="32"/>
          <w:lang w:val="zh-CN"/>
        </w:rPr>
        <w:t>保障了机关正常运转、履行职能职责较好，财</w:t>
      </w:r>
      <w:r>
        <w:rPr>
          <w:rFonts w:eastAsia="方正仿宋_GBK"/>
          <w:sz w:val="33"/>
          <w:szCs w:val="33"/>
          <w:lang w:val="zh-CN"/>
        </w:rPr>
        <w:t>务管理健全规范，没有发生违法违规的现象。</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（二）存在问题。</w:t>
      </w:r>
    </w:p>
    <w:p>
      <w:pPr>
        <w:spacing w:line="580" w:lineRule="exact"/>
        <w:ind w:firstLine="660" w:firstLineChars="200"/>
        <w:rPr>
          <w:rFonts w:ascii="仿宋" w:hAnsi="仿宋" w:eastAsia="仿宋" w:cs="仿宋_GB2312"/>
          <w:sz w:val="32"/>
          <w:szCs w:val="32"/>
        </w:rPr>
      </w:pPr>
      <w:r>
        <w:rPr>
          <w:rFonts w:eastAsia="方正仿宋_GBK"/>
          <w:color w:val="000000"/>
          <w:sz w:val="33"/>
          <w:szCs w:val="33"/>
        </w:rPr>
        <w:t>一是绩效监控、中期评估不够，绩效评价实效性不强。二是</w:t>
      </w:r>
      <w:r>
        <w:rPr>
          <w:rFonts w:eastAsia="方正仿宋_GBK"/>
          <w:sz w:val="33"/>
          <w:szCs w:val="33"/>
          <w:lang w:val="zh-CN"/>
        </w:rPr>
        <w:t>项目支出绩效目标设立不够准确、细化和量化，导致项目实施</w:t>
      </w:r>
      <w:r>
        <w:rPr>
          <w:rFonts w:hint="eastAsia" w:eastAsia="方正仿宋_GBK"/>
          <w:sz w:val="33"/>
          <w:szCs w:val="33"/>
          <w:lang w:val="zh-CN"/>
        </w:rPr>
        <w:t>进度相对目标滞后。</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spacing w:line="560" w:lineRule="exact"/>
        <w:ind w:firstLine="660" w:firstLineChars="200"/>
        <w:rPr>
          <w:rFonts w:eastAsia="方正仿宋_GBK"/>
          <w:color w:val="000000"/>
          <w:sz w:val="33"/>
          <w:szCs w:val="33"/>
        </w:rPr>
      </w:pPr>
      <w:r>
        <w:rPr>
          <w:rFonts w:eastAsia="方正仿宋_GBK"/>
          <w:color w:val="000000"/>
          <w:sz w:val="33"/>
          <w:szCs w:val="33"/>
        </w:rPr>
        <w:t>一是加强财政资金绩效管理，学习运用科学合理的绩效评价方法，提高财政资金使用效益。二是加强部门职能目标绩效管理工作，</w:t>
      </w:r>
      <w:r>
        <w:rPr>
          <w:rFonts w:hint="eastAsia" w:eastAsia="方正仿宋_GBK"/>
          <w:color w:val="000000"/>
          <w:sz w:val="33"/>
          <w:szCs w:val="32"/>
        </w:rPr>
        <w:t>增强工作的计划性、统筹力，科学合理设置职能目标，落实好</w:t>
      </w:r>
      <w:r>
        <w:rPr>
          <w:rFonts w:hint="eastAsia" w:eastAsia="方正仿宋_GBK"/>
          <w:color w:val="000000"/>
          <w:sz w:val="33"/>
          <w:szCs w:val="32"/>
          <w:lang w:eastAsia="zh-CN"/>
        </w:rPr>
        <w:t>组织工作</w:t>
      </w:r>
      <w:r>
        <w:rPr>
          <w:rFonts w:hint="eastAsia" w:eastAsia="方正仿宋_GBK"/>
          <w:color w:val="000000"/>
          <w:sz w:val="33"/>
          <w:szCs w:val="32"/>
        </w:rPr>
        <w:t>重点任务，</w:t>
      </w:r>
      <w:r>
        <w:rPr>
          <w:rFonts w:eastAsia="方正仿宋_GBK"/>
          <w:color w:val="000000"/>
          <w:sz w:val="33"/>
          <w:szCs w:val="33"/>
        </w:rPr>
        <w:t>奋力</w:t>
      </w:r>
      <w:r>
        <w:rPr>
          <w:rFonts w:hint="eastAsia" w:eastAsia="方正仿宋_GBK"/>
          <w:color w:val="000000"/>
          <w:sz w:val="33"/>
          <w:szCs w:val="33"/>
          <w:lang w:eastAsia="zh-CN"/>
        </w:rPr>
        <w:t>为建设</w:t>
      </w:r>
      <w:r>
        <w:rPr>
          <w:rFonts w:eastAsia="方正仿宋_GBK"/>
          <w:color w:val="000000"/>
          <w:sz w:val="33"/>
          <w:szCs w:val="33"/>
        </w:rPr>
        <w:t>美丽繁荣和谐攀枝花建设</w:t>
      </w:r>
      <w:r>
        <w:rPr>
          <w:rFonts w:hint="eastAsia" w:eastAsia="方正仿宋_GBK"/>
          <w:color w:val="000000"/>
          <w:sz w:val="33"/>
          <w:szCs w:val="33"/>
          <w:lang w:eastAsia="zh-CN"/>
        </w:rPr>
        <w:t>提供坚强组织保证</w:t>
      </w:r>
      <w:r>
        <w:rPr>
          <w:rFonts w:eastAsia="方正仿宋_GBK"/>
          <w:color w:val="000000"/>
          <w:sz w:val="33"/>
          <w:szCs w:val="33"/>
        </w:rPr>
        <w:t>。</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w:t>
      </w:r>
      <w:r>
        <w:rPr>
          <w:rFonts w:ascii="黑体" w:hAnsi="黑体" w:eastAsia="黑体" w:cs="黑体"/>
          <w:sz w:val="32"/>
          <w:szCs w:val="32"/>
        </w:rPr>
        <w:t>2</w:t>
      </w:r>
    </w:p>
    <w:p>
      <w:pPr>
        <w:spacing w:line="580" w:lineRule="exact"/>
        <w:ind w:firstLine="640" w:firstLineChars="200"/>
        <w:rPr>
          <w:rFonts w:ascii="仿宋_GB2312" w:hAnsi="仿宋_GB2312" w:eastAsia="仿宋_GB2312" w:cs="仿宋_GB2312"/>
          <w:sz w:val="32"/>
          <w:szCs w:val="32"/>
        </w:rPr>
      </w:pPr>
    </w:p>
    <w:p>
      <w:pPr>
        <w:spacing w:line="600" w:lineRule="exact"/>
        <w:jc w:val="center"/>
        <w:rPr>
          <w:rFonts w:hint="default" w:ascii="Times New Roman" w:hAnsi="Times New Roman" w:eastAsia="方正小标宋简体" w:cs="Times New Roman"/>
          <w:color w:val="000000"/>
          <w:kern w:val="0"/>
          <w:sz w:val="44"/>
          <w:szCs w:val="44"/>
          <w:lang w:val="zh-CN"/>
        </w:rPr>
      </w:pPr>
      <w:r>
        <w:rPr>
          <w:rFonts w:hint="default" w:ascii="Times New Roman" w:hAnsi="Times New Roman" w:eastAsia="方正小标宋简体" w:cs="Times New Roman"/>
          <w:color w:val="000000"/>
          <w:kern w:val="0"/>
          <w:sz w:val="44"/>
          <w:szCs w:val="44"/>
          <w:lang w:val="zh-CN" w:eastAsia="zh-CN"/>
        </w:rPr>
        <w:t>市委组织部人才专项经费</w:t>
      </w:r>
      <w:r>
        <w:rPr>
          <w:rFonts w:hint="default" w:ascii="Times New Roman" w:hAnsi="Times New Roman" w:eastAsia="方正小标宋简体" w:cs="Times New Roman"/>
          <w:color w:val="000000"/>
          <w:kern w:val="0"/>
          <w:sz w:val="44"/>
          <w:szCs w:val="44"/>
          <w:lang w:val="zh-CN"/>
        </w:rPr>
        <w:t>项目</w:t>
      </w:r>
    </w:p>
    <w:p>
      <w:pPr>
        <w:spacing w:line="600" w:lineRule="exact"/>
        <w:jc w:val="center"/>
        <w:rPr>
          <w:rFonts w:ascii="方正小标宋简体" w:hAnsi="宋体" w:eastAsia="方正小标宋简体"/>
          <w:color w:val="000000"/>
          <w:kern w:val="0"/>
          <w:sz w:val="44"/>
          <w:szCs w:val="44"/>
          <w:lang w:val="zh-CN"/>
        </w:rPr>
      </w:pPr>
      <w:r>
        <w:rPr>
          <w:rFonts w:ascii="方正小标宋简体" w:hAnsi="宋体" w:eastAsia="方正小标宋简体"/>
          <w:color w:val="000000"/>
          <w:kern w:val="0"/>
          <w:sz w:val="44"/>
          <w:szCs w:val="44"/>
        </w:rPr>
        <w:t>2020</w:t>
      </w:r>
      <w:r>
        <w:rPr>
          <w:rFonts w:hint="eastAsia" w:ascii="方正小标宋简体" w:hAnsi="宋体" w:eastAsia="方正小标宋简体"/>
          <w:color w:val="000000"/>
          <w:kern w:val="0"/>
          <w:sz w:val="44"/>
          <w:szCs w:val="44"/>
        </w:rPr>
        <w:t>年</w:t>
      </w:r>
      <w:r>
        <w:rPr>
          <w:rFonts w:hint="eastAsia" w:ascii="方正小标宋简体" w:hAnsi="宋体" w:eastAsia="方正小标宋简体"/>
          <w:color w:val="000000"/>
          <w:kern w:val="0"/>
          <w:sz w:val="44"/>
          <w:szCs w:val="44"/>
          <w:lang w:val="zh-CN"/>
        </w:rPr>
        <w:t>绩效评价报告</w:t>
      </w:r>
    </w:p>
    <w:p>
      <w:pPr>
        <w:spacing w:line="600" w:lineRule="exact"/>
        <w:rPr>
          <w:rFonts w:asci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600" w:lineRule="exact"/>
        <w:ind w:firstLine="720"/>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1.我部在该项目管理中的职能。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60" w:firstLineChars="200"/>
        <w:jc w:val="both"/>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2.项目立项、资金申报的依据。</w:t>
      </w:r>
      <w:r>
        <w:rPr>
          <w:rFonts w:hint="default" w:ascii="Times New Roman" w:hAnsi="Times New Roman" w:eastAsia="仿宋_GB2312" w:cs="Times New Roman"/>
          <w:sz w:val="32"/>
          <w:szCs w:val="32"/>
          <w:lang w:val="en-US" w:eastAsia="zh-CN"/>
        </w:rPr>
        <w:t>该项目立项、资金申报依据为《攀枝花市市级财政人才专项资金管理办法》（攀财社</w:t>
      </w:r>
      <w:r>
        <w:rPr>
          <w:rFonts w:hint="default" w:ascii="Times New Roman" w:hAnsi="Times New Roman" w:eastAsia="方正仿宋_GBK" w:cs="Times New Roman"/>
          <w:sz w:val="32"/>
          <w:szCs w:val="32"/>
          <w:lang w:val="en-US" w:eastAsia="zh-CN"/>
        </w:rPr>
        <w:t>〔2017〕24号</w:t>
      </w:r>
      <w:r>
        <w:rPr>
          <w:rFonts w:hint="default" w:ascii="Times New Roman" w:hAnsi="Times New Roman" w:eastAsia="仿宋_GB2312" w:cs="Times New Roman"/>
          <w:sz w:val="32"/>
          <w:szCs w:val="32"/>
          <w:lang w:val="en-US" w:eastAsia="zh-CN"/>
        </w:rPr>
        <w:t>）。</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3.资金管理办法制定情况，资金支持具体项目的条件、范围与支持方式概况。</w:t>
      </w:r>
      <w:r>
        <w:rPr>
          <w:rFonts w:hint="default" w:ascii="Times New Roman" w:hAnsi="Times New Roman" w:eastAsia="仿宋_GB2312" w:cs="Times New Roman"/>
          <w:sz w:val="32"/>
          <w:szCs w:val="32"/>
          <w:lang w:val="en-US" w:eastAsia="zh-CN"/>
        </w:rPr>
        <w:t>为了加强财政专项资金管理，强化支出责任，建立科学、合理的专项资金绩效评价管理体系，市财政局制定了《攀枝花市市级财政人才专项资金管理办法》，该办法管理下的人才专项资金资助对象则具备健全的财务核算和管理体系；项目所有开支均按照相关制度执行，资金的使用全部实行专账管理。专项资金适用范围有：高层次和紧缺人才引进培养资助、创新型企业和创新创业团队扶持、创新创业平台和基地建设、重大人才计划实施、支持用人主体引才育才以及市委和市政府确定的其他人才专项经费等。专项资金主要按照“合理规划、科学认证，统一分配、专款专用，严格考核、绩效挂钩”的原则进行分配管理。</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sz w:val="32"/>
          <w:szCs w:val="32"/>
          <w:lang w:val="zh-CN"/>
        </w:rPr>
        <w:t>4</w:t>
      </w:r>
      <w:r>
        <w:rPr>
          <w:rFonts w:hint="eastAsia" w:ascii="仿宋_GB2312" w:hAnsi="宋体" w:eastAsia="仿宋_GB2312"/>
          <w:sz w:val="32"/>
          <w:szCs w:val="32"/>
          <w:lang w:val="zh-CN"/>
        </w:rPr>
        <w:t>．资金分配的原则及考虑因素。</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1.项目主要内容。</w:t>
      </w:r>
      <w:r>
        <w:rPr>
          <w:rFonts w:hint="default" w:ascii="Times New Roman" w:hAnsi="Times New Roman" w:eastAsia="仿宋_GB2312" w:cs="Times New Roman"/>
          <w:sz w:val="32"/>
          <w:szCs w:val="32"/>
          <w:lang w:val="en-US" w:eastAsia="zh-CN"/>
        </w:rPr>
        <w:t>完成20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年度市委组织部负责的人才队伍建设项目的实施。</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2.项目应实现的具体绩效目标。</w:t>
      </w:r>
      <w:r>
        <w:rPr>
          <w:rFonts w:hint="default" w:ascii="Times New Roman" w:hAnsi="Times New Roman" w:eastAsia="仿宋_GB2312" w:cs="Times New Roman"/>
          <w:sz w:val="32"/>
          <w:szCs w:val="32"/>
          <w:lang w:val="en-US" w:eastAsia="zh-CN"/>
        </w:rPr>
        <w:t>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年，市委组织部主要开展了2020攀西联合专场招聘活动，且保证了项目实施进度100%完成。</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3.申报项目是否与实际相符，是否合理可行。</w:t>
      </w:r>
      <w:r>
        <w:rPr>
          <w:rFonts w:hint="default" w:ascii="Times New Roman" w:hAnsi="Times New Roman" w:eastAsia="仿宋_GB2312" w:cs="Times New Roman"/>
          <w:sz w:val="32"/>
          <w:szCs w:val="32"/>
          <w:lang w:val="en-US" w:eastAsia="zh-CN"/>
        </w:rPr>
        <w:t>项目申报内容与实际工作相符，申报目标合理可行。</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我部收到绩效评价工作通知后，及时转发了文件，提出了具体要求，认真组织相关业务科室开展市委组织部20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年人才专项资金项目绩效自评工作，填报自评表，由人才工作科与办公室审核汇总形成自查报告。所有评价以相关资料为基础，经过认真审核和核对，分析得出自评结果，形成自评结论。</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根据《攀枝花市市级财政人才专项资金管理办法》的相关规定，由业务科室提出资金使用计划和方案，经我部审核后会同财政协商同意后，财政下发资金文件。</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1.资金计划。</w:t>
      </w:r>
      <w:r>
        <w:rPr>
          <w:rFonts w:hint="default" w:ascii="Times New Roman" w:hAnsi="Times New Roman" w:eastAsia="仿宋_GB2312" w:cs="Times New Roman"/>
          <w:sz w:val="32"/>
          <w:szCs w:val="32"/>
          <w:lang w:val="en-US" w:eastAsia="zh-CN"/>
        </w:rPr>
        <w:t>该项目申请市级人才专项资金</w:t>
      </w:r>
      <w:r>
        <w:rPr>
          <w:rFonts w:hint="eastAsia" w:eastAsia="方正仿宋_GBK"/>
          <w:sz w:val="33"/>
          <w:szCs w:val="33"/>
          <w:lang w:val="en-US" w:eastAsia="zh-CN"/>
        </w:rPr>
        <w:t>28.825</w:t>
      </w:r>
      <w:r>
        <w:rPr>
          <w:rFonts w:hint="default" w:ascii="Times New Roman" w:hAnsi="Times New Roman" w:eastAsia="仿宋_GB2312" w:cs="Times New Roman"/>
          <w:sz w:val="32"/>
          <w:szCs w:val="32"/>
          <w:lang w:val="en-US" w:eastAsia="zh-CN"/>
        </w:rPr>
        <w:t>万元。</w:t>
      </w:r>
      <w:r>
        <w:rPr>
          <w:rFonts w:hint="eastAsia" w:eastAsia="仿宋_GB2312" w:cs="Times New Roman"/>
          <w:sz w:val="32"/>
          <w:szCs w:val="32"/>
          <w:lang w:val="en-US" w:eastAsia="zh-CN"/>
        </w:rPr>
        <w:t>用于开展</w:t>
      </w:r>
      <w:r>
        <w:rPr>
          <w:rFonts w:hint="default" w:ascii="Times New Roman" w:hAnsi="Times New Roman" w:eastAsia="仿宋_GB2312" w:cs="Times New Roman"/>
          <w:sz w:val="32"/>
          <w:szCs w:val="32"/>
          <w:lang w:val="en-US" w:eastAsia="zh-CN"/>
        </w:rPr>
        <w:t>2020攀西联合专场招聘活动。</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2.资金到位。</w:t>
      </w:r>
      <w:r>
        <w:rPr>
          <w:rFonts w:hint="default" w:ascii="Times New Roman" w:hAnsi="Times New Roman" w:eastAsia="仿宋_GB2312" w:cs="Times New Roman"/>
          <w:sz w:val="32"/>
          <w:szCs w:val="32"/>
          <w:lang w:val="en-US" w:eastAsia="zh-CN"/>
        </w:rPr>
        <w:t>该项目实际到位资金</w:t>
      </w:r>
      <w:r>
        <w:rPr>
          <w:rFonts w:hint="eastAsia" w:eastAsia="方正仿宋_GBK"/>
          <w:sz w:val="33"/>
          <w:szCs w:val="33"/>
          <w:lang w:val="en-US" w:eastAsia="zh-CN"/>
        </w:rPr>
        <w:t>28.825</w:t>
      </w:r>
      <w:r>
        <w:rPr>
          <w:rFonts w:hint="default" w:ascii="Times New Roman" w:hAnsi="Times New Roman" w:eastAsia="仿宋_GB2312" w:cs="Times New Roman"/>
          <w:sz w:val="32"/>
          <w:szCs w:val="32"/>
          <w:lang w:val="en-US" w:eastAsia="zh-CN"/>
        </w:rPr>
        <w:t>万元。市委组织部20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年人才专项资金项目通过向市财政发函形式，请求予以拨付，在收到资金拨付的函件后，市财政第一时间拨付相关项目资金，资金到位率100%，到位及时性较强，未影响项目的推进进度。</w:t>
      </w:r>
    </w:p>
    <w:p>
      <w:pPr>
        <w:adjustRightInd w:val="0"/>
        <w:snapToGrid w:val="0"/>
        <w:spacing w:line="600" w:lineRule="exact"/>
        <w:ind w:firstLine="72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3.资金使用。</w:t>
      </w:r>
      <w:r>
        <w:rPr>
          <w:rFonts w:hint="default" w:ascii="Times New Roman" w:hAnsi="Times New Roman" w:eastAsia="仿宋_GB2312" w:cs="Times New Roman"/>
          <w:sz w:val="32"/>
          <w:szCs w:val="32"/>
          <w:lang w:val="en-US" w:eastAsia="zh-CN"/>
        </w:rPr>
        <w:t>该项目实际使用资金</w:t>
      </w:r>
      <w:r>
        <w:rPr>
          <w:rFonts w:hint="eastAsia" w:eastAsia="方正仿宋_GBK"/>
          <w:sz w:val="33"/>
          <w:szCs w:val="33"/>
          <w:lang w:val="en-US" w:eastAsia="zh-CN"/>
        </w:rPr>
        <w:t>28.825</w:t>
      </w:r>
      <w:r>
        <w:rPr>
          <w:rFonts w:hint="default" w:ascii="Times New Roman" w:hAnsi="Times New Roman" w:eastAsia="仿宋_GB2312" w:cs="Times New Roman"/>
          <w:sz w:val="32"/>
          <w:szCs w:val="32"/>
          <w:lang w:val="en-US" w:eastAsia="zh-CN"/>
        </w:rPr>
        <w:t>万元。截止市委组织部20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人才专项资金项目绩效评估时，专项资金已全部支出，支出率达到100%。经资金使用追溯情况来看，资金使用的安全性、规范性及有效性良好，资金支付范围、支付标准、支付进度、支付依据等合法合规，与预算相符。</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该项目资金严格按照我单位财务管理制度和《</w:t>
      </w:r>
      <w:r>
        <w:rPr>
          <w:rFonts w:hint="default" w:ascii="Times New Roman" w:hAnsi="Times New Roman" w:eastAsia="仿宋_GB2312" w:cs="Times New Roman"/>
          <w:sz w:val="32"/>
          <w:szCs w:val="32"/>
          <w:lang w:val="en-US" w:eastAsia="zh-CN"/>
        </w:rPr>
        <w:t>攀枝花市市级财政人才专项资金管理办法</w:t>
      </w:r>
      <w:r>
        <w:rPr>
          <w:rFonts w:hint="default" w:ascii="Times New Roman" w:hAnsi="Times New Roman" w:eastAsia="仿宋_GB2312" w:cs="Times New Roman"/>
          <w:sz w:val="32"/>
          <w:szCs w:val="32"/>
          <w:lang w:val="zh-CN"/>
        </w:rPr>
        <w:t>》的要求进行会计核算，财务管理制度健全，账务处理及时，会计核算合乎规范，资金使用与具体项目实施内容相符。</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r>
        <w:rPr>
          <w:rFonts w:hint="default" w:ascii="Times New Roman" w:hAnsi="Times New Roman" w:eastAsia="仿宋_GB2312" w:cs="Times New Roman"/>
          <w:sz w:val="32"/>
          <w:szCs w:val="32"/>
          <w:lang w:val="zh-CN" w:eastAsia="zh-CN"/>
        </w:rPr>
        <w:t>项目为政府购买服务项目，由相关业务科室提出政府采购预算，经财政审核批复后按照政府采购管理办法和流程组织实施。</w:t>
      </w:r>
    </w:p>
    <w:p>
      <w:pPr>
        <w:spacing w:line="580" w:lineRule="exact"/>
        <w:ind w:firstLine="643" w:firstLineChars="200"/>
        <w:rPr>
          <w:rFonts w:hint="default" w:ascii="Times New Roman" w:hAnsi="Times New Roman" w:eastAsia="仿宋_GB2312" w:cs="Times New Roman"/>
          <w:sz w:val="32"/>
          <w:szCs w:val="32"/>
          <w:lang w:val="en-US" w:eastAsia="zh-CN"/>
        </w:rPr>
      </w:pPr>
      <w:r>
        <w:rPr>
          <w:rFonts w:hint="eastAsia" w:ascii="楷体_GB2312" w:hAnsi="宋体" w:eastAsia="楷体_GB2312"/>
          <w:b/>
          <w:sz w:val="32"/>
          <w:szCs w:val="32"/>
          <w:lang w:val="zh-CN"/>
        </w:rPr>
        <w:t>（二）项目管理情况。</w:t>
      </w:r>
      <w:r>
        <w:rPr>
          <w:rFonts w:hint="default" w:ascii="Times New Roman" w:hAnsi="Times New Roman" w:eastAsia="仿宋_GB2312" w:cs="Times New Roman"/>
          <w:sz w:val="32"/>
          <w:szCs w:val="32"/>
          <w:lang w:val="zh-CN" w:eastAsia="zh-CN"/>
        </w:rPr>
        <w:t>市委组织部</w:t>
      </w:r>
      <w:r>
        <w:rPr>
          <w:rFonts w:hint="default" w:ascii="Times New Roman" w:hAnsi="Times New Roman" w:eastAsia="仿宋_GB2312" w:cs="Times New Roman"/>
          <w:sz w:val="32"/>
          <w:szCs w:val="32"/>
          <w:lang w:val="en-US" w:eastAsia="zh-CN"/>
        </w:rPr>
        <w:t>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年人才专项资金各项目由市委组织部牵头实施，严格按照相关法律法规及项目管理制度执行，符合招投标、政府采购、项目公示制等相关规定。</w:t>
      </w:r>
    </w:p>
    <w:p>
      <w:pPr>
        <w:spacing w:line="580" w:lineRule="exact"/>
        <w:ind w:firstLine="643" w:firstLineChars="20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default" w:ascii="Times New Roman" w:hAnsi="Times New Roman" w:eastAsia="仿宋_GB2312" w:cs="Times New Roman"/>
          <w:sz w:val="32"/>
          <w:szCs w:val="32"/>
          <w:lang w:val="zh-CN" w:eastAsia="zh-CN"/>
        </w:rPr>
        <w:t>驻部纪检监察组对专项资金的安排、使用中各科室履职情况，项目实施中各科室履职情况进行监督检查。</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r>
        <w:rPr>
          <w:rFonts w:hint="default" w:ascii="Times New Roman" w:hAnsi="Times New Roman" w:eastAsia="楷体_GB2312" w:cs="Times New Roman"/>
          <w:b/>
          <w:sz w:val="32"/>
          <w:szCs w:val="32"/>
          <w:lang w:val="zh-CN"/>
        </w:rPr>
        <w:t>（一）项目完成情况。</w:t>
      </w:r>
      <w:r>
        <w:rPr>
          <w:rFonts w:hint="default" w:ascii="Times New Roman" w:hAnsi="Times New Roman" w:eastAsia="仿宋_GB2312" w:cs="Times New Roman"/>
          <w:sz w:val="32"/>
          <w:szCs w:val="32"/>
        </w:rPr>
        <w:t>项目全年预算数</w:t>
      </w:r>
      <w:r>
        <w:rPr>
          <w:rFonts w:hint="eastAsia" w:eastAsia="方正仿宋_GBK"/>
          <w:sz w:val="33"/>
          <w:szCs w:val="33"/>
          <w:lang w:val="en-US" w:eastAsia="zh-CN"/>
        </w:rPr>
        <w:t>28.825</w:t>
      </w:r>
      <w:r>
        <w:rPr>
          <w:rFonts w:hint="default" w:ascii="Times New Roman" w:hAnsi="Times New Roman" w:eastAsia="仿宋_GB2312" w:cs="Times New Roman"/>
          <w:sz w:val="32"/>
          <w:szCs w:val="32"/>
        </w:rPr>
        <w:t>万元，执行数为</w:t>
      </w:r>
      <w:r>
        <w:rPr>
          <w:rFonts w:hint="eastAsia" w:eastAsia="方正仿宋_GBK"/>
          <w:sz w:val="33"/>
          <w:szCs w:val="33"/>
          <w:lang w:val="en-US" w:eastAsia="zh-CN"/>
        </w:rPr>
        <w:t>28.825</w:t>
      </w:r>
      <w:r>
        <w:rPr>
          <w:rFonts w:hint="default" w:ascii="Times New Roman" w:hAnsi="Times New Roman" w:eastAsia="仿宋_GB2312" w:cs="Times New Roman"/>
          <w:sz w:val="32"/>
          <w:szCs w:val="32"/>
        </w:rPr>
        <w:t>万元，完成预算的100%。</w:t>
      </w:r>
      <w:r>
        <w:rPr>
          <w:rFonts w:hint="default" w:ascii="Times New Roman" w:hAnsi="Times New Roman" w:eastAsia="仿宋_GB2312" w:cs="Times New Roman"/>
          <w:sz w:val="32"/>
          <w:szCs w:val="32"/>
          <w:lang w:eastAsia="zh-CN"/>
        </w:rPr>
        <w:t>主要完成了</w:t>
      </w:r>
      <w:r>
        <w:rPr>
          <w:rFonts w:hint="default" w:ascii="Times New Roman" w:hAnsi="Times New Roman" w:eastAsia="仿宋_GB2312" w:cs="Times New Roman"/>
          <w:sz w:val="32"/>
          <w:szCs w:val="32"/>
          <w:lang w:val="en-US" w:eastAsia="zh-CN"/>
        </w:rPr>
        <w:t>2020攀西联合专场招聘活动，用于支付北京网聘咨询有限公司成都分公司负责招聘活动的广告、设计、校招系统、高校宣传、落地活动、场地租用等费用，合同总金额合计28.82</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万元。</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（二）项目效益情况。</w:t>
      </w:r>
      <w:r>
        <w:rPr>
          <w:rFonts w:hint="default" w:ascii="Times New Roman" w:hAnsi="Times New Roman" w:eastAsia="仿宋_GB2312" w:cs="Times New Roman"/>
          <w:sz w:val="32"/>
          <w:szCs w:val="32"/>
          <w:lang w:val="zh-CN" w:eastAsia="zh-CN"/>
        </w:rPr>
        <w:t>专项经费突出支持重点优势产业，加大高层次和紧缺人才支持力度，在财政资金保障和引导作用下，20</w:t>
      </w:r>
      <w:r>
        <w:rPr>
          <w:rFonts w:hint="eastAsia" w:eastAsia="仿宋_GB2312" w:cs="Times New Roman"/>
          <w:sz w:val="32"/>
          <w:szCs w:val="32"/>
          <w:lang w:val="en-US" w:eastAsia="zh-CN"/>
        </w:rPr>
        <w:t>20</w:t>
      </w:r>
      <w:r>
        <w:rPr>
          <w:rFonts w:hint="default" w:ascii="Times New Roman" w:hAnsi="Times New Roman" w:eastAsia="仿宋_GB2312" w:cs="Times New Roman"/>
          <w:sz w:val="32"/>
          <w:szCs w:val="32"/>
          <w:lang w:val="zh-CN" w:eastAsia="zh-CN"/>
        </w:rPr>
        <w:t>年以来，全市引才数量不断增长、人才结构持续改善、人才作用发挥更加充分。</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643" w:firstLineChars="200"/>
        <w:rPr>
          <w:rFonts w:ascii="仿宋_GB2312" w:hAnsi="宋体" w:eastAsia="仿宋_GB2312"/>
          <w:sz w:val="32"/>
          <w:szCs w:val="32"/>
          <w:bdr w:val="single" w:color="auto" w:sz="4" w:space="0"/>
          <w:lang w:val="zh-CN"/>
        </w:rPr>
      </w:pPr>
      <w:r>
        <w:rPr>
          <w:rFonts w:hint="eastAsia" w:ascii="楷体_GB2312" w:hAnsi="宋体" w:eastAsia="楷体_GB2312"/>
          <w:b/>
          <w:sz w:val="32"/>
          <w:szCs w:val="32"/>
          <w:lang w:val="zh-CN"/>
        </w:rPr>
        <w:t>（一）评价结论。</w:t>
      </w:r>
      <w:r>
        <w:rPr>
          <w:rFonts w:hint="default" w:ascii="Times New Roman" w:hAnsi="Times New Roman" w:eastAsia="仿宋_GB2312" w:cs="Times New Roman"/>
          <w:sz w:val="32"/>
          <w:szCs w:val="32"/>
          <w:lang w:val="zh-CN" w:eastAsia="zh-CN"/>
        </w:rPr>
        <w:t>所实施项目决策立项符合资金管理相关规定，采购流程手续完备，实施管理规范。我部能对201</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zh-CN" w:eastAsia="zh-CN"/>
        </w:rPr>
        <w:t>年度人才专项资金专款专用，规范开支，杜绝资金漏洞，提高了人才专项资金利用效率，项目实施后达到了预期的目的。自查得分为100分。</w:t>
      </w:r>
    </w:p>
    <w:p>
      <w:pPr>
        <w:adjustRightInd w:val="0"/>
        <w:snapToGrid w:val="0"/>
        <w:spacing w:line="600" w:lineRule="exact"/>
        <w:ind w:firstLine="720"/>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b/>
          <w:sz w:val="32"/>
          <w:szCs w:val="32"/>
          <w:lang w:val="zh-CN"/>
        </w:rPr>
        <w:t>（二）存在的问题。</w:t>
      </w:r>
      <w:r>
        <w:rPr>
          <w:rFonts w:hint="eastAsia" w:eastAsia="仿宋_GB2312" w:cs="Times New Roman"/>
          <w:sz w:val="32"/>
          <w:szCs w:val="32"/>
          <w:lang w:val="en-US" w:eastAsia="zh-CN"/>
        </w:rPr>
        <w:t>无</w:t>
      </w:r>
    </w:p>
    <w:p>
      <w:pPr>
        <w:adjustRightInd w:val="0"/>
        <w:snapToGrid w:val="0"/>
        <w:spacing w:line="600" w:lineRule="exact"/>
        <w:ind w:firstLine="720"/>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b/>
          <w:sz w:val="32"/>
          <w:szCs w:val="32"/>
          <w:lang w:val="zh-CN"/>
        </w:rPr>
        <w:t>（三）相关建议。</w:t>
      </w:r>
      <w:r>
        <w:rPr>
          <w:rFonts w:hint="default" w:ascii="Times New Roman" w:hAnsi="Times New Roman" w:eastAsia="仿宋_GB2312" w:cs="Times New Roman"/>
          <w:sz w:val="32"/>
          <w:szCs w:val="32"/>
          <w:lang w:val="zh-CN" w:eastAsia="zh-CN"/>
        </w:rPr>
        <w:t>对市委组织部人才专项经费实施年初预算，滚动使用的方式。</w:t>
      </w:r>
    </w:p>
    <w:p>
      <w:pPr>
        <w:spacing w:line="580" w:lineRule="exact"/>
        <w:ind w:firstLine="640"/>
        <w:rPr>
          <w:rFonts w:ascii="仿宋_GB2312" w:hAnsi="仿宋_GB2312" w:eastAsia="仿宋_GB2312" w:cs="仿宋_GB2312"/>
          <w:sz w:val="32"/>
          <w:szCs w:val="32"/>
        </w:rPr>
      </w:pPr>
    </w:p>
    <w:p>
      <w:pPr>
        <w:spacing w:line="580" w:lineRule="exact"/>
        <w:ind w:firstLine="640"/>
        <w:rPr>
          <w:rFonts w:ascii="仿宋_GB2312" w:hAnsi="仿宋_GB2312" w:eastAsia="仿宋_GB2312" w:cs="仿宋_GB2312"/>
          <w:sz w:val="32"/>
          <w:szCs w:val="32"/>
        </w:rPr>
      </w:pPr>
    </w:p>
    <w:p>
      <w:pPr>
        <w:widowControl/>
        <w:jc w:val="left"/>
        <w:rPr>
          <w:rStyle w:val="18"/>
          <w:rFonts w:ascii="黑体" w:hAnsi="黑体" w:eastAsia="黑体"/>
          <w:b w:val="0"/>
        </w:rPr>
      </w:pPr>
    </w:p>
    <w:p>
      <w:pPr>
        <w:spacing w:line="600" w:lineRule="exact"/>
        <w:jc w:val="center"/>
        <w:outlineLvl w:val="0"/>
        <w:rPr>
          <w:rStyle w:val="18"/>
          <w:rFonts w:ascii="黑体" w:hAnsi="黑体" w:eastAsia="黑体"/>
          <w:b w:val="0"/>
        </w:rPr>
      </w:pPr>
    </w:p>
    <w:p>
      <w:pPr>
        <w:pStyle w:val="2"/>
        <w:rPr>
          <w:rStyle w:val="18"/>
          <w:rFonts w:ascii="黑体" w:hAnsi="黑体" w:eastAsia="黑体"/>
          <w:b w:val="0"/>
        </w:rPr>
      </w:pPr>
    </w:p>
    <w:p>
      <w:pPr>
        <w:pStyle w:val="2"/>
        <w:rPr>
          <w:rStyle w:val="18"/>
          <w:rFonts w:ascii="黑体" w:hAnsi="黑体" w:eastAsia="黑体"/>
          <w:b w:val="0"/>
        </w:rPr>
      </w:pPr>
    </w:p>
    <w:p>
      <w:pPr>
        <w:pStyle w:val="2"/>
        <w:rPr>
          <w:rStyle w:val="18"/>
          <w:rFonts w:ascii="黑体" w:hAnsi="黑体" w:eastAsia="黑体"/>
          <w:b w:val="0"/>
        </w:rPr>
      </w:pPr>
    </w:p>
    <w:p>
      <w:pPr>
        <w:spacing w:line="600" w:lineRule="exact"/>
        <w:jc w:val="center"/>
        <w:outlineLvl w:val="0"/>
        <w:rPr>
          <w:rStyle w:val="18"/>
          <w:rFonts w:ascii="黑体" w:hAnsi="黑体" w:eastAsia="黑体"/>
          <w:b w:val="0"/>
        </w:rPr>
      </w:pPr>
    </w:p>
    <w:p>
      <w:pPr>
        <w:spacing w:line="600" w:lineRule="exact"/>
        <w:jc w:val="center"/>
        <w:outlineLvl w:val="0"/>
        <w:rPr>
          <w:rStyle w:val="18"/>
          <w:rFonts w:hint="eastAsia" w:ascii="黑体" w:hAnsi="黑体" w:eastAsia="黑体"/>
          <w:b w:val="0"/>
        </w:rPr>
      </w:pPr>
      <w:bookmarkStart w:id="92" w:name="_Toc82594997"/>
      <w:bookmarkStart w:id="93" w:name="_Toc15396618"/>
      <w:r>
        <w:rPr>
          <w:rFonts w:hint="eastAsia" w:ascii="黑体" w:hAnsi="黑体" w:eastAsia="黑体"/>
          <w:color w:val="000000"/>
          <w:sz w:val="44"/>
          <w:szCs w:val="44"/>
        </w:rPr>
        <w:t>第</w:t>
      </w:r>
      <w:r>
        <w:rPr>
          <w:rStyle w:val="18"/>
          <w:rFonts w:hint="eastAsia" w:ascii="黑体" w:hAnsi="黑体" w:eastAsia="黑体"/>
          <w:b w:val="0"/>
        </w:rPr>
        <w:t>五部分</w:t>
      </w:r>
      <w:r>
        <w:rPr>
          <w:rStyle w:val="18"/>
          <w:rFonts w:ascii="黑体" w:hAnsi="黑体" w:eastAsia="黑体"/>
          <w:b w:val="0"/>
        </w:rPr>
        <w:t xml:space="preserve"> </w:t>
      </w:r>
      <w:r>
        <w:rPr>
          <w:rStyle w:val="18"/>
          <w:rFonts w:hint="eastAsia" w:ascii="黑体" w:hAnsi="黑体" w:eastAsia="黑体"/>
          <w:b w:val="0"/>
        </w:rPr>
        <w:t>附表</w:t>
      </w:r>
      <w:bookmarkEnd w:id="88"/>
      <w:bookmarkEnd w:id="92"/>
      <w:bookmarkEnd w:id="93"/>
    </w:p>
    <w:p>
      <w:pPr>
        <w:pStyle w:val="5"/>
        <w:rPr>
          <w:rFonts w:hint="eastAsia" w:ascii="仿宋" w:hAnsi="仿宋" w:eastAsia="仿宋"/>
          <w:b w:val="0"/>
          <w:color w:val="000000"/>
        </w:rPr>
      </w:pPr>
      <w:bookmarkStart w:id="94" w:name="_Toc82594998"/>
      <w:bookmarkStart w:id="95" w:name="_Toc15396619"/>
    </w:p>
    <w:p>
      <w:pPr>
        <w:pStyle w:val="5"/>
        <w:rPr>
          <w:rFonts w:ascii="仿宋" w:hAnsi="仿宋" w:eastAsia="仿宋"/>
          <w:color w:val="000000"/>
        </w:rPr>
      </w:pPr>
      <w:r>
        <w:rPr>
          <w:rFonts w:hint="eastAsia" w:ascii="仿宋" w:hAnsi="仿宋" w:eastAsia="仿宋"/>
          <w:b w:val="0"/>
          <w:color w:val="000000"/>
        </w:rPr>
        <w:t>一、收</w:t>
      </w:r>
      <w:r>
        <w:rPr>
          <w:rStyle w:val="19"/>
          <w:rFonts w:hint="eastAsia" w:ascii="仿宋" w:hAnsi="仿宋" w:eastAsia="仿宋"/>
          <w:b w:val="0"/>
          <w:bCs w:val="0"/>
        </w:rPr>
        <w:t>入支出决算总表</w:t>
      </w:r>
      <w:bookmarkEnd w:id="94"/>
      <w:bookmarkEnd w:id="95"/>
    </w:p>
    <w:p>
      <w:pPr>
        <w:pStyle w:val="5"/>
        <w:rPr>
          <w:rFonts w:ascii="仿宋" w:hAnsi="仿宋" w:eastAsia="仿宋"/>
          <w:color w:val="000000"/>
        </w:rPr>
      </w:pPr>
      <w:bookmarkStart w:id="96" w:name="_Toc82594999"/>
      <w:bookmarkStart w:id="97" w:name="_Toc15396620"/>
      <w:r>
        <w:rPr>
          <w:rFonts w:hint="eastAsia" w:ascii="仿宋" w:hAnsi="仿宋" w:eastAsia="仿宋"/>
          <w:b w:val="0"/>
          <w:color w:val="000000"/>
        </w:rPr>
        <w:t>二、收</w:t>
      </w:r>
      <w:r>
        <w:rPr>
          <w:rStyle w:val="19"/>
          <w:rFonts w:hint="eastAsia" w:ascii="仿宋" w:hAnsi="仿宋" w:eastAsia="仿宋"/>
          <w:b w:val="0"/>
          <w:bCs w:val="0"/>
        </w:rPr>
        <w:t>入决算表</w:t>
      </w:r>
      <w:bookmarkEnd w:id="96"/>
      <w:bookmarkEnd w:id="97"/>
    </w:p>
    <w:p>
      <w:pPr>
        <w:pStyle w:val="5"/>
        <w:rPr>
          <w:rFonts w:ascii="仿宋" w:hAnsi="仿宋" w:eastAsia="仿宋"/>
          <w:color w:val="000000"/>
        </w:rPr>
      </w:pPr>
      <w:bookmarkStart w:id="98" w:name="_Toc15396621"/>
      <w:bookmarkStart w:id="99" w:name="_Toc82595000"/>
      <w:r>
        <w:rPr>
          <w:rStyle w:val="19"/>
          <w:rFonts w:hint="eastAsia" w:ascii="仿宋" w:hAnsi="仿宋" w:eastAsia="仿宋"/>
          <w:b w:val="0"/>
          <w:bCs w:val="0"/>
        </w:rPr>
        <w:t>三、</w:t>
      </w:r>
      <w:r>
        <w:rPr>
          <w:rFonts w:hint="eastAsia" w:ascii="仿宋" w:hAnsi="仿宋" w:eastAsia="仿宋"/>
          <w:b w:val="0"/>
          <w:color w:val="000000"/>
        </w:rPr>
        <w:t>支</w:t>
      </w:r>
      <w:r>
        <w:rPr>
          <w:rStyle w:val="19"/>
          <w:rFonts w:hint="eastAsia" w:ascii="仿宋" w:hAnsi="仿宋" w:eastAsia="仿宋"/>
          <w:b w:val="0"/>
          <w:bCs w:val="0"/>
        </w:rPr>
        <w:t>出决算表</w:t>
      </w:r>
      <w:bookmarkEnd w:id="98"/>
      <w:bookmarkEnd w:id="99"/>
    </w:p>
    <w:p>
      <w:pPr>
        <w:pStyle w:val="5"/>
        <w:rPr>
          <w:rFonts w:ascii="仿宋" w:hAnsi="仿宋" w:eastAsia="仿宋"/>
          <w:b w:val="0"/>
          <w:color w:val="000000"/>
        </w:rPr>
      </w:pPr>
      <w:bookmarkStart w:id="100" w:name="_Toc15396622"/>
      <w:bookmarkStart w:id="101" w:name="_Toc82595001"/>
      <w:r>
        <w:rPr>
          <w:rStyle w:val="19"/>
          <w:rFonts w:hint="eastAsia" w:ascii="仿宋" w:hAnsi="仿宋" w:eastAsia="仿宋"/>
          <w:b w:val="0"/>
          <w:bCs w:val="0"/>
        </w:rPr>
        <w:t>四、</w:t>
      </w:r>
      <w:r>
        <w:rPr>
          <w:rFonts w:hint="eastAsia" w:ascii="仿宋" w:hAnsi="仿宋" w:eastAsia="仿宋"/>
          <w:b w:val="0"/>
          <w:color w:val="000000"/>
        </w:rPr>
        <w:t>财</w:t>
      </w:r>
      <w:r>
        <w:rPr>
          <w:rStyle w:val="19"/>
          <w:rFonts w:hint="eastAsia" w:ascii="仿宋" w:hAnsi="仿宋" w:eastAsia="仿宋"/>
          <w:b w:val="0"/>
          <w:bCs w:val="0"/>
        </w:rPr>
        <w:t>政拨款收入支出决算总表</w:t>
      </w:r>
      <w:bookmarkEnd w:id="100"/>
      <w:bookmarkEnd w:id="101"/>
    </w:p>
    <w:p>
      <w:pPr>
        <w:pStyle w:val="5"/>
        <w:rPr>
          <w:rStyle w:val="19"/>
          <w:rFonts w:ascii="仿宋" w:hAnsi="仿宋" w:eastAsia="仿宋"/>
          <w:b w:val="0"/>
          <w:bCs w:val="0"/>
        </w:rPr>
      </w:pPr>
      <w:bookmarkStart w:id="102" w:name="_Toc15396623"/>
      <w:bookmarkStart w:id="103" w:name="_Toc82595002"/>
      <w:r>
        <w:rPr>
          <w:rStyle w:val="19"/>
          <w:rFonts w:hint="eastAsia" w:ascii="仿宋" w:hAnsi="仿宋" w:eastAsia="仿宋"/>
          <w:b w:val="0"/>
          <w:bCs w:val="0"/>
        </w:rPr>
        <w:t>五、</w:t>
      </w:r>
      <w:r>
        <w:rPr>
          <w:rFonts w:hint="eastAsia" w:ascii="仿宋" w:hAnsi="仿宋" w:eastAsia="仿宋"/>
          <w:b w:val="0"/>
          <w:color w:val="000000"/>
        </w:rPr>
        <w:t>财</w:t>
      </w:r>
      <w:r>
        <w:rPr>
          <w:rStyle w:val="19"/>
          <w:rFonts w:hint="eastAsia" w:ascii="仿宋" w:hAnsi="仿宋" w:eastAsia="仿宋"/>
          <w:b w:val="0"/>
          <w:bCs w:val="0"/>
        </w:rPr>
        <w:t>政拨款支出决算明细表</w:t>
      </w:r>
      <w:bookmarkEnd w:id="102"/>
      <w:bookmarkEnd w:id="103"/>
      <w:bookmarkStart w:id="104" w:name="_Toc15396624"/>
    </w:p>
    <w:p>
      <w:pPr>
        <w:pStyle w:val="5"/>
        <w:rPr>
          <w:rFonts w:ascii="仿宋" w:hAnsi="仿宋" w:eastAsia="仿宋"/>
          <w:color w:val="000000"/>
        </w:rPr>
      </w:pPr>
      <w:bookmarkStart w:id="105" w:name="_Toc82595003"/>
      <w:r>
        <w:rPr>
          <w:rStyle w:val="19"/>
          <w:rFonts w:hint="eastAsia" w:ascii="仿宋" w:hAnsi="仿宋" w:eastAsia="仿宋"/>
          <w:b w:val="0"/>
          <w:bCs w:val="0"/>
        </w:rPr>
        <w:t>六、</w:t>
      </w:r>
      <w:r>
        <w:rPr>
          <w:rFonts w:hint="eastAsia" w:ascii="仿宋" w:hAnsi="仿宋" w:eastAsia="仿宋"/>
          <w:b w:val="0"/>
          <w:color w:val="000000"/>
        </w:rPr>
        <w:t>一</w:t>
      </w:r>
      <w:r>
        <w:rPr>
          <w:rStyle w:val="19"/>
          <w:rFonts w:hint="eastAsia" w:ascii="仿宋" w:hAnsi="仿宋" w:eastAsia="仿宋"/>
          <w:b w:val="0"/>
          <w:bCs w:val="0"/>
        </w:rPr>
        <w:t>般公共预算财政拨款支出决算表</w:t>
      </w:r>
      <w:bookmarkEnd w:id="104"/>
      <w:bookmarkEnd w:id="105"/>
    </w:p>
    <w:p>
      <w:pPr>
        <w:pStyle w:val="5"/>
        <w:rPr>
          <w:rFonts w:ascii="仿宋" w:hAnsi="仿宋" w:eastAsia="仿宋"/>
          <w:color w:val="000000"/>
        </w:rPr>
      </w:pPr>
      <w:bookmarkStart w:id="106" w:name="_Toc15396625"/>
      <w:bookmarkStart w:id="107" w:name="_Toc82595004"/>
      <w:r>
        <w:rPr>
          <w:rStyle w:val="19"/>
          <w:rFonts w:hint="eastAsia" w:ascii="仿宋" w:hAnsi="仿宋" w:eastAsia="仿宋"/>
          <w:b w:val="0"/>
          <w:bCs w:val="0"/>
        </w:rPr>
        <w:t>七、</w:t>
      </w:r>
      <w:r>
        <w:rPr>
          <w:rFonts w:hint="eastAsia" w:ascii="仿宋" w:hAnsi="仿宋" w:eastAsia="仿宋"/>
          <w:b w:val="0"/>
          <w:color w:val="000000"/>
        </w:rPr>
        <w:t>一</w:t>
      </w:r>
      <w:r>
        <w:rPr>
          <w:rStyle w:val="19"/>
          <w:rFonts w:hint="eastAsia" w:ascii="仿宋" w:hAnsi="仿宋" w:eastAsia="仿宋"/>
          <w:b w:val="0"/>
          <w:bCs w:val="0"/>
        </w:rPr>
        <w:t>般公共预算财政拨款支出决算明细表</w:t>
      </w:r>
      <w:bookmarkEnd w:id="106"/>
      <w:bookmarkEnd w:id="107"/>
    </w:p>
    <w:p>
      <w:pPr>
        <w:pStyle w:val="5"/>
        <w:rPr>
          <w:rFonts w:ascii="仿宋" w:hAnsi="仿宋" w:eastAsia="仿宋"/>
          <w:color w:val="000000"/>
        </w:rPr>
      </w:pPr>
      <w:bookmarkStart w:id="108" w:name="_Toc82595005"/>
      <w:bookmarkStart w:id="109" w:name="_Toc15396626"/>
      <w:r>
        <w:rPr>
          <w:rStyle w:val="19"/>
          <w:rFonts w:hint="eastAsia" w:ascii="仿宋" w:hAnsi="仿宋" w:eastAsia="仿宋"/>
          <w:b w:val="0"/>
          <w:bCs w:val="0"/>
        </w:rPr>
        <w:t>八、</w:t>
      </w:r>
      <w:r>
        <w:rPr>
          <w:rFonts w:hint="eastAsia" w:ascii="仿宋" w:hAnsi="仿宋" w:eastAsia="仿宋"/>
          <w:b w:val="0"/>
          <w:color w:val="000000"/>
        </w:rPr>
        <w:t>一</w:t>
      </w:r>
      <w:r>
        <w:rPr>
          <w:rStyle w:val="19"/>
          <w:rFonts w:hint="eastAsia" w:ascii="仿宋" w:hAnsi="仿宋" w:eastAsia="仿宋"/>
          <w:b w:val="0"/>
          <w:bCs w:val="0"/>
        </w:rPr>
        <w:t>般公共预算财政拨款基本支出决算表</w:t>
      </w:r>
      <w:bookmarkEnd w:id="108"/>
      <w:bookmarkEnd w:id="109"/>
    </w:p>
    <w:p>
      <w:pPr>
        <w:pStyle w:val="5"/>
        <w:rPr>
          <w:rFonts w:ascii="仿宋" w:hAnsi="仿宋" w:eastAsia="仿宋"/>
          <w:color w:val="000000"/>
        </w:rPr>
      </w:pPr>
      <w:bookmarkStart w:id="110" w:name="_Toc82595006"/>
      <w:bookmarkStart w:id="111" w:name="_Toc15396627"/>
      <w:r>
        <w:rPr>
          <w:rStyle w:val="19"/>
          <w:rFonts w:hint="eastAsia" w:ascii="仿宋" w:hAnsi="仿宋" w:eastAsia="仿宋"/>
          <w:b w:val="0"/>
          <w:bCs w:val="0"/>
        </w:rPr>
        <w:t>九、</w:t>
      </w:r>
      <w:r>
        <w:rPr>
          <w:rFonts w:hint="eastAsia" w:ascii="仿宋" w:hAnsi="仿宋" w:eastAsia="仿宋"/>
          <w:b w:val="0"/>
          <w:color w:val="000000"/>
        </w:rPr>
        <w:t>一</w:t>
      </w:r>
      <w:r>
        <w:rPr>
          <w:rStyle w:val="19"/>
          <w:rFonts w:hint="eastAsia" w:ascii="仿宋" w:hAnsi="仿宋" w:eastAsia="仿宋"/>
          <w:b w:val="0"/>
          <w:bCs w:val="0"/>
        </w:rPr>
        <w:t>般公共预算财政拨款项目支出决算表</w:t>
      </w:r>
      <w:bookmarkEnd w:id="110"/>
      <w:bookmarkEnd w:id="111"/>
    </w:p>
    <w:p>
      <w:pPr>
        <w:pStyle w:val="5"/>
        <w:rPr>
          <w:rFonts w:ascii="仿宋" w:hAnsi="仿宋" w:eastAsia="仿宋"/>
          <w:color w:val="000000"/>
        </w:rPr>
      </w:pPr>
      <w:bookmarkStart w:id="112" w:name="_Toc82595007"/>
      <w:bookmarkStart w:id="113" w:name="_Toc15396628"/>
      <w:r>
        <w:rPr>
          <w:rStyle w:val="19"/>
          <w:rFonts w:hint="eastAsia" w:ascii="仿宋" w:hAnsi="仿宋" w:eastAsia="仿宋"/>
          <w:b w:val="0"/>
          <w:bCs w:val="0"/>
        </w:rPr>
        <w:t>十、</w:t>
      </w:r>
      <w:r>
        <w:rPr>
          <w:rFonts w:hint="eastAsia" w:ascii="仿宋" w:hAnsi="仿宋" w:eastAsia="仿宋"/>
          <w:b w:val="0"/>
          <w:color w:val="000000"/>
        </w:rPr>
        <w:t>一</w:t>
      </w:r>
      <w:r>
        <w:rPr>
          <w:rStyle w:val="19"/>
          <w:rFonts w:hint="eastAsia" w:ascii="仿宋" w:hAnsi="仿宋" w:eastAsia="仿宋"/>
          <w:b w:val="0"/>
          <w:bCs w:val="0"/>
        </w:rPr>
        <w:t>般公共预算财政拨款“三公”经费支出决算表</w:t>
      </w:r>
      <w:bookmarkEnd w:id="112"/>
      <w:bookmarkEnd w:id="113"/>
    </w:p>
    <w:p>
      <w:pPr>
        <w:pStyle w:val="5"/>
        <w:rPr>
          <w:rFonts w:ascii="仿宋" w:hAnsi="仿宋" w:eastAsia="仿宋"/>
          <w:color w:val="000000"/>
        </w:rPr>
      </w:pPr>
      <w:bookmarkStart w:id="114" w:name="_Toc15396629"/>
      <w:bookmarkStart w:id="115" w:name="_Toc82595008"/>
      <w:r>
        <w:rPr>
          <w:rStyle w:val="19"/>
          <w:rFonts w:hint="eastAsia" w:ascii="仿宋" w:hAnsi="仿宋" w:eastAsia="仿宋"/>
          <w:b w:val="0"/>
          <w:bCs w:val="0"/>
        </w:rPr>
        <w:t>十一、</w:t>
      </w:r>
      <w:r>
        <w:rPr>
          <w:rFonts w:hint="eastAsia" w:ascii="仿宋" w:hAnsi="仿宋" w:eastAsia="仿宋"/>
          <w:b w:val="0"/>
          <w:color w:val="000000"/>
        </w:rPr>
        <w:t>政</w:t>
      </w:r>
      <w:r>
        <w:rPr>
          <w:rStyle w:val="19"/>
          <w:rFonts w:hint="eastAsia" w:ascii="仿宋" w:hAnsi="仿宋" w:eastAsia="仿宋"/>
          <w:b w:val="0"/>
          <w:bCs w:val="0"/>
        </w:rPr>
        <w:t>府性基金预算财政拨款收入支出决算表</w:t>
      </w:r>
      <w:bookmarkEnd w:id="114"/>
      <w:bookmarkEnd w:id="115"/>
    </w:p>
    <w:p>
      <w:pPr>
        <w:pStyle w:val="5"/>
        <w:rPr>
          <w:rFonts w:ascii="仿宋" w:hAnsi="仿宋" w:eastAsia="仿宋"/>
          <w:color w:val="000000"/>
        </w:rPr>
      </w:pPr>
      <w:bookmarkStart w:id="116" w:name="_Toc15396630"/>
      <w:bookmarkStart w:id="117" w:name="_Toc82595009"/>
      <w:r>
        <w:rPr>
          <w:rStyle w:val="19"/>
          <w:rFonts w:hint="eastAsia" w:ascii="仿宋" w:hAnsi="仿宋" w:eastAsia="仿宋"/>
          <w:b w:val="0"/>
          <w:bCs w:val="0"/>
        </w:rPr>
        <w:t>十二、</w:t>
      </w:r>
      <w:r>
        <w:rPr>
          <w:rFonts w:hint="eastAsia" w:ascii="仿宋" w:hAnsi="仿宋" w:eastAsia="仿宋"/>
          <w:b w:val="0"/>
          <w:color w:val="000000"/>
        </w:rPr>
        <w:t>政</w:t>
      </w:r>
      <w:r>
        <w:rPr>
          <w:rStyle w:val="19"/>
          <w:rFonts w:hint="eastAsia" w:ascii="仿宋" w:hAnsi="仿宋" w:eastAsia="仿宋"/>
          <w:b w:val="0"/>
          <w:bCs w:val="0"/>
        </w:rPr>
        <w:t>府性基金预算财政拨款“三公”经费支出决算表</w:t>
      </w:r>
      <w:bookmarkEnd w:id="116"/>
      <w:bookmarkEnd w:id="117"/>
      <w:r>
        <w:rPr>
          <w:rStyle w:val="19"/>
          <w:rFonts w:hint="eastAsia" w:ascii="仿宋" w:hAnsi="仿宋" w:eastAsia="仿宋"/>
          <w:b w:val="0"/>
          <w:bCs w:val="0"/>
        </w:rPr>
        <w:t>(此表无数据)</w:t>
      </w:r>
    </w:p>
    <w:p>
      <w:pPr>
        <w:pStyle w:val="5"/>
        <w:rPr>
          <w:rStyle w:val="19"/>
          <w:rFonts w:ascii="仿宋" w:hAnsi="仿宋" w:eastAsia="仿宋"/>
          <w:b w:val="0"/>
          <w:bCs w:val="0"/>
        </w:rPr>
      </w:pPr>
      <w:bookmarkStart w:id="118" w:name="_Toc82595010"/>
      <w:bookmarkStart w:id="119" w:name="_Toc15396631"/>
      <w:r>
        <w:rPr>
          <w:rStyle w:val="19"/>
          <w:rFonts w:ascii="仿宋" w:hAnsi="仿宋" w:eastAsia="仿宋"/>
          <w:b w:val="0"/>
          <w:bCs w:val="0"/>
        </w:rPr>
        <w:t>十三、国有资本经营预算财政拨款收入支出决算表</w:t>
      </w:r>
      <w:bookmarkEnd w:id="118"/>
      <w:r>
        <w:rPr>
          <w:rStyle w:val="19"/>
          <w:rFonts w:hint="eastAsia" w:ascii="仿宋" w:hAnsi="仿宋" w:eastAsia="仿宋"/>
          <w:b w:val="0"/>
          <w:bCs w:val="0"/>
        </w:rPr>
        <w:t>(此表无数据)</w:t>
      </w:r>
    </w:p>
    <w:p>
      <w:pPr>
        <w:pStyle w:val="5"/>
        <w:rPr>
          <w:rFonts w:ascii="仿宋" w:hAnsi="仿宋" w:eastAsia="仿宋"/>
          <w:color w:val="000000"/>
        </w:rPr>
      </w:pPr>
      <w:bookmarkStart w:id="120" w:name="_Toc82595011"/>
      <w:r>
        <w:rPr>
          <w:rStyle w:val="19"/>
          <w:rFonts w:ascii="仿宋" w:hAnsi="仿宋" w:eastAsia="仿宋"/>
          <w:b w:val="0"/>
          <w:bCs w:val="0"/>
        </w:rPr>
        <w:t>十四</w:t>
      </w:r>
      <w:r>
        <w:rPr>
          <w:rFonts w:hint="eastAsia"/>
        </w:rPr>
        <w:t>、</w:t>
      </w:r>
      <w:r>
        <w:rPr>
          <w:rFonts w:hint="eastAsia" w:ascii="仿宋" w:hAnsi="仿宋" w:eastAsia="仿宋"/>
          <w:b w:val="0"/>
          <w:color w:val="000000"/>
        </w:rPr>
        <w:t>国</w:t>
      </w:r>
      <w:r>
        <w:rPr>
          <w:rStyle w:val="19"/>
          <w:rFonts w:ascii="仿宋" w:hAnsi="仿宋" w:eastAsia="仿宋"/>
          <w:b w:val="0"/>
          <w:bCs w:val="0"/>
        </w:rPr>
        <w:t>有资本经营预算财政拨款支出决算表</w:t>
      </w:r>
      <w:bookmarkEnd w:id="119"/>
      <w:bookmarkEnd w:id="120"/>
      <w:r>
        <w:rPr>
          <w:rStyle w:val="19"/>
          <w:rFonts w:hint="eastAsia" w:ascii="仿宋" w:hAnsi="仿宋" w:eastAsia="仿宋"/>
          <w:b w:val="0"/>
          <w:bCs w:val="0"/>
        </w:rPr>
        <w:t>(此表无数据)</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t>34</w: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3">
    <w:nsid w:val="6141B673"/>
    <w:multiLevelType w:val="singleLevel"/>
    <w:tmpl w:val="6141B673"/>
    <w:lvl w:ilvl="0" w:tentative="0">
      <w:start w:val="1"/>
      <w:numFmt w:val="decimal"/>
      <w:suff w:val="nothing"/>
      <w:lvlText w:val="%1."/>
      <w:lvlJc w:val="left"/>
    </w:lvl>
  </w:abstractNum>
  <w:abstractNum w:abstractNumId="4">
    <w:nsid w:val="62621CDC"/>
    <w:multiLevelType w:val="multilevel"/>
    <w:tmpl w:val="62621CDC"/>
    <w:lvl w:ilvl="0" w:tentative="0">
      <w:start w:val="1"/>
      <w:numFmt w:val="decimal"/>
      <w:lvlText w:val="%1."/>
      <w:lvlJc w:val="left"/>
      <w:pPr>
        <w:ind w:left="1047" w:hanging="480"/>
      </w:pPr>
      <w:rPr>
        <w:rFonts w:hint="default" w:cs="Times New Roman"/>
      </w:rPr>
    </w:lvl>
    <w:lvl w:ilvl="1" w:tentative="0">
      <w:start w:val="1"/>
      <w:numFmt w:val="lowerLetter"/>
      <w:lvlText w:val="%2)"/>
      <w:lvlJc w:val="left"/>
      <w:pPr>
        <w:ind w:left="1512" w:hanging="420"/>
      </w:pPr>
      <w:rPr>
        <w:rFonts w:cs="Times New Roman"/>
      </w:rPr>
    </w:lvl>
    <w:lvl w:ilvl="2" w:tentative="0">
      <w:start w:val="1"/>
      <w:numFmt w:val="lowerRoman"/>
      <w:lvlText w:val="%3."/>
      <w:lvlJc w:val="right"/>
      <w:pPr>
        <w:ind w:left="1932" w:hanging="420"/>
      </w:pPr>
      <w:rPr>
        <w:rFonts w:cs="Times New Roman"/>
      </w:rPr>
    </w:lvl>
    <w:lvl w:ilvl="3" w:tentative="0">
      <w:start w:val="1"/>
      <w:numFmt w:val="decimal"/>
      <w:lvlText w:val="%4."/>
      <w:lvlJc w:val="left"/>
      <w:pPr>
        <w:ind w:left="2352" w:hanging="420"/>
      </w:pPr>
      <w:rPr>
        <w:rFonts w:cs="Times New Roman"/>
      </w:rPr>
    </w:lvl>
    <w:lvl w:ilvl="4" w:tentative="0">
      <w:start w:val="1"/>
      <w:numFmt w:val="lowerLetter"/>
      <w:lvlText w:val="%5)"/>
      <w:lvlJc w:val="left"/>
      <w:pPr>
        <w:ind w:left="2772" w:hanging="420"/>
      </w:pPr>
      <w:rPr>
        <w:rFonts w:cs="Times New Roman"/>
      </w:rPr>
    </w:lvl>
    <w:lvl w:ilvl="5" w:tentative="0">
      <w:start w:val="1"/>
      <w:numFmt w:val="lowerRoman"/>
      <w:lvlText w:val="%6."/>
      <w:lvlJc w:val="right"/>
      <w:pPr>
        <w:ind w:left="3192" w:hanging="420"/>
      </w:pPr>
      <w:rPr>
        <w:rFonts w:cs="Times New Roman"/>
      </w:rPr>
    </w:lvl>
    <w:lvl w:ilvl="6" w:tentative="0">
      <w:start w:val="1"/>
      <w:numFmt w:val="decimal"/>
      <w:lvlText w:val="%7."/>
      <w:lvlJc w:val="left"/>
      <w:pPr>
        <w:ind w:left="3612" w:hanging="420"/>
      </w:pPr>
      <w:rPr>
        <w:rFonts w:cs="Times New Roman"/>
      </w:rPr>
    </w:lvl>
    <w:lvl w:ilvl="7" w:tentative="0">
      <w:start w:val="1"/>
      <w:numFmt w:val="lowerLetter"/>
      <w:lvlText w:val="%8)"/>
      <w:lvlJc w:val="left"/>
      <w:pPr>
        <w:ind w:left="4032" w:hanging="420"/>
      </w:pPr>
      <w:rPr>
        <w:rFonts w:cs="Times New Roman"/>
      </w:rPr>
    </w:lvl>
    <w:lvl w:ilvl="8" w:tentative="0">
      <w:start w:val="1"/>
      <w:numFmt w:val="lowerRoman"/>
      <w:lvlText w:val="%9."/>
      <w:lvlJc w:val="right"/>
      <w:pPr>
        <w:ind w:left="4452" w:hanging="420"/>
      </w:pPr>
      <w:rPr>
        <w:rFonts w:cs="Times New Roman"/>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zZjExODZjZTdlNzI5NzkwMDdlYWFhNGUyYjdkODAifQ=="/>
  </w:docVars>
  <w:rsids>
    <w:rsidRoot w:val="00F1361C"/>
    <w:rsid w:val="000222C6"/>
    <w:rsid w:val="0002549F"/>
    <w:rsid w:val="000344FB"/>
    <w:rsid w:val="000468DB"/>
    <w:rsid w:val="0006487A"/>
    <w:rsid w:val="00065F8F"/>
    <w:rsid w:val="00070A43"/>
    <w:rsid w:val="000768F2"/>
    <w:rsid w:val="0009184B"/>
    <w:rsid w:val="00094236"/>
    <w:rsid w:val="0009593C"/>
    <w:rsid w:val="00097322"/>
    <w:rsid w:val="000A6A92"/>
    <w:rsid w:val="000B01E2"/>
    <w:rsid w:val="000B047F"/>
    <w:rsid w:val="000B5923"/>
    <w:rsid w:val="000B5A48"/>
    <w:rsid w:val="000B6FF3"/>
    <w:rsid w:val="000C3467"/>
    <w:rsid w:val="000C3CA6"/>
    <w:rsid w:val="000D1267"/>
    <w:rsid w:val="000D1D50"/>
    <w:rsid w:val="000D5782"/>
    <w:rsid w:val="000E6613"/>
    <w:rsid w:val="000E7119"/>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33B5"/>
    <w:rsid w:val="001E737D"/>
    <w:rsid w:val="001F0592"/>
    <w:rsid w:val="001F7506"/>
    <w:rsid w:val="002006CD"/>
    <w:rsid w:val="00202B36"/>
    <w:rsid w:val="00204B7A"/>
    <w:rsid w:val="00204CDE"/>
    <w:rsid w:val="0021101A"/>
    <w:rsid w:val="00220536"/>
    <w:rsid w:val="00235629"/>
    <w:rsid w:val="00256262"/>
    <w:rsid w:val="00260C38"/>
    <w:rsid w:val="002616C0"/>
    <w:rsid w:val="00265372"/>
    <w:rsid w:val="002662AA"/>
    <w:rsid w:val="00280496"/>
    <w:rsid w:val="00294DC9"/>
    <w:rsid w:val="00295495"/>
    <w:rsid w:val="002A31DE"/>
    <w:rsid w:val="002B2613"/>
    <w:rsid w:val="002D6D05"/>
    <w:rsid w:val="002F1818"/>
    <w:rsid w:val="002F567B"/>
    <w:rsid w:val="003216A9"/>
    <w:rsid w:val="00334B92"/>
    <w:rsid w:val="00335A74"/>
    <w:rsid w:val="00357CCC"/>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31C3"/>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96359"/>
    <w:rsid w:val="006A3141"/>
    <w:rsid w:val="006A5E34"/>
    <w:rsid w:val="006B2422"/>
    <w:rsid w:val="006B2B9A"/>
    <w:rsid w:val="006C1937"/>
    <w:rsid w:val="006F020C"/>
    <w:rsid w:val="007127B7"/>
    <w:rsid w:val="007139CF"/>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2681D"/>
    <w:rsid w:val="0083706E"/>
    <w:rsid w:val="008408F6"/>
    <w:rsid w:val="008423A5"/>
    <w:rsid w:val="00850625"/>
    <w:rsid w:val="00853718"/>
    <w:rsid w:val="00854C44"/>
    <w:rsid w:val="00855221"/>
    <w:rsid w:val="00860645"/>
    <w:rsid w:val="00871F71"/>
    <w:rsid w:val="00872FD8"/>
    <w:rsid w:val="00874F0B"/>
    <w:rsid w:val="00885AF4"/>
    <w:rsid w:val="008939CD"/>
    <w:rsid w:val="008B768C"/>
    <w:rsid w:val="008C2F24"/>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21EE"/>
    <w:rsid w:val="00946945"/>
    <w:rsid w:val="00951248"/>
    <w:rsid w:val="0095152F"/>
    <w:rsid w:val="00954C49"/>
    <w:rsid w:val="00955E37"/>
    <w:rsid w:val="0097099F"/>
    <w:rsid w:val="00971997"/>
    <w:rsid w:val="00971FFC"/>
    <w:rsid w:val="00973770"/>
    <w:rsid w:val="0098660A"/>
    <w:rsid w:val="009931C3"/>
    <w:rsid w:val="009B2C43"/>
    <w:rsid w:val="009B4EAE"/>
    <w:rsid w:val="009B7573"/>
    <w:rsid w:val="009C22F4"/>
    <w:rsid w:val="009C2A4B"/>
    <w:rsid w:val="009C2E98"/>
    <w:rsid w:val="009D0E62"/>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7CBB"/>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C3C"/>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2CA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2708BF"/>
    <w:rsid w:val="05765BB1"/>
    <w:rsid w:val="06AC44E0"/>
    <w:rsid w:val="07EF5F61"/>
    <w:rsid w:val="0A2032A3"/>
    <w:rsid w:val="0A643352"/>
    <w:rsid w:val="103B6418"/>
    <w:rsid w:val="10C055FF"/>
    <w:rsid w:val="11377454"/>
    <w:rsid w:val="118107EC"/>
    <w:rsid w:val="13AA557E"/>
    <w:rsid w:val="156010CF"/>
    <w:rsid w:val="15A660FF"/>
    <w:rsid w:val="164C7FD2"/>
    <w:rsid w:val="16BB723D"/>
    <w:rsid w:val="18A831A8"/>
    <w:rsid w:val="19F33E1C"/>
    <w:rsid w:val="1A377137"/>
    <w:rsid w:val="1B8B3C7C"/>
    <w:rsid w:val="1C9F735D"/>
    <w:rsid w:val="1D155CEE"/>
    <w:rsid w:val="1DA430A4"/>
    <w:rsid w:val="1DE74201"/>
    <w:rsid w:val="1ED00CD4"/>
    <w:rsid w:val="211C146C"/>
    <w:rsid w:val="215C4AED"/>
    <w:rsid w:val="240371BF"/>
    <w:rsid w:val="273711DC"/>
    <w:rsid w:val="284F21F5"/>
    <w:rsid w:val="28CD6AE9"/>
    <w:rsid w:val="28E96C8F"/>
    <w:rsid w:val="29260324"/>
    <w:rsid w:val="29FD04D3"/>
    <w:rsid w:val="2CE34BEB"/>
    <w:rsid w:val="2E1711C9"/>
    <w:rsid w:val="2E9377B0"/>
    <w:rsid w:val="2ED83B3D"/>
    <w:rsid w:val="2F63341F"/>
    <w:rsid w:val="2FAC752C"/>
    <w:rsid w:val="2FE27CB6"/>
    <w:rsid w:val="31402FE2"/>
    <w:rsid w:val="3160498B"/>
    <w:rsid w:val="319F7F4E"/>
    <w:rsid w:val="34F10264"/>
    <w:rsid w:val="358B4776"/>
    <w:rsid w:val="36083CF4"/>
    <w:rsid w:val="39296315"/>
    <w:rsid w:val="3965564F"/>
    <w:rsid w:val="3B4F0BBD"/>
    <w:rsid w:val="3B827CC8"/>
    <w:rsid w:val="3CD81DCE"/>
    <w:rsid w:val="3D796BE7"/>
    <w:rsid w:val="3EF23709"/>
    <w:rsid w:val="403F631A"/>
    <w:rsid w:val="414C0F98"/>
    <w:rsid w:val="42122D10"/>
    <w:rsid w:val="43DB5DE9"/>
    <w:rsid w:val="43E41989"/>
    <w:rsid w:val="45437107"/>
    <w:rsid w:val="48553E4E"/>
    <w:rsid w:val="4A4C062F"/>
    <w:rsid w:val="4ABB37FA"/>
    <w:rsid w:val="4AE50069"/>
    <w:rsid w:val="4B133FEB"/>
    <w:rsid w:val="4B9310D3"/>
    <w:rsid w:val="4CBF6562"/>
    <w:rsid w:val="4DA61EB9"/>
    <w:rsid w:val="4ECE2238"/>
    <w:rsid w:val="50155494"/>
    <w:rsid w:val="501E1318"/>
    <w:rsid w:val="50305672"/>
    <w:rsid w:val="516C7DB1"/>
    <w:rsid w:val="540352AD"/>
    <w:rsid w:val="551F5787"/>
    <w:rsid w:val="557A16B2"/>
    <w:rsid w:val="5877603E"/>
    <w:rsid w:val="58E714DA"/>
    <w:rsid w:val="598D7510"/>
    <w:rsid w:val="5B857683"/>
    <w:rsid w:val="5B8B1826"/>
    <w:rsid w:val="5D800EDA"/>
    <w:rsid w:val="5D9048EB"/>
    <w:rsid w:val="5F38089D"/>
    <w:rsid w:val="5F952EE5"/>
    <w:rsid w:val="602E4409"/>
    <w:rsid w:val="62006E27"/>
    <w:rsid w:val="621C7955"/>
    <w:rsid w:val="62FE6538"/>
    <w:rsid w:val="634A3819"/>
    <w:rsid w:val="645F6A5C"/>
    <w:rsid w:val="65E644EF"/>
    <w:rsid w:val="66A84628"/>
    <w:rsid w:val="687978A7"/>
    <w:rsid w:val="69652D5C"/>
    <w:rsid w:val="696D21ED"/>
    <w:rsid w:val="6A7063A2"/>
    <w:rsid w:val="6AAF3B06"/>
    <w:rsid w:val="6C4A05C8"/>
    <w:rsid w:val="6C9651F6"/>
    <w:rsid w:val="6EDE46C1"/>
    <w:rsid w:val="6EFC1E49"/>
    <w:rsid w:val="7229002F"/>
    <w:rsid w:val="72734D90"/>
    <w:rsid w:val="76211A78"/>
    <w:rsid w:val="77FB6A37"/>
    <w:rsid w:val="78CC0810"/>
    <w:rsid w:val="78DA6051"/>
    <w:rsid w:val="7AD754D5"/>
    <w:rsid w:val="7B8B6D4B"/>
    <w:rsid w:val="7C416779"/>
    <w:rsid w:val="7F087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19"/>
    <w:qFormat/>
    <w:uiPriority w:val="9"/>
    <w:pPr>
      <w:keepNext/>
      <w:keepLines/>
      <w:spacing w:before="260" w:after="260" w:line="416" w:lineRule="auto"/>
      <w:outlineLvl w:val="1"/>
    </w:pPr>
    <w:rPr>
      <w:rFonts w:ascii="Cambria" w:hAnsi="Cambria"/>
      <w:b/>
      <w:bCs/>
      <w:sz w:val="32"/>
      <w:szCs w:val="32"/>
    </w:rPr>
  </w:style>
  <w:style w:type="paragraph" w:styleId="6">
    <w:name w:val="heading 3"/>
    <w:basedOn w:val="1"/>
    <w:next w:val="1"/>
    <w:link w:val="20"/>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7">
    <w:name w:val="Body Text"/>
    <w:basedOn w:val="1"/>
    <w:link w:val="27"/>
    <w:qFormat/>
    <w:uiPriority w:val="99"/>
    <w:pPr>
      <w:spacing w:beforeLines="30"/>
    </w:pPr>
    <w:rPr>
      <w:rFonts w:ascii="仿宋_GB2312" w:eastAsia="仿宋_GB2312"/>
      <w:kern w:val="0"/>
      <w:sz w:val="24"/>
      <w:szCs w:val="20"/>
      <w:lang w:val="zh-CN"/>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22"/>
    <w:unhideWhenUsed/>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rFonts w:ascii="Calibri" w:hAnsi="Calibri"/>
      <w:kern w:val="0"/>
      <w:sz w:val="18"/>
      <w:szCs w:val="20"/>
      <w:lang w:val="zh-CN"/>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20"/>
      <w:lang w:val="zh-CN"/>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character" w:styleId="16">
    <w:name w:val="Strong"/>
    <w:basedOn w:val="15"/>
    <w:qFormat/>
    <w:uiPriority w:val="99"/>
    <w:rPr>
      <w:rFonts w:cs="Times New Roman"/>
      <w:b/>
    </w:rPr>
  </w:style>
  <w:style w:type="character" w:styleId="17">
    <w:name w:val="Hyperlink"/>
    <w:unhideWhenUsed/>
    <w:qFormat/>
    <w:uiPriority w:val="99"/>
    <w:rPr>
      <w:rFonts w:cs="Times New Roman"/>
      <w:color w:val="0000FF"/>
      <w:u w:val="single"/>
    </w:rPr>
  </w:style>
  <w:style w:type="character" w:customStyle="1" w:styleId="18">
    <w:name w:val="标题 1 字符"/>
    <w:link w:val="4"/>
    <w:qFormat/>
    <w:locked/>
    <w:uiPriority w:val="9"/>
    <w:rPr>
      <w:rFonts w:ascii="Times New Roman" w:hAnsi="Times New Roman" w:cs="Times New Roman"/>
      <w:b/>
      <w:bCs/>
      <w:kern w:val="44"/>
      <w:sz w:val="44"/>
      <w:szCs w:val="44"/>
    </w:rPr>
  </w:style>
  <w:style w:type="character" w:customStyle="1" w:styleId="19">
    <w:name w:val="标题 2 字符"/>
    <w:link w:val="5"/>
    <w:qFormat/>
    <w:locked/>
    <w:uiPriority w:val="9"/>
    <w:rPr>
      <w:rFonts w:ascii="Cambria" w:hAnsi="Cambria" w:eastAsia="宋体" w:cs="Times New Roman"/>
      <w:b/>
      <w:bCs/>
      <w:kern w:val="2"/>
      <w:sz w:val="32"/>
      <w:szCs w:val="32"/>
    </w:rPr>
  </w:style>
  <w:style w:type="character" w:customStyle="1" w:styleId="20">
    <w:name w:val="标题 3 字符"/>
    <w:link w:val="6"/>
    <w:qFormat/>
    <w:locked/>
    <w:uiPriority w:val="9"/>
    <w:rPr>
      <w:rFonts w:ascii="Times New Roman" w:hAnsi="Times New Roman" w:cs="Times New Roman"/>
      <w:b/>
      <w:bCs/>
      <w:kern w:val="2"/>
      <w:sz w:val="32"/>
      <w:szCs w:val="32"/>
    </w:rPr>
  </w:style>
  <w:style w:type="character" w:customStyle="1" w:styleId="21">
    <w:name w:val="Body Text Char"/>
    <w:semiHidden/>
    <w:qFormat/>
    <w:uiPriority w:val="99"/>
    <w:rPr>
      <w:rFonts w:ascii="Times New Roman" w:hAnsi="Times New Roman" w:cs="Times New Roman"/>
      <w:sz w:val="24"/>
      <w:szCs w:val="24"/>
    </w:rPr>
  </w:style>
  <w:style w:type="character" w:customStyle="1" w:styleId="22">
    <w:name w:val="批注框文本 字符"/>
    <w:link w:val="9"/>
    <w:semiHidden/>
    <w:qFormat/>
    <w:locked/>
    <w:uiPriority w:val="99"/>
    <w:rPr>
      <w:rFonts w:ascii="Times New Roman" w:hAnsi="Times New Roman" w:cs="Times New Roman"/>
      <w:kern w:val="2"/>
      <w:sz w:val="18"/>
      <w:szCs w:val="18"/>
    </w:rPr>
  </w:style>
  <w:style w:type="character" w:customStyle="1" w:styleId="23">
    <w:name w:val="Footer Char"/>
    <w:semiHidden/>
    <w:qFormat/>
    <w:uiPriority w:val="99"/>
    <w:rPr>
      <w:rFonts w:ascii="Times New Roman" w:hAnsi="Times New Roman" w:cs="Times New Roman"/>
      <w:sz w:val="18"/>
      <w:szCs w:val="18"/>
    </w:rPr>
  </w:style>
  <w:style w:type="character" w:customStyle="1" w:styleId="24">
    <w:name w:val="Header Char"/>
    <w:semiHidden/>
    <w:qFormat/>
    <w:uiPriority w:val="99"/>
    <w:rPr>
      <w:rFonts w:ascii="Times New Roman" w:hAnsi="Times New Roman" w:cs="Times New Roman"/>
      <w:sz w:val="18"/>
      <w:szCs w:val="18"/>
    </w:rPr>
  </w:style>
  <w:style w:type="character" w:customStyle="1" w:styleId="25">
    <w:name w:val="页眉 字符"/>
    <w:link w:val="11"/>
    <w:semiHidden/>
    <w:qFormat/>
    <w:locked/>
    <w:uiPriority w:val="99"/>
    <w:rPr>
      <w:sz w:val="18"/>
    </w:rPr>
  </w:style>
  <w:style w:type="character" w:customStyle="1" w:styleId="26">
    <w:name w:val="页脚 字符"/>
    <w:link w:val="10"/>
    <w:qFormat/>
    <w:locked/>
    <w:uiPriority w:val="99"/>
    <w:rPr>
      <w:sz w:val="18"/>
    </w:rPr>
  </w:style>
  <w:style w:type="character" w:customStyle="1" w:styleId="27">
    <w:name w:val="正文文本 字符"/>
    <w:link w:val="7"/>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9">
    <w:name w:val="列出段落1"/>
    <w:basedOn w:val="1"/>
    <w:qFormat/>
    <w:uiPriority w:val="34"/>
    <w:pPr>
      <w:ind w:firstLine="420" w:firstLineChars="200"/>
    </w:pPr>
  </w:style>
  <w:style w:type="paragraph" w:customStyle="1" w:styleId="30">
    <w:name w:val="TOC 标题1"/>
    <w:basedOn w:val="4"/>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1">
    <w:name w:val="TOC Heading1"/>
    <w:basedOn w:val="4"/>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2">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6.emf"/><Relationship Id="rId10" Type="http://schemas.openxmlformats.org/officeDocument/2006/relationships/image" Target="media/image5.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139E2-8637-4BF5-82F5-B42E17CCFE56}">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39</Pages>
  <Words>13466</Words>
  <Characters>14705</Characters>
  <Lines>97</Lines>
  <Paragraphs>27</Paragraphs>
  <TotalTime>1</TotalTime>
  <ScaleCrop>false</ScaleCrop>
  <LinksUpToDate>false</LinksUpToDate>
  <CharactersWithSpaces>14823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2021-09-08T09:23:00Z</dcterms:created>
  <dc:creator>曹颖</dc:creator>
  <cp:lastModifiedBy>Administrator</cp:lastModifiedBy>
  <cp:lastPrinted>2021-07-29T03:56:00Z</cp:lastPrinted>
  <dcterms:modified xsi:type="dcterms:W3CDTF">2022-08-15T08:10:11Z</dcterms:modified>
  <dc:title>四川省***</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2ACC29E37729483FBEBD3553F3A15556</vt:lpwstr>
  </property>
</Properties>
</file>