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eg" ContentType="image/jpe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ind w:leftChars="-67" w:left="-141"/>
        <w:jc w:val="center"/>
        <w:outlineLvl w:val="0"/>
        <w:rPr>
          <w:rFonts w:ascii="方正小标宋简体" w:eastAsia="方正小标宋简体"/>
          <w:sz w:val="72"/>
          <w:szCs w:val="72"/>
        </w:rPr>
      </w:pPr>
      <w:bookmarkStart w:id="0" w:name="_Toc15377193"/>
      <w:bookmarkStart w:id="1" w:name="_Toc15396597"/>
      <w:bookmarkStart w:id="2" w:name="_Toc15377425"/>
      <w:bookmarkStart w:id="3" w:name="_Toc15378441"/>
      <w:bookmarkStart w:id="4" w:name="_Toc15396475"/>
      <w:bookmarkStart w:id="5" w:name="_Toc15306267"/>
    </w:p>
    <w:p>
      <w:pPr>
        <w:spacing w:line="600" w:lineRule="exact"/>
        <w:jc w:val="center"/>
        <w:outlineLvl w:val="0"/>
        <w:rPr>
          <w:rFonts w:ascii="方正小标宋简体" w:eastAsia="方正小标宋简体"/>
          <w:sz w:val="72"/>
          <w:szCs w:val="72"/>
        </w:rPr>
      </w:pPr>
    </w:p>
    <w:p>
      <w:pPr>
        <w:spacing w:line="600" w:lineRule="exact"/>
        <w:jc w:val="center"/>
        <w:outlineLvl w:val="0"/>
        <w:rPr>
          <w:rFonts w:ascii="方正小标宋简体" w:eastAsia="方正小标宋简体"/>
          <w:sz w:val="72"/>
          <w:szCs w:val="72"/>
        </w:rPr>
      </w:pPr>
    </w:p>
    <w:p>
      <w:pPr>
        <w:spacing w:line="600" w:lineRule="exact"/>
        <w:jc w:val="center"/>
        <w:outlineLvl w:val="0"/>
        <w:rPr>
          <w:rFonts w:ascii="方正小标宋简体" w:eastAsia="方正小标宋简体"/>
          <w:sz w:val="72"/>
          <w:szCs w:val="72"/>
        </w:rPr>
      </w:pPr>
    </w:p>
    <w:p>
      <w:pPr>
        <w:adjustRightInd w:val="0"/>
        <w:snapToGrid w:val="0"/>
        <w:spacing w:line="360" w:lineRule="auto"/>
        <w:jc w:val="center"/>
        <w:outlineLvl w:val="0"/>
        <w:rPr>
          <w:rFonts w:ascii="方正小标宋_GBK" w:eastAsia="方正小标宋_GBK" w:cs="方正小标宋简体"/>
          <w:sz w:val="72"/>
          <w:szCs w:val="72"/>
        </w:rPr>
      </w:pPr>
      <w:r>
        <w:rPr>
          <w:rFonts w:ascii="方正小标宋_GBK" w:eastAsia="方正小标宋_GBK" w:cs="方正小标宋简体" w:hint="eastAsia"/>
          <w:sz w:val="72"/>
          <w:szCs w:val="72"/>
        </w:rPr>
        <w:t>2021年度</w:t>
      </w:r>
      <w:bookmarkEnd w:id="0"/>
      <w:bookmarkEnd w:id="1"/>
      <w:bookmarkEnd w:id="2"/>
      <w:bookmarkEnd w:id="3"/>
      <w:bookmarkEnd w:id="4"/>
    </w:p>
    <w:p>
      <w:pPr>
        <w:adjustRightInd w:val="0"/>
        <w:snapToGrid w:val="0"/>
        <w:spacing w:line="360" w:lineRule="auto"/>
        <w:jc w:val="center"/>
        <w:outlineLvl w:val="0"/>
        <w:rPr>
          <w:rFonts w:ascii="方正小标宋简体" w:eastAsia="方正小标宋简体" w:cs="方正小标宋简体"/>
          <w:sz w:val="72"/>
          <w:szCs w:val="72"/>
        </w:rPr>
      </w:pPr>
      <w:bookmarkStart w:id="6" w:name="_Toc15396476"/>
      <w:bookmarkStart w:id="7" w:name="_Toc15377426"/>
      <w:bookmarkStart w:id="8" w:name="_Toc15377194"/>
      <w:bookmarkStart w:id="9" w:name="_Toc15396598"/>
      <w:bookmarkStart w:id="10" w:name="_Toc15378442"/>
      <w:r>
        <w:rPr>
          <w:rFonts w:ascii="方正小标宋_GBK" w:eastAsia="方正小标宋_GBK" w:cs="方正小标宋简体" w:hint="eastAsia"/>
          <w:sz w:val="72"/>
          <w:szCs w:val="72"/>
        </w:rPr>
        <w:t>四川省</w:t>
      </w:r>
      <w:bookmarkStart w:id="11" w:name="_Toc15306268"/>
      <w:bookmarkEnd w:id="5"/>
      <w:r>
        <w:rPr>
          <w:rFonts w:ascii="方正小标宋_GBK" w:eastAsia="方正小标宋_GBK" w:cs="方正小标宋简体" w:hint="eastAsia"/>
          <w:sz w:val="72"/>
          <w:szCs w:val="72"/>
        </w:rPr>
        <w:t>攀枝花市经济合作局部门决算</w:t>
      </w:r>
      <w:bookmarkEnd w:id="6"/>
      <w:bookmarkEnd w:id="7"/>
      <w:bookmarkEnd w:id="8"/>
      <w:bookmarkEnd w:id="9"/>
      <w:bookmarkEnd w:id="10"/>
      <w:bookmarkEnd w:id="11"/>
      <w:r>
        <w:rPr>
          <w:rFonts w:ascii="方正小标宋简体" w:eastAsia="方正小标宋简体"/>
          <w:sz w:val="36"/>
          <w:szCs w:val="36"/>
        </w:rPr>
        <w:br w:type="page"/>
      </w:r>
      <w:r>
        <w:rPr>
          <w:rFonts w:ascii="黑体" w:eastAsia="黑体" w:hint="eastAsia"/>
          <w:sz w:val="44"/>
          <w:szCs w:val="44"/>
        </w:rPr>
        <w:t>目录</w:t>
      </w:r>
    </w:p>
    <w:p>
      <w:pPr>
        <w:pStyle w:val="15"/>
        <w:adjustRightInd w:val="0"/>
        <w:snapToGrid w:val="0"/>
        <w:spacing w:beforeLines="0" w:before="93" w:line="560" w:lineRule="exact"/>
        <w:ind w:firstLineChars="209" w:firstLine="504"/>
        <w:jc w:val="center"/>
        <w:outlineLvl w:val="2"/>
        <w:rPr>
          <w:rFonts w:ascii="楷体_GB2312" w:eastAsia="楷体_GB2312"/>
          <w:kern w:val="2"/>
          <w:sz w:val="24"/>
          <w:szCs w:val="32"/>
          <w:lang w:val="zh-CN"/>
        </w:rPr>
      </w:pPr>
      <w:r>
        <w:rPr>
          <w:rFonts w:ascii="楷体_GB2312" w:eastAsia="楷体_GB2312" w:hint="eastAsia"/>
          <w:kern w:val="2"/>
          <w:sz w:val="24"/>
          <w:szCs w:val="32"/>
          <w:lang w:val="zh-CN"/>
        </w:rPr>
        <w:t>公开时间：2022年9月14日</w:t>
      </w:r>
    </w:p>
    <w:p/>
    <w:p>
      <w:pPr>
        <w:pStyle w:val="20"/>
        <w:tabs>
          <w:tab w:val="right" w:leader="dot" w:pos="8296"/>
        </w:tabs>
        <w:adjustRightInd w:val="0"/>
        <w:snapToGrid w:val="0"/>
        <w:spacing w:before="0" w:line="440" w:lineRule="exact"/>
        <w:jc w:val="left"/>
        <w:rPr>
          <w:rFonts w:ascii="黑体" w:eastAsia="黑体" w:cs="Arial" w:hint="eastAsia"/>
          <w:sz w:val="24"/>
          <w:szCs w:val="24"/>
        </w:rPr>
      </w:pPr>
      <w:r>
        <w:rPr>
          <w:rFonts w:ascii="黑体" w:eastAsia="黑体" w:hint="eastAsia"/>
          <w:sz w:val="24"/>
        </w:rPr>
        <w:t>第一部分 部门概况</w:t>
      </w:r>
      <w:r>
        <w:rPr>
          <w:rFonts w:ascii="宋体" w:eastAsia="宋体" w:hint="eastAsia"/>
          <w:sz w:val="24"/>
        </w:rPr>
        <w:tab/>
        <w:t>1</w:t>
      </w:r>
    </w:p>
    <w:p>
      <w:pPr>
        <w:pStyle w:val="21"/>
        <w:tabs>
          <w:tab w:val="right" w:leader="dot" w:pos="8296"/>
        </w:tabs>
        <w:adjustRightInd w:val="0"/>
        <w:snapToGrid w:val="0"/>
        <w:spacing w:line="440" w:lineRule="exact"/>
        <w:jc w:val="left"/>
        <w:rPr>
          <w:rFonts w:ascii="仿宋_GB2312" w:eastAsia="仿宋_GB2312" w:hint="eastAsia"/>
          <w:sz w:val="24"/>
        </w:rPr>
      </w:pPr>
      <w:r>
        <w:rPr>
          <w:rFonts w:ascii="仿宋_GB2312" w:eastAsia="仿宋_GB2312" w:hint="eastAsia"/>
          <w:sz w:val="24"/>
        </w:rPr>
        <w:t>一、基本职能及主要工作</w:t>
      </w:r>
      <w:r>
        <w:rPr>
          <w:rFonts w:ascii="宋体" w:eastAsia="宋体" w:hint="eastAsia"/>
          <w:sz w:val="24"/>
        </w:rPr>
        <w:tab/>
        <w:t>1</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二、机构设置</w:t>
      </w:r>
      <w:r>
        <w:rPr>
          <w:rFonts w:ascii="宋体" w:eastAsia="宋体" w:hint="eastAsia"/>
          <w:sz w:val="24"/>
        </w:rPr>
        <w:tab/>
        <w:t>4</w:t>
      </w:r>
    </w:p>
    <w:p>
      <w:pPr>
        <w:pStyle w:val="20"/>
        <w:tabs>
          <w:tab w:val="right" w:leader="dot" w:pos="8296"/>
        </w:tabs>
        <w:adjustRightInd w:val="0"/>
        <w:snapToGrid w:val="0"/>
        <w:spacing w:before="0" w:line="440" w:lineRule="exact"/>
        <w:jc w:val="left"/>
        <w:rPr>
          <w:rFonts w:ascii="黑体" w:eastAsia="黑体" w:hint="eastAsia"/>
          <w:sz w:val="24"/>
        </w:rPr>
      </w:pPr>
      <w:r>
        <w:rPr>
          <w:rFonts w:ascii="黑体" w:eastAsia="黑体" w:hint="eastAsia"/>
          <w:sz w:val="24"/>
        </w:rPr>
        <w:t>第二部分 2021年度部门决算情况说明</w:t>
      </w:r>
      <w:r>
        <w:rPr>
          <w:rFonts w:ascii="宋体" w:eastAsia="宋体" w:hint="eastAsia"/>
          <w:sz w:val="24"/>
        </w:rPr>
        <w:tab/>
        <w:t>5</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一、收入支出决算总体情况说明</w:t>
      </w:r>
      <w:r>
        <w:rPr>
          <w:rFonts w:ascii="宋体" w:eastAsia="宋体" w:hint="eastAsia"/>
          <w:sz w:val="24"/>
        </w:rPr>
        <w:tab/>
        <w:t>5</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二、收入决算情况说明</w:t>
      </w:r>
      <w:r>
        <w:rPr>
          <w:rFonts w:ascii="宋体" w:eastAsia="宋体" w:hint="eastAsia"/>
          <w:sz w:val="24"/>
        </w:rPr>
        <w:tab/>
        <w:t>5</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三、支出决算情况说明</w:t>
      </w:r>
      <w:r>
        <w:rPr>
          <w:rFonts w:ascii="宋体" w:eastAsia="宋体" w:hint="eastAsia"/>
          <w:sz w:val="24"/>
        </w:rPr>
        <w:tab/>
        <w:t>6</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四、财政拨款收入支出决算总体情况说明</w:t>
      </w:r>
      <w:r>
        <w:rPr>
          <w:rFonts w:ascii="宋体" w:eastAsia="宋体" w:hint="eastAsia"/>
          <w:sz w:val="24"/>
        </w:rPr>
        <w:tab/>
        <w:t>7</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五、一般公共预算财政拨款支出决算情况说明</w:t>
      </w:r>
      <w:r>
        <w:rPr>
          <w:rFonts w:ascii="宋体" w:eastAsia="宋体" w:hint="eastAsia"/>
          <w:sz w:val="24"/>
        </w:rPr>
        <w:tab/>
        <w:t>7</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六、一般公共预算财政拨款基本支出决算情况说明</w:t>
      </w:r>
      <w:r>
        <w:rPr>
          <w:rFonts w:ascii="宋体" w:eastAsia="宋体" w:hint="eastAsia"/>
          <w:sz w:val="24"/>
        </w:rPr>
        <w:tab/>
        <w:t>9</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七、“三公”经费财政拨款支出决算情况说明</w:t>
      </w:r>
      <w:r>
        <w:rPr>
          <w:rFonts w:ascii="宋体" w:eastAsia="宋体" w:hint="eastAsia"/>
          <w:sz w:val="24"/>
        </w:rPr>
        <w:tab/>
        <w:t>10</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八、政府性基金预算支出决算情况说明</w:t>
      </w:r>
      <w:r>
        <w:rPr>
          <w:rFonts w:ascii="宋体" w:eastAsia="宋体" w:hint="eastAsia"/>
          <w:sz w:val="24"/>
        </w:rPr>
        <w:tab/>
        <w:t>12</w:t>
      </w:r>
    </w:p>
    <w:p>
      <w:pPr>
        <w:pStyle w:val="21"/>
        <w:tabs>
          <w:tab w:val="right" w:leader="dot" w:pos="8296"/>
        </w:tabs>
        <w:adjustRightInd w:val="0"/>
        <w:snapToGrid w:val="0"/>
        <w:spacing w:line="440" w:lineRule="exact"/>
        <w:ind w:leftChars="0" w:left="0"/>
        <w:jc w:val="left"/>
        <w:rPr>
          <w:rFonts w:ascii="仿宋_GB2312" w:eastAsia="仿宋_GB2312" w:cs="宋体" w:hint="eastAsia"/>
          <w:sz w:val="24"/>
        </w:rPr>
      </w:pPr>
      <w:r>
        <w:rPr>
          <w:rFonts w:ascii="仿宋_GB2312" w:eastAsia="仿宋_GB2312" w:cs="宋体" w:hint="eastAsia"/>
          <w:sz w:val="24"/>
        </w:rPr>
        <w:t>九、国有资本经营预算支出决算情况说明</w:t>
      </w:r>
      <w:r>
        <w:rPr>
          <w:rFonts w:ascii="宋体" w:eastAsia="宋体" w:hint="eastAsia"/>
          <w:sz w:val="24"/>
        </w:rPr>
        <w:tab/>
        <w:t>12</w:t>
      </w:r>
    </w:p>
    <w:p>
      <w:pPr>
        <w:pStyle w:val="21"/>
        <w:tabs>
          <w:tab w:val="right" w:leader="dot" w:pos="8296"/>
        </w:tabs>
        <w:adjustRightInd w:val="0"/>
        <w:snapToGrid w:val="0"/>
        <w:spacing w:line="440" w:lineRule="exact"/>
        <w:ind w:leftChars="0" w:left="0"/>
        <w:jc w:val="left"/>
        <w:rPr>
          <w:rFonts w:ascii="仿宋_GB2312" w:eastAsia="仿宋_GB2312" w:cs="宋体" w:hint="eastAsia"/>
          <w:sz w:val="24"/>
        </w:rPr>
      </w:pPr>
      <w:r>
        <w:rPr>
          <w:rStyle w:val="23"/>
          <w:rFonts w:ascii="仿宋_GB2312" w:eastAsia="仿宋_GB2312" w:cs="宋体" w:hint="eastAsia"/>
          <w:color w:val="auto"/>
          <w:sz w:val="24"/>
          <w:u w:val="none"/>
        </w:rPr>
        <w:t>十、</w:t>
      </w:r>
      <w:r>
        <w:rPr>
          <w:rFonts w:ascii="仿宋_GB2312" w:eastAsia="仿宋_GB2312" w:cs="宋体" w:hint="eastAsia"/>
          <w:sz w:val="24"/>
        </w:rPr>
        <w:t>其他重要事项的情况说明</w:t>
      </w:r>
      <w:r>
        <w:rPr>
          <w:rFonts w:ascii="宋体" w:eastAsia="宋体" w:hint="eastAsia"/>
          <w:sz w:val="24"/>
        </w:rPr>
        <w:tab/>
        <w:t>12</w:t>
        <w:tab/>
      </w:r>
    </w:p>
    <w:p>
      <w:pPr>
        <w:pStyle w:val="20"/>
        <w:tabs>
          <w:tab w:val="right" w:leader="dot" w:pos="8296"/>
        </w:tabs>
        <w:adjustRightInd w:val="0"/>
        <w:snapToGrid w:val="0"/>
        <w:spacing w:before="0" w:line="440" w:lineRule="exact"/>
        <w:jc w:val="left"/>
        <w:rPr>
          <w:rFonts w:ascii="黑体" w:eastAsia="黑体" w:hint="eastAsia"/>
          <w:sz w:val="24"/>
        </w:rPr>
      </w:pPr>
      <w:r>
        <w:rPr>
          <w:rFonts w:ascii="黑体" w:eastAsia="黑体" w:hint="eastAsia"/>
          <w:sz w:val="24"/>
        </w:rPr>
        <w:t>第三部分 名词解释</w:t>
      </w:r>
      <w:r>
        <w:rPr>
          <w:rFonts w:ascii="宋体" w:eastAsia="宋体" w:hint="eastAsia"/>
          <w:sz w:val="24"/>
        </w:rPr>
        <w:tab/>
        <w:t>14</w:t>
      </w:r>
    </w:p>
    <w:p>
      <w:pPr>
        <w:pStyle w:val="20"/>
        <w:tabs>
          <w:tab w:val="right" w:leader="dot" w:pos="8296"/>
        </w:tabs>
        <w:adjustRightInd w:val="0"/>
        <w:snapToGrid w:val="0"/>
        <w:spacing w:before="0" w:line="440" w:lineRule="exact"/>
        <w:jc w:val="left"/>
        <w:rPr>
          <w:rFonts w:ascii="黑体" w:eastAsia="黑体" w:hint="eastAsia"/>
          <w:sz w:val="24"/>
        </w:rPr>
      </w:pPr>
      <w:r>
        <w:rPr>
          <w:rFonts w:ascii="黑体" w:eastAsia="黑体" w:hint="eastAsia"/>
          <w:sz w:val="24"/>
        </w:rPr>
        <w:t>第四部分 附件</w:t>
      </w:r>
      <w:r>
        <w:rPr>
          <w:rFonts w:ascii="宋体" w:eastAsia="宋体" w:hint="eastAsia"/>
          <w:sz w:val="24"/>
        </w:rPr>
        <w:tab/>
        <w:t>17</w:t>
      </w:r>
    </w:p>
    <w:p>
      <w:pPr>
        <w:pStyle w:val="20"/>
        <w:tabs>
          <w:tab w:val="right" w:leader="dot" w:pos="8296"/>
        </w:tabs>
        <w:adjustRightInd w:val="0"/>
        <w:snapToGrid w:val="0"/>
        <w:spacing w:before="0" w:line="440" w:lineRule="exact"/>
        <w:jc w:val="left"/>
        <w:rPr>
          <w:rFonts w:ascii="黑体" w:eastAsia="黑体" w:hint="eastAsia"/>
          <w:sz w:val="24"/>
        </w:rPr>
      </w:pPr>
      <w:r>
        <w:rPr>
          <w:rFonts w:ascii="黑体" w:eastAsia="黑体" w:hint="eastAsia"/>
          <w:sz w:val="24"/>
        </w:rPr>
        <w:t>第五部分 附表</w:t>
      </w:r>
      <w:r>
        <w:rPr>
          <w:rFonts w:ascii="宋体" w:eastAsia="宋体" w:hint="eastAsia"/>
          <w:sz w:val="24"/>
        </w:rPr>
        <w:tab/>
        <w:t>36</w:t>
      </w:r>
    </w:p>
    <w:p>
      <w:pPr>
        <w:pStyle w:val="21"/>
        <w:tabs>
          <w:tab w:val="right" w:leader="dot" w:pos="8296"/>
        </w:tabs>
        <w:adjustRightInd w:val="0"/>
        <w:snapToGrid w:val="0"/>
        <w:spacing w:line="440" w:lineRule="exact"/>
        <w:jc w:val="left"/>
        <w:rPr>
          <w:rFonts w:ascii="仿宋_GB2312" w:eastAsia="仿宋_GB2312" w:cs="Arial" w:hint="eastAsia"/>
          <w:sz w:val="24"/>
        </w:rPr>
      </w:pPr>
      <w:r>
        <w:rPr>
          <w:rFonts w:ascii="仿宋_GB2312" w:eastAsia="仿宋_GB2312" w:hint="eastAsia"/>
          <w:sz w:val="24"/>
        </w:rPr>
        <w:t>一、收入支出决算总表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二、收入决算表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三、支出决算表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四、财政拨款收入支出决算总表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五、财政拨款支出决算明细表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六、一般公共预算财政拨款支出决算表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七、一般公共预算财政拨款支出决算明细表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八、一般公共预算财政拨款基本支出决算表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九、一般公共预算财政拨款项目支出决算表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十、一般公共预算财政拨款“三公”经费支出决算表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十一、政府性基金预算财政拨款收入支出决算表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十二、政府性基金预算财政拨款“三公”经费支出决算表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十三、国有资本经营预算财政拨款收入支出决算表</w:t>
      </w:r>
    </w:p>
    <w:p>
      <w:pPr>
        <w:pStyle w:val="21"/>
        <w:tabs>
          <w:tab w:val="right" w:leader="dot" w:pos="8296"/>
        </w:tabs>
        <w:adjustRightInd w:val="0"/>
        <w:snapToGrid w:val="0"/>
        <w:spacing w:line="440" w:lineRule="exact"/>
        <w:jc w:val="left"/>
        <w:rPr>
          <w:rFonts w:ascii="仿宋_GB2312" w:eastAsia="仿宋_GB2312" w:cs="宋体" w:hint="eastAsia"/>
          <w:sz w:val="24"/>
        </w:rPr>
      </w:pPr>
      <w:r>
        <w:rPr>
          <w:rFonts w:ascii="仿宋_GB2312" w:eastAsia="仿宋_GB2312" w:cs="宋体" w:hint="eastAsia"/>
          <w:sz w:val="24"/>
        </w:rPr>
        <w:t>十四、国有资本经营预算财政拨款支出决算表</w:t>
      </w:r>
    </w:p>
    <w:p>
      <w:pPr>
        <w:widowControl/>
        <w:spacing w:line="440" w:lineRule="exact"/>
        <w:jc w:val="left"/>
        <w:rPr>
          <w:rFonts w:ascii="仿宋" w:eastAsia="仿宋"/>
          <w:b/>
          <w:sz w:val="24"/>
        </w:rPr>
        <w:sectPr>
          <w:headerReference w:type="default" r:id="rId2"/>
          <w:footerReference w:type="default" r:id="rId3"/>
          <w:pgSz w:w="11906" w:h="16838"/>
          <w:pgMar w:top="1440" w:right="1588" w:bottom="1440" w:left="1588" w:header="851" w:footer="992" w:gutter="0"/>
          <w:pgNumType w:start="0"/>
          <w:titlePg/>
          <w:docGrid w:type="lines" w:linePitch="312" w:charSpace="0"/>
        </w:sectPr>
      </w:pPr>
      <w:bookmarkStart w:id="12" w:name="_Toc15377196"/>
      <w:bookmarkStart w:id="13" w:name="_Toc15396599"/>
      <w:r>
        <w:rPr>
          <w:rFonts w:ascii="宋体" w:eastAsia="宋体" w:hint="eastAsia"/>
          <w:sz w:val="24"/>
        </w:rPr>
        <w:tab/>
      </w:r>
    </w:p>
    <w:p>
      <w:pPr>
        <w:pStyle w:val="1"/>
        <w:jc w:val="center"/>
        <w:rPr>
          <w:rStyle w:val="1Char"/>
          <w:rFonts w:ascii="黑体" w:eastAsia="黑体"/>
          <w:b/>
        </w:rPr>
      </w:pPr>
      <w:r>
        <w:rPr>
          <w:rFonts w:ascii="黑体" w:eastAsia="黑体" w:hint="eastAsia"/>
          <w:b w:val="0"/>
        </w:rPr>
        <w:t xml:space="preserve">第一部分 </w:t>
      </w:r>
      <w:r>
        <w:rPr>
          <w:rStyle w:val="1Char"/>
          <w:rFonts w:ascii="黑体" w:eastAsia="黑体" w:hint="eastAsia"/>
        </w:rPr>
        <w:t>部门概况</w:t>
      </w:r>
      <w:bookmarkEnd w:id="12"/>
      <w:bookmarkEnd w:id="13"/>
    </w:p>
    <w:p>
      <w:pPr>
        <w:widowControl/>
        <w:jc w:val="left"/>
        <w:rPr>
          <w:rFonts w:ascii="黑体" w:eastAsia="黑体"/>
          <w:sz w:val="32"/>
          <w:szCs w:val="32"/>
        </w:rPr>
      </w:pPr>
    </w:p>
    <w:p>
      <w:pPr>
        <w:pStyle w:val="2"/>
        <w:spacing w:line="560" w:lineRule="exact"/>
        <w:rPr>
          <w:rStyle w:val="2Char"/>
          <w:rFonts w:ascii="仿宋" w:eastAsia="仿宋"/>
        </w:rPr>
      </w:pPr>
      <w:bookmarkStart w:id="14" w:name="_Toc15396600"/>
      <w:bookmarkStart w:id="15" w:name="_Toc15377197"/>
      <w:r>
        <w:rPr>
          <w:rFonts w:ascii="黑体" w:eastAsia="黑体" w:hint="eastAsia"/>
          <w:b w:val="0"/>
        </w:rPr>
        <w:t>一、基</w:t>
      </w:r>
      <w:r>
        <w:rPr>
          <w:rStyle w:val="2Char"/>
          <w:rFonts w:ascii="黑体" w:eastAsia="黑体" w:hint="eastAsia"/>
        </w:rPr>
        <w:t>本职能及主要工作</w:t>
      </w:r>
      <w:bookmarkEnd w:id="14"/>
      <w:bookmarkEnd w:id="15"/>
    </w:p>
    <w:p>
      <w:pPr>
        <w:pStyle w:val="15"/>
        <w:adjustRightInd w:val="0"/>
        <w:snapToGrid w:val="0"/>
        <w:spacing w:beforeLines="0" w:before="93" w:line="560" w:lineRule="exact"/>
        <w:ind w:firstLineChars="209" w:firstLine="672"/>
        <w:outlineLvl w:val="2"/>
        <w:rPr>
          <w:rFonts w:ascii="仿宋" w:eastAsia="仿宋"/>
          <w:bCs/>
          <w:sz w:val="32"/>
          <w:szCs w:val="32"/>
        </w:rPr>
      </w:pPr>
      <w:bookmarkStart w:id="16" w:name="_Toc15377198"/>
      <w:bookmarkStart w:id="17" w:name="_Toc15378445"/>
      <w:r>
        <w:rPr>
          <w:rFonts w:ascii="楷体_GB2312" w:eastAsia="楷体_GB2312" w:hint="eastAsia"/>
          <w:b/>
          <w:kern w:val="2"/>
          <w:sz w:val="32"/>
          <w:szCs w:val="32"/>
          <w:lang w:val="zh-CN"/>
        </w:rPr>
        <w:t>（一）主要职能。</w:t>
      </w:r>
      <w:bookmarkStart w:id="18" w:name="_Toc15378446"/>
      <w:bookmarkStart w:id="19" w:name="_Toc15377199"/>
      <w:bookmarkEnd w:id="16"/>
      <w:bookmarkEnd w:id="17"/>
      <w:r>
        <w:rPr>
          <w:rFonts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spacing w:line="560" w:lineRule="exact"/>
        <w:ind w:firstLineChars="200" w:firstLine="640"/>
        <w:rPr>
          <w:rFonts w:ascii="仿宋_GB2312" w:eastAsia="仿宋_GB2312"/>
          <w:sz w:val="32"/>
          <w:szCs w:val="32"/>
        </w:rPr>
      </w:pPr>
      <w:r>
        <w:rPr>
          <w:rFonts w:ascii="楷体_GB2312" w:eastAsia="楷体_GB2312" w:hint="eastAsia"/>
          <w:b/>
          <w:sz w:val="32"/>
          <w:szCs w:val="32"/>
          <w:lang w:val="zh-CN"/>
        </w:rPr>
        <w:t>（二）</w:t>
      </w:r>
      <w:r>
        <w:rPr>
          <w:rFonts w:ascii="楷体_GB2312" w:eastAsia="楷体_GB2312"/>
          <w:b/>
          <w:sz w:val="32"/>
          <w:szCs w:val="32"/>
          <w:lang w:val="zh-CN"/>
        </w:rPr>
        <w:t>20</w:t>
      </w:r>
      <w:r>
        <w:rPr>
          <w:rFonts w:ascii="楷体_GB2312" w:eastAsia="楷体_GB2312" w:hint="eastAsia"/>
          <w:b/>
          <w:sz w:val="32"/>
          <w:szCs w:val="32"/>
          <w:lang w:val="zh-CN"/>
        </w:rPr>
        <w:t>21年重点工作完成情况。</w:t>
      </w:r>
      <w:bookmarkEnd w:id="18"/>
      <w:bookmarkEnd w:id="19"/>
      <w:r>
        <w:rPr>
          <w:rFonts w:ascii="仿宋_GB2312" w:eastAsia="仿宋_GB2312" w:hint="eastAsia"/>
          <w:sz w:val="32"/>
          <w:szCs w:val="32"/>
        </w:rPr>
        <w:t>2021年，我局认真贯彻落实省、市委决策部署和省局工作要求，狠抓项目引进和落地，狠抓招商机制建立和完善，狠抓专业招商队伍建设，各项工作有力有序有效开展。</w:t>
      </w:r>
    </w:p>
    <w:p>
      <w:pPr>
        <w:spacing w:line="560" w:lineRule="exact"/>
        <w:ind w:firstLineChars="200" w:firstLine="640"/>
        <w:textAlignment w:val="baseline"/>
        <w:rPr>
          <w:rFonts w:ascii="仿宋_GB2312" w:eastAsia="仿宋_GB2312" w:cs="仿宋"/>
          <w:sz w:val="32"/>
          <w:szCs w:val="32"/>
        </w:rPr>
      </w:pPr>
      <w:r>
        <w:rPr>
          <w:rFonts w:ascii="仿宋_GB2312" w:eastAsia="仿宋_GB2312" w:cs="仿宋" w:hint="eastAsia"/>
          <w:sz w:val="32"/>
          <w:szCs w:val="32"/>
        </w:rPr>
        <w:t>1.聚焦目</w:t>
      </w:r>
      <w:r>
        <w:rPr>
          <w:rFonts w:ascii="仿宋_GB2312" w:eastAsia="仿宋_GB2312" w:cs="仿宋" w:hint="eastAsia"/>
          <w:color w:val="000000"/>
          <w:sz w:val="32"/>
          <w:szCs w:val="32"/>
        </w:rPr>
        <w:t>标任务，项目量质齐升。2021年全市招商引资总到位资金801.27亿元，同比增长1.58%。其中，国内省外投资到位资金330.28亿元。我市外商投资实际到位资金8950.80万元人民币，外商直接投资到位资金（FDI）77万美元，实现“零”的突破。今年以来，成</w:t>
      </w:r>
      <w:r>
        <w:rPr>
          <w:rFonts w:ascii="仿宋_GB2312" w:eastAsia="仿宋_GB2312" w:cs="仿宋" w:hint="eastAsia"/>
          <w:sz w:val="32"/>
          <w:szCs w:val="32"/>
        </w:rPr>
        <w:t>功签约引进田园康养旅游示范基地项目、鞍钢集团3.5万吨/年海绵钛建设项目、50万吨硫酸亚铁固废资源综合利用项目、弘基8000吨/年特种金属新材料产业化项目、智慧物流云仓产业园项目、攀枝花呼叫产业园项目等一批产业化项目。新签约项目数、新引进的大项目较往年有所增加、产业招商结构变化明显。</w:t>
      </w:r>
    </w:p>
    <w:p>
      <w:pPr>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t>2.借力各类平台，活动成效明显。积极组织参加中外知名企业四川行、西博会等省级重大平台活动，精心组织筹办第十二届中国钒业发展论坛攀枝花市钒钛产业投资推介、攀枝花市（深圳）项目专场对接会、攀枝花市（浙江）特色产业合作恳谈会和“做好钒钛、阳光‘两篇文章’</w:t>
      </w:r>
      <w:r>
        <w:rPr>
          <w:rFonts w:ascii="宋体" w:cs="宋体" w:hint="eastAsia"/>
          <w:sz w:val="32"/>
          <w:szCs w:val="32"/>
        </w:rPr>
        <w:t>•</w:t>
      </w:r>
      <w:r>
        <w:rPr>
          <w:rFonts w:ascii="仿宋_GB2312" w:eastAsia="仿宋_GB2312" w:cs="仿宋_GB2312" w:hint="eastAsia"/>
          <w:sz w:val="32"/>
          <w:szCs w:val="32"/>
        </w:rPr>
        <w:t>筑实‘三个圈层’攀枝花特色产业推介会”“奋力推动‘三个圈层’联动发展，加快建设现代化区域中心城市——攀枝花特色产业推介会”</w:t>
      </w:r>
      <w:r>
        <w:rPr>
          <w:rFonts w:ascii="仿宋_GB2312" w:eastAsia="仿宋_GB2312" w:cs="仿宋" w:hint="eastAsia"/>
          <w:sz w:val="32"/>
          <w:szCs w:val="32"/>
        </w:rPr>
        <w:t xml:space="preserve">等系列专题推介活动，宣传攀枝花“城市名片”，促成了一批国内外知名企业、客商来攀投资兴业。全年借助投资推介活动共签约项目87个，协议投资总额548.81亿元。 </w:t>
      </w:r>
    </w:p>
    <w:p>
      <w:pPr>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t>3.突出重点产业，强化精准招商。围绕我市大力实施“三大战略”，积极构建“三个圈层”经济地理空间，加快建设现代化区域中心城市的总体战略思路，锁定宝鸡、深圳、杭州、东部沿海地区等重点区域，重点瞄准电子产业、钛民品、钒钛磁铁矿资源综合利用、钛合金及钛基复合材料、钛医疗器械、精密铸造、装备智造、新能源电池等产业链延伸项目和吸引年轻人就业行业开展项目招引。加强与省属国有企业和在川央企，以及国储汇金、大悦城集团、杭州娃哈哈集团、光大控股等企业的对接联系，拜访中国宝武、广东省科学院、今创集团、耀宁科技、美亚迪等目标企业（协会）。在全市扎实开展制造业招商引资“百日攻坚”行动、“FDI到资”攻坚行动。成功签约引进今创装备智造产业园、武骏年产8GW光伏封装材料及制品等一批优质项目。全年全市各级各部门组织赴外小分队招商180次，新签约引进项目计划投资金额突破1000亿元。</w:t>
      </w:r>
    </w:p>
    <w:p>
      <w:pPr>
        <w:spacing w:line="560" w:lineRule="exact"/>
        <w:ind w:firstLineChars="197" w:firstLine="630"/>
        <w:rPr>
          <w:rFonts w:ascii="仿宋_GB2312" w:eastAsia="仿宋_GB2312" w:cs="仿宋"/>
          <w:sz w:val="32"/>
          <w:szCs w:val="32"/>
        </w:rPr>
      </w:pPr>
      <w:r>
        <w:rPr>
          <w:rFonts w:ascii="仿宋_GB2312" w:eastAsia="仿宋_GB2312" w:cs="仿宋" w:hint="eastAsia"/>
          <w:sz w:val="32"/>
          <w:szCs w:val="32"/>
        </w:rPr>
        <w:t>4.深化项目服务，优化营商环境。研究出台《攀枝花市钒钛产业招商引资工作方案》《攀枝花市康养产业招商引资工作方案》，指导各县（区）、园区集中力量延链补链强链招商，明确从项目奖补、矿产资源配置、工业用地保障、水电气（汽）供应、融资支持、科技人才支撑、园区配套建设等方面给予项目全生命周期支持，积极打造政策招商“洼地”。制定印发《关于进一步做好利用外资工作的通知》《关于进一步做好利用外资工作的 17 条措施的通知》等政策措施，进一步强化外资招引、扩大外资规模、改善外资结构、提升外资质量、优化外资营商环境，提高全市对外开放水平，力促全市外商直接投资新突破。每季度由市政府主要领导主持召开企业座谈会，协调解决企业在生产经营、项目落地、开工建设等方面的困难问题。强化“保姆式”服务，积极为企业提供代办服务，切实解决企业入驻、审批等实际困难和问题。</w:t>
      </w:r>
    </w:p>
    <w:p>
      <w:pPr>
        <w:pStyle w:val="2"/>
        <w:spacing w:line="560" w:lineRule="exact"/>
        <w:rPr>
          <w:rStyle w:val="2Char"/>
        </w:rPr>
      </w:pPr>
      <w:bookmarkStart w:id="20" w:name="_Toc15396601"/>
      <w:bookmarkStart w:id="21" w:name="_Toc15377200"/>
      <w:r>
        <w:rPr>
          <w:rFonts w:ascii="黑体" w:eastAsia="黑体" w:hint="eastAsia"/>
          <w:b w:val="0"/>
        </w:rPr>
        <w:t>二、机</w:t>
      </w:r>
      <w:r>
        <w:rPr>
          <w:rStyle w:val="2Char"/>
          <w:rFonts w:ascii="黑体" w:eastAsia="黑体" w:hint="eastAsia"/>
        </w:rPr>
        <w:t>构设置</w:t>
      </w:r>
      <w:bookmarkEnd w:id="20"/>
      <w:bookmarkEnd w:id="21"/>
    </w:p>
    <w:p>
      <w:pPr>
        <w:spacing w:line="560" w:lineRule="exact"/>
        <w:ind w:firstLineChars="250" w:firstLine="800"/>
        <w:rPr>
          <w:rFonts w:ascii="仿宋" w:eastAsia="仿宋"/>
          <w:sz w:val="32"/>
          <w:szCs w:val="32"/>
        </w:rPr>
      </w:pPr>
      <w:r>
        <w:rPr>
          <w:rFonts w:ascii="仿宋" w:eastAsia="仿宋" w:hint="eastAsia"/>
          <w:sz w:val="32"/>
          <w:szCs w:val="32"/>
        </w:rPr>
        <w:t>攀枝花市经济合作局下属二级单位3个，其中行政单位0个，参照公务员法管理的事业单位</w:t>
      </w:r>
      <w:r>
        <w:rPr>
          <w:rFonts w:ascii="仿宋" w:eastAsia="仿宋" w:hint="eastAsia"/>
          <w:bCs/>
          <w:sz w:val="32"/>
          <w:szCs w:val="32"/>
        </w:rPr>
        <w:t>0</w:t>
      </w:r>
      <w:r>
        <w:rPr>
          <w:rFonts w:ascii="仿宋" w:eastAsia="仿宋" w:hint="eastAsia"/>
          <w:sz w:val="32"/>
          <w:szCs w:val="32"/>
        </w:rPr>
        <w:t>个，其他事业单位3个。</w:t>
      </w:r>
    </w:p>
    <w:p>
      <w:pPr>
        <w:pStyle w:val="15"/>
        <w:adjustRightInd w:val="0"/>
        <w:snapToGrid w:val="0"/>
        <w:spacing w:beforeLines="0" w:before="93" w:line="560" w:lineRule="exact"/>
        <w:ind w:firstLineChars="209" w:firstLine="672"/>
        <w:rPr>
          <w:rFonts w:ascii="仿宋" w:eastAsia="仿宋"/>
          <w:sz w:val="32"/>
          <w:szCs w:val="32"/>
        </w:rPr>
      </w:pPr>
      <w:r>
        <w:rPr>
          <w:rFonts w:ascii="仿宋" w:eastAsia="仿宋" w:hint="eastAsia"/>
          <w:sz w:val="32"/>
          <w:szCs w:val="32"/>
        </w:rPr>
        <w:t>纳入攀枝花市经济合作局2021年度部门决算编制范围的二级预算单位包括：</w:t>
      </w:r>
    </w:p>
    <w:p>
      <w:pPr>
        <w:pStyle w:val="15"/>
        <w:numPr>
          <w:ilvl w:val="0"/>
          <w:numId w:val="1"/>
        </w:numPr>
        <w:adjustRightInd w:val="0"/>
        <w:snapToGrid w:val="0"/>
        <w:spacing w:beforeLines="0" w:before="93" w:line="560" w:lineRule="exact"/>
        <w:outlineLvl w:val="2"/>
        <w:rPr>
          <w:rFonts w:ascii="仿宋" w:eastAsia="仿宋"/>
          <w:sz w:val="32"/>
          <w:szCs w:val="32"/>
        </w:rPr>
      </w:pPr>
      <w:r>
        <w:rPr>
          <w:rFonts w:hint="eastAsia"/>
          <w:sz w:val="32"/>
          <w:szCs w:val="32"/>
        </w:rPr>
        <w:t>攀枝花市投资促进中心</w:t>
      </w:r>
    </w:p>
    <w:p>
      <w:pPr>
        <w:pStyle w:val="15"/>
        <w:numPr>
          <w:ilvl w:val="0"/>
          <w:numId w:val="1"/>
        </w:numPr>
        <w:adjustRightInd w:val="0"/>
        <w:snapToGrid w:val="0"/>
        <w:spacing w:beforeLines="0" w:before="93" w:line="560" w:lineRule="exact"/>
        <w:outlineLvl w:val="2"/>
        <w:rPr>
          <w:rFonts w:ascii="仿宋" w:eastAsia="仿宋"/>
          <w:sz w:val="32"/>
          <w:szCs w:val="32"/>
        </w:rPr>
      </w:pPr>
      <w:bookmarkStart w:id="22" w:name="_Toc15377433"/>
      <w:bookmarkStart w:id="23" w:name="_Toc15377202"/>
      <w:bookmarkStart w:id="24" w:name="_Toc15378449"/>
      <w:bookmarkStart w:id="25" w:name="_Toc15306276"/>
      <w:r>
        <w:rPr>
          <w:rFonts w:hint="eastAsia"/>
          <w:sz w:val="32"/>
          <w:szCs w:val="32"/>
        </w:rPr>
        <w:t>攀枝花市驻宝鸡投资促进中心</w:t>
      </w:r>
      <w:bookmarkEnd w:id="22"/>
      <w:bookmarkEnd w:id="23"/>
      <w:bookmarkEnd w:id="24"/>
      <w:bookmarkEnd w:id="25"/>
    </w:p>
    <w:p>
      <w:pPr>
        <w:pStyle w:val="15"/>
        <w:numPr>
          <w:ilvl w:val="0"/>
          <w:numId w:val="1"/>
        </w:numPr>
        <w:adjustRightInd w:val="0"/>
        <w:snapToGrid w:val="0"/>
        <w:spacing w:beforeLines="0" w:before="93" w:line="560" w:lineRule="exact"/>
        <w:outlineLvl w:val="2"/>
        <w:rPr>
          <w:rFonts w:ascii="仿宋" w:eastAsia="仿宋"/>
          <w:sz w:val="32"/>
          <w:szCs w:val="32"/>
        </w:rPr>
      </w:pPr>
      <w:bookmarkStart w:id="26" w:name="_Toc15378450"/>
      <w:bookmarkStart w:id="27" w:name="_Toc15306277"/>
      <w:bookmarkStart w:id="28" w:name="_Toc15377434"/>
      <w:bookmarkStart w:id="29" w:name="_Toc15377203"/>
      <w:r>
        <w:rPr>
          <w:rFonts w:hint="eastAsia"/>
          <w:sz w:val="32"/>
          <w:szCs w:val="32"/>
        </w:rPr>
        <w:t>攀枝花市驻广州投资促进中心</w:t>
      </w:r>
      <w:bookmarkEnd w:id="26"/>
      <w:bookmarkEnd w:id="27"/>
      <w:bookmarkEnd w:id="28"/>
      <w:bookmarkEnd w:id="29"/>
    </w:p>
    <w:p>
      <w:pPr>
        <w:pStyle w:val="15"/>
        <w:adjustRightInd w:val="0"/>
        <w:snapToGrid w:val="0"/>
        <w:spacing w:beforeLines="0" w:before="93" w:line="560" w:lineRule="exact"/>
        <w:outlineLvl w:val="2"/>
        <w:rPr>
          <w:rFonts w:ascii="仿宋" w:eastAsia="仿宋"/>
          <w:sz w:val="32"/>
          <w:szCs w:val="32"/>
        </w:rPr>
      </w:pPr>
      <w:r>
        <w:rPr>
          <w:rFonts w:ascii="仿宋" w:eastAsia="仿宋"/>
          <w:sz w:val="32"/>
          <w:szCs w:val="32"/>
        </w:rPr>
        <w:br w:type="page"/>
      </w:r>
    </w:p>
    <w:p>
      <w:pPr>
        <w:pStyle w:val="1"/>
        <w:spacing w:line="560" w:lineRule="exact"/>
        <w:ind w:right="440"/>
        <w:jc w:val="center"/>
        <w:rPr>
          <w:rStyle w:val="1Char"/>
          <w:rFonts w:ascii="黑体" w:eastAsia="黑体"/>
          <w:bCs/>
        </w:rPr>
      </w:pPr>
      <w:bookmarkStart w:id="30" w:name="_Toc15377204"/>
      <w:bookmarkStart w:id="31" w:name="_Toc15396602"/>
      <w:r>
        <w:rPr>
          <w:rFonts w:ascii="黑体" w:eastAsia="黑体" w:hint="eastAsia"/>
          <w:b w:val="0"/>
        </w:rPr>
        <w:t>第二部分 2021年度</w:t>
      </w:r>
      <w:r>
        <w:rPr>
          <w:rStyle w:val="1Char"/>
          <w:rFonts w:ascii="黑体" w:eastAsia="黑体" w:hint="eastAsia"/>
          <w:bCs/>
        </w:rPr>
        <w:t>部门决算情况说明</w:t>
      </w:r>
      <w:bookmarkEnd w:id="30"/>
      <w:bookmarkEnd w:id="31"/>
    </w:p>
    <w:p>
      <w:pPr>
        <w:spacing w:line="560" w:lineRule="exact"/>
      </w:pPr>
    </w:p>
    <w:p>
      <w:pPr>
        <w:pStyle w:val="28"/>
        <w:numPr>
          <w:ilvl w:val="0"/>
          <w:numId w:val="2"/>
        </w:numPr>
        <w:spacing w:line="560" w:lineRule="exact"/>
        <w:ind w:firstLineChars="0"/>
        <w:outlineLvl w:val="1"/>
        <w:rPr>
          <w:rStyle w:val="2Char"/>
          <w:rFonts w:ascii="黑体" w:eastAsia="黑体"/>
          <w:b w:val="0"/>
        </w:rPr>
      </w:pPr>
      <w:bookmarkStart w:id="32" w:name="_Toc15396603"/>
      <w:bookmarkStart w:id="33" w:name="_Toc15377205"/>
      <w:r>
        <w:rPr>
          <w:rFonts w:ascii="黑体" w:eastAsia="黑体" w:hint="eastAsia"/>
          <w:sz w:val="32"/>
          <w:szCs w:val="32"/>
        </w:rPr>
        <w:t>收</w:t>
      </w:r>
      <w:r>
        <w:rPr>
          <w:rStyle w:val="2Char"/>
          <w:rFonts w:ascii="黑体" w:eastAsia="黑体" w:hint="eastAsia"/>
          <w:b w:val="0"/>
        </w:rPr>
        <w:t>入支出决算总体情况说明</w:t>
      </w:r>
      <w:bookmarkEnd w:id="32"/>
      <w:bookmarkEnd w:id="33"/>
    </w:p>
    <w:p>
      <w:pPr>
        <w:spacing w:line="560" w:lineRule="exact"/>
        <w:ind w:firstLineChars="200" w:firstLine="640"/>
        <w:rPr>
          <w:rFonts w:ascii="仿宋" w:eastAsia="仿宋"/>
          <w:sz w:val="32"/>
          <w:szCs w:val="32"/>
        </w:rPr>
      </w:pPr>
      <w:r>
        <w:rPr>
          <w:rFonts w:ascii="仿宋" w:eastAsia="仿宋" w:hint="eastAsia"/>
          <w:sz w:val="32"/>
          <w:szCs w:val="32"/>
        </w:rPr>
        <w:t>2021年度收、支总计1029.08万元。与2020年相比，收、支总计各增加79.05万元，增长8.32</w:t>
      </w:r>
      <w:r>
        <w:rPr>
          <w:rFonts w:ascii="仿宋" w:eastAsia="仿宋"/>
          <w:sz w:val="32"/>
          <w:szCs w:val="32"/>
        </w:rPr>
        <w:t>%</w:t>
      </w:r>
      <w:r>
        <w:rPr>
          <w:rFonts w:ascii="仿宋" w:eastAsia="仿宋" w:hint="eastAsia"/>
          <w:sz w:val="32"/>
          <w:szCs w:val="32"/>
        </w:rPr>
        <w:t>。主要变动原因</w:t>
      </w:r>
      <w:r>
        <w:rPr>
          <w:rFonts w:ascii="仿宋_GB2312" w:eastAsia="仿宋_GB2312" w:hint="eastAsia"/>
          <w:sz w:val="32"/>
          <w:szCs w:val="32"/>
        </w:rPr>
        <w:t>是2021年人员经费和公用经费收、支总计增加。</w:t>
      </w:r>
    </w:p>
    <w:p>
      <w:pPr>
        <w:spacing w:line="560" w:lineRule="exact"/>
        <w:ind w:firstLineChars="200" w:firstLine="640"/>
        <w:rPr>
          <w:rFonts w:ascii="仿宋" w:eastAsia="仿宋"/>
          <w:sz w:val="32"/>
          <w:szCs w:val="32"/>
        </w:rPr>
      </w:pPr>
      <w:r>
        <w:rPr>
          <w:rFonts w:ascii="仿宋" w:eastAsia="仿宋" w:hint="eastAsia"/>
          <w:sz w:val="32"/>
          <w:szCs w:val="32"/>
        </w:rPr>
        <w:t>（图</w:t>
      </w:r>
      <w:r>
        <w:rPr>
          <w:rFonts w:ascii="仿宋" w:eastAsia="仿宋"/>
          <w:sz w:val="32"/>
          <w:szCs w:val="32"/>
        </w:rPr>
        <w:t>1</w:t>
      </w:r>
      <w:r>
        <w:rPr>
          <w:rFonts w:ascii="仿宋" w:eastAsia="仿宋" w:hint="eastAsia"/>
          <w:sz w:val="32"/>
          <w:szCs w:val="32"/>
        </w:rPr>
        <w:t>：收、支决算总计变动情况图）</w:t>
      </w:r>
    </w:p>
    <w:p>
      <w:pPr>
        <w:pStyle w:val="15"/>
        <w:spacing w:beforeLines="0" w:before="93" w:line="560" w:lineRule="exact"/>
      </w:pPr>
      <w:r>
        <w:rPr>
          <w:rFonts w:hint="eastAsia"/>
          <w:sz w:val="32"/>
          <w:szCs w:val="32"/>
        </w:rPr>
        <w:drawing>
          <wp:anchor distT="0" distB="0" distL="114300" distR="114300" simplePos="0" relativeHeight="18" behindDoc="0" locked="0" layoutInCell="1" hidden="0" allowOverlap="1">
            <wp:simplePos x="0" y="0"/>
            <wp:positionH relativeFrom="column">
              <wp:posOffset>-44553</wp:posOffset>
            </wp:positionH>
            <wp:positionV relativeFrom="paragraph">
              <wp:posOffset>52686</wp:posOffset>
            </wp:positionV>
            <wp:extent cx="5535826" cy="3196281"/>
            <wp:effectExtent l="0" t="0" r="0" b="0"/>
            <wp:wrapNone/>
            <wp:docPr id="1" name="图表 1"/>
            <wp:cNvGraphicFramePr>
              <a:graphicFrameLocks noChangeAspect="0"/>
            </wp:cNvGraphicFramePr>
            <a:graphic>
              <a:graphicData uri="http://schemas.openxmlformats.org/drawingml/2006/chart">
                <c:chart xmlns:c="http://schemas.openxmlformats.org/drawingml/2006/chart" r:id="rId6"/>
              </a:graphicData>
            </a:graphic>
          </wp:anchor>
        </w:drawing>
      </w: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28"/>
        <w:numPr>
          <w:ilvl w:val="0"/>
          <w:numId w:val="2"/>
        </w:numPr>
        <w:spacing w:line="560" w:lineRule="exact"/>
        <w:ind w:firstLineChars="0"/>
        <w:outlineLvl w:val="1"/>
        <w:rPr>
          <w:rStyle w:val="2Char"/>
          <w:rFonts w:ascii="黑体" w:eastAsia="黑体"/>
          <w:b w:val="0"/>
        </w:rPr>
      </w:pPr>
      <w:bookmarkStart w:id="34" w:name="_Toc15377206"/>
      <w:bookmarkStart w:id="35" w:name="_Toc15396604"/>
      <w:r>
        <w:rPr>
          <w:rFonts w:ascii="黑体" w:eastAsia="黑体" w:hint="eastAsia"/>
          <w:sz w:val="32"/>
          <w:szCs w:val="32"/>
        </w:rPr>
        <w:t>收</w:t>
      </w:r>
      <w:r>
        <w:rPr>
          <w:rStyle w:val="2Char"/>
          <w:rFonts w:ascii="黑体" w:eastAsia="黑体" w:hint="eastAsia"/>
          <w:b w:val="0"/>
        </w:rPr>
        <w:t>入决算情况说明</w:t>
      </w:r>
      <w:bookmarkEnd w:id="34"/>
      <w:bookmarkEnd w:id="35"/>
    </w:p>
    <w:p>
      <w:pPr>
        <w:spacing w:line="560" w:lineRule="exact"/>
        <w:ind w:firstLineChars="200" w:firstLine="640"/>
        <w:outlineLvl w:val="1"/>
        <w:rPr>
          <w:rFonts w:ascii="仿宋" w:eastAsia="仿宋"/>
          <w:sz w:val="32"/>
          <w:szCs w:val="32"/>
        </w:rPr>
      </w:pPr>
      <w:r>
        <w:rPr>
          <w:rFonts w:ascii="仿宋" w:eastAsia="仿宋"/>
          <w:sz w:val="32"/>
          <w:szCs w:val="32"/>
        </w:rPr>
        <w:t>20</w:t>
      </w:r>
      <w:r>
        <w:rPr>
          <w:rFonts w:ascii="仿宋" w:eastAsia="仿宋" w:hint="eastAsia"/>
          <w:sz w:val="32"/>
          <w:szCs w:val="32"/>
        </w:rPr>
        <w:t>21年本年收入合计1025.08万元，其中：一般公共预算财政拨款收入1025.05万元，占99.997</w:t>
      </w:r>
      <w:r>
        <w:rPr>
          <w:rFonts w:ascii="仿宋" w:eastAsia="仿宋"/>
          <w:sz w:val="32"/>
          <w:szCs w:val="32"/>
        </w:rPr>
        <w:t>%</w:t>
      </w:r>
      <w:r>
        <w:rPr>
          <w:rFonts w:ascii="仿宋" w:eastAsia="仿宋" w:hint="eastAsia"/>
          <w:sz w:val="32"/>
          <w:szCs w:val="32"/>
        </w:rPr>
        <w:t>；政府性基金预算财政拨款收入0万元；国有资本经营预算财政拨款收入0万元；上级补助收入0万元；事业收入0万元；经营收入0万元；附属单位上缴收入0万元；其他收入0.03万元，占0.003</w:t>
      </w:r>
      <w:r>
        <w:rPr>
          <w:rFonts w:ascii="仿宋" w:eastAsia="仿宋"/>
          <w:sz w:val="32"/>
          <w:szCs w:val="32"/>
        </w:rPr>
        <w:t>%</w:t>
      </w:r>
      <w:r>
        <w:rPr>
          <w:rFonts w:ascii="仿宋" w:eastAsia="仿宋" w:hint="eastAsia"/>
          <w:sz w:val="32"/>
          <w:szCs w:val="32"/>
        </w:rPr>
        <w:t>。</w:t>
      </w:r>
    </w:p>
    <w:p>
      <w:pPr>
        <w:spacing w:line="560" w:lineRule="exact"/>
        <w:ind w:firstLineChars="200" w:firstLine="640"/>
        <w:rPr>
          <w:rFonts w:ascii="仿宋" w:eastAsia="仿宋"/>
          <w:sz w:val="32"/>
          <w:szCs w:val="32"/>
        </w:rPr>
      </w:pPr>
      <w:r>
        <w:rPr>
          <w:rFonts w:ascii="仿宋" w:eastAsia="仿宋" w:hint="eastAsia"/>
          <w:sz w:val="32"/>
          <w:szCs w:val="32"/>
        </w:rPr>
        <w:t>（图2：收入决算结构图）</w:t>
      </w:r>
    </w:p>
    <w:p>
      <w:pPr>
        <w:pStyle w:val="15"/>
        <w:spacing w:beforeLines="0" w:before="93" w:line="560" w:lineRule="exact"/>
      </w:pPr>
      <w:r>
        <w:rPr>
          <w:rFonts w:ascii="仿宋" w:eastAsia="仿宋" w:hint="eastAsia"/>
          <w:sz w:val="32"/>
          <w:szCs w:val="32"/>
        </w:rPr>
        <w:drawing>
          <wp:anchor distT="0" distB="0" distL="114300" distR="114300" simplePos="0" relativeHeight="20" behindDoc="0" locked="0" layoutInCell="1" hidden="0" allowOverlap="1">
            <wp:simplePos x="0" y="0"/>
            <wp:positionH relativeFrom="column">
              <wp:posOffset>-77829</wp:posOffset>
            </wp:positionH>
            <wp:positionV relativeFrom="paragraph">
              <wp:posOffset>158557</wp:posOffset>
            </wp:positionV>
            <wp:extent cx="5557961" cy="3101009"/>
            <wp:effectExtent l="0" t="0" r="0" b="0"/>
            <wp:wrapNone/>
            <wp:docPr id="2" name="图表 5"/>
            <wp:cNvGraphicFramePr>
              <a:graphicFrameLocks noChangeAspect="0"/>
            </wp:cNvGraphicFramePr>
            <a:graphic>
              <a:graphicData uri="http://schemas.openxmlformats.org/drawingml/2006/chart">
                <c:chart xmlns:c="http://schemas.openxmlformats.org/drawingml/2006/chart" r:id="rId7"/>
              </a:graphicData>
            </a:graphic>
          </wp:anchor>
        </w:drawing>
      </w: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28"/>
        <w:numPr>
          <w:ilvl w:val="0"/>
          <w:numId w:val="2"/>
        </w:numPr>
        <w:spacing w:line="560" w:lineRule="exact"/>
        <w:ind w:firstLineChars="0"/>
        <w:outlineLvl w:val="1"/>
        <w:rPr>
          <w:rStyle w:val="2Char"/>
          <w:rFonts w:ascii="黑体" w:eastAsia="黑体"/>
          <w:b w:val="0"/>
        </w:rPr>
      </w:pPr>
      <w:bookmarkStart w:id="36" w:name="_Toc15377207"/>
      <w:bookmarkStart w:id="37" w:name="_Toc15396605"/>
      <w:r>
        <w:rPr>
          <w:rFonts w:ascii="黑体" w:eastAsia="黑体" w:hint="eastAsia"/>
          <w:sz w:val="32"/>
          <w:szCs w:val="32"/>
        </w:rPr>
        <w:t>支</w:t>
      </w:r>
      <w:r>
        <w:rPr>
          <w:rStyle w:val="2Char"/>
          <w:rFonts w:ascii="黑体" w:eastAsia="黑体" w:hint="eastAsia"/>
          <w:b w:val="0"/>
        </w:rPr>
        <w:t>出决算情况说明</w:t>
      </w:r>
      <w:bookmarkEnd w:id="36"/>
      <w:bookmarkEnd w:id="37"/>
    </w:p>
    <w:p>
      <w:pPr>
        <w:spacing w:line="560" w:lineRule="exact"/>
        <w:ind w:firstLineChars="200" w:firstLine="640"/>
        <w:outlineLvl w:val="1"/>
        <w:rPr>
          <w:rFonts w:ascii="仿宋" w:eastAsia="仿宋"/>
          <w:sz w:val="32"/>
          <w:szCs w:val="32"/>
        </w:rPr>
      </w:pPr>
      <w:r>
        <w:rPr>
          <w:rFonts w:ascii="仿宋" w:eastAsia="仿宋"/>
          <w:sz w:val="32"/>
          <w:szCs w:val="32"/>
        </w:rPr>
        <w:t>20</w:t>
      </w:r>
      <w:r>
        <w:rPr>
          <w:rFonts w:ascii="仿宋" w:eastAsia="仿宋" w:hint="eastAsia"/>
          <w:sz w:val="32"/>
          <w:szCs w:val="32"/>
        </w:rPr>
        <w:t>21年本年支出合计1029.08万元，其中：基本支出787.36万元，占76.51</w:t>
      </w:r>
      <w:r>
        <w:rPr>
          <w:rFonts w:ascii="仿宋" w:eastAsia="仿宋"/>
          <w:sz w:val="32"/>
          <w:szCs w:val="32"/>
        </w:rPr>
        <w:t>%</w:t>
      </w:r>
      <w:r>
        <w:rPr>
          <w:rFonts w:ascii="仿宋" w:eastAsia="仿宋" w:hint="eastAsia"/>
          <w:sz w:val="32"/>
          <w:szCs w:val="32"/>
        </w:rPr>
        <w:t>；项目支出241.72万元，占23.49</w:t>
      </w:r>
      <w:r>
        <w:rPr>
          <w:rFonts w:ascii="仿宋" w:eastAsia="仿宋"/>
          <w:sz w:val="32"/>
          <w:szCs w:val="32"/>
        </w:rPr>
        <w:t>%</w:t>
      </w:r>
      <w:r>
        <w:rPr>
          <w:rFonts w:ascii="仿宋" w:eastAsia="仿宋" w:hint="eastAsia"/>
          <w:sz w:val="32"/>
          <w:szCs w:val="32"/>
        </w:rPr>
        <w:t>；上缴上级支出0万元；经营支出0万元；对附属单位补助支出0万元。</w:t>
      </w:r>
    </w:p>
    <w:p>
      <w:pPr>
        <w:spacing w:line="560" w:lineRule="exact"/>
        <w:ind w:firstLineChars="200" w:firstLine="640"/>
        <w:rPr>
          <w:rFonts w:ascii="仿宋" w:eastAsia="仿宋"/>
          <w:sz w:val="32"/>
          <w:szCs w:val="32"/>
        </w:rPr>
      </w:pPr>
      <w:r>
        <w:rPr>
          <w:rFonts w:ascii="仿宋" w:eastAsia="仿宋" w:hint="eastAsia"/>
          <w:sz w:val="32"/>
          <w:szCs w:val="32"/>
        </w:rPr>
        <w:t>（图3：支出决算结构图）</w:t>
      </w:r>
    </w:p>
    <w:p>
      <w:pPr>
        <w:spacing w:line="560" w:lineRule="exact"/>
        <w:ind w:firstLine="640"/>
        <w:rPr>
          <w:rFonts w:ascii="仿宋" w:eastAsia="仿宋"/>
          <w:sz w:val="32"/>
          <w:szCs w:val="32"/>
          <w:shd w:val="pct10" w:color="auto" w:fill="FFFFFF"/>
        </w:rPr>
      </w:pPr>
      <w:r>
        <w:rPr>
          <w:rFonts w:ascii="仿宋_GB2312" w:eastAsia="仿宋_GB2312" w:hint="eastAsia"/>
          <w:sz w:val="32"/>
          <w:szCs w:val="32"/>
        </w:rPr>
        <w:drawing>
          <wp:anchor distT="0" distB="0" distL="114300" distR="114300" simplePos="0" relativeHeight="22" behindDoc="0" locked="0" layoutInCell="1" hidden="0" allowOverlap="1">
            <wp:simplePos x="0" y="0"/>
            <wp:positionH relativeFrom="column">
              <wp:posOffset>-78077</wp:posOffset>
            </wp:positionH>
            <wp:positionV relativeFrom="paragraph">
              <wp:posOffset>62809</wp:posOffset>
            </wp:positionV>
            <wp:extent cx="5573863" cy="3045349"/>
            <wp:effectExtent l="0" t="0" r="0" b="0"/>
            <wp:wrapNone/>
            <wp:docPr id="3" name="图表 6"/>
            <wp:cNvGraphicFramePr>
              <a:graphicFrameLocks noChangeAspect="0"/>
            </wp:cNvGraphicFramePr>
            <a:graphic>
              <a:graphicData uri="http://schemas.openxmlformats.org/drawingml/2006/chart">
                <c:chart xmlns:c="http://schemas.openxmlformats.org/drawingml/2006/chart" r:id="rId8"/>
              </a:graphicData>
            </a:graphic>
          </wp:anchor>
        </w:drawing>
      </w:r>
    </w:p>
    <w:p>
      <w:pPr>
        <w:spacing w:line="560" w:lineRule="exact"/>
        <w:ind w:firstLineChars="200" w:firstLine="640"/>
        <w:rPr>
          <w:rFonts w:ascii="仿宋_GB2312" w:eastAsia="仿宋_GB2312"/>
          <w:sz w:val="32"/>
          <w:szCs w:val="32"/>
        </w:rPr>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spacing w:line="560" w:lineRule="exact"/>
        <w:ind w:firstLineChars="200" w:firstLine="640"/>
        <w:outlineLvl w:val="1"/>
        <w:rPr>
          <w:rFonts w:ascii="黑体" w:eastAsia="黑体"/>
          <w:sz w:val="32"/>
          <w:szCs w:val="32"/>
        </w:rPr>
      </w:pPr>
      <w:bookmarkStart w:id="38" w:name="_Toc15396606"/>
      <w:bookmarkStart w:id="39" w:name="_Toc15377208"/>
    </w:p>
    <w:p>
      <w:pPr>
        <w:spacing w:line="560" w:lineRule="exact"/>
        <w:ind w:firstLineChars="200" w:firstLine="640"/>
        <w:outlineLvl w:val="1"/>
        <w:rPr>
          <w:rFonts w:ascii="黑体" w:eastAsia="黑体" w:hint="eastAsia"/>
          <w:sz w:val="32"/>
          <w:szCs w:val="32"/>
        </w:rPr>
      </w:pPr>
    </w:p>
    <w:p>
      <w:pPr>
        <w:spacing w:line="560" w:lineRule="exact"/>
        <w:ind w:firstLineChars="200" w:firstLine="640"/>
        <w:outlineLvl w:val="1"/>
        <w:rPr>
          <w:rStyle w:val="2Char"/>
          <w:rFonts w:ascii="黑体" w:eastAsia="黑体"/>
          <w:b w:val="0"/>
        </w:rPr>
      </w:pPr>
      <w:r>
        <w:rPr>
          <w:rFonts w:ascii="黑体" w:eastAsia="黑体" w:hint="eastAsia"/>
          <w:sz w:val="32"/>
          <w:szCs w:val="32"/>
        </w:rPr>
        <w:t>四、财</w:t>
      </w:r>
      <w:r>
        <w:rPr>
          <w:rStyle w:val="2Char"/>
          <w:rFonts w:ascii="黑体" w:eastAsia="黑体" w:hint="eastAsia"/>
          <w:b w:val="0"/>
        </w:rPr>
        <w:t>政拨款收入支出决算总体情况说明</w:t>
      </w:r>
      <w:bookmarkEnd w:id="38"/>
      <w:bookmarkEnd w:id="39"/>
    </w:p>
    <w:p>
      <w:pPr>
        <w:spacing w:line="56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21年财政拨款收、支总计1029.05万元。与</w:t>
      </w:r>
      <w:r>
        <w:rPr>
          <w:rFonts w:ascii="仿宋" w:eastAsia="仿宋"/>
          <w:sz w:val="32"/>
          <w:szCs w:val="32"/>
        </w:rPr>
        <w:t>20</w:t>
      </w:r>
      <w:r>
        <w:rPr>
          <w:rFonts w:ascii="仿宋" w:eastAsia="仿宋" w:hint="eastAsia"/>
          <w:sz w:val="32"/>
          <w:szCs w:val="32"/>
        </w:rPr>
        <w:t>20年相比，财政拨款收、支总计各增加79.50万元，增长8.37</w:t>
      </w:r>
      <w:r>
        <w:rPr>
          <w:rFonts w:ascii="仿宋" w:eastAsia="仿宋"/>
          <w:sz w:val="32"/>
          <w:szCs w:val="32"/>
        </w:rPr>
        <w:t>%</w:t>
      </w:r>
      <w:r>
        <w:rPr>
          <w:rFonts w:ascii="仿宋" w:eastAsia="仿宋" w:hint="eastAsia"/>
          <w:sz w:val="32"/>
          <w:szCs w:val="32"/>
        </w:rPr>
        <w:t>。主要变动原因是</w:t>
      </w:r>
      <w:r>
        <w:rPr>
          <w:rFonts w:ascii="仿宋_GB2312" w:eastAsia="仿宋_GB2312" w:hint="eastAsia"/>
          <w:sz w:val="32"/>
          <w:szCs w:val="32"/>
        </w:rPr>
        <w:t>2021年</w:t>
      </w:r>
      <w:r>
        <w:rPr>
          <w:rFonts w:ascii="仿宋" w:eastAsia="仿宋" w:hint="eastAsia"/>
          <w:sz w:val="32"/>
          <w:szCs w:val="32"/>
        </w:rPr>
        <w:t>财政拨款</w:t>
      </w:r>
      <w:r>
        <w:rPr>
          <w:rFonts w:ascii="仿宋_GB2312" w:eastAsia="仿宋_GB2312" w:hint="eastAsia"/>
          <w:sz w:val="32"/>
          <w:szCs w:val="32"/>
        </w:rPr>
        <w:t>人员经费和公用经费收、支总计增加。</w:t>
      </w:r>
    </w:p>
    <w:p>
      <w:pPr>
        <w:spacing w:line="560" w:lineRule="exact"/>
        <w:ind w:firstLineChars="200" w:firstLine="640"/>
        <w:rPr>
          <w:rFonts w:ascii="仿宋" w:eastAsia="仿宋"/>
          <w:sz w:val="32"/>
          <w:szCs w:val="32"/>
        </w:rPr>
      </w:pPr>
      <w:r>
        <w:rPr>
          <w:rFonts w:ascii="仿宋" w:eastAsia="仿宋" w:hint="eastAsia"/>
          <w:sz w:val="32"/>
          <w:szCs w:val="32"/>
        </w:rPr>
        <w:t>（图4：财政拨款收、支决算总计变动情况）</w:t>
      </w:r>
    </w:p>
    <w:p>
      <w:pPr>
        <w:pStyle w:val="15"/>
        <w:spacing w:beforeLines="0" w:before="93"/>
      </w:pPr>
      <w:r>
        <w:rPr>
          <w:rFonts w:ascii="仿宋" w:eastAsia="仿宋" w:hint="eastAsia"/>
          <w:sz w:val="32"/>
          <w:szCs w:val="32"/>
        </w:rPr>
        <w:drawing>
          <wp:anchor distT="0" distB="0" distL="114300" distR="114300" simplePos="0" relativeHeight="24" behindDoc="0" locked="0" layoutInCell="1" hidden="0" allowOverlap="1">
            <wp:simplePos x="0" y="0"/>
            <wp:positionH relativeFrom="column">
              <wp:posOffset>-83159</wp:posOffset>
            </wp:positionH>
            <wp:positionV relativeFrom="paragraph">
              <wp:posOffset>117230</wp:posOffset>
            </wp:positionV>
            <wp:extent cx="5637899" cy="3322139"/>
            <wp:effectExtent l="0" t="0" r="0" b="0"/>
            <wp:wrapNone/>
            <wp:docPr id="6" name="图表 7"/>
            <wp:cNvGraphicFramePr>
              <a:graphicFrameLocks noChangeAspect="0"/>
            </wp:cNvGraphicFramePr>
            <a:graphic>
              <a:graphicData uri="http://schemas.openxmlformats.org/drawingml/2006/chart">
                <c:chart xmlns:c="http://schemas.openxmlformats.org/drawingml/2006/chart" r:id="rId9"/>
              </a:graphicData>
            </a:graphic>
          </wp:anchor>
        </w:drawing>
      </w:r>
    </w:p>
    <w:p>
      <w:pPr>
        <w:spacing w:line="560" w:lineRule="exact"/>
        <w:ind w:firstLine="640"/>
        <w:rPr>
          <w:rFonts w:ascii="仿宋" w:eastAsia="仿宋"/>
          <w:sz w:val="32"/>
          <w:szCs w:val="32"/>
        </w:rPr>
      </w:pPr>
    </w:p>
    <w:p>
      <w:pPr>
        <w:spacing w:line="560" w:lineRule="exact"/>
        <w:rPr>
          <w:rFonts w:ascii="仿宋" w:eastAsia="仿宋"/>
          <w:sz w:val="32"/>
          <w:szCs w:val="32"/>
        </w:rPr>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spacing w:line="560" w:lineRule="exact"/>
        <w:rPr>
          <w:rFonts w:ascii="仿宋" w:eastAsia="仿宋"/>
          <w:b/>
          <w:sz w:val="32"/>
          <w:szCs w:val="32"/>
        </w:rPr>
      </w:pPr>
    </w:p>
    <w:p>
      <w:pPr>
        <w:spacing w:line="560" w:lineRule="exact"/>
        <w:outlineLvl w:val="1"/>
        <w:rPr>
          <w:rFonts w:ascii="黑体" w:eastAsia="黑体" w:hint="eastAsia"/>
          <w:sz w:val="32"/>
          <w:szCs w:val="32"/>
        </w:rPr>
      </w:pPr>
      <w:bookmarkStart w:id="40" w:name="_Toc15377209"/>
      <w:bookmarkStart w:id="41" w:name="_Toc15396607"/>
    </w:p>
    <w:p>
      <w:pPr>
        <w:pStyle w:val="15"/>
        <w:spacing w:beforeLines="0" w:before="93"/>
      </w:pPr>
    </w:p>
    <w:p>
      <w:pPr>
        <w:spacing w:line="560" w:lineRule="exact"/>
        <w:ind w:firstLineChars="200" w:firstLine="640"/>
        <w:outlineLvl w:val="1"/>
        <w:rPr>
          <w:rStyle w:val="2Char"/>
          <w:rFonts w:ascii="黑体" w:eastAsia="黑体"/>
          <w:b w:val="0"/>
        </w:rPr>
      </w:pPr>
      <w:r>
        <w:rPr>
          <w:rFonts w:ascii="黑体" w:eastAsia="黑体" w:hint="eastAsia"/>
          <w:sz w:val="32"/>
          <w:szCs w:val="32"/>
        </w:rPr>
        <w:t>五、</w:t>
      </w:r>
      <w:r>
        <w:rPr>
          <w:rFonts w:ascii="黑体" w:eastAsia="黑体" w:hint="eastAsia"/>
          <w:b/>
          <w:sz w:val="32"/>
          <w:szCs w:val="32"/>
        </w:rPr>
        <w:t>一</w:t>
      </w:r>
      <w:r>
        <w:rPr>
          <w:rStyle w:val="2Char"/>
          <w:rFonts w:ascii="黑体" w:eastAsia="黑体" w:hint="eastAsia"/>
          <w:b w:val="0"/>
        </w:rPr>
        <w:t>般公共预算财政拨款支出决算情况说明</w:t>
      </w:r>
      <w:bookmarkEnd w:id="40"/>
      <w:bookmarkEnd w:id="41"/>
    </w:p>
    <w:p>
      <w:pPr>
        <w:adjustRightInd w:val="0"/>
        <w:snapToGrid w:val="0"/>
        <w:spacing w:line="560" w:lineRule="exact"/>
        <w:ind w:firstLine="720"/>
        <w:rPr>
          <w:rFonts w:ascii="楷体_GB2312" w:eastAsia="楷体_GB2312"/>
          <w:b/>
          <w:sz w:val="32"/>
          <w:szCs w:val="32"/>
          <w:lang w:val="zh-CN"/>
        </w:rPr>
      </w:pPr>
      <w:bookmarkStart w:id="42" w:name="_Toc15377210"/>
      <w:r>
        <w:rPr>
          <w:rFonts w:ascii="楷体_GB2312" w:eastAsia="楷体_GB2312" w:hint="eastAsia"/>
          <w:b/>
          <w:sz w:val="32"/>
          <w:szCs w:val="32"/>
          <w:lang w:val="zh-CN"/>
        </w:rPr>
        <w:t>（一）一般公共预算财政拨款支出决算总体情况</w:t>
      </w:r>
      <w:bookmarkEnd w:id="42"/>
      <w:r>
        <w:rPr>
          <w:rFonts w:ascii="楷体_GB2312" w:eastAsia="楷体_GB2312" w:hint="eastAsia"/>
          <w:b/>
          <w:sz w:val="32"/>
          <w:szCs w:val="32"/>
          <w:lang w:val="zh-CN"/>
        </w:rPr>
        <w:t>。</w:t>
      </w:r>
    </w:p>
    <w:p>
      <w:pPr>
        <w:spacing w:line="56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21年一般公共预算财政拨款支出1025.05万元，占本年支出合计的99.61</w:t>
      </w:r>
      <w:r>
        <w:rPr>
          <w:rFonts w:ascii="仿宋" w:eastAsia="仿宋"/>
          <w:sz w:val="32"/>
          <w:szCs w:val="32"/>
        </w:rPr>
        <w:t>%</w:t>
      </w:r>
      <w:r>
        <w:rPr>
          <w:rFonts w:ascii="仿宋" w:eastAsia="仿宋" w:hint="eastAsia"/>
          <w:sz w:val="32"/>
          <w:szCs w:val="32"/>
        </w:rPr>
        <w:t>。与</w:t>
      </w:r>
      <w:r>
        <w:rPr>
          <w:rFonts w:ascii="仿宋" w:eastAsia="仿宋"/>
          <w:sz w:val="32"/>
          <w:szCs w:val="32"/>
        </w:rPr>
        <w:t>20</w:t>
      </w:r>
      <w:r>
        <w:rPr>
          <w:rFonts w:ascii="仿宋" w:eastAsia="仿宋" w:hint="eastAsia"/>
          <w:sz w:val="32"/>
          <w:szCs w:val="32"/>
        </w:rPr>
        <w:t>20年相比，一般公共预算财政拨款支出增加338.78万元，增长49.37</w:t>
      </w:r>
      <w:r>
        <w:rPr>
          <w:rFonts w:ascii="仿宋" w:eastAsia="仿宋"/>
          <w:sz w:val="32"/>
          <w:szCs w:val="32"/>
        </w:rPr>
        <w:t>%</w:t>
      </w:r>
      <w:r>
        <w:rPr>
          <w:rFonts w:ascii="仿宋" w:eastAsia="仿宋" w:hint="eastAsia"/>
          <w:sz w:val="32"/>
          <w:szCs w:val="32"/>
        </w:rPr>
        <w:t>。主要变动原因是招商引资专项工作经费支出决算2021年使用“招商引资”一般公共预算科目，而2020年使用“土地开发支出”政府性基金预算科目，导致2021年一般公共预算财政拨款支出增加的情况。</w:t>
      </w:r>
    </w:p>
    <w:p>
      <w:pPr>
        <w:spacing w:line="560" w:lineRule="exact"/>
        <w:ind w:firstLineChars="200" w:firstLine="640"/>
        <w:rPr>
          <w:rFonts w:ascii="仿宋" w:eastAsia="仿宋"/>
          <w:sz w:val="32"/>
          <w:szCs w:val="32"/>
        </w:rPr>
      </w:pPr>
      <w:r>
        <w:rPr>
          <w:rFonts w:ascii="仿宋" w:eastAsia="仿宋" w:hint="eastAsia"/>
          <w:sz w:val="32"/>
          <w:szCs w:val="32"/>
        </w:rPr>
        <w:t>（图5：一般公共预算财政拨款支出决算变动情况）</w:t>
      </w:r>
    </w:p>
    <w:p>
      <w:pPr>
        <w:pStyle w:val="15"/>
        <w:spacing w:beforeLines="0" w:before="93"/>
      </w:pPr>
    </w:p>
    <w:p>
      <w:pPr>
        <w:pStyle w:val="15"/>
        <w:spacing w:beforeLines="0" w:before="93"/>
      </w:pPr>
      <w:r>
        <w:rPr>
          <w:rFonts w:ascii="仿宋" w:eastAsia="仿宋"/>
          <w:b/>
          <w:sz w:val="32"/>
          <w:szCs w:val="32"/>
        </w:rPr>
        <w:drawing>
          <wp:anchor distT="0" distB="0" distL="114300" distR="114300" simplePos="0" relativeHeight="30" behindDoc="0" locked="0" layoutInCell="1" hidden="0" allowOverlap="1">
            <wp:simplePos x="0" y="0"/>
            <wp:positionH relativeFrom="column">
              <wp:posOffset>0</wp:posOffset>
            </wp:positionH>
            <wp:positionV relativeFrom="paragraph">
              <wp:posOffset>74771</wp:posOffset>
            </wp:positionV>
            <wp:extent cx="5557963" cy="3116911"/>
            <wp:effectExtent l="0" t="0" r="0" b="0"/>
            <wp:wrapNone/>
            <wp:docPr id="7" name="图表 8"/>
            <wp:cNvGraphicFramePr>
              <a:graphicFrameLocks noChangeAspect="0"/>
            </wp:cNvGraphicFramePr>
            <a:graphic>
              <a:graphicData uri="http://schemas.openxmlformats.org/drawingml/2006/chart">
                <c:chart xmlns:c="http://schemas.openxmlformats.org/drawingml/2006/chart" r:id="rId10"/>
              </a:graphicData>
            </a:graphic>
          </wp:anchor>
        </w:drawing>
      </w:r>
    </w:p>
    <w:p>
      <w:pPr>
        <w:spacing w:line="560" w:lineRule="exact"/>
        <w:ind w:left="0"/>
        <w:outlineLvl w:val="2"/>
        <w:rPr>
          <w:rFonts w:ascii="仿宋" w:eastAsia="仿宋"/>
          <w:b/>
          <w:sz w:val="32"/>
          <w:szCs w:val="32"/>
        </w:rPr>
      </w:pPr>
      <w:bookmarkStart w:id="43" w:name="_Toc15377211"/>
    </w:p>
    <w:p>
      <w:pPr>
        <w:spacing w:line="560" w:lineRule="exact"/>
        <w:ind w:firstLineChars="200" w:firstLine="640"/>
        <w:outlineLvl w:val="2"/>
        <w:rPr>
          <w:rFonts w:ascii="仿宋" w:eastAsia="仿宋"/>
          <w:b/>
          <w:sz w:val="32"/>
          <w:szCs w:val="32"/>
        </w:rPr>
      </w:pPr>
    </w:p>
    <w:p>
      <w:pPr>
        <w:spacing w:line="560" w:lineRule="exact"/>
        <w:ind w:firstLineChars="200" w:firstLine="640"/>
        <w:outlineLvl w:val="2"/>
        <w:rPr>
          <w:rFonts w:ascii="仿宋" w:eastAsia="仿宋"/>
          <w:b/>
          <w:sz w:val="32"/>
          <w:szCs w:val="32"/>
        </w:rPr>
      </w:pPr>
    </w:p>
    <w:p>
      <w:pPr>
        <w:spacing w:line="560" w:lineRule="exact"/>
        <w:ind w:firstLineChars="200" w:firstLine="640"/>
        <w:outlineLvl w:val="2"/>
        <w:rPr>
          <w:rFonts w:ascii="仿宋" w:eastAsia="仿宋"/>
          <w:b/>
          <w:sz w:val="32"/>
          <w:szCs w:val="32"/>
        </w:rPr>
      </w:pPr>
    </w:p>
    <w:p>
      <w:pPr>
        <w:pStyle w:val="15"/>
      </w:pPr>
    </w:p>
    <w:p>
      <w:pPr>
        <w:pStyle w:val="15"/>
      </w:pPr>
    </w:p>
    <w:p>
      <w:pPr>
        <w:adjustRightInd w:val="0"/>
        <w:snapToGrid w:val="0"/>
        <w:spacing w:line="560" w:lineRule="exact"/>
        <w:ind w:left="0"/>
        <w:rPr>
          <w:rFonts w:ascii="楷体_GB2312" w:eastAsia="楷体_GB2312" w:hint="eastAsia"/>
          <w:b/>
          <w:sz w:val="32"/>
          <w:szCs w:val="32"/>
          <w:lang w:val="zh-CN"/>
        </w:rPr>
      </w:pPr>
    </w:p>
    <w:p>
      <w:pPr>
        <w:adjustRightInd w:val="0"/>
        <w:snapToGrid w:val="0"/>
        <w:spacing w:line="560" w:lineRule="exact"/>
        <w:ind w:firstLine="720"/>
        <w:rPr>
          <w:rFonts w:ascii="楷体_GB2312" w:eastAsia="楷体_GB2312"/>
          <w:b/>
          <w:sz w:val="32"/>
          <w:szCs w:val="32"/>
          <w:lang w:val="zh-CN"/>
        </w:rPr>
      </w:pP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（二）一般公共预算财政拨款支出决算结构情况</w:t>
      </w:r>
      <w:bookmarkEnd w:id="43"/>
      <w:r>
        <w:rPr>
          <w:rFonts w:ascii="楷体_GB2312" w:eastAsia="楷体_GB2312" w:hint="eastAsia"/>
          <w:b/>
          <w:sz w:val="32"/>
          <w:szCs w:val="32"/>
          <w:lang w:val="zh-CN"/>
        </w:rPr>
        <w:t>。</w:t>
      </w:r>
    </w:p>
    <w:p>
      <w:pPr>
        <w:spacing w:line="56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21年一般公共预算财政拨款支出1025.05万元，主要用</w:t>
      </w:r>
    </w:p>
    <w:p>
      <w:pPr>
        <w:spacing w:line="560" w:lineRule="exact"/>
        <w:ind w:firstLine="640"/>
        <w:rPr>
          <w:rFonts w:ascii="仿宋" w:eastAsia="仿宋"/>
          <w:sz w:val="32"/>
          <w:szCs w:val="32"/>
        </w:rPr>
      </w:pPr>
      <w:r>
        <w:rPr>
          <w:rFonts w:ascii="仿宋" w:eastAsia="仿宋" w:hint="eastAsia"/>
          <w:sz w:val="32"/>
          <w:szCs w:val="32"/>
        </w:rPr>
        <w:t>于以下方面</w:t>
      </w:r>
      <w:r>
        <w:rPr>
          <w:rFonts w:ascii="仿宋" w:eastAsia="仿宋"/>
          <w:sz w:val="32"/>
          <w:szCs w:val="32"/>
        </w:rPr>
        <w:t>:</w:t>
      </w:r>
      <w:r>
        <w:rPr>
          <w:rFonts w:ascii="仿宋" w:eastAsia="仿宋" w:hint="eastAsia"/>
          <w:b/>
          <w:sz w:val="32"/>
          <w:szCs w:val="32"/>
        </w:rPr>
        <w:t>一般公共服务（类）</w:t>
      </w:r>
      <w:r>
        <w:rPr>
          <w:rFonts w:ascii="仿宋" w:eastAsia="仿宋" w:hint="eastAsia"/>
          <w:sz w:val="32"/>
          <w:szCs w:val="32"/>
        </w:rPr>
        <w:t>支出851.67万元，占83.09</w:t>
      </w:r>
      <w:r>
        <w:rPr>
          <w:rFonts w:ascii="仿宋" w:eastAsia="仿宋"/>
          <w:sz w:val="32"/>
          <w:szCs w:val="32"/>
        </w:rPr>
        <w:t>%</w:t>
      </w:r>
      <w:r>
        <w:rPr>
          <w:rFonts w:ascii="仿宋" w:eastAsia="仿宋" w:hint="eastAsia"/>
          <w:sz w:val="32"/>
          <w:szCs w:val="32"/>
        </w:rPr>
        <w:t>；</w:t>
      </w:r>
      <w:r>
        <w:rPr>
          <w:rFonts w:ascii="仿宋" w:eastAsia="仿宋" w:hint="eastAsia"/>
          <w:b/>
          <w:sz w:val="32"/>
          <w:szCs w:val="32"/>
        </w:rPr>
        <w:t>社会保障和就业（类）</w:t>
      </w:r>
      <w:r>
        <w:rPr>
          <w:rFonts w:ascii="仿宋" w:eastAsia="仿宋" w:hint="eastAsia"/>
          <w:sz w:val="32"/>
          <w:szCs w:val="32"/>
        </w:rPr>
        <w:t>支出121.32万元，占11.84</w:t>
      </w:r>
      <w:r>
        <w:rPr>
          <w:rFonts w:ascii="仿宋" w:eastAsia="仿宋"/>
          <w:sz w:val="32"/>
          <w:szCs w:val="32"/>
        </w:rPr>
        <w:t>%</w:t>
      </w:r>
      <w:r>
        <w:rPr>
          <w:rFonts w:ascii="仿宋" w:eastAsia="仿宋" w:hint="eastAsia"/>
          <w:sz w:val="32"/>
          <w:szCs w:val="32"/>
        </w:rPr>
        <w:t>；</w:t>
      </w:r>
      <w:r>
        <w:rPr>
          <w:rFonts w:eastAsia="仿宋" w:hint="eastAsia"/>
          <w:b/>
          <w:color w:val="000000"/>
          <w:sz w:val="32"/>
          <w:szCs w:val="32"/>
        </w:rPr>
        <w:t>住房保障（类）</w:t>
      </w:r>
      <w:r>
        <w:rPr>
          <w:rFonts w:eastAsia="仿宋" w:hint="eastAsia"/>
          <w:color w:val="000000"/>
          <w:sz w:val="32"/>
          <w:szCs w:val="32"/>
        </w:rPr>
        <w:t>支出</w:t>
      </w:r>
      <w:r>
        <w:rPr>
          <w:rFonts w:ascii="仿宋" w:eastAsia="仿宋" w:hint="eastAsia"/>
          <w:sz w:val="32"/>
          <w:szCs w:val="32"/>
        </w:rPr>
        <w:t>52.06万元，占5.08</w:t>
      </w:r>
      <w:r>
        <w:rPr>
          <w:rFonts w:ascii="仿宋" w:eastAsia="仿宋"/>
          <w:sz w:val="32"/>
          <w:szCs w:val="32"/>
        </w:rPr>
        <w:t>%</w:t>
      </w:r>
      <w:r>
        <w:rPr>
          <w:rFonts w:ascii="仿宋" w:eastAsia="仿宋" w:hint="eastAsia"/>
          <w:sz w:val="32"/>
          <w:szCs w:val="32"/>
        </w:rPr>
        <w:t>。</w:t>
      </w:r>
    </w:p>
    <w:p>
      <w:pPr>
        <w:spacing w:line="560" w:lineRule="exact"/>
        <w:ind w:firstLineChars="200" w:firstLine="640"/>
        <w:rPr>
          <w:rFonts w:ascii="仿宋" w:eastAsia="仿宋"/>
          <w:sz w:val="32"/>
          <w:szCs w:val="32"/>
        </w:rPr>
      </w:pPr>
      <w:r>
        <w:rPr>
          <w:rFonts w:ascii="仿宋" w:eastAsia="仿宋" w:hint="eastAsia"/>
          <w:sz w:val="32"/>
          <w:szCs w:val="32"/>
        </w:rPr>
        <w:t>（图6：一般公共预算财政拨款支出决算结构）</w:t>
      </w:r>
    </w:p>
    <w:p>
      <w:pPr>
        <w:pStyle w:val="15"/>
        <w:spacing w:beforeLines="0" w:before="93"/>
      </w:pPr>
      <w:r>
        <w:rPr>
          <w:rFonts w:ascii="仿宋" w:eastAsia="仿宋" w:hint="eastAsia"/>
          <w:sz w:val="32"/>
          <w:szCs w:val="32"/>
        </w:rPr>
        <w:drawing>
          <wp:anchor distT="0" distB="0" distL="114300" distR="114300" simplePos="0" relativeHeight="26" behindDoc="0" locked="0" layoutInCell="1" hidden="0" allowOverlap="1">
            <wp:simplePos x="0" y="0"/>
            <wp:positionH relativeFrom="column">
              <wp:posOffset>-149639</wp:posOffset>
            </wp:positionH>
            <wp:positionV relativeFrom="paragraph">
              <wp:posOffset>70816</wp:posOffset>
            </wp:positionV>
            <wp:extent cx="5518205" cy="2902225"/>
            <wp:effectExtent l="0" t="0" r="0" b="0"/>
            <wp:wrapNone/>
            <wp:docPr id="8" name="图表 9"/>
            <wp:cNvGraphicFramePr>
              <a:graphicFrameLocks noChangeAspect="0"/>
            </wp:cNvGraphicFramePr>
            <a:graphic>
              <a:graphicData uri="http://schemas.openxmlformats.org/drawingml/2006/chart">
                <c:chart xmlns:c="http://schemas.openxmlformats.org/drawingml/2006/chart" r:id="rId11"/>
              </a:graphicData>
            </a:graphic>
          </wp:anchor>
        </w:drawing>
      </w:r>
    </w:p>
    <w:p>
      <w:pPr>
        <w:spacing w:line="560" w:lineRule="exact"/>
        <w:ind w:firstLine="640"/>
        <w:rPr>
          <w:rFonts w:ascii="仿宋" w:eastAsia="仿宋"/>
          <w:sz w:val="32"/>
          <w:szCs w:val="32"/>
        </w:rPr>
      </w:pPr>
      <w:bookmarkStart w:id="44" w:name="_GoBack"/>
      <w:bookmarkEnd w:id="44"/>
    </w:p>
    <w:p>
      <w:pPr>
        <w:spacing w:line="560" w:lineRule="exact"/>
        <w:ind w:firstLineChars="200" w:firstLine="640"/>
        <w:rPr>
          <w:rFonts w:ascii="仿宋" w:eastAsia="仿宋"/>
          <w:sz w:val="32"/>
          <w:szCs w:val="32"/>
        </w:rPr>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spacing w:line="560" w:lineRule="exact"/>
        <w:ind w:firstLineChars="200" w:firstLine="640"/>
        <w:outlineLvl w:val="2"/>
        <w:rPr>
          <w:rFonts w:ascii="仿宋" w:eastAsia="仿宋"/>
          <w:b/>
          <w:sz w:val="32"/>
          <w:szCs w:val="32"/>
        </w:rPr>
      </w:pPr>
      <w:bookmarkStart w:id="45" w:name="_Toc15377212"/>
    </w:p>
    <w:p>
      <w:pPr>
        <w:pStyle w:val="15"/>
        <w:rPr>
          <w:rFonts w:hint="eastAsia"/>
        </w:rPr>
      </w:pPr>
    </w:p>
    <w:p>
      <w:pPr>
        <w:spacing w:line="560" w:lineRule="exact"/>
        <w:ind w:firstLineChars="196" w:firstLine="627"/>
        <w:outlineLvl w:val="2"/>
        <w:rPr>
          <w:rFonts w:ascii="仿宋" w:eastAsia="仿宋"/>
          <w:b/>
          <w:sz w:val="32"/>
          <w:szCs w:val="32"/>
        </w:rPr>
      </w:pPr>
      <w:r>
        <w:rPr>
          <w:rFonts w:ascii="仿宋" w:eastAsia="仿宋" w:hint="eastAsia"/>
          <w:b/>
          <w:sz w:val="32"/>
          <w:szCs w:val="32"/>
        </w:rPr>
        <w:t>（三）一般公共预算财政拨款支出决算具体情况</w:t>
      </w:r>
      <w:bookmarkEnd w:id="45"/>
      <w:r>
        <w:rPr>
          <w:rFonts w:ascii="仿宋" w:eastAsia="仿宋" w:hint="eastAsia"/>
          <w:b/>
          <w:sz w:val="32"/>
          <w:szCs w:val="32"/>
        </w:rPr>
        <w:t>。</w:t>
      </w:r>
    </w:p>
    <w:p>
      <w:pPr>
        <w:spacing w:line="560" w:lineRule="exact"/>
        <w:ind w:firstLineChars="200" w:firstLine="640"/>
        <w:outlineLvl w:val="2"/>
        <w:rPr>
          <w:rFonts w:ascii="仿宋" w:eastAsia="仿宋"/>
          <w:sz w:val="32"/>
          <w:szCs w:val="32"/>
        </w:rPr>
      </w:pPr>
      <w:bookmarkStart w:id="46" w:name="_Toc15377444"/>
      <w:bookmarkStart w:id="47" w:name="_Toc15378460"/>
      <w:bookmarkStart w:id="48" w:name="_Toc15377213"/>
      <w:r>
        <w:rPr>
          <w:rFonts w:ascii="仿宋" w:eastAsia="仿宋" w:hint="eastAsia"/>
          <w:b/>
          <w:sz w:val="32"/>
          <w:szCs w:val="32"/>
        </w:rPr>
        <w:t>2021年一般公共预算支出决算数为1025.05</w:t>
      </w:r>
      <w:r>
        <w:rPr>
          <w:rFonts w:ascii="仿宋" w:eastAsia="仿宋" w:hint="eastAsia"/>
          <w:sz w:val="32"/>
          <w:szCs w:val="32"/>
        </w:rPr>
        <w:t>，</w:t>
      </w:r>
      <w:r>
        <w:rPr>
          <w:rStyle w:val="22"/>
          <w:rFonts w:ascii="仿宋" w:eastAsia="仿宋" w:hint="eastAsia"/>
          <w:bCs/>
          <w:sz w:val="32"/>
          <w:szCs w:val="32"/>
        </w:rPr>
        <w:t>完成预算100</w:t>
      </w:r>
      <w:r>
        <w:rPr>
          <w:rStyle w:val="22"/>
          <w:rFonts w:ascii="仿宋" w:eastAsia="仿宋"/>
          <w:bCs/>
          <w:sz w:val="32"/>
          <w:szCs w:val="32"/>
        </w:rPr>
        <w:t>%</w:t>
      </w:r>
      <w:r>
        <w:rPr>
          <w:rStyle w:val="22"/>
          <w:rFonts w:ascii="仿宋" w:eastAsia="仿宋" w:hint="eastAsia"/>
          <w:bCs/>
          <w:sz w:val="32"/>
          <w:szCs w:val="32"/>
        </w:rPr>
        <w:t>。其中：</w:t>
      </w:r>
      <w:bookmarkEnd w:id="46"/>
      <w:bookmarkEnd w:id="47"/>
      <w:bookmarkEnd w:id="48"/>
    </w:p>
    <w:p>
      <w:pPr>
        <w:spacing w:line="560" w:lineRule="exact"/>
        <w:ind w:firstLineChars="200" w:firstLine="640"/>
        <w:rPr>
          <w:rFonts w:ascii="仿宋" w:eastAsia="仿宋"/>
          <w:b/>
          <w:sz w:val="32"/>
          <w:szCs w:val="32"/>
        </w:rPr>
      </w:pPr>
      <w:r>
        <w:rPr>
          <w:rStyle w:val="22"/>
          <w:rFonts w:ascii="仿宋" w:eastAsia="仿宋"/>
          <w:bCs/>
          <w:sz w:val="32"/>
          <w:szCs w:val="32"/>
        </w:rPr>
        <w:t>1.</w:t>
      </w:r>
      <w:r>
        <w:rPr>
          <w:rStyle w:val="22"/>
          <w:rFonts w:ascii="仿宋" w:eastAsia="仿宋" w:hint="eastAsia"/>
          <w:bCs/>
          <w:sz w:val="32"/>
          <w:szCs w:val="32"/>
        </w:rPr>
        <w:t>一般公共服务（类）</w:t>
      </w:r>
      <w:r>
        <w:rPr>
          <w:rFonts w:eastAsia="仿宋" w:hint="eastAsia"/>
          <w:b/>
          <w:color w:val="000000"/>
          <w:sz w:val="32"/>
          <w:szCs w:val="32"/>
        </w:rPr>
        <w:t>商贸事务（款）行政运行</w:t>
      </w:r>
      <w:r>
        <w:rPr>
          <w:rStyle w:val="22"/>
          <w:rFonts w:ascii="仿宋" w:eastAsia="仿宋" w:hint="eastAsia"/>
          <w:bCs/>
          <w:sz w:val="32"/>
          <w:szCs w:val="32"/>
        </w:rPr>
        <w:t>（项）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支出决算为407.10万元，完成预算100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200" w:firstLine="640"/>
        <w:rPr>
          <w:rFonts w:ascii="仿宋" w:eastAsia="仿宋"/>
          <w:b/>
          <w:sz w:val="32"/>
          <w:szCs w:val="32"/>
        </w:rPr>
      </w:pPr>
      <w:r>
        <w:rPr>
          <w:rStyle w:val="22"/>
          <w:rFonts w:ascii="仿宋" w:eastAsia="仿宋"/>
          <w:bCs/>
          <w:sz w:val="32"/>
          <w:szCs w:val="32"/>
        </w:rPr>
        <w:t>2.</w:t>
      </w:r>
      <w:r>
        <w:rPr>
          <w:rStyle w:val="22"/>
          <w:rFonts w:ascii="仿宋" w:eastAsia="仿宋" w:hint="eastAsia"/>
          <w:bCs/>
          <w:sz w:val="32"/>
          <w:szCs w:val="32"/>
        </w:rPr>
        <w:t>一般公共服务（类）</w:t>
      </w:r>
      <w:r>
        <w:rPr>
          <w:rFonts w:eastAsia="仿宋" w:hint="eastAsia"/>
          <w:b/>
          <w:color w:val="000000"/>
          <w:sz w:val="32"/>
          <w:szCs w:val="32"/>
        </w:rPr>
        <w:t>商贸事务（款）招商引资</w:t>
      </w:r>
      <w:r>
        <w:rPr>
          <w:rStyle w:val="22"/>
          <w:rFonts w:ascii="仿宋" w:eastAsia="仿宋" w:hint="eastAsia"/>
          <w:bCs/>
          <w:sz w:val="32"/>
          <w:szCs w:val="32"/>
        </w:rPr>
        <w:t>（项）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支出决算为241.22万元，完成预算100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200" w:firstLine="640"/>
        <w:rPr>
          <w:rFonts w:ascii="仿宋" w:eastAsia="仿宋"/>
          <w:b/>
          <w:sz w:val="32"/>
          <w:szCs w:val="32"/>
        </w:rPr>
      </w:pPr>
      <w:r>
        <w:rPr>
          <w:rStyle w:val="22"/>
          <w:rFonts w:ascii="仿宋" w:eastAsia="仿宋"/>
          <w:bCs/>
          <w:sz w:val="32"/>
          <w:szCs w:val="32"/>
        </w:rPr>
        <w:t>3.</w:t>
      </w:r>
      <w:r>
        <w:rPr>
          <w:rStyle w:val="22"/>
          <w:rFonts w:ascii="仿宋" w:eastAsia="仿宋" w:hint="eastAsia"/>
          <w:bCs/>
          <w:sz w:val="32"/>
          <w:szCs w:val="32"/>
        </w:rPr>
        <w:t>一般公共服务（类）</w:t>
      </w:r>
      <w:r>
        <w:rPr>
          <w:rFonts w:eastAsia="仿宋" w:hint="eastAsia"/>
          <w:b/>
          <w:color w:val="000000"/>
          <w:sz w:val="32"/>
          <w:szCs w:val="32"/>
        </w:rPr>
        <w:t>商贸事务（款）事业运行</w:t>
      </w:r>
      <w:r>
        <w:rPr>
          <w:rStyle w:val="22"/>
          <w:rFonts w:ascii="仿宋" w:eastAsia="仿宋" w:hint="eastAsia"/>
          <w:bCs/>
          <w:sz w:val="32"/>
          <w:szCs w:val="32"/>
        </w:rPr>
        <w:t>（项）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支出决算为200.78万元，完成预算100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200" w:firstLine="640"/>
        <w:rPr>
          <w:rFonts w:ascii="仿宋" w:eastAsia="仿宋"/>
          <w:b/>
          <w:sz w:val="32"/>
          <w:szCs w:val="32"/>
        </w:rPr>
      </w:pPr>
      <w:r>
        <w:rPr>
          <w:rStyle w:val="22"/>
          <w:rFonts w:ascii="仿宋" w:eastAsia="仿宋"/>
          <w:bCs/>
          <w:sz w:val="32"/>
          <w:szCs w:val="32"/>
        </w:rPr>
        <w:t>4.</w:t>
      </w:r>
      <w:r>
        <w:rPr>
          <w:rStyle w:val="22"/>
          <w:rFonts w:ascii="仿宋" w:eastAsia="仿宋" w:hint="eastAsia"/>
          <w:bCs/>
          <w:sz w:val="32"/>
          <w:szCs w:val="32"/>
        </w:rPr>
        <w:t>一般公共服务（类）</w:t>
      </w:r>
      <w:r>
        <w:rPr>
          <w:rFonts w:eastAsia="仿宋" w:hint="eastAsia"/>
          <w:b/>
          <w:color w:val="000000"/>
          <w:sz w:val="32"/>
          <w:szCs w:val="32"/>
        </w:rPr>
        <w:t>组织事务（款）其他组织事务支出</w:t>
      </w:r>
      <w:r>
        <w:rPr>
          <w:rStyle w:val="22"/>
          <w:rFonts w:ascii="仿宋" w:eastAsia="仿宋" w:hint="eastAsia"/>
          <w:bCs/>
          <w:sz w:val="32"/>
          <w:szCs w:val="32"/>
        </w:rPr>
        <w:t>（项）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支出决算为2.58万元，完成预算100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200" w:firstLine="640"/>
        <w:rPr>
          <w:rFonts w:ascii="仿宋" w:eastAsia="仿宋"/>
          <w:b/>
          <w:bCs/>
          <w:sz w:val="32"/>
          <w:szCs w:val="32"/>
        </w:rPr>
      </w:pPr>
      <w:r>
        <w:rPr>
          <w:rStyle w:val="22"/>
          <w:rFonts w:ascii="仿宋" w:eastAsia="仿宋"/>
          <w:bCs/>
          <w:sz w:val="32"/>
          <w:szCs w:val="32"/>
        </w:rPr>
        <w:t>5.</w:t>
      </w:r>
      <w:r>
        <w:rPr>
          <w:rStyle w:val="22"/>
          <w:rFonts w:ascii="仿宋" w:eastAsia="仿宋" w:hint="eastAsia"/>
          <w:bCs/>
          <w:sz w:val="32"/>
          <w:szCs w:val="32"/>
        </w:rPr>
        <w:t>社会保障和就业（类）人力资源和社会保障管理事务（款）  其他人力资源和社会保障管理事务支出（项）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支出决算为7.88万元，完成预算100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200" w:firstLine="640"/>
        <w:rPr>
          <w:rFonts w:ascii="仿宋" w:eastAsia="仿宋"/>
          <w:b/>
          <w:bCs/>
          <w:sz w:val="32"/>
          <w:szCs w:val="32"/>
        </w:rPr>
      </w:pPr>
      <w:r>
        <w:rPr>
          <w:rStyle w:val="22"/>
          <w:rFonts w:ascii="仿宋" w:eastAsia="仿宋"/>
          <w:bCs/>
          <w:sz w:val="32"/>
          <w:szCs w:val="32"/>
        </w:rPr>
        <w:t>6.</w:t>
      </w:r>
      <w:r>
        <w:rPr>
          <w:rStyle w:val="22"/>
          <w:rFonts w:ascii="仿宋" w:eastAsia="仿宋" w:hint="eastAsia"/>
          <w:bCs/>
          <w:sz w:val="32"/>
          <w:szCs w:val="32"/>
        </w:rPr>
        <w:t>社会保障和就业（类）行政事业单位养老支出（款）行政单位离退休（项）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支出决算为67.26万元，完成预算100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196" w:firstLine="627"/>
        <w:rPr>
          <w:rStyle w:val="22"/>
          <w:rFonts w:ascii="仿宋" w:eastAsia="仿宋"/>
          <w:b w:val="0"/>
          <w:bCs/>
          <w:sz w:val="32"/>
          <w:szCs w:val="32"/>
        </w:rPr>
      </w:pPr>
      <w:r>
        <w:rPr>
          <w:rStyle w:val="22"/>
          <w:rFonts w:ascii="仿宋" w:eastAsia="仿宋" w:hint="eastAsia"/>
          <w:bCs/>
          <w:sz w:val="32"/>
          <w:szCs w:val="32"/>
        </w:rPr>
        <w:t>7</w:t>
      </w:r>
      <w:r>
        <w:rPr>
          <w:rStyle w:val="22"/>
          <w:rFonts w:ascii="仿宋" w:eastAsia="仿宋"/>
          <w:bCs/>
          <w:sz w:val="32"/>
          <w:szCs w:val="32"/>
        </w:rPr>
        <w:t>.</w:t>
      </w:r>
      <w:r>
        <w:rPr>
          <w:rStyle w:val="22"/>
          <w:rFonts w:ascii="仿宋" w:eastAsia="仿宋" w:hint="eastAsia"/>
          <w:bCs/>
          <w:sz w:val="32"/>
          <w:szCs w:val="32"/>
        </w:rPr>
        <w:t>社会保障和就业（类）行政事业单位养老支出（款）机关事业单位基本养老保险缴费支出（项）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支出决算为45.68万元，完成预算100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196" w:firstLine="627"/>
        <w:rPr>
          <w:rStyle w:val="22"/>
          <w:rFonts w:ascii="仿宋" w:eastAsia="仿宋"/>
          <w:b w:val="0"/>
          <w:bCs/>
          <w:sz w:val="32"/>
          <w:szCs w:val="32"/>
        </w:rPr>
      </w:pPr>
      <w:r>
        <w:rPr>
          <w:rStyle w:val="22"/>
          <w:rFonts w:ascii="仿宋" w:eastAsia="仿宋" w:hint="eastAsia"/>
          <w:bCs/>
          <w:sz w:val="32"/>
          <w:szCs w:val="32"/>
        </w:rPr>
        <w:t>8</w:t>
      </w:r>
      <w:r>
        <w:rPr>
          <w:rStyle w:val="22"/>
          <w:rFonts w:ascii="仿宋" w:eastAsia="仿宋"/>
          <w:bCs/>
          <w:sz w:val="32"/>
          <w:szCs w:val="32"/>
        </w:rPr>
        <w:t>.</w:t>
      </w:r>
      <w:r>
        <w:rPr>
          <w:rStyle w:val="22"/>
          <w:rFonts w:ascii="仿宋" w:eastAsia="仿宋" w:hint="eastAsia"/>
          <w:bCs/>
          <w:sz w:val="32"/>
          <w:szCs w:val="32"/>
        </w:rPr>
        <w:t>社会保障和就业（类）社会福利（款）儿童福利（项）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支出决算为0.50万元，完成预算100</w:t>
      </w:r>
      <w:r>
        <w:rPr>
          <w:rStyle w:val="22"/>
          <w:rFonts w:ascii="仿宋" w:eastAsia="仿宋"/>
          <w:b w:val="0"/>
          <w:bCs/>
          <w:sz w:val="32"/>
          <w:szCs w:val="32"/>
        </w:rPr>
        <w:t>%</w:t>
      </w:r>
      <w:r>
        <w:rPr>
          <w:rStyle w:val="22"/>
          <w:rFonts w:ascii="仿宋" w:eastAsia="仿宋" w:hint="eastAsia"/>
          <w:b w:val="0"/>
          <w:bCs/>
          <w:sz w:val="32"/>
          <w:szCs w:val="32"/>
        </w:rPr>
        <w:t>。</w:t>
      </w:r>
    </w:p>
    <w:p>
      <w:pPr>
        <w:spacing w:line="560" w:lineRule="exact"/>
        <w:ind w:firstLineChars="196" w:firstLine="627"/>
        <w:rPr>
          <w:rFonts w:ascii="仿宋" w:eastAsia="仿宋"/>
          <w:bCs/>
          <w:sz w:val="32"/>
          <w:szCs w:val="32"/>
        </w:rPr>
      </w:pPr>
      <w:r>
        <w:rPr>
          <w:rStyle w:val="22"/>
          <w:rFonts w:ascii="仿宋" w:eastAsia="仿宋" w:hint="eastAsia"/>
          <w:bCs/>
          <w:sz w:val="32"/>
          <w:szCs w:val="32"/>
        </w:rPr>
        <w:t>9</w:t>
      </w:r>
      <w:r>
        <w:rPr>
          <w:rStyle w:val="22"/>
          <w:rFonts w:ascii="仿宋" w:eastAsia="仿宋"/>
          <w:bCs/>
          <w:sz w:val="32"/>
          <w:szCs w:val="32"/>
        </w:rPr>
        <w:t>.</w:t>
      </w:r>
      <w:r>
        <w:rPr>
          <w:rFonts w:hint="eastAsia"/>
        </w:rPr>
        <w:t xml:space="preserve"> </w:t>
      </w:r>
      <w:r>
        <w:rPr>
          <w:rStyle w:val="22"/>
          <w:rFonts w:ascii="仿宋" w:eastAsia="仿宋" w:hint="eastAsia"/>
          <w:bCs/>
          <w:sz w:val="32"/>
          <w:szCs w:val="32"/>
        </w:rPr>
        <w:t>住房保障支出（类）住房改革支出（款）住房公积金（项）</w:t>
      </w:r>
      <w:r>
        <w:rPr>
          <w:rStyle w:val="22"/>
          <w:rFonts w:ascii="仿宋" w:eastAsia="仿宋"/>
          <w:bCs/>
          <w:sz w:val="32"/>
          <w:szCs w:val="32"/>
        </w:rPr>
        <w:t>:</w:t>
      </w:r>
      <w:r>
        <w:rPr>
          <w:rStyle w:val="22"/>
          <w:rFonts w:ascii="仿宋" w:eastAsia="仿宋"/>
          <w:b w:val="0"/>
          <w:bCs/>
          <w:sz w:val="32"/>
          <w:szCs w:val="32"/>
        </w:rPr>
        <w:t xml:space="preserve"> </w:t>
      </w:r>
      <w:r>
        <w:rPr>
          <w:rStyle w:val="22"/>
          <w:rFonts w:ascii="仿宋" w:eastAsia="仿宋" w:hint="eastAsia"/>
          <w:b w:val="0"/>
          <w:bCs/>
          <w:sz w:val="32"/>
          <w:szCs w:val="32"/>
        </w:rPr>
        <w:t>支出决算为52.06万元，完成预算100</w:t>
      </w:r>
      <w:r>
        <w:rPr>
          <w:rStyle w:val="22"/>
          <w:rFonts w:ascii="仿宋" w:eastAsia="仿宋"/>
          <w:b w:val="0"/>
          <w:bCs/>
          <w:sz w:val="32"/>
          <w:szCs w:val="32"/>
        </w:rPr>
        <w:t>%</w:t>
      </w:r>
      <w:r>
        <w:rPr>
          <w:rStyle w:val="22"/>
          <w:rFonts w:ascii="仿宋" w:eastAsia="仿宋" w:hint="eastAsia"/>
          <w:b w:val="0"/>
          <w:bCs/>
          <w:sz w:val="32"/>
          <w:szCs w:val="32"/>
        </w:rPr>
        <w:t>。</w:t>
      </w:r>
    </w:p>
    <w:p>
      <w:pPr>
        <w:tabs>
          <w:tab w:val="right" w:pos="8306"/>
        </w:tabs>
        <w:spacing w:line="560" w:lineRule="exact"/>
        <w:ind w:firstLine="640"/>
        <w:outlineLvl w:val="1"/>
        <w:rPr>
          <w:rStyle w:val="2Char"/>
        </w:rPr>
      </w:pPr>
      <w:bookmarkStart w:id="49" w:name="_Toc15396608"/>
      <w:bookmarkStart w:id="50" w:name="_Toc15377214"/>
      <w:r>
        <w:rPr>
          <w:rFonts w:ascii="黑体" w:eastAsia="黑体" w:hint="eastAsia"/>
          <w:sz w:val="32"/>
          <w:szCs w:val="32"/>
        </w:rPr>
        <w:t>六</w:t>
      </w:r>
      <w:r>
        <w:rPr>
          <w:rFonts w:ascii="黑体" w:eastAsia="黑体" w:hint="eastAsia"/>
          <w:b/>
          <w:sz w:val="32"/>
          <w:szCs w:val="32"/>
        </w:rPr>
        <w:t>、一</w:t>
      </w:r>
      <w:r>
        <w:rPr>
          <w:rStyle w:val="2Char"/>
          <w:rFonts w:ascii="黑体" w:eastAsia="黑体" w:hint="eastAsia"/>
          <w:b w:val="0"/>
        </w:rPr>
        <w:t>般公共预算财政拨款基本支出决算情况说明</w:t>
      </w:r>
      <w:bookmarkEnd w:id="49"/>
      <w:bookmarkEnd w:id="50"/>
      <w:r>
        <w:rPr>
          <w:rStyle w:val="2Char"/>
          <w:rFonts w:ascii="黑体" w:eastAsia="黑体"/>
          <w:b w:val="0"/>
        </w:rPr>
        <w:tab/>
      </w:r>
    </w:p>
    <w:p>
      <w:pPr>
        <w:spacing w:line="56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21年一般公共预算财政拨款基本支出783.34万元，其中：</w:t>
      </w:r>
    </w:p>
    <w:p>
      <w:pPr>
        <w:spacing w:line="560" w:lineRule="exact"/>
        <w:ind w:firstLineChars="200" w:firstLine="640"/>
        <w:rPr>
          <w:rFonts w:ascii="仿宋" w:eastAsia="仿宋"/>
          <w:sz w:val="32"/>
          <w:szCs w:val="32"/>
        </w:rPr>
      </w:pPr>
      <w:r>
        <w:rPr>
          <w:rFonts w:ascii="仿宋" w:eastAsia="仿宋" w:hint="eastAsia"/>
          <w:sz w:val="32"/>
          <w:szCs w:val="32"/>
        </w:rPr>
        <w:t>人员经费718.03万元，主要包括：基本工资、津贴补贴、奖金、绩效工资、机关事业单位基本养老保险缴费、职工基本医疗保险缴费、公务员医疗补助缴费、其他社会保障缴费、住房公积金、其他工资福利支出、生活补助、医疗费补助、其他对个人和家庭的补助支出。</w:t>
      </w:r>
    </w:p>
    <w:p>
      <w:pPr>
        <w:spacing w:line="560" w:lineRule="exact"/>
        <w:ind w:firstLineChars="200" w:firstLine="640"/>
        <w:rPr>
          <w:rFonts w:ascii="仿宋" w:eastAsia="仿宋"/>
          <w:sz w:val="32"/>
          <w:szCs w:val="32"/>
        </w:rPr>
      </w:pPr>
      <w:r>
        <w:rPr>
          <w:rFonts w:ascii="仿宋" w:eastAsia="仿宋" w:hint="eastAsia"/>
          <w:sz w:val="32"/>
          <w:szCs w:val="32"/>
        </w:rPr>
        <w:t>公用经费65.31万元，主要包括：办公费、咨询费、手续费、水费、电费、邮电费、差旅费、维修（护）费、租赁费、培训费、公务接待费、劳务费、工会经费、福利费、公务用车运行维护费、其他交通费、其他商品和服务支出、办公设备购置。</w:t>
      </w:r>
    </w:p>
    <w:p>
      <w:pPr>
        <w:spacing w:line="560" w:lineRule="exact"/>
        <w:ind w:firstLine="640"/>
        <w:outlineLvl w:val="1"/>
        <w:rPr>
          <w:rStyle w:val="2Char"/>
          <w:rFonts w:ascii="黑体" w:eastAsia="黑体"/>
          <w:b w:val="0"/>
        </w:rPr>
      </w:pPr>
      <w:bookmarkStart w:id="51" w:name="_Toc15377215"/>
      <w:bookmarkStart w:id="52" w:name="_Toc15396609"/>
      <w:r>
        <w:rPr>
          <w:rFonts w:ascii="黑体" w:eastAsia="黑体" w:hint="eastAsia"/>
          <w:sz w:val="32"/>
          <w:szCs w:val="32"/>
        </w:rPr>
        <w:t>七、</w:t>
      </w:r>
      <w:r>
        <w:rPr>
          <w:rStyle w:val="2Char"/>
          <w:rFonts w:ascii="黑体" w:eastAsia="黑体" w:hint="eastAsia"/>
        </w:rPr>
        <w:t>“</w:t>
      </w:r>
      <w:r>
        <w:rPr>
          <w:rStyle w:val="2Char"/>
          <w:rFonts w:ascii="黑体" w:eastAsia="黑体" w:hint="eastAsia"/>
          <w:b w:val="0"/>
        </w:rPr>
        <w:t>三公”经费财政拨款支出决算情况说明</w:t>
      </w:r>
      <w:bookmarkEnd w:id="51"/>
      <w:bookmarkEnd w:id="52"/>
    </w:p>
    <w:p>
      <w:pPr>
        <w:adjustRightInd w:val="0"/>
        <w:snapToGrid w:val="0"/>
        <w:spacing w:line="560" w:lineRule="exact"/>
        <w:ind w:firstLine="720"/>
        <w:rPr>
          <w:rFonts w:ascii="楷体_GB2312" w:eastAsia="楷体_GB2312"/>
          <w:b/>
          <w:sz w:val="32"/>
          <w:szCs w:val="32"/>
          <w:lang w:val="zh-CN"/>
        </w:rPr>
      </w:pPr>
      <w:bookmarkStart w:id="53" w:name="_Toc15377216"/>
      <w:r>
        <w:rPr>
          <w:rFonts w:ascii="楷体_GB2312" w:eastAsia="楷体_GB2312" w:hint="eastAsia"/>
          <w:b/>
          <w:sz w:val="32"/>
          <w:szCs w:val="32"/>
          <w:lang w:val="zh-CN"/>
        </w:rPr>
        <w:t>（一）“三公”经费财政拨款支出决算总体情况说明</w:t>
      </w:r>
      <w:bookmarkEnd w:id="53"/>
      <w:r>
        <w:rPr>
          <w:rFonts w:ascii="楷体_GB2312" w:eastAsia="楷体_GB2312" w:hint="eastAsia"/>
          <w:b/>
          <w:sz w:val="32"/>
          <w:szCs w:val="32"/>
          <w:lang w:val="zh-CN"/>
        </w:rPr>
        <w:t>。</w:t>
      </w:r>
    </w:p>
    <w:p>
      <w:pPr>
        <w:spacing w:line="560" w:lineRule="exact"/>
        <w:ind w:firstLine="640"/>
        <w:rPr>
          <w:rFonts w:ascii="仿宋" w:eastAsia="仿宋"/>
          <w:b/>
          <w:color w:val="FF0000"/>
          <w:sz w:val="32"/>
          <w:szCs w:val="32"/>
        </w:rPr>
      </w:pPr>
      <w:r>
        <w:rPr>
          <w:rFonts w:ascii="仿宋" w:eastAsia="仿宋"/>
          <w:sz w:val="32"/>
          <w:szCs w:val="32"/>
        </w:rPr>
        <w:t>20</w:t>
      </w:r>
      <w:r>
        <w:rPr>
          <w:rFonts w:ascii="仿宋" w:eastAsia="仿宋" w:hint="eastAsia"/>
          <w:sz w:val="32"/>
          <w:szCs w:val="32"/>
        </w:rPr>
        <w:t>21年“三公”经费财政拨款支出决算为1.68万元，完成预算30.52</w:t>
      </w:r>
      <w:r>
        <w:rPr>
          <w:rFonts w:ascii="仿宋" w:eastAsia="仿宋"/>
          <w:sz w:val="32"/>
          <w:szCs w:val="32"/>
        </w:rPr>
        <w:t>%</w:t>
      </w:r>
      <w:r>
        <w:rPr>
          <w:rFonts w:ascii="仿宋" w:eastAsia="仿宋" w:hint="eastAsia"/>
          <w:sz w:val="32"/>
          <w:szCs w:val="32"/>
        </w:rPr>
        <w:t>，决算数小于预算数的主要原因是</w:t>
      </w:r>
      <w:r>
        <w:rPr>
          <w:rFonts w:ascii="仿宋_GB2312" w:eastAsia="仿宋_GB2312" w:hint="eastAsia"/>
          <w:sz w:val="32"/>
          <w:szCs w:val="32"/>
        </w:rPr>
        <w:t>2021年严格按照《党政机关厉行节约反对浪费条例》等有关规定，认真贯彻执行中央八项规定和省市十项规定精神及其实施细则，厉行勤俭节约，反对铺张浪费，加强党风廉政建设，从而降低了“三公”经费财政拨款支出</w:t>
      </w:r>
      <w:r>
        <w:rPr>
          <w:rFonts w:ascii="仿宋" w:eastAsia="仿宋" w:hint="eastAsia"/>
          <w:sz w:val="32"/>
          <w:szCs w:val="32"/>
        </w:rPr>
        <w:t>。</w:t>
      </w:r>
    </w:p>
    <w:p>
      <w:pPr>
        <w:adjustRightInd w:val="0"/>
        <w:snapToGrid w:val="0"/>
        <w:spacing w:line="560" w:lineRule="exact"/>
        <w:ind w:firstLine="720"/>
        <w:rPr>
          <w:rFonts w:ascii="楷体_GB2312" w:eastAsia="楷体_GB2312"/>
          <w:b/>
          <w:sz w:val="32"/>
          <w:szCs w:val="32"/>
          <w:lang w:val="zh-CN"/>
        </w:rPr>
      </w:pPr>
      <w:bookmarkStart w:id="54" w:name="_Toc15377217"/>
      <w:r>
        <w:rPr>
          <w:rFonts w:ascii="楷体_GB2312" w:eastAsia="楷体_GB2312" w:hint="eastAsia"/>
          <w:b/>
          <w:sz w:val="32"/>
          <w:szCs w:val="32"/>
          <w:lang w:val="zh-CN"/>
        </w:rPr>
        <w:t>（二）“三公”经费财政拨款支出决算具体情况说明</w:t>
      </w:r>
      <w:bookmarkEnd w:id="54"/>
      <w:r>
        <w:rPr>
          <w:rFonts w:ascii="楷体_GB2312" w:eastAsia="楷体_GB2312" w:hint="eastAsia"/>
          <w:b/>
          <w:sz w:val="32"/>
          <w:szCs w:val="32"/>
          <w:lang w:val="zh-CN"/>
        </w:rPr>
        <w:t>。</w:t>
      </w:r>
    </w:p>
    <w:p>
      <w:pPr>
        <w:spacing w:line="56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21年“三公”经费财政拨款支出决算中，因公出国（境）费支出决算0万元；公务用车购置及运行维护费支出决算1.49万元，占88.40</w:t>
      </w:r>
      <w:r>
        <w:rPr>
          <w:rFonts w:ascii="仿宋" w:eastAsia="仿宋"/>
          <w:sz w:val="32"/>
          <w:szCs w:val="32"/>
        </w:rPr>
        <w:t>%</w:t>
      </w:r>
      <w:r>
        <w:rPr>
          <w:rFonts w:ascii="仿宋" w:eastAsia="仿宋" w:hint="eastAsia"/>
          <w:sz w:val="32"/>
          <w:szCs w:val="32"/>
        </w:rPr>
        <w:t>；公务接待费支出决算0.20万元，占11.60</w:t>
      </w:r>
      <w:r>
        <w:rPr>
          <w:rFonts w:ascii="仿宋" w:eastAsia="仿宋"/>
          <w:sz w:val="32"/>
          <w:szCs w:val="32"/>
        </w:rPr>
        <w:t>%</w:t>
      </w:r>
      <w:r>
        <w:rPr>
          <w:rFonts w:ascii="仿宋" w:eastAsia="仿宋" w:hint="eastAsia"/>
          <w:sz w:val="32"/>
          <w:szCs w:val="32"/>
        </w:rPr>
        <w:t>。具体情况如下：</w:t>
      </w:r>
    </w:p>
    <w:p>
      <w:pPr>
        <w:spacing w:line="560" w:lineRule="exact"/>
        <w:ind w:firstLine="640"/>
        <w:rPr>
          <w:rFonts w:ascii="仿宋" w:eastAsia="仿宋"/>
          <w:sz w:val="32"/>
          <w:szCs w:val="32"/>
        </w:rPr>
      </w:pPr>
      <w:r>
        <w:rPr>
          <w:rFonts w:ascii="仿宋" w:eastAsia="仿宋" w:hint="eastAsia"/>
          <w:sz w:val="32"/>
          <w:szCs w:val="32"/>
        </w:rPr>
        <w:t>（图7：“三公”经费财政拨款支出结构）</w:t>
      </w:r>
    </w:p>
    <w:p>
      <w:pPr>
        <w:pStyle w:val="15"/>
        <w:spacing w:beforeLines="0" w:before="93"/>
      </w:pPr>
      <w:r>
        <w:rPr>
          <w:rFonts w:hint="eastAsia"/>
          <w:sz w:val="32"/>
          <w:szCs w:val="32"/>
        </w:rPr>
        <w:drawing>
          <wp:anchor distT="0" distB="0" distL="114300" distR="114300" simplePos="0" relativeHeight="28" behindDoc="0" locked="0" layoutInCell="1" hidden="0" allowOverlap="1">
            <wp:simplePos x="0" y="0"/>
            <wp:positionH relativeFrom="column">
              <wp:posOffset>-19839</wp:posOffset>
            </wp:positionH>
            <wp:positionV relativeFrom="paragraph">
              <wp:posOffset>138670</wp:posOffset>
            </wp:positionV>
            <wp:extent cx="5461685" cy="3146854"/>
            <wp:effectExtent l="0" t="0" r="0" b="0"/>
            <wp:wrapNone/>
            <wp:docPr id="9" name="图表 3"/>
            <wp:cNvGraphicFramePr>
              <a:graphicFrameLocks noChangeAspect="0"/>
            </wp:cNvGraphicFramePr>
            <a:graphic>
              <a:graphicData uri="http://schemas.openxmlformats.org/drawingml/2006/chart">
                <c:chart xmlns:c="http://schemas.openxmlformats.org/drawingml/2006/chart" r:id="rId12"/>
              </a:graphicData>
            </a:graphic>
          </wp:anchor>
        </w:drawing>
      </w: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pStyle w:val="15"/>
        <w:spacing w:beforeLines="0" w:before="93" w:line="560" w:lineRule="exact"/>
      </w:pPr>
    </w:p>
    <w:p>
      <w:pPr>
        <w:spacing w:line="56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22"/>
          <w:rFonts w:ascii="仿宋" w:eastAsia="仿宋" w:hint="eastAsia"/>
          <w:b w:val="0"/>
          <w:bCs/>
          <w:sz w:val="32"/>
          <w:szCs w:val="32"/>
        </w:rPr>
        <w:t>。</w:t>
      </w:r>
      <w:r>
        <w:rPr>
          <w:rFonts w:ascii="仿宋_GB2312" w:eastAsia="仿宋_GB2312" w:hint="eastAsia"/>
          <w:sz w:val="32"/>
          <w:szCs w:val="32"/>
        </w:rPr>
        <w:t>2021年无因公出国（境）安排，因公出国（境）支出决算与2020年持平。</w:t>
      </w:r>
    </w:p>
    <w:p>
      <w:pPr>
        <w:spacing w:line="560" w:lineRule="exact"/>
        <w:ind w:firstLine="640"/>
        <w:rPr>
          <w:rFonts w:ascii="仿宋_GB2312" w:eastAsia="仿宋_GB2312"/>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1.49万元,</w:t>
      </w:r>
      <w:r>
        <w:rPr>
          <w:rStyle w:val="22"/>
          <w:rFonts w:ascii="仿宋" w:eastAsia="仿宋" w:hint="eastAsia"/>
          <w:b w:val="0"/>
          <w:bCs/>
          <w:sz w:val="32"/>
          <w:szCs w:val="32"/>
        </w:rPr>
        <w:t>完成预算36.73</w:t>
      </w:r>
      <w:r>
        <w:rPr>
          <w:rStyle w:val="22"/>
          <w:rFonts w:ascii="仿宋" w:eastAsia="仿宋"/>
          <w:b w:val="0"/>
          <w:bCs/>
          <w:sz w:val="32"/>
          <w:szCs w:val="32"/>
        </w:rPr>
        <w:t>%</w:t>
      </w:r>
      <w:r>
        <w:rPr>
          <w:rStyle w:val="22"/>
          <w:rFonts w:ascii="仿宋" w:eastAsia="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20年减少0.09万元，下降5.91</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color w:val="000000"/>
          <w:sz w:val="32"/>
          <w:szCs w:val="32"/>
        </w:rPr>
        <w:t>2021</w:t>
      </w:r>
      <w:r>
        <w:rPr>
          <w:rFonts w:ascii="仿宋_GB2312" w:eastAsia="仿宋_GB2312" w:hint="eastAsia"/>
          <w:sz w:val="32"/>
          <w:szCs w:val="32"/>
        </w:rPr>
        <w:t>年加强公务用车管理节约了相关支出。</w:t>
      </w:r>
    </w:p>
    <w:p>
      <w:pPr>
        <w:spacing w:line="560" w:lineRule="exact"/>
        <w:ind w:firstLine="640"/>
        <w:rPr>
          <w:rFonts w:eastAsia="仿宋_GB2312"/>
          <w:color w:val="000000"/>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w:t>
      </w:r>
      <w:r>
        <w:rPr>
          <w:rFonts w:eastAsia="仿宋_GB2312" w:hint="eastAsia"/>
          <w:color w:val="000000"/>
          <w:sz w:val="32"/>
          <w:szCs w:val="32"/>
        </w:rPr>
        <w:t>。</w:t>
      </w: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月底，单位共有公务用车1辆，其中：轿车0辆、越野车1辆、载客汽车0辆。</w:t>
      </w:r>
    </w:p>
    <w:p>
      <w:pPr>
        <w:spacing w:line="56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1.49万元。主要用于</w:t>
      </w:r>
      <w:r>
        <w:rPr>
          <w:rFonts w:ascii="仿宋_GB2312" w:eastAsia="仿宋_GB2312" w:hint="eastAsia"/>
          <w:color w:val="000000"/>
          <w:sz w:val="32"/>
          <w:szCs w:val="32"/>
        </w:rPr>
        <w:t>日常</w:t>
      </w:r>
      <w:r>
        <w:rPr>
          <w:rFonts w:ascii="仿宋_GB2312" w:eastAsia="仿宋_GB2312" w:hint="eastAsia"/>
          <w:sz w:val="32"/>
          <w:szCs w:val="32"/>
        </w:rPr>
        <w:t>招商引资相关工作等</w:t>
      </w:r>
      <w:r>
        <w:rPr>
          <w:rFonts w:eastAsia="仿宋_GB2312" w:hint="eastAsia"/>
          <w:color w:val="000000"/>
          <w:sz w:val="32"/>
          <w:szCs w:val="32"/>
        </w:rPr>
        <w:t>所需公务用车燃料费、维修费、过路过桥费、保险费等支出</w:t>
      </w:r>
      <w:r>
        <w:rPr>
          <w:rFonts w:ascii="仿宋_GB2312" w:eastAsia="仿宋_GB2312" w:hint="eastAsia"/>
          <w:sz w:val="32"/>
          <w:szCs w:val="32"/>
        </w:rPr>
        <w:t>。</w:t>
      </w:r>
    </w:p>
    <w:p>
      <w:pPr>
        <w:spacing w:line="56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0.20万元，</w:t>
      </w:r>
      <w:r>
        <w:rPr>
          <w:rStyle w:val="22"/>
          <w:rFonts w:ascii="仿宋" w:eastAsia="仿宋" w:hint="eastAsia"/>
          <w:b w:val="0"/>
          <w:bCs/>
          <w:sz w:val="32"/>
          <w:szCs w:val="32"/>
        </w:rPr>
        <w:t>完成预算13.34</w:t>
      </w:r>
      <w:r>
        <w:rPr>
          <w:rStyle w:val="22"/>
          <w:rFonts w:ascii="仿宋" w:eastAsia="仿宋"/>
          <w:b w:val="0"/>
          <w:bCs/>
          <w:sz w:val="32"/>
          <w:szCs w:val="32"/>
        </w:rPr>
        <w:t>%</w:t>
      </w:r>
      <w:r>
        <w:rPr>
          <w:rStyle w:val="22"/>
          <w:rFonts w:ascii="仿宋" w:eastAsia="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20年增加0.01万元，增长5.8</w:t>
      </w:r>
      <w:r>
        <w:rPr>
          <w:rFonts w:ascii="仿宋_GB2312" w:eastAsia="仿宋_GB2312"/>
          <w:sz w:val="32"/>
          <w:szCs w:val="32"/>
        </w:rPr>
        <w:t>%</w:t>
      </w:r>
      <w:r>
        <w:rPr>
          <w:rFonts w:ascii="仿宋_GB2312" w:eastAsia="仿宋_GB2312" w:hint="eastAsia"/>
          <w:sz w:val="32"/>
          <w:szCs w:val="32"/>
        </w:rPr>
        <w:t>。主要原因是物价水平上涨等。其中：</w:t>
      </w:r>
    </w:p>
    <w:p>
      <w:pPr>
        <w:spacing w:line="560" w:lineRule="exact"/>
        <w:ind w:firstLine="640"/>
        <w:rPr>
          <w:rFonts w:ascii="仿宋_GB2312" w:eastAsia="仿宋_GB2312"/>
          <w:sz w:val="32"/>
          <w:szCs w:val="32"/>
        </w:rPr>
      </w:pPr>
      <w:r>
        <w:rPr>
          <w:rFonts w:ascii="仿宋" w:eastAsia="仿宋" w:hint="eastAsia"/>
          <w:b/>
          <w:sz w:val="32"/>
          <w:szCs w:val="32"/>
        </w:rPr>
        <w:t>国内公务接待支出</w:t>
      </w:r>
      <w:r>
        <w:rPr>
          <w:rFonts w:ascii="仿宋" w:eastAsia="仿宋" w:hint="eastAsia"/>
          <w:sz w:val="32"/>
          <w:szCs w:val="32"/>
        </w:rPr>
        <w:t>0.20</w:t>
      </w:r>
      <w:r>
        <w:rPr>
          <w:rFonts w:ascii="仿宋_GB2312" w:eastAsia="仿宋_GB2312" w:hint="eastAsia"/>
          <w:sz w:val="32"/>
          <w:szCs w:val="32"/>
        </w:rPr>
        <w:t>万元，主要用于</w:t>
      </w:r>
      <w:r>
        <w:rPr>
          <w:rFonts w:eastAsia="仿宋_GB2312" w:hint="eastAsia"/>
          <w:color w:val="000000"/>
          <w:sz w:val="32"/>
          <w:szCs w:val="32"/>
        </w:rPr>
        <w:t>执行公务、开展招商引资业务活动开支的用餐费</w:t>
      </w:r>
      <w:r>
        <w:rPr>
          <w:rFonts w:ascii="仿宋_GB2312" w:eastAsia="仿宋_GB2312" w:hint="eastAsia"/>
          <w:color w:val="000000"/>
          <w:sz w:val="32"/>
          <w:szCs w:val="32"/>
        </w:rPr>
        <w:t>。</w:t>
      </w:r>
      <w:r>
        <w:rPr>
          <w:rFonts w:ascii="仿宋_GB2312" w:eastAsia="仿宋_GB2312" w:hint="eastAsia"/>
          <w:sz w:val="32"/>
          <w:szCs w:val="32"/>
        </w:rPr>
        <w:t>国内公务接待2批次，9人次（不包括陪同人员），共计支出0.20万元，具体内容包括：省局来攀开展“进千企、解难题、送服务、促发展”督查调研活动公务接待费支出0.11万元；凉山州赴攀对接学习园区招商、优惠政策制度执行等公务接待费支出0.09万元。</w:t>
      </w:r>
    </w:p>
    <w:p>
      <w:pPr>
        <w:spacing w:line="560" w:lineRule="exact"/>
        <w:ind w:firstLineChars="200" w:firstLine="640"/>
        <w:rPr>
          <w:rFonts w:ascii="仿宋_GB2312" w:eastAsia="仿宋_GB2312"/>
          <w:sz w:val="32"/>
          <w:szCs w:val="32"/>
        </w:rPr>
      </w:pPr>
      <w:r>
        <w:rPr>
          <w:rFonts w:ascii="仿宋" w:eastAsia="仿宋" w:hint="eastAsia"/>
          <w:b/>
          <w:sz w:val="32"/>
          <w:szCs w:val="32"/>
        </w:rPr>
        <w:t>外事接待支出</w:t>
      </w:r>
      <w:r>
        <w:rPr>
          <w:rFonts w:ascii="仿宋" w:eastAsia="仿宋" w:hint="eastAsia"/>
          <w:sz w:val="32"/>
          <w:szCs w:val="32"/>
        </w:rPr>
        <w:t>0</w:t>
      </w:r>
      <w:r>
        <w:rPr>
          <w:rFonts w:ascii="仿宋_GB2312" w:eastAsia="仿宋_GB2312" w:hint="eastAsia"/>
          <w:sz w:val="32"/>
          <w:szCs w:val="32"/>
        </w:rPr>
        <w:t>万元，</w:t>
      </w:r>
      <w:r>
        <w:rPr>
          <w:rFonts w:ascii="仿宋_GB2312" w:eastAsia="仿宋_GB2312" w:hint="eastAsia"/>
          <w:color w:val="000000"/>
          <w:sz w:val="32"/>
          <w:szCs w:val="32"/>
        </w:rPr>
        <w:t>2021年</w:t>
      </w:r>
      <w:r>
        <w:rPr>
          <w:rFonts w:eastAsia="仿宋_GB2312" w:hint="eastAsia"/>
          <w:color w:val="000000"/>
          <w:sz w:val="32"/>
          <w:szCs w:val="32"/>
        </w:rPr>
        <w:t>无外事接待安排</w:t>
      </w:r>
      <w:r>
        <w:rPr>
          <w:rFonts w:ascii="仿宋_GB2312" w:eastAsia="仿宋_GB2312" w:hint="eastAsia"/>
          <w:sz w:val="32"/>
          <w:szCs w:val="32"/>
        </w:rPr>
        <w:t>。</w:t>
      </w:r>
      <w:bookmarkStart w:id="55" w:name="_Toc15377218"/>
      <w:bookmarkStart w:id="56" w:name="_Toc15396610"/>
    </w:p>
    <w:p>
      <w:pPr>
        <w:spacing w:line="560" w:lineRule="exact"/>
        <w:ind w:firstLine="640"/>
        <w:outlineLvl w:val="1"/>
        <w:rPr>
          <w:rStyle w:val="2Char"/>
          <w:rFonts w:ascii="黑体" w:eastAsia="黑体"/>
        </w:rPr>
      </w:pPr>
      <w:r>
        <w:rPr>
          <w:rFonts w:ascii="黑体" w:eastAsia="黑体" w:hint="eastAsia"/>
          <w:sz w:val="32"/>
          <w:szCs w:val="32"/>
        </w:rPr>
        <w:t>八、</w:t>
      </w:r>
      <w:r>
        <w:rPr>
          <w:rStyle w:val="2Char"/>
          <w:rFonts w:ascii="黑体" w:eastAsia="黑体" w:hint="eastAsia"/>
          <w:b w:val="0"/>
        </w:rPr>
        <w:t>政府性基金预算支出决算情况说明</w:t>
      </w:r>
      <w:bookmarkEnd w:id="55"/>
      <w:bookmarkEnd w:id="56"/>
    </w:p>
    <w:p>
      <w:pPr>
        <w:spacing w:line="56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21年政府性基金预算财政拨款支出0.40万元。</w:t>
      </w:r>
    </w:p>
    <w:p>
      <w:pPr>
        <w:numPr>
          <w:ilvl w:val="0"/>
          <w:numId w:val="3"/>
        </w:numPr>
        <w:spacing w:line="560" w:lineRule="exact"/>
        <w:ind w:left="0" w:firstLine="640"/>
        <w:outlineLvl w:val="1"/>
        <w:rPr>
          <w:rStyle w:val="2Char"/>
          <w:rFonts w:ascii="黑体" w:eastAsia="黑体"/>
          <w:b w:val="0"/>
        </w:rPr>
      </w:pPr>
      <w:bookmarkStart w:id="57" w:name="_Toc15377219"/>
      <w:bookmarkStart w:id="58" w:name="_Toc15396611"/>
      <w:r>
        <w:rPr>
          <w:rStyle w:val="2Char"/>
          <w:rFonts w:ascii="黑体" w:eastAsia="黑体" w:hint="eastAsia"/>
          <w:b w:val="0"/>
        </w:rPr>
        <w:t>国有资本经营预算支出决算情况说明</w:t>
      </w:r>
      <w:bookmarkEnd w:id="57"/>
      <w:bookmarkEnd w:id="58"/>
    </w:p>
    <w:p>
      <w:pPr>
        <w:spacing w:line="56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21年国有资本经营预算财政拨款支出0万元。</w:t>
      </w:r>
    </w:p>
    <w:p>
      <w:pPr>
        <w:numPr>
          <w:ilvl w:val="0"/>
          <w:numId w:val="3"/>
        </w:numPr>
        <w:spacing w:line="560" w:lineRule="exact"/>
        <w:ind w:left="0" w:firstLine="640"/>
        <w:outlineLvl w:val="1"/>
        <w:rPr>
          <w:rStyle w:val="2Char"/>
          <w:rFonts w:ascii="黑体" w:eastAsia="黑体"/>
          <w:b w:val="0"/>
        </w:rPr>
      </w:pPr>
      <w:bookmarkStart w:id="59" w:name="_Toc15377221"/>
      <w:bookmarkStart w:id="60" w:name="_Toc15396612"/>
      <w:r>
        <w:rPr>
          <w:rStyle w:val="2Char"/>
          <w:rFonts w:ascii="黑体" w:eastAsia="黑体" w:hint="eastAsia"/>
          <w:b w:val="0"/>
        </w:rPr>
        <w:t>其他重要事项的情况说明</w:t>
      </w:r>
      <w:bookmarkEnd w:id="59"/>
      <w:bookmarkEnd w:id="60"/>
    </w:p>
    <w:p>
      <w:pPr>
        <w:adjustRightInd w:val="0"/>
        <w:snapToGrid w:val="0"/>
        <w:spacing w:line="560" w:lineRule="exact"/>
        <w:ind w:firstLine="720"/>
        <w:rPr>
          <w:rFonts w:ascii="仿宋" w:eastAsia="仿宋"/>
          <w:sz w:val="32"/>
          <w:szCs w:val="32"/>
        </w:rPr>
      </w:pPr>
      <w:bookmarkStart w:id="61" w:name="_Toc15377222"/>
      <w:r>
        <w:rPr>
          <w:rFonts w:ascii="楷体_GB2312" w:eastAsia="楷体_GB2312" w:hint="eastAsia"/>
          <w:b/>
          <w:sz w:val="32"/>
          <w:szCs w:val="32"/>
          <w:lang w:val="zh-CN"/>
        </w:rPr>
        <w:t>（一）机关运行经费支出情况</w:t>
      </w:r>
      <w:bookmarkEnd w:id="61"/>
      <w:r>
        <w:rPr>
          <w:rFonts w:ascii="楷体_GB2312" w:eastAsia="楷体_GB2312" w:hint="eastAsia"/>
          <w:b/>
          <w:sz w:val="32"/>
          <w:szCs w:val="32"/>
          <w:lang w:val="zh-CN"/>
        </w:rPr>
        <w:t>。</w:t>
      </w:r>
    </w:p>
    <w:p>
      <w:pPr>
        <w:spacing w:line="56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21年，攀枝花市经济合作局机关运行经费支出</w:t>
      </w:r>
      <w:r>
        <w:rPr>
          <w:rFonts w:ascii="仿宋_GB2312" w:eastAsia="仿宋_GB2312" w:cs="仿宋"/>
          <w:bCs/>
          <w:sz w:val="32"/>
          <w:szCs w:val="32"/>
        </w:rPr>
        <w:t>65</w:t>
      </w:r>
      <w:r>
        <w:rPr>
          <w:rFonts w:ascii="仿宋_GB2312" w:eastAsia="仿宋_GB2312" w:cs="仿宋" w:hint="eastAsia"/>
          <w:bCs/>
          <w:sz w:val="32"/>
          <w:szCs w:val="32"/>
        </w:rPr>
        <w:t>.</w:t>
      </w:r>
      <w:r>
        <w:rPr>
          <w:rFonts w:ascii="仿宋_GB2312" w:eastAsia="仿宋_GB2312" w:cs="仿宋"/>
          <w:bCs/>
          <w:sz w:val="32"/>
          <w:szCs w:val="32"/>
        </w:rPr>
        <w:t>3</w:t>
      </w:r>
      <w:r>
        <w:rPr>
          <w:rFonts w:ascii="仿宋_GB2312" w:eastAsia="仿宋_GB2312" w:cs="仿宋" w:hint="eastAsia"/>
          <w:bCs/>
          <w:sz w:val="32"/>
          <w:szCs w:val="32"/>
        </w:rPr>
        <w:t>1</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20年增加18.53万元，增长</w:t>
      </w:r>
      <w:r>
        <w:rPr>
          <w:rFonts w:ascii="仿宋_GB2312" w:eastAsia="仿宋_GB2312" w:cs="仿宋"/>
          <w:bCs/>
          <w:sz w:val="32"/>
          <w:szCs w:val="32"/>
        </w:rPr>
        <w:t>39.61</w:t>
      </w:r>
      <w:r>
        <w:rPr>
          <w:rFonts w:ascii="仿宋_GB2312" w:eastAsia="仿宋_GB2312" w:cs="仿宋" w:hint="eastAsia"/>
          <w:bCs/>
          <w:sz w:val="32"/>
          <w:szCs w:val="32"/>
        </w:rPr>
        <w:t>%</w:t>
      </w:r>
      <w:r>
        <w:rPr>
          <w:rFonts w:ascii="仿宋_GB2312" w:eastAsia="仿宋_GB2312" w:hint="eastAsia"/>
          <w:sz w:val="32"/>
          <w:szCs w:val="32"/>
        </w:rPr>
        <w:t>。</w:t>
      </w:r>
      <w:r>
        <w:rPr>
          <w:rFonts w:ascii="仿宋_GB2312" w:eastAsia="仿宋_GB2312" w:cs="仿宋" w:hint="eastAsia"/>
          <w:sz w:val="32"/>
          <w:szCs w:val="32"/>
        </w:rPr>
        <w:t>主要是因2020年公用经费预算指标调减支出决算数也相对减少，而2021年公用经费未调减，所以2021年较2020年有所增长</w:t>
      </w:r>
      <w:r>
        <w:rPr>
          <w:rFonts w:ascii="仿宋_GB2312" w:eastAsia="仿宋_GB2312" w:cs="仿宋" w:hint="eastAsia"/>
          <w:bCs/>
          <w:sz w:val="32"/>
          <w:szCs w:val="32"/>
        </w:rPr>
        <w:t>。</w:t>
      </w:r>
    </w:p>
    <w:p>
      <w:pPr>
        <w:adjustRightInd w:val="0"/>
        <w:snapToGrid w:val="0"/>
        <w:spacing w:line="560" w:lineRule="exact"/>
        <w:ind w:firstLine="720"/>
        <w:rPr>
          <w:rFonts w:ascii="楷体_GB2312" w:eastAsia="楷体_GB2312"/>
          <w:b/>
          <w:sz w:val="32"/>
          <w:szCs w:val="32"/>
          <w:lang w:val="zh-CN"/>
        </w:rPr>
      </w:pPr>
      <w:bookmarkStart w:id="62" w:name="_Toc15377223"/>
      <w:r>
        <w:rPr>
          <w:rFonts w:ascii="楷体_GB2312" w:eastAsia="楷体_GB2312" w:hint="eastAsia"/>
          <w:b/>
          <w:sz w:val="32"/>
          <w:szCs w:val="32"/>
          <w:lang w:val="zh-CN"/>
        </w:rPr>
        <w:t>（二）政府采购支出情况</w:t>
      </w:r>
      <w:bookmarkEnd w:id="62"/>
      <w:r>
        <w:rPr>
          <w:rFonts w:ascii="楷体_GB2312" w:eastAsia="楷体_GB2312" w:hint="eastAsia"/>
          <w:b/>
          <w:sz w:val="32"/>
          <w:szCs w:val="32"/>
          <w:lang w:val="zh-CN"/>
        </w:rPr>
        <w:t>。</w:t>
      </w:r>
    </w:p>
    <w:p>
      <w:pPr>
        <w:spacing w:line="56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21年，攀枝花市经济合作局政府采购支出总额0万元，当年无政府采购安排。</w:t>
      </w:r>
    </w:p>
    <w:p>
      <w:pPr>
        <w:adjustRightInd w:val="0"/>
        <w:snapToGrid w:val="0"/>
        <w:spacing w:line="560" w:lineRule="exact"/>
        <w:ind w:firstLine="720"/>
        <w:rPr>
          <w:rFonts w:ascii="仿宋" w:eastAsia="仿宋"/>
          <w:b/>
          <w:sz w:val="32"/>
          <w:szCs w:val="32"/>
        </w:rPr>
      </w:pPr>
      <w:bookmarkStart w:id="63" w:name="_Toc15377224"/>
      <w:r>
        <w:rPr>
          <w:rFonts w:ascii="楷体_GB2312" w:eastAsia="楷体_GB2312" w:hint="eastAsia"/>
          <w:b/>
          <w:sz w:val="32"/>
          <w:szCs w:val="32"/>
          <w:lang w:val="zh-CN"/>
        </w:rPr>
        <w:t>（三）国有资产占有使用情况</w:t>
      </w:r>
      <w:bookmarkEnd w:id="63"/>
      <w:r>
        <w:rPr>
          <w:rFonts w:ascii="楷体_GB2312" w:eastAsia="楷体_GB2312" w:hint="eastAsia"/>
          <w:b/>
          <w:sz w:val="32"/>
          <w:szCs w:val="32"/>
          <w:lang w:val="zh-CN"/>
        </w:rPr>
        <w:t>。</w:t>
      </w:r>
    </w:p>
    <w:p>
      <w:pPr>
        <w:autoSpaceDE w:val="0"/>
        <w:autoSpaceDN w:val="0"/>
        <w:adjustRightInd w:val="0"/>
        <w:spacing w:line="560" w:lineRule="exact"/>
        <w:ind w:firstLineChars="200" w:firstLine="640"/>
        <w:jc w:val="left"/>
        <w:rPr>
          <w:rFonts w:ascii="仿宋" w:eastAsia="仿宋"/>
          <w:b/>
          <w:color w:val="FF0000"/>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日，攀枝花市经济合作局共有车辆1辆，其中：主要领导干部用车0辆、机要通信用车0辆、应急保障用车0辆、其他用车1辆，其他用车主要是用于</w:t>
      </w:r>
      <w:r>
        <w:rPr>
          <w:rFonts w:ascii="仿宋_GB2312" w:eastAsia="仿宋_GB2312" w:hint="eastAsia"/>
          <w:color w:val="000000"/>
          <w:sz w:val="32"/>
          <w:szCs w:val="32"/>
        </w:rPr>
        <w:t>日常投资促进、经济合作工作。单价</w:t>
      </w:r>
      <w:r>
        <w:rPr>
          <w:rFonts w:ascii="仿宋_GB2312" w:eastAsia="仿宋_GB2312"/>
          <w:color w:val="000000"/>
          <w:sz w:val="32"/>
          <w:szCs w:val="32"/>
        </w:rPr>
        <w:t>50</w:t>
      </w:r>
      <w:r>
        <w:rPr>
          <w:rFonts w:ascii="仿宋_GB2312" w:eastAsia="仿宋_GB2312" w:hint="eastAsia"/>
          <w:color w:val="000000"/>
          <w:sz w:val="32"/>
          <w:szCs w:val="32"/>
        </w:rPr>
        <w:t>万元以上通用设备0台（套），单价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万元以上专用设备0台（套）。</w:t>
      </w:r>
    </w:p>
    <w:p>
      <w:pPr>
        <w:adjustRightInd w:val="0"/>
        <w:snapToGrid w:val="0"/>
        <w:spacing w:line="560" w:lineRule="exact"/>
        <w:ind w:firstLine="720"/>
        <w:rPr>
          <w:rFonts w:ascii="仿宋" w:eastAsia="仿宋"/>
          <w:b/>
          <w:sz w:val="32"/>
          <w:szCs w:val="32"/>
        </w:rPr>
      </w:pPr>
      <w:r>
        <w:rPr>
          <w:rFonts w:ascii="楷体_GB2312" w:eastAsia="楷体_GB2312" w:hint="eastAsia"/>
          <w:b/>
          <w:sz w:val="32"/>
          <w:szCs w:val="32"/>
          <w:lang w:val="zh-CN"/>
        </w:rPr>
        <w:t>（四）预算绩效管理情况。</w:t>
      </w:r>
    </w:p>
    <w:p>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根据预算绩效管理要求，本部门在2021年度预算编制阶段，组织对招商引资专项工作经费项目1个项目开展了预算事前绩效评估，对1个项目编制了绩效目标，预算执行过程中，选取1个项目开展绩效监控，年终执行完毕后，对1个项目开展了绩效自评。同时，本部门对2021年部门整体开展绩效自评，《2021年</w:t>
      </w:r>
      <w:r>
        <w:rPr>
          <w:rFonts w:ascii="仿宋_GB2312" w:eastAsia="仿宋_GB2312" w:hint="eastAsia"/>
          <w:sz w:val="32"/>
          <w:szCs w:val="32"/>
        </w:rPr>
        <w:t>攀枝花市经济合作局</w:t>
      </w:r>
      <w:r>
        <w:rPr>
          <w:rFonts w:ascii="仿宋_GB2312" w:eastAsia="仿宋_GB2312" w:cs="仿宋_GB2312" w:hint="eastAsia"/>
          <w:sz w:val="32"/>
          <w:szCs w:val="32"/>
        </w:rPr>
        <w:t>部门整体绩效评价报告》见附件（第四部分）。</w:t>
      </w:r>
    </w:p>
    <w:p>
      <w:pPr>
        <w:widowControl/>
        <w:spacing w:line="560" w:lineRule="exact"/>
        <w:jc w:val="left"/>
        <w:rPr>
          <w:rFonts w:ascii="仿宋_GB2312" w:eastAsia="仿宋_GB2312"/>
          <w:b/>
          <w:sz w:val="32"/>
          <w:szCs w:val="32"/>
        </w:rPr>
      </w:pPr>
      <w:r>
        <w:rPr>
          <w:rFonts w:ascii="仿宋_GB2312" w:eastAsia="仿宋_GB2312"/>
          <w:b/>
          <w:sz w:val="32"/>
          <w:szCs w:val="32"/>
        </w:rPr>
        <w:br w:type="page"/>
      </w:r>
    </w:p>
    <w:p>
      <w:pPr>
        <w:numPr>
          <w:ilvl w:val="0"/>
          <w:numId w:val="4"/>
        </w:numPr>
        <w:spacing w:line="560" w:lineRule="exact"/>
        <w:ind w:left="0" w:firstLineChars="150" w:firstLine="660"/>
        <w:jc w:val="center"/>
        <w:outlineLvl w:val="0"/>
        <w:rPr>
          <w:rStyle w:val="1Char"/>
          <w:rFonts w:ascii="黑体" w:eastAsia="黑体"/>
          <w:b w:val="0"/>
        </w:rPr>
      </w:pPr>
      <w:bookmarkStart w:id="64" w:name="_Toc15377225"/>
      <w:bookmarkStart w:id="65" w:name="_Toc15396613"/>
      <w:r>
        <w:rPr>
          <w:rFonts w:ascii="黑体" w:eastAsia="黑体" w:hint="eastAsia"/>
          <w:sz w:val="44"/>
          <w:szCs w:val="44"/>
        </w:rPr>
        <w:t>名</w:t>
      </w:r>
      <w:r>
        <w:rPr>
          <w:rStyle w:val="1Char"/>
          <w:rFonts w:ascii="黑体" w:eastAsia="黑体" w:hint="eastAsia"/>
          <w:b w:val="0"/>
        </w:rPr>
        <w:t>词解释</w:t>
      </w:r>
      <w:bookmarkEnd w:id="64"/>
      <w:bookmarkEnd w:id="65"/>
    </w:p>
    <w:p>
      <w:pPr>
        <w:spacing w:line="560" w:lineRule="exact"/>
        <w:jc w:val="left"/>
        <w:rPr>
          <w:rFonts w:ascii="宋体"/>
          <w:b/>
          <w:sz w:val="44"/>
          <w:szCs w:val="44"/>
        </w:rPr>
      </w:pPr>
    </w:p>
    <w:p>
      <w:pPr>
        <w:pStyle w:val="27"/>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pPr>
        <w:pStyle w:val="27"/>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w:t>
      </w:r>
      <w:r>
        <w:rPr>
          <w:rFonts w:ascii="仿宋_GB2312" w:eastAsia="仿宋_GB2312" w:hint="eastAsia"/>
          <w:color w:val="auto"/>
          <w:sz w:val="32"/>
          <w:szCs w:val="32"/>
        </w:rPr>
        <w:t>主要是利息收入</w:t>
      </w:r>
      <w:r>
        <w:rPr>
          <w:rFonts w:ascii="仿宋_GB2312" w:eastAsia="仿宋_GB2312" w:hint="eastAsia"/>
          <w:sz w:val="32"/>
          <w:szCs w:val="32"/>
        </w:rPr>
        <w:t>等。</w:t>
      </w:r>
    </w:p>
    <w:p>
      <w:pPr>
        <w:pStyle w:val="27"/>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年初结转和结余：指以前年度尚未完成、结转到本年按有关规定继续使用的资金。</w:t>
      </w:r>
    </w:p>
    <w:p>
      <w:pPr>
        <w:pStyle w:val="27"/>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年末结转和结余：指单位按有关规定结转到下年或以后年度继续使用的资金。</w:t>
      </w:r>
      <w:r>
        <w:rPr>
          <w:rFonts w:ascii="仿宋_GB2312" w:eastAsia="仿宋_GB2312"/>
          <w:sz w:val="32"/>
          <w:szCs w:val="32"/>
        </w:rPr>
        <w:t xml:space="preserve"> </w:t>
      </w:r>
    </w:p>
    <w:p>
      <w:pPr>
        <w:pStyle w:val="27"/>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一般公共服务（类）商贸事务（款）行政运行（项）: 指行政单位（包括实行公务员管理的事业单位）的基本支出。</w:t>
      </w:r>
    </w:p>
    <w:p>
      <w:pPr>
        <w:pStyle w:val="27"/>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一般公共服务（类）商贸事务（款）招商引资（项）:指用于招商引资、优化经济环境等方面的支出。</w:t>
      </w:r>
      <w:r>
        <w:rPr>
          <w:rFonts w:ascii="仿宋_GB2312" w:eastAsia="仿宋_GB2312"/>
          <w:color w:val="auto"/>
          <w:sz w:val="32"/>
          <w:szCs w:val="32"/>
        </w:rPr>
        <w:t xml:space="preserve"> </w:t>
      </w:r>
    </w:p>
    <w:p>
      <w:pPr>
        <w:pStyle w:val="27"/>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7.一般公共服务（类）商贸事务（款）事业运行（项）: 指事业单位的基本支出，不包括行政单位（包括实行公务员管理的事业单位）后勤服务中心、医务室等附属事业单位。</w:t>
      </w:r>
    </w:p>
    <w:p>
      <w:pPr>
        <w:pStyle w:val="27"/>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.一般公共服务（类）组织事务（款）其他组织事务支出（项）: 指其他用于中国共产党组织部门的事务支出。</w:t>
      </w:r>
    </w:p>
    <w:p>
      <w:pPr>
        <w:pStyle w:val="27"/>
        <w:spacing w:line="56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Pr>
          <w:rStyle w:val="22"/>
          <w:rFonts w:hint="eastAsia"/>
          <w:b w:val="0"/>
          <w:bCs/>
          <w:sz w:val="32"/>
          <w:szCs w:val="32"/>
        </w:rPr>
        <w:t>社会保障和就业（类）人力资源和社会保障管理事务（款）  其他人力资源和社会保障管理事务支出（项）</w:t>
      </w:r>
      <w:r>
        <w:rPr>
          <w:rFonts w:ascii="仿宋_GB2312" w:eastAsia="仿宋_GB2312" w:hint="eastAsia"/>
          <w:b/>
          <w:color w:val="auto"/>
          <w:sz w:val="32"/>
          <w:szCs w:val="32"/>
        </w:rPr>
        <w:t>:</w:t>
      </w:r>
      <w:r>
        <w:rPr>
          <w:rFonts w:ascii="仿宋_GB2312" w:eastAsia="仿宋_GB2312" w:hint="eastAsia"/>
          <w:color w:val="auto"/>
          <w:sz w:val="32"/>
          <w:szCs w:val="32"/>
        </w:rPr>
        <w:t xml:space="preserve"> 指其他用于</w:t>
      </w:r>
      <w:r>
        <w:rPr>
          <w:rStyle w:val="22"/>
          <w:rFonts w:hint="eastAsia"/>
          <w:b w:val="0"/>
          <w:bCs/>
          <w:sz w:val="32"/>
          <w:szCs w:val="32"/>
        </w:rPr>
        <w:t>人力资源和社会保障管理事务方面的</w:t>
      </w:r>
      <w:r>
        <w:rPr>
          <w:rFonts w:ascii="仿宋_GB2312" w:eastAsia="仿宋_GB2312" w:hint="eastAsia"/>
          <w:color w:val="auto"/>
          <w:sz w:val="32"/>
          <w:szCs w:val="32"/>
        </w:rPr>
        <w:t>支出。</w:t>
      </w:r>
    </w:p>
    <w:p>
      <w:pPr>
        <w:pStyle w:val="27"/>
        <w:spacing w:line="560" w:lineRule="exact"/>
        <w:ind w:firstLineChars="200" w:firstLine="640"/>
        <w:rPr>
          <w:rFonts w:ascii="仿宋_GB2312" w:eastAsia="仿宋_GB2312"/>
          <w:color w:val="FF0000"/>
          <w:sz w:val="32"/>
          <w:szCs w:val="32"/>
        </w:rPr>
      </w:pPr>
      <w:r>
        <w:rPr>
          <w:rFonts w:ascii="仿宋_GB2312" w:eastAsia="仿宋_GB2312" w:hint="eastAsia"/>
          <w:color w:val="auto"/>
          <w:sz w:val="32"/>
          <w:szCs w:val="32"/>
        </w:rPr>
        <w:t>10.</w:t>
      </w:r>
      <w:r>
        <w:rPr>
          <w:rFonts w:ascii="仿宋_GB2312" w:eastAsia="仿宋_GB2312" w:hint="eastAsia"/>
          <w:sz w:val="32"/>
          <w:szCs w:val="32"/>
        </w:rPr>
        <w:t>社会保障和就业（类）行政事业单位养老支出（款）行政单位离退休（项）: 指行政单位（包括实行公务员管理的事业单位）开支的离退休经费。</w:t>
      </w:r>
      <w:r>
        <w:rPr>
          <w:rFonts w:ascii="仿宋_GB2312" w:eastAsia="仿宋_GB2312"/>
          <w:color w:val="FF0000"/>
          <w:sz w:val="32"/>
          <w:szCs w:val="32"/>
        </w:rPr>
        <w:t xml:space="preserve"> </w:t>
      </w:r>
    </w:p>
    <w:p>
      <w:pPr>
        <w:pStyle w:val="27"/>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11.社会保障和就业（类）行政事业单位养老支出（款）机关事业单位基本养老保险缴费支出（项）: 指机关事业单位实施养老保险制度由单位缴纳的基本养老保险费支出。</w:t>
      </w:r>
    </w:p>
    <w:p>
      <w:pPr>
        <w:pStyle w:val="27"/>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12.社会保障和就业（类）社会福利（款）儿童福利（项）: 指对儿童提供福利服务方面的支出。</w:t>
      </w:r>
      <w:r>
        <w:rPr>
          <w:rFonts w:ascii="仿宋_GB2312" w:eastAsia="仿宋_GB2312"/>
          <w:color w:val="auto"/>
          <w:sz w:val="32"/>
          <w:szCs w:val="32"/>
        </w:rPr>
        <w:t xml:space="preserve"> </w:t>
      </w:r>
    </w:p>
    <w:p>
      <w:pPr>
        <w:pStyle w:val="27"/>
        <w:spacing w:line="560" w:lineRule="exact"/>
        <w:ind w:firstLineChars="200" w:firstLine="640"/>
        <w:rPr>
          <w:rFonts w:ascii="仿宋_GB2312" w:eastAsia="仿宋_GB2312"/>
          <w:color w:val="auto"/>
          <w:sz w:val="32"/>
          <w:szCs w:val="32"/>
        </w:rPr>
      </w:pPr>
      <w:r>
        <w:rPr>
          <w:rFonts w:ascii="仿宋_GB2312" w:eastAsia="仿宋_GB2312"/>
          <w:sz w:val="32"/>
          <w:szCs w:val="32"/>
        </w:rPr>
        <w:t>13.</w:t>
      </w:r>
      <w:r>
        <w:rPr>
          <w:rFonts w:ascii="仿宋_GB2312" w:eastAsia="仿宋_GB2312" w:hint="eastAsia"/>
          <w:sz w:val="32"/>
          <w:szCs w:val="32"/>
        </w:rPr>
        <w:t>城乡社区支出（类）国有土地使用权出让收入安排的支出（款）土地开发支出（项）: 指新疆生产建设兵团和地方政府用于前期土地开发性支出以及与前期土地开发相关的费用等支出。</w:t>
      </w:r>
    </w:p>
    <w:p>
      <w:pPr>
        <w:spacing w:line="560" w:lineRule="exact"/>
        <w:ind w:firstLineChars="200" w:firstLine="640"/>
        <w:rPr>
          <w:rFonts w:ascii="仿宋_GB2312" w:eastAsia="仿宋_GB2312"/>
          <w:sz w:val="32"/>
          <w:szCs w:val="32"/>
        </w:rPr>
      </w:pPr>
      <w:r>
        <w:rPr>
          <w:rFonts w:ascii="仿宋_GB2312" w:eastAsia="仿宋_GB2312" w:hint="eastAsia"/>
          <w:sz w:val="32"/>
          <w:szCs w:val="32"/>
        </w:rPr>
        <w:t>14.住房保障（类）住房改革支出（款）住房公积金（项）：指行政事业单位按人力资源和社会保障部、财政部规定的基本工资和津贴补贴以及规定比例为职工缴纳的住房公积金。</w:t>
      </w:r>
      <w:r>
        <w:rPr>
          <w:rFonts w:ascii="仿宋_GB2312" w:eastAsia="仿宋_GB2312"/>
          <w:sz w:val="32"/>
          <w:szCs w:val="32"/>
        </w:rPr>
        <w:t xml:space="preserve"> </w:t>
      </w:r>
    </w:p>
    <w:p>
      <w:pPr>
        <w:spacing w:line="560" w:lineRule="exact"/>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hint="eastAsia"/>
          <w:color w:val="000000"/>
          <w:sz w:val="32"/>
          <w:szCs w:val="32"/>
        </w:rPr>
        <w:t>基本支出：指为保障机构正常运转、完成日常工作任务而发生的人员支出和公用支出。</w:t>
      </w:r>
    </w:p>
    <w:p>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16</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17</w:t>
      </w:r>
      <w:r>
        <w:rPr>
          <w:rFonts w:ascii="仿宋_GB2312" w:eastAsia="仿宋_GB2312"/>
          <w:color w:val="000000"/>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Chars="200" w:firstLine="640"/>
        <w:rPr>
          <w:rStyle w:val="1Char"/>
          <w:rFonts w:ascii="仿宋_GB2312" w:eastAsia="仿宋_GB2312"/>
          <w:b w:val="0"/>
          <w:bCs w:val="0"/>
          <w:kern w:val="0"/>
          <w:sz w:val="32"/>
          <w:szCs w:val="32"/>
        </w:rPr>
      </w:pPr>
      <w:r>
        <w:rPr>
          <w:rFonts w:ascii="仿宋_GB2312" w:eastAsia="仿宋_GB2312" w:hint="eastAsia"/>
          <w:sz w:val="32"/>
          <w:szCs w:val="32"/>
        </w:rPr>
        <w:t>18</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66" w:name="_Toc15377226"/>
      <w:r>
        <w:rPr>
          <w:rFonts w:ascii="宋体" w:hAnsi="宋体"/>
          <w:b/>
          <w:sz w:val="44"/>
          <w:szCs w:val="44"/>
        </w:rPr>
        <w:br w:type="page"/>
      </w:r>
      <w:bookmarkStart w:id="67" w:name="_Toc15396614"/>
      <w:r>
        <w:rPr>
          <w:rFonts w:ascii="黑体" w:eastAsia="黑体" w:hint="eastAsia"/>
          <w:sz w:val="44"/>
          <w:szCs w:val="44"/>
        </w:rPr>
        <w:t>第</w:t>
      </w:r>
      <w:r>
        <w:rPr>
          <w:rStyle w:val="1Char"/>
          <w:rFonts w:ascii="黑体" w:eastAsia="黑体" w:hint="eastAsia"/>
          <w:b w:val="0"/>
        </w:rPr>
        <w:t xml:space="preserve">四部分 </w:t>
      </w:r>
      <w:bookmarkEnd w:id="67"/>
    </w:p>
    <w:p>
      <w:pPr>
        <w:spacing w:line="560" w:lineRule="exact"/>
        <w:jc w:val="left"/>
        <w:outlineLvl w:val="0"/>
        <w:rPr>
          <w:rFonts w:ascii="黑体" w:eastAsia="黑体" w:cs="黑体" w:hint="eastAsia"/>
          <w:sz w:val="32"/>
          <w:szCs w:val="32"/>
        </w:rPr>
      </w:pPr>
    </w:p>
    <w:p>
      <w:pPr>
        <w:spacing w:line="560" w:lineRule="exact"/>
        <w:jc w:val="left"/>
        <w:outlineLvl w:val="0"/>
        <w:rPr>
          <w:rFonts w:ascii="方正小标宋简体" w:eastAsia="方正小标宋简体" w:cs="方正小标宋简体"/>
          <w:sz w:val="44"/>
          <w:szCs w:val="44"/>
        </w:rPr>
      </w:pPr>
      <w:r>
        <w:rPr>
          <w:rFonts w:ascii="黑体" w:eastAsia="黑体" w:cs="黑体" w:hint="eastAsia"/>
          <w:sz w:val="32"/>
          <w:szCs w:val="32"/>
        </w:rPr>
        <w:t>附件</w:t>
      </w:r>
    </w:p>
    <w:p>
      <w:pPr>
        <w:spacing w:line="560" w:lineRule="exact"/>
        <w:jc w:val="center"/>
        <w:rPr>
          <w:rFonts w:ascii="方正小标宋简体" w:eastAsia="方正小标宋简体"/>
          <w:kern w:val="0"/>
          <w:sz w:val="40"/>
          <w:szCs w:val="44"/>
        </w:rPr>
      </w:pPr>
      <w:r>
        <w:rPr>
          <w:rFonts w:ascii="方正小标宋简体" w:eastAsia="方正小标宋简体" w:hint="eastAsia"/>
          <w:kern w:val="0"/>
          <w:sz w:val="40"/>
          <w:szCs w:val="44"/>
        </w:rPr>
        <w:t>2021年攀枝花市经济合作局</w:t>
      </w:r>
    </w:p>
    <w:p>
      <w:pPr>
        <w:spacing w:line="560" w:lineRule="exact"/>
        <w:jc w:val="center"/>
        <w:rPr>
          <w:rFonts w:ascii="方正小标宋简体" w:eastAsia="方正小标宋简体"/>
          <w:kern w:val="0"/>
          <w:sz w:val="40"/>
          <w:szCs w:val="44"/>
          <w:lang w:val="zh-CN"/>
        </w:rPr>
      </w:pPr>
      <w:r>
        <w:rPr>
          <w:rFonts w:ascii="方正小标宋简体" w:eastAsia="方正小标宋简体" w:hint="eastAsia"/>
          <w:kern w:val="0"/>
          <w:sz w:val="40"/>
          <w:szCs w:val="44"/>
        </w:rPr>
        <w:t>部门整体绩效评价报告</w:t>
      </w:r>
    </w:p>
    <w:p>
      <w:pPr>
        <w:pStyle w:val="15"/>
        <w:spacing w:beforeLines="0" w:before="93" w:line="560" w:lineRule="exact"/>
        <w:rPr>
          <w:lang w:val="zh-CN"/>
        </w:rPr>
      </w:pPr>
    </w:p>
    <w:p>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lang w:val="zh-CN"/>
        </w:rPr>
      </w:pPr>
      <w:r>
        <w:rPr>
          <w:rFonts w:ascii="黑体" w:eastAsia="黑体" w:cs="宋体" w:hint="eastAsia"/>
          <w:kern w:val="0"/>
          <w:sz w:val="32"/>
          <w:szCs w:val="32"/>
          <w:shd w:val="clear" w:color="auto" w:fill="FFFFFF"/>
        </w:rPr>
        <w:t>一、</w:t>
      </w:r>
      <w:r>
        <w:rPr>
          <w:rFonts w:ascii="黑体" w:eastAsia="黑体" w:cs="宋体" w:hint="eastAsia"/>
          <w:kern w:val="0"/>
          <w:sz w:val="32"/>
          <w:szCs w:val="32"/>
          <w:shd w:val="clear" w:color="auto" w:fill="FFFFFF"/>
          <w:lang w:val="zh-CN"/>
        </w:rPr>
        <w:t>部门（单位）概况</w:t>
      </w:r>
    </w:p>
    <w:p>
      <w:pPr>
        <w:spacing w:line="560" w:lineRule="exact"/>
        <w:ind w:firstLineChars="200" w:firstLine="640"/>
        <w:rPr>
          <w:rFonts w:ascii="仿宋_GB2312" w:eastAsia="仿宋_GB2312" w:cs="仿宋_GB2312"/>
          <w:sz w:val="32"/>
          <w:szCs w:val="32"/>
        </w:rPr>
      </w:pPr>
      <w:r>
        <w:rPr>
          <w:rFonts w:ascii="楷体_GB2312" w:eastAsia="楷体_GB2312" w:hint="eastAsia"/>
          <w:b/>
          <w:sz w:val="32"/>
          <w:szCs w:val="32"/>
          <w:lang w:val="zh-CN"/>
        </w:rPr>
        <w:t>（一）机构组成。</w:t>
      </w:r>
      <w:r>
        <w:rPr>
          <w:rFonts w:ascii="仿宋_GB2312" w:eastAsia="仿宋_GB2312" w:cs="仿宋_GB2312" w:hint="eastAsia"/>
          <w:sz w:val="32"/>
          <w:szCs w:val="32"/>
        </w:rPr>
        <w:t>攀枝花市经济合作局为行政单位，下属二级独立编制未独立核算其他事业单位3个，分别为：攀枝花市投资促进中心、攀枝花市驻宝鸡投资促进中心、攀枝花市驻广州投资促进中心。</w:t>
      </w:r>
    </w:p>
    <w:p>
      <w:pPr>
        <w:autoSpaceDE w:val="0"/>
        <w:autoSpaceDN w:val="0"/>
        <w:adjustRightInd w:val="0"/>
        <w:spacing w:line="560" w:lineRule="exact"/>
        <w:ind w:firstLineChars="200" w:firstLine="640"/>
        <w:jc w:val="left"/>
        <w:rPr>
          <w:rFonts w:eastAsia="仿宋_GB2312"/>
          <w:kern w:val="0"/>
          <w:sz w:val="32"/>
          <w:szCs w:val="32"/>
        </w:rPr>
      </w:pPr>
      <w:r>
        <w:rPr>
          <w:rFonts w:ascii="楷体_GB2312" w:eastAsia="楷体_GB2312" w:hint="eastAsia"/>
          <w:b/>
          <w:sz w:val="32"/>
          <w:szCs w:val="32"/>
          <w:lang w:val="zh-CN"/>
        </w:rPr>
        <w:t>（二）机构职能。</w:t>
      </w:r>
      <w:r>
        <w:rPr>
          <w:rFonts w:eastAsia="仿宋_GB2312" w:hint="eastAsia"/>
          <w:kern w:val="0"/>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spacing w:line="560" w:lineRule="exact"/>
        <w:ind w:firstLine="709"/>
        <w:rPr>
          <w:rFonts w:ascii="仿宋_GB2312" w:eastAsia="仿宋_GB2312"/>
          <w:sz w:val="32"/>
          <w:szCs w:val="32"/>
        </w:rPr>
      </w:pPr>
      <w:r>
        <w:rPr>
          <w:rFonts w:ascii="楷体_GB2312" w:eastAsia="楷体_GB2312" w:hint="eastAsia"/>
          <w:b/>
          <w:sz w:val="32"/>
          <w:szCs w:val="32"/>
          <w:lang w:val="zh-CN"/>
        </w:rPr>
        <w:t>（三）人员概况。</w:t>
      </w:r>
      <w:r>
        <w:rPr>
          <w:rFonts w:eastAsia="仿宋_GB2312" w:hint="eastAsia"/>
          <w:sz w:val="32"/>
          <w:szCs w:val="32"/>
        </w:rPr>
        <w:t>2021年末实有一般公共预算财政拨款开支在职人员35人，其中：行政人员18人（公务员15人、机关工勤3人）；非参公事业人员17人。2021年末实有一般公共预算财政拨款开支其他人员1人，为按攀委办发</w:t>
      </w:r>
      <w:r>
        <w:rPr>
          <w:rFonts w:cs="宋体" w:hint="eastAsia"/>
          <w:sz w:val="32"/>
          <w:szCs w:val="32"/>
        </w:rPr>
        <w:t>﹝</w:t>
      </w:r>
      <w:r>
        <w:rPr>
          <w:rFonts w:eastAsia="仿宋_GB2312" w:hint="eastAsia"/>
          <w:sz w:val="32"/>
          <w:szCs w:val="32"/>
        </w:rPr>
        <w:t>2012</w:t>
      </w:r>
      <w:r>
        <w:rPr>
          <w:rFonts w:cs="宋体" w:hint="eastAsia"/>
          <w:sz w:val="32"/>
          <w:szCs w:val="32"/>
        </w:rPr>
        <w:t>﹞</w:t>
      </w:r>
      <w:r>
        <w:rPr>
          <w:rFonts w:eastAsia="仿宋_GB2312" w:hint="eastAsia"/>
          <w:sz w:val="32"/>
          <w:szCs w:val="32"/>
        </w:rPr>
        <w:t>86 号文管理司勤人员。</w:t>
      </w:r>
    </w:p>
    <w:p>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rPr>
      </w:pPr>
      <w:r>
        <w:rPr>
          <w:rFonts w:ascii="黑体" w:eastAsia="黑体" w:cs="宋体" w:hint="eastAsia"/>
          <w:kern w:val="0"/>
          <w:sz w:val="32"/>
          <w:szCs w:val="32"/>
          <w:shd w:val="clear" w:color="auto" w:fill="FFFFFF"/>
        </w:rPr>
        <w:t>二、部门财政资金收支情况</w:t>
      </w:r>
    </w:p>
    <w:p>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int="eastAsia"/>
          <w:b/>
          <w:sz w:val="32"/>
          <w:szCs w:val="32"/>
          <w:lang w:val="zh-CN"/>
        </w:rPr>
        <w:t>（一）部门财政资金收入情况。</w:t>
      </w:r>
      <w:r>
        <w:rPr>
          <w:rFonts w:eastAsia="仿宋_GB2312" w:hint="eastAsia"/>
          <w:color w:val="000000"/>
          <w:kern w:val="0"/>
          <w:sz w:val="32"/>
          <w:szCs w:val="32"/>
          <w:shd w:val="clear" w:color="auto" w:fill="FFFFFF"/>
          <w:lang w:val="zh-CN"/>
        </w:rPr>
        <w:t>攀枝花市经济合作局2021年财政拨款收入1025.05万元。</w:t>
      </w:r>
    </w:p>
    <w:p>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int="eastAsia"/>
          <w:b/>
          <w:sz w:val="32"/>
          <w:szCs w:val="32"/>
          <w:lang w:val="zh-CN"/>
        </w:rPr>
        <w:t>（二）部门财政资金支出情况。</w:t>
      </w:r>
      <w:r>
        <w:rPr>
          <w:rFonts w:eastAsia="仿宋_GB2312" w:hint="eastAsia"/>
          <w:color w:val="000000"/>
          <w:kern w:val="0"/>
          <w:sz w:val="32"/>
          <w:szCs w:val="32"/>
          <w:shd w:val="clear" w:color="auto" w:fill="FFFFFF"/>
          <w:lang w:val="zh-CN"/>
        </w:rPr>
        <w:t>攀枝花市经济合作局2021年财政拨款支出1029.05万元。</w:t>
      </w:r>
    </w:p>
    <w:p>
      <w:pPr>
        <w:widowControl/>
        <w:adjustRightInd w:val="0"/>
        <w:snapToGrid w:val="0"/>
        <w:spacing w:line="560" w:lineRule="exact"/>
        <w:ind w:firstLineChars="200" w:firstLine="640"/>
        <w:contextualSpacing/>
        <w:jc w:val="left"/>
        <w:rPr>
          <w:rFonts w:ascii="黑体" w:eastAsia="黑体" w:cs="宋体"/>
          <w:color w:val="FF0000"/>
          <w:kern w:val="0"/>
          <w:sz w:val="32"/>
          <w:szCs w:val="32"/>
          <w:shd w:val="clear" w:color="auto" w:fill="FFFFFF"/>
        </w:rPr>
      </w:pPr>
      <w:r>
        <w:rPr>
          <w:rFonts w:ascii="黑体" w:eastAsia="黑体" w:cs="宋体" w:hint="eastAsia"/>
          <w:kern w:val="0"/>
          <w:sz w:val="32"/>
          <w:szCs w:val="32"/>
          <w:shd w:val="clear" w:color="auto" w:fill="FFFFFF"/>
        </w:rPr>
        <w:t>三、部门整体预算绩效管理情况</w:t>
      </w:r>
    </w:p>
    <w:p>
      <w:pPr>
        <w:adjustRightInd w:val="0"/>
        <w:snapToGrid w:val="0"/>
        <w:spacing w:line="560" w:lineRule="exact"/>
        <w:ind w:firstLine="720"/>
        <w:rPr>
          <w:rFonts w:ascii="仿宋_GB2312" w:eastAsia="仿宋_GB2312" w:cs="宋体"/>
          <w:kern w:val="0"/>
          <w:sz w:val="32"/>
          <w:szCs w:val="32"/>
          <w:shd w:val="clear" w:color="auto" w:fill="FFFFFF"/>
          <w:lang w:val="zh-CN"/>
        </w:rPr>
      </w:pPr>
      <w:r>
        <w:rPr>
          <w:rFonts w:ascii="楷体_GB2312" w:eastAsia="楷体_GB2312" w:hint="eastAsia"/>
          <w:b/>
          <w:sz w:val="32"/>
          <w:szCs w:val="32"/>
          <w:lang w:val="zh-CN"/>
        </w:rPr>
        <w:t>（一）部门预算项目绩效管理。</w:t>
      </w:r>
    </w:p>
    <w:p>
      <w:pPr>
        <w:spacing w:line="560" w:lineRule="exact"/>
        <w:ind w:firstLineChars="200" w:firstLine="640"/>
        <w:rPr>
          <w:rFonts w:ascii="仿宋_GB2312" w:eastAsia="仿宋_GB2312" w:cs="仿宋_GB2312"/>
          <w:sz w:val="32"/>
          <w:szCs w:val="32"/>
        </w:rPr>
      </w:pPr>
      <w:r>
        <w:rPr>
          <w:rFonts w:ascii="仿宋_GB2312" w:eastAsia="仿宋_GB2312" w:hint="eastAsia"/>
          <w:kern w:val="0"/>
          <w:sz w:val="32"/>
          <w:szCs w:val="32"/>
          <w:shd w:val="clear" w:color="auto" w:fill="FFFFFF"/>
          <w:lang w:val="zh-CN"/>
        </w:rPr>
        <w:t>攀枝花市经济合作局2021</w:t>
      </w:r>
      <w:r>
        <w:rPr>
          <w:rFonts w:ascii="仿宋_GB2312" w:eastAsia="仿宋_GB2312" w:cs="仿宋_GB2312" w:hint="eastAsia"/>
          <w:sz w:val="32"/>
          <w:szCs w:val="32"/>
        </w:rPr>
        <w:t>年部门绩效目标制定情况：</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1</w:t>
      </w:r>
      <w:r>
        <w:rPr>
          <w:rFonts w:ascii="仿宋_GB2312" w:eastAsia="仿宋_GB2312" w:hint="eastAsia"/>
          <w:sz w:val="32"/>
          <w:szCs w:val="32"/>
        </w:rPr>
        <w:t>.数量指标：（1）赴外开展小分队招商工作预计16批次，小分队招商对接企业50家。（2）日常重点产业项目考察、对接、洽谈、跟踪服务商务接待等预计150批次，项目促进出差预计50批次。（3）举办重大招商活动预计2次及以上。（4）设计、印制招商引资宣传资料预计1800册。微信公众号设计、规划、运营服务：①整理、编写信息并推送微信内容4期/月。②收集、提炼、编写专题宣传1条/周。③宣传视频素材的采集和剪辑1次/季度。④重要活动、重要会议等视频拍摄服务2次/年。⑤H5制作2次/年。开展其他招商引资宣传工作。（5）赴广州开展驻点招商工作预计60天，对接企业预计80批次；赴宝鸡开展驻点招商工作预计70天，对接企业预计120批次。（6）聘请招商引资法律顾问1家。（7）招商引资项目管理云平台2021年度运行维护管理。（8）市级招商牵头部门年度招商引资工作实绩实效考核排位前6名工作经费保障。</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2</w:t>
      </w:r>
      <w:r>
        <w:rPr>
          <w:rFonts w:ascii="仿宋_GB2312" w:eastAsia="仿宋_GB2312" w:hint="eastAsia"/>
          <w:sz w:val="32"/>
          <w:szCs w:val="32"/>
        </w:rPr>
        <w:t>.质量指标：全面完成省级业务主管部门、市委市政府下达我局2021年招商引资全年目标任务。</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3</w:t>
      </w:r>
      <w:r>
        <w:rPr>
          <w:rFonts w:ascii="仿宋_GB2312" w:eastAsia="仿宋_GB2312" w:hint="eastAsia"/>
          <w:sz w:val="32"/>
          <w:szCs w:val="32"/>
        </w:rPr>
        <w:t>.时效指标：1年内完成。</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4.</w:t>
      </w:r>
      <w:r>
        <w:rPr>
          <w:rFonts w:ascii="仿宋_GB2312" w:eastAsia="仿宋_GB2312" w:hint="eastAsia"/>
          <w:sz w:val="32"/>
          <w:szCs w:val="32"/>
        </w:rPr>
        <w:t>成本指标：完成2021年招商引资工作任务，保障全年目标任务顺利完成，所需成本支出（基本支出）727.64万元。</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5.</w:t>
      </w:r>
      <w:r>
        <w:rPr>
          <w:rFonts w:ascii="仿宋_GB2312" w:eastAsia="仿宋_GB2312" w:hint="eastAsia"/>
          <w:sz w:val="32"/>
          <w:szCs w:val="32"/>
        </w:rPr>
        <w:t>经济效益指标：（1）全年全市招商引资总到位资金800亿元；（2）国内省外投资到位资金300亿元；（3）外商投资实际到位资金8800万元。</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6.</w:t>
      </w:r>
      <w:r>
        <w:rPr>
          <w:rFonts w:ascii="仿宋_GB2312" w:eastAsia="仿宋_GB2312" w:hint="eastAsia"/>
          <w:sz w:val="32"/>
          <w:szCs w:val="32"/>
        </w:rPr>
        <w:t>可持续影响指标：有效促进产业转型和经济持续发展。</w:t>
      </w:r>
    </w:p>
    <w:p>
      <w:pPr>
        <w:pStyle w:val="31"/>
        <w:spacing w:before="93" w:line="560" w:lineRule="exact"/>
        <w:ind w:firstLineChars="200" w:firstLine="640"/>
        <w:jc w:val="left"/>
        <w:rPr>
          <w:rFonts w:ascii="仿宋_GB2312" w:eastAsia="仿宋_GB2312"/>
          <w:sz w:val="32"/>
          <w:szCs w:val="32"/>
        </w:rPr>
      </w:pPr>
      <w:r>
        <w:rPr>
          <w:rFonts w:ascii="仿宋_GB2312" w:eastAsia="仿宋_GB2312" w:hint="eastAsia"/>
          <w:b/>
          <w:sz w:val="32"/>
          <w:szCs w:val="32"/>
        </w:rPr>
        <w:t>7</w:t>
      </w:r>
      <w:r>
        <w:rPr>
          <w:rFonts w:ascii="仿宋_GB2312" w:eastAsia="仿宋_GB2312" w:hint="eastAsia"/>
          <w:sz w:val="32"/>
          <w:szCs w:val="32"/>
        </w:rPr>
        <w:t>.满意度指标：服务对象满意度达到基本满意及以上。</w:t>
      </w:r>
    </w:p>
    <w:p>
      <w:pPr>
        <w:spacing w:line="560" w:lineRule="exact"/>
        <w:ind w:firstLineChars="200" w:firstLine="640"/>
        <w:rPr>
          <w:rFonts w:ascii="仿宋_GB2312" w:eastAsia="仿宋_GB2312" w:cs="仿宋_GB2312"/>
          <w:sz w:val="32"/>
          <w:szCs w:val="32"/>
        </w:rPr>
      </w:pPr>
      <w:r>
        <w:rPr>
          <w:rFonts w:eastAsia="仿宋_GB2312" w:hint="eastAsia"/>
          <w:kern w:val="0"/>
          <w:sz w:val="32"/>
          <w:szCs w:val="32"/>
          <w:shd w:val="clear" w:color="auto" w:fill="FFFFFF"/>
          <w:lang w:val="zh-CN"/>
        </w:rPr>
        <w:t>攀枝花市经济合</w:t>
      </w:r>
      <w:r>
        <w:rPr>
          <w:rFonts w:ascii="仿宋_GB2312" w:eastAsia="仿宋_GB2312" w:hint="eastAsia"/>
          <w:kern w:val="0"/>
          <w:sz w:val="32"/>
          <w:szCs w:val="32"/>
          <w:shd w:val="clear" w:color="auto" w:fill="FFFFFF"/>
          <w:lang w:val="zh-CN"/>
        </w:rPr>
        <w:t>作局2021</w:t>
      </w:r>
      <w:r>
        <w:rPr>
          <w:rFonts w:ascii="仿宋_GB2312" w:eastAsia="仿宋_GB2312" w:cs="仿宋_GB2312" w:hint="eastAsia"/>
          <w:sz w:val="32"/>
          <w:szCs w:val="32"/>
        </w:rPr>
        <w:t>年部门绩效目标实现情况：</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1</w:t>
      </w:r>
      <w:r>
        <w:rPr>
          <w:rFonts w:ascii="仿宋_GB2312" w:eastAsia="仿宋_GB2312" w:hint="eastAsia"/>
          <w:sz w:val="32"/>
          <w:szCs w:val="32"/>
        </w:rPr>
        <w:t>.数量指标完成情况：（1）赴外开展小分队招商20余批次，小分队招商对接企业50余家。（2）日常重点产业项目考察、对接、洽谈、跟踪服务等商务接待160余批次，项目促进出差50余批次。（3）举办知名企业四川行活动、西博会2次重大招商活动。（4）</w:t>
      </w:r>
      <w:r>
        <w:rPr>
          <w:rFonts w:ascii="仿宋_GB2312" w:eastAsia="仿宋_GB2312" w:hint="eastAsia"/>
        </w:rPr>
        <w:t xml:space="preserve"> </w:t>
      </w:r>
      <w:r>
        <w:rPr>
          <w:rFonts w:ascii="仿宋_GB2312" w:eastAsia="仿宋_GB2312" w:hint="eastAsia"/>
          <w:sz w:val="32"/>
          <w:szCs w:val="32"/>
        </w:rPr>
        <w:t>设计、印制招商引资宣传资料1600册，为了控制成本（经费）支出，设计、印制招商引资宣传资料数量有所压减。微信公众号设计、规划、运营服务：①整理、编写信息并推送微信内容6期/月。②收集、提炼、编写专题宣传2条/周。③宣传视频素材的采集和剪辑8次/季度。④重要活动、重要会议等视频拍摄服务2次/年。⑤ H5制作2次/年。其他招商引资宣传工作:宣传资料卡、名片、接待手册、推介资料、签约展板制作、宣传栏等宣传制作。（5）赴广州开展驻点招商工作32天，对接企业30余批次；赴宝鸡开展驻点招商工作预计70天，对接企业99批次。因舆情影响，被迫取消部分赴外驻点招商工作安排，故未完成年初工作计划量。（6）聘请招商引资法律顾问1家。（7）招商引资项目管理云平台2021年度运维管理。（8）因2021年全市统一安排各部门招商引资专项工作经费，故未另行考核安排产业招商牵头部门专项工作经费。</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2</w:t>
      </w:r>
      <w:r>
        <w:rPr>
          <w:rFonts w:ascii="仿宋_GB2312" w:eastAsia="仿宋_GB2312" w:hint="eastAsia"/>
          <w:sz w:val="32"/>
          <w:szCs w:val="32"/>
        </w:rPr>
        <w:t>.质量指标完成情况：省级业务主管部门、市委市政府下达我局2021年招商引资全年目标任务完成情况良好。外商直接投资到位资金（ FDI）完成77万美元，因舆情影响等因素，暂未达到省级业务主管部门下达200万美元的目标任务，但实现了近5年来外商投资直接到位资金（ FDI）零的突破，完成市委市政府提出年度目标任务。今后将继续强化外资工作，利用外资取得进一步突破。</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3</w:t>
      </w:r>
      <w:r>
        <w:rPr>
          <w:rFonts w:ascii="仿宋_GB2312" w:eastAsia="仿宋_GB2312" w:hint="eastAsia"/>
          <w:sz w:val="32"/>
          <w:szCs w:val="32"/>
        </w:rPr>
        <w:t>.时效指标完成情况：工作任务完成时间节点1年内完成。</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4</w:t>
      </w:r>
      <w:r>
        <w:rPr>
          <w:rFonts w:ascii="仿宋_GB2312" w:eastAsia="仿宋_GB2312" w:hint="eastAsia"/>
          <w:sz w:val="32"/>
          <w:szCs w:val="32"/>
        </w:rPr>
        <w:t>.成本指标完成情况： 2021年实际成本支出1029.08万元。因招商引资专项工作经费等项目资金未纳入我单位年初部门预算，以及增人增资等因素，2021年整体成本支出大于年初设定（基本支出）指标值。</w:t>
      </w:r>
      <w:r>
        <w:rPr>
          <w:rFonts w:ascii="Times New Roman" w:eastAsia="仿宋_GB2312" w:hAnsi="Times New Roman" w:hint="eastAsia"/>
          <w:sz w:val="32"/>
          <w:szCs w:val="32"/>
        </w:rPr>
        <w:t>2021年项目支出（</w:t>
      </w:r>
      <w:r>
        <w:rPr>
          <w:rFonts w:ascii="仿宋_GB2312" w:eastAsia="仿宋_GB2312" w:hint="eastAsia"/>
          <w:sz w:val="32"/>
          <w:szCs w:val="32"/>
        </w:rPr>
        <w:t>招商引资各项工作工作经费支出</w:t>
      </w:r>
      <w:r>
        <w:rPr>
          <w:rFonts w:ascii="Times New Roman" w:eastAsia="仿宋_GB2312" w:hAnsi="Times New Roman" w:hint="eastAsia"/>
          <w:sz w:val="32"/>
          <w:szCs w:val="32"/>
        </w:rPr>
        <w:t>）</w:t>
      </w:r>
      <w:r>
        <w:rPr>
          <w:rFonts w:ascii="仿宋_GB2312" w:eastAsia="仿宋_GB2312" w:hint="eastAsia"/>
          <w:sz w:val="32"/>
          <w:szCs w:val="32"/>
        </w:rPr>
        <w:t>控制在设定的全年预算内，部分工作经费因2021年财政资金紧缺无力支付，故成本大大缩小。</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5</w:t>
      </w:r>
      <w:r>
        <w:rPr>
          <w:rFonts w:ascii="仿宋_GB2312" w:eastAsia="仿宋_GB2312" w:hint="eastAsia"/>
          <w:sz w:val="32"/>
          <w:szCs w:val="32"/>
        </w:rPr>
        <w:t>.经济效益指标完成情况：（1）全市招商引资总到位资金801.27亿元。（2）国内省外投资到位资金330.28亿元。（3）外商投资实际到位资金8950.80万元。均全面完成。</w:t>
      </w:r>
    </w:p>
    <w:p>
      <w:pPr>
        <w:pStyle w:val="31"/>
        <w:spacing w:before="93" w:line="560" w:lineRule="exact"/>
        <w:ind w:firstLineChars="200" w:firstLine="640"/>
        <w:jc w:val="left"/>
        <w:rPr>
          <w:rFonts w:ascii="仿宋_GB2312" w:eastAsia="仿宋_GB2312" w:hint="eastAsia"/>
          <w:sz w:val="32"/>
          <w:szCs w:val="32"/>
        </w:rPr>
      </w:pPr>
      <w:r>
        <w:rPr>
          <w:rFonts w:ascii="仿宋_GB2312" w:eastAsia="仿宋_GB2312" w:hint="eastAsia"/>
          <w:b/>
          <w:sz w:val="32"/>
          <w:szCs w:val="32"/>
        </w:rPr>
        <w:t>6</w:t>
      </w:r>
      <w:r>
        <w:rPr>
          <w:rFonts w:ascii="仿宋_GB2312" w:eastAsia="仿宋_GB2312" w:hint="eastAsia"/>
          <w:sz w:val="32"/>
          <w:szCs w:val="32"/>
        </w:rPr>
        <w:t>.可持续影响指标完成情况：有效促进产业转型和经济持续发展。</w:t>
      </w:r>
    </w:p>
    <w:p>
      <w:pPr>
        <w:pStyle w:val="31"/>
        <w:spacing w:before="93" w:line="560" w:lineRule="exact"/>
        <w:ind w:firstLineChars="200" w:firstLine="640"/>
        <w:jc w:val="left"/>
        <w:rPr>
          <w:rFonts w:ascii="Times New Roman" w:eastAsia="仿宋_GB2312" w:hAnsi="Times New Roman"/>
          <w:color w:val="FF0000"/>
          <w:sz w:val="32"/>
          <w:szCs w:val="32"/>
        </w:rPr>
      </w:pPr>
      <w:r>
        <w:rPr>
          <w:rFonts w:ascii="仿宋_GB2312" w:eastAsia="仿宋_GB2312" w:hint="eastAsia"/>
          <w:b/>
          <w:sz w:val="32"/>
          <w:szCs w:val="32"/>
        </w:rPr>
        <w:t>7</w:t>
      </w:r>
      <w:r>
        <w:rPr>
          <w:rFonts w:ascii="仿宋_GB2312" w:eastAsia="仿宋_GB2312" w:hint="eastAsia"/>
          <w:sz w:val="32"/>
          <w:szCs w:val="32"/>
        </w:rPr>
        <w:t>.满意度指标完成情况：服务对象满意度达到了基本满意及以上。</w:t>
      </w:r>
      <w:r>
        <w:rPr>
          <w:rFonts w:ascii="仿宋_GB2312" w:eastAsia="仿宋_GB2312" w:cs="仿宋_GB2312" w:hint="eastAsia"/>
          <w:sz w:val="32"/>
          <w:szCs w:val="32"/>
        </w:rPr>
        <w:t xml:space="preserve"> </w:t>
      </w:r>
    </w:p>
    <w:p>
      <w:pPr>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根据</w:t>
      </w:r>
      <w:r>
        <w:rPr>
          <w:rFonts w:ascii="仿宋_GB2312" w:eastAsia="仿宋_GB2312"/>
          <w:sz w:val="32"/>
          <w:szCs w:val="32"/>
        </w:rPr>
        <w:t>年度目标任务</w:t>
      </w:r>
      <w:r>
        <w:rPr>
          <w:rFonts w:ascii="仿宋_GB2312" w:eastAsia="仿宋_GB2312" w:hint="eastAsia"/>
          <w:sz w:val="32"/>
          <w:szCs w:val="32"/>
        </w:rPr>
        <w:t>，结合招商引资工作实际及当前经济社会发展需要合理编制预算绩效目标。预期</w:t>
      </w:r>
      <w:r>
        <w:rPr>
          <w:rFonts w:ascii="仿宋_GB2312" w:eastAsia="仿宋_GB2312" w:cs="宋体" w:hint="eastAsia"/>
          <w:kern w:val="0"/>
          <w:sz w:val="32"/>
          <w:szCs w:val="32"/>
          <w:shd w:val="clear" w:color="auto" w:fill="FFFFFF"/>
          <w:lang w:val="zh-CN"/>
        </w:rPr>
        <w:t>绩效</w:t>
      </w:r>
      <w:r>
        <w:rPr>
          <w:rFonts w:ascii="仿宋_GB2312" w:eastAsia="仿宋_GB2312" w:hint="eastAsia"/>
          <w:sz w:val="32"/>
          <w:szCs w:val="32"/>
        </w:rPr>
        <w:t>目标内容明确，做到了目标细化、目标量化，进度计划明确。严格按照年初计划、项目要求及工作进度严控支出，执行</w:t>
      </w:r>
      <w:r>
        <w:rPr>
          <w:rFonts w:ascii="仿宋_GB2312" w:eastAsia="仿宋_GB2312" w:cs="宋体" w:hint="eastAsia"/>
          <w:kern w:val="0"/>
          <w:sz w:val="32"/>
          <w:szCs w:val="32"/>
          <w:shd w:val="clear" w:color="auto" w:fill="FFFFFF"/>
          <w:lang w:val="zh-CN"/>
        </w:rPr>
        <w:t>进度合理</w:t>
      </w:r>
      <w:r>
        <w:rPr>
          <w:rFonts w:ascii="仿宋_GB2312" w:eastAsia="仿宋_GB2312" w:cs="仿宋_GB2312" w:hint="eastAsia"/>
          <w:sz w:val="32"/>
          <w:szCs w:val="32"/>
        </w:rPr>
        <w:t>。预算完成情况良好，无</w:t>
      </w:r>
      <w:r>
        <w:rPr>
          <w:rFonts w:ascii="仿宋_GB2312" w:eastAsia="仿宋_GB2312" w:cs="宋体" w:hint="eastAsia"/>
          <w:kern w:val="0"/>
          <w:sz w:val="32"/>
          <w:szCs w:val="32"/>
          <w:shd w:val="clear" w:color="auto" w:fill="FFFFFF"/>
          <w:lang w:val="zh-CN"/>
        </w:rPr>
        <w:t>低效无效率和违规记录等情况</w:t>
      </w:r>
      <w:r>
        <w:rPr>
          <w:rFonts w:ascii="仿宋_GB2312" w:eastAsia="仿宋_GB2312" w:cs="仿宋_GB2312" w:hint="eastAsia"/>
          <w:sz w:val="32"/>
          <w:szCs w:val="32"/>
        </w:rPr>
        <w:t>。</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（二）结果应用情况。</w:t>
      </w:r>
    </w:p>
    <w:p>
      <w:pPr>
        <w:spacing w:line="560" w:lineRule="exact"/>
        <w:ind w:firstLineChars="200" w:firstLine="640"/>
        <w:rPr>
          <w:rFonts w:ascii="仿宋" w:eastAsia="仿宋" w:cs="仿宋_GB2312"/>
          <w:sz w:val="32"/>
          <w:szCs w:val="32"/>
        </w:rPr>
      </w:pPr>
      <w:r>
        <w:rPr>
          <w:rFonts w:eastAsia="仿宋_GB2312" w:hint="eastAsia"/>
          <w:color w:val="000000"/>
          <w:kern w:val="0"/>
          <w:sz w:val="32"/>
          <w:szCs w:val="32"/>
          <w:shd w:val="clear" w:color="auto" w:fill="FFFFFF"/>
          <w:lang w:val="zh-CN"/>
        </w:rPr>
        <w:t>攀枝花市经济合作局</w:t>
      </w:r>
      <w:r>
        <w:rPr>
          <w:rFonts w:ascii="仿宋_GB2312" w:eastAsia="仿宋_GB2312" w:cs="仿宋_GB2312" w:hint="eastAsia"/>
          <w:sz w:val="32"/>
          <w:szCs w:val="32"/>
        </w:rPr>
        <w:t>严格按要求完成好2021年度部门绩效自评工作，并按时进行公开。根据自评结果总结经验，寻求高质量高绩效的工作思路方法，更好发挥财政资金管理使用绩效。</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（三）自评质量。</w:t>
      </w:r>
    </w:p>
    <w:p>
      <w:pPr>
        <w:widowControl/>
        <w:adjustRightInd w:val="0"/>
        <w:snapToGrid w:val="0"/>
        <w:spacing w:line="560" w:lineRule="exact"/>
        <w:contextualSpacing/>
        <w:jc w:val="left"/>
        <w:rPr>
          <w:rFonts w:ascii="仿宋_GB2312" w:eastAsia="仿宋_GB2312" w:cs="宋体"/>
          <w:kern w:val="0"/>
          <w:sz w:val="32"/>
          <w:szCs w:val="32"/>
          <w:shd w:val="clear" w:color="auto" w:fill="FFFFFF"/>
        </w:rPr>
      </w:pPr>
      <w:r>
        <w:rPr>
          <w:rFonts w:ascii="仿宋_GB2312" w:eastAsia="仿宋_GB2312" w:cs="宋体" w:hint="eastAsia"/>
          <w:kern w:val="0"/>
          <w:sz w:val="32"/>
          <w:szCs w:val="32"/>
          <w:shd w:val="clear" w:color="auto" w:fill="FFFFFF"/>
        </w:rPr>
        <w:t xml:space="preserve">   </w:t>
      </w:r>
      <w:r>
        <w:rPr>
          <w:rFonts w:eastAsia="仿宋_GB2312" w:hint="eastAsia"/>
          <w:kern w:val="0"/>
          <w:sz w:val="32"/>
          <w:szCs w:val="32"/>
          <w:shd w:val="clear" w:color="auto" w:fill="FFFFFF"/>
          <w:lang w:val="zh-CN"/>
        </w:rPr>
        <w:t>攀枝花市经济合作局</w:t>
      </w:r>
      <w:r>
        <w:rPr>
          <w:rFonts w:ascii="仿宋_GB2312" w:eastAsia="仿宋_GB2312" w:cs="仿宋_GB2312" w:hint="eastAsia"/>
          <w:sz w:val="32"/>
          <w:szCs w:val="32"/>
        </w:rPr>
        <w:t>2021年度</w:t>
      </w:r>
      <w:r>
        <w:rPr>
          <w:rFonts w:ascii="仿宋_GB2312" w:eastAsia="仿宋_GB2312" w:cs="宋体" w:hint="eastAsia"/>
          <w:kern w:val="0"/>
          <w:sz w:val="32"/>
          <w:szCs w:val="32"/>
          <w:shd w:val="clear" w:color="auto" w:fill="FFFFFF"/>
        </w:rPr>
        <w:t>部门整体支出自评依据实际完成情况对照设定的绩效目标值进行逐一评价，做到量化、细化，确保自评准确性。</w:t>
      </w:r>
    </w:p>
    <w:p>
      <w:pPr>
        <w:widowControl/>
        <w:adjustRightInd w:val="0"/>
        <w:snapToGrid w:val="0"/>
        <w:spacing w:line="560" w:lineRule="exact"/>
        <w:ind w:firstLineChars="200" w:firstLine="640"/>
        <w:contextualSpacing/>
        <w:jc w:val="left"/>
        <w:rPr>
          <w:rFonts w:ascii="黑体" w:eastAsia="黑体" w:cs="宋体"/>
          <w:kern w:val="0"/>
          <w:sz w:val="32"/>
          <w:szCs w:val="32"/>
          <w:shd w:val="clear" w:color="auto" w:fill="FFFFFF"/>
        </w:rPr>
      </w:pPr>
      <w:r>
        <w:rPr>
          <w:rFonts w:ascii="黑体" w:eastAsia="黑体" w:cs="宋体" w:hint="eastAsia"/>
          <w:kern w:val="0"/>
          <w:sz w:val="32"/>
          <w:szCs w:val="32"/>
          <w:shd w:val="clear" w:color="auto" w:fill="FFFFFF"/>
        </w:rPr>
        <w:t>四、评价结论及建议</w:t>
      </w:r>
    </w:p>
    <w:p>
      <w:pPr>
        <w:widowControl/>
        <w:adjustRightInd w:val="0"/>
        <w:snapToGrid w:val="0"/>
        <w:spacing w:line="560" w:lineRule="exact"/>
        <w:ind w:firstLineChars="200" w:firstLine="640"/>
        <w:contextualSpacing/>
        <w:jc w:val="left"/>
        <w:rPr>
          <w:rFonts w:ascii="仿宋_GB2312" w:eastAsia="仿宋_GB2312" w:cs="宋体"/>
          <w:kern w:val="0"/>
          <w:sz w:val="32"/>
          <w:szCs w:val="32"/>
          <w:shd w:val="clear" w:color="auto" w:fill="FFFFFF"/>
          <w:lang w:val="zh-CN"/>
        </w:rPr>
      </w:pPr>
      <w:r>
        <w:rPr>
          <w:rFonts w:ascii="楷体_GB2312" w:eastAsia="楷体_GB2312" w:hint="eastAsia"/>
          <w:b/>
          <w:sz w:val="32"/>
          <w:szCs w:val="32"/>
          <w:lang w:val="zh-CN"/>
        </w:rPr>
        <w:t>（一）评价结论。</w:t>
      </w:r>
      <w:r>
        <w:rPr>
          <w:rFonts w:eastAsia="仿宋_GB2312"/>
          <w:sz w:val="32"/>
          <w:szCs w:val="32"/>
        </w:rPr>
        <w:t>20</w:t>
      </w:r>
      <w:r>
        <w:rPr>
          <w:rFonts w:eastAsia="仿宋_GB2312" w:hint="eastAsia"/>
          <w:sz w:val="32"/>
          <w:szCs w:val="32"/>
        </w:rPr>
        <w:t>21</w:t>
      </w:r>
      <w:r>
        <w:rPr>
          <w:rFonts w:eastAsia="仿宋_GB2312"/>
          <w:sz w:val="32"/>
          <w:szCs w:val="32"/>
        </w:rPr>
        <w:t>年度部门预算整体绩效</w:t>
      </w:r>
      <w:r>
        <w:rPr>
          <w:rFonts w:eastAsia="仿宋_GB2312" w:hint="eastAsia"/>
          <w:sz w:val="32"/>
          <w:szCs w:val="32"/>
        </w:rPr>
        <w:t>目标总体完成情况良好。</w:t>
      </w:r>
    </w:p>
    <w:p>
      <w:pPr>
        <w:spacing w:line="560" w:lineRule="exact"/>
        <w:ind w:firstLineChars="200" w:firstLine="640"/>
        <w:rPr>
          <w:rFonts w:eastAsia="仿宋_GB2312"/>
          <w:sz w:val="32"/>
          <w:szCs w:val="32"/>
        </w:rPr>
      </w:pPr>
      <w:r>
        <w:rPr>
          <w:rFonts w:ascii="楷体_GB2312" w:eastAsia="楷体_GB2312" w:hint="eastAsia"/>
          <w:b/>
          <w:sz w:val="32"/>
          <w:szCs w:val="32"/>
          <w:lang w:val="zh-CN"/>
        </w:rPr>
        <w:t>（二）存在问题。</w:t>
      </w:r>
      <w:r>
        <w:rPr>
          <w:rFonts w:eastAsia="仿宋_GB2312" w:hint="eastAsia"/>
          <w:sz w:val="32"/>
          <w:szCs w:val="32"/>
        </w:rPr>
        <w:t>2021年因舆情影响，招商引资工作开展受限，部分计划安排无法执行，以及财力不足等因素，导致部分年度实际完成数</w:t>
      </w:r>
      <w:r>
        <w:rPr>
          <w:rFonts w:eastAsia="仿宋_GB2312"/>
          <w:sz w:val="32"/>
          <w:szCs w:val="32"/>
        </w:rPr>
        <w:t>偏离绩效目标</w:t>
      </w:r>
      <w:r>
        <w:rPr>
          <w:rFonts w:eastAsia="仿宋_GB2312" w:hint="eastAsia"/>
          <w:sz w:val="32"/>
          <w:szCs w:val="32"/>
        </w:rPr>
        <w:t>值的情况。另外，</w:t>
      </w:r>
      <w:r>
        <w:rPr>
          <w:rFonts w:eastAsia="仿宋_GB2312"/>
          <w:sz w:val="32"/>
          <w:szCs w:val="32"/>
        </w:rPr>
        <w:t>绩效</w:t>
      </w:r>
      <w:r>
        <w:rPr>
          <w:rFonts w:eastAsia="仿宋_GB2312" w:hint="eastAsia"/>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故预算绩效管理还需进一步科学化和全面化。</w:t>
      </w:r>
    </w:p>
    <w:p>
      <w:pPr>
        <w:widowControl/>
        <w:adjustRightInd w:val="0"/>
        <w:snapToGrid w:val="0"/>
        <w:spacing w:line="560" w:lineRule="exact"/>
        <w:ind w:firstLineChars="200" w:firstLine="640"/>
        <w:contextualSpacing/>
        <w:jc w:val="left"/>
        <w:rPr>
          <w:rFonts w:ascii="仿宋_GB2312" w:eastAsia="仿宋_GB2312" w:cs="宋体"/>
          <w:color w:val="000000"/>
          <w:kern w:val="0"/>
          <w:sz w:val="32"/>
          <w:szCs w:val="32"/>
          <w:shd w:val="clear" w:color="auto" w:fill="FFFFFF"/>
          <w:lang w:val="zh-CN"/>
        </w:rPr>
      </w:pPr>
      <w:r>
        <w:rPr>
          <w:rFonts w:ascii="楷体_GB2312" w:eastAsia="楷体_GB2312" w:hint="eastAsia"/>
          <w:b/>
          <w:sz w:val="32"/>
          <w:szCs w:val="32"/>
          <w:lang w:val="zh-CN"/>
        </w:rPr>
        <w:t>（三）改进建议。</w:t>
      </w:r>
      <w:r>
        <w:rPr>
          <w:rFonts w:eastAsia="仿宋_GB2312" w:hint="eastAsia"/>
          <w:sz w:val="32"/>
          <w:szCs w:val="32"/>
        </w:rPr>
        <w:t>在</w:t>
      </w:r>
      <w:r>
        <w:rPr>
          <w:rFonts w:eastAsia="仿宋_GB2312"/>
          <w:sz w:val="32"/>
          <w:szCs w:val="32"/>
        </w:rPr>
        <w:t>今后</w:t>
      </w:r>
      <w:r>
        <w:rPr>
          <w:rFonts w:eastAsia="仿宋_GB2312" w:hint="eastAsia"/>
          <w:sz w:val="32"/>
          <w:szCs w:val="32"/>
        </w:rPr>
        <w:t>预算绩效管理工作</w:t>
      </w:r>
      <w:r>
        <w:rPr>
          <w:rFonts w:eastAsia="仿宋_GB2312"/>
          <w:sz w:val="32"/>
          <w:szCs w:val="32"/>
        </w:rPr>
        <w:t>中，</w:t>
      </w:r>
      <w:r>
        <w:rPr>
          <w:rFonts w:eastAsia="仿宋_GB2312" w:hint="eastAsia"/>
          <w:sz w:val="32"/>
          <w:szCs w:val="32"/>
        </w:rPr>
        <w:t>进一步完善各项绩效目标管理相关指标体系、制度、方法，进一步提高绩效管理相关数据、信息的准确性和完整性，缩小设定的</w:t>
      </w:r>
      <w:r>
        <w:rPr>
          <w:rFonts w:eastAsia="仿宋_GB2312"/>
          <w:sz w:val="32"/>
          <w:szCs w:val="32"/>
        </w:rPr>
        <w:t>绩效</w:t>
      </w:r>
      <w:r>
        <w:rPr>
          <w:rFonts w:eastAsia="仿宋_GB2312" w:hint="eastAsia"/>
          <w:sz w:val="32"/>
          <w:szCs w:val="32"/>
        </w:rPr>
        <w:t>目标值与实际完成数偏离程度，提高财政资金使用效益及绩效管理水平。</w:t>
      </w:r>
    </w:p>
    <w:p>
      <w:pPr>
        <w:widowControl/>
        <w:spacing w:line="560" w:lineRule="exact"/>
        <w:jc w:val="left"/>
        <w:rPr>
          <w:rFonts w:ascii="黑体" w:eastAsia="黑体" w:cs="宋体"/>
          <w:kern w:val="0"/>
          <w:sz w:val="32"/>
          <w:szCs w:val="32"/>
          <w:shd w:val="clear" w:color="auto" w:fill="FFFFFF"/>
          <w:lang w:val="zh-CN"/>
        </w:rPr>
      </w:pPr>
      <w:r>
        <w:rPr>
          <w:rFonts w:cs="宋体"/>
          <w:sz w:val="32"/>
          <w:szCs w:val="32"/>
          <w:shd w:val="clear" w:color="auto" w:fill="FFFFFF"/>
          <w:lang w:val="zh-CN"/>
        </w:rPr>
        <w:br w:type="page"/>
      </w:r>
      <w:r>
        <w:rPr>
          <w:rFonts w:ascii="黑体" w:eastAsia="黑体" w:cs="宋体" w:hint="eastAsia"/>
          <w:sz w:val="32"/>
          <w:szCs w:val="32"/>
          <w:shd w:val="clear" w:color="auto" w:fill="FFFFFF"/>
          <w:lang w:val="zh-CN"/>
        </w:rPr>
        <w:t>附件</w:t>
      </w:r>
    </w:p>
    <w:p>
      <w:pPr>
        <w:spacing w:line="560" w:lineRule="exact"/>
        <w:jc w:val="center"/>
        <w:rPr>
          <w:rFonts w:ascii="方正小标宋简体" w:eastAsia="方正小标宋简体" w:cs="方正小标宋简体"/>
          <w:sz w:val="40"/>
          <w:szCs w:val="40"/>
          <w:lang w:val="zh-CN"/>
        </w:rPr>
      </w:pPr>
      <w:r>
        <w:rPr>
          <w:rFonts w:ascii="方正小标宋简体" w:eastAsia="方正小标宋简体" w:cs="方正小标宋简体" w:hint="eastAsia"/>
          <w:sz w:val="40"/>
          <w:szCs w:val="40"/>
        </w:rPr>
        <w:t>2021年</w:t>
      </w:r>
      <w:r>
        <w:rPr>
          <w:rFonts w:ascii="方正小标宋简体" w:eastAsia="方正小标宋简体" w:cs="方正小标宋简体" w:hint="eastAsia"/>
          <w:sz w:val="40"/>
          <w:szCs w:val="40"/>
          <w:lang w:val="zh-CN"/>
        </w:rPr>
        <w:t>专项预算项目支出绩效自评报告</w:t>
      </w:r>
    </w:p>
    <w:p>
      <w:pPr>
        <w:spacing w:line="560" w:lineRule="exact"/>
        <w:ind w:firstLine="640"/>
        <w:jc w:val="center"/>
        <w:rPr>
          <w:rFonts w:ascii="宋体"/>
          <w:sz w:val="32"/>
          <w:szCs w:val="32"/>
          <w:lang w:val="zh-CN"/>
        </w:rPr>
      </w:pPr>
    </w:p>
    <w:p>
      <w:pPr>
        <w:adjustRightInd w:val="0"/>
        <w:snapToGrid w:val="0"/>
        <w:spacing w:line="560" w:lineRule="exact"/>
        <w:ind w:firstLine="720"/>
        <w:rPr>
          <w:rFonts w:ascii="黑体" w:eastAsia="黑体"/>
          <w:sz w:val="32"/>
          <w:szCs w:val="32"/>
          <w:lang w:val="zh-CN"/>
        </w:rPr>
      </w:pPr>
      <w:r>
        <w:rPr>
          <w:rFonts w:ascii="黑体" w:eastAsia="黑体" w:hint="eastAsia"/>
          <w:sz w:val="32"/>
          <w:szCs w:val="32"/>
        </w:rPr>
        <w:t>一、</w:t>
      </w:r>
      <w:r>
        <w:rPr>
          <w:rFonts w:ascii="黑体" w:eastAsia="黑体" w:hint="eastAsia"/>
          <w:sz w:val="32"/>
          <w:szCs w:val="32"/>
          <w:lang w:val="zh-CN"/>
        </w:rPr>
        <w:t>项目概况</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（一）项目基本情况。</w:t>
      </w:r>
    </w:p>
    <w:p>
      <w:pPr>
        <w:spacing w:line="560" w:lineRule="exact"/>
        <w:ind w:firstLineChars="200" w:firstLine="640"/>
        <w:jc w:val="left"/>
        <w:rPr>
          <w:rFonts w:eastAsia="仿宋_GB2312"/>
          <w:sz w:val="32"/>
          <w:szCs w:val="32"/>
        </w:rPr>
      </w:pPr>
      <w:r>
        <w:rPr>
          <w:rFonts w:ascii="仿宋_GB2312" w:eastAsia="仿宋_GB2312" w:hint="eastAsia"/>
          <w:sz w:val="32"/>
          <w:szCs w:val="32"/>
          <w:lang w:val="zh-CN"/>
        </w:rPr>
        <w:t>1．</w:t>
      </w:r>
      <w:r>
        <w:rPr>
          <w:rFonts w:eastAsia="仿宋_GB2312" w:hint="eastAsia"/>
          <w:sz w:val="32"/>
          <w:szCs w:val="32"/>
          <w:lang w:val="zh-CN"/>
        </w:rPr>
        <w:t>攀枝花市经济合作局在</w:t>
      </w:r>
      <w:r>
        <w:rPr>
          <w:rFonts w:eastAsia="仿宋_GB2312" w:hint="eastAsia"/>
          <w:sz w:val="32"/>
          <w:szCs w:val="32"/>
        </w:rPr>
        <w:t>招商引资专项工作经费</w:t>
      </w:r>
      <w:r>
        <w:rPr>
          <w:rFonts w:eastAsia="仿宋_GB2312" w:hint="eastAsia"/>
          <w:sz w:val="32"/>
          <w:szCs w:val="32"/>
          <w:lang w:val="zh-CN"/>
        </w:rPr>
        <w:t>项目管理中的职能：</w:t>
      </w:r>
      <w:r>
        <w:rPr>
          <w:rFonts w:eastAsia="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adjustRightInd w:val="0"/>
        <w:snapToGrid w:val="0"/>
        <w:spacing w:line="560" w:lineRule="exact"/>
        <w:ind w:firstLine="720"/>
        <w:rPr>
          <w:rFonts w:ascii="仿宋_GB2312" w:eastAsia="仿宋_GB2312"/>
          <w:sz w:val="32"/>
          <w:szCs w:val="32"/>
          <w:lang w:val="zh-CN"/>
        </w:rPr>
      </w:pPr>
      <w:r>
        <w:rPr>
          <w:rFonts w:ascii="仿宋_GB2312" w:eastAsia="仿宋_GB2312" w:hint="eastAsia"/>
          <w:sz w:val="32"/>
          <w:szCs w:val="32"/>
          <w:lang w:val="zh-CN"/>
        </w:rPr>
        <w:t>2．项目立项、资金申报的依据。</w:t>
      </w:r>
    </w:p>
    <w:p>
      <w:pPr>
        <w:spacing w:line="560" w:lineRule="exact"/>
        <w:ind w:firstLineChars="200" w:firstLine="640"/>
        <w:rPr>
          <w:rFonts w:ascii="仿宋_GB2312" w:eastAsia="仿宋_GB2312"/>
          <w:sz w:val="32"/>
          <w:szCs w:val="32"/>
        </w:rPr>
      </w:pPr>
      <w:r>
        <w:rPr>
          <w:rFonts w:ascii="仿宋_GB2312" w:eastAsia="仿宋_GB2312" w:hint="eastAsia"/>
          <w:sz w:val="32"/>
          <w:szCs w:val="32"/>
        </w:rPr>
        <w:t>依据</w:t>
      </w:r>
      <w:r>
        <w:rPr>
          <w:rFonts w:eastAsia="仿宋_GB2312" w:hint="eastAsia"/>
          <w:kern w:val="0"/>
          <w:sz w:val="32"/>
          <w:szCs w:val="32"/>
        </w:rPr>
        <w:t>《关于进一步加强投资促进工作的意见》的通知（攀委办发〔2017〕7号）、《关于进一步完善投资促进工作机制》的通知（攀办函〔2018〕1号）、《关于进一步完善投资促进考评激励机制》的通知（攀办函〔2019〕51 号）</w:t>
      </w:r>
      <w:r>
        <w:rPr>
          <w:rFonts w:eastAsia="仿宋_GB2312" w:hint="eastAsia"/>
          <w:sz w:val="32"/>
          <w:szCs w:val="32"/>
        </w:rPr>
        <w:t>、</w:t>
      </w:r>
      <w:r>
        <w:rPr>
          <w:rFonts w:ascii="仿宋_GB2312" w:eastAsia="仿宋_GB2312" w:hint="eastAsia"/>
          <w:sz w:val="32"/>
          <w:szCs w:val="32"/>
        </w:rPr>
        <w:t>《2021年市本级部门预算编制方法和口径》、《攀枝花市市本级项目支出预算管理办法》和财政专项资金分配管理有关规定等以及市委市政府</w:t>
      </w:r>
      <w:r>
        <w:rPr>
          <w:rFonts w:ascii="仿宋_GB2312" w:eastAsia="仿宋_GB2312"/>
          <w:sz w:val="32"/>
          <w:szCs w:val="32"/>
        </w:rPr>
        <w:t>下达年度目标任务</w:t>
      </w:r>
      <w:r>
        <w:rPr>
          <w:rFonts w:ascii="仿宋_GB2312" w:eastAsia="仿宋_GB2312" w:hint="eastAsia"/>
          <w:sz w:val="32"/>
          <w:szCs w:val="32"/>
        </w:rPr>
        <w:t>，结合招商引资工作实际及当前经济社会发展需要，将招商引资项目资金规范纳入市级财政预算管理。</w:t>
      </w:r>
    </w:p>
    <w:p>
      <w:pPr>
        <w:adjustRightInd w:val="0"/>
        <w:snapToGrid w:val="0"/>
        <w:spacing w:line="560" w:lineRule="exact"/>
        <w:ind w:firstLine="720"/>
        <w:rPr>
          <w:rFonts w:ascii="仿宋_GB2312" w:eastAsia="仿宋_GB2312"/>
          <w:sz w:val="32"/>
          <w:szCs w:val="32"/>
          <w:lang w:val="zh-CN"/>
        </w:rPr>
      </w:pPr>
      <w:r>
        <w:rPr>
          <w:rFonts w:ascii="仿宋_GB2312" w:eastAsia="仿宋_GB2312" w:hint="eastAsia"/>
          <w:sz w:val="32"/>
          <w:szCs w:val="32"/>
          <w:lang w:val="zh-CN"/>
        </w:rPr>
        <w:t>3．资金管理办法制定情况，资金支持具体项目的条件、范围与支持方式概况。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制定《攀枝花市级招商引资专项工作经费管理暂行办法》《攀枝花市经济合作局招商引资专项工作经费使用管理暂行办法》，</w:t>
      </w:r>
      <w:r>
        <w:rPr>
          <w:rFonts w:ascii="仿宋_GB2312" w:eastAsia="仿宋_GB2312" w:hint="eastAsia"/>
          <w:sz w:val="32"/>
          <w:szCs w:val="32"/>
        </w:rPr>
        <w:t>建立健全</w:t>
      </w:r>
      <w:r>
        <w:rPr>
          <w:rFonts w:eastAsia="仿宋_GB2312" w:hint="eastAsia"/>
          <w:kern w:val="0"/>
          <w:sz w:val="32"/>
          <w:szCs w:val="32"/>
        </w:rPr>
        <w:t>了</w:t>
      </w:r>
      <w:r>
        <w:rPr>
          <w:rFonts w:ascii="仿宋_GB2312" w:eastAsia="仿宋_GB2312" w:hint="eastAsia"/>
          <w:sz w:val="32"/>
          <w:szCs w:val="32"/>
        </w:rPr>
        <w:t>资金管理制度。</w:t>
      </w:r>
      <w:r>
        <w:rPr>
          <w:rFonts w:eastAsia="仿宋_GB2312" w:hint="eastAsia"/>
          <w:kern w:val="0"/>
          <w:sz w:val="32"/>
          <w:szCs w:val="32"/>
        </w:rPr>
        <w:t>招商引资专项工作经费</w:t>
      </w:r>
      <w:r>
        <w:rPr>
          <w:rFonts w:eastAsia="仿宋_GB2312"/>
          <w:kern w:val="0"/>
          <w:sz w:val="32"/>
          <w:szCs w:val="32"/>
        </w:rPr>
        <w:t>资金支持</w:t>
      </w:r>
      <w:r>
        <w:rPr>
          <w:rFonts w:eastAsia="仿宋_GB2312" w:hint="eastAsia"/>
          <w:kern w:val="0"/>
          <w:sz w:val="32"/>
          <w:szCs w:val="32"/>
        </w:rPr>
        <w:t>按年度招商引资工作目标任务结合实际工作计划与开展的资金保障需求以及市级财力确定。</w:t>
      </w:r>
      <w:r>
        <w:rPr>
          <w:rFonts w:eastAsia="仿宋_GB2312"/>
          <w:kern w:val="0"/>
          <w:sz w:val="32"/>
          <w:szCs w:val="32"/>
        </w:rPr>
        <w:t>资金支持范围</w:t>
      </w:r>
      <w:r>
        <w:rPr>
          <w:rFonts w:eastAsia="仿宋_GB2312" w:hint="eastAsia"/>
          <w:kern w:val="0"/>
          <w:sz w:val="32"/>
          <w:szCs w:val="32"/>
        </w:rPr>
        <w:t>：一是</w:t>
      </w:r>
      <w:r>
        <w:rPr>
          <w:rStyle w:val="32"/>
        </w:rPr>
        <w:t>组织举办、参与省市重大招商引资平台活动。</w:t>
      </w:r>
      <w:r>
        <w:rPr>
          <w:rFonts w:eastAsia="仿宋_GB2312" w:hint="eastAsia"/>
          <w:kern w:val="0"/>
          <w:sz w:val="32"/>
          <w:szCs w:val="32"/>
        </w:rPr>
        <w:t>二是</w:t>
      </w:r>
      <w:r>
        <w:rPr>
          <w:rStyle w:val="32"/>
        </w:rPr>
        <w:t>全市重点产业和优势项目推介、客商考察对接、项目磋商洽谈和签约落地跟踪服务等活动。</w:t>
      </w:r>
      <w:r>
        <w:rPr>
          <w:rFonts w:eastAsia="仿宋_GB2312" w:hint="eastAsia"/>
          <w:kern w:val="0"/>
          <w:sz w:val="32"/>
          <w:szCs w:val="32"/>
        </w:rPr>
        <w:t>三是</w:t>
      </w:r>
      <w:r>
        <w:rPr>
          <w:rStyle w:val="32"/>
        </w:rPr>
        <w:t>赴外小分队招商活动。</w:t>
      </w:r>
      <w:r>
        <w:rPr>
          <w:rFonts w:eastAsia="仿宋_GB2312" w:hint="eastAsia"/>
          <w:kern w:val="0"/>
          <w:sz w:val="32"/>
          <w:szCs w:val="32"/>
        </w:rPr>
        <w:t>四是</w:t>
      </w:r>
      <w:r>
        <w:rPr>
          <w:rStyle w:val="32"/>
        </w:rPr>
        <w:t>专项驻点招商活动。</w:t>
      </w:r>
      <w:r>
        <w:rPr>
          <w:rFonts w:eastAsia="仿宋_GB2312" w:hint="eastAsia"/>
          <w:kern w:val="0"/>
          <w:sz w:val="32"/>
          <w:szCs w:val="32"/>
        </w:rPr>
        <w:t>五是</w:t>
      </w:r>
      <w:r>
        <w:rPr>
          <w:rStyle w:val="32"/>
        </w:rPr>
        <w:t>招商引资产业研究分析，项目收集、筛选、包装宣传制作，以及新媒体宣传等招商引资宣传工作。</w:t>
      </w:r>
      <w:r>
        <w:rPr>
          <w:rFonts w:eastAsia="仿宋_GB2312" w:hint="eastAsia"/>
          <w:kern w:val="0"/>
          <w:sz w:val="32"/>
          <w:szCs w:val="32"/>
        </w:rPr>
        <w:t>六是</w:t>
      </w:r>
      <w:r>
        <w:rPr>
          <w:rStyle w:val="32"/>
        </w:rPr>
        <w:t>购买专业招商服务，包括委托招商、代理招商、联合招商、以商（企）招商、聘请招商（法律）顾问、代办服务、招标代理机构等。</w:t>
      </w:r>
      <w:r>
        <w:rPr>
          <w:rFonts w:eastAsia="仿宋_GB2312" w:hint="eastAsia"/>
          <w:kern w:val="0"/>
          <w:sz w:val="32"/>
          <w:szCs w:val="32"/>
        </w:rPr>
        <w:t>七是</w:t>
      </w:r>
      <w:r>
        <w:rPr>
          <w:rStyle w:val="32"/>
        </w:rPr>
        <w:t>招商引资信息化建设及日常运维管理等。</w:t>
      </w:r>
      <w:r>
        <w:rPr>
          <w:rFonts w:eastAsia="仿宋_GB2312" w:hint="eastAsia"/>
          <w:kern w:val="0"/>
          <w:sz w:val="32"/>
          <w:szCs w:val="32"/>
        </w:rPr>
        <w:t>八是</w:t>
      </w:r>
      <w:r>
        <w:rPr>
          <w:rStyle w:val="32"/>
        </w:rPr>
        <w:t>省、市组织的各类招商引资专项培训活动。</w:t>
      </w:r>
      <w:r>
        <w:rPr>
          <w:rFonts w:eastAsia="仿宋_GB2312" w:hint="eastAsia"/>
          <w:kern w:val="0"/>
          <w:sz w:val="32"/>
          <w:szCs w:val="32"/>
        </w:rPr>
        <w:t>九是</w:t>
      </w:r>
      <w:r>
        <w:rPr>
          <w:rStyle w:val="32"/>
        </w:rPr>
        <w:t>市级产业招商牵头部门产业招商专项工作。</w:t>
      </w:r>
      <w:r>
        <w:rPr>
          <w:rFonts w:eastAsia="仿宋_GB2312" w:hint="eastAsia"/>
          <w:kern w:val="0"/>
          <w:sz w:val="32"/>
          <w:szCs w:val="32"/>
        </w:rPr>
        <w:t>十是</w:t>
      </w:r>
      <w:r>
        <w:rPr>
          <w:rStyle w:val="32"/>
        </w:rPr>
        <w:t>省委、省政府和市委、市政府确定的其他经济合作、招商引资相关工作。攀枝花市</w:t>
      </w:r>
      <w:r>
        <w:rPr>
          <w:rFonts w:eastAsia="仿宋_GB2312" w:hint="eastAsia"/>
          <w:kern w:val="0"/>
          <w:sz w:val="32"/>
          <w:szCs w:val="32"/>
        </w:rPr>
        <w:t>招商引资专项工作经费主要</w:t>
      </w:r>
      <w:r>
        <w:rPr>
          <w:rFonts w:ascii="仿宋_GB2312" w:eastAsia="仿宋_GB2312" w:hint="eastAsia"/>
          <w:sz w:val="32"/>
          <w:szCs w:val="32"/>
        </w:rPr>
        <w:t>以市级财政拨款方式予支持。</w:t>
      </w:r>
    </w:p>
    <w:p>
      <w:pPr>
        <w:autoSpaceDE w:val="0"/>
        <w:autoSpaceDN w:val="0"/>
        <w:adjustRightInd w:val="0"/>
        <w:spacing w:line="560" w:lineRule="exact"/>
        <w:ind w:firstLineChars="200" w:firstLine="640"/>
        <w:jc w:val="left"/>
        <w:rPr>
          <w:rFonts w:ascii="仿宋_GB2312" w:eastAsia="仿宋_GB2312"/>
          <w:sz w:val="32"/>
          <w:szCs w:val="32"/>
          <w:lang w:val="zh-CN"/>
        </w:rPr>
      </w:pPr>
      <w:r>
        <w:rPr>
          <w:rFonts w:ascii="仿宋_GB2312" w:eastAsia="仿宋_GB2312" w:hint="eastAsia"/>
          <w:sz w:val="32"/>
          <w:szCs w:val="32"/>
          <w:lang w:val="zh-CN"/>
        </w:rPr>
        <w:t>4．资金分配的原则及考虑因素。</w:t>
      </w:r>
    </w:p>
    <w:p>
      <w:pPr>
        <w:widowControl/>
        <w:shd w:val="clear" w:color="auto" w:fill="FFFFFF"/>
        <w:overflowPunct w:val="0"/>
        <w:spacing w:line="560" w:lineRule="exact"/>
        <w:ind w:firstLineChars="196" w:firstLine="627"/>
        <w:rPr>
          <w:rFonts w:eastAsia="仿宋_GB2312"/>
          <w:kern w:val="0"/>
          <w:sz w:val="32"/>
          <w:szCs w:val="32"/>
        </w:rPr>
      </w:pPr>
      <w:r>
        <w:rPr>
          <w:rFonts w:eastAsia="仿宋_GB2312" w:hint="eastAsia"/>
          <w:kern w:val="0"/>
          <w:sz w:val="32"/>
          <w:szCs w:val="32"/>
        </w:rPr>
        <w:t>招商引资专项工作经费分配遵循</w:t>
      </w:r>
      <w:r>
        <w:rPr>
          <w:rFonts w:eastAsia="仿宋_GB2312"/>
          <w:kern w:val="0"/>
          <w:sz w:val="32"/>
          <w:szCs w:val="32"/>
        </w:rPr>
        <w:t>规范管理</w:t>
      </w:r>
      <w:r>
        <w:rPr>
          <w:rFonts w:eastAsia="仿宋_GB2312" w:hint="eastAsia"/>
          <w:kern w:val="0"/>
          <w:sz w:val="32"/>
          <w:szCs w:val="32"/>
        </w:rPr>
        <w:t>、</w:t>
      </w:r>
      <w:r>
        <w:rPr>
          <w:rFonts w:eastAsia="仿宋_GB2312"/>
          <w:kern w:val="0"/>
          <w:sz w:val="32"/>
          <w:szCs w:val="32"/>
        </w:rPr>
        <w:t>保障重点</w:t>
      </w:r>
      <w:r>
        <w:rPr>
          <w:rFonts w:eastAsia="仿宋_GB2312" w:hint="eastAsia"/>
          <w:kern w:val="0"/>
          <w:sz w:val="32"/>
          <w:szCs w:val="32"/>
        </w:rPr>
        <w:t>、</w:t>
      </w:r>
      <w:r>
        <w:rPr>
          <w:rFonts w:eastAsia="仿宋_GB2312"/>
          <w:kern w:val="0"/>
          <w:sz w:val="32"/>
          <w:szCs w:val="32"/>
        </w:rPr>
        <w:t>注重绩效原则。</w:t>
      </w:r>
      <w:r>
        <w:rPr>
          <w:rFonts w:eastAsia="仿宋_GB2312" w:hint="eastAsia"/>
          <w:kern w:val="0"/>
          <w:sz w:val="32"/>
          <w:szCs w:val="32"/>
        </w:rPr>
        <w:t>根据全市招商引资工作计划与实际开展资金保障需求、招商引资工作实绩时效、当前经济社会发展需要及市级财力等因素</w:t>
      </w:r>
      <w:r>
        <w:rPr>
          <w:rFonts w:eastAsia="仿宋_GB2312"/>
          <w:kern w:val="0"/>
          <w:sz w:val="32"/>
          <w:szCs w:val="32"/>
        </w:rPr>
        <w:t>据实审核</w:t>
      </w:r>
      <w:r>
        <w:rPr>
          <w:rFonts w:eastAsia="仿宋_GB2312" w:hint="eastAsia"/>
          <w:kern w:val="0"/>
          <w:sz w:val="32"/>
          <w:szCs w:val="32"/>
        </w:rPr>
        <w:t>分配</w:t>
      </w:r>
      <w:r>
        <w:rPr>
          <w:rFonts w:eastAsia="仿宋_GB2312"/>
          <w:kern w:val="0"/>
          <w:sz w:val="32"/>
          <w:szCs w:val="32"/>
        </w:rPr>
        <w:t>下达</w:t>
      </w:r>
      <w:r>
        <w:rPr>
          <w:rFonts w:eastAsia="仿宋_GB2312" w:hint="eastAsia"/>
          <w:kern w:val="0"/>
          <w:sz w:val="32"/>
          <w:szCs w:val="32"/>
        </w:rPr>
        <w:t>资金。</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（二）项目绩效目标。</w:t>
      </w:r>
    </w:p>
    <w:p>
      <w:pPr>
        <w:adjustRightInd w:val="0"/>
        <w:snapToGrid w:val="0"/>
        <w:spacing w:line="560" w:lineRule="exact"/>
        <w:ind w:firstLine="720"/>
        <w:rPr>
          <w:rFonts w:ascii="仿宋_GB2312" w:eastAsia="仿宋_GB2312"/>
          <w:sz w:val="32"/>
          <w:szCs w:val="32"/>
          <w:lang w:val="zh-CN"/>
        </w:rPr>
      </w:pPr>
      <w:r>
        <w:rPr>
          <w:rFonts w:ascii="仿宋_GB2312" w:eastAsia="仿宋_GB2312" w:hint="eastAsia"/>
          <w:sz w:val="32"/>
          <w:szCs w:val="32"/>
          <w:lang w:val="zh-CN"/>
        </w:rPr>
        <w:t>1．项目主要内容。</w:t>
      </w:r>
      <w:r>
        <w:rPr>
          <w:rFonts w:eastAsia="仿宋_GB2312" w:hint="eastAsia"/>
          <w:kern w:val="0"/>
          <w:sz w:val="32"/>
          <w:szCs w:val="32"/>
        </w:rPr>
        <w:t>一是</w:t>
      </w:r>
      <w:r>
        <w:rPr>
          <w:rStyle w:val="32"/>
        </w:rPr>
        <w:t>组织举办、参与省市重大招商引资平台活动。</w:t>
      </w:r>
      <w:r>
        <w:rPr>
          <w:rFonts w:eastAsia="仿宋_GB2312" w:hint="eastAsia"/>
          <w:kern w:val="0"/>
          <w:sz w:val="32"/>
          <w:szCs w:val="32"/>
        </w:rPr>
        <w:t>二是</w:t>
      </w:r>
      <w:r>
        <w:rPr>
          <w:rStyle w:val="32"/>
        </w:rPr>
        <w:t>全市重点产业和优势项目推介、客商考察对接、项目磋商洽谈和签约落地跟踪服务等活动。</w:t>
      </w:r>
      <w:r>
        <w:rPr>
          <w:rFonts w:eastAsia="仿宋_GB2312" w:hint="eastAsia"/>
          <w:kern w:val="0"/>
          <w:sz w:val="32"/>
          <w:szCs w:val="32"/>
        </w:rPr>
        <w:t>三是</w:t>
      </w:r>
      <w:r>
        <w:rPr>
          <w:rStyle w:val="32"/>
        </w:rPr>
        <w:t>赴外小分队招商活动。</w:t>
      </w:r>
      <w:r>
        <w:rPr>
          <w:rFonts w:eastAsia="仿宋_GB2312" w:hint="eastAsia"/>
          <w:kern w:val="0"/>
          <w:sz w:val="32"/>
          <w:szCs w:val="32"/>
        </w:rPr>
        <w:t>四是</w:t>
      </w:r>
      <w:r>
        <w:rPr>
          <w:rStyle w:val="32"/>
        </w:rPr>
        <w:t>专项驻点招商活动。</w:t>
      </w:r>
      <w:r>
        <w:rPr>
          <w:rFonts w:eastAsia="仿宋_GB2312" w:hint="eastAsia"/>
          <w:kern w:val="0"/>
          <w:sz w:val="32"/>
          <w:szCs w:val="32"/>
        </w:rPr>
        <w:t>五是</w:t>
      </w:r>
      <w:r>
        <w:rPr>
          <w:rStyle w:val="32"/>
        </w:rPr>
        <w:t>招商引资产业研究分析，项目收集、筛选、包装宣传制作，以及新媒体宣传等招商引资宣传工作。</w:t>
      </w:r>
      <w:r>
        <w:rPr>
          <w:rFonts w:eastAsia="仿宋_GB2312" w:hint="eastAsia"/>
          <w:kern w:val="0"/>
          <w:sz w:val="32"/>
          <w:szCs w:val="32"/>
        </w:rPr>
        <w:t>六是</w:t>
      </w:r>
      <w:r>
        <w:rPr>
          <w:rStyle w:val="32"/>
        </w:rPr>
        <w:t>购买专业招商服务，包括委托招商、代理招商、联合招商、以商（企）招商、聘请招商（法律）顾问、代办服务、招标代理机构等。</w:t>
      </w:r>
      <w:r>
        <w:rPr>
          <w:rFonts w:eastAsia="仿宋_GB2312" w:hint="eastAsia"/>
          <w:kern w:val="0"/>
          <w:sz w:val="32"/>
          <w:szCs w:val="32"/>
        </w:rPr>
        <w:t>七是</w:t>
      </w:r>
      <w:r>
        <w:rPr>
          <w:rStyle w:val="32"/>
        </w:rPr>
        <w:t>招商引资信息化建设及日常运维管理等。</w:t>
      </w:r>
      <w:r>
        <w:rPr>
          <w:rFonts w:eastAsia="仿宋_GB2312" w:hint="eastAsia"/>
          <w:kern w:val="0"/>
          <w:sz w:val="32"/>
          <w:szCs w:val="32"/>
        </w:rPr>
        <w:t>八是</w:t>
      </w:r>
      <w:r>
        <w:rPr>
          <w:rStyle w:val="32"/>
        </w:rPr>
        <w:t>市级产业招商牵头部门产业招商专项工作。</w:t>
      </w:r>
    </w:p>
    <w:p>
      <w:pPr>
        <w:autoSpaceDE w:val="0"/>
        <w:autoSpaceDN w:val="0"/>
        <w:adjustRightInd w:val="0"/>
        <w:spacing w:line="560" w:lineRule="exact"/>
        <w:ind w:firstLineChars="200" w:firstLine="640"/>
        <w:jc w:val="left"/>
        <w:rPr>
          <w:rFonts w:eastAsia="仿宋_GB2312"/>
          <w:kern w:val="0"/>
          <w:sz w:val="32"/>
          <w:szCs w:val="32"/>
        </w:rPr>
      </w:pPr>
      <w:r>
        <w:rPr>
          <w:rFonts w:ascii="仿宋_GB2312" w:eastAsia="仿宋_GB2312" w:hint="eastAsia"/>
          <w:sz w:val="32"/>
          <w:szCs w:val="32"/>
          <w:lang w:val="zh-CN"/>
        </w:rPr>
        <w:t>2．</w:t>
      </w:r>
      <w:r>
        <w:rPr>
          <w:rFonts w:ascii="仿宋_GB2312" w:eastAsia="仿宋_GB2312" w:cs="仿宋_GB2312" w:hint="eastAsia"/>
          <w:sz w:val="32"/>
          <w:szCs w:val="32"/>
        </w:rPr>
        <w:t>根据</w:t>
      </w:r>
      <w:r>
        <w:rPr>
          <w:rFonts w:ascii="仿宋_GB2312" w:eastAsia="仿宋_GB2312"/>
          <w:sz w:val="32"/>
          <w:szCs w:val="32"/>
        </w:rPr>
        <w:t>年度目标任务</w:t>
      </w:r>
      <w:r>
        <w:rPr>
          <w:rFonts w:ascii="仿宋_GB2312" w:eastAsia="仿宋_GB2312" w:hint="eastAsia"/>
          <w:sz w:val="32"/>
          <w:szCs w:val="32"/>
        </w:rPr>
        <w:t>，结合招商引资工作实际及当前经济社会发展需要合理制定绩效目标。</w:t>
      </w:r>
      <w:r>
        <w:rPr>
          <w:rFonts w:ascii="仿宋_GB2312" w:eastAsia="仿宋_GB2312" w:hint="eastAsia"/>
          <w:sz w:val="32"/>
          <w:szCs w:val="32"/>
          <w:lang w:val="zh-CN"/>
        </w:rPr>
        <w:t>项目应实现的具体绩效</w:t>
      </w:r>
      <w:r>
        <w:rPr>
          <w:rFonts w:eastAsia="仿宋_GB2312" w:hint="eastAsia"/>
          <w:kern w:val="0"/>
          <w:sz w:val="32"/>
          <w:szCs w:val="32"/>
        </w:rPr>
        <w:t>按数量指标、质量指标、时效指标、成本指标、经济效益指标、可持续影响指标、满意度指标来设定年度指标值，做到</w:t>
      </w:r>
      <w:r>
        <w:rPr>
          <w:rFonts w:ascii="仿宋_GB2312" w:eastAsia="仿宋_GB2312" w:hint="eastAsia"/>
          <w:sz w:val="32"/>
          <w:szCs w:val="32"/>
          <w:lang w:val="zh-CN"/>
        </w:rPr>
        <w:t>目标</w:t>
      </w:r>
      <w:r>
        <w:rPr>
          <w:rFonts w:ascii="仿宋_GB2312" w:eastAsia="仿宋_GB2312" w:hint="eastAsia"/>
          <w:sz w:val="32"/>
          <w:szCs w:val="32"/>
        </w:rPr>
        <w:t>内容明确，目标细化、目标量化</w:t>
      </w:r>
      <w:r>
        <w:rPr>
          <w:rFonts w:eastAsia="仿宋_GB2312" w:hint="eastAsia"/>
          <w:kern w:val="0"/>
          <w:sz w:val="32"/>
          <w:szCs w:val="32"/>
        </w:rPr>
        <w:t>。</w:t>
      </w:r>
      <w:r>
        <w:rPr>
          <w:rFonts w:eastAsia="仿宋_GB2312"/>
          <w:kern w:val="0"/>
          <w:sz w:val="32"/>
          <w:szCs w:val="32"/>
        </w:rPr>
        <w:t>项目实施</w:t>
      </w:r>
      <w:r>
        <w:rPr>
          <w:rFonts w:ascii="仿宋_GB2312" w:eastAsia="仿宋_GB2312" w:hint="eastAsia"/>
          <w:sz w:val="32"/>
          <w:szCs w:val="32"/>
        </w:rPr>
        <w:t>进度计划明确，具体</w:t>
      </w:r>
      <w:r>
        <w:rPr>
          <w:rFonts w:eastAsia="仿宋_GB2312" w:hint="eastAsia"/>
          <w:kern w:val="0"/>
          <w:sz w:val="32"/>
          <w:szCs w:val="32"/>
        </w:rPr>
        <w:t>按2021年度招商引资工作</w:t>
      </w:r>
      <w:r>
        <w:rPr>
          <w:rFonts w:eastAsia="仿宋_GB2312"/>
          <w:kern w:val="0"/>
          <w:sz w:val="32"/>
          <w:szCs w:val="32"/>
        </w:rPr>
        <w:t>计划</w:t>
      </w:r>
      <w:r>
        <w:rPr>
          <w:rFonts w:eastAsia="仿宋_GB2312" w:hint="eastAsia"/>
          <w:kern w:val="0"/>
          <w:sz w:val="32"/>
          <w:szCs w:val="32"/>
        </w:rPr>
        <w:t>安排执行</w:t>
      </w:r>
      <w:r>
        <w:rPr>
          <w:rFonts w:ascii="仿宋_GB2312" w:eastAsia="仿宋_GB2312" w:hint="eastAsia"/>
          <w:sz w:val="32"/>
          <w:szCs w:val="32"/>
        </w:rPr>
        <w:t>。</w:t>
      </w:r>
    </w:p>
    <w:p>
      <w:pPr>
        <w:adjustRightInd w:val="0"/>
        <w:snapToGrid w:val="0"/>
        <w:spacing w:line="560" w:lineRule="exact"/>
        <w:ind w:firstLine="720"/>
        <w:rPr>
          <w:rFonts w:ascii="仿宋_GB2312" w:eastAsia="仿宋_GB2312"/>
          <w:sz w:val="32"/>
          <w:szCs w:val="32"/>
          <w:lang w:val="zh-CN"/>
        </w:rPr>
      </w:pPr>
      <w:r>
        <w:rPr>
          <w:rFonts w:ascii="仿宋_GB2312" w:eastAsia="仿宋_GB2312" w:hint="eastAsia"/>
          <w:sz w:val="32"/>
          <w:szCs w:val="32"/>
          <w:lang w:val="zh-CN"/>
        </w:rPr>
        <w:t>3.</w:t>
      </w:r>
      <w:r>
        <w:rPr>
          <w:rFonts w:ascii="仿宋_GB2312" w:eastAsia="仿宋_GB2312" w:hint="eastAsia"/>
          <w:sz w:val="32"/>
          <w:szCs w:val="32"/>
        </w:rPr>
        <w:t>从整体情况看，</w:t>
      </w:r>
      <w:r>
        <w:rPr>
          <w:rFonts w:eastAsia="仿宋_GB2312" w:hint="eastAsia"/>
          <w:sz w:val="32"/>
          <w:szCs w:val="32"/>
          <w:lang w:val="zh-CN"/>
        </w:rPr>
        <w:t>申报</w:t>
      </w:r>
      <w:r>
        <w:rPr>
          <w:rFonts w:ascii="仿宋_GB2312" w:eastAsia="仿宋_GB2312" w:hint="eastAsia"/>
          <w:sz w:val="32"/>
          <w:szCs w:val="32"/>
        </w:rPr>
        <w:t>项目</w:t>
      </w:r>
      <w:r>
        <w:rPr>
          <w:rFonts w:eastAsia="仿宋_GB2312"/>
          <w:kern w:val="0"/>
          <w:sz w:val="32"/>
          <w:szCs w:val="32"/>
        </w:rPr>
        <w:t>绩效</w:t>
      </w:r>
      <w:r>
        <w:rPr>
          <w:rFonts w:ascii="仿宋_GB2312" w:eastAsia="仿宋_GB2312" w:hint="eastAsia"/>
          <w:sz w:val="32"/>
          <w:szCs w:val="32"/>
        </w:rPr>
        <w:t>目标内容</w:t>
      </w:r>
      <w:r>
        <w:rPr>
          <w:rFonts w:eastAsia="仿宋_GB2312" w:hint="eastAsia"/>
          <w:sz w:val="32"/>
          <w:szCs w:val="32"/>
          <w:lang w:val="zh-CN"/>
        </w:rPr>
        <w:t>与实际相符</w:t>
      </w:r>
      <w:r>
        <w:rPr>
          <w:rFonts w:ascii="仿宋_GB2312" w:eastAsia="仿宋_GB2312" w:hint="eastAsia"/>
          <w:sz w:val="32"/>
          <w:szCs w:val="32"/>
        </w:rPr>
        <w:t>，</w:t>
      </w:r>
      <w:r>
        <w:rPr>
          <w:rFonts w:eastAsia="仿宋_GB2312" w:hint="eastAsia"/>
          <w:sz w:val="32"/>
          <w:szCs w:val="32"/>
          <w:lang w:val="zh-CN"/>
        </w:rPr>
        <w:t>申报目标合理可行。</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（三）项目自评步骤及方法。</w:t>
      </w:r>
    </w:p>
    <w:p>
      <w:pPr>
        <w:adjustRightInd w:val="0"/>
        <w:snapToGrid w:val="0"/>
        <w:spacing w:line="560" w:lineRule="exact"/>
        <w:ind w:firstLine="720"/>
        <w:rPr>
          <w:rFonts w:ascii="仿宋_GB2312" w:eastAsia="仿宋_GB2312"/>
          <w:sz w:val="32"/>
          <w:szCs w:val="32"/>
        </w:rPr>
      </w:pPr>
      <w:r>
        <w:rPr>
          <w:rFonts w:ascii="仿宋_GB2312" w:eastAsia="仿宋_GB2312" w:hint="eastAsia"/>
          <w:sz w:val="32"/>
          <w:szCs w:val="32"/>
        </w:rPr>
        <w:t>组织各相关业务科室分别开展自评，汇总全局全年招商引资工作完成量及取得实绩时效结合相关支出情况等，对2021年招商引资专项工作经费项目进行绩效自评。</w:t>
      </w:r>
    </w:p>
    <w:p>
      <w:pPr>
        <w:adjustRightInd w:val="0"/>
        <w:snapToGrid w:val="0"/>
        <w:spacing w:line="560" w:lineRule="exact"/>
        <w:ind w:firstLine="720"/>
        <w:rPr>
          <w:rFonts w:ascii="黑体" w:eastAsia="黑体"/>
          <w:sz w:val="32"/>
          <w:szCs w:val="32"/>
        </w:rPr>
      </w:pPr>
      <w:r>
        <w:rPr>
          <w:rFonts w:ascii="黑体" w:eastAsia="黑体" w:hint="eastAsia"/>
          <w:sz w:val="32"/>
          <w:szCs w:val="32"/>
        </w:rPr>
        <w:t>二、项目资金申报及使用情况</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（一）项目资金申报及批复情况。</w:t>
      </w:r>
    </w:p>
    <w:p>
      <w:pPr>
        <w:autoSpaceDE w:val="0"/>
        <w:autoSpaceDN w:val="0"/>
        <w:adjustRightInd w:val="0"/>
        <w:spacing w:line="560" w:lineRule="exact"/>
        <w:ind w:firstLineChars="200" w:firstLine="640"/>
        <w:jc w:val="left"/>
        <w:rPr>
          <w:rFonts w:eastAsia="仿宋_GB2312"/>
          <w:kern w:val="0"/>
          <w:sz w:val="32"/>
          <w:szCs w:val="32"/>
        </w:rPr>
      </w:pPr>
      <w:r>
        <w:rPr>
          <w:rFonts w:ascii="仿宋_GB2312" w:eastAsia="仿宋_GB2312" w:cs="仿宋_GB2312" w:hint="eastAsia"/>
          <w:kern w:val="0"/>
          <w:sz w:val="32"/>
          <w:szCs w:val="32"/>
        </w:rPr>
        <w:t>项目</w:t>
      </w:r>
      <w:r>
        <w:rPr>
          <w:rFonts w:eastAsia="仿宋_GB2312"/>
          <w:kern w:val="0"/>
          <w:sz w:val="32"/>
          <w:szCs w:val="32"/>
        </w:rPr>
        <w:t>资金</w:t>
      </w:r>
      <w:r>
        <w:rPr>
          <w:rFonts w:eastAsia="仿宋_GB2312" w:hint="eastAsia"/>
          <w:kern w:val="0"/>
          <w:sz w:val="32"/>
          <w:szCs w:val="32"/>
        </w:rPr>
        <w:t>（</w:t>
      </w:r>
      <w:r>
        <w:rPr>
          <w:rFonts w:ascii="仿宋_GB2312" w:eastAsia="仿宋_GB2312" w:cs="仿宋_GB2312" w:hint="eastAsia"/>
          <w:kern w:val="0"/>
          <w:sz w:val="32"/>
          <w:szCs w:val="32"/>
        </w:rPr>
        <w:t>招商引资专项工作经费</w:t>
      </w:r>
      <w:r>
        <w:rPr>
          <w:rFonts w:eastAsia="仿宋_GB2312" w:hint="eastAsia"/>
          <w:kern w:val="0"/>
          <w:sz w:val="32"/>
          <w:szCs w:val="32"/>
        </w:rPr>
        <w:t>）未纳入我单位2021年年初预算批复，年度执行中严格按照</w:t>
      </w:r>
      <w:r>
        <w:rPr>
          <w:rFonts w:eastAsia="仿宋_GB2312"/>
          <w:kern w:val="0"/>
          <w:sz w:val="32"/>
          <w:szCs w:val="32"/>
        </w:rPr>
        <w:t>预算调整</w:t>
      </w:r>
      <w:r>
        <w:rPr>
          <w:rFonts w:eastAsia="仿宋_GB2312" w:hint="eastAsia"/>
          <w:kern w:val="0"/>
          <w:sz w:val="32"/>
          <w:szCs w:val="32"/>
        </w:rPr>
        <w:t>相关程序，以追加方式分两批次进行</w:t>
      </w:r>
      <w:r>
        <w:rPr>
          <w:rFonts w:eastAsia="仿宋_GB2312"/>
          <w:kern w:val="0"/>
          <w:sz w:val="32"/>
          <w:szCs w:val="32"/>
        </w:rPr>
        <w:t>申报</w:t>
      </w:r>
      <w:r>
        <w:rPr>
          <w:rFonts w:eastAsia="仿宋_GB2312" w:hint="eastAsia"/>
          <w:kern w:val="0"/>
          <w:sz w:val="32"/>
          <w:szCs w:val="32"/>
        </w:rPr>
        <w:t>，财政据实审核后批复下达。</w:t>
      </w:r>
    </w:p>
    <w:p>
      <w:pPr>
        <w:adjustRightInd w:val="0"/>
        <w:snapToGrid w:val="0"/>
        <w:spacing w:line="560" w:lineRule="exact"/>
        <w:ind w:firstLine="720"/>
        <w:rPr>
          <w:rFonts w:ascii="仿宋_GB2312" w:eastAsia="仿宋_GB2312"/>
          <w:sz w:val="32"/>
          <w:szCs w:val="32"/>
          <w:lang w:val="zh-CN"/>
        </w:rPr>
      </w:pPr>
      <w:r>
        <w:rPr>
          <w:rFonts w:ascii="楷体_GB2312" w:eastAsia="楷体_GB2312" w:hint="eastAsia"/>
          <w:b/>
          <w:sz w:val="32"/>
          <w:szCs w:val="32"/>
          <w:lang w:val="zh-CN"/>
        </w:rPr>
        <w:t>（二）资金计划、到位及使用情况。</w:t>
      </w:r>
    </w:p>
    <w:p>
      <w:pPr>
        <w:autoSpaceDE w:val="0"/>
        <w:autoSpaceDN w:val="0"/>
        <w:adjustRightInd w:val="0"/>
        <w:spacing w:line="560" w:lineRule="exact"/>
        <w:ind w:firstLineChars="200" w:firstLine="640"/>
        <w:jc w:val="left"/>
        <w:rPr>
          <w:rFonts w:eastAsia="仿宋_GB2312"/>
          <w:kern w:val="0"/>
          <w:sz w:val="32"/>
          <w:szCs w:val="32"/>
        </w:rPr>
      </w:pPr>
      <w:r>
        <w:rPr>
          <w:rFonts w:eastAsia="楷体_GB2312"/>
          <w:kern w:val="0"/>
          <w:sz w:val="32"/>
          <w:szCs w:val="32"/>
        </w:rPr>
        <w:t>1．资金计划。</w:t>
      </w:r>
      <w:r>
        <w:rPr>
          <w:rFonts w:eastAsia="仿宋_GB2312" w:hint="eastAsia"/>
          <w:kern w:val="0"/>
          <w:sz w:val="32"/>
          <w:szCs w:val="32"/>
        </w:rPr>
        <w:t>2021年由</w:t>
      </w:r>
      <w:r>
        <w:rPr>
          <w:rFonts w:eastAsia="仿宋_GB2312"/>
          <w:kern w:val="0"/>
          <w:sz w:val="32"/>
          <w:szCs w:val="32"/>
        </w:rPr>
        <w:t>市</w:t>
      </w:r>
      <w:r>
        <w:rPr>
          <w:rFonts w:eastAsia="仿宋_GB2312" w:hint="eastAsia"/>
          <w:kern w:val="0"/>
          <w:sz w:val="32"/>
          <w:szCs w:val="32"/>
        </w:rPr>
        <w:t>级</w:t>
      </w:r>
      <w:r>
        <w:rPr>
          <w:rFonts w:eastAsia="仿宋_GB2312"/>
          <w:kern w:val="0"/>
          <w:sz w:val="32"/>
          <w:szCs w:val="32"/>
        </w:rPr>
        <w:t>财政</w:t>
      </w:r>
      <w:r>
        <w:rPr>
          <w:rFonts w:eastAsia="仿宋_GB2312" w:hint="eastAsia"/>
          <w:kern w:val="0"/>
          <w:sz w:val="32"/>
          <w:szCs w:val="32"/>
        </w:rPr>
        <w:t>资金安排我单位</w:t>
      </w:r>
      <w:r>
        <w:rPr>
          <w:rFonts w:ascii="仿宋_GB2312" w:eastAsia="仿宋_GB2312" w:hint="eastAsia"/>
          <w:sz w:val="32"/>
          <w:szCs w:val="32"/>
        </w:rPr>
        <w:t>招商引资专项工作经费</w:t>
      </w:r>
      <w:r>
        <w:rPr>
          <w:rFonts w:eastAsia="仿宋_GB2312"/>
          <w:kern w:val="0"/>
          <w:sz w:val="32"/>
          <w:szCs w:val="32"/>
        </w:rPr>
        <w:t>项目资金计划</w:t>
      </w:r>
      <w:r>
        <w:rPr>
          <w:rFonts w:eastAsia="仿宋_GB2312" w:hint="eastAsia"/>
          <w:kern w:val="0"/>
          <w:sz w:val="32"/>
          <w:szCs w:val="32"/>
        </w:rPr>
        <w:t>434.95万元（不包括全市其他部门安排</w:t>
      </w:r>
      <w:r>
        <w:rPr>
          <w:rFonts w:ascii="仿宋_GB2312" w:eastAsia="仿宋_GB2312" w:hint="eastAsia"/>
          <w:sz w:val="32"/>
          <w:szCs w:val="32"/>
        </w:rPr>
        <w:t>招商引资经费</w:t>
      </w:r>
      <w:r>
        <w:rPr>
          <w:rFonts w:eastAsia="仿宋_GB2312" w:hint="eastAsia"/>
          <w:kern w:val="0"/>
          <w:sz w:val="32"/>
          <w:szCs w:val="32"/>
        </w:rPr>
        <w:t>）。</w:t>
      </w:r>
    </w:p>
    <w:p>
      <w:pPr>
        <w:autoSpaceDE w:val="0"/>
        <w:autoSpaceDN w:val="0"/>
        <w:adjustRightInd w:val="0"/>
        <w:spacing w:line="560" w:lineRule="exact"/>
        <w:ind w:firstLineChars="200" w:firstLine="640"/>
        <w:jc w:val="left"/>
        <w:rPr>
          <w:rFonts w:eastAsia="仿宋_GB2312"/>
          <w:color w:val="FF0000"/>
          <w:kern w:val="0"/>
          <w:sz w:val="32"/>
          <w:szCs w:val="32"/>
        </w:rPr>
      </w:pPr>
      <w:r>
        <w:rPr>
          <w:rFonts w:eastAsia="楷体_GB2312"/>
          <w:kern w:val="0"/>
          <w:sz w:val="32"/>
          <w:szCs w:val="32"/>
        </w:rPr>
        <w:t>2．资金到位。</w:t>
      </w:r>
      <w:r>
        <w:rPr>
          <w:rFonts w:eastAsia="仿宋_GB2312" w:hint="eastAsia"/>
          <w:kern w:val="0"/>
          <w:sz w:val="32"/>
          <w:szCs w:val="32"/>
        </w:rPr>
        <w:t>2021年我单位</w:t>
      </w:r>
      <w:r>
        <w:rPr>
          <w:rFonts w:ascii="仿宋_GB2312" w:eastAsia="仿宋_GB2312" w:hint="eastAsia"/>
          <w:sz w:val="32"/>
          <w:szCs w:val="32"/>
        </w:rPr>
        <w:t>招商引资专项工作经费</w:t>
      </w:r>
      <w:r>
        <w:rPr>
          <w:rFonts w:eastAsia="仿宋_GB2312"/>
          <w:kern w:val="0"/>
          <w:sz w:val="32"/>
          <w:szCs w:val="32"/>
        </w:rPr>
        <w:t>项目</w:t>
      </w:r>
      <w:r>
        <w:rPr>
          <w:rFonts w:ascii="仿宋_GB2312" w:eastAsia="仿宋_GB2312" w:cs="仿宋_GB2312" w:hint="eastAsia"/>
          <w:kern w:val="0"/>
          <w:sz w:val="32"/>
          <w:szCs w:val="32"/>
        </w:rPr>
        <w:t>实际到位资金</w:t>
      </w:r>
      <w:r>
        <w:rPr>
          <w:rFonts w:eastAsia="仿宋_GB2312" w:hint="eastAsia"/>
          <w:kern w:val="0"/>
          <w:sz w:val="32"/>
          <w:szCs w:val="32"/>
        </w:rPr>
        <w:t>241.22</w:t>
      </w:r>
      <w:r>
        <w:rPr>
          <w:rFonts w:ascii="仿宋_GB2312" w:eastAsia="仿宋_GB2312" w:cs="仿宋_GB2312" w:hint="eastAsia"/>
          <w:kern w:val="0"/>
          <w:sz w:val="32"/>
          <w:szCs w:val="32"/>
        </w:rPr>
        <w:t>万元，资金到位率55.46%。因财政资金紧缺收回指标，出现部分</w:t>
      </w:r>
      <w:r>
        <w:rPr>
          <w:rFonts w:eastAsia="仿宋_GB2312"/>
          <w:kern w:val="0"/>
          <w:sz w:val="32"/>
          <w:szCs w:val="32"/>
        </w:rPr>
        <w:t>项目</w:t>
      </w:r>
      <w:r>
        <w:rPr>
          <w:rFonts w:ascii="仿宋_GB2312" w:eastAsia="仿宋_GB2312" w:cs="仿宋_GB2312" w:hint="eastAsia"/>
          <w:kern w:val="0"/>
          <w:sz w:val="32"/>
          <w:szCs w:val="32"/>
        </w:rPr>
        <w:t>资金</w:t>
      </w:r>
      <w:r>
        <w:rPr>
          <w:rFonts w:eastAsia="仿宋_GB2312"/>
          <w:kern w:val="0"/>
          <w:sz w:val="32"/>
          <w:szCs w:val="32"/>
        </w:rPr>
        <w:t>未到位</w:t>
      </w:r>
      <w:r>
        <w:rPr>
          <w:rFonts w:ascii="仿宋_GB2312" w:eastAsia="仿宋_GB2312" w:cs="仿宋_GB2312" w:hint="eastAsia"/>
          <w:kern w:val="0"/>
          <w:sz w:val="32"/>
          <w:szCs w:val="32"/>
        </w:rPr>
        <w:t>情况。</w:t>
      </w:r>
    </w:p>
    <w:p>
      <w:pPr>
        <w:autoSpaceDE w:val="0"/>
        <w:autoSpaceDN w:val="0"/>
        <w:adjustRightInd w:val="0"/>
        <w:spacing w:line="560" w:lineRule="exact"/>
        <w:ind w:firstLineChars="200" w:firstLine="640"/>
        <w:jc w:val="left"/>
        <w:rPr>
          <w:rFonts w:ascii="仿宋_GB2312" w:eastAsia="仿宋_GB2312"/>
          <w:sz w:val="32"/>
          <w:szCs w:val="32"/>
        </w:rPr>
      </w:pPr>
      <w:r>
        <w:rPr>
          <w:rFonts w:eastAsia="楷体_GB2312"/>
          <w:kern w:val="0"/>
          <w:sz w:val="32"/>
          <w:szCs w:val="32"/>
        </w:rPr>
        <w:t>3．资金使用。</w:t>
      </w:r>
      <w:r>
        <w:rPr>
          <w:rFonts w:eastAsia="仿宋_GB2312" w:hint="eastAsia"/>
          <w:kern w:val="0"/>
          <w:sz w:val="32"/>
          <w:szCs w:val="32"/>
        </w:rPr>
        <w:t>2021年我单位</w:t>
      </w:r>
      <w:r>
        <w:rPr>
          <w:rFonts w:ascii="仿宋_GB2312" w:eastAsia="仿宋_GB2312" w:hint="eastAsia"/>
          <w:sz w:val="32"/>
          <w:szCs w:val="32"/>
        </w:rPr>
        <w:t>招商引资专项工作经费</w:t>
      </w:r>
      <w:r>
        <w:rPr>
          <w:rFonts w:eastAsia="仿宋_GB2312"/>
          <w:kern w:val="0"/>
          <w:sz w:val="32"/>
          <w:szCs w:val="32"/>
        </w:rPr>
        <w:t>项目</w:t>
      </w:r>
      <w:r>
        <w:rPr>
          <w:rFonts w:eastAsia="仿宋_GB2312" w:hint="eastAsia"/>
          <w:kern w:val="0"/>
          <w:sz w:val="32"/>
          <w:szCs w:val="32"/>
        </w:rPr>
        <w:t>资金支出241.22万元。</w:t>
      </w:r>
      <w:r>
        <w:rPr>
          <w:rFonts w:eastAsia="仿宋_GB2312"/>
          <w:kern w:val="0"/>
          <w:sz w:val="32"/>
          <w:szCs w:val="32"/>
        </w:rPr>
        <w:t>资金使用</w:t>
      </w:r>
      <w:r>
        <w:rPr>
          <w:rFonts w:ascii="仿宋_GB2312" w:eastAsia="仿宋_GB2312" w:hint="eastAsia"/>
          <w:sz w:val="32"/>
          <w:szCs w:val="32"/>
        </w:rPr>
        <w:t>严格按规定</w:t>
      </w:r>
      <w:r>
        <w:rPr>
          <w:rFonts w:eastAsia="仿宋_GB2312"/>
          <w:kern w:val="0"/>
          <w:sz w:val="32"/>
          <w:szCs w:val="32"/>
        </w:rPr>
        <w:t>安全、规范</w:t>
      </w:r>
      <w:r>
        <w:rPr>
          <w:rFonts w:eastAsia="仿宋_GB2312" w:hint="eastAsia"/>
          <w:kern w:val="0"/>
          <w:sz w:val="32"/>
          <w:szCs w:val="32"/>
        </w:rPr>
        <w:t>、</w:t>
      </w:r>
      <w:r>
        <w:rPr>
          <w:rFonts w:eastAsia="仿宋_GB2312"/>
          <w:kern w:val="0"/>
          <w:sz w:val="32"/>
          <w:szCs w:val="32"/>
        </w:rPr>
        <w:t>有效</w:t>
      </w:r>
      <w:r>
        <w:rPr>
          <w:rFonts w:ascii="仿宋_GB2312" w:eastAsia="仿宋_GB2312" w:hint="eastAsia"/>
          <w:sz w:val="32"/>
          <w:szCs w:val="32"/>
        </w:rPr>
        <w:t>执行。确保专款专用，未超范围、超标准支付资金。资金</w:t>
      </w:r>
      <w:r>
        <w:rPr>
          <w:rFonts w:ascii="仿宋_GB2312" w:eastAsia="仿宋_GB2312" w:hint="eastAsia"/>
          <w:sz w:val="32"/>
          <w:szCs w:val="32"/>
          <w:lang w:val="zh-CN"/>
        </w:rPr>
        <w:t>支付进度、支付依据</w:t>
      </w:r>
      <w:r>
        <w:rPr>
          <w:rFonts w:ascii="仿宋_GB2312" w:eastAsia="仿宋_GB2312" w:hint="eastAsia"/>
          <w:sz w:val="32"/>
          <w:szCs w:val="32"/>
        </w:rPr>
        <w:t>合规合法，无超预算列支项目资金情况。</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（三）项目财务管理情况。</w:t>
      </w:r>
    </w:p>
    <w:p>
      <w:pPr>
        <w:adjustRightInd w:val="0"/>
        <w:snapToGrid w:val="0"/>
        <w:spacing w:line="560" w:lineRule="exact"/>
        <w:ind w:firstLine="720"/>
        <w:rPr>
          <w:rFonts w:eastAsia="仿宋_GB2312"/>
          <w:sz w:val="32"/>
          <w:szCs w:val="32"/>
          <w:lang w:val="zh-CN"/>
        </w:rPr>
      </w:pPr>
      <w:r>
        <w:rPr>
          <w:rFonts w:eastAsia="仿宋_GB2312" w:hint="eastAsia"/>
          <w:sz w:val="32"/>
          <w:szCs w:val="32"/>
          <w:lang w:val="zh-CN"/>
        </w:rPr>
        <w:t xml:space="preserve">财务管理制度健全，严格执行财务管理制度， </w:t>
      </w:r>
      <w:r>
        <w:rPr>
          <w:rFonts w:ascii="仿宋_GB2312" w:eastAsia="仿宋_GB2312" w:hint="eastAsia"/>
          <w:sz w:val="32"/>
          <w:szCs w:val="32"/>
          <w:lang w:val="zh-CN"/>
        </w:rPr>
        <w:t>配备专职财务人员对项目资金进行管理，</w:t>
      </w:r>
      <w:r>
        <w:rPr>
          <w:rFonts w:ascii="仿宋_GB2312" w:eastAsia="仿宋_GB2312" w:hint="eastAsia"/>
          <w:sz w:val="32"/>
          <w:szCs w:val="32"/>
        </w:rPr>
        <w:t>账务处理及时，如实反映单位财务收支情况。</w:t>
      </w:r>
      <w:r>
        <w:rPr>
          <w:rFonts w:ascii="仿宋_GB2312" w:eastAsia="仿宋_GB2312" w:hint="eastAsia"/>
          <w:sz w:val="32"/>
          <w:szCs w:val="32"/>
          <w:lang w:val="zh-CN"/>
        </w:rPr>
        <w:t>将</w:t>
      </w:r>
      <w:r>
        <w:rPr>
          <w:rFonts w:ascii="仿宋_GB2312" w:eastAsia="仿宋_GB2312" w:hint="eastAsia"/>
          <w:sz w:val="32"/>
          <w:szCs w:val="32"/>
        </w:rPr>
        <w:t>该项目资金全部纳入预决算管理，</w:t>
      </w:r>
      <w:r>
        <w:rPr>
          <w:rFonts w:ascii="仿宋_GB2312" w:eastAsia="仿宋_GB2312" w:hint="eastAsia"/>
          <w:sz w:val="32"/>
          <w:szCs w:val="32"/>
          <w:lang w:val="zh-CN"/>
        </w:rPr>
        <w:t>规范日常会计核算，正确使用会计科目，分别按功能分类科目、经济分类科目、项目内容进行辅助明细核算。财务支出手续完善，</w:t>
      </w:r>
      <w:r>
        <w:rPr>
          <w:rFonts w:ascii="仿宋_GB2312" w:eastAsia="仿宋_GB2312" w:hint="eastAsia"/>
          <w:sz w:val="32"/>
          <w:szCs w:val="32"/>
        </w:rPr>
        <w:t>收支核算做到了及时、全面、完整、准确和规范，</w:t>
      </w:r>
      <w:r>
        <w:rPr>
          <w:rFonts w:ascii="仿宋_GB2312" w:eastAsia="仿宋_GB2312" w:hint="eastAsia"/>
          <w:sz w:val="32"/>
          <w:szCs w:val="32"/>
          <w:lang w:val="zh-CN"/>
        </w:rPr>
        <w:t>保证账账相符、账实相符、账证相符。会计档案资料保存完整，各项原始记录、凭证账册、会计报表等会计资料齐备。</w:t>
      </w:r>
    </w:p>
    <w:p>
      <w:pPr>
        <w:adjustRightInd w:val="0"/>
        <w:snapToGrid w:val="0"/>
        <w:spacing w:line="560" w:lineRule="exact"/>
        <w:ind w:firstLine="720"/>
        <w:rPr>
          <w:rFonts w:ascii="黑体" w:eastAsia="黑体"/>
          <w:sz w:val="32"/>
          <w:szCs w:val="32"/>
        </w:rPr>
      </w:pPr>
      <w:r>
        <w:rPr>
          <w:rFonts w:ascii="黑体" w:eastAsia="黑体" w:hint="eastAsia"/>
          <w:sz w:val="32"/>
          <w:szCs w:val="32"/>
        </w:rPr>
        <w:t>三、项目实施及管理情况</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（一）项目组织架构及实施流程。</w:t>
      </w:r>
    </w:p>
    <w:p>
      <w:pPr>
        <w:adjustRightInd w:val="0"/>
        <w:snapToGrid w:val="0"/>
        <w:spacing w:line="560" w:lineRule="exact"/>
        <w:ind w:firstLine="720"/>
        <w:rPr>
          <w:rFonts w:ascii="楷体_GB2312" w:eastAsia="楷体_GB2312"/>
          <w:b/>
          <w:sz w:val="32"/>
          <w:szCs w:val="32"/>
          <w:lang w:val="zh-CN"/>
        </w:rPr>
      </w:pPr>
      <w:r>
        <w:rPr>
          <w:rFonts w:eastAsia="仿宋_GB2312"/>
          <w:kern w:val="0"/>
          <w:sz w:val="32"/>
          <w:szCs w:val="32"/>
        </w:rPr>
        <w:t>项目组织架构</w:t>
      </w:r>
      <w:r>
        <w:rPr>
          <w:rFonts w:eastAsia="仿宋_GB2312" w:hint="eastAsia"/>
          <w:kern w:val="0"/>
          <w:sz w:val="32"/>
          <w:szCs w:val="32"/>
        </w:rPr>
        <w:t>为重大招商平台活动、重点产业和优势项目促进、小分队招商工作、招商引资宣传工作、购买专业招商服务、驻点招商工作、招商引资信息化建设及日常运维管理、产业招商专项工作等。年初市委市政府</w:t>
      </w:r>
      <w:r>
        <w:rPr>
          <w:rFonts w:eastAsia="仿宋_GB2312"/>
          <w:kern w:val="0"/>
          <w:sz w:val="32"/>
          <w:szCs w:val="32"/>
        </w:rPr>
        <w:t>下达年度目标任务</w:t>
      </w:r>
      <w:r>
        <w:rPr>
          <w:rFonts w:eastAsia="仿宋_GB2312" w:hint="eastAsia"/>
          <w:kern w:val="0"/>
          <w:sz w:val="32"/>
          <w:szCs w:val="32"/>
        </w:rPr>
        <w:t>，再细化分解目标任务及工作进度要求开展具体项目实施工作，以督导督办方式取得项目时效。</w:t>
      </w:r>
    </w:p>
    <w:p>
      <w:pPr>
        <w:adjustRightInd w:val="0"/>
        <w:snapToGrid w:val="0"/>
        <w:spacing w:line="560" w:lineRule="exact"/>
        <w:ind w:firstLine="720"/>
        <w:rPr>
          <w:rFonts w:ascii="仿宋_GB2312" w:eastAsia="仿宋_GB2312"/>
          <w:sz w:val="32"/>
          <w:szCs w:val="32"/>
          <w:lang w:val="zh-CN"/>
        </w:rPr>
      </w:pPr>
      <w:r>
        <w:rPr>
          <w:rFonts w:ascii="楷体_GB2312" w:eastAsia="楷体_GB2312" w:hint="eastAsia"/>
          <w:b/>
          <w:sz w:val="32"/>
          <w:szCs w:val="32"/>
          <w:lang w:val="zh-CN"/>
        </w:rPr>
        <w:t>（二）项目管理情况。</w:t>
      </w:r>
    </w:p>
    <w:p>
      <w:pPr>
        <w:spacing w:line="560" w:lineRule="exact"/>
        <w:ind w:firstLineChars="200" w:firstLine="640"/>
        <w:rPr>
          <w:rFonts w:ascii="仿宋_GB2312" w:eastAsia="仿宋_GB2312"/>
          <w:sz w:val="32"/>
          <w:szCs w:val="32"/>
        </w:rPr>
      </w:pPr>
      <w:r>
        <w:rPr>
          <w:rFonts w:ascii="仿宋_GB2312" w:eastAsia="仿宋_GB2312" w:hint="eastAsia"/>
          <w:sz w:val="32"/>
          <w:szCs w:val="32"/>
        </w:rPr>
        <w:t>严格按照</w:t>
      </w:r>
      <w:r>
        <w:rPr>
          <w:rFonts w:eastAsia="仿宋_GB2312" w:hint="eastAsia"/>
          <w:sz w:val="32"/>
          <w:szCs w:val="32"/>
          <w:lang w:val="zh-CN"/>
        </w:rPr>
        <w:t>《攀枝花市级招商引资专项工作经费管理暂行办法》《攀枝花市经济合作局招商引资专项工作经费使用管理暂行办法》</w:t>
      </w:r>
      <w:r>
        <w:rPr>
          <w:rFonts w:ascii="仿宋_GB2312" w:eastAsia="仿宋_GB2312" w:hint="eastAsia"/>
          <w:sz w:val="32"/>
          <w:szCs w:val="32"/>
        </w:rPr>
        <w:t>《攀枝花市市本级项目支出预算管理办法》等，建立健全内控管理制度，结合招商引资工作实际及当前经济社会发展需要，细化项目实施具体方案，做到管理制度健全，决策程序明确。</w:t>
      </w:r>
    </w:p>
    <w:p>
      <w:pPr>
        <w:adjustRightInd w:val="0"/>
        <w:snapToGrid w:val="0"/>
        <w:spacing w:line="560" w:lineRule="exact"/>
        <w:ind w:firstLine="720"/>
        <w:rPr>
          <w:rFonts w:ascii="仿宋_GB2312" w:eastAsia="仿宋_GB2312"/>
          <w:sz w:val="32"/>
          <w:szCs w:val="32"/>
          <w:lang w:val="zh-CN"/>
        </w:rPr>
      </w:pPr>
      <w:r>
        <w:rPr>
          <w:rFonts w:ascii="楷体_GB2312" w:eastAsia="楷体_GB2312" w:hint="eastAsia"/>
          <w:b/>
          <w:sz w:val="32"/>
          <w:szCs w:val="32"/>
          <w:lang w:val="zh-CN"/>
        </w:rPr>
        <w:t>（三）项目监管情况。</w:t>
      </w:r>
    </w:p>
    <w:p>
      <w:pPr>
        <w:autoSpaceDE w:val="0"/>
        <w:autoSpaceDN w:val="0"/>
        <w:adjustRightInd w:val="0"/>
        <w:spacing w:line="560" w:lineRule="exact"/>
        <w:ind w:firstLineChars="200" w:firstLine="640"/>
        <w:jc w:val="left"/>
        <w:rPr>
          <w:rFonts w:ascii="仿宋_GB2312" w:eastAsia="仿宋_GB2312" w:cs="仿宋"/>
          <w:color w:val="000000"/>
          <w:sz w:val="32"/>
          <w:szCs w:val="32"/>
        </w:rPr>
      </w:pPr>
      <w:r>
        <w:rPr>
          <w:rFonts w:ascii="仿宋_GB2312" w:eastAsia="仿宋_GB2312"/>
          <w:color w:val="000000"/>
          <w:sz w:val="32"/>
          <w:szCs w:val="32"/>
        </w:rPr>
        <w:t>为进一步抓好招商引资工作考评， 激励抓好招商引资工作积极性</w:t>
      </w:r>
      <w:r>
        <w:rPr>
          <w:rFonts w:ascii="仿宋_GB2312" w:eastAsia="仿宋_GB2312" w:hint="eastAsia"/>
          <w:color w:val="000000"/>
          <w:sz w:val="32"/>
          <w:szCs w:val="32"/>
        </w:rPr>
        <w:t>，</w:t>
      </w:r>
      <w:r>
        <w:rPr>
          <w:rFonts w:ascii="仿宋_GB2312" w:eastAsia="仿宋_GB2312"/>
          <w:color w:val="000000"/>
          <w:sz w:val="32"/>
          <w:szCs w:val="32"/>
        </w:rPr>
        <w:t>加快项目引进</w:t>
      </w:r>
      <w:r>
        <w:rPr>
          <w:rFonts w:ascii="仿宋_GB2312" w:eastAsia="仿宋_GB2312" w:hint="eastAsia"/>
          <w:color w:val="000000"/>
          <w:sz w:val="32"/>
          <w:szCs w:val="32"/>
        </w:rPr>
        <w:t>，</w:t>
      </w:r>
      <w:r>
        <w:rPr>
          <w:rFonts w:ascii="仿宋_GB2312" w:eastAsia="仿宋_GB2312"/>
          <w:color w:val="000000"/>
          <w:sz w:val="32"/>
          <w:szCs w:val="32"/>
        </w:rPr>
        <w:t xml:space="preserve">促进攀枝花高质量发展。按照《攀枝花市年度目标绩效管理办法》《攀枝花市市级目标绩效考评特殊情况加扣分标准》《攀枝花市人民政府办公室关于印发〈攀枝花市招商引资工作考评体系〉的通知》等制度规定和《攀枝花市 </w:t>
      </w:r>
      <w:r>
        <w:rPr>
          <w:rFonts w:ascii="Times#20New#20Roman" w:hAnsi="Times#20New#20Roman"/>
          <w:color w:val="000000"/>
          <w:sz w:val="32"/>
          <w:szCs w:val="32"/>
        </w:rPr>
        <w:t xml:space="preserve">2021 </w:t>
      </w:r>
      <w:r>
        <w:rPr>
          <w:rFonts w:ascii="仿宋_GB2312" w:eastAsia="仿宋_GB2312"/>
          <w:color w:val="000000"/>
          <w:sz w:val="32"/>
          <w:szCs w:val="32"/>
        </w:rPr>
        <w:t>年度市级综合目标任务实施方案》确定的考评责任分工，结合招商引资工作实际，制定</w:t>
      </w:r>
      <w:r>
        <w:rPr>
          <w:rFonts w:ascii="仿宋_GB2312" w:eastAsia="仿宋_GB2312" w:hint="eastAsia"/>
          <w:color w:val="000000"/>
          <w:sz w:val="32"/>
          <w:szCs w:val="32"/>
        </w:rPr>
        <w:t>了</w:t>
      </w:r>
      <w:r>
        <w:rPr>
          <w:rFonts w:ascii="仿宋_GB2312" w:eastAsia="仿宋_GB2312"/>
          <w:sz w:val="32"/>
          <w:szCs w:val="32"/>
        </w:rPr>
        <w:t>《 2021 年度招商引资工作考评细则》</w:t>
      </w:r>
      <w:r>
        <w:rPr>
          <w:rFonts w:eastAsia="仿宋_GB2312" w:hint="eastAsia"/>
          <w:kern w:val="0"/>
          <w:sz w:val="32"/>
          <w:szCs w:val="32"/>
        </w:rPr>
        <w:t>，进行</w:t>
      </w:r>
      <w:r>
        <w:rPr>
          <w:rFonts w:ascii="仿宋_GB2312" w:eastAsia="仿宋_GB2312"/>
          <w:color w:val="000000"/>
          <w:sz w:val="32"/>
          <w:szCs w:val="32"/>
        </w:rPr>
        <w:t>日常考评</w:t>
      </w:r>
      <w:r>
        <w:rPr>
          <w:rFonts w:ascii="仿宋_GB2312" w:eastAsia="仿宋_GB2312" w:hint="eastAsia"/>
          <w:color w:val="000000"/>
          <w:sz w:val="32"/>
          <w:szCs w:val="32"/>
        </w:rPr>
        <w:t>和</w:t>
      </w:r>
      <w:r>
        <w:rPr>
          <w:rFonts w:ascii="仿宋_GB2312" w:eastAsia="仿宋_GB2312"/>
          <w:color w:val="000000"/>
          <w:sz w:val="32"/>
          <w:szCs w:val="32"/>
        </w:rPr>
        <w:t>年终考评</w:t>
      </w:r>
      <w:r>
        <w:rPr>
          <w:rFonts w:ascii="仿宋_GB2312" w:eastAsia="仿宋_GB2312" w:hint="eastAsia"/>
          <w:color w:val="000000"/>
          <w:sz w:val="32"/>
          <w:szCs w:val="32"/>
        </w:rPr>
        <w:t>。根据</w:t>
      </w:r>
      <w:r>
        <w:rPr>
          <w:rFonts w:ascii="仿宋_GB2312" w:eastAsia="仿宋_GB2312"/>
          <w:color w:val="000000"/>
          <w:sz w:val="32"/>
          <w:szCs w:val="32"/>
        </w:rPr>
        <w:t>任务推进情况开展日常考评</w:t>
      </w:r>
      <w:r>
        <w:rPr>
          <w:rFonts w:ascii="仿宋_GB2312" w:eastAsia="仿宋_GB2312" w:hint="eastAsia"/>
          <w:color w:val="000000"/>
          <w:sz w:val="32"/>
          <w:szCs w:val="32"/>
        </w:rPr>
        <w:t>，</w:t>
      </w:r>
      <w:r>
        <w:rPr>
          <w:rFonts w:eastAsia="仿宋_GB2312" w:hint="eastAsia"/>
          <w:kern w:val="0"/>
          <w:sz w:val="32"/>
          <w:szCs w:val="32"/>
        </w:rPr>
        <w:t>以</w:t>
      </w:r>
      <w:r>
        <w:rPr>
          <w:rFonts w:ascii="仿宋_GB2312" w:eastAsia="仿宋_GB2312"/>
          <w:color w:val="000000"/>
          <w:sz w:val="32"/>
          <w:szCs w:val="32"/>
        </w:rPr>
        <w:t>工作完成情况和日常考评情况</w:t>
      </w:r>
      <w:r>
        <w:rPr>
          <w:rFonts w:ascii="仿宋_GB2312" w:eastAsia="仿宋_GB2312" w:hint="eastAsia"/>
          <w:color w:val="000000"/>
          <w:sz w:val="32"/>
          <w:szCs w:val="32"/>
        </w:rPr>
        <w:t>相</w:t>
      </w:r>
      <w:r>
        <w:rPr>
          <w:rFonts w:ascii="仿宋_GB2312" w:eastAsia="仿宋_GB2312"/>
          <w:color w:val="000000"/>
          <w:sz w:val="32"/>
          <w:szCs w:val="32"/>
        </w:rPr>
        <w:t>结合</w:t>
      </w:r>
      <w:r>
        <w:rPr>
          <w:rFonts w:ascii="仿宋_GB2312" w:eastAsia="仿宋_GB2312" w:hint="eastAsia"/>
          <w:color w:val="000000"/>
          <w:sz w:val="32"/>
          <w:szCs w:val="32"/>
        </w:rPr>
        <w:t>方式</w:t>
      </w:r>
      <w:r>
        <w:rPr>
          <w:rFonts w:ascii="仿宋_GB2312" w:eastAsia="仿宋_GB2312"/>
          <w:color w:val="000000"/>
          <w:sz w:val="32"/>
          <w:szCs w:val="32"/>
        </w:rPr>
        <w:t>， 进行年终考评</w:t>
      </w:r>
      <w:r>
        <w:rPr>
          <w:rFonts w:ascii="仿宋_GB2312" w:eastAsia="仿宋_GB2312" w:hint="eastAsia"/>
          <w:color w:val="000000"/>
          <w:sz w:val="32"/>
          <w:szCs w:val="32"/>
        </w:rPr>
        <w:t>。</w:t>
      </w:r>
      <w:r>
        <w:rPr>
          <w:rFonts w:eastAsia="仿宋_GB2312" w:hint="eastAsia"/>
          <w:kern w:val="0"/>
          <w:sz w:val="32"/>
          <w:szCs w:val="32"/>
        </w:rPr>
        <w:t>采取现场与项目资料相结合方式进行</w:t>
      </w:r>
      <w:r>
        <w:rPr>
          <w:rFonts w:ascii="仿宋_GB2312" w:eastAsia="仿宋_GB2312" w:hint="eastAsia"/>
          <w:color w:val="000000"/>
          <w:sz w:val="32"/>
          <w:szCs w:val="32"/>
        </w:rPr>
        <w:t>项目</w:t>
      </w:r>
      <w:r>
        <w:rPr>
          <w:rFonts w:eastAsia="仿宋_GB2312" w:hint="eastAsia"/>
          <w:kern w:val="0"/>
          <w:sz w:val="32"/>
          <w:szCs w:val="32"/>
        </w:rPr>
        <w:t>考核监管，全力推动项目落地。</w:t>
      </w:r>
      <w:r>
        <w:rPr>
          <w:rFonts w:ascii="仿宋_GB2312" w:eastAsia="仿宋_GB2312" w:cs="仿宋" w:hint="eastAsia"/>
          <w:color w:val="000000"/>
          <w:sz w:val="32"/>
          <w:szCs w:val="32"/>
        </w:rPr>
        <w:t>2021年全市招商引资总到位资金801.27亿元，同比增长1.58%。其中，国内省外投资到位资金330.28亿元。我市外商投资实际到位资金8950.80万元人民币，外商直接投资到位资金（FDI）77万美元，实现“零”的突破。招商引资工作取得较好成效。</w:t>
      </w:r>
    </w:p>
    <w:p>
      <w:pPr>
        <w:adjustRightInd w:val="0"/>
        <w:snapToGrid w:val="0"/>
        <w:spacing w:line="560" w:lineRule="exact"/>
        <w:ind w:firstLine="720"/>
        <w:rPr>
          <w:rFonts w:ascii="仿宋_GB2312" w:eastAsia="仿宋_GB2312"/>
          <w:sz w:val="32"/>
          <w:szCs w:val="32"/>
          <w:lang w:val="zh-CN"/>
        </w:rPr>
      </w:pPr>
      <w:r>
        <w:rPr>
          <w:rFonts w:ascii="黑体" w:eastAsia="黑体" w:hint="eastAsia"/>
          <w:sz w:val="32"/>
          <w:szCs w:val="32"/>
        </w:rPr>
        <w:t>四、项目绩效情况</w:t>
      </w:r>
      <w:r>
        <w:rPr>
          <w:rFonts w:ascii="仿宋_GB2312" w:eastAsia="仿宋_GB2312" w:hint="eastAsia"/>
          <w:sz w:val="32"/>
          <w:szCs w:val="32"/>
          <w:lang w:val="zh-CN"/>
        </w:rPr>
        <w:tab/>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（一）项目完成情况。</w:t>
      </w:r>
    </w:p>
    <w:p>
      <w:pPr>
        <w:pStyle w:val="31"/>
        <w:spacing w:before="93" w:line="560" w:lineRule="exact"/>
        <w:ind w:firstLineChars="200" w:firstLine="640"/>
        <w:jc w:val="left"/>
        <w:rPr>
          <w:rFonts w:ascii="仿宋_GB2312" w:eastAsia="仿宋_GB2312"/>
          <w:sz w:val="32"/>
          <w:szCs w:val="32"/>
        </w:rPr>
      </w:pPr>
      <w:r>
        <w:rPr>
          <w:rFonts w:ascii="仿宋_GB2312" w:eastAsia="仿宋_GB2312" w:hint="eastAsia"/>
          <w:sz w:val="32"/>
          <w:szCs w:val="32"/>
        </w:rPr>
        <w:t>数量指标完成情况：1.赴外开展小分队招商20余批次，小分队招商对接企业50余家。2.日常重点产业项目考察、对接、洽谈、跟踪服务等商务接待160余批次，项目促进出差50余批次。3. 举办知名企业四川行活动、西博会2次重大招商活动。4.</w:t>
      </w:r>
      <w:r>
        <w:rPr>
          <w:rFonts w:hint="eastAsia"/>
        </w:rPr>
        <w:t xml:space="preserve"> </w:t>
      </w:r>
      <w:r>
        <w:rPr>
          <w:rFonts w:ascii="仿宋_GB2312" w:eastAsia="仿宋_GB2312" w:hint="eastAsia"/>
          <w:sz w:val="32"/>
          <w:szCs w:val="32"/>
        </w:rPr>
        <w:t>设计、印制招商引资宣传资料1600册，设计、印制招商引资宣传资料数量有所压减，是为了控制成本（经费）支出。微信公众号设计、规划、运营服务：①整理、编写信息并推送微信内容6期/月。②收集、提炼、编写专题宣传2条/周。③宣传视频素材的采集和剪辑8次/季度。④重要活动、重要会议等视频拍摄服务2次/年。⑤ H5制作2次/年。其他招商引资宣传工作:宣传资料卡、名片、接待手册、推介资料、签约展板制作、宣传栏等宣传制作。5.</w:t>
      </w:r>
      <w:r>
        <w:rPr>
          <w:rFonts w:hint="eastAsia"/>
        </w:rPr>
        <w:t xml:space="preserve"> </w:t>
      </w:r>
      <w:r>
        <w:rPr>
          <w:rFonts w:ascii="仿宋_GB2312" w:eastAsia="仿宋_GB2312" w:hint="eastAsia"/>
          <w:sz w:val="32"/>
          <w:szCs w:val="32"/>
        </w:rPr>
        <w:t>赴广州开展驻点招商工作32天，对接企业30余批次；赴宝鸡开展驻点招商工作预计70天，对接企业99批次。因舆情影响，被迫取消部分赴外驻点招商工作安排，故未完成年初工作计划量。6.</w:t>
      </w:r>
      <w:r>
        <w:rPr>
          <w:rFonts w:hint="eastAsia"/>
        </w:rPr>
        <w:t xml:space="preserve"> </w:t>
      </w:r>
      <w:r>
        <w:rPr>
          <w:rFonts w:ascii="仿宋_GB2312" w:eastAsia="仿宋_GB2312" w:hint="eastAsia"/>
          <w:sz w:val="32"/>
          <w:szCs w:val="32"/>
        </w:rPr>
        <w:t>聘请招商引资法律顾问1家。7.</w:t>
      </w:r>
      <w:r>
        <w:rPr>
          <w:rFonts w:hint="eastAsia"/>
        </w:rPr>
        <w:t xml:space="preserve"> </w:t>
      </w:r>
      <w:r>
        <w:rPr>
          <w:rFonts w:ascii="仿宋_GB2312" w:eastAsia="仿宋_GB2312" w:hint="eastAsia"/>
          <w:sz w:val="32"/>
          <w:szCs w:val="32"/>
        </w:rPr>
        <w:t>招商引资项目管理云平台2021年度运维管理。8.因2021年全市统一安排各部门招商引资专项工作经费，故未另行考核安排产业招商牵头部门专项工作经费。</w:t>
      </w:r>
    </w:p>
    <w:p>
      <w:pPr>
        <w:pStyle w:val="31"/>
        <w:spacing w:before="93"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质量指标</w:t>
      </w:r>
      <w:r>
        <w:rPr>
          <w:rFonts w:ascii="Times New Roman" w:eastAsia="仿宋_GB2312" w:hAnsi="Times New Roman" w:hint="eastAsia"/>
          <w:sz w:val="32"/>
          <w:szCs w:val="32"/>
        </w:rPr>
        <w:t>完成情况：省级业务主管部门、市委市政府下达我局2021年招商引资全年目标任务完成情况良好。外商直接投资到位资金（ FDI）完成77万美元，因舆情影响等因素，暂未达到省级业务主管部门下达200万美元的目标任务，但实现了近5年来外商投资直接到位资金（ FDI）零的突破，完成市委市政府提出年度目标任务。今后将继续强化外资工作，利用外资取得进一步突破。</w:t>
      </w:r>
    </w:p>
    <w:p>
      <w:pPr>
        <w:pStyle w:val="31"/>
        <w:spacing w:before="93" w:line="560" w:lineRule="exact"/>
        <w:ind w:firstLineChars="200" w:firstLine="640"/>
        <w:jc w:val="left"/>
        <w:rPr>
          <w:rFonts w:ascii="仿宋_GB2312" w:eastAsia="仿宋_GB2312"/>
          <w:sz w:val="32"/>
          <w:szCs w:val="32"/>
        </w:rPr>
      </w:pPr>
      <w:r>
        <w:rPr>
          <w:rFonts w:ascii="Times New Roman" w:eastAsia="仿宋_GB2312" w:hAnsi="Times New Roman"/>
          <w:sz w:val="32"/>
          <w:szCs w:val="32"/>
        </w:rPr>
        <w:t>时效指标</w:t>
      </w:r>
      <w:r>
        <w:rPr>
          <w:rFonts w:ascii="Times New Roman" w:eastAsia="仿宋_GB2312" w:hAnsi="Times New Roman" w:hint="eastAsia"/>
          <w:sz w:val="32"/>
          <w:szCs w:val="32"/>
        </w:rPr>
        <w:t>完成情况：</w:t>
      </w:r>
      <w:r>
        <w:rPr>
          <w:rFonts w:ascii="仿宋_GB2312" w:eastAsia="仿宋_GB2312" w:hint="eastAsia"/>
          <w:sz w:val="32"/>
          <w:szCs w:val="32"/>
        </w:rPr>
        <w:t>工作任务完成时间节点1年内完成。</w:t>
      </w:r>
    </w:p>
    <w:p>
      <w:pPr>
        <w:pStyle w:val="31"/>
        <w:spacing w:before="93" w:line="56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成本指标</w:t>
      </w:r>
      <w:r>
        <w:rPr>
          <w:rFonts w:ascii="Times New Roman" w:eastAsia="仿宋_GB2312" w:hAnsi="Times New Roman" w:hint="eastAsia"/>
          <w:sz w:val="32"/>
          <w:szCs w:val="32"/>
        </w:rPr>
        <w:t>完成情况：2021年</w:t>
      </w:r>
      <w:r>
        <w:rPr>
          <w:rFonts w:ascii="仿宋_GB2312" w:eastAsia="仿宋_GB2312" w:hint="eastAsia"/>
          <w:sz w:val="32"/>
          <w:szCs w:val="32"/>
        </w:rPr>
        <w:t>招商引资各项工作实际完成经费支出均控制在设定年度指标值内，部分工作经费因2021年财政资金紧缺无力支付，故成本大大缩小。</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（二）项目效益情况。</w:t>
      </w:r>
    </w:p>
    <w:p>
      <w:pPr>
        <w:pStyle w:val="31"/>
        <w:spacing w:before="93" w:line="560" w:lineRule="exact"/>
        <w:ind w:firstLineChars="200" w:firstLine="640"/>
        <w:jc w:val="left"/>
        <w:rPr>
          <w:rFonts w:ascii="Times New Roman" w:eastAsia="仿宋_GB2312" w:hAnsi="Times New Roman"/>
          <w:color w:val="FF0000"/>
          <w:sz w:val="32"/>
          <w:szCs w:val="32"/>
        </w:rPr>
      </w:pPr>
      <w:r>
        <w:rPr>
          <w:rFonts w:ascii="Times New Roman" w:eastAsia="仿宋_GB2312" w:hAnsi="Times New Roman"/>
          <w:color w:val="000000"/>
          <w:sz w:val="32"/>
          <w:szCs w:val="32"/>
        </w:rPr>
        <w:t>经济效益指标</w:t>
      </w:r>
      <w:r>
        <w:rPr>
          <w:rFonts w:ascii="Times New Roman" w:eastAsia="仿宋_GB2312" w:hAnsi="Times New Roman" w:hint="eastAsia"/>
          <w:color w:val="000000"/>
          <w:sz w:val="32"/>
          <w:szCs w:val="32"/>
        </w:rPr>
        <w:t>完成情况：1.全市招商引资总到位资金801.27亿元。2.国内省外投资到位资金330.28亿元。3.外商投资实际到位资金8950.80万元。已全面完成。</w:t>
      </w:r>
    </w:p>
    <w:p>
      <w:pPr>
        <w:pStyle w:val="31"/>
        <w:spacing w:before="93"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可持续影响</w:t>
      </w:r>
      <w:r>
        <w:rPr>
          <w:rFonts w:ascii="Times New Roman" w:eastAsia="仿宋_GB2312" w:hAnsi="Times New Roman"/>
          <w:color w:val="000000"/>
          <w:sz w:val="32"/>
          <w:szCs w:val="32"/>
        </w:rPr>
        <w:t>指标</w:t>
      </w:r>
      <w:r>
        <w:rPr>
          <w:rFonts w:ascii="Times New Roman" w:eastAsia="仿宋_GB2312" w:hAnsi="Times New Roman" w:hint="eastAsia"/>
          <w:color w:val="000000"/>
          <w:sz w:val="32"/>
          <w:szCs w:val="32"/>
        </w:rPr>
        <w:t>完成情况：有效促进产业转型和经济持续发展。</w:t>
      </w:r>
    </w:p>
    <w:p>
      <w:pPr>
        <w:pStyle w:val="31"/>
        <w:spacing w:before="93"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满意度指标完成情况：服务对象满意度达到了基本满意及以上。</w:t>
      </w:r>
    </w:p>
    <w:p>
      <w:pPr>
        <w:adjustRightInd w:val="0"/>
        <w:snapToGrid w:val="0"/>
        <w:spacing w:line="560" w:lineRule="exact"/>
        <w:ind w:firstLine="720"/>
        <w:rPr>
          <w:rFonts w:ascii="黑体" w:eastAsia="黑体"/>
          <w:sz w:val="32"/>
          <w:szCs w:val="32"/>
        </w:rPr>
      </w:pPr>
      <w:r>
        <w:rPr>
          <w:rFonts w:ascii="黑体" w:eastAsia="黑体" w:hint="eastAsia"/>
          <w:sz w:val="32"/>
          <w:szCs w:val="32"/>
        </w:rPr>
        <w:t>五、评价结论及建议</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（一）评价结论。</w:t>
      </w:r>
    </w:p>
    <w:p>
      <w:pPr>
        <w:autoSpaceDE w:val="0"/>
        <w:autoSpaceDN w:val="0"/>
        <w:adjustRightInd w:val="0"/>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从总体情况看，项目决策依据充分，立项规范，项目资金及时拨付，资金管理、使用规范，未扩大开支范围、挤占、挪用、转移项目经费，财务信息质量真实可靠。项目预期</w:t>
      </w:r>
      <w:r>
        <w:rPr>
          <w:rFonts w:ascii="仿宋_GB2312" w:eastAsia="仿宋_GB2312"/>
          <w:sz w:val="32"/>
          <w:szCs w:val="32"/>
        </w:rPr>
        <w:t>绩效</w:t>
      </w:r>
      <w:r>
        <w:rPr>
          <w:rFonts w:ascii="仿宋_GB2312" w:eastAsia="仿宋_GB2312" w:hint="eastAsia"/>
          <w:sz w:val="32"/>
          <w:szCs w:val="32"/>
        </w:rPr>
        <w:t>目标内容明确，做到了目标细化、目标量化，进度计划明确。</w:t>
      </w:r>
      <w:r>
        <w:rPr>
          <w:rFonts w:eastAsia="仿宋_GB2312"/>
          <w:sz w:val="32"/>
          <w:szCs w:val="32"/>
        </w:rPr>
        <w:t>20</w:t>
      </w:r>
      <w:r>
        <w:rPr>
          <w:rFonts w:eastAsia="仿宋_GB2312" w:hint="eastAsia"/>
          <w:sz w:val="32"/>
          <w:szCs w:val="32"/>
        </w:rPr>
        <w:t>21</w:t>
      </w:r>
      <w:r>
        <w:rPr>
          <w:rFonts w:eastAsia="仿宋_GB2312"/>
          <w:sz w:val="32"/>
          <w:szCs w:val="32"/>
        </w:rPr>
        <w:t>年度部门</w:t>
      </w:r>
      <w:r>
        <w:rPr>
          <w:rFonts w:eastAsia="仿宋_GB2312" w:hint="eastAsia"/>
          <w:sz w:val="32"/>
          <w:szCs w:val="32"/>
        </w:rPr>
        <w:t>预算项目（招商引资专项工作经费）支出</w:t>
      </w:r>
      <w:r>
        <w:rPr>
          <w:rFonts w:eastAsia="仿宋_GB2312"/>
          <w:sz w:val="32"/>
          <w:szCs w:val="32"/>
        </w:rPr>
        <w:t>绩效</w:t>
      </w:r>
      <w:r>
        <w:rPr>
          <w:rFonts w:eastAsia="仿宋_GB2312" w:hint="eastAsia"/>
          <w:sz w:val="32"/>
          <w:szCs w:val="32"/>
        </w:rPr>
        <w:t>目标完成情况良好。</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（二）存在的问题。</w:t>
      </w:r>
    </w:p>
    <w:p>
      <w:pPr>
        <w:spacing w:line="560" w:lineRule="exact"/>
        <w:ind w:firstLineChars="200" w:firstLine="640"/>
        <w:rPr>
          <w:rFonts w:eastAsia="仿宋_GB2312"/>
          <w:sz w:val="32"/>
          <w:szCs w:val="32"/>
        </w:rPr>
      </w:pPr>
      <w:r>
        <w:rPr>
          <w:rFonts w:eastAsia="仿宋_GB2312" w:hint="eastAsia"/>
          <w:sz w:val="32"/>
          <w:szCs w:val="32"/>
        </w:rPr>
        <w:t>2021年因舆情影响，招商引资工作开展受限，部分计划安排无法执行，以及财力不足等因素，导致部分年度实际完成数</w:t>
      </w:r>
      <w:r>
        <w:rPr>
          <w:rFonts w:eastAsia="仿宋_GB2312"/>
          <w:sz w:val="32"/>
          <w:szCs w:val="32"/>
        </w:rPr>
        <w:t>偏离绩效目标</w:t>
      </w:r>
      <w:r>
        <w:rPr>
          <w:rFonts w:eastAsia="仿宋_GB2312" w:hint="eastAsia"/>
          <w:sz w:val="32"/>
          <w:szCs w:val="32"/>
        </w:rPr>
        <w:t>值的情况。另外，</w:t>
      </w:r>
      <w:r>
        <w:rPr>
          <w:rFonts w:eastAsia="仿宋_GB2312"/>
          <w:sz w:val="32"/>
          <w:szCs w:val="32"/>
        </w:rPr>
        <w:t>绩效</w:t>
      </w:r>
      <w:r>
        <w:rPr>
          <w:rFonts w:eastAsia="仿宋_GB2312" w:hint="eastAsia"/>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故预算绩效管理还需进一步科学化和全面化。</w:t>
      </w:r>
    </w:p>
    <w:p>
      <w:pPr>
        <w:adjustRightInd w:val="0"/>
        <w:snapToGrid w:val="0"/>
        <w:spacing w:line="560" w:lineRule="exact"/>
        <w:ind w:firstLine="720"/>
        <w:rPr>
          <w:rFonts w:ascii="楷体_GB2312" w:eastAsia="楷体_GB2312"/>
          <w:b/>
          <w:sz w:val="32"/>
          <w:szCs w:val="32"/>
          <w:lang w:val="zh-CN"/>
        </w:rPr>
      </w:pPr>
      <w:r>
        <w:rPr>
          <w:rFonts w:ascii="楷体_GB2312" w:eastAsia="楷体_GB2312" w:hint="eastAsia"/>
          <w:b/>
          <w:sz w:val="32"/>
          <w:szCs w:val="32"/>
          <w:lang w:val="zh-CN"/>
        </w:rPr>
        <w:t>（三）相关建议。</w:t>
      </w:r>
    </w:p>
    <w:p>
      <w:pPr>
        <w:pStyle w:val="31"/>
        <w:spacing w:before="93"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在</w:t>
      </w:r>
      <w:r>
        <w:rPr>
          <w:rFonts w:ascii="Times New Roman" w:eastAsia="仿宋_GB2312" w:hAnsi="Times New Roman"/>
          <w:sz w:val="32"/>
          <w:szCs w:val="32"/>
        </w:rPr>
        <w:t>今后</w:t>
      </w:r>
      <w:r>
        <w:rPr>
          <w:rFonts w:ascii="Times New Roman" w:eastAsia="仿宋_GB2312" w:hAnsi="Times New Roman" w:hint="eastAsia"/>
          <w:sz w:val="32"/>
          <w:szCs w:val="32"/>
        </w:rPr>
        <w:t>预算绩效管理工作</w:t>
      </w:r>
      <w:r>
        <w:rPr>
          <w:rFonts w:ascii="Times New Roman" w:eastAsia="仿宋_GB2312" w:hAnsi="Times New Roman"/>
          <w:sz w:val="32"/>
          <w:szCs w:val="32"/>
        </w:rPr>
        <w:t>中，</w:t>
      </w:r>
      <w:r>
        <w:rPr>
          <w:rFonts w:ascii="Times New Roman" w:eastAsia="仿宋_GB2312" w:hAnsi="Times New Roman" w:hint="eastAsia"/>
          <w:sz w:val="32"/>
          <w:szCs w:val="32"/>
        </w:rPr>
        <w:t>进一步完善各项绩效目标管理相关指标体系、制度、方法，进一步提高绩效管理相关数据、信息的准确性和完整性，提高财政资金使用效益及绩效管理水平。</w:t>
      </w:r>
    </w:p>
    <w:p>
      <w:pPr>
        <w:pStyle w:val="15"/>
        <w:spacing w:beforeLines="0" w:before="93"/>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pPr>
        <w:pStyle w:val="15"/>
        <w:spacing w:beforeLines="0" w:before="93"/>
        <w:rPr>
          <w:lang w:val="zh-CN"/>
        </w:rPr>
      </w:pPr>
    </w:p>
    <w:p/>
    <w:tbl>
      <w:tblPr>
        <w:tblpPr w:leftFromText="180" w:rightFromText="180" w:vertAnchor="text" w:horzAnchor="page" w:tblpX="929" w:tblpY="660"/>
        <w:tblOverlap w:val="never"/>
        <w:tblW w:w="1055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34"/>
        <w:gridCol w:w="850"/>
        <w:gridCol w:w="567"/>
        <w:gridCol w:w="284"/>
        <w:gridCol w:w="1134"/>
        <w:gridCol w:w="1559"/>
        <w:gridCol w:w="2590"/>
        <w:gridCol w:w="245"/>
        <w:gridCol w:w="2551"/>
        <w:gridCol w:w="236"/>
      </w:tblGrid>
      <w:tr>
        <w:trPr>
          <w:trHeight w:val="675"/>
        </w:trPr>
        <w:tc>
          <w:tcPr>
            <w:tcW w:w="10314" w:type="dxa"/>
            <w:gridSpan w:val="9"/>
            <w:tcBorders>
              <w:top w:val="nil"/>
              <w:left w:val="nil"/>
              <w:bottom w:val="nil"/>
              <w:right w:val="nil"/>
            </w:tcBorders>
            <w:shd w:val="clear" w:color="auto" w:fill="auto"/>
            <w:vAlign w:val="center"/>
          </w:tcPr>
          <w:p>
            <w:pPr>
              <w:widowControl/>
              <w:textAlignment w:val="center"/>
              <w:rPr>
                <w:rFonts w:ascii="宋体" w:cs="宋体"/>
                <w:b/>
                <w:sz w:val="32"/>
                <w:szCs w:val="32"/>
              </w:rPr>
            </w:pPr>
          </w:p>
          <w:p>
            <w:pPr>
              <w:widowControl/>
              <w:textAlignment w:val="center"/>
              <w:rPr>
                <w:rFonts w:ascii="宋体" w:cs="宋体"/>
                <w:b/>
                <w:sz w:val="32"/>
                <w:szCs w:val="32"/>
              </w:rPr>
            </w:pPr>
          </w:p>
          <w:p>
            <w:pPr>
              <w:widowControl/>
              <w:textAlignment w:val="center"/>
              <w:rPr>
                <w:rFonts w:ascii="宋体" w:cs="宋体"/>
                <w:b/>
                <w:sz w:val="32"/>
                <w:szCs w:val="32"/>
              </w:rPr>
            </w:pPr>
          </w:p>
          <w:p>
            <w:pPr>
              <w:widowControl/>
              <w:textAlignment w:val="center"/>
              <w:rPr>
                <w:rFonts w:ascii="宋体" w:cs="宋体"/>
                <w:b/>
                <w:sz w:val="32"/>
                <w:szCs w:val="32"/>
              </w:rPr>
            </w:pPr>
          </w:p>
          <w:p>
            <w:pPr>
              <w:widowControl/>
              <w:jc w:val="center"/>
              <w:textAlignment w:val="center"/>
              <w:rPr>
                <w:rFonts w:ascii="宋体" w:cs="宋体"/>
                <w:b/>
                <w:sz w:val="32"/>
                <w:szCs w:val="32"/>
              </w:rPr>
            </w:pPr>
            <w:r>
              <w:rPr>
                <w:rFonts w:ascii="宋体" w:cs="宋体" w:hint="eastAsia"/>
                <w:b/>
                <w:sz w:val="32"/>
                <w:szCs w:val="32"/>
              </w:rPr>
              <w:t>2021年50万元以上（含）特定目标类部门预算项目绩效目标自评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cs="宋体"/>
                <w:b/>
                <w:kern w:val="0"/>
                <w:sz w:val="32"/>
                <w:szCs w:val="32"/>
              </w:rPr>
            </w:pPr>
          </w:p>
        </w:tc>
      </w:tr>
      <w:tr>
        <w:trPr>
          <w:trHeight w:val="254"/>
          <w:gridAfter w:val="1"/>
          <w:wAfter w:w="236" w:type="dxa"/>
        </w:trPr>
        <w:tc>
          <w:tcPr>
            <w:tcW w:w="195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kern w:val="0"/>
                <w:sz w:val="24"/>
              </w:rPr>
              <w:t>主管部门及代码</w:t>
            </w:r>
          </w:p>
        </w:tc>
        <w:tc>
          <w:tcPr>
            <w:tcW w:w="297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r>
              <w:rPr>
                <w:rFonts w:ascii="宋体" w:cs="宋体" w:hint="eastAsia"/>
                <w:sz w:val="24"/>
              </w:rPr>
              <w:t>攀枝花市经济合作局680001</w:t>
            </w:r>
          </w:p>
        </w:tc>
        <w:tc>
          <w:tcPr>
            <w:tcW w:w="25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kern w:val="0"/>
                <w:sz w:val="24"/>
              </w:rPr>
              <w:t>实施单位</w:t>
            </w: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sz w:val="24"/>
              </w:rPr>
              <w:t>攀枝花市经济合作局</w:t>
            </w:r>
          </w:p>
        </w:tc>
      </w:tr>
      <w:tr>
        <w:trPr>
          <w:trHeight w:val="341"/>
          <w:gridAfter w:val="1"/>
          <w:wAfter w:w="236" w:type="dxa"/>
        </w:trPr>
        <w:tc>
          <w:tcPr>
            <w:tcW w:w="195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kern w:val="0"/>
                <w:sz w:val="24"/>
              </w:rPr>
              <w:t>项目预算</w:t>
              <w:br/>
              <w:t>执行情况</w:t>
              <w:br/>
              <w:t>（万元）</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r>
              <w:rPr>
                <w:rFonts w:ascii="宋体" w:cs="宋体" w:hint="eastAsia"/>
                <w:kern w:val="0"/>
                <w:sz w:val="24"/>
              </w:rPr>
              <w:t>预算数：</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sz w:val="24"/>
              </w:rPr>
            </w:pPr>
            <w:r>
              <w:rPr>
                <w:rFonts w:ascii="宋体" w:cs="宋体" w:hint="eastAsia"/>
                <w:sz w:val="24"/>
              </w:rPr>
              <w:t>434.95万元</w:t>
            </w:r>
          </w:p>
        </w:tc>
        <w:tc>
          <w:tcPr>
            <w:tcW w:w="25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r>
              <w:rPr>
                <w:rFonts w:ascii="宋体" w:cs="宋体" w:hint="eastAsia"/>
                <w:kern w:val="0"/>
                <w:sz w:val="24"/>
              </w:rPr>
              <w:t>执行数：</w:t>
            </w: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sz w:val="24"/>
              </w:rPr>
            </w:pPr>
            <w:r>
              <w:rPr>
                <w:rFonts w:ascii="宋体" w:cs="宋体" w:hint="eastAsia"/>
                <w:sz w:val="24"/>
              </w:rPr>
              <w:t>241.22万元</w:t>
            </w:r>
          </w:p>
        </w:tc>
      </w:tr>
      <w:tr>
        <w:trPr>
          <w:trHeight w:val="555"/>
          <w:gridAfter w:val="1"/>
          <w:wAfter w:w="236" w:type="dxa"/>
        </w:trPr>
        <w:tc>
          <w:tcPr>
            <w:tcW w:w="195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kern w:val="0"/>
                <w:sz w:val="24"/>
              </w:rPr>
            </w:pPr>
            <w:r>
              <w:rPr>
                <w:rFonts w:ascii="宋体" w:cs="宋体" w:hint="eastAsia"/>
                <w:kern w:val="0"/>
                <w:sz w:val="24"/>
              </w:rPr>
              <w:t>其中：</w:t>
            </w:r>
          </w:p>
          <w:p>
            <w:pPr>
              <w:widowControl/>
              <w:spacing w:line="320" w:lineRule="exact"/>
              <w:jc w:val="left"/>
              <w:textAlignment w:val="center"/>
              <w:rPr>
                <w:rFonts w:ascii="宋体" w:cs="宋体"/>
                <w:sz w:val="24"/>
              </w:rPr>
            </w:pPr>
            <w:r>
              <w:rPr>
                <w:rFonts w:ascii="宋体" w:cs="宋体" w:hint="eastAsia"/>
                <w:kern w:val="0"/>
                <w:sz w:val="24"/>
              </w:rPr>
              <w:t>财政拨款</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sz w:val="24"/>
              </w:rPr>
            </w:pPr>
            <w:r>
              <w:rPr>
                <w:rFonts w:ascii="宋体" w:cs="宋体" w:hint="eastAsia"/>
                <w:sz w:val="24"/>
              </w:rPr>
              <w:t>434.95万元</w:t>
            </w:r>
          </w:p>
        </w:tc>
        <w:tc>
          <w:tcPr>
            <w:tcW w:w="25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kern w:val="0"/>
                <w:sz w:val="24"/>
              </w:rPr>
            </w:pPr>
            <w:r>
              <w:rPr>
                <w:rFonts w:ascii="宋体" w:cs="宋体" w:hint="eastAsia"/>
                <w:kern w:val="0"/>
                <w:sz w:val="24"/>
              </w:rPr>
              <w:t>其中：</w:t>
            </w:r>
          </w:p>
          <w:p>
            <w:pPr>
              <w:widowControl/>
              <w:spacing w:line="320" w:lineRule="exact"/>
              <w:jc w:val="left"/>
              <w:textAlignment w:val="center"/>
              <w:rPr>
                <w:rFonts w:ascii="宋体" w:cs="宋体"/>
                <w:sz w:val="24"/>
              </w:rPr>
            </w:pPr>
            <w:r>
              <w:rPr>
                <w:rFonts w:ascii="宋体" w:cs="宋体" w:hint="eastAsia"/>
                <w:kern w:val="0"/>
                <w:sz w:val="24"/>
              </w:rPr>
              <w:t>财政拨款</w:t>
            </w: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sz w:val="24"/>
              </w:rPr>
              <w:t>241.22万元</w:t>
            </w:r>
          </w:p>
        </w:tc>
      </w:tr>
      <w:tr>
        <w:trPr>
          <w:trHeight w:val="341"/>
          <w:gridAfter w:val="1"/>
          <w:wAfter w:w="236" w:type="dxa"/>
        </w:trPr>
        <w:tc>
          <w:tcPr>
            <w:tcW w:w="1951"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r>
              <w:rPr>
                <w:rFonts w:ascii="宋体" w:cs="宋体" w:hint="eastAsia"/>
                <w:kern w:val="0"/>
                <w:sz w:val="24"/>
              </w:rPr>
              <w:t>其他资金</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p>
        </w:tc>
        <w:tc>
          <w:tcPr>
            <w:tcW w:w="259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left"/>
              <w:textAlignment w:val="center"/>
              <w:rPr>
                <w:rFonts w:ascii="宋体" w:cs="宋体"/>
                <w:sz w:val="24"/>
              </w:rPr>
            </w:pPr>
            <w:r>
              <w:rPr>
                <w:rFonts w:ascii="宋体" w:cs="宋体" w:hint="eastAsia"/>
                <w:kern w:val="0"/>
                <w:sz w:val="24"/>
              </w:rPr>
              <w:t>其他资金</w:t>
            </w: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p>
        </w:tc>
      </w:tr>
      <w:tr>
        <w:trPr>
          <w:trHeight w:val="883"/>
          <w:gridAfter w:val="1"/>
          <w:wAfter w:w="236" w:type="dxa"/>
        </w:trPr>
        <w:tc>
          <w:tcPr>
            <w:tcW w:w="5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kern w:val="0"/>
                <w:sz w:val="24"/>
              </w:rPr>
            </w:pPr>
            <w:r>
              <w:rPr>
                <w:rFonts w:ascii="宋体" w:cs="宋体" w:hint="eastAsia"/>
                <w:kern w:val="0"/>
                <w:sz w:val="24"/>
              </w:rPr>
              <w:t>年度总体目标完成情况</w:t>
            </w:r>
          </w:p>
        </w:tc>
        <w:tc>
          <w:tcPr>
            <w:tcW w:w="4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kern w:val="0"/>
                <w:sz w:val="24"/>
              </w:rPr>
              <w:t>预期目标</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宋体" w:cs="宋体"/>
                <w:sz w:val="24"/>
              </w:rPr>
            </w:pPr>
            <w:r>
              <w:rPr>
                <w:rFonts w:ascii="宋体" w:cs="宋体" w:hint="eastAsia"/>
                <w:kern w:val="0"/>
                <w:sz w:val="24"/>
              </w:rPr>
              <w:t>目标实际完成情况</w:t>
            </w:r>
          </w:p>
        </w:tc>
      </w:tr>
      <w:tr>
        <w:trPr>
          <w:trHeight w:val="797"/>
          <w:gridAfter w:val="1"/>
          <w:wAfter w:w="236" w:type="dxa"/>
        </w:trPr>
        <w:tc>
          <w:tcPr>
            <w:tcW w:w="5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textAlignment w:val="top"/>
              <w:rPr>
                <w:rFonts w:ascii="宋体" w:cs="宋体"/>
                <w:sz w:val="22"/>
                <w:szCs w:val="22"/>
              </w:rPr>
            </w:pPr>
            <w:r>
              <w:rPr>
                <w:rFonts w:ascii="宋体" w:cs="宋体" w:hint="eastAsia"/>
                <w:sz w:val="22"/>
                <w:szCs w:val="22"/>
              </w:rPr>
              <w:t>目标1：全市招商引资总到位资金800亿元。</w:t>
            </w:r>
          </w:p>
          <w:p>
            <w:pPr>
              <w:widowControl/>
              <w:spacing w:line="320" w:lineRule="exact"/>
              <w:textAlignment w:val="top"/>
              <w:rPr>
                <w:rFonts w:ascii="宋体" w:cs="宋体"/>
                <w:sz w:val="22"/>
                <w:szCs w:val="22"/>
              </w:rPr>
            </w:pPr>
            <w:r>
              <w:rPr>
                <w:rFonts w:ascii="宋体" w:cs="宋体" w:hint="eastAsia"/>
                <w:sz w:val="22"/>
                <w:szCs w:val="22"/>
              </w:rPr>
              <w:t>目标2：国内省外投资到位资金300亿元。</w:t>
            </w:r>
          </w:p>
          <w:p>
            <w:pPr>
              <w:widowControl/>
              <w:spacing w:line="320" w:lineRule="exact"/>
              <w:textAlignment w:val="top"/>
              <w:rPr>
                <w:rFonts w:ascii="宋体" w:cs="宋体"/>
                <w:sz w:val="22"/>
                <w:szCs w:val="22"/>
              </w:rPr>
            </w:pPr>
            <w:r>
              <w:rPr>
                <w:rFonts w:ascii="宋体" w:cs="宋体" w:hint="eastAsia"/>
                <w:sz w:val="22"/>
                <w:szCs w:val="22"/>
              </w:rPr>
              <w:t>目标3：外商投资实际到位资金8800万元。</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textAlignment w:val="top"/>
              <w:rPr>
                <w:rFonts w:ascii="宋体" w:cs="宋体"/>
                <w:sz w:val="22"/>
                <w:szCs w:val="22"/>
              </w:rPr>
            </w:pPr>
            <w:r>
              <w:rPr>
                <w:rFonts w:ascii="宋体" w:cs="宋体" w:hint="eastAsia"/>
                <w:sz w:val="22"/>
                <w:szCs w:val="22"/>
              </w:rPr>
              <w:t>1.全市招商引资总到位资金801.27亿元。</w:t>
            </w:r>
          </w:p>
          <w:p>
            <w:pPr>
              <w:widowControl/>
              <w:spacing w:line="320" w:lineRule="exact"/>
              <w:textAlignment w:val="top"/>
              <w:rPr>
                <w:rFonts w:ascii="宋体" w:cs="宋体"/>
                <w:sz w:val="22"/>
                <w:szCs w:val="22"/>
              </w:rPr>
            </w:pPr>
            <w:r>
              <w:rPr>
                <w:rFonts w:ascii="宋体" w:cs="宋体" w:hint="eastAsia"/>
                <w:sz w:val="22"/>
                <w:szCs w:val="22"/>
              </w:rPr>
              <w:t>2.国内省外投资到位资金330.28亿元。</w:t>
            </w:r>
          </w:p>
          <w:p>
            <w:pPr>
              <w:widowControl/>
              <w:spacing w:line="320" w:lineRule="exact"/>
              <w:textAlignment w:val="top"/>
              <w:rPr>
                <w:rFonts w:ascii="宋体" w:cs="宋体"/>
                <w:sz w:val="22"/>
                <w:szCs w:val="22"/>
              </w:rPr>
            </w:pPr>
            <w:r>
              <w:rPr>
                <w:rFonts w:ascii="宋体" w:cs="宋体" w:hint="eastAsia"/>
                <w:sz w:val="22"/>
                <w:szCs w:val="22"/>
              </w:rPr>
              <w:t>3.外商投资实际到位资金8950.80万元。</w:t>
            </w:r>
          </w:p>
        </w:tc>
      </w:tr>
      <w:tr>
        <w:trPr>
          <w:trHeight w:val="693"/>
          <w:gridAfter w:val="1"/>
          <w:wAfter w:w="236" w:type="dxa"/>
        </w:trPr>
        <w:tc>
          <w:tcPr>
            <w:tcW w:w="534" w:type="dxa"/>
            <w:vMerge w:val="restart"/>
            <w:tcBorders>
              <w:top w:val="single" w:sz="4" w:space="0" w:color="000000"/>
              <w:left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年度绩效指标完成情况</w:t>
            </w:r>
          </w:p>
        </w:tc>
        <w:tc>
          <w:tcPr>
            <w:tcW w:w="850" w:type="dxa"/>
            <w:tcBorders>
              <w:top w:val="single" w:sz="4" w:space="0" w:color="000000"/>
              <w:left w:val="nil"/>
              <w:bottom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kern w:val="0"/>
                <w:sz w:val="28"/>
                <w:szCs w:val="28"/>
              </w:rPr>
            </w:pPr>
            <w:r>
              <w:rPr>
                <w:rFonts w:ascii="仿宋_GB2312" w:eastAsia="仿宋_GB2312" w:cs="仿宋_GB2312" w:hint="eastAsia"/>
                <w:kern w:val="0"/>
                <w:sz w:val="28"/>
                <w:szCs w:val="28"/>
              </w:rPr>
              <w:t>一级</w:t>
            </w:r>
          </w:p>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指标</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kern w:val="0"/>
                <w:sz w:val="28"/>
                <w:szCs w:val="28"/>
              </w:rPr>
            </w:pPr>
            <w:r>
              <w:rPr>
                <w:rFonts w:ascii="仿宋_GB2312" w:eastAsia="仿宋_GB2312" w:cs="仿宋_GB2312" w:hint="eastAsia"/>
                <w:kern w:val="0"/>
                <w:sz w:val="28"/>
                <w:szCs w:val="28"/>
              </w:rPr>
              <w:t>二级</w:t>
            </w:r>
          </w:p>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kern w:val="0"/>
                <w:sz w:val="28"/>
                <w:szCs w:val="28"/>
              </w:rPr>
            </w:pPr>
            <w:r>
              <w:rPr>
                <w:rFonts w:ascii="仿宋_GB2312" w:eastAsia="仿宋_GB2312" w:cs="仿宋_GB2312" w:hint="eastAsia"/>
                <w:kern w:val="0"/>
                <w:sz w:val="28"/>
                <w:szCs w:val="28"/>
              </w:rPr>
              <w:t>三级</w:t>
            </w:r>
          </w:p>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指标</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预期指标值</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center"/>
              <w:rPr>
                <w:rFonts w:ascii="仿宋_GB2312" w:eastAsia="仿宋_GB2312" w:cs="仿宋_GB2312"/>
                <w:sz w:val="28"/>
                <w:szCs w:val="28"/>
              </w:rPr>
            </w:pPr>
            <w:r>
              <w:rPr>
                <w:rFonts w:ascii="仿宋_GB2312" w:eastAsia="仿宋_GB2312" w:cs="仿宋_GB2312" w:hint="eastAsia"/>
                <w:kern w:val="0"/>
                <w:sz w:val="28"/>
                <w:szCs w:val="28"/>
              </w:rPr>
              <w:t>实际完成指标值</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val="restart"/>
            <w:tcBorders>
              <w:top w:val="single" w:sz="4" w:space="0" w:color="000000"/>
              <w:left w:val="single" w:sz="4" w:space="0" w:color="000000"/>
              <w:right w:val="single" w:sz="4" w:space="0" w:color="000000"/>
            </w:tcBorders>
            <w:shd w:val="clear" w:color="auto" w:fill="auto"/>
            <w:vAlign w:val="center"/>
          </w:tcPr>
          <w:p>
            <w:pPr>
              <w:widowControl/>
              <w:spacing w:line="320" w:lineRule="exact"/>
              <w:jc w:val="center"/>
              <w:textAlignment w:val="bottom"/>
              <w:rPr>
                <w:rFonts w:ascii="仿宋_GB2312" w:eastAsia="仿宋_GB2312" w:cs="仿宋_GB2312"/>
                <w:kern w:val="0"/>
                <w:sz w:val="28"/>
                <w:szCs w:val="28"/>
              </w:rPr>
            </w:pPr>
            <w:r>
              <w:rPr>
                <w:rFonts w:ascii="仿宋_GB2312" w:eastAsia="仿宋_GB2312" w:cs="仿宋_GB2312" w:hint="eastAsia"/>
                <w:kern w:val="0"/>
                <w:sz w:val="28"/>
                <w:szCs w:val="28"/>
              </w:rPr>
              <w:t>完成</w:t>
            </w:r>
          </w:p>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指标</w:t>
            </w:r>
          </w:p>
        </w:tc>
        <w:tc>
          <w:tcPr>
            <w:tcW w:w="851" w:type="dxa"/>
            <w:gridSpan w:val="2"/>
            <w:vMerge w:val="restart"/>
            <w:tcBorders>
              <w:top w:val="single" w:sz="4" w:space="0" w:color="000000"/>
              <w:left w:val="single" w:sz="4" w:space="0" w:color="000000"/>
              <w:right w:val="single" w:sz="4" w:space="0" w:color="000000"/>
            </w:tcBorders>
            <w:shd w:val="clear" w:color="auto" w:fill="auto"/>
            <w:vAlign w:val="center"/>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数量指标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指标1：赴外开展小分队招商工作</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赴外开展小分队招商工作预计16批次，小分队招商对接企业50家。</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赴外开展小分队招商20余批次，小分队招商对接企业50余家。</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指标2：日常重点项目促进工作</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日常重点产业项目考察、对接、洽谈、跟踪服务商务接待等预计150批次，项目促进出差预计50批次。</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日常重点产业项目考察、对接、洽谈、跟踪服务等商务接待160余批次，项目促进出差50余批次。</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指标3：举办重大招商活动</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举办重大招商活动预计2次及以上</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举办知名企业四川行活动、西博会2次重大招商活动。</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指标4：招商引资宣传工作</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1.设计、印制招商引资宣传资料预计1800册。</w:t>
              <w:br/>
              <w:t>2.微信公众号设计、规划、运营服务：</w:t>
              <w:br/>
              <w:t>①整理、编写信息并推送微信内容4期/月；</w:t>
              <w:br/>
              <w:t>②收集、提炼、编写专题宣传1条/周；</w:t>
              <w:br/>
              <w:t>③宣传视频素材的采集和剪辑1次/季度；</w:t>
              <w:br/>
              <w:t>④重要活动、重要会议等视频拍摄服务2次/年；</w:t>
              <w:br/>
              <w:t>⑤H5制作2次/年；</w:t>
              <w:br/>
              <w:t>3.其他招商引资宣传工作。</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1.设计、印制招商引资宣传资料1600册。</w:t>
              <w:br/>
              <w:t>2.微信公众号设计、规划、运营服务：</w:t>
              <w:br/>
              <w:t>①整理、编写信息并推送微信内容6期/月；</w:t>
              <w:br/>
              <w:t>②收集、提炼、编写专题宣传2条/周；</w:t>
              <w:br/>
              <w:t>③宣传视频素材的采集和剪辑8次/季度；</w:t>
              <w:br/>
              <w:t>④重要活动、重要会议等视频拍摄服务2次/年；</w:t>
              <w:br/>
              <w:t>⑤H5制作2次/年；</w:t>
              <w:br/>
              <w:t>3.其他招商引资宣传工作:宣传资料卡、名片、接待手册、推介资料、签约展板制作、宣传栏等宣传制作。</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指标5：赴驻点开展驻点招商工作</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赴广州开展驻点招商工作预计60天，对接企业预计80批次；赴宝鸡开展驻点招商工作预计70天，对接企业预计120批次。</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赴广州开展驻点招商工作32天，对接企业30余批次；赴宝鸡开展驻点招商工作预计70天，对接企业99批次。</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指标6：购买专业招商服务</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聘请招商引资法律顾问1家。</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聘请招商引资法律顾问1家。</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指标7：招商引资信息化建设及日常运维管理</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招商引资项目管理云平台2021年度运行维护管理。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招商引资项目管理云平台2021年度运行维护管理。</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right w:val="single" w:sz="4" w:space="0" w:color="000000"/>
            </w:tcBorders>
            <w:shd w:val="clear" w:color="auto" w:fill="auto"/>
            <w:vAlign w:val="center"/>
          </w:tcPr>
          <w:p/>
        </w:tc>
        <w:tc>
          <w:tcPr>
            <w:tcW w:w="851" w:type="dxa"/>
            <w:gridSpan w:val="2"/>
            <w:vMerge/>
            <w:tcBorders>
              <w:left w:val="single" w:sz="4" w:space="0" w:color="000000"/>
              <w:right w:val="single" w:sz="4" w:space="0" w:color="000000"/>
            </w:tcBorders>
            <w:shd w:val="clear" w:color="auto" w:fill="auto"/>
            <w:vAlign w:val="center"/>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指标8：市级产业招商牵头部门保障</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市级招商牵头部门年度招商引资工作实绩实效考核排位前6名经费保障</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因2021年全市统一安排各部门招商引资专项工作经费，故未另行考核安排产业招商牵头部门专项工作经费。</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质量指标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达到2021年招商引资全年目标任务</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全面完成省级业务主管部门、市委市政府下达我局2021年招商引资全年目标任务。</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省级业务主管部门、市委市政府下达我局2021年招商引资全年目标任务完成情况良好。外商直接投资到位资金（ FDI）完成77万美元，暂未达到省级业务主管部门下达200万美元的目标任务，但实现近5年来外商投资直接到位资金（FDI)零的突破，完成市委市政府提出年度目标任务。</w:t>
            </w:r>
          </w:p>
        </w:tc>
      </w:tr>
      <w:tr>
        <w:trPr>
          <w:trHeight w:val="415"/>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时效指标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工作任务完成时间节点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1年内完成</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1年内完成</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val="restart"/>
            <w:tcBorders>
              <w:top w:val="single" w:sz="4" w:space="0" w:color="000000"/>
              <w:left w:val="single" w:sz="4" w:space="0" w:color="000000"/>
              <w:right w:val="single" w:sz="4" w:space="0" w:color="000000"/>
            </w:tcBorders>
            <w:shd w:val="clear" w:color="auto" w:fill="auto"/>
            <w:vAlign w:val="center"/>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成本指标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指标1：赴外开展小分队招商工作经费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全年赴外开展小分队招商预计16批次，差旅费平均1.2万元/批次*16批次，约20万元，客商接待等费用：约0.2万元/批次*30批次=6万元，其他零星费用4万元，合计：约30万元。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赴外开展小分队招商工作20批次，差旅费支出16.49万元，客商接待等费用 0.58万元，其他零星费用0.04万元，合计：17.10万元。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指标2：日常重点项目促进工作经费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日常重点产业项目考察、对接、洽谈、跟踪服务商务接待（会务、餐费、租车、住宿、礼品等）费用：平均0.8万元/批次*150批次=120万元，项目促进差旅费0.5万元/批次*50批次=25万元，其他促进项目相关费用5万元。合计：约150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日常重点产业项目考察、对接、洽谈、跟踪服务商务接待（会务、餐费、租车、住宿、礼品等）支出55.30万元，项目促进差旅费支出20.80万元，其他促进项目相关支出4.79万元，合计80.89万元。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指标3：重大招商活动工作经费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举办重大招商活动工作经费： 西博会、知名企业四川行40 万元/次*2次=80万元（注：若承担西博会等会场展览展示经费，则另行纳入预算安排），其他重大招商活动20万元。</w:t>
              <w:br/>
              <w:t>合计：约100万元。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举办重大招商活动工作经费： 西博会活动经费20.30万元；知名企业四川行活动经费30.10万元。另：西博会展览展示经费支出50万元，合计：100.40万元。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指标4：招商引资宣传服务工作经费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1.设计、印制招商引资宣传资料1800册，平均约150元/册，小计：约27万元；</w:t>
              <w:br/>
              <w:t>2.微信公众号设计、规划、运营服务：8万元/年；</w:t>
              <w:br/>
              <w:t>3.其他零星宣传经费5万元。</w:t>
              <w:br/>
              <w:t>合计：约40万元；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1.设计、印制招商引资宣传资料1600册，支出14.96万元；</w:t>
              <w:br/>
              <w:t>2.微信公众号设计、规划、运营服务费支出6.00万元；</w:t>
              <w:br/>
              <w:t>3.其他零星宣传经费3.01万元。</w:t>
              <w:br/>
              <w:t>合计：23.98万元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指标5：赴驻点开展驻点招商工作经费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赴广州开展驻点招商工作60天，差旅费 ：650元/天.人*60天*2人=7.8万元，客商接待费用：260元/人次*300人次=7.8万元，小计约16万元；</w:t>
              <w:br/>
              <w:t>赴宝鸡开展驻点招商工作70天，差旅费 ：460元/天.人*70天*1人=3.22万元，客商接待费用：260元/人次*400人次=10.4万元，小计约:14万元。</w:t>
              <w:br/>
              <w:t>合计：约30万元。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赴广州开展驻点招商工作32天，差旅费 1.70万元，客商接待费用0.30万元，小计2.00万元；赴宝鸡开展驻点招商工作70天，差旅费4.75万元，客商接待费用4.10万元，小计8.85万元，合计10.85万元。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指标6：购买专业招商服务工作经费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聘请招商引资法律顾问费2万元/年</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聘请招商引资法律顾问费2万元，因财政资金紧缺未支付。</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right w:val="single" w:sz="4" w:space="0" w:color="000000"/>
            </w:tcBorders>
            <w:shd w:val="clear" w:color="auto" w:fill="auto"/>
            <w:vAlign w:val="bottom"/>
          </w:tcPr>
          <w:p/>
        </w:tc>
        <w:tc>
          <w:tcPr>
            <w:tcW w:w="851" w:type="dxa"/>
            <w:gridSpan w:val="2"/>
            <w:vMerge/>
            <w:tcBorders>
              <w:left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指标7：招商引资信息化建设及日常运维管理经费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招商引资项目管理云平台运行维护管理8万元。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招商引资项目管理云平台运行维护管理8万元。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left w:val="single" w:sz="4" w:space="0" w:color="000000"/>
              <w:bottom w:val="single" w:sz="4" w:space="0" w:color="000000"/>
              <w:right w:val="single" w:sz="4" w:space="0" w:color="000000"/>
            </w:tcBorders>
            <w:shd w:val="clear" w:color="auto" w:fill="auto"/>
            <w:vAlign w:val="bottom"/>
          </w:tcPr>
          <w:p/>
        </w:tc>
        <w:tc>
          <w:tcPr>
            <w:tcW w:w="851" w:type="dxa"/>
            <w:gridSpan w:val="2"/>
            <w:vMerge/>
            <w:tcBorders>
              <w:left w:val="single" w:sz="4" w:space="0" w:color="000000"/>
              <w:bottom w:val="single" w:sz="4" w:space="0" w:color="000000"/>
              <w:right w:val="single" w:sz="4" w:space="0" w:color="000000"/>
            </w:tcBorders>
            <w:shd w:val="clear" w:color="auto" w:fill="auto"/>
            <w:vAlign w:val="bottom"/>
          </w:tc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指标8：市级产业招商牵头部门招商工作经费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市级招商牵头部门年度招商引资工作实绩实效考核排位前6名保障工作经费预计100万元。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因2021年全市统一安排各部门招商引资专项工作经费，故未另行考核安排产业招商牵头部门专项工作经费。</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20" w:lineRule="exact"/>
              <w:jc w:val="center"/>
              <w:textAlignment w:val="bottom"/>
              <w:rPr>
                <w:rFonts w:ascii="仿宋_GB2312" w:eastAsia="仿宋_GB2312" w:cs="仿宋_GB2312"/>
                <w:kern w:val="0"/>
                <w:sz w:val="28"/>
                <w:szCs w:val="28"/>
              </w:rPr>
            </w:pPr>
          </w:p>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效益</w:t>
              <w:br/>
              <w:t>指标</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经济效益指标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全年招商引资到位资金（亿元）</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1.全年全市招商引资总到位资金800亿元；</w:t>
              <w:br/>
              <w:t>2.国内省外投资到位资金300亿元；</w:t>
              <w:br/>
              <w:t>3.外商投资实际到位资金8800万元。</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1.全市招商引资总到位资金801.27亿元。</w:t>
              <w:br/>
              <w:t>2.国内省外投资到位资金330.28亿元。</w:t>
              <w:br/>
              <w:t>3.外商投资实际到位资金8950.80万元。</w:t>
            </w:r>
          </w:p>
        </w:tc>
      </w:tr>
      <w:tr>
        <w:trPr>
          <w:trHeight w:val="480"/>
          <w:gridAfter w:val="1"/>
          <w:wAfter w:w="236" w:type="dxa"/>
        </w:trPr>
        <w:tc>
          <w:tcPr>
            <w:tcW w:w="534" w:type="dxa"/>
            <w:vMerge/>
            <w:tcBorders>
              <w:left w:val="single" w:sz="4" w:space="0" w:color="000000"/>
              <w:right w:val="single" w:sz="4" w:space="0" w:color="000000"/>
            </w:tcBorders>
            <w:shd w:val="clear" w:color="auto" w:fill="auto"/>
            <w:vAlign w:val="center"/>
          </w:tcP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可持续影响指标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促进产业转型和经济持续发展</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有效促进</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有效促进</w:t>
            </w:r>
          </w:p>
        </w:tc>
      </w:tr>
      <w:tr>
        <w:trPr>
          <w:trHeight w:val="530"/>
          <w:gridAfter w:val="1"/>
          <w:wAfter w:w="236" w:type="dxa"/>
        </w:trPr>
        <w:tc>
          <w:tcPr>
            <w:tcW w:w="534" w:type="dxa"/>
            <w:vMerge/>
            <w:tcBorders>
              <w:left w:val="single" w:sz="4" w:space="0" w:color="000000"/>
              <w:bottom w:val="single" w:sz="4" w:space="0" w:color="000000"/>
              <w:right w:val="single" w:sz="4" w:space="0" w:color="000000"/>
            </w:tcBorders>
            <w:shd w:val="clear" w:color="auto" w:fill="auto"/>
            <w:vAlign w:val="center"/>
          </w:tcP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满意</w:t>
              <w:br/>
              <w:t>度指标</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spacing w:line="320" w:lineRule="exact"/>
              <w:jc w:val="center"/>
              <w:textAlignment w:val="bottom"/>
              <w:rPr>
                <w:rFonts w:ascii="仿宋_GB2312" w:eastAsia="仿宋_GB2312" w:cs="仿宋_GB2312"/>
                <w:kern w:val="0"/>
                <w:sz w:val="28"/>
                <w:szCs w:val="28"/>
              </w:rPr>
            </w:pPr>
            <w:r>
              <w:rPr>
                <w:rFonts w:ascii="仿宋_GB2312" w:eastAsia="仿宋_GB2312" w:cs="仿宋_GB2312" w:hint="eastAsia"/>
                <w:kern w:val="0"/>
                <w:sz w:val="28"/>
                <w:szCs w:val="28"/>
              </w:rPr>
              <w:t>满意度</w:t>
            </w:r>
          </w:p>
          <w:p>
            <w:pPr>
              <w:widowControl/>
              <w:spacing w:line="320" w:lineRule="exact"/>
              <w:jc w:val="center"/>
              <w:textAlignment w:val="bottom"/>
              <w:rPr>
                <w:rFonts w:ascii="仿宋_GB2312" w:eastAsia="仿宋_GB2312" w:cs="仿宋_GB2312"/>
                <w:sz w:val="28"/>
                <w:szCs w:val="28"/>
              </w:rPr>
            </w:pPr>
            <w:r>
              <w:rPr>
                <w:rFonts w:ascii="仿宋_GB2312" w:eastAsia="仿宋_GB2312" w:cs="仿宋_GB2312" w:hint="eastAsia"/>
                <w:kern w:val="0"/>
                <w:sz w:val="28"/>
                <w:szCs w:val="28"/>
              </w:rPr>
              <w:t>指标</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服务对象满意度（%）</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基本满意及以上</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pPr>
              <w:jc w:val="left"/>
              <w:rPr>
                <w:rFonts w:ascii="仿宋_GB2312" w:eastAsia="仿宋_GB2312" w:cs="宋体"/>
                <w:sz w:val="22"/>
                <w:szCs w:val="22"/>
              </w:rPr>
            </w:pPr>
            <w:r>
              <w:rPr>
                <w:rFonts w:ascii="仿宋_GB2312" w:eastAsia="仿宋_GB2312" w:hint="eastAsia"/>
                <w:sz w:val="22"/>
                <w:szCs w:val="22"/>
              </w:rPr>
              <w:t>基本满意及以上</w:t>
            </w:r>
          </w:p>
        </w:tc>
      </w:tr>
    </w:tbl>
    <w:p>
      <w:pPr>
        <w:widowControl/>
        <w:adjustRightInd w:val="0"/>
        <w:snapToGrid w:val="0"/>
        <w:spacing w:line="580" w:lineRule="exact"/>
        <w:ind w:firstLineChars="200" w:firstLine="640"/>
        <w:contextualSpacing/>
        <w:jc w:val="left"/>
        <w:rPr>
          <w:rFonts w:ascii="仿宋_GB2312" w:eastAsia="仿宋_GB2312" w:cs="宋体"/>
          <w:color w:val="FF0000"/>
          <w:kern w:val="0"/>
          <w:sz w:val="32"/>
          <w:szCs w:val="32"/>
          <w:shd w:val="clear" w:color="auto" w:fill="FFFFFF"/>
          <w:lang w:val="zh-CN"/>
        </w:rPr>
      </w:pPr>
    </w:p>
    <w:p>
      <w:pPr>
        <w:pStyle w:val="15"/>
        <w:spacing w:beforeLines="0" w:before="93"/>
        <w:rPr>
          <w:shd w:val="clear" w:color="auto" w:fill="FFFFFF"/>
          <w:lang w:val="zh-CN"/>
        </w:rPr>
      </w:pPr>
      <w:r>
        <w:rPr>
          <w:shd w:val="clear" w:color="auto" w:fill="FFFFFF"/>
          <w:lang w:val="zh-CN"/>
        </w:rPr>
        <w:br w:type="page"/>
      </w:r>
    </w:p>
    <w:p>
      <w:pPr>
        <w:spacing w:line="600" w:lineRule="exact"/>
        <w:jc w:val="center"/>
        <w:outlineLvl w:val="0"/>
        <w:rPr>
          <w:rFonts w:ascii="仿宋" w:eastAsia="仿宋"/>
        </w:rPr>
      </w:pPr>
      <w:bookmarkStart w:id="68" w:name="_Toc15396618"/>
      <w:r>
        <w:rPr>
          <w:rFonts w:ascii="黑体" w:eastAsia="黑体" w:hint="eastAsia"/>
          <w:sz w:val="44"/>
          <w:szCs w:val="44"/>
        </w:rPr>
        <w:t>第</w:t>
      </w:r>
      <w:r>
        <w:rPr>
          <w:rStyle w:val="1Char"/>
          <w:rFonts w:ascii="黑体" w:eastAsia="黑体" w:hint="eastAsia"/>
          <w:b w:val="0"/>
        </w:rPr>
        <w:t>五部分 附表</w:t>
      </w:r>
      <w:bookmarkEnd w:id="66"/>
      <w:bookmarkEnd w:id="68"/>
    </w:p>
    <w:p>
      <w:pPr>
        <w:pStyle w:val="2"/>
        <w:spacing w:line="560" w:lineRule="exact"/>
        <w:rPr>
          <w:rFonts w:ascii="仿宋" w:eastAsia="仿宋"/>
        </w:rPr>
      </w:pPr>
      <w:bookmarkStart w:id="69" w:name="_Toc15396619"/>
      <w:r>
        <w:rPr>
          <w:rFonts w:ascii="仿宋" w:eastAsia="仿宋" w:hint="eastAsia"/>
          <w:b w:val="0"/>
        </w:rPr>
        <w:t>一、</w:t>
      </w:r>
      <w:r>
        <w:rPr>
          <w:rStyle w:val="2Char"/>
          <w:rFonts w:ascii="仿宋" w:eastAsia="仿宋" w:hint="eastAsia"/>
        </w:rPr>
        <w:t>收入</w:t>
      </w:r>
      <w:r>
        <w:rPr>
          <w:rStyle w:val="2Char"/>
          <w:rFonts w:ascii="仿宋" w:eastAsia="仿宋" w:hint="eastAsia"/>
        </w:rPr>
        <w:t>支出决算总表</w:t>
      </w:r>
      <w:bookmarkEnd w:id="69"/>
    </w:p>
    <w:p>
      <w:pPr>
        <w:pStyle w:val="2"/>
        <w:spacing w:line="560" w:lineRule="exact"/>
        <w:rPr>
          <w:rFonts w:ascii="仿宋" w:eastAsia="仿宋"/>
        </w:rPr>
      </w:pPr>
      <w:bookmarkStart w:id="70" w:name="_Toc15396620"/>
      <w:r>
        <w:rPr>
          <w:rFonts w:ascii="仿宋" w:eastAsia="仿宋" w:hint="eastAsia"/>
          <w:b w:val="0"/>
        </w:rPr>
        <w:t>二、</w:t>
      </w:r>
      <w:r>
        <w:rPr>
          <w:rStyle w:val="2Char"/>
          <w:rFonts w:ascii="仿宋" w:eastAsia="仿宋" w:hint="eastAsia"/>
        </w:rPr>
        <w:t>收入</w:t>
      </w:r>
      <w:r>
        <w:rPr>
          <w:rStyle w:val="2Char"/>
          <w:rFonts w:ascii="仿宋" w:eastAsia="仿宋" w:hint="eastAsia"/>
        </w:rPr>
        <w:t>决算表</w:t>
      </w:r>
      <w:bookmarkEnd w:id="70"/>
    </w:p>
    <w:p>
      <w:pPr>
        <w:pStyle w:val="2"/>
        <w:spacing w:line="560" w:lineRule="exact"/>
        <w:rPr>
          <w:rFonts w:ascii="仿宋" w:eastAsia="仿宋"/>
        </w:rPr>
      </w:pPr>
      <w:bookmarkStart w:id="71" w:name="_Toc15396621"/>
      <w:r>
        <w:rPr>
          <w:rStyle w:val="2Char"/>
          <w:rFonts w:ascii="仿宋" w:eastAsia="仿宋" w:hint="eastAsia"/>
        </w:rPr>
        <w:t>三、</w:t>
      </w:r>
      <w:r>
        <w:rPr>
          <w:rStyle w:val="2Char"/>
          <w:rFonts w:ascii="仿宋" w:eastAsia="仿宋" w:hint="eastAsia"/>
        </w:rPr>
        <w:t>支出</w:t>
      </w:r>
      <w:r>
        <w:rPr>
          <w:rStyle w:val="2Char"/>
          <w:rFonts w:ascii="仿宋" w:eastAsia="仿宋" w:hint="eastAsia"/>
        </w:rPr>
        <w:t>决算表</w:t>
      </w:r>
      <w:bookmarkEnd w:id="71"/>
    </w:p>
    <w:p>
      <w:pPr>
        <w:pStyle w:val="2"/>
        <w:spacing w:line="560" w:lineRule="exact"/>
        <w:rPr>
          <w:rFonts w:ascii="仿宋" w:eastAsia="仿宋"/>
          <w:b w:val="0"/>
        </w:rPr>
      </w:pPr>
      <w:bookmarkStart w:id="72" w:name="_Toc15396622"/>
      <w:r>
        <w:rPr>
          <w:rStyle w:val="2Char"/>
          <w:rFonts w:ascii="仿宋" w:eastAsia="仿宋" w:hint="eastAsia"/>
        </w:rPr>
        <w:t>四、</w:t>
      </w:r>
      <w:r>
        <w:rPr>
          <w:rStyle w:val="2Char"/>
          <w:rFonts w:ascii="仿宋" w:eastAsia="仿宋" w:hint="eastAsia"/>
        </w:rPr>
        <w:t>财</w:t>
      </w:r>
      <w:r>
        <w:rPr>
          <w:rStyle w:val="2Char"/>
          <w:rFonts w:ascii="仿宋" w:eastAsia="仿宋" w:hint="eastAsia"/>
        </w:rPr>
        <w:t>政拨款收入支出决算总表</w:t>
      </w:r>
      <w:bookmarkEnd w:id="72"/>
    </w:p>
    <w:p>
      <w:pPr>
        <w:pStyle w:val="2"/>
        <w:spacing w:line="560" w:lineRule="exact"/>
        <w:rPr>
          <w:rStyle w:val="2Char"/>
          <w:rFonts w:ascii="仿宋" w:eastAsia="仿宋"/>
        </w:rPr>
      </w:pPr>
      <w:bookmarkStart w:id="73" w:name="_Toc15396623"/>
      <w:r>
        <w:rPr>
          <w:rStyle w:val="2Char"/>
          <w:rFonts w:ascii="仿宋" w:eastAsia="仿宋" w:hint="eastAsia"/>
        </w:rPr>
        <w:t>五、</w:t>
      </w:r>
      <w:r>
        <w:rPr>
          <w:rStyle w:val="2Char"/>
          <w:rFonts w:ascii="仿宋" w:eastAsia="仿宋" w:hint="eastAsia"/>
        </w:rPr>
        <w:t>财</w:t>
      </w:r>
      <w:r>
        <w:rPr>
          <w:rStyle w:val="2Char"/>
          <w:rFonts w:ascii="仿宋" w:eastAsia="仿宋" w:hint="eastAsia"/>
        </w:rPr>
        <w:t>政拨款支出决算明细表</w:t>
      </w:r>
      <w:bookmarkStart w:id="74" w:name="_Toc15396624"/>
      <w:bookmarkEnd w:id="73"/>
    </w:p>
    <w:p>
      <w:pPr>
        <w:pStyle w:val="2"/>
        <w:spacing w:line="560" w:lineRule="exact"/>
        <w:rPr>
          <w:rFonts w:ascii="仿宋" w:eastAsia="仿宋"/>
        </w:rPr>
      </w:pPr>
      <w:r>
        <w:rPr>
          <w:rStyle w:val="2Char"/>
          <w:rFonts w:ascii="仿宋" w:eastAsia="仿宋" w:hint="eastAsia"/>
        </w:rPr>
        <w:t>六、</w:t>
      </w:r>
      <w:r>
        <w:rPr>
          <w:rStyle w:val="2Char"/>
          <w:rFonts w:ascii="仿宋" w:eastAsia="仿宋" w:hint="eastAsia"/>
        </w:rPr>
        <w:t>一</w:t>
      </w:r>
      <w:r>
        <w:rPr>
          <w:rStyle w:val="2Char"/>
          <w:rFonts w:ascii="仿宋" w:eastAsia="仿宋" w:hint="eastAsia"/>
        </w:rPr>
        <w:t>般公共预算财政拨款支出决算表</w:t>
      </w:r>
      <w:bookmarkEnd w:id="74"/>
    </w:p>
    <w:p>
      <w:pPr>
        <w:pStyle w:val="2"/>
        <w:spacing w:line="560" w:lineRule="exact"/>
        <w:rPr>
          <w:rFonts w:ascii="仿宋" w:eastAsia="仿宋"/>
        </w:rPr>
      </w:pPr>
      <w:bookmarkStart w:id="75" w:name="_Toc15396625"/>
      <w:r>
        <w:rPr>
          <w:rStyle w:val="2Char"/>
          <w:rFonts w:ascii="仿宋" w:eastAsia="仿宋" w:hint="eastAsia"/>
        </w:rPr>
        <w:t>七、</w:t>
      </w:r>
      <w:r>
        <w:rPr>
          <w:rStyle w:val="2Char"/>
          <w:rFonts w:ascii="仿宋" w:eastAsia="仿宋" w:hint="eastAsia"/>
        </w:rPr>
        <w:t>一</w:t>
      </w:r>
      <w:r>
        <w:rPr>
          <w:rStyle w:val="2Char"/>
          <w:rFonts w:ascii="仿宋" w:eastAsia="仿宋" w:hint="eastAsia"/>
        </w:rPr>
        <w:t>般公共预算财政拨款支出决算明细表</w:t>
      </w:r>
      <w:bookmarkEnd w:id="75"/>
    </w:p>
    <w:p>
      <w:pPr>
        <w:pStyle w:val="2"/>
        <w:spacing w:line="560" w:lineRule="exact"/>
        <w:rPr>
          <w:rFonts w:ascii="仿宋" w:eastAsia="仿宋"/>
        </w:rPr>
      </w:pPr>
      <w:bookmarkStart w:id="76" w:name="_Toc15396626"/>
      <w:r>
        <w:rPr>
          <w:rStyle w:val="2Char"/>
          <w:rFonts w:ascii="仿宋" w:eastAsia="仿宋" w:hint="eastAsia"/>
        </w:rPr>
        <w:t>八、</w:t>
      </w:r>
      <w:r>
        <w:rPr>
          <w:rStyle w:val="2Char"/>
          <w:rFonts w:ascii="仿宋" w:eastAsia="仿宋" w:hint="eastAsia"/>
        </w:rPr>
        <w:t>一</w:t>
      </w:r>
      <w:r>
        <w:rPr>
          <w:rStyle w:val="2Char"/>
          <w:rFonts w:ascii="仿宋" w:eastAsia="仿宋" w:hint="eastAsia"/>
        </w:rPr>
        <w:t>般公共预算财政拨款基本支出决算表</w:t>
      </w:r>
      <w:bookmarkEnd w:id="76"/>
    </w:p>
    <w:p>
      <w:pPr>
        <w:pStyle w:val="2"/>
        <w:spacing w:line="560" w:lineRule="exact"/>
        <w:rPr>
          <w:rFonts w:ascii="仿宋" w:eastAsia="仿宋"/>
        </w:rPr>
      </w:pPr>
      <w:bookmarkStart w:id="77" w:name="_Toc15396627"/>
      <w:r>
        <w:rPr>
          <w:rStyle w:val="2Char"/>
          <w:rFonts w:ascii="仿宋" w:eastAsia="仿宋" w:hint="eastAsia"/>
        </w:rPr>
        <w:t>九、</w:t>
      </w:r>
      <w:r>
        <w:rPr>
          <w:rStyle w:val="2Char"/>
          <w:rFonts w:ascii="仿宋" w:eastAsia="仿宋" w:hint="eastAsia"/>
        </w:rPr>
        <w:t>一般</w:t>
      </w:r>
      <w:r>
        <w:rPr>
          <w:rStyle w:val="2Char"/>
          <w:rFonts w:ascii="仿宋" w:eastAsia="仿宋" w:hint="eastAsia"/>
        </w:rPr>
        <w:t>公共预算财政拨款项目支出决算表</w:t>
      </w:r>
      <w:bookmarkEnd w:id="77"/>
    </w:p>
    <w:p>
      <w:pPr>
        <w:pStyle w:val="2"/>
        <w:spacing w:line="560" w:lineRule="exact"/>
        <w:rPr>
          <w:rFonts w:ascii="仿宋" w:eastAsia="仿宋"/>
        </w:rPr>
      </w:pPr>
      <w:bookmarkStart w:id="78" w:name="_Toc15396628"/>
      <w:r>
        <w:rPr>
          <w:rStyle w:val="2Char"/>
          <w:rFonts w:ascii="仿宋" w:eastAsia="仿宋" w:hint="eastAsia"/>
        </w:rPr>
        <w:t>十、</w:t>
      </w:r>
      <w:r>
        <w:rPr>
          <w:rStyle w:val="2Char"/>
          <w:rFonts w:ascii="仿宋" w:eastAsia="仿宋" w:hint="eastAsia"/>
        </w:rPr>
        <w:t>一般</w:t>
      </w:r>
      <w:r>
        <w:rPr>
          <w:rStyle w:val="2Char"/>
          <w:rFonts w:ascii="仿宋" w:eastAsia="仿宋" w:hint="eastAsia"/>
        </w:rPr>
        <w:t>公共预算财政拨款“三公”经费支出决算表</w:t>
      </w:r>
      <w:bookmarkEnd w:id="78"/>
    </w:p>
    <w:p>
      <w:pPr>
        <w:pStyle w:val="2"/>
        <w:spacing w:line="560" w:lineRule="exact"/>
        <w:rPr>
          <w:rFonts w:ascii="仿宋" w:eastAsia="仿宋"/>
        </w:rPr>
      </w:pPr>
      <w:bookmarkStart w:id="79" w:name="_Toc15396629"/>
      <w:r>
        <w:rPr>
          <w:rStyle w:val="2Char"/>
          <w:rFonts w:ascii="仿宋" w:eastAsia="仿宋" w:hint="eastAsia"/>
        </w:rPr>
        <w:t>十一、</w:t>
      </w:r>
      <w:r>
        <w:rPr>
          <w:rStyle w:val="2Char"/>
          <w:rFonts w:ascii="仿宋" w:eastAsia="仿宋" w:hint="eastAsia"/>
        </w:rPr>
        <w:t>政府</w:t>
      </w:r>
      <w:r>
        <w:rPr>
          <w:rStyle w:val="2Char"/>
          <w:rFonts w:ascii="仿宋" w:eastAsia="仿宋" w:hint="eastAsia"/>
        </w:rPr>
        <w:t>性基金预算财政拨款收入支出决算表</w:t>
      </w:r>
      <w:bookmarkEnd w:id="79"/>
    </w:p>
    <w:p>
      <w:pPr>
        <w:pStyle w:val="2"/>
        <w:spacing w:line="560" w:lineRule="exact"/>
        <w:rPr>
          <w:rFonts w:ascii="仿宋" w:eastAsia="仿宋"/>
        </w:rPr>
      </w:pPr>
      <w:bookmarkStart w:id="80" w:name="_Toc15396630"/>
      <w:r>
        <w:rPr>
          <w:rStyle w:val="2Char"/>
          <w:rFonts w:ascii="仿宋" w:eastAsia="仿宋" w:hint="eastAsia"/>
        </w:rPr>
        <w:t>十二、</w:t>
      </w:r>
      <w:r>
        <w:rPr>
          <w:rStyle w:val="2Char"/>
          <w:rFonts w:ascii="仿宋" w:eastAsia="仿宋" w:hint="eastAsia"/>
        </w:rPr>
        <w:t>政</w:t>
      </w:r>
      <w:r>
        <w:rPr>
          <w:rStyle w:val="2Char"/>
          <w:rFonts w:ascii="仿宋" w:eastAsia="仿宋" w:hint="eastAsia"/>
        </w:rPr>
        <w:t>府性基金预算财政拨款“三公”经费支出决算表</w:t>
      </w:r>
      <w:bookmarkEnd w:id="80"/>
      <w:r>
        <w:rPr>
          <w:rStyle w:val="2Char"/>
          <w:rFonts w:ascii="仿宋" w:eastAsia="仿宋" w:hint="eastAsia"/>
        </w:rPr>
        <w:t>（此表无数据）</w:t>
      </w:r>
    </w:p>
    <w:p>
      <w:pPr>
        <w:pStyle w:val="2"/>
        <w:spacing w:line="560" w:lineRule="exact"/>
        <w:rPr>
          <w:rStyle w:val="2Char"/>
          <w:rFonts w:ascii="仿宋" w:eastAsia="仿宋"/>
        </w:rPr>
      </w:pPr>
      <w:bookmarkStart w:id="81" w:name="_Toc15396631"/>
      <w:r>
        <w:rPr>
          <w:rStyle w:val="2Char"/>
          <w:rFonts w:ascii="仿宋" w:eastAsia="仿宋" w:hint="eastAsia"/>
        </w:rPr>
        <w:t>十三、</w:t>
      </w:r>
      <w:r>
        <w:rPr>
          <w:rStyle w:val="2Char"/>
          <w:rFonts w:ascii="仿宋" w:eastAsia="仿宋" w:hint="eastAsia"/>
        </w:rPr>
        <w:t>国</w:t>
      </w:r>
      <w:r>
        <w:rPr>
          <w:rStyle w:val="2Char"/>
          <w:rFonts w:ascii="仿宋" w:eastAsia="仿宋" w:hint="eastAsia"/>
        </w:rPr>
        <w:t>有资本经营预算财政拨款收入支出决算表（此表无数据）</w:t>
      </w:r>
    </w:p>
    <w:p>
      <w:pPr>
        <w:pStyle w:val="2"/>
        <w:spacing w:line="560" w:lineRule="exact"/>
        <w:rPr>
          <w:rStyle w:val="2Char"/>
          <w:rFonts w:ascii="仿宋" w:eastAsia="仿宋"/>
        </w:rPr>
      </w:pPr>
      <w:r>
        <w:rPr>
          <w:rStyle w:val="2Char"/>
          <w:rFonts w:ascii="仿宋" w:eastAsia="仿宋" w:hint="eastAsia"/>
        </w:rPr>
        <w:t>十四、国有资本经营预算财政拨款支出决算表（此表无数据）</w:t>
      </w:r>
      <w:bookmarkEnd w:id="81"/>
    </w:p>
    <w:sectPr>
      <w:footerReference w:type="default" r:id="rId4"/>
      <w:footerReference w:type="first" r:id="rId5"/>
      <w:pgSz w:w="11906" w:h="16838"/>
      <w:pgMar w:top="1440" w:right="1588" w:bottom="1440" w:left="1588" w:header="851" w:footer="992" w:gutter="0"/>
      <w:pgNumType w:start="1"/>
      <w:docGrid w:type="linesAndChars" w:linePitch="312" w:charSpace="0"/>
    </w:sectPr>
  </w:body>
</w:document>
</file>

<file path=word/fontTable.xml><?xml version="1.0" encoding="utf-8"?>
<w:fonts xmlns:w="http://schemas.openxmlformats.org/wordprocessingml/2006/main" xmlns:r="http://schemas.openxmlformats.org/officeDocument/2006/relationships">
  <w:font w:name="宋体">
    <w:altName w:val="方正兰亭黑_GBK"/>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楷体_GB2312">
    <w:altName w:val="楷体"/>
    <w:panose1 w:val="02010609030101010101"/>
    <w:charset w:val="86"/>
    <w:family w:val="modern"/>
    <w:pitch w:val="variable"/>
    <w:sig w:usb0="00000001" w:usb1="080E0000" w:usb2="00000010" w:usb3="00000000" w:csb0="00040000" w:csb1="00000000"/>
  </w:font>
  <w:font w:name="Arial">
    <w:altName w:val="DejaVu Sans"/>
    <w:panose1 w:val="020B0604020202020204"/>
    <w:charset w:val="00"/>
    <w:family w:val="auto"/>
    <w:pitch w:val="variable"/>
    <w:sig w:usb0="00007A87" w:usb1="80000000" w:usb2="00000008" w:usb3="00000000" w:csb0="400001FF" w:csb1="FFFF0000"/>
  </w:font>
  <w:font w:name="仿宋_GB2312">
    <w:panose1 w:val="02010609030101010101"/>
    <w:charset w:val="86"/>
    <w:family w:val="modern"/>
    <w:pitch w:val="variable"/>
    <w:sig w:usb0="00000001" w:usb1="080E0000" w:usb2="00000010" w:usb3="00000000" w:csb0="00040000" w:csb1="00000000"/>
  </w:font>
  <w:font w:name="仿宋">
    <w:panose1 w:val="02010609060101010101"/>
    <w:charset w:val="86"/>
    <w:family w:val="modern"/>
    <w:pitch w:val="variable"/>
    <w:sig w:usb0="800002BF" w:usb1="38CF7CFA" w:usb2="00000016" w:usb3="00000000" w:csb0="00040001" w:csb1="00000000"/>
  </w:font>
  <w:font w:name="Times New Roman">
    <w:altName w:val="DejaVu Sans"/>
    <w:panose1 w:val="02020603050405020304"/>
    <w:charset w:val="00"/>
    <w:family w:val="roman"/>
    <w:pitch w:val="variable"/>
    <w:sig w:usb0="E0002AFF" w:usb1="C0007841" w:usb2="00000009" w:usb3="00000000" w:csb0="000001FF" w:csb1="00000000"/>
  </w:font>
  <w:font w:name="Times#20New#20Roman">
    <w:altName w:val="DejaVu Sans"/>
    <w:panose1 w:val="00000000000000000000"/>
    <w:charset w:val="00"/>
    <w:family w:val="roman"/>
    <w:pitch w:val="variable"/>
  </w:font>
  <w:font w:name="楷体">
    <w:panose1 w:val="02010609060101010101"/>
    <w:charset w:val="86"/>
    <w:family w:val="modern"/>
    <w:pitch w:val="variable"/>
    <w:sig w:usb0="800002BF" w:usb1="38CF7CFA" w:usb2="00000016" w:usb3="00000000" w:csb0="00040001" w:csb1="00000000"/>
  </w:font>
  <w:font w:name="Cambria">
    <w:altName w:val="DejaVu Sans"/>
    <w:panose1 w:val="02040503050406030204"/>
    <w:charset w:val="00"/>
    <w:family w:val="roman"/>
    <w:pitch w:val="variable"/>
    <w:sig w:usb0="E00002FF" w:usb1="400004FF" w:usb2="00000000" w:usb3="00000000" w:csb0="0000019F" w:csb1="00000000"/>
  </w:font>
  <w:font w:name="Calibri">
    <w:altName w:val="DejaVu Sans"/>
    <w:panose1 w:val="020F0502020204030204"/>
    <w:charset w:val="00"/>
    <w:family w:val="swiss"/>
    <w:pitch w:val="variable"/>
    <w:sig w:usb0="E10002FF" w:usb1="4000ACFF" w:usb2="00000009"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73781319"/>
      <w:showingPlcHdr/>
    </w:sdtPr>
    <w:sdtEndPr>
      <w:rPr>
        <w:rFonts w:ascii="宋体" w:eastAsia="宋体"/>
        <w:sz w:val="28"/>
        <w:szCs w:val="28"/>
      </w:rPr>
    </w:sdtEndPr>
    <w:sdtContent>
      <w:p>
        <w:pPr>
          <w:pStyle w:val="18"/>
          <w:tabs>
            <w:tab w:val="center" w:pos="4153"/>
            <w:tab w:val="right" w:pos="8306"/>
          </w:tabs>
          <w:jc w:val="center"/>
          <w:rPr>
            <w:rFonts w:ascii="宋体" w:eastAsia="宋体"/>
            <w:sz w:val="28"/>
            <w:szCs w:val="28"/>
          </w:rPr>
        </w:pPr>
        <w:r>
          <w:t xml:space="preserve">     </w:t>
        </w:r>
      </w:p>
    </w:sdtContent>
  </w:sdt>
  <w:p>
    <w:pPr>
      <w:pStyle w:val="18"/>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416587497"/>
      <w:docPartObj>
        <w:docPartGallery w:val="Page Numbers (Bottom of Page)"/>
        <w:docPartUnique/>
      </w:docPartObj>
    </w:sdtPr>
    <w:sdtEndPr>
      <w:rPr>
        <w:rFonts w:ascii="宋体" w:eastAsia="宋体"/>
        <w:sz w:val="24"/>
        <w:szCs w:val="24"/>
      </w:rPr>
    </w:sdtEndPr>
    <w:sdtContent>
      <w:p>
        <w:pPr>
          <w:pStyle w:val="18"/>
          <w:tabs>
            <w:tab w:val="center" w:pos="4153"/>
            <w:tab w:val="right" w:pos="8306"/>
          </w:tabs>
          <w:jc w:val="center"/>
          <w:rPr>
            <w:rFonts w:ascii="宋体" w:eastAsia="宋体"/>
            <w:sz w:val="24"/>
            <w:szCs w:val="24"/>
          </w:rPr>
        </w:pPr>
        <w:r>
          <w:rPr>
            <w:rFonts w:ascii="宋体" w:eastAsia="宋体"/>
            <w:sz w:val="24"/>
            <w:szCs w:val="24"/>
          </w:rPr>
          <w:fldChar w:fldCharType="begin"/>
        </w:r>
        <w:r>
          <w:rPr>
            <w:rFonts w:ascii="宋体" w:eastAsia="宋体"/>
            <w:sz w:val="24"/>
            <w:szCs w:val="24"/>
          </w:rPr>
          <w:instrText>PAGE   \* MERGEFORMAT</w:instrText>
        </w:r>
        <w:r>
          <w:rPr>
            <w:rFonts w:ascii="宋体" w:eastAsia="宋体"/>
            <w:sz w:val="24"/>
            <w:szCs w:val="24"/>
          </w:rPr>
          <w:fldChar w:fldCharType="separate"/>
        </w:r>
        <w:r>
          <w:rPr>
            <w:rFonts w:ascii="宋体" w:eastAsia="宋体"/>
            <w:sz w:val="24"/>
            <w:szCs w:val="24"/>
            <w:lang w:val="zh-CN"/>
          </w:rPr>
          <w:t>1</w:t>
        </w:r>
        <w:r>
          <w:rPr>
            <w:rFonts w:ascii="宋体" w:eastAsia="宋体"/>
            <w:sz w:val="24"/>
            <w:szCs w:val="24"/>
          </w:rPr>
          <w:fldChar w:fldCharType="end"/>
        </w:r>
      </w:p>
    </w:sdtContent>
  </w:sdt>
  <w:p>
    <w:pPr>
      <w:pStyle w:val="18"/>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09765403"/>
      <w:docPartObj>
        <w:docPartGallery w:val="Page Numbers (Bottom of Page)"/>
        <w:docPartUnique/>
      </w:docPartObj>
    </w:sdtPr>
    <w:sdtContent>
      <w:p>
        <w:pPr>
          <w:pStyle w:val="18"/>
          <w:tabs>
            <w:tab w:val="center" w:pos="4153"/>
            <w:tab w:val="right" w:pos="8306"/>
          </w:tabs>
          <w:jc w:val="center"/>
        </w:pPr>
        <w:r>
          <w:fldChar w:fldCharType="begin"/>
        </w:r>
        <w:r>
          <w:instrText>PAGE   \* MERGEFORMAT</w:instrText>
        </w:r>
        <w:r>
          <w:fldChar w:fldCharType="separate"/>
        </w:r>
        <w:r>
          <w:rPr>
            <w:lang w:val="zh-CN"/>
          </w:rPr>
          <w:t>3</w:t>
        </w:r>
        <w:r>
          <w:fldChar w:fldCharType="end"/>
        </w:r>
      </w:p>
    </w:sdtContent>
  </w:sdt>
  <w:p>
    <w:pPr>
      <w:pStyle w:val="18"/>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2621CDC"/>
    <w:multiLevelType w:val="multilevel"/>
    <w:tmpl w:val="62621CDC"/>
    <w:lvl w:ilvl="0">
      <w:start w:val="1"/>
      <w:numFmt w:val="decimal"/>
      <w:lvlRestart w:val="0"/>
      <w:lvlText w:val="%1."/>
      <w:lvlJc w:val="left"/>
      <w:pPr>
        <w:tabs>
          <w:tab w:val="num" w:pos="0"/>
        </w:tabs>
        <w:ind w:left="1152" w:hanging="480"/>
      </w:pPr>
      <w:rPr>
        <w:rFonts w:hint="default"/>
      </w:rPr>
    </w:lvl>
    <w:lvl w:ilvl="1">
      <w:start w:val="1"/>
      <w:numFmt w:val="lowerLetter"/>
      <w:lvlText w:val="%2)"/>
      <w:lvlJc w:val="left"/>
      <w:pPr>
        <w:tabs>
          <w:tab w:val="num" w:pos="0"/>
        </w:tabs>
        <w:ind w:left="1512" w:hanging="420"/>
      </w:pPr>
    </w:lvl>
    <w:lvl w:ilvl="2">
      <w:start w:val="1"/>
      <w:numFmt w:val="lowerRoman"/>
      <w:lvlText w:val="%3."/>
      <w:lvlJc w:val="right"/>
      <w:pPr>
        <w:tabs>
          <w:tab w:val="num" w:pos="0"/>
        </w:tabs>
        <w:ind w:left="1932" w:hanging="420"/>
      </w:pPr>
    </w:lvl>
    <w:lvl w:ilvl="3">
      <w:start w:val="1"/>
      <w:numFmt w:val="decimal"/>
      <w:lvlText w:val="%4."/>
      <w:lvlJc w:val="left"/>
      <w:pPr>
        <w:tabs>
          <w:tab w:val="num" w:pos="0"/>
        </w:tabs>
        <w:ind w:left="2352" w:hanging="420"/>
      </w:pPr>
    </w:lvl>
    <w:lvl w:ilvl="4">
      <w:start w:val="1"/>
      <w:numFmt w:val="lowerLetter"/>
      <w:lvlText w:val="%5)"/>
      <w:lvlJc w:val="left"/>
      <w:pPr>
        <w:tabs>
          <w:tab w:val="num" w:pos="0"/>
        </w:tabs>
        <w:ind w:left="2772" w:hanging="420"/>
      </w:pPr>
    </w:lvl>
    <w:lvl w:ilvl="5">
      <w:start w:val="1"/>
      <w:numFmt w:val="lowerRoman"/>
      <w:lvlText w:val="%6."/>
      <w:lvlJc w:val="right"/>
      <w:pPr>
        <w:tabs>
          <w:tab w:val="num" w:pos="0"/>
        </w:tabs>
        <w:ind w:left="3192" w:hanging="420"/>
      </w:pPr>
    </w:lvl>
    <w:lvl w:ilvl="6">
      <w:start w:val="1"/>
      <w:numFmt w:val="decimal"/>
      <w:lvlText w:val="%7."/>
      <w:lvlJc w:val="left"/>
      <w:pPr>
        <w:tabs>
          <w:tab w:val="num" w:pos="0"/>
        </w:tabs>
        <w:ind w:left="3612" w:hanging="420"/>
      </w:pPr>
    </w:lvl>
    <w:lvl w:ilvl="7">
      <w:start w:val="1"/>
      <w:numFmt w:val="lowerLetter"/>
      <w:lvlText w:val="%8)"/>
      <w:lvlJc w:val="left"/>
      <w:pPr>
        <w:tabs>
          <w:tab w:val="num" w:pos="0"/>
        </w:tabs>
        <w:ind w:left="4032" w:hanging="420"/>
      </w:pPr>
    </w:lvl>
    <w:lvl w:ilvl="8">
      <w:start w:val="1"/>
      <w:numFmt w:val="lowerRoman"/>
      <w:lvlText w:val="%9."/>
      <w:lvlJc w:val="right"/>
      <w:pPr>
        <w:tabs>
          <w:tab w:val="num" w:pos="0"/>
        </w:tabs>
        <w:ind w:left="4452" w:hanging="420"/>
      </w:pPr>
    </w:lvl>
  </w:abstractNum>
  <w:abstractNum w:abstractNumId="1">
    <w:nsid w:val="1272550B"/>
    <w:multiLevelType w:val="multilevel"/>
    <w:tmpl w:val="EDA0C814"/>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2">
    <w:nsid w:val="CF652CEC"/>
    <w:multiLevelType w:val="singleLevel"/>
    <w:tmpl w:val="CF652CEC"/>
    <w:lvl w:ilvl="0">
      <w:start w:val="9"/>
      <w:numFmt w:val="chineseCounting"/>
      <w:lvlRestart w:val="0"/>
      <w:suff w:val="nothing"/>
      <w:lvlText w:val="%1、"/>
      <w:lvlJc w:val="left"/>
      <w:pPr>
        <w:tabs>
          <w:tab w:val="num" w:pos="0"/>
        </w:tabs>
        <w:ind w:left="0" w:hanging="0"/>
      </w:pPr>
      <w:rPr>
        <w:rFonts w:hint="eastAsia"/>
      </w:rPr>
    </w:lvl>
  </w:abstractNum>
  <w:abstractNum w:abstractNumId="3">
    <w:nsid w:val="E2FA047D"/>
    <w:multiLevelType w:val="singleLevel"/>
    <w:tmpl w:val="E2FA047D"/>
    <w:lvl w:ilvl="0">
      <w:start w:val="3"/>
      <w:numFmt w:val="chineseCounting"/>
      <w:lvlRestart w:val="0"/>
      <w:suff w:val="space"/>
      <w:lvlText w:val="第%1部分"/>
      <w:lvlJc w:val="left"/>
      <w:pPr>
        <w:tabs>
          <w:tab w:val="num" w:pos="0"/>
        </w:tabs>
        <w:ind w:left="0" w:hanging="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toc 3"/>
    <w:basedOn w:val="0"/>
    <w:next w:val="0"/>
    <w:pPr>
      <w:tabs>
        <w:tab w:val="right" w:leader="dot" w:pos="8296"/>
      </w:tabs>
      <w:ind w:leftChars="400" w:left="400"/>
    </w:p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rFonts w:ascii="Calibri" w:hAnsi="Calibri"/>
      <w:kern w:val="0"/>
      <w:sz w:val="18"/>
      <w:szCs w:val="18"/>
    </w:rPr>
  </w:style>
  <w:style w:type="paragraph" w:styleId="19">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0">
    <w:name w:val="toc 1"/>
    <w:basedOn w:val="0"/>
    <w:next w:val="0"/>
    <w:pPr>
      <w:tabs>
        <w:tab w:val="right" w:leader="dot" w:pos="8296"/>
      </w:tabs>
      <w:spacing w:before="93"/>
      <w:jc w:val="center"/>
    </w:pPr>
    <w:rPr>
      <w:rFonts w:ascii="仿宋" w:eastAsia="仿宋"/>
      <w:sz w:val="28"/>
      <w:szCs w:val="28"/>
    </w:rPr>
  </w:style>
  <w:style w:type="paragraph" w:styleId="21">
    <w:name w:val="toc 2"/>
    <w:basedOn w:val="0"/>
    <w:next w:val="0"/>
    <w:pPr>
      <w:tabs>
        <w:tab w:val="right" w:leader="dot" w:pos="8296"/>
      </w:tabs>
      <w:ind w:leftChars="200" w:left="200"/>
    </w:pPr>
  </w:style>
  <w:style w:type="character" w:styleId="22">
    <w:name w:val="Strong"/>
    <w:basedOn w:val="10"/>
    <w:rPr>
      <w:b/>
    </w:rPr>
  </w:style>
  <w:style w:type="character" w:styleId="23">
    <w:name w:val="Hyperlink"/>
    <w:basedOn w:val="10"/>
    <w:rPr>
      <w:color w:val="0000FF"/>
      <w:u w:val="single"/>
    </w:rPr>
  </w:style>
  <w:style w:type="character" w:customStyle="1" w:styleId="24">
    <w:name w:val="Header Char"/>
    <w:basedOn w:val="10"/>
    <w:rPr>
      <w:rFonts w:ascii="Times New Roman" w:hAnsi="Times New Roman"/>
      <w:sz w:val="18"/>
      <w:szCs w:val="18"/>
    </w:rPr>
  </w:style>
  <w:style w:type="character" w:customStyle="1" w:styleId="25">
    <w:name w:val="Footer Char"/>
    <w:basedOn w:val="10"/>
    <w:rPr>
      <w:rFonts w:ascii="Times New Roman" w:hAnsi="Times New Roman"/>
      <w:sz w:val="18"/>
      <w:szCs w:val="18"/>
    </w:rPr>
  </w:style>
  <w:style w:type="character" w:customStyle="1" w:styleId="26">
    <w:name w:val="Body Text Char"/>
    <w:basedOn w:val="10"/>
    <w:rPr>
      <w:rFonts w:ascii="Times New Roman" w:hAnsi="Times New Roman"/>
      <w:szCs w:val="24"/>
    </w:rPr>
  </w:style>
  <w:style w:type="paragraph" w:customStyle="1" w:styleId="27">
    <w:name w:val="Default"/>
    <w:pPr>
      <w:widowControl w:val="0"/>
      <w:autoSpaceDE w:val="0"/>
      <w:autoSpaceDN w:val="0"/>
      <w:adjustRightInd w:val="0"/>
    </w:pPr>
    <w:rPr>
      <w:rFonts w:ascii="仿宋" w:eastAsia="仿宋" w:cs="仿宋"/>
      <w:color w:val="000000"/>
      <w:sz w:val="24"/>
      <w:szCs w:val="24"/>
      <w:lang w:val="en-US" w:eastAsia="zh-CN" w:bidi="ar-SA"/>
    </w:rPr>
  </w:style>
  <w:style w:type="paragraph" w:styleId="28">
    <w:name w:val="List Paragraph"/>
    <w:basedOn w:val="0"/>
    <w:pPr>
      <w:ind w:firstLineChars="200" w:firstLine="200"/>
    </w:pPr>
  </w:style>
  <w:style w:type="paragraph" w:customStyle="1" w:styleId="29">
    <w:name w:val="TOC 标题1"/>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 w:type="paragraph" w:customStyle="1" w:styleId="30">
    <w:name w:val="TOC 标题2"/>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 w:type="paragraph" w:styleId="31">
    <w:name w:val="Plain Text"/>
    <w:basedOn w:val="0"/>
    <w:rPr>
      <w:rFonts w:ascii="宋体"/>
    </w:rPr>
  </w:style>
  <w:style w:type="character" w:customStyle="1" w:styleId="32">
    <w:name w:val="fontstyle01"/>
    <w:basedOn w:val="10"/>
    <w:rPr>
      <w:rFonts w:ascii="仿宋_GB2312" w:eastAsia="仿宋_GB2312"/>
      <w:b w:val="0"/>
      <w:bCs w:val="0"/>
      <w:i w:val="0"/>
      <w:iCs w:val="0"/>
      <w:color w:val="000000"/>
      <w:sz w:val="32"/>
      <w:szCs w:val="3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chart" Target="charts/chart1.xml"/><Relationship Id="rId7" Type="http://schemas.openxmlformats.org/officeDocument/2006/relationships/chart" Target="charts/chart2.xml"/><Relationship Id="rId8" Type="http://schemas.openxmlformats.org/officeDocument/2006/relationships/chart" Target="charts/chart3.xml"/><Relationship Id="rId9" Type="http://schemas.openxmlformats.org/officeDocument/2006/relationships/chart" Target="charts/chart4.xml"/><Relationship Id="rId10" Type="http://schemas.openxmlformats.org/officeDocument/2006/relationships/chart" Target="charts/chart5.xml"/><Relationship Id="rId11" Type="http://schemas.openxmlformats.org/officeDocument/2006/relationships/chart" Target="charts/chart6.xml"/><Relationship Id="rId12" Type="http://schemas.openxmlformats.org/officeDocument/2006/relationships/chart" Target="charts/chart7.xml"/><Relationship Id="rId13" Type="http://schemas.openxmlformats.org/officeDocument/2006/relationships/styles" Target="styles.xml"/><Relationship Id="rId14" Type="http://schemas.openxmlformats.org/officeDocument/2006/relationships/numbering" Target="numbering.xml"/><Relationship Id="rId15"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image" Target="../media/4.jpeg"/><Relationship Id="rId2" Type="http://schemas.openxmlformats.org/officeDocument/2006/relationships/image" Target="../media/5.jpeg"/><Relationship Id="rId3"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a:t>收、支决算总计（万元）</a:t>
            </a:r>
          </a:p>
        </c:rich>
      </c:tx>
      <c:layout/>
      <c:overlay val="0"/>
      <c:spPr>
        <a:ln>
          <a:noFill/>
        </a:ln>
      </c:spPr>
    </c:title>
    <c:autoTitleDeleted val="0"/>
    <c:view3D>
      <c:rotX val="15"/>
      <c:rotY val="20"/>
      <c:depthPercent val="100"/>
      <c:rAngAx val="1"/>
    </c:view3D>
    <c:floor>
      <c:thickness val="0"/>
      <c:spPr>
        <a:ln w="6350">
          <a:solidFill>
            <a:srgbClr val="898989"/>
          </a:solidFill>
          <a:prstDash val="solid"/>
        </a:ln>
      </c:spPr>
    </c:floor>
    <c:sideWall>
      <c:thickness val="0"/>
      <c:spPr>
        <a:ln>
          <a:noFill/>
        </a:ln>
      </c:spPr>
    </c:sideWall>
    <c:backWall>
      <c:thickness val="0"/>
      <c:spPr>
        <a:ln>
          <a:noFill/>
        </a:ln>
      </c:spPr>
    </c:backWall>
    <c:plotArea>
      <c:layout/>
      <c:bar3DChart>
        <c:barDir val="col"/>
        <c:grouping val="stacked"/>
        <c:varyColors val="0"/>
        <c:ser>
          <c:idx val="0"/>
          <c:order val="0"/>
          <c:tx>
            <c:strRef>
              <c:f>'Sheet1'!$B$1</c:f>
              <c:strCache>
                <c:ptCount val="1"/>
                <c:pt idx="0">
                  <c:v>收、支决算总计（万元）</c:v>
                </c:pt>
              </c:strCache>
            </c:strRef>
          </c:tx>
          <c:spPr>
            <a:gradFill rotWithShape="1">
              <a:gsLst>
                <a:gs pos="0">
                  <a:srgbClr val="DDEBCF">
                    <a:alpha val="100000"/>
                  </a:srgbClr>
                </a:gs>
                <a:gs pos="50000">
                  <a:srgbClr val="9CB86E">
                    <a:alpha val="100000"/>
                  </a:srgbClr>
                </a:gs>
                <a:gs pos="100000">
                  <a:srgbClr val="156B13">
                    <a:alpha val="100000"/>
                  </a:srgbClr>
                </a:gs>
              </a:gsLst>
              <a:lin ang="5400000" scaled="1"/>
            </a:gradFill>
          </c:spPr>
          <c:invertIfNegative val="0"/>
          <c:dLbls>
            <c:spPr>
              <a:noFill/>
              <a:ln>
                <a:noFill/>
              </a:ln>
            </c:spPr>
            <c:txPr>
              <a:bodyPr/>
              <a:lstStyle/>
              <a:p>
                <a:pPr>
                  <a:defRPr sz="1200" b="0" i="0" u="none" strike="noStrike" baseline="0">
                    <a:solidFill>
                      <a:srgbClr val="000000"/>
                    </a:solidFill>
                    <a:latin typeface="方正兰亭黑_GBK"/>
                    <a:ea typeface="方正兰亭黑_GBK"/>
                    <a:cs typeface="Lucida Sans"/>
                  </a:defRPr>
                </a:pPr>
                <a:endParaRPr lang="zh-CN"/>
              </a:p>
            </c:txPr>
            <c:numFmt formatCode="General" sourceLinked="1"/>
            <c:dLbl>
              <c:idx val="0"/>
              <c:layout>
                <c:manualLayout>
                  <c:x val="0.021791324"/>
                  <c:y val="-0.35880578"/>
                </c:manualLayout>
              </c:layout>
              <c:spPr>
                <a:noFill/>
                <a:ln>
                  <a:noFill/>
                </a:ln>
              </c:spPr>
              <c:txPr>
                <a:bodyPr/>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dLbl>
              <c:idx val="1"/>
              <c:layout>
                <c:manualLayout>
                  <c:x val="0.031189123"/>
                  <c:y val="-0.37298992"/>
                </c:manualLayout>
              </c:layout>
              <c:spPr>
                <a:noFill/>
                <a:ln>
                  <a:noFill/>
                </a:ln>
              </c:spPr>
              <c:txPr>
                <a:bodyPr/>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showLegendKey val="0"/>
            <c:showVal val="1"/>
            <c:showCatName val="0"/>
            <c:showSerName val="0"/>
            <c:showPercent val="0"/>
            <c:showBubbleSize val="0"/>
            <c:showLeaderLines val="0"/>
          </c:dLbls>
          <c:cat>
            <c:strRef>
              <c:f>'Sheet1'!$A$2:$A$3</c:f>
              <c:strCache>
                <c:ptCount val="2"/>
                <c:pt idx="0">
                  <c:v>2020年</c:v>
                </c:pt>
                <c:pt idx="1">
                  <c:v>2021年</c:v>
                </c:pt>
              </c:strCache>
            </c:strRef>
          </c:cat>
          <c:val>
            <c:numRef>
              <c:f>'Sheet1'!$B$2:$B$3</c:f>
              <c:numCache>
                <c:formatCode>General</c:formatCode>
                <c:ptCount val="2"/>
                <c:pt idx="0">
                  <c:v>950.03</c:v>
                </c:pt>
                <c:pt idx="1">
                  <c:v>1029.08</c:v>
                </c:pt>
              </c:numCache>
            </c:numRef>
          </c:val>
        </c:ser>
        <c:gapWidth val="150"/>
        <c:gapDepth val="150"/>
        <c:shape val="cylinder"/>
        <c:axId val="0"/>
        <c:axId val="1"/>
      </c:bar3DChart>
      <c:catAx>
        <c:axId val="0"/>
        <c:scaling>
          <c:orientation val="minMax"/>
        </c:scaling>
        <c:delete val="0"/>
        <c:axPos val="b"/>
        <c:numFmt formatCode="General" sourceLinked="0"/>
        <c:majorTickMark val="out"/>
        <c:minorTickMark val="none"/>
        <c:tickLblPos val="nextTo"/>
        <c:txPr>
          <a:bodyPr/>
          <a:lstStyle/>
          <a:p>
            <a:pPr>
              <a:defRPr sz="1200" b="1" i="1" u="none" strike="noStrike" baseline="0">
                <a:solidFill>
                  <a:srgbClr val="000000"/>
                </a:solidFill>
                <a:latin typeface="方正兰亭黑_GBK"/>
                <a:ea typeface="方正兰亭黑_GBK"/>
                <a:cs typeface="Lucida Sans"/>
              </a:defRPr>
            </a:pPr>
            <a:endParaRPr lang="zh-CN"/>
          </a:p>
        </c:txPr>
        <c:crosses val="autoZero"/>
        <c:auto val="0"/>
        <c:lblOffset val="100"/>
        <c:lblAlgn val="ctr"/>
        <c:noMultiLvlLbl val="0"/>
        <c:crossAx val="1"/>
      </c:catAx>
      <c:valAx>
        <c:axId val="1"/>
        <c:scaling>
          <c:orientation val="minMax"/>
          <c:min val="0.0"/>
        </c:scaling>
        <c:delete val="0"/>
        <c:axPos val="l"/>
        <c:majorGridlines/>
        <c:numFmt formatCode="General" sourceLinked="1"/>
        <c:majorTickMark val="out"/>
        <c:minorTickMark val="none"/>
        <c:tickLblPos val="nextTo"/>
        <c:txPr>
          <a:bodyPr/>
          <a:lstStyle/>
          <a:p>
            <a:pPr>
              <a:defRPr sz="1000" b="0" i="0" u="none" strike="noStrike" baseline="0">
                <a:solidFill>
                  <a:srgbClr val="000000"/>
                </a:solidFill>
                <a:latin typeface="方正兰亭黑_GBK"/>
                <a:ea typeface="方正兰亭黑_GBK"/>
                <a:cs typeface="Lucida Sans"/>
              </a:defRPr>
            </a:pPr>
            <a:endParaRPr lang="zh-CN"/>
          </a:p>
        </c:txPr>
        <c:crosses val="autoZero"/>
        <c:crossBetween val="between"/>
        <c:majorUnit val="100.0"/>
        <c:crossAx val="0"/>
      </c:valAx>
    </c:plotArea>
    <c:plotVisOnly val="1"/>
    <c:dispBlanksAs val="gap"/>
    <c:showDLblsOverMax val="0"/>
  </c:chart>
  <c:spPr>
    <a:gradFill rotWithShape="1">
      <a:gsLst>
        <a:gs pos="0">
          <a:srgbClr val="E6B9B8">
            <a:alpha val="100000"/>
          </a:srgbClr>
        </a:gs>
        <a:gs pos="52999">
          <a:srgbClr val="D4DEFF">
            <a:alpha val="100000"/>
          </a:srgbClr>
        </a:gs>
        <a:gs pos="83000">
          <a:srgbClr val="D4DEFF">
            <a:alpha val="100000"/>
          </a:srgbClr>
        </a:gs>
        <a:gs pos="100000">
          <a:srgbClr val="96AB94">
            <a:alpha val="100000"/>
          </a:srgbClr>
        </a:gs>
      </a:gsLst>
      <a:lin ang="5400000" scaled="1"/>
    </a:gradFill>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a:t>2021年本年收入决算结构（占比）</a:t>
            </a:r>
          </a:p>
        </c:rich>
      </c:tx>
      <c:layout/>
      <c:overlay val="0"/>
      <c:spPr>
        <a:ln>
          <a:noFill/>
        </a:ln>
      </c:spPr>
    </c:title>
    <c:autoTitleDeleted val="0"/>
    <c:view3D>
      <c:rotX val="30"/>
      <c:hPercent val="100"/>
      <c:rotY val="0"/>
      <c:depthPercent val="100"/>
      <c:rAngAx val="0"/>
      <c:perspective val="0"/>
    </c:view3D>
    <c:floor>
      <c:thickness val="0"/>
      <c:spPr>
        <a:ln w="6350">
          <a:solidFill>
            <a:srgbClr val="898989"/>
          </a:solidFill>
          <a:prstDash val="solid"/>
        </a:ln>
      </c:spPr>
    </c:floor>
    <c:sideWall>
      <c:thickness val="0"/>
      <c:spPr>
        <a:ln>
          <a:noFill/>
        </a:ln>
      </c:spPr>
    </c:sideWall>
    <c:backWall>
      <c:thickness val="0"/>
      <c:spPr>
        <a:ln>
          <a:noFill/>
        </a:ln>
      </c:spPr>
    </c:backWall>
    <c:plotArea>
      <c:layout>
        <c:manualLayout>
          <c:layoutTarget val="inner"/>
          <c:xMode val="edge"/>
          <c:yMode val="edge"/>
          <c:x val="0.03578891"/>
          <c:y val="0.18272142"/>
          <c:w val="0.6214152"/>
          <c:h val="0.81727856"/>
        </c:manualLayout>
      </c:layout>
      <c:pie3DChart>
        <c:varyColors val="1"/>
        <c:ser>
          <c:idx val="0"/>
          <c:order val="0"/>
          <c:tx>
            <c:strRef>
              <c:f>'Sheet1 (2)'!$B$1</c:f>
              <c:strCache>
                <c:ptCount val="1"/>
                <c:pt idx="0">
                  <c:v>2021年本年收入决算结构（占比）</c:v>
                </c:pt>
              </c:strCache>
            </c:strRef>
          </c:tx>
          <c:spPr>
            <a:ln w="25400">
              <a:solidFill>
                <a:srgbClr val="558ED5"/>
              </a:solidFill>
              <a:prstDash val="solid"/>
            </a:ln>
          </c:spPr>
          <c:dPt>
            <c:idx val="0"/>
            <c:bubble3D val="0"/>
            <c:explosion val="1"/>
            <c:spPr>
              <a:gradFill rotWithShape="1">
                <a:gsLst>
                  <a:gs pos="0">
                    <a:srgbClr val="7030A0">
                      <a:alpha val="100000"/>
                    </a:srgbClr>
                  </a:gs>
                  <a:gs pos="56000">
                    <a:srgbClr val="C2D1ED">
                      <a:alpha val="100000"/>
                    </a:srgbClr>
                  </a:gs>
                  <a:gs pos="100000">
                    <a:srgbClr val="E1E8F5">
                      <a:alpha val="100000"/>
                    </a:srgbClr>
                  </a:gs>
                </a:gsLst>
                <a:lin ang="13500000" scaled="1"/>
              </a:gradFill>
              <a:ln w="25400">
                <a:solidFill>
                  <a:srgbClr val="7030A0"/>
                </a:solidFill>
                <a:prstDash val="solid"/>
              </a:ln>
            </c:spPr>
          </c:dPt>
          <c:dPt>
            <c:idx val="1"/>
            <c:bubble3D val="0"/>
            <c:spPr>
              <a:solidFill>
                <a:srgbClr val="002060"/>
              </a:solidFill>
              <a:ln w="25400">
                <a:solidFill>
                  <a:srgbClr val="558ED5"/>
                </a:solidFill>
                <a:prstDash val="solid"/>
              </a:ln>
            </c:spPr>
          </c:dPt>
          <c:dLbls>
            <c:spPr>
              <a:noFill/>
              <a:ln>
                <a:noFill/>
              </a:ln>
            </c:spPr>
            <c:txPr>
              <a:bodyPr/>
              <a:lstStyle/>
              <a:p>
                <a:pPr>
                  <a:defRPr sz="1400" b="0" i="0" u="none" strike="noStrike" baseline="0">
                    <a:solidFill>
                      <a:srgbClr val="000000"/>
                    </a:solidFill>
                    <a:latin typeface="方正兰亭黑_GBK"/>
                    <a:ea typeface="方正兰亭黑_GBK"/>
                    <a:cs typeface="Lucida Sans"/>
                  </a:defRPr>
                </a:pPr>
                <a:endParaRPr lang="zh-CN"/>
              </a:p>
            </c:txPr>
            <c:numFmt formatCode="0.000%" sourceLinked="0"/>
            <c:dLbl>
              <c:idx val="0"/>
              <c:layout>
                <c:manualLayout>
                  <c:x val="0.15456398"/>
                  <c:y val="-8.554226E-4"/>
                </c:manualLayout>
              </c:layout>
              <c:numFmt formatCode="0.000%" sourceLinked="0"/>
              <c:spPr>
                <a:noFill/>
                <a:ln w="6350">
                  <a:solidFill>
                    <a:srgbClr val="868686"/>
                  </a:solidFill>
                  <a:prstDash val="solid"/>
                </a:ln>
              </c:spPr>
              <c:txPr>
                <a:bodyPr vert="horz"/>
                <a:lstStyle/>
                <a:p>
                  <a:pPr>
                    <a:defRPr sz="14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dLbl>
              <c:idx val="1"/>
              <c:layout>
                <c:manualLayout>
                  <c:x val="-0.14222333"/>
                  <c:y val="-0.032577287"/>
                </c:manualLayout>
              </c:layout>
              <c:numFmt formatCode="0.000%" sourceLinked="0"/>
              <c:spPr>
                <a:noFill/>
                <a:ln>
                  <a:noFill/>
                </a:ln>
              </c:spPr>
              <c:txPr>
                <a:bodyPr vert="horz"/>
                <a:lstStyle/>
                <a:p>
                  <a:pPr>
                    <a:defRPr sz="14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dLbl>
              <c:idx val="2"/>
              <c:layout>
                <c:manualLayout>
                  <c:x val="0.14287901"/>
                  <c:y val="-0.0124953"/>
                </c:manualLayout>
              </c:layout>
              <c:numFmt formatCode="0.000%" sourceLinked="0"/>
              <c:spPr>
                <a:noFill/>
                <a:ln>
                  <a:noFill/>
                </a:ln>
              </c:spPr>
              <c:txPr>
                <a:bodyPr/>
                <a:lstStyle/>
                <a:p>
                  <a:pPr>
                    <a:defRPr sz="14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showLegendKey val="0"/>
            <c:showVal val="0"/>
            <c:showCatName val="0"/>
            <c:showSerName val="0"/>
            <c:showPercent val="1"/>
            <c:showBubbleSize val="0"/>
            <c:showLeaderLines val="1"/>
          </c:dLbls>
          <c:cat>
            <c:strRef>
              <c:f>'Sheet1 (2)'!$A$2:$A$3</c:f>
              <c:strCache>
                <c:ptCount val="2"/>
                <c:pt idx="0">
                  <c:v>一般公共预算财政拨款收入</c:v>
                </c:pt>
                <c:pt idx="1">
                  <c:v>其他收入</c:v>
                </c:pt>
              </c:strCache>
            </c:strRef>
          </c:cat>
          <c:val>
            <c:numRef>
              <c:f>'Sheet1 (2)'!$B$2:$B$3</c:f>
              <c:numCache>
                <c:formatCode>General</c:formatCode>
                <c:ptCount val="2"/>
                <c:pt idx="0">
                  <c:v>1025.05</c:v>
                </c:pt>
                <c:pt idx="1">
                  <c:v>0.03</c:v>
                </c:pt>
              </c:numCache>
            </c:numRef>
          </c:val>
        </c:ser>
        <c:gapDepth val="150"/>
        <c:firstSliceAng val="0"/>
      </c:pie3DChart>
      <c:spPr>
        <a:noFill/>
      </c:spPr>
    </c:plotArea>
    <c:legend>
      <c:legendPos val="r"/>
      <c:layout>
        <c:manualLayout>
          <c:xMode val="edge"/>
          <c:yMode val="edge"/>
          <c:x val="0.723861"/>
          <c:y val="0.306469"/>
          <c:w val="0.27358273"/>
          <c:h val="0.58900464"/>
        </c:manualLayout>
      </c:layout>
      <c:overlay val="0"/>
      <c:spPr>
        <a:noFill/>
        <a:ln>
          <a:noFill/>
        </a:ln>
      </c:spPr>
      <c:txPr>
        <a:bodyPr/>
        <a:lstStyle/>
        <a:p>
          <a:pPr>
            <a:defRPr sz="1200" b="0" i="1"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a:t>2021年本年支出决算结构</a:t>
            </a:r>
          </a:p>
        </c:rich>
      </c:tx>
      <c:layout/>
      <c:overlay val="0"/>
      <c:spPr>
        <a:ln>
          <a:noFill/>
        </a:ln>
      </c:spPr>
    </c:title>
    <c:autoTitleDeleted val="0"/>
    <c:view3D>
      <c:rotX val="30"/>
      <c:hPercent val="100"/>
      <c:rotY val="0"/>
      <c:depthPercent val="100"/>
      <c:rAngAx val="0"/>
      <c:perspective val="0"/>
    </c:view3D>
    <c:floor>
      <c:thickness val="0"/>
      <c:spPr>
        <a:ln w="6350">
          <a:solidFill>
            <a:srgbClr val="898989"/>
          </a:solidFill>
          <a:prstDash val="solid"/>
        </a:ln>
      </c:spPr>
    </c:floor>
    <c:sideWall>
      <c:thickness val="0"/>
      <c:spPr>
        <a:ln>
          <a:noFill/>
        </a:ln>
      </c:spPr>
    </c:sideWall>
    <c:backWall>
      <c:thickness val="0"/>
      <c:spPr>
        <a:ln>
          <a:noFill/>
        </a:ln>
      </c:spPr>
    </c:backWall>
    <c:plotArea>
      <c:layout>
        <c:manualLayout>
          <c:layoutTarget val="inner"/>
          <c:xMode val="edge"/>
          <c:yMode val="edge"/>
          <c:x val="0.0"/>
          <c:y val="0.21288161"/>
          <c:w val="0.82025456"/>
          <c:h val="0.7864921"/>
        </c:manualLayout>
      </c:layout>
      <c:pie3DChart>
        <c:varyColors val="1"/>
        <c:ser>
          <c:idx val="0"/>
          <c:order val="0"/>
          <c:tx>
            <c:strRef>
              <c:f>'Sheet1 (3)'!$B$1</c:f>
              <c:strCache>
                <c:ptCount val="1"/>
                <c:pt idx="0">
                  <c:v>2021年本年支出决算结构</c:v>
                </c:pt>
              </c:strCache>
            </c:strRef>
          </c:tx>
          <c:explosion val="9"/>
          <c:dPt>
            <c:idx val="0"/>
            <c:bubble3D val="0"/>
            <c:spPr>
              <a:blipFill>
                <a:blip r:embed="rId1"/>
                <a:tile/>
              </a:blipFill>
            </c:spPr>
          </c:dPt>
          <c:dPt>
            <c:idx val="1"/>
            <c:bubble3D val="0"/>
            <c:spPr>
              <a:blipFill>
                <a:blip r:embed="rId2"/>
                <a:tile/>
              </a:blipFill>
            </c:spPr>
          </c:dPt>
          <c:dLbls>
            <c:txPr>
              <a:bodyPr/>
              <a:lstStyle/>
              <a:p>
                <a:pPr>
                  <a:defRPr sz="1200" b="0" i="0" u="none" strike="noStrike" baseline="0">
                    <a:solidFill>
                      <a:srgbClr val="000000"/>
                    </a:solidFill>
                    <a:latin typeface="方正兰亭黑_GBK"/>
                    <a:ea typeface="方正兰亭黑_GBK"/>
                    <a:cs typeface="Lucida Sans"/>
                  </a:defRPr>
                </a:pPr>
                <a:endParaRPr lang="zh-CN"/>
              </a:p>
            </c:txPr>
            <c:numFmt formatCode="0.00%" sourceLinked="0"/>
            <c:dLbl>
              <c:idx val="0"/>
              <c:layout>
                <c:manualLayout>
                  <c:x val="-0.2586382"/>
                  <c:y val="-0.19708769"/>
                </c:manualLayout>
              </c:layout>
              <c:numFmt formatCode="0.00%" sourceLinked="0"/>
              <c:txPr>
                <a:bodyPr/>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1"/>
              <c:showBubbleSize val="0"/>
              <c:separator>
</c:separator>
            </c:dLbl>
            <c:dLbl>
              <c:idx val="1"/>
              <c:layout>
                <c:manualLayout>
                  <c:x val="0.14446142"/>
                  <c:y val="0.08183236"/>
                </c:manualLayout>
              </c:layout>
              <c:numFmt formatCode="0.00%" sourceLinked="0"/>
              <c:txPr>
                <a:bodyPr/>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1"/>
              <c:showBubbleSize val="0"/>
              <c:separator>
</c:separator>
            </c:dLbl>
            <c:showLegendKey val="0"/>
            <c:showVal val="1"/>
            <c:showCatName val="0"/>
            <c:showSerName val="0"/>
            <c:showPercent val="1"/>
            <c:showBubbleSize val="0"/>
            <c:separator>
</c:separator>
            <c:showLeaderLines val="1"/>
          </c:dLbls>
          <c:cat>
            <c:strRef>
              <c:f>'Sheet1 (3)'!$A$2:$A$3</c:f>
              <c:strCache>
                <c:ptCount val="2"/>
                <c:pt idx="0">
                  <c:v>基本支出</c:v>
                </c:pt>
                <c:pt idx="1">
                  <c:v>项目 支出</c:v>
                </c:pt>
              </c:strCache>
            </c:strRef>
          </c:cat>
          <c:val>
            <c:numRef>
              <c:f>'Sheet1 (3)'!$B$2:$B$3</c:f>
              <c:numCache>
                <c:formatCode>General</c:formatCode>
                <c:ptCount val="2"/>
                <c:pt idx="0">
                  <c:v>787.36</c:v>
                </c:pt>
                <c:pt idx="1">
                  <c:v>241.72</c:v>
                </c:pt>
              </c:numCache>
            </c:numRef>
          </c:val>
        </c:ser>
        <c:gapDepth val="150"/>
        <c:firstSliceAng val="0"/>
      </c:pie3DChart>
      <c:spPr>
        <a:noFill/>
      </c:spPr>
    </c:plotArea>
    <c:legend>
      <c:legendPos val="r"/>
      <c:layout>
        <c:manualLayout>
          <c:xMode val="edge"/>
          <c:yMode val="edge"/>
          <c:x val="0.7802926"/>
          <c:y val="0.36454862"/>
          <c:w val="0.20526002"/>
          <c:h val="0.413008"/>
        </c:manualLayout>
      </c:layout>
      <c:overlay val="0"/>
      <c:spPr>
        <a:noFill/>
        <a:ln>
          <a:noFill/>
        </a:ln>
      </c:spPr>
      <c:txPr>
        <a:bodyPr/>
        <a:lstStyle/>
        <a:p>
          <a:pPr>
            <a:defRPr sz="1200" b="1" i="1"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a:t>财政拨款收、支决算总计（万元）</a:t>
            </a:r>
          </a:p>
        </c:rich>
      </c:tx>
      <c:layout/>
      <c:overlay val="0"/>
      <c:spPr>
        <a:ln>
          <a:noFill/>
        </a:ln>
      </c:spPr>
    </c:title>
    <c:autoTitleDeleted val="1"/>
    <c:view3D>
      <c:rotX val="10"/>
      <c:rotY val="0"/>
      <c:depthPercent val="100"/>
      <c:rAngAx val="0"/>
      <c:perspective val="30"/>
    </c:view3D>
    <c:floor>
      <c:thickness val="0"/>
      <c:spPr>
        <a:ln w="6350">
          <a:solidFill>
            <a:srgbClr val="898989"/>
          </a:solidFill>
          <a:prstDash val="solid"/>
        </a:ln>
      </c:spPr>
    </c:floor>
    <c:sideWall>
      <c:thickness val="0"/>
      <c:spPr>
        <a:ln>
          <a:noFill/>
        </a:ln>
      </c:spPr>
    </c:sideWall>
    <c:backWall>
      <c:thickness val="0"/>
      <c:spPr>
        <a:ln>
          <a:noFill/>
        </a:ln>
      </c:spPr>
    </c:backWall>
    <c:plotArea>
      <c:layout>
        <c:manualLayout>
          <c:layoutTarget val="inner"/>
          <c:xMode val="edge"/>
          <c:yMode val="edge"/>
          <c:x val="0.0856148"/>
          <c:y val="0.2748962"/>
          <c:w val="0.9134256"/>
          <c:h val="0.6201505"/>
        </c:manualLayout>
      </c:layout>
      <c:bar3DChart>
        <c:barDir val="col"/>
        <c:grouping val="stacked"/>
        <c:varyColors val="0"/>
        <c:ser>
          <c:idx val="0"/>
          <c:order val="0"/>
          <c:tx>
            <c:strRef>
              <c:f>'Sheet1 (4)'!$B$1</c:f>
              <c:strCache>
                <c:ptCount val="1"/>
                <c:pt idx="0">
                  <c:v>财政拨款收、支总计（万元）</c:v>
                </c:pt>
              </c:strCache>
            </c:strRef>
          </c:tx>
          <c:spPr>
            <a:solidFill>
              <a:srgbClr val="F79646"/>
            </a:solidFill>
          </c:spPr>
          <c:invertIfNegative val="0"/>
          <c:dPt>
            <c:idx val="0"/>
            <c:invertIfNegative val="0"/>
            <c:bubble3D val="0"/>
            <c:spPr>
              <a:gradFill rotWithShape="1">
                <a:gsLst>
                  <a:gs pos="0">
                    <a:srgbClr val="D6B19C">
                      <a:alpha val="100000"/>
                    </a:srgbClr>
                  </a:gs>
                  <a:gs pos="30000">
                    <a:srgbClr val="D49E6C">
                      <a:alpha val="100000"/>
                    </a:srgbClr>
                  </a:gs>
                  <a:gs pos="70000">
                    <a:srgbClr val="A65528">
                      <a:alpha val="100000"/>
                    </a:srgbClr>
                  </a:gs>
                  <a:gs pos="100000">
                    <a:srgbClr val="663012">
                      <a:alpha val="100000"/>
                    </a:srgbClr>
                  </a:gs>
                </a:gsLst>
                <a:lin ang="5400000" scaled="1"/>
              </a:gradFill>
            </c:spPr>
          </c:dPt>
          <c:dPt>
            <c:idx val="1"/>
            <c:invertIfNegative val="0"/>
            <c:bubble3D val="0"/>
            <c:spPr>
              <a:gradFill rotWithShape="1">
                <a:gsLst>
                  <a:gs pos="0">
                    <a:srgbClr val="D6B19C">
                      <a:alpha val="100000"/>
                    </a:srgbClr>
                  </a:gs>
                  <a:gs pos="30000">
                    <a:srgbClr val="D49E6C">
                      <a:alpha val="100000"/>
                    </a:srgbClr>
                  </a:gs>
                  <a:gs pos="70000">
                    <a:srgbClr val="A65528">
                      <a:alpha val="100000"/>
                    </a:srgbClr>
                  </a:gs>
                  <a:gs pos="100000">
                    <a:srgbClr val="663012">
                      <a:alpha val="100000"/>
                    </a:srgbClr>
                  </a:gs>
                </a:gsLst>
                <a:lin ang="5400000" scaled="1"/>
              </a:gradFill>
            </c:spPr>
          </c:dPt>
          <c:dLbls>
            <c:spPr>
              <a:noFill/>
              <a:ln>
                <a:noFill/>
              </a:ln>
            </c:spPr>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1"/>
            <c:dLbl>
              <c:idx val="0"/>
              <c:layout>
                <c:manualLayout>
                  <c:x val="0.009631376"/>
                  <c:y val="-0.31943932"/>
                </c:manualLayout>
              </c:layout>
              <c:spPr>
                <a:noFill/>
                <a:ln>
                  <a:noFill/>
                </a:ln>
              </c:spPr>
              <c:txPr>
                <a:bodyPr vert="horz"/>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dLbl>
              <c:idx val="1"/>
              <c:layout>
                <c:manualLayout>
                  <c:x val="2.2226112E-4"/>
                  <c:y val="-0.3312982"/>
                </c:manualLayout>
              </c:layout>
              <c:spPr>
                <a:noFill/>
                <a:ln>
                  <a:noFill/>
                </a:ln>
              </c:spPr>
              <c:txPr>
                <a:bodyPr vert="horz"/>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showLegendKey val="0"/>
            <c:showVal val="1"/>
            <c:showCatName val="0"/>
            <c:showSerName val="0"/>
            <c:showPercent val="0"/>
            <c:showBubbleSize val="0"/>
            <c:showLeaderLines val="0"/>
          </c:dLbls>
          <c:cat>
            <c:strRef>
              <c:f>'Sheet1 (4)'!$A$2:$A$3</c:f>
              <c:strCache>
                <c:ptCount val="2"/>
                <c:pt idx="0">
                  <c:v>2020年</c:v>
                </c:pt>
                <c:pt idx="1">
                  <c:v>2021年</c:v>
                </c:pt>
              </c:strCache>
            </c:strRef>
          </c:cat>
          <c:val>
            <c:numRef>
              <c:f>'Sheet1 (4)'!$B$2:$B$3</c:f>
              <c:numCache>
                <c:formatCode>General</c:formatCode>
                <c:ptCount val="2"/>
                <c:pt idx="0">
                  <c:v>949.55</c:v>
                </c:pt>
                <c:pt idx="1">
                  <c:v>1029.05</c:v>
                </c:pt>
              </c:numCache>
            </c:numRef>
          </c:val>
        </c:ser>
        <c:gapWidth val="150"/>
        <c:gapDepth val="150"/>
        <c:shape val="cylinder"/>
        <c:axId val="0"/>
        <c:axId val="1"/>
      </c:bar3DChart>
      <c:catAx>
        <c:axId val="0"/>
        <c:scaling>
          <c:orientation val="minMax"/>
        </c:scaling>
        <c:delete val="0"/>
        <c:axPos val="b"/>
        <c:numFmt formatCode="General" sourceLinked="0"/>
        <c:majorTickMark val="out"/>
        <c:minorTickMark val="none"/>
        <c:tickLblPos val="nextTo"/>
        <c:txPr>
          <a:bodyPr/>
          <a:lstStyle/>
          <a:p>
            <a:pPr>
              <a:defRPr sz="1200" b="1" i="1" u="none" strike="noStrike" baseline="0">
                <a:solidFill>
                  <a:srgbClr val="000000"/>
                </a:solidFill>
                <a:latin typeface="方正兰亭黑_GBK"/>
                <a:ea typeface="方正兰亭黑_GBK"/>
                <a:cs typeface="Lucida Sans"/>
              </a:defRPr>
            </a:pPr>
            <a:endParaRPr lang="zh-CN"/>
          </a:p>
        </c:txPr>
        <c:crosses val="autoZero"/>
        <c:auto val="0"/>
        <c:lblOffset val="100"/>
        <c:lblAlgn val="ctr"/>
        <c:noMultiLvlLbl val="0"/>
        <c:crossAx val="1"/>
      </c:catAx>
      <c:valAx>
        <c:axId val="1"/>
        <c:scaling>
          <c:orientation val="minMax"/>
          <c:min val="0.0"/>
        </c:scaling>
        <c:delete val="0"/>
        <c:axPos val="l"/>
        <c:majorGridlines/>
        <c:numFmt formatCode="General" sourceLinked="1"/>
        <c:majorTickMark val="out"/>
        <c:minorTickMark val="none"/>
        <c:tickLblPos val="nextTo"/>
        <c:txPr>
          <a:bodyPr/>
          <a:lstStyle/>
          <a:p>
            <a:pPr>
              <a:defRPr sz="1000" b="0" i="0" u="none" strike="noStrike" baseline="0">
                <a:solidFill>
                  <a:srgbClr val="000000"/>
                </a:solidFill>
                <a:latin typeface="方正兰亭黑_GBK"/>
                <a:ea typeface="方正兰亭黑_GBK"/>
                <a:cs typeface="Lucida Sans"/>
              </a:defRPr>
            </a:pPr>
            <a:endParaRPr lang="zh-CN"/>
          </a:p>
        </c:txPr>
        <c:crosses val="autoZero"/>
        <c:crossBetween val="between"/>
        <c:majorUnit val="100.0"/>
        <c:crossAx val="0"/>
      </c:valAx>
    </c:plotArea>
    <c:plotVisOnly val="1"/>
    <c:dispBlanksAs val="gap"/>
    <c:showDLblsOverMax val="0"/>
  </c:chart>
  <c:spPr>
    <a:gradFill rotWithShape="1">
      <a:gsLst>
        <a:gs pos="0">
          <a:srgbClr val="C4BD97">
            <a:alpha val="100000"/>
          </a:srgbClr>
        </a:gs>
        <a:gs pos="52999">
          <a:srgbClr val="D4DEFF">
            <a:alpha val="100000"/>
          </a:srgbClr>
        </a:gs>
        <a:gs pos="83000">
          <a:srgbClr val="D4DEFF">
            <a:alpha val="100000"/>
          </a:srgbClr>
        </a:gs>
        <a:gs pos="100000">
          <a:srgbClr val="96AB94">
            <a:alpha val="100000"/>
          </a:srgbClr>
        </a:gs>
      </a:gsLst>
      <a:lin ang="5400000" scaled="1"/>
    </a:gradFill>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a:t>一般公共预算财政拨款支出决算（万元）</a:t>
            </a:r>
          </a:p>
        </c:rich>
      </c:tx>
      <c:layout>
        <c:manualLayout>
          <c:xMode val="edge"/>
          <c:yMode val="edge"/>
          <c:x val="0.114769354"/>
          <c:y val="0.0028880278"/>
        </c:manualLayout>
      </c:layout>
      <c:overlay val="0"/>
      <c:spPr>
        <a:ln>
          <a:noFill/>
        </a:ln>
      </c:spPr>
    </c:title>
    <c:autoTitleDeleted val="0"/>
    <c:view3D>
      <c:rotX val="15"/>
      <c:rotY val="20"/>
      <c:depthPercent val="100"/>
      <c:rAngAx val="1"/>
    </c:view3D>
    <c:floor>
      <c:thickness val="0"/>
      <c:spPr>
        <a:gradFill rotWithShape="1">
          <a:gsLst>
            <a:gs pos="88000">
              <a:srgbClr val="808080">
                <a:alpha val="100000"/>
              </a:srgbClr>
            </a:gs>
            <a:gs pos="4000">
              <a:srgbClr val="D49E6C">
                <a:alpha val="100000"/>
              </a:srgbClr>
            </a:gs>
            <a:gs pos="100000">
              <a:srgbClr val="D9D9D9">
                <a:alpha val="100000"/>
              </a:srgbClr>
            </a:gs>
            <a:gs pos="100000">
              <a:srgbClr val="663012">
                <a:alpha val="100000"/>
              </a:srgbClr>
            </a:gs>
          </a:gsLst>
          <a:lin ang="5400000" scaled="1"/>
        </a:gradFill>
        <a:ln>
          <a:noFill/>
        </a:ln>
      </c:spPr>
    </c:floor>
    <c:sideWall>
      <c:thickness val="0"/>
      <c:spPr>
        <a:ln>
          <a:noFill/>
        </a:ln>
      </c:spPr>
    </c:sideWall>
    <c:backWall>
      <c:thickness val="0"/>
      <c:spPr>
        <a:ln>
          <a:noFill/>
        </a:ln>
      </c:spPr>
    </c:backWall>
    <c:plotArea>
      <c:layout>
        <c:manualLayout>
          <c:layoutTarget val="inner"/>
          <c:xMode val="edge"/>
          <c:yMode val="edge"/>
          <c:x val="0.11332944"/>
          <c:y val="0.16274136"/>
          <c:w val="0.82400656"/>
          <c:h val="0.7382637"/>
        </c:manualLayout>
      </c:layout>
      <c:bar3DChart>
        <c:barDir val="col"/>
        <c:grouping val="stacked"/>
        <c:varyColors val="1"/>
        <c:ser>
          <c:idx val="0"/>
          <c:order val="0"/>
          <c:tx>
            <c:strRef>
              <c:f>'Sheet1 (5)'!$B$1</c:f>
              <c:strCache>
                <c:ptCount val="1"/>
                <c:pt idx="0">
                  <c:v>一般公共预算财政拨款支出决算（万元）</c:v>
                </c:pt>
              </c:strCache>
            </c:strRef>
          </c:tx>
          <c:invertIfNegative val="0"/>
          <c:dPt>
            <c:idx val="0"/>
            <c:invertIfNegative val="0"/>
            <c:bubble3D val="0"/>
            <c:spPr>
              <a:solidFill>
                <a:srgbClr val="4F81BD"/>
              </a:solidFill>
            </c:spPr>
          </c:dPt>
          <c:dPt>
            <c:idx val="1"/>
            <c:invertIfNegative val="0"/>
            <c:bubble3D val="0"/>
            <c:spPr>
              <a:solidFill>
                <a:srgbClr val="4F81BD"/>
              </a:solidFill>
            </c:spPr>
          </c:dPt>
          <c:dLbls>
            <c:spPr>
              <a:noFill/>
              <a:ln>
                <a:noFill/>
              </a:ln>
            </c:spPr>
            <c:txPr>
              <a:bodyPr/>
              <a:lstStyle/>
              <a:p>
                <a:pPr>
                  <a:defRPr sz="1200" b="0" i="0" u="none" strike="noStrike" baseline="0">
                    <a:solidFill>
                      <a:srgbClr val="000000"/>
                    </a:solidFill>
                    <a:latin typeface="方正兰亭黑_GBK"/>
                    <a:ea typeface="方正兰亭黑_GBK"/>
                    <a:cs typeface="Lucida Sans"/>
                  </a:defRPr>
                </a:pPr>
                <a:endParaRPr lang="zh-CN"/>
              </a:p>
            </c:txPr>
            <c:numFmt formatCode="General" sourceLinked="1"/>
            <c:dLbl>
              <c:idx val="0"/>
              <c:layout>
                <c:manualLayout>
                  <c:x val="0.024048379"/>
                  <c:y val="-0.288082"/>
                </c:manualLayout>
              </c:layout>
              <c:spPr>
                <a:noFill/>
                <a:ln>
                  <a:noFill/>
                </a:ln>
              </c:spPr>
              <c:txPr>
                <a:bodyPr vert="horz"/>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dLbl>
              <c:idx val="1"/>
              <c:layout>
                <c:manualLayout>
                  <c:x val="0.03587061"/>
                  <c:y val="-0.3758246"/>
                </c:manualLayout>
              </c:layout>
              <c:spPr>
                <a:noFill/>
                <a:ln>
                  <a:noFill/>
                </a:ln>
              </c:spPr>
              <c:txPr>
                <a:bodyPr vert="horz"/>
                <a:lstStyle/>
                <a:p>
                  <a:pPr>
                    <a:defRPr sz="1200" b="0" i="0" u="none" strike="noStrike" baseline="0">
                      <a:solidFill>
                        <a:srgbClr val="000000"/>
                      </a:solidFill>
                      <a:latin typeface="方正兰亭黑_GBK"/>
                      <a:ea typeface="方正兰亭黑_GBK"/>
                      <a:cs typeface="Lucida Sans"/>
                    </a:defRPr>
                  </a:pPr>
                  <a:endParaRPr lang="zh-CN"/>
                </a:p>
              </c:txPr>
              <c:showLegendKey val="0"/>
              <c:showVal val="1"/>
              <c:showCatName val="0"/>
              <c:showSerName val="0"/>
              <c:showPercent val="0"/>
              <c:showBubbleSize val="0"/>
            </c:dLbl>
            <c:showLegendKey val="0"/>
            <c:showVal val="1"/>
            <c:showCatName val="0"/>
            <c:showSerName val="0"/>
            <c:showPercent val="0"/>
            <c:showBubbleSize val="0"/>
            <c:showLeaderLines val="0"/>
          </c:dLbls>
          <c:cat>
            <c:strRef>
              <c:f>'Sheet1 (5)'!$A$2:$A$3</c:f>
              <c:strCache>
                <c:ptCount val="2"/>
                <c:pt idx="0">
                  <c:v>2020年</c:v>
                </c:pt>
                <c:pt idx="1">
                  <c:v>2021年</c:v>
                </c:pt>
              </c:strCache>
            </c:strRef>
          </c:cat>
          <c:val>
            <c:numRef>
              <c:f>'Sheet1 (5)'!$B$2:$B$3</c:f>
              <c:numCache>
                <c:formatCode>General</c:formatCode>
                <c:ptCount val="2"/>
                <c:pt idx="0">
                  <c:v>686.27</c:v>
                </c:pt>
                <c:pt idx="1">
                  <c:v>1025.05</c:v>
                </c:pt>
              </c:numCache>
            </c:numRef>
          </c:val>
        </c:ser>
        <c:gapWidth val="150"/>
        <c:gapDepth val="150"/>
        <c:shape val="box"/>
        <c:axId val="0"/>
        <c:axId val="1"/>
      </c:bar3DChart>
      <c:catAx>
        <c:axId val="0"/>
        <c:scaling>
          <c:orientation val="minMax"/>
        </c:scaling>
        <c:delete val="0"/>
        <c:axPos val="b"/>
        <c:numFmt formatCode="General" sourceLinked="0"/>
        <c:majorTickMark val="out"/>
        <c:minorTickMark val="none"/>
        <c:tickLblPos val="nextTo"/>
        <c:txPr>
          <a:bodyPr/>
          <a:lstStyle/>
          <a:p>
            <a:pPr>
              <a:defRPr sz="1200" b="1" i="0" u="none" strike="noStrike" baseline="0">
                <a:solidFill>
                  <a:srgbClr val="000000"/>
                </a:solidFill>
                <a:latin typeface="方正兰亭黑_GBK"/>
                <a:ea typeface="方正兰亭黑_GBK"/>
                <a:cs typeface="Lucida Sans"/>
              </a:defRPr>
            </a:pPr>
            <a:endParaRPr lang="zh-CN"/>
          </a:p>
        </c:txPr>
        <c:crosses val="autoZero"/>
        <c:auto val="0"/>
        <c:lblOffset val="100"/>
        <c:lblAlgn val="ctr"/>
        <c:noMultiLvlLbl val="0"/>
        <c:crossAx val="1"/>
      </c:catAx>
      <c:valAx>
        <c:axId val="1"/>
        <c:scaling>
          <c:orientation val="minMax"/>
          <c:min val="0.0"/>
        </c:scaling>
        <c:delete val="0"/>
        <c:axPos val="l"/>
        <c:majorGridlines/>
        <c:numFmt formatCode="General" sourceLinked="1"/>
        <c:majorTickMark val="out"/>
        <c:minorTickMark val="none"/>
        <c:tickLblPos val="nextTo"/>
        <c:txPr>
          <a:bodyPr/>
          <a:lstStyle/>
          <a:p>
            <a:pPr>
              <a:defRPr sz="1000" b="0" i="0" u="none" strike="noStrike" baseline="0">
                <a:solidFill>
                  <a:srgbClr val="000000"/>
                </a:solidFill>
                <a:latin typeface="方正兰亭黑_GBK"/>
                <a:ea typeface="方正兰亭黑_GBK"/>
                <a:cs typeface="Lucida Sans"/>
              </a:defRPr>
            </a:pPr>
            <a:endParaRPr lang="zh-CN"/>
          </a:p>
        </c:txPr>
        <c:crosses val="autoZero"/>
        <c:crossBetween val="between"/>
        <c:majorUnit val="100.0"/>
        <c:crossAx val="0"/>
      </c:valAx>
    </c:plotArea>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b="1" i="0" u="none" strike="noStrike" baseline="0">
                <a:solidFill>
                  <a:srgbClr val="000000"/>
                </a:solidFill>
                <a:latin typeface="方正兰亭黑_GBK"/>
                <a:ea typeface="方正兰亭黑_GBK"/>
                <a:cs typeface="Lucida Sans"/>
              </a:defRPr>
            </a:pPr>
            <a:r>
              <a:rPr lang="zh-CN"/>
              <a:t>一般公共预算财政拨款支出决算结构（占比）</a:t>
            </a:r>
          </a:p>
        </c:rich>
      </c:tx>
      <c:layout>
        <c:manualLayout>
          <c:xMode val="edge"/>
          <c:yMode val="edge"/>
          <c:x val="0.10594751"/>
          <c:y val="0.022371365"/>
        </c:manualLayout>
      </c:layout>
      <c:overlay val="0"/>
      <c:spPr>
        <a:ln>
          <a:noFill/>
        </a:ln>
      </c:spPr>
    </c:title>
    <c:autoTitleDeleted val="0"/>
    <c:view3D>
      <c:rotX val="20"/>
      <c:hPercent val="100"/>
      <c:rotY val="200"/>
      <c:depthPercent val="100"/>
      <c:rAngAx val="0"/>
      <c:perspective val="0"/>
    </c:view3D>
    <c:floor>
      <c:thickness val="0"/>
      <c:spPr>
        <a:ln w="6350">
          <a:solidFill>
            <a:srgbClr val="898989"/>
          </a:solidFill>
          <a:prstDash val="solid"/>
        </a:ln>
      </c:spPr>
    </c:floor>
    <c:sideWall>
      <c:thickness val="0"/>
      <c:spPr>
        <a:ln>
          <a:noFill/>
        </a:ln>
      </c:spPr>
    </c:sideWall>
    <c:backWall>
      <c:thickness val="0"/>
      <c:spPr>
        <a:ln>
          <a:noFill/>
        </a:ln>
      </c:spPr>
    </c:backWall>
    <c:plotArea>
      <c:layout>
        <c:manualLayout>
          <c:layoutTarget val="inner"/>
          <c:xMode val="edge"/>
          <c:yMode val="edge"/>
          <c:x val="0.0"/>
          <c:y val="0.16041665"/>
          <c:w val="0.75830024"/>
          <c:h val="0.8261076"/>
        </c:manualLayout>
      </c:layout>
      <c:pie3DChart>
        <c:varyColors val="1"/>
        <c:ser>
          <c:idx val="0"/>
          <c:order val="0"/>
          <c:tx>
            <c:strRef>
              <c:f>'Sheet1 (6)'!$B$1</c:f>
              <c:strCache>
                <c:ptCount val="1"/>
                <c:pt idx="0">
                  <c:v>一般公共预算财政拨款支出决算结构（占比）</c:v>
                </c:pt>
              </c:strCache>
            </c:strRef>
          </c:tx>
          <c:explosion val="25"/>
          <c:dPt>
            <c:idx val="0"/>
            <c:bubble3D val="0"/>
            <c:spPr>
              <a:gradFill rotWithShape="1">
                <a:gsLst>
                  <a:gs pos="0">
                    <a:srgbClr val="5E9EFF">
                      <a:alpha val="100000"/>
                    </a:srgbClr>
                  </a:gs>
                  <a:gs pos="40000">
                    <a:srgbClr val="85C2FF">
                      <a:alpha val="100000"/>
                    </a:srgbClr>
                  </a:gs>
                  <a:gs pos="70000">
                    <a:srgbClr val="C4D6EB">
                      <a:alpha val="100000"/>
                    </a:srgbClr>
                  </a:gs>
                  <a:gs pos="100000">
                    <a:srgbClr val="FFEBFA">
                      <a:alpha val="100000"/>
                    </a:srgbClr>
                  </a:gs>
                </a:gsLst>
                <a:lin ang="5400000" scaled="1"/>
              </a:gradFill>
            </c:spPr>
          </c:dPt>
          <c:dPt>
            <c:idx val="1"/>
            <c:bubble3D val="0"/>
            <c:spPr>
              <a:gradFill rotWithShape="1">
                <a:gsLst>
                  <a:gs pos="0">
                    <a:srgbClr val="DDEBCF">
                      <a:alpha val="100000"/>
                    </a:srgbClr>
                  </a:gs>
                  <a:gs pos="50000">
                    <a:srgbClr val="9CB86E">
                      <a:alpha val="100000"/>
                    </a:srgbClr>
                  </a:gs>
                  <a:gs pos="100000">
                    <a:srgbClr val="156B13">
                      <a:alpha val="100000"/>
                    </a:srgbClr>
                  </a:gs>
                </a:gsLst>
                <a:lin ang="5400000" scaled="1"/>
              </a:gradFill>
            </c:spPr>
          </c:dPt>
          <c:dPt>
            <c:idx val="2"/>
            <c:bubble3D val="0"/>
            <c:spPr>
              <a:gradFill rotWithShape="1">
                <a:gsLst>
                  <a:gs pos="88000">
                    <a:srgbClr val="808080">
                      <a:alpha val="100000"/>
                    </a:srgbClr>
                  </a:gs>
                  <a:gs pos="4000">
                    <a:srgbClr val="D49E6C">
                      <a:alpha val="100000"/>
                    </a:srgbClr>
                  </a:gs>
                  <a:gs pos="100000">
                    <a:srgbClr val="D9D9D9">
                      <a:alpha val="100000"/>
                    </a:srgbClr>
                  </a:gs>
                  <a:gs pos="100000">
                    <a:srgbClr val="663012">
                      <a:alpha val="100000"/>
                    </a:srgbClr>
                  </a:gs>
                </a:gsLst>
                <a:lin ang="5400000" scaled="1"/>
              </a:gradFill>
            </c:spPr>
          </c:dPt>
          <c:dLbls>
            <c:spPr>
              <a:ln w="6350">
                <a:solidFill>
                  <a:srgbClr val="000000"/>
                </a:solidFill>
                <a:prstDash val="sysDash"/>
              </a:ln>
            </c:spPr>
            <c:txPr>
              <a:bodyPr/>
              <a:lstStyle/>
              <a:p>
                <a:pPr>
                  <a:defRPr sz="1200" b="0" i="0" u="none" strike="noStrike" baseline="0">
                    <a:solidFill>
                      <a:srgbClr val="000000"/>
                    </a:solidFill>
                    <a:latin typeface="方正兰亭黑_GBK"/>
                    <a:ea typeface="方正兰亭黑_GBK"/>
                    <a:cs typeface="Lucida Sans"/>
                  </a:defRPr>
                </a:pPr>
                <a:endParaRPr lang="zh-CN"/>
              </a:p>
            </c:txPr>
            <c:numFmt formatCode="0.00%" sourceLinked="0"/>
            <c:dLbl>
              <c:idx val="0"/>
              <c:layout>
                <c:manualLayout>
                  <c:x val="-0.14206591"/>
                  <c:y val="0.017877745"/>
                </c:manualLayout>
              </c:layout>
              <c:numFmt formatCode="0.00%" sourceLinked="0"/>
              <c:spPr>
                <a:ln w="6350">
                  <a:solidFill>
                    <a:srgbClr val="000000"/>
                  </a:solidFill>
                  <a:prstDash val="sysDash"/>
                </a:ln>
              </c:spPr>
              <c:txPr>
                <a:bodyPr/>
                <a:lstStyle/>
                <a:p>
                  <a:pPr>
                    <a:defRPr sz="1200" b="0" i="0" u="none" strike="noStrike" baseline="0">
                      <a:solidFill>
                        <a:srgbClr val="000000"/>
                      </a:solidFill>
                      <a:latin typeface="方正兰亭黑_GBK"/>
                      <a:ea typeface="方正兰亭黑_GBK"/>
                      <a:cs typeface="Lucida Sans"/>
                    </a:defRPr>
                  </a:pPr>
                  <a:endParaRPr lang="zh-CN"/>
                </a:p>
              </c:txPr>
              <c:dLblPos val="bestFit"/>
              <c:showLegendKey val="0"/>
              <c:showVal val="0"/>
              <c:showCatName val="0"/>
              <c:showSerName val="0"/>
              <c:showPercent val="1"/>
              <c:showBubbleSize val="0"/>
            </c:dLbl>
            <c:dLbl>
              <c:idx val="1"/>
              <c:layout>
                <c:manualLayout>
                  <c:x val="-0.065013185"/>
                  <c:y val="0.08003883"/>
                </c:manualLayout>
              </c:layout>
              <c:numFmt formatCode="0.00%" sourceLinked="0"/>
              <c:spPr>
                <a:ln w="6350">
                  <a:solidFill>
                    <a:srgbClr val="000000"/>
                  </a:solidFill>
                  <a:prstDash val="sysDash"/>
                </a:ln>
              </c:spPr>
              <c:txPr>
                <a:bodyPr/>
                <a:lstStyle/>
                <a:p>
                  <a:pPr>
                    <a:defRPr sz="1200" b="0" i="0" u="none" strike="noStrike" baseline="0">
                      <a:solidFill>
                        <a:srgbClr val="000000"/>
                      </a:solidFill>
                      <a:latin typeface="方正兰亭黑_GBK"/>
                      <a:ea typeface="方正兰亭黑_GBK"/>
                      <a:cs typeface="Lucida Sans"/>
                    </a:defRPr>
                  </a:pPr>
                  <a:endParaRPr lang="zh-CN"/>
                </a:p>
              </c:txPr>
              <c:dLblPos val="bestFit"/>
              <c:showLegendKey val="0"/>
              <c:showVal val="0"/>
              <c:showCatName val="0"/>
              <c:showSerName val="0"/>
              <c:showPercent val="1"/>
              <c:showBubbleSize val="0"/>
            </c:dLbl>
            <c:dLbl>
              <c:idx val="2"/>
              <c:layout>
                <c:manualLayout>
                  <c:x val="-0.09572773"/>
                  <c:y val="0.059098803"/>
                </c:manualLayout>
              </c:layout>
              <c:numFmt formatCode="0.00%" sourceLinked="0"/>
              <c:spPr>
                <a:ln w="6350">
                  <a:solidFill>
                    <a:srgbClr val="000000"/>
                  </a:solidFill>
                  <a:prstDash val="sysDash"/>
                </a:ln>
              </c:spPr>
              <c:txPr>
                <a:bodyPr/>
                <a:lstStyle/>
                <a:p>
                  <a:pPr>
                    <a:defRPr sz="1200" b="0" i="0" u="none" strike="noStrike" baseline="0">
                      <a:solidFill>
                        <a:srgbClr val="000000"/>
                      </a:solidFill>
                      <a:latin typeface="方正兰亭黑_GBK"/>
                      <a:ea typeface="方正兰亭黑_GBK"/>
                      <a:cs typeface="Lucida Sans"/>
                    </a:defRPr>
                  </a:pPr>
                  <a:endParaRPr lang="zh-CN"/>
                </a:p>
              </c:txPr>
              <c:dLblPos val="bestFit"/>
              <c:showLegendKey val="0"/>
              <c:showVal val="0"/>
              <c:showCatName val="0"/>
              <c:showSerName val="0"/>
              <c:showPercent val="1"/>
              <c:showBubbleSize val="0"/>
            </c:dLbl>
            <c:dLbl>
              <c:idx val="3"/>
              <c:numFmt formatCode="0.00%" sourceLinked="0"/>
              <c:spPr>
                <a:ln w="6350">
                  <a:solidFill>
                    <a:srgbClr val="000000"/>
                  </a:solidFill>
                  <a:prstDash val="sysDash"/>
                </a:ln>
              </c:spPr>
              <c:txPr>
                <a:bodyPr/>
                <a:lstStyle/>
                <a:p>
                  <a:pPr>
                    <a:defRPr sz="1200" b="0" i="0" u="none" strike="noStrike" baseline="0">
                      <a:solidFill>
                        <a:srgbClr val="000000"/>
                      </a:solidFill>
                      <a:latin typeface="方正兰亭黑_GBK"/>
                      <a:ea typeface="方正兰亭黑_GBK"/>
                      <a:cs typeface="Lucida Sans"/>
                    </a:defRPr>
                  </a:pPr>
                  <a:endParaRPr lang="zh-CN"/>
                </a:p>
              </c:txPr>
              <c:dLblPos val="outEnd"/>
              <c:showLegendKey val="0"/>
              <c:showVal val="0"/>
              <c:showCatName val="0"/>
              <c:showSerName val="0"/>
              <c:showPercent val="1"/>
              <c:showBubbleSize val="0"/>
            </c:dLbl>
            <c:dLblPos val="outEnd"/>
            <c:showLegendKey val="0"/>
            <c:showVal val="0"/>
            <c:showCatName val="0"/>
            <c:showSerName val="0"/>
            <c:showPercent val="1"/>
            <c:showBubbleSize val="0"/>
            <c:showLeaderLines val="1"/>
          </c:dLbls>
          <c:cat>
            <c:strRef>
              <c:f>'Sheet1 (6)'!$A$2:$A$4</c:f>
              <c:strCache>
                <c:ptCount val="3"/>
                <c:pt idx="0">
                  <c:v>一般公共服务支出</c:v>
                </c:pt>
                <c:pt idx="1">
                  <c:v>社会保障和就业支出</c:v>
                </c:pt>
                <c:pt idx="2">
                  <c:v>住房保障支出</c:v>
                </c:pt>
              </c:strCache>
            </c:strRef>
          </c:cat>
          <c:val>
            <c:numRef>
              <c:f>'Sheet1 (6)'!$B$2:$B$4</c:f>
              <c:numCache>
                <c:formatCode>General</c:formatCode>
                <c:ptCount val="3"/>
                <c:pt idx="0">
                  <c:v>851.67</c:v>
                </c:pt>
                <c:pt idx="1">
                  <c:v>121.32</c:v>
                </c:pt>
                <c:pt idx="2">
                  <c:v>52.06</c:v>
                </c:pt>
              </c:numCache>
            </c:numRef>
          </c:val>
        </c:ser>
        <c:gapDepth val="150"/>
        <c:firstSliceAng val="200"/>
      </c:pie3DChart>
      <c:spPr>
        <a:noFill/>
      </c:spPr>
    </c:plotArea>
    <c:legend>
      <c:legendPos val="r"/>
      <c:layout>
        <c:manualLayout>
          <c:xMode val="edge"/>
          <c:yMode val="edge"/>
          <c:x val="0.7178866"/>
          <c:y val="0.3733978"/>
          <c:w val="0.26766694"/>
          <c:h val="0.5403629"/>
        </c:manualLayout>
      </c:layout>
      <c:overlay val="0"/>
      <c:spPr>
        <a:noFill/>
        <a:ln>
          <a:noFill/>
        </a:ln>
      </c:spPr>
      <c:txPr>
        <a:bodyPr/>
        <a:lstStyle/>
        <a:p>
          <a:pPr>
            <a:defRPr sz="1100" b="0" i="0"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方正兰亭黑_GBK"/>
                <a:ea typeface="方正兰亭黑_GBK"/>
                <a:cs typeface="Lucida Sans"/>
              </a:defRPr>
            </a:pPr>
            <a:r>
              <a:rPr lang="zh-CN" sz="1800" b="1" i="0" u="none" strike="noStrike" baseline="0">
                <a:solidFill>
                  <a:srgbClr val="000000"/>
                </a:solidFill>
                <a:latin typeface="方正兰亭黑_GBK"/>
                <a:ea typeface="方正兰亭黑_GBK"/>
                <a:cs typeface="Lucida Sans"/>
              </a:rPr>
              <a:t>"</a:t>
            </a:r>
            <a:r>
              <a:rPr lang="zh-CN" sz="1800" b="1" i="0" u="none" strike="noStrike" baseline="0">
                <a:solidFill>
                  <a:srgbClr val="000000"/>
                </a:solidFill>
                <a:latin typeface="方正兰亭黑_GBK"/>
                <a:ea typeface="方正兰亭黑_GBK"/>
                <a:cs typeface="Lucida Sans"/>
              </a:rPr>
              <a:t>三公</a:t>
            </a:r>
            <a:r>
              <a:rPr lang="zh-CN" sz="1800" b="1" i="0" u="none" strike="noStrike" baseline="0">
                <a:solidFill>
                  <a:srgbClr val="000000"/>
                </a:solidFill>
                <a:latin typeface="方正兰亭黑_GBK"/>
                <a:ea typeface="方正兰亭黑_GBK"/>
                <a:cs typeface="Lucida Sans"/>
              </a:rPr>
              <a:t>"</a:t>
            </a:r>
            <a:r>
              <a:rPr lang="zh-CN" sz="1800" b="1" i="0" u="none" strike="noStrike" baseline="0">
                <a:solidFill>
                  <a:srgbClr val="000000"/>
                </a:solidFill>
                <a:latin typeface="方正兰亭黑_GBK"/>
                <a:ea typeface="方正兰亭黑_GBK"/>
                <a:cs typeface="Lucida Sans"/>
              </a:rPr>
              <a:t>经费财政拨款支出结构（占比）</a:t>
            </a:r>
          </a:p>
        </c:rich>
      </c:tx>
      <c:layout/>
      <c:overlay val="0"/>
      <c:spPr>
        <a:ln>
          <a:noFill/>
        </a:ln>
      </c:spPr>
    </c:title>
    <c:autoTitleDeleted val="1"/>
    <c:view3D>
      <c:rotX val="30"/>
      <c:hPercent val="100"/>
      <c:rotY val="0"/>
      <c:depthPercent val="100"/>
      <c:rAngAx val="0"/>
      <c:perspective val="0"/>
    </c:view3D>
    <c:floor>
      <c:thickness val="0"/>
      <c:spPr>
        <a:ln w="6350">
          <a:solidFill>
            <a:srgbClr val="898989"/>
          </a:solidFill>
          <a:prstDash val="solid"/>
        </a:ln>
      </c:spPr>
    </c:floor>
    <c:sideWall>
      <c:thickness val="0"/>
      <c:spPr>
        <a:ln>
          <a:noFill/>
        </a:ln>
      </c:spPr>
    </c:sideWall>
    <c:backWall>
      <c:thickness val="0"/>
      <c:spPr>
        <a:ln>
          <a:noFill/>
        </a:ln>
      </c:spPr>
    </c:backWall>
    <c:plotArea>
      <c:layout>
        <c:manualLayout>
          <c:layoutTarget val="inner"/>
          <c:xMode val="edge"/>
          <c:yMode val="edge"/>
          <c:x val="0.0"/>
          <c:y val="0.30483475"/>
          <c:w val="0.7320401"/>
          <c:h val="0.69494456"/>
        </c:manualLayout>
      </c:layout>
      <c:pie3DChart>
        <c:varyColors val="1"/>
        <c:ser>
          <c:idx val="0"/>
          <c:order val="0"/>
          <c:tx>
            <c:strRef>
              <c:f>'Sheet1 (7)'!$B$1</c:f>
              <c:strCache>
                <c:ptCount val="1"/>
                <c:pt idx="0">
                  <c:v>"三公"经费财政拨款支出结构</c:v>
                </c:pt>
              </c:strCache>
            </c:strRef>
          </c:tx>
          <c:spPr/>
          <c:dPt>
            <c:idx val="0"/>
            <c:bubble3D val="0"/>
            <c:spPr>
              <a:solidFill>
                <a:srgbClr val="4F81BD"/>
              </a:solidFill>
            </c:spPr>
          </c:dPt>
          <c:dPt>
            <c:idx val="1"/>
            <c:bubble3D val="0"/>
            <c:spPr>
              <a:solidFill>
                <a:srgbClr val="C0504D"/>
              </a:solidFill>
            </c:spPr>
          </c:dPt>
          <c:dPt>
            <c:idx val="2"/>
            <c:bubble3D val="0"/>
            <c:spPr>
              <a:solidFill>
                <a:srgbClr val="9BBB59"/>
              </a:solidFill>
            </c:spPr>
          </c:dPt>
          <c:dLbls>
            <c:spPr>
              <a:noFill/>
              <a:ln>
                <a:noFill/>
              </a:ln>
            </c:spPr>
            <c:txPr>
              <a:bodyPr/>
              <a:lstStyle/>
              <a:p>
                <a:pPr>
                  <a:defRPr sz="1100" b="0" i="0" u="none" strike="noStrike" baseline="0">
                    <a:solidFill>
                      <a:srgbClr val="000000"/>
                    </a:solidFill>
                    <a:latin typeface="方正兰亭黑_GBK"/>
                    <a:ea typeface="方正兰亭黑_GBK"/>
                    <a:cs typeface="Lucida Sans"/>
                  </a:defRPr>
                </a:pPr>
                <a:endParaRPr lang="zh-CN"/>
              </a:p>
            </c:txPr>
            <c:numFmt formatCode="0.00%" sourceLinked="0"/>
            <c:dLbl>
              <c:idx val="0"/>
              <c:layout>
                <c:manualLayout>
                  <c:x val="0.06430342"/>
                  <c:y val="-0.043488253"/>
                </c:manualLayout>
              </c:layout>
              <c:numFmt formatCode="0.00%" sourceLinked="0"/>
              <c:spPr>
                <a:noFill/>
                <a:ln>
                  <a:noFill/>
                </a:ln>
              </c:spPr>
              <c:txPr>
                <a:bodyPr/>
                <a:lstStyle/>
                <a:p>
                  <a:pPr>
                    <a:defRPr sz="11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dLbl>
              <c:idx val="1"/>
              <c:layout>
                <c:manualLayout>
                  <c:x val="0.14876597"/>
                  <c:y val="-0.052179582"/>
                </c:manualLayout>
              </c:layout>
              <c:numFmt formatCode="0.00%" sourceLinked="0"/>
              <c:spPr>
                <a:noFill/>
                <a:ln>
                  <a:noFill/>
                </a:ln>
              </c:spPr>
              <c:txPr>
                <a:bodyPr/>
                <a:lstStyle/>
                <a:p>
                  <a:pPr>
                    <a:defRPr sz="11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dLbl>
              <c:idx val="2"/>
              <c:layout>
                <c:manualLayout>
                  <c:x val="-0.10218521"/>
                  <c:y val="-0.022832531"/>
                </c:manualLayout>
              </c:layout>
              <c:numFmt formatCode="0.00%" sourceLinked="0"/>
              <c:spPr>
                <a:noFill/>
                <a:ln>
                  <a:noFill/>
                </a:ln>
              </c:spPr>
              <c:txPr>
                <a:bodyPr/>
                <a:lstStyle/>
                <a:p>
                  <a:pPr>
                    <a:defRPr sz="1100" b="0" i="0" u="none" strike="noStrike" baseline="0">
                      <a:solidFill>
                        <a:srgbClr val="000000"/>
                      </a:solidFill>
                      <a:latin typeface="方正兰亭黑_GBK"/>
                      <a:ea typeface="方正兰亭黑_GBK"/>
                      <a:cs typeface="Lucida Sans"/>
                    </a:defRPr>
                  </a:pPr>
                  <a:endParaRPr lang="zh-CN"/>
                </a:p>
              </c:txPr>
              <c:showLegendKey val="0"/>
              <c:showVal val="0"/>
              <c:showCatName val="0"/>
              <c:showSerName val="0"/>
              <c:showPercent val="1"/>
              <c:showBubbleSize val="0"/>
            </c:dLbl>
            <c:showLegendKey val="0"/>
            <c:showVal val="0"/>
            <c:showCatName val="0"/>
            <c:showSerName val="0"/>
            <c:showPercent val="1"/>
            <c:showBubbleSize val="0"/>
            <c:showLeaderLines val="1"/>
          </c:dLbls>
          <c:cat>
            <c:strRef>
              <c:f>'Sheet1 (7)'!$A$2:$A$4</c:f>
              <c:strCache>
                <c:ptCount val="3"/>
                <c:pt idx="0">
                  <c:v>因公出国（境）费</c:v>
                </c:pt>
                <c:pt idx="1">
                  <c:v>公务用车购置及运行维护费</c:v>
                </c:pt>
                <c:pt idx="2">
                  <c:v>公务接待费</c:v>
                </c:pt>
              </c:strCache>
            </c:strRef>
          </c:cat>
          <c:val>
            <c:numRef>
              <c:f>'Sheet1 (7)'!$B$2:$B$4</c:f>
              <c:numCache>
                <c:formatCode>General</c:formatCode>
                <c:ptCount val="3"/>
                <c:pt idx="0">
                  <c:v>0.0</c:v>
                </c:pt>
                <c:pt idx="1">
                  <c:v>1.487432</c:v>
                </c:pt>
                <c:pt idx="2">
                  <c:v>0.1951</c:v>
                </c:pt>
              </c:numCache>
            </c:numRef>
          </c:val>
        </c:ser>
        <c:gapDepth val="150"/>
        <c:firstSliceAng val="0"/>
      </c:pie3DChart>
      <c:spPr>
        <a:noFill/>
      </c:spPr>
    </c:plotArea>
    <c:legend>
      <c:legendPos val="r"/>
      <c:layout>
        <c:manualLayout>
          <c:xMode val="edge"/>
          <c:yMode val="edge"/>
          <c:x val="0.7721959"/>
          <c:y val="0.37030163"/>
          <c:w val="0.22498739"/>
          <c:h val="0.560397"/>
        </c:manualLayout>
      </c:layout>
      <c:overlay val="0"/>
      <c:spPr>
        <a:noFill/>
        <a:ln>
          <a:noFill/>
        </a:ln>
      </c:spPr>
      <c:txPr>
        <a:bodyPr/>
        <a:lstStyle/>
        <a:p>
          <a:pPr>
            <a:defRPr sz="1000" b="0" i="0"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1641</TotalTime>
  <Application>Yozo_Office27021597764231179</Application>
  <Pages>39</Pages>
  <Words>16866</Words>
  <Characters>18060</Characters>
  <Lines>1067</Lines>
  <Paragraphs>342</Paragraphs>
  <CharactersWithSpaces>18191</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安宁</cp:lastModifiedBy>
  <cp:revision>351</cp:revision>
  <cp:lastPrinted>2022-08-08T09:11:00Z</cp:lastPrinted>
  <dcterms:created xsi:type="dcterms:W3CDTF">2020-08-05T01:49:00Z</dcterms:created>
  <dcterms:modified xsi:type="dcterms:W3CDTF">2022-09-14T08:47:20Z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2052-11.8.2.8361</vt:lpwstr>
  </property>
</Properties>
</file>