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5633A3">
      <w:pPr>
        <w:spacing w:line="578" w:lineRule="exact"/>
        <w:jc w:val="center"/>
        <w:rPr>
          <w:rFonts w:ascii="方正小标宋_GBK" w:eastAsia="方正小标宋_GBK" w:hint="eastAsia"/>
          <w:sz w:val="44"/>
          <w:szCs w:val="44"/>
        </w:rPr>
      </w:pPr>
      <w:r>
        <w:rPr>
          <w:rFonts w:ascii="方正小标宋_GBK" w:eastAsia="方正小标宋_GBK" w:hint="eastAsia"/>
          <w:sz w:val="44"/>
          <w:szCs w:val="44"/>
        </w:rPr>
        <w:t>四川省攀枝花市林业局</w:t>
      </w:r>
    </w:p>
    <w:p w:rsidR="00000000" w:rsidRDefault="005633A3">
      <w:pPr>
        <w:spacing w:line="578" w:lineRule="exact"/>
        <w:jc w:val="center"/>
        <w:rPr>
          <w:rFonts w:ascii="方正小标宋_GBK" w:eastAsia="方正小标宋_GBK" w:hint="eastAsia"/>
          <w:sz w:val="44"/>
          <w:szCs w:val="44"/>
        </w:rPr>
      </w:pPr>
      <w:bookmarkStart w:id="0" w:name="_GoBack"/>
      <w:r>
        <w:rPr>
          <w:rFonts w:ascii="方正小标宋_GBK" w:eastAsia="方正小标宋_GBK" w:hint="eastAsia"/>
          <w:sz w:val="44"/>
          <w:szCs w:val="44"/>
        </w:rPr>
        <w:t>2016</w:t>
      </w:r>
      <w:r>
        <w:rPr>
          <w:rFonts w:ascii="方正小标宋_GBK" w:eastAsia="方正小标宋_GBK" w:hint="eastAsia"/>
          <w:sz w:val="44"/>
          <w:szCs w:val="44"/>
        </w:rPr>
        <w:t>年部门决算编制说明</w:t>
      </w:r>
    </w:p>
    <w:bookmarkEnd w:id="0"/>
    <w:p w:rsidR="00000000" w:rsidRDefault="005633A3">
      <w:pPr>
        <w:spacing w:line="578" w:lineRule="exact"/>
        <w:ind w:firstLineChars="200" w:firstLine="640"/>
        <w:rPr>
          <w:rFonts w:ascii="仿宋_GB2312" w:eastAsia="仿宋_GB2312" w:hint="eastAsia"/>
          <w:sz w:val="32"/>
          <w:szCs w:val="32"/>
        </w:rPr>
      </w:pPr>
    </w:p>
    <w:p w:rsidR="00000000" w:rsidRDefault="005633A3">
      <w:pPr>
        <w:spacing w:line="578" w:lineRule="exact"/>
        <w:ind w:firstLineChars="200" w:firstLine="640"/>
        <w:rPr>
          <w:rFonts w:ascii="黑体" w:eastAsia="黑体" w:hint="eastAsia"/>
          <w:sz w:val="32"/>
          <w:szCs w:val="32"/>
        </w:rPr>
      </w:pPr>
      <w:r>
        <w:rPr>
          <w:rFonts w:ascii="黑体" w:eastAsia="黑体" w:hint="eastAsia"/>
          <w:sz w:val="32"/>
          <w:szCs w:val="32"/>
        </w:rPr>
        <w:t>一、基本职能及主要工作</w:t>
      </w:r>
    </w:p>
    <w:p w:rsidR="00000000" w:rsidRDefault="005633A3">
      <w:pPr>
        <w:spacing w:line="578" w:lineRule="exact"/>
        <w:ind w:firstLineChars="200" w:firstLine="643"/>
        <w:rPr>
          <w:rFonts w:ascii="楷体_GB2312" w:eastAsia="楷体_GB2312" w:hint="eastAsia"/>
          <w:b/>
          <w:sz w:val="32"/>
          <w:szCs w:val="32"/>
        </w:rPr>
      </w:pPr>
      <w:r>
        <w:rPr>
          <w:rFonts w:ascii="楷体_GB2312" w:eastAsia="楷体_GB2312" w:hint="eastAsia"/>
          <w:b/>
          <w:sz w:val="32"/>
          <w:szCs w:val="32"/>
        </w:rPr>
        <w:t>（一）主要职能。</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1</w:t>
      </w:r>
      <w:r>
        <w:rPr>
          <w:rFonts w:ascii="仿宋_GB2312" w:eastAsia="仿宋_GB2312" w:hint="eastAsia"/>
          <w:sz w:val="32"/>
          <w:szCs w:val="32"/>
        </w:rPr>
        <w:t>、贯彻执行国家和省有关林业的方针、政策和法律、法规，拟订相应的实施意见并组织实施。</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2</w:t>
      </w:r>
      <w:r>
        <w:rPr>
          <w:rFonts w:ascii="仿宋_GB2312" w:eastAsia="仿宋_GB2312" w:hint="eastAsia"/>
          <w:sz w:val="32"/>
          <w:szCs w:val="32"/>
        </w:rPr>
        <w:t>、负责全市林业及生态建设的监督管理。拟订全市林业发展及生态建设中长期规划，监督检查规划的实施完成情况；组织开展全市森林资源、陆生野生动植物资源、湿地和荒漠的调查、动态监测和评估；承担生态文明建设的相关工作。</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3</w:t>
      </w:r>
      <w:r>
        <w:rPr>
          <w:rFonts w:ascii="仿宋_GB2312" w:eastAsia="仿宋_GB2312" w:hint="eastAsia"/>
          <w:sz w:val="32"/>
          <w:szCs w:val="32"/>
        </w:rPr>
        <w:t>、组织、协调、指导和监督全市造林绿化工作。拟订全市造林绿化规划、年度指导性计划；指导各类公益林和商品林的培育，指导植树造</w:t>
      </w:r>
      <w:r>
        <w:rPr>
          <w:rFonts w:ascii="仿宋_GB2312" w:eastAsia="仿宋_GB2312" w:hint="eastAsia"/>
          <w:sz w:val="32"/>
          <w:szCs w:val="32"/>
        </w:rPr>
        <w:t>林、封山育林和以植树种草等生物措施防治水土流失工作；组织指导全民义务植树、造林绿化工作，监督检查各项造林绿化计划、项目实施情况；编制森林城市建设规划和方案，组织、指导、协调和监督规划、方案的实施，统筹规划城乡绿化一体化建设；负责全市种苗管理工作；承担林业应对气候变化的相关工作。</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4</w:t>
      </w:r>
      <w:r>
        <w:rPr>
          <w:rFonts w:ascii="仿宋_GB2312" w:eastAsia="仿宋_GB2312" w:hint="eastAsia"/>
          <w:sz w:val="32"/>
          <w:szCs w:val="32"/>
        </w:rPr>
        <w:t>、承担全市森林资源保护发展和监督管理的职责。贯彻执行国家和省关于森林采伐限额和林地保护利用规划，监督限额采伐制度的执行和林木、竹林的凭证采伐、运输和经营加工；负责</w:t>
      </w:r>
      <w:r>
        <w:rPr>
          <w:rFonts w:ascii="仿宋_GB2312" w:eastAsia="仿宋_GB2312" w:hint="eastAsia"/>
          <w:sz w:val="32"/>
          <w:szCs w:val="32"/>
        </w:rPr>
        <w:lastRenderedPageBreak/>
        <w:t>全市森林资源调查、动态监测和统计；指导监督林地和林权管理，组织实施林</w:t>
      </w:r>
      <w:r>
        <w:rPr>
          <w:rFonts w:ascii="仿宋_GB2312" w:eastAsia="仿宋_GB2312" w:hint="eastAsia"/>
          <w:sz w:val="32"/>
          <w:szCs w:val="32"/>
        </w:rPr>
        <w:t>权登记、发证工作；指导林地保护利用规划的实施，依法承担林地征用、占用的审核工作；加强对重点国有林区的森林资源管理，承担国有森林资源资产产权变动的审核报批工作。</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5</w:t>
      </w:r>
      <w:r>
        <w:rPr>
          <w:rFonts w:ascii="仿宋_GB2312" w:eastAsia="仿宋_GB2312" w:hint="eastAsia"/>
          <w:sz w:val="32"/>
          <w:szCs w:val="32"/>
        </w:rPr>
        <w:t>、组织、协调、指导和监督全市湿地保护工作。贯彻执行国家、省有关湿地保护规划及其相关的标准规定，拟订全市湿地保护规划；组织实施建立湿地保护小区、湿地公园等保护管理工作，监督湿地的合理利用。</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6</w:t>
      </w:r>
      <w:r>
        <w:rPr>
          <w:rFonts w:ascii="仿宋_GB2312" w:eastAsia="仿宋_GB2312" w:hint="eastAsia"/>
          <w:sz w:val="32"/>
          <w:szCs w:val="32"/>
        </w:rPr>
        <w:t>、组织、协调、指导和监督全市荒漠化防治工作。贯彻执行国家和省有关防沙治沙、石漠化防治及沙化土地封禁保护区建设规划及其标准和规定；监督沙化土地的合理利用，组织、指</w:t>
      </w:r>
      <w:r>
        <w:rPr>
          <w:rFonts w:ascii="仿宋_GB2312" w:eastAsia="仿宋_GB2312" w:hint="eastAsia"/>
          <w:sz w:val="32"/>
          <w:szCs w:val="32"/>
        </w:rPr>
        <w:t>导建设项目对土地沙化影响的审核；组织、指导沙尘暴灾害预测预报和应急处理。</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7</w:t>
      </w:r>
      <w:r>
        <w:rPr>
          <w:rFonts w:ascii="仿宋_GB2312" w:eastAsia="仿宋_GB2312" w:hint="eastAsia"/>
          <w:sz w:val="32"/>
          <w:szCs w:val="32"/>
        </w:rPr>
        <w:t>、组织、指导全市陆生野生动植物的保护和合理开发利用。依法组织、指导陆生野生动植物的救护繁育、栖息地恢复发展、疫源疫病监测，监督管理全市陆生野生动植物猎捕或采集、驯养繁殖或培植、经营利用，监督管理野生动植物进出口；承担国家、省保护的陆生野生动物、珍稀树种、珍稀野生植物及其产品的审核审批工作。</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8</w:t>
      </w:r>
      <w:r>
        <w:rPr>
          <w:rFonts w:ascii="仿宋_GB2312" w:eastAsia="仿宋_GB2312" w:hint="eastAsia"/>
          <w:sz w:val="32"/>
          <w:szCs w:val="32"/>
        </w:rPr>
        <w:t>、负责全市林业系统自然保护区的监督管理。依法指导全市森林、湿地和陆生野生动植物自然保护区的建设和管理；负责生物多样性保护。</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lastRenderedPageBreak/>
        <w:t>9</w:t>
      </w:r>
      <w:r>
        <w:rPr>
          <w:rFonts w:ascii="仿宋_GB2312" w:eastAsia="仿宋_GB2312" w:hint="eastAsia"/>
          <w:sz w:val="32"/>
          <w:szCs w:val="32"/>
        </w:rPr>
        <w:t>、承担推进全市林</w:t>
      </w:r>
      <w:r>
        <w:rPr>
          <w:rFonts w:ascii="仿宋_GB2312" w:eastAsia="仿宋_GB2312" w:hint="eastAsia"/>
          <w:sz w:val="32"/>
          <w:szCs w:val="32"/>
        </w:rPr>
        <w:t>业改革，依法维护农民和其他经营者经营林业合法权益的责任。拟订全市重大林业改革的相关实施意见并指导监督实施；指导、监督农村林地承包经营和林权流转；指导林权纠纷调处和林地承包合同纠纷仲裁；指导国有林场、森林公园和基层林业工作机构的建设和管理；负责对全市森林旅游工作的指导、监督和管理。</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10</w:t>
      </w:r>
      <w:r>
        <w:rPr>
          <w:rFonts w:ascii="仿宋_GB2312" w:eastAsia="仿宋_GB2312" w:hint="eastAsia"/>
          <w:sz w:val="32"/>
          <w:szCs w:val="32"/>
        </w:rPr>
        <w:t>、监督检查全市各产业对森林、湿地、荒漠和陆生野生动植物资源的开发利用。贯彻执行国家和省有关林业资源优化配置政策及其产业标准，拟订全市林业产业发展</w:t>
      </w:r>
      <w:r>
        <w:rPr>
          <w:rFonts w:ascii="仿宋_GB2312" w:eastAsia="仿宋_GB2312" w:hint="eastAsia"/>
          <w:sz w:val="32"/>
          <w:szCs w:val="32"/>
          <w:lang w:eastAsia="zh-Hans"/>
        </w:rPr>
        <w:t>规划</w:t>
      </w:r>
      <w:r>
        <w:rPr>
          <w:rFonts w:ascii="仿宋_GB2312" w:eastAsia="仿宋_GB2312" w:hint="eastAsia"/>
          <w:sz w:val="32"/>
          <w:szCs w:val="32"/>
        </w:rPr>
        <w:t>并监督实施；指导全市林业综合开发。</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11</w:t>
      </w:r>
      <w:r>
        <w:rPr>
          <w:rFonts w:ascii="仿宋_GB2312" w:eastAsia="仿宋_GB2312" w:hint="eastAsia"/>
          <w:sz w:val="32"/>
          <w:szCs w:val="32"/>
        </w:rPr>
        <w:t>、组织、协调、指导、监督全市森林防火工</w:t>
      </w:r>
      <w:r>
        <w:rPr>
          <w:rFonts w:ascii="仿宋_GB2312" w:eastAsia="仿宋_GB2312" w:hint="eastAsia"/>
          <w:sz w:val="32"/>
          <w:szCs w:val="32"/>
        </w:rPr>
        <w:t>作。组织、协调武警森林部队和专业森林扑火队伍的防扑火工作；组织、指导、监督全市林业有害生物的防治、检疫工作；负责林业行政案件的查处和林业执法体系建设；负责森林公安工作，指导全市林业重大案件的查处。</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12</w:t>
      </w:r>
      <w:r>
        <w:rPr>
          <w:rFonts w:ascii="仿宋_GB2312" w:eastAsia="仿宋_GB2312" w:hint="eastAsia"/>
          <w:sz w:val="32"/>
          <w:szCs w:val="32"/>
        </w:rPr>
        <w:t>、负责指导全市林业经济工作。贯彻执行国家、省、市有关林业及其生态建设的财政、金融、价格、贸易等经济调节政策，执行林业及其生态建设补偿制度。提出市级林业专项资金的预算建议，监督管理市级林业资金，负责权限内的市级林业国有资产管理，负责提出全市林业固定资产投资规模和方向、市财政资金的安排意见，按规定权限审核报批、核</w:t>
      </w:r>
      <w:r>
        <w:rPr>
          <w:rFonts w:ascii="仿宋_GB2312" w:eastAsia="仿宋_GB2312" w:hint="eastAsia"/>
          <w:sz w:val="32"/>
          <w:szCs w:val="32"/>
        </w:rPr>
        <w:t>准规划内和年度计划内固定资产投资项目；编制全市林业及其生态建设、产业发展、重点</w:t>
      </w:r>
      <w:r>
        <w:rPr>
          <w:rFonts w:ascii="仿宋_GB2312" w:eastAsia="仿宋_GB2312" w:hint="eastAsia"/>
          <w:sz w:val="32"/>
          <w:szCs w:val="32"/>
        </w:rPr>
        <w:lastRenderedPageBreak/>
        <w:t>工程发展规划、计划并监督实施。</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13</w:t>
      </w:r>
      <w:r>
        <w:rPr>
          <w:rFonts w:ascii="仿宋_GB2312" w:eastAsia="仿宋_GB2312" w:hint="eastAsia"/>
          <w:sz w:val="32"/>
          <w:szCs w:val="32"/>
        </w:rPr>
        <w:t>、负责全市林业及其生态建设的科技、宣传、教育、培训工作，加强生态文化建设，指导全市林业队伍建设。</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14</w:t>
      </w:r>
      <w:r>
        <w:rPr>
          <w:rFonts w:ascii="仿宋_GB2312" w:eastAsia="仿宋_GB2312" w:hint="eastAsia"/>
          <w:sz w:val="32"/>
          <w:szCs w:val="32"/>
        </w:rPr>
        <w:t>、承担市政府公布的有关行政审批事项。</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15</w:t>
      </w:r>
      <w:r>
        <w:rPr>
          <w:rFonts w:ascii="仿宋_GB2312" w:eastAsia="仿宋_GB2312" w:hint="eastAsia"/>
          <w:sz w:val="32"/>
          <w:szCs w:val="32"/>
        </w:rPr>
        <w:t>、承办市政府交办的其他事项。</w:t>
      </w:r>
    </w:p>
    <w:p w:rsidR="00000000" w:rsidRDefault="005633A3">
      <w:pPr>
        <w:spacing w:line="578" w:lineRule="exact"/>
        <w:ind w:firstLineChars="200" w:firstLine="643"/>
        <w:rPr>
          <w:rFonts w:ascii="楷体_GB2312" w:eastAsia="楷体_GB2312" w:hint="eastAsia"/>
          <w:b/>
          <w:sz w:val="32"/>
          <w:szCs w:val="32"/>
        </w:rPr>
      </w:pPr>
      <w:r>
        <w:rPr>
          <w:rFonts w:ascii="楷体_GB2312" w:eastAsia="楷体_GB2312" w:hint="eastAsia"/>
          <w:b/>
          <w:sz w:val="32"/>
          <w:szCs w:val="32"/>
        </w:rPr>
        <w:t>（二）</w:t>
      </w:r>
      <w:r>
        <w:rPr>
          <w:rFonts w:ascii="楷体_GB2312" w:eastAsia="楷体_GB2312" w:hint="eastAsia"/>
          <w:b/>
          <w:sz w:val="32"/>
          <w:szCs w:val="32"/>
        </w:rPr>
        <w:t>2016</w:t>
      </w:r>
      <w:r>
        <w:rPr>
          <w:rFonts w:ascii="楷体_GB2312" w:eastAsia="楷体_GB2312" w:hint="eastAsia"/>
          <w:b/>
          <w:sz w:val="32"/>
          <w:szCs w:val="32"/>
        </w:rPr>
        <w:t>年重点工作完成情况。</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1</w:t>
      </w:r>
      <w:r>
        <w:rPr>
          <w:rFonts w:ascii="仿宋_GB2312" w:eastAsia="仿宋_GB2312" w:hint="eastAsia"/>
          <w:sz w:val="32"/>
          <w:szCs w:val="32"/>
        </w:rPr>
        <w:t>、国家森林城市创建顺利推进。以创建国家森林城市为统揽，统筹推进林业三大工程，大力实施重点区域生态修复，创新开展义务植树，严格保护森林资源，全市生态环境改善明显，森林覆盖率达到</w:t>
      </w:r>
      <w:r>
        <w:rPr>
          <w:rFonts w:ascii="仿宋_GB2312" w:eastAsia="仿宋_GB2312" w:hint="eastAsia"/>
          <w:sz w:val="32"/>
          <w:szCs w:val="32"/>
        </w:rPr>
        <w:t>60.03%</w:t>
      </w:r>
      <w:r>
        <w:rPr>
          <w:rFonts w:ascii="仿宋_GB2312" w:eastAsia="仿宋_GB2312" w:hint="eastAsia"/>
          <w:sz w:val="32"/>
          <w:szCs w:val="32"/>
        </w:rPr>
        <w:t>，位居全省第二位。一是创建责任层层落实。年初市创森指挥部下发了《攀枝花市</w:t>
      </w:r>
      <w:r>
        <w:rPr>
          <w:rFonts w:ascii="仿宋_GB2312" w:eastAsia="仿宋_GB2312" w:hint="eastAsia"/>
          <w:sz w:val="32"/>
          <w:szCs w:val="32"/>
        </w:rPr>
        <w:t>2016</w:t>
      </w:r>
      <w:r>
        <w:rPr>
          <w:rFonts w:ascii="仿宋_GB2312" w:eastAsia="仿宋_GB2312" w:hint="eastAsia"/>
          <w:sz w:val="32"/>
          <w:szCs w:val="32"/>
        </w:rPr>
        <w:t>年度创建国家森林城市重点项目的通知》，市政府与各县（区）政府、钒钛高新区、花城新区签订了《</w:t>
      </w:r>
      <w:r>
        <w:rPr>
          <w:rFonts w:ascii="仿宋_GB2312" w:eastAsia="仿宋_GB2312" w:hint="eastAsia"/>
          <w:sz w:val="32"/>
          <w:szCs w:val="32"/>
        </w:rPr>
        <w:t>2016</w:t>
      </w:r>
      <w:r>
        <w:rPr>
          <w:rFonts w:ascii="仿宋_GB2312" w:eastAsia="仿宋_GB2312" w:hint="eastAsia"/>
          <w:sz w:val="32"/>
          <w:szCs w:val="32"/>
        </w:rPr>
        <w:t>年度创建国家森林城市目标责任书》。二是创建项目支撑有力。全年共落实</w:t>
      </w:r>
      <w:r>
        <w:rPr>
          <w:rFonts w:ascii="仿宋_GB2312" w:eastAsia="仿宋_GB2312" w:hint="eastAsia"/>
          <w:sz w:val="32"/>
          <w:szCs w:val="32"/>
        </w:rPr>
        <w:t>123</w:t>
      </w:r>
      <w:r>
        <w:rPr>
          <w:rFonts w:ascii="仿宋_GB2312" w:eastAsia="仿宋_GB2312" w:hint="eastAsia"/>
          <w:sz w:val="32"/>
          <w:szCs w:val="32"/>
        </w:rPr>
        <w:t>个创森项目，其中</w:t>
      </w:r>
      <w:r>
        <w:rPr>
          <w:rFonts w:ascii="仿宋_GB2312" w:eastAsia="仿宋_GB2312" w:hint="eastAsia"/>
          <w:sz w:val="32"/>
          <w:szCs w:val="32"/>
        </w:rPr>
        <w:t>2</w:t>
      </w:r>
      <w:r>
        <w:rPr>
          <w:rFonts w:ascii="仿宋_GB2312" w:eastAsia="仿宋_GB2312" w:hint="eastAsia"/>
          <w:sz w:val="32"/>
          <w:szCs w:val="32"/>
        </w:rPr>
        <w:t>项为市级重点项目，</w:t>
      </w:r>
      <w:r>
        <w:rPr>
          <w:rFonts w:ascii="仿宋_GB2312" w:eastAsia="仿宋_GB2312" w:hint="eastAsia"/>
          <w:sz w:val="32"/>
          <w:szCs w:val="32"/>
        </w:rPr>
        <w:t>10</w:t>
      </w:r>
      <w:r>
        <w:rPr>
          <w:rFonts w:ascii="仿宋_GB2312" w:eastAsia="仿宋_GB2312" w:hint="eastAsia"/>
          <w:sz w:val="32"/>
          <w:szCs w:val="32"/>
        </w:rPr>
        <w:t>项为五创重点工作。截止目前，创森指标共</w:t>
      </w:r>
      <w:r>
        <w:rPr>
          <w:rFonts w:ascii="仿宋_GB2312" w:eastAsia="仿宋_GB2312" w:hint="eastAsia"/>
          <w:sz w:val="32"/>
          <w:szCs w:val="32"/>
        </w:rPr>
        <w:t>40</w:t>
      </w:r>
      <w:r>
        <w:rPr>
          <w:rFonts w:ascii="仿宋_GB2312" w:eastAsia="仿宋_GB2312" w:hint="eastAsia"/>
          <w:sz w:val="32"/>
          <w:szCs w:val="32"/>
        </w:rPr>
        <w:t>项已全部达标。保安营片区植被恢复、马坎片区生态修复后期管护等重点项目按计划推进；完成森林抚育</w:t>
      </w:r>
      <w:r>
        <w:rPr>
          <w:rFonts w:ascii="仿宋_GB2312" w:eastAsia="仿宋_GB2312" w:hint="eastAsia"/>
          <w:sz w:val="32"/>
          <w:szCs w:val="32"/>
        </w:rPr>
        <w:t>6</w:t>
      </w:r>
      <w:r>
        <w:rPr>
          <w:rFonts w:ascii="仿宋_GB2312" w:eastAsia="仿宋_GB2312" w:hint="eastAsia"/>
          <w:sz w:val="32"/>
          <w:szCs w:val="32"/>
        </w:rPr>
        <w:t>万亩和</w:t>
      </w:r>
      <w:r>
        <w:rPr>
          <w:rFonts w:ascii="仿宋_GB2312" w:eastAsia="仿宋_GB2312" w:hint="eastAsia"/>
          <w:sz w:val="32"/>
          <w:szCs w:val="32"/>
        </w:rPr>
        <w:t>2000</w:t>
      </w:r>
      <w:r>
        <w:rPr>
          <w:rFonts w:ascii="仿宋_GB2312" w:eastAsia="仿宋_GB2312" w:hint="eastAsia"/>
          <w:sz w:val="32"/>
          <w:szCs w:val="32"/>
        </w:rPr>
        <w:t>亩干旱、半干旱生态治理和修复项目；西区尖山生态脆弱区植被恢复区造林示范项</w:t>
      </w:r>
      <w:r>
        <w:rPr>
          <w:rFonts w:ascii="仿宋_GB2312" w:eastAsia="仿宋_GB2312" w:hint="eastAsia"/>
          <w:sz w:val="32"/>
          <w:szCs w:val="32"/>
        </w:rPr>
        <w:t>目和盐边新县城视野区橄榄坡造林绿化项目已完成栽植任务，实施面积</w:t>
      </w:r>
      <w:r>
        <w:rPr>
          <w:rFonts w:ascii="仿宋_GB2312" w:eastAsia="仿宋_GB2312" w:hint="eastAsia"/>
          <w:sz w:val="32"/>
          <w:szCs w:val="32"/>
        </w:rPr>
        <w:t>450</w:t>
      </w:r>
      <w:r>
        <w:rPr>
          <w:rFonts w:ascii="仿宋_GB2312" w:eastAsia="仿宋_GB2312" w:hint="eastAsia"/>
          <w:sz w:val="32"/>
          <w:szCs w:val="32"/>
        </w:rPr>
        <w:t>亩；安宁河支流楠木河河道绿化</w:t>
      </w:r>
      <w:r>
        <w:rPr>
          <w:rFonts w:ascii="仿宋_GB2312" w:eastAsia="仿宋_GB2312" w:hint="eastAsia"/>
          <w:sz w:val="32"/>
          <w:szCs w:val="32"/>
        </w:rPr>
        <w:t>10</w:t>
      </w:r>
      <w:r>
        <w:rPr>
          <w:rFonts w:ascii="仿宋_GB2312" w:eastAsia="仿宋_GB2312" w:hint="eastAsia"/>
          <w:sz w:val="32"/>
          <w:szCs w:val="32"/>
        </w:rPr>
        <w:t>公里、栽植柳树</w:t>
      </w:r>
      <w:r>
        <w:rPr>
          <w:rFonts w:ascii="仿宋_GB2312" w:eastAsia="仿宋_GB2312" w:hint="eastAsia"/>
          <w:sz w:val="32"/>
          <w:szCs w:val="32"/>
        </w:rPr>
        <w:t>5000</w:t>
      </w:r>
      <w:r>
        <w:rPr>
          <w:rFonts w:ascii="仿宋_GB2312" w:eastAsia="仿宋_GB2312" w:hint="eastAsia"/>
          <w:sz w:val="32"/>
          <w:szCs w:val="32"/>
        </w:rPr>
        <w:t>株、河道整治</w:t>
      </w:r>
      <w:r>
        <w:rPr>
          <w:rFonts w:ascii="仿宋_GB2312" w:eastAsia="仿宋_GB2312" w:hint="eastAsia"/>
          <w:sz w:val="32"/>
          <w:szCs w:val="32"/>
        </w:rPr>
        <w:t>5</w:t>
      </w:r>
      <w:r>
        <w:rPr>
          <w:rFonts w:ascii="仿宋_GB2312" w:eastAsia="仿宋_GB2312" w:hint="eastAsia"/>
          <w:sz w:val="32"/>
          <w:szCs w:val="32"/>
        </w:rPr>
        <w:t>公里。巩固</w:t>
      </w:r>
      <w:r>
        <w:rPr>
          <w:rFonts w:ascii="仿宋_GB2312" w:eastAsia="仿宋_GB2312" w:hint="eastAsia"/>
          <w:sz w:val="32"/>
          <w:szCs w:val="32"/>
        </w:rPr>
        <w:t>27.5</w:t>
      </w:r>
      <w:r>
        <w:rPr>
          <w:rFonts w:ascii="仿宋_GB2312" w:eastAsia="仿宋_GB2312" w:hint="eastAsia"/>
          <w:sz w:val="32"/>
          <w:szCs w:val="32"/>
        </w:rPr>
        <w:t>万亩历年退耕还林成果，完成新一轮退耕还林</w:t>
      </w:r>
      <w:r>
        <w:rPr>
          <w:rFonts w:ascii="仿宋_GB2312" w:eastAsia="仿宋_GB2312" w:hint="eastAsia"/>
          <w:sz w:val="32"/>
          <w:szCs w:val="32"/>
        </w:rPr>
        <w:t>2.8</w:t>
      </w:r>
      <w:r>
        <w:rPr>
          <w:rFonts w:ascii="仿宋_GB2312" w:eastAsia="仿宋_GB2312" w:hint="eastAsia"/>
          <w:sz w:val="32"/>
          <w:szCs w:val="32"/>
        </w:rPr>
        <w:t>万亩的落地到户及自查</w:t>
      </w:r>
      <w:r>
        <w:rPr>
          <w:rFonts w:ascii="仿宋_GB2312" w:eastAsia="仿宋_GB2312" w:hint="eastAsia"/>
          <w:sz w:val="32"/>
          <w:szCs w:val="32"/>
        </w:rPr>
        <w:lastRenderedPageBreak/>
        <w:t>验收工作，并兑现补助资金。三是义务植树蓬勃开展。完成</w:t>
      </w:r>
      <w:r>
        <w:rPr>
          <w:rFonts w:ascii="仿宋_GB2312" w:eastAsia="仿宋_GB2312" w:hint="eastAsia"/>
          <w:sz w:val="32"/>
          <w:szCs w:val="32"/>
        </w:rPr>
        <w:t>2016</w:t>
      </w:r>
      <w:r>
        <w:rPr>
          <w:rFonts w:ascii="仿宋_GB2312" w:eastAsia="仿宋_GB2312" w:hint="eastAsia"/>
          <w:sz w:val="32"/>
          <w:szCs w:val="32"/>
        </w:rPr>
        <w:t>年“</w:t>
      </w:r>
      <w:r>
        <w:rPr>
          <w:rFonts w:ascii="仿宋_GB2312" w:eastAsia="仿宋_GB2312" w:hint="eastAsia"/>
          <w:sz w:val="32"/>
          <w:szCs w:val="32"/>
        </w:rPr>
        <w:t>6.29</w:t>
      </w:r>
      <w:r>
        <w:rPr>
          <w:rFonts w:ascii="仿宋_GB2312" w:eastAsia="仿宋_GB2312" w:hint="eastAsia"/>
          <w:sz w:val="32"/>
          <w:szCs w:val="32"/>
        </w:rPr>
        <w:t>”攀枝花市全民义务植树活动，将全年</w:t>
      </w:r>
      <w:r>
        <w:rPr>
          <w:rFonts w:ascii="仿宋_GB2312" w:eastAsia="仿宋_GB2312" w:hint="eastAsia"/>
          <w:sz w:val="32"/>
          <w:szCs w:val="32"/>
        </w:rPr>
        <w:t>220</w:t>
      </w:r>
      <w:r>
        <w:rPr>
          <w:rFonts w:ascii="仿宋_GB2312" w:eastAsia="仿宋_GB2312" w:hint="eastAsia"/>
          <w:sz w:val="32"/>
          <w:szCs w:val="32"/>
        </w:rPr>
        <w:t>万株的义务植树任务分解落实到各县（区），同时要求社会各界积极行动，认真履职尽责，目前已完成</w:t>
      </w:r>
      <w:r>
        <w:rPr>
          <w:rFonts w:ascii="仿宋_GB2312" w:eastAsia="仿宋_GB2312" w:hint="eastAsia"/>
          <w:sz w:val="32"/>
          <w:szCs w:val="32"/>
        </w:rPr>
        <w:t>248.6</w:t>
      </w:r>
      <w:r>
        <w:rPr>
          <w:rFonts w:ascii="仿宋_GB2312" w:eastAsia="仿宋_GB2312" w:hint="eastAsia"/>
          <w:sz w:val="32"/>
          <w:szCs w:val="32"/>
        </w:rPr>
        <w:t>万株。四是迎检准备扎实推进。学习考察绵阳等地创森经验，大力开展迎检资料、档案等准</w:t>
      </w:r>
      <w:r>
        <w:rPr>
          <w:rFonts w:ascii="仿宋_GB2312" w:eastAsia="仿宋_GB2312" w:hint="eastAsia"/>
          <w:sz w:val="32"/>
          <w:szCs w:val="32"/>
        </w:rPr>
        <w:t>备，确保</w:t>
      </w:r>
      <w:r>
        <w:rPr>
          <w:rFonts w:ascii="仿宋_GB2312" w:eastAsia="仿宋_GB2312" w:hint="eastAsia"/>
          <w:sz w:val="32"/>
          <w:szCs w:val="32"/>
        </w:rPr>
        <w:t>2017</w:t>
      </w:r>
      <w:r>
        <w:rPr>
          <w:rFonts w:ascii="仿宋_GB2312" w:eastAsia="仿宋_GB2312" w:hint="eastAsia"/>
          <w:sz w:val="32"/>
          <w:szCs w:val="32"/>
        </w:rPr>
        <w:t>年顺利通过创森检查。</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2</w:t>
      </w:r>
      <w:r>
        <w:rPr>
          <w:rFonts w:ascii="仿宋_GB2312" w:eastAsia="仿宋_GB2312" w:hint="eastAsia"/>
          <w:sz w:val="32"/>
          <w:szCs w:val="32"/>
        </w:rPr>
        <w:t>、林业产业稳步发展。继续坚持以核桃为龙头，特色经果、林下种养业、花卉苗木及工业原料、生态旅游为重点的“</w:t>
      </w:r>
      <w:r>
        <w:rPr>
          <w:rFonts w:ascii="仿宋_GB2312" w:eastAsia="仿宋_GB2312" w:hint="eastAsia"/>
          <w:sz w:val="32"/>
          <w:szCs w:val="32"/>
        </w:rPr>
        <w:t>1+4</w:t>
      </w:r>
      <w:r>
        <w:rPr>
          <w:rFonts w:ascii="仿宋_GB2312" w:eastAsia="仿宋_GB2312" w:hint="eastAsia"/>
          <w:sz w:val="32"/>
          <w:szCs w:val="32"/>
        </w:rPr>
        <w:t>”林业产业发展体系，</w:t>
      </w:r>
      <w:r>
        <w:rPr>
          <w:rFonts w:ascii="仿宋_GB2312" w:eastAsia="仿宋_GB2312"/>
          <w:sz w:val="32"/>
          <w:szCs w:val="32"/>
        </w:rPr>
        <w:t>充分依托林业</w:t>
      </w:r>
      <w:r>
        <w:rPr>
          <w:rFonts w:ascii="仿宋_GB2312" w:eastAsia="仿宋_GB2312"/>
          <w:sz w:val="32"/>
          <w:szCs w:val="32"/>
        </w:rPr>
        <w:t>“</w:t>
      </w:r>
      <w:r>
        <w:rPr>
          <w:rFonts w:ascii="仿宋_GB2312" w:eastAsia="仿宋_GB2312"/>
          <w:sz w:val="32"/>
          <w:szCs w:val="32"/>
        </w:rPr>
        <w:t>两大工程</w:t>
      </w:r>
      <w:r>
        <w:rPr>
          <w:rFonts w:ascii="仿宋_GB2312" w:eastAsia="仿宋_GB2312"/>
          <w:sz w:val="32"/>
          <w:szCs w:val="32"/>
        </w:rPr>
        <w:t>”</w:t>
      </w:r>
      <w:r>
        <w:rPr>
          <w:rFonts w:ascii="仿宋_GB2312" w:eastAsia="仿宋_GB2312"/>
          <w:sz w:val="32"/>
          <w:szCs w:val="32"/>
        </w:rPr>
        <w:t>，以调整产业结构，发展特色林业产业，促进农民增收致富为宗旨，做精做强核桃等林业特色产业，大力发展生态旅游，不断提高现代林业产业综合经营效益。</w:t>
      </w:r>
      <w:r>
        <w:rPr>
          <w:rFonts w:ascii="仿宋_GB2312" w:eastAsia="仿宋_GB2312" w:hint="eastAsia"/>
          <w:sz w:val="32"/>
          <w:szCs w:val="32"/>
        </w:rPr>
        <w:t>米易县、盐边县现代林业产业重点县建设顺利推进，米易县同步推进</w:t>
      </w:r>
      <w:r>
        <w:rPr>
          <w:rFonts w:ascii="仿宋_GB2312" w:eastAsia="仿宋_GB2312" w:hint="eastAsia"/>
          <w:sz w:val="32"/>
          <w:szCs w:val="32"/>
        </w:rPr>
        <w:t>11</w:t>
      </w:r>
      <w:r>
        <w:rPr>
          <w:rFonts w:ascii="仿宋_GB2312" w:eastAsia="仿宋_GB2312" w:hint="eastAsia"/>
          <w:sz w:val="32"/>
          <w:szCs w:val="32"/>
        </w:rPr>
        <w:t>个乡镇</w:t>
      </w:r>
      <w:r>
        <w:rPr>
          <w:rFonts w:ascii="仿宋_GB2312" w:eastAsia="仿宋_GB2312" w:hint="eastAsia"/>
          <w:sz w:val="32"/>
          <w:szCs w:val="32"/>
        </w:rPr>
        <w:t>13</w:t>
      </w:r>
      <w:r>
        <w:rPr>
          <w:rFonts w:ascii="仿宋_GB2312" w:eastAsia="仿宋_GB2312" w:hint="eastAsia"/>
          <w:sz w:val="32"/>
          <w:szCs w:val="32"/>
        </w:rPr>
        <w:t>个村（其中</w:t>
      </w:r>
      <w:r>
        <w:rPr>
          <w:rFonts w:ascii="仿宋_GB2312" w:eastAsia="仿宋_GB2312" w:hint="eastAsia"/>
          <w:sz w:val="32"/>
          <w:szCs w:val="32"/>
        </w:rPr>
        <w:t>11</w:t>
      </w:r>
      <w:r>
        <w:rPr>
          <w:rFonts w:ascii="仿宋_GB2312" w:eastAsia="仿宋_GB2312" w:hint="eastAsia"/>
          <w:sz w:val="32"/>
          <w:szCs w:val="32"/>
        </w:rPr>
        <w:t>个精确扶贫村）产业基地建设，建设现代林业产业基地</w:t>
      </w:r>
      <w:r>
        <w:rPr>
          <w:rFonts w:ascii="仿宋_GB2312" w:eastAsia="仿宋_GB2312" w:hint="eastAsia"/>
          <w:sz w:val="32"/>
          <w:szCs w:val="32"/>
        </w:rPr>
        <w:t>4950</w:t>
      </w:r>
      <w:r>
        <w:rPr>
          <w:rFonts w:ascii="仿宋_GB2312" w:eastAsia="仿宋_GB2312" w:hint="eastAsia"/>
          <w:sz w:val="32"/>
          <w:szCs w:val="32"/>
        </w:rPr>
        <w:t>亩。盐边县完成核桃基地</w:t>
      </w:r>
      <w:r>
        <w:rPr>
          <w:rFonts w:ascii="仿宋_GB2312" w:eastAsia="仿宋_GB2312" w:hint="eastAsia"/>
          <w:sz w:val="32"/>
          <w:szCs w:val="32"/>
        </w:rPr>
        <w:t>800</w:t>
      </w:r>
      <w:r>
        <w:rPr>
          <w:rFonts w:ascii="仿宋_GB2312" w:eastAsia="仿宋_GB2312" w:hint="eastAsia"/>
          <w:sz w:val="32"/>
          <w:szCs w:val="32"/>
        </w:rPr>
        <w:t>亩，核桃</w:t>
      </w:r>
      <w:r>
        <w:rPr>
          <w:rFonts w:ascii="仿宋_GB2312" w:eastAsia="仿宋_GB2312" w:hint="eastAsia"/>
          <w:sz w:val="32"/>
          <w:szCs w:val="32"/>
        </w:rPr>
        <w:t>品种改良</w:t>
      </w:r>
      <w:r>
        <w:rPr>
          <w:rFonts w:ascii="仿宋_GB2312" w:eastAsia="仿宋_GB2312" w:hint="eastAsia"/>
          <w:sz w:val="32"/>
          <w:szCs w:val="32"/>
        </w:rPr>
        <w:t>5000</w:t>
      </w:r>
      <w:r>
        <w:rPr>
          <w:rFonts w:ascii="仿宋_GB2312" w:eastAsia="仿宋_GB2312" w:hint="eastAsia"/>
          <w:sz w:val="32"/>
          <w:szCs w:val="32"/>
        </w:rPr>
        <w:t>亩。到今年底，我市预计完成林业总产值</w:t>
      </w:r>
      <w:r>
        <w:rPr>
          <w:rFonts w:ascii="仿宋_GB2312" w:eastAsia="仿宋_GB2312" w:hint="eastAsia"/>
          <w:sz w:val="32"/>
          <w:szCs w:val="32"/>
        </w:rPr>
        <w:t>36.2</w:t>
      </w:r>
      <w:r>
        <w:rPr>
          <w:rFonts w:ascii="仿宋_GB2312" w:eastAsia="仿宋_GB2312" w:hint="eastAsia"/>
          <w:sz w:val="32"/>
          <w:szCs w:val="32"/>
        </w:rPr>
        <w:t>亿元，农民从林业获得收入预计达到</w:t>
      </w:r>
      <w:r>
        <w:rPr>
          <w:rFonts w:ascii="仿宋_GB2312" w:eastAsia="仿宋_GB2312" w:hint="eastAsia"/>
          <w:sz w:val="32"/>
          <w:szCs w:val="32"/>
        </w:rPr>
        <w:t>2200</w:t>
      </w:r>
      <w:r>
        <w:rPr>
          <w:rFonts w:ascii="仿宋_GB2312" w:eastAsia="仿宋_GB2312" w:hint="eastAsia"/>
          <w:sz w:val="32"/>
          <w:szCs w:val="32"/>
        </w:rPr>
        <w:t>元。</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3</w:t>
      </w:r>
      <w:r>
        <w:rPr>
          <w:rFonts w:ascii="仿宋_GB2312" w:eastAsia="仿宋_GB2312" w:hint="eastAsia"/>
          <w:sz w:val="32"/>
          <w:szCs w:val="32"/>
        </w:rPr>
        <w:t>、森林资源管护水平进一步提高。始终坚持依法治林，不断强化以森林防火、有害生物防治、打击破坏森林资源违法犯罪为重点的“三防”工作，有力保障森林资源可持续发展。一是狠抓资源管理。继续有效管护全市森林面积</w:t>
      </w:r>
      <w:r>
        <w:rPr>
          <w:rFonts w:ascii="仿宋_GB2312" w:eastAsia="仿宋_GB2312" w:hint="eastAsia"/>
          <w:sz w:val="32"/>
          <w:szCs w:val="32"/>
        </w:rPr>
        <w:t>484.21</w:t>
      </w:r>
      <w:r>
        <w:rPr>
          <w:rFonts w:ascii="仿宋_GB2312" w:eastAsia="仿宋_GB2312" w:hint="eastAsia"/>
          <w:sz w:val="32"/>
          <w:szCs w:val="32"/>
        </w:rPr>
        <w:t>万亩。认真开展集体公益林生态效益补偿兑现工作，目前已完成兑现前公示，将于</w:t>
      </w:r>
      <w:r>
        <w:rPr>
          <w:rFonts w:ascii="仿宋_GB2312" w:eastAsia="仿宋_GB2312" w:hint="eastAsia"/>
          <w:sz w:val="32"/>
          <w:szCs w:val="32"/>
        </w:rPr>
        <w:t>12</w:t>
      </w:r>
      <w:r>
        <w:rPr>
          <w:rFonts w:ascii="仿宋_GB2312" w:eastAsia="仿宋_GB2312" w:hint="eastAsia"/>
          <w:sz w:val="32"/>
          <w:szCs w:val="32"/>
        </w:rPr>
        <w:t>月底前全部兑现完毕。大力开展林地变更调查，查清近</w:t>
      </w:r>
      <w:r>
        <w:rPr>
          <w:rFonts w:ascii="仿宋_GB2312" w:eastAsia="仿宋_GB2312" w:hint="eastAsia"/>
          <w:sz w:val="32"/>
          <w:szCs w:val="32"/>
        </w:rPr>
        <w:lastRenderedPageBreak/>
        <w:t>几年来林地和森林的客观变化状况，厘清林地和耕地、草地等的界限，修订完善</w:t>
      </w:r>
      <w:r>
        <w:rPr>
          <w:rFonts w:ascii="仿宋_GB2312" w:eastAsia="仿宋_GB2312" w:hint="eastAsia"/>
          <w:sz w:val="32"/>
          <w:szCs w:val="32"/>
        </w:rPr>
        <w:t>林地“一张图”。加强重点项目占用征收林地服务指导工作，实行重大项目跟踪服务进度月报制度，协调办理包括金沙水电站建设、宜攀高速、三堆子大桥、攀大高速、火车南站、花城新区建设等省、市重大项目的使用林地手续。二是狠抓森林防火。坚持“预防为主，打防结合”的工作思路，狠抓责任制落实和火源管理、安全扑救等环节，全年共发生森林火灾</w:t>
      </w:r>
      <w:r>
        <w:rPr>
          <w:rFonts w:ascii="仿宋_GB2312" w:eastAsia="仿宋_GB2312" w:hint="eastAsia"/>
          <w:sz w:val="32"/>
          <w:szCs w:val="32"/>
        </w:rPr>
        <w:t>64</w:t>
      </w:r>
      <w:r>
        <w:rPr>
          <w:rFonts w:ascii="仿宋_GB2312" w:eastAsia="仿宋_GB2312" w:hint="eastAsia"/>
          <w:sz w:val="32"/>
          <w:szCs w:val="32"/>
        </w:rPr>
        <w:t>起，森林火灾受害率</w:t>
      </w:r>
      <w:r>
        <w:rPr>
          <w:rFonts w:ascii="仿宋_GB2312" w:eastAsia="仿宋_GB2312" w:hint="eastAsia"/>
          <w:sz w:val="32"/>
          <w:szCs w:val="32"/>
        </w:rPr>
        <w:t>0.035</w:t>
      </w:r>
      <w:r>
        <w:rPr>
          <w:rFonts w:ascii="仿宋_GB2312" w:eastAsia="仿宋_GB2312" w:hint="eastAsia"/>
          <w:sz w:val="32"/>
          <w:szCs w:val="32"/>
        </w:rPr>
        <w:t>‰，远低于省、市下达的</w:t>
      </w:r>
      <w:r>
        <w:rPr>
          <w:rFonts w:ascii="仿宋_GB2312" w:eastAsia="仿宋_GB2312" w:hint="eastAsia"/>
          <w:sz w:val="32"/>
          <w:szCs w:val="32"/>
        </w:rPr>
        <w:t>1</w:t>
      </w:r>
      <w:r>
        <w:rPr>
          <w:rFonts w:ascii="仿宋_GB2312" w:eastAsia="仿宋_GB2312" w:hint="eastAsia"/>
          <w:sz w:val="32"/>
          <w:szCs w:val="32"/>
        </w:rPr>
        <w:t>‰目标，取得了火灾发生起数、火场总面积、受害森林面积大幅下降的优异成绩。三是严打涉林违法犯罪。以深入开展“森林火案侦破”“打击非法占用林地</w:t>
      </w:r>
      <w:r>
        <w:rPr>
          <w:rFonts w:ascii="仿宋_GB2312" w:eastAsia="仿宋_GB2312" w:hint="eastAsia"/>
          <w:sz w:val="32"/>
          <w:szCs w:val="32"/>
        </w:rPr>
        <w:t>等涉林违法犯罪”专项行动为契机，严厉打击涉林违法犯罪。全年共立森林刑事案件</w:t>
      </w:r>
      <w:r>
        <w:rPr>
          <w:rFonts w:ascii="仿宋_GB2312" w:eastAsia="仿宋_GB2312" w:hint="eastAsia"/>
          <w:sz w:val="32"/>
          <w:szCs w:val="32"/>
        </w:rPr>
        <w:t>98</w:t>
      </w:r>
      <w:r>
        <w:rPr>
          <w:rFonts w:ascii="仿宋_GB2312" w:eastAsia="仿宋_GB2312" w:hint="eastAsia"/>
          <w:sz w:val="32"/>
          <w:szCs w:val="32"/>
        </w:rPr>
        <w:t>起，受理并查处行政案件</w:t>
      </w:r>
      <w:r>
        <w:rPr>
          <w:rFonts w:ascii="仿宋_GB2312" w:eastAsia="仿宋_GB2312" w:hint="eastAsia"/>
          <w:sz w:val="32"/>
          <w:szCs w:val="32"/>
        </w:rPr>
        <w:t>578</w:t>
      </w:r>
      <w:r>
        <w:rPr>
          <w:rFonts w:ascii="仿宋_GB2312" w:eastAsia="仿宋_GB2312" w:hint="eastAsia"/>
          <w:sz w:val="32"/>
          <w:szCs w:val="32"/>
        </w:rPr>
        <w:t>起，有效遏制了涉林违法犯罪的高发态势。</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4</w:t>
      </w:r>
      <w:r>
        <w:rPr>
          <w:rFonts w:ascii="仿宋_GB2312" w:eastAsia="仿宋_GB2312" w:hint="eastAsia"/>
          <w:sz w:val="32"/>
          <w:szCs w:val="32"/>
        </w:rPr>
        <w:t>、生物多样性保护进一步强化。一是强化保护宣传。认真组织开展了“湿地日”、“爱鸟周”、“保护野生动物宣传月”等活动，利用报刊、电台等新闻媒体开展了形式多样的宣传，保护森林和野生动植物资源的意识得到普遍提高。二是加强野生动植物保护管理。加强对防控点的监测以及对候鸟等野生动物在集群活动区进行巡护和看守，将野生动物疫源疫病监测工作和巡山守护、社区走访等工作有效结合，有效</w:t>
      </w:r>
      <w:r>
        <w:rPr>
          <w:rFonts w:ascii="仿宋_GB2312" w:eastAsia="仿宋_GB2312" w:hint="eastAsia"/>
          <w:sz w:val="32"/>
          <w:szCs w:val="32"/>
        </w:rPr>
        <w:t>保护好森林和野生动物资源安全。三是加强自然保护区管理工作。二滩保护区湿地恢复工程项目已完成，苏保区三期基本建设项目实施方案已获批，二滩保护区、</w:t>
      </w:r>
      <w:r>
        <w:rPr>
          <w:rFonts w:ascii="仿宋_GB2312" w:eastAsia="仿宋_GB2312" w:hint="eastAsia"/>
          <w:sz w:val="32"/>
          <w:szCs w:val="32"/>
        </w:rPr>
        <w:lastRenderedPageBreak/>
        <w:t>白坡山保护区省级财政项目和苏保区生态功能区禁止开发区项目完成实施方案已批复，正组织实施。四是加强湿地资源管理。开展湿地保护与利用规划</w:t>
      </w:r>
      <w:r>
        <w:rPr>
          <w:rFonts w:ascii="仿宋_GB2312" w:eastAsia="仿宋_GB2312" w:hint="eastAsia"/>
          <w:sz w:val="32"/>
          <w:szCs w:val="32"/>
        </w:rPr>
        <w:t>(2016-2030)</w:t>
      </w:r>
      <w:r>
        <w:rPr>
          <w:rFonts w:ascii="仿宋_GB2312" w:eastAsia="仿宋_GB2312" w:hint="eastAsia"/>
          <w:sz w:val="32"/>
          <w:szCs w:val="32"/>
        </w:rPr>
        <w:t>编制工作，完成</w:t>
      </w:r>
      <w:r>
        <w:rPr>
          <w:rFonts w:ascii="仿宋_GB2312" w:eastAsia="仿宋_GB2312" w:hint="eastAsia"/>
          <w:sz w:val="32"/>
          <w:szCs w:val="32"/>
        </w:rPr>
        <w:t>2017</w:t>
      </w:r>
      <w:r>
        <w:rPr>
          <w:rFonts w:ascii="仿宋_GB2312" w:eastAsia="仿宋_GB2312" w:hint="eastAsia"/>
          <w:sz w:val="32"/>
          <w:szCs w:val="32"/>
        </w:rPr>
        <w:t>年湿地资源保护、自然保护区建设及野生动植物保护管理等湿地项目申报。</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5</w:t>
      </w:r>
      <w:r>
        <w:rPr>
          <w:rFonts w:ascii="仿宋_GB2312" w:eastAsia="仿宋_GB2312" w:hint="eastAsia"/>
          <w:sz w:val="32"/>
          <w:szCs w:val="32"/>
        </w:rPr>
        <w:t>、林业重点改革进一步深化。一是加强林权流转管理。强化林权日常管理，做好林权档案管理，认真指导集体林权规范流转。依托全市现有林</w:t>
      </w:r>
      <w:r>
        <w:rPr>
          <w:rFonts w:ascii="仿宋_GB2312" w:eastAsia="仿宋_GB2312" w:hint="eastAsia"/>
          <w:sz w:val="32"/>
          <w:szCs w:val="32"/>
        </w:rPr>
        <w:t>权交易平台和农村产权交易中心，建设市、县集体林权流转平台。二是开展经济林木（果）权和林权抵押贷款改革省级试点。深入推进盐边县林权抵押贷款省级试点，开展经济林木（果）权证、林权流转登记证登记和抵押贷款试点，截至目前，已办理发放经济林木（果）权证</w:t>
      </w:r>
      <w:r>
        <w:rPr>
          <w:rFonts w:ascii="仿宋_GB2312" w:eastAsia="仿宋_GB2312" w:hint="eastAsia"/>
          <w:sz w:val="32"/>
          <w:szCs w:val="32"/>
        </w:rPr>
        <w:t>3</w:t>
      </w:r>
      <w:r>
        <w:rPr>
          <w:rFonts w:ascii="仿宋_GB2312" w:eastAsia="仿宋_GB2312" w:hint="eastAsia"/>
          <w:sz w:val="32"/>
          <w:szCs w:val="32"/>
        </w:rPr>
        <w:t>本，</w:t>
      </w:r>
      <w:r>
        <w:rPr>
          <w:rFonts w:ascii="仿宋_GB2312" w:eastAsia="仿宋_GB2312" w:hint="eastAsia"/>
          <w:sz w:val="32"/>
          <w:szCs w:val="32"/>
        </w:rPr>
        <w:t>730.3</w:t>
      </w:r>
      <w:r>
        <w:rPr>
          <w:rFonts w:ascii="仿宋_GB2312" w:eastAsia="仿宋_GB2312" w:hint="eastAsia"/>
          <w:sz w:val="32"/>
          <w:szCs w:val="32"/>
        </w:rPr>
        <w:t>亩，办理林地经营权流转证外业勘界</w:t>
      </w:r>
      <w:r>
        <w:rPr>
          <w:rFonts w:ascii="仿宋_GB2312" w:eastAsia="仿宋_GB2312" w:hint="eastAsia"/>
          <w:sz w:val="32"/>
          <w:szCs w:val="32"/>
        </w:rPr>
        <w:t>1</w:t>
      </w:r>
      <w:r>
        <w:rPr>
          <w:rFonts w:ascii="仿宋_GB2312" w:eastAsia="仿宋_GB2312" w:hint="eastAsia"/>
          <w:sz w:val="32"/>
          <w:szCs w:val="32"/>
        </w:rPr>
        <w:t>户面积近</w:t>
      </w:r>
      <w:r>
        <w:rPr>
          <w:rFonts w:ascii="仿宋_GB2312" w:eastAsia="仿宋_GB2312" w:hint="eastAsia"/>
          <w:sz w:val="32"/>
          <w:szCs w:val="32"/>
        </w:rPr>
        <w:t>2000</w:t>
      </w:r>
      <w:r>
        <w:rPr>
          <w:rFonts w:ascii="仿宋_GB2312" w:eastAsia="仿宋_GB2312" w:hint="eastAsia"/>
          <w:sz w:val="32"/>
          <w:szCs w:val="32"/>
        </w:rPr>
        <w:t>亩。三是国有林场改革正式启动。按照中央、省国有林场改革的总体要求，在深入调查摸底的基础上，拟定了《攀枝花市国有林场改革方案》，编制了《攀枝花市国有林场总场改革实施方案》，指导米易县推进县属国有林场改革工作</w:t>
      </w:r>
      <w:r>
        <w:rPr>
          <w:rFonts w:ascii="仿宋_GB2312" w:eastAsia="仿宋_GB2312" w:hint="eastAsia"/>
          <w:sz w:val="32"/>
          <w:szCs w:val="32"/>
        </w:rPr>
        <w:t>。目前，《攀枝花市国有林场改革方案》《攀枝花市国有林场总场改革实施方案》已经市国有林场改革领导小组、市农业农村专项改革小组、市深改组审定，正拟报市政府常务会、市委常委会审定，待审定后加快实施。四是资金争取成效显著。全年共争取省级以上项目</w:t>
      </w:r>
      <w:r>
        <w:rPr>
          <w:rFonts w:ascii="仿宋_GB2312" w:eastAsia="仿宋_GB2312" w:hint="eastAsia"/>
          <w:sz w:val="32"/>
          <w:szCs w:val="32"/>
        </w:rPr>
        <w:t>31</w:t>
      </w:r>
      <w:r>
        <w:rPr>
          <w:rFonts w:ascii="仿宋_GB2312" w:eastAsia="仿宋_GB2312" w:hint="eastAsia"/>
          <w:sz w:val="32"/>
          <w:szCs w:val="32"/>
        </w:rPr>
        <w:t>项，共争取上级资金</w:t>
      </w:r>
      <w:r>
        <w:rPr>
          <w:rFonts w:ascii="仿宋_GB2312" w:eastAsia="仿宋_GB2312" w:hint="eastAsia"/>
          <w:sz w:val="32"/>
          <w:szCs w:val="32"/>
        </w:rPr>
        <w:t>2.26</w:t>
      </w:r>
      <w:r>
        <w:rPr>
          <w:rFonts w:ascii="仿宋_GB2312" w:eastAsia="仿宋_GB2312" w:hint="eastAsia"/>
          <w:sz w:val="32"/>
          <w:szCs w:val="32"/>
        </w:rPr>
        <w:t>亿元。整合林业扶贫资金，安排</w:t>
      </w:r>
      <w:r>
        <w:rPr>
          <w:rFonts w:ascii="仿宋_GB2312" w:eastAsia="仿宋_GB2312" w:hint="eastAsia"/>
          <w:sz w:val="32"/>
          <w:szCs w:val="32"/>
        </w:rPr>
        <w:t>100</w:t>
      </w:r>
      <w:r>
        <w:rPr>
          <w:rFonts w:ascii="仿宋_GB2312" w:eastAsia="仿宋_GB2312" w:hint="eastAsia"/>
          <w:sz w:val="32"/>
          <w:szCs w:val="32"/>
        </w:rPr>
        <w:t>万元实施林业精准扶贫奖补</w:t>
      </w:r>
      <w:r>
        <w:rPr>
          <w:rFonts w:ascii="仿宋_GB2312" w:eastAsia="仿宋_GB2312" w:hint="eastAsia"/>
          <w:sz w:val="32"/>
          <w:szCs w:val="32"/>
        </w:rPr>
        <w:lastRenderedPageBreak/>
        <w:t>项目。</w:t>
      </w:r>
    </w:p>
    <w:p w:rsidR="00000000" w:rsidRDefault="005633A3">
      <w:pPr>
        <w:spacing w:line="578" w:lineRule="exact"/>
        <w:ind w:firstLineChars="200" w:firstLine="640"/>
        <w:rPr>
          <w:rFonts w:ascii="黑体" w:eastAsia="黑体" w:hint="eastAsia"/>
          <w:sz w:val="32"/>
          <w:szCs w:val="32"/>
        </w:rPr>
      </w:pPr>
      <w:r>
        <w:rPr>
          <w:rFonts w:ascii="黑体" w:eastAsia="黑体" w:hint="eastAsia"/>
          <w:sz w:val="32"/>
          <w:szCs w:val="32"/>
        </w:rPr>
        <w:t>二、部门概况</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攀枝花市林业局下属二级单位</w:t>
      </w:r>
      <w:r>
        <w:rPr>
          <w:rFonts w:ascii="仿宋_GB2312" w:eastAsia="仿宋_GB2312" w:hint="eastAsia"/>
          <w:sz w:val="32"/>
          <w:szCs w:val="32"/>
        </w:rPr>
        <w:t>4</w:t>
      </w:r>
      <w:r>
        <w:rPr>
          <w:rFonts w:ascii="仿宋_GB2312" w:eastAsia="仿宋_GB2312" w:hint="eastAsia"/>
          <w:sz w:val="32"/>
          <w:szCs w:val="32"/>
        </w:rPr>
        <w:t>个，其中行政单位</w:t>
      </w:r>
      <w:r>
        <w:rPr>
          <w:rFonts w:ascii="仿宋_GB2312" w:eastAsia="仿宋_GB2312" w:hint="eastAsia"/>
          <w:sz w:val="32"/>
          <w:szCs w:val="32"/>
        </w:rPr>
        <w:t>1</w:t>
      </w:r>
      <w:r>
        <w:rPr>
          <w:rFonts w:ascii="仿宋_GB2312" w:eastAsia="仿宋_GB2312" w:hint="eastAsia"/>
          <w:sz w:val="32"/>
          <w:szCs w:val="32"/>
        </w:rPr>
        <w:t>个，参照公务员法管理的事业单位</w:t>
      </w:r>
      <w:r>
        <w:rPr>
          <w:rFonts w:ascii="仿宋_GB2312" w:eastAsia="仿宋_GB2312" w:hint="eastAsia"/>
          <w:sz w:val="32"/>
          <w:szCs w:val="32"/>
        </w:rPr>
        <w:t>1</w:t>
      </w:r>
      <w:r>
        <w:rPr>
          <w:rFonts w:ascii="仿宋_GB2312" w:eastAsia="仿宋_GB2312" w:hint="eastAsia"/>
          <w:sz w:val="32"/>
          <w:szCs w:val="32"/>
        </w:rPr>
        <w:t>个，其他事业单位</w:t>
      </w:r>
      <w:r>
        <w:rPr>
          <w:rFonts w:ascii="仿宋_GB2312" w:eastAsia="仿宋_GB2312" w:hint="eastAsia"/>
          <w:sz w:val="32"/>
          <w:szCs w:val="32"/>
        </w:rPr>
        <w:t>2</w:t>
      </w:r>
      <w:r>
        <w:rPr>
          <w:rFonts w:ascii="仿宋_GB2312" w:eastAsia="仿宋_GB2312" w:hint="eastAsia"/>
          <w:sz w:val="32"/>
          <w:szCs w:val="32"/>
        </w:rPr>
        <w:t>个。</w:t>
      </w:r>
    </w:p>
    <w:p w:rsidR="00000000" w:rsidRDefault="005633A3">
      <w:pPr>
        <w:spacing w:line="578" w:lineRule="exact"/>
        <w:ind w:firstLineChars="200" w:firstLine="640"/>
        <w:rPr>
          <w:rFonts w:ascii="黑体" w:eastAsia="黑体" w:hint="eastAsia"/>
          <w:sz w:val="32"/>
          <w:szCs w:val="32"/>
        </w:rPr>
      </w:pPr>
      <w:r>
        <w:rPr>
          <w:rFonts w:ascii="仿宋_GB2312" w:eastAsia="仿宋_GB2312"/>
          <w:sz w:val="32"/>
          <w:szCs w:val="32"/>
          <w:lang w:val="en-US" w:eastAsia="zh-CN"/>
        </w:rPr>
        <w:object w:dxaOrig="3042" w:dyaOrig="28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0" o:spid="_x0000_s1034" type="#_x0000_t75" style="position:absolute;left:0;text-align:left;margin-left:306pt;margin-top:10.6pt;width:152.1pt;height:144.1pt;z-index:251655168;mso-wrap-style:square" wrapcoords="1731 2812 1731 18562 12493 18562 12493 13612 16031 13612 20998 12600 21073 8775 20471 8662 12493 8212 12493 2812 1731 2812">
            <v:imagedata r:id="rId6" o:title=""/>
            <w10:wrap type="square"/>
          </v:shape>
          <o:OLEObject Type="Embed" ProgID="MSGraph.Chart.8" ShapeID="对象 10" DrawAspect="Content" ObjectID="_1730620368" r:id="rId7">
            <o:FieldCodes>\* MERGEFORMAT</o:FieldCodes>
          </o:OLEObject>
        </w:object>
      </w:r>
      <w:r>
        <w:rPr>
          <w:rFonts w:ascii="黑体" w:eastAsia="黑体" w:hint="eastAsia"/>
          <w:sz w:val="32"/>
          <w:szCs w:val="32"/>
        </w:rPr>
        <w:t>三、收支决算总体情况</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2016</w:t>
      </w:r>
      <w:r>
        <w:rPr>
          <w:rFonts w:ascii="仿宋_GB2312" w:eastAsia="仿宋_GB2312" w:hint="eastAsia"/>
          <w:sz w:val="32"/>
          <w:szCs w:val="32"/>
        </w:rPr>
        <w:t>年攀枝花市林业局本年收入合计</w:t>
      </w:r>
      <w:r>
        <w:rPr>
          <w:rFonts w:ascii="仿宋_GB2312" w:eastAsia="仿宋_GB2312" w:hint="eastAsia"/>
          <w:sz w:val="32"/>
          <w:szCs w:val="32"/>
        </w:rPr>
        <w:t>70</w:t>
      </w:r>
      <w:r>
        <w:rPr>
          <w:rFonts w:ascii="仿宋_GB2312" w:eastAsia="仿宋_GB2312" w:hint="eastAsia"/>
          <w:sz w:val="32"/>
          <w:szCs w:val="32"/>
        </w:rPr>
        <w:t>14.78</w:t>
      </w:r>
      <w:r>
        <w:rPr>
          <w:rFonts w:ascii="仿宋_GB2312" w:eastAsia="仿宋_GB2312" w:hint="eastAsia"/>
          <w:sz w:val="32"/>
          <w:szCs w:val="32"/>
        </w:rPr>
        <w:t>万元，其中：财政拨款收入</w:t>
      </w:r>
      <w:r>
        <w:rPr>
          <w:rFonts w:ascii="仿宋_GB2312" w:eastAsia="仿宋_GB2312" w:hint="eastAsia"/>
          <w:sz w:val="32"/>
          <w:szCs w:val="32"/>
        </w:rPr>
        <w:t>6961.91</w:t>
      </w:r>
      <w:r>
        <w:rPr>
          <w:rFonts w:ascii="仿宋_GB2312" w:eastAsia="仿宋_GB2312" w:hint="eastAsia"/>
          <w:sz w:val="32"/>
          <w:szCs w:val="32"/>
        </w:rPr>
        <w:t>万元，占</w:t>
      </w:r>
      <w:r>
        <w:rPr>
          <w:rFonts w:ascii="仿宋_GB2312" w:eastAsia="仿宋_GB2312" w:hint="eastAsia"/>
          <w:sz w:val="32"/>
          <w:szCs w:val="32"/>
        </w:rPr>
        <w:t>99.25%</w:t>
      </w:r>
      <w:r>
        <w:rPr>
          <w:rFonts w:ascii="仿宋_GB2312" w:eastAsia="仿宋_GB2312" w:hint="eastAsia"/>
          <w:sz w:val="32"/>
          <w:szCs w:val="32"/>
        </w:rPr>
        <w:t>；其他收入</w:t>
      </w:r>
      <w:r>
        <w:rPr>
          <w:rFonts w:ascii="仿宋_GB2312" w:eastAsia="仿宋_GB2312" w:hint="eastAsia"/>
          <w:sz w:val="32"/>
          <w:szCs w:val="32"/>
        </w:rPr>
        <w:t>52.87</w:t>
      </w:r>
      <w:r>
        <w:rPr>
          <w:rFonts w:ascii="仿宋_GB2312" w:eastAsia="仿宋_GB2312" w:hint="eastAsia"/>
          <w:sz w:val="32"/>
          <w:szCs w:val="32"/>
        </w:rPr>
        <w:t>万元，占</w:t>
      </w:r>
      <w:r>
        <w:rPr>
          <w:rFonts w:ascii="仿宋_GB2312" w:eastAsia="仿宋_GB2312" w:hint="eastAsia"/>
          <w:sz w:val="32"/>
          <w:szCs w:val="32"/>
        </w:rPr>
        <w:t>0.75%</w:t>
      </w:r>
      <w:r>
        <w:rPr>
          <w:rFonts w:ascii="仿宋_GB2312" w:eastAsia="仿宋_GB2312" w:hint="eastAsia"/>
          <w:sz w:val="32"/>
          <w:szCs w:val="32"/>
        </w:rPr>
        <w:t>。（饼状图）</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sz w:val="32"/>
          <w:szCs w:val="32"/>
          <w:lang w:val="en-US" w:eastAsia="zh-CN"/>
        </w:rPr>
        <w:object w:dxaOrig="3042" w:dyaOrig="2882">
          <v:shape id="对象 11" o:spid="_x0000_s1035" type="#_x0000_t75" style="position:absolute;left:0;text-align:left;margin-left:262.1pt;margin-top:24.75pt;width:187.9pt;height:98.75pt;z-index:251656192;mso-wrap-style:square" wrapcoords="2032 2475 2032 3262 2785 4275 3387 4275 2484 5400 2333 5738 2333 6188 3311 7875 2408 8212 2408 9000 3387 9675 2408 11475 2408 11588 3311 13275 2408 13950 2408 14850 3387 15075 2860 16875 2860 17438 3236 18675 3161 18900 13020 18900 16181 17100 16181 15075 16783 15075 20923 13500 20923 7875 16181 6075 16332 2588 15730 2475 3311 2475 2032 2475">
            <v:imagedata r:id="rId8" o:title=""/>
            <w10:wrap type="square"/>
          </v:shape>
          <o:OLEObject Type="Embed" ProgID="MSGraph.Chart.8" ShapeID="对象 11" DrawAspect="Content" ObjectID="_1730620369" r:id="rId9">
            <o:FieldCodes>\* MERGEFORMAT</o:FieldCodes>
          </o:OLEObject>
        </w:object>
      </w:r>
      <w:r>
        <w:rPr>
          <w:rFonts w:ascii="仿宋_GB2312" w:eastAsia="仿宋_GB2312" w:hint="eastAsia"/>
          <w:sz w:val="32"/>
          <w:szCs w:val="32"/>
        </w:rPr>
        <w:t>2016</w:t>
      </w:r>
      <w:r>
        <w:rPr>
          <w:rFonts w:ascii="仿宋_GB2312" w:eastAsia="仿宋_GB2312" w:hint="eastAsia"/>
          <w:sz w:val="32"/>
          <w:szCs w:val="32"/>
        </w:rPr>
        <w:t>年攀枝花市林业局本年支出合计</w:t>
      </w:r>
      <w:r>
        <w:rPr>
          <w:rFonts w:ascii="仿宋_GB2312" w:eastAsia="仿宋_GB2312" w:hint="eastAsia"/>
          <w:sz w:val="32"/>
          <w:szCs w:val="32"/>
        </w:rPr>
        <w:t>7043.73</w:t>
      </w:r>
      <w:r>
        <w:rPr>
          <w:rFonts w:ascii="仿宋_GB2312" w:eastAsia="仿宋_GB2312" w:hint="eastAsia"/>
          <w:sz w:val="32"/>
          <w:szCs w:val="32"/>
        </w:rPr>
        <w:t>万元，其中：基本支出</w:t>
      </w:r>
      <w:r>
        <w:rPr>
          <w:rFonts w:ascii="仿宋_GB2312" w:eastAsia="仿宋_GB2312" w:hint="eastAsia"/>
          <w:sz w:val="32"/>
          <w:szCs w:val="32"/>
        </w:rPr>
        <w:t>3173.36</w:t>
      </w:r>
      <w:r>
        <w:rPr>
          <w:rFonts w:ascii="仿宋_GB2312" w:eastAsia="仿宋_GB2312" w:hint="eastAsia"/>
          <w:sz w:val="32"/>
          <w:szCs w:val="32"/>
        </w:rPr>
        <w:t>万元，占</w:t>
      </w:r>
      <w:r>
        <w:rPr>
          <w:rFonts w:ascii="仿宋_GB2312" w:eastAsia="仿宋_GB2312" w:hint="eastAsia"/>
          <w:sz w:val="32"/>
          <w:szCs w:val="32"/>
        </w:rPr>
        <w:t>45.05%</w:t>
      </w:r>
      <w:r>
        <w:rPr>
          <w:rFonts w:ascii="仿宋_GB2312" w:eastAsia="仿宋_GB2312" w:hint="eastAsia"/>
          <w:sz w:val="32"/>
          <w:szCs w:val="32"/>
        </w:rPr>
        <w:t>；项目支出</w:t>
      </w:r>
      <w:r>
        <w:rPr>
          <w:rFonts w:ascii="仿宋_GB2312" w:eastAsia="仿宋_GB2312" w:hint="eastAsia"/>
          <w:sz w:val="32"/>
          <w:szCs w:val="32"/>
        </w:rPr>
        <w:t>3870.37</w:t>
      </w:r>
      <w:r>
        <w:rPr>
          <w:rFonts w:ascii="仿宋_GB2312" w:eastAsia="仿宋_GB2312" w:hint="eastAsia"/>
          <w:sz w:val="32"/>
          <w:szCs w:val="32"/>
        </w:rPr>
        <w:t>万元，占</w:t>
      </w:r>
      <w:r>
        <w:rPr>
          <w:rFonts w:ascii="仿宋_GB2312" w:eastAsia="仿宋_GB2312" w:hint="eastAsia"/>
          <w:sz w:val="32"/>
          <w:szCs w:val="32"/>
        </w:rPr>
        <w:t>54.95%</w:t>
      </w:r>
      <w:r>
        <w:rPr>
          <w:rFonts w:ascii="仿宋_GB2312" w:eastAsia="仿宋_GB2312" w:hint="eastAsia"/>
          <w:sz w:val="32"/>
          <w:szCs w:val="32"/>
        </w:rPr>
        <w:t>。（饼状图）</w:t>
      </w:r>
    </w:p>
    <w:p w:rsidR="00000000" w:rsidRDefault="005633A3">
      <w:pPr>
        <w:spacing w:line="578" w:lineRule="exact"/>
        <w:ind w:firstLineChars="200" w:firstLine="640"/>
        <w:rPr>
          <w:rFonts w:ascii="黑体" w:eastAsia="黑体" w:hint="eastAsia"/>
          <w:sz w:val="32"/>
          <w:szCs w:val="32"/>
        </w:rPr>
      </w:pPr>
      <w:r>
        <w:rPr>
          <w:rFonts w:ascii="黑体" w:eastAsia="黑体" w:hint="eastAsia"/>
          <w:sz w:val="32"/>
          <w:szCs w:val="32"/>
        </w:rPr>
        <w:t>四、财政拨款收支决算情况</w:t>
      </w:r>
    </w:p>
    <w:p w:rsidR="00000000" w:rsidRDefault="003C7F2E">
      <w:pPr>
        <w:spacing w:line="578" w:lineRule="exact"/>
        <w:ind w:firstLineChars="200" w:firstLine="640"/>
        <w:rPr>
          <w:rFonts w:ascii="仿宋_GB2312" w:eastAsia="仿宋_GB2312" w:hint="eastAsia"/>
          <w:sz w:val="32"/>
          <w:szCs w:val="32"/>
        </w:rPr>
      </w:pPr>
      <w:r>
        <w:rPr>
          <w:rFonts w:ascii="仿宋_GB2312" w:eastAsia="仿宋_GB2312"/>
          <w:noProof/>
          <w:sz w:val="32"/>
          <w:szCs w:val="32"/>
        </w:rPr>
        <w:drawing>
          <wp:anchor distT="0" distB="0" distL="114300" distR="114300" simplePos="0" relativeHeight="251657216" behindDoc="0" locked="0" layoutInCell="1" allowOverlap="1">
            <wp:simplePos x="0" y="0"/>
            <wp:positionH relativeFrom="column">
              <wp:posOffset>2348230</wp:posOffset>
            </wp:positionH>
            <wp:positionV relativeFrom="paragraph">
              <wp:posOffset>308610</wp:posOffset>
            </wp:positionV>
            <wp:extent cx="3709670" cy="2000250"/>
            <wp:effectExtent l="0" t="0" r="0" b="1270"/>
            <wp:wrapSquare wrapText="bothSides"/>
            <wp:docPr id="12" name="对象 1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r w:rsidR="005633A3">
        <w:rPr>
          <w:rFonts w:ascii="仿宋_GB2312" w:eastAsia="仿宋_GB2312" w:hint="eastAsia"/>
          <w:sz w:val="32"/>
          <w:szCs w:val="32"/>
        </w:rPr>
        <w:t>攀枝花市林业局</w:t>
      </w:r>
      <w:r w:rsidR="005633A3">
        <w:rPr>
          <w:rFonts w:ascii="仿宋_GB2312" w:eastAsia="仿宋_GB2312" w:hint="eastAsia"/>
          <w:sz w:val="32"/>
          <w:szCs w:val="32"/>
        </w:rPr>
        <w:t>2016</w:t>
      </w:r>
      <w:r w:rsidR="005633A3">
        <w:rPr>
          <w:rFonts w:ascii="仿宋_GB2312" w:eastAsia="仿宋_GB2312" w:hint="eastAsia"/>
          <w:sz w:val="32"/>
          <w:szCs w:val="32"/>
        </w:rPr>
        <w:t>年度财政拨款收、支总决算</w:t>
      </w:r>
      <w:r w:rsidR="005633A3">
        <w:rPr>
          <w:rFonts w:ascii="仿宋_GB2312" w:eastAsia="仿宋_GB2312" w:hint="eastAsia"/>
          <w:sz w:val="32"/>
          <w:szCs w:val="32"/>
        </w:rPr>
        <w:t>15556.96</w:t>
      </w:r>
      <w:r w:rsidR="005633A3">
        <w:rPr>
          <w:rFonts w:ascii="仿宋_GB2312" w:eastAsia="仿宋_GB2312" w:hint="eastAsia"/>
          <w:sz w:val="32"/>
          <w:szCs w:val="32"/>
        </w:rPr>
        <w:t>万元。与</w:t>
      </w:r>
      <w:r w:rsidR="005633A3">
        <w:rPr>
          <w:rFonts w:ascii="仿宋_GB2312" w:eastAsia="仿宋_GB2312" w:hint="eastAsia"/>
          <w:sz w:val="32"/>
          <w:szCs w:val="32"/>
        </w:rPr>
        <w:t>2015</w:t>
      </w:r>
      <w:r w:rsidR="005633A3">
        <w:rPr>
          <w:rFonts w:ascii="仿宋_GB2312" w:eastAsia="仿宋_GB2312" w:hint="eastAsia"/>
          <w:sz w:val="32"/>
          <w:szCs w:val="32"/>
        </w:rPr>
        <w:t>年相比，财政拨款收入、支总计各减少</w:t>
      </w:r>
      <w:r w:rsidR="005633A3">
        <w:rPr>
          <w:rFonts w:ascii="仿宋_GB2312" w:eastAsia="仿宋_GB2312" w:hint="eastAsia"/>
          <w:sz w:val="32"/>
          <w:szCs w:val="32"/>
        </w:rPr>
        <w:t>5910.51</w:t>
      </w:r>
      <w:r w:rsidR="005633A3">
        <w:rPr>
          <w:rFonts w:ascii="仿宋_GB2312" w:eastAsia="仿宋_GB2312" w:hint="eastAsia"/>
          <w:sz w:val="32"/>
          <w:szCs w:val="32"/>
        </w:rPr>
        <w:t>万元和</w:t>
      </w:r>
      <w:r w:rsidR="005633A3">
        <w:rPr>
          <w:rFonts w:ascii="仿宋_GB2312" w:eastAsia="仿宋_GB2312" w:hint="eastAsia"/>
          <w:sz w:val="32"/>
          <w:szCs w:val="32"/>
        </w:rPr>
        <w:t>3450.77</w:t>
      </w:r>
      <w:r w:rsidR="005633A3">
        <w:rPr>
          <w:rFonts w:ascii="仿宋_GB2312" w:eastAsia="仿宋_GB2312" w:hint="eastAsia"/>
          <w:sz w:val="32"/>
          <w:szCs w:val="32"/>
        </w:rPr>
        <w:t>万元，下降</w:t>
      </w:r>
      <w:r w:rsidR="005633A3">
        <w:rPr>
          <w:rFonts w:ascii="仿宋_GB2312" w:eastAsia="仿宋_GB2312" w:hint="eastAsia"/>
          <w:sz w:val="32"/>
          <w:szCs w:val="32"/>
        </w:rPr>
        <w:t>45.73%</w:t>
      </w:r>
      <w:r w:rsidR="005633A3">
        <w:rPr>
          <w:rFonts w:ascii="仿宋_GB2312" w:eastAsia="仿宋_GB2312" w:hint="eastAsia"/>
          <w:sz w:val="32"/>
          <w:szCs w:val="32"/>
        </w:rPr>
        <w:t>和</w:t>
      </w:r>
      <w:r w:rsidR="005633A3">
        <w:rPr>
          <w:rFonts w:ascii="仿宋_GB2312" w:eastAsia="仿宋_GB2312" w:hint="eastAsia"/>
          <w:sz w:val="32"/>
          <w:szCs w:val="32"/>
        </w:rPr>
        <w:lastRenderedPageBreak/>
        <w:t>32.88%</w:t>
      </w:r>
      <w:r w:rsidR="005633A3">
        <w:rPr>
          <w:rFonts w:ascii="仿宋_GB2312" w:eastAsia="仿宋_GB2312" w:hint="eastAsia"/>
          <w:sz w:val="32"/>
          <w:szCs w:val="32"/>
        </w:rPr>
        <w:t>。（柱状图）</w:t>
      </w:r>
    </w:p>
    <w:p w:rsidR="00000000" w:rsidRDefault="005633A3">
      <w:pPr>
        <w:spacing w:line="578" w:lineRule="exact"/>
        <w:ind w:firstLineChars="200" w:firstLine="640"/>
        <w:rPr>
          <w:rFonts w:ascii="黑体" w:eastAsia="黑体" w:hint="eastAsia"/>
          <w:sz w:val="32"/>
          <w:szCs w:val="32"/>
        </w:rPr>
      </w:pPr>
      <w:r>
        <w:rPr>
          <w:rFonts w:ascii="黑体" w:eastAsia="黑体" w:hint="eastAsia"/>
          <w:sz w:val="32"/>
          <w:szCs w:val="32"/>
        </w:rPr>
        <w:t>五、</w:t>
      </w:r>
      <w:r>
        <w:rPr>
          <w:rFonts w:ascii="黑体" w:eastAsia="黑体" w:hint="eastAsia"/>
          <w:sz w:val="32"/>
          <w:szCs w:val="32"/>
        </w:rPr>
        <w:t>一般公共预算财政拨款支出决算情况</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（一）一般公共预算财政拨款支出决算总体情况</w:t>
      </w:r>
    </w:p>
    <w:p w:rsidR="00000000" w:rsidRDefault="003C7F2E">
      <w:pPr>
        <w:spacing w:line="578" w:lineRule="exact"/>
        <w:ind w:firstLineChars="200" w:firstLine="640"/>
        <w:rPr>
          <w:rFonts w:ascii="仿宋_GB2312" w:eastAsia="仿宋_GB2312" w:hint="eastAsia"/>
          <w:sz w:val="32"/>
          <w:szCs w:val="32"/>
        </w:rPr>
      </w:pPr>
      <w:r>
        <w:rPr>
          <w:rFonts w:ascii="仿宋_GB2312" w:eastAsia="仿宋_GB2312" w:hint="eastAsia"/>
          <w:noProof/>
          <w:sz w:val="32"/>
          <w:szCs w:val="32"/>
        </w:rPr>
        <w:drawing>
          <wp:anchor distT="0" distB="0" distL="114300" distR="114300" simplePos="0" relativeHeight="251658240" behindDoc="1" locked="0" layoutInCell="1" allowOverlap="1">
            <wp:simplePos x="0" y="0"/>
            <wp:positionH relativeFrom="column">
              <wp:posOffset>3429000</wp:posOffset>
            </wp:positionH>
            <wp:positionV relativeFrom="paragraph">
              <wp:posOffset>190500</wp:posOffset>
            </wp:positionV>
            <wp:extent cx="2351405" cy="1965960"/>
            <wp:effectExtent l="0" t="0" r="2540" b="1270"/>
            <wp:wrapSquare wrapText="bothSides"/>
            <wp:docPr id="13" name="对象 1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r w:rsidR="005633A3">
        <w:rPr>
          <w:rFonts w:ascii="仿宋_GB2312" w:eastAsia="仿宋_GB2312" w:hint="eastAsia"/>
          <w:sz w:val="32"/>
          <w:szCs w:val="32"/>
        </w:rPr>
        <w:t>攀枝花市林业局</w:t>
      </w:r>
      <w:r w:rsidR="005633A3">
        <w:rPr>
          <w:rFonts w:ascii="仿宋_GB2312" w:eastAsia="仿宋_GB2312" w:hint="eastAsia"/>
          <w:sz w:val="32"/>
          <w:szCs w:val="32"/>
        </w:rPr>
        <w:t>2016</w:t>
      </w:r>
      <w:r w:rsidR="005633A3">
        <w:rPr>
          <w:rFonts w:ascii="仿宋_GB2312" w:eastAsia="仿宋_GB2312" w:hint="eastAsia"/>
          <w:sz w:val="32"/>
          <w:szCs w:val="32"/>
        </w:rPr>
        <w:t>年度一般公共预算财政拨款支出</w:t>
      </w:r>
      <w:r w:rsidR="005633A3">
        <w:rPr>
          <w:rFonts w:ascii="仿宋_GB2312" w:eastAsia="仿宋_GB2312" w:hint="eastAsia"/>
          <w:sz w:val="32"/>
          <w:szCs w:val="32"/>
        </w:rPr>
        <w:t>7006.02</w:t>
      </w:r>
      <w:r w:rsidR="005633A3">
        <w:rPr>
          <w:rFonts w:ascii="仿宋_GB2312" w:eastAsia="仿宋_GB2312" w:hint="eastAsia"/>
          <w:sz w:val="32"/>
          <w:szCs w:val="32"/>
        </w:rPr>
        <w:t>万元，占本年支出合计的</w:t>
      </w:r>
      <w:r w:rsidR="005633A3">
        <w:rPr>
          <w:rFonts w:ascii="仿宋_GB2312" w:eastAsia="仿宋_GB2312" w:hint="eastAsia"/>
          <w:sz w:val="32"/>
          <w:szCs w:val="32"/>
        </w:rPr>
        <w:t>99.46%</w:t>
      </w:r>
      <w:r w:rsidR="005633A3">
        <w:rPr>
          <w:rFonts w:ascii="仿宋_GB2312" w:eastAsia="仿宋_GB2312" w:hint="eastAsia"/>
          <w:sz w:val="32"/>
          <w:szCs w:val="32"/>
        </w:rPr>
        <w:t>。与</w:t>
      </w:r>
      <w:r w:rsidR="005633A3">
        <w:rPr>
          <w:rFonts w:ascii="仿宋_GB2312" w:eastAsia="仿宋_GB2312" w:hint="eastAsia"/>
          <w:sz w:val="32"/>
          <w:szCs w:val="32"/>
        </w:rPr>
        <w:t>2015</w:t>
      </w:r>
      <w:r w:rsidR="005633A3">
        <w:rPr>
          <w:rFonts w:ascii="仿宋_GB2312" w:eastAsia="仿宋_GB2312" w:hint="eastAsia"/>
          <w:sz w:val="32"/>
          <w:szCs w:val="32"/>
        </w:rPr>
        <w:t>年相比，一般公共预算财政拨款减少</w:t>
      </w:r>
      <w:r w:rsidR="005633A3">
        <w:rPr>
          <w:rFonts w:ascii="仿宋_GB2312" w:eastAsia="仿宋_GB2312" w:hint="eastAsia"/>
          <w:sz w:val="32"/>
          <w:szCs w:val="32"/>
        </w:rPr>
        <w:t>3342.11</w:t>
      </w:r>
      <w:r w:rsidR="005633A3">
        <w:rPr>
          <w:rFonts w:ascii="仿宋_GB2312" w:eastAsia="仿宋_GB2312" w:hint="eastAsia"/>
          <w:sz w:val="32"/>
          <w:szCs w:val="32"/>
        </w:rPr>
        <w:t>万元，增长</w:t>
      </w:r>
      <w:r w:rsidR="005633A3">
        <w:rPr>
          <w:rFonts w:ascii="仿宋_GB2312" w:eastAsia="仿宋_GB2312" w:hint="eastAsia"/>
          <w:sz w:val="32"/>
          <w:szCs w:val="32"/>
        </w:rPr>
        <w:t>/</w:t>
      </w:r>
      <w:r w:rsidR="005633A3">
        <w:rPr>
          <w:rFonts w:ascii="仿宋_GB2312" w:eastAsia="仿宋_GB2312" w:hint="eastAsia"/>
          <w:sz w:val="32"/>
          <w:szCs w:val="32"/>
        </w:rPr>
        <w:t>下降</w:t>
      </w:r>
      <w:r w:rsidR="005633A3">
        <w:rPr>
          <w:rFonts w:ascii="仿宋_GB2312" w:eastAsia="仿宋_GB2312" w:hint="eastAsia"/>
          <w:sz w:val="32"/>
          <w:szCs w:val="32"/>
        </w:rPr>
        <w:t>32.30%</w:t>
      </w:r>
      <w:r w:rsidR="005633A3">
        <w:rPr>
          <w:rFonts w:ascii="仿宋_GB2312" w:eastAsia="仿宋_GB2312" w:hint="eastAsia"/>
          <w:sz w:val="32"/>
          <w:szCs w:val="32"/>
        </w:rPr>
        <w:t>。（柱状图）</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（二）一般公共预算财政拨款支出决算结构情况</w:t>
      </w:r>
    </w:p>
    <w:p w:rsidR="00000000" w:rsidRDefault="003C7F2E">
      <w:pPr>
        <w:spacing w:line="578" w:lineRule="exact"/>
        <w:ind w:firstLineChars="200" w:firstLine="640"/>
        <w:rPr>
          <w:rFonts w:ascii="仿宋_GB2312" w:eastAsia="仿宋_GB2312" w:hint="eastAsia"/>
          <w:sz w:val="32"/>
          <w:szCs w:val="32"/>
        </w:rPr>
      </w:pPr>
      <w:r>
        <w:rPr>
          <w:rFonts w:ascii="仿宋_GB2312" w:eastAsia="仿宋_GB2312" w:hint="eastAsia"/>
          <w:noProof/>
          <w:sz w:val="32"/>
          <w:szCs w:val="32"/>
        </w:rPr>
        <w:drawing>
          <wp:anchor distT="0" distB="0" distL="114300" distR="114300" simplePos="0" relativeHeight="251659264" behindDoc="1" locked="0" layoutInCell="1" allowOverlap="1">
            <wp:simplePos x="0" y="0"/>
            <wp:positionH relativeFrom="column">
              <wp:posOffset>2785110</wp:posOffset>
            </wp:positionH>
            <wp:positionV relativeFrom="paragraph">
              <wp:posOffset>775970</wp:posOffset>
            </wp:positionV>
            <wp:extent cx="3087370" cy="2378075"/>
            <wp:effectExtent l="2540" t="0" r="0" b="6350"/>
            <wp:wrapSquare wrapText="bothSides"/>
            <wp:docPr id="14" name="对象 1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r w:rsidR="005633A3">
        <w:rPr>
          <w:rFonts w:ascii="仿宋_GB2312" w:eastAsia="仿宋_GB2312" w:hint="eastAsia"/>
          <w:sz w:val="32"/>
          <w:szCs w:val="32"/>
        </w:rPr>
        <w:t>攀枝花市林业局</w:t>
      </w:r>
      <w:r w:rsidR="005633A3">
        <w:rPr>
          <w:rFonts w:ascii="仿宋_GB2312" w:eastAsia="仿宋_GB2312" w:hint="eastAsia"/>
          <w:sz w:val="32"/>
          <w:szCs w:val="32"/>
        </w:rPr>
        <w:t>2016</w:t>
      </w:r>
      <w:r w:rsidR="005633A3">
        <w:rPr>
          <w:rFonts w:ascii="仿宋_GB2312" w:eastAsia="仿宋_GB2312" w:hint="eastAsia"/>
          <w:sz w:val="32"/>
          <w:szCs w:val="32"/>
        </w:rPr>
        <w:t>年一般公共预算财政拨款支出</w:t>
      </w:r>
      <w:r w:rsidR="005633A3">
        <w:rPr>
          <w:rFonts w:ascii="仿宋_GB2312" w:eastAsia="仿宋_GB2312" w:hint="eastAsia"/>
          <w:sz w:val="32"/>
          <w:szCs w:val="32"/>
        </w:rPr>
        <w:t>7006.03</w:t>
      </w:r>
      <w:r w:rsidR="005633A3">
        <w:rPr>
          <w:rFonts w:ascii="仿宋_GB2312" w:eastAsia="仿宋_GB2312" w:hint="eastAsia"/>
          <w:sz w:val="32"/>
          <w:szCs w:val="32"/>
        </w:rPr>
        <w:t>万元，主要用于以下方面</w:t>
      </w:r>
      <w:r w:rsidR="005633A3">
        <w:rPr>
          <w:rFonts w:ascii="仿宋_GB2312" w:eastAsia="仿宋_GB2312" w:hint="eastAsia"/>
          <w:sz w:val="32"/>
          <w:szCs w:val="32"/>
        </w:rPr>
        <w:t>:</w:t>
      </w:r>
      <w:r w:rsidR="005633A3">
        <w:rPr>
          <w:rFonts w:ascii="仿宋_GB2312" w:eastAsia="仿宋_GB2312" w:hint="eastAsia"/>
          <w:sz w:val="32"/>
          <w:szCs w:val="32"/>
        </w:rPr>
        <w:t>一般公共服务支出</w:t>
      </w:r>
      <w:r w:rsidR="005633A3">
        <w:rPr>
          <w:rFonts w:ascii="仿宋_GB2312" w:eastAsia="仿宋_GB2312" w:hint="eastAsia"/>
          <w:sz w:val="32"/>
          <w:szCs w:val="32"/>
        </w:rPr>
        <w:t>36.02</w:t>
      </w:r>
      <w:r w:rsidR="005633A3">
        <w:rPr>
          <w:rFonts w:ascii="仿宋_GB2312" w:eastAsia="仿宋_GB2312" w:hint="eastAsia"/>
          <w:sz w:val="32"/>
          <w:szCs w:val="32"/>
        </w:rPr>
        <w:t>万元，占</w:t>
      </w:r>
      <w:r w:rsidR="005633A3">
        <w:rPr>
          <w:rFonts w:ascii="仿宋_GB2312" w:eastAsia="仿宋_GB2312" w:hint="eastAsia"/>
          <w:sz w:val="32"/>
          <w:szCs w:val="32"/>
        </w:rPr>
        <w:t>0.51%</w:t>
      </w:r>
      <w:r w:rsidR="005633A3">
        <w:rPr>
          <w:rFonts w:ascii="仿宋_GB2312" w:eastAsia="仿宋_GB2312" w:hint="eastAsia"/>
          <w:sz w:val="32"/>
          <w:szCs w:val="32"/>
        </w:rPr>
        <w:t>；农林水支出</w:t>
      </w:r>
      <w:r w:rsidR="005633A3">
        <w:rPr>
          <w:rFonts w:ascii="仿宋_GB2312" w:eastAsia="仿宋_GB2312" w:hint="eastAsia"/>
          <w:sz w:val="32"/>
          <w:szCs w:val="32"/>
        </w:rPr>
        <w:t>5550.33</w:t>
      </w:r>
      <w:r w:rsidR="005633A3">
        <w:rPr>
          <w:rFonts w:ascii="仿宋_GB2312" w:eastAsia="仿宋_GB2312" w:hint="eastAsia"/>
          <w:sz w:val="32"/>
          <w:szCs w:val="32"/>
        </w:rPr>
        <w:t>万元，占</w:t>
      </w:r>
      <w:r w:rsidR="005633A3">
        <w:rPr>
          <w:rFonts w:ascii="仿宋_GB2312" w:eastAsia="仿宋_GB2312" w:hint="eastAsia"/>
          <w:sz w:val="32"/>
          <w:szCs w:val="32"/>
        </w:rPr>
        <w:t>79.22%</w:t>
      </w:r>
      <w:r w:rsidR="005633A3">
        <w:rPr>
          <w:rFonts w:ascii="仿宋_GB2312" w:eastAsia="仿宋_GB2312" w:hint="eastAsia"/>
          <w:sz w:val="32"/>
          <w:szCs w:val="32"/>
        </w:rPr>
        <w:t>节能环保支出</w:t>
      </w:r>
      <w:r w:rsidR="005633A3">
        <w:rPr>
          <w:rFonts w:ascii="仿宋_GB2312" w:eastAsia="仿宋_GB2312" w:hint="eastAsia"/>
          <w:sz w:val="32"/>
          <w:szCs w:val="32"/>
        </w:rPr>
        <w:t>767.05</w:t>
      </w:r>
      <w:r w:rsidR="005633A3">
        <w:rPr>
          <w:rFonts w:ascii="仿宋_GB2312" w:eastAsia="仿宋_GB2312" w:hint="eastAsia"/>
          <w:sz w:val="32"/>
          <w:szCs w:val="32"/>
        </w:rPr>
        <w:t>万元，占</w:t>
      </w:r>
      <w:r w:rsidR="005633A3">
        <w:rPr>
          <w:rFonts w:ascii="仿宋_GB2312" w:eastAsia="仿宋_GB2312" w:hint="eastAsia"/>
          <w:sz w:val="32"/>
          <w:szCs w:val="32"/>
        </w:rPr>
        <w:t>10.95%</w:t>
      </w:r>
      <w:r w:rsidR="005633A3">
        <w:rPr>
          <w:rFonts w:ascii="仿宋_GB2312" w:eastAsia="仿宋_GB2312" w:hint="eastAsia"/>
          <w:sz w:val="32"/>
          <w:szCs w:val="32"/>
        </w:rPr>
        <w:t>；社会保障和就业支出</w:t>
      </w:r>
      <w:r w:rsidR="005633A3">
        <w:rPr>
          <w:rFonts w:ascii="仿宋_GB2312" w:eastAsia="仿宋_GB2312" w:hint="eastAsia"/>
          <w:sz w:val="32"/>
          <w:szCs w:val="32"/>
        </w:rPr>
        <w:t>465.73</w:t>
      </w:r>
      <w:r w:rsidR="005633A3">
        <w:rPr>
          <w:rFonts w:ascii="仿宋_GB2312" w:eastAsia="仿宋_GB2312" w:hint="eastAsia"/>
          <w:sz w:val="32"/>
          <w:szCs w:val="32"/>
        </w:rPr>
        <w:t>万元，占</w:t>
      </w:r>
      <w:r w:rsidR="005633A3">
        <w:rPr>
          <w:rFonts w:ascii="仿宋_GB2312" w:eastAsia="仿宋_GB2312" w:hint="eastAsia"/>
          <w:sz w:val="32"/>
          <w:szCs w:val="32"/>
        </w:rPr>
        <w:t>6.65%</w:t>
      </w:r>
      <w:r w:rsidR="005633A3">
        <w:rPr>
          <w:rFonts w:ascii="仿宋_GB2312" w:eastAsia="仿宋_GB2312" w:hint="eastAsia"/>
          <w:sz w:val="32"/>
          <w:szCs w:val="32"/>
        </w:rPr>
        <w:t>；住房保障支出</w:t>
      </w:r>
      <w:r w:rsidR="005633A3">
        <w:rPr>
          <w:rFonts w:ascii="仿宋_GB2312" w:eastAsia="仿宋_GB2312" w:hint="eastAsia"/>
          <w:sz w:val="32"/>
          <w:szCs w:val="32"/>
        </w:rPr>
        <w:t>186.9</w:t>
      </w:r>
      <w:r w:rsidR="005633A3">
        <w:rPr>
          <w:rFonts w:ascii="仿宋_GB2312" w:eastAsia="仿宋_GB2312" w:hint="eastAsia"/>
          <w:sz w:val="32"/>
          <w:szCs w:val="32"/>
        </w:rPr>
        <w:t>万元，占</w:t>
      </w:r>
      <w:r w:rsidR="005633A3">
        <w:rPr>
          <w:rFonts w:ascii="仿宋_GB2312" w:eastAsia="仿宋_GB2312" w:hint="eastAsia"/>
          <w:sz w:val="32"/>
          <w:szCs w:val="32"/>
        </w:rPr>
        <w:t>2.67%</w:t>
      </w:r>
      <w:r w:rsidR="005633A3">
        <w:rPr>
          <w:rFonts w:ascii="仿宋_GB2312" w:eastAsia="仿宋_GB2312" w:hint="eastAsia"/>
          <w:sz w:val="32"/>
          <w:szCs w:val="32"/>
        </w:rPr>
        <w:t>。（饼状图）</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（三）一般公共预算财政拨款支出决算具体情况</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1.</w:t>
      </w:r>
      <w:r>
        <w:rPr>
          <w:rFonts w:ascii="仿宋_GB2312" w:eastAsia="仿宋_GB2312" w:hint="eastAsia"/>
          <w:sz w:val="32"/>
          <w:szCs w:val="32"/>
        </w:rPr>
        <w:t>一般公共服务支出</w:t>
      </w:r>
      <w:r>
        <w:rPr>
          <w:rFonts w:ascii="仿宋_GB2312" w:eastAsia="仿宋_GB2312" w:hint="eastAsia"/>
          <w:sz w:val="32"/>
          <w:szCs w:val="32"/>
        </w:rPr>
        <w:t>2016</w:t>
      </w:r>
      <w:r>
        <w:rPr>
          <w:rFonts w:ascii="仿宋_GB2312" w:eastAsia="仿宋_GB2312" w:hint="eastAsia"/>
          <w:sz w:val="32"/>
          <w:szCs w:val="32"/>
        </w:rPr>
        <w:t>年决算数为</w:t>
      </w:r>
      <w:r>
        <w:rPr>
          <w:rFonts w:ascii="仿宋_GB2312" w:eastAsia="仿宋_GB2312" w:hint="eastAsia"/>
          <w:sz w:val="32"/>
          <w:szCs w:val="32"/>
        </w:rPr>
        <w:t>36.02</w:t>
      </w:r>
      <w:r>
        <w:rPr>
          <w:rFonts w:ascii="仿宋_GB2312" w:eastAsia="仿宋_GB2312" w:hint="eastAsia"/>
          <w:sz w:val="32"/>
          <w:szCs w:val="32"/>
        </w:rPr>
        <w:t>万元，其中</w:t>
      </w:r>
      <w:r>
        <w:rPr>
          <w:rFonts w:ascii="仿宋_GB2312" w:eastAsia="仿宋_GB2312" w:hint="eastAsia"/>
          <w:sz w:val="32"/>
          <w:szCs w:val="32"/>
        </w:rPr>
        <w:t>2011399</w:t>
      </w:r>
      <w:r>
        <w:rPr>
          <w:rFonts w:ascii="仿宋_GB2312" w:eastAsia="仿宋_GB2312" w:hint="eastAsia"/>
          <w:sz w:val="32"/>
          <w:szCs w:val="32"/>
        </w:rPr>
        <w:t>其他商贸服务支出</w:t>
      </w:r>
      <w:r>
        <w:rPr>
          <w:rFonts w:ascii="仿宋_GB2312" w:eastAsia="仿宋_GB2312" w:hint="eastAsia"/>
          <w:sz w:val="32"/>
          <w:szCs w:val="32"/>
        </w:rPr>
        <w:t>30</w:t>
      </w:r>
      <w:r>
        <w:rPr>
          <w:rFonts w:ascii="仿宋_GB2312" w:eastAsia="仿宋_GB2312" w:hint="eastAsia"/>
          <w:sz w:val="32"/>
          <w:szCs w:val="32"/>
        </w:rPr>
        <w:t>万元；</w:t>
      </w:r>
      <w:r>
        <w:rPr>
          <w:rFonts w:ascii="仿宋_GB2312" w:eastAsia="仿宋_GB2312" w:hint="eastAsia"/>
          <w:sz w:val="32"/>
          <w:szCs w:val="32"/>
        </w:rPr>
        <w:t>2013299</w:t>
      </w:r>
      <w:r>
        <w:rPr>
          <w:rFonts w:ascii="仿宋_GB2312" w:eastAsia="仿宋_GB2312" w:hint="eastAsia"/>
          <w:sz w:val="32"/>
          <w:szCs w:val="32"/>
        </w:rPr>
        <w:t>其他组织事务支出</w:t>
      </w:r>
      <w:r>
        <w:rPr>
          <w:rFonts w:ascii="仿宋_GB2312" w:eastAsia="仿宋_GB2312" w:hint="eastAsia"/>
          <w:sz w:val="32"/>
          <w:szCs w:val="32"/>
        </w:rPr>
        <w:lastRenderedPageBreak/>
        <w:t>6.02</w:t>
      </w:r>
      <w:r>
        <w:rPr>
          <w:rFonts w:ascii="仿宋_GB2312" w:eastAsia="仿宋_GB2312" w:hint="eastAsia"/>
          <w:sz w:val="32"/>
          <w:szCs w:val="32"/>
        </w:rPr>
        <w:t>万元，完成当年预算</w:t>
      </w:r>
      <w:r>
        <w:rPr>
          <w:rFonts w:ascii="仿宋_GB2312" w:eastAsia="仿宋_GB2312" w:hint="eastAsia"/>
          <w:sz w:val="32"/>
          <w:szCs w:val="32"/>
        </w:rPr>
        <w:t>100%</w:t>
      </w:r>
      <w:r>
        <w:rPr>
          <w:rFonts w:ascii="仿宋_GB2312" w:eastAsia="仿宋_GB2312" w:hint="eastAsia"/>
          <w:sz w:val="32"/>
          <w:szCs w:val="32"/>
        </w:rPr>
        <w:t>。</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2.</w:t>
      </w:r>
      <w:r>
        <w:rPr>
          <w:rFonts w:ascii="仿宋_GB2312" w:eastAsia="仿宋_GB2312" w:hint="eastAsia"/>
          <w:sz w:val="32"/>
          <w:szCs w:val="32"/>
        </w:rPr>
        <w:t>社会保障和就业支出</w:t>
      </w:r>
      <w:r>
        <w:rPr>
          <w:rFonts w:ascii="仿宋_GB2312" w:eastAsia="仿宋_GB2312" w:hint="eastAsia"/>
          <w:sz w:val="32"/>
          <w:szCs w:val="32"/>
        </w:rPr>
        <w:t>2016</w:t>
      </w:r>
      <w:r>
        <w:rPr>
          <w:rFonts w:ascii="仿宋_GB2312" w:eastAsia="仿宋_GB2312" w:hint="eastAsia"/>
          <w:sz w:val="32"/>
          <w:szCs w:val="32"/>
        </w:rPr>
        <w:t>年决算数为</w:t>
      </w:r>
      <w:r>
        <w:rPr>
          <w:rFonts w:ascii="仿宋_GB2312" w:eastAsia="仿宋_GB2312" w:hint="eastAsia"/>
          <w:sz w:val="32"/>
          <w:szCs w:val="32"/>
        </w:rPr>
        <w:t>465.72</w:t>
      </w:r>
      <w:r>
        <w:rPr>
          <w:rFonts w:ascii="仿宋_GB2312" w:eastAsia="仿宋_GB2312" w:hint="eastAsia"/>
          <w:sz w:val="32"/>
          <w:szCs w:val="32"/>
        </w:rPr>
        <w:t>万元，其中</w:t>
      </w:r>
      <w:r>
        <w:rPr>
          <w:rFonts w:ascii="仿宋_GB2312" w:eastAsia="仿宋_GB2312" w:hint="eastAsia"/>
          <w:sz w:val="32"/>
          <w:szCs w:val="32"/>
        </w:rPr>
        <w:t xml:space="preserve">2080199  </w:t>
      </w:r>
      <w:r>
        <w:rPr>
          <w:rFonts w:ascii="仿宋_GB2312" w:eastAsia="仿宋_GB2312" w:hint="eastAsia"/>
          <w:sz w:val="32"/>
          <w:szCs w:val="32"/>
        </w:rPr>
        <w:t>其他人力资源和社会保障管理事务支出</w:t>
      </w:r>
      <w:r>
        <w:rPr>
          <w:rFonts w:ascii="仿宋_GB2312" w:eastAsia="仿宋_GB2312" w:hint="eastAsia"/>
          <w:sz w:val="32"/>
          <w:szCs w:val="32"/>
        </w:rPr>
        <w:t>17.08</w:t>
      </w:r>
      <w:r>
        <w:rPr>
          <w:rFonts w:ascii="仿宋_GB2312" w:eastAsia="仿宋_GB2312" w:hint="eastAsia"/>
          <w:sz w:val="32"/>
          <w:szCs w:val="32"/>
        </w:rPr>
        <w:t>万元，完成当年预算</w:t>
      </w:r>
      <w:r>
        <w:rPr>
          <w:rFonts w:ascii="仿宋_GB2312" w:eastAsia="仿宋_GB2312" w:hint="eastAsia"/>
          <w:sz w:val="32"/>
          <w:szCs w:val="32"/>
        </w:rPr>
        <w:t>100%</w:t>
      </w:r>
      <w:r>
        <w:rPr>
          <w:rFonts w:ascii="仿宋_GB2312" w:eastAsia="仿宋_GB2312" w:hint="eastAsia"/>
          <w:sz w:val="32"/>
          <w:szCs w:val="32"/>
        </w:rPr>
        <w:t>。</w:t>
      </w:r>
      <w:r>
        <w:rPr>
          <w:rFonts w:ascii="仿宋_GB2312" w:eastAsia="仿宋_GB2312" w:hint="eastAsia"/>
          <w:sz w:val="32"/>
          <w:szCs w:val="32"/>
        </w:rPr>
        <w:t>208050</w:t>
      </w:r>
      <w:r>
        <w:rPr>
          <w:rFonts w:ascii="仿宋_GB2312" w:eastAsia="仿宋_GB2312" w:hint="eastAsia"/>
          <w:sz w:val="32"/>
          <w:szCs w:val="32"/>
        </w:rPr>
        <w:t>4</w:t>
      </w:r>
      <w:r>
        <w:rPr>
          <w:rFonts w:ascii="仿宋_GB2312" w:eastAsia="仿宋_GB2312" w:hint="eastAsia"/>
          <w:sz w:val="32"/>
          <w:szCs w:val="32"/>
        </w:rPr>
        <w:t>未归口管理的行政单位离退休</w:t>
      </w:r>
      <w:r>
        <w:rPr>
          <w:rFonts w:ascii="仿宋_GB2312" w:eastAsia="仿宋_GB2312" w:hint="eastAsia"/>
          <w:sz w:val="32"/>
          <w:szCs w:val="32"/>
        </w:rPr>
        <w:t>189.25</w:t>
      </w:r>
      <w:r>
        <w:rPr>
          <w:rFonts w:ascii="仿宋_GB2312" w:eastAsia="仿宋_GB2312" w:hint="eastAsia"/>
          <w:sz w:val="32"/>
          <w:szCs w:val="32"/>
        </w:rPr>
        <w:t>万元，完成当年预算</w:t>
      </w:r>
      <w:r>
        <w:rPr>
          <w:rFonts w:ascii="仿宋_GB2312" w:eastAsia="仿宋_GB2312" w:hint="eastAsia"/>
          <w:sz w:val="32"/>
          <w:szCs w:val="32"/>
        </w:rPr>
        <w:t>100%</w:t>
      </w:r>
      <w:r>
        <w:rPr>
          <w:rFonts w:ascii="仿宋_GB2312" w:eastAsia="仿宋_GB2312" w:hint="eastAsia"/>
          <w:sz w:val="32"/>
          <w:szCs w:val="32"/>
        </w:rPr>
        <w:t>。</w:t>
      </w:r>
      <w:r>
        <w:rPr>
          <w:rFonts w:ascii="仿宋_GB2312" w:eastAsia="仿宋_GB2312" w:hint="eastAsia"/>
          <w:sz w:val="32"/>
          <w:szCs w:val="32"/>
        </w:rPr>
        <w:t>2080505</w:t>
      </w:r>
      <w:r>
        <w:rPr>
          <w:rFonts w:ascii="仿宋_GB2312" w:eastAsia="仿宋_GB2312" w:hint="eastAsia"/>
          <w:sz w:val="32"/>
          <w:szCs w:val="32"/>
        </w:rPr>
        <w:t>机关事业单位基本养老保险缴费支出</w:t>
      </w:r>
      <w:r>
        <w:rPr>
          <w:rFonts w:ascii="仿宋_GB2312" w:eastAsia="仿宋_GB2312" w:hint="eastAsia"/>
          <w:sz w:val="32"/>
          <w:szCs w:val="32"/>
        </w:rPr>
        <w:t>216.83</w:t>
      </w:r>
      <w:r>
        <w:rPr>
          <w:rFonts w:ascii="仿宋_GB2312" w:eastAsia="仿宋_GB2312" w:hint="eastAsia"/>
          <w:sz w:val="32"/>
          <w:szCs w:val="32"/>
        </w:rPr>
        <w:t>万元，完成当年预算</w:t>
      </w:r>
      <w:r>
        <w:rPr>
          <w:rFonts w:ascii="仿宋_GB2312" w:eastAsia="仿宋_GB2312" w:hint="eastAsia"/>
          <w:sz w:val="32"/>
          <w:szCs w:val="32"/>
        </w:rPr>
        <w:t>87.95%</w:t>
      </w:r>
      <w:r>
        <w:rPr>
          <w:rFonts w:ascii="仿宋_GB2312" w:eastAsia="仿宋_GB2312" w:hint="eastAsia"/>
          <w:sz w:val="32"/>
          <w:szCs w:val="32"/>
        </w:rPr>
        <w:t>。</w:t>
      </w:r>
      <w:r>
        <w:rPr>
          <w:rFonts w:ascii="仿宋_GB2312" w:eastAsia="仿宋_GB2312" w:hint="eastAsia"/>
          <w:sz w:val="32"/>
          <w:szCs w:val="32"/>
        </w:rPr>
        <w:t>2080801</w:t>
      </w:r>
      <w:r>
        <w:rPr>
          <w:rFonts w:ascii="仿宋_GB2312" w:eastAsia="仿宋_GB2312" w:hint="eastAsia"/>
          <w:sz w:val="32"/>
          <w:szCs w:val="32"/>
        </w:rPr>
        <w:t>死亡抚恤</w:t>
      </w:r>
      <w:r>
        <w:rPr>
          <w:rFonts w:ascii="仿宋_GB2312" w:eastAsia="仿宋_GB2312" w:hint="eastAsia"/>
          <w:sz w:val="32"/>
          <w:szCs w:val="32"/>
        </w:rPr>
        <w:t>41.96</w:t>
      </w:r>
      <w:r>
        <w:rPr>
          <w:rFonts w:ascii="仿宋_GB2312" w:eastAsia="仿宋_GB2312" w:hint="eastAsia"/>
          <w:sz w:val="32"/>
          <w:szCs w:val="32"/>
        </w:rPr>
        <w:t>万元，完成当年预算</w:t>
      </w:r>
      <w:r>
        <w:rPr>
          <w:rFonts w:ascii="仿宋_GB2312" w:eastAsia="仿宋_GB2312" w:hint="eastAsia"/>
          <w:sz w:val="32"/>
          <w:szCs w:val="32"/>
        </w:rPr>
        <w:t>57.78%</w:t>
      </w:r>
      <w:r>
        <w:rPr>
          <w:rFonts w:ascii="仿宋_GB2312" w:eastAsia="仿宋_GB2312" w:hint="eastAsia"/>
          <w:sz w:val="32"/>
          <w:szCs w:val="32"/>
        </w:rPr>
        <w:t>。死亡抚恤决算数小于预算数的主要原因是死亡抚恤下达时间已到决算时间，导致未支付成功。</w:t>
      </w:r>
      <w:r>
        <w:rPr>
          <w:rFonts w:ascii="仿宋_GB2312" w:eastAsia="仿宋_GB2312" w:hint="eastAsia"/>
          <w:sz w:val="32"/>
          <w:szCs w:val="32"/>
        </w:rPr>
        <w:t>2081001</w:t>
      </w:r>
      <w:r>
        <w:rPr>
          <w:rFonts w:ascii="仿宋_GB2312" w:eastAsia="仿宋_GB2312" w:hint="eastAsia"/>
          <w:sz w:val="32"/>
          <w:szCs w:val="32"/>
        </w:rPr>
        <w:t>儿童福利</w:t>
      </w:r>
      <w:r>
        <w:rPr>
          <w:rFonts w:ascii="仿宋_GB2312" w:eastAsia="仿宋_GB2312" w:hint="eastAsia"/>
          <w:sz w:val="32"/>
          <w:szCs w:val="32"/>
        </w:rPr>
        <w:t>0.60</w:t>
      </w:r>
      <w:r>
        <w:rPr>
          <w:rFonts w:ascii="仿宋_GB2312" w:eastAsia="仿宋_GB2312" w:hint="eastAsia"/>
          <w:sz w:val="32"/>
          <w:szCs w:val="32"/>
        </w:rPr>
        <w:t>万元，完成当年预算</w:t>
      </w:r>
      <w:r>
        <w:rPr>
          <w:rFonts w:ascii="仿宋_GB2312" w:eastAsia="仿宋_GB2312" w:hint="eastAsia"/>
          <w:sz w:val="32"/>
          <w:szCs w:val="32"/>
        </w:rPr>
        <w:t>100%</w:t>
      </w:r>
      <w:r>
        <w:rPr>
          <w:rFonts w:ascii="仿宋_GB2312" w:eastAsia="仿宋_GB2312" w:hint="eastAsia"/>
          <w:sz w:val="32"/>
          <w:szCs w:val="32"/>
        </w:rPr>
        <w:t>，</w:t>
      </w:r>
      <w:r>
        <w:rPr>
          <w:rFonts w:ascii="仿宋_GB2312" w:eastAsia="仿宋_GB2312" w:hint="eastAsia"/>
          <w:sz w:val="32"/>
          <w:szCs w:val="32"/>
        </w:rPr>
        <w:t xml:space="preserve"> </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 xml:space="preserve">3. </w:t>
      </w:r>
      <w:r>
        <w:rPr>
          <w:rFonts w:ascii="仿宋_GB2312" w:eastAsia="仿宋_GB2312" w:hint="eastAsia"/>
          <w:sz w:val="32"/>
          <w:szCs w:val="32"/>
        </w:rPr>
        <w:t>节能环保支出</w:t>
      </w:r>
      <w:r>
        <w:rPr>
          <w:rFonts w:ascii="仿宋_GB2312" w:eastAsia="仿宋_GB2312" w:hint="eastAsia"/>
          <w:sz w:val="32"/>
          <w:szCs w:val="32"/>
        </w:rPr>
        <w:t>2016</w:t>
      </w:r>
      <w:r>
        <w:rPr>
          <w:rFonts w:ascii="仿宋_GB2312" w:eastAsia="仿宋_GB2312" w:hint="eastAsia"/>
          <w:sz w:val="32"/>
          <w:szCs w:val="32"/>
        </w:rPr>
        <w:t>年决算数为</w:t>
      </w:r>
      <w:r>
        <w:rPr>
          <w:rFonts w:ascii="仿宋_GB2312" w:eastAsia="仿宋_GB2312"/>
          <w:sz w:val="32"/>
          <w:szCs w:val="32"/>
        </w:rPr>
        <w:t>767.06</w:t>
      </w:r>
      <w:r>
        <w:rPr>
          <w:rFonts w:ascii="仿宋_GB2312" w:eastAsia="仿宋_GB2312" w:hint="eastAsia"/>
          <w:sz w:val="32"/>
          <w:szCs w:val="32"/>
        </w:rPr>
        <w:t>万元，其中</w:t>
      </w:r>
      <w:r>
        <w:rPr>
          <w:rFonts w:ascii="仿宋_GB2312" w:eastAsia="仿宋_GB2312" w:hint="eastAsia"/>
          <w:sz w:val="32"/>
          <w:szCs w:val="32"/>
        </w:rPr>
        <w:t>2110403</w:t>
      </w:r>
      <w:r>
        <w:rPr>
          <w:rFonts w:ascii="仿宋_GB2312" w:eastAsia="仿宋_GB2312" w:hint="eastAsia"/>
          <w:sz w:val="32"/>
          <w:szCs w:val="32"/>
        </w:rPr>
        <w:t>自然保护区</w:t>
      </w:r>
      <w:r>
        <w:rPr>
          <w:rFonts w:ascii="仿宋_GB2312" w:eastAsia="仿宋_GB2312" w:hint="eastAsia"/>
          <w:sz w:val="32"/>
          <w:szCs w:val="32"/>
        </w:rPr>
        <w:t>196.78</w:t>
      </w:r>
      <w:r>
        <w:rPr>
          <w:rFonts w:ascii="仿宋_GB2312" w:eastAsia="仿宋_GB2312" w:hint="eastAsia"/>
          <w:sz w:val="32"/>
          <w:szCs w:val="32"/>
        </w:rPr>
        <w:t>万元。</w:t>
      </w:r>
      <w:r>
        <w:rPr>
          <w:rFonts w:ascii="仿宋_GB2312" w:eastAsia="仿宋_GB2312" w:hint="eastAsia"/>
          <w:sz w:val="32"/>
          <w:szCs w:val="32"/>
        </w:rPr>
        <w:t>2110501</w:t>
      </w:r>
      <w:r>
        <w:rPr>
          <w:rFonts w:ascii="仿宋_GB2312" w:eastAsia="仿宋_GB2312" w:hint="eastAsia"/>
          <w:sz w:val="32"/>
          <w:szCs w:val="32"/>
        </w:rPr>
        <w:t>森林管护</w:t>
      </w:r>
      <w:r>
        <w:rPr>
          <w:rFonts w:ascii="仿宋_GB2312" w:eastAsia="仿宋_GB2312" w:hint="eastAsia"/>
          <w:sz w:val="32"/>
          <w:szCs w:val="32"/>
        </w:rPr>
        <w:t>91.01</w:t>
      </w:r>
      <w:r>
        <w:rPr>
          <w:rFonts w:ascii="仿宋_GB2312" w:eastAsia="仿宋_GB2312" w:hint="eastAsia"/>
          <w:sz w:val="32"/>
          <w:szCs w:val="32"/>
        </w:rPr>
        <w:t>万元，完成当年</w:t>
      </w:r>
      <w:r>
        <w:rPr>
          <w:rFonts w:ascii="仿宋_GB2312" w:eastAsia="仿宋_GB2312" w:hint="eastAsia"/>
          <w:sz w:val="32"/>
          <w:szCs w:val="32"/>
        </w:rPr>
        <w:t>预算</w:t>
      </w:r>
      <w:r>
        <w:rPr>
          <w:rFonts w:ascii="仿宋_GB2312" w:eastAsia="仿宋_GB2312" w:hint="eastAsia"/>
          <w:sz w:val="32"/>
          <w:szCs w:val="32"/>
        </w:rPr>
        <w:t>100%</w:t>
      </w:r>
      <w:r>
        <w:rPr>
          <w:rFonts w:ascii="仿宋_GB2312" w:eastAsia="仿宋_GB2312" w:hint="eastAsia"/>
          <w:sz w:val="32"/>
          <w:szCs w:val="32"/>
        </w:rPr>
        <w:t>。</w:t>
      </w:r>
      <w:r>
        <w:rPr>
          <w:rFonts w:ascii="仿宋_GB2312" w:eastAsia="仿宋_GB2312" w:hint="eastAsia"/>
          <w:sz w:val="32"/>
          <w:szCs w:val="32"/>
        </w:rPr>
        <w:t>2110502</w:t>
      </w:r>
      <w:r>
        <w:rPr>
          <w:rFonts w:ascii="仿宋_GB2312" w:eastAsia="仿宋_GB2312" w:hint="eastAsia"/>
          <w:sz w:val="32"/>
          <w:szCs w:val="32"/>
        </w:rPr>
        <w:t>社会保险补助</w:t>
      </w:r>
      <w:r>
        <w:rPr>
          <w:rFonts w:ascii="仿宋_GB2312" w:eastAsia="仿宋_GB2312" w:hint="eastAsia"/>
          <w:sz w:val="32"/>
          <w:szCs w:val="32"/>
        </w:rPr>
        <w:t>393.41</w:t>
      </w:r>
      <w:r>
        <w:rPr>
          <w:rFonts w:ascii="仿宋_GB2312" w:eastAsia="仿宋_GB2312" w:hint="eastAsia"/>
          <w:sz w:val="32"/>
          <w:szCs w:val="32"/>
        </w:rPr>
        <w:t>万元，完成当年预算</w:t>
      </w:r>
      <w:r>
        <w:rPr>
          <w:rFonts w:ascii="仿宋_GB2312" w:eastAsia="仿宋_GB2312" w:hint="eastAsia"/>
          <w:sz w:val="32"/>
          <w:szCs w:val="32"/>
        </w:rPr>
        <w:t>100%</w:t>
      </w:r>
      <w:r>
        <w:rPr>
          <w:rFonts w:ascii="仿宋_GB2312" w:eastAsia="仿宋_GB2312" w:hint="eastAsia"/>
          <w:sz w:val="32"/>
          <w:szCs w:val="32"/>
        </w:rPr>
        <w:t>。</w:t>
      </w:r>
      <w:r>
        <w:rPr>
          <w:rFonts w:ascii="仿宋_GB2312" w:eastAsia="仿宋_GB2312" w:hint="eastAsia"/>
          <w:sz w:val="32"/>
          <w:szCs w:val="32"/>
        </w:rPr>
        <w:t>2110503</w:t>
      </w:r>
      <w:r>
        <w:rPr>
          <w:rFonts w:ascii="仿宋_GB2312" w:eastAsia="仿宋_GB2312" w:hint="eastAsia"/>
          <w:sz w:val="32"/>
          <w:szCs w:val="32"/>
        </w:rPr>
        <w:t>政策性社会性支出补助</w:t>
      </w:r>
      <w:r>
        <w:rPr>
          <w:rFonts w:ascii="仿宋_GB2312" w:eastAsia="仿宋_GB2312" w:hint="eastAsia"/>
          <w:sz w:val="32"/>
          <w:szCs w:val="32"/>
        </w:rPr>
        <w:t>68.00</w:t>
      </w:r>
      <w:r>
        <w:rPr>
          <w:rFonts w:ascii="仿宋_GB2312" w:eastAsia="仿宋_GB2312" w:hint="eastAsia"/>
          <w:sz w:val="32"/>
          <w:szCs w:val="32"/>
        </w:rPr>
        <w:t>万元，完成当年预算</w:t>
      </w:r>
      <w:r>
        <w:rPr>
          <w:rFonts w:ascii="仿宋_GB2312" w:eastAsia="仿宋_GB2312" w:hint="eastAsia"/>
          <w:sz w:val="32"/>
          <w:szCs w:val="32"/>
        </w:rPr>
        <w:t>100%</w:t>
      </w:r>
      <w:r>
        <w:rPr>
          <w:rFonts w:ascii="仿宋_GB2312" w:eastAsia="仿宋_GB2312" w:hint="eastAsia"/>
          <w:sz w:val="32"/>
          <w:szCs w:val="32"/>
        </w:rPr>
        <w:t>。</w:t>
      </w:r>
      <w:r>
        <w:rPr>
          <w:rFonts w:ascii="仿宋_GB2312" w:eastAsia="仿宋_GB2312" w:hint="eastAsia"/>
          <w:sz w:val="32"/>
          <w:szCs w:val="32"/>
        </w:rPr>
        <w:t>2110506</w:t>
      </w:r>
      <w:r>
        <w:rPr>
          <w:rFonts w:ascii="仿宋_GB2312" w:eastAsia="仿宋_GB2312" w:hint="eastAsia"/>
          <w:sz w:val="32"/>
          <w:szCs w:val="32"/>
        </w:rPr>
        <w:t>天然林保护工程建设</w:t>
      </w:r>
      <w:r>
        <w:rPr>
          <w:rFonts w:ascii="仿宋_GB2312" w:eastAsia="仿宋_GB2312" w:hint="eastAsia"/>
          <w:sz w:val="32"/>
          <w:szCs w:val="32"/>
        </w:rPr>
        <w:t>17.86</w:t>
      </w:r>
      <w:r>
        <w:rPr>
          <w:rFonts w:ascii="仿宋_GB2312" w:eastAsia="仿宋_GB2312" w:hint="eastAsia"/>
          <w:sz w:val="32"/>
          <w:szCs w:val="32"/>
        </w:rPr>
        <w:t>万元，完成当年预算</w:t>
      </w:r>
      <w:r>
        <w:rPr>
          <w:rFonts w:ascii="仿宋_GB2312" w:eastAsia="仿宋_GB2312" w:hint="eastAsia"/>
          <w:sz w:val="32"/>
          <w:szCs w:val="32"/>
        </w:rPr>
        <w:t>100%</w:t>
      </w:r>
      <w:r>
        <w:rPr>
          <w:rFonts w:ascii="仿宋_GB2312" w:eastAsia="仿宋_GB2312" w:hint="eastAsia"/>
          <w:sz w:val="32"/>
          <w:szCs w:val="32"/>
        </w:rPr>
        <w:t>。支出以前年度结转资金</w:t>
      </w:r>
      <w:r>
        <w:rPr>
          <w:rFonts w:ascii="仿宋_GB2312" w:eastAsia="仿宋_GB2312" w:hint="eastAsia"/>
          <w:sz w:val="32"/>
          <w:szCs w:val="32"/>
        </w:rPr>
        <w:t>155.45</w:t>
      </w:r>
      <w:r>
        <w:rPr>
          <w:rFonts w:ascii="仿宋_GB2312" w:eastAsia="仿宋_GB2312" w:hint="eastAsia"/>
          <w:sz w:val="32"/>
          <w:szCs w:val="32"/>
        </w:rPr>
        <w:t>万元。</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 xml:space="preserve">4. </w:t>
      </w:r>
      <w:r>
        <w:rPr>
          <w:rFonts w:ascii="仿宋_GB2312" w:eastAsia="仿宋_GB2312" w:hint="eastAsia"/>
          <w:sz w:val="32"/>
          <w:szCs w:val="32"/>
        </w:rPr>
        <w:t>农林水支出</w:t>
      </w:r>
      <w:r>
        <w:rPr>
          <w:rFonts w:ascii="仿宋_GB2312" w:eastAsia="仿宋_GB2312" w:hint="eastAsia"/>
          <w:sz w:val="32"/>
          <w:szCs w:val="32"/>
        </w:rPr>
        <w:t>2016</w:t>
      </w:r>
      <w:r>
        <w:rPr>
          <w:rFonts w:ascii="仿宋_GB2312" w:eastAsia="仿宋_GB2312" w:hint="eastAsia"/>
          <w:sz w:val="32"/>
          <w:szCs w:val="32"/>
        </w:rPr>
        <w:t>年决算数为</w:t>
      </w:r>
      <w:r>
        <w:rPr>
          <w:rFonts w:ascii="仿宋_GB2312" w:eastAsia="仿宋_GB2312" w:hint="eastAsia"/>
          <w:sz w:val="32"/>
          <w:szCs w:val="32"/>
        </w:rPr>
        <w:t>5588.03</w:t>
      </w:r>
      <w:r>
        <w:rPr>
          <w:rFonts w:ascii="仿宋_GB2312" w:eastAsia="仿宋_GB2312" w:hint="eastAsia"/>
          <w:sz w:val="32"/>
          <w:szCs w:val="32"/>
        </w:rPr>
        <w:t>万元，其中</w:t>
      </w:r>
      <w:r>
        <w:rPr>
          <w:rFonts w:ascii="仿宋_GB2312" w:eastAsia="仿宋_GB2312" w:hint="eastAsia"/>
          <w:sz w:val="32"/>
          <w:szCs w:val="32"/>
        </w:rPr>
        <w:t>2130201</w:t>
      </w:r>
      <w:r>
        <w:rPr>
          <w:rFonts w:ascii="仿宋_GB2312" w:eastAsia="仿宋_GB2312" w:hint="eastAsia"/>
          <w:sz w:val="32"/>
          <w:szCs w:val="32"/>
        </w:rPr>
        <w:t>行政运行</w:t>
      </w:r>
      <w:r>
        <w:rPr>
          <w:rFonts w:ascii="仿宋_GB2312" w:eastAsia="仿宋_GB2312" w:hint="eastAsia"/>
          <w:sz w:val="32"/>
          <w:szCs w:val="32"/>
        </w:rPr>
        <w:t>1709.79</w:t>
      </w:r>
      <w:r>
        <w:rPr>
          <w:rFonts w:ascii="仿宋_GB2312" w:eastAsia="仿宋_GB2312" w:hint="eastAsia"/>
          <w:sz w:val="32"/>
          <w:szCs w:val="32"/>
        </w:rPr>
        <w:t>万元，完成当年预算</w:t>
      </w:r>
      <w:r>
        <w:rPr>
          <w:rFonts w:ascii="仿宋_GB2312" w:eastAsia="仿宋_GB2312" w:hint="eastAsia"/>
          <w:sz w:val="32"/>
          <w:szCs w:val="32"/>
        </w:rPr>
        <w:t>100%</w:t>
      </w:r>
      <w:r>
        <w:rPr>
          <w:rFonts w:ascii="仿宋_GB2312" w:eastAsia="仿宋_GB2312" w:hint="eastAsia"/>
          <w:sz w:val="32"/>
          <w:szCs w:val="32"/>
        </w:rPr>
        <w:t>。</w:t>
      </w:r>
      <w:r>
        <w:rPr>
          <w:rFonts w:ascii="仿宋_GB2312" w:eastAsia="仿宋_GB2312" w:hint="eastAsia"/>
          <w:sz w:val="32"/>
          <w:szCs w:val="32"/>
        </w:rPr>
        <w:t>2130204</w:t>
      </w:r>
      <w:r>
        <w:rPr>
          <w:rFonts w:ascii="仿宋_GB2312" w:eastAsia="仿宋_GB2312" w:hint="eastAsia"/>
          <w:sz w:val="32"/>
          <w:szCs w:val="32"/>
        </w:rPr>
        <w:t>林业事业机构</w:t>
      </w:r>
      <w:r>
        <w:rPr>
          <w:rFonts w:ascii="仿宋_GB2312" w:eastAsia="仿宋_GB2312" w:hint="eastAsia"/>
          <w:sz w:val="32"/>
          <w:szCs w:val="32"/>
        </w:rPr>
        <w:t>804.93</w:t>
      </w:r>
      <w:r>
        <w:rPr>
          <w:rFonts w:ascii="仿宋_GB2312" w:eastAsia="仿宋_GB2312" w:hint="eastAsia"/>
          <w:sz w:val="32"/>
          <w:szCs w:val="32"/>
        </w:rPr>
        <w:t>万元，完成当年预算</w:t>
      </w:r>
      <w:r>
        <w:rPr>
          <w:rFonts w:ascii="仿宋_GB2312" w:eastAsia="仿宋_GB2312" w:hint="eastAsia"/>
          <w:sz w:val="32"/>
          <w:szCs w:val="32"/>
        </w:rPr>
        <w:t>100%</w:t>
      </w:r>
      <w:r>
        <w:rPr>
          <w:rFonts w:ascii="仿宋_GB2312" w:eastAsia="仿宋_GB2312" w:hint="eastAsia"/>
          <w:sz w:val="32"/>
          <w:szCs w:val="32"/>
        </w:rPr>
        <w:t>。</w:t>
      </w:r>
      <w:r>
        <w:rPr>
          <w:rFonts w:ascii="仿宋_GB2312" w:eastAsia="仿宋_GB2312" w:hint="eastAsia"/>
          <w:sz w:val="32"/>
          <w:szCs w:val="32"/>
        </w:rPr>
        <w:t>2130205</w:t>
      </w:r>
      <w:r>
        <w:rPr>
          <w:rFonts w:ascii="仿宋_GB2312" w:eastAsia="仿宋_GB2312" w:hint="eastAsia"/>
          <w:sz w:val="32"/>
          <w:szCs w:val="32"/>
        </w:rPr>
        <w:t>森林培育</w:t>
      </w:r>
      <w:r>
        <w:rPr>
          <w:rFonts w:ascii="仿宋_GB2312" w:eastAsia="仿宋_GB2312" w:hint="eastAsia"/>
          <w:sz w:val="32"/>
          <w:szCs w:val="32"/>
        </w:rPr>
        <w:t>1,240.90</w:t>
      </w:r>
      <w:r>
        <w:rPr>
          <w:rFonts w:ascii="仿宋_GB2312" w:eastAsia="仿宋_GB2312" w:hint="eastAsia"/>
          <w:sz w:val="32"/>
          <w:szCs w:val="32"/>
        </w:rPr>
        <w:t>万元，项目跨年度支付以前</w:t>
      </w:r>
      <w:r>
        <w:rPr>
          <w:rFonts w:ascii="仿宋_GB2312" w:eastAsia="仿宋_GB2312" w:hint="eastAsia"/>
          <w:sz w:val="32"/>
          <w:szCs w:val="32"/>
        </w:rPr>
        <w:t>年度结转资金</w:t>
      </w:r>
      <w:r>
        <w:rPr>
          <w:rFonts w:ascii="仿宋_GB2312" w:eastAsia="仿宋_GB2312" w:hint="eastAsia"/>
          <w:sz w:val="32"/>
          <w:szCs w:val="32"/>
        </w:rPr>
        <w:t>809.75</w:t>
      </w:r>
      <w:r>
        <w:rPr>
          <w:rFonts w:ascii="仿宋_GB2312" w:eastAsia="仿宋_GB2312" w:hint="eastAsia"/>
          <w:sz w:val="32"/>
          <w:szCs w:val="32"/>
        </w:rPr>
        <w:t>万元。</w:t>
      </w:r>
      <w:r>
        <w:rPr>
          <w:rFonts w:ascii="仿宋_GB2312" w:eastAsia="仿宋_GB2312" w:hint="eastAsia"/>
          <w:sz w:val="32"/>
          <w:szCs w:val="32"/>
        </w:rPr>
        <w:t>2130206</w:t>
      </w:r>
      <w:r>
        <w:rPr>
          <w:rFonts w:ascii="仿宋_GB2312" w:eastAsia="仿宋_GB2312" w:hint="eastAsia"/>
          <w:sz w:val="32"/>
          <w:szCs w:val="32"/>
        </w:rPr>
        <w:t>林业技术推广</w:t>
      </w:r>
      <w:r>
        <w:rPr>
          <w:rFonts w:ascii="仿宋_GB2312" w:eastAsia="仿宋_GB2312" w:hint="eastAsia"/>
          <w:sz w:val="32"/>
          <w:szCs w:val="32"/>
        </w:rPr>
        <w:t>49.86</w:t>
      </w:r>
      <w:r>
        <w:rPr>
          <w:rFonts w:ascii="仿宋_GB2312" w:eastAsia="仿宋_GB2312" w:hint="eastAsia"/>
          <w:sz w:val="32"/>
          <w:szCs w:val="32"/>
        </w:rPr>
        <w:t>万元，项目跨年度支付以前年度结转资金</w:t>
      </w:r>
      <w:r>
        <w:rPr>
          <w:rFonts w:ascii="仿宋_GB2312" w:eastAsia="仿宋_GB2312" w:hint="eastAsia"/>
          <w:sz w:val="32"/>
          <w:szCs w:val="32"/>
        </w:rPr>
        <w:t>49.86</w:t>
      </w:r>
      <w:r>
        <w:rPr>
          <w:rFonts w:ascii="仿宋_GB2312" w:eastAsia="仿宋_GB2312" w:hint="eastAsia"/>
          <w:sz w:val="32"/>
          <w:szCs w:val="32"/>
        </w:rPr>
        <w:t>万元；</w:t>
      </w:r>
      <w:r>
        <w:rPr>
          <w:rFonts w:ascii="仿宋_GB2312" w:eastAsia="仿宋_GB2312" w:hint="eastAsia"/>
          <w:sz w:val="32"/>
          <w:szCs w:val="32"/>
        </w:rPr>
        <w:t>2130207</w:t>
      </w:r>
      <w:r>
        <w:rPr>
          <w:rFonts w:ascii="仿宋_GB2312" w:eastAsia="仿宋_GB2312" w:hint="eastAsia"/>
          <w:sz w:val="32"/>
          <w:szCs w:val="32"/>
        </w:rPr>
        <w:t>森林资源管理</w:t>
      </w:r>
      <w:r>
        <w:rPr>
          <w:rFonts w:ascii="仿宋_GB2312" w:eastAsia="仿宋_GB2312" w:hint="eastAsia"/>
          <w:sz w:val="32"/>
          <w:szCs w:val="32"/>
        </w:rPr>
        <w:t>53.74</w:t>
      </w:r>
      <w:r>
        <w:rPr>
          <w:rFonts w:ascii="仿宋_GB2312" w:eastAsia="仿宋_GB2312" w:hint="eastAsia"/>
          <w:sz w:val="32"/>
          <w:szCs w:val="32"/>
        </w:rPr>
        <w:t>万元，完成当年预算</w:t>
      </w:r>
      <w:r>
        <w:rPr>
          <w:rFonts w:ascii="仿宋_GB2312" w:eastAsia="仿宋_GB2312" w:hint="eastAsia"/>
          <w:sz w:val="32"/>
          <w:szCs w:val="32"/>
        </w:rPr>
        <w:t>100%</w:t>
      </w:r>
      <w:r>
        <w:rPr>
          <w:rFonts w:ascii="仿宋_GB2312" w:eastAsia="仿宋_GB2312" w:hint="eastAsia"/>
          <w:sz w:val="32"/>
          <w:szCs w:val="32"/>
        </w:rPr>
        <w:t>。</w:t>
      </w:r>
      <w:r>
        <w:rPr>
          <w:rFonts w:ascii="仿宋_GB2312" w:eastAsia="仿宋_GB2312" w:hint="eastAsia"/>
          <w:sz w:val="32"/>
          <w:szCs w:val="32"/>
        </w:rPr>
        <w:t>2130209</w:t>
      </w:r>
      <w:r>
        <w:rPr>
          <w:rFonts w:ascii="仿宋_GB2312" w:eastAsia="仿宋_GB2312" w:hint="eastAsia"/>
          <w:sz w:val="32"/>
          <w:szCs w:val="32"/>
        </w:rPr>
        <w:t>森林生态效益补偿</w:t>
      </w:r>
      <w:r>
        <w:rPr>
          <w:rFonts w:ascii="仿宋_GB2312" w:eastAsia="仿宋_GB2312" w:hint="eastAsia"/>
          <w:sz w:val="32"/>
          <w:szCs w:val="32"/>
        </w:rPr>
        <w:t>9.10</w:t>
      </w:r>
      <w:r>
        <w:rPr>
          <w:rFonts w:ascii="仿宋_GB2312" w:eastAsia="仿宋_GB2312" w:hint="eastAsia"/>
          <w:sz w:val="32"/>
          <w:szCs w:val="32"/>
        </w:rPr>
        <w:t>万元，完成当年</w:t>
      </w:r>
      <w:r>
        <w:rPr>
          <w:rFonts w:ascii="仿宋_GB2312" w:eastAsia="仿宋_GB2312" w:hint="eastAsia"/>
          <w:sz w:val="32"/>
          <w:szCs w:val="32"/>
        </w:rPr>
        <w:lastRenderedPageBreak/>
        <w:t>预算</w:t>
      </w:r>
      <w:r>
        <w:rPr>
          <w:rFonts w:ascii="仿宋_GB2312" w:eastAsia="仿宋_GB2312" w:hint="eastAsia"/>
          <w:sz w:val="32"/>
          <w:szCs w:val="32"/>
        </w:rPr>
        <w:t>100%</w:t>
      </w:r>
      <w:r>
        <w:rPr>
          <w:rFonts w:ascii="仿宋_GB2312" w:eastAsia="仿宋_GB2312" w:hint="eastAsia"/>
          <w:sz w:val="32"/>
          <w:szCs w:val="32"/>
        </w:rPr>
        <w:t>。</w:t>
      </w:r>
      <w:r>
        <w:rPr>
          <w:rFonts w:ascii="仿宋_GB2312" w:eastAsia="仿宋_GB2312" w:hint="eastAsia"/>
          <w:sz w:val="32"/>
          <w:szCs w:val="32"/>
        </w:rPr>
        <w:t>2130210</w:t>
      </w:r>
      <w:r>
        <w:rPr>
          <w:rFonts w:ascii="仿宋_GB2312" w:eastAsia="仿宋_GB2312" w:hint="eastAsia"/>
          <w:sz w:val="32"/>
          <w:szCs w:val="32"/>
        </w:rPr>
        <w:t>林业自然保护区</w:t>
      </w:r>
      <w:r>
        <w:rPr>
          <w:rFonts w:ascii="仿宋_GB2312" w:eastAsia="仿宋_GB2312" w:hint="eastAsia"/>
          <w:sz w:val="32"/>
          <w:szCs w:val="32"/>
        </w:rPr>
        <w:t>433.08</w:t>
      </w:r>
      <w:r>
        <w:rPr>
          <w:rFonts w:ascii="仿宋_GB2312" w:eastAsia="仿宋_GB2312" w:hint="eastAsia"/>
          <w:sz w:val="32"/>
          <w:szCs w:val="32"/>
        </w:rPr>
        <w:t>万元，完成当年预算</w:t>
      </w:r>
      <w:r>
        <w:rPr>
          <w:rFonts w:ascii="仿宋_GB2312" w:eastAsia="仿宋_GB2312" w:hint="eastAsia"/>
          <w:sz w:val="32"/>
          <w:szCs w:val="32"/>
        </w:rPr>
        <w:t>42.88%</w:t>
      </w:r>
      <w:r>
        <w:rPr>
          <w:rFonts w:ascii="仿宋_GB2312" w:eastAsia="仿宋_GB2312" w:hint="eastAsia"/>
          <w:sz w:val="32"/>
          <w:szCs w:val="32"/>
        </w:rPr>
        <w:t>，未完成部份是项目跨年度未支付。</w:t>
      </w:r>
      <w:r>
        <w:rPr>
          <w:rFonts w:ascii="仿宋_GB2312" w:eastAsia="仿宋_GB2312" w:hint="eastAsia"/>
          <w:sz w:val="32"/>
          <w:szCs w:val="32"/>
        </w:rPr>
        <w:t>2130213</w:t>
      </w:r>
      <w:r>
        <w:rPr>
          <w:rFonts w:ascii="仿宋_GB2312" w:eastAsia="仿宋_GB2312" w:hint="eastAsia"/>
          <w:sz w:val="32"/>
          <w:szCs w:val="32"/>
        </w:rPr>
        <w:t>林业执法与监督</w:t>
      </w:r>
      <w:r>
        <w:rPr>
          <w:rFonts w:ascii="仿宋_GB2312" w:eastAsia="仿宋_GB2312" w:hint="eastAsia"/>
          <w:sz w:val="32"/>
          <w:szCs w:val="32"/>
        </w:rPr>
        <w:t>223.95</w:t>
      </w:r>
      <w:r>
        <w:rPr>
          <w:rFonts w:ascii="仿宋_GB2312" w:eastAsia="仿宋_GB2312" w:hint="eastAsia"/>
          <w:sz w:val="32"/>
          <w:szCs w:val="32"/>
        </w:rPr>
        <w:t>万元，完成当年预算</w:t>
      </w:r>
      <w:r>
        <w:rPr>
          <w:rFonts w:ascii="仿宋_GB2312" w:eastAsia="仿宋_GB2312" w:hint="eastAsia"/>
          <w:sz w:val="32"/>
          <w:szCs w:val="32"/>
        </w:rPr>
        <w:t>100%</w:t>
      </w:r>
      <w:r>
        <w:rPr>
          <w:rFonts w:ascii="仿宋_GB2312" w:eastAsia="仿宋_GB2312" w:hint="eastAsia"/>
          <w:sz w:val="32"/>
          <w:szCs w:val="32"/>
        </w:rPr>
        <w:t>。</w:t>
      </w:r>
      <w:r>
        <w:rPr>
          <w:rFonts w:ascii="仿宋_GB2312" w:eastAsia="仿宋_GB2312" w:hint="eastAsia"/>
          <w:sz w:val="32"/>
          <w:szCs w:val="32"/>
        </w:rPr>
        <w:t>2130234</w:t>
      </w:r>
      <w:r>
        <w:rPr>
          <w:rFonts w:ascii="仿宋_GB2312" w:eastAsia="仿宋_GB2312" w:hint="eastAsia"/>
          <w:sz w:val="32"/>
          <w:szCs w:val="32"/>
        </w:rPr>
        <w:t>林业防灾减灾</w:t>
      </w:r>
      <w:r>
        <w:rPr>
          <w:rFonts w:ascii="仿宋_GB2312" w:eastAsia="仿宋_GB2312" w:hint="eastAsia"/>
          <w:sz w:val="32"/>
          <w:szCs w:val="32"/>
        </w:rPr>
        <w:t>137.46</w:t>
      </w:r>
      <w:r>
        <w:rPr>
          <w:rFonts w:ascii="仿宋_GB2312" w:eastAsia="仿宋_GB2312" w:hint="eastAsia"/>
          <w:sz w:val="32"/>
          <w:szCs w:val="32"/>
        </w:rPr>
        <w:t>万元，完成当年预算</w:t>
      </w:r>
      <w:r>
        <w:rPr>
          <w:rFonts w:ascii="仿宋_GB2312" w:eastAsia="仿宋_GB2312" w:hint="eastAsia"/>
          <w:sz w:val="32"/>
          <w:szCs w:val="32"/>
        </w:rPr>
        <w:t>100%</w:t>
      </w:r>
      <w:r>
        <w:rPr>
          <w:rFonts w:ascii="仿宋_GB2312" w:eastAsia="仿宋_GB2312" w:hint="eastAsia"/>
          <w:sz w:val="32"/>
          <w:szCs w:val="32"/>
        </w:rPr>
        <w:t>。</w:t>
      </w:r>
      <w:r>
        <w:rPr>
          <w:rFonts w:ascii="仿宋_GB2312" w:eastAsia="仿宋_GB2312" w:hint="eastAsia"/>
          <w:sz w:val="32"/>
          <w:szCs w:val="32"/>
        </w:rPr>
        <w:t>2130299</w:t>
      </w:r>
      <w:r>
        <w:rPr>
          <w:rFonts w:ascii="仿宋_GB2312" w:eastAsia="仿宋_GB2312" w:hint="eastAsia"/>
          <w:sz w:val="32"/>
          <w:szCs w:val="32"/>
        </w:rPr>
        <w:t>其他林业支出</w:t>
      </w:r>
      <w:r>
        <w:rPr>
          <w:rFonts w:ascii="仿宋_GB2312" w:eastAsia="仿宋_GB2312" w:hint="eastAsia"/>
          <w:sz w:val="32"/>
          <w:szCs w:val="32"/>
        </w:rPr>
        <w:t>8</w:t>
      </w:r>
      <w:r>
        <w:rPr>
          <w:rFonts w:ascii="仿宋_GB2312" w:eastAsia="仿宋_GB2312" w:hint="eastAsia"/>
          <w:sz w:val="32"/>
          <w:szCs w:val="32"/>
        </w:rPr>
        <w:t>84.22</w:t>
      </w:r>
      <w:r>
        <w:rPr>
          <w:rFonts w:ascii="仿宋_GB2312" w:eastAsia="仿宋_GB2312" w:hint="eastAsia"/>
          <w:sz w:val="32"/>
          <w:szCs w:val="32"/>
        </w:rPr>
        <w:t>万元，完成当年预算</w:t>
      </w:r>
      <w:r>
        <w:rPr>
          <w:rFonts w:ascii="仿宋_GB2312" w:eastAsia="仿宋_GB2312" w:hint="eastAsia"/>
          <w:sz w:val="32"/>
          <w:szCs w:val="32"/>
        </w:rPr>
        <w:t>80.07%</w:t>
      </w:r>
      <w:r>
        <w:rPr>
          <w:rFonts w:ascii="仿宋_GB2312" w:eastAsia="仿宋_GB2312" w:hint="eastAsia"/>
          <w:sz w:val="32"/>
          <w:szCs w:val="32"/>
        </w:rPr>
        <w:t>，未完成部份是项目跨年度未支付。</w:t>
      </w:r>
      <w:r>
        <w:rPr>
          <w:rFonts w:ascii="仿宋_GB2312" w:eastAsia="仿宋_GB2312" w:hint="eastAsia"/>
          <w:sz w:val="32"/>
          <w:szCs w:val="32"/>
        </w:rPr>
        <w:t>2130310</w:t>
      </w:r>
      <w:r>
        <w:rPr>
          <w:rFonts w:ascii="仿宋_GB2312" w:eastAsia="仿宋_GB2312" w:hint="eastAsia"/>
          <w:sz w:val="32"/>
          <w:szCs w:val="32"/>
        </w:rPr>
        <w:t>水土保持</w:t>
      </w:r>
      <w:r>
        <w:rPr>
          <w:rFonts w:ascii="仿宋_GB2312" w:eastAsia="仿宋_GB2312" w:hint="eastAsia"/>
          <w:sz w:val="32"/>
          <w:szCs w:val="32"/>
        </w:rPr>
        <w:t>30.00</w:t>
      </w:r>
      <w:r>
        <w:rPr>
          <w:rFonts w:ascii="仿宋_GB2312" w:eastAsia="仿宋_GB2312" w:hint="eastAsia"/>
          <w:sz w:val="32"/>
          <w:szCs w:val="32"/>
        </w:rPr>
        <w:t>万元；</w:t>
      </w:r>
      <w:r>
        <w:rPr>
          <w:rFonts w:ascii="仿宋_GB2312" w:eastAsia="仿宋_GB2312"/>
          <w:sz w:val="32"/>
          <w:szCs w:val="32"/>
        </w:rPr>
        <w:t>2139999</w:t>
      </w:r>
      <w:r>
        <w:rPr>
          <w:rFonts w:ascii="仿宋_GB2312" w:eastAsia="仿宋_GB2312" w:hint="eastAsia"/>
          <w:sz w:val="32"/>
          <w:szCs w:val="32"/>
        </w:rPr>
        <w:t>其他农林水支出</w:t>
      </w:r>
      <w:r>
        <w:rPr>
          <w:rFonts w:ascii="仿宋_GB2312" w:eastAsia="仿宋_GB2312"/>
          <w:sz w:val="32"/>
          <w:szCs w:val="32"/>
        </w:rPr>
        <w:t>11</w:t>
      </w:r>
      <w:r>
        <w:rPr>
          <w:rFonts w:ascii="仿宋_GB2312" w:eastAsia="仿宋_GB2312" w:hint="eastAsia"/>
          <w:sz w:val="32"/>
          <w:szCs w:val="32"/>
        </w:rPr>
        <w:t>万元，完成当年预算</w:t>
      </w:r>
      <w:r>
        <w:rPr>
          <w:rFonts w:ascii="仿宋_GB2312" w:eastAsia="仿宋_GB2312" w:hint="eastAsia"/>
          <w:sz w:val="32"/>
          <w:szCs w:val="32"/>
        </w:rPr>
        <w:t>100%</w:t>
      </w:r>
      <w:r>
        <w:rPr>
          <w:rFonts w:ascii="仿宋_GB2312" w:eastAsia="仿宋_GB2312" w:hint="eastAsia"/>
          <w:sz w:val="32"/>
          <w:szCs w:val="32"/>
        </w:rPr>
        <w:t>。</w:t>
      </w:r>
      <w:r>
        <w:rPr>
          <w:rFonts w:ascii="仿宋_GB2312" w:eastAsia="仿宋_GB2312" w:hint="eastAsia"/>
          <w:sz w:val="32"/>
          <w:szCs w:val="32"/>
        </w:rPr>
        <w:t xml:space="preserve"> </w:t>
      </w:r>
    </w:p>
    <w:p w:rsidR="00000000" w:rsidRDefault="005633A3">
      <w:pPr>
        <w:spacing w:line="578" w:lineRule="exact"/>
        <w:ind w:firstLineChars="200" w:firstLine="640"/>
        <w:rPr>
          <w:rFonts w:ascii="仿宋_GB2312" w:eastAsia="仿宋_GB2312"/>
          <w:sz w:val="32"/>
          <w:szCs w:val="32"/>
        </w:rPr>
      </w:pPr>
      <w:r>
        <w:rPr>
          <w:rFonts w:ascii="仿宋_GB2312" w:eastAsia="仿宋_GB2312" w:hint="eastAsia"/>
          <w:sz w:val="32"/>
          <w:szCs w:val="32"/>
        </w:rPr>
        <w:t xml:space="preserve">5. </w:t>
      </w:r>
      <w:r>
        <w:rPr>
          <w:rFonts w:ascii="仿宋_GB2312" w:eastAsia="仿宋_GB2312" w:hint="eastAsia"/>
          <w:sz w:val="32"/>
          <w:szCs w:val="32"/>
        </w:rPr>
        <w:t>住房公积金支出</w:t>
      </w:r>
      <w:r>
        <w:rPr>
          <w:rFonts w:ascii="仿宋_GB2312" w:eastAsia="仿宋_GB2312" w:hint="eastAsia"/>
          <w:sz w:val="32"/>
          <w:szCs w:val="32"/>
        </w:rPr>
        <w:t>2016</w:t>
      </w:r>
      <w:r>
        <w:rPr>
          <w:rFonts w:ascii="仿宋_GB2312" w:eastAsia="仿宋_GB2312" w:hint="eastAsia"/>
          <w:sz w:val="32"/>
          <w:szCs w:val="32"/>
        </w:rPr>
        <w:t>年决算数为</w:t>
      </w:r>
      <w:r>
        <w:rPr>
          <w:rFonts w:ascii="仿宋_GB2312" w:eastAsia="仿宋_GB2312" w:hint="eastAsia"/>
          <w:sz w:val="32"/>
          <w:szCs w:val="32"/>
        </w:rPr>
        <w:t>186.90</w:t>
      </w:r>
      <w:r>
        <w:rPr>
          <w:rFonts w:ascii="仿宋_GB2312" w:eastAsia="仿宋_GB2312" w:hint="eastAsia"/>
          <w:sz w:val="32"/>
          <w:szCs w:val="32"/>
        </w:rPr>
        <w:t>万元，</w:t>
      </w:r>
      <w:r>
        <w:rPr>
          <w:rFonts w:ascii="仿宋_GB2312" w:eastAsia="仿宋_GB2312"/>
          <w:sz w:val="32"/>
          <w:szCs w:val="32"/>
        </w:rPr>
        <w:t>2210201</w:t>
      </w:r>
      <w:r>
        <w:rPr>
          <w:rFonts w:ascii="仿宋_GB2312" w:eastAsia="仿宋_GB2312" w:hint="eastAsia"/>
          <w:sz w:val="32"/>
          <w:szCs w:val="32"/>
        </w:rPr>
        <w:t>住房公积金支出</w:t>
      </w:r>
      <w:r>
        <w:rPr>
          <w:rFonts w:ascii="仿宋_GB2312" w:eastAsia="仿宋_GB2312" w:hint="eastAsia"/>
          <w:sz w:val="32"/>
          <w:szCs w:val="32"/>
        </w:rPr>
        <w:t>186.90</w:t>
      </w:r>
      <w:r>
        <w:rPr>
          <w:rFonts w:ascii="仿宋_GB2312" w:eastAsia="仿宋_GB2312" w:hint="eastAsia"/>
          <w:sz w:val="32"/>
          <w:szCs w:val="32"/>
        </w:rPr>
        <w:t>万元，完成当年预算</w:t>
      </w:r>
      <w:r>
        <w:rPr>
          <w:rFonts w:ascii="仿宋_GB2312" w:eastAsia="仿宋_GB2312" w:hint="eastAsia"/>
          <w:sz w:val="32"/>
          <w:szCs w:val="32"/>
        </w:rPr>
        <w:t>100%</w:t>
      </w:r>
      <w:r>
        <w:rPr>
          <w:rFonts w:ascii="仿宋_GB2312" w:eastAsia="仿宋_GB2312" w:hint="eastAsia"/>
          <w:sz w:val="32"/>
          <w:szCs w:val="32"/>
        </w:rPr>
        <w:t>。</w:t>
      </w:r>
    </w:p>
    <w:p w:rsidR="00000000" w:rsidRDefault="005633A3">
      <w:pPr>
        <w:spacing w:line="578" w:lineRule="exact"/>
        <w:ind w:firstLineChars="200" w:firstLine="640"/>
        <w:rPr>
          <w:rFonts w:ascii="黑体" w:eastAsia="黑体" w:hint="eastAsia"/>
          <w:sz w:val="32"/>
          <w:szCs w:val="32"/>
        </w:rPr>
      </w:pPr>
      <w:r>
        <w:rPr>
          <w:rFonts w:ascii="黑体" w:eastAsia="黑体" w:hint="eastAsia"/>
          <w:sz w:val="32"/>
          <w:szCs w:val="32"/>
        </w:rPr>
        <w:t>六、一般公共预算财政拨款基本支出决算情况</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攀枝花市林业局</w:t>
      </w:r>
      <w:r>
        <w:rPr>
          <w:rFonts w:ascii="仿宋_GB2312" w:eastAsia="仿宋_GB2312" w:hint="eastAsia"/>
          <w:sz w:val="32"/>
          <w:szCs w:val="32"/>
        </w:rPr>
        <w:t>2016</w:t>
      </w:r>
      <w:r>
        <w:rPr>
          <w:rFonts w:ascii="仿宋_GB2312" w:eastAsia="仿宋_GB2312" w:hint="eastAsia"/>
          <w:sz w:val="32"/>
          <w:szCs w:val="32"/>
        </w:rPr>
        <w:t>年一般公共预算财政拨款基本支出</w:t>
      </w:r>
      <w:r>
        <w:rPr>
          <w:rFonts w:ascii="仿宋_GB2312" w:eastAsia="仿宋_GB2312" w:hint="eastAsia"/>
          <w:sz w:val="32"/>
          <w:szCs w:val="32"/>
        </w:rPr>
        <w:t>3137.66</w:t>
      </w:r>
      <w:r>
        <w:rPr>
          <w:rFonts w:ascii="仿宋_GB2312" w:eastAsia="仿宋_GB2312" w:hint="eastAsia"/>
          <w:sz w:val="32"/>
          <w:szCs w:val="32"/>
        </w:rPr>
        <w:t>万元，其中：人员经费</w:t>
      </w:r>
      <w:r>
        <w:rPr>
          <w:rFonts w:ascii="仿宋_GB2312" w:eastAsia="仿宋_GB2312" w:hint="eastAsia"/>
          <w:sz w:val="32"/>
          <w:szCs w:val="32"/>
        </w:rPr>
        <w:t>2688.88</w:t>
      </w:r>
      <w:r>
        <w:rPr>
          <w:rFonts w:ascii="仿宋_GB2312" w:eastAsia="仿宋_GB2312" w:hint="eastAsia"/>
          <w:sz w:val="32"/>
          <w:szCs w:val="32"/>
        </w:rPr>
        <w:t>万元，主要包括：基本工资、津贴补贴、奖金、其他社会保障缴费、绩效工资、</w:t>
      </w:r>
      <w:r>
        <w:rPr>
          <w:rFonts w:ascii="仿宋_GB2312" w:eastAsia="仿宋_GB2312" w:hint="eastAsia"/>
          <w:sz w:val="32"/>
          <w:szCs w:val="32"/>
        </w:rPr>
        <w:t>机关事业单位基本养老保险缴费、职业年金缴费、其他工资福利支出、离休费、退休费、抚恤金、生活补助、生产补贴、住房公积金、其他对个人和家庭的补助支出。</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公用经费</w:t>
      </w:r>
      <w:r>
        <w:rPr>
          <w:rFonts w:ascii="仿宋_GB2312" w:eastAsia="仿宋_GB2312" w:hint="eastAsia"/>
          <w:sz w:val="32"/>
          <w:szCs w:val="32"/>
        </w:rPr>
        <w:t>448.78</w:t>
      </w:r>
      <w:r>
        <w:rPr>
          <w:rFonts w:ascii="仿宋_GB2312" w:eastAsia="仿宋_GB2312" w:hint="eastAsia"/>
          <w:sz w:val="32"/>
          <w:szCs w:val="32"/>
        </w:rPr>
        <w:t>万元，主要包括：办公费、咨询费、手续费、水费、电费、邮电费、物业管理费、差旅费、维修（护）费、会议费、培训费、公务接待费、劳务费、工会经费、福利费、公务用车运行维护费、其他交通费、其他商品和服务支出、办公设备购置。</w:t>
      </w:r>
    </w:p>
    <w:p w:rsidR="00000000" w:rsidRDefault="005633A3">
      <w:pPr>
        <w:spacing w:line="578" w:lineRule="exact"/>
        <w:ind w:firstLineChars="200" w:firstLine="640"/>
        <w:rPr>
          <w:rFonts w:ascii="黑体" w:eastAsia="黑体" w:hint="eastAsia"/>
          <w:sz w:val="32"/>
          <w:szCs w:val="32"/>
        </w:rPr>
      </w:pPr>
      <w:r>
        <w:rPr>
          <w:rFonts w:ascii="黑体" w:eastAsia="黑体" w:hint="eastAsia"/>
          <w:sz w:val="32"/>
          <w:szCs w:val="32"/>
        </w:rPr>
        <w:t>七、“三公”经费财政拨款支出决算情况</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lastRenderedPageBreak/>
        <w:t>（一）“三公”经费财政拨款支出决算总体情况说明</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攀枝花市林业局</w:t>
      </w:r>
      <w:r>
        <w:rPr>
          <w:rFonts w:ascii="仿宋_GB2312" w:eastAsia="仿宋_GB2312" w:hint="eastAsia"/>
          <w:sz w:val="32"/>
          <w:szCs w:val="32"/>
        </w:rPr>
        <w:t>2016</w:t>
      </w:r>
      <w:r>
        <w:rPr>
          <w:rFonts w:ascii="仿宋_GB2312" w:eastAsia="仿宋_GB2312" w:hint="eastAsia"/>
          <w:sz w:val="32"/>
          <w:szCs w:val="32"/>
        </w:rPr>
        <w:t>年度“三公”经费财政</w:t>
      </w:r>
      <w:r>
        <w:rPr>
          <w:rFonts w:ascii="仿宋_GB2312" w:eastAsia="仿宋_GB2312" w:hint="eastAsia"/>
          <w:sz w:val="32"/>
          <w:szCs w:val="32"/>
        </w:rPr>
        <w:t>拨款支出决算为</w:t>
      </w:r>
      <w:r>
        <w:rPr>
          <w:rFonts w:ascii="仿宋_GB2312" w:eastAsia="仿宋_GB2312" w:hint="eastAsia"/>
          <w:sz w:val="32"/>
          <w:szCs w:val="32"/>
        </w:rPr>
        <w:t>120.97</w:t>
      </w:r>
      <w:r>
        <w:rPr>
          <w:rFonts w:ascii="仿宋_GB2312" w:eastAsia="仿宋_GB2312" w:hint="eastAsia"/>
          <w:sz w:val="32"/>
          <w:szCs w:val="32"/>
        </w:rPr>
        <w:t>万元，完成预算</w:t>
      </w:r>
      <w:r>
        <w:rPr>
          <w:rFonts w:ascii="仿宋_GB2312" w:eastAsia="仿宋_GB2312" w:hint="eastAsia"/>
          <w:sz w:val="32"/>
          <w:szCs w:val="32"/>
        </w:rPr>
        <w:t>74.94%</w:t>
      </w:r>
      <w:r>
        <w:rPr>
          <w:rFonts w:ascii="仿宋_GB2312" w:eastAsia="仿宋_GB2312" w:hint="eastAsia"/>
          <w:sz w:val="32"/>
          <w:szCs w:val="32"/>
        </w:rPr>
        <w:t>，其中：</w:t>
      </w:r>
      <w:r>
        <w:rPr>
          <w:rFonts w:ascii="仿宋_GB2312" w:eastAsia="仿宋_GB2312" w:hint="eastAsia"/>
          <w:color w:val="333333"/>
          <w:sz w:val="32"/>
          <w:szCs w:val="32"/>
        </w:rPr>
        <w:t>其中：因公出国（境）费支出决算为</w:t>
      </w:r>
      <w:r>
        <w:rPr>
          <w:rFonts w:ascii="仿宋_GB2312" w:eastAsia="仿宋_GB2312" w:hint="eastAsia"/>
          <w:color w:val="333333"/>
          <w:sz w:val="32"/>
          <w:szCs w:val="32"/>
        </w:rPr>
        <w:t>0</w:t>
      </w:r>
      <w:r>
        <w:rPr>
          <w:rFonts w:ascii="仿宋_GB2312" w:eastAsia="仿宋_GB2312" w:hint="eastAsia"/>
          <w:color w:val="333333"/>
          <w:sz w:val="32"/>
          <w:szCs w:val="32"/>
        </w:rPr>
        <w:t>万元；</w:t>
      </w:r>
      <w:r>
        <w:rPr>
          <w:rFonts w:ascii="仿宋_GB2312" w:eastAsia="仿宋_GB2312" w:hint="eastAsia"/>
          <w:sz w:val="32"/>
          <w:szCs w:val="32"/>
        </w:rPr>
        <w:t>公务用车购置及运行维护费支出决算为</w:t>
      </w:r>
      <w:r>
        <w:rPr>
          <w:rFonts w:ascii="仿宋_GB2312" w:eastAsia="仿宋_GB2312" w:hint="eastAsia"/>
          <w:sz w:val="32"/>
          <w:szCs w:val="32"/>
        </w:rPr>
        <w:t>113.99</w:t>
      </w:r>
      <w:r>
        <w:rPr>
          <w:rFonts w:ascii="仿宋_GB2312" w:eastAsia="仿宋_GB2312" w:hint="eastAsia"/>
          <w:sz w:val="32"/>
          <w:szCs w:val="32"/>
        </w:rPr>
        <w:t>万元，完成预算</w:t>
      </w:r>
      <w:r>
        <w:rPr>
          <w:rFonts w:ascii="仿宋_GB2312" w:eastAsia="仿宋_GB2312" w:hint="eastAsia"/>
          <w:sz w:val="32"/>
          <w:szCs w:val="32"/>
        </w:rPr>
        <w:t>74.52%</w:t>
      </w:r>
      <w:r>
        <w:rPr>
          <w:rFonts w:ascii="仿宋_GB2312" w:eastAsia="仿宋_GB2312" w:hint="eastAsia"/>
          <w:sz w:val="32"/>
          <w:szCs w:val="32"/>
        </w:rPr>
        <w:t>；公务接待费支出决算为</w:t>
      </w:r>
      <w:r>
        <w:rPr>
          <w:rFonts w:ascii="仿宋_GB2312" w:eastAsia="仿宋_GB2312" w:hint="eastAsia"/>
          <w:sz w:val="32"/>
          <w:szCs w:val="32"/>
        </w:rPr>
        <w:t>6.98</w:t>
      </w:r>
      <w:r>
        <w:rPr>
          <w:rFonts w:ascii="仿宋_GB2312" w:eastAsia="仿宋_GB2312" w:hint="eastAsia"/>
          <w:sz w:val="32"/>
          <w:szCs w:val="32"/>
        </w:rPr>
        <w:t>万元，完成预算</w:t>
      </w:r>
      <w:r>
        <w:rPr>
          <w:rFonts w:ascii="仿宋_GB2312" w:eastAsia="仿宋_GB2312" w:hint="eastAsia"/>
          <w:sz w:val="32"/>
          <w:szCs w:val="32"/>
        </w:rPr>
        <w:t>82.50%</w:t>
      </w:r>
      <w:r>
        <w:rPr>
          <w:rFonts w:ascii="仿宋_GB2312" w:eastAsia="仿宋_GB2312" w:hint="eastAsia"/>
          <w:sz w:val="32"/>
          <w:szCs w:val="32"/>
        </w:rPr>
        <w:t>。</w:t>
      </w:r>
      <w:r>
        <w:rPr>
          <w:rFonts w:ascii="仿宋_GB2312" w:eastAsia="仿宋_GB2312" w:hint="eastAsia"/>
          <w:sz w:val="32"/>
          <w:szCs w:val="32"/>
        </w:rPr>
        <w:t>2016</w:t>
      </w:r>
      <w:r>
        <w:rPr>
          <w:rFonts w:ascii="仿宋_GB2312" w:eastAsia="仿宋_GB2312" w:hint="eastAsia"/>
          <w:sz w:val="32"/>
          <w:szCs w:val="32"/>
        </w:rPr>
        <w:t>年度“三公”经费支出决算数小于预算数的主要原因是严格执行八项规定，从严控制“三公”经费，厉行节约。</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2016</w:t>
      </w:r>
      <w:r>
        <w:rPr>
          <w:rFonts w:ascii="仿宋_GB2312" w:eastAsia="仿宋_GB2312" w:hint="eastAsia"/>
          <w:sz w:val="32"/>
          <w:szCs w:val="32"/>
        </w:rPr>
        <w:t>年度“三公”经费财政拨款支出决算数比</w:t>
      </w:r>
      <w:r>
        <w:rPr>
          <w:rFonts w:ascii="仿宋_GB2312" w:eastAsia="仿宋_GB2312" w:hint="eastAsia"/>
          <w:sz w:val="32"/>
          <w:szCs w:val="32"/>
        </w:rPr>
        <w:t>2015</w:t>
      </w:r>
      <w:r>
        <w:rPr>
          <w:rFonts w:ascii="仿宋_GB2312" w:eastAsia="仿宋_GB2312" w:hint="eastAsia"/>
          <w:sz w:val="32"/>
          <w:szCs w:val="32"/>
        </w:rPr>
        <w:t>年减少</w:t>
      </w:r>
      <w:r>
        <w:rPr>
          <w:rFonts w:ascii="仿宋_GB2312" w:eastAsia="仿宋_GB2312" w:hint="eastAsia"/>
          <w:sz w:val="32"/>
          <w:szCs w:val="32"/>
        </w:rPr>
        <w:t>11.3</w:t>
      </w:r>
      <w:r>
        <w:rPr>
          <w:rFonts w:ascii="仿宋_GB2312" w:eastAsia="仿宋_GB2312" w:hint="eastAsia"/>
          <w:sz w:val="32"/>
          <w:szCs w:val="32"/>
        </w:rPr>
        <w:t>万元，增长</w:t>
      </w:r>
      <w:r>
        <w:rPr>
          <w:rFonts w:ascii="仿宋_GB2312" w:eastAsia="仿宋_GB2312" w:hint="eastAsia"/>
          <w:sz w:val="32"/>
          <w:szCs w:val="32"/>
        </w:rPr>
        <w:t>/</w:t>
      </w:r>
      <w:r>
        <w:rPr>
          <w:rFonts w:ascii="仿宋_GB2312" w:eastAsia="仿宋_GB2312" w:hint="eastAsia"/>
          <w:sz w:val="32"/>
          <w:szCs w:val="32"/>
        </w:rPr>
        <w:t>下降</w:t>
      </w:r>
      <w:r>
        <w:rPr>
          <w:rFonts w:ascii="仿宋_GB2312" w:eastAsia="仿宋_GB2312" w:hint="eastAsia"/>
          <w:sz w:val="32"/>
          <w:szCs w:val="32"/>
        </w:rPr>
        <w:t>8.54%</w:t>
      </w:r>
      <w:r>
        <w:rPr>
          <w:rFonts w:ascii="仿宋_GB2312" w:eastAsia="仿宋_GB2312" w:hint="eastAsia"/>
          <w:sz w:val="32"/>
          <w:szCs w:val="32"/>
        </w:rPr>
        <w:t>，其中：公务用车购置及运行维护费支出决算减少</w:t>
      </w:r>
      <w:r>
        <w:rPr>
          <w:rFonts w:ascii="仿宋_GB2312" w:eastAsia="仿宋_GB2312" w:hint="eastAsia"/>
          <w:sz w:val="32"/>
          <w:szCs w:val="32"/>
        </w:rPr>
        <w:t>11.28</w:t>
      </w:r>
      <w:r>
        <w:rPr>
          <w:rFonts w:ascii="仿宋_GB2312" w:eastAsia="仿宋_GB2312" w:hint="eastAsia"/>
          <w:sz w:val="32"/>
          <w:szCs w:val="32"/>
        </w:rPr>
        <w:t>万元，下降</w:t>
      </w:r>
      <w:r>
        <w:rPr>
          <w:rFonts w:ascii="仿宋_GB2312" w:eastAsia="仿宋_GB2312" w:hint="eastAsia"/>
          <w:sz w:val="32"/>
          <w:szCs w:val="32"/>
        </w:rPr>
        <w:t>9%</w:t>
      </w:r>
      <w:r>
        <w:rPr>
          <w:rFonts w:ascii="仿宋_GB2312" w:eastAsia="仿宋_GB2312" w:hint="eastAsia"/>
          <w:sz w:val="32"/>
          <w:szCs w:val="32"/>
        </w:rPr>
        <w:t>；公务接待费支</w:t>
      </w:r>
      <w:r>
        <w:rPr>
          <w:rFonts w:ascii="仿宋_GB2312" w:eastAsia="仿宋_GB2312" w:hint="eastAsia"/>
          <w:sz w:val="32"/>
          <w:szCs w:val="32"/>
        </w:rPr>
        <w:t>出决算减少</w:t>
      </w:r>
      <w:r>
        <w:rPr>
          <w:rFonts w:ascii="仿宋_GB2312" w:eastAsia="仿宋_GB2312" w:hint="eastAsia"/>
          <w:sz w:val="32"/>
          <w:szCs w:val="32"/>
        </w:rPr>
        <w:t>0.02</w:t>
      </w:r>
      <w:r>
        <w:rPr>
          <w:rFonts w:ascii="仿宋_GB2312" w:eastAsia="仿宋_GB2312" w:hint="eastAsia"/>
          <w:sz w:val="32"/>
          <w:szCs w:val="32"/>
        </w:rPr>
        <w:t>万元，下降</w:t>
      </w:r>
      <w:r>
        <w:rPr>
          <w:rFonts w:ascii="仿宋_GB2312" w:eastAsia="仿宋_GB2312" w:hint="eastAsia"/>
          <w:sz w:val="32"/>
          <w:szCs w:val="32"/>
        </w:rPr>
        <w:t>0.29%</w:t>
      </w:r>
      <w:r>
        <w:rPr>
          <w:rFonts w:ascii="仿宋_GB2312" w:eastAsia="仿宋_GB2312" w:hint="eastAsia"/>
          <w:sz w:val="32"/>
          <w:szCs w:val="32"/>
        </w:rPr>
        <w:t>。增减变动的主要原因严格执行八项规定，从严控制“三公”经费，厉行节约。</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（二）“三公”经费财政拨款支出决算具体情况说明</w:t>
      </w:r>
    </w:p>
    <w:p w:rsidR="00000000" w:rsidRDefault="003C7F2E">
      <w:pPr>
        <w:spacing w:line="578" w:lineRule="exact"/>
        <w:ind w:firstLineChars="200" w:firstLine="640"/>
        <w:rPr>
          <w:rFonts w:ascii="仿宋_GB2312" w:eastAsia="仿宋_GB2312" w:hint="eastAsia"/>
          <w:sz w:val="32"/>
          <w:szCs w:val="32"/>
        </w:rPr>
      </w:pPr>
      <w:r>
        <w:rPr>
          <w:rFonts w:ascii="仿宋_GB2312" w:eastAsia="仿宋_GB2312" w:hint="eastAsia"/>
          <w:noProof/>
          <w:sz w:val="32"/>
          <w:szCs w:val="32"/>
        </w:rPr>
        <w:drawing>
          <wp:anchor distT="0" distB="0" distL="114300" distR="114300" simplePos="0" relativeHeight="251660288" behindDoc="1" locked="0" layoutInCell="1" allowOverlap="1">
            <wp:simplePos x="0" y="0"/>
            <wp:positionH relativeFrom="column">
              <wp:posOffset>3042920</wp:posOffset>
            </wp:positionH>
            <wp:positionV relativeFrom="paragraph">
              <wp:posOffset>111125</wp:posOffset>
            </wp:positionV>
            <wp:extent cx="3087370" cy="2378075"/>
            <wp:effectExtent l="0" t="0" r="1270" b="3175"/>
            <wp:wrapSquare wrapText="bothSides"/>
            <wp:docPr id="15" name="对象 1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r w:rsidR="005633A3">
        <w:rPr>
          <w:rFonts w:ascii="仿宋_GB2312" w:eastAsia="仿宋_GB2312" w:hint="eastAsia"/>
          <w:sz w:val="32"/>
          <w:szCs w:val="32"/>
        </w:rPr>
        <w:t>2016</w:t>
      </w:r>
      <w:r w:rsidR="005633A3">
        <w:rPr>
          <w:rFonts w:ascii="仿宋_GB2312" w:eastAsia="仿宋_GB2312" w:hint="eastAsia"/>
          <w:sz w:val="32"/>
          <w:szCs w:val="32"/>
        </w:rPr>
        <w:t>年度“三公”经费财政拨款支出决算中，公务用车购置及运行维护费支出决算</w:t>
      </w:r>
      <w:r w:rsidR="005633A3">
        <w:rPr>
          <w:rFonts w:ascii="仿宋_GB2312" w:eastAsia="仿宋_GB2312" w:hint="eastAsia"/>
          <w:sz w:val="32"/>
          <w:szCs w:val="32"/>
        </w:rPr>
        <w:t>113.99</w:t>
      </w:r>
      <w:r w:rsidR="005633A3">
        <w:rPr>
          <w:rFonts w:ascii="仿宋_GB2312" w:eastAsia="仿宋_GB2312" w:hint="eastAsia"/>
          <w:sz w:val="32"/>
          <w:szCs w:val="32"/>
        </w:rPr>
        <w:t>万元，占</w:t>
      </w:r>
      <w:r w:rsidR="005633A3">
        <w:rPr>
          <w:rFonts w:ascii="仿宋_GB2312" w:eastAsia="仿宋_GB2312" w:hint="eastAsia"/>
          <w:sz w:val="32"/>
          <w:szCs w:val="32"/>
        </w:rPr>
        <w:t>94.23%</w:t>
      </w:r>
      <w:r w:rsidR="005633A3">
        <w:rPr>
          <w:rFonts w:ascii="仿宋_GB2312" w:eastAsia="仿宋_GB2312" w:hint="eastAsia"/>
          <w:sz w:val="32"/>
          <w:szCs w:val="32"/>
        </w:rPr>
        <w:t>；公务接待费支出决算</w:t>
      </w:r>
      <w:r w:rsidR="005633A3">
        <w:rPr>
          <w:rFonts w:ascii="仿宋_GB2312" w:eastAsia="仿宋_GB2312" w:hint="eastAsia"/>
          <w:sz w:val="32"/>
          <w:szCs w:val="32"/>
        </w:rPr>
        <w:t>6.98</w:t>
      </w:r>
      <w:r w:rsidR="005633A3">
        <w:rPr>
          <w:rFonts w:ascii="仿宋_GB2312" w:eastAsia="仿宋_GB2312" w:hint="eastAsia"/>
          <w:sz w:val="32"/>
          <w:szCs w:val="32"/>
        </w:rPr>
        <w:t>万元，占</w:t>
      </w:r>
      <w:r w:rsidR="005633A3">
        <w:rPr>
          <w:rFonts w:ascii="仿宋_GB2312" w:eastAsia="仿宋_GB2312" w:hint="eastAsia"/>
          <w:sz w:val="32"/>
          <w:szCs w:val="32"/>
        </w:rPr>
        <w:t>5.77%</w:t>
      </w:r>
      <w:r w:rsidR="005633A3">
        <w:rPr>
          <w:rFonts w:ascii="仿宋_GB2312" w:eastAsia="仿宋_GB2312" w:hint="eastAsia"/>
          <w:sz w:val="32"/>
          <w:szCs w:val="32"/>
        </w:rPr>
        <w:t>。具体情况如下：</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（饼状图）</w:t>
      </w:r>
    </w:p>
    <w:p w:rsidR="00000000" w:rsidRDefault="005633A3">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1.</w:t>
      </w:r>
      <w:r>
        <w:rPr>
          <w:rFonts w:ascii="仿宋_GB2312" w:eastAsia="仿宋_GB2312" w:hint="eastAsia"/>
          <w:color w:val="000000"/>
          <w:sz w:val="32"/>
          <w:szCs w:val="32"/>
        </w:rPr>
        <w:t>因公出国（境）经费</w:t>
      </w:r>
    </w:p>
    <w:p w:rsidR="00000000" w:rsidRDefault="005633A3">
      <w:pPr>
        <w:spacing w:line="600" w:lineRule="exact"/>
        <w:ind w:firstLine="640"/>
        <w:rPr>
          <w:rFonts w:ascii="仿宋_GB2312" w:eastAsia="仿宋_GB2312" w:hint="eastAsia"/>
          <w:sz w:val="32"/>
          <w:szCs w:val="32"/>
        </w:rPr>
      </w:pPr>
      <w:r>
        <w:rPr>
          <w:rFonts w:ascii="仿宋_GB2312" w:eastAsia="仿宋_GB2312"/>
          <w:color w:val="000000"/>
          <w:sz w:val="32"/>
          <w:szCs w:val="32"/>
        </w:rPr>
        <w:lastRenderedPageBreak/>
        <w:t>201</w:t>
      </w:r>
      <w:r>
        <w:rPr>
          <w:rFonts w:ascii="仿宋_GB2312" w:eastAsia="仿宋_GB2312" w:hint="eastAsia"/>
          <w:color w:val="000000"/>
          <w:sz w:val="32"/>
          <w:szCs w:val="32"/>
        </w:rPr>
        <w:t>6</w:t>
      </w:r>
      <w:r>
        <w:rPr>
          <w:rFonts w:ascii="仿宋_GB2312" w:eastAsia="仿宋_GB2312" w:hint="eastAsia"/>
          <w:color w:val="000000"/>
          <w:sz w:val="32"/>
          <w:szCs w:val="32"/>
        </w:rPr>
        <w:t>年因公出国（境）费</w:t>
      </w:r>
      <w:r>
        <w:rPr>
          <w:rFonts w:ascii="仿宋_GB2312" w:eastAsia="仿宋_GB2312" w:hint="eastAsia"/>
          <w:color w:val="000000"/>
          <w:sz w:val="32"/>
          <w:szCs w:val="32"/>
        </w:rPr>
        <w:t>0</w:t>
      </w:r>
      <w:r>
        <w:rPr>
          <w:rFonts w:ascii="仿宋_GB2312" w:eastAsia="仿宋_GB2312" w:hint="eastAsia"/>
          <w:color w:val="000000"/>
          <w:sz w:val="32"/>
          <w:szCs w:val="32"/>
        </w:rPr>
        <w:t>万元。全年安排因公出国（境）团组</w:t>
      </w:r>
      <w:r>
        <w:rPr>
          <w:rFonts w:ascii="仿宋_GB2312" w:eastAsia="仿宋_GB2312" w:hint="eastAsia"/>
          <w:color w:val="000000"/>
          <w:sz w:val="32"/>
          <w:szCs w:val="32"/>
        </w:rPr>
        <w:t>0</w:t>
      </w:r>
      <w:r>
        <w:rPr>
          <w:rFonts w:ascii="仿宋_GB2312" w:eastAsia="仿宋_GB2312" w:hint="eastAsia"/>
          <w:color w:val="000000"/>
          <w:sz w:val="32"/>
          <w:szCs w:val="32"/>
        </w:rPr>
        <w:t>次，出国（境）</w:t>
      </w:r>
      <w:r>
        <w:rPr>
          <w:rFonts w:ascii="仿宋_GB2312" w:eastAsia="仿宋_GB2312" w:hint="eastAsia"/>
          <w:color w:val="000000"/>
          <w:sz w:val="32"/>
          <w:szCs w:val="32"/>
        </w:rPr>
        <w:t>0</w:t>
      </w:r>
      <w:r>
        <w:rPr>
          <w:rFonts w:ascii="仿宋_GB2312" w:eastAsia="仿宋_GB2312" w:hint="eastAsia"/>
          <w:color w:val="000000"/>
          <w:sz w:val="32"/>
          <w:szCs w:val="32"/>
        </w:rPr>
        <w:t>人。</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2.</w:t>
      </w:r>
      <w:r>
        <w:rPr>
          <w:rFonts w:ascii="仿宋_GB2312" w:eastAsia="仿宋_GB2312" w:hint="eastAsia"/>
          <w:sz w:val="32"/>
          <w:szCs w:val="32"/>
        </w:rPr>
        <w:t>公务用车购置及运行维护费</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sz w:val="32"/>
          <w:szCs w:val="32"/>
        </w:rPr>
        <w:t>201</w:t>
      </w:r>
      <w:r>
        <w:rPr>
          <w:rFonts w:ascii="仿宋_GB2312" w:eastAsia="仿宋_GB2312" w:hint="eastAsia"/>
          <w:sz w:val="32"/>
          <w:szCs w:val="32"/>
        </w:rPr>
        <w:t>6</w:t>
      </w:r>
      <w:r>
        <w:rPr>
          <w:rFonts w:ascii="仿宋_GB2312" w:eastAsia="仿宋_GB2312" w:hint="eastAsia"/>
          <w:sz w:val="32"/>
          <w:szCs w:val="32"/>
        </w:rPr>
        <w:t>年公务用车购置及运行维</w:t>
      </w:r>
      <w:r>
        <w:rPr>
          <w:rFonts w:ascii="仿宋_GB2312" w:eastAsia="仿宋_GB2312" w:hint="eastAsia"/>
          <w:sz w:val="32"/>
          <w:szCs w:val="32"/>
        </w:rPr>
        <w:t>护费</w:t>
      </w:r>
      <w:r>
        <w:rPr>
          <w:rFonts w:ascii="仿宋_GB2312" w:eastAsia="仿宋_GB2312" w:hint="eastAsia"/>
          <w:sz w:val="32"/>
          <w:szCs w:val="32"/>
        </w:rPr>
        <w:t>113.99</w:t>
      </w:r>
      <w:r>
        <w:rPr>
          <w:rFonts w:ascii="仿宋_GB2312" w:eastAsia="仿宋_GB2312" w:hint="eastAsia"/>
          <w:sz w:val="32"/>
          <w:szCs w:val="32"/>
        </w:rPr>
        <w:t>万元</w:t>
      </w:r>
      <w:r>
        <w:rPr>
          <w:rFonts w:ascii="仿宋_GB2312" w:eastAsia="仿宋_GB2312" w:hint="eastAsia"/>
          <w:sz w:val="32"/>
          <w:szCs w:val="32"/>
        </w:rPr>
        <w:t>,</w:t>
      </w:r>
      <w:r>
        <w:rPr>
          <w:rFonts w:ascii="仿宋_GB2312" w:eastAsia="仿宋_GB2312" w:hint="eastAsia"/>
          <w:sz w:val="32"/>
          <w:szCs w:val="32"/>
        </w:rPr>
        <w:t>其中：</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截至</w:t>
      </w:r>
      <w:r>
        <w:rPr>
          <w:rFonts w:ascii="仿宋_GB2312" w:eastAsia="仿宋_GB2312" w:hint="eastAsia"/>
          <w:sz w:val="32"/>
          <w:szCs w:val="32"/>
        </w:rPr>
        <w:t>2016</w:t>
      </w:r>
      <w:r>
        <w:rPr>
          <w:rFonts w:ascii="仿宋_GB2312" w:eastAsia="仿宋_GB2312" w:hint="eastAsia"/>
          <w:sz w:val="32"/>
          <w:szCs w:val="32"/>
        </w:rPr>
        <w:t>年</w:t>
      </w:r>
      <w:r>
        <w:rPr>
          <w:rFonts w:ascii="仿宋_GB2312" w:eastAsia="仿宋_GB2312" w:hint="eastAsia"/>
          <w:sz w:val="32"/>
          <w:szCs w:val="32"/>
        </w:rPr>
        <w:t>12</w:t>
      </w:r>
      <w:r>
        <w:rPr>
          <w:rFonts w:ascii="仿宋_GB2312" w:eastAsia="仿宋_GB2312" w:hint="eastAsia"/>
          <w:sz w:val="32"/>
          <w:szCs w:val="32"/>
        </w:rPr>
        <w:t>月底，单位共有公务用车</w:t>
      </w:r>
      <w:r>
        <w:rPr>
          <w:rFonts w:ascii="仿宋_GB2312" w:eastAsia="仿宋_GB2312" w:hint="eastAsia"/>
          <w:sz w:val="32"/>
          <w:szCs w:val="32"/>
        </w:rPr>
        <w:t>41</w:t>
      </w:r>
      <w:r>
        <w:rPr>
          <w:rFonts w:ascii="仿宋_GB2312" w:eastAsia="仿宋_GB2312" w:hint="eastAsia"/>
          <w:sz w:val="32"/>
          <w:szCs w:val="32"/>
        </w:rPr>
        <w:t>辆，其中：轿车</w:t>
      </w:r>
      <w:r>
        <w:rPr>
          <w:rFonts w:ascii="仿宋_GB2312" w:eastAsia="仿宋_GB2312" w:hint="eastAsia"/>
          <w:sz w:val="32"/>
          <w:szCs w:val="32"/>
        </w:rPr>
        <w:t>12</w:t>
      </w:r>
      <w:r>
        <w:rPr>
          <w:rFonts w:ascii="仿宋_GB2312" w:eastAsia="仿宋_GB2312" w:hint="eastAsia"/>
          <w:sz w:val="32"/>
          <w:szCs w:val="32"/>
        </w:rPr>
        <w:t>辆、越野车</w:t>
      </w:r>
      <w:r>
        <w:rPr>
          <w:rFonts w:ascii="仿宋_GB2312" w:eastAsia="仿宋_GB2312" w:hint="eastAsia"/>
          <w:sz w:val="32"/>
          <w:szCs w:val="32"/>
        </w:rPr>
        <w:t>24</w:t>
      </w:r>
      <w:r>
        <w:rPr>
          <w:rFonts w:ascii="仿宋_GB2312" w:eastAsia="仿宋_GB2312" w:hint="eastAsia"/>
          <w:sz w:val="32"/>
          <w:szCs w:val="32"/>
        </w:rPr>
        <w:t>辆、载客汽车</w:t>
      </w:r>
      <w:r>
        <w:rPr>
          <w:rFonts w:ascii="仿宋_GB2312" w:eastAsia="仿宋_GB2312" w:hint="eastAsia"/>
          <w:sz w:val="32"/>
          <w:szCs w:val="32"/>
        </w:rPr>
        <w:t>5</w:t>
      </w:r>
      <w:r>
        <w:rPr>
          <w:rFonts w:ascii="仿宋_GB2312" w:eastAsia="仿宋_GB2312" w:hint="eastAsia"/>
          <w:sz w:val="32"/>
          <w:szCs w:val="32"/>
        </w:rPr>
        <w:t>辆。</w:t>
      </w:r>
    </w:p>
    <w:p w:rsidR="00000000" w:rsidRDefault="005633A3">
      <w:pPr>
        <w:spacing w:line="578" w:lineRule="exact"/>
        <w:ind w:firstLineChars="200" w:firstLine="640"/>
        <w:rPr>
          <w:rFonts w:ascii="仿宋_GB2312" w:eastAsia="仿宋_GB2312"/>
          <w:sz w:val="32"/>
          <w:szCs w:val="32"/>
        </w:rPr>
      </w:pPr>
      <w:r>
        <w:rPr>
          <w:rFonts w:ascii="仿宋_GB2312" w:eastAsia="仿宋_GB2312" w:hint="eastAsia"/>
          <w:sz w:val="32"/>
          <w:szCs w:val="32"/>
        </w:rPr>
        <w:t>公务用车运行维护费支出</w:t>
      </w:r>
      <w:r>
        <w:rPr>
          <w:rFonts w:ascii="仿宋_GB2312" w:eastAsia="仿宋_GB2312" w:hint="eastAsia"/>
          <w:sz w:val="32"/>
          <w:szCs w:val="32"/>
        </w:rPr>
        <w:t>113.99</w:t>
      </w:r>
      <w:r>
        <w:rPr>
          <w:rFonts w:ascii="仿宋_GB2312" w:eastAsia="仿宋_GB2312" w:hint="eastAsia"/>
          <w:sz w:val="32"/>
          <w:szCs w:val="32"/>
        </w:rPr>
        <w:t>万元。主要用于森林城市创建、康养年会、森林资源保护、植树造林等所需的公务用车燃料费、维修费、过路过桥费、保险费等支出。</w:t>
      </w:r>
    </w:p>
    <w:p w:rsidR="00000000" w:rsidRDefault="005633A3">
      <w:pPr>
        <w:spacing w:line="578"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公务接待费</w:t>
      </w:r>
    </w:p>
    <w:p w:rsidR="00000000" w:rsidRDefault="005633A3">
      <w:pPr>
        <w:spacing w:line="578" w:lineRule="exact"/>
        <w:ind w:firstLineChars="200" w:firstLine="640"/>
        <w:rPr>
          <w:rFonts w:ascii="仿宋_GB2312" w:eastAsia="仿宋_GB2312"/>
          <w:sz w:val="32"/>
          <w:szCs w:val="32"/>
        </w:rPr>
      </w:pPr>
      <w:r>
        <w:rPr>
          <w:rFonts w:ascii="仿宋_GB2312" w:eastAsia="仿宋_GB2312"/>
          <w:sz w:val="32"/>
          <w:szCs w:val="32"/>
        </w:rPr>
        <w:t>201</w:t>
      </w:r>
      <w:r>
        <w:rPr>
          <w:rFonts w:ascii="仿宋_GB2312" w:eastAsia="仿宋_GB2312" w:hint="eastAsia"/>
          <w:sz w:val="32"/>
          <w:szCs w:val="32"/>
        </w:rPr>
        <w:t>6</w:t>
      </w:r>
      <w:r>
        <w:rPr>
          <w:rFonts w:ascii="仿宋_GB2312" w:eastAsia="仿宋_GB2312" w:hint="eastAsia"/>
          <w:sz w:val="32"/>
          <w:szCs w:val="32"/>
        </w:rPr>
        <w:t>年公务接待费</w:t>
      </w:r>
      <w:r>
        <w:rPr>
          <w:rFonts w:ascii="仿宋_GB2312" w:eastAsia="仿宋_GB2312" w:hint="eastAsia"/>
          <w:sz w:val="32"/>
          <w:szCs w:val="32"/>
        </w:rPr>
        <w:t>6.98</w:t>
      </w:r>
      <w:r>
        <w:rPr>
          <w:rFonts w:ascii="仿宋_GB2312" w:eastAsia="仿宋_GB2312" w:hint="eastAsia"/>
          <w:sz w:val="32"/>
          <w:szCs w:val="32"/>
        </w:rPr>
        <w:t>万元。主要用于执行公务、开展业务活动开支的交通费、住宿费、用餐费等。国内公务接待</w:t>
      </w:r>
      <w:r>
        <w:rPr>
          <w:rFonts w:ascii="仿宋_GB2312" w:eastAsia="仿宋_GB2312" w:hint="eastAsia"/>
          <w:sz w:val="32"/>
          <w:szCs w:val="32"/>
        </w:rPr>
        <w:t>95</w:t>
      </w:r>
      <w:r>
        <w:rPr>
          <w:rFonts w:ascii="仿宋_GB2312" w:eastAsia="仿宋_GB2312" w:hint="eastAsia"/>
          <w:sz w:val="32"/>
          <w:szCs w:val="32"/>
        </w:rPr>
        <w:t>批次，</w:t>
      </w:r>
      <w:r>
        <w:rPr>
          <w:rFonts w:ascii="仿宋_GB2312" w:eastAsia="仿宋_GB2312" w:hint="eastAsia"/>
          <w:sz w:val="32"/>
          <w:szCs w:val="32"/>
        </w:rPr>
        <w:t>751</w:t>
      </w:r>
      <w:r>
        <w:rPr>
          <w:rFonts w:ascii="仿宋_GB2312" w:eastAsia="仿宋_GB2312" w:hint="eastAsia"/>
          <w:sz w:val="32"/>
          <w:szCs w:val="32"/>
        </w:rPr>
        <w:t>人，共计支出</w:t>
      </w:r>
      <w:r>
        <w:rPr>
          <w:rFonts w:ascii="仿宋_GB2312" w:eastAsia="仿宋_GB2312" w:hint="eastAsia"/>
          <w:sz w:val="32"/>
          <w:szCs w:val="32"/>
        </w:rPr>
        <w:t>6.98</w:t>
      </w:r>
      <w:r>
        <w:rPr>
          <w:rFonts w:ascii="仿宋_GB2312" w:eastAsia="仿宋_GB2312" w:hint="eastAsia"/>
          <w:sz w:val="32"/>
          <w:szCs w:val="32"/>
        </w:rPr>
        <w:t>万元，具体内容包括：森林城市创建、康养年会、森林资源保护、植树造林接待。</w:t>
      </w:r>
      <w:r>
        <w:rPr>
          <w:rFonts w:ascii="仿宋_GB2312" w:eastAsia="仿宋_GB2312" w:hint="eastAsia"/>
          <w:sz w:val="32"/>
          <w:szCs w:val="32"/>
        </w:rPr>
        <w:t>其中：外事接待</w:t>
      </w:r>
      <w:r>
        <w:rPr>
          <w:rFonts w:ascii="仿宋_GB2312" w:eastAsia="仿宋_GB2312" w:hint="eastAsia"/>
          <w:sz w:val="32"/>
          <w:szCs w:val="32"/>
        </w:rPr>
        <w:t>0</w:t>
      </w:r>
      <w:r>
        <w:rPr>
          <w:rFonts w:ascii="仿宋_GB2312" w:eastAsia="仿宋_GB2312" w:hint="eastAsia"/>
          <w:sz w:val="32"/>
          <w:szCs w:val="32"/>
        </w:rPr>
        <w:t>批次，</w:t>
      </w:r>
      <w:r>
        <w:rPr>
          <w:rFonts w:ascii="仿宋_GB2312" w:eastAsia="仿宋_GB2312" w:hint="eastAsia"/>
          <w:sz w:val="32"/>
          <w:szCs w:val="32"/>
        </w:rPr>
        <w:t>0</w:t>
      </w:r>
      <w:r>
        <w:rPr>
          <w:rFonts w:ascii="仿宋_GB2312" w:eastAsia="仿宋_GB2312" w:hint="eastAsia"/>
          <w:sz w:val="32"/>
          <w:szCs w:val="32"/>
        </w:rPr>
        <w:t>人，共计支出</w:t>
      </w:r>
      <w:r>
        <w:rPr>
          <w:rFonts w:ascii="仿宋_GB2312" w:eastAsia="仿宋_GB2312" w:hint="eastAsia"/>
          <w:sz w:val="32"/>
          <w:szCs w:val="32"/>
        </w:rPr>
        <w:t>0</w:t>
      </w:r>
      <w:r>
        <w:rPr>
          <w:rFonts w:ascii="仿宋_GB2312" w:eastAsia="仿宋_GB2312" w:hint="eastAsia"/>
          <w:sz w:val="32"/>
          <w:szCs w:val="32"/>
        </w:rPr>
        <w:t>万元。</w:t>
      </w:r>
    </w:p>
    <w:p w:rsidR="00000000" w:rsidRDefault="005633A3">
      <w:pPr>
        <w:spacing w:line="578" w:lineRule="exact"/>
        <w:ind w:firstLineChars="200" w:firstLine="640"/>
        <w:rPr>
          <w:rFonts w:ascii="黑体" w:eastAsia="黑体"/>
          <w:sz w:val="32"/>
          <w:szCs w:val="32"/>
        </w:rPr>
      </w:pPr>
      <w:r>
        <w:rPr>
          <w:rFonts w:ascii="黑体" w:eastAsia="黑体" w:hint="eastAsia"/>
          <w:sz w:val="32"/>
          <w:szCs w:val="32"/>
        </w:rPr>
        <w:t>八、其他重要事项的情况说明</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（一）机关运行经费支出情况</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2016</w:t>
      </w:r>
      <w:r>
        <w:rPr>
          <w:rFonts w:ascii="仿宋_GB2312" w:eastAsia="仿宋_GB2312" w:hint="eastAsia"/>
          <w:sz w:val="32"/>
          <w:szCs w:val="32"/>
        </w:rPr>
        <w:t>年度，攀枝花市林业局机关运行经费支出</w:t>
      </w:r>
      <w:r>
        <w:rPr>
          <w:rFonts w:ascii="仿宋_GB2312" w:eastAsia="仿宋_GB2312" w:hint="eastAsia"/>
          <w:sz w:val="32"/>
          <w:szCs w:val="32"/>
        </w:rPr>
        <w:t>301.45</w:t>
      </w:r>
      <w:r>
        <w:rPr>
          <w:rFonts w:ascii="仿宋_GB2312" w:eastAsia="仿宋_GB2312" w:hint="eastAsia"/>
          <w:sz w:val="32"/>
          <w:szCs w:val="32"/>
        </w:rPr>
        <w:t>万元，比</w:t>
      </w:r>
      <w:r>
        <w:rPr>
          <w:rFonts w:ascii="仿宋_GB2312" w:eastAsia="仿宋_GB2312" w:hint="eastAsia"/>
          <w:sz w:val="32"/>
          <w:szCs w:val="32"/>
        </w:rPr>
        <w:t>2015</w:t>
      </w:r>
      <w:r>
        <w:rPr>
          <w:rFonts w:ascii="仿宋_GB2312" w:eastAsia="仿宋_GB2312" w:hint="eastAsia"/>
          <w:sz w:val="32"/>
          <w:szCs w:val="32"/>
        </w:rPr>
        <w:t>年增加</w:t>
      </w:r>
      <w:r>
        <w:rPr>
          <w:rFonts w:ascii="仿宋_GB2312" w:eastAsia="仿宋_GB2312" w:hint="eastAsia"/>
          <w:sz w:val="32"/>
          <w:szCs w:val="32"/>
        </w:rPr>
        <w:t>0.48</w:t>
      </w:r>
      <w:r>
        <w:rPr>
          <w:rFonts w:ascii="仿宋_GB2312" w:eastAsia="仿宋_GB2312" w:hint="eastAsia"/>
          <w:sz w:val="32"/>
          <w:szCs w:val="32"/>
        </w:rPr>
        <w:t>万元，增长</w:t>
      </w:r>
      <w:r>
        <w:rPr>
          <w:rFonts w:ascii="仿宋_GB2312" w:eastAsia="仿宋_GB2312" w:hint="eastAsia"/>
          <w:sz w:val="32"/>
          <w:szCs w:val="32"/>
        </w:rPr>
        <w:t>0.16%</w:t>
      </w:r>
      <w:r>
        <w:rPr>
          <w:rFonts w:ascii="仿宋_GB2312" w:eastAsia="仿宋_GB2312" w:hint="eastAsia"/>
          <w:sz w:val="32"/>
          <w:szCs w:val="32"/>
        </w:rPr>
        <w:t>。</w:t>
      </w:r>
    </w:p>
    <w:p w:rsidR="00000000" w:rsidRDefault="005633A3">
      <w:pPr>
        <w:spacing w:line="578" w:lineRule="exact"/>
        <w:ind w:firstLineChars="200" w:firstLine="640"/>
        <w:rPr>
          <w:rFonts w:ascii="仿宋_GB2312" w:eastAsia="仿宋_GB2312"/>
          <w:sz w:val="32"/>
          <w:szCs w:val="32"/>
        </w:rPr>
      </w:pPr>
      <w:r>
        <w:rPr>
          <w:rFonts w:ascii="仿宋_GB2312" w:eastAsia="仿宋_GB2312" w:hint="eastAsia"/>
          <w:sz w:val="32"/>
          <w:szCs w:val="32"/>
        </w:rPr>
        <w:t>（二）政府采购支出情况</w:t>
      </w:r>
    </w:p>
    <w:p w:rsidR="00000000" w:rsidRDefault="005633A3">
      <w:pPr>
        <w:spacing w:line="578" w:lineRule="exact"/>
        <w:ind w:firstLineChars="200" w:firstLine="640"/>
        <w:rPr>
          <w:rFonts w:ascii="仿宋_GB2312" w:eastAsia="仿宋_GB2312"/>
          <w:sz w:val="32"/>
          <w:szCs w:val="32"/>
        </w:rPr>
      </w:pPr>
      <w:r>
        <w:rPr>
          <w:rFonts w:ascii="仿宋_GB2312" w:eastAsia="仿宋_GB2312" w:hint="eastAsia"/>
          <w:sz w:val="32"/>
          <w:szCs w:val="32"/>
        </w:rPr>
        <w:t>2016</w:t>
      </w:r>
      <w:r>
        <w:rPr>
          <w:rFonts w:ascii="仿宋_GB2312" w:eastAsia="仿宋_GB2312" w:hint="eastAsia"/>
          <w:sz w:val="32"/>
          <w:szCs w:val="32"/>
        </w:rPr>
        <w:t>年度，攀枝花市林业局政府采购支出总额</w:t>
      </w:r>
      <w:r>
        <w:rPr>
          <w:rFonts w:ascii="仿宋_GB2312" w:eastAsia="仿宋_GB2312" w:hint="eastAsia"/>
          <w:sz w:val="32"/>
          <w:szCs w:val="32"/>
        </w:rPr>
        <w:t>218.4</w:t>
      </w:r>
      <w:r>
        <w:rPr>
          <w:rFonts w:ascii="仿宋_GB2312" w:eastAsia="仿宋_GB2312" w:hint="eastAsia"/>
          <w:sz w:val="32"/>
          <w:szCs w:val="32"/>
        </w:rPr>
        <w:t>万元，</w:t>
      </w:r>
      <w:r>
        <w:rPr>
          <w:rFonts w:ascii="仿宋_GB2312" w:eastAsia="仿宋_GB2312" w:hint="eastAsia"/>
          <w:sz w:val="32"/>
          <w:szCs w:val="32"/>
        </w:rPr>
        <w:lastRenderedPageBreak/>
        <w:t>其中：政府采购货物支出</w:t>
      </w:r>
      <w:r>
        <w:rPr>
          <w:rFonts w:ascii="仿宋_GB2312" w:eastAsia="仿宋_GB2312" w:hint="eastAsia"/>
          <w:sz w:val="32"/>
          <w:szCs w:val="32"/>
        </w:rPr>
        <w:t>100.40</w:t>
      </w:r>
      <w:r>
        <w:rPr>
          <w:rFonts w:ascii="仿宋_GB2312" w:eastAsia="仿宋_GB2312" w:hint="eastAsia"/>
          <w:sz w:val="32"/>
          <w:szCs w:val="32"/>
        </w:rPr>
        <w:t>万元、政府采购服务支出</w:t>
      </w:r>
      <w:r>
        <w:rPr>
          <w:rFonts w:ascii="仿宋_GB2312" w:eastAsia="仿宋_GB2312" w:hint="eastAsia"/>
          <w:sz w:val="32"/>
          <w:szCs w:val="32"/>
        </w:rPr>
        <w:t>118</w:t>
      </w:r>
      <w:r>
        <w:rPr>
          <w:rFonts w:ascii="仿宋_GB2312" w:eastAsia="仿宋_GB2312" w:hint="eastAsia"/>
          <w:sz w:val="32"/>
          <w:szCs w:val="32"/>
        </w:rPr>
        <w:t>万元。政府采购货物主要用于办公用品和防火物资的采购，政府采购服务的内容是四川攀枝花苏铁国家级自然保护区管理局修建科普区环形便道建设。</w:t>
      </w:r>
    </w:p>
    <w:p w:rsidR="00000000" w:rsidRDefault="005633A3">
      <w:pPr>
        <w:spacing w:line="578" w:lineRule="exact"/>
        <w:ind w:firstLineChars="200" w:firstLine="640"/>
        <w:rPr>
          <w:rFonts w:ascii="仿宋_GB2312" w:eastAsia="仿宋_GB2312"/>
          <w:sz w:val="32"/>
          <w:szCs w:val="32"/>
        </w:rPr>
      </w:pPr>
      <w:r>
        <w:rPr>
          <w:rFonts w:ascii="仿宋_GB2312" w:eastAsia="仿宋_GB2312" w:hint="eastAsia"/>
          <w:sz w:val="32"/>
          <w:szCs w:val="32"/>
        </w:rPr>
        <w:t>（三）国有资产占有使</w:t>
      </w:r>
      <w:r>
        <w:rPr>
          <w:rFonts w:ascii="仿宋_GB2312" w:eastAsia="仿宋_GB2312" w:hint="eastAsia"/>
          <w:sz w:val="32"/>
          <w:szCs w:val="32"/>
        </w:rPr>
        <w:t>用情况</w:t>
      </w:r>
    </w:p>
    <w:p w:rsidR="00000000" w:rsidRDefault="005633A3">
      <w:pPr>
        <w:autoSpaceDE w:val="0"/>
        <w:autoSpaceDN w:val="0"/>
        <w:adjustRightInd w:val="0"/>
        <w:spacing w:line="600" w:lineRule="exact"/>
        <w:ind w:firstLineChars="200" w:firstLine="640"/>
        <w:jc w:val="left"/>
        <w:rPr>
          <w:rFonts w:ascii="仿宋_GB2312" w:eastAsia="仿宋_GB2312" w:hint="eastAsia"/>
          <w:sz w:val="32"/>
          <w:szCs w:val="32"/>
        </w:rPr>
      </w:pPr>
      <w:r>
        <w:rPr>
          <w:rFonts w:ascii="仿宋_GB2312" w:eastAsia="仿宋_GB2312" w:hint="eastAsia"/>
          <w:sz w:val="32"/>
          <w:szCs w:val="32"/>
        </w:rPr>
        <w:t>截至</w:t>
      </w:r>
      <w:r>
        <w:rPr>
          <w:rFonts w:ascii="仿宋_GB2312" w:eastAsia="仿宋_GB2312" w:hint="eastAsia"/>
          <w:sz w:val="32"/>
          <w:szCs w:val="32"/>
        </w:rPr>
        <w:t>2016</w:t>
      </w:r>
      <w:r>
        <w:rPr>
          <w:rFonts w:ascii="仿宋_GB2312" w:eastAsia="仿宋_GB2312" w:hint="eastAsia"/>
          <w:sz w:val="32"/>
          <w:szCs w:val="32"/>
        </w:rPr>
        <w:t>年</w:t>
      </w:r>
      <w:r>
        <w:rPr>
          <w:rFonts w:ascii="仿宋_GB2312" w:eastAsia="仿宋_GB2312" w:hint="eastAsia"/>
          <w:sz w:val="32"/>
          <w:szCs w:val="32"/>
        </w:rPr>
        <w:t>12</w:t>
      </w:r>
      <w:r>
        <w:rPr>
          <w:rFonts w:ascii="仿宋_GB2312" w:eastAsia="仿宋_GB2312" w:hint="eastAsia"/>
          <w:sz w:val="32"/>
          <w:szCs w:val="32"/>
        </w:rPr>
        <w:t>月</w:t>
      </w:r>
      <w:r>
        <w:rPr>
          <w:rFonts w:ascii="仿宋_GB2312" w:eastAsia="仿宋_GB2312" w:hint="eastAsia"/>
          <w:sz w:val="32"/>
          <w:szCs w:val="32"/>
        </w:rPr>
        <w:t>31</w:t>
      </w:r>
      <w:r>
        <w:rPr>
          <w:rFonts w:ascii="仿宋_GB2312" w:eastAsia="仿宋_GB2312" w:hint="eastAsia"/>
          <w:sz w:val="32"/>
          <w:szCs w:val="32"/>
        </w:rPr>
        <w:t>日，攀枝花市林业局公有车辆</w:t>
      </w:r>
      <w:r>
        <w:rPr>
          <w:rFonts w:ascii="仿宋_GB2312" w:eastAsia="仿宋_GB2312" w:hint="eastAsia"/>
          <w:sz w:val="32"/>
          <w:szCs w:val="32"/>
        </w:rPr>
        <w:t>41</w:t>
      </w:r>
      <w:r>
        <w:rPr>
          <w:rFonts w:ascii="仿宋_GB2312" w:eastAsia="仿宋_GB2312" w:hint="eastAsia"/>
          <w:sz w:val="32"/>
          <w:szCs w:val="32"/>
        </w:rPr>
        <w:t>辆，其中：省部级领导干部用车</w:t>
      </w:r>
      <w:r>
        <w:rPr>
          <w:rFonts w:ascii="仿宋_GB2312" w:eastAsia="仿宋_GB2312" w:hint="eastAsia"/>
          <w:sz w:val="32"/>
          <w:szCs w:val="32"/>
        </w:rPr>
        <w:t>0</w:t>
      </w:r>
      <w:r>
        <w:rPr>
          <w:rFonts w:ascii="仿宋_GB2312" w:eastAsia="仿宋_GB2312" w:hint="eastAsia"/>
          <w:sz w:val="32"/>
          <w:szCs w:val="32"/>
        </w:rPr>
        <w:t>辆、一般公务用车</w:t>
      </w:r>
      <w:r>
        <w:rPr>
          <w:rFonts w:ascii="仿宋_GB2312" w:eastAsia="仿宋_GB2312" w:hint="eastAsia"/>
          <w:sz w:val="32"/>
          <w:szCs w:val="32"/>
        </w:rPr>
        <w:t>41</w:t>
      </w:r>
      <w:r>
        <w:rPr>
          <w:rFonts w:ascii="仿宋_GB2312" w:eastAsia="仿宋_GB2312" w:hint="eastAsia"/>
          <w:sz w:val="32"/>
          <w:szCs w:val="32"/>
        </w:rPr>
        <w:t>辆；单价</w:t>
      </w:r>
      <w:r>
        <w:rPr>
          <w:rFonts w:ascii="仿宋_GB2312" w:eastAsia="仿宋_GB2312" w:hint="eastAsia"/>
          <w:sz w:val="32"/>
          <w:szCs w:val="32"/>
        </w:rPr>
        <w:t>50</w:t>
      </w:r>
      <w:r>
        <w:rPr>
          <w:rFonts w:ascii="仿宋_GB2312" w:eastAsia="仿宋_GB2312" w:hint="eastAsia"/>
          <w:sz w:val="32"/>
          <w:szCs w:val="32"/>
        </w:rPr>
        <w:t>万元以上通用设备</w:t>
      </w:r>
      <w:r>
        <w:rPr>
          <w:rFonts w:ascii="仿宋_GB2312" w:eastAsia="仿宋_GB2312" w:hint="eastAsia"/>
          <w:sz w:val="32"/>
          <w:szCs w:val="32"/>
        </w:rPr>
        <w:t>0</w:t>
      </w:r>
      <w:r>
        <w:rPr>
          <w:rFonts w:ascii="仿宋_GB2312" w:eastAsia="仿宋_GB2312" w:hint="eastAsia"/>
          <w:sz w:val="32"/>
          <w:szCs w:val="32"/>
        </w:rPr>
        <w:t>台（套），单价</w:t>
      </w:r>
      <w:r>
        <w:rPr>
          <w:rFonts w:ascii="仿宋_GB2312" w:eastAsia="仿宋_GB2312" w:hint="eastAsia"/>
          <w:sz w:val="32"/>
          <w:szCs w:val="32"/>
        </w:rPr>
        <w:t>100</w:t>
      </w:r>
      <w:r>
        <w:rPr>
          <w:rFonts w:ascii="仿宋_GB2312" w:eastAsia="仿宋_GB2312" w:hint="eastAsia"/>
          <w:sz w:val="32"/>
          <w:szCs w:val="32"/>
        </w:rPr>
        <w:t>万元以上专用设备</w:t>
      </w:r>
      <w:r>
        <w:rPr>
          <w:rFonts w:ascii="仿宋_GB2312" w:eastAsia="仿宋_GB2312" w:hint="eastAsia"/>
          <w:sz w:val="32"/>
          <w:szCs w:val="32"/>
        </w:rPr>
        <w:t>0</w:t>
      </w:r>
      <w:r>
        <w:rPr>
          <w:rFonts w:ascii="仿宋_GB2312" w:eastAsia="仿宋_GB2312" w:hint="eastAsia"/>
          <w:sz w:val="32"/>
          <w:szCs w:val="32"/>
        </w:rPr>
        <w:t>台（套）。</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（四）预算绩效情况</w:t>
      </w:r>
    </w:p>
    <w:p w:rsidR="00000000" w:rsidRDefault="005633A3">
      <w:pPr>
        <w:spacing w:line="600" w:lineRule="atLeast"/>
        <w:ind w:firstLineChars="200" w:firstLine="640"/>
        <w:rPr>
          <w:rFonts w:ascii="仿宋_GB2312" w:eastAsia="仿宋_GB2312"/>
          <w:sz w:val="32"/>
          <w:szCs w:val="32"/>
        </w:rPr>
      </w:pPr>
      <w:r>
        <w:rPr>
          <w:rFonts w:ascii="仿宋_GB2312" w:eastAsia="仿宋_GB2312" w:hint="eastAsia"/>
          <w:sz w:val="32"/>
          <w:szCs w:val="32"/>
        </w:rPr>
        <w:t>按照预算绩效管理要求，本部门对</w:t>
      </w:r>
      <w:r>
        <w:rPr>
          <w:rFonts w:ascii="仿宋_GB2312" w:eastAsia="仿宋_GB2312" w:hint="eastAsia"/>
          <w:sz w:val="32"/>
          <w:szCs w:val="32"/>
        </w:rPr>
        <w:t>2016</w:t>
      </w:r>
      <w:r>
        <w:rPr>
          <w:rFonts w:ascii="仿宋_GB2312" w:eastAsia="仿宋_GB2312" w:hint="eastAsia"/>
          <w:sz w:val="32"/>
          <w:szCs w:val="32"/>
        </w:rPr>
        <w:t>年一般公共预算项目支出开展了绩效目标管理，共编制绩效目标</w:t>
      </w:r>
      <w:r>
        <w:rPr>
          <w:rFonts w:ascii="仿宋_GB2312" w:eastAsia="仿宋_GB2312" w:hint="eastAsia"/>
          <w:sz w:val="32"/>
          <w:szCs w:val="32"/>
        </w:rPr>
        <w:t>8</w:t>
      </w:r>
      <w:r>
        <w:rPr>
          <w:rFonts w:ascii="仿宋_GB2312" w:eastAsia="仿宋_GB2312" w:hint="eastAsia"/>
          <w:sz w:val="32"/>
          <w:szCs w:val="32"/>
        </w:rPr>
        <w:t>个，涉及财政资金</w:t>
      </w:r>
      <w:r>
        <w:rPr>
          <w:rFonts w:ascii="仿宋_GB2312" w:eastAsia="仿宋_GB2312" w:hint="eastAsia"/>
          <w:sz w:val="32"/>
          <w:szCs w:val="32"/>
        </w:rPr>
        <w:t>4838.57</w:t>
      </w:r>
      <w:r>
        <w:rPr>
          <w:rFonts w:ascii="仿宋_GB2312" w:eastAsia="仿宋_GB2312" w:hint="eastAsia"/>
          <w:sz w:val="32"/>
          <w:szCs w:val="32"/>
        </w:rPr>
        <w:t>万元，覆盖率达到</w:t>
      </w:r>
      <w:r>
        <w:rPr>
          <w:rFonts w:ascii="仿宋_GB2312" w:eastAsia="仿宋_GB2312" w:hint="eastAsia"/>
          <w:sz w:val="32"/>
          <w:szCs w:val="32"/>
        </w:rPr>
        <w:t>68.98%</w:t>
      </w:r>
      <w:r>
        <w:rPr>
          <w:rFonts w:ascii="仿宋_GB2312" w:eastAsia="仿宋_GB2312" w:hint="eastAsia"/>
          <w:sz w:val="32"/>
          <w:szCs w:val="32"/>
        </w:rPr>
        <w:t>。（如开展了项目绩效自评，请将自评结果得分、存在的问题未制定林业补助资金实施细则，整改措施是目前已制定出《攀枝花市林业发展专项资金管理办法》，并征</w:t>
      </w:r>
      <w:r>
        <w:rPr>
          <w:rFonts w:ascii="仿宋_GB2312" w:eastAsia="仿宋_GB2312" w:hint="eastAsia"/>
          <w:sz w:val="32"/>
          <w:szCs w:val="32"/>
        </w:rPr>
        <w:t>求了相关部门意见，即将出台。</w:t>
      </w:r>
    </w:p>
    <w:p w:rsidR="00000000" w:rsidRDefault="005633A3">
      <w:pPr>
        <w:spacing w:line="578" w:lineRule="exact"/>
        <w:ind w:firstLineChars="200" w:firstLine="640"/>
        <w:rPr>
          <w:rFonts w:ascii="黑体" w:eastAsia="黑体" w:hint="eastAsia"/>
          <w:sz w:val="32"/>
          <w:szCs w:val="32"/>
        </w:rPr>
      </w:pPr>
      <w:r>
        <w:rPr>
          <w:rFonts w:ascii="黑体" w:eastAsia="黑体" w:hint="eastAsia"/>
          <w:sz w:val="32"/>
          <w:szCs w:val="32"/>
        </w:rPr>
        <w:t>九、名词解释</w:t>
      </w:r>
    </w:p>
    <w:p w:rsidR="00000000" w:rsidRDefault="005633A3">
      <w:pPr>
        <w:pStyle w:val="Default"/>
        <w:spacing w:line="560" w:lineRule="exact"/>
        <w:ind w:firstLineChars="200" w:firstLine="640"/>
        <w:rPr>
          <w:rFonts w:ascii="仿宋_GB2312" w:eastAsia="仿宋_GB2312" w:hAnsi="Times New Roman" w:cs="Times New Roman" w:hint="eastAsia"/>
          <w:color w:val="auto"/>
          <w:kern w:val="2"/>
          <w:sz w:val="32"/>
          <w:szCs w:val="32"/>
        </w:rPr>
      </w:pPr>
      <w:r>
        <w:rPr>
          <w:rFonts w:ascii="仿宋_GB2312" w:eastAsia="仿宋_GB2312" w:hAnsi="Times New Roman" w:cs="Times New Roman" w:hint="eastAsia"/>
          <w:color w:val="auto"/>
          <w:kern w:val="2"/>
          <w:sz w:val="32"/>
          <w:szCs w:val="32"/>
        </w:rPr>
        <w:t>1.</w:t>
      </w:r>
      <w:r>
        <w:rPr>
          <w:rFonts w:ascii="仿宋_GB2312" w:eastAsia="仿宋_GB2312" w:hAnsi="Times New Roman" w:cs="Times New Roman" w:hint="eastAsia"/>
          <w:color w:val="auto"/>
          <w:kern w:val="2"/>
          <w:sz w:val="32"/>
          <w:szCs w:val="32"/>
        </w:rPr>
        <w:t>财政拨款收入：指省级财政当年拨付的资金。</w:t>
      </w:r>
      <w:r>
        <w:rPr>
          <w:rFonts w:ascii="仿宋_GB2312" w:eastAsia="仿宋_GB2312" w:hAnsi="Times New Roman" w:cs="Times New Roman" w:hint="eastAsia"/>
          <w:color w:val="auto"/>
          <w:kern w:val="2"/>
          <w:sz w:val="32"/>
          <w:szCs w:val="32"/>
        </w:rPr>
        <w:t xml:space="preserve"> </w:t>
      </w:r>
    </w:p>
    <w:p w:rsidR="00000000" w:rsidRDefault="005633A3">
      <w:pPr>
        <w:pStyle w:val="Default"/>
        <w:spacing w:line="560" w:lineRule="exact"/>
        <w:ind w:firstLineChars="200" w:firstLine="640"/>
        <w:rPr>
          <w:rFonts w:ascii="仿宋_GB2312" w:eastAsia="仿宋_GB2312" w:hAnsi="Times New Roman" w:cs="Times New Roman" w:hint="eastAsia"/>
          <w:color w:val="auto"/>
          <w:kern w:val="2"/>
          <w:sz w:val="32"/>
          <w:szCs w:val="32"/>
        </w:rPr>
      </w:pPr>
      <w:r>
        <w:rPr>
          <w:rFonts w:ascii="仿宋_GB2312" w:eastAsia="仿宋_GB2312" w:hAnsi="Times New Roman" w:cs="Times New Roman" w:hint="eastAsia"/>
          <w:color w:val="auto"/>
          <w:kern w:val="2"/>
          <w:sz w:val="32"/>
          <w:szCs w:val="32"/>
        </w:rPr>
        <w:t>2.</w:t>
      </w:r>
      <w:r>
        <w:rPr>
          <w:rFonts w:ascii="仿宋_GB2312" w:eastAsia="仿宋_GB2312" w:hAnsi="Times New Roman" w:cs="Times New Roman" w:hint="eastAsia"/>
          <w:color w:val="auto"/>
          <w:kern w:val="2"/>
          <w:sz w:val="32"/>
          <w:szCs w:val="32"/>
        </w:rPr>
        <w:t>事业收入：无。</w:t>
      </w:r>
    </w:p>
    <w:p w:rsidR="00000000" w:rsidRDefault="005633A3">
      <w:pPr>
        <w:pStyle w:val="Default"/>
        <w:spacing w:line="560" w:lineRule="exact"/>
        <w:ind w:firstLineChars="200" w:firstLine="640"/>
        <w:rPr>
          <w:rFonts w:ascii="仿宋_GB2312" w:eastAsia="仿宋_GB2312" w:hAnsi="Times New Roman" w:cs="Times New Roman" w:hint="eastAsia"/>
          <w:color w:val="auto"/>
          <w:kern w:val="2"/>
          <w:sz w:val="32"/>
          <w:szCs w:val="32"/>
        </w:rPr>
      </w:pPr>
      <w:r>
        <w:rPr>
          <w:rFonts w:ascii="仿宋_GB2312" w:eastAsia="仿宋_GB2312" w:hAnsi="Times New Roman" w:cs="Times New Roman" w:hint="eastAsia"/>
          <w:color w:val="auto"/>
          <w:kern w:val="2"/>
          <w:sz w:val="32"/>
          <w:szCs w:val="32"/>
        </w:rPr>
        <w:t>3.</w:t>
      </w:r>
      <w:r>
        <w:rPr>
          <w:rFonts w:ascii="仿宋_GB2312" w:eastAsia="仿宋_GB2312" w:hAnsi="Times New Roman" w:cs="Times New Roman" w:hint="eastAsia"/>
          <w:color w:val="auto"/>
          <w:kern w:val="2"/>
          <w:sz w:val="32"/>
          <w:szCs w:val="32"/>
        </w:rPr>
        <w:t>经营收入：无。</w:t>
      </w:r>
    </w:p>
    <w:p w:rsidR="00000000" w:rsidRDefault="005633A3">
      <w:pPr>
        <w:pStyle w:val="Default"/>
        <w:spacing w:line="560" w:lineRule="exact"/>
        <w:ind w:firstLineChars="200" w:firstLine="640"/>
        <w:rPr>
          <w:rFonts w:ascii="仿宋_GB2312" w:eastAsia="仿宋_GB2312" w:hAnsi="Times New Roman" w:cs="Times New Roman" w:hint="eastAsia"/>
          <w:color w:val="auto"/>
          <w:kern w:val="2"/>
          <w:sz w:val="32"/>
          <w:szCs w:val="32"/>
        </w:rPr>
      </w:pPr>
      <w:r>
        <w:rPr>
          <w:rFonts w:ascii="仿宋_GB2312" w:eastAsia="仿宋_GB2312" w:hAnsi="Times New Roman" w:cs="Times New Roman" w:hint="eastAsia"/>
          <w:color w:val="auto"/>
          <w:kern w:val="2"/>
          <w:sz w:val="32"/>
          <w:szCs w:val="32"/>
        </w:rPr>
        <w:t>4.</w:t>
      </w:r>
      <w:r>
        <w:rPr>
          <w:rFonts w:ascii="仿宋_GB2312" w:eastAsia="仿宋_GB2312" w:hAnsi="Times New Roman" w:cs="Times New Roman" w:hint="eastAsia"/>
          <w:color w:val="auto"/>
          <w:kern w:val="2"/>
          <w:sz w:val="32"/>
          <w:szCs w:val="32"/>
        </w:rPr>
        <w:t>其他收入：指除上述“财政拨款收入”、“事业收入”、“经营收入”等以外的收入，主要是利息收入。</w:t>
      </w:r>
      <w:r>
        <w:rPr>
          <w:rFonts w:ascii="仿宋_GB2312" w:eastAsia="仿宋_GB2312" w:hAnsi="Times New Roman" w:cs="Times New Roman" w:hint="eastAsia"/>
          <w:color w:val="auto"/>
          <w:kern w:val="2"/>
          <w:sz w:val="32"/>
          <w:szCs w:val="32"/>
        </w:rPr>
        <w:t xml:space="preserve"> </w:t>
      </w:r>
    </w:p>
    <w:p w:rsidR="00000000" w:rsidRDefault="005633A3">
      <w:pPr>
        <w:pStyle w:val="Default"/>
        <w:spacing w:line="560" w:lineRule="exact"/>
        <w:ind w:firstLineChars="200" w:firstLine="640"/>
        <w:rPr>
          <w:rFonts w:ascii="仿宋_GB2312" w:eastAsia="仿宋_GB2312" w:hAnsi="Times New Roman" w:cs="Times New Roman" w:hint="eastAsia"/>
          <w:color w:val="auto"/>
          <w:kern w:val="2"/>
          <w:sz w:val="32"/>
          <w:szCs w:val="32"/>
        </w:rPr>
      </w:pPr>
      <w:r>
        <w:rPr>
          <w:rFonts w:ascii="仿宋_GB2312" w:eastAsia="仿宋_GB2312" w:hAnsi="Times New Roman" w:cs="Times New Roman" w:hint="eastAsia"/>
          <w:color w:val="auto"/>
          <w:kern w:val="2"/>
          <w:sz w:val="32"/>
          <w:szCs w:val="32"/>
        </w:rPr>
        <w:lastRenderedPageBreak/>
        <w:t>5.</w:t>
      </w:r>
      <w:r>
        <w:rPr>
          <w:rFonts w:ascii="仿宋_GB2312" w:eastAsia="仿宋_GB2312" w:hAnsi="Times New Roman" w:cs="Times New Roman" w:hint="eastAsia"/>
          <w:color w:val="auto"/>
          <w:kern w:val="2"/>
          <w:sz w:val="32"/>
          <w:szCs w:val="32"/>
        </w:rPr>
        <w:t>用事业基金弥补收支差额：无。</w:t>
      </w:r>
      <w:r>
        <w:rPr>
          <w:rFonts w:ascii="仿宋_GB2312" w:eastAsia="仿宋_GB2312" w:hAnsi="Times New Roman" w:cs="Times New Roman" w:hint="eastAsia"/>
          <w:color w:val="auto"/>
          <w:kern w:val="2"/>
          <w:sz w:val="32"/>
          <w:szCs w:val="32"/>
        </w:rPr>
        <w:t xml:space="preserve"> </w:t>
      </w:r>
    </w:p>
    <w:p w:rsidR="00000000" w:rsidRDefault="005633A3">
      <w:pPr>
        <w:pStyle w:val="Default"/>
        <w:spacing w:line="560" w:lineRule="exact"/>
        <w:ind w:firstLineChars="200" w:firstLine="640"/>
        <w:rPr>
          <w:rFonts w:ascii="仿宋_GB2312" w:eastAsia="仿宋_GB2312" w:hAnsi="Times New Roman" w:cs="Times New Roman" w:hint="eastAsia"/>
          <w:color w:val="auto"/>
          <w:kern w:val="2"/>
          <w:sz w:val="32"/>
          <w:szCs w:val="32"/>
        </w:rPr>
      </w:pPr>
      <w:r>
        <w:rPr>
          <w:rFonts w:ascii="仿宋_GB2312" w:eastAsia="仿宋_GB2312" w:hAnsi="Times New Roman" w:cs="Times New Roman" w:hint="eastAsia"/>
          <w:color w:val="auto"/>
          <w:kern w:val="2"/>
          <w:sz w:val="32"/>
          <w:szCs w:val="32"/>
        </w:rPr>
        <w:t>6.</w:t>
      </w:r>
      <w:r>
        <w:rPr>
          <w:rFonts w:ascii="仿宋_GB2312" w:eastAsia="仿宋_GB2312" w:hAnsi="Times New Roman" w:cs="Times New Roman" w:hint="eastAsia"/>
          <w:color w:val="auto"/>
          <w:kern w:val="2"/>
          <w:sz w:val="32"/>
          <w:szCs w:val="32"/>
        </w:rPr>
        <w:t>年初结转和结余：指以前年度尚未完成、结转到本年按有关规定继续使用的资金。</w:t>
      </w:r>
      <w:r>
        <w:rPr>
          <w:rFonts w:ascii="仿宋_GB2312" w:eastAsia="仿宋_GB2312" w:hAnsi="Times New Roman" w:cs="Times New Roman" w:hint="eastAsia"/>
          <w:color w:val="auto"/>
          <w:kern w:val="2"/>
          <w:sz w:val="32"/>
          <w:szCs w:val="32"/>
        </w:rPr>
        <w:t xml:space="preserve"> </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7.</w:t>
      </w:r>
      <w:r>
        <w:rPr>
          <w:rFonts w:ascii="仿宋_GB2312" w:eastAsia="仿宋_GB2312" w:hint="eastAsia"/>
          <w:sz w:val="32"/>
          <w:szCs w:val="32"/>
        </w:rPr>
        <w:t>一般公共服务：</w:t>
      </w:r>
      <w:r>
        <w:rPr>
          <w:rFonts w:ascii="仿宋_GB2312" w:eastAsia="仿宋_GB2312" w:hint="eastAsia"/>
          <w:sz w:val="32"/>
          <w:szCs w:val="32"/>
        </w:rPr>
        <w:t>2011399</w:t>
      </w:r>
      <w:r>
        <w:rPr>
          <w:rFonts w:ascii="仿宋_GB2312" w:eastAsia="仿宋_GB2312" w:hint="eastAsia"/>
          <w:sz w:val="32"/>
          <w:szCs w:val="32"/>
        </w:rPr>
        <w:t>其他商贸服务支出，指反映外其他用于商贸事务方面的支出；</w:t>
      </w:r>
      <w:r>
        <w:rPr>
          <w:rFonts w:ascii="仿宋_GB2312" w:eastAsia="仿宋_GB2312" w:hint="eastAsia"/>
          <w:sz w:val="32"/>
          <w:szCs w:val="32"/>
        </w:rPr>
        <w:t>2013299</w:t>
      </w:r>
      <w:r>
        <w:rPr>
          <w:rFonts w:ascii="仿宋_GB2312" w:eastAsia="仿宋_GB2312" w:hint="eastAsia"/>
          <w:sz w:val="32"/>
          <w:szCs w:val="32"/>
        </w:rPr>
        <w:t>其他组织事务支出，指反映其他用于中国共产党组织部门的事务支出。</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 xml:space="preserve">8. </w:t>
      </w:r>
      <w:r>
        <w:rPr>
          <w:rFonts w:ascii="仿宋_GB2312" w:eastAsia="仿宋_GB2312" w:hint="eastAsia"/>
          <w:sz w:val="32"/>
          <w:szCs w:val="32"/>
        </w:rPr>
        <w:t>社会保障和就业：</w:t>
      </w:r>
      <w:r>
        <w:rPr>
          <w:rFonts w:ascii="仿宋_GB2312" w:eastAsia="仿宋_GB2312" w:hint="eastAsia"/>
          <w:sz w:val="32"/>
          <w:szCs w:val="32"/>
        </w:rPr>
        <w:t xml:space="preserve">2080199  </w:t>
      </w:r>
      <w:r>
        <w:rPr>
          <w:rFonts w:ascii="仿宋_GB2312" w:eastAsia="仿宋_GB2312" w:hint="eastAsia"/>
          <w:sz w:val="32"/>
          <w:szCs w:val="32"/>
        </w:rPr>
        <w:t>其他人力资源和社会保障管理事务支出，反映其他用于人力资源和社会保障管理事务方面的支出；</w:t>
      </w:r>
      <w:r>
        <w:rPr>
          <w:rFonts w:ascii="仿宋_GB2312" w:eastAsia="仿宋_GB2312" w:hint="eastAsia"/>
          <w:sz w:val="32"/>
          <w:szCs w:val="32"/>
        </w:rPr>
        <w:t>2080504</w:t>
      </w:r>
      <w:r>
        <w:rPr>
          <w:rFonts w:ascii="仿宋_GB2312" w:eastAsia="仿宋_GB2312" w:hint="eastAsia"/>
          <w:sz w:val="32"/>
          <w:szCs w:val="32"/>
        </w:rPr>
        <w:t>未归口管理的行政单位离退休，指反映未实行归口管理的行政单位（包括实行公务员管理的事业单位）开支的离退休支出；</w:t>
      </w:r>
      <w:r>
        <w:rPr>
          <w:rFonts w:ascii="仿宋_GB2312" w:eastAsia="仿宋_GB2312" w:hint="eastAsia"/>
          <w:sz w:val="32"/>
          <w:szCs w:val="32"/>
        </w:rPr>
        <w:t>2080505</w:t>
      </w:r>
      <w:r>
        <w:rPr>
          <w:rFonts w:ascii="仿宋_GB2312" w:eastAsia="仿宋_GB2312" w:hint="eastAsia"/>
          <w:sz w:val="32"/>
          <w:szCs w:val="32"/>
        </w:rPr>
        <w:t>机关事业单位基本养老保险缴费支出，指反映机关事业单位实施养老保险制度由单位缴纳的基本养老保险费支出；</w:t>
      </w:r>
      <w:r>
        <w:rPr>
          <w:rFonts w:ascii="仿宋_GB2312" w:eastAsia="仿宋_GB2312" w:hint="eastAsia"/>
          <w:sz w:val="32"/>
          <w:szCs w:val="32"/>
        </w:rPr>
        <w:t>2080801</w:t>
      </w:r>
      <w:r>
        <w:rPr>
          <w:rFonts w:ascii="仿宋_GB2312" w:eastAsia="仿宋_GB2312" w:hint="eastAsia"/>
          <w:sz w:val="32"/>
          <w:szCs w:val="32"/>
        </w:rPr>
        <w:t>死亡抚恤，指反映按规定用于烈士和牺牲、病故人员家属的一次性和定期抚恤金以及丧葬补助费；</w:t>
      </w:r>
      <w:r>
        <w:rPr>
          <w:rFonts w:ascii="仿宋_GB2312" w:eastAsia="仿宋_GB2312" w:hint="eastAsia"/>
          <w:sz w:val="32"/>
          <w:szCs w:val="32"/>
        </w:rPr>
        <w:t>2081001</w:t>
      </w:r>
      <w:r>
        <w:rPr>
          <w:rFonts w:ascii="仿宋_GB2312" w:eastAsia="仿宋_GB2312" w:hint="eastAsia"/>
          <w:sz w:val="32"/>
          <w:szCs w:val="32"/>
        </w:rPr>
        <w:t>儿童福利，指反映对儿童提供福利服务方</w:t>
      </w:r>
      <w:r>
        <w:rPr>
          <w:rFonts w:ascii="仿宋_GB2312" w:eastAsia="仿宋_GB2312" w:hint="eastAsia"/>
          <w:sz w:val="32"/>
          <w:szCs w:val="32"/>
        </w:rPr>
        <w:t>面的支出。</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 xml:space="preserve">9. </w:t>
      </w:r>
      <w:r>
        <w:rPr>
          <w:rFonts w:ascii="仿宋_GB2312" w:eastAsia="仿宋_GB2312" w:hint="eastAsia"/>
          <w:sz w:val="32"/>
          <w:szCs w:val="32"/>
        </w:rPr>
        <w:t>节能环保：</w:t>
      </w:r>
      <w:r>
        <w:rPr>
          <w:rFonts w:ascii="仿宋_GB2312" w:eastAsia="仿宋_GB2312" w:hint="eastAsia"/>
          <w:sz w:val="32"/>
          <w:szCs w:val="32"/>
        </w:rPr>
        <w:t>2110403</w:t>
      </w:r>
      <w:r>
        <w:rPr>
          <w:rFonts w:ascii="仿宋_GB2312" w:eastAsia="仿宋_GB2312" w:hint="eastAsia"/>
          <w:sz w:val="32"/>
          <w:szCs w:val="32"/>
        </w:rPr>
        <w:t>自然保护区，指反映用于自然保护区管理、能力建设、日常管护、宣教、试点示范等支出；</w:t>
      </w:r>
      <w:r>
        <w:rPr>
          <w:rFonts w:ascii="仿宋_GB2312" w:eastAsia="仿宋_GB2312" w:hint="eastAsia"/>
          <w:sz w:val="32"/>
          <w:szCs w:val="32"/>
        </w:rPr>
        <w:t>2110501</w:t>
      </w:r>
      <w:r>
        <w:rPr>
          <w:rFonts w:ascii="仿宋_GB2312" w:eastAsia="仿宋_GB2312" w:hint="eastAsia"/>
          <w:sz w:val="32"/>
          <w:szCs w:val="32"/>
        </w:rPr>
        <w:t>森林管护，指反映专项用于森林资源管护所发生的各项补助支出；</w:t>
      </w:r>
      <w:r>
        <w:rPr>
          <w:rFonts w:ascii="仿宋_GB2312" w:eastAsia="仿宋_GB2312" w:hint="eastAsia"/>
          <w:sz w:val="32"/>
          <w:szCs w:val="32"/>
        </w:rPr>
        <w:t>2110502</w:t>
      </w:r>
      <w:r>
        <w:rPr>
          <w:rFonts w:ascii="仿宋_GB2312" w:eastAsia="仿宋_GB2312" w:hint="eastAsia"/>
          <w:sz w:val="32"/>
          <w:szCs w:val="32"/>
        </w:rPr>
        <w:t>社会保险补助，指反映专项用于由于木材减产或停产造成实施单位应缴纳社会保险费缺口的补助支出；</w:t>
      </w:r>
      <w:r>
        <w:rPr>
          <w:rFonts w:ascii="仿宋_GB2312" w:eastAsia="仿宋_GB2312" w:hint="eastAsia"/>
          <w:sz w:val="32"/>
          <w:szCs w:val="32"/>
        </w:rPr>
        <w:t>2110503</w:t>
      </w:r>
      <w:r>
        <w:rPr>
          <w:rFonts w:ascii="仿宋_GB2312" w:eastAsia="仿宋_GB2312" w:hint="eastAsia"/>
          <w:sz w:val="32"/>
          <w:szCs w:val="32"/>
        </w:rPr>
        <w:t>政策性社会性支出补助，指反映专项用于实施单位承担的政策性社会性支出补助；</w:t>
      </w:r>
      <w:r>
        <w:rPr>
          <w:rFonts w:ascii="仿宋_GB2312" w:eastAsia="仿宋_GB2312" w:hint="eastAsia"/>
          <w:sz w:val="32"/>
          <w:szCs w:val="32"/>
        </w:rPr>
        <w:t>2110506</w:t>
      </w:r>
      <w:r>
        <w:rPr>
          <w:rFonts w:ascii="仿宋_GB2312" w:eastAsia="仿宋_GB2312" w:hint="eastAsia"/>
          <w:sz w:val="32"/>
          <w:szCs w:val="32"/>
        </w:rPr>
        <w:t>天然林保护工程建设，指反映天然林保护工</w:t>
      </w:r>
      <w:r>
        <w:rPr>
          <w:rFonts w:ascii="仿宋_GB2312" w:eastAsia="仿宋_GB2312" w:hint="eastAsia"/>
          <w:sz w:val="32"/>
          <w:szCs w:val="32"/>
        </w:rPr>
        <w:lastRenderedPageBreak/>
        <w:t>程建设支出。</w:t>
      </w:r>
    </w:p>
    <w:p w:rsidR="00000000" w:rsidRDefault="005633A3">
      <w:pPr>
        <w:spacing w:line="578" w:lineRule="exact"/>
        <w:ind w:firstLineChars="200" w:firstLine="640"/>
        <w:rPr>
          <w:rFonts w:ascii="仿宋_GB2312" w:eastAsia="仿宋_GB2312"/>
          <w:sz w:val="32"/>
          <w:szCs w:val="32"/>
        </w:rPr>
      </w:pPr>
      <w:r>
        <w:rPr>
          <w:rFonts w:ascii="仿宋_GB2312" w:eastAsia="仿宋_GB2312" w:hint="eastAsia"/>
          <w:sz w:val="32"/>
          <w:szCs w:val="32"/>
        </w:rPr>
        <w:t xml:space="preserve">10.  </w:t>
      </w:r>
      <w:r>
        <w:rPr>
          <w:rFonts w:ascii="仿宋_GB2312" w:eastAsia="仿宋_GB2312" w:hint="eastAsia"/>
          <w:sz w:val="32"/>
          <w:szCs w:val="32"/>
        </w:rPr>
        <w:t>农林水支出：</w:t>
      </w:r>
      <w:r>
        <w:rPr>
          <w:rFonts w:ascii="仿宋_GB2312" w:eastAsia="仿宋_GB2312" w:hint="eastAsia"/>
          <w:sz w:val="32"/>
          <w:szCs w:val="32"/>
        </w:rPr>
        <w:t>2130201</w:t>
      </w:r>
      <w:r>
        <w:rPr>
          <w:rFonts w:ascii="仿宋_GB2312" w:eastAsia="仿宋_GB2312" w:hint="eastAsia"/>
          <w:sz w:val="32"/>
          <w:szCs w:val="32"/>
        </w:rPr>
        <w:t>行政运行，指反映行政单位（</w:t>
      </w:r>
      <w:r>
        <w:rPr>
          <w:rFonts w:ascii="仿宋_GB2312" w:eastAsia="仿宋_GB2312" w:hint="eastAsia"/>
          <w:sz w:val="32"/>
          <w:szCs w:val="32"/>
        </w:rPr>
        <w:t>包括实行公务员管理的事业单位）的基本支出；</w:t>
      </w:r>
      <w:r>
        <w:rPr>
          <w:rFonts w:ascii="仿宋_GB2312" w:eastAsia="仿宋_GB2312" w:hint="eastAsia"/>
          <w:sz w:val="32"/>
          <w:szCs w:val="32"/>
        </w:rPr>
        <w:t>2130204</w:t>
      </w:r>
      <w:r>
        <w:rPr>
          <w:rFonts w:ascii="仿宋_GB2312" w:eastAsia="仿宋_GB2312" w:hint="eastAsia"/>
          <w:sz w:val="32"/>
          <w:szCs w:val="32"/>
        </w:rPr>
        <w:t>林业事业机构，指反映用于林业事业单位的基本支出；</w:t>
      </w:r>
      <w:r>
        <w:rPr>
          <w:rFonts w:ascii="仿宋_GB2312" w:eastAsia="仿宋_GB2312" w:hint="eastAsia"/>
          <w:sz w:val="32"/>
          <w:szCs w:val="32"/>
        </w:rPr>
        <w:t>2130205</w:t>
      </w:r>
      <w:r>
        <w:rPr>
          <w:rFonts w:ascii="仿宋_GB2312" w:eastAsia="仿宋_GB2312" w:hint="eastAsia"/>
          <w:sz w:val="32"/>
          <w:szCs w:val="32"/>
        </w:rPr>
        <w:t>森林培育，指反映育苗（种）、造林、抚育、生物质能源建设以及义务植树，生物措施治理水地流失等支出；</w:t>
      </w:r>
      <w:r>
        <w:rPr>
          <w:rFonts w:ascii="仿宋_GB2312" w:eastAsia="仿宋_GB2312" w:hint="eastAsia"/>
          <w:sz w:val="32"/>
          <w:szCs w:val="32"/>
        </w:rPr>
        <w:t>2130206</w:t>
      </w:r>
      <w:r>
        <w:rPr>
          <w:rFonts w:ascii="仿宋_GB2312" w:eastAsia="仿宋_GB2312" w:hint="eastAsia"/>
          <w:sz w:val="32"/>
          <w:szCs w:val="32"/>
        </w:rPr>
        <w:t>林业技术推广，指反映良种繁育、新技术引进、区域化试验、示范和推广等支出；</w:t>
      </w:r>
      <w:r>
        <w:rPr>
          <w:rFonts w:ascii="仿宋_GB2312" w:eastAsia="仿宋_GB2312" w:hint="eastAsia"/>
          <w:sz w:val="32"/>
          <w:szCs w:val="32"/>
        </w:rPr>
        <w:t>2130207</w:t>
      </w:r>
      <w:r>
        <w:rPr>
          <w:rFonts w:ascii="仿宋_GB2312" w:eastAsia="仿宋_GB2312" w:hint="eastAsia"/>
          <w:sz w:val="32"/>
          <w:szCs w:val="32"/>
        </w:rPr>
        <w:t>森林资源管理，指反映森林经营、利用、森林资源资产、林地保护及权属调处等森林资源资产管理方面的支出；</w:t>
      </w:r>
      <w:r>
        <w:rPr>
          <w:rFonts w:ascii="仿宋_GB2312" w:eastAsia="仿宋_GB2312" w:hint="eastAsia"/>
          <w:sz w:val="32"/>
          <w:szCs w:val="32"/>
        </w:rPr>
        <w:t>2130209</w:t>
      </w:r>
      <w:r>
        <w:rPr>
          <w:rFonts w:ascii="仿宋_GB2312" w:eastAsia="仿宋_GB2312" w:hint="eastAsia"/>
          <w:sz w:val="32"/>
          <w:szCs w:val="32"/>
        </w:rPr>
        <w:t>森林生态效益补偿，指反映由森林生态效益基金安排用于公益林营造、抚育、管理和保护等方面的</w:t>
      </w:r>
      <w:r>
        <w:rPr>
          <w:rFonts w:ascii="仿宋_GB2312" w:eastAsia="仿宋_GB2312" w:hint="eastAsia"/>
          <w:sz w:val="32"/>
          <w:szCs w:val="32"/>
        </w:rPr>
        <w:t>支出；</w:t>
      </w:r>
      <w:r>
        <w:rPr>
          <w:rFonts w:ascii="仿宋_GB2312" w:eastAsia="仿宋_GB2312" w:hint="eastAsia"/>
          <w:sz w:val="32"/>
          <w:szCs w:val="32"/>
        </w:rPr>
        <w:t>2130210</w:t>
      </w:r>
      <w:r>
        <w:rPr>
          <w:rFonts w:ascii="仿宋_GB2312" w:eastAsia="仿宋_GB2312" w:hint="eastAsia"/>
          <w:sz w:val="32"/>
          <w:szCs w:val="32"/>
        </w:rPr>
        <w:t>林业自然保护区，指反映林业自然保护区域能力建设、本底调查、管护、试点示范等方面的支出；</w:t>
      </w:r>
      <w:r>
        <w:rPr>
          <w:rFonts w:ascii="仿宋_GB2312" w:eastAsia="仿宋_GB2312" w:hint="eastAsia"/>
          <w:sz w:val="32"/>
          <w:szCs w:val="32"/>
        </w:rPr>
        <w:t>2130213</w:t>
      </w:r>
      <w:r>
        <w:rPr>
          <w:rFonts w:ascii="仿宋_GB2312" w:eastAsia="仿宋_GB2312" w:hint="eastAsia"/>
          <w:sz w:val="32"/>
          <w:szCs w:val="32"/>
        </w:rPr>
        <w:t>林业执法与监督，指反映林业执法与监督队伍建设，林业刑事、行政案件受理、查处和督办，林业行政许可、复议与诉讼管理等方面的支出；</w:t>
      </w:r>
      <w:r>
        <w:rPr>
          <w:rFonts w:ascii="仿宋_GB2312" w:eastAsia="仿宋_GB2312" w:hint="eastAsia"/>
          <w:sz w:val="32"/>
          <w:szCs w:val="32"/>
        </w:rPr>
        <w:t>2130234</w:t>
      </w:r>
      <w:r>
        <w:rPr>
          <w:rFonts w:ascii="仿宋_GB2312" w:eastAsia="仿宋_GB2312" w:hint="eastAsia"/>
          <w:sz w:val="32"/>
          <w:szCs w:val="32"/>
        </w:rPr>
        <w:t>林业防灾减灾，指反映为预防和扑救、救治森林火灾、林业有害生物灾害、自然水旱灾害等发生的支出；</w:t>
      </w:r>
      <w:r>
        <w:rPr>
          <w:rFonts w:ascii="仿宋_GB2312" w:eastAsia="仿宋_GB2312" w:hint="eastAsia"/>
          <w:sz w:val="32"/>
          <w:szCs w:val="32"/>
        </w:rPr>
        <w:t>2130299</w:t>
      </w:r>
      <w:r>
        <w:rPr>
          <w:rFonts w:ascii="仿宋_GB2312" w:eastAsia="仿宋_GB2312" w:hint="eastAsia"/>
          <w:sz w:val="32"/>
          <w:szCs w:val="32"/>
        </w:rPr>
        <w:t>其他林业支出，指反映除上述项目以外其他用于林业方面的支出；</w:t>
      </w:r>
      <w:r>
        <w:rPr>
          <w:rFonts w:ascii="仿宋_GB2312" w:eastAsia="仿宋_GB2312" w:hint="eastAsia"/>
          <w:sz w:val="32"/>
          <w:szCs w:val="32"/>
        </w:rPr>
        <w:t>2130310</w:t>
      </w:r>
      <w:r>
        <w:rPr>
          <w:rFonts w:ascii="仿宋_GB2312" w:eastAsia="仿宋_GB2312" w:hint="eastAsia"/>
          <w:sz w:val="32"/>
          <w:szCs w:val="32"/>
        </w:rPr>
        <w:t>水土保持，反映水利系统纳入预算管理的水土保持事业单位的支出，包括规划制订和实</w:t>
      </w:r>
      <w:r>
        <w:rPr>
          <w:rFonts w:ascii="仿宋_GB2312" w:eastAsia="仿宋_GB2312" w:hint="eastAsia"/>
          <w:sz w:val="32"/>
          <w:szCs w:val="32"/>
        </w:rPr>
        <w:t>施，治理、生态修复、预防监测、调查协调、综合治理、开发技术的示范、监督执法等支出以及水土保持生态工程措施和各项管理保护活动的支出；</w:t>
      </w:r>
      <w:r>
        <w:rPr>
          <w:rFonts w:ascii="仿宋_GB2312" w:eastAsia="仿宋_GB2312"/>
          <w:sz w:val="32"/>
          <w:szCs w:val="32"/>
        </w:rPr>
        <w:t>2139999</w:t>
      </w:r>
      <w:r>
        <w:rPr>
          <w:rFonts w:ascii="仿宋_GB2312" w:eastAsia="仿宋_GB2312" w:hint="eastAsia"/>
          <w:sz w:val="32"/>
          <w:szCs w:val="32"/>
        </w:rPr>
        <w:t>其他农林水支出，指反映除化解</w:t>
      </w:r>
      <w:r>
        <w:rPr>
          <w:rFonts w:ascii="仿宋_GB2312" w:eastAsia="仿宋_GB2312" w:hint="eastAsia"/>
          <w:sz w:val="32"/>
          <w:szCs w:val="32"/>
        </w:rPr>
        <w:lastRenderedPageBreak/>
        <w:t>债务支出以外其他用于农林水方面的支出。</w:t>
      </w:r>
    </w:p>
    <w:p w:rsidR="00000000" w:rsidRDefault="005633A3">
      <w:pPr>
        <w:spacing w:line="578" w:lineRule="exact"/>
        <w:ind w:firstLineChars="200" w:firstLine="640"/>
        <w:rPr>
          <w:rFonts w:ascii="仿宋_GB2312" w:eastAsia="仿宋_GB2312"/>
          <w:sz w:val="32"/>
          <w:szCs w:val="32"/>
        </w:rPr>
      </w:pPr>
      <w:r>
        <w:rPr>
          <w:rFonts w:ascii="仿宋_GB2312" w:eastAsia="仿宋_GB2312" w:hint="eastAsia"/>
          <w:sz w:val="32"/>
          <w:szCs w:val="32"/>
        </w:rPr>
        <w:t xml:space="preserve">11. </w:t>
      </w:r>
      <w:r>
        <w:rPr>
          <w:rFonts w:ascii="仿宋_GB2312" w:eastAsia="仿宋_GB2312" w:hint="eastAsia"/>
          <w:sz w:val="32"/>
          <w:szCs w:val="32"/>
        </w:rPr>
        <w:t>住房公积金：</w:t>
      </w:r>
      <w:r>
        <w:rPr>
          <w:rFonts w:ascii="仿宋_GB2312" w:eastAsia="仿宋_GB2312"/>
          <w:sz w:val="32"/>
          <w:szCs w:val="32"/>
        </w:rPr>
        <w:t>2210201</w:t>
      </w:r>
      <w:r>
        <w:rPr>
          <w:rFonts w:ascii="仿宋_GB2312" w:eastAsia="仿宋_GB2312" w:hint="eastAsia"/>
          <w:sz w:val="32"/>
          <w:szCs w:val="32"/>
        </w:rPr>
        <w:t>住房公积金，指反映行政事业单位按人力资源和社会保障部、财政部规定的基本工资和津贴补贴以及规定比例为职工缴纳的住房公积金。</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12.</w:t>
      </w:r>
      <w:r>
        <w:rPr>
          <w:rFonts w:ascii="仿宋_GB2312" w:eastAsia="仿宋_GB2312" w:hint="eastAsia"/>
          <w:sz w:val="32"/>
          <w:szCs w:val="32"/>
        </w:rPr>
        <w:t>结余分配：指事业单位按规定提取的职工福利基金、事业基金和缴纳的所得税，以及建设单位按规定应交回的基本建设竣工项目结余资金。</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13.</w:t>
      </w:r>
      <w:r>
        <w:rPr>
          <w:rFonts w:ascii="仿宋_GB2312" w:eastAsia="仿宋_GB2312" w:hint="eastAsia"/>
          <w:sz w:val="32"/>
          <w:szCs w:val="32"/>
        </w:rPr>
        <w:t>年末结转</w:t>
      </w:r>
      <w:r>
        <w:rPr>
          <w:rFonts w:ascii="仿宋_GB2312" w:eastAsia="仿宋_GB2312" w:hint="eastAsia"/>
          <w:sz w:val="32"/>
          <w:szCs w:val="32"/>
        </w:rPr>
        <w:t>和结余：指本年度或以前年度预算安排、因客观条件发生变化无法按原计划实施，需延迟到以后年度按有关规定继续使用的资金。</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14.</w:t>
      </w:r>
      <w:r>
        <w:rPr>
          <w:rFonts w:ascii="仿宋_GB2312" w:eastAsia="仿宋_GB2312" w:hint="eastAsia"/>
          <w:sz w:val="32"/>
          <w:szCs w:val="32"/>
        </w:rPr>
        <w:t>基本支出：指为保障机构正常运转、完成日常工作任务而发生的人员支出和公用支出。</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15.</w:t>
      </w:r>
      <w:r>
        <w:rPr>
          <w:rFonts w:ascii="仿宋_GB2312" w:eastAsia="仿宋_GB2312" w:hint="eastAsia"/>
          <w:sz w:val="32"/>
          <w:szCs w:val="32"/>
        </w:rPr>
        <w:t>项目支出：指在基本支出之外为完成特定行政任务和事业发展目标所发生的支出。</w:t>
      </w:r>
      <w:r>
        <w:rPr>
          <w:rFonts w:ascii="仿宋_GB2312" w:eastAsia="仿宋_GB2312" w:hint="eastAsia"/>
          <w:sz w:val="32"/>
          <w:szCs w:val="32"/>
        </w:rPr>
        <w:t xml:space="preserve"> </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16.</w:t>
      </w:r>
      <w:r>
        <w:rPr>
          <w:rFonts w:ascii="仿宋_GB2312" w:eastAsia="仿宋_GB2312" w:hint="eastAsia"/>
          <w:sz w:val="32"/>
          <w:szCs w:val="32"/>
        </w:rPr>
        <w:t>经营支出：指事业单位在专业业务活动及其辅助活动之外开展非独立核算经营活动发生的支出。</w:t>
      </w:r>
    </w:p>
    <w:p w:rsidR="00000000"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17.</w:t>
      </w:r>
      <w:r>
        <w:rPr>
          <w:rFonts w:ascii="仿宋_GB2312" w:eastAsia="仿宋_GB2312" w:hint="eastAsia"/>
          <w:sz w:val="32"/>
          <w:szCs w:val="32"/>
        </w:rPr>
        <w:t>“三公”经费：纳入省级财政预决算管理的“三公”经费，是指部门用财政拨款安排的因公出国（境）费、公务用车购置及运行费和公务接待费。其中</w:t>
      </w:r>
      <w:r>
        <w:rPr>
          <w:rFonts w:ascii="仿宋_GB2312" w:eastAsia="仿宋_GB2312" w:hint="eastAsia"/>
          <w:sz w:val="32"/>
          <w:szCs w:val="32"/>
        </w:rPr>
        <w:t>，因公出国（境）费反映单位公务出国（境）的国际旅费、国外城市间交通费、住宿费、伙食费、培训费、公杂费等支出；公务用车购置及运行费反映单位公务用车车辆购置支出（含车辆购置税）及租用费、燃料费、维修费、</w:t>
      </w:r>
      <w:r>
        <w:rPr>
          <w:rFonts w:ascii="仿宋_GB2312" w:eastAsia="仿宋_GB2312" w:hint="eastAsia"/>
          <w:sz w:val="32"/>
          <w:szCs w:val="32"/>
        </w:rPr>
        <w:lastRenderedPageBreak/>
        <w:t>过路过桥费、保险费、安全奖励费用等支出；公务接待费反映单位按规定开支的各类公务接待（含外宾接待）支出。</w:t>
      </w:r>
    </w:p>
    <w:p w:rsidR="005633A3" w:rsidRDefault="005633A3">
      <w:pPr>
        <w:spacing w:line="578" w:lineRule="exact"/>
        <w:ind w:firstLineChars="200" w:firstLine="640"/>
        <w:rPr>
          <w:rFonts w:ascii="仿宋_GB2312" w:eastAsia="仿宋_GB2312" w:hint="eastAsia"/>
          <w:sz w:val="32"/>
          <w:szCs w:val="32"/>
        </w:rPr>
      </w:pPr>
      <w:r>
        <w:rPr>
          <w:rFonts w:ascii="仿宋_GB2312" w:eastAsia="仿宋_GB2312" w:hint="eastAsia"/>
          <w:sz w:val="32"/>
          <w:szCs w:val="32"/>
        </w:rPr>
        <w:t>18.</w:t>
      </w:r>
      <w:r>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w:t>
      </w:r>
      <w:r>
        <w:rPr>
          <w:rFonts w:ascii="仿宋_GB2312" w:eastAsia="仿宋_GB2312" w:hint="eastAsia"/>
          <w:sz w:val="32"/>
          <w:szCs w:val="32"/>
        </w:rPr>
        <w:t>房取暖费、办公用房物业管理费、公务用车运行维护费以及其他费用。</w:t>
      </w:r>
    </w:p>
    <w:sectPr w:rsidR="005633A3">
      <w:footerReference w:type="even" r:id="rId14"/>
      <w:footerReference w:type="default" r:id="rId15"/>
      <w:pgSz w:w="11906" w:h="16838"/>
      <w:pgMar w:top="2098" w:right="1474" w:bottom="1985" w:left="1588" w:header="851" w:footer="1588"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33A3" w:rsidRDefault="005633A3">
      <w:r>
        <w:separator/>
      </w:r>
    </w:p>
  </w:endnote>
  <w:endnote w:type="continuationSeparator" w:id="0">
    <w:p w:rsidR="005633A3" w:rsidRDefault="00563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00"/>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00"/>
    <w:family w:val="modern"/>
    <w:pitch w:val="default"/>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5633A3">
    <w:pPr>
      <w:pStyle w:val="a5"/>
      <w:jc w:val="center"/>
    </w:pPr>
    <w:r>
      <w:fldChar w:fldCharType="begin"/>
    </w:r>
    <w:r>
      <w:instrText xml:space="preserve"> PAGE   \* MERGEFORMAT </w:instrText>
    </w:r>
    <w:r>
      <w:fldChar w:fldCharType="separate"/>
    </w:r>
    <w:r w:rsidR="0098125E" w:rsidRPr="0098125E">
      <w:rPr>
        <w:noProof/>
        <w:lang w:val="zh-CN" w:eastAsia="zh-CN"/>
      </w:rPr>
      <w:t>18</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5633A3">
    <w:pPr>
      <w:pStyle w:val="a5"/>
      <w:jc w:val="center"/>
    </w:pPr>
    <w:r>
      <w:fldChar w:fldCharType="begin"/>
    </w:r>
    <w:r>
      <w:instrText xml:space="preserve"> PAGE   \* MERGEFORMAT </w:instrText>
    </w:r>
    <w:r>
      <w:fldChar w:fldCharType="separate"/>
    </w:r>
    <w:r w:rsidR="0098125E" w:rsidRPr="0098125E">
      <w:rPr>
        <w:noProof/>
        <w:lang w:val="zh-CN" w:eastAsia="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33A3" w:rsidRDefault="005633A3">
      <w:r>
        <w:separator/>
      </w:r>
    </w:p>
  </w:footnote>
  <w:footnote w:type="continuationSeparator" w:id="0">
    <w:p w:rsidR="005633A3" w:rsidRDefault="005633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01CA9"/>
    <w:rsid w:val="00010ACD"/>
    <w:rsid w:val="00011DC9"/>
    <w:rsid w:val="00025CE8"/>
    <w:rsid w:val="00040B8E"/>
    <w:rsid w:val="00094502"/>
    <w:rsid w:val="000B047F"/>
    <w:rsid w:val="000B5A48"/>
    <w:rsid w:val="000C3CA6"/>
    <w:rsid w:val="000D5782"/>
    <w:rsid w:val="001012A8"/>
    <w:rsid w:val="001178C5"/>
    <w:rsid w:val="00130431"/>
    <w:rsid w:val="00137713"/>
    <w:rsid w:val="0014729F"/>
    <w:rsid w:val="00161F20"/>
    <w:rsid w:val="00191536"/>
    <w:rsid w:val="00196A84"/>
    <w:rsid w:val="001E0204"/>
    <w:rsid w:val="00210232"/>
    <w:rsid w:val="00215957"/>
    <w:rsid w:val="00222891"/>
    <w:rsid w:val="00224BFB"/>
    <w:rsid w:val="002456AC"/>
    <w:rsid w:val="00247297"/>
    <w:rsid w:val="00252F35"/>
    <w:rsid w:val="00260C38"/>
    <w:rsid w:val="00277868"/>
    <w:rsid w:val="002E677C"/>
    <w:rsid w:val="00300C71"/>
    <w:rsid w:val="0031155E"/>
    <w:rsid w:val="003159A3"/>
    <w:rsid w:val="0037013F"/>
    <w:rsid w:val="003A484F"/>
    <w:rsid w:val="003B0C1B"/>
    <w:rsid w:val="003B5258"/>
    <w:rsid w:val="003C7F2E"/>
    <w:rsid w:val="00403334"/>
    <w:rsid w:val="00447409"/>
    <w:rsid w:val="0046640A"/>
    <w:rsid w:val="00471968"/>
    <w:rsid w:val="00485307"/>
    <w:rsid w:val="004926EB"/>
    <w:rsid w:val="0049406B"/>
    <w:rsid w:val="004A1A2C"/>
    <w:rsid w:val="004B2F67"/>
    <w:rsid w:val="004E36CE"/>
    <w:rsid w:val="004F6801"/>
    <w:rsid w:val="005633A3"/>
    <w:rsid w:val="00564B18"/>
    <w:rsid w:val="00580C78"/>
    <w:rsid w:val="0058486E"/>
    <w:rsid w:val="005A2B13"/>
    <w:rsid w:val="005C2C47"/>
    <w:rsid w:val="005D5CED"/>
    <w:rsid w:val="005E3765"/>
    <w:rsid w:val="006021FD"/>
    <w:rsid w:val="00605C02"/>
    <w:rsid w:val="00607E6C"/>
    <w:rsid w:val="006233FB"/>
    <w:rsid w:val="00627A29"/>
    <w:rsid w:val="0066343B"/>
    <w:rsid w:val="00674CA4"/>
    <w:rsid w:val="0068457C"/>
    <w:rsid w:val="0069121F"/>
    <w:rsid w:val="006D28A6"/>
    <w:rsid w:val="006E4E6F"/>
    <w:rsid w:val="007005A8"/>
    <w:rsid w:val="007048E1"/>
    <w:rsid w:val="0076182A"/>
    <w:rsid w:val="00767B7E"/>
    <w:rsid w:val="00776F9C"/>
    <w:rsid w:val="007770C3"/>
    <w:rsid w:val="007846D8"/>
    <w:rsid w:val="007D1211"/>
    <w:rsid w:val="00800112"/>
    <w:rsid w:val="00822E1B"/>
    <w:rsid w:val="00845CB9"/>
    <w:rsid w:val="008563B8"/>
    <w:rsid w:val="00871F71"/>
    <w:rsid w:val="008742C8"/>
    <w:rsid w:val="008D224F"/>
    <w:rsid w:val="008D4410"/>
    <w:rsid w:val="008E46B0"/>
    <w:rsid w:val="008F1260"/>
    <w:rsid w:val="00904639"/>
    <w:rsid w:val="009128AE"/>
    <w:rsid w:val="00951248"/>
    <w:rsid w:val="0095152F"/>
    <w:rsid w:val="00971FFC"/>
    <w:rsid w:val="0098125E"/>
    <w:rsid w:val="009B4EAE"/>
    <w:rsid w:val="009B7573"/>
    <w:rsid w:val="009D0DB7"/>
    <w:rsid w:val="009D3447"/>
    <w:rsid w:val="009D5F5B"/>
    <w:rsid w:val="00A255E7"/>
    <w:rsid w:val="00A307CD"/>
    <w:rsid w:val="00A60BB6"/>
    <w:rsid w:val="00A61BC3"/>
    <w:rsid w:val="00AE1F55"/>
    <w:rsid w:val="00AF5327"/>
    <w:rsid w:val="00B03C9D"/>
    <w:rsid w:val="00B10517"/>
    <w:rsid w:val="00B1597A"/>
    <w:rsid w:val="00B310B9"/>
    <w:rsid w:val="00B55CAB"/>
    <w:rsid w:val="00B87267"/>
    <w:rsid w:val="00BE483A"/>
    <w:rsid w:val="00BE6BA1"/>
    <w:rsid w:val="00C03E31"/>
    <w:rsid w:val="00C35554"/>
    <w:rsid w:val="00C533CC"/>
    <w:rsid w:val="00C62B85"/>
    <w:rsid w:val="00CB3D03"/>
    <w:rsid w:val="00CB7239"/>
    <w:rsid w:val="00CC09B6"/>
    <w:rsid w:val="00CE7B61"/>
    <w:rsid w:val="00D229FE"/>
    <w:rsid w:val="00D309A1"/>
    <w:rsid w:val="00D4125E"/>
    <w:rsid w:val="00D71C71"/>
    <w:rsid w:val="00DC410D"/>
    <w:rsid w:val="00DD6452"/>
    <w:rsid w:val="00DE68E4"/>
    <w:rsid w:val="00E06344"/>
    <w:rsid w:val="00E16823"/>
    <w:rsid w:val="00E34066"/>
    <w:rsid w:val="00E82267"/>
    <w:rsid w:val="00E936A5"/>
    <w:rsid w:val="00ED1B63"/>
    <w:rsid w:val="00EF4C34"/>
    <w:rsid w:val="00F04737"/>
    <w:rsid w:val="00F1361C"/>
    <w:rsid w:val="00F160C7"/>
    <w:rsid w:val="00F27859"/>
    <w:rsid w:val="00F300D7"/>
    <w:rsid w:val="00FA18EA"/>
    <w:rsid w:val="00FB6208"/>
    <w:rsid w:val="00FD39C9"/>
    <w:rsid w:val="00FE1C95"/>
    <w:rsid w:val="00FF1E02"/>
    <w:rsid w:val="FBEB6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5:chartTrackingRefBased/>
  <w15:docId w15:val="{5595500C-EEE0-49EA-A887-2F59EEC14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正文文本 Char"/>
    <w:link w:val="a3"/>
    <w:rPr>
      <w:rFonts w:ascii="仿宋_GB2312" w:eastAsia="仿宋_GB2312" w:hAnsi="Times New Roman" w:cs="Times New Roman"/>
      <w:sz w:val="30"/>
      <w:szCs w:val="24"/>
    </w:rPr>
  </w:style>
  <w:style w:type="character" w:customStyle="1" w:styleId="Char0">
    <w:name w:val="页眉 Char"/>
    <w:link w:val="a4"/>
    <w:uiPriority w:val="99"/>
    <w:semiHidden/>
    <w:rPr>
      <w:sz w:val="18"/>
      <w:szCs w:val="18"/>
    </w:rPr>
  </w:style>
  <w:style w:type="character" w:customStyle="1" w:styleId="Char1">
    <w:name w:val="页脚 Char"/>
    <w:link w:val="a5"/>
    <w:uiPriority w:val="99"/>
    <w:rPr>
      <w:sz w:val="18"/>
      <w:szCs w:val="18"/>
    </w:rPr>
  </w:style>
  <w:style w:type="character" w:styleId="a6">
    <w:name w:val="Strong"/>
    <w:uiPriority w:val="22"/>
    <w:qFormat/>
    <w:rPr>
      <w:b/>
      <w:bCs/>
    </w:rPr>
  </w:style>
  <w:style w:type="paragraph" w:customStyle="1" w:styleId="Default">
    <w:name w:val="Default"/>
    <w:pPr>
      <w:widowControl w:val="0"/>
      <w:autoSpaceDE w:val="0"/>
      <w:autoSpaceDN w:val="0"/>
      <w:adjustRightInd w:val="0"/>
    </w:pPr>
    <w:rPr>
      <w:rFonts w:ascii="仿宋" w:eastAsia="仿宋" w:cs="仿宋"/>
      <w:color w:val="000000"/>
      <w:sz w:val="24"/>
      <w:szCs w:val="24"/>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Calibri" w:hAnsi="Calibri"/>
      <w:kern w:val="0"/>
      <w:sz w:val="18"/>
      <w:szCs w:val="18"/>
    </w:rPr>
  </w:style>
  <w:style w:type="paragraph" w:styleId="a3">
    <w:name w:val="Body Text"/>
    <w:basedOn w:val="a"/>
    <w:link w:val="Char"/>
    <w:pPr>
      <w:spacing w:beforeLines="30" w:before="93"/>
    </w:pPr>
    <w:rPr>
      <w:rFonts w:ascii="仿宋_GB2312" w:eastAsia="仿宋_GB2312"/>
      <w:kern w:val="0"/>
      <w:sz w:val="30"/>
    </w:rPr>
  </w:style>
  <w:style w:type="paragraph" w:styleId="a5">
    <w:name w:val="footer"/>
    <w:basedOn w:val="a"/>
    <w:link w:val="Char1"/>
    <w:uiPriority w:val="99"/>
    <w:unhideWhenUsed/>
    <w:pPr>
      <w:tabs>
        <w:tab w:val="center" w:pos="4153"/>
        <w:tab w:val="right" w:pos="8306"/>
      </w:tabs>
      <w:snapToGrid w:val="0"/>
      <w:jc w:val="left"/>
    </w:pPr>
    <w:rPr>
      <w:rFonts w:ascii="Calibri" w:hAnsi="Calibri"/>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chart" Target="charts/chart4.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chart" Target="charts/chart2.xm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chart" Target="charts/chart1.xml"/><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996" b="0" i="0" u="none" strike="noStrike" baseline="0">
                <a:solidFill>
                  <a:srgbClr val="000000"/>
                </a:solidFill>
                <a:latin typeface="宋体"/>
                <a:ea typeface="宋体"/>
                <a:cs typeface="宋体"/>
              </a:defRPr>
            </a:pPr>
            <a:r>
              <a:rPr lang="zh-CN" altLang="en-US"/>
              <a:t>财政拨款收支情况</a:t>
            </a:r>
          </a:p>
        </c:rich>
      </c:tx>
      <c:layout>
        <c:manualLayout>
          <c:xMode val="edge"/>
          <c:yMode val="edge"/>
          <c:x val="0.35695538057742782"/>
          <c:y val="0.02"/>
        </c:manualLayout>
      </c:layout>
      <c:overlay val="0"/>
      <c:spPr>
        <a:noFill/>
        <a:ln w="25300">
          <a:noFill/>
        </a:ln>
      </c:spPr>
    </c:title>
    <c:autoTitleDeleted val="0"/>
    <c:view3D>
      <c:rotX val="15"/>
      <c:hPercent val="42"/>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2598425196850394"/>
          <c:y val="0.185"/>
          <c:w val="0.84776902887139105"/>
          <c:h val="0.65"/>
        </c:manualLayout>
      </c:layout>
      <c:bar3DChart>
        <c:barDir val="col"/>
        <c:grouping val="clustered"/>
        <c:varyColors val="0"/>
        <c:ser>
          <c:idx val="0"/>
          <c:order val="0"/>
          <c:tx>
            <c:strRef>
              <c:f>Sheet1!$A$2</c:f>
              <c:strCache>
                <c:ptCount val="1"/>
              </c:strCache>
            </c:strRef>
          </c:tx>
          <c:spPr>
            <a:solidFill>
              <a:srgbClr val="9999FF"/>
            </a:solidFill>
            <a:ln w="12650">
              <a:solidFill>
                <a:srgbClr val="000000"/>
              </a:solidFill>
              <a:prstDash val="solid"/>
            </a:ln>
          </c:spPr>
          <c:invertIfNegative val="0"/>
          <c:cat>
            <c:strRef>
              <c:f>Sheet1!$B$1:$C$1</c:f>
              <c:strCache>
                <c:ptCount val="2"/>
                <c:pt idx="0">
                  <c:v>2015年</c:v>
                </c:pt>
                <c:pt idx="1">
                  <c:v>2016年</c:v>
                </c:pt>
              </c:strCache>
            </c:strRef>
          </c:cat>
          <c:val>
            <c:numRef>
              <c:f>Sheet1!$B$2:$C$2</c:f>
              <c:numCache>
                <c:formatCode>General</c:formatCode>
                <c:ptCount val="2"/>
                <c:pt idx="0">
                  <c:v>23419.79</c:v>
                </c:pt>
                <c:pt idx="1">
                  <c:v>15556.96</c:v>
                </c:pt>
              </c:numCache>
            </c:numRef>
          </c:val>
        </c:ser>
        <c:dLbls>
          <c:showLegendKey val="0"/>
          <c:showVal val="0"/>
          <c:showCatName val="0"/>
          <c:showSerName val="0"/>
          <c:showPercent val="0"/>
          <c:showBubbleSize val="0"/>
        </c:dLbls>
        <c:gapWidth val="150"/>
        <c:gapDepth val="0"/>
        <c:shape val="box"/>
        <c:axId val="601795696"/>
        <c:axId val="601794912"/>
        <c:axId val="0"/>
      </c:bar3DChart>
      <c:catAx>
        <c:axId val="601795696"/>
        <c:scaling>
          <c:orientation val="minMax"/>
        </c:scaling>
        <c:delete val="0"/>
        <c:axPos val="b"/>
        <c:numFmt formatCode="General" sourceLinked="1"/>
        <c:majorTickMark val="in"/>
        <c:minorTickMark val="none"/>
        <c:tickLblPos val="low"/>
        <c:spPr>
          <a:ln w="3163">
            <a:solidFill>
              <a:srgbClr val="000000"/>
            </a:solidFill>
            <a:prstDash val="solid"/>
          </a:ln>
        </c:spPr>
        <c:txPr>
          <a:bodyPr rot="0" vert="horz"/>
          <a:lstStyle/>
          <a:p>
            <a:pPr>
              <a:defRPr sz="996" b="0" i="0" u="none" strike="noStrike" baseline="0">
                <a:solidFill>
                  <a:srgbClr val="000000"/>
                </a:solidFill>
                <a:latin typeface="宋体"/>
                <a:ea typeface="宋体"/>
                <a:cs typeface="宋体"/>
              </a:defRPr>
            </a:pPr>
            <a:endParaRPr lang="zh-CN"/>
          </a:p>
        </c:txPr>
        <c:crossAx val="601794912"/>
        <c:crosses val="autoZero"/>
        <c:auto val="1"/>
        <c:lblAlgn val="ctr"/>
        <c:lblOffset val="100"/>
        <c:tickLblSkip val="1"/>
        <c:tickMarkSkip val="1"/>
        <c:noMultiLvlLbl val="0"/>
      </c:catAx>
      <c:valAx>
        <c:axId val="601794912"/>
        <c:scaling>
          <c:orientation val="minMax"/>
        </c:scaling>
        <c:delete val="0"/>
        <c:axPos val="l"/>
        <c:majorGridlines>
          <c:spPr>
            <a:ln w="3163">
              <a:solidFill>
                <a:srgbClr val="000000"/>
              </a:solidFill>
              <a:prstDash val="solid"/>
            </a:ln>
          </c:spPr>
        </c:majorGridlines>
        <c:numFmt formatCode="General" sourceLinked="1"/>
        <c:majorTickMark val="in"/>
        <c:minorTickMark val="none"/>
        <c:tickLblPos val="nextTo"/>
        <c:spPr>
          <a:ln w="3163">
            <a:solidFill>
              <a:srgbClr val="000000"/>
            </a:solidFill>
            <a:prstDash val="solid"/>
          </a:ln>
        </c:spPr>
        <c:txPr>
          <a:bodyPr rot="0" vert="horz"/>
          <a:lstStyle/>
          <a:p>
            <a:pPr>
              <a:defRPr sz="996" b="0" i="0" u="none" strike="noStrike" baseline="0">
                <a:solidFill>
                  <a:srgbClr val="000000"/>
                </a:solidFill>
                <a:latin typeface="宋体"/>
                <a:ea typeface="宋体"/>
                <a:cs typeface="宋体"/>
              </a:defRPr>
            </a:pPr>
            <a:endParaRPr lang="zh-CN"/>
          </a:p>
        </c:txPr>
        <c:crossAx val="601795696"/>
        <c:crosses val="autoZero"/>
        <c:crossBetween val="between"/>
      </c:valAx>
      <c:spPr>
        <a:noFill/>
        <a:ln w="25300">
          <a:noFill/>
        </a:ln>
      </c:spPr>
    </c:plotArea>
    <c:plotVisOnly val="1"/>
    <c:dispBlanksAs val="gap"/>
    <c:showDLblsOverMax val="0"/>
  </c:chart>
  <c:spPr>
    <a:noFill/>
    <a:ln>
      <a:noFill/>
    </a:ln>
  </c:spPr>
  <c:txPr>
    <a:bodyPr/>
    <a:lstStyle/>
    <a:p>
      <a:pPr>
        <a:defRPr sz="996" b="0" i="0" u="none" strike="noStrike" baseline="0">
          <a:solidFill>
            <a:srgbClr val="000000"/>
          </a:solidFill>
          <a:latin typeface="宋体"/>
          <a:ea typeface="宋体"/>
          <a:cs typeface="宋体"/>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28" b="0" i="0" u="none" strike="noStrike" baseline="0">
                <a:solidFill>
                  <a:srgbClr val="000000"/>
                </a:solidFill>
                <a:latin typeface="宋体"/>
                <a:ea typeface="宋体"/>
                <a:cs typeface="宋体"/>
              </a:defRPr>
            </a:pPr>
            <a:r>
              <a:rPr lang="zh-CN" altLang="en-US"/>
              <a:t>一般公共预算财政拨款支出</a:t>
            </a:r>
          </a:p>
        </c:rich>
      </c:tx>
      <c:layout>
        <c:manualLayout>
          <c:xMode val="edge"/>
          <c:yMode val="edge"/>
          <c:x val="0.14345991561181434"/>
          <c:y val="7.1428571428571425E-2"/>
        </c:manualLayout>
      </c:layout>
      <c:overlay val="0"/>
      <c:spPr>
        <a:noFill/>
        <a:ln w="31378">
          <a:noFill/>
        </a:ln>
      </c:spPr>
    </c:title>
    <c:autoTitleDeleted val="0"/>
    <c:plotArea>
      <c:layout>
        <c:manualLayout>
          <c:layoutTarget val="inner"/>
          <c:xMode val="edge"/>
          <c:yMode val="edge"/>
          <c:x val="0.26582278481012656"/>
          <c:y val="0.23469387755102042"/>
          <c:w val="0.53586497890295359"/>
          <c:h val="0.5"/>
        </c:manualLayout>
      </c:layout>
      <c:barChart>
        <c:barDir val="col"/>
        <c:grouping val="clustered"/>
        <c:varyColors val="0"/>
        <c:ser>
          <c:idx val="0"/>
          <c:order val="0"/>
          <c:tx>
            <c:strRef>
              <c:f>Sheet1!$A$2</c:f>
              <c:strCache>
                <c:ptCount val="1"/>
              </c:strCache>
            </c:strRef>
          </c:tx>
          <c:spPr>
            <a:solidFill>
              <a:srgbClr val="9999FF"/>
            </a:solidFill>
            <a:ln w="15689">
              <a:solidFill>
                <a:srgbClr val="000000"/>
              </a:solidFill>
              <a:prstDash val="solid"/>
            </a:ln>
          </c:spPr>
          <c:invertIfNegative val="0"/>
          <c:cat>
            <c:strRef>
              <c:f>Sheet1!$B$1:$C$1</c:f>
              <c:strCache>
                <c:ptCount val="2"/>
                <c:pt idx="0">
                  <c:v>2015年度</c:v>
                </c:pt>
                <c:pt idx="1">
                  <c:v>2016年度</c:v>
                </c:pt>
              </c:strCache>
            </c:strRef>
          </c:cat>
          <c:val>
            <c:numRef>
              <c:f>Sheet1!$B$2:$C$2</c:f>
              <c:numCache>
                <c:formatCode>General</c:formatCode>
                <c:ptCount val="2"/>
                <c:pt idx="0">
                  <c:v>10348.129999999999</c:v>
                </c:pt>
                <c:pt idx="1">
                  <c:v>7006.02</c:v>
                </c:pt>
              </c:numCache>
            </c:numRef>
          </c:val>
        </c:ser>
        <c:ser>
          <c:idx val="1"/>
          <c:order val="1"/>
          <c:tx>
            <c:strRef>
              <c:f>Sheet1!$A$3</c:f>
              <c:strCache>
                <c:ptCount val="1"/>
              </c:strCache>
            </c:strRef>
          </c:tx>
          <c:spPr>
            <a:solidFill>
              <a:srgbClr val="993366"/>
            </a:solidFill>
            <a:ln w="15689">
              <a:solidFill>
                <a:srgbClr val="000000"/>
              </a:solidFill>
              <a:prstDash val="solid"/>
            </a:ln>
          </c:spPr>
          <c:invertIfNegative val="0"/>
          <c:cat>
            <c:strRef>
              <c:f>Sheet1!$B$1:$C$1</c:f>
              <c:strCache>
                <c:ptCount val="2"/>
                <c:pt idx="0">
                  <c:v>2015年度</c:v>
                </c:pt>
                <c:pt idx="1">
                  <c:v>2016年度</c:v>
                </c:pt>
              </c:strCache>
            </c:strRef>
          </c:cat>
          <c:val>
            <c:numRef>
              <c:f>Sheet1!$B$3:$C$3</c:f>
              <c:numCache>
                <c:formatCode>General</c:formatCode>
                <c:ptCount val="2"/>
              </c:numCache>
            </c:numRef>
          </c:val>
        </c:ser>
        <c:ser>
          <c:idx val="2"/>
          <c:order val="2"/>
          <c:tx>
            <c:strRef>
              <c:f>Sheet1!$A$4</c:f>
              <c:strCache>
                <c:ptCount val="1"/>
              </c:strCache>
            </c:strRef>
          </c:tx>
          <c:spPr>
            <a:solidFill>
              <a:srgbClr val="FFFFCC"/>
            </a:solidFill>
            <a:ln w="15689">
              <a:solidFill>
                <a:srgbClr val="000000"/>
              </a:solidFill>
              <a:prstDash val="solid"/>
            </a:ln>
          </c:spPr>
          <c:invertIfNegative val="0"/>
          <c:cat>
            <c:strRef>
              <c:f>Sheet1!$B$1:$C$1</c:f>
              <c:strCache>
                <c:ptCount val="2"/>
                <c:pt idx="0">
                  <c:v>2015年度</c:v>
                </c:pt>
                <c:pt idx="1">
                  <c:v>2016年度</c:v>
                </c:pt>
              </c:strCache>
            </c:strRef>
          </c:cat>
          <c:val>
            <c:numRef>
              <c:f>Sheet1!$B$4:$C$4</c:f>
              <c:numCache>
                <c:formatCode>General</c:formatCode>
                <c:ptCount val="2"/>
              </c:numCache>
            </c:numRef>
          </c:val>
        </c:ser>
        <c:ser>
          <c:idx val="3"/>
          <c:order val="3"/>
          <c:tx>
            <c:strRef>
              <c:f>Sheet1!$A$5</c:f>
              <c:strCache>
                <c:ptCount val="1"/>
              </c:strCache>
            </c:strRef>
          </c:tx>
          <c:spPr>
            <a:solidFill>
              <a:srgbClr val="CCFFFF"/>
            </a:solidFill>
            <a:ln w="15689">
              <a:solidFill>
                <a:srgbClr val="000000"/>
              </a:solidFill>
              <a:prstDash val="solid"/>
            </a:ln>
          </c:spPr>
          <c:invertIfNegative val="0"/>
          <c:cat>
            <c:strRef>
              <c:f>Sheet1!$B$1:$C$1</c:f>
              <c:strCache>
                <c:ptCount val="2"/>
                <c:pt idx="0">
                  <c:v>2015年度</c:v>
                </c:pt>
                <c:pt idx="1">
                  <c:v>2016年度</c:v>
                </c:pt>
              </c:strCache>
            </c:strRef>
          </c:cat>
          <c:val>
            <c:numRef>
              <c:f>Sheet1!$B$5:$C$5</c:f>
              <c:numCache>
                <c:formatCode>General</c:formatCode>
                <c:ptCount val="2"/>
              </c:numCache>
            </c:numRef>
          </c:val>
        </c:ser>
        <c:dLbls>
          <c:showLegendKey val="0"/>
          <c:showVal val="0"/>
          <c:showCatName val="0"/>
          <c:showSerName val="0"/>
          <c:showPercent val="0"/>
          <c:showBubbleSize val="0"/>
        </c:dLbls>
        <c:gapWidth val="150"/>
        <c:axId val="601794520"/>
        <c:axId val="601794128"/>
      </c:barChart>
      <c:catAx>
        <c:axId val="601794520"/>
        <c:scaling>
          <c:orientation val="minMax"/>
        </c:scaling>
        <c:delete val="0"/>
        <c:axPos val="b"/>
        <c:numFmt formatCode="General" sourceLinked="1"/>
        <c:majorTickMark val="in"/>
        <c:minorTickMark val="none"/>
        <c:tickLblPos val="nextTo"/>
        <c:spPr>
          <a:ln w="3922">
            <a:solidFill>
              <a:srgbClr val="000000"/>
            </a:solidFill>
            <a:prstDash val="solid"/>
          </a:ln>
        </c:spPr>
        <c:txPr>
          <a:bodyPr rot="0" vert="horz"/>
          <a:lstStyle/>
          <a:p>
            <a:pPr>
              <a:defRPr sz="1112" b="0" i="0" u="none" strike="noStrike" baseline="0">
                <a:solidFill>
                  <a:srgbClr val="000000"/>
                </a:solidFill>
                <a:latin typeface="宋体"/>
                <a:ea typeface="宋体"/>
                <a:cs typeface="宋体"/>
              </a:defRPr>
            </a:pPr>
            <a:endParaRPr lang="zh-CN"/>
          </a:p>
        </c:txPr>
        <c:crossAx val="601794128"/>
        <c:crosses val="autoZero"/>
        <c:auto val="1"/>
        <c:lblAlgn val="ctr"/>
        <c:lblOffset val="100"/>
        <c:tickLblSkip val="1"/>
        <c:tickMarkSkip val="1"/>
        <c:noMultiLvlLbl val="0"/>
      </c:catAx>
      <c:valAx>
        <c:axId val="601794128"/>
        <c:scaling>
          <c:orientation val="minMax"/>
        </c:scaling>
        <c:delete val="0"/>
        <c:axPos val="l"/>
        <c:numFmt formatCode="General" sourceLinked="1"/>
        <c:majorTickMark val="in"/>
        <c:minorTickMark val="none"/>
        <c:tickLblPos val="nextTo"/>
        <c:spPr>
          <a:ln w="3922">
            <a:solidFill>
              <a:srgbClr val="000000"/>
            </a:solidFill>
            <a:prstDash val="solid"/>
          </a:ln>
        </c:spPr>
        <c:txPr>
          <a:bodyPr rot="0" vert="horz"/>
          <a:lstStyle/>
          <a:p>
            <a:pPr>
              <a:defRPr sz="1112" b="0" i="0" u="none" strike="noStrike" baseline="0">
                <a:solidFill>
                  <a:srgbClr val="000000"/>
                </a:solidFill>
                <a:latin typeface="宋体"/>
                <a:ea typeface="宋体"/>
                <a:cs typeface="宋体"/>
              </a:defRPr>
            </a:pPr>
            <a:endParaRPr lang="zh-CN"/>
          </a:p>
        </c:txPr>
        <c:crossAx val="601794520"/>
        <c:crosses val="autoZero"/>
        <c:crossBetween val="between"/>
      </c:valAx>
      <c:spPr>
        <a:solidFill>
          <a:srgbClr val="C0C0C0"/>
        </a:solidFill>
        <a:ln w="15689">
          <a:solidFill>
            <a:srgbClr val="808080"/>
          </a:solidFill>
          <a:prstDash val="solid"/>
        </a:ln>
      </c:spPr>
    </c:plotArea>
    <c:plotVisOnly val="1"/>
    <c:dispBlanksAs val="gap"/>
    <c:showDLblsOverMax val="0"/>
  </c:chart>
  <c:spPr>
    <a:noFill/>
    <a:ln>
      <a:noFill/>
    </a:ln>
  </c:spPr>
  <c:txPr>
    <a:bodyPr/>
    <a:lstStyle/>
    <a:p>
      <a:pPr>
        <a:defRPr sz="988" b="0" i="0" u="none" strike="noStrike" baseline="0">
          <a:solidFill>
            <a:srgbClr val="000000"/>
          </a:solidFill>
          <a:latin typeface="宋体"/>
          <a:ea typeface="宋体"/>
          <a:cs typeface="宋体"/>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26" b="0" i="0" u="none" strike="noStrike" baseline="0">
                <a:solidFill>
                  <a:srgbClr val="000000"/>
                </a:solidFill>
                <a:latin typeface="宋体"/>
                <a:ea typeface="宋体"/>
                <a:cs typeface="宋体"/>
              </a:defRPr>
            </a:pPr>
            <a:r>
              <a:rPr lang="en-US" altLang="zh-CN"/>
              <a:t>2016</a:t>
            </a:r>
            <a:r>
              <a:rPr lang="zh-CN" altLang="en-US"/>
              <a:t>年一般公共预算财政拨款支出</a:t>
            </a:r>
          </a:p>
        </c:rich>
      </c:tx>
      <c:layout>
        <c:manualLayout>
          <c:xMode val="edge"/>
          <c:yMode val="edge"/>
          <c:x val="0.12420382165605096"/>
          <c:y val="0.84166666666666667"/>
        </c:manualLayout>
      </c:layout>
      <c:overlay val="0"/>
      <c:spPr>
        <a:noFill/>
        <a:ln w="32074">
          <a:noFill/>
        </a:ln>
      </c:spPr>
    </c:title>
    <c:autoTitleDeleted val="0"/>
    <c:plotArea>
      <c:layout>
        <c:manualLayout>
          <c:layoutTarget val="inner"/>
          <c:xMode val="edge"/>
          <c:yMode val="edge"/>
          <c:x val="0.1178343949044586"/>
          <c:y val="0.34583333333333333"/>
          <c:w val="0.34076433121019106"/>
          <c:h val="0.44583333333333336"/>
        </c:manualLayout>
      </c:layout>
      <c:pieChart>
        <c:varyColors val="1"/>
        <c:ser>
          <c:idx val="0"/>
          <c:order val="0"/>
          <c:tx>
            <c:strRef>
              <c:f>Sheet1!$A$2</c:f>
              <c:strCache>
                <c:ptCount val="1"/>
              </c:strCache>
            </c:strRef>
          </c:tx>
          <c:spPr>
            <a:solidFill>
              <a:srgbClr val="9999FF"/>
            </a:solidFill>
            <a:ln w="16037">
              <a:solidFill>
                <a:srgbClr val="000000"/>
              </a:solidFill>
              <a:prstDash val="solid"/>
            </a:ln>
          </c:spPr>
          <c:dPt>
            <c:idx val="0"/>
            <c:bubble3D val="0"/>
          </c:dPt>
          <c:dPt>
            <c:idx val="1"/>
            <c:bubble3D val="0"/>
            <c:spPr>
              <a:solidFill>
                <a:srgbClr val="993366"/>
              </a:solidFill>
              <a:ln w="16037">
                <a:solidFill>
                  <a:srgbClr val="000000"/>
                </a:solidFill>
                <a:prstDash val="solid"/>
              </a:ln>
            </c:spPr>
          </c:dPt>
          <c:dPt>
            <c:idx val="2"/>
            <c:bubble3D val="0"/>
            <c:spPr>
              <a:solidFill>
                <a:srgbClr val="FFFFCC"/>
              </a:solidFill>
              <a:ln w="16037">
                <a:solidFill>
                  <a:srgbClr val="000000"/>
                </a:solidFill>
                <a:prstDash val="solid"/>
              </a:ln>
            </c:spPr>
          </c:dPt>
          <c:dPt>
            <c:idx val="3"/>
            <c:bubble3D val="0"/>
            <c:spPr>
              <a:solidFill>
                <a:srgbClr val="CCFFFF"/>
              </a:solidFill>
              <a:ln w="16037">
                <a:solidFill>
                  <a:srgbClr val="000000"/>
                </a:solidFill>
                <a:prstDash val="solid"/>
              </a:ln>
            </c:spPr>
          </c:dPt>
          <c:dPt>
            <c:idx val="4"/>
            <c:bubble3D val="0"/>
            <c:spPr>
              <a:solidFill>
                <a:srgbClr val="660066"/>
              </a:solidFill>
              <a:ln w="16037">
                <a:solidFill>
                  <a:srgbClr val="000000"/>
                </a:solidFill>
                <a:prstDash val="solid"/>
              </a:ln>
            </c:spPr>
          </c:dPt>
          <c:dLbls>
            <c:dLbl>
              <c:idx val="2"/>
              <c:layout>
                <c:manualLayout>
                  <c:x val="7.0063694267515922E-2"/>
                  <c:y val="1.4996364356324676E-2"/>
                </c:manualLayout>
              </c:layout>
              <c:numFmt formatCode="0.00%" sourceLinked="0"/>
              <c:spPr>
                <a:noFill/>
                <a:ln w="32074">
                  <a:noFill/>
                </a:ln>
              </c:spPr>
              <c:txPr>
                <a:bodyPr/>
                <a:lstStyle/>
                <a:p>
                  <a:pPr>
                    <a:defRPr sz="1010" b="0" i="0" u="none" strike="noStrike" baseline="0">
                      <a:solidFill>
                        <a:srgbClr val="000000"/>
                      </a:solidFill>
                      <a:latin typeface="宋体"/>
                      <a:ea typeface="宋体"/>
                      <a:cs typeface="宋体"/>
                    </a:defRPr>
                  </a:pPr>
                  <a:endParaRPr lang="zh-CN"/>
                </a:p>
              </c:txPr>
              <c:dLblPos val="bestFit"/>
              <c:showLegendKey val="0"/>
              <c:showVal val="0"/>
              <c:showCatName val="0"/>
              <c:showSerName val="0"/>
              <c:showPercent val="1"/>
              <c:showBubbleSize val="0"/>
              <c:extLst>
                <c:ext xmlns:c15="http://schemas.microsoft.com/office/drawing/2012/chart" uri="{CE6537A1-D6FC-4f65-9D91-7224C49458BB}"/>
              </c:extLst>
            </c:dLbl>
            <c:numFmt formatCode="0.00%" sourceLinked="0"/>
            <c:spPr>
              <a:noFill/>
              <a:ln w="32074">
                <a:noFill/>
              </a:ln>
            </c:spPr>
            <c:txPr>
              <a:bodyPr wrap="square" lIns="38100" tIns="19050" rIns="38100" bIns="19050" anchor="ctr">
                <a:spAutoFit/>
              </a:bodyPr>
              <a:lstStyle/>
              <a:p>
                <a:pPr>
                  <a:defRPr sz="1010" b="0" i="0" u="none" strike="noStrike" baseline="0">
                    <a:solidFill>
                      <a:srgbClr val="000000"/>
                    </a:solidFill>
                    <a:latin typeface="宋体"/>
                    <a:ea typeface="宋体"/>
                    <a:cs typeface="宋体"/>
                  </a:defRPr>
                </a:pPr>
                <a:endParaRPr lang="zh-CN"/>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Sheet1!$B$1:$F$1</c:f>
              <c:strCache>
                <c:ptCount val="5"/>
                <c:pt idx="0">
                  <c:v>一般公共服务支出</c:v>
                </c:pt>
                <c:pt idx="1">
                  <c:v>农林水支出</c:v>
                </c:pt>
                <c:pt idx="2">
                  <c:v>节能环保支出</c:v>
                </c:pt>
                <c:pt idx="3">
                  <c:v>社会保障和就业支出</c:v>
                </c:pt>
                <c:pt idx="4">
                  <c:v>住房保障支出</c:v>
                </c:pt>
              </c:strCache>
            </c:strRef>
          </c:cat>
          <c:val>
            <c:numRef>
              <c:f>Sheet1!$B$2:$F$2</c:f>
              <c:numCache>
                <c:formatCode>General</c:formatCode>
                <c:ptCount val="5"/>
                <c:pt idx="0">
                  <c:v>36.020000000000003</c:v>
                </c:pt>
                <c:pt idx="1">
                  <c:v>5550.33</c:v>
                </c:pt>
                <c:pt idx="2">
                  <c:v>767.04</c:v>
                </c:pt>
                <c:pt idx="3">
                  <c:v>465.73</c:v>
                </c:pt>
                <c:pt idx="4">
                  <c:v>186.9</c:v>
                </c:pt>
              </c:numCache>
            </c:numRef>
          </c:val>
        </c:ser>
        <c:ser>
          <c:idx val="1"/>
          <c:order val="1"/>
          <c:tx>
            <c:strRef>
              <c:f>Sheet1!$A$3</c:f>
              <c:strCache>
                <c:ptCount val="1"/>
              </c:strCache>
            </c:strRef>
          </c:tx>
          <c:spPr>
            <a:solidFill>
              <a:srgbClr val="993366"/>
            </a:solidFill>
            <a:ln w="16037">
              <a:solidFill>
                <a:srgbClr val="000000"/>
              </a:solidFill>
              <a:prstDash val="solid"/>
            </a:ln>
          </c:spPr>
          <c:dPt>
            <c:idx val="0"/>
            <c:bubble3D val="0"/>
            <c:spPr>
              <a:solidFill>
                <a:srgbClr val="9999FF"/>
              </a:solidFill>
              <a:ln w="16037">
                <a:solidFill>
                  <a:srgbClr val="000000"/>
                </a:solidFill>
                <a:prstDash val="solid"/>
              </a:ln>
            </c:spPr>
          </c:dPt>
          <c:dPt>
            <c:idx val="1"/>
            <c:bubble3D val="0"/>
          </c:dPt>
          <c:dPt>
            <c:idx val="2"/>
            <c:bubble3D val="0"/>
            <c:spPr>
              <a:solidFill>
                <a:srgbClr val="FFFFCC"/>
              </a:solidFill>
              <a:ln w="16037">
                <a:solidFill>
                  <a:srgbClr val="000000"/>
                </a:solidFill>
                <a:prstDash val="solid"/>
              </a:ln>
            </c:spPr>
          </c:dPt>
          <c:dPt>
            <c:idx val="3"/>
            <c:bubble3D val="0"/>
            <c:spPr>
              <a:solidFill>
                <a:srgbClr val="CCFFFF"/>
              </a:solidFill>
              <a:ln w="16037">
                <a:solidFill>
                  <a:srgbClr val="000000"/>
                </a:solidFill>
                <a:prstDash val="solid"/>
              </a:ln>
            </c:spPr>
          </c:dPt>
          <c:dPt>
            <c:idx val="4"/>
            <c:bubble3D val="0"/>
            <c:spPr>
              <a:solidFill>
                <a:srgbClr val="660066"/>
              </a:solidFill>
              <a:ln w="16037">
                <a:solidFill>
                  <a:srgbClr val="000000"/>
                </a:solidFill>
                <a:prstDash val="solid"/>
              </a:ln>
            </c:spPr>
          </c:dPt>
          <c:dLbls>
            <c:numFmt formatCode="0%" sourceLinked="0"/>
            <c:spPr>
              <a:noFill/>
              <a:ln w="32074">
                <a:noFill/>
              </a:ln>
            </c:spPr>
            <c:txPr>
              <a:bodyPr wrap="square" lIns="38100" tIns="19050" rIns="38100" bIns="19050" anchor="ctr">
                <a:spAutoFit/>
              </a:bodyPr>
              <a:lstStyle/>
              <a:p>
                <a:pPr>
                  <a:defRPr sz="1357" b="0" i="0" u="none" strike="noStrike" baseline="0">
                    <a:solidFill>
                      <a:srgbClr val="000000"/>
                    </a:solidFill>
                    <a:latin typeface="宋体"/>
                    <a:ea typeface="宋体"/>
                    <a:cs typeface="宋体"/>
                  </a:defRPr>
                </a:pPr>
                <a:endParaRPr lang="zh-CN"/>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Sheet1!$B$1:$F$1</c:f>
              <c:strCache>
                <c:ptCount val="5"/>
                <c:pt idx="0">
                  <c:v>一般公共服务支出</c:v>
                </c:pt>
                <c:pt idx="1">
                  <c:v>农林水支出</c:v>
                </c:pt>
                <c:pt idx="2">
                  <c:v>节能环保支出</c:v>
                </c:pt>
                <c:pt idx="3">
                  <c:v>社会保障和就业支出</c:v>
                </c:pt>
                <c:pt idx="4">
                  <c:v>住房保障支出</c:v>
                </c:pt>
              </c:strCache>
            </c:strRef>
          </c:cat>
          <c:val>
            <c:numRef>
              <c:f>Sheet1!$B$3:$F$3</c:f>
              <c:numCache>
                <c:formatCode>General</c:formatCode>
                <c:ptCount val="5"/>
              </c:numCache>
            </c:numRef>
          </c:val>
        </c:ser>
        <c:ser>
          <c:idx val="2"/>
          <c:order val="2"/>
          <c:tx>
            <c:strRef>
              <c:f>Sheet1!$A$4</c:f>
              <c:strCache>
                <c:ptCount val="1"/>
              </c:strCache>
            </c:strRef>
          </c:tx>
          <c:spPr>
            <a:solidFill>
              <a:srgbClr val="FFFFCC"/>
            </a:solidFill>
            <a:ln w="16037">
              <a:solidFill>
                <a:srgbClr val="000000"/>
              </a:solidFill>
              <a:prstDash val="solid"/>
            </a:ln>
          </c:spPr>
          <c:dPt>
            <c:idx val="0"/>
            <c:bubble3D val="0"/>
            <c:spPr>
              <a:solidFill>
                <a:srgbClr val="9999FF"/>
              </a:solidFill>
              <a:ln w="16037">
                <a:solidFill>
                  <a:srgbClr val="000000"/>
                </a:solidFill>
                <a:prstDash val="solid"/>
              </a:ln>
            </c:spPr>
          </c:dPt>
          <c:dPt>
            <c:idx val="1"/>
            <c:bubble3D val="0"/>
            <c:spPr>
              <a:solidFill>
                <a:srgbClr val="993366"/>
              </a:solidFill>
              <a:ln w="16037">
                <a:solidFill>
                  <a:srgbClr val="000000"/>
                </a:solidFill>
                <a:prstDash val="solid"/>
              </a:ln>
            </c:spPr>
          </c:dPt>
          <c:dPt>
            <c:idx val="2"/>
            <c:bubble3D val="0"/>
          </c:dPt>
          <c:dPt>
            <c:idx val="3"/>
            <c:bubble3D val="0"/>
            <c:spPr>
              <a:solidFill>
                <a:srgbClr val="CCFFFF"/>
              </a:solidFill>
              <a:ln w="16037">
                <a:solidFill>
                  <a:srgbClr val="000000"/>
                </a:solidFill>
                <a:prstDash val="solid"/>
              </a:ln>
            </c:spPr>
          </c:dPt>
          <c:dPt>
            <c:idx val="4"/>
            <c:bubble3D val="0"/>
            <c:spPr>
              <a:solidFill>
                <a:srgbClr val="660066"/>
              </a:solidFill>
              <a:ln w="16037">
                <a:solidFill>
                  <a:srgbClr val="000000"/>
                </a:solidFill>
                <a:prstDash val="solid"/>
              </a:ln>
            </c:spPr>
          </c:dPt>
          <c:dLbls>
            <c:numFmt formatCode="0%" sourceLinked="0"/>
            <c:spPr>
              <a:noFill/>
              <a:ln w="32074">
                <a:noFill/>
              </a:ln>
            </c:spPr>
            <c:txPr>
              <a:bodyPr wrap="square" lIns="38100" tIns="19050" rIns="38100" bIns="19050" anchor="ctr">
                <a:spAutoFit/>
              </a:bodyPr>
              <a:lstStyle/>
              <a:p>
                <a:pPr>
                  <a:defRPr sz="1357" b="0" i="0" u="none" strike="noStrike" baseline="0">
                    <a:solidFill>
                      <a:srgbClr val="000000"/>
                    </a:solidFill>
                    <a:latin typeface="宋体"/>
                    <a:ea typeface="宋体"/>
                    <a:cs typeface="宋体"/>
                  </a:defRPr>
                </a:pPr>
                <a:endParaRPr lang="zh-CN"/>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Sheet1!$B$1:$F$1</c:f>
              <c:strCache>
                <c:ptCount val="5"/>
                <c:pt idx="0">
                  <c:v>一般公共服务支出</c:v>
                </c:pt>
                <c:pt idx="1">
                  <c:v>农林水支出</c:v>
                </c:pt>
                <c:pt idx="2">
                  <c:v>节能环保支出</c:v>
                </c:pt>
                <c:pt idx="3">
                  <c:v>社会保障和就业支出</c:v>
                </c:pt>
                <c:pt idx="4">
                  <c:v>住房保障支出</c:v>
                </c:pt>
              </c:strCache>
            </c:strRef>
          </c:cat>
          <c:val>
            <c:numRef>
              <c:f>Sheet1!$B$4:$F$4</c:f>
              <c:numCache>
                <c:formatCode>General</c:formatCode>
                <c:ptCount val="5"/>
              </c:numCache>
            </c:numRef>
          </c:val>
        </c:ser>
        <c:ser>
          <c:idx val="3"/>
          <c:order val="3"/>
          <c:tx>
            <c:strRef>
              <c:f>Sheet1!$A$5</c:f>
              <c:strCache>
                <c:ptCount val="1"/>
              </c:strCache>
            </c:strRef>
          </c:tx>
          <c:spPr>
            <a:solidFill>
              <a:srgbClr val="CCFFFF"/>
            </a:solidFill>
            <a:ln w="16037">
              <a:solidFill>
                <a:srgbClr val="000000"/>
              </a:solidFill>
              <a:prstDash val="solid"/>
            </a:ln>
          </c:spPr>
          <c:dPt>
            <c:idx val="0"/>
            <c:bubble3D val="0"/>
            <c:spPr>
              <a:solidFill>
                <a:srgbClr val="9999FF"/>
              </a:solidFill>
              <a:ln w="16037">
                <a:solidFill>
                  <a:srgbClr val="000000"/>
                </a:solidFill>
                <a:prstDash val="solid"/>
              </a:ln>
            </c:spPr>
          </c:dPt>
          <c:dPt>
            <c:idx val="1"/>
            <c:bubble3D val="0"/>
            <c:spPr>
              <a:solidFill>
                <a:srgbClr val="993366"/>
              </a:solidFill>
              <a:ln w="16037">
                <a:solidFill>
                  <a:srgbClr val="000000"/>
                </a:solidFill>
                <a:prstDash val="solid"/>
              </a:ln>
            </c:spPr>
          </c:dPt>
          <c:dPt>
            <c:idx val="2"/>
            <c:bubble3D val="0"/>
            <c:spPr>
              <a:solidFill>
                <a:srgbClr val="FFFFCC"/>
              </a:solidFill>
              <a:ln w="16037">
                <a:solidFill>
                  <a:srgbClr val="000000"/>
                </a:solidFill>
                <a:prstDash val="solid"/>
              </a:ln>
            </c:spPr>
          </c:dPt>
          <c:dPt>
            <c:idx val="3"/>
            <c:bubble3D val="0"/>
          </c:dPt>
          <c:dPt>
            <c:idx val="4"/>
            <c:bubble3D val="0"/>
            <c:spPr>
              <a:solidFill>
                <a:srgbClr val="660066"/>
              </a:solidFill>
              <a:ln w="16037">
                <a:solidFill>
                  <a:srgbClr val="000000"/>
                </a:solidFill>
                <a:prstDash val="solid"/>
              </a:ln>
            </c:spPr>
          </c:dPt>
          <c:dLbls>
            <c:numFmt formatCode="0%" sourceLinked="0"/>
            <c:spPr>
              <a:noFill/>
              <a:ln w="32074">
                <a:noFill/>
              </a:ln>
            </c:spPr>
            <c:txPr>
              <a:bodyPr wrap="square" lIns="38100" tIns="19050" rIns="38100" bIns="19050" anchor="ctr">
                <a:spAutoFit/>
              </a:bodyPr>
              <a:lstStyle/>
              <a:p>
                <a:pPr>
                  <a:defRPr sz="1357" b="0" i="0" u="none" strike="noStrike" baseline="0">
                    <a:solidFill>
                      <a:srgbClr val="000000"/>
                    </a:solidFill>
                    <a:latin typeface="宋体"/>
                    <a:ea typeface="宋体"/>
                    <a:cs typeface="宋体"/>
                  </a:defRPr>
                </a:pPr>
                <a:endParaRPr lang="zh-CN"/>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Sheet1!$B$1:$F$1</c:f>
              <c:strCache>
                <c:ptCount val="5"/>
                <c:pt idx="0">
                  <c:v>一般公共服务支出</c:v>
                </c:pt>
                <c:pt idx="1">
                  <c:v>农林水支出</c:v>
                </c:pt>
                <c:pt idx="2">
                  <c:v>节能环保支出</c:v>
                </c:pt>
                <c:pt idx="3">
                  <c:v>社会保障和就业支出</c:v>
                </c:pt>
                <c:pt idx="4">
                  <c:v>住房保障支出</c:v>
                </c:pt>
              </c:strCache>
            </c:strRef>
          </c:cat>
          <c:val>
            <c:numRef>
              <c:f>Sheet1!$B$5:$F$5</c:f>
              <c:numCache>
                <c:formatCode>General</c:formatCode>
                <c:ptCount val="5"/>
              </c:numCache>
            </c:numRef>
          </c:val>
        </c:ser>
        <c:dLbls>
          <c:showLegendKey val="0"/>
          <c:showVal val="0"/>
          <c:showCatName val="0"/>
          <c:showSerName val="0"/>
          <c:showPercent val="1"/>
          <c:showBubbleSize val="0"/>
          <c:showLeaderLines val="1"/>
        </c:dLbls>
        <c:firstSliceAng val="0"/>
      </c:pieChart>
      <c:spPr>
        <a:solidFill>
          <a:srgbClr val="C0C0C0"/>
        </a:solidFill>
        <a:ln w="16037">
          <a:solidFill>
            <a:srgbClr val="808080"/>
          </a:solidFill>
          <a:prstDash val="solid"/>
        </a:ln>
      </c:spPr>
    </c:plotArea>
    <c:legend>
      <c:legendPos val="r"/>
      <c:layout>
        <c:manualLayout>
          <c:xMode val="edge"/>
          <c:yMode val="edge"/>
          <c:x val="0.52229299363057324"/>
          <c:y val="0.25"/>
          <c:w val="0.24203821656050956"/>
          <c:h val="0.5708333333333333"/>
        </c:manualLayout>
      </c:layout>
      <c:overlay val="0"/>
      <c:spPr>
        <a:noFill/>
        <a:ln w="4009">
          <a:solidFill>
            <a:srgbClr val="000000"/>
          </a:solidFill>
          <a:prstDash val="solid"/>
        </a:ln>
      </c:spPr>
      <c:txPr>
        <a:bodyPr/>
        <a:lstStyle/>
        <a:p>
          <a:pPr>
            <a:defRPr sz="928" b="0" i="0" u="none" strike="noStrike" baseline="0">
              <a:solidFill>
                <a:srgbClr val="000000"/>
              </a:solidFill>
              <a:latin typeface="宋体"/>
              <a:ea typeface="宋体"/>
              <a:cs typeface="宋体"/>
            </a:defRPr>
          </a:pPr>
          <a:endParaRPr lang="zh-CN"/>
        </a:p>
      </c:txPr>
    </c:legend>
    <c:plotVisOnly val="1"/>
    <c:dispBlanksAs val="zero"/>
    <c:showDLblsOverMax val="0"/>
  </c:chart>
  <c:spPr>
    <a:noFill/>
    <a:ln>
      <a:noFill/>
    </a:ln>
  </c:spPr>
  <c:txPr>
    <a:bodyPr/>
    <a:lstStyle/>
    <a:p>
      <a:pPr>
        <a:defRPr sz="1294" b="0" i="0" u="none" strike="noStrike" baseline="0">
          <a:solidFill>
            <a:srgbClr val="000000"/>
          </a:solidFill>
          <a:latin typeface="宋体"/>
          <a:ea typeface="宋体"/>
          <a:cs typeface="宋体"/>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26" b="0" i="0" u="none" strike="noStrike" baseline="0">
                <a:solidFill>
                  <a:srgbClr val="000000"/>
                </a:solidFill>
                <a:latin typeface="宋体"/>
                <a:ea typeface="宋体"/>
                <a:cs typeface="宋体"/>
              </a:defRPr>
            </a:pPr>
            <a:r>
              <a:rPr lang="en-US" altLang="zh-CN"/>
              <a:t>2016</a:t>
            </a:r>
            <a:r>
              <a:rPr lang="zh-CN" altLang="en-US"/>
              <a:t>年度“三公”经费财政拨款支出</a:t>
            </a:r>
          </a:p>
        </c:rich>
      </c:tx>
      <c:layout>
        <c:manualLayout>
          <c:xMode val="edge"/>
          <c:yMode val="edge"/>
          <c:x val="7.32484076433121E-2"/>
          <c:y val="0.84583333333333333"/>
        </c:manualLayout>
      </c:layout>
      <c:overlay val="0"/>
      <c:spPr>
        <a:noFill/>
        <a:ln w="32074">
          <a:noFill/>
        </a:ln>
      </c:spPr>
    </c:title>
    <c:autoTitleDeleted val="0"/>
    <c:plotArea>
      <c:layout>
        <c:manualLayout>
          <c:layoutTarget val="inner"/>
          <c:xMode val="edge"/>
          <c:yMode val="edge"/>
          <c:x val="0.1178343949044586"/>
          <c:y val="0.34583333333333333"/>
          <c:w val="0.34076433121019106"/>
          <c:h val="0.44583333333333336"/>
        </c:manualLayout>
      </c:layout>
      <c:pieChart>
        <c:varyColors val="1"/>
        <c:ser>
          <c:idx val="0"/>
          <c:order val="0"/>
          <c:tx>
            <c:strRef>
              <c:f>Sheet1!$A$2</c:f>
              <c:strCache>
                <c:ptCount val="1"/>
              </c:strCache>
            </c:strRef>
          </c:tx>
          <c:spPr>
            <a:solidFill>
              <a:srgbClr val="9999FF"/>
            </a:solidFill>
            <a:ln w="16037">
              <a:solidFill>
                <a:srgbClr val="000000"/>
              </a:solidFill>
              <a:prstDash val="solid"/>
            </a:ln>
          </c:spPr>
          <c:dPt>
            <c:idx val="0"/>
            <c:bubble3D val="0"/>
          </c:dPt>
          <c:dPt>
            <c:idx val="1"/>
            <c:bubble3D val="0"/>
            <c:spPr>
              <a:solidFill>
                <a:srgbClr val="993366"/>
              </a:solidFill>
              <a:ln w="16037">
                <a:solidFill>
                  <a:srgbClr val="000000"/>
                </a:solidFill>
                <a:prstDash val="solid"/>
              </a:ln>
            </c:spPr>
          </c:dPt>
          <c:dLbls>
            <c:dLbl>
              <c:idx val="2"/>
              <c:layout>
                <c:manualLayout>
                  <c:xMode val="edge"/>
                  <c:yMode val="edge"/>
                  <c:x val="0.19745222929936307"/>
                  <c:y val="0.28749999999999998"/>
                </c:manualLayout>
              </c:layout>
              <c:numFmt formatCode="0.00%" sourceLinked="0"/>
              <c:spPr>
                <a:noFill/>
                <a:ln w="32074">
                  <a:noFill/>
                </a:ln>
              </c:spPr>
              <c:txPr>
                <a:bodyPr/>
                <a:lstStyle/>
                <a:p>
                  <a:pPr>
                    <a:defRPr sz="1010" b="0" i="0" u="none" strike="noStrike" baseline="0">
                      <a:solidFill>
                        <a:srgbClr val="000000"/>
                      </a:solidFill>
                      <a:latin typeface="宋体"/>
                      <a:ea typeface="宋体"/>
                      <a:cs typeface="宋体"/>
                    </a:defRPr>
                  </a:pPr>
                  <a:endParaRPr lang="zh-CN"/>
                </a:p>
              </c:txPr>
              <c:dLblPos val="bestFit"/>
              <c:showLegendKey val="0"/>
              <c:showVal val="0"/>
              <c:showCatName val="0"/>
              <c:showSerName val="0"/>
              <c:showPercent val="1"/>
              <c:showBubbleSize val="0"/>
              <c:extLst>
                <c:ext xmlns:c15="http://schemas.microsoft.com/office/drawing/2012/chart" uri="{CE6537A1-D6FC-4f65-9D91-7224C49458BB}"/>
              </c:extLst>
            </c:dLbl>
            <c:numFmt formatCode="0.00%" sourceLinked="0"/>
            <c:spPr>
              <a:noFill/>
              <a:ln w="32074">
                <a:noFill/>
              </a:ln>
            </c:spPr>
            <c:txPr>
              <a:bodyPr wrap="square" lIns="38100" tIns="19050" rIns="38100" bIns="19050" anchor="ctr">
                <a:spAutoFit/>
              </a:bodyPr>
              <a:lstStyle/>
              <a:p>
                <a:pPr>
                  <a:defRPr sz="1010" b="0" i="0" u="none" strike="noStrike" baseline="0">
                    <a:solidFill>
                      <a:srgbClr val="000000"/>
                    </a:solidFill>
                    <a:latin typeface="宋体"/>
                    <a:ea typeface="宋体"/>
                    <a:cs typeface="宋体"/>
                  </a:defRPr>
                </a:pPr>
                <a:endParaRPr lang="zh-CN"/>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Sheet1!$B$1:$C$1</c:f>
              <c:strCache>
                <c:ptCount val="2"/>
                <c:pt idx="0">
                  <c:v>公务用车购置及运维支出</c:v>
                </c:pt>
                <c:pt idx="1">
                  <c:v>公务接待费支出</c:v>
                </c:pt>
              </c:strCache>
            </c:strRef>
          </c:cat>
          <c:val>
            <c:numRef>
              <c:f>Sheet1!$B$2:$C$2</c:f>
              <c:numCache>
                <c:formatCode>General</c:formatCode>
                <c:ptCount val="2"/>
                <c:pt idx="0">
                  <c:v>113.99</c:v>
                </c:pt>
                <c:pt idx="1">
                  <c:v>6.98</c:v>
                </c:pt>
              </c:numCache>
            </c:numRef>
          </c:val>
        </c:ser>
        <c:ser>
          <c:idx val="1"/>
          <c:order val="1"/>
          <c:tx>
            <c:strRef>
              <c:f>Sheet1!$A$3</c:f>
              <c:strCache>
                <c:ptCount val="1"/>
              </c:strCache>
            </c:strRef>
          </c:tx>
          <c:spPr>
            <a:solidFill>
              <a:srgbClr val="993366"/>
            </a:solidFill>
            <a:ln w="16037">
              <a:solidFill>
                <a:srgbClr val="000000"/>
              </a:solidFill>
              <a:prstDash val="solid"/>
            </a:ln>
          </c:spPr>
          <c:dPt>
            <c:idx val="0"/>
            <c:bubble3D val="0"/>
            <c:spPr>
              <a:solidFill>
                <a:srgbClr val="9999FF"/>
              </a:solidFill>
              <a:ln w="16037">
                <a:solidFill>
                  <a:srgbClr val="000000"/>
                </a:solidFill>
                <a:prstDash val="solid"/>
              </a:ln>
            </c:spPr>
          </c:dPt>
          <c:dPt>
            <c:idx val="1"/>
            <c:bubble3D val="0"/>
          </c:dPt>
          <c:dLbls>
            <c:numFmt formatCode="0%" sourceLinked="0"/>
            <c:spPr>
              <a:noFill/>
              <a:ln w="32074">
                <a:noFill/>
              </a:ln>
            </c:spPr>
            <c:txPr>
              <a:bodyPr wrap="square" lIns="38100" tIns="19050" rIns="38100" bIns="19050" anchor="ctr">
                <a:spAutoFit/>
              </a:bodyPr>
              <a:lstStyle/>
              <a:p>
                <a:pPr>
                  <a:defRPr sz="1357" b="0" i="0" u="none" strike="noStrike" baseline="0">
                    <a:solidFill>
                      <a:srgbClr val="000000"/>
                    </a:solidFill>
                    <a:latin typeface="宋体"/>
                    <a:ea typeface="宋体"/>
                    <a:cs typeface="宋体"/>
                  </a:defRPr>
                </a:pPr>
                <a:endParaRPr lang="zh-CN"/>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Sheet1!$B$1:$C$1</c:f>
              <c:strCache>
                <c:ptCount val="2"/>
                <c:pt idx="0">
                  <c:v>公务用车购置及运维支出</c:v>
                </c:pt>
                <c:pt idx="1">
                  <c:v>公务接待费支出</c:v>
                </c:pt>
              </c:strCache>
            </c:strRef>
          </c:cat>
          <c:val>
            <c:numRef>
              <c:f>Sheet1!$B$3:$C$3</c:f>
              <c:numCache>
                <c:formatCode>General</c:formatCode>
                <c:ptCount val="2"/>
              </c:numCache>
            </c:numRef>
          </c:val>
        </c:ser>
        <c:ser>
          <c:idx val="2"/>
          <c:order val="2"/>
          <c:tx>
            <c:strRef>
              <c:f>Sheet1!$A$4</c:f>
              <c:strCache>
                <c:ptCount val="1"/>
              </c:strCache>
            </c:strRef>
          </c:tx>
          <c:spPr>
            <a:solidFill>
              <a:srgbClr val="FFFFCC"/>
            </a:solidFill>
            <a:ln w="16037">
              <a:solidFill>
                <a:srgbClr val="000000"/>
              </a:solidFill>
              <a:prstDash val="solid"/>
            </a:ln>
          </c:spPr>
          <c:dPt>
            <c:idx val="0"/>
            <c:bubble3D val="0"/>
            <c:spPr>
              <a:solidFill>
                <a:srgbClr val="9999FF"/>
              </a:solidFill>
              <a:ln w="16037">
                <a:solidFill>
                  <a:srgbClr val="000000"/>
                </a:solidFill>
                <a:prstDash val="solid"/>
              </a:ln>
            </c:spPr>
          </c:dPt>
          <c:dPt>
            <c:idx val="1"/>
            <c:bubble3D val="0"/>
            <c:spPr>
              <a:solidFill>
                <a:srgbClr val="993366"/>
              </a:solidFill>
              <a:ln w="16037">
                <a:solidFill>
                  <a:srgbClr val="000000"/>
                </a:solidFill>
                <a:prstDash val="solid"/>
              </a:ln>
            </c:spPr>
          </c:dPt>
          <c:dLbls>
            <c:numFmt formatCode="0%" sourceLinked="0"/>
            <c:spPr>
              <a:noFill/>
              <a:ln w="32074">
                <a:noFill/>
              </a:ln>
            </c:spPr>
            <c:txPr>
              <a:bodyPr wrap="square" lIns="38100" tIns="19050" rIns="38100" bIns="19050" anchor="ctr">
                <a:spAutoFit/>
              </a:bodyPr>
              <a:lstStyle/>
              <a:p>
                <a:pPr>
                  <a:defRPr sz="1357" b="0" i="0" u="none" strike="noStrike" baseline="0">
                    <a:solidFill>
                      <a:srgbClr val="000000"/>
                    </a:solidFill>
                    <a:latin typeface="宋体"/>
                    <a:ea typeface="宋体"/>
                    <a:cs typeface="宋体"/>
                  </a:defRPr>
                </a:pPr>
                <a:endParaRPr lang="zh-CN"/>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Sheet1!$B$1:$C$1</c:f>
              <c:strCache>
                <c:ptCount val="2"/>
                <c:pt idx="0">
                  <c:v>公务用车购置及运维支出</c:v>
                </c:pt>
                <c:pt idx="1">
                  <c:v>公务接待费支出</c:v>
                </c:pt>
              </c:strCache>
            </c:strRef>
          </c:cat>
          <c:val>
            <c:numRef>
              <c:f>Sheet1!$B$4:$C$4</c:f>
              <c:numCache>
                <c:formatCode>General</c:formatCode>
                <c:ptCount val="2"/>
              </c:numCache>
            </c:numRef>
          </c:val>
        </c:ser>
        <c:ser>
          <c:idx val="3"/>
          <c:order val="3"/>
          <c:tx>
            <c:strRef>
              <c:f>Sheet1!$A$5</c:f>
              <c:strCache>
                <c:ptCount val="1"/>
              </c:strCache>
            </c:strRef>
          </c:tx>
          <c:spPr>
            <a:solidFill>
              <a:srgbClr val="CCFFFF"/>
            </a:solidFill>
            <a:ln w="16037">
              <a:solidFill>
                <a:srgbClr val="000000"/>
              </a:solidFill>
              <a:prstDash val="solid"/>
            </a:ln>
          </c:spPr>
          <c:dPt>
            <c:idx val="0"/>
            <c:bubble3D val="0"/>
            <c:spPr>
              <a:solidFill>
                <a:srgbClr val="9999FF"/>
              </a:solidFill>
              <a:ln w="16037">
                <a:solidFill>
                  <a:srgbClr val="000000"/>
                </a:solidFill>
                <a:prstDash val="solid"/>
              </a:ln>
            </c:spPr>
          </c:dPt>
          <c:dPt>
            <c:idx val="1"/>
            <c:bubble3D val="0"/>
            <c:spPr>
              <a:solidFill>
                <a:srgbClr val="993366"/>
              </a:solidFill>
              <a:ln w="16037">
                <a:solidFill>
                  <a:srgbClr val="000000"/>
                </a:solidFill>
                <a:prstDash val="solid"/>
              </a:ln>
            </c:spPr>
          </c:dPt>
          <c:dLbls>
            <c:numFmt formatCode="0%" sourceLinked="0"/>
            <c:spPr>
              <a:noFill/>
              <a:ln w="32074">
                <a:noFill/>
              </a:ln>
            </c:spPr>
            <c:txPr>
              <a:bodyPr wrap="square" lIns="38100" tIns="19050" rIns="38100" bIns="19050" anchor="ctr">
                <a:spAutoFit/>
              </a:bodyPr>
              <a:lstStyle/>
              <a:p>
                <a:pPr>
                  <a:defRPr sz="1357" b="0" i="0" u="none" strike="noStrike" baseline="0">
                    <a:solidFill>
                      <a:srgbClr val="000000"/>
                    </a:solidFill>
                    <a:latin typeface="宋体"/>
                    <a:ea typeface="宋体"/>
                    <a:cs typeface="宋体"/>
                  </a:defRPr>
                </a:pPr>
                <a:endParaRPr lang="zh-CN"/>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Sheet1!$B$1:$C$1</c:f>
              <c:strCache>
                <c:ptCount val="2"/>
                <c:pt idx="0">
                  <c:v>公务用车购置及运维支出</c:v>
                </c:pt>
                <c:pt idx="1">
                  <c:v>公务接待费支出</c:v>
                </c:pt>
              </c:strCache>
            </c:strRef>
          </c:cat>
          <c:val>
            <c:numRef>
              <c:f>Sheet1!$B$5:$C$5</c:f>
              <c:numCache>
                <c:formatCode>General</c:formatCode>
                <c:ptCount val="2"/>
              </c:numCache>
            </c:numRef>
          </c:val>
        </c:ser>
        <c:dLbls>
          <c:showLegendKey val="0"/>
          <c:showVal val="0"/>
          <c:showCatName val="0"/>
          <c:showSerName val="0"/>
          <c:showPercent val="1"/>
          <c:showBubbleSize val="0"/>
          <c:showLeaderLines val="1"/>
        </c:dLbls>
        <c:firstSliceAng val="0"/>
      </c:pieChart>
      <c:spPr>
        <a:solidFill>
          <a:srgbClr val="C0C0C0"/>
        </a:solidFill>
        <a:ln w="16037">
          <a:solidFill>
            <a:srgbClr val="808080"/>
          </a:solidFill>
          <a:prstDash val="solid"/>
        </a:ln>
      </c:spPr>
    </c:plotArea>
    <c:legend>
      <c:legendPos val="r"/>
      <c:layout>
        <c:manualLayout>
          <c:xMode val="edge"/>
          <c:yMode val="edge"/>
          <c:x val="0.4713375796178344"/>
          <c:y val="0.34583333333333333"/>
          <c:w val="0.24203821656050956"/>
          <c:h val="0.4375"/>
        </c:manualLayout>
      </c:layout>
      <c:overlay val="0"/>
      <c:spPr>
        <a:noFill/>
        <a:ln w="4009">
          <a:solidFill>
            <a:srgbClr val="000000"/>
          </a:solidFill>
          <a:prstDash val="solid"/>
        </a:ln>
      </c:spPr>
      <c:txPr>
        <a:bodyPr/>
        <a:lstStyle/>
        <a:p>
          <a:pPr>
            <a:defRPr sz="928" b="0" i="0" u="none" strike="noStrike" baseline="0">
              <a:solidFill>
                <a:srgbClr val="000000"/>
              </a:solidFill>
              <a:latin typeface="宋体"/>
              <a:ea typeface="宋体"/>
              <a:cs typeface="宋体"/>
            </a:defRPr>
          </a:pPr>
          <a:endParaRPr lang="zh-CN"/>
        </a:p>
      </c:txPr>
    </c:legend>
    <c:plotVisOnly val="1"/>
    <c:dispBlanksAs val="zero"/>
    <c:showDLblsOverMax val="0"/>
  </c:chart>
  <c:spPr>
    <a:noFill/>
    <a:ln>
      <a:noFill/>
    </a:ln>
  </c:spPr>
  <c:txPr>
    <a:bodyPr/>
    <a:lstStyle/>
    <a:p>
      <a:pPr>
        <a:defRPr sz="1294" b="0" i="0" u="none" strike="noStrike" baseline="0">
          <a:solidFill>
            <a:srgbClr val="000000"/>
          </a:solidFill>
          <a:latin typeface="宋体"/>
          <a:ea typeface="宋体"/>
          <a:cs typeface="宋体"/>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1418</Words>
  <Characters>8086</Characters>
  <Application>Microsoft Office Word</Application>
  <DocSecurity>0</DocSecurity>
  <Lines>67</Lines>
  <Paragraphs>18</Paragraphs>
  <ScaleCrop>false</ScaleCrop>
  <Company>四川省财政厅</Company>
  <LinksUpToDate>false</LinksUpToDate>
  <CharactersWithSpaces>9486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四川省攀枝花市林业局</dc:title>
  <dc:subject/>
  <dc:creator>张彬茜</dc:creator>
  <cp:keywords/>
  <cp:lastModifiedBy>邓丽君</cp:lastModifiedBy>
  <cp:revision>2</cp:revision>
  <cp:lastPrinted>2017-09-07T04:27:00Z</cp:lastPrinted>
  <dcterms:created xsi:type="dcterms:W3CDTF">2022-11-22T03:06:00Z</dcterms:created>
  <dcterms:modified xsi:type="dcterms:W3CDTF">2022-11-22T03:06:00Z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2052-3.3.1.5149</vt:lpwstr>
  </property>
</Properties>
</file>