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5F9" w:rsidRDefault="002E1AB7">
      <w:pPr>
        <w:spacing w:line="600" w:lineRule="exact"/>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t>四川省攀枝花市扶贫和移民工作局</w:t>
      </w:r>
    </w:p>
    <w:p w:rsidR="00E035F9" w:rsidRDefault="002E1AB7">
      <w:pPr>
        <w:spacing w:line="600" w:lineRule="exact"/>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t>2016年部门决算编制说明</w:t>
      </w:r>
    </w:p>
    <w:p w:rsidR="00E035F9" w:rsidRDefault="00E035F9">
      <w:pPr>
        <w:spacing w:line="600" w:lineRule="exact"/>
        <w:jc w:val="center"/>
        <w:rPr>
          <w:rFonts w:ascii="宋体" w:hAnsi="宋体"/>
          <w:b/>
          <w:color w:val="000000"/>
          <w:sz w:val="44"/>
          <w:szCs w:val="44"/>
        </w:rPr>
      </w:pPr>
    </w:p>
    <w:p w:rsidR="00E035F9" w:rsidRDefault="002E1AB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一、基本职能及主要工作</w:t>
      </w:r>
    </w:p>
    <w:p w:rsidR="00E035F9" w:rsidRDefault="002E1AB7">
      <w:pPr>
        <w:pStyle w:val="a3"/>
        <w:adjustRightInd w:val="0"/>
        <w:snapToGrid w:val="0"/>
        <w:spacing w:before="93" w:line="600" w:lineRule="exact"/>
        <w:ind w:firstLineChars="210" w:firstLine="672"/>
        <w:rPr>
          <w:bCs/>
          <w:color w:val="000000"/>
          <w:sz w:val="32"/>
          <w:szCs w:val="32"/>
        </w:rPr>
      </w:pPr>
      <w:r>
        <w:rPr>
          <w:rFonts w:hint="eastAsia"/>
          <w:bCs/>
          <w:color w:val="000000"/>
          <w:sz w:val="32"/>
          <w:szCs w:val="32"/>
        </w:rPr>
        <w:t>（一）主要职能。</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1、贯彻执行国家、省扶贫开发、大中型水利水电工程移民迁建安置、后期扶持、煤炭采空沉陷区治理的方针政策和法律、法规、规章，拟定有关具体政策措施并组织实施。</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2、拟定全市扶贫开发中长期规划和年度计划，组织、协调和指导全市产业扶贫、科技扶贫、特殊类区扶贫开发工作，组织和指导社会扶贫工作。</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3、参与编制大中型水利水电工程移民安置规划、库区开发规划，组织实物指标调查，征求安置规划意见，参与国家、省移民安置规划审查。组织实施和指导监督移民搬迁安置工作。</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4、制定移民后期扶持规划、计划，审批权限内移民后期扶持项目。负责全市已建、在建和拟建的大中型水利水电工程移民的搬迁安置后期扶持工作，组织移民后期扶持项目验收和评估。</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5、负责组织调查煤炭采空沉陷区居民基本情况，组织鉴定采空沉陷受影响居民的范围和程度，制定煤炭采空沉陷区居</w:t>
      </w:r>
      <w:r>
        <w:rPr>
          <w:rFonts w:hint="eastAsia"/>
          <w:bCs/>
          <w:sz w:val="32"/>
          <w:szCs w:val="32"/>
        </w:rPr>
        <w:lastRenderedPageBreak/>
        <w:t>民安置规划，负责协调、指导和监督检查居民安置工作。</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6、承担扶贫、移民、沉陷区安置资金管理责任。</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7、负责移民、扶贫开发、沉陷区治理政策研究及信息工作，组织贫困、移民群众生产技能和劳动就业培训及扶贫移民工作人员培训。</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8、负责扶贫开发、移民和沉陷区群众信访接待、处理、管理工作，负责政策宣传工作。</w:t>
      </w:r>
    </w:p>
    <w:p w:rsidR="00E035F9" w:rsidRDefault="002E1AB7">
      <w:pPr>
        <w:pStyle w:val="a3"/>
        <w:adjustRightInd w:val="0"/>
        <w:snapToGrid w:val="0"/>
        <w:spacing w:before="93" w:line="580" w:lineRule="exact"/>
        <w:ind w:firstLineChars="210" w:firstLine="672"/>
        <w:rPr>
          <w:bCs/>
          <w:sz w:val="32"/>
          <w:szCs w:val="32"/>
        </w:rPr>
      </w:pPr>
      <w:r>
        <w:rPr>
          <w:rFonts w:hint="eastAsia"/>
          <w:bCs/>
          <w:sz w:val="32"/>
          <w:szCs w:val="32"/>
        </w:rPr>
        <w:t>9、协助做好权限范围内已建、在建大中型水利水电工程库区的维护管理和周边地区的环境治理工作。</w:t>
      </w:r>
    </w:p>
    <w:p w:rsidR="00E035F9" w:rsidRDefault="002E1AB7">
      <w:pPr>
        <w:pStyle w:val="a3"/>
        <w:adjustRightInd w:val="0"/>
        <w:snapToGrid w:val="0"/>
        <w:spacing w:before="93" w:line="600" w:lineRule="exact"/>
        <w:ind w:firstLineChars="210" w:firstLine="672"/>
        <w:rPr>
          <w:bCs/>
          <w:color w:val="000000"/>
          <w:sz w:val="32"/>
          <w:szCs w:val="32"/>
        </w:rPr>
      </w:pPr>
      <w:r>
        <w:rPr>
          <w:rFonts w:hint="eastAsia"/>
          <w:bCs/>
          <w:color w:val="000000"/>
          <w:sz w:val="32"/>
          <w:szCs w:val="32"/>
        </w:rPr>
        <w:t>（二）2016年重点工作完成情况。</w:t>
      </w:r>
    </w:p>
    <w:p w:rsidR="00E035F9" w:rsidRDefault="002E1AB7">
      <w:pPr>
        <w:widowControl/>
        <w:spacing w:line="560" w:lineRule="exact"/>
        <w:ind w:firstLineChars="200" w:firstLine="640"/>
        <w:rPr>
          <w:rFonts w:ascii="仿宋" w:eastAsia="仿宋" w:hAnsi="仿宋"/>
          <w:sz w:val="32"/>
          <w:szCs w:val="32"/>
        </w:rPr>
      </w:pPr>
      <w:r>
        <w:rPr>
          <w:rFonts w:ascii="仿宋" w:eastAsia="仿宋" w:hAnsi="仿宋" w:hint="eastAsia"/>
          <w:sz w:val="32"/>
          <w:szCs w:val="32"/>
        </w:rPr>
        <w:t>2016年重点工作主要有: 全市扶贫移民工作在5个方面取得重大突破。一是全面完成扶贫开发“六项机制”改革总体部署，政府、市场、社会协同推进的扶贫大格局初步构建。高质量完成贫困识别建档立卡工作，找准了35190名贫困人口和70个贫困村，精准扶贫迈出坚实步伐。实施责任、权力、资金、任务“四到县”制度，下放扶贫项目审批权限，县级地方政府的主体责任有效发挥。二是全市12个彝族乡镇46个贫困村纳入十三五彝家新寨建设规划。规划实施农户4396户，项目总投资47927.65万元，其中省级以上投入18824.534万元。项目实施后，使贫困人口得到充分获得感。三是依法依规推进观音岩、桐子林、马鞍山、梅子箐等大中型水利水电工程移民搬</w:t>
      </w:r>
      <w:r>
        <w:rPr>
          <w:rFonts w:ascii="仿宋" w:eastAsia="仿宋" w:hAnsi="仿宋" w:hint="eastAsia"/>
          <w:sz w:val="32"/>
          <w:szCs w:val="32"/>
        </w:rPr>
        <w:lastRenderedPageBreak/>
        <w:t>迁安置工作，搬迁安置移民3500人，完成移民投资近6亿元。按规范编制乌东德、金沙、银江等大中型水电移民规划，争取移民投资28.8亿元。四是积极争取移民后期扶持政策与资金，盐边县、仁和区争取国家和省移民后扶整村推进示范项目建设2个，资金1.06亿元，米易县争取国家移民后期扶持“避险解困”项目，争取资金6500万元，二滩滑坡塌岸治理项目资金1.15亿元，有力推进了移民区基础设施和产业经济发展。五是积极做好煤炭采空沉陷区城乡居民搬迁安置工作，搬迁安置6776人，确保了其生命财产安全。</w:t>
      </w:r>
    </w:p>
    <w:p w:rsidR="00E035F9" w:rsidRDefault="002E1AB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二、部门概况</w:t>
      </w:r>
    </w:p>
    <w:p w:rsidR="00E035F9" w:rsidRDefault="002E1AB7">
      <w:pPr>
        <w:pStyle w:val="a3"/>
        <w:adjustRightInd w:val="0"/>
        <w:snapToGrid w:val="0"/>
        <w:spacing w:before="93" w:line="600" w:lineRule="exact"/>
        <w:ind w:firstLineChars="210" w:firstLine="672"/>
        <w:rPr>
          <w:color w:val="000000"/>
          <w:sz w:val="32"/>
          <w:szCs w:val="32"/>
        </w:rPr>
      </w:pPr>
      <w:r>
        <w:rPr>
          <w:rFonts w:hint="eastAsia"/>
          <w:sz w:val="32"/>
          <w:szCs w:val="32"/>
        </w:rPr>
        <w:t>攀枝花市扶贫和移民工作局</w:t>
      </w:r>
      <w:r>
        <w:rPr>
          <w:rFonts w:hint="eastAsia"/>
          <w:color w:val="000000"/>
          <w:sz w:val="32"/>
          <w:szCs w:val="32"/>
        </w:rPr>
        <w:t>下属二级单位1个，其中其他事业单位1个。</w:t>
      </w:r>
    </w:p>
    <w:p w:rsidR="00E035F9" w:rsidRDefault="002E1AB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三、收支决算总体情况</w:t>
      </w:r>
    </w:p>
    <w:p w:rsidR="00E035F9" w:rsidRDefault="002E1AB7">
      <w:pPr>
        <w:widowControl/>
        <w:ind w:firstLine="66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2016年市扶贫移民局本年收入合计685.9</w:t>
      </w:r>
      <w:r w:rsidR="00F81ACD">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万元，其中：财政拨款收入653.65万元，占95%；其他收入32.2</w:t>
      </w:r>
      <w:r w:rsidR="00F81ACD">
        <w:rPr>
          <w:rFonts w:ascii="仿宋_GB2312" w:eastAsia="仿宋_GB2312" w:hAnsi="宋体" w:cs="宋体" w:hint="eastAsia"/>
          <w:color w:val="000000"/>
          <w:kern w:val="0"/>
          <w:sz w:val="32"/>
          <w:szCs w:val="32"/>
        </w:rPr>
        <w:t>7</w:t>
      </w:r>
      <w:r>
        <w:rPr>
          <w:rFonts w:ascii="仿宋_GB2312" w:eastAsia="仿宋_GB2312" w:hAnsi="宋体" w:cs="宋体" w:hint="eastAsia"/>
          <w:color w:val="000000"/>
          <w:kern w:val="0"/>
          <w:sz w:val="32"/>
          <w:szCs w:val="32"/>
        </w:rPr>
        <w:t>万元，占5%。（饼状图）</w:t>
      </w:r>
    </w:p>
    <w:p w:rsidR="00E035F9" w:rsidRPr="001744F8" w:rsidRDefault="002E1AB7" w:rsidP="001744F8">
      <w:pPr>
        <w:widowControl/>
        <w:ind w:firstLine="660"/>
        <w:rPr>
          <w:rFonts w:ascii="仿宋_GB2312" w:eastAsia="仿宋_GB2312" w:hAnsi="宋体" w:cs="宋体"/>
          <w:color w:val="000000"/>
          <w:kern w:val="0"/>
          <w:sz w:val="32"/>
          <w:szCs w:val="32"/>
        </w:rPr>
      </w:pPr>
      <w:r>
        <w:rPr>
          <w:rFonts w:ascii="仿宋_GB2312" w:eastAsia="仿宋_GB2312" w:hAnsi="宋体" w:cs="宋体"/>
          <w:noProof/>
          <w:color w:val="000000"/>
          <w:kern w:val="0"/>
          <w:sz w:val="32"/>
          <w:szCs w:val="32"/>
        </w:rPr>
        <w:drawing>
          <wp:inline distT="0" distB="0" distL="0" distR="0">
            <wp:extent cx="3943350" cy="194310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2016年市扶贫移民局本年支出合计656.3</w:t>
      </w:r>
      <w:r w:rsidR="00F81ACD">
        <w:rPr>
          <w:rFonts w:ascii="仿宋_GB2312" w:eastAsia="仿宋_GB2312" w:hint="eastAsia"/>
          <w:color w:val="000000"/>
          <w:sz w:val="32"/>
          <w:szCs w:val="32"/>
        </w:rPr>
        <w:t>2</w:t>
      </w:r>
      <w:r>
        <w:rPr>
          <w:rFonts w:ascii="仿宋_GB2312" w:eastAsia="仿宋_GB2312" w:hint="eastAsia"/>
          <w:color w:val="000000"/>
          <w:sz w:val="32"/>
          <w:szCs w:val="32"/>
        </w:rPr>
        <w:t>万元，其中：基本支出556.17万元，占85%；项目支出100.1</w:t>
      </w:r>
      <w:r w:rsidR="00F81ACD">
        <w:rPr>
          <w:rFonts w:ascii="仿宋_GB2312" w:eastAsia="仿宋_GB2312" w:hint="eastAsia"/>
          <w:color w:val="000000"/>
          <w:sz w:val="32"/>
          <w:szCs w:val="32"/>
        </w:rPr>
        <w:t>5</w:t>
      </w:r>
      <w:r>
        <w:rPr>
          <w:rFonts w:ascii="仿宋_GB2312" w:eastAsia="仿宋_GB2312" w:hint="eastAsia"/>
          <w:color w:val="000000"/>
          <w:sz w:val="32"/>
          <w:szCs w:val="32"/>
        </w:rPr>
        <w:t>万元，占15%。（饼状图）</w:t>
      </w:r>
    </w:p>
    <w:p w:rsidR="00E035F9" w:rsidRDefault="00E035F9">
      <w:pPr>
        <w:spacing w:line="600" w:lineRule="exact"/>
        <w:rPr>
          <w:rFonts w:ascii="仿宋_GB2312" w:eastAsia="仿宋_GB2312"/>
          <w:color w:val="000000"/>
          <w:sz w:val="32"/>
          <w:szCs w:val="32"/>
        </w:rPr>
      </w:pPr>
    </w:p>
    <w:p w:rsidR="00E035F9" w:rsidRPr="001744F8" w:rsidRDefault="002E1AB7" w:rsidP="001744F8">
      <w:pPr>
        <w:spacing w:line="360" w:lineRule="auto"/>
        <w:ind w:firstLineChars="200" w:firstLine="640"/>
        <w:rPr>
          <w:rFonts w:ascii="仿宋_GB2312" w:eastAsia="仿宋_GB2312"/>
          <w:color w:val="000000"/>
          <w:sz w:val="32"/>
          <w:szCs w:val="32"/>
        </w:rPr>
      </w:pPr>
      <w:r>
        <w:rPr>
          <w:rFonts w:ascii="仿宋_GB2312" w:eastAsia="仿宋_GB2312" w:hint="eastAsia"/>
          <w:noProof/>
          <w:color w:val="000000"/>
          <w:sz w:val="32"/>
          <w:szCs w:val="32"/>
        </w:rPr>
        <w:drawing>
          <wp:inline distT="0" distB="0" distL="0" distR="0">
            <wp:extent cx="4324350" cy="1876425"/>
            <wp:effectExtent l="19050" t="0" r="1905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035F9" w:rsidRDefault="002E1AB7">
      <w:pPr>
        <w:spacing w:line="600" w:lineRule="exact"/>
        <w:ind w:firstLineChars="200" w:firstLine="640"/>
        <w:rPr>
          <w:rFonts w:ascii="仿宋_GB2312" w:eastAsia="仿宋_GB2312"/>
          <w:color w:val="000000"/>
          <w:sz w:val="32"/>
          <w:szCs w:val="32"/>
        </w:rPr>
      </w:pPr>
      <w:r>
        <w:rPr>
          <w:rFonts w:ascii="黑体" w:eastAsia="黑体" w:hint="eastAsia"/>
          <w:color w:val="000000"/>
          <w:sz w:val="32"/>
          <w:szCs w:val="32"/>
        </w:rPr>
        <w:t xml:space="preserve">   四、财政拨款收支决算情况</w:t>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市扶贫移民局2016年度财政拨款收支总决算673.65万元。与2015年相比，财政拨款收、支总计各增加9.86万元，增长1%。（柱状图）</w:t>
      </w:r>
    </w:p>
    <w:p w:rsidR="00E035F9" w:rsidRDefault="002E1AB7">
      <w:pPr>
        <w:ind w:firstLine="641"/>
        <w:rPr>
          <w:rFonts w:ascii="仿宋_GB2312" w:eastAsia="仿宋_GB2312"/>
          <w:b/>
          <w:i/>
          <w:color w:val="404040"/>
          <w:sz w:val="32"/>
          <w:szCs w:val="32"/>
        </w:rPr>
      </w:pPr>
      <w:r>
        <w:rPr>
          <w:rFonts w:ascii="仿宋_GB2312" w:eastAsia="仿宋_GB2312"/>
          <w:b/>
          <w:i/>
          <w:noProof/>
          <w:color w:val="404040"/>
          <w:sz w:val="32"/>
          <w:szCs w:val="32"/>
        </w:rPr>
        <w:drawing>
          <wp:inline distT="0" distB="0" distL="0" distR="0">
            <wp:extent cx="5124450" cy="2438400"/>
            <wp:effectExtent l="19050" t="0" r="1905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E035F9" w:rsidRDefault="002E1AB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五、一般公共预算财政拨款支出决算情况</w:t>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（一）一般公共预算财政拨款支出决算总体情况</w:t>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市扶贫移民局2016年度一般公共预算财政拨款支出632.76万元，占本年支出合计的96.41%。与2015年相比，一般公共预算财政拨款增加18.96万元，增长3.09%。（柱状图）</w:t>
      </w:r>
    </w:p>
    <w:p w:rsidR="00E035F9" w:rsidRDefault="002E1AB7" w:rsidP="0088220A">
      <w:pPr>
        <w:spacing w:line="360" w:lineRule="auto"/>
        <w:ind w:firstLineChars="200" w:firstLine="640"/>
        <w:jc w:val="center"/>
        <w:rPr>
          <w:rFonts w:ascii="仿宋_GB2312" w:eastAsia="仿宋_GB2312"/>
          <w:color w:val="000000"/>
          <w:sz w:val="32"/>
          <w:szCs w:val="32"/>
        </w:rPr>
      </w:pPr>
      <w:r>
        <w:rPr>
          <w:rFonts w:ascii="仿宋_GB2312" w:eastAsia="仿宋_GB2312"/>
          <w:noProof/>
          <w:color w:val="000000"/>
          <w:sz w:val="32"/>
          <w:szCs w:val="32"/>
        </w:rPr>
        <w:drawing>
          <wp:inline distT="0" distB="0" distL="0" distR="0">
            <wp:extent cx="6626860" cy="3848100"/>
            <wp:effectExtent l="19050" t="0" r="2159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（二）一般公共预算财政拨款支出决算结构情况</w:t>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市扶贫移民局2016年一般公共预算财政拨款支出632.76万元，主要用于以下方面:一般公共服务支出5.98万元，占0.95%；社会保障和就业支出66.32万元，占10.48%；医疗卫生支出0.08万元，占0.01%；农林水支出522.03万元，占82.50%；住房保障支出38.35万元，占6.06%。</w:t>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（饼状图）</w:t>
      </w:r>
    </w:p>
    <w:p w:rsidR="00E035F9" w:rsidRDefault="002E1AB7">
      <w:pPr>
        <w:ind w:firstLineChars="200" w:firstLine="640"/>
        <w:rPr>
          <w:rFonts w:ascii="仿宋_GB2312" w:eastAsia="仿宋_GB2312"/>
          <w:color w:val="000000"/>
          <w:sz w:val="32"/>
          <w:szCs w:val="32"/>
        </w:rPr>
      </w:pPr>
      <w:bookmarkStart w:id="0" w:name="_GoBack"/>
      <w:r>
        <w:rPr>
          <w:rFonts w:ascii="仿宋_GB2312" w:eastAsia="仿宋_GB2312"/>
          <w:noProof/>
          <w:color w:val="000000"/>
          <w:sz w:val="32"/>
          <w:szCs w:val="32"/>
        </w:rPr>
        <w:drawing>
          <wp:inline distT="0" distB="0" distL="0" distR="0">
            <wp:extent cx="4921250" cy="2590165"/>
            <wp:effectExtent l="4445" t="4445" r="8255" b="1524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bookmarkEnd w:id="0"/>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（三）一般公共预算财政拨款支出决算具体情况</w:t>
      </w:r>
    </w:p>
    <w:p w:rsidR="00E035F9" w:rsidRDefault="002E1AB7" w:rsidP="001744F8">
      <w:pPr>
        <w:spacing w:line="600" w:lineRule="exact"/>
        <w:ind w:firstLineChars="200" w:firstLine="643"/>
        <w:rPr>
          <w:rFonts w:ascii="仿宋_GB2312" w:eastAsia="仿宋_GB2312"/>
          <w:color w:val="000000"/>
          <w:sz w:val="32"/>
          <w:szCs w:val="32"/>
        </w:rPr>
      </w:pPr>
      <w:r>
        <w:rPr>
          <w:rStyle w:val="a7"/>
          <w:rFonts w:ascii="仿宋_GB2312" w:eastAsia="仿宋_GB2312" w:hint="eastAsia"/>
          <w:color w:val="000000"/>
          <w:sz w:val="32"/>
          <w:szCs w:val="32"/>
        </w:rPr>
        <w:t>1.一般公共服务（类）发展与改革事务（款）战略规划与实施（项）:</w:t>
      </w:r>
      <w:r>
        <w:rPr>
          <w:rFonts w:ascii="仿宋_GB2312" w:eastAsia="仿宋_GB2312" w:hint="eastAsia"/>
          <w:color w:val="000000"/>
          <w:sz w:val="32"/>
          <w:szCs w:val="32"/>
        </w:rPr>
        <w:t>2016年决算数为4万元，完成预算100%；</w:t>
      </w:r>
      <w:r>
        <w:rPr>
          <w:rStyle w:val="a7"/>
          <w:rFonts w:ascii="仿宋_GB2312" w:eastAsia="仿宋_GB2312" w:hint="eastAsia"/>
          <w:color w:val="000000"/>
          <w:sz w:val="32"/>
          <w:szCs w:val="32"/>
        </w:rPr>
        <w:t>组织事务（款）其他组织事务支出（项）：</w:t>
      </w:r>
      <w:r>
        <w:rPr>
          <w:rFonts w:ascii="仿宋_GB2312" w:eastAsia="仿宋_GB2312" w:hint="eastAsia"/>
          <w:color w:val="000000"/>
          <w:sz w:val="32"/>
          <w:szCs w:val="32"/>
        </w:rPr>
        <w:t>2016年决算数为1.98万元，完成预算100%。</w:t>
      </w:r>
    </w:p>
    <w:p w:rsidR="00E035F9" w:rsidRDefault="002E1AB7" w:rsidP="001744F8">
      <w:pPr>
        <w:spacing w:line="600" w:lineRule="exact"/>
        <w:ind w:firstLineChars="200" w:firstLine="643"/>
        <w:rPr>
          <w:rFonts w:ascii="仿宋_GB2312" w:eastAsia="仿宋_GB2312"/>
          <w:color w:val="000000"/>
          <w:sz w:val="32"/>
          <w:szCs w:val="32"/>
        </w:rPr>
      </w:pPr>
      <w:r>
        <w:rPr>
          <w:rStyle w:val="a7"/>
          <w:rFonts w:ascii="仿宋_GB2312" w:eastAsia="仿宋_GB2312" w:hint="eastAsia"/>
          <w:color w:val="000000"/>
          <w:sz w:val="32"/>
          <w:szCs w:val="32"/>
        </w:rPr>
        <w:t>2.社会保障和就业（类）行政事业单位离退休（款）未归口管理的行政单位离退休（项）:</w:t>
      </w:r>
      <w:r>
        <w:rPr>
          <w:rFonts w:ascii="仿宋_GB2312" w:eastAsia="仿宋_GB2312" w:hint="eastAsia"/>
          <w:color w:val="000000"/>
          <w:sz w:val="32"/>
          <w:szCs w:val="32"/>
        </w:rPr>
        <w:t>2016年决算数为22.09万元，完成预算99.15%，决算数小于预算数的主要原因是备用金余额0.19万元；</w:t>
      </w:r>
      <w:r>
        <w:rPr>
          <w:rStyle w:val="a7"/>
          <w:rFonts w:ascii="仿宋_GB2312" w:eastAsia="仿宋_GB2312" w:hint="eastAsia"/>
          <w:color w:val="000000"/>
          <w:sz w:val="32"/>
          <w:szCs w:val="32"/>
        </w:rPr>
        <w:t>机关事业单位基本养老保险缴费支出（项）:</w:t>
      </w:r>
      <w:r>
        <w:rPr>
          <w:rFonts w:ascii="仿宋_GB2312" w:eastAsia="仿宋_GB2312" w:hint="eastAsia"/>
          <w:color w:val="000000"/>
          <w:sz w:val="32"/>
          <w:szCs w:val="32"/>
        </w:rPr>
        <w:t>2016年决算数为43.63万元，完成预算100%;</w:t>
      </w:r>
      <w:r>
        <w:rPr>
          <w:rStyle w:val="a7"/>
          <w:rFonts w:ascii="仿宋_GB2312" w:eastAsia="仿宋_GB2312" w:hint="eastAsia"/>
          <w:color w:val="000000"/>
          <w:sz w:val="32"/>
          <w:szCs w:val="32"/>
        </w:rPr>
        <w:t>儿童福利（项）:</w:t>
      </w:r>
      <w:r>
        <w:rPr>
          <w:rFonts w:ascii="仿宋_GB2312" w:eastAsia="仿宋_GB2312" w:hint="eastAsia"/>
          <w:color w:val="000000"/>
          <w:sz w:val="32"/>
          <w:szCs w:val="32"/>
        </w:rPr>
        <w:t xml:space="preserve"> 2016年决算数为0.6万元，完成预算100%。</w:t>
      </w:r>
    </w:p>
    <w:p w:rsidR="00E035F9" w:rsidRDefault="002E1AB7" w:rsidP="001744F8">
      <w:pPr>
        <w:spacing w:line="600" w:lineRule="exact"/>
        <w:ind w:firstLineChars="200" w:firstLine="643"/>
        <w:rPr>
          <w:rFonts w:ascii="仿宋_GB2312" w:eastAsia="仿宋_GB2312"/>
          <w:color w:val="000000"/>
          <w:sz w:val="32"/>
          <w:szCs w:val="32"/>
        </w:rPr>
      </w:pPr>
      <w:r>
        <w:rPr>
          <w:rStyle w:val="a7"/>
          <w:rFonts w:ascii="仿宋_GB2312" w:eastAsia="仿宋_GB2312" w:hint="eastAsia"/>
          <w:color w:val="000000"/>
          <w:sz w:val="32"/>
          <w:szCs w:val="32"/>
        </w:rPr>
        <w:t>3.医疗卫生与计划生育（类）医疗保障（款）其他医疗保障支出（项）:</w:t>
      </w:r>
      <w:r>
        <w:rPr>
          <w:rFonts w:ascii="仿宋_GB2312" w:eastAsia="仿宋_GB2312" w:hint="eastAsia"/>
          <w:color w:val="000000"/>
          <w:sz w:val="32"/>
          <w:szCs w:val="32"/>
        </w:rPr>
        <w:t>2016年决算数为0.08万元，完成预算100%。</w:t>
      </w:r>
    </w:p>
    <w:p w:rsidR="00E035F9" w:rsidRDefault="002E1AB7" w:rsidP="001744F8">
      <w:pPr>
        <w:spacing w:line="600" w:lineRule="exact"/>
        <w:ind w:firstLineChars="200" w:firstLine="643"/>
        <w:rPr>
          <w:rFonts w:ascii="仿宋_GB2312" w:eastAsia="仿宋_GB2312"/>
          <w:color w:val="000000"/>
          <w:sz w:val="32"/>
          <w:szCs w:val="32"/>
        </w:rPr>
      </w:pPr>
      <w:r>
        <w:rPr>
          <w:rStyle w:val="a7"/>
          <w:rFonts w:ascii="仿宋_GB2312" w:eastAsia="仿宋_GB2312" w:hint="eastAsia"/>
          <w:color w:val="000000"/>
          <w:sz w:val="32"/>
          <w:szCs w:val="32"/>
        </w:rPr>
        <w:lastRenderedPageBreak/>
        <w:t>4.农林水支出（类）扶贫（款）行政运行（项）:</w:t>
      </w:r>
      <w:r>
        <w:rPr>
          <w:rFonts w:ascii="仿宋_GB2312" w:eastAsia="仿宋_GB2312" w:hint="eastAsia"/>
          <w:color w:val="000000"/>
          <w:sz w:val="32"/>
          <w:szCs w:val="32"/>
        </w:rPr>
        <w:t>2016年决算数为449.14万元，完成预算99.96%，决算数小于预算数的主要原因是其他交通费用结余0.2万元；</w:t>
      </w:r>
      <w:r>
        <w:rPr>
          <w:rStyle w:val="a7"/>
          <w:rFonts w:ascii="仿宋_GB2312" w:eastAsia="仿宋_GB2312" w:hint="eastAsia"/>
          <w:color w:val="000000"/>
          <w:sz w:val="32"/>
          <w:szCs w:val="32"/>
        </w:rPr>
        <w:t>扶贫事业机构（项）:</w:t>
      </w:r>
      <w:r>
        <w:rPr>
          <w:rFonts w:ascii="仿宋_GB2312" w:eastAsia="仿宋_GB2312" w:hint="eastAsia"/>
          <w:color w:val="000000"/>
          <w:sz w:val="32"/>
          <w:szCs w:val="32"/>
        </w:rPr>
        <w:t>2016年决算数为0.89万元，完成预算100%；</w:t>
      </w:r>
      <w:r>
        <w:rPr>
          <w:rStyle w:val="a7"/>
          <w:rFonts w:ascii="仿宋_GB2312" w:eastAsia="仿宋_GB2312" w:hint="eastAsia"/>
          <w:color w:val="000000"/>
          <w:sz w:val="32"/>
          <w:szCs w:val="32"/>
        </w:rPr>
        <w:t>其他扶贫支出（项）:</w:t>
      </w:r>
      <w:r>
        <w:rPr>
          <w:rFonts w:ascii="仿宋_GB2312" w:eastAsia="仿宋_GB2312" w:hint="eastAsia"/>
          <w:color w:val="000000"/>
          <w:sz w:val="32"/>
          <w:szCs w:val="32"/>
        </w:rPr>
        <w:t>2016年决算数为72万元，完成预算81.36%，决算数小于预算数的主要原因是年底下达的作战指挥室经费12.5万元和扶贫项目管理费4万元形成结转结余。</w:t>
      </w:r>
    </w:p>
    <w:p w:rsidR="00E035F9" w:rsidRDefault="002E1AB7" w:rsidP="001744F8">
      <w:pPr>
        <w:spacing w:line="600" w:lineRule="exact"/>
        <w:ind w:firstLineChars="200" w:firstLine="643"/>
        <w:rPr>
          <w:rFonts w:ascii="仿宋_GB2312" w:eastAsia="仿宋_GB2312"/>
          <w:color w:val="000000"/>
          <w:sz w:val="32"/>
          <w:szCs w:val="32"/>
        </w:rPr>
      </w:pPr>
      <w:r>
        <w:rPr>
          <w:rStyle w:val="a7"/>
          <w:rFonts w:ascii="仿宋_GB2312" w:eastAsia="仿宋_GB2312" w:hint="eastAsia"/>
          <w:color w:val="000000"/>
          <w:sz w:val="32"/>
          <w:szCs w:val="32"/>
        </w:rPr>
        <w:t>5.住房保障支出（类）住房改革支出（款）住房公积金（项）:</w:t>
      </w:r>
      <w:r>
        <w:rPr>
          <w:rFonts w:ascii="仿宋_GB2312" w:eastAsia="仿宋_GB2312" w:hint="eastAsia"/>
          <w:color w:val="000000"/>
          <w:sz w:val="32"/>
          <w:szCs w:val="32"/>
        </w:rPr>
        <w:t xml:space="preserve">2016年决算数为38.35万元，完成预算100%。 </w:t>
      </w:r>
    </w:p>
    <w:p w:rsidR="00E035F9" w:rsidRDefault="002E1AB7">
      <w:pPr>
        <w:spacing w:line="600" w:lineRule="exact"/>
        <w:ind w:firstLine="640"/>
        <w:rPr>
          <w:rFonts w:ascii="黑体" w:eastAsia="黑体"/>
          <w:color w:val="000000"/>
          <w:sz w:val="32"/>
          <w:szCs w:val="32"/>
        </w:rPr>
      </w:pPr>
      <w:r>
        <w:rPr>
          <w:rFonts w:ascii="黑体" w:eastAsia="黑体" w:hint="eastAsia"/>
          <w:color w:val="000000"/>
          <w:sz w:val="32"/>
          <w:szCs w:val="32"/>
        </w:rPr>
        <w:t>六、一般公共预算财政拨款基本支出决算情况</w:t>
      </w:r>
    </w:p>
    <w:p w:rsidR="00E035F9" w:rsidRDefault="002E1AB7">
      <w:pPr>
        <w:spacing w:line="600" w:lineRule="exact"/>
        <w:ind w:firstLine="645"/>
        <w:rPr>
          <w:rFonts w:ascii="仿宋_GB2312" w:eastAsia="仿宋_GB2312"/>
          <w:color w:val="000000"/>
          <w:sz w:val="32"/>
          <w:szCs w:val="32"/>
        </w:rPr>
      </w:pPr>
      <w:r>
        <w:rPr>
          <w:rFonts w:ascii="仿宋_GB2312" w:eastAsia="仿宋_GB2312" w:hint="eastAsia"/>
          <w:color w:val="000000"/>
          <w:sz w:val="32"/>
          <w:szCs w:val="32"/>
        </w:rPr>
        <w:t>市扶贫移民局2016年一般公共预算财政拨款基本支出556.16万元，其中：</w:t>
      </w:r>
    </w:p>
    <w:p w:rsidR="00E035F9" w:rsidRDefault="002E1AB7">
      <w:pPr>
        <w:spacing w:line="600" w:lineRule="exact"/>
        <w:ind w:firstLine="645"/>
        <w:rPr>
          <w:rFonts w:ascii="仿宋_GB2312" w:eastAsia="仿宋_GB2312"/>
          <w:color w:val="000000"/>
          <w:sz w:val="32"/>
          <w:szCs w:val="32"/>
        </w:rPr>
      </w:pPr>
      <w:r>
        <w:rPr>
          <w:rFonts w:ascii="仿宋_GB2312" w:eastAsia="仿宋_GB2312" w:hint="eastAsia"/>
          <w:color w:val="000000"/>
          <w:sz w:val="32"/>
          <w:szCs w:val="32"/>
        </w:rPr>
        <w:t>人员经费454.1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w:t>
      </w:r>
    </w:p>
    <w:p w:rsidR="00E035F9" w:rsidRDefault="002E1AB7">
      <w:pPr>
        <w:spacing w:line="600" w:lineRule="exact"/>
        <w:ind w:firstLine="645"/>
        <w:rPr>
          <w:rFonts w:ascii="仿宋_GB2312" w:eastAsia="仿宋_GB2312"/>
          <w:color w:val="000000"/>
          <w:sz w:val="32"/>
          <w:szCs w:val="32"/>
        </w:rPr>
      </w:pPr>
      <w:r>
        <w:rPr>
          <w:rFonts w:ascii="仿宋_GB2312" w:eastAsia="仿宋_GB2312" w:hint="eastAsia"/>
          <w:color w:val="000000"/>
          <w:sz w:val="32"/>
          <w:szCs w:val="32"/>
        </w:rPr>
        <w:t>公用经费102.06万元，主要包括：办公费、印刷费、咨询费、手续费、水费、电费、邮电费、取暖费、物业管理费、差旅费、因公出国（境）费用、维修（护）费、租赁费、会议费、培训费、公务接待费、劳务费、委托业务费、工会经费、</w:t>
      </w:r>
      <w:r>
        <w:rPr>
          <w:rFonts w:ascii="仿宋_GB2312" w:eastAsia="仿宋_GB2312" w:hint="eastAsia"/>
          <w:color w:val="000000"/>
          <w:sz w:val="32"/>
          <w:szCs w:val="32"/>
        </w:rPr>
        <w:lastRenderedPageBreak/>
        <w:t>福利费、其他交通费、税金及附加费用、其他商品和服务支出。</w:t>
      </w:r>
    </w:p>
    <w:p w:rsidR="00E035F9" w:rsidRDefault="002E1AB7">
      <w:pPr>
        <w:spacing w:line="600" w:lineRule="exact"/>
        <w:ind w:firstLine="640"/>
        <w:rPr>
          <w:rFonts w:ascii="黑体" w:eastAsia="黑体"/>
          <w:color w:val="000000"/>
          <w:sz w:val="32"/>
          <w:szCs w:val="32"/>
        </w:rPr>
      </w:pPr>
      <w:r>
        <w:rPr>
          <w:rFonts w:ascii="黑体" w:eastAsia="黑体" w:hint="eastAsia"/>
          <w:color w:val="000000"/>
          <w:sz w:val="32"/>
          <w:szCs w:val="32"/>
        </w:rPr>
        <w:t>七、“三公”经费财政拨款支出决算情况</w:t>
      </w:r>
    </w:p>
    <w:p w:rsidR="00E035F9" w:rsidRDefault="002E1AB7">
      <w:pPr>
        <w:spacing w:line="600" w:lineRule="exact"/>
        <w:ind w:firstLine="640"/>
        <w:rPr>
          <w:rFonts w:ascii="仿宋_GB2312" w:eastAsia="仿宋_GB2312"/>
          <w:b/>
          <w:color w:val="000000"/>
          <w:sz w:val="32"/>
          <w:szCs w:val="32"/>
        </w:rPr>
      </w:pPr>
      <w:r>
        <w:rPr>
          <w:rFonts w:ascii="仿宋_GB2312" w:eastAsia="仿宋_GB2312" w:hint="eastAsia"/>
          <w:b/>
          <w:color w:val="000000"/>
          <w:sz w:val="32"/>
          <w:szCs w:val="32"/>
        </w:rPr>
        <w:t>（一）“三公”经费财政拨款支出决算总体情况说明</w:t>
      </w:r>
    </w:p>
    <w:p w:rsidR="00E035F9" w:rsidRDefault="002E1AB7">
      <w:pPr>
        <w:spacing w:line="600" w:lineRule="exact"/>
        <w:ind w:firstLine="640"/>
        <w:rPr>
          <w:rFonts w:ascii="仿宋_GB2312" w:eastAsia="仿宋_GB2312"/>
          <w:color w:val="333333"/>
          <w:sz w:val="32"/>
          <w:szCs w:val="32"/>
        </w:rPr>
      </w:pPr>
      <w:r>
        <w:rPr>
          <w:rFonts w:ascii="仿宋_GB2312" w:eastAsia="仿宋_GB2312" w:hint="eastAsia"/>
          <w:color w:val="000000"/>
          <w:sz w:val="32"/>
          <w:szCs w:val="32"/>
        </w:rPr>
        <w:t>市扶贫移民局</w:t>
      </w:r>
      <w:r>
        <w:rPr>
          <w:rFonts w:ascii="仿宋_GB2312" w:eastAsia="仿宋_GB2312" w:hint="eastAsia"/>
          <w:color w:val="333333"/>
          <w:sz w:val="32"/>
          <w:szCs w:val="32"/>
        </w:rPr>
        <w:t>2016年度“三公”经费财政拨款支出决算为23.42万元，完成预算89.19%，其中：因公出国（境）费无支出；公务用车购置及运行维护费支出决算为22.19万元，完成预算100%；公务接待费支出决算为1.23万元，完成预算59.42%。2016年度“三公”经费支出决算数小于预算数的主要原因是接待费下降。</w:t>
      </w:r>
    </w:p>
    <w:p w:rsidR="00E035F9" w:rsidRDefault="002E1AB7">
      <w:pPr>
        <w:spacing w:line="600" w:lineRule="exact"/>
        <w:ind w:firstLine="640"/>
        <w:rPr>
          <w:rFonts w:ascii="仿宋_GB2312" w:eastAsia="仿宋_GB2312"/>
          <w:color w:val="333333"/>
          <w:sz w:val="32"/>
          <w:szCs w:val="32"/>
        </w:rPr>
      </w:pPr>
      <w:r>
        <w:rPr>
          <w:rFonts w:ascii="仿宋_GB2312" w:eastAsia="仿宋_GB2312" w:hint="eastAsia"/>
          <w:color w:val="333333"/>
          <w:sz w:val="32"/>
          <w:szCs w:val="32"/>
        </w:rPr>
        <w:t>2016年度“三公”经费财政拨款支出决算数比2015年</w:t>
      </w:r>
      <w:r>
        <w:rPr>
          <w:rFonts w:ascii="仿宋_GB2312" w:eastAsia="仿宋_GB2312" w:hint="eastAsia"/>
          <w:color w:val="000000"/>
          <w:sz w:val="32"/>
          <w:szCs w:val="32"/>
        </w:rPr>
        <w:t>减少</w:t>
      </w:r>
      <w:r>
        <w:rPr>
          <w:rFonts w:ascii="仿宋_GB2312" w:eastAsia="仿宋_GB2312" w:hint="eastAsia"/>
          <w:color w:val="333333"/>
          <w:sz w:val="32"/>
          <w:szCs w:val="32"/>
        </w:rPr>
        <w:t>12.09万元，</w:t>
      </w:r>
      <w:r>
        <w:rPr>
          <w:rFonts w:ascii="仿宋_GB2312" w:eastAsia="仿宋_GB2312" w:hint="eastAsia"/>
          <w:color w:val="000000"/>
          <w:sz w:val="32"/>
          <w:szCs w:val="32"/>
        </w:rPr>
        <w:t>下降34.05%，其中：</w:t>
      </w:r>
      <w:r>
        <w:rPr>
          <w:rFonts w:ascii="仿宋_GB2312" w:eastAsia="仿宋_GB2312" w:hint="eastAsia"/>
          <w:color w:val="333333"/>
          <w:sz w:val="32"/>
          <w:szCs w:val="32"/>
        </w:rPr>
        <w:t>因公出国（境）费无支出；公务用车购置及运行维护费支出决算</w:t>
      </w:r>
      <w:r>
        <w:rPr>
          <w:rFonts w:ascii="仿宋_GB2312" w:eastAsia="仿宋_GB2312" w:hint="eastAsia"/>
          <w:color w:val="000000"/>
          <w:sz w:val="32"/>
          <w:szCs w:val="32"/>
        </w:rPr>
        <w:t>减少</w:t>
      </w:r>
      <w:r>
        <w:rPr>
          <w:rFonts w:ascii="仿宋_GB2312" w:eastAsia="仿宋_GB2312" w:hint="eastAsia"/>
          <w:color w:val="333333"/>
          <w:sz w:val="32"/>
          <w:szCs w:val="32"/>
        </w:rPr>
        <w:t>11.87万元，</w:t>
      </w:r>
      <w:r>
        <w:rPr>
          <w:rFonts w:ascii="仿宋_GB2312" w:eastAsia="仿宋_GB2312" w:hint="eastAsia"/>
          <w:color w:val="000000"/>
          <w:sz w:val="32"/>
          <w:szCs w:val="32"/>
        </w:rPr>
        <w:t>下降34.85%</w:t>
      </w:r>
      <w:r>
        <w:rPr>
          <w:rFonts w:ascii="仿宋_GB2312" w:eastAsia="仿宋_GB2312" w:hint="eastAsia"/>
          <w:color w:val="333333"/>
          <w:sz w:val="32"/>
          <w:szCs w:val="32"/>
        </w:rPr>
        <w:t>；公务接待费支出决算</w:t>
      </w:r>
      <w:r>
        <w:rPr>
          <w:rFonts w:ascii="仿宋_GB2312" w:eastAsia="仿宋_GB2312" w:hint="eastAsia"/>
          <w:color w:val="000000"/>
          <w:sz w:val="32"/>
          <w:szCs w:val="32"/>
        </w:rPr>
        <w:t>减少</w:t>
      </w:r>
      <w:r>
        <w:rPr>
          <w:rFonts w:ascii="仿宋_GB2312" w:eastAsia="仿宋_GB2312" w:hint="eastAsia"/>
          <w:color w:val="333333"/>
          <w:sz w:val="32"/>
          <w:szCs w:val="32"/>
        </w:rPr>
        <w:t>0.23万元，</w:t>
      </w:r>
      <w:r>
        <w:rPr>
          <w:rFonts w:ascii="仿宋_GB2312" w:eastAsia="仿宋_GB2312" w:hint="eastAsia"/>
          <w:color w:val="000000"/>
          <w:sz w:val="32"/>
          <w:szCs w:val="32"/>
        </w:rPr>
        <w:t>下降15.75%</w:t>
      </w:r>
      <w:r>
        <w:rPr>
          <w:rFonts w:ascii="仿宋_GB2312" w:eastAsia="仿宋_GB2312" w:hint="eastAsia"/>
          <w:color w:val="333333"/>
          <w:sz w:val="32"/>
          <w:szCs w:val="32"/>
        </w:rPr>
        <w:t>。增减变动的主要原因公务车辆改革车辆运行维护费下降和公务接待费的减少。</w:t>
      </w:r>
    </w:p>
    <w:p w:rsidR="00E035F9" w:rsidRDefault="002E1AB7">
      <w:pPr>
        <w:spacing w:line="600" w:lineRule="exact"/>
        <w:ind w:firstLine="640"/>
        <w:rPr>
          <w:rFonts w:ascii="仿宋_GB2312" w:eastAsia="仿宋_GB2312"/>
          <w:b/>
          <w:color w:val="333333"/>
          <w:sz w:val="32"/>
          <w:szCs w:val="32"/>
        </w:rPr>
      </w:pPr>
      <w:r>
        <w:rPr>
          <w:rFonts w:ascii="仿宋_GB2312" w:eastAsia="仿宋_GB2312" w:hint="eastAsia"/>
          <w:b/>
          <w:color w:val="333333"/>
          <w:sz w:val="32"/>
          <w:szCs w:val="32"/>
        </w:rPr>
        <w:t>（二）“三公”经费财政拨款支出决算具体情况说明</w:t>
      </w:r>
    </w:p>
    <w:p w:rsidR="00E035F9" w:rsidRDefault="002E1AB7">
      <w:pPr>
        <w:spacing w:line="600" w:lineRule="exact"/>
        <w:ind w:firstLine="640"/>
        <w:rPr>
          <w:rFonts w:ascii="仿宋_GB2312" w:eastAsia="仿宋_GB2312"/>
          <w:color w:val="333333"/>
          <w:sz w:val="32"/>
          <w:szCs w:val="32"/>
        </w:rPr>
      </w:pPr>
      <w:r>
        <w:rPr>
          <w:rFonts w:ascii="仿宋_GB2312" w:eastAsia="仿宋_GB2312" w:hint="eastAsia"/>
          <w:color w:val="333333"/>
          <w:sz w:val="32"/>
          <w:szCs w:val="32"/>
        </w:rPr>
        <w:t>2016年度“三公”经费财政拨款支出决算中，无</w:t>
      </w:r>
      <w:bookmarkStart w:id="1" w:name="OLE_LINK1"/>
      <w:r>
        <w:rPr>
          <w:rFonts w:ascii="仿宋_GB2312" w:eastAsia="仿宋_GB2312" w:hint="eastAsia"/>
          <w:color w:val="333333"/>
          <w:sz w:val="32"/>
          <w:szCs w:val="32"/>
        </w:rPr>
        <w:t>公出国（境）费</w:t>
      </w:r>
      <w:bookmarkEnd w:id="1"/>
      <w:r>
        <w:rPr>
          <w:rFonts w:ascii="仿宋_GB2312" w:eastAsia="仿宋_GB2312" w:hint="eastAsia"/>
          <w:color w:val="333333"/>
          <w:sz w:val="32"/>
          <w:szCs w:val="32"/>
        </w:rPr>
        <w:t>支出；公务用车购置及运行维护费支出决算22.19万元，</w:t>
      </w:r>
      <w:r>
        <w:rPr>
          <w:rFonts w:ascii="仿宋_GB2312" w:eastAsia="仿宋_GB2312" w:hint="eastAsia"/>
          <w:color w:val="000000"/>
          <w:sz w:val="32"/>
          <w:szCs w:val="32"/>
        </w:rPr>
        <w:t>占94.75%</w:t>
      </w:r>
      <w:r>
        <w:rPr>
          <w:rFonts w:ascii="仿宋_GB2312" w:eastAsia="仿宋_GB2312" w:hint="eastAsia"/>
          <w:color w:val="333333"/>
          <w:sz w:val="32"/>
          <w:szCs w:val="32"/>
        </w:rPr>
        <w:t>；公务接待费支出决算1.23万元，</w:t>
      </w:r>
      <w:r>
        <w:rPr>
          <w:rFonts w:ascii="仿宋_GB2312" w:eastAsia="仿宋_GB2312" w:hint="eastAsia"/>
          <w:color w:val="000000"/>
          <w:sz w:val="32"/>
          <w:szCs w:val="32"/>
        </w:rPr>
        <w:t>占5.25%。具体情况如下：</w:t>
      </w:r>
    </w:p>
    <w:p w:rsidR="00E035F9" w:rsidRDefault="002E1AB7">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（饼状图）</w:t>
      </w:r>
    </w:p>
    <w:p w:rsidR="00E035F9" w:rsidRDefault="002E1AB7" w:rsidP="0088220A">
      <w:pPr>
        <w:ind w:firstLine="641"/>
        <w:rPr>
          <w:rFonts w:ascii="仿宋_GB2312" w:eastAsia="仿宋_GB2312"/>
          <w:color w:val="000000"/>
          <w:sz w:val="32"/>
          <w:szCs w:val="32"/>
        </w:rPr>
      </w:pPr>
      <w:r>
        <w:rPr>
          <w:rFonts w:ascii="仿宋_GB2312" w:eastAsia="仿宋_GB2312"/>
          <w:noProof/>
          <w:color w:val="000000"/>
          <w:sz w:val="32"/>
          <w:szCs w:val="32"/>
        </w:rPr>
        <w:lastRenderedPageBreak/>
        <w:drawing>
          <wp:inline distT="0" distB="0" distL="0" distR="0">
            <wp:extent cx="4140835" cy="2296795"/>
            <wp:effectExtent l="5080" t="4445" r="6985" b="2286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035F9" w:rsidRDefault="002E1AB7">
      <w:pPr>
        <w:spacing w:line="600" w:lineRule="exact"/>
        <w:ind w:firstLine="640"/>
        <w:rPr>
          <w:rFonts w:ascii="仿宋_GB2312" w:eastAsia="仿宋_GB2312"/>
          <w:b/>
          <w:color w:val="000000"/>
          <w:sz w:val="32"/>
          <w:szCs w:val="32"/>
        </w:rPr>
      </w:pPr>
      <w:r>
        <w:rPr>
          <w:rFonts w:ascii="仿宋_GB2312" w:eastAsia="仿宋_GB2312" w:hint="eastAsia"/>
          <w:b/>
          <w:color w:val="000000"/>
          <w:sz w:val="32"/>
          <w:szCs w:val="32"/>
        </w:rPr>
        <w:t>1.因公出国（境）经费</w:t>
      </w:r>
    </w:p>
    <w:p w:rsidR="00E035F9" w:rsidRDefault="002E1AB7">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6年市扶贫移民局无因公出国（境）费支出。</w:t>
      </w:r>
    </w:p>
    <w:p w:rsidR="00E035F9" w:rsidRDefault="002E1AB7" w:rsidP="001744F8">
      <w:pPr>
        <w:spacing w:line="60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t>2.公务用车购置及运行维护费</w:t>
      </w:r>
    </w:p>
    <w:p w:rsidR="00E035F9" w:rsidRDefault="002E1AB7">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6年公务用车购置及运行维护费22.19万元,其中：公务用车运行维护费支出22.19万元。主要</w:t>
      </w:r>
      <w:r>
        <w:rPr>
          <w:rFonts w:ascii="仿宋_GB2312" w:eastAsia="仿宋_GB2312" w:hint="eastAsia"/>
          <w:sz w:val="32"/>
          <w:szCs w:val="32"/>
        </w:rPr>
        <w:t>用于开展我市在建和拟建的大中型水利水电工程规划安置和项目实施工作；移民后期扶持整村推进示范片建设，后期扶持直发直补，二滩库区滑坡塌岸移民安置；扶贫开发工作；采空沉陷区居民安置工作等</w:t>
      </w:r>
      <w:r>
        <w:rPr>
          <w:rFonts w:ascii="仿宋_GB2312" w:eastAsia="仿宋_GB2312" w:hint="eastAsia"/>
          <w:color w:val="000000"/>
          <w:sz w:val="32"/>
          <w:szCs w:val="32"/>
        </w:rPr>
        <w:t>等所需的公务用车燃料费、维修费、过路过桥费、保险费等支出。</w:t>
      </w:r>
    </w:p>
    <w:p w:rsidR="00E035F9" w:rsidRDefault="002E1AB7" w:rsidP="001744F8">
      <w:pPr>
        <w:spacing w:line="600" w:lineRule="exact"/>
        <w:ind w:firstLineChars="200" w:firstLine="643"/>
        <w:rPr>
          <w:rFonts w:ascii="楷体_GB2312" w:eastAsia="楷体_GB2312"/>
          <w:b/>
          <w:color w:val="000000"/>
          <w:sz w:val="32"/>
          <w:szCs w:val="32"/>
        </w:rPr>
      </w:pPr>
      <w:r>
        <w:rPr>
          <w:rFonts w:ascii="仿宋_GB2312" w:eastAsia="仿宋_GB2312" w:hint="eastAsia"/>
          <w:b/>
          <w:color w:val="000000"/>
          <w:sz w:val="32"/>
          <w:szCs w:val="32"/>
        </w:rPr>
        <w:t>3.公务接待费</w:t>
      </w:r>
    </w:p>
    <w:p w:rsidR="00E035F9" w:rsidRDefault="002E1AB7">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6年公务接待费1.23万元。主要用于执行公务、开展业务活动开支的交通费、住宿费、用餐费等。国内公务接待16批次，160人，共计支出1.23万元，具体内容包括：</w:t>
      </w:r>
      <w:r>
        <w:rPr>
          <w:rFonts w:ascii="仿宋_GB2312" w:eastAsia="仿宋_GB2312" w:hint="eastAsia"/>
          <w:sz w:val="32"/>
          <w:szCs w:val="32"/>
        </w:rPr>
        <w:t>在建的乌东德、金沙水、桐子林水，观音岩水电站、拟建的银江电站的</w:t>
      </w:r>
      <w:r>
        <w:rPr>
          <w:rFonts w:ascii="仿宋_GB2312" w:eastAsia="仿宋_GB2312" w:hint="eastAsia"/>
          <w:sz w:val="32"/>
          <w:szCs w:val="32"/>
        </w:rPr>
        <w:lastRenderedPageBreak/>
        <w:t>规划大纲的审定，规划报告的咨询以及各种事务协调、征地拆迁等所发生的费用</w:t>
      </w:r>
      <w:r>
        <w:rPr>
          <w:rFonts w:ascii="仿宋_GB2312" w:eastAsia="仿宋_GB2312" w:hint="eastAsia"/>
          <w:color w:val="000000"/>
          <w:sz w:val="32"/>
          <w:szCs w:val="32"/>
        </w:rPr>
        <w:t>。</w:t>
      </w:r>
    </w:p>
    <w:p w:rsidR="00E035F9" w:rsidRDefault="002E1AB7">
      <w:pPr>
        <w:spacing w:line="600" w:lineRule="exact"/>
        <w:ind w:firstLine="640"/>
        <w:rPr>
          <w:rFonts w:ascii="黑体" w:eastAsia="黑体"/>
          <w:color w:val="000000"/>
          <w:sz w:val="32"/>
          <w:szCs w:val="32"/>
        </w:rPr>
      </w:pPr>
      <w:r>
        <w:rPr>
          <w:rFonts w:ascii="黑体" w:eastAsia="黑体" w:hint="eastAsia"/>
          <w:color w:val="000000"/>
          <w:sz w:val="32"/>
          <w:szCs w:val="32"/>
        </w:rPr>
        <w:t>八、政府性基金预算财政拨款支出决算情况</w:t>
      </w:r>
    </w:p>
    <w:p w:rsidR="00E035F9" w:rsidRDefault="002E1AB7">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市扶贫移民局2016年使用政府性基金预算财政拨款支出16万元。</w:t>
      </w:r>
    </w:p>
    <w:p w:rsidR="00E035F9" w:rsidRDefault="002E1AB7">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九、其他重要事项的情况说明</w:t>
      </w:r>
    </w:p>
    <w:p w:rsidR="00E035F9" w:rsidRDefault="002E1AB7" w:rsidP="001744F8">
      <w:pPr>
        <w:spacing w:line="60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（一）机关运行经费支出情况</w:t>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2016年度，市扶贫移民局机关运行经费支出102.01万元，比2015年增加7.96万元，增长8.46%。</w:t>
      </w:r>
    </w:p>
    <w:p w:rsidR="00E035F9" w:rsidRDefault="002E1AB7" w:rsidP="001744F8">
      <w:pPr>
        <w:autoSpaceDE w:val="0"/>
        <w:autoSpaceDN w:val="0"/>
        <w:adjustRightInd w:val="0"/>
        <w:spacing w:line="600" w:lineRule="exact"/>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（二）政府采购支出情况</w:t>
      </w:r>
    </w:p>
    <w:p w:rsidR="00E035F9" w:rsidRDefault="002E1AB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2016年度，市扶贫移民局政府采购支出总额6.86万元，其中：政府采购货物支出6.86万元。主要用于机构办公设备的更新换代。</w:t>
      </w:r>
    </w:p>
    <w:p w:rsidR="00E035F9" w:rsidRDefault="002E1AB7" w:rsidP="001744F8">
      <w:pPr>
        <w:autoSpaceDE w:val="0"/>
        <w:autoSpaceDN w:val="0"/>
        <w:adjustRightInd w:val="0"/>
        <w:spacing w:line="600" w:lineRule="exact"/>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（三）国有资产占有使用情况</w:t>
      </w:r>
    </w:p>
    <w:p w:rsidR="00E035F9" w:rsidRDefault="002E1AB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截至2016年12月31日，市扶贫移民局公有车辆2辆，其中：一般公务用车2辆；无单价50万元以上通用设备；无单价100万元以上专用设备。</w:t>
      </w:r>
    </w:p>
    <w:p w:rsidR="001744F8" w:rsidRDefault="001744F8" w:rsidP="001744F8">
      <w:pPr>
        <w:autoSpaceDE w:val="0"/>
        <w:autoSpaceDN w:val="0"/>
        <w:adjustRightInd w:val="0"/>
        <w:spacing w:line="600" w:lineRule="exact"/>
        <w:ind w:firstLineChars="200" w:firstLine="640"/>
        <w:jc w:val="left"/>
        <w:rPr>
          <w:rFonts w:ascii="黑体" w:eastAsia="黑体"/>
          <w:color w:val="000000"/>
          <w:sz w:val="32"/>
          <w:szCs w:val="32"/>
        </w:rPr>
      </w:pPr>
      <w:r>
        <w:rPr>
          <w:rFonts w:ascii="黑体" w:eastAsia="黑体" w:hint="eastAsia"/>
          <w:color w:val="000000"/>
          <w:sz w:val="32"/>
          <w:szCs w:val="32"/>
        </w:rPr>
        <w:t>十、名词解释</w:t>
      </w:r>
    </w:p>
    <w:p w:rsidR="001744F8" w:rsidRDefault="001744F8" w:rsidP="001744F8">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1.财政拨款收入：指市级财政当年拨付的资金。 </w:t>
      </w:r>
    </w:p>
    <w:p w:rsidR="001744F8" w:rsidRDefault="001744F8" w:rsidP="001744F8">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2.其他收入：指除上述“财政拨款收入”以外的收入。主要是财政专户下达的十三五扶贫规划编制费和精准扶贫费用。 </w:t>
      </w:r>
    </w:p>
    <w:p w:rsidR="001744F8" w:rsidRDefault="001744F8" w:rsidP="001744F8">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 xml:space="preserve">3.年初结转和结余：指以前年度尚未完成、结转到本年按有关规定继续使用的资金。 </w:t>
      </w:r>
    </w:p>
    <w:p w:rsidR="001744F8" w:rsidRPr="009E3A89" w:rsidRDefault="001744F8" w:rsidP="001744F8">
      <w:pPr>
        <w:ind w:firstLineChars="200" w:firstLine="640"/>
        <w:rPr>
          <w:rFonts w:ascii="仿宋_GB2312" w:eastAsia="仿宋_GB2312" w:hAnsi="Calibri" w:cs="仿宋"/>
          <w:color w:val="000000"/>
          <w:kern w:val="0"/>
          <w:sz w:val="32"/>
          <w:szCs w:val="32"/>
        </w:rPr>
      </w:pPr>
      <w:r w:rsidRPr="009E3A89">
        <w:rPr>
          <w:rFonts w:ascii="仿宋_GB2312" w:eastAsia="仿宋_GB2312" w:hAnsi="Calibri" w:cs="仿宋" w:hint="eastAsia"/>
          <w:color w:val="000000"/>
          <w:kern w:val="0"/>
          <w:sz w:val="32"/>
          <w:szCs w:val="32"/>
        </w:rPr>
        <w:t>4. 一般公共服务（类）发展与改革事务（款）战略规划与实施（项）：指</w:t>
      </w:r>
      <w:r>
        <w:rPr>
          <w:rFonts w:ascii="仿宋_GB2312" w:eastAsia="仿宋_GB2312" w:hAnsi="Calibri" w:cs="仿宋" w:hint="eastAsia"/>
          <w:color w:val="000000"/>
          <w:kern w:val="0"/>
          <w:sz w:val="32"/>
          <w:szCs w:val="32"/>
        </w:rPr>
        <w:t>拟定并组织实施国民经济和社会发展战略、中长期规划和年度计划、实施宏观管理与调控等方面支出</w:t>
      </w:r>
      <w:r w:rsidRPr="009E3A89">
        <w:rPr>
          <w:rFonts w:ascii="仿宋_GB2312" w:eastAsia="仿宋_GB2312" w:hAnsi="Calibri" w:cs="仿宋" w:hint="eastAsia"/>
          <w:color w:val="000000"/>
          <w:kern w:val="0"/>
          <w:sz w:val="32"/>
          <w:szCs w:val="32"/>
        </w:rPr>
        <w:t>。</w:t>
      </w:r>
      <w:r w:rsidRPr="00A13B71">
        <w:rPr>
          <w:rFonts w:ascii="仿宋_GB2312" w:eastAsia="仿宋_GB2312" w:hAnsi="Calibri" w:cs="仿宋" w:hint="eastAsia"/>
          <w:color w:val="000000"/>
          <w:kern w:val="0"/>
          <w:sz w:val="32"/>
          <w:szCs w:val="32"/>
        </w:rPr>
        <w:t>组织事务（款）其他组织事务支出（项）</w:t>
      </w:r>
      <w:r>
        <w:rPr>
          <w:rFonts w:ascii="仿宋_GB2312" w:eastAsia="仿宋_GB2312" w:hAnsi="Calibri" w:cs="仿宋" w:hint="eastAsia"/>
          <w:color w:val="000000"/>
          <w:kern w:val="0"/>
          <w:sz w:val="32"/>
          <w:szCs w:val="32"/>
        </w:rPr>
        <w:t>：指其他用于中国共产党组织部门的事务支出。</w:t>
      </w:r>
    </w:p>
    <w:p w:rsidR="001744F8" w:rsidRPr="00484D7C" w:rsidRDefault="001744F8" w:rsidP="001744F8">
      <w:pPr>
        <w:pStyle w:val="Default"/>
        <w:spacing w:line="560" w:lineRule="exact"/>
        <w:ind w:firstLineChars="200" w:firstLine="640"/>
        <w:rPr>
          <w:rFonts w:ascii="仿宋_GB2312" w:eastAsia="仿宋_GB2312"/>
          <w:sz w:val="32"/>
          <w:szCs w:val="32"/>
        </w:rPr>
      </w:pPr>
      <w:r w:rsidRPr="00484D7C">
        <w:rPr>
          <w:rFonts w:ascii="仿宋_GB2312" w:eastAsia="仿宋_GB2312" w:hint="eastAsia"/>
          <w:sz w:val="32"/>
          <w:szCs w:val="32"/>
        </w:rPr>
        <w:t>5. 社会保障和就业（类）行政事业单位离退休（款）未归口管理的行政单位离退休（项）</w:t>
      </w:r>
      <w:r>
        <w:rPr>
          <w:rFonts w:ascii="仿宋_GB2312" w:eastAsia="仿宋_GB2312" w:hint="eastAsia"/>
          <w:sz w:val="32"/>
          <w:szCs w:val="32"/>
        </w:rPr>
        <w:t>：</w:t>
      </w:r>
      <w:r w:rsidRPr="00484D7C">
        <w:rPr>
          <w:rFonts w:ascii="仿宋_GB2312" w:eastAsia="仿宋_GB2312" w:hint="eastAsia"/>
          <w:sz w:val="32"/>
          <w:szCs w:val="32"/>
        </w:rPr>
        <w:t>指</w:t>
      </w:r>
      <w:r>
        <w:rPr>
          <w:rFonts w:ascii="仿宋_GB2312" w:eastAsia="仿宋_GB2312" w:hint="eastAsia"/>
          <w:sz w:val="32"/>
          <w:szCs w:val="32"/>
        </w:rPr>
        <w:t>实行归口管理的行政单位开支的离退休支出;</w:t>
      </w:r>
      <w:r w:rsidRPr="008956B0">
        <w:rPr>
          <w:rFonts w:ascii="仿宋_GB2312" w:eastAsia="仿宋_GB2312" w:hint="eastAsia"/>
          <w:sz w:val="32"/>
          <w:szCs w:val="32"/>
        </w:rPr>
        <w:t>机关事业单位基本养老保险缴费支出（项）:</w:t>
      </w:r>
      <w:r>
        <w:rPr>
          <w:rFonts w:ascii="仿宋_GB2312" w:eastAsia="仿宋_GB2312" w:hint="eastAsia"/>
          <w:sz w:val="32"/>
          <w:szCs w:val="32"/>
        </w:rPr>
        <w:t>指反映机关事业单位实施养老保险制度由单位缴纳的基本养老保险费支出;</w:t>
      </w:r>
      <w:r w:rsidRPr="008956B0">
        <w:rPr>
          <w:rFonts w:ascii="仿宋_GB2312" w:eastAsia="仿宋_GB2312" w:hint="eastAsia"/>
          <w:sz w:val="32"/>
          <w:szCs w:val="32"/>
        </w:rPr>
        <w:t>儿童福利（项）:</w:t>
      </w:r>
      <w:r>
        <w:rPr>
          <w:rFonts w:ascii="仿宋_GB2312" w:eastAsia="仿宋_GB2312" w:hint="eastAsia"/>
          <w:sz w:val="32"/>
          <w:szCs w:val="32"/>
        </w:rPr>
        <w:t>指对儿童提供福利服务方面的支出</w:t>
      </w:r>
      <w:r w:rsidRPr="00484D7C">
        <w:rPr>
          <w:rFonts w:ascii="仿宋_GB2312" w:eastAsia="仿宋_GB2312" w:hint="eastAsia"/>
          <w:sz w:val="32"/>
          <w:szCs w:val="32"/>
        </w:rPr>
        <w:t>。</w:t>
      </w:r>
    </w:p>
    <w:p w:rsidR="001744F8" w:rsidRPr="008956B0" w:rsidRDefault="001744F8" w:rsidP="001744F8">
      <w:pPr>
        <w:spacing w:line="600" w:lineRule="exact"/>
        <w:ind w:firstLineChars="200" w:firstLine="640"/>
        <w:rPr>
          <w:rFonts w:ascii="仿宋_GB2312" w:eastAsia="仿宋_GB2312" w:hAnsi="Calibri" w:cs="仿宋"/>
          <w:color w:val="000000"/>
          <w:kern w:val="0"/>
          <w:sz w:val="32"/>
          <w:szCs w:val="32"/>
        </w:rPr>
      </w:pPr>
      <w:r w:rsidRPr="008956B0">
        <w:rPr>
          <w:rFonts w:ascii="仿宋_GB2312" w:eastAsia="仿宋_GB2312" w:hAnsi="Calibri" w:cs="仿宋" w:hint="eastAsia"/>
          <w:color w:val="000000"/>
          <w:kern w:val="0"/>
          <w:sz w:val="32"/>
          <w:szCs w:val="32"/>
        </w:rPr>
        <w:t>6.医疗卫生与计划生育（类）医疗保障（款）其他医疗保障支出（项）:</w:t>
      </w:r>
      <w:r>
        <w:rPr>
          <w:rFonts w:ascii="仿宋_GB2312" w:eastAsia="仿宋_GB2312" w:hAnsi="Calibri" w:cs="仿宋" w:hint="eastAsia"/>
          <w:color w:val="000000"/>
          <w:kern w:val="0"/>
          <w:sz w:val="32"/>
          <w:szCs w:val="32"/>
        </w:rPr>
        <w:t>指其他用于医疗保障方面的支出</w:t>
      </w:r>
      <w:r w:rsidRPr="008956B0">
        <w:rPr>
          <w:rFonts w:ascii="仿宋_GB2312" w:eastAsia="仿宋_GB2312" w:hAnsi="Calibri" w:cs="仿宋" w:hint="eastAsia"/>
          <w:color w:val="000000"/>
          <w:kern w:val="0"/>
          <w:sz w:val="32"/>
          <w:szCs w:val="32"/>
        </w:rPr>
        <w:t>。</w:t>
      </w:r>
    </w:p>
    <w:p w:rsidR="001744F8" w:rsidRPr="008956B0" w:rsidRDefault="001744F8" w:rsidP="001744F8">
      <w:pPr>
        <w:spacing w:line="600" w:lineRule="exact"/>
        <w:ind w:firstLineChars="200" w:firstLine="640"/>
        <w:rPr>
          <w:rFonts w:ascii="仿宋_GB2312" w:eastAsia="仿宋_GB2312" w:hAnsi="Calibri" w:cs="仿宋"/>
          <w:color w:val="000000"/>
          <w:kern w:val="0"/>
          <w:sz w:val="32"/>
          <w:szCs w:val="32"/>
        </w:rPr>
      </w:pPr>
      <w:r w:rsidRPr="008956B0">
        <w:rPr>
          <w:rFonts w:ascii="仿宋_GB2312" w:eastAsia="仿宋_GB2312" w:hAnsi="Calibri" w:cs="仿宋" w:hint="eastAsia"/>
          <w:color w:val="000000"/>
          <w:kern w:val="0"/>
          <w:sz w:val="32"/>
          <w:szCs w:val="32"/>
        </w:rPr>
        <w:t>7.农林水支出（类）扶贫（款）行政运行（项）：指反映单位的基本支出；扶贫事业机构（项）:</w:t>
      </w:r>
      <w:r>
        <w:rPr>
          <w:rFonts w:ascii="仿宋_GB2312" w:eastAsia="仿宋_GB2312" w:hAnsi="Calibri" w:cs="仿宋" w:hint="eastAsia"/>
          <w:color w:val="000000"/>
          <w:kern w:val="0"/>
          <w:sz w:val="32"/>
          <w:szCs w:val="32"/>
        </w:rPr>
        <w:t>指扶贫事业单位基本支出</w:t>
      </w:r>
      <w:r w:rsidRPr="008956B0">
        <w:rPr>
          <w:rFonts w:ascii="仿宋_GB2312" w:eastAsia="仿宋_GB2312" w:hAnsi="Calibri" w:cs="仿宋" w:hint="eastAsia"/>
          <w:color w:val="000000"/>
          <w:kern w:val="0"/>
          <w:sz w:val="32"/>
          <w:szCs w:val="32"/>
        </w:rPr>
        <w:t>；其他扶贫支出（项）:</w:t>
      </w:r>
      <w:r>
        <w:rPr>
          <w:rFonts w:ascii="仿宋_GB2312" w:eastAsia="仿宋_GB2312" w:hAnsi="Calibri" w:cs="仿宋" w:hint="eastAsia"/>
          <w:color w:val="000000"/>
          <w:kern w:val="0"/>
          <w:sz w:val="32"/>
          <w:szCs w:val="32"/>
        </w:rPr>
        <w:t>指其他用于扶贫方面的支出</w:t>
      </w:r>
      <w:r w:rsidRPr="008956B0">
        <w:rPr>
          <w:rFonts w:ascii="仿宋_GB2312" w:eastAsia="仿宋_GB2312" w:hAnsi="Calibri" w:cs="仿宋" w:hint="eastAsia"/>
          <w:color w:val="000000"/>
          <w:kern w:val="0"/>
          <w:sz w:val="32"/>
          <w:szCs w:val="32"/>
        </w:rPr>
        <w:t>。</w:t>
      </w:r>
    </w:p>
    <w:p w:rsidR="001744F8" w:rsidRPr="0071030A" w:rsidRDefault="001744F8" w:rsidP="001744F8">
      <w:pPr>
        <w:spacing w:line="600" w:lineRule="exact"/>
        <w:ind w:firstLineChars="200" w:firstLine="640"/>
        <w:rPr>
          <w:rFonts w:ascii="仿宋_GB2312" w:eastAsia="仿宋_GB2312" w:hAnsi="Calibri" w:cs="仿宋"/>
          <w:color w:val="000000"/>
          <w:kern w:val="0"/>
          <w:sz w:val="32"/>
          <w:szCs w:val="32"/>
        </w:rPr>
      </w:pPr>
      <w:r w:rsidRPr="0071030A">
        <w:rPr>
          <w:rFonts w:ascii="仿宋_GB2312" w:eastAsia="仿宋_GB2312" w:hAnsi="Calibri" w:cs="仿宋" w:hint="eastAsia"/>
          <w:color w:val="000000"/>
          <w:kern w:val="0"/>
          <w:sz w:val="32"/>
          <w:szCs w:val="32"/>
        </w:rPr>
        <w:t xml:space="preserve">8.住房保障支出（类）住房改革支出（款）住房公积金（项）:指按人社局、财政局相关规定的基本工资和津贴补贴以及规定比例为职工缴纳的住房公积金。 </w:t>
      </w:r>
    </w:p>
    <w:p w:rsidR="001744F8" w:rsidRDefault="001744F8" w:rsidP="001744F8">
      <w:pPr>
        <w:ind w:firstLineChars="200" w:firstLine="640"/>
        <w:rPr>
          <w:rFonts w:ascii="仿宋_GB2312" w:eastAsia="仿宋_GB2312"/>
          <w:color w:val="000000"/>
          <w:sz w:val="32"/>
          <w:szCs w:val="32"/>
        </w:rPr>
      </w:pPr>
      <w:r w:rsidRPr="0071030A">
        <w:rPr>
          <w:rFonts w:ascii="仿宋_GB2312" w:eastAsia="仿宋_GB2312" w:hAnsi="Calibri" w:cs="仿宋" w:hint="eastAsia"/>
          <w:color w:val="000000"/>
          <w:kern w:val="0"/>
          <w:sz w:val="32"/>
          <w:szCs w:val="32"/>
        </w:rPr>
        <w:lastRenderedPageBreak/>
        <w:t>9.年末结转和结余：指本年度或以前年度预算安排、因客观条件</w:t>
      </w:r>
      <w:r>
        <w:rPr>
          <w:rFonts w:ascii="仿宋_GB2312" w:eastAsia="仿宋_GB2312" w:hint="eastAsia"/>
          <w:color w:val="000000"/>
          <w:sz w:val="32"/>
          <w:szCs w:val="32"/>
        </w:rPr>
        <w:t>发生变化无法按原计划实施，需延迟到以后年度按有关规定继续使用的资金。</w:t>
      </w:r>
    </w:p>
    <w:p w:rsidR="001744F8" w:rsidRDefault="001744F8" w:rsidP="001744F8">
      <w:pPr>
        <w:ind w:firstLineChars="200" w:firstLine="640"/>
        <w:rPr>
          <w:rFonts w:ascii="仿宋_GB2312" w:eastAsia="仿宋_GB2312"/>
          <w:color w:val="000000"/>
          <w:sz w:val="32"/>
          <w:szCs w:val="32"/>
        </w:rPr>
      </w:pPr>
      <w:r>
        <w:rPr>
          <w:rFonts w:ascii="仿宋_GB2312" w:eastAsia="仿宋_GB2312" w:hint="eastAsia"/>
          <w:color w:val="000000"/>
          <w:sz w:val="32"/>
          <w:szCs w:val="32"/>
        </w:rPr>
        <w:t>10.基本支出：指为保障机构正常运转、完成日常工作任务而发生的人员支出和公用支出。</w:t>
      </w:r>
    </w:p>
    <w:p w:rsidR="001744F8" w:rsidRDefault="001744F8" w:rsidP="001744F8">
      <w:pPr>
        <w:ind w:firstLineChars="200" w:firstLine="640"/>
        <w:rPr>
          <w:rFonts w:ascii="仿宋_GB2312" w:eastAsia="仿宋_GB2312"/>
          <w:color w:val="000000"/>
          <w:sz w:val="32"/>
          <w:szCs w:val="32"/>
        </w:rPr>
      </w:pPr>
      <w:r>
        <w:rPr>
          <w:rFonts w:ascii="仿宋_GB2312" w:eastAsia="仿宋_GB2312" w:hint="eastAsia"/>
          <w:color w:val="000000"/>
          <w:sz w:val="32"/>
          <w:szCs w:val="32"/>
        </w:rPr>
        <w:t xml:space="preserve">11.项目支出：指在基本支出之外为完成特定行政任务和事业发展目标所发生的支出。 </w:t>
      </w:r>
    </w:p>
    <w:p w:rsidR="001744F8" w:rsidRDefault="001744F8" w:rsidP="001744F8">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12.“三公”经费：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1744F8" w:rsidRDefault="001744F8" w:rsidP="001744F8">
      <w:pPr>
        <w:pStyle w:val="Default"/>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13.机关运行经费：为保障行政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70DA9" w:rsidRDefault="00570DA9" w:rsidP="001744F8">
      <w:pPr>
        <w:pStyle w:val="Default"/>
        <w:spacing w:line="560" w:lineRule="exact"/>
        <w:ind w:firstLineChars="200" w:firstLine="640"/>
        <w:rPr>
          <w:rFonts w:ascii="仿宋_GB2312" w:eastAsia="仿宋_GB2312" w:hint="eastAsia"/>
          <w:sz w:val="32"/>
          <w:szCs w:val="32"/>
        </w:rPr>
      </w:pPr>
    </w:p>
    <w:p w:rsidR="00570DA9" w:rsidRDefault="00570DA9" w:rsidP="00570DA9">
      <w:pPr>
        <w:pStyle w:val="Default"/>
        <w:spacing w:line="560" w:lineRule="exact"/>
        <w:ind w:firstLineChars="200" w:firstLine="640"/>
        <w:jc w:val="right"/>
        <w:rPr>
          <w:rFonts w:ascii="仿宋_GB2312" w:eastAsia="仿宋_GB2312" w:hint="eastAsia"/>
          <w:sz w:val="32"/>
          <w:szCs w:val="32"/>
        </w:rPr>
      </w:pPr>
      <w:r>
        <w:rPr>
          <w:rFonts w:ascii="仿宋_GB2312" w:eastAsia="仿宋_GB2312" w:hint="eastAsia"/>
          <w:sz w:val="32"/>
          <w:szCs w:val="32"/>
        </w:rPr>
        <w:lastRenderedPageBreak/>
        <w:t>攀枝花市扶贫和移民工作局</w:t>
      </w:r>
    </w:p>
    <w:p w:rsidR="00570DA9" w:rsidRPr="00570DA9" w:rsidRDefault="00570DA9" w:rsidP="00570DA9">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2017年9月4日</w:t>
      </w:r>
    </w:p>
    <w:p w:rsidR="00E035F9" w:rsidRPr="001744F8" w:rsidRDefault="00E035F9"/>
    <w:sectPr w:rsidR="00E035F9" w:rsidRPr="001744F8" w:rsidSect="0037319B">
      <w:pgSz w:w="11906" w:h="16838"/>
      <w:pgMar w:top="2098" w:right="1588" w:bottom="1928"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50E5" w:rsidRDefault="00A050E5" w:rsidP="0088220A">
      <w:r>
        <w:separator/>
      </w:r>
    </w:p>
  </w:endnote>
  <w:endnote w:type="continuationSeparator" w:id="1">
    <w:p w:rsidR="00A050E5" w:rsidRDefault="00A050E5" w:rsidP="008822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50E5" w:rsidRDefault="00A050E5" w:rsidP="0088220A">
      <w:r>
        <w:separator/>
      </w:r>
    </w:p>
  </w:footnote>
  <w:footnote w:type="continuationSeparator" w:id="1">
    <w:p w:rsidR="00A050E5" w:rsidRDefault="00A050E5" w:rsidP="008822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37A42"/>
    <w:rsid w:val="00027EDF"/>
    <w:rsid w:val="000E052A"/>
    <w:rsid w:val="000E3F71"/>
    <w:rsid w:val="00126857"/>
    <w:rsid w:val="00137A42"/>
    <w:rsid w:val="001601DA"/>
    <w:rsid w:val="00172257"/>
    <w:rsid w:val="001744F8"/>
    <w:rsid w:val="001B382D"/>
    <w:rsid w:val="001F6711"/>
    <w:rsid w:val="00293B63"/>
    <w:rsid w:val="002941F3"/>
    <w:rsid w:val="002E1AB7"/>
    <w:rsid w:val="00357997"/>
    <w:rsid w:val="0037319B"/>
    <w:rsid w:val="003C3131"/>
    <w:rsid w:val="004051B5"/>
    <w:rsid w:val="004772E2"/>
    <w:rsid w:val="00487AAA"/>
    <w:rsid w:val="00490F0A"/>
    <w:rsid w:val="004B4DEF"/>
    <w:rsid w:val="00570DA9"/>
    <w:rsid w:val="00593FF7"/>
    <w:rsid w:val="005B0E3F"/>
    <w:rsid w:val="005E7619"/>
    <w:rsid w:val="00636BBC"/>
    <w:rsid w:val="00662537"/>
    <w:rsid w:val="006751E6"/>
    <w:rsid w:val="006F7545"/>
    <w:rsid w:val="007775DA"/>
    <w:rsid w:val="00777F34"/>
    <w:rsid w:val="00783EEA"/>
    <w:rsid w:val="00790E85"/>
    <w:rsid w:val="00791F01"/>
    <w:rsid w:val="007F4726"/>
    <w:rsid w:val="0088220A"/>
    <w:rsid w:val="008A396D"/>
    <w:rsid w:val="008B1E62"/>
    <w:rsid w:val="008E7E95"/>
    <w:rsid w:val="00910391"/>
    <w:rsid w:val="00950A9D"/>
    <w:rsid w:val="0096713A"/>
    <w:rsid w:val="009D2202"/>
    <w:rsid w:val="009D7EF0"/>
    <w:rsid w:val="00A050E5"/>
    <w:rsid w:val="00A179FB"/>
    <w:rsid w:val="00A17DE3"/>
    <w:rsid w:val="00A53420"/>
    <w:rsid w:val="00B6093B"/>
    <w:rsid w:val="00BF42EE"/>
    <w:rsid w:val="00BF5E1E"/>
    <w:rsid w:val="00C06F2E"/>
    <w:rsid w:val="00C33ECB"/>
    <w:rsid w:val="00C619FE"/>
    <w:rsid w:val="00CC6030"/>
    <w:rsid w:val="00CD6543"/>
    <w:rsid w:val="00DC6A48"/>
    <w:rsid w:val="00E035F9"/>
    <w:rsid w:val="00EA1774"/>
    <w:rsid w:val="00EB6291"/>
    <w:rsid w:val="00EF3F9B"/>
    <w:rsid w:val="00EF520F"/>
    <w:rsid w:val="00EF75CE"/>
    <w:rsid w:val="00F81ACD"/>
    <w:rsid w:val="0A8173A6"/>
    <w:rsid w:val="131B174C"/>
    <w:rsid w:val="145378E0"/>
    <w:rsid w:val="16C363E0"/>
    <w:rsid w:val="1AB9055F"/>
    <w:rsid w:val="37CE5194"/>
    <w:rsid w:val="478909B9"/>
    <w:rsid w:val="4A6107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5F9"/>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1"/>
    <w:unhideWhenUsed/>
    <w:qFormat/>
    <w:rsid w:val="00E035F9"/>
    <w:pPr>
      <w:spacing w:beforeLines="30"/>
    </w:pPr>
    <w:rPr>
      <w:rFonts w:ascii="仿宋_GB2312" w:eastAsia="仿宋_GB2312"/>
      <w:kern w:val="0"/>
      <w:sz w:val="30"/>
    </w:rPr>
  </w:style>
  <w:style w:type="paragraph" w:styleId="a4">
    <w:name w:val="Balloon Text"/>
    <w:basedOn w:val="a"/>
    <w:link w:val="Char"/>
    <w:uiPriority w:val="99"/>
    <w:unhideWhenUsed/>
    <w:qFormat/>
    <w:rsid w:val="00E035F9"/>
    <w:rPr>
      <w:sz w:val="18"/>
      <w:szCs w:val="18"/>
    </w:rPr>
  </w:style>
  <w:style w:type="paragraph" w:styleId="a5">
    <w:name w:val="footer"/>
    <w:basedOn w:val="a"/>
    <w:link w:val="Char0"/>
    <w:uiPriority w:val="99"/>
    <w:unhideWhenUsed/>
    <w:qFormat/>
    <w:rsid w:val="00E035F9"/>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rsid w:val="00E035F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7">
    <w:name w:val="Strong"/>
    <w:basedOn w:val="a0"/>
    <w:uiPriority w:val="22"/>
    <w:qFormat/>
    <w:rsid w:val="00E035F9"/>
    <w:rPr>
      <w:b/>
      <w:bCs/>
    </w:rPr>
  </w:style>
  <w:style w:type="character" w:customStyle="1" w:styleId="Char2">
    <w:name w:val="页眉 Char"/>
    <w:basedOn w:val="a0"/>
    <w:link w:val="a6"/>
    <w:uiPriority w:val="99"/>
    <w:semiHidden/>
    <w:qFormat/>
    <w:rsid w:val="00E035F9"/>
    <w:rPr>
      <w:sz w:val="18"/>
      <w:szCs w:val="18"/>
    </w:rPr>
  </w:style>
  <w:style w:type="character" w:customStyle="1" w:styleId="Char0">
    <w:name w:val="页脚 Char"/>
    <w:basedOn w:val="a0"/>
    <w:link w:val="a5"/>
    <w:uiPriority w:val="99"/>
    <w:semiHidden/>
    <w:qFormat/>
    <w:rsid w:val="00E035F9"/>
    <w:rPr>
      <w:sz w:val="18"/>
      <w:szCs w:val="18"/>
    </w:rPr>
  </w:style>
  <w:style w:type="character" w:customStyle="1" w:styleId="Char3">
    <w:name w:val="正文文本 Char"/>
    <w:basedOn w:val="a0"/>
    <w:link w:val="a3"/>
    <w:uiPriority w:val="99"/>
    <w:semiHidden/>
    <w:qFormat/>
    <w:rsid w:val="00E035F9"/>
    <w:rPr>
      <w:rFonts w:ascii="Times New Roman" w:eastAsia="宋体" w:hAnsi="Times New Roman" w:cs="Times New Roman"/>
      <w:szCs w:val="24"/>
    </w:rPr>
  </w:style>
  <w:style w:type="paragraph" w:customStyle="1" w:styleId="Default">
    <w:name w:val="Default"/>
    <w:qFormat/>
    <w:rsid w:val="00E035F9"/>
    <w:pPr>
      <w:widowControl w:val="0"/>
      <w:autoSpaceDE w:val="0"/>
      <w:autoSpaceDN w:val="0"/>
      <w:adjustRightInd w:val="0"/>
    </w:pPr>
    <w:rPr>
      <w:rFonts w:ascii="仿宋" w:eastAsia="仿宋" w:hAnsi="Calibri" w:cs="仿宋"/>
      <w:color w:val="000000"/>
      <w:sz w:val="24"/>
      <w:szCs w:val="24"/>
    </w:rPr>
  </w:style>
  <w:style w:type="character" w:customStyle="1" w:styleId="Char1">
    <w:name w:val="正文文本 Char1"/>
    <w:basedOn w:val="a0"/>
    <w:link w:val="a3"/>
    <w:semiHidden/>
    <w:qFormat/>
    <w:locked/>
    <w:rsid w:val="00E035F9"/>
    <w:rPr>
      <w:rFonts w:ascii="仿宋_GB2312" w:eastAsia="仿宋_GB2312" w:hAnsi="Times New Roman" w:cs="Times New Roman"/>
      <w:kern w:val="0"/>
      <w:sz w:val="30"/>
      <w:szCs w:val="24"/>
    </w:rPr>
  </w:style>
  <w:style w:type="character" w:customStyle="1" w:styleId="Char">
    <w:name w:val="批注框文本 Char"/>
    <w:basedOn w:val="a0"/>
    <w:link w:val="a4"/>
    <w:uiPriority w:val="99"/>
    <w:semiHidden/>
    <w:qFormat/>
    <w:rsid w:val="00E035F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收入合计</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extLst>
              <c:ext xmlns:c15="http://schemas.microsoft.com/office/drawing/2012/chart" uri="{CE6537A1-D6FC-4f65-9D91-7224C49458BB}">
                <c15:layout/>
                <c15:showLeaderLines val="1"/>
                <c15:leaderLines/>
              </c:ext>
            </c:extLst>
          </c:dLbls>
          <c:cat>
            <c:strRef>
              <c:f>Sheet1!$A$2:$A$3</c:f>
              <c:strCache>
                <c:ptCount val="2"/>
                <c:pt idx="0">
                  <c:v>财政拨款收入</c:v>
                </c:pt>
                <c:pt idx="1">
                  <c:v>其他收入</c:v>
                </c:pt>
              </c:strCache>
            </c:strRef>
          </c:cat>
          <c:val>
            <c:numRef>
              <c:f>Sheet1!$B$2:$B$3</c:f>
              <c:numCache>
                <c:formatCode>General</c:formatCode>
                <c:ptCount val="2"/>
                <c:pt idx="0">
                  <c:v>653.65</c:v>
                </c:pt>
                <c:pt idx="1">
                  <c:v>32.260000000000012</c:v>
                </c:pt>
              </c:numCache>
            </c:numRef>
          </c:val>
        </c:ser>
        <c:ser>
          <c:idx val="1"/>
          <c:order val="1"/>
          <c:tx>
            <c:strRef>
              <c:f>Sheet1!$C$1</c:f>
              <c:strCache>
                <c:ptCount val="1"/>
                <c:pt idx="0">
                  <c:v>百分比</c:v>
                </c:pt>
              </c:strCache>
            </c:strRef>
          </c:tx>
          <c:cat>
            <c:strRef>
              <c:f>Sheet1!$A$2:$A$3</c:f>
              <c:strCache>
                <c:ptCount val="2"/>
                <c:pt idx="0">
                  <c:v>财政拨款收入</c:v>
                </c:pt>
                <c:pt idx="1">
                  <c:v>其他收入</c:v>
                </c:pt>
              </c:strCache>
            </c:strRef>
          </c:cat>
          <c:val>
            <c:numRef>
              <c:f>Sheet1!$C$2:$C$3</c:f>
              <c:numCache>
                <c:formatCode>General</c:formatCode>
                <c:ptCount val="2"/>
                <c:pt idx="0">
                  <c:v>95.3</c:v>
                </c:pt>
                <c:pt idx="1">
                  <c:v>4.7</c:v>
                </c:pt>
              </c:numCache>
            </c:numRef>
          </c:val>
        </c:ser>
        <c:firstSliceAng val="15"/>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支出构成</c:v>
                </c:pt>
              </c:strCache>
            </c:strRef>
          </c:tx>
          <c:dLbls>
            <c:dLbl>
              <c:idx val="0"/>
              <c:dLblPos val="bestFit"/>
              <c:showPercent val="1"/>
              <c:extLst>
                <c:ext xmlns:c15="http://schemas.microsoft.com/office/drawing/2012/chart" uri="{CE6537A1-D6FC-4f65-9D91-7224C49458BB}"/>
              </c:extLst>
            </c:dLbl>
            <c:dLbl>
              <c:idx val="1"/>
              <c:dLblPos val="bestFit"/>
              <c:showPercent val="1"/>
              <c:extLst>
                <c:ext xmlns:c15="http://schemas.microsoft.com/office/drawing/2012/chart" uri="{CE6537A1-D6FC-4f65-9D91-7224C49458BB}"/>
              </c:extLst>
            </c:dLbl>
            <c:delete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General</c:formatCode>
                <c:ptCount val="2"/>
                <c:pt idx="0">
                  <c:v>556.17000000000053</c:v>
                </c:pt>
                <c:pt idx="1">
                  <c:v>100.14</c:v>
                </c:pt>
              </c:numCache>
            </c:numRef>
          </c:val>
        </c:ser>
        <c:ser>
          <c:idx val="1"/>
          <c:order val="1"/>
          <c:tx>
            <c:strRef>
              <c:f>Sheet1!$C$1</c:f>
              <c:strCache>
                <c:ptCount val="1"/>
                <c:pt idx="0">
                  <c:v>百分比</c:v>
                </c:pt>
              </c:strCache>
            </c:strRef>
          </c:tx>
          <c:cat>
            <c:strRef>
              <c:f>Sheet1!$A$2:$A$3</c:f>
              <c:strCache>
                <c:ptCount val="2"/>
                <c:pt idx="0">
                  <c:v>基本支出</c:v>
                </c:pt>
                <c:pt idx="1">
                  <c:v>项目支出</c:v>
                </c:pt>
              </c:strCache>
            </c:strRef>
          </c:cat>
          <c:val>
            <c:numRef>
              <c:f>Sheet1!$C$2:$C$3</c:f>
              <c:numCache>
                <c:formatCode>General</c:formatCode>
                <c:ptCount val="2"/>
                <c:pt idx="0">
                  <c:v>85</c:v>
                </c:pt>
                <c:pt idx="1">
                  <c:v>15</c:v>
                </c:pt>
              </c:numCache>
            </c:numRef>
          </c:val>
        </c:ser>
        <c:firstSliceAng val="15"/>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7.3371424239840194E-2"/>
          <c:y val="6.0415144185408214E-2"/>
          <c:w val="0.63447435496555704"/>
          <c:h val="0.446497178048822"/>
        </c:manualLayout>
      </c:layout>
      <c:barChart>
        <c:barDir val="col"/>
        <c:grouping val="stacked"/>
        <c:ser>
          <c:idx val="0"/>
          <c:order val="0"/>
          <c:tx>
            <c:strRef>
              <c:f>Sheet1!$B$1</c:f>
              <c:strCache>
                <c:ptCount val="1"/>
                <c:pt idx="0">
                  <c:v>财政拨款收支总数</c:v>
                </c:pt>
              </c:strCache>
            </c:strRef>
          </c:tx>
          <c:cat>
            <c:strRef>
              <c:f>Sheet1!$A$2:$A$3</c:f>
              <c:strCache>
                <c:ptCount val="2"/>
                <c:pt idx="0">
                  <c:v>2016年</c:v>
                </c:pt>
                <c:pt idx="1">
                  <c:v>2015年</c:v>
                </c:pt>
              </c:strCache>
            </c:strRef>
          </c:cat>
          <c:val>
            <c:numRef>
              <c:f>Sheet1!$B$2:$B$3</c:f>
              <c:numCache>
                <c:formatCode>General</c:formatCode>
                <c:ptCount val="2"/>
                <c:pt idx="0">
                  <c:v>637.65</c:v>
                </c:pt>
                <c:pt idx="1">
                  <c:v>627.79000000000053</c:v>
                </c:pt>
              </c:numCache>
            </c:numRef>
          </c:val>
        </c:ser>
        <c:ser>
          <c:idx val="1"/>
          <c:order val="1"/>
          <c:tx>
            <c:strRef>
              <c:f>Sheet1!$C$1</c:f>
              <c:strCache>
                <c:ptCount val="1"/>
                <c:pt idx="0">
                  <c:v>2016年较2015年增长率</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ctr"/>
            <c:showVal val="1"/>
            <c:extLst>
              <c:ext xmlns:c15="http://schemas.microsoft.com/office/drawing/2012/chart" uri="{CE6537A1-D6FC-4f65-9D91-7224C49458BB}">
                <c15:layout/>
                <c15:showLeaderLines val="0"/>
                <c15:leaderLines/>
              </c:ext>
            </c:extLst>
          </c:dLbls>
          <c:cat>
            <c:strRef>
              <c:f>Sheet1!$A$2:$A$3</c:f>
              <c:strCache>
                <c:ptCount val="2"/>
                <c:pt idx="0">
                  <c:v>2016年</c:v>
                </c:pt>
                <c:pt idx="1">
                  <c:v>2015年</c:v>
                </c:pt>
              </c:strCache>
            </c:strRef>
          </c:cat>
          <c:val>
            <c:numRef>
              <c:f>Sheet1!$C$2:$C$3</c:f>
              <c:numCache>
                <c:formatCode>General</c:formatCode>
                <c:ptCount val="2"/>
                <c:pt idx="0" formatCode="0%">
                  <c:v>1.0000000000000005E-2</c:v>
                </c:pt>
              </c:numCache>
            </c:numRef>
          </c:val>
        </c:ser>
        <c:overlap val="100"/>
        <c:axId val="139038720"/>
        <c:axId val="139040256"/>
      </c:barChart>
      <c:catAx>
        <c:axId val="139038720"/>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39040256"/>
        <c:crosses val="autoZero"/>
        <c:auto val="1"/>
        <c:lblAlgn val="ctr"/>
        <c:lblOffset val="100"/>
      </c:catAx>
      <c:valAx>
        <c:axId val="139040256"/>
        <c:scaling>
          <c:orientation val="minMax"/>
          <c:max val="640"/>
          <c:min val="600"/>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39038720"/>
        <c:crosses val="autoZero"/>
        <c:crossBetween val="between"/>
      </c:valAx>
      <c:spPr>
        <a:solidFill>
          <a:schemeClr val="bg1"/>
        </a:solid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9.2119797309736379E-2"/>
          <c:y val="7.949117746420313E-2"/>
          <c:w val="0.49028966961728576"/>
          <c:h val="0.49136067008017464"/>
        </c:manualLayout>
      </c:layout>
      <c:barChart>
        <c:barDir val="col"/>
        <c:grouping val="stacked"/>
        <c:ser>
          <c:idx val="0"/>
          <c:order val="0"/>
          <c:tx>
            <c:strRef>
              <c:f>Sheet1!$B$1</c:f>
              <c:strCache>
                <c:ptCount val="1"/>
                <c:pt idx="0">
                  <c:v>一般公共预算财政拨款支出数</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ctr"/>
            <c:showVal val="1"/>
            <c:extLst>
              <c:ext xmlns:c15="http://schemas.microsoft.com/office/drawing/2012/chart" uri="{CE6537A1-D6FC-4f65-9D91-7224C49458BB}">
                <c15:layout/>
                <c15:showLeaderLines val="0"/>
                <c15:leaderLines/>
              </c:ext>
            </c:extLst>
          </c:dLbls>
          <c:cat>
            <c:strRef>
              <c:f>Sheet1!$A$2:$A$3</c:f>
              <c:strCache>
                <c:ptCount val="2"/>
                <c:pt idx="0">
                  <c:v>2016年</c:v>
                </c:pt>
                <c:pt idx="1">
                  <c:v>2015年</c:v>
                </c:pt>
              </c:strCache>
            </c:strRef>
          </c:cat>
          <c:val>
            <c:numRef>
              <c:f>Sheet1!$B$2:$B$3</c:f>
              <c:numCache>
                <c:formatCode>General</c:formatCode>
                <c:ptCount val="2"/>
                <c:pt idx="0">
                  <c:v>632.76</c:v>
                </c:pt>
                <c:pt idx="1">
                  <c:v>613.79999999999995</c:v>
                </c:pt>
              </c:numCache>
            </c:numRef>
          </c:val>
        </c:ser>
        <c:ser>
          <c:idx val="1"/>
          <c:order val="1"/>
          <c:tx>
            <c:strRef>
              <c:f>Sheet1!$C$1</c:f>
              <c:strCache>
                <c:ptCount val="1"/>
                <c:pt idx="0">
                  <c:v>2016年较2015增长数</c:v>
                </c:pt>
              </c:strCache>
            </c:strRef>
          </c:tx>
          <c:dLbls>
            <c:dLbl>
              <c:idx val="0"/>
              <c:layout>
                <c:manualLayout>
                  <c:x val="2.4078979051288204E-3"/>
                  <c:y val="1.6511867905056807E-2"/>
                </c:manualLayout>
              </c:layout>
              <c:dLblPos val="ctr"/>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ctr"/>
            <c:showVal val="1"/>
            <c:extLst>
              <c:ext xmlns:c15="http://schemas.microsoft.com/office/drawing/2012/chart" uri="{CE6537A1-D6FC-4f65-9D91-7224C49458BB}">
                <c15:layout/>
                <c15:showLeaderLines val="0"/>
                <c15:leaderLines/>
              </c:ext>
            </c:extLst>
          </c:dLbls>
          <c:cat>
            <c:strRef>
              <c:f>Sheet1!$A$2:$A$3</c:f>
              <c:strCache>
                <c:ptCount val="2"/>
                <c:pt idx="0">
                  <c:v>2016年</c:v>
                </c:pt>
                <c:pt idx="1">
                  <c:v>2015年</c:v>
                </c:pt>
              </c:strCache>
            </c:strRef>
          </c:cat>
          <c:val>
            <c:numRef>
              <c:f>Sheet1!$C$2:$C$3</c:f>
              <c:numCache>
                <c:formatCode>General</c:formatCode>
                <c:ptCount val="2"/>
                <c:pt idx="0">
                  <c:v>18.960000000000029</c:v>
                </c:pt>
              </c:numCache>
            </c:numRef>
          </c:val>
        </c:ser>
        <c:ser>
          <c:idx val="2"/>
          <c:order val="2"/>
          <c:tx>
            <c:strRef>
              <c:f>Sheet1!$D$1</c:f>
              <c:strCache>
                <c:ptCount val="1"/>
                <c:pt idx="0">
                  <c:v>2016年一般公共预算财政拨款支出数占本年支出率</c:v>
                </c:pt>
              </c:strCache>
            </c:strRef>
          </c:tx>
          <c:dLbls>
            <c:dLbl>
              <c:idx val="0"/>
              <c:layout>
                <c:manualLayout>
                  <c:x val="7.2236937153864811E-2"/>
                  <c:y val="1.6511867905056807E-2"/>
                </c:manualLayout>
              </c:layout>
              <c:dLblPos val="ctr"/>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ctr"/>
            <c:showVal val="1"/>
            <c:extLst>
              <c:ext xmlns:c15="http://schemas.microsoft.com/office/drawing/2012/chart" uri="{CE6537A1-D6FC-4f65-9D91-7224C49458BB}">
                <c15:layout/>
                <c15:showLeaderLines val="0"/>
                <c15:leaderLines/>
              </c:ext>
            </c:extLst>
          </c:dLbls>
          <c:cat>
            <c:strRef>
              <c:f>Sheet1!$A$2:$A$3</c:f>
              <c:strCache>
                <c:ptCount val="2"/>
                <c:pt idx="0">
                  <c:v>2016年</c:v>
                </c:pt>
                <c:pt idx="1">
                  <c:v>2015年</c:v>
                </c:pt>
              </c:strCache>
            </c:strRef>
          </c:cat>
          <c:val>
            <c:numRef>
              <c:f>Sheet1!$D$2:$D$3</c:f>
              <c:numCache>
                <c:formatCode>General</c:formatCode>
                <c:ptCount val="2"/>
                <c:pt idx="0" formatCode="0.00%">
                  <c:v>0.96410000000000062</c:v>
                </c:pt>
              </c:numCache>
            </c:numRef>
          </c:val>
        </c:ser>
        <c:ser>
          <c:idx val="3"/>
          <c:order val="3"/>
          <c:tx>
            <c:strRef>
              <c:f>Sheet1!$E$1</c:f>
              <c:strCache>
                <c:ptCount val="1"/>
                <c:pt idx="0">
                  <c:v>2016年较2015年增长率</c:v>
                </c:pt>
              </c:strCache>
            </c:strRef>
          </c:tx>
          <c:dLbls>
            <c:dLbl>
              <c:idx val="0"/>
              <c:layout>
                <c:manualLayout>
                  <c:x val="1.4447387430772899E-2"/>
                  <c:y val="-7.4303405572755402E-2"/>
                </c:manualLayout>
              </c:layout>
              <c:dLblPos val="ctr"/>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ctr"/>
            <c:showVal val="1"/>
            <c:extLst>
              <c:ext xmlns:c15="http://schemas.microsoft.com/office/drawing/2012/chart" uri="{CE6537A1-D6FC-4f65-9D91-7224C49458BB}">
                <c15:layout/>
                <c15:showLeaderLines val="0"/>
                <c15:leaderLines/>
              </c:ext>
            </c:extLst>
          </c:dLbls>
          <c:cat>
            <c:strRef>
              <c:f>Sheet1!$A$2:$A$3</c:f>
              <c:strCache>
                <c:ptCount val="2"/>
                <c:pt idx="0">
                  <c:v>2016年</c:v>
                </c:pt>
                <c:pt idx="1">
                  <c:v>2015年</c:v>
                </c:pt>
              </c:strCache>
            </c:strRef>
          </c:cat>
          <c:val>
            <c:numRef>
              <c:f>Sheet1!$E$2:$E$3</c:f>
              <c:numCache>
                <c:formatCode>General</c:formatCode>
                <c:ptCount val="2"/>
                <c:pt idx="0" formatCode="0.00%">
                  <c:v>3.09E-2</c:v>
                </c:pt>
              </c:numCache>
            </c:numRef>
          </c:val>
        </c:ser>
        <c:dLbls>
          <c:showVal val="1"/>
        </c:dLbls>
        <c:overlap val="100"/>
        <c:axId val="148203008"/>
        <c:axId val="148204544"/>
      </c:barChart>
      <c:catAx>
        <c:axId val="148203008"/>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48204544"/>
        <c:crosses val="autoZero"/>
        <c:auto val="1"/>
        <c:lblAlgn val="ctr"/>
        <c:lblOffset val="100"/>
      </c:catAx>
      <c:valAx>
        <c:axId val="148204544"/>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48203008"/>
        <c:crosses val="autoZero"/>
        <c:crossBetween val="between"/>
      </c:valAx>
      <c:spPr>
        <a:solidFill>
          <a:schemeClr val="bg1"/>
        </a:solidFill>
        <a:ln>
          <a:noFill/>
        </a:ln>
        <a:effectLst/>
      </c:spPr>
    </c:plotArea>
    <c:legend>
      <c:legendPos val="r"/>
      <c:layout>
        <c:manualLayout>
          <c:xMode val="edge"/>
          <c:yMode val="edge"/>
          <c:x val="0.29966786683285962"/>
          <c:y val="1.3806813752241366E-3"/>
          <c:w val="0.63804773301382789"/>
          <c:h val="0.24641355474130147"/>
        </c:manualLayout>
      </c:layout>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一般公共预算财政拨款支出构成</c:v>
                </c:pt>
              </c:strCache>
            </c:strRef>
          </c:tx>
          <c:dLbls>
            <c:dLbl>
              <c:idx val="4"/>
              <c:layout>
                <c:manualLayout>
                  <c:x val="-3.2554063502224041E-2"/>
                  <c:y val="1.5155802633333005E-2"/>
                </c:manualLayout>
              </c:layout>
              <c:dLblPos val="bestFit"/>
              <c:showPercent val="1"/>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15:layout/>
                <c15:showLeaderLines val="1"/>
                <c15:leaderLines/>
              </c:ext>
            </c:extLst>
          </c:dLbls>
          <c:cat>
            <c:strRef>
              <c:f>Sheet1!$A$2:$A$6</c:f>
              <c:strCache>
                <c:ptCount val="5"/>
                <c:pt idx="0">
                  <c:v>一般公共服务支出</c:v>
                </c:pt>
                <c:pt idx="1">
                  <c:v>社会保障和就业支出</c:v>
                </c:pt>
                <c:pt idx="2">
                  <c:v>医疗卫生支出</c:v>
                </c:pt>
                <c:pt idx="3">
                  <c:v>农林水支出</c:v>
                </c:pt>
                <c:pt idx="4">
                  <c:v>住房保障支出</c:v>
                </c:pt>
              </c:strCache>
            </c:strRef>
          </c:cat>
          <c:val>
            <c:numRef>
              <c:f>Sheet1!$B$2:$B$6</c:f>
              <c:numCache>
                <c:formatCode>General</c:formatCode>
                <c:ptCount val="5"/>
                <c:pt idx="0">
                  <c:v>5.98</c:v>
                </c:pt>
                <c:pt idx="1">
                  <c:v>66.319999999999993</c:v>
                </c:pt>
                <c:pt idx="2">
                  <c:v>8.0000000000000043E-2</c:v>
                </c:pt>
                <c:pt idx="3">
                  <c:v>522.03</c:v>
                </c:pt>
                <c:pt idx="4">
                  <c:v>38.35</c:v>
                </c:pt>
              </c:numCache>
            </c:numRef>
          </c:val>
        </c:ser>
        <c:ser>
          <c:idx val="1"/>
          <c:order val="1"/>
          <c:tx>
            <c:strRef>
              <c:f>Sheet1!$C$1</c:f>
              <c:strCache>
                <c:ptCount val="1"/>
                <c:pt idx="0">
                  <c:v>百分比</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ext>
            </c:extLst>
          </c:dLbls>
          <c:cat>
            <c:strRef>
              <c:f>Sheet1!$A$2:$A$6</c:f>
              <c:strCache>
                <c:ptCount val="5"/>
                <c:pt idx="0">
                  <c:v>一般公共服务支出</c:v>
                </c:pt>
                <c:pt idx="1">
                  <c:v>社会保障和就业支出</c:v>
                </c:pt>
                <c:pt idx="2">
                  <c:v>医疗卫生支出</c:v>
                </c:pt>
                <c:pt idx="3">
                  <c:v>农林水支出</c:v>
                </c:pt>
                <c:pt idx="4">
                  <c:v>住房保障支出</c:v>
                </c:pt>
              </c:strCache>
            </c:strRef>
          </c:cat>
          <c:val>
            <c:numRef>
              <c:f>Sheet1!$C$2:$C$6</c:f>
              <c:numCache>
                <c:formatCode>0.00%</c:formatCode>
                <c:ptCount val="5"/>
                <c:pt idx="0">
                  <c:v>9.5000000000000067E-3</c:v>
                </c:pt>
                <c:pt idx="1">
                  <c:v>0.1048</c:v>
                </c:pt>
                <c:pt idx="2">
                  <c:v>1.0000000000000018E-4</c:v>
                </c:pt>
                <c:pt idx="3">
                  <c:v>0.82500000000000062</c:v>
                </c:pt>
                <c:pt idx="4">
                  <c:v>6.0600000000000022E-2</c:v>
                </c:pt>
              </c:numCache>
            </c:numRef>
          </c:val>
        </c:ser>
        <c:dLbls>
          <c:showVal val="1"/>
        </c:dLbls>
        <c:firstSliceAng val="15"/>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2016年度“三公”经费构成</c:v>
                </c:pt>
              </c:strCache>
            </c:strRef>
          </c:tx>
          <c:dLbls>
            <c:dLbl>
              <c:idx val="0"/>
              <c:tx>
                <c:rich>
                  <a:bodyPr rot="0" spcFirstLastPara="0" vertOverflow="ellipsis" vert="horz" wrap="square" lIns="38100" tIns="19050" rIns="38100" bIns="19050" anchor="ctr" anchorCtr="1"/>
                  <a:lstStyle/>
                  <a:p>
                    <a:pPr defTabSz="914400">
                      <a:defRPr lang="zh-CN" sz="1000" b="0" i="0" u="none" strike="noStrike" kern="1200" baseline="0">
                        <a:solidFill>
                          <a:schemeClr val="tx1"/>
                        </a:solidFill>
                        <a:latin typeface="+mn-lt"/>
                        <a:ea typeface="+mn-ea"/>
                        <a:cs typeface="+mn-cs"/>
                      </a:defRPr>
                    </a:pPr>
                    <a:r>
                      <a:rPr lang="en-US" altLang="zh-CN"/>
                      <a:t>94.75%</a:t>
                    </a:r>
                  </a:p>
                </c:rich>
              </c:tx>
              <c:spPr>
                <a:noFill/>
                <a:ln>
                  <a:noFill/>
                </a:ln>
                <a:effectLst/>
              </c:spPr>
              <c:dLblPos val="bestFit"/>
              <c:showPercent val="1"/>
              <c:extLst>
                <c:ext xmlns:c15="http://schemas.microsoft.com/office/drawing/2012/chart" uri="{CE6537A1-D6FC-4f65-9D91-7224C49458BB}"/>
              </c:extLst>
            </c:dLbl>
            <c:dLbl>
              <c:idx val="1"/>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5.25%</a:t>
                    </a:r>
                  </a:p>
                </c:rich>
              </c:tx>
              <c:numFmt formatCode="0.00%" sourceLinked="0"/>
              <c:spPr>
                <a:noFill/>
                <a:ln>
                  <a:noFill/>
                </a:ln>
                <a:effectLst/>
              </c:spPr>
              <c:dLblPos val="bestFit"/>
              <c:showVal val="1"/>
              <c:showPercent val="1"/>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extLst>
              <c:ext xmlns:c15="http://schemas.microsoft.com/office/drawing/2012/chart" uri="{CE6537A1-D6FC-4f65-9D91-7224C49458BB}">
                <c15:layout/>
                <c15:showLeaderLines val="1"/>
                <c15:leaderLines/>
              </c:ext>
            </c:extLst>
          </c:dLbls>
          <c:cat>
            <c:strRef>
              <c:f>Sheet1!$A$3:$A$4</c:f>
              <c:strCache>
                <c:ptCount val="2"/>
                <c:pt idx="0">
                  <c:v>公务用车运行维护费</c:v>
                </c:pt>
                <c:pt idx="1">
                  <c:v>公务接待费</c:v>
                </c:pt>
              </c:strCache>
            </c:strRef>
          </c:cat>
          <c:val>
            <c:numRef>
              <c:f>Sheet1!$B$3:$B$4</c:f>
              <c:numCache>
                <c:formatCode>General</c:formatCode>
                <c:ptCount val="2"/>
                <c:pt idx="0">
                  <c:v>22.19</c:v>
                </c:pt>
                <c:pt idx="1">
                  <c:v>1.23</c:v>
                </c:pt>
              </c:numCache>
            </c:numRef>
          </c:val>
        </c:ser>
        <c:ser>
          <c:idx val="1"/>
          <c:order val="1"/>
          <c:tx>
            <c:strRef>
              <c:f>Sheet1!$C$1</c:f>
              <c:strCache>
                <c:ptCount val="1"/>
                <c:pt idx="0">
                  <c:v>百分比</c:v>
                </c:pt>
              </c:strCache>
            </c:strRef>
          </c:tx>
          <c:cat>
            <c:strRef>
              <c:f>Sheet1!$A$3:$A$4</c:f>
              <c:strCache>
                <c:ptCount val="2"/>
                <c:pt idx="0">
                  <c:v>公务用车运行维护费</c:v>
                </c:pt>
                <c:pt idx="1">
                  <c:v>公务接待费</c:v>
                </c:pt>
              </c:strCache>
            </c:strRef>
          </c:cat>
          <c:val>
            <c:numRef>
              <c:f>Sheet1!$C$3:$C$4</c:f>
              <c:numCache>
                <c:formatCode>0.00%</c:formatCode>
                <c:ptCount val="2"/>
                <c:pt idx="0">
                  <c:v>0.94750000000000001</c:v>
                </c:pt>
                <c:pt idx="1">
                  <c:v>5.2500000000000012E-2</c:v>
                </c:pt>
              </c:numCache>
            </c:numRef>
          </c:val>
        </c:ser>
        <c:firstSliceAng val="15"/>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32ADDB1-CB25-4ED9-A7D0-91ADA4873EB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13</Pages>
  <Words>748</Words>
  <Characters>4264</Characters>
  <Application>Microsoft Office Word</Application>
  <DocSecurity>0</DocSecurity>
  <Lines>35</Lines>
  <Paragraphs>10</Paragraphs>
  <ScaleCrop>false</ScaleCrop>
  <Company>Sky123.Org</Company>
  <LinksUpToDate>false</LinksUpToDate>
  <CharactersWithSpaces>5002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杨金辉</dc:creator>
  <cp:lastModifiedBy>杨金辉</cp:lastModifiedBy>
  <cp:revision>68</cp:revision>
  <cp:lastPrinted>2017-09-04T04:46:00Z</cp:lastPrinted>
  <dcterms:created xsi:type="dcterms:W3CDTF">2017-09-02T01:37:00Z</dcterms:created>
  <dcterms:modified xsi:type="dcterms:W3CDTF">2017-09-04T08:48:00Z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