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85" w:line="195" w:lineRule="auto"/>
        <w:ind w:left="1791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4"/>
          <w:sz w:val="43"/>
          <w:szCs w:val="43"/>
        </w:rPr>
        <w:t xml:space="preserve">关于攀枝花市林业局 2016 </w:t>
      </w:r>
      <w:r>
        <w:rPr>
          <w:rFonts w:ascii="微软雅黑" w:hAnsi="微软雅黑" w:eastAsia="微软雅黑" w:cs="微软雅黑"/>
          <w:spacing w:val="-3"/>
          <w:sz w:val="43"/>
          <w:szCs w:val="43"/>
        </w:rPr>
        <w:t>年</w:t>
      </w:r>
    </w:p>
    <w:p>
      <w:pPr>
        <w:spacing w:before="2" w:line="214" w:lineRule="auto"/>
        <w:ind w:left="2571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部门预算编制的说</w:t>
      </w:r>
      <w:r>
        <w:rPr>
          <w:rFonts w:ascii="微软雅黑" w:hAnsi="微软雅黑" w:eastAsia="微软雅黑" w:cs="微软雅黑"/>
          <w:spacing w:val="7"/>
          <w:sz w:val="43"/>
          <w:szCs w:val="43"/>
        </w:rPr>
        <w:t>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257" w:line="223" w:lineRule="auto"/>
        <w:ind w:left="783"/>
        <w:rPr>
          <w:rFonts w:ascii="黑体" w:hAnsi="黑体" w:eastAsia="黑体" w:cs="黑体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13"/>
          <w:sz w:val="31"/>
          <w:szCs w:val="31"/>
        </w:rPr>
        <w:t>一</w:t>
      </w:r>
      <w:r>
        <w:rPr>
          <w:rFonts w:ascii="黑体" w:hAnsi="黑体" w:eastAsia="黑体" w:cs="黑体"/>
          <w:spacing w:val="7"/>
          <w:sz w:val="31"/>
          <w:szCs w:val="31"/>
        </w:rPr>
        <w:t>、基本职能及主要工作</w:t>
      </w:r>
    </w:p>
    <w:p>
      <w:pPr>
        <w:spacing w:before="264" w:line="381" w:lineRule="auto"/>
        <w:ind w:left="130" w:right="133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攀</w:t>
      </w:r>
      <w:r>
        <w:rPr>
          <w:rFonts w:ascii="仿宋" w:hAnsi="仿宋" w:eastAsia="仿宋" w:cs="仿宋"/>
          <w:spacing w:val="7"/>
          <w:sz w:val="31"/>
          <w:szCs w:val="31"/>
        </w:rPr>
        <w:t>枝花市林业局为市政府行政管理职能部门，设有办公室、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造林绿化管理科(攀枝花市绿化委员会办公室、攀枝花市退耕</w:t>
      </w:r>
      <w:r>
        <w:rPr>
          <w:rFonts w:ascii="仿宋" w:hAnsi="仿宋" w:eastAsia="仿宋" w:cs="仿宋"/>
          <w:spacing w:val="9"/>
          <w:sz w:val="31"/>
          <w:szCs w:val="31"/>
        </w:rPr>
        <w:t>还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林领导小组办公室)、森林资源管理科、发展规划和资金管理</w:t>
      </w:r>
      <w:r>
        <w:rPr>
          <w:rFonts w:ascii="仿宋" w:hAnsi="仿宋" w:eastAsia="仿宋" w:cs="仿宋"/>
          <w:spacing w:val="9"/>
          <w:sz w:val="31"/>
          <w:szCs w:val="31"/>
        </w:rPr>
        <w:t>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等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14 </w:t>
      </w:r>
      <w:r>
        <w:rPr>
          <w:rFonts w:ascii="仿宋" w:hAnsi="仿宋" w:eastAsia="仿宋" w:cs="仿宋"/>
          <w:spacing w:val="-1"/>
          <w:sz w:val="31"/>
          <w:szCs w:val="31"/>
        </w:rPr>
        <w:t>个内设机构。</w:t>
      </w:r>
    </w:p>
    <w:p>
      <w:pPr>
        <w:spacing w:before="3" w:line="383" w:lineRule="auto"/>
        <w:ind w:left="131" w:right="89" w:firstLine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攀枝花市林业局主要工作职能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>:</w:t>
      </w:r>
      <w:r>
        <w:rPr>
          <w:rFonts w:ascii="仿宋" w:hAnsi="仿宋" w:eastAsia="仿宋" w:cs="仿宋"/>
          <w:spacing w:val="14"/>
          <w:sz w:val="31"/>
          <w:szCs w:val="31"/>
        </w:rPr>
        <w:t>贯彻执行国家和省有关林</w:t>
      </w:r>
      <w:r>
        <w:rPr>
          <w:rFonts w:ascii="仿宋" w:hAnsi="仿宋" w:eastAsia="仿宋" w:cs="仿宋"/>
          <w:spacing w:val="9"/>
          <w:sz w:val="31"/>
          <w:szCs w:val="31"/>
        </w:rPr>
        <w:t>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的方针、政策和法律、法规，拟订相应的实施意见并组织实施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负责</w:t>
      </w:r>
      <w:r>
        <w:rPr>
          <w:rFonts w:ascii="仿宋" w:hAnsi="仿宋" w:eastAsia="仿宋" w:cs="仿宋"/>
          <w:spacing w:val="5"/>
          <w:sz w:val="31"/>
          <w:szCs w:val="31"/>
        </w:rPr>
        <w:t>全市林业及生态建设的监督管理。组织、协调、指导和监督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全市</w:t>
      </w:r>
      <w:r>
        <w:rPr>
          <w:rFonts w:ascii="仿宋" w:hAnsi="仿宋" w:eastAsia="仿宋" w:cs="仿宋"/>
          <w:spacing w:val="5"/>
          <w:sz w:val="31"/>
          <w:szCs w:val="31"/>
        </w:rPr>
        <w:t>造林绿化工作。承担全市森林资源保护发展和监督管理的职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责。</w:t>
      </w:r>
      <w:r>
        <w:rPr>
          <w:rFonts w:ascii="仿宋" w:hAnsi="仿宋" w:eastAsia="仿宋" w:cs="仿宋"/>
          <w:spacing w:val="7"/>
          <w:sz w:val="31"/>
          <w:szCs w:val="31"/>
        </w:rPr>
        <w:t>组</w:t>
      </w:r>
      <w:r>
        <w:rPr>
          <w:rFonts w:ascii="仿宋" w:hAnsi="仿宋" w:eastAsia="仿宋" w:cs="仿宋"/>
          <w:spacing w:val="5"/>
          <w:sz w:val="31"/>
          <w:szCs w:val="31"/>
        </w:rPr>
        <w:t>织、协调、指导和监督全市荒漠化防治工作。组织、指导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全市</w:t>
      </w:r>
      <w:r>
        <w:rPr>
          <w:rFonts w:ascii="仿宋" w:hAnsi="仿宋" w:eastAsia="仿宋" w:cs="仿宋"/>
          <w:spacing w:val="5"/>
          <w:sz w:val="31"/>
          <w:szCs w:val="31"/>
        </w:rPr>
        <w:t>陆生野生动植物的保护和合理开发利用。监督检查全市各产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业对</w:t>
      </w:r>
      <w:r>
        <w:rPr>
          <w:rFonts w:ascii="仿宋" w:hAnsi="仿宋" w:eastAsia="仿宋" w:cs="仿宋"/>
          <w:spacing w:val="-3"/>
          <w:sz w:val="31"/>
          <w:szCs w:val="31"/>
        </w:rPr>
        <w:t>森</w:t>
      </w:r>
      <w:r>
        <w:rPr>
          <w:rFonts w:ascii="仿宋" w:hAnsi="仿宋" w:eastAsia="仿宋" w:cs="仿宋"/>
          <w:spacing w:val="-2"/>
          <w:sz w:val="31"/>
          <w:szCs w:val="31"/>
        </w:rPr>
        <w:t>林、湿地、荒漠和陆生野生动植物资源的开发利用。组织、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1" w:line="177" w:lineRule="exact"/>
        <w:ind w:firstLine="69"/>
        <w:textAlignment w:val="center"/>
      </w:pPr>
      <w:r>
        <w:pict>
          <v:group id="_x0000_s1026" o:spid="_x0000_s1026" o:spt="203" style="height:8.9pt;width:454pt;" coordsize="9080,177">
            <o:lock v:ext="edit"/>
            <v:shape id="_x0000_s1027" o:spid="_x0000_s1027" style="position:absolute;left:5;top:87;height:90;width:9070;" filled="f" stroked="t" coordsize="9070,90" path="m0,45l9069,45e">
              <v:fill on="f" focussize="0,0"/>
              <v:stroke weight="4.5pt" color="#FF0000" miterlimit="10"/>
              <v:imagedata o:title=""/>
              <o:lock v:ext="edit"/>
            </v:shape>
            <v:shape id="_x0000_s1028" o:spid="_x0000_s1028" style="position:absolute;left:0;top:0;height:10;width:9080;" filled="f" stroked="t" coordsize="9080,10" path="m5,5l9074,5e">
              <v:fill on="f" focussize="0,0"/>
              <v:stroke weight="0.5pt" color="#FF0000" miterlimit="10" endcap="round"/>
              <v:imagedata o:title=""/>
              <o:lock v:ext="edit"/>
            </v:shape>
            <w10:wrap type="none"/>
            <w10:anchorlock/>
          </v:group>
        </w:pict>
      </w:r>
    </w:p>
    <w:p>
      <w:pPr>
        <w:sectPr>
          <w:headerReference r:id="rId5" w:type="default"/>
          <w:pgSz w:w="11900" w:h="16840"/>
          <w:pgMar w:top="3626" w:right="1282" w:bottom="0" w:left="1468" w:header="2251" w:footer="0" w:gutter="0"/>
          <w:cols w:space="720" w:num="1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1" w:line="381" w:lineRule="auto"/>
        <w:ind w:left="6" w:right="7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协</w:t>
      </w:r>
      <w:r>
        <w:rPr>
          <w:rFonts w:ascii="仿宋" w:hAnsi="仿宋" w:eastAsia="仿宋" w:cs="仿宋"/>
          <w:spacing w:val="5"/>
          <w:sz w:val="31"/>
          <w:szCs w:val="31"/>
        </w:rPr>
        <w:t>调、指导、监督全市森林防火工作。负责指导全市林业经济工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作</w:t>
      </w:r>
      <w:r>
        <w:rPr>
          <w:rFonts w:ascii="仿宋" w:hAnsi="仿宋" w:eastAsia="仿宋" w:cs="仿宋"/>
          <w:spacing w:val="-3"/>
          <w:sz w:val="31"/>
          <w:szCs w:val="31"/>
        </w:rPr>
        <w:t>。</w:t>
      </w:r>
    </w:p>
    <w:p>
      <w:pPr>
        <w:spacing w:before="1" w:line="381" w:lineRule="auto"/>
        <w:ind w:right="71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市林</w:t>
      </w:r>
      <w:r>
        <w:rPr>
          <w:rFonts w:ascii="仿宋" w:hAnsi="仿宋" w:eastAsia="仿宋" w:cs="仿宋"/>
          <w:spacing w:val="6"/>
          <w:sz w:val="31"/>
          <w:szCs w:val="31"/>
        </w:rPr>
        <w:t>业</w:t>
      </w:r>
      <w:r>
        <w:rPr>
          <w:rFonts w:ascii="仿宋" w:hAnsi="仿宋" w:eastAsia="仿宋" w:cs="仿宋"/>
          <w:spacing w:val="4"/>
          <w:sz w:val="31"/>
          <w:szCs w:val="31"/>
        </w:rPr>
        <w:t>局直属管理单位有市林业科技推广总站，市林业执法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稽查</w:t>
      </w:r>
      <w:r>
        <w:rPr>
          <w:rFonts w:ascii="仿宋" w:hAnsi="仿宋" w:eastAsia="仿宋" w:cs="仿宋"/>
          <w:spacing w:val="6"/>
          <w:sz w:val="31"/>
          <w:szCs w:val="31"/>
        </w:rPr>
        <w:t>队</w:t>
      </w:r>
      <w:r>
        <w:rPr>
          <w:rFonts w:ascii="仿宋" w:hAnsi="仿宋" w:eastAsia="仿宋" w:cs="仿宋"/>
          <w:spacing w:val="5"/>
          <w:sz w:val="31"/>
          <w:szCs w:val="31"/>
        </w:rPr>
        <w:t>，市国营林场总场，市苏铁国家级自然保护区管理局，市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森林</w:t>
      </w:r>
      <w:r>
        <w:rPr>
          <w:rFonts w:ascii="仿宋" w:hAnsi="仿宋" w:eastAsia="仿宋" w:cs="仿宋"/>
          <w:spacing w:val="6"/>
          <w:sz w:val="31"/>
          <w:szCs w:val="31"/>
        </w:rPr>
        <w:t>病</w:t>
      </w:r>
      <w:r>
        <w:rPr>
          <w:rFonts w:ascii="仿宋" w:hAnsi="仿宋" w:eastAsia="仿宋" w:cs="仿宋"/>
          <w:spacing w:val="5"/>
          <w:sz w:val="31"/>
          <w:szCs w:val="31"/>
        </w:rPr>
        <w:t>虫害防治检疫站，市森林公安局，分别负责林业相关领域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的工作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spacing w:before="2" w:line="381" w:lineRule="auto"/>
        <w:ind w:left="6" w:right="71" w:firstLine="631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18"/>
          <w:sz w:val="31"/>
          <w:szCs w:val="31"/>
        </w:rPr>
        <w:t>20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16  </w:t>
      </w:r>
      <w:r>
        <w:rPr>
          <w:rFonts w:ascii="仿宋" w:hAnsi="仿宋" w:eastAsia="仿宋" w:cs="仿宋"/>
          <w:spacing w:val="9"/>
          <w:sz w:val="31"/>
          <w:szCs w:val="31"/>
        </w:rPr>
        <w:t>年我局将承担东区干旱半干旱生态治理和修复项目、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青</w:t>
      </w:r>
      <w:r>
        <w:rPr>
          <w:rFonts w:ascii="仿宋" w:hAnsi="仿宋" w:eastAsia="仿宋" w:cs="仿宋"/>
          <w:spacing w:val="5"/>
          <w:sz w:val="31"/>
          <w:szCs w:val="31"/>
        </w:rPr>
        <w:t>龙山干旱半干旱生态治理和修复项目、保安营片区迹地植被恢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复</w:t>
      </w:r>
      <w:r>
        <w:rPr>
          <w:rFonts w:ascii="仿宋" w:hAnsi="仿宋" w:eastAsia="仿宋" w:cs="仿宋"/>
          <w:spacing w:val="5"/>
          <w:sz w:val="31"/>
          <w:szCs w:val="31"/>
        </w:rPr>
        <w:t>及封山育林后期管护项目、金沙江干热河谷生态脆弱区典型地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</w:rPr>
        <w:t>段</w:t>
      </w:r>
      <w:r>
        <w:rPr>
          <w:rFonts w:ascii="仿宋" w:hAnsi="仿宋" w:eastAsia="仿宋" w:cs="仿宋"/>
          <w:spacing w:val="16"/>
          <w:sz w:val="31"/>
          <w:szCs w:val="31"/>
        </w:rPr>
        <w:t>生态修复二期工程(马坎片区)后期管护、西区尖山生态脆弱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区</w:t>
      </w:r>
      <w:r>
        <w:rPr>
          <w:rFonts w:ascii="仿宋" w:hAnsi="仿宋" w:eastAsia="仿宋" w:cs="仿宋"/>
          <w:spacing w:val="5"/>
          <w:sz w:val="31"/>
          <w:szCs w:val="31"/>
        </w:rPr>
        <w:t>植被恢复区造林示范项目、盐边新县城视野区橄榄坡造林绿化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项</w:t>
      </w:r>
      <w:r>
        <w:rPr>
          <w:rFonts w:ascii="仿宋" w:hAnsi="仿宋" w:eastAsia="仿宋" w:cs="仿宋"/>
          <w:spacing w:val="5"/>
          <w:sz w:val="31"/>
          <w:szCs w:val="31"/>
        </w:rPr>
        <w:t>目、启动新一轮退耕还林退耕还林成果巩固、森林抚育等纳入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市级目标考核的重点工作任务。</w:t>
      </w:r>
    </w:p>
    <w:p>
      <w:pPr>
        <w:spacing w:line="223" w:lineRule="auto"/>
        <w:ind w:left="65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2"/>
          <w:sz w:val="31"/>
          <w:szCs w:val="31"/>
        </w:rPr>
        <w:t>二</w:t>
      </w:r>
      <w:r>
        <w:rPr>
          <w:rFonts w:ascii="黑体" w:hAnsi="黑体" w:eastAsia="黑体" w:cs="黑体"/>
          <w:spacing w:val="7"/>
          <w:sz w:val="31"/>
          <w:szCs w:val="31"/>
        </w:rPr>
        <w:t>、收支预算总体情况</w:t>
      </w:r>
    </w:p>
    <w:p>
      <w:pPr>
        <w:spacing w:before="266" w:line="381" w:lineRule="auto"/>
        <w:ind w:left="3" w:firstLine="634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2016 </w:t>
      </w:r>
      <w:r>
        <w:rPr>
          <w:rFonts w:ascii="仿宋" w:hAnsi="仿宋" w:eastAsia="仿宋" w:cs="仿宋"/>
          <w:spacing w:val="-1"/>
          <w:sz w:val="31"/>
          <w:szCs w:val="31"/>
        </w:rPr>
        <w:t>年攀枝花市林业局收入预算总额为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 xml:space="preserve">1427.62 </w:t>
      </w:r>
      <w:r>
        <w:rPr>
          <w:rFonts w:ascii="仿宋" w:hAnsi="仿宋" w:eastAsia="仿宋" w:cs="仿宋"/>
          <w:sz w:val="31"/>
          <w:szCs w:val="31"/>
        </w:rPr>
        <w:t xml:space="preserve">万元，其中： </w:t>
      </w:r>
      <w:r>
        <w:rPr>
          <w:rFonts w:ascii="仿宋" w:hAnsi="仿宋" w:eastAsia="仿宋" w:cs="仿宋"/>
          <w:spacing w:val="4"/>
          <w:sz w:val="31"/>
          <w:szCs w:val="31"/>
        </w:rPr>
        <w:t>当</w:t>
      </w:r>
      <w:r>
        <w:rPr>
          <w:rFonts w:ascii="仿宋" w:hAnsi="仿宋" w:eastAsia="仿宋" w:cs="仿宋"/>
          <w:spacing w:val="3"/>
          <w:sz w:val="31"/>
          <w:szCs w:val="31"/>
        </w:rPr>
        <w:t>年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财政拨款收入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1427.62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万元，事业收入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0 </w:t>
      </w:r>
      <w:r>
        <w:rPr>
          <w:rFonts w:ascii="仿宋" w:hAnsi="仿宋" w:eastAsia="仿宋" w:cs="仿宋"/>
          <w:spacing w:val="2"/>
          <w:sz w:val="31"/>
          <w:szCs w:val="31"/>
        </w:rPr>
        <w:t>万元，上年结转收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入</w:t>
      </w:r>
      <w:r>
        <w:rPr>
          <w:rFonts w:ascii="Times New Roman" w:hAnsi="Times New Roman" w:eastAsia="Times New Roman" w:cs="Times New Roman"/>
          <w:spacing w:val="-8"/>
          <w:sz w:val="31"/>
          <w:szCs w:val="31"/>
        </w:rPr>
        <w:t xml:space="preserve">0 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万元。相应安排支出预算 </w:t>
      </w:r>
      <w:r>
        <w:rPr>
          <w:rFonts w:ascii="Times New Roman" w:hAnsi="Times New Roman" w:eastAsia="Times New Roman" w:cs="Times New Roman"/>
          <w:spacing w:val="-8"/>
          <w:sz w:val="31"/>
          <w:szCs w:val="31"/>
        </w:rPr>
        <w:t xml:space="preserve">1427.62 </w:t>
      </w:r>
      <w:r>
        <w:rPr>
          <w:rFonts w:ascii="仿宋" w:hAnsi="仿宋" w:eastAsia="仿宋" w:cs="仿宋"/>
          <w:spacing w:val="-8"/>
          <w:sz w:val="31"/>
          <w:szCs w:val="31"/>
        </w:rPr>
        <w:t>万元，其中：人员支出</w:t>
      </w:r>
      <w:r>
        <w:rPr>
          <w:rFonts w:ascii="Times New Roman" w:hAnsi="Times New Roman" w:eastAsia="Times New Roman" w:cs="Times New Roman"/>
          <w:spacing w:val="-8"/>
          <w:sz w:val="31"/>
          <w:szCs w:val="31"/>
        </w:rPr>
        <w:t>661.47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万元，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日常公用支出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188.39  </w:t>
      </w:r>
      <w:r>
        <w:rPr>
          <w:rFonts w:ascii="仿宋" w:hAnsi="仿宋" w:eastAsia="仿宋" w:cs="仿宋"/>
          <w:spacing w:val="6"/>
          <w:sz w:val="31"/>
          <w:szCs w:val="31"/>
        </w:rPr>
        <w:t>万元，对个人和家庭的补助支出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370.6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0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万元，专项支出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207.16 </w:t>
      </w:r>
      <w:r>
        <w:rPr>
          <w:rFonts w:ascii="仿宋" w:hAnsi="仿宋" w:eastAsia="仿宋" w:cs="仿宋"/>
          <w:spacing w:val="2"/>
          <w:sz w:val="31"/>
          <w:szCs w:val="31"/>
        </w:rPr>
        <w:t>万元。</w:t>
      </w:r>
    </w:p>
    <w:p>
      <w:pPr>
        <w:spacing w:line="223" w:lineRule="auto"/>
        <w:ind w:left="65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0"/>
          <w:sz w:val="31"/>
          <w:szCs w:val="31"/>
        </w:rPr>
        <w:t>三</w:t>
      </w:r>
      <w:r>
        <w:rPr>
          <w:rFonts w:ascii="黑体" w:hAnsi="黑体" w:eastAsia="黑体" w:cs="黑体"/>
          <w:spacing w:val="7"/>
          <w:sz w:val="31"/>
          <w:szCs w:val="31"/>
        </w:rPr>
        <w:t>、支出预算安排情况</w:t>
      </w:r>
    </w:p>
    <w:p>
      <w:pPr>
        <w:sectPr>
          <w:headerReference r:id="rId6" w:type="default"/>
          <w:footerReference r:id="rId7" w:type="default"/>
          <w:pgSz w:w="11900" w:h="16840"/>
          <w:pgMar w:top="400" w:right="1398" w:bottom="1700" w:left="1598" w:header="0" w:footer="1418" w:gutter="0"/>
          <w:cols w:space="720" w:num="1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1" w:line="381" w:lineRule="auto"/>
        <w:ind w:left="10" w:right="54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我</w:t>
      </w:r>
      <w:r>
        <w:rPr>
          <w:rFonts w:ascii="仿宋" w:hAnsi="仿宋" w:eastAsia="仿宋" w:cs="仿宋"/>
          <w:spacing w:val="6"/>
          <w:sz w:val="31"/>
          <w:szCs w:val="31"/>
        </w:rPr>
        <w:t>局</w:t>
      </w:r>
      <w:r>
        <w:rPr>
          <w:rFonts w:ascii="仿宋" w:hAnsi="仿宋" w:eastAsia="仿宋" w:cs="仿宋"/>
          <w:spacing w:val="4"/>
          <w:sz w:val="31"/>
          <w:szCs w:val="31"/>
        </w:rPr>
        <w:t>预算安排支出主要用于保障本单位正常运转、完成日常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工作任务以及本单位承担的项目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spacing w:line="381" w:lineRule="auto"/>
        <w:ind w:left="2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基</w:t>
      </w:r>
      <w:r>
        <w:rPr>
          <w:rFonts w:ascii="仿宋" w:hAnsi="仿宋" w:eastAsia="仿宋" w:cs="仿宋"/>
          <w:spacing w:val="5"/>
          <w:sz w:val="31"/>
          <w:szCs w:val="31"/>
        </w:rPr>
        <w:t>本支出，是用于保障攀枝花市林业局以及其直属单位等机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构</w:t>
      </w:r>
      <w:r>
        <w:rPr>
          <w:rFonts w:ascii="仿宋" w:hAnsi="仿宋" w:eastAsia="仿宋" w:cs="仿宋"/>
          <w:spacing w:val="7"/>
          <w:sz w:val="31"/>
          <w:szCs w:val="31"/>
        </w:rPr>
        <w:t>正常运转的日常支出，包括基本工资、津贴补贴、离退休费、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住</w:t>
      </w:r>
      <w:r>
        <w:rPr>
          <w:rFonts w:ascii="仿宋" w:hAnsi="仿宋" w:eastAsia="仿宋" w:cs="仿宋"/>
          <w:spacing w:val="8"/>
          <w:sz w:val="31"/>
          <w:szCs w:val="31"/>
        </w:rPr>
        <w:t>房公积金和日常公用经费等。</w:t>
      </w:r>
    </w:p>
    <w:p>
      <w:pPr>
        <w:spacing w:before="2" w:line="380" w:lineRule="auto"/>
        <w:ind w:right="54"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项目支出，</w:t>
      </w:r>
      <w:r>
        <w:rPr>
          <w:rFonts w:ascii="仿宋" w:hAnsi="仿宋" w:eastAsia="仿宋" w:cs="仿宋"/>
          <w:spacing w:val="4"/>
          <w:sz w:val="31"/>
          <w:szCs w:val="31"/>
        </w:rPr>
        <w:t>是用于保障攀枝花市林业局以及其直属单位等机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构为</w:t>
      </w:r>
      <w:r>
        <w:rPr>
          <w:rFonts w:ascii="仿宋" w:hAnsi="仿宋" w:eastAsia="仿宋" w:cs="仿宋"/>
          <w:spacing w:val="6"/>
          <w:sz w:val="31"/>
          <w:szCs w:val="31"/>
        </w:rPr>
        <w:t>完</w:t>
      </w:r>
      <w:r>
        <w:rPr>
          <w:rFonts w:ascii="仿宋" w:hAnsi="仿宋" w:eastAsia="仿宋" w:cs="仿宋"/>
          <w:spacing w:val="5"/>
          <w:sz w:val="31"/>
          <w:szCs w:val="31"/>
        </w:rPr>
        <w:t>成特定的行政工作任务或事业发展目标，用于防火与森林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城</w:t>
      </w:r>
      <w:r>
        <w:rPr>
          <w:rFonts w:ascii="仿宋" w:hAnsi="仿宋" w:eastAsia="仿宋" w:cs="仿宋"/>
          <w:spacing w:val="13"/>
          <w:sz w:val="31"/>
          <w:szCs w:val="31"/>
        </w:rPr>
        <w:t>市</w:t>
      </w:r>
      <w:r>
        <w:rPr>
          <w:rFonts w:ascii="仿宋" w:hAnsi="仿宋" w:eastAsia="仿宋" w:cs="仿宋"/>
          <w:spacing w:val="8"/>
          <w:sz w:val="31"/>
          <w:szCs w:val="31"/>
        </w:rPr>
        <w:t>创建等专项业务工作的经费支出。</w:t>
      </w:r>
    </w:p>
    <w:p>
      <w:pPr>
        <w:spacing w:before="1" w:line="223" w:lineRule="auto"/>
        <w:ind w:left="644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按</w:t>
      </w:r>
      <w:r>
        <w:rPr>
          <w:rFonts w:ascii="仿宋" w:hAnsi="仿宋" w:eastAsia="仿宋" w:cs="仿宋"/>
          <w:spacing w:val="10"/>
          <w:sz w:val="31"/>
          <w:szCs w:val="31"/>
        </w:rPr>
        <w:t>支出功能分类主要用于以下方面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:</w:t>
      </w:r>
    </w:p>
    <w:p>
      <w:pPr>
        <w:spacing w:before="256" w:line="383" w:lineRule="auto"/>
        <w:ind w:left="1" w:right="49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一) 农林水支出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1050.29 </w:t>
      </w:r>
      <w:r>
        <w:rPr>
          <w:rFonts w:ascii="仿宋" w:hAnsi="仿宋" w:eastAsia="仿宋" w:cs="仿宋"/>
          <w:spacing w:val="9"/>
          <w:sz w:val="31"/>
          <w:szCs w:val="31"/>
        </w:rPr>
        <w:t>万元，主要用于机关及下属事业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单位</w:t>
      </w:r>
      <w:r>
        <w:rPr>
          <w:rFonts w:ascii="仿宋" w:hAnsi="仿宋" w:eastAsia="仿宋" w:cs="仿宋"/>
          <w:spacing w:val="5"/>
          <w:sz w:val="31"/>
          <w:szCs w:val="31"/>
        </w:rPr>
        <w:t>人员工资、日常运转以及为完成特定行政工作任务和事业发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展</w:t>
      </w:r>
      <w:r>
        <w:rPr>
          <w:rFonts w:ascii="仿宋" w:hAnsi="仿宋" w:eastAsia="仿宋" w:cs="仿宋"/>
          <w:spacing w:val="17"/>
          <w:sz w:val="31"/>
          <w:szCs w:val="31"/>
        </w:rPr>
        <w:t>目标而安排的年度项目支出，主要包括：行政运行经费支出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694.2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万元，主要用于机关工资等人员、行政运行公用支出、对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家庭与个人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的补助支出； 防灾减灾支出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20 </w:t>
      </w:r>
      <w:r>
        <w:rPr>
          <w:rFonts w:ascii="仿宋" w:hAnsi="仿宋" w:eastAsia="仿宋" w:cs="仿宋"/>
          <w:spacing w:val="2"/>
          <w:sz w:val="31"/>
          <w:szCs w:val="31"/>
        </w:rPr>
        <w:t>万元，此部分用于攀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枝花市森林防火专项工作经费。事业机构支出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148.92  </w:t>
      </w:r>
      <w:r>
        <w:rPr>
          <w:rFonts w:ascii="仿宋" w:hAnsi="仿宋" w:eastAsia="仿宋" w:cs="仿宋"/>
          <w:spacing w:val="7"/>
          <w:sz w:val="31"/>
          <w:szCs w:val="31"/>
        </w:rPr>
        <w:t>万元，</w:t>
      </w:r>
      <w:r>
        <w:rPr>
          <w:rFonts w:ascii="仿宋" w:hAnsi="仿宋" w:eastAsia="仿宋" w:cs="仿宋"/>
          <w:spacing w:val="3"/>
          <w:sz w:val="31"/>
          <w:szCs w:val="31"/>
        </w:rPr>
        <w:t>此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部</w:t>
      </w:r>
      <w:r>
        <w:rPr>
          <w:rFonts w:ascii="仿宋" w:hAnsi="仿宋" w:eastAsia="仿宋" w:cs="仿宋"/>
          <w:spacing w:val="17"/>
          <w:sz w:val="31"/>
          <w:szCs w:val="31"/>
        </w:rPr>
        <w:t>分资金为合并核算下属单位市林业执法稽查队与市林业科技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推广站人员经费；其他林业支出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187.16  </w:t>
      </w:r>
      <w:r>
        <w:rPr>
          <w:rFonts w:ascii="仿宋" w:hAnsi="仿宋" w:eastAsia="仿宋" w:cs="仿宋"/>
          <w:spacing w:val="7"/>
          <w:sz w:val="31"/>
          <w:szCs w:val="31"/>
        </w:rPr>
        <w:t>万元，主要为未包含</w:t>
      </w:r>
      <w:r>
        <w:rPr>
          <w:rFonts w:ascii="仿宋" w:hAnsi="仿宋" w:eastAsia="仿宋" w:cs="仿宋"/>
          <w:spacing w:val="3"/>
          <w:sz w:val="31"/>
          <w:szCs w:val="31"/>
        </w:rPr>
        <w:t>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功能</w:t>
      </w:r>
      <w:r>
        <w:rPr>
          <w:rFonts w:ascii="仿宋" w:hAnsi="仿宋" w:eastAsia="仿宋" w:cs="仿宋"/>
          <w:spacing w:val="5"/>
          <w:sz w:val="31"/>
          <w:szCs w:val="31"/>
        </w:rPr>
        <w:t>分类的其他林业项目支出，如保障机关运行的业务运行经费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50 </w:t>
      </w:r>
      <w:r>
        <w:rPr>
          <w:rFonts w:ascii="仿宋" w:hAnsi="仿宋" w:eastAsia="仿宋" w:cs="仿宋"/>
          <w:spacing w:val="4"/>
          <w:sz w:val="31"/>
          <w:szCs w:val="31"/>
        </w:rPr>
        <w:t>万</w:t>
      </w:r>
      <w:r>
        <w:rPr>
          <w:rFonts w:ascii="仿宋" w:hAnsi="仿宋" w:eastAsia="仿宋" w:cs="仿宋"/>
          <w:spacing w:val="3"/>
          <w:sz w:val="31"/>
          <w:szCs w:val="31"/>
        </w:rPr>
        <w:t>元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，全市林业工作会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2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万，创建森林城市工作经费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20 </w:t>
      </w:r>
      <w:r>
        <w:rPr>
          <w:rFonts w:ascii="仿宋" w:hAnsi="仿宋" w:eastAsia="仿宋" w:cs="仿宋"/>
          <w:spacing w:val="2"/>
          <w:sz w:val="31"/>
          <w:szCs w:val="31"/>
        </w:rPr>
        <w:t>万，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普威局林业</w:t>
      </w:r>
      <w:r>
        <w:rPr>
          <w:rFonts w:ascii="仿宋" w:hAnsi="仿宋" w:eastAsia="仿宋" w:cs="仿宋"/>
          <w:spacing w:val="5"/>
          <w:sz w:val="31"/>
          <w:szCs w:val="31"/>
        </w:rPr>
        <w:t>局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归垫油补抵扣资金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115.16 </w:t>
      </w:r>
      <w:r>
        <w:rPr>
          <w:rFonts w:ascii="仿宋" w:hAnsi="仿宋" w:eastAsia="仿宋" w:cs="仿宋"/>
          <w:spacing w:val="3"/>
          <w:sz w:val="31"/>
          <w:szCs w:val="31"/>
        </w:rPr>
        <w:t>万元。</w:t>
      </w:r>
    </w:p>
    <w:p>
      <w:pPr>
        <w:sectPr>
          <w:footerReference r:id="rId8" w:type="default"/>
          <w:pgSz w:w="11900" w:h="16840"/>
          <w:pgMar w:top="400" w:right="1415" w:bottom="1700" w:left="1598" w:header="0" w:footer="1420" w:gutter="0"/>
          <w:cols w:space="720" w:num="1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1" w:line="381" w:lineRule="auto"/>
        <w:ind w:left="18" w:right="4" w:firstLine="6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(</w:t>
      </w:r>
      <w:r>
        <w:rPr>
          <w:rFonts w:ascii="仿宋" w:hAnsi="仿宋" w:eastAsia="仿宋" w:cs="仿宋"/>
          <w:spacing w:val="16"/>
          <w:sz w:val="31"/>
          <w:szCs w:val="31"/>
        </w:rPr>
        <w:t>二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) 社会保障和就业支出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302.89  </w:t>
      </w:r>
      <w:r>
        <w:rPr>
          <w:rFonts w:ascii="仿宋" w:hAnsi="仿宋" w:eastAsia="仿宋" w:cs="仿宋"/>
          <w:spacing w:val="11"/>
          <w:sz w:val="31"/>
          <w:szCs w:val="31"/>
        </w:rPr>
        <w:t>万元，主要用于机关及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下</w:t>
      </w:r>
      <w:r>
        <w:rPr>
          <w:rFonts w:ascii="仿宋" w:hAnsi="仿宋" w:eastAsia="仿宋" w:cs="仿宋"/>
          <w:spacing w:val="7"/>
          <w:sz w:val="31"/>
          <w:szCs w:val="31"/>
        </w:rPr>
        <w:t>属事业单位离退休人员支出。</w:t>
      </w:r>
    </w:p>
    <w:p>
      <w:pPr>
        <w:spacing w:before="2" w:line="381" w:lineRule="auto"/>
        <w:ind w:left="6" w:firstLine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6"/>
          <w:sz w:val="31"/>
          <w:szCs w:val="31"/>
        </w:rPr>
        <w:t>三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) 住房保障支出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 xml:space="preserve">74.44 </w:t>
      </w:r>
      <w:r>
        <w:rPr>
          <w:rFonts w:ascii="仿宋" w:hAnsi="仿宋" w:eastAsia="仿宋" w:cs="仿宋"/>
          <w:spacing w:val="9"/>
          <w:sz w:val="31"/>
          <w:szCs w:val="31"/>
        </w:rPr>
        <w:t>万元，用于机关及下属事业单位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按</w:t>
      </w:r>
      <w:r>
        <w:rPr>
          <w:rFonts w:ascii="仿宋" w:hAnsi="仿宋" w:eastAsia="仿宋" w:cs="仿宋"/>
          <w:spacing w:val="15"/>
          <w:sz w:val="31"/>
          <w:szCs w:val="31"/>
        </w:rPr>
        <w:t>照</w:t>
      </w:r>
      <w:r>
        <w:rPr>
          <w:rFonts w:ascii="仿宋" w:hAnsi="仿宋" w:eastAsia="仿宋" w:cs="仿宋"/>
          <w:spacing w:val="8"/>
          <w:sz w:val="31"/>
          <w:szCs w:val="31"/>
        </w:rPr>
        <w:t>规定标准为职工缴纳住房公积金等支出。</w:t>
      </w:r>
    </w:p>
    <w:p>
      <w:pPr>
        <w:spacing w:line="223" w:lineRule="auto"/>
        <w:ind w:left="66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"/>
          <w:sz w:val="31"/>
          <w:szCs w:val="31"/>
        </w:rPr>
        <w:t>四、</w:t>
      </w:r>
      <w:r>
        <w:rPr>
          <w:rFonts w:ascii="黑体" w:hAnsi="黑体" w:eastAsia="黑体" w:cs="黑体"/>
          <w:spacing w:val="-1"/>
          <w:sz w:val="31"/>
          <w:szCs w:val="31"/>
        </w:rPr>
        <w:t>“三公”经费财政拨款预算安排情况</w:t>
      </w:r>
    </w:p>
    <w:p>
      <w:pPr>
        <w:spacing w:before="261" w:line="381" w:lineRule="auto"/>
        <w:ind w:left="3" w:right="4" w:firstLine="636"/>
        <w:rPr>
          <w:rFonts w:ascii="仿宋" w:hAnsi="仿宋" w:eastAsia="仿宋" w:cs="仿宋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 xml:space="preserve">2016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年“三公”经费财政拨款预算数 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51.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65 </w:t>
      </w:r>
      <w:r>
        <w:rPr>
          <w:rFonts w:ascii="仿宋" w:hAnsi="仿宋" w:eastAsia="仿宋" w:cs="仿宋"/>
          <w:spacing w:val="1"/>
          <w:sz w:val="31"/>
          <w:szCs w:val="31"/>
        </w:rPr>
        <w:t>万元，其中：因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公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出国(境) 经费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0 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万元，公务接待费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 xml:space="preserve">3.50 </w:t>
      </w:r>
      <w:r>
        <w:rPr>
          <w:rFonts w:ascii="仿宋" w:hAnsi="仿宋" w:eastAsia="仿宋" w:cs="仿宋"/>
          <w:spacing w:val="11"/>
          <w:sz w:val="31"/>
          <w:szCs w:val="31"/>
        </w:rPr>
        <w:t>万元，公务用车购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置及运</w:t>
      </w:r>
      <w:r>
        <w:rPr>
          <w:rFonts w:ascii="仿宋" w:hAnsi="仿宋" w:eastAsia="仿宋" w:cs="仿宋"/>
          <w:spacing w:val="11"/>
          <w:sz w:val="31"/>
          <w:szCs w:val="31"/>
        </w:rPr>
        <w:t>行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维护费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48.15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万元(公务用车购置费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 xml:space="preserve">0 </w:t>
      </w:r>
      <w:r>
        <w:rPr>
          <w:rFonts w:ascii="仿宋" w:hAnsi="仿宋" w:eastAsia="仿宋" w:cs="仿宋"/>
          <w:spacing w:val="6"/>
          <w:sz w:val="31"/>
          <w:szCs w:val="31"/>
        </w:rPr>
        <w:t>万元，公务用车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运行维护费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48.15 </w:t>
      </w:r>
      <w:r>
        <w:rPr>
          <w:rFonts w:ascii="仿宋" w:hAnsi="仿宋" w:eastAsia="仿宋" w:cs="仿宋"/>
          <w:spacing w:val="1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>元)。</w:t>
      </w:r>
    </w:p>
    <w:p>
      <w:pPr>
        <w:spacing w:line="643" w:lineRule="exact"/>
        <w:ind w:left="6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position w:val="24"/>
          <w:sz w:val="31"/>
          <w:szCs w:val="31"/>
        </w:rPr>
        <w:t xml:space="preserve">(一) 我局本年度无因公出国(境) 经费，与 </w:t>
      </w:r>
      <w:r>
        <w:rPr>
          <w:rFonts w:ascii="Times New Roman" w:hAnsi="Times New Roman" w:eastAsia="Times New Roman" w:cs="Times New Roman"/>
          <w:spacing w:val="17"/>
          <w:position w:val="24"/>
          <w:sz w:val="31"/>
          <w:szCs w:val="31"/>
        </w:rPr>
        <w:t xml:space="preserve">2015 </w:t>
      </w:r>
      <w:r>
        <w:rPr>
          <w:rFonts w:ascii="仿宋" w:hAnsi="仿宋" w:eastAsia="仿宋" w:cs="仿宋"/>
          <w:spacing w:val="17"/>
          <w:position w:val="24"/>
          <w:sz w:val="31"/>
          <w:szCs w:val="31"/>
        </w:rPr>
        <w:t>年预</w:t>
      </w:r>
      <w:r>
        <w:rPr>
          <w:rFonts w:ascii="仿宋" w:hAnsi="仿宋" w:eastAsia="仿宋" w:cs="仿宋"/>
          <w:spacing w:val="16"/>
          <w:position w:val="24"/>
          <w:sz w:val="31"/>
          <w:szCs w:val="31"/>
        </w:rPr>
        <w:t>算</w:t>
      </w:r>
    </w:p>
    <w:p>
      <w:pPr>
        <w:spacing w:before="1" w:line="222" w:lineRule="auto"/>
        <w:ind w:left="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持</w:t>
      </w:r>
      <w:r>
        <w:rPr>
          <w:rFonts w:ascii="仿宋" w:hAnsi="仿宋" w:eastAsia="仿宋" w:cs="仿宋"/>
          <w:spacing w:val="1"/>
          <w:sz w:val="31"/>
          <w:szCs w:val="31"/>
        </w:rPr>
        <w:t>平。</w:t>
      </w:r>
    </w:p>
    <w:p>
      <w:pPr>
        <w:spacing w:before="220" w:line="388" w:lineRule="auto"/>
        <w:ind w:firstLine="6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(</w:t>
      </w:r>
      <w:r>
        <w:rPr>
          <w:rFonts w:ascii="仿宋" w:hAnsi="仿宋" w:eastAsia="仿宋" w:cs="仿宋"/>
          <w:spacing w:val="17"/>
          <w:sz w:val="31"/>
          <w:szCs w:val="31"/>
        </w:rPr>
        <w:t>二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) 公务接待费较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 xml:space="preserve">2015 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年预算数增长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2.94%</w:t>
      </w:r>
      <w:r>
        <w:rPr>
          <w:rFonts w:ascii="仿宋" w:hAnsi="仿宋" w:eastAsia="仿宋" w:cs="仿宋"/>
          <w:spacing w:val="10"/>
          <w:sz w:val="31"/>
          <w:szCs w:val="31"/>
        </w:rPr>
        <w:t>，主要原因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是我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局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 xml:space="preserve">2016 </w:t>
      </w:r>
      <w:r>
        <w:rPr>
          <w:rFonts w:ascii="仿宋" w:hAnsi="仿宋" w:eastAsia="仿宋" w:cs="仿宋"/>
          <w:spacing w:val="7"/>
          <w:sz w:val="31"/>
          <w:szCs w:val="31"/>
        </w:rPr>
        <w:t>年度将承担国际生态康养旅游论坛等任务，接待任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务将会略有增加。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 xml:space="preserve">2016  </w:t>
      </w:r>
      <w:r>
        <w:rPr>
          <w:rFonts w:ascii="仿宋" w:hAnsi="仿宋" w:eastAsia="仿宋" w:cs="仿宋"/>
          <w:spacing w:val="10"/>
          <w:sz w:val="31"/>
          <w:szCs w:val="31"/>
        </w:rPr>
        <w:t>年公务接待费计划用于执行公务、考</w:t>
      </w:r>
      <w:r>
        <w:rPr>
          <w:rFonts w:ascii="仿宋" w:hAnsi="仿宋" w:eastAsia="仿宋" w:cs="仿宋"/>
          <w:spacing w:val="9"/>
          <w:sz w:val="31"/>
          <w:szCs w:val="31"/>
        </w:rPr>
        <w:t>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调</w:t>
      </w:r>
      <w:r>
        <w:rPr>
          <w:rFonts w:ascii="仿宋" w:hAnsi="仿宋" w:eastAsia="仿宋" w:cs="仿宋"/>
          <w:spacing w:val="9"/>
          <w:sz w:val="31"/>
          <w:szCs w:val="31"/>
        </w:rPr>
        <w:t>研、检查指导等公务活动开支的用餐费等。</w:t>
      </w:r>
    </w:p>
    <w:p>
      <w:pPr>
        <w:spacing w:before="3" w:line="380" w:lineRule="auto"/>
        <w:ind w:left="29" w:right="2" w:firstLine="60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20"/>
          <w:sz w:val="31"/>
          <w:szCs w:val="31"/>
        </w:rPr>
        <w:t xml:space="preserve">三) 公务用车购置及运行维护费较 </w:t>
      </w:r>
      <w:r>
        <w:rPr>
          <w:rFonts w:ascii="Times New Roman" w:hAnsi="Times New Roman" w:eastAsia="Times New Roman" w:cs="Times New Roman"/>
          <w:spacing w:val="20"/>
          <w:sz w:val="31"/>
          <w:szCs w:val="31"/>
        </w:rPr>
        <w:t xml:space="preserve">2015  </w:t>
      </w:r>
      <w:r>
        <w:rPr>
          <w:rFonts w:ascii="仿宋" w:hAnsi="仿宋" w:eastAsia="仿宋" w:cs="仿宋"/>
          <w:spacing w:val="20"/>
          <w:sz w:val="31"/>
          <w:szCs w:val="31"/>
        </w:rPr>
        <w:t>年预算数增长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7"/>
          <w:sz w:val="31"/>
          <w:szCs w:val="31"/>
        </w:rPr>
        <w:t>17.81%</w:t>
      </w:r>
      <w:r>
        <w:rPr>
          <w:rFonts w:ascii="仿宋" w:hAnsi="仿宋" w:eastAsia="仿宋" w:cs="仿宋"/>
          <w:spacing w:val="7"/>
          <w:sz w:val="31"/>
          <w:szCs w:val="31"/>
        </w:rPr>
        <w:t>，主要原因是公车计算编制基数增加所致</w:t>
      </w:r>
      <w:r>
        <w:rPr>
          <w:rFonts w:ascii="仿宋" w:hAnsi="仿宋" w:eastAsia="仿宋" w:cs="仿宋"/>
          <w:spacing w:val="2"/>
          <w:sz w:val="31"/>
          <w:szCs w:val="31"/>
        </w:rPr>
        <w:t>。</w:t>
      </w:r>
    </w:p>
    <w:p>
      <w:pPr>
        <w:spacing w:before="1" w:line="219" w:lineRule="auto"/>
        <w:ind w:left="66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我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局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 xml:space="preserve">2016 </w:t>
      </w:r>
      <w:r>
        <w:rPr>
          <w:rFonts w:ascii="仿宋" w:hAnsi="仿宋" w:eastAsia="仿宋" w:cs="仿宋"/>
          <w:spacing w:val="1"/>
          <w:sz w:val="31"/>
          <w:szCs w:val="31"/>
        </w:rPr>
        <w:t>年无新购车辆计划。</w:t>
      </w:r>
    </w:p>
    <w:p>
      <w:pPr>
        <w:spacing w:before="273" w:line="387" w:lineRule="auto"/>
        <w:ind w:left="11" w:right="2"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 xml:space="preserve">我局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20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16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年安排公务用车运行维护费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48.15 </w:t>
      </w:r>
      <w:r>
        <w:rPr>
          <w:rFonts w:ascii="仿宋" w:hAnsi="仿宋" w:eastAsia="仿宋" w:cs="仿宋"/>
          <w:spacing w:val="5"/>
          <w:sz w:val="31"/>
          <w:szCs w:val="31"/>
        </w:rPr>
        <w:t>万元，用于公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务</w:t>
      </w:r>
      <w:r>
        <w:rPr>
          <w:rFonts w:ascii="仿宋" w:hAnsi="仿宋" w:eastAsia="仿宋" w:cs="仿宋"/>
          <w:spacing w:val="5"/>
          <w:sz w:val="31"/>
          <w:szCs w:val="31"/>
        </w:rPr>
        <w:t>用车燃油、维修、保险等方面支出。主要保障机关办公正常用</w:t>
      </w:r>
    </w:p>
    <w:p>
      <w:pPr>
        <w:sectPr>
          <w:footerReference r:id="rId9" w:type="default"/>
          <w:pgSz w:w="11900" w:h="16840"/>
          <w:pgMar w:top="400" w:right="1464" w:bottom="1700" w:left="1596" w:header="0" w:footer="1418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1" w:line="390" w:lineRule="auto"/>
        <w:ind w:left="12" w:hanging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车、森林城市创建重点工程、国际生态康养旅游论坛等工作的</w:t>
      </w:r>
      <w:r>
        <w:rPr>
          <w:rFonts w:ascii="仿宋" w:hAnsi="仿宋" w:eastAsia="仿宋" w:cs="仿宋"/>
          <w:sz w:val="31"/>
          <w:szCs w:val="31"/>
        </w:rPr>
        <w:t xml:space="preserve">正 </w:t>
      </w:r>
      <w:r>
        <w:rPr>
          <w:rFonts w:ascii="仿宋" w:hAnsi="仿宋" w:eastAsia="仿宋" w:cs="仿宋"/>
          <w:spacing w:val="-3"/>
          <w:sz w:val="31"/>
          <w:szCs w:val="31"/>
        </w:rPr>
        <w:t>常</w:t>
      </w:r>
      <w:r>
        <w:rPr>
          <w:rFonts w:ascii="仿宋" w:hAnsi="仿宋" w:eastAsia="仿宋" w:cs="仿宋"/>
          <w:spacing w:val="-2"/>
          <w:sz w:val="31"/>
          <w:szCs w:val="31"/>
        </w:rPr>
        <w:t>开展。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00" w:line="214" w:lineRule="auto"/>
        <w:ind w:left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附件：攀枝花市林</w:t>
      </w:r>
      <w:r>
        <w:rPr>
          <w:rFonts w:ascii="仿宋" w:hAnsi="仿宋" w:eastAsia="仿宋" w:cs="仿宋"/>
          <w:sz w:val="31"/>
          <w:szCs w:val="31"/>
        </w:rPr>
        <w:t xml:space="preserve">业局 </w:t>
      </w:r>
      <w:r>
        <w:rPr>
          <w:rFonts w:ascii="宋体" w:hAnsi="宋体" w:eastAsia="宋体" w:cs="宋体"/>
          <w:sz w:val="31"/>
          <w:szCs w:val="31"/>
        </w:rPr>
        <w:t xml:space="preserve">2016 </w:t>
      </w:r>
      <w:r>
        <w:rPr>
          <w:rFonts w:ascii="仿宋" w:hAnsi="仿宋" w:eastAsia="仿宋" w:cs="仿宋"/>
          <w:sz w:val="31"/>
          <w:szCs w:val="31"/>
        </w:rPr>
        <w:t>预算公开套表</w:t>
      </w:r>
    </w:p>
    <w:p>
      <w:pPr>
        <w:spacing w:line="2380" w:lineRule="exact"/>
        <w:ind w:firstLine="5541"/>
        <w:textAlignment w:val="center"/>
      </w:pPr>
      <w:r>
        <w:pict>
          <v:group id="_x0000_s1029" o:spid="_x0000_s1029" o:spt="203" style="height:119pt;width:123.65pt;" coordsize="2473,2380">
            <o:lock v:ext="edit"/>
            <v:shape id="_x0000_s1030" o:spid="_x0000_s1030" o:spt="75" type="#_x0000_t75" style="position:absolute;left:3;top:0;height:2380;width:2380;" filled="f" stroked="f" coordsize="21600,21600">
              <v:path/>
              <v:fill on="f" focussize="0,0"/>
              <v:stroke on="f"/>
              <v:imagedata r:id="rId12" o:title=""/>
              <o:lock v:ext="edit" aspectratio="t"/>
            </v:shape>
            <v:shape id="_x0000_s1031" o:spid="_x0000_s1031" o:spt="202" type="#_x0000_t202" style="position:absolute;left:-20;top:-20;height:2476;width:251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1" w:line="220" w:lineRule="auto"/>
                      <w:ind w:left="104"/>
                      <w:rPr>
                        <w:rFonts w:ascii="仿宋" w:hAnsi="仿宋" w:eastAsia="仿宋" w:cs="仿宋"/>
                        <w:sz w:val="31"/>
                        <w:szCs w:val="31"/>
                      </w:rPr>
                    </w:pPr>
                    <w:r>
                      <w:rPr>
                        <w:rFonts w:ascii="仿宋" w:hAnsi="仿宋" w:eastAsia="仿宋" w:cs="仿宋"/>
                        <w:spacing w:val="11"/>
                        <w:sz w:val="31"/>
                        <w:szCs w:val="31"/>
                      </w:rPr>
                      <w:t>攀</w:t>
                    </w:r>
                    <w:r>
                      <w:rPr>
                        <w:rFonts w:ascii="仿宋" w:hAnsi="仿宋" w:eastAsia="仿宋" w:cs="仿宋"/>
                        <w:spacing w:val="8"/>
                        <w:sz w:val="31"/>
                        <w:szCs w:val="31"/>
                      </w:rPr>
                      <w:t>枝花市林业局</w:t>
                    </w:r>
                  </w:p>
                  <w:p>
                    <w:pPr>
                      <w:spacing w:before="230" w:line="223" w:lineRule="auto"/>
                      <w:ind w:left="20"/>
                      <w:rPr>
                        <w:rFonts w:ascii="仿宋" w:hAnsi="仿宋" w:eastAsia="仿宋" w:cs="仿宋"/>
                        <w:sz w:val="31"/>
                        <w:szCs w:val="31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0"/>
                        <w:sz w:val="31"/>
                        <w:szCs w:val="31"/>
                      </w:rPr>
                      <w:t>20</w:t>
                    </w:r>
                    <w:r>
                      <w:rPr>
                        <w:rFonts w:ascii="Times New Roman" w:hAnsi="Times New Roman" w:eastAsia="Times New Roman" w:cs="Times New Roman"/>
                        <w:spacing w:val="-6"/>
                        <w:sz w:val="31"/>
                        <w:szCs w:val="31"/>
                      </w:rPr>
                      <w:t>1</w:t>
                    </w: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31"/>
                        <w:szCs w:val="31"/>
                      </w:rPr>
                      <w:t xml:space="preserve">6 </w:t>
                    </w:r>
                    <w:r>
                      <w:rPr>
                        <w:rFonts w:ascii="仿宋" w:hAnsi="仿宋" w:eastAsia="仿宋" w:cs="仿宋"/>
                        <w:spacing w:val="-5"/>
                        <w:sz w:val="31"/>
                        <w:szCs w:val="31"/>
                      </w:rPr>
                      <w:t xml:space="preserve">年 </w:t>
                    </w: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31"/>
                        <w:szCs w:val="31"/>
                      </w:rPr>
                      <w:t xml:space="preserve">2 </w:t>
                    </w:r>
                    <w:r>
                      <w:rPr>
                        <w:rFonts w:ascii="仿宋" w:hAnsi="仿宋" w:eastAsia="仿宋" w:cs="仿宋"/>
                        <w:spacing w:val="-5"/>
                        <w:sz w:val="31"/>
                        <w:szCs w:val="31"/>
                      </w:rPr>
                      <w:t xml:space="preserve">月 </w:t>
                    </w: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31"/>
                        <w:szCs w:val="31"/>
                      </w:rPr>
                      <w:t xml:space="preserve">23 </w:t>
                    </w:r>
                    <w:r>
                      <w:rPr>
                        <w:rFonts w:ascii="仿宋" w:hAnsi="仿宋" w:eastAsia="仿宋" w:cs="仿宋"/>
                        <w:spacing w:val="-5"/>
                        <w:sz w:val="31"/>
                        <w:szCs w:val="31"/>
                      </w:rPr>
                      <w:t>日</w:t>
                    </w:r>
                  </w:p>
                </w:txbxContent>
              </v:textbox>
            </v:shape>
            <w10:wrap type="none"/>
            <w10:anchorlock/>
          </v:group>
        </w:pict>
      </w:r>
    </w:p>
    <w:sectPr>
      <w:footerReference r:id="rId10" w:type="default"/>
      <w:pgSz w:w="11900" w:h="16840"/>
      <w:pgMar w:top="400" w:right="1469" w:bottom="1698" w:left="1614" w:header="0" w:footer="14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27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"/>
        <w:sz w:val="28"/>
        <w:szCs w:val="28"/>
      </w:rPr>
      <w:t>—</w:t>
    </w:r>
    <w:r>
      <w:rPr>
        <w:rFonts w:ascii="宋体" w:hAnsi="宋体" w:eastAsia="宋体" w:cs="宋体"/>
        <w:sz w:val="28"/>
        <w:szCs w:val="28"/>
      </w:rPr>
      <w:t xml:space="preserve"> 2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right="332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"/>
        <w:sz w:val="28"/>
        <w:szCs w:val="28"/>
      </w:rPr>
      <w:t>—</w:t>
    </w:r>
    <w:r>
      <w:rPr>
        <w:rFonts w:ascii="宋体" w:hAnsi="宋体" w:eastAsia="宋体" w:cs="宋体"/>
        <w:sz w:val="28"/>
        <w:szCs w:val="28"/>
      </w:rPr>
      <w:t xml:space="preserve"> 3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27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"/>
        <w:sz w:val="28"/>
        <w:szCs w:val="28"/>
      </w:rPr>
      <w:t>—</w:t>
    </w:r>
    <w:r>
      <w:rPr>
        <w:rFonts w:ascii="宋体" w:hAnsi="宋体" w:eastAsia="宋体" w:cs="宋体"/>
        <w:sz w:val="28"/>
        <w:szCs w:val="28"/>
      </w:rPr>
      <w:t xml:space="preserve"> 4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278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"/>
        <w:sz w:val="28"/>
        <w:szCs w:val="28"/>
      </w:rPr>
      <w:t>—</w:t>
    </w:r>
    <w:r>
      <w:rPr>
        <w:rFonts w:ascii="宋体" w:hAnsi="宋体" w:eastAsia="宋体" w:cs="宋体"/>
        <w:sz w:val="28"/>
        <w:szCs w:val="28"/>
      </w:rPr>
      <w:t xml:space="preserve"> 5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" w:line="1075" w:lineRule="exact"/>
      <w:ind w:firstLine="1548"/>
      <w:textAlignment w:val="center"/>
    </w:pPr>
    <w:r>
      <w:pict>
        <v:shape id="_x0000_s2049" o:spid="_x0000_s2049" style="position:absolute;left:0pt;margin-left:73.4pt;margin-top:180.8pt;height:0.5pt;width:454pt;mso-position-horizontal-relative:page;mso-position-vertical-relative:page;z-index:251665408;mso-width-relative:page;mso-height-relative:page;" filled="f" stroked="t" coordsize="9080,10" o:allowincell="f" path="m4,5l9074,5e">
          <v:fill on="f" focussize="0,0"/>
          <v:stroke weight="0.5pt" color="#FF0000" miterlimit="10" endcap="round"/>
          <v:imagedata o:title=""/>
          <o:lock v:ext="edit"/>
        </v:shape>
      </w:pict>
    </w:r>
    <w:r>
      <w:pict>
        <v:shape id="_x0000_s2050" o:spid="_x0000_s2050" style="position:absolute;left:0pt;margin-left:89.4pt;margin-top:112.55pt;height:53.05pt;width:48.5pt;mso-position-horizontal-relative:page;mso-position-vertical-relative:page;z-index:251659264;mso-width-relative:page;mso-height-relative:page;" fillcolor="#FF0000" filled="t" stroked="f" coordsize="970,1060" o:allowincell="f" path="m225,230l225,228c283,230,319,249,338,283c345,304,343,326,326,348c307,367,290,367,280,348c271,345,264,331,261,309c249,278,237,256,225,244c225,312,225,381,225,448c199,480,175,489,151,468c151,420,151,374,151,326c117,379,69,422,14,453c11,453,7,448,11,446c69,374,108,288,127,187c117,187,105,187,93,187c67,187,45,187,26,187c21,177,14,168,7,155c19,160,26,160,38,160c76,160,112,160,151,160c151,129,151,100,151,69c148,48,146,26,144,4c144,4,148,4,151,0c201,9,232,16,244,26c244,33,244,38,244,38c237,48,230,52,225,57c225,91,225,127,225,160c228,160,230,160,232,160c232,160,242,153,252,134c264,117,271,108,276,105c280,100,283,100,288,105c307,122,331,144,352,170c357,182,357,187,345,187c304,187,266,187,225,187c225,201,225,215,225,230m681,326c645,376,590,422,525,468c518,463,518,458,520,453c578,388,631,300,664,182c638,182,614,182,588,182c588,175,588,168,588,160c619,160,650,160,681,160c681,129,681,100,681,69c679,48,674,26,672,4c676,0,676,0,681,0c732,9,763,16,775,26c775,31,775,33,775,38c765,48,758,52,753,57c753,91,753,127,753,160c775,160,794,160,813,160c813,160,816,155,825,144c844,122,856,105,859,100c864,100,866,100,871,100c897,127,919,148,938,170c940,175,940,177,938,182c933,187,933,187,928,182c871,182,813,182,753,182c753,237,753,290,753,345c753,374,753,410,753,458c727,489,703,494,681,470c681,422,681,374,681,326m652,698c640,698,621,703,588,708c568,708,552,708,540,708c540,710,537,720,532,724c525,734,520,741,525,746c525,760,525,775,525,789c552,789,578,789,607,789c607,789,614,782,626,760c638,741,645,734,650,729c652,729,657,729,662,729c688,751,708,777,727,799c732,804,732,808,727,811c722,815,722,815,720,811c655,811,590,811,525,811c525,835,528,859,528,880c590,880,650,880,712,880c734,847,756,820,770,804c775,804,777,804,782,804c816,835,847,859,871,890c876,900,871,904,866,907c753,907,640,907,528,907c530,935,530,962,532,991c525,1029,487,1051,415,1060c412,1055,408,1055,405,1051c393,1012,364,981,321,969c319,960,319,955,326,955c381,974,415,974,432,955c432,940,432,924,432,907c338,907,247,907,156,907c127,907,108,907,88,907c84,897,76,888,69,878c81,883,88,880,100,880c211,880,321,880,432,880c432,859,432,835,432,811c381,811,331,811,280,811c276,815,252,815,213,815c206,806,201,796,194,784c206,789,213,789,225,789c295,789,362,789,432,789c432,763,432,736,432,710c350,720,288,724,244,720c175,772,96,811,7,837c0,842,0,837,7,830c112,772,204,686,276,566c216,566,153,566,93,566c88,571,67,571,26,571c21,561,14,552,7,542c19,544,26,544,38,544c122,544,204,544,288,544c307,515,324,484,333,448c338,444,343,441,352,446c405,458,444,470,470,475c475,480,475,484,470,489c451,501,439,511,434,511c427,523,420,537,412,544c540,544,667,544,794,544c816,515,837,489,851,468c856,463,864,463,866,468c907,489,938,518,964,549c969,554,969,559,969,564c964,566,964,566,960,566c844,566,727,566,609,566c710,664,825,698,952,672c957,676,960,681,957,686c914,712,885,751,871,804c866,808,859,811,856,811c751,777,660,693,590,566c525,566,460,566,396,566c355,619,314,662,271,698c393,681,489,650,564,602c568,602,576,602,578,607c607,633,631,660,657,686c660,688,657,693,652,698m775,240c851,244,900,271,914,314c921,345,916,367,897,388c876,400,856,400,840,379c828,374,825,357,820,335c816,297,801,266,775,249c770,244,770,244,775,240m326,57c326,55,326,52,326,52c369,57,408,64,451,79c463,55,470,33,482,12c487,12,489,12,494,12c525,26,552,43,576,57c576,60,576,64,576,69c564,74,556,79,544,81c537,91,528,100,520,108c523,108,525,108,528,108c556,132,568,155,564,187c549,218,528,223,501,201c489,192,477,180,465,160c427,192,388,223,345,244c343,244,338,240,343,235c369,204,400,170,427,122c400,100,369,84,326,60c321,60,321,60,326,57m364,261c396,266,424,271,446,273c458,256,470,240,482,223c487,223,489,223,494,218c501,223,513,230,532,244c552,256,564,261,576,266c576,271,576,273,576,278c571,283,568,283,564,283c556,288,547,288,544,292c537,297,528,304,520,314c525,319,532,324,537,326c552,350,556,374,544,395c532,420,518,422,501,410c489,395,477,384,465,362c393,415,326,448,276,463c271,468,268,463,271,453c331,422,381,376,427,309c420,304,412,304,408,300c388,288,376,275,364,271c362,266,362,266,364,261e">
          <v:fill on="t" focussize="0,0"/>
          <v:stroke on="f"/>
          <v:imagedata o:title=""/>
          <o:lock v:ext="edit"/>
        </v:shape>
      </w:pict>
    </w:r>
    <w:r>
      <w:pict>
        <v:shape id="_x0000_s2051" o:spid="_x0000_s2051" style="position:absolute;left:0pt;margin-left:213.7pt;margin-top:114.1pt;height:51.25pt;width:48.65pt;mso-position-horizontal-relative:page;mso-position-vertical-relative:page;z-index:251661312;mso-width-relative:page;mso-height-relative:page;" fillcolor="#FF0000" filled="t" stroked="f" coordsize="973,1025" o:allowincell="f" path="m640,268c580,309,544,304,537,261c537,232,537,206,537,177c482,177,427,177,372,177c372,208,372,240,372,268c312,309,276,304,268,261c268,232,268,206,268,177c206,177,146,177,86,177c62,182,38,182,19,182c12,172,4,163,0,151c12,155,24,155,33,155c112,155,189,155,268,155c268,124,268,91,268,60c266,40,266,21,264,2c264,7,264,2,268,0c271,2,276,2,283,2c333,7,372,16,393,21c396,26,400,28,396,33c388,48,381,55,372,60c372,91,372,124,372,155c427,155,482,155,537,155c537,124,537,91,537,60c535,40,532,21,532,2c532,7,532,2,537,0c540,2,547,2,552,2c607,7,645,16,664,21c669,26,669,28,664,33c660,48,652,55,640,60c640,91,640,124,640,155c684,155,724,155,765,155c789,117,813,81,835,50c840,50,847,50,852,50c897,91,938,120,969,151c972,165,972,172,964,177c856,177,748,177,640,177c640,208,640,240,640,268m271,300c321,321,364,343,393,364c393,369,393,374,393,384c381,388,369,395,357,400c350,410,338,422,321,444c302,465,290,480,283,487c288,492,290,492,295,492c307,496,314,496,326,496c331,501,333,506,331,518c331,523,326,532,314,535c312,540,312,540,312,540c312,688,312,837,312,986c307,1003,283,1017,244,1020c208,1024,194,1017,194,998c196,854,201,710,206,566c141,638,76,688,14,724c2,729,2,724,7,715c120,600,206,465,256,304c256,300,259,295,271,300m782,384c816,410,856,439,897,480c897,484,897,487,895,496c890,501,883,501,876,501c864,501,859,501,854,506c777,564,698,614,621,657c621,712,621,765,621,820c626,854,645,873,684,875c708,875,732,875,753,875c844,875,895,820,907,703c909,698,916,698,926,705c914,768,919,820,938,859c947,875,952,890,952,897c947,948,907,976,828,986c770,986,710,986,652,986c564,981,516,955,516,897c516,835,516,770,516,705c475,729,444,741,424,751c403,758,388,763,376,768c364,763,364,758,372,751c376,746,384,741,396,736c427,715,468,688,516,650c516,554,516,460,516,364c516,348,513,328,513,309c513,304,513,304,516,300c520,304,525,304,532,304c583,309,621,316,640,321c645,326,650,331,645,340c638,348,628,357,621,364c621,432,621,496,621,561c676,508,724,448,765,384c770,384,777,384,782,384e">
          <v:fill on="t" focussize="0,0"/>
          <v:stroke on="f"/>
          <v:imagedata o:title=""/>
          <o:lock v:ext="edit"/>
        </v:shape>
      </w:pict>
    </w:r>
    <w:r>
      <w:pict>
        <v:shape id="_x0000_s2052" o:spid="_x0000_s2052" style="position:absolute;left:0pt;margin-left:276.95pt;margin-top:113pt;height:52.85pt;width:47.3pt;mso-position-horizontal-relative:page;mso-position-vertical-relative:page;z-index:251660288;mso-width-relative:page;mso-height-relative:page;" fillcolor="#FF0000" filled="t" stroked="f" coordsize="945,1056" o:allowincell="f" path="m515,1012c513,1024,494,1039,451,1051c407,1056,383,1051,383,1039c388,763,388,576,391,465c391,453,391,444,391,432c333,432,275,432,215,432c215,453,215,477,215,501c215,619,220,751,227,890c225,912,206,924,165,928c124,933,103,928,103,916c107,732,107,592,112,501c112,453,112,408,112,362c146,374,182,386,220,410c278,410,335,410,391,410c391,350,391,292,391,235c290,235,187,235,83,235c64,240,43,240,21,240c14,228,7,218,0,208c11,213,21,213,33,213c273,213,511,213,751,213c751,213,751,213,751,208c780,160,803,134,815,120c820,117,823,117,827,120c892,165,928,194,940,218c945,230,940,235,933,235c799,235,664,235,532,235c532,247,523,256,508,268c508,316,508,362,508,410c563,410,616,410,671,410c671,410,676,405,679,400c695,384,707,369,720,357c722,352,731,352,734,357c770,379,801,396,835,417c840,422,840,432,835,436c832,448,820,460,808,465c811,597,815,732,820,864c808,897,765,919,691,924c683,924,679,919,679,912c660,864,621,832,571,816c563,811,563,806,571,799c640,820,683,816,695,794c695,672,695,552,695,432c633,432,571,432,508,432c508,444,508,453,508,465c508,597,513,780,515,1012m357,0c463,2,520,43,532,108c535,146,520,177,489,194c453,208,427,199,407,168c400,156,395,139,400,112c403,69,391,33,357,12c350,7,350,2,357,0e">
          <v:fill on="t" focussize="0,0"/>
          <v:stroke on="f"/>
          <v:imagedata o:title=""/>
          <o:lock v:ext="edit"/>
        </v:shape>
      </w:pict>
    </w:r>
    <w:r>
      <w:pict>
        <v:shape id="_x0000_s2053" o:spid="_x0000_s2053" style="position:absolute;left:0pt;margin-left:338.4pt;margin-top:113.15pt;height:52.45pt;width:47.3pt;mso-position-horizontal-relative:page;mso-position-vertical-relative:page;z-index:251662336;mso-width-relative:page;mso-height-relative:page;" fillcolor="#FF0000" filled="t" stroked="f" coordsize="945,1049" o:allowincell="f" path="m182,633c141,700,81,765,7,825c4,820,0,818,0,813c83,667,143,506,170,323c146,323,120,323,93,323c88,328,67,328,26,328c21,319,14,307,7,297c19,302,26,302,38,302c86,302,134,302,182,302c182,225,182,148,182,69c182,52,180,33,180,14c175,14,180,14,182,9c206,14,230,14,249,19c268,21,287,21,302,26c307,31,307,35,302,45c292,57,283,67,275,69c275,148,275,225,275,302c285,302,297,302,307,302c331,266,345,244,357,237c362,232,364,232,369,232c400,263,424,287,439,311c436,319,436,323,431,323c379,323,328,323,275,323c275,484,275,643,275,803c275,825,275,866,275,926c280,962,280,983,280,995c244,1041,208,1048,180,1027c175,1017,175,995,180,967c182,921,182,878,182,840c182,770,182,703,182,633m693,323c727,520,813,650,940,717c945,722,940,729,938,734c895,739,859,770,837,825c832,840,827,840,820,835c736,734,688,563,681,323c676,323,671,323,669,323c669,477,669,633,669,787c669,799,669,835,669,883c671,935,671,969,671,988c669,1000,652,1012,621,1022c587,1031,568,1031,563,1017c559,1010,559,979,559,921c563,878,563,844,563,813c563,763,563,710,563,660c511,739,439,808,355,866c343,871,343,866,345,856c446,720,518,547,551,323c547,323,542,323,537,323c518,328,494,328,475,328c467,319,458,307,451,297c463,302,475,302,487,302c511,302,537,302,563,302c563,220,563,139,563,57c559,52,559,40,556,26c551,14,551,4,556,0c614,4,662,16,688,40c683,45,681,52,669,57c669,139,669,220,669,302c695,302,724,302,751,302c777,261,796,237,813,223c808,223,813,223,825,223c859,254,890,280,909,307c914,319,914,323,907,323c835,323,763,323,693,323m280,472c362,472,417,499,443,547c446,633,420,664,357,638c345,628,343,611,338,590c326,547,307,511,280,484c275,480,275,477,280,472e">
          <v:fill on="t" focussize="0,0"/>
          <v:stroke on="f"/>
          <v:imagedata o:title=""/>
          <o:lock v:ext="edit"/>
        </v:shape>
      </w:pict>
    </w:r>
    <w:r>
      <w:pict>
        <v:shape id="_x0000_s2054" o:spid="_x0000_s2054" style="position:absolute;left:0pt;margin-left:400.4pt;margin-top:113.6pt;height:50.45pt;width:48.15pt;mso-position-horizontal-relative:page;mso-position-vertical-relative:page;z-index:251663360;mso-width-relative:page;mso-height-relative:page;" fillcolor="#FF0000" filled="t" stroked="f" coordsize="963,1009" o:allowincell="f" path="m801,230c852,254,900,283,933,314c938,324,938,331,933,335c919,343,904,350,890,357c804,559,715,710,643,815c643,871,643,926,643,981c679,981,717,981,756,981c775,943,801,911,828,890c832,885,837,885,840,890c902,931,940,960,957,981c962,991,962,1000,952,1008c664,1008,374,1008,86,1008c62,1008,38,1008,19,1008c14,998,7,988,0,979c12,979,24,979,36,981c129,981,225,981,319,981c319,679,319,374,319,69c319,50,316,28,314,9c314,4,314,4,319,0c338,4,386,11,451,31c448,35,448,33,451,38c451,47,451,52,451,47c448,57,439,64,424,69c424,374,424,679,424,981c460,981,499,981,537,981c537,660,537,335,537,11c540,16,549,16,561,16c619,21,657,31,669,38c676,52,676,57,669,60c664,69,652,79,643,84c643,307,643,530,643,755c717,544,768,374,787,240c789,235,794,230,801,230m67,266c182,403,249,528,268,650c273,708,252,746,211,768c163,777,136,755,124,698c120,688,120,671,120,650c124,633,124,619,124,611c132,511,108,398,50,278c50,266,55,261,67,266e">
          <v:fill on="t" focussize="0,0"/>
          <v:stroke on="f"/>
          <v:imagedata o:title=""/>
          <o:lock v:ext="edit"/>
        </v:shape>
      </w:pict>
    </w:r>
    <w:r>
      <w:pict>
        <v:shape id="_x0000_s2055" o:spid="_x0000_s2055" style="position:absolute;left:0pt;margin-left:463.4pt;margin-top:114.2pt;height:50.9pt;width:45.75pt;mso-position-horizontal-relative:page;mso-position-vertical-relative:page;z-index:251664384;mso-width-relative:page;mso-height-relative:page;" fillcolor="#FF0000" filled="t" stroked="f" coordsize="915,1018" o:allowincell="f" path="m254,84c254,141,254,201,254,259c403,259,551,259,700,259c700,201,700,141,700,84c551,84,403,84,254,84m254,504c249,734,170,900,16,1000c4,1000,0,996,4,988c100,885,148,727,148,504c148,369,148,237,148,105c143,79,143,57,141,35c136,14,136,4,141,0c167,9,203,26,254,57c393,57,530,57,669,57c681,35,698,19,707,4c707,4,712,4,717,4c720,4,720,4,724,4c758,19,794,40,830,72c832,74,837,79,832,84c820,98,813,100,801,105c806,168,811,230,813,292c751,338,712,338,700,292c700,290,700,285,700,280c551,280,403,280,254,280c254,326,254,374,254,420c420,420,585,420,751,420c758,410,770,398,789,376c794,372,799,372,806,376c849,388,883,410,914,436c914,446,914,456,914,458c911,463,900,472,887,477c887,554,887,631,887,708c892,904,830,1005,700,1017c698,1017,693,1015,688,1010c674,952,635,919,575,904c568,895,568,888,575,883c712,924,780,856,770,686c770,604,770,523,770,441c597,441,427,441,254,441c254,463,254,482,254,504m398,580c398,638,398,693,398,748c446,748,496,748,544,748c544,693,544,638,544,580c496,580,446,580,398,580m398,792c393,808,381,823,357,825c323,835,304,830,297,818c300,739,302,660,304,580c304,559,304,535,304,511c347,530,379,547,398,559c439,559,480,559,523,559c525,556,530,552,532,547c544,532,554,520,561,516c563,511,573,511,575,511c611,530,643,552,667,573c669,578,669,585,667,595c662,600,655,604,650,607c645,612,643,612,638,616c640,674,643,734,645,792c597,835,563,835,544,792c544,784,544,777,544,770c496,770,446,770,398,770c398,777,398,784,398,792e">
          <v:fill on="t" focussize="0,0"/>
          <v:stroke on="f"/>
          <v:imagedata o:title=""/>
          <o:lock v:ext="edit"/>
        </v:shape>
      </w:pict>
    </w:r>
    <w:r>
      <w:pict>
        <v:shape id="_x0000_s2056" o:spid="_x0000_s2056" style="height:53.8pt;width:48.6pt;" fillcolor="#FF0000" filled="t" stroked="f" coordsize="971,1075" path="m724,803c796,861,880,892,969,895c971,900,971,909,969,916c931,931,902,964,883,1022c876,1027,868,1031,863,1027c767,974,696,923,655,868c573,935,463,986,319,1027c307,1022,307,1015,316,1010c431,960,530,897,611,808c561,724,530,626,520,499c501,499,480,501,458,503c451,491,443,482,436,472c448,477,458,477,470,477c516,477,559,477,604,477c604,407,604,335,604,266c573,266,544,266,513,266c511,271,487,271,448,271c441,261,434,251,429,240c439,244,448,244,458,244c508,244,554,244,604,244c604,163,604,81,604,0c669,4,717,14,736,26c743,31,743,40,736,47c724,62,717,67,707,69c707,129,707,187,707,244c741,244,775,244,808,244c820,223,842,196,868,165c871,163,880,163,883,165c919,194,945,218,969,249c971,259,969,261,964,266c880,266,794,266,707,266c707,335,707,407,707,477c724,477,741,477,758,477c758,477,758,477,763,472c775,451,782,436,794,424c794,424,799,424,808,424c813,424,813,424,818,424c851,436,887,458,921,484c919,499,919,506,919,506c911,511,900,515,883,525c851,626,796,715,724,803m532,499c559,600,600,681,657,739c703,671,739,590,767,499c688,499,611,499,532,499m280,484c350,484,398,503,424,532c443,573,439,602,417,633c386,660,357,660,335,628c326,626,323,611,319,590c311,559,300,532,280,511c280,681,280,849,280,1017c215,1075,180,1070,167,1015c167,887,170,763,172,638c134,686,81,741,19,803c7,808,0,803,4,791c83,645,141,506,175,362c175,338,175,314,175,287c148,287,120,287,93,287c91,292,67,292,28,292c21,283,14,273,7,261c19,266,28,266,38,266c83,266,129,266,175,266c175,182,175,95,175,9c180,14,187,14,199,14c256,19,295,26,307,35c316,45,316,52,307,62c304,67,295,67,292,69c287,74,285,79,280,79c280,141,280,203,280,266c285,266,290,266,295,266c319,232,335,211,345,201c345,201,350,201,357,196c388,227,412,254,429,275c429,285,424,287,420,287c374,287,326,287,280,287c280,355,280,420,280,484e">
          <v:fill on="t" focussize="0,0"/>
          <v:stroke on="f"/>
          <v:imagedata o:title=""/>
          <o:lock v:ext="edit"/>
          <w10:wrap type="none"/>
          <w10:anchorlock/>
        </v:shape>
      </w:pict>
    </w:r>
  </w:p>
  <w:p>
    <w:pPr>
      <w:spacing w:before="108" w:line="90" w:lineRule="exact"/>
      <w:ind w:firstLine="4"/>
      <w:textAlignment w:val="center"/>
    </w:pPr>
    <w:r>
      <w:pict>
        <v:shape id="_x0000_s2057" o:spid="_x0000_s2057" style="height:4.5pt;width:453.5pt;" filled="f" stroked="t" coordsize="9070,90" path="m0,45l9069,45e">
          <v:fill on="f" focussize="0,0"/>
          <v:stroke weight="4.5pt" color="#FF0000" miterlimit="10"/>
          <v:imagedata o:title=""/>
          <o:lock v:ext="edit"/>
          <w10:wrap type="none"/>
          <w10:anchorlock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mIzZjExODZjZTdlNzI5NzkwMDdlYWFhNGUyYjdkODAifQ=="/>
  </w:docVars>
  <w:rsids>
    <w:rsidRoot w:val="00000000"/>
    <w:rsid w:val="040C25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1027"/>
    <customShpInfo spid="_x0000_s1028"/>
    <customShpInfo spid="_x0000_s1026"/>
    <customShpInfo spid="_x0000_s1030"/>
    <customShpInfo spid="_x0000_s1031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1684</Words>
  <Characters>1825</Characters>
  <TotalTime>0</TotalTime>
  <ScaleCrop>false</ScaleCrop>
  <LinksUpToDate>false</LinksUpToDate>
  <CharactersWithSpaces>1962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2016-02-23T12:25:00Z</dcterms:created>
  <dc:creator>Administrator</dc:creator>
  <cp:keywords>()</cp:keywords>
  <cp:lastModifiedBy>Administrator</cp:lastModifiedBy>
  <dcterms:modified xsi:type="dcterms:W3CDTF">2022-11-23T09:26:35Z</dcterms:modified>
  <dc:title>(NTKOOFFICE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2022-11-22T20:41:42Z</vt:filetime>
  </property>
  <property fmtid="{D5CDD505-2E9C-101B-9397-08002B2CF9AE}" pid="4" name="KSOProductBuildVer">
    <vt:lpwstr>2052-11.1.0.12763</vt:lpwstr>
  </property>
  <property fmtid="{D5CDD505-2E9C-101B-9397-08002B2CF9AE}" pid="5" name="ICV">
    <vt:lpwstr>1732A1E74AE0496799AFBBDEEEFA261D</vt:lpwstr>
  </property>
</Properties>
</file>