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1E15" w:rsidRDefault="00451E15">
      <w:pPr>
        <w:rPr>
          <w:rFonts w:ascii="仿宋_GB2312" w:eastAsia="仿宋_GB2312"/>
          <w:sz w:val="32"/>
          <w:szCs w:val="32"/>
        </w:rPr>
      </w:pPr>
    </w:p>
    <w:p w:rsidR="00451E15" w:rsidRDefault="008D53BC">
      <w:pPr>
        <w:jc w:val="center"/>
        <w:rPr>
          <w:rFonts w:ascii="宋体" w:hAnsi="宋体"/>
          <w:b/>
          <w:sz w:val="44"/>
          <w:szCs w:val="44"/>
        </w:rPr>
      </w:pPr>
      <w:r>
        <w:rPr>
          <w:rFonts w:ascii="宋体" w:hAnsi="宋体" w:hint="eastAsia"/>
          <w:b/>
          <w:sz w:val="44"/>
          <w:szCs w:val="44"/>
        </w:rPr>
        <w:t>关于四川省攀枝花市商务和粮食局2014年部门决算编制的说明</w:t>
      </w:r>
    </w:p>
    <w:p w:rsidR="00451E15" w:rsidRDefault="008D53BC">
      <w:pPr>
        <w:pStyle w:val="a6"/>
        <w:adjustRightInd w:val="0"/>
        <w:snapToGrid w:val="0"/>
        <w:spacing w:beforeLines="0" w:before="0" w:line="600" w:lineRule="exact"/>
        <w:rPr>
          <w:rFonts w:ascii="黑体" w:eastAsia="黑体"/>
          <w:sz w:val="32"/>
          <w:szCs w:val="32"/>
        </w:rPr>
      </w:pPr>
      <w:r>
        <w:rPr>
          <w:rFonts w:ascii="宋体" w:eastAsia="宋体" w:hAnsi="宋体" w:hint="eastAsia"/>
          <w:b/>
          <w:sz w:val="44"/>
          <w:szCs w:val="44"/>
        </w:rPr>
        <w:t xml:space="preserve">   </w:t>
      </w:r>
      <w:r>
        <w:rPr>
          <w:rFonts w:ascii="黑体" w:eastAsia="黑体" w:hint="eastAsia"/>
          <w:sz w:val="32"/>
          <w:szCs w:val="32"/>
        </w:rPr>
        <w:t>一、基本职能及主要工作</w:t>
      </w:r>
    </w:p>
    <w:p w:rsidR="00451E15" w:rsidRDefault="008D53BC">
      <w:pPr>
        <w:pStyle w:val="a6"/>
        <w:adjustRightInd w:val="0"/>
        <w:snapToGrid w:val="0"/>
        <w:spacing w:line="580" w:lineRule="exact"/>
        <w:ind w:firstLineChars="210" w:firstLine="672"/>
        <w:rPr>
          <w:bCs/>
          <w:sz w:val="32"/>
          <w:szCs w:val="32"/>
        </w:rPr>
      </w:pPr>
      <w:r>
        <w:rPr>
          <w:rFonts w:hint="eastAsia"/>
          <w:bCs/>
          <w:sz w:val="32"/>
          <w:szCs w:val="32"/>
        </w:rPr>
        <w:t>基本职能：攀枝花市商务和粮食局是市政府工作职能部门，承担全市商贸流通、服务业发展和粮食安全职责。具体负责全市社会消费品零售行业；负责市场体系建设，对商贸流通、拍卖、典当、租赁、直销、汽车流通、二手车交易、再生资源回收和旧货流通等行业进行监督管理；负责全市粮食流通、流通领域食品安全监管工作；受理和依法处理商务、粮食领域违法违规、扰乱市场秩序案件（线索）的投诉、举报；负责推进连锁经营、商业特许经营、电子商务、商贸物流配送等现代流通方式的发展，负责全市餐饮、住宿、美容美发行业达标升级活动的组织实施；负责全市对外贸易、利用外资、外经合作、外商投资项目、加工贸易项目的引进和服务外包平台建设工作；负责全市服务业发展协调工作，制定全市服务来发展规划、项目的收集、储备和推进等综合组织协调工作；负责指导、协调、实施全市粮食流通基础设施建设和储备粮体系建设，承担市级储备粮行政管理责任，监督检查在攀中央、省级储备粮库存数量、质量和储存安全，保障市场需求和军粮等政策性粮食的有效供应。</w:t>
      </w:r>
    </w:p>
    <w:p w:rsidR="00451E15" w:rsidRDefault="008D53BC">
      <w:pPr>
        <w:pStyle w:val="a6"/>
        <w:adjustRightInd w:val="0"/>
        <w:snapToGrid w:val="0"/>
        <w:spacing w:line="580" w:lineRule="exact"/>
        <w:ind w:firstLineChars="210" w:firstLine="672"/>
        <w:rPr>
          <w:bCs/>
          <w:sz w:val="32"/>
          <w:szCs w:val="32"/>
        </w:rPr>
      </w:pPr>
      <w:r>
        <w:rPr>
          <w:rFonts w:hint="eastAsia"/>
          <w:bCs/>
          <w:sz w:val="32"/>
          <w:szCs w:val="32"/>
        </w:rPr>
        <w:t>2014年重点工作完成情况介绍：</w:t>
      </w:r>
      <w:r>
        <w:rPr>
          <w:rFonts w:hint="eastAsia"/>
          <w:b/>
          <w:sz w:val="32"/>
          <w:szCs w:val="32"/>
        </w:rPr>
        <w:t>1.</w:t>
      </w:r>
      <w:r>
        <w:rPr>
          <w:rFonts w:hint="eastAsia"/>
          <w:bCs/>
          <w:sz w:val="32"/>
          <w:szCs w:val="32"/>
        </w:rPr>
        <w:t>全力办好“两大活动”。一是充分发挥我市的区位优势和四川南向口岸优势，积极争</w:t>
      </w:r>
      <w:r>
        <w:rPr>
          <w:rFonts w:hint="eastAsia"/>
          <w:bCs/>
          <w:sz w:val="32"/>
          <w:szCs w:val="32"/>
        </w:rPr>
        <w:lastRenderedPageBreak/>
        <w:t>取国家、省里支持，为面向东南亚国家市场开展外经贸活动搭建平台。二是继续开展市场拓展“三大”活动，积极组织全市内外贸企业参加昆交会、广交会、</w:t>
      </w:r>
      <w:proofErr w:type="gramStart"/>
      <w:r>
        <w:rPr>
          <w:rFonts w:hint="eastAsia"/>
          <w:bCs/>
          <w:sz w:val="32"/>
          <w:szCs w:val="32"/>
        </w:rPr>
        <w:t>厦洽会</w:t>
      </w:r>
      <w:proofErr w:type="gramEnd"/>
      <w:r>
        <w:rPr>
          <w:rFonts w:hint="eastAsia"/>
          <w:bCs/>
          <w:sz w:val="32"/>
          <w:szCs w:val="32"/>
        </w:rPr>
        <w:t>等大型有影响力的会展活动，鼓励企业加快“走出去”步伐。</w:t>
      </w:r>
      <w:r>
        <w:rPr>
          <w:rFonts w:hint="eastAsia"/>
          <w:b/>
          <w:sz w:val="32"/>
          <w:szCs w:val="32"/>
        </w:rPr>
        <w:t>2.</w:t>
      </w:r>
      <w:r>
        <w:rPr>
          <w:rFonts w:hint="eastAsia"/>
          <w:bCs/>
          <w:sz w:val="32"/>
          <w:szCs w:val="32"/>
        </w:rPr>
        <w:t>有序推进“两个建设”。一是加快推进“省级现代物流试点示范市”建设，重点发展生产性服务业。二是加快推进“省级现代服务业集聚区”建设，大力发展消费性服务业。</w:t>
      </w:r>
      <w:r>
        <w:rPr>
          <w:rFonts w:hint="eastAsia"/>
          <w:b/>
          <w:sz w:val="32"/>
          <w:szCs w:val="32"/>
        </w:rPr>
        <w:t>3.</w:t>
      </w:r>
      <w:r>
        <w:rPr>
          <w:rFonts w:hint="eastAsia"/>
          <w:bCs/>
          <w:sz w:val="32"/>
          <w:szCs w:val="32"/>
        </w:rPr>
        <w:t>加快建设“四个项目”。一是加快建设重点物流项目。二是加快建设重点市场体系项目。三是加快建设商贸服务民生项目。</w:t>
      </w:r>
      <w:r>
        <w:rPr>
          <w:rFonts w:hint="eastAsia"/>
          <w:b/>
          <w:sz w:val="32"/>
          <w:szCs w:val="32"/>
        </w:rPr>
        <w:t>4.</w:t>
      </w:r>
      <w:r>
        <w:rPr>
          <w:rFonts w:hint="eastAsia"/>
          <w:bCs/>
          <w:sz w:val="32"/>
          <w:szCs w:val="32"/>
        </w:rPr>
        <w:t>重点抓好“五项工作”。一是抓好电子商务园区建设工作。二是抓好对外经贸企业的服务工作。三是抓好产业承接外资项目引进工作。四是抓好省厅启动实施“商务服务千企”行动的对接工作，认真梳理服务对象，重点解决企业在信息引导、市场对接、要素保障等方面最现实、最迫切的共性问题。五是抓好统计基础工作。</w:t>
      </w:r>
      <w:r>
        <w:rPr>
          <w:rFonts w:hint="eastAsia"/>
          <w:b/>
          <w:sz w:val="32"/>
          <w:szCs w:val="32"/>
        </w:rPr>
        <w:t>5.</w:t>
      </w:r>
      <w:r>
        <w:rPr>
          <w:rFonts w:hint="eastAsia"/>
          <w:bCs/>
          <w:sz w:val="32"/>
          <w:szCs w:val="32"/>
        </w:rPr>
        <w:t>贯彻落实好相关政策。深入研究《国务院办公厅关于支持外贸稳定增长的若干意见》、《四川省人民政府办公厅关于印发促进当前经济稳增长的十六条措施的通知》、《攀枝花市促进当前经济稳增长的二十六条措施》等已出台实施的系列政策措施，紧密结合工作发展实际，找准工作切入点，制定完善相应的措施办法，用好、用足政策，为加快发展全市商务和服务业经济，提供良好的政策环境。贯彻落实</w:t>
      </w:r>
      <w:proofErr w:type="gramStart"/>
      <w:r>
        <w:rPr>
          <w:rFonts w:hint="eastAsia"/>
          <w:bCs/>
          <w:sz w:val="32"/>
          <w:szCs w:val="32"/>
        </w:rPr>
        <w:t>好即将</w:t>
      </w:r>
      <w:proofErr w:type="gramEnd"/>
      <w:r>
        <w:rPr>
          <w:rFonts w:hint="eastAsia"/>
          <w:bCs/>
          <w:sz w:val="32"/>
          <w:szCs w:val="32"/>
        </w:rPr>
        <w:t>出台的</w:t>
      </w:r>
      <w:bookmarkStart w:id="0" w:name="_GoBack"/>
      <w:bookmarkEnd w:id="0"/>
      <w:r>
        <w:rPr>
          <w:rFonts w:hint="eastAsia"/>
          <w:bCs/>
          <w:sz w:val="32"/>
          <w:szCs w:val="32"/>
        </w:rPr>
        <w:t>《粮食法》，建立健全粮食流通市长负责制，不断强化粮食安全基础，切实保障粮食市场供应。6.深入推进党风廉政建设。全面认真学</w:t>
      </w:r>
      <w:proofErr w:type="gramStart"/>
      <w:r>
        <w:rPr>
          <w:rFonts w:hint="eastAsia"/>
          <w:bCs/>
          <w:sz w:val="32"/>
          <w:szCs w:val="32"/>
        </w:rPr>
        <w:t>习习近</w:t>
      </w:r>
      <w:proofErr w:type="gramEnd"/>
      <w:r>
        <w:rPr>
          <w:rFonts w:hint="eastAsia"/>
          <w:bCs/>
          <w:sz w:val="32"/>
          <w:szCs w:val="32"/>
        </w:rPr>
        <w:t>平总书记系列重要</w:t>
      </w:r>
      <w:r>
        <w:rPr>
          <w:rFonts w:hint="eastAsia"/>
          <w:bCs/>
          <w:sz w:val="32"/>
          <w:szCs w:val="32"/>
        </w:rPr>
        <w:lastRenderedPageBreak/>
        <w:t>讲话精神，贯彻落</w:t>
      </w:r>
      <w:proofErr w:type="gramStart"/>
      <w:r>
        <w:rPr>
          <w:rFonts w:hint="eastAsia"/>
          <w:bCs/>
          <w:sz w:val="32"/>
          <w:szCs w:val="32"/>
        </w:rPr>
        <w:t>实</w:t>
      </w:r>
      <w:r w:rsidR="00314778">
        <w:rPr>
          <w:rFonts w:hint="eastAsia"/>
          <w:bCs/>
          <w:sz w:val="32"/>
          <w:szCs w:val="32"/>
        </w:rPr>
        <w:t>习近</w:t>
      </w:r>
      <w:proofErr w:type="gramEnd"/>
      <w:r w:rsidR="00314778">
        <w:rPr>
          <w:rFonts w:hint="eastAsia"/>
          <w:bCs/>
          <w:sz w:val="32"/>
          <w:szCs w:val="32"/>
        </w:rPr>
        <w:t>平总书记</w:t>
      </w:r>
      <w:r>
        <w:rPr>
          <w:rFonts w:hint="eastAsia"/>
          <w:bCs/>
          <w:sz w:val="32"/>
          <w:szCs w:val="32"/>
        </w:rPr>
        <w:t>关于党要管党、从严治党的要求，聚精会神抓好党的建设。坚定不移落实中央八项规定、省市十项规定，继续巩固和</w:t>
      </w:r>
      <w:proofErr w:type="gramStart"/>
      <w:r>
        <w:rPr>
          <w:rFonts w:hint="eastAsia"/>
          <w:bCs/>
          <w:sz w:val="32"/>
          <w:szCs w:val="32"/>
        </w:rPr>
        <w:t>拓展党</w:t>
      </w:r>
      <w:proofErr w:type="gramEnd"/>
      <w:r>
        <w:rPr>
          <w:rFonts w:hint="eastAsia"/>
          <w:bCs/>
          <w:sz w:val="32"/>
          <w:szCs w:val="32"/>
        </w:rPr>
        <w:t>的群众路线教育实践活动成果，抓好“四风”各项整改措施的落实，推进作风建设常态化、长效化。落实好党风廉政建设“两个责任”，把党风廉政建设与业务工作同部署、同落实、同检查、同考核。强化对重点项目的监督管理，进一步规范相关程序，完善相关制度，切实有效增强全局风险防控能力。坚持抓早、抓小，防患于未然，对发现的苗头性、倾向性和潜在性的问题，及早采取防治措施。</w:t>
      </w:r>
    </w:p>
    <w:p w:rsidR="00451E15" w:rsidRDefault="008D53BC">
      <w:pPr>
        <w:spacing w:line="580" w:lineRule="exact"/>
        <w:ind w:firstLineChars="200" w:firstLine="640"/>
        <w:rPr>
          <w:rFonts w:ascii="黑体" w:eastAsia="黑体"/>
          <w:sz w:val="32"/>
          <w:szCs w:val="32"/>
        </w:rPr>
      </w:pPr>
      <w:r>
        <w:rPr>
          <w:rFonts w:ascii="黑体" w:eastAsia="黑体" w:hint="eastAsia"/>
          <w:sz w:val="32"/>
          <w:szCs w:val="32"/>
        </w:rPr>
        <w:t>二、部门概况</w:t>
      </w:r>
    </w:p>
    <w:p w:rsidR="00451E15" w:rsidRDefault="008D53BC">
      <w:pPr>
        <w:pStyle w:val="a6"/>
        <w:adjustRightInd w:val="0"/>
        <w:snapToGrid w:val="0"/>
        <w:spacing w:line="580" w:lineRule="exact"/>
        <w:ind w:firstLineChars="210" w:firstLine="672"/>
        <w:rPr>
          <w:sz w:val="32"/>
          <w:szCs w:val="32"/>
        </w:rPr>
      </w:pPr>
      <w:r>
        <w:rPr>
          <w:rFonts w:hint="eastAsia"/>
          <w:sz w:val="32"/>
          <w:szCs w:val="32"/>
        </w:rPr>
        <w:t>攀枝花市商务和粮食局下属二级决算单位1个，其中其他事业单位1个。</w:t>
      </w:r>
    </w:p>
    <w:p w:rsidR="00451E15" w:rsidRDefault="008D53BC">
      <w:pPr>
        <w:spacing w:line="580" w:lineRule="exact"/>
        <w:ind w:firstLineChars="200" w:firstLine="640"/>
        <w:rPr>
          <w:rFonts w:ascii="黑体" w:eastAsia="黑体"/>
          <w:sz w:val="32"/>
          <w:szCs w:val="32"/>
        </w:rPr>
      </w:pPr>
      <w:r>
        <w:rPr>
          <w:rFonts w:ascii="黑体" w:eastAsia="黑体" w:hint="eastAsia"/>
          <w:sz w:val="32"/>
          <w:szCs w:val="32"/>
        </w:rPr>
        <w:t>三、收支决算总体情况</w:t>
      </w:r>
    </w:p>
    <w:p w:rsidR="00451E15" w:rsidRDefault="008D53BC">
      <w:pPr>
        <w:spacing w:line="580" w:lineRule="exact"/>
        <w:ind w:firstLineChars="200" w:firstLine="640"/>
        <w:rPr>
          <w:rFonts w:ascii="仿宋_GB2312" w:eastAsia="仿宋_GB2312"/>
          <w:sz w:val="32"/>
          <w:szCs w:val="32"/>
        </w:rPr>
      </w:pPr>
      <w:r>
        <w:rPr>
          <w:rFonts w:ascii="仿宋_GB2312" w:eastAsia="仿宋_GB2312" w:hint="eastAsia"/>
          <w:sz w:val="32"/>
          <w:szCs w:val="32"/>
        </w:rPr>
        <w:t>2014年收入决算总额为2072.97万元，其中：当年财政拨款收入2071.76万元，其他收入1.21万元。收入决算总额较2013年减少323.32万元。</w:t>
      </w:r>
    </w:p>
    <w:p w:rsidR="00451E15" w:rsidRDefault="008D53BC">
      <w:pPr>
        <w:spacing w:line="580" w:lineRule="exact"/>
        <w:ind w:firstLineChars="200" w:firstLine="640"/>
        <w:rPr>
          <w:rFonts w:ascii="仿宋_GB2312" w:eastAsia="仿宋_GB2312"/>
          <w:sz w:val="32"/>
          <w:szCs w:val="32"/>
        </w:rPr>
      </w:pPr>
      <w:r>
        <w:rPr>
          <w:rFonts w:ascii="仿宋_GB2312" w:eastAsia="仿宋_GB2312" w:hint="eastAsia"/>
          <w:sz w:val="32"/>
          <w:szCs w:val="32"/>
        </w:rPr>
        <w:t>2014年实际支出决算总额为2206.51万元，其中：一般公共服务支出711万元，社会保障和就业1105.65万元，医疗卫生0.55万元，资源勘探信息支出5万元，商业服务业支出319.05万元，住房保障支出63.3万元，其他支出1.96万元。支出决算总额较2013年减少193万元，其中基本支出比上年增加89.27万元，项目支出比上年减少282.27万</w:t>
      </w:r>
      <w:r>
        <w:rPr>
          <w:rFonts w:ascii="仿宋_GB2312" w:eastAsia="仿宋_GB2312" w:hint="eastAsia"/>
          <w:sz w:val="32"/>
          <w:szCs w:val="32"/>
        </w:rPr>
        <w:lastRenderedPageBreak/>
        <w:t>元，主要原因是上年有303.86万元的政府性基金预算</w:t>
      </w:r>
      <w:r w:rsidR="007E3AFC">
        <w:rPr>
          <w:rFonts w:ascii="仿宋_GB2312" w:eastAsia="仿宋_GB2312" w:hint="eastAsia"/>
          <w:sz w:val="32"/>
          <w:szCs w:val="32"/>
        </w:rPr>
        <w:t>财政拨款</w:t>
      </w:r>
      <w:r>
        <w:rPr>
          <w:rFonts w:ascii="仿宋_GB2312" w:eastAsia="仿宋_GB2312" w:hint="eastAsia"/>
          <w:sz w:val="32"/>
          <w:szCs w:val="32"/>
        </w:rPr>
        <w:t>。</w:t>
      </w:r>
    </w:p>
    <w:p w:rsidR="00451E15" w:rsidRDefault="008D53BC">
      <w:pPr>
        <w:spacing w:line="580" w:lineRule="exact"/>
        <w:ind w:firstLineChars="200" w:firstLine="640"/>
        <w:rPr>
          <w:rFonts w:ascii="仿宋_GB2312" w:eastAsia="仿宋_GB2312"/>
          <w:sz w:val="32"/>
          <w:szCs w:val="32"/>
        </w:rPr>
      </w:pPr>
      <w:r>
        <w:rPr>
          <w:rFonts w:ascii="黑体" w:eastAsia="黑体" w:hint="eastAsia"/>
          <w:sz w:val="32"/>
          <w:szCs w:val="32"/>
        </w:rPr>
        <w:t>四、财政拨款支出决算情况</w:t>
      </w:r>
    </w:p>
    <w:p w:rsidR="00451E15" w:rsidRDefault="008D53BC">
      <w:pPr>
        <w:spacing w:line="580" w:lineRule="exact"/>
        <w:ind w:firstLineChars="200" w:firstLine="640"/>
        <w:rPr>
          <w:rFonts w:ascii="仿宋_GB2312" w:eastAsia="仿宋_GB2312"/>
          <w:sz w:val="32"/>
          <w:szCs w:val="32"/>
        </w:rPr>
      </w:pPr>
      <w:r>
        <w:rPr>
          <w:rFonts w:ascii="仿宋_GB2312" w:eastAsia="仿宋_GB2312" w:hint="eastAsia"/>
          <w:sz w:val="32"/>
          <w:szCs w:val="32"/>
        </w:rPr>
        <w:t xml:space="preserve">财政拨款支出主要用于保障该部门机构正常运转、完成日常工作任务以及承担全市事业发展相关工作。  </w:t>
      </w:r>
    </w:p>
    <w:p w:rsidR="00451E15" w:rsidRDefault="008D53BC">
      <w:pPr>
        <w:spacing w:line="580" w:lineRule="exact"/>
        <w:ind w:firstLineChars="200" w:firstLine="640"/>
        <w:rPr>
          <w:rFonts w:ascii="仿宋_GB2312" w:eastAsia="仿宋_GB2312"/>
          <w:sz w:val="32"/>
          <w:szCs w:val="32"/>
        </w:rPr>
      </w:pPr>
      <w:r>
        <w:rPr>
          <w:rFonts w:ascii="仿宋_GB2312" w:eastAsia="仿宋_GB2312" w:hint="eastAsia"/>
          <w:sz w:val="32"/>
          <w:szCs w:val="32"/>
        </w:rPr>
        <w:t>基本支出，是用于保障攀枝花市商务和粮食局机关正常运转的日常支出，包括基本工资、津贴补贴等人员经费以及办公费、印刷费、水电费、办公设备购置等日常公用经费。</w:t>
      </w:r>
    </w:p>
    <w:p w:rsidR="00451E15" w:rsidRDefault="008D53BC">
      <w:pPr>
        <w:spacing w:line="580" w:lineRule="exact"/>
        <w:ind w:firstLineChars="200" w:firstLine="640"/>
        <w:rPr>
          <w:rFonts w:ascii="仿宋_GB2312" w:eastAsia="仿宋_GB2312"/>
          <w:sz w:val="32"/>
          <w:szCs w:val="32"/>
        </w:rPr>
      </w:pPr>
      <w:r>
        <w:rPr>
          <w:rFonts w:ascii="仿宋_GB2312" w:eastAsia="仿宋_GB2312" w:hint="eastAsia"/>
          <w:sz w:val="32"/>
          <w:szCs w:val="32"/>
        </w:rPr>
        <w:t>项目支出，是用于保障攀枝花市商务和粮食局机关、下属事业单位等机构为完成特定的行政工作任务或事业发展目标，用于专项业务工作的经费支出。</w:t>
      </w:r>
    </w:p>
    <w:p w:rsidR="00451E15" w:rsidRDefault="008D53BC">
      <w:pPr>
        <w:spacing w:line="580" w:lineRule="exact"/>
        <w:ind w:firstLineChars="200" w:firstLine="640"/>
        <w:rPr>
          <w:rFonts w:ascii="仿宋_GB2312" w:eastAsia="仿宋_GB2312"/>
          <w:sz w:val="32"/>
          <w:szCs w:val="32"/>
        </w:rPr>
      </w:pPr>
      <w:r>
        <w:rPr>
          <w:rFonts w:ascii="仿宋_GB2312" w:eastAsia="仿宋_GB2312" w:hint="eastAsia"/>
          <w:sz w:val="32"/>
          <w:szCs w:val="32"/>
        </w:rPr>
        <w:t>按支出功能分类主要用于以下方面:（罗列类级全部功能分类，数据来源表2）</w:t>
      </w:r>
    </w:p>
    <w:p w:rsidR="00451E15" w:rsidRDefault="008D53BC">
      <w:pPr>
        <w:numPr>
          <w:ilvl w:val="0"/>
          <w:numId w:val="1"/>
        </w:numPr>
        <w:spacing w:line="580" w:lineRule="exact"/>
        <w:ind w:firstLineChars="200" w:firstLine="640"/>
        <w:rPr>
          <w:rFonts w:ascii="仿宋_GB2312" w:eastAsia="仿宋_GB2312"/>
          <w:sz w:val="32"/>
          <w:szCs w:val="32"/>
        </w:rPr>
      </w:pPr>
      <w:r>
        <w:rPr>
          <w:rFonts w:ascii="仿宋_GB2312" w:eastAsia="仿宋_GB2312" w:hint="eastAsia"/>
          <w:sz w:val="32"/>
          <w:szCs w:val="32"/>
        </w:rPr>
        <w:t>一般公共服务支出711万元，主要用于：机关正工作人员的基本工资、津贴补贴等支出。</w:t>
      </w:r>
    </w:p>
    <w:p w:rsidR="00451E15" w:rsidRDefault="008D53BC">
      <w:pPr>
        <w:spacing w:line="580" w:lineRule="exact"/>
        <w:ind w:firstLineChars="200" w:firstLine="640"/>
        <w:rPr>
          <w:rFonts w:ascii="仿宋_GB2312" w:eastAsia="仿宋_GB2312"/>
          <w:sz w:val="32"/>
          <w:szCs w:val="32"/>
        </w:rPr>
      </w:pPr>
      <w:r>
        <w:rPr>
          <w:rFonts w:ascii="仿宋_GB2312" w:eastAsia="仿宋_GB2312" w:hint="eastAsia"/>
          <w:sz w:val="32"/>
          <w:szCs w:val="32"/>
        </w:rPr>
        <w:t>（二）社会保障和就业支出1105.65万元，主要用于：攀枝花市商务和粮食局机关离退休职工离退休费、丧葬抚恤金及生活补助支出。</w:t>
      </w:r>
    </w:p>
    <w:p w:rsidR="00451E15" w:rsidRDefault="008D53BC">
      <w:pPr>
        <w:spacing w:line="580" w:lineRule="exact"/>
        <w:ind w:firstLineChars="200" w:firstLine="640"/>
        <w:rPr>
          <w:rFonts w:ascii="仿宋_GB2312" w:eastAsia="仿宋_GB2312"/>
          <w:sz w:val="32"/>
          <w:szCs w:val="32"/>
        </w:rPr>
      </w:pPr>
      <w:r>
        <w:rPr>
          <w:rFonts w:ascii="仿宋_GB2312" w:eastAsia="仿宋_GB2312" w:hint="eastAsia"/>
          <w:sz w:val="32"/>
          <w:szCs w:val="32"/>
        </w:rPr>
        <w:t>（四）医疗卫生支出0.55万元，主要用于：离休人员药费支出。</w:t>
      </w:r>
    </w:p>
    <w:p w:rsidR="00451E15" w:rsidRDefault="008D53BC">
      <w:pPr>
        <w:spacing w:line="580" w:lineRule="exact"/>
        <w:ind w:firstLineChars="200" w:firstLine="640"/>
        <w:rPr>
          <w:rFonts w:ascii="仿宋_GB2312" w:eastAsia="仿宋_GB2312"/>
          <w:sz w:val="32"/>
          <w:szCs w:val="32"/>
        </w:rPr>
      </w:pPr>
      <w:r>
        <w:rPr>
          <w:rFonts w:ascii="仿宋_GB2312" w:eastAsia="仿宋_GB2312" w:hint="eastAsia"/>
          <w:sz w:val="32"/>
          <w:szCs w:val="32"/>
        </w:rPr>
        <w:t>（五）住房保障支出63.3万元，主要用于：机关职工公积金缴费。</w:t>
      </w:r>
    </w:p>
    <w:p w:rsidR="00451E15" w:rsidRDefault="008D53BC">
      <w:pPr>
        <w:spacing w:line="580" w:lineRule="exact"/>
        <w:ind w:firstLineChars="200" w:firstLine="640"/>
        <w:rPr>
          <w:rFonts w:ascii="仿宋_GB2312" w:eastAsia="仿宋_GB2312"/>
          <w:sz w:val="32"/>
          <w:szCs w:val="32"/>
        </w:rPr>
      </w:pPr>
      <w:r>
        <w:rPr>
          <w:rFonts w:ascii="仿宋_GB2312" w:eastAsia="仿宋_GB2312" w:hint="eastAsia"/>
          <w:sz w:val="32"/>
          <w:szCs w:val="32"/>
        </w:rPr>
        <w:t>（六）资源勘探信息支出5万元，主要用于：专项业务工作经费支出。</w:t>
      </w:r>
    </w:p>
    <w:p w:rsidR="00451E15" w:rsidRDefault="008D53BC">
      <w:pPr>
        <w:spacing w:line="580" w:lineRule="exact"/>
        <w:ind w:firstLineChars="200" w:firstLine="640"/>
        <w:rPr>
          <w:rFonts w:ascii="仿宋_GB2312" w:eastAsia="仿宋_GB2312"/>
          <w:sz w:val="32"/>
          <w:szCs w:val="32"/>
        </w:rPr>
      </w:pPr>
      <w:r>
        <w:rPr>
          <w:rFonts w:ascii="仿宋_GB2312" w:eastAsia="仿宋_GB2312" w:hint="eastAsia"/>
          <w:sz w:val="32"/>
          <w:szCs w:val="32"/>
        </w:rPr>
        <w:lastRenderedPageBreak/>
        <w:t>（七）商业服务业支出319.05万元，主要用于：专项业务工作经费支出。</w:t>
      </w:r>
    </w:p>
    <w:p w:rsidR="00451E15" w:rsidRDefault="008D53BC">
      <w:pPr>
        <w:spacing w:line="580" w:lineRule="exact"/>
        <w:ind w:firstLineChars="200" w:firstLine="640"/>
        <w:rPr>
          <w:rFonts w:ascii="仿宋_GB2312" w:eastAsia="仿宋_GB2312"/>
          <w:sz w:val="32"/>
          <w:szCs w:val="32"/>
        </w:rPr>
      </w:pPr>
      <w:r>
        <w:rPr>
          <w:rFonts w:ascii="仿宋_GB2312" w:eastAsia="仿宋_GB2312" w:hint="eastAsia"/>
          <w:sz w:val="32"/>
          <w:szCs w:val="32"/>
        </w:rPr>
        <w:t>（八）其他支出1.96万元，主要用于：专项业务工作经费支出。</w:t>
      </w:r>
    </w:p>
    <w:p w:rsidR="00451E15" w:rsidRDefault="008D53BC">
      <w:pPr>
        <w:spacing w:line="620" w:lineRule="exact"/>
        <w:ind w:firstLine="640"/>
        <w:rPr>
          <w:rFonts w:ascii="黑体" w:eastAsia="黑体"/>
          <w:sz w:val="32"/>
          <w:szCs w:val="32"/>
        </w:rPr>
      </w:pPr>
      <w:r>
        <w:rPr>
          <w:rFonts w:ascii="黑体" w:eastAsia="黑体" w:hint="eastAsia"/>
          <w:sz w:val="32"/>
          <w:szCs w:val="32"/>
        </w:rPr>
        <w:t>五、财政拨款“三公”经费情况</w:t>
      </w:r>
    </w:p>
    <w:p w:rsidR="00451E15" w:rsidRDefault="008D53BC">
      <w:pPr>
        <w:spacing w:line="580" w:lineRule="exact"/>
        <w:ind w:firstLineChars="200" w:firstLine="640"/>
        <w:rPr>
          <w:rFonts w:ascii="仿宋_GB2312" w:eastAsia="仿宋_GB2312"/>
          <w:sz w:val="32"/>
          <w:szCs w:val="32"/>
        </w:rPr>
      </w:pPr>
      <w:r>
        <w:rPr>
          <w:rFonts w:ascii="仿宋_GB2312" w:eastAsia="仿宋_GB2312" w:hint="eastAsia"/>
          <w:sz w:val="32"/>
          <w:szCs w:val="32"/>
        </w:rPr>
        <w:t>（一）因公出国（境）经费</w:t>
      </w:r>
    </w:p>
    <w:p w:rsidR="00451E15" w:rsidRDefault="008D53BC">
      <w:pPr>
        <w:spacing w:line="620" w:lineRule="exact"/>
        <w:ind w:firstLine="640"/>
        <w:rPr>
          <w:rFonts w:ascii="仿宋_GB2312" w:eastAsia="仿宋_GB2312"/>
          <w:sz w:val="32"/>
          <w:szCs w:val="32"/>
        </w:rPr>
      </w:pPr>
      <w:r>
        <w:rPr>
          <w:rFonts w:ascii="仿宋_GB2312" w:eastAsia="仿宋_GB2312"/>
          <w:sz w:val="32"/>
          <w:szCs w:val="32"/>
        </w:rPr>
        <w:t>2014</w:t>
      </w:r>
      <w:r>
        <w:rPr>
          <w:rFonts w:ascii="仿宋_GB2312" w:eastAsia="仿宋_GB2312" w:hint="eastAsia"/>
          <w:sz w:val="32"/>
          <w:szCs w:val="32"/>
        </w:rPr>
        <w:t>年无因公出国（境），也未产生费用支出。</w:t>
      </w:r>
    </w:p>
    <w:p w:rsidR="00451E15" w:rsidRDefault="008D53BC">
      <w:pPr>
        <w:spacing w:line="580" w:lineRule="exact"/>
        <w:ind w:firstLineChars="200" w:firstLine="640"/>
        <w:rPr>
          <w:rFonts w:ascii="楷体_GB2312" w:eastAsia="楷体_GB2312"/>
          <w:b/>
          <w:sz w:val="32"/>
          <w:szCs w:val="32"/>
        </w:rPr>
      </w:pPr>
      <w:r>
        <w:rPr>
          <w:rFonts w:ascii="仿宋_GB2312" w:eastAsia="仿宋_GB2312" w:hint="eastAsia"/>
          <w:sz w:val="32"/>
          <w:szCs w:val="32"/>
        </w:rPr>
        <w:t>（二）公务接待费</w:t>
      </w:r>
    </w:p>
    <w:p w:rsidR="00451E15" w:rsidRDefault="008D53BC">
      <w:pPr>
        <w:spacing w:line="620" w:lineRule="exact"/>
        <w:ind w:firstLine="640"/>
        <w:rPr>
          <w:rFonts w:ascii="仿宋_GB2312" w:eastAsia="仿宋_GB2312"/>
          <w:sz w:val="32"/>
          <w:szCs w:val="32"/>
        </w:rPr>
      </w:pPr>
      <w:r>
        <w:rPr>
          <w:rFonts w:ascii="仿宋_GB2312" w:eastAsia="仿宋_GB2312"/>
          <w:sz w:val="32"/>
          <w:szCs w:val="32"/>
        </w:rPr>
        <w:t>2014</w:t>
      </w:r>
      <w:r>
        <w:rPr>
          <w:rFonts w:ascii="仿宋_GB2312" w:eastAsia="仿宋_GB2312" w:hint="eastAsia"/>
          <w:sz w:val="32"/>
          <w:szCs w:val="32"/>
        </w:rPr>
        <w:t>年公务接待费5.26万元,较2013年决算数下降21.96%，主要原因是严格执行中央八项规定及省市十项规定及《</w:t>
      </w:r>
      <w:r>
        <w:rPr>
          <w:rFonts w:ascii="仿宋_GB2312" w:eastAsia="仿宋_GB2312" w:hint="eastAsia"/>
          <w:sz w:val="30"/>
          <w:szCs w:val="30"/>
        </w:rPr>
        <w:t>党政机关国内公务接待管理规定》，</w:t>
      </w:r>
      <w:r>
        <w:rPr>
          <w:rFonts w:ascii="仿宋_GB2312" w:eastAsia="仿宋_GB2312" w:hAnsi="宋体" w:cs="宋体" w:hint="eastAsia"/>
          <w:color w:val="000000"/>
          <w:kern w:val="0"/>
          <w:sz w:val="32"/>
          <w:szCs w:val="32"/>
        </w:rPr>
        <w:t>严格接待标准、务实节检</w:t>
      </w:r>
      <w:r>
        <w:rPr>
          <w:rFonts w:ascii="仿宋_GB2312" w:eastAsia="仿宋_GB2312" w:hint="eastAsia"/>
          <w:sz w:val="32"/>
          <w:szCs w:val="32"/>
        </w:rPr>
        <w:t>。</w:t>
      </w:r>
    </w:p>
    <w:p w:rsidR="00451E15" w:rsidRDefault="008D53BC">
      <w:pPr>
        <w:spacing w:line="620" w:lineRule="exact"/>
        <w:ind w:firstLine="640"/>
        <w:rPr>
          <w:rFonts w:ascii="仿宋_GB2312" w:eastAsia="仿宋_GB2312"/>
          <w:sz w:val="32"/>
          <w:szCs w:val="32"/>
        </w:rPr>
      </w:pPr>
      <w:r>
        <w:rPr>
          <w:rFonts w:ascii="仿宋_GB2312" w:eastAsia="仿宋_GB2312" w:hint="eastAsia"/>
          <w:sz w:val="32"/>
          <w:szCs w:val="32"/>
        </w:rPr>
        <w:t>2014年公务接待费主要用于执行公务、开展业务活动开支的交通费、住宿费、用餐费等。其中：国内公务接待42批次，420人，共计支出5.26万元，具体开支内容包括：工作餐费。</w:t>
      </w:r>
    </w:p>
    <w:p w:rsidR="00451E15" w:rsidRDefault="008D53BC">
      <w:pPr>
        <w:spacing w:line="580" w:lineRule="exact"/>
        <w:ind w:firstLineChars="200" w:firstLine="640"/>
        <w:rPr>
          <w:rFonts w:ascii="仿宋_GB2312" w:eastAsia="仿宋_GB2312"/>
          <w:sz w:val="32"/>
          <w:szCs w:val="32"/>
        </w:rPr>
      </w:pPr>
      <w:r>
        <w:rPr>
          <w:rFonts w:ascii="仿宋_GB2312" w:eastAsia="仿宋_GB2312" w:hint="eastAsia"/>
          <w:sz w:val="32"/>
          <w:szCs w:val="32"/>
        </w:rPr>
        <w:t>（三）公务用车购置及运行维护费</w:t>
      </w:r>
    </w:p>
    <w:p w:rsidR="00451E15" w:rsidRDefault="008D53BC">
      <w:pPr>
        <w:spacing w:line="620" w:lineRule="exact"/>
        <w:ind w:firstLine="640"/>
        <w:rPr>
          <w:rFonts w:ascii="仿宋_GB2312" w:eastAsia="仿宋_GB2312"/>
          <w:sz w:val="32"/>
          <w:szCs w:val="32"/>
        </w:rPr>
      </w:pPr>
      <w:r>
        <w:rPr>
          <w:rFonts w:ascii="仿宋_GB2312" w:eastAsia="仿宋_GB2312"/>
          <w:sz w:val="32"/>
          <w:szCs w:val="32"/>
        </w:rPr>
        <w:t>2014</w:t>
      </w:r>
      <w:r>
        <w:rPr>
          <w:rFonts w:ascii="仿宋_GB2312" w:eastAsia="仿宋_GB2312" w:hint="eastAsia"/>
          <w:sz w:val="32"/>
          <w:szCs w:val="32"/>
        </w:rPr>
        <w:t>年公务用车购置及运行维护费29.9万元,较2013年决算数下降45.42%，主要原因是加强公务用车管理，严格执行派车制度，厉行勤俭节约。</w:t>
      </w:r>
    </w:p>
    <w:p w:rsidR="00451E15" w:rsidRDefault="008D53BC">
      <w:pPr>
        <w:spacing w:line="620" w:lineRule="exact"/>
        <w:ind w:firstLine="640"/>
        <w:rPr>
          <w:rFonts w:ascii="仿宋_GB2312" w:eastAsia="仿宋_GB2312"/>
          <w:sz w:val="32"/>
          <w:szCs w:val="32"/>
        </w:rPr>
      </w:pPr>
      <w:r>
        <w:rPr>
          <w:rFonts w:ascii="仿宋_GB2312" w:eastAsia="仿宋_GB2312"/>
          <w:sz w:val="32"/>
          <w:szCs w:val="32"/>
        </w:rPr>
        <w:t>2014</w:t>
      </w:r>
      <w:r>
        <w:rPr>
          <w:rFonts w:ascii="仿宋_GB2312" w:eastAsia="仿宋_GB2312" w:hint="eastAsia"/>
          <w:sz w:val="32"/>
          <w:szCs w:val="32"/>
        </w:rPr>
        <w:t>年无新购置公务用车。</w:t>
      </w:r>
    </w:p>
    <w:p w:rsidR="00451E15" w:rsidRDefault="008D53BC">
      <w:pPr>
        <w:spacing w:line="620" w:lineRule="exact"/>
        <w:ind w:firstLine="640"/>
        <w:rPr>
          <w:rFonts w:ascii="仿宋_GB2312" w:eastAsia="仿宋_GB2312"/>
          <w:sz w:val="32"/>
          <w:szCs w:val="32"/>
        </w:rPr>
      </w:pPr>
      <w:r>
        <w:rPr>
          <w:rFonts w:ascii="仿宋_GB2312" w:eastAsia="仿宋_GB2312" w:hint="eastAsia"/>
          <w:sz w:val="32"/>
          <w:szCs w:val="32"/>
        </w:rPr>
        <w:t>2014年车辆运行维护费支出29.9万元，用于商贸流通</w:t>
      </w:r>
      <w:r>
        <w:rPr>
          <w:rFonts w:ascii="仿宋_GB2312" w:eastAsia="仿宋_GB2312" w:hint="eastAsia"/>
          <w:sz w:val="32"/>
          <w:szCs w:val="32"/>
        </w:rPr>
        <w:lastRenderedPageBreak/>
        <w:t>工作调研、检查；粮食领域工作、服务业物流工作、电子商务进农村等工作所需的公务用车燃料费、维修费、过路过桥费、保险费支出。</w:t>
      </w:r>
    </w:p>
    <w:p w:rsidR="00451E15" w:rsidRDefault="00451E15">
      <w:pPr>
        <w:spacing w:line="580" w:lineRule="exact"/>
        <w:ind w:firstLineChars="200" w:firstLine="640"/>
        <w:rPr>
          <w:rFonts w:ascii="仿宋_GB2312" w:eastAsia="仿宋_GB2312"/>
          <w:sz w:val="32"/>
          <w:szCs w:val="32"/>
        </w:rPr>
      </w:pPr>
    </w:p>
    <w:p w:rsidR="00451E15" w:rsidRDefault="008D53BC">
      <w:pPr>
        <w:ind w:firstLineChars="200" w:firstLine="640"/>
        <w:rPr>
          <w:rFonts w:ascii="仿宋" w:eastAsia="仿宋" w:hAnsi="仿宋" w:cs="仿宋"/>
          <w:sz w:val="32"/>
          <w:szCs w:val="32"/>
        </w:rPr>
      </w:pPr>
      <w:r>
        <w:rPr>
          <w:rFonts w:ascii="仿宋" w:eastAsia="仿宋" w:hAnsi="仿宋" w:cs="仿宋" w:hint="eastAsia"/>
          <w:sz w:val="32"/>
          <w:szCs w:val="32"/>
        </w:rPr>
        <w:t>附表1.</w:t>
      </w:r>
      <w:r>
        <w:rPr>
          <w:rFonts w:ascii="仿宋_GB2312" w:eastAsia="仿宋_GB2312" w:hint="eastAsia"/>
          <w:sz w:val="32"/>
          <w:szCs w:val="32"/>
        </w:rPr>
        <w:t>攀枝花市商务和粮食局</w:t>
      </w:r>
      <w:r>
        <w:rPr>
          <w:rFonts w:ascii="仿宋" w:eastAsia="仿宋" w:hAnsi="仿宋" w:cs="仿宋" w:hint="eastAsia"/>
          <w:sz w:val="32"/>
          <w:szCs w:val="32"/>
        </w:rPr>
        <w:t>2014年收支决算总表</w:t>
      </w:r>
    </w:p>
    <w:p w:rsidR="00451E15" w:rsidRDefault="008D53BC">
      <w:pPr>
        <w:rPr>
          <w:rFonts w:ascii="仿宋" w:eastAsia="仿宋" w:hAnsi="仿宋" w:cs="仿宋"/>
          <w:sz w:val="32"/>
          <w:szCs w:val="32"/>
        </w:rPr>
      </w:pPr>
      <w:r>
        <w:rPr>
          <w:rFonts w:ascii="仿宋" w:eastAsia="仿宋" w:hAnsi="仿宋" w:cs="仿宋" w:hint="eastAsia"/>
          <w:sz w:val="32"/>
          <w:szCs w:val="32"/>
        </w:rPr>
        <w:t xml:space="preserve">    附表2.</w:t>
      </w:r>
      <w:r>
        <w:rPr>
          <w:rFonts w:ascii="仿宋_GB2312" w:eastAsia="仿宋_GB2312" w:hint="eastAsia"/>
          <w:sz w:val="32"/>
          <w:szCs w:val="32"/>
        </w:rPr>
        <w:t>攀枝花市商务和粮食局</w:t>
      </w:r>
      <w:r>
        <w:rPr>
          <w:rFonts w:ascii="仿宋" w:eastAsia="仿宋" w:hAnsi="仿宋" w:cs="仿宋" w:hint="eastAsia"/>
          <w:sz w:val="32"/>
          <w:szCs w:val="32"/>
        </w:rPr>
        <w:t>2014年财政拨款支出决算表</w:t>
      </w:r>
    </w:p>
    <w:p w:rsidR="00451E15" w:rsidRDefault="008D53BC">
      <w:pPr>
        <w:ind w:firstLine="645"/>
        <w:rPr>
          <w:rFonts w:ascii="仿宋" w:eastAsia="仿宋" w:hAnsi="仿宋" w:cs="仿宋"/>
          <w:sz w:val="32"/>
          <w:szCs w:val="32"/>
        </w:rPr>
      </w:pPr>
      <w:r>
        <w:rPr>
          <w:rFonts w:ascii="仿宋" w:eastAsia="仿宋" w:hAnsi="仿宋" w:cs="仿宋" w:hint="eastAsia"/>
          <w:sz w:val="32"/>
          <w:szCs w:val="32"/>
        </w:rPr>
        <w:t>附表2-1.</w:t>
      </w:r>
      <w:r>
        <w:rPr>
          <w:rFonts w:ascii="仿宋_GB2312" w:eastAsia="仿宋_GB2312" w:hint="eastAsia"/>
          <w:sz w:val="32"/>
          <w:szCs w:val="32"/>
        </w:rPr>
        <w:t>攀枝花市商务和粮食局</w:t>
      </w:r>
      <w:r>
        <w:rPr>
          <w:rFonts w:ascii="仿宋" w:eastAsia="仿宋" w:hAnsi="仿宋" w:cs="仿宋" w:hint="eastAsia"/>
          <w:sz w:val="32"/>
          <w:szCs w:val="32"/>
        </w:rPr>
        <w:t>2014年人员支出财政拨款决算明细表</w:t>
      </w:r>
    </w:p>
    <w:p w:rsidR="00451E15" w:rsidRDefault="008D53BC">
      <w:pPr>
        <w:ind w:firstLine="645"/>
        <w:rPr>
          <w:rFonts w:ascii="仿宋" w:eastAsia="仿宋" w:hAnsi="仿宋" w:cs="仿宋"/>
          <w:sz w:val="32"/>
          <w:szCs w:val="32"/>
        </w:rPr>
      </w:pPr>
      <w:r>
        <w:rPr>
          <w:rFonts w:ascii="仿宋" w:eastAsia="仿宋" w:hAnsi="仿宋" w:cs="仿宋" w:hint="eastAsia"/>
          <w:sz w:val="32"/>
          <w:szCs w:val="32"/>
        </w:rPr>
        <w:t>附表2-2.</w:t>
      </w:r>
      <w:r>
        <w:rPr>
          <w:rFonts w:ascii="仿宋_GB2312" w:eastAsia="仿宋_GB2312" w:hint="eastAsia"/>
          <w:sz w:val="32"/>
          <w:szCs w:val="32"/>
        </w:rPr>
        <w:t>攀枝花市商务和粮食局</w:t>
      </w:r>
      <w:r>
        <w:rPr>
          <w:rFonts w:ascii="仿宋" w:eastAsia="仿宋" w:hAnsi="仿宋" w:cs="仿宋" w:hint="eastAsia"/>
          <w:sz w:val="32"/>
          <w:szCs w:val="32"/>
        </w:rPr>
        <w:t>2014年日常公用支出财政拨款决算明细表</w:t>
      </w:r>
    </w:p>
    <w:p w:rsidR="00451E15" w:rsidRDefault="008D53BC">
      <w:pPr>
        <w:rPr>
          <w:rFonts w:ascii="仿宋" w:eastAsia="仿宋" w:hAnsi="仿宋" w:cs="仿宋"/>
          <w:sz w:val="32"/>
          <w:szCs w:val="32"/>
        </w:rPr>
      </w:pPr>
      <w:r>
        <w:rPr>
          <w:rFonts w:ascii="仿宋" w:eastAsia="仿宋" w:hAnsi="仿宋" w:cs="仿宋" w:hint="eastAsia"/>
          <w:sz w:val="32"/>
          <w:szCs w:val="32"/>
        </w:rPr>
        <w:t xml:space="preserve">    附表2-3.</w:t>
      </w:r>
      <w:r>
        <w:rPr>
          <w:rFonts w:ascii="仿宋_GB2312" w:eastAsia="仿宋_GB2312" w:hint="eastAsia"/>
          <w:sz w:val="32"/>
          <w:szCs w:val="32"/>
        </w:rPr>
        <w:t>攀枝花市商务和粮食局</w:t>
      </w:r>
      <w:r>
        <w:rPr>
          <w:rFonts w:ascii="仿宋" w:eastAsia="仿宋" w:hAnsi="仿宋" w:cs="仿宋" w:hint="eastAsia"/>
          <w:sz w:val="32"/>
          <w:szCs w:val="32"/>
        </w:rPr>
        <w:t>2014年对个人和家庭的补助支出财政拨款决算明细表</w:t>
      </w:r>
    </w:p>
    <w:p w:rsidR="00451E15" w:rsidRDefault="008D53BC">
      <w:pPr>
        <w:ind w:firstLineChars="50" w:firstLine="160"/>
        <w:rPr>
          <w:rFonts w:ascii="仿宋" w:eastAsia="仿宋" w:hAnsi="仿宋" w:cs="仿宋"/>
          <w:sz w:val="32"/>
          <w:szCs w:val="32"/>
        </w:rPr>
      </w:pPr>
      <w:r>
        <w:rPr>
          <w:rFonts w:ascii="仿宋" w:eastAsia="仿宋" w:hAnsi="仿宋" w:cs="仿宋" w:hint="eastAsia"/>
          <w:sz w:val="32"/>
          <w:szCs w:val="32"/>
        </w:rPr>
        <w:t xml:space="preserve">   附表3.</w:t>
      </w:r>
      <w:r>
        <w:rPr>
          <w:rFonts w:ascii="仿宋_GB2312" w:eastAsia="仿宋_GB2312" w:hint="eastAsia"/>
          <w:sz w:val="32"/>
          <w:szCs w:val="32"/>
        </w:rPr>
        <w:t>攀枝花市商务和粮食局</w:t>
      </w:r>
      <w:r>
        <w:rPr>
          <w:rFonts w:ascii="仿宋" w:eastAsia="仿宋" w:hAnsi="仿宋" w:cs="仿宋" w:hint="eastAsia"/>
          <w:sz w:val="32"/>
          <w:szCs w:val="32"/>
        </w:rPr>
        <w:t>2014年“三公”经费财政拨款支出决算表</w:t>
      </w:r>
    </w:p>
    <w:p w:rsidR="00451E15" w:rsidRDefault="00451E15">
      <w:pPr>
        <w:spacing w:line="580" w:lineRule="exact"/>
        <w:ind w:firstLineChars="200" w:firstLine="420"/>
      </w:pPr>
    </w:p>
    <w:sectPr w:rsidR="00451E15">
      <w:headerReference w:type="default" r:id="rId7"/>
      <w:footerReference w:type="even"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2ACC" w:rsidRDefault="00172ACC">
      <w:r>
        <w:separator/>
      </w:r>
    </w:p>
  </w:endnote>
  <w:endnote w:type="continuationSeparator" w:id="0">
    <w:p w:rsidR="00172ACC" w:rsidRDefault="00172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1E15" w:rsidRDefault="008D53BC">
    <w:pPr>
      <w:pStyle w:val="a4"/>
      <w:framePr w:wrap="around" w:vAnchor="text" w:hAnchor="margin" w:xAlign="center" w:y="1"/>
      <w:rPr>
        <w:rStyle w:val="a3"/>
      </w:rPr>
    </w:pPr>
    <w:r>
      <w:fldChar w:fldCharType="begin"/>
    </w:r>
    <w:r>
      <w:rPr>
        <w:rStyle w:val="a3"/>
      </w:rPr>
      <w:instrText xml:space="preserve">PAGE  </w:instrText>
    </w:r>
    <w:r>
      <w:fldChar w:fldCharType="end"/>
    </w:r>
  </w:p>
  <w:p w:rsidR="00451E15" w:rsidRDefault="00451E1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1E15" w:rsidRDefault="008D53BC">
    <w:pPr>
      <w:pStyle w:val="a4"/>
      <w:framePr w:wrap="around" w:vAnchor="text" w:hAnchor="margin" w:xAlign="center" w:y="1"/>
      <w:rPr>
        <w:rStyle w:val="a3"/>
      </w:rPr>
    </w:pPr>
    <w:r>
      <w:fldChar w:fldCharType="begin"/>
    </w:r>
    <w:r>
      <w:rPr>
        <w:rStyle w:val="a3"/>
      </w:rPr>
      <w:instrText xml:space="preserve">PAGE  </w:instrText>
    </w:r>
    <w:r>
      <w:fldChar w:fldCharType="separate"/>
    </w:r>
    <w:r w:rsidR="00314778">
      <w:rPr>
        <w:rStyle w:val="a3"/>
        <w:noProof/>
      </w:rPr>
      <w:t>6</w:t>
    </w:r>
    <w:r>
      <w:fldChar w:fldCharType="end"/>
    </w:r>
  </w:p>
  <w:p w:rsidR="00451E15" w:rsidRDefault="00451E1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2ACC" w:rsidRDefault="00172ACC">
      <w:r>
        <w:separator/>
      </w:r>
    </w:p>
  </w:footnote>
  <w:footnote w:type="continuationSeparator" w:id="0">
    <w:p w:rsidR="00172ACC" w:rsidRDefault="00172A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1E15" w:rsidRDefault="00451E15">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08A5DC"/>
    <w:multiLevelType w:val="singleLevel"/>
    <w:tmpl w:val="5608A5DC"/>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F67"/>
    <w:rsid w:val="000124C5"/>
    <w:rsid w:val="000135A4"/>
    <w:rsid w:val="00023E26"/>
    <w:rsid w:val="0004524D"/>
    <w:rsid w:val="0007091A"/>
    <w:rsid w:val="00080A18"/>
    <w:rsid w:val="000827E1"/>
    <w:rsid w:val="000C0F36"/>
    <w:rsid w:val="000E48A7"/>
    <w:rsid w:val="000F4113"/>
    <w:rsid w:val="00101C0E"/>
    <w:rsid w:val="00105F34"/>
    <w:rsid w:val="00111958"/>
    <w:rsid w:val="00112E07"/>
    <w:rsid w:val="00126985"/>
    <w:rsid w:val="001545E6"/>
    <w:rsid w:val="00161EA8"/>
    <w:rsid w:val="00172ACC"/>
    <w:rsid w:val="00186D72"/>
    <w:rsid w:val="001B32D1"/>
    <w:rsid w:val="001D0AB8"/>
    <w:rsid w:val="001D4CF6"/>
    <w:rsid w:val="001E5173"/>
    <w:rsid w:val="001F5F72"/>
    <w:rsid w:val="00222BF7"/>
    <w:rsid w:val="00234985"/>
    <w:rsid w:val="00265BDA"/>
    <w:rsid w:val="00267FE4"/>
    <w:rsid w:val="00270833"/>
    <w:rsid w:val="00271BB8"/>
    <w:rsid w:val="002749D0"/>
    <w:rsid w:val="00296477"/>
    <w:rsid w:val="002B7BE1"/>
    <w:rsid w:val="002C4476"/>
    <w:rsid w:val="002C5173"/>
    <w:rsid w:val="002E3EAD"/>
    <w:rsid w:val="003043FC"/>
    <w:rsid w:val="00314778"/>
    <w:rsid w:val="00351A86"/>
    <w:rsid w:val="003933F2"/>
    <w:rsid w:val="003B0331"/>
    <w:rsid w:val="003B4760"/>
    <w:rsid w:val="003C27ED"/>
    <w:rsid w:val="0040262C"/>
    <w:rsid w:val="0040590F"/>
    <w:rsid w:val="00451E15"/>
    <w:rsid w:val="00452194"/>
    <w:rsid w:val="00484975"/>
    <w:rsid w:val="00494B84"/>
    <w:rsid w:val="004B1189"/>
    <w:rsid w:val="004D66BF"/>
    <w:rsid w:val="004D6FF9"/>
    <w:rsid w:val="004F3447"/>
    <w:rsid w:val="0050471A"/>
    <w:rsid w:val="00531F79"/>
    <w:rsid w:val="00544BF6"/>
    <w:rsid w:val="00556496"/>
    <w:rsid w:val="0056221C"/>
    <w:rsid w:val="00581F24"/>
    <w:rsid w:val="00595D37"/>
    <w:rsid w:val="005B32DE"/>
    <w:rsid w:val="005D13D4"/>
    <w:rsid w:val="005E2CD2"/>
    <w:rsid w:val="00607F27"/>
    <w:rsid w:val="00610004"/>
    <w:rsid w:val="00630DF3"/>
    <w:rsid w:val="00657DE8"/>
    <w:rsid w:val="006708BC"/>
    <w:rsid w:val="006B761F"/>
    <w:rsid w:val="006C772A"/>
    <w:rsid w:val="006D120D"/>
    <w:rsid w:val="006F2552"/>
    <w:rsid w:val="00725173"/>
    <w:rsid w:val="00730720"/>
    <w:rsid w:val="0073513A"/>
    <w:rsid w:val="00772CAE"/>
    <w:rsid w:val="00775575"/>
    <w:rsid w:val="00775854"/>
    <w:rsid w:val="00780CE1"/>
    <w:rsid w:val="007929EE"/>
    <w:rsid w:val="007B3751"/>
    <w:rsid w:val="007B3A7F"/>
    <w:rsid w:val="007B570A"/>
    <w:rsid w:val="007E0C63"/>
    <w:rsid w:val="007E3AFC"/>
    <w:rsid w:val="007F4986"/>
    <w:rsid w:val="00854822"/>
    <w:rsid w:val="00861A42"/>
    <w:rsid w:val="008916CD"/>
    <w:rsid w:val="008948C0"/>
    <w:rsid w:val="008B654B"/>
    <w:rsid w:val="008C7942"/>
    <w:rsid w:val="008D453C"/>
    <w:rsid w:val="008D53BC"/>
    <w:rsid w:val="008E2AD9"/>
    <w:rsid w:val="009042F7"/>
    <w:rsid w:val="0090706C"/>
    <w:rsid w:val="0091472C"/>
    <w:rsid w:val="0092036A"/>
    <w:rsid w:val="0092645A"/>
    <w:rsid w:val="00934EF0"/>
    <w:rsid w:val="00942FB0"/>
    <w:rsid w:val="0096069F"/>
    <w:rsid w:val="009649DE"/>
    <w:rsid w:val="00992912"/>
    <w:rsid w:val="00992CA7"/>
    <w:rsid w:val="0099743C"/>
    <w:rsid w:val="009C4378"/>
    <w:rsid w:val="009D400C"/>
    <w:rsid w:val="009F79F0"/>
    <w:rsid w:val="00AC0CB8"/>
    <w:rsid w:val="00AD324B"/>
    <w:rsid w:val="00AD7225"/>
    <w:rsid w:val="00AE5617"/>
    <w:rsid w:val="00B01DA1"/>
    <w:rsid w:val="00B070F9"/>
    <w:rsid w:val="00B1005B"/>
    <w:rsid w:val="00B259B0"/>
    <w:rsid w:val="00B41B53"/>
    <w:rsid w:val="00B813AE"/>
    <w:rsid w:val="00BA731B"/>
    <w:rsid w:val="00BB4C27"/>
    <w:rsid w:val="00BC7D4B"/>
    <w:rsid w:val="00BD4171"/>
    <w:rsid w:val="00BE510C"/>
    <w:rsid w:val="00BF58DA"/>
    <w:rsid w:val="00C12ED3"/>
    <w:rsid w:val="00C268EA"/>
    <w:rsid w:val="00C57287"/>
    <w:rsid w:val="00C81780"/>
    <w:rsid w:val="00C91825"/>
    <w:rsid w:val="00CB5D8B"/>
    <w:rsid w:val="00CB6D4E"/>
    <w:rsid w:val="00CC187B"/>
    <w:rsid w:val="00CD1211"/>
    <w:rsid w:val="00CD1BBE"/>
    <w:rsid w:val="00CF5F04"/>
    <w:rsid w:val="00D0135C"/>
    <w:rsid w:val="00D05D05"/>
    <w:rsid w:val="00D17BB9"/>
    <w:rsid w:val="00D454BE"/>
    <w:rsid w:val="00D66AA1"/>
    <w:rsid w:val="00D76D80"/>
    <w:rsid w:val="00D8269E"/>
    <w:rsid w:val="00D834F2"/>
    <w:rsid w:val="00DB09E1"/>
    <w:rsid w:val="00DC2CAE"/>
    <w:rsid w:val="00DC3E12"/>
    <w:rsid w:val="00DE72E7"/>
    <w:rsid w:val="00DF420F"/>
    <w:rsid w:val="00E22589"/>
    <w:rsid w:val="00E33F67"/>
    <w:rsid w:val="00E5142F"/>
    <w:rsid w:val="00E75A11"/>
    <w:rsid w:val="00E76892"/>
    <w:rsid w:val="00E82616"/>
    <w:rsid w:val="00E83944"/>
    <w:rsid w:val="00E91001"/>
    <w:rsid w:val="00EA7B2A"/>
    <w:rsid w:val="00EB3522"/>
    <w:rsid w:val="00EC1A32"/>
    <w:rsid w:val="00ED40C2"/>
    <w:rsid w:val="00EE413B"/>
    <w:rsid w:val="00EE790A"/>
    <w:rsid w:val="00F17BFC"/>
    <w:rsid w:val="00F25AD0"/>
    <w:rsid w:val="00F429A3"/>
    <w:rsid w:val="00F42BB3"/>
    <w:rsid w:val="00F4354E"/>
    <w:rsid w:val="00F44144"/>
    <w:rsid w:val="00F45FC5"/>
    <w:rsid w:val="00F66F88"/>
    <w:rsid w:val="00F8776A"/>
    <w:rsid w:val="00FB7DF7"/>
    <w:rsid w:val="00FC2E52"/>
    <w:rsid w:val="00FF6433"/>
    <w:rsid w:val="0E20686E"/>
    <w:rsid w:val="119E7051"/>
    <w:rsid w:val="1A9212A7"/>
    <w:rsid w:val="24DB7FCE"/>
    <w:rsid w:val="4BCB5F67"/>
    <w:rsid w:val="4CDB5DA5"/>
    <w:rsid w:val="56A05F61"/>
    <w:rsid w:val="596C67FF"/>
    <w:rsid w:val="75011284"/>
    <w:rsid w:val="7E8B1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5:chartTrackingRefBased/>
  <w15:docId w15:val="{BA31B76D-19CE-4A00-8B74-CB64DE3FD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paragraph" w:styleId="a4">
    <w:name w:val="footer"/>
    <w:basedOn w:val="a"/>
    <w:pPr>
      <w:tabs>
        <w:tab w:val="center" w:pos="4153"/>
        <w:tab w:val="right" w:pos="8306"/>
      </w:tabs>
      <w:snapToGrid w:val="0"/>
      <w:jc w:val="left"/>
    </w:pPr>
    <w:rPr>
      <w:sz w:val="18"/>
      <w:szCs w:val="18"/>
    </w:rPr>
  </w:style>
  <w:style w:type="paragraph" w:styleId="a5">
    <w:name w:val="Balloon Text"/>
    <w:basedOn w:val="a"/>
    <w:semiHidden/>
    <w:rPr>
      <w:sz w:val="18"/>
      <w:szCs w:val="18"/>
    </w:rPr>
  </w:style>
  <w:style w:type="paragraph" w:styleId="a6">
    <w:name w:val="Body Text"/>
    <w:basedOn w:val="a"/>
    <w:pPr>
      <w:spacing w:beforeLines="30" w:before="93"/>
    </w:pPr>
    <w:rPr>
      <w:rFonts w:ascii="仿宋_GB2312" w:eastAsia="仿宋_GB2312"/>
      <w:sz w:val="30"/>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433</Words>
  <Characters>2472</Characters>
  <Application>Microsoft Office Word</Application>
  <DocSecurity>0</DocSecurity>
  <PresentationFormat/>
  <Lines>20</Lines>
  <Paragraphs>5</Paragraphs>
  <Slides>0</Slides>
  <Notes>0</Notes>
  <HiddenSlides>0</HiddenSlides>
  <MMClips>0</MMClips>
  <ScaleCrop>false</ScaleCrop>
  <Manager/>
  <Company>微软中国</Company>
  <LinksUpToDate>false</LinksUpToDate>
  <CharactersWithSpaces>2900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四川省财政厅2011年部门预算编制说明</dc:title>
  <dc:subject/>
  <dc:creator>赵树子</dc:creator>
  <cp:keywords/>
  <dc:description/>
  <cp:lastModifiedBy>邓丽君</cp:lastModifiedBy>
  <cp:revision>3</cp:revision>
  <cp:lastPrinted>2015-07-22T01:09:00Z</cp:lastPrinted>
  <dcterms:created xsi:type="dcterms:W3CDTF">2023-06-08T08:31:00Z</dcterms:created>
  <dcterms:modified xsi:type="dcterms:W3CDTF">2023-06-08T08:32:00Z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2052-9.1.0.5132</vt:lpwstr>
  </property>
</Properties>
</file>