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571F9" w:rsidRDefault="00A571F9">
      <w:pPr>
        <w:spacing w:line="600" w:lineRule="exact"/>
        <w:jc w:val="center"/>
        <w:outlineLvl w:val="0"/>
        <w:rPr>
          <w:rFonts w:ascii="方正小标宋简体" w:eastAsia="方正小标宋简体" w:hAnsi="宋体"/>
          <w:color w:val="000000"/>
          <w:sz w:val="72"/>
          <w:szCs w:val="72"/>
        </w:rPr>
      </w:pPr>
      <w:bookmarkStart w:id="0" w:name="_Toc15306267"/>
    </w:p>
    <w:p w:rsidR="00A571F9" w:rsidRDefault="00A571F9">
      <w:pPr>
        <w:spacing w:line="600" w:lineRule="exact"/>
        <w:jc w:val="center"/>
        <w:outlineLvl w:val="0"/>
        <w:rPr>
          <w:rFonts w:ascii="方正小标宋简体" w:eastAsia="方正小标宋简体" w:hAnsi="宋体"/>
          <w:color w:val="000000"/>
          <w:sz w:val="72"/>
          <w:szCs w:val="72"/>
        </w:rPr>
      </w:pPr>
    </w:p>
    <w:p w:rsidR="00A571F9" w:rsidRDefault="00A571F9">
      <w:pPr>
        <w:spacing w:line="600" w:lineRule="exact"/>
        <w:jc w:val="center"/>
        <w:outlineLvl w:val="0"/>
        <w:rPr>
          <w:rFonts w:ascii="方正小标宋简体" w:eastAsia="方正小标宋简体" w:hAnsi="宋体"/>
          <w:color w:val="000000"/>
          <w:sz w:val="72"/>
          <w:szCs w:val="72"/>
        </w:rPr>
      </w:pPr>
    </w:p>
    <w:p w:rsidR="00A571F9" w:rsidRDefault="00A571F9">
      <w:pPr>
        <w:spacing w:line="600" w:lineRule="exact"/>
        <w:jc w:val="center"/>
        <w:outlineLvl w:val="0"/>
        <w:rPr>
          <w:rFonts w:ascii="方正小标宋简体" w:eastAsia="方正小标宋简体" w:hAnsi="宋体"/>
          <w:color w:val="000000"/>
          <w:sz w:val="72"/>
          <w:szCs w:val="72"/>
        </w:rPr>
      </w:pPr>
    </w:p>
    <w:p w:rsidR="00A571F9" w:rsidRDefault="004911A9">
      <w:pPr>
        <w:adjustRightInd w:val="0"/>
        <w:snapToGrid w:val="0"/>
        <w:spacing w:line="360" w:lineRule="auto"/>
        <w:jc w:val="center"/>
        <w:outlineLvl w:val="0"/>
        <w:rPr>
          <w:rFonts w:ascii="方正小标宋简体" w:eastAsia="方正小标宋简体" w:hAnsi="宋体"/>
          <w:color w:val="000000"/>
          <w:sz w:val="72"/>
          <w:szCs w:val="72"/>
        </w:rPr>
      </w:pPr>
      <w:bookmarkStart w:id="1" w:name="_Toc15378441"/>
      <w:bookmarkStart w:id="2" w:name="_Toc15377193"/>
      <w:bookmarkStart w:id="3" w:name="_Toc15377425"/>
      <w:bookmarkStart w:id="4" w:name="_Toc15396475"/>
      <w:bookmarkStart w:id="5" w:name="_Toc15396597"/>
      <w:r>
        <w:rPr>
          <w:rFonts w:ascii="黑体" w:eastAsia="黑体" w:hAnsi="黑体"/>
          <w:color w:val="000000"/>
          <w:sz w:val="72"/>
          <w:szCs w:val="72"/>
        </w:rPr>
        <w:t>201</w:t>
      </w:r>
      <w:r>
        <w:rPr>
          <w:rFonts w:ascii="黑体" w:eastAsia="黑体" w:hAnsi="黑体" w:hint="eastAsia"/>
          <w:color w:val="000000"/>
          <w:sz w:val="72"/>
          <w:szCs w:val="72"/>
        </w:rPr>
        <w:t>8</w:t>
      </w:r>
      <w:r>
        <w:rPr>
          <w:rFonts w:ascii="方正小标宋简体" w:eastAsia="方正小标宋简体" w:hAnsi="宋体" w:hint="eastAsia"/>
          <w:color w:val="000000"/>
          <w:sz w:val="72"/>
          <w:szCs w:val="72"/>
        </w:rPr>
        <w:t>年度</w:t>
      </w:r>
      <w:bookmarkEnd w:id="1"/>
      <w:bookmarkEnd w:id="2"/>
      <w:bookmarkEnd w:id="3"/>
      <w:bookmarkEnd w:id="4"/>
      <w:bookmarkEnd w:id="5"/>
    </w:p>
    <w:p w:rsidR="00A571F9" w:rsidRDefault="004911A9">
      <w:pPr>
        <w:adjustRightInd w:val="0"/>
        <w:snapToGrid w:val="0"/>
        <w:spacing w:line="360" w:lineRule="auto"/>
        <w:jc w:val="center"/>
        <w:outlineLvl w:val="0"/>
        <w:rPr>
          <w:rFonts w:ascii="方正小标宋简体" w:eastAsia="方正小标宋简体" w:hAnsi="宋体"/>
          <w:color w:val="000000"/>
          <w:sz w:val="72"/>
          <w:szCs w:val="72"/>
        </w:rPr>
      </w:pPr>
      <w:bookmarkStart w:id="6" w:name="_Toc15377426"/>
      <w:bookmarkStart w:id="7" w:name="_Toc15378442"/>
      <w:bookmarkStart w:id="8" w:name="_Toc15377194"/>
      <w:bookmarkStart w:id="9" w:name="_Toc15396598"/>
      <w:bookmarkStart w:id="10" w:name="_Toc15396476"/>
      <w:r>
        <w:rPr>
          <w:rFonts w:ascii="方正小标宋简体" w:eastAsia="方正小标宋简体" w:hAnsi="宋体" w:hint="eastAsia"/>
          <w:color w:val="000000"/>
          <w:sz w:val="72"/>
          <w:szCs w:val="72"/>
        </w:rPr>
        <w:t>四川省</w:t>
      </w:r>
      <w:bookmarkStart w:id="11" w:name="_Toc15306268"/>
      <w:bookmarkEnd w:id="0"/>
      <w:r>
        <w:rPr>
          <w:rFonts w:ascii="方正小标宋简体" w:eastAsia="方正小标宋简体" w:hAnsi="宋体" w:hint="eastAsia"/>
          <w:color w:val="000000"/>
          <w:sz w:val="72"/>
          <w:szCs w:val="72"/>
        </w:rPr>
        <w:t>攀枝花市中级人民法院部门决算</w:t>
      </w:r>
      <w:bookmarkEnd w:id="6"/>
      <w:bookmarkEnd w:id="7"/>
      <w:bookmarkEnd w:id="8"/>
      <w:bookmarkEnd w:id="9"/>
      <w:bookmarkEnd w:id="10"/>
      <w:bookmarkEnd w:id="11"/>
    </w:p>
    <w:p w:rsidR="00A571F9" w:rsidRDefault="004911A9">
      <w:pPr>
        <w:widowControl/>
        <w:jc w:val="center"/>
        <w:rPr>
          <w:rFonts w:ascii="黑体" w:eastAsia="黑体" w:hAnsi="黑体"/>
          <w:color w:val="000000"/>
          <w:sz w:val="48"/>
          <w:szCs w:val="48"/>
        </w:rPr>
      </w:pPr>
      <w:r>
        <w:rPr>
          <w:rFonts w:ascii="方正小标宋简体" w:eastAsia="方正小标宋简体" w:hAnsi="宋体"/>
          <w:color w:val="000000"/>
          <w:sz w:val="36"/>
          <w:szCs w:val="36"/>
        </w:rPr>
        <w:br w:type="page"/>
      </w:r>
      <w:r>
        <w:rPr>
          <w:rFonts w:ascii="黑体" w:eastAsia="黑体" w:hAnsi="黑体" w:hint="eastAsia"/>
          <w:color w:val="000000"/>
          <w:sz w:val="48"/>
          <w:szCs w:val="48"/>
        </w:rPr>
        <w:lastRenderedPageBreak/>
        <w:t>目录</w:t>
      </w:r>
    </w:p>
    <w:p w:rsidR="00A571F9" w:rsidRDefault="00D92169">
      <w:pPr>
        <w:widowControl/>
        <w:jc w:val="center"/>
        <w:rPr>
          <w:rFonts w:ascii="黑体" w:eastAsia="黑体" w:hAnsi="黑体" w:cstheme="minorBidi"/>
          <w:sz w:val="28"/>
          <w:szCs w:val="28"/>
        </w:rPr>
      </w:pPr>
      <w:r>
        <w:rPr>
          <w:rFonts w:ascii="黑体" w:eastAsia="黑体" w:hAnsi="黑体"/>
          <w:color w:val="000000"/>
          <w:sz w:val="48"/>
          <w:szCs w:val="48"/>
        </w:rPr>
        <w:fldChar w:fldCharType="begin"/>
      </w:r>
      <w:r w:rsidR="004911A9">
        <w:rPr>
          <w:rFonts w:ascii="黑体" w:eastAsia="黑体" w:hAnsi="黑体"/>
          <w:color w:val="000000"/>
          <w:sz w:val="48"/>
          <w:szCs w:val="48"/>
        </w:rPr>
        <w:instrText xml:space="preserve"> TOC \o "1-2" \h \z \u </w:instrText>
      </w:r>
      <w:r>
        <w:rPr>
          <w:rFonts w:ascii="黑体" w:eastAsia="黑体" w:hAnsi="黑体"/>
          <w:color w:val="000000"/>
          <w:sz w:val="48"/>
          <w:szCs w:val="48"/>
        </w:rPr>
        <w:fldChar w:fldCharType="separate"/>
      </w:r>
    </w:p>
    <w:p w:rsidR="00A571F9" w:rsidRDefault="004911A9">
      <w:pPr>
        <w:pStyle w:val="10"/>
      </w:pPr>
      <w:r>
        <w:rPr>
          <w:rFonts w:hint="eastAsia"/>
        </w:rPr>
        <w:t>公开时间：2019年9月10日</w:t>
      </w:r>
    </w:p>
    <w:p w:rsidR="00A571F9" w:rsidRDefault="00A571F9"/>
    <w:p w:rsidR="00A571F9" w:rsidRDefault="007D5FFD">
      <w:pPr>
        <w:pStyle w:val="10"/>
        <w:rPr>
          <w:rFonts w:cstheme="minorBidi"/>
        </w:rPr>
      </w:pPr>
      <w:hyperlink w:anchor="_Toc15396599" w:history="1">
        <w:r w:rsidR="004911A9">
          <w:rPr>
            <w:rStyle w:val="a8"/>
            <w:rFonts w:hint="eastAsia"/>
          </w:rPr>
          <w:t>第一部分部门概况</w:t>
        </w:r>
        <w:r w:rsidR="004911A9">
          <w:tab/>
        </w:r>
        <w:r w:rsidR="004911A9">
          <w:rPr>
            <w:rFonts w:hint="eastAsia"/>
          </w:rPr>
          <w:t>4</w:t>
        </w:r>
      </w:hyperlink>
    </w:p>
    <w:p w:rsidR="00A571F9" w:rsidRDefault="007D5FFD">
      <w:pPr>
        <w:pStyle w:val="20"/>
        <w:rPr>
          <w:rFonts w:ascii="仿宋" w:eastAsia="仿宋" w:hAnsi="仿宋" w:cstheme="minorBidi"/>
          <w:sz w:val="28"/>
          <w:szCs w:val="28"/>
        </w:rPr>
      </w:pPr>
      <w:hyperlink w:anchor="_Toc15396600" w:history="1">
        <w:r w:rsidR="004911A9">
          <w:rPr>
            <w:rStyle w:val="a8"/>
            <w:rFonts w:ascii="仿宋" w:eastAsia="仿宋" w:hAnsi="仿宋" w:hint="eastAsia"/>
            <w:sz w:val="28"/>
            <w:szCs w:val="28"/>
          </w:rPr>
          <w:t>一、基本职能及主要工作</w:t>
        </w:r>
        <w:r w:rsidR="004911A9">
          <w:rPr>
            <w:rFonts w:ascii="仿宋" w:eastAsia="仿宋" w:hAnsi="仿宋"/>
            <w:sz w:val="28"/>
            <w:szCs w:val="28"/>
          </w:rPr>
          <w:tab/>
        </w:r>
        <w:r w:rsidR="004911A9">
          <w:rPr>
            <w:rFonts w:ascii="仿宋" w:eastAsia="仿宋" w:hAnsi="仿宋" w:hint="eastAsia"/>
            <w:sz w:val="28"/>
            <w:szCs w:val="28"/>
          </w:rPr>
          <w:t>4</w:t>
        </w:r>
      </w:hyperlink>
    </w:p>
    <w:p w:rsidR="00A571F9" w:rsidRDefault="007D5FFD">
      <w:pPr>
        <w:pStyle w:val="20"/>
        <w:rPr>
          <w:rFonts w:ascii="仿宋" w:eastAsia="仿宋" w:hAnsi="仿宋" w:cstheme="minorBidi"/>
          <w:sz w:val="28"/>
          <w:szCs w:val="28"/>
        </w:rPr>
      </w:pPr>
      <w:hyperlink w:anchor="_Toc15396601" w:history="1">
        <w:r w:rsidR="004911A9">
          <w:rPr>
            <w:rStyle w:val="a8"/>
            <w:rFonts w:ascii="仿宋" w:eastAsia="仿宋" w:hAnsi="仿宋" w:hint="eastAsia"/>
            <w:sz w:val="28"/>
            <w:szCs w:val="28"/>
          </w:rPr>
          <w:t>二、机构设置</w:t>
        </w:r>
        <w:r w:rsidR="004911A9">
          <w:rPr>
            <w:rFonts w:ascii="仿宋" w:eastAsia="仿宋" w:hAnsi="仿宋"/>
            <w:sz w:val="28"/>
            <w:szCs w:val="28"/>
          </w:rPr>
          <w:tab/>
        </w:r>
        <w:r w:rsidR="00D92169">
          <w:rPr>
            <w:rFonts w:ascii="仿宋" w:eastAsia="仿宋" w:hAnsi="仿宋"/>
            <w:sz w:val="28"/>
            <w:szCs w:val="28"/>
          </w:rPr>
          <w:fldChar w:fldCharType="begin"/>
        </w:r>
        <w:r w:rsidR="004911A9">
          <w:rPr>
            <w:rFonts w:ascii="仿宋" w:eastAsia="仿宋" w:hAnsi="仿宋"/>
            <w:sz w:val="28"/>
            <w:szCs w:val="28"/>
          </w:rPr>
          <w:instrText xml:space="preserve"> PAGEREF _Toc15396601 \h </w:instrText>
        </w:r>
        <w:r w:rsidR="00D92169">
          <w:rPr>
            <w:rFonts w:ascii="仿宋" w:eastAsia="仿宋" w:hAnsi="仿宋"/>
            <w:sz w:val="28"/>
            <w:szCs w:val="28"/>
          </w:rPr>
        </w:r>
        <w:r w:rsidR="00D92169">
          <w:rPr>
            <w:rFonts w:ascii="仿宋" w:eastAsia="仿宋" w:hAnsi="仿宋"/>
            <w:sz w:val="28"/>
            <w:szCs w:val="28"/>
          </w:rPr>
          <w:fldChar w:fldCharType="separate"/>
        </w:r>
        <w:r w:rsidR="004911A9">
          <w:rPr>
            <w:rFonts w:ascii="仿宋" w:eastAsia="仿宋" w:hAnsi="仿宋"/>
            <w:sz w:val="28"/>
            <w:szCs w:val="28"/>
          </w:rPr>
          <w:t>5</w:t>
        </w:r>
        <w:r w:rsidR="00D92169">
          <w:rPr>
            <w:rFonts w:ascii="仿宋" w:eastAsia="仿宋" w:hAnsi="仿宋"/>
            <w:sz w:val="28"/>
            <w:szCs w:val="28"/>
          </w:rPr>
          <w:fldChar w:fldCharType="end"/>
        </w:r>
      </w:hyperlink>
    </w:p>
    <w:p w:rsidR="00A571F9" w:rsidRDefault="007D5FFD">
      <w:pPr>
        <w:pStyle w:val="10"/>
      </w:pPr>
      <w:hyperlink w:anchor="_Toc15396602" w:history="1">
        <w:r w:rsidR="004911A9">
          <w:rPr>
            <w:rStyle w:val="a8"/>
            <w:rFonts w:hint="eastAsia"/>
          </w:rPr>
          <w:t>第二部分</w:t>
        </w:r>
        <w:r w:rsidR="004911A9">
          <w:rPr>
            <w:rStyle w:val="a8"/>
          </w:rPr>
          <w:t xml:space="preserve"> 2018</w:t>
        </w:r>
        <w:r w:rsidR="004911A9">
          <w:rPr>
            <w:rStyle w:val="a8"/>
            <w:rFonts w:hint="eastAsia"/>
          </w:rPr>
          <w:t>年度部门决算情况说明</w:t>
        </w:r>
        <w:r w:rsidR="004911A9">
          <w:tab/>
        </w:r>
        <w:r w:rsidR="00D92169">
          <w:fldChar w:fldCharType="begin"/>
        </w:r>
        <w:r w:rsidR="004911A9">
          <w:instrText xml:space="preserve"> PAGEREF _Toc15396602 \h </w:instrText>
        </w:r>
        <w:r w:rsidR="00D92169">
          <w:fldChar w:fldCharType="separate"/>
        </w:r>
        <w:r w:rsidR="004911A9">
          <w:t>6</w:t>
        </w:r>
        <w:r w:rsidR="00D92169">
          <w:fldChar w:fldCharType="end"/>
        </w:r>
      </w:hyperlink>
    </w:p>
    <w:p w:rsidR="00A571F9" w:rsidRDefault="007D5FFD">
      <w:pPr>
        <w:pStyle w:val="20"/>
        <w:rPr>
          <w:rFonts w:ascii="仿宋" w:eastAsia="仿宋" w:hAnsi="仿宋" w:cstheme="minorBidi"/>
          <w:sz w:val="28"/>
          <w:szCs w:val="28"/>
        </w:rPr>
      </w:pPr>
      <w:hyperlink w:anchor="_Toc15396603" w:history="1">
        <w:r w:rsidR="004911A9">
          <w:rPr>
            <w:rStyle w:val="a8"/>
            <w:rFonts w:ascii="仿宋" w:eastAsia="仿宋" w:hAnsi="仿宋" w:cstheme="majorBidi" w:hint="eastAsia"/>
            <w:bCs/>
            <w:sz w:val="28"/>
            <w:szCs w:val="28"/>
          </w:rPr>
          <w:t>一、</w:t>
        </w:r>
        <w:r w:rsidR="004911A9">
          <w:rPr>
            <w:rStyle w:val="a8"/>
            <w:rFonts w:ascii="仿宋" w:eastAsia="仿宋" w:hAnsi="仿宋" w:hint="eastAsia"/>
            <w:sz w:val="28"/>
            <w:szCs w:val="28"/>
          </w:rPr>
          <w:t>收</w:t>
        </w:r>
        <w:r w:rsidR="004911A9">
          <w:rPr>
            <w:rStyle w:val="a8"/>
            <w:rFonts w:ascii="仿宋" w:eastAsia="仿宋" w:hAnsi="仿宋" w:cstheme="majorBidi" w:hint="eastAsia"/>
            <w:bCs/>
            <w:sz w:val="28"/>
            <w:szCs w:val="28"/>
          </w:rPr>
          <w:t>入支出决算总体情况说明</w:t>
        </w:r>
        <w:r w:rsidR="004911A9">
          <w:rPr>
            <w:rFonts w:ascii="仿宋" w:eastAsia="仿宋" w:hAnsi="仿宋"/>
            <w:sz w:val="28"/>
            <w:szCs w:val="28"/>
          </w:rPr>
          <w:tab/>
        </w:r>
        <w:r w:rsidR="00D92169">
          <w:rPr>
            <w:rFonts w:ascii="仿宋" w:eastAsia="仿宋" w:hAnsi="仿宋"/>
            <w:sz w:val="28"/>
            <w:szCs w:val="28"/>
          </w:rPr>
          <w:fldChar w:fldCharType="begin"/>
        </w:r>
        <w:r w:rsidR="004911A9">
          <w:rPr>
            <w:rFonts w:ascii="仿宋" w:eastAsia="仿宋" w:hAnsi="仿宋"/>
            <w:sz w:val="28"/>
            <w:szCs w:val="28"/>
          </w:rPr>
          <w:instrText xml:space="preserve"> PAGEREF _Toc15396603 \h </w:instrText>
        </w:r>
        <w:r w:rsidR="00D92169">
          <w:rPr>
            <w:rFonts w:ascii="仿宋" w:eastAsia="仿宋" w:hAnsi="仿宋"/>
            <w:sz w:val="28"/>
            <w:szCs w:val="28"/>
          </w:rPr>
        </w:r>
        <w:r w:rsidR="00D92169">
          <w:rPr>
            <w:rFonts w:ascii="仿宋" w:eastAsia="仿宋" w:hAnsi="仿宋"/>
            <w:sz w:val="28"/>
            <w:szCs w:val="28"/>
          </w:rPr>
          <w:fldChar w:fldCharType="separate"/>
        </w:r>
        <w:r w:rsidR="004911A9">
          <w:rPr>
            <w:rFonts w:ascii="仿宋" w:eastAsia="仿宋" w:hAnsi="仿宋"/>
            <w:sz w:val="28"/>
            <w:szCs w:val="28"/>
          </w:rPr>
          <w:t>6</w:t>
        </w:r>
        <w:r w:rsidR="00D92169">
          <w:rPr>
            <w:rFonts w:ascii="仿宋" w:eastAsia="仿宋" w:hAnsi="仿宋"/>
            <w:sz w:val="28"/>
            <w:szCs w:val="28"/>
          </w:rPr>
          <w:fldChar w:fldCharType="end"/>
        </w:r>
      </w:hyperlink>
    </w:p>
    <w:p w:rsidR="00A571F9" w:rsidRDefault="007D5FFD">
      <w:pPr>
        <w:pStyle w:val="20"/>
        <w:rPr>
          <w:rFonts w:ascii="仿宋" w:eastAsia="仿宋" w:hAnsi="仿宋" w:cstheme="minorBidi"/>
          <w:sz w:val="28"/>
          <w:szCs w:val="28"/>
        </w:rPr>
      </w:pPr>
      <w:hyperlink w:anchor="_Toc15396604" w:history="1">
        <w:r w:rsidR="004911A9">
          <w:rPr>
            <w:rStyle w:val="a8"/>
            <w:rFonts w:ascii="仿宋" w:eastAsia="仿宋" w:hAnsi="仿宋" w:cstheme="majorBidi" w:hint="eastAsia"/>
            <w:bCs/>
            <w:sz w:val="28"/>
            <w:szCs w:val="28"/>
          </w:rPr>
          <w:t>二、</w:t>
        </w:r>
        <w:r w:rsidR="004911A9">
          <w:rPr>
            <w:rStyle w:val="a8"/>
            <w:rFonts w:ascii="仿宋" w:eastAsia="仿宋" w:hAnsi="仿宋" w:hint="eastAsia"/>
            <w:sz w:val="28"/>
            <w:szCs w:val="28"/>
          </w:rPr>
          <w:t>收</w:t>
        </w:r>
        <w:r w:rsidR="004911A9">
          <w:rPr>
            <w:rStyle w:val="a8"/>
            <w:rFonts w:ascii="仿宋" w:eastAsia="仿宋" w:hAnsi="仿宋" w:cstheme="majorBidi" w:hint="eastAsia"/>
            <w:bCs/>
            <w:sz w:val="28"/>
            <w:szCs w:val="28"/>
          </w:rPr>
          <w:t>入决算情况说明</w:t>
        </w:r>
        <w:r w:rsidR="004911A9">
          <w:rPr>
            <w:rFonts w:ascii="仿宋" w:eastAsia="仿宋" w:hAnsi="仿宋"/>
            <w:sz w:val="28"/>
            <w:szCs w:val="28"/>
          </w:rPr>
          <w:tab/>
        </w:r>
        <w:r w:rsidR="00D92169">
          <w:rPr>
            <w:rFonts w:ascii="仿宋" w:eastAsia="仿宋" w:hAnsi="仿宋"/>
            <w:sz w:val="28"/>
            <w:szCs w:val="28"/>
          </w:rPr>
          <w:fldChar w:fldCharType="begin"/>
        </w:r>
        <w:r w:rsidR="004911A9">
          <w:rPr>
            <w:rFonts w:ascii="仿宋" w:eastAsia="仿宋" w:hAnsi="仿宋"/>
            <w:sz w:val="28"/>
            <w:szCs w:val="28"/>
          </w:rPr>
          <w:instrText xml:space="preserve"> PAGEREF _Toc15396604 \h </w:instrText>
        </w:r>
        <w:r w:rsidR="00D92169">
          <w:rPr>
            <w:rFonts w:ascii="仿宋" w:eastAsia="仿宋" w:hAnsi="仿宋"/>
            <w:sz w:val="28"/>
            <w:szCs w:val="28"/>
          </w:rPr>
        </w:r>
        <w:r w:rsidR="00D92169">
          <w:rPr>
            <w:rFonts w:ascii="仿宋" w:eastAsia="仿宋" w:hAnsi="仿宋"/>
            <w:sz w:val="28"/>
            <w:szCs w:val="28"/>
          </w:rPr>
          <w:fldChar w:fldCharType="separate"/>
        </w:r>
        <w:r w:rsidR="004911A9">
          <w:rPr>
            <w:rFonts w:ascii="仿宋" w:eastAsia="仿宋" w:hAnsi="仿宋"/>
            <w:sz w:val="28"/>
            <w:szCs w:val="28"/>
          </w:rPr>
          <w:t>6</w:t>
        </w:r>
        <w:r w:rsidR="00D92169">
          <w:rPr>
            <w:rFonts w:ascii="仿宋" w:eastAsia="仿宋" w:hAnsi="仿宋"/>
            <w:sz w:val="28"/>
            <w:szCs w:val="28"/>
          </w:rPr>
          <w:fldChar w:fldCharType="end"/>
        </w:r>
      </w:hyperlink>
    </w:p>
    <w:p w:rsidR="00A571F9" w:rsidRDefault="007D5FFD">
      <w:pPr>
        <w:pStyle w:val="20"/>
        <w:rPr>
          <w:rFonts w:ascii="仿宋" w:eastAsia="仿宋" w:hAnsi="仿宋" w:cstheme="minorBidi"/>
          <w:sz w:val="28"/>
          <w:szCs w:val="28"/>
        </w:rPr>
      </w:pPr>
      <w:hyperlink w:anchor="_Toc15396605" w:history="1">
        <w:r w:rsidR="004911A9">
          <w:rPr>
            <w:rStyle w:val="a8"/>
            <w:rFonts w:ascii="仿宋" w:eastAsia="仿宋" w:hAnsi="仿宋" w:cstheme="majorBidi" w:hint="eastAsia"/>
            <w:bCs/>
            <w:sz w:val="28"/>
            <w:szCs w:val="28"/>
          </w:rPr>
          <w:t>三、</w:t>
        </w:r>
        <w:r w:rsidR="004911A9">
          <w:rPr>
            <w:rStyle w:val="a8"/>
            <w:rFonts w:ascii="仿宋" w:eastAsia="仿宋" w:hAnsi="仿宋" w:hint="eastAsia"/>
            <w:sz w:val="28"/>
            <w:szCs w:val="28"/>
          </w:rPr>
          <w:t>支</w:t>
        </w:r>
        <w:r w:rsidR="004911A9">
          <w:rPr>
            <w:rStyle w:val="a8"/>
            <w:rFonts w:ascii="仿宋" w:eastAsia="仿宋" w:hAnsi="仿宋" w:cstheme="majorBidi" w:hint="eastAsia"/>
            <w:bCs/>
            <w:sz w:val="28"/>
            <w:szCs w:val="28"/>
          </w:rPr>
          <w:t>出决算情况说明</w:t>
        </w:r>
        <w:r w:rsidR="004911A9">
          <w:rPr>
            <w:rFonts w:ascii="仿宋" w:eastAsia="仿宋" w:hAnsi="仿宋"/>
            <w:sz w:val="28"/>
            <w:szCs w:val="28"/>
          </w:rPr>
          <w:tab/>
        </w:r>
        <w:r w:rsidR="00D92169">
          <w:rPr>
            <w:rFonts w:ascii="仿宋" w:eastAsia="仿宋" w:hAnsi="仿宋"/>
            <w:sz w:val="28"/>
            <w:szCs w:val="28"/>
          </w:rPr>
          <w:fldChar w:fldCharType="begin"/>
        </w:r>
        <w:r w:rsidR="004911A9">
          <w:rPr>
            <w:rFonts w:ascii="仿宋" w:eastAsia="仿宋" w:hAnsi="仿宋"/>
            <w:sz w:val="28"/>
            <w:szCs w:val="28"/>
          </w:rPr>
          <w:instrText xml:space="preserve"> PAGEREF _Toc15396605 \h </w:instrText>
        </w:r>
        <w:r w:rsidR="00D92169">
          <w:rPr>
            <w:rFonts w:ascii="仿宋" w:eastAsia="仿宋" w:hAnsi="仿宋"/>
            <w:sz w:val="28"/>
            <w:szCs w:val="28"/>
          </w:rPr>
        </w:r>
        <w:r w:rsidR="00D92169">
          <w:rPr>
            <w:rFonts w:ascii="仿宋" w:eastAsia="仿宋" w:hAnsi="仿宋"/>
            <w:sz w:val="28"/>
            <w:szCs w:val="28"/>
          </w:rPr>
          <w:fldChar w:fldCharType="separate"/>
        </w:r>
        <w:r w:rsidR="004911A9">
          <w:rPr>
            <w:rFonts w:ascii="仿宋" w:eastAsia="仿宋" w:hAnsi="仿宋"/>
            <w:sz w:val="28"/>
            <w:szCs w:val="28"/>
          </w:rPr>
          <w:t>7</w:t>
        </w:r>
        <w:r w:rsidR="00D92169">
          <w:rPr>
            <w:rFonts w:ascii="仿宋" w:eastAsia="仿宋" w:hAnsi="仿宋"/>
            <w:sz w:val="28"/>
            <w:szCs w:val="28"/>
          </w:rPr>
          <w:fldChar w:fldCharType="end"/>
        </w:r>
      </w:hyperlink>
    </w:p>
    <w:p w:rsidR="00A571F9" w:rsidRDefault="007D5FFD">
      <w:pPr>
        <w:pStyle w:val="20"/>
        <w:rPr>
          <w:rFonts w:ascii="仿宋" w:eastAsia="仿宋" w:hAnsi="仿宋" w:cstheme="minorBidi"/>
          <w:sz w:val="28"/>
          <w:szCs w:val="28"/>
        </w:rPr>
      </w:pPr>
      <w:hyperlink w:anchor="_Toc15396606" w:history="1">
        <w:r w:rsidR="004911A9">
          <w:rPr>
            <w:rStyle w:val="a8"/>
            <w:rFonts w:ascii="仿宋" w:eastAsia="仿宋" w:hAnsi="仿宋" w:hint="eastAsia"/>
            <w:sz w:val="28"/>
            <w:szCs w:val="28"/>
          </w:rPr>
          <w:t>四、财</w:t>
        </w:r>
        <w:r w:rsidR="004911A9">
          <w:rPr>
            <w:rStyle w:val="a8"/>
            <w:rFonts w:ascii="仿宋" w:eastAsia="仿宋" w:hAnsi="仿宋" w:cstheme="majorBidi" w:hint="eastAsia"/>
            <w:bCs/>
            <w:sz w:val="28"/>
            <w:szCs w:val="28"/>
          </w:rPr>
          <w:t>政拨款收入支出决算总体情况说明</w:t>
        </w:r>
        <w:r w:rsidR="004911A9">
          <w:rPr>
            <w:rFonts w:ascii="仿宋" w:eastAsia="仿宋" w:hAnsi="仿宋"/>
            <w:sz w:val="28"/>
            <w:szCs w:val="28"/>
          </w:rPr>
          <w:tab/>
        </w:r>
        <w:r w:rsidR="00D92169">
          <w:rPr>
            <w:rFonts w:ascii="仿宋" w:eastAsia="仿宋" w:hAnsi="仿宋"/>
            <w:sz w:val="28"/>
            <w:szCs w:val="28"/>
          </w:rPr>
          <w:fldChar w:fldCharType="begin"/>
        </w:r>
        <w:r w:rsidR="004911A9">
          <w:rPr>
            <w:rFonts w:ascii="仿宋" w:eastAsia="仿宋" w:hAnsi="仿宋"/>
            <w:sz w:val="28"/>
            <w:szCs w:val="28"/>
          </w:rPr>
          <w:instrText xml:space="preserve"> PAGEREF _Toc15396606 \h </w:instrText>
        </w:r>
        <w:r w:rsidR="00D92169">
          <w:rPr>
            <w:rFonts w:ascii="仿宋" w:eastAsia="仿宋" w:hAnsi="仿宋"/>
            <w:sz w:val="28"/>
            <w:szCs w:val="28"/>
          </w:rPr>
        </w:r>
        <w:r w:rsidR="00D92169">
          <w:rPr>
            <w:rFonts w:ascii="仿宋" w:eastAsia="仿宋" w:hAnsi="仿宋"/>
            <w:sz w:val="28"/>
            <w:szCs w:val="28"/>
          </w:rPr>
          <w:fldChar w:fldCharType="separate"/>
        </w:r>
        <w:r w:rsidR="004911A9">
          <w:rPr>
            <w:rFonts w:ascii="仿宋" w:eastAsia="仿宋" w:hAnsi="仿宋"/>
            <w:sz w:val="28"/>
            <w:szCs w:val="28"/>
          </w:rPr>
          <w:t>7</w:t>
        </w:r>
        <w:r w:rsidR="00D92169">
          <w:rPr>
            <w:rFonts w:ascii="仿宋" w:eastAsia="仿宋" w:hAnsi="仿宋"/>
            <w:sz w:val="28"/>
            <w:szCs w:val="28"/>
          </w:rPr>
          <w:fldChar w:fldCharType="end"/>
        </w:r>
      </w:hyperlink>
    </w:p>
    <w:p w:rsidR="00A571F9" w:rsidRDefault="007D5FFD">
      <w:pPr>
        <w:pStyle w:val="20"/>
        <w:rPr>
          <w:rFonts w:ascii="仿宋" w:eastAsia="仿宋" w:hAnsi="仿宋" w:cstheme="minorBidi"/>
          <w:sz w:val="28"/>
          <w:szCs w:val="28"/>
        </w:rPr>
      </w:pPr>
      <w:hyperlink w:anchor="_Toc15396607" w:history="1">
        <w:r w:rsidR="004911A9">
          <w:rPr>
            <w:rStyle w:val="a8"/>
            <w:rFonts w:ascii="仿宋" w:eastAsia="仿宋" w:hAnsi="仿宋" w:hint="eastAsia"/>
            <w:sz w:val="28"/>
            <w:szCs w:val="28"/>
          </w:rPr>
          <w:t>五、一</w:t>
        </w:r>
        <w:r w:rsidR="004911A9">
          <w:rPr>
            <w:rStyle w:val="a8"/>
            <w:rFonts w:ascii="仿宋" w:eastAsia="仿宋" w:hAnsi="仿宋" w:cstheme="majorBidi" w:hint="eastAsia"/>
            <w:bCs/>
            <w:sz w:val="28"/>
            <w:szCs w:val="28"/>
          </w:rPr>
          <w:t>般公共预算财政拨款支出决算情况说明</w:t>
        </w:r>
        <w:r w:rsidR="004911A9">
          <w:rPr>
            <w:rFonts w:ascii="仿宋" w:eastAsia="仿宋" w:hAnsi="仿宋"/>
            <w:sz w:val="28"/>
            <w:szCs w:val="28"/>
          </w:rPr>
          <w:tab/>
        </w:r>
        <w:r w:rsidR="00D92169">
          <w:rPr>
            <w:rFonts w:ascii="仿宋" w:eastAsia="仿宋" w:hAnsi="仿宋"/>
            <w:sz w:val="28"/>
            <w:szCs w:val="28"/>
          </w:rPr>
          <w:fldChar w:fldCharType="begin"/>
        </w:r>
        <w:r w:rsidR="004911A9">
          <w:rPr>
            <w:rFonts w:ascii="仿宋" w:eastAsia="仿宋" w:hAnsi="仿宋"/>
            <w:sz w:val="28"/>
            <w:szCs w:val="28"/>
          </w:rPr>
          <w:instrText xml:space="preserve"> PAGEREF _Toc15396607 \h </w:instrText>
        </w:r>
        <w:r w:rsidR="00D92169">
          <w:rPr>
            <w:rFonts w:ascii="仿宋" w:eastAsia="仿宋" w:hAnsi="仿宋"/>
            <w:sz w:val="28"/>
            <w:szCs w:val="28"/>
          </w:rPr>
        </w:r>
        <w:r w:rsidR="00D92169">
          <w:rPr>
            <w:rFonts w:ascii="仿宋" w:eastAsia="仿宋" w:hAnsi="仿宋"/>
            <w:sz w:val="28"/>
            <w:szCs w:val="28"/>
          </w:rPr>
          <w:fldChar w:fldCharType="separate"/>
        </w:r>
        <w:r w:rsidR="004911A9">
          <w:rPr>
            <w:rFonts w:ascii="仿宋" w:eastAsia="仿宋" w:hAnsi="仿宋"/>
            <w:sz w:val="28"/>
            <w:szCs w:val="28"/>
          </w:rPr>
          <w:t>8</w:t>
        </w:r>
        <w:r w:rsidR="00D92169">
          <w:rPr>
            <w:rFonts w:ascii="仿宋" w:eastAsia="仿宋" w:hAnsi="仿宋"/>
            <w:sz w:val="28"/>
            <w:szCs w:val="28"/>
          </w:rPr>
          <w:fldChar w:fldCharType="end"/>
        </w:r>
      </w:hyperlink>
    </w:p>
    <w:p w:rsidR="00A571F9" w:rsidRDefault="007D5FFD">
      <w:pPr>
        <w:pStyle w:val="20"/>
        <w:rPr>
          <w:rFonts w:ascii="仿宋" w:eastAsia="仿宋" w:hAnsi="仿宋" w:cstheme="minorBidi"/>
          <w:sz w:val="28"/>
          <w:szCs w:val="28"/>
        </w:rPr>
      </w:pPr>
      <w:hyperlink w:anchor="_Toc15396608" w:history="1">
        <w:r w:rsidR="004911A9">
          <w:rPr>
            <w:rStyle w:val="a8"/>
            <w:rFonts w:ascii="仿宋" w:eastAsia="仿宋" w:hAnsi="仿宋" w:hint="eastAsia"/>
            <w:sz w:val="28"/>
            <w:szCs w:val="28"/>
          </w:rPr>
          <w:t>六、一</w:t>
        </w:r>
        <w:r w:rsidR="004911A9">
          <w:rPr>
            <w:rStyle w:val="a8"/>
            <w:rFonts w:ascii="仿宋" w:eastAsia="仿宋" w:hAnsi="仿宋" w:cstheme="majorBidi" w:hint="eastAsia"/>
            <w:bCs/>
            <w:sz w:val="28"/>
            <w:szCs w:val="28"/>
          </w:rPr>
          <w:t>般公共预算财政拨款基本支出决算情况说明</w:t>
        </w:r>
        <w:r w:rsidR="004911A9">
          <w:rPr>
            <w:rFonts w:ascii="仿宋" w:eastAsia="仿宋" w:hAnsi="仿宋"/>
            <w:sz w:val="28"/>
            <w:szCs w:val="28"/>
          </w:rPr>
          <w:tab/>
        </w:r>
        <w:r w:rsidR="00D92169">
          <w:rPr>
            <w:rFonts w:ascii="仿宋" w:eastAsia="仿宋" w:hAnsi="仿宋"/>
            <w:sz w:val="28"/>
            <w:szCs w:val="28"/>
          </w:rPr>
          <w:fldChar w:fldCharType="begin"/>
        </w:r>
        <w:r w:rsidR="004911A9">
          <w:rPr>
            <w:rFonts w:ascii="仿宋" w:eastAsia="仿宋" w:hAnsi="仿宋"/>
            <w:sz w:val="28"/>
            <w:szCs w:val="28"/>
          </w:rPr>
          <w:instrText xml:space="preserve"> PAGEREF _Toc15396608 \h </w:instrText>
        </w:r>
        <w:r w:rsidR="00D92169">
          <w:rPr>
            <w:rFonts w:ascii="仿宋" w:eastAsia="仿宋" w:hAnsi="仿宋"/>
            <w:sz w:val="28"/>
            <w:szCs w:val="28"/>
          </w:rPr>
        </w:r>
        <w:r w:rsidR="00D92169">
          <w:rPr>
            <w:rFonts w:ascii="仿宋" w:eastAsia="仿宋" w:hAnsi="仿宋"/>
            <w:sz w:val="28"/>
            <w:szCs w:val="28"/>
          </w:rPr>
          <w:fldChar w:fldCharType="separate"/>
        </w:r>
        <w:r w:rsidR="004911A9">
          <w:rPr>
            <w:rFonts w:ascii="仿宋" w:eastAsia="仿宋" w:hAnsi="仿宋"/>
            <w:sz w:val="28"/>
            <w:szCs w:val="28"/>
          </w:rPr>
          <w:t>11</w:t>
        </w:r>
        <w:r w:rsidR="00D92169">
          <w:rPr>
            <w:rFonts w:ascii="仿宋" w:eastAsia="仿宋" w:hAnsi="仿宋"/>
            <w:sz w:val="28"/>
            <w:szCs w:val="28"/>
          </w:rPr>
          <w:fldChar w:fldCharType="end"/>
        </w:r>
      </w:hyperlink>
    </w:p>
    <w:p w:rsidR="00A571F9" w:rsidRDefault="007D5FFD">
      <w:pPr>
        <w:pStyle w:val="20"/>
        <w:rPr>
          <w:rFonts w:ascii="仿宋" w:eastAsia="仿宋" w:hAnsi="仿宋" w:cstheme="minorBidi"/>
          <w:sz w:val="28"/>
          <w:szCs w:val="28"/>
        </w:rPr>
      </w:pPr>
      <w:hyperlink w:anchor="_Toc15396609" w:history="1">
        <w:r w:rsidR="004911A9">
          <w:rPr>
            <w:rStyle w:val="a8"/>
            <w:rFonts w:ascii="仿宋" w:eastAsia="仿宋" w:hAnsi="仿宋" w:hint="eastAsia"/>
            <w:sz w:val="28"/>
            <w:szCs w:val="28"/>
          </w:rPr>
          <w:t>七、</w:t>
        </w:r>
        <w:r w:rsidR="004911A9">
          <w:rPr>
            <w:rStyle w:val="a8"/>
            <w:rFonts w:ascii="仿宋" w:eastAsia="仿宋" w:hAnsi="仿宋"/>
            <w:sz w:val="28"/>
            <w:szCs w:val="28"/>
          </w:rPr>
          <w:t>“</w:t>
        </w:r>
        <w:r w:rsidR="004911A9">
          <w:rPr>
            <w:rStyle w:val="a8"/>
            <w:rFonts w:ascii="仿宋" w:eastAsia="仿宋" w:hAnsi="仿宋" w:cstheme="majorBidi" w:hint="eastAsia"/>
            <w:bCs/>
            <w:sz w:val="28"/>
            <w:szCs w:val="28"/>
          </w:rPr>
          <w:t>三公”经费财政拨款支出决算情况说明</w:t>
        </w:r>
        <w:r w:rsidR="004911A9">
          <w:rPr>
            <w:rFonts w:ascii="仿宋" w:eastAsia="仿宋" w:hAnsi="仿宋"/>
            <w:sz w:val="28"/>
            <w:szCs w:val="28"/>
          </w:rPr>
          <w:tab/>
        </w:r>
        <w:r w:rsidR="00D92169">
          <w:rPr>
            <w:rFonts w:ascii="仿宋" w:eastAsia="仿宋" w:hAnsi="仿宋"/>
            <w:sz w:val="28"/>
            <w:szCs w:val="28"/>
          </w:rPr>
          <w:fldChar w:fldCharType="begin"/>
        </w:r>
        <w:r w:rsidR="004911A9">
          <w:rPr>
            <w:rFonts w:ascii="仿宋" w:eastAsia="仿宋" w:hAnsi="仿宋"/>
            <w:sz w:val="28"/>
            <w:szCs w:val="28"/>
          </w:rPr>
          <w:instrText xml:space="preserve"> PAGEREF _Toc15396609 \h </w:instrText>
        </w:r>
        <w:r w:rsidR="00D92169">
          <w:rPr>
            <w:rFonts w:ascii="仿宋" w:eastAsia="仿宋" w:hAnsi="仿宋"/>
            <w:sz w:val="28"/>
            <w:szCs w:val="28"/>
          </w:rPr>
        </w:r>
        <w:r w:rsidR="00D92169">
          <w:rPr>
            <w:rFonts w:ascii="仿宋" w:eastAsia="仿宋" w:hAnsi="仿宋"/>
            <w:sz w:val="28"/>
            <w:szCs w:val="28"/>
          </w:rPr>
          <w:fldChar w:fldCharType="separate"/>
        </w:r>
        <w:r w:rsidR="004911A9">
          <w:rPr>
            <w:rFonts w:ascii="仿宋" w:eastAsia="仿宋" w:hAnsi="仿宋"/>
            <w:sz w:val="28"/>
            <w:szCs w:val="28"/>
          </w:rPr>
          <w:t>12</w:t>
        </w:r>
        <w:r w:rsidR="00D92169">
          <w:rPr>
            <w:rFonts w:ascii="仿宋" w:eastAsia="仿宋" w:hAnsi="仿宋"/>
            <w:sz w:val="28"/>
            <w:szCs w:val="28"/>
          </w:rPr>
          <w:fldChar w:fldCharType="end"/>
        </w:r>
      </w:hyperlink>
    </w:p>
    <w:p w:rsidR="00A571F9" w:rsidRDefault="007D5FFD">
      <w:pPr>
        <w:pStyle w:val="20"/>
        <w:rPr>
          <w:rFonts w:ascii="仿宋" w:eastAsia="仿宋" w:hAnsi="仿宋" w:cstheme="minorBidi"/>
          <w:sz w:val="28"/>
          <w:szCs w:val="28"/>
        </w:rPr>
      </w:pPr>
      <w:hyperlink w:anchor="_Toc15396610" w:history="1">
        <w:r w:rsidR="004911A9">
          <w:rPr>
            <w:rStyle w:val="a8"/>
            <w:rFonts w:ascii="仿宋" w:eastAsia="仿宋" w:hAnsi="仿宋" w:hint="eastAsia"/>
            <w:sz w:val="28"/>
            <w:szCs w:val="28"/>
          </w:rPr>
          <w:t>八、</w:t>
        </w:r>
        <w:r w:rsidR="004911A9">
          <w:rPr>
            <w:rStyle w:val="a8"/>
            <w:rFonts w:ascii="仿宋" w:eastAsia="仿宋" w:hAnsi="仿宋" w:cstheme="majorBidi" w:hint="eastAsia"/>
            <w:bCs/>
            <w:sz w:val="28"/>
            <w:szCs w:val="28"/>
          </w:rPr>
          <w:t>政府性基金预算支出决算情况说明</w:t>
        </w:r>
        <w:r w:rsidR="004911A9">
          <w:rPr>
            <w:rFonts w:ascii="仿宋" w:eastAsia="仿宋" w:hAnsi="仿宋"/>
            <w:sz w:val="28"/>
            <w:szCs w:val="28"/>
          </w:rPr>
          <w:tab/>
        </w:r>
        <w:r w:rsidR="00D92169">
          <w:rPr>
            <w:rFonts w:ascii="仿宋" w:eastAsia="仿宋" w:hAnsi="仿宋"/>
            <w:sz w:val="28"/>
            <w:szCs w:val="28"/>
          </w:rPr>
          <w:fldChar w:fldCharType="begin"/>
        </w:r>
        <w:r w:rsidR="004911A9">
          <w:rPr>
            <w:rFonts w:ascii="仿宋" w:eastAsia="仿宋" w:hAnsi="仿宋"/>
            <w:sz w:val="28"/>
            <w:szCs w:val="28"/>
          </w:rPr>
          <w:instrText xml:space="preserve"> PAGEREF _Toc15396610 \h </w:instrText>
        </w:r>
        <w:r w:rsidR="00D92169">
          <w:rPr>
            <w:rFonts w:ascii="仿宋" w:eastAsia="仿宋" w:hAnsi="仿宋"/>
            <w:sz w:val="28"/>
            <w:szCs w:val="28"/>
          </w:rPr>
        </w:r>
        <w:r w:rsidR="00D92169">
          <w:rPr>
            <w:rFonts w:ascii="仿宋" w:eastAsia="仿宋" w:hAnsi="仿宋"/>
            <w:sz w:val="28"/>
            <w:szCs w:val="28"/>
          </w:rPr>
          <w:fldChar w:fldCharType="separate"/>
        </w:r>
        <w:r w:rsidR="004911A9">
          <w:rPr>
            <w:rFonts w:ascii="仿宋" w:eastAsia="仿宋" w:hAnsi="仿宋"/>
            <w:sz w:val="28"/>
            <w:szCs w:val="28"/>
          </w:rPr>
          <w:t>14</w:t>
        </w:r>
        <w:r w:rsidR="00D92169">
          <w:rPr>
            <w:rFonts w:ascii="仿宋" w:eastAsia="仿宋" w:hAnsi="仿宋"/>
            <w:sz w:val="28"/>
            <w:szCs w:val="28"/>
          </w:rPr>
          <w:fldChar w:fldCharType="end"/>
        </w:r>
      </w:hyperlink>
    </w:p>
    <w:p w:rsidR="00A571F9" w:rsidRDefault="007D5FFD">
      <w:pPr>
        <w:pStyle w:val="20"/>
        <w:rPr>
          <w:rFonts w:ascii="仿宋" w:eastAsia="仿宋" w:hAnsi="仿宋" w:cstheme="minorBidi"/>
          <w:sz w:val="28"/>
          <w:szCs w:val="28"/>
        </w:rPr>
      </w:pPr>
      <w:hyperlink w:anchor="_Toc15396611" w:history="1">
        <w:r w:rsidR="004911A9">
          <w:rPr>
            <w:rStyle w:val="a8"/>
            <w:rFonts w:ascii="仿宋" w:eastAsia="仿宋" w:hAnsi="仿宋" w:cstheme="majorBidi" w:hint="eastAsia"/>
            <w:bCs/>
            <w:sz w:val="28"/>
            <w:szCs w:val="28"/>
          </w:rPr>
          <w:t>九、</w:t>
        </w:r>
        <w:r w:rsidR="004911A9">
          <w:rPr>
            <w:rStyle w:val="a8"/>
            <w:rFonts w:ascii="仿宋" w:eastAsia="仿宋" w:hAnsi="仿宋" w:hint="eastAsia"/>
            <w:sz w:val="28"/>
            <w:szCs w:val="28"/>
          </w:rPr>
          <w:t xml:space="preserve"> 国</w:t>
        </w:r>
        <w:r w:rsidR="004911A9">
          <w:rPr>
            <w:rStyle w:val="a8"/>
            <w:rFonts w:ascii="仿宋" w:eastAsia="仿宋" w:hAnsi="仿宋" w:cstheme="majorBidi" w:hint="eastAsia"/>
            <w:bCs/>
            <w:sz w:val="28"/>
            <w:szCs w:val="28"/>
          </w:rPr>
          <w:t>有资本经营预算支出决算情况说明</w:t>
        </w:r>
        <w:r w:rsidR="004911A9">
          <w:rPr>
            <w:rFonts w:ascii="仿宋" w:eastAsia="仿宋" w:hAnsi="仿宋"/>
            <w:sz w:val="28"/>
            <w:szCs w:val="28"/>
          </w:rPr>
          <w:tab/>
        </w:r>
        <w:r w:rsidR="00D92169">
          <w:rPr>
            <w:rFonts w:ascii="仿宋" w:eastAsia="仿宋" w:hAnsi="仿宋"/>
            <w:sz w:val="28"/>
            <w:szCs w:val="28"/>
          </w:rPr>
          <w:fldChar w:fldCharType="begin"/>
        </w:r>
        <w:r w:rsidR="004911A9">
          <w:rPr>
            <w:rFonts w:ascii="仿宋" w:eastAsia="仿宋" w:hAnsi="仿宋"/>
            <w:sz w:val="28"/>
            <w:szCs w:val="28"/>
          </w:rPr>
          <w:instrText xml:space="preserve"> PAGEREF _Toc15396611 \h </w:instrText>
        </w:r>
        <w:r w:rsidR="00D92169">
          <w:rPr>
            <w:rFonts w:ascii="仿宋" w:eastAsia="仿宋" w:hAnsi="仿宋"/>
            <w:sz w:val="28"/>
            <w:szCs w:val="28"/>
          </w:rPr>
        </w:r>
        <w:r w:rsidR="00D92169">
          <w:rPr>
            <w:rFonts w:ascii="仿宋" w:eastAsia="仿宋" w:hAnsi="仿宋"/>
            <w:sz w:val="28"/>
            <w:szCs w:val="28"/>
          </w:rPr>
          <w:fldChar w:fldCharType="separate"/>
        </w:r>
        <w:r w:rsidR="004911A9">
          <w:rPr>
            <w:rFonts w:ascii="仿宋" w:eastAsia="仿宋" w:hAnsi="仿宋"/>
            <w:sz w:val="28"/>
            <w:szCs w:val="28"/>
          </w:rPr>
          <w:t>14</w:t>
        </w:r>
        <w:r w:rsidR="00D92169">
          <w:rPr>
            <w:rFonts w:ascii="仿宋" w:eastAsia="仿宋" w:hAnsi="仿宋"/>
            <w:sz w:val="28"/>
            <w:szCs w:val="28"/>
          </w:rPr>
          <w:fldChar w:fldCharType="end"/>
        </w:r>
      </w:hyperlink>
    </w:p>
    <w:p w:rsidR="00A571F9" w:rsidRDefault="007D5FFD">
      <w:pPr>
        <w:pStyle w:val="20"/>
        <w:rPr>
          <w:rFonts w:ascii="仿宋" w:eastAsia="仿宋" w:hAnsi="仿宋" w:cstheme="minorBidi"/>
          <w:sz w:val="28"/>
          <w:szCs w:val="28"/>
        </w:rPr>
      </w:pPr>
      <w:hyperlink w:anchor="_Toc15396612" w:history="1">
        <w:r w:rsidR="004911A9">
          <w:rPr>
            <w:rStyle w:val="a8"/>
            <w:rFonts w:ascii="仿宋" w:eastAsia="仿宋" w:hAnsi="仿宋" w:hint="eastAsia"/>
            <w:sz w:val="28"/>
            <w:szCs w:val="28"/>
          </w:rPr>
          <w:t>十</w:t>
        </w:r>
        <w:r w:rsidR="004911A9">
          <w:rPr>
            <w:rStyle w:val="a8"/>
            <w:rFonts w:ascii="仿宋" w:eastAsia="仿宋" w:hAnsi="仿宋" w:cstheme="majorBidi" w:hint="eastAsia"/>
            <w:bCs/>
            <w:sz w:val="28"/>
            <w:szCs w:val="28"/>
          </w:rPr>
          <w:t>一、其他重要事项的情况说明</w:t>
        </w:r>
        <w:r w:rsidR="004911A9">
          <w:rPr>
            <w:rFonts w:ascii="仿宋" w:eastAsia="仿宋" w:hAnsi="仿宋"/>
            <w:sz w:val="28"/>
            <w:szCs w:val="28"/>
          </w:rPr>
          <w:tab/>
        </w:r>
        <w:r w:rsidR="00D92169">
          <w:rPr>
            <w:rFonts w:ascii="仿宋" w:eastAsia="仿宋" w:hAnsi="仿宋"/>
            <w:sz w:val="28"/>
            <w:szCs w:val="28"/>
          </w:rPr>
          <w:fldChar w:fldCharType="begin"/>
        </w:r>
        <w:r w:rsidR="004911A9">
          <w:rPr>
            <w:rFonts w:ascii="仿宋" w:eastAsia="仿宋" w:hAnsi="仿宋"/>
            <w:sz w:val="28"/>
            <w:szCs w:val="28"/>
          </w:rPr>
          <w:instrText xml:space="preserve"> PAGEREF _Toc15396612 \h </w:instrText>
        </w:r>
        <w:r w:rsidR="00D92169">
          <w:rPr>
            <w:rFonts w:ascii="仿宋" w:eastAsia="仿宋" w:hAnsi="仿宋"/>
            <w:sz w:val="28"/>
            <w:szCs w:val="28"/>
          </w:rPr>
        </w:r>
        <w:r w:rsidR="00D92169">
          <w:rPr>
            <w:rFonts w:ascii="仿宋" w:eastAsia="仿宋" w:hAnsi="仿宋"/>
            <w:sz w:val="28"/>
            <w:szCs w:val="28"/>
          </w:rPr>
          <w:fldChar w:fldCharType="separate"/>
        </w:r>
        <w:r w:rsidR="004911A9">
          <w:rPr>
            <w:rFonts w:ascii="仿宋" w:eastAsia="仿宋" w:hAnsi="仿宋"/>
            <w:sz w:val="28"/>
            <w:szCs w:val="28"/>
          </w:rPr>
          <w:t>24</w:t>
        </w:r>
        <w:r w:rsidR="00D92169">
          <w:rPr>
            <w:rFonts w:ascii="仿宋" w:eastAsia="仿宋" w:hAnsi="仿宋"/>
            <w:sz w:val="28"/>
            <w:szCs w:val="28"/>
          </w:rPr>
          <w:fldChar w:fldCharType="end"/>
        </w:r>
      </w:hyperlink>
    </w:p>
    <w:p w:rsidR="00A571F9" w:rsidRDefault="007D5FFD">
      <w:pPr>
        <w:pStyle w:val="10"/>
        <w:rPr>
          <w:rFonts w:cstheme="minorBidi"/>
        </w:rPr>
      </w:pPr>
      <w:hyperlink w:anchor="_Toc15396613" w:history="1">
        <w:r w:rsidR="004911A9">
          <w:rPr>
            <w:rStyle w:val="a8"/>
            <w:rFonts w:hint="eastAsia"/>
            <w:bCs/>
            <w:kern w:val="44"/>
          </w:rPr>
          <w:t>第三部分</w:t>
        </w:r>
        <w:r w:rsidR="004911A9">
          <w:rPr>
            <w:rStyle w:val="a8"/>
            <w:rFonts w:hint="eastAsia"/>
          </w:rPr>
          <w:t xml:space="preserve"> 名</w:t>
        </w:r>
        <w:r w:rsidR="004911A9">
          <w:rPr>
            <w:rStyle w:val="a8"/>
            <w:rFonts w:hint="eastAsia"/>
            <w:bCs/>
            <w:kern w:val="44"/>
          </w:rPr>
          <w:t>词解释</w:t>
        </w:r>
        <w:r w:rsidR="004911A9">
          <w:tab/>
        </w:r>
        <w:r w:rsidR="00D92169">
          <w:fldChar w:fldCharType="begin"/>
        </w:r>
        <w:r w:rsidR="004911A9">
          <w:instrText xml:space="preserve"> PAGEREF _Toc15396613 \h </w:instrText>
        </w:r>
        <w:r w:rsidR="00D92169">
          <w:fldChar w:fldCharType="separate"/>
        </w:r>
        <w:r w:rsidR="004911A9">
          <w:t>26</w:t>
        </w:r>
        <w:r w:rsidR="00D92169">
          <w:fldChar w:fldCharType="end"/>
        </w:r>
      </w:hyperlink>
    </w:p>
    <w:p w:rsidR="00A571F9" w:rsidRDefault="007D5FFD">
      <w:pPr>
        <w:pStyle w:val="10"/>
        <w:rPr>
          <w:rFonts w:cstheme="minorBidi"/>
        </w:rPr>
      </w:pPr>
      <w:hyperlink w:anchor="_Toc15396614" w:history="1">
        <w:r w:rsidR="004911A9">
          <w:rPr>
            <w:rStyle w:val="a8"/>
            <w:rFonts w:hint="eastAsia"/>
          </w:rPr>
          <w:t>第</w:t>
        </w:r>
        <w:r w:rsidR="004911A9">
          <w:rPr>
            <w:rStyle w:val="a8"/>
            <w:rFonts w:hint="eastAsia"/>
            <w:bCs/>
            <w:kern w:val="44"/>
          </w:rPr>
          <w:t>四部分附件</w:t>
        </w:r>
        <w:r w:rsidR="004911A9">
          <w:tab/>
        </w:r>
        <w:r w:rsidR="00D92169">
          <w:fldChar w:fldCharType="begin"/>
        </w:r>
        <w:r w:rsidR="004911A9">
          <w:instrText xml:space="preserve"> PAGEREF _Toc15396614 \h </w:instrText>
        </w:r>
        <w:r w:rsidR="00D92169">
          <w:fldChar w:fldCharType="separate"/>
        </w:r>
        <w:r w:rsidR="004911A9">
          <w:t>30</w:t>
        </w:r>
        <w:r w:rsidR="00D92169">
          <w:fldChar w:fldCharType="end"/>
        </w:r>
      </w:hyperlink>
    </w:p>
    <w:p w:rsidR="00A571F9" w:rsidRDefault="007D5FFD">
      <w:pPr>
        <w:pStyle w:val="20"/>
        <w:rPr>
          <w:rFonts w:ascii="仿宋" w:eastAsia="仿宋" w:hAnsi="仿宋" w:cstheme="minorBidi"/>
          <w:sz w:val="28"/>
          <w:szCs w:val="28"/>
        </w:rPr>
      </w:pPr>
      <w:hyperlink w:anchor="_Toc15396615" w:history="1">
        <w:r w:rsidR="004911A9">
          <w:rPr>
            <w:rStyle w:val="a8"/>
            <w:rFonts w:ascii="仿宋" w:eastAsia="仿宋" w:hAnsi="仿宋" w:hint="eastAsia"/>
            <w:kern w:val="44"/>
            <w:sz w:val="28"/>
            <w:szCs w:val="28"/>
          </w:rPr>
          <w:t>附件</w:t>
        </w:r>
        <w:r w:rsidR="004911A9">
          <w:rPr>
            <w:rStyle w:val="a8"/>
            <w:rFonts w:ascii="仿宋" w:eastAsia="仿宋" w:hAnsi="仿宋"/>
            <w:kern w:val="44"/>
            <w:sz w:val="28"/>
            <w:szCs w:val="28"/>
          </w:rPr>
          <w:t>1</w:t>
        </w:r>
        <w:r w:rsidR="004911A9">
          <w:rPr>
            <w:rFonts w:ascii="仿宋" w:eastAsia="仿宋" w:hAnsi="仿宋"/>
            <w:sz w:val="28"/>
            <w:szCs w:val="28"/>
          </w:rPr>
          <w:tab/>
        </w:r>
        <w:r w:rsidR="00D92169">
          <w:rPr>
            <w:rFonts w:ascii="仿宋" w:eastAsia="仿宋" w:hAnsi="仿宋"/>
            <w:sz w:val="28"/>
            <w:szCs w:val="28"/>
          </w:rPr>
          <w:fldChar w:fldCharType="begin"/>
        </w:r>
        <w:r w:rsidR="004911A9">
          <w:rPr>
            <w:rFonts w:ascii="仿宋" w:eastAsia="仿宋" w:hAnsi="仿宋"/>
            <w:sz w:val="28"/>
            <w:szCs w:val="28"/>
          </w:rPr>
          <w:instrText xml:space="preserve"> PAGEREF _Toc15396615 \h </w:instrText>
        </w:r>
        <w:r w:rsidR="00D92169">
          <w:rPr>
            <w:rFonts w:ascii="仿宋" w:eastAsia="仿宋" w:hAnsi="仿宋"/>
            <w:sz w:val="28"/>
            <w:szCs w:val="28"/>
          </w:rPr>
        </w:r>
        <w:r w:rsidR="00D92169">
          <w:rPr>
            <w:rFonts w:ascii="仿宋" w:eastAsia="仿宋" w:hAnsi="仿宋"/>
            <w:sz w:val="28"/>
            <w:szCs w:val="28"/>
          </w:rPr>
          <w:fldChar w:fldCharType="separate"/>
        </w:r>
        <w:r w:rsidR="004911A9">
          <w:rPr>
            <w:rFonts w:ascii="仿宋" w:eastAsia="仿宋" w:hAnsi="仿宋"/>
            <w:sz w:val="28"/>
            <w:szCs w:val="28"/>
          </w:rPr>
          <w:t>30</w:t>
        </w:r>
        <w:r w:rsidR="00D92169">
          <w:rPr>
            <w:rFonts w:ascii="仿宋" w:eastAsia="仿宋" w:hAnsi="仿宋"/>
            <w:sz w:val="28"/>
            <w:szCs w:val="28"/>
          </w:rPr>
          <w:fldChar w:fldCharType="end"/>
        </w:r>
      </w:hyperlink>
    </w:p>
    <w:p w:rsidR="00A571F9" w:rsidRDefault="007D5FFD">
      <w:pPr>
        <w:pStyle w:val="20"/>
        <w:rPr>
          <w:rFonts w:ascii="仿宋" w:eastAsia="仿宋" w:hAnsi="仿宋" w:cstheme="minorBidi"/>
          <w:sz w:val="28"/>
          <w:szCs w:val="28"/>
        </w:rPr>
      </w:pPr>
      <w:hyperlink w:anchor="_Toc15396617" w:history="1">
        <w:r w:rsidR="004911A9">
          <w:rPr>
            <w:rStyle w:val="a8"/>
            <w:rFonts w:ascii="仿宋" w:eastAsia="仿宋" w:hAnsi="仿宋" w:hint="eastAsia"/>
            <w:kern w:val="44"/>
            <w:sz w:val="28"/>
            <w:szCs w:val="28"/>
          </w:rPr>
          <w:t>附件</w:t>
        </w:r>
        <w:r w:rsidR="004911A9">
          <w:rPr>
            <w:rStyle w:val="a8"/>
            <w:rFonts w:ascii="仿宋" w:eastAsia="仿宋" w:hAnsi="仿宋"/>
            <w:kern w:val="44"/>
            <w:sz w:val="28"/>
            <w:szCs w:val="28"/>
          </w:rPr>
          <w:t>2</w:t>
        </w:r>
        <w:r w:rsidR="004911A9">
          <w:rPr>
            <w:rFonts w:ascii="仿宋" w:eastAsia="仿宋" w:hAnsi="仿宋"/>
            <w:sz w:val="28"/>
            <w:szCs w:val="28"/>
          </w:rPr>
          <w:tab/>
        </w:r>
        <w:r w:rsidR="00D92169">
          <w:rPr>
            <w:rFonts w:ascii="仿宋" w:eastAsia="仿宋" w:hAnsi="仿宋"/>
            <w:sz w:val="28"/>
            <w:szCs w:val="28"/>
          </w:rPr>
          <w:fldChar w:fldCharType="begin"/>
        </w:r>
        <w:r w:rsidR="004911A9">
          <w:rPr>
            <w:rFonts w:ascii="仿宋" w:eastAsia="仿宋" w:hAnsi="仿宋"/>
            <w:sz w:val="28"/>
            <w:szCs w:val="28"/>
          </w:rPr>
          <w:instrText xml:space="preserve"> PAGEREF _Toc15396617 \h </w:instrText>
        </w:r>
        <w:r w:rsidR="00D92169">
          <w:rPr>
            <w:rFonts w:ascii="仿宋" w:eastAsia="仿宋" w:hAnsi="仿宋"/>
            <w:sz w:val="28"/>
            <w:szCs w:val="28"/>
          </w:rPr>
        </w:r>
        <w:r w:rsidR="00D92169">
          <w:rPr>
            <w:rFonts w:ascii="仿宋" w:eastAsia="仿宋" w:hAnsi="仿宋"/>
            <w:sz w:val="28"/>
            <w:szCs w:val="28"/>
          </w:rPr>
          <w:fldChar w:fldCharType="separate"/>
        </w:r>
        <w:r w:rsidR="004911A9">
          <w:rPr>
            <w:rFonts w:ascii="仿宋" w:eastAsia="仿宋" w:hAnsi="仿宋"/>
            <w:sz w:val="28"/>
            <w:szCs w:val="28"/>
          </w:rPr>
          <w:t>37</w:t>
        </w:r>
        <w:r w:rsidR="00D92169">
          <w:rPr>
            <w:rFonts w:ascii="仿宋" w:eastAsia="仿宋" w:hAnsi="仿宋"/>
            <w:sz w:val="28"/>
            <w:szCs w:val="28"/>
          </w:rPr>
          <w:fldChar w:fldCharType="end"/>
        </w:r>
      </w:hyperlink>
    </w:p>
    <w:p w:rsidR="00A571F9" w:rsidRDefault="007D5FFD">
      <w:pPr>
        <w:pStyle w:val="10"/>
        <w:rPr>
          <w:rFonts w:cstheme="minorBidi"/>
        </w:rPr>
      </w:pPr>
      <w:hyperlink w:anchor="_Toc15396618" w:history="1">
        <w:r w:rsidR="004911A9">
          <w:rPr>
            <w:rStyle w:val="a8"/>
            <w:rFonts w:hint="eastAsia"/>
          </w:rPr>
          <w:t>第</w:t>
        </w:r>
        <w:r w:rsidR="004911A9">
          <w:rPr>
            <w:rStyle w:val="a8"/>
            <w:rFonts w:hint="eastAsia"/>
            <w:bCs/>
            <w:kern w:val="44"/>
          </w:rPr>
          <w:t>五部分附表</w:t>
        </w:r>
        <w:r w:rsidR="004911A9">
          <w:tab/>
        </w:r>
        <w:r w:rsidR="00D92169">
          <w:fldChar w:fldCharType="begin"/>
        </w:r>
        <w:r w:rsidR="004911A9">
          <w:instrText xml:space="preserve"> PAGEREF _Toc15396618 \h </w:instrText>
        </w:r>
        <w:r w:rsidR="00D92169">
          <w:fldChar w:fldCharType="separate"/>
        </w:r>
        <w:r w:rsidR="004911A9">
          <w:t>42</w:t>
        </w:r>
        <w:r w:rsidR="00D92169">
          <w:fldChar w:fldCharType="end"/>
        </w:r>
      </w:hyperlink>
    </w:p>
    <w:p w:rsidR="00A571F9" w:rsidRDefault="004911A9">
      <w:pPr>
        <w:pStyle w:val="20"/>
        <w:rPr>
          <w:rFonts w:ascii="仿宋" w:eastAsia="仿宋" w:hAnsi="仿宋" w:cstheme="minorBidi"/>
          <w:sz w:val="28"/>
          <w:szCs w:val="28"/>
        </w:rPr>
      </w:pPr>
      <w:r>
        <w:rPr>
          <w:rFonts w:ascii="仿宋" w:eastAsia="仿宋" w:hAnsi="仿宋" w:hint="eastAsia"/>
          <w:sz w:val="28"/>
          <w:szCs w:val="28"/>
        </w:rPr>
        <w:t>一、</w:t>
      </w:r>
      <w:hyperlink w:anchor="_Toc15396619" w:history="1">
        <w:r>
          <w:rPr>
            <w:rStyle w:val="a8"/>
            <w:rFonts w:ascii="仿宋" w:eastAsia="仿宋" w:hAnsi="仿宋" w:hint="eastAsia"/>
            <w:sz w:val="28"/>
            <w:szCs w:val="28"/>
          </w:rPr>
          <w:t>收入支出决算总表</w:t>
        </w:r>
        <w:r>
          <w:rPr>
            <w:rFonts w:ascii="仿宋" w:eastAsia="仿宋" w:hAnsi="仿宋"/>
            <w:sz w:val="28"/>
            <w:szCs w:val="28"/>
          </w:rPr>
          <w:tab/>
        </w:r>
        <w:r w:rsidR="00D92169">
          <w:rPr>
            <w:rFonts w:ascii="仿宋" w:eastAsia="仿宋" w:hAnsi="仿宋"/>
            <w:sz w:val="28"/>
            <w:szCs w:val="28"/>
          </w:rPr>
          <w:fldChar w:fldCharType="begin"/>
        </w:r>
        <w:r>
          <w:rPr>
            <w:rFonts w:ascii="仿宋" w:eastAsia="仿宋" w:hAnsi="仿宋"/>
            <w:sz w:val="28"/>
            <w:szCs w:val="28"/>
          </w:rPr>
          <w:instrText xml:space="preserve"> PAGEREF _Toc15396619 \h </w:instrText>
        </w:r>
        <w:r w:rsidR="00D92169">
          <w:rPr>
            <w:rFonts w:ascii="仿宋" w:eastAsia="仿宋" w:hAnsi="仿宋"/>
            <w:sz w:val="28"/>
            <w:szCs w:val="28"/>
          </w:rPr>
        </w:r>
        <w:r w:rsidR="00D92169">
          <w:rPr>
            <w:rFonts w:ascii="仿宋" w:eastAsia="仿宋" w:hAnsi="仿宋"/>
            <w:sz w:val="28"/>
            <w:szCs w:val="28"/>
          </w:rPr>
          <w:fldChar w:fldCharType="separate"/>
        </w:r>
        <w:r>
          <w:rPr>
            <w:rFonts w:ascii="仿宋" w:eastAsia="仿宋" w:hAnsi="仿宋"/>
            <w:sz w:val="28"/>
            <w:szCs w:val="28"/>
          </w:rPr>
          <w:t>42</w:t>
        </w:r>
        <w:r w:rsidR="00D92169">
          <w:rPr>
            <w:rFonts w:ascii="仿宋" w:eastAsia="仿宋" w:hAnsi="仿宋"/>
            <w:sz w:val="28"/>
            <w:szCs w:val="28"/>
          </w:rPr>
          <w:fldChar w:fldCharType="end"/>
        </w:r>
      </w:hyperlink>
    </w:p>
    <w:p w:rsidR="00A571F9" w:rsidRDefault="004911A9">
      <w:pPr>
        <w:pStyle w:val="20"/>
        <w:rPr>
          <w:rFonts w:ascii="仿宋" w:eastAsia="仿宋" w:hAnsi="仿宋" w:cstheme="minorBidi"/>
          <w:sz w:val="28"/>
          <w:szCs w:val="28"/>
        </w:rPr>
      </w:pPr>
      <w:r>
        <w:rPr>
          <w:rFonts w:ascii="仿宋" w:eastAsia="仿宋" w:hAnsi="仿宋" w:hint="eastAsia"/>
          <w:sz w:val="28"/>
          <w:szCs w:val="28"/>
        </w:rPr>
        <w:t>二、</w:t>
      </w:r>
      <w:hyperlink w:anchor="_Toc15396620" w:history="1">
        <w:r>
          <w:rPr>
            <w:rStyle w:val="a8"/>
            <w:rFonts w:ascii="仿宋" w:eastAsia="仿宋" w:hAnsi="仿宋" w:hint="eastAsia"/>
            <w:sz w:val="28"/>
            <w:szCs w:val="28"/>
          </w:rPr>
          <w:t>收入总表</w:t>
        </w:r>
        <w:r>
          <w:rPr>
            <w:rFonts w:ascii="仿宋" w:eastAsia="仿宋" w:hAnsi="仿宋"/>
            <w:sz w:val="28"/>
            <w:szCs w:val="28"/>
          </w:rPr>
          <w:tab/>
        </w:r>
        <w:r w:rsidR="00D92169">
          <w:rPr>
            <w:rFonts w:ascii="仿宋" w:eastAsia="仿宋" w:hAnsi="仿宋"/>
            <w:sz w:val="28"/>
            <w:szCs w:val="28"/>
          </w:rPr>
          <w:fldChar w:fldCharType="begin"/>
        </w:r>
        <w:r>
          <w:rPr>
            <w:rFonts w:ascii="仿宋" w:eastAsia="仿宋" w:hAnsi="仿宋"/>
            <w:sz w:val="28"/>
            <w:szCs w:val="28"/>
          </w:rPr>
          <w:instrText xml:space="preserve"> PAGEREF _Toc15396620 \h </w:instrText>
        </w:r>
        <w:r w:rsidR="00D92169">
          <w:rPr>
            <w:rFonts w:ascii="仿宋" w:eastAsia="仿宋" w:hAnsi="仿宋"/>
            <w:sz w:val="28"/>
            <w:szCs w:val="28"/>
          </w:rPr>
        </w:r>
        <w:r w:rsidR="00D92169">
          <w:rPr>
            <w:rFonts w:ascii="仿宋" w:eastAsia="仿宋" w:hAnsi="仿宋"/>
            <w:sz w:val="28"/>
            <w:szCs w:val="28"/>
          </w:rPr>
          <w:fldChar w:fldCharType="separate"/>
        </w:r>
        <w:r>
          <w:rPr>
            <w:rFonts w:ascii="仿宋" w:eastAsia="仿宋" w:hAnsi="仿宋"/>
            <w:sz w:val="28"/>
            <w:szCs w:val="28"/>
          </w:rPr>
          <w:t>42</w:t>
        </w:r>
        <w:r w:rsidR="00D92169">
          <w:rPr>
            <w:rFonts w:ascii="仿宋" w:eastAsia="仿宋" w:hAnsi="仿宋"/>
            <w:sz w:val="28"/>
            <w:szCs w:val="28"/>
          </w:rPr>
          <w:fldChar w:fldCharType="end"/>
        </w:r>
      </w:hyperlink>
    </w:p>
    <w:p w:rsidR="00A571F9" w:rsidRDefault="004911A9">
      <w:pPr>
        <w:pStyle w:val="20"/>
        <w:rPr>
          <w:rFonts w:ascii="仿宋" w:eastAsia="仿宋" w:hAnsi="仿宋" w:cstheme="minorBidi"/>
          <w:sz w:val="28"/>
          <w:szCs w:val="28"/>
        </w:rPr>
      </w:pPr>
      <w:r>
        <w:rPr>
          <w:rFonts w:ascii="仿宋" w:eastAsia="仿宋" w:hAnsi="仿宋" w:hint="eastAsia"/>
          <w:sz w:val="28"/>
          <w:szCs w:val="28"/>
        </w:rPr>
        <w:t>三、</w:t>
      </w:r>
      <w:hyperlink w:anchor="_Toc15396621" w:history="1">
        <w:r>
          <w:rPr>
            <w:rStyle w:val="a8"/>
            <w:rFonts w:ascii="仿宋" w:eastAsia="仿宋" w:hAnsi="仿宋" w:hint="eastAsia"/>
            <w:sz w:val="28"/>
            <w:szCs w:val="28"/>
          </w:rPr>
          <w:t>支出总表</w:t>
        </w:r>
        <w:r>
          <w:rPr>
            <w:rFonts w:ascii="仿宋" w:eastAsia="仿宋" w:hAnsi="仿宋"/>
            <w:sz w:val="28"/>
            <w:szCs w:val="28"/>
          </w:rPr>
          <w:tab/>
        </w:r>
        <w:r w:rsidR="00D92169">
          <w:rPr>
            <w:rFonts w:ascii="仿宋" w:eastAsia="仿宋" w:hAnsi="仿宋"/>
            <w:sz w:val="28"/>
            <w:szCs w:val="28"/>
          </w:rPr>
          <w:fldChar w:fldCharType="begin"/>
        </w:r>
        <w:r>
          <w:rPr>
            <w:rFonts w:ascii="仿宋" w:eastAsia="仿宋" w:hAnsi="仿宋"/>
            <w:sz w:val="28"/>
            <w:szCs w:val="28"/>
          </w:rPr>
          <w:instrText xml:space="preserve"> PAGEREF _Toc15396621 \h </w:instrText>
        </w:r>
        <w:r w:rsidR="00D92169">
          <w:rPr>
            <w:rFonts w:ascii="仿宋" w:eastAsia="仿宋" w:hAnsi="仿宋"/>
            <w:sz w:val="28"/>
            <w:szCs w:val="28"/>
          </w:rPr>
        </w:r>
        <w:r w:rsidR="00D92169">
          <w:rPr>
            <w:rFonts w:ascii="仿宋" w:eastAsia="仿宋" w:hAnsi="仿宋"/>
            <w:sz w:val="28"/>
            <w:szCs w:val="28"/>
          </w:rPr>
          <w:fldChar w:fldCharType="separate"/>
        </w:r>
        <w:r>
          <w:rPr>
            <w:rFonts w:ascii="仿宋" w:eastAsia="仿宋" w:hAnsi="仿宋"/>
            <w:sz w:val="28"/>
            <w:szCs w:val="28"/>
          </w:rPr>
          <w:t>42</w:t>
        </w:r>
        <w:r w:rsidR="00D92169">
          <w:rPr>
            <w:rFonts w:ascii="仿宋" w:eastAsia="仿宋" w:hAnsi="仿宋"/>
            <w:sz w:val="28"/>
            <w:szCs w:val="28"/>
          </w:rPr>
          <w:fldChar w:fldCharType="end"/>
        </w:r>
      </w:hyperlink>
    </w:p>
    <w:p w:rsidR="00A571F9" w:rsidRDefault="004911A9">
      <w:pPr>
        <w:pStyle w:val="20"/>
        <w:rPr>
          <w:rFonts w:ascii="仿宋" w:eastAsia="仿宋" w:hAnsi="仿宋" w:cstheme="minorBidi"/>
          <w:sz w:val="28"/>
          <w:szCs w:val="28"/>
        </w:rPr>
      </w:pPr>
      <w:r>
        <w:rPr>
          <w:rFonts w:ascii="仿宋" w:eastAsia="仿宋" w:hAnsi="仿宋" w:hint="eastAsia"/>
          <w:sz w:val="28"/>
          <w:szCs w:val="28"/>
        </w:rPr>
        <w:t>四、</w:t>
      </w:r>
      <w:hyperlink w:anchor="_Toc15396622" w:history="1">
        <w:r>
          <w:rPr>
            <w:rStyle w:val="a8"/>
            <w:rFonts w:ascii="仿宋" w:eastAsia="仿宋" w:hAnsi="仿宋" w:hint="eastAsia"/>
            <w:sz w:val="28"/>
            <w:szCs w:val="28"/>
          </w:rPr>
          <w:t>财政拨款收入支出决算总表</w:t>
        </w:r>
        <w:r>
          <w:rPr>
            <w:rFonts w:ascii="仿宋" w:eastAsia="仿宋" w:hAnsi="仿宋"/>
            <w:sz w:val="28"/>
            <w:szCs w:val="28"/>
          </w:rPr>
          <w:tab/>
        </w:r>
        <w:r w:rsidR="00D92169">
          <w:rPr>
            <w:rFonts w:ascii="仿宋" w:eastAsia="仿宋" w:hAnsi="仿宋"/>
            <w:sz w:val="28"/>
            <w:szCs w:val="28"/>
          </w:rPr>
          <w:fldChar w:fldCharType="begin"/>
        </w:r>
        <w:r>
          <w:rPr>
            <w:rFonts w:ascii="仿宋" w:eastAsia="仿宋" w:hAnsi="仿宋"/>
            <w:sz w:val="28"/>
            <w:szCs w:val="28"/>
          </w:rPr>
          <w:instrText xml:space="preserve"> PAGEREF _Toc15396622 \h </w:instrText>
        </w:r>
        <w:r w:rsidR="00D92169">
          <w:rPr>
            <w:rFonts w:ascii="仿宋" w:eastAsia="仿宋" w:hAnsi="仿宋"/>
            <w:sz w:val="28"/>
            <w:szCs w:val="28"/>
          </w:rPr>
        </w:r>
        <w:r w:rsidR="00D92169">
          <w:rPr>
            <w:rFonts w:ascii="仿宋" w:eastAsia="仿宋" w:hAnsi="仿宋"/>
            <w:sz w:val="28"/>
            <w:szCs w:val="28"/>
          </w:rPr>
          <w:fldChar w:fldCharType="separate"/>
        </w:r>
        <w:r>
          <w:rPr>
            <w:rFonts w:ascii="仿宋" w:eastAsia="仿宋" w:hAnsi="仿宋"/>
            <w:sz w:val="28"/>
            <w:szCs w:val="28"/>
          </w:rPr>
          <w:t>42</w:t>
        </w:r>
        <w:r w:rsidR="00D92169">
          <w:rPr>
            <w:rFonts w:ascii="仿宋" w:eastAsia="仿宋" w:hAnsi="仿宋"/>
            <w:sz w:val="28"/>
            <w:szCs w:val="28"/>
          </w:rPr>
          <w:fldChar w:fldCharType="end"/>
        </w:r>
      </w:hyperlink>
    </w:p>
    <w:p w:rsidR="00A571F9" w:rsidRDefault="004911A9">
      <w:pPr>
        <w:pStyle w:val="20"/>
        <w:rPr>
          <w:rFonts w:ascii="仿宋" w:eastAsia="仿宋" w:hAnsi="仿宋"/>
          <w:sz w:val="28"/>
          <w:szCs w:val="28"/>
        </w:rPr>
      </w:pPr>
      <w:r>
        <w:rPr>
          <w:rFonts w:ascii="仿宋" w:eastAsia="仿宋" w:hAnsi="仿宋" w:hint="eastAsia"/>
          <w:sz w:val="28"/>
          <w:szCs w:val="28"/>
        </w:rPr>
        <w:t>五、</w:t>
      </w:r>
      <w:hyperlink w:anchor="_Toc15396623" w:history="1">
        <w:r>
          <w:rPr>
            <w:rFonts w:ascii="仿宋" w:eastAsia="仿宋" w:hAnsi="仿宋" w:hint="eastAsia"/>
            <w:sz w:val="28"/>
            <w:szCs w:val="28"/>
          </w:rPr>
          <w:t>财政拨款支出决算明细表（政府经济分类科目）</w:t>
        </w:r>
        <w:r>
          <w:rPr>
            <w:rFonts w:ascii="仿宋" w:eastAsia="仿宋" w:hAnsi="仿宋"/>
            <w:sz w:val="28"/>
            <w:szCs w:val="28"/>
          </w:rPr>
          <w:tab/>
        </w:r>
        <w:r w:rsidR="00D92169">
          <w:rPr>
            <w:rFonts w:ascii="仿宋" w:eastAsia="仿宋" w:hAnsi="仿宋"/>
            <w:sz w:val="28"/>
            <w:szCs w:val="28"/>
          </w:rPr>
          <w:fldChar w:fldCharType="begin"/>
        </w:r>
        <w:r>
          <w:rPr>
            <w:rFonts w:ascii="仿宋" w:eastAsia="仿宋" w:hAnsi="仿宋"/>
            <w:sz w:val="28"/>
            <w:szCs w:val="28"/>
          </w:rPr>
          <w:instrText xml:space="preserve"> PAGEREF _Toc15396623 \h </w:instrText>
        </w:r>
        <w:r w:rsidR="00D92169">
          <w:rPr>
            <w:rFonts w:ascii="仿宋" w:eastAsia="仿宋" w:hAnsi="仿宋"/>
            <w:sz w:val="28"/>
            <w:szCs w:val="28"/>
          </w:rPr>
        </w:r>
        <w:r w:rsidR="00D92169">
          <w:rPr>
            <w:rFonts w:ascii="仿宋" w:eastAsia="仿宋" w:hAnsi="仿宋"/>
            <w:sz w:val="28"/>
            <w:szCs w:val="28"/>
          </w:rPr>
          <w:fldChar w:fldCharType="separate"/>
        </w:r>
        <w:r>
          <w:rPr>
            <w:rFonts w:ascii="仿宋" w:eastAsia="仿宋" w:hAnsi="仿宋"/>
            <w:sz w:val="28"/>
            <w:szCs w:val="28"/>
          </w:rPr>
          <w:t>42</w:t>
        </w:r>
        <w:r w:rsidR="00D92169">
          <w:rPr>
            <w:rFonts w:ascii="仿宋" w:eastAsia="仿宋" w:hAnsi="仿宋"/>
            <w:sz w:val="28"/>
            <w:szCs w:val="28"/>
          </w:rPr>
          <w:fldChar w:fldCharType="end"/>
        </w:r>
      </w:hyperlink>
    </w:p>
    <w:p w:rsidR="00A571F9" w:rsidRDefault="004911A9">
      <w:pPr>
        <w:pStyle w:val="20"/>
        <w:rPr>
          <w:rFonts w:ascii="仿宋" w:eastAsia="仿宋" w:hAnsi="仿宋" w:cstheme="minorBidi"/>
          <w:sz w:val="28"/>
          <w:szCs w:val="28"/>
        </w:rPr>
      </w:pPr>
      <w:r>
        <w:rPr>
          <w:rFonts w:ascii="仿宋" w:eastAsia="仿宋" w:hAnsi="仿宋" w:hint="eastAsia"/>
          <w:sz w:val="28"/>
          <w:szCs w:val="28"/>
        </w:rPr>
        <w:t>六、</w:t>
      </w:r>
      <w:hyperlink w:anchor="_Toc15396624" w:history="1">
        <w:r>
          <w:rPr>
            <w:rStyle w:val="a8"/>
            <w:rFonts w:ascii="仿宋" w:eastAsia="仿宋" w:hAnsi="仿宋" w:hint="eastAsia"/>
            <w:sz w:val="28"/>
            <w:szCs w:val="28"/>
          </w:rPr>
          <w:t>一般公共预算财政拨款支出决算表</w:t>
        </w:r>
        <w:r>
          <w:rPr>
            <w:rFonts w:ascii="仿宋" w:eastAsia="仿宋" w:hAnsi="仿宋"/>
            <w:sz w:val="28"/>
            <w:szCs w:val="28"/>
          </w:rPr>
          <w:tab/>
        </w:r>
        <w:r w:rsidR="00D92169">
          <w:rPr>
            <w:rFonts w:ascii="仿宋" w:eastAsia="仿宋" w:hAnsi="仿宋"/>
            <w:sz w:val="28"/>
            <w:szCs w:val="28"/>
          </w:rPr>
          <w:fldChar w:fldCharType="begin"/>
        </w:r>
        <w:r>
          <w:rPr>
            <w:rFonts w:ascii="仿宋" w:eastAsia="仿宋" w:hAnsi="仿宋"/>
            <w:sz w:val="28"/>
            <w:szCs w:val="28"/>
          </w:rPr>
          <w:instrText xml:space="preserve"> PAGEREF _Toc15396624 \h </w:instrText>
        </w:r>
        <w:r w:rsidR="00D92169">
          <w:rPr>
            <w:rFonts w:ascii="仿宋" w:eastAsia="仿宋" w:hAnsi="仿宋"/>
            <w:sz w:val="28"/>
            <w:szCs w:val="28"/>
          </w:rPr>
        </w:r>
        <w:r w:rsidR="00D92169">
          <w:rPr>
            <w:rFonts w:ascii="仿宋" w:eastAsia="仿宋" w:hAnsi="仿宋"/>
            <w:sz w:val="28"/>
            <w:szCs w:val="28"/>
          </w:rPr>
          <w:fldChar w:fldCharType="separate"/>
        </w:r>
        <w:r>
          <w:rPr>
            <w:rFonts w:ascii="仿宋" w:eastAsia="仿宋" w:hAnsi="仿宋"/>
            <w:sz w:val="28"/>
            <w:szCs w:val="28"/>
          </w:rPr>
          <w:t>42</w:t>
        </w:r>
        <w:r w:rsidR="00D92169">
          <w:rPr>
            <w:rFonts w:ascii="仿宋" w:eastAsia="仿宋" w:hAnsi="仿宋"/>
            <w:sz w:val="28"/>
            <w:szCs w:val="28"/>
          </w:rPr>
          <w:fldChar w:fldCharType="end"/>
        </w:r>
      </w:hyperlink>
    </w:p>
    <w:p w:rsidR="00A571F9" w:rsidRDefault="004911A9">
      <w:pPr>
        <w:pStyle w:val="20"/>
        <w:rPr>
          <w:rFonts w:ascii="仿宋" w:eastAsia="仿宋" w:hAnsi="仿宋" w:cstheme="minorBidi"/>
          <w:sz w:val="28"/>
          <w:szCs w:val="28"/>
        </w:rPr>
      </w:pPr>
      <w:r>
        <w:rPr>
          <w:rFonts w:ascii="仿宋" w:eastAsia="仿宋" w:hAnsi="仿宋" w:hint="eastAsia"/>
          <w:sz w:val="28"/>
          <w:szCs w:val="28"/>
        </w:rPr>
        <w:t>七、</w:t>
      </w:r>
      <w:hyperlink w:anchor="_Toc15396625" w:history="1">
        <w:r>
          <w:rPr>
            <w:rStyle w:val="a8"/>
            <w:rFonts w:ascii="仿宋" w:eastAsia="仿宋" w:hAnsi="仿宋" w:hint="eastAsia"/>
            <w:sz w:val="28"/>
            <w:szCs w:val="28"/>
          </w:rPr>
          <w:t>一般公共预算财政拨款支出决算明细表</w:t>
        </w:r>
        <w:r>
          <w:rPr>
            <w:rFonts w:ascii="仿宋" w:eastAsia="仿宋" w:hAnsi="仿宋"/>
            <w:sz w:val="28"/>
            <w:szCs w:val="28"/>
          </w:rPr>
          <w:tab/>
        </w:r>
        <w:r w:rsidR="00D92169">
          <w:rPr>
            <w:rFonts w:ascii="仿宋" w:eastAsia="仿宋" w:hAnsi="仿宋"/>
            <w:sz w:val="28"/>
            <w:szCs w:val="28"/>
          </w:rPr>
          <w:fldChar w:fldCharType="begin"/>
        </w:r>
        <w:r>
          <w:rPr>
            <w:rFonts w:ascii="仿宋" w:eastAsia="仿宋" w:hAnsi="仿宋"/>
            <w:sz w:val="28"/>
            <w:szCs w:val="28"/>
          </w:rPr>
          <w:instrText xml:space="preserve"> PAGEREF _Toc15396625 \h </w:instrText>
        </w:r>
        <w:r w:rsidR="00D92169">
          <w:rPr>
            <w:rFonts w:ascii="仿宋" w:eastAsia="仿宋" w:hAnsi="仿宋"/>
            <w:sz w:val="28"/>
            <w:szCs w:val="28"/>
          </w:rPr>
        </w:r>
        <w:r w:rsidR="00D92169">
          <w:rPr>
            <w:rFonts w:ascii="仿宋" w:eastAsia="仿宋" w:hAnsi="仿宋"/>
            <w:sz w:val="28"/>
            <w:szCs w:val="28"/>
          </w:rPr>
          <w:fldChar w:fldCharType="separate"/>
        </w:r>
        <w:r>
          <w:rPr>
            <w:rFonts w:ascii="仿宋" w:eastAsia="仿宋" w:hAnsi="仿宋"/>
            <w:sz w:val="28"/>
            <w:szCs w:val="28"/>
          </w:rPr>
          <w:t>42</w:t>
        </w:r>
        <w:r w:rsidR="00D92169">
          <w:rPr>
            <w:rFonts w:ascii="仿宋" w:eastAsia="仿宋" w:hAnsi="仿宋"/>
            <w:sz w:val="28"/>
            <w:szCs w:val="28"/>
          </w:rPr>
          <w:fldChar w:fldCharType="end"/>
        </w:r>
      </w:hyperlink>
    </w:p>
    <w:p w:rsidR="00A571F9" w:rsidRDefault="004911A9">
      <w:pPr>
        <w:pStyle w:val="20"/>
        <w:rPr>
          <w:rFonts w:ascii="仿宋" w:eastAsia="仿宋" w:hAnsi="仿宋" w:cstheme="minorBidi"/>
          <w:sz w:val="28"/>
          <w:szCs w:val="28"/>
        </w:rPr>
      </w:pPr>
      <w:r>
        <w:rPr>
          <w:rFonts w:ascii="仿宋" w:eastAsia="仿宋" w:hAnsi="仿宋" w:hint="eastAsia"/>
          <w:sz w:val="28"/>
          <w:szCs w:val="28"/>
        </w:rPr>
        <w:t>八、</w:t>
      </w:r>
      <w:hyperlink w:anchor="_Toc15396626" w:history="1">
        <w:r>
          <w:rPr>
            <w:rStyle w:val="a8"/>
            <w:rFonts w:ascii="仿宋" w:eastAsia="仿宋" w:hAnsi="仿宋" w:hint="eastAsia"/>
            <w:sz w:val="28"/>
            <w:szCs w:val="28"/>
          </w:rPr>
          <w:t>一般公共预算财政拨款基本支出决算表</w:t>
        </w:r>
        <w:r>
          <w:rPr>
            <w:rFonts w:ascii="仿宋" w:eastAsia="仿宋" w:hAnsi="仿宋"/>
            <w:sz w:val="28"/>
            <w:szCs w:val="28"/>
          </w:rPr>
          <w:tab/>
        </w:r>
        <w:r w:rsidR="00D92169">
          <w:rPr>
            <w:rFonts w:ascii="仿宋" w:eastAsia="仿宋" w:hAnsi="仿宋"/>
            <w:sz w:val="28"/>
            <w:szCs w:val="28"/>
          </w:rPr>
          <w:fldChar w:fldCharType="begin"/>
        </w:r>
        <w:r>
          <w:rPr>
            <w:rFonts w:ascii="仿宋" w:eastAsia="仿宋" w:hAnsi="仿宋"/>
            <w:sz w:val="28"/>
            <w:szCs w:val="28"/>
          </w:rPr>
          <w:instrText xml:space="preserve"> PAGEREF _Toc15396626 \h </w:instrText>
        </w:r>
        <w:r w:rsidR="00D92169">
          <w:rPr>
            <w:rFonts w:ascii="仿宋" w:eastAsia="仿宋" w:hAnsi="仿宋"/>
            <w:sz w:val="28"/>
            <w:szCs w:val="28"/>
          </w:rPr>
        </w:r>
        <w:r w:rsidR="00D92169">
          <w:rPr>
            <w:rFonts w:ascii="仿宋" w:eastAsia="仿宋" w:hAnsi="仿宋"/>
            <w:sz w:val="28"/>
            <w:szCs w:val="28"/>
          </w:rPr>
          <w:fldChar w:fldCharType="separate"/>
        </w:r>
        <w:r>
          <w:rPr>
            <w:rFonts w:ascii="仿宋" w:eastAsia="仿宋" w:hAnsi="仿宋"/>
            <w:sz w:val="28"/>
            <w:szCs w:val="28"/>
          </w:rPr>
          <w:t>42</w:t>
        </w:r>
        <w:r w:rsidR="00D92169">
          <w:rPr>
            <w:rFonts w:ascii="仿宋" w:eastAsia="仿宋" w:hAnsi="仿宋"/>
            <w:sz w:val="28"/>
            <w:szCs w:val="28"/>
          </w:rPr>
          <w:fldChar w:fldCharType="end"/>
        </w:r>
      </w:hyperlink>
    </w:p>
    <w:p w:rsidR="00A571F9" w:rsidRDefault="004911A9">
      <w:pPr>
        <w:pStyle w:val="20"/>
        <w:rPr>
          <w:rFonts w:ascii="仿宋" w:eastAsia="仿宋" w:hAnsi="仿宋" w:cstheme="minorBidi"/>
          <w:sz w:val="28"/>
          <w:szCs w:val="28"/>
        </w:rPr>
      </w:pPr>
      <w:r>
        <w:rPr>
          <w:rFonts w:ascii="仿宋" w:eastAsia="仿宋" w:hAnsi="仿宋" w:hint="eastAsia"/>
          <w:sz w:val="28"/>
          <w:szCs w:val="28"/>
        </w:rPr>
        <w:t>九、</w:t>
      </w:r>
      <w:hyperlink w:anchor="_Toc15396627" w:history="1">
        <w:r>
          <w:rPr>
            <w:rStyle w:val="a8"/>
            <w:rFonts w:ascii="仿宋" w:eastAsia="仿宋" w:hAnsi="仿宋" w:hint="eastAsia"/>
            <w:sz w:val="28"/>
            <w:szCs w:val="28"/>
          </w:rPr>
          <w:t>一般公共预算财政拨款项目支出决算表</w:t>
        </w:r>
        <w:r>
          <w:rPr>
            <w:rFonts w:ascii="仿宋" w:eastAsia="仿宋" w:hAnsi="仿宋"/>
            <w:sz w:val="28"/>
            <w:szCs w:val="28"/>
          </w:rPr>
          <w:tab/>
        </w:r>
        <w:r w:rsidR="00D92169">
          <w:rPr>
            <w:rFonts w:ascii="仿宋" w:eastAsia="仿宋" w:hAnsi="仿宋"/>
            <w:sz w:val="28"/>
            <w:szCs w:val="28"/>
          </w:rPr>
          <w:fldChar w:fldCharType="begin"/>
        </w:r>
        <w:r>
          <w:rPr>
            <w:rFonts w:ascii="仿宋" w:eastAsia="仿宋" w:hAnsi="仿宋"/>
            <w:sz w:val="28"/>
            <w:szCs w:val="28"/>
          </w:rPr>
          <w:instrText xml:space="preserve"> PAGEREF _Toc15396627 \h </w:instrText>
        </w:r>
        <w:r w:rsidR="00D92169">
          <w:rPr>
            <w:rFonts w:ascii="仿宋" w:eastAsia="仿宋" w:hAnsi="仿宋"/>
            <w:sz w:val="28"/>
            <w:szCs w:val="28"/>
          </w:rPr>
        </w:r>
        <w:r w:rsidR="00D92169">
          <w:rPr>
            <w:rFonts w:ascii="仿宋" w:eastAsia="仿宋" w:hAnsi="仿宋"/>
            <w:sz w:val="28"/>
            <w:szCs w:val="28"/>
          </w:rPr>
          <w:fldChar w:fldCharType="separate"/>
        </w:r>
        <w:r>
          <w:rPr>
            <w:rFonts w:ascii="仿宋" w:eastAsia="仿宋" w:hAnsi="仿宋"/>
            <w:sz w:val="28"/>
            <w:szCs w:val="28"/>
          </w:rPr>
          <w:t>42</w:t>
        </w:r>
        <w:r w:rsidR="00D92169">
          <w:rPr>
            <w:rFonts w:ascii="仿宋" w:eastAsia="仿宋" w:hAnsi="仿宋"/>
            <w:sz w:val="28"/>
            <w:szCs w:val="28"/>
          </w:rPr>
          <w:fldChar w:fldCharType="end"/>
        </w:r>
      </w:hyperlink>
    </w:p>
    <w:p w:rsidR="00A571F9" w:rsidRDefault="004911A9">
      <w:pPr>
        <w:pStyle w:val="20"/>
        <w:rPr>
          <w:rFonts w:ascii="仿宋" w:eastAsia="仿宋" w:hAnsi="仿宋" w:cstheme="minorBidi"/>
          <w:sz w:val="28"/>
          <w:szCs w:val="28"/>
        </w:rPr>
      </w:pPr>
      <w:r>
        <w:rPr>
          <w:rFonts w:ascii="仿宋" w:eastAsia="仿宋" w:hAnsi="仿宋" w:hint="eastAsia"/>
          <w:sz w:val="28"/>
          <w:szCs w:val="28"/>
        </w:rPr>
        <w:t>十、</w:t>
      </w:r>
      <w:hyperlink w:anchor="_Toc15396628" w:history="1">
        <w:r>
          <w:rPr>
            <w:rStyle w:val="a8"/>
            <w:rFonts w:ascii="仿宋" w:eastAsia="仿宋" w:hAnsi="仿宋" w:hint="eastAsia"/>
            <w:sz w:val="28"/>
            <w:szCs w:val="28"/>
          </w:rPr>
          <w:t>一般公共预算财政拨款“三公”经费支出决算表</w:t>
        </w:r>
        <w:r>
          <w:rPr>
            <w:rFonts w:ascii="仿宋" w:eastAsia="仿宋" w:hAnsi="仿宋"/>
            <w:sz w:val="28"/>
            <w:szCs w:val="28"/>
          </w:rPr>
          <w:tab/>
        </w:r>
        <w:r w:rsidR="00D92169">
          <w:rPr>
            <w:rFonts w:ascii="仿宋" w:eastAsia="仿宋" w:hAnsi="仿宋"/>
            <w:sz w:val="28"/>
            <w:szCs w:val="28"/>
          </w:rPr>
          <w:fldChar w:fldCharType="begin"/>
        </w:r>
        <w:r>
          <w:rPr>
            <w:rFonts w:ascii="仿宋" w:eastAsia="仿宋" w:hAnsi="仿宋"/>
            <w:sz w:val="28"/>
            <w:szCs w:val="28"/>
          </w:rPr>
          <w:instrText xml:space="preserve"> PAGEREF _Toc15396628 \h </w:instrText>
        </w:r>
        <w:r w:rsidR="00D92169">
          <w:rPr>
            <w:rFonts w:ascii="仿宋" w:eastAsia="仿宋" w:hAnsi="仿宋"/>
            <w:sz w:val="28"/>
            <w:szCs w:val="28"/>
          </w:rPr>
        </w:r>
        <w:r w:rsidR="00D92169">
          <w:rPr>
            <w:rFonts w:ascii="仿宋" w:eastAsia="仿宋" w:hAnsi="仿宋"/>
            <w:sz w:val="28"/>
            <w:szCs w:val="28"/>
          </w:rPr>
          <w:fldChar w:fldCharType="separate"/>
        </w:r>
        <w:r>
          <w:rPr>
            <w:rFonts w:ascii="仿宋" w:eastAsia="仿宋" w:hAnsi="仿宋"/>
            <w:sz w:val="28"/>
            <w:szCs w:val="28"/>
          </w:rPr>
          <w:t>42</w:t>
        </w:r>
        <w:r w:rsidR="00D92169">
          <w:rPr>
            <w:rFonts w:ascii="仿宋" w:eastAsia="仿宋" w:hAnsi="仿宋"/>
            <w:sz w:val="28"/>
            <w:szCs w:val="28"/>
          </w:rPr>
          <w:fldChar w:fldCharType="end"/>
        </w:r>
      </w:hyperlink>
    </w:p>
    <w:p w:rsidR="00A571F9" w:rsidRDefault="004911A9">
      <w:pPr>
        <w:pStyle w:val="20"/>
        <w:rPr>
          <w:rFonts w:ascii="仿宋" w:eastAsia="仿宋" w:hAnsi="仿宋" w:cstheme="minorBidi"/>
          <w:sz w:val="28"/>
          <w:szCs w:val="28"/>
        </w:rPr>
      </w:pPr>
      <w:r>
        <w:rPr>
          <w:rFonts w:ascii="仿宋" w:eastAsia="仿宋" w:hAnsi="仿宋" w:hint="eastAsia"/>
          <w:sz w:val="28"/>
          <w:szCs w:val="28"/>
        </w:rPr>
        <w:t>十一、</w:t>
      </w:r>
      <w:hyperlink w:anchor="_Toc15396629" w:history="1">
        <w:r>
          <w:rPr>
            <w:rStyle w:val="a8"/>
            <w:rFonts w:ascii="仿宋" w:eastAsia="仿宋" w:hAnsi="仿宋" w:hint="eastAsia"/>
            <w:sz w:val="28"/>
            <w:szCs w:val="28"/>
          </w:rPr>
          <w:t>政府性基金预算财政拨款收入支出决算表</w:t>
        </w:r>
        <w:r>
          <w:rPr>
            <w:rFonts w:ascii="仿宋" w:eastAsia="仿宋" w:hAnsi="仿宋"/>
            <w:sz w:val="28"/>
            <w:szCs w:val="28"/>
          </w:rPr>
          <w:tab/>
        </w:r>
        <w:r w:rsidR="00D92169">
          <w:rPr>
            <w:rFonts w:ascii="仿宋" w:eastAsia="仿宋" w:hAnsi="仿宋"/>
            <w:sz w:val="28"/>
            <w:szCs w:val="28"/>
          </w:rPr>
          <w:fldChar w:fldCharType="begin"/>
        </w:r>
        <w:r>
          <w:rPr>
            <w:rFonts w:ascii="仿宋" w:eastAsia="仿宋" w:hAnsi="仿宋"/>
            <w:sz w:val="28"/>
            <w:szCs w:val="28"/>
          </w:rPr>
          <w:instrText xml:space="preserve"> PAGEREF _Toc15396629 \h </w:instrText>
        </w:r>
        <w:r w:rsidR="00D92169">
          <w:rPr>
            <w:rFonts w:ascii="仿宋" w:eastAsia="仿宋" w:hAnsi="仿宋"/>
            <w:sz w:val="28"/>
            <w:szCs w:val="28"/>
          </w:rPr>
        </w:r>
        <w:r w:rsidR="00D92169">
          <w:rPr>
            <w:rFonts w:ascii="仿宋" w:eastAsia="仿宋" w:hAnsi="仿宋"/>
            <w:sz w:val="28"/>
            <w:szCs w:val="28"/>
          </w:rPr>
          <w:fldChar w:fldCharType="separate"/>
        </w:r>
        <w:r>
          <w:rPr>
            <w:rFonts w:ascii="仿宋" w:eastAsia="仿宋" w:hAnsi="仿宋"/>
            <w:sz w:val="28"/>
            <w:szCs w:val="28"/>
          </w:rPr>
          <w:t>42</w:t>
        </w:r>
        <w:r w:rsidR="00D92169">
          <w:rPr>
            <w:rFonts w:ascii="仿宋" w:eastAsia="仿宋" w:hAnsi="仿宋"/>
            <w:sz w:val="28"/>
            <w:szCs w:val="28"/>
          </w:rPr>
          <w:fldChar w:fldCharType="end"/>
        </w:r>
      </w:hyperlink>
    </w:p>
    <w:p w:rsidR="00A571F9" w:rsidRDefault="004911A9">
      <w:pPr>
        <w:pStyle w:val="20"/>
        <w:rPr>
          <w:rFonts w:ascii="仿宋" w:eastAsia="仿宋" w:hAnsi="仿宋" w:cstheme="minorBidi"/>
          <w:sz w:val="28"/>
          <w:szCs w:val="28"/>
        </w:rPr>
      </w:pPr>
      <w:r>
        <w:rPr>
          <w:rFonts w:ascii="仿宋" w:eastAsia="仿宋" w:hAnsi="仿宋" w:hint="eastAsia"/>
          <w:sz w:val="28"/>
          <w:szCs w:val="28"/>
        </w:rPr>
        <w:t>十二、</w:t>
      </w:r>
      <w:hyperlink w:anchor="_Toc15396630" w:history="1">
        <w:r>
          <w:rPr>
            <w:rStyle w:val="a8"/>
            <w:rFonts w:ascii="仿宋" w:eastAsia="仿宋" w:hAnsi="仿宋" w:hint="eastAsia"/>
            <w:sz w:val="28"/>
            <w:szCs w:val="28"/>
          </w:rPr>
          <w:t>政府性基金预算财政拨款“三公”经费支出决算表</w:t>
        </w:r>
        <w:r>
          <w:rPr>
            <w:rFonts w:ascii="仿宋" w:eastAsia="仿宋" w:hAnsi="仿宋"/>
            <w:sz w:val="28"/>
            <w:szCs w:val="28"/>
          </w:rPr>
          <w:tab/>
        </w:r>
        <w:r w:rsidR="00D92169">
          <w:rPr>
            <w:rFonts w:ascii="仿宋" w:eastAsia="仿宋" w:hAnsi="仿宋"/>
            <w:sz w:val="28"/>
            <w:szCs w:val="28"/>
          </w:rPr>
          <w:fldChar w:fldCharType="begin"/>
        </w:r>
        <w:r>
          <w:rPr>
            <w:rFonts w:ascii="仿宋" w:eastAsia="仿宋" w:hAnsi="仿宋"/>
            <w:sz w:val="28"/>
            <w:szCs w:val="28"/>
          </w:rPr>
          <w:instrText xml:space="preserve"> PAGEREF _Toc15396630 \h </w:instrText>
        </w:r>
        <w:r w:rsidR="00D92169">
          <w:rPr>
            <w:rFonts w:ascii="仿宋" w:eastAsia="仿宋" w:hAnsi="仿宋"/>
            <w:sz w:val="28"/>
            <w:szCs w:val="28"/>
          </w:rPr>
        </w:r>
        <w:r w:rsidR="00D92169">
          <w:rPr>
            <w:rFonts w:ascii="仿宋" w:eastAsia="仿宋" w:hAnsi="仿宋"/>
            <w:sz w:val="28"/>
            <w:szCs w:val="28"/>
          </w:rPr>
          <w:fldChar w:fldCharType="separate"/>
        </w:r>
        <w:r>
          <w:rPr>
            <w:rFonts w:ascii="仿宋" w:eastAsia="仿宋" w:hAnsi="仿宋"/>
            <w:sz w:val="28"/>
            <w:szCs w:val="28"/>
          </w:rPr>
          <w:t>42</w:t>
        </w:r>
        <w:r w:rsidR="00D92169">
          <w:rPr>
            <w:rFonts w:ascii="仿宋" w:eastAsia="仿宋" w:hAnsi="仿宋"/>
            <w:sz w:val="28"/>
            <w:szCs w:val="28"/>
          </w:rPr>
          <w:fldChar w:fldCharType="end"/>
        </w:r>
      </w:hyperlink>
    </w:p>
    <w:p w:rsidR="00A571F9" w:rsidRDefault="004911A9">
      <w:pPr>
        <w:pStyle w:val="20"/>
        <w:rPr>
          <w:rFonts w:ascii="仿宋" w:eastAsia="仿宋" w:hAnsi="仿宋" w:cstheme="minorBidi"/>
          <w:sz w:val="24"/>
        </w:rPr>
      </w:pPr>
      <w:r>
        <w:rPr>
          <w:rFonts w:ascii="仿宋" w:eastAsia="仿宋" w:hAnsi="仿宋" w:hint="eastAsia"/>
          <w:sz w:val="28"/>
          <w:szCs w:val="28"/>
        </w:rPr>
        <w:t>十三、</w:t>
      </w:r>
      <w:hyperlink w:anchor="_Toc15396631" w:history="1">
        <w:r>
          <w:rPr>
            <w:rStyle w:val="a8"/>
            <w:rFonts w:ascii="仿宋" w:eastAsia="仿宋" w:hAnsi="仿宋" w:hint="eastAsia"/>
            <w:sz w:val="28"/>
            <w:szCs w:val="28"/>
          </w:rPr>
          <w:t>国有资本经营预算支出决算表</w:t>
        </w:r>
        <w:r>
          <w:rPr>
            <w:rFonts w:ascii="仿宋" w:eastAsia="仿宋" w:hAnsi="仿宋"/>
            <w:sz w:val="28"/>
            <w:szCs w:val="28"/>
          </w:rPr>
          <w:tab/>
        </w:r>
        <w:r w:rsidR="00D92169">
          <w:rPr>
            <w:rFonts w:ascii="仿宋" w:eastAsia="仿宋" w:hAnsi="仿宋"/>
            <w:sz w:val="28"/>
            <w:szCs w:val="28"/>
          </w:rPr>
          <w:fldChar w:fldCharType="begin"/>
        </w:r>
        <w:r>
          <w:rPr>
            <w:rFonts w:ascii="仿宋" w:eastAsia="仿宋" w:hAnsi="仿宋"/>
            <w:sz w:val="28"/>
            <w:szCs w:val="28"/>
          </w:rPr>
          <w:instrText xml:space="preserve"> PAGEREF _Toc15396631 \h </w:instrText>
        </w:r>
        <w:r w:rsidR="00D92169">
          <w:rPr>
            <w:rFonts w:ascii="仿宋" w:eastAsia="仿宋" w:hAnsi="仿宋"/>
            <w:sz w:val="28"/>
            <w:szCs w:val="28"/>
          </w:rPr>
        </w:r>
        <w:r w:rsidR="00D92169">
          <w:rPr>
            <w:rFonts w:ascii="仿宋" w:eastAsia="仿宋" w:hAnsi="仿宋"/>
            <w:sz w:val="28"/>
            <w:szCs w:val="28"/>
          </w:rPr>
          <w:fldChar w:fldCharType="separate"/>
        </w:r>
        <w:r>
          <w:rPr>
            <w:rFonts w:ascii="仿宋" w:eastAsia="仿宋" w:hAnsi="仿宋"/>
            <w:sz w:val="28"/>
            <w:szCs w:val="28"/>
          </w:rPr>
          <w:t>42</w:t>
        </w:r>
        <w:r w:rsidR="00D92169">
          <w:rPr>
            <w:rFonts w:ascii="仿宋" w:eastAsia="仿宋" w:hAnsi="仿宋"/>
            <w:sz w:val="28"/>
            <w:szCs w:val="28"/>
          </w:rPr>
          <w:fldChar w:fldCharType="end"/>
        </w:r>
      </w:hyperlink>
    </w:p>
    <w:p w:rsidR="00A571F9" w:rsidRDefault="00D92169">
      <w:pPr>
        <w:widowControl/>
        <w:jc w:val="left"/>
        <w:rPr>
          <w:rFonts w:ascii="仿宋" w:eastAsia="仿宋" w:hAnsi="仿宋"/>
          <w:color w:val="000000"/>
          <w:sz w:val="24"/>
        </w:rPr>
      </w:pPr>
      <w:r>
        <w:rPr>
          <w:rFonts w:ascii="仿宋" w:eastAsia="仿宋" w:hAnsi="仿宋"/>
          <w:color w:val="000000"/>
          <w:sz w:val="24"/>
        </w:rPr>
        <w:fldChar w:fldCharType="end"/>
      </w:r>
    </w:p>
    <w:p w:rsidR="00A571F9" w:rsidRDefault="004911A9">
      <w:pPr>
        <w:widowControl/>
        <w:jc w:val="left"/>
        <w:rPr>
          <w:rFonts w:ascii="黑体" w:eastAsia="黑体" w:hAnsi="黑体"/>
          <w:bCs/>
          <w:kern w:val="44"/>
          <w:sz w:val="44"/>
          <w:szCs w:val="44"/>
        </w:rPr>
      </w:pPr>
      <w:bookmarkStart w:id="12" w:name="_Toc15377196"/>
      <w:bookmarkStart w:id="13" w:name="_Toc15396599"/>
      <w:r>
        <w:rPr>
          <w:rFonts w:ascii="黑体" w:eastAsia="黑体" w:hAnsi="黑体"/>
          <w:b/>
        </w:rPr>
        <w:br w:type="page"/>
      </w:r>
    </w:p>
    <w:p w:rsidR="00A571F9" w:rsidRDefault="004911A9">
      <w:pPr>
        <w:pStyle w:val="1"/>
        <w:jc w:val="center"/>
        <w:rPr>
          <w:rStyle w:val="1Char"/>
          <w:rFonts w:ascii="黑体" w:eastAsia="黑体" w:hAnsi="黑体"/>
          <w:b/>
        </w:rPr>
      </w:pPr>
      <w:r>
        <w:rPr>
          <w:rFonts w:ascii="黑体" w:eastAsia="黑体" w:hAnsi="黑体" w:hint="eastAsia"/>
          <w:b w:val="0"/>
        </w:rPr>
        <w:lastRenderedPageBreak/>
        <w:t xml:space="preserve">第一部分 </w:t>
      </w:r>
      <w:r>
        <w:rPr>
          <w:rStyle w:val="1Char"/>
          <w:rFonts w:ascii="黑体" w:eastAsia="黑体" w:hAnsi="黑体" w:hint="eastAsia"/>
        </w:rPr>
        <w:t>部门概况</w:t>
      </w:r>
      <w:bookmarkEnd w:id="12"/>
      <w:bookmarkEnd w:id="13"/>
    </w:p>
    <w:p w:rsidR="00A571F9" w:rsidRDefault="00A571F9">
      <w:pPr>
        <w:widowControl/>
        <w:jc w:val="left"/>
        <w:rPr>
          <w:rFonts w:ascii="黑体" w:eastAsia="黑体"/>
          <w:color w:val="000000"/>
          <w:sz w:val="32"/>
          <w:szCs w:val="32"/>
        </w:rPr>
      </w:pPr>
    </w:p>
    <w:p w:rsidR="00A571F9" w:rsidRDefault="004911A9">
      <w:pPr>
        <w:pStyle w:val="2"/>
        <w:rPr>
          <w:rStyle w:val="2Char"/>
          <w:rFonts w:ascii="仿宋" w:eastAsia="仿宋" w:hAnsi="仿宋"/>
        </w:rPr>
      </w:pPr>
      <w:bookmarkStart w:id="14" w:name="_Toc15377197"/>
      <w:bookmarkStart w:id="15" w:name="_Toc15396600"/>
      <w:r>
        <w:rPr>
          <w:rFonts w:ascii="黑体" w:eastAsia="黑体" w:hAnsi="黑体" w:hint="eastAsia"/>
          <w:b w:val="0"/>
          <w:color w:val="000000"/>
        </w:rPr>
        <w:t>一、基</w:t>
      </w:r>
      <w:r>
        <w:rPr>
          <w:rStyle w:val="2Char"/>
          <w:rFonts w:ascii="黑体" w:eastAsia="黑体" w:hAnsi="黑体" w:hint="eastAsia"/>
        </w:rPr>
        <w:t>本职能及主要工作</w:t>
      </w:r>
      <w:bookmarkEnd w:id="14"/>
      <w:bookmarkEnd w:id="15"/>
    </w:p>
    <w:p w:rsidR="00A571F9" w:rsidRDefault="004911A9">
      <w:pPr>
        <w:pStyle w:val="a3"/>
        <w:adjustRightInd w:val="0"/>
        <w:snapToGrid w:val="0"/>
        <w:spacing w:before="93" w:line="600" w:lineRule="exact"/>
        <w:ind w:firstLineChars="210" w:firstLine="672"/>
        <w:outlineLvl w:val="2"/>
        <w:rPr>
          <w:rFonts w:ascii="仿宋" w:eastAsia="仿宋" w:hAnsi="仿宋"/>
          <w:bCs/>
          <w:color w:val="000000"/>
          <w:sz w:val="32"/>
          <w:szCs w:val="32"/>
        </w:rPr>
      </w:pPr>
      <w:bookmarkStart w:id="16" w:name="_Toc15377198"/>
      <w:bookmarkStart w:id="17" w:name="_Toc15378445"/>
      <w:r>
        <w:rPr>
          <w:rFonts w:ascii="仿宋" w:eastAsia="仿宋" w:hAnsi="仿宋" w:hint="eastAsia"/>
          <w:bCs/>
          <w:color w:val="000000"/>
          <w:sz w:val="32"/>
          <w:szCs w:val="32"/>
        </w:rPr>
        <w:t>（一）主要职能。</w:t>
      </w:r>
      <w:bookmarkEnd w:id="16"/>
      <w:bookmarkEnd w:id="17"/>
      <w:r>
        <w:rPr>
          <w:rFonts w:ascii="仿宋" w:eastAsia="仿宋" w:hAnsi="仿宋" w:hint="eastAsia"/>
          <w:bCs/>
          <w:color w:val="000000"/>
          <w:sz w:val="32"/>
          <w:szCs w:val="32"/>
        </w:rPr>
        <w:t>市法院依法承担我市审判职能。具体审判任务：依法审判法律规定由中级人民法院管辖和其认为应当由其审判的刑事、民事、行政等一审案件；审理法律规定由中级人民法院审理的刑事、民事、行政等二审案件；受理各类申诉和再审案件及减刑、假释案件；审理市人民检察院的抗诉案件；对县区法院行使指定管辖权；监督指导全市基层人民法院审判工作；行使司法执行权和司法决定权；依法决定国家赔偿；提出司法建议。同时还要协助党委做好基层法院领导班子建设，对法院的经费和物资装备进行管理，开展法制宣传等工作。</w:t>
      </w:r>
    </w:p>
    <w:p w:rsidR="00A571F9" w:rsidRDefault="004911A9">
      <w:pPr>
        <w:pStyle w:val="a3"/>
        <w:adjustRightInd w:val="0"/>
        <w:snapToGrid w:val="0"/>
        <w:spacing w:before="93" w:line="600" w:lineRule="exact"/>
        <w:ind w:firstLineChars="210" w:firstLine="672"/>
        <w:outlineLvl w:val="2"/>
        <w:rPr>
          <w:rFonts w:ascii="仿宋" w:eastAsia="仿宋" w:hAnsi="仿宋"/>
          <w:bCs/>
          <w:color w:val="000000"/>
          <w:sz w:val="32"/>
          <w:szCs w:val="32"/>
        </w:rPr>
      </w:pPr>
      <w:bookmarkStart w:id="18" w:name="_Toc15377199"/>
      <w:bookmarkStart w:id="19" w:name="_Toc15378446"/>
      <w:r>
        <w:rPr>
          <w:rFonts w:ascii="仿宋" w:eastAsia="仿宋" w:hAnsi="仿宋" w:hint="eastAsia"/>
          <w:bCs/>
          <w:color w:val="000000"/>
          <w:sz w:val="32"/>
          <w:szCs w:val="32"/>
        </w:rPr>
        <w:t>（二）</w:t>
      </w:r>
      <w:r>
        <w:rPr>
          <w:rFonts w:ascii="仿宋" w:eastAsia="仿宋" w:hAnsi="仿宋"/>
          <w:bCs/>
          <w:color w:val="000000"/>
          <w:sz w:val="32"/>
          <w:szCs w:val="32"/>
        </w:rPr>
        <w:t>201</w:t>
      </w:r>
      <w:r>
        <w:rPr>
          <w:rFonts w:ascii="仿宋" w:eastAsia="仿宋" w:hAnsi="仿宋" w:hint="eastAsia"/>
          <w:bCs/>
          <w:color w:val="000000"/>
          <w:sz w:val="32"/>
          <w:szCs w:val="32"/>
        </w:rPr>
        <w:t>8年重点工作完成情况。</w:t>
      </w:r>
      <w:bookmarkEnd w:id="18"/>
      <w:bookmarkEnd w:id="19"/>
      <w:r>
        <w:rPr>
          <w:rFonts w:ascii="仿宋" w:eastAsia="仿宋" w:hAnsi="仿宋" w:hint="eastAsia"/>
          <w:bCs/>
          <w:color w:val="000000"/>
          <w:sz w:val="32"/>
          <w:szCs w:val="32"/>
        </w:rPr>
        <w:t>2018年市中级人民法院受理案件3008件、结案2965件，同比下降11.56%和12.9%。2018年攀枝花中院审判、执行、信访调解等各项工作进一步加强，特别是档案信息化建设、执行指挥中心建设、多功能大法庭建设取得了较好成绩，为攀枝花依法治市做出了法院应有的贡献。</w:t>
      </w:r>
    </w:p>
    <w:p w:rsidR="00A571F9" w:rsidRDefault="004911A9">
      <w:pPr>
        <w:pStyle w:val="2"/>
        <w:rPr>
          <w:rStyle w:val="2Char"/>
        </w:rPr>
      </w:pPr>
      <w:bookmarkStart w:id="20" w:name="_Toc15396601"/>
      <w:bookmarkStart w:id="21" w:name="_Toc15377200"/>
      <w:r>
        <w:rPr>
          <w:rFonts w:ascii="黑体" w:eastAsia="黑体" w:hint="eastAsia"/>
          <w:b w:val="0"/>
          <w:color w:val="000000"/>
        </w:rPr>
        <w:lastRenderedPageBreak/>
        <w:t>二、</w:t>
      </w:r>
      <w:r>
        <w:rPr>
          <w:rFonts w:ascii="黑体" w:eastAsia="黑体" w:hAnsi="黑体" w:hint="eastAsia"/>
          <w:b w:val="0"/>
          <w:color w:val="000000"/>
        </w:rPr>
        <w:t>机</w:t>
      </w:r>
      <w:r>
        <w:rPr>
          <w:rStyle w:val="2Char"/>
          <w:rFonts w:ascii="黑体" w:eastAsia="黑体" w:hAnsi="黑体" w:hint="eastAsia"/>
        </w:rPr>
        <w:t>构设置</w:t>
      </w:r>
      <w:bookmarkEnd w:id="20"/>
      <w:bookmarkEnd w:id="21"/>
    </w:p>
    <w:p w:rsidR="00A571F9" w:rsidRDefault="004911A9">
      <w:pPr>
        <w:ind w:firstLineChars="250" w:firstLine="800"/>
        <w:rPr>
          <w:rFonts w:ascii="仿宋" w:eastAsia="仿宋" w:hAnsi="仿宋"/>
          <w:sz w:val="32"/>
          <w:szCs w:val="32"/>
        </w:rPr>
      </w:pPr>
      <w:r>
        <w:rPr>
          <w:rFonts w:ascii="仿宋" w:eastAsia="仿宋" w:hAnsi="仿宋" w:hint="eastAsia"/>
          <w:sz w:val="32"/>
          <w:szCs w:val="32"/>
        </w:rPr>
        <w:t>攀枝花市中级人民法院下属二级单位0个，其中行政单位0个，参照公务员法管理的事业单位</w:t>
      </w:r>
      <w:r>
        <w:rPr>
          <w:rFonts w:ascii="仿宋" w:eastAsia="仿宋" w:hAnsi="仿宋" w:hint="eastAsia"/>
          <w:bCs/>
          <w:sz w:val="32"/>
          <w:szCs w:val="32"/>
        </w:rPr>
        <w:t>0</w:t>
      </w:r>
      <w:r>
        <w:rPr>
          <w:rFonts w:ascii="仿宋" w:eastAsia="仿宋" w:hAnsi="仿宋" w:hint="eastAsia"/>
          <w:sz w:val="32"/>
          <w:szCs w:val="32"/>
        </w:rPr>
        <w:t>个，其他事业单位0个。</w:t>
      </w:r>
    </w:p>
    <w:p w:rsidR="00A571F9" w:rsidRDefault="004911A9">
      <w:pPr>
        <w:pStyle w:val="a3"/>
        <w:adjustRightInd w:val="0"/>
        <w:snapToGrid w:val="0"/>
        <w:spacing w:before="93" w:line="600" w:lineRule="exact"/>
        <w:ind w:firstLineChars="210" w:firstLine="672"/>
        <w:rPr>
          <w:rFonts w:ascii="仿宋" w:eastAsia="仿宋" w:hAnsi="仿宋"/>
          <w:color w:val="000000"/>
          <w:sz w:val="32"/>
          <w:szCs w:val="32"/>
        </w:rPr>
      </w:pPr>
      <w:r>
        <w:rPr>
          <w:rFonts w:ascii="仿宋" w:eastAsia="仿宋" w:hAnsi="仿宋" w:hint="eastAsia"/>
          <w:color w:val="000000"/>
          <w:sz w:val="32"/>
          <w:szCs w:val="32"/>
        </w:rPr>
        <w:t>纳入攀枝花市中级人民法院2018年度部门决算编制范围的二级预算单位0个。</w:t>
      </w:r>
    </w:p>
    <w:p w:rsidR="00A571F9" w:rsidRDefault="00A571F9">
      <w:pPr>
        <w:pStyle w:val="a3"/>
        <w:adjustRightInd w:val="0"/>
        <w:snapToGrid w:val="0"/>
        <w:spacing w:before="93" w:line="600" w:lineRule="exact"/>
        <w:ind w:firstLineChars="210" w:firstLine="672"/>
        <w:rPr>
          <w:rFonts w:ascii="仿宋" w:eastAsia="仿宋" w:hAnsi="仿宋"/>
          <w:color w:val="000000"/>
          <w:sz w:val="32"/>
          <w:szCs w:val="32"/>
        </w:rPr>
      </w:pPr>
    </w:p>
    <w:p w:rsidR="00A571F9" w:rsidRDefault="00A571F9">
      <w:pPr>
        <w:pStyle w:val="a3"/>
        <w:adjustRightInd w:val="0"/>
        <w:snapToGrid w:val="0"/>
        <w:spacing w:before="93" w:line="600" w:lineRule="exact"/>
        <w:ind w:firstLineChars="210" w:firstLine="672"/>
        <w:rPr>
          <w:rFonts w:ascii="仿宋" w:eastAsia="仿宋" w:hAnsi="仿宋"/>
          <w:color w:val="000000"/>
          <w:sz w:val="32"/>
          <w:szCs w:val="32"/>
        </w:rPr>
      </w:pPr>
    </w:p>
    <w:p w:rsidR="00A571F9" w:rsidRDefault="00A571F9">
      <w:pPr>
        <w:pStyle w:val="a3"/>
        <w:adjustRightInd w:val="0"/>
        <w:snapToGrid w:val="0"/>
        <w:spacing w:before="93" w:line="600" w:lineRule="exact"/>
        <w:ind w:firstLineChars="210" w:firstLine="672"/>
        <w:rPr>
          <w:rFonts w:ascii="仿宋" w:eastAsia="仿宋" w:hAnsi="仿宋"/>
          <w:color w:val="000000"/>
          <w:sz w:val="32"/>
          <w:szCs w:val="32"/>
        </w:rPr>
      </w:pPr>
    </w:p>
    <w:p w:rsidR="00A571F9" w:rsidRDefault="00A571F9">
      <w:pPr>
        <w:pStyle w:val="a3"/>
        <w:adjustRightInd w:val="0"/>
        <w:snapToGrid w:val="0"/>
        <w:spacing w:before="93" w:line="600" w:lineRule="exact"/>
        <w:ind w:firstLineChars="210" w:firstLine="672"/>
        <w:rPr>
          <w:rFonts w:ascii="仿宋" w:eastAsia="仿宋" w:hAnsi="仿宋"/>
          <w:color w:val="000000"/>
          <w:sz w:val="32"/>
          <w:szCs w:val="32"/>
        </w:rPr>
      </w:pPr>
    </w:p>
    <w:p w:rsidR="00A571F9" w:rsidRDefault="00A571F9">
      <w:pPr>
        <w:pStyle w:val="a3"/>
        <w:adjustRightInd w:val="0"/>
        <w:snapToGrid w:val="0"/>
        <w:spacing w:before="93" w:line="600" w:lineRule="exact"/>
        <w:ind w:firstLineChars="210" w:firstLine="672"/>
        <w:rPr>
          <w:rFonts w:ascii="仿宋" w:eastAsia="仿宋" w:hAnsi="仿宋"/>
          <w:color w:val="000000"/>
          <w:sz w:val="32"/>
          <w:szCs w:val="32"/>
        </w:rPr>
      </w:pPr>
    </w:p>
    <w:p w:rsidR="00A571F9" w:rsidRDefault="00A571F9">
      <w:pPr>
        <w:pStyle w:val="a3"/>
        <w:adjustRightInd w:val="0"/>
        <w:snapToGrid w:val="0"/>
        <w:spacing w:before="93" w:line="600" w:lineRule="exact"/>
        <w:ind w:firstLineChars="210" w:firstLine="672"/>
        <w:rPr>
          <w:rFonts w:ascii="仿宋" w:eastAsia="仿宋" w:hAnsi="仿宋"/>
          <w:color w:val="000000"/>
          <w:sz w:val="32"/>
          <w:szCs w:val="32"/>
        </w:rPr>
      </w:pPr>
    </w:p>
    <w:p w:rsidR="00A571F9" w:rsidRDefault="00A571F9">
      <w:pPr>
        <w:pStyle w:val="a3"/>
        <w:adjustRightInd w:val="0"/>
        <w:snapToGrid w:val="0"/>
        <w:spacing w:before="93" w:line="600" w:lineRule="exact"/>
        <w:ind w:firstLineChars="210" w:firstLine="672"/>
        <w:rPr>
          <w:rFonts w:ascii="仿宋" w:eastAsia="仿宋" w:hAnsi="仿宋"/>
          <w:color w:val="000000"/>
          <w:sz w:val="32"/>
          <w:szCs w:val="32"/>
        </w:rPr>
      </w:pPr>
    </w:p>
    <w:p w:rsidR="00A571F9" w:rsidRDefault="00A571F9">
      <w:pPr>
        <w:pStyle w:val="a3"/>
        <w:adjustRightInd w:val="0"/>
        <w:snapToGrid w:val="0"/>
        <w:spacing w:before="93" w:line="600" w:lineRule="exact"/>
        <w:ind w:firstLineChars="210" w:firstLine="672"/>
        <w:rPr>
          <w:rFonts w:ascii="仿宋" w:eastAsia="仿宋" w:hAnsi="仿宋"/>
          <w:color w:val="000000"/>
          <w:sz w:val="32"/>
          <w:szCs w:val="32"/>
        </w:rPr>
      </w:pPr>
    </w:p>
    <w:p w:rsidR="00A571F9" w:rsidRDefault="00A571F9">
      <w:pPr>
        <w:pStyle w:val="a3"/>
        <w:adjustRightInd w:val="0"/>
        <w:snapToGrid w:val="0"/>
        <w:spacing w:before="93" w:line="600" w:lineRule="exact"/>
        <w:ind w:firstLineChars="210" w:firstLine="672"/>
        <w:rPr>
          <w:rFonts w:ascii="仿宋" w:eastAsia="仿宋" w:hAnsi="仿宋"/>
          <w:color w:val="000000"/>
          <w:sz w:val="32"/>
          <w:szCs w:val="32"/>
        </w:rPr>
      </w:pPr>
    </w:p>
    <w:p w:rsidR="00A571F9" w:rsidRDefault="00A571F9">
      <w:pPr>
        <w:pStyle w:val="a3"/>
        <w:adjustRightInd w:val="0"/>
        <w:snapToGrid w:val="0"/>
        <w:spacing w:before="93" w:line="600" w:lineRule="exact"/>
        <w:ind w:firstLineChars="210" w:firstLine="672"/>
        <w:rPr>
          <w:rFonts w:ascii="仿宋" w:eastAsia="仿宋" w:hAnsi="仿宋"/>
          <w:color w:val="000000"/>
          <w:sz w:val="32"/>
          <w:szCs w:val="32"/>
        </w:rPr>
      </w:pPr>
    </w:p>
    <w:p w:rsidR="00A571F9" w:rsidRDefault="00A571F9">
      <w:pPr>
        <w:pStyle w:val="a3"/>
        <w:adjustRightInd w:val="0"/>
        <w:snapToGrid w:val="0"/>
        <w:spacing w:before="93" w:line="600" w:lineRule="exact"/>
        <w:ind w:firstLineChars="210" w:firstLine="672"/>
        <w:rPr>
          <w:rFonts w:ascii="仿宋" w:eastAsia="仿宋" w:hAnsi="仿宋"/>
          <w:color w:val="000000"/>
          <w:sz w:val="32"/>
          <w:szCs w:val="32"/>
        </w:rPr>
      </w:pPr>
    </w:p>
    <w:p w:rsidR="00A571F9" w:rsidRDefault="00A571F9">
      <w:pPr>
        <w:pStyle w:val="a3"/>
        <w:adjustRightInd w:val="0"/>
        <w:snapToGrid w:val="0"/>
        <w:spacing w:before="93" w:line="600" w:lineRule="exact"/>
        <w:ind w:firstLineChars="210" w:firstLine="672"/>
        <w:rPr>
          <w:rFonts w:ascii="仿宋" w:eastAsia="仿宋" w:hAnsi="仿宋"/>
          <w:color w:val="000000"/>
          <w:sz w:val="32"/>
          <w:szCs w:val="32"/>
        </w:rPr>
      </w:pPr>
    </w:p>
    <w:p w:rsidR="00A571F9" w:rsidRDefault="004911A9">
      <w:pPr>
        <w:pStyle w:val="1"/>
        <w:ind w:right="440"/>
        <w:jc w:val="right"/>
        <w:rPr>
          <w:rStyle w:val="1Char"/>
          <w:rFonts w:ascii="黑体" w:eastAsia="黑体" w:hAnsi="黑体"/>
        </w:rPr>
      </w:pPr>
      <w:bookmarkStart w:id="22" w:name="_Toc15377204"/>
      <w:bookmarkStart w:id="23" w:name="_Toc15396602"/>
      <w:r>
        <w:rPr>
          <w:rFonts w:ascii="黑体" w:eastAsia="黑体" w:hAnsi="黑体" w:hint="eastAsia"/>
          <w:b w:val="0"/>
          <w:color w:val="000000"/>
        </w:rPr>
        <w:lastRenderedPageBreak/>
        <w:t>第二部分</w:t>
      </w:r>
      <w:r>
        <w:rPr>
          <w:rStyle w:val="1Char"/>
          <w:rFonts w:ascii="黑体" w:eastAsia="黑体" w:hAnsi="黑体" w:hint="eastAsia"/>
        </w:rPr>
        <w:t>2018年度部门决算情况说明</w:t>
      </w:r>
      <w:bookmarkEnd w:id="22"/>
      <w:bookmarkEnd w:id="23"/>
    </w:p>
    <w:p w:rsidR="00A571F9" w:rsidRDefault="00A571F9"/>
    <w:p w:rsidR="00A571F9" w:rsidRDefault="004911A9">
      <w:pPr>
        <w:pStyle w:val="a9"/>
        <w:numPr>
          <w:ilvl w:val="0"/>
          <w:numId w:val="1"/>
        </w:numPr>
        <w:spacing w:line="600" w:lineRule="exact"/>
        <w:ind w:firstLineChars="0"/>
        <w:outlineLvl w:val="1"/>
        <w:rPr>
          <w:rStyle w:val="2Char"/>
          <w:rFonts w:ascii="黑体" w:eastAsia="黑体" w:hAnsi="黑体"/>
          <w:b w:val="0"/>
        </w:rPr>
      </w:pPr>
      <w:bookmarkStart w:id="24" w:name="_Toc15396603"/>
      <w:bookmarkStart w:id="25" w:name="_Toc15377205"/>
      <w:r>
        <w:rPr>
          <w:rFonts w:ascii="黑体" w:eastAsia="黑体" w:hAnsi="黑体" w:hint="eastAsia"/>
          <w:color w:val="000000"/>
          <w:sz w:val="32"/>
          <w:szCs w:val="32"/>
        </w:rPr>
        <w:t>收</w:t>
      </w:r>
      <w:r>
        <w:rPr>
          <w:rStyle w:val="2Char"/>
          <w:rFonts w:ascii="黑体" w:eastAsia="黑体" w:hAnsi="黑体" w:hint="eastAsia"/>
          <w:b w:val="0"/>
        </w:rPr>
        <w:t>入支出决算总体情况说明</w:t>
      </w:r>
      <w:bookmarkEnd w:id="24"/>
      <w:bookmarkEnd w:id="25"/>
    </w:p>
    <w:p w:rsidR="00A571F9" w:rsidRDefault="004911A9">
      <w:pPr>
        <w:snapToGrid w:val="0"/>
        <w:spacing w:line="588" w:lineRule="exact"/>
        <w:ind w:firstLineChars="200" w:firstLine="640"/>
        <w:rPr>
          <w:rFonts w:ascii="仿宋" w:eastAsia="仿宋" w:hAnsi="仿宋"/>
          <w:color w:val="000000"/>
          <w:sz w:val="32"/>
          <w:szCs w:val="32"/>
        </w:rPr>
      </w:pPr>
      <w:r>
        <w:rPr>
          <w:rFonts w:ascii="仿宋" w:eastAsia="仿宋" w:hAnsi="仿宋" w:hint="eastAsia"/>
          <w:noProof/>
          <w:color w:val="000000"/>
          <w:sz w:val="32"/>
          <w:szCs w:val="32"/>
        </w:rPr>
        <w:drawing>
          <wp:anchor distT="0" distB="0" distL="114300" distR="114300" simplePos="0" relativeHeight="251658240" behindDoc="0" locked="0" layoutInCell="1" allowOverlap="1">
            <wp:simplePos x="0" y="0"/>
            <wp:positionH relativeFrom="column">
              <wp:posOffset>76200</wp:posOffset>
            </wp:positionH>
            <wp:positionV relativeFrom="paragraph">
              <wp:posOffset>2296795</wp:posOffset>
            </wp:positionV>
            <wp:extent cx="5274310" cy="3076575"/>
            <wp:effectExtent l="19050" t="0" r="21590" b="0"/>
            <wp:wrapSquare wrapText="bothSides"/>
            <wp:docPr id="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r>
        <w:rPr>
          <w:rFonts w:ascii="仿宋" w:eastAsia="仿宋" w:hAnsi="仿宋" w:hint="eastAsia"/>
          <w:color w:val="000000"/>
          <w:sz w:val="32"/>
          <w:szCs w:val="32"/>
        </w:rPr>
        <w:t>2018年度收、支总计3625.34万元和3633.10万元。与2017年相比，收、支总计各增加98.93万元和56.72万元，增长2.81</w:t>
      </w:r>
      <w:r>
        <w:rPr>
          <w:rFonts w:ascii="仿宋" w:eastAsia="仿宋" w:hAnsi="仿宋"/>
          <w:color w:val="000000"/>
          <w:sz w:val="32"/>
          <w:szCs w:val="32"/>
        </w:rPr>
        <w:t>%</w:t>
      </w:r>
      <w:r>
        <w:rPr>
          <w:rFonts w:ascii="仿宋" w:eastAsia="仿宋" w:hAnsi="仿宋" w:hint="eastAsia"/>
          <w:color w:val="000000"/>
          <w:sz w:val="32"/>
          <w:szCs w:val="32"/>
        </w:rPr>
        <w:t>和1.59%。主要变动原因是2018年人员经费（增长工资）增加,财政下达书记员劳务费，造成了法院整体收支规模的增加。</w:t>
      </w:r>
    </w:p>
    <w:p w:rsidR="00A571F9" w:rsidRDefault="004911A9">
      <w:pPr>
        <w:spacing w:line="600" w:lineRule="exact"/>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t>（图</w:t>
      </w:r>
      <w:r>
        <w:rPr>
          <w:rFonts w:ascii="仿宋" w:eastAsia="仿宋" w:hAnsi="仿宋"/>
          <w:color w:val="000000" w:themeColor="text1"/>
          <w:sz w:val="32"/>
          <w:szCs w:val="32"/>
        </w:rPr>
        <w:t>1</w:t>
      </w:r>
      <w:r>
        <w:rPr>
          <w:rFonts w:ascii="仿宋" w:eastAsia="仿宋" w:hAnsi="仿宋" w:hint="eastAsia"/>
          <w:color w:val="000000" w:themeColor="text1"/>
          <w:sz w:val="32"/>
          <w:szCs w:val="32"/>
        </w:rPr>
        <w:t>：收、支决算总计变动情况图）（柱状图）</w:t>
      </w:r>
    </w:p>
    <w:p w:rsidR="00A571F9" w:rsidRDefault="004911A9">
      <w:pPr>
        <w:pStyle w:val="a9"/>
        <w:numPr>
          <w:ilvl w:val="0"/>
          <w:numId w:val="1"/>
        </w:numPr>
        <w:spacing w:line="600" w:lineRule="exact"/>
        <w:ind w:firstLineChars="0"/>
        <w:outlineLvl w:val="1"/>
        <w:rPr>
          <w:rStyle w:val="2Char"/>
          <w:rFonts w:ascii="黑体" w:eastAsia="黑体" w:hAnsi="黑体"/>
          <w:b w:val="0"/>
        </w:rPr>
      </w:pPr>
      <w:bookmarkStart w:id="26" w:name="_Toc15396604"/>
      <w:bookmarkStart w:id="27" w:name="_Toc15377206"/>
      <w:r>
        <w:rPr>
          <w:rFonts w:ascii="黑体" w:eastAsia="黑体" w:hAnsi="黑体" w:hint="eastAsia"/>
          <w:color w:val="000000"/>
          <w:sz w:val="32"/>
          <w:szCs w:val="32"/>
        </w:rPr>
        <w:t>收</w:t>
      </w:r>
      <w:r>
        <w:rPr>
          <w:rStyle w:val="2Char"/>
          <w:rFonts w:ascii="黑体" w:eastAsia="黑体" w:hAnsi="黑体" w:hint="eastAsia"/>
          <w:b w:val="0"/>
        </w:rPr>
        <w:t>入决算情况说明</w:t>
      </w:r>
      <w:bookmarkEnd w:id="26"/>
      <w:bookmarkEnd w:id="27"/>
    </w:p>
    <w:p w:rsidR="00A571F9" w:rsidRDefault="004911A9">
      <w:pPr>
        <w:spacing w:line="600" w:lineRule="exact"/>
        <w:ind w:firstLineChars="200" w:firstLine="640"/>
        <w:outlineLvl w:val="1"/>
        <w:rPr>
          <w:rFonts w:ascii="仿宋" w:eastAsia="仿宋" w:hAnsi="仿宋"/>
          <w:color w:val="000000"/>
          <w:sz w:val="32"/>
          <w:szCs w:val="32"/>
        </w:rPr>
      </w:pPr>
      <w:r>
        <w:rPr>
          <w:rFonts w:ascii="仿宋" w:eastAsia="仿宋" w:hAnsi="仿宋"/>
          <w:color w:val="000000"/>
          <w:sz w:val="32"/>
          <w:szCs w:val="32"/>
        </w:rPr>
        <w:t>201</w:t>
      </w:r>
      <w:r>
        <w:rPr>
          <w:rFonts w:ascii="仿宋" w:eastAsia="仿宋" w:hAnsi="仿宋" w:hint="eastAsia"/>
          <w:color w:val="000000"/>
          <w:sz w:val="32"/>
          <w:szCs w:val="32"/>
        </w:rPr>
        <w:t>8年本年收入合计3625.34万元，其中：一般公共预算财政拨款收入3548.39万元，占97.88</w:t>
      </w:r>
      <w:r>
        <w:rPr>
          <w:rFonts w:ascii="仿宋" w:eastAsia="仿宋" w:hAnsi="仿宋"/>
          <w:color w:val="000000"/>
          <w:sz w:val="32"/>
          <w:szCs w:val="32"/>
        </w:rPr>
        <w:t>%</w:t>
      </w:r>
      <w:r>
        <w:rPr>
          <w:rFonts w:ascii="仿宋" w:eastAsia="仿宋" w:hAnsi="仿宋" w:hint="eastAsia"/>
          <w:color w:val="000000"/>
          <w:sz w:val="32"/>
          <w:szCs w:val="32"/>
        </w:rPr>
        <w:t>；政府性基金预算财政拨款收入0万元，占0</w:t>
      </w:r>
      <w:r>
        <w:rPr>
          <w:rFonts w:ascii="仿宋" w:eastAsia="仿宋" w:hAnsi="仿宋"/>
          <w:color w:val="000000"/>
          <w:sz w:val="32"/>
          <w:szCs w:val="32"/>
        </w:rPr>
        <w:t>%</w:t>
      </w:r>
      <w:r>
        <w:rPr>
          <w:rFonts w:ascii="仿宋" w:eastAsia="仿宋" w:hAnsi="仿宋" w:hint="eastAsia"/>
          <w:color w:val="000000"/>
          <w:sz w:val="32"/>
          <w:szCs w:val="32"/>
        </w:rPr>
        <w:t>；国有资本经营预算财政拨款收入0万元，占0</w:t>
      </w:r>
      <w:r>
        <w:rPr>
          <w:rFonts w:ascii="仿宋" w:eastAsia="仿宋" w:hAnsi="仿宋"/>
          <w:color w:val="000000"/>
          <w:sz w:val="32"/>
          <w:szCs w:val="32"/>
        </w:rPr>
        <w:t>%</w:t>
      </w:r>
      <w:r>
        <w:rPr>
          <w:rFonts w:ascii="仿宋" w:eastAsia="仿宋" w:hAnsi="仿宋" w:hint="eastAsia"/>
          <w:color w:val="000000"/>
          <w:sz w:val="32"/>
          <w:szCs w:val="32"/>
        </w:rPr>
        <w:t>；事业收入0万元，占0</w:t>
      </w:r>
      <w:r>
        <w:rPr>
          <w:rFonts w:ascii="仿宋" w:eastAsia="仿宋" w:hAnsi="仿宋"/>
          <w:color w:val="000000"/>
          <w:sz w:val="32"/>
          <w:szCs w:val="32"/>
        </w:rPr>
        <w:t>%</w:t>
      </w:r>
      <w:r>
        <w:rPr>
          <w:rFonts w:ascii="仿宋" w:eastAsia="仿宋" w:hAnsi="仿宋" w:hint="eastAsia"/>
          <w:color w:val="000000"/>
          <w:sz w:val="32"/>
          <w:szCs w:val="32"/>
        </w:rPr>
        <w:t>；经营收入0万</w:t>
      </w:r>
      <w:r>
        <w:rPr>
          <w:rFonts w:ascii="仿宋" w:eastAsia="仿宋" w:hAnsi="仿宋" w:hint="eastAsia"/>
          <w:color w:val="000000"/>
          <w:sz w:val="32"/>
          <w:szCs w:val="32"/>
        </w:rPr>
        <w:lastRenderedPageBreak/>
        <w:t>元，占0</w:t>
      </w:r>
      <w:r>
        <w:rPr>
          <w:rFonts w:ascii="仿宋" w:eastAsia="仿宋" w:hAnsi="仿宋"/>
          <w:color w:val="000000"/>
          <w:sz w:val="32"/>
          <w:szCs w:val="32"/>
        </w:rPr>
        <w:t>%</w:t>
      </w:r>
      <w:r>
        <w:rPr>
          <w:rFonts w:ascii="仿宋" w:eastAsia="仿宋" w:hAnsi="仿宋" w:hint="eastAsia"/>
          <w:color w:val="000000"/>
          <w:sz w:val="32"/>
          <w:szCs w:val="32"/>
        </w:rPr>
        <w:t>；附属单位上缴收入0万元，占0</w:t>
      </w:r>
      <w:r>
        <w:rPr>
          <w:rFonts w:ascii="仿宋" w:eastAsia="仿宋" w:hAnsi="仿宋"/>
          <w:color w:val="000000"/>
          <w:sz w:val="32"/>
          <w:szCs w:val="32"/>
        </w:rPr>
        <w:t>%</w:t>
      </w:r>
      <w:r>
        <w:rPr>
          <w:rFonts w:ascii="仿宋" w:eastAsia="仿宋" w:hAnsi="仿宋" w:hint="eastAsia"/>
          <w:color w:val="000000"/>
          <w:sz w:val="32"/>
          <w:szCs w:val="32"/>
        </w:rPr>
        <w:t>；其他收入76.95万元，占2.12</w:t>
      </w:r>
      <w:r>
        <w:rPr>
          <w:rFonts w:ascii="仿宋" w:eastAsia="仿宋" w:hAnsi="仿宋"/>
          <w:color w:val="000000"/>
          <w:sz w:val="32"/>
          <w:szCs w:val="32"/>
        </w:rPr>
        <w:t>%</w:t>
      </w:r>
      <w:r>
        <w:rPr>
          <w:rFonts w:ascii="仿宋" w:eastAsia="仿宋" w:hAnsi="仿宋" w:hint="eastAsia"/>
          <w:color w:val="000000"/>
          <w:sz w:val="32"/>
          <w:szCs w:val="32"/>
        </w:rPr>
        <w:t>。</w:t>
      </w:r>
    </w:p>
    <w:p w:rsidR="00A571F9" w:rsidRDefault="004911A9">
      <w:pPr>
        <w:spacing w:line="600" w:lineRule="exact"/>
        <w:ind w:firstLineChars="200" w:firstLine="640"/>
        <w:rPr>
          <w:rFonts w:ascii="仿宋" w:eastAsia="仿宋" w:hAnsi="仿宋"/>
          <w:color w:val="000000" w:themeColor="text1"/>
          <w:sz w:val="32"/>
          <w:szCs w:val="32"/>
        </w:rPr>
      </w:pPr>
      <w:r>
        <w:rPr>
          <w:rFonts w:ascii="仿宋" w:eastAsia="仿宋" w:hAnsi="仿宋" w:hint="eastAsia"/>
          <w:noProof/>
          <w:color w:val="000000" w:themeColor="text1"/>
          <w:sz w:val="32"/>
          <w:szCs w:val="32"/>
        </w:rPr>
        <w:drawing>
          <wp:anchor distT="0" distB="0" distL="114300" distR="114300" simplePos="0" relativeHeight="251659264" behindDoc="0" locked="0" layoutInCell="1" allowOverlap="1">
            <wp:simplePos x="0" y="0"/>
            <wp:positionH relativeFrom="column">
              <wp:posOffset>114300</wp:posOffset>
            </wp:positionH>
            <wp:positionV relativeFrom="paragraph">
              <wp:posOffset>476250</wp:posOffset>
            </wp:positionV>
            <wp:extent cx="5274310" cy="2257425"/>
            <wp:effectExtent l="19050" t="0" r="21590" b="0"/>
            <wp:wrapSquare wrapText="bothSides"/>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r>
        <w:rPr>
          <w:rFonts w:ascii="仿宋" w:eastAsia="仿宋" w:hAnsi="仿宋" w:hint="eastAsia"/>
          <w:color w:val="000000" w:themeColor="text1"/>
          <w:sz w:val="32"/>
          <w:szCs w:val="32"/>
        </w:rPr>
        <w:t>（图2：收入决算结构图）（饼状图）</w:t>
      </w:r>
    </w:p>
    <w:p w:rsidR="00A571F9" w:rsidRDefault="004911A9">
      <w:pPr>
        <w:pStyle w:val="a9"/>
        <w:numPr>
          <w:ilvl w:val="0"/>
          <w:numId w:val="1"/>
        </w:numPr>
        <w:spacing w:line="600" w:lineRule="exact"/>
        <w:ind w:firstLineChars="0"/>
        <w:outlineLvl w:val="1"/>
        <w:rPr>
          <w:rStyle w:val="2Char"/>
          <w:rFonts w:ascii="黑体" w:eastAsia="黑体" w:hAnsi="黑体"/>
          <w:b w:val="0"/>
        </w:rPr>
      </w:pPr>
      <w:bookmarkStart w:id="28" w:name="_Toc15377207"/>
      <w:bookmarkStart w:id="29" w:name="_Toc15396605"/>
      <w:r>
        <w:rPr>
          <w:rFonts w:ascii="黑体" w:eastAsia="黑体" w:hAnsi="黑体" w:hint="eastAsia"/>
          <w:color w:val="000000"/>
          <w:sz w:val="32"/>
          <w:szCs w:val="32"/>
        </w:rPr>
        <w:t>支</w:t>
      </w:r>
      <w:r>
        <w:rPr>
          <w:rStyle w:val="2Char"/>
          <w:rFonts w:ascii="黑体" w:eastAsia="黑体" w:hAnsi="黑体" w:hint="eastAsia"/>
          <w:b w:val="0"/>
        </w:rPr>
        <w:t>出决算情况说明</w:t>
      </w:r>
      <w:bookmarkEnd w:id="28"/>
      <w:bookmarkEnd w:id="29"/>
    </w:p>
    <w:p w:rsidR="00A571F9" w:rsidRDefault="004911A9">
      <w:pPr>
        <w:spacing w:line="600" w:lineRule="exact"/>
        <w:ind w:firstLine="640"/>
        <w:rPr>
          <w:rFonts w:ascii="仿宋" w:eastAsia="仿宋" w:hAnsi="仿宋"/>
          <w:color w:val="000000"/>
          <w:sz w:val="32"/>
          <w:szCs w:val="32"/>
          <w:shd w:val="pct10" w:color="auto" w:fill="FFFFFF"/>
        </w:rPr>
      </w:pPr>
      <w:r>
        <w:rPr>
          <w:rFonts w:ascii="仿宋" w:eastAsia="仿宋" w:hAnsi="仿宋"/>
          <w:color w:val="000000"/>
          <w:sz w:val="32"/>
          <w:szCs w:val="32"/>
        </w:rPr>
        <w:t>201</w:t>
      </w:r>
      <w:r>
        <w:rPr>
          <w:rFonts w:ascii="仿宋" w:eastAsia="仿宋" w:hAnsi="仿宋" w:hint="eastAsia"/>
          <w:color w:val="000000"/>
          <w:sz w:val="32"/>
          <w:szCs w:val="32"/>
        </w:rPr>
        <w:t>8年本年支出合计3633.10万元，其中：基本支出2558.14万元，占70.41</w:t>
      </w:r>
      <w:r>
        <w:rPr>
          <w:rFonts w:ascii="仿宋" w:eastAsia="仿宋" w:hAnsi="仿宋"/>
          <w:color w:val="000000"/>
          <w:sz w:val="32"/>
          <w:szCs w:val="32"/>
        </w:rPr>
        <w:t>%</w:t>
      </w:r>
      <w:r>
        <w:rPr>
          <w:rFonts w:ascii="仿宋" w:eastAsia="仿宋" w:hAnsi="仿宋" w:hint="eastAsia"/>
          <w:color w:val="000000"/>
          <w:sz w:val="32"/>
          <w:szCs w:val="32"/>
        </w:rPr>
        <w:t>；项目支出1074.96万元，占29.59</w:t>
      </w:r>
      <w:r>
        <w:rPr>
          <w:rFonts w:ascii="仿宋" w:eastAsia="仿宋" w:hAnsi="仿宋"/>
          <w:color w:val="000000"/>
          <w:sz w:val="32"/>
          <w:szCs w:val="32"/>
        </w:rPr>
        <w:t>%</w:t>
      </w:r>
      <w:r>
        <w:rPr>
          <w:rFonts w:ascii="仿宋" w:eastAsia="仿宋" w:hAnsi="仿宋" w:hint="eastAsia"/>
          <w:color w:val="000000"/>
          <w:sz w:val="32"/>
          <w:szCs w:val="32"/>
        </w:rPr>
        <w:t>；上缴上级支出0万元，占0</w:t>
      </w:r>
      <w:r>
        <w:rPr>
          <w:rFonts w:ascii="仿宋" w:eastAsia="仿宋" w:hAnsi="仿宋"/>
          <w:color w:val="000000"/>
          <w:sz w:val="32"/>
          <w:szCs w:val="32"/>
        </w:rPr>
        <w:t>%</w:t>
      </w:r>
      <w:r>
        <w:rPr>
          <w:rFonts w:ascii="仿宋" w:eastAsia="仿宋" w:hAnsi="仿宋" w:hint="eastAsia"/>
          <w:color w:val="000000"/>
          <w:sz w:val="32"/>
          <w:szCs w:val="32"/>
        </w:rPr>
        <w:t>；经营支出0万元，占0</w:t>
      </w:r>
      <w:r>
        <w:rPr>
          <w:rFonts w:ascii="仿宋" w:eastAsia="仿宋" w:hAnsi="仿宋"/>
          <w:color w:val="000000"/>
          <w:sz w:val="32"/>
          <w:szCs w:val="32"/>
        </w:rPr>
        <w:t>%</w:t>
      </w:r>
      <w:r>
        <w:rPr>
          <w:rFonts w:ascii="仿宋" w:eastAsia="仿宋" w:hAnsi="仿宋" w:hint="eastAsia"/>
          <w:color w:val="000000"/>
          <w:sz w:val="32"/>
          <w:szCs w:val="32"/>
        </w:rPr>
        <w:t>；对附属单位补助支出0万元，占0</w:t>
      </w:r>
      <w:r>
        <w:rPr>
          <w:rFonts w:ascii="仿宋" w:eastAsia="仿宋" w:hAnsi="仿宋"/>
          <w:color w:val="000000"/>
          <w:sz w:val="32"/>
          <w:szCs w:val="32"/>
        </w:rPr>
        <w:t>%</w:t>
      </w:r>
      <w:r>
        <w:rPr>
          <w:rFonts w:ascii="仿宋" w:eastAsia="仿宋" w:hAnsi="仿宋" w:hint="eastAsia"/>
          <w:color w:val="000000"/>
          <w:sz w:val="32"/>
          <w:szCs w:val="32"/>
        </w:rPr>
        <w:t>。</w:t>
      </w:r>
    </w:p>
    <w:p w:rsidR="00A571F9" w:rsidRDefault="004911A9">
      <w:pPr>
        <w:spacing w:line="600" w:lineRule="exact"/>
        <w:ind w:firstLineChars="200" w:firstLine="640"/>
        <w:rPr>
          <w:rFonts w:ascii="仿宋" w:eastAsia="仿宋" w:hAnsi="仿宋"/>
          <w:color w:val="000000" w:themeColor="text1"/>
          <w:sz w:val="32"/>
          <w:szCs w:val="32"/>
        </w:rPr>
      </w:pPr>
      <w:r>
        <w:rPr>
          <w:rFonts w:ascii="仿宋" w:eastAsia="仿宋" w:hAnsi="仿宋" w:hint="eastAsia"/>
          <w:noProof/>
          <w:color w:val="000000" w:themeColor="text1"/>
          <w:sz w:val="32"/>
          <w:szCs w:val="32"/>
        </w:rPr>
        <w:drawing>
          <wp:anchor distT="0" distB="0" distL="114300" distR="114300" simplePos="0" relativeHeight="251661312" behindDoc="0" locked="0" layoutInCell="1" allowOverlap="1">
            <wp:simplePos x="0" y="0"/>
            <wp:positionH relativeFrom="column">
              <wp:posOffset>38100</wp:posOffset>
            </wp:positionH>
            <wp:positionV relativeFrom="paragraph">
              <wp:posOffset>438150</wp:posOffset>
            </wp:positionV>
            <wp:extent cx="5274310" cy="2257425"/>
            <wp:effectExtent l="19050" t="0" r="21590" b="0"/>
            <wp:wrapSquare wrapText="bothSides"/>
            <wp:docPr id="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r>
        <w:rPr>
          <w:rFonts w:ascii="仿宋" w:eastAsia="仿宋" w:hAnsi="仿宋" w:hint="eastAsia"/>
          <w:color w:val="000000" w:themeColor="text1"/>
          <w:sz w:val="32"/>
          <w:szCs w:val="32"/>
        </w:rPr>
        <w:t>（图3：支出决算结构图）（饼状图）</w:t>
      </w:r>
    </w:p>
    <w:p w:rsidR="00A571F9" w:rsidRDefault="004911A9">
      <w:pPr>
        <w:spacing w:line="600" w:lineRule="exact"/>
        <w:ind w:firstLineChars="200" w:firstLine="640"/>
        <w:outlineLvl w:val="1"/>
        <w:rPr>
          <w:rStyle w:val="2Char"/>
          <w:rFonts w:ascii="黑体" w:eastAsia="黑体" w:hAnsi="黑体"/>
          <w:b w:val="0"/>
        </w:rPr>
      </w:pPr>
      <w:bookmarkStart w:id="30" w:name="_Toc15377208"/>
      <w:bookmarkStart w:id="31" w:name="_Toc15396606"/>
      <w:r>
        <w:rPr>
          <w:rFonts w:ascii="黑体" w:eastAsia="黑体" w:hAnsi="黑体" w:hint="eastAsia"/>
          <w:color w:val="000000"/>
          <w:sz w:val="32"/>
          <w:szCs w:val="32"/>
        </w:rPr>
        <w:t>四、财</w:t>
      </w:r>
      <w:r>
        <w:rPr>
          <w:rStyle w:val="2Char"/>
          <w:rFonts w:ascii="黑体" w:eastAsia="黑体" w:hAnsi="黑体" w:hint="eastAsia"/>
          <w:b w:val="0"/>
        </w:rPr>
        <w:t>政拨款收入支出决算总体情况说明</w:t>
      </w:r>
      <w:bookmarkEnd w:id="30"/>
      <w:bookmarkEnd w:id="31"/>
    </w:p>
    <w:p w:rsidR="00A571F9" w:rsidRDefault="004911A9">
      <w:pPr>
        <w:spacing w:line="600" w:lineRule="exact"/>
        <w:ind w:firstLineChars="200" w:firstLine="640"/>
        <w:rPr>
          <w:rFonts w:ascii="仿宋" w:eastAsia="仿宋" w:hAnsi="仿宋"/>
          <w:color w:val="000000"/>
          <w:sz w:val="32"/>
          <w:szCs w:val="32"/>
        </w:rPr>
      </w:pPr>
      <w:r>
        <w:rPr>
          <w:rFonts w:ascii="仿宋" w:eastAsia="仿宋" w:hAnsi="仿宋"/>
          <w:color w:val="000000"/>
          <w:sz w:val="32"/>
          <w:szCs w:val="32"/>
        </w:rPr>
        <w:t>201</w:t>
      </w:r>
      <w:r>
        <w:rPr>
          <w:rFonts w:ascii="仿宋" w:eastAsia="仿宋" w:hAnsi="仿宋" w:hint="eastAsia"/>
          <w:color w:val="000000"/>
          <w:sz w:val="32"/>
          <w:szCs w:val="32"/>
        </w:rPr>
        <w:t>8年财政拨款收、支总计3548.39万元和3590.39万</w:t>
      </w:r>
      <w:r>
        <w:rPr>
          <w:rFonts w:ascii="仿宋" w:eastAsia="仿宋" w:hAnsi="仿宋" w:hint="eastAsia"/>
          <w:color w:val="000000"/>
          <w:sz w:val="32"/>
          <w:szCs w:val="32"/>
        </w:rPr>
        <w:lastRenderedPageBreak/>
        <w:t>元。与</w:t>
      </w:r>
      <w:r>
        <w:rPr>
          <w:rFonts w:ascii="仿宋" w:eastAsia="仿宋" w:hAnsi="仿宋"/>
          <w:color w:val="000000"/>
          <w:sz w:val="32"/>
          <w:szCs w:val="32"/>
        </w:rPr>
        <w:t>201</w:t>
      </w:r>
      <w:r>
        <w:rPr>
          <w:rFonts w:ascii="仿宋" w:eastAsia="仿宋" w:hAnsi="仿宋" w:hint="eastAsia"/>
          <w:color w:val="000000"/>
          <w:sz w:val="32"/>
          <w:szCs w:val="32"/>
        </w:rPr>
        <w:t>7年相比，财政拨款收、支总计各增加227.81万元和231.59万元，增长6.86</w:t>
      </w:r>
      <w:r>
        <w:rPr>
          <w:rFonts w:ascii="仿宋" w:eastAsia="仿宋" w:hAnsi="仿宋"/>
          <w:color w:val="000000"/>
          <w:sz w:val="32"/>
          <w:szCs w:val="32"/>
        </w:rPr>
        <w:t>%</w:t>
      </w:r>
      <w:r>
        <w:rPr>
          <w:rFonts w:ascii="仿宋" w:eastAsia="仿宋" w:hAnsi="仿宋" w:hint="eastAsia"/>
          <w:color w:val="000000"/>
          <w:sz w:val="32"/>
          <w:szCs w:val="32"/>
        </w:rPr>
        <w:t>和6.9%。主要变动原因是2018年人员工资正常晋升和新增人员，聘任制书记员劳务费的下达造成整体收支的增长。</w:t>
      </w:r>
    </w:p>
    <w:p w:rsidR="00A571F9" w:rsidRDefault="004911A9">
      <w:pPr>
        <w:spacing w:line="600" w:lineRule="exact"/>
        <w:ind w:firstLineChars="200" w:firstLine="640"/>
        <w:rPr>
          <w:rFonts w:ascii="仿宋" w:eastAsia="仿宋" w:hAnsi="仿宋"/>
          <w:color w:val="000000" w:themeColor="text1"/>
          <w:sz w:val="32"/>
          <w:szCs w:val="32"/>
        </w:rPr>
      </w:pPr>
      <w:r>
        <w:rPr>
          <w:rFonts w:ascii="仿宋" w:eastAsia="仿宋" w:hAnsi="仿宋" w:hint="eastAsia"/>
          <w:noProof/>
          <w:color w:val="000000" w:themeColor="text1"/>
          <w:sz w:val="32"/>
          <w:szCs w:val="32"/>
        </w:rPr>
        <w:drawing>
          <wp:anchor distT="0" distB="0" distL="114300" distR="114300" simplePos="0" relativeHeight="251662336" behindDoc="0" locked="0" layoutInCell="1" allowOverlap="1">
            <wp:simplePos x="0" y="0"/>
            <wp:positionH relativeFrom="column">
              <wp:posOffset>114300</wp:posOffset>
            </wp:positionH>
            <wp:positionV relativeFrom="paragraph">
              <wp:posOffset>495300</wp:posOffset>
            </wp:positionV>
            <wp:extent cx="5274310" cy="2876550"/>
            <wp:effectExtent l="19050" t="0" r="21590" b="0"/>
            <wp:wrapSquare wrapText="bothSides"/>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r>
        <w:rPr>
          <w:rFonts w:ascii="仿宋" w:eastAsia="仿宋" w:hAnsi="仿宋" w:hint="eastAsia"/>
          <w:color w:val="000000" w:themeColor="text1"/>
          <w:sz w:val="32"/>
          <w:szCs w:val="32"/>
        </w:rPr>
        <w:t>（图4：财政拨款收、支决算总计变动情况）（柱状图）</w:t>
      </w:r>
    </w:p>
    <w:p w:rsidR="00A571F9" w:rsidRDefault="004911A9">
      <w:pPr>
        <w:spacing w:line="600" w:lineRule="exact"/>
        <w:ind w:firstLineChars="200" w:firstLine="640"/>
        <w:outlineLvl w:val="1"/>
        <w:rPr>
          <w:rStyle w:val="2Char"/>
          <w:rFonts w:ascii="黑体" w:eastAsia="黑体" w:hAnsi="黑体"/>
          <w:b w:val="0"/>
        </w:rPr>
      </w:pPr>
      <w:bookmarkStart w:id="32" w:name="_Toc15377209"/>
      <w:bookmarkStart w:id="33" w:name="_Toc15396607"/>
      <w:r>
        <w:rPr>
          <w:rFonts w:ascii="黑体" w:eastAsia="黑体" w:hAnsi="黑体" w:hint="eastAsia"/>
          <w:color w:val="000000"/>
          <w:sz w:val="32"/>
          <w:szCs w:val="32"/>
        </w:rPr>
        <w:t>五、</w:t>
      </w:r>
      <w:r>
        <w:rPr>
          <w:rFonts w:ascii="黑体" w:eastAsia="黑体" w:hAnsi="黑体" w:hint="eastAsia"/>
          <w:b/>
          <w:color w:val="000000"/>
          <w:sz w:val="32"/>
          <w:szCs w:val="32"/>
        </w:rPr>
        <w:t>一</w:t>
      </w:r>
      <w:r>
        <w:rPr>
          <w:rStyle w:val="2Char"/>
          <w:rFonts w:ascii="黑体" w:eastAsia="黑体" w:hAnsi="黑体" w:hint="eastAsia"/>
          <w:b w:val="0"/>
        </w:rPr>
        <w:t>般公共预算财政拨款支出决算情况说明</w:t>
      </w:r>
      <w:bookmarkEnd w:id="32"/>
      <w:bookmarkEnd w:id="33"/>
    </w:p>
    <w:p w:rsidR="00A571F9" w:rsidRDefault="004911A9">
      <w:pPr>
        <w:spacing w:line="600" w:lineRule="exact"/>
        <w:ind w:firstLineChars="200" w:firstLine="643"/>
        <w:outlineLvl w:val="2"/>
        <w:rPr>
          <w:rFonts w:ascii="仿宋" w:eastAsia="仿宋" w:hAnsi="仿宋"/>
          <w:b/>
          <w:color w:val="000000"/>
          <w:sz w:val="32"/>
          <w:szCs w:val="32"/>
        </w:rPr>
      </w:pPr>
      <w:bookmarkStart w:id="34" w:name="_Toc15377210"/>
      <w:r>
        <w:rPr>
          <w:rFonts w:ascii="仿宋" w:eastAsia="仿宋" w:hAnsi="仿宋" w:hint="eastAsia"/>
          <w:b/>
          <w:color w:val="000000"/>
          <w:sz w:val="32"/>
          <w:szCs w:val="32"/>
        </w:rPr>
        <w:t>（一）一般公共预算财政拨款支出决算总体情况</w:t>
      </w:r>
      <w:bookmarkEnd w:id="34"/>
    </w:p>
    <w:p w:rsidR="00A571F9" w:rsidRDefault="004911A9">
      <w:pPr>
        <w:spacing w:line="600" w:lineRule="exact"/>
        <w:ind w:firstLineChars="200" w:firstLine="640"/>
        <w:rPr>
          <w:rFonts w:ascii="仿宋" w:eastAsia="仿宋" w:hAnsi="仿宋"/>
          <w:color w:val="000000"/>
          <w:sz w:val="32"/>
          <w:szCs w:val="32"/>
        </w:rPr>
      </w:pPr>
      <w:r>
        <w:rPr>
          <w:rFonts w:ascii="仿宋" w:eastAsia="仿宋" w:hAnsi="仿宋"/>
          <w:color w:val="000000"/>
          <w:sz w:val="32"/>
          <w:szCs w:val="32"/>
        </w:rPr>
        <w:t>201</w:t>
      </w:r>
      <w:r>
        <w:rPr>
          <w:rFonts w:ascii="仿宋" w:eastAsia="仿宋" w:hAnsi="仿宋" w:hint="eastAsia"/>
          <w:color w:val="000000"/>
          <w:sz w:val="32"/>
          <w:szCs w:val="32"/>
        </w:rPr>
        <w:t>8年一般公共预算财政拨款支出3590.39万元，占本年支出合计的98.82</w:t>
      </w:r>
      <w:r>
        <w:rPr>
          <w:rFonts w:ascii="仿宋" w:eastAsia="仿宋" w:hAnsi="仿宋"/>
          <w:color w:val="000000"/>
          <w:sz w:val="32"/>
          <w:szCs w:val="32"/>
        </w:rPr>
        <w:t>%</w:t>
      </w:r>
      <w:r>
        <w:rPr>
          <w:rFonts w:ascii="仿宋" w:eastAsia="仿宋" w:hAnsi="仿宋" w:hint="eastAsia"/>
          <w:color w:val="000000"/>
          <w:sz w:val="32"/>
          <w:szCs w:val="32"/>
        </w:rPr>
        <w:t>。与</w:t>
      </w:r>
      <w:r>
        <w:rPr>
          <w:rFonts w:ascii="仿宋" w:eastAsia="仿宋" w:hAnsi="仿宋"/>
          <w:color w:val="000000"/>
          <w:sz w:val="32"/>
          <w:szCs w:val="32"/>
        </w:rPr>
        <w:t>201</w:t>
      </w:r>
      <w:r>
        <w:rPr>
          <w:rFonts w:ascii="仿宋" w:eastAsia="仿宋" w:hAnsi="仿宋" w:hint="eastAsia"/>
          <w:color w:val="000000"/>
          <w:sz w:val="32"/>
          <w:szCs w:val="32"/>
        </w:rPr>
        <w:t>7年相比，一般公共预算财政拨款增加231.59万元，增长6.9</w:t>
      </w:r>
      <w:r>
        <w:rPr>
          <w:rFonts w:ascii="仿宋" w:eastAsia="仿宋" w:hAnsi="仿宋"/>
          <w:color w:val="000000"/>
          <w:sz w:val="32"/>
          <w:szCs w:val="32"/>
        </w:rPr>
        <w:t>%</w:t>
      </w:r>
      <w:r>
        <w:rPr>
          <w:rFonts w:ascii="仿宋" w:eastAsia="仿宋" w:hAnsi="仿宋" w:hint="eastAsia"/>
          <w:color w:val="000000"/>
          <w:sz w:val="32"/>
          <w:szCs w:val="32"/>
        </w:rPr>
        <w:t>。主要变动原因是2018年人员工资正常晋升和新增人员，聘任制书记员劳务费的下达造成整体支出的增长。</w:t>
      </w:r>
    </w:p>
    <w:p w:rsidR="00A571F9" w:rsidRDefault="004911A9">
      <w:pPr>
        <w:spacing w:line="600" w:lineRule="exact"/>
        <w:ind w:firstLineChars="200" w:firstLine="640"/>
        <w:rPr>
          <w:rFonts w:ascii="仿宋" w:eastAsia="仿宋" w:hAnsi="仿宋"/>
          <w:color w:val="000000" w:themeColor="text1"/>
          <w:sz w:val="32"/>
          <w:szCs w:val="32"/>
        </w:rPr>
      </w:pPr>
      <w:r>
        <w:rPr>
          <w:rFonts w:ascii="仿宋" w:eastAsia="仿宋" w:hAnsi="仿宋" w:hint="eastAsia"/>
          <w:noProof/>
          <w:color w:val="000000" w:themeColor="text1"/>
          <w:sz w:val="32"/>
          <w:szCs w:val="32"/>
        </w:rPr>
        <w:lastRenderedPageBreak/>
        <w:drawing>
          <wp:anchor distT="0" distB="0" distL="114300" distR="114300" simplePos="0" relativeHeight="251664384" behindDoc="0" locked="0" layoutInCell="1" allowOverlap="1">
            <wp:simplePos x="0" y="0"/>
            <wp:positionH relativeFrom="column">
              <wp:posOffset>114300</wp:posOffset>
            </wp:positionH>
            <wp:positionV relativeFrom="paragraph">
              <wp:posOffset>857250</wp:posOffset>
            </wp:positionV>
            <wp:extent cx="5274310" cy="2752725"/>
            <wp:effectExtent l="19050" t="0" r="21590" b="0"/>
            <wp:wrapSquare wrapText="bothSides"/>
            <wp:docPr id="4"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r>
        <w:rPr>
          <w:rFonts w:ascii="仿宋" w:eastAsia="仿宋" w:hAnsi="仿宋" w:hint="eastAsia"/>
          <w:color w:val="000000" w:themeColor="text1"/>
          <w:sz w:val="32"/>
          <w:szCs w:val="32"/>
        </w:rPr>
        <w:t>（图5：一般公共预算财政拨款支出决算变动情况）（柱状图）</w:t>
      </w:r>
    </w:p>
    <w:p w:rsidR="00A571F9" w:rsidRDefault="004911A9">
      <w:pPr>
        <w:spacing w:line="600" w:lineRule="exact"/>
        <w:ind w:firstLineChars="200" w:firstLine="643"/>
        <w:outlineLvl w:val="2"/>
        <w:rPr>
          <w:rFonts w:ascii="仿宋" w:eastAsia="仿宋" w:hAnsi="仿宋"/>
          <w:b/>
          <w:color w:val="000000"/>
          <w:sz w:val="32"/>
          <w:szCs w:val="32"/>
        </w:rPr>
      </w:pPr>
      <w:bookmarkStart w:id="35" w:name="_Toc15377211"/>
      <w:r>
        <w:rPr>
          <w:rFonts w:ascii="仿宋" w:eastAsia="仿宋" w:hAnsi="仿宋" w:hint="eastAsia"/>
          <w:b/>
          <w:color w:val="000000"/>
          <w:sz w:val="32"/>
          <w:szCs w:val="32"/>
        </w:rPr>
        <w:t>（二）一般公共预算财政拨款支出决算结构情况</w:t>
      </w:r>
      <w:bookmarkEnd w:id="35"/>
    </w:p>
    <w:p w:rsidR="00A571F9" w:rsidRDefault="004911A9">
      <w:pPr>
        <w:spacing w:line="600" w:lineRule="exact"/>
        <w:ind w:firstLine="640"/>
        <w:rPr>
          <w:rFonts w:ascii="仿宋" w:eastAsia="仿宋" w:hAnsi="仿宋"/>
          <w:color w:val="000000" w:themeColor="text1"/>
          <w:sz w:val="32"/>
          <w:szCs w:val="32"/>
        </w:rPr>
      </w:pPr>
      <w:r>
        <w:rPr>
          <w:rFonts w:ascii="仿宋" w:eastAsia="仿宋" w:hAnsi="仿宋"/>
          <w:color w:val="000000"/>
          <w:sz w:val="32"/>
          <w:szCs w:val="32"/>
        </w:rPr>
        <w:t>201</w:t>
      </w:r>
      <w:r>
        <w:rPr>
          <w:rFonts w:ascii="仿宋" w:eastAsia="仿宋" w:hAnsi="仿宋" w:hint="eastAsia"/>
          <w:color w:val="000000"/>
          <w:sz w:val="32"/>
          <w:szCs w:val="32"/>
        </w:rPr>
        <w:t>8年一般公共预算财</w:t>
      </w:r>
      <w:r>
        <w:rPr>
          <w:rFonts w:ascii="仿宋" w:eastAsia="仿宋" w:hAnsi="仿宋" w:hint="eastAsia"/>
          <w:color w:val="000000" w:themeColor="text1"/>
          <w:sz w:val="32"/>
          <w:szCs w:val="32"/>
        </w:rPr>
        <w:t>政拨款支出3590.39万元，主要用于以下方面</w:t>
      </w:r>
      <w:r>
        <w:rPr>
          <w:rFonts w:ascii="仿宋" w:eastAsia="仿宋" w:hAnsi="仿宋"/>
          <w:color w:val="000000" w:themeColor="text1"/>
          <w:sz w:val="32"/>
          <w:szCs w:val="32"/>
        </w:rPr>
        <w:t>:</w:t>
      </w:r>
      <w:r>
        <w:rPr>
          <w:rFonts w:ascii="仿宋" w:eastAsia="仿宋" w:hAnsi="仿宋" w:hint="eastAsia"/>
          <w:b/>
          <w:color w:val="000000" w:themeColor="text1"/>
          <w:sz w:val="32"/>
          <w:szCs w:val="32"/>
        </w:rPr>
        <w:t>一般公共服务支出（类）</w:t>
      </w:r>
      <w:r>
        <w:rPr>
          <w:rFonts w:ascii="仿宋" w:eastAsia="仿宋" w:hAnsi="仿宋" w:hint="eastAsia"/>
          <w:color w:val="000000" w:themeColor="text1"/>
          <w:sz w:val="32"/>
          <w:szCs w:val="32"/>
        </w:rPr>
        <w:t>4.30万元，占0.12</w:t>
      </w:r>
      <w:r>
        <w:rPr>
          <w:rFonts w:ascii="仿宋" w:eastAsia="仿宋" w:hAnsi="仿宋"/>
          <w:color w:val="000000" w:themeColor="text1"/>
          <w:sz w:val="32"/>
          <w:szCs w:val="32"/>
        </w:rPr>
        <w:t>%</w:t>
      </w:r>
      <w:r>
        <w:rPr>
          <w:rFonts w:ascii="仿宋" w:eastAsia="仿宋" w:hAnsi="仿宋" w:hint="eastAsia"/>
          <w:color w:val="000000" w:themeColor="text1"/>
          <w:sz w:val="32"/>
          <w:szCs w:val="32"/>
        </w:rPr>
        <w:t>；</w:t>
      </w:r>
      <w:r>
        <w:rPr>
          <w:rFonts w:ascii="仿宋" w:eastAsia="仿宋" w:hAnsi="仿宋" w:hint="eastAsia"/>
          <w:b/>
          <w:color w:val="000000" w:themeColor="text1"/>
          <w:sz w:val="32"/>
          <w:szCs w:val="32"/>
        </w:rPr>
        <w:t>公共安全支出（类）</w:t>
      </w:r>
      <w:r>
        <w:rPr>
          <w:rFonts w:ascii="仿宋" w:eastAsia="仿宋" w:hAnsi="仿宋" w:hint="eastAsia"/>
          <w:color w:val="000000" w:themeColor="text1"/>
          <w:sz w:val="32"/>
          <w:szCs w:val="32"/>
        </w:rPr>
        <w:t>2981.50万元，占83.04</w:t>
      </w:r>
      <w:r>
        <w:rPr>
          <w:rFonts w:ascii="仿宋" w:eastAsia="仿宋" w:hAnsi="仿宋"/>
          <w:color w:val="000000" w:themeColor="text1"/>
          <w:sz w:val="32"/>
          <w:szCs w:val="32"/>
        </w:rPr>
        <w:t>%</w:t>
      </w:r>
      <w:r>
        <w:rPr>
          <w:rFonts w:ascii="仿宋" w:eastAsia="仿宋" w:hAnsi="仿宋" w:hint="eastAsia"/>
          <w:color w:val="000000" w:themeColor="text1"/>
          <w:sz w:val="32"/>
          <w:szCs w:val="32"/>
        </w:rPr>
        <w:t>；</w:t>
      </w:r>
      <w:r>
        <w:rPr>
          <w:rFonts w:ascii="仿宋" w:eastAsia="仿宋" w:hAnsi="仿宋" w:hint="eastAsia"/>
          <w:b/>
          <w:color w:val="000000" w:themeColor="text1"/>
          <w:sz w:val="32"/>
          <w:szCs w:val="32"/>
        </w:rPr>
        <w:t>社会保障和就业（类）</w:t>
      </w:r>
      <w:r>
        <w:rPr>
          <w:rFonts w:ascii="仿宋" w:eastAsia="仿宋" w:hAnsi="仿宋" w:hint="eastAsia"/>
          <w:color w:val="000000" w:themeColor="text1"/>
          <w:sz w:val="32"/>
          <w:szCs w:val="32"/>
        </w:rPr>
        <w:t>支出425.55万元，占11.85</w:t>
      </w:r>
      <w:r>
        <w:rPr>
          <w:rFonts w:ascii="仿宋" w:eastAsia="仿宋" w:hAnsi="仿宋"/>
          <w:color w:val="000000" w:themeColor="text1"/>
          <w:sz w:val="32"/>
          <w:szCs w:val="32"/>
        </w:rPr>
        <w:t>%</w:t>
      </w:r>
      <w:r>
        <w:rPr>
          <w:rFonts w:ascii="仿宋" w:eastAsia="仿宋" w:hAnsi="仿宋" w:hint="eastAsia"/>
          <w:color w:val="000000" w:themeColor="text1"/>
          <w:sz w:val="32"/>
          <w:szCs w:val="32"/>
        </w:rPr>
        <w:t>；</w:t>
      </w:r>
      <w:r>
        <w:rPr>
          <w:rFonts w:ascii="仿宋" w:eastAsia="仿宋" w:hAnsi="仿宋" w:hint="eastAsia"/>
          <w:b/>
          <w:color w:val="000000" w:themeColor="text1"/>
          <w:sz w:val="32"/>
          <w:szCs w:val="32"/>
        </w:rPr>
        <w:t>住房保障支出（类）</w:t>
      </w:r>
      <w:r>
        <w:rPr>
          <w:rFonts w:ascii="仿宋" w:eastAsia="仿宋" w:hAnsi="仿宋" w:hint="eastAsia"/>
          <w:color w:val="000000" w:themeColor="text1"/>
          <w:sz w:val="32"/>
          <w:szCs w:val="32"/>
        </w:rPr>
        <w:t>179.04万元，占4.99</w:t>
      </w:r>
      <w:r>
        <w:rPr>
          <w:rFonts w:ascii="仿宋" w:eastAsia="仿宋" w:hAnsi="仿宋"/>
          <w:color w:val="000000" w:themeColor="text1"/>
          <w:sz w:val="32"/>
          <w:szCs w:val="32"/>
        </w:rPr>
        <w:t>%</w:t>
      </w:r>
      <w:r>
        <w:rPr>
          <w:rFonts w:ascii="仿宋" w:eastAsia="仿宋" w:hAnsi="仿宋" w:hint="eastAsia"/>
          <w:color w:val="000000" w:themeColor="text1"/>
          <w:sz w:val="32"/>
          <w:szCs w:val="32"/>
        </w:rPr>
        <w:t>。</w:t>
      </w:r>
    </w:p>
    <w:p w:rsidR="00A571F9" w:rsidRDefault="004911A9">
      <w:pPr>
        <w:spacing w:line="600" w:lineRule="exact"/>
        <w:ind w:firstLineChars="200" w:firstLine="640"/>
        <w:rPr>
          <w:rFonts w:ascii="仿宋" w:eastAsia="仿宋" w:hAnsi="仿宋"/>
          <w:color w:val="000000"/>
          <w:sz w:val="32"/>
          <w:szCs w:val="32"/>
        </w:rPr>
      </w:pPr>
      <w:r>
        <w:rPr>
          <w:rFonts w:ascii="仿宋" w:eastAsia="仿宋" w:hAnsi="仿宋" w:hint="eastAsia"/>
          <w:noProof/>
          <w:color w:val="000000"/>
          <w:sz w:val="32"/>
          <w:szCs w:val="32"/>
        </w:rPr>
        <w:drawing>
          <wp:anchor distT="0" distB="0" distL="114300" distR="114300" simplePos="0" relativeHeight="251665408" behindDoc="0" locked="0" layoutInCell="1" allowOverlap="1">
            <wp:simplePos x="0" y="0"/>
            <wp:positionH relativeFrom="column">
              <wp:posOffset>28575</wp:posOffset>
            </wp:positionH>
            <wp:positionV relativeFrom="paragraph">
              <wp:posOffset>457200</wp:posOffset>
            </wp:positionV>
            <wp:extent cx="5274310" cy="2533650"/>
            <wp:effectExtent l="19050" t="0" r="21590" b="0"/>
            <wp:wrapSquare wrapText="bothSides"/>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r>
        <w:rPr>
          <w:rFonts w:ascii="仿宋" w:eastAsia="仿宋" w:hAnsi="仿宋" w:hint="eastAsia"/>
          <w:color w:val="000000"/>
          <w:sz w:val="32"/>
          <w:szCs w:val="32"/>
        </w:rPr>
        <w:t>（图6：一般公共预算财政拨款支出决算结构）（饼状图）</w:t>
      </w:r>
    </w:p>
    <w:p w:rsidR="00A571F9" w:rsidRDefault="004911A9">
      <w:pPr>
        <w:spacing w:line="600" w:lineRule="exact"/>
        <w:ind w:firstLineChars="200" w:firstLine="643"/>
        <w:outlineLvl w:val="2"/>
        <w:rPr>
          <w:rFonts w:ascii="仿宋" w:eastAsia="仿宋" w:hAnsi="仿宋"/>
          <w:b/>
          <w:color w:val="000000"/>
          <w:sz w:val="32"/>
          <w:szCs w:val="32"/>
        </w:rPr>
      </w:pPr>
      <w:bookmarkStart w:id="36" w:name="_Toc15377212"/>
      <w:r>
        <w:rPr>
          <w:rFonts w:ascii="仿宋" w:eastAsia="仿宋" w:hAnsi="仿宋" w:hint="eastAsia"/>
          <w:b/>
          <w:color w:val="000000"/>
          <w:sz w:val="32"/>
          <w:szCs w:val="32"/>
        </w:rPr>
        <w:lastRenderedPageBreak/>
        <w:t>（三）一般公共预算财政拨款支出决算具体情况</w:t>
      </w:r>
      <w:bookmarkEnd w:id="36"/>
    </w:p>
    <w:p w:rsidR="00A571F9" w:rsidRDefault="004911A9">
      <w:pPr>
        <w:spacing w:line="600" w:lineRule="exact"/>
        <w:ind w:firstLineChars="200" w:firstLine="643"/>
        <w:outlineLvl w:val="2"/>
        <w:rPr>
          <w:rFonts w:ascii="仿宋" w:eastAsia="仿宋" w:hAnsi="仿宋"/>
          <w:color w:val="FF0000"/>
          <w:sz w:val="32"/>
          <w:szCs w:val="32"/>
        </w:rPr>
      </w:pPr>
      <w:bookmarkStart w:id="37" w:name="_Toc15377213"/>
      <w:bookmarkStart w:id="38" w:name="_Toc15377444"/>
      <w:bookmarkStart w:id="39" w:name="_Toc15378460"/>
      <w:r>
        <w:rPr>
          <w:rFonts w:ascii="仿宋" w:eastAsia="仿宋" w:hAnsi="仿宋" w:hint="eastAsia"/>
          <w:b/>
          <w:color w:val="000000" w:themeColor="text1"/>
          <w:sz w:val="32"/>
          <w:szCs w:val="32"/>
        </w:rPr>
        <w:t>2018年般公共预算支出决算数为3590.39万元</w:t>
      </w:r>
      <w:r>
        <w:rPr>
          <w:rFonts w:ascii="仿宋" w:eastAsia="仿宋" w:hAnsi="仿宋" w:hint="eastAsia"/>
          <w:color w:val="000000" w:themeColor="text1"/>
          <w:sz w:val="32"/>
          <w:szCs w:val="32"/>
        </w:rPr>
        <w:t>，</w:t>
      </w:r>
      <w:r>
        <w:rPr>
          <w:rStyle w:val="a7"/>
          <w:rFonts w:ascii="仿宋" w:eastAsia="仿宋" w:hAnsi="仿宋" w:hint="eastAsia"/>
          <w:bCs/>
          <w:color w:val="000000" w:themeColor="text1"/>
          <w:sz w:val="32"/>
          <w:szCs w:val="32"/>
        </w:rPr>
        <w:t>完成</w:t>
      </w:r>
      <w:r>
        <w:rPr>
          <w:rStyle w:val="a7"/>
          <w:rFonts w:ascii="仿宋" w:eastAsia="仿宋" w:hAnsi="仿宋" w:hint="eastAsia"/>
          <w:bCs/>
          <w:color w:val="000000"/>
          <w:sz w:val="32"/>
          <w:szCs w:val="32"/>
        </w:rPr>
        <w:t>预算100</w:t>
      </w:r>
      <w:r>
        <w:rPr>
          <w:rStyle w:val="a7"/>
          <w:rFonts w:ascii="仿宋" w:eastAsia="仿宋" w:hAnsi="仿宋"/>
          <w:bCs/>
          <w:color w:val="000000"/>
          <w:sz w:val="32"/>
          <w:szCs w:val="32"/>
        </w:rPr>
        <w:t>%</w:t>
      </w:r>
      <w:r>
        <w:rPr>
          <w:rStyle w:val="a7"/>
          <w:rFonts w:ascii="仿宋" w:eastAsia="仿宋" w:hAnsi="仿宋" w:hint="eastAsia"/>
          <w:bCs/>
          <w:color w:val="000000"/>
          <w:sz w:val="32"/>
          <w:szCs w:val="32"/>
        </w:rPr>
        <w:t>。其中：</w:t>
      </w:r>
      <w:bookmarkEnd w:id="37"/>
      <w:bookmarkEnd w:id="38"/>
      <w:bookmarkEnd w:id="39"/>
    </w:p>
    <w:p w:rsidR="00A571F9" w:rsidRDefault="004911A9">
      <w:pPr>
        <w:spacing w:line="600" w:lineRule="exact"/>
        <w:ind w:firstLineChars="200" w:firstLine="643"/>
        <w:rPr>
          <w:rFonts w:ascii="仿宋" w:eastAsia="仿宋" w:hAnsi="仿宋"/>
          <w:b/>
          <w:color w:val="000000"/>
          <w:sz w:val="32"/>
          <w:szCs w:val="32"/>
        </w:rPr>
      </w:pPr>
      <w:r>
        <w:rPr>
          <w:rStyle w:val="a7"/>
          <w:rFonts w:ascii="仿宋" w:eastAsia="仿宋" w:hAnsi="仿宋"/>
          <w:bCs/>
          <w:color w:val="000000"/>
          <w:sz w:val="32"/>
          <w:szCs w:val="32"/>
        </w:rPr>
        <w:t>1.</w:t>
      </w:r>
      <w:r>
        <w:rPr>
          <w:rStyle w:val="a7"/>
          <w:rFonts w:ascii="仿宋" w:eastAsia="仿宋" w:hAnsi="仿宋" w:hint="eastAsia"/>
          <w:bCs/>
          <w:color w:val="000000"/>
          <w:sz w:val="32"/>
          <w:szCs w:val="32"/>
        </w:rPr>
        <w:t>一般公共服务（类）组织事务（款）其他组织事务（项）</w:t>
      </w:r>
      <w:r>
        <w:rPr>
          <w:rStyle w:val="a7"/>
          <w:rFonts w:ascii="仿宋" w:eastAsia="仿宋" w:hAnsi="仿宋"/>
          <w:bCs/>
          <w:color w:val="000000"/>
          <w:sz w:val="32"/>
          <w:szCs w:val="32"/>
        </w:rPr>
        <w:t>:</w:t>
      </w:r>
      <w:r>
        <w:rPr>
          <w:rStyle w:val="a7"/>
          <w:rFonts w:ascii="仿宋" w:eastAsia="仿宋" w:hAnsi="仿宋" w:hint="eastAsia"/>
          <w:b w:val="0"/>
          <w:bCs/>
          <w:color w:val="000000"/>
          <w:sz w:val="32"/>
          <w:szCs w:val="32"/>
        </w:rPr>
        <w:t>支出决算为4.30万元，完成预算100</w:t>
      </w:r>
      <w:r>
        <w:rPr>
          <w:rStyle w:val="a7"/>
          <w:rFonts w:ascii="仿宋" w:eastAsia="仿宋" w:hAnsi="仿宋"/>
          <w:b w:val="0"/>
          <w:bCs/>
          <w:color w:val="000000"/>
          <w:sz w:val="32"/>
          <w:szCs w:val="32"/>
        </w:rPr>
        <w:t>%</w:t>
      </w:r>
      <w:r>
        <w:rPr>
          <w:rStyle w:val="a7"/>
          <w:rFonts w:ascii="仿宋" w:eastAsia="仿宋" w:hAnsi="仿宋" w:hint="eastAsia"/>
          <w:b w:val="0"/>
          <w:bCs/>
          <w:color w:val="000000"/>
          <w:sz w:val="32"/>
          <w:szCs w:val="32"/>
        </w:rPr>
        <w:t>。</w:t>
      </w:r>
    </w:p>
    <w:p w:rsidR="00A571F9" w:rsidRDefault="004911A9">
      <w:pPr>
        <w:spacing w:line="600" w:lineRule="exact"/>
        <w:ind w:firstLineChars="200" w:firstLine="643"/>
        <w:rPr>
          <w:rStyle w:val="a7"/>
          <w:rFonts w:ascii="仿宋" w:eastAsia="仿宋" w:hAnsi="仿宋"/>
          <w:b w:val="0"/>
          <w:bCs/>
          <w:color w:val="000000"/>
          <w:sz w:val="32"/>
          <w:szCs w:val="32"/>
        </w:rPr>
      </w:pPr>
      <w:r>
        <w:rPr>
          <w:rStyle w:val="a7"/>
          <w:rFonts w:ascii="仿宋" w:eastAsia="仿宋" w:hAnsi="仿宋"/>
          <w:bCs/>
          <w:color w:val="000000"/>
          <w:sz w:val="32"/>
          <w:szCs w:val="32"/>
        </w:rPr>
        <w:t>2.</w:t>
      </w:r>
      <w:r>
        <w:rPr>
          <w:rStyle w:val="a7"/>
          <w:rFonts w:ascii="仿宋" w:eastAsia="仿宋" w:hAnsi="仿宋" w:hint="eastAsia"/>
          <w:bCs/>
          <w:color w:val="000000"/>
          <w:sz w:val="32"/>
          <w:szCs w:val="32"/>
        </w:rPr>
        <w:t>公共安全（类）法院（款）行政运行（项）</w:t>
      </w:r>
      <w:r>
        <w:rPr>
          <w:rStyle w:val="a7"/>
          <w:rFonts w:ascii="仿宋" w:eastAsia="仿宋" w:hAnsi="仿宋"/>
          <w:bCs/>
          <w:color w:val="000000"/>
          <w:sz w:val="32"/>
          <w:szCs w:val="32"/>
        </w:rPr>
        <w:t>:</w:t>
      </w:r>
      <w:r>
        <w:rPr>
          <w:rStyle w:val="a7"/>
          <w:rFonts w:ascii="仿宋" w:eastAsia="仿宋" w:hAnsi="仿宋" w:hint="eastAsia"/>
          <w:b w:val="0"/>
          <w:bCs/>
          <w:color w:val="000000"/>
          <w:sz w:val="32"/>
          <w:szCs w:val="32"/>
        </w:rPr>
        <w:t>支出决算为1907.74万元，完成预算100</w:t>
      </w:r>
      <w:r>
        <w:rPr>
          <w:rStyle w:val="a7"/>
          <w:rFonts w:ascii="仿宋" w:eastAsia="仿宋" w:hAnsi="仿宋"/>
          <w:b w:val="0"/>
          <w:bCs/>
          <w:color w:val="000000"/>
          <w:sz w:val="32"/>
          <w:szCs w:val="32"/>
        </w:rPr>
        <w:t>%</w:t>
      </w:r>
      <w:r>
        <w:rPr>
          <w:rStyle w:val="a7"/>
          <w:rFonts w:ascii="仿宋" w:eastAsia="仿宋" w:hAnsi="仿宋" w:hint="eastAsia"/>
          <w:b w:val="0"/>
          <w:bCs/>
          <w:color w:val="000000"/>
          <w:sz w:val="32"/>
          <w:szCs w:val="32"/>
        </w:rPr>
        <w:t>。</w:t>
      </w:r>
    </w:p>
    <w:p w:rsidR="00A571F9" w:rsidRDefault="004911A9">
      <w:pPr>
        <w:spacing w:line="600" w:lineRule="exact"/>
        <w:ind w:firstLineChars="300" w:firstLine="964"/>
        <w:rPr>
          <w:rStyle w:val="a7"/>
          <w:rFonts w:ascii="仿宋" w:eastAsia="仿宋" w:hAnsi="仿宋"/>
          <w:b w:val="0"/>
          <w:bCs/>
          <w:color w:val="000000"/>
          <w:sz w:val="32"/>
          <w:szCs w:val="32"/>
        </w:rPr>
      </w:pPr>
      <w:r>
        <w:rPr>
          <w:rStyle w:val="a7"/>
          <w:rFonts w:ascii="仿宋" w:eastAsia="仿宋" w:hAnsi="仿宋" w:hint="eastAsia"/>
          <w:bCs/>
          <w:color w:val="000000"/>
          <w:sz w:val="32"/>
          <w:szCs w:val="32"/>
        </w:rPr>
        <w:t>公共安全（类）法院（款）一般行政管理事务（项）</w:t>
      </w:r>
      <w:r>
        <w:rPr>
          <w:rStyle w:val="a7"/>
          <w:rFonts w:ascii="仿宋" w:eastAsia="仿宋" w:hAnsi="仿宋"/>
          <w:bCs/>
          <w:color w:val="000000"/>
          <w:sz w:val="32"/>
          <w:szCs w:val="32"/>
        </w:rPr>
        <w:t>:</w:t>
      </w:r>
      <w:r>
        <w:rPr>
          <w:rStyle w:val="a7"/>
          <w:rFonts w:ascii="仿宋" w:eastAsia="仿宋" w:hAnsi="仿宋" w:hint="eastAsia"/>
          <w:b w:val="0"/>
          <w:bCs/>
          <w:color w:val="000000"/>
          <w:sz w:val="32"/>
          <w:szCs w:val="32"/>
        </w:rPr>
        <w:t>支出决算为611.31万元，完成预算73.36</w:t>
      </w:r>
      <w:r>
        <w:rPr>
          <w:rStyle w:val="a7"/>
          <w:rFonts w:ascii="仿宋" w:eastAsia="仿宋" w:hAnsi="仿宋"/>
          <w:b w:val="0"/>
          <w:bCs/>
          <w:color w:val="000000"/>
          <w:sz w:val="32"/>
          <w:szCs w:val="32"/>
        </w:rPr>
        <w:t>%</w:t>
      </w:r>
      <w:r>
        <w:rPr>
          <w:rStyle w:val="a7"/>
          <w:rFonts w:ascii="仿宋" w:eastAsia="仿宋" w:hAnsi="仿宋" w:hint="eastAsia"/>
          <w:b w:val="0"/>
          <w:bCs/>
          <w:color w:val="000000"/>
          <w:sz w:val="32"/>
          <w:szCs w:val="32"/>
        </w:rPr>
        <w:t>，决算数小于预算数的主要原因是2018年下达的业务装备经费需待省高院批复采购计划后2019年进行采购。</w:t>
      </w:r>
    </w:p>
    <w:p w:rsidR="00A571F9" w:rsidRDefault="004911A9">
      <w:pPr>
        <w:spacing w:line="600" w:lineRule="exact"/>
        <w:ind w:firstLineChars="300" w:firstLine="964"/>
        <w:rPr>
          <w:rStyle w:val="a7"/>
          <w:rFonts w:ascii="仿宋" w:eastAsia="仿宋" w:hAnsi="仿宋"/>
          <w:b w:val="0"/>
          <w:bCs/>
          <w:color w:val="000000"/>
          <w:sz w:val="32"/>
          <w:szCs w:val="32"/>
        </w:rPr>
      </w:pPr>
      <w:r>
        <w:rPr>
          <w:rStyle w:val="a7"/>
          <w:rFonts w:ascii="仿宋" w:eastAsia="仿宋" w:hAnsi="仿宋" w:hint="eastAsia"/>
          <w:bCs/>
          <w:color w:val="000000"/>
          <w:sz w:val="32"/>
          <w:szCs w:val="32"/>
        </w:rPr>
        <w:t>公共安全（类）法院（款）其他法院（项）</w:t>
      </w:r>
      <w:r>
        <w:rPr>
          <w:rStyle w:val="a7"/>
          <w:rFonts w:ascii="仿宋" w:eastAsia="仿宋" w:hAnsi="仿宋"/>
          <w:bCs/>
          <w:color w:val="000000"/>
          <w:sz w:val="32"/>
          <w:szCs w:val="32"/>
        </w:rPr>
        <w:t>:</w:t>
      </w:r>
      <w:r>
        <w:rPr>
          <w:rStyle w:val="a7"/>
          <w:rFonts w:ascii="仿宋" w:eastAsia="仿宋" w:hAnsi="仿宋" w:hint="eastAsia"/>
          <w:b w:val="0"/>
          <w:bCs/>
          <w:color w:val="000000"/>
          <w:sz w:val="32"/>
          <w:szCs w:val="32"/>
        </w:rPr>
        <w:t>支出决算为456.95万元，完成预算94.81</w:t>
      </w:r>
      <w:r>
        <w:rPr>
          <w:rStyle w:val="a7"/>
          <w:rFonts w:ascii="仿宋" w:eastAsia="仿宋" w:hAnsi="仿宋"/>
          <w:b w:val="0"/>
          <w:bCs/>
          <w:color w:val="000000"/>
          <w:sz w:val="32"/>
          <w:szCs w:val="32"/>
        </w:rPr>
        <w:t>%</w:t>
      </w:r>
      <w:r>
        <w:rPr>
          <w:rStyle w:val="a7"/>
          <w:rFonts w:ascii="仿宋" w:eastAsia="仿宋" w:hAnsi="仿宋" w:hint="eastAsia"/>
          <w:b w:val="0"/>
          <w:bCs/>
          <w:color w:val="000000"/>
          <w:sz w:val="32"/>
          <w:szCs w:val="32"/>
        </w:rPr>
        <w:t>，决算数小于预算数的主要原因是2018年下达的业务装备经费需待省高院批复采购计划后2019年进行采购。</w:t>
      </w:r>
    </w:p>
    <w:p w:rsidR="00A571F9" w:rsidRDefault="004911A9">
      <w:pPr>
        <w:spacing w:line="600" w:lineRule="exact"/>
        <w:ind w:firstLineChars="300" w:firstLine="964"/>
        <w:rPr>
          <w:rFonts w:ascii="仿宋" w:eastAsia="仿宋" w:hAnsi="仿宋"/>
          <w:b/>
          <w:color w:val="000000"/>
          <w:sz w:val="32"/>
          <w:szCs w:val="32"/>
        </w:rPr>
      </w:pPr>
      <w:r>
        <w:rPr>
          <w:rStyle w:val="a7"/>
          <w:rFonts w:ascii="仿宋" w:eastAsia="仿宋" w:hAnsi="仿宋" w:hint="eastAsia"/>
          <w:bCs/>
          <w:color w:val="000000"/>
          <w:sz w:val="32"/>
          <w:szCs w:val="32"/>
        </w:rPr>
        <w:t>公共安全（类）其他公共安全（款）其他公共安全（项）</w:t>
      </w:r>
      <w:r>
        <w:rPr>
          <w:rStyle w:val="a7"/>
          <w:rFonts w:ascii="仿宋" w:eastAsia="仿宋" w:hAnsi="仿宋"/>
          <w:bCs/>
          <w:color w:val="000000"/>
          <w:sz w:val="32"/>
          <w:szCs w:val="32"/>
        </w:rPr>
        <w:t>:</w:t>
      </w:r>
      <w:r>
        <w:rPr>
          <w:rStyle w:val="a7"/>
          <w:rFonts w:ascii="仿宋" w:eastAsia="仿宋" w:hAnsi="仿宋" w:hint="eastAsia"/>
          <w:b w:val="0"/>
          <w:bCs/>
          <w:color w:val="000000"/>
          <w:sz w:val="32"/>
          <w:szCs w:val="32"/>
        </w:rPr>
        <w:t>支出决算为5.50万元，完成预算100</w:t>
      </w:r>
      <w:r>
        <w:rPr>
          <w:rStyle w:val="a7"/>
          <w:rFonts w:ascii="仿宋" w:eastAsia="仿宋" w:hAnsi="仿宋"/>
          <w:b w:val="0"/>
          <w:bCs/>
          <w:color w:val="000000"/>
          <w:sz w:val="32"/>
          <w:szCs w:val="32"/>
        </w:rPr>
        <w:t>%</w:t>
      </w:r>
      <w:r>
        <w:rPr>
          <w:rStyle w:val="a7"/>
          <w:rFonts w:ascii="仿宋" w:eastAsia="仿宋" w:hAnsi="仿宋" w:hint="eastAsia"/>
          <w:b w:val="0"/>
          <w:bCs/>
          <w:color w:val="000000"/>
          <w:sz w:val="32"/>
          <w:szCs w:val="32"/>
        </w:rPr>
        <w:t>。</w:t>
      </w:r>
    </w:p>
    <w:p w:rsidR="00A571F9" w:rsidRDefault="004911A9">
      <w:pPr>
        <w:spacing w:line="600" w:lineRule="exact"/>
        <w:ind w:firstLineChars="200" w:firstLine="643"/>
        <w:rPr>
          <w:rStyle w:val="a7"/>
          <w:rFonts w:ascii="仿宋" w:eastAsia="仿宋" w:hAnsi="仿宋"/>
          <w:b w:val="0"/>
          <w:bCs/>
          <w:color w:val="000000"/>
          <w:sz w:val="32"/>
          <w:szCs w:val="32"/>
        </w:rPr>
      </w:pPr>
      <w:r>
        <w:rPr>
          <w:rStyle w:val="a7"/>
          <w:rFonts w:ascii="仿宋" w:eastAsia="仿宋" w:hAnsi="仿宋"/>
          <w:bCs/>
          <w:color w:val="000000"/>
          <w:sz w:val="32"/>
          <w:szCs w:val="32"/>
        </w:rPr>
        <w:t>3.</w:t>
      </w:r>
      <w:r>
        <w:rPr>
          <w:rStyle w:val="a7"/>
          <w:rFonts w:ascii="仿宋" w:eastAsia="仿宋" w:hAnsi="仿宋" w:hint="eastAsia"/>
          <w:bCs/>
          <w:color w:val="000000"/>
          <w:sz w:val="32"/>
          <w:szCs w:val="32"/>
        </w:rPr>
        <w:t xml:space="preserve"> 社会保障和就业（类）行政事业单位离退休（款）未归口管理的行政单位离退休（项）</w:t>
      </w:r>
      <w:r>
        <w:rPr>
          <w:rStyle w:val="a7"/>
          <w:rFonts w:ascii="仿宋" w:eastAsia="仿宋" w:hAnsi="仿宋"/>
          <w:bCs/>
          <w:color w:val="000000"/>
          <w:sz w:val="32"/>
          <w:szCs w:val="32"/>
        </w:rPr>
        <w:t>:</w:t>
      </w:r>
      <w:r>
        <w:rPr>
          <w:rStyle w:val="a7"/>
          <w:rFonts w:ascii="仿宋" w:eastAsia="仿宋" w:hAnsi="仿宋" w:hint="eastAsia"/>
          <w:b w:val="0"/>
          <w:bCs/>
          <w:color w:val="000000"/>
          <w:sz w:val="32"/>
          <w:szCs w:val="32"/>
        </w:rPr>
        <w:t>支出决算为207.93万元，完成预算100</w:t>
      </w:r>
      <w:r>
        <w:rPr>
          <w:rStyle w:val="a7"/>
          <w:rFonts w:ascii="仿宋" w:eastAsia="仿宋" w:hAnsi="仿宋"/>
          <w:b w:val="0"/>
          <w:bCs/>
          <w:color w:val="000000"/>
          <w:sz w:val="32"/>
          <w:szCs w:val="32"/>
        </w:rPr>
        <w:t>%</w:t>
      </w:r>
      <w:r>
        <w:rPr>
          <w:rStyle w:val="a7"/>
          <w:rFonts w:ascii="仿宋" w:eastAsia="仿宋" w:hAnsi="仿宋" w:hint="eastAsia"/>
          <w:b w:val="0"/>
          <w:bCs/>
          <w:color w:val="000000"/>
          <w:sz w:val="32"/>
          <w:szCs w:val="32"/>
        </w:rPr>
        <w:t>。</w:t>
      </w:r>
    </w:p>
    <w:p w:rsidR="00A571F9" w:rsidRDefault="004911A9">
      <w:pPr>
        <w:spacing w:line="600" w:lineRule="exact"/>
        <w:ind w:firstLineChars="300" w:firstLine="964"/>
        <w:rPr>
          <w:rStyle w:val="a7"/>
          <w:rFonts w:ascii="仿宋" w:eastAsia="仿宋" w:hAnsi="仿宋"/>
          <w:b w:val="0"/>
          <w:bCs/>
          <w:color w:val="000000"/>
          <w:sz w:val="32"/>
          <w:szCs w:val="32"/>
        </w:rPr>
      </w:pPr>
      <w:r>
        <w:rPr>
          <w:rStyle w:val="a7"/>
          <w:rFonts w:ascii="仿宋" w:eastAsia="仿宋" w:hAnsi="仿宋" w:hint="eastAsia"/>
          <w:bCs/>
          <w:color w:val="000000"/>
          <w:sz w:val="32"/>
          <w:szCs w:val="32"/>
        </w:rPr>
        <w:t>社会保障和就业（类）行政事业单位离退休（款）机关事业单位基本养老保险缴费支出（项）</w:t>
      </w:r>
      <w:r>
        <w:rPr>
          <w:rStyle w:val="a7"/>
          <w:rFonts w:ascii="仿宋" w:eastAsia="仿宋" w:hAnsi="仿宋"/>
          <w:bCs/>
          <w:color w:val="000000"/>
          <w:sz w:val="32"/>
          <w:szCs w:val="32"/>
        </w:rPr>
        <w:t>:</w:t>
      </w:r>
      <w:r>
        <w:rPr>
          <w:rStyle w:val="a7"/>
          <w:rFonts w:ascii="仿宋" w:eastAsia="仿宋" w:hAnsi="仿宋" w:hint="eastAsia"/>
          <w:b w:val="0"/>
          <w:bCs/>
          <w:color w:val="000000"/>
          <w:sz w:val="32"/>
          <w:szCs w:val="32"/>
        </w:rPr>
        <w:t>支出决算为197.83万元，完成预算100</w:t>
      </w:r>
      <w:r>
        <w:rPr>
          <w:rStyle w:val="a7"/>
          <w:rFonts w:ascii="仿宋" w:eastAsia="仿宋" w:hAnsi="仿宋"/>
          <w:b w:val="0"/>
          <w:bCs/>
          <w:color w:val="000000"/>
          <w:sz w:val="32"/>
          <w:szCs w:val="32"/>
        </w:rPr>
        <w:t>%</w:t>
      </w:r>
      <w:r>
        <w:rPr>
          <w:rStyle w:val="a7"/>
          <w:rFonts w:ascii="仿宋" w:eastAsia="仿宋" w:hAnsi="仿宋" w:hint="eastAsia"/>
          <w:b w:val="0"/>
          <w:bCs/>
          <w:color w:val="000000"/>
          <w:sz w:val="32"/>
          <w:szCs w:val="32"/>
        </w:rPr>
        <w:t>。</w:t>
      </w:r>
    </w:p>
    <w:p w:rsidR="00A571F9" w:rsidRDefault="004911A9">
      <w:pPr>
        <w:spacing w:line="600" w:lineRule="exact"/>
        <w:ind w:firstLineChars="300" w:firstLine="964"/>
        <w:rPr>
          <w:rStyle w:val="a7"/>
          <w:rFonts w:ascii="仿宋" w:eastAsia="仿宋" w:hAnsi="仿宋"/>
          <w:b w:val="0"/>
          <w:bCs/>
          <w:color w:val="000000"/>
          <w:sz w:val="32"/>
          <w:szCs w:val="32"/>
        </w:rPr>
      </w:pPr>
      <w:r>
        <w:rPr>
          <w:rStyle w:val="a7"/>
          <w:rFonts w:ascii="仿宋" w:eastAsia="仿宋" w:hAnsi="仿宋" w:hint="eastAsia"/>
          <w:bCs/>
          <w:color w:val="000000"/>
          <w:sz w:val="32"/>
          <w:szCs w:val="32"/>
        </w:rPr>
        <w:lastRenderedPageBreak/>
        <w:t>社会保障和就业（类）行政事业单位离退休（款）机关事业单位职业年金缴费支出（项）</w:t>
      </w:r>
      <w:r>
        <w:rPr>
          <w:rStyle w:val="a7"/>
          <w:rFonts w:ascii="仿宋" w:eastAsia="仿宋" w:hAnsi="仿宋"/>
          <w:bCs/>
          <w:color w:val="000000"/>
          <w:sz w:val="32"/>
          <w:szCs w:val="32"/>
        </w:rPr>
        <w:t>:</w:t>
      </w:r>
      <w:r>
        <w:rPr>
          <w:rStyle w:val="a7"/>
          <w:rFonts w:ascii="仿宋" w:eastAsia="仿宋" w:hAnsi="仿宋" w:hint="eastAsia"/>
          <w:b w:val="0"/>
          <w:bCs/>
          <w:color w:val="000000"/>
          <w:sz w:val="32"/>
          <w:szCs w:val="32"/>
        </w:rPr>
        <w:t>支出决算为3.43万元，完成预算100</w:t>
      </w:r>
      <w:r>
        <w:rPr>
          <w:rStyle w:val="a7"/>
          <w:rFonts w:ascii="仿宋" w:eastAsia="仿宋" w:hAnsi="仿宋"/>
          <w:b w:val="0"/>
          <w:bCs/>
          <w:color w:val="000000"/>
          <w:sz w:val="32"/>
          <w:szCs w:val="32"/>
        </w:rPr>
        <w:t>%</w:t>
      </w:r>
      <w:r>
        <w:rPr>
          <w:rStyle w:val="a7"/>
          <w:rFonts w:ascii="仿宋" w:eastAsia="仿宋" w:hAnsi="仿宋" w:hint="eastAsia"/>
          <w:b w:val="0"/>
          <w:bCs/>
          <w:color w:val="000000"/>
          <w:sz w:val="32"/>
          <w:szCs w:val="32"/>
        </w:rPr>
        <w:t>。</w:t>
      </w:r>
    </w:p>
    <w:p w:rsidR="00A571F9" w:rsidRDefault="004911A9">
      <w:pPr>
        <w:spacing w:line="600" w:lineRule="exact"/>
        <w:ind w:firstLineChars="300" w:firstLine="964"/>
        <w:rPr>
          <w:rStyle w:val="a7"/>
          <w:rFonts w:ascii="仿宋" w:eastAsia="仿宋" w:hAnsi="仿宋"/>
          <w:b w:val="0"/>
          <w:bCs/>
          <w:color w:val="000000"/>
          <w:sz w:val="32"/>
          <w:szCs w:val="32"/>
        </w:rPr>
      </w:pPr>
      <w:r>
        <w:rPr>
          <w:rStyle w:val="a7"/>
          <w:rFonts w:ascii="仿宋" w:eastAsia="仿宋" w:hAnsi="仿宋" w:hint="eastAsia"/>
          <w:bCs/>
          <w:color w:val="000000"/>
          <w:sz w:val="32"/>
          <w:szCs w:val="32"/>
        </w:rPr>
        <w:t>社会保障和就业（类）抚恤（款）死亡抚恤（项）</w:t>
      </w:r>
      <w:r>
        <w:rPr>
          <w:rStyle w:val="a7"/>
          <w:rFonts w:ascii="仿宋" w:eastAsia="仿宋" w:hAnsi="仿宋"/>
          <w:bCs/>
          <w:color w:val="000000"/>
          <w:sz w:val="32"/>
          <w:szCs w:val="32"/>
        </w:rPr>
        <w:t>:</w:t>
      </w:r>
      <w:r>
        <w:rPr>
          <w:rStyle w:val="a7"/>
          <w:rFonts w:ascii="仿宋" w:eastAsia="仿宋" w:hAnsi="仿宋" w:hint="eastAsia"/>
          <w:b w:val="0"/>
          <w:bCs/>
          <w:color w:val="000000"/>
          <w:sz w:val="32"/>
          <w:szCs w:val="32"/>
        </w:rPr>
        <w:t>支出决算为15.16万元，完成预算100</w:t>
      </w:r>
      <w:r>
        <w:rPr>
          <w:rStyle w:val="a7"/>
          <w:rFonts w:ascii="仿宋" w:eastAsia="仿宋" w:hAnsi="仿宋"/>
          <w:b w:val="0"/>
          <w:bCs/>
          <w:color w:val="000000"/>
          <w:sz w:val="32"/>
          <w:szCs w:val="32"/>
        </w:rPr>
        <w:t>%</w:t>
      </w:r>
      <w:r>
        <w:rPr>
          <w:rStyle w:val="a7"/>
          <w:rFonts w:ascii="仿宋" w:eastAsia="仿宋" w:hAnsi="仿宋" w:hint="eastAsia"/>
          <w:b w:val="0"/>
          <w:bCs/>
          <w:color w:val="000000"/>
          <w:sz w:val="32"/>
          <w:szCs w:val="32"/>
        </w:rPr>
        <w:t>。</w:t>
      </w:r>
    </w:p>
    <w:p w:rsidR="00A571F9" w:rsidRDefault="004911A9">
      <w:pPr>
        <w:spacing w:line="600" w:lineRule="exact"/>
        <w:ind w:firstLineChars="300" w:firstLine="964"/>
        <w:rPr>
          <w:rFonts w:ascii="仿宋" w:eastAsia="仿宋" w:hAnsi="仿宋"/>
          <w:b/>
          <w:color w:val="000000"/>
          <w:sz w:val="32"/>
          <w:szCs w:val="32"/>
        </w:rPr>
      </w:pPr>
      <w:r>
        <w:rPr>
          <w:rStyle w:val="a7"/>
          <w:rFonts w:ascii="仿宋" w:eastAsia="仿宋" w:hAnsi="仿宋" w:hint="eastAsia"/>
          <w:bCs/>
          <w:color w:val="000000"/>
          <w:sz w:val="32"/>
          <w:szCs w:val="32"/>
        </w:rPr>
        <w:t>社会保障和就业（类）社会福利（款）儿童福利（项）</w:t>
      </w:r>
      <w:r>
        <w:rPr>
          <w:rStyle w:val="a7"/>
          <w:rFonts w:ascii="仿宋" w:eastAsia="仿宋" w:hAnsi="仿宋"/>
          <w:bCs/>
          <w:color w:val="000000"/>
          <w:sz w:val="32"/>
          <w:szCs w:val="32"/>
        </w:rPr>
        <w:t>:</w:t>
      </w:r>
      <w:r>
        <w:rPr>
          <w:rStyle w:val="a7"/>
          <w:rFonts w:ascii="仿宋" w:eastAsia="仿宋" w:hAnsi="仿宋" w:hint="eastAsia"/>
          <w:b w:val="0"/>
          <w:bCs/>
          <w:color w:val="000000"/>
          <w:sz w:val="32"/>
          <w:szCs w:val="32"/>
        </w:rPr>
        <w:t>支出决算为1.2万元，完成预算100</w:t>
      </w:r>
      <w:r>
        <w:rPr>
          <w:rStyle w:val="a7"/>
          <w:rFonts w:ascii="仿宋" w:eastAsia="仿宋" w:hAnsi="仿宋"/>
          <w:b w:val="0"/>
          <w:bCs/>
          <w:color w:val="000000"/>
          <w:sz w:val="32"/>
          <w:szCs w:val="32"/>
        </w:rPr>
        <w:t>%</w:t>
      </w:r>
      <w:r>
        <w:rPr>
          <w:rStyle w:val="a7"/>
          <w:rFonts w:ascii="仿宋" w:eastAsia="仿宋" w:hAnsi="仿宋" w:hint="eastAsia"/>
          <w:b w:val="0"/>
          <w:bCs/>
          <w:color w:val="000000"/>
          <w:sz w:val="32"/>
          <w:szCs w:val="32"/>
        </w:rPr>
        <w:t>。</w:t>
      </w:r>
    </w:p>
    <w:p w:rsidR="00A571F9" w:rsidRDefault="004911A9">
      <w:pPr>
        <w:spacing w:line="600" w:lineRule="exact"/>
        <w:ind w:firstLineChars="200" w:firstLine="643"/>
        <w:rPr>
          <w:rFonts w:ascii="仿宋" w:eastAsia="仿宋" w:hAnsi="仿宋"/>
          <w:b/>
          <w:color w:val="000000"/>
          <w:sz w:val="32"/>
          <w:szCs w:val="32"/>
        </w:rPr>
      </w:pPr>
      <w:r>
        <w:rPr>
          <w:rStyle w:val="a7"/>
          <w:rFonts w:ascii="仿宋" w:eastAsia="仿宋" w:hAnsi="仿宋"/>
          <w:bCs/>
          <w:color w:val="000000"/>
          <w:sz w:val="32"/>
          <w:szCs w:val="32"/>
        </w:rPr>
        <w:t>4.</w:t>
      </w:r>
      <w:r>
        <w:rPr>
          <w:rStyle w:val="a7"/>
          <w:rFonts w:ascii="仿宋" w:eastAsia="仿宋" w:hAnsi="仿宋" w:hint="eastAsia"/>
          <w:bCs/>
          <w:color w:val="000000"/>
          <w:sz w:val="32"/>
          <w:szCs w:val="32"/>
        </w:rPr>
        <w:t>住房保障（类）住房改革（款）住房公积金（项）</w:t>
      </w:r>
      <w:r>
        <w:rPr>
          <w:rStyle w:val="a7"/>
          <w:rFonts w:ascii="仿宋" w:eastAsia="仿宋" w:hAnsi="仿宋"/>
          <w:bCs/>
          <w:color w:val="000000"/>
          <w:sz w:val="32"/>
          <w:szCs w:val="32"/>
        </w:rPr>
        <w:t>:</w:t>
      </w:r>
      <w:r>
        <w:rPr>
          <w:rStyle w:val="a7"/>
          <w:rFonts w:ascii="仿宋" w:eastAsia="仿宋" w:hAnsi="仿宋" w:hint="eastAsia"/>
          <w:b w:val="0"/>
          <w:bCs/>
          <w:color w:val="000000"/>
          <w:sz w:val="32"/>
          <w:szCs w:val="32"/>
        </w:rPr>
        <w:t>支出决算为179.04万元，完成预算100</w:t>
      </w:r>
      <w:r>
        <w:rPr>
          <w:rStyle w:val="a7"/>
          <w:rFonts w:ascii="仿宋" w:eastAsia="仿宋" w:hAnsi="仿宋"/>
          <w:b w:val="0"/>
          <w:bCs/>
          <w:color w:val="000000"/>
          <w:sz w:val="32"/>
          <w:szCs w:val="32"/>
        </w:rPr>
        <w:t>%</w:t>
      </w:r>
      <w:r>
        <w:rPr>
          <w:rStyle w:val="a7"/>
          <w:rFonts w:ascii="仿宋" w:eastAsia="仿宋" w:hAnsi="仿宋" w:hint="eastAsia"/>
          <w:b w:val="0"/>
          <w:bCs/>
          <w:color w:val="000000"/>
          <w:sz w:val="32"/>
          <w:szCs w:val="32"/>
        </w:rPr>
        <w:t>。</w:t>
      </w:r>
    </w:p>
    <w:p w:rsidR="00A571F9" w:rsidRDefault="004911A9">
      <w:pPr>
        <w:tabs>
          <w:tab w:val="right" w:pos="8306"/>
        </w:tabs>
        <w:spacing w:line="600" w:lineRule="exact"/>
        <w:ind w:firstLine="640"/>
        <w:outlineLvl w:val="1"/>
        <w:rPr>
          <w:rStyle w:val="2Char"/>
        </w:rPr>
      </w:pPr>
      <w:bookmarkStart w:id="40" w:name="_Toc15377214"/>
      <w:bookmarkStart w:id="41" w:name="_Toc15396608"/>
      <w:r>
        <w:rPr>
          <w:rFonts w:ascii="黑体" w:eastAsia="黑体" w:hint="eastAsia"/>
          <w:color w:val="000000"/>
          <w:sz w:val="32"/>
          <w:szCs w:val="32"/>
        </w:rPr>
        <w:t>六</w:t>
      </w:r>
      <w:r>
        <w:rPr>
          <w:rFonts w:ascii="黑体" w:eastAsia="黑体" w:hint="eastAsia"/>
          <w:b/>
          <w:color w:val="000000"/>
          <w:sz w:val="32"/>
          <w:szCs w:val="32"/>
        </w:rPr>
        <w:t>、</w:t>
      </w:r>
      <w:r>
        <w:rPr>
          <w:rFonts w:ascii="黑体" w:eastAsia="黑体" w:hAnsi="黑体" w:hint="eastAsia"/>
          <w:b/>
          <w:color w:val="000000"/>
          <w:sz w:val="32"/>
          <w:szCs w:val="32"/>
        </w:rPr>
        <w:t>一</w:t>
      </w:r>
      <w:r>
        <w:rPr>
          <w:rStyle w:val="2Char"/>
          <w:rFonts w:ascii="黑体" w:eastAsia="黑体" w:hAnsi="黑体" w:hint="eastAsia"/>
          <w:b w:val="0"/>
        </w:rPr>
        <w:t>般公共预算财政拨款基本支出决算情况说明</w:t>
      </w:r>
      <w:bookmarkEnd w:id="40"/>
      <w:bookmarkEnd w:id="41"/>
      <w:r>
        <w:rPr>
          <w:rStyle w:val="2Char"/>
          <w:rFonts w:ascii="黑体" w:eastAsia="黑体" w:hAnsi="黑体"/>
          <w:b w:val="0"/>
        </w:rPr>
        <w:tab/>
      </w:r>
    </w:p>
    <w:p w:rsidR="00A571F9" w:rsidRDefault="004911A9">
      <w:pPr>
        <w:spacing w:line="600" w:lineRule="exact"/>
        <w:ind w:firstLine="645"/>
        <w:rPr>
          <w:rFonts w:ascii="仿宋" w:eastAsia="仿宋" w:hAnsi="仿宋"/>
          <w:color w:val="000000"/>
          <w:sz w:val="32"/>
          <w:szCs w:val="32"/>
        </w:rPr>
      </w:pPr>
      <w:r>
        <w:rPr>
          <w:rFonts w:ascii="仿宋" w:eastAsia="仿宋" w:hAnsi="仿宋"/>
          <w:color w:val="000000"/>
          <w:sz w:val="32"/>
          <w:szCs w:val="32"/>
        </w:rPr>
        <w:t>201</w:t>
      </w:r>
      <w:r>
        <w:rPr>
          <w:rFonts w:ascii="仿宋" w:eastAsia="仿宋" w:hAnsi="仿宋" w:hint="eastAsia"/>
          <w:color w:val="000000"/>
          <w:sz w:val="32"/>
          <w:szCs w:val="32"/>
        </w:rPr>
        <w:t>8年一般公共预算财政拨款基本支出2515.43万元，其中：</w:t>
      </w:r>
    </w:p>
    <w:p w:rsidR="00A571F9" w:rsidRDefault="004911A9">
      <w:pPr>
        <w:spacing w:line="600" w:lineRule="exact"/>
        <w:ind w:firstLine="645"/>
        <w:rPr>
          <w:rFonts w:ascii="仿宋" w:eastAsia="仿宋" w:hAnsi="仿宋"/>
          <w:color w:val="000000"/>
          <w:sz w:val="32"/>
          <w:szCs w:val="32"/>
        </w:rPr>
      </w:pPr>
      <w:r>
        <w:rPr>
          <w:rFonts w:ascii="仿宋" w:eastAsia="仿宋" w:hAnsi="仿宋" w:hint="eastAsia"/>
          <w:color w:val="000000"/>
          <w:sz w:val="32"/>
          <w:szCs w:val="32"/>
        </w:rPr>
        <w:t>人员经费2476.23万元，主要包括：基本工资、津贴补贴、奖金、机关事业单位基本养老保险缴费、职业年金缴费、其他社会保障缴费、其他工资福利支出、离休费、退休费、抚恤金、生活补助、医疗费、住房公积金、其他对个人和家庭的补助支出等。</w:t>
      </w:r>
      <w:r>
        <w:rPr>
          <w:rFonts w:ascii="仿宋" w:eastAsia="仿宋" w:hAnsi="仿宋"/>
          <w:color w:val="000000"/>
          <w:sz w:val="32"/>
          <w:szCs w:val="32"/>
        </w:rPr>
        <w:br/>
      </w:r>
      <w:r>
        <w:rPr>
          <w:rFonts w:ascii="仿宋" w:eastAsia="仿宋" w:hAnsi="仿宋" w:hint="eastAsia"/>
          <w:color w:val="000000"/>
          <w:sz w:val="32"/>
          <w:szCs w:val="32"/>
        </w:rPr>
        <w:t xml:space="preserve">　　公用经费39.20万元，主要包括：办公费、印刷费、手续费、水费、电费、邮电费、差旅费、因公出国（境）费用、维修（护）费、租赁费、会议费、培训费、公务接待费、劳务费、委托业务费、工会经费、福利费、公务用车运行维护费、其他交通费、其他商品和服务支出、办公设备购置、专用设备购置、信息网络及软件购置更新等。</w:t>
      </w:r>
    </w:p>
    <w:p w:rsidR="00A571F9" w:rsidRDefault="004911A9">
      <w:pPr>
        <w:spacing w:line="600" w:lineRule="exact"/>
        <w:ind w:firstLine="640"/>
        <w:outlineLvl w:val="1"/>
        <w:rPr>
          <w:rStyle w:val="2Char"/>
          <w:rFonts w:ascii="黑体" w:eastAsia="黑体" w:hAnsi="黑体"/>
          <w:b w:val="0"/>
        </w:rPr>
      </w:pPr>
      <w:bookmarkStart w:id="42" w:name="_Toc15377215"/>
      <w:bookmarkStart w:id="43" w:name="_Toc15396609"/>
      <w:r>
        <w:rPr>
          <w:rFonts w:ascii="黑体" w:eastAsia="黑体" w:hint="eastAsia"/>
          <w:color w:val="000000"/>
          <w:sz w:val="32"/>
          <w:szCs w:val="32"/>
        </w:rPr>
        <w:lastRenderedPageBreak/>
        <w:t>七、</w:t>
      </w:r>
      <w:r>
        <w:rPr>
          <w:rStyle w:val="2Char"/>
          <w:rFonts w:ascii="黑体" w:eastAsia="黑体" w:hAnsi="黑体" w:hint="eastAsia"/>
        </w:rPr>
        <w:t>“</w:t>
      </w:r>
      <w:r>
        <w:rPr>
          <w:rStyle w:val="2Char"/>
          <w:rFonts w:ascii="黑体" w:eastAsia="黑体" w:hAnsi="黑体" w:hint="eastAsia"/>
          <w:b w:val="0"/>
        </w:rPr>
        <w:t>三公”经费财政拨款支出决算情况说明</w:t>
      </w:r>
      <w:bookmarkEnd w:id="42"/>
      <w:bookmarkEnd w:id="43"/>
    </w:p>
    <w:p w:rsidR="00A571F9" w:rsidRDefault="004911A9">
      <w:pPr>
        <w:spacing w:line="600" w:lineRule="exact"/>
        <w:ind w:firstLine="640"/>
        <w:outlineLvl w:val="2"/>
        <w:rPr>
          <w:rFonts w:ascii="仿宋" w:eastAsia="仿宋" w:hAnsi="仿宋"/>
          <w:b/>
          <w:color w:val="000000"/>
          <w:sz w:val="32"/>
          <w:szCs w:val="32"/>
        </w:rPr>
      </w:pPr>
      <w:bookmarkStart w:id="44" w:name="_Toc15377216"/>
      <w:r>
        <w:rPr>
          <w:rFonts w:ascii="仿宋" w:eastAsia="仿宋" w:hAnsi="仿宋" w:hint="eastAsia"/>
          <w:b/>
          <w:color w:val="000000"/>
          <w:sz w:val="32"/>
          <w:szCs w:val="32"/>
        </w:rPr>
        <w:t>（一）“三公”经费财政拨款支出决算总体情况说明</w:t>
      </w:r>
      <w:bookmarkEnd w:id="44"/>
    </w:p>
    <w:p w:rsidR="00A571F9" w:rsidRDefault="004911A9">
      <w:pPr>
        <w:spacing w:line="600" w:lineRule="exact"/>
        <w:ind w:firstLine="640"/>
        <w:rPr>
          <w:rFonts w:ascii="仿宋" w:eastAsia="仿宋" w:hAnsi="仿宋"/>
          <w:color w:val="000000"/>
          <w:sz w:val="32"/>
          <w:szCs w:val="32"/>
        </w:rPr>
      </w:pPr>
      <w:r>
        <w:rPr>
          <w:rFonts w:ascii="仿宋" w:eastAsia="仿宋" w:hAnsi="仿宋"/>
          <w:color w:val="000000"/>
          <w:sz w:val="32"/>
          <w:szCs w:val="32"/>
        </w:rPr>
        <w:t>201</w:t>
      </w:r>
      <w:r>
        <w:rPr>
          <w:rFonts w:ascii="仿宋" w:eastAsia="仿宋" w:hAnsi="仿宋" w:hint="eastAsia"/>
          <w:color w:val="000000"/>
          <w:sz w:val="32"/>
          <w:szCs w:val="32"/>
        </w:rPr>
        <w:t>8年“三公”经费财政拨款支出决算为36.66万元，完成预算61.38</w:t>
      </w:r>
      <w:r>
        <w:rPr>
          <w:rFonts w:ascii="仿宋" w:eastAsia="仿宋" w:hAnsi="仿宋"/>
          <w:color w:val="000000"/>
          <w:sz w:val="32"/>
          <w:szCs w:val="32"/>
        </w:rPr>
        <w:t>%</w:t>
      </w:r>
      <w:r>
        <w:rPr>
          <w:rFonts w:ascii="仿宋" w:eastAsia="仿宋" w:hAnsi="仿宋" w:hint="eastAsia"/>
          <w:color w:val="000000"/>
          <w:sz w:val="32"/>
          <w:szCs w:val="32"/>
        </w:rPr>
        <w:t>，决算数小于预算数的主要原因是本院严控三公经费支出，把节约的款项用于弥补办案经费支出的不足。</w:t>
      </w:r>
    </w:p>
    <w:p w:rsidR="00A571F9" w:rsidRDefault="004911A9">
      <w:pPr>
        <w:spacing w:line="600" w:lineRule="exact"/>
        <w:ind w:firstLine="640"/>
        <w:outlineLvl w:val="2"/>
        <w:rPr>
          <w:rFonts w:ascii="仿宋" w:eastAsia="仿宋" w:hAnsi="仿宋"/>
          <w:b/>
          <w:color w:val="000000"/>
          <w:sz w:val="32"/>
          <w:szCs w:val="32"/>
        </w:rPr>
      </w:pPr>
      <w:bookmarkStart w:id="45" w:name="_Toc15377217"/>
      <w:r>
        <w:rPr>
          <w:rFonts w:ascii="仿宋" w:eastAsia="仿宋" w:hAnsi="仿宋" w:hint="eastAsia"/>
          <w:b/>
          <w:color w:val="000000"/>
          <w:sz w:val="32"/>
          <w:szCs w:val="32"/>
        </w:rPr>
        <w:t>（二）“三公”经费财政拨款支出决算具体情况说明</w:t>
      </w:r>
      <w:bookmarkEnd w:id="45"/>
    </w:p>
    <w:p w:rsidR="00A571F9" w:rsidRDefault="004911A9">
      <w:pPr>
        <w:spacing w:line="600" w:lineRule="exact"/>
        <w:ind w:firstLine="640"/>
        <w:rPr>
          <w:rFonts w:ascii="仿宋" w:eastAsia="仿宋" w:hAnsi="仿宋"/>
          <w:color w:val="000000"/>
          <w:sz w:val="32"/>
          <w:szCs w:val="32"/>
        </w:rPr>
      </w:pPr>
      <w:r>
        <w:rPr>
          <w:rFonts w:ascii="仿宋" w:eastAsia="仿宋" w:hAnsi="仿宋"/>
          <w:noProof/>
          <w:color w:val="000000"/>
          <w:sz w:val="32"/>
          <w:szCs w:val="32"/>
        </w:rPr>
        <w:drawing>
          <wp:anchor distT="0" distB="0" distL="114300" distR="114300" simplePos="0" relativeHeight="251666432" behindDoc="0" locked="0" layoutInCell="1" allowOverlap="1">
            <wp:simplePos x="0" y="0"/>
            <wp:positionH relativeFrom="column">
              <wp:posOffset>0</wp:posOffset>
            </wp:positionH>
            <wp:positionV relativeFrom="paragraph">
              <wp:posOffset>2038350</wp:posOffset>
            </wp:positionV>
            <wp:extent cx="5274310" cy="3076575"/>
            <wp:effectExtent l="19050" t="0" r="21590" b="0"/>
            <wp:wrapSquare wrapText="bothSides"/>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anchor>
        </w:drawing>
      </w:r>
      <w:r>
        <w:rPr>
          <w:rFonts w:ascii="仿宋" w:eastAsia="仿宋" w:hAnsi="仿宋"/>
          <w:color w:val="000000"/>
          <w:sz w:val="32"/>
          <w:szCs w:val="32"/>
        </w:rPr>
        <w:t>201</w:t>
      </w:r>
      <w:r>
        <w:rPr>
          <w:rFonts w:ascii="仿宋" w:eastAsia="仿宋" w:hAnsi="仿宋" w:hint="eastAsia"/>
          <w:color w:val="000000"/>
          <w:sz w:val="32"/>
          <w:szCs w:val="32"/>
        </w:rPr>
        <w:t>8年“三公”经费财政拨款支出决算中，因公出国（境）费支出决算5.28万元，占14.40</w:t>
      </w:r>
      <w:r>
        <w:rPr>
          <w:rFonts w:ascii="仿宋" w:eastAsia="仿宋" w:hAnsi="仿宋"/>
          <w:color w:val="000000"/>
          <w:sz w:val="32"/>
          <w:szCs w:val="32"/>
        </w:rPr>
        <w:t>%</w:t>
      </w:r>
      <w:r>
        <w:rPr>
          <w:rFonts w:ascii="仿宋" w:eastAsia="仿宋" w:hAnsi="仿宋" w:hint="eastAsia"/>
          <w:color w:val="000000"/>
          <w:sz w:val="32"/>
          <w:szCs w:val="32"/>
        </w:rPr>
        <w:t>；公务用车购置及运行维护费支出决算29.89万元，占81.53</w:t>
      </w:r>
      <w:r>
        <w:rPr>
          <w:rFonts w:ascii="仿宋" w:eastAsia="仿宋" w:hAnsi="仿宋"/>
          <w:color w:val="000000"/>
          <w:sz w:val="32"/>
          <w:szCs w:val="32"/>
        </w:rPr>
        <w:t>%</w:t>
      </w:r>
      <w:r>
        <w:rPr>
          <w:rFonts w:ascii="仿宋" w:eastAsia="仿宋" w:hAnsi="仿宋" w:hint="eastAsia"/>
          <w:color w:val="000000"/>
          <w:sz w:val="32"/>
          <w:szCs w:val="32"/>
        </w:rPr>
        <w:t>；公务接待费支出决算1.49万元，占4.07</w:t>
      </w:r>
      <w:r>
        <w:rPr>
          <w:rFonts w:ascii="仿宋" w:eastAsia="仿宋" w:hAnsi="仿宋"/>
          <w:color w:val="000000"/>
          <w:sz w:val="32"/>
          <w:szCs w:val="32"/>
        </w:rPr>
        <w:t>%</w:t>
      </w:r>
      <w:r>
        <w:rPr>
          <w:rFonts w:ascii="仿宋" w:eastAsia="仿宋" w:hAnsi="仿宋" w:hint="eastAsia"/>
          <w:color w:val="000000"/>
          <w:sz w:val="32"/>
          <w:szCs w:val="32"/>
        </w:rPr>
        <w:t>。具体情况如下：</w:t>
      </w:r>
    </w:p>
    <w:p w:rsidR="00A571F9" w:rsidRDefault="004911A9">
      <w:pPr>
        <w:spacing w:line="600" w:lineRule="exact"/>
        <w:ind w:firstLine="640"/>
        <w:rPr>
          <w:rFonts w:ascii="仿宋" w:eastAsia="仿宋" w:hAnsi="仿宋"/>
          <w:color w:val="000000"/>
          <w:sz w:val="32"/>
          <w:szCs w:val="32"/>
        </w:rPr>
      </w:pPr>
      <w:r>
        <w:rPr>
          <w:rFonts w:ascii="仿宋" w:eastAsia="仿宋" w:hAnsi="仿宋" w:hint="eastAsia"/>
          <w:color w:val="000000"/>
          <w:sz w:val="32"/>
          <w:szCs w:val="32"/>
        </w:rPr>
        <w:t>（图8：“三公”经费财政拨款支出结构）（饼状图）</w:t>
      </w:r>
    </w:p>
    <w:p w:rsidR="00A571F9" w:rsidRDefault="00A571F9">
      <w:pPr>
        <w:spacing w:line="600" w:lineRule="exact"/>
        <w:ind w:firstLine="640"/>
        <w:rPr>
          <w:rFonts w:ascii="仿宋" w:eastAsia="仿宋" w:hAnsi="仿宋"/>
          <w:color w:val="000000"/>
          <w:sz w:val="32"/>
          <w:szCs w:val="32"/>
        </w:rPr>
      </w:pPr>
    </w:p>
    <w:p w:rsidR="00A571F9" w:rsidRDefault="004911A9">
      <w:pPr>
        <w:spacing w:line="600" w:lineRule="exact"/>
        <w:ind w:firstLine="640"/>
        <w:rPr>
          <w:rFonts w:ascii="仿宋_GB2312" w:eastAsia="仿宋_GB2312"/>
          <w:b/>
          <w:color w:val="000000"/>
          <w:sz w:val="32"/>
          <w:szCs w:val="32"/>
        </w:rPr>
      </w:pPr>
      <w:r>
        <w:rPr>
          <w:rFonts w:ascii="仿宋" w:eastAsia="仿宋" w:hAnsi="仿宋"/>
          <w:b/>
          <w:color w:val="000000"/>
          <w:sz w:val="32"/>
          <w:szCs w:val="32"/>
        </w:rPr>
        <w:t>1.</w:t>
      </w:r>
      <w:r>
        <w:rPr>
          <w:rFonts w:ascii="仿宋" w:eastAsia="仿宋" w:hAnsi="仿宋" w:hint="eastAsia"/>
          <w:b/>
          <w:color w:val="000000"/>
          <w:sz w:val="32"/>
          <w:szCs w:val="32"/>
        </w:rPr>
        <w:t>因公出国（境）经费支出</w:t>
      </w:r>
      <w:r>
        <w:rPr>
          <w:rFonts w:ascii="仿宋" w:eastAsia="仿宋" w:hAnsi="仿宋" w:hint="eastAsia"/>
          <w:color w:val="000000"/>
          <w:sz w:val="32"/>
          <w:szCs w:val="32"/>
        </w:rPr>
        <w:t>5.28万元</w:t>
      </w:r>
      <w:r>
        <w:rPr>
          <w:rFonts w:ascii="仿宋_GB2312" w:eastAsia="仿宋_GB2312" w:hint="eastAsia"/>
          <w:color w:val="000000"/>
          <w:sz w:val="32"/>
          <w:szCs w:val="32"/>
        </w:rPr>
        <w:t>，</w:t>
      </w:r>
      <w:r>
        <w:rPr>
          <w:rStyle w:val="a7"/>
          <w:rFonts w:ascii="仿宋" w:eastAsia="仿宋" w:hAnsi="仿宋" w:hint="eastAsia"/>
          <w:b w:val="0"/>
          <w:bCs/>
          <w:color w:val="000000"/>
          <w:sz w:val="32"/>
          <w:szCs w:val="32"/>
        </w:rPr>
        <w:t>完成预算100</w:t>
      </w:r>
      <w:r>
        <w:rPr>
          <w:rStyle w:val="a7"/>
          <w:rFonts w:ascii="仿宋" w:eastAsia="仿宋" w:hAnsi="仿宋"/>
          <w:b w:val="0"/>
          <w:bCs/>
          <w:color w:val="000000"/>
          <w:sz w:val="32"/>
          <w:szCs w:val="32"/>
        </w:rPr>
        <w:t>%</w:t>
      </w:r>
      <w:r>
        <w:rPr>
          <w:rStyle w:val="a7"/>
          <w:rFonts w:ascii="仿宋" w:eastAsia="仿宋" w:hAnsi="仿宋" w:hint="eastAsia"/>
          <w:b w:val="0"/>
          <w:bCs/>
          <w:color w:val="000000"/>
          <w:sz w:val="32"/>
          <w:szCs w:val="32"/>
        </w:rPr>
        <w:t>。</w:t>
      </w:r>
      <w:r>
        <w:rPr>
          <w:rStyle w:val="a7"/>
          <w:rFonts w:ascii="仿宋" w:eastAsia="仿宋" w:hAnsi="仿宋" w:hint="eastAsia"/>
          <w:b w:val="0"/>
          <w:bCs/>
          <w:sz w:val="32"/>
          <w:szCs w:val="32"/>
        </w:rPr>
        <w:t>全年安排因公出国（境）团组1次，出国（境）1人。因公</w:t>
      </w:r>
      <w:r>
        <w:rPr>
          <w:rStyle w:val="a7"/>
          <w:rFonts w:ascii="仿宋" w:eastAsia="仿宋" w:hAnsi="仿宋" w:hint="eastAsia"/>
          <w:b w:val="0"/>
          <w:bCs/>
          <w:sz w:val="32"/>
          <w:szCs w:val="32"/>
        </w:rPr>
        <w:lastRenderedPageBreak/>
        <w:t>出国（境）支出决算比</w:t>
      </w:r>
      <w:r>
        <w:rPr>
          <w:rStyle w:val="a7"/>
          <w:rFonts w:ascii="仿宋" w:eastAsia="仿宋" w:hAnsi="仿宋"/>
          <w:b w:val="0"/>
          <w:bCs/>
          <w:sz w:val="32"/>
          <w:szCs w:val="32"/>
        </w:rPr>
        <w:t>201</w:t>
      </w:r>
      <w:r>
        <w:rPr>
          <w:rStyle w:val="a7"/>
          <w:rFonts w:ascii="仿宋" w:eastAsia="仿宋" w:hAnsi="仿宋" w:hint="eastAsia"/>
          <w:b w:val="0"/>
          <w:bCs/>
          <w:sz w:val="32"/>
          <w:szCs w:val="32"/>
        </w:rPr>
        <w:t>7年增加5.28万元，增长100</w:t>
      </w:r>
      <w:r>
        <w:rPr>
          <w:rStyle w:val="a7"/>
          <w:rFonts w:ascii="仿宋" w:eastAsia="仿宋" w:hAnsi="仿宋"/>
          <w:b w:val="0"/>
          <w:bCs/>
          <w:sz w:val="32"/>
          <w:szCs w:val="32"/>
        </w:rPr>
        <w:t>%</w:t>
      </w:r>
      <w:r>
        <w:rPr>
          <w:rStyle w:val="a7"/>
          <w:rFonts w:ascii="仿宋" w:eastAsia="仿宋" w:hAnsi="仿宋" w:hint="eastAsia"/>
          <w:b w:val="0"/>
          <w:bCs/>
          <w:sz w:val="32"/>
          <w:szCs w:val="32"/>
        </w:rPr>
        <w:t>。主要原因是2017年无因公出国（境）支出，2018年我院出国人员参加最高院组织的出境交流活动。</w:t>
      </w:r>
    </w:p>
    <w:p w:rsidR="00A571F9" w:rsidRDefault="004911A9">
      <w:pPr>
        <w:spacing w:line="600" w:lineRule="exact"/>
        <w:ind w:firstLine="640"/>
        <w:rPr>
          <w:rStyle w:val="a7"/>
          <w:rFonts w:ascii="仿宋" w:eastAsia="仿宋" w:hAnsi="仿宋"/>
          <w:b w:val="0"/>
          <w:bCs/>
          <w:sz w:val="32"/>
          <w:szCs w:val="32"/>
        </w:rPr>
      </w:pPr>
      <w:r>
        <w:rPr>
          <w:rStyle w:val="a7"/>
          <w:rFonts w:ascii="仿宋" w:eastAsia="仿宋" w:hAnsi="仿宋" w:hint="eastAsia"/>
          <w:b w:val="0"/>
          <w:bCs/>
          <w:sz w:val="32"/>
          <w:szCs w:val="32"/>
        </w:rPr>
        <w:t>开支内容包括：我院出国人员于2018年11月下旬参加中华人民共和国最高人民法院组织的赴德国 “刑事诉讼繁简分流程序设置、民事诉讼中简化诉讼程序的改革、司法行政管理和司法保障运行机制”等专题交流团，在国外停留10天。通过此次交流，学习德国有关先进做法和经验，推动我市法院案件繁简分流程序改革，提升民商事审判水平，提高审判质效，为我市幸福攀枝花建设和人民群众提供优质的司法保障服务。</w:t>
      </w:r>
    </w:p>
    <w:p w:rsidR="00A571F9" w:rsidRDefault="004911A9">
      <w:pPr>
        <w:spacing w:line="600" w:lineRule="exact"/>
        <w:ind w:firstLine="640"/>
        <w:rPr>
          <w:rFonts w:ascii="仿宋" w:eastAsia="仿宋" w:hAnsi="仿宋"/>
          <w:b/>
          <w:color w:val="000000"/>
          <w:sz w:val="32"/>
          <w:szCs w:val="32"/>
        </w:rPr>
      </w:pPr>
      <w:r>
        <w:rPr>
          <w:rFonts w:ascii="仿宋" w:eastAsia="仿宋" w:hAnsi="仿宋"/>
          <w:b/>
          <w:color w:val="000000"/>
          <w:sz w:val="32"/>
          <w:szCs w:val="32"/>
        </w:rPr>
        <w:t>2.</w:t>
      </w:r>
      <w:r>
        <w:rPr>
          <w:rFonts w:ascii="仿宋" w:eastAsia="仿宋" w:hAnsi="仿宋" w:hint="eastAsia"/>
          <w:b/>
          <w:color w:val="000000"/>
          <w:sz w:val="32"/>
          <w:szCs w:val="32"/>
        </w:rPr>
        <w:t>公务用车购置及运行维护费支出</w:t>
      </w:r>
      <w:r>
        <w:rPr>
          <w:rFonts w:ascii="仿宋" w:eastAsia="仿宋" w:hAnsi="仿宋" w:hint="eastAsia"/>
          <w:color w:val="000000"/>
          <w:sz w:val="32"/>
          <w:szCs w:val="32"/>
        </w:rPr>
        <w:t>29.89万元</w:t>
      </w:r>
      <w:r>
        <w:rPr>
          <w:rFonts w:ascii="仿宋_GB2312" w:eastAsia="仿宋_GB2312" w:hint="eastAsia"/>
          <w:color w:val="000000"/>
          <w:sz w:val="32"/>
          <w:szCs w:val="32"/>
        </w:rPr>
        <w:t>,</w:t>
      </w:r>
      <w:r>
        <w:rPr>
          <w:rStyle w:val="a7"/>
          <w:rFonts w:ascii="仿宋" w:eastAsia="仿宋" w:hAnsi="仿宋" w:hint="eastAsia"/>
          <w:b w:val="0"/>
          <w:bCs/>
          <w:color w:val="000000"/>
          <w:sz w:val="32"/>
          <w:szCs w:val="32"/>
        </w:rPr>
        <w:t>完成预算61.50</w:t>
      </w:r>
      <w:r>
        <w:rPr>
          <w:rStyle w:val="a7"/>
          <w:rFonts w:ascii="仿宋" w:eastAsia="仿宋" w:hAnsi="仿宋"/>
          <w:b w:val="0"/>
          <w:bCs/>
          <w:color w:val="000000"/>
          <w:sz w:val="32"/>
          <w:szCs w:val="32"/>
        </w:rPr>
        <w:t>%</w:t>
      </w:r>
      <w:r>
        <w:rPr>
          <w:rStyle w:val="a7"/>
          <w:rFonts w:ascii="仿宋" w:eastAsia="仿宋" w:hAnsi="仿宋" w:hint="eastAsia"/>
          <w:b w:val="0"/>
          <w:bCs/>
          <w:color w:val="000000"/>
          <w:sz w:val="32"/>
          <w:szCs w:val="32"/>
        </w:rPr>
        <w:t>。</w:t>
      </w:r>
      <w:r>
        <w:rPr>
          <w:rFonts w:ascii="仿宋" w:eastAsia="仿宋" w:hAnsi="仿宋" w:hint="eastAsia"/>
          <w:color w:val="000000"/>
          <w:sz w:val="32"/>
          <w:szCs w:val="32"/>
        </w:rPr>
        <w:t>公务用车购置及运行维护费支出决算比</w:t>
      </w:r>
      <w:r>
        <w:rPr>
          <w:rFonts w:ascii="仿宋" w:eastAsia="仿宋" w:hAnsi="仿宋"/>
          <w:color w:val="000000"/>
          <w:sz w:val="32"/>
          <w:szCs w:val="32"/>
        </w:rPr>
        <w:t>201</w:t>
      </w:r>
      <w:r>
        <w:rPr>
          <w:rFonts w:ascii="仿宋" w:eastAsia="仿宋" w:hAnsi="仿宋" w:hint="eastAsia"/>
          <w:color w:val="000000"/>
          <w:sz w:val="32"/>
          <w:szCs w:val="32"/>
        </w:rPr>
        <w:t>7年减少11.37万元，下降27.56</w:t>
      </w:r>
      <w:r>
        <w:rPr>
          <w:rFonts w:ascii="仿宋" w:eastAsia="仿宋" w:hAnsi="仿宋"/>
          <w:color w:val="000000"/>
          <w:sz w:val="32"/>
          <w:szCs w:val="32"/>
        </w:rPr>
        <w:t>%</w:t>
      </w:r>
      <w:r>
        <w:rPr>
          <w:rFonts w:ascii="仿宋" w:eastAsia="仿宋" w:hAnsi="仿宋" w:hint="eastAsia"/>
          <w:color w:val="000000"/>
          <w:sz w:val="32"/>
          <w:szCs w:val="32"/>
        </w:rPr>
        <w:t>。主要原因是改革省内出差的出行方式，严控三公经费支出，节约款项弥补办案经费支出。</w:t>
      </w:r>
    </w:p>
    <w:p w:rsidR="00A571F9" w:rsidRDefault="004911A9">
      <w:pPr>
        <w:spacing w:line="600" w:lineRule="exact"/>
        <w:ind w:firstLineChars="200" w:firstLine="640"/>
        <w:rPr>
          <w:rFonts w:ascii="仿宋" w:eastAsia="仿宋" w:hAnsi="仿宋"/>
          <w:b/>
          <w:color w:val="000000"/>
          <w:sz w:val="32"/>
          <w:szCs w:val="32"/>
        </w:rPr>
      </w:pPr>
      <w:r>
        <w:rPr>
          <w:rFonts w:ascii="仿宋" w:eastAsia="仿宋" w:hAnsi="仿宋" w:hint="eastAsia"/>
          <w:color w:val="000000"/>
          <w:sz w:val="32"/>
          <w:szCs w:val="32"/>
        </w:rPr>
        <w:t>其中：</w:t>
      </w:r>
      <w:r>
        <w:rPr>
          <w:rFonts w:ascii="仿宋" w:eastAsia="仿宋" w:hAnsi="仿宋" w:hint="eastAsia"/>
          <w:b/>
          <w:color w:val="000000"/>
          <w:sz w:val="32"/>
          <w:szCs w:val="32"/>
        </w:rPr>
        <w:t>公务用车购置支出</w:t>
      </w:r>
      <w:r>
        <w:rPr>
          <w:rFonts w:ascii="仿宋" w:eastAsia="仿宋" w:hAnsi="仿宋" w:hint="eastAsia"/>
          <w:color w:val="000000"/>
          <w:sz w:val="32"/>
          <w:szCs w:val="32"/>
        </w:rPr>
        <w:t>0万元。全年按规定更新购置公务用车0辆，其中：轿车0辆、金额0万元，越野车0辆、金额0万元，载客汽车0辆、金额0万元0。截至</w:t>
      </w:r>
      <w:r>
        <w:rPr>
          <w:rFonts w:ascii="仿宋" w:eastAsia="仿宋" w:hAnsi="仿宋"/>
          <w:color w:val="000000"/>
          <w:sz w:val="32"/>
          <w:szCs w:val="32"/>
        </w:rPr>
        <w:t>201</w:t>
      </w:r>
      <w:r>
        <w:rPr>
          <w:rFonts w:ascii="仿宋" w:eastAsia="仿宋" w:hAnsi="仿宋" w:hint="eastAsia"/>
          <w:color w:val="000000"/>
          <w:sz w:val="32"/>
          <w:szCs w:val="32"/>
        </w:rPr>
        <w:t>8年</w:t>
      </w:r>
      <w:r>
        <w:rPr>
          <w:rFonts w:ascii="仿宋" w:eastAsia="仿宋" w:hAnsi="仿宋"/>
          <w:color w:val="000000"/>
          <w:sz w:val="32"/>
          <w:szCs w:val="32"/>
        </w:rPr>
        <w:t>12</w:t>
      </w:r>
      <w:r>
        <w:rPr>
          <w:rFonts w:ascii="仿宋" w:eastAsia="仿宋" w:hAnsi="仿宋" w:hint="eastAsia"/>
          <w:color w:val="000000"/>
          <w:sz w:val="32"/>
          <w:szCs w:val="32"/>
        </w:rPr>
        <w:t>月底，单位共有公务用车24辆，其中：轿车20辆、越野车2辆、载客汽车2辆。</w:t>
      </w:r>
    </w:p>
    <w:p w:rsidR="00A571F9" w:rsidRDefault="004911A9">
      <w:pPr>
        <w:spacing w:line="600" w:lineRule="exact"/>
        <w:ind w:firstLine="640"/>
        <w:rPr>
          <w:rFonts w:ascii="仿宋" w:eastAsia="仿宋" w:hAnsi="仿宋"/>
          <w:color w:val="000000"/>
          <w:sz w:val="32"/>
          <w:szCs w:val="32"/>
        </w:rPr>
      </w:pPr>
      <w:r>
        <w:rPr>
          <w:rFonts w:ascii="仿宋" w:eastAsia="仿宋" w:hAnsi="仿宋" w:hint="eastAsia"/>
          <w:b/>
          <w:color w:val="000000"/>
          <w:sz w:val="32"/>
          <w:szCs w:val="32"/>
        </w:rPr>
        <w:t>公务用车运行维护费支出</w:t>
      </w:r>
      <w:r>
        <w:rPr>
          <w:rFonts w:ascii="仿宋" w:eastAsia="仿宋" w:hAnsi="仿宋" w:hint="eastAsia"/>
          <w:color w:val="000000"/>
          <w:sz w:val="32"/>
          <w:szCs w:val="32"/>
        </w:rPr>
        <w:t>29.89万元。主要用于办公办案车辆所需的公务用车燃料费、维修费、过路过桥费、保险费等支出。</w:t>
      </w:r>
    </w:p>
    <w:p w:rsidR="00A571F9" w:rsidRDefault="004911A9">
      <w:pPr>
        <w:spacing w:line="600" w:lineRule="exact"/>
        <w:ind w:firstLine="640"/>
        <w:rPr>
          <w:rFonts w:ascii="仿宋" w:eastAsia="仿宋" w:hAnsi="仿宋"/>
          <w:color w:val="000000"/>
          <w:sz w:val="32"/>
          <w:szCs w:val="32"/>
        </w:rPr>
      </w:pPr>
      <w:r>
        <w:rPr>
          <w:rFonts w:ascii="仿宋" w:eastAsia="仿宋" w:hAnsi="仿宋"/>
          <w:b/>
          <w:color w:val="000000"/>
          <w:sz w:val="32"/>
          <w:szCs w:val="32"/>
        </w:rPr>
        <w:lastRenderedPageBreak/>
        <w:t>3.</w:t>
      </w:r>
      <w:r>
        <w:rPr>
          <w:rFonts w:ascii="仿宋" w:eastAsia="仿宋" w:hAnsi="仿宋" w:hint="eastAsia"/>
          <w:b/>
          <w:color w:val="000000"/>
          <w:sz w:val="32"/>
          <w:szCs w:val="32"/>
        </w:rPr>
        <w:t>公务接待费支出</w:t>
      </w:r>
      <w:r>
        <w:rPr>
          <w:rFonts w:ascii="仿宋" w:eastAsia="仿宋" w:hAnsi="仿宋" w:hint="eastAsia"/>
          <w:color w:val="000000"/>
          <w:sz w:val="32"/>
          <w:szCs w:val="32"/>
        </w:rPr>
        <w:t>1.49万元，</w:t>
      </w:r>
      <w:r>
        <w:rPr>
          <w:rStyle w:val="a7"/>
          <w:rFonts w:ascii="仿宋" w:eastAsia="仿宋" w:hAnsi="仿宋" w:hint="eastAsia"/>
          <w:b w:val="0"/>
          <w:bCs/>
          <w:color w:val="000000"/>
          <w:sz w:val="32"/>
          <w:szCs w:val="32"/>
        </w:rPr>
        <w:t>完成预算25.47</w:t>
      </w:r>
      <w:r>
        <w:rPr>
          <w:rStyle w:val="a7"/>
          <w:rFonts w:ascii="仿宋" w:eastAsia="仿宋" w:hAnsi="仿宋"/>
          <w:b w:val="0"/>
          <w:bCs/>
          <w:color w:val="000000"/>
          <w:sz w:val="32"/>
          <w:szCs w:val="32"/>
        </w:rPr>
        <w:t>%</w:t>
      </w:r>
      <w:r>
        <w:rPr>
          <w:rStyle w:val="a7"/>
          <w:rFonts w:ascii="仿宋" w:eastAsia="仿宋" w:hAnsi="仿宋" w:hint="eastAsia"/>
          <w:b w:val="0"/>
          <w:bCs/>
          <w:color w:val="000000"/>
          <w:sz w:val="32"/>
          <w:szCs w:val="32"/>
        </w:rPr>
        <w:t>。</w:t>
      </w:r>
      <w:r>
        <w:rPr>
          <w:rFonts w:ascii="仿宋" w:eastAsia="仿宋" w:hAnsi="仿宋" w:hint="eastAsia"/>
          <w:color w:val="000000"/>
          <w:sz w:val="32"/>
          <w:szCs w:val="32"/>
        </w:rPr>
        <w:t>公务接待费支出决算比</w:t>
      </w:r>
      <w:r>
        <w:rPr>
          <w:rFonts w:ascii="仿宋" w:eastAsia="仿宋" w:hAnsi="仿宋"/>
          <w:color w:val="000000"/>
          <w:sz w:val="32"/>
          <w:szCs w:val="32"/>
        </w:rPr>
        <w:t>201</w:t>
      </w:r>
      <w:r>
        <w:rPr>
          <w:rFonts w:ascii="仿宋" w:eastAsia="仿宋" w:hAnsi="仿宋" w:hint="eastAsia"/>
          <w:color w:val="000000"/>
          <w:sz w:val="32"/>
          <w:szCs w:val="32"/>
        </w:rPr>
        <w:t>7年减少3.27万元，下降68.70</w:t>
      </w:r>
      <w:r>
        <w:rPr>
          <w:rFonts w:ascii="仿宋" w:eastAsia="仿宋" w:hAnsi="仿宋"/>
          <w:color w:val="000000"/>
          <w:sz w:val="32"/>
          <w:szCs w:val="32"/>
        </w:rPr>
        <w:t>%</w:t>
      </w:r>
      <w:r>
        <w:rPr>
          <w:rFonts w:ascii="仿宋" w:eastAsia="仿宋" w:hAnsi="仿宋" w:hint="eastAsia"/>
          <w:color w:val="000000"/>
          <w:sz w:val="32"/>
          <w:szCs w:val="32"/>
        </w:rPr>
        <w:t>。主要原因是2018年接待批次减少，接待费用降低。</w:t>
      </w:r>
    </w:p>
    <w:p w:rsidR="00A571F9" w:rsidRDefault="004911A9">
      <w:pPr>
        <w:spacing w:line="60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主要用于执行公务、开展业务活动开支的交通费、住宿费、用餐费等。国内公务接待19批次，215人次（不包括陪同人员），共计支出1.49万元，具体内容包括：接待上级法院、其他法院到攀办公办案12批次、1.09万元，接待新闻媒体到我院采访报道7批次、0.4万元。其中：</w:t>
      </w:r>
    </w:p>
    <w:p w:rsidR="00A571F9" w:rsidRDefault="004911A9">
      <w:pPr>
        <w:spacing w:line="600" w:lineRule="exact"/>
        <w:ind w:firstLineChars="200" w:firstLine="643"/>
        <w:rPr>
          <w:rFonts w:ascii="仿宋" w:eastAsia="仿宋" w:hAnsi="仿宋"/>
          <w:color w:val="000000" w:themeColor="text1"/>
          <w:sz w:val="32"/>
          <w:szCs w:val="32"/>
        </w:rPr>
      </w:pPr>
      <w:r>
        <w:rPr>
          <w:rFonts w:ascii="仿宋" w:eastAsia="仿宋" w:hAnsi="仿宋" w:hint="eastAsia"/>
          <w:b/>
          <w:color w:val="000000"/>
          <w:sz w:val="32"/>
          <w:szCs w:val="32"/>
        </w:rPr>
        <w:t>外事接待支出</w:t>
      </w:r>
      <w:r>
        <w:rPr>
          <w:rFonts w:ascii="仿宋" w:eastAsia="仿宋" w:hAnsi="仿宋" w:hint="eastAsia"/>
          <w:color w:val="000000"/>
          <w:sz w:val="32"/>
          <w:szCs w:val="32"/>
        </w:rPr>
        <w:t>0万元</w:t>
      </w:r>
      <w:r>
        <w:rPr>
          <w:rFonts w:ascii="仿宋" w:eastAsia="仿宋" w:hAnsi="仿宋" w:hint="eastAsia"/>
          <w:color w:val="000000" w:themeColor="text1"/>
          <w:sz w:val="32"/>
          <w:szCs w:val="32"/>
        </w:rPr>
        <w:t>，外事接待0批次，0人，共计支出0万元。</w:t>
      </w:r>
    </w:p>
    <w:p w:rsidR="00A571F9" w:rsidRDefault="004911A9">
      <w:pPr>
        <w:spacing w:line="600" w:lineRule="exact"/>
        <w:ind w:firstLine="640"/>
        <w:rPr>
          <w:rFonts w:ascii="仿宋" w:eastAsia="仿宋" w:hAnsi="仿宋"/>
          <w:color w:val="000000"/>
          <w:sz w:val="32"/>
          <w:szCs w:val="32"/>
        </w:rPr>
      </w:pPr>
      <w:r>
        <w:rPr>
          <w:rFonts w:ascii="仿宋" w:eastAsia="仿宋" w:hAnsi="仿宋" w:hint="eastAsia"/>
          <w:b/>
          <w:color w:val="000000"/>
          <w:sz w:val="32"/>
          <w:szCs w:val="32"/>
        </w:rPr>
        <w:t>其他国内公务接待支出</w:t>
      </w:r>
      <w:r>
        <w:rPr>
          <w:rFonts w:ascii="仿宋" w:eastAsia="仿宋" w:hAnsi="仿宋" w:hint="eastAsia"/>
          <w:color w:val="000000"/>
          <w:sz w:val="32"/>
          <w:szCs w:val="32"/>
        </w:rPr>
        <w:t>1.49万元，主要用于各级法院工作人员到攀办公办案和各级新闻媒体到攀对案件进行采访宣传。</w:t>
      </w:r>
      <w:bookmarkStart w:id="46" w:name="_Toc15396610"/>
      <w:bookmarkStart w:id="47" w:name="_Toc15377218"/>
    </w:p>
    <w:p w:rsidR="008A3E9C" w:rsidRPr="008A3E9C" w:rsidRDefault="008A3E9C">
      <w:pPr>
        <w:spacing w:line="600" w:lineRule="exact"/>
        <w:ind w:firstLine="640"/>
        <w:rPr>
          <w:rFonts w:ascii="仿宋" w:eastAsia="仿宋" w:hAnsi="仿宋"/>
          <w:color w:val="000000"/>
          <w:sz w:val="32"/>
          <w:szCs w:val="32"/>
        </w:rPr>
      </w:pPr>
      <w:r>
        <w:rPr>
          <w:rFonts w:ascii="仿宋" w:eastAsia="仿宋" w:hAnsi="仿宋" w:hint="eastAsia"/>
          <w:color w:val="000000"/>
          <w:sz w:val="32"/>
          <w:szCs w:val="32"/>
        </w:rPr>
        <w:t>决算公开</w:t>
      </w:r>
      <w:r w:rsidRPr="008A3E9C">
        <w:rPr>
          <w:rFonts w:ascii="仿宋" w:eastAsia="仿宋" w:hAnsi="仿宋" w:hint="eastAsia"/>
          <w:color w:val="000000"/>
          <w:sz w:val="32"/>
          <w:szCs w:val="32"/>
        </w:rPr>
        <w:t>政府性基金预算财政拨款“三公”经费支出决算表</w:t>
      </w:r>
      <w:r>
        <w:rPr>
          <w:rFonts w:ascii="仿宋" w:eastAsia="仿宋" w:hAnsi="仿宋" w:hint="eastAsia"/>
          <w:color w:val="000000"/>
          <w:sz w:val="32"/>
          <w:szCs w:val="32"/>
        </w:rPr>
        <w:t>无数据。</w:t>
      </w:r>
    </w:p>
    <w:p w:rsidR="00A571F9" w:rsidRDefault="004911A9">
      <w:pPr>
        <w:spacing w:line="600" w:lineRule="exact"/>
        <w:ind w:firstLine="640"/>
        <w:outlineLvl w:val="1"/>
        <w:rPr>
          <w:rStyle w:val="2Char"/>
          <w:rFonts w:ascii="黑体" w:eastAsia="黑体" w:hAnsi="黑体"/>
        </w:rPr>
      </w:pPr>
      <w:r>
        <w:rPr>
          <w:rFonts w:ascii="黑体" w:eastAsia="黑体" w:hint="eastAsia"/>
          <w:color w:val="000000"/>
          <w:sz w:val="32"/>
          <w:szCs w:val="32"/>
        </w:rPr>
        <w:t>八、</w:t>
      </w:r>
      <w:r>
        <w:rPr>
          <w:rStyle w:val="2Char"/>
          <w:rFonts w:ascii="黑体" w:eastAsia="黑体" w:hAnsi="黑体" w:hint="eastAsia"/>
          <w:b w:val="0"/>
        </w:rPr>
        <w:t>政府性基金预算支出决算情况说明</w:t>
      </w:r>
      <w:bookmarkEnd w:id="46"/>
      <w:bookmarkEnd w:id="47"/>
    </w:p>
    <w:p w:rsidR="00A571F9" w:rsidRDefault="004911A9">
      <w:pPr>
        <w:spacing w:line="600" w:lineRule="exact"/>
        <w:ind w:firstLine="640"/>
        <w:rPr>
          <w:rFonts w:ascii="仿宋" w:eastAsia="仿宋" w:hAnsi="仿宋"/>
          <w:color w:val="000000"/>
          <w:sz w:val="32"/>
          <w:szCs w:val="32"/>
        </w:rPr>
      </w:pPr>
      <w:r>
        <w:rPr>
          <w:rFonts w:ascii="仿宋" w:eastAsia="仿宋" w:hAnsi="仿宋"/>
          <w:color w:val="000000"/>
          <w:sz w:val="32"/>
          <w:szCs w:val="32"/>
        </w:rPr>
        <w:t>201</w:t>
      </w:r>
      <w:r>
        <w:rPr>
          <w:rFonts w:ascii="仿宋" w:eastAsia="仿宋" w:hAnsi="仿宋" w:hint="eastAsia"/>
          <w:color w:val="000000"/>
          <w:sz w:val="32"/>
          <w:szCs w:val="32"/>
        </w:rPr>
        <w:t>8年政府性基金预算拨款支出0万元</w:t>
      </w:r>
      <w:r w:rsidR="008A3E9C">
        <w:rPr>
          <w:rFonts w:ascii="仿宋" w:eastAsia="仿宋" w:hAnsi="仿宋" w:hint="eastAsia"/>
          <w:color w:val="000000"/>
          <w:sz w:val="32"/>
          <w:szCs w:val="32"/>
        </w:rPr>
        <w:t>，决算公开</w:t>
      </w:r>
      <w:r w:rsidR="008A3E9C" w:rsidRPr="008A3E9C">
        <w:rPr>
          <w:rFonts w:ascii="仿宋" w:eastAsia="仿宋" w:hAnsi="仿宋" w:hint="eastAsia"/>
          <w:color w:val="000000"/>
          <w:sz w:val="32"/>
          <w:szCs w:val="32"/>
        </w:rPr>
        <w:t>政府性基金预算财政拨款收入</w:t>
      </w:r>
      <w:r w:rsidR="008A3E9C">
        <w:rPr>
          <w:rFonts w:ascii="仿宋" w:eastAsia="仿宋" w:hAnsi="仿宋" w:hint="eastAsia"/>
          <w:color w:val="000000"/>
          <w:sz w:val="32"/>
          <w:szCs w:val="32"/>
        </w:rPr>
        <w:t>支</w:t>
      </w:r>
      <w:r w:rsidR="008A3E9C" w:rsidRPr="008A3E9C">
        <w:rPr>
          <w:rFonts w:ascii="仿宋" w:eastAsia="仿宋" w:hAnsi="仿宋" w:hint="eastAsia"/>
          <w:color w:val="000000"/>
          <w:sz w:val="32"/>
          <w:szCs w:val="32"/>
        </w:rPr>
        <w:t>出决算表</w:t>
      </w:r>
      <w:r w:rsidR="008A3E9C">
        <w:rPr>
          <w:rFonts w:ascii="仿宋" w:eastAsia="仿宋" w:hAnsi="仿宋" w:hint="eastAsia"/>
          <w:color w:val="000000"/>
          <w:sz w:val="32"/>
          <w:szCs w:val="32"/>
        </w:rPr>
        <w:t>无数据。</w:t>
      </w:r>
    </w:p>
    <w:p w:rsidR="00A571F9" w:rsidRDefault="004911A9">
      <w:pPr>
        <w:numPr>
          <w:ilvl w:val="0"/>
          <w:numId w:val="2"/>
        </w:numPr>
        <w:spacing w:line="600" w:lineRule="exact"/>
        <w:ind w:firstLine="640"/>
        <w:outlineLvl w:val="1"/>
        <w:rPr>
          <w:rStyle w:val="2Char"/>
          <w:rFonts w:ascii="黑体" w:eastAsia="黑体" w:hAnsi="黑体"/>
          <w:b w:val="0"/>
        </w:rPr>
      </w:pPr>
      <w:bookmarkStart w:id="48" w:name="_Toc15377219"/>
      <w:bookmarkStart w:id="49" w:name="_Toc15396611"/>
      <w:r>
        <w:rPr>
          <w:rStyle w:val="2Char"/>
          <w:rFonts w:ascii="黑体" w:eastAsia="黑体" w:hAnsi="黑体" w:hint="eastAsia"/>
          <w:b w:val="0"/>
        </w:rPr>
        <w:t>国有资本经营预算支出决算情况说明</w:t>
      </w:r>
      <w:bookmarkEnd w:id="48"/>
      <w:bookmarkEnd w:id="49"/>
    </w:p>
    <w:p w:rsidR="00A571F9" w:rsidRDefault="004911A9">
      <w:pPr>
        <w:spacing w:line="600" w:lineRule="exact"/>
        <w:ind w:firstLine="640"/>
        <w:rPr>
          <w:rFonts w:ascii="仿宋" w:eastAsia="仿宋" w:hAnsi="仿宋"/>
          <w:color w:val="000000"/>
          <w:sz w:val="32"/>
          <w:szCs w:val="32"/>
        </w:rPr>
      </w:pPr>
      <w:r>
        <w:rPr>
          <w:rFonts w:ascii="仿宋" w:eastAsia="仿宋" w:hAnsi="仿宋"/>
          <w:color w:val="000000"/>
          <w:sz w:val="32"/>
          <w:szCs w:val="32"/>
        </w:rPr>
        <w:t>201</w:t>
      </w:r>
      <w:r>
        <w:rPr>
          <w:rFonts w:ascii="仿宋" w:eastAsia="仿宋" w:hAnsi="仿宋" w:hint="eastAsia"/>
          <w:color w:val="000000"/>
          <w:sz w:val="32"/>
          <w:szCs w:val="32"/>
        </w:rPr>
        <w:t>8年国有资本经营预算拨款支出0万元</w:t>
      </w:r>
      <w:r w:rsidR="008A3E9C">
        <w:rPr>
          <w:rFonts w:ascii="仿宋" w:eastAsia="仿宋" w:hAnsi="仿宋" w:hint="eastAsia"/>
          <w:color w:val="000000"/>
          <w:sz w:val="32"/>
          <w:szCs w:val="32"/>
        </w:rPr>
        <w:t>，决算公开</w:t>
      </w:r>
      <w:r w:rsidR="008A3E9C" w:rsidRPr="008A3E9C">
        <w:rPr>
          <w:rFonts w:ascii="仿宋" w:eastAsia="仿宋" w:hAnsi="仿宋" w:hint="eastAsia"/>
          <w:color w:val="000000"/>
          <w:sz w:val="32"/>
          <w:szCs w:val="32"/>
        </w:rPr>
        <w:t>国有资本经营预算</w:t>
      </w:r>
      <w:r w:rsidR="008A3E9C">
        <w:rPr>
          <w:rFonts w:ascii="仿宋" w:eastAsia="仿宋" w:hAnsi="仿宋" w:hint="eastAsia"/>
          <w:color w:val="000000"/>
          <w:sz w:val="32"/>
          <w:szCs w:val="32"/>
        </w:rPr>
        <w:t>支</w:t>
      </w:r>
      <w:r w:rsidR="008A3E9C" w:rsidRPr="008A3E9C">
        <w:rPr>
          <w:rFonts w:ascii="仿宋" w:eastAsia="仿宋" w:hAnsi="仿宋" w:hint="eastAsia"/>
          <w:color w:val="000000"/>
          <w:sz w:val="32"/>
          <w:szCs w:val="32"/>
        </w:rPr>
        <w:t>出决算表</w:t>
      </w:r>
      <w:r w:rsidR="008A3E9C">
        <w:rPr>
          <w:rFonts w:ascii="仿宋" w:eastAsia="仿宋" w:hAnsi="仿宋" w:hint="eastAsia"/>
          <w:color w:val="000000"/>
          <w:sz w:val="32"/>
          <w:szCs w:val="32"/>
        </w:rPr>
        <w:t>无数据。</w:t>
      </w:r>
    </w:p>
    <w:p w:rsidR="00A571F9" w:rsidRDefault="004911A9">
      <w:pPr>
        <w:numPr>
          <w:ilvl w:val="0"/>
          <w:numId w:val="2"/>
        </w:numPr>
        <w:spacing w:line="600" w:lineRule="exact"/>
        <w:ind w:firstLine="640"/>
        <w:outlineLvl w:val="1"/>
        <w:rPr>
          <w:rStyle w:val="2Char"/>
          <w:rFonts w:ascii="黑体" w:eastAsia="黑体" w:hAnsi="黑体"/>
          <w:b w:val="0"/>
        </w:rPr>
      </w:pPr>
      <w:r>
        <w:rPr>
          <w:rStyle w:val="2Char"/>
          <w:rFonts w:ascii="黑体" w:eastAsia="黑体" w:hAnsi="黑体" w:hint="eastAsia"/>
          <w:b w:val="0"/>
        </w:rPr>
        <w:t>预算绩效情况说明</w:t>
      </w:r>
    </w:p>
    <w:p w:rsidR="00A571F9" w:rsidRDefault="004911A9">
      <w:pPr>
        <w:numPr>
          <w:ilvl w:val="0"/>
          <w:numId w:val="3"/>
        </w:numPr>
        <w:spacing w:line="580" w:lineRule="exact"/>
        <w:ind w:firstLineChars="200" w:firstLine="643"/>
        <w:rPr>
          <w:rFonts w:ascii="仿宋" w:eastAsia="仿宋" w:hAnsi="仿宋" w:cs="楷体_GB2312"/>
          <w:b/>
          <w:bCs/>
          <w:sz w:val="32"/>
          <w:szCs w:val="32"/>
        </w:rPr>
      </w:pPr>
      <w:r>
        <w:rPr>
          <w:rFonts w:ascii="仿宋" w:eastAsia="仿宋" w:hAnsi="仿宋" w:cs="楷体_GB2312" w:hint="eastAsia"/>
          <w:b/>
          <w:bCs/>
          <w:sz w:val="32"/>
          <w:szCs w:val="32"/>
        </w:rPr>
        <w:t>预算绩效管理工作开展情况。</w:t>
      </w:r>
    </w:p>
    <w:p w:rsidR="00A571F9" w:rsidRDefault="004911A9">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lastRenderedPageBreak/>
        <w:t>根据预算绩效管理要求，本部门（单位）在年初预算编制阶段，组织对市法院项目开展了预算事前绩效评估，对7个项目编制了绩效目标，预算执行过程中，选取5个项目开展绩效监控，年终执行完毕后，对5个项目开展了绩效目标完成情况梳理填报。</w:t>
      </w:r>
    </w:p>
    <w:p w:rsidR="00A571F9" w:rsidRDefault="004911A9">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本部门按要求对2018年部门整体支出开展绩效自评，从评价情况来看基本能按照年初预算进行部门整体支出，保障法院审判、执行、法警、后勤保障等机构正常运转。本部门还自行组织了1个项目绩效评价，从评价情况来看各项目资金均能够在本年度按照绩效指标的要求完成支付。</w:t>
      </w:r>
    </w:p>
    <w:p w:rsidR="00A571F9" w:rsidRDefault="004911A9">
      <w:pPr>
        <w:numPr>
          <w:ilvl w:val="0"/>
          <w:numId w:val="3"/>
        </w:numPr>
        <w:spacing w:line="580" w:lineRule="exact"/>
        <w:ind w:firstLineChars="200" w:firstLine="643"/>
        <w:rPr>
          <w:rFonts w:ascii="仿宋_GB2312" w:eastAsia="仿宋_GB2312" w:hAnsi="仿宋_GB2312" w:cs="仿宋_GB2312"/>
          <w:sz w:val="32"/>
          <w:szCs w:val="32"/>
        </w:rPr>
      </w:pPr>
      <w:r>
        <w:rPr>
          <w:rFonts w:ascii="仿宋" w:eastAsia="仿宋" w:hAnsi="仿宋" w:cs="楷体_GB2312" w:hint="eastAsia"/>
          <w:b/>
          <w:bCs/>
          <w:sz w:val="32"/>
          <w:szCs w:val="32"/>
        </w:rPr>
        <w:t>项目绩效目标完成情况。</w:t>
      </w:r>
      <w:r>
        <w:rPr>
          <w:rFonts w:ascii="楷体_GB2312" w:eastAsia="楷体_GB2312" w:hAnsi="楷体_GB2312" w:cs="楷体_GB2312" w:hint="eastAsia"/>
          <w:b/>
          <w:bCs/>
          <w:sz w:val="32"/>
          <w:szCs w:val="32"/>
        </w:rPr>
        <w:br/>
      </w:r>
      <w:r>
        <w:rPr>
          <w:rFonts w:ascii="仿宋" w:eastAsia="仿宋" w:hAnsi="仿宋" w:cs="仿宋_GB2312" w:hint="eastAsia"/>
          <w:sz w:val="32"/>
          <w:szCs w:val="32"/>
        </w:rPr>
        <w:t>本部门在2018年度部门决算中反映“宣传经费</w:t>
      </w:r>
      <w:r>
        <w:rPr>
          <w:rFonts w:ascii="仿宋" w:eastAsia="仿宋" w:hAnsi="仿宋" w:cs="仿宋_GB2312"/>
          <w:sz w:val="32"/>
          <w:szCs w:val="32"/>
        </w:rPr>
        <w:t>”</w:t>
      </w:r>
      <w:r>
        <w:rPr>
          <w:rFonts w:ascii="仿宋" w:eastAsia="仿宋" w:hAnsi="仿宋" w:cs="仿宋_GB2312" w:hint="eastAsia"/>
          <w:sz w:val="32"/>
          <w:szCs w:val="32"/>
        </w:rPr>
        <w:t>“业务运行费” “枪弹费”等5个项目绩效目标实际完成情况。</w:t>
      </w:r>
    </w:p>
    <w:p w:rsidR="00A571F9" w:rsidRDefault="004911A9">
      <w:pPr>
        <w:numPr>
          <w:ilvl w:val="0"/>
          <w:numId w:val="4"/>
        </w:num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宣传经费项目绩效目标完成情况综述。项目全年预算数18万元，执行数为18万元，完成预算的100%。通过项目实施，深入扎实的法制宣传，广泛传播法律知识，提高民众</w:t>
      </w:r>
      <w:bookmarkStart w:id="50" w:name="_GoBack"/>
      <w:r w:rsidR="007A2D78">
        <w:rPr>
          <w:rFonts w:ascii="仿宋" w:eastAsia="仿宋" w:hAnsi="仿宋" w:cs="仿宋_GB2312" w:hint="eastAsia"/>
          <w:sz w:val="32"/>
          <w:szCs w:val="32"/>
        </w:rPr>
        <w:t>法治意识</w:t>
      </w:r>
      <w:bookmarkEnd w:id="50"/>
      <w:r>
        <w:rPr>
          <w:rFonts w:ascii="仿宋" w:eastAsia="仿宋" w:hAnsi="仿宋" w:cs="仿宋_GB2312" w:hint="eastAsia"/>
          <w:sz w:val="32"/>
          <w:szCs w:val="32"/>
        </w:rPr>
        <w:t>和法律素质，促进社会主义法制化建设，推动形成自觉学法、守法、用法的社会环境。对干警进行业务和综合素质培训，达到熟练开展工作的要求，重点培训新施行的法律法规及其司法解释等重点业务内容。发现的主要问题：一是宣传项目资金有限，不足以完成更全面的法制宣传工作。二是对宣传项目规划仍有待加强。三是部分民众法律意识依然淡薄，理解法律观念差，有待加强宣传法律政策。下一步改进措施：一是加大资金投入，以求更全面的完成宣传工作。</w:t>
      </w:r>
      <w:r>
        <w:rPr>
          <w:rFonts w:ascii="仿宋" w:eastAsia="仿宋" w:hAnsi="仿宋" w:cs="仿宋_GB2312" w:hint="eastAsia"/>
          <w:sz w:val="32"/>
          <w:szCs w:val="32"/>
        </w:rPr>
        <w:lastRenderedPageBreak/>
        <w:t>二是加强对项目的规划，提升效率。</w:t>
      </w:r>
    </w:p>
    <w:tbl>
      <w:tblPr>
        <w:tblpPr w:leftFromText="180" w:rightFromText="180" w:vertAnchor="text" w:horzAnchor="page" w:tblpXSpec="center" w:tblpY="423"/>
        <w:tblOverlap w:val="never"/>
        <w:tblW w:w="9960" w:type="dxa"/>
        <w:tblLayout w:type="fixed"/>
        <w:tblCellMar>
          <w:left w:w="0" w:type="dxa"/>
          <w:right w:w="0" w:type="dxa"/>
        </w:tblCellMar>
        <w:tblLook w:val="04A0" w:firstRow="1" w:lastRow="0" w:firstColumn="1" w:lastColumn="0" w:noHBand="0" w:noVBand="1"/>
      </w:tblPr>
      <w:tblGrid>
        <w:gridCol w:w="390"/>
        <w:gridCol w:w="1367"/>
        <w:gridCol w:w="1025"/>
        <w:gridCol w:w="2392"/>
        <w:gridCol w:w="2394"/>
        <w:gridCol w:w="2392"/>
      </w:tblGrid>
      <w:tr w:rsidR="00A571F9">
        <w:trPr>
          <w:trHeight w:val="1034"/>
        </w:trPr>
        <w:tc>
          <w:tcPr>
            <w:tcW w:w="9960" w:type="dxa"/>
            <w:gridSpan w:val="6"/>
            <w:tcMar>
              <w:top w:w="15" w:type="dxa"/>
              <w:left w:w="15" w:type="dxa"/>
              <w:bottom w:w="0" w:type="dxa"/>
              <w:right w:w="15" w:type="dxa"/>
            </w:tcMar>
            <w:vAlign w:val="center"/>
          </w:tcPr>
          <w:p w:rsidR="00A571F9" w:rsidRDefault="004911A9">
            <w:pPr>
              <w:pStyle w:val="a9"/>
              <w:widowControl/>
              <w:ind w:leftChars="1310" w:left="4173" w:hangingChars="395" w:hanging="1422"/>
              <w:textAlignment w:val="center"/>
              <w:rPr>
                <w:rFonts w:ascii="宋体" w:hAnsi="宋体" w:cs="宋体"/>
                <w:color w:val="000000"/>
                <w:sz w:val="36"/>
                <w:szCs w:val="36"/>
              </w:rPr>
            </w:pPr>
            <w:r>
              <w:rPr>
                <w:rFonts w:ascii="黑体" w:eastAsia="黑体" w:hAnsi="黑体" w:cs="宋体" w:hint="eastAsia"/>
                <w:bCs/>
                <w:color w:val="000000"/>
                <w:kern w:val="0"/>
                <w:sz w:val="36"/>
                <w:szCs w:val="36"/>
              </w:rPr>
              <w:t>项目支出绩效目标完成情况表</w:t>
            </w:r>
            <w:r>
              <w:rPr>
                <w:rFonts w:ascii="宋体" w:hAnsi="宋体" w:cs="宋体" w:hint="eastAsia"/>
                <w:b/>
                <w:bCs/>
                <w:color w:val="000000"/>
                <w:kern w:val="0"/>
                <w:sz w:val="36"/>
                <w:szCs w:val="36"/>
              </w:rPr>
              <w:br/>
            </w:r>
            <w:r>
              <w:rPr>
                <w:rFonts w:ascii="宋体" w:hAnsi="宋体" w:cs="宋体" w:hint="eastAsia"/>
                <w:color w:val="000000"/>
                <w:kern w:val="0"/>
                <w:sz w:val="36"/>
                <w:szCs w:val="36"/>
              </w:rPr>
              <w:t>(2018 年度)</w:t>
            </w:r>
          </w:p>
        </w:tc>
      </w:tr>
      <w:tr w:rsidR="00A571F9">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宣传培训费</w:t>
            </w:r>
          </w:p>
        </w:tc>
      </w:tr>
      <w:tr w:rsidR="00A571F9">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四川省攀枝花市中级人民法院</w:t>
            </w:r>
          </w:p>
        </w:tc>
      </w:tr>
      <w:tr w:rsidR="00A571F9">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预算执行情况(万元)</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预算数: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18万元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执行数: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18万元</w:t>
            </w:r>
          </w:p>
        </w:tc>
      </w:tr>
      <w:tr w:rsidR="00A571F9">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A571F9" w:rsidRDefault="00A571F9">
            <w:pPr>
              <w:widowControl/>
              <w:jc w:val="left"/>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18万元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18万元</w:t>
            </w:r>
          </w:p>
        </w:tc>
      </w:tr>
      <w:tr w:rsidR="00A571F9">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tcPr>
          <w:p w:rsidR="00A571F9" w:rsidRDefault="00A571F9">
            <w:pPr>
              <w:widowControl/>
              <w:jc w:val="left"/>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A571F9">
            <w:pPr>
              <w:jc w:val="center"/>
              <w:rPr>
                <w:rFonts w:ascii="宋体" w:hAnsi="宋体" w:cs="宋体"/>
                <w:color w:val="000000"/>
                <w:sz w:val="24"/>
              </w:rPr>
            </w:pPr>
          </w:p>
        </w:tc>
      </w:tr>
      <w:tr w:rsidR="00A571F9">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实际完成目标</w:t>
            </w:r>
          </w:p>
        </w:tc>
      </w:tr>
      <w:tr w:rsidR="00A571F9">
        <w:trPr>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tcPr>
          <w:p w:rsidR="00A571F9" w:rsidRDefault="00A571F9">
            <w:pPr>
              <w:widowControl/>
              <w:jc w:val="left"/>
              <w:rPr>
                <w:rFonts w:ascii="宋体" w:hAnsi="宋体"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通过深入扎实的法制宣传，广泛传播法律知识，提高民众</w:t>
            </w:r>
            <w:r w:rsidR="007A2D78">
              <w:rPr>
                <w:rFonts w:ascii="宋体" w:hAnsi="宋体" w:cs="宋体" w:hint="eastAsia"/>
                <w:color w:val="000000"/>
                <w:sz w:val="24"/>
              </w:rPr>
              <w:t>法治意识</w:t>
            </w:r>
            <w:r>
              <w:rPr>
                <w:rFonts w:ascii="宋体" w:hAnsi="宋体" w:cs="宋体" w:hint="eastAsia"/>
                <w:color w:val="000000"/>
                <w:sz w:val="24"/>
              </w:rPr>
              <w:t>和法律素质，促进社会主义法制化建设，推动形成自觉学法、守法、用法的社会环境。对干警进行业务和综合素质培训，达到熟练开展工作的要求，重点培训新施行的法律法规及其司法解释等重点业务内容。</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通过深入扎实的法制宣传，广泛传播法律知识，提高民众</w:t>
            </w:r>
            <w:r w:rsidR="007A2D78">
              <w:rPr>
                <w:rFonts w:ascii="宋体" w:hAnsi="宋体" w:cs="宋体" w:hint="eastAsia"/>
                <w:color w:val="000000"/>
                <w:sz w:val="24"/>
              </w:rPr>
              <w:t>法治意识</w:t>
            </w:r>
            <w:r>
              <w:rPr>
                <w:rFonts w:ascii="宋体" w:hAnsi="宋体" w:cs="宋体" w:hint="eastAsia"/>
                <w:color w:val="000000"/>
                <w:sz w:val="24"/>
              </w:rPr>
              <w:t>和法律素质，促进社会主义法制化建设，推动形成自觉学法、守法、用法的社会环境。对干警进行业务和综合素质培训，达到熟练开展工作的要求，重点培训新施行的法律法规及其司法解释等重点业务内容。</w:t>
            </w:r>
          </w:p>
        </w:tc>
      </w:tr>
      <w:tr w:rsidR="00A571F9">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预期指标值(包含数字及文字描述)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实际完成指标值(包含数字及文字描述)</w:t>
            </w:r>
          </w:p>
        </w:tc>
      </w:tr>
      <w:tr w:rsidR="00A571F9">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tcPr>
          <w:p w:rsidR="00A571F9" w:rsidRDefault="00A571F9">
            <w:pPr>
              <w:widowControl/>
              <w:jc w:val="left"/>
              <w:rPr>
                <w:rFonts w:ascii="宋体" w:hAnsi="宋体" w:cs="宋体"/>
                <w:color w:val="000000"/>
                <w:sz w:val="24"/>
              </w:rPr>
            </w:pPr>
          </w:p>
        </w:tc>
        <w:tc>
          <w:tcPr>
            <w:tcW w:w="1367"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25"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宣传渠道、培训种类</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宣传渠道10种以上，业务、综合培训15批次以上</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我院已与攀枝花日报、四川法制报、新浪网等10家媒体开展宣传活动。根据我院2018年培训工作计划，开展培训项目25次</w:t>
            </w:r>
          </w:p>
        </w:tc>
      </w:tr>
      <w:tr w:rsidR="00A571F9">
        <w:trPr>
          <w:trHeight w:val="627"/>
        </w:trPr>
        <w:tc>
          <w:tcPr>
            <w:tcW w:w="390" w:type="dxa"/>
            <w:vMerge/>
            <w:tcBorders>
              <w:top w:val="single" w:sz="4" w:space="0" w:color="000000"/>
              <w:left w:val="single" w:sz="4" w:space="0" w:color="000000"/>
              <w:bottom w:val="single" w:sz="4" w:space="0" w:color="000000"/>
              <w:right w:val="single" w:sz="4" w:space="0" w:color="000000"/>
            </w:tcBorders>
            <w:vAlign w:val="center"/>
          </w:tcPr>
          <w:p w:rsidR="00A571F9" w:rsidRDefault="00A571F9">
            <w:pPr>
              <w:widowControl/>
              <w:jc w:val="left"/>
              <w:rPr>
                <w:rFonts w:ascii="宋体" w:hAnsi="宋体" w:cs="宋体"/>
                <w:color w:val="000000"/>
                <w:sz w:val="24"/>
              </w:rPr>
            </w:pPr>
          </w:p>
        </w:tc>
        <w:tc>
          <w:tcPr>
            <w:tcW w:w="1367" w:type="dxa"/>
            <w:vMerge/>
            <w:tcBorders>
              <w:left w:val="single" w:sz="4" w:space="0" w:color="000000"/>
              <w:right w:val="single" w:sz="4" w:space="0" w:color="000000"/>
            </w:tcBorders>
            <w:tcMar>
              <w:top w:w="15" w:type="dxa"/>
              <w:left w:w="15" w:type="dxa"/>
              <w:bottom w:w="0" w:type="dxa"/>
              <w:right w:w="15" w:type="dxa"/>
            </w:tcMar>
            <w:vAlign w:val="center"/>
          </w:tcPr>
          <w:p w:rsidR="00A571F9" w:rsidRDefault="00A571F9">
            <w:pPr>
              <w:widowControl/>
              <w:jc w:val="center"/>
              <w:textAlignment w:val="center"/>
              <w:rPr>
                <w:rFonts w:ascii="宋体" w:hAnsi="宋体" w:cs="宋体"/>
                <w:color w:val="000000"/>
                <w:kern w:val="0"/>
                <w:sz w:val="24"/>
              </w:rPr>
            </w:pPr>
          </w:p>
        </w:tc>
        <w:tc>
          <w:tcPr>
            <w:tcW w:w="1025" w:type="dxa"/>
            <w:vMerge/>
            <w:tcBorders>
              <w:left w:val="single" w:sz="4" w:space="0" w:color="000000"/>
              <w:right w:val="single" w:sz="4" w:space="0" w:color="000000"/>
            </w:tcBorders>
            <w:tcMar>
              <w:top w:w="15" w:type="dxa"/>
              <w:left w:w="15" w:type="dxa"/>
              <w:bottom w:w="0" w:type="dxa"/>
              <w:right w:w="15" w:type="dxa"/>
            </w:tcMar>
            <w:vAlign w:val="center"/>
          </w:tcPr>
          <w:p w:rsidR="00A571F9" w:rsidRDefault="00A571F9">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完成宣传节目、培训课时</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宣传节目100个以上，培训100课时以上</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播出宣传节目113期，培训108课时</w:t>
            </w:r>
          </w:p>
        </w:tc>
      </w:tr>
      <w:tr w:rsidR="00A571F9">
        <w:trPr>
          <w:trHeight w:val="678"/>
        </w:trPr>
        <w:tc>
          <w:tcPr>
            <w:tcW w:w="390" w:type="dxa"/>
            <w:vMerge/>
            <w:tcBorders>
              <w:top w:val="single" w:sz="4" w:space="0" w:color="000000"/>
              <w:left w:val="single" w:sz="4" w:space="0" w:color="000000"/>
              <w:bottom w:val="single" w:sz="4" w:space="0" w:color="000000"/>
              <w:right w:val="single" w:sz="4" w:space="0" w:color="000000"/>
            </w:tcBorders>
            <w:vAlign w:val="center"/>
          </w:tcPr>
          <w:p w:rsidR="00A571F9" w:rsidRDefault="00A571F9">
            <w:pPr>
              <w:widowControl/>
              <w:jc w:val="left"/>
              <w:rPr>
                <w:rFonts w:ascii="宋体" w:hAnsi="宋体" w:cs="宋体"/>
                <w:color w:val="000000"/>
                <w:sz w:val="24"/>
              </w:rPr>
            </w:pPr>
          </w:p>
        </w:tc>
        <w:tc>
          <w:tcPr>
            <w:tcW w:w="1367"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A571F9">
            <w:pPr>
              <w:widowControl/>
              <w:jc w:val="center"/>
              <w:textAlignment w:val="center"/>
              <w:rPr>
                <w:rFonts w:ascii="宋体" w:hAnsi="宋体" w:cs="宋体"/>
                <w:color w:val="000000"/>
                <w:kern w:val="0"/>
                <w:sz w:val="24"/>
              </w:rPr>
            </w:pPr>
          </w:p>
        </w:tc>
        <w:tc>
          <w:tcPr>
            <w:tcW w:w="1025"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A571F9">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完成宣传稿件、完成培训人次</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宣传稿件200篇以上，培训人次300人以上</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刊发宣传稿件297件，培训人次325人次</w:t>
            </w:r>
          </w:p>
        </w:tc>
      </w:tr>
      <w:tr w:rsidR="00A571F9">
        <w:trPr>
          <w:trHeight w:val="688"/>
        </w:trPr>
        <w:tc>
          <w:tcPr>
            <w:tcW w:w="390" w:type="dxa"/>
            <w:vMerge/>
            <w:tcBorders>
              <w:top w:val="single" w:sz="4" w:space="0" w:color="000000"/>
              <w:left w:val="single" w:sz="4" w:space="0" w:color="000000"/>
              <w:bottom w:val="single" w:sz="4" w:space="0" w:color="000000"/>
              <w:right w:val="single" w:sz="4" w:space="0" w:color="000000"/>
            </w:tcBorders>
            <w:vAlign w:val="center"/>
          </w:tcPr>
          <w:p w:rsidR="00A571F9" w:rsidRDefault="00A571F9">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新闻报道准确性、培训合格率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100%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新闻稿件及时报道，培训考核均能合格</w:t>
            </w:r>
          </w:p>
        </w:tc>
      </w:tr>
      <w:tr w:rsidR="00A571F9">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A571F9" w:rsidRDefault="00A571F9">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宣传及时性、培训及时性</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1天内进行宣传，工作开展前10天完成培训</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新闻报道1天内均能宣传，工作开展前15天相关培训能够完成</w:t>
            </w:r>
          </w:p>
        </w:tc>
      </w:tr>
      <w:tr w:rsidR="00A571F9">
        <w:trPr>
          <w:trHeight w:val="684"/>
        </w:trPr>
        <w:tc>
          <w:tcPr>
            <w:tcW w:w="390" w:type="dxa"/>
            <w:vMerge/>
            <w:tcBorders>
              <w:top w:val="single" w:sz="4" w:space="0" w:color="000000"/>
              <w:left w:val="single" w:sz="4" w:space="0" w:color="000000"/>
              <w:bottom w:val="single" w:sz="4" w:space="0" w:color="000000"/>
              <w:right w:val="single" w:sz="4" w:space="0" w:color="000000"/>
            </w:tcBorders>
            <w:vAlign w:val="center"/>
          </w:tcPr>
          <w:p w:rsidR="00A571F9" w:rsidRDefault="00A571F9">
            <w:pPr>
              <w:widowControl/>
              <w:jc w:val="left"/>
              <w:rPr>
                <w:rFonts w:ascii="宋体" w:hAnsi="宋体" w:cs="宋体"/>
                <w:color w:val="000000"/>
                <w:sz w:val="24"/>
              </w:rPr>
            </w:pPr>
          </w:p>
        </w:tc>
        <w:tc>
          <w:tcPr>
            <w:tcW w:w="1367"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kern w:val="0"/>
                <w:sz w:val="24"/>
              </w:rPr>
            </w:pPr>
            <w:r>
              <w:rPr>
                <w:rFonts w:ascii="宋体" w:hAnsi="宋体" w:cs="宋体" w:hint="eastAsia"/>
                <w:color w:val="000000"/>
                <w:kern w:val="0"/>
                <w:sz w:val="24"/>
              </w:rPr>
              <w:t>项目完成指标</w:t>
            </w:r>
          </w:p>
        </w:tc>
        <w:tc>
          <w:tcPr>
            <w:tcW w:w="1025"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宣传稿件刊登、节目制作成本</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14万元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与各级新闻媒体签订宣传合同14万元</w:t>
            </w:r>
          </w:p>
        </w:tc>
      </w:tr>
      <w:tr w:rsidR="00A571F9">
        <w:trPr>
          <w:trHeight w:val="694"/>
        </w:trPr>
        <w:tc>
          <w:tcPr>
            <w:tcW w:w="390" w:type="dxa"/>
            <w:vMerge/>
            <w:tcBorders>
              <w:top w:val="single" w:sz="4" w:space="0" w:color="000000"/>
              <w:left w:val="single" w:sz="4" w:space="0" w:color="000000"/>
              <w:bottom w:val="single" w:sz="4" w:space="0" w:color="000000"/>
              <w:right w:val="single" w:sz="4" w:space="0" w:color="000000"/>
            </w:tcBorders>
            <w:vAlign w:val="center"/>
          </w:tcPr>
          <w:p w:rsidR="00A571F9" w:rsidRDefault="00A571F9">
            <w:pPr>
              <w:widowControl/>
              <w:jc w:val="left"/>
              <w:rPr>
                <w:rFonts w:ascii="宋体" w:hAnsi="宋体" w:cs="宋体"/>
                <w:color w:val="000000"/>
                <w:sz w:val="24"/>
              </w:rPr>
            </w:pPr>
          </w:p>
        </w:tc>
        <w:tc>
          <w:tcPr>
            <w:tcW w:w="1367"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A571F9">
            <w:pPr>
              <w:widowControl/>
              <w:jc w:val="center"/>
              <w:textAlignment w:val="center"/>
              <w:rPr>
                <w:rFonts w:ascii="宋体" w:hAnsi="宋体" w:cs="宋体"/>
                <w:color w:val="000000"/>
                <w:kern w:val="0"/>
                <w:sz w:val="24"/>
              </w:rPr>
            </w:pPr>
          </w:p>
        </w:tc>
        <w:tc>
          <w:tcPr>
            <w:tcW w:w="1025"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A571F9">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培训差旅费、资料费等成本</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4万元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培训老师讲课费4万元</w:t>
            </w:r>
          </w:p>
        </w:tc>
      </w:tr>
      <w:tr w:rsidR="00A571F9">
        <w:trPr>
          <w:trHeight w:val="959"/>
        </w:trPr>
        <w:tc>
          <w:tcPr>
            <w:tcW w:w="390" w:type="dxa"/>
            <w:vMerge/>
            <w:tcBorders>
              <w:top w:val="single" w:sz="4" w:space="0" w:color="000000"/>
              <w:left w:val="single" w:sz="4" w:space="0" w:color="000000"/>
              <w:bottom w:val="single" w:sz="4" w:space="0" w:color="000000"/>
              <w:right w:val="single" w:sz="4" w:space="0" w:color="000000"/>
            </w:tcBorders>
            <w:vAlign w:val="center"/>
          </w:tcPr>
          <w:p w:rsidR="00A571F9" w:rsidRDefault="00A571F9">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kern w:val="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经济效益</w:t>
            </w:r>
          </w:p>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法制宣传、培训对经济社会发展的促进作用</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有效</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提高社会公众对经济法律知识认识，促进社会经济发展</w:t>
            </w:r>
          </w:p>
        </w:tc>
      </w:tr>
      <w:tr w:rsidR="00A571F9">
        <w:trPr>
          <w:trHeight w:val="605"/>
        </w:trPr>
        <w:tc>
          <w:tcPr>
            <w:tcW w:w="390" w:type="dxa"/>
            <w:vMerge/>
            <w:tcBorders>
              <w:top w:val="single" w:sz="4" w:space="0" w:color="000000"/>
              <w:left w:val="single" w:sz="4" w:space="0" w:color="000000"/>
              <w:bottom w:val="single" w:sz="4" w:space="0" w:color="000000"/>
              <w:right w:val="single" w:sz="4" w:space="0" w:color="000000"/>
            </w:tcBorders>
            <w:vAlign w:val="center"/>
          </w:tcPr>
          <w:p w:rsidR="00A571F9" w:rsidRDefault="00A571F9">
            <w:pPr>
              <w:widowControl/>
              <w:jc w:val="left"/>
              <w:rPr>
                <w:rFonts w:ascii="宋体" w:hAnsi="宋体" w:cs="宋体"/>
                <w:color w:val="000000"/>
                <w:sz w:val="24"/>
              </w:rPr>
            </w:pPr>
          </w:p>
        </w:tc>
        <w:tc>
          <w:tcPr>
            <w:tcW w:w="1367"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效益指标</w:t>
            </w:r>
          </w:p>
        </w:tc>
        <w:tc>
          <w:tcPr>
            <w:tcW w:w="1025"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社会效益指标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节目、稿件中央媒体报道次数</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61篇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中央媒体报道次数65篇</w:t>
            </w:r>
          </w:p>
        </w:tc>
      </w:tr>
      <w:tr w:rsidR="00A571F9">
        <w:trPr>
          <w:trHeight w:val="599"/>
        </w:trPr>
        <w:tc>
          <w:tcPr>
            <w:tcW w:w="390" w:type="dxa"/>
            <w:vMerge/>
            <w:tcBorders>
              <w:top w:val="single" w:sz="4" w:space="0" w:color="000000"/>
              <w:left w:val="single" w:sz="4" w:space="0" w:color="000000"/>
              <w:bottom w:val="single" w:sz="4" w:space="0" w:color="000000"/>
              <w:right w:val="single" w:sz="4" w:space="0" w:color="000000"/>
            </w:tcBorders>
            <w:vAlign w:val="center"/>
          </w:tcPr>
          <w:p w:rsidR="00A571F9" w:rsidRDefault="00A571F9">
            <w:pPr>
              <w:widowControl/>
              <w:jc w:val="left"/>
              <w:rPr>
                <w:rFonts w:ascii="宋体" w:hAnsi="宋体" w:cs="宋体"/>
                <w:color w:val="000000"/>
                <w:sz w:val="24"/>
              </w:rPr>
            </w:pPr>
          </w:p>
        </w:tc>
        <w:tc>
          <w:tcPr>
            <w:tcW w:w="1367" w:type="dxa"/>
            <w:vMerge/>
            <w:tcBorders>
              <w:left w:val="single" w:sz="4" w:space="0" w:color="000000"/>
              <w:right w:val="single" w:sz="4" w:space="0" w:color="000000"/>
            </w:tcBorders>
            <w:tcMar>
              <w:top w:w="15" w:type="dxa"/>
              <w:left w:w="15" w:type="dxa"/>
              <w:bottom w:w="0" w:type="dxa"/>
              <w:right w:w="15" w:type="dxa"/>
            </w:tcMar>
            <w:vAlign w:val="center"/>
          </w:tcPr>
          <w:p w:rsidR="00A571F9" w:rsidRDefault="00A571F9">
            <w:pPr>
              <w:widowControl/>
              <w:jc w:val="center"/>
              <w:textAlignment w:val="center"/>
              <w:rPr>
                <w:rFonts w:ascii="宋体" w:hAnsi="宋体" w:cs="宋体"/>
                <w:color w:val="000000"/>
                <w:kern w:val="0"/>
                <w:sz w:val="24"/>
              </w:rPr>
            </w:pPr>
          </w:p>
        </w:tc>
        <w:tc>
          <w:tcPr>
            <w:tcW w:w="1025" w:type="dxa"/>
            <w:vMerge/>
            <w:tcBorders>
              <w:left w:val="single" w:sz="4" w:space="0" w:color="000000"/>
              <w:right w:val="single" w:sz="4" w:space="0" w:color="000000"/>
            </w:tcBorders>
            <w:tcMar>
              <w:top w:w="15" w:type="dxa"/>
              <w:left w:w="15" w:type="dxa"/>
              <w:bottom w:w="0" w:type="dxa"/>
              <w:right w:w="15" w:type="dxa"/>
            </w:tcMar>
            <w:vAlign w:val="center"/>
          </w:tcPr>
          <w:p w:rsidR="00A571F9" w:rsidRDefault="00A571F9">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节目、稿件省级媒体报道次数</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132篇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省级媒体报道次数143篇</w:t>
            </w:r>
          </w:p>
        </w:tc>
      </w:tr>
      <w:tr w:rsidR="00A571F9">
        <w:trPr>
          <w:trHeight w:val="665"/>
        </w:trPr>
        <w:tc>
          <w:tcPr>
            <w:tcW w:w="390" w:type="dxa"/>
            <w:vMerge/>
            <w:tcBorders>
              <w:top w:val="single" w:sz="4" w:space="0" w:color="000000"/>
              <w:left w:val="single" w:sz="4" w:space="0" w:color="000000"/>
              <w:bottom w:val="single" w:sz="4" w:space="0" w:color="000000"/>
              <w:right w:val="single" w:sz="4" w:space="0" w:color="000000"/>
            </w:tcBorders>
            <w:vAlign w:val="center"/>
          </w:tcPr>
          <w:p w:rsidR="00A571F9" w:rsidRDefault="00A571F9">
            <w:pPr>
              <w:widowControl/>
              <w:jc w:val="left"/>
              <w:rPr>
                <w:rFonts w:ascii="宋体" w:hAnsi="宋体" w:cs="宋体"/>
                <w:color w:val="000000"/>
                <w:sz w:val="24"/>
              </w:rPr>
            </w:pPr>
          </w:p>
        </w:tc>
        <w:tc>
          <w:tcPr>
            <w:tcW w:w="1367"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A571F9">
            <w:pPr>
              <w:widowControl/>
              <w:jc w:val="center"/>
              <w:textAlignment w:val="center"/>
              <w:rPr>
                <w:rFonts w:ascii="宋体" w:hAnsi="宋体" w:cs="宋体"/>
                <w:color w:val="000000"/>
                <w:kern w:val="0"/>
                <w:sz w:val="24"/>
              </w:rPr>
            </w:pPr>
          </w:p>
        </w:tc>
        <w:tc>
          <w:tcPr>
            <w:tcW w:w="1025"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A571F9">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节目、稿件市级媒体报道次数</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193篇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市级媒体报道次数195篇</w:t>
            </w:r>
          </w:p>
        </w:tc>
      </w:tr>
      <w:tr w:rsidR="00A571F9">
        <w:trPr>
          <w:trHeight w:val="973"/>
        </w:trPr>
        <w:tc>
          <w:tcPr>
            <w:tcW w:w="390" w:type="dxa"/>
            <w:vMerge/>
            <w:tcBorders>
              <w:top w:val="single" w:sz="4" w:space="0" w:color="000000"/>
              <w:left w:val="single" w:sz="4" w:space="0" w:color="000000"/>
              <w:bottom w:val="single" w:sz="4" w:space="0" w:color="000000"/>
              <w:right w:val="single" w:sz="4" w:space="0" w:color="000000"/>
            </w:tcBorders>
            <w:vAlign w:val="center"/>
          </w:tcPr>
          <w:p w:rsidR="00A571F9" w:rsidRDefault="00A571F9">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可持续影响指标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对法制发展的可持续影响</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有利于推广法制可持续发展理念，对“依法治市”提供法制宣传</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法制宣传有利于全市法制建设的可持续发展</w:t>
            </w:r>
          </w:p>
        </w:tc>
      </w:tr>
      <w:tr w:rsidR="00A571F9">
        <w:trPr>
          <w:trHeight w:val="1050"/>
        </w:trPr>
        <w:tc>
          <w:tcPr>
            <w:tcW w:w="390" w:type="dxa"/>
            <w:vMerge/>
            <w:tcBorders>
              <w:top w:val="single" w:sz="4" w:space="0" w:color="000000"/>
              <w:left w:val="single" w:sz="4" w:space="0" w:color="000000"/>
              <w:bottom w:val="single" w:sz="4" w:space="0" w:color="000000"/>
              <w:right w:val="single" w:sz="4" w:space="0" w:color="000000"/>
            </w:tcBorders>
            <w:vAlign w:val="center"/>
          </w:tcPr>
          <w:p w:rsidR="00A571F9" w:rsidRDefault="00A571F9">
            <w:pPr>
              <w:widowControl/>
              <w:jc w:val="left"/>
              <w:rPr>
                <w:rFonts w:ascii="宋体" w:hAnsi="宋体" w:cs="宋体"/>
                <w:color w:val="000000"/>
                <w:sz w:val="24"/>
              </w:rPr>
            </w:pPr>
          </w:p>
        </w:tc>
        <w:tc>
          <w:tcPr>
            <w:tcW w:w="1367"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kern w:val="0"/>
                <w:sz w:val="24"/>
              </w:rPr>
            </w:pPr>
            <w:r>
              <w:rPr>
                <w:rFonts w:ascii="宋体" w:hAnsi="宋体" w:cs="宋体" w:hint="eastAsia"/>
                <w:color w:val="000000"/>
                <w:kern w:val="0"/>
                <w:sz w:val="24"/>
              </w:rPr>
              <w:t>满意度指标</w:t>
            </w:r>
          </w:p>
          <w:p w:rsidR="00A571F9" w:rsidRDefault="004911A9">
            <w:pPr>
              <w:jc w:val="center"/>
              <w:textAlignment w:val="center"/>
              <w:rPr>
                <w:rFonts w:ascii="宋体" w:hAnsi="宋体" w:cs="宋体"/>
                <w:color w:val="000000"/>
                <w:kern w:val="0"/>
                <w:sz w:val="24"/>
              </w:rPr>
            </w:pPr>
            <w:r>
              <w:rPr>
                <w:rFonts w:ascii="宋体" w:hAnsi="宋体" w:cs="宋体" w:hint="eastAsia"/>
                <w:color w:val="000000"/>
                <w:kern w:val="0"/>
                <w:sz w:val="24"/>
              </w:rPr>
              <w:t>满意度指标</w:t>
            </w:r>
          </w:p>
        </w:tc>
        <w:tc>
          <w:tcPr>
            <w:tcW w:w="1025"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社会公众对法律的认知度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通过宣传使社会公众对法律的认识不断提高，加强自我保护意识，维护自身权益。</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社会公众对法律的认识有所提升</w:t>
            </w:r>
          </w:p>
        </w:tc>
      </w:tr>
      <w:tr w:rsidR="00A571F9">
        <w:trPr>
          <w:trHeight w:val="382"/>
        </w:trPr>
        <w:tc>
          <w:tcPr>
            <w:tcW w:w="390" w:type="dxa"/>
            <w:vMerge/>
            <w:tcBorders>
              <w:top w:val="single" w:sz="4" w:space="0" w:color="000000"/>
              <w:left w:val="single" w:sz="4" w:space="0" w:color="000000"/>
              <w:bottom w:val="single" w:sz="4" w:space="0" w:color="000000"/>
              <w:right w:val="single" w:sz="4" w:space="0" w:color="000000"/>
            </w:tcBorders>
            <w:vAlign w:val="center"/>
          </w:tcPr>
          <w:p w:rsidR="00A571F9" w:rsidRDefault="00A571F9">
            <w:pPr>
              <w:widowControl/>
              <w:jc w:val="left"/>
              <w:rPr>
                <w:rFonts w:ascii="宋体" w:hAnsi="宋体" w:cs="宋体"/>
                <w:color w:val="000000"/>
                <w:sz w:val="24"/>
              </w:rPr>
            </w:pPr>
          </w:p>
        </w:tc>
        <w:tc>
          <w:tcPr>
            <w:tcW w:w="1367"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A571F9">
            <w:pPr>
              <w:widowControl/>
              <w:jc w:val="center"/>
              <w:textAlignment w:val="center"/>
              <w:rPr>
                <w:rFonts w:ascii="宋体" w:hAnsi="宋体" w:cs="宋体"/>
                <w:color w:val="000000"/>
                <w:sz w:val="24"/>
              </w:rPr>
            </w:pPr>
          </w:p>
        </w:tc>
        <w:tc>
          <w:tcPr>
            <w:tcW w:w="1025"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A571F9">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省级部门满意度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≥95%</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部门满意度均满意</w:t>
            </w:r>
          </w:p>
        </w:tc>
      </w:tr>
    </w:tbl>
    <w:p w:rsidR="00A571F9" w:rsidRDefault="00A571F9">
      <w:pPr>
        <w:tabs>
          <w:tab w:val="left" w:pos="312"/>
        </w:tabs>
        <w:spacing w:line="580" w:lineRule="exact"/>
        <w:rPr>
          <w:rFonts w:ascii="仿宋" w:eastAsia="仿宋" w:hAnsi="仿宋" w:cs="仿宋_GB2312"/>
          <w:sz w:val="32"/>
          <w:szCs w:val="32"/>
        </w:rPr>
      </w:pPr>
    </w:p>
    <w:p w:rsidR="00A571F9" w:rsidRDefault="004911A9">
      <w:pPr>
        <w:numPr>
          <w:ilvl w:val="0"/>
          <w:numId w:val="4"/>
        </w:num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枪弹费项目绩效目标完成情况综述。项目全年预算数3万元，执行数为3万元，完成预算的100%。通过项目实施，满足法警训练、比赛、工作需要及弹药需求，在执行死刑改注射方式后，枪弹费主要用于训练、比赛和警戒，保障法院刑事审判工作的正常开展。发现的主要问题：预算指标有待细化。下一步改进措施：</w:t>
      </w:r>
      <w:r>
        <w:rPr>
          <w:rStyle w:val="1Char"/>
          <w:rFonts w:ascii="仿宋" w:eastAsia="仿宋" w:hAnsi="仿宋" w:cs="仿宋_GB2312" w:hint="eastAsia"/>
          <w:b w:val="0"/>
          <w:bCs w:val="0"/>
          <w:kern w:val="2"/>
          <w:sz w:val="32"/>
          <w:szCs w:val="32"/>
        </w:rPr>
        <w:t>加强法警支队和财务部门的沟通和整合，细化预算编制，提高预算编制科学性，结合当年支出需求，增强预算的可执行性。</w:t>
      </w:r>
    </w:p>
    <w:tbl>
      <w:tblPr>
        <w:tblpPr w:leftFromText="180" w:rightFromText="180" w:vertAnchor="text" w:horzAnchor="page" w:tblpXSpec="center" w:tblpY="423"/>
        <w:tblOverlap w:val="never"/>
        <w:tblW w:w="9960" w:type="dxa"/>
        <w:tblLayout w:type="fixed"/>
        <w:tblCellMar>
          <w:left w:w="0" w:type="dxa"/>
          <w:right w:w="0" w:type="dxa"/>
        </w:tblCellMar>
        <w:tblLook w:val="04A0" w:firstRow="1" w:lastRow="0" w:firstColumn="1" w:lastColumn="0" w:noHBand="0" w:noVBand="1"/>
      </w:tblPr>
      <w:tblGrid>
        <w:gridCol w:w="390"/>
        <w:gridCol w:w="1367"/>
        <w:gridCol w:w="1025"/>
        <w:gridCol w:w="2392"/>
        <w:gridCol w:w="2394"/>
        <w:gridCol w:w="2392"/>
      </w:tblGrid>
      <w:tr w:rsidR="00A571F9">
        <w:trPr>
          <w:trHeight w:val="1034"/>
        </w:trPr>
        <w:tc>
          <w:tcPr>
            <w:tcW w:w="9960" w:type="dxa"/>
            <w:gridSpan w:val="6"/>
            <w:tcMar>
              <w:top w:w="15" w:type="dxa"/>
              <w:left w:w="15" w:type="dxa"/>
              <w:bottom w:w="0" w:type="dxa"/>
              <w:right w:w="15" w:type="dxa"/>
            </w:tcMar>
            <w:vAlign w:val="center"/>
          </w:tcPr>
          <w:p w:rsidR="00A571F9" w:rsidRDefault="004911A9">
            <w:pPr>
              <w:pStyle w:val="a9"/>
              <w:widowControl/>
              <w:ind w:leftChars="1310" w:left="4173" w:hangingChars="395" w:hanging="1422"/>
              <w:textAlignment w:val="center"/>
              <w:rPr>
                <w:rFonts w:ascii="宋体" w:hAnsi="宋体" w:cs="宋体"/>
                <w:color w:val="000000"/>
                <w:sz w:val="36"/>
                <w:szCs w:val="36"/>
              </w:rPr>
            </w:pPr>
            <w:r>
              <w:rPr>
                <w:rFonts w:ascii="黑体" w:eastAsia="黑体" w:hAnsi="黑体" w:cs="宋体" w:hint="eastAsia"/>
                <w:bCs/>
                <w:color w:val="000000"/>
                <w:kern w:val="0"/>
                <w:sz w:val="36"/>
                <w:szCs w:val="36"/>
              </w:rPr>
              <w:lastRenderedPageBreak/>
              <w:t>项目支出绩效目标完成情况表</w:t>
            </w:r>
            <w:r>
              <w:rPr>
                <w:rFonts w:ascii="宋体" w:hAnsi="宋体" w:cs="宋体" w:hint="eastAsia"/>
                <w:b/>
                <w:bCs/>
                <w:color w:val="000000"/>
                <w:kern w:val="0"/>
                <w:sz w:val="36"/>
                <w:szCs w:val="36"/>
              </w:rPr>
              <w:br/>
            </w:r>
            <w:r>
              <w:rPr>
                <w:rFonts w:ascii="宋体" w:hAnsi="宋体" w:cs="宋体" w:hint="eastAsia"/>
                <w:color w:val="000000"/>
                <w:kern w:val="0"/>
                <w:sz w:val="36"/>
                <w:szCs w:val="36"/>
              </w:rPr>
              <w:t>(2018 年度)</w:t>
            </w:r>
          </w:p>
        </w:tc>
      </w:tr>
      <w:tr w:rsidR="00A571F9">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枪弹费</w:t>
            </w:r>
          </w:p>
        </w:tc>
      </w:tr>
      <w:tr w:rsidR="00A571F9">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四川省攀枝花市中级人民法院</w:t>
            </w:r>
          </w:p>
        </w:tc>
      </w:tr>
      <w:tr w:rsidR="00A571F9">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预算执行情况(万元)</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预算数: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3万元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执行数: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3万元</w:t>
            </w:r>
          </w:p>
        </w:tc>
      </w:tr>
      <w:tr w:rsidR="00A571F9">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A571F9" w:rsidRDefault="00A571F9">
            <w:pPr>
              <w:widowControl/>
              <w:jc w:val="left"/>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3万元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3万元</w:t>
            </w:r>
          </w:p>
        </w:tc>
      </w:tr>
      <w:tr w:rsidR="00A571F9">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tcPr>
          <w:p w:rsidR="00A571F9" w:rsidRDefault="00A571F9">
            <w:pPr>
              <w:widowControl/>
              <w:jc w:val="left"/>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A571F9">
            <w:pPr>
              <w:jc w:val="center"/>
              <w:rPr>
                <w:rFonts w:ascii="宋体" w:hAnsi="宋体" w:cs="宋体"/>
                <w:color w:val="000000"/>
                <w:sz w:val="24"/>
              </w:rPr>
            </w:pPr>
          </w:p>
        </w:tc>
      </w:tr>
      <w:tr w:rsidR="00A571F9">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实际完成目标</w:t>
            </w:r>
          </w:p>
        </w:tc>
      </w:tr>
      <w:tr w:rsidR="00A571F9">
        <w:trPr>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tcPr>
          <w:p w:rsidR="00A571F9" w:rsidRDefault="00A571F9">
            <w:pPr>
              <w:widowControl/>
              <w:jc w:val="left"/>
              <w:rPr>
                <w:rFonts w:ascii="宋体" w:hAnsi="宋体"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满足法警训练、比赛、工作需要及弹药需求。在执行死刑改注射方式后，枪弹费主要用于训练、比赛、和警戒用。用于枪弹购买及更新支出。</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满足法警训练、比赛、工作需要及弹药需求。在执行死刑改注射方式后，枪弹费主要用于训练、比赛、和警戒用。用于枪弹购买及更新支出。</w:t>
            </w:r>
          </w:p>
        </w:tc>
      </w:tr>
      <w:tr w:rsidR="00A571F9">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预期指标值(包含数字及文字描述)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实际完成指标值(包含数字及文字描述)</w:t>
            </w:r>
          </w:p>
        </w:tc>
      </w:tr>
      <w:tr w:rsidR="00A571F9">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tcPr>
          <w:p w:rsidR="00A571F9" w:rsidRDefault="00A571F9">
            <w:pPr>
              <w:widowControl/>
              <w:jc w:val="left"/>
              <w:rPr>
                <w:rFonts w:ascii="宋体" w:hAnsi="宋体" w:cs="宋体"/>
                <w:color w:val="000000"/>
                <w:sz w:val="24"/>
              </w:rPr>
            </w:pPr>
          </w:p>
        </w:tc>
        <w:tc>
          <w:tcPr>
            <w:tcW w:w="1367"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25"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枪弹保障人数</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sz w:val="24"/>
              </w:rPr>
            </w:pPr>
            <w:r>
              <w:rPr>
                <w:rFonts w:ascii="宋体" w:hAnsi="宋体" w:cs="宋体" w:hint="eastAsia"/>
                <w:color w:val="000000"/>
                <w:sz w:val="24"/>
              </w:rPr>
              <w:t>60人</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我院法警共计15人，开展刑事案件审判保卫41件，保障人数为85人</w:t>
            </w:r>
          </w:p>
        </w:tc>
      </w:tr>
      <w:tr w:rsidR="00A571F9">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A571F9" w:rsidRDefault="00A571F9">
            <w:pPr>
              <w:widowControl/>
              <w:jc w:val="left"/>
              <w:rPr>
                <w:rFonts w:ascii="宋体" w:hAnsi="宋体" w:cs="宋体"/>
                <w:color w:val="000000"/>
                <w:sz w:val="24"/>
              </w:rPr>
            </w:pPr>
          </w:p>
        </w:tc>
        <w:tc>
          <w:tcPr>
            <w:tcW w:w="1367" w:type="dxa"/>
            <w:vMerge/>
            <w:tcBorders>
              <w:left w:val="single" w:sz="4" w:space="0" w:color="000000"/>
              <w:right w:val="single" w:sz="4" w:space="0" w:color="000000"/>
            </w:tcBorders>
            <w:tcMar>
              <w:top w:w="15" w:type="dxa"/>
              <w:left w:w="15" w:type="dxa"/>
              <w:bottom w:w="0" w:type="dxa"/>
              <w:right w:w="15" w:type="dxa"/>
            </w:tcMar>
            <w:vAlign w:val="center"/>
          </w:tcPr>
          <w:p w:rsidR="00A571F9" w:rsidRDefault="00A571F9">
            <w:pPr>
              <w:widowControl/>
              <w:jc w:val="center"/>
              <w:textAlignment w:val="center"/>
              <w:rPr>
                <w:rFonts w:ascii="宋体" w:hAnsi="宋体" w:cs="宋体"/>
                <w:color w:val="000000"/>
                <w:kern w:val="0"/>
                <w:sz w:val="24"/>
              </w:rPr>
            </w:pPr>
          </w:p>
        </w:tc>
        <w:tc>
          <w:tcPr>
            <w:tcW w:w="1025" w:type="dxa"/>
            <w:vMerge/>
            <w:tcBorders>
              <w:left w:val="single" w:sz="4" w:space="0" w:color="000000"/>
              <w:right w:val="single" w:sz="4" w:space="0" w:color="000000"/>
            </w:tcBorders>
            <w:tcMar>
              <w:top w:w="15" w:type="dxa"/>
              <w:left w:w="15" w:type="dxa"/>
              <w:bottom w:w="0" w:type="dxa"/>
              <w:right w:w="15" w:type="dxa"/>
            </w:tcMar>
            <w:vAlign w:val="center"/>
          </w:tcPr>
          <w:p w:rsidR="00A571F9" w:rsidRDefault="00A571F9">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法警培训人数</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sz w:val="24"/>
              </w:rPr>
            </w:pPr>
            <w:r>
              <w:rPr>
                <w:rFonts w:ascii="宋体" w:hAnsi="宋体" w:cs="宋体" w:hint="eastAsia"/>
                <w:color w:val="000000"/>
                <w:sz w:val="24"/>
              </w:rPr>
              <w:t>100人次</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textAlignment w:val="center"/>
              <w:rPr>
                <w:rFonts w:ascii="宋体" w:hAnsi="宋体" w:cs="宋体"/>
                <w:color w:val="000000"/>
                <w:sz w:val="24"/>
              </w:rPr>
            </w:pPr>
            <w:r>
              <w:rPr>
                <w:rFonts w:ascii="宋体" w:hAnsi="宋体" w:cs="宋体" w:hint="eastAsia"/>
                <w:color w:val="000000"/>
                <w:sz w:val="24"/>
              </w:rPr>
              <w:t>根据安排全市法院法警每年安排3次法警培训，每次培训人员在35人左右，已培训105人次</w:t>
            </w:r>
          </w:p>
        </w:tc>
      </w:tr>
      <w:tr w:rsidR="00A571F9">
        <w:trPr>
          <w:trHeight w:val="381"/>
        </w:trPr>
        <w:tc>
          <w:tcPr>
            <w:tcW w:w="390" w:type="dxa"/>
            <w:vMerge/>
            <w:tcBorders>
              <w:top w:val="single" w:sz="4" w:space="0" w:color="000000"/>
              <w:left w:val="single" w:sz="4" w:space="0" w:color="000000"/>
              <w:bottom w:val="single" w:sz="4" w:space="0" w:color="000000"/>
              <w:right w:val="single" w:sz="4" w:space="0" w:color="000000"/>
            </w:tcBorders>
            <w:vAlign w:val="center"/>
          </w:tcPr>
          <w:p w:rsidR="00A571F9" w:rsidRDefault="00A571F9">
            <w:pPr>
              <w:widowControl/>
              <w:jc w:val="left"/>
              <w:rPr>
                <w:rFonts w:ascii="宋体" w:hAnsi="宋体" w:cs="宋体"/>
                <w:color w:val="000000"/>
                <w:sz w:val="24"/>
              </w:rPr>
            </w:pPr>
          </w:p>
        </w:tc>
        <w:tc>
          <w:tcPr>
            <w:tcW w:w="1367" w:type="dxa"/>
            <w:vMerge/>
            <w:tcBorders>
              <w:left w:val="single" w:sz="4" w:space="0" w:color="000000"/>
              <w:right w:val="single" w:sz="4" w:space="0" w:color="000000"/>
            </w:tcBorders>
            <w:tcMar>
              <w:top w:w="15" w:type="dxa"/>
              <w:left w:w="15" w:type="dxa"/>
              <w:bottom w:w="0" w:type="dxa"/>
              <w:right w:w="15" w:type="dxa"/>
            </w:tcMar>
            <w:vAlign w:val="center"/>
          </w:tcPr>
          <w:p w:rsidR="00A571F9" w:rsidRDefault="00A571F9">
            <w:pPr>
              <w:widowControl/>
              <w:jc w:val="center"/>
              <w:textAlignment w:val="center"/>
              <w:rPr>
                <w:rFonts w:ascii="宋体" w:hAnsi="宋体" w:cs="宋体"/>
                <w:color w:val="000000"/>
                <w:kern w:val="0"/>
                <w:sz w:val="24"/>
              </w:rPr>
            </w:pPr>
          </w:p>
        </w:tc>
        <w:tc>
          <w:tcPr>
            <w:tcW w:w="1025" w:type="dxa"/>
            <w:vMerge/>
            <w:tcBorders>
              <w:left w:val="single" w:sz="4" w:space="0" w:color="000000"/>
              <w:right w:val="single" w:sz="4" w:space="0" w:color="000000"/>
            </w:tcBorders>
            <w:tcMar>
              <w:top w:w="15" w:type="dxa"/>
              <w:left w:w="15" w:type="dxa"/>
              <w:bottom w:w="0" w:type="dxa"/>
              <w:right w:w="15" w:type="dxa"/>
            </w:tcMar>
            <w:vAlign w:val="center"/>
          </w:tcPr>
          <w:p w:rsidR="00A571F9" w:rsidRDefault="00A571F9">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法警培训次数</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sz w:val="24"/>
              </w:rPr>
            </w:pPr>
            <w:r>
              <w:rPr>
                <w:rFonts w:ascii="宋体" w:hAnsi="宋体" w:cs="宋体" w:hint="eastAsia"/>
                <w:color w:val="000000"/>
                <w:sz w:val="24"/>
              </w:rPr>
              <w:t>3次</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已开展3次培训</w:t>
            </w:r>
          </w:p>
        </w:tc>
      </w:tr>
      <w:tr w:rsidR="00A571F9">
        <w:trPr>
          <w:trHeight w:val="671"/>
        </w:trPr>
        <w:tc>
          <w:tcPr>
            <w:tcW w:w="390" w:type="dxa"/>
            <w:vMerge/>
            <w:tcBorders>
              <w:top w:val="single" w:sz="4" w:space="0" w:color="000000"/>
              <w:left w:val="single" w:sz="4" w:space="0" w:color="000000"/>
              <w:bottom w:val="single" w:sz="4" w:space="0" w:color="000000"/>
              <w:right w:val="single" w:sz="4" w:space="0" w:color="000000"/>
            </w:tcBorders>
            <w:vAlign w:val="center"/>
          </w:tcPr>
          <w:p w:rsidR="00A571F9" w:rsidRDefault="00A571F9">
            <w:pPr>
              <w:widowControl/>
              <w:jc w:val="left"/>
              <w:rPr>
                <w:rFonts w:ascii="宋体" w:hAnsi="宋体" w:cs="宋体"/>
                <w:color w:val="000000"/>
                <w:sz w:val="24"/>
              </w:rPr>
            </w:pPr>
          </w:p>
        </w:tc>
        <w:tc>
          <w:tcPr>
            <w:tcW w:w="1367"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A571F9">
            <w:pPr>
              <w:widowControl/>
              <w:jc w:val="center"/>
              <w:textAlignment w:val="center"/>
              <w:rPr>
                <w:rFonts w:ascii="宋体" w:hAnsi="宋体" w:cs="宋体"/>
                <w:color w:val="000000"/>
                <w:kern w:val="0"/>
                <w:sz w:val="24"/>
              </w:rPr>
            </w:pPr>
          </w:p>
        </w:tc>
        <w:tc>
          <w:tcPr>
            <w:tcW w:w="1025"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A571F9">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执勤保障枪支</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sz w:val="24"/>
              </w:rPr>
            </w:pPr>
            <w:r>
              <w:rPr>
                <w:rFonts w:ascii="宋体" w:hAnsi="宋体" w:cs="宋体" w:hint="eastAsia"/>
                <w:color w:val="000000"/>
                <w:sz w:val="24"/>
              </w:rPr>
              <w:t>每人1支以上</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我院按1人一支的标准配置枪支</w:t>
            </w:r>
          </w:p>
        </w:tc>
      </w:tr>
      <w:tr w:rsidR="00A571F9">
        <w:trPr>
          <w:trHeight w:val="539"/>
        </w:trPr>
        <w:tc>
          <w:tcPr>
            <w:tcW w:w="390" w:type="dxa"/>
            <w:vMerge/>
            <w:tcBorders>
              <w:top w:val="single" w:sz="4" w:space="0" w:color="000000"/>
              <w:left w:val="single" w:sz="4" w:space="0" w:color="000000"/>
              <w:bottom w:val="single" w:sz="4" w:space="0" w:color="000000"/>
              <w:right w:val="single" w:sz="4" w:space="0" w:color="000000"/>
            </w:tcBorders>
            <w:vAlign w:val="center"/>
          </w:tcPr>
          <w:p w:rsidR="00A571F9" w:rsidRDefault="00A571F9">
            <w:pPr>
              <w:widowControl/>
              <w:jc w:val="left"/>
              <w:rPr>
                <w:rFonts w:ascii="宋体" w:hAnsi="宋体" w:cs="宋体"/>
                <w:color w:val="000000"/>
                <w:sz w:val="24"/>
              </w:rPr>
            </w:pPr>
          </w:p>
        </w:tc>
        <w:tc>
          <w:tcPr>
            <w:tcW w:w="1367"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25"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法院干警执勤装备配备率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100%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textAlignment w:val="center"/>
              <w:rPr>
                <w:rFonts w:ascii="宋体" w:hAnsi="宋体" w:cs="宋体"/>
                <w:color w:val="000000"/>
                <w:sz w:val="24"/>
              </w:rPr>
            </w:pPr>
            <w:r>
              <w:rPr>
                <w:rFonts w:ascii="宋体" w:hAnsi="宋体" w:cs="宋体" w:hint="eastAsia"/>
                <w:color w:val="000000"/>
                <w:sz w:val="24"/>
              </w:rPr>
              <w:t>法警装备已全部配置齐全</w:t>
            </w:r>
          </w:p>
        </w:tc>
      </w:tr>
      <w:tr w:rsidR="00A571F9">
        <w:trPr>
          <w:trHeight w:val="605"/>
        </w:trPr>
        <w:tc>
          <w:tcPr>
            <w:tcW w:w="390" w:type="dxa"/>
            <w:vMerge/>
            <w:tcBorders>
              <w:top w:val="single" w:sz="4" w:space="0" w:color="000000"/>
              <w:left w:val="single" w:sz="4" w:space="0" w:color="000000"/>
              <w:bottom w:val="single" w:sz="4" w:space="0" w:color="000000"/>
              <w:right w:val="single" w:sz="4" w:space="0" w:color="000000"/>
            </w:tcBorders>
            <w:vAlign w:val="center"/>
          </w:tcPr>
          <w:p w:rsidR="00A571F9" w:rsidRDefault="00A571F9">
            <w:pPr>
              <w:widowControl/>
              <w:jc w:val="left"/>
              <w:rPr>
                <w:rFonts w:ascii="宋体" w:hAnsi="宋体" w:cs="宋体"/>
                <w:color w:val="000000"/>
                <w:sz w:val="24"/>
              </w:rPr>
            </w:pPr>
          </w:p>
        </w:tc>
        <w:tc>
          <w:tcPr>
            <w:tcW w:w="1367" w:type="dxa"/>
            <w:vMerge/>
            <w:tcBorders>
              <w:left w:val="single" w:sz="4" w:space="0" w:color="000000"/>
              <w:right w:val="single" w:sz="4" w:space="0" w:color="000000"/>
            </w:tcBorders>
            <w:tcMar>
              <w:top w:w="15" w:type="dxa"/>
              <w:left w:w="15" w:type="dxa"/>
              <w:bottom w:w="0" w:type="dxa"/>
              <w:right w:w="15" w:type="dxa"/>
            </w:tcMar>
            <w:vAlign w:val="center"/>
          </w:tcPr>
          <w:p w:rsidR="00A571F9" w:rsidRDefault="00A571F9">
            <w:pPr>
              <w:widowControl/>
              <w:jc w:val="center"/>
              <w:textAlignment w:val="center"/>
              <w:rPr>
                <w:rFonts w:ascii="宋体" w:hAnsi="宋体" w:cs="宋体"/>
                <w:color w:val="000000"/>
                <w:kern w:val="0"/>
                <w:sz w:val="24"/>
              </w:rPr>
            </w:pPr>
          </w:p>
        </w:tc>
        <w:tc>
          <w:tcPr>
            <w:tcW w:w="1025" w:type="dxa"/>
            <w:vMerge/>
            <w:tcBorders>
              <w:left w:val="single" w:sz="4" w:space="0" w:color="000000"/>
              <w:right w:val="single" w:sz="4" w:space="0" w:color="000000"/>
            </w:tcBorders>
            <w:tcMar>
              <w:top w:w="15" w:type="dxa"/>
              <w:left w:w="15" w:type="dxa"/>
              <w:bottom w:w="0" w:type="dxa"/>
              <w:right w:w="15" w:type="dxa"/>
            </w:tcMar>
            <w:vAlign w:val="center"/>
          </w:tcPr>
          <w:p w:rsidR="00A571F9" w:rsidRDefault="00A571F9">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法警作训参与度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100%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textAlignment w:val="center"/>
              <w:rPr>
                <w:rFonts w:ascii="宋体" w:hAnsi="宋体" w:cs="宋体"/>
                <w:color w:val="000000"/>
                <w:sz w:val="24"/>
              </w:rPr>
            </w:pPr>
            <w:r>
              <w:rPr>
                <w:rFonts w:ascii="宋体" w:hAnsi="宋体" w:cs="宋体" w:hint="eastAsia"/>
                <w:color w:val="000000"/>
                <w:sz w:val="24"/>
              </w:rPr>
              <w:t>培训要求法警人员必须参加，作训率达100%</w:t>
            </w:r>
          </w:p>
        </w:tc>
      </w:tr>
      <w:tr w:rsidR="00A571F9">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A571F9" w:rsidRDefault="00A571F9">
            <w:pPr>
              <w:widowControl/>
              <w:jc w:val="left"/>
              <w:rPr>
                <w:rFonts w:ascii="宋体" w:hAnsi="宋体" w:cs="宋体"/>
                <w:color w:val="000000"/>
                <w:sz w:val="24"/>
              </w:rPr>
            </w:pPr>
          </w:p>
        </w:tc>
        <w:tc>
          <w:tcPr>
            <w:tcW w:w="1367"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A571F9">
            <w:pPr>
              <w:widowControl/>
              <w:jc w:val="center"/>
              <w:textAlignment w:val="center"/>
              <w:rPr>
                <w:rFonts w:ascii="宋体" w:hAnsi="宋体" w:cs="宋体"/>
                <w:color w:val="000000"/>
                <w:kern w:val="0"/>
                <w:sz w:val="24"/>
              </w:rPr>
            </w:pPr>
          </w:p>
        </w:tc>
        <w:tc>
          <w:tcPr>
            <w:tcW w:w="1025"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A571F9">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法警抽检合格率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100%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法警训练时要求统一考核，并要求达到考核标准，所有法警均通过考核</w:t>
            </w:r>
          </w:p>
        </w:tc>
      </w:tr>
      <w:tr w:rsidR="00A571F9">
        <w:trPr>
          <w:trHeight w:val="406"/>
        </w:trPr>
        <w:tc>
          <w:tcPr>
            <w:tcW w:w="390" w:type="dxa"/>
            <w:vMerge/>
            <w:tcBorders>
              <w:top w:val="single" w:sz="4" w:space="0" w:color="000000"/>
              <w:left w:val="single" w:sz="4" w:space="0" w:color="000000"/>
              <w:bottom w:val="single" w:sz="4" w:space="0" w:color="000000"/>
              <w:right w:val="single" w:sz="4" w:space="0" w:color="000000"/>
            </w:tcBorders>
            <w:vAlign w:val="center"/>
          </w:tcPr>
          <w:p w:rsidR="00A571F9" w:rsidRDefault="00A571F9">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业务配备完成时间</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2019年全年</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业务装备配置已完成</w:t>
            </w:r>
          </w:p>
        </w:tc>
      </w:tr>
      <w:tr w:rsidR="00A571F9">
        <w:trPr>
          <w:trHeight w:val="627"/>
        </w:trPr>
        <w:tc>
          <w:tcPr>
            <w:tcW w:w="390" w:type="dxa"/>
            <w:vMerge/>
            <w:tcBorders>
              <w:top w:val="single" w:sz="4" w:space="0" w:color="000000"/>
              <w:left w:val="single" w:sz="4" w:space="0" w:color="000000"/>
              <w:bottom w:val="single" w:sz="4" w:space="0" w:color="000000"/>
              <w:right w:val="single" w:sz="4" w:space="0" w:color="000000"/>
            </w:tcBorders>
            <w:vAlign w:val="center"/>
          </w:tcPr>
          <w:p w:rsidR="00A571F9" w:rsidRDefault="00A571F9">
            <w:pPr>
              <w:widowControl/>
              <w:jc w:val="left"/>
              <w:rPr>
                <w:rFonts w:ascii="宋体" w:hAnsi="宋体" w:cs="宋体"/>
                <w:color w:val="000000"/>
                <w:sz w:val="24"/>
              </w:rPr>
            </w:pPr>
          </w:p>
        </w:tc>
        <w:tc>
          <w:tcPr>
            <w:tcW w:w="1367"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kern w:val="0"/>
                <w:sz w:val="24"/>
              </w:rPr>
            </w:pPr>
            <w:r>
              <w:rPr>
                <w:rFonts w:ascii="宋体" w:hAnsi="宋体" w:cs="宋体" w:hint="eastAsia"/>
                <w:color w:val="000000"/>
                <w:kern w:val="0"/>
                <w:sz w:val="24"/>
              </w:rPr>
              <w:t>项目完成指标</w:t>
            </w:r>
          </w:p>
        </w:tc>
        <w:tc>
          <w:tcPr>
            <w:tcW w:w="1025"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枪弹采购和更新成本</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2</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我院对子弹采购花费2万元</w:t>
            </w:r>
          </w:p>
        </w:tc>
      </w:tr>
      <w:tr w:rsidR="00A571F9">
        <w:trPr>
          <w:trHeight w:val="684"/>
        </w:trPr>
        <w:tc>
          <w:tcPr>
            <w:tcW w:w="390" w:type="dxa"/>
            <w:vMerge/>
            <w:tcBorders>
              <w:top w:val="single" w:sz="4" w:space="0" w:color="000000"/>
              <w:left w:val="single" w:sz="4" w:space="0" w:color="000000"/>
              <w:bottom w:val="single" w:sz="4" w:space="0" w:color="000000"/>
              <w:right w:val="single" w:sz="4" w:space="0" w:color="000000"/>
            </w:tcBorders>
            <w:vAlign w:val="center"/>
          </w:tcPr>
          <w:p w:rsidR="00A571F9" w:rsidRDefault="00A571F9">
            <w:pPr>
              <w:widowControl/>
              <w:jc w:val="left"/>
              <w:rPr>
                <w:rFonts w:ascii="宋体" w:hAnsi="宋体" w:cs="宋体"/>
                <w:color w:val="000000"/>
                <w:sz w:val="24"/>
              </w:rPr>
            </w:pPr>
          </w:p>
        </w:tc>
        <w:tc>
          <w:tcPr>
            <w:tcW w:w="1367" w:type="dxa"/>
            <w:vMerge/>
            <w:tcBorders>
              <w:left w:val="single" w:sz="4" w:space="0" w:color="000000"/>
              <w:right w:val="single" w:sz="4" w:space="0" w:color="000000"/>
            </w:tcBorders>
            <w:tcMar>
              <w:top w:w="15" w:type="dxa"/>
              <w:left w:w="15" w:type="dxa"/>
              <w:bottom w:w="0" w:type="dxa"/>
              <w:right w:w="15" w:type="dxa"/>
            </w:tcMar>
            <w:vAlign w:val="center"/>
          </w:tcPr>
          <w:p w:rsidR="00A571F9" w:rsidRDefault="00A571F9">
            <w:pPr>
              <w:widowControl/>
              <w:jc w:val="center"/>
              <w:textAlignment w:val="center"/>
              <w:rPr>
                <w:rFonts w:ascii="宋体" w:hAnsi="宋体" w:cs="宋体"/>
                <w:color w:val="000000"/>
                <w:kern w:val="0"/>
                <w:sz w:val="24"/>
              </w:rPr>
            </w:pPr>
          </w:p>
        </w:tc>
        <w:tc>
          <w:tcPr>
            <w:tcW w:w="1025" w:type="dxa"/>
            <w:vMerge/>
            <w:tcBorders>
              <w:left w:val="single" w:sz="4" w:space="0" w:color="000000"/>
              <w:right w:val="single" w:sz="4" w:space="0" w:color="000000"/>
            </w:tcBorders>
            <w:tcMar>
              <w:top w:w="15" w:type="dxa"/>
              <w:left w:w="15" w:type="dxa"/>
              <w:bottom w:w="0" w:type="dxa"/>
              <w:right w:w="15" w:type="dxa"/>
            </w:tcMar>
            <w:vAlign w:val="center"/>
          </w:tcPr>
          <w:p w:rsidR="00A571F9" w:rsidRDefault="00A571F9">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枪弹维护和保养</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0.5</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购枪支保管箱共计0.5万元</w:t>
            </w:r>
          </w:p>
        </w:tc>
      </w:tr>
      <w:tr w:rsidR="00A571F9">
        <w:trPr>
          <w:trHeight w:val="694"/>
        </w:trPr>
        <w:tc>
          <w:tcPr>
            <w:tcW w:w="390" w:type="dxa"/>
            <w:vMerge/>
            <w:tcBorders>
              <w:top w:val="single" w:sz="4" w:space="0" w:color="000000"/>
              <w:left w:val="single" w:sz="4" w:space="0" w:color="000000"/>
              <w:bottom w:val="single" w:sz="4" w:space="0" w:color="000000"/>
              <w:right w:val="single" w:sz="4" w:space="0" w:color="000000"/>
            </w:tcBorders>
            <w:vAlign w:val="center"/>
          </w:tcPr>
          <w:p w:rsidR="00A571F9" w:rsidRDefault="00A571F9">
            <w:pPr>
              <w:widowControl/>
              <w:jc w:val="left"/>
              <w:rPr>
                <w:rFonts w:ascii="宋体" w:hAnsi="宋体" w:cs="宋体"/>
                <w:color w:val="000000"/>
                <w:sz w:val="24"/>
              </w:rPr>
            </w:pPr>
          </w:p>
        </w:tc>
        <w:tc>
          <w:tcPr>
            <w:tcW w:w="1367"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A571F9">
            <w:pPr>
              <w:widowControl/>
              <w:jc w:val="center"/>
              <w:textAlignment w:val="center"/>
              <w:rPr>
                <w:rFonts w:ascii="宋体" w:hAnsi="宋体" w:cs="宋体"/>
                <w:color w:val="000000"/>
                <w:kern w:val="0"/>
                <w:sz w:val="24"/>
              </w:rPr>
            </w:pPr>
          </w:p>
        </w:tc>
        <w:tc>
          <w:tcPr>
            <w:tcW w:w="1025"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A571F9">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枪弹保管</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0.5</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购弹药保管箱共计0.5万元</w:t>
            </w:r>
          </w:p>
        </w:tc>
      </w:tr>
      <w:tr w:rsidR="00A571F9">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A571F9" w:rsidRDefault="00A571F9">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社会效益指标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提供良好履职基础，服务社会发展能力。</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有所提升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法警是保障刑事案件审判和死刑执行安保工作，装备的配置能有效提高保障能力</w:t>
            </w:r>
          </w:p>
        </w:tc>
      </w:tr>
      <w:tr w:rsidR="00A571F9">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A571F9" w:rsidRDefault="00A571F9">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可持续影响指标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保障法院运行，提高法警执勤整体水平，维护法院形象</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长效</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法警保障法院办案秩序，防止处置突发事件，提高法警工作能力，维护法院形象</w:t>
            </w:r>
          </w:p>
        </w:tc>
      </w:tr>
      <w:tr w:rsidR="00A571F9">
        <w:trPr>
          <w:trHeight w:val="627"/>
        </w:trPr>
        <w:tc>
          <w:tcPr>
            <w:tcW w:w="390" w:type="dxa"/>
            <w:vMerge/>
            <w:tcBorders>
              <w:top w:val="single" w:sz="4" w:space="0" w:color="000000"/>
              <w:left w:val="single" w:sz="4" w:space="0" w:color="000000"/>
              <w:bottom w:val="single" w:sz="4" w:space="0" w:color="000000"/>
              <w:right w:val="single" w:sz="4" w:space="0" w:color="000000"/>
            </w:tcBorders>
            <w:vAlign w:val="center"/>
          </w:tcPr>
          <w:p w:rsidR="00A571F9" w:rsidRDefault="00A571F9">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职工满意度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100%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职工对法警工作的满意</w:t>
            </w:r>
          </w:p>
        </w:tc>
      </w:tr>
    </w:tbl>
    <w:p w:rsidR="00A571F9" w:rsidRDefault="00A571F9">
      <w:pPr>
        <w:tabs>
          <w:tab w:val="left" w:pos="312"/>
        </w:tabs>
        <w:spacing w:line="580" w:lineRule="exact"/>
        <w:ind w:left="640"/>
        <w:rPr>
          <w:rFonts w:ascii="仿宋" w:eastAsia="仿宋" w:hAnsi="仿宋" w:cs="仿宋_GB2312"/>
          <w:sz w:val="32"/>
          <w:szCs w:val="32"/>
        </w:rPr>
      </w:pPr>
    </w:p>
    <w:p w:rsidR="00A571F9" w:rsidRDefault="004911A9">
      <w:pPr>
        <w:numPr>
          <w:ilvl w:val="0"/>
          <w:numId w:val="4"/>
        </w:num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服装费项目绩效目标完成情况综述。项目全年预算数3万元，执行数为3万元，完成预算的100%。通过项目实施，满足我院干警全省统一的着装的要求，保障新入职职工人员着装及部分到年限需换装职工的着装费用。发现的主要问题：服装经费资金有限，不足以完成更全面的法院换装工作。下一步改进措施：加大资金投入，按照文件要求的完成职工着装工作。</w:t>
      </w:r>
    </w:p>
    <w:tbl>
      <w:tblPr>
        <w:tblpPr w:leftFromText="180" w:rightFromText="180" w:vertAnchor="text" w:horzAnchor="page" w:tblpXSpec="center" w:tblpY="423"/>
        <w:tblOverlap w:val="never"/>
        <w:tblW w:w="9960" w:type="dxa"/>
        <w:tblLayout w:type="fixed"/>
        <w:tblCellMar>
          <w:left w:w="0" w:type="dxa"/>
          <w:right w:w="0" w:type="dxa"/>
        </w:tblCellMar>
        <w:tblLook w:val="04A0" w:firstRow="1" w:lastRow="0" w:firstColumn="1" w:lastColumn="0" w:noHBand="0" w:noVBand="1"/>
      </w:tblPr>
      <w:tblGrid>
        <w:gridCol w:w="390"/>
        <w:gridCol w:w="1367"/>
        <w:gridCol w:w="1025"/>
        <w:gridCol w:w="2392"/>
        <w:gridCol w:w="2394"/>
        <w:gridCol w:w="2392"/>
      </w:tblGrid>
      <w:tr w:rsidR="00A571F9">
        <w:trPr>
          <w:trHeight w:val="1034"/>
        </w:trPr>
        <w:tc>
          <w:tcPr>
            <w:tcW w:w="9960" w:type="dxa"/>
            <w:gridSpan w:val="6"/>
            <w:tcMar>
              <w:top w:w="15" w:type="dxa"/>
              <w:left w:w="15" w:type="dxa"/>
              <w:bottom w:w="0" w:type="dxa"/>
              <w:right w:w="15" w:type="dxa"/>
            </w:tcMar>
            <w:vAlign w:val="center"/>
          </w:tcPr>
          <w:p w:rsidR="00A571F9" w:rsidRDefault="004911A9">
            <w:pPr>
              <w:pStyle w:val="a9"/>
              <w:widowControl/>
              <w:ind w:leftChars="1310" w:left="4173" w:hangingChars="395" w:hanging="1422"/>
              <w:textAlignment w:val="center"/>
              <w:rPr>
                <w:rFonts w:ascii="宋体" w:hAnsi="宋体" w:cs="宋体"/>
                <w:color w:val="000000"/>
                <w:sz w:val="36"/>
                <w:szCs w:val="36"/>
              </w:rPr>
            </w:pPr>
            <w:r>
              <w:rPr>
                <w:rFonts w:ascii="黑体" w:eastAsia="黑体" w:hAnsi="黑体" w:cs="宋体" w:hint="eastAsia"/>
                <w:bCs/>
                <w:color w:val="000000"/>
                <w:kern w:val="0"/>
                <w:sz w:val="36"/>
                <w:szCs w:val="36"/>
              </w:rPr>
              <w:t>项目支出绩效目标完成情况表</w:t>
            </w:r>
            <w:r>
              <w:rPr>
                <w:rFonts w:ascii="宋体" w:hAnsi="宋体" w:cs="宋体" w:hint="eastAsia"/>
                <w:b/>
                <w:bCs/>
                <w:color w:val="000000"/>
                <w:kern w:val="0"/>
                <w:sz w:val="36"/>
                <w:szCs w:val="36"/>
              </w:rPr>
              <w:br/>
            </w:r>
            <w:r>
              <w:rPr>
                <w:rFonts w:ascii="宋体" w:hAnsi="宋体" w:cs="宋体" w:hint="eastAsia"/>
                <w:color w:val="000000"/>
                <w:kern w:val="0"/>
                <w:sz w:val="36"/>
                <w:szCs w:val="36"/>
              </w:rPr>
              <w:t>(2018 年度)</w:t>
            </w:r>
          </w:p>
        </w:tc>
      </w:tr>
      <w:tr w:rsidR="00A571F9">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服装费</w:t>
            </w:r>
          </w:p>
        </w:tc>
      </w:tr>
      <w:tr w:rsidR="00A571F9">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lastRenderedPageBreak/>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四川省攀枝花市中级人民法院</w:t>
            </w:r>
          </w:p>
        </w:tc>
      </w:tr>
      <w:tr w:rsidR="00A571F9">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预算执行情况(万元)</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预算数: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3</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执行数: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3</w:t>
            </w:r>
          </w:p>
        </w:tc>
      </w:tr>
      <w:tr w:rsidR="00A571F9">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A571F9" w:rsidRDefault="00A571F9">
            <w:pPr>
              <w:widowControl/>
              <w:jc w:val="left"/>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3</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3</w:t>
            </w:r>
          </w:p>
        </w:tc>
      </w:tr>
      <w:tr w:rsidR="00A571F9">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tcPr>
          <w:p w:rsidR="00A571F9" w:rsidRDefault="00A571F9">
            <w:pPr>
              <w:widowControl/>
              <w:jc w:val="left"/>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A571F9">
            <w:pPr>
              <w:jc w:val="center"/>
              <w:rPr>
                <w:rFonts w:ascii="宋体" w:hAnsi="宋体" w:cs="宋体"/>
                <w:color w:val="000000"/>
                <w:sz w:val="24"/>
              </w:rPr>
            </w:pPr>
          </w:p>
        </w:tc>
      </w:tr>
      <w:tr w:rsidR="00A571F9">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实际完成目标</w:t>
            </w:r>
          </w:p>
        </w:tc>
      </w:tr>
      <w:tr w:rsidR="00A571F9">
        <w:trPr>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tcPr>
          <w:p w:rsidR="00A571F9" w:rsidRDefault="00A571F9">
            <w:pPr>
              <w:widowControl/>
              <w:jc w:val="left"/>
              <w:rPr>
                <w:rFonts w:ascii="宋体" w:hAnsi="宋体"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满足我院干警全省统一的着装的要求，满足新入职职工人员着装及部分到年限需换装职工的着装费用。</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满足我院干警全省统一的着装的要求，满足新入职职工人员着装及部分到年限需换装职工的着装费用。</w:t>
            </w:r>
          </w:p>
        </w:tc>
      </w:tr>
      <w:tr w:rsidR="00A571F9">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预期指标值(包含数字及文字描述)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实际完成指标值(包含数字及文字描述)</w:t>
            </w:r>
          </w:p>
        </w:tc>
      </w:tr>
      <w:tr w:rsidR="00A571F9">
        <w:trPr>
          <w:trHeight w:val="659"/>
        </w:trPr>
        <w:tc>
          <w:tcPr>
            <w:tcW w:w="390" w:type="dxa"/>
            <w:vMerge/>
            <w:tcBorders>
              <w:top w:val="single" w:sz="4" w:space="0" w:color="000000"/>
              <w:left w:val="single" w:sz="4" w:space="0" w:color="000000"/>
              <w:bottom w:val="single" w:sz="4" w:space="0" w:color="000000"/>
              <w:right w:val="single" w:sz="4" w:space="0" w:color="000000"/>
            </w:tcBorders>
            <w:vAlign w:val="center"/>
          </w:tcPr>
          <w:p w:rsidR="00A571F9" w:rsidRDefault="00A571F9">
            <w:pPr>
              <w:widowControl/>
              <w:jc w:val="left"/>
              <w:rPr>
                <w:rFonts w:ascii="宋体" w:hAnsi="宋体" w:cs="宋体"/>
                <w:color w:val="000000"/>
                <w:sz w:val="24"/>
              </w:rPr>
            </w:pPr>
          </w:p>
        </w:tc>
        <w:tc>
          <w:tcPr>
            <w:tcW w:w="1367"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25"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着装人数</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130人</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我院职工全员着装，共计157人</w:t>
            </w:r>
          </w:p>
        </w:tc>
      </w:tr>
      <w:tr w:rsidR="00A571F9">
        <w:trPr>
          <w:trHeight w:val="981"/>
        </w:trPr>
        <w:tc>
          <w:tcPr>
            <w:tcW w:w="390" w:type="dxa"/>
            <w:vMerge/>
            <w:tcBorders>
              <w:top w:val="single" w:sz="4" w:space="0" w:color="000000"/>
              <w:left w:val="single" w:sz="4" w:space="0" w:color="000000"/>
              <w:bottom w:val="single" w:sz="4" w:space="0" w:color="000000"/>
              <w:right w:val="single" w:sz="4" w:space="0" w:color="000000"/>
            </w:tcBorders>
            <w:vAlign w:val="center"/>
          </w:tcPr>
          <w:p w:rsidR="00A571F9" w:rsidRDefault="00A571F9">
            <w:pPr>
              <w:widowControl/>
              <w:jc w:val="left"/>
              <w:rPr>
                <w:rFonts w:ascii="宋体" w:hAnsi="宋体" w:cs="宋体"/>
                <w:color w:val="000000"/>
                <w:sz w:val="24"/>
              </w:rPr>
            </w:pPr>
          </w:p>
        </w:tc>
        <w:tc>
          <w:tcPr>
            <w:tcW w:w="1367" w:type="dxa"/>
            <w:vMerge/>
            <w:tcBorders>
              <w:left w:val="single" w:sz="4" w:space="0" w:color="000000"/>
              <w:right w:val="single" w:sz="4" w:space="0" w:color="000000"/>
            </w:tcBorders>
            <w:tcMar>
              <w:top w:w="15" w:type="dxa"/>
              <w:left w:w="15" w:type="dxa"/>
              <w:bottom w:w="0" w:type="dxa"/>
              <w:right w:w="15" w:type="dxa"/>
            </w:tcMar>
            <w:vAlign w:val="center"/>
          </w:tcPr>
          <w:p w:rsidR="00A571F9" w:rsidRDefault="00A571F9">
            <w:pPr>
              <w:widowControl/>
              <w:jc w:val="center"/>
              <w:textAlignment w:val="center"/>
              <w:rPr>
                <w:rFonts w:ascii="宋体" w:hAnsi="宋体" w:cs="宋体"/>
                <w:color w:val="000000"/>
                <w:kern w:val="0"/>
                <w:sz w:val="24"/>
              </w:rPr>
            </w:pPr>
          </w:p>
        </w:tc>
        <w:tc>
          <w:tcPr>
            <w:tcW w:w="1025" w:type="dxa"/>
            <w:vMerge/>
            <w:tcBorders>
              <w:left w:val="single" w:sz="4" w:space="0" w:color="000000"/>
              <w:right w:val="single" w:sz="4" w:space="0" w:color="000000"/>
            </w:tcBorders>
            <w:tcMar>
              <w:top w:w="15" w:type="dxa"/>
              <w:left w:w="15" w:type="dxa"/>
              <w:bottom w:w="0" w:type="dxa"/>
              <w:right w:w="15" w:type="dxa"/>
            </w:tcMar>
            <w:vAlign w:val="center"/>
          </w:tcPr>
          <w:p w:rsidR="00A571F9" w:rsidRDefault="00A571F9">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冬服数量</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每人1套以上</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按着装文件要求，每人一套冬服，现每人均有1套冬服</w:t>
            </w:r>
          </w:p>
        </w:tc>
      </w:tr>
      <w:tr w:rsidR="00A571F9">
        <w:trPr>
          <w:trHeight w:val="967"/>
        </w:trPr>
        <w:tc>
          <w:tcPr>
            <w:tcW w:w="390" w:type="dxa"/>
            <w:vMerge/>
            <w:tcBorders>
              <w:top w:val="single" w:sz="4" w:space="0" w:color="000000"/>
              <w:left w:val="single" w:sz="4" w:space="0" w:color="000000"/>
              <w:bottom w:val="single" w:sz="4" w:space="0" w:color="000000"/>
              <w:right w:val="single" w:sz="4" w:space="0" w:color="000000"/>
            </w:tcBorders>
            <w:vAlign w:val="center"/>
          </w:tcPr>
          <w:p w:rsidR="00A571F9" w:rsidRDefault="00A571F9">
            <w:pPr>
              <w:widowControl/>
              <w:jc w:val="left"/>
              <w:rPr>
                <w:rFonts w:ascii="宋体" w:hAnsi="宋体" w:cs="宋体"/>
                <w:color w:val="000000"/>
                <w:sz w:val="24"/>
              </w:rPr>
            </w:pPr>
          </w:p>
        </w:tc>
        <w:tc>
          <w:tcPr>
            <w:tcW w:w="1367" w:type="dxa"/>
            <w:vMerge/>
            <w:tcBorders>
              <w:left w:val="single" w:sz="4" w:space="0" w:color="000000"/>
              <w:right w:val="single" w:sz="4" w:space="0" w:color="000000"/>
            </w:tcBorders>
            <w:tcMar>
              <w:top w:w="15" w:type="dxa"/>
              <w:left w:w="15" w:type="dxa"/>
              <w:bottom w:w="0" w:type="dxa"/>
              <w:right w:w="15" w:type="dxa"/>
            </w:tcMar>
            <w:vAlign w:val="center"/>
          </w:tcPr>
          <w:p w:rsidR="00A571F9" w:rsidRDefault="00A571F9">
            <w:pPr>
              <w:widowControl/>
              <w:jc w:val="center"/>
              <w:textAlignment w:val="center"/>
              <w:rPr>
                <w:rFonts w:ascii="宋体" w:hAnsi="宋体" w:cs="宋体"/>
                <w:color w:val="000000"/>
                <w:kern w:val="0"/>
                <w:sz w:val="24"/>
              </w:rPr>
            </w:pPr>
          </w:p>
        </w:tc>
        <w:tc>
          <w:tcPr>
            <w:tcW w:w="1025" w:type="dxa"/>
            <w:vMerge/>
            <w:tcBorders>
              <w:left w:val="single" w:sz="4" w:space="0" w:color="000000"/>
              <w:right w:val="single" w:sz="4" w:space="0" w:color="000000"/>
            </w:tcBorders>
            <w:tcMar>
              <w:top w:w="15" w:type="dxa"/>
              <w:left w:w="15" w:type="dxa"/>
              <w:bottom w:w="0" w:type="dxa"/>
              <w:right w:w="15" w:type="dxa"/>
            </w:tcMar>
            <w:vAlign w:val="center"/>
          </w:tcPr>
          <w:p w:rsidR="00A571F9" w:rsidRDefault="00A571F9">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秋服数量</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每人1套以上</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按着装文件要求，每人一套秋服，现每人均有1套秋服</w:t>
            </w:r>
          </w:p>
        </w:tc>
      </w:tr>
      <w:tr w:rsidR="00A571F9">
        <w:trPr>
          <w:trHeight w:val="952"/>
        </w:trPr>
        <w:tc>
          <w:tcPr>
            <w:tcW w:w="390" w:type="dxa"/>
            <w:vMerge/>
            <w:tcBorders>
              <w:top w:val="single" w:sz="4" w:space="0" w:color="000000"/>
              <w:left w:val="single" w:sz="4" w:space="0" w:color="000000"/>
              <w:bottom w:val="single" w:sz="4" w:space="0" w:color="000000"/>
              <w:right w:val="single" w:sz="4" w:space="0" w:color="000000"/>
            </w:tcBorders>
            <w:vAlign w:val="center"/>
          </w:tcPr>
          <w:p w:rsidR="00A571F9" w:rsidRDefault="00A571F9">
            <w:pPr>
              <w:widowControl/>
              <w:jc w:val="left"/>
              <w:rPr>
                <w:rFonts w:ascii="宋体" w:hAnsi="宋体" w:cs="宋体"/>
                <w:color w:val="000000"/>
                <w:sz w:val="24"/>
              </w:rPr>
            </w:pPr>
          </w:p>
        </w:tc>
        <w:tc>
          <w:tcPr>
            <w:tcW w:w="1367"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A571F9">
            <w:pPr>
              <w:widowControl/>
              <w:jc w:val="center"/>
              <w:textAlignment w:val="center"/>
              <w:rPr>
                <w:rFonts w:ascii="宋体" w:hAnsi="宋体" w:cs="宋体"/>
                <w:color w:val="000000"/>
                <w:kern w:val="0"/>
                <w:sz w:val="24"/>
              </w:rPr>
            </w:pPr>
          </w:p>
        </w:tc>
        <w:tc>
          <w:tcPr>
            <w:tcW w:w="1025"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A571F9">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夏服数量</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每人2套以上</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按着装文件要求，每人2套夏服，现每人均有2套夏服</w:t>
            </w:r>
          </w:p>
        </w:tc>
      </w:tr>
      <w:tr w:rsidR="00A571F9">
        <w:trPr>
          <w:trHeight w:val="683"/>
        </w:trPr>
        <w:tc>
          <w:tcPr>
            <w:tcW w:w="390" w:type="dxa"/>
            <w:vMerge/>
            <w:tcBorders>
              <w:top w:val="single" w:sz="4" w:space="0" w:color="000000"/>
              <w:left w:val="single" w:sz="4" w:space="0" w:color="000000"/>
              <w:bottom w:val="single" w:sz="4" w:space="0" w:color="000000"/>
              <w:right w:val="single" w:sz="4" w:space="0" w:color="000000"/>
            </w:tcBorders>
            <w:vAlign w:val="center"/>
          </w:tcPr>
          <w:p w:rsidR="00A571F9" w:rsidRDefault="00A571F9">
            <w:pPr>
              <w:widowControl/>
              <w:jc w:val="left"/>
              <w:rPr>
                <w:rFonts w:ascii="宋体" w:hAnsi="宋体" w:cs="宋体"/>
                <w:color w:val="000000"/>
                <w:sz w:val="24"/>
              </w:rPr>
            </w:pPr>
          </w:p>
        </w:tc>
        <w:tc>
          <w:tcPr>
            <w:tcW w:w="1367"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25"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法院干警着装率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100%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我院职工现已全部着装</w:t>
            </w:r>
          </w:p>
        </w:tc>
      </w:tr>
      <w:tr w:rsidR="00A571F9">
        <w:trPr>
          <w:trHeight w:val="976"/>
        </w:trPr>
        <w:tc>
          <w:tcPr>
            <w:tcW w:w="390" w:type="dxa"/>
            <w:vMerge/>
            <w:tcBorders>
              <w:top w:val="single" w:sz="4" w:space="0" w:color="000000"/>
              <w:left w:val="single" w:sz="4" w:space="0" w:color="000000"/>
              <w:bottom w:val="single" w:sz="4" w:space="0" w:color="000000"/>
              <w:right w:val="single" w:sz="4" w:space="0" w:color="000000"/>
            </w:tcBorders>
            <w:vAlign w:val="center"/>
          </w:tcPr>
          <w:p w:rsidR="00A571F9" w:rsidRDefault="00A571F9">
            <w:pPr>
              <w:widowControl/>
              <w:jc w:val="left"/>
              <w:rPr>
                <w:rFonts w:ascii="宋体" w:hAnsi="宋体" w:cs="宋体"/>
                <w:color w:val="000000"/>
                <w:sz w:val="24"/>
              </w:rPr>
            </w:pPr>
          </w:p>
        </w:tc>
        <w:tc>
          <w:tcPr>
            <w:tcW w:w="1367" w:type="dxa"/>
            <w:vMerge/>
            <w:tcBorders>
              <w:left w:val="single" w:sz="4" w:space="0" w:color="000000"/>
              <w:right w:val="single" w:sz="4" w:space="0" w:color="000000"/>
            </w:tcBorders>
            <w:tcMar>
              <w:top w:w="15" w:type="dxa"/>
              <w:left w:w="15" w:type="dxa"/>
              <w:bottom w:w="0" w:type="dxa"/>
              <w:right w:w="15" w:type="dxa"/>
            </w:tcMar>
            <w:vAlign w:val="center"/>
          </w:tcPr>
          <w:p w:rsidR="00A571F9" w:rsidRDefault="00A571F9">
            <w:pPr>
              <w:widowControl/>
              <w:jc w:val="center"/>
              <w:textAlignment w:val="center"/>
              <w:rPr>
                <w:rFonts w:ascii="宋体" w:hAnsi="宋体" w:cs="宋体"/>
                <w:color w:val="000000"/>
                <w:kern w:val="0"/>
                <w:sz w:val="24"/>
              </w:rPr>
            </w:pPr>
          </w:p>
        </w:tc>
        <w:tc>
          <w:tcPr>
            <w:tcW w:w="1025" w:type="dxa"/>
            <w:vMerge/>
            <w:tcBorders>
              <w:left w:val="single" w:sz="4" w:space="0" w:color="000000"/>
              <w:right w:val="single" w:sz="4" w:space="0" w:color="000000"/>
            </w:tcBorders>
            <w:tcMar>
              <w:top w:w="15" w:type="dxa"/>
              <w:left w:w="15" w:type="dxa"/>
              <w:bottom w:w="0" w:type="dxa"/>
              <w:right w:w="15" w:type="dxa"/>
            </w:tcMar>
            <w:vAlign w:val="center"/>
          </w:tcPr>
          <w:p w:rsidR="00A571F9" w:rsidRDefault="00A571F9">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服装质量合率（省法院统一采购）</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100%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省高院统一采购的服装质量合格，通过质量验收</w:t>
            </w:r>
          </w:p>
        </w:tc>
      </w:tr>
      <w:tr w:rsidR="00A571F9">
        <w:trPr>
          <w:trHeight w:val="679"/>
        </w:trPr>
        <w:tc>
          <w:tcPr>
            <w:tcW w:w="390" w:type="dxa"/>
            <w:vMerge/>
            <w:tcBorders>
              <w:top w:val="single" w:sz="4" w:space="0" w:color="000000"/>
              <w:left w:val="single" w:sz="4" w:space="0" w:color="000000"/>
              <w:bottom w:val="single" w:sz="4" w:space="0" w:color="000000"/>
              <w:right w:val="single" w:sz="4" w:space="0" w:color="000000"/>
            </w:tcBorders>
            <w:vAlign w:val="center"/>
          </w:tcPr>
          <w:p w:rsidR="00A571F9" w:rsidRDefault="00A571F9">
            <w:pPr>
              <w:widowControl/>
              <w:jc w:val="left"/>
              <w:rPr>
                <w:rFonts w:ascii="宋体" w:hAnsi="宋体" w:cs="宋体"/>
                <w:color w:val="000000"/>
                <w:sz w:val="24"/>
              </w:rPr>
            </w:pPr>
          </w:p>
        </w:tc>
        <w:tc>
          <w:tcPr>
            <w:tcW w:w="1367"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A571F9">
            <w:pPr>
              <w:widowControl/>
              <w:jc w:val="center"/>
              <w:textAlignment w:val="center"/>
              <w:rPr>
                <w:rFonts w:ascii="宋体" w:hAnsi="宋体" w:cs="宋体"/>
                <w:color w:val="000000"/>
                <w:kern w:val="0"/>
                <w:sz w:val="24"/>
              </w:rPr>
            </w:pPr>
          </w:p>
        </w:tc>
        <w:tc>
          <w:tcPr>
            <w:tcW w:w="1025"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A571F9">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服装配套徽章配套率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100%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按照着装要求，均全部配置法徽领带</w:t>
            </w:r>
          </w:p>
        </w:tc>
      </w:tr>
      <w:tr w:rsidR="00A571F9">
        <w:trPr>
          <w:trHeight w:val="675"/>
        </w:trPr>
        <w:tc>
          <w:tcPr>
            <w:tcW w:w="390" w:type="dxa"/>
            <w:vMerge/>
            <w:tcBorders>
              <w:top w:val="single" w:sz="4" w:space="0" w:color="000000"/>
              <w:left w:val="single" w:sz="4" w:space="0" w:color="000000"/>
              <w:bottom w:val="single" w:sz="4" w:space="0" w:color="000000"/>
              <w:right w:val="single" w:sz="4" w:space="0" w:color="000000"/>
            </w:tcBorders>
            <w:vAlign w:val="center"/>
          </w:tcPr>
          <w:p w:rsidR="00A571F9" w:rsidRDefault="00A571F9">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及时着装换装（按全省统一要求）</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2018年完成换装工作</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换装工作已于2018年完成</w:t>
            </w:r>
          </w:p>
        </w:tc>
      </w:tr>
      <w:tr w:rsidR="00A571F9">
        <w:trPr>
          <w:trHeight w:val="416"/>
        </w:trPr>
        <w:tc>
          <w:tcPr>
            <w:tcW w:w="390" w:type="dxa"/>
            <w:vMerge/>
            <w:tcBorders>
              <w:top w:val="single" w:sz="4" w:space="0" w:color="000000"/>
              <w:left w:val="single" w:sz="4" w:space="0" w:color="000000"/>
              <w:bottom w:val="single" w:sz="4" w:space="0" w:color="000000"/>
              <w:right w:val="single" w:sz="4" w:space="0" w:color="000000"/>
            </w:tcBorders>
            <w:vAlign w:val="center"/>
          </w:tcPr>
          <w:p w:rsidR="00A571F9" w:rsidRDefault="00A571F9">
            <w:pPr>
              <w:widowControl/>
              <w:jc w:val="left"/>
              <w:rPr>
                <w:rFonts w:ascii="宋体" w:hAnsi="宋体" w:cs="宋体"/>
                <w:color w:val="000000"/>
                <w:sz w:val="24"/>
              </w:rPr>
            </w:pPr>
          </w:p>
        </w:tc>
        <w:tc>
          <w:tcPr>
            <w:tcW w:w="1367"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kern w:val="0"/>
                <w:sz w:val="24"/>
              </w:rPr>
            </w:pPr>
            <w:r>
              <w:rPr>
                <w:rFonts w:ascii="宋体" w:hAnsi="宋体" w:cs="宋体" w:hint="eastAsia"/>
                <w:color w:val="000000"/>
                <w:kern w:val="0"/>
                <w:sz w:val="24"/>
              </w:rPr>
              <w:t>项目完成指</w:t>
            </w:r>
            <w:r>
              <w:rPr>
                <w:rFonts w:ascii="宋体" w:hAnsi="宋体" w:cs="宋体" w:hint="eastAsia"/>
                <w:color w:val="000000"/>
                <w:kern w:val="0"/>
                <w:sz w:val="24"/>
              </w:rPr>
              <w:lastRenderedPageBreak/>
              <w:t>标</w:t>
            </w:r>
          </w:p>
        </w:tc>
        <w:tc>
          <w:tcPr>
            <w:tcW w:w="1025"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lastRenderedPageBreak/>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职工服装购置成本</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2.7</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服装购置费用2.7万元</w:t>
            </w:r>
          </w:p>
        </w:tc>
      </w:tr>
      <w:tr w:rsidR="00A571F9">
        <w:trPr>
          <w:trHeight w:val="677"/>
        </w:trPr>
        <w:tc>
          <w:tcPr>
            <w:tcW w:w="390" w:type="dxa"/>
            <w:vMerge/>
            <w:tcBorders>
              <w:top w:val="single" w:sz="4" w:space="0" w:color="000000"/>
              <w:left w:val="single" w:sz="4" w:space="0" w:color="000000"/>
              <w:bottom w:val="single" w:sz="4" w:space="0" w:color="000000"/>
              <w:right w:val="single" w:sz="4" w:space="0" w:color="000000"/>
            </w:tcBorders>
            <w:vAlign w:val="center"/>
          </w:tcPr>
          <w:p w:rsidR="00A571F9" w:rsidRDefault="00A571F9">
            <w:pPr>
              <w:widowControl/>
              <w:jc w:val="left"/>
              <w:rPr>
                <w:rFonts w:ascii="宋体" w:hAnsi="宋体" w:cs="宋体"/>
                <w:color w:val="000000"/>
                <w:sz w:val="24"/>
              </w:rPr>
            </w:pPr>
          </w:p>
        </w:tc>
        <w:tc>
          <w:tcPr>
            <w:tcW w:w="1367" w:type="dxa"/>
            <w:vMerge/>
            <w:tcBorders>
              <w:left w:val="single" w:sz="4" w:space="0" w:color="000000"/>
              <w:right w:val="single" w:sz="4" w:space="0" w:color="000000"/>
            </w:tcBorders>
            <w:tcMar>
              <w:top w:w="15" w:type="dxa"/>
              <w:left w:w="15" w:type="dxa"/>
              <w:bottom w:w="0" w:type="dxa"/>
              <w:right w:w="15" w:type="dxa"/>
            </w:tcMar>
            <w:vAlign w:val="center"/>
          </w:tcPr>
          <w:p w:rsidR="00A571F9" w:rsidRDefault="00A571F9">
            <w:pPr>
              <w:jc w:val="center"/>
              <w:textAlignment w:val="center"/>
              <w:rPr>
                <w:rFonts w:ascii="宋体" w:hAnsi="宋体" w:cs="宋体"/>
                <w:color w:val="000000"/>
                <w:sz w:val="24"/>
              </w:rPr>
            </w:pPr>
          </w:p>
        </w:tc>
        <w:tc>
          <w:tcPr>
            <w:tcW w:w="1025" w:type="dxa"/>
            <w:vMerge/>
            <w:tcBorders>
              <w:left w:val="single" w:sz="4" w:space="0" w:color="000000"/>
              <w:right w:val="single" w:sz="4" w:space="0" w:color="000000"/>
            </w:tcBorders>
            <w:tcMar>
              <w:top w:w="15" w:type="dxa"/>
              <w:left w:w="15" w:type="dxa"/>
              <w:bottom w:w="0" w:type="dxa"/>
              <w:right w:w="15" w:type="dxa"/>
            </w:tcMar>
            <w:vAlign w:val="center"/>
          </w:tcPr>
          <w:p w:rsidR="00A571F9" w:rsidRDefault="00A571F9">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服装配套徽章、领带等</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0.2</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服装配套的徽章领带费用0.2万元</w:t>
            </w:r>
          </w:p>
        </w:tc>
      </w:tr>
      <w:tr w:rsidR="00A571F9">
        <w:trPr>
          <w:trHeight w:val="404"/>
        </w:trPr>
        <w:tc>
          <w:tcPr>
            <w:tcW w:w="390" w:type="dxa"/>
            <w:vMerge/>
            <w:tcBorders>
              <w:top w:val="single" w:sz="4" w:space="0" w:color="000000"/>
              <w:left w:val="single" w:sz="4" w:space="0" w:color="000000"/>
              <w:bottom w:val="single" w:sz="4" w:space="0" w:color="000000"/>
              <w:right w:val="single" w:sz="4" w:space="0" w:color="000000"/>
            </w:tcBorders>
            <w:vAlign w:val="center"/>
          </w:tcPr>
          <w:p w:rsidR="00A571F9" w:rsidRDefault="00A571F9">
            <w:pPr>
              <w:widowControl/>
              <w:jc w:val="left"/>
              <w:rPr>
                <w:rFonts w:ascii="宋体" w:hAnsi="宋体" w:cs="宋体"/>
                <w:color w:val="000000"/>
                <w:sz w:val="24"/>
              </w:rPr>
            </w:pPr>
          </w:p>
        </w:tc>
        <w:tc>
          <w:tcPr>
            <w:tcW w:w="1367"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A571F9">
            <w:pPr>
              <w:widowControl/>
              <w:jc w:val="center"/>
              <w:textAlignment w:val="center"/>
              <w:rPr>
                <w:rFonts w:ascii="宋体" w:hAnsi="宋体" w:cs="宋体"/>
                <w:color w:val="000000"/>
                <w:sz w:val="24"/>
              </w:rPr>
            </w:pPr>
          </w:p>
        </w:tc>
        <w:tc>
          <w:tcPr>
            <w:tcW w:w="1025"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A571F9">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运输成本、配发成本</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0.1</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服装运输成本0.1万元</w:t>
            </w:r>
          </w:p>
        </w:tc>
      </w:tr>
      <w:tr w:rsidR="00A571F9">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A571F9" w:rsidRDefault="00A571F9">
            <w:pPr>
              <w:widowControl/>
              <w:jc w:val="left"/>
              <w:rPr>
                <w:rFonts w:ascii="宋体" w:hAnsi="宋体" w:cs="宋体"/>
                <w:color w:val="000000"/>
                <w:sz w:val="24"/>
              </w:rPr>
            </w:pPr>
          </w:p>
        </w:tc>
        <w:tc>
          <w:tcPr>
            <w:tcW w:w="1367"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社会效益</w:t>
            </w:r>
            <w:r>
              <w:rPr>
                <w:rFonts w:ascii="宋体" w:hAnsi="宋体" w:cs="宋体" w:hint="eastAsia"/>
                <w:color w:val="000000"/>
                <w:sz w:val="24"/>
              </w:rPr>
              <w:br/>
              <w:t>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textAlignment w:val="center"/>
              <w:rPr>
                <w:rFonts w:ascii="宋体" w:hAnsi="宋体" w:cs="宋体"/>
                <w:color w:val="000000"/>
                <w:sz w:val="24"/>
              </w:rPr>
            </w:pPr>
            <w:r>
              <w:rPr>
                <w:rFonts w:ascii="宋体" w:hAnsi="宋体" w:cs="宋体" w:hint="eastAsia"/>
                <w:color w:val="000000"/>
                <w:sz w:val="24"/>
              </w:rPr>
              <w:t>提供良好履职基础，服务社会发展能力。</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有所提升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统一着装能给当事人法院专业的印象，提供良好的履职基础</w:t>
            </w:r>
          </w:p>
        </w:tc>
      </w:tr>
      <w:tr w:rsidR="00A571F9">
        <w:trPr>
          <w:trHeight w:val="751"/>
        </w:trPr>
        <w:tc>
          <w:tcPr>
            <w:tcW w:w="390" w:type="dxa"/>
            <w:vMerge/>
            <w:tcBorders>
              <w:top w:val="single" w:sz="4" w:space="0" w:color="000000"/>
              <w:left w:val="single" w:sz="4" w:space="0" w:color="000000"/>
              <w:bottom w:val="single" w:sz="4" w:space="0" w:color="000000"/>
              <w:right w:val="single" w:sz="4" w:space="0" w:color="000000"/>
            </w:tcBorders>
            <w:vAlign w:val="center"/>
          </w:tcPr>
          <w:p w:rsidR="00A571F9" w:rsidRDefault="00A571F9">
            <w:pPr>
              <w:widowControl/>
              <w:jc w:val="left"/>
              <w:rPr>
                <w:rFonts w:ascii="宋体" w:hAnsi="宋体" w:cs="宋体"/>
                <w:color w:val="000000"/>
                <w:sz w:val="24"/>
              </w:rPr>
            </w:pPr>
          </w:p>
        </w:tc>
        <w:tc>
          <w:tcPr>
            <w:tcW w:w="1367"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A571F9">
            <w:pPr>
              <w:widowControl/>
              <w:jc w:val="center"/>
              <w:textAlignment w:val="center"/>
              <w:rPr>
                <w:rFonts w:ascii="宋体" w:hAnsi="宋体" w:cs="宋体"/>
                <w:color w:val="000000"/>
                <w:sz w:val="24"/>
              </w:rPr>
            </w:pP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可持续影响指标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textAlignment w:val="center"/>
              <w:rPr>
                <w:rFonts w:ascii="宋体" w:hAnsi="宋体" w:cs="宋体"/>
                <w:color w:val="000000"/>
                <w:sz w:val="24"/>
              </w:rPr>
            </w:pPr>
            <w:r>
              <w:rPr>
                <w:rFonts w:ascii="宋体" w:hAnsi="宋体" w:cs="宋体" w:hint="eastAsia"/>
                <w:color w:val="000000"/>
                <w:sz w:val="24"/>
              </w:rPr>
              <w:t>保障法院运行，维护法院形象</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长效</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统一着装维护法院形象</w:t>
            </w:r>
          </w:p>
        </w:tc>
      </w:tr>
      <w:tr w:rsidR="00A571F9">
        <w:trPr>
          <w:trHeight w:val="543"/>
        </w:trPr>
        <w:tc>
          <w:tcPr>
            <w:tcW w:w="390" w:type="dxa"/>
            <w:vMerge/>
            <w:tcBorders>
              <w:top w:val="single" w:sz="4" w:space="0" w:color="000000"/>
              <w:left w:val="single" w:sz="4" w:space="0" w:color="000000"/>
              <w:bottom w:val="single" w:sz="4" w:space="0" w:color="000000"/>
              <w:right w:val="single" w:sz="4" w:space="0" w:color="000000"/>
            </w:tcBorders>
            <w:vAlign w:val="center"/>
          </w:tcPr>
          <w:p w:rsidR="00A571F9" w:rsidRDefault="00A571F9">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职工满意度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100%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职工对新换服装满意</w:t>
            </w:r>
          </w:p>
        </w:tc>
      </w:tr>
    </w:tbl>
    <w:p w:rsidR="00A571F9" w:rsidRDefault="004911A9">
      <w:pPr>
        <w:numPr>
          <w:ilvl w:val="0"/>
          <w:numId w:val="4"/>
        </w:numPr>
        <w:spacing w:line="580" w:lineRule="exact"/>
        <w:rPr>
          <w:rFonts w:ascii="仿宋" w:eastAsia="仿宋" w:hAnsi="仿宋" w:cs="仿宋_GB2312"/>
          <w:sz w:val="32"/>
          <w:szCs w:val="32"/>
        </w:rPr>
      </w:pPr>
      <w:r>
        <w:rPr>
          <w:rFonts w:ascii="仿宋" w:eastAsia="仿宋" w:hAnsi="仿宋" w:cs="仿宋_GB2312" w:hint="eastAsia"/>
          <w:sz w:val="32"/>
          <w:szCs w:val="32"/>
        </w:rPr>
        <w:t>司法调解经费项目绩效目标完成情况综述。项目全年预算数0.9万元，执行数为0.9万元，完成预算的100%。通过项目实施，做好法院调解工作，维护社会稳定，化解社会矛盾。发现的主要问题：项目部分事项编制不够精确，下达的金额与实际支付的有很大差距。下一步改进措施：</w:t>
      </w:r>
      <w:r>
        <w:rPr>
          <w:rStyle w:val="1Char"/>
          <w:rFonts w:ascii="仿宋" w:eastAsia="仿宋" w:hAnsi="仿宋" w:cs="仿宋_GB2312" w:hint="eastAsia"/>
          <w:b w:val="0"/>
          <w:bCs w:val="0"/>
          <w:kern w:val="2"/>
          <w:sz w:val="32"/>
          <w:szCs w:val="32"/>
        </w:rPr>
        <w:t>加强各业务庭室和财务部门的沟通和整合，细化预算编制，提高预算编制科学性。</w:t>
      </w:r>
    </w:p>
    <w:tbl>
      <w:tblPr>
        <w:tblpPr w:leftFromText="180" w:rightFromText="180" w:vertAnchor="text" w:horzAnchor="page" w:tblpXSpec="center" w:tblpY="423"/>
        <w:tblOverlap w:val="never"/>
        <w:tblW w:w="9960" w:type="dxa"/>
        <w:tblLayout w:type="fixed"/>
        <w:tblCellMar>
          <w:left w:w="0" w:type="dxa"/>
          <w:right w:w="0" w:type="dxa"/>
        </w:tblCellMar>
        <w:tblLook w:val="04A0" w:firstRow="1" w:lastRow="0" w:firstColumn="1" w:lastColumn="0" w:noHBand="0" w:noVBand="1"/>
      </w:tblPr>
      <w:tblGrid>
        <w:gridCol w:w="390"/>
        <w:gridCol w:w="1367"/>
        <w:gridCol w:w="1025"/>
        <w:gridCol w:w="2392"/>
        <w:gridCol w:w="2394"/>
        <w:gridCol w:w="2392"/>
      </w:tblGrid>
      <w:tr w:rsidR="00A571F9">
        <w:trPr>
          <w:trHeight w:val="1034"/>
        </w:trPr>
        <w:tc>
          <w:tcPr>
            <w:tcW w:w="9960" w:type="dxa"/>
            <w:gridSpan w:val="6"/>
            <w:tcMar>
              <w:top w:w="15" w:type="dxa"/>
              <w:left w:w="15" w:type="dxa"/>
              <w:bottom w:w="0" w:type="dxa"/>
              <w:right w:w="15" w:type="dxa"/>
            </w:tcMar>
            <w:vAlign w:val="center"/>
          </w:tcPr>
          <w:p w:rsidR="00A571F9" w:rsidRDefault="004911A9">
            <w:pPr>
              <w:pStyle w:val="a9"/>
              <w:widowControl/>
              <w:ind w:leftChars="1310" w:left="4173" w:hangingChars="395" w:hanging="1422"/>
              <w:textAlignment w:val="center"/>
              <w:rPr>
                <w:rFonts w:ascii="宋体" w:hAnsi="宋体" w:cs="宋体"/>
                <w:color w:val="000000"/>
                <w:sz w:val="36"/>
                <w:szCs w:val="36"/>
              </w:rPr>
            </w:pPr>
            <w:r>
              <w:rPr>
                <w:rFonts w:ascii="黑体" w:eastAsia="黑体" w:hAnsi="黑体" w:cs="宋体" w:hint="eastAsia"/>
                <w:bCs/>
                <w:color w:val="000000"/>
                <w:kern w:val="0"/>
                <w:sz w:val="36"/>
                <w:szCs w:val="36"/>
              </w:rPr>
              <w:t>项目支出绩效目标完成情况表</w:t>
            </w:r>
            <w:r>
              <w:rPr>
                <w:rFonts w:ascii="宋体" w:hAnsi="宋体" w:cs="宋体" w:hint="eastAsia"/>
                <w:b/>
                <w:bCs/>
                <w:color w:val="000000"/>
                <w:kern w:val="0"/>
                <w:sz w:val="36"/>
                <w:szCs w:val="36"/>
              </w:rPr>
              <w:br/>
            </w:r>
            <w:r>
              <w:rPr>
                <w:rFonts w:ascii="宋体" w:hAnsi="宋体" w:cs="宋体" w:hint="eastAsia"/>
                <w:color w:val="000000"/>
                <w:kern w:val="0"/>
                <w:sz w:val="36"/>
                <w:szCs w:val="36"/>
              </w:rPr>
              <w:t>(2018 年度)</w:t>
            </w:r>
          </w:p>
        </w:tc>
      </w:tr>
      <w:tr w:rsidR="00A571F9">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司法调解经费</w:t>
            </w:r>
          </w:p>
        </w:tc>
      </w:tr>
      <w:tr w:rsidR="00A571F9">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四川省攀枝花市中级人民法院</w:t>
            </w:r>
          </w:p>
        </w:tc>
      </w:tr>
      <w:tr w:rsidR="00A571F9">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预算执行情况(万元)</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预算数: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0.9</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执行数: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0.9</w:t>
            </w:r>
          </w:p>
        </w:tc>
      </w:tr>
      <w:tr w:rsidR="00A571F9">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A571F9" w:rsidRDefault="00A571F9">
            <w:pPr>
              <w:widowControl/>
              <w:jc w:val="left"/>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0.9</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0.9</w:t>
            </w:r>
          </w:p>
        </w:tc>
      </w:tr>
      <w:tr w:rsidR="00A571F9">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tcPr>
          <w:p w:rsidR="00A571F9" w:rsidRDefault="00A571F9">
            <w:pPr>
              <w:widowControl/>
              <w:jc w:val="left"/>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A571F9">
            <w:pPr>
              <w:jc w:val="center"/>
              <w:rPr>
                <w:rFonts w:ascii="宋体" w:hAnsi="宋体" w:cs="宋体"/>
                <w:color w:val="000000"/>
                <w:sz w:val="24"/>
              </w:rPr>
            </w:pPr>
          </w:p>
        </w:tc>
      </w:tr>
      <w:tr w:rsidR="00A571F9">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年</w:t>
            </w:r>
            <w:r>
              <w:rPr>
                <w:rFonts w:ascii="宋体" w:hAnsi="宋体" w:cs="宋体" w:hint="eastAsia"/>
                <w:color w:val="000000"/>
                <w:kern w:val="0"/>
                <w:sz w:val="24"/>
              </w:rPr>
              <w:lastRenderedPageBreak/>
              <w:t>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lastRenderedPageBreak/>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实际完成目标</w:t>
            </w:r>
          </w:p>
        </w:tc>
      </w:tr>
      <w:tr w:rsidR="00A571F9">
        <w:trPr>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tcPr>
          <w:p w:rsidR="00A571F9" w:rsidRDefault="00A571F9">
            <w:pPr>
              <w:widowControl/>
              <w:jc w:val="left"/>
              <w:rPr>
                <w:rFonts w:ascii="宋体" w:hAnsi="宋体"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做好法院调解工作，维护社会稳定，化解社会矛盾。</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做好法院调解工作，维护社会稳定，化解社会矛盾。</w:t>
            </w:r>
          </w:p>
        </w:tc>
      </w:tr>
      <w:tr w:rsidR="00A571F9">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lastRenderedPageBreak/>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预期指标值(包含数字及文字描述)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实际完成指标值(包含数字及文字描述)</w:t>
            </w:r>
          </w:p>
        </w:tc>
      </w:tr>
      <w:tr w:rsidR="00A571F9">
        <w:trPr>
          <w:trHeight w:val="659"/>
        </w:trPr>
        <w:tc>
          <w:tcPr>
            <w:tcW w:w="390" w:type="dxa"/>
            <w:vMerge/>
            <w:tcBorders>
              <w:top w:val="single" w:sz="4" w:space="0" w:color="000000"/>
              <w:left w:val="single" w:sz="4" w:space="0" w:color="000000"/>
              <w:bottom w:val="single" w:sz="4" w:space="0" w:color="000000"/>
              <w:right w:val="single" w:sz="4" w:space="0" w:color="000000"/>
            </w:tcBorders>
            <w:vAlign w:val="center"/>
          </w:tcPr>
          <w:p w:rsidR="00A571F9" w:rsidRDefault="00A571F9">
            <w:pPr>
              <w:widowControl/>
              <w:jc w:val="left"/>
              <w:rPr>
                <w:rFonts w:ascii="宋体" w:hAnsi="宋体" w:cs="宋体"/>
                <w:color w:val="000000"/>
                <w:sz w:val="24"/>
              </w:rPr>
            </w:pPr>
          </w:p>
        </w:tc>
        <w:tc>
          <w:tcPr>
            <w:tcW w:w="1367"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25"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司法调解法官人数</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37人</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司法调解法官人数37人</w:t>
            </w:r>
          </w:p>
        </w:tc>
      </w:tr>
      <w:tr w:rsidR="00A571F9">
        <w:trPr>
          <w:trHeight w:val="444"/>
        </w:trPr>
        <w:tc>
          <w:tcPr>
            <w:tcW w:w="390" w:type="dxa"/>
            <w:vMerge/>
            <w:tcBorders>
              <w:top w:val="single" w:sz="4" w:space="0" w:color="000000"/>
              <w:left w:val="single" w:sz="4" w:space="0" w:color="000000"/>
              <w:bottom w:val="single" w:sz="4" w:space="0" w:color="000000"/>
              <w:right w:val="single" w:sz="4" w:space="0" w:color="000000"/>
            </w:tcBorders>
            <w:vAlign w:val="center"/>
          </w:tcPr>
          <w:p w:rsidR="00A571F9" w:rsidRDefault="00A571F9">
            <w:pPr>
              <w:widowControl/>
              <w:jc w:val="left"/>
              <w:rPr>
                <w:rFonts w:ascii="宋体" w:hAnsi="宋体" w:cs="宋体"/>
                <w:color w:val="000000"/>
                <w:sz w:val="24"/>
              </w:rPr>
            </w:pPr>
          </w:p>
        </w:tc>
        <w:tc>
          <w:tcPr>
            <w:tcW w:w="1367"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A571F9">
            <w:pPr>
              <w:widowControl/>
              <w:jc w:val="center"/>
              <w:textAlignment w:val="center"/>
              <w:rPr>
                <w:rFonts w:ascii="宋体" w:hAnsi="宋体" w:cs="宋体"/>
                <w:color w:val="000000"/>
                <w:kern w:val="0"/>
                <w:sz w:val="24"/>
              </w:rPr>
            </w:pPr>
          </w:p>
        </w:tc>
        <w:tc>
          <w:tcPr>
            <w:tcW w:w="1025"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A571F9">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司法调解结案数量</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161件</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结案数185件</w:t>
            </w:r>
          </w:p>
        </w:tc>
      </w:tr>
      <w:tr w:rsidR="00A571F9">
        <w:trPr>
          <w:trHeight w:val="394"/>
        </w:trPr>
        <w:tc>
          <w:tcPr>
            <w:tcW w:w="390" w:type="dxa"/>
            <w:vMerge/>
            <w:tcBorders>
              <w:top w:val="single" w:sz="4" w:space="0" w:color="000000"/>
              <w:left w:val="single" w:sz="4" w:space="0" w:color="000000"/>
              <w:bottom w:val="single" w:sz="4" w:space="0" w:color="000000"/>
              <w:right w:val="single" w:sz="4" w:space="0" w:color="000000"/>
            </w:tcBorders>
            <w:vAlign w:val="center"/>
          </w:tcPr>
          <w:p w:rsidR="00A571F9" w:rsidRDefault="00A571F9">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kern w:val="0"/>
                <w:sz w:val="24"/>
              </w:rPr>
            </w:pPr>
            <w:r>
              <w:rPr>
                <w:rFonts w:ascii="宋体" w:hAnsi="宋体" w:cs="宋体" w:hint="eastAsia"/>
                <w:color w:val="000000"/>
                <w:kern w:val="0"/>
                <w:sz w:val="24"/>
              </w:rPr>
              <w:t>调解案件办结率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kern w:val="0"/>
                <w:sz w:val="24"/>
              </w:rPr>
            </w:pPr>
            <w:r>
              <w:rPr>
                <w:rFonts w:ascii="宋体" w:hAnsi="宋体" w:cs="宋体" w:hint="eastAsia"/>
                <w:color w:val="000000"/>
                <w:kern w:val="0"/>
                <w:sz w:val="24"/>
              </w:rPr>
              <w:t>≥95%</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kern w:val="0"/>
                <w:sz w:val="24"/>
              </w:rPr>
            </w:pPr>
            <w:r>
              <w:rPr>
                <w:rFonts w:ascii="宋体" w:hAnsi="宋体" w:cs="宋体" w:hint="eastAsia"/>
                <w:color w:val="000000"/>
                <w:kern w:val="0"/>
                <w:sz w:val="24"/>
              </w:rPr>
              <w:t>≥95%</w:t>
            </w:r>
          </w:p>
        </w:tc>
      </w:tr>
      <w:tr w:rsidR="00A571F9">
        <w:trPr>
          <w:trHeight w:val="543"/>
        </w:trPr>
        <w:tc>
          <w:tcPr>
            <w:tcW w:w="390" w:type="dxa"/>
            <w:vMerge/>
            <w:tcBorders>
              <w:top w:val="single" w:sz="4" w:space="0" w:color="000000"/>
              <w:left w:val="single" w:sz="4" w:space="0" w:color="000000"/>
              <w:bottom w:val="single" w:sz="4" w:space="0" w:color="000000"/>
              <w:right w:val="single" w:sz="4" w:space="0" w:color="000000"/>
            </w:tcBorders>
            <w:vAlign w:val="center"/>
          </w:tcPr>
          <w:p w:rsidR="00A571F9" w:rsidRDefault="00A571F9">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完成时间</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年内完成</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调解工作已支付完毕</w:t>
            </w:r>
          </w:p>
        </w:tc>
      </w:tr>
      <w:tr w:rsidR="00A571F9">
        <w:trPr>
          <w:trHeight w:val="416"/>
        </w:trPr>
        <w:tc>
          <w:tcPr>
            <w:tcW w:w="390" w:type="dxa"/>
            <w:vMerge/>
            <w:tcBorders>
              <w:top w:val="single" w:sz="4" w:space="0" w:color="000000"/>
              <w:left w:val="single" w:sz="4" w:space="0" w:color="000000"/>
              <w:bottom w:val="single" w:sz="4" w:space="0" w:color="000000"/>
              <w:right w:val="single" w:sz="4" w:space="0" w:color="000000"/>
            </w:tcBorders>
            <w:vAlign w:val="center"/>
          </w:tcPr>
          <w:p w:rsidR="00A571F9" w:rsidRDefault="00A571F9">
            <w:pPr>
              <w:widowControl/>
              <w:jc w:val="left"/>
              <w:rPr>
                <w:rFonts w:ascii="宋体" w:hAnsi="宋体" w:cs="宋体"/>
                <w:color w:val="000000"/>
                <w:sz w:val="24"/>
              </w:rPr>
            </w:pPr>
          </w:p>
        </w:tc>
        <w:tc>
          <w:tcPr>
            <w:tcW w:w="1367" w:type="dxa"/>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司法调解案件成本</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0.9</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调解案件办案支出0.9万</w:t>
            </w:r>
          </w:p>
        </w:tc>
      </w:tr>
      <w:tr w:rsidR="00A571F9">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A571F9" w:rsidRDefault="00A571F9">
            <w:pPr>
              <w:widowControl/>
              <w:jc w:val="left"/>
              <w:rPr>
                <w:rFonts w:ascii="宋体" w:hAnsi="宋体" w:cs="宋体"/>
                <w:color w:val="000000"/>
                <w:sz w:val="24"/>
              </w:rPr>
            </w:pPr>
          </w:p>
        </w:tc>
        <w:tc>
          <w:tcPr>
            <w:tcW w:w="1367"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A571F9" w:rsidRDefault="004911A9">
            <w:pPr>
              <w:jc w:val="center"/>
              <w:textAlignment w:val="center"/>
              <w:rPr>
                <w:rFonts w:ascii="宋体" w:hAnsi="宋体" w:cs="宋体"/>
                <w:color w:val="000000"/>
                <w:kern w:val="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经济效益</w:t>
            </w:r>
            <w:r>
              <w:rPr>
                <w:rFonts w:ascii="宋体" w:hAnsi="宋体" w:cs="宋体" w:hint="eastAsia"/>
                <w:color w:val="000000"/>
                <w:sz w:val="24"/>
              </w:rPr>
              <w:br/>
              <w:t>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textAlignment w:val="center"/>
              <w:rPr>
                <w:rFonts w:ascii="宋体" w:hAnsi="宋体" w:cs="宋体"/>
                <w:color w:val="000000"/>
                <w:sz w:val="24"/>
              </w:rPr>
            </w:pPr>
            <w:r>
              <w:rPr>
                <w:rFonts w:ascii="宋体" w:hAnsi="宋体" w:cs="宋体" w:hint="eastAsia"/>
                <w:color w:val="000000"/>
                <w:sz w:val="24"/>
              </w:rPr>
              <w:t>提高司法效率，节约司法资源</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明显加强</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textAlignment w:val="center"/>
              <w:rPr>
                <w:rFonts w:ascii="宋体" w:hAnsi="宋体" w:cs="宋体"/>
                <w:color w:val="000000"/>
                <w:sz w:val="24"/>
              </w:rPr>
            </w:pPr>
            <w:r>
              <w:rPr>
                <w:rFonts w:ascii="宋体" w:hAnsi="宋体" w:cs="宋体" w:hint="eastAsia"/>
                <w:color w:val="000000"/>
                <w:sz w:val="24"/>
              </w:rPr>
              <w:t>调解有利提高司法效率，节约司法资源，能高效快捷的审结案件</w:t>
            </w:r>
          </w:p>
        </w:tc>
      </w:tr>
      <w:tr w:rsidR="00A571F9">
        <w:trPr>
          <w:trHeight w:val="679"/>
        </w:trPr>
        <w:tc>
          <w:tcPr>
            <w:tcW w:w="390" w:type="dxa"/>
            <w:vMerge/>
            <w:tcBorders>
              <w:top w:val="single" w:sz="4" w:space="0" w:color="000000"/>
              <w:left w:val="single" w:sz="4" w:space="0" w:color="000000"/>
              <w:bottom w:val="single" w:sz="4" w:space="0" w:color="000000"/>
              <w:right w:val="single" w:sz="4" w:space="0" w:color="000000"/>
            </w:tcBorders>
            <w:vAlign w:val="center"/>
          </w:tcPr>
          <w:p w:rsidR="00A571F9" w:rsidRDefault="00A571F9">
            <w:pPr>
              <w:widowControl/>
              <w:jc w:val="left"/>
              <w:rPr>
                <w:rFonts w:ascii="宋体" w:hAnsi="宋体" w:cs="宋体"/>
                <w:color w:val="000000"/>
                <w:sz w:val="24"/>
              </w:rPr>
            </w:pPr>
          </w:p>
        </w:tc>
        <w:tc>
          <w:tcPr>
            <w:tcW w:w="1367" w:type="dxa"/>
            <w:vMerge/>
            <w:tcBorders>
              <w:left w:val="single" w:sz="4" w:space="0" w:color="000000"/>
              <w:right w:val="single" w:sz="4" w:space="0" w:color="000000"/>
            </w:tcBorders>
            <w:tcMar>
              <w:top w:w="15" w:type="dxa"/>
              <w:left w:w="15" w:type="dxa"/>
              <w:bottom w:w="0" w:type="dxa"/>
              <w:right w:w="15" w:type="dxa"/>
            </w:tcMar>
            <w:vAlign w:val="center"/>
          </w:tcPr>
          <w:p w:rsidR="00A571F9" w:rsidRDefault="00A571F9">
            <w:pPr>
              <w:widowControl/>
              <w:jc w:val="center"/>
              <w:textAlignment w:val="center"/>
              <w:rPr>
                <w:rFonts w:ascii="宋体" w:hAnsi="宋体" w:cs="宋体"/>
                <w:color w:val="000000"/>
                <w:sz w:val="24"/>
              </w:rPr>
            </w:pPr>
          </w:p>
        </w:tc>
        <w:tc>
          <w:tcPr>
            <w:tcW w:w="1025"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社会效益</w:t>
            </w:r>
            <w:r>
              <w:rPr>
                <w:rFonts w:ascii="宋体" w:hAnsi="宋体" w:cs="宋体" w:hint="eastAsia"/>
                <w:color w:val="000000"/>
                <w:sz w:val="24"/>
              </w:rPr>
              <w:br/>
              <w:t>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维护社会稳定、化解社会矛盾</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非常有利</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textAlignment w:val="center"/>
              <w:rPr>
                <w:rFonts w:ascii="宋体" w:hAnsi="宋体" w:cs="宋体"/>
                <w:color w:val="000000"/>
                <w:sz w:val="24"/>
              </w:rPr>
            </w:pPr>
            <w:r>
              <w:rPr>
                <w:rFonts w:ascii="宋体" w:hAnsi="宋体" w:cs="宋体" w:hint="eastAsia"/>
                <w:color w:val="000000"/>
                <w:sz w:val="24"/>
              </w:rPr>
              <w:t>能维护社会稳定，化解社会矛盾</w:t>
            </w:r>
          </w:p>
        </w:tc>
      </w:tr>
      <w:tr w:rsidR="00A571F9">
        <w:trPr>
          <w:trHeight w:val="751"/>
        </w:trPr>
        <w:tc>
          <w:tcPr>
            <w:tcW w:w="390" w:type="dxa"/>
            <w:vMerge/>
            <w:tcBorders>
              <w:top w:val="single" w:sz="4" w:space="0" w:color="000000"/>
              <w:left w:val="single" w:sz="4" w:space="0" w:color="000000"/>
              <w:bottom w:val="single" w:sz="4" w:space="0" w:color="000000"/>
              <w:right w:val="single" w:sz="4" w:space="0" w:color="000000"/>
            </w:tcBorders>
            <w:vAlign w:val="center"/>
          </w:tcPr>
          <w:p w:rsidR="00A571F9" w:rsidRDefault="00A571F9">
            <w:pPr>
              <w:widowControl/>
              <w:jc w:val="left"/>
              <w:rPr>
                <w:rFonts w:ascii="宋体" w:hAnsi="宋体" w:cs="宋体"/>
                <w:color w:val="000000"/>
                <w:sz w:val="24"/>
              </w:rPr>
            </w:pPr>
          </w:p>
        </w:tc>
        <w:tc>
          <w:tcPr>
            <w:tcW w:w="1367"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A571F9">
            <w:pPr>
              <w:widowControl/>
              <w:jc w:val="center"/>
              <w:textAlignment w:val="center"/>
              <w:rPr>
                <w:rFonts w:ascii="宋体" w:hAnsi="宋体" w:cs="宋体"/>
                <w:color w:val="000000"/>
                <w:sz w:val="24"/>
              </w:rPr>
            </w:pPr>
          </w:p>
        </w:tc>
        <w:tc>
          <w:tcPr>
            <w:tcW w:w="1025"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A571F9">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保障公民、法人的合法权益</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非常有利</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textAlignment w:val="center"/>
              <w:rPr>
                <w:rFonts w:ascii="宋体" w:hAnsi="宋体" w:cs="宋体"/>
                <w:color w:val="000000"/>
                <w:sz w:val="24"/>
              </w:rPr>
            </w:pPr>
            <w:r>
              <w:rPr>
                <w:rFonts w:ascii="宋体" w:hAnsi="宋体" w:cs="宋体" w:hint="eastAsia"/>
                <w:color w:val="000000"/>
                <w:sz w:val="24"/>
              </w:rPr>
              <w:t>能有效保障公民的合法权益，保障公民人身财产安全</w:t>
            </w:r>
          </w:p>
        </w:tc>
      </w:tr>
      <w:tr w:rsidR="00A571F9">
        <w:trPr>
          <w:trHeight w:val="751"/>
        </w:trPr>
        <w:tc>
          <w:tcPr>
            <w:tcW w:w="390" w:type="dxa"/>
            <w:vMerge/>
            <w:tcBorders>
              <w:top w:val="single" w:sz="4" w:space="0" w:color="000000"/>
              <w:left w:val="single" w:sz="4" w:space="0" w:color="000000"/>
              <w:bottom w:val="single" w:sz="4" w:space="0" w:color="000000"/>
              <w:right w:val="single" w:sz="4" w:space="0" w:color="000000"/>
            </w:tcBorders>
            <w:vAlign w:val="center"/>
          </w:tcPr>
          <w:p w:rsidR="00A571F9" w:rsidRDefault="00A571F9">
            <w:pPr>
              <w:widowControl/>
              <w:jc w:val="left"/>
              <w:rPr>
                <w:rFonts w:ascii="宋体" w:hAnsi="宋体" w:cs="宋体"/>
                <w:color w:val="000000"/>
                <w:sz w:val="24"/>
              </w:rPr>
            </w:pPr>
          </w:p>
        </w:tc>
        <w:tc>
          <w:tcPr>
            <w:tcW w:w="1367"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A571F9">
            <w:pPr>
              <w:widowControl/>
              <w:jc w:val="center"/>
              <w:textAlignment w:val="center"/>
              <w:rPr>
                <w:rFonts w:ascii="宋体" w:hAnsi="宋体" w:cs="宋体"/>
                <w:color w:val="000000"/>
                <w:sz w:val="24"/>
              </w:rPr>
            </w:pP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可持续影响指标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对全市发展的可持续影响</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长效</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textAlignment w:val="center"/>
              <w:rPr>
                <w:rFonts w:ascii="宋体" w:hAnsi="宋体" w:cs="宋体"/>
                <w:color w:val="000000"/>
                <w:sz w:val="24"/>
              </w:rPr>
            </w:pPr>
            <w:r>
              <w:rPr>
                <w:rFonts w:ascii="宋体" w:hAnsi="宋体" w:cs="宋体" w:hint="eastAsia"/>
                <w:color w:val="000000"/>
                <w:sz w:val="24"/>
              </w:rPr>
              <w:t>调解工作是依法治市的重要组成部分，对全市的法治工作有着重要影响</w:t>
            </w:r>
          </w:p>
        </w:tc>
      </w:tr>
      <w:tr w:rsidR="00A571F9">
        <w:trPr>
          <w:trHeight w:val="543"/>
        </w:trPr>
        <w:tc>
          <w:tcPr>
            <w:tcW w:w="390" w:type="dxa"/>
            <w:vMerge/>
            <w:tcBorders>
              <w:top w:val="single" w:sz="4" w:space="0" w:color="000000"/>
              <w:left w:val="single" w:sz="4" w:space="0" w:color="000000"/>
              <w:bottom w:val="single" w:sz="4" w:space="0" w:color="000000"/>
              <w:right w:val="single" w:sz="4" w:space="0" w:color="000000"/>
            </w:tcBorders>
            <w:vAlign w:val="center"/>
          </w:tcPr>
          <w:p w:rsidR="00A571F9" w:rsidRDefault="00A571F9">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rPr>
                <w:rFonts w:ascii="宋体" w:hAnsi="宋体" w:cs="宋体"/>
                <w:color w:val="000000"/>
                <w:sz w:val="24"/>
              </w:rPr>
            </w:pPr>
            <w:r>
              <w:rPr>
                <w:rFonts w:ascii="宋体" w:hAnsi="宋体" w:cs="宋体" w:hint="eastAsia"/>
                <w:color w:val="000000"/>
                <w:sz w:val="24"/>
              </w:rPr>
              <w:t>案件当事人满意度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jc w:val="center"/>
              <w:rPr>
                <w:rFonts w:ascii="宋体" w:hAnsi="宋体" w:cs="宋体"/>
                <w:color w:val="000000"/>
                <w:sz w:val="24"/>
              </w:rPr>
            </w:pPr>
            <w:r>
              <w:rPr>
                <w:rFonts w:ascii="宋体" w:hAnsi="宋体" w:cs="宋体" w:hint="eastAsia"/>
                <w:color w:val="000000"/>
                <w:sz w:val="24"/>
              </w:rPr>
              <w:t>≥98%</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jc w:val="center"/>
              <w:rPr>
                <w:rFonts w:ascii="宋体" w:hAnsi="宋体" w:cs="宋体"/>
                <w:color w:val="000000"/>
                <w:sz w:val="24"/>
              </w:rPr>
            </w:pPr>
            <w:r>
              <w:rPr>
                <w:rFonts w:ascii="宋体" w:hAnsi="宋体" w:cs="宋体" w:hint="eastAsia"/>
                <w:color w:val="000000"/>
                <w:sz w:val="24"/>
              </w:rPr>
              <w:t>案件当事人对调解案件能满意</w:t>
            </w:r>
          </w:p>
        </w:tc>
      </w:tr>
    </w:tbl>
    <w:p w:rsidR="00A571F9" w:rsidRDefault="004911A9">
      <w:pPr>
        <w:numPr>
          <w:ilvl w:val="0"/>
          <w:numId w:val="4"/>
        </w:numPr>
        <w:spacing w:line="580" w:lineRule="exact"/>
        <w:rPr>
          <w:rFonts w:ascii="仿宋" w:eastAsia="仿宋" w:hAnsi="仿宋" w:cs="仿宋_GB2312"/>
          <w:sz w:val="32"/>
          <w:szCs w:val="32"/>
        </w:rPr>
      </w:pPr>
      <w:r>
        <w:rPr>
          <w:rFonts w:ascii="仿宋" w:eastAsia="仿宋" w:hAnsi="仿宋" w:cs="仿宋_GB2312" w:hint="eastAsia"/>
          <w:sz w:val="32"/>
          <w:szCs w:val="32"/>
        </w:rPr>
        <w:t>业务运行费项目绩效目标完成情况综述。项目全年预算数34.74万元，执行数为34.74万元，完成预算的100%。通过项目实施，为满足我院审判工作正常开展，办公办案工作正常运转，保障审判业务顺利进行所需要的经费保障。发现的主要问题：业务运行经费资金有限，不足完全保障法院办案</w:t>
      </w:r>
      <w:r>
        <w:rPr>
          <w:rFonts w:ascii="仿宋" w:eastAsia="仿宋" w:hAnsi="仿宋" w:cs="仿宋_GB2312" w:hint="eastAsia"/>
          <w:sz w:val="32"/>
          <w:szCs w:val="32"/>
        </w:rPr>
        <w:lastRenderedPageBreak/>
        <w:t>支出。下一步改进措施：加大资金投入，保障法院工作运行。</w:t>
      </w:r>
    </w:p>
    <w:tbl>
      <w:tblPr>
        <w:tblpPr w:leftFromText="180" w:rightFromText="180" w:vertAnchor="text" w:horzAnchor="page" w:tblpXSpec="center" w:tblpY="423"/>
        <w:tblOverlap w:val="never"/>
        <w:tblW w:w="9960" w:type="dxa"/>
        <w:tblLayout w:type="fixed"/>
        <w:tblCellMar>
          <w:left w:w="0" w:type="dxa"/>
          <w:right w:w="0" w:type="dxa"/>
        </w:tblCellMar>
        <w:tblLook w:val="04A0" w:firstRow="1" w:lastRow="0" w:firstColumn="1" w:lastColumn="0" w:noHBand="0" w:noVBand="1"/>
      </w:tblPr>
      <w:tblGrid>
        <w:gridCol w:w="390"/>
        <w:gridCol w:w="1367"/>
        <w:gridCol w:w="1025"/>
        <w:gridCol w:w="2392"/>
        <w:gridCol w:w="2394"/>
        <w:gridCol w:w="2392"/>
      </w:tblGrid>
      <w:tr w:rsidR="00A571F9">
        <w:trPr>
          <w:trHeight w:val="1034"/>
        </w:trPr>
        <w:tc>
          <w:tcPr>
            <w:tcW w:w="9960" w:type="dxa"/>
            <w:gridSpan w:val="6"/>
            <w:tcMar>
              <w:top w:w="15" w:type="dxa"/>
              <w:left w:w="15" w:type="dxa"/>
              <w:bottom w:w="0" w:type="dxa"/>
              <w:right w:w="15" w:type="dxa"/>
            </w:tcMar>
            <w:vAlign w:val="center"/>
          </w:tcPr>
          <w:p w:rsidR="00A571F9" w:rsidRDefault="004911A9">
            <w:pPr>
              <w:pStyle w:val="a9"/>
              <w:widowControl/>
              <w:ind w:leftChars="1310" w:left="4173" w:hangingChars="395" w:hanging="1422"/>
              <w:textAlignment w:val="center"/>
              <w:rPr>
                <w:rFonts w:ascii="宋体" w:hAnsi="宋体" w:cs="宋体"/>
                <w:color w:val="000000"/>
                <w:sz w:val="36"/>
                <w:szCs w:val="36"/>
              </w:rPr>
            </w:pPr>
            <w:r>
              <w:rPr>
                <w:rFonts w:ascii="黑体" w:eastAsia="黑体" w:hAnsi="黑体" w:cs="宋体" w:hint="eastAsia"/>
                <w:bCs/>
                <w:color w:val="000000"/>
                <w:kern w:val="0"/>
                <w:sz w:val="36"/>
                <w:szCs w:val="36"/>
              </w:rPr>
              <w:t>项目支出绩效目标完成情况表</w:t>
            </w:r>
            <w:r>
              <w:rPr>
                <w:rFonts w:ascii="宋体" w:hAnsi="宋体" w:cs="宋体" w:hint="eastAsia"/>
                <w:b/>
                <w:bCs/>
                <w:color w:val="000000"/>
                <w:kern w:val="0"/>
                <w:sz w:val="36"/>
                <w:szCs w:val="36"/>
              </w:rPr>
              <w:br/>
            </w:r>
            <w:r>
              <w:rPr>
                <w:rFonts w:ascii="宋体" w:hAnsi="宋体" w:cs="宋体" w:hint="eastAsia"/>
                <w:color w:val="000000"/>
                <w:kern w:val="0"/>
                <w:sz w:val="36"/>
                <w:szCs w:val="36"/>
              </w:rPr>
              <w:t>(2018 年度)</w:t>
            </w:r>
          </w:p>
        </w:tc>
      </w:tr>
      <w:tr w:rsidR="00A571F9">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业务运行费</w:t>
            </w:r>
          </w:p>
        </w:tc>
      </w:tr>
      <w:tr w:rsidR="00A571F9">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四川省攀枝花市中级人民法院</w:t>
            </w:r>
          </w:p>
        </w:tc>
      </w:tr>
      <w:tr w:rsidR="00A571F9">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预算执行情况(万元)</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预算数: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34.74</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执行数: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34.74</w:t>
            </w:r>
          </w:p>
        </w:tc>
      </w:tr>
      <w:tr w:rsidR="00A571F9">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A571F9" w:rsidRDefault="00A571F9">
            <w:pPr>
              <w:widowControl/>
              <w:jc w:val="left"/>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34.74</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34.74</w:t>
            </w:r>
          </w:p>
        </w:tc>
      </w:tr>
      <w:tr w:rsidR="00A571F9">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tcPr>
          <w:p w:rsidR="00A571F9" w:rsidRDefault="00A571F9">
            <w:pPr>
              <w:widowControl/>
              <w:jc w:val="left"/>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A571F9">
            <w:pPr>
              <w:jc w:val="center"/>
              <w:rPr>
                <w:rFonts w:ascii="宋体" w:hAnsi="宋体" w:cs="宋体"/>
                <w:color w:val="000000"/>
                <w:sz w:val="24"/>
              </w:rPr>
            </w:pPr>
          </w:p>
        </w:tc>
      </w:tr>
      <w:tr w:rsidR="00A571F9">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实际完成目标</w:t>
            </w:r>
          </w:p>
        </w:tc>
      </w:tr>
      <w:tr w:rsidR="00A571F9">
        <w:trPr>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tcPr>
          <w:p w:rsidR="00A571F9" w:rsidRDefault="00A571F9">
            <w:pPr>
              <w:widowControl/>
              <w:jc w:val="left"/>
              <w:rPr>
                <w:rFonts w:ascii="宋体" w:hAnsi="宋体"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为满足我院审判工作正常开展，办公办案工作正常运转，保障审判业务顺利进行所需要的经费保障。</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为满足我院审判工作正常开展，办公办案工作正常运转，保障审判业务顺利进行所需要的经费保障。</w:t>
            </w:r>
          </w:p>
        </w:tc>
      </w:tr>
      <w:tr w:rsidR="00A571F9">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预期指标值(包含数字及文字描述)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实际完成指标值(包含数字及文字描述)</w:t>
            </w:r>
          </w:p>
        </w:tc>
      </w:tr>
      <w:tr w:rsidR="00A571F9">
        <w:trPr>
          <w:trHeight w:val="376"/>
        </w:trPr>
        <w:tc>
          <w:tcPr>
            <w:tcW w:w="390" w:type="dxa"/>
            <w:vMerge/>
            <w:tcBorders>
              <w:top w:val="single" w:sz="4" w:space="0" w:color="000000"/>
              <w:left w:val="single" w:sz="4" w:space="0" w:color="000000"/>
              <w:bottom w:val="single" w:sz="4" w:space="0" w:color="000000"/>
              <w:right w:val="single" w:sz="4" w:space="0" w:color="000000"/>
            </w:tcBorders>
            <w:vAlign w:val="center"/>
          </w:tcPr>
          <w:p w:rsidR="00A571F9" w:rsidRDefault="00A571F9">
            <w:pPr>
              <w:widowControl/>
              <w:jc w:val="left"/>
              <w:rPr>
                <w:rFonts w:ascii="宋体" w:hAnsi="宋体" w:cs="宋体"/>
                <w:color w:val="000000"/>
                <w:sz w:val="24"/>
              </w:rPr>
            </w:pPr>
          </w:p>
        </w:tc>
        <w:tc>
          <w:tcPr>
            <w:tcW w:w="1367"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25"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聘请保安人员人数</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派驻6人以上</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聘请保安人数6人</w:t>
            </w:r>
          </w:p>
        </w:tc>
      </w:tr>
      <w:tr w:rsidR="00A571F9">
        <w:trPr>
          <w:trHeight w:val="679"/>
        </w:trPr>
        <w:tc>
          <w:tcPr>
            <w:tcW w:w="390" w:type="dxa"/>
            <w:vMerge/>
            <w:tcBorders>
              <w:top w:val="single" w:sz="4" w:space="0" w:color="000000"/>
              <w:left w:val="single" w:sz="4" w:space="0" w:color="000000"/>
              <w:bottom w:val="single" w:sz="4" w:space="0" w:color="000000"/>
              <w:right w:val="single" w:sz="4" w:space="0" w:color="000000"/>
            </w:tcBorders>
            <w:vAlign w:val="center"/>
          </w:tcPr>
          <w:p w:rsidR="00A571F9" w:rsidRDefault="00A571F9">
            <w:pPr>
              <w:widowControl/>
              <w:jc w:val="left"/>
              <w:rPr>
                <w:rFonts w:ascii="宋体" w:hAnsi="宋体" w:cs="宋体"/>
                <w:color w:val="000000"/>
                <w:sz w:val="24"/>
              </w:rPr>
            </w:pPr>
          </w:p>
        </w:tc>
        <w:tc>
          <w:tcPr>
            <w:tcW w:w="1367" w:type="dxa"/>
            <w:vMerge/>
            <w:tcBorders>
              <w:left w:val="single" w:sz="4" w:space="0" w:color="000000"/>
              <w:right w:val="single" w:sz="4" w:space="0" w:color="000000"/>
            </w:tcBorders>
            <w:tcMar>
              <w:top w:w="15" w:type="dxa"/>
              <w:left w:w="15" w:type="dxa"/>
              <w:bottom w:w="0" w:type="dxa"/>
              <w:right w:w="15" w:type="dxa"/>
            </w:tcMar>
            <w:vAlign w:val="center"/>
          </w:tcPr>
          <w:p w:rsidR="00A571F9" w:rsidRDefault="00A571F9">
            <w:pPr>
              <w:widowControl/>
              <w:jc w:val="center"/>
              <w:textAlignment w:val="center"/>
              <w:rPr>
                <w:rFonts w:ascii="宋体" w:hAnsi="宋体" w:cs="宋体"/>
                <w:color w:val="000000"/>
                <w:kern w:val="0"/>
                <w:sz w:val="24"/>
              </w:rPr>
            </w:pPr>
          </w:p>
        </w:tc>
        <w:tc>
          <w:tcPr>
            <w:tcW w:w="1025" w:type="dxa"/>
            <w:vMerge/>
            <w:tcBorders>
              <w:left w:val="single" w:sz="4" w:space="0" w:color="000000"/>
              <w:right w:val="single" w:sz="4" w:space="0" w:color="000000"/>
            </w:tcBorders>
            <w:tcMar>
              <w:top w:w="15" w:type="dxa"/>
              <w:left w:w="15" w:type="dxa"/>
              <w:bottom w:w="0" w:type="dxa"/>
              <w:right w:w="15" w:type="dxa"/>
            </w:tcMar>
            <w:vAlign w:val="center"/>
          </w:tcPr>
          <w:p w:rsidR="00A571F9" w:rsidRDefault="00A571F9">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着装人数（统一安保服装）</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全员着装（6人以上）</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安保服着装人数6人</w:t>
            </w:r>
          </w:p>
        </w:tc>
      </w:tr>
      <w:tr w:rsidR="00A571F9">
        <w:trPr>
          <w:trHeight w:val="420"/>
        </w:trPr>
        <w:tc>
          <w:tcPr>
            <w:tcW w:w="390" w:type="dxa"/>
            <w:vMerge/>
            <w:tcBorders>
              <w:top w:val="single" w:sz="4" w:space="0" w:color="000000"/>
              <w:left w:val="single" w:sz="4" w:space="0" w:color="000000"/>
              <w:bottom w:val="single" w:sz="4" w:space="0" w:color="000000"/>
              <w:right w:val="single" w:sz="4" w:space="0" w:color="000000"/>
            </w:tcBorders>
            <w:vAlign w:val="center"/>
          </w:tcPr>
          <w:p w:rsidR="00A571F9" w:rsidRDefault="00A571F9">
            <w:pPr>
              <w:widowControl/>
              <w:jc w:val="left"/>
              <w:rPr>
                <w:rFonts w:ascii="宋体" w:hAnsi="宋体" w:cs="宋体"/>
                <w:color w:val="000000"/>
                <w:sz w:val="24"/>
              </w:rPr>
            </w:pPr>
          </w:p>
        </w:tc>
        <w:tc>
          <w:tcPr>
            <w:tcW w:w="1367" w:type="dxa"/>
            <w:vMerge/>
            <w:tcBorders>
              <w:left w:val="single" w:sz="4" w:space="0" w:color="000000"/>
              <w:right w:val="single" w:sz="4" w:space="0" w:color="000000"/>
            </w:tcBorders>
            <w:tcMar>
              <w:top w:w="15" w:type="dxa"/>
              <w:left w:w="15" w:type="dxa"/>
              <w:bottom w:w="0" w:type="dxa"/>
              <w:right w:w="15" w:type="dxa"/>
            </w:tcMar>
            <w:vAlign w:val="center"/>
          </w:tcPr>
          <w:p w:rsidR="00A571F9" w:rsidRDefault="00A571F9">
            <w:pPr>
              <w:widowControl/>
              <w:jc w:val="center"/>
              <w:textAlignment w:val="center"/>
              <w:rPr>
                <w:rFonts w:ascii="宋体" w:hAnsi="宋体" w:cs="宋体"/>
                <w:color w:val="000000"/>
                <w:kern w:val="0"/>
                <w:sz w:val="24"/>
              </w:rPr>
            </w:pPr>
          </w:p>
        </w:tc>
        <w:tc>
          <w:tcPr>
            <w:tcW w:w="1025" w:type="dxa"/>
            <w:vMerge/>
            <w:tcBorders>
              <w:left w:val="single" w:sz="4" w:space="0" w:color="000000"/>
              <w:right w:val="single" w:sz="4" w:space="0" w:color="000000"/>
            </w:tcBorders>
            <w:tcMar>
              <w:top w:w="15" w:type="dxa"/>
              <w:left w:w="15" w:type="dxa"/>
              <w:bottom w:w="0" w:type="dxa"/>
              <w:right w:w="15" w:type="dxa"/>
            </w:tcMar>
            <w:vAlign w:val="center"/>
          </w:tcPr>
          <w:p w:rsidR="00A571F9" w:rsidRDefault="00A571F9">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专网畅通</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360天以上</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专网畅通全年通畅</w:t>
            </w:r>
          </w:p>
        </w:tc>
      </w:tr>
      <w:tr w:rsidR="00A571F9">
        <w:trPr>
          <w:trHeight w:val="667"/>
        </w:trPr>
        <w:tc>
          <w:tcPr>
            <w:tcW w:w="390" w:type="dxa"/>
            <w:vMerge/>
            <w:tcBorders>
              <w:top w:val="single" w:sz="4" w:space="0" w:color="000000"/>
              <w:left w:val="single" w:sz="4" w:space="0" w:color="000000"/>
              <w:bottom w:val="single" w:sz="4" w:space="0" w:color="000000"/>
              <w:right w:val="single" w:sz="4" w:space="0" w:color="000000"/>
            </w:tcBorders>
            <w:vAlign w:val="center"/>
          </w:tcPr>
          <w:p w:rsidR="00A571F9" w:rsidRDefault="00A571F9">
            <w:pPr>
              <w:widowControl/>
              <w:jc w:val="left"/>
              <w:rPr>
                <w:rFonts w:ascii="宋体" w:hAnsi="宋体" w:cs="宋体"/>
                <w:color w:val="000000"/>
                <w:sz w:val="24"/>
              </w:rPr>
            </w:pPr>
          </w:p>
        </w:tc>
        <w:tc>
          <w:tcPr>
            <w:tcW w:w="1367" w:type="dxa"/>
            <w:vMerge/>
            <w:tcBorders>
              <w:left w:val="single" w:sz="4" w:space="0" w:color="000000"/>
              <w:right w:val="single" w:sz="4" w:space="0" w:color="000000"/>
            </w:tcBorders>
            <w:tcMar>
              <w:top w:w="15" w:type="dxa"/>
              <w:left w:w="15" w:type="dxa"/>
              <w:bottom w:w="0" w:type="dxa"/>
              <w:right w:w="15" w:type="dxa"/>
            </w:tcMar>
            <w:vAlign w:val="center"/>
          </w:tcPr>
          <w:p w:rsidR="00A571F9" w:rsidRDefault="00A571F9">
            <w:pPr>
              <w:widowControl/>
              <w:jc w:val="center"/>
              <w:textAlignment w:val="center"/>
              <w:rPr>
                <w:rFonts w:ascii="宋体" w:hAnsi="宋体" w:cs="宋体"/>
                <w:color w:val="000000"/>
                <w:kern w:val="0"/>
                <w:sz w:val="24"/>
              </w:rPr>
            </w:pPr>
          </w:p>
        </w:tc>
        <w:tc>
          <w:tcPr>
            <w:tcW w:w="1025" w:type="dxa"/>
            <w:vMerge/>
            <w:tcBorders>
              <w:left w:val="single" w:sz="4" w:space="0" w:color="000000"/>
              <w:right w:val="single" w:sz="4" w:space="0" w:color="000000"/>
            </w:tcBorders>
            <w:tcMar>
              <w:top w:w="15" w:type="dxa"/>
              <w:left w:w="15" w:type="dxa"/>
              <w:bottom w:w="0" w:type="dxa"/>
              <w:right w:w="15" w:type="dxa"/>
            </w:tcMar>
            <w:vAlign w:val="center"/>
          </w:tcPr>
          <w:p w:rsidR="00A571F9" w:rsidRDefault="00A571F9">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专网每日通畅</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23小时以上</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每日均能24小时保持畅通</w:t>
            </w:r>
          </w:p>
        </w:tc>
      </w:tr>
      <w:tr w:rsidR="00A571F9">
        <w:trPr>
          <w:trHeight w:val="408"/>
        </w:trPr>
        <w:tc>
          <w:tcPr>
            <w:tcW w:w="390" w:type="dxa"/>
            <w:vMerge/>
            <w:tcBorders>
              <w:top w:val="single" w:sz="4" w:space="0" w:color="000000"/>
              <w:left w:val="single" w:sz="4" w:space="0" w:color="000000"/>
              <w:bottom w:val="single" w:sz="4" w:space="0" w:color="000000"/>
              <w:right w:val="single" w:sz="4" w:space="0" w:color="000000"/>
            </w:tcBorders>
            <w:vAlign w:val="center"/>
          </w:tcPr>
          <w:p w:rsidR="00A571F9" w:rsidRDefault="00A571F9">
            <w:pPr>
              <w:widowControl/>
              <w:jc w:val="left"/>
              <w:rPr>
                <w:rFonts w:ascii="宋体" w:hAnsi="宋体" w:cs="宋体"/>
                <w:color w:val="000000"/>
                <w:sz w:val="24"/>
              </w:rPr>
            </w:pPr>
          </w:p>
        </w:tc>
        <w:tc>
          <w:tcPr>
            <w:tcW w:w="1367" w:type="dxa"/>
            <w:vMerge/>
            <w:tcBorders>
              <w:left w:val="single" w:sz="4" w:space="0" w:color="000000"/>
              <w:right w:val="single" w:sz="4" w:space="0" w:color="000000"/>
            </w:tcBorders>
            <w:tcMar>
              <w:top w:w="15" w:type="dxa"/>
              <w:left w:w="15" w:type="dxa"/>
              <w:bottom w:w="0" w:type="dxa"/>
              <w:right w:w="15" w:type="dxa"/>
            </w:tcMar>
            <w:vAlign w:val="center"/>
          </w:tcPr>
          <w:p w:rsidR="00A571F9" w:rsidRDefault="00A571F9">
            <w:pPr>
              <w:widowControl/>
              <w:jc w:val="center"/>
              <w:textAlignment w:val="center"/>
              <w:rPr>
                <w:rFonts w:ascii="宋体" w:hAnsi="宋体" w:cs="宋体"/>
                <w:color w:val="000000"/>
                <w:kern w:val="0"/>
                <w:sz w:val="24"/>
              </w:rPr>
            </w:pPr>
          </w:p>
        </w:tc>
        <w:tc>
          <w:tcPr>
            <w:tcW w:w="1025" w:type="dxa"/>
            <w:vMerge/>
            <w:tcBorders>
              <w:left w:val="single" w:sz="4" w:space="0" w:color="000000"/>
              <w:right w:val="single" w:sz="4" w:space="0" w:color="000000"/>
            </w:tcBorders>
            <w:tcMar>
              <w:top w:w="15" w:type="dxa"/>
              <w:left w:w="15" w:type="dxa"/>
              <w:bottom w:w="0" w:type="dxa"/>
              <w:right w:w="15" w:type="dxa"/>
            </w:tcMar>
            <w:vAlign w:val="center"/>
          </w:tcPr>
          <w:p w:rsidR="00A571F9" w:rsidRDefault="00A571F9">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专网带宽</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100M以上</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专网带宽100M</w:t>
            </w:r>
          </w:p>
        </w:tc>
      </w:tr>
      <w:tr w:rsidR="00A571F9">
        <w:trPr>
          <w:trHeight w:val="683"/>
        </w:trPr>
        <w:tc>
          <w:tcPr>
            <w:tcW w:w="390" w:type="dxa"/>
            <w:vMerge/>
            <w:tcBorders>
              <w:top w:val="single" w:sz="4" w:space="0" w:color="000000"/>
              <w:left w:val="single" w:sz="4" w:space="0" w:color="000000"/>
              <w:bottom w:val="single" w:sz="4" w:space="0" w:color="000000"/>
              <w:right w:val="single" w:sz="4" w:space="0" w:color="000000"/>
            </w:tcBorders>
            <w:vAlign w:val="center"/>
          </w:tcPr>
          <w:p w:rsidR="00A571F9" w:rsidRDefault="00A571F9">
            <w:pPr>
              <w:widowControl/>
              <w:jc w:val="left"/>
              <w:rPr>
                <w:rFonts w:ascii="宋体" w:hAnsi="宋体" w:cs="宋体"/>
                <w:color w:val="000000"/>
                <w:sz w:val="24"/>
              </w:rPr>
            </w:pPr>
          </w:p>
        </w:tc>
        <w:tc>
          <w:tcPr>
            <w:tcW w:w="1367" w:type="dxa"/>
            <w:vMerge/>
            <w:tcBorders>
              <w:left w:val="single" w:sz="4" w:space="0" w:color="000000"/>
              <w:right w:val="single" w:sz="4" w:space="0" w:color="000000"/>
            </w:tcBorders>
            <w:tcMar>
              <w:top w:w="15" w:type="dxa"/>
              <w:left w:w="15" w:type="dxa"/>
              <w:bottom w:w="0" w:type="dxa"/>
              <w:right w:w="15" w:type="dxa"/>
            </w:tcMar>
            <w:vAlign w:val="center"/>
          </w:tcPr>
          <w:p w:rsidR="00A571F9" w:rsidRDefault="00A571F9">
            <w:pPr>
              <w:widowControl/>
              <w:jc w:val="center"/>
              <w:textAlignment w:val="center"/>
              <w:rPr>
                <w:rFonts w:ascii="宋体" w:hAnsi="宋体" w:cs="宋体"/>
                <w:color w:val="000000"/>
                <w:kern w:val="0"/>
                <w:sz w:val="24"/>
              </w:rPr>
            </w:pPr>
          </w:p>
        </w:tc>
        <w:tc>
          <w:tcPr>
            <w:tcW w:w="1025" w:type="dxa"/>
            <w:vMerge/>
            <w:tcBorders>
              <w:left w:val="single" w:sz="4" w:space="0" w:color="000000"/>
              <w:right w:val="single" w:sz="4" w:space="0" w:color="000000"/>
            </w:tcBorders>
            <w:tcMar>
              <w:top w:w="15" w:type="dxa"/>
              <w:left w:w="15" w:type="dxa"/>
              <w:bottom w:w="0" w:type="dxa"/>
              <w:right w:w="15" w:type="dxa"/>
            </w:tcMar>
            <w:vAlign w:val="center"/>
          </w:tcPr>
          <w:p w:rsidR="00A571F9" w:rsidRDefault="00A571F9">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政法电视电话会议次数</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40次</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全年开政法电视电话会议53次</w:t>
            </w:r>
          </w:p>
        </w:tc>
      </w:tr>
      <w:tr w:rsidR="00A571F9">
        <w:trPr>
          <w:trHeight w:val="396"/>
        </w:trPr>
        <w:tc>
          <w:tcPr>
            <w:tcW w:w="390" w:type="dxa"/>
            <w:vMerge/>
            <w:tcBorders>
              <w:top w:val="single" w:sz="4" w:space="0" w:color="000000"/>
              <w:left w:val="single" w:sz="4" w:space="0" w:color="000000"/>
              <w:bottom w:val="single" w:sz="4" w:space="0" w:color="000000"/>
              <w:right w:val="single" w:sz="4" w:space="0" w:color="000000"/>
            </w:tcBorders>
            <w:vAlign w:val="center"/>
          </w:tcPr>
          <w:p w:rsidR="00A571F9" w:rsidRDefault="00A571F9">
            <w:pPr>
              <w:widowControl/>
              <w:jc w:val="left"/>
              <w:rPr>
                <w:rFonts w:ascii="宋体" w:hAnsi="宋体" w:cs="宋体"/>
                <w:color w:val="000000"/>
                <w:sz w:val="24"/>
              </w:rPr>
            </w:pPr>
          </w:p>
        </w:tc>
        <w:tc>
          <w:tcPr>
            <w:tcW w:w="1367"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25"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安保人员着装上岗</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着装率100%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安保人员着装率100%</w:t>
            </w:r>
          </w:p>
        </w:tc>
      </w:tr>
      <w:tr w:rsidR="00A571F9">
        <w:trPr>
          <w:trHeight w:val="685"/>
        </w:trPr>
        <w:tc>
          <w:tcPr>
            <w:tcW w:w="390" w:type="dxa"/>
            <w:vMerge/>
            <w:tcBorders>
              <w:top w:val="single" w:sz="4" w:space="0" w:color="000000"/>
              <w:left w:val="single" w:sz="4" w:space="0" w:color="000000"/>
              <w:bottom w:val="single" w:sz="4" w:space="0" w:color="000000"/>
              <w:right w:val="single" w:sz="4" w:space="0" w:color="000000"/>
            </w:tcBorders>
            <w:vAlign w:val="center"/>
          </w:tcPr>
          <w:p w:rsidR="00A571F9" w:rsidRDefault="00A571F9">
            <w:pPr>
              <w:widowControl/>
              <w:jc w:val="left"/>
              <w:rPr>
                <w:rFonts w:ascii="宋体" w:hAnsi="宋体" w:cs="宋体"/>
                <w:color w:val="000000"/>
                <w:sz w:val="24"/>
              </w:rPr>
            </w:pPr>
          </w:p>
        </w:tc>
        <w:tc>
          <w:tcPr>
            <w:tcW w:w="1367" w:type="dxa"/>
            <w:vMerge/>
            <w:tcBorders>
              <w:left w:val="single" w:sz="4" w:space="0" w:color="000000"/>
              <w:right w:val="single" w:sz="4" w:space="0" w:color="000000"/>
            </w:tcBorders>
            <w:tcMar>
              <w:top w:w="15" w:type="dxa"/>
              <w:left w:w="15" w:type="dxa"/>
              <w:bottom w:w="0" w:type="dxa"/>
              <w:right w:w="15" w:type="dxa"/>
            </w:tcMar>
            <w:vAlign w:val="center"/>
          </w:tcPr>
          <w:p w:rsidR="00A571F9" w:rsidRDefault="00A571F9">
            <w:pPr>
              <w:widowControl/>
              <w:jc w:val="center"/>
              <w:textAlignment w:val="center"/>
              <w:rPr>
                <w:rFonts w:ascii="宋体" w:hAnsi="宋体" w:cs="宋体"/>
                <w:color w:val="000000"/>
                <w:kern w:val="0"/>
                <w:sz w:val="24"/>
              </w:rPr>
            </w:pPr>
          </w:p>
        </w:tc>
        <w:tc>
          <w:tcPr>
            <w:tcW w:w="1025" w:type="dxa"/>
            <w:vMerge/>
            <w:tcBorders>
              <w:left w:val="single" w:sz="4" w:space="0" w:color="000000"/>
              <w:right w:val="single" w:sz="4" w:space="0" w:color="000000"/>
            </w:tcBorders>
            <w:tcMar>
              <w:top w:w="15" w:type="dxa"/>
              <w:left w:w="15" w:type="dxa"/>
              <w:bottom w:w="0" w:type="dxa"/>
              <w:right w:w="15" w:type="dxa"/>
            </w:tcMar>
            <w:vAlign w:val="center"/>
          </w:tcPr>
          <w:p w:rsidR="00A571F9" w:rsidRDefault="00A571F9">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岗位间相互补缺，工作期间在岗率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在岗率100%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人员在岗率100%</w:t>
            </w:r>
          </w:p>
        </w:tc>
      </w:tr>
      <w:tr w:rsidR="00A571F9">
        <w:trPr>
          <w:trHeight w:val="398"/>
        </w:trPr>
        <w:tc>
          <w:tcPr>
            <w:tcW w:w="390" w:type="dxa"/>
            <w:vMerge/>
            <w:tcBorders>
              <w:top w:val="single" w:sz="4" w:space="0" w:color="000000"/>
              <w:left w:val="single" w:sz="4" w:space="0" w:color="000000"/>
              <w:bottom w:val="single" w:sz="4" w:space="0" w:color="000000"/>
              <w:right w:val="single" w:sz="4" w:space="0" w:color="000000"/>
            </w:tcBorders>
            <w:vAlign w:val="center"/>
          </w:tcPr>
          <w:p w:rsidR="00A571F9" w:rsidRDefault="00A571F9">
            <w:pPr>
              <w:widowControl/>
              <w:jc w:val="left"/>
              <w:rPr>
                <w:rFonts w:ascii="宋体" w:hAnsi="宋体" w:cs="宋体"/>
                <w:color w:val="000000"/>
                <w:sz w:val="24"/>
              </w:rPr>
            </w:pPr>
          </w:p>
        </w:tc>
        <w:tc>
          <w:tcPr>
            <w:tcW w:w="1367" w:type="dxa"/>
            <w:vMerge/>
            <w:tcBorders>
              <w:left w:val="single" w:sz="4" w:space="0" w:color="000000"/>
              <w:right w:val="single" w:sz="4" w:space="0" w:color="000000"/>
            </w:tcBorders>
            <w:tcMar>
              <w:top w:w="15" w:type="dxa"/>
              <w:left w:w="15" w:type="dxa"/>
              <w:bottom w:w="0" w:type="dxa"/>
              <w:right w:w="15" w:type="dxa"/>
            </w:tcMar>
            <w:vAlign w:val="center"/>
          </w:tcPr>
          <w:p w:rsidR="00A571F9" w:rsidRDefault="00A571F9">
            <w:pPr>
              <w:widowControl/>
              <w:jc w:val="center"/>
              <w:textAlignment w:val="center"/>
              <w:rPr>
                <w:rFonts w:ascii="宋体" w:hAnsi="宋体" w:cs="宋体"/>
                <w:color w:val="000000"/>
                <w:kern w:val="0"/>
                <w:sz w:val="24"/>
              </w:rPr>
            </w:pPr>
          </w:p>
        </w:tc>
        <w:tc>
          <w:tcPr>
            <w:tcW w:w="1025" w:type="dxa"/>
            <w:vMerge/>
            <w:tcBorders>
              <w:left w:val="single" w:sz="4" w:space="0" w:color="000000"/>
              <w:right w:val="single" w:sz="4" w:space="0" w:color="000000"/>
            </w:tcBorders>
            <w:tcMar>
              <w:top w:w="15" w:type="dxa"/>
              <w:left w:w="15" w:type="dxa"/>
              <w:bottom w:w="0" w:type="dxa"/>
              <w:right w:w="15" w:type="dxa"/>
            </w:tcMar>
            <w:vAlign w:val="center"/>
          </w:tcPr>
          <w:p w:rsidR="00A571F9" w:rsidRDefault="00A571F9">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保证24小时有人值班</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100%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值班率100%</w:t>
            </w:r>
          </w:p>
        </w:tc>
      </w:tr>
      <w:tr w:rsidR="00A571F9">
        <w:trPr>
          <w:trHeight w:val="403"/>
        </w:trPr>
        <w:tc>
          <w:tcPr>
            <w:tcW w:w="390" w:type="dxa"/>
            <w:vMerge/>
            <w:tcBorders>
              <w:top w:val="single" w:sz="4" w:space="0" w:color="000000"/>
              <w:left w:val="single" w:sz="4" w:space="0" w:color="000000"/>
              <w:bottom w:val="single" w:sz="4" w:space="0" w:color="000000"/>
              <w:right w:val="single" w:sz="4" w:space="0" w:color="000000"/>
            </w:tcBorders>
            <w:vAlign w:val="center"/>
          </w:tcPr>
          <w:p w:rsidR="00A571F9" w:rsidRDefault="00A571F9">
            <w:pPr>
              <w:widowControl/>
              <w:jc w:val="left"/>
              <w:rPr>
                <w:rFonts w:ascii="宋体" w:hAnsi="宋体" w:cs="宋体"/>
                <w:color w:val="000000"/>
                <w:sz w:val="24"/>
              </w:rPr>
            </w:pPr>
          </w:p>
        </w:tc>
        <w:tc>
          <w:tcPr>
            <w:tcW w:w="1367" w:type="dxa"/>
            <w:vMerge/>
            <w:tcBorders>
              <w:left w:val="single" w:sz="4" w:space="0" w:color="000000"/>
              <w:right w:val="single" w:sz="4" w:space="0" w:color="000000"/>
            </w:tcBorders>
            <w:tcMar>
              <w:top w:w="15" w:type="dxa"/>
              <w:left w:w="15" w:type="dxa"/>
              <w:bottom w:w="0" w:type="dxa"/>
              <w:right w:w="15" w:type="dxa"/>
            </w:tcMar>
            <w:vAlign w:val="center"/>
          </w:tcPr>
          <w:p w:rsidR="00A571F9" w:rsidRDefault="00A571F9">
            <w:pPr>
              <w:widowControl/>
              <w:jc w:val="center"/>
              <w:textAlignment w:val="center"/>
              <w:rPr>
                <w:rFonts w:ascii="宋体" w:hAnsi="宋体" w:cs="宋体"/>
                <w:color w:val="000000"/>
                <w:kern w:val="0"/>
                <w:sz w:val="24"/>
              </w:rPr>
            </w:pPr>
          </w:p>
        </w:tc>
        <w:tc>
          <w:tcPr>
            <w:tcW w:w="1025" w:type="dxa"/>
            <w:vMerge/>
            <w:tcBorders>
              <w:left w:val="single" w:sz="4" w:space="0" w:color="000000"/>
              <w:right w:val="single" w:sz="4" w:space="0" w:color="000000"/>
            </w:tcBorders>
            <w:tcMar>
              <w:top w:w="15" w:type="dxa"/>
              <w:left w:w="15" w:type="dxa"/>
              <w:bottom w:w="0" w:type="dxa"/>
              <w:right w:w="15" w:type="dxa"/>
            </w:tcMar>
            <w:vAlign w:val="center"/>
          </w:tcPr>
          <w:p w:rsidR="00A571F9" w:rsidRDefault="00A571F9">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政法会议光纤使用率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100%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光纤使用率100%</w:t>
            </w:r>
          </w:p>
        </w:tc>
      </w:tr>
      <w:tr w:rsidR="00A571F9">
        <w:trPr>
          <w:trHeight w:val="409"/>
        </w:trPr>
        <w:tc>
          <w:tcPr>
            <w:tcW w:w="390" w:type="dxa"/>
            <w:vMerge/>
            <w:tcBorders>
              <w:top w:val="single" w:sz="4" w:space="0" w:color="000000"/>
              <w:left w:val="single" w:sz="4" w:space="0" w:color="000000"/>
              <w:bottom w:val="single" w:sz="4" w:space="0" w:color="000000"/>
              <w:right w:val="single" w:sz="4" w:space="0" w:color="000000"/>
            </w:tcBorders>
            <w:vAlign w:val="center"/>
          </w:tcPr>
          <w:p w:rsidR="00A571F9" w:rsidRDefault="00A571F9">
            <w:pPr>
              <w:widowControl/>
              <w:jc w:val="left"/>
              <w:rPr>
                <w:rFonts w:ascii="宋体" w:hAnsi="宋体" w:cs="宋体"/>
                <w:color w:val="000000"/>
                <w:sz w:val="24"/>
              </w:rPr>
            </w:pPr>
          </w:p>
        </w:tc>
        <w:tc>
          <w:tcPr>
            <w:tcW w:w="1367"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A571F9">
            <w:pPr>
              <w:widowControl/>
              <w:jc w:val="center"/>
              <w:textAlignment w:val="center"/>
              <w:rPr>
                <w:rFonts w:ascii="宋体" w:hAnsi="宋体" w:cs="宋体"/>
                <w:color w:val="000000"/>
                <w:kern w:val="0"/>
                <w:sz w:val="24"/>
              </w:rPr>
            </w:pPr>
          </w:p>
        </w:tc>
        <w:tc>
          <w:tcPr>
            <w:tcW w:w="1025"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A571F9">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专网带宽保障率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100%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专网带宽保障率100%</w:t>
            </w:r>
          </w:p>
        </w:tc>
      </w:tr>
      <w:tr w:rsidR="00A571F9">
        <w:trPr>
          <w:trHeight w:val="544"/>
        </w:trPr>
        <w:tc>
          <w:tcPr>
            <w:tcW w:w="390" w:type="dxa"/>
            <w:vMerge/>
            <w:tcBorders>
              <w:top w:val="single" w:sz="4" w:space="0" w:color="000000"/>
              <w:left w:val="single" w:sz="4" w:space="0" w:color="000000"/>
              <w:bottom w:val="single" w:sz="4" w:space="0" w:color="000000"/>
              <w:right w:val="single" w:sz="4" w:space="0" w:color="000000"/>
            </w:tcBorders>
            <w:vAlign w:val="center"/>
          </w:tcPr>
          <w:p w:rsidR="00A571F9" w:rsidRDefault="00A571F9">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完成时间</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2018年完成</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工作已于2018年完成</w:t>
            </w:r>
          </w:p>
        </w:tc>
      </w:tr>
      <w:tr w:rsidR="00A571F9">
        <w:trPr>
          <w:trHeight w:val="416"/>
        </w:trPr>
        <w:tc>
          <w:tcPr>
            <w:tcW w:w="390" w:type="dxa"/>
            <w:vMerge/>
            <w:tcBorders>
              <w:top w:val="single" w:sz="4" w:space="0" w:color="000000"/>
              <w:left w:val="single" w:sz="4" w:space="0" w:color="000000"/>
              <w:bottom w:val="single" w:sz="4" w:space="0" w:color="000000"/>
              <w:right w:val="single" w:sz="4" w:space="0" w:color="000000"/>
            </w:tcBorders>
            <w:vAlign w:val="center"/>
          </w:tcPr>
          <w:p w:rsidR="00A571F9" w:rsidRDefault="00A571F9">
            <w:pPr>
              <w:widowControl/>
              <w:jc w:val="left"/>
              <w:rPr>
                <w:rFonts w:ascii="宋体" w:hAnsi="宋体" w:cs="宋体"/>
                <w:color w:val="000000"/>
                <w:sz w:val="24"/>
              </w:rPr>
            </w:pPr>
          </w:p>
        </w:tc>
        <w:tc>
          <w:tcPr>
            <w:tcW w:w="1367"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kern w:val="0"/>
                <w:sz w:val="24"/>
              </w:rPr>
            </w:pPr>
            <w:r>
              <w:rPr>
                <w:rFonts w:ascii="宋体" w:hAnsi="宋体" w:cs="宋体" w:hint="eastAsia"/>
                <w:color w:val="000000"/>
                <w:kern w:val="0"/>
                <w:sz w:val="24"/>
              </w:rPr>
              <w:t>项目完成指标</w:t>
            </w:r>
          </w:p>
        </w:tc>
        <w:tc>
          <w:tcPr>
            <w:tcW w:w="1025"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安保人员工资</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总计19万元，每人每月2700元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安保人员全年工资19万元</w:t>
            </w:r>
          </w:p>
        </w:tc>
      </w:tr>
      <w:tr w:rsidR="00A571F9">
        <w:trPr>
          <w:trHeight w:val="677"/>
        </w:trPr>
        <w:tc>
          <w:tcPr>
            <w:tcW w:w="390" w:type="dxa"/>
            <w:vMerge/>
            <w:tcBorders>
              <w:top w:val="single" w:sz="4" w:space="0" w:color="000000"/>
              <w:left w:val="single" w:sz="4" w:space="0" w:color="000000"/>
              <w:bottom w:val="single" w:sz="4" w:space="0" w:color="000000"/>
              <w:right w:val="single" w:sz="4" w:space="0" w:color="000000"/>
            </w:tcBorders>
            <w:vAlign w:val="center"/>
          </w:tcPr>
          <w:p w:rsidR="00A571F9" w:rsidRDefault="00A571F9">
            <w:pPr>
              <w:widowControl/>
              <w:jc w:val="left"/>
              <w:rPr>
                <w:rFonts w:ascii="宋体" w:hAnsi="宋体" w:cs="宋体"/>
                <w:color w:val="000000"/>
                <w:sz w:val="24"/>
              </w:rPr>
            </w:pPr>
          </w:p>
        </w:tc>
        <w:tc>
          <w:tcPr>
            <w:tcW w:w="1367" w:type="dxa"/>
            <w:vMerge/>
            <w:tcBorders>
              <w:left w:val="single" w:sz="4" w:space="0" w:color="000000"/>
              <w:right w:val="single" w:sz="4" w:space="0" w:color="000000"/>
            </w:tcBorders>
            <w:tcMar>
              <w:top w:w="15" w:type="dxa"/>
              <w:left w:w="15" w:type="dxa"/>
              <w:bottom w:w="0" w:type="dxa"/>
              <w:right w:w="15" w:type="dxa"/>
            </w:tcMar>
            <w:vAlign w:val="center"/>
          </w:tcPr>
          <w:p w:rsidR="00A571F9" w:rsidRDefault="00A571F9">
            <w:pPr>
              <w:jc w:val="center"/>
              <w:textAlignment w:val="center"/>
              <w:rPr>
                <w:rFonts w:ascii="宋体" w:hAnsi="宋体" w:cs="宋体"/>
                <w:color w:val="000000"/>
                <w:sz w:val="24"/>
              </w:rPr>
            </w:pPr>
          </w:p>
        </w:tc>
        <w:tc>
          <w:tcPr>
            <w:tcW w:w="1025" w:type="dxa"/>
            <w:vMerge/>
            <w:tcBorders>
              <w:left w:val="single" w:sz="4" w:space="0" w:color="000000"/>
              <w:right w:val="single" w:sz="4" w:space="0" w:color="000000"/>
            </w:tcBorders>
            <w:tcMar>
              <w:top w:w="15" w:type="dxa"/>
              <w:left w:w="15" w:type="dxa"/>
              <w:bottom w:w="0" w:type="dxa"/>
              <w:right w:w="15" w:type="dxa"/>
            </w:tcMar>
            <w:vAlign w:val="center"/>
          </w:tcPr>
          <w:p w:rsidR="00A571F9" w:rsidRDefault="00A571F9">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安保人员五险成本</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8万元，每人每月单位部分1100元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安保人员全年社保8万元</w:t>
            </w:r>
          </w:p>
        </w:tc>
      </w:tr>
      <w:tr w:rsidR="00A571F9">
        <w:trPr>
          <w:trHeight w:val="404"/>
        </w:trPr>
        <w:tc>
          <w:tcPr>
            <w:tcW w:w="390" w:type="dxa"/>
            <w:vMerge/>
            <w:tcBorders>
              <w:top w:val="single" w:sz="4" w:space="0" w:color="000000"/>
              <w:left w:val="single" w:sz="4" w:space="0" w:color="000000"/>
              <w:bottom w:val="single" w:sz="4" w:space="0" w:color="000000"/>
              <w:right w:val="single" w:sz="4" w:space="0" w:color="000000"/>
            </w:tcBorders>
            <w:vAlign w:val="center"/>
          </w:tcPr>
          <w:p w:rsidR="00A571F9" w:rsidRDefault="00A571F9">
            <w:pPr>
              <w:widowControl/>
              <w:jc w:val="left"/>
              <w:rPr>
                <w:rFonts w:ascii="宋体" w:hAnsi="宋体" w:cs="宋体"/>
                <w:color w:val="000000"/>
                <w:sz w:val="24"/>
              </w:rPr>
            </w:pPr>
          </w:p>
        </w:tc>
        <w:tc>
          <w:tcPr>
            <w:tcW w:w="1367"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A571F9">
            <w:pPr>
              <w:widowControl/>
              <w:jc w:val="center"/>
              <w:textAlignment w:val="center"/>
              <w:rPr>
                <w:rFonts w:ascii="宋体" w:hAnsi="宋体" w:cs="宋体"/>
                <w:color w:val="000000"/>
                <w:sz w:val="24"/>
              </w:rPr>
            </w:pPr>
          </w:p>
        </w:tc>
        <w:tc>
          <w:tcPr>
            <w:tcW w:w="1025"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A571F9">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政法光纤租赁成本</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约7.74万元，每月租赁维护费700元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全年政法光纤租赁费7.74万元</w:t>
            </w:r>
          </w:p>
        </w:tc>
      </w:tr>
      <w:tr w:rsidR="00A571F9">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A571F9" w:rsidRDefault="00A571F9">
            <w:pPr>
              <w:widowControl/>
              <w:jc w:val="left"/>
              <w:rPr>
                <w:rFonts w:ascii="宋体" w:hAnsi="宋体" w:cs="宋体"/>
                <w:color w:val="000000"/>
                <w:sz w:val="24"/>
              </w:rPr>
            </w:pPr>
          </w:p>
        </w:tc>
        <w:tc>
          <w:tcPr>
            <w:tcW w:w="1367"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效益指标</w:t>
            </w:r>
          </w:p>
        </w:tc>
        <w:tc>
          <w:tcPr>
            <w:tcW w:w="1025"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社会效益</w:t>
            </w:r>
            <w:r>
              <w:rPr>
                <w:rFonts w:ascii="宋体" w:hAnsi="宋体" w:cs="宋体" w:hint="eastAsia"/>
                <w:color w:val="000000"/>
                <w:sz w:val="24"/>
              </w:rPr>
              <w:br/>
              <w:t>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提供良好履职基础，服务社会发展能力。</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有所提升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聘用安保人员保证法院安全，提供良好的履职基础</w:t>
            </w:r>
          </w:p>
        </w:tc>
      </w:tr>
      <w:tr w:rsidR="00A571F9">
        <w:trPr>
          <w:trHeight w:val="259"/>
        </w:trPr>
        <w:tc>
          <w:tcPr>
            <w:tcW w:w="390" w:type="dxa"/>
            <w:vMerge/>
            <w:tcBorders>
              <w:top w:val="single" w:sz="4" w:space="0" w:color="000000"/>
              <w:left w:val="single" w:sz="4" w:space="0" w:color="000000"/>
              <w:bottom w:val="single" w:sz="4" w:space="0" w:color="000000"/>
              <w:right w:val="single" w:sz="4" w:space="0" w:color="000000"/>
            </w:tcBorders>
            <w:vAlign w:val="center"/>
          </w:tcPr>
          <w:p w:rsidR="00A571F9" w:rsidRDefault="00A571F9">
            <w:pPr>
              <w:widowControl/>
              <w:jc w:val="left"/>
              <w:rPr>
                <w:rFonts w:ascii="宋体" w:hAnsi="宋体" w:cs="宋体"/>
                <w:color w:val="000000"/>
                <w:sz w:val="24"/>
              </w:rPr>
            </w:pPr>
          </w:p>
        </w:tc>
        <w:tc>
          <w:tcPr>
            <w:tcW w:w="1367"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A571F9">
            <w:pPr>
              <w:widowControl/>
              <w:jc w:val="center"/>
              <w:textAlignment w:val="center"/>
              <w:rPr>
                <w:rFonts w:ascii="宋体" w:hAnsi="宋体" w:cs="宋体"/>
                <w:color w:val="000000"/>
                <w:sz w:val="24"/>
              </w:rPr>
            </w:pPr>
          </w:p>
        </w:tc>
        <w:tc>
          <w:tcPr>
            <w:tcW w:w="1025"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A571F9">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提供良好安全秩序，为法官和当事人提供舒适安全的办公环境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有所提升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聘请安保人员维持审判秩序，保证法院和当事人的安全</w:t>
            </w:r>
          </w:p>
        </w:tc>
      </w:tr>
      <w:tr w:rsidR="00A571F9">
        <w:trPr>
          <w:trHeight w:val="751"/>
        </w:trPr>
        <w:tc>
          <w:tcPr>
            <w:tcW w:w="390" w:type="dxa"/>
            <w:vMerge/>
            <w:tcBorders>
              <w:top w:val="single" w:sz="4" w:space="0" w:color="000000"/>
              <w:left w:val="single" w:sz="4" w:space="0" w:color="000000"/>
              <w:bottom w:val="single" w:sz="4" w:space="0" w:color="000000"/>
              <w:right w:val="single" w:sz="4" w:space="0" w:color="000000"/>
            </w:tcBorders>
            <w:vAlign w:val="center"/>
          </w:tcPr>
          <w:p w:rsidR="00A571F9" w:rsidRDefault="00A571F9">
            <w:pPr>
              <w:widowControl/>
              <w:jc w:val="left"/>
              <w:rPr>
                <w:rFonts w:ascii="宋体" w:hAnsi="宋体" w:cs="宋体"/>
                <w:color w:val="000000"/>
                <w:sz w:val="24"/>
              </w:rPr>
            </w:pPr>
          </w:p>
        </w:tc>
        <w:tc>
          <w:tcPr>
            <w:tcW w:w="1367"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A571F9">
            <w:pPr>
              <w:widowControl/>
              <w:jc w:val="center"/>
              <w:textAlignment w:val="center"/>
              <w:rPr>
                <w:rFonts w:ascii="宋体" w:hAnsi="宋体" w:cs="宋体"/>
                <w:color w:val="000000"/>
                <w:sz w:val="24"/>
              </w:rPr>
            </w:pP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可持续影响指标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保障法院运行，维护法院形象</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长效</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有利于保障法院运行，维护法院形象</w:t>
            </w:r>
          </w:p>
        </w:tc>
      </w:tr>
      <w:tr w:rsidR="00A571F9">
        <w:trPr>
          <w:trHeight w:val="543"/>
        </w:trPr>
        <w:tc>
          <w:tcPr>
            <w:tcW w:w="390" w:type="dxa"/>
            <w:vMerge/>
            <w:tcBorders>
              <w:top w:val="single" w:sz="4" w:space="0" w:color="000000"/>
              <w:left w:val="single" w:sz="4" w:space="0" w:color="000000"/>
              <w:bottom w:val="single" w:sz="4" w:space="0" w:color="000000"/>
              <w:right w:val="single" w:sz="4" w:space="0" w:color="000000"/>
            </w:tcBorders>
            <w:vAlign w:val="center"/>
          </w:tcPr>
          <w:p w:rsidR="00A571F9" w:rsidRDefault="00A571F9">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职工满意度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100%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571F9" w:rsidRDefault="004911A9">
            <w:pPr>
              <w:widowControl/>
              <w:jc w:val="center"/>
              <w:textAlignment w:val="center"/>
              <w:rPr>
                <w:rFonts w:ascii="宋体" w:hAnsi="宋体" w:cs="宋体"/>
                <w:color w:val="000000"/>
                <w:sz w:val="24"/>
              </w:rPr>
            </w:pPr>
            <w:r>
              <w:rPr>
                <w:rFonts w:ascii="宋体" w:hAnsi="宋体" w:cs="宋体" w:hint="eastAsia"/>
                <w:color w:val="000000"/>
                <w:sz w:val="24"/>
              </w:rPr>
              <w:t>职工对安保人员工作满意</w:t>
            </w:r>
          </w:p>
        </w:tc>
      </w:tr>
    </w:tbl>
    <w:p w:rsidR="00A571F9" w:rsidRDefault="00A571F9">
      <w:pPr>
        <w:spacing w:line="580" w:lineRule="exact"/>
        <w:rPr>
          <w:rFonts w:ascii="仿宋_GB2312" w:eastAsia="仿宋_GB2312" w:hAnsi="仿宋_GB2312" w:cs="仿宋_GB2312"/>
          <w:sz w:val="32"/>
          <w:szCs w:val="32"/>
        </w:rPr>
      </w:pPr>
    </w:p>
    <w:p w:rsidR="00A571F9" w:rsidRDefault="004911A9">
      <w:pPr>
        <w:numPr>
          <w:ilvl w:val="0"/>
          <w:numId w:val="3"/>
        </w:numPr>
        <w:spacing w:line="580" w:lineRule="exact"/>
        <w:ind w:firstLineChars="200" w:firstLine="643"/>
        <w:rPr>
          <w:rFonts w:ascii="仿宋" w:eastAsia="仿宋" w:hAnsi="仿宋" w:cs="仿宋_GB2312"/>
          <w:sz w:val="32"/>
          <w:szCs w:val="32"/>
        </w:rPr>
      </w:pPr>
      <w:r>
        <w:rPr>
          <w:rFonts w:ascii="仿宋" w:eastAsia="仿宋" w:hAnsi="仿宋" w:cs="楷体_GB2312" w:hint="eastAsia"/>
          <w:b/>
          <w:bCs/>
          <w:sz w:val="32"/>
          <w:szCs w:val="32"/>
        </w:rPr>
        <w:t>部门开展绩效评价结果。</w:t>
      </w:r>
    </w:p>
    <w:p w:rsidR="00A571F9" w:rsidRDefault="004911A9">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本部门按要求对2018年部门整体支出绩效评价情况开展自评，《攀枝花市中级人民法院2018年部门整体支出绩效评价报告》见附件。</w:t>
      </w:r>
    </w:p>
    <w:p w:rsidR="00A571F9" w:rsidRDefault="004911A9">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本部门自行组织对宣传经费项目开展了绩效评价，《宣传培训费项目2018年绩效评价报告》见附件。</w:t>
      </w:r>
    </w:p>
    <w:p w:rsidR="00A571F9" w:rsidRDefault="004911A9">
      <w:pPr>
        <w:spacing w:line="600" w:lineRule="exact"/>
        <w:ind w:firstLineChars="250" w:firstLine="800"/>
        <w:outlineLvl w:val="1"/>
        <w:rPr>
          <w:rStyle w:val="2Char"/>
          <w:rFonts w:ascii="黑体" w:eastAsia="黑体" w:hAnsi="黑体"/>
        </w:rPr>
      </w:pPr>
      <w:bookmarkStart w:id="51" w:name="_Toc15377221"/>
      <w:bookmarkStart w:id="52" w:name="_Toc15396612"/>
      <w:r>
        <w:rPr>
          <w:rFonts w:ascii="黑体" w:eastAsia="黑体" w:hAnsi="黑体" w:hint="eastAsia"/>
          <w:color w:val="000000"/>
          <w:sz w:val="32"/>
          <w:szCs w:val="32"/>
        </w:rPr>
        <w:t>十</w:t>
      </w:r>
      <w:r>
        <w:rPr>
          <w:rStyle w:val="2Char"/>
          <w:rFonts w:ascii="黑体" w:eastAsia="黑体" w:hAnsi="黑体" w:hint="eastAsia"/>
        </w:rPr>
        <w:t>一、</w:t>
      </w:r>
      <w:r>
        <w:rPr>
          <w:rStyle w:val="2Char"/>
          <w:rFonts w:ascii="黑体" w:eastAsia="黑体" w:hAnsi="黑体" w:hint="eastAsia"/>
          <w:b w:val="0"/>
        </w:rPr>
        <w:t>其他重要事项的情况说明</w:t>
      </w:r>
      <w:bookmarkEnd w:id="51"/>
      <w:bookmarkEnd w:id="52"/>
    </w:p>
    <w:p w:rsidR="00A571F9" w:rsidRDefault="004911A9">
      <w:pPr>
        <w:spacing w:line="600" w:lineRule="exact"/>
        <w:ind w:firstLineChars="200" w:firstLine="643"/>
        <w:outlineLvl w:val="2"/>
        <w:rPr>
          <w:rFonts w:ascii="仿宋" w:eastAsia="仿宋" w:hAnsi="仿宋"/>
          <w:color w:val="000000"/>
          <w:sz w:val="32"/>
          <w:szCs w:val="32"/>
        </w:rPr>
      </w:pPr>
      <w:bookmarkStart w:id="53" w:name="_Toc15377222"/>
      <w:r>
        <w:rPr>
          <w:rFonts w:ascii="仿宋" w:eastAsia="仿宋" w:hAnsi="仿宋" w:hint="eastAsia"/>
          <w:b/>
          <w:color w:val="000000"/>
          <w:sz w:val="32"/>
          <w:szCs w:val="32"/>
        </w:rPr>
        <w:t>（一）机关运行经费支出情况</w:t>
      </w:r>
      <w:bookmarkEnd w:id="53"/>
    </w:p>
    <w:p w:rsidR="00A571F9" w:rsidRDefault="004911A9">
      <w:pPr>
        <w:spacing w:line="600" w:lineRule="exact"/>
        <w:ind w:firstLineChars="200" w:firstLine="640"/>
        <w:rPr>
          <w:rFonts w:ascii="仿宋" w:eastAsia="仿宋" w:hAnsi="仿宋"/>
          <w:color w:val="000000" w:themeColor="text1"/>
          <w:sz w:val="32"/>
          <w:szCs w:val="32"/>
        </w:rPr>
      </w:pPr>
      <w:r>
        <w:rPr>
          <w:rFonts w:ascii="仿宋" w:eastAsia="仿宋" w:hAnsi="仿宋"/>
          <w:color w:val="000000"/>
          <w:sz w:val="32"/>
          <w:szCs w:val="32"/>
        </w:rPr>
        <w:t>201</w:t>
      </w:r>
      <w:r>
        <w:rPr>
          <w:rFonts w:ascii="仿宋" w:eastAsia="仿宋" w:hAnsi="仿宋" w:hint="eastAsia"/>
          <w:color w:val="000000"/>
          <w:sz w:val="32"/>
          <w:szCs w:val="32"/>
        </w:rPr>
        <w:t>8年，市法院机关运行经费支出39.20万元，比</w:t>
      </w:r>
      <w:r>
        <w:rPr>
          <w:rFonts w:ascii="仿宋" w:eastAsia="仿宋" w:hAnsi="仿宋"/>
          <w:color w:val="000000"/>
          <w:sz w:val="32"/>
          <w:szCs w:val="32"/>
        </w:rPr>
        <w:t>201</w:t>
      </w:r>
      <w:r>
        <w:rPr>
          <w:rFonts w:ascii="仿宋" w:eastAsia="仿宋" w:hAnsi="仿宋" w:hint="eastAsia"/>
          <w:color w:val="000000"/>
          <w:sz w:val="32"/>
          <w:szCs w:val="32"/>
        </w:rPr>
        <w:t>7年减少406.37万元，下降91.20</w:t>
      </w:r>
      <w:r>
        <w:rPr>
          <w:rFonts w:ascii="仿宋" w:eastAsia="仿宋" w:hAnsi="仿宋"/>
          <w:color w:val="000000"/>
          <w:sz w:val="32"/>
          <w:szCs w:val="32"/>
        </w:rPr>
        <w:t>%</w:t>
      </w:r>
      <w:r>
        <w:rPr>
          <w:rFonts w:ascii="仿宋" w:eastAsia="仿宋" w:hAnsi="仿宋" w:hint="eastAsia"/>
          <w:color w:val="000000"/>
          <w:sz w:val="32"/>
          <w:szCs w:val="32"/>
        </w:rPr>
        <w:t>。</w:t>
      </w:r>
      <w:r>
        <w:rPr>
          <w:rFonts w:ascii="仿宋" w:eastAsia="仿宋" w:hAnsi="仿宋" w:hint="eastAsia"/>
          <w:color w:val="000000" w:themeColor="text1"/>
          <w:sz w:val="32"/>
          <w:szCs w:val="32"/>
        </w:rPr>
        <w:t>主要原因是在申报2018</w:t>
      </w:r>
      <w:r>
        <w:rPr>
          <w:rFonts w:ascii="仿宋" w:eastAsia="仿宋" w:hAnsi="仿宋" w:hint="eastAsia"/>
          <w:color w:val="000000" w:themeColor="text1"/>
          <w:sz w:val="32"/>
          <w:szCs w:val="32"/>
        </w:rPr>
        <w:lastRenderedPageBreak/>
        <w:t>年预算时将机关运行经费选择为一般行政管理事务科目，故部分机关运行费用统计入项目支出中，故造成机关运行经费下降。</w:t>
      </w:r>
    </w:p>
    <w:p w:rsidR="00A571F9" w:rsidRDefault="004911A9">
      <w:pPr>
        <w:autoSpaceDE w:val="0"/>
        <w:autoSpaceDN w:val="0"/>
        <w:adjustRightInd w:val="0"/>
        <w:spacing w:line="600" w:lineRule="exact"/>
        <w:ind w:firstLineChars="200" w:firstLine="643"/>
        <w:jc w:val="left"/>
        <w:outlineLvl w:val="2"/>
        <w:rPr>
          <w:rFonts w:ascii="仿宋" w:eastAsia="仿宋" w:hAnsi="仿宋"/>
          <w:b/>
          <w:color w:val="000000"/>
          <w:sz w:val="32"/>
          <w:szCs w:val="32"/>
        </w:rPr>
      </w:pPr>
      <w:bookmarkStart w:id="54" w:name="_Toc15377223"/>
      <w:r>
        <w:rPr>
          <w:rFonts w:ascii="仿宋" w:eastAsia="仿宋" w:hAnsi="仿宋" w:hint="eastAsia"/>
          <w:b/>
          <w:color w:val="000000"/>
          <w:sz w:val="32"/>
          <w:szCs w:val="32"/>
        </w:rPr>
        <w:t>（二）政府采购支出情况</w:t>
      </w:r>
      <w:bookmarkEnd w:id="54"/>
    </w:p>
    <w:p w:rsidR="00A571F9" w:rsidRDefault="004911A9">
      <w:pPr>
        <w:spacing w:line="600" w:lineRule="exact"/>
        <w:ind w:firstLineChars="200" w:firstLine="640"/>
        <w:rPr>
          <w:rFonts w:ascii="仿宋" w:eastAsia="仿宋" w:hAnsi="仿宋"/>
          <w:color w:val="000000"/>
          <w:sz w:val="32"/>
          <w:szCs w:val="32"/>
        </w:rPr>
      </w:pPr>
      <w:r>
        <w:rPr>
          <w:rFonts w:ascii="仿宋" w:eastAsia="仿宋" w:hAnsi="仿宋"/>
          <w:color w:val="000000"/>
          <w:sz w:val="32"/>
          <w:szCs w:val="32"/>
        </w:rPr>
        <w:t>201</w:t>
      </w:r>
      <w:r>
        <w:rPr>
          <w:rFonts w:ascii="仿宋" w:eastAsia="仿宋" w:hAnsi="仿宋" w:hint="eastAsia"/>
          <w:color w:val="000000"/>
          <w:sz w:val="32"/>
          <w:szCs w:val="32"/>
        </w:rPr>
        <w:t>8年，市法院政府采购支出总额18.60万元，其中：政府采购货物支出18.60万元、政府采购工程支出0万元、政府采购服务支出0万元。主要用于办公电脑设备的购置和中院司法公开服务平台、综合业务系统及终端安全软件质保金。授予中小企业合同金额0万元，占政府采购支出总额的0</w:t>
      </w:r>
      <w:r>
        <w:rPr>
          <w:rFonts w:ascii="仿宋" w:eastAsia="仿宋" w:hAnsi="仿宋"/>
          <w:color w:val="000000"/>
          <w:sz w:val="32"/>
          <w:szCs w:val="32"/>
        </w:rPr>
        <w:t>%</w:t>
      </w:r>
      <w:r>
        <w:rPr>
          <w:rFonts w:ascii="仿宋" w:eastAsia="仿宋" w:hAnsi="仿宋" w:hint="eastAsia"/>
          <w:color w:val="000000"/>
          <w:sz w:val="32"/>
          <w:szCs w:val="32"/>
        </w:rPr>
        <w:t>，其中：授予小微企业合同金额0万元，占政府采购支出总额的0</w:t>
      </w:r>
      <w:r>
        <w:rPr>
          <w:rFonts w:ascii="仿宋" w:eastAsia="仿宋" w:hAnsi="仿宋"/>
          <w:color w:val="000000"/>
          <w:sz w:val="32"/>
          <w:szCs w:val="32"/>
        </w:rPr>
        <w:t>%</w:t>
      </w:r>
      <w:r>
        <w:rPr>
          <w:rFonts w:ascii="仿宋" w:eastAsia="仿宋" w:hAnsi="仿宋" w:hint="eastAsia"/>
          <w:color w:val="000000"/>
          <w:sz w:val="32"/>
          <w:szCs w:val="32"/>
        </w:rPr>
        <w:t>。</w:t>
      </w:r>
    </w:p>
    <w:p w:rsidR="00A571F9" w:rsidRDefault="004911A9">
      <w:pPr>
        <w:autoSpaceDE w:val="0"/>
        <w:autoSpaceDN w:val="0"/>
        <w:adjustRightInd w:val="0"/>
        <w:spacing w:line="600" w:lineRule="exact"/>
        <w:ind w:firstLineChars="200" w:firstLine="643"/>
        <w:jc w:val="left"/>
        <w:outlineLvl w:val="2"/>
        <w:rPr>
          <w:rFonts w:ascii="仿宋" w:eastAsia="仿宋" w:hAnsi="仿宋"/>
          <w:b/>
          <w:color w:val="000000"/>
          <w:sz w:val="32"/>
          <w:szCs w:val="32"/>
        </w:rPr>
      </w:pPr>
      <w:bookmarkStart w:id="55" w:name="_Toc15377224"/>
      <w:r>
        <w:rPr>
          <w:rFonts w:ascii="仿宋" w:eastAsia="仿宋" w:hAnsi="仿宋" w:hint="eastAsia"/>
          <w:b/>
          <w:color w:val="000000"/>
          <w:sz w:val="32"/>
          <w:szCs w:val="32"/>
        </w:rPr>
        <w:t>（三）国有资产占有使用情况</w:t>
      </w:r>
      <w:bookmarkEnd w:id="55"/>
    </w:p>
    <w:p w:rsidR="00A571F9" w:rsidRDefault="004911A9">
      <w:pPr>
        <w:autoSpaceDE w:val="0"/>
        <w:autoSpaceDN w:val="0"/>
        <w:adjustRightInd w:val="0"/>
        <w:spacing w:line="600" w:lineRule="exact"/>
        <w:ind w:firstLineChars="200" w:firstLine="640"/>
        <w:jc w:val="left"/>
        <w:rPr>
          <w:rFonts w:ascii="仿宋" w:eastAsia="仿宋" w:hAnsi="仿宋"/>
          <w:color w:val="000000"/>
          <w:sz w:val="32"/>
          <w:szCs w:val="32"/>
        </w:rPr>
      </w:pPr>
      <w:r>
        <w:rPr>
          <w:rFonts w:ascii="仿宋" w:eastAsia="仿宋" w:hAnsi="仿宋" w:hint="eastAsia"/>
          <w:color w:val="000000"/>
          <w:sz w:val="32"/>
          <w:szCs w:val="32"/>
        </w:rPr>
        <w:t>截至</w:t>
      </w:r>
      <w:r>
        <w:rPr>
          <w:rFonts w:ascii="仿宋" w:eastAsia="仿宋" w:hAnsi="仿宋"/>
          <w:color w:val="000000"/>
          <w:sz w:val="32"/>
          <w:szCs w:val="32"/>
        </w:rPr>
        <w:t>201</w:t>
      </w:r>
      <w:r>
        <w:rPr>
          <w:rFonts w:ascii="仿宋" w:eastAsia="仿宋" w:hAnsi="仿宋" w:hint="eastAsia"/>
          <w:color w:val="000000"/>
          <w:sz w:val="32"/>
          <w:szCs w:val="32"/>
        </w:rPr>
        <w:t>8年</w:t>
      </w:r>
      <w:r>
        <w:rPr>
          <w:rFonts w:ascii="仿宋" w:eastAsia="仿宋" w:hAnsi="仿宋"/>
          <w:color w:val="000000"/>
          <w:sz w:val="32"/>
          <w:szCs w:val="32"/>
        </w:rPr>
        <w:t>12</w:t>
      </w:r>
      <w:r>
        <w:rPr>
          <w:rFonts w:ascii="仿宋" w:eastAsia="仿宋" w:hAnsi="仿宋" w:hint="eastAsia"/>
          <w:color w:val="000000"/>
          <w:sz w:val="32"/>
          <w:szCs w:val="32"/>
        </w:rPr>
        <w:t>月</w:t>
      </w:r>
      <w:r>
        <w:rPr>
          <w:rFonts w:ascii="仿宋" w:eastAsia="仿宋" w:hAnsi="仿宋"/>
          <w:color w:val="000000"/>
          <w:sz w:val="32"/>
          <w:szCs w:val="32"/>
        </w:rPr>
        <w:t>31</w:t>
      </w:r>
      <w:r>
        <w:rPr>
          <w:rFonts w:ascii="仿宋" w:eastAsia="仿宋" w:hAnsi="仿宋" w:hint="eastAsia"/>
          <w:color w:val="000000"/>
          <w:sz w:val="32"/>
          <w:szCs w:val="32"/>
        </w:rPr>
        <w:t>日，市法院共有车辆33辆，其中：部级领导干部用车0辆、一般公务用车1辆、一般执法执勤用车12辆、特种专业技术用车11辆、其他用车9辆，</w:t>
      </w:r>
      <w:r>
        <w:rPr>
          <w:rFonts w:ascii="仿宋" w:eastAsia="仿宋" w:hAnsi="仿宋" w:hint="eastAsia"/>
          <w:color w:val="000000" w:themeColor="text1"/>
          <w:sz w:val="32"/>
          <w:szCs w:val="32"/>
        </w:rPr>
        <w:t>其他用车主要是用于在公务车改革时已上缴但未办理交结手续的车辆数，因此实有为24辆。单价</w:t>
      </w:r>
      <w:r>
        <w:rPr>
          <w:rFonts w:ascii="仿宋" w:eastAsia="仿宋" w:hAnsi="仿宋"/>
          <w:color w:val="000000" w:themeColor="text1"/>
          <w:sz w:val="32"/>
          <w:szCs w:val="32"/>
        </w:rPr>
        <w:t>50</w:t>
      </w:r>
      <w:r>
        <w:rPr>
          <w:rFonts w:ascii="仿宋" w:eastAsia="仿宋" w:hAnsi="仿宋" w:hint="eastAsia"/>
          <w:color w:val="000000" w:themeColor="text1"/>
          <w:sz w:val="32"/>
          <w:szCs w:val="32"/>
        </w:rPr>
        <w:t>万元以上通用设备7台（套），单价</w:t>
      </w:r>
      <w:r>
        <w:rPr>
          <w:rFonts w:ascii="仿宋" w:eastAsia="仿宋" w:hAnsi="仿宋"/>
          <w:color w:val="000000" w:themeColor="text1"/>
          <w:sz w:val="32"/>
          <w:szCs w:val="32"/>
        </w:rPr>
        <w:t>100</w:t>
      </w:r>
      <w:r>
        <w:rPr>
          <w:rFonts w:ascii="仿宋" w:eastAsia="仿宋" w:hAnsi="仿宋" w:hint="eastAsia"/>
          <w:color w:val="000000"/>
          <w:sz w:val="32"/>
          <w:szCs w:val="32"/>
        </w:rPr>
        <w:t>万元以上专用设备0台（套）。</w:t>
      </w:r>
    </w:p>
    <w:p w:rsidR="00A571F9" w:rsidRDefault="00A571F9" w:rsidP="00D713BE">
      <w:pPr>
        <w:spacing w:line="600" w:lineRule="atLeast"/>
        <w:ind w:firstLineChars="200" w:firstLine="643"/>
        <w:rPr>
          <w:rFonts w:ascii="仿宋_GB2312" w:eastAsia="仿宋_GB2312"/>
          <w:b/>
          <w:color w:val="000000"/>
          <w:sz w:val="32"/>
          <w:szCs w:val="32"/>
        </w:rPr>
      </w:pPr>
    </w:p>
    <w:p w:rsidR="00A571F9" w:rsidRDefault="004911A9">
      <w:pPr>
        <w:widowControl/>
        <w:jc w:val="left"/>
        <w:rPr>
          <w:rFonts w:ascii="仿宋_GB2312" w:eastAsia="仿宋_GB2312"/>
          <w:b/>
          <w:color w:val="000000"/>
          <w:sz w:val="32"/>
          <w:szCs w:val="32"/>
        </w:rPr>
      </w:pPr>
      <w:r>
        <w:rPr>
          <w:rFonts w:ascii="仿宋_GB2312" w:eastAsia="仿宋_GB2312"/>
          <w:b/>
          <w:color w:val="000000"/>
          <w:sz w:val="32"/>
          <w:szCs w:val="32"/>
        </w:rPr>
        <w:br w:type="page"/>
      </w:r>
    </w:p>
    <w:p w:rsidR="00A571F9" w:rsidRDefault="004911A9">
      <w:pPr>
        <w:numPr>
          <w:ilvl w:val="0"/>
          <w:numId w:val="5"/>
        </w:numPr>
        <w:spacing w:line="600" w:lineRule="exact"/>
        <w:ind w:firstLineChars="150" w:firstLine="663"/>
        <w:jc w:val="center"/>
        <w:outlineLvl w:val="0"/>
        <w:rPr>
          <w:rStyle w:val="1Char"/>
          <w:rFonts w:ascii="黑体" w:eastAsia="黑体" w:hAnsi="黑体"/>
          <w:b w:val="0"/>
        </w:rPr>
      </w:pPr>
      <w:bookmarkStart w:id="56" w:name="_Toc15377225"/>
      <w:bookmarkStart w:id="57" w:name="_Toc15396613"/>
      <w:r>
        <w:rPr>
          <w:rFonts w:ascii="黑体" w:eastAsia="黑体" w:hAnsi="黑体" w:hint="eastAsia"/>
          <w:b/>
          <w:color w:val="000000"/>
          <w:sz w:val="44"/>
          <w:szCs w:val="44"/>
        </w:rPr>
        <w:lastRenderedPageBreak/>
        <w:t>名</w:t>
      </w:r>
      <w:r>
        <w:rPr>
          <w:rStyle w:val="1Char"/>
          <w:rFonts w:ascii="黑体" w:eastAsia="黑体" w:hAnsi="黑体" w:hint="eastAsia"/>
          <w:b w:val="0"/>
        </w:rPr>
        <w:t>词解释</w:t>
      </w:r>
      <w:bookmarkEnd w:id="56"/>
      <w:bookmarkEnd w:id="57"/>
    </w:p>
    <w:p w:rsidR="00A571F9" w:rsidRDefault="00A571F9">
      <w:pPr>
        <w:spacing w:line="600" w:lineRule="exact"/>
        <w:jc w:val="left"/>
        <w:rPr>
          <w:rFonts w:ascii="宋体"/>
          <w:b/>
          <w:color w:val="000000"/>
          <w:sz w:val="44"/>
          <w:szCs w:val="44"/>
        </w:rPr>
      </w:pPr>
    </w:p>
    <w:p w:rsidR="00A571F9" w:rsidRDefault="004911A9">
      <w:pPr>
        <w:pStyle w:val="Default"/>
        <w:spacing w:line="560" w:lineRule="exact"/>
        <w:ind w:firstLineChars="200" w:firstLine="640"/>
        <w:rPr>
          <w:rFonts w:hAnsi="仿宋"/>
          <w:sz w:val="32"/>
          <w:szCs w:val="32"/>
        </w:rPr>
      </w:pPr>
      <w:r>
        <w:rPr>
          <w:rFonts w:hAnsi="仿宋"/>
          <w:sz w:val="32"/>
          <w:szCs w:val="32"/>
        </w:rPr>
        <w:t>1.</w:t>
      </w:r>
      <w:r>
        <w:rPr>
          <w:rFonts w:hAnsi="仿宋" w:hint="eastAsia"/>
          <w:sz w:val="32"/>
          <w:szCs w:val="32"/>
        </w:rPr>
        <w:t>财政拨款收入：指单位从同级财政部门取得的财政预算资金。</w:t>
      </w:r>
    </w:p>
    <w:p w:rsidR="00A571F9" w:rsidRDefault="004911A9">
      <w:pPr>
        <w:pStyle w:val="Default"/>
        <w:spacing w:line="560" w:lineRule="exact"/>
        <w:ind w:firstLineChars="200" w:firstLine="640"/>
        <w:rPr>
          <w:rFonts w:hAnsi="仿宋"/>
          <w:sz w:val="32"/>
          <w:szCs w:val="32"/>
        </w:rPr>
      </w:pPr>
      <w:r>
        <w:rPr>
          <w:rFonts w:hAnsi="仿宋"/>
          <w:sz w:val="32"/>
          <w:szCs w:val="32"/>
        </w:rPr>
        <w:t>2.</w:t>
      </w:r>
      <w:r>
        <w:rPr>
          <w:rFonts w:hAnsi="仿宋" w:hint="eastAsia"/>
          <w:sz w:val="32"/>
          <w:szCs w:val="32"/>
        </w:rPr>
        <w:t>事业收入：指事业单位开展专业业务活动及辅助活动取得的收入。</w:t>
      </w:r>
    </w:p>
    <w:p w:rsidR="00A571F9" w:rsidRDefault="004911A9">
      <w:pPr>
        <w:pStyle w:val="Default"/>
        <w:spacing w:line="560" w:lineRule="exact"/>
        <w:ind w:firstLineChars="200" w:firstLine="640"/>
        <w:rPr>
          <w:rFonts w:hAnsi="仿宋"/>
          <w:sz w:val="32"/>
          <w:szCs w:val="32"/>
        </w:rPr>
      </w:pPr>
      <w:r>
        <w:rPr>
          <w:rFonts w:hAnsi="仿宋"/>
          <w:sz w:val="32"/>
          <w:szCs w:val="32"/>
        </w:rPr>
        <w:t>3.</w:t>
      </w:r>
      <w:r>
        <w:rPr>
          <w:rFonts w:hAnsi="仿宋" w:hint="eastAsia"/>
          <w:sz w:val="32"/>
          <w:szCs w:val="32"/>
        </w:rPr>
        <w:t>经营收入：指事业单位在专业业务活动及其辅助活动之外开展非独立核算经营活动取得的收入。</w:t>
      </w:r>
    </w:p>
    <w:p w:rsidR="00A571F9" w:rsidRDefault="004911A9">
      <w:pPr>
        <w:pStyle w:val="Default"/>
        <w:spacing w:line="560" w:lineRule="exact"/>
        <w:ind w:firstLineChars="200" w:firstLine="640"/>
        <w:rPr>
          <w:rFonts w:hAnsi="仿宋"/>
          <w:sz w:val="32"/>
          <w:szCs w:val="32"/>
        </w:rPr>
      </w:pPr>
      <w:r>
        <w:rPr>
          <w:rFonts w:hAnsi="仿宋"/>
          <w:sz w:val="32"/>
          <w:szCs w:val="32"/>
        </w:rPr>
        <w:t>4.</w:t>
      </w:r>
      <w:r>
        <w:rPr>
          <w:rFonts w:hAnsi="仿宋" w:hint="eastAsia"/>
          <w:sz w:val="32"/>
          <w:szCs w:val="32"/>
        </w:rPr>
        <w:t>其他收入：指单位取得的除上述收入以外的各项收入。主要是银行利息收入等。</w:t>
      </w:r>
    </w:p>
    <w:p w:rsidR="00A571F9" w:rsidRDefault="004911A9">
      <w:pPr>
        <w:pStyle w:val="Default"/>
        <w:spacing w:line="560" w:lineRule="exact"/>
        <w:ind w:firstLineChars="200" w:firstLine="640"/>
        <w:rPr>
          <w:rFonts w:hAnsi="仿宋"/>
          <w:sz w:val="32"/>
          <w:szCs w:val="32"/>
        </w:rPr>
      </w:pPr>
      <w:r>
        <w:rPr>
          <w:rFonts w:hAnsi="仿宋"/>
          <w:sz w:val="32"/>
          <w:szCs w:val="32"/>
        </w:rPr>
        <w:t>5.</w:t>
      </w:r>
      <w:r>
        <w:rPr>
          <w:rFonts w:hAnsi="仿宋" w:hint="eastAsia"/>
          <w:sz w:val="32"/>
          <w:szCs w:val="32"/>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rsidR="00A571F9" w:rsidRDefault="004911A9">
      <w:pPr>
        <w:pStyle w:val="Default"/>
        <w:spacing w:line="560" w:lineRule="exact"/>
        <w:ind w:firstLineChars="200" w:firstLine="640"/>
        <w:rPr>
          <w:rFonts w:hAnsi="仿宋"/>
          <w:sz w:val="32"/>
          <w:szCs w:val="32"/>
        </w:rPr>
      </w:pPr>
      <w:r>
        <w:rPr>
          <w:rFonts w:hAnsi="仿宋"/>
          <w:sz w:val="32"/>
          <w:szCs w:val="32"/>
        </w:rPr>
        <w:t>6.</w:t>
      </w:r>
      <w:r>
        <w:rPr>
          <w:rFonts w:hAnsi="仿宋" w:hint="eastAsia"/>
          <w:sz w:val="32"/>
          <w:szCs w:val="32"/>
        </w:rPr>
        <w:t>年初结转和结余：指以前年度尚未完成、结转到本年按有关规定继续使用的资金。</w:t>
      </w:r>
    </w:p>
    <w:p w:rsidR="00A571F9" w:rsidRDefault="004911A9">
      <w:pPr>
        <w:pStyle w:val="Default"/>
        <w:spacing w:line="560" w:lineRule="exact"/>
        <w:ind w:firstLineChars="200" w:firstLine="640"/>
        <w:rPr>
          <w:rFonts w:hAnsi="仿宋"/>
          <w:sz w:val="32"/>
          <w:szCs w:val="32"/>
        </w:rPr>
      </w:pPr>
      <w:r>
        <w:rPr>
          <w:rFonts w:hAnsi="仿宋"/>
          <w:sz w:val="32"/>
          <w:szCs w:val="32"/>
        </w:rPr>
        <w:t>7.</w:t>
      </w:r>
      <w:r>
        <w:rPr>
          <w:rFonts w:hAnsi="仿宋" w:hint="eastAsia"/>
          <w:sz w:val="32"/>
          <w:szCs w:val="32"/>
        </w:rPr>
        <w:t>结余分配：指事业单位按照事业单位会计制度的规定从非财政补助结余中分配的事业基金和职工福利基金等。</w:t>
      </w:r>
    </w:p>
    <w:p w:rsidR="00A571F9" w:rsidRDefault="004911A9">
      <w:pPr>
        <w:pStyle w:val="Default"/>
        <w:spacing w:line="560" w:lineRule="exact"/>
        <w:ind w:firstLineChars="200" w:firstLine="640"/>
        <w:rPr>
          <w:rFonts w:hAnsi="仿宋"/>
          <w:sz w:val="32"/>
          <w:szCs w:val="32"/>
        </w:rPr>
      </w:pPr>
      <w:r>
        <w:rPr>
          <w:rFonts w:hAnsi="仿宋"/>
          <w:sz w:val="32"/>
          <w:szCs w:val="32"/>
        </w:rPr>
        <w:t>8</w:t>
      </w:r>
      <w:r>
        <w:rPr>
          <w:rFonts w:hAnsi="仿宋" w:hint="eastAsia"/>
          <w:sz w:val="32"/>
          <w:szCs w:val="32"/>
        </w:rPr>
        <w:t>、年末结转和结余：指单位按有关规定结转到下年或以后年度继续使用的资金。</w:t>
      </w:r>
    </w:p>
    <w:p w:rsidR="00A571F9" w:rsidRDefault="004911A9">
      <w:pPr>
        <w:ind w:firstLineChars="200" w:firstLine="640"/>
        <w:rPr>
          <w:rFonts w:ascii="仿宋" w:eastAsia="仿宋" w:hAnsi="仿宋"/>
          <w:color w:val="000000"/>
          <w:sz w:val="32"/>
          <w:szCs w:val="32"/>
        </w:rPr>
      </w:pPr>
      <w:r>
        <w:rPr>
          <w:rFonts w:ascii="仿宋" w:eastAsia="仿宋" w:hAnsi="仿宋"/>
          <w:color w:val="000000"/>
          <w:sz w:val="32"/>
          <w:szCs w:val="32"/>
        </w:rPr>
        <w:t>9.</w:t>
      </w:r>
      <w:r>
        <w:rPr>
          <w:rFonts w:ascii="仿宋" w:eastAsia="仿宋" w:hAnsi="仿宋" w:cs="仿宋" w:hint="eastAsia"/>
          <w:color w:val="000000"/>
          <w:kern w:val="0"/>
          <w:sz w:val="32"/>
          <w:szCs w:val="32"/>
        </w:rPr>
        <w:t>一般公共服务（类）组织事务（款）其他组织事务（项）：指其他用于中国共产党组织部门的事务支出。</w:t>
      </w:r>
    </w:p>
    <w:p w:rsidR="00A571F9" w:rsidRDefault="004911A9">
      <w:pPr>
        <w:ind w:firstLineChars="200" w:firstLine="640"/>
        <w:rPr>
          <w:rFonts w:ascii="仿宋" w:eastAsia="仿宋" w:hAnsi="仿宋"/>
          <w:color w:val="000000"/>
          <w:sz w:val="32"/>
          <w:szCs w:val="32"/>
        </w:rPr>
      </w:pPr>
      <w:r>
        <w:rPr>
          <w:rFonts w:ascii="仿宋" w:eastAsia="仿宋" w:hAnsi="仿宋"/>
          <w:color w:val="000000"/>
          <w:sz w:val="32"/>
          <w:szCs w:val="32"/>
        </w:rPr>
        <w:t>10.</w:t>
      </w:r>
      <w:r>
        <w:rPr>
          <w:rFonts w:ascii="仿宋" w:eastAsia="仿宋" w:hAnsi="仿宋" w:cs="仿宋" w:hint="eastAsia"/>
          <w:color w:val="000000"/>
          <w:kern w:val="0"/>
          <w:sz w:val="32"/>
          <w:szCs w:val="32"/>
        </w:rPr>
        <w:t>公共安全（类）法院（款）行政运行（项）：指反</w:t>
      </w:r>
      <w:r>
        <w:rPr>
          <w:rFonts w:ascii="仿宋" w:eastAsia="仿宋" w:hAnsi="仿宋" w:cs="仿宋" w:hint="eastAsia"/>
          <w:color w:val="000000"/>
          <w:kern w:val="0"/>
          <w:sz w:val="32"/>
          <w:szCs w:val="32"/>
        </w:rPr>
        <w:lastRenderedPageBreak/>
        <w:t>映行政单位的基本支出。</w:t>
      </w:r>
    </w:p>
    <w:p w:rsidR="00A571F9" w:rsidRDefault="004911A9">
      <w:pPr>
        <w:ind w:firstLineChars="200" w:firstLine="640"/>
        <w:rPr>
          <w:rFonts w:ascii="仿宋" w:eastAsia="仿宋" w:hAnsi="仿宋"/>
          <w:color w:val="000000"/>
          <w:sz w:val="32"/>
          <w:szCs w:val="32"/>
        </w:rPr>
      </w:pPr>
      <w:r>
        <w:rPr>
          <w:rFonts w:ascii="仿宋" w:eastAsia="仿宋" w:hAnsi="仿宋"/>
          <w:color w:val="000000"/>
          <w:sz w:val="32"/>
          <w:szCs w:val="32"/>
        </w:rPr>
        <w:t>11.</w:t>
      </w:r>
      <w:r>
        <w:rPr>
          <w:rFonts w:ascii="仿宋" w:eastAsia="仿宋" w:hAnsi="仿宋" w:cs="仿宋" w:hint="eastAsia"/>
          <w:color w:val="000000"/>
          <w:kern w:val="0"/>
          <w:sz w:val="32"/>
          <w:szCs w:val="32"/>
        </w:rPr>
        <w:t>公共安全（类）法院（款）一般行政管理事务（项）：指反映行政单位未单独设置项级科目的其他项目支出。</w:t>
      </w:r>
    </w:p>
    <w:p w:rsidR="00A571F9" w:rsidRDefault="004911A9">
      <w:pPr>
        <w:ind w:firstLineChars="200" w:firstLine="640"/>
        <w:rPr>
          <w:rFonts w:ascii="仿宋" w:eastAsia="仿宋" w:hAnsi="仿宋" w:cs="仿宋"/>
          <w:color w:val="000000"/>
          <w:kern w:val="0"/>
          <w:sz w:val="32"/>
          <w:szCs w:val="32"/>
        </w:rPr>
      </w:pPr>
      <w:r>
        <w:rPr>
          <w:rFonts w:ascii="仿宋" w:eastAsia="仿宋" w:hAnsi="仿宋"/>
          <w:color w:val="000000"/>
          <w:sz w:val="32"/>
          <w:szCs w:val="32"/>
        </w:rPr>
        <w:t>12.</w:t>
      </w:r>
      <w:r>
        <w:rPr>
          <w:rFonts w:ascii="仿宋" w:eastAsia="仿宋" w:hAnsi="仿宋" w:cs="仿宋" w:hint="eastAsia"/>
          <w:color w:val="000000"/>
          <w:kern w:val="0"/>
          <w:sz w:val="32"/>
          <w:szCs w:val="32"/>
        </w:rPr>
        <w:t>公共安全（类）法院（款）其他法院支出（项）：指反映其他用于法院方面的支出。</w:t>
      </w:r>
    </w:p>
    <w:p w:rsidR="00A571F9" w:rsidRDefault="004911A9">
      <w:pPr>
        <w:ind w:firstLineChars="200" w:firstLine="640"/>
        <w:rPr>
          <w:rFonts w:ascii="仿宋" w:eastAsia="仿宋" w:hAnsi="仿宋" w:cs="仿宋"/>
          <w:color w:val="000000"/>
          <w:kern w:val="0"/>
          <w:sz w:val="32"/>
          <w:szCs w:val="32"/>
        </w:rPr>
      </w:pPr>
      <w:r>
        <w:rPr>
          <w:rFonts w:ascii="仿宋" w:eastAsia="仿宋" w:hAnsi="仿宋" w:cs="仿宋" w:hint="eastAsia"/>
          <w:color w:val="000000"/>
          <w:kern w:val="0"/>
          <w:sz w:val="32"/>
          <w:szCs w:val="32"/>
        </w:rPr>
        <w:t>13. 公共安全（类）其他公共安全（款）其他公共安全（项）：指反映除上述项目以外其他用于公共安全方面的支出。</w:t>
      </w:r>
    </w:p>
    <w:p w:rsidR="00A571F9" w:rsidRDefault="004911A9">
      <w:pPr>
        <w:ind w:firstLineChars="200" w:firstLine="640"/>
        <w:rPr>
          <w:rFonts w:ascii="仿宋" w:eastAsia="仿宋" w:hAnsi="仿宋"/>
          <w:color w:val="000000"/>
          <w:sz w:val="32"/>
          <w:szCs w:val="32"/>
        </w:rPr>
      </w:pPr>
      <w:r>
        <w:rPr>
          <w:rFonts w:ascii="仿宋" w:eastAsia="仿宋" w:hAnsi="仿宋"/>
          <w:color w:val="000000"/>
          <w:sz w:val="32"/>
          <w:szCs w:val="32"/>
        </w:rPr>
        <w:t>1</w:t>
      </w:r>
      <w:r>
        <w:rPr>
          <w:rFonts w:ascii="仿宋" w:eastAsia="仿宋" w:hAnsi="仿宋" w:hint="eastAsia"/>
          <w:color w:val="000000"/>
          <w:sz w:val="32"/>
          <w:szCs w:val="32"/>
        </w:rPr>
        <w:t>4</w:t>
      </w:r>
      <w:r>
        <w:rPr>
          <w:rFonts w:ascii="仿宋" w:eastAsia="仿宋" w:hAnsi="仿宋"/>
          <w:color w:val="000000"/>
          <w:sz w:val="32"/>
          <w:szCs w:val="32"/>
        </w:rPr>
        <w:t>.</w:t>
      </w:r>
      <w:r>
        <w:rPr>
          <w:rFonts w:ascii="仿宋" w:eastAsia="仿宋" w:hAnsi="仿宋" w:cs="仿宋" w:hint="eastAsia"/>
          <w:color w:val="000000"/>
          <w:kern w:val="0"/>
          <w:sz w:val="32"/>
          <w:szCs w:val="32"/>
        </w:rPr>
        <w:t>社会保障和就业（类）行政事业单位离退休（款）未归口管理的行政单位离退休（项）：指反映未实行归口管理的行政单位开支的离退休支出。</w:t>
      </w:r>
    </w:p>
    <w:p w:rsidR="00A571F9" w:rsidRDefault="004911A9">
      <w:pPr>
        <w:ind w:firstLineChars="200" w:firstLine="640"/>
        <w:rPr>
          <w:rFonts w:ascii="仿宋" w:eastAsia="仿宋" w:hAnsi="仿宋" w:cs="仿宋"/>
          <w:color w:val="000000"/>
          <w:kern w:val="0"/>
          <w:sz w:val="32"/>
          <w:szCs w:val="32"/>
        </w:rPr>
      </w:pPr>
      <w:r>
        <w:rPr>
          <w:rFonts w:ascii="仿宋" w:eastAsia="仿宋" w:hAnsi="仿宋"/>
          <w:color w:val="000000"/>
          <w:sz w:val="32"/>
          <w:szCs w:val="32"/>
        </w:rPr>
        <w:t>1</w:t>
      </w:r>
      <w:r>
        <w:rPr>
          <w:rFonts w:ascii="仿宋" w:eastAsia="仿宋" w:hAnsi="仿宋" w:hint="eastAsia"/>
          <w:color w:val="000000"/>
          <w:sz w:val="32"/>
          <w:szCs w:val="32"/>
        </w:rPr>
        <w:t>5</w:t>
      </w:r>
      <w:r>
        <w:rPr>
          <w:rFonts w:ascii="仿宋" w:eastAsia="仿宋" w:hAnsi="仿宋"/>
          <w:color w:val="000000"/>
          <w:sz w:val="32"/>
          <w:szCs w:val="32"/>
        </w:rPr>
        <w:t>.</w:t>
      </w:r>
      <w:r>
        <w:rPr>
          <w:rFonts w:ascii="仿宋" w:eastAsia="仿宋" w:hAnsi="仿宋" w:cs="仿宋" w:hint="eastAsia"/>
          <w:color w:val="000000"/>
          <w:kern w:val="0"/>
          <w:sz w:val="32"/>
          <w:szCs w:val="32"/>
        </w:rPr>
        <w:t>社会保障和就业（类）行政事业单位离退休（款）机关事业单位基本养老保险缴费支出（项）：指反映机关事业单位实施养老保险制度由单位缴纳的基本养老保险费支出。</w:t>
      </w:r>
    </w:p>
    <w:p w:rsidR="00A571F9" w:rsidRDefault="004911A9">
      <w:pPr>
        <w:ind w:firstLineChars="200" w:firstLine="640"/>
        <w:rPr>
          <w:rFonts w:ascii="仿宋" w:eastAsia="仿宋" w:hAnsi="仿宋"/>
          <w:color w:val="000000"/>
          <w:sz w:val="32"/>
          <w:szCs w:val="32"/>
        </w:rPr>
      </w:pPr>
      <w:r>
        <w:rPr>
          <w:rFonts w:ascii="仿宋" w:eastAsia="仿宋" w:hAnsi="仿宋"/>
          <w:color w:val="000000"/>
          <w:sz w:val="32"/>
          <w:szCs w:val="32"/>
        </w:rPr>
        <w:t>1</w:t>
      </w:r>
      <w:r>
        <w:rPr>
          <w:rFonts w:ascii="仿宋" w:eastAsia="仿宋" w:hAnsi="仿宋" w:hint="eastAsia"/>
          <w:color w:val="000000"/>
          <w:sz w:val="32"/>
          <w:szCs w:val="32"/>
        </w:rPr>
        <w:t>6</w:t>
      </w:r>
      <w:r>
        <w:rPr>
          <w:rFonts w:ascii="仿宋" w:eastAsia="仿宋" w:hAnsi="仿宋"/>
          <w:color w:val="000000"/>
          <w:sz w:val="32"/>
          <w:szCs w:val="32"/>
        </w:rPr>
        <w:t>.</w:t>
      </w:r>
      <w:r>
        <w:rPr>
          <w:rFonts w:ascii="仿宋" w:eastAsia="仿宋" w:hAnsi="仿宋" w:hint="eastAsia"/>
          <w:color w:val="000000"/>
          <w:sz w:val="32"/>
          <w:szCs w:val="32"/>
        </w:rPr>
        <w:t>社会保障和就业（类）</w:t>
      </w:r>
      <w:r>
        <w:rPr>
          <w:rFonts w:ascii="仿宋" w:eastAsia="仿宋" w:hAnsi="仿宋" w:cs="仿宋" w:hint="eastAsia"/>
          <w:color w:val="000000"/>
          <w:kern w:val="0"/>
          <w:sz w:val="32"/>
          <w:szCs w:val="32"/>
        </w:rPr>
        <w:t>行政事业单位离退休</w:t>
      </w:r>
      <w:r>
        <w:rPr>
          <w:rFonts w:ascii="仿宋" w:eastAsia="仿宋" w:hAnsi="仿宋" w:hint="eastAsia"/>
          <w:color w:val="000000"/>
          <w:sz w:val="32"/>
          <w:szCs w:val="32"/>
        </w:rPr>
        <w:t>（款）机关事业单位职业年金缴费支出（项）：指反映机关事业单位实施养老保险制度由单位实际缴纳的职业年金支出。</w:t>
      </w:r>
    </w:p>
    <w:p w:rsidR="00A571F9" w:rsidRDefault="004911A9">
      <w:pPr>
        <w:ind w:firstLineChars="200" w:firstLine="640"/>
        <w:rPr>
          <w:rFonts w:ascii="仿宋" w:eastAsia="仿宋" w:hAnsi="仿宋"/>
          <w:color w:val="000000"/>
          <w:sz w:val="32"/>
          <w:szCs w:val="32"/>
        </w:rPr>
      </w:pPr>
      <w:r>
        <w:rPr>
          <w:rFonts w:ascii="仿宋" w:eastAsia="仿宋" w:hAnsi="仿宋"/>
          <w:color w:val="000000"/>
          <w:sz w:val="32"/>
          <w:szCs w:val="32"/>
        </w:rPr>
        <w:t>17.</w:t>
      </w:r>
      <w:r>
        <w:rPr>
          <w:rFonts w:ascii="仿宋" w:eastAsia="仿宋" w:hAnsi="仿宋" w:hint="eastAsia"/>
          <w:color w:val="000000"/>
          <w:sz w:val="32"/>
          <w:szCs w:val="32"/>
        </w:rPr>
        <w:t xml:space="preserve"> 社会保障和就业（类）抚恤（款）死亡抚恤（项）：指反映按规定用于烈士和牺牲、病故人员家属的一次性和定期抚恤金以及丧葬补助费。</w:t>
      </w:r>
    </w:p>
    <w:p w:rsidR="00A571F9" w:rsidRDefault="004911A9">
      <w:pPr>
        <w:ind w:firstLineChars="200" w:firstLine="640"/>
        <w:rPr>
          <w:rFonts w:ascii="仿宋" w:eastAsia="仿宋" w:hAnsi="仿宋"/>
          <w:color w:val="000000"/>
          <w:sz w:val="32"/>
          <w:szCs w:val="32"/>
        </w:rPr>
      </w:pPr>
      <w:r>
        <w:rPr>
          <w:rFonts w:ascii="仿宋" w:eastAsia="仿宋" w:hAnsi="仿宋"/>
          <w:color w:val="000000"/>
          <w:sz w:val="32"/>
          <w:szCs w:val="32"/>
        </w:rPr>
        <w:t>18.</w:t>
      </w:r>
      <w:r>
        <w:rPr>
          <w:rFonts w:ascii="仿宋" w:eastAsia="仿宋" w:hAnsi="仿宋" w:hint="eastAsia"/>
          <w:color w:val="000000"/>
          <w:sz w:val="32"/>
          <w:szCs w:val="32"/>
        </w:rPr>
        <w:t>社会保障和就业（类）社会福利（款）儿童福利（项）：</w:t>
      </w:r>
      <w:r>
        <w:rPr>
          <w:rFonts w:ascii="仿宋" w:eastAsia="仿宋" w:hAnsi="仿宋" w:hint="eastAsia"/>
          <w:color w:val="000000"/>
          <w:sz w:val="32"/>
          <w:szCs w:val="32"/>
        </w:rPr>
        <w:lastRenderedPageBreak/>
        <w:t>指反映对儿童提供福利服务方面的支出。</w:t>
      </w:r>
    </w:p>
    <w:p w:rsidR="00A571F9" w:rsidRDefault="004911A9">
      <w:pPr>
        <w:ind w:firstLineChars="200" w:firstLine="640"/>
        <w:rPr>
          <w:rFonts w:ascii="仿宋" w:eastAsia="仿宋" w:hAnsi="仿宋"/>
          <w:color w:val="000000"/>
          <w:sz w:val="32"/>
          <w:szCs w:val="32"/>
        </w:rPr>
      </w:pPr>
      <w:r>
        <w:rPr>
          <w:rFonts w:ascii="仿宋" w:eastAsia="仿宋" w:hAnsi="仿宋"/>
          <w:color w:val="000000"/>
          <w:sz w:val="32"/>
          <w:szCs w:val="32"/>
        </w:rPr>
        <w:t>19.</w:t>
      </w:r>
      <w:r>
        <w:rPr>
          <w:rFonts w:ascii="仿宋" w:eastAsia="仿宋" w:hAnsi="仿宋" w:hint="eastAsia"/>
          <w:color w:val="000000"/>
          <w:sz w:val="32"/>
          <w:szCs w:val="32"/>
        </w:rPr>
        <w:t>住房保障（类）住房改革（款）住房公积金（项）：指反映行政事业单位按人力资源和社会保障部、财政部规定的基本工资和津贴补贴以及规定比例为职工缴纳的住房公积金。</w:t>
      </w:r>
    </w:p>
    <w:p w:rsidR="00A571F9" w:rsidRDefault="004911A9">
      <w:pPr>
        <w:ind w:firstLineChars="200" w:firstLine="640"/>
        <w:rPr>
          <w:rFonts w:ascii="仿宋" w:eastAsia="仿宋" w:hAnsi="仿宋"/>
          <w:color w:val="000000"/>
          <w:sz w:val="32"/>
          <w:szCs w:val="32"/>
        </w:rPr>
      </w:pPr>
      <w:r>
        <w:rPr>
          <w:rFonts w:ascii="仿宋" w:eastAsia="仿宋" w:hAnsi="仿宋" w:hint="eastAsia"/>
          <w:color w:val="000000"/>
          <w:sz w:val="32"/>
          <w:szCs w:val="32"/>
        </w:rPr>
        <w:t>20</w:t>
      </w:r>
      <w:r>
        <w:rPr>
          <w:rFonts w:ascii="仿宋" w:eastAsia="仿宋" w:hAnsi="仿宋"/>
          <w:color w:val="000000"/>
          <w:sz w:val="32"/>
          <w:szCs w:val="32"/>
        </w:rPr>
        <w:t>.</w:t>
      </w:r>
      <w:r>
        <w:rPr>
          <w:rFonts w:ascii="仿宋" w:eastAsia="仿宋" w:hAnsi="仿宋" w:hint="eastAsia"/>
          <w:color w:val="000000"/>
          <w:sz w:val="32"/>
          <w:szCs w:val="32"/>
        </w:rPr>
        <w:t>基本支出：指为保障机构正常运转、完成日常工作任务而发生的人员支出和公用支出。</w:t>
      </w:r>
    </w:p>
    <w:p w:rsidR="00A571F9" w:rsidRDefault="004911A9">
      <w:pPr>
        <w:ind w:firstLineChars="200" w:firstLine="640"/>
        <w:rPr>
          <w:rFonts w:ascii="仿宋" w:eastAsia="仿宋" w:hAnsi="仿宋"/>
          <w:color w:val="000000"/>
          <w:sz w:val="32"/>
          <w:szCs w:val="32"/>
        </w:rPr>
      </w:pPr>
      <w:r>
        <w:rPr>
          <w:rFonts w:ascii="仿宋" w:eastAsia="仿宋" w:hAnsi="仿宋"/>
          <w:color w:val="000000"/>
          <w:sz w:val="32"/>
          <w:szCs w:val="32"/>
        </w:rPr>
        <w:t>2</w:t>
      </w:r>
      <w:r>
        <w:rPr>
          <w:rFonts w:ascii="仿宋" w:eastAsia="仿宋" w:hAnsi="仿宋" w:hint="eastAsia"/>
          <w:color w:val="000000"/>
          <w:sz w:val="32"/>
          <w:szCs w:val="32"/>
        </w:rPr>
        <w:t>1</w:t>
      </w:r>
      <w:r>
        <w:rPr>
          <w:rFonts w:ascii="仿宋" w:eastAsia="仿宋" w:hAnsi="仿宋"/>
          <w:color w:val="000000"/>
          <w:sz w:val="32"/>
          <w:szCs w:val="32"/>
        </w:rPr>
        <w:t>.</w:t>
      </w:r>
      <w:r>
        <w:rPr>
          <w:rFonts w:ascii="仿宋" w:eastAsia="仿宋" w:hAnsi="仿宋" w:hint="eastAsia"/>
          <w:color w:val="000000"/>
          <w:sz w:val="32"/>
          <w:szCs w:val="32"/>
        </w:rPr>
        <w:t>项目支出：指在基本支出之外为完成特定行政任务和事业发展目标所发生的支出。</w:t>
      </w:r>
    </w:p>
    <w:p w:rsidR="00A571F9" w:rsidRDefault="004911A9">
      <w:pPr>
        <w:ind w:firstLineChars="200" w:firstLine="640"/>
        <w:rPr>
          <w:rFonts w:ascii="仿宋" w:eastAsia="仿宋" w:hAnsi="仿宋"/>
          <w:color w:val="000000"/>
          <w:sz w:val="32"/>
          <w:szCs w:val="32"/>
        </w:rPr>
      </w:pPr>
      <w:r>
        <w:rPr>
          <w:rFonts w:ascii="仿宋" w:eastAsia="仿宋" w:hAnsi="仿宋"/>
          <w:color w:val="000000"/>
          <w:sz w:val="32"/>
          <w:szCs w:val="32"/>
        </w:rPr>
        <w:t>2</w:t>
      </w:r>
      <w:r>
        <w:rPr>
          <w:rFonts w:ascii="仿宋" w:eastAsia="仿宋" w:hAnsi="仿宋" w:hint="eastAsia"/>
          <w:color w:val="000000"/>
          <w:sz w:val="32"/>
          <w:szCs w:val="32"/>
        </w:rPr>
        <w:t>2</w:t>
      </w:r>
      <w:r>
        <w:rPr>
          <w:rFonts w:ascii="仿宋" w:eastAsia="仿宋" w:hAnsi="仿宋"/>
          <w:color w:val="000000"/>
          <w:sz w:val="32"/>
          <w:szCs w:val="32"/>
        </w:rPr>
        <w:t>.</w:t>
      </w:r>
      <w:r>
        <w:rPr>
          <w:rFonts w:ascii="仿宋" w:eastAsia="仿宋" w:hAnsi="仿宋" w:hint="eastAsia"/>
          <w:color w:val="000000"/>
          <w:sz w:val="32"/>
          <w:szCs w:val="32"/>
        </w:rPr>
        <w:t>经营支出：指事业单位在专业业务活动及其辅助活动之外开展非独立核算经营活动发生的支出。</w:t>
      </w:r>
    </w:p>
    <w:p w:rsidR="00A571F9" w:rsidRDefault="004911A9">
      <w:pPr>
        <w:pStyle w:val="Default"/>
        <w:spacing w:line="560" w:lineRule="exact"/>
        <w:ind w:firstLineChars="200" w:firstLine="640"/>
        <w:rPr>
          <w:rFonts w:hAnsi="仿宋"/>
          <w:sz w:val="32"/>
          <w:szCs w:val="32"/>
        </w:rPr>
      </w:pPr>
      <w:r>
        <w:rPr>
          <w:rFonts w:hAnsi="仿宋" w:hint="eastAsia"/>
          <w:sz w:val="32"/>
          <w:szCs w:val="32"/>
        </w:rPr>
        <w:t>23</w:t>
      </w:r>
      <w:r>
        <w:rPr>
          <w:rFonts w:hAnsi="仿宋"/>
          <w:sz w:val="32"/>
          <w:szCs w:val="32"/>
        </w:rPr>
        <w:t>.</w:t>
      </w:r>
      <w:r>
        <w:rPr>
          <w:rFonts w:hAnsi="仿宋" w:hint="eastAsia"/>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A571F9" w:rsidRDefault="004911A9">
      <w:pPr>
        <w:pStyle w:val="Default"/>
        <w:spacing w:line="560" w:lineRule="exact"/>
        <w:ind w:firstLineChars="200" w:firstLine="640"/>
        <w:rPr>
          <w:rFonts w:hAnsi="仿宋"/>
          <w:sz w:val="32"/>
          <w:szCs w:val="32"/>
        </w:rPr>
      </w:pPr>
      <w:r>
        <w:rPr>
          <w:rFonts w:hAnsi="仿宋" w:hint="eastAsia"/>
          <w:sz w:val="32"/>
          <w:szCs w:val="32"/>
        </w:rPr>
        <w:t>24</w:t>
      </w:r>
      <w:r>
        <w:rPr>
          <w:rFonts w:hAnsi="仿宋"/>
          <w:sz w:val="32"/>
          <w:szCs w:val="32"/>
        </w:rPr>
        <w:t>.</w:t>
      </w:r>
      <w:r>
        <w:rPr>
          <w:rFonts w:hAnsi="仿宋" w:hint="eastAsia"/>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w:t>
      </w:r>
      <w:r>
        <w:rPr>
          <w:rFonts w:hAnsi="仿宋" w:hint="eastAsia"/>
          <w:sz w:val="32"/>
          <w:szCs w:val="32"/>
        </w:rPr>
        <w:lastRenderedPageBreak/>
        <w:t>公用房取暖费、办公用房物业管理费、公务用车运行维护费以及其他费用。</w:t>
      </w:r>
    </w:p>
    <w:p w:rsidR="00A571F9" w:rsidRDefault="004911A9">
      <w:pPr>
        <w:spacing w:line="600" w:lineRule="exact"/>
        <w:jc w:val="center"/>
        <w:outlineLvl w:val="0"/>
        <w:rPr>
          <w:rStyle w:val="1Char"/>
          <w:rFonts w:ascii="黑体" w:eastAsia="黑体" w:hAnsi="黑体"/>
          <w:b w:val="0"/>
        </w:rPr>
      </w:pPr>
      <w:bookmarkStart w:id="58" w:name="_Toc15377226"/>
      <w:r>
        <w:rPr>
          <w:rFonts w:ascii="宋体"/>
          <w:b/>
          <w:color w:val="000000"/>
          <w:sz w:val="44"/>
          <w:szCs w:val="44"/>
        </w:rPr>
        <w:br w:type="page"/>
      </w:r>
      <w:bookmarkStart w:id="59" w:name="_Toc15396614"/>
      <w:r>
        <w:rPr>
          <w:rFonts w:ascii="黑体" w:eastAsia="黑体" w:hAnsi="黑体" w:hint="eastAsia"/>
          <w:color w:val="000000"/>
          <w:sz w:val="44"/>
          <w:szCs w:val="44"/>
        </w:rPr>
        <w:lastRenderedPageBreak/>
        <w:t>第</w:t>
      </w:r>
      <w:r>
        <w:rPr>
          <w:rStyle w:val="1Char"/>
          <w:rFonts w:ascii="黑体" w:eastAsia="黑体" w:hAnsi="黑体" w:hint="eastAsia"/>
          <w:b w:val="0"/>
        </w:rPr>
        <w:t>四部分 附件</w:t>
      </w:r>
      <w:bookmarkEnd w:id="59"/>
    </w:p>
    <w:p w:rsidR="00A571F9" w:rsidRDefault="00A571F9">
      <w:pPr>
        <w:spacing w:line="600" w:lineRule="exact"/>
        <w:jc w:val="center"/>
        <w:outlineLvl w:val="0"/>
        <w:rPr>
          <w:rStyle w:val="1Char"/>
        </w:rPr>
      </w:pPr>
    </w:p>
    <w:p w:rsidR="00A571F9" w:rsidRDefault="004911A9">
      <w:pPr>
        <w:pStyle w:val="2"/>
        <w:rPr>
          <w:rStyle w:val="1Char"/>
          <w:rFonts w:ascii="仿宋" w:eastAsia="仿宋" w:hAnsi="仿宋"/>
          <w:sz w:val="32"/>
          <w:szCs w:val="32"/>
        </w:rPr>
      </w:pPr>
      <w:bookmarkStart w:id="60" w:name="_Toc15396615"/>
      <w:r>
        <w:rPr>
          <w:rStyle w:val="1Char"/>
          <w:rFonts w:ascii="仿宋" w:eastAsia="仿宋" w:hAnsi="仿宋" w:hint="eastAsia"/>
          <w:sz w:val="32"/>
          <w:szCs w:val="32"/>
        </w:rPr>
        <w:t>附件1</w:t>
      </w:r>
      <w:bookmarkEnd w:id="60"/>
    </w:p>
    <w:p w:rsidR="00A571F9" w:rsidRDefault="004911A9">
      <w:pPr>
        <w:spacing w:line="600" w:lineRule="exact"/>
        <w:jc w:val="center"/>
        <w:outlineLvl w:val="0"/>
        <w:rPr>
          <w:rFonts w:ascii="黑体" w:eastAsia="黑体" w:hAnsi="黑体" w:cs="方正小标宋简体"/>
          <w:sz w:val="36"/>
          <w:szCs w:val="36"/>
        </w:rPr>
      </w:pPr>
      <w:bookmarkStart w:id="61" w:name="_Toc15396616"/>
      <w:r>
        <w:rPr>
          <w:rFonts w:ascii="黑体" w:eastAsia="黑体" w:hAnsi="黑体" w:cs="方正小标宋简体" w:hint="eastAsia"/>
          <w:sz w:val="36"/>
          <w:szCs w:val="36"/>
        </w:rPr>
        <w:t>四川省攀枝花市中级人民法院</w:t>
      </w:r>
    </w:p>
    <w:p w:rsidR="00A571F9" w:rsidRDefault="004911A9">
      <w:pPr>
        <w:spacing w:line="600" w:lineRule="exact"/>
        <w:jc w:val="center"/>
        <w:outlineLvl w:val="0"/>
        <w:rPr>
          <w:rFonts w:ascii="黑体" w:eastAsia="黑体" w:hAnsi="黑体" w:cs="方正小标宋简体"/>
          <w:sz w:val="36"/>
          <w:szCs w:val="36"/>
        </w:rPr>
      </w:pPr>
      <w:r>
        <w:rPr>
          <w:rFonts w:ascii="黑体" w:eastAsia="黑体" w:hAnsi="黑体" w:cs="方正小标宋简体" w:hint="eastAsia"/>
          <w:sz w:val="36"/>
          <w:szCs w:val="36"/>
        </w:rPr>
        <w:t>2018年部门整体支出绩效评价报告</w:t>
      </w:r>
      <w:bookmarkEnd w:id="61"/>
    </w:p>
    <w:p w:rsidR="00A571F9" w:rsidRDefault="00A571F9">
      <w:pPr>
        <w:spacing w:line="580" w:lineRule="exact"/>
        <w:ind w:firstLineChars="200" w:firstLine="640"/>
        <w:rPr>
          <w:rFonts w:ascii="黑体" w:eastAsia="黑体" w:hAnsi="黑体" w:cs="黑体"/>
          <w:sz w:val="32"/>
          <w:szCs w:val="32"/>
        </w:rPr>
      </w:pPr>
    </w:p>
    <w:p w:rsidR="00A571F9" w:rsidRDefault="004911A9">
      <w:pPr>
        <w:spacing w:line="580" w:lineRule="exact"/>
        <w:ind w:firstLineChars="200" w:firstLine="640"/>
        <w:rPr>
          <w:rFonts w:ascii="黑体" w:eastAsia="黑体" w:hAnsi="黑体" w:cs="黑体"/>
          <w:sz w:val="32"/>
          <w:szCs w:val="32"/>
        </w:rPr>
      </w:pPr>
      <w:r>
        <w:rPr>
          <w:rFonts w:ascii="黑体" w:eastAsia="黑体" w:hAnsi="黑体" w:cs="黑体" w:hint="eastAsia"/>
          <w:sz w:val="32"/>
          <w:szCs w:val="32"/>
        </w:rPr>
        <w:t>一、部门（单位）概况</w:t>
      </w:r>
    </w:p>
    <w:p w:rsidR="00A571F9" w:rsidRDefault="004911A9">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（一）机构组成</w:t>
      </w:r>
    </w:p>
    <w:p w:rsidR="00A571F9" w:rsidRDefault="004911A9">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攀枝花市中级人民法院内设机构23个：办公室、政治部、（组织人事处、教育培训处、综合处）、审判管理委员会、立案一庭、立案二庭、刑事审判庭、民事审判第一庭、民事审判第二庭、民事审判第三庭、知识产权审判庭、行政审判庭、审判监督庭、执行局（案件综合协调处、案件执行处）、研究室、赔偿委员会办公室、法警支队、司法行政装备管理处、监察室、机关党委、技术室、离退休人员工作处。</w:t>
      </w:r>
    </w:p>
    <w:p w:rsidR="00A571F9" w:rsidRDefault="004911A9">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（二）机构职能</w:t>
      </w:r>
    </w:p>
    <w:p w:rsidR="00A571F9" w:rsidRDefault="004911A9">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法院依法承担我市审判职能。具体审判任务：依法审判法律规定由中级人民法院管辖和其认为应当由本院审判的刑事、民事、行政等一审案件；审理法律规定由中级人民法院审理的刑事、民事、行政等二审案件；受理各类申诉和再审案件；审理市人民检察院的抗诉案件；对县区法院行使指定管辖权；监督指导全市基层人民法院审判工作；行使司法</w:t>
      </w:r>
      <w:r>
        <w:rPr>
          <w:rFonts w:ascii="仿宋" w:eastAsia="仿宋" w:hAnsi="仿宋" w:cs="仿宋_GB2312" w:hint="eastAsia"/>
          <w:sz w:val="32"/>
          <w:szCs w:val="32"/>
        </w:rPr>
        <w:lastRenderedPageBreak/>
        <w:t>执行权和司法决定权；依法决定国家赔偿；提出司法建议。同时完成协助地方党委做好基层法院领导班子建设，对法院的经费和物资装备进行管理，开展法制宣传等工作。</w:t>
      </w:r>
    </w:p>
    <w:p w:rsidR="00A571F9" w:rsidRDefault="004911A9">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（三）人员概况</w:t>
      </w:r>
    </w:p>
    <w:p w:rsidR="00A571F9" w:rsidRDefault="004911A9">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2018年末，在职实有人数为123人，比上年增加4人，为新招录人员与新增退休人员相抵后的增加数。离退休人数为68人，比上年增加1人，为2018年新增退休人员。</w:t>
      </w:r>
    </w:p>
    <w:p w:rsidR="00A571F9" w:rsidRDefault="004911A9">
      <w:pPr>
        <w:spacing w:line="580" w:lineRule="exact"/>
        <w:ind w:firstLineChars="200" w:firstLine="640"/>
        <w:rPr>
          <w:rFonts w:ascii="黑体" w:eastAsia="黑体" w:hAnsi="黑体" w:cs="黑体"/>
          <w:sz w:val="32"/>
          <w:szCs w:val="32"/>
        </w:rPr>
      </w:pPr>
      <w:r>
        <w:rPr>
          <w:rFonts w:ascii="黑体" w:eastAsia="黑体" w:hAnsi="黑体" w:cs="黑体"/>
          <w:sz w:val="32"/>
          <w:szCs w:val="32"/>
        </w:rPr>
        <w:t>二、部门财政资金收支情况</w:t>
      </w:r>
    </w:p>
    <w:p w:rsidR="00A571F9" w:rsidRDefault="004911A9">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（一）部门财政资金收入情况</w:t>
      </w:r>
    </w:p>
    <w:p w:rsidR="00A571F9" w:rsidRDefault="004911A9">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2018年财政拨款收入3548.39万元，比2017年的3320.58万元上升6.86%，其中：基本支出2515.43万元，项目支出1032.96万元。</w:t>
      </w:r>
    </w:p>
    <w:p w:rsidR="00A571F9" w:rsidRDefault="004911A9">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（二）部门财政资金支出情况</w:t>
      </w:r>
    </w:p>
    <w:p w:rsidR="00A571F9" w:rsidRDefault="004911A9">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2018财政拨款支出3590.39万元，比2017年的3358.80万元上升6.90%，其中：人员经费2476.22万元，日常公用经费39.20万元，项目支出1074.96万元。</w:t>
      </w:r>
    </w:p>
    <w:p w:rsidR="00A571F9" w:rsidRDefault="004911A9">
      <w:pPr>
        <w:spacing w:line="580" w:lineRule="exact"/>
        <w:ind w:firstLineChars="200" w:firstLine="640"/>
        <w:rPr>
          <w:rFonts w:ascii="黑体" w:eastAsia="黑体" w:hAnsi="黑体" w:cs="黑体"/>
          <w:sz w:val="32"/>
          <w:szCs w:val="32"/>
        </w:rPr>
      </w:pPr>
      <w:r>
        <w:rPr>
          <w:rFonts w:ascii="黑体" w:eastAsia="黑体" w:hAnsi="黑体" w:cs="黑体"/>
          <w:sz w:val="32"/>
          <w:szCs w:val="32"/>
        </w:rPr>
        <w:t>三、部门整体预算绩效管理情况</w:t>
      </w:r>
    </w:p>
    <w:p w:rsidR="00A571F9" w:rsidRDefault="004911A9">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（一）部门预算管理。</w:t>
      </w:r>
    </w:p>
    <w:p w:rsidR="00A571F9" w:rsidRDefault="004911A9">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1、部门预算目标情况</w:t>
      </w:r>
    </w:p>
    <w:p w:rsidR="00A571F9" w:rsidRDefault="004911A9">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2018年度制定年度总目标为充分发挥审判职能，提高审判质效，为“依法治市”提供优质的司法保障；以公开促公正、以公正树公信、以监督促公信的思路，从多方面提升司法公信力；加大执行力度，打击抗拒执行的行为，不断提高执行率，增强人民群众对法院执行工作的信心和满意度；开</w:t>
      </w:r>
      <w:r>
        <w:rPr>
          <w:rFonts w:ascii="仿宋" w:eastAsia="仿宋" w:hAnsi="仿宋" w:cs="仿宋_GB2312" w:hint="eastAsia"/>
          <w:sz w:val="32"/>
          <w:szCs w:val="32"/>
        </w:rPr>
        <w:lastRenderedPageBreak/>
        <w:t>展立案登记制度，方便群众诉讼；加强法院信息化建设，加快推进智慧法院建设，构建人力与科技深度融合的司法运行新模式；广泛开展司法救助，对符合条件的案件开展司法救助，化解社会不稳定因素。</w:t>
      </w:r>
    </w:p>
    <w:p w:rsidR="00A571F9" w:rsidRDefault="004911A9">
      <w:pPr>
        <w:spacing w:line="580" w:lineRule="exact"/>
        <w:ind w:firstLineChars="200" w:firstLine="640"/>
        <w:rPr>
          <w:rFonts w:ascii="仿宋" w:eastAsia="仿宋" w:hAnsi="仿宋"/>
          <w:bCs/>
          <w:color w:val="000000"/>
          <w:sz w:val="32"/>
          <w:szCs w:val="32"/>
        </w:rPr>
      </w:pPr>
      <w:r>
        <w:rPr>
          <w:rFonts w:ascii="仿宋" w:eastAsia="仿宋" w:hAnsi="仿宋" w:cs="仿宋_GB2312" w:hint="eastAsia"/>
          <w:sz w:val="32"/>
          <w:szCs w:val="32"/>
        </w:rPr>
        <w:t>我院2018年收案、结案数分别为</w:t>
      </w:r>
      <w:r>
        <w:rPr>
          <w:rFonts w:ascii="仿宋" w:eastAsia="仿宋" w:hAnsi="仿宋" w:hint="eastAsia"/>
          <w:bCs/>
          <w:color w:val="000000"/>
          <w:sz w:val="32"/>
          <w:szCs w:val="32"/>
        </w:rPr>
        <w:t>3008件、2965件，结案率达97%，审判案件质量提升，重审改判案件数量下降。荣获全市维护社会稳定工作目标优秀单位、全省法院少年法庭工作三等奖、全省法院民商事审判效率提升工作先进单位、全省法院民商事审判效率提升工作先进单位、全省法院第七次“司法大拜年”专项执行活动先进集体、裁判文书上网工作优秀法院、审判管理工作二等奖、全市社会治安综合治理工作目标优秀单位等各项荣誉。</w:t>
      </w:r>
      <w:r>
        <w:rPr>
          <w:rFonts w:ascii="仿宋" w:eastAsia="仿宋" w:hAnsi="仿宋" w:cs="仿宋_GB2312" w:hint="eastAsia"/>
          <w:sz w:val="32"/>
          <w:szCs w:val="32"/>
        </w:rPr>
        <w:t>各项年度目标在2018年均能按时保质完成。</w:t>
      </w:r>
    </w:p>
    <w:p w:rsidR="00A571F9" w:rsidRDefault="004911A9">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2、部门预算编制情况</w:t>
      </w:r>
    </w:p>
    <w:p w:rsidR="00A571F9" w:rsidRDefault="004911A9">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我院按照审判计划和任务目标为中心，在降低成本、减少费用支出等方面做出详细规划，同时充分结合本院实际情况编制部门预算。按照财政下发的预算口径统一编制基本支出预算，项目预算均是往年连续性项目，均能较准确进行预算编制。预算的动态调整是根据财政各项文件要求，主要是追加人员经费缺口及上年结余资金的下达。</w:t>
      </w:r>
    </w:p>
    <w:p w:rsidR="00A571F9" w:rsidRDefault="004911A9">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3、部门预算完成情况</w:t>
      </w:r>
    </w:p>
    <w:p w:rsidR="00A571F9" w:rsidRDefault="004911A9">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2018年部门整体支出3590.39万元，预算数为3837.39万元，预算执行差异率为6.44%，形成差异的原因为2018年中央转移支付中下达的装备经费需通过市财政和省高院审</w:t>
      </w:r>
      <w:r>
        <w:rPr>
          <w:rFonts w:ascii="仿宋" w:eastAsia="仿宋" w:hAnsi="仿宋" w:cs="仿宋_GB2312" w:hint="eastAsia"/>
          <w:sz w:val="32"/>
          <w:szCs w:val="32"/>
        </w:rPr>
        <w:lastRenderedPageBreak/>
        <w:t>批后才能实施项目采购，审批表下达时间为2019年初，故需将结余资金装备经费申请结转下年使用。结余的办案业务经费根据当年拨付款项第二年使用的办法来保障法院经费，但随着办案数量的增加造成办案经费支出大幅增加，但政法转移支付规模未随之增加，因此我院年底结转的金额已逐渐缩小，预计到明年或后年将不再有办案业务经费的结转。除需结转下年使用的资金外，其他预算资金能按照预算用途正常开支，与绩效目标值一致，目标值完成比例100%。</w:t>
      </w:r>
    </w:p>
    <w:p w:rsidR="00A571F9" w:rsidRDefault="004911A9">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（二）专项预算管理。</w:t>
      </w:r>
    </w:p>
    <w:p w:rsidR="00A571F9" w:rsidRDefault="004911A9">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2018年纳入绩效评价项目支出共计6项，项目支出金额69.24万元，主要为法制宣传经费、司法救助费、司法调解经费、枪弹费、服装费、业务运行费。专项预算程序设置严密，规划合理，结果符合定制的各项目标任务，各项资金均已使用完毕，执行率100%，</w:t>
      </w:r>
    </w:p>
    <w:p w:rsidR="00A571F9" w:rsidRDefault="004911A9">
      <w:pPr>
        <w:spacing w:line="580" w:lineRule="exact"/>
        <w:ind w:firstLineChars="200" w:firstLine="640"/>
        <w:rPr>
          <w:rFonts w:eastAsia="方正仿宋_GBK"/>
          <w:sz w:val="32"/>
          <w:szCs w:val="32"/>
        </w:rPr>
      </w:pPr>
      <w:r>
        <w:rPr>
          <w:rFonts w:ascii="仿宋" w:eastAsia="仿宋" w:hAnsi="仿宋" w:cs="仿宋_GB2312" w:hint="eastAsia"/>
          <w:sz w:val="32"/>
          <w:szCs w:val="32"/>
        </w:rPr>
        <w:t>2018年市级下达项目有宣传经费18万元，支付18万元，用于法制栏目等宣传活动，当年项目已完成。司法调解经费0.9万元，业务运行费34.74万元，扫黑除恶专项经费10万元，平安建设经费5.5万元，四项项目经费资金均使用完毕，用于办案业务开支。枪弹费3万元、服装费3万元，已全部支付，用于采购法警装备和新进人员服装费用。聘用人员劳务费134.69万元，已全部支付，用于聘任制书记员工资、社保支出。司法救助9.6万元，资金已全部支付，用于受侵害当事人申请国家救助。</w:t>
      </w:r>
    </w:p>
    <w:p w:rsidR="00A571F9" w:rsidRDefault="004911A9">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（三）结果应用情况。</w:t>
      </w:r>
    </w:p>
    <w:p w:rsidR="00A571F9" w:rsidRDefault="004911A9">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lastRenderedPageBreak/>
        <w:t>根据绩效评估工作要求，我院对2018年整体支出开展绩效评价，针对绩效评价中的问题，将与相关处室进行反馈，制定具体整改措施，并贯彻实施加强评价结果应用。完善财务制度，加强预算管理，明确职责分工，将评价结果作为</w:t>
      </w:r>
      <w:r>
        <w:rPr>
          <w:rFonts w:ascii="仿宋" w:eastAsia="仿宋" w:hAnsi="仿宋" w:cs="仿宋_GB2312"/>
          <w:sz w:val="32"/>
          <w:szCs w:val="32"/>
        </w:rPr>
        <w:t>调整支出结构、完善财政政策和科学安排预算的重要依据</w:t>
      </w:r>
      <w:r>
        <w:rPr>
          <w:rFonts w:ascii="仿宋" w:eastAsia="仿宋" w:hAnsi="仿宋" w:cs="仿宋_GB2312" w:hint="eastAsia"/>
          <w:sz w:val="32"/>
          <w:szCs w:val="32"/>
        </w:rPr>
        <w:t>，将项目绩效目标实现程度与项目资金安排相结合。</w:t>
      </w:r>
    </w:p>
    <w:p w:rsidR="00A571F9" w:rsidRDefault="004911A9">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2018年我院各职工各司其职，在各自职责范围内按照财政下达的预算指标严格按预算内开展，保障法院工作的正常运转。</w:t>
      </w:r>
    </w:p>
    <w:p w:rsidR="00A571F9" w:rsidRDefault="004911A9">
      <w:pPr>
        <w:spacing w:line="580" w:lineRule="exact"/>
        <w:ind w:firstLineChars="200" w:firstLine="640"/>
        <w:rPr>
          <w:rFonts w:ascii="黑体" w:eastAsia="黑体" w:hAnsi="黑体" w:cs="黑体"/>
          <w:sz w:val="32"/>
          <w:szCs w:val="32"/>
        </w:rPr>
      </w:pPr>
      <w:r>
        <w:rPr>
          <w:rFonts w:ascii="黑体" w:eastAsia="黑体" w:hAnsi="黑体" w:cs="黑体"/>
          <w:sz w:val="32"/>
          <w:szCs w:val="32"/>
        </w:rPr>
        <w:t>四、评价结论及建议</w:t>
      </w:r>
    </w:p>
    <w:p w:rsidR="00A571F9" w:rsidRDefault="004911A9">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（一）评价结论</w:t>
      </w:r>
    </w:p>
    <w:p w:rsidR="00A571F9" w:rsidRDefault="004911A9">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职能履行总体良好。我院2018年的支出较上一年有增加，其工作量也有大幅增加，2018年我院结案2965件，结案数量增加,办案成本大幅增加，同时由于物价上涨等因素影响，支出金额虽有增长，但案均办案成本有所降低，资金使用效率提高。</w:t>
      </w:r>
    </w:p>
    <w:p w:rsidR="00A571F9" w:rsidRDefault="004911A9">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项目年初绩效共计设置投入、产出、效益3个一级指标，时效目标、成本目标、数量目标、质量目标等8个二级指标，92个三级指标。</w:t>
      </w:r>
    </w:p>
    <w:p w:rsidR="00A571F9" w:rsidRDefault="004911A9">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1.投入目标完成情况</w:t>
      </w:r>
    </w:p>
    <w:p w:rsidR="00A571F9" w:rsidRDefault="004911A9">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（1）成本目标。我院项目年初安排工作经费共计79.64万元，实际支出69.24万元，成本控制率86.94%，达到目标要求。</w:t>
      </w:r>
    </w:p>
    <w:p w:rsidR="00A571F9" w:rsidRDefault="004911A9">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（2）时效目标。在推进工作中，实际完成年度工作计</w:t>
      </w:r>
      <w:r>
        <w:rPr>
          <w:rFonts w:ascii="仿宋" w:eastAsia="仿宋" w:hAnsi="仿宋" w:cs="仿宋_GB2312" w:hint="eastAsia"/>
          <w:sz w:val="32"/>
          <w:szCs w:val="32"/>
        </w:rPr>
        <w:lastRenderedPageBreak/>
        <w:t>划12个月，与绩效目标值一致，目标值完成比例100%。</w:t>
      </w:r>
    </w:p>
    <w:p w:rsidR="00A571F9" w:rsidRDefault="004911A9">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2.产出目标完成情况</w:t>
      </w:r>
    </w:p>
    <w:p w:rsidR="00A571F9" w:rsidRDefault="004911A9">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1）数量目标。在安排政法专网租赁费使用上，专网畅通，专网带宽在100M以上，政法电视电话会议正常使用，与绩效目标值一致，目标值完成比例100%；在司法调解经费使用上，从事调解法官和调解结案达到目标要求，目标值完成比例100%；法制宣传项目上完成宣传稿件300篇以上，参加培训人次150人以上，完成目标值100%；安保经费项目上聘请安保人员6人并统一着装，从事安检保卫工作，与目标值一致；司法救助项目完成司法救助案件6件，救助人次6人，完成目标值；服装费项目完成我院干警换装工作，制服数量达到要求，目标值完成比例100%。</w:t>
      </w:r>
    </w:p>
    <w:p w:rsidR="00A571F9" w:rsidRDefault="004911A9">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（2）质量目标。各项目质量指标均达到目标值，项目均已完成，目标值完成比例100%。</w:t>
      </w:r>
    </w:p>
    <w:p w:rsidR="00A571F9" w:rsidRDefault="004911A9">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3.效益目标完成情况。各项项目对我院提供良好履职基础，服务社会发展能力，保障法院运行，维护法院形象，维护社会稳定、化解社会矛盾，保障公民、法人的合法权益。</w:t>
      </w:r>
    </w:p>
    <w:p w:rsidR="00A571F9" w:rsidRDefault="004911A9">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（二）存在问题</w:t>
      </w:r>
    </w:p>
    <w:p w:rsidR="00A571F9" w:rsidRDefault="004911A9">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在经费支出过程中，职工养老保险缴费、住房公积金的单位部分占用了大量机关日常公用经费，主要原因是上述费用以上年9月为基数预算，但次年缴费金额上调，同时上年9月后新进我院人员的上述费用未纳入预算，因此只能用本单位机关公用经费进行支付，造成了机关公用经费较紧张。</w:t>
      </w:r>
    </w:p>
    <w:p w:rsidR="00A571F9" w:rsidRDefault="004911A9">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（三）改进建议</w:t>
      </w:r>
    </w:p>
    <w:p w:rsidR="00A571F9" w:rsidRDefault="004911A9">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lastRenderedPageBreak/>
        <w:t>1、全面贯彻执行新政府会计制度和会计准则，进一步完善内部控制，加强本院内各部门资金使用的申报审核管理。</w:t>
      </w:r>
    </w:p>
    <w:p w:rsidR="00A571F9" w:rsidRDefault="004911A9">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2、进一步加快预算执行进度，改进预算安排，当年能形成支出的当年安排，当年不能形成支出的不予安排，加快资金结算进度，严控项目结转结余。</w:t>
      </w:r>
    </w:p>
    <w:p w:rsidR="00A571F9" w:rsidRDefault="004911A9">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3、科学合理编制预算，严格执行预算，按照预算法的要求，结合上一年度预算执行情况和本年度预算收支变化因素，科学合理编制预算草案，避免支出划分不准与实际执行出现较大偏差情况。</w:t>
      </w:r>
    </w:p>
    <w:p w:rsidR="00A571F9" w:rsidRDefault="00A571F9">
      <w:pPr>
        <w:spacing w:line="580" w:lineRule="exact"/>
        <w:ind w:firstLineChars="200" w:firstLine="640"/>
        <w:rPr>
          <w:rFonts w:ascii="仿宋" w:eastAsia="仿宋" w:hAnsi="仿宋" w:cs="仿宋_GB2312"/>
          <w:sz w:val="32"/>
          <w:szCs w:val="32"/>
        </w:rPr>
      </w:pPr>
    </w:p>
    <w:p w:rsidR="00A571F9" w:rsidRDefault="004911A9">
      <w:pPr>
        <w:widowControl/>
        <w:jc w:val="left"/>
        <w:rPr>
          <w:rFonts w:ascii="仿宋_GB2312" w:eastAsia="仿宋_GB2312" w:hAnsi="仿宋_GB2312" w:cs="仿宋_GB2312"/>
          <w:sz w:val="32"/>
          <w:szCs w:val="32"/>
        </w:rPr>
      </w:pPr>
      <w:r>
        <w:rPr>
          <w:rFonts w:ascii="仿宋_GB2312" w:eastAsia="仿宋_GB2312" w:hAnsi="仿宋_GB2312" w:cs="仿宋_GB2312"/>
          <w:sz w:val="32"/>
          <w:szCs w:val="32"/>
        </w:rPr>
        <w:br w:type="page"/>
      </w:r>
    </w:p>
    <w:p w:rsidR="00A571F9" w:rsidRDefault="004911A9">
      <w:pPr>
        <w:pStyle w:val="2"/>
        <w:rPr>
          <w:rStyle w:val="1Char"/>
          <w:rFonts w:ascii="仿宋" w:eastAsia="仿宋" w:hAnsi="仿宋"/>
          <w:sz w:val="32"/>
          <w:szCs w:val="32"/>
        </w:rPr>
      </w:pPr>
      <w:bookmarkStart w:id="62" w:name="_Toc15396617"/>
      <w:r>
        <w:rPr>
          <w:rStyle w:val="1Char"/>
          <w:rFonts w:ascii="仿宋" w:eastAsia="仿宋" w:hAnsi="仿宋" w:hint="eastAsia"/>
          <w:sz w:val="32"/>
          <w:szCs w:val="32"/>
        </w:rPr>
        <w:lastRenderedPageBreak/>
        <w:t>附件2</w:t>
      </w:r>
      <w:bookmarkEnd w:id="62"/>
    </w:p>
    <w:p w:rsidR="00A571F9" w:rsidRDefault="004911A9">
      <w:pPr>
        <w:spacing w:line="580" w:lineRule="exact"/>
        <w:jc w:val="center"/>
        <w:rPr>
          <w:rFonts w:ascii="黑体" w:eastAsia="黑体" w:hAnsi="黑体" w:cs="方正小标宋简体"/>
          <w:sz w:val="44"/>
          <w:szCs w:val="44"/>
        </w:rPr>
      </w:pPr>
      <w:r>
        <w:rPr>
          <w:rFonts w:ascii="黑体" w:eastAsia="黑体" w:hAnsi="黑体" w:cs="方正小标宋简体" w:hint="eastAsia"/>
          <w:sz w:val="44"/>
          <w:szCs w:val="44"/>
        </w:rPr>
        <w:t>2018年宣传经费项目支出绩效评价报告</w:t>
      </w:r>
    </w:p>
    <w:p w:rsidR="00A571F9" w:rsidRDefault="00A571F9">
      <w:pPr>
        <w:spacing w:line="580" w:lineRule="exact"/>
        <w:ind w:firstLineChars="200" w:firstLine="640"/>
        <w:rPr>
          <w:rFonts w:ascii="仿宋_GB2312" w:eastAsia="仿宋_GB2312" w:hAnsi="仿宋_GB2312" w:cs="仿宋_GB2312"/>
          <w:sz w:val="32"/>
          <w:szCs w:val="32"/>
        </w:rPr>
      </w:pPr>
    </w:p>
    <w:p w:rsidR="00A571F9" w:rsidRDefault="004911A9">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一</w:t>
      </w:r>
      <w:r>
        <w:rPr>
          <w:rFonts w:ascii="仿宋" w:eastAsia="仿宋" w:hAnsi="仿宋" w:cs="仿宋_GB2312"/>
          <w:sz w:val="32"/>
          <w:szCs w:val="32"/>
        </w:rPr>
        <w:t>、评价工作开展及项目情况</w:t>
      </w:r>
    </w:p>
    <w:p w:rsidR="00A571F9" w:rsidRDefault="004911A9">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1、项目基本情况</w:t>
      </w:r>
    </w:p>
    <w:p w:rsidR="00A571F9" w:rsidRDefault="004911A9">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该项目属于2018年市财政下达的法制宣传专项经费。</w:t>
      </w:r>
    </w:p>
    <w:p w:rsidR="00A571F9" w:rsidRDefault="004911A9">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（1）项目设立依据</w:t>
      </w:r>
    </w:p>
    <w:p w:rsidR="00A571F9" w:rsidRDefault="004911A9">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党的十九大报告强调“提高全民族法治素养和道德素质”“加大全民普法力度，建设社会主义法治文化，树立宪法法律至上、法律面前人人平等的法治理念”。这为全民普法工作指明了方向，提供了基本遵循。推进新时代全民普法，必须坚持推动普法责任制落实，推进法治宣传教育工作目标精准化、工作举措项目化、工作考核体系化、工作指导专业化，以尊法学法守法用法主题法治宣传实践活动为载体，实现全民普法新发展等要求设立。</w:t>
      </w:r>
    </w:p>
    <w:p w:rsidR="00A571F9" w:rsidRDefault="004911A9">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（2）项目预算安排情况</w:t>
      </w:r>
    </w:p>
    <w:p w:rsidR="00A571F9" w:rsidRDefault="004911A9">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该项目资金年度预算18万元，实际执行18万元，执行率100%，预算安排为主流媒体对外宣传项目14万元，培训资料费、授课费4万元。</w:t>
      </w:r>
    </w:p>
    <w:p w:rsidR="00A571F9" w:rsidRDefault="004911A9">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（3）项目实施主要内容</w:t>
      </w:r>
    </w:p>
    <w:p w:rsidR="00A571F9" w:rsidRDefault="004911A9">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为落实法制宣传工作的要求，我院2018年在中央媒体稿件65篇，省级媒体稿件143篇，市级媒体稿件195篇，召开新闻发布会4次。</w:t>
      </w:r>
    </w:p>
    <w:p w:rsidR="00A571F9" w:rsidRDefault="004911A9">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lastRenderedPageBreak/>
        <w:t>2、评价工作开展情况</w:t>
      </w:r>
    </w:p>
    <w:p w:rsidR="00A571F9" w:rsidRDefault="004911A9">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（1）评价方法</w:t>
      </w:r>
    </w:p>
    <w:p w:rsidR="00A571F9" w:rsidRDefault="004911A9">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按照前期准备、自评、现场评价、报告撰写四个阶段，以现场评价为主、非现场评价为辅，组织实施项目绩效评价工作。在收集项目文件资料、细化评价指标及评价标准的基础上，深入宣传项目实施部门，实地查看项目实施及运行情况，收集相关数据资料，通过汇总整理形成评价结论，经过复核和交换意见后形成绩效评价报告。</w:t>
      </w:r>
    </w:p>
    <w:p w:rsidR="00A571F9" w:rsidRDefault="004911A9">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（2）评价指标</w:t>
      </w:r>
    </w:p>
    <w:p w:rsidR="00A571F9" w:rsidRDefault="004911A9">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该项目选用“不需要二次分配项目”评价指标体系，项目效益三级指标主要设置“经济效益”、“社会效益、“可持续效益”三个三级指标。经济效益指标考核项目法制宣传、培训对经济社会发展的促进作用；社会效益指标考核节目稿件的次数；可持续效益指标考核对法制发展的可持续影响。</w:t>
      </w:r>
    </w:p>
    <w:p w:rsidR="00A571F9" w:rsidRDefault="004911A9">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二</w:t>
      </w:r>
      <w:r>
        <w:rPr>
          <w:rFonts w:ascii="仿宋" w:eastAsia="仿宋" w:hAnsi="仿宋" w:cs="仿宋_GB2312"/>
          <w:sz w:val="32"/>
          <w:szCs w:val="32"/>
        </w:rPr>
        <w:t>、评价结论及绩效分析</w:t>
      </w:r>
    </w:p>
    <w:p w:rsidR="00A571F9" w:rsidRDefault="004911A9">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（一）评价结论</w:t>
      </w:r>
    </w:p>
    <w:p w:rsidR="00A571F9" w:rsidRDefault="004911A9">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通过本次评价，总体上看，本项目决策依据充分、项目管理总体规范，开展的项目都已完成，达到了宣传效果。该项目绩效评价得分为98，其中项目决策得分20分、项目管理得分9分、项目效果得分69分。项目评价得分表如下：</w:t>
      </w:r>
    </w:p>
    <w:tbl>
      <w:tblPr>
        <w:tblW w:w="98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18"/>
        <w:gridCol w:w="2113"/>
        <w:gridCol w:w="3535"/>
        <w:gridCol w:w="1311"/>
        <w:gridCol w:w="1311"/>
      </w:tblGrid>
      <w:tr w:rsidR="00A571F9">
        <w:trPr>
          <w:trHeight w:val="639"/>
          <w:jc w:val="center"/>
        </w:trPr>
        <w:tc>
          <w:tcPr>
            <w:tcW w:w="1618" w:type="dxa"/>
            <w:shd w:val="clear" w:color="auto" w:fill="auto"/>
            <w:vAlign w:val="center"/>
          </w:tcPr>
          <w:p w:rsidR="00A571F9" w:rsidRDefault="004911A9">
            <w:pPr>
              <w:widowControl/>
              <w:spacing w:line="260" w:lineRule="exact"/>
              <w:jc w:val="center"/>
              <w:rPr>
                <w:rFonts w:ascii="宋体" w:hAnsi="宋体" w:cs="宋体"/>
                <w:b/>
                <w:bCs/>
                <w:color w:val="000000"/>
                <w:kern w:val="0"/>
                <w:sz w:val="20"/>
                <w:szCs w:val="20"/>
              </w:rPr>
            </w:pPr>
            <w:r>
              <w:rPr>
                <w:rFonts w:ascii="宋体" w:hAnsi="宋体" w:cs="宋体" w:hint="eastAsia"/>
                <w:b/>
                <w:bCs/>
                <w:color w:val="000000"/>
                <w:kern w:val="0"/>
                <w:sz w:val="20"/>
                <w:szCs w:val="20"/>
              </w:rPr>
              <w:t>项目名称</w:t>
            </w:r>
          </w:p>
        </w:tc>
        <w:tc>
          <w:tcPr>
            <w:tcW w:w="8270" w:type="dxa"/>
            <w:gridSpan w:val="4"/>
            <w:shd w:val="clear" w:color="auto" w:fill="auto"/>
            <w:vAlign w:val="center"/>
          </w:tcPr>
          <w:p w:rsidR="00A571F9" w:rsidRDefault="004911A9">
            <w:pPr>
              <w:widowControl/>
              <w:spacing w:line="260" w:lineRule="exact"/>
              <w:jc w:val="center"/>
              <w:rPr>
                <w:rFonts w:ascii="宋体" w:hAnsi="宋体" w:cs="宋体"/>
                <w:b/>
                <w:bCs/>
                <w:color w:val="000000"/>
                <w:kern w:val="0"/>
                <w:sz w:val="18"/>
                <w:szCs w:val="18"/>
              </w:rPr>
            </w:pPr>
            <w:r>
              <w:rPr>
                <w:rFonts w:ascii="宋体" w:hAnsi="宋体" w:cs="宋体" w:hint="eastAsia"/>
                <w:b/>
                <w:bCs/>
                <w:color w:val="000000"/>
                <w:kern w:val="0"/>
                <w:sz w:val="18"/>
                <w:szCs w:val="18"/>
              </w:rPr>
              <w:t>宣传经费</w:t>
            </w:r>
          </w:p>
        </w:tc>
      </w:tr>
      <w:tr w:rsidR="00A571F9">
        <w:trPr>
          <w:trHeight w:val="920"/>
          <w:jc w:val="center"/>
        </w:trPr>
        <w:tc>
          <w:tcPr>
            <w:tcW w:w="1618" w:type="dxa"/>
            <w:shd w:val="clear" w:color="auto" w:fill="auto"/>
            <w:vAlign w:val="center"/>
          </w:tcPr>
          <w:p w:rsidR="00A571F9" w:rsidRDefault="004911A9">
            <w:pPr>
              <w:widowControl/>
              <w:spacing w:line="260" w:lineRule="exact"/>
              <w:jc w:val="center"/>
              <w:rPr>
                <w:rFonts w:ascii="宋体" w:hAnsi="宋体" w:cs="宋体"/>
                <w:b/>
                <w:bCs/>
                <w:color w:val="000000"/>
                <w:kern w:val="0"/>
                <w:sz w:val="20"/>
                <w:szCs w:val="20"/>
              </w:rPr>
            </w:pPr>
            <w:r>
              <w:rPr>
                <w:rFonts w:ascii="宋体" w:hAnsi="宋体" w:cs="宋体" w:hint="eastAsia"/>
                <w:b/>
                <w:bCs/>
                <w:color w:val="000000"/>
                <w:kern w:val="0"/>
                <w:sz w:val="20"/>
                <w:szCs w:val="20"/>
              </w:rPr>
              <w:t>一级</w:t>
            </w:r>
          </w:p>
          <w:p w:rsidR="00A571F9" w:rsidRDefault="004911A9">
            <w:pPr>
              <w:widowControl/>
              <w:spacing w:line="260" w:lineRule="exact"/>
              <w:jc w:val="center"/>
              <w:rPr>
                <w:rFonts w:ascii="宋体" w:hAnsi="宋体" w:cs="宋体"/>
                <w:b/>
                <w:bCs/>
                <w:color w:val="000000"/>
                <w:kern w:val="0"/>
                <w:sz w:val="20"/>
                <w:szCs w:val="20"/>
              </w:rPr>
            </w:pPr>
            <w:r>
              <w:rPr>
                <w:rFonts w:ascii="宋体" w:hAnsi="宋体" w:cs="宋体" w:hint="eastAsia"/>
                <w:b/>
                <w:bCs/>
                <w:color w:val="000000"/>
                <w:kern w:val="0"/>
                <w:sz w:val="20"/>
                <w:szCs w:val="20"/>
              </w:rPr>
              <w:t>指标</w:t>
            </w:r>
          </w:p>
        </w:tc>
        <w:tc>
          <w:tcPr>
            <w:tcW w:w="2113" w:type="dxa"/>
            <w:shd w:val="clear" w:color="auto" w:fill="auto"/>
            <w:vAlign w:val="center"/>
          </w:tcPr>
          <w:p w:rsidR="00A571F9" w:rsidRDefault="004911A9">
            <w:pPr>
              <w:widowControl/>
              <w:spacing w:line="260" w:lineRule="exact"/>
              <w:jc w:val="center"/>
              <w:rPr>
                <w:rFonts w:ascii="宋体" w:hAnsi="宋体" w:cs="宋体"/>
                <w:b/>
                <w:bCs/>
                <w:color w:val="000000"/>
                <w:kern w:val="0"/>
                <w:sz w:val="20"/>
                <w:szCs w:val="20"/>
              </w:rPr>
            </w:pPr>
            <w:r>
              <w:rPr>
                <w:rFonts w:ascii="宋体" w:hAnsi="宋体" w:cs="宋体" w:hint="eastAsia"/>
                <w:b/>
                <w:bCs/>
                <w:color w:val="000000"/>
                <w:kern w:val="0"/>
                <w:sz w:val="20"/>
                <w:szCs w:val="20"/>
              </w:rPr>
              <w:t>二级</w:t>
            </w:r>
          </w:p>
          <w:p w:rsidR="00A571F9" w:rsidRDefault="004911A9">
            <w:pPr>
              <w:widowControl/>
              <w:spacing w:line="260" w:lineRule="exact"/>
              <w:jc w:val="center"/>
              <w:rPr>
                <w:rFonts w:ascii="宋体" w:hAnsi="宋体" w:cs="宋体"/>
                <w:b/>
                <w:bCs/>
                <w:color w:val="000000"/>
                <w:kern w:val="0"/>
                <w:sz w:val="20"/>
                <w:szCs w:val="20"/>
              </w:rPr>
            </w:pPr>
            <w:r>
              <w:rPr>
                <w:rFonts w:ascii="宋体" w:hAnsi="宋体" w:cs="宋体" w:hint="eastAsia"/>
                <w:b/>
                <w:bCs/>
                <w:color w:val="000000"/>
                <w:kern w:val="0"/>
                <w:sz w:val="20"/>
                <w:szCs w:val="20"/>
              </w:rPr>
              <w:t>指标</w:t>
            </w:r>
          </w:p>
        </w:tc>
        <w:tc>
          <w:tcPr>
            <w:tcW w:w="3535" w:type="dxa"/>
            <w:shd w:val="clear" w:color="auto" w:fill="auto"/>
            <w:vAlign w:val="center"/>
          </w:tcPr>
          <w:p w:rsidR="00A571F9" w:rsidRDefault="004911A9">
            <w:pPr>
              <w:widowControl/>
              <w:spacing w:line="260" w:lineRule="exact"/>
              <w:jc w:val="center"/>
              <w:rPr>
                <w:rFonts w:ascii="宋体" w:hAnsi="宋体" w:cs="宋体"/>
                <w:b/>
                <w:bCs/>
                <w:color w:val="000000"/>
                <w:kern w:val="0"/>
                <w:sz w:val="20"/>
                <w:szCs w:val="20"/>
              </w:rPr>
            </w:pPr>
            <w:r>
              <w:rPr>
                <w:rFonts w:ascii="宋体" w:hAnsi="宋体" w:cs="宋体" w:hint="eastAsia"/>
                <w:b/>
                <w:bCs/>
                <w:color w:val="000000"/>
                <w:kern w:val="0"/>
                <w:sz w:val="20"/>
                <w:szCs w:val="20"/>
              </w:rPr>
              <w:t>三级指标</w:t>
            </w:r>
          </w:p>
        </w:tc>
        <w:tc>
          <w:tcPr>
            <w:tcW w:w="1311" w:type="dxa"/>
            <w:shd w:val="clear" w:color="auto" w:fill="auto"/>
            <w:vAlign w:val="center"/>
          </w:tcPr>
          <w:p w:rsidR="00A571F9" w:rsidRDefault="004911A9">
            <w:pPr>
              <w:widowControl/>
              <w:spacing w:line="260" w:lineRule="exact"/>
              <w:jc w:val="center"/>
              <w:rPr>
                <w:rFonts w:ascii="宋体" w:hAnsi="宋体" w:cs="宋体"/>
                <w:b/>
                <w:bCs/>
                <w:color w:val="000000"/>
                <w:kern w:val="0"/>
                <w:sz w:val="20"/>
                <w:szCs w:val="20"/>
              </w:rPr>
            </w:pPr>
            <w:r>
              <w:rPr>
                <w:rFonts w:ascii="宋体" w:hAnsi="宋体" w:cs="宋体" w:hint="eastAsia"/>
                <w:b/>
                <w:bCs/>
                <w:color w:val="000000"/>
                <w:kern w:val="0"/>
                <w:sz w:val="20"/>
                <w:szCs w:val="20"/>
              </w:rPr>
              <w:t>分值</w:t>
            </w:r>
          </w:p>
        </w:tc>
        <w:tc>
          <w:tcPr>
            <w:tcW w:w="1311" w:type="dxa"/>
            <w:vAlign w:val="center"/>
          </w:tcPr>
          <w:p w:rsidR="00A571F9" w:rsidRDefault="004911A9">
            <w:pPr>
              <w:widowControl/>
              <w:spacing w:line="260" w:lineRule="exact"/>
              <w:jc w:val="center"/>
              <w:rPr>
                <w:rFonts w:ascii="宋体" w:hAnsi="宋体" w:cs="宋体"/>
                <w:b/>
                <w:bCs/>
                <w:color w:val="000000"/>
                <w:kern w:val="0"/>
                <w:sz w:val="18"/>
                <w:szCs w:val="18"/>
              </w:rPr>
            </w:pPr>
            <w:r>
              <w:rPr>
                <w:rFonts w:ascii="宋体" w:hAnsi="宋体" w:cs="宋体" w:hint="eastAsia"/>
                <w:b/>
                <w:bCs/>
                <w:color w:val="000000"/>
                <w:kern w:val="0"/>
                <w:sz w:val="18"/>
                <w:szCs w:val="18"/>
              </w:rPr>
              <w:t>得分</w:t>
            </w:r>
          </w:p>
        </w:tc>
      </w:tr>
      <w:tr w:rsidR="00A571F9">
        <w:trPr>
          <w:trHeight w:val="20"/>
          <w:jc w:val="center"/>
        </w:trPr>
        <w:tc>
          <w:tcPr>
            <w:tcW w:w="1618" w:type="dxa"/>
            <w:vMerge w:val="restart"/>
            <w:shd w:val="clear" w:color="auto" w:fill="auto"/>
            <w:textDirection w:val="tbRlV"/>
            <w:vAlign w:val="center"/>
          </w:tcPr>
          <w:p w:rsidR="00A571F9" w:rsidRDefault="004911A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（20分）</w:t>
            </w:r>
            <w:r>
              <w:rPr>
                <w:rFonts w:ascii="宋体" w:hAnsi="宋体" w:cs="宋体" w:hint="eastAsia"/>
                <w:color w:val="000000"/>
                <w:kern w:val="0"/>
                <w:sz w:val="20"/>
                <w:szCs w:val="20"/>
              </w:rPr>
              <w:br/>
              <w:t>项目决策</w:t>
            </w:r>
          </w:p>
        </w:tc>
        <w:tc>
          <w:tcPr>
            <w:tcW w:w="2113" w:type="dxa"/>
            <w:vMerge w:val="restart"/>
            <w:shd w:val="clear" w:color="auto" w:fill="auto"/>
            <w:textDirection w:val="tbRlV"/>
            <w:vAlign w:val="center"/>
          </w:tcPr>
          <w:p w:rsidR="00A571F9" w:rsidRDefault="004911A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（10分）</w:t>
            </w:r>
            <w:r>
              <w:rPr>
                <w:rFonts w:ascii="宋体" w:hAnsi="宋体" w:cs="宋体" w:hint="eastAsia"/>
                <w:color w:val="000000"/>
                <w:kern w:val="0"/>
                <w:sz w:val="20"/>
                <w:szCs w:val="20"/>
              </w:rPr>
              <w:br/>
              <w:t>科学决策</w:t>
            </w:r>
          </w:p>
        </w:tc>
        <w:tc>
          <w:tcPr>
            <w:tcW w:w="3535" w:type="dxa"/>
            <w:shd w:val="clear" w:color="auto" w:fill="auto"/>
            <w:vAlign w:val="center"/>
          </w:tcPr>
          <w:p w:rsidR="00A571F9" w:rsidRDefault="004911A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必要性</w:t>
            </w:r>
            <w:r>
              <w:rPr>
                <w:rFonts w:ascii="宋体" w:hAnsi="宋体" w:cs="宋体" w:hint="eastAsia"/>
                <w:color w:val="000000"/>
                <w:kern w:val="0"/>
                <w:sz w:val="20"/>
                <w:szCs w:val="20"/>
              </w:rPr>
              <w:br/>
              <w:t>（政策依据)</w:t>
            </w:r>
          </w:p>
        </w:tc>
        <w:tc>
          <w:tcPr>
            <w:tcW w:w="1311" w:type="dxa"/>
            <w:shd w:val="clear" w:color="auto" w:fill="auto"/>
            <w:vAlign w:val="center"/>
          </w:tcPr>
          <w:p w:rsidR="00A571F9" w:rsidRDefault="004911A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5</w:t>
            </w:r>
          </w:p>
        </w:tc>
        <w:tc>
          <w:tcPr>
            <w:tcW w:w="1311" w:type="dxa"/>
            <w:vAlign w:val="center"/>
          </w:tcPr>
          <w:p w:rsidR="00A571F9" w:rsidRDefault="004911A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5</w:t>
            </w:r>
          </w:p>
        </w:tc>
      </w:tr>
      <w:tr w:rsidR="00A571F9">
        <w:trPr>
          <w:trHeight w:val="20"/>
          <w:jc w:val="center"/>
        </w:trPr>
        <w:tc>
          <w:tcPr>
            <w:tcW w:w="1618" w:type="dxa"/>
            <w:vMerge/>
            <w:shd w:val="clear" w:color="auto" w:fill="auto"/>
            <w:vAlign w:val="center"/>
          </w:tcPr>
          <w:p w:rsidR="00A571F9" w:rsidRDefault="00A571F9">
            <w:pPr>
              <w:widowControl/>
              <w:spacing w:line="260" w:lineRule="exact"/>
              <w:jc w:val="left"/>
              <w:rPr>
                <w:rFonts w:ascii="宋体" w:hAnsi="宋体" w:cs="宋体"/>
                <w:color w:val="000000"/>
                <w:kern w:val="0"/>
                <w:sz w:val="20"/>
                <w:szCs w:val="20"/>
              </w:rPr>
            </w:pPr>
          </w:p>
        </w:tc>
        <w:tc>
          <w:tcPr>
            <w:tcW w:w="2113" w:type="dxa"/>
            <w:vMerge/>
            <w:shd w:val="clear" w:color="auto" w:fill="auto"/>
            <w:vAlign w:val="center"/>
          </w:tcPr>
          <w:p w:rsidR="00A571F9" w:rsidRDefault="00A571F9">
            <w:pPr>
              <w:widowControl/>
              <w:spacing w:line="260" w:lineRule="exact"/>
              <w:jc w:val="left"/>
              <w:rPr>
                <w:rFonts w:ascii="宋体" w:hAnsi="宋体" w:cs="宋体"/>
                <w:color w:val="000000"/>
                <w:kern w:val="0"/>
                <w:sz w:val="20"/>
                <w:szCs w:val="20"/>
              </w:rPr>
            </w:pPr>
          </w:p>
        </w:tc>
        <w:tc>
          <w:tcPr>
            <w:tcW w:w="3535" w:type="dxa"/>
            <w:shd w:val="clear" w:color="auto" w:fill="auto"/>
            <w:vAlign w:val="center"/>
          </w:tcPr>
          <w:p w:rsidR="00A571F9" w:rsidRDefault="004911A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可行性</w:t>
            </w:r>
            <w:r>
              <w:rPr>
                <w:rFonts w:ascii="宋体" w:hAnsi="宋体" w:cs="宋体" w:hint="eastAsia"/>
                <w:color w:val="000000"/>
                <w:kern w:val="0"/>
                <w:sz w:val="20"/>
                <w:szCs w:val="20"/>
              </w:rPr>
              <w:br/>
              <w:t>（政策完善）</w:t>
            </w:r>
          </w:p>
        </w:tc>
        <w:tc>
          <w:tcPr>
            <w:tcW w:w="1311" w:type="dxa"/>
            <w:shd w:val="clear" w:color="auto" w:fill="auto"/>
            <w:vAlign w:val="center"/>
          </w:tcPr>
          <w:p w:rsidR="00A571F9" w:rsidRDefault="004911A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5</w:t>
            </w:r>
          </w:p>
        </w:tc>
        <w:tc>
          <w:tcPr>
            <w:tcW w:w="1311" w:type="dxa"/>
            <w:vAlign w:val="center"/>
          </w:tcPr>
          <w:p w:rsidR="00A571F9" w:rsidRDefault="004911A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5</w:t>
            </w:r>
          </w:p>
        </w:tc>
      </w:tr>
      <w:tr w:rsidR="00A571F9">
        <w:trPr>
          <w:trHeight w:val="684"/>
          <w:jc w:val="center"/>
        </w:trPr>
        <w:tc>
          <w:tcPr>
            <w:tcW w:w="1618" w:type="dxa"/>
            <w:vMerge/>
            <w:shd w:val="clear" w:color="auto" w:fill="auto"/>
            <w:vAlign w:val="center"/>
          </w:tcPr>
          <w:p w:rsidR="00A571F9" w:rsidRDefault="00A571F9">
            <w:pPr>
              <w:widowControl/>
              <w:spacing w:line="260" w:lineRule="exact"/>
              <w:jc w:val="left"/>
              <w:rPr>
                <w:rFonts w:ascii="宋体" w:hAnsi="宋体" w:cs="宋体"/>
                <w:color w:val="000000"/>
                <w:kern w:val="0"/>
                <w:sz w:val="20"/>
                <w:szCs w:val="20"/>
              </w:rPr>
            </w:pPr>
          </w:p>
        </w:tc>
        <w:tc>
          <w:tcPr>
            <w:tcW w:w="2113" w:type="dxa"/>
            <w:vMerge w:val="restart"/>
            <w:shd w:val="clear" w:color="auto" w:fill="auto"/>
            <w:textDirection w:val="tbRlV"/>
            <w:vAlign w:val="center"/>
          </w:tcPr>
          <w:p w:rsidR="00A571F9" w:rsidRDefault="004911A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（10）</w:t>
            </w:r>
            <w:r>
              <w:rPr>
                <w:rFonts w:ascii="宋体" w:hAnsi="宋体" w:cs="宋体" w:hint="eastAsia"/>
                <w:color w:val="000000"/>
                <w:kern w:val="0"/>
                <w:sz w:val="20"/>
                <w:szCs w:val="20"/>
              </w:rPr>
              <w:br/>
              <w:t xml:space="preserve">绩效目标    </w:t>
            </w:r>
          </w:p>
        </w:tc>
        <w:tc>
          <w:tcPr>
            <w:tcW w:w="3535" w:type="dxa"/>
            <w:shd w:val="clear" w:color="auto" w:fill="auto"/>
            <w:vAlign w:val="center"/>
          </w:tcPr>
          <w:p w:rsidR="00A571F9" w:rsidRDefault="004911A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明确性</w:t>
            </w:r>
          </w:p>
        </w:tc>
        <w:tc>
          <w:tcPr>
            <w:tcW w:w="1311" w:type="dxa"/>
            <w:shd w:val="clear" w:color="auto" w:fill="auto"/>
            <w:vAlign w:val="center"/>
          </w:tcPr>
          <w:p w:rsidR="00A571F9" w:rsidRDefault="004911A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5</w:t>
            </w:r>
          </w:p>
        </w:tc>
        <w:tc>
          <w:tcPr>
            <w:tcW w:w="1311" w:type="dxa"/>
            <w:vAlign w:val="center"/>
          </w:tcPr>
          <w:p w:rsidR="00A571F9" w:rsidRDefault="004911A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5</w:t>
            </w:r>
          </w:p>
        </w:tc>
      </w:tr>
      <w:tr w:rsidR="00A571F9">
        <w:trPr>
          <w:trHeight w:val="375"/>
          <w:jc w:val="center"/>
        </w:trPr>
        <w:tc>
          <w:tcPr>
            <w:tcW w:w="1618" w:type="dxa"/>
            <w:vMerge/>
            <w:shd w:val="clear" w:color="auto" w:fill="auto"/>
            <w:vAlign w:val="center"/>
          </w:tcPr>
          <w:p w:rsidR="00A571F9" w:rsidRDefault="00A571F9">
            <w:pPr>
              <w:widowControl/>
              <w:spacing w:line="260" w:lineRule="exact"/>
              <w:jc w:val="left"/>
              <w:rPr>
                <w:rFonts w:ascii="宋体" w:hAnsi="宋体" w:cs="宋体"/>
                <w:color w:val="000000"/>
                <w:kern w:val="0"/>
                <w:sz w:val="20"/>
                <w:szCs w:val="20"/>
              </w:rPr>
            </w:pPr>
          </w:p>
        </w:tc>
        <w:tc>
          <w:tcPr>
            <w:tcW w:w="2113" w:type="dxa"/>
            <w:vMerge/>
            <w:shd w:val="clear" w:color="auto" w:fill="auto"/>
            <w:vAlign w:val="center"/>
          </w:tcPr>
          <w:p w:rsidR="00A571F9" w:rsidRDefault="00A571F9">
            <w:pPr>
              <w:widowControl/>
              <w:spacing w:line="260" w:lineRule="exact"/>
              <w:jc w:val="left"/>
              <w:rPr>
                <w:rFonts w:ascii="宋体" w:hAnsi="宋体" w:cs="宋体"/>
                <w:color w:val="000000"/>
                <w:kern w:val="0"/>
                <w:sz w:val="20"/>
                <w:szCs w:val="20"/>
              </w:rPr>
            </w:pPr>
          </w:p>
        </w:tc>
        <w:tc>
          <w:tcPr>
            <w:tcW w:w="3535" w:type="dxa"/>
            <w:shd w:val="clear" w:color="auto" w:fill="auto"/>
            <w:vAlign w:val="center"/>
          </w:tcPr>
          <w:p w:rsidR="00A571F9" w:rsidRDefault="004911A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合理性</w:t>
            </w:r>
          </w:p>
        </w:tc>
        <w:tc>
          <w:tcPr>
            <w:tcW w:w="1311" w:type="dxa"/>
            <w:shd w:val="clear" w:color="auto" w:fill="auto"/>
            <w:vAlign w:val="center"/>
          </w:tcPr>
          <w:p w:rsidR="00A571F9" w:rsidRDefault="004911A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5</w:t>
            </w:r>
          </w:p>
        </w:tc>
        <w:tc>
          <w:tcPr>
            <w:tcW w:w="1311" w:type="dxa"/>
            <w:vAlign w:val="center"/>
          </w:tcPr>
          <w:p w:rsidR="00A571F9" w:rsidRDefault="004911A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5</w:t>
            </w:r>
          </w:p>
        </w:tc>
      </w:tr>
      <w:tr w:rsidR="00A571F9">
        <w:trPr>
          <w:trHeight w:val="691"/>
          <w:jc w:val="center"/>
        </w:trPr>
        <w:tc>
          <w:tcPr>
            <w:tcW w:w="1618" w:type="dxa"/>
            <w:vMerge w:val="restart"/>
            <w:shd w:val="clear" w:color="auto" w:fill="auto"/>
            <w:textDirection w:val="tbRlV"/>
            <w:vAlign w:val="center"/>
          </w:tcPr>
          <w:p w:rsidR="00A571F9" w:rsidRDefault="004911A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（10分）</w:t>
            </w:r>
            <w:r>
              <w:rPr>
                <w:rFonts w:ascii="宋体" w:hAnsi="宋体" w:cs="宋体" w:hint="eastAsia"/>
                <w:color w:val="000000"/>
                <w:kern w:val="0"/>
                <w:sz w:val="20"/>
                <w:szCs w:val="20"/>
              </w:rPr>
              <w:br/>
              <w:t>项目管理</w:t>
            </w:r>
          </w:p>
        </w:tc>
        <w:tc>
          <w:tcPr>
            <w:tcW w:w="2113" w:type="dxa"/>
            <w:vMerge w:val="restart"/>
            <w:shd w:val="clear" w:color="auto" w:fill="auto"/>
            <w:textDirection w:val="tbRlV"/>
            <w:vAlign w:val="center"/>
          </w:tcPr>
          <w:p w:rsidR="00A571F9" w:rsidRDefault="004911A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（7分）</w:t>
            </w:r>
            <w:r>
              <w:rPr>
                <w:rFonts w:ascii="宋体" w:hAnsi="宋体" w:cs="宋体" w:hint="eastAsia"/>
                <w:color w:val="000000"/>
                <w:kern w:val="0"/>
                <w:sz w:val="20"/>
                <w:szCs w:val="20"/>
              </w:rPr>
              <w:br/>
              <w:t>资金管理</w:t>
            </w:r>
          </w:p>
        </w:tc>
        <w:tc>
          <w:tcPr>
            <w:tcW w:w="3535" w:type="dxa"/>
            <w:shd w:val="clear" w:color="auto" w:fill="auto"/>
            <w:vAlign w:val="center"/>
          </w:tcPr>
          <w:p w:rsidR="00A571F9" w:rsidRDefault="004911A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资金分配</w:t>
            </w:r>
          </w:p>
        </w:tc>
        <w:tc>
          <w:tcPr>
            <w:tcW w:w="1311" w:type="dxa"/>
            <w:shd w:val="clear" w:color="auto" w:fill="auto"/>
            <w:vAlign w:val="center"/>
          </w:tcPr>
          <w:p w:rsidR="00A571F9" w:rsidRDefault="004911A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3</w:t>
            </w:r>
          </w:p>
        </w:tc>
        <w:tc>
          <w:tcPr>
            <w:tcW w:w="1311" w:type="dxa"/>
            <w:vAlign w:val="center"/>
          </w:tcPr>
          <w:p w:rsidR="00A571F9" w:rsidRDefault="004911A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3</w:t>
            </w:r>
          </w:p>
        </w:tc>
      </w:tr>
      <w:tr w:rsidR="00A571F9">
        <w:trPr>
          <w:trHeight w:val="702"/>
          <w:jc w:val="center"/>
        </w:trPr>
        <w:tc>
          <w:tcPr>
            <w:tcW w:w="1618" w:type="dxa"/>
            <w:vMerge/>
            <w:shd w:val="clear" w:color="auto" w:fill="auto"/>
            <w:vAlign w:val="center"/>
          </w:tcPr>
          <w:p w:rsidR="00A571F9" w:rsidRDefault="00A571F9">
            <w:pPr>
              <w:widowControl/>
              <w:spacing w:line="260" w:lineRule="exact"/>
              <w:jc w:val="left"/>
              <w:rPr>
                <w:rFonts w:ascii="宋体" w:hAnsi="宋体" w:cs="宋体"/>
                <w:color w:val="000000"/>
                <w:kern w:val="0"/>
                <w:sz w:val="20"/>
                <w:szCs w:val="20"/>
              </w:rPr>
            </w:pPr>
          </w:p>
        </w:tc>
        <w:tc>
          <w:tcPr>
            <w:tcW w:w="2113" w:type="dxa"/>
            <w:vMerge/>
            <w:shd w:val="clear" w:color="auto" w:fill="auto"/>
            <w:textDirection w:val="tbRlV"/>
            <w:vAlign w:val="center"/>
          </w:tcPr>
          <w:p w:rsidR="00A571F9" w:rsidRDefault="00A571F9">
            <w:pPr>
              <w:widowControl/>
              <w:spacing w:line="260" w:lineRule="exact"/>
              <w:jc w:val="center"/>
              <w:rPr>
                <w:rFonts w:ascii="宋体" w:hAnsi="宋体" w:cs="宋体"/>
                <w:color w:val="000000"/>
                <w:kern w:val="0"/>
                <w:sz w:val="20"/>
                <w:szCs w:val="20"/>
              </w:rPr>
            </w:pPr>
          </w:p>
        </w:tc>
        <w:tc>
          <w:tcPr>
            <w:tcW w:w="3535" w:type="dxa"/>
            <w:shd w:val="clear" w:color="auto" w:fill="auto"/>
            <w:vAlign w:val="center"/>
          </w:tcPr>
          <w:p w:rsidR="00A571F9" w:rsidRDefault="004911A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资金使用</w:t>
            </w:r>
          </w:p>
        </w:tc>
        <w:tc>
          <w:tcPr>
            <w:tcW w:w="1311" w:type="dxa"/>
            <w:shd w:val="clear" w:color="auto" w:fill="auto"/>
            <w:vAlign w:val="center"/>
          </w:tcPr>
          <w:p w:rsidR="00A571F9" w:rsidRDefault="004911A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4</w:t>
            </w:r>
          </w:p>
        </w:tc>
        <w:tc>
          <w:tcPr>
            <w:tcW w:w="1311" w:type="dxa"/>
            <w:vAlign w:val="center"/>
          </w:tcPr>
          <w:p w:rsidR="00A571F9" w:rsidRDefault="004911A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3</w:t>
            </w:r>
          </w:p>
        </w:tc>
      </w:tr>
      <w:tr w:rsidR="00A571F9">
        <w:trPr>
          <w:trHeight w:val="960"/>
          <w:jc w:val="center"/>
        </w:trPr>
        <w:tc>
          <w:tcPr>
            <w:tcW w:w="1618" w:type="dxa"/>
            <w:vMerge/>
            <w:shd w:val="clear" w:color="auto" w:fill="auto"/>
            <w:vAlign w:val="center"/>
          </w:tcPr>
          <w:p w:rsidR="00A571F9" w:rsidRDefault="00A571F9">
            <w:pPr>
              <w:widowControl/>
              <w:spacing w:line="260" w:lineRule="exact"/>
              <w:jc w:val="left"/>
              <w:rPr>
                <w:rFonts w:ascii="宋体" w:hAnsi="宋体" w:cs="宋体"/>
                <w:color w:val="000000"/>
                <w:kern w:val="0"/>
                <w:sz w:val="20"/>
                <w:szCs w:val="20"/>
              </w:rPr>
            </w:pPr>
          </w:p>
        </w:tc>
        <w:tc>
          <w:tcPr>
            <w:tcW w:w="2113" w:type="dxa"/>
            <w:shd w:val="clear" w:color="auto" w:fill="auto"/>
            <w:textDirection w:val="tbRlV"/>
            <w:vAlign w:val="center"/>
          </w:tcPr>
          <w:p w:rsidR="00A571F9" w:rsidRDefault="004911A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（3分）</w:t>
            </w:r>
            <w:r>
              <w:rPr>
                <w:rFonts w:ascii="宋体" w:hAnsi="宋体" w:cs="宋体" w:hint="eastAsia"/>
                <w:color w:val="000000"/>
                <w:kern w:val="0"/>
                <w:sz w:val="20"/>
                <w:szCs w:val="20"/>
              </w:rPr>
              <w:br/>
              <w:t>项目执行</w:t>
            </w:r>
          </w:p>
        </w:tc>
        <w:tc>
          <w:tcPr>
            <w:tcW w:w="3535" w:type="dxa"/>
            <w:shd w:val="clear" w:color="auto" w:fill="auto"/>
            <w:vAlign w:val="center"/>
          </w:tcPr>
          <w:p w:rsidR="00A571F9" w:rsidRDefault="004911A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执行规范</w:t>
            </w:r>
          </w:p>
        </w:tc>
        <w:tc>
          <w:tcPr>
            <w:tcW w:w="1311" w:type="dxa"/>
            <w:shd w:val="clear" w:color="auto" w:fill="auto"/>
            <w:vAlign w:val="center"/>
          </w:tcPr>
          <w:p w:rsidR="00A571F9" w:rsidRDefault="004911A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3</w:t>
            </w:r>
          </w:p>
        </w:tc>
        <w:tc>
          <w:tcPr>
            <w:tcW w:w="1311" w:type="dxa"/>
            <w:vAlign w:val="center"/>
          </w:tcPr>
          <w:p w:rsidR="00A571F9" w:rsidRDefault="004911A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3</w:t>
            </w:r>
          </w:p>
        </w:tc>
      </w:tr>
      <w:tr w:rsidR="00A571F9">
        <w:trPr>
          <w:trHeight w:val="616"/>
          <w:jc w:val="center"/>
        </w:trPr>
        <w:tc>
          <w:tcPr>
            <w:tcW w:w="1618" w:type="dxa"/>
            <w:vMerge w:val="restart"/>
            <w:shd w:val="clear" w:color="auto" w:fill="auto"/>
            <w:textDirection w:val="tbRlV"/>
            <w:vAlign w:val="center"/>
          </w:tcPr>
          <w:p w:rsidR="00A571F9" w:rsidRDefault="004911A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（特性指标70分）</w:t>
            </w:r>
            <w:r>
              <w:rPr>
                <w:rFonts w:ascii="宋体" w:hAnsi="宋体" w:cs="宋体" w:hint="eastAsia"/>
                <w:color w:val="000000"/>
                <w:kern w:val="0"/>
                <w:sz w:val="20"/>
                <w:szCs w:val="20"/>
              </w:rPr>
              <w:br/>
              <w:t xml:space="preserve">项目绩效  </w:t>
            </w:r>
          </w:p>
        </w:tc>
        <w:tc>
          <w:tcPr>
            <w:tcW w:w="2113" w:type="dxa"/>
            <w:vMerge w:val="restart"/>
            <w:shd w:val="clear" w:color="auto" w:fill="auto"/>
            <w:textDirection w:val="tbRlV"/>
            <w:vAlign w:val="center"/>
          </w:tcPr>
          <w:p w:rsidR="00A571F9" w:rsidRDefault="004911A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（20）</w:t>
            </w:r>
            <w:r>
              <w:rPr>
                <w:rFonts w:ascii="宋体" w:hAnsi="宋体" w:cs="宋体" w:hint="eastAsia"/>
                <w:color w:val="000000"/>
                <w:kern w:val="0"/>
                <w:sz w:val="20"/>
                <w:szCs w:val="20"/>
              </w:rPr>
              <w:br/>
              <w:t>项目完成</w:t>
            </w:r>
          </w:p>
        </w:tc>
        <w:tc>
          <w:tcPr>
            <w:tcW w:w="3535" w:type="dxa"/>
            <w:shd w:val="clear" w:color="auto" w:fill="auto"/>
            <w:vAlign w:val="center"/>
          </w:tcPr>
          <w:p w:rsidR="00A571F9" w:rsidRDefault="004911A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完成数量</w:t>
            </w:r>
          </w:p>
        </w:tc>
        <w:tc>
          <w:tcPr>
            <w:tcW w:w="1311" w:type="dxa"/>
            <w:shd w:val="clear" w:color="auto" w:fill="auto"/>
            <w:vAlign w:val="center"/>
          </w:tcPr>
          <w:p w:rsidR="00A571F9" w:rsidRDefault="004911A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 xml:space="preserve">5 </w:t>
            </w:r>
          </w:p>
        </w:tc>
        <w:tc>
          <w:tcPr>
            <w:tcW w:w="1311" w:type="dxa"/>
            <w:vAlign w:val="center"/>
          </w:tcPr>
          <w:p w:rsidR="00A571F9" w:rsidRDefault="004911A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5</w:t>
            </w:r>
          </w:p>
        </w:tc>
      </w:tr>
      <w:tr w:rsidR="00A571F9">
        <w:trPr>
          <w:trHeight w:val="554"/>
          <w:jc w:val="center"/>
        </w:trPr>
        <w:tc>
          <w:tcPr>
            <w:tcW w:w="1618" w:type="dxa"/>
            <w:vMerge/>
            <w:shd w:val="clear" w:color="auto" w:fill="auto"/>
            <w:vAlign w:val="center"/>
          </w:tcPr>
          <w:p w:rsidR="00A571F9" w:rsidRDefault="00A571F9">
            <w:pPr>
              <w:widowControl/>
              <w:spacing w:line="260" w:lineRule="exact"/>
              <w:jc w:val="left"/>
              <w:rPr>
                <w:rFonts w:ascii="宋体" w:hAnsi="宋体" w:cs="宋体"/>
                <w:color w:val="000000"/>
                <w:kern w:val="0"/>
                <w:sz w:val="20"/>
                <w:szCs w:val="20"/>
              </w:rPr>
            </w:pPr>
          </w:p>
        </w:tc>
        <w:tc>
          <w:tcPr>
            <w:tcW w:w="2113" w:type="dxa"/>
            <w:vMerge/>
            <w:shd w:val="clear" w:color="auto" w:fill="auto"/>
            <w:vAlign w:val="center"/>
          </w:tcPr>
          <w:p w:rsidR="00A571F9" w:rsidRDefault="00A571F9">
            <w:pPr>
              <w:widowControl/>
              <w:spacing w:line="260" w:lineRule="exact"/>
              <w:jc w:val="left"/>
              <w:rPr>
                <w:rFonts w:ascii="宋体" w:hAnsi="宋体" w:cs="宋体"/>
                <w:color w:val="000000"/>
                <w:kern w:val="0"/>
                <w:sz w:val="20"/>
                <w:szCs w:val="20"/>
              </w:rPr>
            </w:pPr>
          </w:p>
        </w:tc>
        <w:tc>
          <w:tcPr>
            <w:tcW w:w="3535" w:type="dxa"/>
            <w:shd w:val="clear" w:color="auto" w:fill="auto"/>
            <w:vAlign w:val="center"/>
          </w:tcPr>
          <w:p w:rsidR="00A571F9" w:rsidRDefault="004911A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完成质量</w:t>
            </w:r>
          </w:p>
        </w:tc>
        <w:tc>
          <w:tcPr>
            <w:tcW w:w="1311" w:type="dxa"/>
            <w:shd w:val="clear" w:color="auto" w:fill="auto"/>
            <w:vAlign w:val="center"/>
          </w:tcPr>
          <w:p w:rsidR="00A571F9" w:rsidRDefault="004911A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 xml:space="preserve">5 </w:t>
            </w:r>
          </w:p>
        </w:tc>
        <w:tc>
          <w:tcPr>
            <w:tcW w:w="1311" w:type="dxa"/>
            <w:vAlign w:val="center"/>
          </w:tcPr>
          <w:p w:rsidR="00A571F9" w:rsidRDefault="004911A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5</w:t>
            </w:r>
          </w:p>
        </w:tc>
      </w:tr>
      <w:tr w:rsidR="00A571F9">
        <w:trPr>
          <w:trHeight w:val="690"/>
          <w:jc w:val="center"/>
        </w:trPr>
        <w:tc>
          <w:tcPr>
            <w:tcW w:w="1618" w:type="dxa"/>
            <w:vMerge/>
            <w:shd w:val="clear" w:color="auto" w:fill="auto"/>
            <w:vAlign w:val="center"/>
          </w:tcPr>
          <w:p w:rsidR="00A571F9" w:rsidRDefault="00A571F9">
            <w:pPr>
              <w:widowControl/>
              <w:spacing w:line="260" w:lineRule="exact"/>
              <w:jc w:val="left"/>
              <w:rPr>
                <w:rFonts w:ascii="宋体" w:hAnsi="宋体" w:cs="宋体"/>
                <w:color w:val="000000"/>
                <w:kern w:val="0"/>
                <w:sz w:val="20"/>
                <w:szCs w:val="20"/>
              </w:rPr>
            </w:pPr>
          </w:p>
        </w:tc>
        <w:tc>
          <w:tcPr>
            <w:tcW w:w="2113" w:type="dxa"/>
            <w:vMerge/>
            <w:shd w:val="clear" w:color="auto" w:fill="auto"/>
            <w:vAlign w:val="center"/>
          </w:tcPr>
          <w:p w:rsidR="00A571F9" w:rsidRDefault="00A571F9">
            <w:pPr>
              <w:widowControl/>
              <w:spacing w:line="260" w:lineRule="exact"/>
              <w:jc w:val="left"/>
              <w:rPr>
                <w:rFonts w:ascii="宋体" w:hAnsi="宋体" w:cs="宋体"/>
                <w:color w:val="000000"/>
                <w:kern w:val="0"/>
                <w:sz w:val="20"/>
                <w:szCs w:val="20"/>
              </w:rPr>
            </w:pPr>
          </w:p>
        </w:tc>
        <w:tc>
          <w:tcPr>
            <w:tcW w:w="3535" w:type="dxa"/>
            <w:shd w:val="clear" w:color="auto" w:fill="auto"/>
            <w:vAlign w:val="center"/>
          </w:tcPr>
          <w:p w:rsidR="00A571F9" w:rsidRDefault="004911A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完成时效</w:t>
            </w:r>
          </w:p>
        </w:tc>
        <w:tc>
          <w:tcPr>
            <w:tcW w:w="1311" w:type="dxa"/>
            <w:shd w:val="clear" w:color="auto" w:fill="auto"/>
            <w:vAlign w:val="center"/>
          </w:tcPr>
          <w:p w:rsidR="00A571F9" w:rsidRDefault="004911A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5</w:t>
            </w:r>
          </w:p>
        </w:tc>
        <w:tc>
          <w:tcPr>
            <w:tcW w:w="1311" w:type="dxa"/>
            <w:vAlign w:val="center"/>
          </w:tcPr>
          <w:p w:rsidR="00A571F9" w:rsidRDefault="004911A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5</w:t>
            </w:r>
          </w:p>
        </w:tc>
      </w:tr>
      <w:tr w:rsidR="00A571F9">
        <w:trPr>
          <w:trHeight w:val="558"/>
          <w:jc w:val="center"/>
        </w:trPr>
        <w:tc>
          <w:tcPr>
            <w:tcW w:w="1618" w:type="dxa"/>
            <w:vMerge/>
            <w:shd w:val="clear" w:color="auto" w:fill="auto"/>
            <w:vAlign w:val="center"/>
          </w:tcPr>
          <w:p w:rsidR="00A571F9" w:rsidRDefault="00A571F9">
            <w:pPr>
              <w:widowControl/>
              <w:spacing w:line="260" w:lineRule="exact"/>
              <w:jc w:val="left"/>
              <w:rPr>
                <w:rFonts w:ascii="宋体" w:hAnsi="宋体" w:cs="宋体"/>
                <w:color w:val="000000"/>
                <w:kern w:val="0"/>
                <w:sz w:val="20"/>
                <w:szCs w:val="20"/>
              </w:rPr>
            </w:pPr>
          </w:p>
        </w:tc>
        <w:tc>
          <w:tcPr>
            <w:tcW w:w="2113" w:type="dxa"/>
            <w:vMerge/>
            <w:shd w:val="clear" w:color="auto" w:fill="auto"/>
            <w:vAlign w:val="center"/>
          </w:tcPr>
          <w:p w:rsidR="00A571F9" w:rsidRDefault="00A571F9">
            <w:pPr>
              <w:widowControl/>
              <w:spacing w:line="260" w:lineRule="exact"/>
              <w:jc w:val="left"/>
              <w:rPr>
                <w:rFonts w:ascii="宋体" w:hAnsi="宋体" w:cs="宋体"/>
                <w:color w:val="000000"/>
                <w:kern w:val="0"/>
                <w:sz w:val="20"/>
                <w:szCs w:val="20"/>
              </w:rPr>
            </w:pPr>
          </w:p>
        </w:tc>
        <w:tc>
          <w:tcPr>
            <w:tcW w:w="3535" w:type="dxa"/>
            <w:shd w:val="clear" w:color="auto" w:fill="auto"/>
            <w:vAlign w:val="center"/>
          </w:tcPr>
          <w:p w:rsidR="00A571F9" w:rsidRDefault="004911A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完成成本</w:t>
            </w:r>
          </w:p>
        </w:tc>
        <w:tc>
          <w:tcPr>
            <w:tcW w:w="1311" w:type="dxa"/>
            <w:shd w:val="clear" w:color="auto" w:fill="auto"/>
            <w:vAlign w:val="center"/>
          </w:tcPr>
          <w:p w:rsidR="00A571F9" w:rsidRDefault="004911A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5</w:t>
            </w:r>
          </w:p>
        </w:tc>
        <w:tc>
          <w:tcPr>
            <w:tcW w:w="1311" w:type="dxa"/>
            <w:vAlign w:val="center"/>
          </w:tcPr>
          <w:p w:rsidR="00A571F9" w:rsidRDefault="004911A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4</w:t>
            </w:r>
          </w:p>
        </w:tc>
      </w:tr>
      <w:tr w:rsidR="00A571F9">
        <w:trPr>
          <w:trHeight w:val="566"/>
          <w:jc w:val="center"/>
        </w:trPr>
        <w:tc>
          <w:tcPr>
            <w:tcW w:w="1618" w:type="dxa"/>
            <w:vMerge/>
            <w:shd w:val="clear" w:color="auto" w:fill="auto"/>
            <w:vAlign w:val="center"/>
          </w:tcPr>
          <w:p w:rsidR="00A571F9" w:rsidRDefault="00A571F9">
            <w:pPr>
              <w:widowControl/>
              <w:spacing w:line="260" w:lineRule="exact"/>
              <w:jc w:val="left"/>
              <w:rPr>
                <w:rFonts w:ascii="宋体" w:hAnsi="宋体" w:cs="宋体"/>
                <w:color w:val="000000"/>
                <w:kern w:val="0"/>
                <w:sz w:val="20"/>
                <w:szCs w:val="20"/>
              </w:rPr>
            </w:pPr>
          </w:p>
        </w:tc>
        <w:tc>
          <w:tcPr>
            <w:tcW w:w="2113" w:type="dxa"/>
            <w:vMerge w:val="restart"/>
            <w:shd w:val="clear" w:color="auto" w:fill="auto"/>
            <w:textDirection w:val="tbRlV"/>
            <w:vAlign w:val="center"/>
          </w:tcPr>
          <w:p w:rsidR="00A571F9" w:rsidRDefault="004911A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（50分）</w:t>
            </w:r>
            <w:r>
              <w:rPr>
                <w:rFonts w:ascii="宋体" w:hAnsi="宋体" w:cs="宋体" w:hint="eastAsia"/>
                <w:color w:val="000000"/>
                <w:kern w:val="0"/>
                <w:sz w:val="20"/>
                <w:szCs w:val="20"/>
              </w:rPr>
              <w:br/>
              <w:t>项目效益</w:t>
            </w:r>
          </w:p>
        </w:tc>
        <w:tc>
          <w:tcPr>
            <w:tcW w:w="3535" w:type="dxa"/>
            <w:shd w:val="clear" w:color="auto" w:fill="auto"/>
            <w:vAlign w:val="center"/>
          </w:tcPr>
          <w:p w:rsidR="00A571F9" w:rsidRDefault="004911A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经济效益（可选项）</w:t>
            </w:r>
          </w:p>
        </w:tc>
        <w:tc>
          <w:tcPr>
            <w:tcW w:w="1311" w:type="dxa"/>
            <w:vMerge w:val="restart"/>
            <w:shd w:val="clear" w:color="auto" w:fill="auto"/>
            <w:vAlign w:val="center"/>
          </w:tcPr>
          <w:p w:rsidR="00A571F9" w:rsidRDefault="004911A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40</w:t>
            </w:r>
          </w:p>
        </w:tc>
        <w:tc>
          <w:tcPr>
            <w:tcW w:w="1311" w:type="dxa"/>
            <w:vAlign w:val="center"/>
          </w:tcPr>
          <w:p w:rsidR="00A571F9" w:rsidRDefault="004911A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10</w:t>
            </w:r>
          </w:p>
        </w:tc>
      </w:tr>
      <w:tr w:rsidR="00A571F9">
        <w:trPr>
          <w:trHeight w:val="688"/>
          <w:jc w:val="center"/>
        </w:trPr>
        <w:tc>
          <w:tcPr>
            <w:tcW w:w="1618" w:type="dxa"/>
            <w:vMerge/>
            <w:shd w:val="clear" w:color="auto" w:fill="auto"/>
            <w:vAlign w:val="center"/>
          </w:tcPr>
          <w:p w:rsidR="00A571F9" w:rsidRDefault="00A571F9">
            <w:pPr>
              <w:widowControl/>
              <w:spacing w:line="260" w:lineRule="exact"/>
              <w:jc w:val="left"/>
              <w:rPr>
                <w:rFonts w:ascii="宋体" w:hAnsi="宋体" w:cs="宋体"/>
                <w:color w:val="000000"/>
                <w:kern w:val="0"/>
                <w:sz w:val="20"/>
                <w:szCs w:val="20"/>
              </w:rPr>
            </w:pPr>
          </w:p>
        </w:tc>
        <w:tc>
          <w:tcPr>
            <w:tcW w:w="2113" w:type="dxa"/>
            <w:vMerge/>
            <w:shd w:val="clear" w:color="auto" w:fill="auto"/>
            <w:vAlign w:val="center"/>
          </w:tcPr>
          <w:p w:rsidR="00A571F9" w:rsidRDefault="00A571F9">
            <w:pPr>
              <w:widowControl/>
              <w:spacing w:line="260" w:lineRule="exact"/>
              <w:jc w:val="left"/>
              <w:rPr>
                <w:rFonts w:ascii="宋体" w:hAnsi="宋体" w:cs="宋体"/>
                <w:color w:val="000000"/>
                <w:kern w:val="0"/>
                <w:sz w:val="20"/>
                <w:szCs w:val="20"/>
              </w:rPr>
            </w:pPr>
          </w:p>
        </w:tc>
        <w:tc>
          <w:tcPr>
            <w:tcW w:w="3535" w:type="dxa"/>
            <w:shd w:val="clear" w:color="auto" w:fill="auto"/>
            <w:vAlign w:val="center"/>
          </w:tcPr>
          <w:p w:rsidR="00A571F9" w:rsidRDefault="004911A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社会效益（可选项）</w:t>
            </w:r>
          </w:p>
        </w:tc>
        <w:tc>
          <w:tcPr>
            <w:tcW w:w="1311" w:type="dxa"/>
            <w:vMerge/>
            <w:shd w:val="clear" w:color="auto" w:fill="auto"/>
            <w:vAlign w:val="center"/>
          </w:tcPr>
          <w:p w:rsidR="00A571F9" w:rsidRDefault="00A571F9">
            <w:pPr>
              <w:widowControl/>
              <w:spacing w:line="260" w:lineRule="exact"/>
              <w:jc w:val="left"/>
              <w:rPr>
                <w:rFonts w:ascii="宋体" w:hAnsi="宋体" w:cs="宋体"/>
                <w:color w:val="000000"/>
                <w:kern w:val="0"/>
                <w:sz w:val="20"/>
                <w:szCs w:val="20"/>
              </w:rPr>
            </w:pPr>
          </w:p>
        </w:tc>
        <w:tc>
          <w:tcPr>
            <w:tcW w:w="1311" w:type="dxa"/>
            <w:vAlign w:val="center"/>
          </w:tcPr>
          <w:p w:rsidR="00A571F9" w:rsidRDefault="004911A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20</w:t>
            </w:r>
          </w:p>
        </w:tc>
      </w:tr>
      <w:tr w:rsidR="00A571F9">
        <w:trPr>
          <w:trHeight w:val="557"/>
          <w:jc w:val="center"/>
        </w:trPr>
        <w:tc>
          <w:tcPr>
            <w:tcW w:w="1618" w:type="dxa"/>
            <w:vMerge/>
            <w:shd w:val="clear" w:color="auto" w:fill="auto"/>
            <w:vAlign w:val="center"/>
          </w:tcPr>
          <w:p w:rsidR="00A571F9" w:rsidRDefault="00A571F9">
            <w:pPr>
              <w:widowControl/>
              <w:spacing w:line="260" w:lineRule="exact"/>
              <w:jc w:val="left"/>
              <w:rPr>
                <w:rFonts w:ascii="宋体" w:hAnsi="宋体" w:cs="宋体"/>
                <w:color w:val="000000"/>
                <w:kern w:val="0"/>
                <w:sz w:val="20"/>
                <w:szCs w:val="20"/>
              </w:rPr>
            </w:pPr>
          </w:p>
        </w:tc>
        <w:tc>
          <w:tcPr>
            <w:tcW w:w="2113" w:type="dxa"/>
            <w:vMerge/>
            <w:shd w:val="clear" w:color="auto" w:fill="auto"/>
            <w:vAlign w:val="center"/>
          </w:tcPr>
          <w:p w:rsidR="00A571F9" w:rsidRDefault="00A571F9">
            <w:pPr>
              <w:widowControl/>
              <w:spacing w:line="260" w:lineRule="exact"/>
              <w:jc w:val="left"/>
              <w:rPr>
                <w:rFonts w:ascii="宋体" w:hAnsi="宋体" w:cs="宋体"/>
                <w:color w:val="000000"/>
                <w:kern w:val="0"/>
                <w:sz w:val="20"/>
                <w:szCs w:val="20"/>
              </w:rPr>
            </w:pPr>
          </w:p>
        </w:tc>
        <w:tc>
          <w:tcPr>
            <w:tcW w:w="3535" w:type="dxa"/>
            <w:shd w:val="clear" w:color="auto" w:fill="auto"/>
            <w:vAlign w:val="center"/>
          </w:tcPr>
          <w:p w:rsidR="00A571F9" w:rsidRDefault="004911A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生态效益（可选项）</w:t>
            </w:r>
          </w:p>
        </w:tc>
        <w:tc>
          <w:tcPr>
            <w:tcW w:w="1311" w:type="dxa"/>
            <w:vMerge/>
            <w:shd w:val="clear" w:color="auto" w:fill="auto"/>
            <w:vAlign w:val="center"/>
          </w:tcPr>
          <w:p w:rsidR="00A571F9" w:rsidRDefault="00A571F9">
            <w:pPr>
              <w:widowControl/>
              <w:spacing w:line="260" w:lineRule="exact"/>
              <w:jc w:val="left"/>
              <w:rPr>
                <w:rFonts w:ascii="宋体" w:hAnsi="宋体" w:cs="宋体"/>
                <w:color w:val="000000"/>
                <w:kern w:val="0"/>
                <w:sz w:val="20"/>
                <w:szCs w:val="20"/>
              </w:rPr>
            </w:pPr>
          </w:p>
        </w:tc>
        <w:tc>
          <w:tcPr>
            <w:tcW w:w="1311" w:type="dxa"/>
            <w:vAlign w:val="center"/>
          </w:tcPr>
          <w:p w:rsidR="00A571F9" w:rsidRDefault="00A571F9">
            <w:pPr>
              <w:widowControl/>
              <w:spacing w:line="260" w:lineRule="exact"/>
              <w:jc w:val="center"/>
              <w:rPr>
                <w:rFonts w:ascii="宋体" w:hAnsi="宋体" w:cs="宋体"/>
                <w:color w:val="000000"/>
                <w:kern w:val="0"/>
                <w:sz w:val="20"/>
                <w:szCs w:val="20"/>
              </w:rPr>
            </w:pPr>
          </w:p>
        </w:tc>
      </w:tr>
      <w:tr w:rsidR="00A571F9">
        <w:trPr>
          <w:trHeight w:val="707"/>
          <w:jc w:val="center"/>
        </w:trPr>
        <w:tc>
          <w:tcPr>
            <w:tcW w:w="1618" w:type="dxa"/>
            <w:vMerge/>
            <w:shd w:val="clear" w:color="auto" w:fill="auto"/>
            <w:vAlign w:val="center"/>
          </w:tcPr>
          <w:p w:rsidR="00A571F9" w:rsidRDefault="00A571F9">
            <w:pPr>
              <w:widowControl/>
              <w:spacing w:line="260" w:lineRule="exact"/>
              <w:jc w:val="left"/>
              <w:rPr>
                <w:rFonts w:ascii="宋体" w:hAnsi="宋体" w:cs="宋体"/>
                <w:color w:val="000000"/>
                <w:kern w:val="0"/>
                <w:sz w:val="20"/>
                <w:szCs w:val="20"/>
              </w:rPr>
            </w:pPr>
          </w:p>
        </w:tc>
        <w:tc>
          <w:tcPr>
            <w:tcW w:w="2113" w:type="dxa"/>
            <w:vMerge/>
            <w:shd w:val="clear" w:color="auto" w:fill="auto"/>
            <w:vAlign w:val="center"/>
          </w:tcPr>
          <w:p w:rsidR="00A571F9" w:rsidRDefault="00A571F9">
            <w:pPr>
              <w:widowControl/>
              <w:spacing w:line="260" w:lineRule="exact"/>
              <w:jc w:val="left"/>
              <w:rPr>
                <w:rFonts w:ascii="宋体" w:hAnsi="宋体" w:cs="宋体"/>
                <w:color w:val="000000"/>
                <w:kern w:val="0"/>
                <w:sz w:val="20"/>
                <w:szCs w:val="20"/>
              </w:rPr>
            </w:pPr>
          </w:p>
        </w:tc>
        <w:tc>
          <w:tcPr>
            <w:tcW w:w="3535" w:type="dxa"/>
            <w:shd w:val="clear" w:color="auto" w:fill="auto"/>
            <w:vAlign w:val="center"/>
          </w:tcPr>
          <w:p w:rsidR="00A571F9" w:rsidRDefault="004911A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可持续效益（可选项）</w:t>
            </w:r>
          </w:p>
        </w:tc>
        <w:tc>
          <w:tcPr>
            <w:tcW w:w="1311" w:type="dxa"/>
            <w:vMerge/>
            <w:shd w:val="clear" w:color="auto" w:fill="auto"/>
            <w:vAlign w:val="center"/>
          </w:tcPr>
          <w:p w:rsidR="00A571F9" w:rsidRDefault="00A571F9">
            <w:pPr>
              <w:widowControl/>
              <w:spacing w:line="260" w:lineRule="exact"/>
              <w:jc w:val="left"/>
              <w:rPr>
                <w:rFonts w:ascii="宋体" w:hAnsi="宋体" w:cs="宋体"/>
                <w:color w:val="000000"/>
                <w:kern w:val="0"/>
                <w:sz w:val="20"/>
                <w:szCs w:val="20"/>
              </w:rPr>
            </w:pPr>
          </w:p>
        </w:tc>
        <w:tc>
          <w:tcPr>
            <w:tcW w:w="1311" w:type="dxa"/>
            <w:vAlign w:val="center"/>
          </w:tcPr>
          <w:p w:rsidR="00A571F9" w:rsidRDefault="004911A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10</w:t>
            </w:r>
          </w:p>
        </w:tc>
      </w:tr>
      <w:tr w:rsidR="00A571F9">
        <w:trPr>
          <w:trHeight w:val="688"/>
          <w:jc w:val="center"/>
        </w:trPr>
        <w:tc>
          <w:tcPr>
            <w:tcW w:w="1618" w:type="dxa"/>
            <w:vMerge/>
            <w:shd w:val="clear" w:color="auto" w:fill="auto"/>
            <w:vAlign w:val="center"/>
          </w:tcPr>
          <w:p w:rsidR="00A571F9" w:rsidRDefault="00A571F9">
            <w:pPr>
              <w:widowControl/>
              <w:spacing w:line="260" w:lineRule="exact"/>
              <w:jc w:val="left"/>
              <w:rPr>
                <w:rFonts w:ascii="宋体" w:hAnsi="宋体" w:cs="宋体"/>
                <w:color w:val="000000"/>
                <w:kern w:val="0"/>
                <w:sz w:val="20"/>
                <w:szCs w:val="20"/>
              </w:rPr>
            </w:pPr>
          </w:p>
        </w:tc>
        <w:tc>
          <w:tcPr>
            <w:tcW w:w="2113" w:type="dxa"/>
            <w:vMerge/>
            <w:shd w:val="clear" w:color="auto" w:fill="auto"/>
            <w:vAlign w:val="center"/>
          </w:tcPr>
          <w:p w:rsidR="00A571F9" w:rsidRDefault="00A571F9">
            <w:pPr>
              <w:widowControl/>
              <w:spacing w:line="260" w:lineRule="exact"/>
              <w:jc w:val="left"/>
              <w:rPr>
                <w:rFonts w:ascii="宋体" w:hAnsi="宋体" w:cs="宋体"/>
                <w:color w:val="000000"/>
                <w:kern w:val="0"/>
                <w:sz w:val="20"/>
                <w:szCs w:val="20"/>
              </w:rPr>
            </w:pPr>
          </w:p>
        </w:tc>
        <w:tc>
          <w:tcPr>
            <w:tcW w:w="3535" w:type="dxa"/>
            <w:shd w:val="clear" w:color="auto" w:fill="auto"/>
            <w:vAlign w:val="center"/>
          </w:tcPr>
          <w:p w:rsidR="00A571F9" w:rsidRDefault="004911A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公平效率（可选项）</w:t>
            </w:r>
          </w:p>
        </w:tc>
        <w:tc>
          <w:tcPr>
            <w:tcW w:w="1311" w:type="dxa"/>
            <w:vMerge/>
            <w:shd w:val="clear" w:color="auto" w:fill="auto"/>
            <w:vAlign w:val="center"/>
          </w:tcPr>
          <w:p w:rsidR="00A571F9" w:rsidRDefault="00A571F9">
            <w:pPr>
              <w:widowControl/>
              <w:spacing w:line="260" w:lineRule="exact"/>
              <w:jc w:val="left"/>
              <w:rPr>
                <w:rFonts w:ascii="宋体" w:hAnsi="宋体" w:cs="宋体"/>
                <w:color w:val="000000"/>
                <w:kern w:val="0"/>
                <w:sz w:val="20"/>
                <w:szCs w:val="20"/>
              </w:rPr>
            </w:pPr>
          </w:p>
        </w:tc>
        <w:tc>
          <w:tcPr>
            <w:tcW w:w="1311" w:type="dxa"/>
            <w:vAlign w:val="center"/>
          </w:tcPr>
          <w:p w:rsidR="00A571F9" w:rsidRDefault="00A571F9">
            <w:pPr>
              <w:widowControl/>
              <w:spacing w:line="260" w:lineRule="exact"/>
              <w:jc w:val="center"/>
              <w:rPr>
                <w:rFonts w:ascii="宋体" w:hAnsi="宋体" w:cs="宋体"/>
                <w:color w:val="000000"/>
                <w:kern w:val="0"/>
                <w:sz w:val="20"/>
                <w:szCs w:val="20"/>
              </w:rPr>
            </w:pPr>
          </w:p>
        </w:tc>
      </w:tr>
      <w:tr w:rsidR="00A571F9">
        <w:trPr>
          <w:trHeight w:val="570"/>
          <w:jc w:val="center"/>
        </w:trPr>
        <w:tc>
          <w:tcPr>
            <w:tcW w:w="1618" w:type="dxa"/>
            <w:vMerge/>
            <w:shd w:val="clear" w:color="auto" w:fill="auto"/>
            <w:vAlign w:val="center"/>
          </w:tcPr>
          <w:p w:rsidR="00A571F9" w:rsidRDefault="00A571F9">
            <w:pPr>
              <w:widowControl/>
              <w:spacing w:line="260" w:lineRule="exact"/>
              <w:jc w:val="left"/>
              <w:rPr>
                <w:rFonts w:ascii="宋体" w:hAnsi="宋体" w:cs="宋体"/>
                <w:color w:val="000000"/>
                <w:kern w:val="0"/>
                <w:sz w:val="20"/>
                <w:szCs w:val="20"/>
              </w:rPr>
            </w:pPr>
          </w:p>
        </w:tc>
        <w:tc>
          <w:tcPr>
            <w:tcW w:w="2113" w:type="dxa"/>
            <w:vMerge/>
            <w:shd w:val="clear" w:color="auto" w:fill="auto"/>
            <w:vAlign w:val="center"/>
          </w:tcPr>
          <w:p w:rsidR="00A571F9" w:rsidRDefault="00A571F9">
            <w:pPr>
              <w:widowControl/>
              <w:spacing w:line="260" w:lineRule="exact"/>
              <w:jc w:val="left"/>
              <w:rPr>
                <w:rFonts w:ascii="宋体" w:hAnsi="宋体" w:cs="宋体"/>
                <w:color w:val="000000"/>
                <w:kern w:val="0"/>
                <w:sz w:val="20"/>
                <w:szCs w:val="20"/>
              </w:rPr>
            </w:pPr>
          </w:p>
        </w:tc>
        <w:tc>
          <w:tcPr>
            <w:tcW w:w="3535" w:type="dxa"/>
            <w:shd w:val="clear" w:color="auto" w:fill="auto"/>
            <w:vAlign w:val="center"/>
          </w:tcPr>
          <w:p w:rsidR="00A571F9" w:rsidRDefault="004911A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使用效率（可选项）</w:t>
            </w:r>
          </w:p>
        </w:tc>
        <w:tc>
          <w:tcPr>
            <w:tcW w:w="1311" w:type="dxa"/>
            <w:vMerge/>
            <w:shd w:val="clear" w:color="auto" w:fill="auto"/>
            <w:vAlign w:val="center"/>
          </w:tcPr>
          <w:p w:rsidR="00A571F9" w:rsidRDefault="00A571F9">
            <w:pPr>
              <w:widowControl/>
              <w:spacing w:line="260" w:lineRule="exact"/>
              <w:jc w:val="left"/>
              <w:rPr>
                <w:rFonts w:ascii="宋体" w:hAnsi="宋体" w:cs="宋体"/>
                <w:color w:val="000000"/>
                <w:kern w:val="0"/>
                <w:sz w:val="20"/>
                <w:szCs w:val="20"/>
              </w:rPr>
            </w:pPr>
          </w:p>
        </w:tc>
        <w:tc>
          <w:tcPr>
            <w:tcW w:w="1311" w:type="dxa"/>
            <w:vAlign w:val="center"/>
          </w:tcPr>
          <w:p w:rsidR="00A571F9" w:rsidRDefault="00A571F9">
            <w:pPr>
              <w:widowControl/>
              <w:spacing w:line="260" w:lineRule="exact"/>
              <w:jc w:val="center"/>
              <w:rPr>
                <w:rFonts w:ascii="宋体" w:hAnsi="宋体" w:cs="宋体"/>
                <w:color w:val="000000"/>
                <w:kern w:val="0"/>
                <w:sz w:val="20"/>
                <w:szCs w:val="20"/>
              </w:rPr>
            </w:pPr>
          </w:p>
        </w:tc>
      </w:tr>
      <w:tr w:rsidR="00A571F9">
        <w:trPr>
          <w:trHeight w:val="502"/>
          <w:jc w:val="center"/>
        </w:trPr>
        <w:tc>
          <w:tcPr>
            <w:tcW w:w="1618" w:type="dxa"/>
            <w:vMerge/>
            <w:shd w:val="clear" w:color="auto" w:fill="auto"/>
            <w:vAlign w:val="center"/>
          </w:tcPr>
          <w:p w:rsidR="00A571F9" w:rsidRDefault="00A571F9">
            <w:pPr>
              <w:widowControl/>
              <w:spacing w:line="260" w:lineRule="exact"/>
              <w:jc w:val="left"/>
              <w:rPr>
                <w:rFonts w:ascii="宋体" w:hAnsi="宋体" w:cs="宋体"/>
                <w:color w:val="000000"/>
                <w:kern w:val="0"/>
                <w:sz w:val="20"/>
                <w:szCs w:val="20"/>
              </w:rPr>
            </w:pPr>
          </w:p>
        </w:tc>
        <w:tc>
          <w:tcPr>
            <w:tcW w:w="2113" w:type="dxa"/>
            <w:vMerge/>
            <w:shd w:val="clear" w:color="auto" w:fill="auto"/>
            <w:vAlign w:val="center"/>
          </w:tcPr>
          <w:p w:rsidR="00A571F9" w:rsidRDefault="00A571F9">
            <w:pPr>
              <w:widowControl/>
              <w:spacing w:line="260" w:lineRule="exact"/>
              <w:jc w:val="left"/>
              <w:rPr>
                <w:rFonts w:ascii="宋体" w:hAnsi="宋体" w:cs="宋体"/>
                <w:color w:val="000000"/>
                <w:kern w:val="0"/>
                <w:sz w:val="20"/>
                <w:szCs w:val="20"/>
              </w:rPr>
            </w:pPr>
          </w:p>
        </w:tc>
        <w:tc>
          <w:tcPr>
            <w:tcW w:w="3535" w:type="dxa"/>
            <w:shd w:val="clear" w:color="auto" w:fill="auto"/>
            <w:vAlign w:val="center"/>
          </w:tcPr>
          <w:p w:rsidR="00A571F9" w:rsidRDefault="004911A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 xml:space="preserve">服务对象满意度    </w:t>
            </w:r>
          </w:p>
        </w:tc>
        <w:tc>
          <w:tcPr>
            <w:tcW w:w="1311" w:type="dxa"/>
            <w:shd w:val="clear" w:color="auto" w:fill="auto"/>
            <w:vAlign w:val="center"/>
          </w:tcPr>
          <w:p w:rsidR="00A571F9" w:rsidRDefault="004911A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10</w:t>
            </w:r>
          </w:p>
        </w:tc>
        <w:tc>
          <w:tcPr>
            <w:tcW w:w="1311" w:type="dxa"/>
            <w:vAlign w:val="center"/>
          </w:tcPr>
          <w:p w:rsidR="00A571F9" w:rsidRDefault="004911A9">
            <w:pPr>
              <w:widowControl/>
              <w:spacing w:line="260" w:lineRule="exact"/>
              <w:jc w:val="center"/>
              <w:rPr>
                <w:rFonts w:ascii="宋体" w:hAnsi="宋体" w:cs="宋体"/>
                <w:color w:val="000000"/>
                <w:kern w:val="0"/>
                <w:sz w:val="20"/>
                <w:szCs w:val="20"/>
              </w:rPr>
            </w:pPr>
            <w:r>
              <w:rPr>
                <w:rFonts w:ascii="宋体" w:hAnsi="宋体" w:cs="宋体" w:hint="eastAsia"/>
                <w:color w:val="000000"/>
                <w:kern w:val="0"/>
                <w:sz w:val="20"/>
                <w:szCs w:val="20"/>
              </w:rPr>
              <w:t>10</w:t>
            </w:r>
          </w:p>
        </w:tc>
      </w:tr>
      <w:tr w:rsidR="00A571F9">
        <w:trPr>
          <w:trHeight w:val="396"/>
          <w:jc w:val="center"/>
        </w:trPr>
        <w:tc>
          <w:tcPr>
            <w:tcW w:w="1618" w:type="dxa"/>
            <w:shd w:val="clear" w:color="auto" w:fill="auto"/>
            <w:vAlign w:val="center"/>
          </w:tcPr>
          <w:p w:rsidR="00A571F9" w:rsidRDefault="004911A9">
            <w:pPr>
              <w:widowControl/>
              <w:spacing w:line="260" w:lineRule="exact"/>
              <w:jc w:val="left"/>
              <w:rPr>
                <w:rFonts w:ascii="宋体" w:hAnsi="宋体" w:cs="宋体"/>
                <w:color w:val="000000"/>
                <w:kern w:val="0"/>
                <w:sz w:val="20"/>
                <w:szCs w:val="20"/>
              </w:rPr>
            </w:pPr>
            <w:r>
              <w:rPr>
                <w:rFonts w:ascii="宋体" w:hAnsi="宋体" w:cs="宋体" w:hint="eastAsia"/>
                <w:color w:val="000000"/>
                <w:kern w:val="0"/>
                <w:sz w:val="20"/>
                <w:szCs w:val="20"/>
              </w:rPr>
              <w:t>总分</w:t>
            </w:r>
          </w:p>
        </w:tc>
        <w:tc>
          <w:tcPr>
            <w:tcW w:w="8270" w:type="dxa"/>
            <w:gridSpan w:val="4"/>
            <w:shd w:val="clear" w:color="auto" w:fill="auto"/>
            <w:vAlign w:val="center"/>
          </w:tcPr>
          <w:p w:rsidR="00A571F9" w:rsidRDefault="004911A9">
            <w:pPr>
              <w:widowControl/>
              <w:spacing w:line="260" w:lineRule="exact"/>
              <w:jc w:val="center"/>
              <w:rPr>
                <w:rFonts w:ascii="宋体" w:hAnsi="宋体" w:cs="宋体"/>
                <w:color w:val="000000"/>
                <w:kern w:val="0"/>
                <w:sz w:val="15"/>
                <w:szCs w:val="15"/>
              </w:rPr>
            </w:pPr>
            <w:r>
              <w:rPr>
                <w:rFonts w:ascii="宋体" w:hAnsi="宋体" w:cs="宋体" w:hint="eastAsia"/>
                <w:color w:val="000000"/>
                <w:kern w:val="0"/>
                <w:sz w:val="20"/>
                <w:szCs w:val="20"/>
              </w:rPr>
              <w:t>98</w:t>
            </w:r>
          </w:p>
        </w:tc>
      </w:tr>
    </w:tbl>
    <w:p w:rsidR="00A571F9" w:rsidRDefault="004911A9">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（二）绩效分析</w:t>
      </w:r>
    </w:p>
    <w:p w:rsidR="00A571F9" w:rsidRDefault="004911A9">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1、项目决策</w:t>
      </w:r>
    </w:p>
    <w:p w:rsidR="00A571F9" w:rsidRDefault="004911A9">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项目开展符合党的十九大报告强调“提高全民族法治素养和道德素质”“加大全民普法力度，建设社会主义法治文</w:t>
      </w:r>
      <w:r>
        <w:rPr>
          <w:rFonts w:ascii="仿宋" w:eastAsia="仿宋" w:hAnsi="仿宋" w:cs="仿宋_GB2312" w:hint="eastAsia"/>
          <w:sz w:val="32"/>
          <w:szCs w:val="32"/>
        </w:rPr>
        <w:lastRenderedPageBreak/>
        <w:t>化，树立宪法法律至上、法律面前人人平等的法治理念”。设置的绩效目标明确合理。</w:t>
      </w:r>
    </w:p>
    <w:p w:rsidR="00A571F9" w:rsidRDefault="004911A9">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2、项目管理</w:t>
      </w:r>
    </w:p>
    <w:p w:rsidR="00A571F9" w:rsidRDefault="004911A9">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该项目按照《攀枝花市中级人民法院财务制度》进行财务管理，依据《行政单位会计制度》进行会计核算。项目资金按照往年的支付情况将其分为宣传制作成本和培训资料成本，资金分配合理，不存在虚报项目套取财政资金和不符合申报条件的情况。</w:t>
      </w:r>
    </w:p>
    <w:p w:rsidR="00A571F9" w:rsidRDefault="004911A9">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该项目主要由市中院办公室组织实施，与主流媒体签订年度合作协议14万元，通过电视、报纸、网络、微信、等现代媒体进行法制报道。组织宣传培训资料、授课费等支出4万元。资金支付合法合规，资金使用率100%。</w:t>
      </w:r>
    </w:p>
    <w:p w:rsidR="00A571F9" w:rsidRDefault="004911A9">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3、项目绩效</w:t>
      </w:r>
    </w:p>
    <w:p w:rsidR="00A571F9" w:rsidRDefault="004911A9">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（1）项目完成情况</w:t>
      </w:r>
    </w:p>
    <w:p w:rsidR="00A571F9" w:rsidRDefault="004911A9">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2018年全年完成刊播各类法制宣传节目410篇，在中央省市级媒体发稿403篇，其中：中央媒体发稿65篇，省级媒体发稿143篇，市级媒体发稿195篇。开展新闻发布会4个，与攀枝花日报、四川法制报、新浪网等10家媒体开展宣传活动。各项新闻稿件均能及时报道，新闻报道1天内均能宣传到位。与主流媒体签订年度合作协议14万元，组织宣传培训资料、授课费等支出4万元。</w:t>
      </w:r>
    </w:p>
    <w:p w:rsidR="00A571F9" w:rsidRDefault="004911A9">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（2）项目效益情况</w:t>
      </w:r>
    </w:p>
    <w:p w:rsidR="00A571F9" w:rsidRDefault="004911A9">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我院与多家媒体合作，通过新闻报道和真实案件节目报道相结合的方式，大力宣传法律知识，提高社会公众对法律</w:t>
      </w:r>
      <w:r>
        <w:rPr>
          <w:rFonts w:ascii="仿宋" w:eastAsia="仿宋" w:hAnsi="仿宋" w:cs="仿宋_GB2312" w:hint="eastAsia"/>
          <w:sz w:val="32"/>
          <w:szCs w:val="32"/>
        </w:rPr>
        <w:lastRenderedPageBreak/>
        <w:t>知识认识，促进社会经济发展，法制宣传有利于全市法制建设的可持续发展。通过深入扎实的法制宣传，广泛传播法律知识，提高民众</w:t>
      </w:r>
      <w:r w:rsidR="007A2D78">
        <w:rPr>
          <w:rFonts w:ascii="仿宋" w:eastAsia="仿宋" w:hAnsi="仿宋" w:cs="仿宋_GB2312" w:hint="eastAsia"/>
          <w:sz w:val="32"/>
          <w:szCs w:val="32"/>
        </w:rPr>
        <w:t>法治意识</w:t>
      </w:r>
      <w:r>
        <w:rPr>
          <w:rFonts w:ascii="仿宋" w:eastAsia="仿宋" w:hAnsi="仿宋" w:cs="仿宋_GB2312" w:hint="eastAsia"/>
          <w:sz w:val="32"/>
          <w:szCs w:val="32"/>
        </w:rPr>
        <w:t>和法律素质，促进社会主义法制化建设，推动形成自觉学法、守法、用法的社会环境。</w:t>
      </w:r>
    </w:p>
    <w:p w:rsidR="00A571F9" w:rsidRDefault="004911A9">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三</w:t>
      </w:r>
      <w:r>
        <w:rPr>
          <w:rFonts w:ascii="仿宋" w:eastAsia="仿宋" w:hAnsi="仿宋" w:cs="仿宋_GB2312"/>
          <w:sz w:val="32"/>
          <w:szCs w:val="32"/>
        </w:rPr>
        <w:t>、存在主要问题</w:t>
      </w:r>
    </w:p>
    <w:p w:rsidR="00A571F9" w:rsidRDefault="004911A9">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通过项目经费的使用加大了我院对法制宣传的力度，广泛传播法律知识，提高民众法律意识，但在项目实施过程中还需改进，主要问题是在项目实施过程中，由于法制宣传工作任务重，项目部分事项编制不够精确，下达的金额与实际支付的有很大差距。</w:t>
      </w:r>
    </w:p>
    <w:p w:rsidR="00A571F9" w:rsidRDefault="004911A9">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四</w:t>
      </w:r>
      <w:r>
        <w:rPr>
          <w:rFonts w:ascii="仿宋" w:eastAsia="仿宋" w:hAnsi="仿宋" w:cs="仿宋_GB2312"/>
          <w:sz w:val="32"/>
          <w:szCs w:val="32"/>
        </w:rPr>
        <w:t>、相关措施建议</w:t>
      </w:r>
    </w:p>
    <w:p w:rsidR="00A571F9" w:rsidRDefault="004911A9">
      <w:pPr>
        <w:spacing w:line="580" w:lineRule="exact"/>
        <w:ind w:firstLineChars="200" w:firstLine="640"/>
        <w:rPr>
          <w:rStyle w:val="1Char"/>
          <w:rFonts w:ascii="仿宋" w:eastAsia="仿宋" w:hAnsi="仿宋" w:cs="仿宋_GB2312"/>
          <w:b w:val="0"/>
          <w:bCs w:val="0"/>
          <w:kern w:val="2"/>
          <w:sz w:val="32"/>
          <w:szCs w:val="32"/>
        </w:rPr>
      </w:pPr>
      <w:r>
        <w:rPr>
          <w:rStyle w:val="1Char"/>
          <w:rFonts w:ascii="仿宋" w:eastAsia="仿宋" w:hAnsi="仿宋" w:cs="仿宋_GB2312" w:hint="eastAsia"/>
          <w:b w:val="0"/>
          <w:bCs w:val="0"/>
          <w:kern w:val="2"/>
          <w:sz w:val="32"/>
          <w:szCs w:val="32"/>
        </w:rPr>
        <w:t>1、提高预算编制的科学性，高度重视预算绩效管理工作。在年初预算编制环节，应加强业务科室和财务部门的沟通和整合，细化预算编制，提高预算编制科学性，结合当年支出需求，增强预算的可执行性。</w:t>
      </w:r>
    </w:p>
    <w:p w:rsidR="00A571F9" w:rsidRDefault="004911A9">
      <w:pPr>
        <w:spacing w:line="580" w:lineRule="exact"/>
        <w:ind w:firstLineChars="200" w:firstLine="640"/>
        <w:rPr>
          <w:rStyle w:val="1Char"/>
          <w:rFonts w:ascii="仿宋" w:eastAsia="仿宋" w:hAnsi="仿宋" w:cs="仿宋_GB2312"/>
          <w:b w:val="0"/>
          <w:bCs w:val="0"/>
          <w:kern w:val="2"/>
          <w:sz w:val="32"/>
          <w:szCs w:val="32"/>
        </w:rPr>
      </w:pPr>
      <w:r>
        <w:rPr>
          <w:rStyle w:val="1Char"/>
          <w:rFonts w:ascii="仿宋" w:eastAsia="仿宋" w:hAnsi="仿宋" w:cs="仿宋_GB2312" w:hint="eastAsia"/>
          <w:b w:val="0"/>
          <w:bCs w:val="0"/>
          <w:kern w:val="2"/>
          <w:sz w:val="32"/>
          <w:szCs w:val="32"/>
        </w:rPr>
        <w:t>2、强化绩效目标管理，提高绩效指标的合理性，绩效目标申报环节参考历史数据，并结合实际情况合理执行绩效指标值。</w:t>
      </w:r>
    </w:p>
    <w:p w:rsidR="00A571F9" w:rsidRDefault="004911A9">
      <w:pPr>
        <w:spacing w:line="580" w:lineRule="exact"/>
        <w:ind w:firstLineChars="200" w:firstLine="640"/>
        <w:rPr>
          <w:rStyle w:val="1Char"/>
          <w:rFonts w:ascii="仿宋" w:eastAsia="仿宋" w:hAnsi="仿宋" w:cs="仿宋_GB2312"/>
          <w:b w:val="0"/>
          <w:bCs w:val="0"/>
          <w:kern w:val="2"/>
          <w:sz w:val="32"/>
          <w:szCs w:val="32"/>
        </w:rPr>
      </w:pPr>
      <w:r>
        <w:rPr>
          <w:rStyle w:val="1Char"/>
          <w:rFonts w:ascii="仿宋" w:eastAsia="仿宋" w:hAnsi="仿宋" w:cs="仿宋_GB2312" w:hint="eastAsia"/>
          <w:b w:val="0"/>
          <w:bCs w:val="0"/>
          <w:kern w:val="2"/>
          <w:sz w:val="32"/>
          <w:szCs w:val="32"/>
        </w:rPr>
        <w:t>3、加强对资金使用监管，规范财务核算，加强支出标准和依据的收集，进一步提高财务管理规范化水平。</w:t>
      </w:r>
    </w:p>
    <w:p w:rsidR="00A571F9" w:rsidRDefault="004911A9">
      <w:pPr>
        <w:spacing w:line="580" w:lineRule="exact"/>
        <w:ind w:firstLineChars="200" w:firstLine="640"/>
        <w:rPr>
          <w:rStyle w:val="1Char"/>
          <w:rFonts w:ascii="仿宋" w:eastAsia="仿宋" w:hAnsi="仿宋" w:cs="仿宋_GB2312"/>
          <w:b w:val="0"/>
          <w:bCs w:val="0"/>
          <w:kern w:val="2"/>
          <w:sz w:val="32"/>
          <w:szCs w:val="32"/>
        </w:rPr>
      </w:pPr>
      <w:r>
        <w:rPr>
          <w:rStyle w:val="1Char"/>
          <w:rFonts w:ascii="仿宋" w:eastAsia="仿宋" w:hAnsi="仿宋" w:cs="仿宋_GB2312" w:hint="eastAsia"/>
          <w:b w:val="0"/>
          <w:bCs w:val="0"/>
          <w:kern w:val="2"/>
          <w:sz w:val="32"/>
          <w:szCs w:val="32"/>
        </w:rPr>
        <w:t>4、加快项目实施进度，在年度预算执行中及时掌握情况，确保当年项目当年完成。</w:t>
      </w:r>
    </w:p>
    <w:p w:rsidR="00A571F9" w:rsidRDefault="00A571F9">
      <w:pPr>
        <w:spacing w:line="580" w:lineRule="exact"/>
        <w:ind w:firstLineChars="200" w:firstLine="640"/>
        <w:rPr>
          <w:rStyle w:val="1Char"/>
          <w:rFonts w:ascii="仿宋" w:eastAsia="仿宋" w:hAnsi="仿宋" w:cs="仿宋_GB2312"/>
          <w:b w:val="0"/>
          <w:bCs w:val="0"/>
          <w:kern w:val="2"/>
          <w:sz w:val="32"/>
          <w:szCs w:val="32"/>
        </w:rPr>
      </w:pPr>
    </w:p>
    <w:p w:rsidR="00A571F9" w:rsidRDefault="00A571F9">
      <w:pPr>
        <w:spacing w:line="580" w:lineRule="exact"/>
        <w:ind w:firstLineChars="200" w:firstLine="640"/>
        <w:rPr>
          <w:rStyle w:val="1Char"/>
          <w:rFonts w:ascii="仿宋" w:eastAsia="仿宋" w:hAnsi="仿宋" w:cs="仿宋_GB2312"/>
          <w:b w:val="0"/>
          <w:bCs w:val="0"/>
          <w:kern w:val="2"/>
          <w:sz w:val="32"/>
          <w:szCs w:val="32"/>
        </w:rPr>
      </w:pPr>
    </w:p>
    <w:p w:rsidR="00A571F9" w:rsidRDefault="004911A9">
      <w:pPr>
        <w:spacing w:line="600" w:lineRule="exact"/>
        <w:jc w:val="center"/>
        <w:outlineLvl w:val="0"/>
        <w:rPr>
          <w:rStyle w:val="1Char"/>
          <w:rFonts w:ascii="黑体" w:eastAsia="黑体" w:hAnsi="黑体"/>
          <w:b w:val="0"/>
        </w:rPr>
      </w:pPr>
      <w:bookmarkStart w:id="63" w:name="_Toc15396618"/>
      <w:r>
        <w:rPr>
          <w:rFonts w:ascii="黑体" w:eastAsia="黑体" w:hAnsi="黑体" w:hint="eastAsia"/>
          <w:color w:val="000000"/>
          <w:sz w:val="44"/>
          <w:szCs w:val="44"/>
        </w:rPr>
        <w:lastRenderedPageBreak/>
        <w:t>第</w:t>
      </w:r>
      <w:r>
        <w:rPr>
          <w:rStyle w:val="1Char"/>
          <w:rFonts w:ascii="黑体" w:eastAsia="黑体" w:hAnsi="黑体" w:hint="eastAsia"/>
          <w:b w:val="0"/>
        </w:rPr>
        <w:t>五部分 附表</w:t>
      </w:r>
      <w:bookmarkEnd w:id="58"/>
      <w:bookmarkEnd w:id="63"/>
    </w:p>
    <w:p w:rsidR="00A571F9" w:rsidRDefault="00A571F9">
      <w:pPr>
        <w:spacing w:line="600" w:lineRule="exact"/>
        <w:jc w:val="center"/>
        <w:outlineLvl w:val="0"/>
        <w:rPr>
          <w:rFonts w:ascii="仿宋" w:eastAsia="仿宋" w:hAnsi="仿宋"/>
          <w:b/>
          <w:color w:val="000000"/>
          <w:sz w:val="44"/>
          <w:szCs w:val="44"/>
        </w:rPr>
      </w:pPr>
    </w:p>
    <w:p w:rsidR="00A571F9" w:rsidRDefault="004911A9">
      <w:pPr>
        <w:pStyle w:val="2"/>
        <w:rPr>
          <w:rFonts w:ascii="仿宋" w:eastAsia="仿宋" w:hAnsi="仿宋"/>
          <w:color w:val="000000"/>
        </w:rPr>
      </w:pPr>
      <w:bookmarkStart w:id="64" w:name="_Toc15396619"/>
      <w:r>
        <w:rPr>
          <w:rFonts w:ascii="仿宋" w:eastAsia="仿宋" w:hAnsi="仿宋" w:hint="eastAsia"/>
          <w:b w:val="0"/>
          <w:color w:val="000000"/>
        </w:rPr>
        <w:t>一、收</w:t>
      </w:r>
      <w:r>
        <w:rPr>
          <w:rStyle w:val="2Char"/>
          <w:rFonts w:ascii="仿宋" w:eastAsia="仿宋" w:hAnsi="仿宋" w:hint="eastAsia"/>
        </w:rPr>
        <w:t>入支出决算总表</w:t>
      </w:r>
      <w:bookmarkEnd w:id="64"/>
    </w:p>
    <w:p w:rsidR="00A571F9" w:rsidRDefault="004911A9">
      <w:pPr>
        <w:pStyle w:val="2"/>
        <w:rPr>
          <w:rFonts w:ascii="仿宋" w:eastAsia="仿宋" w:hAnsi="仿宋"/>
          <w:color w:val="000000"/>
        </w:rPr>
      </w:pPr>
      <w:bookmarkStart w:id="65" w:name="_Toc15396620"/>
      <w:r>
        <w:rPr>
          <w:rFonts w:ascii="仿宋" w:eastAsia="仿宋" w:hAnsi="仿宋" w:hint="eastAsia"/>
          <w:b w:val="0"/>
          <w:color w:val="000000"/>
        </w:rPr>
        <w:t>二、收</w:t>
      </w:r>
      <w:r>
        <w:rPr>
          <w:rStyle w:val="2Char"/>
          <w:rFonts w:ascii="仿宋" w:eastAsia="仿宋" w:hAnsi="仿宋" w:hint="eastAsia"/>
        </w:rPr>
        <w:t>入总表</w:t>
      </w:r>
      <w:bookmarkEnd w:id="65"/>
    </w:p>
    <w:p w:rsidR="00A571F9" w:rsidRDefault="004911A9">
      <w:pPr>
        <w:pStyle w:val="2"/>
        <w:rPr>
          <w:rFonts w:ascii="仿宋" w:eastAsia="仿宋" w:hAnsi="仿宋"/>
          <w:color w:val="000000"/>
        </w:rPr>
      </w:pPr>
      <w:bookmarkStart w:id="66" w:name="_Toc15396621"/>
      <w:r>
        <w:rPr>
          <w:rStyle w:val="2Char"/>
          <w:rFonts w:ascii="仿宋" w:eastAsia="仿宋" w:hAnsi="仿宋" w:hint="eastAsia"/>
        </w:rPr>
        <w:t>三、</w:t>
      </w:r>
      <w:r>
        <w:rPr>
          <w:rFonts w:ascii="仿宋" w:eastAsia="仿宋" w:hAnsi="仿宋" w:hint="eastAsia"/>
          <w:b w:val="0"/>
          <w:color w:val="000000"/>
        </w:rPr>
        <w:t>支</w:t>
      </w:r>
      <w:r>
        <w:rPr>
          <w:rStyle w:val="2Char"/>
          <w:rFonts w:ascii="仿宋" w:eastAsia="仿宋" w:hAnsi="仿宋" w:hint="eastAsia"/>
        </w:rPr>
        <w:t>出总表</w:t>
      </w:r>
      <w:bookmarkEnd w:id="66"/>
    </w:p>
    <w:p w:rsidR="00A571F9" w:rsidRDefault="004911A9">
      <w:pPr>
        <w:pStyle w:val="2"/>
        <w:rPr>
          <w:rFonts w:ascii="仿宋" w:eastAsia="仿宋" w:hAnsi="仿宋"/>
          <w:b w:val="0"/>
          <w:color w:val="000000"/>
        </w:rPr>
      </w:pPr>
      <w:bookmarkStart w:id="67" w:name="_Toc15396622"/>
      <w:r>
        <w:rPr>
          <w:rStyle w:val="2Char"/>
          <w:rFonts w:ascii="仿宋" w:eastAsia="仿宋" w:hAnsi="仿宋" w:hint="eastAsia"/>
        </w:rPr>
        <w:t>四、</w:t>
      </w:r>
      <w:r>
        <w:rPr>
          <w:rFonts w:ascii="仿宋" w:eastAsia="仿宋" w:hAnsi="仿宋" w:hint="eastAsia"/>
          <w:b w:val="0"/>
          <w:color w:val="000000"/>
        </w:rPr>
        <w:t>财</w:t>
      </w:r>
      <w:r>
        <w:rPr>
          <w:rStyle w:val="2Char"/>
          <w:rFonts w:ascii="仿宋" w:eastAsia="仿宋" w:hAnsi="仿宋" w:hint="eastAsia"/>
        </w:rPr>
        <w:t>政拨款收入支出决算总表</w:t>
      </w:r>
      <w:bookmarkEnd w:id="67"/>
    </w:p>
    <w:p w:rsidR="00A571F9" w:rsidRDefault="004911A9">
      <w:pPr>
        <w:pStyle w:val="2"/>
        <w:rPr>
          <w:rFonts w:ascii="仿宋" w:eastAsia="仿宋" w:hAnsi="仿宋"/>
          <w:color w:val="000000"/>
        </w:rPr>
      </w:pPr>
      <w:bookmarkStart w:id="68" w:name="_Toc15396623"/>
      <w:r>
        <w:rPr>
          <w:rStyle w:val="2Char"/>
          <w:rFonts w:ascii="仿宋" w:eastAsia="仿宋" w:hAnsi="仿宋" w:hint="eastAsia"/>
        </w:rPr>
        <w:t>五、</w:t>
      </w:r>
      <w:r>
        <w:rPr>
          <w:rFonts w:ascii="仿宋" w:eastAsia="仿宋" w:hAnsi="仿宋" w:hint="eastAsia"/>
          <w:b w:val="0"/>
          <w:color w:val="000000"/>
        </w:rPr>
        <w:t>财</w:t>
      </w:r>
      <w:r>
        <w:rPr>
          <w:rStyle w:val="2Char"/>
          <w:rFonts w:ascii="仿宋" w:eastAsia="仿宋" w:hAnsi="仿宋" w:hint="eastAsia"/>
        </w:rPr>
        <w:t>政拨款支出决算明细表（政府经济分类科目）</w:t>
      </w:r>
      <w:bookmarkEnd w:id="68"/>
    </w:p>
    <w:p w:rsidR="00A571F9" w:rsidRDefault="004911A9">
      <w:pPr>
        <w:pStyle w:val="2"/>
        <w:rPr>
          <w:rFonts w:ascii="仿宋" w:eastAsia="仿宋" w:hAnsi="仿宋"/>
          <w:color w:val="000000"/>
        </w:rPr>
      </w:pPr>
      <w:bookmarkStart w:id="69" w:name="_Toc15396624"/>
      <w:r>
        <w:rPr>
          <w:rStyle w:val="2Char"/>
          <w:rFonts w:ascii="仿宋" w:eastAsia="仿宋" w:hAnsi="仿宋" w:hint="eastAsia"/>
        </w:rPr>
        <w:t>六、</w:t>
      </w:r>
      <w:r>
        <w:rPr>
          <w:rFonts w:ascii="仿宋" w:eastAsia="仿宋" w:hAnsi="仿宋" w:hint="eastAsia"/>
          <w:b w:val="0"/>
          <w:color w:val="000000"/>
        </w:rPr>
        <w:t>一</w:t>
      </w:r>
      <w:r>
        <w:rPr>
          <w:rStyle w:val="2Char"/>
          <w:rFonts w:ascii="仿宋" w:eastAsia="仿宋" w:hAnsi="仿宋" w:hint="eastAsia"/>
        </w:rPr>
        <w:t>般公共预算财政拨款支出决算表</w:t>
      </w:r>
      <w:bookmarkEnd w:id="69"/>
    </w:p>
    <w:p w:rsidR="00A571F9" w:rsidRDefault="004911A9">
      <w:pPr>
        <w:pStyle w:val="2"/>
        <w:rPr>
          <w:rFonts w:ascii="仿宋" w:eastAsia="仿宋" w:hAnsi="仿宋"/>
          <w:color w:val="000000"/>
        </w:rPr>
      </w:pPr>
      <w:bookmarkStart w:id="70" w:name="_Toc15396625"/>
      <w:r>
        <w:rPr>
          <w:rStyle w:val="2Char"/>
          <w:rFonts w:ascii="仿宋" w:eastAsia="仿宋" w:hAnsi="仿宋" w:hint="eastAsia"/>
        </w:rPr>
        <w:t>七、</w:t>
      </w:r>
      <w:r>
        <w:rPr>
          <w:rFonts w:ascii="仿宋" w:eastAsia="仿宋" w:hAnsi="仿宋" w:hint="eastAsia"/>
          <w:b w:val="0"/>
          <w:color w:val="000000"/>
        </w:rPr>
        <w:t>一</w:t>
      </w:r>
      <w:r>
        <w:rPr>
          <w:rStyle w:val="2Char"/>
          <w:rFonts w:ascii="仿宋" w:eastAsia="仿宋" w:hAnsi="仿宋" w:hint="eastAsia"/>
        </w:rPr>
        <w:t>般公共预算财政拨款支出决算明细表</w:t>
      </w:r>
      <w:bookmarkEnd w:id="70"/>
    </w:p>
    <w:p w:rsidR="00A571F9" w:rsidRDefault="004911A9">
      <w:pPr>
        <w:pStyle w:val="2"/>
        <w:rPr>
          <w:rFonts w:ascii="仿宋" w:eastAsia="仿宋" w:hAnsi="仿宋"/>
          <w:color w:val="000000"/>
        </w:rPr>
      </w:pPr>
      <w:bookmarkStart w:id="71" w:name="_Toc15396626"/>
      <w:r>
        <w:rPr>
          <w:rStyle w:val="2Char"/>
          <w:rFonts w:ascii="仿宋" w:eastAsia="仿宋" w:hAnsi="仿宋" w:hint="eastAsia"/>
        </w:rPr>
        <w:t>八、</w:t>
      </w:r>
      <w:r>
        <w:rPr>
          <w:rFonts w:ascii="仿宋" w:eastAsia="仿宋" w:hAnsi="仿宋" w:hint="eastAsia"/>
          <w:b w:val="0"/>
          <w:color w:val="000000"/>
        </w:rPr>
        <w:t>一</w:t>
      </w:r>
      <w:r>
        <w:rPr>
          <w:rStyle w:val="2Char"/>
          <w:rFonts w:ascii="仿宋" w:eastAsia="仿宋" w:hAnsi="仿宋" w:hint="eastAsia"/>
        </w:rPr>
        <w:t>般公共预算财政拨款基本支出决算表</w:t>
      </w:r>
      <w:bookmarkEnd w:id="71"/>
    </w:p>
    <w:p w:rsidR="00A571F9" w:rsidRDefault="004911A9">
      <w:pPr>
        <w:pStyle w:val="2"/>
        <w:rPr>
          <w:rFonts w:ascii="仿宋" w:eastAsia="仿宋" w:hAnsi="仿宋"/>
          <w:color w:val="000000"/>
        </w:rPr>
      </w:pPr>
      <w:bookmarkStart w:id="72" w:name="_Toc15396627"/>
      <w:r>
        <w:rPr>
          <w:rStyle w:val="2Char"/>
          <w:rFonts w:ascii="仿宋" w:eastAsia="仿宋" w:hAnsi="仿宋" w:hint="eastAsia"/>
        </w:rPr>
        <w:t>九、</w:t>
      </w:r>
      <w:r>
        <w:rPr>
          <w:rFonts w:ascii="仿宋" w:eastAsia="仿宋" w:hAnsi="仿宋" w:hint="eastAsia"/>
          <w:b w:val="0"/>
          <w:color w:val="000000"/>
        </w:rPr>
        <w:t>一</w:t>
      </w:r>
      <w:r>
        <w:rPr>
          <w:rStyle w:val="2Char"/>
          <w:rFonts w:ascii="仿宋" w:eastAsia="仿宋" w:hAnsi="仿宋" w:hint="eastAsia"/>
        </w:rPr>
        <w:t>般公共预算财政拨款项目支出决算表</w:t>
      </w:r>
      <w:bookmarkEnd w:id="72"/>
    </w:p>
    <w:p w:rsidR="00A571F9" w:rsidRDefault="004911A9">
      <w:pPr>
        <w:pStyle w:val="2"/>
        <w:rPr>
          <w:rFonts w:ascii="仿宋" w:eastAsia="仿宋" w:hAnsi="仿宋"/>
          <w:color w:val="000000"/>
        </w:rPr>
      </w:pPr>
      <w:bookmarkStart w:id="73" w:name="_Toc15396628"/>
      <w:r>
        <w:rPr>
          <w:rStyle w:val="2Char"/>
          <w:rFonts w:ascii="仿宋" w:eastAsia="仿宋" w:hAnsi="仿宋" w:hint="eastAsia"/>
        </w:rPr>
        <w:t>十、</w:t>
      </w:r>
      <w:r>
        <w:rPr>
          <w:rFonts w:ascii="仿宋" w:eastAsia="仿宋" w:hAnsi="仿宋" w:hint="eastAsia"/>
          <w:b w:val="0"/>
          <w:color w:val="000000"/>
        </w:rPr>
        <w:t>一</w:t>
      </w:r>
      <w:r>
        <w:rPr>
          <w:rStyle w:val="2Char"/>
          <w:rFonts w:ascii="仿宋" w:eastAsia="仿宋" w:hAnsi="仿宋" w:hint="eastAsia"/>
        </w:rPr>
        <w:t>般公共预算财政拨款“三公”经费支出决算表</w:t>
      </w:r>
      <w:bookmarkEnd w:id="73"/>
    </w:p>
    <w:p w:rsidR="00A571F9" w:rsidRDefault="004911A9">
      <w:pPr>
        <w:pStyle w:val="2"/>
        <w:rPr>
          <w:rFonts w:ascii="仿宋" w:eastAsia="仿宋" w:hAnsi="仿宋"/>
          <w:color w:val="000000"/>
        </w:rPr>
      </w:pPr>
      <w:bookmarkStart w:id="74" w:name="_Toc15396629"/>
      <w:r>
        <w:rPr>
          <w:rStyle w:val="2Char"/>
          <w:rFonts w:ascii="仿宋" w:eastAsia="仿宋" w:hAnsi="仿宋" w:hint="eastAsia"/>
        </w:rPr>
        <w:t>十一、</w:t>
      </w:r>
      <w:r>
        <w:rPr>
          <w:rFonts w:ascii="仿宋" w:eastAsia="仿宋" w:hAnsi="仿宋" w:hint="eastAsia"/>
          <w:b w:val="0"/>
          <w:color w:val="000000"/>
        </w:rPr>
        <w:t>政</w:t>
      </w:r>
      <w:r>
        <w:rPr>
          <w:rStyle w:val="2Char"/>
          <w:rFonts w:ascii="仿宋" w:eastAsia="仿宋" w:hAnsi="仿宋" w:hint="eastAsia"/>
        </w:rPr>
        <w:t>府性基金预算财政拨款收入支出决算表</w:t>
      </w:r>
      <w:bookmarkEnd w:id="74"/>
      <w:r w:rsidR="00D713BE">
        <w:rPr>
          <w:rStyle w:val="2Char"/>
          <w:rFonts w:ascii="仿宋" w:eastAsia="仿宋" w:hAnsi="仿宋" w:hint="eastAsia"/>
        </w:rPr>
        <w:t>(此表无数据)</w:t>
      </w:r>
    </w:p>
    <w:p w:rsidR="00A571F9" w:rsidRDefault="004911A9">
      <w:pPr>
        <w:pStyle w:val="2"/>
        <w:rPr>
          <w:rFonts w:ascii="仿宋" w:eastAsia="仿宋" w:hAnsi="仿宋"/>
          <w:color w:val="000000"/>
        </w:rPr>
      </w:pPr>
      <w:bookmarkStart w:id="75" w:name="_Toc15396630"/>
      <w:r>
        <w:rPr>
          <w:rStyle w:val="2Char"/>
          <w:rFonts w:ascii="仿宋" w:eastAsia="仿宋" w:hAnsi="仿宋" w:hint="eastAsia"/>
        </w:rPr>
        <w:t>十二、</w:t>
      </w:r>
      <w:r>
        <w:rPr>
          <w:rFonts w:ascii="仿宋" w:eastAsia="仿宋" w:hAnsi="仿宋" w:hint="eastAsia"/>
          <w:b w:val="0"/>
          <w:color w:val="000000"/>
        </w:rPr>
        <w:t>政</w:t>
      </w:r>
      <w:r>
        <w:rPr>
          <w:rStyle w:val="2Char"/>
          <w:rFonts w:ascii="仿宋" w:eastAsia="仿宋" w:hAnsi="仿宋" w:hint="eastAsia"/>
        </w:rPr>
        <w:t>府性基金预算财政拨款“三公”经费支出决算表</w:t>
      </w:r>
      <w:bookmarkEnd w:id="75"/>
      <w:r w:rsidR="00D713BE">
        <w:rPr>
          <w:rStyle w:val="2Char"/>
          <w:rFonts w:ascii="仿宋" w:eastAsia="仿宋" w:hAnsi="仿宋" w:hint="eastAsia"/>
        </w:rPr>
        <w:t>(此表无数据)</w:t>
      </w:r>
    </w:p>
    <w:p w:rsidR="00A571F9" w:rsidRDefault="004911A9">
      <w:pPr>
        <w:pStyle w:val="2"/>
        <w:rPr>
          <w:rFonts w:ascii="仿宋" w:eastAsia="仿宋" w:hAnsi="仿宋"/>
          <w:color w:val="000000" w:themeColor="text1"/>
        </w:rPr>
      </w:pPr>
      <w:bookmarkStart w:id="76" w:name="_Toc15396631"/>
      <w:r>
        <w:rPr>
          <w:rStyle w:val="2Char"/>
          <w:rFonts w:ascii="仿宋" w:eastAsia="仿宋" w:hAnsi="仿宋" w:hint="eastAsia"/>
        </w:rPr>
        <w:t>十三、</w:t>
      </w:r>
      <w:r>
        <w:rPr>
          <w:rFonts w:ascii="仿宋" w:eastAsia="仿宋" w:hAnsi="仿宋" w:hint="eastAsia"/>
          <w:b w:val="0"/>
          <w:color w:val="000000"/>
        </w:rPr>
        <w:t>国</w:t>
      </w:r>
      <w:r>
        <w:rPr>
          <w:rStyle w:val="2Char"/>
          <w:rFonts w:ascii="仿宋" w:eastAsia="仿宋" w:hAnsi="仿宋" w:hint="eastAsia"/>
        </w:rPr>
        <w:t>有资本经营预算支出决算表</w:t>
      </w:r>
      <w:bookmarkEnd w:id="76"/>
      <w:r w:rsidR="00D713BE">
        <w:rPr>
          <w:rStyle w:val="2Char"/>
          <w:rFonts w:ascii="仿宋" w:eastAsia="仿宋" w:hAnsi="仿宋" w:hint="eastAsia"/>
        </w:rPr>
        <w:t>(此表无数据)</w:t>
      </w:r>
    </w:p>
    <w:sectPr w:rsidR="00A571F9" w:rsidSect="00A571F9">
      <w:headerReference w:type="default" r:id="rId16"/>
      <w:footerReference w:type="default" r:id="rId17"/>
      <w:pgSz w:w="11906" w:h="16838"/>
      <w:pgMar w:top="1440" w:right="1800" w:bottom="1440" w:left="1800" w:header="851" w:footer="992" w:gutter="0"/>
      <w:pgNumType w:start="1"/>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D5FFD" w:rsidRDefault="007D5FFD" w:rsidP="00A571F9">
      <w:r>
        <w:separator/>
      </w:r>
    </w:p>
  </w:endnote>
  <w:endnote w:type="continuationSeparator" w:id="0">
    <w:p w:rsidR="007D5FFD" w:rsidRDefault="007D5FFD" w:rsidP="00A571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楷体_GB2312">
    <w:altName w:val="楷体"/>
    <w:charset w:val="86"/>
    <w:family w:val="modern"/>
    <w:pitch w:val="fixed"/>
    <w:sig w:usb0="00000000"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altName w:val="方正舒体"/>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仿宋_GBK">
    <w:altName w:val="Arial Unicode MS"/>
    <w:charset w:val="86"/>
    <w:family w:val="script"/>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94781956"/>
      <w:docPartObj>
        <w:docPartGallery w:val="AutoText"/>
      </w:docPartObj>
    </w:sdtPr>
    <w:sdtEndPr/>
    <w:sdtContent>
      <w:p w:rsidR="00A571F9" w:rsidRDefault="00D92169">
        <w:pPr>
          <w:pStyle w:val="a5"/>
          <w:jc w:val="center"/>
        </w:pPr>
        <w:r>
          <w:fldChar w:fldCharType="begin"/>
        </w:r>
        <w:r w:rsidR="004911A9">
          <w:instrText>PAGE   \* MERGEFORMAT</w:instrText>
        </w:r>
        <w:r>
          <w:fldChar w:fldCharType="separate"/>
        </w:r>
        <w:r w:rsidR="007A2D78" w:rsidRPr="007A2D78">
          <w:rPr>
            <w:noProof/>
            <w:lang w:val="zh-CN"/>
          </w:rPr>
          <w:t>15</w:t>
        </w:r>
        <w:r>
          <w:rPr>
            <w:lang w:val="zh-CN"/>
          </w:rPr>
          <w:fldChar w:fldCharType="end"/>
        </w:r>
      </w:p>
    </w:sdtContent>
  </w:sdt>
  <w:p w:rsidR="00A571F9" w:rsidRDefault="00A571F9">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D5FFD" w:rsidRDefault="007D5FFD" w:rsidP="00A571F9">
      <w:r>
        <w:separator/>
      </w:r>
    </w:p>
  </w:footnote>
  <w:footnote w:type="continuationSeparator" w:id="0">
    <w:p w:rsidR="007D5FFD" w:rsidRDefault="007D5FFD" w:rsidP="00A571F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71F9" w:rsidRDefault="00A571F9">
    <w:pPr>
      <w:pStyle w:val="a6"/>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B026C66B"/>
    <w:multiLevelType w:val="singleLevel"/>
    <w:tmpl w:val="B026C66B"/>
    <w:lvl w:ilvl="0">
      <w:start w:val="1"/>
      <w:numFmt w:val="decimal"/>
      <w:lvlText w:val="%1."/>
      <w:lvlJc w:val="left"/>
      <w:pPr>
        <w:tabs>
          <w:tab w:val="left" w:pos="312"/>
        </w:tabs>
      </w:pPr>
    </w:lvl>
  </w:abstractNum>
  <w:abstractNum w:abstractNumId="1">
    <w:nsid w:val="CF652CEC"/>
    <w:multiLevelType w:val="singleLevel"/>
    <w:tmpl w:val="CF652CEC"/>
    <w:lvl w:ilvl="0">
      <w:start w:val="9"/>
      <w:numFmt w:val="chineseCounting"/>
      <w:suff w:val="nothing"/>
      <w:lvlText w:val="%1、"/>
      <w:lvlJc w:val="left"/>
      <w:rPr>
        <w:rFonts w:hint="eastAsia"/>
      </w:rPr>
    </w:lvl>
  </w:abstractNum>
  <w:abstractNum w:abstractNumId="2">
    <w:nsid w:val="E2FA047D"/>
    <w:multiLevelType w:val="singleLevel"/>
    <w:tmpl w:val="E2FA047D"/>
    <w:lvl w:ilvl="0">
      <w:start w:val="3"/>
      <w:numFmt w:val="chineseCounting"/>
      <w:suff w:val="space"/>
      <w:lvlText w:val="第%1部分"/>
      <w:lvlJc w:val="left"/>
      <w:rPr>
        <w:rFonts w:hint="eastAsia"/>
      </w:rPr>
    </w:lvl>
  </w:abstractNum>
  <w:abstractNum w:abstractNumId="3">
    <w:nsid w:val="EC0BEF30"/>
    <w:multiLevelType w:val="singleLevel"/>
    <w:tmpl w:val="EC0BEF30"/>
    <w:lvl w:ilvl="0">
      <w:start w:val="1"/>
      <w:numFmt w:val="chineseCounting"/>
      <w:suff w:val="nothing"/>
      <w:lvlText w:val="（%1）"/>
      <w:lvlJc w:val="left"/>
      <w:rPr>
        <w:rFonts w:ascii="楷体_GB2312" w:eastAsia="楷体_GB2312" w:hAnsi="楷体_GB2312" w:cs="楷体_GB2312" w:hint="eastAsia"/>
        <w:b/>
        <w:bCs/>
        <w:sz w:val="32"/>
        <w:szCs w:val="32"/>
      </w:rPr>
    </w:lvl>
  </w:abstractNum>
  <w:abstractNum w:abstractNumId="4">
    <w:nsid w:val="1272550B"/>
    <w:multiLevelType w:val="multilevel"/>
    <w:tmpl w:val="1272550B"/>
    <w:lvl w:ilvl="0">
      <w:start w:val="1"/>
      <w:numFmt w:val="japaneseCounting"/>
      <w:lvlText w:val="%1、"/>
      <w:lvlJc w:val="left"/>
      <w:pPr>
        <w:ind w:left="1360" w:hanging="720"/>
      </w:pPr>
      <w:rPr>
        <w:rFonts w:hint="default"/>
        <w:b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num w:numId="1">
    <w:abstractNumId w:val="4"/>
  </w:num>
  <w:num w:numId="2">
    <w:abstractNumId w:val="1"/>
  </w:num>
  <w:num w:numId="3">
    <w:abstractNumId w:val="3"/>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F1361C"/>
    <w:rsid w:val="00000BC9"/>
    <w:rsid w:val="000222C6"/>
    <w:rsid w:val="000222D1"/>
    <w:rsid w:val="0002549F"/>
    <w:rsid w:val="00027881"/>
    <w:rsid w:val="0006487A"/>
    <w:rsid w:val="00065F8F"/>
    <w:rsid w:val="000768F2"/>
    <w:rsid w:val="000843CD"/>
    <w:rsid w:val="0009184B"/>
    <w:rsid w:val="0009593C"/>
    <w:rsid w:val="000B047F"/>
    <w:rsid w:val="000B214E"/>
    <w:rsid w:val="000B5923"/>
    <w:rsid w:val="000B5A48"/>
    <w:rsid w:val="000B6FF3"/>
    <w:rsid w:val="000C0A4D"/>
    <w:rsid w:val="000C3467"/>
    <w:rsid w:val="000C3CA6"/>
    <w:rsid w:val="000D1267"/>
    <w:rsid w:val="000D1D50"/>
    <w:rsid w:val="000D5782"/>
    <w:rsid w:val="000E1BFD"/>
    <w:rsid w:val="000E1F14"/>
    <w:rsid w:val="000E2BFC"/>
    <w:rsid w:val="000E6613"/>
    <w:rsid w:val="000E7119"/>
    <w:rsid w:val="00114E9B"/>
    <w:rsid w:val="0012273B"/>
    <w:rsid w:val="0014729F"/>
    <w:rsid w:val="001523CB"/>
    <w:rsid w:val="00157BAB"/>
    <w:rsid w:val="001654D1"/>
    <w:rsid w:val="0018106D"/>
    <w:rsid w:val="001877A7"/>
    <w:rsid w:val="00191536"/>
    <w:rsid w:val="00196687"/>
    <w:rsid w:val="001C0962"/>
    <w:rsid w:val="001D7531"/>
    <w:rsid w:val="001E737D"/>
    <w:rsid w:val="001F0592"/>
    <w:rsid w:val="001F7506"/>
    <w:rsid w:val="002003A9"/>
    <w:rsid w:val="002006CD"/>
    <w:rsid w:val="00202B36"/>
    <w:rsid w:val="00204B7A"/>
    <w:rsid w:val="0021101A"/>
    <w:rsid w:val="00220536"/>
    <w:rsid w:val="00235629"/>
    <w:rsid w:val="002446AF"/>
    <w:rsid w:val="00260C38"/>
    <w:rsid w:val="002616C0"/>
    <w:rsid w:val="002662AA"/>
    <w:rsid w:val="0027432D"/>
    <w:rsid w:val="00280496"/>
    <w:rsid w:val="00295495"/>
    <w:rsid w:val="002B2019"/>
    <w:rsid w:val="002B2613"/>
    <w:rsid w:val="002E3325"/>
    <w:rsid w:val="002F1818"/>
    <w:rsid w:val="002F567B"/>
    <w:rsid w:val="002F75E0"/>
    <w:rsid w:val="003216A9"/>
    <w:rsid w:val="0032296E"/>
    <w:rsid w:val="003353DB"/>
    <w:rsid w:val="00360023"/>
    <w:rsid w:val="0037013F"/>
    <w:rsid w:val="0037352A"/>
    <w:rsid w:val="00380C92"/>
    <w:rsid w:val="0038527F"/>
    <w:rsid w:val="003A484F"/>
    <w:rsid w:val="003B0BE0"/>
    <w:rsid w:val="003B0C1B"/>
    <w:rsid w:val="003B688C"/>
    <w:rsid w:val="003C0291"/>
    <w:rsid w:val="003C39AE"/>
    <w:rsid w:val="003C7B60"/>
    <w:rsid w:val="003D1FB2"/>
    <w:rsid w:val="003D66DA"/>
    <w:rsid w:val="003E1310"/>
    <w:rsid w:val="003E6F55"/>
    <w:rsid w:val="00406254"/>
    <w:rsid w:val="004223DE"/>
    <w:rsid w:val="00422A45"/>
    <w:rsid w:val="00434489"/>
    <w:rsid w:val="00437085"/>
    <w:rsid w:val="00443880"/>
    <w:rsid w:val="004464F4"/>
    <w:rsid w:val="00471401"/>
    <w:rsid w:val="00473F31"/>
    <w:rsid w:val="0048263A"/>
    <w:rsid w:val="00487E5D"/>
    <w:rsid w:val="004911A9"/>
    <w:rsid w:val="004A577A"/>
    <w:rsid w:val="004A711F"/>
    <w:rsid w:val="004B199D"/>
    <w:rsid w:val="004B4690"/>
    <w:rsid w:val="004C6EC9"/>
    <w:rsid w:val="004E0A2D"/>
    <w:rsid w:val="004E206B"/>
    <w:rsid w:val="004E6DF7"/>
    <w:rsid w:val="004E728C"/>
    <w:rsid w:val="004F0FBD"/>
    <w:rsid w:val="00505A47"/>
    <w:rsid w:val="00512FDA"/>
    <w:rsid w:val="00520DA0"/>
    <w:rsid w:val="00544923"/>
    <w:rsid w:val="00554A6D"/>
    <w:rsid w:val="005620F4"/>
    <w:rsid w:val="005664BB"/>
    <w:rsid w:val="00574668"/>
    <w:rsid w:val="0057481D"/>
    <w:rsid w:val="00582D5A"/>
    <w:rsid w:val="00583B31"/>
    <w:rsid w:val="0058486E"/>
    <w:rsid w:val="005D1C8B"/>
    <w:rsid w:val="005D5CED"/>
    <w:rsid w:val="005E6385"/>
    <w:rsid w:val="005F1A4C"/>
    <w:rsid w:val="006005AE"/>
    <w:rsid w:val="00603D53"/>
    <w:rsid w:val="00605688"/>
    <w:rsid w:val="006070AF"/>
    <w:rsid w:val="00607E6C"/>
    <w:rsid w:val="006101B1"/>
    <w:rsid w:val="00614E44"/>
    <w:rsid w:val="00622830"/>
    <w:rsid w:val="006249ED"/>
    <w:rsid w:val="00630AEF"/>
    <w:rsid w:val="006325F8"/>
    <w:rsid w:val="00634C9A"/>
    <w:rsid w:val="006440E4"/>
    <w:rsid w:val="00654839"/>
    <w:rsid w:val="0066343B"/>
    <w:rsid w:val="00664777"/>
    <w:rsid w:val="006748A4"/>
    <w:rsid w:val="00683E73"/>
    <w:rsid w:val="00690077"/>
    <w:rsid w:val="00696211"/>
    <w:rsid w:val="006A3141"/>
    <w:rsid w:val="006A5E34"/>
    <w:rsid w:val="006B2422"/>
    <w:rsid w:val="006B2B9A"/>
    <w:rsid w:val="006B6E4E"/>
    <w:rsid w:val="006C1937"/>
    <w:rsid w:val="006F020C"/>
    <w:rsid w:val="007127B7"/>
    <w:rsid w:val="007416B6"/>
    <w:rsid w:val="007466FB"/>
    <w:rsid w:val="00746F48"/>
    <w:rsid w:val="0075404D"/>
    <w:rsid w:val="0076182A"/>
    <w:rsid w:val="00767B7E"/>
    <w:rsid w:val="007770C3"/>
    <w:rsid w:val="00783655"/>
    <w:rsid w:val="00784D24"/>
    <w:rsid w:val="00785FBA"/>
    <w:rsid w:val="00786E4A"/>
    <w:rsid w:val="007875EB"/>
    <w:rsid w:val="0079426B"/>
    <w:rsid w:val="007A0C83"/>
    <w:rsid w:val="007A2D78"/>
    <w:rsid w:val="007C104A"/>
    <w:rsid w:val="007D312A"/>
    <w:rsid w:val="007D3F19"/>
    <w:rsid w:val="007D5FFD"/>
    <w:rsid w:val="007E23B0"/>
    <w:rsid w:val="007F1991"/>
    <w:rsid w:val="007F2C2F"/>
    <w:rsid w:val="007F55FC"/>
    <w:rsid w:val="007F5665"/>
    <w:rsid w:val="00800112"/>
    <w:rsid w:val="00801AFE"/>
    <w:rsid w:val="00812AEF"/>
    <w:rsid w:val="008253BB"/>
    <w:rsid w:val="0083706E"/>
    <w:rsid w:val="008423A5"/>
    <w:rsid w:val="00850625"/>
    <w:rsid w:val="00850D30"/>
    <w:rsid w:val="00853289"/>
    <w:rsid w:val="00853718"/>
    <w:rsid w:val="00855221"/>
    <w:rsid w:val="00860645"/>
    <w:rsid w:val="00871F71"/>
    <w:rsid w:val="00885AF4"/>
    <w:rsid w:val="008939CD"/>
    <w:rsid w:val="008A3E9C"/>
    <w:rsid w:val="008B768C"/>
    <w:rsid w:val="008C4DB1"/>
    <w:rsid w:val="008C4EAF"/>
    <w:rsid w:val="008C5176"/>
    <w:rsid w:val="008C7FD0"/>
    <w:rsid w:val="008D2809"/>
    <w:rsid w:val="008E1DE7"/>
    <w:rsid w:val="008E707C"/>
    <w:rsid w:val="008F3910"/>
    <w:rsid w:val="00900B08"/>
    <w:rsid w:val="00902155"/>
    <w:rsid w:val="00902FA3"/>
    <w:rsid w:val="00923564"/>
    <w:rsid w:val="0092392E"/>
    <w:rsid w:val="009315F9"/>
    <w:rsid w:val="00946945"/>
    <w:rsid w:val="00951248"/>
    <w:rsid w:val="0095152F"/>
    <w:rsid w:val="00954C49"/>
    <w:rsid w:val="00962567"/>
    <w:rsid w:val="0097099F"/>
    <w:rsid w:val="00971997"/>
    <w:rsid w:val="00971FFC"/>
    <w:rsid w:val="0098660A"/>
    <w:rsid w:val="009931C3"/>
    <w:rsid w:val="00996FAA"/>
    <w:rsid w:val="009B2C43"/>
    <w:rsid w:val="009B4EAE"/>
    <w:rsid w:val="009B7573"/>
    <w:rsid w:val="009C22F4"/>
    <w:rsid w:val="009C2E98"/>
    <w:rsid w:val="009D3447"/>
    <w:rsid w:val="009D4711"/>
    <w:rsid w:val="009F1185"/>
    <w:rsid w:val="009F18CD"/>
    <w:rsid w:val="009F2A13"/>
    <w:rsid w:val="00A04EB0"/>
    <w:rsid w:val="00A13CC1"/>
    <w:rsid w:val="00A16847"/>
    <w:rsid w:val="00A237D8"/>
    <w:rsid w:val="00A268C4"/>
    <w:rsid w:val="00A307CD"/>
    <w:rsid w:val="00A40A00"/>
    <w:rsid w:val="00A4142F"/>
    <w:rsid w:val="00A56DF2"/>
    <w:rsid w:val="00A571F9"/>
    <w:rsid w:val="00A60D5E"/>
    <w:rsid w:val="00A67AB5"/>
    <w:rsid w:val="00A75F0C"/>
    <w:rsid w:val="00A91760"/>
    <w:rsid w:val="00A93B00"/>
    <w:rsid w:val="00A93C21"/>
    <w:rsid w:val="00AA397B"/>
    <w:rsid w:val="00AC2D3F"/>
    <w:rsid w:val="00AC3C6A"/>
    <w:rsid w:val="00AD5620"/>
    <w:rsid w:val="00AD7C1B"/>
    <w:rsid w:val="00AE16BA"/>
    <w:rsid w:val="00AE1EBE"/>
    <w:rsid w:val="00B03C9D"/>
    <w:rsid w:val="00B060AE"/>
    <w:rsid w:val="00B10517"/>
    <w:rsid w:val="00B14E76"/>
    <w:rsid w:val="00B161B8"/>
    <w:rsid w:val="00B2048C"/>
    <w:rsid w:val="00B27517"/>
    <w:rsid w:val="00B310B9"/>
    <w:rsid w:val="00B35F3F"/>
    <w:rsid w:val="00B36CBB"/>
    <w:rsid w:val="00B425E0"/>
    <w:rsid w:val="00B440AA"/>
    <w:rsid w:val="00B44B70"/>
    <w:rsid w:val="00B53C56"/>
    <w:rsid w:val="00B540F5"/>
    <w:rsid w:val="00B77EA6"/>
    <w:rsid w:val="00B81598"/>
    <w:rsid w:val="00B841F1"/>
    <w:rsid w:val="00B944D6"/>
    <w:rsid w:val="00BB2F42"/>
    <w:rsid w:val="00BB4DF0"/>
    <w:rsid w:val="00BC289F"/>
    <w:rsid w:val="00BC5361"/>
    <w:rsid w:val="00BC5460"/>
    <w:rsid w:val="00BC6B50"/>
    <w:rsid w:val="00BD0E25"/>
    <w:rsid w:val="00BF5BD6"/>
    <w:rsid w:val="00C03E31"/>
    <w:rsid w:val="00C21762"/>
    <w:rsid w:val="00C33E72"/>
    <w:rsid w:val="00C354B2"/>
    <w:rsid w:val="00C35554"/>
    <w:rsid w:val="00C42709"/>
    <w:rsid w:val="00C52EEC"/>
    <w:rsid w:val="00C533CC"/>
    <w:rsid w:val="00C5751C"/>
    <w:rsid w:val="00C61BFC"/>
    <w:rsid w:val="00C62B85"/>
    <w:rsid w:val="00C65438"/>
    <w:rsid w:val="00C80F2B"/>
    <w:rsid w:val="00C860C3"/>
    <w:rsid w:val="00C875B6"/>
    <w:rsid w:val="00C91CBB"/>
    <w:rsid w:val="00CC0752"/>
    <w:rsid w:val="00CC09B6"/>
    <w:rsid w:val="00CC666F"/>
    <w:rsid w:val="00CD1E3F"/>
    <w:rsid w:val="00CE44F6"/>
    <w:rsid w:val="00CE49DA"/>
    <w:rsid w:val="00CE7B61"/>
    <w:rsid w:val="00CE7F23"/>
    <w:rsid w:val="00D00095"/>
    <w:rsid w:val="00D01581"/>
    <w:rsid w:val="00D20620"/>
    <w:rsid w:val="00D26091"/>
    <w:rsid w:val="00D34E7C"/>
    <w:rsid w:val="00D35489"/>
    <w:rsid w:val="00D51276"/>
    <w:rsid w:val="00D519A5"/>
    <w:rsid w:val="00D7035F"/>
    <w:rsid w:val="00D713BE"/>
    <w:rsid w:val="00D84025"/>
    <w:rsid w:val="00D92169"/>
    <w:rsid w:val="00DA65AC"/>
    <w:rsid w:val="00DB1913"/>
    <w:rsid w:val="00DC410D"/>
    <w:rsid w:val="00DC68CA"/>
    <w:rsid w:val="00DC7698"/>
    <w:rsid w:val="00DC7CBA"/>
    <w:rsid w:val="00DD73B7"/>
    <w:rsid w:val="00DD7FDD"/>
    <w:rsid w:val="00DE4085"/>
    <w:rsid w:val="00DF28BC"/>
    <w:rsid w:val="00DF34B9"/>
    <w:rsid w:val="00E01053"/>
    <w:rsid w:val="00E07ACF"/>
    <w:rsid w:val="00E13A49"/>
    <w:rsid w:val="00E14533"/>
    <w:rsid w:val="00E30271"/>
    <w:rsid w:val="00E331A1"/>
    <w:rsid w:val="00E33202"/>
    <w:rsid w:val="00E336A9"/>
    <w:rsid w:val="00E50624"/>
    <w:rsid w:val="00E52769"/>
    <w:rsid w:val="00E568DF"/>
    <w:rsid w:val="00E61D84"/>
    <w:rsid w:val="00E64269"/>
    <w:rsid w:val="00E73FD1"/>
    <w:rsid w:val="00E82267"/>
    <w:rsid w:val="00E907F7"/>
    <w:rsid w:val="00EA010F"/>
    <w:rsid w:val="00EA1F42"/>
    <w:rsid w:val="00EB452D"/>
    <w:rsid w:val="00ED1B63"/>
    <w:rsid w:val="00ED3C1F"/>
    <w:rsid w:val="00ED4085"/>
    <w:rsid w:val="00ED420E"/>
    <w:rsid w:val="00ED7641"/>
    <w:rsid w:val="00EE2F57"/>
    <w:rsid w:val="00EF4C34"/>
    <w:rsid w:val="00EF77C6"/>
    <w:rsid w:val="00F05438"/>
    <w:rsid w:val="00F1361C"/>
    <w:rsid w:val="00F160C7"/>
    <w:rsid w:val="00F36D8F"/>
    <w:rsid w:val="00F417B1"/>
    <w:rsid w:val="00F602DF"/>
    <w:rsid w:val="00F742DB"/>
    <w:rsid w:val="00F81FD9"/>
    <w:rsid w:val="00F841AA"/>
    <w:rsid w:val="00F86317"/>
    <w:rsid w:val="00F8786D"/>
    <w:rsid w:val="00FA23E8"/>
    <w:rsid w:val="00FC37D7"/>
    <w:rsid w:val="00FD3CC1"/>
    <w:rsid w:val="00FE65AE"/>
    <w:rsid w:val="00FF1E02"/>
    <w:rsid w:val="00FF30B4"/>
    <w:rsid w:val="10C055FF"/>
    <w:rsid w:val="16BB723D"/>
    <w:rsid w:val="21163D92"/>
    <w:rsid w:val="22E75007"/>
    <w:rsid w:val="240371BF"/>
    <w:rsid w:val="29FD04D3"/>
    <w:rsid w:val="319F7F4E"/>
    <w:rsid w:val="51AD24D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white">
      <v:fill color="white"/>
    </o:shapedefaults>
    <o:shapelayout v:ext="edit">
      <o:idmap v:ext="edit" data="1"/>
    </o:shapelayout>
  </w:shapeDefaults>
  <w:decimalSymbol w:val="."/>
  <w:listSeparator w:val=","/>
  <w15:docId w15:val="{9231F240-A451-4E0D-BFB5-DD6B99E862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571F9"/>
    <w:pPr>
      <w:widowControl w:val="0"/>
      <w:jc w:val="both"/>
    </w:pPr>
    <w:rPr>
      <w:rFonts w:ascii="Times New Roman" w:hAnsi="Times New Roman"/>
      <w:kern w:val="2"/>
      <w:sz w:val="21"/>
      <w:szCs w:val="24"/>
    </w:rPr>
  </w:style>
  <w:style w:type="paragraph" w:styleId="1">
    <w:name w:val="heading 1"/>
    <w:basedOn w:val="a"/>
    <w:next w:val="a"/>
    <w:link w:val="1Char"/>
    <w:uiPriority w:val="9"/>
    <w:qFormat/>
    <w:rsid w:val="00A571F9"/>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A571F9"/>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A571F9"/>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qFormat/>
    <w:rsid w:val="00A571F9"/>
    <w:pPr>
      <w:spacing w:beforeLines="30"/>
    </w:pPr>
    <w:rPr>
      <w:rFonts w:ascii="仿宋_GB2312" w:eastAsia="仿宋_GB2312"/>
      <w:kern w:val="0"/>
      <w:sz w:val="30"/>
    </w:rPr>
  </w:style>
  <w:style w:type="paragraph" w:styleId="30">
    <w:name w:val="toc 3"/>
    <w:basedOn w:val="a"/>
    <w:next w:val="a"/>
    <w:uiPriority w:val="39"/>
    <w:unhideWhenUsed/>
    <w:qFormat/>
    <w:rsid w:val="00A571F9"/>
    <w:pPr>
      <w:tabs>
        <w:tab w:val="right" w:leader="dot" w:pos="8296"/>
      </w:tabs>
      <w:ind w:leftChars="400" w:left="840"/>
    </w:pPr>
  </w:style>
  <w:style w:type="paragraph" w:styleId="a4">
    <w:name w:val="Balloon Text"/>
    <w:basedOn w:val="a"/>
    <w:link w:val="Char0"/>
    <w:uiPriority w:val="99"/>
    <w:semiHidden/>
    <w:unhideWhenUsed/>
    <w:qFormat/>
    <w:rsid w:val="00A571F9"/>
    <w:rPr>
      <w:sz w:val="18"/>
      <w:szCs w:val="18"/>
    </w:rPr>
  </w:style>
  <w:style w:type="paragraph" w:styleId="a5">
    <w:name w:val="footer"/>
    <w:basedOn w:val="a"/>
    <w:link w:val="Char1"/>
    <w:uiPriority w:val="99"/>
    <w:qFormat/>
    <w:rsid w:val="00A571F9"/>
    <w:pPr>
      <w:tabs>
        <w:tab w:val="center" w:pos="4153"/>
        <w:tab w:val="right" w:pos="8306"/>
      </w:tabs>
      <w:snapToGrid w:val="0"/>
      <w:jc w:val="left"/>
    </w:pPr>
    <w:rPr>
      <w:rFonts w:ascii="Calibri" w:hAnsi="Calibri"/>
      <w:kern w:val="0"/>
      <w:sz w:val="18"/>
      <w:szCs w:val="18"/>
    </w:rPr>
  </w:style>
  <w:style w:type="paragraph" w:styleId="a6">
    <w:name w:val="header"/>
    <w:basedOn w:val="a"/>
    <w:link w:val="Char2"/>
    <w:uiPriority w:val="99"/>
    <w:semiHidden/>
    <w:qFormat/>
    <w:rsid w:val="00A571F9"/>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uiPriority w:val="39"/>
    <w:unhideWhenUsed/>
    <w:qFormat/>
    <w:rsid w:val="00A571F9"/>
    <w:pPr>
      <w:tabs>
        <w:tab w:val="right" w:leader="dot" w:pos="8296"/>
      </w:tabs>
      <w:spacing w:before="93"/>
      <w:jc w:val="center"/>
    </w:pPr>
    <w:rPr>
      <w:rFonts w:ascii="仿宋" w:eastAsia="仿宋" w:hAnsi="仿宋"/>
      <w:sz w:val="28"/>
      <w:szCs w:val="28"/>
    </w:rPr>
  </w:style>
  <w:style w:type="paragraph" w:styleId="20">
    <w:name w:val="toc 2"/>
    <w:basedOn w:val="a"/>
    <w:next w:val="a"/>
    <w:uiPriority w:val="39"/>
    <w:unhideWhenUsed/>
    <w:qFormat/>
    <w:rsid w:val="00A571F9"/>
    <w:pPr>
      <w:tabs>
        <w:tab w:val="right" w:leader="dot" w:pos="8296"/>
      </w:tabs>
      <w:ind w:leftChars="200" w:left="420"/>
    </w:pPr>
  </w:style>
  <w:style w:type="character" w:styleId="a7">
    <w:name w:val="Strong"/>
    <w:basedOn w:val="a0"/>
    <w:uiPriority w:val="22"/>
    <w:qFormat/>
    <w:rsid w:val="00A571F9"/>
    <w:rPr>
      <w:b/>
    </w:rPr>
  </w:style>
  <w:style w:type="character" w:styleId="a8">
    <w:name w:val="Hyperlink"/>
    <w:basedOn w:val="a0"/>
    <w:uiPriority w:val="99"/>
    <w:unhideWhenUsed/>
    <w:rsid w:val="00A571F9"/>
    <w:rPr>
      <w:color w:val="0000FF" w:themeColor="hyperlink"/>
      <w:u w:val="single"/>
    </w:rPr>
  </w:style>
  <w:style w:type="character" w:customStyle="1" w:styleId="HeaderChar">
    <w:name w:val="Header Char"/>
    <w:basedOn w:val="a0"/>
    <w:uiPriority w:val="99"/>
    <w:semiHidden/>
    <w:qFormat/>
    <w:rsid w:val="00A571F9"/>
    <w:rPr>
      <w:rFonts w:ascii="Times New Roman" w:hAnsi="Times New Roman"/>
      <w:sz w:val="18"/>
      <w:szCs w:val="18"/>
    </w:rPr>
  </w:style>
  <w:style w:type="character" w:customStyle="1" w:styleId="Char2">
    <w:name w:val="页眉 Char"/>
    <w:link w:val="a6"/>
    <w:uiPriority w:val="99"/>
    <w:semiHidden/>
    <w:qFormat/>
    <w:locked/>
    <w:rsid w:val="00A571F9"/>
    <w:rPr>
      <w:sz w:val="18"/>
    </w:rPr>
  </w:style>
  <w:style w:type="character" w:customStyle="1" w:styleId="FooterChar">
    <w:name w:val="Footer Char"/>
    <w:basedOn w:val="a0"/>
    <w:uiPriority w:val="99"/>
    <w:semiHidden/>
    <w:qFormat/>
    <w:rsid w:val="00A571F9"/>
    <w:rPr>
      <w:rFonts w:ascii="Times New Roman" w:hAnsi="Times New Roman"/>
      <w:sz w:val="18"/>
      <w:szCs w:val="18"/>
    </w:rPr>
  </w:style>
  <w:style w:type="character" w:customStyle="1" w:styleId="Char1">
    <w:name w:val="页脚 Char"/>
    <w:link w:val="a5"/>
    <w:uiPriority w:val="99"/>
    <w:qFormat/>
    <w:locked/>
    <w:rsid w:val="00A571F9"/>
    <w:rPr>
      <w:sz w:val="18"/>
    </w:rPr>
  </w:style>
  <w:style w:type="character" w:customStyle="1" w:styleId="BodyTextChar">
    <w:name w:val="Body Text Char"/>
    <w:basedOn w:val="a0"/>
    <w:uiPriority w:val="99"/>
    <w:semiHidden/>
    <w:qFormat/>
    <w:rsid w:val="00A571F9"/>
    <w:rPr>
      <w:rFonts w:ascii="Times New Roman" w:hAnsi="Times New Roman"/>
      <w:szCs w:val="24"/>
    </w:rPr>
  </w:style>
  <w:style w:type="character" w:customStyle="1" w:styleId="Char">
    <w:name w:val="正文文本 Char"/>
    <w:link w:val="a3"/>
    <w:uiPriority w:val="99"/>
    <w:qFormat/>
    <w:locked/>
    <w:rsid w:val="00A571F9"/>
    <w:rPr>
      <w:rFonts w:ascii="仿宋_GB2312" w:eastAsia="仿宋_GB2312" w:hAnsi="Times New Roman"/>
      <w:sz w:val="24"/>
    </w:rPr>
  </w:style>
  <w:style w:type="paragraph" w:customStyle="1" w:styleId="Default">
    <w:name w:val="Default"/>
    <w:uiPriority w:val="99"/>
    <w:qFormat/>
    <w:rsid w:val="00A571F9"/>
    <w:pPr>
      <w:widowControl w:val="0"/>
      <w:autoSpaceDE w:val="0"/>
      <w:autoSpaceDN w:val="0"/>
      <w:adjustRightInd w:val="0"/>
    </w:pPr>
    <w:rPr>
      <w:rFonts w:ascii="仿宋" w:eastAsia="仿宋" w:cs="仿宋"/>
      <w:color w:val="000000"/>
      <w:sz w:val="24"/>
      <w:szCs w:val="24"/>
    </w:rPr>
  </w:style>
  <w:style w:type="paragraph" w:styleId="a9">
    <w:name w:val="List Paragraph"/>
    <w:basedOn w:val="a"/>
    <w:uiPriority w:val="34"/>
    <w:qFormat/>
    <w:rsid w:val="00A571F9"/>
    <w:pPr>
      <w:ind w:firstLineChars="200" w:firstLine="420"/>
    </w:pPr>
  </w:style>
  <w:style w:type="character" w:customStyle="1" w:styleId="1Char">
    <w:name w:val="标题 1 Char"/>
    <w:basedOn w:val="a0"/>
    <w:link w:val="1"/>
    <w:uiPriority w:val="9"/>
    <w:rsid w:val="00A571F9"/>
    <w:rPr>
      <w:rFonts w:ascii="Times New Roman" w:hAnsi="Times New Roman"/>
      <w:b/>
      <w:bCs/>
      <w:kern w:val="44"/>
      <w:sz w:val="44"/>
      <w:szCs w:val="44"/>
    </w:rPr>
  </w:style>
  <w:style w:type="character" w:customStyle="1" w:styleId="2Char">
    <w:name w:val="标题 2 Char"/>
    <w:basedOn w:val="a0"/>
    <w:link w:val="2"/>
    <w:uiPriority w:val="9"/>
    <w:qFormat/>
    <w:rsid w:val="00A571F9"/>
    <w:rPr>
      <w:rFonts w:asciiTheme="majorHAnsi" w:eastAsiaTheme="majorEastAsia" w:hAnsiTheme="majorHAnsi" w:cstheme="majorBidi"/>
      <w:b/>
      <w:bCs/>
      <w:kern w:val="2"/>
      <w:sz w:val="32"/>
      <w:szCs w:val="32"/>
    </w:rPr>
  </w:style>
  <w:style w:type="paragraph" w:customStyle="1" w:styleId="TOC1">
    <w:name w:val="TOC 标题1"/>
    <w:basedOn w:val="1"/>
    <w:next w:val="a"/>
    <w:uiPriority w:val="39"/>
    <w:unhideWhenUsed/>
    <w:qFormat/>
    <w:rsid w:val="00A571F9"/>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0">
    <w:name w:val="批注框文本 Char"/>
    <w:basedOn w:val="a0"/>
    <w:link w:val="a4"/>
    <w:uiPriority w:val="99"/>
    <w:semiHidden/>
    <w:qFormat/>
    <w:rsid w:val="00A571F9"/>
    <w:rPr>
      <w:rFonts w:ascii="Times New Roman" w:hAnsi="Times New Roman"/>
      <w:kern w:val="2"/>
      <w:sz w:val="18"/>
      <w:szCs w:val="18"/>
    </w:rPr>
  </w:style>
  <w:style w:type="character" w:customStyle="1" w:styleId="3Char">
    <w:name w:val="标题 3 Char"/>
    <w:basedOn w:val="a0"/>
    <w:link w:val="3"/>
    <w:uiPriority w:val="9"/>
    <w:qFormat/>
    <w:rsid w:val="00A571F9"/>
    <w:rPr>
      <w:rFonts w:ascii="Times New Roman" w:hAnsi="Times New Roman"/>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5.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chart" Target="charts/chart4.xm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5" Type="http://schemas.openxmlformats.org/officeDocument/2006/relationships/settings" Target="settings.xml"/><Relationship Id="rId15" Type="http://schemas.openxmlformats.org/officeDocument/2006/relationships/chart" Target="charts/chart7.xml"/><Relationship Id="rId10" Type="http://schemas.openxmlformats.org/officeDocument/2006/relationships/chart" Target="charts/chart2.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chart" Target="charts/chart1.xml"/><Relationship Id="rId14" Type="http://schemas.openxmlformats.org/officeDocument/2006/relationships/chart" Target="charts/chart6.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___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___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___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___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___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Excel____6.xlsx"/></Relationships>
</file>

<file path=word/charts/_rels/chart7.xml.rels><?xml version="1.0" encoding="UTF-8" standalone="yes"?>
<Relationships xmlns="http://schemas.openxmlformats.org/package/2006/relationships"><Relationship Id="rId1" Type="http://schemas.openxmlformats.org/officeDocument/2006/relationships/package" Target="../embeddings/Microsoft_Excel____7.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6.7278563451901863E-2"/>
          <c:y val="6.6470669494486614E-2"/>
          <c:w val="0.77304291935817382"/>
          <c:h val="0.82008922259330774"/>
        </c:manualLayout>
      </c:layout>
      <c:barChart>
        <c:barDir val="col"/>
        <c:grouping val="clustered"/>
        <c:varyColors val="0"/>
        <c:ser>
          <c:idx val="0"/>
          <c:order val="0"/>
          <c:tx>
            <c:strRef>
              <c:f>Sheet1!$B$1</c:f>
              <c:strCache>
                <c:ptCount val="1"/>
                <c:pt idx="0">
                  <c:v>收入</c:v>
                </c:pt>
              </c:strCache>
            </c:strRef>
          </c:tx>
          <c:invertIfNegative val="0"/>
          <c:cat>
            <c:numRef>
              <c:f>Sheet1!$A$2:$A$3</c:f>
              <c:numCache>
                <c:formatCode>General</c:formatCode>
                <c:ptCount val="2"/>
                <c:pt idx="0">
                  <c:v>2017</c:v>
                </c:pt>
                <c:pt idx="1">
                  <c:v>2018</c:v>
                </c:pt>
              </c:numCache>
            </c:numRef>
          </c:cat>
          <c:val>
            <c:numRef>
              <c:f>Sheet1!$B$2:$B$3</c:f>
              <c:numCache>
                <c:formatCode>General</c:formatCode>
                <c:ptCount val="2"/>
                <c:pt idx="0">
                  <c:v>3526.4100000000012</c:v>
                </c:pt>
                <c:pt idx="1">
                  <c:v>3625.34</c:v>
                </c:pt>
              </c:numCache>
            </c:numRef>
          </c:val>
        </c:ser>
        <c:ser>
          <c:idx val="1"/>
          <c:order val="1"/>
          <c:tx>
            <c:strRef>
              <c:f>Sheet1!$C$1</c:f>
              <c:strCache>
                <c:ptCount val="1"/>
                <c:pt idx="0">
                  <c:v>支出</c:v>
                </c:pt>
              </c:strCache>
            </c:strRef>
          </c:tx>
          <c:invertIfNegative val="0"/>
          <c:cat>
            <c:numRef>
              <c:f>Sheet1!$A$2:$A$3</c:f>
              <c:numCache>
                <c:formatCode>General</c:formatCode>
                <c:ptCount val="2"/>
                <c:pt idx="0">
                  <c:v>2017</c:v>
                </c:pt>
                <c:pt idx="1">
                  <c:v>2018</c:v>
                </c:pt>
              </c:numCache>
            </c:numRef>
          </c:cat>
          <c:val>
            <c:numRef>
              <c:f>Sheet1!$C$2:$C$3</c:f>
              <c:numCache>
                <c:formatCode>General</c:formatCode>
                <c:ptCount val="2"/>
                <c:pt idx="0">
                  <c:v>3576.36</c:v>
                </c:pt>
                <c:pt idx="1">
                  <c:v>3633.1</c:v>
                </c:pt>
              </c:numCache>
            </c:numRef>
          </c:val>
        </c:ser>
        <c:dLbls>
          <c:showLegendKey val="0"/>
          <c:showVal val="0"/>
          <c:showCatName val="0"/>
          <c:showSerName val="0"/>
          <c:showPercent val="0"/>
          <c:showBubbleSize val="0"/>
        </c:dLbls>
        <c:gapWidth val="150"/>
        <c:axId val="382970648"/>
        <c:axId val="382971432"/>
      </c:barChart>
      <c:catAx>
        <c:axId val="382970648"/>
        <c:scaling>
          <c:orientation val="minMax"/>
        </c:scaling>
        <c:delete val="0"/>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382971432"/>
        <c:crosses val="autoZero"/>
        <c:auto val="1"/>
        <c:lblAlgn val="ctr"/>
        <c:lblOffset val="100"/>
        <c:noMultiLvlLbl val="0"/>
      </c:catAx>
      <c:valAx>
        <c:axId val="382971432"/>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382970648"/>
        <c:crosses val="autoZero"/>
        <c:crossBetween val="between"/>
      </c:valAx>
    </c:plotArea>
    <c:legend>
      <c:legendPos val="r"/>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gap"/>
    <c:showDLblsOverMax val="0"/>
  </c:chart>
  <c:txPr>
    <a:bodyPr/>
    <a:lstStyle/>
    <a:p>
      <a:pPr>
        <a:defRPr lang="zh-CN"/>
      </a:pPr>
      <a:endParaRPr lang="zh-CN"/>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endParaRPr lang="zh-CN"/>
        </a:p>
      </c:txPr>
    </c:title>
    <c:autoTitleDeleted val="0"/>
    <c:plotArea>
      <c:layout/>
      <c:pieChart>
        <c:varyColors val="1"/>
        <c:ser>
          <c:idx val="0"/>
          <c:order val="0"/>
          <c:tx>
            <c:strRef>
              <c:f>Sheet1!$B$1</c:f>
              <c:strCache>
                <c:ptCount val="1"/>
                <c:pt idx="0">
                  <c:v>2018年收入来源</c:v>
                </c:pt>
              </c:strCache>
            </c:strRef>
          </c:tx>
          <c:cat>
            <c:strRef>
              <c:f>Sheet1!$A$2:$A$3</c:f>
              <c:strCache>
                <c:ptCount val="2"/>
                <c:pt idx="0">
                  <c:v>一般公共预算财政拨款收入</c:v>
                </c:pt>
                <c:pt idx="1">
                  <c:v>其他收入</c:v>
                </c:pt>
              </c:strCache>
            </c:strRef>
          </c:cat>
          <c:val>
            <c:numRef>
              <c:f>Sheet1!$B$2:$B$3</c:f>
              <c:numCache>
                <c:formatCode>General</c:formatCode>
                <c:ptCount val="2"/>
                <c:pt idx="0">
                  <c:v>3548.3900000000012</c:v>
                </c:pt>
                <c:pt idx="1">
                  <c:v>76.95</c:v>
                </c:pt>
              </c:numCache>
            </c:numRef>
          </c:val>
        </c:ser>
        <c:dLbls>
          <c:showLegendKey val="0"/>
          <c:showVal val="0"/>
          <c:showCatName val="0"/>
          <c:showSerName val="0"/>
          <c:showPercent val="0"/>
          <c:showBubbleSize val="0"/>
          <c:showLeaderLines val="1"/>
        </c:dLbls>
        <c:firstSliceAng val="0"/>
      </c:pieChart>
    </c:plotArea>
    <c:legend>
      <c:legendPos val="r"/>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zero"/>
    <c:showDLblsOverMax val="0"/>
  </c:chart>
  <c:txPr>
    <a:bodyPr/>
    <a:lstStyle/>
    <a:p>
      <a:pPr>
        <a:defRPr lang="zh-CN"/>
      </a:pPr>
      <a:endParaRPr lang="zh-CN"/>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endParaRPr lang="zh-CN"/>
        </a:p>
      </c:txPr>
    </c:title>
    <c:autoTitleDeleted val="0"/>
    <c:plotArea>
      <c:layout/>
      <c:pieChart>
        <c:varyColors val="1"/>
        <c:ser>
          <c:idx val="0"/>
          <c:order val="0"/>
          <c:tx>
            <c:strRef>
              <c:f>Sheet1!$B$1</c:f>
              <c:strCache>
                <c:ptCount val="1"/>
                <c:pt idx="0">
                  <c:v>2018年支出构成</c:v>
                </c:pt>
              </c:strCache>
            </c:strRef>
          </c:tx>
          <c:cat>
            <c:strRef>
              <c:f>Sheet1!$A$2:$A$3</c:f>
              <c:strCache>
                <c:ptCount val="2"/>
                <c:pt idx="0">
                  <c:v>基本支出</c:v>
                </c:pt>
                <c:pt idx="1">
                  <c:v>项目支出</c:v>
                </c:pt>
              </c:strCache>
            </c:strRef>
          </c:cat>
          <c:val>
            <c:numRef>
              <c:f>Sheet1!$B$2:$B$3</c:f>
              <c:numCache>
                <c:formatCode>General</c:formatCode>
                <c:ptCount val="2"/>
                <c:pt idx="0">
                  <c:v>2558.14</c:v>
                </c:pt>
                <c:pt idx="1">
                  <c:v>1074.96</c:v>
                </c:pt>
              </c:numCache>
            </c:numRef>
          </c:val>
        </c:ser>
        <c:dLbls>
          <c:showLegendKey val="0"/>
          <c:showVal val="0"/>
          <c:showCatName val="0"/>
          <c:showSerName val="0"/>
          <c:showPercent val="0"/>
          <c:showBubbleSize val="0"/>
          <c:showLeaderLines val="1"/>
        </c:dLbls>
        <c:firstSliceAng val="0"/>
      </c:pieChart>
    </c:plotArea>
    <c:legend>
      <c:legendPos val="r"/>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zero"/>
    <c:showDLblsOverMax val="0"/>
  </c:chart>
  <c:txPr>
    <a:bodyPr/>
    <a:lstStyle/>
    <a:p>
      <a:pPr>
        <a:defRPr lang="zh-CN"/>
      </a:pPr>
      <a:endParaRPr lang="zh-CN"/>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财政拨款收入</c:v>
                </c:pt>
              </c:strCache>
            </c:strRef>
          </c:tx>
          <c:invertIfNegative val="0"/>
          <c:cat>
            <c:numRef>
              <c:f>Sheet1!$A$2:$A$3</c:f>
              <c:numCache>
                <c:formatCode>General</c:formatCode>
                <c:ptCount val="2"/>
                <c:pt idx="0">
                  <c:v>2017</c:v>
                </c:pt>
                <c:pt idx="1">
                  <c:v>2018</c:v>
                </c:pt>
              </c:numCache>
            </c:numRef>
          </c:cat>
          <c:val>
            <c:numRef>
              <c:f>Sheet1!$B$2:$B$3</c:f>
              <c:numCache>
                <c:formatCode>General</c:formatCode>
                <c:ptCount val="2"/>
                <c:pt idx="0">
                  <c:v>3320.58</c:v>
                </c:pt>
                <c:pt idx="1">
                  <c:v>3548.3900000000012</c:v>
                </c:pt>
              </c:numCache>
            </c:numRef>
          </c:val>
        </c:ser>
        <c:ser>
          <c:idx val="1"/>
          <c:order val="1"/>
          <c:tx>
            <c:strRef>
              <c:f>Sheet1!$C$1</c:f>
              <c:strCache>
                <c:ptCount val="1"/>
                <c:pt idx="0">
                  <c:v>财政拨款支出</c:v>
                </c:pt>
              </c:strCache>
            </c:strRef>
          </c:tx>
          <c:invertIfNegative val="0"/>
          <c:cat>
            <c:numRef>
              <c:f>Sheet1!$A$2:$A$3</c:f>
              <c:numCache>
                <c:formatCode>General</c:formatCode>
                <c:ptCount val="2"/>
                <c:pt idx="0">
                  <c:v>2017</c:v>
                </c:pt>
                <c:pt idx="1">
                  <c:v>2018</c:v>
                </c:pt>
              </c:numCache>
            </c:numRef>
          </c:cat>
          <c:val>
            <c:numRef>
              <c:f>Sheet1!$C$2:$C$3</c:f>
              <c:numCache>
                <c:formatCode>General</c:formatCode>
                <c:ptCount val="2"/>
                <c:pt idx="0">
                  <c:v>3358.8</c:v>
                </c:pt>
                <c:pt idx="1">
                  <c:v>3590.3900000000012</c:v>
                </c:pt>
              </c:numCache>
            </c:numRef>
          </c:val>
        </c:ser>
        <c:dLbls>
          <c:showLegendKey val="0"/>
          <c:showVal val="0"/>
          <c:showCatName val="0"/>
          <c:showSerName val="0"/>
          <c:showPercent val="0"/>
          <c:showBubbleSize val="0"/>
        </c:dLbls>
        <c:gapWidth val="150"/>
        <c:axId val="376450208"/>
        <c:axId val="376449816"/>
      </c:barChart>
      <c:catAx>
        <c:axId val="376450208"/>
        <c:scaling>
          <c:orientation val="minMax"/>
        </c:scaling>
        <c:delete val="0"/>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376449816"/>
        <c:crosses val="autoZero"/>
        <c:auto val="1"/>
        <c:lblAlgn val="ctr"/>
        <c:lblOffset val="100"/>
        <c:noMultiLvlLbl val="0"/>
      </c:catAx>
      <c:valAx>
        <c:axId val="376449816"/>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376450208"/>
        <c:crosses val="autoZero"/>
        <c:crossBetween val="between"/>
      </c:valAx>
    </c:plotArea>
    <c:legend>
      <c:legendPos val="r"/>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gap"/>
    <c:showDLblsOverMax val="0"/>
  </c:chart>
  <c:txPr>
    <a:bodyPr/>
    <a:lstStyle/>
    <a:p>
      <a:pPr>
        <a:defRPr lang="zh-CN"/>
      </a:pPr>
      <a:endParaRPr lang="zh-CN"/>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endParaRPr lang="zh-CN"/>
        </a:p>
      </c:txPr>
    </c:title>
    <c:autoTitleDeleted val="0"/>
    <c:plotArea>
      <c:layout/>
      <c:barChart>
        <c:barDir val="col"/>
        <c:grouping val="clustered"/>
        <c:varyColors val="0"/>
        <c:ser>
          <c:idx val="1"/>
          <c:order val="0"/>
          <c:tx>
            <c:strRef>
              <c:f>Sheet1!$C$1</c:f>
              <c:strCache>
                <c:ptCount val="1"/>
                <c:pt idx="0">
                  <c:v>财政拨款支出</c:v>
                </c:pt>
              </c:strCache>
            </c:strRef>
          </c:tx>
          <c:invertIfNegative val="0"/>
          <c:cat>
            <c:numRef>
              <c:f>Sheet1!$A$2:$A$3</c:f>
              <c:numCache>
                <c:formatCode>General</c:formatCode>
                <c:ptCount val="2"/>
                <c:pt idx="0">
                  <c:v>2017</c:v>
                </c:pt>
                <c:pt idx="1">
                  <c:v>2018</c:v>
                </c:pt>
              </c:numCache>
            </c:numRef>
          </c:cat>
          <c:val>
            <c:numRef>
              <c:f>Sheet1!$C$2:$C$3</c:f>
              <c:numCache>
                <c:formatCode>General</c:formatCode>
                <c:ptCount val="2"/>
                <c:pt idx="0">
                  <c:v>3358.8</c:v>
                </c:pt>
                <c:pt idx="1">
                  <c:v>3590.3900000000012</c:v>
                </c:pt>
              </c:numCache>
            </c:numRef>
          </c:val>
        </c:ser>
        <c:dLbls>
          <c:showLegendKey val="0"/>
          <c:showVal val="0"/>
          <c:showCatName val="0"/>
          <c:showSerName val="0"/>
          <c:showPercent val="0"/>
          <c:showBubbleSize val="0"/>
        </c:dLbls>
        <c:gapWidth val="150"/>
        <c:axId val="380433272"/>
        <c:axId val="216384632"/>
      </c:barChart>
      <c:catAx>
        <c:axId val="380433272"/>
        <c:scaling>
          <c:orientation val="minMax"/>
        </c:scaling>
        <c:delete val="0"/>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216384632"/>
        <c:crosses val="autoZero"/>
        <c:auto val="1"/>
        <c:lblAlgn val="ctr"/>
        <c:lblOffset val="100"/>
        <c:noMultiLvlLbl val="0"/>
      </c:catAx>
      <c:valAx>
        <c:axId val="216384632"/>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380433272"/>
        <c:crosses val="autoZero"/>
        <c:crossBetween val="between"/>
      </c:valAx>
    </c:plotArea>
    <c:legend>
      <c:legendPos val="r"/>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gap"/>
    <c:showDLblsOverMax val="0"/>
  </c:chart>
  <c:txPr>
    <a:bodyPr/>
    <a:lstStyle/>
    <a:p>
      <a:pPr>
        <a:defRPr lang="zh-CN"/>
      </a:pPr>
      <a:endParaRPr lang="zh-CN"/>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manualLayout>
          <c:xMode val="edge"/>
          <c:yMode val="edge"/>
          <c:x val="0.42751013876696708"/>
          <c:y val="2.8895768833849297E-2"/>
        </c:manualLayout>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endParaRPr lang="zh-CN"/>
        </a:p>
      </c:txPr>
    </c:title>
    <c:autoTitleDeleted val="0"/>
    <c:plotArea>
      <c:layout/>
      <c:pieChart>
        <c:varyColors val="1"/>
        <c:ser>
          <c:idx val="0"/>
          <c:order val="0"/>
          <c:tx>
            <c:strRef>
              <c:f>Sheet1!$B$1</c:f>
              <c:strCache>
                <c:ptCount val="1"/>
                <c:pt idx="0">
                  <c:v>财政拨款支出构成</c:v>
                </c:pt>
              </c:strCache>
            </c:strRef>
          </c:tx>
          <c:cat>
            <c:strRef>
              <c:f>Sheet1!$A$2:$A$5</c:f>
              <c:strCache>
                <c:ptCount val="4"/>
                <c:pt idx="0">
                  <c:v>一般公共服务支出</c:v>
                </c:pt>
                <c:pt idx="1">
                  <c:v>公共安全支出</c:v>
                </c:pt>
                <c:pt idx="2">
                  <c:v>社会保障和就业</c:v>
                </c:pt>
                <c:pt idx="3">
                  <c:v>住房保障支出</c:v>
                </c:pt>
              </c:strCache>
            </c:strRef>
          </c:cat>
          <c:val>
            <c:numRef>
              <c:f>Sheet1!$B$2:$B$5</c:f>
              <c:numCache>
                <c:formatCode>General</c:formatCode>
                <c:ptCount val="4"/>
                <c:pt idx="0">
                  <c:v>4.3</c:v>
                </c:pt>
                <c:pt idx="1">
                  <c:v>2981.5</c:v>
                </c:pt>
                <c:pt idx="2">
                  <c:v>425.55</c:v>
                </c:pt>
                <c:pt idx="3">
                  <c:v>179.04</c:v>
                </c:pt>
              </c:numCache>
            </c:numRef>
          </c:val>
        </c:ser>
        <c:dLbls>
          <c:showLegendKey val="0"/>
          <c:showVal val="0"/>
          <c:showCatName val="0"/>
          <c:showSerName val="0"/>
          <c:showPercent val="0"/>
          <c:showBubbleSize val="0"/>
          <c:showLeaderLines val="1"/>
        </c:dLbls>
        <c:firstSliceAng val="0"/>
      </c:pieChart>
    </c:plotArea>
    <c:legend>
      <c:legendPos val="r"/>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zero"/>
    <c:showDLblsOverMax val="0"/>
  </c:chart>
  <c:txPr>
    <a:bodyPr/>
    <a:lstStyle/>
    <a:p>
      <a:pPr>
        <a:defRPr lang="zh-CN"/>
      </a:pPr>
      <a:endParaRPr lang="zh-CN"/>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endParaRPr lang="zh-CN"/>
        </a:p>
      </c:txPr>
    </c:title>
    <c:autoTitleDeleted val="0"/>
    <c:plotArea>
      <c:layout/>
      <c:pieChart>
        <c:varyColors val="1"/>
        <c:ser>
          <c:idx val="0"/>
          <c:order val="0"/>
          <c:tx>
            <c:strRef>
              <c:f>Sheet1!$B$1</c:f>
              <c:strCache>
                <c:ptCount val="1"/>
                <c:pt idx="0">
                  <c:v>三公经费支出构成</c:v>
                </c:pt>
              </c:strCache>
            </c:strRef>
          </c:tx>
          <c:cat>
            <c:strRef>
              <c:f>Sheet1!$A$2:$A$4</c:f>
              <c:strCache>
                <c:ptCount val="3"/>
                <c:pt idx="0">
                  <c:v>因公出国（境）费</c:v>
                </c:pt>
                <c:pt idx="1">
                  <c:v>公务用车购置及运行维护费</c:v>
                </c:pt>
                <c:pt idx="2">
                  <c:v>公务接待费</c:v>
                </c:pt>
              </c:strCache>
            </c:strRef>
          </c:cat>
          <c:val>
            <c:numRef>
              <c:f>Sheet1!$B$2:$B$4</c:f>
              <c:numCache>
                <c:formatCode>General</c:formatCode>
                <c:ptCount val="3"/>
                <c:pt idx="0">
                  <c:v>5.28</c:v>
                </c:pt>
                <c:pt idx="1">
                  <c:v>29.89</c:v>
                </c:pt>
                <c:pt idx="2">
                  <c:v>1.49</c:v>
                </c:pt>
              </c:numCache>
            </c:numRef>
          </c:val>
        </c:ser>
        <c:dLbls>
          <c:showLegendKey val="0"/>
          <c:showVal val="0"/>
          <c:showCatName val="0"/>
          <c:showSerName val="0"/>
          <c:showPercent val="0"/>
          <c:showBubbleSize val="0"/>
          <c:showLeaderLines val="1"/>
        </c:dLbls>
        <c:firstSliceAng val="0"/>
      </c:pieChart>
    </c:plotArea>
    <c:legend>
      <c:legendPos val="r"/>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zero"/>
    <c:showDLblsOverMax val="0"/>
  </c:chart>
  <c:txPr>
    <a:bodyPr/>
    <a:lstStyle/>
    <a:p>
      <a:pPr>
        <a:defRPr lang="zh-CN"/>
      </a:pPr>
      <a:endParaRPr lang="zh-CN"/>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B93E29D-A5DC-431B-B55A-AAEBBA9334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1935</TotalTime>
  <Pages>1</Pages>
  <Words>3111</Words>
  <Characters>17737</Characters>
  <Application>Microsoft Office Word</Application>
  <DocSecurity>0</DocSecurity>
  <Lines>147</Lines>
  <Paragraphs>41</Paragraphs>
  <ScaleCrop>false</ScaleCrop>
  <Company>四川省财政厅</Company>
  <LinksUpToDate>false</LinksUpToDate>
  <CharactersWithSpaces>20807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张彬茜</dc:creator>
  <cp:lastModifiedBy>邓丽君</cp:lastModifiedBy>
  <cp:revision>40</cp:revision>
  <cp:lastPrinted>2019-09-12T03:37:00Z</cp:lastPrinted>
  <dcterms:created xsi:type="dcterms:W3CDTF">2019-08-01T01:14:00Z</dcterms:created>
  <dcterms:modified xsi:type="dcterms:W3CDTF">2023-07-13T07:58:00Z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2052-11.1.0.9022</vt:lpwstr>
  </property>
</Properties>
</file>