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framePr w:wrap="auto" w:vAnchor="margin" w:hAnchor="text" w:yAlign="inline"/>
        <w:spacing w:line="560" w:lineRule="exact"/>
        <w:jc w:val="center"/>
        <w:rPr>
          <w:sz w:val="44"/>
          <w:szCs w:val="44"/>
          <w:u w:val="none"/>
          <w:lang w:val="zh-TW" w:eastAsia="zh-TW"/>
        </w:rPr>
      </w:pPr>
      <w:r>
        <w:rPr>
          <w:rFonts w:hint="eastAsia" w:ascii="Arial Unicode MS" w:hAnsi="Arial Unicode MS" w:eastAsia="Arial Unicode MS" w:cs="Arial Unicode MS"/>
          <w:b w:val="0"/>
          <w:bCs w:val="0"/>
          <w:i w:val="0"/>
          <w:iCs w:val="0"/>
          <w:sz w:val="44"/>
          <w:szCs w:val="44"/>
          <w:u w:val="none"/>
          <w:rtl w:val="0"/>
          <w:lang w:val="zh-TW" w:eastAsia="zh-TW"/>
        </w:rPr>
        <w:t>目</w:t>
      </w:r>
      <w:r>
        <w:rPr>
          <w:rFonts w:ascii="Arial Unicode MS" w:hAnsi="Arial Unicode MS"/>
          <w:sz w:val="44"/>
          <w:szCs w:val="44"/>
          <w:u w:val="none"/>
          <w:rtl w:val="0"/>
          <w:lang w:val="zh-TW" w:eastAsia="zh-TW"/>
        </w:rPr>
        <w:t xml:space="preserve">  </w:t>
      </w:r>
      <w:r>
        <w:rPr>
          <w:rFonts w:hint="eastAsia" w:ascii="Arial Unicode MS" w:hAnsi="Arial Unicode MS" w:eastAsia="Arial Unicode MS" w:cs="Arial Unicode MS"/>
          <w:b w:val="0"/>
          <w:bCs w:val="0"/>
          <w:i w:val="0"/>
          <w:iCs w:val="0"/>
          <w:sz w:val="44"/>
          <w:szCs w:val="44"/>
          <w:u w:val="none"/>
          <w:rtl w:val="0"/>
          <w:lang w:val="zh-TW" w:eastAsia="zh-TW"/>
        </w:rPr>
        <w:t>录</w:t>
      </w:r>
    </w:p>
    <w:p>
      <w:pPr>
        <w:pStyle w:val="7"/>
        <w:framePr w:wrap="auto" w:vAnchor="margin" w:hAnchor="text" w:yAlign="inline"/>
        <w:spacing w:line="560" w:lineRule="exact"/>
        <w:jc w:val="center"/>
        <w:rPr>
          <w:sz w:val="44"/>
          <w:szCs w:val="44"/>
          <w:u w:val="none"/>
        </w:rPr>
      </w:pP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一、基本职能及主要工作</w:t>
      </w:r>
      <w:r>
        <w:rPr>
          <w:rFonts w:ascii="方正仿宋_GBK" w:hAnsi="方正仿宋_GBK" w:eastAsia="方正仿宋_GBK" w:cs="方正仿宋_GBK"/>
          <w:u w:val="none"/>
          <w:rtl w:val="0"/>
          <w:lang w:val="en-US"/>
        </w:rPr>
        <w:t>.............................................1</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二、单位构成情况</w:t>
      </w:r>
      <w:r>
        <w:rPr>
          <w:rFonts w:ascii="方正仿宋_GBK" w:hAnsi="方正仿宋_GBK" w:eastAsia="方正仿宋_GBK" w:cs="方正仿宋_GBK"/>
          <w:u w:val="none"/>
          <w:rtl w:val="0"/>
          <w:lang w:val="en-US"/>
        </w:rPr>
        <w:t>.............................................</w:t>
      </w:r>
      <w:r>
        <w:rPr>
          <w:rFonts w:hint="eastAsia" w:ascii="方正仿宋_GBK" w:hAnsi="方正仿宋_GBK" w:eastAsia="方正仿宋_GBK" w:cs="方正仿宋_GBK"/>
          <w:u w:val="none"/>
          <w:rtl w:val="0"/>
          <w:lang w:val="en-US" w:eastAsia="zh-CN"/>
        </w:rPr>
        <w:t>.</w:t>
      </w:r>
      <w:r>
        <w:rPr>
          <w:rFonts w:ascii="方正仿宋_GBK" w:hAnsi="方正仿宋_GBK" w:eastAsia="方正仿宋_GBK" w:cs="方正仿宋_GBK"/>
          <w:u w:val="none"/>
          <w:rtl w:val="0"/>
          <w:lang w:val="en-US"/>
        </w:rPr>
        <w:t>............2</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三、收支预算情况说明</w:t>
      </w:r>
      <w:r>
        <w:rPr>
          <w:rFonts w:ascii="方正仿宋_GBK" w:hAnsi="方正仿宋_GBK" w:eastAsia="方正仿宋_GBK" w:cs="方正仿宋_GBK"/>
          <w:u w:val="none"/>
          <w:rtl w:val="0"/>
          <w:lang w:val="en-US"/>
        </w:rPr>
        <w:t>..................................................2</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四、财政拨款收支预算情况说明</w:t>
      </w:r>
      <w:r>
        <w:rPr>
          <w:rFonts w:ascii="方正仿宋_GBK" w:hAnsi="方正仿宋_GBK" w:eastAsia="方正仿宋_GBK" w:cs="方正仿宋_GBK"/>
          <w:u w:val="none"/>
          <w:rtl w:val="0"/>
          <w:lang w:val="en-US"/>
        </w:rPr>
        <w:t>.................................3</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五、一般公共预算当年拨款情况说明</w:t>
      </w:r>
      <w:r>
        <w:rPr>
          <w:rFonts w:ascii="方正仿宋_GBK" w:hAnsi="方正仿宋_GBK" w:eastAsia="方正仿宋_GBK" w:cs="方正仿宋_GBK"/>
          <w:u w:val="none"/>
          <w:rtl w:val="0"/>
          <w:lang w:val="en-US"/>
        </w:rPr>
        <w:t>.........................3</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六、一般公共预算基本支出情况说明</w:t>
      </w:r>
      <w:r>
        <w:rPr>
          <w:rFonts w:ascii="方正仿宋_GBK" w:hAnsi="方正仿宋_GBK" w:eastAsia="方正仿宋_GBK" w:cs="方正仿宋_GBK"/>
          <w:u w:val="none"/>
          <w:rtl w:val="0"/>
          <w:lang w:val="en-US"/>
        </w:rPr>
        <w:t>.........................4</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七、</w:t>
      </w:r>
      <w:r>
        <w:rPr>
          <w:rFonts w:ascii="方正仿宋_GBK" w:hAnsi="方正仿宋_GBK" w:eastAsia="方正仿宋_GBK" w:cs="方正仿宋_GBK"/>
          <w:u w:val="none"/>
          <w:rtl w:val="0"/>
          <w:lang w:val="en-US"/>
        </w:rPr>
        <w:t>“</w:t>
      </w:r>
      <w:r>
        <w:rPr>
          <w:rFonts w:ascii="方正仿宋_GBK" w:hAnsi="方正仿宋_GBK" w:eastAsia="方正仿宋_GBK" w:cs="方正仿宋_GBK"/>
          <w:u w:val="none"/>
          <w:rtl w:val="0"/>
          <w:lang w:val="zh-TW" w:eastAsia="zh-TW"/>
        </w:rPr>
        <w:t>三公</w:t>
      </w:r>
      <w:r>
        <w:rPr>
          <w:rFonts w:ascii="方正仿宋_GBK" w:hAnsi="方正仿宋_GBK" w:eastAsia="方正仿宋_GBK" w:cs="方正仿宋_GBK"/>
          <w:u w:val="none"/>
          <w:rtl w:val="0"/>
          <w:lang w:val="en-US"/>
        </w:rPr>
        <w:t>”</w:t>
      </w:r>
      <w:r>
        <w:rPr>
          <w:rFonts w:ascii="方正仿宋_GBK" w:hAnsi="方正仿宋_GBK" w:eastAsia="方正仿宋_GBK" w:cs="方正仿宋_GBK"/>
          <w:u w:val="none"/>
          <w:rtl w:val="0"/>
          <w:lang w:val="zh-TW" w:eastAsia="zh-TW"/>
        </w:rPr>
        <w:t>经费财政拨款预算安排情况说明</w:t>
      </w:r>
      <w:r>
        <w:rPr>
          <w:rFonts w:ascii="方正仿宋_GBK" w:hAnsi="方正仿宋_GBK" w:eastAsia="方正仿宋_GBK" w:cs="方正仿宋_GBK"/>
          <w:u w:val="none"/>
          <w:rtl w:val="0"/>
          <w:lang w:val="en-US"/>
        </w:rPr>
        <w:t>...........5</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八、政府性基金预算支出情况说明</w:t>
      </w:r>
      <w:r>
        <w:rPr>
          <w:rFonts w:ascii="方正仿宋_GBK" w:hAnsi="方正仿宋_GBK" w:eastAsia="方正仿宋_GBK" w:cs="方正仿宋_GBK"/>
          <w:u w:val="none"/>
          <w:rtl w:val="0"/>
          <w:lang w:val="en-US"/>
        </w:rPr>
        <w:t>..............................6</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九、其他重要事项的情况说明</w:t>
      </w:r>
      <w:r>
        <w:rPr>
          <w:rFonts w:ascii="方正仿宋_GBK" w:hAnsi="方正仿宋_GBK" w:eastAsia="方正仿宋_GBK" w:cs="方正仿宋_GBK"/>
          <w:u w:val="none"/>
          <w:rtl w:val="0"/>
          <w:lang w:val="en-US"/>
        </w:rPr>
        <w:t>.......................................6</w:t>
      </w:r>
    </w:p>
    <w:p>
      <w:pPr>
        <w:pStyle w:val="7"/>
        <w:framePr w:wrap="auto" w:vAnchor="margin" w:hAnchor="text" w:yAlign="inline"/>
        <w:spacing w:line="560" w:lineRule="exact"/>
        <w:ind w:firstLine="640"/>
        <w:rPr>
          <w:rFonts w:ascii="方正仿宋_GBK" w:hAnsi="方正仿宋_GBK" w:eastAsia="方正仿宋_GBK" w:cs="方正仿宋_GBK"/>
          <w:u w:val="none"/>
        </w:rPr>
      </w:pPr>
      <w:r>
        <w:rPr>
          <w:rFonts w:ascii="方正仿宋_GBK" w:hAnsi="方正仿宋_GBK" w:eastAsia="方正仿宋_GBK" w:cs="方正仿宋_GBK"/>
          <w:u w:val="none"/>
          <w:rtl w:val="0"/>
          <w:lang w:val="zh-TW" w:eastAsia="zh-TW"/>
        </w:rPr>
        <w:t>十、名词解释</w:t>
      </w:r>
      <w:r>
        <w:rPr>
          <w:rFonts w:ascii="方正仿宋_GBK" w:hAnsi="方正仿宋_GBK" w:eastAsia="方正仿宋_GBK" w:cs="方正仿宋_GBK"/>
          <w:u w:val="none"/>
          <w:rtl w:val="0"/>
          <w:lang w:val="en-US"/>
        </w:rPr>
        <w:t>....................................................................7</w:t>
      </w: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p>
    <w:p>
      <w:pPr>
        <w:pStyle w:val="7"/>
        <w:framePr w:wrap="auto" w:vAnchor="margin" w:hAnchor="text" w:yAlign="inline"/>
        <w:spacing w:line="600" w:lineRule="exact"/>
        <w:sectPr>
          <w:headerReference r:id="rId5" w:type="default"/>
          <w:footerReference r:id="rId6" w:type="default"/>
          <w:pgSz w:w="11900" w:h="16840"/>
          <w:pgMar w:top="1247" w:right="1542" w:bottom="1247" w:left="2098" w:header="851" w:footer="992" w:gutter="0"/>
          <w:pgNumType w:start="0"/>
          <w:cols w:space="720" w:num="1"/>
        </w:sectPr>
      </w:pPr>
    </w:p>
    <w:p>
      <w:pPr>
        <w:pStyle w:val="7"/>
        <w:framePr w:wrap="auto" w:vAnchor="margin" w:hAnchor="text" w:yAlign="inline"/>
        <w:spacing w:line="600" w:lineRule="exact"/>
        <w:rPr>
          <w:rFonts w:ascii="Arial Unicode MS" w:hAnsi="Arial Unicode MS" w:eastAsia="Arial Unicode MS" w:cs="Arial Unicode MS"/>
          <w:sz w:val="44"/>
          <w:szCs w:val="44"/>
          <w:u w:val="none"/>
        </w:rPr>
      </w:pPr>
    </w:p>
    <w:p>
      <w:pPr>
        <w:pStyle w:val="7"/>
        <w:framePr w:wrap="auto" w:vAnchor="margin" w:hAnchor="text" w:yAlign="inline"/>
        <w:spacing w:line="600" w:lineRule="exact"/>
        <w:jc w:val="center"/>
        <w:rPr>
          <w:rFonts w:ascii="Arial Unicode MS" w:hAnsi="Arial Unicode MS" w:eastAsia="Arial Unicode MS" w:cs="Arial Unicode MS"/>
          <w:sz w:val="44"/>
          <w:szCs w:val="44"/>
          <w:u w:val="none"/>
        </w:rPr>
      </w:pPr>
      <w:r>
        <w:rPr>
          <w:rFonts w:hint="eastAsia" w:ascii="Arial Unicode MS" w:hAnsi="Arial Unicode MS" w:eastAsia="Arial Unicode MS" w:cs="Arial Unicode MS"/>
          <w:b w:val="0"/>
          <w:bCs w:val="0"/>
          <w:i w:val="0"/>
          <w:iCs w:val="0"/>
          <w:sz w:val="44"/>
          <w:szCs w:val="44"/>
          <w:u w:val="none"/>
          <w:rtl w:val="0"/>
          <w:lang w:val="zh-TW" w:eastAsia="zh-TW"/>
        </w:rPr>
        <w:t>攀枝花市体育场馆中心</w:t>
      </w:r>
      <w:r>
        <w:rPr>
          <w:rFonts w:ascii="Arial Unicode MS" w:hAnsi="Arial Unicode MS"/>
          <w:sz w:val="44"/>
          <w:szCs w:val="44"/>
          <w:u w:val="none"/>
          <w:rtl w:val="0"/>
          <w:lang w:val="en-US"/>
        </w:rPr>
        <w:t>2021</w:t>
      </w:r>
      <w:r>
        <w:rPr>
          <w:rFonts w:hint="eastAsia" w:ascii="Arial Unicode MS" w:hAnsi="Arial Unicode MS" w:eastAsia="Arial Unicode MS" w:cs="Arial Unicode MS"/>
          <w:b w:val="0"/>
          <w:bCs w:val="0"/>
          <w:i w:val="0"/>
          <w:iCs w:val="0"/>
          <w:sz w:val="44"/>
          <w:szCs w:val="44"/>
          <w:u w:val="none"/>
          <w:rtl w:val="0"/>
          <w:lang w:val="zh-TW" w:eastAsia="zh-TW"/>
        </w:rPr>
        <w:t>年</w:t>
      </w:r>
    </w:p>
    <w:p>
      <w:pPr>
        <w:pStyle w:val="7"/>
        <w:framePr w:wrap="auto" w:vAnchor="margin" w:hAnchor="text" w:yAlign="inline"/>
        <w:spacing w:line="600" w:lineRule="exact"/>
        <w:jc w:val="center"/>
        <w:rPr>
          <w:rFonts w:ascii="Arial Unicode MS" w:hAnsi="Arial Unicode MS" w:eastAsia="Arial Unicode MS" w:cs="Arial Unicode MS"/>
          <w:sz w:val="44"/>
          <w:szCs w:val="44"/>
          <w:u w:val="none"/>
          <w:lang w:val="zh-TW" w:eastAsia="zh-TW"/>
        </w:rPr>
      </w:pPr>
      <w:r>
        <w:rPr>
          <w:rFonts w:hint="eastAsia" w:ascii="Arial Unicode MS" w:hAnsi="Arial Unicode MS" w:eastAsia="Arial Unicode MS" w:cs="Arial Unicode MS"/>
          <w:b w:val="0"/>
          <w:bCs w:val="0"/>
          <w:i w:val="0"/>
          <w:iCs w:val="0"/>
          <w:sz w:val="44"/>
          <w:szCs w:val="44"/>
          <w:u w:val="none"/>
          <w:rtl w:val="0"/>
          <w:lang w:val="zh-TW" w:eastAsia="zh-TW"/>
        </w:rPr>
        <w:t>部门预算编制说明</w:t>
      </w:r>
    </w:p>
    <w:p>
      <w:pPr>
        <w:pStyle w:val="9"/>
        <w:framePr w:wrap="auto" w:vAnchor="margin" w:hAnchor="text" w:yAlign="inline"/>
        <w:spacing w:before="130" w:line="600" w:lineRule="exact"/>
        <w:rPr>
          <w:rFonts w:ascii="SimSong Bold" w:hAnsi="SimSong Bold" w:eastAsia="SimSong Bold" w:cs="SimSong Bold"/>
          <w:sz w:val="32"/>
          <w:szCs w:val="32"/>
          <w:u w:val="none"/>
        </w:rPr>
      </w:pPr>
      <w:r>
        <w:rPr>
          <w:rFonts w:ascii="SimSong Bold" w:hAnsi="SimSong Bold"/>
          <w:sz w:val="32"/>
          <w:szCs w:val="32"/>
          <w:u w:val="none"/>
          <w:rtl w:val="0"/>
          <w:lang w:val="en-US"/>
        </w:rPr>
        <w:t xml:space="preserve">    </w:t>
      </w:r>
    </w:p>
    <w:p>
      <w:pPr>
        <w:pStyle w:val="7"/>
        <w:framePr w:wrap="auto" w:vAnchor="margin" w:hAnchor="text" w:yAlign="inline"/>
        <w:spacing w:line="600" w:lineRule="exact"/>
        <w:ind w:firstLine="643"/>
        <w:rPr>
          <w:rFonts w:ascii="黑体" w:hAnsi="黑体" w:eastAsia="黑体" w:cs="黑体"/>
          <w:b/>
          <w:bCs/>
          <w:u w:val="none"/>
          <w:lang w:val="zh-TW" w:eastAsia="zh-TW"/>
        </w:rPr>
      </w:pPr>
      <w:r>
        <w:rPr>
          <w:rFonts w:ascii="黑体" w:hAnsi="黑体" w:eastAsia="黑体" w:cs="黑体"/>
          <w:b/>
          <w:bCs/>
          <w:u w:val="none"/>
          <w:rtl w:val="0"/>
          <w:lang w:val="zh-TW" w:eastAsia="zh-TW"/>
        </w:rPr>
        <w:t>一、基本职能及主要工作</w:t>
      </w:r>
    </w:p>
    <w:p>
      <w:pPr>
        <w:pStyle w:val="7"/>
        <w:framePr w:wrap="auto" w:vAnchor="margin" w:hAnchor="text" w:yAlign="inline"/>
        <w:widowControl/>
        <w:spacing w:line="560" w:lineRule="exact"/>
        <w:ind w:firstLine="643"/>
        <w:rPr>
          <w:b/>
          <w:bCs/>
          <w:kern w:val="2"/>
          <w:u w:val="none"/>
          <w:lang w:val="zh-TW" w:eastAsia="zh-TW"/>
        </w:rPr>
      </w:pPr>
      <w:r>
        <w:rPr>
          <w:rFonts w:ascii="楷体_GB2312" w:hAnsi="楷体_GB2312" w:eastAsia="楷体_GB2312" w:cs="楷体_GB2312"/>
          <w:b/>
          <w:bCs/>
          <w:kern w:val="2"/>
          <w:u w:val="none"/>
          <w:rtl w:val="0"/>
          <w:lang w:val="zh-TW" w:eastAsia="zh-TW"/>
        </w:rPr>
        <w:t>（一）攀枝花市体育场馆中心基本职能</w:t>
      </w:r>
    </w:p>
    <w:p>
      <w:pPr>
        <w:pStyle w:val="7"/>
        <w:framePr w:wrap="auto" w:vAnchor="margin" w:hAnchor="text" w:yAlign="inline"/>
        <w:widowControl/>
        <w:spacing w:line="56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做好体育场馆的维护、管理和养护，保证安全使用；为市民提供免费低收费健身场地服务及应急避难场所；为全市文化、体育等大型活动提供场所，开展社会热点体育项目的辅导、培训；拓宽体育产业渠道，引进高水平体育竞赛活动；为全市业余训练项目提供训练、比赛场地，承担游泳、赛艇、皮划艇、羽毛球、乒乓球、网球、少儿棒球、跆拳道</w:t>
      </w:r>
      <w:r>
        <w:rPr>
          <w:rFonts w:ascii="仿宋_GB2312" w:hAnsi="仿宋_GB2312" w:eastAsia="仿宋_GB2312" w:cs="仿宋_GB2312"/>
          <w:u w:val="none"/>
          <w:rtl w:val="0"/>
          <w:lang w:val="en-US"/>
        </w:rPr>
        <w:t>8</w:t>
      </w:r>
      <w:r>
        <w:rPr>
          <w:rFonts w:ascii="仿宋_GB2312" w:hAnsi="仿宋_GB2312" w:eastAsia="仿宋_GB2312" w:cs="仿宋_GB2312"/>
          <w:u w:val="none"/>
          <w:rtl w:val="0"/>
          <w:lang w:val="zh-TW" w:eastAsia="zh-TW"/>
        </w:rPr>
        <w:t>个项目的业余训练工作及省级以上重大赛事的参赛任务，向省级各类专业运动队输送优秀运动员，并为社会培训体育骨干；免费为全市体育场馆建设提供咨询服务和相关技术指导。</w:t>
      </w:r>
      <w:r>
        <w:rPr>
          <w:rFonts w:ascii="仿宋_GB2312" w:hAnsi="仿宋_GB2312" w:eastAsia="仿宋_GB2312" w:cs="仿宋_GB2312"/>
          <w:kern w:val="0"/>
          <w:u w:val="none"/>
          <w:rtl w:val="0"/>
          <w:lang w:val="zh-TW" w:eastAsia="zh-TW"/>
        </w:rPr>
        <w:t>承办市教育体育局交办的其他事项。</w:t>
      </w:r>
    </w:p>
    <w:p>
      <w:pPr>
        <w:pStyle w:val="7"/>
        <w:framePr w:wrap="auto" w:vAnchor="margin" w:hAnchor="text" w:yAlign="inline"/>
        <w:widowControl/>
        <w:spacing w:line="560" w:lineRule="exact"/>
        <w:ind w:firstLine="643"/>
        <w:rPr>
          <w:b/>
          <w:bCs/>
          <w:kern w:val="2"/>
          <w:u w:val="none"/>
        </w:rPr>
      </w:pPr>
      <w:r>
        <w:rPr>
          <w:rFonts w:ascii="楷体_GB2312" w:hAnsi="楷体_GB2312" w:eastAsia="楷体_GB2312" w:cs="楷体_GB2312"/>
          <w:b/>
          <w:bCs/>
          <w:kern w:val="2"/>
          <w:u w:val="none"/>
          <w:rtl w:val="0"/>
          <w:lang w:val="zh-TW" w:eastAsia="zh-TW"/>
        </w:rPr>
        <w:t>（二）攀枝花市体育场馆中心</w:t>
      </w:r>
      <w:r>
        <w:rPr>
          <w:rFonts w:ascii="Times New Roman" w:hAnsi="Times New Roman"/>
          <w:b/>
          <w:bCs/>
          <w:kern w:val="2"/>
          <w:u w:val="none"/>
          <w:rtl w:val="0"/>
          <w:lang w:val="en-US"/>
        </w:rPr>
        <w:t>2021</w:t>
      </w:r>
      <w:r>
        <w:rPr>
          <w:rFonts w:ascii="楷体_GB2312" w:hAnsi="楷体_GB2312" w:eastAsia="楷体_GB2312" w:cs="楷体_GB2312"/>
          <w:b/>
          <w:bCs/>
          <w:kern w:val="2"/>
          <w:u w:val="none"/>
          <w:rtl w:val="0"/>
          <w:lang w:val="zh-TW" w:eastAsia="zh-TW"/>
        </w:rPr>
        <w:t>年重点工作</w:t>
      </w:r>
    </w:p>
    <w:p>
      <w:pPr>
        <w:pStyle w:val="7"/>
        <w:framePr w:wrap="auto" w:vAnchor="margin" w:hAnchor="text" w:yAlign="inline"/>
        <w:spacing w:line="560" w:lineRule="exact"/>
        <w:ind w:firstLine="640"/>
        <w:rPr>
          <w:rFonts w:ascii="仿宋_GB2312" w:hAnsi="仿宋_GB2312" w:eastAsia="仿宋_GB2312" w:cs="仿宋_GB2312"/>
          <w:outline w:val="0"/>
          <w:color w:val="000000"/>
          <w:u w:val="none" w:color="000000"/>
        </w:rPr>
      </w:pPr>
      <w:r>
        <w:rPr>
          <w:rFonts w:ascii="仿宋_GB2312" w:hAnsi="仿宋_GB2312" w:eastAsia="仿宋_GB2312" w:cs="仿宋_GB2312"/>
          <w:outline w:val="0"/>
          <w:color w:val="000000"/>
          <w:u w:val="none" w:color="000000"/>
          <w:rtl w:val="0"/>
          <w:lang w:val="en-US"/>
        </w:rPr>
        <w:t>2021</w:t>
      </w:r>
      <w:r>
        <w:rPr>
          <w:rFonts w:ascii="仿宋_GB2312" w:hAnsi="仿宋_GB2312" w:eastAsia="仿宋_GB2312" w:cs="仿宋_GB2312"/>
          <w:outline w:val="0"/>
          <w:color w:val="000000"/>
          <w:u w:val="none" w:color="000000"/>
          <w:rtl w:val="0"/>
          <w:lang w:val="zh-TW" w:eastAsia="zh-TW"/>
        </w:rPr>
        <w:t>年，将继续以习近平新时代中国特色社会主义思想为引领，重点抓好以下工作。</w:t>
      </w:r>
    </w:p>
    <w:p>
      <w:pPr>
        <w:pStyle w:val="7"/>
        <w:framePr w:wrap="auto" w:vAnchor="margin" w:hAnchor="text" w:yAlign="inline"/>
        <w:spacing w:line="560" w:lineRule="exact"/>
        <w:ind w:firstLine="640"/>
        <w:rPr>
          <w:rFonts w:ascii="仿宋_GB2312" w:hAnsi="仿宋_GB2312" w:eastAsia="仿宋_GB2312" w:cs="仿宋_GB2312"/>
          <w:outline w:val="0"/>
          <w:color w:val="000000"/>
          <w:u w:val="none" w:color="000000"/>
        </w:rPr>
      </w:pPr>
      <w:r>
        <w:rPr>
          <w:rFonts w:ascii="仿宋_GB2312" w:hAnsi="仿宋_GB2312" w:eastAsia="仿宋_GB2312" w:cs="仿宋_GB2312"/>
          <w:outline w:val="0"/>
          <w:color w:val="000000"/>
          <w:u w:val="none" w:color="000000"/>
          <w:rtl w:val="0"/>
          <w:lang w:val="zh-TW" w:eastAsia="zh-TW"/>
        </w:rPr>
        <w:t>（一）深入学习贯彻党的十九届五中全会精神和习近平总书记系列重要讲话精神，切实开展</w:t>
      </w:r>
      <w:r>
        <w:rPr>
          <w:rFonts w:ascii="仿宋_GB2312" w:hAnsi="仿宋_GB2312" w:eastAsia="仿宋_GB2312" w:cs="仿宋_GB2312"/>
          <w:outline w:val="0"/>
          <w:color w:val="000000"/>
          <w:u w:val="none" w:color="000000"/>
          <w:rtl w:val="0"/>
          <w:lang w:val="en-US"/>
        </w:rPr>
        <w:t>“</w:t>
      </w:r>
      <w:r>
        <w:rPr>
          <w:rFonts w:ascii="仿宋_GB2312" w:hAnsi="仿宋_GB2312" w:eastAsia="仿宋_GB2312" w:cs="仿宋_GB2312"/>
          <w:outline w:val="0"/>
          <w:color w:val="000000"/>
          <w:u w:val="none" w:color="000000"/>
          <w:rtl w:val="0"/>
          <w:lang w:val="zh-TW" w:eastAsia="zh-TW"/>
        </w:rPr>
        <w:t>两学一做</w:t>
      </w:r>
      <w:r>
        <w:rPr>
          <w:rFonts w:ascii="仿宋_GB2312" w:hAnsi="仿宋_GB2312" w:eastAsia="仿宋_GB2312" w:cs="仿宋_GB2312"/>
          <w:outline w:val="0"/>
          <w:color w:val="000000"/>
          <w:u w:val="none" w:color="000000"/>
          <w:rtl w:val="0"/>
          <w:lang w:val="en-US"/>
        </w:rPr>
        <w:t>”</w:t>
      </w:r>
      <w:r>
        <w:rPr>
          <w:rFonts w:ascii="仿宋_GB2312" w:hAnsi="仿宋_GB2312" w:eastAsia="仿宋_GB2312" w:cs="仿宋_GB2312"/>
          <w:outline w:val="0"/>
          <w:color w:val="000000"/>
          <w:u w:val="none" w:color="000000"/>
          <w:rtl w:val="0"/>
          <w:lang w:val="zh-TW" w:eastAsia="zh-TW"/>
        </w:rPr>
        <w:t>学习教育工作常态化、制度化，推动全面从严治党和党风廉政建设工作向纵深发展，进一步解决中心干部职工在思想、作风、纪律等方面存在的问题。</w:t>
      </w:r>
    </w:p>
    <w:p>
      <w:pPr>
        <w:pStyle w:val="7"/>
        <w:framePr w:wrap="auto" w:vAnchor="margin" w:hAnchor="text" w:yAlign="inline"/>
        <w:spacing w:line="560" w:lineRule="exact"/>
        <w:ind w:firstLine="640"/>
        <w:rPr>
          <w:rFonts w:ascii="仿宋_GB2312" w:hAnsi="仿宋_GB2312" w:eastAsia="仿宋_GB2312" w:cs="仿宋_GB2312"/>
          <w:outline w:val="0"/>
          <w:color w:val="000000"/>
          <w:u w:val="none" w:color="000000"/>
          <w:lang w:val="zh-TW" w:eastAsia="zh-TW"/>
        </w:rPr>
      </w:pPr>
      <w:r>
        <w:rPr>
          <w:rFonts w:ascii="仿宋_GB2312" w:hAnsi="仿宋_GB2312" w:eastAsia="仿宋_GB2312" w:cs="仿宋_GB2312"/>
          <w:outline w:val="0"/>
          <w:color w:val="000000"/>
          <w:u w:val="none" w:color="000000"/>
          <w:rtl w:val="0"/>
          <w:lang w:val="zh-TW" w:eastAsia="zh-TW"/>
        </w:rPr>
        <w:t>（二）切实做好各场馆免费、低收费开放工作，完善相关制度，扩大开放力度，强化服务意识，提升服务质量，形成天天能开放，周周有活动，月月有赛事。</w:t>
      </w:r>
    </w:p>
    <w:p>
      <w:pPr>
        <w:pStyle w:val="7"/>
        <w:framePr w:wrap="auto" w:vAnchor="margin" w:hAnchor="text" w:yAlign="inline"/>
        <w:spacing w:line="560" w:lineRule="exact"/>
        <w:ind w:firstLine="640"/>
        <w:rPr>
          <w:rFonts w:ascii="仿宋_GB2312" w:hAnsi="仿宋_GB2312" w:eastAsia="仿宋_GB2312" w:cs="仿宋_GB2312"/>
          <w:u w:val="none"/>
          <w:lang w:val="zh-TW" w:eastAsia="zh-TW"/>
        </w:rPr>
      </w:pPr>
      <w:r>
        <w:rPr>
          <w:rFonts w:ascii="仿宋_GB2312" w:hAnsi="仿宋_GB2312" w:eastAsia="仿宋_GB2312" w:cs="仿宋_GB2312"/>
          <w:u w:val="none"/>
          <w:rtl w:val="0"/>
          <w:lang w:val="zh-TW" w:eastAsia="zh-TW"/>
        </w:rPr>
        <w:t>（三）做好运动员选材、输送以及省运会备战工作。完善梯队建设，选拔优秀体育苗子，加大输送力度，认真备战第十四届省运会。</w:t>
      </w:r>
    </w:p>
    <w:p>
      <w:pPr>
        <w:pStyle w:val="7"/>
        <w:framePr w:wrap="auto" w:vAnchor="margin" w:hAnchor="text" w:yAlign="inline"/>
        <w:spacing w:line="56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（四）协助相关部门开展好</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年攀枝花市全民健身系列群众体育活动。</w:t>
      </w:r>
    </w:p>
    <w:p>
      <w:pPr>
        <w:pStyle w:val="7"/>
        <w:framePr w:wrap="auto" w:vAnchor="margin" w:hAnchor="text" w:yAlign="inline"/>
        <w:spacing w:line="560" w:lineRule="exact"/>
        <w:ind w:firstLine="640"/>
        <w:rPr>
          <w:rFonts w:ascii="仿宋_GB2312" w:hAnsi="仿宋_GB2312" w:eastAsia="仿宋_GB2312" w:cs="仿宋_GB2312"/>
          <w:outline w:val="0"/>
          <w:color w:val="000000"/>
          <w:u w:val="none" w:color="000000"/>
        </w:rPr>
      </w:pPr>
      <w:r>
        <w:rPr>
          <w:rFonts w:ascii="仿宋_GB2312" w:hAnsi="仿宋_GB2312" w:eastAsia="仿宋_GB2312" w:cs="仿宋_GB2312"/>
          <w:u w:val="none"/>
          <w:rtl w:val="0"/>
          <w:lang w:val="zh-TW" w:eastAsia="zh-TW"/>
        </w:rPr>
        <w:t>（五）</w:t>
      </w:r>
      <w:r>
        <w:rPr>
          <w:rFonts w:ascii="仿宋_GB2312" w:hAnsi="仿宋_GB2312" w:eastAsia="仿宋_GB2312" w:cs="仿宋_GB2312"/>
          <w:outline w:val="0"/>
          <w:color w:val="000000"/>
          <w:u w:val="none" w:color="000000"/>
          <w:rtl w:val="0"/>
          <w:lang w:val="zh-TW" w:eastAsia="zh-TW"/>
        </w:rPr>
        <w:t>市体育馆已建成</w:t>
      </w:r>
      <w:r>
        <w:rPr>
          <w:rFonts w:ascii="仿宋_GB2312" w:hAnsi="仿宋_GB2312" w:eastAsia="仿宋_GB2312" w:cs="仿宋_GB2312"/>
          <w:outline w:val="0"/>
          <w:color w:val="000000"/>
          <w:u w:val="none" w:color="000000"/>
          <w:rtl w:val="0"/>
          <w:lang w:val="en-US"/>
        </w:rPr>
        <w:t>27</w:t>
      </w:r>
      <w:r>
        <w:rPr>
          <w:rFonts w:ascii="仿宋_GB2312" w:hAnsi="仿宋_GB2312" w:eastAsia="仿宋_GB2312" w:cs="仿宋_GB2312"/>
          <w:outline w:val="0"/>
          <w:color w:val="000000"/>
          <w:u w:val="none" w:color="000000"/>
          <w:rtl w:val="0"/>
          <w:lang w:val="zh-TW" w:eastAsia="zh-TW"/>
        </w:rPr>
        <w:t>年，设施、设备陈旧老化，不能满足群众健身需求，</w:t>
      </w:r>
      <w:r>
        <w:rPr>
          <w:rFonts w:ascii="仿宋_GB2312" w:hAnsi="仿宋_GB2312" w:eastAsia="仿宋_GB2312" w:cs="仿宋_GB2312"/>
          <w:outline w:val="0"/>
          <w:color w:val="000000"/>
          <w:u w:val="none" w:color="000000"/>
          <w:rtl w:val="0"/>
          <w:lang w:val="en-US"/>
        </w:rPr>
        <w:t>2021</w:t>
      </w:r>
      <w:r>
        <w:rPr>
          <w:rFonts w:ascii="仿宋_GB2312" w:hAnsi="仿宋_GB2312" w:eastAsia="仿宋_GB2312" w:cs="仿宋_GB2312"/>
          <w:outline w:val="0"/>
          <w:color w:val="000000"/>
          <w:u w:val="none" w:color="000000"/>
          <w:rtl w:val="0"/>
          <w:lang w:val="zh-TW" w:eastAsia="zh-TW"/>
        </w:rPr>
        <w:t>年将积极争取政策，筹措资金，对其全面升级改造。</w:t>
      </w:r>
    </w:p>
    <w:p>
      <w:pPr>
        <w:pStyle w:val="9"/>
        <w:framePr w:wrap="auto" w:vAnchor="margin" w:hAnchor="text" w:yAlign="inline"/>
        <w:spacing w:before="130" w:line="600" w:lineRule="exact"/>
        <w:ind w:firstLine="643"/>
        <w:rPr>
          <w:rFonts w:ascii="黑体" w:hAnsi="黑体" w:eastAsia="黑体" w:cs="黑体"/>
          <w:b/>
          <w:bCs/>
          <w:sz w:val="32"/>
          <w:szCs w:val="32"/>
          <w:u w:val="none"/>
          <w:lang w:val="zh-TW" w:eastAsia="zh-TW"/>
        </w:rPr>
      </w:pPr>
      <w:r>
        <w:rPr>
          <w:rFonts w:ascii="黑体" w:hAnsi="黑体" w:eastAsia="黑体" w:cs="黑体"/>
          <w:b/>
          <w:bCs/>
          <w:sz w:val="32"/>
          <w:szCs w:val="32"/>
          <w:u w:val="none"/>
          <w:rtl w:val="0"/>
          <w:lang w:val="zh-TW" w:eastAsia="zh-TW"/>
        </w:rPr>
        <w:t>二、单位构成情况</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攀枝花市体育场馆中心是市教育体育局下属独立核算差额拨款事业单位，单位事业编制</w:t>
      </w:r>
      <w:r>
        <w:rPr>
          <w:rFonts w:ascii="仿宋_GB2312" w:hAnsi="仿宋_GB2312" w:eastAsia="仿宋_GB2312" w:cs="仿宋_GB2312"/>
          <w:u w:val="none"/>
          <w:rtl w:val="0"/>
          <w:lang w:val="en-US"/>
        </w:rPr>
        <w:t>35</w:t>
      </w:r>
      <w:r>
        <w:rPr>
          <w:rFonts w:ascii="仿宋_GB2312" w:hAnsi="仿宋_GB2312" w:eastAsia="仿宋_GB2312" w:cs="仿宋_GB2312"/>
          <w:u w:val="none"/>
          <w:rtl w:val="0"/>
          <w:lang w:val="zh-TW" w:eastAsia="zh-TW"/>
        </w:rPr>
        <w:t>人，实有人数</w:t>
      </w:r>
      <w:r>
        <w:rPr>
          <w:rFonts w:ascii="仿宋_GB2312" w:hAnsi="仿宋_GB2312" w:eastAsia="仿宋_GB2312" w:cs="仿宋_GB2312"/>
          <w:u w:val="none"/>
          <w:rtl w:val="0"/>
          <w:lang w:val="en-US"/>
        </w:rPr>
        <w:t>32</w:t>
      </w:r>
      <w:r>
        <w:rPr>
          <w:rFonts w:ascii="仿宋_GB2312" w:hAnsi="仿宋_GB2312" w:eastAsia="仿宋_GB2312" w:cs="仿宋_GB2312"/>
          <w:u w:val="none"/>
          <w:rtl w:val="0"/>
          <w:lang w:val="zh-TW" w:eastAsia="zh-TW"/>
        </w:rPr>
        <w:t>人，内设机构</w:t>
      </w:r>
      <w:r>
        <w:rPr>
          <w:rFonts w:ascii="仿宋_GB2312" w:hAnsi="仿宋_GB2312" w:eastAsia="仿宋_GB2312" w:cs="仿宋_GB2312"/>
          <w:u w:val="none"/>
          <w:rtl w:val="0"/>
          <w:lang w:val="en-US"/>
        </w:rPr>
        <w:t>4</w:t>
      </w:r>
      <w:r>
        <w:rPr>
          <w:rFonts w:ascii="仿宋_GB2312" w:hAnsi="仿宋_GB2312" w:eastAsia="仿宋_GB2312" w:cs="仿宋_GB2312"/>
          <w:u w:val="none"/>
          <w:rtl w:val="0"/>
          <w:lang w:val="zh-TW" w:eastAsia="zh-TW"/>
        </w:rPr>
        <w:t>个</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办公室、体育事业股、场地股、产业开发股</w:t>
      </w:r>
      <w:r>
        <w:rPr>
          <w:rFonts w:ascii="仿宋_GB2312" w:hAnsi="仿宋_GB2312" w:eastAsia="仿宋_GB2312" w:cs="仿宋_GB2312"/>
          <w:u w:val="none"/>
          <w:rtl w:val="0"/>
          <w:lang w:val="en-US"/>
        </w:rPr>
        <w:t xml:space="preserve">) </w:t>
      </w:r>
      <w:r>
        <w:rPr>
          <w:rFonts w:ascii="仿宋_GB2312" w:hAnsi="仿宋_GB2312" w:eastAsia="仿宋_GB2312" w:cs="仿宋_GB2312"/>
          <w:u w:val="none"/>
          <w:rtl w:val="0"/>
          <w:lang w:val="zh-TW" w:eastAsia="zh-TW"/>
        </w:rPr>
        <w:t>。</w:t>
      </w:r>
    </w:p>
    <w:p>
      <w:pPr>
        <w:pStyle w:val="7"/>
        <w:framePr w:wrap="auto" w:vAnchor="margin" w:hAnchor="text" w:yAlign="inline"/>
        <w:numPr>
          <w:ilvl w:val="0"/>
          <w:numId w:val="1"/>
        </w:numPr>
        <w:bidi w:val="0"/>
        <w:spacing w:line="600" w:lineRule="exact"/>
        <w:ind w:right="0"/>
        <w:jc w:val="both"/>
        <w:rPr>
          <w:rFonts w:ascii="黑体" w:hAnsi="黑体" w:eastAsia="黑体" w:cs="黑体"/>
          <w:b/>
          <w:bCs/>
          <w:rtl w:val="0"/>
          <w:lang w:val="zh-TW" w:eastAsia="zh-TW"/>
        </w:rPr>
      </w:pPr>
      <w:r>
        <w:rPr>
          <w:rFonts w:ascii="黑体" w:hAnsi="黑体" w:eastAsia="黑体" w:cs="黑体"/>
          <w:b/>
          <w:bCs/>
          <w:kern w:val="2"/>
          <w:u w:val="none"/>
          <w:rtl w:val="0"/>
          <w:lang w:val="zh-TW" w:eastAsia="zh-TW"/>
        </w:rPr>
        <w:t>收支预算情况说明</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按照综合预算的原则，攀枝花市体育场馆中心所有收入和支出均纳入部门预算管理。收入包括：一般公共预算拨款收入</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政府性基金预算拨款收入。</w:t>
      </w:r>
    </w:p>
    <w:p>
      <w:pPr>
        <w:pStyle w:val="7"/>
        <w:framePr w:wrap="auto" w:vAnchor="margin" w:hAnchor="text" w:yAlign="inline"/>
        <w:spacing w:line="600" w:lineRule="exact"/>
        <w:ind w:firstLine="640"/>
        <w:rPr>
          <w:rFonts w:ascii="仿宋_GB2312" w:hAnsi="仿宋_GB2312" w:eastAsia="仿宋_GB2312" w:cs="仿宋_GB2312"/>
          <w:outline w:val="0"/>
          <w:color w:val="FFC000"/>
          <w:u w:val="none" w:color="FFC000"/>
        </w:rPr>
      </w:pPr>
      <w:r>
        <w:rPr>
          <w:rFonts w:ascii="仿宋_GB2312" w:hAnsi="仿宋_GB2312" w:eastAsia="仿宋_GB2312" w:cs="仿宋_GB2312"/>
          <w:u w:val="none"/>
          <w:rtl w:val="0"/>
          <w:lang w:val="zh-TW" w:eastAsia="zh-TW"/>
        </w:rPr>
        <w:t>支出包括：文化体育与传媒支出、社会保障和就业支出、住房保障支出。攀枝花市体育场馆中心</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年收支总预算</w:t>
      </w:r>
      <w:r>
        <w:rPr>
          <w:rFonts w:ascii="仿宋_GB2312" w:hAnsi="仿宋_GB2312" w:eastAsia="仿宋_GB2312" w:cs="仿宋_GB2312"/>
          <w:u w:val="none"/>
          <w:rtl w:val="0"/>
          <w:lang w:val="en-US"/>
        </w:rPr>
        <w:t>614.29</w:t>
      </w:r>
      <w:r>
        <w:rPr>
          <w:rFonts w:ascii="仿宋_GB2312" w:hAnsi="仿宋_GB2312" w:eastAsia="仿宋_GB2312" w:cs="仿宋_GB2312"/>
          <w:u w:val="none"/>
          <w:rtl w:val="0"/>
          <w:lang w:val="zh-TW" w:eastAsia="zh-TW"/>
        </w:rPr>
        <w:t>万元</w:t>
      </w:r>
      <w:r>
        <w:rPr>
          <w:rFonts w:hint="eastAsia" w:ascii="仿宋_GB2312" w:hAnsi="仿宋_GB2312" w:eastAsia="仿宋_GB2312" w:cs="仿宋_GB2312"/>
          <w:u w:val="none"/>
          <w:rtl w:val="0"/>
          <w:lang w:val="zh-TW" w:eastAsia="zh-CN"/>
        </w:rPr>
        <w:t>，</w:t>
      </w:r>
      <w:r>
        <w:rPr>
          <w:rFonts w:ascii="仿宋_GB2312" w:hAnsi="仿宋_GB2312" w:eastAsia="仿宋_GB2312" w:cs="仿宋_GB2312"/>
          <w:u w:val="none"/>
          <w:rtl w:val="0"/>
          <w:lang w:val="zh-TW" w:eastAsia="zh-TW"/>
        </w:rPr>
        <w:t>比</w:t>
      </w:r>
      <w:r>
        <w:rPr>
          <w:rFonts w:ascii="仿宋_GB2312" w:hAnsi="仿宋_GB2312" w:eastAsia="仿宋_GB2312" w:cs="仿宋_GB2312"/>
          <w:u w:val="none"/>
          <w:rtl w:val="0"/>
          <w:lang w:val="en-US"/>
        </w:rPr>
        <w:t>2020</w:t>
      </w:r>
      <w:r>
        <w:rPr>
          <w:rFonts w:ascii="仿宋_GB2312" w:hAnsi="仿宋_GB2312" w:eastAsia="仿宋_GB2312" w:cs="仿宋_GB2312"/>
          <w:u w:val="none"/>
          <w:rtl w:val="0"/>
          <w:lang w:val="zh-TW" w:eastAsia="zh-TW"/>
        </w:rPr>
        <w:t>年预算数增加</w:t>
      </w:r>
      <w:r>
        <w:rPr>
          <w:rFonts w:ascii="Times New Roman" w:hAnsi="Times New Roman"/>
          <w:u w:val="none"/>
          <w:rtl w:val="0"/>
          <w:lang w:val="en-US"/>
        </w:rPr>
        <w:t>58.50</w:t>
      </w:r>
      <w:r>
        <w:rPr>
          <w:rFonts w:ascii="仿宋_GB2312" w:hAnsi="仿宋_GB2312" w:eastAsia="仿宋_GB2312" w:cs="仿宋_GB2312"/>
          <w:u w:val="none"/>
          <w:rtl w:val="0"/>
          <w:lang w:val="zh-TW" w:eastAsia="zh-TW"/>
        </w:rPr>
        <w:t>万元，主要是：新增了大型体育场馆免费低收费市级配套项目资金和职工增资及绩效工资。</w:t>
      </w:r>
    </w:p>
    <w:p>
      <w:pPr>
        <w:pStyle w:val="7"/>
        <w:framePr w:wrap="auto" w:vAnchor="margin" w:hAnchor="text" w:yAlign="inline"/>
        <w:spacing w:line="600" w:lineRule="exact"/>
        <w:ind w:firstLine="643"/>
        <w:rPr>
          <w:rFonts w:ascii="楷体_GB2312" w:hAnsi="楷体_GB2312" w:eastAsia="楷体_GB2312" w:cs="楷体_GB2312"/>
          <w:b/>
          <w:bCs/>
          <w:u w:val="none"/>
          <w:lang w:val="zh-TW" w:eastAsia="zh-TW"/>
        </w:rPr>
      </w:pPr>
      <w:r>
        <w:rPr>
          <w:rFonts w:ascii="楷体_GB2312" w:hAnsi="楷体_GB2312" w:eastAsia="楷体_GB2312" w:cs="楷体_GB2312"/>
          <w:b/>
          <w:bCs/>
          <w:u w:val="none"/>
          <w:rtl w:val="0"/>
          <w:lang w:val="zh-TW" w:eastAsia="zh-TW"/>
        </w:rPr>
        <w:t>（一）</w:t>
      </w:r>
      <w:r>
        <w:rPr>
          <w:rFonts w:ascii="楷体_GB2312" w:hAnsi="楷体_GB2312" w:eastAsia="楷体_GB2312" w:cs="楷体_GB2312"/>
          <w:b/>
          <w:bCs/>
          <w:kern w:val="2"/>
          <w:u w:val="none"/>
          <w:rtl w:val="0"/>
          <w:lang w:val="zh-TW" w:eastAsia="zh-TW"/>
        </w:rPr>
        <w:t>收入预算情况</w:t>
      </w:r>
    </w:p>
    <w:p>
      <w:pPr>
        <w:pStyle w:val="7"/>
        <w:framePr w:wrap="auto" w:vAnchor="margin" w:hAnchor="text" w:yAlign="inline"/>
        <w:spacing w:line="600" w:lineRule="exact"/>
        <w:ind w:firstLine="640"/>
        <w:rPr>
          <w:rFonts w:ascii="仿宋_GB2312" w:hAnsi="仿宋_GB2312" w:eastAsia="仿宋_GB2312" w:cs="仿宋_GB2312"/>
          <w:outline w:val="0"/>
          <w:color w:val="FFC000"/>
          <w:u w:val="none" w:color="FFC000"/>
        </w:rPr>
      </w:pPr>
      <w:r>
        <w:rPr>
          <w:rFonts w:ascii="仿宋_GB2312" w:hAnsi="仿宋_GB2312" w:eastAsia="仿宋_GB2312" w:cs="仿宋_GB2312"/>
          <w:u w:val="none"/>
          <w:rtl w:val="0"/>
          <w:lang w:val="zh-TW" w:eastAsia="zh-TW"/>
        </w:rPr>
        <w:t>攀枝花市体育场馆中心</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年收入预算</w:t>
      </w:r>
      <w:r>
        <w:rPr>
          <w:rFonts w:ascii="Times New Roman" w:hAnsi="Times New Roman"/>
          <w:u w:val="none"/>
          <w:rtl w:val="0"/>
          <w:lang w:val="en-US"/>
        </w:rPr>
        <w:t>614.29</w:t>
      </w:r>
      <w:r>
        <w:rPr>
          <w:rFonts w:ascii="仿宋_GB2312" w:hAnsi="仿宋_GB2312" w:eastAsia="仿宋_GB2312" w:cs="仿宋_GB2312"/>
          <w:u w:val="none"/>
          <w:rtl w:val="0"/>
          <w:lang w:val="zh-TW" w:eastAsia="zh-TW"/>
        </w:rPr>
        <w:t>万元，其中：上年结转</w:t>
      </w:r>
      <w:r>
        <w:rPr>
          <w:rFonts w:ascii="Times New Roman" w:hAnsi="Times New Roman"/>
          <w:u w:val="none"/>
          <w:rtl w:val="0"/>
          <w:lang w:val="en-US"/>
        </w:rPr>
        <w:t>0</w:t>
      </w:r>
      <w:r>
        <w:rPr>
          <w:rFonts w:ascii="仿宋_GB2312" w:hAnsi="仿宋_GB2312" w:eastAsia="仿宋_GB2312" w:cs="仿宋_GB2312"/>
          <w:u w:val="none"/>
          <w:rtl w:val="0"/>
          <w:lang w:val="zh-TW" w:eastAsia="zh-TW"/>
        </w:rPr>
        <w:t>万元，占</w:t>
      </w:r>
      <w:r>
        <w:rPr>
          <w:rFonts w:ascii="Times New Roman" w:hAnsi="Times New Roman"/>
          <w:u w:val="none"/>
          <w:rtl w:val="0"/>
          <w:lang w:val="en-US"/>
        </w:rPr>
        <w:t>0</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；一般公共预算拨款收入</w:t>
      </w:r>
      <w:r>
        <w:rPr>
          <w:rFonts w:ascii="Times New Roman" w:hAnsi="Times New Roman"/>
          <w:u w:val="none"/>
          <w:rtl w:val="0"/>
          <w:lang w:val="en-US"/>
        </w:rPr>
        <w:t>614.29</w:t>
      </w:r>
      <w:r>
        <w:rPr>
          <w:rFonts w:ascii="仿宋_GB2312" w:hAnsi="仿宋_GB2312" w:eastAsia="仿宋_GB2312" w:cs="仿宋_GB2312"/>
          <w:u w:val="none"/>
          <w:rtl w:val="0"/>
          <w:lang w:val="zh-TW" w:eastAsia="zh-TW"/>
        </w:rPr>
        <w:t>万元，占</w:t>
      </w:r>
      <w:r>
        <w:rPr>
          <w:rFonts w:ascii="Times New Roman" w:hAnsi="Times New Roman"/>
          <w:u w:val="none"/>
          <w:rtl w:val="0"/>
          <w:lang w:val="en-US"/>
        </w:rPr>
        <w:t>100</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；政府性基金预算拨款收入</w:t>
      </w:r>
      <w:r>
        <w:rPr>
          <w:rFonts w:ascii="Times New Roman" w:hAnsi="Times New Roman"/>
          <w:u w:val="none"/>
          <w:rtl w:val="0"/>
          <w:lang w:val="en-US"/>
        </w:rPr>
        <w:t>0</w:t>
      </w:r>
      <w:r>
        <w:rPr>
          <w:rFonts w:ascii="仿宋_GB2312" w:hAnsi="仿宋_GB2312" w:eastAsia="仿宋_GB2312" w:cs="仿宋_GB2312"/>
          <w:u w:val="none"/>
          <w:rtl w:val="0"/>
          <w:lang w:val="zh-TW" w:eastAsia="zh-TW"/>
        </w:rPr>
        <w:t>万元，占</w:t>
      </w:r>
      <w:r>
        <w:rPr>
          <w:rFonts w:ascii="Times New Roman" w:hAnsi="Times New Roman"/>
          <w:u w:val="none"/>
          <w:rtl w:val="0"/>
          <w:lang w:val="en-US"/>
        </w:rPr>
        <w:t>0</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；事业收入</w:t>
      </w:r>
      <w:r>
        <w:rPr>
          <w:rFonts w:ascii="Times New Roman" w:hAnsi="Times New Roman"/>
          <w:u w:val="none"/>
          <w:rtl w:val="0"/>
          <w:lang w:val="en-US"/>
        </w:rPr>
        <w:t>0</w:t>
      </w:r>
      <w:r>
        <w:rPr>
          <w:rFonts w:ascii="仿宋_GB2312" w:hAnsi="仿宋_GB2312" w:eastAsia="仿宋_GB2312" w:cs="仿宋_GB2312"/>
          <w:u w:val="none"/>
          <w:rtl w:val="0"/>
          <w:lang w:val="zh-TW" w:eastAsia="zh-TW"/>
        </w:rPr>
        <w:t>万元，占</w:t>
      </w:r>
      <w:r>
        <w:rPr>
          <w:rFonts w:ascii="Times New Roman" w:hAnsi="Times New Roman"/>
          <w:u w:val="none"/>
          <w:rtl w:val="0"/>
          <w:lang w:val="en-US"/>
        </w:rPr>
        <w:t>0</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w:t>
      </w:r>
    </w:p>
    <w:p>
      <w:pPr>
        <w:pStyle w:val="7"/>
        <w:framePr w:wrap="auto" w:vAnchor="margin" w:hAnchor="text" w:yAlign="inline"/>
        <w:spacing w:line="600" w:lineRule="exact"/>
        <w:ind w:firstLine="643"/>
        <w:rPr>
          <w:rFonts w:ascii="楷体_GB2312" w:hAnsi="楷体_GB2312" w:eastAsia="楷体_GB2312" w:cs="楷体_GB2312"/>
          <w:b/>
          <w:bCs/>
          <w:u w:val="none"/>
          <w:lang w:val="zh-TW" w:eastAsia="zh-TW"/>
        </w:rPr>
      </w:pPr>
      <w:r>
        <w:rPr>
          <w:rFonts w:ascii="楷体_GB2312" w:hAnsi="楷体_GB2312" w:eastAsia="楷体_GB2312" w:cs="楷体_GB2312"/>
          <w:b/>
          <w:bCs/>
          <w:kern w:val="2"/>
          <w:u w:val="none"/>
          <w:rtl w:val="0"/>
          <w:lang w:val="zh-TW" w:eastAsia="zh-TW"/>
        </w:rPr>
        <w:t>（二）支出预算情况</w:t>
      </w:r>
    </w:p>
    <w:p>
      <w:pPr>
        <w:pStyle w:val="7"/>
        <w:framePr w:wrap="auto" w:vAnchor="margin" w:hAnchor="text" w:yAlign="inline"/>
        <w:spacing w:line="600" w:lineRule="exact"/>
        <w:ind w:firstLine="640"/>
        <w:rPr>
          <w:rFonts w:ascii="仿宋_GB2312" w:hAnsi="仿宋_GB2312" w:eastAsia="仿宋_GB2312" w:cs="仿宋_GB2312"/>
          <w:outline w:val="0"/>
          <w:color w:val="FFC000"/>
          <w:u w:val="none" w:color="FFC000"/>
        </w:rPr>
      </w:pPr>
      <w:r>
        <w:rPr>
          <w:rFonts w:ascii="仿宋_GB2312" w:hAnsi="仿宋_GB2312" w:eastAsia="仿宋_GB2312" w:cs="仿宋_GB2312"/>
          <w:u w:val="none"/>
          <w:rtl w:val="0"/>
          <w:lang w:val="zh-TW" w:eastAsia="zh-TW"/>
        </w:rPr>
        <w:t>攀枝花市体育场馆中心</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年支出预算</w:t>
      </w:r>
      <w:r>
        <w:rPr>
          <w:rFonts w:ascii="Times New Roman" w:hAnsi="Times New Roman"/>
          <w:u w:val="none"/>
          <w:rtl w:val="0"/>
          <w:lang w:val="en-US"/>
        </w:rPr>
        <w:t>614.29</w:t>
      </w:r>
      <w:r>
        <w:rPr>
          <w:rFonts w:ascii="仿宋_GB2312" w:hAnsi="仿宋_GB2312" w:eastAsia="仿宋_GB2312" w:cs="仿宋_GB2312"/>
          <w:u w:val="none"/>
          <w:rtl w:val="0"/>
          <w:lang w:val="zh-TW" w:eastAsia="zh-TW"/>
        </w:rPr>
        <w:t>万元，其中：基本支出</w:t>
      </w:r>
      <w:r>
        <w:rPr>
          <w:rFonts w:ascii="Times New Roman" w:hAnsi="Times New Roman"/>
          <w:u w:val="none"/>
          <w:rtl w:val="0"/>
          <w:lang w:val="en-US"/>
        </w:rPr>
        <w:t>531.79</w:t>
      </w:r>
      <w:r>
        <w:rPr>
          <w:rFonts w:ascii="仿宋_GB2312" w:hAnsi="仿宋_GB2312" w:eastAsia="仿宋_GB2312" w:cs="仿宋_GB2312"/>
          <w:u w:val="none"/>
          <w:rtl w:val="0"/>
          <w:lang w:val="zh-TW" w:eastAsia="zh-TW"/>
        </w:rPr>
        <w:t>万元，占</w:t>
      </w:r>
      <w:r>
        <w:rPr>
          <w:rFonts w:ascii="Times New Roman" w:hAnsi="Times New Roman"/>
          <w:u w:val="none"/>
          <w:rtl w:val="0"/>
          <w:lang w:val="en-US"/>
        </w:rPr>
        <w:t>86.57</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；项目支出</w:t>
      </w:r>
      <w:r>
        <w:rPr>
          <w:rFonts w:ascii="Times New Roman" w:hAnsi="Times New Roman"/>
          <w:u w:val="none"/>
          <w:rtl w:val="0"/>
          <w:lang w:val="en-US"/>
        </w:rPr>
        <w:t>82.50</w:t>
      </w:r>
      <w:r>
        <w:rPr>
          <w:rFonts w:ascii="仿宋_GB2312" w:hAnsi="仿宋_GB2312" w:eastAsia="仿宋_GB2312" w:cs="仿宋_GB2312"/>
          <w:u w:val="none"/>
          <w:rtl w:val="0"/>
          <w:lang w:val="zh-TW" w:eastAsia="zh-TW"/>
        </w:rPr>
        <w:t>万元，占</w:t>
      </w:r>
      <w:r>
        <w:rPr>
          <w:rFonts w:ascii="Times New Roman" w:hAnsi="Times New Roman"/>
          <w:u w:val="none"/>
          <w:rtl w:val="0"/>
          <w:lang w:val="en-US"/>
        </w:rPr>
        <w:t>13.43</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w:t>
      </w:r>
    </w:p>
    <w:p>
      <w:pPr>
        <w:pStyle w:val="7"/>
        <w:framePr w:wrap="auto" w:vAnchor="margin" w:hAnchor="text" w:yAlign="inline"/>
        <w:spacing w:line="600" w:lineRule="exact"/>
        <w:ind w:firstLine="643"/>
        <w:rPr>
          <w:rFonts w:ascii="黑体" w:hAnsi="黑体" w:eastAsia="黑体" w:cs="黑体"/>
          <w:b/>
          <w:bCs/>
          <w:u w:val="none"/>
          <w:lang w:val="zh-TW" w:eastAsia="zh-TW"/>
        </w:rPr>
      </w:pPr>
      <w:r>
        <w:rPr>
          <w:rFonts w:ascii="黑体" w:hAnsi="黑体" w:eastAsia="黑体" w:cs="黑体"/>
          <w:b/>
          <w:bCs/>
          <w:kern w:val="2"/>
          <w:u w:val="none"/>
          <w:rtl w:val="0"/>
          <w:lang w:val="zh-TW" w:eastAsia="zh-TW"/>
        </w:rPr>
        <w:t>四、财政拨款收支预算情况说明</w:t>
      </w:r>
    </w:p>
    <w:p>
      <w:pPr>
        <w:pStyle w:val="7"/>
        <w:framePr w:wrap="auto" w:vAnchor="margin" w:hAnchor="text" w:yAlign="inline"/>
        <w:spacing w:line="600" w:lineRule="exact"/>
        <w:ind w:firstLine="640"/>
        <w:rPr>
          <w:rFonts w:ascii="黑体" w:hAnsi="黑体" w:eastAsia="黑体" w:cs="黑体"/>
          <w:u w:val="none"/>
        </w:rPr>
      </w:pPr>
      <w:r>
        <w:rPr>
          <w:rFonts w:ascii="仿宋_GB2312" w:hAnsi="仿宋_GB2312" w:eastAsia="仿宋_GB2312" w:cs="仿宋_GB2312"/>
          <w:u w:val="none"/>
          <w:rtl w:val="0"/>
          <w:lang w:val="zh-TW" w:eastAsia="zh-TW"/>
        </w:rPr>
        <w:t>攀枝花市体育场馆中心</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年财政拨款收支总预算</w:t>
      </w:r>
      <w:r>
        <w:rPr>
          <w:rFonts w:ascii="Times New Roman" w:hAnsi="Times New Roman"/>
          <w:u w:val="none"/>
          <w:rtl w:val="0"/>
          <w:lang w:val="en-US"/>
        </w:rPr>
        <w:t>614.29</w:t>
      </w:r>
      <w:r>
        <w:rPr>
          <w:rFonts w:ascii="仿宋_GB2312" w:hAnsi="仿宋_GB2312" w:eastAsia="仿宋_GB2312" w:cs="仿宋_GB2312"/>
          <w:u w:val="none"/>
          <w:rtl w:val="0"/>
          <w:lang w:val="zh-TW" w:eastAsia="zh-TW"/>
        </w:rPr>
        <w:t>万元。收入包括：本年一般公共预算拨款收入</w:t>
      </w:r>
      <w:r>
        <w:rPr>
          <w:rFonts w:ascii="Times New Roman" w:hAnsi="Times New Roman"/>
          <w:u w:val="none"/>
          <w:rtl w:val="0"/>
          <w:lang w:val="en-US"/>
        </w:rPr>
        <w:t>614.29</w:t>
      </w:r>
      <w:r>
        <w:rPr>
          <w:rFonts w:ascii="仿宋_GB2312" w:hAnsi="仿宋_GB2312" w:eastAsia="仿宋_GB2312" w:cs="仿宋_GB2312"/>
          <w:u w:val="none"/>
          <w:rtl w:val="0"/>
          <w:lang w:val="zh-TW" w:eastAsia="zh-TW"/>
        </w:rPr>
        <w:t>万元、本年政府性基金预算拨款收入</w:t>
      </w:r>
      <w:r>
        <w:rPr>
          <w:rFonts w:ascii="Times New Roman" w:hAnsi="Times New Roman"/>
          <w:u w:val="none"/>
          <w:rtl w:val="0"/>
          <w:lang w:val="en-US"/>
        </w:rPr>
        <w:t>0</w:t>
      </w:r>
      <w:r>
        <w:rPr>
          <w:rFonts w:ascii="仿宋_GB2312" w:hAnsi="仿宋_GB2312" w:eastAsia="仿宋_GB2312" w:cs="仿宋_GB2312"/>
          <w:u w:val="none"/>
          <w:rtl w:val="0"/>
          <w:lang w:val="zh-TW" w:eastAsia="zh-TW"/>
        </w:rPr>
        <w:t>万元。支出包括：文化体育与传媒支出</w:t>
      </w:r>
      <w:r>
        <w:rPr>
          <w:rFonts w:ascii="仿宋_GB2312" w:hAnsi="仿宋_GB2312" w:eastAsia="仿宋_GB2312" w:cs="仿宋_GB2312"/>
          <w:u w:val="none"/>
          <w:rtl w:val="0"/>
          <w:lang w:val="en-US"/>
        </w:rPr>
        <w:t>533.85</w:t>
      </w:r>
      <w:r>
        <w:rPr>
          <w:rFonts w:ascii="仿宋_GB2312" w:hAnsi="仿宋_GB2312" w:eastAsia="仿宋_GB2312" w:cs="仿宋_GB2312"/>
          <w:u w:val="none"/>
          <w:rtl w:val="0"/>
          <w:lang w:val="zh-TW" w:eastAsia="zh-TW"/>
        </w:rPr>
        <w:t>万元，占拨款的</w:t>
      </w:r>
      <w:r>
        <w:rPr>
          <w:rFonts w:ascii="Times New Roman" w:hAnsi="Times New Roman"/>
          <w:u w:val="none"/>
          <w:rtl w:val="0"/>
          <w:lang w:val="en-US"/>
        </w:rPr>
        <w:t>86.91</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；社会保障和就业支出</w:t>
      </w:r>
      <w:r>
        <w:rPr>
          <w:rFonts w:ascii="仿宋_GB2312" w:hAnsi="仿宋_GB2312" w:eastAsia="仿宋_GB2312" w:cs="仿宋_GB2312"/>
          <w:u w:val="none"/>
          <w:rtl w:val="0"/>
          <w:lang w:val="en-US"/>
        </w:rPr>
        <w:t>40.84</w:t>
      </w:r>
      <w:r>
        <w:rPr>
          <w:rFonts w:ascii="仿宋_GB2312" w:hAnsi="仿宋_GB2312" w:eastAsia="仿宋_GB2312" w:cs="仿宋_GB2312"/>
          <w:u w:val="none"/>
          <w:rtl w:val="0"/>
          <w:lang w:val="zh-TW" w:eastAsia="zh-TW"/>
        </w:rPr>
        <w:t>万元，占拨款的</w:t>
      </w:r>
      <w:r>
        <w:rPr>
          <w:rFonts w:ascii="Times New Roman" w:hAnsi="Times New Roman"/>
          <w:u w:val="none"/>
          <w:rtl w:val="0"/>
          <w:lang w:val="en-US"/>
        </w:rPr>
        <w:t>6.65</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；住房保障支出</w:t>
      </w:r>
      <w:r>
        <w:rPr>
          <w:rFonts w:ascii="仿宋_GB2312" w:hAnsi="仿宋_GB2312" w:eastAsia="仿宋_GB2312" w:cs="仿宋_GB2312"/>
          <w:u w:val="none"/>
          <w:rtl w:val="0"/>
          <w:lang w:val="en-US"/>
        </w:rPr>
        <w:t>39.6</w:t>
      </w:r>
      <w:r>
        <w:rPr>
          <w:rFonts w:ascii="仿宋_GB2312" w:hAnsi="仿宋_GB2312" w:eastAsia="仿宋_GB2312" w:cs="仿宋_GB2312"/>
          <w:u w:val="none"/>
          <w:rtl w:val="0"/>
          <w:lang w:val="zh-TW" w:eastAsia="zh-TW"/>
        </w:rPr>
        <w:t>万元，占拨款的</w:t>
      </w:r>
      <w:r>
        <w:rPr>
          <w:rFonts w:ascii="Times New Roman" w:hAnsi="Times New Roman"/>
          <w:u w:val="none"/>
          <w:rtl w:val="0"/>
          <w:lang w:val="en-US"/>
        </w:rPr>
        <w:t>6.44</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w:t>
      </w:r>
    </w:p>
    <w:p>
      <w:pPr>
        <w:pStyle w:val="7"/>
        <w:framePr w:wrap="auto" w:vAnchor="margin" w:hAnchor="text" w:yAlign="inline"/>
        <w:spacing w:line="600" w:lineRule="exact"/>
        <w:ind w:firstLine="643"/>
        <w:rPr>
          <w:rFonts w:ascii="黑体" w:hAnsi="黑体" w:eastAsia="黑体" w:cs="黑体"/>
          <w:b/>
          <w:bCs/>
          <w:u w:val="none"/>
          <w:lang w:val="zh-TW" w:eastAsia="zh-TW"/>
        </w:rPr>
      </w:pPr>
      <w:r>
        <w:rPr>
          <w:rFonts w:ascii="黑体" w:hAnsi="黑体" w:eastAsia="黑体" w:cs="黑体"/>
          <w:b/>
          <w:bCs/>
          <w:kern w:val="2"/>
          <w:u w:val="none"/>
          <w:rtl w:val="0"/>
          <w:lang w:val="zh-TW" w:eastAsia="zh-TW"/>
        </w:rPr>
        <w:t>五、一般公共预算当年拨款情况说明</w:t>
      </w:r>
    </w:p>
    <w:p>
      <w:pPr>
        <w:pStyle w:val="7"/>
        <w:framePr w:wrap="auto" w:vAnchor="margin" w:hAnchor="text" w:yAlign="inline"/>
        <w:spacing w:line="600" w:lineRule="exact"/>
        <w:ind w:firstLine="643"/>
        <w:rPr>
          <w:b/>
          <w:bCs/>
          <w:kern w:val="2"/>
          <w:u w:val="none"/>
          <w:lang w:val="zh-TW" w:eastAsia="zh-TW"/>
        </w:rPr>
      </w:pPr>
      <w:r>
        <w:rPr>
          <w:rFonts w:ascii="楷体_GB2312" w:hAnsi="楷体_GB2312" w:eastAsia="楷体_GB2312" w:cs="楷体_GB2312"/>
          <w:b/>
          <w:bCs/>
          <w:kern w:val="2"/>
          <w:u w:val="none"/>
          <w:rtl w:val="0"/>
          <w:lang w:val="zh-TW" w:eastAsia="zh-TW"/>
        </w:rPr>
        <w:t>（一）一般公共预算当年拨款规模变化情况</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攀枝花市体育场馆中心</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年一般公共预算当年拨款</w:t>
      </w:r>
      <w:r>
        <w:rPr>
          <w:rFonts w:ascii="Times New Roman" w:hAnsi="Times New Roman"/>
          <w:u w:val="none"/>
          <w:rtl w:val="0"/>
          <w:lang w:val="en-US"/>
        </w:rPr>
        <w:t>614.29</w:t>
      </w:r>
      <w:r>
        <w:rPr>
          <w:rFonts w:ascii="仿宋_GB2312" w:hAnsi="仿宋_GB2312" w:eastAsia="仿宋_GB2312" w:cs="仿宋_GB2312"/>
          <w:u w:val="none"/>
          <w:rtl w:val="0"/>
          <w:lang w:val="zh-TW" w:eastAsia="zh-TW"/>
        </w:rPr>
        <w:t>万元，比</w:t>
      </w:r>
      <w:r>
        <w:rPr>
          <w:rFonts w:ascii="仿宋_GB2312" w:hAnsi="仿宋_GB2312" w:eastAsia="仿宋_GB2312" w:cs="仿宋_GB2312"/>
          <w:u w:val="none"/>
          <w:rtl w:val="0"/>
          <w:lang w:val="en-US"/>
        </w:rPr>
        <w:t>2020</w:t>
      </w:r>
      <w:r>
        <w:rPr>
          <w:rFonts w:ascii="仿宋_GB2312" w:hAnsi="仿宋_GB2312" w:eastAsia="仿宋_GB2312" w:cs="仿宋_GB2312"/>
          <w:u w:val="none"/>
          <w:rtl w:val="0"/>
          <w:lang w:val="zh-TW" w:eastAsia="zh-TW"/>
        </w:rPr>
        <w:t>年预算数增加</w:t>
      </w:r>
      <w:r>
        <w:rPr>
          <w:rFonts w:ascii="Times New Roman" w:hAnsi="Times New Roman"/>
          <w:u w:val="none"/>
          <w:rtl w:val="0"/>
          <w:lang w:val="en-US"/>
        </w:rPr>
        <w:t>58.50</w:t>
      </w:r>
      <w:r>
        <w:rPr>
          <w:rFonts w:ascii="仿宋_GB2312" w:hAnsi="仿宋_GB2312" w:eastAsia="仿宋_GB2312" w:cs="仿宋_GB2312"/>
          <w:u w:val="none"/>
          <w:rtl w:val="0"/>
          <w:lang w:val="zh-TW" w:eastAsia="zh-TW"/>
        </w:rPr>
        <w:t>万元，主要是：新增了大型体育场馆免费低收费市级配套项目资金和职工增资及绩效工资。</w:t>
      </w:r>
    </w:p>
    <w:p>
      <w:pPr>
        <w:pStyle w:val="7"/>
        <w:framePr w:wrap="auto" w:vAnchor="margin" w:hAnchor="text" w:yAlign="inline"/>
        <w:spacing w:line="600" w:lineRule="exact"/>
        <w:ind w:firstLine="643"/>
        <w:rPr>
          <w:rFonts w:ascii="楷体_GB2312" w:hAnsi="楷体_GB2312" w:eastAsia="楷体_GB2312" w:cs="楷体_GB2312"/>
          <w:b/>
          <w:bCs/>
          <w:u w:val="none"/>
          <w:lang w:val="zh-TW" w:eastAsia="zh-TW"/>
        </w:rPr>
      </w:pPr>
      <w:r>
        <w:rPr>
          <w:rFonts w:ascii="楷体_GB2312" w:hAnsi="楷体_GB2312" w:eastAsia="楷体_GB2312" w:cs="楷体_GB2312"/>
          <w:b/>
          <w:bCs/>
          <w:u w:val="none"/>
          <w:rtl w:val="0"/>
          <w:lang w:val="zh-TW" w:eastAsia="zh-TW"/>
        </w:rPr>
        <w:t>（</w:t>
      </w:r>
      <w:r>
        <w:rPr>
          <w:rFonts w:ascii="楷体_GB2312" w:hAnsi="楷体_GB2312" w:eastAsia="楷体_GB2312" w:cs="楷体_GB2312"/>
          <w:b/>
          <w:bCs/>
          <w:kern w:val="2"/>
          <w:u w:val="none"/>
          <w:rtl w:val="0"/>
          <w:lang w:val="zh-TW" w:eastAsia="zh-TW"/>
        </w:rPr>
        <w:t>二）一般公共预算当年拨款结构情况</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文化体育与传媒支出</w:t>
      </w:r>
      <w:r>
        <w:rPr>
          <w:rFonts w:ascii="仿宋_GB2312" w:hAnsi="仿宋_GB2312" w:eastAsia="仿宋_GB2312" w:cs="仿宋_GB2312"/>
          <w:u w:val="none"/>
          <w:rtl w:val="0"/>
          <w:lang w:val="en-US"/>
        </w:rPr>
        <w:t>533.85</w:t>
      </w:r>
      <w:r>
        <w:rPr>
          <w:rFonts w:ascii="仿宋_GB2312" w:hAnsi="仿宋_GB2312" w:eastAsia="仿宋_GB2312" w:cs="仿宋_GB2312"/>
          <w:u w:val="none"/>
          <w:rtl w:val="0"/>
          <w:lang w:val="zh-TW" w:eastAsia="zh-TW"/>
        </w:rPr>
        <w:t>万元，占拨款的</w:t>
      </w:r>
      <w:r>
        <w:rPr>
          <w:rFonts w:ascii="Times New Roman" w:hAnsi="Times New Roman"/>
          <w:u w:val="none"/>
          <w:rtl w:val="0"/>
          <w:lang w:val="en-US"/>
        </w:rPr>
        <w:t>86.91</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；社会保障和就业支出</w:t>
      </w:r>
      <w:r>
        <w:rPr>
          <w:rFonts w:ascii="仿宋_GB2312" w:hAnsi="仿宋_GB2312" w:eastAsia="仿宋_GB2312" w:cs="仿宋_GB2312"/>
          <w:u w:val="none"/>
          <w:rtl w:val="0"/>
          <w:lang w:val="en-US"/>
        </w:rPr>
        <w:t>40.84</w:t>
      </w:r>
      <w:r>
        <w:rPr>
          <w:rFonts w:ascii="仿宋_GB2312" w:hAnsi="仿宋_GB2312" w:eastAsia="仿宋_GB2312" w:cs="仿宋_GB2312"/>
          <w:u w:val="none"/>
          <w:rtl w:val="0"/>
          <w:lang w:val="zh-TW" w:eastAsia="zh-TW"/>
        </w:rPr>
        <w:t>万元，占拨款的</w:t>
      </w:r>
      <w:r>
        <w:rPr>
          <w:rFonts w:ascii="Times New Roman" w:hAnsi="Times New Roman"/>
          <w:u w:val="none"/>
          <w:rtl w:val="0"/>
          <w:lang w:val="en-US"/>
        </w:rPr>
        <w:t>6.65</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；住房保障支出</w:t>
      </w:r>
      <w:r>
        <w:rPr>
          <w:rFonts w:ascii="仿宋_GB2312" w:hAnsi="仿宋_GB2312" w:eastAsia="仿宋_GB2312" w:cs="仿宋_GB2312"/>
          <w:u w:val="none"/>
          <w:rtl w:val="0"/>
          <w:lang w:val="en-US"/>
        </w:rPr>
        <w:t>39.60</w:t>
      </w:r>
      <w:r>
        <w:rPr>
          <w:rFonts w:ascii="仿宋_GB2312" w:hAnsi="仿宋_GB2312" w:eastAsia="仿宋_GB2312" w:cs="仿宋_GB2312"/>
          <w:u w:val="none"/>
          <w:rtl w:val="0"/>
          <w:lang w:val="zh-TW" w:eastAsia="zh-TW"/>
        </w:rPr>
        <w:t>万元，占拨款的</w:t>
      </w:r>
      <w:r>
        <w:rPr>
          <w:rFonts w:ascii="Times New Roman" w:hAnsi="Times New Roman"/>
          <w:u w:val="none"/>
          <w:rtl w:val="0"/>
          <w:lang w:val="en-US"/>
        </w:rPr>
        <w:t>6.44</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w:t>
      </w:r>
    </w:p>
    <w:p>
      <w:pPr>
        <w:pStyle w:val="7"/>
        <w:framePr w:wrap="auto" w:vAnchor="margin" w:hAnchor="text" w:yAlign="inline"/>
        <w:spacing w:line="600" w:lineRule="exact"/>
        <w:ind w:firstLine="643"/>
        <w:rPr>
          <w:b/>
          <w:bCs/>
          <w:kern w:val="2"/>
          <w:u w:val="none"/>
          <w:lang w:val="zh-TW" w:eastAsia="zh-TW"/>
        </w:rPr>
      </w:pPr>
      <w:r>
        <w:rPr>
          <w:rFonts w:ascii="楷体_GB2312" w:hAnsi="楷体_GB2312" w:eastAsia="楷体_GB2312" w:cs="楷体_GB2312"/>
          <w:b/>
          <w:bCs/>
          <w:u w:val="none"/>
          <w:rtl w:val="0"/>
          <w:lang w:val="zh-TW" w:eastAsia="zh-TW"/>
        </w:rPr>
        <w:t>（</w:t>
      </w:r>
      <w:r>
        <w:rPr>
          <w:rFonts w:ascii="楷体_GB2312" w:hAnsi="楷体_GB2312" w:eastAsia="楷体_GB2312" w:cs="楷体_GB2312"/>
          <w:b/>
          <w:bCs/>
          <w:kern w:val="2"/>
          <w:u w:val="none"/>
          <w:rtl w:val="0"/>
          <w:lang w:val="zh-TW" w:eastAsia="zh-TW"/>
        </w:rPr>
        <w:t>三）一般公共预算当年拨款具体使用情况</w:t>
      </w:r>
    </w:p>
    <w:p>
      <w:pPr>
        <w:pStyle w:val="7"/>
        <w:framePr w:wrap="auto" w:vAnchor="margin" w:hAnchor="text" w:yAlign="inline"/>
        <w:spacing w:line="600" w:lineRule="exact"/>
        <w:ind w:firstLine="640"/>
        <w:rPr>
          <w:rFonts w:ascii="仿宋_GB2312" w:hAnsi="仿宋_GB2312" w:eastAsia="仿宋_GB2312" w:cs="仿宋_GB2312"/>
          <w:kern w:val="0"/>
          <w:u w:val="none"/>
        </w:rPr>
      </w:pPr>
      <w:r>
        <w:rPr>
          <w:rFonts w:ascii="仿宋_GB2312" w:hAnsi="仿宋_GB2312" w:eastAsia="仿宋_GB2312" w:cs="仿宋_GB2312"/>
          <w:u w:val="none"/>
          <w:rtl w:val="0"/>
          <w:lang w:val="en-US"/>
        </w:rPr>
        <w:t xml:space="preserve">1. </w:t>
      </w:r>
      <w:r>
        <w:rPr>
          <w:rFonts w:ascii="仿宋_GB2312" w:hAnsi="仿宋_GB2312" w:eastAsia="仿宋_GB2312" w:cs="仿宋_GB2312"/>
          <w:u w:val="none"/>
          <w:rtl w:val="0"/>
          <w:lang w:val="zh-TW" w:eastAsia="zh-TW"/>
        </w:rPr>
        <w:t>文化体育与传媒支出（类）体育（款）其他体育支出（项）</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年预算数为</w:t>
      </w:r>
      <w:r>
        <w:rPr>
          <w:rFonts w:ascii="仿宋_GB2312" w:hAnsi="仿宋_GB2312" w:eastAsia="仿宋_GB2312" w:cs="仿宋_GB2312"/>
          <w:u w:val="none"/>
          <w:rtl w:val="0"/>
          <w:lang w:val="en-US"/>
        </w:rPr>
        <w:t>533.85</w:t>
      </w:r>
      <w:r>
        <w:rPr>
          <w:rFonts w:ascii="仿宋_GB2312" w:hAnsi="仿宋_GB2312" w:eastAsia="仿宋_GB2312" w:cs="仿宋_GB2312"/>
          <w:u w:val="none"/>
          <w:rtl w:val="0"/>
          <w:lang w:val="zh-TW" w:eastAsia="zh-TW"/>
        </w:rPr>
        <w:t>万元，主要用于：</w:t>
      </w:r>
      <w:r>
        <w:rPr>
          <w:rFonts w:ascii="仿宋_GB2312" w:hAnsi="仿宋_GB2312" w:eastAsia="仿宋_GB2312" w:cs="仿宋_GB2312"/>
          <w:kern w:val="0"/>
          <w:u w:val="none"/>
          <w:rtl w:val="0"/>
          <w:lang w:val="zh-TW" w:eastAsia="zh-TW"/>
        </w:rPr>
        <w:t>用于保障攀枝花市体育场馆中心正常运转的日常支出和</w:t>
      </w:r>
      <w:r>
        <w:rPr>
          <w:rFonts w:ascii="仿宋_GB2312" w:hAnsi="仿宋_GB2312" w:eastAsia="仿宋_GB2312" w:cs="仿宋_GB2312"/>
          <w:outline w:val="0"/>
          <w:color w:val="000000"/>
          <w:u w:val="none" w:color="000000"/>
          <w:rtl w:val="0"/>
          <w:lang w:val="zh-TW" w:eastAsia="zh-TW"/>
        </w:rPr>
        <w:t>完成</w:t>
      </w:r>
      <w:r>
        <w:rPr>
          <w:rFonts w:ascii="仿宋_GB2312" w:hAnsi="仿宋_GB2312" w:eastAsia="仿宋_GB2312" w:cs="仿宋_GB2312"/>
          <w:u w:val="none"/>
          <w:rtl w:val="0"/>
          <w:lang w:val="zh-TW" w:eastAsia="zh-TW"/>
        </w:rPr>
        <w:t>青少年业余训练、培训</w:t>
      </w:r>
      <w:r>
        <w:rPr>
          <w:rFonts w:ascii="仿宋_GB2312" w:hAnsi="仿宋_GB2312" w:eastAsia="仿宋_GB2312" w:cs="仿宋_GB2312"/>
          <w:outline w:val="0"/>
          <w:color w:val="000000"/>
          <w:u w:val="none" w:color="000000"/>
          <w:rtl w:val="0"/>
          <w:lang w:val="zh-TW" w:eastAsia="zh-TW"/>
        </w:rPr>
        <w:t>任务及场馆对外开放目标专项业务工作的经费支出</w:t>
      </w:r>
      <w:r>
        <w:rPr>
          <w:rFonts w:ascii="仿宋_GB2312" w:hAnsi="仿宋_GB2312" w:eastAsia="仿宋_GB2312" w:cs="仿宋_GB2312"/>
          <w:kern w:val="0"/>
          <w:u w:val="none"/>
          <w:rtl w:val="0"/>
          <w:lang w:val="zh-TW" w:eastAsia="zh-TW"/>
        </w:rPr>
        <w:t>，包括基本工资、津贴补贴、绩效工资、社会保障缴费、职工基本医疗保险、公务员医疗补助缴费、离退休费、日常公用经费支出和体育场馆免费低收费对外开放维护维修费、水电等运行费支出。</w:t>
      </w:r>
    </w:p>
    <w:p>
      <w:pPr>
        <w:pStyle w:val="7"/>
        <w:framePr w:wrap="auto" w:vAnchor="margin" w:hAnchor="text" w:yAlign="inline"/>
        <w:spacing w:line="600" w:lineRule="exact"/>
        <w:ind w:firstLine="640"/>
        <w:rPr>
          <w:rFonts w:ascii="仿宋_GB2312" w:hAnsi="仿宋_GB2312" w:eastAsia="仿宋_GB2312" w:cs="仿宋_GB2312"/>
          <w:kern w:val="0"/>
          <w:u w:val="none"/>
        </w:rPr>
      </w:pPr>
      <w:r>
        <w:rPr>
          <w:rFonts w:ascii="仿宋_GB2312" w:hAnsi="仿宋_GB2312" w:eastAsia="仿宋_GB2312" w:cs="仿宋_GB2312"/>
          <w:u w:val="none"/>
          <w:rtl w:val="0"/>
          <w:lang w:val="en-US"/>
        </w:rPr>
        <w:t xml:space="preserve">2. </w:t>
      </w:r>
      <w:r>
        <w:rPr>
          <w:rFonts w:ascii="仿宋_GB2312" w:hAnsi="仿宋_GB2312" w:eastAsia="仿宋_GB2312" w:cs="仿宋_GB2312"/>
          <w:u w:val="none"/>
          <w:rtl w:val="0"/>
          <w:lang w:val="zh-TW" w:eastAsia="zh-TW"/>
        </w:rPr>
        <w:t>社会保障和就业支出（类）</w:t>
      </w:r>
      <w:r>
        <w:rPr>
          <w:rFonts w:ascii="仿宋_GB2312" w:hAnsi="仿宋_GB2312" w:eastAsia="仿宋_GB2312" w:cs="仿宋_GB2312"/>
          <w:u w:val="none"/>
          <w:rtl w:val="0"/>
          <w:lang w:val="en-US"/>
        </w:rPr>
        <w:t xml:space="preserve"> </w:t>
      </w:r>
      <w:r>
        <w:rPr>
          <w:rFonts w:ascii="仿宋_GB2312" w:hAnsi="仿宋_GB2312" w:eastAsia="仿宋_GB2312" w:cs="仿宋_GB2312"/>
          <w:outline w:val="0"/>
          <w:color w:val="000000"/>
          <w:u w:val="none" w:color="000000"/>
          <w:rtl w:val="0"/>
          <w:lang w:val="zh-TW" w:eastAsia="zh-TW"/>
        </w:rPr>
        <w:t>行政事业单位离退休（款）</w:t>
      </w:r>
      <w:r>
        <w:rPr>
          <w:rFonts w:ascii="仿宋_GB2312" w:hAnsi="仿宋_GB2312" w:eastAsia="仿宋_GB2312" w:cs="仿宋_GB2312"/>
          <w:outline w:val="0"/>
          <w:color w:val="000000"/>
          <w:u w:val="none" w:color="000000"/>
          <w:rtl w:val="0"/>
          <w:lang w:val="en-US"/>
        </w:rPr>
        <w:t xml:space="preserve"> </w:t>
      </w:r>
      <w:r>
        <w:rPr>
          <w:rFonts w:ascii="仿宋_GB2312" w:hAnsi="仿宋_GB2312" w:eastAsia="仿宋_GB2312" w:cs="仿宋_GB2312"/>
          <w:outline w:val="0"/>
          <w:color w:val="000000"/>
          <w:u w:val="none" w:color="000000"/>
          <w:rtl w:val="0"/>
          <w:lang w:val="zh-TW" w:eastAsia="zh-TW"/>
        </w:rPr>
        <w:t>机关事业单位基本养老保险缴费（项）</w:t>
      </w:r>
      <w:r>
        <w:rPr>
          <w:rFonts w:ascii="仿宋_GB2312" w:hAnsi="仿宋_GB2312" w:eastAsia="仿宋_GB2312" w:cs="仿宋_GB2312"/>
          <w:outline w:val="0"/>
          <w:color w:val="000000"/>
          <w:u w:val="none" w:color="000000"/>
          <w:rtl w:val="0"/>
          <w:lang w:val="en-US"/>
        </w:rPr>
        <w:t>2021</w:t>
      </w:r>
      <w:r>
        <w:rPr>
          <w:rFonts w:ascii="仿宋_GB2312" w:hAnsi="仿宋_GB2312" w:eastAsia="仿宋_GB2312" w:cs="仿宋_GB2312"/>
          <w:outline w:val="0"/>
          <w:color w:val="000000"/>
          <w:u w:val="none" w:color="000000"/>
          <w:rtl w:val="0"/>
          <w:lang w:val="zh-TW" w:eastAsia="zh-TW"/>
        </w:rPr>
        <w:t>年预</w:t>
      </w:r>
      <w:r>
        <w:rPr>
          <w:rFonts w:ascii="仿宋_GB2312" w:hAnsi="仿宋_GB2312" w:eastAsia="仿宋_GB2312" w:cs="仿宋_GB2312"/>
          <w:u w:val="none"/>
          <w:rtl w:val="0"/>
          <w:lang w:val="zh-TW" w:eastAsia="zh-TW"/>
        </w:rPr>
        <w:t>算数为</w:t>
      </w:r>
      <w:r>
        <w:rPr>
          <w:rFonts w:ascii="仿宋_GB2312" w:hAnsi="仿宋_GB2312" w:eastAsia="仿宋_GB2312" w:cs="仿宋_GB2312"/>
          <w:u w:val="none"/>
          <w:rtl w:val="0"/>
          <w:lang w:val="en-US"/>
        </w:rPr>
        <w:t>40.84</w:t>
      </w:r>
      <w:r>
        <w:rPr>
          <w:rFonts w:ascii="仿宋_GB2312" w:hAnsi="仿宋_GB2312" w:eastAsia="仿宋_GB2312" w:cs="仿宋_GB2312"/>
          <w:u w:val="none"/>
          <w:rtl w:val="0"/>
          <w:lang w:val="zh-TW" w:eastAsia="zh-TW"/>
        </w:rPr>
        <w:t>万元，主要用于：职工基本养老保险缴费支出</w:t>
      </w:r>
      <w:r>
        <w:rPr>
          <w:rFonts w:ascii="仿宋_GB2312" w:hAnsi="仿宋_GB2312" w:eastAsia="仿宋_GB2312" w:cs="仿宋_GB2312"/>
          <w:kern w:val="0"/>
          <w:u w:val="none"/>
          <w:rtl w:val="0"/>
          <w:lang w:val="zh-TW" w:eastAsia="zh-TW"/>
        </w:rPr>
        <w:t>。</w:t>
      </w:r>
    </w:p>
    <w:p>
      <w:pPr>
        <w:pStyle w:val="7"/>
        <w:framePr w:wrap="auto" w:vAnchor="margin" w:hAnchor="text" w:yAlign="inline"/>
        <w:spacing w:line="600" w:lineRule="exact"/>
        <w:ind w:firstLine="640"/>
        <w:rPr>
          <w:rFonts w:ascii="仿宋_GB2312" w:hAnsi="仿宋_GB2312" w:eastAsia="仿宋_GB2312" w:cs="仿宋_GB2312"/>
          <w:outline w:val="0"/>
          <w:color w:val="FFC000"/>
          <w:u w:val="none" w:color="FFC000"/>
        </w:rPr>
      </w:pPr>
      <w:r>
        <w:rPr>
          <w:rFonts w:ascii="仿宋_GB2312" w:hAnsi="仿宋_GB2312" w:eastAsia="仿宋_GB2312" w:cs="仿宋_GB2312"/>
          <w:u w:val="none"/>
          <w:rtl w:val="0"/>
          <w:lang w:val="en-US"/>
        </w:rPr>
        <w:t>3.</w:t>
      </w:r>
      <w:r>
        <w:rPr>
          <w:rFonts w:ascii="仿宋_GB2312" w:hAnsi="仿宋_GB2312" w:eastAsia="仿宋_GB2312" w:cs="仿宋_GB2312"/>
          <w:u w:val="none"/>
          <w:rtl w:val="0"/>
          <w:lang w:val="zh-TW" w:eastAsia="zh-TW"/>
        </w:rPr>
        <w:t>住房保障支出（类）住房改革支出（款）住房公积金（项）</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年预算数为</w:t>
      </w:r>
      <w:r>
        <w:rPr>
          <w:rFonts w:ascii="仿宋_GB2312" w:hAnsi="仿宋_GB2312" w:eastAsia="仿宋_GB2312" w:cs="仿宋_GB2312"/>
          <w:u w:val="none"/>
          <w:rtl w:val="0"/>
          <w:lang w:val="en-US"/>
        </w:rPr>
        <w:t>39.60</w:t>
      </w:r>
      <w:r>
        <w:rPr>
          <w:rFonts w:ascii="仿宋_GB2312" w:hAnsi="仿宋_GB2312" w:eastAsia="仿宋_GB2312" w:cs="仿宋_GB2312"/>
          <w:u w:val="none"/>
          <w:rtl w:val="0"/>
          <w:lang w:val="zh-TW" w:eastAsia="zh-TW"/>
        </w:rPr>
        <w:t>万元，主要用于缴纳职工住房公积金支出。</w:t>
      </w:r>
    </w:p>
    <w:p>
      <w:pPr>
        <w:pStyle w:val="7"/>
        <w:framePr w:wrap="auto" w:vAnchor="margin" w:hAnchor="text" w:yAlign="inline"/>
        <w:spacing w:line="600" w:lineRule="exact"/>
        <w:ind w:firstLine="643"/>
        <w:rPr>
          <w:rFonts w:ascii="黑体" w:hAnsi="黑体" w:eastAsia="黑体" w:cs="黑体"/>
          <w:b/>
          <w:bCs/>
          <w:kern w:val="2"/>
          <w:u w:val="none"/>
          <w:lang w:val="zh-TW" w:eastAsia="zh-TW"/>
        </w:rPr>
      </w:pPr>
      <w:r>
        <w:rPr>
          <w:rFonts w:ascii="黑体" w:hAnsi="黑体" w:eastAsia="黑体" w:cs="黑体"/>
          <w:b/>
          <w:bCs/>
          <w:kern w:val="2"/>
          <w:u w:val="none"/>
          <w:rtl w:val="0"/>
          <w:lang w:val="zh-TW" w:eastAsia="zh-TW"/>
        </w:rPr>
        <w:t>六、一般公共预算基本支出情况说明</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攀枝花市体育场馆中心</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年一般公共预算基本支出</w:t>
      </w:r>
      <w:r>
        <w:rPr>
          <w:rFonts w:ascii="Times New Roman" w:hAnsi="Times New Roman"/>
          <w:u w:val="none"/>
          <w:rtl w:val="0"/>
          <w:lang w:val="en-US"/>
        </w:rPr>
        <w:t>531.79</w:t>
      </w:r>
      <w:r>
        <w:rPr>
          <w:rFonts w:ascii="仿宋_GB2312" w:hAnsi="仿宋_GB2312" w:eastAsia="仿宋_GB2312" w:cs="仿宋_GB2312"/>
          <w:u w:val="none"/>
          <w:rtl w:val="0"/>
          <w:lang w:val="zh-TW" w:eastAsia="zh-TW"/>
        </w:rPr>
        <w:t>万元，其中：</w:t>
      </w:r>
    </w:p>
    <w:p>
      <w:pPr>
        <w:pStyle w:val="7"/>
        <w:framePr w:wrap="auto" w:vAnchor="margin" w:hAnchor="text" w:yAlign="inline"/>
        <w:spacing w:line="600" w:lineRule="exact"/>
        <w:ind w:firstLine="640"/>
        <w:rPr>
          <w:rFonts w:ascii="仿宋_GB2312" w:hAnsi="仿宋_GB2312" w:eastAsia="仿宋_GB2312" w:cs="仿宋_GB2312"/>
          <w:outline w:val="0"/>
          <w:color w:val="FFC000"/>
          <w:kern w:val="0"/>
          <w:u w:val="none" w:color="FFC000"/>
        </w:rPr>
      </w:pPr>
      <w:r>
        <w:rPr>
          <w:rFonts w:ascii="仿宋_GB2312" w:hAnsi="仿宋_GB2312" w:eastAsia="仿宋_GB2312" w:cs="仿宋_GB2312"/>
          <w:u w:val="none"/>
          <w:rtl w:val="0"/>
          <w:lang w:val="zh-TW" w:eastAsia="zh-TW"/>
        </w:rPr>
        <w:t>人员经费</w:t>
      </w:r>
      <w:r>
        <w:rPr>
          <w:rFonts w:ascii="Times New Roman" w:hAnsi="Times New Roman"/>
          <w:u w:val="none"/>
          <w:rtl w:val="0"/>
          <w:lang w:val="en-US"/>
        </w:rPr>
        <w:t>481.30</w:t>
      </w:r>
      <w:r>
        <w:rPr>
          <w:rFonts w:ascii="仿宋_GB2312" w:hAnsi="仿宋_GB2312" w:eastAsia="仿宋_GB2312" w:cs="仿宋_GB2312"/>
          <w:u w:val="none"/>
          <w:rtl w:val="0"/>
          <w:lang w:val="zh-TW" w:eastAsia="zh-TW"/>
        </w:rPr>
        <w:t>万元，主要包括：</w:t>
      </w:r>
      <w:r>
        <w:rPr>
          <w:rFonts w:ascii="仿宋_GB2312" w:hAnsi="仿宋_GB2312" w:eastAsia="仿宋_GB2312" w:cs="仿宋_GB2312"/>
          <w:kern w:val="0"/>
          <w:u w:val="none"/>
          <w:rtl w:val="0"/>
          <w:lang w:val="zh-TW" w:eastAsia="zh-TW"/>
        </w:rPr>
        <w:t>基本工资</w:t>
      </w:r>
      <w:r>
        <w:rPr>
          <w:rFonts w:ascii="仿宋_GB2312" w:hAnsi="仿宋_GB2312" w:eastAsia="仿宋_GB2312" w:cs="仿宋_GB2312"/>
          <w:kern w:val="0"/>
          <w:u w:val="none"/>
          <w:rtl w:val="0"/>
          <w:lang w:val="en-US"/>
        </w:rPr>
        <w:t>128.36</w:t>
      </w:r>
      <w:r>
        <w:rPr>
          <w:rFonts w:ascii="仿宋_GB2312" w:hAnsi="仿宋_GB2312" w:eastAsia="仿宋_GB2312" w:cs="仿宋_GB2312"/>
          <w:u w:val="none"/>
          <w:rtl w:val="0"/>
          <w:lang w:val="zh-TW" w:eastAsia="zh-TW"/>
        </w:rPr>
        <w:t>万元</w:t>
      </w:r>
      <w:r>
        <w:rPr>
          <w:rFonts w:ascii="仿宋_GB2312" w:hAnsi="仿宋_GB2312" w:eastAsia="仿宋_GB2312" w:cs="仿宋_GB2312"/>
          <w:kern w:val="0"/>
          <w:u w:val="none"/>
          <w:rtl w:val="0"/>
          <w:lang w:val="zh-TW" w:eastAsia="zh-TW"/>
        </w:rPr>
        <w:t>、津贴补贴</w:t>
      </w:r>
      <w:r>
        <w:rPr>
          <w:rFonts w:ascii="仿宋_GB2312" w:hAnsi="仿宋_GB2312" w:eastAsia="仿宋_GB2312" w:cs="仿宋_GB2312"/>
          <w:kern w:val="0"/>
          <w:u w:val="none"/>
          <w:rtl w:val="0"/>
          <w:lang w:val="en-US"/>
        </w:rPr>
        <w:t>15.79</w:t>
      </w:r>
      <w:r>
        <w:rPr>
          <w:rFonts w:ascii="仿宋_GB2312" w:hAnsi="仿宋_GB2312" w:eastAsia="仿宋_GB2312" w:cs="仿宋_GB2312"/>
          <w:u w:val="none"/>
          <w:rtl w:val="0"/>
          <w:lang w:val="zh-TW" w:eastAsia="zh-TW"/>
        </w:rPr>
        <w:t>万元</w:t>
      </w:r>
      <w:r>
        <w:rPr>
          <w:rFonts w:ascii="仿宋_GB2312" w:hAnsi="仿宋_GB2312" w:eastAsia="仿宋_GB2312" w:cs="仿宋_GB2312"/>
          <w:kern w:val="0"/>
          <w:u w:val="none"/>
          <w:rtl w:val="0"/>
          <w:lang w:val="zh-TW" w:eastAsia="zh-TW"/>
        </w:rPr>
        <w:t>、绩效工资</w:t>
      </w:r>
      <w:r>
        <w:rPr>
          <w:rFonts w:ascii="仿宋_GB2312" w:hAnsi="仿宋_GB2312" w:eastAsia="仿宋_GB2312" w:cs="仿宋_GB2312"/>
          <w:kern w:val="0"/>
          <w:u w:val="none"/>
          <w:rtl w:val="0"/>
          <w:lang w:val="en-US"/>
        </w:rPr>
        <w:t>185.88</w:t>
      </w:r>
      <w:r>
        <w:rPr>
          <w:rFonts w:ascii="仿宋_GB2312" w:hAnsi="仿宋_GB2312" w:eastAsia="仿宋_GB2312" w:cs="仿宋_GB2312"/>
          <w:u w:val="none"/>
          <w:rtl w:val="0"/>
          <w:lang w:val="zh-TW" w:eastAsia="zh-TW"/>
        </w:rPr>
        <w:t>万元</w:t>
      </w:r>
      <w:r>
        <w:rPr>
          <w:rFonts w:ascii="仿宋_GB2312" w:hAnsi="仿宋_GB2312" w:eastAsia="仿宋_GB2312" w:cs="仿宋_GB2312"/>
          <w:kern w:val="0"/>
          <w:u w:val="none"/>
          <w:rtl w:val="0"/>
          <w:lang w:val="zh-TW" w:eastAsia="zh-TW"/>
        </w:rPr>
        <w:t>、机关事业单位养老保险缴费</w:t>
      </w:r>
      <w:r>
        <w:rPr>
          <w:rFonts w:ascii="仿宋_GB2312" w:hAnsi="仿宋_GB2312" w:eastAsia="仿宋_GB2312" w:cs="仿宋_GB2312"/>
          <w:kern w:val="0"/>
          <w:u w:val="none"/>
          <w:rtl w:val="0"/>
          <w:lang w:val="en-US"/>
        </w:rPr>
        <w:t>40.84</w:t>
      </w:r>
      <w:r>
        <w:rPr>
          <w:rFonts w:ascii="仿宋_GB2312" w:hAnsi="仿宋_GB2312" w:eastAsia="仿宋_GB2312" w:cs="仿宋_GB2312"/>
          <w:u w:val="none"/>
          <w:rtl w:val="0"/>
          <w:lang w:val="zh-TW" w:eastAsia="zh-TW"/>
        </w:rPr>
        <w:t>万元、职工基本医疗保险缴费</w:t>
      </w:r>
      <w:r>
        <w:rPr>
          <w:rFonts w:ascii="仿宋_GB2312" w:hAnsi="仿宋_GB2312" w:eastAsia="仿宋_GB2312" w:cs="仿宋_GB2312"/>
          <w:u w:val="none"/>
          <w:rtl w:val="0"/>
          <w:lang w:val="en-US"/>
        </w:rPr>
        <w:t>25.42</w:t>
      </w:r>
      <w:r>
        <w:rPr>
          <w:rFonts w:ascii="仿宋_GB2312" w:hAnsi="仿宋_GB2312" w:eastAsia="仿宋_GB2312" w:cs="仿宋_GB2312"/>
          <w:u w:val="none"/>
          <w:rtl w:val="0"/>
          <w:lang w:val="zh-TW" w:eastAsia="zh-TW"/>
        </w:rPr>
        <w:t>万元、</w:t>
      </w:r>
      <w:r>
        <w:rPr>
          <w:rFonts w:ascii="仿宋_GB2312" w:hAnsi="仿宋_GB2312" w:eastAsia="仿宋_GB2312" w:cs="仿宋_GB2312"/>
          <w:kern w:val="0"/>
          <w:u w:val="none"/>
          <w:rtl w:val="0"/>
          <w:lang w:val="zh-TW" w:eastAsia="zh-TW"/>
        </w:rPr>
        <w:t>公务员医疗补助缴费</w:t>
      </w:r>
      <w:r>
        <w:rPr>
          <w:rFonts w:ascii="仿宋_GB2312" w:hAnsi="仿宋_GB2312" w:eastAsia="仿宋_GB2312" w:cs="仿宋_GB2312"/>
          <w:kern w:val="0"/>
          <w:u w:val="none"/>
          <w:rtl w:val="0"/>
          <w:lang w:val="en-US"/>
        </w:rPr>
        <w:t>2.56</w:t>
      </w:r>
      <w:r>
        <w:rPr>
          <w:rFonts w:ascii="仿宋_GB2312" w:hAnsi="仿宋_GB2312" w:eastAsia="仿宋_GB2312" w:cs="仿宋_GB2312"/>
          <w:kern w:val="0"/>
          <w:u w:val="none"/>
          <w:rtl w:val="0"/>
          <w:lang w:val="zh-TW" w:eastAsia="zh-TW"/>
        </w:rPr>
        <w:t>万元、其他社会保障缴费</w:t>
      </w:r>
      <w:r>
        <w:rPr>
          <w:rFonts w:ascii="仿宋_GB2312" w:hAnsi="仿宋_GB2312" w:eastAsia="仿宋_GB2312" w:cs="仿宋_GB2312"/>
          <w:kern w:val="0"/>
          <w:u w:val="none"/>
          <w:rtl w:val="0"/>
          <w:lang w:val="en-US"/>
        </w:rPr>
        <w:t>4.62</w:t>
      </w:r>
      <w:r>
        <w:rPr>
          <w:rFonts w:ascii="仿宋_GB2312" w:hAnsi="仿宋_GB2312" w:eastAsia="仿宋_GB2312" w:cs="仿宋_GB2312"/>
          <w:kern w:val="0"/>
          <w:u w:val="none"/>
          <w:rtl w:val="0"/>
          <w:lang w:val="zh-TW" w:eastAsia="zh-TW"/>
        </w:rPr>
        <w:t>万元、</w:t>
      </w:r>
      <w:r>
        <w:rPr>
          <w:rFonts w:ascii="仿宋_GB2312" w:hAnsi="仿宋_GB2312" w:eastAsia="仿宋_GB2312" w:cs="仿宋_GB2312"/>
          <w:u w:val="none"/>
          <w:rtl w:val="0"/>
          <w:lang w:val="zh-TW" w:eastAsia="zh-TW"/>
        </w:rPr>
        <w:t>住房公积金</w:t>
      </w:r>
      <w:r>
        <w:rPr>
          <w:rFonts w:ascii="仿宋_GB2312" w:hAnsi="仿宋_GB2312" w:eastAsia="仿宋_GB2312" w:cs="仿宋_GB2312"/>
          <w:u w:val="none"/>
          <w:rtl w:val="0"/>
          <w:lang w:val="en-US"/>
        </w:rPr>
        <w:t>39.60</w:t>
      </w:r>
      <w:r>
        <w:rPr>
          <w:rFonts w:ascii="仿宋_GB2312" w:hAnsi="仿宋_GB2312" w:eastAsia="仿宋_GB2312" w:cs="仿宋_GB2312"/>
          <w:u w:val="none"/>
          <w:rtl w:val="0"/>
          <w:lang w:val="zh-TW" w:eastAsia="zh-TW"/>
        </w:rPr>
        <w:t>万元、其他工资福利支出</w:t>
      </w:r>
      <w:r>
        <w:rPr>
          <w:rFonts w:ascii="仿宋_GB2312" w:hAnsi="仿宋_GB2312" w:eastAsia="仿宋_GB2312" w:cs="仿宋_GB2312"/>
          <w:u w:val="none"/>
          <w:rtl w:val="0"/>
          <w:lang w:val="en-US"/>
        </w:rPr>
        <w:t>16.64</w:t>
      </w:r>
      <w:r>
        <w:rPr>
          <w:rFonts w:ascii="仿宋_GB2312" w:hAnsi="仿宋_GB2312" w:eastAsia="仿宋_GB2312" w:cs="仿宋_GB2312"/>
          <w:u w:val="none"/>
          <w:rtl w:val="0"/>
          <w:lang w:val="zh-TW" w:eastAsia="zh-TW"/>
        </w:rPr>
        <w:t>万元、</w:t>
      </w:r>
      <w:r>
        <w:rPr>
          <w:rFonts w:ascii="仿宋_GB2312" w:hAnsi="仿宋_GB2312" w:eastAsia="仿宋_GB2312" w:cs="仿宋_GB2312"/>
          <w:kern w:val="0"/>
          <w:u w:val="none"/>
          <w:rtl w:val="0"/>
          <w:lang w:val="zh-TW" w:eastAsia="zh-TW"/>
        </w:rPr>
        <w:t>退休费</w:t>
      </w:r>
      <w:r>
        <w:rPr>
          <w:rFonts w:ascii="仿宋_GB2312" w:hAnsi="仿宋_GB2312" w:eastAsia="仿宋_GB2312" w:cs="仿宋_GB2312"/>
          <w:kern w:val="0"/>
          <w:u w:val="none"/>
          <w:rtl w:val="0"/>
          <w:lang w:val="en-US"/>
        </w:rPr>
        <w:t>20.31</w:t>
      </w:r>
      <w:r>
        <w:rPr>
          <w:rFonts w:ascii="仿宋_GB2312" w:hAnsi="仿宋_GB2312" w:eastAsia="仿宋_GB2312" w:cs="仿宋_GB2312"/>
          <w:kern w:val="0"/>
          <w:u w:val="none"/>
          <w:rtl w:val="0"/>
          <w:lang w:val="zh-TW" w:eastAsia="zh-TW"/>
        </w:rPr>
        <w:t>万元、社会福利救助</w:t>
      </w:r>
      <w:r>
        <w:rPr>
          <w:rFonts w:ascii="仿宋_GB2312" w:hAnsi="仿宋_GB2312" w:eastAsia="仿宋_GB2312" w:cs="仿宋_GB2312"/>
          <w:kern w:val="0"/>
          <w:u w:val="none"/>
          <w:rtl w:val="0"/>
          <w:lang w:val="en-US"/>
        </w:rPr>
        <w:t>1.28</w:t>
      </w:r>
      <w:r>
        <w:rPr>
          <w:rFonts w:ascii="仿宋_GB2312" w:hAnsi="仿宋_GB2312" w:eastAsia="仿宋_GB2312" w:cs="仿宋_GB2312"/>
          <w:kern w:val="0"/>
          <w:u w:val="none"/>
          <w:rtl w:val="0"/>
          <w:lang w:val="zh-TW" w:eastAsia="zh-TW"/>
        </w:rPr>
        <w:t>万元</w:t>
      </w:r>
      <w:r>
        <w:rPr>
          <w:rFonts w:ascii="仿宋_GB2312" w:hAnsi="仿宋_GB2312" w:eastAsia="仿宋_GB2312" w:cs="仿宋_GB2312"/>
          <w:u w:val="none"/>
          <w:rtl w:val="0"/>
          <w:lang w:val="zh-TW" w:eastAsia="zh-TW"/>
        </w:rPr>
        <w:t>。</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公用经费</w:t>
      </w:r>
      <w:r>
        <w:rPr>
          <w:rFonts w:ascii="仿宋_GB2312" w:hAnsi="仿宋_GB2312" w:eastAsia="仿宋_GB2312" w:cs="仿宋_GB2312"/>
          <w:u w:val="none"/>
          <w:rtl w:val="0"/>
          <w:lang w:val="en-US"/>
        </w:rPr>
        <w:t>50.49</w:t>
      </w:r>
      <w:r>
        <w:rPr>
          <w:rFonts w:ascii="仿宋_GB2312" w:hAnsi="仿宋_GB2312" w:eastAsia="仿宋_GB2312" w:cs="仿宋_GB2312"/>
          <w:u w:val="none"/>
          <w:rtl w:val="0"/>
          <w:lang w:val="zh-TW" w:eastAsia="zh-TW"/>
        </w:rPr>
        <w:t>万元，主要包括：办公费</w:t>
      </w:r>
      <w:r>
        <w:rPr>
          <w:rFonts w:ascii="仿宋_GB2312" w:hAnsi="仿宋_GB2312" w:eastAsia="仿宋_GB2312" w:cs="仿宋_GB2312"/>
          <w:u w:val="none"/>
          <w:rtl w:val="0"/>
          <w:lang w:val="en-US"/>
        </w:rPr>
        <w:t>4.90</w:t>
      </w:r>
      <w:r>
        <w:rPr>
          <w:rFonts w:ascii="仿宋_GB2312" w:hAnsi="仿宋_GB2312" w:eastAsia="仿宋_GB2312" w:cs="仿宋_GB2312"/>
          <w:u w:val="none"/>
          <w:rtl w:val="0"/>
          <w:lang w:val="zh-TW" w:eastAsia="zh-TW"/>
        </w:rPr>
        <w:t>万元、水费</w:t>
      </w:r>
      <w:r>
        <w:rPr>
          <w:rFonts w:ascii="仿宋_GB2312" w:hAnsi="仿宋_GB2312" w:eastAsia="仿宋_GB2312" w:cs="仿宋_GB2312"/>
          <w:u w:val="none"/>
          <w:rtl w:val="0"/>
          <w:lang w:val="en-US"/>
        </w:rPr>
        <w:t>0.98</w:t>
      </w:r>
      <w:r>
        <w:rPr>
          <w:rFonts w:ascii="仿宋_GB2312" w:hAnsi="仿宋_GB2312" w:eastAsia="仿宋_GB2312" w:cs="仿宋_GB2312"/>
          <w:u w:val="none"/>
          <w:rtl w:val="0"/>
          <w:lang w:val="zh-TW" w:eastAsia="zh-TW"/>
        </w:rPr>
        <w:t>万元、电费</w:t>
      </w:r>
      <w:r>
        <w:rPr>
          <w:rFonts w:ascii="仿宋_GB2312" w:hAnsi="仿宋_GB2312" w:eastAsia="仿宋_GB2312" w:cs="仿宋_GB2312"/>
          <w:u w:val="none"/>
          <w:rtl w:val="0"/>
          <w:lang w:val="en-US"/>
        </w:rPr>
        <w:t>2.45</w:t>
      </w:r>
      <w:r>
        <w:rPr>
          <w:rFonts w:ascii="仿宋_GB2312" w:hAnsi="仿宋_GB2312" w:eastAsia="仿宋_GB2312" w:cs="仿宋_GB2312"/>
          <w:u w:val="none"/>
          <w:rtl w:val="0"/>
          <w:lang w:val="zh-TW" w:eastAsia="zh-TW"/>
        </w:rPr>
        <w:t>万元、邮电费</w:t>
      </w:r>
      <w:r>
        <w:rPr>
          <w:rFonts w:ascii="仿宋_GB2312" w:hAnsi="仿宋_GB2312" w:eastAsia="仿宋_GB2312" w:cs="仿宋_GB2312"/>
          <w:u w:val="none"/>
          <w:rtl w:val="0"/>
          <w:lang w:val="en-US"/>
        </w:rPr>
        <w:t>1.17</w:t>
      </w:r>
      <w:r>
        <w:rPr>
          <w:rFonts w:ascii="仿宋_GB2312" w:hAnsi="仿宋_GB2312" w:eastAsia="仿宋_GB2312" w:cs="仿宋_GB2312"/>
          <w:u w:val="none"/>
          <w:rtl w:val="0"/>
          <w:lang w:val="zh-TW" w:eastAsia="zh-TW"/>
        </w:rPr>
        <w:t>万元、差旅费</w:t>
      </w:r>
      <w:r>
        <w:rPr>
          <w:rFonts w:ascii="仿宋_GB2312" w:hAnsi="仿宋_GB2312" w:eastAsia="仿宋_GB2312" w:cs="仿宋_GB2312"/>
          <w:u w:val="none"/>
          <w:rtl w:val="0"/>
          <w:lang w:val="en-US"/>
        </w:rPr>
        <w:t>19.58</w:t>
      </w:r>
      <w:r>
        <w:rPr>
          <w:rFonts w:ascii="仿宋_GB2312" w:hAnsi="仿宋_GB2312" w:eastAsia="仿宋_GB2312" w:cs="仿宋_GB2312"/>
          <w:u w:val="none"/>
          <w:rtl w:val="0"/>
          <w:lang w:val="zh-TW" w:eastAsia="zh-TW"/>
        </w:rPr>
        <w:t>万元、公务接待费</w:t>
      </w:r>
      <w:r>
        <w:rPr>
          <w:rFonts w:ascii="仿宋_GB2312" w:hAnsi="仿宋_GB2312" w:eastAsia="仿宋_GB2312" w:cs="仿宋_GB2312"/>
          <w:u w:val="none"/>
          <w:rtl w:val="0"/>
          <w:lang w:val="en-US"/>
        </w:rPr>
        <w:t>0.84</w:t>
      </w:r>
      <w:r>
        <w:rPr>
          <w:rFonts w:ascii="仿宋_GB2312" w:hAnsi="仿宋_GB2312" w:eastAsia="仿宋_GB2312" w:cs="仿宋_GB2312"/>
          <w:u w:val="none"/>
          <w:rtl w:val="0"/>
          <w:lang w:val="zh-TW" w:eastAsia="zh-TW"/>
        </w:rPr>
        <w:t>万元、工会经费</w:t>
      </w:r>
      <w:r>
        <w:rPr>
          <w:rFonts w:ascii="仿宋_GB2312" w:hAnsi="仿宋_GB2312" w:eastAsia="仿宋_GB2312" w:cs="仿宋_GB2312"/>
          <w:u w:val="none"/>
          <w:rtl w:val="0"/>
          <w:lang w:val="en-US"/>
        </w:rPr>
        <w:t>6.60</w:t>
      </w:r>
      <w:r>
        <w:rPr>
          <w:rFonts w:ascii="仿宋_GB2312" w:hAnsi="仿宋_GB2312" w:eastAsia="仿宋_GB2312" w:cs="仿宋_GB2312"/>
          <w:u w:val="none"/>
          <w:rtl w:val="0"/>
          <w:lang w:val="zh-TW" w:eastAsia="zh-TW"/>
        </w:rPr>
        <w:t>万元、福利费</w:t>
      </w:r>
      <w:r>
        <w:rPr>
          <w:rFonts w:ascii="仿宋_GB2312" w:hAnsi="仿宋_GB2312" w:eastAsia="仿宋_GB2312" w:cs="仿宋_GB2312"/>
          <w:u w:val="none"/>
          <w:rtl w:val="0"/>
          <w:lang w:val="en-US"/>
        </w:rPr>
        <w:t>4.53</w:t>
      </w:r>
      <w:r>
        <w:rPr>
          <w:rFonts w:ascii="仿宋_GB2312" w:hAnsi="仿宋_GB2312" w:eastAsia="仿宋_GB2312" w:cs="仿宋_GB2312"/>
          <w:u w:val="none"/>
          <w:rtl w:val="0"/>
          <w:lang w:val="zh-TW" w:eastAsia="zh-TW"/>
        </w:rPr>
        <w:t>万元（含离退休）、公务用车运行维护费</w:t>
      </w:r>
      <w:r>
        <w:rPr>
          <w:rFonts w:ascii="仿宋_GB2312" w:hAnsi="仿宋_GB2312" w:eastAsia="仿宋_GB2312" w:cs="仿宋_GB2312"/>
          <w:u w:val="none"/>
          <w:rtl w:val="0"/>
          <w:lang w:val="en-US"/>
        </w:rPr>
        <w:t>1.62</w:t>
      </w:r>
      <w:r>
        <w:rPr>
          <w:rFonts w:ascii="仿宋_GB2312" w:hAnsi="仿宋_GB2312" w:eastAsia="仿宋_GB2312" w:cs="仿宋_GB2312"/>
          <w:u w:val="none"/>
          <w:rtl w:val="0"/>
          <w:lang w:val="zh-TW" w:eastAsia="zh-TW"/>
        </w:rPr>
        <w:t>万元、其他商品和服务</w:t>
      </w:r>
      <w:r>
        <w:rPr>
          <w:rFonts w:ascii="仿宋_GB2312" w:hAnsi="仿宋_GB2312" w:eastAsia="仿宋_GB2312" w:cs="仿宋_GB2312"/>
          <w:u w:val="none"/>
          <w:rtl w:val="0"/>
          <w:lang w:val="en-US"/>
        </w:rPr>
        <w:t>7.82</w:t>
      </w:r>
      <w:r>
        <w:rPr>
          <w:rFonts w:ascii="仿宋_GB2312" w:hAnsi="仿宋_GB2312" w:eastAsia="仿宋_GB2312" w:cs="仿宋_GB2312"/>
          <w:u w:val="none"/>
          <w:rtl w:val="0"/>
          <w:lang w:val="zh-TW" w:eastAsia="zh-TW"/>
        </w:rPr>
        <w:t>万元。</w:t>
      </w:r>
    </w:p>
    <w:p>
      <w:pPr>
        <w:pStyle w:val="7"/>
        <w:framePr w:wrap="auto" w:vAnchor="margin" w:hAnchor="text" w:yAlign="inline"/>
        <w:spacing w:line="600" w:lineRule="exact"/>
        <w:ind w:firstLine="643"/>
        <w:rPr>
          <w:rFonts w:ascii="黑体" w:hAnsi="黑体" w:eastAsia="黑体" w:cs="黑体"/>
          <w:b/>
          <w:bCs/>
          <w:kern w:val="2"/>
          <w:u w:val="none"/>
        </w:rPr>
      </w:pPr>
      <w:r>
        <w:rPr>
          <w:rFonts w:ascii="黑体" w:hAnsi="黑体" w:eastAsia="黑体" w:cs="黑体"/>
          <w:b/>
          <w:bCs/>
          <w:kern w:val="2"/>
          <w:u w:val="none"/>
          <w:rtl w:val="0"/>
          <w:lang w:val="zh-TW" w:eastAsia="zh-TW"/>
        </w:rPr>
        <w:t>七、</w:t>
      </w:r>
      <w:r>
        <w:rPr>
          <w:rFonts w:ascii="黑体" w:hAnsi="黑体" w:eastAsia="黑体" w:cs="黑体"/>
          <w:b/>
          <w:bCs/>
          <w:kern w:val="2"/>
          <w:u w:val="none"/>
          <w:rtl w:val="0"/>
          <w:lang w:val="en-US"/>
        </w:rPr>
        <w:t>“</w:t>
      </w:r>
      <w:r>
        <w:rPr>
          <w:rFonts w:ascii="黑体" w:hAnsi="黑体" w:eastAsia="黑体" w:cs="黑体"/>
          <w:b/>
          <w:bCs/>
          <w:kern w:val="2"/>
          <w:u w:val="none"/>
          <w:rtl w:val="0"/>
          <w:lang w:val="zh-TW" w:eastAsia="zh-TW"/>
        </w:rPr>
        <w:t>三公</w:t>
      </w:r>
      <w:r>
        <w:rPr>
          <w:rFonts w:ascii="黑体" w:hAnsi="黑体" w:eastAsia="黑体" w:cs="黑体"/>
          <w:b/>
          <w:bCs/>
          <w:kern w:val="2"/>
          <w:u w:val="none"/>
          <w:rtl w:val="0"/>
          <w:lang w:val="en-US"/>
        </w:rPr>
        <w:t>”</w:t>
      </w:r>
      <w:r>
        <w:rPr>
          <w:rFonts w:ascii="黑体" w:hAnsi="黑体" w:eastAsia="黑体" w:cs="黑体"/>
          <w:b/>
          <w:bCs/>
          <w:kern w:val="2"/>
          <w:u w:val="none"/>
          <w:rtl w:val="0"/>
          <w:lang w:val="zh-TW" w:eastAsia="zh-TW"/>
        </w:rPr>
        <w:t>经费财政拨款预算安排情况说明</w:t>
      </w:r>
    </w:p>
    <w:p>
      <w:pPr>
        <w:pStyle w:val="7"/>
        <w:framePr w:wrap="auto" w:vAnchor="margin" w:hAnchor="text" w:yAlign="inline"/>
        <w:spacing w:line="600" w:lineRule="exact"/>
        <w:ind w:firstLine="640"/>
        <w:rPr>
          <w:rFonts w:ascii="仿宋_GB2312" w:hAnsi="仿宋_GB2312" w:eastAsia="仿宋_GB2312" w:cs="仿宋_GB2312"/>
          <w:outline w:val="0"/>
          <w:color w:val="FFC000"/>
          <w:u w:val="none" w:color="FFC000"/>
        </w:rPr>
      </w:pPr>
      <w:r>
        <w:rPr>
          <w:rFonts w:ascii="仿宋_GB2312" w:hAnsi="仿宋_GB2312" w:eastAsia="仿宋_GB2312" w:cs="仿宋_GB2312"/>
          <w:u w:val="none"/>
          <w:rtl w:val="0"/>
          <w:lang w:val="zh-TW" w:eastAsia="zh-TW"/>
        </w:rPr>
        <w:t>攀枝花市体育场馆中心</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三公</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经费财政拨款预算数</w:t>
      </w:r>
      <w:r>
        <w:rPr>
          <w:rFonts w:ascii="Times New Roman" w:hAnsi="Times New Roman"/>
          <w:u w:val="none"/>
          <w:rtl w:val="0"/>
          <w:lang w:val="en-US"/>
        </w:rPr>
        <w:t>2.46</w:t>
      </w:r>
      <w:r>
        <w:rPr>
          <w:rFonts w:ascii="仿宋_GB2312" w:hAnsi="仿宋_GB2312" w:eastAsia="仿宋_GB2312" w:cs="仿宋_GB2312"/>
          <w:u w:val="none"/>
          <w:rtl w:val="0"/>
          <w:lang w:val="zh-TW" w:eastAsia="zh-TW"/>
        </w:rPr>
        <w:t>万元，其中：因公出国（境）经费</w:t>
      </w:r>
      <w:r>
        <w:rPr>
          <w:rFonts w:ascii="Times New Roman" w:hAnsi="Times New Roman"/>
          <w:u w:val="none"/>
          <w:rtl w:val="0"/>
          <w:lang w:val="en-US"/>
        </w:rPr>
        <w:t>0</w:t>
      </w:r>
      <w:r>
        <w:rPr>
          <w:rFonts w:ascii="仿宋_GB2312" w:hAnsi="仿宋_GB2312" w:eastAsia="仿宋_GB2312" w:cs="仿宋_GB2312"/>
          <w:u w:val="none"/>
          <w:rtl w:val="0"/>
          <w:lang w:val="zh-TW" w:eastAsia="zh-TW"/>
        </w:rPr>
        <w:t>万元，公务接待费</w:t>
      </w:r>
      <w:r>
        <w:rPr>
          <w:rFonts w:ascii="Times New Roman" w:hAnsi="Times New Roman"/>
          <w:u w:val="none"/>
          <w:rtl w:val="0"/>
          <w:lang w:val="en-US"/>
        </w:rPr>
        <w:t>0.84</w:t>
      </w:r>
      <w:r>
        <w:rPr>
          <w:rFonts w:ascii="仿宋_GB2312" w:hAnsi="仿宋_GB2312" w:eastAsia="仿宋_GB2312" w:cs="仿宋_GB2312"/>
          <w:u w:val="none"/>
          <w:rtl w:val="0"/>
          <w:lang w:val="zh-TW" w:eastAsia="zh-TW"/>
        </w:rPr>
        <w:t>万元，公务用车购置及运行维护费</w:t>
      </w:r>
      <w:r>
        <w:rPr>
          <w:rFonts w:ascii="Times New Roman" w:hAnsi="Times New Roman"/>
          <w:u w:val="none"/>
          <w:rtl w:val="0"/>
          <w:lang w:val="en-US"/>
        </w:rPr>
        <w:t>1.62</w:t>
      </w:r>
      <w:r>
        <w:rPr>
          <w:rFonts w:ascii="仿宋_GB2312" w:hAnsi="仿宋_GB2312" w:eastAsia="仿宋_GB2312" w:cs="仿宋_GB2312"/>
          <w:u w:val="none"/>
          <w:rtl w:val="0"/>
          <w:lang w:val="zh-TW" w:eastAsia="zh-TW"/>
        </w:rPr>
        <w:t>万元。</w:t>
      </w:r>
    </w:p>
    <w:p>
      <w:pPr>
        <w:pStyle w:val="7"/>
        <w:framePr w:wrap="auto" w:vAnchor="margin" w:hAnchor="text" w:yAlign="inline"/>
        <w:spacing w:line="600" w:lineRule="exact"/>
        <w:ind w:firstLine="321"/>
        <w:rPr>
          <w:rFonts w:ascii="仿宋_GB2312" w:hAnsi="仿宋_GB2312" w:eastAsia="仿宋_GB2312" w:cs="仿宋_GB2312"/>
          <w:u w:val="none"/>
        </w:rPr>
      </w:pPr>
      <w:r>
        <w:rPr>
          <w:rFonts w:ascii="楷体_GB2312" w:hAnsi="楷体_GB2312" w:eastAsia="楷体_GB2312" w:cs="楷体_GB2312"/>
          <w:b/>
          <w:bCs/>
          <w:u w:val="none"/>
          <w:rtl w:val="0"/>
          <w:lang w:val="zh-TW" w:eastAsia="zh-TW"/>
        </w:rPr>
        <w:t>（</w:t>
      </w:r>
      <w:r>
        <w:rPr>
          <w:rFonts w:ascii="楷体_GB2312" w:hAnsi="楷体_GB2312" w:eastAsia="楷体_GB2312" w:cs="楷体_GB2312"/>
          <w:b/>
          <w:bCs/>
          <w:kern w:val="2"/>
          <w:u w:val="none"/>
          <w:rtl w:val="0"/>
          <w:lang w:val="zh-TW" w:eastAsia="zh-TW"/>
        </w:rPr>
        <w:t>一）因公出国（境）经费</w:t>
      </w:r>
      <w:r>
        <w:rPr>
          <w:rFonts w:ascii="楷体_GB2312" w:hAnsi="楷体_GB2312" w:eastAsia="楷体_GB2312" w:cs="楷体_GB2312"/>
          <w:b/>
          <w:bCs/>
          <w:u w:val="none"/>
          <w:rtl w:val="0"/>
          <w:lang w:val="zh-TW" w:eastAsia="zh-TW"/>
        </w:rPr>
        <w:t>与</w:t>
      </w:r>
      <w:r>
        <w:rPr>
          <w:rFonts w:ascii="楷体_GB2312" w:hAnsi="楷体_GB2312" w:eastAsia="楷体_GB2312" w:cs="楷体_GB2312"/>
          <w:b/>
          <w:bCs/>
          <w:u w:val="none"/>
          <w:rtl w:val="0"/>
          <w:lang w:val="en-US"/>
        </w:rPr>
        <w:t>2020</w:t>
      </w:r>
      <w:r>
        <w:rPr>
          <w:rFonts w:ascii="楷体_GB2312" w:hAnsi="楷体_GB2312" w:eastAsia="楷体_GB2312" w:cs="楷体_GB2312"/>
          <w:b/>
          <w:bCs/>
          <w:u w:val="none"/>
          <w:rtl w:val="0"/>
          <w:lang w:val="zh-TW" w:eastAsia="zh-TW"/>
        </w:rPr>
        <w:t>年预算持平。该项预算安排为</w:t>
      </w:r>
      <w:r>
        <w:rPr>
          <w:rFonts w:ascii="Times New Roman" w:hAnsi="Times New Roman"/>
          <w:b/>
          <w:bCs/>
          <w:u w:val="none"/>
          <w:rtl w:val="0"/>
          <w:lang w:val="en-US"/>
        </w:rPr>
        <w:t>0</w:t>
      </w:r>
      <w:r>
        <w:rPr>
          <w:rFonts w:ascii="楷体_GB2312" w:hAnsi="楷体_GB2312" w:eastAsia="楷体_GB2312" w:cs="楷体_GB2312"/>
          <w:b/>
          <w:bCs/>
          <w:u w:val="none"/>
          <w:rtl w:val="0"/>
          <w:lang w:val="zh-TW" w:eastAsia="zh-TW"/>
        </w:rPr>
        <w:t>。</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根据市外事侨务办（台办）批准的</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年因公临时出国（境）安排，拟安排出国（境）团组</w:t>
      </w:r>
      <w:r>
        <w:rPr>
          <w:rFonts w:ascii="仿宋_GB2312" w:hAnsi="仿宋_GB2312" w:eastAsia="仿宋_GB2312" w:cs="仿宋_GB2312"/>
          <w:u w:val="none"/>
          <w:rtl w:val="0"/>
          <w:lang w:val="en-US"/>
        </w:rPr>
        <w:t>0</w:t>
      </w:r>
      <w:r>
        <w:rPr>
          <w:rFonts w:ascii="仿宋_GB2312" w:hAnsi="仿宋_GB2312" w:eastAsia="仿宋_GB2312" w:cs="仿宋_GB2312"/>
          <w:u w:val="none"/>
          <w:rtl w:val="0"/>
          <w:lang w:val="zh-TW" w:eastAsia="zh-TW"/>
        </w:rPr>
        <w:t>次</w:t>
      </w:r>
      <w:r>
        <w:rPr>
          <w:rFonts w:ascii="仿宋_GB2312" w:hAnsi="仿宋_GB2312" w:eastAsia="仿宋_GB2312" w:cs="仿宋_GB2312"/>
          <w:u w:val="none"/>
          <w:rtl w:val="0"/>
          <w:lang w:val="en-US"/>
        </w:rPr>
        <w:t>, 0</w:t>
      </w:r>
      <w:r>
        <w:rPr>
          <w:rFonts w:ascii="仿宋_GB2312" w:hAnsi="仿宋_GB2312" w:eastAsia="仿宋_GB2312" w:cs="仿宋_GB2312"/>
          <w:u w:val="none"/>
          <w:rtl w:val="0"/>
          <w:lang w:val="zh-TW" w:eastAsia="zh-TW"/>
        </w:rPr>
        <w:t>人。</w:t>
      </w:r>
    </w:p>
    <w:p>
      <w:pPr>
        <w:pStyle w:val="7"/>
        <w:framePr w:wrap="auto" w:vAnchor="margin" w:hAnchor="text" w:yAlign="inline"/>
        <w:numPr>
          <w:ilvl w:val="0"/>
          <w:numId w:val="0"/>
        </w:numPr>
        <w:bidi w:val="0"/>
        <w:spacing w:line="600" w:lineRule="exact"/>
        <w:ind w:left="643" w:leftChars="0" w:right="0" w:rightChars="0"/>
        <w:jc w:val="both"/>
        <w:rPr>
          <w:b/>
          <w:bCs/>
          <w:rtl w:val="0"/>
          <w:lang w:val="zh-TW" w:eastAsia="zh-TW"/>
        </w:rPr>
      </w:pPr>
      <w:r>
        <w:rPr>
          <w:rFonts w:hint="eastAsia" w:ascii="楷体_GB2312" w:hAnsi="楷体_GB2312" w:eastAsia="楷体_GB2312" w:cs="楷体_GB2312"/>
          <w:b/>
          <w:bCs/>
          <w:kern w:val="2"/>
          <w:u w:val="none"/>
          <w:rtl w:val="0"/>
          <w:lang w:val="zh-TW" w:eastAsia="zh-CN"/>
        </w:rPr>
        <w:t>（</w:t>
      </w:r>
      <w:r>
        <w:rPr>
          <w:rFonts w:hint="eastAsia" w:ascii="楷体_GB2312" w:hAnsi="楷体_GB2312" w:eastAsia="楷体_GB2312" w:cs="楷体_GB2312"/>
          <w:b/>
          <w:bCs/>
          <w:kern w:val="2"/>
          <w:u w:val="none"/>
          <w:rtl w:val="0"/>
          <w:lang w:val="en-US" w:eastAsia="zh-CN"/>
        </w:rPr>
        <w:t>二</w:t>
      </w:r>
      <w:r>
        <w:rPr>
          <w:rFonts w:hint="eastAsia" w:ascii="楷体_GB2312" w:hAnsi="楷体_GB2312" w:eastAsia="楷体_GB2312" w:cs="楷体_GB2312"/>
          <w:b/>
          <w:bCs/>
          <w:kern w:val="2"/>
          <w:u w:val="none"/>
          <w:rtl w:val="0"/>
          <w:lang w:val="zh-TW" w:eastAsia="zh-CN"/>
        </w:rPr>
        <w:t>）</w:t>
      </w:r>
      <w:r>
        <w:rPr>
          <w:rFonts w:hint="eastAsia" w:ascii="楷体_GB2312" w:hAnsi="楷体_GB2312" w:eastAsia="楷体_GB2312" w:cs="楷体_GB2312"/>
          <w:b/>
          <w:bCs/>
          <w:kern w:val="2"/>
          <w:u w:val="none"/>
          <w:rtl w:val="0"/>
          <w:lang w:val="zh-TW" w:eastAsia="zh-TW"/>
        </w:rPr>
        <w:t>公务接待费与</w:t>
      </w:r>
      <w:r>
        <w:rPr>
          <w:rFonts w:ascii="Times New Roman" w:hAnsi="Times New Roman"/>
          <w:b/>
          <w:bCs/>
          <w:kern w:val="2"/>
          <w:u w:val="none"/>
          <w:rtl w:val="0"/>
          <w:lang w:val="en-US"/>
        </w:rPr>
        <w:t>2020</w:t>
      </w:r>
      <w:r>
        <w:rPr>
          <w:rFonts w:hint="eastAsia" w:ascii="楷体_GB2312" w:hAnsi="楷体_GB2312" w:eastAsia="楷体_GB2312" w:cs="楷体_GB2312"/>
          <w:b/>
          <w:bCs/>
          <w:kern w:val="2"/>
          <w:u w:val="none"/>
          <w:rtl w:val="0"/>
          <w:lang w:val="zh-TW" w:eastAsia="zh-TW"/>
        </w:rPr>
        <w:t>年预算持平。</w:t>
      </w:r>
    </w:p>
    <w:p>
      <w:pPr>
        <w:pStyle w:val="7"/>
        <w:framePr w:wrap="auto" w:vAnchor="margin" w:hAnchor="text" w:yAlign="inline"/>
        <w:spacing w:line="600" w:lineRule="exact"/>
        <w:ind w:firstLine="640"/>
        <w:rPr>
          <w:rFonts w:ascii="仿宋_GB2312" w:hAnsi="仿宋_GB2312" w:eastAsia="仿宋_GB2312" w:cs="仿宋_GB2312"/>
          <w:u w:val="none"/>
        </w:rPr>
      </w:pPr>
      <w:bookmarkStart w:id="0" w:name="_GoBack"/>
      <w:r>
        <w:rPr>
          <w:rFonts w:ascii="仿宋_GB2312" w:hAnsi="仿宋_GB2312" w:eastAsia="仿宋_GB2312" w:cs="仿宋_GB2312"/>
          <w:u w:val="none"/>
          <w:rtl w:val="0"/>
          <w:lang w:val="zh-TW" w:eastAsia="zh-TW"/>
        </w:rPr>
        <w:t>主要原因是</w:t>
      </w:r>
      <w:r>
        <w:rPr>
          <w:rFonts w:ascii="仿宋_GB2312" w:hAnsi="仿宋_GB2312" w:eastAsia="仿宋_GB2312" w:cs="仿宋_GB2312"/>
          <w:sz w:val="30"/>
          <w:szCs w:val="30"/>
          <w:u w:val="none"/>
          <w:rtl w:val="0"/>
          <w:lang w:val="zh-TW" w:eastAsia="zh-TW"/>
        </w:rPr>
        <w:t>坚决贯彻执行中央八项规定和省</w:t>
      </w:r>
      <w:bookmarkEnd w:id="0"/>
      <w:r>
        <w:rPr>
          <w:rFonts w:ascii="仿宋_GB2312" w:hAnsi="仿宋_GB2312" w:eastAsia="仿宋_GB2312" w:cs="仿宋_GB2312"/>
          <w:sz w:val="30"/>
          <w:szCs w:val="30"/>
          <w:u w:val="none"/>
          <w:rtl w:val="0"/>
          <w:lang w:val="zh-TW" w:eastAsia="zh-TW"/>
        </w:rPr>
        <w:t>、市</w:t>
      </w:r>
      <w:r>
        <w:rPr>
          <w:rFonts w:ascii="仿宋_GB2312" w:hAnsi="仿宋_GB2312" w:eastAsia="仿宋_GB2312" w:cs="仿宋_GB2312"/>
          <w:sz w:val="30"/>
          <w:szCs w:val="30"/>
          <w:u w:val="none"/>
          <w:rtl w:val="0"/>
          <w:lang w:val="en-US"/>
        </w:rPr>
        <w:t>“</w:t>
      </w:r>
      <w:r>
        <w:rPr>
          <w:rFonts w:ascii="仿宋_GB2312" w:hAnsi="仿宋_GB2312" w:eastAsia="仿宋_GB2312" w:cs="仿宋_GB2312"/>
          <w:sz w:val="30"/>
          <w:szCs w:val="30"/>
          <w:u w:val="none"/>
          <w:rtl w:val="0"/>
          <w:lang w:val="zh-TW" w:eastAsia="zh-TW"/>
        </w:rPr>
        <w:t>十项规定</w:t>
      </w:r>
      <w:r>
        <w:rPr>
          <w:rFonts w:ascii="仿宋_GB2312" w:hAnsi="仿宋_GB2312" w:eastAsia="仿宋_GB2312" w:cs="仿宋_GB2312"/>
          <w:sz w:val="30"/>
          <w:szCs w:val="30"/>
          <w:u w:val="none"/>
          <w:rtl w:val="0"/>
          <w:lang w:val="en-US"/>
        </w:rPr>
        <w:t>”</w:t>
      </w:r>
      <w:r>
        <w:rPr>
          <w:rFonts w:ascii="仿宋_GB2312" w:hAnsi="仿宋_GB2312" w:eastAsia="仿宋_GB2312" w:cs="仿宋_GB2312"/>
          <w:sz w:val="30"/>
          <w:szCs w:val="30"/>
          <w:u w:val="none"/>
          <w:rtl w:val="0"/>
          <w:lang w:val="zh-TW" w:eastAsia="zh-TW"/>
        </w:rPr>
        <w:t>以及《党政机关厉行节约反对浪费条例》等相关规定，控制公务接待费支出</w:t>
      </w:r>
      <w:r>
        <w:rPr>
          <w:rFonts w:ascii="仿宋_GB2312" w:hAnsi="仿宋_GB2312" w:eastAsia="仿宋_GB2312" w:cs="仿宋_GB2312"/>
          <w:u w:val="none"/>
          <w:rtl w:val="0"/>
          <w:lang w:val="zh-TW" w:eastAsia="zh-TW"/>
        </w:rPr>
        <w:t>。</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年公务接待费计划用于全省各地市州相关业务部门及省各相关业务单位来攀检查指导工作的工作餐费支出。</w:t>
      </w:r>
    </w:p>
    <w:p>
      <w:pPr>
        <w:pStyle w:val="7"/>
        <w:framePr w:wrap="auto" w:vAnchor="margin" w:hAnchor="text" w:yAlign="inline"/>
        <w:numPr>
          <w:ilvl w:val="0"/>
          <w:numId w:val="0"/>
        </w:numPr>
        <w:bidi w:val="0"/>
        <w:spacing w:line="600" w:lineRule="exact"/>
        <w:ind w:left="643" w:leftChars="0" w:right="0" w:rightChars="0"/>
        <w:jc w:val="both"/>
        <w:rPr>
          <w:rFonts w:ascii="楷体_GB2312" w:hAnsi="楷体_GB2312" w:eastAsia="楷体_GB2312" w:cs="楷体_GB2312"/>
          <w:b/>
          <w:bCs/>
          <w:rtl w:val="0"/>
          <w:lang w:val="zh-TW" w:eastAsia="zh-TW"/>
        </w:rPr>
      </w:pPr>
      <w:r>
        <w:rPr>
          <w:rFonts w:hint="eastAsia" w:ascii="楷体_GB2312" w:hAnsi="楷体_GB2312" w:eastAsia="楷体_GB2312" w:cs="楷体_GB2312"/>
          <w:b/>
          <w:bCs/>
          <w:u w:val="none"/>
          <w:rtl w:val="0"/>
          <w:lang w:val="zh-TW" w:eastAsia="zh-CN"/>
        </w:rPr>
        <w:t>（</w:t>
      </w:r>
      <w:r>
        <w:rPr>
          <w:rFonts w:hint="eastAsia" w:ascii="楷体_GB2312" w:hAnsi="楷体_GB2312" w:eastAsia="楷体_GB2312" w:cs="楷体_GB2312"/>
          <w:b/>
          <w:bCs/>
          <w:u w:val="none"/>
          <w:rtl w:val="0"/>
          <w:lang w:val="en-US" w:eastAsia="zh-CN"/>
        </w:rPr>
        <w:t>三</w:t>
      </w:r>
      <w:r>
        <w:rPr>
          <w:rFonts w:hint="eastAsia" w:ascii="楷体_GB2312" w:hAnsi="楷体_GB2312" w:eastAsia="楷体_GB2312" w:cs="楷体_GB2312"/>
          <w:b/>
          <w:bCs/>
          <w:u w:val="none"/>
          <w:rtl w:val="0"/>
          <w:lang w:val="zh-TW" w:eastAsia="zh-CN"/>
        </w:rPr>
        <w:t>）</w:t>
      </w:r>
      <w:r>
        <w:rPr>
          <w:rFonts w:ascii="楷体_GB2312" w:hAnsi="楷体_GB2312" w:eastAsia="楷体_GB2312" w:cs="楷体_GB2312"/>
          <w:b/>
          <w:bCs/>
          <w:u w:val="none"/>
          <w:rtl w:val="0"/>
          <w:lang w:val="zh-TW" w:eastAsia="zh-TW"/>
        </w:rPr>
        <w:t>公务用车购置及运行维护费较</w:t>
      </w:r>
      <w:r>
        <w:rPr>
          <w:rFonts w:ascii="楷体_GB2312" w:hAnsi="楷体_GB2312" w:eastAsia="楷体_GB2312" w:cs="楷体_GB2312"/>
          <w:b/>
          <w:bCs/>
          <w:u w:val="none"/>
          <w:rtl w:val="0"/>
          <w:lang w:val="en-US"/>
        </w:rPr>
        <w:t>2020</w:t>
      </w:r>
      <w:r>
        <w:rPr>
          <w:rFonts w:ascii="楷体_GB2312" w:hAnsi="楷体_GB2312" w:eastAsia="楷体_GB2312" w:cs="楷体_GB2312"/>
          <w:b/>
          <w:bCs/>
          <w:u w:val="none"/>
          <w:rtl w:val="0"/>
          <w:lang w:val="zh-TW" w:eastAsia="zh-TW"/>
        </w:rPr>
        <w:t>年预算下降</w:t>
      </w:r>
      <w:r>
        <w:rPr>
          <w:rFonts w:ascii="Times New Roman" w:hAnsi="Times New Roman" w:eastAsia="楷体_GB2312" w:cs="楷体_GB2312"/>
          <w:b/>
          <w:bCs/>
          <w:u w:val="none"/>
          <w:rtl w:val="0"/>
          <w:lang w:val="en-US"/>
        </w:rPr>
        <w:t>5.26</w:t>
      </w:r>
      <w:r>
        <w:rPr>
          <w:rFonts w:ascii="楷体_GB2312" w:hAnsi="楷体_GB2312" w:eastAsia="楷体_GB2312" w:cs="楷体_GB2312"/>
          <w:b/>
          <w:bCs/>
          <w:u w:val="none"/>
          <w:rtl w:val="0"/>
          <w:lang w:val="en-US"/>
        </w:rPr>
        <w:t>%</w:t>
      </w:r>
      <w:r>
        <w:rPr>
          <w:rFonts w:ascii="楷体_GB2312" w:hAnsi="楷体_GB2312" w:eastAsia="楷体_GB2312" w:cs="楷体_GB2312"/>
          <w:b/>
          <w:bCs/>
          <w:u w:val="none"/>
          <w:rtl w:val="0"/>
          <w:lang w:val="zh-TW" w:eastAsia="zh-TW"/>
        </w:rPr>
        <w:t>。</w:t>
      </w:r>
    </w:p>
    <w:p>
      <w:pPr>
        <w:pStyle w:val="7"/>
        <w:framePr w:wrap="auto" w:vAnchor="margin" w:hAnchor="text" w:yAlign="inline"/>
        <w:spacing w:line="600" w:lineRule="exact"/>
        <w:ind w:firstLine="640"/>
        <w:rPr>
          <w:rFonts w:ascii="楷体_GB2312" w:hAnsi="楷体_GB2312" w:eastAsia="楷体_GB2312" w:cs="楷体_GB2312"/>
          <w:b/>
          <w:bCs/>
          <w:u w:val="none"/>
          <w:lang w:val="zh-TW" w:eastAsia="zh-TW"/>
        </w:rPr>
      </w:pPr>
      <w:r>
        <w:rPr>
          <w:rFonts w:ascii="仿宋_GB2312" w:hAnsi="仿宋_GB2312" w:eastAsia="仿宋_GB2312" w:cs="仿宋_GB2312"/>
          <w:u w:val="none"/>
          <w:rtl w:val="0"/>
          <w:lang w:val="zh-TW" w:eastAsia="zh-TW"/>
        </w:rPr>
        <w:t>主要原因是</w:t>
      </w:r>
      <w:r>
        <w:rPr>
          <w:rFonts w:ascii="仿宋_GB2312" w:hAnsi="仿宋_GB2312" w:eastAsia="仿宋_GB2312" w:cs="仿宋_GB2312"/>
          <w:sz w:val="30"/>
          <w:szCs w:val="30"/>
          <w:u w:val="none"/>
          <w:rtl w:val="0"/>
          <w:lang w:val="zh-TW" w:eastAsia="zh-TW"/>
        </w:rPr>
        <w:t>加强公务用车的管理，制定严格的公务车使用制度，提高了公务车的使用效率，减少公务用车支出。</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单位现有公务用车</w:t>
      </w:r>
      <w:r>
        <w:rPr>
          <w:rFonts w:ascii="Times New Roman" w:hAnsi="Times New Roman"/>
          <w:u w:val="none"/>
          <w:rtl w:val="0"/>
          <w:lang w:val="en-US"/>
        </w:rPr>
        <w:t>1</w:t>
      </w:r>
      <w:r>
        <w:rPr>
          <w:rFonts w:ascii="仿宋_GB2312" w:hAnsi="仿宋_GB2312" w:eastAsia="仿宋_GB2312" w:cs="仿宋_GB2312"/>
          <w:u w:val="none"/>
          <w:rtl w:val="0"/>
          <w:lang w:val="zh-TW" w:eastAsia="zh-TW"/>
        </w:rPr>
        <w:t>辆，其中：轿车（含</w:t>
      </w:r>
      <w:r>
        <w:rPr>
          <w:rFonts w:ascii="仿宋_GB2312" w:hAnsi="仿宋_GB2312" w:eastAsia="仿宋_GB2312" w:cs="仿宋_GB2312"/>
          <w:u w:val="none"/>
          <w:rtl w:val="0"/>
          <w:lang w:val="en-US"/>
        </w:rPr>
        <w:t>7</w:t>
      </w:r>
      <w:r>
        <w:rPr>
          <w:rFonts w:ascii="仿宋_GB2312" w:hAnsi="仿宋_GB2312" w:eastAsia="仿宋_GB2312" w:cs="仿宋_GB2312"/>
          <w:u w:val="none"/>
          <w:rtl w:val="0"/>
          <w:lang w:val="zh-TW" w:eastAsia="zh-TW"/>
        </w:rPr>
        <w:t>座以下商务车、城市越野车）</w:t>
      </w:r>
      <w:r>
        <w:rPr>
          <w:rFonts w:ascii="Times New Roman" w:hAnsi="Times New Roman"/>
          <w:u w:val="none"/>
          <w:rtl w:val="0"/>
          <w:lang w:val="en-US"/>
        </w:rPr>
        <w:t>1</w:t>
      </w:r>
      <w:r>
        <w:rPr>
          <w:rFonts w:ascii="仿宋_GB2312" w:hAnsi="仿宋_GB2312" w:eastAsia="仿宋_GB2312" w:cs="仿宋_GB2312"/>
          <w:u w:val="none"/>
          <w:rtl w:val="0"/>
          <w:lang w:val="zh-TW" w:eastAsia="zh-TW"/>
        </w:rPr>
        <w:t>辆，</w:t>
      </w:r>
      <w:r>
        <w:rPr>
          <w:rFonts w:ascii="仿宋_GB2312" w:hAnsi="仿宋_GB2312" w:eastAsia="仿宋_GB2312" w:cs="仿宋_GB2312"/>
          <w:u w:val="none"/>
          <w:rtl w:val="0"/>
          <w:lang w:val="en-US"/>
        </w:rPr>
        <w:t>7</w:t>
      </w:r>
      <w:r>
        <w:rPr>
          <w:rFonts w:ascii="仿宋_GB2312" w:hAnsi="仿宋_GB2312" w:eastAsia="仿宋_GB2312" w:cs="仿宋_GB2312"/>
          <w:u w:val="none"/>
          <w:rtl w:val="0"/>
          <w:lang w:val="zh-TW" w:eastAsia="zh-TW"/>
        </w:rPr>
        <w:t>座以上</w:t>
      </w:r>
      <w:r>
        <w:rPr>
          <w:rFonts w:ascii="仿宋_GB2312" w:hAnsi="仿宋_GB2312" w:eastAsia="仿宋_GB2312" w:cs="仿宋_GB2312"/>
          <w:u w:val="none"/>
          <w:rtl w:val="0"/>
          <w:lang w:val="en-US"/>
        </w:rPr>
        <w:t>19</w:t>
      </w:r>
      <w:r>
        <w:rPr>
          <w:rFonts w:ascii="仿宋_GB2312" w:hAnsi="仿宋_GB2312" w:eastAsia="仿宋_GB2312" w:cs="仿宋_GB2312"/>
          <w:u w:val="none"/>
          <w:rtl w:val="0"/>
          <w:lang w:val="zh-TW" w:eastAsia="zh-TW"/>
        </w:rPr>
        <w:t>座（含</w:t>
      </w:r>
      <w:r>
        <w:rPr>
          <w:rFonts w:ascii="仿宋_GB2312" w:hAnsi="仿宋_GB2312" w:eastAsia="仿宋_GB2312" w:cs="仿宋_GB2312"/>
          <w:u w:val="none"/>
          <w:rtl w:val="0"/>
          <w:lang w:val="en-US"/>
        </w:rPr>
        <w:t>19</w:t>
      </w:r>
      <w:r>
        <w:rPr>
          <w:rFonts w:ascii="仿宋_GB2312" w:hAnsi="仿宋_GB2312" w:eastAsia="仿宋_GB2312" w:cs="仿宋_GB2312"/>
          <w:u w:val="none"/>
          <w:rtl w:val="0"/>
          <w:lang w:val="zh-TW" w:eastAsia="zh-TW"/>
        </w:rPr>
        <w:t>座）以下客车</w:t>
      </w:r>
      <w:r>
        <w:rPr>
          <w:rFonts w:ascii="Times New Roman" w:hAnsi="Times New Roman"/>
          <w:u w:val="none"/>
          <w:rtl w:val="0"/>
          <w:lang w:val="en-US"/>
        </w:rPr>
        <w:t>0</w:t>
      </w:r>
      <w:r>
        <w:rPr>
          <w:rFonts w:ascii="仿宋_GB2312" w:hAnsi="仿宋_GB2312" w:eastAsia="仿宋_GB2312" w:cs="仿宋_GB2312"/>
          <w:u w:val="none"/>
          <w:rtl w:val="0"/>
          <w:lang w:val="zh-TW" w:eastAsia="zh-TW"/>
        </w:rPr>
        <w:t>辆，越野车</w:t>
      </w:r>
      <w:r>
        <w:rPr>
          <w:rFonts w:ascii="Times New Roman" w:hAnsi="Times New Roman"/>
          <w:u w:val="none"/>
          <w:rtl w:val="0"/>
          <w:lang w:val="en-US"/>
        </w:rPr>
        <w:t>0</w:t>
      </w:r>
      <w:r>
        <w:rPr>
          <w:rFonts w:ascii="仿宋_GB2312" w:hAnsi="仿宋_GB2312" w:eastAsia="仿宋_GB2312" w:cs="仿宋_GB2312"/>
          <w:u w:val="none"/>
          <w:rtl w:val="0"/>
          <w:lang w:val="zh-TW" w:eastAsia="zh-TW"/>
        </w:rPr>
        <w:t>辆，货车及</w:t>
      </w:r>
      <w:r>
        <w:rPr>
          <w:rFonts w:ascii="仿宋_GB2312" w:hAnsi="仿宋_GB2312" w:eastAsia="仿宋_GB2312" w:cs="仿宋_GB2312"/>
          <w:u w:val="none"/>
          <w:rtl w:val="0"/>
          <w:lang w:val="en-US"/>
        </w:rPr>
        <w:t>19</w:t>
      </w:r>
      <w:r>
        <w:rPr>
          <w:rFonts w:ascii="仿宋_GB2312" w:hAnsi="仿宋_GB2312" w:eastAsia="仿宋_GB2312" w:cs="仿宋_GB2312"/>
          <w:u w:val="none"/>
          <w:rtl w:val="0"/>
          <w:lang w:val="zh-TW" w:eastAsia="zh-TW"/>
        </w:rPr>
        <w:t>座以上客车</w:t>
      </w:r>
      <w:r>
        <w:rPr>
          <w:rFonts w:ascii="Times New Roman" w:hAnsi="Times New Roman"/>
          <w:u w:val="none"/>
          <w:rtl w:val="0"/>
          <w:lang w:val="en-US"/>
        </w:rPr>
        <w:t>0</w:t>
      </w:r>
      <w:r>
        <w:rPr>
          <w:rFonts w:ascii="仿宋_GB2312" w:hAnsi="仿宋_GB2312" w:eastAsia="仿宋_GB2312" w:cs="仿宋_GB2312"/>
          <w:u w:val="none"/>
          <w:rtl w:val="0"/>
          <w:lang w:val="zh-TW" w:eastAsia="zh-TW"/>
        </w:rPr>
        <w:t>辆，摩托车</w:t>
      </w:r>
      <w:r>
        <w:rPr>
          <w:rFonts w:ascii="Times New Roman" w:hAnsi="Times New Roman"/>
          <w:u w:val="none"/>
          <w:rtl w:val="0"/>
          <w:lang w:val="en-US"/>
        </w:rPr>
        <w:t>0</w:t>
      </w:r>
      <w:r>
        <w:rPr>
          <w:rFonts w:ascii="仿宋_GB2312" w:hAnsi="仿宋_GB2312" w:eastAsia="仿宋_GB2312" w:cs="仿宋_GB2312"/>
          <w:u w:val="none"/>
          <w:rtl w:val="0"/>
          <w:lang w:val="zh-TW" w:eastAsia="zh-TW"/>
        </w:rPr>
        <w:t>辆。</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年安排公务用车购置费</w:t>
      </w:r>
      <w:r>
        <w:rPr>
          <w:rFonts w:ascii="Times New Roman" w:hAnsi="Times New Roman"/>
          <w:u w:val="none"/>
          <w:rtl w:val="0"/>
          <w:lang w:val="en-US"/>
        </w:rPr>
        <w:t>0</w:t>
      </w:r>
      <w:r>
        <w:rPr>
          <w:rFonts w:ascii="仿宋_GB2312" w:hAnsi="仿宋_GB2312" w:eastAsia="仿宋_GB2312" w:cs="仿宋_GB2312"/>
          <w:u w:val="none"/>
          <w:rtl w:val="0"/>
          <w:lang w:val="zh-TW" w:eastAsia="zh-TW"/>
        </w:rPr>
        <w:t>万元，购置公务用车</w:t>
      </w:r>
      <w:r>
        <w:rPr>
          <w:rFonts w:ascii="Times New Roman" w:hAnsi="Times New Roman"/>
          <w:u w:val="none"/>
          <w:rtl w:val="0"/>
          <w:lang w:val="en-US"/>
        </w:rPr>
        <w:t>0</w:t>
      </w:r>
      <w:r>
        <w:rPr>
          <w:rFonts w:ascii="仿宋_GB2312" w:hAnsi="仿宋_GB2312" w:eastAsia="仿宋_GB2312" w:cs="仿宋_GB2312"/>
          <w:u w:val="none"/>
          <w:rtl w:val="0"/>
          <w:lang w:val="zh-TW" w:eastAsia="zh-TW"/>
        </w:rPr>
        <w:t>辆，其中：轿车（含</w:t>
      </w:r>
      <w:r>
        <w:rPr>
          <w:rFonts w:ascii="仿宋_GB2312" w:hAnsi="仿宋_GB2312" w:eastAsia="仿宋_GB2312" w:cs="仿宋_GB2312"/>
          <w:u w:val="none"/>
          <w:rtl w:val="0"/>
          <w:lang w:val="en-US"/>
        </w:rPr>
        <w:t>7</w:t>
      </w:r>
      <w:r>
        <w:rPr>
          <w:rFonts w:ascii="仿宋_GB2312" w:hAnsi="仿宋_GB2312" w:eastAsia="仿宋_GB2312" w:cs="仿宋_GB2312"/>
          <w:u w:val="none"/>
          <w:rtl w:val="0"/>
          <w:lang w:val="zh-TW" w:eastAsia="zh-TW"/>
        </w:rPr>
        <w:t>座以下商务车、城市越野车）</w:t>
      </w:r>
      <w:r>
        <w:rPr>
          <w:rFonts w:ascii="Times New Roman" w:hAnsi="Times New Roman"/>
          <w:u w:val="none"/>
          <w:rtl w:val="0"/>
          <w:lang w:val="en-US"/>
        </w:rPr>
        <w:t>0</w:t>
      </w:r>
      <w:r>
        <w:rPr>
          <w:rFonts w:ascii="仿宋_GB2312" w:hAnsi="仿宋_GB2312" w:eastAsia="仿宋_GB2312" w:cs="仿宋_GB2312"/>
          <w:u w:val="none"/>
          <w:rtl w:val="0"/>
          <w:lang w:val="zh-TW" w:eastAsia="zh-TW"/>
        </w:rPr>
        <w:t>辆，</w:t>
      </w:r>
      <w:r>
        <w:rPr>
          <w:rFonts w:ascii="仿宋_GB2312" w:hAnsi="仿宋_GB2312" w:eastAsia="仿宋_GB2312" w:cs="仿宋_GB2312"/>
          <w:u w:val="none"/>
          <w:rtl w:val="0"/>
          <w:lang w:val="en-US"/>
        </w:rPr>
        <w:t>7</w:t>
      </w:r>
      <w:r>
        <w:rPr>
          <w:rFonts w:ascii="仿宋_GB2312" w:hAnsi="仿宋_GB2312" w:eastAsia="仿宋_GB2312" w:cs="仿宋_GB2312"/>
          <w:u w:val="none"/>
          <w:rtl w:val="0"/>
          <w:lang w:val="zh-TW" w:eastAsia="zh-TW"/>
        </w:rPr>
        <w:t>座以上</w:t>
      </w:r>
      <w:r>
        <w:rPr>
          <w:rFonts w:ascii="仿宋_GB2312" w:hAnsi="仿宋_GB2312" w:eastAsia="仿宋_GB2312" w:cs="仿宋_GB2312"/>
          <w:u w:val="none"/>
          <w:rtl w:val="0"/>
          <w:lang w:val="en-US"/>
        </w:rPr>
        <w:t>19</w:t>
      </w:r>
      <w:r>
        <w:rPr>
          <w:rFonts w:ascii="仿宋_GB2312" w:hAnsi="仿宋_GB2312" w:eastAsia="仿宋_GB2312" w:cs="仿宋_GB2312"/>
          <w:u w:val="none"/>
          <w:rtl w:val="0"/>
          <w:lang w:val="zh-TW" w:eastAsia="zh-TW"/>
        </w:rPr>
        <w:t>座（含</w:t>
      </w:r>
      <w:r>
        <w:rPr>
          <w:rFonts w:ascii="仿宋_GB2312" w:hAnsi="仿宋_GB2312" w:eastAsia="仿宋_GB2312" w:cs="仿宋_GB2312"/>
          <w:u w:val="none"/>
          <w:rtl w:val="0"/>
          <w:lang w:val="en-US"/>
        </w:rPr>
        <w:t>19</w:t>
      </w:r>
      <w:r>
        <w:rPr>
          <w:rFonts w:ascii="仿宋_GB2312" w:hAnsi="仿宋_GB2312" w:eastAsia="仿宋_GB2312" w:cs="仿宋_GB2312"/>
          <w:u w:val="none"/>
          <w:rtl w:val="0"/>
          <w:lang w:val="zh-TW" w:eastAsia="zh-TW"/>
        </w:rPr>
        <w:t>座）以下客车</w:t>
      </w:r>
      <w:r>
        <w:rPr>
          <w:rFonts w:ascii="Times New Roman" w:hAnsi="Times New Roman"/>
          <w:u w:val="none"/>
          <w:rtl w:val="0"/>
          <w:lang w:val="en-US"/>
        </w:rPr>
        <w:t>0</w:t>
      </w:r>
      <w:r>
        <w:rPr>
          <w:rFonts w:ascii="仿宋_GB2312" w:hAnsi="仿宋_GB2312" w:eastAsia="仿宋_GB2312" w:cs="仿宋_GB2312"/>
          <w:u w:val="none"/>
          <w:rtl w:val="0"/>
          <w:lang w:val="zh-TW" w:eastAsia="zh-TW"/>
        </w:rPr>
        <w:t>辆，越野车</w:t>
      </w:r>
      <w:r>
        <w:rPr>
          <w:rFonts w:ascii="Times New Roman" w:hAnsi="Times New Roman"/>
          <w:u w:val="none"/>
          <w:rtl w:val="0"/>
          <w:lang w:val="en-US"/>
        </w:rPr>
        <w:t>0</w:t>
      </w:r>
      <w:r>
        <w:rPr>
          <w:rFonts w:ascii="仿宋_GB2312" w:hAnsi="仿宋_GB2312" w:eastAsia="仿宋_GB2312" w:cs="仿宋_GB2312"/>
          <w:u w:val="none"/>
          <w:rtl w:val="0"/>
          <w:lang w:val="zh-TW" w:eastAsia="zh-TW"/>
        </w:rPr>
        <w:t>辆，货车及</w:t>
      </w:r>
      <w:r>
        <w:rPr>
          <w:rFonts w:ascii="仿宋_GB2312" w:hAnsi="仿宋_GB2312" w:eastAsia="仿宋_GB2312" w:cs="仿宋_GB2312"/>
          <w:u w:val="none"/>
          <w:rtl w:val="0"/>
          <w:lang w:val="en-US"/>
        </w:rPr>
        <w:t>19</w:t>
      </w:r>
      <w:r>
        <w:rPr>
          <w:rFonts w:ascii="仿宋_GB2312" w:hAnsi="仿宋_GB2312" w:eastAsia="仿宋_GB2312" w:cs="仿宋_GB2312"/>
          <w:u w:val="none"/>
          <w:rtl w:val="0"/>
          <w:lang w:val="zh-TW" w:eastAsia="zh-TW"/>
        </w:rPr>
        <w:t>座以上客车</w:t>
      </w:r>
      <w:r>
        <w:rPr>
          <w:rFonts w:ascii="Times New Roman" w:hAnsi="Times New Roman"/>
          <w:u w:val="none"/>
          <w:rtl w:val="0"/>
          <w:lang w:val="en-US"/>
        </w:rPr>
        <w:t>0</w:t>
      </w:r>
      <w:r>
        <w:rPr>
          <w:rFonts w:ascii="仿宋_GB2312" w:hAnsi="仿宋_GB2312" w:eastAsia="仿宋_GB2312" w:cs="仿宋_GB2312"/>
          <w:u w:val="none"/>
          <w:rtl w:val="0"/>
          <w:lang w:val="zh-TW" w:eastAsia="zh-TW"/>
        </w:rPr>
        <w:t>辆，摩托车</w:t>
      </w:r>
      <w:r>
        <w:rPr>
          <w:rFonts w:ascii="Times New Roman" w:hAnsi="Times New Roman"/>
          <w:u w:val="none"/>
          <w:rtl w:val="0"/>
          <w:lang w:val="en-US"/>
        </w:rPr>
        <w:t>0</w:t>
      </w:r>
      <w:r>
        <w:rPr>
          <w:rFonts w:ascii="仿宋_GB2312" w:hAnsi="仿宋_GB2312" w:eastAsia="仿宋_GB2312" w:cs="仿宋_GB2312"/>
          <w:u w:val="none"/>
          <w:rtl w:val="0"/>
          <w:lang w:val="zh-TW" w:eastAsia="zh-TW"/>
        </w:rPr>
        <w:t>辆。</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年安排公务用车运行维护费</w:t>
      </w:r>
      <w:r>
        <w:rPr>
          <w:rFonts w:ascii="仿宋_GB2312" w:hAnsi="仿宋_GB2312" w:eastAsia="仿宋_GB2312" w:cs="仿宋_GB2312"/>
          <w:u w:val="none"/>
          <w:rtl w:val="0"/>
          <w:lang w:val="en-US"/>
        </w:rPr>
        <w:t>1.62</w:t>
      </w:r>
      <w:r>
        <w:rPr>
          <w:rFonts w:ascii="仿宋_GB2312" w:hAnsi="仿宋_GB2312" w:eastAsia="仿宋_GB2312" w:cs="仿宋_GB2312"/>
          <w:u w:val="none"/>
          <w:rtl w:val="0"/>
          <w:lang w:val="zh-TW" w:eastAsia="zh-TW"/>
        </w:rPr>
        <w:t>万元，用于</w:t>
      </w:r>
      <w:r>
        <w:rPr>
          <w:rFonts w:ascii="仿宋_GB2312" w:hAnsi="仿宋_GB2312" w:eastAsia="仿宋_GB2312" w:cs="仿宋_GB2312"/>
          <w:u w:val="none"/>
          <w:rtl w:val="0"/>
          <w:lang w:val="en-US"/>
        </w:rPr>
        <w:t>1</w:t>
      </w:r>
      <w:r>
        <w:rPr>
          <w:rFonts w:ascii="仿宋_GB2312" w:hAnsi="仿宋_GB2312" w:eastAsia="仿宋_GB2312" w:cs="仿宋_GB2312"/>
          <w:u w:val="none"/>
          <w:rtl w:val="0"/>
          <w:lang w:val="zh-TW" w:eastAsia="zh-TW"/>
        </w:rPr>
        <w:t>辆公务用车（燃油、维修、车辆通行）等方面支出，主要保障</w:t>
      </w:r>
      <w:r>
        <w:rPr>
          <w:rFonts w:ascii="仿宋_GB2312" w:hAnsi="仿宋_GB2312" w:eastAsia="仿宋_GB2312" w:cs="仿宋_GB2312"/>
          <w:kern w:val="0"/>
          <w:u w:val="none"/>
          <w:rtl w:val="0"/>
          <w:lang w:val="zh-TW" w:eastAsia="zh-TW"/>
        </w:rPr>
        <w:t>攀枝花市体育场馆中心日常工作正常运转及</w:t>
      </w:r>
      <w:r>
        <w:rPr>
          <w:rFonts w:ascii="仿宋_GB2312" w:hAnsi="仿宋_GB2312" w:eastAsia="仿宋_GB2312" w:cs="仿宋_GB2312"/>
          <w:u w:val="none"/>
          <w:rtl w:val="0"/>
          <w:lang w:val="zh-TW" w:eastAsia="zh-TW"/>
        </w:rPr>
        <w:t>青少年业余训练、培训</w:t>
      </w:r>
      <w:r>
        <w:rPr>
          <w:rFonts w:ascii="仿宋_GB2312" w:hAnsi="仿宋_GB2312" w:eastAsia="仿宋_GB2312" w:cs="仿宋_GB2312"/>
          <w:outline w:val="0"/>
          <w:color w:val="000000"/>
          <w:u w:val="none" w:color="000000"/>
          <w:rtl w:val="0"/>
          <w:lang w:val="zh-TW" w:eastAsia="zh-TW"/>
        </w:rPr>
        <w:t>任务及场馆对外开放目标专项业务工作的</w:t>
      </w:r>
      <w:r>
        <w:rPr>
          <w:rFonts w:ascii="仿宋_GB2312" w:hAnsi="仿宋_GB2312" w:eastAsia="仿宋_GB2312" w:cs="仿宋_GB2312"/>
          <w:u w:val="none"/>
          <w:rtl w:val="0"/>
          <w:lang w:val="zh-TW" w:eastAsia="zh-TW"/>
        </w:rPr>
        <w:t>开展。</w:t>
      </w:r>
    </w:p>
    <w:p>
      <w:pPr>
        <w:pStyle w:val="7"/>
        <w:framePr w:wrap="auto" w:vAnchor="margin" w:hAnchor="text" w:yAlign="inline"/>
        <w:spacing w:line="600" w:lineRule="exact"/>
        <w:ind w:firstLine="643"/>
        <w:rPr>
          <w:rFonts w:ascii="黑体" w:hAnsi="黑体" w:eastAsia="黑体" w:cs="黑体"/>
          <w:b/>
          <w:bCs/>
          <w:u w:val="none"/>
          <w:lang w:val="zh-TW" w:eastAsia="zh-TW"/>
        </w:rPr>
      </w:pPr>
      <w:r>
        <w:rPr>
          <w:rFonts w:ascii="黑体" w:hAnsi="黑体" w:eastAsia="黑体" w:cs="黑体"/>
          <w:b/>
          <w:bCs/>
          <w:u w:val="none"/>
          <w:rtl w:val="0"/>
          <w:lang w:val="zh-TW" w:eastAsia="zh-TW"/>
        </w:rPr>
        <w:t>八、政府性基金预算支出情况说明</w:t>
      </w:r>
    </w:p>
    <w:p>
      <w:pPr>
        <w:pStyle w:val="7"/>
        <w:framePr w:wrap="auto" w:vAnchor="margin" w:hAnchor="text" w:yAlign="inline"/>
        <w:spacing w:line="600" w:lineRule="exact"/>
        <w:ind w:firstLine="640"/>
        <w:rPr>
          <w:rFonts w:ascii="黑体" w:hAnsi="黑体" w:eastAsia="黑体" w:cs="黑体"/>
          <w:u w:val="none"/>
        </w:rPr>
      </w:pPr>
      <w:r>
        <w:rPr>
          <w:rFonts w:ascii="仿宋_GB2312" w:hAnsi="仿宋_GB2312" w:eastAsia="仿宋_GB2312" w:cs="仿宋_GB2312"/>
          <w:kern w:val="0"/>
          <w:u w:val="none"/>
          <w:rtl w:val="0"/>
          <w:lang w:val="zh-TW" w:eastAsia="zh-TW"/>
        </w:rPr>
        <w:t>攀枝花市体育场馆中心</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年政府性基金预算拨款安排的支出为</w:t>
      </w:r>
      <w:r>
        <w:rPr>
          <w:rFonts w:ascii="仿宋_GB2312" w:hAnsi="仿宋_GB2312" w:eastAsia="仿宋_GB2312" w:cs="仿宋_GB2312"/>
          <w:u w:val="none"/>
          <w:rtl w:val="0"/>
          <w:lang w:val="en-US"/>
        </w:rPr>
        <w:t>0</w:t>
      </w:r>
      <w:r>
        <w:rPr>
          <w:rFonts w:ascii="仿宋_GB2312" w:hAnsi="仿宋_GB2312" w:eastAsia="仿宋_GB2312" w:cs="仿宋_GB2312"/>
          <w:u w:val="none"/>
          <w:rtl w:val="0"/>
          <w:lang w:val="zh-TW" w:eastAsia="zh-TW"/>
        </w:rPr>
        <w:t>万元。</w:t>
      </w:r>
    </w:p>
    <w:p>
      <w:pPr>
        <w:pStyle w:val="7"/>
        <w:framePr w:wrap="auto" w:vAnchor="margin" w:hAnchor="text" w:yAlign="inline"/>
        <w:spacing w:line="600" w:lineRule="exact"/>
        <w:ind w:firstLine="643"/>
        <w:rPr>
          <w:rFonts w:ascii="黑体" w:hAnsi="黑体" w:eastAsia="黑体" w:cs="黑体"/>
          <w:b/>
          <w:bCs/>
          <w:u w:val="none"/>
          <w:lang w:val="zh-TW" w:eastAsia="zh-TW"/>
        </w:rPr>
      </w:pPr>
      <w:r>
        <w:rPr>
          <w:rFonts w:ascii="黑体" w:hAnsi="黑体" w:eastAsia="黑体" w:cs="黑体"/>
          <w:b/>
          <w:bCs/>
          <w:u w:val="none"/>
          <w:rtl w:val="0"/>
          <w:lang w:val="zh-TW" w:eastAsia="zh-TW"/>
        </w:rPr>
        <w:t>九、其他重要事项的情况说明</w:t>
      </w:r>
    </w:p>
    <w:p>
      <w:pPr>
        <w:pStyle w:val="7"/>
        <w:framePr w:wrap="auto" w:vAnchor="margin" w:hAnchor="text" w:yAlign="inline"/>
        <w:spacing w:line="600" w:lineRule="exact"/>
        <w:ind w:firstLine="643"/>
        <w:rPr>
          <w:rFonts w:ascii="楷体_GB2312" w:hAnsi="楷体_GB2312" w:eastAsia="楷体_GB2312" w:cs="楷体_GB2312"/>
          <w:b/>
          <w:bCs/>
          <w:outline w:val="0"/>
          <w:color w:val="FF0000"/>
          <w:u w:val="none" w:color="FF0000"/>
          <w:lang w:val="zh-TW" w:eastAsia="zh-TW"/>
        </w:rPr>
      </w:pPr>
      <w:r>
        <w:rPr>
          <w:rFonts w:ascii="楷体_GB2312" w:hAnsi="楷体_GB2312" w:eastAsia="楷体_GB2312" w:cs="楷体_GB2312"/>
          <w:b/>
          <w:bCs/>
          <w:u w:val="none"/>
          <w:rtl w:val="0"/>
          <w:lang w:val="zh-TW" w:eastAsia="zh-TW"/>
        </w:rPr>
        <w:t>（一）</w:t>
      </w:r>
      <w:r>
        <w:rPr>
          <w:rFonts w:ascii="楷体_GB2312" w:hAnsi="楷体_GB2312" w:eastAsia="楷体_GB2312" w:cs="楷体_GB2312"/>
          <w:b/>
          <w:bCs/>
          <w:u w:val="none"/>
          <w:rtl w:val="0"/>
          <w:lang w:val="zh-CN" w:eastAsia="zh-CN"/>
        </w:rPr>
        <w:t>机关</w:t>
      </w:r>
      <w:r>
        <w:rPr>
          <w:rFonts w:ascii="楷体_GB2312" w:hAnsi="楷体_GB2312" w:eastAsia="楷体_GB2312" w:cs="楷体_GB2312"/>
          <w:b/>
          <w:bCs/>
          <w:u w:val="none"/>
          <w:rtl w:val="0"/>
          <w:lang w:val="zh-TW" w:eastAsia="zh-TW"/>
        </w:rPr>
        <w:t>运行经费</w:t>
      </w:r>
    </w:p>
    <w:p>
      <w:pPr>
        <w:pStyle w:val="7"/>
        <w:framePr w:wrap="auto" w:vAnchor="margin" w:hAnchor="text" w:yAlign="inline"/>
        <w:spacing w:line="600" w:lineRule="exact"/>
        <w:ind w:firstLine="640"/>
        <w:rPr>
          <w:rFonts w:ascii="楷体_GB2312" w:hAnsi="楷体_GB2312" w:eastAsia="楷体_GB2312" w:cs="楷体_GB2312"/>
          <w:b/>
          <w:bCs/>
          <w:u w:val="none"/>
        </w:rPr>
      </w:pPr>
      <w:r>
        <w:rPr>
          <w:rFonts w:ascii="仿宋_GB2312" w:hAnsi="仿宋_GB2312" w:eastAsia="仿宋_GB2312" w:cs="仿宋_GB2312"/>
          <w:u w:val="none"/>
          <w:rtl w:val="0"/>
          <w:lang w:val="zh-TW" w:eastAsia="zh-TW"/>
        </w:rPr>
        <w:t>攀枝花市体育场馆中心</w:t>
      </w:r>
      <w:r>
        <w:rPr>
          <w:rFonts w:ascii="仿宋_GB2312" w:hAnsi="仿宋_GB2312" w:eastAsia="仿宋_GB2312" w:cs="仿宋_GB2312"/>
          <w:u w:val="none"/>
          <w:rtl w:val="0"/>
          <w:lang w:val="zh-CN" w:eastAsia="zh-CN"/>
        </w:rPr>
        <w:t>为事业单位</w:t>
      </w:r>
      <w:r>
        <w:rPr>
          <w:rFonts w:hint="eastAsia" w:ascii="仿宋_GB2312" w:hAnsi="仿宋_GB2312" w:eastAsia="仿宋_GB2312" w:cs="仿宋_GB2312"/>
          <w:u w:val="none"/>
          <w:rtl w:val="0"/>
          <w:lang w:val="zh-CN" w:eastAsia="zh-CN"/>
        </w:rPr>
        <w:t>，</w:t>
      </w:r>
      <w:r>
        <w:rPr>
          <w:rFonts w:ascii="仿宋_GB2312" w:hAnsi="仿宋_GB2312" w:eastAsia="仿宋_GB2312" w:cs="仿宋_GB2312"/>
          <w:u w:val="none"/>
          <w:rtl w:val="0"/>
          <w:lang w:val="zh-CN" w:eastAsia="zh-CN"/>
        </w:rPr>
        <w:t>按规定未使用机关运行的相关科目</w:t>
      </w:r>
      <w:r>
        <w:rPr>
          <w:rFonts w:ascii="仿宋_GB2312" w:hAnsi="仿宋_GB2312" w:eastAsia="仿宋_GB2312" w:cs="仿宋_GB2312"/>
          <w:u w:val="none"/>
          <w:rtl w:val="0"/>
          <w:lang w:val="zh-TW" w:eastAsia="zh-TW"/>
        </w:rPr>
        <w:t>。</w:t>
      </w:r>
    </w:p>
    <w:p>
      <w:pPr>
        <w:pStyle w:val="7"/>
        <w:framePr w:wrap="auto" w:vAnchor="margin" w:hAnchor="text" w:yAlign="inline"/>
        <w:spacing w:line="600" w:lineRule="exact"/>
        <w:ind w:firstLine="643"/>
        <w:rPr>
          <w:rFonts w:ascii="楷体_GB2312" w:hAnsi="楷体_GB2312" w:eastAsia="楷体_GB2312" w:cs="楷体_GB2312"/>
          <w:b/>
          <w:bCs/>
          <w:u w:val="none"/>
          <w:lang w:val="zh-TW" w:eastAsia="zh-TW"/>
        </w:rPr>
      </w:pPr>
      <w:r>
        <w:rPr>
          <w:rFonts w:ascii="楷体_GB2312" w:hAnsi="楷体_GB2312" w:eastAsia="楷体_GB2312" w:cs="楷体_GB2312"/>
          <w:b/>
          <w:bCs/>
          <w:u w:val="none"/>
          <w:rtl w:val="0"/>
          <w:lang w:val="zh-TW" w:eastAsia="zh-TW"/>
        </w:rPr>
        <w:t>（二）国有资产占有使用情况</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zh-TW" w:eastAsia="zh-TW"/>
        </w:rPr>
        <w:t>截至</w:t>
      </w: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年底，</w:t>
      </w:r>
      <w:r>
        <w:rPr>
          <w:rFonts w:ascii="仿宋_GB2312" w:hAnsi="仿宋_GB2312" w:eastAsia="仿宋_GB2312" w:cs="仿宋_GB2312"/>
          <w:kern w:val="0"/>
          <w:u w:val="none"/>
          <w:rtl w:val="0"/>
          <w:lang w:val="zh-TW" w:eastAsia="zh-TW"/>
        </w:rPr>
        <w:t>攀枝花市体育场馆中心</w:t>
      </w:r>
      <w:r>
        <w:rPr>
          <w:rFonts w:ascii="仿宋_GB2312" w:hAnsi="仿宋_GB2312" w:eastAsia="仿宋_GB2312" w:cs="仿宋_GB2312"/>
          <w:u w:val="none"/>
          <w:rtl w:val="0"/>
          <w:lang w:val="zh-TW" w:eastAsia="zh-TW"/>
        </w:rPr>
        <w:t>共有车辆</w:t>
      </w:r>
      <w:r>
        <w:rPr>
          <w:rFonts w:ascii="Times New Roman" w:hAnsi="Times New Roman"/>
          <w:u w:val="none"/>
          <w:rtl w:val="0"/>
          <w:lang w:val="en-US"/>
        </w:rPr>
        <w:t>1</w:t>
      </w:r>
      <w:r>
        <w:rPr>
          <w:rFonts w:ascii="仿宋_GB2312" w:hAnsi="仿宋_GB2312" w:eastAsia="仿宋_GB2312" w:cs="仿宋_GB2312"/>
          <w:u w:val="none"/>
          <w:rtl w:val="0"/>
          <w:lang w:val="zh-TW" w:eastAsia="zh-TW"/>
        </w:rPr>
        <w:t>辆，其中，执法执勤用车</w:t>
      </w:r>
      <w:r>
        <w:rPr>
          <w:rFonts w:ascii="Times New Roman" w:hAnsi="Times New Roman"/>
          <w:u w:val="none"/>
          <w:rtl w:val="0"/>
          <w:lang w:val="en-US"/>
        </w:rPr>
        <w:t>0</w:t>
      </w:r>
      <w:r>
        <w:rPr>
          <w:rFonts w:ascii="仿宋_GB2312" w:hAnsi="仿宋_GB2312" w:eastAsia="仿宋_GB2312" w:cs="仿宋_GB2312"/>
          <w:u w:val="none"/>
          <w:rtl w:val="0"/>
          <w:lang w:val="zh-TW" w:eastAsia="zh-TW"/>
        </w:rPr>
        <w:t>辆。单位价值</w:t>
      </w:r>
      <w:r>
        <w:rPr>
          <w:rFonts w:ascii="仿宋_GB2312" w:hAnsi="仿宋_GB2312" w:eastAsia="仿宋_GB2312" w:cs="仿宋_GB2312"/>
          <w:u w:val="none"/>
          <w:rtl w:val="0"/>
          <w:lang w:val="en-US"/>
        </w:rPr>
        <w:t>200</w:t>
      </w:r>
      <w:r>
        <w:rPr>
          <w:rFonts w:ascii="仿宋_GB2312" w:hAnsi="仿宋_GB2312" w:eastAsia="仿宋_GB2312" w:cs="仿宋_GB2312"/>
          <w:u w:val="none"/>
          <w:rtl w:val="0"/>
          <w:lang w:val="zh-TW" w:eastAsia="zh-TW"/>
        </w:rPr>
        <w:t>万元以上大型设备</w:t>
      </w:r>
      <w:r>
        <w:rPr>
          <w:rFonts w:ascii="Times New Roman" w:hAnsi="Times New Roman"/>
          <w:u w:val="none"/>
          <w:rtl w:val="0"/>
          <w:lang w:val="en-US"/>
        </w:rPr>
        <w:t>0</w:t>
      </w:r>
      <w:r>
        <w:rPr>
          <w:rFonts w:ascii="仿宋_GB2312" w:hAnsi="仿宋_GB2312" w:eastAsia="仿宋_GB2312" w:cs="仿宋_GB2312"/>
          <w:u w:val="none"/>
          <w:rtl w:val="0"/>
          <w:lang w:val="zh-TW" w:eastAsia="zh-TW"/>
        </w:rPr>
        <w:t>台（套）。</w:t>
      </w:r>
    </w:p>
    <w:p>
      <w:pPr>
        <w:pStyle w:val="7"/>
        <w:framePr w:wrap="auto" w:vAnchor="margin" w:hAnchor="text" w:yAlign="inline"/>
        <w:spacing w:line="600" w:lineRule="exact"/>
        <w:ind w:firstLine="643"/>
        <w:rPr>
          <w:rFonts w:ascii="楷体_GB2312" w:hAnsi="楷体_GB2312" w:eastAsia="楷体_GB2312" w:cs="楷体_GB2312"/>
          <w:b/>
          <w:bCs/>
          <w:u w:val="none"/>
          <w:lang w:val="zh-TW" w:eastAsia="zh-TW"/>
        </w:rPr>
      </w:pPr>
      <w:r>
        <w:rPr>
          <w:rFonts w:ascii="楷体_GB2312" w:hAnsi="楷体_GB2312" w:eastAsia="楷体_GB2312" w:cs="楷体_GB2312"/>
          <w:b/>
          <w:bCs/>
          <w:u w:val="none"/>
          <w:rtl w:val="0"/>
          <w:lang w:val="zh-TW" w:eastAsia="zh-TW"/>
        </w:rPr>
        <w:t>（三）绩效目标设置情况</w:t>
      </w:r>
    </w:p>
    <w:p>
      <w:pPr>
        <w:pStyle w:val="7"/>
        <w:framePr w:wrap="auto" w:vAnchor="margin" w:hAnchor="text" w:yAlign="inline"/>
        <w:spacing w:line="600" w:lineRule="exact"/>
        <w:ind w:firstLine="640"/>
        <w:rPr>
          <w:rFonts w:ascii="仿宋_GB2312" w:hAnsi="仿宋_GB2312" w:eastAsia="仿宋_GB2312" w:cs="仿宋_GB2312"/>
          <w:u w:val="none"/>
        </w:rPr>
      </w:pPr>
      <w:r>
        <w:rPr>
          <w:rFonts w:ascii="仿宋_GB2312" w:hAnsi="仿宋_GB2312" w:eastAsia="仿宋_GB2312" w:cs="仿宋_GB2312"/>
          <w:u w:val="none"/>
          <w:rtl w:val="0"/>
          <w:lang w:val="en-US"/>
        </w:rPr>
        <w:t>2021</w:t>
      </w:r>
      <w:r>
        <w:rPr>
          <w:rFonts w:ascii="仿宋_GB2312" w:hAnsi="仿宋_GB2312" w:eastAsia="仿宋_GB2312" w:cs="仿宋_GB2312"/>
          <w:u w:val="none"/>
          <w:rtl w:val="0"/>
          <w:lang w:val="zh-TW" w:eastAsia="zh-TW"/>
        </w:rPr>
        <w:t>年</w:t>
      </w:r>
      <w:r>
        <w:rPr>
          <w:rFonts w:ascii="仿宋_GB2312" w:hAnsi="仿宋_GB2312" w:eastAsia="仿宋_GB2312" w:cs="仿宋_GB2312"/>
          <w:kern w:val="0"/>
          <w:u w:val="none"/>
          <w:rtl w:val="0"/>
          <w:lang w:val="zh-TW" w:eastAsia="zh-TW"/>
        </w:rPr>
        <w:t>攀枝花市体育场馆中心，</w:t>
      </w:r>
      <w:r>
        <w:rPr>
          <w:rFonts w:ascii="仿宋_GB2312" w:hAnsi="仿宋_GB2312" w:eastAsia="仿宋_GB2312" w:cs="仿宋_GB2312"/>
          <w:u w:val="none"/>
          <w:rtl w:val="0"/>
          <w:lang w:val="zh-TW" w:eastAsia="zh-TW"/>
        </w:rPr>
        <w:t>通用项目和专用项目均按要求实行绩效目标管理，涉及一般公共预算当年拨款</w:t>
      </w:r>
      <w:r>
        <w:rPr>
          <w:rFonts w:ascii="Times New Roman" w:hAnsi="Times New Roman"/>
          <w:u w:val="none"/>
          <w:rtl w:val="0"/>
          <w:lang w:val="en-US"/>
        </w:rPr>
        <w:t>82.50</w:t>
      </w:r>
      <w:r>
        <w:rPr>
          <w:rFonts w:ascii="仿宋_GB2312" w:hAnsi="仿宋_GB2312" w:eastAsia="仿宋_GB2312" w:cs="仿宋_GB2312"/>
          <w:u w:val="none"/>
          <w:rtl w:val="0"/>
          <w:lang w:val="zh-TW" w:eastAsia="zh-TW"/>
        </w:rPr>
        <w:t>万元。</w:t>
      </w:r>
    </w:p>
    <w:p>
      <w:pPr>
        <w:pStyle w:val="7"/>
        <w:framePr w:wrap="auto" w:vAnchor="margin" w:hAnchor="text" w:yAlign="inline"/>
        <w:spacing w:line="600" w:lineRule="exact"/>
        <w:rPr>
          <w:rFonts w:ascii="黑体" w:hAnsi="黑体" w:eastAsia="黑体" w:cs="黑体"/>
          <w:u w:val="none"/>
        </w:rPr>
      </w:pPr>
    </w:p>
    <w:p>
      <w:pPr>
        <w:pStyle w:val="7"/>
        <w:framePr w:wrap="auto" w:vAnchor="margin" w:hAnchor="text" w:yAlign="inline"/>
        <w:spacing w:line="600" w:lineRule="exact"/>
        <w:ind w:firstLine="643"/>
        <w:rPr>
          <w:rFonts w:ascii="黑体" w:hAnsi="黑体" w:eastAsia="黑体" w:cs="黑体"/>
          <w:b/>
          <w:bCs/>
          <w:u w:val="none"/>
          <w:lang w:val="zh-TW" w:eastAsia="zh-TW"/>
        </w:rPr>
      </w:pPr>
      <w:r>
        <w:rPr>
          <w:rFonts w:ascii="黑体" w:hAnsi="黑体" w:eastAsia="黑体" w:cs="黑体"/>
          <w:b/>
          <w:bCs/>
          <w:u w:val="none"/>
          <w:rtl w:val="0"/>
          <w:lang w:val="zh-TW" w:eastAsia="zh-TW"/>
        </w:rPr>
        <w:t>十、名词解释</w:t>
      </w:r>
    </w:p>
    <w:p>
      <w:pPr>
        <w:pStyle w:val="7"/>
        <w:framePr w:wrap="auto" w:vAnchor="margin" w:hAnchor="text" w:yAlign="inline"/>
        <w:spacing w:line="600" w:lineRule="exact"/>
        <w:ind w:firstLine="640"/>
      </w:pPr>
      <w:r>
        <w:rPr>
          <w:rFonts w:ascii="Times New Roman" w:hAnsi="Times New Roman"/>
          <w:rtl w:val="0"/>
          <w:lang w:val="en-US"/>
        </w:rPr>
        <w:t>1.</w:t>
      </w:r>
      <w:r>
        <w:rPr>
          <w:rFonts w:ascii="仿宋_GB2312" w:hAnsi="仿宋_GB2312" w:eastAsia="仿宋_GB2312" w:cs="仿宋_GB2312"/>
          <w:rtl w:val="0"/>
          <w:lang w:val="zh-TW" w:eastAsia="zh-TW"/>
        </w:rPr>
        <w:t>一般公共预算拨款收入：指市级财政当年拨付的资金。</w:t>
      </w:r>
    </w:p>
    <w:p>
      <w:pPr>
        <w:pStyle w:val="7"/>
        <w:framePr w:wrap="auto" w:vAnchor="margin" w:hAnchor="text" w:yAlign="inline"/>
        <w:spacing w:line="600" w:lineRule="exact"/>
        <w:ind w:firstLine="640"/>
      </w:pPr>
      <w:r>
        <w:rPr>
          <w:rFonts w:ascii="Times New Roman" w:hAnsi="Times New Roman"/>
          <w:rtl w:val="0"/>
          <w:lang w:val="en-US"/>
        </w:rPr>
        <w:t>2.</w:t>
      </w:r>
      <w:r>
        <w:rPr>
          <w:rFonts w:ascii="仿宋_GB2312" w:hAnsi="仿宋_GB2312" w:eastAsia="仿宋_GB2312" w:cs="仿宋_GB2312"/>
          <w:rtl w:val="0"/>
          <w:lang w:val="zh-TW" w:eastAsia="zh-TW"/>
        </w:rPr>
        <w:t>文化体育与传媒支出（类）体育（款）其他体育支出（项）主要是用于单位人员工资、日常运转方面的支出。</w:t>
      </w:r>
    </w:p>
    <w:p>
      <w:pPr>
        <w:pStyle w:val="7"/>
        <w:framePr w:wrap="auto" w:vAnchor="margin" w:hAnchor="text" w:yAlign="inline"/>
        <w:spacing w:line="600" w:lineRule="exact"/>
        <w:ind w:firstLine="640"/>
      </w:pPr>
      <w:r>
        <w:rPr>
          <w:rFonts w:ascii="Times New Roman" w:hAnsi="Times New Roman"/>
          <w:rtl w:val="0"/>
          <w:lang w:val="en-US"/>
        </w:rPr>
        <w:t>3.</w:t>
      </w:r>
      <w:r>
        <w:rPr>
          <w:rFonts w:ascii="仿宋_GB2312" w:hAnsi="仿宋_GB2312" w:eastAsia="仿宋_GB2312" w:cs="仿宋_GB2312"/>
          <w:rtl w:val="0"/>
          <w:lang w:val="zh-TW" w:eastAsia="zh-TW"/>
        </w:rPr>
        <w:t>社会保障和就业支出（类）行政事业单位离退休（款）机关事业单位离退休（项）主要是用于单位离退休人员方面的支出。</w:t>
      </w:r>
    </w:p>
    <w:p>
      <w:pPr>
        <w:pStyle w:val="7"/>
        <w:framePr w:wrap="auto" w:vAnchor="margin" w:hAnchor="text" w:yAlign="inline"/>
        <w:spacing w:line="600" w:lineRule="exact"/>
        <w:ind w:firstLine="640"/>
      </w:pPr>
      <w:r>
        <w:rPr>
          <w:rFonts w:ascii="Times New Roman" w:hAnsi="Times New Roman"/>
          <w:rtl w:val="0"/>
          <w:lang w:val="en-US"/>
        </w:rPr>
        <w:t>4.</w:t>
      </w:r>
      <w:r>
        <w:rPr>
          <w:rFonts w:ascii="仿宋_GB2312" w:hAnsi="仿宋_GB2312" w:eastAsia="仿宋_GB2312" w:cs="仿宋_GB2312"/>
          <w:rtl w:val="0"/>
          <w:lang w:val="zh-TW" w:eastAsia="zh-TW"/>
        </w:rPr>
        <w:t>社会保障和就业支出（类）行政事业单位离退休（款）机关事业单位基本养老保险缴费支出（项）主要是用于单位人员基本养老保险方面的支出。</w:t>
      </w:r>
    </w:p>
    <w:p>
      <w:pPr>
        <w:pStyle w:val="7"/>
        <w:framePr w:wrap="auto" w:vAnchor="margin" w:hAnchor="text" w:yAlign="inline"/>
        <w:spacing w:line="600" w:lineRule="exact"/>
        <w:ind w:firstLine="640"/>
      </w:pPr>
      <w:r>
        <w:rPr>
          <w:rFonts w:ascii="Times New Roman" w:hAnsi="Times New Roman"/>
          <w:rtl w:val="0"/>
          <w:lang w:val="en-US"/>
        </w:rPr>
        <w:t>5.</w:t>
      </w:r>
      <w:r>
        <w:rPr>
          <w:rFonts w:ascii="仿宋_GB2312" w:hAnsi="仿宋_GB2312" w:eastAsia="仿宋_GB2312" w:cs="仿宋_GB2312"/>
          <w:rtl w:val="0"/>
          <w:lang w:val="zh-TW" w:eastAsia="zh-TW"/>
        </w:rPr>
        <w:t>住房保障支出（类）住房改革支出（款）住房公积金（项）主要是用于事业单位按照规定标准为职工缴纳住房公积金等支出。</w:t>
      </w:r>
    </w:p>
    <w:p>
      <w:pPr>
        <w:pStyle w:val="7"/>
        <w:framePr w:wrap="auto" w:vAnchor="margin" w:hAnchor="text" w:yAlign="inline"/>
        <w:spacing w:line="600" w:lineRule="exact"/>
        <w:ind w:firstLine="640"/>
      </w:pPr>
      <w:r>
        <w:rPr>
          <w:rFonts w:ascii="Times New Roman" w:hAnsi="Times New Roman"/>
          <w:rtl w:val="0"/>
          <w:lang w:val="en-US"/>
        </w:rPr>
        <w:t>6.</w:t>
      </w:r>
      <w:r>
        <w:rPr>
          <w:rFonts w:ascii="仿宋_GB2312" w:hAnsi="仿宋_GB2312" w:eastAsia="仿宋_GB2312" w:cs="仿宋_GB2312"/>
          <w:rtl w:val="0"/>
          <w:lang w:val="zh-TW" w:eastAsia="zh-TW"/>
        </w:rPr>
        <w:t>基本支出：指为保证机构正常运转，完成日常工作任务而发生的人员支出和公用支出。</w:t>
      </w:r>
    </w:p>
    <w:p>
      <w:pPr>
        <w:pStyle w:val="7"/>
        <w:framePr w:wrap="auto" w:vAnchor="margin" w:hAnchor="text" w:yAlign="inline"/>
        <w:spacing w:line="600" w:lineRule="exact"/>
        <w:ind w:firstLine="640"/>
      </w:pPr>
      <w:r>
        <w:rPr>
          <w:rFonts w:ascii="Times New Roman" w:hAnsi="Times New Roman"/>
          <w:rtl w:val="0"/>
          <w:lang w:val="en-US"/>
        </w:rPr>
        <w:t>7.</w:t>
      </w:r>
      <w:r>
        <w:rPr>
          <w:rFonts w:ascii="仿宋_GB2312" w:hAnsi="仿宋_GB2312" w:eastAsia="仿宋_GB2312" w:cs="仿宋_GB2312"/>
          <w:rtl w:val="0"/>
          <w:lang w:val="zh-TW" w:eastAsia="zh-TW"/>
        </w:rPr>
        <w:t>项目支出：指在基本支出之外为完成特定的工作任务和事业发展目标所发生的支出。</w:t>
      </w:r>
    </w:p>
    <w:p>
      <w:pPr>
        <w:pStyle w:val="7"/>
        <w:framePr w:wrap="auto" w:vAnchor="margin" w:hAnchor="text" w:yAlign="inline"/>
        <w:spacing w:line="600" w:lineRule="exact"/>
        <w:ind w:firstLine="640"/>
      </w:pPr>
      <w:r>
        <w:rPr>
          <w:rFonts w:ascii="Times New Roman" w:hAnsi="Times New Roman"/>
          <w:rtl w:val="0"/>
          <w:lang w:val="en-US"/>
        </w:rPr>
        <w:t>8.</w:t>
      </w:r>
      <w:r>
        <w:rPr>
          <w:rFonts w:hint="default" w:ascii="Times New Roman" w:hAnsi="Times New Roman"/>
          <w:rtl w:val="0"/>
          <w:lang w:val="en-US"/>
        </w:rPr>
        <w:t>“</w:t>
      </w:r>
      <w:r>
        <w:rPr>
          <w:rFonts w:ascii="仿宋_GB2312" w:hAnsi="仿宋_GB2312" w:eastAsia="仿宋_GB2312" w:cs="仿宋_GB2312"/>
          <w:rtl w:val="0"/>
          <w:lang w:val="zh-TW" w:eastAsia="zh-TW"/>
        </w:rPr>
        <w:t>三公</w:t>
      </w:r>
      <w:r>
        <w:rPr>
          <w:rFonts w:hint="default" w:ascii="Times New Roman" w:hAnsi="Times New Roman"/>
          <w:rtl w:val="0"/>
          <w:lang w:val="en-US"/>
        </w:rPr>
        <w:t>”</w:t>
      </w:r>
      <w:r>
        <w:rPr>
          <w:rFonts w:ascii="仿宋_GB2312" w:hAnsi="仿宋_GB2312" w:eastAsia="仿宋_GB2312" w:cs="仿宋_GB2312"/>
          <w:rtl w:val="0"/>
          <w:lang w:val="zh-TW" w:eastAsia="zh-TW"/>
        </w:rPr>
        <w:t>经费：纳入预决算管理的</w:t>
      </w:r>
      <w:r>
        <w:rPr>
          <w:rFonts w:hint="default" w:ascii="Times New Roman" w:hAnsi="Times New Roman"/>
          <w:rtl w:val="0"/>
          <w:lang w:val="en-US"/>
        </w:rPr>
        <w:t>“</w:t>
      </w:r>
      <w:r>
        <w:rPr>
          <w:rFonts w:ascii="仿宋_GB2312" w:hAnsi="仿宋_GB2312" w:eastAsia="仿宋_GB2312" w:cs="仿宋_GB2312"/>
          <w:rtl w:val="0"/>
          <w:lang w:val="zh-TW" w:eastAsia="zh-TW"/>
        </w:rPr>
        <w:t>三公</w:t>
      </w:r>
      <w:r>
        <w:rPr>
          <w:rFonts w:hint="default" w:ascii="Times New Roman" w:hAnsi="Times New Roman"/>
          <w:rtl w:val="0"/>
          <w:lang w:val="en-US"/>
        </w:rPr>
        <w:t>”</w:t>
      </w:r>
      <w:r>
        <w:rPr>
          <w:rFonts w:ascii="仿宋_GB2312" w:hAnsi="仿宋_GB2312" w:eastAsia="仿宋_GB2312" w:cs="仿宋_GB2312"/>
          <w:rtl w:val="0"/>
          <w:lang w:val="zh-TW" w:eastAsia="zh-TW"/>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7"/>
        <w:framePr w:wrap="auto" w:vAnchor="margin" w:hAnchor="text" w:yAlign="inline"/>
        <w:spacing w:line="600" w:lineRule="exact"/>
        <w:ind w:firstLine="640"/>
        <w:rPr>
          <w:rFonts w:ascii="Arial" w:hAnsi="Arial" w:eastAsia="Arial" w:cs="Arial"/>
          <w:u w:val="none"/>
        </w:rPr>
      </w:pPr>
    </w:p>
    <w:p>
      <w:pPr>
        <w:pStyle w:val="7"/>
        <w:framePr w:wrap="auto" w:vAnchor="margin" w:hAnchor="text" w:yAlign="inline"/>
        <w:spacing w:line="600" w:lineRule="exact"/>
        <w:rPr>
          <w:rFonts w:ascii="仿宋_GB2312" w:hAnsi="仿宋_GB2312" w:eastAsia="仿宋_GB2312" w:cs="仿宋_GB2312"/>
          <w:u w:val="none"/>
        </w:rPr>
      </w:pPr>
      <w:r>
        <w:rPr>
          <w:rFonts w:ascii="仿宋_GB2312" w:hAnsi="仿宋_GB2312" w:eastAsia="仿宋_GB2312" w:cs="仿宋_GB2312"/>
          <w:u w:val="none"/>
          <w:rtl w:val="0"/>
          <w:lang w:val="zh-TW" w:eastAsia="zh-TW"/>
        </w:rPr>
        <w:t>附件：表</w:t>
      </w:r>
      <w:r>
        <w:rPr>
          <w:rFonts w:ascii="仿宋_GB2312" w:hAnsi="仿宋_GB2312" w:eastAsia="仿宋_GB2312" w:cs="仿宋_GB2312"/>
          <w:u w:val="none"/>
          <w:rtl w:val="0"/>
          <w:lang w:val="en-US"/>
        </w:rPr>
        <w:t>1.</w:t>
      </w:r>
      <w:r>
        <w:rPr>
          <w:rFonts w:ascii="仿宋_GB2312" w:hAnsi="仿宋_GB2312" w:eastAsia="仿宋_GB2312" w:cs="仿宋_GB2312"/>
          <w:u w:val="none"/>
          <w:rtl w:val="0"/>
          <w:lang w:val="zh-TW" w:eastAsia="zh-TW"/>
        </w:rPr>
        <w:t>部门收支总表</w:t>
      </w:r>
    </w:p>
    <w:p>
      <w:pPr>
        <w:pStyle w:val="7"/>
        <w:framePr w:wrap="auto" w:vAnchor="margin" w:hAnchor="text" w:yAlign="inline"/>
        <w:spacing w:line="600" w:lineRule="exact"/>
        <w:rPr>
          <w:rFonts w:ascii="仿宋_GB2312" w:hAnsi="仿宋_GB2312" w:eastAsia="仿宋_GB2312" w:cs="仿宋_GB2312"/>
          <w:u w:val="none"/>
        </w:rPr>
      </w:pPr>
      <w:r>
        <w:rPr>
          <w:rFonts w:ascii="仿宋_GB2312" w:hAnsi="仿宋_GB2312" w:eastAsia="仿宋_GB2312" w:cs="仿宋_GB2312"/>
          <w:u w:val="none"/>
          <w:rtl w:val="0"/>
          <w:lang w:val="zh-TW" w:eastAsia="zh-TW"/>
        </w:rPr>
        <w:t xml:space="preserve">      表</w:t>
      </w:r>
      <w:r>
        <w:rPr>
          <w:rFonts w:ascii="仿宋_GB2312" w:hAnsi="仿宋_GB2312" w:eastAsia="仿宋_GB2312" w:cs="仿宋_GB2312"/>
          <w:u w:val="none"/>
          <w:rtl w:val="0"/>
          <w:lang w:val="en-US"/>
        </w:rPr>
        <w:t>1-1.</w:t>
      </w:r>
      <w:r>
        <w:rPr>
          <w:rFonts w:ascii="仿宋_GB2312" w:hAnsi="仿宋_GB2312" w:eastAsia="仿宋_GB2312" w:cs="仿宋_GB2312"/>
          <w:u w:val="none"/>
          <w:rtl w:val="0"/>
          <w:lang w:val="zh-TW" w:eastAsia="zh-TW"/>
        </w:rPr>
        <w:t>部门收入总表</w:t>
      </w:r>
    </w:p>
    <w:p>
      <w:pPr>
        <w:pStyle w:val="7"/>
        <w:framePr w:wrap="auto" w:vAnchor="margin" w:hAnchor="text" w:yAlign="inline"/>
        <w:spacing w:line="600" w:lineRule="exact"/>
        <w:rPr>
          <w:rFonts w:ascii="仿宋_GB2312" w:hAnsi="仿宋_GB2312" w:eastAsia="仿宋_GB2312" w:cs="仿宋_GB2312"/>
          <w:u w:val="none"/>
        </w:rPr>
      </w:pPr>
      <w:r>
        <w:rPr>
          <w:rFonts w:ascii="仿宋_GB2312" w:hAnsi="仿宋_GB2312" w:eastAsia="仿宋_GB2312" w:cs="仿宋_GB2312"/>
          <w:u w:val="none"/>
          <w:rtl w:val="0"/>
          <w:lang w:val="zh-TW" w:eastAsia="zh-TW"/>
        </w:rPr>
        <w:t xml:space="preserve">      表</w:t>
      </w:r>
      <w:r>
        <w:rPr>
          <w:rFonts w:ascii="仿宋_GB2312" w:hAnsi="仿宋_GB2312" w:eastAsia="仿宋_GB2312" w:cs="仿宋_GB2312"/>
          <w:u w:val="none"/>
          <w:rtl w:val="0"/>
          <w:lang w:val="en-US"/>
        </w:rPr>
        <w:t>1-2.</w:t>
      </w:r>
      <w:r>
        <w:rPr>
          <w:rFonts w:ascii="仿宋_GB2312" w:hAnsi="仿宋_GB2312" w:eastAsia="仿宋_GB2312" w:cs="仿宋_GB2312"/>
          <w:u w:val="none"/>
          <w:rtl w:val="0"/>
          <w:lang w:val="zh-TW" w:eastAsia="zh-TW"/>
        </w:rPr>
        <w:t>部门支出总表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2.</w:t>
      </w:r>
      <w:r>
        <w:rPr>
          <w:rFonts w:ascii="仿宋_GB2312" w:hAnsi="仿宋_GB2312" w:eastAsia="仿宋_GB2312" w:cs="仿宋_GB2312"/>
          <w:u w:val="none"/>
          <w:rtl w:val="0"/>
          <w:lang w:val="zh-TW" w:eastAsia="zh-TW"/>
        </w:rPr>
        <w:t>财政拨款收支预算总表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2-1.</w:t>
      </w:r>
      <w:r>
        <w:rPr>
          <w:rFonts w:ascii="仿宋_GB2312" w:hAnsi="仿宋_GB2312" w:eastAsia="仿宋_GB2312" w:cs="仿宋_GB2312"/>
          <w:u w:val="none"/>
          <w:rtl w:val="0"/>
          <w:lang w:val="zh-TW" w:eastAsia="zh-TW"/>
        </w:rPr>
        <w:t>财政拨款支出预算表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3.</w:t>
      </w:r>
      <w:r>
        <w:rPr>
          <w:rFonts w:ascii="仿宋_GB2312" w:hAnsi="仿宋_GB2312" w:eastAsia="仿宋_GB2312" w:cs="仿宋_GB2312"/>
          <w:u w:val="none"/>
          <w:rtl w:val="0"/>
          <w:lang w:val="zh-TW" w:eastAsia="zh-TW"/>
        </w:rPr>
        <w:t>一般公共预算支出预算表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3-1.</w:t>
      </w:r>
      <w:r>
        <w:rPr>
          <w:rFonts w:ascii="仿宋_GB2312" w:hAnsi="仿宋_GB2312" w:eastAsia="仿宋_GB2312" w:cs="仿宋_GB2312"/>
          <w:u w:val="none"/>
          <w:rtl w:val="0"/>
          <w:lang w:val="zh-TW" w:eastAsia="zh-TW"/>
        </w:rPr>
        <w:t>一般公共预算基本支出预算表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3-2.</w:t>
      </w:r>
      <w:r>
        <w:rPr>
          <w:rFonts w:ascii="仿宋_GB2312" w:hAnsi="仿宋_GB2312" w:eastAsia="仿宋_GB2312" w:cs="仿宋_GB2312"/>
          <w:u w:val="none"/>
          <w:rtl w:val="0"/>
          <w:lang w:val="zh-TW" w:eastAsia="zh-TW"/>
        </w:rPr>
        <w:t>一般公共预算项目支出预算表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3-3.</w:t>
      </w:r>
      <w:r>
        <w:rPr>
          <w:rFonts w:ascii="仿宋_GB2312" w:hAnsi="仿宋_GB2312" w:eastAsia="仿宋_GB2312" w:cs="仿宋_GB2312"/>
          <w:u w:val="none"/>
          <w:rtl w:val="0"/>
          <w:lang w:val="zh-TW" w:eastAsia="zh-TW"/>
        </w:rPr>
        <w:t>一般公共预算</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三公</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经费支出预算表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4.</w:t>
      </w:r>
      <w:r>
        <w:rPr>
          <w:rFonts w:ascii="仿宋_GB2312" w:hAnsi="仿宋_GB2312" w:eastAsia="仿宋_GB2312" w:cs="仿宋_GB2312"/>
          <w:u w:val="none"/>
          <w:rtl w:val="0"/>
          <w:lang w:val="zh-TW" w:eastAsia="zh-TW"/>
        </w:rPr>
        <w:t>政府性基金支出预算表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4-1.</w:t>
      </w:r>
      <w:r>
        <w:rPr>
          <w:rFonts w:ascii="仿宋_GB2312" w:hAnsi="仿宋_GB2312" w:eastAsia="仿宋_GB2312" w:cs="仿宋_GB2312"/>
          <w:u w:val="none"/>
          <w:rtl w:val="0"/>
          <w:lang w:val="zh-TW" w:eastAsia="zh-TW"/>
        </w:rPr>
        <w:t>政府性基金预算</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三公</w:t>
      </w:r>
      <w:r>
        <w:rPr>
          <w:rFonts w:ascii="仿宋_GB2312" w:hAnsi="仿宋_GB2312" w:eastAsia="仿宋_GB2312" w:cs="仿宋_GB2312"/>
          <w:u w:val="none"/>
          <w:rtl w:val="0"/>
          <w:lang w:val="en-US"/>
        </w:rPr>
        <w:t>”</w:t>
      </w:r>
      <w:r>
        <w:rPr>
          <w:rFonts w:ascii="仿宋_GB2312" w:hAnsi="仿宋_GB2312" w:eastAsia="仿宋_GB2312" w:cs="仿宋_GB2312"/>
          <w:u w:val="none"/>
          <w:rtl w:val="0"/>
          <w:lang w:val="zh-TW" w:eastAsia="zh-TW"/>
        </w:rPr>
        <w:t>经费支出预算表</w:t>
      </w:r>
    </w:p>
    <w:p>
      <w:pPr>
        <w:pStyle w:val="7"/>
        <w:framePr w:wrap="auto" w:vAnchor="margin" w:hAnchor="text" w:yAlign="inline"/>
        <w:spacing w:line="600" w:lineRule="exact"/>
        <w:ind w:firstLine="960"/>
        <w:rPr>
          <w:rFonts w:ascii="仿宋_GB2312" w:hAnsi="仿宋_GB2312" w:eastAsia="仿宋_GB2312" w:cs="仿宋_GB2312"/>
          <w:u w:val="none"/>
        </w:rPr>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5.</w:t>
      </w:r>
      <w:r>
        <w:rPr>
          <w:rFonts w:ascii="仿宋_GB2312" w:hAnsi="仿宋_GB2312" w:eastAsia="仿宋_GB2312" w:cs="仿宋_GB2312"/>
          <w:u w:val="none"/>
          <w:rtl w:val="0"/>
          <w:lang w:val="zh-TW" w:eastAsia="zh-TW"/>
        </w:rPr>
        <w:t>国有资本经营预算支出预算表</w:t>
      </w:r>
    </w:p>
    <w:p>
      <w:pPr>
        <w:pStyle w:val="7"/>
        <w:framePr w:wrap="auto" w:vAnchor="margin" w:hAnchor="text" w:yAlign="inline"/>
        <w:spacing w:line="600" w:lineRule="exact"/>
        <w:ind w:firstLine="960"/>
      </w:pPr>
      <w:r>
        <w:rPr>
          <w:rFonts w:ascii="仿宋_GB2312" w:hAnsi="仿宋_GB2312" w:eastAsia="仿宋_GB2312" w:cs="仿宋_GB2312"/>
          <w:u w:val="none"/>
          <w:rtl w:val="0"/>
          <w:lang w:val="zh-TW" w:eastAsia="zh-TW"/>
        </w:rPr>
        <w:t>表</w:t>
      </w:r>
      <w:r>
        <w:rPr>
          <w:rFonts w:ascii="仿宋_GB2312" w:hAnsi="仿宋_GB2312" w:eastAsia="仿宋_GB2312" w:cs="仿宋_GB2312"/>
          <w:u w:val="none"/>
          <w:rtl w:val="0"/>
          <w:lang w:val="en-US"/>
        </w:rPr>
        <w:t>6.</w:t>
      </w:r>
      <w:r>
        <w:rPr>
          <w:rFonts w:ascii="仿宋_GB2312" w:hAnsi="仿宋_GB2312" w:eastAsia="仿宋_GB2312" w:cs="仿宋_GB2312"/>
          <w:u w:val="none"/>
          <w:rtl w:val="0"/>
          <w:lang w:val="zh-TW" w:eastAsia="zh-TW"/>
        </w:rPr>
        <w:t>（部门）单位预算项目绩效目标表</w:t>
      </w:r>
    </w:p>
    <w:sectPr>
      <w:headerReference r:id="rId7" w:type="default"/>
      <w:footerReference r:id="rId8" w:type="default"/>
      <w:pgSz w:w="11900" w:h="16840"/>
      <w:pgMar w:top="1247" w:right="1542" w:bottom="1247" w:left="2098" w:header="851" w:footer="992"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PingFang SC Regular">
    <w:altName w:val="Segoe Print"/>
    <w:panose1 w:val="00000000000000000000"/>
    <w:charset w:val="00"/>
    <w:family w:val="roman"/>
    <w:pitch w:val="default"/>
    <w:sig w:usb0="00000000" w:usb1="00000000" w:usb2="00000000" w:usb3="00000000" w:csb0="00000000" w:csb1="00000000"/>
  </w:font>
  <w:font w:name="仿宋_GB2312">
    <w:altName w:val="仿宋"/>
    <w:panose1 w:val="00000000000000000000"/>
    <w:charset w:val="00"/>
    <w:family w:val="roman"/>
    <w:pitch w:val="default"/>
    <w:sig w:usb0="00000000" w:usb1="00000000" w:usb2="00000000" w:usb3="00000000" w:csb0="00000000" w:csb1="00000000"/>
  </w:font>
  <w:font w:name="方正仿宋_GBK">
    <w:altName w:val="微软雅黑"/>
    <w:panose1 w:val="00000000000000000000"/>
    <w:charset w:val="00"/>
    <w:family w:val="roman"/>
    <w:pitch w:val="default"/>
    <w:sig w:usb0="00000000" w:usb1="00000000" w:usb2="00000000" w:usb3="00000000" w:csb0="00000000" w:csb1="00000000"/>
  </w:font>
  <w:font w:name="SimSong Bold">
    <w:altName w:val="Segoe Print"/>
    <w:panose1 w:val="00000000000000000000"/>
    <w:charset w:val="00"/>
    <w:family w:val="roman"/>
    <w:pitch w:val="default"/>
    <w:sig w:usb0="00000000" w:usb1="00000000" w:usb2="00000000" w:usb3="00000000" w:csb0="00000000" w:csb1="00000000"/>
  </w:font>
  <w:font w:name="楷体_GB2312">
    <w:altName w:val="楷体"/>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uto" w:vAnchor="margin" w:hAnchor="text" w:yAlign="inline"/>
      <w:bidi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tabs>
        <w:tab w:val="right" w:pos="8240"/>
        <w:tab w:val="clear" w:pos="8306"/>
      </w:tabs>
      <w:jc w:val="center"/>
    </w:pPr>
    <w:r>
      <w:rPr>
        <w:rFonts w:ascii="宋体" w:hAnsi="宋体" w:eastAsia="宋体" w:cs="宋体"/>
        <w:sz w:val="30"/>
        <w:szCs w:val="30"/>
        <w:rtl w:val="0"/>
      </w:rPr>
      <w:fldChar w:fldCharType="begin"/>
    </w:r>
    <w:r>
      <w:rPr>
        <w:rFonts w:ascii="宋体" w:hAnsi="宋体" w:eastAsia="宋体" w:cs="宋体"/>
        <w:sz w:val="30"/>
        <w:szCs w:val="30"/>
        <w:rtl w:val="0"/>
      </w:rPr>
      <w:instrText xml:space="preserve"> PAGE </w:instrText>
    </w:r>
    <w:r>
      <w:rPr>
        <w:rFonts w:ascii="宋体" w:hAnsi="宋体" w:eastAsia="宋体" w:cs="宋体"/>
        <w:sz w:val="30"/>
        <w:szCs w:val="30"/>
        <w:rtl w:val="0"/>
      </w:rPr>
      <w:fldChar w:fldCharType="separate"/>
    </w:r>
    <w:r>
      <w:rPr>
        <w:rFonts w:ascii="宋体" w:hAnsi="宋体" w:eastAsia="宋体" w:cs="宋体"/>
        <w:sz w:val="30"/>
        <w:szCs w:val="30"/>
        <w:rtl w:val="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uto" w:vAnchor="margin" w:hAnchor="text" w:yAlign="inline"/>
      <w:bidi w:val="0"/>
    </w:pPr>
    <w:r>
      <mc:AlternateContent>
        <mc:Choice Requires="wps">
          <w:drawing>
            <wp:anchor distT="152400" distB="152400" distL="152400" distR="152400" simplePos="0" relativeHeight="251659264" behindDoc="1" locked="0" layoutInCell="1" allowOverlap="1">
              <wp:simplePos x="0" y="0"/>
              <wp:positionH relativeFrom="page">
                <wp:posOffset>0</wp:posOffset>
              </wp:positionH>
              <wp:positionV relativeFrom="page">
                <wp:posOffset>0</wp:posOffset>
              </wp:positionV>
              <wp:extent cx="7556500" cy="10693400"/>
              <wp:effectExtent l="0" t="0" r="0" b="0"/>
              <wp:wrapNone/>
              <wp:docPr id="1073741825" name="officeArt object" descr="矩形"/>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officeArt object" o:spid="_x0000_s1026" o:spt="2" alt="矩形" style="position:absolute;left:0pt;margin-left:0pt;margin-top:0pt;height:842pt;width:595pt;mso-position-horizontal-relative:page;mso-position-vertical-relative:page;z-index:-251657216;mso-width-relative:page;mso-height-relative:page;" fillcolor="#FFFFFF" filled="t" stroked="f" coordsize="21600,21600" arcsize="0" o:gfxdata="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4qfudUAAAAHAQAADwAAAAAAAAABACAAAAAiAAAAZHJzL2Rvd25yZXYueG1sUEsBAhQA&#10;FAAAAAgAh07iQL1Npsr1AQAA3AMAAA4AAAAAAAAAAQAgAAAAJAEAAGRycy9lMm9Eb2MueG1sUEsF&#10;BgAAAAAGAAYAWQEAAIsFAAAAAA==&#10;">
              <v:fill on="t" focussize="0,0"/>
              <v:stroke on="f" weight="1pt" miterlimit="4" joinstyle="miter"/>
              <v:imagedata o:title=""/>
              <o:lock v:ext="edit" aspectratio="f"/>
            </v:round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uto" w:vAnchor="margin" w:hAnchor="text" w:yAlign="inline"/>
      <w:bidi w:val="0"/>
    </w:pPr>
    <w:r>
      <mc:AlternateContent>
        <mc:Choice Requires="wps">
          <w:drawing>
            <wp:anchor distT="152400" distB="152400" distL="152400" distR="152400" simplePos="0" relativeHeight="251659264" behindDoc="1" locked="0" layoutInCell="1" allowOverlap="1">
              <wp:simplePos x="0" y="0"/>
              <wp:positionH relativeFrom="page">
                <wp:posOffset>0</wp:posOffset>
              </wp:positionH>
              <wp:positionV relativeFrom="page">
                <wp:posOffset>0</wp:posOffset>
              </wp:positionV>
              <wp:extent cx="7556500" cy="10693400"/>
              <wp:effectExtent l="0" t="0" r="0" b="0"/>
              <wp:wrapNone/>
              <wp:docPr id="1073741826" name="officeArt object" descr="矩形"/>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officeArt object" o:spid="_x0000_s1026" o:spt="2" alt="矩形" style="position:absolute;left:0pt;margin-left:0pt;margin-top:0pt;height:842pt;width:595pt;mso-position-horizontal-relative:page;mso-position-vertical-relative:page;z-index:-251657216;mso-width-relative:page;mso-height-relative:page;" fillcolor="#FFFFFF" filled="t" stroked="f" coordsize="21600,21600" arcsize="0" o:gfxdata="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OKn7nVAAAABwEAAA8AAAAAAAAAAQAgAAAAIgAAAGRycy9kb3ducmV2LnhtbFBLAQIU&#10;ABQAAAAIAIdO4kC3QzMw9gEAANwDAAAOAAAAAAAAAAEAIAAAACQBAABkcnMvZTJvRG9jLnhtbFBL&#10;BQYAAAAABgAGAFkBAACMBQAAAAA=&#10;">
              <v:fill on="t" focussize="0,0"/>
              <v:stroke on="f" weight="1pt" miterlimit="4" joinstyle="miter"/>
              <v:imagedata o:title=""/>
              <o:lock v:ext="edit" aspectratio="f"/>
            </v:round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chineseCounting"/>
      <w:suff w:val="nothing"/>
      <w:lvlText w:val="%1."/>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lvl w:ilvl="1" w:tentative="0">
      <w:start w:val="1"/>
      <w:numFmt w:val="chineseCounting"/>
      <w:suff w:val="nothing"/>
      <w:lvlText w:val="%2."/>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lvl w:ilvl="2" w:tentative="0">
      <w:start w:val="1"/>
      <w:numFmt w:val="chineseCounting"/>
      <w:suff w:val="nothing"/>
      <w:lvlText w:val="%3."/>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lvl w:ilvl="3" w:tentative="0">
      <w:start w:val="1"/>
      <w:numFmt w:val="chineseCounting"/>
      <w:suff w:val="nothing"/>
      <w:lvlText w:val="%4."/>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lvl w:ilvl="4" w:tentative="0">
      <w:start w:val="1"/>
      <w:numFmt w:val="chineseCounting"/>
      <w:suff w:val="nothing"/>
      <w:lvlText w:val="%5."/>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lvl w:ilvl="5" w:tentative="0">
      <w:start w:val="1"/>
      <w:numFmt w:val="chineseCounting"/>
      <w:suff w:val="nothing"/>
      <w:lvlText w:val="%6."/>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lvl w:ilvl="6" w:tentative="0">
      <w:start w:val="1"/>
      <w:numFmt w:val="chineseCounting"/>
      <w:suff w:val="nothing"/>
      <w:lvlText w:val="%7."/>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lvl w:ilvl="7" w:tentative="0">
      <w:start w:val="1"/>
      <w:numFmt w:val="chineseCounting"/>
      <w:suff w:val="nothing"/>
      <w:lvlText w:val="%8."/>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lvl w:ilvl="8" w:tentative="0">
      <w:start w:val="1"/>
      <w:numFmt w:val="chineseCounting"/>
      <w:suff w:val="nothing"/>
      <w:lvlText w:val="%9."/>
      <w:lvlJc w:val="left"/>
      <w:pPr>
        <w:ind w:left="178" w:firstLine="465"/>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ZmIzZjExODZjZTdlNzI5NzkwMDdlYWFhNGUyYjdkODAifQ=="/>
  </w:docVars>
  <w:rsids>
    <w:rsidRoot w:val="00000000"/>
    <w:rsid w:val="168E50BE"/>
    <w:rsid w:val="47E8678C"/>
    <w:rsid w:val="60103BFB"/>
    <w:rsid w:val="61245AE2"/>
    <w:rsid w:val="78457E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spacing w:before="0" w:beforeAutospacing="0" w:after="0" w:afterAutospacing="0" w:line="240" w:lineRule="auto"/>
      <w:ind w:left="0" w:right="0" w:firstLine="0"/>
      <w:jc w:val="left"/>
      <w:outlineLvl w:val="9"/>
    </w:pPr>
    <w:rPr>
      <w:rFonts w:ascii="Times New Roman" w:hAnsi="Times New Roman" w:eastAsia="Arial Unicode MS" w:cs="Times New Roman"/>
      <w:color w:val="auto"/>
      <w:spacing w:val="0"/>
      <w:w w:val="100"/>
      <w:kern w:val="0"/>
      <w:position w:val="0"/>
      <w:sz w:val="24"/>
      <w:szCs w:val="24"/>
      <w:u w:val="none" w:color="auto"/>
      <w:vertAlign w:val="baseline"/>
      <w:lang w:val="en-US" w:eastAsia="en-US" w:bidi="ar-SA"/>
    </w:rPr>
  </w:style>
  <w:style w:type="character" w:default="1" w:styleId="3">
    <w:name w:val="Default Paragraph Font"/>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qFormat/>
    <w:uiPriority w:val="0"/>
    <w:rPr>
      <w:u w:val="single"/>
    </w:rPr>
  </w:style>
  <w:style w:type="table" w:customStyle="1" w:styleId="5">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6">
    <w:name w:val="页眉与页脚"/>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PingFang SC Regular" w:hAnsi="PingFang SC Regular" w:eastAsia="Arial Unicode MS" w:cs="Arial Unicode MS"/>
      <w:color w:val="000000"/>
      <w:spacing w:val="0"/>
      <w:w w:val="100"/>
      <w:kern w:val="0"/>
      <w:position w:val="0"/>
      <w:sz w:val="24"/>
      <w:szCs w:val="24"/>
      <w:u w:val="none" w:color="auto"/>
      <w:shd w:val="clear" w:color="auto" w:fill="auto"/>
      <w:vertAlign w:val="baseline"/>
    </w:rPr>
  </w:style>
  <w:style w:type="paragraph" w:customStyle="1" w:styleId="7">
    <w:name w:val="正文 A"/>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hint="eastAsia" w:ascii="Arial Unicode MS" w:hAnsi="Arial Unicode MS" w:eastAsia="Arial Unicode MS" w:cs="Arial Unicode MS"/>
      <w:color w:val="000000"/>
      <w:spacing w:val="0"/>
      <w:w w:val="100"/>
      <w:kern w:val="2"/>
      <w:position w:val="0"/>
      <w:sz w:val="32"/>
      <w:szCs w:val="32"/>
      <w:u w:val="none" w:color="000000"/>
      <w:shd w:val="clear" w:color="auto" w:fill="auto"/>
      <w:vertAlign w:val="baseline"/>
      <w:lang w:val="en-US"/>
    </w:rPr>
  </w:style>
  <w:style w:type="paragraph" w:customStyle="1" w:styleId="8">
    <w:name w:val="页脚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center" w:pos="4153"/>
        <w:tab w:val="right" w:pos="8306"/>
      </w:tabs>
      <w:suppressAutoHyphens w:val="0"/>
      <w:bidi w:val="0"/>
      <w:spacing w:before="0" w:beforeAutospacing="0" w:after="0" w:afterAutospacing="0" w:line="240" w:lineRule="auto"/>
      <w:ind w:left="0" w:right="0" w:firstLine="0"/>
      <w:jc w:val="left"/>
      <w:outlineLvl w:val="9"/>
    </w:pPr>
    <w:rPr>
      <w:rFonts w:ascii="Times New Roman" w:hAnsi="Times New Roman" w:eastAsia="Times New Roman" w:cs="Times New Roman"/>
      <w:color w:val="000000"/>
      <w:spacing w:val="0"/>
      <w:w w:val="100"/>
      <w:kern w:val="2"/>
      <w:position w:val="0"/>
      <w:sz w:val="18"/>
      <w:szCs w:val="18"/>
      <w:u w:val="none" w:color="000000"/>
      <w:shd w:val="clear" w:color="auto" w:fill="auto"/>
      <w:vertAlign w:val="baseline"/>
      <w:lang w:val="en-US"/>
    </w:rPr>
  </w:style>
  <w:style w:type="paragraph" w:customStyle="1" w:styleId="9">
    <w:name w:val="正文文本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93" w:beforeAutospacing="0" w:after="0" w:afterAutospacing="0" w:line="240" w:lineRule="auto"/>
      <w:ind w:left="0" w:right="0" w:firstLine="0"/>
      <w:jc w:val="both"/>
      <w:outlineLvl w:val="9"/>
    </w:pPr>
    <w:rPr>
      <w:rFonts w:ascii="仿宋_GB2312" w:hAnsi="仿宋_GB2312" w:eastAsia="仿宋_GB2312" w:cs="仿宋_GB2312"/>
      <w:color w:val="000000"/>
      <w:spacing w:val="0"/>
      <w:w w:val="100"/>
      <w:kern w:val="2"/>
      <w:position w:val="0"/>
      <w:sz w:val="30"/>
      <w:szCs w:val="30"/>
      <w:u w:val="none" w:color="000000"/>
      <w:shd w:val="clear" w:color="auto" w:fill="auto"/>
      <w:vertAlign w:val="baseline"/>
      <w:lang w:val="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PingFang SC Semibold"/>
        <a:ea typeface="PingFang SC Semibold"/>
        <a:cs typeface="PingFang SC Semibold"/>
      </a:majorFont>
      <a:minorFont>
        <a:latin typeface="PingFang SC Regular"/>
        <a:ea typeface="PingFang SC Regular"/>
        <a:cs typeface="PingFang SC Regula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3717</Words>
  <Characters>4472</Characters>
  <TotalTime>3</TotalTime>
  <ScaleCrop>false</ScaleCrop>
  <LinksUpToDate>false</LinksUpToDate>
  <CharactersWithSpaces>4496</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2022-07-19T03:24:00Z</dcterms:created>
  <dc:creator>Administrator</dc:creator>
  <cp:lastModifiedBy>Administrator</cp:lastModifiedBy>
  <dcterms:modified xsi:type="dcterms:W3CDTF">2023-07-31T01:48:57Z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DA54F060F5E6463AAAFB86AD60FC440E_13</vt:lpwstr>
  </property>
</Properties>
</file>