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eastAsia="方正小标宋简体"/>
          <w:color w:val="000000"/>
          <w:sz w:val="72"/>
          <w:szCs w:val="72"/>
        </w:rPr>
      </w:pPr>
      <w:bookmarkStart w:id="0" w:name="_Toc15306267"/>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adjustRightInd w:val="0"/>
        <w:snapToGrid w:val="0"/>
        <w:spacing w:line="360" w:lineRule="auto"/>
        <w:jc w:val="center"/>
        <w:outlineLvl w:val="0"/>
        <w:rPr>
          <w:rFonts w:eastAsia="方正小标宋简体"/>
          <w:color w:val="000000"/>
          <w:sz w:val="72"/>
          <w:szCs w:val="72"/>
        </w:rPr>
      </w:pPr>
      <w:bookmarkStart w:id="1" w:name="_Toc15378441"/>
      <w:bookmarkStart w:id="2" w:name="_Toc15396597"/>
      <w:bookmarkStart w:id="3" w:name="_Toc15377193"/>
      <w:bookmarkStart w:id="4" w:name="_Toc15377425"/>
      <w:bookmarkStart w:id="5" w:name="_Toc15396475"/>
      <w:r>
        <w:rPr>
          <w:rFonts w:eastAsia="黑体"/>
          <w:color w:val="000000"/>
          <w:sz w:val="72"/>
          <w:szCs w:val="72"/>
        </w:rPr>
        <w:t>2019</w:t>
      </w:r>
      <w:r>
        <w:rPr>
          <w:rFonts w:hint="eastAsia"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eastAsia="方正小标宋简体"/>
          <w:color w:val="000000"/>
          <w:sz w:val="72"/>
          <w:szCs w:val="72"/>
        </w:rPr>
      </w:pPr>
      <w:bookmarkStart w:id="6" w:name="_Toc15377426"/>
      <w:bookmarkStart w:id="7" w:name="_Toc15377194"/>
      <w:bookmarkStart w:id="8" w:name="_Toc15396598"/>
      <w:bookmarkStart w:id="9" w:name="_Toc15378442"/>
      <w:bookmarkStart w:id="10" w:name="_Toc15396476"/>
      <w:r>
        <w:rPr>
          <w:rFonts w:hint="eastAsia" w:eastAsia="方正小标宋简体"/>
          <w:color w:val="000000"/>
          <w:sz w:val="72"/>
          <w:szCs w:val="72"/>
        </w:rPr>
        <w:t>四川省</w:t>
      </w:r>
      <w:bookmarkEnd w:id="0"/>
      <w:bookmarkStart w:id="11" w:name="_Toc15306268"/>
      <w:r>
        <w:rPr>
          <w:rFonts w:hint="eastAsia" w:eastAsia="方正小标宋简体"/>
          <w:color w:val="000000"/>
          <w:sz w:val="72"/>
          <w:szCs w:val="72"/>
        </w:rPr>
        <w:t>攀枝花市</w:t>
      </w:r>
    </w:p>
    <w:p>
      <w:pPr>
        <w:adjustRightInd w:val="0"/>
        <w:snapToGrid w:val="0"/>
        <w:spacing w:line="360" w:lineRule="auto"/>
        <w:jc w:val="center"/>
        <w:outlineLvl w:val="0"/>
        <w:rPr>
          <w:rFonts w:eastAsia="方正小标宋简体"/>
          <w:color w:val="000000"/>
          <w:sz w:val="72"/>
          <w:szCs w:val="72"/>
        </w:rPr>
      </w:pPr>
      <w:r>
        <w:rPr>
          <w:rFonts w:hint="eastAsia" w:eastAsia="方正小标宋简体"/>
          <w:color w:val="000000"/>
          <w:sz w:val="72"/>
          <w:szCs w:val="72"/>
        </w:rPr>
        <w:t>扶贫开发局部门决算</w:t>
      </w:r>
      <w:bookmarkEnd w:id="6"/>
      <w:bookmarkEnd w:id="7"/>
      <w:bookmarkEnd w:id="8"/>
      <w:bookmarkEnd w:id="9"/>
      <w:bookmarkEnd w:id="10"/>
      <w:bookmarkEnd w:id="11"/>
    </w:p>
    <w:p>
      <w:pPr>
        <w:widowControl/>
        <w:jc w:val="center"/>
        <w:rPr>
          <w:rFonts w:eastAsia="黑体"/>
          <w:color w:val="000000"/>
          <w:sz w:val="48"/>
          <w:szCs w:val="48"/>
        </w:rPr>
      </w:pPr>
      <w:r>
        <w:rPr>
          <w:rFonts w:eastAsia="方正小标宋简体"/>
          <w:color w:val="000000"/>
          <w:sz w:val="36"/>
          <w:szCs w:val="36"/>
        </w:rPr>
        <w:br w:type="page"/>
      </w:r>
      <w:r>
        <w:rPr>
          <w:rFonts w:hint="eastAsia" w:eastAsia="黑体"/>
          <w:color w:val="000000"/>
          <w:sz w:val="48"/>
          <w:szCs w:val="48"/>
        </w:rPr>
        <w:t>目录</w:t>
      </w:r>
    </w:p>
    <w:p>
      <w:pPr>
        <w:widowControl/>
        <w:jc w:val="center"/>
        <w:rPr>
          <w:rFonts w:eastAsia="黑体"/>
          <w:sz w:val="28"/>
          <w:szCs w:val="28"/>
        </w:rPr>
      </w:pPr>
    </w:p>
    <w:p>
      <w:pPr>
        <w:pStyle w:val="10"/>
        <w:rPr>
          <w:rFonts w:ascii="Times New Roman" w:hAnsi="Times New Roman"/>
        </w:rPr>
      </w:pPr>
      <w:r>
        <w:rPr>
          <w:rFonts w:hint="eastAsia" w:ascii="Times New Roman" w:hAnsi="Times New Roman"/>
        </w:rPr>
        <w:t>公开时间：</w:t>
      </w:r>
      <w:r>
        <w:rPr>
          <w:rFonts w:ascii="Times New Roman" w:hAnsi="Times New Roman"/>
        </w:rPr>
        <w:t>2020</w:t>
      </w:r>
      <w:r>
        <w:rPr>
          <w:rFonts w:hint="eastAsia" w:ascii="Times New Roman" w:hAnsi="Times New Roman"/>
        </w:rPr>
        <w:t>年</w:t>
      </w:r>
      <w:r>
        <w:rPr>
          <w:rFonts w:ascii="Times New Roman" w:hAnsi="Times New Roman"/>
        </w:rPr>
        <w:t>9</w:t>
      </w:r>
      <w:r>
        <w:rPr>
          <w:rFonts w:hint="eastAsia" w:ascii="Times New Roman" w:hAnsi="Times New Roman"/>
        </w:rPr>
        <w:t>月</w:t>
      </w:r>
      <w:r>
        <w:rPr>
          <w:rFonts w:ascii="Times New Roman" w:hAnsi="Times New Roman"/>
        </w:rPr>
        <w:t xml:space="preserve"> 21 </w:t>
      </w:r>
      <w:r>
        <w:rPr>
          <w:rFonts w:hint="eastAsia" w:ascii="Times New Roman" w:hAnsi="Times New Roman"/>
        </w:rPr>
        <w:t>日</w:t>
      </w:r>
    </w:p>
    <w:p/>
    <w:p>
      <w:pPr>
        <w:pStyle w:val="10"/>
        <w:numPr>
          <w:ilvl w:val="255"/>
          <w:numId w:val="0"/>
        </w:numPr>
        <w:adjustRightInd w:val="0"/>
        <w:snapToGrid w:val="0"/>
        <w:spacing w:before="0" w:line="440" w:lineRule="exact"/>
        <w:jc w:val="left"/>
      </w:pPr>
      <w:r>
        <w:rPr>
          <w:rFonts w:hint="eastAsia" w:ascii="黑体" w:hAnsi="黑体" w:eastAsia="黑体" w:cs="黑体"/>
        </w:rPr>
        <w:t>第一部分 部门概况……………………………………………………</w:t>
      </w:r>
      <w:r>
        <w:rPr>
          <w:rFonts w:hint="eastAsia"/>
        </w:rPr>
        <w:t>4</w:t>
      </w:r>
    </w:p>
    <w:p>
      <w:pPr>
        <w:pStyle w:val="10"/>
        <w:adjustRightInd w:val="0"/>
        <w:snapToGrid w:val="0"/>
        <w:spacing w:before="0" w:line="440" w:lineRule="exact"/>
        <w:jc w:val="left"/>
        <w:rPr>
          <w:rFonts w:ascii="仿宋_GB2312" w:hAnsi="仿宋_GB2312" w:eastAsia="仿宋_GB2312" w:cs="仿宋_GB2312"/>
        </w:rPr>
      </w:pPr>
      <w:r>
        <w:rPr>
          <w:rFonts w:hint="eastAsia"/>
        </w:rPr>
        <w:t xml:space="preserve">   </w:t>
      </w:r>
      <w:r>
        <w:rPr>
          <w:rFonts w:hint="eastAsia" w:ascii="仿宋_GB2312" w:hAnsi="仿宋_GB2312" w:eastAsia="仿宋_GB2312" w:cs="仿宋_GB2312"/>
        </w:rPr>
        <w:t>一、基本职能及主要工作</w:t>
      </w:r>
      <w:r>
        <w:rPr>
          <w:rFonts w:hint="eastAsia" w:ascii="黑体" w:hAnsi="黑体" w:eastAsia="黑体" w:cs="黑体"/>
        </w:rPr>
        <w:t>…………………………………………</w:t>
      </w:r>
      <w:r>
        <w:rPr>
          <w:rFonts w:hint="eastAsia"/>
        </w:rPr>
        <w:t>4</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二、机构设置</w:t>
      </w:r>
      <w:r>
        <w:rPr>
          <w:rFonts w:hint="eastAsia" w:ascii="黑体" w:hAnsi="黑体" w:eastAsia="黑体" w:cs="黑体"/>
          <w:sz w:val="28"/>
        </w:rPr>
        <w:t>………………………………………………………10</w:t>
      </w:r>
    </w:p>
    <w:p>
      <w:pPr>
        <w:pStyle w:val="10"/>
        <w:adjustRightInd w:val="0"/>
        <w:snapToGrid w:val="0"/>
        <w:spacing w:before="0" w:line="440" w:lineRule="exact"/>
        <w:jc w:val="left"/>
        <w:rPr>
          <w:rFonts w:ascii="Times New Roman" w:hAnsi="Times New Roman"/>
        </w:rPr>
      </w:pPr>
      <w:r>
        <w:rPr>
          <w:rFonts w:hint="eastAsia" w:ascii="黑体" w:hAnsi="黑体" w:eastAsia="黑体" w:cs="黑体"/>
        </w:rPr>
        <w:t>第二部分 部门决算情况说明…………………………………………11</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一、收入支出决算总体情况说明</w:t>
      </w:r>
      <w:r>
        <w:rPr>
          <w:rFonts w:hint="eastAsia" w:ascii="黑体" w:hAnsi="黑体" w:eastAsia="黑体" w:cs="黑体"/>
          <w:sz w:val="28"/>
        </w:rPr>
        <w:t>…………………………………11</w:t>
      </w:r>
    </w:p>
    <w:p>
      <w:pPr>
        <w:pStyle w:val="11"/>
        <w:adjustRightInd w:val="0"/>
        <w:snapToGrid w:val="0"/>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r>
        <w:rPr>
          <w:rFonts w:hint="eastAsia" w:ascii="黑体" w:hAnsi="黑体" w:eastAsia="黑体" w:cs="黑体"/>
          <w:sz w:val="28"/>
        </w:rPr>
        <w:t>……………………………………………11</w:t>
      </w:r>
    </w:p>
    <w:p>
      <w:pPr>
        <w:pStyle w:val="11"/>
        <w:adjustRightInd w:val="0"/>
        <w:snapToGrid w:val="0"/>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三、支出决算情况说明</w:t>
      </w:r>
      <w:r>
        <w:rPr>
          <w:rFonts w:hint="eastAsia" w:ascii="黑体" w:hAnsi="黑体" w:eastAsia="黑体" w:cs="黑体"/>
          <w:sz w:val="28"/>
        </w:rPr>
        <w:t>……………………………………………12</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四、财政拨款收入支出决算总体情况说明</w:t>
      </w:r>
      <w:r>
        <w:rPr>
          <w:rFonts w:hint="eastAsia" w:ascii="黑体" w:hAnsi="黑体" w:eastAsia="黑体" w:cs="黑体"/>
          <w:sz w:val="28"/>
        </w:rPr>
        <w:t>………………………12</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五、一般公共预算财政拨款支出决算情况说明</w:t>
      </w:r>
      <w:r>
        <w:rPr>
          <w:rFonts w:hint="eastAsia" w:ascii="黑体" w:hAnsi="黑体" w:eastAsia="黑体" w:cs="黑体"/>
          <w:sz w:val="28"/>
        </w:rPr>
        <w:t>…………………13</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六、一般公共预算财政拨款基本支出决算情况说明</w:t>
      </w:r>
      <w:r>
        <w:rPr>
          <w:rFonts w:hint="eastAsia" w:ascii="黑体" w:hAnsi="黑体" w:eastAsia="黑体" w:cs="黑体"/>
          <w:sz w:val="28"/>
        </w:rPr>
        <w:t>……………15</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七、“三公”经费财政拨款支出决算情况说明</w:t>
      </w:r>
      <w:r>
        <w:rPr>
          <w:rFonts w:hint="eastAsia" w:ascii="黑体" w:hAnsi="黑体" w:eastAsia="黑体" w:cs="黑体"/>
          <w:sz w:val="28"/>
        </w:rPr>
        <w:t>…………………16</w:t>
      </w:r>
    </w:p>
    <w:p>
      <w:pPr>
        <w:pStyle w:val="11"/>
        <w:adjustRightInd w:val="0"/>
        <w:snapToGrid w:val="0"/>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八、政府性基金预算支出决算情况说明</w:t>
      </w:r>
      <w:r>
        <w:rPr>
          <w:rFonts w:hint="eastAsia" w:ascii="黑体" w:hAnsi="黑体" w:eastAsia="黑体" w:cs="黑体"/>
          <w:sz w:val="28"/>
        </w:rPr>
        <w:t>…………………………18</w:t>
      </w:r>
    </w:p>
    <w:p>
      <w:pPr>
        <w:pStyle w:val="11"/>
        <w:adjustRightInd w:val="0"/>
        <w:snapToGrid w:val="0"/>
        <w:spacing w:line="440" w:lineRule="exact"/>
        <w:ind w:leftChars="0"/>
        <w:jc w:val="left"/>
        <w:rPr>
          <w:rFonts w:ascii="仿宋_GB2312" w:hAnsi="仿宋_GB2312" w:eastAsia="黑体" w:cs="仿宋_GB2312"/>
          <w:sz w:val="28"/>
          <w:szCs w:val="28"/>
        </w:rPr>
      </w:pPr>
      <w:r>
        <w:rPr>
          <w:rFonts w:hint="eastAsia" w:ascii="仿宋_GB2312" w:hAnsi="仿宋_GB2312" w:eastAsia="仿宋_GB2312" w:cs="仿宋_GB2312"/>
          <w:sz w:val="28"/>
          <w:szCs w:val="28"/>
        </w:rPr>
        <w:t xml:space="preserve">九、 国有资本经营预算支出决算情况说明 </w:t>
      </w:r>
      <w:r>
        <w:rPr>
          <w:rFonts w:hint="eastAsia" w:ascii="黑体" w:hAnsi="黑体" w:eastAsia="黑体" w:cs="黑体"/>
          <w:sz w:val="28"/>
        </w:rPr>
        <w:t>……………………18</w:t>
      </w:r>
    </w:p>
    <w:p>
      <w:pPr>
        <w:adjustRightInd w:val="0"/>
        <w:snapToGrid w:val="0"/>
        <w:spacing w:line="440" w:lineRule="exact"/>
        <w:ind w:left="155" w:leftChars="74" w:firstLine="280" w:firstLineChars="100"/>
        <w:jc w:val="left"/>
        <w:rPr>
          <w:rFonts w:ascii="仿宋_GB2312" w:hAnsi="仿宋_GB2312" w:eastAsia="黑体" w:cs="仿宋_GB2312"/>
          <w:sz w:val="28"/>
          <w:szCs w:val="28"/>
        </w:rPr>
      </w:pPr>
      <w:r>
        <w:rPr>
          <w:rStyle w:val="16"/>
          <w:rFonts w:hint="eastAsia" w:ascii="仿宋_GB2312" w:hAnsi="仿宋_GB2312" w:eastAsia="仿宋_GB2312" w:cs="仿宋_GB2312"/>
          <w:color w:val="000000" w:themeColor="text1"/>
          <w:sz w:val="28"/>
          <w:szCs w:val="28"/>
          <w:u w:val="none"/>
          <w14:textFill>
            <w14:solidFill>
              <w14:schemeClr w14:val="tx1"/>
            </w14:solidFill>
          </w14:textFill>
        </w:rPr>
        <w:t>十、</w:t>
      </w:r>
      <w:r>
        <w:rPr>
          <w:rFonts w:hint="eastAsia" w:ascii="仿宋_GB2312" w:hAnsi="仿宋_GB2312" w:eastAsia="仿宋_GB2312" w:cs="仿宋_GB2312"/>
          <w:sz w:val="28"/>
          <w:szCs w:val="28"/>
        </w:rPr>
        <w:t>其他重要事项的情况说明</w:t>
      </w:r>
      <w:r>
        <w:rPr>
          <w:rFonts w:hint="eastAsia" w:ascii="黑体" w:hAnsi="黑体" w:eastAsia="黑体" w:cs="黑体"/>
          <w:sz w:val="28"/>
        </w:rPr>
        <w:t>……………………………………18</w:t>
      </w:r>
    </w:p>
    <w:p>
      <w:pPr>
        <w:pStyle w:val="10"/>
        <w:adjustRightInd w:val="0"/>
        <w:snapToGrid w:val="0"/>
        <w:spacing w:before="0" w:line="440" w:lineRule="exact"/>
        <w:jc w:val="left"/>
        <w:rPr>
          <w:rFonts w:ascii="黑体" w:hAnsi="黑体" w:eastAsia="黑体" w:cs="黑体"/>
        </w:rPr>
      </w:pPr>
      <w:r>
        <w:rPr>
          <w:rFonts w:hint="eastAsia" w:ascii="黑体" w:hAnsi="黑体" w:eastAsia="黑体" w:cs="黑体"/>
        </w:rPr>
        <w:t>第三部分 名词解释……………………………………………………30</w:t>
      </w:r>
    </w:p>
    <w:p>
      <w:pPr>
        <w:pStyle w:val="10"/>
        <w:adjustRightInd w:val="0"/>
        <w:snapToGrid w:val="0"/>
        <w:spacing w:before="0" w:line="440" w:lineRule="exact"/>
        <w:jc w:val="left"/>
        <w:rPr>
          <w:rFonts w:ascii="黑体" w:hAnsi="黑体" w:eastAsia="黑体" w:cs="黑体"/>
        </w:rPr>
      </w:pPr>
      <w:r>
        <w:rPr>
          <w:rFonts w:hint="eastAsia" w:ascii="黑体" w:hAnsi="黑体" w:eastAsia="黑体" w:cs="黑体"/>
        </w:rPr>
        <w:t>第四部分 附件…………………………………………………………32</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附件 1</w:t>
      </w:r>
      <w:r>
        <w:rPr>
          <w:rFonts w:hint="eastAsia" w:ascii="黑体" w:hAnsi="黑体" w:eastAsia="黑体" w:cs="黑体"/>
          <w:sz w:val="28"/>
        </w:rPr>
        <w:t>………………………………………………………………32</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附件 2</w:t>
      </w:r>
      <w:r>
        <w:rPr>
          <w:rFonts w:hint="eastAsia" w:ascii="黑体" w:hAnsi="黑体" w:eastAsia="黑体" w:cs="黑体"/>
          <w:sz w:val="28"/>
        </w:rPr>
        <w:t>………………………………………………………………42</w:t>
      </w:r>
    </w:p>
    <w:p>
      <w:pPr>
        <w:pStyle w:val="10"/>
        <w:adjustRightInd w:val="0"/>
        <w:snapToGrid w:val="0"/>
        <w:spacing w:before="0" w:line="440" w:lineRule="exact"/>
        <w:jc w:val="left"/>
        <w:rPr>
          <w:rFonts w:ascii="黑体" w:hAnsi="黑体" w:eastAsia="黑体" w:cs="黑体"/>
        </w:rPr>
      </w:pPr>
      <w:r>
        <w:rPr>
          <w:rFonts w:hint="eastAsia" w:ascii="黑体" w:hAnsi="黑体" w:eastAsia="黑体" w:cs="黑体"/>
        </w:rPr>
        <w:t>第五部分 附表…………………………………………………………47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一、收入支出决算总表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三、支出决算表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四、财政拨款收入支出决算总表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五、财政拨款支出决算明细表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六、一般公共预算财政拨款支出决算表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七、一般公共预算财政拨款支出决算明细表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八、一般公共预算财政拨款基本支出决算表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九、一般公共预算财政拨款项目支出决算表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十、一般公共预算财政拨款“三公”经费支出决算表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十一、政府性基金预算财政拨款收入支出决算表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十二、政府性基金预算财政拨款“三公”经费支出决算表</w:t>
      </w:r>
      <w:r>
        <w:rPr>
          <w:rFonts w:hint="eastAsia" w:ascii="黑体" w:hAnsi="黑体" w:eastAsia="黑体" w:cs="黑体"/>
          <w:sz w:val="28"/>
        </w:rPr>
        <w:t>……47</w:t>
      </w:r>
    </w:p>
    <w:p>
      <w:pPr>
        <w:pStyle w:val="11"/>
        <w:adjustRightInd w:val="0"/>
        <w:snapToGrid w:val="0"/>
        <w:spacing w:line="440" w:lineRule="exact"/>
        <w:jc w:val="left"/>
        <w:rPr>
          <w:rFonts w:ascii="仿宋_GB2312" w:hAnsi="仿宋_GB2312" w:eastAsia="黑体" w:cs="仿宋_GB2312"/>
          <w:sz w:val="28"/>
          <w:szCs w:val="28"/>
        </w:rPr>
      </w:pPr>
      <w:r>
        <w:rPr>
          <w:rFonts w:hint="eastAsia" w:ascii="仿宋_GB2312" w:hAnsi="仿宋_GB2312" w:eastAsia="仿宋_GB2312" w:cs="仿宋_GB2312"/>
          <w:sz w:val="28"/>
          <w:szCs w:val="28"/>
        </w:rPr>
        <w:t>十三、国有资本经营预算支出决算表</w:t>
      </w:r>
      <w:r>
        <w:rPr>
          <w:rFonts w:hint="eastAsia" w:ascii="黑体" w:hAnsi="黑体" w:eastAsia="黑体" w:cs="黑体"/>
          <w:sz w:val="28"/>
        </w:rPr>
        <w:t>……………………………47</w:t>
      </w:r>
    </w:p>
    <w:p>
      <w:pPr>
        <w:widowControl/>
        <w:spacing w:line="440" w:lineRule="exact"/>
        <w:jc w:val="left"/>
        <w:rPr>
          <w:rFonts w:eastAsia="仿宋"/>
          <w:bCs/>
          <w:kern w:val="44"/>
          <w:sz w:val="24"/>
        </w:rPr>
      </w:pPr>
      <w:bookmarkStart w:id="12" w:name="_Toc15396599"/>
      <w:bookmarkStart w:id="13" w:name="_Toc15377196"/>
      <w:r>
        <w:rPr>
          <w:rFonts w:eastAsia="仿宋"/>
          <w:b/>
          <w:sz w:val="24"/>
        </w:rPr>
        <w:br w:type="page"/>
      </w:r>
    </w:p>
    <w:p>
      <w:pPr>
        <w:pStyle w:val="2"/>
        <w:adjustRightInd w:val="0"/>
        <w:snapToGrid w:val="0"/>
        <w:spacing w:line="300" w:lineRule="auto"/>
        <w:jc w:val="center"/>
        <w:rPr>
          <w:rStyle w:val="25"/>
          <w:rFonts w:eastAsia="黑体"/>
          <w:b/>
          <w:bCs w:val="0"/>
        </w:rPr>
      </w:pPr>
      <w:r>
        <w:rPr>
          <w:rFonts w:hint="eastAsia" w:eastAsia="黑体"/>
          <w:b w:val="0"/>
        </w:rPr>
        <w:t>第一部分</w:t>
      </w:r>
      <w:r>
        <w:rPr>
          <w:rFonts w:eastAsia="黑体"/>
          <w:b w:val="0"/>
        </w:rPr>
        <w:t xml:space="preserve"> </w:t>
      </w:r>
      <w:r>
        <w:rPr>
          <w:rStyle w:val="25"/>
          <w:rFonts w:hint="eastAsia" w:eastAsia="黑体"/>
          <w:b w:val="0"/>
          <w:bCs w:val="0"/>
        </w:rPr>
        <w:t>部门概况</w:t>
      </w:r>
      <w:bookmarkEnd w:id="12"/>
      <w:bookmarkEnd w:id="13"/>
    </w:p>
    <w:p>
      <w:pPr>
        <w:widowControl/>
        <w:adjustRightInd w:val="0"/>
        <w:snapToGrid w:val="0"/>
        <w:spacing w:line="300" w:lineRule="auto"/>
        <w:jc w:val="left"/>
        <w:rPr>
          <w:rFonts w:eastAsia="黑体"/>
          <w:color w:val="000000"/>
          <w:sz w:val="32"/>
          <w:szCs w:val="32"/>
        </w:rPr>
      </w:pPr>
    </w:p>
    <w:p>
      <w:pPr>
        <w:pStyle w:val="3"/>
        <w:adjustRightInd w:val="0"/>
        <w:snapToGrid w:val="0"/>
        <w:spacing w:line="576" w:lineRule="exact"/>
        <w:rPr>
          <w:rStyle w:val="26"/>
          <w:rFonts w:ascii="Times New Roman" w:hAnsi="Times New Roman" w:eastAsia="仿宋" w:cs="Times New Roman"/>
          <w:b w:val="0"/>
          <w:bCs w:val="0"/>
        </w:rPr>
      </w:pPr>
      <w:bookmarkStart w:id="14" w:name="_Toc15396600"/>
      <w:bookmarkStart w:id="15" w:name="_Toc15377197"/>
      <w:r>
        <w:rPr>
          <w:rFonts w:hint="eastAsia" w:ascii="Times New Roman" w:hAnsi="Times New Roman" w:eastAsia="黑体" w:cs="Times New Roman"/>
          <w:b w:val="0"/>
          <w:color w:val="000000"/>
        </w:rPr>
        <w:t>一、基</w:t>
      </w:r>
      <w:r>
        <w:rPr>
          <w:rStyle w:val="26"/>
          <w:rFonts w:hint="eastAsia" w:ascii="Times New Roman" w:hAnsi="Times New Roman" w:eastAsia="黑体" w:cs="Times New Roman"/>
          <w:b w:val="0"/>
          <w:bCs w:val="0"/>
        </w:rPr>
        <w:t>本职能及主要工作</w:t>
      </w:r>
      <w:bookmarkEnd w:id="14"/>
      <w:bookmarkEnd w:id="15"/>
    </w:p>
    <w:p>
      <w:pPr>
        <w:adjustRightInd w:val="0"/>
        <w:snapToGrid w:val="0"/>
        <w:spacing w:line="576" w:lineRule="exact"/>
        <w:ind w:firstLine="640"/>
        <w:rPr>
          <w:rFonts w:ascii="仿宋_GB2312" w:hAnsi="仿宋_GB2312" w:eastAsia="仿宋_GB2312" w:cs="仿宋_GB2312"/>
          <w:bCs/>
          <w:color w:val="000000"/>
          <w:sz w:val="32"/>
          <w:szCs w:val="32"/>
        </w:rPr>
      </w:pPr>
      <w:bookmarkStart w:id="16" w:name="_Toc15377198"/>
      <w:bookmarkStart w:id="17" w:name="_Toc15378445"/>
      <w:r>
        <w:rPr>
          <w:rFonts w:hint="eastAsia" w:ascii="仿宋_GB2312" w:hAnsi="仿宋_GB2312" w:eastAsia="仿宋_GB2312" w:cs="仿宋_GB2312"/>
          <w:bCs/>
          <w:color w:val="000000"/>
          <w:sz w:val="32"/>
          <w:szCs w:val="32"/>
        </w:rPr>
        <w:t>（一）主要职能。</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1.贯彻执行国家、省扶贫开发、大中型水利水电工程移民迁建安置、后期扶持、煤炭采空沉陷区治理的方针政策和法律、法规、规章，拟定有关具体政策措施并组织实施。</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2.拟定全市扶贫开发中长期规划和年度计划，组织、协调和指导全市产业扶贫、科技扶贫、特殊类区扶贫开发工作，组织和指导社会扶贫工作。</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3.参与编制大中型水利水电工程移民安置规划、库区开发规划，组织实物指标调查，征求安置规划意见，参与国家、省移民安置规划审查。组织实施和指导监督移民搬迁安置工作。</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4.制定移民后期扶持规划、计划，审批权限内移民后期扶持项目。负责全市已建、在建和拟建的大中型水利水电工程移民的搬迁安置后期扶持工作，组织移民后期扶持项目验收和评估。</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5.贯彻中央、省采煤沉陷区综合治理的方针政策。牵头采煤沉陷区综合治理工作，指导、督促相关县（区）做好采煤沉陷区综合治理项目的组织实施工作。</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6.承担扶贫、移民、沉陷区安置资金管理责任。</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7.负责移民、扶贫开发、沉陷区治理政策研究及信息工作，组织贫困、移民群众生产技能和劳动就业培训及扶贫移民工作人员培训。</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8.负责扶贫开发、移民和沉陷区群众信访接待、处理、管理工作，负责政策宣传工作。</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9.协助做好权限范围内已建、在建大中型水利水电工程库区的维护管理和周边地区的环境治理工作。</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10.负责职责范围内的安全生产和职业分健康、生态环境保护、审批服务便民化等工作。</w:t>
      </w:r>
    </w:p>
    <w:bookmarkEnd w:id="16"/>
    <w:bookmarkEnd w:id="17"/>
    <w:p>
      <w:pPr>
        <w:adjustRightInd w:val="0"/>
        <w:snapToGrid w:val="0"/>
        <w:spacing w:line="576" w:lineRule="exact"/>
        <w:ind w:firstLine="640" w:firstLineChars="200"/>
        <w:rPr>
          <w:rFonts w:ascii="仿宋_GB2312" w:hAnsi="仿宋_GB2312" w:eastAsia="仿宋_GB2312" w:cs="仿宋_GB2312"/>
          <w:bCs/>
          <w:color w:val="000000"/>
          <w:sz w:val="32"/>
          <w:szCs w:val="32"/>
        </w:rPr>
      </w:pPr>
      <w:bookmarkStart w:id="18" w:name="_Toc15378446"/>
      <w:bookmarkStart w:id="19" w:name="_Toc15377199"/>
      <w:r>
        <w:rPr>
          <w:rFonts w:hint="eastAsia" w:ascii="仿宋_GB2312" w:hAnsi="仿宋_GB2312" w:eastAsia="仿宋_GB2312" w:cs="仿宋_GB2312"/>
          <w:bCs/>
          <w:color w:val="000000"/>
          <w:sz w:val="32"/>
          <w:szCs w:val="32"/>
        </w:rPr>
        <w:t>（二）2019年重点工作完成情况。</w:t>
      </w:r>
      <w:bookmarkEnd w:id="18"/>
      <w:bookmarkEnd w:id="19"/>
    </w:p>
    <w:p>
      <w:pPr>
        <w:adjustRightInd w:val="0"/>
        <w:snapToGrid w:val="0"/>
        <w:spacing w:line="576" w:lineRule="exact"/>
        <w:ind w:firstLine="642" w:firstLineChars="200"/>
        <w:rPr>
          <w:rFonts w:eastAsia="楷体_GB2312"/>
          <w:b/>
          <w:bCs/>
          <w:color w:val="000000" w:themeColor="text1"/>
          <w:sz w:val="32"/>
          <w:szCs w:val="32"/>
          <w14:textFill>
            <w14:solidFill>
              <w14:schemeClr w14:val="tx1"/>
            </w14:solidFill>
          </w14:textFill>
        </w:rPr>
      </w:pPr>
      <w:r>
        <w:rPr>
          <w:rFonts w:hint="eastAsia" w:eastAsia="楷体_GB2312"/>
          <w:b/>
          <w:bCs/>
          <w:color w:val="000000" w:themeColor="text1"/>
          <w:sz w:val="32"/>
          <w:szCs w:val="32"/>
          <w14:textFill>
            <w14:solidFill>
              <w14:schemeClr w14:val="tx1"/>
            </w14:solidFill>
          </w14:textFill>
        </w:rPr>
        <w:t>1.</w:t>
      </w:r>
      <w:r>
        <w:rPr>
          <w:rFonts w:eastAsia="楷体_GB2312"/>
          <w:b/>
          <w:bCs/>
          <w:color w:val="000000" w:themeColor="text1"/>
          <w:sz w:val="32"/>
          <w:szCs w:val="32"/>
          <w14:textFill>
            <w14:solidFill>
              <w14:schemeClr w14:val="tx1"/>
            </w14:solidFill>
          </w14:textFill>
        </w:rPr>
        <w:t>脱贫攻坚工作</w:t>
      </w:r>
    </w:p>
    <w:p>
      <w:pPr>
        <w:adjustRightInd w:val="0"/>
        <w:snapToGrid w:val="0"/>
        <w:spacing w:line="576"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2019年，我局认真贯彻落实中央、省、市关于脱贫攻坚系列决策部署，始终把脱贫攻坚作为必须完成的重大政治任务和头等大事来抓，紧盯年度目标任务，扎实开展“两不愁三保障”回头看大排查工作和精准帮扶“大走访”活动，做好9533户37855人已脱贫贫困人口和70个已退出贫困村的脱贫成果巩固提升工作，对照“两不愁三保障”全面补差补短，确保</w:t>
      </w:r>
      <w:r>
        <w:rPr>
          <w:rFonts w:hint="eastAsia" w:eastAsia="仿宋_GB2312"/>
          <w:color w:val="000000" w:themeColor="text1"/>
          <w:sz w:val="32"/>
          <w:szCs w:val="32"/>
          <w14:textFill>
            <w14:solidFill>
              <w14:schemeClr w14:val="tx1"/>
            </w14:solidFill>
          </w14:textFill>
        </w:rPr>
        <w:t>2019</w:t>
      </w:r>
      <w:r>
        <w:rPr>
          <w:rFonts w:eastAsia="仿宋_GB2312"/>
          <w:color w:val="000000" w:themeColor="text1"/>
          <w:sz w:val="32"/>
          <w:szCs w:val="32"/>
          <w14:textFill>
            <w14:solidFill>
              <w14:schemeClr w14:val="tx1"/>
            </w14:solidFill>
          </w14:textFill>
        </w:rPr>
        <w:t>年计划脱贫3376人凉山自发搬迁贫困人口“一超六有”全面达标，按期脱贫。</w:t>
      </w:r>
      <w:r>
        <w:rPr>
          <w:rFonts w:hint="eastAsia" w:eastAsia="仿宋_GB2312"/>
          <w:color w:val="000000" w:themeColor="text1"/>
          <w:sz w:val="32"/>
          <w:szCs w:val="32"/>
          <w14:textFill>
            <w14:solidFill>
              <w14:schemeClr w14:val="tx1"/>
            </w14:solidFill>
          </w14:textFill>
        </w:rPr>
        <w:t>2019年底</w:t>
      </w:r>
      <w:r>
        <w:rPr>
          <w:rFonts w:eastAsia="仿宋_GB2312"/>
          <w:color w:val="000000" w:themeColor="text1"/>
          <w:sz w:val="32"/>
          <w:szCs w:val="32"/>
          <w14:textFill>
            <w14:solidFill>
              <w14:schemeClr w14:val="tx1"/>
            </w14:solidFill>
          </w14:textFill>
        </w:rPr>
        <w:t>，对照贫困对象退出的标准和程序，我市实际验收退出3474人，其中，盐边县1236人，米易县2238人。全面完成年度减贫目标任务，所有已脱贫贫困人口持续稳定脱贫。</w:t>
      </w:r>
    </w:p>
    <w:p>
      <w:pPr>
        <w:adjustRightInd w:val="0"/>
        <w:snapToGrid w:val="0"/>
        <w:spacing w:line="576" w:lineRule="exact"/>
        <w:ind w:firstLine="642" w:firstLineChars="200"/>
        <w:rPr>
          <w:rFonts w:eastAsia="楷体_GB2312"/>
          <w:b/>
          <w:bCs/>
          <w:color w:val="000000" w:themeColor="text1"/>
          <w:sz w:val="32"/>
          <w:szCs w:val="32"/>
          <w14:textFill>
            <w14:solidFill>
              <w14:schemeClr w14:val="tx1"/>
            </w14:solidFill>
          </w14:textFill>
        </w:rPr>
      </w:pPr>
      <w:r>
        <w:rPr>
          <w:rFonts w:hint="eastAsia" w:eastAsia="楷体_GB2312"/>
          <w:b/>
          <w:bCs/>
          <w:color w:val="000000" w:themeColor="text1"/>
          <w:sz w:val="32"/>
          <w:szCs w:val="32"/>
          <w14:textFill>
            <w14:solidFill>
              <w14:schemeClr w14:val="tx1"/>
            </w14:solidFill>
          </w14:textFill>
        </w:rPr>
        <w:t>2.</w:t>
      </w:r>
      <w:r>
        <w:rPr>
          <w:rFonts w:eastAsia="楷体_GB2312"/>
          <w:b/>
          <w:bCs/>
          <w:color w:val="000000" w:themeColor="text1"/>
          <w:sz w:val="32"/>
          <w:szCs w:val="32"/>
          <w14:textFill>
            <w14:solidFill>
              <w14:schemeClr w14:val="tx1"/>
            </w14:solidFill>
          </w14:textFill>
        </w:rPr>
        <w:t>大中型水利水电移民安置工作</w:t>
      </w:r>
    </w:p>
    <w:p>
      <w:pPr>
        <w:adjustRightInd w:val="0"/>
        <w:snapToGrid w:val="0"/>
        <w:spacing w:line="576"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2019年，我市桐子林、观音岩、乌东德、金沙等四座水电站移民安置任务共计120项，移民资金合计94760.57万元。截至目前，累计完成年度移民投资94760.57万元（其中桐子林水电站1004.24万元、观音岩水电站3227.75万元、乌东德水电站85424.64万元、金沙水电站5103.94万元），完成占比100%；达到进度要求移民安置任务125项，完成占比102.5%。马鞍山水库蓄水阶段移民安置验收、梅子箐水库截流阶段移民安置验收已到省政府终验阶段。我市移民安置工作总体进展有序，较好的达到了年初目标任务要求。</w:t>
      </w:r>
    </w:p>
    <w:p>
      <w:pPr>
        <w:adjustRightInd w:val="0"/>
        <w:snapToGrid w:val="0"/>
        <w:spacing w:line="576" w:lineRule="exact"/>
        <w:ind w:firstLine="642" w:firstLineChars="200"/>
        <w:rPr>
          <w:rFonts w:eastAsia="楷体_GB2312"/>
          <w:b/>
          <w:bCs/>
          <w:color w:val="000000" w:themeColor="text1"/>
          <w:sz w:val="32"/>
          <w:szCs w:val="32"/>
          <w14:textFill>
            <w14:solidFill>
              <w14:schemeClr w14:val="tx1"/>
            </w14:solidFill>
          </w14:textFill>
        </w:rPr>
      </w:pPr>
      <w:r>
        <w:rPr>
          <w:rFonts w:hint="eastAsia" w:eastAsia="楷体_GB2312"/>
          <w:b/>
          <w:bCs/>
          <w:color w:val="000000" w:themeColor="text1"/>
          <w:sz w:val="32"/>
          <w:szCs w:val="32"/>
          <w14:textFill>
            <w14:solidFill>
              <w14:schemeClr w14:val="tx1"/>
            </w14:solidFill>
          </w14:textFill>
        </w:rPr>
        <w:t>3.</w:t>
      </w:r>
      <w:r>
        <w:rPr>
          <w:rFonts w:eastAsia="楷体_GB2312"/>
          <w:b/>
          <w:bCs/>
          <w:color w:val="000000" w:themeColor="text1"/>
          <w:sz w:val="32"/>
          <w:szCs w:val="32"/>
          <w14:textFill>
            <w14:solidFill>
              <w14:schemeClr w14:val="tx1"/>
            </w14:solidFill>
          </w14:textFill>
        </w:rPr>
        <w:t>移民后扶工作</w:t>
      </w:r>
    </w:p>
    <w:p>
      <w:pPr>
        <w:adjustRightInd w:val="0"/>
        <w:snapToGrid w:val="0"/>
        <w:spacing w:line="576"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一是认真做好全市大中型水库农村移民直补资金和农转非移民生活补助的发放工作。加强动态管理，</w:t>
      </w:r>
      <w:r>
        <w:rPr>
          <w:rFonts w:hint="eastAsia" w:eastAsia="仿宋_GB2312"/>
          <w:color w:val="000000" w:themeColor="text1"/>
          <w:sz w:val="32"/>
          <w:szCs w:val="32"/>
          <w14:textFill>
            <w14:solidFill>
              <w14:schemeClr w14:val="tx1"/>
            </w14:solidFill>
          </w14:textFill>
        </w:rPr>
        <w:t>2019年</w:t>
      </w:r>
      <w:r>
        <w:rPr>
          <w:rFonts w:eastAsia="仿宋_GB2312"/>
          <w:color w:val="000000" w:themeColor="text1"/>
          <w:sz w:val="32"/>
          <w:szCs w:val="32"/>
          <w14:textFill>
            <w14:solidFill>
              <w14:schemeClr w14:val="tx1"/>
            </w14:solidFill>
          </w14:textFill>
        </w:rPr>
        <w:t>全市共核减后期扶持移民人数343人，</w:t>
      </w:r>
      <w:r>
        <w:rPr>
          <w:rFonts w:hint="eastAsia" w:eastAsia="仿宋_GB2312"/>
          <w:color w:val="000000" w:themeColor="text1"/>
          <w:sz w:val="32"/>
          <w:szCs w:val="32"/>
          <w14:textFill>
            <w14:solidFill>
              <w14:schemeClr w14:val="tx1"/>
            </w14:solidFill>
          </w14:textFill>
        </w:rPr>
        <w:t>核减后</w:t>
      </w:r>
      <w:r>
        <w:rPr>
          <w:rFonts w:eastAsia="仿宋_GB2312"/>
          <w:color w:val="000000" w:themeColor="text1"/>
          <w:sz w:val="32"/>
          <w:szCs w:val="32"/>
          <w14:textFill>
            <w14:solidFill>
              <w14:schemeClr w14:val="tx1"/>
            </w14:solidFill>
          </w14:textFill>
        </w:rPr>
        <w:t>我市享受后期扶持人口数为26261人(含项目扶持人口119人)，其中农村移民直发直补人口共26142人，共发放农村移民直发直补资金1590万元；全市共有二滩库区农转非移民6027人，共发放农转非移民生活困难补助361万元。二是认真做好桐子林电站后扶人口申报工作。</w:t>
      </w:r>
      <w:r>
        <w:rPr>
          <w:rFonts w:hint="eastAsia" w:eastAsia="仿宋_GB2312"/>
          <w:color w:val="000000" w:themeColor="text1"/>
          <w:sz w:val="32"/>
          <w:szCs w:val="32"/>
          <w14:textFill>
            <w14:solidFill>
              <w14:schemeClr w14:val="tx1"/>
            </w14:solidFill>
          </w14:textFill>
        </w:rPr>
        <w:t>2019年</w:t>
      </w:r>
      <w:r>
        <w:rPr>
          <w:rFonts w:eastAsia="仿宋_GB2312"/>
          <w:color w:val="000000" w:themeColor="text1"/>
          <w:sz w:val="32"/>
          <w:szCs w:val="32"/>
          <w14:textFill>
            <w14:solidFill>
              <w14:schemeClr w14:val="tx1"/>
            </w14:solidFill>
          </w14:textFill>
        </w:rPr>
        <w:t>将桐子林水电站377人核定纳入后期扶持，后期扶持方式及兑现时间已上报省局，待省局批复后兑现。三是认真做好全市后扶项目报备及审批工作。2019年全市共争取到中央及省级后扶资金3886万元，各县区均上报完成省局项目报备及绩效申报等工作。四是认真做好“避险解困”相关工作。2019年实施的盐边县“避险解困”项目工程已完成搬迁安置1018户3254人，完成项目投资11772万元，占比年度投资达到90%。五是认真做好二滩库区滑坡塌岸治理重点工作。做好盐边县渔门镇教师街受损房屋拆除和加固工作，</w:t>
      </w:r>
      <w:r>
        <w:rPr>
          <w:rFonts w:hint="eastAsia" w:eastAsia="仿宋_GB2312"/>
          <w:color w:val="000000" w:themeColor="text1"/>
          <w:sz w:val="32"/>
          <w:szCs w:val="32"/>
          <w14:textFill>
            <w14:solidFill>
              <w14:schemeClr w14:val="tx1"/>
            </w14:solidFill>
          </w14:textFill>
        </w:rPr>
        <w:t>截止年底</w:t>
      </w:r>
      <w:r>
        <w:rPr>
          <w:rFonts w:eastAsia="仿宋_GB2312"/>
          <w:color w:val="000000" w:themeColor="text1"/>
          <w:sz w:val="32"/>
          <w:szCs w:val="32"/>
          <w14:textFill>
            <w14:solidFill>
              <w14:schemeClr w14:val="tx1"/>
            </w14:solidFill>
          </w14:textFill>
        </w:rPr>
        <w:t>已</w:t>
      </w:r>
      <w:r>
        <w:rPr>
          <w:rFonts w:eastAsia="仿宋_GB2312"/>
          <w:sz w:val="32"/>
          <w:szCs w:val="32"/>
        </w:rPr>
        <w:t>拆除危</w:t>
      </w:r>
      <w:r>
        <w:rPr>
          <w:rFonts w:eastAsia="仿宋_GB2312"/>
          <w:color w:val="000000" w:themeColor="text1"/>
          <w:sz w:val="32"/>
          <w:szCs w:val="32"/>
          <w14:textFill>
            <w14:solidFill>
              <w14:schemeClr w14:val="tx1"/>
            </w14:solidFill>
          </w14:textFill>
        </w:rPr>
        <w:t xml:space="preserve">房19户，完成了地勘和房屋平面图设计，开展施工图审查工作，计划在2020年4月底前完成建房任务；7户危房户经滑坡治理后已鉴定为符合居住条件房屋，其余8户危房户纳入盐边县安居小区实施范围。 </w:t>
      </w:r>
    </w:p>
    <w:p>
      <w:pPr>
        <w:adjustRightInd w:val="0"/>
        <w:snapToGrid w:val="0"/>
        <w:spacing w:line="576" w:lineRule="exact"/>
        <w:ind w:firstLine="642" w:firstLineChars="200"/>
        <w:rPr>
          <w:rFonts w:eastAsia="楷体_GB2312"/>
          <w:b/>
          <w:bCs/>
          <w:color w:val="000000" w:themeColor="text1"/>
          <w:sz w:val="32"/>
          <w:szCs w:val="32"/>
          <w14:textFill>
            <w14:solidFill>
              <w14:schemeClr w14:val="tx1"/>
            </w14:solidFill>
          </w14:textFill>
        </w:rPr>
      </w:pPr>
      <w:r>
        <w:rPr>
          <w:rFonts w:hint="eastAsia" w:eastAsia="楷体_GB2312"/>
          <w:b/>
          <w:bCs/>
          <w:color w:val="000000" w:themeColor="text1"/>
          <w:sz w:val="32"/>
          <w:szCs w:val="32"/>
          <w14:textFill>
            <w14:solidFill>
              <w14:schemeClr w14:val="tx1"/>
            </w14:solidFill>
          </w14:textFill>
        </w:rPr>
        <w:t>4.</w:t>
      </w:r>
      <w:r>
        <w:rPr>
          <w:rFonts w:eastAsia="楷体_GB2312"/>
          <w:b/>
          <w:bCs/>
          <w:color w:val="000000" w:themeColor="text1"/>
          <w:sz w:val="32"/>
          <w:szCs w:val="32"/>
          <w14:textFill>
            <w14:solidFill>
              <w14:schemeClr w14:val="tx1"/>
            </w14:solidFill>
          </w14:textFill>
        </w:rPr>
        <w:t>煤炭采空沉陷区综合治理工作</w:t>
      </w:r>
    </w:p>
    <w:p>
      <w:pPr>
        <w:adjustRightInd w:val="0"/>
        <w:snapToGrid w:val="0"/>
        <w:spacing w:line="576"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一是通过采取监测监控、安全检查、物资储备、应急处置演练等有力措施，2019年全市采煤沉陷区未发生重大维稳事件和安全事故；通过深入调研，摸清掌握热点难点问题，及时解决突出问题，消除减少矛盾，把不稳定因素全部化解在基层，实现了采煤沉陷区安全可控、无群体性上访。二是积极配合市发展改革委向上争取省预算内投资，实施重点采煤沉陷区搬迁安置基础设施项目；积极配合自然资源和规划局推进关闭矿山恢复治理和工矿废弃地复垦工作，恢复治理面积近500亩，土地复垦77.46公顷。</w:t>
      </w:r>
    </w:p>
    <w:p>
      <w:pPr>
        <w:adjustRightInd w:val="0"/>
        <w:snapToGrid w:val="0"/>
        <w:spacing w:line="576" w:lineRule="exact"/>
        <w:ind w:firstLine="642" w:firstLineChars="200"/>
        <w:rPr>
          <w:rFonts w:eastAsia="楷体_GB2312"/>
          <w:b/>
          <w:bCs/>
          <w:color w:val="000000" w:themeColor="text1"/>
          <w:sz w:val="32"/>
          <w:szCs w:val="32"/>
          <w14:textFill>
            <w14:solidFill>
              <w14:schemeClr w14:val="tx1"/>
            </w14:solidFill>
          </w14:textFill>
        </w:rPr>
      </w:pPr>
      <w:r>
        <w:rPr>
          <w:rFonts w:hint="eastAsia" w:eastAsia="楷体_GB2312"/>
          <w:b/>
          <w:bCs/>
          <w:color w:val="000000" w:themeColor="text1"/>
          <w:sz w:val="32"/>
          <w:szCs w:val="32"/>
          <w14:textFill>
            <w14:solidFill>
              <w14:schemeClr w14:val="tx1"/>
            </w14:solidFill>
          </w14:textFill>
        </w:rPr>
        <w:t>5.</w:t>
      </w:r>
      <w:r>
        <w:rPr>
          <w:rFonts w:eastAsia="楷体_GB2312"/>
          <w:b/>
          <w:bCs/>
          <w:color w:val="000000" w:themeColor="text1"/>
          <w:sz w:val="32"/>
          <w:szCs w:val="32"/>
          <w14:textFill>
            <w14:solidFill>
              <w14:schemeClr w14:val="tx1"/>
            </w14:solidFill>
          </w14:textFill>
        </w:rPr>
        <w:t>机关自身建设工作</w:t>
      </w:r>
    </w:p>
    <w:p>
      <w:pPr>
        <w:pStyle w:val="5"/>
        <w:adjustRightInd w:val="0"/>
        <w:snapToGrid w:val="0"/>
        <w:spacing w:before="93" w:line="576" w:lineRule="exact"/>
        <w:ind w:firstLine="672" w:firstLineChars="210"/>
        <w:outlineLvl w:val="2"/>
        <w:rPr>
          <w:rFonts w:ascii="Times New Roman" w:eastAsia="仿宋"/>
          <w:bCs/>
          <w:color w:val="000000"/>
          <w:sz w:val="32"/>
          <w:szCs w:val="32"/>
        </w:rPr>
      </w:pPr>
      <w:r>
        <w:rPr>
          <w:rFonts w:ascii="Times New Roman"/>
          <w:color w:val="000000" w:themeColor="text1"/>
          <w:sz w:val="32"/>
          <w:szCs w:val="32"/>
          <w14:textFill>
            <w14:solidFill>
              <w14:schemeClr w14:val="tx1"/>
            </w14:solidFill>
          </w14:textFill>
        </w:rPr>
        <w:t>一是对标对表，扎实推进“不忘初心、牢记使命”主题教育。建立健全“不忘初心、牢记使命”主题教育机构，印发主题教育工作方案及任务清单，做到目标明确、任务清楚、措施具体、组织有力；召开领导班子成员对照党章党规找差距专题会，班子成员对照“18个是否”、意识形态等方面深入查找问题20个、班子成员查找问题68个；市脱贫办牵头制定《关于深入开展扶贫领域形式主义、官僚主义及不精不准、不严不实问题排查整改工作方案》《关于深入开展落实“两不愁三保障”回头看大排查发现问题专项整治工作方案》，结合实际制定《市扶贫开发局“不忘初心、牢记使命”主题教育专项整治工作方案》；通过抓实学习教育、深入调查研究、认真检视反思、开展专项整治等，确保主题教育活动落到实处、不走过场。二是抓好党的建设，不断增强党组织凝聚力。严格落实党组书记抓党建责任制，制发《印发贯彻落实〈中共中央关于加强党的政治建设的意见〉的措施的通知》《2019年全面从严治党、党风廉政建设和反腐败工作要点》，定期召开党组会专题研究部署党建工作，推动党建工作责任制全面落实；制定《党组中心组2019年理论学习安排意见》等制度文件，通过中心组理论学习（扩大）会议、干部职工会等对习近平总书记系列重要讲话精神和上级决策部署开展系统学习，</w:t>
      </w:r>
      <w:r>
        <w:rPr>
          <w:rFonts w:hint="eastAsia" w:ascii="Times New Roman"/>
          <w:color w:val="000000" w:themeColor="text1"/>
          <w:sz w:val="32"/>
          <w:szCs w:val="32"/>
          <w14:textFill>
            <w14:solidFill>
              <w14:schemeClr w14:val="tx1"/>
            </w14:solidFill>
          </w14:textFill>
        </w:rPr>
        <w:t>全</w:t>
      </w:r>
      <w:r>
        <w:rPr>
          <w:rFonts w:ascii="Times New Roman"/>
          <w:color w:val="000000" w:themeColor="text1"/>
          <w:sz w:val="32"/>
          <w:szCs w:val="32"/>
          <w14:textFill>
            <w14:solidFill>
              <w14:schemeClr w14:val="tx1"/>
            </w14:solidFill>
          </w14:textFill>
        </w:rPr>
        <w:t>年共开展集中学习19次；通过召开局班子民主生活会、落实好“三会一课”制度、加强党员队伍建设、与基层党组结对共建等抓好组织建设等，不断增强党组织凝聚力。三是抓好作风建设，不断增强党员队伍战斗力。常态化开展“亲历体验 为民服务”调研活动，主要负责人共带队到基层一线开展调研活动20次，涉及单位（点位）28个，发现问题20个，20个问题已全部解决；坚持“一把手”在局党组会上未尾发言制度，认真落实好“三重一大”制度，凡2万元以上的项目建设必须经局党组会集体研究决定；开展“大走访、大慰问”活动，走访慰问军人军属、老党员、特困职工、困难群众共计28名，发放慰问金10800元，送去慰问物质40余件；整治扶贫领域形式主义切实为基层减负，市扶贫开发局（含市脱贫办）</w:t>
      </w:r>
      <w:r>
        <w:rPr>
          <w:rFonts w:hint="eastAsia" w:ascii="Times New Roman"/>
          <w:color w:val="000000" w:themeColor="text1"/>
          <w:sz w:val="32"/>
          <w:szCs w:val="32"/>
          <w14:textFill>
            <w14:solidFill>
              <w14:schemeClr w14:val="tx1"/>
            </w14:solidFill>
          </w14:textFill>
        </w:rPr>
        <w:t>全年</w:t>
      </w:r>
      <w:r>
        <w:rPr>
          <w:rFonts w:ascii="Times New Roman"/>
          <w:color w:val="000000" w:themeColor="text1"/>
          <w:sz w:val="32"/>
          <w:szCs w:val="32"/>
          <w14:textFill>
            <w14:solidFill>
              <w14:schemeClr w14:val="tx1"/>
            </w14:solidFill>
          </w14:textFill>
        </w:rPr>
        <w:t>各类发文较上年同期减少30%以上，建成扶贫系统视频会议系统，共组织召开扶贫系统视频会议13次，有效减少现场会议次数，节省县（区）和乡镇往返时间，集中对扶贫领域文件表册、留痕事项开展清理，将原来需要留存的4类105项资料清单精简调整为4类18项。四是抓好党风廉政建设，筑牢反腐防线。全面落实党风廉政建设“两个责任”、“一岗双责”责任制，印发《2019年党风廉政建设和反腐败宣传工作要点》《攀枝花市扶贫开发局2019年全面从严治党、党风廉政建设和反腐败工作要点》及年度全面从严治党、党风廉政建设和反腐败工作重要任务分工；组织参加省交通厅驻厅纪检监察组组长专题讲座培训，不断提高干部职工廉洁自律意识，抓好警示教育，筑牢拒腐防变思想防线；制定《市委扶贫领域专项巡察第一巡察组反馈问题整改工作方案》，认真做好市委扶贫领域专项巡察问题整改工作；开展“利剑除弊 护航花城”专项整治，共梳理查找13个形式主义、官僚主义问题，并全部整改完毕。五是抓好信访维稳工作，促进社会稳定。认真做好新中国成立70周年扶贫移民领域社会稳定工作，始终把维护贫困地区和移民安置区社会稳定作为第一工作目标，突出重心下沉，关口前移，把问题解决在基层、化解在</w:t>
      </w:r>
      <w:r>
        <w:rPr>
          <w:rFonts w:hint="eastAsia" w:ascii="Times New Roman"/>
          <w:color w:val="000000" w:themeColor="text1"/>
          <w:sz w:val="32"/>
          <w:szCs w:val="32"/>
          <w:lang w:eastAsia="zh-CN"/>
          <w14:textFill>
            <w14:solidFill>
              <w14:schemeClr w14:val="tx1"/>
            </w14:solidFill>
          </w14:textFill>
        </w:rPr>
        <w:t>萌芽</w:t>
      </w:r>
      <w:r>
        <w:rPr>
          <w:rFonts w:ascii="Times New Roman"/>
          <w:color w:val="000000" w:themeColor="text1"/>
          <w:sz w:val="32"/>
          <w:szCs w:val="32"/>
          <w14:textFill>
            <w14:solidFill>
              <w14:schemeClr w14:val="tx1"/>
            </w14:solidFill>
          </w14:textFill>
        </w:rPr>
        <w:t>状态。</w:t>
      </w:r>
      <w:r>
        <w:rPr>
          <w:rFonts w:hint="eastAsia" w:ascii="Times New Roman"/>
          <w:color w:val="000000" w:themeColor="text1"/>
          <w:sz w:val="32"/>
          <w:szCs w:val="32"/>
          <w14:textFill>
            <w14:solidFill>
              <w14:schemeClr w14:val="tx1"/>
            </w14:solidFill>
          </w14:textFill>
        </w:rPr>
        <w:t>全年</w:t>
      </w:r>
      <w:r>
        <w:rPr>
          <w:rFonts w:ascii="Times New Roman"/>
          <w:color w:val="000000" w:themeColor="text1"/>
          <w:sz w:val="32"/>
          <w:szCs w:val="32"/>
          <w14:textFill>
            <w14:solidFill>
              <w14:schemeClr w14:val="tx1"/>
            </w14:solidFill>
          </w14:textFill>
        </w:rPr>
        <w:t>共接到来信来访31批次150余人次，其中：省上转件7件、书记市长信箱4件、局长信箱3件、来信来访17件，均已全部办结，三级终结息访息诉率达100%。特别是成功化解桐子林水电站小得石贮木场随迁人员、金沙电站柏雨养殖场补偿、乌东德水电站银泰商贸综合楼、凉山自发迁居到我市的少数民族群众等重点信访案件和群体。</w:t>
      </w:r>
    </w:p>
    <w:p>
      <w:pPr>
        <w:pStyle w:val="3"/>
        <w:adjustRightInd w:val="0"/>
        <w:snapToGrid w:val="0"/>
        <w:spacing w:line="576" w:lineRule="exact"/>
        <w:rPr>
          <w:rStyle w:val="26"/>
          <w:rFonts w:ascii="Times New Roman" w:hAnsi="Times New Roman" w:cs="Times New Roman"/>
          <w:b w:val="0"/>
          <w:bCs w:val="0"/>
        </w:rPr>
      </w:pPr>
      <w:bookmarkStart w:id="20" w:name="_Toc15377200"/>
      <w:bookmarkStart w:id="21" w:name="_Toc15396601"/>
      <w:r>
        <w:rPr>
          <w:rFonts w:hint="eastAsia" w:ascii="Times New Roman" w:hAnsi="Times New Roman" w:eastAsia="黑体" w:cs="Times New Roman"/>
          <w:b w:val="0"/>
          <w:color w:val="000000"/>
        </w:rPr>
        <w:t>二、机</w:t>
      </w:r>
      <w:r>
        <w:rPr>
          <w:rStyle w:val="26"/>
          <w:rFonts w:hint="eastAsia" w:ascii="Times New Roman" w:hAnsi="Times New Roman" w:eastAsia="黑体" w:cs="Times New Roman"/>
          <w:b w:val="0"/>
          <w:bCs w:val="0"/>
        </w:rPr>
        <w:t>构设置</w:t>
      </w:r>
      <w:bookmarkEnd w:id="20"/>
      <w:bookmarkEnd w:id="21"/>
    </w:p>
    <w:p>
      <w:pPr>
        <w:adjustRightInd w:val="0"/>
        <w:snapToGrid w:val="0"/>
        <w:spacing w:line="576"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攀枝花市扶贫开发局下属二级单位1个，其中其他事业单位1个。</w:t>
      </w:r>
    </w:p>
    <w:p>
      <w:pPr>
        <w:pStyle w:val="5"/>
        <w:adjustRightInd w:val="0"/>
        <w:snapToGrid w:val="0"/>
        <w:spacing w:before="93" w:line="576" w:lineRule="exact"/>
        <w:ind w:firstLine="672" w:firstLineChars="210"/>
        <w:rPr>
          <w:rFonts w:hAnsi="仿宋_GB2312" w:cs="仿宋_GB2312"/>
          <w:color w:val="000000"/>
          <w:sz w:val="32"/>
          <w:szCs w:val="32"/>
        </w:rPr>
      </w:pPr>
      <w:r>
        <w:rPr>
          <w:rFonts w:hint="eastAsia" w:hAnsi="仿宋_GB2312" w:cs="仿宋_GB2312"/>
          <w:color w:val="000000"/>
          <w:sz w:val="32"/>
          <w:szCs w:val="32"/>
        </w:rPr>
        <w:t>纳入攀枝花市2019年度部门决算编制范围的二级预算单位包括：</w:t>
      </w:r>
    </w:p>
    <w:p>
      <w:pPr>
        <w:pStyle w:val="5"/>
        <w:numPr>
          <w:ilvl w:val="255"/>
          <w:numId w:val="0"/>
        </w:numPr>
        <w:adjustRightInd w:val="0"/>
        <w:snapToGrid w:val="0"/>
        <w:spacing w:before="93" w:line="576" w:lineRule="exact"/>
        <w:ind w:firstLine="672" w:firstLineChars="210"/>
        <w:rPr>
          <w:rFonts w:hAnsi="仿宋_GB2312" w:cs="仿宋_GB2312"/>
          <w:color w:val="000000"/>
          <w:sz w:val="32"/>
          <w:szCs w:val="32"/>
        </w:rPr>
      </w:pPr>
      <w:bookmarkStart w:id="22" w:name="_Toc15377201"/>
      <w:bookmarkStart w:id="23" w:name="_Toc15378448"/>
      <w:bookmarkStart w:id="24" w:name="_Toc15377432"/>
      <w:bookmarkStart w:id="25" w:name="_Toc15306275"/>
      <w:r>
        <w:rPr>
          <w:rFonts w:hint="eastAsia" w:hAnsi="仿宋_GB2312" w:cs="仿宋_GB2312"/>
          <w:color w:val="000000"/>
          <w:sz w:val="32"/>
          <w:szCs w:val="32"/>
        </w:rPr>
        <w:t>1.攀枝花市扶贫开发服务中心</w:t>
      </w:r>
      <w:bookmarkEnd w:id="22"/>
      <w:bookmarkEnd w:id="23"/>
      <w:bookmarkEnd w:id="24"/>
      <w:bookmarkEnd w:id="25"/>
    </w:p>
    <w:p>
      <w:pPr>
        <w:widowControl/>
        <w:jc w:val="left"/>
        <w:rPr>
          <w:rFonts w:eastAsia="仿宋"/>
          <w:color w:val="000000"/>
          <w:kern w:val="0"/>
          <w:sz w:val="32"/>
          <w:szCs w:val="32"/>
        </w:rPr>
      </w:pPr>
      <w:r>
        <w:rPr>
          <w:rFonts w:eastAsia="仿宋"/>
          <w:color w:val="000000"/>
          <w:sz w:val="32"/>
          <w:szCs w:val="32"/>
        </w:rPr>
        <w:br w:type="page"/>
      </w:r>
    </w:p>
    <w:p>
      <w:pPr>
        <w:pStyle w:val="2"/>
        <w:ind w:right="440"/>
        <w:jc w:val="right"/>
        <w:rPr>
          <w:rStyle w:val="25"/>
          <w:rFonts w:eastAsia="黑体"/>
          <w:b w:val="0"/>
          <w:bCs w:val="0"/>
        </w:rPr>
      </w:pPr>
      <w:bookmarkStart w:id="26" w:name="_Toc15377204"/>
      <w:bookmarkStart w:id="27" w:name="_Toc15396602"/>
      <w:r>
        <w:rPr>
          <w:rFonts w:hint="eastAsia" w:eastAsia="黑体"/>
          <w:b w:val="0"/>
          <w:color w:val="000000"/>
        </w:rPr>
        <w:t>第二部分</w:t>
      </w:r>
      <w:r>
        <w:rPr>
          <w:rFonts w:eastAsia="黑体"/>
          <w:color w:val="000000"/>
        </w:rPr>
        <w:t xml:space="preserve"> </w:t>
      </w:r>
      <w:r>
        <w:rPr>
          <w:rStyle w:val="25"/>
          <w:rFonts w:eastAsia="黑体"/>
          <w:b w:val="0"/>
          <w:bCs w:val="0"/>
        </w:rPr>
        <w:t>2019</w:t>
      </w:r>
      <w:r>
        <w:rPr>
          <w:rStyle w:val="25"/>
          <w:rFonts w:hint="eastAsia" w:eastAsia="黑体"/>
          <w:b w:val="0"/>
          <w:bCs w:val="0"/>
        </w:rPr>
        <w:t>年度部门决算情况说明</w:t>
      </w:r>
      <w:bookmarkEnd w:id="26"/>
      <w:bookmarkEnd w:id="27"/>
    </w:p>
    <w:p/>
    <w:p>
      <w:pPr>
        <w:pStyle w:val="24"/>
        <w:numPr>
          <w:ilvl w:val="0"/>
          <w:numId w:val="1"/>
        </w:numPr>
        <w:spacing w:line="600" w:lineRule="exact"/>
        <w:ind w:firstLineChars="0"/>
        <w:outlineLvl w:val="1"/>
        <w:rPr>
          <w:rStyle w:val="26"/>
          <w:rFonts w:ascii="Times New Roman" w:hAnsi="Times New Roman" w:eastAsia="黑体" w:cs="Times New Roman"/>
          <w:b w:val="0"/>
        </w:rPr>
      </w:pPr>
      <w:bookmarkStart w:id="28" w:name="_Toc15396603"/>
      <w:bookmarkStart w:id="29" w:name="_Toc15377205"/>
      <w:r>
        <w:rPr>
          <w:rFonts w:hint="eastAsia" w:eastAsia="黑体"/>
          <w:color w:val="000000"/>
          <w:sz w:val="32"/>
          <w:szCs w:val="32"/>
        </w:rPr>
        <w:t>收</w:t>
      </w:r>
      <w:r>
        <w:rPr>
          <w:rStyle w:val="26"/>
          <w:rFonts w:hint="eastAsia" w:ascii="Times New Roman" w:hAnsi="Times New Roman" w:eastAsia="黑体" w:cs="Times New Roman"/>
          <w:b w:val="0"/>
        </w:rPr>
        <w:t>入支出决算总体情况说明</w:t>
      </w:r>
      <w:bookmarkEnd w:id="28"/>
      <w:bookmarkEnd w:id="29"/>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sz w:val="32"/>
          <w:szCs w:val="32"/>
        </w:rPr>
        <w:t>2019年度收</w:t>
      </w:r>
      <w:r>
        <w:rPr>
          <w:rFonts w:hint="eastAsia" w:ascii="仿宋_GB2312" w:hAnsi="仿宋_GB2312" w:eastAsia="仿宋_GB2312" w:cs="仿宋_GB2312"/>
          <w:color w:val="000000"/>
          <w:sz w:val="32"/>
          <w:szCs w:val="32"/>
          <w:lang w:eastAsia="zh-CN"/>
        </w:rPr>
        <w:t>入总计</w:t>
      </w:r>
      <w:r>
        <w:rPr>
          <w:rFonts w:hint="eastAsia" w:ascii="仿宋_GB2312" w:hAnsi="仿宋_GB2312" w:eastAsia="仿宋_GB2312" w:cs="仿宋_GB2312"/>
          <w:color w:val="000000"/>
          <w:sz w:val="32"/>
          <w:szCs w:val="32"/>
          <w:lang w:val="en-US" w:eastAsia="zh-CN"/>
        </w:rPr>
        <w:t>739.29万元，</w:t>
      </w:r>
      <w:r>
        <w:rPr>
          <w:rFonts w:hint="eastAsia" w:ascii="仿宋_GB2312" w:hAnsi="仿宋_GB2312" w:eastAsia="仿宋_GB2312" w:cs="仿宋_GB2312"/>
          <w:color w:val="000000"/>
          <w:sz w:val="32"/>
          <w:szCs w:val="32"/>
        </w:rPr>
        <w:t>支</w:t>
      </w:r>
      <w:r>
        <w:rPr>
          <w:rFonts w:hint="eastAsia" w:ascii="仿宋_GB2312" w:hAnsi="仿宋_GB2312" w:eastAsia="仿宋_GB2312" w:cs="仿宋_GB2312"/>
          <w:color w:val="000000"/>
          <w:sz w:val="32"/>
          <w:szCs w:val="32"/>
          <w:lang w:eastAsia="zh-CN"/>
        </w:rPr>
        <w:t>出</w:t>
      </w:r>
      <w:r>
        <w:rPr>
          <w:rFonts w:hint="eastAsia" w:ascii="仿宋_GB2312" w:hAnsi="仿宋_GB2312" w:eastAsia="仿宋_GB2312" w:cs="仿宋_GB2312"/>
          <w:color w:val="000000"/>
          <w:sz w:val="32"/>
          <w:szCs w:val="32"/>
        </w:rPr>
        <w:t>总计739.2</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万元，其中本年收入724.6</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万元，上年结转结余资金14.65万元，</w:t>
      </w:r>
      <w:r>
        <w:rPr>
          <w:rFonts w:hint="eastAsia" w:ascii="仿宋_GB2312" w:hAnsi="仿宋_GB2312" w:eastAsia="仿宋_GB2312" w:cs="仿宋_GB2312"/>
          <w:color w:val="000000"/>
          <w:sz w:val="32"/>
          <w:szCs w:val="32"/>
          <w:lang w:eastAsia="zh-CN"/>
        </w:rPr>
        <w:t>本年支出</w:t>
      </w:r>
      <w:r>
        <w:rPr>
          <w:rFonts w:hint="eastAsia" w:ascii="仿宋_GB2312" w:hAnsi="仿宋_GB2312" w:eastAsia="仿宋_GB2312" w:cs="仿宋_GB2312"/>
          <w:color w:val="000000"/>
          <w:sz w:val="32"/>
          <w:szCs w:val="32"/>
          <w:lang w:val="en-US" w:eastAsia="zh-CN"/>
        </w:rPr>
        <w:t>724.07万元，</w:t>
      </w:r>
      <w:r>
        <w:rPr>
          <w:rFonts w:hint="eastAsia" w:ascii="仿宋_GB2312" w:hAnsi="仿宋_GB2312" w:eastAsia="仿宋_GB2312" w:cs="仿宋_GB2312"/>
          <w:color w:val="000000"/>
          <w:sz w:val="32"/>
          <w:szCs w:val="32"/>
        </w:rPr>
        <w:t>本年结余资金15.2万元。与2018年相比，收</w:t>
      </w:r>
      <w:r>
        <w:rPr>
          <w:rFonts w:hint="eastAsia" w:ascii="仿宋_GB2312" w:hAnsi="仿宋_GB2312" w:eastAsia="仿宋_GB2312" w:cs="仿宋_GB2312"/>
          <w:color w:val="000000"/>
          <w:sz w:val="32"/>
          <w:szCs w:val="32"/>
          <w:lang w:eastAsia="zh-CN"/>
        </w:rPr>
        <w:t>入减少</w:t>
      </w:r>
      <w:r>
        <w:rPr>
          <w:rFonts w:hint="eastAsia" w:ascii="仿宋_GB2312" w:hAnsi="仿宋_GB2312" w:eastAsia="仿宋_GB2312" w:cs="仿宋_GB2312"/>
          <w:color w:val="000000"/>
          <w:sz w:val="32"/>
          <w:szCs w:val="32"/>
          <w:lang w:val="en-US" w:eastAsia="zh-CN"/>
        </w:rPr>
        <w:t>178.58万元，下降19.46%，</w:t>
      </w:r>
      <w:r>
        <w:rPr>
          <w:rFonts w:hint="eastAsia" w:ascii="仿宋_GB2312" w:hAnsi="仿宋_GB2312" w:eastAsia="仿宋_GB2312" w:cs="仿宋_GB2312"/>
          <w:color w:val="000000"/>
          <w:sz w:val="32"/>
          <w:szCs w:val="32"/>
        </w:rPr>
        <w:t>支</w:t>
      </w:r>
      <w:r>
        <w:rPr>
          <w:rFonts w:hint="eastAsia" w:ascii="仿宋_GB2312" w:hAnsi="仿宋_GB2312" w:eastAsia="仿宋_GB2312" w:cs="仿宋_GB2312"/>
          <w:color w:val="000000"/>
          <w:sz w:val="32"/>
          <w:szCs w:val="32"/>
          <w:lang w:eastAsia="zh-CN"/>
        </w:rPr>
        <w:t>出</w:t>
      </w:r>
      <w:r>
        <w:rPr>
          <w:rFonts w:hint="eastAsia" w:ascii="仿宋_GB2312" w:hAnsi="仿宋_GB2312" w:eastAsia="仿宋_GB2312" w:cs="仿宋_GB2312"/>
          <w:color w:val="000000"/>
          <w:sz w:val="32"/>
          <w:szCs w:val="32"/>
        </w:rPr>
        <w:t>总计减少178.</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万元，下降19.46%，主要变动原因是</w:t>
      </w:r>
      <w:r>
        <w:rPr>
          <w:rFonts w:hint="eastAsia" w:ascii="仿宋_GB2312" w:hAnsi="仿宋_GB2312" w:eastAsia="仿宋_GB2312" w:cs="仿宋_GB2312"/>
          <w:sz w:val="32"/>
          <w:szCs w:val="32"/>
        </w:rPr>
        <w:t>财政进行预算收入压减。</w:t>
      </w:r>
      <w:r>
        <w:rPr>
          <w:rFonts w:hint="eastAsia" w:ascii="仿宋_GB2312" w:hAnsi="仿宋_GB2312" w:eastAsia="仿宋_GB2312" w:cs="仿宋_GB2312"/>
          <w:color w:val="000000" w:themeColor="text1"/>
          <w:sz w:val="32"/>
          <w:szCs w:val="32"/>
          <w14:textFill>
            <w14:solidFill>
              <w14:schemeClr w14:val="tx1"/>
            </w14:solidFill>
          </w14:textFill>
        </w:rPr>
        <w:t>（图1：收、支决算总计变动情况图）（柱状图）</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ascii="仿宋_GB2312" w:eastAsia="仿宋_GB2312"/>
          <w:color w:val="000000"/>
          <w:sz w:val="32"/>
          <w:szCs w:val="32"/>
        </w:rPr>
        <w:drawing>
          <wp:anchor distT="0" distB="0" distL="114300" distR="114300" simplePos="0" relativeHeight="251658240" behindDoc="0" locked="0" layoutInCell="1" allowOverlap="1">
            <wp:simplePos x="0" y="0"/>
            <wp:positionH relativeFrom="column">
              <wp:posOffset>443230</wp:posOffset>
            </wp:positionH>
            <wp:positionV relativeFrom="paragraph">
              <wp:posOffset>99060</wp:posOffset>
            </wp:positionV>
            <wp:extent cx="3985260" cy="1667510"/>
            <wp:effectExtent l="5080" t="4445" r="10160" b="2349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jc w:val="left"/>
        <w:rPr>
          <w:rFonts w:eastAsia="仿宋_GB2312"/>
          <w:color w:val="000000"/>
          <w:sz w:val="32"/>
          <w:szCs w:val="32"/>
        </w:rPr>
      </w:pPr>
    </w:p>
    <w:p>
      <w:pPr>
        <w:pStyle w:val="24"/>
        <w:numPr>
          <w:ilvl w:val="0"/>
          <w:numId w:val="1"/>
        </w:numPr>
        <w:spacing w:line="600" w:lineRule="exact"/>
        <w:ind w:firstLineChars="0"/>
        <w:outlineLvl w:val="1"/>
        <w:rPr>
          <w:rStyle w:val="26"/>
          <w:rFonts w:ascii="Times New Roman" w:hAnsi="Times New Roman" w:eastAsia="黑体" w:cs="Times New Roman"/>
          <w:b w:val="0"/>
        </w:rPr>
      </w:pPr>
      <w:bookmarkStart w:id="30" w:name="_Toc15396604"/>
      <w:bookmarkStart w:id="31" w:name="_Toc15377206"/>
      <w:r>
        <w:rPr>
          <w:rFonts w:hint="eastAsia" w:eastAsia="黑体"/>
          <w:color w:val="000000"/>
          <w:sz w:val="32"/>
          <w:szCs w:val="32"/>
        </w:rPr>
        <w:t>收</w:t>
      </w:r>
      <w:r>
        <w:rPr>
          <w:rStyle w:val="26"/>
          <w:rFonts w:hint="eastAsia" w:ascii="Times New Roman" w:hAnsi="Times New Roman" w:eastAsia="黑体" w:cs="Times New Roman"/>
          <w:b w:val="0"/>
        </w:rPr>
        <w:t>入决算情况说明</w:t>
      </w:r>
      <w:bookmarkEnd w:id="30"/>
      <w:bookmarkEnd w:id="31"/>
    </w:p>
    <w:p>
      <w:pPr>
        <w:spacing w:line="600" w:lineRule="exact"/>
        <w:ind w:firstLine="640" w:firstLineChars="200"/>
        <w:outlineLvl w:val="1"/>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2019年本年收入合计724.6</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万元，其中：一般公共预算财政拨款收入714.48万元，占98.6%；其他收入10.16万元，占1.4%。</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（图2：收入决算结构图）（饼状图）</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column">
              <wp:posOffset>553720</wp:posOffset>
            </wp:positionH>
            <wp:positionV relativeFrom="paragraph">
              <wp:posOffset>60960</wp:posOffset>
            </wp:positionV>
            <wp:extent cx="4157345" cy="1687195"/>
            <wp:effectExtent l="4445" t="4445" r="10160" b="22860"/>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_GB2312"/>
          <w:color w:val="FF0000"/>
          <w:sz w:val="32"/>
          <w:szCs w:val="32"/>
        </w:rPr>
      </w:pPr>
    </w:p>
    <w:p>
      <w:pPr>
        <w:pStyle w:val="24"/>
        <w:numPr>
          <w:ilvl w:val="0"/>
          <w:numId w:val="1"/>
        </w:numPr>
        <w:spacing w:line="600" w:lineRule="exact"/>
        <w:ind w:firstLineChars="0"/>
        <w:outlineLvl w:val="1"/>
        <w:rPr>
          <w:rStyle w:val="26"/>
          <w:rFonts w:ascii="Times New Roman" w:hAnsi="Times New Roman" w:eastAsia="黑体" w:cs="Times New Roman"/>
          <w:b w:val="0"/>
        </w:rPr>
      </w:pPr>
      <w:bookmarkStart w:id="32" w:name="_Toc15377207"/>
      <w:bookmarkStart w:id="33" w:name="_Toc15396605"/>
      <w:r>
        <w:rPr>
          <w:rFonts w:hint="eastAsia" w:eastAsia="黑体"/>
          <w:color w:val="000000"/>
          <w:sz w:val="32"/>
          <w:szCs w:val="32"/>
        </w:rPr>
        <w:t>支</w:t>
      </w:r>
      <w:r>
        <w:rPr>
          <w:rStyle w:val="26"/>
          <w:rFonts w:hint="eastAsia" w:ascii="Times New Roman" w:hAnsi="Times New Roman" w:eastAsia="黑体" w:cs="Times New Roman"/>
          <w:b w:val="0"/>
        </w:rPr>
        <w:t>出决算情况说明</w:t>
      </w:r>
      <w:bookmarkEnd w:id="32"/>
      <w:bookmarkEnd w:id="33"/>
    </w:p>
    <w:p>
      <w:pPr>
        <w:spacing w:line="600" w:lineRule="exact"/>
        <w:ind w:firstLine="640" w:firstLineChars="200"/>
        <w:outlineLvl w:val="1"/>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2019年本年支出合计724.0</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万元，其中：基本支出624.6</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万元，占86.27%；项目支出99.4</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万元，占13.73%。</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（图3：支出决算结构图）（饼状图）</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drawing>
          <wp:anchor distT="0" distB="0" distL="114300" distR="114300" simplePos="0" relativeHeight="251660288" behindDoc="0" locked="0" layoutInCell="1" allowOverlap="1">
            <wp:simplePos x="0" y="0"/>
            <wp:positionH relativeFrom="column">
              <wp:posOffset>477520</wp:posOffset>
            </wp:positionH>
            <wp:positionV relativeFrom="paragraph">
              <wp:posOffset>118745</wp:posOffset>
            </wp:positionV>
            <wp:extent cx="4328160" cy="2181225"/>
            <wp:effectExtent l="4445" t="4445" r="10795" b="508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_GB2312"/>
          <w:color w:val="FF0000"/>
          <w:sz w:val="32"/>
          <w:szCs w:val="32"/>
        </w:rPr>
      </w:pPr>
    </w:p>
    <w:p>
      <w:pPr>
        <w:spacing w:line="600" w:lineRule="exact"/>
        <w:ind w:firstLine="640" w:firstLineChars="200"/>
        <w:outlineLvl w:val="1"/>
        <w:rPr>
          <w:rStyle w:val="26"/>
          <w:rFonts w:ascii="Times New Roman" w:hAnsi="Times New Roman" w:eastAsia="黑体" w:cs="Times New Roman"/>
          <w:b w:val="0"/>
        </w:rPr>
      </w:pPr>
      <w:bookmarkStart w:id="34" w:name="_Toc15377208"/>
      <w:bookmarkStart w:id="35" w:name="_Toc15396606"/>
      <w:r>
        <w:rPr>
          <w:rFonts w:hint="eastAsia" w:eastAsia="黑体"/>
          <w:color w:val="000000"/>
          <w:sz w:val="32"/>
          <w:szCs w:val="32"/>
        </w:rPr>
        <w:t>四、财</w:t>
      </w:r>
      <w:r>
        <w:rPr>
          <w:rStyle w:val="26"/>
          <w:rFonts w:hint="eastAsia" w:ascii="Times New Roman" w:hAnsi="Times New Roman" w:eastAsia="黑体" w:cs="Times New Roman"/>
          <w:b w:val="0"/>
        </w:rPr>
        <w:t>政拨款收入支出决算总体情况说明</w:t>
      </w:r>
      <w:bookmarkEnd w:id="34"/>
      <w:bookmarkEnd w:id="35"/>
    </w:p>
    <w:p>
      <w:pPr>
        <w:spacing w:line="60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财政拨款收、支总计717.63万元。其中本年财政拨款收入714.48万元，上年财政拨款结转结余资金3.15万元，本年财政拨款结余资金0.02万元。与2018年相比，财政拨款收、支总计各减少156.43万元，下降17.9%。主要变动原因是</w:t>
      </w:r>
      <w:r>
        <w:rPr>
          <w:rFonts w:hint="eastAsia" w:ascii="仿宋_GB2312" w:hAnsi="仿宋_GB2312" w:eastAsia="仿宋_GB2312" w:cs="仿宋_GB2312"/>
          <w:sz w:val="32"/>
          <w:szCs w:val="32"/>
        </w:rPr>
        <w:t>财政进行收入预算压减，支出相应减少</w:t>
      </w:r>
      <w:r>
        <w:rPr>
          <w:rFonts w:hint="eastAsia" w:ascii="仿宋_GB2312" w:hAnsi="仿宋_GB2312" w:eastAsia="仿宋_GB2312" w:cs="仿宋_GB2312"/>
          <w:color w:val="000000"/>
          <w:sz w:val="32"/>
          <w:szCs w:val="32"/>
        </w:rPr>
        <w:t>。</w:t>
      </w:r>
    </w:p>
    <w:p>
      <w:pPr>
        <w:spacing w:line="60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（图4：财政拨款收、支决算总计变动情况）（柱状图）</w:t>
      </w:r>
    </w:p>
    <w:p>
      <w:pPr>
        <w:spacing w:line="600" w:lineRule="exact"/>
        <w:rPr>
          <w:rFonts w:eastAsia="仿宋"/>
          <w:color w:val="000000" w:themeColor="text1"/>
          <w:sz w:val="32"/>
          <w:szCs w:val="32"/>
          <w14:textFill>
            <w14:solidFill>
              <w14:schemeClr w14:val="tx1"/>
            </w14:solidFill>
          </w14:textFill>
        </w:rPr>
      </w:pPr>
      <w:r>
        <w:rPr>
          <w:rFonts w:hint="eastAsia" w:ascii="仿宋_GB2312" w:eastAsia="仿宋_GB2312"/>
          <w:color w:val="000000"/>
          <w:sz w:val="32"/>
          <w:szCs w:val="32"/>
        </w:rPr>
        <w:drawing>
          <wp:anchor distT="0" distB="0" distL="114300" distR="114300" simplePos="0" relativeHeight="251661312" behindDoc="0" locked="0" layoutInCell="1" allowOverlap="1">
            <wp:simplePos x="0" y="0"/>
            <wp:positionH relativeFrom="column">
              <wp:posOffset>357505</wp:posOffset>
            </wp:positionH>
            <wp:positionV relativeFrom="paragraph">
              <wp:posOffset>246380</wp:posOffset>
            </wp:positionV>
            <wp:extent cx="4413250" cy="1696085"/>
            <wp:effectExtent l="4445" t="4445" r="20955" b="13970"/>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rPr>
          <w:rFonts w:eastAsia="仿宋"/>
          <w:color w:val="000000" w:themeColor="text1"/>
          <w:sz w:val="32"/>
          <w:szCs w:val="32"/>
          <w14:textFill>
            <w14:solidFill>
              <w14:schemeClr w14:val="tx1"/>
            </w14:solidFill>
          </w14:textFill>
        </w:rPr>
      </w:pPr>
    </w:p>
    <w:p>
      <w:pPr>
        <w:spacing w:line="600" w:lineRule="exact"/>
        <w:rPr>
          <w:rFonts w:eastAsia="仿宋"/>
          <w:color w:val="000000" w:themeColor="text1"/>
          <w:sz w:val="32"/>
          <w:szCs w:val="32"/>
          <w14:textFill>
            <w14:solidFill>
              <w14:schemeClr w14:val="tx1"/>
            </w14:solidFill>
          </w14:textFill>
        </w:rPr>
      </w:pPr>
    </w:p>
    <w:p>
      <w:pPr>
        <w:spacing w:line="600" w:lineRule="exact"/>
        <w:rPr>
          <w:rFonts w:eastAsia="仿宋"/>
          <w:color w:val="000000" w:themeColor="text1"/>
          <w:sz w:val="32"/>
          <w:szCs w:val="32"/>
          <w14:textFill>
            <w14:solidFill>
              <w14:schemeClr w14:val="tx1"/>
            </w14:solidFill>
          </w14:textFill>
        </w:rPr>
      </w:pPr>
    </w:p>
    <w:p>
      <w:pPr>
        <w:spacing w:line="600" w:lineRule="exact"/>
        <w:ind w:firstLine="640"/>
        <w:rPr>
          <w:rFonts w:eastAsia="仿宋"/>
          <w:b/>
          <w:color w:val="00B050"/>
          <w:sz w:val="32"/>
          <w:szCs w:val="32"/>
        </w:rPr>
      </w:pPr>
    </w:p>
    <w:p>
      <w:pPr>
        <w:spacing w:line="600" w:lineRule="exact"/>
        <w:ind w:firstLine="640" w:firstLineChars="200"/>
        <w:outlineLvl w:val="1"/>
        <w:rPr>
          <w:rStyle w:val="26"/>
          <w:rFonts w:ascii="Times New Roman" w:hAnsi="Times New Roman" w:eastAsia="黑体" w:cs="Times New Roman"/>
          <w:b w:val="0"/>
        </w:rPr>
      </w:pPr>
      <w:bookmarkStart w:id="36" w:name="_Toc15377209"/>
      <w:bookmarkStart w:id="37" w:name="_Toc15396607"/>
      <w:r>
        <w:rPr>
          <w:rFonts w:hint="eastAsia" w:eastAsia="黑体"/>
          <w:color w:val="000000"/>
          <w:sz w:val="32"/>
          <w:szCs w:val="32"/>
        </w:rPr>
        <w:t>五、</w:t>
      </w:r>
      <w:r>
        <w:rPr>
          <w:rFonts w:hint="eastAsia" w:eastAsia="黑体"/>
          <w:b/>
          <w:color w:val="000000"/>
          <w:sz w:val="32"/>
          <w:szCs w:val="32"/>
        </w:rPr>
        <w:t>一</w:t>
      </w:r>
      <w:r>
        <w:rPr>
          <w:rStyle w:val="26"/>
          <w:rFonts w:hint="eastAsia" w:ascii="Times New Roman" w:hAnsi="Times New Roman" w:eastAsia="黑体" w:cs="Times New Roman"/>
          <w:b w:val="0"/>
        </w:rPr>
        <w:t>般公共预算财政拨款支出决算情况说明</w:t>
      </w:r>
      <w:bookmarkEnd w:id="36"/>
      <w:bookmarkEnd w:id="37"/>
    </w:p>
    <w:p>
      <w:pPr>
        <w:spacing w:line="600" w:lineRule="exact"/>
        <w:ind w:firstLine="640" w:firstLineChars="200"/>
        <w:outlineLvl w:val="2"/>
        <w:rPr>
          <w:rFonts w:hint="eastAsia" w:ascii="楷体_GB2312" w:eastAsia="楷体_GB2312"/>
          <w:b w:val="0"/>
          <w:color w:val="000000"/>
          <w:sz w:val="32"/>
          <w:szCs w:val="32"/>
        </w:rPr>
      </w:pPr>
      <w:bookmarkStart w:id="38" w:name="_Toc15377210"/>
      <w:r>
        <w:rPr>
          <w:rFonts w:hint="eastAsia" w:ascii="楷体_GB2312" w:eastAsia="楷体_GB2312"/>
          <w:b w:val="0"/>
          <w:color w:val="000000"/>
          <w:sz w:val="32"/>
          <w:szCs w:val="32"/>
        </w:rPr>
        <w:t>（一）一般公共预算财政拨款支出决算总体情况</w:t>
      </w:r>
      <w:bookmarkEnd w:id="38"/>
      <w:r>
        <w:rPr>
          <w:rFonts w:hint="eastAsia" w:ascii="楷体_GB2312" w:eastAsia="楷体_GB2312"/>
          <w:b w:val="0"/>
          <w:color w:val="000000"/>
          <w:sz w:val="32"/>
          <w:szCs w:val="32"/>
        </w:rPr>
        <w:t>。</w:t>
      </w:r>
    </w:p>
    <w:p>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2019年一般公共预算财政拨款支出717.6</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万元，占本年支出合计的100%。与2018年相比，一般公共预算财政拨款减少148.2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万元，下降17.12%，主要变动原因是</w:t>
      </w:r>
      <w:r>
        <w:rPr>
          <w:rFonts w:hint="eastAsia" w:ascii="仿宋_GB2312" w:hAnsi="仿宋_GB2312" w:eastAsia="仿宋_GB2312" w:cs="仿宋_GB2312"/>
          <w:sz w:val="32"/>
          <w:szCs w:val="32"/>
        </w:rPr>
        <w:t>财政进行收入预算压减，支出相应减少</w:t>
      </w:r>
      <w:r>
        <w:rPr>
          <w:rFonts w:hint="eastAsia" w:ascii="仿宋_GB2312" w:hAnsi="仿宋_GB2312" w:eastAsia="仿宋_GB2312" w:cs="仿宋_GB2312"/>
          <w:color w:val="000000"/>
          <w:sz w:val="32"/>
          <w:szCs w:val="32"/>
        </w:rPr>
        <w:t>。</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（图5：一般公共预算财政拨款支出决算变动情况）</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drawing>
          <wp:anchor distT="0" distB="0" distL="114300" distR="114300" simplePos="0" relativeHeight="251666432" behindDoc="0" locked="0" layoutInCell="1" allowOverlap="1">
            <wp:simplePos x="0" y="0"/>
            <wp:positionH relativeFrom="column">
              <wp:posOffset>547370</wp:posOffset>
            </wp:positionH>
            <wp:positionV relativeFrom="paragraph">
              <wp:posOffset>42545</wp:posOffset>
            </wp:positionV>
            <wp:extent cx="4328795" cy="2162810"/>
            <wp:effectExtent l="4445" t="4445" r="10160" b="2349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outlineLvl w:val="2"/>
        <w:rPr>
          <w:rFonts w:hint="eastAsia" w:ascii="楷体_GB2312" w:eastAsia="楷体_GB2312"/>
          <w:b w:val="0"/>
          <w:color w:val="000000"/>
          <w:sz w:val="32"/>
          <w:szCs w:val="32"/>
        </w:rPr>
      </w:pPr>
      <w:bookmarkStart w:id="39" w:name="_Toc15377211"/>
      <w:r>
        <w:rPr>
          <w:rFonts w:hint="eastAsia" w:ascii="楷体_GB2312" w:eastAsia="楷体_GB2312"/>
          <w:b w:val="0"/>
          <w:color w:val="000000"/>
          <w:sz w:val="32"/>
          <w:szCs w:val="32"/>
        </w:rPr>
        <w:t>（二）一般公共预算财政拨款支出决算结构情况</w:t>
      </w:r>
      <w:bookmarkEnd w:id="39"/>
      <w:r>
        <w:rPr>
          <w:rFonts w:hint="eastAsia" w:ascii="楷体_GB2312" w:eastAsia="楷体_GB2312"/>
          <w:b w:val="0"/>
          <w:color w:val="000000"/>
          <w:sz w:val="32"/>
          <w:szCs w:val="32"/>
        </w:rPr>
        <w:t>。</w:t>
      </w:r>
    </w:p>
    <w:p>
      <w:pPr>
        <w:spacing w:line="576"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sz w:val="32"/>
          <w:szCs w:val="32"/>
        </w:rPr>
        <w:t>2019年一般公共预算财</w:t>
      </w:r>
      <w:r>
        <w:rPr>
          <w:rFonts w:hint="eastAsia" w:ascii="仿宋_GB2312" w:hAnsi="仿宋_GB2312" w:eastAsia="仿宋_GB2312" w:cs="仿宋_GB2312"/>
          <w:color w:val="000000" w:themeColor="text1"/>
          <w:sz w:val="32"/>
          <w:szCs w:val="32"/>
          <w14:textFill>
            <w14:solidFill>
              <w14:schemeClr w14:val="tx1"/>
            </w14:solidFill>
          </w14:textFill>
        </w:rPr>
        <w:t>政拨款支出717.6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万元，主要用于以下方面:</w:t>
      </w:r>
      <w:r>
        <w:rPr>
          <w:rFonts w:hint="eastAsia" w:ascii="仿宋_GB2312" w:hAnsi="仿宋_GB2312" w:eastAsia="仿宋_GB2312" w:cs="仿宋_GB2312"/>
          <w:b/>
          <w:color w:val="000000" w:themeColor="text1"/>
          <w:sz w:val="32"/>
          <w:szCs w:val="32"/>
          <w14:textFill>
            <w14:solidFill>
              <w14:schemeClr w14:val="tx1"/>
            </w14:solidFill>
          </w14:textFill>
        </w:rPr>
        <w:t>一般公共服务（类）</w:t>
      </w:r>
      <w:r>
        <w:rPr>
          <w:rFonts w:hint="eastAsia" w:ascii="仿宋_GB2312" w:hAnsi="仿宋_GB2312" w:eastAsia="仿宋_GB2312" w:cs="仿宋_GB2312"/>
          <w:color w:val="000000" w:themeColor="text1"/>
          <w:sz w:val="32"/>
          <w:szCs w:val="32"/>
          <w14:textFill>
            <w14:solidFill>
              <w14:schemeClr w14:val="tx1"/>
            </w14:solidFill>
          </w14:textFill>
        </w:rPr>
        <w:t>支出2.67万元，占0.37%；</w:t>
      </w:r>
      <w:r>
        <w:rPr>
          <w:rFonts w:hint="eastAsia" w:ascii="仿宋_GB2312" w:hAnsi="仿宋_GB2312" w:eastAsia="仿宋_GB2312" w:cs="仿宋_GB2312"/>
          <w:b/>
          <w:color w:val="000000" w:themeColor="text1"/>
          <w:sz w:val="32"/>
          <w:szCs w:val="32"/>
          <w14:textFill>
            <w14:solidFill>
              <w14:schemeClr w14:val="tx1"/>
            </w14:solidFill>
          </w14:textFill>
        </w:rPr>
        <w:t>社会保障和就业（类）</w:t>
      </w:r>
      <w:r>
        <w:rPr>
          <w:rFonts w:hint="eastAsia" w:ascii="仿宋_GB2312" w:hAnsi="仿宋_GB2312" w:eastAsia="仿宋_GB2312" w:cs="仿宋_GB2312"/>
          <w:color w:val="000000" w:themeColor="text1"/>
          <w:sz w:val="32"/>
          <w:szCs w:val="32"/>
          <w14:textFill>
            <w14:solidFill>
              <w14:schemeClr w14:val="tx1"/>
            </w14:solidFill>
          </w14:textFill>
        </w:rPr>
        <w:t>支出78.1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14:textFill>
            <w14:solidFill>
              <w14:schemeClr w14:val="tx1"/>
            </w14:solidFill>
          </w14:textFill>
        </w:rPr>
        <w:t>万元，占10.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卫生健康支出（类）</w:t>
      </w:r>
      <w:r>
        <w:rPr>
          <w:rFonts w:hint="eastAsia" w:ascii="仿宋_GB2312" w:hAnsi="仿宋_GB2312" w:eastAsia="仿宋_GB2312" w:cs="仿宋_GB2312"/>
          <w:color w:val="000000" w:themeColor="text1"/>
          <w:sz w:val="32"/>
          <w:szCs w:val="32"/>
          <w14:textFill>
            <w14:solidFill>
              <w14:schemeClr w14:val="tx1"/>
            </w14:solidFill>
          </w14:textFill>
        </w:rPr>
        <w:t>支出0.18万元，占0.03%；</w:t>
      </w:r>
      <w:r>
        <w:rPr>
          <w:rFonts w:hint="eastAsia" w:ascii="仿宋_GB2312" w:hAnsi="仿宋_GB2312" w:eastAsia="仿宋_GB2312" w:cs="仿宋_GB2312"/>
          <w:b/>
          <w:color w:val="000000" w:themeColor="text1"/>
          <w:sz w:val="32"/>
          <w:szCs w:val="32"/>
          <w14:textFill>
            <w14:solidFill>
              <w14:schemeClr w14:val="tx1"/>
            </w14:solidFill>
          </w14:textFill>
        </w:rPr>
        <w:t>农林水支出（类）</w:t>
      </w:r>
      <w:r>
        <w:rPr>
          <w:rFonts w:hint="eastAsia" w:ascii="仿宋_GB2312" w:hAnsi="仿宋_GB2312" w:eastAsia="仿宋_GB2312" w:cs="仿宋_GB2312"/>
          <w:bCs/>
          <w:color w:val="000000" w:themeColor="text1"/>
          <w:sz w:val="32"/>
          <w:szCs w:val="32"/>
          <w14:textFill>
            <w14:solidFill>
              <w14:schemeClr w14:val="tx1"/>
            </w14:solidFill>
          </w14:textFill>
        </w:rPr>
        <w:t>支出593.91万元，占82.76%；</w:t>
      </w:r>
      <w:r>
        <w:rPr>
          <w:rFonts w:hint="eastAsia" w:ascii="仿宋_GB2312" w:hAnsi="仿宋_GB2312" w:eastAsia="仿宋_GB2312" w:cs="仿宋_GB2312"/>
          <w:b/>
          <w:bCs/>
          <w:color w:val="000000" w:themeColor="text1"/>
          <w:sz w:val="32"/>
          <w:szCs w:val="32"/>
          <w14:textFill>
            <w14:solidFill>
              <w14:schemeClr w14:val="tx1"/>
            </w14:solidFill>
          </w14:textFill>
        </w:rPr>
        <w:t>住房保障支出（类）</w:t>
      </w:r>
      <w:r>
        <w:rPr>
          <w:rFonts w:hint="eastAsia" w:ascii="仿宋_GB2312" w:hAnsi="仿宋_GB2312" w:eastAsia="仿宋_GB2312" w:cs="仿宋_GB2312"/>
          <w:color w:val="000000" w:themeColor="text1"/>
          <w:sz w:val="32"/>
          <w:szCs w:val="32"/>
          <w14:textFill>
            <w14:solidFill>
              <w14:schemeClr w14:val="tx1"/>
            </w14:solidFill>
          </w14:textFill>
        </w:rPr>
        <w:t>42.67万元，占5.95%。</w:t>
      </w:r>
    </w:p>
    <w:p>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（图6：一般公共预算财政拨款支出决算结构）。</w:t>
      </w:r>
    </w:p>
    <w:p>
      <w:pPr>
        <w:spacing w:line="600" w:lineRule="exact"/>
        <w:ind w:firstLine="640" w:firstLineChars="200"/>
        <w:rPr>
          <w:rFonts w:eastAsia="仿宋"/>
          <w:color w:val="000000"/>
          <w:sz w:val="32"/>
          <w:szCs w:val="32"/>
        </w:rPr>
      </w:pPr>
      <w:r>
        <w:rPr>
          <w:rFonts w:hint="eastAsia" w:eastAsia="仿宋"/>
          <w:color w:val="000000"/>
          <w:sz w:val="32"/>
          <w:szCs w:val="32"/>
        </w:rPr>
        <w:drawing>
          <wp:anchor distT="0" distB="0" distL="114300" distR="114300" simplePos="0" relativeHeight="251667456" behindDoc="0" locked="0" layoutInCell="1" allowOverlap="1">
            <wp:simplePos x="0" y="0"/>
            <wp:positionH relativeFrom="column">
              <wp:posOffset>534670</wp:posOffset>
            </wp:positionH>
            <wp:positionV relativeFrom="paragraph">
              <wp:posOffset>233045</wp:posOffset>
            </wp:positionV>
            <wp:extent cx="4747260" cy="2572385"/>
            <wp:effectExtent l="4445" t="4445" r="10795" b="13970"/>
            <wp:wrapSquare wrapText="bothSides"/>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2" w:firstLineChars="200"/>
        <w:outlineLvl w:val="2"/>
        <w:rPr>
          <w:rFonts w:eastAsia="仿宋"/>
          <w:b/>
          <w:color w:val="000000"/>
          <w:sz w:val="32"/>
          <w:szCs w:val="32"/>
        </w:rPr>
      </w:pPr>
      <w:bookmarkStart w:id="40" w:name="_Toc15377212"/>
    </w:p>
    <w:p>
      <w:pPr>
        <w:spacing w:line="600" w:lineRule="exact"/>
        <w:ind w:firstLine="642" w:firstLineChars="200"/>
        <w:outlineLvl w:val="2"/>
        <w:rPr>
          <w:rFonts w:eastAsia="仿宋"/>
          <w:b/>
          <w:color w:val="000000"/>
          <w:sz w:val="32"/>
          <w:szCs w:val="32"/>
        </w:rPr>
      </w:pPr>
    </w:p>
    <w:p>
      <w:pPr>
        <w:spacing w:line="600" w:lineRule="exact"/>
        <w:ind w:firstLine="640" w:firstLineChars="200"/>
        <w:outlineLvl w:val="2"/>
        <w:rPr>
          <w:rFonts w:hint="eastAsia" w:ascii="楷体_GB2312" w:eastAsia="楷体_GB2312"/>
          <w:b w:val="0"/>
          <w:color w:val="000000"/>
          <w:sz w:val="32"/>
          <w:szCs w:val="32"/>
        </w:rPr>
      </w:pPr>
      <w:r>
        <w:rPr>
          <w:rFonts w:hint="eastAsia" w:ascii="楷体_GB2312" w:eastAsia="楷体_GB2312"/>
          <w:b w:val="0"/>
          <w:color w:val="000000"/>
          <w:sz w:val="32"/>
          <w:szCs w:val="32"/>
        </w:rPr>
        <w:t>（三）一般公共预算财政拨款支出决算具体情况</w:t>
      </w:r>
      <w:bookmarkEnd w:id="40"/>
      <w:r>
        <w:rPr>
          <w:rFonts w:hint="eastAsia" w:ascii="楷体_GB2312" w:eastAsia="楷体_GB2312"/>
          <w:b w:val="0"/>
          <w:color w:val="000000"/>
          <w:sz w:val="32"/>
          <w:szCs w:val="32"/>
        </w:rPr>
        <w:t>。</w:t>
      </w:r>
    </w:p>
    <w:p>
      <w:pPr>
        <w:spacing w:line="600" w:lineRule="exact"/>
        <w:ind w:firstLine="640" w:firstLineChars="200"/>
        <w:outlineLvl w:val="2"/>
        <w:rPr>
          <w:rFonts w:ascii="仿宋_GB2312" w:hAnsi="仿宋_GB2312" w:eastAsia="仿宋_GB2312" w:cs="仿宋_GB2312"/>
          <w:color w:val="FF0000"/>
          <w:sz w:val="32"/>
          <w:szCs w:val="32"/>
        </w:rPr>
      </w:pPr>
      <w:bookmarkStart w:id="41" w:name="_Toc15377444"/>
      <w:bookmarkStart w:id="42" w:name="_Toc15378460"/>
      <w:bookmarkStart w:id="43" w:name="_Toc15377213"/>
      <w:r>
        <w:rPr>
          <w:rFonts w:hint="eastAsia" w:ascii="仿宋_GB2312" w:hAnsi="仿宋_GB2312" w:eastAsia="仿宋_GB2312" w:cs="仿宋_GB2312"/>
          <w:b w:val="0"/>
          <w:color w:val="000000" w:themeColor="text1"/>
          <w:sz w:val="32"/>
          <w:szCs w:val="32"/>
          <w14:textFill>
            <w14:solidFill>
              <w14:schemeClr w14:val="tx1"/>
            </w14:solidFill>
          </w14:textFill>
        </w:rPr>
        <w:t>2019年一般公共预算支出决算数为717.6</w:t>
      </w:r>
      <w:r>
        <w:rPr>
          <w:rFonts w:hint="eastAsia" w:ascii="仿宋_GB2312" w:hAnsi="仿宋_GB2312" w:eastAsia="仿宋_GB2312" w:cs="仿宋_GB2312"/>
          <w:b w:val="0"/>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val="0"/>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w:t>
      </w:r>
      <w:r>
        <w:rPr>
          <w:rStyle w:val="15"/>
          <w:rFonts w:hint="eastAsia" w:ascii="仿宋_GB2312" w:hAnsi="仿宋_GB2312" w:eastAsia="仿宋_GB2312" w:cs="仿宋_GB2312"/>
          <w:b w:val="0"/>
          <w:bCs/>
          <w:color w:val="000000" w:themeColor="text1"/>
          <w:sz w:val="32"/>
          <w:szCs w:val="32"/>
          <w14:textFill>
            <w14:solidFill>
              <w14:schemeClr w14:val="tx1"/>
            </w14:solidFill>
          </w14:textFill>
        </w:rPr>
        <w:t>完成</w:t>
      </w:r>
      <w:r>
        <w:rPr>
          <w:rStyle w:val="15"/>
          <w:rFonts w:hint="eastAsia" w:ascii="仿宋_GB2312" w:hAnsi="仿宋_GB2312" w:eastAsia="仿宋_GB2312" w:cs="仿宋_GB2312"/>
          <w:b w:val="0"/>
          <w:bCs/>
          <w:color w:val="000000"/>
          <w:sz w:val="32"/>
          <w:szCs w:val="32"/>
        </w:rPr>
        <w:t>预算99.99%。其中：</w:t>
      </w:r>
      <w:bookmarkEnd w:id="41"/>
      <w:bookmarkEnd w:id="42"/>
      <w:bookmarkEnd w:id="43"/>
    </w:p>
    <w:p>
      <w:pPr>
        <w:spacing w:line="576" w:lineRule="exact"/>
        <w:ind w:firstLine="640" w:firstLineChars="200"/>
        <w:rPr>
          <w:rFonts w:ascii="仿宋_GB2312" w:hAnsi="仿宋_GB2312" w:eastAsia="仿宋_GB2312" w:cs="仿宋_GB2312"/>
          <w:b/>
          <w:color w:val="000000"/>
          <w:sz w:val="32"/>
          <w:szCs w:val="32"/>
        </w:rPr>
      </w:pPr>
      <w:r>
        <w:rPr>
          <w:rStyle w:val="15"/>
          <w:rFonts w:hint="eastAsia" w:ascii="仿宋_GB2312" w:hAnsi="仿宋_GB2312" w:eastAsia="仿宋_GB2312" w:cs="仿宋_GB2312"/>
          <w:b w:val="0"/>
          <w:bCs/>
          <w:color w:val="000000"/>
          <w:sz w:val="32"/>
          <w:szCs w:val="32"/>
        </w:rPr>
        <w:t>1.一般公共服务（类）组织事务（款）其他组织事务支出（项）:支出决算为2.67万元，完成预算100%。</w:t>
      </w:r>
    </w:p>
    <w:p>
      <w:pPr>
        <w:spacing w:line="576" w:lineRule="exact"/>
        <w:ind w:firstLine="640" w:firstLineChars="200"/>
        <w:rPr>
          <w:rStyle w:val="15"/>
          <w:rFonts w:ascii="仿宋_GB2312" w:hAnsi="仿宋_GB2312" w:eastAsia="仿宋_GB2312" w:cs="仿宋_GB2312"/>
          <w:b w:val="0"/>
          <w:bCs/>
          <w:color w:val="000000"/>
          <w:sz w:val="32"/>
          <w:szCs w:val="32"/>
        </w:rPr>
      </w:pPr>
      <w:r>
        <w:rPr>
          <w:rStyle w:val="15"/>
          <w:rFonts w:hint="eastAsia" w:ascii="仿宋_GB2312" w:hAnsi="仿宋_GB2312" w:eastAsia="仿宋_GB2312" w:cs="仿宋_GB2312"/>
          <w:b w:val="0"/>
          <w:bCs/>
          <w:color w:val="000000"/>
          <w:sz w:val="32"/>
          <w:szCs w:val="32"/>
        </w:rPr>
        <w:t>2.社会保障和就业（类）行政事业单位离退休（款）未归口管理的行政单位离退休（项）:支出决算为40.14万元，完成预算100%。</w:t>
      </w:r>
      <w:r>
        <w:rPr>
          <w:rStyle w:val="15"/>
          <w:rFonts w:hint="eastAsia" w:ascii="仿宋_GB2312" w:hAnsi="仿宋_GB2312" w:eastAsia="仿宋_GB2312" w:cs="仿宋_GB2312"/>
          <w:bCs/>
          <w:color w:val="000000"/>
          <w:sz w:val="32"/>
          <w:szCs w:val="32"/>
        </w:rPr>
        <w:t>行政事业单位离退休（款）机关事业单位基本养老保险缴费支出（项）:</w:t>
      </w:r>
      <w:r>
        <w:rPr>
          <w:rStyle w:val="15"/>
          <w:rFonts w:hint="eastAsia" w:ascii="仿宋_GB2312" w:hAnsi="仿宋_GB2312" w:eastAsia="仿宋_GB2312" w:cs="仿宋_GB2312"/>
          <w:b w:val="0"/>
          <w:bCs/>
          <w:color w:val="000000"/>
          <w:sz w:val="32"/>
          <w:szCs w:val="32"/>
        </w:rPr>
        <w:t>支出决算为37.88万元，完成预算100%。</w:t>
      </w:r>
      <w:r>
        <w:rPr>
          <w:rStyle w:val="15"/>
          <w:rFonts w:hint="eastAsia" w:ascii="仿宋_GB2312" w:hAnsi="仿宋_GB2312" w:eastAsia="仿宋_GB2312" w:cs="仿宋_GB2312"/>
          <w:bCs/>
          <w:color w:val="000000"/>
          <w:sz w:val="32"/>
          <w:szCs w:val="32"/>
        </w:rPr>
        <w:t>社会福利（款）儿童福利（项）:</w:t>
      </w:r>
      <w:r>
        <w:rPr>
          <w:rStyle w:val="15"/>
          <w:rFonts w:hint="eastAsia" w:ascii="仿宋_GB2312" w:hAnsi="仿宋_GB2312" w:eastAsia="仿宋_GB2312" w:cs="仿宋_GB2312"/>
          <w:b w:val="0"/>
          <w:bCs/>
          <w:color w:val="000000"/>
          <w:sz w:val="32"/>
          <w:szCs w:val="32"/>
        </w:rPr>
        <w:t>支出决算为0.17万元，完成预算100%。</w:t>
      </w:r>
    </w:p>
    <w:p>
      <w:pPr>
        <w:spacing w:line="576" w:lineRule="exact"/>
        <w:ind w:firstLine="640" w:firstLineChars="200"/>
        <w:rPr>
          <w:rStyle w:val="15"/>
          <w:rFonts w:ascii="仿宋_GB2312" w:hAnsi="仿宋_GB2312" w:eastAsia="仿宋_GB2312" w:cs="仿宋_GB2312"/>
          <w:color w:val="000000"/>
          <w:sz w:val="32"/>
          <w:szCs w:val="32"/>
        </w:rPr>
      </w:pPr>
      <w:r>
        <w:rPr>
          <w:rStyle w:val="15"/>
          <w:rFonts w:hint="eastAsia" w:ascii="仿宋_GB2312" w:hAnsi="仿宋_GB2312" w:eastAsia="仿宋_GB2312" w:cs="仿宋_GB2312"/>
          <w:b w:val="0"/>
          <w:color w:val="000000"/>
          <w:sz w:val="32"/>
          <w:szCs w:val="32"/>
        </w:rPr>
        <w:t>3.卫生健康支出（类）其他卫生健康支出（款）其他卫生健康支出（项）：</w:t>
      </w:r>
      <w:r>
        <w:rPr>
          <w:rStyle w:val="15"/>
          <w:rFonts w:hint="eastAsia" w:ascii="仿宋_GB2312" w:hAnsi="仿宋_GB2312" w:eastAsia="仿宋_GB2312" w:cs="仿宋_GB2312"/>
          <w:b w:val="0"/>
          <w:bCs/>
          <w:color w:val="000000"/>
          <w:sz w:val="32"/>
          <w:szCs w:val="32"/>
        </w:rPr>
        <w:t>支出决算为0.18万元，完成预算100%。</w:t>
      </w:r>
    </w:p>
    <w:p>
      <w:pPr>
        <w:spacing w:line="576" w:lineRule="exact"/>
        <w:ind w:firstLine="640" w:firstLineChars="200"/>
        <w:rPr>
          <w:rFonts w:ascii="仿宋_GB2312" w:hAnsi="仿宋_GB2312" w:eastAsia="仿宋_GB2312" w:cs="仿宋_GB2312"/>
          <w:color w:val="000000"/>
          <w:sz w:val="32"/>
          <w:szCs w:val="32"/>
        </w:rPr>
      </w:pPr>
      <w:r>
        <w:rPr>
          <w:rStyle w:val="15"/>
          <w:rFonts w:hint="eastAsia" w:ascii="仿宋_GB2312" w:hAnsi="仿宋_GB2312" w:eastAsia="仿宋_GB2312" w:cs="仿宋_GB2312"/>
          <w:b w:val="0"/>
          <w:bCs/>
          <w:color w:val="000000"/>
          <w:sz w:val="32"/>
          <w:szCs w:val="32"/>
        </w:rPr>
        <w:t>4.农林水支出（类）扶贫（款）行政运行（项）:</w:t>
      </w:r>
      <w:r>
        <w:rPr>
          <w:rStyle w:val="15"/>
          <w:rFonts w:hint="eastAsia" w:ascii="仿宋_GB2312" w:hAnsi="仿宋_GB2312" w:eastAsia="仿宋_GB2312" w:cs="仿宋_GB2312"/>
          <w:b w:val="0"/>
          <w:color w:val="000000"/>
          <w:sz w:val="32"/>
          <w:szCs w:val="32"/>
        </w:rPr>
        <w:t>支出决算为461.85万元，完成预算100%。</w:t>
      </w:r>
      <w:r>
        <w:rPr>
          <w:rStyle w:val="15"/>
          <w:rFonts w:hint="eastAsia" w:ascii="仿宋_GB2312" w:hAnsi="仿宋_GB2312" w:eastAsia="仿宋_GB2312" w:cs="仿宋_GB2312"/>
          <w:bCs/>
          <w:color w:val="000000"/>
          <w:sz w:val="32"/>
          <w:szCs w:val="32"/>
        </w:rPr>
        <w:t>扶贫（款）一般行政管理事务（项）:</w:t>
      </w:r>
      <w:r>
        <w:rPr>
          <w:rStyle w:val="15"/>
          <w:rFonts w:hint="eastAsia" w:ascii="仿宋_GB2312" w:hAnsi="仿宋_GB2312" w:eastAsia="仿宋_GB2312" w:cs="仿宋_GB2312"/>
          <w:b w:val="0"/>
          <w:color w:val="000000"/>
          <w:sz w:val="32"/>
          <w:szCs w:val="32"/>
        </w:rPr>
        <w:t>支出决算为16.69万元，完成预算100%。</w:t>
      </w:r>
      <w:r>
        <w:rPr>
          <w:rStyle w:val="15"/>
          <w:rFonts w:hint="eastAsia" w:ascii="仿宋_GB2312" w:hAnsi="仿宋_GB2312" w:eastAsia="仿宋_GB2312" w:cs="仿宋_GB2312"/>
          <w:bCs/>
          <w:color w:val="000000"/>
          <w:sz w:val="32"/>
          <w:szCs w:val="32"/>
        </w:rPr>
        <w:t>扶贫（款）扶贫事业机构（项）:</w:t>
      </w:r>
      <w:r>
        <w:rPr>
          <w:rStyle w:val="15"/>
          <w:rFonts w:hint="eastAsia" w:ascii="仿宋_GB2312" w:hAnsi="仿宋_GB2312" w:eastAsia="仿宋_GB2312" w:cs="仿宋_GB2312"/>
          <w:b w:val="0"/>
          <w:color w:val="000000"/>
          <w:sz w:val="32"/>
          <w:szCs w:val="32"/>
        </w:rPr>
        <w:t>支出决算为39.28万元，完成预算99.95%，</w:t>
      </w:r>
      <w:r>
        <w:rPr>
          <w:rStyle w:val="15"/>
          <w:rFonts w:hint="eastAsia" w:ascii="仿宋_GB2312" w:hAnsi="仿宋_GB2312" w:eastAsia="仿宋_GB2312" w:cs="仿宋_GB2312"/>
          <w:b w:val="0"/>
          <w:bCs/>
          <w:color w:val="000000"/>
          <w:sz w:val="32"/>
          <w:szCs w:val="32"/>
        </w:rPr>
        <w:t>决算数小于预算数的主要原因是备用金未支付完，形成结余</w:t>
      </w:r>
      <w:r>
        <w:rPr>
          <w:rStyle w:val="15"/>
          <w:rFonts w:hint="eastAsia" w:ascii="仿宋_GB2312" w:hAnsi="仿宋_GB2312" w:eastAsia="仿宋_GB2312" w:cs="仿宋_GB2312"/>
          <w:b w:val="0"/>
          <w:color w:val="000000"/>
          <w:sz w:val="32"/>
          <w:szCs w:val="32"/>
        </w:rPr>
        <w:t>。</w:t>
      </w:r>
      <w:r>
        <w:rPr>
          <w:rStyle w:val="15"/>
          <w:rFonts w:hint="eastAsia" w:ascii="仿宋_GB2312" w:hAnsi="仿宋_GB2312" w:eastAsia="仿宋_GB2312" w:cs="仿宋_GB2312"/>
          <w:bCs/>
          <w:color w:val="000000"/>
          <w:sz w:val="32"/>
          <w:szCs w:val="32"/>
        </w:rPr>
        <w:t>扶贫（款）其他扶贫支出（项）:</w:t>
      </w:r>
      <w:r>
        <w:rPr>
          <w:rStyle w:val="15"/>
          <w:rFonts w:hint="eastAsia" w:ascii="仿宋_GB2312" w:hAnsi="仿宋_GB2312" w:eastAsia="仿宋_GB2312" w:cs="仿宋_GB2312"/>
          <w:b w:val="0"/>
          <w:color w:val="000000"/>
          <w:sz w:val="32"/>
          <w:szCs w:val="32"/>
        </w:rPr>
        <w:t>支出决算为76.09万元，完成预算100%。</w:t>
      </w:r>
    </w:p>
    <w:p>
      <w:pPr>
        <w:spacing w:line="576" w:lineRule="exact"/>
        <w:ind w:firstLine="640" w:firstLineChars="200"/>
        <w:rPr>
          <w:rFonts w:eastAsia="仿宋"/>
          <w:b/>
          <w:color w:val="000000"/>
          <w:sz w:val="32"/>
          <w:szCs w:val="32"/>
        </w:rPr>
      </w:pPr>
      <w:r>
        <w:rPr>
          <w:rStyle w:val="15"/>
          <w:rFonts w:hint="eastAsia" w:ascii="仿宋_GB2312" w:hAnsi="仿宋_GB2312" w:eastAsia="仿宋_GB2312" w:cs="仿宋_GB2312"/>
          <w:b w:val="0"/>
          <w:bCs/>
          <w:color w:val="000000"/>
          <w:sz w:val="32"/>
          <w:szCs w:val="32"/>
        </w:rPr>
        <w:t>5.住房保障支出（类）住房改革支出（款）住房公积金（项）:支出决算为42.67万元，完成预算100%。</w:t>
      </w:r>
    </w:p>
    <w:p>
      <w:pPr>
        <w:tabs>
          <w:tab w:val="right" w:pos="8306"/>
        </w:tabs>
        <w:spacing w:line="600" w:lineRule="exact"/>
        <w:ind w:firstLine="640"/>
        <w:outlineLvl w:val="1"/>
        <w:rPr>
          <w:rStyle w:val="26"/>
          <w:rFonts w:ascii="Times New Roman" w:hAnsi="Times New Roman" w:cs="Times New Roman"/>
        </w:rPr>
      </w:pPr>
      <w:bookmarkStart w:id="44" w:name="_Toc15377214"/>
      <w:bookmarkStart w:id="45" w:name="_Toc15396608"/>
      <w:r>
        <w:rPr>
          <w:rFonts w:hint="eastAsia" w:eastAsia="黑体"/>
          <w:color w:val="000000"/>
          <w:sz w:val="32"/>
          <w:szCs w:val="32"/>
        </w:rPr>
        <w:t>六</w:t>
      </w:r>
      <w:r>
        <w:rPr>
          <w:rFonts w:hint="eastAsia" w:eastAsia="黑体"/>
          <w:b/>
          <w:color w:val="000000"/>
          <w:sz w:val="32"/>
          <w:szCs w:val="32"/>
        </w:rPr>
        <w:t>、一</w:t>
      </w:r>
      <w:r>
        <w:rPr>
          <w:rStyle w:val="26"/>
          <w:rFonts w:hint="eastAsia" w:ascii="Times New Roman" w:hAnsi="Times New Roman" w:eastAsia="黑体" w:cs="Times New Roman"/>
          <w:b w:val="0"/>
        </w:rPr>
        <w:t>般公共预算财政拨款基本支出决算情况说明</w:t>
      </w:r>
      <w:bookmarkEnd w:id="44"/>
      <w:bookmarkEnd w:id="45"/>
      <w:r>
        <w:rPr>
          <w:rStyle w:val="26"/>
          <w:rFonts w:ascii="Times New Roman" w:hAnsi="Times New Roman" w:eastAsia="黑体" w:cs="Times New Roman"/>
          <w:b w:val="0"/>
        </w:rPr>
        <w:tab/>
      </w:r>
    </w:p>
    <w:p>
      <w:pPr>
        <w:spacing w:line="600" w:lineRule="exact"/>
        <w:ind w:firstLine="645"/>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2019年一般公共预算财政拨款基本支出624.6</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万元，其中：</w:t>
      </w:r>
    </w:p>
    <w:p>
      <w:pPr>
        <w:spacing w:line="600" w:lineRule="exact"/>
        <w:ind w:firstLine="645"/>
        <w:rPr>
          <w:rFonts w:eastAsia="仿宋"/>
          <w:color w:val="000000"/>
          <w:sz w:val="32"/>
          <w:szCs w:val="32"/>
        </w:rPr>
      </w:pPr>
      <w:r>
        <w:rPr>
          <w:rFonts w:hint="eastAsia" w:ascii="仿宋_GB2312" w:hAnsi="仿宋_GB2312" w:eastAsia="仿宋_GB2312" w:cs="仿宋_GB2312"/>
          <w:color w:val="000000"/>
          <w:sz w:val="32"/>
          <w:szCs w:val="32"/>
        </w:rPr>
        <w:t>人员经费535.95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日常公用经费88.71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6"/>
          <w:rFonts w:ascii="Times New Roman" w:hAnsi="Times New Roman" w:eastAsia="黑体" w:cs="Times New Roman"/>
          <w:b w:val="0"/>
        </w:rPr>
      </w:pPr>
      <w:bookmarkStart w:id="46" w:name="_Toc15396609"/>
      <w:bookmarkStart w:id="47" w:name="_Toc15377215"/>
      <w:r>
        <w:rPr>
          <w:rFonts w:hint="eastAsia" w:eastAsia="黑体"/>
          <w:color w:val="000000"/>
          <w:sz w:val="32"/>
          <w:szCs w:val="32"/>
        </w:rPr>
        <w:t>七、</w:t>
      </w:r>
      <w:r>
        <w:rPr>
          <w:rStyle w:val="26"/>
          <w:rFonts w:hint="eastAsia" w:ascii="Times New Roman" w:hAnsi="Times New Roman" w:eastAsia="黑体" w:cs="Times New Roman"/>
        </w:rPr>
        <w:t>“</w:t>
      </w:r>
      <w:r>
        <w:rPr>
          <w:rStyle w:val="26"/>
          <w:rFonts w:hint="eastAsia" w:ascii="Times New Roman" w:hAnsi="Times New Roman" w:eastAsia="黑体" w:cs="Times New Roman"/>
          <w:b w:val="0"/>
        </w:rPr>
        <w:t>三公”经费财政拨款支出决算情况说明</w:t>
      </w:r>
      <w:bookmarkEnd w:id="46"/>
      <w:bookmarkEnd w:id="47"/>
    </w:p>
    <w:p>
      <w:pPr>
        <w:spacing w:line="600" w:lineRule="exact"/>
        <w:ind w:firstLine="640"/>
        <w:outlineLvl w:val="2"/>
        <w:rPr>
          <w:rFonts w:hint="eastAsia" w:ascii="楷体_GB2312" w:hAnsi="仿宋_GB2312" w:eastAsia="楷体_GB2312" w:cs="仿宋_GB2312"/>
          <w:b w:val="0"/>
          <w:color w:val="000000"/>
          <w:sz w:val="32"/>
          <w:szCs w:val="32"/>
        </w:rPr>
      </w:pPr>
      <w:bookmarkStart w:id="48" w:name="_Toc15377216"/>
      <w:r>
        <w:rPr>
          <w:rFonts w:hint="eastAsia" w:ascii="楷体_GB2312" w:hAnsi="仿宋_GB2312" w:eastAsia="楷体_GB2312" w:cs="仿宋_GB2312"/>
          <w:b w:val="0"/>
          <w:color w:val="000000"/>
          <w:sz w:val="32"/>
          <w:szCs w:val="32"/>
        </w:rPr>
        <w:t>（一）“三公”经费财政拨款支出决算总体情况说明</w:t>
      </w:r>
      <w:bookmarkEnd w:id="48"/>
      <w:r>
        <w:rPr>
          <w:rFonts w:hint="eastAsia" w:ascii="楷体_GB2312" w:hAnsi="仿宋_GB2312" w:eastAsia="楷体_GB2312" w:cs="仿宋_GB2312"/>
          <w:color w:val="000000"/>
          <w:sz w:val="32"/>
          <w:szCs w:val="32"/>
        </w:rPr>
        <w:t>。</w:t>
      </w:r>
    </w:p>
    <w:p>
      <w:pPr>
        <w:spacing w:line="60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2019年“三公”经费财政拨款支出决算为5.36万元，完成预算85.49%，决算数小于预算数的主要原因是</w:t>
      </w:r>
      <w:r>
        <w:rPr>
          <w:rFonts w:hint="eastAsia" w:ascii="仿宋_GB2312" w:hAnsi="仿宋_GB2312" w:eastAsia="仿宋_GB2312" w:cs="仿宋_GB2312"/>
          <w:color w:val="333333"/>
          <w:sz w:val="32"/>
          <w:szCs w:val="32"/>
        </w:rPr>
        <w:t>车辆运行维护费下降和公务接待费的减少</w:t>
      </w:r>
      <w:r>
        <w:rPr>
          <w:rFonts w:hint="eastAsia" w:ascii="仿宋_GB2312" w:hAnsi="仿宋_GB2312" w:eastAsia="仿宋_GB2312" w:cs="仿宋_GB2312"/>
          <w:color w:val="000000"/>
          <w:sz w:val="32"/>
          <w:szCs w:val="32"/>
        </w:rPr>
        <w:t>。</w:t>
      </w:r>
    </w:p>
    <w:p>
      <w:pPr>
        <w:spacing w:line="600" w:lineRule="exact"/>
        <w:ind w:firstLine="640"/>
        <w:outlineLvl w:val="2"/>
        <w:rPr>
          <w:rFonts w:hint="eastAsia" w:ascii="楷体_GB2312" w:hAnsi="仿宋_GB2312" w:eastAsia="楷体_GB2312" w:cs="仿宋_GB2312"/>
          <w:b w:val="0"/>
          <w:color w:val="000000"/>
          <w:sz w:val="32"/>
          <w:szCs w:val="32"/>
        </w:rPr>
      </w:pPr>
      <w:bookmarkStart w:id="49" w:name="_Toc15377217"/>
      <w:r>
        <w:rPr>
          <w:rFonts w:hint="eastAsia" w:ascii="楷体_GB2312" w:hAnsi="仿宋_GB2312" w:eastAsia="楷体_GB2312" w:cs="仿宋_GB2312"/>
          <w:b w:val="0"/>
          <w:color w:val="000000"/>
          <w:sz w:val="32"/>
          <w:szCs w:val="32"/>
        </w:rPr>
        <w:t>（二）“三公”经费财政拨款支出决算具体情况说明</w:t>
      </w:r>
      <w:bookmarkEnd w:id="49"/>
      <w:r>
        <w:rPr>
          <w:rFonts w:hint="eastAsia" w:ascii="楷体_GB2312" w:hAnsi="仿宋_GB2312" w:eastAsia="楷体_GB2312" w:cs="仿宋_GB2312"/>
          <w:color w:val="000000"/>
          <w:sz w:val="32"/>
          <w:szCs w:val="32"/>
        </w:rPr>
        <w:t>。</w:t>
      </w:r>
    </w:p>
    <w:p>
      <w:pPr>
        <w:spacing w:line="60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2019年“三公”经费财政拨款支出决算中，因公出国（境）费支出决算0万元，占0%；公务用车购置及运行维护费支出决算4.45万元，占83.02%；公务接待费支出决算0.91万元，占16.98%。具体情况如下：</w:t>
      </w:r>
    </w:p>
    <w:p>
      <w:pPr>
        <w:spacing w:line="60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（图7：“三公”经费财政拨款支出结构）</w:t>
      </w: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r>
        <w:rPr>
          <w:rFonts w:hint="eastAsia" w:eastAsia="仿宋"/>
          <w:color w:val="000000"/>
          <w:sz w:val="32"/>
          <w:szCs w:val="32"/>
        </w:rPr>
        <w:drawing>
          <wp:anchor distT="0" distB="0" distL="114300" distR="114300" simplePos="0" relativeHeight="251668480" behindDoc="0" locked="0" layoutInCell="1" allowOverlap="1">
            <wp:simplePos x="0" y="0"/>
            <wp:positionH relativeFrom="column">
              <wp:posOffset>410845</wp:posOffset>
            </wp:positionH>
            <wp:positionV relativeFrom="paragraph">
              <wp:posOffset>-1367155</wp:posOffset>
            </wp:positionV>
            <wp:extent cx="4556760" cy="2048510"/>
            <wp:effectExtent l="19050" t="0" r="15240" b="8890"/>
            <wp:wrapSquare wrapText="bothSides"/>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rPr>
          <w:rFonts w:eastAsia="仿宋"/>
          <w:color w:val="000000"/>
          <w:sz w:val="32"/>
          <w:szCs w:val="32"/>
        </w:rPr>
      </w:pPr>
    </w:p>
    <w:p>
      <w:pPr>
        <w:spacing w:line="600" w:lineRule="exact"/>
        <w:ind w:firstLine="640"/>
        <w:rPr>
          <w:rFonts w:hint="eastAsia" w:ascii="仿宋_GB2312" w:eastAsia="仿宋_GB2312"/>
          <w:color w:val="000000"/>
          <w:sz w:val="32"/>
          <w:szCs w:val="32"/>
        </w:rPr>
      </w:pPr>
      <w:r>
        <w:rPr>
          <w:rFonts w:hint="eastAsia" w:ascii="仿宋_GB2312" w:eastAsia="仿宋_GB2312"/>
          <w:b w:val="0"/>
          <w:color w:val="000000"/>
          <w:sz w:val="32"/>
          <w:szCs w:val="32"/>
        </w:rPr>
        <w:t>1.因公出国（境）经费支出0万元。</w:t>
      </w:r>
    </w:p>
    <w:p>
      <w:pPr>
        <w:spacing w:line="600" w:lineRule="exact"/>
        <w:ind w:firstLine="640"/>
        <w:rPr>
          <w:rFonts w:eastAsia="仿宋_GB2312"/>
          <w:b/>
          <w:color w:val="000000"/>
          <w:sz w:val="32"/>
          <w:szCs w:val="32"/>
        </w:rPr>
      </w:pPr>
      <w:r>
        <w:rPr>
          <w:rFonts w:hint="eastAsia" w:ascii="仿宋_GB2312" w:eastAsia="仿宋_GB2312"/>
          <w:b w:val="0"/>
          <w:color w:val="000000"/>
          <w:sz w:val="32"/>
          <w:szCs w:val="32"/>
        </w:rPr>
        <w:t>2.公务用车购置及运行维护费支出4.45万元,</w:t>
      </w:r>
      <w:r>
        <w:rPr>
          <w:rStyle w:val="15"/>
          <w:rFonts w:hint="eastAsia" w:ascii="仿宋_GB2312" w:eastAsia="仿宋_GB2312"/>
          <w:b w:val="0"/>
          <w:bCs/>
          <w:color w:val="000000"/>
          <w:sz w:val="32"/>
          <w:szCs w:val="32"/>
        </w:rPr>
        <w:t>完成预算98.89%。</w:t>
      </w:r>
      <w:r>
        <w:rPr>
          <w:rFonts w:hint="eastAsia" w:eastAsia="仿宋_GB2312"/>
          <w:color w:val="000000"/>
          <w:sz w:val="32"/>
          <w:szCs w:val="32"/>
        </w:rPr>
        <w:t>公务用车购置及运行维护费支出决算比</w:t>
      </w:r>
      <w:r>
        <w:rPr>
          <w:rFonts w:eastAsia="仿宋_GB2312"/>
          <w:color w:val="000000"/>
          <w:sz w:val="32"/>
          <w:szCs w:val="32"/>
        </w:rPr>
        <w:t>2018</w:t>
      </w:r>
      <w:r>
        <w:rPr>
          <w:rFonts w:hint="eastAsia" w:eastAsia="仿宋_GB2312"/>
          <w:color w:val="000000"/>
          <w:sz w:val="32"/>
          <w:szCs w:val="32"/>
        </w:rPr>
        <w:t>年减少2.56万元，下降36.52</w:t>
      </w:r>
      <w:r>
        <w:rPr>
          <w:rFonts w:eastAsia="仿宋_GB2312"/>
          <w:color w:val="000000"/>
          <w:sz w:val="32"/>
          <w:szCs w:val="32"/>
        </w:rPr>
        <w:t>%</w:t>
      </w:r>
      <w:r>
        <w:rPr>
          <w:rFonts w:hint="eastAsia" w:eastAsia="仿宋_GB2312"/>
          <w:color w:val="000000"/>
          <w:sz w:val="32"/>
          <w:szCs w:val="32"/>
        </w:rPr>
        <w:t>。主要原因是公车改革后，单位车辆保有量减少，支出相应减少。</w:t>
      </w:r>
    </w:p>
    <w:p>
      <w:pPr>
        <w:spacing w:line="600" w:lineRule="exact"/>
        <w:ind w:firstLine="640" w:firstLineChars="200"/>
        <w:rPr>
          <w:rFonts w:eastAsia="仿宋_GB2312"/>
          <w:color w:val="000000"/>
          <w:sz w:val="32"/>
          <w:szCs w:val="32"/>
        </w:rPr>
      </w:pPr>
      <w:r>
        <w:rPr>
          <w:rFonts w:hint="eastAsia" w:eastAsia="仿宋_GB2312"/>
          <w:color w:val="000000"/>
          <w:sz w:val="32"/>
          <w:szCs w:val="32"/>
        </w:rPr>
        <w:t>其中：</w:t>
      </w:r>
      <w:r>
        <w:rPr>
          <w:rFonts w:hint="eastAsia" w:eastAsia="仿宋_GB2312"/>
          <w:b w:val="0"/>
          <w:color w:val="000000"/>
          <w:sz w:val="32"/>
          <w:szCs w:val="32"/>
        </w:rPr>
        <w:t>公务用车购置支出</w:t>
      </w:r>
      <w:r>
        <w:rPr>
          <w:rFonts w:hint="eastAsia" w:eastAsia="仿宋_GB2312"/>
          <w:color w:val="000000"/>
          <w:sz w:val="32"/>
          <w:szCs w:val="32"/>
        </w:rPr>
        <w:t>0万元。截至</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月底，单位共有公务用车1辆，其中：主要领导干部用车0辆、机要通信用车0辆、应急保障用车1辆、</w:t>
      </w:r>
      <w:r>
        <w:rPr>
          <w:rFonts w:eastAsia="仿宋_GB2312"/>
          <w:color w:val="000000"/>
          <w:sz w:val="32"/>
          <w:szCs w:val="32"/>
        </w:rPr>
        <w:t xml:space="preserve"> </w:t>
      </w:r>
      <w:r>
        <w:rPr>
          <w:rFonts w:hint="eastAsia" w:eastAsia="仿宋_GB2312"/>
          <w:color w:val="000000"/>
          <w:sz w:val="32"/>
          <w:szCs w:val="32"/>
        </w:rPr>
        <w:t>执法执勤用车0辆。</w:t>
      </w:r>
    </w:p>
    <w:p>
      <w:pPr>
        <w:spacing w:line="576" w:lineRule="exact"/>
        <w:ind w:firstLine="640" w:firstLineChars="200"/>
        <w:rPr>
          <w:rFonts w:ascii="仿宋_GB2312" w:eastAsia="仿宋_GB2312"/>
          <w:color w:val="000000"/>
          <w:sz w:val="32"/>
          <w:szCs w:val="32"/>
        </w:rPr>
      </w:pPr>
      <w:r>
        <w:rPr>
          <w:rFonts w:hint="eastAsia" w:eastAsia="仿宋_GB2312"/>
          <w:b w:val="0"/>
          <w:color w:val="000000"/>
          <w:sz w:val="32"/>
          <w:szCs w:val="32"/>
        </w:rPr>
        <w:t>公务用车运行维护费支出</w:t>
      </w:r>
      <w:r>
        <w:rPr>
          <w:rFonts w:hint="eastAsia" w:eastAsia="仿宋_GB2312"/>
          <w:color w:val="000000"/>
          <w:sz w:val="32"/>
          <w:szCs w:val="32"/>
        </w:rPr>
        <w:t>4.45万元。主要用于</w:t>
      </w:r>
      <w:r>
        <w:rPr>
          <w:rFonts w:hint="eastAsia" w:ascii="仿宋_GB2312" w:eastAsia="仿宋_GB2312"/>
          <w:sz w:val="32"/>
          <w:szCs w:val="32"/>
        </w:rPr>
        <w:t>开展我市在建和拟建的大中型水利水电工程规划安置和项目实施工作；移民后期扶持项目建设跟踪，后期扶持直发直补，二滩库区滑坡塌岸移民安置；扶贫开发工作；采空沉陷区居民安置工作</w:t>
      </w:r>
      <w:r>
        <w:rPr>
          <w:rFonts w:hint="eastAsia" w:ascii="仿宋_GB2312" w:eastAsia="仿宋_GB2312"/>
          <w:color w:val="000000"/>
          <w:sz w:val="32"/>
          <w:szCs w:val="32"/>
        </w:rPr>
        <w:t>等所需的公务用车燃料费、维修费、过路过桥费、保险费等支出。</w:t>
      </w:r>
    </w:p>
    <w:p>
      <w:pPr>
        <w:spacing w:line="600" w:lineRule="exact"/>
        <w:ind w:firstLine="640"/>
        <w:rPr>
          <w:rFonts w:eastAsia="仿宋_GB2312"/>
          <w:color w:val="000000"/>
          <w:sz w:val="32"/>
          <w:szCs w:val="32"/>
        </w:rPr>
      </w:pPr>
      <w:r>
        <w:rPr>
          <w:rFonts w:eastAsia="仿宋_GB2312"/>
          <w:b w:val="0"/>
          <w:color w:val="000000"/>
          <w:sz w:val="32"/>
          <w:szCs w:val="32"/>
        </w:rPr>
        <w:t>3.</w:t>
      </w:r>
      <w:r>
        <w:rPr>
          <w:rFonts w:hint="eastAsia" w:eastAsia="仿宋_GB2312"/>
          <w:b w:val="0"/>
          <w:color w:val="000000"/>
          <w:sz w:val="32"/>
          <w:szCs w:val="32"/>
        </w:rPr>
        <w:t>公务接待费支出</w:t>
      </w:r>
      <w:r>
        <w:rPr>
          <w:rFonts w:hint="eastAsia" w:eastAsia="仿宋_GB2312"/>
          <w:color w:val="000000"/>
          <w:sz w:val="32"/>
          <w:szCs w:val="32"/>
        </w:rPr>
        <w:t>0.91万元，</w:t>
      </w:r>
      <w:r>
        <w:rPr>
          <w:rStyle w:val="15"/>
          <w:rFonts w:hint="eastAsia" w:eastAsia="仿宋"/>
          <w:b w:val="0"/>
          <w:bCs/>
          <w:color w:val="000000"/>
          <w:sz w:val="32"/>
          <w:szCs w:val="32"/>
        </w:rPr>
        <w:t>完成预算51.41</w:t>
      </w:r>
      <w:r>
        <w:rPr>
          <w:rStyle w:val="15"/>
          <w:rFonts w:eastAsia="仿宋"/>
          <w:b w:val="0"/>
          <w:bCs/>
          <w:color w:val="000000"/>
          <w:sz w:val="32"/>
          <w:szCs w:val="32"/>
        </w:rPr>
        <w:t>%</w:t>
      </w:r>
      <w:r>
        <w:rPr>
          <w:rStyle w:val="15"/>
          <w:rFonts w:hint="eastAsia" w:eastAsia="仿宋"/>
          <w:b w:val="0"/>
          <w:bCs/>
          <w:color w:val="000000"/>
          <w:sz w:val="32"/>
          <w:szCs w:val="32"/>
        </w:rPr>
        <w:t>。</w:t>
      </w:r>
      <w:r>
        <w:rPr>
          <w:rFonts w:hint="eastAsia" w:eastAsia="仿宋_GB2312"/>
          <w:color w:val="000000"/>
          <w:sz w:val="32"/>
          <w:szCs w:val="32"/>
        </w:rPr>
        <w:t>公务接待费支出决算比</w:t>
      </w:r>
      <w:r>
        <w:rPr>
          <w:rFonts w:eastAsia="仿宋_GB2312"/>
          <w:color w:val="000000"/>
          <w:sz w:val="32"/>
          <w:szCs w:val="32"/>
        </w:rPr>
        <w:t>2018</w:t>
      </w:r>
      <w:r>
        <w:rPr>
          <w:rFonts w:hint="eastAsia" w:eastAsia="仿宋_GB2312"/>
          <w:color w:val="000000"/>
          <w:sz w:val="32"/>
          <w:szCs w:val="32"/>
        </w:rPr>
        <w:t>年减少0.12万元，下降11.65</w:t>
      </w:r>
      <w:r>
        <w:rPr>
          <w:rFonts w:eastAsia="仿宋_GB2312"/>
          <w:color w:val="000000"/>
          <w:sz w:val="32"/>
          <w:szCs w:val="32"/>
        </w:rPr>
        <w:t>%</w:t>
      </w:r>
      <w:r>
        <w:rPr>
          <w:rFonts w:hint="eastAsia" w:eastAsia="仿宋_GB2312"/>
          <w:color w:val="000000"/>
          <w:sz w:val="32"/>
          <w:szCs w:val="32"/>
        </w:rPr>
        <w:t>。主要原因是</w:t>
      </w:r>
      <w:r>
        <w:rPr>
          <w:rFonts w:hint="eastAsia" w:ascii="仿宋_GB2312" w:eastAsia="仿宋_GB2312"/>
          <w:color w:val="000000"/>
          <w:sz w:val="32"/>
          <w:szCs w:val="32"/>
        </w:rPr>
        <w:t>加强了公务接待管理</w:t>
      </w:r>
      <w:r>
        <w:rPr>
          <w:rFonts w:hint="eastAsia" w:eastAsia="仿宋_GB2312"/>
          <w:color w:val="000000"/>
          <w:sz w:val="32"/>
          <w:szCs w:val="32"/>
        </w:rPr>
        <w:t>。其中：</w:t>
      </w:r>
    </w:p>
    <w:p>
      <w:pPr>
        <w:spacing w:line="600" w:lineRule="exact"/>
        <w:ind w:firstLine="640"/>
        <w:rPr>
          <w:rFonts w:eastAsia="仿宋_GB2312"/>
          <w:color w:val="000000"/>
          <w:sz w:val="32"/>
          <w:szCs w:val="32"/>
        </w:rPr>
      </w:pPr>
      <w:r>
        <w:rPr>
          <w:rFonts w:hint="eastAsia" w:eastAsia="仿宋"/>
          <w:b w:val="0"/>
          <w:color w:val="000000"/>
          <w:sz w:val="32"/>
          <w:szCs w:val="32"/>
        </w:rPr>
        <w:t>国内公务接待支出</w:t>
      </w:r>
      <w:r>
        <w:rPr>
          <w:rFonts w:hint="eastAsia" w:eastAsia="仿宋"/>
          <w:color w:val="000000"/>
          <w:sz w:val="32"/>
          <w:szCs w:val="32"/>
        </w:rPr>
        <w:t>0.91</w:t>
      </w:r>
      <w:r>
        <w:rPr>
          <w:rFonts w:hint="eastAsia" w:eastAsia="仿宋_GB2312"/>
          <w:color w:val="000000"/>
          <w:sz w:val="32"/>
          <w:szCs w:val="32"/>
        </w:rPr>
        <w:t>万元，主要用于</w:t>
      </w:r>
      <w:r>
        <w:rPr>
          <w:rFonts w:hint="eastAsia" w:ascii="仿宋_GB2312" w:eastAsia="仿宋_GB2312"/>
          <w:color w:val="000000"/>
          <w:sz w:val="32"/>
          <w:szCs w:val="32"/>
        </w:rPr>
        <w:t>主要用于执行公务、开展业务活动开支的交通费、住宿费、用餐费等。</w:t>
      </w:r>
      <w:r>
        <w:rPr>
          <w:rFonts w:hint="eastAsia" w:eastAsia="仿宋_GB2312"/>
          <w:color w:val="000000"/>
          <w:sz w:val="32"/>
          <w:szCs w:val="32"/>
        </w:rPr>
        <w:t>国内公务接待10批次，102人次（不包括陪同人员），共计支出0.91万元，具体内容包括：1.付接待中南院对接乌东德移民独立评估工作事宜的接待费471元；2.付接待广安市扶贫局考察脱贫攻坚工作的接待费760元；3.付接待米易县扶贫开发局开展脱贫攻坚对接工作的接待费586元；4.付接待市辰果农业一行就观音岩电站临时用地复垦事宜的接待费631元；5.付接待中国热科院海口实验站一行的接待费1074元；6.付接待雅砻江公司征地移民工作部沟通桐子林移民安置工作的接待费470元；7.付接待武当山旅游经济特区移民局一行调研学习产业发展经验的接待费2122元，8.付接待中国电建设计院对接乌东德移民安置工作的接待费907元；9.付接待乐山市扶贫基金会、扶贫开发协会考察学习的接待费1022元；10.付接待凉山彝族自治州扶贫开发局、省扶贫开发局一行调研脱贫攻坚工作的接待费1057元。</w:t>
      </w:r>
    </w:p>
    <w:p>
      <w:pPr>
        <w:spacing w:line="600" w:lineRule="exact"/>
        <w:ind w:firstLine="640" w:firstLineChars="200"/>
        <w:rPr>
          <w:rFonts w:eastAsia="黑体"/>
          <w:color w:val="000000"/>
          <w:sz w:val="32"/>
          <w:szCs w:val="32"/>
        </w:rPr>
      </w:pPr>
      <w:r>
        <w:rPr>
          <w:rFonts w:hint="eastAsia" w:eastAsia="仿宋"/>
          <w:b w:val="0"/>
          <w:color w:val="000000"/>
          <w:sz w:val="32"/>
          <w:szCs w:val="32"/>
        </w:rPr>
        <w:t>外事接待支出</w:t>
      </w:r>
      <w:r>
        <w:rPr>
          <w:rFonts w:hint="eastAsia" w:eastAsia="仿宋"/>
          <w:color w:val="000000"/>
          <w:sz w:val="32"/>
          <w:szCs w:val="32"/>
        </w:rPr>
        <w:t>0</w:t>
      </w:r>
      <w:r>
        <w:rPr>
          <w:rFonts w:hint="eastAsia" w:eastAsia="仿宋_GB2312"/>
          <w:color w:val="000000"/>
          <w:sz w:val="32"/>
          <w:szCs w:val="32"/>
        </w:rPr>
        <w:t>万元。</w:t>
      </w:r>
      <w:bookmarkStart w:id="50" w:name="_Toc15377218"/>
      <w:bookmarkStart w:id="51" w:name="_Toc15396610"/>
    </w:p>
    <w:p>
      <w:pPr>
        <w:spacing w:line="600" w:lineRule="exact"/>
        <w:ind w:firstLine="640"/>
        <w:outlineLvl w:val="1"/>
        <w:rPr>
          <w:rStyle w:val="26"/>
          <w:rFonts w:ascii="Times New Roman" w:hAnsi="Times New Roman" w:eastAsia="黑体" w:cs="Times New Roman"/>
        </w:rPr>
      </w:pPr>
      <w:r>
        <w:rPr>
          <w:rFonts w:hint="eastAsia" w:eastAsia="黑体"/>
          <w:color w:val="000000"/>
          <w:sz w:val="32"/>
          <w:szCs w:val="32"/>
        </w:rPr>
        <w:t>八、</w:t>
      </w:r>
      <w:r>
        <w:rPr>
          <w:rStyle w:val="26"/>
          <w:rFonts w:hint="eastAsia" w:ascii="Times New Roman" w:hAnsi="Times New Roman" w:eastAsia="黑体" w:cs="Times New Roman"/>
          <w:b w:val="0"/>
        </w:rPr>
        <w:t>政府性基金预算支出决算情况说明</w:t>
      </w:r>
      <w:bookmarkEnd w:id="50"/>
      <w:bookmarkEnd w:id="51"/>
    </w:p>
    <w:p>
      <w:pPr>
        <w:spacing w:line="600" w:lineRule="exact"/>
        <w:ind w:firstLine="64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年政府性基金预算拨款支出0万元。</w:t>
      </w:r>
    </w:p>
    <w:p>
      <w:pPr>
        <w:numPr>
          <w:ilvl w:val="0"/>
          <w:numId w:val="2"/>
        </w:numPr>
        <w:spacing w:line="600" w:lineRule="exact"/>
        <w:ind w:firstLine="640"/>
        <w:outlineLvl w:val="1"/>
        <w:rPr>
          <w:rStyle w:val="26"/>
          <w:rFonts w:ascii="Times New Roman" w:hAnsi="Times New Roman" w:eastAsia="黑体" w:cs="Times New Roman"/>
          <w:b w:val="0"/>
        </w:rPr>
      </w:pPr>
      <w:bookmarkStart w:id="52" w:name="_Toc15396611"/>
      <w:bookmarkStart w:id="53" w:name="_Toc15377219"/>
      <w:r>
        <w:rPr>
          <w:rStyle w:val="26"/>
          <w:rFonts w:hint="eastAsia" w:ascii="Times New Roman" w:hAnsi="Times New Roman" w:eastAsia="黑体" w:cs="Times New Roman"/>
          <w:b w:val="0"/>
        </w:rPr>
        <w:t>国有资本经营预算支出决算情况说明</w:t>
      </w:r>
      <w:bookmarkEnd w:id="52"/>
      <w:bookmarkEnd w:id="53"/>
    </w:p>
    <w:p>
      <w:pPr>
        <w:spacing w:line="600" w:lineRule="exact"/>
        <w:ind w:firstLine="64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年国有资本经营预算拨款支出0万元。</w:t>
      </w:r>
    </w:p>
    <w:p>
      <w:pPr>
        <w:spacing w:line="580" w:lineRule="exact"/>
        <w:jc w:val="center"/>
        <w:rPr>
          <w:rFonts w:eastAsia="方正小标宋简体"/>
          <w:sz w:val="44"/>
          <w:szCs w:val="44"/>
        </w:rPr>
      </w:pPr>
    </w:p>
    <w:p>
      <w:pPr>
        <w:spacing w:line="600" w:lineRule="exact"/>
        <w:ind w:firstLine="800" w:firstLineChars="250"/>
        <w:outlineLvl w:val="1"/>
        <w:rPr>
          <w:rStyle w:val="26"/>
          <w:rFonts w:ascii="Times New Roman" w:hAnsi="Times New Roman" w:eastAsia="黑体" w:cs="Times New Roman"/>
        </w:rPr>
      </w:pPr>
      <w:bookmarkStart w:id="54" w:name="_Toc15377221"/>
      <w:bookmarkStart w:id="55" w:name="_Toc15396612"/>
      <w:r>
        <w:rPr>
          <w:rFonts w:hint="eastAsia" w:eastAsia="黑体"/>
          <w:color w:val="000000"/>
          <w:sz w:val="32"/>
          <w:szCs w:val="32"/>
        </w:rPr>
        <w:t>十</w:t>
      </w:r>
      <w:r>
        <w:rPr>
          <w:rStyle w:val="26"/>
          <w:rFonts w:hint="eastAsia" w:ascii="Times New Roman" w:hAnsi="Times New Roman" w:eastAsia="黑体" w:cs="Times New Roman"/>
        </w:rPr>
        <w:t>、</w:t>
      </w:r>
      <w:r>
        <w:rPr>
          <w:rStyle w:val="26"/>
          <w:rFonts w:hint="eastAsia" w:ascii="Times New Roman" w:hAnsi="Times New Roman" w:eastAsia="黑体" w:cs="Times New Roman"/>
          <w:b w:val="0"/>
        </w:rPr>
        <w:t>其他重要事项的情况说明</w:t>
      </w:r>
      <w:bookmarkEnd w:id="54"/>
      <w:bookmarkEnd w:id="55"/>
    </w:p>
    <w:p>
      <w:pPr>
        <w:spacing w:line="600" w:lineRule="exact"/>
        <w:ind w:firstLine="640" w:firstLineChars="200"/>
        <w:outlineLvl w:val="2"/>
        <w:rPr>
          <w:rFonts w:hint="eastAsia" w:ascii="楷体_GB2312" w:eastAsia="楷体_GB2312"/>
          <w:color w:val="000000"/>
          <w:sz w:val="32"/>
          <w:szCs w:val="32"/>
        </w:rPr>
      </w:pPr>
      <w:bookmarkStart w:id="56" w:name="_Toc15377222"/>
      <w:r>
        <w:rPr>
          <w:rFonts w:hint="eastAsia" w:ascii="楷体_GB2312" w:eastAsia="楷体_GB2312"/>
          <w:b w:val="0"/>
          <w:color w:val="000000"/>
          <w:sz w:val="32"/>
          <w:szCs w:val="32"/>
        </w:rPr>
        <w:t>（一）机关运行经费支出情况</w:t>
      </w:r>
      <w:bookmarkEnd w:id="56"/>
      <w:r>
        <w:rPr>
          <w:rFonts w:hint="eastAsia" w:ascii="楷体_GB2312" w:eastAsia="楷体_GB2312"/>
          <w:color w:val="000000"/>
          <w:sz w:val="32"/>
          <w:szCs w:val="32"/>
        </w:rPr>
        <w:t>。</w:t>
      </w:r>
    </w:p>
    <w:p>
      <w:pPr>
        <w:spacing w:line="60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sz w:val="32"/>
          <w:szCs w:val="32"/>
        </w:rPr>
        <w:t>2019</w:t>
      </w:r>
      <w:r>
        <w:rPr>
          <w:rFonts w:hint="eastAsia" w:eastAsia="仿宋_GB2312"/>
          <w:color w:val="000000"/>
          <w:sz w:val="32"/>
          <w:szCs w:val="32"/>
        </w:rPr>
        <w:t>年，市扶贫开发局机关运行经费支出88.71万元，比</w:t>
      </w:r>
      <w:r>
        <w:rPr>
          <w:rFonts w:eastAsia="仿宋_GB2312"/>
          <w:color w:val="000000"/>
          <w:sz w:val="32"/>
          <w:szCs w:val="32"/>
        </w:rPr>
        <w:t>2018</w:t>
      </w:r>
      <w:r>
        <w:rPr>
          <w:rFonts w:hint="eastAsia" w:eastAsia="仿宋_GB2312"/>
          <w:color w:val="000000"/>
          <w:sz w:val="32"/>
          <w:szCs w:val="32"/>
        </w:rPr>
        <w:t>年减少2.99万元，下降3.26</w:t>
      </w:r>
      <w:r>
        <w:rPr>
          <w:rFonts w:eastAsia="仿宋_GB2312"/>
          <w:color w:val="000000"/>
          <w:sz w:val="32"/>
          <w:szCs w:val="32"/>
        </w:rPr>
        <w:t>%</w:t>
      </w:r>
      <w:r>
        <w:rPr>
          <w:rFonts w:hint="eastAsia" w:eastAsia="仿宋_GB2312"/>
          <w:color w:val="000000"/>
          <w:sz w:val="32"/>
          <w:szCs w:val="32"/>
        </w:rPr>
        <w:t>。</w:t>
      </w:r>
      <w:r>
        <w:rPr>
          <w:rFonts w:hint="eastAsia" w:eastAsia="仿宋_GB2312"/>
          <w:color w:val="000000" w:themeColor="text1"/>
          <w:sz w:val="32"/>
          <w:szCs w:val="32"/>
          <w14:textFill>
            <w14:solidFill>
              <w14:schemeClr w14:val="tx1"/>
            </w14:solidFill>
          </w14:textFill>
        </w:rPr>
        <w:t>主要原因是</w:t>
      </w:r>
      <w:r>
        <w:rPr>
          <w:rFonts w:hint="eastAsia" w:eastAsia="仿宋_GB2312"/>
          <w:color w:val="191919"/>
          <w:sz w:val="32"/>
          <w:szCs w:val="32"/>
        </w:rPr>
        <w:t>坚持厉行节约反对浪费的要求，统一压减相关费用。</w:t>
      </w:r>
    </w:p>
    <w:p>
      <w:pPr>
        <w:autoSpaceDE w:val="0"/>
        <w:autoSpaceDN w:val="0"/>
        <w:adjustRightInd w:val="0"/>
        <w:spacing w:line="600" w:lineRule="exact"/>
        <w:ind w:firstLine="640" w:firstLineChars="200"/>
        <w:jc w:val="left"/>
        <w:outlineLvl w:val="2"/>
        <w:rPr>
          <w:rFonts w:hint="eastAsia" w:ascii="楷体_GB2312" w:eastAsia="楷体_GB2312"/>
          <w:b w:val="0"/>
          <w:color w:val="000000"/>
          <w:sz w:val="32"/>
          <w:szCs w:val="32"/>
        </w:rPr>
      </w:pPr>
      <w:bookmarkStart w:id="57" w:name="_Toc15377223"/>
      <w:r>
        <w:rPr>
          <w:rFonts w:hint="eastAsia" w:ascii="楷体_GB2312" w:eastAsia="楷体_GB2312"/>
          <w:b w:val="0"/>
          <w:color w:val="000000"/>
          <w:sz w:val="32"/>
          <w:szCs w:val="32"/>
        </w:rPr>
        <w:t>（二）政府采购支出情况</w:t>
      </w:r>
      <w:bookmarkEnd w:id="57"/>
      <w:r>
        <w:rPr>
          <w:rFonts w:hint="eastAsia" w:ascii="楷体_GB2312" w:eastAsia="楷体_GB2312"/>
          <w:color w:val="000000"/>
          <w:sz w:val="32"/>
          <w:szCs w:val="32"/>
        </w:rPr>
        <w:t>。</w:t>
      </w:r>
    </w:p>
    <w:p>
      <w:pPr>
        <w:spacing w:line="600" w:lineRule="exact"/>
        <w:ind w:firstLine="640" w:firstLineChars="20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市扶贫开发局政府采购支出总额2.07万元，其中：政府采购货物支出2.07万元。主要用于采购3台笔记本，用于凉山自发搬迁贫困人口精准扶贫精准脱贫工作的开展。授予中小企业合同金额2.07万元，占政府采购支出总额的100</w:t>
      </w:r>
      <w:r>
        <w:rPr>
          <w:rFonts w:eastAsia="仿宋_GB2312"/>
          <w:color w:val="000000"/>
          <w:sz w:val="32"/>
          <w:szCs w:val="32"/>
        </w:rPr>
        <w:t>%</w:t>
      </w:r>
      <w:r>
        <w:rPr>
          <w:rFonts w:hint="eastAsia" w:eastAsia="仿宋_GB2312"/>
          <w:color w:val="000000"/>
          <w:sz w:val="32"/>
          <w:szCs w:val="32"/>
        </w:rPr>
        <w:t>，其中：授予小微企业合同金额0万元，占政府采购支出总额的0</w:t>
      </w:r>
      <w:r>
        <w:rPr>
          <w:rFonts w:eastAsia="仿宋_GB2312"/>
          <w:color w:val="000000"/>
          <w:sz w:val="32"/>
          <w:szCs w:val="32"/>
        </w:rPr>
        <w:t>%</w:t>
      </w:r>
      <w:r>
        <w:rPr>
          <w:rFonts w:hint="eastAsia" w:eastAsia="仿宋_GB2312"/>
          <w:color w:val="000000"/>
          <w:sz w:val="32"/>
          <w:szCs w:val="32"/>
        </w:rPr>
        <w:t>。</w:t>
      </w:r>
    </w:p>
    <w:p>
      <w:pPr>
        <w:autoSpaceDE w:val="0"/>
        <w:autoSpaceDN w:val="0"/>
        <w:adjustRightInd w:val="0"/>
        <w:spacing w:line="600" w:lineRule="exact"/>
        <w:ind w:firstLine="640" w:firstLineChars="200"/>
        <w:jc w:val="left"/>
        <w:outlineLvl w:val="2"/>
        <w:rPr>
          <w:rFonts w:hint="eastAsia" w:ascii="楷体_GB2312" w:eastAsia="楷体_GB2312"/>
          <w:b w:val="0"/>
          <w:color w:val="000000"/>
          <w:sz w:val="32"/>
          <w:szCs w:val="32"/>
        </w:rPr>
      </w:pPr>
      <w:bookmarkStart w:id="58" w:name="_Toc15377224"/>
      <w:r>
        <w:rPr>
          <w:rFonts w:hint="eastAsia" w:ascii="楷体_GB2312" w:eastAsia="楷体_GB2312"/>
          <w:b w:val="0"/>
          <w:color w:val="000000"/>
          <w:sz w:val="32"/>
          <w:szCs w:val="32"/>
        </w:rPr>
        <w:t>（三）国有资产占有使用情况</w:t>
      </w:r>
      <w:bookmarkEnd w:id="58"/>
      <w:r>
        <w:rPr>
          <w:rFonts w:hint="eastAsia" w:ascii="楷体_GB2312" w:eastAsia="楷体_GB2312"/>
          <w:color w:val="000000"/>
          <w:sz w:val="32"/>
          <w:szCs w:val="32"/>
        </w:rPr>
        <w:t>。</w:t>
      </w:r>
    </w:p>
    <w:p>
      <w:pPr>
        <w:autoSpaceDE w:val="0"/>
        <w:autoSpaceDN w:val="0"/>
        <w:adjustRightInd w:val="0"/>
        <w:spacing w:line="600" w:lineRule="exact"/>
        <w:ind w:firstLine="640" w:firstLineChars="200"/>
        <w:jc w:val="left"/>
        <w:rPr>
          <w:rFonts w:eastAsia="仿宋"/>
          <w:b/>
          <w:color w:val="FF0000"/>
          <w:sz w:val="32"/>
          <w:szCs w:val="32"/>
        </w:rPr>
      </w:pPr>
      <w:r>
        <w:rPr>
          <w:rFonts w:hint="eastAsia" w:eastAsia="仿宋_GB2312"/>
          <w:color w:val="000000"/>
          <w:sz w:val="32"/>
          <w:szCs w:val="32"/>
        </w:rPr>
        <w:t>截至</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w:t>
      </w:r>
      <w:r>
        <w:rPr>
          <w:rFonts w:eastAsia="仿宋_GB2312"/>
          <w:color w:val="000000"/>
          <w:sz w:val="32"/>
          <w:szCs w:val="32"/>
        </w:rPr>
        <w:t>31</w:t>
      </w:r>
      <w:r>
        <w:rPr>
          <w:rFonts w:hint="eastAsia" w:eastAsia="仿宋_GB2312"/>
          <w:color w:val="000000"/>
          <w:sz w:val="32"/>
          <w:szCs w:val="32"/>
        </w:rPr>
        <w:t>日，市扶贫开发局共有车辆1辆，其中：主要领导干部用车0辆、机要通信用车0辆、应急保障用车1辆、其他用车0辆</w:t>
      </w:r>
      <w:r>
        <w:rPr>
          <w:rFonts w:hint="eastAsia" w:eastAsia="仿宋_GB2312"/>
          <w:color w:val="000000" w:themeColor="text1"/>
          <w:sz w:val="32"/>
          <w:szCs w:val="32"/>
          <w14:textFill>
            <w14:solidFill>
              <w14:schemeClr w14:val="tx1"/>
            </w14:solidFill>
          </w14:textFill>
        </w:rPr>
        <w:t>。单价</w:t>
      </w:r>
      <w:r>
        <w:rPr>
          <w:rFonts w:eastAsia="仿宋_GB2312"/>
          <w:color w:val="000000" w:themeColor="text1"/>
          <w:sz w:val="32"/>
          <w:szCs w:val="32"/>
          <w14:textFill>
            <w14:solidFill>
              <w14:schemeClr w14:val="tx1"/>
            </w14:solidFill>
          </w14:textFill>
        </w:rPr>
        <w:t>50</w:t>
      </w:r>
      <w:r>
        <w:rPr>
          <w:rFonts w:hint="eastAsia" w:eastAsia="仿宋_GB2312"/>
          <w:color w:val="000000" w:themeColor="text1"/>
          <w:sz w:val="32"/>
          <w:szCs w:val="32"/>
          <w14:textFill>
            <w14:solidFill>
              <w14:schemeClr w14:val="tx1"/>
            </w14:solidFill>
          </w14:textFill>
        </w:rPr>
        <w:t>万元以上通用设备0台（套），单价</w:t>
      </w:r>
      <w:r>
        <w:rPr>
          <w:rFonts w:eastAsia="仿宋_GB2312"/>
          <w:color w:val="000000" w:themeColor="text1"/>
          <w:sz w:val="32"/>
          <w:szCs w:val="32"/>
          <w14:textFill>
            <w14:solidFill>
              <w14:schemeClr w14:val="tx1"/>
            </w14:solidFill>
          </w14:textFill>
        </w:rPr>
        <w:t>100</w:t>
      </w:r>
      <w:r>
        <w:rPr>
          <w:rFonts w:hint="eastAsia" w:eastAsia="仿宋_GB2312"/>
          <w:color w:val="000000"/>
          <w:sz w:val="32"/>
          <w:szCs w:val="32"/>
        </w:rPr>
        <w:t>万元以上专用设备0台（套）。</w:t>
      </w:r>
    </w:p>
    <w:p>
      <w:pPr>
        <w:autoSpaceDE w:val="0"/>
        <w:autoSpaceDN w:val="0"/>
        <w:adjustRightInd w:val="0"/>
        <w:spacing w:line="600" w:lineRule="exact"/>
        <w:ind w:firstLine="640" w:firstLineChars="200"/>
        <w:jc w:val="left"/>
        <w:outlineLvl w:val="2"/>
        <w:rPr>
          <w:rFonts w:hint="eastAsia" w:ascii="楷体_GB2312" w:eastAsia="楷体_GB2312"/>
          <w:b w:val="0"/>
          <w:color w:val="000000"/>
          <w:sz w:val="32"/>
          <w:szCs w:val="32"/>
        </w:rPr>
      </w:pPr>
      <w:r>
        <w:rPr>
          <w:rFonts w:hint="eastAsia" w:ascii="楷体_GB2312" w:eastAsia="楷体_GB2312"/>
          <w:b w:val="0"/>
          <w:color w:val="000000"/>
          <w:sz w:val="32"/>
          <w:szCs w:val="32"/>
        </w:rPr>
        <w:t>（四）预算绩效管理情况。</w:t>
      </w:r>
    </w:p>
    <w:p>
      <w:pPr>
        <w:spacing w:line="580" w:lineRule="exact"/>
        <w:ind w:firstLine="640" w:firstLineChars="200"/>
        <w:rPr>
          <w:rFonts w:eastAsia="仿宋_GB2312"/>
          <w:sz w:val="32"/>
          <w:szCs w:val="32"/>
        </w:rPr>
      </w:pPr>
      <w:r>
        <w:rPr>
          <w:rFonts w:hint="eastAsia" w:eastAsia="仿宋_GB2312"/>
          <w:sz w:val="32"/>
          <w:szCs w:val="32"/>
        </w:rPr>
        <w:t>根据预算绩效管理要求，本部门（单位）在年初预算编制阶段，组织对</w:t>
      </w:r>
      <w:r>
        <w:rPr>
          <w:rFonts w:hint="eastAsia" w:ascii="仿宋_GB2312" w:hAnsi="仿宋_GB2312" w:eastAsia="仿宋_GB2312" w:cs="仿宋_GB2312"/>
          <w:sz w:val="32"/>
          <w:szCs w:val="32"/>
        </w:rPr>
        <w:t>财政专项</w:t>
      </w:r>
      <w:r>
        <w:rPr>
          <w:rFonts w:hint="eastAsia" w:eastAsia="仿宋_GB2312"/>
          <w:sz w:val="32"/>
          <w:szCs w:val="32"/>
        </w:rPr>
        <w:t>项目开展了预算事前绩效评估，对4个项目编制了绩效目标，预算执行过程中，选取3个项目开展绩效监控，年终执行完毕后，对7个项目开展了绩效目标完成情况自评。</w:t>
      </w:r>
    </w:p>
    <w:p>
      <w:pPr>
        <w:spacing w:line="576" w:lineRule="exact"/>
        <w:ind w:firstLine="640" w:firstLineChars="200"/>
        <w:rPr>
          <w:rFonts w:eastAsia="仿宋_GB2312"/>
          <w:sz w:val="32"/>
          <w:szCs w:val="32"/>
        </w:rPr>
      </w:pPr>
      <w:r>
        <w:rPr>
          <w:rFonts w:hint="eastAsia" w:eastAsia="仿宋_GB2312"/>
          <w:sz w:val="32"/>
          <w:szCs w:val="32"/>
        </w:rPr>
        <w:t>本部门按要求对</w:t>
      </w:r>
      <w:r>
        <w:rPr>
          <w:rFonts w:eastAsia="仿宋_GB2312"/>
          <w:sz w:val="32"/>
          <w:szCs w:val="32"/>
        </w:rPr>
        <w:t>2019</w:t>
      </w:r>
      <w:r>
        <w:rPr>
          <w:rFonts w:hint="eastAsia" w:eastAsia="仿宋_GB2312"/>
          <w:sz w:val="32"/>
          <w:szCs w:val="32"/>
        </w:rPr>
        <w:t>年部门整体支出开展绩效自评，从评价情况来看</w:t>
      </w:r>
      <w:r>
        <w:rPr>
          <w:rFonts w:hint="eastAsia" w:ascii="仿宋_GB2312" w:hAnsi="仿宋_GB2312" w:eastAsia="仿宋_GB2312" w:cs="仿宋_GB2312"/>
          <w:sz w:val="32"/>
          <w:szCs w:val="32"/>
        </w:rPr>
        <w:t>7个绩效目标全部完成，</w:t>
      </w:r>
      <w:r>
        <w:rPr>
          <w:rFonts w:hint="eastAsia" w:ascii="仿宋_GB2312" w:hAnsi="仿宋_GB2312" w:eastAsia="仿宋_GB2312" w:cs="仿宋_GB2312"/>
          <w:sz w:val="32"/>
          <w:szCs w:val="32"/>
          <w:lang w:val="zh-CN"/>
        </w:rPr>
        <w:t>基本保障了我单位的机构运转和职能工作的推进，完成了市委市政府确定的目标任务和年度重点工作。</w:t>
      </w:r>
      <w:r>
        <w:rPr>
          <w:rFonts w:hint="eastAsia" w:ascii="仿宋_GB2312" w:hAnsi="仿宋_GB2312" w:eastAsia="仿宋_GB2312" w:cs="仿宋_GB2312"/>
          <w:sz w:val="32"/>
          <w:szCs w:val="32"/>
        </w:rPr>
        <w:t>本部门还自行组织了1个项目绩效评价，从评价情况来看绩效目标全部完成。</w:t>
      </w:r>
    </w:p>
    <w:p>
      <w:pPr>
        <w:overflowPunct w:val="0"/>
        <w:topLinePunct/>
        <w:spacing w:line="580" w:lineRule="exact"/>
        <w:ind w:firstLine="640" w:firstLineChars="200"/>
        <w:jc w:val="left"/>
        <w:rPr>
          <w:rFonts w:eastAsia="仿宋_GB2312"/>
          <w:color w:val="FF0000"/>
          <w:sz w:val="32"/>
          <w:szCs w:val="32"/>
        </w:rPr>
      </w:pPr>
      <w:r>
        <w:rPr>
          <w:rFonts w:ascii="仿宋_GB2312" w:hAnsi="仿宋_GB2312" w:eastAsia="仿宋_GB2312" w:cs="仿宋_GB2312"/>
          <w:sz w:val="32"/>
          <w:szCs w:val="32"/>
          <w:lang w:val="zh-CN"/>
        </w:rPr>
        <w:t>1.</w:t>
      </w:r>
      <w:r>
        <w:rPr>
          <w:rFonts w:hint="eastAsia" w:ascii="仿宋_GB2312" w:hAnsi="仿宋_GB2312" w:eastAsia="仿宋_GB2312" w:cs="仿宋_GB2312"/>
          <w:sz w:val="32"/>
          <w:szCs w:val="32"/>
          <w:lang w:val="zh-CN"/>
        </w:rPr>
        <w:t>项目绩效目标完成情况。</w:t>
      </w:r>
      <w:r>
        <w:rPr>
          <w:rFonts w:eastAsia="楷体_GB2312"/>
          <w:sz w:val="32"/>
          <w:szCs w:val="32"/>
        </w:rPr>
        <w:br w:type="textWrapping"/>
      </w:r>
      <w:r>
        <w:rPr>
          <w:rFonts w:eastAsia="仿宋_GB2312"/>
          <w:sz w:val="32"/>
          <w:szCs w:val="32"/>
        </w:rPr>
        <w:t xml:space="preserve">    </w:t>
      </w:r>
      <w:r>
        <w:rPr>
          <w:rFonts w:hint="eastAsia" w:eastAsia="仿宋_GB2312"/>
          <w:sz w:val="32"/>
          <w:szCs w:val="32"/>
        </w:rPr>
        <w:t>本部门在</w:t>
      </w:r>
      <w:r>
        <w:rPr>
          <w:rFonts w:eastAsia="仿宋_GB2312"/>
          <w:sz w:val="32"/>
          <w:szCs w:val="32"/>
        </w:rPr>
        <w:t>2019</w:t>
      </w:r>
      <w:r>
        <w:rPr>
          <w:rFonts w:hint="eastAsia" w:eastAsia="仿宋_GB2312"/>
          <w:sz w:val="32"/>
          <w:szCs w:val="32"/>
        </w:rPr>
        <w:t>年度部门决算中反映四川省扶贫基金会攀枝花分会运行经费、脱贫攻坚干部及绩效评价培训、社会扶贫资金项目审计、扶贫信息视频系统维护费、</w:t>
      </w:r>
      <w:r>
        <w:rPr>
          <w:rFonts w:hint="eastAsia" w:ascii="仿宋_GB2312" w:hAnsi="仿宋_GB2312" w:eastAsia="仿宋_GB2312" w:cs="仿宋_GB2312"/>
          <w:sz w:val="32"/>
          <w:szCs w:val="32"/>
        </w:rPr>
        <w:t>业务运行经费</w:t>
      </w:r>
      <w:r>
        <w:rPr>
          <w:rFonts w:hint="eastAsia" w:eastAsia="仿宋_GB2312"/>
          <w:sz w:val="32"/>
          <w:szCs w:val="32"/>
        </w:rPr>
        <w:t>等5个项目绩效目标实际完成情况。</w:t>
      </w:r>
    </w:p>
    <w:p>
      <w:pPr>
        <w:overflowPunct w:val="0"/>
        <w:topLinePunct/>
        <w:spacing w:line="580" w:lineRule="exact"/>
        <w:ind w:firstLine="640" w:firstLineChars="200"/>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）四川省扶贫基金会攀枝花分会运行经费项目绩效目标完成情况综述。项目全年预算数15万元，执行数为14.4万元，完成预算的96</w:t>
      </w:r>
      <w:r>
        <w:rPr>
          <w:rFonts w:eastAsia="仿宋_GB2312"/>
          <w:sz w:val="32"/>
          <w:szCs w:val="32"/>
        </w:rPr>
        <w:t>%</w:t>
      </w:r>
      <w:r>
        <w:rPr>
          <w:rFonts w:hint="eastAsia" w:eastAsia="仿宋_GB2312"/>
          <w:sz w:val="32"/>
          <w:szCs w:val="32"/>
        </w:rPr>
        <w:t>。通过项目实施，较好地完成了2019年初设定的工作任务，基金会业务得到有序开展，到年底完成全部项目的100%。全面推进四川省扶贫基金会攀枝花市分会社扶工作的开展，项目社会效益和经济效益明显，达到了预期效果。发现的主要问题：预算编制不够明确和细化，预算执行力度还要进一步加强。下一步改进措施：</w:t>
      </w:r>
      <w:r>
        <w:rPr>
          <w:rFonts w:hint="eastAsia" w:eastAsia="仿宋_GB2312"/>
          <w:sz w:val="32"/>
          <w:szCs w:val="32"/>
          <w:lang w:val="zh-CN"/>
        </w:rPr>
        <w:t>提升项目管理实施人员的业务能力，科学编制项目预算，提高项目实施精细化管理水平，发挥单位项目支出效益最大化。</w:t>
      </w:r>
    </w:p>
    <w:p>
      <w:pPr>
        <w:spacing w:line="580" w:lineRule="exact"/>
        <w:ind w:firstLine="640" w:firstLineChars="200"/>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）脱贫攻坚干部及绩效评价培训项目绩效目标完成情况综述。项目全年预算数25万元，执行数为17.83万元，完成预算的71.32</w:t>
      </w:r>
      <w:r>
        <w:rPr>
          <w:rFonts w:eastAsia="仿宋_GB2312"/>
          <w:sz w:val="32"/>
          <w:szCs w:val="32"/>
        </w:rPr>
        <w:t>%</w:t>
      </w:r>
      <w:r>
        <w:rPr>
          <w:rFonts w:hint="eastAsia" w:eastAsia="仿宋_GB2312"/>
          <w:sz w:val="32"/>
          <w:szCs w:val="32"/>
        </w:rPr>
        <w:t>。通过项目实施，较好地完成了2019年脱贫攻坚干部培训工作，有效提高了参加培训人员的工作能力和职业技术水平，提升了脱贫攻坚工作实效。发现的主要问题：项目下达后，项目实施准备不充分，项目推进不及时。下一步改进措施：对项目实施进行监控，</w:t>
      </w:r>
      <w:r>
        <w:rPr>
          <w:rFonts w:hint="eastAsia" w:eastAsia="仿宋_GB2312"/>
          <w:sz w:val="32"/>
          <w:szCs w:val="32"/>
          <w:lang w:val="zh-CN"/>
        </w:rPr>
        <w:t>提升项目管理实施人员的业务能力，</w:t>
      </w:r>
      <w:r>
        <w:rPr>
          <w:rFonts w:hint="eastAsia" w:eastAsia="仿宋_GB2312"/>
          <w:sz w:val="32"/>
          <w:szCs w:val="32"/>
        </w:rPr>
        <w:t>加快推进项目实施，</w:t>
      </w:r>
      <w:r>
        <w:rPr>
          <w:rFonts w:hint="eastAsia" w:eastAsia="仿宋_GB2312"/>
          <w:sz w:val="32"/>
          <w:szCs w:val="32"/>
          <w:lang w:val="zh-CN"/>
        </w:rPr>
        <w:t>发挥单位项目支出效益最大化</w:t>
      </w:r>
      <w:r>
        <w:rPr>
          <w:rFonts w:hint="eastAsia" w:eastAsia="仿宋_GB2312"/>
          <w:sz w:val="32"/>
          <w:szCs w:val="32"/>
        </w:rPr>
        <w:t>。</w:t>
      </w:r>
    </w:p>
    <w:p>
      <w:pPr>
        <w:overflowPunct w:val="0"/>
        <w:topLinePunct/>
        <w:spacing w:line="580" w:lineRule="exact"/>
        <w:ind w:firstLine="640" w:firstLineChars="200"/>
        <w:jc w:val="left"/>
        <w:rPr>
          <w:rFonts w:ascii="仿宋" w:hAnsi="仿宋" w:eastAsia="仿宋" w:cs="仿宋_GB2312"/>
          <w:sz w:val="32"/>
          <w:szCs w:val="32"/>
          <w:lang w:val="zh-CN"/>
        </w:rPr>
      </w:pPr>
      <w:r>
        <w:rPr>
          <w:rFonts w:hint="eastAsia" w:eastAsia="仿宋_GB2312"/>
          <w:sz w:val="32"/>
          <w:szCs w:val="32"/>
        </w:rPr>
        <w:t>（</w:t>
      </w:r>
      <w:r>
        <w:rPr>
          <w:rFonts w:eastAsia="仿宋_GB2312"/>
          <w:sz w:val="32"/>
          <w:szCs w:val="32"/>
        </w:rPr>
        <w:t>3</w:t>
      </w:r>
      <w:r>
        <w:rPr>
          <w:rFonts w:hint="eastAsia" w:eastAsia="仿宋_GB2312"/>
          <w:sz w:val="32"/>
          <w:szCs w:val="32"/>
        </w:rPr>
        <w:t>）社会扶贫资金项目审计绩效目标完成情况综述。项目全年预算数5万元，执行数为4.94万元，完成预算的98.8</w:t>
      </w:r>
      <w:r>
        <w:rPr>
          <w:rFonts w:eastAsia="仿宋_GB2312"/>
          <w:sz w:val="32"/>
          <w:szCs w:val="32"/>
        </w:rPr>
        <w:t>%</w:t>
      </w:r>
      <w:r>
        <w:rPr>
          <w:rFonts w:hint="eastAsia" w:eastAsia="仿宋_GB2312"/>
          <w:sz w:val="32"/>
          <w:szCs w:val="32"/>
        </w:rPr>
        <w:t>。通过项目实施，完成了社会扶贫资金项目第三方审计工作，项目审计覆盖率达100%，有效提升了脱贫攻坚工作的影响力和公信力。发现的主要问题：扶贫资金项目多，工作量大，需要</w:t>
      </w:r>
      <w:r>
        <w:rPr>
          <w:rFonts w:hint="eastAsia" w:ascii="仿宋_GB2312" w:hAnsi="仿宋_GB2312" w:eastAsia="仿宋_GB2312" w:cs="仿宋_GB2312"/>
          <w:sz w:val="32"/>
          <w:szCs w:val="32"/>
        </w:rPr>
        <w:t>密切跟踪对接，确保资金到位，严格考核，落实资金使用监管，财政可适量下达确保工作开展的人员经费</w:t>
      </w:r>
      <w:r>
        <w:rPr>
          <w:rFonts w:hint="eastAsia" w:eastAsia="仿宋_GB2312"/>
          <w:sz w:val="32"/>
          <w:szCs w:val="32"/>
        </w:rPr>
        <w:t>。下一步改进措施：</w:t>
      </w:r>
      <w:r>
        <w:rPr>
          <w:rFonts w:hint="eastAsia" w:ascii="仿宋" w:hAnsi="仿宋" w:eastAsia="仿宋" w:cs="仿宋_GB2312"/>
          <w:sz w:val="32"/>
          <w:szCs w:val="32"/>
          <w:lang w:val="zh-CN"/>
        </w:rPr>
        <w:t>按照下达我局的目标工作任务，建议增加人员工作经费的财政预算，提高资金审计项目开展的效率。</w:t>
      </w:r>
    </w:p>
    <w:p>
      <w:pPr>
        <w:overflowPunct w:val="0"/>
        <w:topLinePunct/>
        <w:spacing w:line="580" w:lineRule="exact"/>
        <w:ind w:firstLine="640" w:firstLineChars="200"/>
        <w:jc w:val="left"/>
        <w:rPr>
          <w:rFonts w:eastAsia="仿宋_GB2312"/>
          <w:color w:val="000000"/>
          <w:sz w:val="32"/>
          <w:szCs w:val="32"/>
        </w:rPr>
      </w:pPr>
      <w:r>
        <w:rPr>
          <w:rFonts w:hint="eastAsia" w:eastAsia="仿宋_GB2312"/>
          <w:sz w:val="32"/>
          <w:szCs w:val="32"/>
        </w:rPr>
        <w:t>（4）扶贫信息视频系统维护费项目绩效目标完成情况综述。项目全年预算数7.1万元，执行数为7.1万元，完成预算的100</w:t>
      </w:r>
      <w:r>
        <w:rPr>
          <w:rFonts w:eastAsia="仿宋_GB2312"/>
          <w:sz w:val="32"/>
          <w:szCs w:val="32"/>
        </w:rPr>
        <w:t>%</w:t>
      </w:r>
      <w:r>
        <w:rPr>
          <w:rFonts w:hint="eastAsia" w:eastAsia="仿宋_GB2312"/>
          <w:sz w:val="32"/>
          <w:szCs w:val="32"/>
        </w:rPr>
        <w:t>。通过项目实施，完成了扶贫信息视频系统的日常维护工作，确保了全市扶贫信息视频系统的顺畅运行，保障了视频会议的正常开展，提升了脱贫攻坚工作的效率，并节约了会议费的相应开支。</w:t>
      </w:r>
    </w:p>
    <w:p>
      <w:pPr>
        <w:widowControl/>
        <w:shd w:val="clear" w:color="auto" w:fill="FFFFFF"/>
        <w:spacing w:line="576" w:lineRule="exact"/>
        <w:ind w:firstLine="640" w:firstLineChars="200"/>
        <w:jc w:val="left"/>
        <w:rPr>
          <w:rFonts w:ascii="仿宋_GB2312" w:hAnsi="仿宋_GB2312" w:eastAsia="仿宋_GB2312" w:cs="仿宋_GB2312"/>
          <w:sz w:val="32"/>
          <w:szCs w:val="32"/>
          <w:lang w:val="zh-CN"/>
        </w:rPr>
      </w:pPr>
      <w:r>
        <w:rPr>
          <w:rFonts w:hint="eastAsia" w:eastAsia="仿宋_GB2312"/>
          <w:sz w:val="32"/>
          <w:szCs w:val="32"/>
        </w:rPr>
        <w:t>（5）</w:t>
      </w:r>
      <w:r>
        <w:rPr>
          <w:rFonts w:hint="eastAsia" w:ascii="仿宋_GB2312" w:hAnsi="仿宋_GB2312" w:eastAsia="仿宋_GB2312" w:cs="仿宋_GB2312"/>
          <w:sz w:val="32"/>
          <w:szCs w:val="32"/>
        </w:rPr>
        <w:t>业务运行经费项目绩效目标完成情况综述。项目全年预算数18.9万元，执行数为17.48万元，完成预算的100%。通过项目实施，保障了机关日常办公支出，确保了单位机构运转效率</w:t>
      </w:r>
      <w:r>
        <w:rPr>
          <w:rFonts w:hint="eastAsia" w:ascii="仿宋_GB2312"/>
          <w:szCs w:val="32"/>
        </w:rPr>
        <w:t>。</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val="zh-CN"/>
        </w:rPr>
        <w:t>预算经费不能满足我局承担的全市扶贫开发、大中型水利水电工程移民、采空沉陷区综合治理职能工作需要要，机构运转压力较大。</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zh-CN"/>
        </w:rPr>
        <w:t>充分考虑脱贫攻坚、大中型水利水电工程移民、采空沉陷区综合治理职能工作需要要，适当加大预算投入。</w:t>
      </w:r>
    </w:p>
    <w:p>
      <w:pPr>
        <w:spacing w:line="580" w:lineRule="exact"/>
        <w:ind w:firstLine="640" w:firstLineChars="200"/>
        <w:rPr>
          <w:rFonts w:eastAsia="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四川省扶贫基金会攀枝花市分会运行经费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攀枝花市扶贫开发局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14.4</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14.4</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为四川省基金会攀枝花分会开展社会扶贫工作提供机构运行保障，加强社扶资金方案编制、公示公告、实施项目的评估验收等方面的工作</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完成了四川省基金会攀枝花分会开展社会扶贫工作提供机构运行保障，加强社扶资金方案编制、公示公告、实施项目的评估验收等方面的工作</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分会工作人员聘用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2人</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分会日常公用经费、公示公告、项目验收等</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按照年度工作安排推进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提升基金会社会扶贫工作管理水平</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规范社会扶贫资金项目管理及验收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提升了基金会社会扶贫工作管理水平，规范社会扶贫资金项目管理及验收</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聘用人员经费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按月执行，2019年1月-12月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分会运行经费，按工作计划和年度工作任务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2019年12月之前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聘用工作人员2人</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按照签订的用工合同执行，用于保障聘用人员的工资、社保、医保、公积金方面的支出，全年共计14.3万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因其中一人离职，全年共支出13.7万元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分会日常公用经费，公示公告、项目管理与验收工作经费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按工作计划推进，全年共计0.7万元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按工作计划推进，全年共计支出0.7万元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全面推进分会社扶工作的开展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全面推进分会社会扶贫工作的开展，有效提高社会资金实施项目的管理水平，助力我市脱贫攻坚工作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已按要求完成社会扶贫工作的开展，提高了社会资金实施项目管理水平，助力我市脱贫攻坚工作的开展</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定向捐赠贫困村和贫困户满意度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r>
    </w:tbl>
    <w:p>
      <w:pPr>
        <w:spacing w:line="580" w:lineRule="exact"/>
        <w:ind w:left="630"/>
        <w:rPr>
          <w:rFonts w:eastAsia="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脱贫攻坚干部及绩效评价培训</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攀枝花市扶贫开发局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17.83</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17.83</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开展脱贫攻坚干部培训，开展财政扶贫资金绩效考评专项培训，有效提高参加培训各类人员的工作能力和职业技术水平，提高脱贫攻坚实效</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开展脱贫攻坚干部培训，开展财政扶贫资金绩效考评专项培训，有效提高参加培训各类人员的工作能力和职业技术水平，提高脱贫攻坚实效</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脱贫攻坚干部培训</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财政扶贫资金绩效培训</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1次</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扶贫干部培训率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2019年底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已按时完成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脱贫攻坚干部培训及财政扶贫资金绩效培训</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培训工作已完成，为节约开支，共计支出17.83万元。剩余经费7.17万元已由财政收回。</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提高脱贫攻坚社会影响力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有效提高参加培训各类人员的工作能力和职业技术水平，提高脱贫攻坚实效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有效提高参加培训各类人员的工作能力和职业技术水平，提高脱贫攻坚实效</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参训人员满意度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社会扶贫资金项目审计</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攀枝花市扶贫开发局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4.94</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4.94</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开展第三方审计工作，确保社会扶贫资金使用规范、合理，提高使用效率。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完成了第三方审计工作，确保了社会扶贫资金使用规范、合理，提高使用效率。</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社会扶贫资金项目进行审计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社会扶贫资金项目审计覆盖率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2019年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已按时完成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社会扶贫资金项目进行审计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审计工作已完成，为节约开支，共支出4.94万元，剩余经费0.06万元已由财政收回。</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提高脱贫攻坚社会影响力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确保社会扶贫资金使用规范、合理，提高使用效率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确保社会扶贫资金使用规范、合理，提高使用效率</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贫困人口满意度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扶贫信息视频系统维护费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攀枝花市扶贫开发局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保障扶贫信息视频系统日常维护，确保全市扶贫信息视频系统运行顺畅</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完成了扶贫信息视频系统日常维护，确保了全市扶贫信息视频系统运行顺畅</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扶贫信息视频系统日常维护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7*24小时故障处理、客服及远程技术支持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7*24小时故障处理、客服及远程技术支持</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确保全市扶贫信息视频系统运行顺畅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市本级、仁和区、米易县、盐边县扶贫信息视频系统运行顺畅</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市本级、仁和区、米易县、盐边县扶贫信息视频系统运行顺畅</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2019年底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已按时完成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扶贫信息视频系统日常维护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7.1万元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提高脱贫攻坚工作效率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有效提高脱贫攻坚工作效率，节约会议费开支，确保脱贫攻坚工作顺利开展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有效提高脱贫攻坚工作效率，节约会议费开支，确保脱贫攻坚工作顺利开展</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参会人员满意度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b/>
                <w:bCs/>
                <w:color w:val="000000"/>
                <w:kern w:val="0"/>
                <w:sz w:val="36"/>
                <w:szCs w:val="36"/>
              </w:rPr>
            </w:pPr>
          </w:p>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业务运行经费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攀枝花市扶贫开发局</w:t>
            </w:r>
          </w:p>
        </w:tc>
      </w:tr>
      <w:tr>
        <w:tblPrEx>
          <w:tblCellMar>
            <w:top w:w="0" w:type="dxa"/>
            <w:left w:w="0" w:type="dxa"/>
            <w:bottom w:w="0" w:type="dxa"/>
            <w:right w:w="0" w:type="dxa"/>
          </w:tblCellMar>
        </w:tblPrEx>
        <w:trPr>
          <w:trHeight w:val="227"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18.9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17.48</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18.9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17.48</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 xml:space="preserve">1、完成市委市政府下达的职能目标任务；2、为脱贫攻坚工作、全市大中型水利水电移民安置工作、大中型水利水电移民后期扶持等业务工作开展提供支撑；3、提高工作效率，为机关各项工作开展提供工作经费保障，为机关建设和人员能力提升创造好的环境，增强单位职工凝聚力和工作动力。                                      </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 xml:space="preserve">1、完成市委市政府下达的职能目标任务；2、为脱贫攻坚工作、全市大中型水利水电移民安置工作、大中型水利水电移民后期扶持等业务工作开展提供了支撑；3、提高工作效率，为机关各项工作开展提供工作经费保障，为机关建设和人员能力提升创造好的环境，增强了单位职工凝聚力和工作动力。                                      </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党刊报纸订阅费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按每年下达的各类征订任务约67份</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按要求完成了征订任务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办公用品及耗材采购费用，脱贫攻坚成果资料印刷费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每年采购约3批次，资料印刷3批次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按要求完成了采购、印刷任务</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防汛器材购置和防汛值班管理办法执行</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每年5月至10月汛期专项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执行防汛值班管理办法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日常工作经费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按管理办法执行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职能工作推进业务会议费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按照会议费管理办法执行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脱贫攻坚、后扶等项目督查、监督检查、信访处理费用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开展扶贫、移民、后扶、沉安等项目督查累计100次，按差旅费管理办法执行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已按实际工作开展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完成市委市政府下达的年度职能目标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全年职能工作按计划推进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2019年1-12月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党刊报纸订阅费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按各类报刊征订任务约67份，300元/份，全年合计2万元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完成各类报刊征订任务，共计支出2万元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办公用品及耗材采购费用，脱贫攻坚成果资料印刷费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办公耗材采购5批次，0.5万元每次，资料印刷4批次，每次0.5万元，合计2万元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完成办公耗材采购、资料印刷任务，共计支出2万元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防汛器材购置和防汛值班补助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5月-10月中旬汛期，购防汛器材0.3万元，防汛值班4.2万,总计4.5万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按需购买防汛器材，执行防汛值班管理办法共计支出4.5万元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日常工作经费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按照相关管理办法执行，全年共计6.9万元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根据工作安排，严格控制日常工作经费开支，全年共计支出6.3万元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职能工作推进业务会议费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按会议费管理办法执行，全年预计1万元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按会议费管理办法执行，全年共计支出1万元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脱贫攻坚、后扶等项目督查、监督检查、信访处理费用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累计人数及批次200，全年共计2万元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根据工作安排，严格控制日常工作经费开支，全年共计支出1.68万元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提供良好的履职基础，服务社会发展能力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完成全年工作任务，为脱贫攻坚工作等各项职能工作开展打下坚实基础</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提高社会稳定性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通过项目工作督查，指导区县有针对性改进工作，提升社会稳定性，提高群众满意度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社会效益</w:t>
            </w:r>
          </w:p>
          <w:p>
            <w:pPr>
              <w:widowControl/>
              <w:jc w:val="center"/>
              <w:textAlignment w:val="center"/>
              <w:rPr>
                <w:color w:val="000000"/>
                <w:sz w:val="24"/>
              </w:rPr>
            </w:pPr>
            <w:r>
              <w:rPr>
                <w:rFonts w:hint="eastAsia"/>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提升群众满意度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加强社会公众知晓度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已完成</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群众满意度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≥95%</w:t>
            </w:r>
          </w:p>
        </w:tc>
      </w:tr>
    </w:tbl>
    <w:p>
      <w:pPr>
        <w:spacing w:line="580" w:lineRule="exact"/>
        <w:ind w:left="630"/>
        <w:rPr>
          <w:rFonts w:eastAsia="仿宋_GB2312"/>
          <w:sz w:val="32"/>
          <w:szCs w:val="32"/>
        </w:rPr>
      </w:pPr>
    </w:p>
    <w:p>
      <w:pPr>
        <w:spacing w:line="580" w:lineRule="exact"/>
        <w:ind w:left="630"/>
        <w:rPr>
          <w:rFonts w:hint="eastAsia" w:ascii="仿宋_GB2312" w:eastAsia="仿宋_GB2312"/>
          <w:sz w:val="32"/>
          <w:szCs w:val="32"/>
        </w:rPr>
      </w:pPr>
      <w:r>
        <w:rPr>
          <w:rFonts w:hint="eastAsia" w:ascii="仿宋_GB2312" w:eastAsia="仿宋_GB2312"/>
          <w:sz w:val="32"/>
          <w:szCs w:val="32"/>
        </w:rPr>
        <w:t>2.部门绩效评价结果。</w:t>
      </w:r>
    </w:p>
    <w:p>
      <w:pPr>
        <w:spacing w:line="580" w:lineRule="exact"/>
        <w:ind w:firstLine="640" w:firstLineChars="200"/>
        <w:rPr>
          <w:rFonts w:eastAsia="仿宋_GB2312"/>
          <w:sz w:val="32"/>
          <w:szCs w:val="32"/>
        </w:rPr>
      </w:pPr>
      <w:r>
        <w:rPr>
          <w:rFonts w:hint="eastAsia" w:eastAsia="仿宋_GB2312"/>
          <w:sz w:val="32"/>
          <w:szCs w:val="32"/>
        </w:rPr>
        <w:t>本部门按要求对</w:t>
      </w:r>
      <w:r>
        <w:rPr>
          <w:rFonts w:eastAsia="仿宋_GB2312"/>
          <w:sz w:val="32"/>
          <w:szCs w:val="32"/>
        </w:rPr>
        <w:t>2019</w:t>
      </w:r>
      <w:r>
        <w:rPr>
          <w:rFonts w:hint="eastAsia" w:eastAsia="仿宋_GB2312"/>
          <w:sz w:val="32"/>
          <w:szCs w:val="32"/>
        </w:rPr>
        <w:t>年部门整体支出绩效评价情况开展自评，《攀枝花市扶贫开发局</w:t>
      </w:r>
      <w:r>
        <w:rPr>
          <w:rFonts w:eastAsia="仿宋_GB2312"/>
          <w:sz w:val="32"/>
          <w:szCs w:val="32"/>
        </w:rPr>
        <w:t>2019</w:t>
      </w:r>
      <w:r>
        <w:rPr>
          <w:rFonts w:hint="eastAsia" w:eastAsia="仿宋_GB2312"/>
          <w:sz w:val="32"/>
          <w:szCs w:val="32"/>
        </w:rPr>
        <w:t>年部门整体支出绩效评价报告》见附件（附件</w:t>
      </w:r>
      <w:r>
        <w:rPr>
          <w:rFonts w:eastAsia="仿宋_GB2312"/>
          <w:sz w:val="32"/>
          <w:szCs w:val="32"/>
        </w:rPr>
        <w:t>1</w:t>
      </w:r>
      <w:r>
        <w:rPr>
          <w:rFonts w:hint="eastAsia" w:eastAsia="仿宋_GB2312"/>
          <w:sz w:val="32"/>
          <w:szCs w:val="32"/>
        </w:rPr>
        <w:t>）。</w:t>
      </w:r>
    </w:p>
    <w:p>
      <w:pPr>
        <w:spacing w:line="580" w:lineRule="exact"/>
        <w:ind w:firstLine="640" w:firstLineChars="200"/>
        <w:rPr>
          <w:rFonts w:eastAsia="仿宋_GB2312"/>
          <w:b/>
          <w:color w:val="000000"/>
          <w:sz w:val="32"/>
          <w:szCs w:val="32"/>
        </w:rPr>
      </w:pPr>
      <w:r>
        <w:rPr>
          <w:rFonts w:hint="eastAsia" w:eastAsia="仿宋_GB2312"/>
          <w:sz w:val="32"/>
          <w:szCs w:val="32"/>
        </w:rPr>
        <w:t>本部门自行组织对市级财政专项扶贫资金开展了绩效评价，《攀枝花市扶贫开发局</w:t>
      </w:r>
      <w:r>
        <w:rPr>
          <w:rFonts w:eastAsia="仿宋_GB2312"/>
          <w:sz w:val="32"/>
          <w:szCs w:val="32"/>
        </w:rPr>
        <w:t>2019</w:t>
      </w:r>
      <w:r>
        <w:rPr>
          <w:rFonts w:hint="eastAsia" w:eastAsia="仿宋_GB2312"/>
          <w:sz w:val="32"/>
          <w:szCs w:val="32"/>
        </w:rPr>
        <w:t>年市级财政专项扶贫资金支出绩效评价报告》见附件（附件</w:t>
      </w:r>
      <w:r>
        <w:rPr>
          <w:rFonts w:eastAsia="仿宋_GB2312"/>
          <w:sz w:val="32"/>
          <w:szCs w:val="32"/>
        </w:rPr>
        <w:t>2</w:t>
      </w:r>
      <w:r>
        <w:rPr>
          <w:rFonts w:hint="eastAsia" w:eastAsia="仿宋_GB2312"/>
          <w:sz w:val="32"/>
          <w:szCs w:val="32"/>
        </w:rPr>
        <w:t>）。</w:t>
      </w:r>
    </w:p>
    <w:p>
      <w:pPr>
        <w:widowControl/>
        <w:jc w:val="left"/>
        <w:rPr>
          <w:rFonts w:eastAsia="仿宋_GB2312"/>
          <w:b/>
          <w:color w:val="000000"/>
          <w:sz w:val="32"/>
          <w:szCs w:val="32"/>
        </w:rPr>
      </w:pPr>
      <w:r>
        <w:rPr>
          <w:rFonts w:eastAsia="仿宋_GB2312"/>
          <w:b/>
          <w:color w:val="000000"/>
          <w:sz w:val="32"/>
          <w:szCs w:val="32"/>
        </w:rPr>
        <w:br w:type="page"/>
      </w:r>
    </w:p>
    <w:p>
      <w:pPr>
        <w:numPr>
          <w:ilvl w:val="0"/>
          <w:numId w:val="3"/>
        </w:numPr>
        <w:spacing w:line="600" w:lineRule="exact"/>
        <w:ind w:firstLine="0" w:firstLineChars="0"/>
        <w:jc w:val="center"/>
        <w:outlineLvl w:val="0"/>
        <w:rPr>
          <w:rStyle w:val="25"/>
          <w:rFonts w:eastAsia="黑体"/>
          <w:b w:val="0"/>
        </w:rPr>
      </w:pPr>
      <w:bookmarkStart w:id="59" w:name="_Toc15377225"/>
      <w:bookmarkStart w:id="60" w:name="_Toc15396613"/>
      <w:r>
        <w:rPr>
          <w:rFonts w:hint="eastAsia" w:eastAsia="黑体"/>
          <w:color w:val="000000"/>
          <w:sz w:val="44"/>
          <w:szCs w:val="44"/>
        </w:rPr>
        <w:t>名</w:t>
      </w:r>
      <w:r>
        <w:rPr>
          <w:rStyle w:val="25"/>
          <w:rFonts w:hint="eastAsia" w:eastAsia="黑体"/>
          <w:b w:val="0"/>
        </w:rPr>
        <w:t>词解释</w:t>
      </w:r>
      <w:bookmarkEnd w:id="59"/>
      <w:bookmarkEnd w:id="60"/>
    </w:p>
    <w:p>
      <w:pPr>
        <w:spacing w:line="600" w:lineRule="exact"/>
        <w:jc w:val="left"/>
        <w:rPr>
          <w:b/>
          <w:color w:val="000000"/>
          <w:sz w:val="44"/>
          <w:szCs w:val="44"/>
        </w:rPr>
      </w:pP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1.财政拨款收入：指单位从同级财政部门取得的财政预算资金。</w:t>
      </w:r>
    </w:p>
    <w:p>
      <w:pPr>
        <w:pStyle w:val="23"/>
        <w:spacing w:line="560" w:lineRule="exact"/>
        <w:ind w:firstLine="672" w:firstLineChars="210"/>
        <w:rPr>
          <w:rFonts w:ascii="仿宋_GB2312" w:eastAsia="仿宋_GB2312"/>
          <w:color w:val="auto"/>
          <w:sz w:val="32"/>
          <w:szCs w:val="32"/>
        </w:rPr>
      </w:pPr>
      <w:r>
        <w:rPr>
          <w:rFonts w:hint="eastAsia" w:ascii="仿宋_GB2312" w:eastAsia="仿宋_GB2312"/>
          <w:sz w:val="32"/>
          <w:szCs w:val="32"/>
        </w:rPr>
        <w:t>2.其他收入：指单位取得的除上述收入以外的各项收入。主要是</w:t>
      </w:r>
      <w:r>
        <w:rPr>
          <w:rFonts w:hint="eastAsia" w:ascii="仿宋_GB2312" w:eastAsia="仿宋_GB2312"/>
          <w:color w:val="auto"/>
          <w:sz w:val="32"/>
          <w:szCs w:val="32"/>
        </w:rPr>
        <w:t>财政下达的专项扶贫资金，用于脱贫攻坚退出验收考核第三方评估费用及脱贫攻坚宣传和扶贫人员培训费。</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 xml:space="preserve">3.年初结转和结余：指以前年度尚未完成、结转到本年按有关规定继续使用的资金。 </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4、年末结转和结余：指单位按有关规定结转到下年或以后年度继续使用的资金。</w:t>
      </w:r>
    </w:p>
    <w:p>
      <w:pPr>
        <w:spacing w:line="560" w:lineRule="exact"/>
        <w:ind w:firstLine="672" w:firstLineChars="210"/>
        <w:rPr>
          <w:rFonts w:ascii="仿宋_GB2312" w:eastAsia="仿宋_GB2312"/>
          <w:color w:val="FF0000"/>
          <w:sz w:val="32"/>
          <w:szCs w:val="32"/>
        </w:rPr>
      </w:pPr>
      <w:r>
        <w:rPr>
          <w:rFonts w:hint="eastAsia" w:ascii="仿宋_GB2312" w:eastAsia="仿宋_GB2312"/>
          <w:sz w:val="32"/>
          <w:szCs w:val="32"/>
        </w:rPr>
        <w:t>5.一般公共服务（类）</w:t>
      </w:r>
      <w:r>
        <w:rPr>
          <w:rFonts w:hint="eastAsia" w:ascii="仿宋_GB2312" w:hAnsi="Calibri" w:eastAsia="仿宋_GB2312" w:cs="仿宋"/>
          <w:color w:val="000000"/>
          <w:kern w:val="0"/>
          <w:sz w:val="32"/>
          <w:szCs w:val="32"/>
        </w:rPr>
        <w:t>组织事务（款）其他组织事务支出（项）：指其他用于中国共产党组织部门的事务支出。</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6.社会保障和就业（类）行政事业单位离退休（款）未归口管理的行政单位离退休（项）：指实行归口管理的行政单位开支的离退休支出;机关事业单位基本养老保险缴费支出（项）:指反映机关事业单位实施养老保险制度由单位缴纳的基本养老保险费支出;抚恤（款）死亡抚恤（项）：指按规定用于烈士和牺牲、病故人员家属的一次性和定期抚恤金以及丧葬补助费；社会福利（款）儿童福利（项）:指对儿童提供福利服务方面的支出。</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7.卫生健康支出（类）其他卫生健康支出（款）其他卫生健康支出（项）：反映其他用于卫生健康方面的支出。</w:t>
      </w:r>
    </w:p>
    <w:p>
      <w:pPr>
        <w:spacing w:line="560" w:lineRule="exact"/>
        <w:ind w:firstLine="672" w:firstLineChars="210"/>
        <w:rPr>
          <w:rFonts w:ascii="仿宋_GB2312" w:eastAsia="仿宋_GB2312"/>
          <w:color w:val="FF0000"/>
          <w:sz w:val="32"/>
          <w:szCs w:val="32"/>
        </w:rPr>
      </w:pPr>
      <w:r>
        <w:rPr>
          <w:rFonts w:hint="eastAsia" w:ascii="仿宋_GB2312" w:hAnsi="Calibri" w:eastAsia="仿宋_GB2312" w:cs="仿宋"/>
          <w:color w:val="000000"/>
          <w:kern w:val="0"/>
          <w:sz w:val="32"/>
          <w:szCs w:val="32"/>
        </w:rPr>
        <w:t>8.农林水支出（类）扶贫（款）行政运行（项）：指反映单位的基本支出；扶贫事业机构（项）:指扶贫事业单位基本支出；其他扶贫支出（项）:指其他用于扶贫方面的支出。</w:t>
      </w:r>
    </w:p>
    <w:p>
      <w:pPr>
        <w:spacing w:line="560" w:lineRule="exact"/>
        <w:ind w:firstLine="672" w:firstLineChars="210"/>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 xml:space="preserve">9.住房保障支出（类）住房改革支出（款）住房公积金（项）:指按人力资源和社会保障部、财政部规定的基本工资和津贴补贴以及规定比例为职工缴纳的住房公积金。 </w:t>
      </w:r>
    </w:p>
    <w:p>
      <w:pPr>
        <w:spacing w:line="560" w:lineRule="exact"/>
        <w:ind w:firstLine="672" w:firstLineChars="210"/>
        <w:rPr>
          <w:rFonts w:ascii="仿宋_GB2312" w:eastAsia="仿宋_GB2312"/>
          <w:color w:val="000000"/>
          <w:sz w:val="32"/>
          <w:szCs w:val="32"/>
        </w:rPr>
      </w:pPr>
      <w:r>
        <w:rPr>
          <w:rFonts w:hint="eastAsia" w:ascii="仿宋_GB2312" w:eastAsia="仿宋_GB2312"/>
          <w:color w:val="000000"/>
          <w:sz w:val="32"/>
          <w:szCs w:val="32"/>
        </w:rPr>
        <w:t>10.基本支出：指为保障机构正常运转、完成日常工作任务而发生的人员支出和公用支出。</w:t>
      </w:r>
    </w:p>
    <w:p>
      <w:pPr>
        <w:spacing w:line="560" w:lineRule="exact"/>
        <w:ind w:firstLine="672" w:firstLineChars="210"/>
        <w:rPr>
          <w:rFonts w:ascii="仿宋_GB2312" w:eastAsia="仿宋_GB2312"/>
          <w:color w:val="000000"/>
          <w:sz w:val="32"/>
          <w:szCs w:val="32"/>
        </w:rPr>
      </w:pPr>
      <w:r>
        <w:rPr>
          <w:rFonts w:hint="eastAsia" w:ascii="仿宋_GB2312" w:eastAsia="仿宋_GB2312"/>
          <w:color w:val="000000"/>
          <w:sz w:val="32"/>
          <w:szCs w:val="32"/>
        </w:rPr>
        <w:t xml:space="preserve">11.项目支出：指在基本支出之外为完成特定行政任务和事业发展目标所发生的支出。 </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12.“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72" w:firstLineChars="210"/>
        <w:rPr>
          <w:rFonts w:ascii="仿宋_GB2312" w:eastAsia="仿宋_GB2312"/>
          <w:sz w:val="32"/>
          <w:szCs w:val="32"/>
        </w:rPr>
      </w:pPr>
      <w:r>
        <w:rPr>
          <w:rFonts w:hint="eastAsia" w:ascii="仿宋_GB2312" w:eastAsia="仿宋_GB2312"/>
          <w:sz w:val="32"/>
          <w:szCs w:val="32"/>
        </w:rPr>
        <w:t>13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eastAsia="黑体"/>
          <w:b w:val="0"/>
        </w:rPr>
      </w:pPr>
      <w:bookmarkStart w:id="61" w:name="_Toc15377226"/>
      <w:r>
        <w:rPr>
          <w:b/>
          <w:color w:val="000000"/>
          <w:sz w:val="44"/>
          <w:szCs w:val="44"/>
        </w:rPr>
        <w:br w:type="page"/>
      </w:r>
      <w:bookmarkStart w:id="62" w:name="_Toc15396614"/>
      <w:r>
        <w:rPr>
          <w:rFonts w:hint="eastAsia" w:eastAsia="黑体"/>
          <w:color w:val="000000"/>
          <w:sz w:val="44"/>
          <w:szCs w:val="44"/>
        </w:rPr>
        <w:t>第</w:t>
      </w:r>
      <w:r>
        <w:rPr>
          <w:rStyle w:val="25"/>
          <w:rFonts w:hint="eastAsia" w:eastAsia="黑体"/>
          <w:b w:val="0"/>
        </w:rPr>
        <w:t>四部分</w:t>
      </w:r>
      <w:r>
        <w:rPr>
          <w:rStyle w:val="25"/>
          <w:rFonts w:eastAsia="黑体"/>
          <w:b w:val="0"/>
        </w:rPr>
        <w:t xml:space="preserve"> </w:t>
      </w:r>
      <w:r>
        <w:rPr>
          <w:rStyle w:val="25"/>
          <w:rFonts w:hint="eastAsia" w:eastAsia="黑体"/>
          <w:b w:val="0"/>
        </w:rPr>
        <w:t>附件</w:t>
      </w:r>
      <w:bookmarkEnd w:id="62"/>
    </w:p>
    <w:p>
      <w:pPr>
        <w:spacing w:line="600" w:lineRule="exact"/>
        <w:jc w:val="left"/>
        <w:outlineLvl w:val="0"/>
        <w:rPr>
          <w:rFonts w:eastAsia="方正小标宋简体"/>
          <w:sz w:val="32"/>
          <w:szCs w:val="32"/>
        </w:rPr>
      </w:pPr>
      <w:r>
        <w:rPr>
          <w:rFonts w:hint="eastAsia" w:eastAsia="黑体"/>
          <w:sz w:val="32"/>
          <w:szCs w:val="32"/>
        </w:rPr>
        <w:t>附件</w:t>
      </w:r>
      <w:r>
        <w:rPr>
          <w:rFonts w:eastAsia="黑体"/>
          <w:sz w:val="32"/>
          <w:szCs w:val="32"/>
        </w:rPr>
        <w:t>1</w:t>
      </w:r>
    </w:p>
    <w:p>
      <w:pPr>
        <w:spacing w:line="580" w:lineRule="exact"/>
        <w:jc w:val="center"/>
        <w:rPr>
          <w:rFonts w:eastAsia="方正小标宋简体"/>
          <w:sz w:val="44"/>
          <w:szCs w:val="44"/>
        </w:rPr>
      </w:pPr>
    </w:p>
    <w:p>
      <w:pPr>
        <w:pStyle w:val="31"/>
        <w:overflowPunct w:val="0"/>
        <w:topLinePunct/>
        <w:adjustRightInd w:val="0"/>
        <w:snapToGrid w:val="0"/>
        <w:spacing w:line="276" w:lineRule="auto"/>
        <w:rPr>
          <w:rFonts w:hAnsi="方正小标宋_GBK" w:cs="方正小标宋_GBK"/>
          <w:szCs w:val="44"/>
        </w:rPr>
      </w:pPr>
      <w:r>
        <w:rPr>
          <w:rFonts w:hint="eastAsia" w:hAnsi="方正小标宋_GBK" w:cs="方正小标宋_GBK"/>
          <w:szCs w:val="44"/>
        </w:rPr>
        <w:t>攀枝花市扶贫开发局</w:t>
      </w:r>
    </w:p>
    <w:p>
      <w:pPr>
        <w:pStyle w:val="32"/>
        <w:overflowPunct w:val="0"/>
        <w:topLinePunct/>
        <w:adjustRightInd w:val="0"/>
        <w:snapToGrid w:val="0"/>
        <w:spacing w:line="276" w:lineRule="auto"/>
        <w:rPr>
          <w:rFonts w:hAnsi="方正小标宋_GBK" w:cs="方正小标宋_GBK"/>
          <w:szCs w:val="44"/>
        </w:rPr>
      </w:pPr>
      <w:r>
        <w:rPr>
          <w:rFonts w:hint="eastAsia" w:hAnsi="方正小标宋_GBK" w:cs="方正小标宋_GBK"/>
          <w:szCs w:val="44"/>
        </w:rPr>
        <w:t>2019年度部门预算整体绩效自评报告</w:t>
      </w:r>
    </w:p>
    <w:p>
      <w:pPr>
        <w:adjustRightInd w:val="0"/>
        <w:snapToGrid w:val="0"/>
        <w:spacing w:line="560" w:lineRule="exact"/>
        <w:rPr>
          <w:rFonts w:ascii="仿宋_GB2312" w:hAnsi="仿宋_GB2312" w:cs="仿宋_GB2312"/>
          <w:szCs w:val="32"/>
        </w:rPr>
      </w:pPr>
    </w:p>
    <w:p>
      <w:pPr>
        <w:shd w:val="clear" w:color="auto" w:fill="FFFFFF"/>
        <w:overflowPunct w:val="0"/>
        <w:topLinePunct/>
        <w:adjustRightInd w:val="0"/>
        <w:snapToGrid w:val="0"/>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市财政局：</w:t>
      </w:r>
    </w:p>
    <w:p>
      <w:pPr>
        <w:shd w:val="clear" w:color="auto" w:fill="FFFFFF"/>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根据《攀枝花市财政局关于开展2019年度部门预算整体绩效自评工作的通知》(攀财绩〔2020〕3号)要求，我局高度重视，对2019年部门预算资金使用情况按要求认真组织自评，现将自评情况报告如下：</w:t>
      </w:r>
    </w:p>
    <w:p>
      <w:pPr>
        <w:overflowPunct w:val="0"/>
        <w:topLinePunct/>
        <w:adjustRightInd w:val="0"/>
        <w:snapToGrid w:val="0"/>
        <w:spacing w:line="56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黑体" w:hAnsi="黑体" w:eastAsia="黑体" w:cs="黑体"/>
          <w:b/>
          <w:sz w:val="32"/>
          <w:szCs w:val="32"/>
        </w:rPr>
        <w:t xml:space="preserve"> </w:t>
      </w:r>
      <w:r>
        <w:rPr>
          <w:rFonts w:hint="eastAsia" w:ascii="黑体" w:hAnsi="黑体" w:eastAsia="黑体" w:cs="黑体"/>
          <w:sz w:val="32"/>
          <w:szCs w:val="32"/>
        </w:rPr>
        <w:t>一、</w:t>
      </w:r>
      <w:r>
        <w:rPr>
          <w:rFonts w:hint="eastAsia" w:ascii="黑体" w:hAnsi="黑体" w:eastAsia="黑体" w:cs="黑体"/>
          <w:sz w:val="32"/>
          <w:szCs w:val="32"/>
          <w:lang w:val="zh-CN"/>
        </w:rPr>
        <w:t>部门概况</w:t>
      </w:r>
    </w:p>
    <w:p>
      <w:pPr>
        <w:overflowPunct w:val="0"/>
        <w:topLinePunct/>
        <w:adjustRightInd w:val="0"/>
        <w:snapToGrid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仿宋_GB2312" w:eastAsia="楷体_GB2312"/>
          <w:sz w:val="32"/>
          <w:szCs w:val="32"/>
        </w:rPr>
        <w:t>（一）机构组成及主要职责。</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机构改革的相关要求，我局更名为攀枝花市扶贫开发局局，为市政府工作部门。主要承担和执行扶贫开发、大中型水利水电工程移民迁建安置、后期扶持、煤炭采空沉陷区治理等四个方面的职能工作，拟定我局主要职责十一条，在此次机构改革中，新增负责职责范围内的安全生产和职业健康、生态环境保护、审批服务便民化等工作，进一步细化了采煤沉陷区综合治理工作与市发改委的职能职责。</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局所属1个事业单位攀枝花市扶贫开发服务中心，为公益一类事业单位，负责全市扶贫信息、移民后期扶持信息系统建设，扶贫开发电子档案（库）建设及相关数据收集、整理、分析工作等工作。</w:t>
      </w:r>
    </w:p>
    <w:p>
      <w:pPr>
        <w:overflowPunct w:val="0"/>
        <w:topLinePunct/>
        <w:adjustRightInd w:val="0"/>
        <w:snapToGrid w:val="0"/>
        <w:spacing w:line="560" w:lineRule="exact"/>
        <w:ind w:firstLine="640" w:firstLineChars="200"/>
        <w:rPr>
          <w:rFonts w:ascii="楷体_GB2312" w:hAnsi="仿宋_GB2312" w:eastAsia="楷体_GB2312"/>
          <w:sz w:val="32"/>
          <w:szCs w:val="32"/>
        </w:rPr>
      </w:pPr>
      <w:r>
        <w:rPr>
          <w:rFonts w:hint="eastAsia" w:ascii="楷体_GB2312" w:hAnsi="仿宋_GB2312" w:eastAsia="楷体_GB2312"/>
          <w:sz w:val="32"/>
          <w:szCs w:val="32"/>
        </w:rPr>
        <w:t>（二）机构编制及人员概况。</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我局机关内设机构7个，机关编制总数26人，其中行政编制20人，工勤编制4人，单列编制1人，86号1人。年末机关在职实有人数24人，其中行政19人，工勤人员4人，单列1人；退休20人。下属事业单位1个，编制3人，年末在职实有人数3人，未独立核算。</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楷体_GB2312" w:hAnsi="仿宋_GB2312" w:eastAsia="楷体_GB2312"/>
          <w:sz w:val="32"/>
          <w:szCs w:val="32"/>
        </w:rPr>
        <w:t>（三）固定资产情况</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2019年我局固定资产合计181.28万元。其中：通用办公设备170.24万元，占固定资产总额的93.91%；汽车59.25万元，占固定资产总额的32.68%；家具用具11.04万元，占固定资产总额的6.09%。</w:t>
      </w:r>
    </w:p>
    <w:p>
      <w:pPr>
        <w:overflowPunct w:val="0"/>
        <w:topLinePunct/>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二、部门资金基本情况</w:t>
      </w:r>
    </w:p>
    <w:p>
      <w:pPr>
        <w:overflowPunct w:val="0"/>
        <w:topLinePunct/>
        <w:adjustRightInd w:val="0"/>
        <w:snapToGrid w:val="0"/>
        <w:spacing w:line="560" w:lineRule="exact"/>
        <w:ind w:firstLine="640" w:firstLineChars="200"/>
        <w:rPr>
          <w:rFonts w:ascii="楷体_GB2312" w:hAnsi="仿宋_GB2312" w:eastAsia="楷体_GB2312"/>
          <w:sz w:val="32"/>
          <w:szCs w:val="32"/>
        </w:rPr>
      </w:pPr>
      <w:r>
        <w:rPr>
          <w:rFonts w:hint="eastAsia" w:ascii="楷体_GB2312" w:hAnsi="仿宋_GB2312" w:eastAsia="楷体_GB2312"/>
          <w:sz w:val="32"/>
          <w:szCs w:val="32"/>
        </w:rPr>
        <w:t>（一）年度部门预算安排及支出情况。</w:t>
      </w:r>
    </w:p>
    <w:p>
      <w:pPr>
        <w:overflowPunct w:val="0"/>
        <w:topLinePunct/>
        <w:adjustRightInd w:val="0"/>
        <w:snapToGrid w:val="0"/>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1.基本支出安排及使用情况。</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2019年我局基本支出部门预算资金收入合计624.68万元，其中人员经费收入535.95万元，占基本支出收入的85.8%；日常公用经费收入88.73万元，占基本支出收入14.2%。</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2019年基本支出使用624.66万元，其中人员经费支出535.95万元，日常公用经费支出88.71万元。</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2019年基本支出结余资金0.02万元，结转下年使用。</w:t>
      </w:r>
    </w:p>
    <w:p>
      <w:pPr>
        <w:overflowPunct w:val="0"/>
        <w:topLinePunct/>
        <w:adjustRightInd w:val="0"/>
        <w:snapToGrid w:val="0"/>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2.部门预算项目安排及支出情况。</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我局部门预算项目资金安排合计74.9万元，共计4个项目，其中四川省扶贫基金会攀枝花分会经费15万元，采空沉陷区危房鉴定费35万元，业务运行经费18.9万元，扶贫会议费6万元。2019年调减采空沉陷区危房鉴定费35万元，实际安排部门预算项目资金39.9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2019年部门预算项目资金支出33.77万元，其中四川省扶贫基金会攀枝花分会经费支出14.4万元，业务运行经费支出17.48万元，扶贫会议费支出1.89万元。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2019年部门预算项目资金结余6.13万元，结余指标已被财政收回。</w:t>
      </w:r>
    </w:p>
    <w:p>
      <w:pPr>
        <w:overflowPunct w:val="0"/>
        <w:topLinePunct/>
        <w:adjustRightInd w:val="0"/>
        <w:snapToGrid w:val="0"/>
        <w:spacing w:line="560" w:lineRule="exact"/>
        <w:ind w:firstLine="640" w:firstLineChars="200"/>
        <w:rPr>
          <w:rFonts w:ascii="楷体_GB2312" w:hAnsi="仿宋_GB2312" w:eastAsia="楷体_GB2312"/>
          <w:sz w:val="32"/>
          <w:szCs w:val="32"/>
        </w:rPr>
      </w:pPr>
      <w:r>
        <w:rPr>
          <w:rFonts w:hint="eastAsia" w:ascii="楷体_GB2312" w:hAnsi="仿宋_GB2312" w:eastAsia="楷体_GB2312"/>
          <w:sz w:val="32"/>
          <w:szCs w:val="32"/>
        </w:rPr>
        <w:t>（二）追加预算安排及支出情况。</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2019年我局追加预算安排30万元，上年结转资金0.22万元，共计3个项目，其中追加向上争取工作经费20万元，结转资金0.22万元，关工委儿童工作费0.5万元，凉山自发搬迁贫困人口脱贫工作费9.5万元。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2019年我局追加预算支出26.36万元，其中向上争取工作经费支出16.69万元，关工委儿童工作费支出0.17万元，凉山自发搬迁贫困人口脱贫工作费支出9.5万元。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2019年追加预算支出结余3.87万元，结余指标已被财政收回。</w:t>
      </w:r>
    </w:p>
    <w:p>
      <w:pPr>
        <w:overflowPunct w:val="0"/>
        <w:topLinePunct/>
        <w:adjustRightInd w:val="0"/>
        <w:snapToGrid w:val="0"/>
        <w:spacing w:line="560" w:lineRule="exact"/>
        <w:ind w:firstLine="640" w:firstLineChars="200"/>
        <w:rPr>
          <w:rFonts w:ascii="楷体_GB2312" w:hAnsi="仿宋_GB2312" w:eastAsia="楷体_GB2312"/>
          <w:sz w:val="32"/>
          <w:szCs w:val="32"/>
        </w:rPr>
      </w:pPr>
      <w:r>
        <w:rPr>
          <w:rFonts w:hint="eastAsia" w:ascii="楷体_GB2312" w:hAnsi="仿宋_GB2312" w:eastAsia="楷体_GB2312"/>
          <w:sz w:val="32"/>
          <w:szCs w:val="32"/>
        </w:rPr>
        <w:t>（三）年度专项资金安排及支出情况。</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度我局部门预算安排财政专项扶贫资金112.1万，共计5个项目，其中脱贫攻坚干部及绩效评价培训25万元，社会扶贫资金项目审计5万元，劳动力转移培训费60万元，扶贫信息视频系统维护费7.1万元，作家扶贫项目15万元。2019年调减劳动力转移培训费60万元，作家扶贫项目15万元，共计调减财政专项扶贫资金75万元，实际安排专项扶贫资金37.1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2019年专项扶贫资金支出29.87万元，其中脱贫攻坚干部及绩效评价培训支出17.83万元，社会扶贫资金项目审计支出4.94万元，扶贫信息视频系统维护费支出7.1万元。</w:t>
      </w:r>
    </w:p>
    <w:p>
      <w:pPr>
        <w:overflowPunct w:val="0"/>
        <w:topLinePunct/>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2019年结余专项扶贫资金7.23万元，结余指标已被财政收回。</w:t>
      </w:r>
    </w:p>
    <w:p>
      <w:pPr>
        <w:overflowPunct w:val="0"/>
        <w:topLinePunct/>
        <w:adjustRightInd w:val="0"/>
        <w:snapToGrid w:val="0"/>
        <w:spacing w:line="560" w:lineRule="exact"/>
        <w:ind w:firstLine="640" w:firstLineChars="200"/>
        <w:rPr>
          <w:rFonts w:ascii="楷体_GB2312" w:hAnsi="仿宋_GB2312" w:eastAsia="楷体_GB2312"/>
          <w:sz w:val="32"/>
          <w:szCs w:val="32"/>
        </w:rPr>
      </w:pPr>
      <w:r>
        <w:rPr>
          <w:rFonts w:hint="eastAsia" w:ascii="楷体_GB2312" w:hAnsi="仿宋_GB2312" w:eastAsia="楷体_GB2312"/>
          <w:sz w:val="32"/>
          <w:szCs w:val="32"/>
        </w:rPr>
        <w:t>（四）其他资金收支及结余情况。</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2019年其他资金收入20.78万元，其中市级财政扶贫专户资金利息安排的凉山自发搬迁贫困人口脱贫工作费7万元，利息收入0.04万元，上年结转扶贫开发视频会议系统资金2.93万元，扶贫工作费10.81万元。</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2019年其他资金支出9.4万元，其中凉山自发搬迁贫困人口脱贫工作费支出4.3万元，扶贫开发视频会议系统支出2.93万元，扶贫工作费支出2.17万元。</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2019年其他资金结余11.38万元，其中凉山自发搬迁贫困人口脱贫工作费结余2.7万元，扶贫工作费结余8.68万元，结余资金结转下年使用。</w:t>
      </w:r>
    </w:p>
    <w:p>
      <w:pPr>
        <w:overflowPunct w:val="0"/>
        <w:topLinePunct/>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三、绩效目标完成情况分析</w:t>
      </w:r>
    </w:p>
    <w:p>
      <w:pPr>
        <w:overflowPunct w:val="0"/>
        <w:topLinePunct/>
        <w:adjustRightInd w:val="0"/>
        <w:snapToGrid w:val="0"/>
        <w:spacing w:line="560" w:lineRule="exact"/>
        <w:ind w:firstLine="640" w:firstLineChars="200"/>
        <w:jc w:val="left"/>
        <w:rPr>
          <w:rFonts w:ascii="楷体_GB2312" w:hAnsi="仿宋_GB2312" w:eastAsia="楷体_GB2312"/>
          <w:sz w:val="32"/>
          <w:szCs w:val="32"/>
        </w:rPr>
      </w:pPr>
      <w:r>
        <w:rPr>
          <w:rFonts w:hint="eastAsia" w:ascii="楷体_GB2312" w:hAnsi="仿宋_GB2312" w:eastAsia="楷体_GB2312"/>
          <w:sz w:val="32"/>
          <w:szCs w:val="32"/>
        </w:rPr>
        <w:t>（一）市级财政资金绩效目标完成情况。</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1.年初部门预算绩效目标完成情况。</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产出指标完成情况：自财政资金指标到位以后，所有资金都已经全部及时安排，并按项目要求和进度全部落实到位，所有项目的完成都达到了100%，2019年实际总支出为724.07万元，通过我局对项目资金的严格控制和节约开支，结余项目资金28.01万元。</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w:t>
      </w:r>
      <w:r>
        <w:rPr>
          <w:rFonts w:hint="eastAsia" w:ascii="仿宋_GB2312" w:hAnsi="仿宋_GB2312" w:eastAsia="仿宋_GB2312" w:cs="仿宋_GB2312"/>
          <w:color w:val="000000"/>
          <w:sz w:val="32"/>
          <w:szCs w:val="32"/>
        </w:rPr>
        <w:t>为脱贫攻坚工作等各项职能工作开展打下了坚实基础，促进了脱贫攻坚工作的开展，提高了脱贫攻坚社会影响力，提升了社会稳定性，加强了社会公众对脱贫攻坚工作的知晓度。</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w:t>
      </w:r>
      <w:r>
        <w:rPr>
          <w:rFonts w:hint="eastAsia" w:ascii="仿宋_GB2312" w:hAnsi="仿宋_GB2312" w:eastAsia="仿宋_GB2312" w:cs="仿宋_GB2312"/>
          <w:color w:val="000000"/>
          <w:sz w:val="32"/>
          <w:szCs w:val="32"/>
        </w:rPr>
        <w:t>我单位对服务对象满意度进行调查，基本情况是满意度达95%以上。</w:t>
      </w:r>
    </w:p>
    <w:p>
      <w:pPr>
        <w:overflowPunct w:val="0"/>
        <w:topLinePunct/>
        <w:adjustRightInd w:val="0"/>
        <w:snapToGrid w:val="0"/>
        <w:spacing w:line="560" w:lineRule="exact"/>
        <w:ind w:firstLine="640" w:firstLineChars="200"/>
        <w:jc w:val="left"/>
        <w:rPr>
          <w:rFonts w:ascii="楷体_GB2312" w:hAnsi="仿宋_GB2312" w:eastAsia="楷体_GB2312"/>
          <w:sz w:val="32"/>
          <w:szCs w:val="32"/>
        </w:rPr>
      </w:pPr>
      <w:r>
        <w:rPr>
          <w:rFonts w:hint="eastAsia" w:ascii="楷体_GB2312" w:hAnsi="仿宋_GB2312" w:eastAsia="楷体_GB2312"/>
          <w:sz w:val="32"/>
          <w:szCs w:val="32"/>
        </w:rPr>
        <w:t>（二）市级专项资金绩效目标完成情况。</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局预算涉及的项目全部为市级安排项目，无省级项目。2019年按照财政资金绩效管理的要求，共编制绩效目标9个，根据实施情况和工作需求，调整减少专项资金绩效目标3个，分别为采煤沉陷区综合治理危房鉴定费50万，</w:t>
      </w:r>
      <w:r>
        <w:rPr>
          <w:rFonts w:hint="eastAsia" w:ascii="仿宋_GB2312" w:hAnsi="仿宋_GB2312" w:eastAsia="仿宋_GB2312" w:cs="仿宋_GB2312"/>
          <w:color w:val="000000"/>
          <w:sz w:val="32"/>
          <w:szCs w:val="32"/>
        </w:rPr>
        <w:t>劳动力转移培训费60万元，作家扶贫项目15万元，</w:t>
      </w:r>
      <w:r>
        <w:rPr>
          <w:rFonts w:hint="eastAsia" w:ascii="仿宋_GB2312" w:hAnsi="仿宋_GB2312" w:eastAsia="仿宋_GB2312" w:cs="仿宋_GB2312"/>
          <w:sz w:val="32"/>
          <w:szCs w:val="32"/>
        </w:rPr>
        <w:t>调整后有6个，分别为四川省扶贫基金会攀枝花分会运行经费（15万元）、扶贫会议费（6万元）、业务运行经费（18.9万元）、</w:t>
      </w:r>
      <w:r>
        <w:rPr>
          <w:rFonts w:hint="eastAsia" w:ascii="仿宋_GB2312" w:hAnsi="仿宋_GB2312" w:eastAsia="仿宋_GB2312" w:cs="仿宋_GB2312"/>
          <w:color w:val="000000"/>
          <w:sz w:val="32"/>
          <w:szCs w:val="32"/>
        </w:rPr>
        <w:t>脱贫攻坚干部及绩效评价培训（25万元），社会扶贫资金项目审计（5万元），扶贫信息视频系统维护费（7.1万元）</w:t>
      </w:r>
      <w:r>
        <w:rPr>
          <w:rFonts w:hint="eastAsia" w:ascii="仿宋_GB2312" w:hAnsi="仿宋_GB2312" w:eastAsia="仿宋_GB2312" w:cs="仿宋_GB2312"/>
          <w:sz w:val="32"/>
          <w:szCs w:val="32"/>
        </w:rPr>
        <w:t>，全部完成，达到预期目标。</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1.四川省扶贫基金会攀枝花分会运行经费。</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color w:val="000000"/>
          <w:sz w:val="32"/>
          <w:szCs w:val="32"/>
        </w:rPr>
        <w:t>我单位较好地完成了2019年初设定的工作任务，基金会业务得到有序开展。到年底完成全部项目的100%，资金拨付达到100%。</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（2）效益指标完成情况分析：全面推进四川省扶贫基金会攀枝花市分会社扶工作的开展，</w:t>
      </w:r>
      <w:r>
        <w:rPr>
          <w:rFonts w:hint="eastAsia" w:ascii="仿宋_GB2312" w:hAnsi="仿宋_GB2312" w:eastAsia="仿宋_GB2312" w:cs="仿宋_GB2312"/>
          <w:color w:val="000000"/>
          <w:sz w:val="32"/>
          <w:szCs w:val="32"/>
        </w:rPr>
        <w:t>项目社会效益和经济效益明显，达到了预期效果。</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（3）满意度指标：自2019年以来，我单位对基金会人员、定向捐赠贫困村和贫困户满意度等各项指标调查，基本情况是群众对项目实施满意度达98%以上。</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2.扶贫会议费。</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color w:val="000000"/>
          <w:sz w:val="32"/>
          <w:szCs w:val="32"/>
        </w:rPr>
        <w:t>我单位较好地完成了2019年初设定的工作任务，全市脱贫攻坚工作会议得到有序开展。到年底完成全部项目的100%，因2019年脱贫攻坚部门会议用视频会议形式召开，及部门对脱贫攻坚会议支出的严格控制和节约开支，资金拨付仅为31.5%，年末扶贫会议费形成结余资金4.11万元。</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w:t>
      </w:r>
      <w:r>
        <w:rPr>
          <w:rFonts w:hint="eastAsia" w:ascii="仿宋_GB2312" w:hAnsi="仿宋_GB2312" w:eastAsia="仿宋_GB2312" w:cs="仿宋_GB2312"/>
          <w:color w:val="000000"/>
          <w:sz w:val="32"/>
          <w:szCs w:val="32"/>
        </w:rPr>
        <w:t>促进了脱贫攻坚工作的开展，提高了脱贫攻坚社会影响力。</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（3）满意度指标：我单位对参会人员满意度进行调查，基本情况是满意度达95%以上。</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3.业务运行经费。</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color w:val="000000"/>
          <w:sz w:val="32"/>
          <w:szCs w:val="32"/>
        </w:rPr>
        <w:t>我单位较好地按计划推进了2019年职能工作，完成了市委市政府下达的年度职能目标。到年底完成全部项目的100%，资金拨付92.49%。</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w:t>
      </w:r>
      <w:r>
        <w:rPr>
          <w:rFonts w:hint="eastAsia" w:ascii="仿宋_GB2312" w:hAnsi="仿宋_GB2312" w:eastAsia="仿宋_GB2312" w:cs="仿宋_GB2312"/>
          <w:color w:val="000000"/>
          <w:sz w:val="32"/>
          <w:szCs w:val="32"/>
        </w:rPr>
        <w:t>为脱贫攻坚工作等各项职能工作开展打下了坚实基础，指导区县有针对性改进工作，提升社会稳定性，加强了社会公众对脱贫攻坚工作的知晓度。</w:t>
      </w:r>
    </w:p>
    <w:p>
      <w:pPr>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满意度指标：我单位对服务对象满意度进行调查，基本情况是满意度达95%以上。</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sz w:val="32"/>
          <w:szCs w:val="32"/>
        </w:rPr>
        <w:t>脱贫攻坚干部及绩效评价培训。</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（1）产出指标完成情况分析：我单位较好地完成了2019年脱贫攻坚干部培训工作，</w:t>
      </w:r>
      <w:r>
        <w:rPr>
          <w:rFonts w:hint="eastAsia" w:ascii="仿宋_GB2312" w:hAnsi="仿宋_GB2312" w:eastAsia="仿宋_GB2312" w:cs="仿宋_GB2312"/>
          <w:color w:val="000000"/>
          <w:sz w:val="32"/>
          <w:szCs w:val="32"/>
        </w:rPr>
        <w:t>到年底完成全部项目的100%，因部门对培训工作经费的严格控制和节约开支，资金拨付为71.32%，年末培训费形成结余资金7.17万元。</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效益指标完成情况分析：有效提高了参加培训人员的工作能力和职业技术水平，提升了脱贫攻坚工作实效。</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满意度指标：我单位对参加培训人员进行满意度调查，基本情况是满意度达98%以上。</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5.社会扶贫资金项目审计。</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（1）产出指标完成情况分析：我单位完成了社会扶贫资金项目第三方审计工作，项目审计覆盖率达100%,</w:t>
      </w:r>
      <w:r>
        <w:rPr>
          <w:rFonts w:hint="eastAsia" w:ascii="仿宋_GB2312" w:hAnsi="仿宋_GB2312" w:eastAsia="仿宋_GB2312" w:cs="仿宋_GB2312"/>
          <w:color w:val="000000"/>
          <w:sz w:val="32"/>
          <w:szCs w:val="32"/>
        </w:rPr>
        <w:t>到年底完成全部项目的100%，资金拨付98.8%。</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效益指标完成情况分析：有效提升了脱贫攻坚工作的影响力和公信力。</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满意度指标：我单位对项目涉及的贫困村及贫困户进行满意度调查，基本情况为满意。</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6.扶贫信息视频系统维护费。</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（1）产出指标完成情况分析：我单位完成了扶贫信息视频系统的日常维护工作，确保了全市扶贫信息视频系统的顺畅运行，保障了视频会议的正常开展，</w:t>
      </w:r>
      <w:r>
        <w:rPr>
          <w:rFonts w:hint="eastAsia" w:ascii="仿宋_GB2312" w:hAnsi="仿宋_GB2312" w:eastAsia="仿宋_GB2312" w:cs="仿宋_GB2312"/>
          <w:color w:val="000000"/>
          <w:sz w:val="32"/>
          <w:szCs w:val="32"/>
        </w:rPr>
        <w:t>到年底完成全部项目的100%，资金拨付100%。</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效益指标完成情况分析：提升了脱贫攻坚工作的效率，并节约了会议费的相应开支。</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满意度指标：我单位对使用信息视频系统人员进行满意度调查，基本情况是满意度达98%以上。</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7.凉山自迁贫困人口脱贫工作费。</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color w:val="000000"/>
          <w:sz w:val="32"/>
          <w:szCs w:val="32"/>
        </w:rPr>
        <w:t>截止2019年底，完成凉山自迁贫困人口3444人的脱贫工作及37855人已脱贫人口的巩固提升，实现其“两不愁、三保障”的目标任务。到年底完成全部项目的70%，资金拨付80.61%。</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效益指标完成情况分析：促进凉山自迁贫困人口脱贫攻坚工作的开展，确保完成职能目标任务，践行“扶贫路上，不落下一人”，全面同步奔小康。</w:t>
      </w:r>
    </w:p>
    <w:p>
      <w:pPr>
        <w:overflowPunct w:val="0"/>
        <w:topLinePunct/>
        <w:adjustRightInd w:val="0"/>
        <w:snapToGrid w:val="0"/>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满意度指标：我单位对服务对象、贫困人口进行满意度调查，基本情况是满意度达98%以上。</w:t>
      </w:r>
    </w:p>
    <w:p>
      <w:pPr>
        <w:overflowPunct w:val="0"/>
        <w:topLinePunct/>
        <w:adjustRightInd w:val="0"/>
        <w:snapToGrid w:val="0"/>
        <w:spacing w:line="560" w:lineRule="exact"/>
        <w:ind w:firstLine="640" w:firstLineChars="200"/>
        <w:jc w:val="left"/>
        <w:rPr>
          <w:rFonts w:ascii="楷体_GB2312" w:hAnsi="仿宋_GB2312" w:eastAsia="楷体_GB2312"/>
          <w:sz w:val="32"/>
          <w:szCs w:val="32"/>
        </w:rPr>
      </w:pPr>
      <w:r>
        <w:rPr>
          <w:rFonts w:hint="eastAsia" w:ascii="楷体_GB2312" w:hAnsi="仿宋_GB2312" w:eastAsia="楷体_GB2312"/>
          <w:sz w:val="32"/>
          <w:szCs w:val="32"/>
        </w:rPr>
        <w:t>（三）自评结论。</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经过我局自评，2019年部门预算支出整体绩效评价良好。通过年度财政资金绩效目标的实施，基本保障了我单位机构运转和职能工作的推进，加强了机关建设，全面实现年度脱贫工作目标，完成省扶贫开发局下达的大中型水利水电移民资金和安置任务和煤炭采空沉陷区综合治理年度任务，全年高质量完成市委、市政府确定的目标任务和年度重点工作。</w:t>
      </w:r>
    </w:p>
    <w:p>
      <w:pPr>
        <w:overflowPunct w:val="0"/>
        <w:topLinePunct/>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四、偏离绩效目标的原因和下一步改进措施</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（一）预算编制工作有待细化。预算编制不够明确和细化，预算编制的合理性需要提高，预算执行力度还要进一步加强。</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（二）项目下达后，项目实施准备不充分，项目推进不及时。</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（三）脱贫攻坚</w:t>
      </w:r>
      <w:r>
        <w:rPr>
          <w:rFonts w:hint="eastAsia" w:ascii="仿宋_GB2312" w:hAnsi="仿宋_GB2312" w:eastAsia="仿宋_GB2312" w:cs="仿宋_GB2312"/>
          <w:sz w:val="32"/>
          <w:szCs w:val="32"/>
          <w:lang w:val="zh-CN"/>
        </w:rPr>
        <w:t>进入攻坚克难阶段，任务十分艰巨，年末脱贫攻坚推进会议较多，会议费支付多集中在年末，造成会议费未及时支付。</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val="zh-CN"/>
        </w:rPr>
        <w:t>预算经费不能满足我局承担的全市扶贫开发、大中型水利水电工程移民、采空沉陷区综合治理职能工作需要，同时职工社保、公积金、养老金的预算不足，造成日常运转经费吃紧，机构运转压力巨大。</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下一步改进措施：</w:t>
      </w:r>
    </w:p>
    <w:p>
      <w:pPr>
        <w:overflowPunct w:val="0"/>
        <w:topLinePunct/>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zh-CN"/>
        </w:rPr>
        <w:t>提升项目管理实施人员的业务能力，科学编制项目预算，提高项目实施精细化管理水平，发挥单位项目支出效益最大化。</w:t>
      </w:r>
    </w:p>
    <w:p>
      <w:pPr>
        <w:shd w:val="clear" w:color="auto" w:fill="FFFFFF"/>
        <w:overflowPunct w:val="0"/>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zh-CN"/>
        </w:rPr>
        <w:t>充分考虑脱贫攻坚、大中型水利水电工程移民、采空沉陷区综合治理职能工作需要要，适当加大预算投入，并加强预算执行力度，提高项目实施精细化管理水平，及时支付项目资金。</w:t>
      </w:r>
    </w:p>
    <w:p>
      <w:pPr>
        <w:overflowPunct w:val="0"/>
        <w:topLinePunct/>
        <w:adjustRightInd w:val="0"/>
        <w:snapToGrid w:val="0"/>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五、绩效自评结果拟应用和公开公示情况</w:t>
      </w:r>
    </w:p>
    <w:p>
      <w:pPr>
        <w:pStyle w:val="12"/>
        <w:overflowPunct w:val="0"/>
        <w:topLinePunct/>
        <w:adjustRightInd w:val="0"/>
        <w:snapToGrid w:val="0"/>
        <w:spacing w:line="560" w:lineRule="exact"/>
        <w:ind w:firstLine="640"/>
        <w:rPr>
          <w:rFonts w:ascii="仿宋_GB2312" w:hAnsi="仿宋_GB2312" w:eastAsia="仿宋_GB2312" w:cs="仿宋_GB2312"/>
          <w:kern w:val="2"/>
          <w:sz w:val="32"/>
          <w:szCs w:val="32"/>
          <w:lang w:val="zh-CN"/>
        </w:rPr>
      </w:pPr>
      <w:r>
        <w:rPr>
          <w:rFonts w:hint="eastAsia" w:ascii="仿宋_GB2312" w:hAnsi="仿宋_GB2312" w:eastAsia="仿宋_GB2312" w:cs="仿宋_GB2312"/>
          <w:kern w:val="2"/>
          <w:sz w:val="32"/>
          <w:szCs w:val="32"/>
          <w:lang w:val="zh-CN"/>
        </w:rPr>
        <w:t>本自评结果拟用于与今后项目资金的申请和使用。我单位将自评结果编入本部门决算并依法公开，接受监督。</w:t>
      </w:r>
    </w:p>
    <w:p>
      <w:pPr>
        <w:spacing w:line="580" w:lineRule="exact"/>
        <w:ind w:firstLine="640" w:firstLineChars="200"/>
        <w:rPr>
          <w:rFonts w:eastAsia="仿宋_GB2312"/>
          <w:sz w:val="32"/>
          <w:szCs w:val="32"/>
        </w:rPr>
      </w:pPr>
    </w:p>
    <w:p>
      <w:pPr>
        <w:widowControl/>
        <w:jc w:val="left"/>
        <w:rPr>
          <w:rFonts w:eastAsia="仿宋_GB2312"/>
          <w:sz w:val="32"/>
          <w:szCs w:val="32"/>
        </w:rPr>
      </w:pPr>
      <w:r>
        <w:rPr>
          <w:rFonts w:eastAsia="仿宋_GB2312"/>
          <w:sz w:val="32"/>
          <w:szCs w:val="32"/>
        </w:rPr>
        <w:br w:type="page"/>
      </w:r>
    </w:p>
    <w:p>
      <w:pPr>
        <w:spacing w:line="580" w:lineRule="exact"/>
        <w:rPr>
          <w:rFonts w:eastAsia="仿宋_GB2312"/>
          <w:sz w:val="32"/>
          <w:szCs w:val="32"/>
        </w:rPr>
      </w:pPr>
      <w:r>
        <w:rPr>
          <w:rFonts w:hint="eastAsia" w:eastAsia="黑体"/>
          <w:sz w:val="32"/>
          <w:szCs w:val="32"/>
        </w:rPr>
        <w:t>附件</w:t>
      </w:r>
      <w:r>
        <w:rPr>
          <w:rFonts w:eastAsia="黑体"/>
          <w:sz w:val="32"/>
          <w:szCs w:val="32"/>
        </w:rPr>
        <w:t>2</w:t>
      </w:r>
    </w:p>
    <w:p>
      <w:pPr>
        <w:spacing w:line="580" w:lineRule="exact"/>
        <w:ind w:firstLine="640" w:firstLineChars="200"/>
        <w:rPr>
          <w:rFonts w:eastAsia="仿宋_GB2312"/>
          <w:sz w:val="32"/>
          <w:szCs w:val="32"/>
        </w:rPr>
      </w:pPr>
    </w:p>
    <w:p>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kern w:val="0"/>
          <w:sz w:val="44"/>
          <w:szCs w:val="44"/>
        </w:rPr>
        <w:t>攀枝花市扶贫开发局</w:t>
      </w:r>
    </w:p>
    <w:p>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2019年市级财政专项扶贫资金支出</w:t>
      </w:r>
    </w:p>
    <w:p>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绩效评价报告</w:t>
      </w:r>
    </w:p>
    <w:p>
      <w:pPr>
        <w:spacing w:line="560" w:lineRule="exact"/>
        <w:jc w:val="center"/>
        <w:rPr>
          <w:rFonts w:eastAsia="仿宋_GB2312"/>
          <w:sz w:val="32"/>
          <w:szCs w:val="32"/>
        </w:rPr>
      </w:pPr>
    </w:p>
    <w:p>
      <w:pPr>
        <w:spacing w:line="560" w:lineRule="exact"/>
        <w:jc w:val="left"/>
        <w:rPr>
          <w:rFonts w:eastAsia="仿宋_GB2312"/>
          <w:sz w:val="32"/>
          <w:szCs w:val="32"/>
        </w:rPr>
      </w:pPr>
      <w:r>
        <w:rPr>
          <w:rFonts w:eastAsia="仿宋_GB2312"/>
          <w:sz w:val="32"/>
          <w:szCs w:val="32"/>
        </w:rPr>
        <w:t>市财政局：</w:t>
      </w:r>
    </w:p>
    <w:p>
      <w:pPr>
        <w:spacing w:line="560" w:lineRule="exact"/>
        <w:ind w:firstLine="640" w:firstLineChars="200"/>
        <w:jc w:val="left"/>
        <w:rPr>
          <w:rFonts w:eastAsia="仿宋_GB2312"/>
          <w:sz w:val="32"/>
          <w:szCs w:val="32"/>
        </w:rPr>
      </w:pPr>
      <w:r>
        <w:rPr>
          <w:rFonts w:eastAsia="仿宋_GB2312"/>
          <w:sz w:val="32"/>
          <w:szCs w:val="32"/>
        </w:rPr>
        <w:t>按照《关于开展2019年度财政重点项目（政策）支出绩效评价工作的通知》（攀财绩〔2020〕4号）要求，市扶贫开发局认真开展自评，现将财政专项扶贫支出绩效评价报告如下：</w:t>
      </w:r>
    </w:p>
    <w:p>
      <w:pPr>
        <w:spacing w:line="560" w:lineRule="exact"/>
        <w:ind w:firstLine="640" w:firstLineChars="200"/>
        <w:rPr>
          <w:rFonts w:eastAsia="黑体"/>
          <w:sz w:val="32"/>
          <w:szCs w:val="32"/>
        </w:rPr>
      </w:pPr>
      <w:r>
        <w:rPr>
          <w:rFonts w:eastAsia="黑体"/>
          <w:sz w:val="32"/>
          <w:szCs w:val="32"/>
        </w:rPr>
        <w:t>一、基本情况</w:t>
      </w:r>
    </w:p>
    <w:p>
      <w:pPr>
        <w:autoSpaceDE w:val="0"/>
        <w:autoSpaceDN w:val="0"/>
        <w:adjustRightInd w:val="0"/>
        <w:spacing w:line="560" w:lineRule="exact"/>
        <w:ind w:firstLine="640" w:firstLineChars="200"/>
        <w:rPr>
          <w:rFonts w:eastAsia="仿宋_GB2312"/>
          <w:color w:val="000000"/>
          <w:sz w:val="32"/>
          <w:szCs w:val="32"/>
        </w:rPr>
      </w:pPr>
      <w:r>
        <w:rPr>
          <w:rFonts w:eastAsia="仿宋_GB2312"/>
          <w:color w:val="000000"/>
          <w:sz w:val="32"/>
          <w:szCs w:val="32"/>
        </w:rPr>
        <w:t>2019年，根据攀枝花市财政局 攀枝花市扶贫开发局《关于下达2019年第二批市级专项扶贫资金的通知》（攀财资农〔2019〕19号），下达市扶贫开发局专项扶贫补助资金112.1万元，共5个项目，分别为：1.脱贫攻坚干部及绩效评价培训（25万元）；2.聘请第三方机构对社会扶贫资金项目审计（5万元）；3.安排市建筑工程学校、市经贸旅游学校开展焊工、电工、厨师、家政服务员（保育员）等劳动力转移就业培训（60万元）；4.全市扶贫开发信息视频会议系统日常维护（7.1万元）；5.攀枝花市作家协会开展作家扶贫项目15万元。</w:t>
      </w:r>
    </w:p>
    <w:p>
      <w:pPr>
        <w:spacing w:line="560" w:lineRule="exact"/>
        <w:ind w:firstLine="640" w:firstLineChars="200"/>
        <w:rPr>
          <w:rFonts w:eastAsia="仿宋_GB2312"/>
          <w:sz w:val="32"/>
          <w:szCs w:val="32"/>
        </w:rPr>
      </w:pPr>
      <w:r>
        <w:rPr>
          <w:rFonts w:eastAsia="仿宋_GB2312"/>
          <w:sz w:val="32"/>
          <w:szCs w:val="32"/>
        </w:rPr>
        <w:t>因市建筑工程学校、市经贸旅游学校摸底调查，各县区建档立卡贫困户因农忙季均不愿意参加劳动力转移就业培训，致使培训无法开班；市作家协会文学扶贫活动因客观原因，导致项目无法开展。为确保市级财政专项扶贫资金安全有效使用，结合全市脱贫攻坚工作开展情况，2019年9月经报市财政局审批，同意将上述2项目进行调减，项目资金75万元调整至县（区），分别为：仁和区15万元，用于布德镇老村子村人饮工程项目15万元；仁和区、米易县、盐边县各20万元，用于开展贫困户农村实用技术培训。</w:t>
      </w:r>
    </w:p>
    <w:p>
      <w:pPr>
        <w:autoSpaceDE w:val="0"/>
        <w:autoSpaceDN w:val="0"/>
        <w:adjustRightInd w:val="0"/>
        <w:spacing w:line="560" w:lineRule="exact"/>
        <w:ind w:firstLine="640" w:firstLineChars="200"/>
        <w:jc w:val="left"/>
        <w:rPr>
          <w:rFonts w:eastAsia="黑体"/>
          <w:sz w:val="32"/>
          <w:szCs w:val="32"/>
        </w:rPr>
      </w:pPr>
      <w:r>
        <w:rPr>
          <w:rFonts w:eastAsia="黑体"/>
          <w:sz w:val="32"/>
          <w:szCs w:val="32"/>
        </w:rPr>
        <w:t>二、项目实施及管理情况</w:t>
      </w:r>
    </w:p>
    <w:p>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2019年，攀财资农〔2019〕19号下达给攀枝花市扶贫开发局专项扶贫资金112.1万元，项目的资金使用严格按照《攀枝花市财政局等七家单位关于印发&lt;攀枝花市财政专项扶贫资金管理办法&gt;的通知》（攀财农〔2017〕62号），以及国家、省、市相关文件的要求执行，做到严格管理、专款专用。经自查，没有任何财政专项扶贫资金使用违规违纪情况。</w:t>
      </w:r>
    </w:p>
    <w:p>
      <w:pPr>
        <w:spacing w:line="560" w:lineRule="exact"/>
        <w:ind w:firstLine="640"/>
        <w:rPr>
          <w:rFonts w:eastAsia="楷体_GB2312"/>
          <w:sz w:val="32"/>
          <w:szCs w:val="32"/>
        </w:rPr>
      </w:pPr>
      <w:r>
        <w:rPr>
          <w:rFonts w:eastAsia="楷体_GB2312"/>
          <w:sz w:val="32"/>
          <w:szCs w:val="32"/>
        </w:rPr>
        <w:t>（一）脱贫攻坚干部及绩效评价培训。</w:t>
      </w:r>
    </w:p>
    <w:p>
      <w:pPr>
        <w:spacing w:line="560" w:lineRule="exact"/>
        <w:ind w:firstLine="640"/>
        <w:rPr>
          <w:rFonts w:eastAsia="仿宋_GB2312"/>
          <w:sz w:val="32"/>
          <w:szCs w:val="32"/>
        </w:rPr>
      </w:pPr>
      <w:r>
        <w:rPr>
          <w:rFonts w:eastAsia="仿宋_GB2312"/>
          <w:sz w:val="32"/>
          <w:szCs w:val="32"/>
        </w:rPr>
        <w:t>1.为提高全市扶贫干部工作能力，促进脱贫攻坚工作开展，提升基层工作热情，确保顺利完成2019年脱贫任务，2019年7-8月，我局组织脱贫攻坚干部到西南财经大学、四川农业大学（温江校区）进行了脱贫攻坚专题培训两期，共培训脱贫干部166人次。</w:t>
      </w:r>
    </w:p>
    <w:p>
      <w:pPr>
        <w:spacing w:line="560" w:lineRule="exact"/>
        <w:ind w:firstLine="640" w:firstLineChars="200"/>
        <w:rPr>
          <w:rFonts w:eastAsia="仿宋_GB2312"/>
          <w:sz w:val="32"/>
          <w:szCs w:val="32"/>
        </w:rPr>
      </w:pPr>
      <w:r>
        <w:rPr>
          <w:rFonts w:eastAsia="仿宋_GB2312"/>
          <w:sz w:val="32"/>
          <w:szCs w:val="32"/>
        </w:rPr>
        <w:t>2.为确保财政扶贫政策落实落地，加强财政扶贫资金和项目管理，发挥基层就近监督的优势，更好地推进精准扶贫精准脱贫，2019年8月底，市财政局、市扶贫开发局联合举办了2019年财政扶贫政策培训班，参训人员涉及市级2019年18个专项牵头部门，有脱贫攻坚任务的县（区）财政局、扶贫开发局分管领导及相关业务人员，全市贫困人口300人以上及有贫困村的乡镇从事财政扶贫管理的工作人员和70个贫困村第一书记，共计培训相关人员120余人次。</w:t>
      </w:r>
    </w:p>
    <w:p>
      <w:pPr>
        <w:spacing w:line="560" w:lineRule="exact"/>
        <w:ind w:firstLine="640" w:firstLineChars="200"/>
        <w:rPr>
          <w:rFonts w:eastAsia="仿宋_GB2312"/>
          <w:sz w:val="32"/>
          <w:szCs w:val="32"/>
        </w:rPr>
      </w:pPr>
      <w:r>
        <w:rPr>
          <w:rFonts w:eastAsia="仿宋_GB2312"/>
          <w:sz w:val="32"/>
          <w:szCs w:val="32"/>
        </w:rPr>
        <w:t>通过节约会议用餐、会场租用等开支，培训费用实际支出17.83万元，节约支出7.17万元，2019年底财政已收回。</w:t>
      </w:r>
    </w:p>
    <w:p>
      <w:pPr>
        <w:spacing w:line="560" w:lineRule="exact"/>
        <w:ind w:firstLine="640" w:firstLineChars="200"/>
        <w:rPr>
          <w:rFonts w:eastAsia="楷体_GB2312"/>
          <w:sz w:val="32"/>
          <w:szCs w:val="32"/>
        </w:rPr>
      </w:pPr>
      <w:r>
        <w:rPr>
          <w:rFonts w:eastAsia="楷体_GB2312"/>
          <w:sz w:val="32"/>
          <w:szCs w:val="32"/>
        </w:rPr>
        <w:t>（二）社会扶贫资金项目审计。</w:t>
      </w:r>
    </w:p>
    <w:p>
      <w:pPr>
        <w:spacing w:line="560" w:lineRule="exact"/>
        <w:ind w:firstLine="640" w:firstLineChars="200"/>
        <w:rPr>
          <w:rFonts w:eastAsia="仿宋_GB2312"/>
          <w:color w:val="000000"/>
          <w:sz w:val="32"/>
          <w:szCs w:val="32"/>
        </w:rPr>
      </w:pPr>
      <w:r>
        <w:rPr>
          <w:rFonts w:eastAsia="仿宋_GB2312"/>
          <w:sz w:val="32"/>
          <w:szCs w:val="32"/>
        </w:rPr>
        <w:t>为确保我市社会扶贫资金使用安全，特聘请四川中联会计师事务所，</w:t>
      </w:r>
      <w:r>
        <w:rPr>
          <w:rFonts w:eastAsia="仿宋_GB2312"/>
          <w:color w:val="000000"/>
          <w:sz w:val="32"/>
          <w:szCs w:val="32"/>
        </w:rPr>
        <w:t>对四川省扶贫基金会攀枝花分会2019年捐赠资金</w:t>
      </w:r>
      <w:r>
        <w:rPr>
          <w:rFonts w:eastAsia="仿宋_GB2312"/>
          <w:sz w:val="32"/>
          <w:szCs w:val="32"/>
        </w:rPr>
        <w:t>2300万</w:t>
      </w:r>
      <w:r>
        <w:rPr>
          <w:rFonts w:eastAsia="仿宋_GB2312"/>
          <w:color w:val="000000"/>
          <w:sz w:val="32"/>
          <w:szCs w:val="32"/>
        </w:rPr>
        <w:t>元的管理使用及项目实施、完工情况进行了审计，费用4.94万元，结余经费财政已收回。</w:t>
      </w:r>
    </w:p>
    <w:p>
      <w:pPr>
        <w:spacing w:line="560" w:lineRule="exact"/>
        <w:ind w:firstLine="640" w:firstLineChars="200"/>
        <w:rPr>
          <w:rFonts w:eastAsia="楷体_GB2312"/>
          <w:sz w:val="32"/>
          <w:szCs w:val="32"/>
        </w:rPr>
      </w:pPr>
      <w:r>
        <w:rPr>
          <w:rFonts w:eastAsia="楷体_GB2312"/>
          <w:sz w:val="32"/>
          <w:szCs w:val="32"/>
        </w:rPr>
        <w:t>（三）扶贫信息视频系统维护。</w:t>
      </w:r>
    </w:p>
    <w:p>
      <w:pPr>
        <w:spacing w:line="560" w:lineRule="exact"/>
        <w:ind w:firstLine="640" w:firstLineChars="200"/>
        <w:rPr>
          <w:rFonts w:eastAsia="仿宋_GB2312"/>
          <w:sz w:val="32"/>
          <w:szCs w:val="32"/>
        </w:rPr>
      </w:pPr>
      <w:r>
        <w:rPr>
          <w:rFonts w:eastAsia="仿宋_GB2312"/>
          <w:color w:val="000000"/>
          <w:sz w:val="32"/>
          <w:szCs w:val="32"/>
        </w:rPr>
        <w:t>经统一部署安排，2018年6月底，我市完成了扶贫信息视频会议系统建设，实现了省市县三级视频信号的有效传输和互联互通，为确保该视频会议系统正常运行，2019年度扶贫信息视频系统维护费用支出7.1万元。</w:t>
      </w:r>
    </w:p>
    <w:p>
      <w:pPr>
        <w:autoSpaceDE w:val="0"/>
        <w:autoSpaceDN w:val="0"/>
        <w:adjustRightInd w:val="0"/>
        <w:spacing w:line="560" w:lineRule="exact"/>
        <w:ind w:firstLine="640" w:firstLineChars="200"/>
        <w:jc w:val="left"/>
        <w:rPr>
          <w:rFonts w:eastAsia="黑体"/>
          <w:sz w:val="32"/>
          <w:szCs w:val="32"/>
        </w:rPr>
      </w:pPr>
      <w:r>
        <w:rPr>
          <w:rFonts w:eastAsia="黑体"/>
          <w:sz w:val="32"/>
          <w:szCs w:val="32"/>
        </w:rPr>
        <w:t>三、综合评价情况及评价结论</w:t>
      </w:r>
    </w:p>
    <w:p>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2019年市级提高了扶贫干部的“四个意识”，强化干部自我本领，为打赢脱贫攻坚战，打下坚定基础；确保扶贫资金发挥社会效益，推动我市社会扶贫项目实施，保障社会扶贫项目资金落实到位，加强了对项目资金使用情况的监管；提高了扶贫系统政务运转，促进扶贫工作低成本、高效能运转；为打好精准脱贫攻坚、决胜全面建成小康社会凝聚力量营造氛围。</w:t>
      </w:r>
    </w:p>
    <w:p>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经自查，我局2019年市级财政专项资金使用合理，不存在违规违纪现象，各项目的开展均达到预期效果，绩效目标完成良好，自评得分100分。</w:t>
      </w:r>
    </w:p>
    <w:p>
      <w:pPr>
        <w:autoSpaceDE w:val="0"/>
        <w:autoSpaceDN w:val="0"/>
        <w:adjustRightInd w:val="0"/>
        <w:spacing w:line="560" w:lineRule="exact"/>
        <w:ind w:firstLine="640" w:firstLineChars="200"/>
        <w:jc w:val="left"/>
        <w:rPr>
          <w:rFonts w:eastAsia="黑体"/>
          <w:sz w:val="32"/>
          <w:szCs w:val="32"/>
        </w:rPr>
      </w:pPr>
      <w:r>
        <w:rPr>
          <w:rFonts w:eastAsia="黑体"/>
          <w:sz w:val="32"/>
          <w:szCs w:val="32"/>
        </w:rPr>
        <w:t>四、绩效评价指标分析</w:t>
      </w:r>
    </w:p>
    <w:p>
      <w:pPr>
        <w:autoSpaceDE w:val="0"/>
        <w:autoSpaceDN w:val="0"/>
        <w:adjustRightInd w:val="0"/>
        <w:spacing w:line="560" w:lineRule="exact"/>
        <w:ind w:firstLine="630"/>
        <w:jc w:val="left"/>
        <w:rPr>
          <w:rFonts w:eastAsia="楷体_GB2312"/>
          <w:sz w:val="32"/>
          <w:szCs w:val="32"/>
        </w:rPr>
      </w:pPr>
      <w:r>
        <w:rPr>
          <w:rFonts w:eastAsia="楷体_GB2312"/>
          <w:sz w:val="32"/>
          <w:szCs w:val="32"/>
        </w:rPr>
        <w:t>（一）项目决策情况</w:t>
      </w:r>
      <w:r>
        <w:rPr>
          <w:rFonts w:hint="eastAsia" w:eastAsia="楷体_GB2312"/>
          <w:sz w:val="32"/>
          <w:szCs w:val="32"/>
        </w:rPr>
        <w:t>。</w:t>
      </w:r>
    </w:p>
    <w:p>
      <w:pPr>
        <w:autoSpaceDE w:val="0"/>
        <w:autoSpaceDN w:val="0"/>
        <w:adjustRightInd w:val="0"/>
        <w:spacing w:line="560" w:lineRule="exact"/>
        <w:ind w:firstLine="630"/>
        <w:jc w:val="left"/>
        <w:rPr>
          <w:rFonts w:eastAsia="仿宋_GB2312"/>
          <w:sz w:val="32"/>
          <w:szCs w:val="32"/>
        </w:rPr>
      </w:pPr>
      <w:r>
        <w:rPr>
          <w:rFonts w:eastAsia="仿宋_GB2312"/>
          <w:sz w:val="32"/>
          <w:szCs w:val="32"/>
        </w:rPr>
        <w:t>以上项目的决策，通过对上年脱</w:t>
      </w:r>
      <w:r>
        <w:rPr>
          <w:rFonts w:hint="eastAsia" w:eastAsia="仿宋_GB2312"/>
          <w:sz w:val="32"/>
          <w:szCs w:val="32"/>
          <w:lang w:eastAsia="zh-CN"/>
        </w:rPr>
        <w:t>贫</w:t>
      </w:r>
      <w:bookmarkStart w:id="77" w:name="_GoBack"/>
      <w:bookmarkEnd w:id="77"/>
      <w:r>
        <w:rPr>
          <w:rFonts w:eastAsia="仿宋_GB2312"/>
          <w:sz w:val="32"/>
          <w:szCs w:val="32"/>
        </w:rPr>
        <w:t>攻坚开展情况分析，对2019需要实施项目进行评估研究确定。</w:t>
      </w:r>
    </w:p>
    <w:p>
      <w:pPr>
        <w:spacing w:line="560" w:lineRule="exact"/>
        <w:ind w:firstLine="640"/>
        <w:rPr>
          <w:rFonts w:eastAsia="楷体_GB2312"/>
          <w:sz w:val="32"/>
          <w:szCs w:val="32"/>
        </w:rPr>
      </w:pPr>
      <w:r>
        <w:rPr>
          <w:rFonts w:eastAsia="楷体_GB2312"/>
          <w:sz w:val="32"/>
          <w:szCs w:val="32"/>
        </w:rPr>
        <w:t>（二）项目过程情况</w:t>
      </w:r>
      <w:r>
        <w:rPr>
          <w:rFonts w:hint="eastAsia" w:eastAsia="楷体_GB2312"/>
          <w:sz w:val="32"/>
          <w:szCs w:val="32"/>
        </w:rPr>
        <w:t>。</w:t>
      </w:r>
    </w:p>
    <w:p>
      <w:pPr>
        <w:spacing w:line="560" w:lineRule="exact"/>
        <w:ind w:firstLine="640"/>
        <w:rPr>
          <w:rFonts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我局组织脱贫攻坚干部到西南财经大学、四川农业大学（温江校区）进行了脱贫攻坚专题培训两期，共培训脱贫干部166人次。</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2019年8月底，市财政局、市扶贫开发局联合举办了2019年财政扶贫政策培训班，共培训相关人员120余人次。</w:t>
      </w:r>
    </w:p>
    <w:p>
      <w:pPr>
        <w:spacing w:line="560" w:lineRule="exact"/>
        <w:ind w:firstLine="640" w:firstLineChars="200"/>
        <w:rPr>
          <w:rFonts w:eastAsia="仿宋_GB2312"/>
          <w:color w:val="000000"/>
          <w:sz w:val="32"/>
          <w:szCs w:val="32"/>
        </w:rPr>
      </w:pPr>
      <w:r>
        <w:rPr>
          <w:rFonts w:hint="eastAsia" w:eastAsia="仿宋_GB2312"/>
          <w:sz w:val="32"/>
          <w:szCs w:val="32"/>
        </w:rPr>
        <w:t>3.</w:t>
      </w:r>
      <w:r>
        <w:rPr>
          <w:rFonts w:eastAsia="仿宋_GB2312"/>
          <w:sz w:val="32"/>
          <w:szCs w:val="32"/>
        </w:rPr>
        <w:t>聘请四川中联会计师事务所，</w:t>
      </w:r>
      <w:r>
        <w:rPr>
          <w:rFonts w:eastAsia="仿宋_GB2312"/>
          <w:color w:val="000000"/>
          <w:sz w:val="32"/>
          <w:szCs w:val="32"/>
        </w:rPr>
        <w:t>对四川省扶贫基金会攀枝花分会2019年捐赠资金</w:t>
      </w:r>
      <w:r>
        <w:rPr>
          <w:rFonts w:eastAsia="仿宋_GB2312"/>
          <w:sz w:val="32"/>
          <w:szCs w:val="32"/>
        </w:rPr>
        <w:t>2300万</w:t>
      </w:r>
      <w:r>
        <w:rPr>
          <w:rFonts w:eastAsia="仿宋_GB2312"/>
          <w:color w:val="000000"/>
          <w:sz w:val="32"/>
          <w:szCs w:val="32"/>
        </w:rPr>
        <w:t>元的管理使用及项目实施、完工情况进行了审计。</w:t>
      </w:r>
    </w:p>
    <w:p>
      <w:pPr>
        <w:spacing w:line="560" w:lineRule="exact"/>
        <w:ind w:firstLine="640" w:firstLineChars="200"/>
        <w:rPr>
          <w:rFonts w:eastAsia="楷体_GB2312"/>
          <w:sz w:val="32"/>
          <w:szCs w:val="32"/>
        </w:rPr>
      </w:pPr>
      <w:r>
        <w:rPr>
          <w:rFonts w:eastAsia="仿宋_GB2312"/>
          <w:color w:val="000000"/>
          <w:sz w:val="32"/>
          <w:szCs w:val="32"/>
        </w:rPr>
        <w:t>4</w:t>
      </w:r>
      <w:r>
        <w:rPr>
          <w:rFonts w:hint="eastAsia" w:eastAsia="仿宋_GB2312"/>
          <w:color w:val="000000"/>
          <w:sz w:val="32"/>
          <w:szCs w:val="32"/>
        </w:rPr>
        <w:t>.</w:t>
      </w:r>
      <w:r>
        <w:rPr>
          <w:rFonts w:eastAsia="仿宋_GB2312"/>
          <w:color w:val="000000"/>
          <w:sz w:val="32"/>
          <w:szCs w:val="32"/>
        </w:rPr>
        <w:t>完成了2019年扶贫信息视频会议系统的运行维护。</w:t>
      </w:r>
    </w:p>
    <w:p>
      <w:pPr>
        <w:autoSpaceDE w:val="0"/>
        <w:autoSpaceDN w:val="0"/>
        <w:adjustRightInd w:val="0"/>
        <w:spacing w:line="560" w:lineRule="exact"/>
        <w:ind w:firstLine="640"/>
        <w:jc w:val="left"/>
        <w:rPr>
          <w:rFonts w:eastAsia="楷体_GB2312"/>
          <w:sz w:val="32"/>
          <w:szCs w:val="32"/>
        </w:rPr>
      </w:pPr>
      <w:r>
        <w:rPr>
          <w:rFonts w:eastAsia="楷体_GB2312"/>
          <w:sz w:val="32"/>
          <w:szCs w:val="32"/>
        </w:rPr>
        <w:t>（三）项目产出情况</w:t>
      </w:r>
      <w:r>
        <w:rPr>
          <w:rFonts w:hint="eastAsia" w:eastAsia="楷体_GB2312"/>
          <w:sz w:val="32"/>
          <w:szCs w:val="32"/>
        </w:rPr>
        <w:t>。</w:t>
      </w:r>
    </w:p>
    <w:p>
      <w:pPr>
        <w:spacing w:line="56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w:t>
      </w:r>
      <w:r>
        <w:rPr>
          <w:rFonts w:eastAsia="仿宋_GB2312"/>
          <w:color w:val="000000"/>
          <w:sz w:val="32"/>
          <w:szCs w:val="32"/>
        </w:rPr>
        <w:t>我单位较好地完成了2019年脱贫攻坚干部培训工作，到年底完成全部项目的100%，因部门对培训工作经费的严格控制和节约开支，资金拨付为71.32%，年末培训费形成结余资金7.17万元。</w:t>
      </w:r>
    </w:p>
    <w:p>
      <w:pPr>
        <w:spacing w:line="56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w:t>
      </w:r>
      <w:r>
        <w:rPr>
          <w:rFonts w:eastAsia="仿宋_GB2312"/>
          <w:color w:val="000000"/>
          <w:sz w:val="32"/>
          <w:szCs w:val="32"/>
        </w:rPr>
        <w:t>完成了社会扶贫资金项目第三方审计工作，项目审计覆盖率达100%,到年底完成全部项目的100%，资金拨付98.8%。</w:t>
      </w:r>
    </w:p>
    <w:p>
      <w:pPr>
        <w:spacing w:line="56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w:t>
      </w:r>
      <w:r>
        <w:rPr>
          <w:rFonts w:eastAsia="仿宋_GB2312"/>
          <w:color w:val="000000"/>
          <w:sz w:val="32"/>
          <w:szCs w:val="32"/>
        </w:rPr>
        <w:t>完成了扶贫信息视频系统的日常维护工作，确保了全市扶贫信息视频系统的顺畅运行，保障了视频会议的正常开展，到年底完成全部项目的100%，资金拨付100%。</w:t>
      </w:r>
    </w:p>
    <w:p>
      <w:pPr>
        <w:autoSpaceDE w:val="0"/>
        <w:autoSpaceDN w:val="0"/>
        <w:adjustRightInd w:val="0"/>
        <w:spacing w:line="560" w:lineRule="exact"/>
        <w:ind w:firstLine="640"/>
        <w:jc w:val="left"/>
        <w:rPr>
          <w:rFonts w:eastAsia="楷体_GB2312"/>
          <w:sz w:val="32"/>
          <w:szCs w:val="32"/>
        </w:rPr>
      </w:pPr>
      <w:r>
        <w:rPr>
          <w:rFonts w:eastAsia="楷体_GB2312"/>
          <w:sz w:val="32"/>
          <w:szCs w:val="32"/>
        </w:rPr>
        <w:t>（四）项目效益情况</w:t>
      </w:r>
      <w:r>
        <w:rPr>
          <w:rFonts w:hint="eastAsia" w:eastAsia="楷体_GB2312"/>
          <w:sz w:val="32"/>
          <w:szCs w:val="32"/>
        </w:rPr>
        <w:t>。</w:t>
      </w:r>
    </w:p>
    <w:p>
      <w:pPr>
        <w:spacing w:line="56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w:t>
      </w:r>
      <w:r>
        <w:rPr>
          <w:rFonts w:eastAsia="仿宋_GB2312"/>
          <w:color w:val="000000"/>
          <w:sz w:val="32"/>
          <w:szCs w:val="32"/>
        </w:rPr>
        <w:t>有效提高了参加培训人员的工作能力和职业技术水平，提升了脱贫攻坚工作实效。</w:t>
      </w:r>
    </w:p>
    <w:p>
      <w:pPr>
        <w:spacing w:line="56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w:t>
      </w:r>
      <w:r>
        <w:rPr>
          <w:rFonts w:eastAsia="仿宋_GB2312"/>
          <w:color w:val="000000"/>
          <w:sz w:val="32"/>
          <w:szCs w:val="32"/>
        </w:rPr>
        <w:t>提升了脱贫攻坚工作的影响力和公信力。</w:t>
      </w:r>
    </w:p>
    <w:p>
      <w:pPr>
        <w:spacing w:line="56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w:t>
      </w:r>
      <w:r>
        <w:rPr>
          <w:rFonts w:eastAsia="仿宋_GB2312"/>
          <w:color w:val="000000"/>
          <w:sz w:val="32"/>
          <w:szCs w:val="32"/>
        </w:rPr>
        <w:t>提升了脱贫攻坚工作的效率，并节约了会议费的相应开支。</w:t>
      </w:r>
    </w:p>
    <w:p>
      <w:pPr>
        <w:spacing w:line="560" w:lineRule="exact"/>
        <w:ind w:firstLine="640" w:firstLineChars="200"/>
        <w:rPr>
          <w:rFonts w:eastAsia="黑体"/>
          <w:color w:val="000000"/>
          <w:sz w:val="32"/>
          <w:szCs w:val="32"/>
        </w:rPr>
      </w:pPr>
      <w:r>
        <w:rPr>
          <w:rFonts w:eastAsia="黑体"/>
          <w:color w:val="000000"/>
          <w:sz w:val="32"/>
          <w:szCs w:val="32"/>
        </w:rPr>
        <w:t>五、主要经验及做法、存在的问题及原因分析</w:t>
      </w:r>
    </w:p>
    <w:p>
      <w:pPr>
        <w:spacing w:line="560" w:lineRule="exact"/>
        <w:ind w:firstLine="640" w:firstLineChars="200"/>
        <w:rPr>
          <w:rFonts w:eastAsia="仿宋_GB2312"/>
          <w:color w:val="000000"/>
          <w:sz w:val="32"/>
          <w:szCs w:val="32"/>
        </w:rPr>
      </w:pPr>
      <w:r>
        <w:rPr>
          <w:rFonts w:hint="eastAsia" w:ascii="仿宋_GB2312" w:hAnsi="仿宋_GB2312" w:eastAsia="仿宋_GB2312" w:cs="仿宋_GB2312"/>
          <w:color w:val="000000"/>
          <w:sz w:val="32"/>
          <w:szCs w:val="32"/>
        </w:rPr>
        <w:t>（一）</w:t>
      </w:r>
      <w:r>
        <w:rPr>
          <w:rFonts w:hint="eastAsia" w:eastAsia="仿宋_GB2312"/>
          <w:color w:val="000000"/>
          <w:sz w:val="32"/>
          <w:szCs w:val="32"/>
        </w:rPr>
        <w:t>预算编制不够明确和细化，预算编制的合理性需要提高，预算执行力度还需要进一步加强。</w:t>
      </w:r>
    </w:p>
    <w:p>
      <w:pPr>
        <w:spacing w:line="560" w:lineRule="exact"/>
        <w:ind w:firstLine="640" w:firstLineChars="200"/>
        <w:rPr>
          <w:rFonts w:eastAsia="仿宋_GB2312"/>
          <w:color w:val="000000"/>
          <w:sz w:val="32"/>
          <w:szCs w:val="32"/>
        </w:rPr>
      </w:pPr>
      <w:r>
        <w:rPr>
          <w:rFonts w:hint="eastAsia" w:eastAsia="仿宋_GB2312"/>
          <w:color w:val="000000"/>
          <w:sz w:val="32"/>
          <w:szCs w:val="32"/>
        </w:rPr>
        <w:t>（二）项目下达后，项目实施准备不充分，项目推进不及时。</w:t>
      </w:r>
    </w:p>
    <w:p>
      <w:pPr>
        <w:spacing w:line="560" w:lineRule="exact"/>
        <w:ind w:firstLine="640" w:firstLineChars="200"/>
        <w:rPr>
          <w:rFonts w:eastAsia="黑体"/>
          <w:color w:val="000000"/>
          <w:sz w:val="32"/>
          <w:szCs w:val="32"/>
        </w:rPr>
      </w:pPr>
      <w:r>
        <w:rPr>
          <w:rFonts w:eastAsia="黑体"/>
          <w:color w:val="000000"/>
          <w:sz w:val="32"/>
          <w:szCs w:val="32"/>
        </w:rPr>
        <w:t>六、有关建议</w:t>
      </w:r>
    </w:p>
    <w:p>
      <w:pPr>
        <w:overflowPunct w:val="0"/>
        <w:topLinePunct/>
        <w:spacing w:line="560" w:lineRule="exact"/>
        <w:ind w:firstLine="640" w:firstLineChars="200"/>
        <w:rPr>
          <w:rFonts w:eastAsia="仿宋_GB2312"/>
          <w:color w:val="000000"/>
          <w:sz w:val="32"/>
          <w:szCs w:val="32"/>
        </w:rPr>
      </w:pPr>
      <w:r>
        <w:rPr>
          <w:rFonts w:eastAsia="仿宋_GB2312"/>
          <w:sz w:val="32"/>
          <w:szCs w:val="32"/>
          <w:lang w:val="zh-CN"/>
        </w:rPr>
        <w:t>提升项目管理实施人员的业务能力，科学编制项目预算，提高项目实施精细化管理水平，发挥单位项目支出效益最大化。</w:t>
      </w:r>
    </w:p>
    <w:p>
      <w:pPr>
        <w:numPr>
          <w:ilvl w:val="0"/>
          <w:numId w:val="4"/>
        </w:numPr>
        <w:spacing w:line="560" w:lineRule="exact"/>
        <w:ind w:firstLine="640" w:firstLineChars="200"/>
        <w:rPr>
          <w:rFonts w:eastAsia="黑体"/>
          <w:color w:val="000000"/>
          <w:sz w:val="32"/>
          <w:szCs w:val="32"/>
        </w:rPr>
      </w:pPr>
      <w:r>
        <w:rPr>
          <w:rFonts w:eastAsia="黑体"/>
          <w:color w:val="000000"/>
          <w:sz w:val="32"/>
          <w:szCs w:val="32"/>
        </w:rPr>
        <w:t>其他需要说明的问题</w:t>
      </w:r>
    </w:p>
    <w:p>
      <w:pPr>
        <w:spacing w:line="560" w:lineRule="exact"/>
        <w:rPr>
          <w:rFonts w:eastAsia="仿宋_GB2312"/>
          <w:color w:val="000000"/>
          <w:sz w:val="32"/>
          <w:szCs w:val="32"/>
        </w:rPr>
      </w:pPr>
      <w:r>
        <w:rPr>
          <w:rFonts w:eastAsia="仿宋_GB2312"/>
          <w:color w:val="000000"/>
          <w:sz w:val="32"/>
          <w:szCs w:val="32"/>
        </w:rPr>
        <w:t xml:space="preserve">    无。</w:t>
      </w:r>
    </w:p>
    <w:p>
      <w:pPr>
        <w:spacing w:line="580" w:lineRule="exact"/>
        <w:ind w:firstLine="640"/>
        <w:rPr>
          <w:rFonts w:eastAsia="仿宋_GB2312"/>
          <w:sz w:val="32"/>
          <w:szCs w:val="32"/>
        </w:rPr>
      </w:pPr>
    </w:p>
    <w:p>
      <w:pPr>
        <w:spacing w:line="580" w:lineRule="exact"/>
        <w:ind w:firstLine="640"/>
        <w:rPr>
          <w:rFonts w:eastAsia="仿宋_GB2312"/>
          <w:sz w:val="32"/>
          <w:szCs w:val="32"/>
        </w:rPr>
      </w:pPr>
    </w:p>
    <w:p>
      <w:pPr>
        <w:widowControl/>
        <w:jc w:val="left"/>
        <w:rPr>
          <w:rStyle w:val="25"/>
          <w:rFonts w:eastAsia="黑体"/>
          <w:b w:val="0"/>
        </w:rPr>
      </w:pPr>
    </w:p>
    <w:p>
      <w:pPr>
        <w:widowControl/>
        <w:jc w:val="left"/>
        <w:rPr>
          <w:rStyle w:val="25"/>
          <w:rFonts w:eastAsia="黑体"/>
          <w:b w:val="0"/>
        </w:rPr>
      </w:pPr>
      <w:r>
        <w:rPr>
          <w:rStyle w:val="25"/>
          <w:rFonts w:eastAsia="黑体"/>
          <w:b w:val="0"/>
        </w:rPr>
        <w:br w:type="page"/>
      </w:r>
    </w:p>
    <w:p>
      <w:pPr>
        <w:spacing w:line="600" w:lineRule="exact"/>
        <w:jc w:val="center"/>
        <w:outlineLvl w:val="0"/>
        <w:rPr>
          <w:rStyle w:val="25"/>
          <w:rFonts w:eastAsia="黑体"/>
          <w:b w:val="0"/>
        </w:rPr>
      </w:pPr>
    </w:p>
    <w:p>
      <w:pPr>
        <w:spacing w:line="600" w:lineRule="exact"/>
        <w:jc w:val="center"/>
        <w:outlineLvl w:val="0"/>
        <w:rPr>
          <w:rStyle w:val="25"/>
          <w:rFonts w:eastAsia="黑体"/>
          <w:b w:val="0"/>
        </w:rPr>
      </w:pPr>
      <w:bookmarkStart w:id="63" w:name="_Toc15396618"/>
      <w:r>
        <w:rPr>
          <w:rFonts w:hint="eastAsia" w:eastAsia="黑体"/>
          <w:color w:val="000000"/>
          <w:sz w:val="44"/>
          <w:szCs w:val="44"/>
        </w:rPr>
        <w:t>第</w:t>
      </w:r>
      <w:r>
        <w:rPr>
          <w:rStyle w:val="25"/>
          <w:rFonts w:hint="eastAsia" w:eastAsia="黑体"/>
          <w:b w:val="0"/>
        </w:rPr>
        <w:t>五部分</w:t>
      </w:r>
      <w:r>
        <w:rPr>
          <w:rStyle w:val="25"/>
          <w:rFonts w:eastAsia="黑体"/>
          <w:b w:val="0"/>
        </w:rPr>
        <w:t xml:space="preserve"> </w:t>
      </w:r>
      <w:r>
        <w:rPr>
          <w:rStyle w:val="25"/>
          <w:rFonts w:hint="eastAsia" w:eastAsia="黑体"/>
          <w:b w:val="0"/>
        </w:rPr>
        <w:t>附表</w:t>
      </w:r>
      <w:bookmarkEnd w:id="61"/>
      <w:bookmarkEnd w:id="63"/>
    </w:p>
    <w:p>
      <w:pPr>
        <w:spacing w:line="600" w:lineRule="exact"/>
        <w:jc w:val="center"/>
        <w:outlineLvl w:val="0"/>
        <w:rPr>
          <w:rFonts w:eastAsia="仿宋"/>
          <w:b/>
          <w:color w:val="000000"/>
          <w:sz w:val="44"/>
          <w:szCs w:val="44"/>
        </w:rPr>
      </w:pPr>
    </w:p>
    <w:p>
      <w:pPr>
        <w:pStyle w:val="3"/>
        <w:rPr>
          <w:rFonts w:ascii="仿宋_GB2312" w:hAnsi="仿宋_GB2312" w:eastAsia="仿宋_GB2312" w:cs="仿宋_GB2312"/>
          <w:color w:val="000000"/>
        </w:rPr>
      </w:pPr>
      <w:bookmarkStart w:id="64" w:name="_Toc15396619"/>
      <w:r>
        <w:rPr>
          <w:rFonts w:hint="eastAsia" w:ascii="仿宋_GB2312" w:hAnsi="仿宋_GB2312" w:eastAsia="仿宋_GB2312" w:cs="仿宋_GB2312"/>
          <w:b w:val="0"/>
          <w:color w:val="000000"/>
        </w:rPr>
        <w:t>一、收</w:t>
      </w:r>
      <w:r>
        <w:rPr>
          <w:rStyle w:val="26"/>
          <w:rFonts w:hint="eastAsia" w:ascii="仿宋_GB2312" w:hAnsi="仿宋_GB2312" w:eastAsia="仿宋_GB2312" w:cs="仿宋_GB2312"/>
          <w:b w:val="0"/>
          <w:bCs w:val="0"/>
        </w:rPr>
        <w:t>入支出决算总表</w:t>
      </w:r>
      <w:bookmarkEnd w:id="64"/>
    </w:p>
    <w:p>
      <w:pPr>
        <w:pStyle w:val="3"/>
        <w:rPr>
          <w:rFonts w:ascii="仿宋_GB2312" w:hAnsi="仿宋_GB2312" w:eastAsia="仿宋_GB2312" w:cs="仿宋_GB2312"/>
          <w:color w:val="000000"/>
        </w:rPr>
      </w:pPr>
      <w:bookmarkStart w:id="65" w:name="_Toc15396620"/>
      <w:r>
        <w:rPr>
          <w:rFonts w:hint="eastAsia" w:ascii="仿宋_GB2312" w:hAnsi="仿宋_GB2312" w:eastAsia="仿宋_GB2312" w:cs="仿宋_GB2312"/>
          <w:b w:val="0"/>
          <w:color w:val="000000"/>
        </w:rPr>
        <w:t>二、收</w:t>
      </w:r>
      <w:r>
        <w:rPr>
          <w:rStyle w:val="26"/>
          <w:rFonts w:hint="eastAsia" w:ascii="仿宋_GB2312" w:hAnsi="仿宋_GB2312" w:eastAsia="仿宋_GB2312" w:cs="仿宋_GB2312"/>
          <w:b w:val="0"/>
          <w:bCs w:val="0"/>
        </w:rPr>
        <w:t>入决算表</w:t>
      </w:r>
      <w:bookmarkEnd w:id="65"/>
    </w:p>
    <w:p>
      <w:pPr>
        <w:pStyle w:val="3"/>
        <w:rPr>
          <w:rFonts w:ascii="仿宋_GB2312" w:hAnsi="仿宋_GB2312" w:eastAsia="仿宋_GB2312" w:cs="仿宋_GB2312"/>
          <w:color w:val="000000"/>
        </w:rPr>
      </w:pPr>
      <w:bookmarkStart w:id="66" w:name="_Toc15396621"/>
      <w:r>
        <w:rPr>
          <w:rStyle w:val="26"/>
          <w:rFonts w:hint="eastAsia" w:ascii="仿宋_GB2312" w:hAnsi="仿宋_GB2312" w:eastAsia="仿宋_GB2312" w:cs="仿宋_GB2312"/>
          <w:b w:val="0"/>
          <w:bCs w:val="0"/>
        </w:rPr>
        <w:t>三、</w:t>
      </w:r>
      <w:r>
        <w:rPr>
          <w:rFonts w:hint="eastAsia" w:ascii="仿宋_GB2312" w:hAnsi="仿宋_GB2312" w:eastAsia="仿宋_GB2312" w:cs="仿宋_GB2312"/>
          <w:b w:val="0"/>
          <w:color w:val="000000"/>
        </w:rPr>
        <w:t>支</w:t>
      </w:r>
      <w:r>
        <w:rPr>
          <w:rStyle w:val="26"/>
          <w:rFonts w:hint="eastAsia" w:ascii="仿宋_GB2312" w:hAnsi="仿宋_GB2312" w:eastAsia="仿宋_GB2312" w:cs="仿宋_GB2312"/>
          <w:b w:val="0"/>
          <w:bCs w:val="0"/>
        </w:rPr>
        <w:t>出决算表</w:t>
      </w:r>
      <w:bookmarkEnd w:id="66"/>
    </w:p>
    <w:p>
      <w:pPr>
        <w:pStyle w:val="3"/>
        <w:rPr>
          <w:rFonts w:ascii="仿宋_GB2312" w:hAnsi="仿宋_GB2312" w:eastAsia="仿宋_GB2312" w:cs="仿宋_GB2312"/>
          <w:b w:val="0"/>
          <w:color w:val="000000"/>
        </w:rPr>
      </w:pPr>
      <w:bookmarkStart w:id="67" w:name="_Toc15396622"/>
      <w:r>
        <w:rPr>
          <w:rStyle w:val="26"/>
          <w:rFonts w:hint="eastAsia" w:ascii="仿宋_GB2312" w:hAnsi="仿宋_GB2312" w:eastAsia="仿宋_GB2312" w:cs="仿宋_GB2312"/>
          <w:b w:val="0"/>
          <w:bCs w:val="0"/>
        </w:rPr>
        <w:t>四、</w:t>
      </w:r>
      <w:r>
        <w:rPr>
          <w:rFonts w:hint="eastAsia" w:ascii="仿宋_GB2312" w:hAnsi="仿宋_GB2312" w:eastAsia="仿宋_GB2312" w:cs="仿宋_GB2312"/>
          <w:b w:val="0"/>
          <w:color w:val="000000"/>
        </w:rPr>
        <w:t>财</w:t>
      </w:r>
      <w:r>
        <w:rPr>
          <w:rStyle w:val="26"/>
          <w:rFonts w:hint="eastAsia" w:ascii="仿宋_GB2312" w:hAnsi="仿宋_GB2312" w:eastAsia="仿宋_GB2312" w:cs="仿宋_GB2312"/>
          <w:b w:val="0"/>
          <w:bCs w:val="0"/>
        </w:rPr>
        <w:t>政拨款收入支出决算总表</w:t>
      </w:r>
      <w:bookmarkEnd w:id="67"/>
    </w:p>
    <w:p>
      <w:pPr>
        <w:pStyle w:val="3"/>
        <w:rPr>
          <w:rStyle w:val="26"/>
          <w:rFonts w:ascii="仿宋_GB2312" w:hAnsi="仿宋_GB2312" w:eastAsia="仿宋_GB2312" w:cs="仿宋_GB2312"/>
          <w:b w:val="0"/>
          <w:bCs w:val="0"/>
        </w:rPr>
      </w:pPr>
      <w:bookmarkStart w:id="68" w:name="_Toc15396623"/>
      <w:r>
        <w:rPr>
          <w:rStyle w:val="26"/>
          <w:rFonts w:hint="eastAsia" w:ascii="仿宋_GB2312" w:hAnsi="仿宋_GB2312" w:eastAsia="仿宋_GB2312" w:cs="仿宋_GB2312"/>
          <w:b w:val="0"/>
          <w:bCs w:val="0"/>
        </w:rPr>
        <w:t>五、</w:t>
      </w:r>
      <w:r>
        <w:rPr>
          <w:rFonts w:hint="eastAsia" w:ascii="仿宋_GB2312" w:hAnsi="仿宋_GB2312" w:eastAsia="仿宋_GB2312" w:cs="仿宋_GB2312"/>
          <w:b w:val="0"/>
          <w:color w:val="000000"/>
        </w:rPr>
        <w:t>财</w:t>
      </w:r>
      <w:r>
        <w:rPr>
          <w:rStyle w:val="26"/>
          <w:rFonts w:hint="eastAsia" w:ascii="仿宋_GB2312" w:hAnsi="仿宋_GB2312" w:eastAsia="仿宋_GB2312" w:cs="仿宋_GB2312"/>
          <w:b w:val="0"/>
          <w:bCs w:val="0"/>
        </w:rPr>
        <w:t>政拨款支出决算明细表</w:t>
      </w:r>
      <w:bookmarkEnd w:id="68"/>
      <w:bookmarkStart w:id="69" w:name="_Toc15396624"/>
    </w:p>
    <w:p>
      <w:pPr>
        <w:pStyle w:val="3"/>
        <w:rPr>
          <w:rFonts w:ascii="仿宋_GB2312" w:hAnsi="仿宋_GB2312" w:eastAsia="仿宋_GB2312" w:cs="仿宋_GB2312"/>
          <w:color w:val="000000"/>
        </w:rPr>
      </w:pPr>
      <w:r>
        <w:rPr>
          <w:rStyle w:val="26"/>
          <w:rFonts w:hint="eastAsia" w:ascii="仿宋_GB2312" w:hAnsi="仿宋_GB2312" w:eastAsia="仿宋_GB2312" w:cs="仿宋_GB2312"/>
          <w:b w:val="0"/>
          <w:bCs w:val="0"/>
        </w:rPr>
        <w:t>六、</w:t>
      </w:r>
      <w:r>
        <w:rPr>
          <w:rFonts w:hint="eastAsia" w:ascii="仿宋_GB2312" w:hAnsi="仿宋_GB2312" w:eastAsia="仿宋_GB2312" w:cs="仿宋_GB2312"/>
          <w:b w:val="0"/>
          <w:color w:val="000000"/>
        </w:rPr>
        <w:t>一</w:t>
      </w:r>
      <w:r>
        <w:rPr>
          <w:rStyle w:val="26"/>
          <w:rFonts w:hint="eastAsia" w:ascii="仿宋_GB2312" w:hAnsi="仿宋_GB2312" w:eastAsia="仿宋_GB2312" w:cs="仿宋_GB2312"/>
          <w:b w:val="0"/>
          <w:bCs w:val="0"/>
        </w:rPr>
        <w:t>般公共预算财政拨款支出决算表</w:t>
      </w:r>
      <w:bookmarkEnd w:id="69"/>
    </w:p>
    <w:p>
      <w:pPr>
        <w:pStyle w:val="3"/>
        <w:rPr>
          <w:rFonts w:ascii="仿宋_GB2312" w:hAnsi="仿宋_GB2312" w:eastAsia="仿宋_GB2312" w:cs="仿宋_GB2312"/>
          <w:color w:val="000000"/>
        </w:rPr>
      </w:pPr>
      <w:bookmarkStart w:id="70" w:name="_Toc15396625"/>
      <w:r>
        <w:rPr>
          <w:rStyle w:val="26"/>
          <w:rFonts w:hint="eastAsia" w:ascii="仿宋_GB2312" w:hAnsi="仿宋_GB2312" w:eastAsia="仿宋_GB2312" w:cs="仿宋_GB2312"/>
          <w:b w:val="0"/>
          <w:bCs w:val="0"/>
        </w:rPr>
        <w:t>七、</w:t>
      </w:r>
      <w:r>
        <w:rPr>
          <w:rFonts w:hint="eastAsia" w:ascii="仿宋_GB2312" w:hAnsi="仿宋_GB2312" w:eastAsia="仿宋_GB2312" w:cs="仿宋_GB2312"/>
          <w:b w:val="0"/>
          <w:color w:val="000000"/>
        </w:rPr>
        <w:t>一</w:t>
      </w:r>
      <w:r>
        <w:rPr>
          <w:rStyle w:val="26"/>
          <w:rFonts w:hint="eastAsia" w:ascii="仿宋_GB2312" w:hAnsi="仿宋_GB2312" w:eastAsia="仿宋_GB2312" w:cs="仿宋_GB2312"/>
          <w:b w:val="0"/>
          <w:bCs w:val="0"/>
        </w:rPr>
        <w:t>般公共预算财政拨款支出决算明细表</w:t>
      </w:r>
      <w:bookmarkEnd w:id="70"/>
    </w:p>
    <w:p>
      <w:pPr>
        <w:pStyle w:val="3"/>
        <w:rPr>
          <w:rFonts w:ascii="仿宋_GB2312" w:hAnsi="仿宋_GB2312" w:eastAsia="仿宋_GB2312" w:cs="仿宋_GB2312"/>
          <w:color w:val="000000"/>
        </w:rPr>
      </w:pPr>
      <w:bookmarkStart w:id="71" w:name="_Toc15396626"/>
      <w:r>
        <w:rPr>
          <w:rStyle w:val="26"/>
          <w:rFonts w:hint="eastAsia" w:ascii="仿宋_GB2312" w:hAnsi="仿宋_GB2312" w:eastAsia="仿宋_GB2312" w:cs="仿宋_GB2312"/>
          <w:b w:val="0"/>
          <w:bCs w:val="0"/>
        </w:rPr>
        <w:t>八、</w:t>
      </w:r>
      <w:r>
        <w:rPr>
          <w:rFonts w:hint="eastAsia" w:ascii="仿宋_GB2312" w:hAnsi="仿宋_GB2312" w:eastAsia="仿宋_GB2312" w:cs="仿宋_GB2312"/>
          <w:b w:val="0"/>
          <w:color w:val="000000"/>
        </w:rPr>
        <w:t>一</w:t>
      </w:r>
      <w:r>
        <w:rPr>
          <w:rStyle w:val="26"/>
          <w:rFonts w:hint="eastAsia" w:ascii="仿宋_GB2312" w:hAnsi="仿宋_GB2312" w:eastAsia="仿宋_GB2312" w:cs="仿宋_GB2312"/>
          <w:b w:val="0"/>
          <w:bCs w:val="0"/>
        </w:rPr>
        <w:t>般公共预算财政拨款基本支出决算表</w:t>
      </w:r>
      <w:bookmarkEnd w:id="71"/>
    </w:p>
    <w:p>
      <w:pPr>
        <w:pStyle w:val="3"/>
        <w:rPr>
          <w:rFonts w:ascii="仿宋_GB2312" w:hAnsi="仿宋_GB2312" w:eastAsia="仿宋_GB2312" w:cs="仿宋_GB2312"/>
          <w:color w:val="000000"/>
        </w:rPr>
      </w:pPr>
      <w:bookmarkStart w:id="72" w:name="_Toc15396627"/>
      <w:r>
        <w:rPr>
          <w:rStyle w:val="26"/>
          <w:rFonts w:hint="eastAsia" w:ascii="仿宋_GB2312" w:hAnsi="仿宋_GB2312" w:eastAsia="仿宋_GB2312" w:cs="仿宋_GB2312"/>
          <w:b w:val="0"/>
          <w:bCs w:val="0"/>
        </w:rPr>
        <w:t>九、</w:t>
      </w:r>
      <w:r>
        <w:rPr>
          <w:rFonts w:hint="eastAsia" w:ascii="仿宋_GB2312" w:hAnsi="仿宋_GB2312" w:eastAsia="仿宋_GB2312" w:cs="仿宋_GB2312"/>
          <w:b w:val="0"/>
          <w:color w:val="000000"/>
        </w:rPr>
        <w:t>一</w:t>
      </w:r>
      <w:r>
        <w:rPr>
          <w:rStyle w:val="26"/>
          <w:rFonts w:hint="eastAsia" w:ascii="仿宋_GB2312" w:hAnsi="仿宋_GB2312" w:eastAsia="仿宋_GB2312" w:cs="仿宋_GB2312"/>
          <w:b w:val="0"/>
          <w:bCs w:val="0"/>
        </w:rPr>
        <w:t>般公共预算财政拨款项目支出决算表</w:t>
      </w:r>
      <w:bookmarkEnd w:id="72"/>
    </w:p>
    <w:p>
      <w:pPr>
        <w:pStyle w:val="3"/>
        <w:rPr>
          <w:rFonts w:ascii="仿宋_GB2312" w:hAnsi="仿宋_GB2312" w:eastAsia="仿宋_GB2312" w:cs="仿宋_GB2312"/>
          <w:color w:val="000000"/>
        </w:rPr>
      </w:pPr>
      <w:bookmarkStart w:id="73" w:name="_Toc15396628"/>
      <w:r>
        <w:rPr>
          <w:rStyle w:val="26"/>
          <w:rFonts w:hint="eastAsia" w:ascii="仿宋_GB2312" w:hAnsi="仿宋_GB2312" w:eastAsia="仿宋_GB2312" w:cs="仿宋_GB2312"/>
          <w:b w:val="0"/>
          <w:bCs w:val="0"/>
        </w:rPr>
        <w:t>十、</w:t>
      </w:r>
      <w:r>
        <w:rPr>
          <w:rFonts w:hint="eastAsia" w:ascii="仿宋_GB2312" w:hAnsi="仿宋_GB2312" w:eastAsia="仿宋_GB2312" w:cs="仿宋_GB2312"/>
          <w:b w:val="0"/>
          <w:color w:val="000000"/>
        </w:rPr>
        <w:t>一</w:t>
      </w:r>
      <w:r>
        <w:rPr>
          <w:rStyle w:val="26"/>
          <w:rFonts w:hint="eastAsia" w:ascii="仿宋_GB2312" w:hAnsi="仿宋_GB2312" w:eastAsia="仿宋_GB2312" w:cs="仿宋_GB2312"/>
          <w:b w:val="0"/>
          <w:bCs w:val="0"/>
        </w:rPr>
        <w:t>般公共预算财政拨款“三公”经费支出决算表</w:t>
      </w:r>
      <w:bookmarkEnd w:id="73"/>
    </w:p>
    <w:p>
      <w:pPr>
        <w:pStyle w:val="3"/>
        <w:rPr>
          <w:rFonts w:ascii="仿宋_GB2312" w:hAnsi="仿宋_GB2312" w:eastAsia="仿宋_GB2312" w:cs="仿宋_GB2312"/>
          <w:color w:val="000000"/>
        </w:rPr>
      </w:pPr>
      <w:bookmarkStart w:id="74" w:name="_Toc15396629"/>
      <w:r>
        <w:rPr>
          <w:rStyle w:val="26"/>
          <w:rFonts w:hint="eastAsia" w:ascii="仿宋_GB2312" w:hAnsi="仿宋_GB2312" w:eastAsia="仿宋_GB2312" w:cs="仿宋_GB2312"/>
          <w:b w:val="0"/>
          <w:bCs w:val="0"/>
        </w:rPr>
        <w:t>十一、</w:t>
      </w:r>
      <w:r>
        <w:rPr>
          <w:rFonts w:hint="eastAsia" w:ascii="仿宋_GB2312" w:hAnsi="仿宋_GB2312" w:eastAsia="仿宋_GB2312" w:cs="仿宋_GB2312"/>
          <w:b w:val="0"/>
          <w:color w:val="000000"/>
        </w:rPr>
        <w:t>政</w:t>
      </w:r>
      <w:r>
        <w:rPr>
          <w:rStyle w:val="26"/>
          <w:rFonts w:hint="eastAsia" w:ascii="仿宋_GB2312" w:hAnsi="仿宋_GB2312" w:eastAsia="仿宋_GB2312" w:cs="仿宋_GB2312"/>
          <w:b w:val="0"/>
          <w:bCs w:val="0"/>
        </w:rPr>
        <w:t>府性基金预算财政拨款收入支出决算表</w:t>
      </w:r>
      <w:bookmarkEnd w:id="74"/>
    </w:p>
    <w:p>
      <w:pPr>
        <w:pStyle w:val="3"/>
        <w:rPr>
          <w:rFonts w:ascii="仿宋_GB2312" w:hAnsi="仿宋_GB2312" w:eastAsia="仿宋_GB2312" w:cs="仿宋_GB2312"/>
          <w:color w:val="000000"/>
        </w:rPr>
      </w:pPr>
      <w:bookmarkStart w:id="75" w:name="_Toc15396630"/>
      <w:r>
        <w:rPr>
          <w:rStyle w:val="26"/>
          <w:rFonts w:hint="eastAsia" w:ascii="仿宋_GB2312" w:hAnsi="仿宋_GB2312" w:eastAsia="仿宋_GB2312" w:cs="仿宋_GB2312"/>
          <w:b w:val="0"/>
          <w:bCs w:val="0"/>
        </w:rPr>
        <w:t>十二、</w:t>
      </w:r>
      <w:r>
        <w:rPr>
          <w:rFonts w:hint="eastAsia" w:ascii="仿宋_GB2312" w:hAnsi="仿宋_GB2312" w:eastAsia="仿宋_GB2312" w:cs="仿宋_GB2312"/>
          <w:b w:val="0"/>
          <w:color w:val="000000"/>
        </w:rPr>
        <w:t>政</w:t>
      </w:r>
      <w:r>
        <w:rPr>
          <w:rStyle w:val="26"/>
          <w:rFonts w:hint="eastAsia" w:ascii="仿宋_GB2312" w:hAnsi="仿宋_GB2312" w:eastAsia="仿宋_GB2312" w:cs="仿宋_GB2312"/>
          <w:b w:val="0"/>
          <w:bCs w:val="0"/>
        </w:rPr>
        <w:t>府性基金预算财政拨款“三公”经费支出决算表</w:t>
      </w:r>
      <w:bookmarkEnd w:id="75"/>
    </w:p>
    <w:p>
      <w:pPr>
        <w:pStyle w:val="3"/>
        <w:rPr>
          <w:rFonts w:ascii="仿宋_GB2312" w:hAnsi="仿宋_GB2312" w:eastAsia="仿宋_GB2312" w:cs="仿宋_GB2312"/>
          <w:color w:val="000000" w:themeColor="text1"/>
          <w14:textFill>
            <w14:solidFill>
              <w14:schemeClr w14:val="tx1"/>
            </w14:solidFill>
          </w14:textFill>
        </w:rPr>
      </w:pPr>
      <w:bookmarkStart w:id="76" w:name="_Toc15396631"/>
      <w:r>
        <w:rPr>
          <w:rStyle w:val="26"/>
          <w:rFonts w:hint="eastAsia" w:ascii="仿宋_GB2312" w:hAnsi="仿宋_GB2312" w:eastAsia="仿宋_GB2312" w:cs="仿宋_GB2312"/>
          <w:b w:val="0"/>
          <w:bCs w:val="0"/>
        </w:rPr>
        <w:t>十三、</w:t>
      </w:r>
      <w:r>
        <w:rPr>
          <w:rFonts w:hint="eastAsia" w:ascii="仿宋_GB2312" w:hAnsi="仿宋_GB2312" w:eastAsia="仿宋_GB2312" w:cs="仿宋_GB2312"/>
          <w:b w:val="0"/>
          <w:color w:val="000000"/>
        </w:rPr>
        <w:t>国</w:t>
      </w:r>
      <w:r>
        <w:rPr>
          <w:rStyle w:val="26"/>
          <w:rFonts w:hint="eastAsia" w:ascii="仿宋_GB2312" w:hAnsi="仿宋_GB2312" w:eastAsia="仿宋_GB2312" w:cs="仿宋_GB2312"/>
          <w:b w:val="0"/>
          <w:bCs w:val="0"/>
        </w:rPr>
        <w:t>有资本经营预算支出决算表</w:t>
      </w:r>
      <w:bookmarkEnd w:id="7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楷体">
    <w:panose1 w:val="02010609060101010101"/>
    <w:charset w:val="86"/>
    <w:family w:val="auto"/>
    <w:pitch w:val="default"/>
    <w:sig w:usb0="800002BF" w:usb1="38CF7CFA" w:usb2="00000016" w:usb3="00000000" w:csb0="00040001"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43</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0DF55"/>
    <w:multiLevelType w:val="singleLevel"/>
    <w:tmpl w:val="C510DF55"/>
    <w:lvl w:ilvl="0" w:tentative="0">
      <w:start w:val="7"/>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379C"/>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216A9"/>
    <w:rsid w:val="00335A74"/>
    <w:rsid w:val="00362EA7"/>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1A36"/>
    <w:rsid w:val="00406254"/>
    <w:rsid w:val="00416CD4"/>
    <w:rsid w:val="004223DE"/>
    <w:rsid w:val="00434489"/>
    <w:rsid w:val="00437085"/>
    <w:rsid w:val="00443880"/>
    <w:rsid w:val="004464F4"/>
    <w:rsid w:val="00471401"/>
    <w:rsid w:val="00473F31"/>
    <w:rsid w:val="0048263A"/>
    <w:rsid w:val="00487E5D"/>
    <w:rsid w:val="004A711F"/>
    <w:rsid w:val="004B199D"/>
    <w:rsid w:val="004B2485"/>
    <w:rsid w:val="004B4690"/>
    <w:rsid w:val="004E0A2D"/>
    <w:rsid w:val="004E206B"/>
    <w:rsid w:val="004E6DF7"/>
    <w:rsid w:val="004F0FBD"/>
    <w:rsid w:val="004F403E"/>
    <w:rsid w:val="004F5C7E"/>
    <w:rsid w:val="00505A47"/>
    <w:rsid w:val="00512FDA"/>
    <w:rsid w:val="00520DA0"/>
    <w:rsid w:val="005412A8"/>
    <w:rsid w:val="005664BB"/>
    <w:rsid w:val="00566FFA"/>
    <w:rsid w:val="0057481D"/>
    <w:rsid w:val="00575F0B"/>
    <w:rsid w:val="0058486E"/>
    <w:rsid w:val="00585B33"/>
    <w:rsid w:val="0059014D"/>
    <w:rsid w:val="005B5C64"/>
    <w:rsid w:val="005C6BD0"/>
    <w:rsid w:val="005C6C4C"/>
    <w:rsid w:val="005D1C8B"/>
    <w:rsid w:val="005D468D"/>
    <w:rsid w:val="005D5CED"/>
    <w:rsid w:val="005F11EC"/>
    <w:rsid w:val="005F1A4C"/>
    <w:rsid w:val="00605688"/>
    <w:rsid w:val="006070AF"/>
    <w:rsid w:val="00607E6C"/>
    <w:rsid w:val="006101B1"/>
    <w:rsid w:val="00614E44"/>
    <w:rsid w:val="0062270A"/>
    <w:rsid w:val="00622830"/>
    <w:rsid w:val="00623DA0"/>
    <w:rsid w:val="00630AEF"/>
    <w:rsid w:val="006325F8"/>
    <w:rsid w:val="00633463"/>
    <w:rsid w:val="00634C9A"/>
    <w:rsid w:val="006369EE"/>
    <w:rsid w:val="006440E4"/>
    <w:rsid w:val="0066343B"/>
    <w:rsid w:val="00664777"/>
    <w:rsid w:val="006748A4"/>
    <w:rsid w:val="00681A31"/>
    <w:rsid w:val="00683E73"/>
    <w:rsid w:val="006A3141"/>
    <w:rsid w:val="006A5E34"/>
    <w:rsid w:val="006B2422"/>
    <w:rsid w:val="006B2B9A"/>
    <w:rsid w:val="006C1937"/>
    <w:rsid w:val="006F020C"/>
    <w:rsid w:val="006F04AD"/>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3D0"/>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778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D2127"/>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0D92"/>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0D5C"/>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5AF8"/>
    <w:rsid w:val="00FE708A"/>
    <w:rsid w:val="00FF1E02"/>
    <w:rsid w:val="00FF30B4"/>
    <w:rsid w:val="08836E3D"/>
    <w:rsid w:val="0D3D7F09"/>
    <w:rsid w:val="0E6334AE"/>
    <w:rsid w:val="10C055FF"/>
    <w:rsid w:val="12E47ED1"/>
    <w:rsid w:val="14396CA2"/>
    <w:rsid w:val="16BB723D"/>
    <w:rsid w:val="182A3909"/>
    <w:rsid w:val="1AE15DFC"/>
    <w:rsid w:val="23E63F70"/>
    <w:rsid w:val="240371BF"/>
    <w:rsid w:val="24B91CC2"/>
    <w:rsid w:val="2853692A"/>
    <w:rsid w:val="29FD04D3"/>
    <w:rsid w:val="2F6798E4"/>
    <w:rsid w:val="319F7F4E"/>
    <w:rsid w:val="322E3F97"/>
    <w:rsid w:val="345920ED"/>
    <w:rsid w:val="37340BF0"/>
    <w:rsid w:val="3BC344B4"/>
    <w:rsid w:val="3E3B2E6E"/>
    <w:rsid w:val="477F6108"/>
    <w:rsid w:val="4E9F072C"/>
    <w:rsid w:val="4ECE2238"/>
    <w:rsid w:val="53EF8743"/>
    <w:rsid w:val="5D8F41C5"/>
    <w:rsid w:val="609237BF"/>
    <w:rsid w:val="62D43421"/>
    <w:rsid w:val="639E7301"/>
    <w:rsid w:val="6AA31602"/>
    <w:rsid w:val="6F206E0C"/>
    <w:rsid w:val="72734D90"/>
    <w:rsid w:val="76526179"/>
    <w:rsid w:val="79CB3281"/>
    <w:rsid w:val="7C9C6345"/>
    <w:rsid w:val="7D4EC5B3"/>
    <w:rsid w:val="7F8F6975"/>
    <w:rsid w:val="DCFFBE7F"/>
    <w:rsid w:val="F26F3F07"/>
    <w:rsid w:val="F3FFE85F"/>
    <w:rsid w:val="FDB70A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jc w:val="left"/>
    </w:pPr>
    <w:rPr>
      <w:rFonts w:ascii="微软雅黑" w:hAnsi="微软雅黑" w:eastAsia="微软雅黑"/>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2"/>
    <w:qFormat/>
    <w:uiPriority w:val="9"/>
    <w:rPr>
      <w:rFonts w:ascii="Times New Roman" w:hAnsi="Times New Roman"/>
      <w:b/>
      <w:bCs/>
      <w:kern w:val="44"/>
      <w:sz w:val="44"/>
      <w:szCs w:val="44"/>
    </w:rPr>
  </w:style>
  <w:style w:type="character" w:customStyle="1" w:styleId="26">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4"/>
    <w:qFormat/>
    <w:uiPriority w:val="9"/>
    <w:rPr>
      <w:rFonts w:ascii="Times New Roman" w:hAnsi="Times New Roman"/>
      <w:b/>
      <w:bCs/>
      <w:kern w:val="2"/>
      <w:sz w:val="32"/>
      <w:szCs w:val="32"/>
    </w:rPr>
  </w:style>
  <w:style w:type="paragraph" w:customStyle="1" w:styleId="30">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发文单位"/>
    <w:basedOn w:val="1"/>
    <w:qFormat/>
    <w:uiPriority w:val="0"/>
    <w:pPr>
      <w:spacing w:line="600" w:lineRule="exact"/>
      <w:jc w:val="center"/>
    </w:pPr>
    <w:rPr>
      <w:rFonts w:ascii="方正小标宋_GBK" w:eastAsia="方正小标宋_GBK" w:cs="宋体"/>
      <w:sz w:val="44"/>
      <w:szCs w:val="20"/>
    </w:rPr>
  </w:style>
  <w:style w:type="paragraph" w:customStyle="1" w:styleId="32">
    <w:name w:val="公文标题"/>
    <w:basedOn w:val="1"/>
    <w:qFormat/>
    <w:uiPriority w:val="0"/>
    <w:pPr>
      <w:spacing w:line="600" w:lineRule="exact"/>
      <w:jc w:val="center"/>
    </w:pPr>
    <w:rPr>
      <w:rFonts w:ascii="方正小标宋_GBK" w:eastAsia="方正小标宋_GBK" w:cs="宋体"/>
      <w:sz w:val="44"/>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收入、支出决算总计变动情况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收入</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2018年</c:v>
                </c:pt>
                <c:pt idx="1">
                  <c:v>2019年</c:v>
                </c:pt>
              </c:strCache>
            </c:strRef>
          </c:cat>
          <c:val>
            <c:numRef>
              <c:f>Sheet1!$B$2:$B$3</c:f>
              <c:numCache>
                <c:formatCode>General</c:formatCode>
                <c:ptCount val="2"/>
                <c:pt idx="0">
                  <c:v>917.87</c:v>
                </c:pt>
                <c:pt idx="1">
                  <c:v>739.29</c:v>
                </c:pt>
              </c:numCache>
            </c:numRef>
          </c:val>
        </c:ser>
        <c:ser>
          <c:idx val="1"/>
          <c:order val="1"/>
          <c:tx>
            <c:strRef>
              <c:f>Sheet1!$C$1</c:f>
              <c:strCache>
                <c:ptCount val="1"/>
                <c:pt idx="0">
                  <c:v>支出</c:v>
                </c:pt>
              </c:strCache>
            </c:strRef>
          </c:tx>
          <c:spPr>
            <a:solidFill>
              <a:schemeClr val="accent2"/>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2018年</c:v>
                </c:pt>
                <c:pt idx="1">
                  <c:v>2019年</c:v>
                </c:pt>
              </c:strCache>
            </c:strRef>
          </c:cat>
          <c:val>
            <c:numRef>
              <c:f>Sheet1!$C$2:$C$3</c:f>
              <c:numCache>
                <c:formatCode>General</c:formatCode>
                <c:ptCount val="2"/>
                <c:pt idx="0">
                  <c:v>917.87</c:v>
                </c:pt>
                <c:pt idx="1">
                  <c:v>739.27</c:v>
                </c:pt>
              </c:numCache>
            </c:numRef>
          </c:val>
        </c:ser>
        <c:dLbls>
          <c:showLegendKey val="false"/>
          <c:showVal val="true"/>
          <c:showCatName val="false"/>
          <c:showSerName val="false"/>
          <c:showPercent val="false"/>
          <c:showBubbleSize val="false"/>
        </c:dLbls>
        <c:gapWidth val="219"/>
        <c:overlap val="-27"/>
        <c:axId val="96983296"/>
        <c:axId val="98330880"/>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2018年</c:v>
                      </c:pt>
                      <c:pt idx="1">
                        <c:v>2019年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96983296"/>
        <c:scaling>
          <c:orientation val="minMax"/>
        </c:scaling>
        <c:delete val="false"/>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8330880"/>
        <c:crosses val="autoZero"/>
        <c:auto val="true"/>
        <c:lblAlgn val="ctr"/>
        <c:lblOffset val="100"/>
        <c:noMultiLvlLbl val="false"/>
      </c:catAx>
      <c:valAx>
        <c:axId val="98330880"/>
        <c:scaling>
          <c:orientation val="minMax"/>
        </c:scaling>
        <c:delete val="false"/>
        <c:axPos val="l"/>
        <c:majorGridlines>
          <c:spPr>
            <a:ln w="9525" cap="flat" cmpd="sng" algn="ctr">
              <a:solidFill>
                <a:schemeClr val="tx1">
                  <a:lumMod val="15000"/>
                  <a:lumOff val="85000"/>
                </a:schemeClr>
              </a:solidFill>
              <a:prstDash val="solid"/>
              <a:round/>
            </a:ln>
            <a:effectLst/>
          </c:spPr>
        </c:majorGridlines>
        <c:numFmt formatCode="General" sourceLinked="true"/>
        <c:majorTickMark val="none"/>
        <c:minorTickMark val="none"/>
        <c:tickLblPos val="nextTo"/>
        <c:spPr>
          <a:noFill/>
          <a:ln w="9525" cap="flat" cmpd="sng" algn="ctr">
            <a:no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96983296"/>
        <c:crosses val="autoZero"/>
        <c:crossBetween val="between"/>
      </c:valAx>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收入金额</a:t>
            </a:r>
          </a:p>
        </c:rich>
      </c:tx>
      <c:layout/>
      <c:overlay val="false"/>
      <c:spPr>
        <a:noFill/>
        <a:ln>
          <a:noFill/>
        </a:ln>
        <a:effectLst/>
      </c:spPr>
    </c:title>
    <c:autoTitleDeleted val="false"/>
    <c:plotArea>
      <c:layout/>
      <c:pieChart>
        <c:varyColors val="true"/>
        <c:ser>
          <c:idx val="0"/>
          <c:order val="0"/>
          <c:tx>
            <c:strRef>
              <c:f>Sheet1!$B$1</c:f>
              <c:strCache>
                <c:ptCount val="1"/>
                <c:pt idx="0">
                  <c:v>销售额</c:v>
                </c:pt>
              </c:strCache>
            </c:strRef>
          </c:tx>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numFmt formatCode="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财政拨款收入</c:v>
                </c:pt>
                <c:pt idx="1">
                  <c:v>其他收入</c:v>
                </c:pt>
              </c:strCache>
            </c:strRef>
          </c:cat>
          <c:val>
            <c:numRef>
              <c:f>Sheet1!$B$2:$B$3</c:f>
              <c:numCache>
                <c:formatCode>General</c:formatCode>
                <c:ptCount val="2"/>
                <c:pt idx="0">
                  <c:v>714.48</c:v>
                </c:pt>
                <c:pt idx="1">
                  <c:v>10.16</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zero"/>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pieChart>
        <c:varyColors val="true"/>
        <c:ser>
          <c:idx val="0"/>
          <c:order val="0"/>
          <c:tx>
            <c:strRef>
              <c:f>Sheet1!$B$1</c:f>
              <c:strCache>
                <c:ptCount val="1"/>
                <c:pt idx="0">
                  <c:v>支出金额</c:v>
                </c:pt>
              </c:strCache>
            </c:strRef>
          </c:tx>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numFmt formatCode="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624.67</c:v>
                </c:pt>
                <c:pt idx="1">
                  <c:v>99.42</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zero"/>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财政拨款收入、支出决算总计变动情况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收入</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2018年</c:v>
                </c:pt>
                <c:pt idx="1">
                  <c:v>2019年</c:v>
                </c:pt>
              </c:strCache>
            </c:strRef>
          </c:cat>
          <c:val>
            <c:numRef>
              <c:f>Sheet1!$B$2:$B$3</c:f>
              <c:numCache>
                <c:formatCode>General</c:formatCode>
                <c:ptCount val="2"/>
                <c:pt idx="0">
                  <c:v>874.06</c:v>
                </c:pt>
                <c:pt idx="1">
                  <c:v>717.63</c:v>
                </c:pt>
              </c:numCache>
            </c:numRef>
          </c:val>
        </c:ser>
        <c:ser>
          <c:idx val="1"/>
          <c:order val="1"/>
          <c:tx>
            <c:strRef>
              <c:f>Sheet1!$C$1</c:f>
              <c:strCache>
                <c:ptCount val="1"/>
                <c:pt idx="0">
                  <c:v>支出</c:v>
                </c:pt>
              </c:strCache>
            </c:strRef>
          </c:tx>
          <c:spPr>
            <a:solidFill>
              <a:schemeClr val="accent2"/>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2018年</c:v>
                </c:pt>
                <c:pt idx="1">
                  <c:v>2019年</c:v>
                </c:pt>
              </c:strCache>
            </c:strRef>
          </c:cat>
          <c:val>
            <c:numRef>
              <c:f>Sheet1!$C$2:$C$3</c:f>
              <c:numCache>
                <c:formatCode>General</c:formatCode>
                <c:ptCount val="2"/>
                <c:pt idx="0">
                  <c:v>874.06</c:v>
                </c:pt>
                <c:pt idx="1">
                  <c:v>717.63</c:v>
                </c:pt>
              </c:numCache>
            </c:numRef>
          </c:val>
        </c:ser>
        <c:dLbls>
          <c:showLegendKey val="false"/>
          <c:showVal val="true"/>
          <c:showCatName val="false"/>
          <c:showSerName val="false"/>
          <c:showPercent val="false"/>
          <c:showBubbleSize val="false"/>
        </c:dLbls>
        <c:gapWidth val="219"/>
        <c:overlap val="-27"/>
        <c:axId val="164012416"/>
        <c:axId val="164013952"/>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2018年</c:v>
                      </c:pt>
                      <c:pt idx="1">
                        <c:v>2019年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164012416"/>
        <c:scaling>
          <c:orientation val="minMax"/>
        </c:scaling>
        <c:delete val="false"/>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4013952"/>
        <c:crosses val="autoZero"/>
        <c:auto val="true"/>
        <c:lblAlgn val="ctr"/>
        <c:lblOffset val="100"/>
        <c:noMultiLvlLbl val="false"/>
      </c:catAx>
      <c:valAx>
        <c:axId val="164013952"/>
        <c:scaling>
          <c:orientation val="minMax"/>
        </c:scaling>
        <c:delete val="false"/>
        <c:axPos val="l"/>
        <c:majorGridlines>
          <c:spPr>
            <a:ln w="9525" cap="flat" cmpd="sng" algn="ctr">
              <a:solidFill>
                <a:schemeClr val="tx1">
                  <a:lumMod val="15000"/>
                  <a:lumOff val="85000"/>
                </a:schemeClr>
              </a:solidFill>
              <a:prstDash val="solid"/>
              <a:round/>
            </a:ln>
            <a:effectLst/>
          </c:spPr>
        </c:majorGridlines>
        <c:numFmt formatCode="General" sourceLinked="true"/>
        <c:majorTickMark val="none"/>
        <c:minorTickMark val="none"/>
        <c:tickLblPos val="nextTo"/>
        <c:spPr>
          <a:noFill/>
          <a:ln w="9525" cap="flat" cmpd="sng" algn="ctr">
            <a:no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4012416"/>
        <c:crosses val="autoZero"/>
        <c:crossBetween val="between"/>
      </c:valAx>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false"/>
    <c:plotArea>
      <c:layout/>
      <c:barChart>
        <c:barDir val="col"/>
        <c:grouping val="clustered"/>
        <c:varyColors val="false"/>
        <c:ser>
          <c:idx val="0"/>
          <c:order val="0"/>
          <c:tx>
            <c:strRef>
              <c:f>Sheet1!$B$1</c:f>
              <c:strCache>
                <c:ptCount val="1"/>
                <c:pt idx="0">
                  <c:v>一般公共预算支出</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2018年</c:v>
                </c:pt>
                <c:pt idx="1">
                  <c:v>2019年</c:v>
                </c:pt>
              </c:strCache>
            </c:strRef>
          </c:cat>
          <c:val>
            <c:numRef>
              <c:f>Sheet1!$B$2:$B$3</c:f>
              <c:numCache>
                <c:formatCode>General</c:formatCode>
                <c:ptCount val="2"/>
                <c:pt idx="0">
                  <c:v>865.83</c:v>
                </c:pt>
                <c:pt idx="1">
                  <c:v>717.62</c:v>
                </c:pt>
              </c:numCache>
            </c:numRef>
          </c:val>
        </c:ser>
        <c:dLbls>
          <c:showLegendKey val="false"/>
          <c:showVal val="true"/>
          <c:showCatName val="false"/>
          <c:showSerName val="false"/>
          <c:showPercent val="false"/>
          <c:showBubbleSize val="false"/>
        </c:dLbls>
        <c:gapWidth val="219"/>
        <c:overlap val="-27"/>
        <c:axId val="164247808"/>
        <c:axId val="165643392"/>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solidFill>
                    <a:schemeClr val="accent2"/>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2018年</c:v>
                      </c:pt>
                      <c:pt idx="1">
                        <c:v>2019年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2018年</c:v>
                      </c:pt>
                      <c:pt idx="1">
                        <c:v>2019年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164247808"/>
        <c:scaling>
          <c:orientation val="minMax"/>
        </c:scaling>
        <c:delete val="false"/>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5643392"/>
        <c:crosses val="autoZero"/>
        <c:auto val="true"/>
        <c:lblAlgn val="ctr"/>
        <c:lblOffset val="100"/>
        <c:noMultiLvlLbl val="false"/>
      </c:catAx>
      <c:valAx>
        <c:axId val="165643392"/>
        <c:scaling>
          <c:orientation val="minMax"/>
        </c:scaling>
        <c:delete val="false"/>
        <c:axPos val="l"/>
        <c:majorGridlines>
          <c:spPr>
            <a:ln w="9525" cap="flat" cmpd="sng" algn="ctr">
              <a:solidFill>
                <a:schemeClr val="tx1">
                  <a:lumMod val="15000"/>
                  <a:lumOff val="85000"/>
                </a:schemeClr>
              </a:solidFill>
              <a:prstDash val="solid"/>
              <a:round/>
            </a:ln>
            <a:effectLst/>
          </c:spPr>
        </c:majorGridlines>
        <c:numFmt formatCode="General" sourceLinked="true"/>
        <c:majorTickMark val="none"/>
        <c:minorTickMark val="none"/>
        <c:tickLblPos val="nextTo"/>
        <c:spPr>
          <a:noFill/>
          <a:ln w="9525" cap="flat" cmpd="sng" algn="ctr">
            <a:noFill/>
            <a:prstDash val="solid"/>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64247808"/>
        <c:crosses val="autoZero"/>
        <c:crossBetween val="between"/>
      </c:valAx>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a:t>
            </a:r>
          </a:p>
        </c:rich>
      </c:tx>
      <c:layout>
        <c:manualLayout>
          <c:xMode val="edge"/>
          <c:yMode val="edge"/>
          <c:x val="0.265783841626538"/>
          <c:y val="0.0222167366082449"/>
        </c:manualLayout>
      </c:layout>
      <c:overlay val="false"/>
      <c:spPr>
        <a:noFill/>
        <a:ln>
          <a:noFill/>
        </a:ln>
        <a:effectLst/>
      </c:spPr>
    </c:title>
    <c:autoTitleDeleted val="false"/>
    <c:plotArea>
      <c:layout/>
      <c:pieChart>
        <c:varyColors val="true"/>
        <c:ser>
          <c:idx val="0"/>
          <c:order val="0"/>
          <c:tx>
            <c:strRef>
              <c:f>Sheet1!$B$1</c:f>
              <c:strCache>
                <c:ptCount val="1"/>
                <c:pt idx="0">
                  <c:v>销售额</c:v>
                </c:pt>
              </c:strCache>
            </c:strRef>
          </c:tx>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Pt>
            <c:idx val="4"/>
            <c:bubble3D val="false"/>
            <c:spPr>
              <a:solidFill>
                <a:schemeClr val="accent5"/>
              </a:solidFill>
              <a:ln w="19050">
                <a:solidFill>
                  <a:schemeClr val="lt1"/>
                </a:solidFill>
              </a:ln>
              <a:effectLst/>
            </c:spPr>
          </c:dPt>
          <c:dLbls>
            <c:dLbl>
              <c:idx val="0"/>
              <c:layout>
                <c:manualLayout>
                  <c:x val="-0.0837119666778545"/>
                  <c:y val="0.00263892130981869"/>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1"/>
              <c:layout>
                <c:manualLayout>
                  <c:x val="0.0416822491518593"/>
                  <c:y val="-0.00458282873734585"/>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477439610567724"/>
                  <c:y val="0.00491623746509454"/>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141507952334419"/>
                  <c:y val="0.0635127691471811"/>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numFmt formatCode="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一般公共服务</c:v>
                </c:pt>
                <c:pt idx="1">
                  <c:v>社会保障和就业</c:v>
                </c:pt>
                <c:pt idx="2">
                  <c:v>卫生健康支出</c:v>
                </c:pt>
                <c:pt idx="3">
                  <c:v>农林水支出</c:v>
                </c:pt>
                <c:pt idx="4">
                  <c:v>住房保障支出</c:v>
                </c:pt>
              </c:strCache>
            </c:strRef>
          </c:cat>
          <c:val>
            <c:numRef>
              <c:f>Sheet1!$B$2:$B$6</c:f>
              <c:numCache>
                <c:formatCode>General</c:formatCode>
                <c:ptCount val="5"/>
                <c:pt idx="0">
                  <c:v>2.67</c:v>
                </c:pt>
                <c:pt idx="1">
                  <c:v>78.19</c:v>
                </c:pt>
                <c:pt idx="2">
                  <c:v>0.18</c:v>
                </c:pt>
                <c:pt idx="3">
                  <c:v>593.91</c:v>
                </c:pt>
                <c:pt idx="4">
                  <c:v>42.67</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zero"/>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mn-lt"/>
                <a:ea typeface="+mn-ea"/>
                <a:cs typeface="+mn-cs"/>
              </a:defRPr>
            </a:pPr>
            <a:r>
              <a:rPr lang="en-US" altLang="en-US"/>
              <a:t>“</a:t>
            </a:r>
            <a:r>
              <a:rPr lang="zh-CN" altLang="en-US"/>
              <a:t>三公</a:t>
            </a:r>
            <a:r>
              <a:rPr lang="en-US" altLang="en-US"/>
              <a:t>”</a:t>
            </a:r>
            <a:r>
              <a:rPr lang="zh-CN" altLang="en-US"/>
              <a:t>经费财政拨款支出</a:t>
            </a:r>
            <a:endParaRPr altLang="en-US"/>
          </a:p>
        </c:rich>
      </c:tx>
      <c:layout/>
      <c:overlay val="false"/>
      <c:spPr>
        <a:noFill/>
        <a:ln>
          <a:noFill/>
        </a:ln>
        <a:effectLst/>
      </c:spPr>
    </c:title>
    <c:autoTitleDeleted val="false"/>
    <c:plotArea>
      <c:layout/>
      <c:pieChart>
        <c:varyColors val="true"/>
        <c:ser>
          <c:idx val="0"/>
          <c:order val="0"/>
          <c:tx>
            <c:strRef>
              <c:f>Sheet1!$B$1</c:f>
              <c:strCache>
                <c:ptCount val="1"/>
                <c:pt idx="0">
                  <c:v>销售额</c:v>
                </c:pt>
              </c:strCache>
            </c:strRef>
          </c:tx>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numFmt formatCode="0.00%" sourceLinked="fals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公务用车购置及运行维护费</c:v>
                </c:pt>
                <c:pt idx="1">
                  <c:v>公务接待费</c:v>
                </c:pt>
              </c:strCache>
            </c:strRef>
          </c:cat>
          <c:val>
            <c:numRef>
              <c:f>Sheet1!$B$2:$B$3</c:f>
              <c:numCache>
                <c:formatCode>General</c:formatCode>
                <c:ptCount val="2"/>
                <c:pt idx="0">
                  <c:v>4.45</c:v>
                </c:pt>
                <c:pt idx="1">
                  <c:v>0.91</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zero"/>
    <c:showDLblsOverMax val="false"/>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false"/>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47</Pages>
  <Words>3460</Words>
  <Characters>19725</Characters>
  <Lines>164</Lines>
  <Paragraphs>46</Paragraphs>
  <TotalTime>117</TotalTime>
  <ScaleCrop>false</ScaleCrop>
  <LinksUpToDate>false</LinksUpToDate>
  <CharactersWithSpaces>23139</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user</cp:lastModifiedBy>
  <cp:lastPrinted>2020-07-24T02:58:00Z</cp:lastPrinted>
  <dcterms:modified xsi:type="dcterms:W3CDTF">2023-08-01T09:32:13Z</dcterms:modified>
  <dc:title>四川省***</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