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jc w:val="center"/>
        <w:rPr>
          <w:rFonts w:hint="eastAsia" w:ascii="Times New Roman" w:hAnsi="Times New Roman" w:eastAsia="方正小标宋_GBK" w:cs="Times New Roman"/>
          <w:sz w:val="44"/>
          <w:szCs w:val="32"/>
        </w:rPr>
      </w:pPr>
      <w:r>
        <w:rPr>
          <w:rFonts w:ascii="Times New Roman" w:hAnsi="Times New Roman" w:eastAsia="方正小标宋_GBK" w:cs="Times New Roman"/>
          <w:sz w:val="44"/>
          <w:szCs w:val="32"/>
        </w:rPr>
        <w:t>关于攀枝花市2021年决算</w:t>
      </w:r>
    </w:p>
    <w:p>
      <w:pPr>
        <w:spacing w:line="600" w:lineRule="exact"/>
        <w:jc w:val="center"/>
        <w:rPr>
          <w:rFonts w:ascii="Times New Roman" w:hAnsi="Times New Roman" w:eastAsia="方正小标宋_GBK" w:cs="Times New Roman"/>
          <w:sz w:val="44"/>
          <w:szCs w:val="32"/>
        </w:rPr>
      </w:pPr>
      <w:r>
        <w:rPr>
          <w:rFonts w:ascii="Times New Roman" w:hAnsi="Times New Roman" w:eastAsia="方正小标宋_GBK" w:cs="Times New Roman"/>
          <w:sz w:val="44"/>
          <w:szCs w:val="32"/>
        </w:rPr>
        <w:t>和2022年1至6月预算执行情况的报告</w:t>
      </w:r>
    </w:p>
    <w:p>
      <w:pPr>
        <w:spacing w:line="600" w:lineRule="exact"/>
        <w:jc w:val="center"/>
        <w:rPr>
          <w:rFonts w:hint="eastAsia" w:ascii="Times New Roman" w:hAnsi="Times New Roman" w:eastAsia="楷体_GB2312" w:cs="Times New Roman"/>
          <w:spacing w:val="-20"/>
          <w:sz w:val="28"/>
          <w:szCs w:val="32"/>
        </w:rPr>
      </w:pPr>
    </w:p>
    <w:p>
      <w:pPr>
        <w:spacing w:line="600" w:lineRule="exact"/>
        <w:jc w:val="center"/>
        <w:rPr>
          <w:rFonts w:ascii="Times New Roman" w:hAnsi="Times New Roman" w:eastAsia="楷体_GB2312" w:cs="Times New Roman"/>
          <w:spacing w:val="-20"/>
          <w:sz w:val="28"/>
          <w:szCs w:val="32"/>
        </w:rPr>
      </w:pPr>
      <w:r>
        <w:rPr>
          <w:rFonts w:ascii="Times New Roman" w:hAnsi="Times New Roman" w:eastAsia="楷体_GB2312" w:cs="Times New Roman"/>
          <w:spacing w:val="-20"/>
          <w:sz w:val="28"/>
          <w:szCs w:val="32"/>
        </w:rPr>
        <w:t>2022年8月24日在攀枝花市第十一届人民代表大会常务委员会第四次会议上</w:t>
      </w:r>
    </w:p>
    <w:p>
      <w:pPr>
        <w:spacing w:line="600" w:lineRule="exact"/>
        <w:jc w:val="center"/>
        <w:rPr>
          <w:rFonts w:ascii="Times New Roman" w:hAnsi="Times New Roman" w:eastAsia="楷体_GB2312" w:cs="Times New Roman"/>
          <w:sz w:val="32"/>
          <w:szCs w:val="32"/>
        </w:rPr>
      </w:pPr>
      <w:r>
        <w:rPr>
          <w:rFonts w:ascii="Times New Roman" w:hAnsi="Times New Roman" w:eastAsia="楷体_GB2312" w:cs="Times New Roman"/>
          <w:sz w:val="32"/>
          <w:szCs w:val="32"/>
        </w:rPr>
        <w:t>市人民政府</w:t>
      </w:r>
    </w:p>
    <w:p>
      <w:pPr>
        <w:spacing w:line="600" w:lineRule="exact"/>
        <w:jc w:val="center"/>
        <w:rPr>
          <w:rFonts w:ascii="Times New Roman" w:hAnsi="Times New Roman" w:eastAsia="楷体_GB2312" w:cs="Times New Roman"/>
          <w:sz w:val="32"/>
          <w:szCs w:val="32"/>
        </w:rPr>
      </w:pPr>
    </w:p>
    <w:p>
      <w:pPr>
        <w:spacing w:line="600" w:lineRule="exact"/>
        <w:rPr>
          <w:rFonts w:ascii="Times New Roman" w:hAnsi="Times New Roman" w:eastAsia="仿宋_GB2312" w:cs="Times New Roman"/>
          <w:sz w:val="32"/>
          <w:szCs w:val="32"/>
        </w:rPr>
      </w:pPr>
      <w:r>
        <w:rPr>
          <w:rFonts w:ascii="Times New Roman" w:hAnsi="Times New Roman" w:eastAsia="仿宋_GB2312" w:cs="Times New Roman"/>
          <w:sz w:val="32"/>
          <w:szCs w:val="32"/>
        </w:rPr>
        <w:t>市十一届人大常委会:</w:t>
      </w:r>
    </w:p>
    <w:p>
      <w:pPr>
        <w:spacing w:line="60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受市人民政府委托,我向本次人大常委会报告2021年决算和2022年1至6月预算执行情况,请予审议。</w:t>
      </w:r>
    </w:p>
    <w:p>
      <w:pPr>
        <w:spacing w:line="600" w:lineRule="exact"/>
        <w:ind w:firstLine="640" w:firstLineChars="200"/>
        <w:rPr>
          <w:rFonts w:ascii="Times New Roman" w:hAnsi="Times New Roman" w:eastAsia="黑体" w:cs="Times New Roman"/>
          <w:sz w:val="32"/>
          <w:szCs w:val="32"/>
        </w:rPr>
      </w:pPr>
      <w:r>
        <w:rPr>
          <w:rFonts w:ascii="Times New Roman" w:hAnsi="黑体" w:eastAsia="黑体" w:cs="Times New Roman"/>
          <w:sz w:val="32"/>
          <w:szCs w:val="32"/>
        </w:rPr>
        <w:t>一、</w:t>
      </w:r>
      <w:r>
        <w:rPr>
          <w:rFonts w:ascii="Times New Roman" w:hAnsi="Times New Roman" w:eastAsia="黑体" w:cs="Times New Roman"/>
          <w:sz w:val="32"/>
          <w:szCs w:val="32"/>
        </w:rPr>
        <w:t>2021</w:t>
      </w:r>
      <w:r>
        <w:rPr>
          <w:rFonts w:ascii="Times New Roman" w:hAnsi="黑体" w:eastAsia="黑体" w:cs="Times New Roman"/>
          <w:sz w:val="32"/>
          <w:szCs w:val="32"/>
        </w:rPr>
        <w:t>年决算情况</w:t>
      </w:r>
    </w:p>
    <w:p>
      <w:pPr>
        <w:spacing w:line="60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2021年,在市委坚强领导下和市人大监督支持下,全市上下全面贯彻习近平新时代中国特色社会主义思想,认真落实市十一次党代会精神,着力推动财政改革纵深发展,严格执行收支预算,一般公共预算收支规模迈上新台阶,财政实现稳健运行。</w:t>
      </w:r>
    </w:p>
    <w:p>
      <w:pPr>
        <w:spacing w:line="600" w:lineRule="exact"/>
        <w:ind w:firstLine="640" w:firstLineChars="200"/>
        <w:rPr>
          <w:rFonts w:ascii="Times New Roman" w:hAnsi="Times New Roman" w:eastAsia="楷体_GB2312" w:cs="Times New Roman"/>
          <w:sz w:val="32"/>
          <w:szCs w:val="32"/>
        </w:rPr>
      </w:pPr>
      <w:r>
        <w:rPr>
          <w:rFonts w:ascii="Times New Roman" w:hAnsi="Times New Roman" w:eastAsia="楷体_GB2312" w:cs="Times New Roman"/>
          <w:sz w:val="32"/>
          <w:szCs w:val="32"/>
        </w:rPr>
        <w:t>（一）全市决算情况</w:t>
      </w:r>
    </w:p>
    <w:p>
      <w:pPr>
        <w:spacing w:line="60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1.一般公共预算收支决算情况。2021年,全市一般公共预算收入898,528万元、同比增长31.7%、为预算的101.9%,加上上级补助、一般债券转贷、调入资金、预算稳定调节基金、上年结余等收入1,259,000万元,收入合计2,157,528万元。全市一般公共预算支出1,716,561万元、同比增长7.4%、为预算的102.5%,加上上解上级、一般债务还本、援助其他地区等支出310,382万元,支出合计2,026,943万元。总收支相抵后,年终结余130,585万元,在按政策规定扣除安排预算稳定调节基金11,636万元后,实际结转到2022年继续使用的资金为118,949万元。</w:t>
      </w:r>
    </w:p>
    <w:p>
      <w:pPr>
        <w:spacing w:line="60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2.政府性基金预算收支决算情况。2021年,全市政府性基金收入457,202万元、同比增长1.7%、为预算的101.2%,加上上级补助、专项债券转贷、调入资金、上年结余等收入181,374万元,收入合计638,586万元。全市政府性基金支出484,460万元、同比下降22.6%、为预算的90.5%,加上专项债务还本、调出资金等支出94,550万元,支出合计579,010万元。总收支相抵后,年终结余59,576万元。</w:t>
      </w:r>
    </w:p>
    <w:p>
      <w:pPr>
        <w:spacing w:line="60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3.国有资本经营预算收支决算情况。2021年,全市国有资本经营预算收入4,547万元,同比下降10.8%、为预算的100%,加上上级补助收入、上年结余等收入3,399万元,收入合计7,946万元。国有资本经营预算支出3,504万元、同比增长0.1%、为预算的84.5%,加上调出资金2,708万元,支出合计6,212万元。总收支相抵后,国有资本经营预算年终结余1,734万元。</w:t>
      </w:r>
    </w:p>
    <w:p>
      <w:pPr>
        <w:spacing w:line="60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4.社会保险基金预算收支决算情况。2021年,全市社会保险基金收入334,589万元（不含省级统筹的企业职工基本养老保险基金、机关事业单位基本养老保险基金,下同）、同口径增长18.1%、为预算的101.6%。全市社会保险基金支出296,490万元、同口径增长1.4%、为预算的96.7%。当年收入加上上年滚存结余减去当年实际支出后,年终滚存结余251,023万元。</w:t>
      </w:r>
    </w:p>
    <w:p>
      <w:pPr>
        <w:spacing w:line="60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5.地方政府债务情况。截至2021年底,全市地方债务限额2,493,924万元,其中一般债务限额1,553,274万元、专项债务限额940,650万元。地方债务余额2,259,375万元,其中一般债务1,435,160万元、专项债务824,215万元。</w:t>
      </w:r>
    </w:p>
    <w:p>
      <w:pPr>
        <w:spacing w:line="600" w:lineRule="exact"/>
        <w:ind w:firstLine="640" w:firstLineChars="200"/>
        <w:rPr>
          <w:rFonts w:ascii="Times New Roman" w:hAnsi="Times New Roman" w:eastAsia="楷体_GB2312" w:cs="Times New Roman"/>
          <w:sz w:val="32"/>
          <w:szCs w:val="32"/>
        </w:rPr>
      </w:pPr>
      <w:r>
        <w:rPr>
          <w:rFonts w:ascii="Times New Roman" w:hAnsi="Times New Roman" w:eastAsia="楷体_GB2312" w:cs="Times New Roman"/>
          <w:sz w:val="32"/>
          <w:szCs w:val="32"/>
        </w:rPr>
        <w:t>（二）市本级决算情况</w:t>
      </w:r>
    </w:p>
    <w:p>
      <w:pPr>
        <w:spacing w:line="60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1.一般公共预算收支决算情况</w:t>
      </w:r>
    </w:p>
    <w:p>
      <w:pPr>
        <w:spacing w:line="60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1）决算平衡情况。2021年,市本级一般公共预算收入416,625万元、同比增长40.2%、为预算的100.4%,加上上级补助收入544,901万元、下级上解收入38,883万元、一般债券转贷收入157,461万元、上年结余37,120万元、调入资金164,398万元、预算稳定调节基金248万元,收入合计1,359,636万元。市本级一般公共预算支出780,323万元、同比增长22.4%、为预算的95.1%,加上补助下级支出263,502万元、上解上级支出85,570万元、一般债券转贷支出61,813万元、一般债务还本支出105,499万元、援助其他地区支出3,413万元,支出合计1,300,120万元。总收支相抵后,年终结余59,516万元,在按政策规定扣除安排的预算稳定调节基金1,625万元后,实际结转到2022年继续使用的资金为57,891万元。</w:t>
      </w:r>
    </w:p>
    <w:p>
      <w:pPr>
        <w:spacing w:line="60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与向市十一届人大一次会议汇报的执行数相比,市本级新增上级补助收入11,285万元、下级上解收入1,352万元,一般公共预算收入新增12,637万元;市本级新增补助下级支出3,385万元,减少上解上级支出1,781万元,一般公共预算支出新增1,604万元;市本级年终结余新增11,012万元,主要是清算省、市、区转移支付情况,使得市本级转移支付增加,新增转移支付继续用于2022年项目建设。</w:t>
      </w:r>
    </w:p>
    <w:p>
      <w:pPr>
        <w:spacing w:line="60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（2）重点支出情况。持续提高民生民本保障力度,支持经济社会高质量发展,2021年市本级实现重点支出369,808万元。其中:</w:t>
      </w:r>
    </w:p>
    <w:p>
      <w:pPr>
        <w:spacing w:line="60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教育支出实现90,032万元,主要用于落实“三免一补”、生均公用经费、学生资助等各项教育政策,推动职业技术学校、地方高校改善办学条件、提升教育质量,支持学校教育提质增效,打造区域教育“高地”。</w:t>
      </w:r>
    </w:p>
    <w:p>
      <w:pPr>
        <w:spacing w:line="60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社会保障和就业支出实现126,207万元,主要用于兑现就业创业、老龄津贴、支持残疾人事业发展及退役军人补贴等普惠性政策补助,落实养老保险、医疗保险、城乡低保等社会保险财政 “兜底”政策,推动就业创业和社会养老服务体系建设。</w:t>
      </w:r>
    </w:p>
    <w:p>
      <w:pPr>
        <w:spacing w:line="60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卫生健康支出实现205,361万元,主要用于加强新冠肺炎疫情防控体系建设,支持公立医院改革发展,落实基本药物制度补偿、取消药品加成补助、离岗乡村医生生活补助等政策,推动市级卫生健康监督机构规范化建设,增强公共卫生服务保障能力。</w:t>
      </w:r>
    </w:p>
    <w:p>
      <w:pPr>
        <w:spacing w:line="60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节能环保支出实现8,181万元,主要用于山水宜居公园城市、天然林保护、污染治理、地质灾害防治、矿山迹地恢复等,加快推动生态文明建设。</w:t>
      </w:r>
    </w:p>
    <w:p>
      <w:pPr>
        <w:spacing w:line="60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农林水支出实现36,850万元,主要用于落实现代农业园区建设、“一品牌两中心”建设、防汛抗旱、河湖长制、村集体经济发展、农村综合改革、森林草原防灭火、长江十年禁捕行动、水库大坝安全监测、水旱灾害普查、气象监测能力提升、农业科研创新等乡村振兴重点任务,持续巩固脱贫攻坚成果,促进乡村全面发展。</w:t>
      </w:r>
    </w:p>
    <w:p>
      <w:pPr>
        <w:spacing w:line="60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交通运输支出实现56,191万元,主要用于兑现公交客运、航线、高铁补贴和农村公路养护补助等政策,开展综合交通客运枢纽、“四好农村路”示范、国省干线公路大中修等项目建设,推动宜西攀高铁、攀盐高速公路等前期工作开展,努力改善对外交通问题。</w:t>
      </w:r>
    </w:p>
    <w:p>
      <w:pPr>
        <w:spacing w:line="60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（3）预备费使用情况。2021年市本级预备费预算4,000万元,实际支出4,000万元（已列入相关支出科目决算数）,用于保障性安居工程项目建设4,000万元。</w:t>
      </w:r>
    </w:p>
    <w:p>
      <w:pPr>
        <w:spacing w:line="60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（4）超收收入安排使用情况。2021年市本级一般公共预算收入实现超收1,625万元。按照《预算法》规定,超收收入已全部调入市级预算稳定调节基金。</w:t>
      </w:r>
    </w:p>
    <w:p>
      <w:pPr>
        <w:spacing w:line="60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（5）预算稳定调节基金使用情况。2021年年初市本级预算稳定调节基金结余248万元,全年动用预算稳定调节基金248万元,主要用于弥补因财力减少产生的民生支出缺口,加上超收收入调入1,625万元,年终结余1,625万元。</w:t>
      </w:r>
    </w:p>
    <w:p>
      <w:pPr>
        <w:spacing w:line="60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2.政府性基金预算收支决算情况</w:t>
      </w:r>
    </w:p>
    <w:p>
      <w:pPr>
        <w:spacing w:line="60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1）决算平衡情况。2021年,市本级政府性基金收入248,950万元、同比增长29.3%、为预算的100.6%,加上上级补助收入3,754万元、上年结余10,851万元、专项债券转贷收入43,410万元,收入合计306,965万元。市本级政府性基金支出207,695万元、同比下降32.7%、为预算的84.9%,加上补助下级支出35,511万元、专项债务还本支出24,904万元、专项债券转贷支出32,306万元,支出合计300,416万元。总收支相抵后,年终结余6,549万元。</w:t>
      </w:r>
    </w:p>
    <w:p>
      <w:pPr>
        <w:spacing w:line="60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2）支出安排情况。市本级政府性基金支出207,695万元,主要用于保障各类信息化平台正常运行、污水处理厂日常运转,兑现征地补偿,开展保税物流（B型）中心、全民健身运动、路灯系统改造等重点项目建设,兑现棚改项目还本付息、火车南站等PPP项目还本付息、专项债务付息,支持重点项目前期规划建设、城市更新和其他重点基础设施建设等。</w:t>
      </w:r>
    </w:p>
    <w:p>
      <w:pPr>
        <w:spacing w:line="60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3.国有资本经营预算收支决算情况。2021年,市本级国有资本经营收入实现2,400万元、同比下降29.7%、为预算的100%,加上上级补助收入3,391万元、上年结余8万元,总收入5,799万元;国有资本经营预算支出1,400万元、同比下降18%、为预算的100%,加上补助下级支出2,308万元、调出资金1,000万元,总支出4,708万元。总收支相抵后,国有资本经营预算年终结余1,091万元。</w:t>
      </w:r>
    </w:p>
    <w:p>
      <w:pPr>
        <w:spacing w:line="60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4.“三公”经费使用情况。2021年,市级部门使用“三公”经费2,868万元,较上年减少81万元。其中:未发生因公出国（境）经费,较上年减少15万元;公务接待费473万元,较上年减少190万元;公务用车购置费531万元,较上年减少89万元;公务用车运行维护费1,864万元,较上年增长213万元,增长原因是:受疫情影响,2020年公务用车出行减少,运行维护费降幅较大（较2019年减少318万元）、基数较小,导致2021年市级公务用车运行维护费增长。</w:t>
      </w:r>
    </w:p>
    <w:p>
      <w:pPr>
        <w:spacing w:line="60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5.地方政府债务情况。截至2021年末,市本级政府债务余额为1,083,421万元,省级核定的债务限额为1,170,641万元,市本级全年政府债券还本付息165,326万元（其中自有资金还本付息73,694万元,再融资债券还本91,632万元）。从债务构成看,地方政府债券1,058,000万元、占比97.65%,外国政府、国际组织贷款25,421万元、占比2.35%。按照财政部公布的政府债务率计算方法,市本级地方政府债务率97.2%,一般偿债资金保障倍数1.91,一般债务利息支出率3.38%,专项偿债资金保障倍数2.46,专项债务利息支出率6.5%,政府债务在可控范围内。</w:t>
      </w:r>
    </w:p>
    <w:p>
      <w:pPr>
        <w:spacing w:line="600" w:lineRule="exact"/>
        <w:ind w:firstLine="640" w:firstLineChars="200"/>
        <w:rPr>
          <w:rFonts w:ascii="Times New Roman" w:hAnsi="Times New Roman" w:eastAsia="楷体_GB2312" w:cs="Times New Roman"/>
          <w:sz w:val="32"/>
          <w:szCs w:val="32"/>
        </w:rPr>
      </w:pPr>
      <w:r>
        <w:rPr>
          <w:rFonts w:ascii="Times New Roman" w:hAnsi="Times New Roman" w:eastAsia="楷体_GB2312" w:cs="Times New Roman"/>
          <w:sz w:val="32"/>
          <w:szCs w:val="32"/>
        </w:rPr>
        <w:t>（三）重大政策执行情况</w:t>
      </w:r>
    </w:p>
    <w:p>
      <w:pPr>
        <w:spacing w:line="60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1.持续提高民生福祉。投入资金126,207万元,落实就业创业扶持政策,优化公共就业服务供给,支持高校毕业生、就业困难人员等重点群体就业创业,稳定就业形势;提高伤残家庭特别扶助标准,落实村医养老保险、村卫生室等补助政策,增强了医疗卫生服务能力;加强疫情防控常态化能力建设,完善疫情防控救治体系和应急物资保障体系,提升重大突发公共卫生事件应急处置、应急物资生产动员能力。投入资金90,032万元,全面落实教育优先发展战略,实施义务教育经费保障机制改革,落实学生生活补助、营养餐、困难学生资助等政策,推进高中及中职学校教育质量提升,着力打造教育高地。投入资金11,568万元,落实体育场馆、图书馆、文化馆等公共文化设施免费或低收费开放,支持创建全国文明城市,不断丰富居民精神文化生活,提升人民群众获得感、幸福感。</w:t>
      </w:r>
    </w:p>
    <w:p>
      <w:pPr>
        <w:spacing w:line="60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2.支持实体经济发展。实施小规模纳税人起征点上调、制造业中小微企业税费缓缴、所得税研发费用计提标准调整、清理历年应退未退税款等减税降费政策,全市共减免全口径税费51亿元;积极兑现财金互动、创业担保贷款贴息、“稳保贷”“战疫贷”财政贴息等政策,支持市场主体发展,解决企业资金瓶颈问题,助力攀枝花建强“内圈”、协同“中圈”、融入“外圈”。根据《关于促进人力资源聚集的十六条政策措施》,明确了财政奖励标准,吸引高层次人才、创新创业人才、大中专及以上毕业生和技能人才来攀枝花发展,全力打造区域创新人才高地。</w:t>
      </w:r>
    </w:p>
    <w:p>
      <w:pPr>
        <w:spacing w:line="600" w:lineRule="exact"/>
        <w:ind w:firstLine="640" w:firstLineChars="200"/>
        <w:rPr>
          <w:rFonts w:ascii="Times New Roman" w:hAnsi="Times New Roman" w:eastAsia="楷体_GB2312" w:cs="Times New Roman"/>
          <w:sz w:val="32"/>
          <w:szCs w:val="32"/>
        </w:rPr>
      </w:pPr>
      <w:r>
        <w:rPr>
          <w:rFonts w:ascii="Times New Roman" w:hAnsi="Times New Roman" w:eastAsia="楷体_GB2312" w:cs="Times New Roman"/>
          <w:sz w:val="32"/>
          <w:szCs w:val="32"/>
        </w:rPr>
        <w:t>（四）落实人大决议情况</w:t>
      </w:r>
    </w:p>
    <w:p>
      <w:pPr>
        <w:spacing w:line="60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按照预算法及其实施条例,主动接受人大审查监督,落实好市人大常委会关于预算管理的各项审议意见,依法依规强化预算执行,持续强化预算约束力;科学合理加大财源培植,推动财政发展更可持续;积极主动深化财政改革,加快建立现代化财政体系;稳扎稳打加强风险管理,兜牢兜实风险底线。分别向市人代会和市人大常委会报告了2021年预算草案、2020年财政决算、2021年调整预算方案以及政府债务管控、专项资金使用、绩效管理等情况并认真落实市人代会及其常委会各项决议决定和审议意见,扎实办理21件市人大代表建议,主动配合市人大预算审查监督重点向支出预算和政策拓展的转变,全力支持人大预算联网监督系统建设,确保法定事项全部纳入人大监督。</w:t>
      </w:r>
    </w:p>
    <w:p>
      <w:pPr>
        <w:spacing w:line="60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以上2021年市级决算,请予审查批准。2021年市级预算数、决算数及其对比分析,详见决算草案。</w:t>
      </w:r>
    </w:p>
    <w:p>
      <w:pPr>
        <w:spacing w:line="600" w:lineRule="exact"/>
        <w:ind w:firstLine="640" w:firstLineChars="200"/>
        <w:rPr>
          <w:rFonts w:ascii="Times New Roman" w:hAnsi="Times New Roman" w:eastAsia="黑体" w:cs="Times New Roman"/>
          <w:sz w:val="32"/>
          <w:szCs w:val="32"/>
        </w:rPr>
      </w:pPr>
      <w:r>
        <w:rPr>
          <w:rFonts w:ascii="Times New Roman" w:hAnsi="Times New Roman" w:eastAsia="黑体" w:cs="Times New Roman"/>
          <w:sz w:val="32"/>
          <w:szCs w:val="32"/>
        </w:rPr>
        <w:t>二、2022年1至6月预算执行情况</w:t>
      </w:r>
    </w:p>
    <w:p>
      <w:pPr>
        <w:spacing w:line="60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今年以来,全市上下认真贯彻落实市委决策部署,紧紧围绕“一三三三”总体发展战略,严格按照市十一届人大一次会议审查批准的预算和决议意见,创新支出方式、狠抓“开源节流”、优化支出结构、深化财政改革、防范财政风险,财政运行平稳。</w:t>
      </w:r>
    </w:p>
    <w:p>
      <w:pPr>
        <w:spacing w:line="600" w:lineRule="exact"/>
        <w:ind w:firstLine="640" w:firstLineChars="200"/>
        <w:rPr>
          <w:rFonts w:ascii="Times New Roman" w:hAnsi="Times New Roman" w:eastAsia="楷体_GB2312" w:cs="Times New Roman"/>
          <w:sz w:val="32"/>
          <w:szCs w:val="32"/>
        </w:rPr>
      </w:pPr>
      <w:r>
        <w:rPr>
          <w:rFonts w:ascii="Times New Roman" w:hAnsi="Times New Roman" w:eastAsia="楷体_GB2312" w:cs="Times New Roman"/>
          <w:sz w:val="32"/>
          <w:szCs w:val="32"/>
        </w:rPr>
        <w:t>（一）一般公共预算执行情况</w:t>
      </w:r>
    </w:p>
    <w:p>
      <w:pPr>
        <w:spacing w:line="60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1.收入情况。1至6月,全市一般公共预算收入413,370万元,同比下降10.2%,完成预算的45.8%,扣除留抵退税因素同口径下降3%,完成预算的49.7%。其中:税收收入276,607万元,同比增长2%,完成预算的47.4%,扣除留抵退税因素后同口径增长14%,完成预算的53.5%;非税收入136,763万元,同比下降27.7%,完成预算的42.5%。争取一般公共预算上级补助收入368,837万元。市本级一般公共预算收入171,260万元,同比下降23.1%,完成预算的39.5%,扣除留抵退税因素同口径下降21.2%,完成预算的40.6%。其中:税收收入94,517万元,同比增长7.9%,完成预算的43%,扣除留抵退税因素后同口径增长12.6%,完成预算的45.1%;非税收入76,743万元,同比下降43.2%,完成预算的35.9%。争取一般公共预算上级补助收入183,505万元。</w:t>
      </w:r>
    </w:p>
    <w:p>
      <w:pPr>
        <w:spacing w:line="60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2.支出情况。1至6月,全市一般公共预算支出702,600万元,同比下降18.5%。市本级一般公共预算支出332,002万元,同比下降33.4%。按照省级民生支出统计口径,上半年全市民生支出占一般公共预算支出比重超过70%。</w:t>
      </w:r>
    </w:p>
    <w:p>
      <w:pPr>
        <w:spacing w:line="600" w:lineRule="exact"/>
        <w:ind w:firstLine="640" w:firstLineChars="200"/>
        <w:rPr>
          <w:rFonts w:ascii="Times New Roman" w:hAnsi="Times New Roman" w:eastAsia="楷体_GB2312" w:cs="Times New Roman"/>
          <w:sz w:val="32"/>
          <w:szCs w:val="32"/>
        </w:rPr>
      </w:pPr>
      <w:r>
        <w:rPr>
          <w:rFonts w:ascii="Times New Roman" w:hAnsi="Times New Roman" w:eastAsia="楷体_GB2312" w:cs="Times New Roman"/>
          <w:sz w:val="32"/>
          <w:szCs w:val="32"/>
        </w:rPr>
        <w:t>（二）政府性基金预算执行情况</w:t>
      </w:r>
    </w:p>
    <w:p>
      <w:pPr>
        <w:spacing w:line="60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1.收入情况。1至6月,全市政府性基金预算收入55,509万元（其中:国有土地使用权出让收入42,777万元）,完成预算的12.9%,同比下降46.7%。争取政府性基金上级补助收入4,057万元。市本级政府性基金预算收入25,469万元（其中:国有土地使用权出让收入12,969万元）,完成预算的14.6%,同比下降62.3%。争取政府性基金上级补助收入2,153万元。</w:t>
      </w:r>
    </w:p>
    <w:p>
      <w:pPr>
        <w:spacing w:line="60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2.支出情况。1至6月,全市政府性基金预算支出299,675万元,同比增长12.4%。市本级政府性基金预算支出138,682万元,同比增长60.7%。</w:t>
      </w:r>
    </w:p>
    <w:p>
      <w:pPr>
        <w:spacing w:line="600" w:lineRule="exact"/>
        <w:ind w:firstLine="640" w:firstLineChars="200"/>
        <w:rPr>
          <w:rFonts w:ascii="Times New Roman" w:hAnsi="Times New Roman" w:eastAsia="楷体_GB2312" w:cs="Times New Roman"/>
          <w:sz w:val="32"/>
          <w:szCs w:val="32"/>
        </w:rPr>
      </w:pPr>
      <w:r>
        <w:rPr>
          <w:rFonts w:ascii="Times New Roman" w:hAnsi="Times New Roman" w:eastAsia="楷体_GB2312" w:cs="Times New Roman"/>
          <w:sz w:val="32"/>
          <w:szCs w:val="32"/>
        </w:rPr>
        <w:t>（三）社会保险基金预算执行情况</w:t>
      </w:r>
    </w:p>
    <w:p>
      <w:pPr>
        <w:spacing w:line="60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1至6月,全市及市本级社会保险基金预算收入实现167,919万元,完成预算的49.74%,同比下降2.47%;全市及市本级社会保险基金预算支出实现149,432万元,同比增长8.9%。（全市社会保险基金由市级统筹）</w:t>
      </w:r>
    </w:p>
    <w:p>
      <w:pPr>
        <w:spacing w:line="600" w:lineRule="exact"/>
        <w:ind w:firstLine="640" w:firstLineChars="200"/>
        <w:rPr>
          <w:rFonts w:ascii="Times New Roman" w:hAnsi="Times New Roman" w:eastAsia="楷体_GB2312" w:cs="Times New Roman"/>
          <w:sz w:val="32"/>
          <w:szCs w:val="32"/>
        </w:rPr>
      </w:pPr>
      <w:r>
        <w:rPr>
          <w:rFonts w:ascii="Times New Roman" w:hAnsi="Times New Roman" w:eastAsia="楷体_GB2312" w:cs="Times New Roman"/>
          <w:sz w:val="32"/>
          <w:szCs w:val="32"/>
        </w:rPr>
        <w:t>（四）国有资本经营预算执行情况</w:t>
      </w:r>
    </w:p>
    <w:p>
      <w:pPr>
        <w:spacing w:line="60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1至6月,做大国有企业规模,提高国有企业资源配置效益,实施国有企业资产重组,全市未实现国有资本经营预算收入。</w:t>
      </w:r>
    </w:p>
    <w:p>
      <w:pPr>
        <w:spacing w:line="600" w:lineRule="exact"/>
        <w:ind w:firstLine="640" w:firstLineChars="200"/>
        <w:rPr>
          <w:rFonts w:ascii="Times New Roman" w:hAnsi="Times New Roman" w:eastAsia="仿宋_GB2312" w:cs="Times New Roman"/>
          <w:sz w:val="32"/>
          <w:szCs w:val="32"/>
        </w:rPr>
      </w:pPr>
      <w:r>
        <w:rPr>
          <w:rFonts w:ascii="Times New Roman" w:hAnsi="Times New Roman" w:eastAsia="楷体_GB2312" w:cs="Times New Roman"/>
          <w:sz w:val="32"/>
          <w:szCs w:val="32"/>
        </w:rPr>
        <w:t>（五）地方债务情况</w:t>
      </w:r>
    </w:p>
    <w:p>
      <w:pPr>
        <w:spacing w:line="60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2022年年初,市本级政府债务余额为1,083,421万元,其中:地方政府债券1,058,000万元,外国政府、国际组织贷款25,421万元。1至6月,偿还政府债务149,674万元（其中自有资金还本付息26,844万元,再融资债券还本122,830万元）,新增地方政府债券91,200万元,政府债务余额1,157,571万元,未超过省级核定的债务限额1,170,641万元,债务风险总体可控。</w:t>
      </w:r>
    </w:p>
    <w:p>
      <w:pPr>
        <w:spacing w:line="600" w:lineRule="exact"/>
        <w:ind w:firstLine="640" w:firstLineChars="200"/>
        <w:rPr>
          <w:rFonts w:ascii="Times New Roman" w:hAnsi="Times New Roman" w:eastAsia="黑体" w:cs="Times New Roman"/>
          <w:sz w:val="32"/>
          <w:szCs w:val="32"/>
        </w:rPr>
      </w:pPr>
      <w:r>
        <w:rPr>
          <w:rFonts w:ascii="Times New Roman" w:hAnsi="Times New Roman" w:eastAsia="黑体" w:cs="Times New Roman"/>
          <w:sz w:val="32"/>
          <w:szCs w:val="32"/>
        </w:rPr>
        <w:t>三、2022年财政工作情况</w:t>
      </w:r>
    </w:p>
    <w:p>
      <w:pPr>
        <w:spacing w:line="600" w:lineRule="exact"/>
        <w:ind w:firstLine="640" w:firstLineChars="200"/>
        <w:rPr>
          <w:rFonts w:ascii="Times New Roman" w:hAnsi="Times New Roman" w:eastAsia="楷体_GB2312" w:cs="Times New Roman"/>
          <w:sz w:val="32"/>
          <w:szCs w:val="32"/>
        </w:rPr>
      </w:pPr>
      <w:r>
        <w:rPr>
          <w:rFonts w:ascii="Times New Roman" w:hAnsi="Times New Roman" w:eastAsia="楷体_GB2312" w:cs="Times New Roman"/>
          <w:sz w:val="32"/>
          <w:szCs w:val="32"/>
        </w:rPr>
        <w:t>（一）上半年财政重点工作情况</w:t>
      </w:r>
    </w:p>
    <w:p>
      <w:pPr>
        <w:spacing w:line="60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一是坚决贯彻落实中央、省组合式退税减税工作部署,建立财税银三方协作机制,加强分析研判,用好上级专项补助资金,确保“应减尽减、应退尽退”,全力为市场主体纾解困难,全市共减免税费18.56亿元,其中小微企业（含个体工商户）留抵退税6.6亿元。二是深入挖掘征收潜力,加强财源税源培植,拓展组织收入来源,全力组织收入入库,确保“依法征收、应收尽收”,保障财政稳健运行。三是坚持厉行节约,持续增强“过紧日子”意识,全市进一步压减“三公”经费516万元;深化支出预算改革,加强财政资金统筹,提高资金使用效益。四是着力做好财政“保基本民生、保工资、保运转、促发展、防风险”工作,“三保”支出实现“应保尽保”,上半年未发生“三保”风险;多渠道筹措资金按期偿还政府债务,全力推进债务化解,上半年共偿还政府债务4.05亿元。五是围绕中央、省确定的新增债券资金投向领域,聚焦市委“一三三三”总体发展战略,全市共争取新增债券9.12亿元,推动市政和产业园区基础设施、农林水利等领域重点项目建设,切实解决政府投资项目资金瓶颈问题,推动地方经济高质量发展。六是积极主动向上争取,全力以赴做大全市可用财力规模,加强财政保障能力,上半年全市共计各类上级资金102.4亿元,其中均衡性转移支付增量3.2亿元（市本级1.1亿元）,留抵退税和其他减税降费转移支付4.7亿元。</w:t>
      </w:r>
    </w:p>
    <w:p>
      <w:pPr>
        <w:spacing w:line="600" w:lineRule="exact"/>
        <w:ind w:firstLine="640" w:firstLineChars="200"/>
        <w:rPr>
          <w:rFonts w:ascii="Times New Roman" w:hAnsi="Times New Roman" w:eastAsia="楷体_GB2312" w:cs="Times New Roman"/>
          <w:sz w:val="32"/>
          <w:szCs w:val="32"/>
        </w:rPr>
      </w:pPr>
      <w:r>
        <w:rPr>
          <w:rFonts w:ascii="Times New Roman" w:hAnsi="Times New Roman" w:eastAsia="楷体_GB2312" w:cs="Times New Roman"/>
          <w:sz w:val="32"/>
          <w:szCs w:val="32"/>
        </w:rPr>
        <w:t>（二）下半年财政工作安排情况</w:t>
      </w:r>
    </w:p>
    <w:p>
      <w:pPr>
        <w:spacing w:line="60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下半年,继续强化预算执行,加强“三保”保障,做好债务风险防范,推进预算管理改革,全力以赴实现年初既定目标。</w:t>
      </w:r>
    </w:p>
    <w:p>
      <w:pPr>
        <w:spacing w:line="60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1.紧盯目标,加快收入组织进度。围绕年初预算目标,突出措施针对性和有效性,提前谋划、早做打算,千方百计完成全年目标任务,促进全市经济社会可持续发展。一是做好税收收入入库。持续做好重点企业、重点行业、重点产品税收风险评估和纳税服务,在确保大企业、重大项目等重点税源及时入库的同时,深度开展全市经济税源调查,抓好零散税源和小税种管理“以小补大”,抓实税收收入组织工作。二是加快非税收入执行进度。严格按照年初国有资产资源出让计划,倒排工期、明确各阶段任务和时间节点,加快推进特许经营权等国有资产资源出让工作。三是加快土地出让。加大土地出让收入督察考核力度,压实各级各部门主体责任,强化土地出让收入征收工作,推进我市棚改腾空土地出让。</w:t>
      </w:r>
    </w:p>
    <w:p>
      <w:pPr>
        <w:spacing w:line="60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2.加大保障,兜牢“三保”底线。坚持“三保”支出优先序列,全力保障基本养老、基本医疗、城乡低保、特困救助等各项民生政策,支持做好常态化疫情防控、防汛减灾、森林草原防灭火、安全生产、应急救援等工作,巩固拓展脱贫攻坚成果与乡村振兴有效衔接,坚决守住不发生“三保”风险事件的底线。坚持“量力而行”,继续压减一般性支出,做好“三项清理”工作,提升财政集中力量办大事的能力,落实民生投入稳增长机制,提高民生保障水平。做好直达资金分配拨付和全流程监控,持续加强资金管理,加快资金支出进度,确保直达资金直达基层一线、定向精准惠企利民。</w:t>
      </w:r>
    </w:p>
    <w:p>
      <w:pPr>
        <w:spacing w:line="60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3.坚持底线,做好债务风险防范。规范债券资金管理,做好资金调拨,及时将专项债券资金转入监管户,积极配合项目实施单位加快完成报账和资金支付。进一步加强债券资金项目建设管理,严格按照债券项目推进时间节点倒排进度,切实加快项目建设和资金支付使用,确保2022年新增专项债券资金在规定时间内使用完毕。建立完善债券项目联动把关机制,切实加强对新申报专项债券资金项目的审查,联合核查督导项目审批和运营情况,认真做好专项债券项目全生命周期管理,确保债券资金使用安全有效。</w:t>
      </w:r>
    </w:p>
    <w:p>
      <w:pPr>
        <w:spacing w:line="60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4.注重创新,深化财税管理改革。贯彻落实《四川省人民政府关于进一步深化预算管理制度改革的实施意见》（川府发〔2022〕4号）各项要求,全力推进形成良好的财经秩序,合力落实收入统筹、预算编制、预算执行、风险防范化解、预算监督、预算信息化建设等各项改革任务。主动接受人大及其常委会的监督,进一步完善预决算公开制度,细化政府预决算公开内容,切实增强财政透明度。进一步明确绩效预算改革各方职责,细化工作分工,优化业务开展流程,形成协调联动、齐抓共管的工作机制,推动我市预算绩效管理工作向纵深开展。落实中央、省关于进一步推进省以下财政体制改革工作的精神,完善市及市以下财政管理体制,实现市、县（区）两级均衡发展。</w:t>
      </w:r>
    </w:p>
    <w:p>
      <w:pPr>
        <w:spacing w:line="60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各位组成人员,当前财政改革发展任务十分艰巨。我们将在市委坚强领导和市人大有力监督下,认真落实本次会议审议意见,全力以赴、迎难而上、攻坚克难,全面完成各项目标任务,为加快建设现代化区域中心城市作出积极贡献。</w:t>
      </w:r>
    </w:p>
    <w:p>
      <w:pPr>
        <w:spacing w:line="600" w:lineRule="exact"/>
        <w:ind w:firstLine="640" w:firstLineChars="200"/>
        <w:rPr>
          <w:rFonts w:ascii="Times New Roman" w:hAnsi="Times New Roman" w:eastAsia="仿宋_GB2312" w:cs="Times New Roman"/>
          <w:sz w:val="32"/>
          <w:szCs w:val="32"/>
        </w:rPr>
      </w:pPr>
      <w:bookmarkStart w:id="0" w:name="_GoBack"/>
      <w:bookmarkEnd w:id="0"/>
      <w:r>
        <w:rPr>
          <w:rFonts w:ascii="Times New Roman" w:hAnsi="Times New Roman" w:eastAsia="仿宋_GB2312" w:cs="Times New Roman"/>
          <w:sz w:val="32"/>
          <w:szCs w:val="32"/>
        </w:rPr>
        <w:t>以上报告,请予审议。</w:t>
      </w: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方正小标宋_GBK">
    <w:panose1 w:val="02000000000000000000"/>
    <w:charset w:val="86"/>
    <w:family w:val="script"/>
    <w:pitch w:val="default"/>
    <w:sig w:usb0="00000001" w:usb1="08000000" w:usb2="00000000" w:usb3="00000000" w:csb0="00040000" w:csb1="00000000"/>
  </w:font>
  <w:font w:name="楷体_GB2312">
    <w:altName w:val="楷体"/>
    <w:panose1 w:val="02010609030101010101"/>
    <w:charset w:val="86"/>
    <w:family w:val="modern"/>
    <w:pitch w:val="default"/>
    <w:sig w:usb0="00000000" w:usb1="00000000" w:usb2="00000010" w:usb3="00000000" w:csb0="00040000" w:csb1="00000000"/>
  </w:font>
  <w:font w:name="仿宋_GB2312">
    <w:panose1 w:val="02010609030101010101"/>
    <w:charset w:val="86"/>
    <w:family w:val="modern"/>
    <w:pitch w:val="default"/>
    <w:sig w:usb0="00000001" w:usb1="080E0000" w:usb2="00000000" w:usb3="00000000" w:csb0="00040000" w:csb1="00000000"/>
  </w:font>
  <w:font w:name="方正书宋_GBK">
    <w:panose1 w:val="02000000000000000000"/>
    <w:charset w:val="86"/>
    <w:family w:val="auto"/>
    <w:pitch w:val="default"/>
    <w:sig w:usb0="00000001" w:usb1="08000000" w:usb2="00000000" w:usb3="00000000" w:csb0="00040000" w:csb1="00000000"/>
  </w:font>
  <w:font w:name="Nimbus Roman No9 L">
    <w:panose1 w:val="00000000000000000000"/>
    <w:charset w:val="00"/>
    <w:family w:val="auto"/>
    <w:pitch w:val="default"/>
    <w:sig w:usb0="00000000" w:usb1="00000000" w:usb2="00000000" w:usb3="00000000" w:csb0="00000000" w:csb1="00000000"/>
  </w:font>
  <w:font w:name="DejaVu Sans">
    <w:panose1 w:val="020B0603030804020204"/>
    <w:charset w:val="00"/>
    <w:family w:val="auto"/>
    <w:pitch w:val="default"/>
    <w:sig w:usb0="E7006EFF" w:usb1="D200FDFF" w:usb2="0A246029" w:usb3="0400200C" w:csb0="600001FF" w:csb1="DFFF0000"/>
  </w:font>
  <w:font w:name="Liberation Serif">
    <w:panose1 w:val="02020603050405020304"/>
    <w:charset w:val="00"/>
    <w:family w:val="auto"/>
    <w:pitch w:val="default"/>
    <w:sig w:usb0="A00002AF" w:usb1="500078FB" w:usb2="00000000" w:usb3="00000000" w:csb0="6000009F" w:csb1="DFD7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8212126"/>
      <w:docPartObj>
        <w:docPartGallery w:val="AutoText"/>
      </w:docPartObj>
    </w:sdtPr>
    <w:sdtContent>
      <w:p>
        <w:pPr>
          <w:pStyle w:val="2"/>
          <w:jc w:val="center"/>
        </w:pPr>
        <w:r>
          <w:rPr>
            <w:rFonts w:asciiTheme="minorEastAsia" w:hAnsiTheme="minorEastAsia"/>
            <w:sz w:val="21"/>
          </w:rPr>
          <w:fldChar w:fldCharType="begin"/>
        </w:r>
        <w:r>
          <w:rPr>
            <w:rFonts w:asciiTheme="minorEastAsia" w:hAnsiTheme="minorEastAsia"/>
            <w:sz w:val="21"/>
          </w:rPr>
          <w:instrText xml:space="preserve"> PAGE   \* MERGEFORMAT </w:instrText>
        </w:r>
        <w:r>
          <w:rPr>
            <w:rFonts w:asciiTheme="minorEastAsia" w:hAnsiTheme="minorEastAsia"/>
            <w:sz w:val="21"/>
          </w:rPr>
          <w:fldChar w:fldCharType="separate"/>
        </w:r>
        <w:r>
          <w:rPr>
            <w:rFonts w:asciiTheme="minorEastAsia" w:hAnsiTheme="minorEastAsia"/>
            <w:sz w:val="21"/>
            <w:lang w:val="zh-CN"/>
          </w:rPr>
          <w:t>1</w:t>
        </w:r>
        <w:r>
          <w:rPr>
            <w:rFonts w:asciiTheme="minorEastAsia" w:hAnsiTheme="minorEastAsia"/>
            <w:sz w:val="21"/>
          </w:rPr>
          <w:fldChar w:fldCharType="end"/>
        </w:r>
      </w:p>
    </w:sdtContent>
  </w:sdt>
  <w:p>
    <w:pPr>
      <w:pStyle w:val="2"/>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true"/>
  <w:bordersDoNotSurroundFooter w:val="true"/>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536B99"/>
    <w:rsid w:val="00011D26"/>
    <w:rsid w:val="0019079A"/>
    <w:rsid w:val="0020171B"/>
    <w:rsid w:val="00536B99"/>
    <w:rsid w:val="00540E67"/>
    <w:rsid w:val="008A2A00"/>
    <w:rsid w:val="0095369C"/>
    <w:rsid w:val="7F6DB44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unhideWhenUsed/>
    <w:qFormat/>
    <w:uiPriority w:val="99"/>
    <w:pPr>
      <w:tabs>
        <w:tab w:val="center" w:pos="4153"/>
        <w:tab w:val="right" w:pos="8306"/>
      </w:tabs>
      <w:snapToGrid w:val="0"/>
      <w:jc w:val="left"/>
    </w:pPr>
    <w:rPr>
      <w:sz w:val="18"/>
      <w:szCs w:val="18"/>
    </w:rPr>
  </w:style>
  <w:style w:type="paragraph" w:styleId="3">
    <w:name w:val="header"/>
    <w:basedOn w:val="1"/>
    <w:link w:val="6"/>
    <w:semiHidden/>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semiHidden/>
    <w:qFormat/>
    <w:uiPriority w:val="99"/>
    <w:rPr>
      <w:sz w:val="18"/>
      <w:szCs w:val="18"/>
    </w:rPr>
  </w:style>
  <w:style w:type="character" w:customStyle="1" w:styleId="7">
    <w:name w:val="页脚 Char"/>
    <w:basedOn w:val="5"/>
    <w:link w:val="2"/>
    <w:qFormat/>
    <w:uiPriority w:val="99"/>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MS</Company>
  <Pages>14</Pages>
  <Words>1224</Words>
  <Characters>6977</Characters>
  <Lines>58</Lines>
  <Paragraphs>16</Paragraphs>
  <TotalTime>33</TotalTime>
  <ScaleCrop>false</ScaleCrop>
  <LinksUpToDate>false</LinksUpToDate>
  <CharactersWithSpaces>8185</CharactersWithSpaces>
  <Application>WPS Office_11.8.2.9864_F1E327BC-269C-435d-A152-05C5408002CA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2023-09-05T15:55:00Z</dcterms:created>
  <dc:creator>张楚伯</dc:creator>
  <cp:lastModifiedBy>user</cp:lastModifiedBy>
  <cp:lastPrinted>2023-09-05T16:29:00Z</cp:lastPrinted>
  <dcterms:modified xsi:type="dcterms:W3CDTF">2023-09-05T16:44:19Z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2052-11.8.2.9864</vt:lpwstr>
  </property>
</Properties>
</file>