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 w:val="0"/>
        <w:autoSpaceDN/>
        <w:bidi w:val="0"/>
        <w:adjustRightInd w:val="0"/>
        <w:snapToGrid/>
        <w:spacing w:before="170" w:beforeAutospacing="0" w:after="170" w:afterAutospacing="0" w:line="60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攀枝花市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2022年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shd w:val="clear" w:color="auto" w:fill="FFFFFF"/>
          <w:lang w:eastAsia="zh-CN"/>
        </w:rPr>
        <w:t>举借政府债务</w:t>
      </w:r>
      <w:r>
        <w:rPr>
          <w:rFonts w:hint="default" w:ascii="方正小标宋简体" w:hAnsi="方正小标宋简体" w:eastAsia="方正小标宋简体" w:cs="方正小标宋简体"/>
          <w:sz w:val="44"/>
          <w:szCs w:val="44"/>
          <w:shd w:val="clear" w:color="auto" w:fill="FFFFFF"/>
        </w:rPr>
        <w:t>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bookmarkStart w:id="0" w:name="_GoBack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2021年末全市政府债务余额225.93亿元（市本级108.34亿元，东区18.98亿元，西区15.86亿元，仁和区36.37亿元，米易县24.45亿元，盐边县21.93亿元）。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"/>
        </w:rPr>
        <w:t>严格控制在财政厅下达我市的政府债务限额249.39亿元内举借债务，债务风险总体可控。分类型看：全市一般债务限额155.32亿元，余额143.52亿元；专项债务限额94.07亿元，余额82.41亿元。分级次看：市本级债务余额108.34亿元；县（区）级债务余额117.59亿元。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F4F"/>
    <w:rsid w:val="006B2F4F"/>
    <w:rsid w:val="00867998"/>
    <w:rsid w:val="00C53CEC"/>
    <w:rsid w:val="9E7BF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34</Words>
  <Characters>195</Characters>
  <Lines>1</Lines>
  <Paragraphs>1</Paragraphs>
  <TotalTime>1</TotalTime>
  <ScaleCrop>false</ScaleCrop>
  <LinksUpToDate>false</LinksUpToDate>
  <CharactersWithSpaces>228</CharactersWithSpaces>
  <Application>WPS Office_11.8.2.9864_F1E327BC-269C-435d-A152-05C5408002CA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2023-08-08T17:57:00Z</dcterms:created>
  <dc:creator>崔今</dc:creator>
  <cp:lastModifiedBy>user</cp:lastModifiedBy>
  <dcterms:modified xsi:type="dcterms:W3CDTF">2023-08-09T11:06:42Z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2052-11.8.2.9864</vt:lpwstr>
  </property>
</Properties>
</file>