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5EC8" w:rsidRDefault="007F5EC8">
      <w:pPr>
        <w:spacing w:line="600" w:lineRule="exact"/>
        <w:jc w:val="center"/>
        <w:outlineLvl w:val="0"/>
        <w:rPr>
          <w:rFonts w:ascii="方正小标宋简体" w:eastAsia="方正小标宋简体" w:hAnsi="宋体" w:hint="eastAsia"/>
          <w:sz w:val="72"/>
          <w:szCs w:val="72"/>
        </w:rPr>
      </w:pPr>
      <w:bookmarkStart w:id="0" w:name="_Toc15377425"/>
      <w:bookmarkStart w:id="1" w:name="_Toc15396475"/>
      <w:bookmarkStart w:id="2" w:name="_Toc15396597"/>
      <w:bookmarkStart w:id="3" w:name="_Toc15378441"/>
      <w:bookmarkStart w:id="4" w:name="_Toc15377193"/>
      <w:bookmarkStart w:id="5" w:name="_Toc15306267"/>
    </w:p>
    <w:p w:rsidR="007F5EC8" w:rsidRDefault="007F5EC8">
      <w:pPr>
        <w:spacing w:line="600" w:lineRule="exact"/>
        <w:jc w:val="center"/>
        <w:outlineLvl w:val="0"/>
        <w:rPr>
          <w:rFonts w:ascii="方正小标宋简体" w:eastAsia="方正小标宋简体" w:hAnsi="宋体"/>
          <w:sz w:val="72"/>
          <w:szCs w:val="72"/>
        </w:rPr>
      </w:pPr>
    </w:p>
    <w:p w:rsidR="007F5EC8" w:rsidRDefault="007F5EC8">
      <w:pPr>
        <w:spacing w:line="600" w:lineRule="exact"/>
        <w:jc w:val="center"/>
        <w:outlineLvl w:val="0"/>
        <w:rPr>
          <w:rFonts w:ascii="方正小标宋简体" w:eastAsia="方正小标宋简体" w:hAnsi="宋体"/>
          <w:sz w:val="72"/>
          <w:szCs w:val="72"/>
        </w:rPr>
      </w:pPr>
    </w:p>
    <w:p w:rsidR="007F5EC8" w:rsidRDefault="00F75C99">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p>
    <w:p w:rsidR="007F5EC8" w:rsidRDefault="00F75C99">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426"/>
      <w:bookmarkStart w:id="7" w:name="_Toc15306268"/>
      <w:bookmarkStart w:id="8" w:name="_Toc15396598"/>
      <w:bookmarkStart w:id="9" w:name="_Toc15378442"/>
      <w:bookmarkStart w:id="10" w:name="_Toc15377194"/>
      <w:bookmarkStart w:id="11" w:name="_Toc15396476"/>
      <w:bookmarkEnd w:id="5"/>
      <w:r>
        <w:rPr>
          <w:rFonts w:ascii="方正小标宋简体" w:eastAsia="方正小标宋简体" w:hAnsi="方正小标宋简体" w:cs="方正小标宋简体" w:hint="eastAsia"/>
          <w:sz w:val="72"/>
          <w:szCs w:val="72"/>
        </w:rPr>
        <w:t>中共攀枝花市委机构编制委员会办公室部门决算</w:t>
      </w:r>
      <w:bookmarkEnd w:id="6"/>
      <w:bookmarkEnd w:id="7"/>
      <w:bookmarkEnd w:id="8"/>
      <w:bookmarkEnd w:id="9"/>
      <w:bookmarkEnd w:id="10"/>
      <w:bookmarkEnd w:id="11"/>
    </w:p>
    <w:p w:rsidR="007F5EC8" w:rsidRDefault="00F75C99">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7F5EC8" w:rsidRDefault="007F5EC8">
      <w:pPr>
        <w:widowControl/>
        <w:jc w:val="center"/>
        <w:rPr>
          <w:rFonts w:ascii="黑体" w:eastAsia="黑体" w:hAnsi="黑体" w:cstheme="minorBidi"/>
          <w:sz w:val="28"/>
          <w:szCs w:val="28"/>
        </w:rPr>
      </w:pPr>
    </w:p>
    <w:p w:rsidR="007F5EC8" w:rsidRDefault="00F75C99">
      <w:pPr>
        <w:pStyle w:val="10"/>
      </w:pPr>
      <w:r>
        <w:rPr>
          <w:rFonts w:hint="eastAsia"/>
        </w:rPr>
        <w:t>公开时间：2023年9月</w:t>
      </w:r>
      <w:r>
        <w:t>1</w:t>
      </w:r>
      <w:r w:rsidR="003B4059">
        <w:rPr>
          <w:rFonts w:hint="eastAsia"/>
        </w:rPr>
        <w:t>3</w:t>
      </w:r>
      <w:bookmarkStart w:id="12" w:name="_GoBack"/>
      <w:bookmarkEnd w:id="12"/>
      <w:r>
        <w:rPr>
          <w:rFonts w:hint="eastAsia"/>
        </w:rPr>
        <w:t>日</w:t>
      </w:r>
    </w:p>
    <w:p w:rsidR="007F5EC8" w:rsidRDefault="007F5EC8"/>
    <w:p w:rsidR="007F5EC8" w:rsidRDefault="00F75C99">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rPr>
          <w:rFonts w:cstheme="minorBidi"/>
          <w:sz w:val="24"/>
          <w:szCs w:val="24"/>
        </w:rPr>
        <w:tab/>
      </w:r>
      <w:r>
        <w:rPr>
          <w:rFonts w:cstheme="minorBidi" w:hint="eastAsia"/>
          <w:sz w:val="24"/>
          <w:szCs w:val="24"/>
        </w:rPr>
        <w:t>4</w:t>
      </w:r>
    </w:p>
    <w:p w:rsidR="007F5EC8" w:rsidRDefault="00F75C99">
      <w:pPr>
        <w:pStyle w:val="20"/>
        <w:adjustRightInd w:val="0"/>
        <w:snapToGrid w:val="0"/>
        <w:spacing w:line="440" w:lineRule="exact"/>
        <w:jc w:val="left"/>
        <w:rPr>
          <w:rFonts w:ascii="仿宋" w:hAnsi="仿宋"/>
          <w:sz w:val="24"/>
        </w:rPr>
      </w:pPr>
      <w:r>
        <w:rPr>
          <w:rFonts w:hint="eastAsia"/>
          <w:sz w:val="24"/>
        </w:rPr>
        <w:t>一、部门职责</w:t>
      </w:r>
      <w:r>
        <w:rPr>
          <w:rFonts w:cstheme="minorBidi"/>
          <w:sz w:val="24"/>
        </w:rPr>
        <w:tab/>
      </w:r>
      <w:r>
        <w:rPr>
          <w:rFonts w:cstheme="minorBidi" w:hint="eastAsia"/>
          <w:sz w:val="24"/>
        </w:rPr>
        <w:t>5</w:t>
      </w:r>
    </w:p>
    <w:p w:rsidR="007F5EC8" w:rsidRDefault="00F75C99">
      <w:pPr>
        <w:pStyle w:val="20"/>
        <w:adjustRightInd w:val="0"/>
        <w:snapToGrid w:val="0"/>
        <w:spacing w:line="440" w:lineRule="exact"/>
        <w:jc w:val="left"/>
        <w:rPr>
          <w:rFonts w:ascii="仿宋" w:hAnsi="仿宋" w:cstheme="minorBidi"/>
          <w:sz w:val="24"/>
        </w:rPr>
      </w:pPr>
      <w:r>
        <w:rPr>
          <w:rFonts w:hint="eastAsia"/>
          <w:sz w:val="24"/>
        </w:rPr>
        <w:t>二、机构设置</w:t>
      </w:r>
      <w:r>
        <w:rPr>
          <w:rFonts w:cstheme="minorBidi"/>
          <w:sz w:val="24"/>
        </w:rPr>
        <w:tab/>
      </w:r>
      <w:r>
        <w:rPr>
          <w:rFonts w:cstheme="minorBidi" w:hint="eastAsia"/>
          <w:sz w:val="24"/>
        </w:rPr>
        <w:t>5</w:t>
      </w:r>
    </w:p>
    <w:p w:rsidR="007F5EC8" w:rsidRDefault="00F75C99">
      <w:pPr>
        <w:pStyle w:val="10"/>
        <w:adjustRightInd w:val="0"/>
        <w:snapToGrid w:val="0"/>
        <w:spacing w:before="0" w:line="440" w:lineRule="exact"/>
        <w:jc w:val="left"/>
        <w:rPr>
          <w:sz w:val="24"/>
          <w:szCs w:val="24"/>
        </w:rPr>
      </w:pPr>
      <w:r>
        <w:rPr>
          <w:rFonts w:hint="eastAsia"/>
          <w:sz w:val="24"/>
        </w:rPr>
        <w:t>第二部分 2022年度部门决算情况说明</w:t>
      </w:r>
      <w:r>
        <w:rPr>
          <w:rFonts w:cstheme="minorBidi"/>
          <w:sz w:val="24"/>
          <w:szCs w:val="24"/>
        </w:rPr>
        <w:tab/>
      </w:r>
      <w:r>
        <w:rPr>
          <w:rFonts w:cstheme="minorBidi" w:hint="eastAsia"/>
          <w:sz w:val="24"/>
          <w:szCs w:val="24"/>
        </w:rPr>
        <w:t>6</w:t>
      </w:r>
    </w:p>
    <w:p w:rsidR="007F5EC8" w:rsidRDefault="00F75C99">
      <w:pPr>
        <w:pStyle w:val="20"/>
        <w:adjustRightInd w:val="0"/>
        <w:snapToGrid w:val="0"/>
        <w:spacing w:line="440" w:lineRule="exact"/>
        <w:jc w:val="left"/>
        <w:rPr>
          <w:rFonts w:ascii="仿宋" w:hAnsi="仿宋" w:cstheme="minorBidi"/>
          <w:sz w:val="24"/>
        </w:rPr>
      </w:pPr>
      <w:r>
        <w:rPr>
          <w:rFonts w:hint="eastAsia"/>
          <w:sz w:val="24"/>
        </w:rPr>
        <w:t>一、收入支出决算总体情况说明</w:t>
      </w:r>
      <w:r>
        <w:rPr>
          <w:rFonts w:cstheme="minorBidi"/>
          <w:sz w:val="24"/>
        </w:rPr>
        <w:tab/>
      </w:r>
      <w:r>
        <w:rPr>
          <w:rFonts w:cstheme="minorBidi" w:hint="eastAsia"/>
          <w:sz w:val="24"/>
        </w:rPr>
        <w:t>6</w:t>
      </w:r>
    </w:p>
    <w:p w:rsidR="007F5EC8" w:rsidRDefault="00F75C99">
      <w:pPr>
        <w:pStyle w:val="20"/>
        <w:adjustRightInd w:val="0"/>
        <w:snapToGrid w:val="0"/>
        <w:spacing w:line="440" w:lineRule="exact"/>
        <w:jc w:val="left"/>
        <w:rPr>
          <w:rFonts w:ascii="仿宋" w:hAnsi="仿宋" w:cstheme="minorBidi"/>
          <w:sz w:val="24"/>
        </w:rPr>
      </w:pPr>
      <w:r>
        <w:rPr>
          <w:rFonts w:hint="eastAsia"/>
          <w:sz w:val="24"/>
        </w:rPr>
        <w:t>二、收入决算情况说明</w:t>
      </w:r>
      <w:r>
        <w:rPr>
          <w:rFonts w:cstheme="minorBidi"/>
          <w:sz w:val="24"/>
        </w:rPr>
        <w:tab/>
      </w:r>
      <w:r>
        <w:rPr>
          <w:rFonts w:cstheme="minorBidi" w:hint="eastAsia"/>
          <w:sz w:val="24"/>
        </w:rPr>
        <w:t>6</w:t>
      </w:r>
    </w:p>
    <w:p w:rsidR="007F5EC8" w:rsidRDefault="00F75C99">
      <w:pPr>
        <w:pStyle w:val="20"/>
        <w:adjustRightInd w:val="0"/>
        <w:snapToGrid w:val="0"/>
        <w:spacing w:line="440" w:lineRule="exact"/>
        <w:jc w:val="left"/>
        <w:rPr>
          <w:rFonts w:ascii="仿宋" w:hAnsi="仿宋" w:cstheme="minorBidi"/>
          <w:sz w:val="24"/>
        </w:rPr>
      </w:pPr>
      <w:r>
        <w:rPr>
          <w:rFonts w:hint="eastAsia"/>
          <w:sz w:val="24"/>
        </w:rPr>
        <w:t>三、支出决算情况说明</w:t>
      </w:r>
      <w:r>
        <w:rPr>
          <w:rFonts w:cstheme="minorBidi"/>
          <w:sz w:val="24"/>
        </w:rPr>
        <w:tab/>
      </w:r>
      <w:r>
        <w:rPr>
          <w:rFonts w:cstheme="minorBidi" w:hint="eastAsia"/>
          <w:sz w:val="24"/>
        </w:rPr>
        <w:t>7</w:t>
      </w:r>
    </w:p>
    <w:p w:rsidR="007F5EC8" w:rsidRDefault="00F75C99">
      <w:pPr>
        <w:pStyle w:val="20"/>
        <w:adjustRightInd w:val="0"/>
        <w:snapToGrid w:val="0"/>
        <w:spacing w:line="440" w:lineRule="exact"/>
        <w:jc w:val="left"/>
        <w:rPr>
          <w:rFonts w:ascii="仿宋" w:hAnsi="仿宋" w:cstheme="minorBidi"/>
          <w:sz w:val="24"/>
        </w:rPr>
      </w:pPr>
      <w:r>
        <w:rPr>
          <w:rFonts w:hint="eastAsia"/>
          <w:sz w:val="24"/>
        </w:rPr>
        <w:t>四、财政拨款收入支出决算总体情况说明</w:t>
      </w:r>
      <w:r>
        <w:rPr>
          <w:rFonts w:cstheme="minorBidi"/>
          <w:sz w:val="24"/>
        </w:rPr>
        <w:tab/>
      </w:r>
      <w:r>
        <w:rPr>
          <w:rFonts w:cstheme="minorBidi" w:hint="eastAsia"/>
          <w:sz w:val="24"/>
        </w:rPr>
        <w:t>8</w:t>
      </w:r>
    </w:p>
    <w:p w:rsidR="007F5EC8" w:rsidRDefault="00F75C99">
      <w:pPr>
        <w:pStyle w:val="20"/>
        <w:adjustRightInd w:val="0"/>
        <w:snapToGrid w:val="0"/>
        <w:spacing w:line="440" w:lineRule="exact"/>
        <w:jc w:val="left"/>
        <w:rPr>
          <w:rFonts w:ascii="仿宋" w:hAnsi="仿宋" w:cstheme="minorBidi"/>
          <w:sz w:val="24"/>
        </w:rPr>
      </w:pPr>
      <w:r>
        <w:rPr>
          <w:rFonts w:hint="eastAsia"/>
          <w:sz w:val="24"/>
        </w:rPr>
        <w:t>五、一般公共预算财政拨款支出决算情况说明</w:t>
      </w:r>
      <w:r>
        <w:rPr>
          <w:rFonts w:cstheme="minorBidi"/>
          <w:sz w:val="24"/>
        </w:rPr>
        <w:tab/>
      </w:r>
      <w:r>
        <w:rPr>
          <w:rFonts w:cstheme="minorBidi" w:hint="eastAsia"/>
          <w:sz w:val="24"/>
        </w:rPr>
        <w:t>8</w:t>
      </w:r>
    </w:p>
    <w:p w:rsidR="007F5EC8" w:rsidRDefault="00F75C99">
      <w:pPr>
        <w:pStyle w:val="20"/>
        <w:adjustRightInd w:val="0"/>
        <w:snapToGrid w:val="0"/>
        <w:spacing w:line="440" w:lineRule="exact"/>
        <w:jc w:val="left"/>
        <w:rPr>
          <w:rFonts w:ascii="仿宋" w:hAnsi="仿宋" w:cstheme="minorBidi"/>
          <w:sz w:val="24"/>
        </w:rPr>
      </w:pPr>
      <w:r>
        <w:rPr>
          <w:rFonts w:hint="eastAsia"/>
          <w:sz w:val="24"/>
        </w:rPr>
        <w:t>六、一般公共预算财政拨款基本支出决算情况说明</w:t>
      </w:r>
      <w:r>
        <w:rPr>
          <w:rFonts w:cstheme="minorBidi"/>
          <w:sz w:val="24"/>
        </w:rPr>
        <w:tab/>
      </w:r>
      <w:r>
        <w:rPr>
          <w:rFonts w:cstheme="minorBidi" w:hint="eastAsia"/>
          <w:sz w:val="24"/>
        </w:rPr>
        <w:t>10</w:t>
      </w:r>
    </w:p>
    <w:p w:rsidR="007F5EC8" w:rsidRDefault="00F75C99">
      <w:pPr>
        <w:pStyle w:val="20"/>
        <w:adjustRightInd w:val="0"/>
        <w:snapToGrid w:val="0"/>
        <w:spacing w:line="440" w:lineRule="exact"/>
        <w:jc w:val="left"/>
        <w:rPr>
          <w:rFonts w:ascii="仿宋" w:hAnsi="仿宋" w:cstheme="minorBidi"/>
          <w:sz w:val="24"/>
        </w:rPr>
      </w:pPr>
      <w:r>
        <w:rPr>
          <w:rFonts w:hint="eastAsia"/>
          <w:sz w:val="24"/>
        </w:rPr>
        <w:t>七、财政拨款“三公”经费支出决算情况说明</w:t>
      </w:r>
      <w:r>
        <w:rPr>
          <w:rFonts w:cstheme="minorBidi"/>
          <w:sz w:val="24"/>
        </w:rPr>
        <w:tab/>
      </w:r>
      <w:r>
        <w:rPr>
          <w:rFonts w:cstheme="minorBidi" w:hint="eastAsia"/>
          <w:sz w:val="24"/>
        </w:rPr>
        <w:t>11</w:t>
      </w:r>
    </w:p>
    <w:p w:rsidR="007F5EC8" w:rsidRDefault="00F75C99">
      <w:pPr>
        <w:pStyle w:val="20"/>
        <w:adjustRightInd w:val="0"/>
        <w:snapToGrid w:val="0"/>
        <w:spacing w:line="440" w:lineRule="exact"/>
        <w:jc w:val="left"/>
        <w:rPr>
          <w:rFonts w:ascii="仿宋" w:hAnsi="仿宋" w:cstheme="minorBidi"/>
          <w:sz w:val="24"/>
        </w:rPr>
      </w:pPr>
      <w:r>
        <w:rPr>
          <w:rFonts w:hint="eastAsia"/>
          <w:sz w:val="24"/>
        </w:rPr>
        <w:t>八、政府性基金预算支出决算情况说明</w:t>
      </w:r>
      <w:r>
        <w:rPr>
          <w:rFonts w:cstheme="minorBidi"/>
          <w:sz w:val="24"/>
        </w:rPr>
        <w:tab/>
      </w:r>
      <w:r>
        <w:rPr>
          <w:rFonts w:cstheme="minorBidi" w:hint="eastAsia"/>
          <w:sz w:val="24"/>
        </w:rPr>
        <w:t>13</w:t>
      </w:r>
    </w:p>
    <w:p w:rsidR="007F5EC8" w:rsidRDefault="00F75C99">
      <w:pPr>
        <w:pStyle w:val="20"/>
        <w:adjustRightInd w:val="0"/>
        <w:snapToGrid w:val="0"/>
        <w:spacing w:line="440" w:lineRule="exact"/>
        <w:ind w:leftChars="0"/>
        <w:jc w:val="left"/>
        <w:rPr>
          <w:rFonts w:ascii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Pr>
          <w:rFonts w:cstheme="minorBidi"/>
          <w:sz w:val="24"/>
        </w:rPr>
        <w:tab/>
      </w:r>
      <w:r>
        <w:rPr>
          <w:rFonts w:cstheme="minorBidi" w:hint="eastAsia"/>
          <w:sz w:val="24"/>
        </w:rPr>
        <w:t>13</w:t>
      </w:r>
    </w:p>
    <w:p w:rsidR="007F5EC8" w:rsidRDefault="00F75C99">
      <w:pPr>
        <w:pStyle w:val="20"/>
        <w:adjustRightInd w:val="0"/>
        <w:snapToGrid w:val="0"/>
        <w:spacing w:line="440" w:lineRule="exact"/>
        <w:ind w:left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十、其他重要事项的情况说明</w:t>
      </w:r>
      <w:r>
        <w:rPr>
          <w:rFonts w:cstheme="minorBidi"/>
          <w:sz w:val="24"/>
        </w:rPr>
        <w:tab/>
      </w:r>
      <w:r>
        <w:rPr>
          <w:rFonts w:cstheme="minorBidi" w:hint="eastAsia"/>
          <w:sz w:val="24"/>
        </w:rPr>
        <w:t>13</w:t>
      </w:r>
    </w:p>
    <w:p w:rsidR="007F5EC8" w:rsidRDefault="00F75C99">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Pr>
          <w:rFonts w:cstheme="minorBidi"/>
          <w:sz w:val="24"/>
          <w:szCs w:val="24"/>
        </w:rPr>
        <w:tab/>
      </w:r>
      <w:r>
        <w:rPr>
          <w:rFonts w:cstheme="minorBidi" w:hint="eastAsia"/>
          <w:sz w:val="24"/>
          <w:szCs w:val="24"/>
        </w:rPr>
        <w:t>16</w:t>
      </w:r>
    </w:p>
    <w:p w:rsidR="007F5EC8" w:rsidRDefault="00F75C99">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Pr>
          <w:rFonts w:cstheme="minorBidi"/>
          <w:sz w:val="24"/>
          <w:szCs w:val="24"/>
        </w:rPr>
        <w:tab/>
      </w:r>
      <w:r>
        <w:rPr>
          <w:rFonts w:cstheme="minorBidi" w:hint="eastAsia"/>
          <w:sz w:val="24"/>
          <w:szCs w:val="24"/>
        </w:rPr>
        <w:t>18</w:t>
      </w:r>
    </w:p>
    <w:p w:rsidR="007F5EC8" w:rsidRDefault="00F75C99">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rPr>
          <w:rFonts w:cstheme="minorBidi"/>
          <w:sz w:val="24"/>
          <w:szCs w:val="24"/>
        </w:rPr>
        <w:tab/>
      </w:r>
      <w:r>
        <w:rPr>
          <w:rFonts w:cstheme="minorBidi" w:hint="eastAsia"/>
          <w:sz w:val="24"/>
          <w:szCs w:val="24"/>
        </w:rPr>
        <w:t>32</w:t>
      </w:r>
    </w:p>
    <w:p w:rsidR="007F5EC8" w:rsidRDefault="00F75C99">
      <w:pPr>
        <w:pStyle w:val="20"/>
        <w:adjustRightInd w:val="0"/>
        <w:snapToGrid w:val="0"/>
        <w:spacing w:line="440" w:lineRule="exact"/>
        <w:jc w:val="left"/>
        <w:rPr>
          <w:sz w:val="24"/>
        </w:rPr>
      </w:pPr>
      <w:r>
        <w:rPr>
          <w:rFonts w:hint="eastAsia"/>
          <w:sz w:val="24"/>
        </w:rPr>
        <w:t>一、收入支出决算总表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t>二、收入决算表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t>三、支出决算表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t>四、财政拨款收入支出决算总表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t>五、财政拨款支出决算明细表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t>六、一般公共预算财政拨款支出决算表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t>七、一般公共预算财政拨款支出决算明细表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t>八、一般公共预算财政拨款基本支出决算明细表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t>九、一般公共预算财政拨款项目支出决算表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lastRenderedPageBreak/>
        <w:t>十、政府性基金预算财政拨款收入支出决算表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t>十一、国有资本经营预算财政拨款收入支出决算表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sz w:val="24"/>
        </w:rPr>
      </w:pPr>
      <w:r>
        <w:rPr>
          <w:rFonts w:hint="eastAsia"/>
          <w:sz w:val="24"/>
        </w:rPr>
        <w:t>十二、国有资本经营预算财政拨款支出决算表</w:t>
      </w:r>
      <w:r>
        <w:rPr>
          <w:rFonts w:cstheme="minorBidi"/>
          <w:sz w:val="24"/>
        </w:rPr>
        <w:tab/>
      </w:r>
      <w:r>
        <w:rPr>
          <w:rFonts w:cstheme="minorBidi" w:hint="eastAsia"/>
          <w:sz w:val="24"/>
        </w:rPr>
        <w:t>32</w:t>
      </w:r>
    </w:p>
    <w:p w:rsidR="007F5EC8" w:rsidRDefault="00F75C99">
      <w:pPr>
        <w:pStyle w:val="20"/>
        <w:adjustRightInd w:val="0"/>
        <w:snapToGrid w:val="0"/>
        <w:spacing w:line="440" w:lineRule="exact"/>
        <w:jc w:val="left"/>
        <w:rPr>
          <w:rFonts w:asciiTheme="minorEastAsia" w:hAnsiTheme="minorEastAsia" w:cstheme="minorEastAsia"/>
          <w:sz w:val="24"/>
        </w:rPr>
      </w:pPr>
      <w:r>
        <w:rPr>
          <w:rFonts w:hint="eastAsia"/>
          <w:sz w:val="24"/>
        </w:rPr>
        <w:t>十三、财政拨款“三公”经费支出决算表</w:t>
      </w:r>
      <w:r>
        <w:rPr>
          <w:rFonts w:cstheme="minorBidi"/>
          <w:sz w:val="24"/>
        </w:rPr>
        <w:tab/>
      </w:r>
      <w:r>
        <w:rPr>
          <w:rFonts w:cstheme="minorBidi" w:hint="eastAsia"/>
          <w:sz w:val="24"/>
        </w:rPr>
        <w:t>32</w:t>
      </w:r>
    </w:p>
    <w:p w:rsidR="007F5EC8" w:rsidRDefault="00F75C99">
      <w:pPr>
        <w:widowControl/>
        <w:spacing w:line="440" w:lineRule="exact"/>
        <w:jc w:val="left"/>
        <w:rPr>
          <w:rFonts w:ascii="仿宋" w:eastAsia="仿宋" w:hAnsi="仿宋"/>
          <w:bCs/>
          <w:kern w:val="44"/>
          <w:sz w:val="24"/>
        </w:rPr>
      </w:pPr>
      <w:bookmarkStart w:id="13" w:name="_Toc15396599"/>
      <w:bookmarkStart w:id="14" w:name="_Toc15377196"/>
      <w:r>
        <w:rPr>
          <w:rFonts w:ascii="仿宋" w:eastAsia="仿宋" w:hAnsi="仿宋"/>
          <w:b/>
          <w:sz w:val="24"/>
        </w:rPr>
        <w:br w:type="page"/>
      </w:r>
    </w:p>
    <w:p w:rsidR="007F5EC8" w:rsidRDefault="00F75C99">
      <w:pPr>
        <w:pStyle w:val="1"/>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3"/>
      <w:bookmarkEnd w:id="14"/>
    </w:p>
    <w:p w:rsidR="007F5EC8" w:rsidRDefault="007F5EC8">
      <w:pPr>
        <w:widowControl/>
        <w:jc w:val="left"/>
        <w:rPr>
          <w:rFonts w:ascii="黑体" w:eastAsia="黑体"/>
          <w:sz w:val="32"/>
          <w:szCs w:val="32"/>
        </w:rPr>
      </w:pPr>
    </w:p>
    <w:p w:rsidR="007F5EC8" w:rsidRDefault="00F75C99">
      <w:pPr>
        <w:pStyle w:val="2"/>
        <w:rPr>
          <w:rFonts w:ascii="黑体" w:eastAsia="黑体" w:hAnsi="黑体"/>
          <w:b w:val="0"/>
        </w:rPr>
      </w:pPr>
      <w:r>
        <w:rPr>
          <w:rFonts w:ascii="黑体" w:eastAsia="黑体" w:hAnsi="黑体" w:hint="eastAsia"/>
          <w:b w:val="0"/>
        </w:rPr>
        <w:t xml:space="preserve">    一、部门职责</w:t>
      </w:r>
    </w:p>
    <w:p w:rsidR="007F5EC8" w:rsidRDefault="00F75C99">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1.贯彻执行中央、省行政管理体制改革和机构改革、事业单位改革及机构编制管理的方针政策和法律法规,制定相关政策并监督实施。</w:t>
      </w:r>
    </w:p>
    <w:p w:rsidR="007F5EC8" w:rsidRDefault="00F75C99">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2.拟订全市各级行政编制、政法专项编制总额分配方案,审核跨层级调整行政编制事项。负责全市行政事业编制总量控制，会同有关部门严格控制财政供养人员。对市级机关及市属事业单位使用空缺编制补充人员进行核批。</w:t>
      </w:r>
    </w:p>
    <w:p w:rsidR="007F5EC8" w:rsidRDefault="00F75C99">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3.研究拟订全市行政管理体制改革和机构改革方案，执行改革方案并评估改革效果。参与行政审批制度改革和行政区划调整的有关工作。负责市级机关以及其他行政机构的机构编制管理工作。协调市级各部门之间以及市级各部门与县（区）之间的职责分工。</w:t>
      </w:r>
    </w:p>
    <w:p w:rsidR="007F5EC8" w:rsidRDefault="00F75C99">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4.拟订全市事业单位改革方案及相关配套政策，审核市属事业单位机构编制方案，评估改革效果。负责市属事业单位的机构编制管理工作。</w:t>
      </w:r>
    </w:p>
    <w:p w:rsidR="007F5EC8" w:rsidRDefault="00F75C99">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5.监督检查全市各级行政管理体制改革和机构改革方案及机构编制规定执行情况，建立机构编制工作考核评估制度,会同有关部门查处机构编制违法违纪行为。</w:t>
      </w:r>
    </w:p>
    <w:p w:rsidR="007F5EC8" w:rsidRDefault="00F75C99">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6.监督检查全市事业单位登记管理工作。</w:t>
      </w:r>
    </w:p>
    <w:p w:rsidR="007F5EC8" w:rsidRDefault="00F75C99">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lastRenderedPageBreak/>
        <w:t>7.指导县（区）机构编制管理工作，审核县（区）、乡（镇）机构改革方案，县(区) 、乡（镇）事业单位改革总体方案以及县（区）副科级及以上党政群机构和事业机构的设置、调整。</w:t>
      </w:r>
    </w:p>
    <w:p w:rsidR="007F5EC8" w:rsidRDefault="00F75C99">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8.承办市委、市政府和市委编委交办的其他工作。</w:t>
      </w:r>
      <w:bookmarkStart w:id="15" w:name="_Toc15377200"/>
      <w:bookmarkStart w:id="16" w:name="_Toc15396601"/>
    </w:p>
    <w:p w:rsidR="007F5EC8" w:rsidRDefault="00F75C99">
      <w:pPr>
        <w:snapToGrid w:val="0"/>
        <w:spacing w:line="576" w:lineRule="exact"/>
        <w:ind w:firstLineChars="200" w:firstLine="640"/>
        <w:rPr>
          <w:rStyle w:val="22"/>
          <w:b w:val="0"/>
          <w:bCs w:val="0"/>
        </w:rPr>
      </w:pPr>
      <w:r>
        <w:rPr>
          <w:rFonts w:ascii="黑体" w:eastAsia="黑体" w:hint="eastAsia"/>
          <w:sz w:val="32"/>
          <w:szCs w:val="32"/>
        </w:rPr>
        <w:t>二、</w:t>
      </w:r>
      <w:r>
        <w:rPr>
          <w:rFonts w:ascii="黑体" w:eastAsia="黑体" w:hAnsi="黑体" w:hint="eastAsia"/>
          <w:sz w:val="32"/>
          <w:szCs w:val="32"/>
        </w:rPr>
        <w:t>机</w:t>
      </w:r>
      <w:r>
        <w:rPr>
          <w:rStyle w:val="22"/>
          <w:rFonts w:ascii="黑体" w:eastAsia="黑体" w:hAnsi="黑体" w:hint="eastAsia"/>
          <w:b w:val="0"/>
          <w:bCs w:val="0"/>
        </w:rPr>
        <w:t>构设置</w:t>
      </w:r>
      <w:bookmarkEnd w:id="15"/>
      <w:bookmarkEnd w:id="16"/>
    </w:p>
    <w:p w:rsidR="007F5EC8" w:rsidRDefault="00F75C99">
      <w:pPr>
        <w:ind w:firstLineChars="250" w:firstLine="800"/>
        <w:rPr>
          <w:rFonts w:ascii="仿宋" w:eastAsia="仿宋" w:hAnsi="仿宋"/>
          <w:sz w:val="32"/>
          <w:szCs w:val="32"/>
        </w:rPr>
      </w:pPr>
      <w:r>
        <w:rPr>
          <w:rFonts w:ascii="仿宋" w:eastAsia="仿宋" w:hAnsi="仿宋" w:hint="eastAsia"/>
          <w:sz w:val="32"/>
          <w:szCs w:val="32"/>
        </w:rPr>
        <w:t>中共攀枝花市委机构编制委员会办公室下属二级预算单位1个，其中行政单位0个，参照公务员法管理的事业单位</w:t>
      </w:r>
      <w:r>
        <w:rPr>
          <w:rFonts w:ascii="仿宋" w:eastAsia="仿宋" w:hAnsi="仿宋" w:hint="eastAsia"/>
          <w:bCs/>
          <w:sz w:val="32"/>
          <w:szCs w:val="32"/>
        </w:rPr>
        <w:t>1</w:t>
      </w:r>
      <w:r>
        <w:rPr>
          <w:rFonts w:ascii="仿宋" w:eastAsia="仿宋" w:hAnsi="仿宋" w:hint="eastAsia"/>
          <w:sz w:val="32"/>
          <w:szCs w:val="32"/>
        </w:rPr>
        <w:t>个，其他事业单位0个。</w:t>
      </w:r>
    </w:p>
    <w:p w:rsidR="007F5EC8" w:rsidRDefault="00F75C99">
      <w:pPr>
        <w:spacing w:line="576" w:lineRule="exact"/>
        <w:ind w:firstLineChars="200" w:firstLine="640"/>
        <w:rPr>
          <w:rFonts w:ascii="仿宋" w:eastAsia="仿宋" w:hAnsi="仿宋"/>
          <w:kern w:val="0"/>
          <w:sz w:val="32"/>
          <w:szCs w:val="32"/>
        </w:rPr>
      </w:pPr>
      <w:r>
        <w:rPr>
          <w:rFonts w:ascii="仿宋" w:eastAsia="仿宋" w:hAnsi="仿宋" w:hint="eastAsia"/>
          <w:sz w:val="32"/>
          <w:szCs w:val="32"/>
        </w:rPr>
        <w:t>纳入中共攀枝花市委机构编制委员会办公室2022年度部门决算编制范围的二级预算单位包括：</w:t>
      </w:r>
      <w:r>
        <w:rPr>
          <w:rFonts w:ascii="仿宋_GB2312" w:eastAsia="仿宋_GB2312" w:hint="eastAsia"/>
          <w:sz w:val="32"/>
          <w:szCs w:val="32"/>
        </w:rPr>
        <w:t>攀枝花市事业单位登记服务中心。</w:t>
      </w:r>
      <w:r>
        <w:rPr>
          <w:rFonts w:ascii="仿宋" w:eastAsia="仿宋" w:hAnsi="仿宋"/>
          <w:sz w:val="32"/>
          <w:szCs w:val="32"/>
        </w:rPr>
        <w:br w:type="page"/>
      </w:r>
    </w:p>
    <w:p w:rsidR="007F5EC8" w:rsidRDefault="00F75C99">
      <w:pPr>
        <w:pStyle w:val="1"/>
        <w:ind w:right="440"/>
        <w:jc w:val="center"/>
        <w:rPr>
          <w:rStyle w:val="1Char"/>
          <w:rFonts w:ascii="黑体" w:eastAsia="黑体" w:hAnsi="黑体"/>
          <w:bCs/>
        </w:rPr>
      </w:pPr>
      <w:bookmarkStart w:id="17" w:name="_Toc15377204"/>
      <w:bookmarkStart w:id="18" w:name="_Toc15396602"/>
      <w:r>
        <w:rPr>
          <w:rFonts w:ascii="黑体" w:eastAsia="黑体" w:hAnsi="黑体" w:hint="eastAsia"/>
          <w:b w:val="0"/>
        </w:rPr>
        <w:lastRenderedPageBreak/>
        <w:t>第二部分 2022年度</w:t>
      </w:r>
      <w:r>
        <w:rPr>
          <w:rStyle w:val="1Char"/>
          <w:rFonts w:ascii="黑体" w:eastAsia="黑体" w:hAnsi="黑体" w:hint="eastAsia"/>
          <w:bCs/>
        </w:rPr>
        <w:t>部门决算情况说明</w:t>
      </w:r>
      <w:bookmarkEnd w:id="17"/>
      <w:bookmarkEnd w:id="18"/>
    </w:p>
    <w:p w:rsidR="007F5EC8" w:rsidRDefault="007F5EC8"/>
    <w:p w:rsidR="007F5EC8" w:rsidRDefault="00F75C99">
      <w:pPr>
        <w:pStyle w:val="ac"/>
        <w:numPr>
          <w:ilvl w:val="0"/>
          <w:numId w:val="1"/>
        </w:numPr>
        <w:spacing w:line="600" w:lineRule="exact"/>
        <w:ind w:firstLineChars="0"/>
        <w:outlineLvl w:val="1"/>
        <w:rPr>
          <w:rStyle w:val="22"/>
          <w:rFonts w:ascii="黑体" w:eastAsia="黑体" w:hAnsi="黑体"/>
          <w:b w:val="0"/>
        </w:rPr>
      </w:pPr>
      <w:bookmarkStart w:id="19" w:name="_Toc15396603"/>
      <w:bookmarkStart w:id="20" w:name="_Toc15377205"/>
      <w:r>
        <w:rPr>
          <w:rFonts w:ascii="黑体" w:eastAsia="黑体" w:hAnsi="黑体" w:hint="eastAsia"/>
          <w:sz w:val="32"/>
          <w:szCs w:val="32"/>
        </w:rPr>
        <w:t>收</w:t>
      </w:r>
      <w:r>
        <w:rPr>
          <w:rStyle w:val="22"/>
          <w:rFonts w:ascii="黑体" w:eastAsia="黑体" w:hAnsi="黑体" w:hint="eastAsia"/>
          <w:b w:val="0"/>
        </w:rPr>
        <w:t>入支出决算总体情况说明</w:t>
      </w:r>
      <w:bookmarkEnd w:id="19"/>
      <w:bookmarkEnd w:id="20"/>
    </w:p>
    <w:p w:rsidR="007F5EC8" w:rsidRDefault="00F75C99">
      <w:pPr>
        <w:spacing w:line="600" w:lineRule="exact"/>
        <w:ind w:firstLineChars="200" w:firstLine="640"/>
        <w:rPr>
          <w:rFonts w:ascii="仿宋" w:eastAsia="仿宋" w:hAnsi="仿宋"/>
          <w:sz w:val="32"/>
          <w:szCs w:val="32"/>
        </w:rPr>
      </w:pPr>
      <w:r>
        <w:rPr>
          <w:rFonts w:ascii="仿宋" w:eastAsia="仿宋" w:hAnsi="仿宋" w:hint="eastAsia"/>
          <w:sz w:val="32"/>
          <w:szCs w:val="32"/>
        </w:rPr>
        <w:t>2022年度收、支总计607.68万元。与2021年相比，收、支总计各增加7.71万元，增长1.29</w:t>
      </w:r>
      <w:r>
        <w:rPr>
          <w:rFonts w:ascii="仿宋" w:eastAsia="仿宋" w:hAnsi="仿宋"/>
          <w:sz w:val="32"/>
          <w:szCs w:val="32"/>
        </w:rPr>
        <w:t>%</w:t>
      </w:r>
      <w:r>
        <w:rPr>
          <w:rFonts w:ascii="仿宋" w:eastAsia="仿宋" w:hAnsi="仿宋" w:hint="eastAsia"/>
          <w:sz w:val="32"/>
          <w:szCs w:val="32"/>
        </w:rPr>
        <w:t>。主要变动原因是新进两名职工，增加了相应的人员和公用经费。</w:t>
      </w:r>
    </w:p>
    <w:p w:rsidR="007F5EC8" w:rsidRDefault="00F75C99" w:rsidP="00F75C99">
      <w:pPr>
        <w:pStyle w:val="a0"/>
        <w:spacing w:before="93" w:afterLines="31" w:after="96"/>
        <w:ind w:leftChars="284" w:left="1196" w:right="930" w:hangingChars="200" w:hanging="600"/>
        <w:rPr>
          <w:sz w:val="32"/>
          <w:szCs w:val="32"/>
        </w:rPr>
      </w:pPr>
      <w:r>
        <w:rPr>
          <w:rFonts w:hint="eastAsia"/>
          <w:noProof/>
          <w:color w:val="FF0000"/>
        </w:rPr>
        <w:drawing>
          <wp:inline distT="0" distB="0" distL="114300" distR="114300">
            <wp:extent cx="4624070" cy="3010535"/>
            <wp:effectExtent l="4445" t="4445" r="19685" b="1397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7F5EC8" w:rsidRDefault="00F75C99">
      <w:pPr>
        <w:pStyle w:val="ac"/>
        <w:numPr>
          <w:ilvl w:val="0"/>
          <w:numId w:val="1"/>
        </w:numPr>
        <w:spacing w:line="600" w:lineRule="exact"/>
        <w:ind w:firstLineChars="0"/>
        <w:outlineLvl w:val="1"/>
        <w:rPr>
          <w:rStyle w:val="22"/>
          <w:rFonts w:ascii="黑体" w:eastAsia="黑体" w:hAnsi="黑体"/>
          <w:b w:val="0"/>
        </w:rPr>
      </w:pPr>
      <w:bookmarkStart w:id="21" w:name="_Toc15377206"/>
      <w:bookmarkStart w:id="22" w:name="_Toc15396604"/>
      <w:r>
        <w:rPr>
          <w:rFonts w:ascii="黑体" w:eastAsia="黑体" w:hAnsi="黑体" w:hint="eastAsia"/>
          <w:sz w:val="32"/>
          <w:szCs w:val="32"/>
        </w:rPr>
        <w:t>收</w:t>
      </w:r>
      <w:r>
        <w:rPr>
          <w:rStyle w:val="22"/>
          <w:rFonts w:ascii="黑体" w:eastAsia="黑体" w:hAnsi="黑体" w:hint="eastAsia"/>
          <w:b w:val="0"/>
        </w:rPr>
        <w:t>入决算情况说明</w:t>
      </w:r>
      <w:bookmarkEnd w:id="21"/>
      <w:bookmarkEnd w:id="22"/>
    </w:p>
    <w:p w:rsidR="007F5EC8" w:rsidRDefault="00F75C99">
      <w:pPr>
        <w:spacing w:line="600" w:lineRule="exact"/>
        <w:ind w:firstLineChars="200" w:firstLine="640"/>
        <w:outlineLvl w:val="1"/>
      </w:pPr>
      <w:bookmarkStart w:id="23" w:name="_Toc113118283"/>
      <w:r>
        <w:rPr>
          <w:rFonts w:eastAsia="仿宋"/>
          <w:sz w:val="32"/>
          <w:szCs w:val="32"/>
        </w:rPr>
        <w:t>202</w:t>
      </w:r>
      <w:r>
        <w:rPr>
          <w:rFonts w:eastAsia="仿宋" w:hint="eastAsia"/>
          <w:sz w:val="32"/>
          <w:szCs w:val="32"/>
        </w:rPr>
        <w:t>2</w:t>
      </w:r>
      <w:r>
        <w:rPr>
          <w:rFonts w:eastAsia="仿宋"/>
          <w:sz w:val="32"/>
          <w:szCs w:val="32"/>
        </w:rPr>
        <w:t>年本年收入合计</w:t>
      </w:r>
      <w:r>
        <w:rPr>
          <w:rFonts w:eastAsia="仿宋" w:hint="eastAsia"/>
          <w:sz w:val="32"/>
          <w:szCs w:val="32"/>
        </w:rPr>
        <w:t>584.66</w:t>
      </w:r>
      <w:r>
        <w:rPr>
          <w:rFonts w:eastAsia="仿宋"/>
          <w:sz w:val="32"/>
          <w:szCs w:val="32"/>
        </w:rPr>
        <w:t>万元，其中：一般公共预算财政拨款收入</w:t>
      </w:r>
      <w:r>
        <w:rPr>
          <w:rFonts w:eastAsia="仿宋" w:hint="eastAsia"/>
          <w:sz w:val="32"/>
          <w:szCs w:val="32"/>
        </w:rPr>
        <w:t>584.66</w:t>
      </w:r>
      <w:r>
        <w:rPr>
          <w:rFonts w:eastAsia="仿宋"/>
          <w:sz w:val="32"/>
          <w:szCs w:val="32"/>
        </w:rPr>
        <w:t>万元，占</w:t>
      </w:r>
      <w:r>
        <w:rPr>
          <w:rFonts w:eastAsia="仿宋" w:hint="eastAsia"/>
          <w:sz w:val="32"/>
          <w:szCs w:val="32"/>
        </w:rPr>
        <w:t>100</w:t>
      </w:r>
      <w:r>
        <w:rPr>
          <w:rFonts w:eastAsia="仿宋"/>
          <w:sz w:val="32"/>
          <w:szCs w:val="32"/>
        </w:rPr>
        <w:t>%</w:t>
      </w:r>
      <w:r>
        <w:rPr>
          <w:rFonts w:eastAsia="仿宋"/>
          <w:sz w:val="32"/>
          <w:szCs w:val="32"/>
        </w:rPr>
        <w:t>。</w:t>
      </w:r>
      <w:r>
        <w:rPr>
          <w:rFonts w:ascii="仿宋" w:eastAsia="仿宋" w:hAnsi="仿宋" w:hint="eastAsia"/>
          <w:sz w:val="32"/>
          <w:szCs w:val="32"/>
        </w:rPr>
        <w:t>政府性基金预算财政拨款收入0万元，占0</w:t>
      </w:r>
      <w:r>
        <w:rPr>
          <w:rFonts w:ascii="仿宋" w:eastAsia="仿宋" w:hAnsi="仿宋"/>
          <w:sz w:val="32"/>
          <w:szCs w:val="32"/>
        </w:rPr>
        <w:t>%</w:t>
      </w:r>
      <w:r>
        <w:rPr>
          <w:rFonts w:ascii="仿宋" w:eastAsia="仿宋" w:hAnsi="仿宋" w:hint="eastAsia"/>
          <w:sz w:val="32"/>
          <w:szCs w:val="32"/>
        </w:rPr>
        <w:t>；国有资本经营预算财政拨款收入0万元，占0</w:t>
      </w:r>
      <w:r>
        <w:rPr>
          <w:rFonts w:ascii="仿宋" w:eastAsia="仿宋" w:hAnsi="仿宋"/>
          <w:sz w:val="32"/>
          <w:szCs w:val="32"/>
        </w:rPr>
        <w:t>%</w:t>
      </w:r>
      <w:r>
        <w:rPr>
          <w:rFonts w:ascii="仿宋" w:eastAsia="仿宋" w:hAnsi="仿宋" w:hint="eastAsia"/>
          <w:sz w:val="32"/>
          <w:szCs w:val="32"/>
        </w:rPr>
        <w:t>；上级补助收入0万元，占0</w:t>
      </w:r>
      <w:r>
        <w:rPr>
          <w:rFonts w:ascii="仿宋" w:eastAsia="仿宋" w:hAnsi="仿宋"/>
          <w:sz w:val="32"/>
          <w:szCs w:val="32"/>
        </w:rPr>
        <w:t>%</w:t>
      </w:r>
      <w:r>
        <w:rPr>
          <w:rFonts w:ascii="仿宋" w:eastAsia="仿宋" w:hAnsi="仿宋" w:hint="eastAsia"/>
          <w:sz w:val="32"/>
          <w:szCs w:val="32"/>
        </w:rPr>
        <w:t xml:space="preserve">；事业收入0万元，占0 </w:t>
      </w:r>
      <w:r>
        <w:rPr>
          <w:rFonts w:ascii="仿宋" w:eastAsia="仿宋" w:hAnsi="仿宋"/>
          <w:sz w:val="32"/>
          <w:szCs w:val="32"/>
        </w:rPr>
        <w:t>%</w:t>
      </w:r>
      <w:r>
        <w:rPr>
          <w:rFonts w:ascii="仿宋" w:eastAsia="仿宋" w:hAnsi="仿宋" w:hint="eastAsia"/>
          <w:sz w:val="32"/>
          <w:szCs w:val="32"/>
        </w:rPr>
        <w:t xml:space="preserve">；经营收入0万元，占0 </w:t>
      </w:r>
      <w:r>
        <w:rPr>
          <w:rFonts w:ascii="仿宋" w:eastAsia="仿宋" w:hAnsi="仿宋"/>
          <w:sz w:val="32"/>
          <w:szCs w:val="32"/>
        </w:rPr>
        <w:t>%</w:t>
      </w:r>
      <w:r>
        <w:rPr>
          <w:rFonts w:ascii="仿宋" w:eastAsia="仿宋" w:hAnsi="仿宋" w:hint="eastAsia"/>
          <w:sz w:val="32"/>
          <w:szCs w:val="32"/>
        </w:rPr>
        <w:t xml:space="preserve">；附属单位上缴收入0万元，占0 </w:t>
      </w:r>
      <w:r>
        <w:rPr>
          <w:rFonts w:ascii="仿宋" w:eastAsia="仿宋" w:hAnsi="仿宋"/>
          <w:sz w:val="32"/>
          <w:szCs w:val="32"/>
        </w:rPr>
        <w:t>%</w:t>
      </w:r>
      <w:r>
        <w:rPr>
          <w:rFonts w:ascii="仿宋" w:eastAsia="仿宋" w:hAnsi="仿宋" w:hint="eastAsia"/>
          <w:sz w:val="32"/>
          <w:szCs w:val="32"/>
        </w:rPr>
        <w:t xml:space="preserve">；其他收入0万元，占0 </w:t>
      </w:r>
      <w:r>
        <w:rPr>
          <w:rFonts w:ascii="仿宋" w:eastAsia="仿宋" w:hAnsi="仿宋"/>
          <w:sz w:val="32"/>
          <w:szCs w:val="32"/>
        </w:rPr>
        <w:t>%</w:t>
      </w:r>
      <w:r>
        <w:rPr>
          <w:rFonts w:ascii="仿宋" w:eastAsia="仿宋" w:hAnsi="仿宋" w:hint="eastAsia"/>
          <w:sz w:val="32"/>
          <w:szCs w:val="32"/>
        </w:rPr>
        <w:t>。</w:t>
      </w:r>
      <w:bookmarkEnd w:id="23"/>
    </w:p>
    <w:p w:rsidR="007F5EC8" w:rsidRDefault="00F75C99" w:rsidP="00F75C99">
      <w:pPr>
        <w:pStyle w:val="a0"/>
        <w:spacing w:before="93"/>
        <w:rPr>
          <w:rFonts w:ascii="仿宋" w:eastAsia="仿宋" w:hAnsi="仿宋"/>
          <w:sz w:val="32"/>
          <w:szCs w:val="32"/>
        </w:rPr>
      </w:pPr>
      <w:r>
        <w:rPr>
          <w:rFonts w:hint="eastAsia"/>
          <w:color w:val="FF0000"/>
        </w:rPr>
        <w:lastRenderedPageBreak/>
        <w:t xml:space="preserve">   </w:t>
      </w:r>
      <w:r>
        <w:rPr>
          <w:noProof/>
          <w:color w:val="FF0000"/>
        </w:rPr>
        <w:drawing>
          <wp:inline distT="0" distB="0" distL="0" distR="0">
            <wp:extent cx="4572000" cy="2743200"/>
            <wp:effectExtent l="4445" t="4445" r="14605" b="14605"/>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F5EC8" w:rsidRDefault="00F75C99">
      <w:pPr>
        <w:spacing w:line="600" w:lineRule="exact"/>
        <w:ind w:firstLineChars="600" w:firstLine="1920"/>
        <w:rPr>
          <w:rFonts w:ascii="仿宋_GB2312" w:eastAsia="仿宋_GB2312"/>
          <w:sz w:val="32"/>
          <w:szCs w:val="32"/>
        </w:rPr>
      </w:pPr>
      <w:r>
        <w:rPr>
          <w:rFonts w:ascii="仿宋" w:eastAsia="仿宋" w:hAnsi="仿宋" w:hint="eastAsia"/>
          <w:sz w:val="32"/>
          <w:szCs w:val="32"/>
        </w:rPr>
        <w:t>（图2：收入决算结构图）</w:t>
      </w:r>
    </w:p>
    <w:p w:rsidR="007F5EC8" w:rsidRDefault="00F75C99">
      <w:pPr>
        <w:pStyle w:val="ac"/>
        <w:numPr>
          <w:ilvl w:val="0"/>
          <w:numId w:val="1"/>
        </w:numPr>
        <w:spacing w:line="600" w:lineRule="exact"/>
        <w:ind w:firstLineChars="0"/>
        <w:outlineLvl w:val="1"/>
        <w:rPr>
          <w:rStyle w:val="22"/>
          <w:rFonts w:ascii="黑体" w:eastAsia="黑体" w:hAnsi="黑体"/>
          <w:b w:val="0"/>
        </w:rPr>
      </w:pPr>
      <w:bookmarkStart w:id="24" w:name="_Toc15377207"/>
      <w:bookmarkStart w:id="25" w:name="_Toc15396605"/>
      <w:r>
        <w:rPr>
          <w:rFonts w:ascii="黑体" w:eastAsia="黑体" w:hAnsi="黑体" w:hint="eastAsia"/>
          <w:sz w:val="32"/>
          <w:szCs w:val="32"/>
        </w:rPr>
        <w:t>支</w:t>
      </w:r>
      <w:r>
        <w:rPr>
          <w:rStyle w:val="22"/>
          <w:rFonts w:ascii="黑体" w:eastAsia="黑体" w:hAnsi="黑体" w:hint="eastAsia"/>
          <w:b w:val="0"/>
        </w:rPr>
        <w:t>出决算情况说明</w:t>
      </w:r>
      <w:bookmarkEnd w:id="24"/>
      <w:bookmarkEnd w:id="25"/>
    </w:p>
    <w:p w:rsidR="007F5EC8" w:rsidRDefault="00F75C99">
      <w:pPr>
        <w:spacing w:line="600" w:lineRule="exact"/>
        <w:ind w:firstLineChars="200" w:firstLine="640"/>
        <w:outlineLvl w:val="1"/>
      </w:pPr>
      <w:bookmarkStart w:id="26" w:name="_Toc113118285"/>
      <w:r>
        <w:rPr>
          <w:rFonts w:eastAsia="仿宋"/>
          <w:sz w:val="32"/>
          <w:szCs w:val="32"/>
        </w:rPr>
        <w:t>202</w:t>
      </w:r>
      <w:r>
        <w:rPr>
          <w:rFonts w:eastAsia="仿宋" w:hint="eastAsia"/>
          <w:sz w:val="32"/>
          <w:szCs w:val="32"/>
        </w:rPr>
        <w:t>2</w:t>
      </w:r>
      <w:r>
        <w:rPr>
          <w:rFonts w:eastAsia="仿宋"/>
          <w:sz w:val="32"/>
          <w:szCs w:val="32"/>
        </w:rPr>
        <w:t>年本年支出合计</w:t>
      </w:r>
      <w:r>
        <w:rPr>
          <w:rFonts w:eastAsia="仿宋" w:hint="eastAsia"/>
          <w:sz w:val="32"/>
          <w:szCs w:val="32"/>
        </w:rPr>
        <w:t>607.68</w:t>
      </w:r>
      <w:r>
        <w:rPr>
          <w:rFonts w:eastAsia="仿宋"/>
          <w:sz w:val="32"/>
          <w:szCs w:val="32"/>
        </w:rPr>
        <w:t>万元，其中：基本支出</w:t>
      </w:r>
      <w:r>
        <w:rPr>
          <w:rFonts w:eastAsia="仿宋" w:hint="eastAsia"/>
          <w:sz w:val="32"/>
          <w:szCs w:val="32"/>
        </w:rPr>
        <w:t>601.41</w:t>
      </w:r>
      <w:r>
        <w:rPr>
          <w:rFonts w:eastAsia="仿宋"/>
          <w:sz w:val="32"/>
          <w:szCs w:val="32"/>
        </w:rPr>
        <w:t>万元，占</w:t>
      </w:r>
      <w:r>
        <w:rPr>
          <w:rFonts w:eastAsia="仿宋" w:hint="eastAsia"/>
          <w:sz w:val="32"/>
          <w:szCs w:val="32"/>
        </w:rPr>
        <w:t>98.97</w:t>
      </w:r>
      <w:r>
        <w:rPr>
          <w:rFonts w:eastAsia="仿宋"/>
          <w:sz w:val="32"/>
          <w:szCs w:val="32"/>
        </w:rPr>
        <w:t>%</w:t>
      </w:r>
      <w:r>
        <w:rPr>
          <w:rFonts w:eastAsia="仿宋"/>
          <w:sz w:val="32"/>
          <w:szCs w:val="32"/>
        </w:rPr>
        <w:t>；项目支出</w:t>
      </w:r>
      <w:r>
        <w:rPr>
          <w:rFonts w:eastAsia="仿宋" w:hint="eastAsia"/>
          <w:sz w:val="32"/>
          <w:szCs w:val="32"/>
        </w:rPr>
        <w:t>6.27</w:t>
      </w:r>
      <w:r>
        <w:rPr>
          <w:rFonts w:eastAsia="仿宋"/>
          <w:sz w:val="32"/>
          <w:szCs w:val="32"/>
        </w:rPr>
        <w:t>万元，占</w:t>
      </w:r>
      <w:r>
        <w:rPr>
          <w:rFonts w:eastAsia="仿宋" w:hint="eastAsia"/>
          <w:sz w:val="32"/>
          <w:szCs w:val="32"/>
        </w:rPr>
        <w:t>1.03</w:t>
      </w:r>
      <w:r>
        <w:rPr>
          <w:rFonts w:eastAsia="仿宋"/>
          <w:sz w:val="32"/>
          <w:szCs w:val="32"/>
        </w:rPr>
        <w:t>%</w:t>
      </w:r>
      <w:r>
        <w:rPr>
          <w:rFonts w:eastAsia="仿宋"/>
          <w:sz w:val="32"/>
          <w:szCs w:val="32"/>
        </w:rPr>
        <w:t>。</w:t>
      </w:r>
      <w:r>
        <w:rPr>
          <w:rFonts w:ascii="仿宋" w:eastAsia="仿宋" w:hAnsi="仿宋" w:hint="eastAsia"/>
          <w:sz w:val="32"/>
          <w:szCs w:val="32"/>
        </w:rPr>
        <w:t xml:space="preserve">上缴上级支出0万元，占0 </w:t>
      </w:r>
      <w:r>
        <w:rPr>
          <w:rFonts w:ascii="仿宋" w:eastAsia="仿宋" w:hAnsi="仿宋"/>
          <w:sz w:val="32"/>
          <w:szCs w:val="32"/>
        </w:rPr>
        <w:t>%</w:t>
      </w:r>
      <w:r>
        <w:rPr>
          <w:rFonts w:ascii="仿宋" w:eastAsia="仿宋" w:hAnsi="仿宋" w:hint="eastAsia"/>
          <w:sz w:val="32"/>
          <w:szCs w:val="32"/>
        </w:rPr>
        <w:t xml:space="preserve">；经营支出0万元，占0 </w:t>
      </w:r>
      <w:r>
        <w:rPr>
          <w:rFonts w:ascii="仿宋" w:eastAsia="仿宋" w:hAnsi="仿宋"/>
          <w:sz w:val="32"/>
          <w:szCs w:val="32"/>
        </w:rPr>
        <w:t>%</w:t>
      </w:r>
      <w:r>
        <w:rPr>
          <w:rFonts w:ascii="仿宋" w:eastAsia="仿宋" w:hAnsi="仿宋" w:hint="eastAsia"/>
          <w:sz w:val="32"/>
          <w:szCs w:val="32"/>
        </w:rPr>
        <w:t xml:space="preserve">；对附属单位补助支出0万元，占0 </w:t>
      </w:r>
      <w:r>
        <w:rPr>
          <w:rFonts w:ascii="仿宋" w:eastAsia="仿宋" w:hAnsi="仿宋"/>
          <w:sz w:val="32"/>
          <w:szCs w:val="32"/>
        </w:rPr>
        <w:t>%</w:t>
      </w:r>
      <w:r>
        <w:rPr>
          <w:rFonts w:ascii="仿宋" w:eastAsia="仿宋" w:hAnsi="仿宋" w:hint="eastAsia"/>
          <w:sz w:val="32"/>
          <w:szCs w:val="32"/>
        </w:rPr>
        <w:t>。</w:t>
      </w:r>
      <w:bookmarkEnd w:id="26"/>
    </w:p>
    <w:p w:rsidR="007F5EC8" w:rsidRDefault="00F75C99">
      <w:pPr>
        <w:spacing w:line="600" w:lineRule="exact"/>
        <w:rPr>
          <w:rFonts w:eastAsia="仿宋"/>
          <w:sz w:val="32"/>
          <w:szCs w:val="32"/>
        </w:rPr>
      </w:pPr>
      <w:r>
        <w:rPr>
          <w:rFonts w:eastAsia="仿宋"/>
          <w:noProof/>
          <w:sz w:val="32"/>
          <w:szCs w:val="32"/>
        </w:rPr>
        <w:drawing>
          <wp:anchor distT="0" distB="0" distL="114300" distR="114300" simplePos="0" relativeHeight="251659264" behindDoc="0" locked="0" layoutInCell="1" allowOverlap="1">
            <wp:simplePos x="0" y="0"/>
            <wp:positionH relativeFrom="column">
              <wp:posOffset>316865</wp:posOffset>
            </wp:positionH>
            <wp:positionV relativeFrom="paragraph">
              <wp:posOffset>166370</wp:posOffset>
            </wp:positionV>
            <wp:extent cx="4538345" cy="2790825"/>
            <wp:effectExtent l="4445" t="4445" r="10160" b="5080"/>
            <wp:wrapNone/>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7F5EC8" w:rsidRDefault="007F5EC8">
      <w:pPr>
        <w:spacing w:line="600" w:lineRule="exact"/>
        <w:jc w:val="center"/>
        <w:rPr>
          <w:rFonts w:eastAsia="仿宋"/>
          <w:sz w:val="32"/>
          <w:szCs w:val="32"/>
        </w:rPr>
      </w:pPr>
    </w:p>
    <w:p w:rsidR="007F5EC8" w:rsidRDefault="007F5EC8">
      <w:pPr>
        <w:spacing w:line="600" w:lineRule="exact"/>
        <w:jc w:val="center"/>
        <w:rPr>
          <w:rFonts w:eastAsia="仿宋"/>
          <w:sz w:val="32"/>
          <w:szCs w:val="32"/>
        </w:rPr>
      </w:pPr>
    </w:p>
    <w:p w:rsidR="007F5EC8" w:rsidRDefault="007F5EC8">
      <w:pPr>
        <w:spacing w:line="600" w:lineRule="exact"/>
        <w:jc w:val="center"/>
        <w:rPr>
          <w:rFonts w:eastAsia="仿宋"/>
          <w:sz w:val="32"/>
          <w:szCs w:val="32"/>
        </w:rPr>
      </w:pPr>
    </w:p>
    <w:p w:rsidR="007F5EC8" w:rsidRDefault="007F5EC8">
      <w:pPr>
        <w:spacing w:line="600" w:lineRule="exact"/>
        <w:jc w:val="center"/>
        <w:rPr>
          <w:rFonts w:eastAsia="仿宋"/>
          <w:sz w:val="32"/>
          <w:szCs w:val="32"/>
        </w:rPr>
      </w:pPr>
    </w:p>
    <w:p w:rsidR="007F5EC8" w:rsidRDefault="007F5EC8">
      <w:pPr>
        <w:spacing w:line="600" w:lineRule="exact"/>
        <w:jc w:val="center"/>
        <w:rPr>
          <w:rFonts w:eastAsia="仿宋"/>
          <w:sz w:val="32"/>
          <w:szCs w:val="32"/>
        </w:rPr>
      </w:pPr>
    </w:p>
    <w:p w:rsidR="007F5EC8" w:rsidRDefault="007F5EC8">
      <w:pPr>
        <w:spacing w:line="600" w:lineRule="exact"/>
        <w:jc w:val="center"/>
        <w:rPr>
          <w:rFonts w:eastAsia="仿宋"/>
          <w:sz w:val="32"/>
          <w:szCs w:val="32"/>
        </w:rPr>
      </w:pPr>
    </w:p>
    <w:p w:rsidR="007F5EC8" w:rsidRDefault="007F5EC8">
      <w:pPr>
        <w:spacing w:line="600" w:lineRule="exact"/>
        <w:jc w:val="center"/>
        <w:rPr>
          <w:rFonts w:eastAsia="仿宋"/>
          <w:sz w:val="32"/>
          <w:szCs w:val="32"/>
        </w:rPr>
      </w:pPr>
    </w:p>
    <w:p w:rsidR="007F5EC8" w:rsidRDefault="00F75C99">
      <w:pPr>
        <w:spacing w:line="600" w:lineRule="exact"/>
        <w:jc w:val="center"/>
        <w:rPr>
          <w:rFonts w:eastAsia="仿宋"/>
          <w:sz w:val="32"/>
          <w:szCs w:val="32"/>
        </w:rPr>
      </w:pPr>
      <w:r>
        <w:rPr>
          <w:rFonts w:eastAsia="仿宋"/>
          <w:sz w:val="32"/>
          <w:szCs w:val="32"/>
        </w:rPr>
        <w:t>（图</w:t>
      </w:r>
      <w:r>
        <w:rPr>
          <w:rFonts w:eastAsia="仿宋"/>
          <w:sz w:val="32"/>
          <w:szCs w:val="32"/>
        </w:rPr>
        <w:t>3</w:t>
      </w:r>
      <w:r>
        <w:rPr>
          <w:rFonts w:eastAsia="仿宋"/>
          <w:sz w:val="32"/>
          <w:szCs w:val="32"/>
        </w:rPr>
        <w:t>：支出决算结构图）</w:t>
      </w:r>
    </w:p>
    <w:p w:rsidR="007F5EC8" w:rsidRDefault="007F5EC8">
      <w:pPr>
        <w:spacing w:line="600" w:lineRule="exact"/>
        <w:ind w:firstLineChars="200" w:firstLine="640"/>
        <w:rPr>
          <w:rFonts w:ascii="仿宋_GB2312" w:eastAsia="仿宋_GB2312"/>
          <w:sz w:val="32"/>
          <w:szCs w:val="32"/>
        </w:rPr>
      </w:pPr>
    </w:p>
    <w:p w:rsidR="007F5EC8" w:rsidRDefault="00F75C99">
      <w:pPr>
        <w:spacing w:line="600" w:lineRule="exact"/>
        <w:ind w:firstLineChars="200" w:firstLine="640"/>
        <w:outlineLvl w:val="1"/>
        <w:rPr>
          <w:rStyle w:val="2Char"/>
          <w:rFonts w:ascii="Times New Roman" w:eastAsia="黑体" w:hAnsi="Times New Roman" w:cs="Times New Roman"/>
          <w:b w:val="0"/>
        </w:rPr>
      </w:pPr>
      <w:bookmarkStart w:id="27" w:name="_Toc15396606"/>
      <w:bookmarkStart w:id="28" w:name="_Toc113118286"/>
      <w:bookmarkStart w:id="29" w:name="_Toc15377208"/>
      <w:r>
        <w:rPr>
          <w:rFonts w:eastAsia="黑体"/>
          <w:sz w:val="32"/>
          <w:szCs w:val="32"/>
        </w:rPr>
        <w:t>四、财</w:t>
      </w:r>
      <w:r>
        <w:rPr>
          <w:rStyle w:val="2Char"/>
          <w:rFonts w:ascii="Times New Roman" w:eastAsia="黑体" w:hAnsi="Times New Roman" w:cs="Times New Roman"/>
          <w:b w:val="0"/>
        </w:rPr>
        <w:t>政拨款收入支出决算总体情况说明</w:t>
      </w:r>
      <w:bookmarkEnd w:id="27"/>
      <w:bookmarkEnd w:id="28"/>
      <w:bookmarkEnd w:id="29"/>
    </w:p>
    <w:p w:rsidR="007F5EC8" w:rsidRDefault="00F75C99">
      <w:pPr>
        <w:spacing w:line="600" w:lineRule="exact"/>
        <w:ind w:firstLineChars="200" w:firstLine="640"/>
        <w:rPr>
          <w:rFonts w:eastAsia="仿宋_GB2312"/>
          <w:sz w:val="32"/>
          <w:szCs w:val="32"/>
        </w:rPr>
      </w:pPr>
      <w:r>
        <w:rPr>
          <w:rFonts w:eastAsia="仿宋"/>
          <w:sz w:val="32"/>
          <w:szCs w:val="32"/>
        </w:rPr>
        <w:t>202</w:t>
      </w:r>
      <w:r>
        <w:rPr>
          <w:rFonts w:eastAsia="仿宋" w:hint="eastAsia"/>
          <w:sz w:val="32"/>
          <w:szCs w:val="32"/>
        </w:rPr>
        <w:t>2</w:t>
      </w:r>
      <w:r>
        <w:rPr>
          <w:rFonts w:eastAsia="仿宋"/>
          <w:sz w:val="32"/>
          <w:szCs w:val="32"/>
        </w:rPr>
        <w:t>年财政拨款收、支总计</w:t>
      </w:r>
      <w:r>
        <w:rPr>
          <w:rFonts w:eastAsia="仿宋" w:hint="eastAsia"/>
          <w:sz w:val="32"/>
          <w:szCs w:val="32"/>
        </w:rPr>
        <w:t>607.68</w:t>
      </w:r>
      <w:r>
        <w:rPr>
          <w:rFonts w:eastAsia="仿宋"/>
          <w:sz w:val="32"/>
          <w:szCs w:val="32"/>
        </w:rPr>
        <w:t>万元。与</w:t>
      </w:r>
      <w:r>
        <w:rPr>
          <w:rFonts w:eastAsia="仿宋"/>
          <w:sz w:val="32"/>
          <w:szCs w:val="32"/>
        </w:rPr>
        <w:t>202</w:t>
      </w:r>
      <w:r>
        <w:rPr>
          <w:rFonts w:eastAsia="仿宋" w:hint="eastAsia"/>
          <w:sz w:val="32"/>
          <w:szCs w:val="32"/>
        </w:rPr>
        <w:t>1</w:t>
      </w:r>
      <w:r>
        <w:rPr>
          <w:rFonts w:eastAsia="仿宋"/>
          <w:sz w:val="32"/>
          <w:szCs w:val="32"/>
        </w:rPr>
        <w:t>年相比，财政拨款收、支总计各</w:t>
      </w:r>
      <w:r>
        <w:rPr>
          <w:rFonts w:eastAsia="仿宋" w:hint="eastAsia"/>
          <w:sz w:val="32"/>
          <w:szCs w:val="32"/>
        </w:rPr>
        <w:t>增加</w:t>
      </w:r>
      <w:r>
        <w:rPr>
          <w:rFonts w:eastAsia="仿宋" w:hint="eastAsia"/>
          <w:sz w:val="32"/>
          <w:szCs w:val="32"/>
        </w:rPr>
        <w:t>7.71</w:t>
      </w:r>
      <w:r>
        <w:rPr>
          <w:rFonts w:eastAsia="仿宋"/>
          <w:sz w:val="32"/>
          <w:szCs w:val="32"/>
        </w:rPr>
        <w:t>万元，</w:t>
      </w:r>
      <w:r>
        <w:rPr>
          <w:rFonts w:eastAsia="仿宋" w:hint="eastAsia"/>
          <w:sz w:val="32"/>
          <w:szCs w:val="32"/>
        </w:rPr>
        <w:t>增加</w:t>
      </w:r>
      <w:r>
        <w:rPr>
          <w:rFonts w:eastAsia="仿宋" w:hint="eastAsia"/>
          <w:sz w:val="32"/>
          <w:szCs w:val="32"/>
        </w:rPr>
        <w:t>1.29</w:t>
      </w:r>
      <w:r>
        <w:rPr>
          <w:rFonts w:eastAsia="仿宋"/>
          <w:sz w:val="32"/>
          <w:szCs w:val="32"/>
        </w:rPr>
        <w:t>%</w:t>
      </w:r>
      <w:r>
        <w:rPr>
          <w:rFonts w:eastAsia="仿宋"/>
          <w:sz w:val="32"/>
          <w:szCs w:val="32"/>
        </w:rPr>
        <w:t>。</w:t>
      </w:r>
      <w:r>
        <w:rPr>
          <w:rFonts w:ascii="仿宋" w:eastAsia="仿宋" w:hAnsi="仿宋" w:hint="eastAsia"/>
          <w:sz w:val="32"/>
          <w:szCs w:val="32"/>
        </w:rPr>
        <w:t>主要变动原因是新进两名职工，增加了相应的人员和公用经费。</w:t>
      </w:r>
    </w:p>
    <w:p w:rsidR="007F5EC8" w:rsidRDefault="00F75C99">
      <w:pPr>
        <w:pStyle w:val="a0"/>
        <w:spacing w:before="93"/>
        <w:jc w:val="center"/>
      </w:pPr>
      <w:r>
        <w:rPr>
          <w:rFonts w:hint="eastAsia"/>
          <w:noProof/>
        </w:rPr>
        <w:drawing>
          <wp:inline distT="0" distB="0" distL="114300" distR="114300">
            <wp:extent cx="5014595" cy="3752215"/>
            <wp:effectExtent l="4445" t="4445" r="10160" b="1524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F5EC8" w:rsidRDefault="00F75C99">
      <w:pPr>
        <w:spacing w:line="600" w:lineRule="exact"/>
        <w:ind w:firstLineChars="300" w:firstLine="960"/>
        <w:rPr>
          <w:rFonts w:ascii="仿宋" w:eastAsia="仿宋" w:hAnsi="仿宋"/>
          <w:b/>
          <w:sz w:val="32"/>
          <w:szCs w:val="32"/>
        </w:rPr>
      </w:pPr>
      <w:r>
        <w:rPr>
          <w:rFonts w:eastAsia="仿宋"/>
          <w:sz w:val="32"/>
          <w:szCs w:val="32"/>
        </w:rPr>
        <w:t>（图</w:t>
      </w:r>
      <w:r>
        <w:rPr>
          <w:rFonts w:eastAsia="仿宋"/>
          <w:sz w:val="32"/>
          <w:szCs w:val="32"/>
        </w:rPr>
        <w:t>4</w:t>
      </w:r>
      <w:r>
        <w:rPr>
          <w:rFonts w:eastAsia="仿宋"/>
          <w:sz w:val="32"/>
          <w:szCs w:val="32"/>
        </w:rPr>
        <w:t>：财政拨款收、支决算总计变动情况）</w:t>
      </w:r>
    </w:p>
    <w:p w:rsidR="007F5EC8" w:rsidRDefault="00F75C99">
      <w:pPr>
        <w:spacing w:line="600" w:lineRule="exact"/>
        <w:ind w:firstLineChars="200" w:firstLine="640"/>
        <w:outlineLvl w:val="1"/>
        <w:rPr>
          <w:rStyle w:val="22"/>
          <w:rFonts w:ascii="黑体" w:eastAsia="黑体" w:hAnsi="黑体"/>
          <w:b w:val="0"/>
        </w:rPr>
      </w:pPr>
      <w:bookmarkStart w:id="30" w:name="_Toc15377209"/>
      <w:bookmarkStart w:id="31" w:name="_Toc15396607"/>
      <w:r>
        <w:rPr>
          <w:rFonts w:ascii="黑体" w:eastAsia="黑体" w:hAnsi="黑体" w:hint="eastAsia"/>
          <w:sz w:val="32"/>
          <w:szCs w:val="32"/>
        </w:rPr>
        <w:t>五、</w:t>
      </w:r>
      <w:r>
        <w:rPr>
          <w:rFonts w:ascii="黑体" w:eastAsia="黑体" w:hAnsi="黑体" w:hint="eastAsia"/>
          <w:b/>
          <w:sz w:val="32"/>
          <w:szCs w:val="32"/>
        </w:rPr>
        <w:t>一</w:t>
      </w:r>
      <w:r>
        <w:rPr>
          <w:rStyle w:val="22"/>
          <w:rFonts w:ascii="黑体" w:eastAsia="黑体" w:hAnsi="黑体" w:hint="eastAsia"/>
          <w:b w:val="0"/>
        </w:rPr>
        <w:t>般公共预算财政拨款支出决算情况说明</w:t>
      </w:r>
      <w:bookmarkEnd w:id="30"/>
      <w:bookmarkEnd w:id="31"/>
    </w:p>
    <w:p w:rsidR="007F5EC8" w:rsidRDefault="00F75C99" w:rsidP="00F75C99">
      <w:pPr>
        <w:spacing w:line="600" w:lineRule="exact"/>
        <w:ind w:firstLineChars="200" w:firstLine="643"/>
        <w:outlineLvl w:val="2"/>
        <w:rPr>
          <w:rFonts w:ascii="仿宋" w:eastAsia="仿宋" w:hAnsi="仿宋"/>
          <w:b/>
          <w:sz w:val="32"/>
          <w:szCs w:val="32"/>
        </w:rPr>
      </w:pPr>
      <w:bookmarkStart w:id="32" w:name="_Toc15377210"/>
      <w:r>
        <w:rPr>
          <w:rFonts w:ascii="仿宋" w:eastAsia="仿宋" w:hAnsi="仿宋" w:hint="eastAsia"/>
          <w:b/>
          <w:sz w:val="32"/>
          <w:szCs w:val="32"/>
        </w:rPr>
        <w:t>（一）一般公共预算财政拨款支出决算总体情况</w:t>
      </w:r>
      <w:bookmarkEnd w:id="32"/>
    </w:p>
    <w:p w:rsidR="007F5EC8" w:rsidRDefault="00F75C99">
      <w:pPr>
        <w:spacing w:line="600" w:lineRule="exact"/>
        <w:ind w:firstLineChars="200" w:firstLine="640"/>
        <w:rPr>
          <w:rFonts w:eastAsia="仿宋"/>
          <w:sz w:val="32"/>
          <w:szCs w:val="32"/>
        </w:rPr>
      </w:pPr>
      <w:r>
        <w:rPr>
          <w:rFonts w:eastAsia="仿宋"/>
          <w:sz w:val="32"/>
          <w:szCs w:val="32"/>
        </w:rPr>
        <w:t>202</w:t>
      </w:r>
      <w:r>
        <w:rPr>
          <w:rFonts w:eastAsia="仿宋" w:hint="eastAsia"/>
          <w:sz w:val="32"/>
          <w:szCs w:val="32"/>
        </w:rPr>
        <w:t>2</w:t>
      </w:r>
      <w:r>
        <w:rPr>
          <w:rFonts w:eastAsia="仿宋"/>
          <w:sz w:val="32"/>
          <w:szCs w:val="32"/>
        </w:rPr>
        <w:t>年一般公共预算财政拨款支出</w:t>
      </w:r>
      <w:r>
        <w:rPr>
          <w:rFonts w:eastAsia="仿宋" w:hint="eastAsia"/>
          <w:sz w:val="32"/>
          <w:szCs w:val="32"/>
        </w:rPr>
        <w:t>607.68</w:t>
      </w:r>
      <w:r>
        <w:rPr>
          <w:rFonts w:eastAsia="仿宋"/>
          <w:sz w:val="32"/>
          <w:szCs w:val="32"/>
        </w:rPr>
        <w:t>万元，占本年支出合计的</w:t>
      </w:r>
      <w:r>
        <w:rPr>
          <w:rFonts w:eastAsia="仿宋" w:hint="eastAsia"/>
          <w:sz w:val="32"/>
          <w:szCs w:val="32"/>
        </w:rPr>
        <w:t>100</w:t>
      </w:r>
      <w:r>
        <w:rPr>
          <w:rFonts w:eastAsia="仿宋"/>
          <w:sz w:val="32"/>
          <w:szCs w:val="32"/>
        </w:rPr>
        <w:t>%</w:t>
      </w:r>
      <w:r>
        <w:rPr>
          <w:rFonts w:eastAsia="仿宋"/>
          <w:sz w:val="32"/>
          <w:szCs w:val="32"/>
        </w:rPr>
        <w:t>。与</w:t>
      </w:r>
      <w:r>
        <w:rPr>
          <w:rFonts w:eastAsia="仿宋"/>
          <w:sz w:val="32"/>
          <w:szCs w:val="32"/>
        </w:rPr>
        <w:t>202</w:t>
      </w:r>
      <w:r>
        <w:rPr>
          <w:rFonts w:eastAsia="仿宋" w:hint="eastAsia"/>
          <w:sz w:val="32"/>
          <w:szCs w:val="32"/>
        </w:rPr>
        <w:t>1</w:t>
      </w:r>
      <w:r>
        <w:rPr>
          <w:rFonts w:eastAsia="仿宋"/>
          <w:sz w:val="32"/>
          <w:szCs w:val="32"/>
        </w:rPr>
        <w:t>年相比，一般公共预算财政拨款支出</w:t>
      </w:r>
      <w:r>
        <w:rPr>
          <w:rFonts w:eastAsia="仿宋" w:hint="eastAsia"/>
          <w:sz w:val="32"/>
          <w:szCs w:val="32"/>
        </w:rPr>
        <w:t>增加</w:t>
      </w:r>
      <w:r>
        <w:rPr>
          <w:rFonts w:eastAsia="仿宋" w:hint="eastAsia"/>
          <w:sz w:val="32"/>
          <w:szCs w:val="32"/>
        </w:rPr>
        <w:t>7.71</w:t>
      </w:r>
      <w:r>
        <w:rPr>
          <w:rFonts w:eastAsia="仿宋"/>
          <w:sz w:val="32"/>
          <w:szCs w:val="32"/>
        </w:rPr>
        <w:t>万元，</w:t>
      </w:r>
      <w:r>
        <w:rPr>
          <w:rFonts w:eastAsia="仿宋" w:hint="eastAsia"/>
          <w:sz w:val="32"/>
          <w:szCs w:val="32"/>
        </w:rPr>
        <w:t>增加</w:t>
      </w:r>
      <w:r>
        <w:rPr>
          <w:rFonts w:eastAsia="仿宋" w:hint="eastAsia"/>
          <w:sz w:val="32"/>
          <w:szCs w:val="32"/>
        </w:rPr>
        <w:t>1.23</w:t>
      </w:r>
      <w:r>
        <w:rPr>
          <w:rFonts w:eastAsia="仿宋"/>
          <w:sz w:val="32"/>
          <w:szCs w:val="32"/>
        </w:rPr>
        <w:t>%</w:t>
      </w:r>
      <w:r>
        <w:rPr>
          <w:rFonts w:eastAsia="仿宋"/>
          <w:sz w:val="32"/>
          <w:szCs w:val="32"/>
        </w:rPr>
        <w:t>。</w:t>
      </w:r>
      <w:r>
        <w:rPr>
          <w:rFonts w:ascii="仿宋" w:eastAsia="仿宋" w:hAnsi="仿宋" w:hint="eastAsia"/>
          <w:sz w:val="32"/>
          <w:szCs w:val="32"/>
        </w:rPr>
        <w:t>主要变动原因是新进两名职工，增加了相应的人员和公用经费。</w:t>
      </w:r>
    </w:p>
    <w:p w:rsidR="007F5EC8" w:rsidRDefault="00F75C99">
      <w:pPr>
        <w:pStyle w:val="a0"/>
        <w:spacing w:before="93"/>
        <w:jc w:val="center"/>
      </w:pPr>
      <w:r>
        <w:rPr>
          <w:noProof/>
        </w:rPr>
        <w:lastRenderedPageBreak/>
        <w:drawing>
          <wp:inline distT="0" distB="0" distL="0" distR="0">
            <wp:extent cx="4572000" cy="3009900"/>
            <wp:effectExtent l="4445" t="4445" r="1460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F5EC8" w:rsidRDefault="00F75C99">
      <w:pPr>
        <w:spacing w:line="600" w:lineRule="exact"/>
        <w:ind w:firstLineChars="150" w:firstLine="480"/>
        <w:rPr>
          <w:rFonts w:ascii="仿宋" w:eastAsia="仿宋" w:hAnsi="仿宋"/>
          <w:sz w:val="32"/>
          <w:szCs w:val="32"/>
        </w:rPr>
      </w:pPr>
      <w:r>
        <w:rPr>
          <w:rFonts w:eastAsia="仿宋"/>
          <w:sz w:val="32"/>
          <w:szCs w:val="32"/>
        </w:rPr>
        <w:t>（图</w:t>
      </w:r>
      <w:r>
        <w:rPr>
          <w:rFonts w:eastAsia="仿宋"/>
          <w:sz w:val="32"/>
          <w:szCs w:val="32"/>
        </w:rPr>
        <w:t>5</w:t>
      </w:r>
      <w:r>
        <w:rPr>
          <w:rFonts w:eastAsia="仿宋"/>
          <w:sz w:val="32"/>
          <w:szCs w:val="32"/>
        </w:rPr>
        <w:t>：一般公共预算财政拨款支出决算变动情况）</w:t>
      </w:r>
    </w:p>
    <w:p w:rsidR="007F5EC8" w:rsidRDefault="00F75C99" w:rsidP="00F75C99">
      <w:pPr>
        <w:spacing w:line="600" w:lineRule="exact"/>
        <w:ind w:firstLineChars="200" w:firstLine="643"/>
        <w:outlineLvl w:val="2"/>
        <w:rPr>
          <w:rFonts w:ascii="仿宋" w:eastAsia="仿宋" w:hAnsi="仿宋"/>
          <w:b/>
          <w:sz w:val="32"/>
          <w:szCs w:val="32"/>
        </w:rPr>
      </w:pPr>
      <w:bookmarkStart w:id="33" w:name="_Toc15377211"/>
      <w:r>
        <w:rPr>
          <w:rFonts w:ascii="仿宋" w:eastAsia="仿宋" w:hAnsi="仿宋" w:hint="eastAsia"/>
          <w:b/>
          <w:sz w:val="32"/>
          <w:szCs w:val="32"/>
        </w:rPr>
        <w:t>（二）一般公共预算财政拨款支出决算结构情况</w:t>
      </w:r>
      <w:bookmarkEnd w:id="33"/>
    </w:p>
    <w:p w:rsidR="007F5EC8" w:rsidRDefault="00F75C99">
      <w:pPr>
        <w:spacing w:line="600" w:lineRule="exact"/>
        <w:ind w:firstLine="640"/>
        <w:rPr>
          <w:rFonts w:eastAsia="仿宋"/>
          <w:b/>
          <w:sz w:val="32"/>
          <w:szCs w:val="32"/>
        </w:rPr>
      </w:pPr>
      <w:bookmarkStart w:id="34" w:name="_Toc15377212"/>
      <w:r>
        <w:rPr>
          <w:rFonts w:eastAsia="仿宋"/>
          <w:sz w:val="32"/>
          <w:szCs w:val="32"/>
        </w:rPr>
        <w:t>202</w:t>
      </w:r>
      <w:r>
        <w:rPr>
          <w:rFonts w:eastAsia="仿宋" w:hint="eastAsia"/>
          <w:sz w:val="32"/>
          <w:szCs w:val="32"/>
        </w:rPr>
        <w:t>2</w:t>
      </w:r>
      <w:r>
        <w:rPr>
          <w:rFonts w:eastAsia="仿宋"/>
          <w:sz w:val="32"/>
          <w:szCs w:val="32"/>
        </w:rPr>
        <w:t>年一般公共预算财政拨款支出</w:t>
      </w:r>
      <w:r>
        <w:rPr>
          <w:rFonts w:eastAsia="仿宋" w:hint="eastAsia"/>
          <w:sz w:val="32"/>
          <w:szCs w:val="32"/>
        </w:rPr>
        <w:t>607.68</w:t>
      </w:r>
      <w:r>
        <w:rPr>
          <w:rFonts w:eastAsia="仿宋"/>
          <w:sz w:val="32"/>
          <w:szCs w:val="32"/>
        </w:rPr>
        <w:t>万元，主要用于以下方面</w:t>
      </w:r>
      <w:r>
        <w:rPr>
          <w:rFonts w:eastAsia="仿宋" w:hint="eastAsia"/>
          <w:sz w:val="32"/>
          <w:szCs w:val="32"/>
        </w:rPr>
        <w:t>：</w:t>
      </w:r>
      <w:r>
        <w:rPr>
          <w:rFonts w:eastAsia="仿宋"/>
          <w:b/>
          <w:sz w:val="32"/>
          <w:szCs w:val="32"/>
        </w:rPr>
        <w:t>一般公共服务（类）</w:t>
      </w:r>
      <w:r>
        <w:rPr>
          <w:rFonts w:eastAsia="仿宋"/>
          <w:sz w:val="32"/>
          <w:szCs w:val="32"/>
        </w:rPr>
        <w:t>支出</w:t>
      </w:r>
      <w:r>
        <w:rPr>
          <w:rFonts w:eastAsia="仿宋" w:hint="eastAsia"/>
          <w:sz w:val="32"/>
          <w:szCs w:val="32"/>
        </w:rPr>
        <w:t>492.09</w:t>
      </w:r>
      <w:r>
        <w:rPr>
          <w:rFonts w:eastAsia="仿宋"/>
          <w:sz w:val="32"/>
          <w:szCs w:val="32"/>
        </w:rPr>
        <w:t>万元，占</w:t>
      </w:r>
      <w:r>
        <w:rPr>
          <w:rFonts w:eastAsia="仿宋" w:hint="eastAsia"/>
          <w:sz w:val="32"/>
          <w:szCs w:val="32"/>
        </w:rPr>
        <w:t>80.98</w:t>
      </w:r>
      <w:r>
        <w:rPr>
          <w:rFonts w:eastAsia="仿宋"/>
          <w:sz w:val="32"/>
          <w:szCs w:val="32"/>
        </w:rPr>
        <w:t>%</w:t>
      </w:r>
      <w:r>
        <w:rPr>
          <w:rFonts w:eastAsia="仿宋"/>
          <w:sz w:val="32"/>
          <w:szCs w:val="32"/>
        </w:rPr>
        <w:t>；</w:t>
      </w:r>
      <w:r>
        <w:rPr>
          <w:rFonts w:eastAsia="仿宋"/>
          <w:b/>
          <w:sz w:val="32"/>
          <w:szCs w:val="32"/>
        </w:rPr>
        <w:t>社会保障和就业（类）</w:t>
      </w:r>
      <w:r>
        <w:rPr>
          <w:rFonts w:eastAsia="仿宋"/>
          <w:sz w:val="32"/>
          <w:szCs w:val="32"/>
        </w:rPr>
        <w:t>支出</w:t>
      </w:r>
      <w:r>
        <w:rPr>
          <w:rFonts w:eastAsia="仿宋" w:hint="eastAsia"/>
          <w:sz w:val="32"/>
          <w:szCs w:val="32"/>
        </w:rPr>
        <w:t>70.95</w:t>
      </w:r>
      <w:r>
        <w:rPr>
          <w:rFonts w:eastAsia="仿宋"/>
          <w:sz w:val="32"/>
          <w:szCs w:val="32"/>
        </w:rPr>
        <w:t>万元，占</w:t>
      </w:r>
      <w:r>
        <w:rPr>
          <w:rFonts w:eastAsia="仿宋" w:hint="eastAsia"/>
          <w:sz w:val="32"/>
          <w:szCs w:val="32"/>
        </w:rPr>
        <w:t>11.68</w:t>
      </w:r>
      <w:r>
        <w:rPr>
          <w:rFonts w:eastAsia="仿宋"/>
          <w:sz w:val="32"/>
          <w:szCs w:val="32"/>
        </w:rPr>
        <w:t>%</w:t>
      </w:r>
      <w:r>
        <w:rPr>
          <w:rFonts w:eastAsia="仿宋"/>
          <w:sz w:val="32"/>
          <w:szCs w:val="32"/>
        </w:rPr>
        <w:t>；</w:t>
      </w:r>
      <w:r>
        <w:rPr>
          <w:rFonts w:ascii="仿宋" w:eastAsia="仿宋" w:hAnsi="仿宋" w:hint="eastAsia"/>
          <w:b/>
          <w:bCs/>
          <w:sz w:val="32"/>
          <w:szCs w:val="32"/>
        </w:rPr>
        <w:t>住房保障支出</w:t>
      </w:r>
      <w:r>
        <w:rPr>
          <w:rFonts w:eastAsia="仿宋" w:hint="eastAsia"/>
          <w:sz w:val="32"/>
          <w:szCs w:val="32"/>
        </w:rPr>
        <w:t>44.64</w:t>
      </w:r>
      <w:r>
        <w:rPr>
          <w:rFonts w:eastAsia="仿宋"/>
          <w:sz w:val="32"/>
          <w:szCs w:val="32"/>
        </w:rPr>
        <w:t>万元，占</w:t>
      </w:r>
      <w:r>
        <w:rPr>
          <w:rFonts w:eastAsia="仿宋" w:hint="eastAsia"/>
          <w:sz w:val="32"/>
          <w:szCs w:val="32"/>
        </w:rPr>
        <w:t>7.34</w:t>
      </w:r>
      <w:r>
        <w:rPr>
          <w:rFonts w:eastAsia="仿宋"/>
          <w:sz w:val="32"/>
          <w:szCs w:val="32"/>
        </w:rPr>
        <w:t>%</w:t>
      </w:r>
      <w:r>
        <w:rPr>
          <w:rFonts w:eastAsia="仿宋"/>
          <w:sz w:val="32"/>
          <w:szCs w:val="32"/>
        </w:rPr>
        <w:t>。</w:t>
      </w:r>
    </w:p>
    <w:p w:rsidR="007F5EC8" w:rsidRDefault="00F75C99">
      <w:pPr>
        <w:pStyle w:val="a0"/>
        <w:spacing w:before="93"/>
        <w:jc w:val="center"/>
      </w:pPr>
      <w:r>
        <w:rPr>
          <w:noProof/>
        </w:rPr>
        <w:drawing>
          <wp:inline distT="0" distB="0" distL="0" distR="0">
            <wp:extent cx="4572000" cy="2743200"/>
            <wp:effectExtent l="4445" t="4445" r="14605" b="14605"/>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F5EC8" w:rsidRDefault="00F75C99">
      <w:pPr>
        <w:spacing w:line="600" w:lineRule="exact"/>
        <w:jc w:val="center"/>
        <w:rPr>
          <w:rFonts w:eastAsia="仿宋"/>
          <w:sz w:val="32"/>
          <w:szCs w:val="32"/>
        </w:rPr>
      </w:pPr>
      <w:r>
        <w:rPr>
          <w:rFonts w:eastAsia="仿宋"/>
          <w:sz w:val="32"/>
          <w:szCs w:val="32"/>
        </w:rPr>
        <w:t>（图</w:t>
      </w:r>
      <w:r>
        <w:rPr>
          <w:rFonts w:eastAsia="仿宋"/>
          <w:sz w:val="32"/>
          <w:szCs w:val="32"/>
        </w:rPr>
        <w:t>6</w:t>
      </w:r>
      <w:r>
        <w:rPr>
          <w:rFonts w:eastAsia="仿宋"/>
          <w:sz w:val="32"/>
          <w:szCs w:val="32"/>
        </w:rPr>
        <w:t>：一般公共预算财政拨款支出决算结构）</w:t>
      </w:r>
    </w:p>
    <w:p w:rsidR="007F5EC8" w:rsidRDefault="00F75C99" w:rsidP="00F75C99">
      <w:pPr>
        <w:spacing w:line="600" w:lineRule="exact"/>
        <w:ind w:firstLineChars="200" w:firstLine="643"/>
        <w:outlineLvl w:val="2"/>
        <w:rPr>
          <w:rFonts w:ascii="仿宋" w:eastAsia="仿宋" w:hAnsi="仿宋"/>
          <w:b/>
          <w:sz w:val="32"/>
          <w:szCs w:val="32"/>
        </w:rPr>
      </w:pPr>
      <w:r>
        <w:rPr>
          <w:rFonts w:ascii="仿宋" w:eastAsia="仿宋" w:hAnsi="仿宋" w:hint="eastAsia"/>
          <w:b/>
          <w:sz w:val="32"/>
          <w:szCs w:val="32"/>
        </w:rPr>
        <w:lastRenderedPageBreak/>
        <w:t>（三）一般公共预算财政拨款支出决算具体情况</w:t>
      </w:r>
      <w:bookmarkEnd w:id="34"/>
    </w:p>
    <w:p w:rsidR="007F5EC8" w:rsidRDefault="00F75C99" w:rsidP="00F75C99">
      <w:pPr>
        <w:spacing w:line="600" w:lineRule="exact"/>
        <w:ind w:firstLineChars="200" w:firstLine="643"/>
        <w:outlineLvl w:val="2"/>
        <w:rPr>
          <w:rFonts w:ascii="仿宋" w:eastAsia="仿宋" w:hAnsi="仿宋"/>
          <w:sz w:val="32"/>
          <w:szCs w:val="32"/>
        </w:rPr>
      </w:pPr>
      <w:bookmarkStart w:id="35" w:name="_Toc15377444"/>
      <w:bookmarkStart w:id="36" w:name="_Toc15377213"/>
      <w:bookmarkStart w:id="37" w:name="_Toc15378460"/>
      <w:r>
        <w:rPr>
          <w:rFonts w:ascii="仿宋" w:eastAsia="仿宋" w:hAnsi="仿宋" w:hint="eastAsia"/>
          <w:b/>
          <w:sz w:val="32"/>
          <w:szCs w:val="32"/>
        </w:rPr>
        <w:t>2022年一般公共预算支出决算数为607.68</w:t>
      </w:r>
      <w:r>
        <w:rPr>
          <w:rFonts w:ascii="仿宋" w:eastAsia="仿宋" w:hAnsi="仿宋" w:hint="eastAsia"/>
          <w:sz w:val="32"/>
          <w:szCs w:val="32"/>
        </w:rPr>
        <w:t>，</w:t>
      </w:r>
      <w:r>
        <w:rPr>
          <w:rStyle w:val="a9"/>
          <w:rFonts w:ascii="仿宋" w:eastAsia="仿宋" w:hAnsi="仿宋" w:hint="eastAsia"/>
          <w:bCs/>
          <w:sz w:val="32"/>
          <w:szCs w:val="32"/>
        </w:rPr>
        <w:t>完成预算100</w:t>
      </w:r>
      <w:r>
        <w:rPr>
          <w:rStyle w:val="a9"/>
          <w:rFonts w:ascii="仿宋" w:eastAsia="仿宋" w:hAnsi="仿宋"/>
          <w:bCs/>
          <w:sz w:val="32"/>
          <w:szCs w:val="32"/>
        </w:rPr>
        <w:t>%</w:t>
      </w:r>
      <w:r>
        <w:rPr>
          <w:rStyle w:val="a9"/>
          <w:rFonts w:ascii="仿宋" w:eastAsia="仿宋" w:hAnsi="仿宋" w:hint="eastAsia"/>
          <w:bCs/>
          <w:sz w:val="32"/>
          <w:szCs w:val="32"/>
        </w:rPr>
        <w:t>。其中：</w:t>
      </w:r>
      <w:bookmarkEnd w:id="35"/>
      <w:bookmarkEnd w:id="36"/>
      <w:bookmarkEnd w:id="37"/>
    </w:p>
    <w:p w:rsidR="007F5EC8" w:rsidRDefault="00F75C99" w:rsidP="00F75C99">
      <w:pPr>
        <w:spacing w:line="600" w:lineRule="exact"/>
        <w:ind w:firstLineChars="200" w:firstLine="643"/>
        <w:rPr>
          <w:rFonts w:ascii="仿宋" w:eastAsia="仿宋" w:hAnsi="仿宋"/>
          <w:b/>
          <w:sz w:val="32"/>
          <w:szCs w:val="32"/>
        </w:rPr>
      </w:pPr>
      <w:r>
        <w:rPr>
          <w:rStyle w:val="a9"/>
          <w:rFonts w:ascii="仿宋" w:eastAsia="仿宋" w:hAnsi="仿宋"/>
          <w:bCs/>
          <w:sz w:val="32"/>
          <w:szCs w:val="32"/>
        </w:rPr>
        <w:t>1.</w:t>
      </w:r>
      <w:r>
        <w:rPr>
          <w:rStyle w:val="a9"/>
          <w:rFonts w:ascii="仿宋_GB2312" w:eastAsia="仿宋_GB2312" w:hAnsi="仿宋" w:hint="eastAsia"/>
          <w:bCs/>
          <w:color w:val="000000"/>
          <w:sz w:val="32"/>
          <w:szCs w:val="32"/>
        </w:rPr>
        <w:t>一般公共服务（类）党委办公厅（室）及相关机构事务（款）行政运行（项）</w:t>
      </w:r>
      <w:r>
        <w:rPr>
          <w:rStyle w:val="a9"/>
          <w:rFonts w:ascii="仿宋" w:eastAsia="仿宋" w:hAnsi="仿宋"/>
          <w:bCs/>
          <w:sz w:val="32"/>
          <w:szCs w:val="32"/>
        </w:rPr>
        <w:t>:</w:t>
      </w:r>
      <w:r>
        <w:rPr>
          <w:rStyle w:val="a9"/>
          <w:rFonts w:ascii="仿宋" w:eastAsia="仿宋" w:hAnsi="仿宋"/>
          <w:b w:val="0"/>
          <w:bCs/>
          <w:sz w:val="32"/>
          <w:szCs w:val="32"/>
        </w:rPr>
        <w:t xml:space="preserve"> </w:t>
      </w:r>
      <w:r>
        <w:rPr>
          <w:rStyle w:val="a9"/>
          <w:rFonts w:ascii="仿宋" w:eastAsia="仿宋" w:hAnsi="仿宋" w:hint="eastAsia"/>
          <w:b w:val="0"/>
          <w:bCs/>
          <w:sz w:val="32"/>
          <w:szCs w:val="32"/>
        </w:rPr>
        <w:t>支出决算为485.82万元，完成预算100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7F5EC8" w:rsidRDefault="00F75C99" w:rsidP="00F75C99">
      <w:pPr>
        <w:spacing w:line="600" w:lineRule="exact"/>
        <w:ind w:firstLineChars="200" w:firstLine="643"/>
        <w:rPr>
          <w:rFonts w:ascii="仿宋" w:eastAsia="仿宋" w:hAnsi="仿宋"/>
          <w:b/>
          <w:sz w:val="32"/>
          <w:szCs w:val="32"/>
        </w:rPr>
      </w:pPr>
      <w:r>
        <w:rPr>
          <w:rStyle w:val="a9"/>
          <w:rFonts w:ascii="仿宋" w:eastAsia="仿宋" w:hAnsi="仿宋"/>
          <w:bCs/>
          <w:sz w:val="32"/>
          <w:szCs w:val="32"/>
        </w:rPr>
        <w:t>2.</w:t>
      </w:r>
      <w:r>
        <w:rPr>
          <w:rStyle w:val="a9"/>
          <w:rFonts w:ascii="仿宋_GB2312" w:eastAsia="仿宋_GB2312" w:hAnsi="仿宋" w:hint="eastAsia"/>
          <w:bCs/>
          <w:color w:val="000000"/>
          <w:sz w:val="32"/>
          <w:szCs w:val="32"/>
        </w:rPr>
        <w:t>一般公共服务（类）党委办公厅（室）及相关机构事务（款）一般行政管理事务（项）：</w:t>
      </w:r>
      <w:r>
        <w:rPr>
          <w:rStyle w:val="a9"/>
          <w:rFonts w:ascii="仿宋" w:eastAsia="仿宋" w:hAnsi="仿宋"/>
          <w:b w:val="0"/>
          <w:bCs/>
          <w:sz w:val="32"/>
          <w:szCs w:val="32"/>
        </w:rPr>
        <w:t xml:space="preserve"> </w:t>
      </w:r>
      <w:r>
        <w:rPr>
          <w:rStyle w:val="a9"/>
          <w:rFonts w:ascii="仿宋" w:eastAsia="仿宋" w:hAnsi="仿宋" w:hint="eastAsia"/>
          <w:b w:val="0"/>
          <w:bCs/>
          <w:sz w:val="32"/>
          <w:szCs w:val="32"/>
        </w:rPr>
        <w:t>支出决算为6.27万元，完成预算100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7F5EC8" w:rsidRDefault="00F75C99" w:rsidP="00F75C99">
      <w:pPr>
        <w:spacing w:line="600" w:lineRule="exact"/>
        <w:ind w:firstLineChars="200" w:firstLine="643"/>
        <w:rPr>
          <w:rStyle w:val="a9"/>
          <w:rFonts w:ascii="仿宋" w:eastAsia="仿宋" w:hAnsi="仿宋"/>
          <w:b w:val="0"/>
          <w:bCs/>
          <w:sz w:val="32"/>
          <w:szCs w:val="32"/>
        </w:rPr>
      </w:pPr>
      <w:r>
        <w:rPr>
          <w:rStyle w:val="a9"/>
          <w:rFonts w:ascii="仿宋" w:eastAsia="仿宋" w:hAnsi="仿宋" w:hint="eastAsia"/>
          <w:bCs/>
          <w:sz w:val="32"/>
          <w:szCs w:val="32"/>
        </w:rPr>
        <w:t>3</w:t>
      </w:r>
      <w:r>
        <w:rPr>
          <w:rStyle w:val="a9"/>
          <w:rFonts w:ascii="仿宋" w:eastAsia="仿宋" w:hAnsi="仿宋"/>
          <w:bCs/>
          <w:sz w:val="32"/>
          <w:szCs w:val="32"/>
        </w:rPr>
        <w:t>.</w:t>
      </w:r>
      <w:r>
        <w:rPr>
          <w:rStyle w:val="a9"/>
          <w:rFonts w:ascii="仿宋" w:eastAsia="仿宋" w:hAnsi="仿宋" w:hint="eastAsia"/>
          <w:bCs/>
          <w:sz w:val="32"/>
          <w:szCs w:val="32"/>
        </w:rPr>
        <w:t>社会保障和就业（类）行政事业单位养老支出（款） 行政单位离退休（项）</w:t>
      </w:r>
      <w:r>
        <w:rPr>
          <w:rStyle w:val="a9"/>
          <w:rFonts w:ascii="仿宋" w:eastAsia="仿宋" w:hAnsi="仿宋"/>
          <w:bCs/>
          <w:sz w:val="32"/>
          <w:szCs w:val="32"/>
        </w:rPr>
        <w:t>:</w:t>
      </w:r>
      <w:r>
        <w:rPr>
          <w:rStyle w:val="a9"/>
          <w:rFonts w:ascii="仿宋" w:eastAsia="仿宋" w:hAnsi="仿宋"/>
          <w:b w:val="0"/>
          <w:bCs/>
          <w:sz w:val="32"/>
          <w:szCs w:val="32"/>
        </w:rPr>
        <w:t xml:space="preserve"> </w:t>
      </w:r>
      <w:r>
        <w:rPr>
          <w:rStyle w:val="a9"/>
          <w:rFonts w:ascii="仿宋" w:eastAsia="仿宋" w:hAnsi="仿宋" w:hint="eastAsia"/>
          <w:b w:val="0"/>
          <w:bCs/>
          <w:sz w:val="32"/>
          <w:szCs w:val="32"/>
        </w:rPr>
        <w:t>支出决算为37.72万元，完成预算100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7F5EC8" w:rsidRDefault="00F75C99" w:rsidP="00F75C99">
      <w:pPr>
        <w:spacing w:line="600" w:lineRule="exact"/>
        <w:ind w:firstLineChars="200" w:firstLine="643"/>
      </w:pPr>
      <w:r>
        <w:rPr>
          <w:rStyle w:val="a9"/>
          <w:rFonts w:ascii="仿宋" w:eastAsia="仿宋" w:hAnsi="仿宋" w:hint="eastAsia"/>
          <w:bCs/>
          <w:sz w:val="32"/>
          <w:szCs w:val="32"/>
        </w:rPr>
        <w:t>4</w:t>
      </w:r>
      <w:r>
        <w:rPr>
          <w:rStyle w:val="a9"/>
          <w:rFonts w:ascii="仿宋" w:eastAsia="仿宋" w:hAnsi="仿宋"/>
          <w:bCs/>
          <w:sz w:val="32"/>
          <w:szCs w:val="32"/>
        </w:rPr>
        <w:t>.</w:t>
      </w:r>
      <w:r>
        <w:rPr>
          <w:rStyle w:val="a9"/>
          <w:rFonts w:ascii="仿宋" w:eastAsia="仿宋" w:hAnsi="仿宋" w:hint="eastAsia"/>
          <w:bCs/>
          <w:sz w:val="32"/>
          <w:szCs w:val="32"/>
        </w:rPr>
        <w:t>社会保障和就业（类）行政事业单位养老支出（款）   机关事业单位基本养老保险缴费支出（项）</w:t>
      </w:r>
      <w:r>
        <w:rPr>
          <w:rStyle w:val="a9"/>
          <w:rFonts w:ascii="仿宋" w:eastAsia="仿宋" w:hAnsi="仿宋"/>
          <w:bCs/>
          <w:sz w:val="32"/>
          <w:szCs w:val="32"/>
        </w:rPr>
        <w:t>:</w:t>
      </w:r>
      <w:r>
        <w:rPr>
          <w:rStyle w:val="a9"/>
          <w:rFonts w:ascii="仿宋" w:eastAsia="仿宋" w:hAnsi="仿宋"/>
          <w:b w:val="0"/>
          <w:bCs/>
          <w:sz w:val="32"/>
          <w:szCs w:val="32"/>
        </w:rPr>
        <w:t xml:space="preserve"> </w:t>
      </w:r>
      <w:r>
        <w:rPr>
          <w:rStyle w:val="a9"/>
          <w:rFonts w:ascii="仿宋" w:eastAsia="仿宋" w:hAnsi="仿宋" w:hint="eastAsia"/>
          <w:b w:val="0"/>
          <w:bCs/>
          <w:sz w:val="32"/>
          <w:szCs w:val="32"/>
        </w:rPr>
        <w:t>支出决算为33.23万元，完成预算100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7F5EC8" w:rsidRDefault="00F75C99" w:rsidP="00F75C99">
      <w:pPr>
        <w:spacing w:line="600" w:lineRule="exact"/>
        <w:ind w:firstLineChars="200" w:firstLine="643"/>
        <w:rPr>
          <w:rFonts w:ascii="仿宋" w:eastAsia="仿宋" w:hAnsi="仿宋"/>
          <w:b/>
          <w:sz w:val="32"/>
          <w:szCs w:val="32"/>
        </w:rPr>
      </w:pPr>
      <w:r>
        <w:rPr>
          <w:rStyle w:val="a9"/>
          <w:rFonts w:ascii="仿宋_GB2312" w:eastAsia="仿宋_GB2312" w:hAnsi="仿宋" w:hint="eastAsia"/>
          <w:bCs/>
          <w:color w:val="000000"/>
          <w:sz w:val="32"/>
          <w:szCs w:val="32"/>
        </w:rPr>
        <w:t>5.</w:t>
      </w:r>
      <w:r>
        <w:rPr>
          <w:rFonts w:ascii="仿宋_GB2312" w:eastAsia="仿宋_GB2312" w:hAnsi="仿宋" w:hint="eastAsia"/>
          <w:b/>
          <w:bCs/>
          <w:color w:val="000000"/>
          <w:sz w:val="32"/>
          <w:szCs w:val="32"/>
        </w:rPr>
        <w:t>住房保障支出</w:t>
      </w:r>
      <w:r>
        <w:rPr>
          <w:rStyle w:val="a9"/>
          <w:rFonts w:ascii="仿宋_GB2312" w:eastAsia="仿宋_GB2312" w:hAnsi="仿宋" w:hint="eastAsia"/>
          <w:color w:val="000000"/>
          <w:sz w:val="32"/>
          <w:szCs w:val="32"/>
        </w:rPr>
        <w:t>（类）住房改革支出（款）住房公积金（项）:</w:t>
      </w:r>
      <w:r>
        <w:rPr>
          <w:rStyle w:val="a9"/>
          <w:rFonts w:ascii="仿宋_GB2312" w:eastAsia="仿宋_GB2312" w:hAnsi="仿宋" w:hint="eastAsia"/>
          <w:b w:val="0"/>
          <w:bCs/>
          <w:color w:val="000000"/>
          <w:sz w:val="32"/>
          <w:szCs w:val="32"/>
        </w:rPr>
        <w:t>支出决算为44.64万元，完成预算100%。</w:t>
      </w:r>
    </w:p>
    <w:p w:rsidR="007F5EC8" w:rsidRDefault="00F75C99">
      <w:pPr>
        <w:tabs>
          <w:tab w:val="right" w:pos="8306"/>
        </w:tabs>
        <w:spacing w:line="600" w:lineRule="exact"/>
        <w:ind w:firstLine="640"/>
        <w:outlineLvl w:val="1"/>
        <w:rPr>
          <w:rStyle w:val="22"/>
        </w:rPr>
      </w:pPr>
      <w:bookmarkStart w:id="38" w:name="_Toc15377214"/>
      <w:bookmarkStart w:id="39" w:name="_Toc15396608"/>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2"/>
          <w:rFonts w:ascii="黑体" w:eastAsia="黑体" w:hAnsi="黑体" w:hint="eastAsia"/>
          <w:b w:val="0"/>
        </w:rPr>
        <w:t>般公共预算财政拨款基本支出决算情况说明</w:t>
      </w:r>
      <w:bookmarkEnd w:id="38"/>
      <w:bookmarkEnd w:id="39"/>
      <w:r>
        <w:rPr>
          <w:rStyle w:val="22"/>
          <w:rFonts w:ascii="黑体" w:eastAsia="黑体" w:hAnsi="黑体"/>
          <w:b w:val="0"/>
        </w:rPr>
        <w:tab/>
      </w:r>
    </w:p>
    <w:p w:rsidR="007F5EC8" w:rsidRDefault="00F75C99">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22年一般公共预算财政拨款基本支出601.41万元，其中：</w:t>
      </w:r>
    </w:p>
    <w:p w:rsidR="007F5EC8" w:rsidRDefault="00F75C99">
      <w:pPr>
        <w:spacing w:line="600" w:lineRule="exact"/>
        <w:ind w:firstLine="645"/>
        <w:rPr>
          <w:rFonts w:ascii="仿宋" w:eastAsia="仿宋" w:hAnsi="仿宋"/>
          <w:sz w:val="32"/>
          <w:szCs w:val="32"/>
        </w:rPr>
      </w:pPr>
      <w:r>
        <w:rPr>
          <w:rFonts w:ascii="仿宋" w:eastAsia="仿宋" w:hAnsi="仿宋" w:hint="eastAsia"/>
          <w:sz w:val="32"/>
          <w:szCs w:val="32"/>
        </w:rPr>
        <w:t>人员经费533.89万元，主要包括：基本工资、津贴补贴、奖金、伙食补助费、绩效工资、机关事业单位基本养老保险缴费、职业年金缴费、其他社会保障缴费、其他工资福</w:t>
      </w:r>
      <w:r>
        <w:rPr>
          <w:rFonts w:ascii="仿宋" w:eastAsia="仿宋" w:hAnsi="仿宋" w:hint="eastAsia"/>
          <w:sz w:val="32"/>
          <w:szCs w:val="32"/>
        </w:rPr>
        <w:lastRenderedPageBreak/>
        <w:t>利支出、离休费、退休费、抚恤金、生活补助、医疗费补助、奖励金、住房公积金、其他对个人和家庭的补助支出等。</w:t>
      </w:r>
      <w:r>
        <w:rPr>
          <w:rFonts w:ascii="仿宋" w:eastAsia="仿宋" w:hAnsi="仿宋"/>
          <w:sz w:val="32"/>
          <w:szCs w:val="32"/>
        </w:rPr>
        <w:br/>
      </w:r>
      <w:r>
        <w:rPr>
          <w:rFonts w:ascii="仿宋" w:eastAsia="仿宋" w:hAnsi="仿宋" w:hint="eastAsia"/>
          <w:sz w:val="32"/>
          <w:szCs w:val="32"/>
        </w:rPr>
        <w:t xml:space="preserve">　　公用经费67.52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7F5EC8" w:rsidRDefault="00F75C99">
      <w:pPr>
        <w:spacing w:line="600" w:lineRule="exact"/>
        <w:ind w:firstLine="640"/>
        <w:outlineLvl w:val="1"/>
        <w:rPr>
          <w:rStyle w:val="22"/>
          <w:rFonts w:ascii="黑体" w:eastAsia="黑体" w:hAnsi="黑体"/>
          <w:b w:val="0"/>
        </w:rPr>
      </w:pPr>
      <w:bookmarkStart w:id="40" w:name="_Toc15396609"/>
      <w:bookmarkStart w:id="41" w:name="_Toc15377215"/>
      <w:r>
        <w:rPr>
          <w:rFonts w:ascii="黑体" w:eastAsia="黑体" w:hint="eastAsia"/>
          <w:sz w:val="32"/>
          <w:szCs w:val="32"/>
        </w:rPr>
        <w:t>七、</w:t>
      </w:r>
      <w:r>
        <w:rPr>
          <w:rStyle w:val="22"/>
          <w:rFonts w:ascii="黑体" w:eastAsia="黑体" w:hAnsi="黑体" w:hint="eastAsia"/>
          <w:b w:val="0"/>
        </w:rPr>
        <w:t>财政拨款</w:t>
      </w:r>
      <w:r>
        <w:rPr>
          <w:rStyle w:val="22"/>
          <w:rFonts w:ascii="黑体" w:eastAsia="黑体" w:hAnsi="黑体" w:hint="eastAsia"/>
        </w:rPr>
        <w:t>“</w:t>
      </w:r>
      <w:r>
        <w:rPr>
          <w:rStyle w:val="22"/>
          <w:rFonts w:ascii="黑体" w:eastAsia="黑体" w:hAnsi="黑体" w:hint="eastAsia"/>
          <w:b w:val="0"/>
        </w:rPr>
        <w:t>三公”经费支出决算情况说明</w:t>
      </w:r>
      <w:bookmarkEnd w:id="40"/>
      <w:bookmarkEnd w:id="41"/>
    </w:p>
    <w:p w:rsidR="007F5EC8" w:rsidRDefault="00F75C99">
      <w:pPr>
        <w:spacing w:line="600" w:lineRule="exact"/>
        <w:ind w:firstLine="640"/>
        <w:outlineLvl w:val="2"/>
        <w:rPr>
          <w:rFonts w:ascii="仿宋" w:eastAsia="仿宋" w:hAnsi="仿宋"/>
          <w:b/>
          <w:sz w:val="32"/>
          <w:szCs w:val="32"/>
        </w:rPr>
      </w:pPr>
      <w:bookmarkStart w:id="42" w:name="_Toc15377216"/>
      <w:r>
        <w:rPr>
          <w:rFonts w:ascii="仿宋" w:eastAsia="仿宋" w:hAnsi="仿宋" w:hint="eastAsia"/>
          <w:b/>
          <w:sz w:val="32"/>
          <w:szCs w:val="32"/>
        </w:rPr>
        <w:t>（一）“三公”经费财政拨款支出决算总体情况说明</w:t>
      </w:r>
      <w:bookmarkEnd w:id="42"/>
    </w:p>
    <w:p w:rsidR="007F5EC8" w:rsidRDefault="00F75C99">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22年“三公”经费财政拨款支出决算为1.13万元，完成预算45.2</w:t>
      </w:r>
      <w:r>
        <w:rPr>
          <w:rFonts w:ascii="仿宋" w:eastAsia="仿宋" w:hAnsi="仿宋"/>
          <w:sz w:val="32"/>
          <w:szCs w:val="32"/>
        </w:rPr>
        <w:t>%</w:t>
      </w:r>
      <w:r>
        <w:rPr>
          <w:rFonts w:ascii="仿宋" w:eastAsia="仿宋" w:hAnsi="仿宋" w:hint="eastAsia"/>
          <w:sz w:val="32"/>
          <w:szCs w:val="32"/>
        </w:rPr>
        <w:t>，较上年减少0.69万元，下降37.91%。决算数小于预算数的主要原因:一是受疫情影响，相关公务活动减少，公务用车运行维护费和公务接待费都相应减少；二是严格执行厉行节约有关规定，从严控制“三公”经费开支。</w:t>
      </w:r>
    </w:p>
    <w:p w:rsidR="007F5EC8" w:rsidRDefault="00F75C99">
      <w:pPr>
        <w:spacing w:line="600" w:lineRule="exact"/>
        <w:ind w:firstLine="640"/>
        <w:outlineLvl w:val="2"/>
        <w:rPr>
          <w:rFonts w:ascii="仿宋" w:eastAsia="仿宋" w:hAnsi="仿宋"/>
          <w:b/>
          <w:sz w:val="32"/>
          <w:szCs w:val="32"/>
        </w:rPr>
      </w:pPr>
      <w:bookmarkStart w:id="43" w:name="_Toc15377217"/>
      <w:r>
        <w:rPr>
          <w:rFonts w:ascii="仿宋" w:eastAsia="仿宋" w:hAnsi="仿宋" w:hint="eastAsia"/>
          <w:b/>
          <w:sz w:val="32"/>
          <w:szCs w:val="32"/>
        </w:rPr>
        <w:t>（二）“三公”经费财政拨款支出决算具体情况说明</w:t>
      </w:r>
      <w:bookmarkEnd w:id="43"/>
    </w:p>
    <w:p w:rsidR="007F5EC8" w:rsidRDefault="00F75C99">
      <w:pPr>
        <w:spacing w:line="600" w:lineRule="exact"/>
        <w:ind w:firstLine="640"/>
        <w:rPr>
          <w:rFonts w:eastAsia="仿宋"/>
          <w:sz w:val="32"/>
          <w:szCs w:val="32"/>
        </w:rPr>
      </w:pPr>
      <w:r>
        <w:rPr>
          <w:rFonts w:eastAsia="仿宋"/>
          <w:sz w:val="32"/>
          <w:szCs w:val="32"/>
        </w:rPr>
        <w:t>202</w:t>
      </w:r>
      <w:r>
        <w:rPr>
          <w:rFonts w:eastAsia="仿宋" w:hint="eastAsia"/>
          <w:sz w:val="32"/>
          <w:szCs w:val="32"/>
        </w:rPr>
        <w:t>2</w:t>
      </w:r>
      <w:r>
        <w:rPr>
          <w:rFonts w:eastAsia="仿宋"/>
          <w:sz w:val="32"/>
          <w:szCs w:val="32"/>
        </w:rPr>
        <w:t>年</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经费财政拨款支出决算中，因公出国（境）费支出决算</w:t>
      </w:r>
      <w:r>
        <w:rPr>
          <w:rFonts w:eastAsia="仿宋" w:hint="eastAsia"/>
          <w:sz w:val="32"/>
          <w:szCs w:val="32"/>
        </w:rPr>
        <w:t>0</w:t>
      </w:r>
      <w:r>
        <w:rPr>
          <w:rFonts w:eastAsia="仿宋"/>
          <w:sz w:val="32"/>
          <w:szCs w:val="32"/>
        </w:rPr>
        <w:t>万元，占</w:t>
      </w:r>
      <w:r>
        <w:rPr>
          <w:rFonts w:eastAsia="仿宋" w:hint="eastAsia"/>
          <w:sz w:val="32"/>
          <w:szCs w:val="32"/>
        </w:rPr>
        <w:t>0</w:t>
      </w:r>
      <w:r>
        <w:rPr>
          <w:rFonts w:eastAsia="仿宋"/>
          <w:sz w:val="32"/>
          <w:szCs w:val="32"/>
        </w:rPr>
        <w:t>%</w:t>
      </w:r>
      <w:r>
        <w:rPr>
          <w:rFonts w:eastAsia="仿宋"/>
          <w:sz w:val="32"/>
          <w:szCs w:val="32"/>
        </w:rPr>
        <w:t>；公务用车购置及运行维护费支出决算</w:t>
      </w:r>
      <w:r>
        <w:rPr>
          <w:rFonts w:eastAsia="仿宋" w:hint="eastAsia"/>
          <w:sz w:val="32"/>
          <w:szCs w:val="32"/>
        </w:rPr>
        <w:t>0.98</w:t>
      </w:r>
      <w:r>
        <w:rPr>
          <w:rFonts w:eastAsia="仿宋"/>
          <w:sz w:val="32"/>
          <w:szCs w:val="32"/>
        </w:rPr>
        <w:t>万元，占</w:t>
      </w:r>
      <w:r>
        <w:rPr>
          <w:rFonts w:eastAsia="仿宋" w:hint="eastAsia"/>
          <w:sz w:val="32"/>
          <w:szCs w:val="32"/>
        </w:rPr>
        <w:t>88.46</w:t>
      </w:r>
      <w:r>
        <w:rPr>
          <w:rFonts w:eastAsia="仿宋"/>
          <w:sz w:val="32"/>
          <w:szCs w:val="32"/>
        </w:rPr>
        <w:t>%</w:t>
      </w:r>
      <w:r>
        <w:rPr>
          <w:rFonts w:eastAsia="仿宋"/>
          <w:sz w:val="32"/>
          <w:szCs w:val="32"/>
        </w:rPr>
        <w:t>；公务接待费支出决算</w:t>
      </w:r>
      <w:r>
        <w:rPr>
          <w:rFonts w:eastAsia="仿宋" w:hint="eastAsia"/>
          <w:sz w:val="32"/>
          <w:szCs w:val="32"/>
        </w:rPr>
        <w:t>0.15</w:t>
      </w:r>
      <w:r>
        <w:rPr>
          <w:rFonts w:eastAsia="仿宋"/>
          <w:sz w:val="32"/>
          <w:szCs w:val="32"/>
        </w:rPr>
        <w:t>万元，占</w:t>
      </w:r>
      <w:r>
        <w:rPr>
          <w:rFonts w:eastAsia="仿宋" w:hint="eastAsia"/>
          <w:sz w:val="32"/>
          <w:szCs w:val="32"/>
        </w:rPr>
        <w:t>11.54</w:t>
      </w:r>
      <w:r>
        <w:rPr>
          <w:rFonts w:eastAsia="仿宋"/>
          <w:sz w:val="32"/>
          <w:szCs w:val="32"/>
        </w:rPr>
        <w:t>%</w:t>
      </w:r>
      <w:r>
        <w:rPr>
          <w:rFonts w:eastAsia="仿宋"/>
          <w:sz w:val="32"/>
          <w:szCs w:val="32"/>
        </w:rPr>
        <w:t>。具体情况如下：</w:t>
      </w:r>
    </w:p>
    <w:p w:rsidR="007F5EC8" w:rsidRDefault="00F75C99">
      <w:pPr>
        <w:pStyle w:val="a0"/>
        <w:spacing w:before="93"/>
        <w:rPr>
          <w:rFonts w:ascii="Times New Roman" w:eastAsia="仿宋"/>
          <w:sz w:val="32"/>
          <w:szCs w:val="32"/>
        </w:rPr>
      </w:pPr>
      <w:r>
        <w:rPr>
          <w:rFonts w:ascii="Times New Roman" w:eastAsia="仿宋" w:hint="eastAsia"/>
          <w:sz w:val="32"/>
          <w:szCs w:val="32"/>
        </w:rPr>
        <w:lastRenderedPageBreak/>
        <w:t xml:space="preserve">   </w:t>
      </w:r>
      <w:r>
        <w:rPr>
          <w:rFonts w:ascii="Times New Roman" w:eastAsia="仿宋"/>
          <w:noProof/>
          <w:sz w:val="32"/>
          <w:szCs w:val="32"/>
        </w:rPr>
        <w:drawing>
          <wp:inline distT="0" distB="0" distL="114300" distR="114300">
            <wp:extent cx="4660900" cy="3353435"/>
            <wp:effectExtent l="4445" t="4445" r="20955" b="1397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F5EC8" w:rsidRDefault="00F75C99">
      <w:pPr>
        <w:spacing w:line="600" w:lineRule="exact"/>
        <w:jc w:val="center"/>
        <w:rPr>
          <w:rFonts w:eastAsia="仿宋"/>
          <w:sz w:val="32"/>
          <w:szCs w:val="32"/>
        </w:rPr>
      </w:pPr>
      <w:r>
        <w:rPr>
          <w:rFonts w:eastAsia="仿宋"/>
          <w:sz w:val="32"/>
          <w:szCs w:val="32"/>
        </w:rPr>
        <w:t>（图</w:t>
      </w:r>
      <w:r>
        <w:rPr>
          <w:rFonts w:eastAsia="仿宋"/>
          <w:sz w:val="32"/>
          <w:szCs w:val="32"/>
        </w:rPr>
        <w:t>7</w:t>
      </w:r>
      <w:r>
        <w:rPr>
          <w:rFonts w:eastAsia="仿宋"/>
          <w:sz w:val="32"/>
          <w:szCs w:val="32"/>
        </w:rPr>
        <w:t>：</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经费财政拨款支出结构）</w:t>
      </w:r>
    </w:p>
    <w:p w:rsidR="007F5EC8" w:rsidRDefault="00F75C99">
      <w:pPr>
        <w:spacing w:line="60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r>
        <w:rPr>
          <w:rStyle w:val="a9"/>
          <w:rFonts w:ascii="仿宋" w:eastAsia="仿宋" w:hAnsi="仿宋" w:hint="eastAsia"/>
          <w:b w:val="0"/>
          <w:bCs/>
          <w:sz w:val="32"/>
          <w:szCs w:val="32"/>
        </w:rPr>
        <w:t>完成预算0</w:t>
      </w:r>
      <w:r>
        <w:rPr>
          <w:rStyle w:val="a9"/>
          <w:rFonts w:ascii="仿宋" w:eastAsia="仿宋" w:hAnsi="仿宋"/>
          <w:b w:val="0"/>
          <w:bCs/>
          <w:sz w:val="32"/>
          <w:szCs w:val="32"/>
        </w:rPr>
        <w:t>%</w:t>
      </w:r>
      <w:r>
        <w:rPr>
          <w:rStyle w:val="a9"/>
          <w:rFonts w:ascii="仿宋" w:eastAsia="仿宋" w:hAnsi="仿宋" w:hint="eastAsia"/>
          <w:b w:val="0"/>
          <w:bCs/>
          <w:sz w:val="32"/>
          <w:szCs w:val="32"/>
        </w:rPr>
        <w:t>。</w:t>
      </w:r>
      <w:r>
        <w:rPr>
          <w:rFonts w:ascii="仿宋_GB2312" w:eastAsia="仿宋_GB2312" w:hint="eastAsia"/>
          <w:sz w:val="32"/>
          <w:szCs w:val="32"/>
        </w:rPr>
        <w:t>全年安排因公出国（境）团组0次，出国（境）0人。因公出国（境）支出决算与2021年持平。主要原因是2022年度未安排因公出国（境）任务。</w:t>
      </w:r>
    </w:p>
    <w:p w:rsidR="007F5EC8" w:rsidRDefault="00F75C99">
      <w:pPr>
        <w:spacing w:line="600" w:lineRule="exact"/>
        <w:ind w:firstLine="640"/>
        <w:rPr>
          <w:rFonts w:ascii="仿宋_GB2312" w:eastAsia="仿宋_GB2312"/>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0.98万元,完成预算60.49%。公务用车购置及运行维护费支出决算比2021年减少0.63万元，下降39.13%。主要原因：一是受疫情影响，相关公务活动减少，公务用车运行维护费相应减少；二是严格执行厉行节约有关规定，从严控制“三公”经费开支。</w:t>
      </w:r>
    </w:p>
    <w:p w:rsidR="007F5EC8" w:rsidRDefault="00F75C99">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月底，单位共有公务用车1辆，其中：轿车1辆、越野车0辆、载客汽车0辆。</w:t>
      </w:r>
    </w:p>
    <w:p w:rsidR="007F5EC8" w:rsidRDefault="00F75C99">
      <w:pPr>
        <w:spacing w:line="600" w:lineRule="exact"/>
        <w:ind w:firstLine="640"/>
        <w:rPr>
          <w:rFonts w:ascii="仿宋_GB2312" w:eastAsia="仿宋_GB2312"/>
          <w:sz w:val="32"/>
          <w:szCs w:val="32"/>
        </w:rPr>
      </w:pPr>
      <w:r>
        <w:rPr>
          <w:rFonts w:ascii="仿宋_GB2312" w:eastAsia="仿宋_GB2312" w:hint="eastAsia"/>
          <w:b/>
          <w:sz w:val="32"/>
          <w:szCs w:val="32"/>
        </w:rPr>
        <w:lastRenderedPageBreak/>
        <w:t>公务用车运行维护费支出</w:t>
      </w:r>
      <w:r>
        <w:rPr>
          <w:rFonts w:ascii="仿宋_GB2312" w:eastAsia="仿宋_GB2312" w:hint="eastAsia"/>
          <w:sz w:val="32"/>
          <w:szCs w:val="32"/>
        </w:rPr>
        <w:t>0.98万元。主要用于完成机构编制工作调研、考察、检查督导等所需的公务用车燃料费、维修费、过路过桥费、保险费等支出。</w:t>
      </w:r>
    </w:p>
    <w:p w:rsidR="007F5EC8" w:rsidRDefault="00F75C99">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0.15万元，</w:t>
      </w:r>
      <w:r>
        <w:rPr>
          <w:rStyle w:val="a9"/>
          <w:rFonts w:ascii="仿宋" w:eastAsia="仿宋" w:hAnsi="仿宋" w:hint="eastAsia"/>
          <w:b w:val="0"/>
          <w:bCs/>
          <w:sz w:val="32"/>
          <w:szCs w:val="32"/>
        </w:rPr>
        <w:t>完成预算17.05</w:t>
      </w:r>
      <w:r>
        <w:rPr>
          <w:rStyle w:val="a9"/>
          <w:rFonts w:ascii="仿宋" w:eastAsia="仿宋" w:hAnsi="仿宋"/>
          <w:b w:val="0"/>
          <w:bCs/>
          <w:sz w:val="32"/>
          <w:szCs w:val="32"/>
        </w:rPr>
        <w:t>%</w:t>
      </w:r>
      <w:r>
        <w:rPr>
          <w:rStyle w:val="a9"/>
          <w:rFonts w:ascii="仿宋" w:eastAsia="仿宋" w:hAnsi="仿宋" w:hint="eastAsia"/>
          <w:b w:val="0"/>
          <w:bCs/>
          <w:sz w:val="32"/>
          <w:szCs w:val="32"/>
        </w:rPr>
        <w:t>。</w:t>
      </w:r>
      <w:r>
        <w:rPr>
          <w:rFonts w:ascii="仿宋_GB2312" w:eastAsia="仿宋_GB2312" w:hint="eastAsia"/>
          <w:sz w:val="32"/>
          <w:szCs w:val="32"/>
        </w:rPr>
        <w:t>公务接待费支出决算比2021年增加/减少0.06万元，增长/下降28.57*%。主要原因是一是受疫情影响，相关公务活动减少，公务接待费相应减少；二是严格执行厉行节约有关规定，从严控制“三公”经费开支。其中：</w:t>
      </w:r>
    </w:p>
    <w:p w:rsidR="007F5EC8" w:rsidRDefault="00F75C99">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hint="eastAsia"/>
          <w:sz w:val="32"/>
          <w:szCs w:val="32"/>
        </w:rPr>
        <w:t>0.15</w:t>
      </w:r>
      <w:r>
        <w:rPr>
          <w:rFonts w:ascii="仿宋_GB2312" w:eastAsia="仿宋_GB2312" w:hint="eastAsia"/>
          <w:sz w:val="32"/>
          <w:szCs w:val="32"/>
        </w:rPr>
        <w:t>万元，主要用于上级部门来攀考察调研接待支出。国内公务接待1批次，6人次（不包括陪同人员），共计支出0.15万元，具体内容包括：</w:t>
      </w:r>
      <w:r>
        <w:rPr>
          <w:rStyle w:val="a9"/>
          <w:rFonts w:eastAsia="仿宋"/>
          <w:b w:val="0"/>
          <w:bCs/>
          <w:sz w:val="32"/>
          <w:szCs w:val="32"/>
        </w:rPr>
        <w:t>接待上级检查及调研接待</w:t>
      </w:r>
      <w:r>
        <w:rPr>
          <w:rStyle w:val="a9"/>
          <w:rFonts w:eastAsia="仿宋" w:hint="eastAsia"/>
          <w:b w:val="0"/>
          <w:bCs/>
          <w:sz w:val="32"/>
          <w:szCs w:val="32"/>
        </w:rPr>
        <w:t>1</w:t>
      </w:r>
      <w:r>
        <w:rPr>
          <w:rStyle w:val="a9"/>
          <w:rFonts w:eastAsia="仿宋"/>
          <w:b w:val="0"/>
          <w:bCs/>
          <w:sz w:val="32"/>
          <w:szCs w:val="32"/>
        </w:rPr>
        <w:t>批次，</w:t>
      </w:r>
      <w:r>
        <w:rPr>
          <w:rStyle w:val="a9"/>
          <w:rFonts w:eastAsia="仿宋" w:hint="eastAsia"/>
          <w:b w:val="0"/>
          <w:bCs/>
          <w:sz w:val="32"/>
          <w:szCs w:val="32"/>
        </w:rPr>
        <w:t>6</w:t>
      </w:r>
      <w:r>
        <w:rPr>
          <w:rStyle w:val="a9"/>
          <w:rFonts w:eastAsia="仿宋"/>
          <w:b w:val="0"/>
          <w:bCs/>
          <w:sz w:val="32"/>
          <w:szCs w:val="32"/>
        </w:rPr>
        <w:t>人次</w:t>
      </w:r>
      <w:r>
        <w:rPr>
          <w:rStyle w:val="a9"/>
          <w:rFonts w:eastAsia="仿宋" w:hint="eastAsia"/>
          <w:b w:val="0"/>
          <w:bCs/>
          <w:sz w:val="32"/>
          <w:szCs w:val="32"/>
        </w:rPr>
        <w:t>，支出</w:t>
      </w:r>
      <w:r>
        <w:rPr>
          <w:rStyle w:val="a9"/>
          <w:rFonts w:eastAsia="仿宋" w:hint="eastAsia"/>
          <w:b w:val="0"/>
          <w:bCs/>
          <w:sz w:val="32"/>
          <w:szCs w:val="32"/>
        </w:rPr>
        <w:t>0.15</w:t>
      </w:r>
      <w:r>
        <w:rPr>
          <w:rStyle w:val="a9"/>
          <w:rFonts w:eastAsia="仿宋"/>
          <w:b w:val="0"/>
          <w:bCs/>
          <w:sz w:val="32"/>
          <w:szCs w:val="32"/>
        </w:rPr>
        <w:t>万元</w:t>
      </w:r>
      <w:r>
        <w:rPr>
          <w:rFonts w:ascii="仿宋_GB2312" w:eastAsia="仿宋_GB2312" w:hint="eastAsia"/>
          <w:sz w:val="32"/>
          <w:szCs w:val="32"/>
        </w:rPr>
        <w:t>。</w:t>
      </w:r>
    </w:p>
    <w:p w:rsidR="007F5EC8" w:rsidRDefault="00F75C99" w:rsidP="00F75C99">
      <w:pPr>
        <w:spacing w:line="600" w:lineRule="exact"/>
        <w:ind w:firstLineChars="200" w:firstLine="643"/>
        <w:rPr>
          <w:rFonts w:ascii="黑体" w:eastAsia="黑体"/>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万元，外事接待0批次，0人次，共计支出0万元。</w:t>
      </w:r>
      <w:bookmarkStart w:id="44" w:name="_Toc15377218"/>
      <w:bookmarkStart w:id="45" w:name="_Toc15396610"/>
    </w:p>
    <w:p w:rsidR="007F5EC8" w:rsidRDefault="00F75C99">
      <w:pPr>
        <w:spacing w:line="600" w:lineRule="exact"/>
        <w:ind w:firstLine="640"/>
        <w:outlineLvl w:val="1"/>
        <w:rPr>
          <w:rStyle w:val="22"/>
          <w:rFonts w:ascii="黑体" w:eastAsia="黑体" w:hAnsi="黑体"/>
        </w:rPr>
      </w:pPr>
      <w:r>
        <w:rPr>
          <w:rFonts w:ascii="黑体" w:eastAsia="黑体" w:hint="eastAsia"/>
          <w:sz w:val="32"/>
          <w:szCs w:val="32"/>
        </w:rPr>
        <w:t>八、</w:t>
      </w:r>
      <w:r>
        <w:rPr>
          <w:rStyle w:val="22"/>
          <w:rFonts w:ascii="黑体" w:eastAsia="黑体" w:hAnsi="黑体" w:hint="eastAsia"/>
          <w:b w:val="0"/>
        </w:rPr>
        <w:t>政府性基金预算支出决算情况说明</w:t>
      </w:r>
      <w:bookmarkEnd w:id="44"/>
      <w:bookmarkEnd w:id="45"/>
    </w:p>
    <w:p w:rsidR="007F5EC8" w:rsidRDefault="00F75C99">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22年政府性基金预算财政拨款支出0万元。</w:t>
      </w:r>
    </w:p>
    <w:p w:rsidR="007F5EC8" w:rsidRDefault="00F75C99">
      <w:pPr>
        <w:numPr>
          <w:ilvl w:val="0"/>
          <w:numId w:val="2"/>
        </w:numPr>
        <w:spacing w:line="600" w:lineRule="exact"/>
        <w:ind w:firstLine="640"/>
        <w:outlineLvl w:val="1"/>
        <w:rPr>
          <w:rStyle w:val="22"/>
          <w:rFonts w:ascii="黑体" w:eastAsia="黑体" w:hAnsi="黑体"/>
          <w:b w:val="0"/>
        </w:rPr>
      </w:pPr>
      <w:bookmarkStart w:id="46" w:name="_Toc15396611"/>
      <w:bookmarkStart w:id="47" w:name="_Toc15377219"/>
      <w:r>
        <w:rPr>
          <w:rStyle w:val="22"/>
          <w:rFonts w:ascii="黑体" w:eastAsia="黑体" w:hAnsi="黑体" w:hint="eastAsia"/>
          <w:b w:val="0"/>
        </w:rPr>
        <w:t>国有资本经营预算支出决算情况说明</w:t>
      </w:r>
      <w:bookmarkEnd w:id="46"/>
      <w:bookmarkEnd w:id="47"/>
    </w:p>
    <w:p w:rsidR="007F5EC8" w:rsidRDefault="00F75C99">
      <w:pPr>
        <w:spacing w:line="600" w:lineRule="exact"/>
        <w:ind w:firstLine="640"/>
        <w:rPr>
          <w:rFonts w:ascii="方正小标宋简体" w:eastAsia="方正小标宋简体" w:hAnsi="方正小标宋简体" w:cs="方正小标宋简体"/>
          <w:sz w:val="44"/>
          <w:szCs w:val="44"/>
        </w:rPr>
      </w:pPr>
      <w:r>
        <w:rPr>
          <w:rFonts w:ascii="仿宋_GB2312" w:eastAsia="仿宋_GB2312"/>
          <w:sz w:val="32"/>
          <w:szCs w:val="32"/>
        </w:rPr>
        <w:t>20</w:t>
      </w:r>
      <w:r>
        <w:rPr>
          <w:rFonts w:ascii="仿宋_GB2312" w:eastAsia="仿宋_GB2312" w:hint="eastAsia"/>
          <w:sz w:val="32"/>
          <w:szCs w:val="32"/>
        </w:rPr>
        <w:t>22年国有资本经营预算财政拨款支出0万元。</w:t>
      </w:r>
    </w:p>
    <w:p w:rsidR="007F5EC8" w:rsidRDefault="00F75C99">
      <w:pPr>
        <w:numPr>
          <w:ilvl w:val="0"/>
          <w:numId w:val="2"/>
        </w:numPr>
        <w:spacing w:line="600" w:lineRule="exact"/>
        <w:ind w:firstLine="640"/>
        <w:outlineLvl w:val="1"/>
        <w:rPr>
          <w:rStyle w:val="22"/>
          <w:rFonts w:ascii="黑体" w:eastAsia="黑体" w:hAnsi="黑体"/>
          <w:b w:val="0"/>
        </w:rPr>
      </w:pPr>
      <w:bookmarkStart w:id="48" w:name="_Toc15377221"/>
      <w:bookmarkStart w:id="49" w:name="_Toc15396612"/>
      <w:r>
        <w:rPr>
          <w:rStyle w:val="22"/>
          <w:rFonts w:ascii="黑体" w:eastAsia="黑体" w:hAnsi="黑体" w:hint="eastAsia"/>
          <w:b w:val="0"/>
        </w:rPr>
        <w:t>其他重要事项的情况说明</w:t>
      </w:r>
      <w:bookmarkEnd w:id="48"/>
      <w:bookmarkEnd w:id="49"/>
    </w:p>
    <w:p w:rsidR="007F5EC8" w:rsidRDefault="00F75C99" w:rsidP="00F75C99">
      <w:pPr>
        <w:spacing w:line="600" w:lineRule="exact"/>
        <w:ind w:firstLineChars="200" w:firstLine="643"/>
        <w:outlineLvl w:val="2"/>
        <w:rPr>
          <w:rFonts w:ascii="仿宋" w:eastAsia="仿宋" w:hAnsi="仿宋"/>
          <w:sz w:val="32"/>
          <w:szCs w:val="32"/>
        </w:rPr>
      </w:pPr>
      <w:bookmarkStart w:id="50" w:name="_Toc15377222"/>
      <w:r>
        <w:rPr>
          <w:rFonts w:ascii="仿宋" w:eastAsia="仿宋" w:hAnsi="仿宋" w:hint="eastAsia"/>
          <w:b/>
          <w:sz w:val="32"/>
          <w:szCs w:val="32"/>
        </w:rPr>
        <w:t>（一）机关运行经费支出情况</w:t>
      </w:r>
      <w:bookmarkEnd w:id="50"/>
    </w:p>
    <w:p w:rsidR="007F5EC8" w:rsidRDefault="00F75C99">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22年，中共攀枝花市委机构编制委员会办公室机关运行经费支出67.52万元，比</w:t>
      </w:r>
      <w:r>
        <w:rPr>
          <w:rFonts w:ascii="仿宋_GB2312" w:eastAsia="仿宋_GB2312"/>
          <w:sz w:val="32"/>
          <w:szCs w:val="32"/>
        </w:rPr>
        <w:t>20</w:t>
      </w:r>
      <w:r>
        <w:rPr>
          <w:rFonts w:ascii="仿宋_GB2312" w:eastAsia="仿宋_GB2312" w:hint="eastAsia"/>
          <w:sz w:val="32"/>
          <w:szCs w:val="32"/>
        </w:rPr>
        <w:t>21年减少6.69万元，下降9.01</w:t>
      </w:r>
      <w:r>
        <w:rPr>
          <w:rFonts w:ascii="仿宋_GB2312" w:eastAsia="仿宋_GB2312"/>
          <w:sz w:val="32"/>
          <w:szCs w:val="32"/>
        </w:rPr>
        <w:t>%</w:t>
      </w:r>
      <w:r>
        <w:rPr>
          <w:rFonts w:ascii="仿宋_GB2312" w:eastAsia="仿宋_GB2312" w:hint="eastAsia"/>
          <w:sz w:val="32"/>
          <w:szCs w:val="32"/>
        </w:rPr>
        <w:t>。主要原因是按照厉行节约有关要求，严控一般性支出，加强</w:t>
      </w:r>
      <w:r>
        <w:rPr>
          <w:rFonts w:ascii="仿宋_GB2312" w:eastAsia="仿宋_GB2312" w:hint="eastAsia"/>
          <w:sz w:val="32"/>
          <w:szCs w:val="32"/>
        </w:rPr>
        <w:lastRenderedPageBreak/>
        <w:t>单位日常经费管理。</w:t>
      </w:r>
    </w:p>
    <w:p w:rsidR="007F5EC8" w:rsidRDefault="00F75C99" w:rsidP="00F75C99">
      <w:pPr>
        <w:autoSpaceDE w:val="0"/>
        <w:autoSpaceDN w:val="0"/>
        <w:adjustRightInd w:val="0"/>
        <w:spacing w:line="600" w:lineRule="exact"/>
        <w:ind w:firstLineChars="200" w:firstLine="643"/>
        <w:jc w:val="left"/>
        <w:outlineLvl w:val="2"/>
        <w:rPr>
          <w:rFonts w:ascii="仿宋" w:eastAsia="仿宋" w:hAnsi="仿宋"/>
          <w:b/>
          <w:sz w:val="32"/>
          <w:szCs w:val="32"/>
        </w:rPr>
      </w:pPr>
      <w:bookmarkStart w:id="51" w:name="_Toc15377223"/>
      <w:r>
        <w:rPr>
          <w:rFonts w:ascii="仿宋" w:eastAsia="仿宋" w:hAnsi="仿宋" w:hint="eastAsia"/>
          <w:b/>
          <w:sz w:val="32"/>
          <w:szCs w:val="32"/>
        </w:rPr>
        <w:t>（二）政府采购支出情况</w:t>
      </w:r>
      <w:bookmarkEnd w:id="51"/>
    </w:p>
    <w:p w:rsidR="007F5EC8" w:rsidRDefault="00F75C99">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22年，中共攀枝花市委机构编制委员会办公室政府采购支出总额0万元，其中：政府采购货物支出0万元、政府采购工程支出0万元、政府采购服务支出0万元。授予中小企业合同金额0万元，占政府采购支出总额的0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ascii="仿宋_GB2312" w:eastAsia="仿宋_GB2312" w:hint="eastAsia"/>
          <w:sz w:val="32"/>
          <w:szCs w:val="32"/>
        </w:rPr>
        <w:t>，其中：授予小微企业合同金额0万元，占政府采购支出总额的0</w:t>
      </w:r>
      <w:r>
        <w:rPr>
          <w:rFonts w:ascii="仿宋_GB2312" w:eastAsia="仿宋_GB2312"/>
          <w:sz w:val="32"/>
          <w:szCs w:val="32"/>
        </w:rPr>
        <w:t>%</w:t>
      </w:r>
      <w:r>
        <w:rPr>
          <w:rFonts w:ascii="仿宋_GB2312" w:eastAsia="仿宋_GB2312" w:hint="eastAsia"/>
          <w:sz w:val="32"/>
          <w:szCs w:val="32"/>
        </w:rPr>
        <w:t>。</w:t>
      </w:r>
    </w:p>
    <w:p w:rsidR="007F5EC8" w:rsidRDefault="00F75C99" w:rsidP="00F75C99">
      <w:pPr>
        <w:autoSpaceDE w:val="0"/>
        <w:autoSpaceDN w:val="0"/>
        <w:adjustRightInd w:val="0"/>
        <w:spacing w:line="600" w:lineRule="exact"/>
        <w:ind w:firstLineChars="200" w:firstLine="643"/>
        <w:jc w:val="left"/>
        <w:outlineLvl w:val="2"/>
        <w:rPr>
          <w:rFonts w:ascii="仿宋" w:eastAsia="仿宋" w:hAnsi="仿宋"/>
          <w:b/>
          <w:sz w:val="32"/>
          <w:szCs w:val="32"/>
        </w:rPr>
      </w:pPr>
      <w:bookmarkStart w:id="52" w:name="_Toc15377224"/>
      <w:r>
        <w:rPr>
          <w:rFonts w:ascii="仿宋" w:eastAsia="仿宋" w:hAnsi="仿宋" w:hint="eastAsia"/>
          <w:b/>
          <w:sz w:val="32"/>
          <w:szCs w:val="32"/>
        </w:rPr>
        <w:t>（三）国有资产占有使用情况</w:t>
      </w:r>
      <w:bookmarkEnd w:id="52"/>
    </w:p>
    <w:p w:rsidR="007F5EC8" w:rsidRDefault="00F75C99">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日，中共攀枝花市委机构编制委员会办公室共有车辆1辆，其中：主要领导干部用车0辆、机要通信用车0辆、应急保障用车1辆、其他用车0辆。单价</w:t>
      </w:r>
      <w:r>
        <w:rPr>
          <w:rFonts w:ascii="仿宋_GB2312" w:eastAsia="仿宋_GB2312"/>
          <w:sz w:val="32"/>
          <w:szCs w:val="32"/>
        </w:rPr>
        <w:t>100</w:t>
      </w:r>
      <w:r>
        <w:rPr>
          <w:rFonts w:ascii="仿宋_GB2312" w:eastAsia="仿宋_GB2312" w:hint="eastAsia"/>
          <w:sz w:val="32"/>
          <w:szCs w:val="32"/>
        </w:rPr>
        <w:t>万元以上专用设备0台（套）。</w:t>
      </w:r>
    </w:p>
    <w:p w:rsidR="007F5EC8" w:rsidRDefault="00F75C99" w:rsidP="00F75C99">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7F5EC8" w:rsidRDefault="00F75C99">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根据预算绩效管理要求，本部门在2022年度预算编制阶段，组织对物业管理费项目等1个项目开展了预算事前绩效评估，对1个项目编制了绩效目标，预算执行过程中，选取1个项目开展绩效监控。</w:t>
      </w:r>
    </w:p>
    <w:p w:rsidR="007F5EC8" w:rsidRDefault="00F75C99">
      <w:pPr>
        <w:widowControl/>
        <w:ind w:firstLineChars="200" w:firstLine="640"/>
        <w:jc w:val="left"/>
        <w:rPr>
          <w:rFonts w:ascii="仿宋_GB2312" w:eastAsia="仿宋_GB2312"/>
          <w:b/>
          <w:sz w:val="32"/>
          <w:szCs w:val="32"/>
        </w:rPr>
      </w:pPr>
      <w:r>
        <w:rPr>
          <w:rFonts w:ascii="仿宋_GB2312" w:eastAsia="仿宋_GB2312" w:hAnsi="仿宋_GB2312" w:cs="仿宋_GB2312" w:hint="eastAsia"/>
          <w:sz w:val="32"/>
          <w:szCs w:val="32"/>
        </w:rPr>
        <w:t>组织对2022年度一般公共预算、政府性基金预算、国有资本经营预算、社会保险基金预算以及资本资产、债券资金等全面开展绩效自评，形成</w:t>
      </w:r>
      <w:r>
        <w:rPr>
          <w:rFonts w:ascii="仿宋_GB2312" w:eastAsia="仿宋_GB2312" w:hint="eastAsia"/>
          <w:sz w:val="32"/>
          <w:szCs w:val="32"/>
        </w:rPr>
        <w:t>中共攀枝花市委机构编制委员会办公室</w:t>
      </w:r>
      <w:r>
        <w:rPr>
          <w:rFonts w:ascii="仿宋_GB2312" w:eastAsia="仿宋_GB2312" w:hAnsi="仿宋_GB2312" w:cs="仿宋_GB2312" w:hint="eastAsia"/>
          <w:sz w:val="32"/>
          <w:szCs w:val="32"/>
        </w:rPr>
        <w:t>部门整体（含部门预算项目）绩效自评报告，其中，</w:t>
      </w:r>
      <w:r>
        <w:rPr>
          <w:rFonts w:ascii="仿宋_GB2312" w:eastAsia="仿宋_GB2312" w:hint="eastAsia"/>
          <w:sz w:val="32"/>
          <w:szCs w:val="32"/>
        </w:rPr>
        <w:t>中共攀枝花市委机构编制委员会办公室</w:t>
      </w:r>
      <w:r>
        <w:rPr>
          <w:rFonts w:ascii="仿宋_GB2312" w:eastAsia="仿宋_GB2312" w:hAnsi="仿宋_GB2312" w:cs="仿宋_GB2312" w:hint="eastAsia"/>
          <w:sz w:val="32"/>
          <w:szCs w:val="32"/>
        </w:rPr>
        <w:t>部门整体（含部门预算项目）绩效自评得分为97分，绩效自评综述：我办强化</w:t>
      </w:r>
      <w:r>
        <w:rPr>
          <w:rFonts w:ascii="仿宋_GB2312" w:eastAsia="仿宋_GB2312" w:hAnsi="仿宋_GB2312" w:cs="仿宋_GB2312" w:hint="eastAsia"/>
          <w:sz w:val="32"/>
          <w:szCs w:val="32"/>
        </w:rPr>
        <w:lastRenderedPageBreak/>
        <w:t>支出责任和效益意识，以绩效目标实现为导向，全面推行绩效目标管理，下一步，我办将着力提高预算绩效目标编制质量，加强绩效预算绩效自行监控力度，进一步增强预算约束力，充分发挥预算资金使用效益。绩效自评报告详见附件。</w:t>
      </w:r>
      <w:r>
        <w:rPr>
          <w:rFonts w:ascii="仿宋_GB2312" w:eastAsia="仿宋_GB2312"/>
          <w:b/>
          <w:sz w:val="32"/>
          <w:szCs w:val="32"/>
        </w:rPr>
        <w:br w:type="page"/>
      </w:r>
    </w:p>
    <w:p w:rsidR="007F5EC8" w:rsidRDefault="00F75C99">
      <w:pPr>
        <w:numPr>
          <w:ilvl w:val="0"/>
          <w:numId w:val="3"/>
        </w:numPr>
        <w:spacing w:line="600" w:lineRule="exact"/>
        <w:ind w:firstLineChars="150" w:firstLine="660"/>
        <w:jc w:val="center"/>
        <w:outlineLvl w:val="0"/>
        <w:rPr>
          <w:rStyle w:val="1Char"/>
          <w:rFonts w:ascii="黑体" w:eastAsia="黑体" w:hAnsi="黑体"/>
          <w:b w:val="0"/>
        </w:rPr>
      </w:pPr>
      <w:bookmarkStart w:id="53" w:name="_Toc15377225"/>
      <w:bookmarkStart w:id="54"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3"/>
      <w:bookmarkEnd w:id="54"/>
    </w:p>
    <w:p w:rsidR="007F5EC8" w:rsidRDefault="007F5EC8">
      <w:pPr>
        <w:spacing w:line="600" w:lineRule="exact"/>
        <w:jc w:val="left"/>
        <w:rPr>
          <w:rFonts w:ascii="宋体"/>
          <w:b/>
          <w:sz w:val="44"/>
          <w:szCs w:val="44"/>
        </w:rPr>
      </w:pPr>
    </w:p>
    <w:p w:rsidR="007F5EC8" w:rsidRDefault="00F75C9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7F5EC8" w:rsidRDefault="00F75C99">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2</w:t>
      </w:r>
      <w:r>
        <w:rPr>
          <w:rFonts w:ascii="仿宋_GB2312" w:eastAsia="仿宋_GB2312"/>
          <w:color w:val="auto"/>
          <w:sz w:val="32"/>
          <w:szCs w:val="32"/>
        </w:rPr>
        <w:t>.</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rsidR="007F5EC8" w:rsidRDefault="00F75C99">
      <w:pPr>
        <w:ind w:firstLineChars="200" w:firstLine="640"/>
        <w:rPr>
          <w:rFonts w:ascii="仿宋_GB2312" w:eastAsia="仿宋_GB2312"/>
          <w:color w:val="000000"/>
          <w:sz w:val="32"/>
          <w:szCs w:val="32"/>
        </w:rPr>
      </w:pPr>
      <w:r>
        <w:rPr>
          <w:rFonts w:eastAsia="仿宋_GB2312" w:hint="eastAsia"/>
          <w:sz w:val="32"/>
          <w:szCs w:val="32"/>
        </w:rPr>
        <w:t>3.</w:t>
      </w:r>
      <w:r>
        <w:rPr>
          <w:rFonts w:ascii="仿宋_GB2312" w:eastAsia="仿宋_GB2312" w:hint="eastAsia"/>
          <w:color w:val="000000"/>
          <w:sz w:val="32"/>
          <w:szCs w:val="32"/>
        </w:rPr>
        <w:t>一般公共服务支出（类）党委办公厅（室）及相关机构事务（款）行政运行（项）：指行政单位（包括实行公务员管理的事业单位）的基本支出。</w:t>
      </w:r>
    </w:p>
    <w:p w:rsidR="007F5EC8" w:rsidRDefault="00F75C99">
      <w:pPr>
        <w:ind w:firstLineChars="200" w:firstLine="640"/>
        <w:rPr>
          <w:rFonts w:ascii="仿宋_GB2312" w:eastAsia="仿宋_GB2312"/>
          <w:color w:val="000000"/>
          <w:sz w:val="32"/>
          <w:szCs w:val="32"/>
        </w:rPr>
      </w:pPr>
      <w:r>
        <w:rPr>
          <w:rFonts w:ascii="仿宋_GB2312" w:eastAsia="仿宋_GB2312" w:hint="eastAsia"/>
          <w:color w:val="000000"/>
          <w:sz w:val="32"/>
          <w:szCs w:val="32"/>
        </w:rPr>
        <w:t>4.一般公共服务支出（类）党委办公厅（室）及相关机构事务（款）一般行政管理事务（项）：指行政单位（包括实行公务员管理的事业单位）未单独设置项级科目的其他项目支出。</w:t>
      </w:r>
    </w:p>
    <w:p w:rsidR="007F5EC8" w:rsidRDefault="00F75C99">
      <w:pPr>
        <w:ind w:firstLineChars="200" w:firstLine="640"/>
        <w:rPr>
          <w:rFonts w:ascii="仿宋_GB2312" w:eastAsia="仿宋_GB2312"/>
          <w:color w:val="000000"/>
          <w:sz w:val="32"/>
          <w:szCs w:val="32"/>
        </w:rPr>
      </w:pPr>
      <w:r>
        <w:rPr>
          <w:rFonts w:ascii="仿宋_GB2312" w:eastAsia="仿宋_GB2312" w:hint="eastAsia"/>
          <w:color w:val="000000"/>
          <w:sz w:val="32"/>
          <w:szCs w:val="32"/>
        </w:rPr>
        <w:t>5.社会保障和就业支出（类）行政事业单位养老支出（款）行政单位离退休（项）：反映行政单位（包括实行公务员管理的事业单位）开支的离退休经费。</w:t>
      </w:r>
    </w:p>
    <w:p w:rsidR="007F5EC8" w:rsidRDefault="00F75C99">
      <w:pPr>
        <w:ind w:firstLineChars="200" w:firstLine="640"/>
        <w:rPr>
          <w:rFonts w:ascii="仿宋_GB2312" w:eastAsia="仿宋_GB2312"/>
          <w:color w:val="000000"/>
          <w:sz w:val="32"/>
          <w:szCs w:val="32"/>
        </w:rPr>
      </w:pPr>
      <w:r>
        <w:rPr>
          <w:rFonts w:ascii="仿宋_GB2312" w:eastAsia="仿宋_GB2312" w:hint="eastAsia"/>
          <w:color w:val="000000"/>
          <w:sz w:val="32"/>
          <w:szCs w:val="32"/>
        </w:rPr>
        <w:t>6.社会保障和就业支出（类）行政事业单位养老支出（款）机关事业单位基本养老保险缴费支出（项）：反应机关事业单位实施养老保险制度由单位缴纳的基本养老保险费支出。</w:t>
      </w:r>
    </w:p>
    <w:p w:rsidR="007F5EC8" w:rsidRDefault="00F75C99">
      <w:pPr>
        <w:ind w:firstLineChars="200" w:firstLine="640"/>
        <w:rPr>
          <w:rFonts w:ascii="仿宋_GB2312" w:eastAsia="仿宋_GB2312"/>
          <w:color w:val="000000"/>
          <w:sz w:val="32"/>
          <w:szCs w:val="32"/>
        </w:rPr>
      </w:pPr>
      <w:r>
        <w:rPr>
          <w:rFonts w:ascii="仿宋_GB2312" w:eastAsia="仿宋_GB2312" w:hint="eastAsia"/>
          <w:color w:val="000000"/>
          <w:sz w:val="32"/>
          <w:szCs w:val="32"/>
        </w:rPr>
        <w:t>7.住房保障支出（类）住房改革支出（款）住房公积金（项）：指行政事业单位按人力资源和社会保障部、财政部规定的基本工资和津补贴以及规定比例为职工缴纳的住房公积金。</w:t>
      </w:r>
    </w:p>
    <w:p w:rsidR="007F5EC8" w:rsidRDefault="00F75C99">
      <w:pPr>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8.基本支出：指为保障机构正常运转、完成日常工作任务而发生的人员支出和公用支出。</w:t>
      </w:r>
    </w:p>
    <w:p w:rsidR="007F5EC8" w:rsidRDefault="00F75C99">
      <w:pPr>
        <w:ind w:firstLineChars="200" w:firstLine="640"/>
        <w:rPr>
          <w:rFonts w:ascii="仿宋_GB2312" w:eastAsia="仿宋_GB2312"/>
          <w:color w:val="000000"/>
          <w:sz w:val="32"/>
          <w:szCs w:val="32"/>
        </w:rPr>
      </w:pPr>
      <w:r>
        <w:rPr>
          <w:rFonts w:ascii="仿宋_GB2312" w:eastAsia="仿宋_GB2312" w:hint="eastAsia"/>
          <w:color w:val="000000"/>
          <w:sz w:val="32"/>
          <w:szCs w:val="32"/>
        </w:rPr>
        <w:t xml:space="preserve">9.项目支出：指在基本支出之外为完成特定行政任务和事业发展目标所发生的支出。 </w:t>
      </w:r>
    </w:p>
    <w:p w:rsidR="007F5EC8" w:rsidRDefault="00F75C99">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10.“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7F5EC8" w:rsidRDefault="00F75C99">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F5EC8" w:rsidRDefault="00F75C99">
      <w:pPr>
        <w:spacing w:line="600" w:lineRule="exact"/>
        <w:jc w:val="center"/>
        <w:outlineLvl w:val="0"/>
        <w:rPr>
          <w:rStyle w:val="1Char"/>
          <w:rFonts w:ascii="黑体" w:eastAsia="黑体" w:hAnsi="黑体"/>
          <w:b w:val="0"/>
        </w:rPr>
      </w:pPr>
      <w:bookmarkStart w:id="55" w:name="_Toc15377226"/>
      <w:r>
        <w:rPr>
          <w:rFonts w:ascii="宋体"/>
          <w:b/>
          <w:sz w:val="44"/>
          <w:szCs w:val="44"/>
        </w:rPr>
        <w:br w:type="page"/>
      </w:r>
      <w:bookmarkStart w:id="56"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6"/>
    </w:p>
    <w:p w:rsidR="007F5EC8" w:rsidRDefault="00F75C99">
      <w:pPr>
        <w:spacing w:line="572" w:lineRule="exact"/>
        <w:jc w:val="left"/>
        <w:outlineLvl w:val="0"/>
        <w:rPr>
          <w:rFonts w:ascii="方正小标宋简体" w:eastAsia="黑体" w:hAnsi="方正小标宋简体" w:cs="方正小标宋简体"/>
          <w:sz w:val="44"/>
          <w:szCs w:val="44"/>
        </w:rPr>
      </w:pPr>
      <w:r>
        <w:rPr>
          <w:rFonts w:ascii="黑体" w:eastAsia="黑体" w:hAnsi="黑体" w:cs="黑体" w:hint="eastAsia"/>
          <w:sz w:val="32"/>
          <w:szCs w:val="32"/>
        </w:rPr>
        <w:t>附件</w:t>
      </w:r>
    </w:p>
    <w:p w:rsidR="007F5EC8" w:rsidRDefault="00F75C99">
      <w:pPr>
        <w:spacing w:line="0" w:lineRule="atLeast"/>
        <w:jc w:val="center"/>
        <w:rPr>
          <w:rFonts w:ascii="方正小标宋_GBK" w:eastAsia="方正小标宋_GBK" w:cs="方正小标宋简体"/>
          <w:bCs/>
          <w:sz w:val="38"/>
          <w:szCs w:val="38"/>
        </w:rPr>
      </w:pPr>
      <w:r>
        <w:rPr>
          <w:rFonts w:ascii="方正小标宋_GBK" w:eastAsia="方正小标宋_GBK" w:cs="方正小标宋简体" w:hint="eastAsia"/>
          <w:bCs/>
          <w:sz w:val="38"/>
          <w:szCs w:val="38"/>
        </w:rPr>
        <w:t>2023年中共攀枝花市委机构编制委员会</w:t>
      </w:r>
    </w:p>
    <w:p w:rsidR="007F5EC8" w:rsidRDefault="00F75C99">
      <w:pPr>
        <w:spacing w:line="0" w:lineRule="atLeast"/>
        <w:jc w:val="center"/>
        <w:rPr>
          <w:rFonts w:ascii="方正小标宋_GBK" w:eastAsia="方正小标宋_GBK" w:cs="方正小标宋简体"/>
          <w:bCs/>
          <w:sz w:val="38"/>
          <w:szCs w:val="38"/>
        </w:rPr>
      </w:pPr>
      <w:r>
        <w:rPr>
          <w:rFonts w:ascii="方正小标宋_GBK" w:eastAsia="方正小标宋_GBK" w:cs="方正小标宋简体" w:hint="eastAsia"/>
          <w:bCs/>
          <w:sz w:val="38"/>
          <w:szCs w:val="38"/>
        </w:rPr>
        <w:t>办公室整体支出绩效评价报告</w:t>
      </w:r>
    </w:p>
    <w:p w:rsidR="007F5EC8" w:rsidRDefault="007F5EC8">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
      </w:pPr>
    </w:p>
    <w:p w:rsidR="007F5EC8" w:rsidRDefault="00F75C99">
      <w:pPr>
        <w:widowControl/>
        <w:adjustRightInd w:val="0"/>
        <w:snapToGrid w:val="0"/>
        <w:spacing w:line="580" w:lineRule="exact"/>
        <w:ind w:firstLineChars="200" w:firstLine="660"/>
        <w:contextualSpacing/>
        <w:jc w:val="left"/>
        <w:rPr>
          <w:rFonts w:ascii="方正黑体_GBK" w:eastAsia="方正黑体_GBK" w:hAnsi="方正黑体_GBK" w:cs="方正黑体_GBK"/>
          <w:color w:val="000000"/>
          <w:kern w:val="0"/>
          <w:sz w:val="33"/>
          <w:szCs w:val="33"/>
          <w:shd w:val="clear" w:color="auto" w:fill="FFFFFF"/>
          <w:lang w:val="zh-CN"/>
        </w:rPr>
      </w:pPr>
      <w:r>
        <w:rPr>
          <w:rFonts w:ascii="方正黑体_GBK" w:eastAsia="方正黑体_GBK" w:hAnsi="方正黑体_GBK" w:cs="方正黑体_GBK" w:hint="eastAsia"/>
          <w:color w:val="000000"/>
          <w:kern w:val="0"/>
          <w:sz w:val="33"/>
          <w:szCs w:val="33"/>
          <w:shd w:val="clear" w:color="auto" w:fill="FFFFFF"/>
        </w:rPr>
        <w:t>一、</w:t>
      </w:r>
      <w:r>
        <w:rPr>
          <w:rFonts w:ascii="方正黑体_GBK" w:eastAsia="方正黑体_GBK" w:hAnsi="方正黑体_GBK" w:cs="方正黑体_GBK" w:hint="eastAsia"/>
          <w:color w:val="000000"/>
          <w:kern w:val="0"/>
          <w:sz w:val="33"/>
          <w:szCs w:val="33"/>
          <w:shd w:val="clear" w:color="auto" w:fill="FFFFFF"/>
          <w:lang w:val="zh-CN"/>
        </w:rPr>
        <w:t>部门基本情况</w:t>
      </w:r>
    </w:p>
    <w:p w:rsidR="007F5EC8" w:rsidRDefault="00F75C99">
      <w:pPr>
        <w:widowControl/>
        <w:adjustRightInd w:val="0"/>
        <w:snapToGrid w:val="0"/>
        <w:spacing w:line="580" w:lineRule="exact"/>
        <w:ind w:firstLineChars="200" w:firstLine="660"/>
        <w:contextualSpacing/>
        <w:jc w:val="left"/>
        <w:rPr>
          <w:rFonts w:ascii="方正楷体_GBK" w:eastAsia="方正楷体_GBK" w:hAnsi="方正楷体_GBK" w:cs="方正楷体_GBK"/>
          <w:color w:val="000000"/>
          <w:kern w:val="0"/>
          <w:sz w:val="33"/>
          <w:szCs w:val="33"/>
          <w:shd w:val="clear" w:color="auto" w:fill="FFFFFF"/>
          <w:lang w:val="zh-CN"/>
        </w:rPr>
      </w:pPr>
      <w:r>
        <w:rPr>
          <w:rFonts w:ascii="方正楷体_GBK" w:eastAsia="方正楷体_GBK" w:hAnsi="方正楷体_GBK" w:cs="方正楷体_GBK" w:hint="eastAsia"/>
          <w:color w:val="000000"/>
          <w:kern w:val="0"/>
          <w:sz w:val="33"/>
          <w:szCs w:val="33"/>
          <w:shd w:val="clear" w:color="auto" w:fill="FFFFFF"/>
          <w:lang w:val="zh-CN"/>
        </w:rPr>
        <w:t>（一）机构组成</w:t>
      </w:r>
    </w:p>
    <w:p w:rsidR="007F5EC8" w:rsidRDefault="00F75C99">
      <w:pPr>
        <w:widowControl/>
        <w:adjustRightInd w:val="0"/>
        <w:snapToGrid w:val="0"/>
        <w:spacing w:line="580" w:lineRule="exact"/>
        <w:ind w:firstLineChars="200" w:firstLine="660"/>
        <w:contextualSpacing/>
        <w:jc w:val="left"/>
        <w:rPr>
          <w:rFonts w:ascii="方正仿宋_GBK" w:eastAsia="方正仿宋_GBK" w:hAnsi="方正仿宋_GBK" w:cs="方正仿宋_GBK"/>
          <w:color w:val="000000"/>
          <w:kern w:val="0"/>
          <w:sz w:val="33"/>
          <w:szCs w:val="33"/>
          <w:shd w:val="clear" w:color="auto" w:fill="FFFFFF"/>
          <w:lang w:val="zh-CN"/>
        </w:rPr>
      </w:pPr>
      <w:r>
        <w:rPr>
          <w:rFonts w:ascii="方正仿宋_GBK" w:eastAsia="方正仿宋_GBK" w:hAnsi="方正仿宋_GBK" w:cs="方正仿宋_GBK" w:hint="eastAsia"/>
          <w:color w:val="000000"/>
          <w:kern w:val="0"/>
          <w:sz w:val="33"/>
          <w:szCs w:val="33"/>
          <w:shd w:val="clear" w:color="auto" w:fill="FFFFFF"/>
          <w:lang w:val="zh-CN"/>
        </w:rPr>
        <w:t>市委编办是在市委编委领导下负责全市行政管理体制和机构改革、事业单位改革及机构编制管理的工作部门。下设综合科、机构改革科（县乡机构编制科）、行政机构编制科、事业机构编制、事业单位登记管理科（事业单位登记管理局）、监督检查科（政策法规科）。属一级预算单位，下属非独立核算单位</w:t>
      </w:r>
      <w:r>
        <w:rPr>
          <w:rFonts w:ascii="方正仿宋_GBK" w:eastAsia="方正仿宋_GBK" w:hAnsi="方正仿宋_GBK" w:cs="方正仿宋_GBK" w:hint="eastAsia"/>
          <w:color w:val="000000"/>
          <w:kern w:val="0"/>
          <w:sz w:val="33"/>
          <w:szCs w:val="33"/>
          <w:shd w:val="clear" w:color="auto" w:fill="FFFFFF"/>
        </w:rPr>
        <w:t>1</w:t>
      </w:r>
      <w:r>
        <w:rPr>
          <w:rFonts w:ascii="方正仿宋_GBK" w:eastAsia="方正仿宋_GBK" w:hAnsi="方正仿宋_GBK" w:cs="方正仿宋_GBK" w:hint="eastAsia"/>
          <w:color w:val="000000"/>
          <w:kern w:val="0"/>
          <w:sz w:val="33"/>
          <w:szCs w:val="33"/>
          <w:shd w:val="clear" w:color="auto" w:fill="FFFFFF"/>
          <w:lang w:val="zh-CN"/>
        </w:rPr>
        <w:t>个：攀枝花市事业单位登记管理服务中心，为参照公务员法管理的事业单位。</w:t>
      </w:r>
    </w:p>
    <w:p w:rsidR="007F5EC8" w:rsidRDefault="00F75C99">
      <w:pPr>
        <w:widowControl/>
        <w:adjustRightInd w:val="0"/>
        <w:snapToGrid w:val="0"/>
        <w:spacing w:line="580" w:lineRule="exact"/>
        <w:ind w:firstLineChars="200" w:firstLine="660"/>
        <w:contextualSpacing/>
        <w:jc w:val="left"/>
        <w:rPr>
          <w:rFonts w:ascii="方正楷体_GBK" w:eastAsia="方正楷体_GBK" w:hAnsi="方正楷体_GBK" w:cs="方正楷体_GBK"/>
          <w:color w:val="000000"/>
          <w:kern w:val="0"/>
          <w:sz w:val="33"/>
          <w:szCs w:val="33"/>
          <w:shd w:val="clear" w:color="auto" w:fill="FFFFFF"/>
          <w:lang w:val="zh-CN"/>
        </w:rPr>
      </w:pPr>
      <w:r>
        <w:rPr>
          <w:rFonts w:ascii="方正楷体_GBK" w:eastAsia="方正楷体_GBK" w:hAnsi="方正楷体_GBK" w:cs="方正楷体_GBK" w:hint="eastAsia"/>
          <w:color w:val="000000"/>
          <w:kern w:val="0"/>
          <w:sz w:val="33"/>
          <w:szCs w:val="33"/>
          <w:shd w:val="clear" w:color="auto" w:fill="FFFFFF"/>
          <w:lang w:val="zh-CN"/>
        </w:rPr>
        <w:t>（二）机构职能和人员概况</w:t>
      </w:r>
    </w:p>
    <w:p w:rsidR="007F5EC8" w:rsidRDefault="00F75C99">
      <w:pPr>
        <w:snapToGrid w:val="0"/>
        <w:spacing w:line="576" w:lineRule="exact"/>
        <w:ind w:firstLineChars="200" w:firstLine="640"/>
        <w:rPr>
          <w:rFonts w:eastAsia="方正仿宋_GBK"/>
          <w:sz w:val="32"/>
          <w:szCs w:val="32"/>
        </w:rPr>
      </w:pPr>
      <w:r>
        <w:rPr>
          <w:rFonts w:eastAsia="方正仿宋_GBK" w:hint="eastAsia"/>
          <w:sz w:val="32"/>
          <w:szCs w:val="32"/>
        </w:rPr>
        <w:t>市委编办是在市委编委领导下负责全市行政管理体制和机构改革、事业单位改革及机构编制管理的工作部门，主要职能：</w:t>
      </w:r>
      <w:r>
        <w:rPr>
          <w:rFonts w:eastAsia="方正仿宋_GBK" w:hint="eastAsia"/>
          <w:b/>
          <w:sz w:val="32"/>
          <w:szCs w:val="32"/>
        </w:rPr>
        <w:t>一是</w:t>
      </w:r>
      <w:r>
        <w:rPr>
          <w:rFonts w:eastAsia="方正仿宋_GBK"/>
          <w:sz w:val="32"/>
          <w:szCs w:val="32"/>
        </w:rPr>
        <w:t>贯彻执行中央、省行政管理体制改革和机构改革、事业单位改革及机构编制管理的方针政策和法律法规</w:t>
      </w:r>
      <w:r>
        <w:rPr>
          <w:rFonts w:eastAsia="方正仿宋_GBK"/>
          <w:sz w:val="32"/>
          <w:szCs w:val="32"/>
        </w:rPr>
        <w:t>,</w:t>
      </w:r>
      <w:r>
        <w:rPr>
          <w:rFonts w:eastAsia="方正仿宋_GBK"/>
          <w:sz w:val="32"/>
          <w:szCs w:val="32"/>
        </w:rPr>
        <w:t>制定相关政策并监督实施。</w:t>
      </w:r>
      <w:r>
        <w:rPr>
          <w:rFonts w:eastAsia="方正仿宋_GBK" w:hint="eastAsia"/>
          <w:b/>
          <w:sz w:val="32"/>
          <w:szCs w:val="32"/>
        </w:rPr>
        <w:t>二是</w:t>
      </w:r>
      <w:r>
        <w:rPr>
          <w:rFonts w:eastAsia="方正仿宋_GBK"/>
          <w:sz w:val="32"/>
          <w:szCs w:val="32"/>
        </w:rPr>
        <w:t>拟订全市各级行政编制、政法专项编制总额分配方案</w:t>
      </w:r>
      <w:r>
        <w:rPr>
          <w:rFonts w:eastAsia="方正仿宋_GBK"/>
          <w:sz w:val="32"/>
          <w:szCs w:val="32"/>
        </w:rPr>
        <w:t>,</w:t>
      </w:r>
      <w:r>
        <w:rPr>
          <w:rFonts w:eastAsia="方正仿宋_GBK"/>
          <w:sz w:val="32"/>
          <w:szCs w:val="32"/>
        </w:rPr>
        <w:t>审核跨层级调整行政编制事项。负责全市行政事业编制总量控制，会同有关部门严格控制财政供养人员。对市级机关及市属事业单位使用空缺编制补充人</w:t>
      </w:r>
      <w:r>
        <w:rPr>
          <w:rFonts w:eastAsia="方正仿宋_GBK"/>
          <w:sz w:val="32"/>
          <w:szCs w:val="32"/>
        </w:rPr>
        <w:lastRenderedPageBreak/>
        <w:t>员进行核批。</w:t>
      </w:r>
      <w:r>
        <w:rPr>
          <w:rFonts w:eastAsia="方正仿宋_GBK" w:hint="eastAsia"/>
          <w:b/>
          <w:sz w:val="32"/>
          <w:szCs w:val="32"/>
        </w:rPr>
        <w:t>三是</w:t>
      </w:r>
      <w:r>
        <w:rPr>
          <w:rFonts w:eastAsia="方正仿宋_GBK"/>
          <w:sz w:val="32"/>
          <w:szCs w:val="32"/>
        </w:rPr>
        <w:t>研究拟订全市行政管理体制改革和机构改革方案，执行改革方案并评估改革效果。参与行政审批制度改革和行政区划调整的有关工作。负责市级机关以及其他行政机构的机构编制管理工作。协调市级各部门之间以及市级各部门与县（区）之间的职责分工。</w:t>
      </w:r>
      <w:r>
        <w:rPr>
          <w:rFonts w:eastAsia="方正仿宋_GBK" w:hint="eastAsia"/>
          <w:b/>
          <w:sz w:val="32"/>
          <w:szCs w:val="32"/>
        </w:rPr>
        <w:t>四是</w:t>
      </w:r>
      <w:r>
        <w:rPr>
          <w:rFonts w:eastAsia="方正仿宋_GBK"/>
          <w:sz w:val="32"/>
          <w:szCs w:val="32"/>
        </w:rPr>
        <w:t>拟订全市事业单位改革方案及相关配套政策，审核市属事业单位机构编制方案，评估改革效果。负责市属事业单位的机构编制管理工作。</w:t>
      </w:r>
      <w:r>
        <w:rPr>
          <w:rFonts w:eastAsia="方正仿宋_GBK" w:hint="eastAsia"/>
          <w:b/>
          <w:sz w:val="32"/>
          <w:szCs w:val="32"/>
        </w:rPr>
        <w:t>五是</w:t>
      </w:r>
      <w:r>
        <w:rPr>
          <w:rFonts w:eastAsia="方正仿宋_GBK"/>
          <w:sz w:val="32"/>
          <w:szCs w:val="32"/>
        </w:rPr>
        <w:t>监督检查全市各级行政管理体制改革和机构改革方案及机构编制规定执行情况，建立机构编制工作考核评估制度</w:t>
      </w:r>
      <w:r>
        <w:rPr>
          <w:rFonts w:eastAsia="方正仿宋_GBK"/>
          <w:sz w:val="32"/>
          <w:szCs w:val="32"/>
        </w:rPr>
        <w:t>,</w:t>
      </w:r>
      <w:r>
        <w:rPr>
          <w:rFonts w:eastAsia="方正仿宋_GBK"/>
          <w:sz w:val="32"/>
          <w:szCs w:val="32"/>
        </w:rPr>
        <w:t>会同有关部门查处机构编制违法违纪行为。</w:t>
      </w:r>
      <w:r>
        <w:rPr>
          <w:rFonts w:eastAsia="方正仿宋_GBK" w:hint="eastAsia"/>
          <w:b/>
          <w:sz w:val="32"/>
          <w:szCs w:val="32"/>
        </w:rPr>
        <w:t>六是</w:t>
      </w:r>
      <w:r>
        <w:rPr>
          <w:rFonts w:eastAsia="方正仿宋_GBK"/>
          <w:sz w:val="32"/>
          <w:szCs w:val="32"/>
        </w:rPr>
        <w:t>监督检查全市事业单位登记管理工作。</w:t>
      </w:r>
      <w:r>
        <w:rPr>
          <w:rFonts w:eastAsia="方正仿宋_GBK" w:hint="eastAsia"/>
          <w:b/>
          <w:sz w:val="32"/>
          <w:szCs w:val="32"/>
        </w:rPr>
        <w:t>七是</w:t>
      </w:r>
      <w:r>
        <w:rPr>
          <w:rFonts w:eastAsia="方正仿宋_GBK"/>
          <w:sz w:val="32"/>
          <w:szCs w:val="32"/>
        </w:rPr>
        <w:t>指导县（区）机构编制管理工作，审核县（区）、乡（镇）机构改革方案，县</w:t>
      </w:r>
      <w:r>
        <w:rPr>
          <w:rFonts w:eastAsia="方正仿宋_GBK"/>
          <w:sz w:val="32"/>
          <w:szCs w:val="32"/>
        </w:rPr>
        <w:t>(</w:t>
      </w:r>
      <w:r>
        <w:rPr>
          <w:rFonts w:eastAsia="方正仿宋_GBK"/>
          <w:sz w:val="32"/>
          <w:szCs w:val="32"/>
        </w:rPr>
        <w:t>区</w:t>
      </w:r>
      <w:r>
        <w:rPr>
          <w:rFonts w:eastAsia="方正仿宋_GBK"/>
          <w:sz w:val="32"/>
          <w:szCs w:val="32"/>
        </w:rPr>
        <w:t xml:space="preserve">) </w:t>
      </w:r>
      <w:r>
        <w:rPr>
          <w:rFonts w:eastAsia="方正仿宋_GBK"/>
          <w:sz w:val="32"/>
          <w:szCs w:val="32"/>
        </w:rPr>
        <w:t>、乡（镇）事业单位改革总体方案以及县（区）副科级及以上党政群机构和事业机构的设置、调整。</w:t>
      </w:r>
      <w:r>
        <w:rPr>
          <w:rFonts w:eastAsia="方正仿宋_GBK" w:hint="eastAsia"/>
          <w:b/>
          <w:sz w:val="32"/>
          <w:szCs w:val="32"/>
        </w:rPr>
        <w:t>八是</w:t>
      </w:r>
      <w:r>
        <w:rPr>
          <w:rFonts w:eastAsia="方正仿宋_GBK"/>
          <w:sz w:val="32"/>
          <w:szCs w:val="32"/>
        </w:rPr>
        <w:t>承办市委、市政府和市委编委交办的其他工作。</w:t>
      </w:r>
    </w:p>
    <w:p w:rsidR="007F5EC8" w:rsidRDefault="00F75C99">
      <w:pPr>
        <w:snapToGrid w:val="0"/>
        <w:spacing w:line="576" w:lineRule="exact"/>
        <w:ind w:firstLineChars="200" w:firstLine="660"/>
        <w:rPr>
          <w:rFonts w:eastAsia="方正仿宋_GBK"/>
          <w:sz w:val="33"/>
          <w:szCs w:val="33"/>
        </w:rPr>
      </w:pPr>
      <w:r>
        <w:rPr>
          <w:rFonts w:eastAsia="方正仿宋_GBK"/>
          <w:sz w:val="33"/>
          <w:szCs w:val="33"/>
        </w:rPr>
        <w:t>2022</w:t>
      </w:r>
      <w:r>
        <w:rPr>
          <w:rFonts w:eastAsia="方正仿宋_GBK"/>
          <w:sz w:val="33"/>
          <w:szCs w:val="33"/>
        </w:rPr>
        <w:t>年末，我办共有</w:t>
      </w:r>
      <w:r>
        <w:rPr>
          <w:rFonts w:eastAsia="方正仿宋_GBK"/>
          <w:sz w:val="33"/>
          <w:szCs w:val="33"/>
        </w:rPr>
        <w:t>35</w:t>
      </w:r>
      <w:r>
        <w:rPr>
          <w:rFonts w:eastAsia="方正仿宋_GBK"/>
          <w:sz w:val="33"/>
          <w:szCs w:val="33"/>
        </w:rPr>
        <w:t>人，其中：公务员</w:t>
      </w:r>
      <w:r>
        <w:rPr>
          <w:rFonts w:eastAsia="方正仿宋_GBK"/>
          <w:sz w:val="33"/>
          <w:szCs w:val="33"/>
        </w:rPr>
        <w:t>16</w:t>
      </w:r>
      <w:r>
        <w:rPr>
          <w:rFonts w:eastAsia="方正仿宋_GBK"/>
          <w:sz w:val="33"/>
          <w:szCs w:val="33"/>
        </w:rPr>
        <w:t>人（其中</w:t>
      </w:r>
      <w:r>
        <w:rPr>
          <w:rFonts w:eastAsia="方正仿宋_GBK"/>
          <w:sz w:val="33"/>
          <w:szCs w:val="33"/>
        </w:rPr>
        <w:t>1</w:t>
      </w:r>
      <w:r>
        <w:rPr>
          <w:rFonts w:eastAsia="方正仿宋_GBK"/>
          <w:sz w:val="33"/>
          <w:szCs w:val="33"/>
        </w:rPr>
        <w:t>人为占编人员）；参公事业人员</w:t>
      </w:r>
      <w:r>
        <w:rPr>
          <w:rFonts w:eastAsia="方正仿宋_GBK"/>
          <w:sz w:val="33"/>
          <w:szCs w:val="33"/>
        </w:rPr>
        <w:t>6</w:t>
      </w:r>
      <w:r>
        <w:rPr>
          <w:rFonts w:eastAsia="方正仿宋_GBK"/>
          <w:sz w:val="33"/>
          <w:szCs w:val="33"/>
        </w:rPr>
        <w:t>人；机关工勤</w:t>
      </w:r>
      <w:r>
        <w:rPr>
          <w:rFonts w:eastAsia="方正仿宋_GBK"/>
          <w:sz w:val="33"/>
          <w:szCs w:val="33"/>
        </w:rPr>
        <w:t>3</w:t>
      </w:r>
      <w:r>
        <w:rPr>
          <w:rFonts w:eastAsia="方正仿宋_GBK"/>
          <w:sz w:val="33"/>
          <w:szCs w:val="33"/>
        </w:rPr>
        <w:t>人（其中</w:t>
      </w:r>
      <w:r>
        <w:rPr>
          <w:rFonts w:eastAsia="方正仿宋_GBK"/>
          <w:sz w:val="33"/>
          <w:szCs w:val="33"/>
        </w:rPr>
        <w:t>86</w:t>
      </w:r>
      <w:r>
        <w:rPr>
          <w:rFonts w:eastAsia="方正仿宋_GBK"/>
          <w:sz w:val="33"/>
          <w:szCs w:val="33"/>
        </w:rPr>
        <w:t>号文聘用</w:t>
      </w:r>
      <w:r>
        <w:rPr>
          <w:rFonts w:eastAsia="方正仿宋_GBK"/>
          <w:sz w:val="33"/>
          <w:szCs w:val="33"/>
        </w:rPr>
        <w:t>1</w:t>
      </w:r>
      <w:r>
        <w:rPr>
          <w:rFonts w:eastAsia="方正仿宋_GBK"/>
          <w:sz w:val="33"/>
          <w:szCs w:val="33"/>
        </w:rPr>
        <w:t>人）；退休人员</w:t>
      </w:r>
      <w:r>
        <w:rPr>
          <w:rFonts w:eastAsia="方正仿宋_GBK"/>
          <w:sz w:val="33"/>
          <w:szCs w:val="33"/>
        </w:rPr>
        <w:t>10</w:t>
      </w:r>
      <w:r>
        <w:rPr>
          <w:rFonts w:eastAsia="方正仿宋_GBK"/>
          <w:sz w:val="33"/>
          <w:szCs w:val="33"/>
        </w:rPr>
        <w:t>人。</w:t>
      </w:r>
    </w:p>
    <w:p w:rsidR="007F5EC8" w:rsidRDefault="00F75C99" w:rsidP="00F75C99">
      <w:pPr>
        <w:pStyle w:val="a0"/>
        <w:numPr>
          <w:ilvl w:val="0"/>
          <w:numId w:val="4"/>
        </w:numPr>
        <w:spacing w:before="93"/>
        <w:rPr>
          <w:rFonts w:ascii="方正楷体_GBK" w:eastAsia="方正楷体_GBK" w:hAnsi="方正楷体_GBK" w:cs="方正楷体_GBK"/>
          <w:color w:val="000000"/>
          <w:sz w:val="33"/>
          <w:szCs w:val="33"/>
          <w:shd w:val="clear" w:color="auto" w:fill="FFFFFF"/>
          <w:lang w:val="zh-CN"/>
        </w:rPr>
      </w:pPr>
      <w:r>
        <w:rPr>
          <w:rFonts w:ascii="方正楷体_GBK" w:eastAsia="方正楷体_GBK" w:hAnsi="方正楷体_GBK" w:cs="方正楷体_GBK" w:hint="eastAsia"/>
          <w:color w:val="000000"/>
          <w:sz w:val="33"/>
          <w:szCs w:val="33"/>
          <w:shd w:val="clear" w:color="auto" w:fill="FFFFFF"/>
          <w:lang w:val="zh-CN"/>
        </w:rPr>
        <w:t>年度主要工作任务</w:t>
      </w:r>
    </w:p>
    <w:p w:rsidR="007F5EC8" w:rsidRDefault="00F75C99" w:rsidP="00F75C99">
      <w:pPr>
        <w:spacing w:line="576" w:lineRule="exact"/>
        <w:ind w:firstLineChars="200" w:firstLine="660"/>
        <w:rPr>
          <w:rFonts w:ascii="方正楷体_GBK" w:eastAsia="方正楷体_GBK"/>
          <w:b/>
          <w:sz w:val="33"/>
          <w:szCs w:val="33"/>
        </w:rPr>
      </w:pPr>
      <w:r>
        <w:rPr>
          <w:rFonts w:ascii="方正楷体_GBK" w:eastAsia="方正楷体_GBK" w:hint="eastAsia"/>
          <w:b/>
          <w:sz w:val="33"/>
          <w:szCs w:val="33"/>
        </w:rPr>
        <w:t>1.围绕中心大局，全力保障好经济社会发展的机构编制需求</w:t>
      </w:r>
    </w:p>
    <w:p w:rsidR="007F5EC8" w:rsidRDefault="00F75C99">
      <w:pPr>
        <w:spacing w:line="576" w:lineRule="exact"/>
        <w:ind w:firstLine="660"/>
        <w:rPr>
          <w:rFonts w:eastAsia="方正仿宋_GBK"/>
          <w:sz w:val="33"/>
          <w:szCs w:val="33"/>
        </w:rPr>
      </w:pPr>
      <w:r>
        <w:rPr>
          <w:rFonts w:eastAsia="方正仿宋_GBK" w:hint="eastAsia"/>
          <w:b/>
          <w:bCs/>
          <w:sz w:val="33"/>
          <w:szCs w:val="33"/>
        </w:rPr>
        <w:t>一是有力加强市委中心工作保障。</w:t>
      </w:r>
      <w:r>
        <w:rPr>
          <w:rFonts w:eastAsia="方正仿宋_GBK" w:hint="eastAsia"/>
          <w:sz w:val="33"/>
          <w:szCs w:val="33"/>
        </w:rPr>
        <w:t>按照省委十二届二次全会对攀枝花市的新定位、新要求，组建了负责</w:t>
      </w:r>
      <w:r>
        <w:rPr>
          <w:rFonts w:eastAsia="方正仿宋_GBK"/>
          <w:color w:val="000000"/>
          <w:sz w:val="33"/>
          <w:szCs w:val="33"/>
        </w:rPr>
        <w:t>攀枝花</w:t>
      </w:r>
      <w:r>
        <w:rPr>
          <w:rFonts w:eastAsia="方正仿宋_GBK"/>
          <w:color w:val="000000"/>
          <w:sz w:val="33"/>
          <w:szCs w:val="33"/>
        </w:rPr>
        <w:lastRenderedPageBreak/>
        <w:t>建设共同富裕试验区</w:t>
      </w:r>
      <w:r>
        <w:rPr>
          <w:rFonts w:eastAsia="方正仿宋_GBK" w:hint="eastAsia"/>
          <w:color w:val="000000"/>
          <w:sz w:val="33"/>
          <w:szCs w:val="33"/>
        </w:rPr>
        <w:t>的办事机构，明确了</w:t>
      </w:r>
      <w:r>
        <w:rPr>
          <w:rFonts w:eastAsia="方正仿宋_GBK" w:hint="eastAsia"/>
          <w:sz w:val="33"/>
          <w:szCs w:val="33"/>
        </w:rPr>
        <w:t>领导职数、职能职责和编制配备。持续做好“两城”一体化后续工作，对钒钛高新区管委会内设机构、市直</w:t>
      </w:r>
      <w:r>
        <w:rPr>
          <w:rFonts w:eastAsia="方正仿宋_GBK"/>
          <w:sz w:val="33"/>
          <w:szCs w:val="33"/>
        </w:rPr>
        <w:t>部门涉及钒钛高新区的内设机构和派出机构</w:t>
      </w:r>
      <w:r>
        <w:rPr>
          <w:rFonts w:eastAsia="方正仿宋_GBK" w:hint="eastAsia"/>
          <w:sz w:val="33"/>
          <w:szCs w:val="33"/>
        </w:rPr>
        <w:t>进行系统调整优化</w:t>
      </w:r>
      <w:r>
        <w:rPr>
          <w:rFonts w:eastAsia="方正仿宋_GBK"/>
          <w:sz w:val="33"/>
          <w:szCs w:val="33"/>
        </w:rPr>
        <w:t>，</w:t>
      </w:r>
      <w:r>
        <w:rPr>
          <w:rFonts w:eastAsia="方正仿宋_GBK" w:hint="eastAsia"/>
          <w:sz w:val="33"/>
          <w:szCs w:val="33"/>
        </w:rPr>
        <w:t>不断钒钛高新区体制机制“瘦身”“健身”</w:t>
      </w:r>
      <w:r>
        <w:rPr>
          <w:rFonts w:eastAsia="方正仿宋_GBK"/>
          <w:sz w:val="33"/>
          <w:szCs w:val="33"/>
        </w:rPr>
        <w:t>。</w:t>
      </w:r>
      <w:r>
        <w:rPr>
          <w:rFonts w:eastAsia="方正仿宋_GBK" w:hint="eastAsia"/>
          <w:sz w:val="33"/>
          <w:szCs w:val="33"/>
        </w:rPr>
        <w:t>持续清理市本级议事协调机构，通过控增、合并、撤销等措施，市本级总数目前未超过</w:t>
      </w:r>
      <w:r>
        <w:rPr>
          <w:rFonts w:eastAsia="方正仿宋_GBK"/>
          <w:sz w:val="33"/>
          <w:szCs w:val="33"/>
        </w:rPr>
        <w:t>2018</w:t>
      </w:r>
      <w:r>
        <w:rPr>
          <w:rFonts w:eastAsia="方正仿宋_GBK"/>
          <w:sz w:val="33"/>
          <w:szCs w:val="33"/>
        </w:rPr>
        <w:t>年</w:t>
      </w:r>
      <w:r>
        <w:rPr>
          <w:rFonts w:eastAsia="方正仿宋_GBK" w:hint="eastAsia"/>
          <w:sz w:val="33"/>
          <w:szCs w:val="33"/>
        </w:rPr>
        <w:t>的</w:t>
      </w:r>
      <w:r>
        <w:rPr>
          <w:rFonts w:eastAsia="方正仿宋_GBK" w:hint="eastAsia"/>
          <w:sz w:val="33"/>
          <w:szCs w:val="33"/>
        </w:rPr>
        <w:t>207</w:t>
      </w:r>
      <w:r>
        <w:rPr>
          <w:rFonts w:eastAsia="方正仿宋_GBK" w:hint="eastAsia"/>
          <w:sz w:val="33"/>
          <w:szCs w:val="33"/>
        </w:rPr>
        <w:t>个，各县（区）数量均控制在</w:t>
      </w:r>
      <w:r>
        <w:rPr>
          <w:rFonts w:eastAsia="方正仿宋_GBK" w:hint="eastAsia"/>
          <w:sz w:val="33"/>
          <w:szCs w:val="33"/>
        </w:rPr>
        <w:t>2018</w:t>
      </w:r>
      <w:r>
        <w:rPr>
          <w:rFonts w:eastAsia="方正仿宋_GBK" w:hint="eastAsia"/>
          <w:sz w:val="33"/>
          <w:szCs w:val="33"/>
        </w:rPr>
        <w:t>年平均数</w:t>
      </w:r>
      <w:r>
        <w:rPr>
          <w:rFonts w:eastAsia="方正仿宋_GBK" w:hint="eastAsia"/>
          <w:sz w:val="33"/>
          <w:szCs w:val="33"/>
        </w:rPr>
        <w:t>145</w:t>
      </w:r>
      <w:r>
        <w:rPr>
          <w:rFonts w:eastAsia="方正仿宋_GBK" w:hint="eastAsia"/>
          <w:sz w:val="33"/>
          <w:szCs w:val="33"/>
        </w:rPr>
        <w:t>个内。</w:t>
      </w:r>
    </w:p>
    <w:p w:rsidR="007F5EC8" w:rsidRDefault="00F75C99">
      <w:pPr>
        <w:spacing w:line="576" w:lineRule="exact"/>
        <w:ind w:firstLine="660"/>
        <w:rPr>
          <w:rFonts w:ascii="方正仿宋_GBK" w:eastAsia="方正仿宋_GBK" w:cs="方正仿宋_GBK"/>
          <w:sz w:val="33"/>
          <w:szCs w:val="33"/>
        </w:rPr>
      </w:pPr>
      <w:r>
        <w:rPr>
          <w:rFonts w:eastAsia="方正仿宋_GBK" w:hint="eastAsia"/>
          <w:b/>
          <w:bCs/>
          <w:sz w:val="33"/>
          <w:szCs w:val="33"/>
        </w:rPr>
        <w:t>二是持续健全党的全面领导制度。</w:t>
      </w:r>
      <w:r>
        <w:rPr>
          <w:rFonts w:eastAsia="方正仿宋_GBK" w:hint="eastAsia"/>
          <w:sz w:val="33"/>
          <w:szCs w:val="33"/>
        </w:rPr>
        <w:t>按照党中央、省委统一部署，依法为市</w:t>
      </w:r>
      <w:r>
        <w:rPr>
          <w:rFonts w:eastAsia="方正仿宋_GBK"/>
          <w:kern w:val="36"/>
          <w:sz w:val="33"/>
          <w:szCs w:val="33"/>
        </w:rPr>
        <w:t>人大常委会设立预算工作委员会，</w:t>
      </w:r>
      <w:r>
        <w:rPr>
          <w:rFonts w:ascii="方正仿宋_GBK" w:eastAsia="方正仿宋_GBK" w:cs="方正仿宋_GBK" w:hint="eastAsia"/>
          <w:sz w:val="33"/>
          <w:szCs w:val="33"/>
        </w:rPr>
        <w:t>优化</w:t>
      </w:r>
      <w:r>
        <w:rPr>
          <w:rFonts w:eastAsia="方正仿宋_GBK" w:hint="eastAsia"/>
          <w:sz w:val="33"/>
          <w:szCs w:val="33"/>
        </w:rPr>
        <w:t>市委国家安全机构设置，</w:t>
      </w:r>
      <w:r>
        <w:rPr>
          <w:rFonts w:ascii="方正仿宋_GBK" w:eastAsia="方正仿宋_GBK" w:hint="eastAsia"/>
          <w:sz w:val="33"/>
          <w:szCs w:val="33"/>
        </w:rPr>
        <w:t>健全市县两级民族宗教领导职数设置，</w:t>
      </w:r>
      <w:r>
        <w:rPr>
          <w:rFonts w:eastAsia="方正仿宋_GBK" w:hint="eastAsia"/>
          <w:kern w:val="36"/>
          <w:sz w:val="33"/>
          <w:szCs w:val="33"/>
        </w:rPr>
        <w:t>针对部门需求和客观实际科学配强人员编制，确保工作力量充足、不减弱</w:t>
      </w:r>
      <w:r>
        <w:rPr>
          <w:rFonts w:eastAsia="方正仿宋_GBK"/>
          <w:sz w:val="33"/>
          <w:szCs w:val="33"/>
        </w:rPr>
        <w:t>。</w:t>
      </w:r>
      <w:r>
        <w:rPr>
          <w:rFonts w:ascii="方正仿宋_GBK" w:eastAsia="方正仿宋_GBK" w:cs="方正仿宋_GBK" w:hint="eastAsia"/>
          <w:sz w:val="33"/>
          <w:szCs w:val="33"/>
        </w:rPr>
        <w:t>修订完善部分群团“三定”规定，对沿用多年的团市委、市文联等</w:t>
      </w:r>
      <w:r>
        <w:rPr>
          <w:rFonts w:eastAsia="方正仿宋_GBK"/>
          <w:sz w:val="33"/>
          <w:szCs w:val="33"/>
        </w:rPr>
        <w:t>4</w:t>
      </w:r>
      <w:r>
        <w:rPr>
          <w:rFonts w:eastAsia="方正仿宋_GBK"/>
          <w:sz w:val="33"/>
          <w:szCs w:val="33"/>
        </w:rPr>
        <w:t>个</w:t>
      </w:r>
      <w:r>
        <w:rPr>
          <w:rFonts w:ascii="方正仿宋_GBK" w:eastAsia="方正仿宋_GBK" w:cs="方正仿宋_GBK" w:hint="eastAsia"/>
          <w:sz w:val="33"/>
          <w:szCs w:val="33"/>
        </w:rPr>
        <w:t>部门“三定”规定已按程序完成修订。落实党委领导下的行政领导人负责制单位党组织及纪检领导职数设置要求，</w:t>
      </w:r>
      <w:r>
        <w:rPr>
          <w:rFonts w:eastAsia="方正仿宋_GBK"/>
          <w:sz w:val="33"/>
          <w:szCs w:val="33"/>
        </w:rPr>
        <w:t>建立中小学校党组织领导的校长负责制，</w:t>
      </w:r>
      <w:r>
        <w:rPr>
          <w:rFonts w:ascii="方正仿宋_GBK" w:eastAsia="方正仿宋_GBK" w:cs="方正仿宋_GBK" w:hint="eastAsia"/>
          <w:sz w:val="33"/>
          <w:szCs w:val="33"/>
        </w:rPr>
        <w:t>完善</w:t>
      </w:r>
      <w:r>
        <w:rPr>
          <w:rFonts w:eastAsia="方正仿宋_GBK"/>
          <w:sz w:val="33"/>
          <w:szCs w:val="33"/>
        </w:rPr>
        <w:t>4</w:t>
      </w:r>
      <w:r>
        <w:rPr>
          <w:rFonts w:eastAsia="方正仿宋_GBK"/>
          <w:sz w:val="33"/>
          <w:szCs w:val="33"/>
        </w:rPr>
        <w:t>个市属事业单位党内领导职数</w:t>
      </w:r>
      <w:r>
        <w:rPr>
          <w:rFonts w:eastAsia="方正仿宋_GBK" w:hint="eastAsia"/>
          <w:sz w:val="33"/>
          <w:szCs w:val="33"/>
        </w:rPr>
        <w:t>、</w:t>
      </w:r>
      <w:r>
        <w:rPr>
          <w:rFonts w:eastAsia="方正仿宋_GBK"/>
          <w:sz w:val="33"/>
          <w:szCs w:val="33"/>
        </w:rPr>
        <w:t>11</w:t>
      </w:r>
      <w:r>
        <w:rPr>
          <w:rFonts w:eastAsia="方正仿宋_GBK"/>
          <w:sz w:val="33"/>
          <w:szCs w:val="33"/>
        </w:rPr>
        <w:t>个</w:t>
      </w:r>
      <w:r>
        <w:rPr>
          <w:rFonts w:ascii="方正仿宋_GBK" w:eastAsia="方正仿宋_GBK" w:cs="方正仿宋_GBK" w:hint="eastAsia"/>
          <w:sz w:val="33"/>
          <w:szCs w:val="33"/>
        </w:rPr>
        <w:t>市属中小学校（含中职学校和公办幼儿园）党政领导职数及其党务工作机构设置。</w:t>
      </w:r>
    </w:p>
    <w:p w:rsidR="007F5EC8" w:rsidRDefault="00F75C99">
      <w:pPr>
        <w:spacing w:line="576" w:lineRule="exact"/>
        <w:ind w:firstLine="660"/>
        <w:rPr>
          <w:rFonts w:eastAsia="方正仿宋_GBK"/>
          <w:kern w:val="0"/>
          <w:sz w:val="33"/>
          <w:szCs w:val="33"/>
        </w:rPr>
      </w:pPr>
      <w:r>
        <w:rPr>
          <w:rFonts w:eastAsia="方正仿宋_GBK" w:hint="eastAsia"/>
          <w:b/>
          <w:bCs/>
          <w:sz w:val="33"/>
          <w:szCs w:val="33"/>
        </w:rPr>
        <w:t>三是广泛深入开展</w:t>
      </w:r>
      <w:r>
        <w:rPr>
          <w:rFonts w:ascii="方正仿宋_GBK" w:eastAsia="方正仿宋_GBK" w:hint="eastAsia"/>
          <w:b/>
          <w:bCs/>
          <w:sz w:val="33"/>
          <w:szCs w:val="33"/>
        </w:rPr>
        <w:t>调查研究。</w:t>
      </w:r>
      <w:r>
        <w:rPr>
          <w:rFonts w:ascii="方正仿宋_GBK" w:eastAsia="方正仿宋_GBK" w:hint="eastAsia"/>
          <w:sz w:val="33"/>
          <w:szCs w:val="33"/>
        </w:rPr>
        <w:t>全年形成《</w:t>
      </w:r>
      <w:r>
        <w:rPr>
          <w:rFonts w:ascii="方正仿宋_GBK" w:eastAsia="方正仿宋_GBK" w:hint="eastAsia"/>
          <w:sz w:val="33"/>
          <w:szCs w:val="33"/>
          <w:lang w:val="en"/>
        </w:rPr>
        <w:t>两项改革“后半篇”文章优化乡镇机构编制资源工作调研分析报告</w:t>
      </w:r>
      <w:r>
        <w:rPr>
          <w:rFonts w:ascii="方正仿宋_GBK" w:eastAsia="方正仿宋_GBK" w:hint="eastAsia"/>
          <w:sz w:val="33"/>
          <w:szCs w:val="33"/>
        </w:rPr>
        <w:t>》《聚焦“扁平化”管理创新、提升基层治理效能》等多篇调研报告，其中</w:t>
      </w:r>
      <w:r>
        <w:rPr>
          <w:rFonts w:eastAsia="方正仿宋_GBK"/>
          <w:kern w:val="0"/>
          <w:sz w:val="33"/>
          <w:szCs w:val="33"/>
        </w:rPr>
        <w:t>“</w:t>
      </w:r>
      <w:r>
        <w:rPr>
          <w:rFonts w:eastAsia="方正仿宋_GBK"/>
          <w:kern w:val="0"/>
          <w:sz w:val="33"/>
          <w:szCs w:val="33"/>
        </w:rPr>
        <w:t>扁平化</w:t>
      </w:r>
      <w:r>
        <w:rPr>
          <w:rFonts w:eastAsia="方正仿宋_GBK"/>
          <w:kern w:val="0"/>
          <w:sz w:val="33"/>
          <w:szCs w:val="33"/>
        </w:rPr>
        <w:t>”</w:t>
      </w:r>
      <w:r>
        <w:rPr>
          <w:rFonts w:eastAsia="方正仿宋_GBK"/>
          <w:kern w:val="0"/>
          <w:sz w:val="33"/>
          <w:szCs w:val="33"/>
        </w:rPr>
        <w:t>创新管理经验专报</w:t>
      </w:r>
      <w:r>
        <w:rPr>
          <w:rFonts w:eastAsia="方正仿宋_GBK" w:hint="eastAsia"/>
          <w:kern w:val="0"/>
          <w:sz w:val="33"/>
          <w:szCs w:val="33"/>
        </w:rPr>
        <w:t>已</w:t>
      </w:r>
      <w:r>
        <w:rPr>
          <w:rFonts w:eastAsia="方正仿宋_GBK"/>
          <w:kern w:val="0"/>
          <w:sz w:val="33"/>
          <w:szCs w:val="33"/>
        </w:rPr>
        <w:t>被省委编办刊载。</w:t>
      </w:r>
    </w:p>
    <w:p w:rsidR="007F5EC8" w:rsidRDefault="00F75C99" w:rsidP="00F75C99">
      <w:pPr>
        <w:spacing w:line="576" w:lineRule="exact"/>
        <w:ind w:firstLineChars="200" w:firstLine="660"/>
        <w:rPr>
          <w:rFonts w:ascii="方正楷体_GBK" w:eastAsia="方正楷体_GBK"/>
          <w:b/>
          <w:sz w:val="33"/>
          <w:szCs w:val="33"/>
        </w:rPr>
      </w:pPr>
      <w:r>
        <w:rPr>
          <w:rFonts w:ascii="方正楷体_GBK" w:eastAsia="方正楷体_GBK" w:hint="eastAsia"/>
          <w:b/>
          <w:sz w:val="33"/>
          <w:szCs w:val="33"/>
        </w:rPr>
        <w:t>2.主动融入改革，构建与高质量发展和高效能治理相适应的机构职能体系</w:t>
      </w:r>
    </w:p>
    <w:p w:rsidR="007F5EC8" w:rsidRDefault="00F75C99" w:rsidP="00F75C99">
      <w:pPr>
        <w:adjustRightInd w:val="0"/>
        <w:snapToGrid w:val="0"/>
        <w:spacing w:line="576" w:lineRule="exact"/>
        <w:ind w:firstLineChars="200" w:firstLine="660"/>
        <w:rPr>
          <w:rFonts w:eastAsia="方正仿宋_GBK"/>
          <w:sz w:val="33"/>
          <w:szCs w:val="33"/>
          <w:lang w:val="en"/>
        </w:rPr>
      </w:pPr>
      <w:r>
        <w:rPr>
          <w:rFonts w:eastAsia="方正仿宋_GBK" w:hint="eastAsia"/>
          <w:b/>
          <w:bCs/>
          <w:sz w:val="33"/>
          <w:szCs w:val="33"/>
        </w:rPr>
        <w:lastRenderedPageBreak/>
        <w:t>一是继续做深做实两项</w:t>
      </w:r>
      <w:r>
        <w:rPr>
          <w:rFonts w:ascii="方正仿宋_GBK" w:eastAsia="方正仿宋_GBK" w:hint="eastAsia"/>
          <w:b/>
          <w:bCs/>
          <w:sz w:val="33"/>
          <w:szCs w:val="33"/>
        </w:rPr>
        <w:t>改革“后半篇”文章。</w:t>
      </w:r>
      <w:r>
        <w:rPr>
          <w:rFonts w:ascii="方正仿宋_GBK" w:eastAsia="方正仿宋_GBK" w:hint="eastAsia"/>
          <w:sz w:val="33"/>
          <w:szCs w:val="33"/>
          <w:lang w:val="en"/>
        </w:rPr>
        <w:t>牵头编制《攀枝花市赋予乡镇（街道）县级行政权力事项承接清单》，</w:t>
      </w:r>
      <w:r>
        <w:rPr>
          <w:rFonts w:ascii="方正仿宋_GBK" w:eastAsia="方正仿宋_GBK" w:hint="eastAsia"/>
          <w:sz w:val="33"/>
          <w:szCs w:val="33"/>
        </w:rPr>
        <w:t>实现</w:t>
      </w:r>
      <w:r>
        <w:rPr>
          <w:rFonts w:ascii="方正仿宋_GBK" w:eastAsia="方正仿宋_GBK" w:hint="eastAsia"/>
          <w:sz w:val="33"/>
          <w:szCs w:val="33"/>
          <w:lang w:val="zh-CN"/>
        </w:rPr>
        <w:t>属地、</w:t>
      </w:r>
      <w:r>
        <w:rPr>
          <w:rFonts w:ascii="方正仿宋_GBK" w:eastAsia="方正仿宋_GBK" w:hint="eastAsia"/>
          <w:sz w:val="33"/>
          <w:szCs w:val="33"/>
        </w:rPr>
        <w:t>主体和配合责任清单“数单”并行，扩充乡镇（街道）承接事项至</w:t>
      </w:r>
      <w:r>
        <w:rPr>
          <w:rFonts w:eastAsia="方正仿宋_GBK"/>
          <w:sz w:val="33"/>
          <w:szCs w:val="33"/>
        </w:rPr>
        <w:t>14</w:t>
      </w:r>
      <w:r>
        <w:rPr>
          <w:rFonts w:eastAsia="方正仿宋_GBK"/>
          <w:sz w:val="33"/>
          <w:szCs w:val="33"/>
        </w:rPr>
        <w:t>个领域</w:t>
      </w:r>
      <w:r>
        <w:rPr>
          <w:rFonts w:eastAsia="方正仿宋_GBK"/>
          <w:sz w:val="33"/>
          <w:szCs w:val="33"/>
        </w:rPr>
        <w:t>178</w:t>
      </w:r>
      <w:r>
        <w:rPr>
          <w:rFonts w:eastAsia="方正仿宋_GBK"/>
          <w:sz w:val="33"/>
          <w:szCs w:val="33"/>
        </w:rPr>
        <w:t>项，乡镇执法</w:t>
      </w:r>
      <w:r>
        <w:rPr>
          <w:rFonts w:eastAsia="方正仿宋_GBK" w:hint="eastAsia"/>
          <w:sz w:val="33"/>
          <w:szCs w:val="33"/>
        </w:rPr>
        <w:t>持证</w:t>
      </w:r>
      <w:r>
        <w:rPr>
          <w:rFonts w:eastAsia="方正仿宋_GBK"/>
          <w:sz w:val="33"/>
          <w:szCs w:val="33"/>
        </w:rPr>
        <w:t>人员同比增长</w:t>
      </w:r>
      <w:r>
        <w:rPr>
          <w:rFonts w:eastAsia="方正仿宋_GBK"/>
          <w:sz w:val="33"/>
          <w:szCs w:val="33"/>
        </w:rPr>
        <w:t>6</w:t>
      </w:r>
      <w:r>
        <w:rPr>
          <w:rFonts w:eastAsia="方正仿宋_GBK"/>
          <w:sz w:val="33"/>
          <w:szCs w:val="33"/>
        </w:rPr>
        <w:t>倍，</w:t>
      </w:r>
      <w:r>
        <w:rPr>
          <w:rFonts w:eastAsia="方正仿宋_GBK" w:hint="eastAsia"/>
          <w:sz w:val="33"/>
          <w:szCs w:val="33"/>
        </w:rPr>
        <w:t>有效</w:t>
      </w:r>
      <w:r>
        <w:rPr>
          <w:rFonts w:eastAsia="方正仿宋_GBK"/>
          <w:sz w:val="33"/>
          <w:szCs w:val="33"/>
        </w:rPr>
        <w:t>破解基层执法权责不一致的问题。</w:t>
      </w:r>
      <w:r>
        <w:rPr>
          <w:rFonts w:eastAsia="方正仿宋_GBK"/>
          <w:kern w:val="0"/>
          <w:sz w:val="33"/>
          <w:szCs w:val="33"/>
        </w:rPr>
        <w:t>理顺县直部门派驻乡镇（街道）机构管理体制，赋予驻地乡镇（街道）日常管理权、协调调度权和考核建议权</w:t>
      </w:r>
      <w:r>
        <w:rPr>
          <w:rFonts w:eastAsia="方正仿宋_GBK" w:hint="eastAsia"/>
          <w:kern w:val="0"/>
          <w:sz w:val="33"/>
          <w:szCs w:val="33"/>
        </w:rPr>
        <w:t>，</w:t>
      </w:r>
      <w:r>
        <w:rPr>
          <w:rFonts w:eastAsia="方正仿宋_GBK"/>
          <w:kern w:val="0"/>
          <w:sz w:val="33"/>
          <w:szCs w:val="33"/>
        </w:rPr>
        <w:t>派驻人员到岗率</w:t>
      </w:r>
      <w:r>
        <w:rPr>
          <w:rFonts w:eastAsia="方正仿宋_GBK" w:hint="eastAsia"/>
          <w:kern w:val="0"/>
          <w:sz w:val="33"/>
          <w:szCs w:val="33"/>
        </w:rPr>
        <w:t>提升至</w:t>
      </w:r>
      <w:r>
        <w:rPr>
          <w:rFonts w:eastAsia="方正仿宋_GBK"/>
          <w:kern w:val="0"/>
          <w:sz w:val="33"/>
          <w:szCs w:val="33"/>
        </w:rPr>
        <w:t>90%</w:t>
      </w:r>
      <w:r>
        <w:rPr>
          <w:rFonts w:eastAsia="方正仿宋_GBK"/>
          <w:kern w:val="0"/>
          <w:sz w:val="33"/>
          <w:szCs w:val="33"/>
        </w:rPr>
        <w:t>。支持西区、仁和区</w:t>
      </w:r>
      <w:r>
        <w:rPr>
          <w:rFonts w:eastAsia="方正仿宋_GBK" w:hint="eastAsia"/>
          <w:kern w:val="0"/>
          <w:sz w:val="33"/>
          <w:szCs w:val="33"/>
        </w:rPr>
        <w:t>分别</w:t>
      </w:r>
      <w:r>
        <w:rPr>
          <w:rFonts w:eastAsia="方正仿宋_GBK"/>
          <w:kern w:val="0"/>
          <w:sz w:val="33"/>
          <w:szCs w:val="33"/>
        </w:rPr>
        <w:t>顺向调整</w:t>
      </w:r>
      <w:r>
        <w:rPr>
          <w:rFonts w:eastAsia="方正仿宋_GBK"/>
          <w:kern w:val="0"/>
          <w:sz w:val="33"/>
          <w:szCs w:val="33"/>
        </w:rPr>
        <w:t>12</w:t>
      </w:r>
      <w:r>
        <w:rPr>
          <w:rFonts w:eastAsia="方正仿宋_GBK"/>
          <w:kern w:val="0"/>
          <w:sz w:val="33"/>
          <w:szCs w:val="33"/>
        </w:rPr>
        <w:t>名</w:t>
      </w:r>
      <w:r>
        <w:rPr>
          <w:rFonts w:eastAsia="方正仿宋_GBK" w:hint="eastAsia"/>
          <w:kern w:val="0"/>
          <w:sz w:val="33"/>
          <w:szCs w:val="33"/>
        </w:rPr>
        <w:t>、</w:t>
      </w:r>
      <w:r>
        <w:rPr>
          <w:rFonts w:eastAsia="方正仿宋_GBK"/>
          <w:kern w:val="0"/>
          <w:sz w:val="33"/>
          <w:szCs w:val="33"/>
        </w:rPr>
        <w:t>19</w:t>
      </w:r>
      <w:r>
        <w:rPr>
          <w:rFonts w:eastAsia="方正仿宋_GBK"/>
          <w:kern w:val="0"/>
          <w:sz w:val="33"/>
          <w:szCs w:val="33"/>
        </w:rPr>
        <w:t>名事业编制到乡镇</w:t>
      </w:r>
      <w:r>
        <w:rPr>
          <w:rFonts w:eastAsia="方正仿宋_GBK" w:hint="eastAsia"/>
          <w:kern w:val="0"/>
          <w:sz w:val="33"/>
          <w:szCs w:val="33"/>
        </w:rPr>
        <w:t>，</w:t>
      </w:r>
      <w:r>
        <w:rPr>
          <w:rFonts w:eastAsia="方正仿宋_GBK"/>
          <w:sz w:val="33"/>
          <w:szCs w:val="33"/>
        </w:rPr>
        <w:t>支持乡镇（街道）机构满编运行</w:t>
      </w:r>
      <w:r>
        <w:rPr>
          <w:rFonts w:eastAsia="方正仿宋_GBK" w:hint="eastAsia"/>
          <w:sz w:val="33"/>
          <w:szCs w:val="33"/>
        </w:rPr>
        <w:t>。积极开展</w:t>
      </w:r>
      <w:r>
        <w:rPr>
          <w:rFonts w:eastAsia="方正仿宋_GBK"/>
          <w:sz w:val="33"/>
          <w:szCs w:val="33"/>
        </w:rPr>
        <w:t>“</w:t>
      </w:r>
      <w:r>
        <w:rPr>
          <w:rFonts w:eastAsia="方正仿宋_GBK"/>
          <w:sz w:val="33"/>
          <w:szCs w:val="33"/>
        </w:rPr>
        <w:t>扁平化</w:t>
      </w:r>
      <w:r>
        <w:rPr>
          <w:rFonts w:eastAsia="方正仿宋_GBK"/>
          <w:sz w:val="33"/>
          <w:szCs w:val="33"/>
        </w:rPr>
        <w:t>”</w:t>
      </w:r>
      <w:r>
        <w:rPr>
          <w:rFonts w:eastAsia="方正仿宋_GBK"/>
          <w:sz w:val="33"/>
          <w:szCs w:val="33"/>
        </w:rPr>
        <w:t>管理试点，</w:t>
      </w:r>
      <w:r>
        <w:rPr>
          <w:rFonts w:eastAsia="方正仿宋_GBK" w:hint="eastAsia"/>
          <w:sz w:val="33"/>
          <w:szCs w:val="33"/>
        </w:rPr>
        <w:t>在</w:t>
      </w:r>
      <w:r>
        <w:rPr>
          <w:rFonts w:eastAsia="方正仿宋_GBK"/>
          <w:sz w:val="33"/>
          <w:szCs w:val="33"/>
        </w:rPr>
        <w:t>仁和区、米易县、盐边县</w:t>
      </w:r>
      <w:r>
        <w:rPr>
          <w:rFonts w:eastAsia="方正仿宋_GBK" w:hint="eastAsia"/>
          <w:sz w:val="33"/>
          <w:szCs w:val="33"/>
        </w:rPr>
        <w:t>乡镇</w:t>
      </w:r>
      <w:r>
        <w:rPr>
          <w:rFonts w:eastAsia="方正仿宋_GBK" w:hint="eastAsia"/>
          <w:sz w:val="33"/>
          <w:szCs w:val="33"/>
          <w:lang w:val="en"/>
        </w:rPr>
        <w:t>推行</w:t>
      </w:r>
      <w:r>
        <w:rPr>
          <w:rFonts w:eastAsia="方正仿宋_GBK"/>
          <w:sz w:val="33"/>
          <w:szCs w:val="33"/>
          <w:lang w:val="en"/>
        </w:rPr>
        <w:t>以党建综合办公室和行政</w:t>
      </w:r>
      <w:r>
        <w:rPr>
          <w:rFonts w:eastAsia="方正仿宋_GBK"/>
          <w:sz w:val="33"/>
          <w:szCs w:val="33"/>
        </w:rPr>
        <w:t>执法大队为基础</w:t>
      </w:r>
      <w:r>
        <w:rPr>
          <w:rFonts w:eastAsia="方正仿宋_GBK" w:hint="eastAsia"/>
          <w:sz w:val="33"/>
          <w:szCs w:val="33"/>
        </w:rPr>
        <w:t>、</w:t>
      </w:r>
      <w:r>
        <w:rPr>
          <w:rFonts w:eastAsia="方正仿宋_GBK"/>
          <w:sz w:val="33"/>
          <w:szCs w:val="33"/>
          <w:lang w:val="en"/>
        </w:rPr>
        <w:t>“</w:t>
      </w:r>
      <w:r>
        <w:rPr>
          <w:rFonts w:eastAsia="方正仿宋_GBK"/>
          <w:sz w:val="33"/>
          <w:szCs w:val="33"/>
          <w:lang w:val="en"/>
        </w:rPr>
        <w:t>条块化</w:t>
      </w:r>
      <w:r>
        <w:rPr>
          <w:rFonts w:eastAsia="方正仿宋_GBK"/>
          <w:sz w:val="33"/>
          <w:szCs w:val="33"/>
          <w:lang w:val="en"/>
        </w:rPr>
        <w:t>”</w:t>
      </w:r>
      <w:r>
        <w:rPr>
          <w:rFonts w:eastAsia="方正仿宋_GBK"/>
          <w:sz w:val="33"/>
          <w:szCs w:val="33"/>
          <w:lang w:val="en"/>
        </w:rPr>
        <w:t>管理</w:t>
      </w:r>
      <w:r>
        <w:rPr>
          <w:rFonts w:eastAsia="方正仿宋_GBK" w:hint="eastAsia"/>
          <w:sz w:val="33"/>
          <w:szCs w:val="33"/>
          <w:lang w:val="en"/>
        </w:rPr>
        <w:t>使用</w:t>
      </w:r>
      <w:r>
        <w:rPr>
          <w:rFonts w:eastAsia="方正仿宋_GBK"/>
          <w:sz w:val="33"/>
          <w:szCs w:val="33"/>
        </w:rPr>
        <w:t>行政编制和事业编制人员</w:t>
      </w:r>
      <w:r>
        <w:rPr>
          <w:rFonts w:eastAsia="方正仿宋_GBK" w:hint="eastAsia"/>
          <w:sz w:val="33"/>
          <w:szCs w:val="33"/>
        </w:rPr>
        <w:t>的新模式，</w:t>
      </w:r>
      <w:r>
        <w:rPr>
          <w:rFonts w:eastAsia="方正仿宋_GBK"/>
          <w:sz w:val="33"/>
          <w:szCs w:val="33"/>
        </w:rPr>
        <w:t>切实</w:t>
      </w:r>
      <w:r>
        <w:rPr>
          <w:rFonts w:eastAsia="方正仿宋_GBK"/>
          <w:sz w:val="33"/>
          <w:szCs w:val="33"/>
          <w:lang w:val="en"/>
        </w:rPr>
        <w:t>提高基层治理效能</w:t>
      </w:r>
      <w:r>
        <w:rPr>
          <w:rFonts w:eastAsia="方正仿宋_GBK" w:hint="eastAsia"/>
          <w:sz w:val="33"/>
          <w:szCs w:val="33"/>
          <w:lang w:val="en"/>
        </w:rPr>
        <w:t>。</w:t>
      </w:r>
    </w:p>
    <w:p w:rsidR="007F5EC8" w:rsidRDefault="00F75C99" w:rsidP="00F75C99">
      <w:pPr>
        <w:adjustRightInd w:val="0"/>
        <w:snapToGrid w:val="0"/>
        <w:spacing w:line="576" w:lineRule="exact"/>
        <w:ind w:firstLineChars="200" w:firstLine="660"/>
        <w:rPr>
          <w:rFonts w:eastAsia="方正仿宋_GBK"/>
          <w:sz w:val="33"/>
          <w:szCs w:val="33"/>
        </w:rPr>
      </w:pPr>
      <w:r>
        <w:rPr>
          <w:rFonts w:eastAsia="方正仿宋_GBK" w:hint="eastAsia"/>
          <w:b/>
          <w:bCs/>
          <w:sz w:val="33"/>
          <w:szCs w:val="33"/>
        </w:rPr>
        <w:t>二是深化综合行政执法改革。</w:t>
      </w:r>
      <w:r>
        <w:rPr>
          <w:rFonts w:eastAsia="方正仿宋_GBK" w:hint="eastAsia"/>
          <w:sz w:val="33"/>
          <w:szCs w:val="33"/>
        </w:rPr>
        <w:t>制订</w:t>
      </w:r>
      <w:r>
        <w:rPr>
          <w:rFonts w:eastAsia="方正仿宋_GBK"/>
          <w:sz w:val="33"/>
          <w:szCs w:val="33"/>
        </w:rPr>
        <w:t>印发《关于深化应急管理综合行政执法改革的实施方案》</w:t>
      </w:r>
      <w:r>
        <w:rPr>
          <w:rFonts w:eastAsia="方正仿宋_GBK"/>
          <w:kern w:val="0"/>
          <w:sz w:val="33"/>
          <w:szCs w:val="33"/>
        </w:rPr>
        <w:t>《关于进一步明确综合行政执法有关职责任务完善衔接配合机制的指导意见》</w:t>
      </w:r>
      <w:r>
        <w:rPr>
          <w:rFonts w:eastAsia="方正仿宋_GBK" w:hint="eastAsia"/>
          <w:sz w:val="33"/>
          <w:szCs w:val="33"/>
        </w:rPr>
        <w:t>，有序</w:t>
      </w:r>
      <w:r>
        <w:rPr>
          <w:rFonts w:eastAsia="方正仿宋_GBK"/>
          <w:color w:val="000000"/>
          <w:sz w:val="33"/>
          <w:szCs w:val="33"/>
        </w:rPr>
        <w:t>完成应急管理、</w:t>
      </w:r>
      <w:r>
        <w:rPr>
          <w:rFonts w:eastAsia="方正仿宋_GBK"/>
          <w:sz w:val="33"/>
          <w:szCs w:val="33"/>
          <w:lang w:val="en"/>
        </w:rPr>
        <w:t>自然资源、生态环境保护领域综合行政执法队伍优化调整工作</w:t>
      </w:r>
      <w:r>
        <w:rPr>
          <w:rFonts w:eastAsia="方正仿宋_GBK" w:hint="eastAsia"/>
          <w:sz w:val="33"/>
          <w:szCs w:val="33"/>
        </w:rPr>
        <w:t>，</w:t>
      </w:r>
      <w:r>
        <w:rPr>
          <w:rFonts w:eastAsia="方正仿宋_GBK"/>
          <w:sz w:val="33"/>
          <w:szCs w:val="33"/>
          <w:lang w:val="en"/>
        </w:rPr>
        <w:t>稳妥补充行政执法工作力量</w:t>
      </w:r>
      <w:r>
        <w:rPr>
          <w:rFonts w:eastAsia="方正仿宋_GBK"/>
          <w:sz w:val="33"/>
          <w:szCs w:val="33"/>
        </w:rPr>
        <w:t>，切实解决严控管理后部分领域执法力量不足等问题。</w:t>
      </w:r>
    </w:p>
    <w:p w:rsidR="007F5EC8" w:rsidRDefault="00F75C99" w:rsidP="00F75C99">
      <w:pPr>
        <w:adjustRightInd w:val="0"/>
        <w:snapToGrid w:val="0"/>
        <w:spacing w:line="576" w:lineRule="exact"/>
        <w:ind w:firstLineChars="200" w:firstLine="660"/>
        <w:rPr>
          <w:rFonts w:eastAsia="方正仿宋_GBK"/>
          <w:color w:val="000000"/>
          <w:sz w:val="33"/>
          <w:szCs w:val="33"/>
          <w:lang w:val="en"/>
        </w:rPr>
      </w:pPr>
      <w:r>
        <w:rPr>
          <w:rFonts w:eastAsia="方正仿宋_GBK" w:hint="eastAsia"/>
          <w:b/>
          <w:bCs/>
          <w:kern w:val="0"/>
          <w:sz w:val="33"/>
          <w:szCs w:val="33"/>
        </w:rPr>
        <w:t>三是</w:t>
      </w:r>
      <w:r>
        <w:rPr>
          <w:rFonts w:eastAsia="方正仿宋_GBK"/>
          <w:b/>
          <w:bCs/>
          <w:kern w:val="0"/>
          <w:sz w:val="33"/>
          <w:szCs w:val="33"/>
        </w:rPr>
        <w:t>加强权责清单动态管理</w:t>
      </w:r>
      <w:r>
        <w:rPr>
          <w:rFonts w:eastAsia="方正仿宋_GBK" w:hint="eastAsia"/>
          <w:b/>
          <w:bCs/>
          <w:kern w:val="0"/>
          <w:sz w:val="33"/>
          <w:szCs w:val="33"/>
        </w:rPr>
        <w:t>。</w:t>
      </w:r>
      <w:r>
        <w:rPr>
          <w:rFonts w:eastAsia="方正仿宋_GBK"/>
          <w:color w:val="000000"/>
          <w:sz w:val="33"/>
          <w:szCs w:val="33"/>
        </w:rPr>
        <w:t>牵头编制印发《攀枝花市市级行政权力清单（</w:t>
      </w:r>
      <w:r>
        <w:rPr>
          <w:rFonts w:eastAsia="方正仿宋_GBK"/>
          <w:color w:val="000000"/>
          <w:sz w:val="33"/>
          <w:szCs w:val="33"/>
        </w:rPr>
        <w:t>2021</w:t>
      </w:r>
      <w:r>
        <w:rPr>
          <w:rFonts w:eastAsia="方正仿宋_GBK"/>
          <w:color w:val="000000"/>
          <w:sz w:val="33"/>
          <w:szCs w:val="33"/>
        </w:rPr>
        <w:t>年本）》《部分中央、省在攀单位的市级行政权力清单（</w:t>
      </w:r>
      <w:r>
        <w:rPr>
          <w:rFonts w:eastAsia="方正仿宋_GBK"/>
          <w:color w:val="000000"/>
          <w:sz w:val="33"/>
          <w:szCs w:val="33"/>
        </w:rPr>
        <w:t>2021</w:t>
      </w:r>
      <w:r>
        <w:rPr>
          <w:rFonts w:eastAsia="方正仿宋_GBK"/>
          <w:color w:val="000000"/>
          <w:sz w:val="33"/>
          <w:szCs w:val="33"/>
        </w:rPr>
        <w:t>年本）》</w:t>
      </w:r>
      <w:r>
        <w:rPr>
          <w:rFonts w:eastAsia="方正仿宋_GBK" w:hint="eastAsia"/>
          <w:color w:val="000000"/>
          <w:sz w:val="33"/>
          <w:szCs w:val="33"/>
        </w:rPr>
        <w:t>，共纳入</w:t>
      </w:r>
      <w:r>
        <w:rPr>
          <w:rFonts w:eastAsia="方正仿宋_GBK"/>
          <w:color w:val="000000"/>
          <w:sz w:val="33"/>
          <w:szCs w:val="33"/>
        </w:rPr>
        <w:t>38</w:t>
      </w:r>
      <w:r>
        <w:rPr>
          <w:rFonts w:eastAsia="方正仿宋_GBK"/>
          <w:color w:val="000000"/>
          <w:sz w:val="33"/>
          <w:szCs w:val="33"/>
        </w:rPr>
        <w:t>个部门（单位）</w:t>
      </w:r>
      <w:r>
        <w:rPr>
          <w:rFonts w:eastAsia="方正仿宋_GBK"/>
          <w:color w:val="000000"/>
          <w:sz w:val="33"/>
          <w:szCs w:val="33"/>
        </w:rPr>
        <w:t>5643</w:t>
      </w:r>
      <w:r>
        <w:rPr>
          <w:rFonts w:eastAsia="方正仿宋_GBK"/>
          <w:color w:val="000000"/>
          <w:sz w:val="33"/>
          <w:szCs w:val="33"/>
        </w:rPr>
        <w:t>项行政权力事项</w:t>
      </w:r>
      <w:r>
        <w:rPr>
          <w:rFonts w:eastAsia="方正仿宋_GBK" w:hint="eastAsia"/>
          <w:color w:val="000000"/>
          <w:sz w:val="33"/>
          <w:szCs w:val="33"/>
        </w:rPr>
        <w:t>，</w:t>
      </w:r>
      <w:r>
        <w:rPr>
          <w:rFonts w:eastAsia="方正仿宋_GBK" w:hint="eastAsia"/>
          <w:sz w:val="33"/>
          <w:szCs w:val="33"/>
        </w:rPr>
        <w:t>对应</w:t>
      </w:r>
      <w:r>
        <w:rPr>
          <w:rFonts w:eastAsia="方正仿宋_GBK"/>
          <w:sz w:val="33"/>
          <w:szCs w:val="33"/>
        </w:rPr>
        <w:t>责任清单</w:t>
      </w:r>
      <w:r>
        <w:rPr>
          <w:rFonts w:eastAsia="方正仿宋_GBK" w:hint="eastAsia"/>
          <w:sz w:val="33"/>
          <w:szCs w:val="33"/>
        </w:rPr>
        <w:t>已同步完成调整</w:t>
      </w:r>
      <w:r>
        <w:rPr>
          <w:rFonts w:eastAsia="方正仿宋_GBK"/>
          <w:sz w:val="33"/>
          <w:szCs w:val="33"/>
        </w:rPr>
        <w:t>，</w:t>
      </w:r>
      <w:r>
        <w:rPr>
          <w:rFonts w:eastAsia="方正仿宋_GBK" w:hint="eastAsia"/>
          <w:sz w:val="33"/>
          <w:szCs w:val="33"/>
        </w:rPr>
        <w:t>实现</w:t>
      </w:r>
      <w:r>
        <w:rPr>
          <w:rFonts w:eastAsia="方正仿宋_GBK"/>
          <w:sz w:val="33"/>
          <w:szCs w:val="33"/>
        </w:rPr>
        <w:t>行权清单和责任清单</w:t>
      </w:r>
      <w:r>
        <w:rPr>
          <w:rFonts w:eastAsia="方正仿宋_GBK"/>
          <w:sz w:val="33"/>
          <w:szCs w:val="33"/>
        </w:rPr>
        <w:t>“</w:t>
      </w:r>
      <w:r>
        <w:rPr>
          <w:rFonts w:eastAsia="方正仿宋_GBK"/>
          <w:sz w:val="33"/>
          <w:szCs w:val="33"/>
        </w:rPr>
        <w:t>两单融合</w:t>
      </w:r>
      <w:r>
        <w:rPr>
          <w:rFonts w:eastAsia="方正仿宋_GBK"/>
          <w:sz w:val="33"/>
          <w:szCs w:val="33"/>
        </w:rPr>
        <w:t>”</w:t>
      </w:r>
      <w:r>
        <w:rPr>
          <w:rFonts w:eastAsia="方正仿宋_GBK"/>
          <w:sz w:val="33"/>
          <w:szCs w:val="33"/>
        </w:rPr>
        <w:t>，向社会公布</w:t>
      </w:r>
      <w:r>
        <w:rPr>
          <w:rFonts w:eastAsia="方正仿宋_GBK"/>
          <w:color w:val="000000"/>
          <w:sz w:val="33"/>
          <w:szCs w:val="33"/>
        </w:rPr>
        <w:lastRenderedPageBreak/>
        <w:t>挂网率</w:t>
      </w:r>
      <w:r>
        <w:rPr>
          <w:rFonts w:eastAsia="方正仿宋_GBK"/>
          <w:color w:val="000000"/>
          <w:sz w:val="33"/>
          <w:szCs w:val="33"/>
        </w:rPr>
        <w:t>100%</w:t>
      </w:r>
      <w:r>
        <w:rPr>
          <w:rFonts w:eastAsia="方正仿宋_GBK" w:hint="eastAsia"/>
          <w:color w:val="000000"/>
          <w:sz w:val="33"/>
          <w:szCs w:val="33"/>
        </w:rPr>
        <w:t>，并按程序完成</w:t>
      </w:r>
      <w:r>
        <w:rPr>
          <w:rFonts w:eastAsia="方正仿宋_GBK"/>
          <w:color w:val="000000"/>
          <w:sz w:val="33"/>
          <w:szCs w:val="33"/>
        </w:rPr>
        <w:t>部门动态调整</w:t>
      </w:r>
      <w:r>
        <w:rPr>
          <w:rFonts w:eastAsia="方正仿宋_GBK" w:hint="eastAsia"/>
          <w:color w:val="000000"/>
          <w:sz w:val="33"/>
          <w:szCs w:val="33"/>
        </w:rPr>
        <w:t>权力清单的</w:t>
      </w:r>
      <w:r>
        <w:rPr>
          <w:rFonts w:eastAsia="方正仿宋_GBK"/>
          <w:color w:val="000000"/>
          <w:sz w:val="33"/>
          <w:szCs w:val="33"/>
        </w:rPr>
        <w:t>审核把关</w:t>
      </w:r>
      <w:r>
        <w:rPr>
          <w:rFonts w:eastAsia="方正仿宋_GBK" w:hint="eastAsia"/>
          <w:color w:val="000000"/>
          <w:sz w:val="33"/>
          <w:szCs w:val="33"/>
        </w:rPr>
        <w:t>工作。</w:t>
      </w:r>
    </w:p>
    <w:p w:rsidR="007F5EC8" w:rsidRDefault="00F75C99" w:rsidP="00F75C99">
      <w:pPr>
        <w:adjustRightInd w:val="0"/>
        <w:snapToGrid w:val="0"/>
        <w:spacing w:line="576" w:lineRule="exact"/>
        <w:ind w:firstLineChars="200" w:firstLine="660"/>
        <w:rPr>
          <w:rFonts w:ascii="方正楷体_GBK" w:eastAsia="方正楷体_GBK"/>
          <w:b/>
          <w:sz w:val="33"/>
          <w:szCs w:val="33"/>
        </w:rPr>
      </w:pPr>
      <w:r>
        <w:rPr>
          <w:rFonts w:ascii="方正楷体_GBK" w:eastAsia="方正楷体_GBK" w:hint="eastAsia"/>
          <w:b/>
          <w:sz w:val="33"/>
          <w:szCs w:val="33"/>
        </w:rPr>
        <w:t>3.务实创新并重，深耕重点领域和环节体制机制改革。</w:t>
      </w:r>
    </w:p>
    <w:p w:rsidR="007F5EC8" w:rsidRDefault="00F75C99">
      <w:pPr>
        <w:spacing w:line="576" w:lineRule="exact"/>
        <w:ind w:firstLine="660"/>
        <w:rPr>
          <w:rFonts w:eastAsia="方正仿宋_GBK"/>
          <w:sz w:val="33"/>
          <w:szCs w:val="33"/>
        </w:rPr>
      </w:pPr>
      <w:r>
        <w:rPr>
          <w:rFonts w:eastAsia="方正仿宋_GBK" w:hint="eastAsia"/>
          <w:b/>
          <w:bCs/>
          <w:sz w:val="33"/>
          <w:szCs w:val="33"/>
        </w:rPr>
        <w:t>一是稳步推进事业单位改革。</w:t>
      </w:r>
      <w:r>
        <w:rPr>
          <w:rFonts w:eastAsia="方正仿宋_GBK" w:hint="eastAsia"/>
          <w:sz w:val="33"/>
          <w:szCs w:val="33"/>
        </w:rPr>
        <w:t>大力</w:t>
      </w:r>
      <w:r>
        <w:rPr>
          <w:rFonts w:eastAsia="方正仿宋_GBK"/>
          <w:sz w:val="33"/>
          <w:szCs w:val="33"/>
        </w:rPr>
        <w:t>支持仁和区深化事业单位改革</w:t>
      </w:r>
      <w:r>
        <w:rPr>
          <w:rFonts w:eastAsia="方正仿宋_GBK" w:hint="eastAsia"/>
          <w:sz w:val="33"/>
          <w:szCs w:val="33"/>
        </w:rPr>
        <w:t>，改革后仁和区</w:t>
      </w:r>
      <w:r>
        <w:rPr>
          <w:rFonts w:eastAsia="方正仿宋_GBK"/>
          <w:sz w:val="33"/>
          <w:szCs w:val="33"/>
        </w:rPr>
        <w:t>精简事业机构</w:t>
      </w:r>
      <w:r>
        <w:rPr>
          <w:rFonts w:eastAsia="方正仿宋_GBK"/>
          <w:sz w:val="33"/>
          <w:szCs w:val="33"/>
        </w:rPr>
        <w:t>37</w:t>
      </w:r>
      <w:r>
        <w:rPr>
          <w:rFonts w:eastAsia="方正仿宋_GBK"/>
          <w:sz w:val="33"/>
          <w:szCs w:val="33"/>
        </w:rPr>
        <w:t>个</w:t>
      </w:r>
      <w:r>
        <w:rPr>
          <w:rFonts w:eastAsia="方正仿宋_GBK" w:hint="eastAsia"/>
          <w:sz w:val="33"/>
          <w:szCs w:val="33"/>
        </w:rPr>
        <w:t>（</w:t>
      </w:r>
      <w:r>
        <w:rPr>
          <w:rFonts w:eastAsia="方正仿宋_GBK"/>
          <w:sz w:val="33"/>
          <w:szCs w:val="33"/>
        </w:rPr>
        <w:t>精减率</w:t>
      </w:r>
      <w:r>
        <w:rPr>
          <w:rFonts w:eastAsia="方正仿宋_GBK"/>
          <w:sz w:val="33"/>
          <w:szCs w:val="33"/>
        </w:rPr>
        <w:t>32.5%</w:t>
      </w:r>
      <w:r>
        <w:rPr>
          <w:rFonts w:eastAsia="方正仿宋_GBK" w:hint="eastAsia"/>
          <w:sz w:val="33"/>
          <w:szCs w:val="33"/>
        </w:rPr>
        <w:t>），</w:t>
      </w:r>
      <w:r>
        <w:rPr>
          <w:rFonts w:eastAsia="方正仿宋_GBK"/>
          <w:sz w:val="33"/>
          <w:szCs w:val="33"/>
        </w:rPr>
        <w:t>收回事业编制</w:t>
      </w:r>
      <w:r>
        <w:rPr>
          <w:rFonts w:eastAsia="方正仿宋_GBK"/>
          <w:sz w:val="33"/>
          <w:szCs w:val="33"/>
        </w:rPr>
        <w:t>122</w:t>
      </w:r>
      <w:r>
        <w:rPr>
          <w:rFonts w:eastAsia="方正仿宋_GBK"/>
          <w:sz w:val="33"/>
          <w:szCs w:val="33"/>
        </w:rPr>
        <w:t>名</w:t>
      </w:r>
      <w:r>
        <w:rPr>
          <w:rFonts w:eastAsia="方正仿宋_GBK" w:hint="eastAsia"/>
          <w:sz w:val="33"/>
          <w:szCs w:val="33"/>
        </w:rPr>
        <w:t>（</w:t>
      </w:r>
      <w:r>
        <w:rPr>
          <w:rFonts w:eastAsia="方正仿宋_GBK"/>
          <w:sz w:val="33"/>
          <w:szCs w:val="33"/>
        </w:rPr>
        <w:t>收编率</w:t>
      </w:r>
      <w:r>
        <w:rPr>
          <w:rFonts w:eastAsia="方正仿宋_GBK"/>
          <w:sz w:val="33"/>
          <w:szCs w:val="33"/>
        </w:rPr>
        <w:t>14.8%</w:t>
      </w:r>
      <w:r>
        <w:rPr>
          <w:rFonts w:eastAsia="方正仿宋_GBK" w:hint="eastAsia"/>
          <w:sz w:val="33"/>
          <w:szCs w:val="33"/>
        </w:rPr>
        <w:t>）</w:t>
      </w:r>
      <w:r>
        <w:rPr>
          <w:rFonts w:eastAsia="方正仿宋_GBK"/>
          <w:sz w:val="33"/>
          <w:szCs w:val="33"/>
        </w:rPr>
        <w:t>。</w:t>
      </w:r>
      <w:r>
        <w:rPr>
          <w:rFonts w:eastAsia="方正仿宋_GBK" w:hint="eastAsia"/>
          <w:color w:val="000000"/>
          <w:sz w:val="33"/>
          <w:szCs w:val="33"/>
        </w:rPr>
        <w:t>积极推进市级媒体融合整合，</w:t>
      </w:r>
      <w:r>
        <w:rPr>
          <w:rFonts w:eastAsia="方正仿宋_GBK"/>
          <w:color w:val="000000"/>
          <w:sz w:val="33"/>
          <w:szCs w:val="33"/>
        </w:rPr>
        <w:t>整合攀枝花日</w:t>
      </w:r>
      <w:r>
        <w:rPr>
          <w:rFonts w:eastAsia="方正仿宋_GBK"/>
          <w:sz w:val="33"/>
          <w:szCs w:val="33"/>
        </w:rPr>
        <w:t>报社和攀枝花</w:t>
      </w:r>
      <w:r>
        <w:rPr>
          <w:rFonts w:eastAsia="方正仿宋_GBK"/>
          <w:color w:val="000000"/>
          <w:sz w:val="33"/>
          <w:szCs w:val="33"/>
        </w:rPr>
        <w:t>市广播电视台，设立攀枝花市融媒体中心</w:t>
      </w:r>
      <w:r>
        <w:rPr>
          <w:rFonts w:eastAsia="方正仿宋_GBK"/>
          <w:sz w:val="33"/>
          <w:szCs w:val="33"/>
        </w:rPr>
        <w:t>。全面完成新一轮中小学教职工编制动态调整</w:t>
      </w:r>
      <w:r>
        <w:rPr>
          <w:rFonts w:eastAsia="方正仿宋_GBK" w:hint="eastAsia"/>
          <w:sz w:val="33"/>
          <w:szCs w:val="33"/>
        </w:rPr>
        <w:t>工作，提前达成省上规定调整目标</w:t>
      </w:r>
      <w:r>
        <w:rPr>
          <w:rFonts w:eastAsia="方正仿宋_GBK"/>
          <w:sz w:val="33"/>
          <w:szCs w:val="33"/>
        </w:rPr>
        <w:t>。</w:t>
      </w:r>
    </w:p>
    <w:p w:rsidR="007F5EC8" w:rsidRDefault="00F75C99" w:rsidP="00F75C99">
      <w:pPr>
        <w:adjustRightInd w:val="0"/>
        <w:snapToGrid w:val="0"/>
        <w:spacing w:line="576" w:lineRule="exact"/>
        <w:ind w:firstLineChars="200" w:firstLine="660"/>
        <w:rPr>
          <w:rFonts w:eastAsia="方正仿宋_GBK"/>
          <w:sz w:val="33"/>
          <w:szCs w:val="33"/>
        </w:rPr>
      </w:pPr>
      <w:r>
        <w:rPr>
          <w:rFonts w:eastAsia="方正仿宋_GBK" w:hint="eastAsia"/>
          <w:b/>
          <w:bCs/>
          <w:sz w:val="33"/>
          <w:szCs w:val="33"/>
        </w:rPr>
        <w:t>二是</w:t>
      </w:r>
      <w:r>
        <w:rPr>
          <w:rFonts w:eastAsia="方正仿宋_GBK"/>
          <w:b/>
          <w:bCs/>
          <w:sz w:val="33"/>
          <w:szCs w:val="33"/>
        </w:rPr>
        <w:t>深化开发区管理体制改革创新。</w:t>
      </w:r>
      <w:r>
        <w:rPr>
          <w:rFonts w:eastAsia="方正仿宋_GBK" w:hint="eastAsia"/>
          <w:sz w:val="33"/>
          <w:szCs w:val="33"/>
        </w:rPr>
        <w:t>完成</w:t>
      </w:r>
      <w:r>
        <w:rPr>
          <w:rFonts w:eastAsia="方正仿宋_GBK"/>
          <w:sz w:val="33"/>
          <w:szCs w:val="33"/>
        </w:rPr>
        <w:t>钒钛高新区</w:t>
      </w:r>
      <w:r>
        <w:rPr>
          <w:rFonts w:eastAsia="方正仿宋_GBK" w:hint="eastAsia"/>
          <w:sz w:val="33"/>
          <w:szCs w:val="33"/>
        </w:rPr>
        <w:t>应急管理机构设置，确保</w:t>
      </w:r>
      <w:r>
        <w:rPr>
          <w:rFonts w:eastAsia="方正仿宋_GBK"/>
          <w:sz w:val="33"/>
          <w:szCs w:val="33"/>
        </w:rPr>
        <w:t>省级化工园区申报</w:t>
      </w:r>
      <w:r>
        <w:rPr>
          <w:rFonts w:eastAsia="方正仿宋_GBK" w:hint="eastAsia"/>
          <w:sz w:val="33"/>
          <w:szCs w:val="33"/>
        </w:rPr>
        <w:t>成功。</w:t>
      </w:r>
      <w:r>
        <w:rPr>
          <w:rFonts w:eastAsia="方正仿宋_GBK"/>
          <w:color w:val="000000"/>
          <w:kern w:val="0"/>
          <w:sz w:val="33"/>
          <w:szCs w:val="33"/>
        </w:rPr>
        <w:t>强化正向激励引导，从市本级事业编制总量</w:t>
      </w:r>
      <w:r>
        <w:rPr>
          <w:rFonts w:eastAsia="方正仿宋_GBK" w:hint="eastAsia"/>
          <w:color w:val="000000"/>
          <w:kern w:val="0"/>
          <w:sz w:val="33"/>
          <w:szCs w:val="33"/>
        </w:rPr>
        <w:t>中</w:t>
      </w:r>
      <w:r>
        <w:rPr>
          <w:rFonts w:eastAsia="方正仿宋_GBK"/>
          <w:color w:val="000000"/>
          <w:kern w:val="0"/>
          <w:sz w:val="33"/>
          <w:szCs w:val="33"/>
        </w:rPr>
        <w:t>拿出</w:t>
      </w:r>
      <w:r>
        <w:rPr>
          <w:rFonts w:eastAsia="方正仿宋_GBK"/>
          <w:color w:val="000000"/>
          <w:kern w:val="0"/>
          <w:sz w:val="33"/>
          <w:szCs w:val="33"/>
        </w:rPr>
        <w:t>10</w:t>
      </w:r>
      <w:r>
        <w:rPr>
          <w:rFonts w:eastAsia="方正仿宋_GBK"/>
          <w:color w:val="000000"/>
          <w:kern w:val="0"/>
          <w:sz w:val="33"/>
          <w:szCs w:val="33"/>
        </w:rPr>
        <w:t>名编制支持</w:t>
      </w:r>
      <w:r>
        <w:rPr>
          <w:rFonts w:eastAsia="方正仿宋_GBK" w:hint="eastAsia"/>
          <w:color w:val="000000"/>
          <w:kern w:val="0"/>
          <w:sz w:val="33"/>
          <w:szCs w:val="33"/>
        </w:rPr>
        <w:t>升格考核合格的东区高新技术产业开发区</w:t>
      </w:r>
      <w:r>
        <w:rPr>
          <w:rFonts w:eastAsia="方正仿宋_GBK"/>
          <w:sz w:val="33"/>
          <w:szCs w:val="33"/>
        </w:rPr>
        <w:t>。鼓励盐边县探索实行</w:t>
      </w:r>
      <w:r>
        <w:rPr>
          <w:rFonts w:eastAsia="方正仿宋_GBK"/>
          <w:sz w:val="33"/>
          <w:szCs w:val="33"/>
        </w:rPr>
        <w:t>“</w:t>
      </w:r>
      <w:r>
        <w:rPr>
          <w:rFonts w:eastAsia="方正仿宋_GBK"/>
          <w:sz w:val="33"/>
          <w:szCs w:val="33"/>
        </w:rPr>
        <w:t>区镇合署办公</w:t>
      </w:r>
      <w:r>
        <w:rPr>
          <w:rFonts w:eastAsia="方正仿宋_GBK"/>
          <w:sz w:val="33"/>
          <w:szCs w:val="33"/>
        </w:rPr>
        <w:t>”</w:t>
      </w:r>
      <w:r>
        <w:rPr>
          <w:rFonts w:eastAsia="方正仿宋_GBK"/>
          <w:sz w:val="33"/>
          <w:szCs w:val="33"/>
        </w:rPr>
        <w:t>管理体制，促进开发区与镇的互动发展、功能互补。</w:t>
      </w:r>
    </w:p>
    <w:p w:rsidR="007F5EC8" w:rsidRDefault="00F75C99">
      <w:pPr>
        <w:spacing w:line="576" w:lineRule="exact"/>
        <w:ind w:firstLine="660"/>
        <w:rPr>
          <w:rFonts w:eastAsia="方正仿宋_GBK"/>
          <w:sz w:val="33"/>
          <w:szCs w:val="33"/>
        </w:rPr>
      </w:pPr>
      <w:r>
        <w:rPr>
          <w:rFonts w:eastAsia="方正仿宋_GBK" w:hint="eastAsia"/>
          <w:b/>
          <w:bCs/>
          <w:sz w:val="33"/>
          <w:szCs w:val="33"/>
        </w:rPr>
        <w:t>三是推动重点行业领域体制机制改革。</w:t>
      </w:r>
      <w:r>
        <w:rPr>
          <w:rFonts w:eastAsia="方正仿宋_GBK" w:hint="eastAsia"/>
          <w:sz w:val="33"/>
          <w:szCs w:val="33"/>
        </w:rPr>
        <w:t>不断深化纪检监察体制改革，</w:t>
      </w:r>
      <w:r>
        <w:rPr>
          <w:rFonts w:eastAsia="方正仿宋_GBK" w:hint="eastAsia"/>
          <w:color w:val="000000"/>
          <w:sz w:val="33"/>
          <w:szCs w:val="33"/>
        </w:rPr>
        <w:t>设立市纪委监委派驻</w:t>
      </w:r>
      <w:r>
        <w:rPr>
          <w:rFonts w:eastAsia="方正仿宋_GBK" w:hint="eastAsia"/>
          <w:color w:val="000000"/>
          <w:sz w:val="33"/>
          <w:szCs w:val="33"/>
        </w:rPr>
        <w:t>11</w:t>
      </w:r>
      <w:r>
        <w:rPr>
          <w:rFonts w:eastAsia="方正仿宋_GBK" w:hint="eastAsia"/>
          <w:color w:val="000000"/>
          <w:sz w:val="33"/>
          <w:szCs w:val="33"/>
        </w:rPr>
        <w:t>家高校、医院等事业单位纪检监察组</w:t>
      </w:r>
      <w:r>
        <w:rPr>
          <w:rFonts w:eastAsia="方正仿宋_GBK" w:hint="eastAsia"/>
          <w:sz w:val="33"/>
          <w:szCs w:val="33"/>
        </w:rPr>
        <w:t>。配合市安办制定《市级部门安全生产工作</w:t>
      </w:r>
      <w:r>
        <w:rPr>
          <w:rFonts w:eastAsia="方正仿宋_GBK"/>
          <w:sz w:val="33"/>
          <w:szCs w:val="33"/>
        </w:rPr>
        <w:t>任务分工</w:t>
      </w:r>
      <w:r>
        <w:rPr>
          <w:rFonts w:eastAsia="方正仿宋_GBK" w:hint="eastAsia"/>
          <w:sz w:val="33"/>
          <w:szCs w:val="33"/>
        </w:rPr>
        <w:t>》</w:t>
      </w:r>
      <w:r>
        <w:rPr>
          <w:rFonts w:eastAsia="方正仿宋_GBK"/>
          <w:sz w:val="33"/>
          <w:szCs w:val="33"/>
        </w:rPr>
        <w:t>，</w:t>
      </w:r>
      <w:r>
        <w:rPr>
          <w:rFonts w:eastAsia="方正仿宋_GBK" w:hint="eastAsia"/>
          <w:sz w:val="33"/>
          <w:szCs w:val="33"/>
        </w:rPr>
        <w:t>进一步明确了地方水电、</w:t>
      </w:r>
      <w:r>
        <w:rPr>
          <w:rFonts w:eastAsia="方正仿宋_GBK"/>
          <w:sz w:val="33"/>
          <w:szCs w:val="33"/>
        </w:rPr>
        <w:t>民宿、平台经济</w:t>
      </w:r>
      <w:r>
        <w:rPr>
          <w:rFonts w:eastAsia="方正仿宋_GBK" w:hint="eastAsia"/>
          <w:sz w:val="33"/>
          <w:szCs w:val="33"/>
        </w:rPr>
        <w:t>等</w:t>
      </w:r>
      <w:r>
        <w:rPr>
          <w:rFonts w:eastAsia="方正仿宋_GBK"/>
          <w:sz w:val="33"/>
          <w:szCs w:val="33"/>
        </w:rPr>
        <w:t>行业</w:t>
      </w:r>
      <w:r>
        <w:rPr>
          <w:rFonts w:eastAsia="方正仿宋_GBK" w:hint="eastAsia"/>
          <w:sz w:val="33"/>
          <w:szCs w:val="33"/>
        </w:rPr>
        <w:t>的</w:t>
      </w:r>
      <w:r>
        <w:rPr>
          <w:rFonts w:eastAsia="方正仿宋_GBK"/>
          <w:sz w:val="33"/>
          <w:szCs w:val="33"/>
        </w:rPr>
        <w:t>安全</w:t>
      </w:r>
      <w:r>
        <w:rPr>
          <w:rFonts w:eastAsia="方正仿宋_GBK" w:hint="eastAsia"/>
          <w:sz w:val="33"/>
          <w:szCs w:val="33"/>
        </w:rPr>
        <w:t>监管</w:t>
      </w:r>
      <w:r>
        <w:rPr>
          <w:rFonts w:eastAsia="方正仿宋_GBK"/>
          <w:sz w:val="33"/>
          <w:szCs w:val="33"/>
        </w:rPr>
        <w:t>职责</w:t>
      </w:r>
      <w:r>
        <w:rPr>
          <w:rFonts w:eastAsia="方正仿宋_GBK" w:hint="eastAsia"/>
          <w:sz w:val="33"/>
          <w:szCs w:val="33"/>
        </w:rPr>
        <w:t>分工</w:t>
      </w:r>
      <w:r>
        <w:rPr>
          <w:rFonts w:eastAsia="方正仿宋_GBK"/>
          <w:sz w:val="33"/>
          <w:szCs w:val="33"/>
        </w:rPr>
        <w:t>，</w:t>
      </w:r>
      <w:r>
        <w:rPr>
          <w:rFonts w:eastAsia="方正仿宋_GBK" w:hint="eastAsia"/>
          <w:bCs/>
          <w:snapToGrid w:val="0"/>
          <w:sz w:val="33"/>
          <w:szCs w:val="33"/>
        </w:rPr>
        <w:t>充实了市安办工作力量。</w:t>
      </w:r>
      <w:r>
        <w:rPr>
          <w:rFonts w:eastAsia="方正仿宋_GBK" w:hint="eastAsia"/>
          <w:sz w:val="33"/>
          <w:szCs w:val="33"/>
        </w:rPr>
        <w:t>加强校外培训监管</w:t>
      </w:r>
      <w:r>
        <w:rPr>
          <w:rFonts w:eastAsia="方正仿宋_GBK"/>
          <w:sz w:val="33"/>
          <w:szCs w:val="33"/>
        </w:rPr>
        <w:t>，</w:t>
      </w:r>
      <w:r>
        <w:rPr>
          <w:rFonts w:eastAsia="方正仿宋_GBK" w:hint="eastAsia"/>
          <w:sz w:val="33"/>
          <w:szCs w:val="33"/>
        </w:rPr>
        <w:t>为市教育和体育局增设校外教育监管科。健全部门统计工作体系，</w:t>
      </w:r>
      <w:r>
        <w:rPr>
          <w:rFonts w:eastAsia="方正仿宋_GBK"/>
          <w:sz w:val="33"/>
          <w:szCs w:val="33"/>
        </w:rPr>
        <w:t>在</w:t>
      </w:r>
      <w:r>
        <w:rPr>
          <w:rFonts w:eastAsia="方正仿宋_GBK"/>
          <w:sz w:val="33"/>
          <w:szCs w:val="33"/>
        </w:rPr>
        <w:t>5</w:t>
      </w:r>
      <w:r>
        <w:rPr>
          <w:rFonts w:eastAsia="方正仿宋_GBK"/>
          <w:sz w:val="33"/>
          <w:szCs w:val="33"/>
        </w:rPr>
        <w:t>个</w:t>
      </w:r>
      <w:r>
        <w:rPr>
          <w:rFonts w:eastAsia="方正仿宋_GBK" w:hint="eastAsia"/>
          <w:sz w:val="33"/>
          <w:szCs w:val="33"/>
        </w:rPr>
        <w:t>与统计工作联系紧密的行业主管部门设置“综合统计科”。</w:t>
      </w:r>
    </w:p>
    <w:p w:rsidR="007F5EC8" w:rsidRDefault="00F75C99" w:rsidP="00F75C99">
      <w:pPr>
        <w:spacing w:line="576" w:lineRule="exact"/>
        <w:ind w:firstLineChars="200" w:firstLine="660"/>
        <w:rPr>
          <w:rFonts w:ascii="方正楷体_GBK" w:eastAsia="方正楷体_GBK"/>
          <w:b/>
          <w:sz w:val="33"/>
          <w:szCs w:val="33"/>
        </w:rPr>
      </w:pPr>
      <w:r>
        <w:rPr>
          <w:rFonts w:ascii="方正楷体_GBK" w:eastAsia="方正楷体_GBK" w:hint="eastAsia"/>
          <w:b/>
          <w:sz w:val="33"/>
          <w:szCs w:val="33"/>
        </w:rPr>
        <w:t>4.管理服务精细，切实做好机构编制资源优化配置</w:t>
      </w:r>
    </w:p>
    <w:p w:rsidR="007F5EC8" w:rsidRDefault="00F75C99">
      <w:pPr>
        <w:spacing w:line="576" w:lineRule="exact"/>
        <w:ind w:firstLine="660"/>
        <w:rPr>
          <w:rFonts w:eastAsia="方正仿宋_GBK"/>
          <w:sz w:val="33"/>
          <w:szCs w:val="33"/>
        </w:rPr>
      </w:pPr>
      <w:r>
        <w:rPr>
          <w:rFonts w:eastAsia="方正仿宋_GBK" w:hint="eastAsia"/>
          <w:b/>
          <w:bCs/>
          <w:snapToGrid w:val="0"/>
          <w:sz w:val="33"/>
          <w:szCs w:val="33"/>
        </w:rPr>
        <w:lastRenderedPageBreak/>
        <w:t>一是加强事业单位</w:t>
      </w:r>
      <w:r>
        <w:rPr>
          <w:rFonts w:eastAsia="方正仿宋_GBK"/>
          <w:b/>
          <w:bCs/>
          <w:snapToGrid w:val="0"/>
          <w:sz w:val="33"/>
          <w:szCs w:val="33"/>
        </w:rPr>
        <w:t>管理。</w:t>
      </w:r>
      <w:r>
        <w:rPr>
          <w:rFonts w:eastAsia="方正仿宋_GBK"/>
          <w:sz w:val="33"/>
          <w:szCs w:val="33"/>
          <w:lang w:bidi="ar"/>
        </w:rPr>
        <w:t>积极向上争取支持，调整组建市中医药发展服务中心</w:t>
      </w:r>
      <w:r>
        <w:rPr>
          <w:rFonts w:eastAsia="方正仿宋_GBK" w:hint="eastAsia"/>
          <w:sz w:val="33"/>
          <w:szCs w:val="33"/>
          <w:lang w:bidi="ar"/>
        </w:rPr>
        <w:t>。</w:t>
      </w:r>
      <w:r>
        <w:rPr>
          <w:rFonts w:eastAsia="方正仿宋_GBK" w:hint="eastAsia"/>
          <w:snapToGrid w:val="0"/>
          <w:sz w:val="33"/>
          <w:szCs w:val="33"/>
        </w:rPr>
        <w:t>增强</w:t>
      </w:r>
      <w:r>
        <w:rPr>
          <w:rFonts w:eastAsia="方正仿宋_GBK"/>
          <w:snapToGrid w:val="0"/>
          <w:sz w:val="33"/>
          <w:szCs w:val="33"/>
        </w:rPr>
        <w:t>市医保局所属事业单位</w:t>
      </w:r>
      <w:r>
        <w:rPr>
          <w:rFonts w:eastAsia="方正仿宋_GBK" w:hint="eastAsia"/>
          <w:snapToGrid w:val="0"/>
          <w:sz w:val="33"/>
          <w:szCs w:val="33"/>
        </w:rPr>
        <w:t>的</w:t>
      </w:r>
      <w:r>
        <w:rPr>
          <w:rFonts w:eastAsia="方正仿宋_GBK"/>
          <w:snapToGrid w:val="0"/>
          <w:sz w:val="33"/>
          <w:szCs w:val="33"/>
        </w:rPr>
        <w:t>医疗保险安全防控和专网信息化建设工作力量</w:t>
      </w:r>
      <w:r>
        <w:rPr>
          <w:rFonts w:eastAsia="方正仿宋_GBK" w:hint="eastAsia"/>
          <w:snapToGrid w:val="0"/>
          <w:sz w:val="33"/>
          <w:szCs w:val="33"/>
        </w:rPr>
        <w:t>。</w:t>
      </w:r>
      <w:r>
        <w:rPr>
          <w:rFonts w:eastAsia="方正仿宋_GBK" w:hint="eastAsia"/>
          <w:sz w:val="33"/>
          <w:szCs w:val="33"/>
        </w:rPr>
        <w:t>科学优化</w:t>
      </w:r>
      <w:r>
        <w:rPr>
          <w:rFonts w:eastAsia="方正仿宋_GBK"/>
          <w:sz w:val="33"/>
          <w:szCs w:val="33"/>
        </w:rPr>
        <w:t>市舆情信息中心</w:t>
      </w:r>
      <w:r>
        <w:rPr>
          <w:rFonts w:eastAsia="方正仿宋_GBK" w:hint="eastAsia"/>
          <w:sz w:val="33"/>
          <w:szCs w:val="33"/>
        </w:rPr>
        <w:t>内设科室设置和人员力量，助推舆情信息管理水平提升。变更</w:t>
      </w:r>
      <w:r>
        <w:rPr>
          <w:rFonts w:eastAsia="方正仿宋_GBK"/>
          <w:sz w:val="33"/>
          <w:szCs w:val="33"/>
        </w:rPr>
        <w:t>市统战和民族宗教事务服务中心</w:t>
      </w:r>
      <w:r>
        <w:rPr>
          <w:rFonts w:eastAsia="方正仿宋_GBK" w:hint="eastAsia"/>
          <w:sz w:val="33"/>
          <w:szCs w:val="33"/>
        </w:rPr>
        <w:t>、</w:t>
      </w:r>
      <w:r>
        <w:rPr>
          <w:rFonts w:eastAsia="方正仿宋_GBK"/>
          <w:sz w:val="33"/>
          <w:szCs w:val="33"/>
        </w:rPr>
        <w:t>市民族宗教干部学校</w:t>
      </w:r>
      <w:r>
        <w:rPr>
          <w:rFonts w:eastAsia="方正仿宋_GBK" w:hint="eastAsia"/>
          <w:sz w:val="33"/>
          <w:szCs w:val="33"/>
        </w:rPr>
        <w:t>机构名称，进一步</w:t>
      </w:r>
      <w:r>
        <w:rPr>
          <w:rFonts w:eastAsia="方正仿宋_GBK"/>
          <w:sz w:val="33"/>
          <w:szCs w:val="33"/>
        </w:rPr>
        <w:t>理顺</w:t>
      </w:r>
      <w:r>
        <w:rPr>
          <w:rFonts w:eastAsia="方正仿宋_GBK" w:hint="eastAsia"/>
          <w:sz w:val="33"/>
          <w:szCs w:val="33"/>
        </w:rPr>
        <w:t>统战和民族宗教事业单位</w:t>
      </w:r>
      <w:r>
        <w:rPr>
          <w:rFonts w:eastAsia="方正仿宋_GBK"/>
          <w:sz w:val="33"/>
          <w:szCs w:val="33"/>
        </w:rPr>
        <w:t>工作职责</w:t>
      </w:r>
      <w:r>
        <w:rPr>
          <w:rFonts w:eastAsia="方正仿宋_GBK" w:hint="eastAsia"/>
          <w:sz w:val="33"/>
          <w:szCs w:val="33"/>
        </w:rPr>
        <w:t>。合理</w:t>
      </w:r>
      <w:r>
        <w:rPr>
          <w:rFonts w:eastAsia="方正仿宋_GBK"/>
          <w:sz w:val="33"/>
          <w:szCs w:val="33"/>
        </w:rPr>
        <w:t>下放市农林科学研究院</w:t>
      </w:r>
      <w:r>
        <w:rPr>
          <w:rFonts w:eastAsia="方正仿宋_GBK" w:hint="eastAsia"/>
          <w:sz w:val="33"/>
          <w:szCs w:val="33"/>
        </w:rPr>
        <w:t>内设机构设置及编制使用权限，</w:t>
      </w:r>
      <w:r>
        <w:rPr>
          <w:rFonts w:eastAsia="方正仿宋_GBK"/>
          <w:sz w:val="33"/>
          <w:szCs w:val="33"/>
        </w:rPr>
        <w:t>重新明确</w:t>
      </w:r>
      <w:r>
        <w:rPr>
          <w:rFonts w:eastAsia="方正仿宋_GBK" w:hint="eastAsia"/>
          <w:sz w:val="33"/>
          <w:szCs w:val="33"/>
        </w:rPr>
        <w:t>了</w:t>
      </w:r>
      <w:r>
        <w:rPr>
          <w:rFonts w:eastAsia="方正仿宋_GBK"/>
          <w:sz w:val="33"/>
          <w:szCs w:val="33"/>
        </w:rPr>
        <w:t>市强制隔离戒毒所党政领导职数</w:t>
      </w:r>
      <w:r>
        <w:rPr>
          <w:rFonts w:eastAsia="方正仿宋_GBK" w:hint="eastAsia"/>
          <w:sz w:val="33"/>
          <w:szCs w:val="33"/>
        </w:rPr>
        <w:t>。</w:t>
      </w:r>
    </w:p>
    <w:p w:rsidR="007F5EC8" w:rsidRDefault="00F75C99">
      <w:pPr>
        <w:spacing w:line="576" w:lineRule="exact"/>
        <w:ind w:firstLine="660"/>
        <w:rPr>
          <w:rFonts w:eastAsia="方正仿宋_GBK"/>
          <w:sz w:val="33"/>
          <w:szCs w:val="33"/>
        </w:rPr>
      </w:pPr>
      <w:r>
        <w:rPr>
          <w:rFonts w:eastAsia="方正仿宋_GBK" w:hint="eastAsia"/>
          <w:b/>
          <w:bCs/>
          <w:sz w:val="33"/>
          <w:szCs w:val="33"/>
        </w:rPr>
        <w:t>二是盘活用好编制资源。</w:t>
      </w:r>
      <w:r>
        <w:rPr>
          <w:rFonts w:eastAsia="方正仿宋_GBK" w:hint="eastAsia"/>
          <w:sz w:val="33"/>
          <w:szCs w:val="33"/>
        </w:rPr>
        <w:t>加强存量编制资源的统筹使用和管理力度，优先保障经济发展、基层治理、教育医疗、应急管理、环境保护等重点行业、领域的用编进人需求</w:t>
      </w:r>
      <w:r>
        <w:rPr>
          <w:rFonts w:eastAsia="方正仿宋_GBK"/>
          <w:sz w:val="33"/>
          <w:szCs w:val="33"/>
        </w:rPr>
        <w:t>。</w:t>
      </w:r>
      <w:r>
        <w:rPr>
          <w:rFonts w:eastAsia="方正仿宋_GBK" w:hint="eastAsia"/>
          <w:sz w:val="33"/>
          <w:szCs w:val="33"/>
        </w:rPr>
        <w:t>2022</w:t>
      </w:r>
      <w:r>
        <w:rPr>
          <w:rFonts w:eastAsia="方正仿宋_GBK" w:hint="eastAsia"/>
          <w:sz w:val="33"/>
          <w:szCs w:val="33"/>
        </w:rPr>
        <w:t>年，市本级共核批各类用编申请</w:t>
      </w:r>
      <w:r>
        <w:rPr>
          <w:rFonts w:eastAsia="方正仿宋_GBK" w:hint="eastAsia"/>
          <w:sz w:val="33"/>
          <w:szCs w:val="33"/>
        </w:rPr>
        <w:t>2419</w:t>
      </w:r>
      <w:r>
        <w:rPr>
          <w:rFonts w:eastAsia="方正仿宋_GBK" w:hint="eastAsia"/>
          <w:sz w:val="33"/>
          <w:szCs w:val="33"/>
        </w:rPr>
        <w:t>名（其中，行政编制</w:t>
      </w:r>
      <w:r>
        <w:rPr>
          <w:rFonts w:eastAsia="方正仿宋_GBK" w:hint="eastAsia"/>
          <w:sz w:val="33"/>
          <w:szCs w:val="33"/>
        </w:rPr>
        <w:t>125</w:t>
      </w:r>
      <w:r>
        <w:rPr>
          <w:rFonts w:eastAsia="方正仿宋_GBK" w:hint="eastAsia"/>
          <w:sz w:val="33"/>
          <w:szCs w:val="33"/>
        </w:rPr>
        <w:t>名，参公事业编制</w:t>
      </w:r>
      <w:r>
        <w:rPr>
          <w:rFonts w:eastAsia="方正仿宋_GBK" w:hint="eastAsia"/>
          <w:sz w:val="33"/>
          <w:szCs w:val="33"/>
        </w:rPr>
        <w:t>5</w:t>
      </w:r>
      <w:r>
        <w:rPr>
          <w:rFonts w:eastAsia="方正仿宋_GBK" w:hint="eastAsia"/>
          <w:sz w:val="33"/>
          <w:szCs w:val="33"/>
        </w:rPr>
        <w:t>名，政法专编</w:t>
      </w:r>
      <w:r>
        <w:rPr>
          <w:rFonts w:eastAsia="方正仿宋_GBK" w:hint="eastAsia"/>
          <w:sz w:val="33"/>
          <w:szCs w:val="33"/>
        </w:rPr>
        <w:t>25</w:t>
      </w:r>
      <w:r>
        <w:rPr>
          <w:rFonts w:eastAsia="方正仿宋_GBK" w:hint="eastAsia"/>
          <w:sz w:val="33"/>
          <w:szCs w:val="33"/>
        </w:rPr>
        <w:t>名、事业编制</w:t>
      </w:r>
      <w:r>
        <w:rPr>
          <w:rFonts w:eastAsia="方正仿宋_GBK" w:hint="eastAsia"/>
          <w:sz w:val="33"/>
          <w:szCs w:val="33"/>
        </w:rPr>
        <w:t>2247</w:t>
      </w:r>
      <w:r>
        <w:rPr>
          <w:rFonts w:eastAsia="方正仿宋_GBK" w:hint="eastAsia"/>
          <w:sz w:val="33"/>
          <w:szCs w:val="33"/>
        </w:rPr>
        <w:t>名，工勤编制</w:t>
      </w:r>
      <w:r>
        <w:rPr>
          <w:rFonts w:eastAsia="方正仿宋_GBK" w:hint="eastAsia"/>
          <w:sz w:val="33"/>
          <w:szCs w:val="33"/>
        </w:rPr>
        <w:t>17</w:t>
      </w:r>
      <w:r>
        <w:rPr>
          <w:rFonts w:eastAsia="方正仿宋_GBK" w:hint="eastAsia"/>
          <w:sz w:val="33"/>
          <w:szCs w:val="33"/>
        </w:rPr>
        <w:t>名）。</w:t>
      </w:r>
    </w:p>
    <w:p w:rsidR="007F5EC8" w:rsidRDefault="00F75C99">
      <w:pPr>
        <w:spacing w:line="576" w:lineRule="exact"/>
        <w:ind w:firstLine="660"/>
        <w:rPr>
          <w:rFonts w:eastAsia="方正仿宋_GBK"/>
          <w:sz w:val="33"/>
          <w:szCs w:val="33"/>
        </w:rPr>
      </w:pPr>
      <w:r>
        <w:rPr>
          <w:rFonts w:eastAsia="方正仿宋_GBK" w:hint="eastAsia"/>
          <w:b/>
          <w:bCs/>
          <w:sz w:val="33"/>
          <w:szCs w:val="33"/>
        </w:rPr>
        <w:t>三是坚持编制动态调整机制。</w:t>
      </w:r>
      <w:r>
        <w:rPr>
          <w:rFonts w:eastAsia="方正仿宋_GBK" w:hint="eastAsia"/>
          <w:sz w:val="33"/>
          <w:szCs w:val="33"/>
        </w:rPr>
        <w:t>继续</w:t>
      </w:r>
      <w:r>
        <w:rPr>
          <w:rFonts w:eastAsia="方正仿宋_GBK"/>
          <w:sz w:val="33"/>
          <w:szCs w:val="33"/>
        </w:rPr>
        <w:t>探索</w:t>
      </w:r>
      <w:r>
        <w:rPr>
          <w:rFonts w:eastAsia="方正仿宋_GBK"/>
          <w:sz w:val="33"/>
          <w:szCs w:val="33"/>
        </w:rPr>
        <w:t>“</w:t>
      </w:r>
      <w:r>
        <w:rPr>
          <w:rFonts w:eastAsia="方正仿宋_GBK"/>
          <w:sz w:val="33"/>
          <w:szCs w:val="33"/>
        </w:rPr>
        <w:t>岗编适度分离</w:t>
      </w:r>
      <w:r>
        <w:rPr>
          <w:rFonts w:eastAsia="方正仿宋_GBK"/>
          <w:sz w:val="33"/>
          <w:szCs w:val="33"/>
        </w:rPr>
        <w:t>”</w:t>
      </w:r>
      <w:r>
        <w:rPr>
          <w:rFonts w:eastAsia="方正仿宋_GBK"/>
          <w:sz w:val="33"/>
          <w:szCs w:val="33"/>
        </w:rPr>
        <w:t>机制，引导教育、卫生、农业等行业领域的专业技术人员</w:t>
      </w:r>
      <w:r>
        <w:rPr>
          <w:rFonts w:eastAsia="方正仿宋_GBK"/>
          <w:sz w:val="33"/>
          <w:szCs w:val="33"/>
        </w:rPr>
        <w:t>“</w:t>
      </w:r>
      <w:r>
        <w:rPr>
          <w:rFonts w:eastAsia="方正仿宋_GBK"/>
          <w:sz w:val="33"/>
          <w:szCs w:val="33"/>
        </w:rPr>
        <w:t>人岗相适</w:t>
      </w:r>
      <w:r>
        <w:rPr>
          <w:rFonts w:eastAsia="方正仿宋_GBK"/>
          <w:sz w:val="33"/>
          <w:szCs w:val="33"/>
        </w:rPr>
        <w:t>”</w:t>
      </w:r>
      <w:r>
        <w:rPr>
          <w:rFonts w:eastAsia="方正仿宋_GBK"/>
          <w:sz w:val="33"/>
          <w:szCs w:val="33"/>
        </w:rPr>
        <w:t>向基层、重要岗位倾斜，向基层输送急需紧缺人才</w:t>
      </w:r>
      <w:r>
        <w:rPr>
          <w:rFonts w:eastAsia="方正仿宋_GBK"/>
          <w:sz w:val="33"/>
          <w:szCs w:val="33"/>
        </w:rPr>
        <w:t>4000</w:t>
      </w:r>
      <w:r>
        <w:rPr>
          <w:rFonts w:eastAsia="方正仿宋_GBK"/>
          <w:sz w:val="33"/>
          <w:szCs w:val="33"/>
        </w:rPr>
        <w:t>余名。</w:t>
      </w:r>
      <w:r>
        <w:rPr>
          <w:rFonts w:eastAsia="方正仿宋_GBK" w:hint="eastAsia"/>
          <w:sz w:val="33"/>
          <w:szCs w:val="33"/>
        </w:rPr>
        <w:t>加大人才引进编制保障，</w:t>
      </w:r>
      <w:r>
        <w:rPr>
          <w:rFonts w:eastAsia="方正仿宋_GBK"/>
          <w:snapToGrid w:val="0"/>
          <w:sz w:val="33"/>
          <w:szCs w:val="33"/>
        </w:rPr>
        <w:t>开辟绿色引才通道</w:t>
      </w:r>
      <w:r>
        <w:rPr>
          <w:rFonts w:eastAsia="方正仿宋_GBK" w:hint="eastAsia"/>
          <w:snapToGrid w:val="0"/>
          <w:sz w:val="33"/>
          <w:szCs w:val="33"/>
        </w:rPr>
        <w:t>，</w:t>
      </w:r>
      <w:r>
        <w:rPr>
          <w:rFonts w:eastAsia="方正仿宋_GBK"/>
          <w:sz w:val="33"/>
          <w:szCs w:val="33"/>
        </w:rPr>
        <w:t>支持米易县</w:t>
      </w:r>
      <w:r>
        <w:rPr>
          <w:rFonts w:eastAsia="方正仿宋_GBK"/>
          <w:sz w:val="33"/>
          <w:szCs w:val="33"/>
        </w:rPr>
        <w:t>“</w:t>
      </w:r>
      <w:r>
        <w:rPr>
          <w:rFonts w:eastAsia="方正仿宋_GBK"/>
          <w:sz w:val="33"/>
          <w:szCs w:val="33"/>
        </w:rPr>
        <w:t>人才先行示范区</w:t>
      </w:r>
      <w:r>
        <w:rPr>
          <w:rFonts w:eastAsia="方正仿宋_GBK"/>
          <w:sz w:val="33"/>
          <w:szCs w:val="33"/>
        </w:rPr>
        <w:t>”</w:t>
      </w:r>
      <w:r>
        <w:rPr>
          <w:rFonts w:eastAsia="方正仿宋_GBK"/>
          <w:sz w:val="33"/>
          <w:szCs w:val="33"/>
        </w:rPr>
        <w:t>创建，</w:t>
      </w:r>
      <w:r>
        <w:rPr>
          <w:rFonts w:eastAsia="方正仿宋_GBK" w:hint="eastAsia"/>
          <w:sz w:val="33"/>
          <w:szCs w:val="33"/>
        </w:rPr>
        <w:t>拿出</w:t>
      </w:r>
      <w:r>
        <w:rPr>
          <w:rFonts w:eastAsia="方正仿宋_GBK"/>
          <w:sz w:val="33"/>
          <w:szCs w:val="33"/>
        </w:rPr>
        <w:t>10</w:t>
      </w:r>
      <w:r>
        <w:rPr>
          <w:rFonts w:eastAsia="方正仿宋_GBK"/>
          <w:sz w:val="33"/>
          <w:szCs w:val="33"/>
        </w:rPr>
        <w:t>名市本级人才专项事业编制</w:t>
      </w:r>
      <w:r>
        <w:rPr>
          <w:rFonts w:eastAsia="方正仿宋_GBK" w:hint="eastAsia"/>
          <w:sz w:val="33"/>
          <w:szCs w:val="33"/>
        </w:rPr>
        <w:t>支持</w:t>
      </w:r>
      <w:r>
        <w:rPr>
          <w:rFonts w:eastAsia="方正仿宋_GBK"/>
          <w:sz w:val="33"/>
          <w:szCs w:val="33"/>
        </w:rPr>
        <w:t>米易县</w:t>
      </w:r>
      <w:r>
        <w:rPr>
          <w:rFonts w:eastAsia="方正仿宋_GBK" w:hint="eastAsia"/>
          <w:sz w:val="33"/>
          <w:szCs w:val="33"/>
        </w:rPr>
        <w:t>引进</w:t>
      </w:r>
      <w:r>
        <w:rPr>
          <w:rFonts w:eastAsia="方正仿宋_GBK"/>
          <w:sz w:val="33"/>
          <w:szCs w:val="33"/>
        </w:rPr>
        <w:t>人才。</w:t>
      </w:r>
    </w:p>
    <w:p w:rsidR="007F5EC8" w:rsidRDefault="00F75C99">
      <w:pPr>
        <w:spacing w:line="576" w:lineRule="exact"/>
        <w:ind w:firstLine="660"/>
        <w:rPr>
          <w:rFonts w:eastAsia="方正仿宋_GBK"/>
          <w:sz w:val="33"/>
          <w:szCs w:val="33"/>
        </w:rPr>
      </w:pPr>
      <w:r>
        <w:rPr>
          <w:rFonts w:eastAsia="方正仿宋_GBK" w:hint="eastAsia"/>
          <w:b/>
          <w:bCs/>
          <w:sz w:val="33"/>
          <w:szCs w:val="33"/>
        </w:rPr>
        <w:t>四是规范提升实名制管理水平。</w:t>
      </w:r>
      <w:r>
        <w:rPr>
          <w:rFonts w:eastAsia="方正仿宋_GBK" w:hint="eastAsia"/>
          <w:sz w:val="33"/>
          <w:szCs w:val="33"/>
        </w:rPr>
        <w:t>全年共完善基础数据台账</w:t>
      </w:r>
      <w:r>
        <w:rPr>
          <w:rFonts w:eastAsia="方正仿宋_GBK" w:hint="eastAsia"/>
          <w:sz w:val="33"/>
          <w:szCs w:val="33"/>
        </w:rPr>
        <w:t>6032</w:t>
      </w:r>
      <w:r>
        <w:rPr>
          <w:rFonts w:eastAsia="方正仿宋_GBK" w:hint="eastAsia"/>
          <w:sz w:val="33"/>
          <w:szCs w:val="33"/>
        </w:rPr>
        <w:t>项，并完成第二次机构编制核查和</w:t>
      </w:r>
      <w:r>
        <w:rPr>
          <w:rFonts w:eastAsia="方正仿宋_GBK" w:hint="eastAsia"/>
          <w:sz w:val="33"/>
          <w:szCs w:val="33"/>
        </w:rPr>
        <w:t>2021</w:t>
      </w:r>
      <w:r>
        <w:rPr>
          <w:rFonts w:eastAsia="方正仿宋_GBK" w:hint="eastAsia"/>
          <w:sz w:val="33"/>
          <w:szCs w:val="33"/>
        </w:rPr>
        <w:t>年度机构编制统计年报工作，实现“四清两对应”目标。市委编办荣</w:t>
      </w:r>
      <w:r>
        <w:rPr>
          <w:rFonts w:eastAsia="方正仿宋_GBK" w:hint="eastAsia"/>
          <w:sz w:val="33"/>
          <w:szCs w:val="33"/>
        </w:rPr>
        <w:lastRenderedPageBreak/>
        <w:t>获全省</w:t>
      </w:r>
      <w:r>
        <w:rPr>
          <w:rFonts w:eastAsia="方正仿宋_GBK" w:hint="eastAsia"/>
          <w:sz w:val="33"/>
          <w:szCs w:val="33"/>
        </w:rPr>
        <w:t>2021</w:t>
      </w:r>
      <w:r>
        <w:rPr>
          <w:rFonts w:eastAsia="方正仿宋_GBK" w:hint="eastAsia"/>
          <w:sz w:val="33"/>
          <w:szCs w:val="33"/>
        </w:rPr>
        <w:t>年度机构编制统计工作先进单位。</w:t>
      </w:r>
    </w:p>
    <w:p w:rsidR="007F5EC8" w:rsidRDefault="00F75C99">
      <w:pPr>
        <w:spacing w:line="576" w:lineRule="exact"/>
        <w:ind w:firstLine="660"/>
        <w:rPr>
          <w:rFonts w:eastAsia="方正仿宋_GBK"/>
          <w:sz w:val="33"/>
          <w:szCs w:val="33"/>
        </w:rPr>
      </w:pPr>
      <w:r>
        <w:rPr>
          <w:rFonts w:eastAsia="方正仿宋_GBK" w:hint="eastAsia"/>
          <w:b/>
          <w:bCs/>
          <w:sz w:val="33"/>
          <w:szCs w:val="33"/>
        </w:rPr>
        <w:t>五是严格事业单位和统一社会信用代码证书登记管理。</w:t>
      </w:r>
      <w:r>
        <w:rPr>
          <w:rFonts w:eastAsia="方正仿宋_GBK" w:hint="eastAsia"/>
          <w:sz w:val="33"/>
          <w:szCs w:val="33"/>
        </w:rPr>
        <w:t>督促</w:t>
      </w:r>
      <w:r>
        <w:rPr>
          <w:rFonts w:eastAsia="方正仿宋_GBK"/>
          <w:sz w:val="33"/>
          <w:szCs w:val="33"/>
        </w:rPr>
        <w:t>市级</w:t>
      </w:r>
      <w:r>
        <w:rPr>
          <w:rFonts w:eastAsia="方正仿宋_GBK"/>
          <w:sz w:val="33"/>
          <w:szCs w:val="33"/>
        </w:rPr>
        <w:t>252</w:t>
      </w:r>
      <w:r>
        <w:rPr>
          <w:rFonts w:eastAsia="方正仿宋_GBK" w:hint="eastAsia"/>
          <w:sz w:val="33"/>
          <w:szCs w:val="33"/>
        </w:rPr>
        <w:t>家</w:t>
      </w:r>
      <w:r>
        <w:rPr>
          <w:rFonts w:eastAsia="方正仿宋_GBK"/>
          <w:sz w:val="33"/>
          <w:szCs w:val="33"/>
        </w:rPr>
        <w:t>事业单位</w:t>
      </w:r>
      <w:r>
        <w:rPr>
          <w:rFonts w:eastAsia="方正仿宋_GBK" w:hint="eastAsia"/>
          <w:sz w:val="33"/>
          <w:szCs w:val="33"/>
        </w:rPr>
        <w:t>按时完成</w:t>
      </w:r>
      <w:r>
        <w:rPr>
          <w:rFonts w:eastAsia="方正仿宋_GBK"/>
          <w:sz w:val="33"/>
          <w:szCs w:val="33"/>
        </w:rPr>
        <w:t>年度报告</w:t>
      </w:r>
      <w:r>
        <w:rPr>
          <w:rFonts w:eastAsia="方正仿宋_GBK" w:hint="eastAsia"/>
          <w:sz w:val="33"/>
          <w:szCs w:val="33"/>
        </w:rPr>
        <w:t>，报告率、公示率均</w:t>
      </w:r>
      <w:r>
        <w:rPr>
          <w:rFonts w:eastAsia="方正仿宋_GBK" w:hint="eastAsia"/>
          <w:sz w:val="33"/>
          <w:szCs w:val="33"/>
        </w:rPr>
        <w:t>100%</w:t>
      </w:r>
      <w:r>
        <w:rPr>
          <w:rFonts w:eastAsia="方正仿宋_GBK" w:hint="eastAsia"/>
          <w:sz w:val="33"/>
          <w:szCs w:val="33"/>
        </w:rPr>
        <w:t>。开展事业单位新任法定代表人面谈</w:t>
      </w:r>
      <w:r>
        <w:rPr>
          <w:rFonts w:eastAsia="方正仿宋_GBK" w:hint="eastAsia"/>
          <w:sz w:val="33"/>
          <w:szCs w:val="33"/>
        </w:rPr>
        <w:t>60</w:t>
      </w:r>
      <w:r>
        <w:rPr>
          <w:rFonts w:eastAsia="方正仿宋_GBK" w:hint="eastAsia"/>
          <w:sz w:val="33"/>
          <w:szCs w:val="33"/>
        </w:rPr>
        <w:t>余</w:t>
      </w:r>
      <w:r>
        <w:rPr>
          <w:rFonts w:eastAsia="方正仿宋_GBK"/>
          <w:sz w:val="33"/>
          <w:szCs w:val="33"/>
        </w:rPr>
        <w:t>人次</w:t>
      </w:r>
      <w:r>
        <w:rPr>
          <w:rFonts w:eastAsia="方正仿宋_GBK" w:hint="eastAsia"/>
          <w:sz w:val="33"/>
          <w:szCs w:val="33"/>
        </w:rPr>
        <w:t>，及时完成中文域名余额清零。</w:t>
      </w:r>
    </w:p>
    <w:p w:rsidR="007F5EC8" w:rsidRDefault="00F75C99">
      <w:pPr>
        <w:spacing w:line="576" w:lineRule="exact"/>
        <w:ind w:firstLine="660"/>
        <w:rPr>
          <w:rFonts w:eastAsia="方正仿宋_GBK"/>
          <w:sz w:val="33"/>
          <w:szCs w:val="33"/>
        </w:rPr>
      </w:pPr>
      <w:r>
        <w:rPr>
          <w:rFonts w:eastAsia="方正仿宋_GBK" w:hint="eastAsia"/>
          <w:b/>
          <w:bCs/>
          <w:sz w:val="33"/>
          <w:szCs w:val="33"/>
        </w:rPr>
        <w:t>六是持续加强法制化建设。</w:t>
      </w:r>
      <w:r>
        <w:rPr>
          <w:rFonts w:eastAsia="方正仿宋_GBK"/>
          <w:sz w:val="33"/>
          <w:szCs w:val="33"/>
        </w:rPr>
        <w:t>清查整理</w:t>
      </w:r>
      <w:r>
        <w:rPr>
          <w:rFonts w:eastAsia="方正仿宋_GBK"/>
          <w:sz w:val="33"/>
          <w:szCs w:val="33"/>
        </w:rPr>
        <w:t>1995</w:t>
      </w:r>
      <w:r>
        <w:rPr>
          <w:rFonts w:ascii="宋体" w:hAnsi="宋体" w:cs="宋体" w:hint="eastAsia"/>
          <w:sz w:val="33"/>
          <w:szCs w:val="33"/>
        </w:rPr>
        <w:t>～</w:t>
      </w:r>
      <w:r>
        <w:rPr>
          <w:rFonts w:eastAsia="方正仿宋_GBK"/>
          <w:sz w:val="33"/>
          <w:szCs w:val="33"/>
        </w:rPr>
        <w:t>2021</w:t>
      </w:r>
      <w:r>
        <w:rPr>
          <w:rFonts w:eastAsia="方正仿宋_GBK"/>
          <w:sz w:val="33"/>
          <w:szCs w:val="33"/>
        </w:rPr>
        <w:t>年度所有政策文件</w:t>
      </w:r>
      <w:r>
        <w:rPr>
          <w:rFonts w:eastAsia="方正仿宋_GBK" w:hint="eastAsia"/>
          <w:sz w:val="33"/>
          <w:szCs w:val="33"/>
        </w:rPr>
        <w:t>，</w:t>
      </w:r>
      <w:r>
        <w:rPr>
          <w:rFonts w:eastAsia="方正仿宋_GBK"/>
          <w:sz w:val="33"/>
          <w:szCs w:val="33"/>
        </w:rPr>
        <w:t>编印《攀枝花市机构编制重要法规制度汇编》</w:t>
      </w:r>
      <w:r>
        <w:rPr>
          <w:rFonts w:eastAsia="方正仿宋_GBK" w:hint="eastAsia"/>
          <w:sz w:val="33"/>
          <w:szCs w:val="33"/>
        </w:rPr>
        <w:t>。</w:t>
      </w:r>
      <w:r>
        <w:rPr>
          <w:rFonts w:eastAsia="方正仿宋_GBK"/>
          <w:sz w:val="33"/>
          <w:szCs w:val="33"/>
        </w:rPr>
        <w:t>研究</w:t>
      </w:r>
      <w:r>
        <w:rPr>
          <w:rFonts w:eastAsia="方正仿宋_GBK" w:hint="eastAsia"/>
          <w:sz w:val="33"/>
          <w:szCs w:val="33"/>
        </w:rPr>
        <w:t>制订</w:t>
      </w:r>
      <w:r>
        <w:rPr>
          <w:rFonts w:eastAsia="方正仿宋_GBK"/>
          <w:sz w:val="33"/>
          <w:szCs w:val="33"/>
        </w:rPr>
        <w:t>《攀枝花市机构编制工作规程》，</w:t>
      </w:r>
      <w:r>
        <w:rPr>
          <w:rFonts w:eastAsia="方正仿宋_GBK" w:hint="eastAsia"/>
          <w:sz w:val="33"/>
          <w:szCs w:val="33"/>
        </w:rPr>
        <w:t>全流程</w:t>
      </w:r>
      <w:r>
        <w:rPr>
          <w:rFonts w:eastAsia="方正仿宋_GBK"/>
          <w:sz w:val="33"/>
          <w:szCs w:val="33"/>
        </w:rPr>
        <w:t>细化机构编制申请事项的动议、论证、审议等</w:t>
      </w:r>
      <w:r>
        <w:rPr>
          <w:rFonts w:eastAsia="方正仿宋_GBK" w:hint="eastAsia"/>
          <w:sz w:val="33"/>
          <w:szCs w:val="33"/>
        </w:rPr>
        <w:t>程序</w:t>
      </w:r>
      <w:r>
        <w:rPr>
          <w:rFonts w:eastAsia="方正仿宋_GBK"/>
          <w:sz w:val="33"/>
          <w:szCs w:val="33"/>
        </w:rPr>
        <w:t>，</w:t>
      </w:r>
      <w:r>
        <w:rPr>
          <w:rFonts w:eastAsia="方正仿宋_GBK" w:hint="eastAsia"/>
          <w:sz w:val="33"/>
          <w:szCs w:val="33"/>
        </w:rPr>
        <w:t>打造</w:t>
      </w:r>
      <w:r>
        <w:rPr>
          <w:rFonts w:eastAsia="方正仿宋_GBK"/>
          <w:sz w:val="33"/>
          <w:szCs w:val="33"/>
        </w:rPr>
        <w:t>机构编制工作规范</w:t>
      </w:r>
      <w:r>
        <w:rPr>
          <w:rFonts w:eastAsia="方正仿宋_GBK" w:hint="eastAsia"/>
          <w:sz w:val="33"/>
          <w:szCs w:val="33"/>
        </w:rPr>
        <w:t>“一本通”</w:t>
      </w:r>
      <w:r>
        <w:rPr>
          <w:rFonts w:eastAsia="方正仿宋_GBK"/>
          <w:sz w:val="33"/>
          <w:szCs w:val="33"/>
        </w:rPr>
        <w:t>。</w:t>
      </w:r>
    </w:p>
    <w:p w:rsidR="007F5EC8" w:rsidRDefault="00F75C99">
      <w:pPr>
        <w:spacing w:line="576" w:lineRule="exact"/>
        <w:ind w:firstLine="660"/>
        <w:rPr>
          <w:rFonts w:ascii="方正楷体_GBK" w:eastAsia="方正楷体_GBK" w:hAnsi="方正楷体_GBK" w:cs="方正楷体_GBK"/>
          <w:color w:val="000000"/>
          <w:kern w:val="0"/>
          <w:sz w:val="33"/>
          <w:szCs w:val="33"/>
          <w:shd w:val="clear" w:color="auto" w:fill="FFFFFF"/>
          <w:lang w:val="zh-CN"/>
        </w:rPr>
      </w:pPr>
      <w:r>
        <w:rPr>
          <w:rFonts w:eastAsia="方正仿宋_GBK" w:hint="eastAsia"/>
          <w:b/>
          <w:bCs/>
          <w:sz w:val="33"/>
          <w:szCs w:val="33"/>
        </w:rPr>
        <w:t>八是扎实开展监督检查。</w:t>
      </w:r>
      <w:r>
        <w:rPr>
          <w:rFonts w:eastAsia="方正仿宋_GBK"/>
          <w:sz w:val="33"/>
          <w:szCs w:val="33"/>
        </w:rPr>
        <w:t>开展</w:t>
      </w:r>
      <w:r>
        <w:rPr>
          <w:rFonts w:eastAsia="方正仿宋_GBK"/>
          <w:sz w:val="33"/>
          <w:szCs w:val="33"/>
        </w:rPr>
        <w:t>2022</w:t>
      </w:r>
      <w:r>
        <w:rPr>
          <w:rFonts w:eastAsia="方正仿宋_GBK"/>
          <w:sz w:val="33"/>
          <w:szCs w:val="33"/>
        </w:rPr>
        <w:t>年度机构编制工作情况和纪律要求执行情况检查</w:t>
      </w:r>
      <w:r>
        <w:rPr>
          <w:rFonts w:eastAsia="方正仿宋_GBK" w:hint="eastAsia"/>
          <w:sz w:val="33"/>
          <w:szCs w:val="33"/>
        </w:rPr>
        <w:t>，</w:t>
      </w:r>
      <w:r>
        <w:rPr>
          <w:rFonts w:eastAsia="方正仿宋_GBK" w:hint="eastAsia"/>
          <w:sz w:val="33"/>
          <w:szCs w:val="33"/>
          <w:lang w:bidi="ar"/>
        </w:rPr>
        <w:t>检查</w:t>
      </w:r>
      <w:r>
        <w:rPr>
          <w:rFonts w:eastAsia="方正仿宋_GBK"/>
          <w:sz w:val="33"/>
          <w:szCs w:val="33"/>
          <w:lang w:bidi="ar"/>
        </w:rPr>
        <w:t>17</w:t>
      </w:r>
      <w:r>
        <w:rPr>
          <w:rFonts w:eastAsia="方正仿宋_GBK"/>
          <w:sz w:val="33"/>
          <w:szCs w:val="33"/>
          <w:lang w:bidi="ar"/>
        </w:rPr>
        <w:t>个市级机关事业单位。</w:t>
      </w:r>
      <w:r>
        <w:rPr>
          <w:rFonts w:eastAsia="方正仿宋_GBK" w:hint="eastAsia"/>
          <w:sz w:val="33"/>
          <w:szCs w:val="33"/>
          <w:lang w:bidi="ar"/>
        </w:rPr>
        <w:t>大力宣传</w:t>
      </w:r>
      <w:r>
        <w:rPr>
          <w:rFonts w:eastAsia="方正仿宋_GBK"/>
          <w:sz w:val="33"/>
          <w:szCs w:val="33"/>
        </w:rPr>
        <w:t>《机构编制违规违纪违法行为处理和问责规则（试行）》，印发宣传手册</w:t>
      </w:r>
      <w:r>
        <w:rPr>
          <w:rFonts w:eastAsia="方正仿宋_GBK"/>
          <w:sz w:val="33"/>
          <w:szCs w:val="33"/>
        </w:rPr>
        <w:t>600</w:t>
      </w:r>
      <w:r>
        <w:rPr>
          <w:rFonts w:eastAsia="方正仿宋_GBK"/>
          <w:sz w:val="33"/>
          <w:szCs w:val="33"/>
        </w:rPr>
        <w:t>余份。针对</w:t>
      </w:r>
      <w:r>
        <w:rPr>
          <w:rFonts w:eastAsia="方正仿宋_GBK"/>
          <w:sz w:val="33"/>
          <w:szCs w:val="33"/>
        </w:rPr>
        <w:t>2022</w:t>
      </w:r>
      <w:r>
        <w:rPr>
          <w:rFonts w:eastAsia="方正仿宋_GBK"/>
          <w:sz w:val="33"/>
          <w:szCs w:val="33"/>
        </w:rPr>
        <w:t>年度法人公示信息双随机抽查发现问题，发出整改通知</w:t>
      </w:r>
      <w:r>
        <w:rPr>
          <w:rFonts w:eastAsia="方正仿宋_GBK"/>
          <w:sz w:val="33"/>
          <w:szCs w:val="33"/>
        </w:rPr>
        <w:t>6</w:t>
      </w:r>
      <w:r>
        <w:rPr>
          <w:rFonts w:eastAsia="方正仿宋_GBK"/>
          <w:sz w:val="33"/>
          <w:szCs w:val="33"/>
        </w:rPr>
        <w:t>份，约谈事业单位法人</w:t>
      </w:r>
      <w:r>
        <w:rPr>
          <w:rFonts w:eastAsia="方正仿宋_GBK"/>
          <w:sz w:val="33"/>
          <w:szCs w:val="33"/>
        </w:rPr>
        <w:t>1</w:t>
      </w:r>
      <w:r>
        <w:rPr>
          <w:rFonts w:eastAsia="方正仿宋_GBK"/>
          <w:sz w:val="33"/>
          <w:szCs w:val="33"/>
        </w:rPr>
        <w:t>个。</w:t>
      </w:r>
    </w:p>
    <w:p w:rsidR="007F5EC8" w:rsidRDefault="00F75C99" w:rsidP="00F75C99">
      <w:pPr>
        <w:pStyle w:val="a0"/>
        <w:numPr>
          <w:ilvl w:val="0"/>
          <w:numId w:val="4"/>
        </w:numPr>
        <w:spacing w:before="93"/>
        <w:rPr>
          <w:rFonts w:ascii="方正楷体_GBK" w:eastAsia="方正楷体_GBK" w:hAnsi="方正楷体_GBK" w:cs="方正楷体_GBK"/>
          <w:color w:val="000000"/>
          <w:sz w:val="33"/>
          <w:szCs w:val="33"/>
          <w:shd w:val="clear" w:color="auto" w:fill="FFFFFF"/>
          <w:lang w:val="zh-CN"/>
        </w:rPr>
      </w:pPr>
      <w:r>
        <w:rPr>
          <w:rFonts w:ascii="方正楷体_GBK" w:eastAsia="方正楷体_GBK" w:hAnsi="方正楷体_GBK" w:cs="方正楷体_GBK" w:hint="eastAsia"/>
          <w:color w:val="000000"/>
          <w:sz w:val="33"/>
          <w:szCs w:val="33"/>
          <w:shd w:val="clear" w:color="auto" w:fill="FFFFFF"/>
          <w:lang w:val="zh-CN"/>
        </w:rPr>
        <w:t>部门整体支出绩效目标</w:t>
      </w:r>
    </w:p>
    <w:p w:rsidR="007F5EC8" w:rsidRDefault="00F75C99" w:rsidP="00F75C99">
      <w:pPr>
        <w:pStyle w:val="a0"/>
        <w:spacing w:before="93"/>
        <w:rPr>
          <w:rFonts w:ascii="Times New Roman" w:eastAsia="方正仿宋_GBK"/>
          <w:kern w:val="2"/>
          <w:sz w:val="33"/>
          <w:szCs w:val="33"/>
        </w:rPr>
      </w:pPr>
      <w:r>
        <w:rPr>
          <w:rFonts w:ascii="方正楷体_GBK" w:eastAsia="方正楷体_GBK" w:hAnsi="方正楷体_GBK" w:cs="方正楷体_GBK" w:hint="eastAsia"/>
          <w:color w:val="000000"/>
          <w:sz w:val="33"/>
          <w:szCs w:val="33"/>
          <w:shd w:val="clear" w:color="auto" w:fill="FFFFFF"/>
        </w:rPr>
        <w:t xml:space="preserve">   </w:t>
      </w:r>
      <w:r>
        <w:rPr>
          <w:rFonts w:ascii="Times New Roman" w:eastAsia="方正仿宋_GBK" w:hint="eastAsia"/>
          <w:kern w:val="2"/>
          <w:sz w:val="33"/>
          <w:szCs w:val="33"/>
        </w:rPr>
        <w:t xml:space="preserve"> 2022</w:t>
      </w:r>
      <w:r>
        <w:rPr>
          <w:rFonts w:ascii="Times New Roman" w:eastAsia="方正仿宋_GBK" w:hint="eastAsia"/>
          <w:kern w:val="2"/>
          <w:sz w:val="33"/>
          <w:szCs w:val="33"/>
        </w:rPr>
        <w:t>年预算编制阶段，认真收集各科室</w:t>
      </w:r>
      <w:r>
        <w:rPr>
          <w:rFonts w:ascii="Times New Roman" w:eastAsia="方正仿宋_GBK" w:hint="eastAsia"/>
          <w:kern w:val="2"/>
          <w:sz w:val="33"/>
          <w:szCs w:val="33"/>
        </w:rPr>
        <w:t>2022</w:t>
      </w:r>
      <w:r>
        <w:rPr>
          <w:rFonts w:ascii="Times New Roman" w:eastAsia="方正仿宋_GBK" w:hint="eastAsia"/>
          <w:kern w:val="2"/>
          <w:sz w:val="33"/>
          <w:szCs w:val="33"/>
        </w:rPr>
        <w:t>年重点工作目标，编制</w:t>
      </w:r>
      <w:r>
        <w:rPr>
          <w:rFonts w:ascii="Times New Roman" w:eastAsia="方正仿宋_GBK" w:hint="eastAsia"/>
          <w:kern w:val="2"/>
          <w:sz w:val="33"/>
          <w:szCs w:val="33"/>
        </w:rPr>
        <w:t>2022</w:t>
      </w:r>
      <w:r>
        <w:rPr>
          <w:rFonts w:ascii="Times New Roman" w:eastAsia="方正仿宋_GBK" w:hint="eastAsia"/>
          <w:kern w:val="2"/>
          <w:sz w:val="33"/>
          <w:szCs w:val="33"/>
        </w:rPr>
        <w:t>年部门整体支出及项目支出绩效目标，紧紧围绕贯彻落实习近平总书记关于机构编制工作的重要论述、围绕党中央及省委和市委重大决策部署、机构编制管理和重点领域体制改革等细化重点工作任务，逐一落实全年绩效目标考核，着力提高预算编制质量，不断提升财</w:t>
      </w:r>
      <w:r>
        <w:rPr>
          <w:rFonts w:ascii="Times New Roman" w:eastAsia="方正仿宋_GBK" w:hint="eastAsia"/>
          <w:kern w:val="2"/>
          <w:sz w:val="33"/>
          <w:szCs w:val="33"/>
        </w:rPr>
        <w:lastRenderedPageBreak/>
        <w:t>政资金使用效益。</w:t>
      </w:r>
    </w:p>
    <w:p w:rsidR="007F5EC8" w:rsidRDefault="00F75C99">
      <w:pPr>
        <w:widowControl/>
        <w:adjustRightInd w:val="0"/>
        <w:snapToGrid w:val="0"/>
        <w:spacing w:line="580" w:lineRule="exact"/>
        <w:ind w:firstLineChars="200" w:firstLine="660"/>
        <w:contextualSpacing/>
        <w:jc w:val="left"/>
        <w:rPr>
          <w:rFonts w:ascii="方正黑体_GBK" w:eastAsia="方正黑体_GBK" w:hAnsi="方正黑体_GBK" w:cs="方正黑体_GBK"/>
          <w:color w:val="000000"/>
          <w:kern w:val="0"/>
          <w:sz w:val="33"/>
          <w:szCs w:val="33"/>
          <w:shd w:val="clear" w:color="auto" w:fill="FFFFFF"/>
        </w:rPr>
      </w:pPr>
      <w:r>
        <w:rPr>
          <w:rFonts w:ascii="方正黑体_GBK" w:eastAsia="方正黑体_GBK" w:hAnsi="方正黑体_GBK" w:cs="方正黑体_GBK"/>
          <w:color w:val="000000"/>
          <w:kern w:val="0"/>
          <w:sz w:val="33"/>
          <w:szCs w:val="33"/>
          <w:shd w:val="clear" w:color="auto" w:fill="FFFFFF"/>
        </w:rPr>
        <w:t>二、部门财政资金收支情况</w:t>
      </w:r>
    </w:p>
    <w:p w:rsidR="007F5EC8" w:rsidRDefault="00F75C99">
      <w:pPr>
        <w:widowControl/>
        <w:adjustRightInd w:val="0"/>
        <w:snapToGrid w:val="0"/>
        <w:spacing w:line="580" w:lineRule="exact"/>
        <w:ind w:firstLineChars="200" w:firstLine="660"/>
        <w:contextualSpacing/>
        <w:jc w:val="left"/>
        <w:rPr>
          <w:rFonts w:ascii="方正楷体_GBK" w:eastAsia="方正楷体_GBK" w:hAnsi="方正楷体_GBK" w:cs="方正楷体_GBK"/>
          <w:color w:val="000000"/>
          <w:kern w:val="0"/>
          <w:sz w:val="33"/>
          <w:szCs w:val="33"/>
          <w:shd w:val="clear" w:color="auto" w:fill="FFFFFF"/>
          <w:lang w:val="zh-CN"/>
        </w:rPr>
      </w:pPr>
      <w:r>
        <w:rPr>
          <w:rFonts w:ascii="方正楷体_GBK" w:eastAsia="方正楷体_GBK" w:hAnsi="方正楷体_GBK" w:cs="方正楷体_GBK"/>
          <w:color w:val="000000"/>
          <w:kern w:val="0"/>
          <w:sz w:val="33"/>
          <w:szCs w:val="33"/>
          <w:shd w:val="clear" w:color="auto" w:fill="FFFFFF"/>
          <w:lang w:val="zh-CN"/>
        </w:rPr>
        <w:t>（一）部门财政资金收入情况</w:t>
      </w:r>
    </w:p>
    <w:p w:rsidR="007F5EC8" w:rsidRDefault="00F75C99">
      <w:pPr>
        <w:snapToGrid w:val="0"/>
        <w:spacing w:line="576" w:lineRule="exact"/>
        <w:ind w:firstLineChars="200" w:firstLine="660"/>
        <w:rPr>
          <w:rFonts w:eastAsia="方正仿宋_GBK"/>
          <w:sz w:val="33"/>
          <w:szCs w:val="33"/>
        </w:rPr>
      </w:pPr>
      <w:r>
        <w:rPr>
          <w:rFonts w:eastAsia="方正仿宋_GBK"/>
          <w:sz w:val="33"/>
          <w:szCs w:val="33"/>
        </w:rPr>
        <w:t>2022</w:t>
      </w:r>
      <w:r>
        <w:rPr>
          <w:rFonts w:eastAsia="方正仿宋_GBK"/>
          <w:sz w:val="33"/>
          <w:szCs w:val="33"/>
        </w:rPr>
        <w:t>年市委编办财政拨款收入总额</w:t>
      </w:r>
      <w:r>
        <w:rPr>
          <w:rFonts w:eastAsia="方正仿宋_GBK"/>
          <w:sz w:val="33"/>
          <w:szCs w:val="33"/>
        </w:rPr>
        <w:t>607.68</w:t>
      </w:r>
      <w:r>
        <w:rPr>
          <w:rFonts w:eastAsia="方正仿宋_GBK"/>
          <w:sz w:val="33"/>
          <w:szCs w:val="33"/>
        </w:rPr>
        <w:t>万元，其中：一般公共预算财政拨款</w:t>
      </w:r>
      <w:r>
        <w:rPr>
          <w:rFonts w:eastAsia="方正仿宋_GBK"/>
          <w:sz w:val="33"/>
          <w:szCs w:val="33"/>
        </w:rPr>
        <w:t>607.68</w:t>
      </w:r>
      <w:r>
        <w:rPr>
          <w:rFonts w:eastAsia="方正仿宋_GBK"/>
          <w:sz w:val="33"/>
          <w:szCs w:val="33"/>
        </w:rPr>
        <w:t>万元，政府性基金预算财政拨款</w:t>
      </w:r>
      <w:r>
        <w:rPr>
          <w:rFonts w:eastAsia="方正仿宋_GBK"/>
          <w:sz w:val="33"/>
          <w:szCs w:val="33"/>
        </w:rPr>
        <w:t>0</w:t>
      </w:r>
      <w:r>
        <w:rPr>
          <w:rFonts w:eastAsia="方正仿宋_GBK"/>
          <w:sz w:val="33"/>
          <w:szCs w:val="33"/>
        </w:rPr>
        <w:t>万元。</w:t>
      </w:r>
    </w:p>
    <w:p w:rsidR="007F5EC8" w:rsidRDefault="00F75C99">
      <w:pPr>
        <w:widowControl/>
        <w:adjustRightInd w:val="0"/>
        <w:snapToGrid w:val="0"/>
        <w:spacing w:line="580" w:lineRule="exact"/>
        <w:ind w:firstLineChars="200" w:firstLine="660"/>
        <w:contextualSpacing/>
        <w:jc w:val="left"/>
        <w:rPr>
          <w:rFonts w:ascii="方正楷体_GBK" w:eastAsia="方正楷体_GBK" w:hAnsi="方正楷体_GBK" w:cs="方正楷体_GBK"/>
          <w:color w:val="000000"/>
          <w:kern w:val="0"/>
          <w:sz w:val="33"/>
          <w:szCs w:val="33"/>
          <w:shd w:val="clear" w:color="auto" w:fill="FFFFFF"/>
          <w:lang w:val="zh-CN"/>
        </w:rPr>
      </w:pPr>
      <w:r>
        <w:rPr>
          <w:rFonts w:ascii="方正楷体_GBK" w:eastAsia="方正楷体_GBK" w:hAnsi="方正楷体_GBK" w:cs="方正楷体_GBK"/>
          <w:color w:val="000000"/>
          <w:kern w:val="0"/>
          <w:sz w:val="33"/>
          <w:szCs w:val="33"/>
          <w:shd w:val="clear" w:color="auto" w:fill="FFFFFF"/>
          <w:lang w:val="zh-CN"/>
        </w:rPr>
        <w:t>（二）部门财政资金支出情况</w:t>
      </w:r>
    </w:p>
    <w:p w:rsidR="007F5EC8" w:rsidRDefault="00F75C99">
      <w:pPr>
        <w:adjustRightInd w:val="0"/>
        <w:snapToGrid w:val="0"/>
        <w:spacing w:line="576" w:lineRule="exact"/>
        <w:rPr>
          <w:rFonts w:eastAsia="方正仿宋_GBK"/>
          <w:color w:val="000000"/>
          <w:kern w:val="0"/>
          <w:sz w:val="33"/>
          <w:szCs w:val="33"/>
          <w:shd w:val="clear" w:color="auto" w:fill="FFFFFF"/>
          <w:lang w:val="zh-CN"/>
        </w:rPr>
      </w:pPr>
      <w:r>
        <w:rPr>
          <w:rFonts w:eastAsia="方正仿宋_GBK"/>
          <w:sz w:val="33"/>
          <w:szCs w:val="33"/>
        </w:rPr>
        <w:t xml:space="preserve">    2022</w:t>
      </w:r>
      <w:r>
        <w:rPr>
          <w:rFonts w:eastAsia="方正仿宋_GBK"/>
          <w:sz w:val="33"/>
          <w:szCs w:val="33"/>
        </w:rPr>
        <w:t>年市委编办</w:t>
      </w:r>
      <w:r>
        <w:rPr>
          <w:rFonts w:eastAsia="方正仿宋_GBK"/>
          <w:sz w:val="33"/>
          <w:szCs w:val="33"/>
          <w:lang w:val="zh-CN"/>
        </w:rPr>
        <w:t>财政拨款支出总额</w:t>
      </w:r>
      <w:r>
        <w:rPr>
          <w:rFonts w:eastAsia="方正仿宋_GBK"/>
          <w:sz w:val="33"/>
          <w:szCs w:val="33"/>
        </w:rPr>
        <w:t>607.68</w:t>
      </w:r>
      <w:r>
        <w:rPr>
          <w:rFonts w:eastAsia="方正仿宋_GBK"/>
          <w:sz w:val="33"/>
          <w:szCs w:val="33"/>
        </w:rPr>
        <w:t>万元，其中</w:t>
      </w:r>
      <w:r>
        <w:rPr>
          <w:rFonts w:eastAsia="方正仿宋_GBK"/>
          <w:sz w:val="33"/>
          <w:szCs w:val="33"/>
          <w:lang w:val="zh-CN"/>
        </w:rPr>
        <w:t>其中人员支出</w:t>
      </w:r>
      <w:r>
        <w:rPr>
          <w:rFonts w:eastAsia="方正仿宋_GBK"/>
          <w:sz w:val="33"/>
          <w:szCs w:val="33"/>
          <w:lang w:val="zh-CN"/>
        </w:rPr>
        <w:t xml:space="preserve"> </w:t>
      </w:r>
      <w:r>
        <w:rPr>
          <w:rFonts w:eastAsia="方正仿宋_GBK"/>
          <w:sz w:val="33"/>
          <w:szCs w:val="33"/>
        </w:rPr>
        <w:t>533.89</w:t>
      </w:r>
      <w:r>
        <w:rPr>
          <w:rFonts w:eastAsia="方正仿宋_GBK"/>
          <w:sz w:val="33"/>
          <w:szCs w:val="33"/>
          <w:lang w:val="zh-CN"/>
        </w:rPr>
        <w:t>万元，公用经费支出</w:t>
      </w:r>
      <w:r>
        <w:rPr>
          <w:rFonts w:eastAsia="方正仿宋_GBK"/>
          <w:sz w:val="33"/>
          <w:szCs w:val="33"/>
          <w:lang w:val="zh-CN"/>
        </w:rPr>
        <w:t xml:space="preserve"> </w:t>
      </w:r>
      <w:r>
        <w:rPr>
          <w:rFonts w:eastAsia="方正仿宋_GBK"/>
          <w:sz w:val="33"/>
          <w:szCs w:val="33"/>
        </w:rPr>
        <w:t>67.52</w:t>
      </w:r>
      <w:r>
        <w:rPr>
          <w:rFonts w:eastAsia="方正仿宋_GBK"/>
          <w:sz w:val="33"/>
          <w:szCs w:val="33"/>
          <w:lang w:val="zh-CN"/>
        </w:rPr>
        <w:t>万元，项目支出</w:t>
      </w:r>
      <w:r>
        <w:rPr>
          <w:rFonts w:eastAsia="方正仿宋_GBK"/>
          <w:sz w:val="33"/>
          <w:szCs w:val="33"/>
          <w:lang w:val="zh-CN"/>
        </w:rPr>
        <w:t xml:space="preserve"> </w:t>
      </w:r>
      <w:r>
        <w:rPr>
          <w:rFonts w:eastAsia="方正仿宋_GBK"/>
          <w:sz w:val="33"/>
          <w:szCs w:val="33"/>
        </w:rPr>
        <w:t>6.27</w:t>
      </w:r>
      <w:r>
        <w:rPr>
          <w:rFonts w:eastAsia="方正仿宋_GBK"/>
          <w:sz w:val="33"/>
          <w:szCs w:val="33"/>
          <w:lang w:val="zh-CN"/>
        </w:rPr>
        <w:t xml:space="preserve"> </w:t>
      </w:r>
      <w:r>
        <w:rPr>
          <w:rFonts w:eastAsia="方正仿宋_GBK"/>
          <w:sz w:val="33"/>
          <w:szCs w:val="33"/>
          <w:lang w:val="zh-CN"/>
        </w:rPr>
        <w:t>万元。</w:t>
      </w:r>
    </w:p>
    <w:p w:rsidR="007F5EC8" w:rsidRDefault="00F75C99">
      <w:pPr>
        <w:widowControl/>
        <w:adjustRightInd w:val="0"/>
        <w:snapToGrid w:val="0"/>
        <w:spacing w:line="580" w:lineRule="exact"/>
        <w:ind w:firstLineChars="200" w:firstLine="660"/>
        <w:contextualSpacing/>
        <w:jc w:val="left"/>
        <w:rPr>
          <w:rFonts w:ascii="方正黑体_GBK" w:eastAsia="方正黑体_GBK" w:hAnsi="方正黑体_GBK" w:cs="方正黑体_GBK"/>
          <w:color w:val="000000"/>
          <w:kern w:val="0"/>
          <w:sz w:val="33"/>
          <w:szCs w:val="33"/>
          <w:shd w:val="clear" w:color="auto" w:fill="FFFFFF"/>
        </w:rPr>
      </w:pPr>
      <w:r>
        <w:rPr>
          <w:rFonts w:ascii="方正黑体_GBK" w:eastAsia="方正黑体_GBK" w:hAnsi="方正黑体_GBK" w:cs="方正黑体_GBK" w:hint="eastAsia"/>
          <w:color w:val="000000"/>
          <w:kern w:val="0"/>
          <w:sz w:val="33"/>
          <w:szCs w:val="33"/>
          <w:shd w:val="clear" w:color="auto" w:fill="FFFFFF"/>
        </w:rPr>
        <w:t>三、部门整体绩效分析</w:t>
      </w:r>
    </w:p>
    <w:p w:rsidR="007F5EC8" w:rsidRDefault="00F75C99">
      <w:pPr>
        <w:widowControl/>
        <w:adjustRightInd w:val="0"/>
        <w:snapToGrid w:val="0"/>
        <w:spacing w:line="580" w:lineRule="exact"/>
        <w:ind w:firstLineChars="200" w:firstLine="660"/>
        <w:contextualSpacing/>
        <w:jc w:val="left"/>
        <w:rPr>
          <w:rFonts w:ascii="方正楷体_GBK" w:eastAsia="方正楷体_GBK" w:hAnsi="方正楷体_GBK" w:cs="方正楷体_GBK"/>
          <w:color w:val="000000"/>
          <w:kern w:val="0"/>
          <w:sz w:val="33"/>
          <w:szCs w:val="33"/>
          <w:shd w:val="clear" w:color="auto" w:fill="FFFFFF"/>
          <w:lang w:val="zh-CN"/>
        </w:rPr>
      </w:pPr>
      <w:r>
        <w:rPr>
          <w:rFonts w:ascii="方正楷体_GBK" w:eastAsia="方正楷体_GBK" w:hAnsi="方正楷体_GBK" w:cs="方正楷体_GBK" w:hint="eastAsia"/>
          <w:color w:val="000000"/>
          <w:kern w:val="0"/>
          <w:sz w:val="33"/>
          <w:szCs w:val="33"/>
          <w:shd w:val="clear" w:color="auto" w:fill="FFFFFF"/>
          <w:lang w:val="zh-CN"/>
        </w:rPr>
        <w:t>（一）部门预算项目绩效分析</w:t>
      </w:r>
    </w:p>
    <w:p w:rsidR="007F5EC8" w:rsidRDefault="00F75C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人员类项目绩效分析。2022年，市委编办人员类项目共计15个，全年预算数533.89万元，决算数533.89万元，执行率100%。根据人员支出标准，由市财政按标准核定下达，并统一设置绩效考核指标。我办严格执行工资津贴补贴相关政策，确保全办人员工资及时发放；严格按照市社保局、市医保局和市公积金中心通知，及时调整申报基数，确保全办人员按时缴纳单位部分的养老保险、医疗保险、工伤保险、公积金等。</w:t>
      </w:r>
    </w:p>
    <w:p w:rsidR="007F5EC8" w:rsidRDefault="00F75C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2.运转类项目绩效分析。2022年，市委编办运转类项目共计6个，全年预算数73.79万元，决算数73.79万元，执行率100%。其中公用经费类项目5个，其他运转类项目1个。</w:t>
      </w:r>
    </w:p>
    <w:p w:rsidR="007F5EC8" w:rsidRDefault="00F75C99" w:rsidP="00F75C99">
      <w:pPr>
        <w:pStyle w:val="a0"/>
        <w:spacing w:before="93"/>
        <w:rPr>
          <w:rFonts w:hAnsi="仿宋_GB2312" w:cs="仿宋_GB2312"/>
          <w:sz w:val="32"/>
          <w:szCs w:val="32"/>
          <w:shd w:val="clear" w:color="auto" w:fill="FFFFFF"/>
        </w:rPr>
      </w:pPr>
      <w:r>
        <w:rPr>
          <w:rFonts w:hAnsi="仿宋_GB2312" w:cs="仿宋_GB2312" w:hint="eastAsia"/>
          <w:sz w:val="32"/>
          <w:szCs w:val="32"/>
          <w:shd w:val="clear" w:color="auto" w:fill="FFFFFF"/>
        </w:rPr>
        <w:t xml:space="preserve">   （1）公用经费类项目。全年预算数67.52万元，决算数</w:t>
      </w:r>
      <w:r>
        <w:rPr>
          <w:rFonts w:hAnsi="仿宋_GB2312" w:cs="仿宋_GB2312" w:hint="eastAsia"/>
          <w:sz w:val="32"/>
          <w:szCs w:val="32"/>
          <w:shd w:val="clear" w:color="auto" w:fill="FFFFFF"/>
        </w:rPr>
        <w:lastRenderedPageBreak/>
        <w:t>67.52万元，执行率100%。根据定额公用经费核定标准，结合职能职责，由市财政按标准核定下达，并统一设置绩效考核指标。主要用于保障日常开支办公费、水费、电费、物业管理费、公务接待费、公车运行维护费、会议费、差旅费、培训费等支出，有效保障单位日常运转。</w:t>
      </w:r>
    </w:p>
    <w:p w:rsidR="007F5EC8" w:rsidRDefault="00F75C99" w:rsidP="00F75C99">
      <w:pPr>
        <w:pStyle w:val="a0"/>
        <w:spacing w:before="93"/>
        <w:rPr>
          <w:rFonts w:hAnsi="仿宋_GB2312" w:cs="仿宋_GB2312"/>
          <w:sz w:val="32"/>
          <w:szCs w:val="32"/>
          <w:shd w:val="clear" w:color="auto" w:fill="FFFFFF"/>
        </w:rPr>
      </w:pPr>
      <w:r>
        <w:rPr>
          <w:rFonts w:hAnsi="仿宋_GB2312" w:cs="仿宋_GB2312" w:hint="eastAsia"/>
          <w:sz w:val="32"/>
          <w:szCs w:val="32"/>
          <w:shd w:val="clear" w:color="auto" w:fill="FFFFFF"/>
        </w:rPr>
        <w:t xml:space="preserve">   （2）其他运转类项目。全年预算数6.27万元，决算数6.27万元，执行率100%。主要用于支付办公用房的物业管理费，保障了全办日常工作的正常开展。</w:t>
      </w:r>
    </w:p>
    <w:p w:rsidR="007F5EC8" w:rsidRDefault="00F75C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3.特定目标类项目绩效分析。2022年，我办无特定目标类项目。</w:t>
      </w:r>
    </w:p>
    <w:p w:rsidR="007F5EC8" w:rsidRDefault="00F75C99">
      <w:pPr>
        <w:widowControl/>
        <w:adjustRightInd w:val="0"/>
        <w:snapToGrid w:val="0"/>
        <w:spacing w:line="580" w:lineRule="exact"/>
        <w:ind w:firstLineChars="200" w:firstLine="660"/>
        <w:contextualSpacing/>
        <w:jc w:val="left"/>
        <w:rPr>
          <w:rFonts w:ascii="方正楷体_GBK" w:eastAsia="方正楷体_GBK" w:hAnsi="方正楷体_GBK" w:cs="方正楷体_GBK"/>
          <w:color w:val="000000"/>
          <w:kern w:val="0"/>
          <w:sz w:val="33"/>
          <w:szCs w:val="33"/>
          <w:shd w:val="clear" w:color="auto" w:fill="FFFFFF"/>
          <w:lang w:val="zh-CN"/>
        </w:rPr>
      </w:pPr>
      <w:r>
        <w:rPr>
          <w:rFonts w:ascii="方正楷体_GBK" w:eastAsia="方正楷体_GBK" w:hAnsi="方正楷体_GBK" w:cs="方正楷体_GBK" w:hint="eastAsia"/>
          <w:color w:val="000000"/>
          <w:kern w:val="0"/>
          <w:sz w:val="33"/>
          <w:szCs w:val="33"/>
          <w:shd w:val="clear" w:color="auto" w:fill="FFFFFF"/>
          <w:lang w:val="zh-CN"/>
        </w:rPr>
        <w:t>（二）部门整体履职绩效分析</w:t>
      </w:r>
    </w:p>
    <w:p w:rsidR="007F5EC8" w:rsidRDefault="00F75C99">
      <w:pPr>
        <w:spacing w:line="576" w:lineRule="exact"/>
        <w:ind w:firstLineChars="200" w:firstLine="660"/>
        <w:rPr>
          <w:rFonts w:eastAsia="方正仿宋_GBK"/>
          <w:sz w:val="33"/>
          <w:szCs w:val="33"/>
          <w:lang w:val="zh-CN"/>
        </w:rPr>
      </w:pPr>
      <w:r>
        <w:rPr>
          <w:rFonts w:eastAsia="方正仿宋_GBK"/>
          <w:sz w:val="33"/>
          <w:szCs w:val="33"/>
          <w:lang w:val="zh-CN"/>
        </w:rPr>
        <w:t>1.</w:t>
      </w:r>
      <w:r>
        <w:rPr>
          <w:rFonts w:eastAsia="方正仿宋_GBK" w:hint="eastAsia"/>
          <w:sz w:val="33"/>
          <w:szCs w:val="33"/>
          <w:lang w:val="zh-CN"/>
        </w:rPr>
        <w:t>目标管理（</w:t>
      </w:r>
      <w:r>
        <w:rPr>
          <w:rFonts w:eastAsia="方正仿宋_GBK" w:hint="eastAsia"/>
          <w:sz w:val="33"/>
          <w:szCs w:val="33"/>
        </w:rPr>
        <w:t>30</w:t>
      </w:r>
      <w:r>
        <w:rPr>
          <w:rFonts w:eastAsia="方正仿宋_GBK" w:hint="eastAsia"/>
          <w:sz w:val="33"/>
          <w:szCs w:val="33"/>
        </w:rPr>
        <w:t>分，得</w:t>
      </w:r>
      <w:r>
        <w:rPr>
          <w:rFonts w:eastAsia="方正仿宋_GBK" w:hint="eastAsia"/>
          <w:sz w:val="33"/>
          <w:szCs w:val="33"/>
        </w:rPr>
        <w:t>30</w:t>
      </w:r>
      <w:r>
        <w:rPr>
          <w:rFonts w:eastAsia="方正仿宋_GBK" w:hint="eastAsia"/>
          <w:sz w:val="33"/>
          <w:szCs w:val="33"/>
        </w:rPr>
        <w:t>分</w:t>
      </w:r>
      <w:r>
        <w:rPr>
          <w:rFonts w:eastAsia="方正仿宋_GBK" w:hint="eastAsia"/>
          <w:sz w:val="33"/>
          <w:szCs w:val="33"/>
          <w:lang w:val="zh-CN"/>
        </w:rPr>
        <w:t>）</w:t>
      </w:r>
    </w:p>
    <w:p w:rsidR="007F5EC8" w:rsidRDefault="00F75C99">
      <w:pPr>
        <w:spacing w:line="576" w:lineRule="exact"/>
        <w:ind w:firstLineChars="200" w:firstLine="660"/>
        <w:rPr>
          <w:rFonts w:eastAsia="方正仿宋_GBK"/>
          <w:sz w:val="33"/>
          <w:szCs w:val="33"/>
          <w:lang w:val="zh-CN"/>
        </w:rPr>
      </w:pPr>
      <w:r>
        <w:rPr>
          <w:rFonts w:eastAsia="方正仿宋_GBK" w:hint="eastAsia"/>
          <w:sz w:val="33"/>
          <w:szCs w:val="33"/>
          <w:lang w:val="zh-CN"/>
        </w:rPr>
        <w:t>（</w:t>
      </w:r>
      <w:r>
        <w:rPr>
          <w:rFonts w:eastAsia="方正仿宋_GBK" w:hint="eastAsia"/>
          <w:sz w:val="33"/>
          <w:szCs w:val="33"/>
        </w:rPr>
        <w:t>1</w:t>
      </w:r>
      <w:r>
        <w:rPr>
          <w:rFonts w:eastAsia="方正仿宋_GBK" w:hint="eastAsia"/>
          <w:sz w:val="33"/>
          <w:szCs w:val="33"/>
          <w:lang w:val="zh-CN"/>
        </w:rPr>
        <w:t>）</w:t>
      </w:r>
      <w:r>
        <w:rPr>
          <w:rFonts w:eastAsia="方正仿宋_GBK"/>
          <w:sz w:val="33"/>
          <w:szCs w:val="33"/>
          <w:lang w:val="zh-CN"/>
        </w:rPr>
        <w:t>目标制定</w:t>
      </w:r>
      <w:r>
        <w:rPr>
          <w:rFonts w:eastAsia="方正仿宋_GBK" w:hint="eastAsia"/>
          <w:sz w:val="33"/>
          <w:szCs w:val="33"/>
          <w:lang w:val="zh-CN"/>
        </w:rPr>
        <w:t>（</w:t>
      </w:r>
      <w:r>
        <w:rPr>
          <w:rFonts w:eastAsia="方正仿宋_GBK" w:hint="eastAsia"/>
          <w:sz w:val="33"/>
          <w:szCs w:val="33"/>
        </w:rPr>
        <w:t>15</w:t>
      </w:r>
      <w:r>
        <w:rPr>
          <w:rFonts w:eastAsia="方正仿宋_GBK" w:hint="eastAsia"/>
          <w:sz w:val="33"/>
          <w:szCs w:val="33"/>
        </w:rPr>
        <w:t>分，得</w:t>
      </w:r>
      <w:r>
        <w:rPr>
          <w:rFonts w:eastAsia="方正仿宋_GBK" w:hint="eastAsia"/>
          <w:sz w:val="33"/>
          <w:szCs w:val="33"/>
        </w:rPr>
        <w:t>15</w:t>
      </w:r>
      <w:r>
        <w:rPr>
          <w:rFonts w:eastAsia="方正仿宋_GBK" w:hint="eastAsia"/>
          <w:sz w:val="33"/>
          <w:szCs w:val="33"/>
        </w:rPr>
        <w:t>分</w:t>
      </w:r>
      <w:r>
        <w:rPr>
          <w:rFonts w:eastAsia="方正仿宋_GBK" w:hint="eastAsia"/>
          <w:sz w:val="33"/>
          <w:szCs w:val="33"/>
          <w:lang w:val="zh-CN"/>
        </w:rPr>
        <w:t>）</w:t>
      </w:r>
    </w:p>
    <w:p w:rsidR="007F5EC8" w:rsidRDefault="00F75C99">
      <w:pPr>
        <w:spacing w:line="576" w:lineRule="exact"/>
        <w:ind w:firstLineChars="200" w:firstLine="660"/>
        <w:rPr>
          <w:rFonts w:eastAsia="方正仿宋_GBK"/>
          <w:bCs/>
          <w:sz w:val="33"/>
          <w:szCs w:val="33"/>
          <w:lang w:val="zh-CN"/>
        </w:rPr>
      </w:pPr>
      <w:r>
        <w:rPr>
          <w:rFonts w:eastAsia="方正仿宋_GBK"/>
          <w:bCs/>
          <w:sz w:val="33"/>
          <w:szCs w:val="33"/>
          <w:lang w:val="zh-CN"/>
        </w:rPr>
        <w:t>一是明确目标任务。</w:t>
      </w:r>
      <w:r>
        <w:rPr>
          <w:rFonts w:eastAsia="方正仿宋_GBK"/>
          <w:bCs/>
          <w:sz w:val="33"/>
          <w:szCs w:val="33"/>
          <w:lang w:val="zh-CN"/>
        </w:rPr>
        <w:t>202</w:t>
      </w:r>
      <w:r>
        <w:rPr>
          <w:rFonts w:eastAsia="方正仿宋_GBK"/>
          <w:bCs/>
          <w:sz w:val="33"/>
          <w:szCs w:val="33"/>
        </w:rPr>
        <w:t>2</w:t>
      </w:r>
      <w:r>
        <w:rPr>
          <w:rFonts w:eastAsia="方正仿宋_GBK"/>
          <w:bCs/>
          <w:sz w:val="33"/>
          <w:szCs w:val="33"/>
          <w:lang w:val="zh-CN"/>
        </w:rPr>
        <w:t>年，市委编办认真贯彻落实市委和市委编委安排部署，紧紧围绕全市中心大局和重点工作任务，做好机构编制服务保障工作。在制定全年目标任务时，我办从全力保障好经济社会发展的机构编制需求、构建与高质量发展和高效能治理相适应的机构职能体系、深耕重点领域和环节体制机制改革、增强机构编制优化配置等方面进一步细化了各项工作任务。二是严控预算编制。在编制全年经费预算时紧扣制定的目标任务，通过对历年预算编制情况、上年预算执行情况及当年重点工作情况，并结合当前物价水平，严格按照财政部门的规定合理编制</w:t>
      </w:r>
      <w:r>
        <w:rPr>
          <w:rFonts w:eastAsia="方正仿宋_GBK"/>
          <w:bCs/>
          <w:sz w:val="33"/>
          <w:szCs w:val="33"/>
          <w:lang w:val="zh-CN"/>
        </w:rPr>
        <w:lastRenderedPageBreak/>
        <w:t>年度预算，同时要求编制预算时必须有相应的测算依据。三是优化绩效目标设定。我办按照</w:t>
      </w:r>
      <w:r>
        <w:rPr>
          <w:rFonts w:eastAsia="方正仿宋_GBK"/>
          <w:bCs/>
          <w:sz w:val="33"/>
          <w:szCs w:val="33"/>
          <w:lang w:val="zh-CN"/>
        </w:rPr>
        <w:t>“</w:t>
      </w:r>
      <w:r>
        <w:rPr>
          <w:rFonts w:eastAsia="方正仿宋_GBK"/>
          <w:bCs/>
          <w:sz w:val="33"/>
          <w:szCs w:val="33"/>
          <w:lang w:val="zh-CN"/>
        </w:rPr>
        <w:t>指向明确、具体细化、合理可行和财力约束</w:t>
      </w:r>
      <w:r>
        <w:rPr>
          <w:rFonts w:eastAsia="方正仿宋_GBK"/>
          <w:bCs/>
          <w:sz w:val="33"/>
          <w:szCs w:val="33"/>
          <w:lang w:val="zh-CN"/>
        </w:rPr>
        <w:t>”</w:t>
      </w:r>
      <w:r>
        <w:rPr>
          <w:rFonts w:eastAsia="方正仿宋_GBK"/>
          <w:bCs/>
          <w:sz w:val="33"/>
          <w:szCs w:val="33"/>
          <w:lang w:val="zh-CN"/>
        </w:rPr>
        <w:t>的原则，从数量、质量、成本和时效等方面细化了绩效指标，能够量化的尽量进行定量表述，不能以量化形式表述的，采用定性的分级分档形式表述。同时注重绩效目标符合客观实际，能够在一定期限内如期实现。</w:t>
      </w:r>
    </w:p>
    <w:p w:rsidR="007F5EC8" w:rsidRDefault="00F75C99">
      <w:pPr>
        <w:spacing w:line="576" w:lineRule="exact"/>
        <w:ind w:firstLineChars="200" w:firstLine="660"/>
        <w:rPr>
          <w:rFonts w:eastAsia="方正仿宋_GBK"/>
          <w:sz w:val="33"/>
          <w:szCs w:val="33"/>
          <w:lang w:val="zh-CN"/>
        </w:rPr>
      </w:pPr>
      <w:r>
        <w:rPr>
          <w:rFonts w:eastAsia="方正仿宋_GBK" w:hint="eastAsia"/>
          <w:bCs/>
          <w:sz w:val="33"/>
          <w:szCs w:val="33"/>
          <w:lang w:val="zh-CN"/>
        </w:rPr>
        <w:t>（</w:t>
      </w:r>
      <w:r>
        <w:rPr>
          <w:rFonts w:eastAsia="方正仿宋_GBK" w:hint="eastAsia"/>
          <w:bCs/>
          <w:sz w:val="33"/>
          <w:szCs w:val="33"/>
        </w:rPr>
        <w:t>2</w:t>
      </w:r>
      <w:r>
        <w:rPr>
          <w:rFonts w:eastAsia="方正仿宋_GBK" w:hint="eastAsia"/>
          <w:bCs/>
          <w:sz w:val="33"/>
          <w:szCs w:val="33"/>
          <w:lang w:val="zh-CN"/>
        </w:rPr>
        <w:t>）</w:t>
      </w:r>
      <w:r>
        <w:rPr>
          <w:rFonts w:eastAsia="方正仿宋_GBK"/>
          <w:bCs/>
          <w:sz w:val="33"/>
          <w:szCs w:val="33"/>
          <w:lang w:val="zh-CN"/>
        </w:rPr>
        <w:t>目标实现</w:t>
      </w:r>
      <w:r>
        <w:rPr>
          <w:rFonts w:eastAsia="方正仿宋_GBK" w:hint="eastAsia"/>
          <w:sz w:val="33"/>
          <w:szCs w:val="33"/>
          <w:lang w:val="zh-CN"/>
        </w:rPr>
        <w:t>（</w:t>
      </w:r>
      <w:r>
        <w:rPr>
          <w:rFonts w:eastAsia="方正仿宋_GBK" w:hint="eastAsia"/>
          <w:sz w:val="33"/>
          <w:szCs w:val="33"/>
        </w:rPr>
        <w:t>15</w:t>
      </w:r>
      <w:r>
        <w:rPr>
          <w:rFonts w:eastAsia="方正仿宋_GBK" w:hint="eastAsia"/>
          <w:sz w:val="33"/>
          <w:szCs w:val="33"/>
        </w:rPr>
        <w:t>分，得</w:t>
      </w:r>
      <w:r>
        <w:rPr>
          <w:rFonts w:eastAsia="方正仿宋_GBK" w:hint="eastAsia"/>
          <w:sz w:val="33"/>
          <w:szCs w:val="33"/>
        </w:rPr>
        <w:t>15</w:t>
      </w:r>
      <w:r>
        <w:rPr>
          <w:rFonts w:eastAsia="方正仿宋_GBK" w:hint="eastAsia"/>
          <w:sz w:val="33"/>
          <w:szCs w:val="33"/>
        </w:rPr>
        <w:t>分</w:t>
      </w:r>
      <w:r>
        <w:rPr>
          <w:rFonts w:eastAsia="方正仿宋_GBK" w:hint="eastAsia"/>
          <w:sz w:val="33"/>
          <w:szCs w:val="33"/>
          <w:lang w:val="zh-CN"/>
        </w:rPr>
        <w:t>）</w:t>
      </w:r>
    </w:p>
    <w:p w:rsidR="007F5EC8" w:rsidRDefault="00F75C99">
      <w:pPr>
        <w:spacing w:line="576" w:lineRule="exact"/>
        <w:ind w:firstLineChars="200" w:firstLine="660"/>
        <w:rPr>
          <w:rFonts w:eastAsia="方正仿宋_GBK"/>
          <w:sz w:val="33"/>
          <w:szCs w:val="33"/>
          <w:lang w:val="zh-CN"/>
        </w:rPr>
      </w:pPr>
      <w:r>
        <w:rPr>
          <w:rFonts w:eastAsia="方正仿宋_GBK"/>
          <w:sz w:val="33"/>
          <w:szCs w:val="33"/>
          <w:lang w:val="zh-CN"/>
        </w:rPr>
        <w:t>为确保预算绩效目标的实现，强化结果运用管理，市委编办积极推进预算绩效运行监控，及时根据监控结果和工作任务变动开展预算动态调整，确保了绩效目标实现。其中人员类项目，主要是按时足额发放职工工资、津补贴、绩效奖金，足额缴纳社保、公积金等，保障了职工正常福利待遇；运转类项目，包括公用经费、物业管理费，按照工作实际和运转需要完成办公费、水电费、网络费、维修维护费的支付，保障了机关办公正常运转。</w:t>
      </w:r>
    </w:p>
    <w:p w:rsidR="007F5EC8" w:rsidRDefault="00F75C99" w:rsidP="00F75C99">
      <w:pPr>
        <w:pStyle w:val="a0"/>
        <w:spacing w:before="93" w:line="576" w:lineRule="exact"/>
        <w:rPr>
          <w:rFonts w:ascii="Times New Roman" w:eastAsia="方正仿宋_GBK"/>
          <w:sz w:val="33"/>
          <w:szCs w:val="33"/>
        </w:rPr>
      </w:pPr>
      <w:r>
        <w:rPr>
          <w:rFonts w:ascii="Times New Roman" w:eastAsia="方正仿宋_GBK" w:hint="eastAsia"/>
          <w:sz w:val="33"/>
          <w:szCs w:val="33"/>
        </w:rPr>
        <w:t xml:space="preserve">    2.</w:t>
      </w:r>
      <w:r>
        <w:rPr>
          <w:rFonts w:ascii="Times New Roman" w:eastAsia="方正仿宋_GBK" w:hint="eastAsia"/>
          <w:sz w:val="33"/>
          <w:szCs w:val="33"/>
        </w:rPr>
        <w:t>动态调整（</w:t>
      </w:r>
      <w:r>
        <w:rPr>
          <w:rFonts w:ascii="Times New Roman" w:eastAsia="方正仿宋_GBK" w:hint="eastAsia"/>
          <w:sz w:val="33"/>
          <w:szCs w:val="33"/>
        </w:rPr>
        <w:t>20</w:t>
      </w:r>
      <w:r>
        <w:rPr>
          <w:rFonts w:ascii="Times New Roman" w:eastAsia="方正仿宋_GBK" w:hint="eastAsia"/>
          <w:sz w:val="33"/>
          <w:szCs w:val="33"/>
        </w:rPr>
        <w:t>分，得</w:t>
      </w:r>
      <w:r>
        <w:rPr>
          <w:rFonts w:ascii="Times New Roman" w:eastAsia="方正仿宋_GBK" w:hint="eastAsia"/>
          <w:sz w:val="33"/>
          <w:szCs w:val="33"/>
        </w:rPr>
        <w:t>20</w:t>
      </w:r>
      <w:r>
        <w:rPr>
          <w:rFonts w:ascii="Times New Roman" w:eastAsia="方正仿宋_GBK" w:hint="eastAsia"/>
          <w:sz w:val="33"/>
          <w:szCs w:val="33"/>
        </w:rPr>
        <w:t>分）</w:t>
      </w:r>
    </w:p>
    <w:p w:rsidR="007F5EC8" w:rsidRDefault="00F75C99" w:rsidP="00F75C99">
      <w:pPr>
        <w:pStyle w:val="a0"/>
        <w:spacing w:before="93" w:line="576" w:lineRule="exact"/>
        <w:rPr>
          <w:rFonts w:ascii="Times New Roman" w:eastAsia="方正仿宋_GBK"/>
          <w:sz w:val="33"/>
          <w:szCs w:val="33"/>
          <w:lang w:val="zh-CN"/>
        </w:rPr>
      </w:pPr>
      <w:r>
        <w:rPr>
          <w:rFonts w:ascii="Times New Roman" w:eastAsia="方正仿宋_GBK" w:hint="eastAsia"/>
          <w:sz w:val="33"/>
          <w:szCs w:val="33"/>
        </w:rPr>
        <w:t xml:space="preserve">   </w:t>
      </w:r>
      <w:r>
        <w:rPr>
          <w:rFonts w:ascii="Times New Roman" w:eastAsia="方正仿宋_GBK" w:hint="eastAsia"/>
          <w:sz w:val="33"/>
          <w:szCs w:val="33"/>
        </w:rPr>
        <w:t>（</w:t>
      </w:r>
      <w:r>
        <w:rPr>
          <w:rFonts w:ascii="Times New Roman" w:eastAsia="方正仿宋_GBK" w:hint="eastAsia"/>
          <w:sz w:val="33"/>
          <w:szCs w:val="33"/>
        </w:rPr>
        <w:t>1</w:t>
      </w:r>
      <w:r>
        <w:rPr>
          <w:rFonts w:ascii="Times New Roman" w:eastAsia="方正仿宋_GBK" w:hint="eastAsia"/>
          <w:sz w:val="33"/>
          <w:szCs w:val="33"/>
        </w:rPr>
        <w:t>）</w:t>
      </w:r>
      <w:r>
        <w:rPr>
          <w:rFonts w:ascii="Times New Roman" w:eastAsia="方正仿宋_GBK"/>
          <w:sz w:val="33"/>
          <w:szCs w:val="33"/>
          <w:lang w:val="zh-CN"/>
        </w:rPr>
        <w:t>支出控制</w:t>
      </w:r>
      <w:r>
        <w:rPr>
          <w:rFonts w:ascii="Times New Roman" w:eastAsia="方正仿宋_GBK" w:hint="eastAsia"/>
          <w:sz w:val="33"/>
          <w:szCs w:val="33"/>
          <w:lang w:val="zh-CN"/>
        </w:rPr>
        <w:t>（</w:t>
      </w:r>
      <w:r>
        <w:rPr>
          <w:rFonts w:ascii="Times New Roman" w:eastAsia="方正仿宋_GBK" w:hint="eastAsia"/>
          <w:sz w:val="33"/>
          <w:szCs w:val="33"/>
        </w:rPr>
        <w:t>5</w:t>
      </w:r>
      <w:r>
        <w:rPr>
          <w:rFonts w:ascii="Times New Roman" w:eastAsia="方正仿宋_GBK" w:hint="eastAsia"/>
          <w:sz w:val="33"/>
          <w:szCs w:val="33"/>
        </w:rPr>
        <w:t>分，得</w:t>
      </w:r>
      <w:r>
        <w:rPr>
          <w:rFonts w:ascii="Times New Roman" w:eastAsia="方正仿宋_GBK" w:hint="eastAsia"/>
          <w:sz w:val="33"/>
          <w:szCs w:val="33"/>
        </w:rPr>
        <w:t>5</w:t>
      </w:r>
      <w:r>
        <w:rPr>
          <w:rFonts w:ascii="Times New Roman" w:eastAsia="方正仿宋_GBK" w:hint="eastAsia"/>
          <w:sz w:val="33"/>
          <w:szCs w:val="33"/>
        </w:rPr>
        <w:t>分</w:t>
      </w:r>
      <w:r>
        <w:rPr>
          <w:rFonts w:ascii="Times New Roman" w:eastAsia="方正仿宋_GBK" w:hint="eastAsia"/>
          <w:sz w:val="33"/>
          <w:szCs w:val="33"/>
          <w:lang w:val="zh-CN"/>
        </w:rPr>
        <w:t>）</w:t>
      </w:r>
    </w:p>
    <w:p w:rsidR="007F5EC8" w:rsidRDefault="00F75C99">
      <w:pPr>
        <w:spacing w:line="576" w:lineRule="exact"/>
        <w:ind w:firstLineChars="200" w:firstLine="660"/>
        <w:rPr>
          <w:rFonts w:eastAsia="方正仿宋_GBK"/>
          <w:sz w:val="33"/>
          <w:szCs w:val="33"/>
          <w:lang w:val="zh-CN"/>
        </w:rPr>
      </w:pPr>
      <w:r>
        <w:rPr>
          <w:rFonts w:eastAsia="方正仿宋_GBK" w:hint="eastAsia"/>
          <w:sz w:val="33"/>
          <w:szCs w:val="33"/>
        </w:rPr>
        <w:t>2021</w:t>
      </w:r>
      <w:r>
        <w:rPr>
          <w:rFonts w:eastAsia="方正仿宋_GBK" w:hint="eastAsia"/>
          <w:sz w:val="33"/>
          <w:szCs w:val="33"/>
        </w:rPr>
        <w:t>年，我办</w:t>
      </w:r>
      <w:r>
        <w:rPr>
          <w:rFonts w:eastAsia="方正仿宋_GBK"/>
          <w:sz w:val="33"/>
          <w:szCs w:val="33"/>
          <w:lang w:val="zh-CN"/>
        </w:rPr>
        <w:t>日常公用经费</w:t>
      </w:r>
      <w:r>
        <w:rPr>
          <w:rFonts w:eastAsia="方正仿宋_GBK" w:hint="eastAsia"/>
          <w:sz w:val="33"/>
          <w:szCs w:val="33"/>
          <w:lang w:val="zh-CN"/>
        </w:rPr>
        <w:t>、项目经费中</w:t>
      </w:r>
      <w:r>
        <w:rPr>
          <w:rFonts w:eastAsia="方正仿宋_GBK"/>
          <w:sz w:val="33"/>
          <w:szCs w:val="33"/>
          <w:lang w:val="zh-CN"/>
        </w:rPr>
        <w:t>“</w:t>
      </w:r>
      <w:r>
        <w:rPr>
          <w:rFonts w:eastAsia="方正仿宋_GBK"/>
          <w:sz w:val="33"/>
          <w:szCs w:val="33"/>
          <w:lang w:val="zh-CN"/>
        </w:rPr>
        <w:t>办公费、印刷费、水费、电费</w:t>
      </w:r>
      <w:r>
        <w:rPr>
          <w:rFonts w:eastAsia="方正仿宋_GBK" w:hint="eastAsia"/>
          <w:sz w:val="33"/>
          <w:szCs w:val="33"/>
          <w:lang w:val="zh-CN"/>
        </w:rPr>
        <w:t>、物业管理费</w:t>
      </w:r>
      <w:r>
        <w:rPr>
          <w:rFonts w:eastAsia="方正仿宋_GBK"/>
          <w:sz w:val="33"/>
          <w:szCs w:val="33"/>
          <w:lang w:val="zh-CN"/>
        </w:rPr>
        <w:t>”</w:t>
      </w:r>
      <w:r>
        <w:rPr>
          <w:rFonts w:eastAsia="方正仿宋_GBK"/>
          <w:sz w:val="33"/>
          <w:szCs w:val="33"/>
          <w:lang w:val="zh-CN"/>
        </w:rPr>
        <w:t>等</w:t>
      </w:r>
      <w:r>
        <w:rPr>
          <w:rFonts w:eastAsia="方正仿宋_GBK" w:hint="eastAsia"/>
          <w:sz w:val="33"/>
          <w:szCs w:val="33"/>
          <w:lang w:val="zh-CN"/>
        </w:rPr>
        <w:t>科目</w:t>
      </w:r>
      <w:r>
        <w:rPr>
          <w:rFonts w:eastAsia="方正仿宋_GBK"/>
          <w:sz w:val="33"/>
          <w:szCs w:val="33"/>
          <w:lang w:val="zh-CN"/>
        </w:rPr>
        <w:t>年初预算数与决算数偏度</w:t>
      </w:r>
      <w:r>
        <w:rPr>
          <w:rFonts w:eastAsia="方正仿宋_GBK" w:hint="eastAsia"/>
          <w:sz w:val="33"/>
          <w:szCs w:val="33"/>
          <w:lang w:val="zh-CN"/>
        </w:rPr>
        <w:t>差程度均在</w:t>
      </w:r>
      <w:r>
        <w:rPr>
          <w:rFonts w:eastAsia="方正仿宋_GBK" w:hint="eastAsia"/>
          <w:sz w:val="33"/>
          <w:szCs w:val="33"/>
        </w:rPr>
        <w:t>10%</w:t>
      </w:r>
      <w:r>
        <w:rPr>
          <w:rFonts w:eastAsia="方正仿宋_GBK" w:hint="eastAsia"/>
          <w:sz w:val="33"/>
          <w:szCs w:val="33"/>
        </w:rPr>
        <w:t>以内，支出控制较好，得</w:t>
      </w:r>
      <w:r>
        <w:rPr>
          <w:rFonts w:eastAsia="方正仿宋_GBK" w:hint="eastAsia"/>
          <w:sz w:val="33"/>
          <w:szCs w:val="33"/>
        </w:rPr>
        <w:t>5</w:t>
      </w:r>
      <w:r>
        <w:rPr>
          <w:rFonts w:eastAsia="方正仿宋_GBK" w:hint="eastAsia"/>
          <w:sz w:val="33"/>
          <w:szCs w:val="33"/>
        </w:rPr>
        <w:t>分。</w:t>
      </w:r>
      <w:r>
        <w:rPr>
          <w:rFonts w:eastAsia="方正仿宋_GBK"/>
          <w:sz w:val="33"/>
          <w:szCs w:val="33"/>
          <w:lang w:val="zh-CN"/>
        </w:rPr>
        <w:t xml:space="preserve">                              </w:t>
      </w:r>
    </w:p>
    <w:p w:rsidR="007F5EC8" w:rsidRDefault="00F75C99">
      <w:pPr>
        <w:snapToGrid w:val="0"/>
        <w:spacing w:line="520" w:lineRule="exact"/>
        <w:ind w:firstLineChars="200" w:firstLine="660"/>
        <w:rPr>
          <w:rFonts w:eastAsia="方正仿宋_GBK"/>
          <w:sz w:val="33"/>
          <w:szCs w:val="33"/>
          <w:lang w:val="zh-CN"/>
        </w:rPr>
      </w:pPr>
      <w:r>
        <w:rPr>
          <w:rFonts w:eastAsia="方正仿宋_GBK" w:hint="eastAsia"/>
          <w:sz w:val="33"/>
          <w:szCs w:val="33"/>
          <w:lang w:val="zh-CN"/>
        </w:rPr>
        <w:t>（</w:t>
      </w:r>
      <w:r>
        <w:rPr>
          <w:rFonts w:eastAsia="方正仿宋_GBK" w:hint="eastAsia"/>
          <w:sz w:val="33"/>
          <w:szCs w:val="33"/>
        </w:rPr>
        <w:t>2</w:t>
      </w:r>
      <w:r>
        <w:rPr>
          <w:rFonts w:eastAsia="方正仿宋_GBK" w:hint="eastAsia"/>
          <w:sz w:val="33"/>
          <w:szCs w:val="33"/>
          <w:lang w:val="zh-CN"/>
        </w:rPr>
        <w:t>）</w:t>
      </w:r>
      <w:r>
        <w:rPr>
          <w:rFonts w:eastAsia="方正仿宋_GBK"/>
          <w:sz w:val="33"/>
          <w:szCs w:val="33"/>
          <w:lang w:val="zh-CN"/>
        </w:rPr>
        <w:t>及时处置</w:t>
      </w:r>
      <w:r>
        <w:rPr>
          <w:rFonts w:eastAsia="方正仿宋_GBK" w:hint="eastAsia"/>
          <w:sz w:val="33"/>
          <w:szCs w:val="33"/>
          <w:lang w:val="zh-CN"/>
        </w:rPr>
        <w:t>（</w:t>
      </w:r>
      <w:r>
        <w:rPr>
          <w:rFonts w:eastAsia="方正仿宋_GBK" w:hint="eastAsia"/>
          <w:sz w:val="33"/>
          <w:szCs w:val="33"/>
        </w:rPr>
        <w:t>10</w:t>
      </w:r>
      <w:r>
        <w:rPr>
          <w:rFonts w:eastAsia="方正仿宋_GBK" w:hint="eastAsia"/>
          <w:sz w:val="33"/>
          <w:szCs w:val="33"/>
        </w:rPr>
        <w:t>分，得</w:t>
      </w:r>
      <w:r>
        <w:rPr>
          <w:rFonts w:eastAsia="方正仿宋_GBK" w:hint="eastAsia"/>
          <w:sz w:val="33"/>
          <w:szCs w:val="33"/>
        </w:rPr>
        <w:t>10</w:t>
      </w:r>
      <w:r>
        <w:rPr>
          <w:rFonts w:eastAsia="方正仿宋_GBK" w:hint="eastAsia"/>
          <w:sz w:val="33"/>
          <w:szCs w:val="33"/>
        </w:rPr>
        <w:t>分</w:t>
      </w:r>
      <w:r>
        <w:rPr>
          <w:rFonts w:eastAsia="方正仿宋_GBK" w:hint="eastAsia"/>
          <w:sz w:val="33"/>
          <w:szCs w:val="33"/>
          <w:lang w:val="zh-CN"/>
        </w:rPr>
        <w:t>）</w:t>
      </w:r>
    </w:p>
    <w:p w:rsidR="007F5EC8" w:rsidRDefault="00F75C99">
      <w:pPr>
        <w:snapToGrid w:val="0"/>
        <w:spacing w:line="520" w:lineRule="exact"/>
        <w:ind w:firstLineChars="200" w:firstLine="660"/>
        <w:rPr>
          <w:rFonts w:eastAsia="方正仿宋_GBK"/>
          <w:sz w:val="33"/>
          <w:szCs w:val="33"/>
        </w:rPr>
      </w:pPr>
      <w:r>
        <w:rPr>
          <w:rFonts w:eastAsia="方正仿宋_GBK"/>
          <w:sz w:val="33"/>
          <w:szCs w:val="33"/>
        </w:rPr>
        <w:t>2022</w:t>
      </w:r>
      <w:r>
        <w:rPr>
          <w:rFonts w:eastAsia="方正仿宋_GBK"/>
          <w:sz w:val="33"/>
          <w:szCs w:val="33"/>
        </w:rPr>
        <w:t>年</w:t>
      </w:r>
      <w:r>
        <w:rPr>
          <w:rFonts w:eastAsia="方正仿宋_GBK" w:hint="eastAsia"/>
          <w:sz w:val="33"/>
          <w:szCs w:val="33"/>
        </w:rPr>
        <w:t>，我办年中申请追加“</w:t>
      </w:r>
      <w:r>
        <w:rPr>
          <w:rFonts w:eastAsia="方正仿宋_GBK"/>
          <w:sz w:val="33"/>
          <w:szCs w:val="33"/>
        </w:rPr>
        <w:t>物业管理费</w:t>
      </w:r>
      <w:r>
        <w:rPr>
          <w:rFonts w:eastAsia="方正仿宋_GBK" w:hint="eastAsia"/>
          <w:sz w:val="33"/>
          <w:szCs w:val="33"/>
        </w:rPr>
        <w:t>”，及时调整绩效目标，填报绩效目标申报表并报市财政局备案。</w:t>
      </w:r>
      <w:r>
        <w:rPr>
          <w:rFonts w:eastAsia="方正仿宋_GBK"/>
          <w:sz w:val="33"/>
          <w:szCs w:val="33"/>
        </w:rPr>
        <w:t>按照合</w:t>
      </w:r>
      <w:r>
        <w:rPr>
          <w:rFonts w:eastAsia="方正仿宋_GBK"/>
          <w:sz w:val="33"/>
          <w:szCs w:val="33"/>
        </w:rPr>
        <w:lastRenderedPageBreak/>
        <w:t>同约定我办全年的物业管理费近</w:t>
      </w:r>
      <w:r>
        <w:rPr>
          <w:rFonts w:eastAsia="方正仿宋_GBK"/>
          <w:sz w:val="33"/>
          <w:szCs w:val="33"/>
        </w:rPr>
        <w:t>10</w:t>
      </w:r>
      <w:r>
        <w:rPr>
          <w:rFonts w:eastAsia="方正仿宋_GBK"/>
          <w:sz w:val="33"/>
          <w:szCs w:val="33"/>
        </w:rPr>
        <w:t>万元</w:t>
      </w:r>
      <w:r>
        <w:rPr>
          <w:rFonts w:eastAsia="方正仿宋_GBK" w:hint="eastAsia"/>
          <w:sz w:val="33"/>
          <w:szCs w:val="33"/>
        </w:rPr>
        <w:t>，但市财政仅下达</w:t>
      </w:r>
      <w:r>
        <w:rPr>
          <w:rFonts w:eastAsia="方正仿宋_GBK" w:hint="eastAsia"/>
          <w:sz w:val="33"/>
          <w:szCs w:val="33"/>
        </w:rPr>
        <w:t>6.27</w:t>
      </w:r>
      <w:r>
        <w:rPr>
          <w:rFonts w:eastAsia="方正仿宋_GBK" w:hint="eastAsia"/>
          <w:sz w:val="33"/>
          <w:szCs w:val="33"/>
        </w:rPr>
        <w:t>万元，</w:t>
      </w:r>
      <w:r>
        <w:rPr>
          <w:rFonts w:eastAsia="方正仿宋_GBK"/>
          <w:sz w:val="33"/>
          <w:szCs w:val="33"/>
        </w:rPr>
        <w:t>针对该情况，我办多次到市财政局沟通协调该项经费的追加及支付相关事宜。</w:t>
      </w:r>
    </w:p>
    <w:p w:rsidR="007F5EC8" w:rsidRDefault="00F75C99">
      <w:pPr>
        <w:numPr>
          <w:ilvl w:val="0"/>
          <w:numId w:val="5"/>
        </w:numPr>
        <w:spacing w:line="576" w:lineRule="exact"/>
        <w:ind w:firstLineChars="200" w:firstLine="660"/>
        <w:rPr>
          <w:rFonts w:eastAsia="方正仿宋_GBK"/>
          <w:sz w:val="33"/>
          <w:szCs w:val="33"/>
          <w:lang w:val="zh-CN"/>
        </w:rPr>
      </w:pPr>
      <w:r>
        <w:rPr>
          <w:rFonts w:eastAsia="方正仿宋_GBK"/>
          <w:sz w:val="33"/>
          <w:szCs w:val="33"/>
          <w:lang w:val="zh-CN"/>
        </w:rPr>
        <w:t>执行进度</w:t>
      </w:r>
      <w:r>
        <w:rPr>
          <w:rFonts w:eastAsia="方正仿宋_GBK" w:hint="eastAsia"/>
          <w:sz w:val="33"/>
          <w:szCs w:val="33"/>
          <w:lang w:val="zh-CN"/>
        </w:rPr>
        <w:t>（</w:t>
      </w:r>
      <w:r>
        <w:rPr>
          <w:rFonts w:eastAsia="方正仿宋_GBK" w:hint="eastAsia"/>
          <w:sz w:val="33"/>
          <w:szCs w:val="33"/>
        </w:rPr>
        <w:t>5</w:t>
      </w:r>
      <w:r>
        <w:rPr>
          <w:rFonts w:eastAsia="方正仿宋_GBK" w:hint="eastAsia"/>
          <w:sz w:val="33"/>
          <w:szCs w:val="33"/>
        </w:rPr>
        <w:t>分，得</w:t>
      </w:r>
      <w:r>
        <w:rPr>
          <w:rFonts w:eastAsia="方正仿宋_GBK" w:hint="eastAsia"/>
          <w:sz w:val="33"/>
          <w:szCs w:val="33"/>
        </w:rPr>
        <w:t>5</w:t>
      </w:r>
      <w:r>
        <w:rPr>
          <w:rFonts w:eastAsia="方正仿宋_GBK" w:hint="eastAsia"/>
          <w:sz w:val="33"/>
          <w:szCs w:val="33"/>
        </w:rPr>
        <w:t>分</w:t>
      </w:r>
      <w:r>
        <w:rPr>
          <w:rFonts w:eastAsia="方正仿宋_GBK" w:hint="eastAsia"/>
          <w:sz w:val="33"/>
          <w:szCs w:val="33"/>
          <w:lang w:val="zh-CN"/>
        </w:rPr>
        <w:t>）</w:t>
      </w:r>
    </w:p>
    <w:p w:rsidR="007F5EC8" w:rsidRDefault="00F75C99" w:rsidP="00F75C99">
      <w:pPr>
        <w:pStyle w:val="a0"/>
        <w:spacing w:before="93"/>
      </w:pPr>
      <w:r>
        <w:rPr>
          <w:rFonts w:hint="eastAsia"/>
        </w:rPr>
        <w:t xml:space="preserve">    </w:t>
      </w:r>
      <w:r>
        <w:rPr>
          <w:rFonts w:ascii="Times New Roman" w:eastAsia="方正仿宋_GBK" w:hint="eastAsia"/>
          <w:snapToGrid w:val="0"/>
          <w:sz w:val="33"/>
          <w:szCs w:val="33"/>
        </w:rPr>
        <w:t>根据预算管理一体化系统中《可执行指标执行情况表》，</w:t>
      </w:r>
      <w:r>
        <w:rPr>
          <w:rFonts w:ascii="Times New Roman" w:eastAsia="方正仿宋_GBK" w:hint="eastAsia"/>
          <w:snapToGrid w:val="0"/>
          <w:sz w:val="33"/>
          <w:szCs w:val="33"/>
        </w:rPr>
        <w:t>2022</w:t>
      </w:r>
      <w:r>
        <w:rPr>
          <w:rFonts w:ascii="Times New Roman" w:eastAsia="方正仿宋_GBK" w:hint="eastAsia"/>
          <w:snapToGrid w:val="0"/>
          <w:sz w:val="33"/>
          <w:szCs w:val="33"/>
        </w:rPr>
        <w:t>年</w:t>
      </w:r>
      <w:r>
        <w:rPr>
          <w:rFonts w:ascii="Times New Roman" w:eastAsia="方正仿宋_GBK" w:hint="eastAsia"/>
          <w:snapToGrid w:val="0"/>
          <w:sz w:val="33"/>
          <w:szCs w:val="33"/>
        </w:rPr>
        <w:t>1-6</w:t>
      </w:r>
      <w:r>
        <w:rPr>
          <w:rFonts w:ascii="Times New Roman" w:eastAsia="方正仿宋_GBK" w:hint="eastAsia"/>
          <w:snapToGrid w:val="0"/>
          <w:sz w:val="33"/>
          <w:szCs w:val="33"/>
        </w:rPr>
        <w:t>月支出进度为</w:t>
      </w:r>
      <w:r>
        <w:rPr>
          <w:rFonts w:ascii="Times New Roman" w:eastAsia="方正仿宋_GBK" w:hint="eastAsia"/>
          <w:snapToGrid w:val="0"/>
          <w:sz w:val="33"/>
          <w:szCs w:val="33"/>
        </w:rPr>
        <w:t>52.08%</w:t>
      </w:r>
      <w:r>
        <w:rPr>
          <w:rFonts w:ascii="Times New Roman" w:eastAsia="方正仿宋_GBK" w:hint="eastAsia"/>
          <w:snapToGrid w:val="0"/>
          <w:sz w:val="33"/>
          <w:szCs w:val="33"/>
        </w:rPr>
        <w:t>，超过</w:t>
      </w:r>
      <w:r>
        <w:rPr>
          <w:rFonts w:ascii="Times New Roman" w:eastAsia="方正仿宋_GBK" w:hint="eastAsia"/>
          <w:snapToGrid w:val="0"/>
          <w:sz w:val="33"/>
          <w:szCs w:val="33"/>
        </w:rPr>
        <w:t>40%</w:t>
      </w:r>
      <w:r>
        <w:rPr>
          <w:rFonts w:ascii="Times New Roman" w:eastAsia="方正仿宋_GBK" w:hint="eastAsia"/>
          <w:snapToGrid w:val="0"/>
          <w:sz w:val="33"/>
          <w:szCs w:val="33"/>
        </w:rPr>
        <w:t>，得</w:t>
      </w:r>
      <w:r>
        <w:rPr>
          <w:rFonts w:ascii="Times New Roman" w:eastAsia="方正仿宋_GBK" w:hint="eastAsia"/>
          <w:snapToGrid w:val="0"/>
          <w:sz w:val="33"/>
          <w:szCs w:val="33"/>
        </w:rPr>
        <w:t>1</w:t>
      </w:r>
      <w:r>
        <w:rPr>
          <w:rFonts w:ascii="Times New Roman" w:eastAsia="方正仿宋_GBK" w:hint="eastAsia"/>
          <w:snapToGrid w:val="0"/>
          <w:sz w:val="33"/>
          <w:szCs w:val="33"/>
        </w:rPr>
        <w:t>分；</w:t>
      </w:r>
      <w:r>
        <w:rPr>
          <w:rFonts w:ascii="Times New Roman" w:eastAsia="方正仿宋_GBK" w:hint="eastAsia"/>
          <w:snapToGrid w:val="0"/>
          <w:sz w:val="33"/>
          <w:szCs w:val="33"/>
        </w:rPr>
        <w:t>2022</w:t>
      </w:r>
      <w:r>
        <w:rPr>
          <w:rFonts w:ascii="Times New Roman" w:eastAsia="方正仿宋_GBK" w:hint="eastAsia"/>
          <w:snapToGrid w:val="0"/>
          <w:sz w:val="33"/>
          <w:szCs w:val="33"/>
        </w:rPr>
        <w:t>年</w:t>
      </w:r>
      <w:r>
        <w:rPr>
          <w:rFonts w:ascii="Times New Roman" w:eastAsia="方正仿宋_GBK" w:hint="eastAsia"/>
          <w:snapToGrid w:val="0"/>
          <w:sz w:val="33"/>
          <w:szCs w:val="33"/>
        </w:rPr>
        <w:t>1-9</w:t>
      </w:r>
      <w:r>
        <w:rPr>
          <w:rFonts w:ascii="Times New Roman" w:eastAsia="方正仿宋_GBK" w:hint="eastAsia"/>
          <w:snapToGrid w:val="0"/>
          <w:sz w:val="33"/>
          <w:szCs w:val="33"/>
        </w:rPr>
        <w:t>月支出进度为</w:t>
      </w:r>
      <w:r>
        <w:rPr>
          <w:rFonts w:ascii="Times New Roman" w:eastAsia="方正仿宋_GBK" w:hint="eastAsia"/>
          <w:snapToGrid w:val="0"/>
          <w:sz w:val="33"/>
          <w:szCs w:val="33"/>
        </w:rPr>
        <w:t>76.09%</w:t>
      </w:r>
      <w:r>
        <w:rPr>
          <w:rFonts w:ascii="Times New Roman" w:eastAsia="方正仿宋_GBK" w:hint="eastAsia"/>
          <w:snapToGrid w:val="0"/>
          <w:sz w:val="33"/>
          <w:szCs w:val="33"/>
        </w:rPr>
        <w:t>，超过</w:t>
      </w:r>
      <w:r>
        <w:rPr>
          <w:rFonts w:ascii="Times New Roman" w:eastAsia="方正仿宋_GBK" w:hint="eastAsia"/>
          <w:snapToGrid w:val="0"/>
          <w:sz w:val="33"/>
          <w:szCs w:val="33"/>
        </w:rPr>
        <w:t>67.5%</w:t>
      </w:r>
      <w:r>
        <w:rPr>
          <w:rFonts w:ascii="Times New Roman" w:eastAsia="方正仿宋_GBK" w:hint="eastAsia"/>
          <w:snapToGrid w:val="0"/>
          <w:sz w:val="33"/>
          <w:szCs w:val="33"/>
        </w:rPr>
        <w:t>，得</w:t>
      </w:r>
      <w:r>
        <w:rPr>
          <w:rFonts w:ascii="Times New Roman" w:eastAsia="方正仿宋_GBK" w:hint="eastAsia"/>
          <w:snapToGrid w:val="0"/>
          <w:sz w:val="33"/>
          <w:szCs w:val="33"/>
        </w:rPr>
        <w:t>2</w:t>
      </w:r>
      <w:r>
        <w:rPr>
          <w:rFonts w:ascii="Times New Roman" w:eastAsia="方正仿宋_GBK" w:hint="eastAsia"/>
          <w:snapToGrid w:val="0"/>
          <w:sz w:val="33"/>
          <w:szCs w:val="33"/>
        </w:rPr>
        <w:t>分；</w:t>
      </w:r>
      <w:r>
        <w:rPr>
          <w:rFonts w:ascii="Times New Roman" w:eastAsia="方正仿宋_GBK" w:hint="eastAsia"/>
          <w:snapToGrid w:val="0"/>
          <w:sz w:val="33"/>
          <w:szCs w:val="33"/>
        </w:rPr>
        <w:t>2022</w:t>
      </w:r>
      <w:r>
        <w:rPr>
          <w:rFonts w:ascii="Times New Roman" w:eastAsia="方正仿宋_GBK" w:hint="eastAsia"/>
          <w:snapToGrid w:val="0"/>
          <w:sz w:val="33"/>
          <w:szCs w:val="33"/>
        </w:rPr>
        <w:t>你那</w:t>
      </w:r>
      <w:r>
        <w:rPr>
          <w:rFonts w:ascii="Times New Roman" w:eastAsia="方正仿宋_GBK" w:hint="eastAsia"/>
          <w:snapToGrid w:val="0"/>
          <w:sz w:val="33"/>
          <w:szCs w:val="33"/>
        </w:rPr>
        <w:t>1-11</w:t>
      </w:r>
      <w:r>
        <w:rPr>
          <w:rFonts w:ascii="Times New Roman" w:eastAsia="方正仿宋_GBK" w:hint="eastAsia"/>
          <w:snapToGrid w:val="0"/>
          <w:sz w:val="33"/>
          <w:szCs w:val="33"/>
        </w:rPr>
        <w:t>月支出进度为</w:t>
      </w:r>
      <w:r>
        <w:rPr>
          <w:rFonts w:ascii="Times New Roman" w:eastAsia="方正仿宋_GBK" w:hint="eastAsia"/>
          <w:snapToGrid w:val="0"/>
          <w:sz w:val="33"/>
          <w:szCs w:val="33"/>
        </w:rPr>
        <w:t>88.76%</w:t>
      </w:r>
      <w:r>
        <w:rPr>
          <w:rFonts w:ascii="Times New Roman" w:eastAsia="方正仿宋_GBK" w:hint="eastAsia"/>
          <w:snapToGrid w:val="0"/>
          <w:sz w:val="33"/>
          <w:szCs w:val="33"/>
        </w:rPr>
        <w:t>，超过</w:t>
      </w:r>
      <w:r>
        <w:rPr>
          <w:rFonts w:ascii="Times New Roman" w:eastAsia="方正仿宋_GBK" w:hint="eastAsia"/>
          <w:snapToGrid w:val="0"/>
          <w:sz w:val="33"/>
          <w:szCs w:val="33"/>
        </w:rPr>
        <w:t>82.5%</w:t>
      </w:r>
      <w:r>
        <w:rPr>
          <w:rFonts w:ascii="Times New Roman" w:eastAsia="方正仿宋_GBK" w:hint="eastAsia"/>
          <w:snapToGrid w:val="0"/>
          <w:sz w:val="33"/>
          <w:szCs w:val="33"/>
        </w:rPr>
        <w:t>，得</w:t>
      </w:r>
      <w:r>
        <w:rPr>
          <w:rFonts w:ascii="Times New Roman" w:eastAsia="方正仿宋_GBK" w:hint="eastAsia"/>
          <w:snapToGrid w:val="0"/>
          <w:sz w:val="33"/>
          <w:szCs w:val="33"/>
        </w:rPr>
        <w:t>2</w:t>
      </w:r>
      <w:r>
        <w:rPr>
          <w:rFonts w:ascii="Times New Roman" w:eastAsia="方正仿宋_GBK" w:hint="eastAsia"/>
          <w:snapToGrid w:val="0"/>
          <w:sz w:val="33"/>
          <w:szCs w:val="33"/>
        </w:rPr>
        <w:t>分。</w:t>
      </w:r>
    </w:p>
    <w:p w:rsidR="007F5EC8" w:rsidRDefault="00F75C99">
      <w:pPr>
        <w:spacing w:line="576" w:lineRule="exact"/>
        <w:rPr>
          <w:rFonts w:eastAsia="方正仿宋_GBK"/>
          <w:bCs/>
          <w:sz w:val="33"/>
          <w:szCs w:val="33"/>
        </w:rPr>
      </w:pPr>
      <w:r>
        <w:rPr>
          <w:rFonts w:eastAsia="方正仿宋_GBK" w:hint="eastAsia"/>
          <w:bCs/>
          <w:sz w:val="33"/>
          <w:szCs w:val="33"/>
        </w:rPr>
        <w:t xml:space="preserve">    3.</w:t>
      </w:r>
      <w:r>
        <w:rPr>
          <w:rFonts w:eastAsia="方正仿宋_GBK" w:hint="eastAsia"/>
          <w:bCs/>
          <w:sz w:val="33"/>
          <w:szCs w:val="33"/>
        </w:rPr>
        <w:t>完成结果（</w:t>
      </w:r>
      <w:r>
        <w:rPr>
          <w:rFonts w:eastAsia="方正仿宋_GBK" w:hint="eastAsia"/>
          <w:bCs/>
          <w:sz w:val="33"/>
          <w:szCs w:val="33"/>
        </w:rPr>
        <w:t>20</w:t>
      </w:r>
      <w:r>
        <w:rPr>
          <w:rFonts w:eastAsia="方正仿宋_GBK" w:hint="eastAsia"/>
          <w:bCs/>
          <w:sz w:val="33"/>
          <w:szCs w:val="33"/>
        </w:rPr>
        <w:t>分，得</w:t>
      </w:r>
      <w:r>
        <w:rPr>
          <w:rFonts w:eastAsia="方正仿宋_GBK" w:hint="eastAsia"/>
          <w:bCs/>
          <w:sz w:val="33"/>
          <w:szCs w:val="33"/>
        </w:rPr>
        <w:t>20</w:t>
      </w:r>
      <w:r>
        <w:rPr>
          <w:rFonts w:eastAsia="方正仿宋_GBK" w:hint="eastAsia"/>
          <w:bCs/>
          <w:sz w:val="33"/>
          <w:szCs w:val="33"/>
        </w:rPr>
        <w:t>分）</w:t>
      </w:r>
    </w:p>
    <w:p w:rsidR="007F5EC8" w:rsidRDefault="00F75C99">
      <w:pPr>
        <w:spacing w:line="576" w:lineRule="exact"/>
        <w:rPr>
          <w:rFonts w:eastAsia="方正仿宋_GBK"/>
          <w:bCs/>
          <w:sz w:val="33"/>
          <w:szCs w:val="33"/>
        </w:rPr>
      </w:pPr>
      <w:r>
        <w:rPr>
          <w:rFonts w:eastAsia="方正仿宋_GBK" w:hint="eastAsia"/>
          <w:sz w:val="33"/>
          <w:szCs w:val="33"/>
        </w:rPr>
        <w:t xml:space="preserve">    </w:t>
      </w:r>
      <w:r>
        <w:rPr>
          <w:rFonts w:eastAsia="方正仿宋_GBK"/>
          <w:sz w:val="33"/>
          <w:szCs w:val="33"/>
          <w:lang w:val="zh-CN"/>
        </w:rPr>
        <w:t>市委编办高度重视预算执行管理，将预算执行作为预算管理的核</w:t>
      </w:r>
      <w:r>
        <w:rPr>
          <w:rFonts w:eastAsia="方正仿宋_GBK"/>
          <w:sz w:val="33"/>
          <w:szCs w:val="33"/>
        </w:rPr>
        <w:t>心环节，</w:t>
      </w:r>
      <w:r>
        <w:rPr>
          <w:rFonts w:eastAsia="方正仿宋_GBK"/>
          <w:bCs/>
          <w:sz w:val="33"/>
          <w:szCs w:val="33"/>
        </w:rPr>
        <w:t>采取多种措施，全力推进部门预算执行进度。在预算执行过程中，严格对各项经费进行审核，强化资金的使用监督，确保专款专用。对预算执行进度缓慢的项目，加强与负责科室（单位）和财政部门的沟通、对接、督促，确保项目按进度推进，项目资金及时支付，保证了资金使用管理的规范性、安全性和有效性。</w:t>
      </w:r>
    </w:p>
    <w:p w:rsidR="007F5EC8" w:rsidRDefault="00F75C99">
      <w:pPr>
        <w:numPr>
          <w:ilvl w:val="0"/>
          <w:numId w:val="6"/>
        </w:numPr>
        <w:spacing w:line="576" w:lineRule="exact"/>
        <w:ind w:firstLineChars="200" w:firstLine="660"/>
        <w:rPr>
          <w:rFonts w:eastAsia="方正仿宋_GBK"/>
          <w:bCs/>
          <w:sz w:val="33"/>
          <w:szCs w:val="33"/>
        </w:rPr>
      </w:pPr>
      <w:r>
        <w:rPr>
          <w:rFonts w:eastAsia="方正仿宋_GBK"/>
          <w:bCs/>
          <w:sz w:val="33"/>
          <w:szCs w:val="33"/>
        </w:rPr>
        <w:t>预算完成</w:t>
      </w:r>
      <w:r>
        <w:rPr>
          <w:rFonts w:eastAsia="方正仿宋_GBK" w:hint="eastAsia"/>
          <w:bCs/>
          <w:sz w:val="33"/>
          <w:szCs w:val="33"/>
        </w:rPr>
        <w:t>（</w:t>
      </w:r>
      <w:r>
        <w:rPr>
          <w:rFonts w:eastAsia="方正仿宋_GBK" w:hint="eastAsia"/>
          <w:bCs/>
          <w:sz w:val="33"/>
          <w:szCs w:val="33"/>
        </w:rPr>
        <w:t>10</w:t>
      </w:r>
      <w:r>
        <w:rPr>
          <w:rFonts w:eastAsia="方正仿宋_GBK" w:hint="eastAsia"/>
          <w:bCs/>
          <w:sz w:val="33"/>
          <w:szCs w:val="33"/>
        </w:rPr>
        <w:t>分，得</w:t>
      </w:r>
      <w:r>
        <w:rPr>
          <w:rFonts w:eastAsia="方正仿宋_GBK" w:hint="eastAsia"/>
          <w:bCs/>
          <w:sz w:val="33"/>
          <w:szCs w:val="33"/>
        </w:rPr>
        <w:t>10</w:t>
      </w:r>
      <w:r>
        <w:rPr>
          <w:rFonts w:eastAsia="方正仿宋_GBK" w:hint="eastAsia"/>
          <w:bCs/>
          <w:sz w:val="33"/>
          <w:szCs w:val="33"/>
        </w:rPr>
        <w:t>分）</w:t>
      </w:r>
    </w:p>
    <w:p w:rsidR="007F5EC8" w:rsidRDefault="00F75C99">
      <w:pPr>
        <w:spacing w:line="576" w:lineRule="exact"/>
        <w:rPr>
          <w:rFonts w:eastAsia="方正仿宋_GBK"/>
          <w:bCs/>
          <w:sz w:val="33"/>
          <w:szCs w:val="33"/>
        </w:rPr>
      </w:pPr>
      <w:r>
        <w:rPr>
          <w:rFonts w:eastAsia="方正仿宋_GBK" w:hint="eastAsia"/>
          <w:bCs/>
          <w:sz w:val="33"/>
          <w:szCs w:val="33"/>
        </w:rPr>
        <w:t xml:space="preserve">    </w:t>
      </w:r>
      <w:r>
        <w:rPr>
          <w:rFonts w:eastAsia="方正仿宋_GBK"/>
          <w:bCs/>
          <w:sz w:val="33"/>
          <w:szCs w:val="33"/>
        </w:rPr>
        <w:t>2022</w:t>
      </w:r>
      <w:r>
        <w:rPr>
          <w:rFonts w:eastAsia="方正仿宋_GBK"/>
          <w:bCs/>
          <w:sz w:val="33"/>
          <w:szCs w:val="33"/>
        </w:rPr>
        <w:t>年</w:t>
      </w:r>
      <w:r>
        <w:rPr>
          <w:rFonts w:eastAsia="方正仿宋_GBK"/>
          <w:bCs/>
          <w:sz w:val="33"/>
          <w:szCs w:val="33"/>
        </w:rPr>
        <w:t>12</w:t>
      </w:r>
      <w:r>
        <w:rPr>
          <w:rFonts w:eastAsia="方正仿宋_GBK"/>
          <w:bCs/>
          <w:sz w:val="33"/>
          <w:szCs w:val="33"/>
        </w:rPr>
        <w:t>月我办预算执行进度为</w:t>
      </w:r>
      <w:r>
        <w:rPr>
          <w:rFonts w:eastAsia="方正仿宋_GBK"/>
          <w:bCs/>
          <w:sz w:val="33"/>
          <w:szCs w:val="33"/>
        </w:rPr>
        <w:t xml:space="preserve"> 100%</w:t>
      </w:r>
      <w:r>
        <w:rPr>
          <w:rFonts w:eastAsia="方正仿宋_GBK"/>
          <w:bCs/>
          <w:sz w:val="33"/>
          <w:szCs w:val="33"/>
        </w:rPr>
        <w:t>。</w:t>
      </w:r>
    </w:p>
    <w:p w:rsidR="007F5EC8" w:rsidRDefault="00F75C99">
      <w:pPr>
        <w:spacing w:line="576" w:lineRule="exact"/>
        <w:ind w:firstLineChars="200" w:firstLine="660"/>
        <w:rPr>
          <w:rFonts w:eastAsia="方正仿宋_GBK"/>
          <w:bCs/>
          <w:sz w:val="33"/>
          <w:szCs w:val="33"/>
        </w:rPr>
      </w:pPr>
      <w:r>
        <w:rPr>
          <w:rFonts w:eastAsia="方正仿宋_GBK" w:hint="eastAsia"/>
          <w:bCs/>
          <w:sz w:val="33"/>
          <w:szCs w:val="33"/>
        </w:rPr>
        <w:t>（</w:t>
      </w:r>
      <w:r>
        <w:rPr>
          <w:rFonts w:eastAsia="方正仿宋_GBK" w:hint="eastAsia"/>
          <w:bCs/>
          <w:sz w:val="33"/>
          <w:szCs w:val="33"/>
        </w:rPr>
        <w:t>2</w:t>
      </w:r>
      <w:r>
        <w:rPr>
          <w:rFonts w:eastAsia="方正仿宋_GBK" w:hint="eastAsia"/>
          <w:bCs/>
          <w:sz w:val="33"/>
          <w:szCs w:val="33"/>
        </w:rPr>
        <w:t>）</w:t>
      </w:r>
      <w:r>
        <w:rPr>
          <w:rFonts w:eastAsia="方正仿宋_GBK"/>
          <w:bCs/>
          <w:sz w:val="33"/>
          <w:szCs w:val="33"/>
        </w:rPr>
        <w:t>资金结余率</w:t>
      </w:r>
      <w:r>
        <w:rPr>
          <w:rFonts w:eastAsia="方正仿宋_GBK" w:hint="eastAsia"/>
          <w:bCs/>
          <w:sz w:val="33"/>
          <w:szCs w:val="33"/>
        </w:rPr>
        <w:t>（</w:t>
      </w:r>
      <w:r>
        <w:rPr>
          <w:rFonts w:eastAsia="方正仿宋_GBK" w:hint="eastAsia"/>
          <w:bCs/>
          <w:sz w:val="33"/>
          <w:szCs w:val="33"/>
        </w:rPr>
        <w:t>5</w:t>
      </w:r>
      <w:r>
        <w:rPr>
          <w:rFonts w:eastAsia="方正仿宋_GBK" w:hint="eastAsia"/>
          <w:bCs/>
          <w:sz w:val="33"/>
          <w:szCs w:val="33"/>
        </w:rPr>
        <w:t>分，得</w:t>
      </w:r>
      <w:r>
        <w:rPr>
          <w:rFonts w:eastAsia="方正仿宋_GBK" w:hint="eastAsia"/>
          <w:bCs/>
          <w:sz w:val="33"/>
          <w:szCs w:val="33"/>
        </w:rPr>
        <w:t>5</w:t>
      </w:r>
      <w:r>
        <w:rPr>
          <w:rFonts w:eastAsia="方正仿宋_GBK" w:hint="eastAsia"/>
          <w:bCs/>
          <w:sz w:val="33"/>
          <w:szCs w:val="33"/>
        </w:rPr>
        <w:t>分）</w:t>
      </w:r>
    </w:p>
    <w:p w:rsidR="007F5EC8" w:rsidRDefault="00F75C99">
      <w:pPr>
        <w:spacing w:line="576" w:lineRule="exact"/>
        <w:ind w:firstLineChars="200" w:firstLine="660"/>
        <w:rPr>
          <w:rFonts w:eastAsia="方正仿宋_GBK"/>
          <w:bCs/>
          <w:sz w:val="33"/>
          <w:szCs w:val="33"/>
        </w:rPr>
      </w:pPr>
      <w:r>
        <w:rPr>
          <w:rFonts w:eastAsia="方正仿宋_GBK"/>
          <w:bCs/>
          <w:sz w:val="33"/>
          <w:szCs w:val="33"/>
        </w:rPr>
        <w:t>2022</w:t>
      </w:r>
      <w:r>
        <w:rPr>
          <w:rFonts w:eastAsia="方正仿宋_GBK"/>
          <w:bCs/>
          <w:sz w:val="33"/>
          <w:szCs w:val="33"/>
        </w:rPr>
        <w:t>年我办的部门预算项目均无结余，资金结余率</w:t>
      </w:r>
      <w:r>
        <w:rPr>
          <w:rFonts w:eastAsia="方正仿宋_GBK"/>
          <w:bCs/>
          <w:sz w:val="33"/>
          <w:szCs w:val="33"/>
        </w:rPr>
        <w:t>0%</w:t>
      </w:r>
      <w:r>
        <w:rPr>
          <w:rFonts w:eastAsia="方正仿宋_GBK"/>
          <w:bCs/>
          <w:sz w:val="33"/>
          <w:szCs w:val="33"/>
        </w:rPr>
        <w:t>。</w:t>
      </w:r>
    </w:p>
    <w:p w:rsidR="007F5EC8" w:rsidRDefault="00F75C99" w:rsidP="00F75C99">
      <w:pPr>
        <w:spacing w:line="576" w:lineRule="exact"/>
        <w:ind w:leftChars="200" w:left="420"/>
        <w:rPr>
          <w:rFonts w:eastAsia="方正仿宋_GBK"/>
          <w:bCs/>
          <w:sz w:val="33"/>
          <w:szCs w:val="33"/>
        </w:rPr>
      </w:pPr>
      <w:r>
        <w:rPr>
          <w:rFonts w:eastAsia="方正仿宋_GBK" w:hint="eastAsia"/>
          <w:bCs/>
          <w:sz w:val="33"/>
          <w:szCs w:val="33"/>
        </w:rPr>
        <w:t xml:space="preserve"> </w:t>
      </w:r>
      <w:r>
        <w:rPr>
          <w:rFonts w:eastAsia="方正仿宋_GBK" w:hint="eastAsia"/>
          <w:bCs/>
          <w:sz w:val="33"/>
          <w:szCs w:val="33"/>
        </w:rPr>
        <w:t>（</w:t>
      </w:r>
      <w:r>
        <w:rPr>
          <w:rFonts w:eastAsia="方正仿宋_GBK" w:hint="eastAsia"/>
          <w:bCs/>
          <w:sz w:val="33"/>
          <w:szCs w:val="33"/>
        </w:rPr>
        <w:t>3</w:t>
      </w:r>
      <w:r>
        <w:rPr>
          <w:rFonts w:eastAsia="方正仿宋_GBK" w:hint="eastAsia"/>
          <w:bCs/>
          <w:sz w:val="33"/>
          <w:szCs w:val="33"/>
        </w:rPr>
        <w:t>）</w:t>
      </w:r>
      <w:r>
        <w:rPr>
          <w:rFonts w:eastAsia="方正仿宋_GBK"/>
          <w:bCs/>
          <w:sz w:val="33"/>
          <w:szCs w:val="33"/>
        </w:rPr>
        <w:t>违规记录</w:t>
      </w:r>
      <w:r>
        <w:rPr>
          <w:rFonts w:eastAsia="方正仿宋_GBK" w:hint="eastAsia"/>
          <w:bCs/>
          <w:sz w:val="33"/>
          <w:szCs w:val="33"/>
        </w:rPr>
        <w:t>（</w:t>
      </w:r>
      <w:r>
        <w:rPr>
          <w:rFonts w:eastAsia="方正仿宋_GBK" w:hint="eastAsia"/>
          <w:bCs/>
          <w:sz w:val="33"/>
          <w:szCs w:val="33"/>
        </w:rPr>
        <w:t>5</w:t>
      </w:r>
      <w:r>
        <w:rPr>
          <w:rFonts w:eastAsia="方正仿宋_GBK" w:hint="eastAsia"/>
          <w:bCs/>
          <w:sz w:val="33"/>
          <w:szCs w:val="33"/>
        </w:rPr>
        <w:t>分，得</w:t>
      </w:r>
      <w:r>
        <w:rPr>
          <w:rFonts w:eastAsia="方正仿宋_GBK" w:hint="eastAsia"/>
          <w:bCs/>
          <w:sz w:val="33"/>
          <w:szCs w:val="33"/>
        </w:rPr>
        <w:t>5</w:t>
      </w:r>
      <w:r>
        <w:rPr>
          <w:rFonts w:eastAsia="方正仿宋_GBK" w:hint="eastAsia"/>
          <w:bCs/>
          <w:sz w:val="33"/>
          <w:szCs w:val="33"/>
        </w:rPr>
        <w:t>分）</w:t>
      </w:r>
    </w:p>
    <w:p w:rsidR="007F5EC8" w:rsidRDefault="00F75C99" w:rsidP="00F75C99">
      <w:pPr>
        <w:spacing w:line="576" w:lineRule="exact"/>
        <w:ind w:leftChars="200" w:left="420"/>
        <w:rPr>
          <w:rFonts w:eastAsia="方正仿宋_GBK"/>
          <w:bCs/>
          <w:sz w:val="33"/>
          <w:szCs w:val="33"/>
        </w:rPr>
      </w:pPr>
      <w:r>
        <w:rPr>
          <w:rFonts w:eastAsia="方正仿宋_GBK" w:hint="eastAsia"/>
          <w:bCs/>
          <w:sz w:val="33"/>
          <w:szCs w:val="33"/>
        </w:rPr>
        <w:t xml:space="preserve">    2022</w:t>
      </w:r>
      <w:r>
        <w:rPr>
          <w:rFonts w:eastAsia="方正仿宋_GBK" w:hint="eastAsia"/>
          <w:bCs/>
          <w:sz w:val="33"/>
          <w:szCs w:val="33"/>
        </w:rPr>
        <w:t>年，预算管理方面在审计和财政检查中无违纪违规问题，得</w:t>
      </w:r>
      <w:r>
        <w:rPr>
          <w:rFonts w:eastAsia="方正仿宋_GBK" w:hint="eastAsia"/>
          <w:bCs/>
          <w:sz w:val="33"/>
          <w:szCs w:val="33"/>
        </w:rPr>
        <w:t>5</w:t>
      </w:r>
      <w:r>
        <w:rPr>
          <w:rFonts w:eastAsia="方正仿宋_GBK" w:hint="eastAsia"/>
          <w:bCs/>
          <w:sz w:val="33"/>
          <w:szCs w:val="33"/>
        </w:rPr>
        <w:t>分。</w:t>
      </w:r>
    </w:p>
    <w:p w:rsidR="007F5EC8" w:rsidRDefault="00F75C99">
      <w:pPr>
        <w:spacing w:line="576" w:lineRule="exact"/>
        <w:ind w:firstLineChars="200" w:firstLine="660"/>
        <w:rPr>
          <w:rFonts w:eastAsia="方正仿宋_GBK"/>
          <w:bCs/>
          <w:sz w:val="33"/>
          <w:szCs w:val="33"/>
          <w:lang w:val="zh-CN"/>
        </w:rPr>
      </w:pPr>
      <w:r>
        <w:rPr>
          <w:rFonts w:eastAsia="方正仿宋_GBK"/>
          <w:bCs/>
          <w:sz w:val="33"/>
          <w:szCs w:val="33"/>
        </w:rPr>
        <w:t xml:space="preserve"> </w:t>
      </w:r>
      <w:r>
        <w:rPr>
          <w:rFonts w:ascii="方正楷体_GBK" w:eastAsia="方正楷体_GBK" w:hAnsi="方正楷体_GBK" w:cs="方正楷体_GBK"/>
          <w:color w:val="000000"/>
          <w:kern w:val="0"/>
          <w:sz w:val="33"/>
          <w:szCs w:val="33"/>
          <w:shd w:val="clear" w:color="auto" w:fill="FFFFFF"/>
          <w:lang w:val="zh-CN"/>
        </w:rPr>
        <w:t>（</w:t>
      </w:r>
      <w:r>
        <w:rPr>
          <w:rFonts w:ascii="方正楷体_GBK" w:eastAsia="方正楷体_GBK" w:hAnsi="方正楷体_GBK" w:cs="方正楷体_GBK" w:hint="eastAsia"/>
          <w:color w:val="000000"/>
          <w:kern w:val="0"/>
          <w:sz w:val="33"/>
          <w:szCs w:val="33"/>
          <w:shd w:val="clear" w:color="auto" w:fill="FFFFFF"/>
          <w:lang w:val="zh-CN"/>
        </w:rPr>
        <w:t>三</w:t>
      </w:r>
      <w:r>
        <w:rPr>
          <w:rFonts w:ascii="方正楷体_GBK" w:eastAsia="方正楷体_GBK" w:hAnsi="方正楷体_GBK" w:cs="方正楷体_GBK"/>
          <w:color w:val="000000"/>
          <w:kern w:val="0"/>
          <w:sz w:val="33"/>
          <w:szCs w:val="33"/>
          <w:shd w:val="clear" w:color="auto" w:fill="FFFFFF"/>
          <w:lang w:val="zh-CN"/>
        </w:rPr>
        <w:t>）结果应用情况</w:t>
      </w:r>
      <w:r>
        <w:rPr>
          <w:rFonts w:ascii="方正楷体_GBK" w:eastAsia="方正楷体_GBK" w:hAnsi="方正楷体_GBK" w:cs="方正楷体_GBK" w:hint="eastAsia"/>
          <w:color w:val="000000"/>
          <w:kern w:val="0"/>
          <w:sz w:val="33"/>
          <w:szCs w:val="33"/>
          <w:shd w:val="clear" w:color="auto" w:fill="FFFFFF"/>
          <w:lang w:val="zh-CN"/>
        </w:rPr>
        <w:t>（</w:t>
      </w:r>
      <w:r>
        <w:rPr>
          <w:rFonts w:ascii="方正楷体_GBK" w:eastAsia="方正楷体_GBK" w:hAnsi="方正楷体_GBK" w:cs="方正楷体_GBK" w:hint="eastAsia"/>
          <w:color w:val="000000"/>
          <w:kern w:val="0"/>
          <w:sz w:val="33"/>
          <w:szCs w:val="33"/>
          <w:shd w:val="clear" w:color="auto" w:fill="FFFFFF"/>
        </w:rPr>
        <w:t>20分，得17分</w:t>
      </w:r>
      <w:r>
        <w:rPr>
          <w:rFonts w:ascii="方正楷体_GBK" w:eastAsia="方正楷体_GBK" w:hAnsi="方正楷体_GBK" w:cs="方正楷体_GBK" w:hint="eastAsia"/>
          <w:color w:val="000000"/>
          <w:kern w:val="0"/>
          <w:sz w:val="33"/>
          <w:szCs w:val="33"/>
          <w:shd w:val="clear" w:color="auto" w:fill="FFFFFF"/>
          <w:lang w:val="zh-CN"/>
        </w:rPr>
        <w:t>）</w:t>
      </w:r>
    </w:p>
    <w:p w:rsidR="007F5EC8" w:rsidRDefault="00F75C99">
      <w:pPr>
        <w:widowControl/>
        <w:adjustRightInd w:val="0"/>
        <w:snapToGrid w:val="0"/>
        <w:spacing w:line="560" w:lineRule="exact"/>
        <w:ind w:firstLineChars="200" w:firstLine="660"/>
        <w:jc w:val="left"/>
        <w:rPr>
          <w:rFonts w:eastAsia="方正仿宋_GBK"/>
          <w:bCs/>
          <w:sz w:val="33"/>
          <w:szCs w:val="33"/>
        </w:rPr>
      </w:pPr>
      <w:r>
        <w:rPr>
          <w:rFonts w:eastAsia="方正仿宋_GBK" w:hint="eastAsia"/>
          <w:bCs/>
          <w:sz w:val="33"/>
          <w:szCs w:val="33"/>
        </w:rPr>
        <w:lastRenderedPageBreak/>
        <w:t>1.</w:t>
      </w:r>
      <w:r>
        <w:rPr>
          <w:rFonts w:eastAsia="方正仿宋_GBK" w:hint="eastAsia"/>
          <w:bCs/>
          <w:sz w:val="33"/>
          <w:szCs w:val="33"/>
        </w:rPr>
        <w:t>内部应用（</w:t>
      </w:r>
      <w:r>
        <w:rPr>
          <w:rFonts w:eastAsia="方正仿宋_GBK" w:hint="eastAsia"/>
          <w:bCs/>
          <w:sz w:val="33"/>
          <w:szCs w:val="33"/>
        </w:rPr>
        <w:t>6</w:t>
      </w:r>
      <w:r>
        <w:rPr>
          <w:rFonts w:eastAsia="方正仿宋_GBK" w:hint="eastAsia"/>
          <w:bCs/>
          <w:sz w:val="33"/>
          <w:szCs w:val="33"/>
        </w:rPr>
        <w:t>分，得</w:t>
      </w:r>
      <w:r>
        <w:rPr>
          <w:rFonts w:eastAsia="方正仿宋_GBK" w:hint="eastAsia"/>
          <w:bCs/>
          <w:sz w:val="33"/>
          <w:szCs w:val="33"/>
        </w:rPr>
        <w:t>3</w:t>
      </w:r>
      <w:r>
        <w:rPr>
          <w:rFonts w:eastAsia="方正仿宋_GBK" w:hint="eastAsia"/>
          <w:bCs/>
          <w:sz w:val="33"/>
          <w:szCs w:val="33"/>
        </w:rPr>
        <w:t>分）</w:t>
      </w:r>
    </w:p>
    <w:p w:rsidR="007F5EC8" w:rsidRDefault="00F75C99">
      <w:pPr>
        <w:widowControl/>
        <w:adjustRightInd w:val="0"/>
        <w:snapToGrid w:val="0"/>
        <w:spacing w:line="560" w:lineRule="exact"/>
        <w:ind w:firstLineChars="200" w:firstLine="660"/>
        <w:jc w:val="left"/>
        <w:rPr>
          <w:rFonts w:eastAsia="方正仿宋_GBK"/>
          <w:bCs/>
          <w:sz w:val="33"/>
          <w:szCs w:val="33"/>
        </w:rPr>
      </w:pPr>
      <w:r>
        <w:rPr>
          <w:rFonts w:eastAsia="方正仿宋_GBK" w:hint="eastAsia"/>
          <w:bCs/>
          <w:sz w:val="33"/>
          <w:szCs w:val="33"/>
        </w:rPr>
        <w:t>（</w:t>
      </w:r>
      <w:r>
        <w:rPr>
          <w:rFonts w:eastAsia="方正仿宋_GBK" w:hint="eastAsia"/>
          <w:bCs/>
          <w:sz w:val="33"/>
          <w:szCs w:val="33"/>
        </w:rPr>
        <w:t>1</w:t>
      </w:r>
      <w:r>
        <w:rPr>
          <w:rFonts w:eastAsia="方正仿宋_GBK" w:hint="eastAsia"/>
          <w:bCs/>
          <w:sz w:val="33"/>
          <w:szCs w:val="33"/>
        </w:rPr>
        <w:t>）预算挂钩（</w:t>
      </w:r>
      <w:r>
        <w:rPr>
          <w:rFonts w:eastAsia="方正仿宋_GBK" w:hint="eastAsia"/>
          <w:bCs/>
          <w:sz w:val="33"/>
          <w:szCs w:val="33"/>
        </w:rPr>
        <w:t>6</w:t>
      </w:r>
      <w:r>
        <w:rPr>
          <w:rFonts w:eastAsia="方正仿宋_GBK" w:hint="eastAsia"/>
          <w:bCs/>
          <w:sz w:val="33"/>
          <w:szCs w:val="33"/>
        </w:rPr>
        <w:t>分，得</w:t>
      </w:r>
      <w:r>
        <w:rPr>
          <w:rFonts w:eastAsia="方正仿宋_GBK" w:hint="eastAsia"/>
          <w:bCs/>
          <w:sz w:val="33"/>
          <w:szCs w:val="33"/>
        </w:rPr>
        <w:t>3</w:t>
      </w:r>
      <w:r>
        <w:rPr>
          <w:rFonts w:eastAsia="方正仿宋_GBK" w:hint="eastAsia"/>
          <w:bCs/>
          <w:sz w:val="33"/>
          <w:szCs w:val="33"/>
        </w:rPr>
        <w:t>分）</w:t>
      </w:r>
    </w:p>
    <w:p w:rsidR="007F5EC8" w:rsidRDefault="00F75C99">
      <w:pPr>
        <w:widowControl/>
        <w:adjustRightInd w:val="0"/>
        <w:snapToGrid w:val="0"/>
        <w:spacing w:line="560" w:lineRule="exact"/>
        <w:ind w:firstLineChars="200" w:firstLine="660"/>
        <w:jc w:val="left"/>
        <w:rPr>
          <w:rFonts w:eastAsia="方正仿宋_GBK"/>
          <w:bCs/>
          <w:sz w:val="33"/>
          <w:szCs w:val="33"/>
        </w:rPr>
      </w:pPr>
      <w:r>
        <w:rPr>
          <w:rFonts w:eastAsia="方正仿宋_GBK" w:hint="eastAsia"/>
          <w:bCs/>
          <w:sz w:val="33"/>
          <w:szCs w:val="33"/>
        </w:rPr>
        <w:t>我办将预算绩效管理纳入全办绩效目标考核指标体系，但尚未建立完善的</w:t>
      </w:r>
      <w:r>
        <w:rPr>
          <w:rFonts w:eastAsia="方正仿宋_GBK"/>
          <w:bCs/>
          <w:sz w:val="33"/>
          <w:szCs w:val="33"/>
        </w:rPr>
        <w:t>对内设机构和下属单位预算与绩效挂钩机制</w:t>
      </w:r>
      <w:r>
        <w:rPr>
          <w:rFonts w:eastAsia="方正仿宋_GBK" w:hint="eastAsia"/>
          <w:bCs/>
          <w:sz w:val="33"/>
          <w:szCs w:val="33"/>
        </w:rPr>
        <w:t>，自评得</w:t>
      </w:r>
      <w:r>
        <w:rPr>
          <w:rFonts w:eastAsia="方正仿宋_GBK" w:hint="eastAsia"/>
          <w:bCs/>
          <w:sz w:val="33"/>
          <w:szCs w:val="33"/>
        </w:rPr>
        <w:t>3</w:t>
      </w:r>
      <w:r>
        <w:rPr>
          <w:rFonts w:eastAsia="方正仿宋_GBK" w:hint="eastAsia"/>
          <w:bCs/>
          <w:sz w:val="33"/>
          <w:szCs w:val="33"/>
        </w:rPr>
        <w:t>分</w:t>
      </w:r>
    </w:p>
    <w:p w:rsidR="007F5EC8" w:rsidRDefault="00F75C99">
      <w:pPr>
        <w:widowControl/>
        <w:adjustRightInd w:val="0"/>
        <w:snapToGrid w:val="0"/>
        <w:spacing w:line="560" w:lineRule="exact"/>
        <w:ind w:firstLineChars="200" w:firstLine="660"/>
        <w:jc w:val="left"/>
        <w:rPr>
          <w:rFonts w:eastAsia="方正仿宋_GBK"/>
          <w:bCs/>
          <w:sz w:val="33"/>
          <w:szCs w:val="33"/>
        </w:rPr>
      </w:pPr>
      <w:r>
        <w:rPr>
          <w:rFonts w:eastAsia="方正仿宋_GBK" w:hint="eastAsia"/>
          <w:bCs/>
          <w:sz w:val="33"/>
          <w:szCs w:val="33"/>
        </w:rPr>
        <w:t>2.</w:t>
      </w:r>
      <w:r>
        <w:rPr>
          <w:rFonts w:eastAsia="方正仿宋_GBK" w:hint="eastAsia"/>
          <w:bCs/>
          <w:sz w:val="33"/>
          <w:szCs w:val="33"/>
        </w:rPr>
        <w:t>信息公开（</w:t>
      </w:r>
      <w:r>
        <w:rPr>
          <w:rFonts w:eastAsia="方正仿宋_GBK" w:hint="eastAsia"/>
          <w:bCs/>
          <w:sz w:val="33"/>
          <w:szCs w:val="33"/>
        </w:rPr>
        <w:t>4</w:t>
      </w:r>
      <w:r>
        <w:rPr>
          <w:rFonts w:eastAsia="方正仿宋_GBK" w:hint="eastAsia"/>
          <w:bCs/>
          <w:sz w:val="33"/>
          <w:szCs w:val="33"/>
        </w:rPr>
        <w:t>分，得</w:t>
      </w:r>
      <w:r>
        <w:rPr>
          <w:rFonts w:eastAsia="方正仿宋_GBK" w:hint="eastAsia"/>
          <w:bCs/>
          <w:sz w:val="33"/>
          <w:szCs w:val="33"/>
        </w:rPr>
        <w:t>4</w:t>
      </w:r>
      <w:r>
        <w:rPr>
          <w:rFonts w:eastAsia="方正仿宋_GBK" w:hint="eastAsia"/>
          <w:bCs/>
          <w:sz w:val="33"/>
          <w:szCs w:val="33"/>
        </w:rPr>
        <w:t>分）</w:t>
      </w:r>
    </w:p>
    <w:p w:rsidR="007F5EC8" w:rsidRDefault="00F75C99" w:rsidP="00F75C99">
      <w:pPr>
        <w:pStyle w:val="a0"/>
        <w:spacing w:before="93"/>
        <w:ind w:firstLine="630"/>
        <w:rPr>
          <w:rFonts w:ascii="Times New Roman" w:eastAsia="方正仿宋_GBK"/>
          <w:bCs/>
          <w:snapToGrid w:val="0"/>
          <w:sz w:val="33"/>
          <w:szCs w:val="33"/>
        </w:rPr>
      </w:pPr>
      <w:r>
        <w:rPr>
          <w:rFonts w:ascii="Times New Roman" w:eastAsia="方正仿宋_GBK" w:hint="eastAsia"/>
          <w:bCs/>
          <w:snapToGrid w:val="0"/>
          <w:sz w:val="33"/>
          <w:szCs w:val="33"/>
        </w:rPr>
        <w:t>（</w:t>
      </w:r>
      <w:r>
        <w:rPr>
          <w:rFonts w:ascii="Times New Roman" w:eastAsia="方正仿宋_GBK" w:hint="eastAsia"/>
          <w:bCs/>
          <w:snapToGrid w:val="0"/>
          <w:sz w:val="33"/>
          <w:szCs w:val="33"/>
        </w:rPr>
        <w:t>1</w:t>
      </w:r>
      <w:r>
        <w:rPr>
          <w:rFonts w:ascii="Times New Roman" w:eastAsia="方正仿宋_GBK" w:hint="eastAsia"/>
          <w:bCs/>
          <w:snapToGrid w:val="0"/>
          <w:sz w:val="33"/>
          <w:szCs w:val="33"/>
        </w:rPr>
        <w:t>）自评公开（</w:t>
      </w:r>
      <w:r>
        <w:rPr>
          <w:rFonts w:ascii="Times New Roman" w:eastAsia="方正仿宋_GBK" w:hint="eastAsia"/>
          <w:bCs/>
          <w:snapToGrid w:val="0"/>
          <w:sz w:val="33"/>
          <w:szCs w:val="33"/>
        </w:rPr>
        <w:t>4</w:t>
      </w:r>
      <w:r>
        <w:rPr>
          <w:rFonts w:ascii="Times New Roman" w:eastAsia="方正仿宋_GBK" w:hint="eastAsia"/>
          <w:bCs/>
          <w:snapToGrid w:val="0"/>
          <w:sz w:val="33"/>
          <w:szCs w:val="33"/>
        </w:rPr>
        <w:t>分，得</w:t>
      </w:r>
      <w:r>
        <w:rPr>
          <w:rFonts w:ascii="Times New Roman" w:eastAsia="方正仿宋_GBK" w:hint="eastAsia"/>
          <w:bCs/>
          <w:snapToGrid w:val="0"/>
          <w:sz w:val="33"/>
          <w:szCs w:val="33"/>
        </w:rPr>
        <w:t>4</w:t>
      </w:r>
      <w:r>
        <w:rPr>
          <w:rFonts w:ascii="Times New Roman" w:eastAsia="方正仿宋_GBK" w:hint="eastAsia"/>
          <w:bCs/>
          <w:snapToGrid w:val="0"/>
          <w:sz w:val="33"/>
          <w:szCs w:val="33"/>
        </w:rPr>
        <w:t>分）</w:t>
      </w:r>
    </w:p>
    <w:p w:rsidR="007F5EC8" w:rsidRDefault="00F75C99" w:rsidP="00F75C99">
      <w:pPr>
        <w:pStyle w:val="a0"/>
        <w:spacing w:before="93"/>
        <w:ind w:firstLine="630"/>
        <w:rPr>
          <w:rFonts w:ascii="Times New Roman" w:eastAsia="方正仿宋_GBK"/>
          <w:bCs/>
          <w:snapToGrid w:val="0"/>
          <w:sz w:val="33"/>
          <w:szCs w:val="33"/>
        </w:rPr>
      </w:pPr>
      <w:r>
        <w:rPr>
          <w:rFonts w:ascii="Times New Roman" w:eastAsia="方正仿宋_GBK" w:hint="eastAsia"/>
          <w:bCs/>
          <w:snapToGrid w:val="0"/>
          <w:sz w:val="33"/>
          <w:szCs w:val="33"/>
        </w:rPr>
        <w:t>2021</w:t>
      </w:r>
      <w:r>
        <w:rPr>
          <w:rFonts w:ascii="Times New Roman" w:eastAsia="方正仿宋_GBK" w:hint="eastAsia"/>
          <w:bCs/>
          <w:snapToGrid w:val="0"/>
          <w:sz w:val="33"/>
          <w:szCs w:val="33"/>
        </w:rPr>
        <w:t>年部门整体绩效自评情况已随</w:t>
      </w:r>
      <w:r>
        <w:rPr>
          <w:rFonts w:ascii="Times New Roman" w:eastAsia="方正仿宋_GBK" w:hint="eastAsia"/>
          <w:bCs/>
          <w:snapToGrid w:val="0"/>
          <w:sz w:val="33"/>
          <w:szCs w:val="33"/>
        </w:rPr>
        <w:t>2021</w:t>
      </w:r>
      <w:r>
        <w:rPr>
          <w:rFonts w:ascii="Times New Roman" w:eastAsia="方正仿宋_GBK" w:hint="eastAsia"/>
          <w:bCs/>
          <w:snapToGrid w:val="0"/>
          <w:sz w:val="33"/>
          <w:szCs w:val="33"/>
        </w:rPr>
        <w:t>年部门决算信息进行了公开；</w:t>
      </w:r>
      <w:r>
        <w:rPr>
          <w:rFonts w:ascii="Times New Roman" w:eastAsia="方正仿宋_GBK" w:hint="eastAsia"/>
          <w:bCs/>
          <w:snapToGrid w:val="0"/>
          <w:sz w:val="33"/>
          <w:szCs w:val="33"/>
        </w:rPr>
        <w:t>2022</w:t>
      </w:r>
      <w:r>
        <w:rPr>
          <w:rFonts w:ascii="Times New Roman" w:eastAsia="方正仿宋_GBK" w:hint="eastAsia"/>
          <w:bCs/>
          <w:snapToGrid w:val="0"/>
          <w:sz w:val="33"/>
          <w:szCs w:val="33"/>
        </w:rPr>
        <w:t>年部门整体绩效自评情况，待财政批复</w:t>
      </w:r>
      <w:r>
        <w:rPr>
          <w:rFonts w:ascii="Times New Roman" w:eastAsia="方正仿宋_GBK" w:hint="eastAsia"/>
          <w:bCs/>
          <w:snapToGrid w:val="0"/>
          <w:sz w:val="33"/>
          <w:szCs w:val="33"/>
        </w:rPr>
        <w:t>2022</w:t>
      </w:r>
      <w:r>
        <w:rPr>
          <w:rFonts w:ascii="Times New Roman" w:eastAsia="方正仿宋_GBK" w:hint="eastAsia"/>
          <w:bCs/>
          <w:snapToGrid w:val="0"/>
          <w:sz w:val="33"/>
          <w:szCs w:val="33"/>
        </w:rPr>
        <w:t>年部门决算后，将与决算信息一并公开，得</w:t>
      </w:r>
      <w:r>
        <w:rPr>
          <w:rFonts w:ascii="Times New Roman" w:eastAsia="方正仿宋_GBK" w:hint="eastAsia"/>
          <w:bCs/>
          <w:snapToGrid w:val="0"/>
          <w:sz w:val="33"/>
          <w:szCs w:val="33"/>
        </w:rPr>
        <w:t>4</w:t>
      </w:r>
      <w:r>
        <w:rPr>
          <w:rFonts w:ascii="Times New Roman" w:eastAsia="方正仿宋_GBK" w:hint="eastAsia"/>
          <w:bCs/>
          <w:snapToGrid w:val="0"/>
          <w:sz w:val="33"/>
          <w:szCs w:val="33"/>
        </w:rPr>
        <w:t>分。</w:t>
      </w:r>
    </w:p>
    <w:p w:rsidR="007F5EC8" w:rsidRDefault="00F75C99" w:rsidP="00F75C99">
      <w:pPr>
        <w:pStyle w:val="a0"/>
        <w:spacing w:before="93"/>
        <w:ind w:firstLine="630"/>
        <w:rPr>
          <w:rFonts w:ascii="Times New Roman" w:eastAsia="方正仿宋_GBK"/>
          <w:bCs/>
          <w:snapToGrid w:val="0"/>
          <w:sz w:val="33"/>
          <w:szCs w:val="33"/>
        </w:rPr>
      </w:pPr>
      <w:r>
        <w:rPr>
          <w:rFonts w:ascii="Times New Roman" w:eastAsia="方正仿宋_GBK" w:hint="eastAsia"/>
          <w:bCs/>
          <w:snapToGrid w:val="0"/>
          <w:sz w:val="33"/>
          <w:szCs w:val="33"/>
        </w:rPr>
        <w:t>3.</w:t>
      </w:r>
      <w:r>
        <w:rPr>
          <w:rFonts w:ascii="Times New Roman" w:eastAsia="方正仿宋_GBK" w:hint="eastAsia"/>
          <w:bCs/>
          <w:snapToGrid w:val="0"/>
          <w:sz w:val="33"/>
          <w:szCs w:val="33"/>
        </w:rPr>
        <w:t>整改反馈（</w:t>
      </w:r>
      <w:r>
        <w:rPr>
          <w:rFonts w:ascii="Times New Roman" w:eastAsia="方正仿宋_GBK" w:hint="eastAsia"/>
          <w:bCs/>
          <w:snapToGrid w:val="0"/>
          <w:sz w:val="33"/>
          <w:szCs w:val="33"/>
        </w:rPr>
        <w:t>10</w:t>
      </w:r>
      <w:r>
        <w:rPr>
          <w:rFonts w:ascii="Times New Roman" w:eastAsia="方正仿宋_GBK" w:hint="eastAsia"/>
          <w:bCs/>
          <w:snapToGrid w:val="0"/>
          <w:sz w:val="33"/>
          <w:szCs w:val="33"/>
        </w:rPr>
        <w:t>分，得</w:t>
      </w:r>
      <w:r>
        <w:rPr>
          <w:rFonts w:ascii="Times New Roman" w:eastAsia="方正仿宋_GBK" w:hint="eastAsia"/>
          <w:bCs/>
          <w:snapToGrid w:val="0"/>
          <w:sz w:val="33"/>
          <w:szCs w:val="33"/>
        </w:rPr>
        <w:t>10</w:t>
      </w:r>
      <w:r>
        <w:rPr>
          <w:rFonts w:ascii="Times New Roman" w:eastAsia="方正仿宋_GBK" w:hint="eastAsia"/>
          <w:bCs/>
          <w:snapToGrid w:val="0"/>
          <w:sz w:val="33"/>
          <w:szCs w:val="33"/>
        </w:rPr>
        <w:t>分）</w:t>
      </w:r>
    </w:p>
    <w:p w:rsidR="007F5EC8" w:rsidRDefault="00F75C99" w:rsidP="00F75C99">
      <w:pPr>
        <w:pStyle w:val="a0"/>
        <w:spacing w:before="93"/>
        <w:ind w:firstLine="630"/>
        <w:rPr>
          <w:rFonts w:ascii="Times New Roman" w:eastAsia="方正仿宋_GBK"/>
          <w:bCs/>
          <w:snapToGrid w:val="0"/>
          <w:sz w:val="33"/>
          <w:szCs w:val="33"/>
        </w:rPr>
      </w:pPr>
      <w:r>
        <w:rPr>
          <w:rFonts w:ascii="Times New Roman" w:eastAsia="方正仿宋_GBK" w:hint="eastAsia"/>
          <w:bCs/>
          <w:snapToGrid w:val="0"/>
          <w:sz w:val="33"/>
          <w:szCs w:val="33"/>
        </w:rPr>
        <w:t>（</w:t>
      </w:r>
      <w:r>
        <w:rPr>
          <w:rFonts w:ascii="Times New Roman" w:eastAsia="方正仿宋_GBK" w:hint="eastAsia"/>
          <w:bCs/>
          <w:snapToGrid w:val="0"/>
          <w:sz w:val="33"/>
          <w:szCs w:val="33"/>
        </w:rPr>
        <w:t>1</w:t>
      </w:r>
      <w:r>
        <w:rPr>
          <w:rFonts w:ascii="Times New Roman" w:eastAsia="方正仿宋_GBK" w:hint="eastAsia"/>
          <w:bCs/>
          <w:snapToGrid w:val="0"/>
          <w:sz w:val="33"/>
          <w:szCs w:val="33"/>
        </w:rPr>
        <w:t>）问题整改（</w:t>
      </w:r>
      <w:r>
        <w:rPr>
          <w:rFonts w:ascii="Times New Roman" w:eastAsia="方正仿宋_GBK" w:hint="eastAsia"/>
          <w:bCs/>
          <w:snapToGrid w:val="0"/>
          <w:sz w:val="33"/>
          <w:szCs w:val="33"/>
        </w:rPr>
        <w:t>5</w:t>
      </w:r>
      <w:r>
        <w:rPr>
          <w:rFonts w:ascii="Times New Roman" w:eastAsia="方正仿宋_GBK" w:hint="eastAsia"/>
          <w:bCs/>
          <w:snapToGrid w:val="0"/>
          <w:sz w:val="33"/>
          <w:szCs w:val="33"/>
        </w:rPr>
        <w:t>分，得</w:t>
      </w:r>
      <w:r>
        <w:rPr>
          <w:rFonts w:ascii="Times New Roman" w:eastAsia="方正仿宋_GBK" w:hint="eastAsia"/>
          <w:bCs/>
          <w:snapToGrid w:val="0"/>
          <w:sz w:val="33"/>
          <w:szCs w:val="33"/>
        </w:rPr>
        <w:t>5</w:t>
      </w:r>
      <w:r>
        <w:rPr>
          <w:rFonts w:ascii="Times New Roman" w:eastAsia="方正仿宋_GBK" w:hint="eastAsia"/>
          <w:bCs/>
          <w:snapToGrid w:val="0"/>
          <w:sz w:val="33"/>
          <w:szCs w:val="33"/>
        </w:rPr>
        <w:t>分）</w:t>
      </w:r>
    </w:p>
    <w:p w:rsidR="007F5EC8" w:rsidRDefault="00F75C99" w:rsidP="00F75C99">
      <w:pPr>
        <w:pStyle w:val="a0"/>
        <w:spacing w:before="93"/>
        <w:ind w:firstLine="630"/>
        <w:rPr>
          <w:rFonts w:ascii="Times New Roman" w:eastAsia="方正仿宋_GBK"/>
          <w:bCs/>
          <w:snapToGrid w:val="0"/>
          <w:sz w:val="33"/>
          <w:szCs w:val="33"/>
        </w:rPr>
      </w:pPr>
      <w:r>
        <w:rPr>
          <w:rFonts w:ascii="Times New Roman" w:eastAsia="方正仿宋_GBK" w:hint="eastAsia"/>
          <w:bCs/>
          <w:snapToGrid w:val="0"/>
          <w:sz w:val="33"/>
          <w:szCs w:val="33"/>
        </w:rPr>
        <w:t>2022</w:t>
      </w:r>
      <w:r>
        <w:rPr>
          <w:rFonts w:ascii="Times New Roman" w:eastAsia="方正仿宋_GBK" w:hint="eastAsia"/>
          <w:bCs/>
          <w:snapToGrid w:val="0"/>
          <w:sz w:val="33"/>
          <w:szCs w:val="33"/>
        </w:rPr>
        <w:t>年，我办未接受财政绩效评价，不涉及问题整改，得</w:t>
      </w:r>
      <w:r>
        <w:rPr>
          <w:rFonts w:ascii="Times New Roman" w:eastAsia="方正仿宋_GBK" w:hint="eastAsia"/>
          <w:bCs/>
          <w:snapToGrid w:val="0"/>
          <w:sz w:val="33"/>
          <w:szCs w:val="33"/>
        </w:rPr>
        <w:t>5</w:t>
      </w:r>
      <w:r>
        <w:rPr>
          <w:rFonts w:ascii="Times New Roman" w:eastAsia="方正仿宋_GBK" w:hint="eastAsia"/>
          <w:bCs/>
          <w:snapToGrid w:val="0"/>
          <w:sz w:val="33"/>
          <w:szCs w:val="33"/>
        </w:rPr>
        <w:t>分。</w:t>
      </w:r>
    </w:p>
    <w:p w:rsidR="007F5EC8" w:rsidRDefault="00F75C99" w:rsidP="00F75C99">
      <w:pPr>
        <w:pStyle w:val="a0"/>
        <w:spacing w:before="93"/>
        <w:ind w:firstLine="630"/>
        <w:rPr>
          <w:rFonts w:ascii="Times New Roman" w:eastAsia="方正仿宋_GBK"/>
          <w:bCs/>
          <w:snapToGrid w:val="0"/>
          <w:sz w:val="33"/>
          <w:szCs w:val="33"/>
        </w:rPr>
      </w:pPr>
      <w:r>
        <w:rPr>
          <w:rFonts w:ascii="Times New Roman" w:eastAsia="方正仿宋_GBK" w:hint="eastAsia"/>
          <w:bCs/>
          <w:snapToGrid w:val="0"/>
          <w:sz w:val="33"/>
          <w:szCs w:val="33"/>
        </w:rPr>
        <w:t>（</w:t>
      </w:r>
      <w:r>
        <w:rPr>
          <w:rFonts w:ascii="Times New Roman" w:eastAsia="方正仿宋_GBK" w:hint="eastAsia"/>
          <w:bCs/>
          <w:snapToGrid w:val="0"/>
          <w:sz w:val="33"/>
          <w:szCs w:val="33"/>
        </w:rPr>
        <w:t>2</w:t>
      </w:r>
      <w:r>
        <w:rPr>
          <w:rFonts w:ascii="Times New Roman" w:eastAsia="方正仿宋_GBK" w:hint="eastAsia"/>
          <w:bCs/>
          <w:snapToGrid w:val="0"/>
          <w:sz w:val="33"/>
          <w:szCs w:val="33"/>
        </w:rPr>
        <w:t>）应用反馈（</w:t>
      </w:r>
      <w:r>
        <w:rPr>
          <w:rFonts w:ascii="Times New Roman" w:eastAsia="方正仿宋_GBK" w:hint="eastAsia"/>
          <w:bCs/>
          <w:snapToGrid w:val="0"/>
          <w:sz w:val="33"/>
          <w:szCs w:val="33"/>
        </w:rPr>
        <w:t>5</w:t>
      </w:r>
      <w:r>
        <w:rPr>
          <w:rFonts w:ascii="Times New Roman" w:eastAsia="方正仿宋_GBK" w:hint="eastAsia"/>
          <w:bCs/>
          <w:snapToGrid w:val="0"/>
          <w:sz w:val="33"/>
          <w:szCs w:val="33"/>
        </w:rPr>
        <w:t>分，得</w:t>
      </w:r>
      <w:r>
        <w:rPr>
          <w:rFonts w:ascii="Times New Roman" w:eastAsia="方正仿宋_GBK" w:hint="eastAsia"/>
          <w:bCs/>
          <w:snapToGrid w:val="0"/>
          <w:sz w:val="33"/>
          <w:szCs w:val="33"/>
        </w:rPr>
        <w:t>5</w:t>
      </w:r>
      <w:r>
        <w:rPr>
          <w:rFonts w:ascii="Times New Roman" w:eastAsia="方正仿宋_GBK" w:hint="eastAsia"/>
          <w:bCs/>
          <w:snapToGrid w:val="0"/>
          <w:sz w:val="33"/>
          <w:szCs w:val="33"/>
        </w:rPr>
        <w:t>分）</w:t>
      </w:r>
    </w:p>
    <w:p w:rsidR="007F5EC8" w:rsidRDefault="00F75C99" w:rsidP="00F75C99">
      <w:pPr>
        <w:pStyle w:val="a0"/>
        <w:spacing w:before="93"/>
        <w:ind w:firstLine="630"/>
        <w:rPr>
          <w:rFonts w:ascii="Times New Roman" w:eastAsia="方正仿宋_GBK"/>
          <w:bCs/>
          <w:snapToGrid w:val="0"/>
          <w:sz w:val="33"/>
          <w:szCs w:val="33"/>
        </w:rPr>
      </w:pPr>
      <w:r>
        <w:rPr>
          <w:rFonts w:ascii="Times New Roman" w:eastAsia="方正仿宋_GBK" w:hint="eastAsia"/>
          <w:bCs/>
          <w:snapToGrid w:val="0"/>
          <w:sz w:val="33"/>
          <w:szCs w:val="33"/>
        </w:rPr>
        <w:t>2022</w:t>
      </w:r>
      <w:r>
        <w:rPr>
          <w:rFonts w:ascii="Times New Roman" w:eastAsia="方正仿宋_GBK" w:hint="eastAsia"/>
          <w:bCs/>
          <w:snapToGrid w:val="0"/>
          <w:sz w:val="33"/>
          <w:szCs w:val="33"/>
        </w:rPr>
        <w:t>年，我办未接受财政绩效评价，不涉及应用结果反馈，得</w:t>
      </w:r>
      <w:r>
        <w:rPr>
          <w:rFonts w:ascii="Times New Roman" w:eastAsia="方正仿宋_GBK" w:hint="eastAsia"/>
          <w:bCs/>
          <w:snapToGrid w:val="0"/>
          <w:sz w:val="33"/>
          <w:szCs w:val="33"/>
        </w:rPr>
        <w:t>5</w:t>
      </w:r>
      <w:r>
        <w:rPr>
          <w:rFonts w:ascii="Times New Roman" w:eastAsia="方正仿宋_GBK" w:hint="eastAsia"/>
          <w:bCs/>
          <w:snapToGrid w:val="0"/>
          <w:sz w:val="33"/>
          <w:szCs w:val="33"/>
        </w:rPr>
        <w:t>分。</w:t>
      </w:r>
    </w:p>
    <w:p w:rsidR="007F5EC8" w:rsidRDefault="00F75C99">
      <w:pPr>
        <w:spacing w:line="576" w:lineRule="exact"/>
        <w:ind w:firstLineChars="200" w:firstLine="660"/>
        <w:rPr>
          <w:rFonts w:eastAsia="方正仿宋_GBK"/>
          <w:bCs/>
          <w:sz w:val="33"/>
          <w:szCs w:val="33"/>
        </w:rPr>
      </w:pPr>
      <w:r>
        <w:rPr>
          <w:rFonts w:ascii="方正楷体_GBK" w:eastAsia="方正楷体_GBK" w:hAnsi="方正楷体_GBK" w:cs="方正楷体_GBK"/>
          <w:color w:val="000000"/>
          <w:kern w:val="0"/>
          <w:sz w:val="33"/>
          <w:szCs w:val="33"/>
          <w:shd w:val="clear" w:color="auto" w:fill="FFFFFF"/>
          <w:lang w:val="zh-CN"/>
        </w:rPr>
        <w:t>（</w:t>
      </w:r>
      <w:r>
        <w:rPr>
          <w:rFonts w:ascii="方正楷体_GBK" w:eastAsia="方正楷体_GBK" w:hAnsi="方正楷体_GBK" w:cs="方正楷体_GBK" w:hint="eastAsia"/>
          <w:color w:val="000000"/>
          <w:kern w:val="0"/>
          <w:sz w:val="33"/>
          <w:szCs w:val="33"/>
          <w:shd w:val="clear" w:color="auto" w:fill="FFFFFF"/>
          <w:lang w:val="zh-CN"/>
        </w:rPr>
        <w:t>四</w:t>
      </w:r>
      <w:r>
        <w:rPr>
          <w:rFonts w:ascii="方正楷体_GBK" w:eastAsia="方正楷体_GBK" w:hAnsi="方正楷体_GBK" w:cs="方正楷体_GBK"/>
          <w:color w:val="000000"/>
          <w:kern w:val="0"/>
          <w:sz w:val="33"/>
          <w:szCs w:val="33"/>
          <w:shd w:val="clear" w:color="auto" w:fill="FFFFFF"/>
          <w:lang w:val="zh-CN"/>
        </w:rPr>
        <w:t>）自评质量</w:t>
      </w:r>
      <w:r>
        <w:rPr>
          <w:rFonts w:ascii="方正楷体_GBK" w:eastAsia="方正楷体_GBK" w:hAnsi="方正楷体_GBK" w:cs="方正楷体_GBK" w:hint="eastAsia"/>
          <w:color w:val="000000"/>
          <w:kern w:val="0"/>
          <w:sz w:val="33"/>
          <w:szCs w:val="33"/>
          <w:shd w:val="clear" w:color="auto" w:fill="FFFFFF"/>
          <w:lang w:val="zh-CN"/>
        </w:rPr>
        <w:t>（</w:t>
      </w:r>
      <w:r>
        <w:rPr>
          <w:rFonts w:ascii="方正楷体_GBK" w:eastAsia="方正楷体_GBK" w:hAnsi="方正楷体_GBK" w:cs="方正楷体_GBK" w:hint="eastAsia"/>
          <w:color w:val="000000"/>
          <w:kern w:val="0"/>
          <w:sz w:val="33"/>
          <w:szCs w:val="33"/>
          <w:shd w:val="clear" w:color="auto" w:fill="FFFFFF"/>
        </w:rPr>
        <w:t>10分，得10分</w:t>
      </w:r>
      <w:r>
        <w:rPr>
          <w:rFonts w:ascii="方正楷体_GBK" w:eastAsia="方正楷体_GBK" w:hAnsi="方正楷体_GBK" w:cs="方正楷体_GBK" w:hint="eastAsia"/>
          <w:color w:val="000000"/>
          <w:kern w:val="0"/>
          <w:sz w:val="33"/>
          <w:szCs w:val="33"/>
          <w:shd w:val="clear" w:color="auto" w:fill="FFFFFF"/>
          <w:lang w:val="zh-CN"/>
        </w:rPr>
        <w:t>）</w:t>
      </w:r>
    </w:p>
    <w:p w:rsidR="007F5EC8" w:rsidRDefault="00F75C99">
      <w:pPr>
        <w:spacing w:line="576" w:lineRule="exact"/>
        <w:ind w:firstLineChars="200" w:firstLine="660"/>
        <w:rPr>
          <w:rFonts w:eastAsia="方正仿宋_GBK"/>
          <w:bCs/>
          <w:sz w:val="33"/>
          <w:szCs w:val="33"/>
          <w:lang w:val="en"/>
        </w:rPr>
      </w:pPr>
      <w:r>
        <w:rPr>
          <w:rFonts w:eastAsia="方正仿宋_GBK"/>
          <w:bCs/>
          <w:sz w:val="33"/>
          <w:szCs w:val="33"/>
        </w:rPr>
        <w:t>在开展</w:t>
      </w:r>
      <w:r>
        <w:rPr>
          <w:rFonts w:eastAsia="方正仿宋_GBK"/>
          <w:bCs/>
          <w:sz w:val="33"/>
          <w:szCs w:val="33"/>
        </w:rPr>
        <w:t xml:space="preserve"> 2022</w:t>
      </w:r>
      <w:r>
        <w:rPr>
          <w:rFonts w:eastAsia="方正仿宋_GBK"/>
          <w:bCs/>
          <w:sz w:val="33"/>
          <w:szCs w:val="33"/>
        </w:rPr>
        <w:t>年度市级部门整体支出绩效评价中，我办严格按照市财政局制定的《市级部门整体支出绩效评价指标体系》的评分要求，逐项开展自评，各项自评得分均真实准确、有据可查，自评质量较</w:t>
      </w:r>
      <w:r>
        <w:rPr>
          <w:rFonts w:eastAsia="方正仿宋_GBK"/>
          <w:bCs/>
          <w:sz w:val="33"/>
          <w:szCs w:val="33"/>
          <w:lang w:val="en"/>
        </w:rPr>
        <w:t>高，自评得分</w:t>
      </w:r>
      <w:r>
        <w:rPr>
          <w:rFonts w:eastAsia="方正仿宋_GBK" w:hint="eastAsia"/>
          <w:bCs/>
          <w:sz w:val="33"/>
          <w:szCs w:val="33"/>
        </w:rPr>
        <w:t>97</w:t>
      </w:r>
      <w:r>
        <w:rPr>
          <w:rFonts w:eastAsia="方正仿宋_GBK"/>
          <w:bCs/>
          <w:sz w:val="33"/>
          <w:szCs w:val="33"/>
          <w:lang w:val="en"/>
        </w:rPr>
        <w:t>分。</w:t>
      </w:r>
    </w:p>
    <w:p w:rsidR="007F5EC8" w:rsidRDefault="00F75C99">
      <w:pPr>
        <w:widowControl/>
        <w:adjustRightInd w:val="0"/>
        <w:snapToGrid w:val="0"/>
        <w:spacing w:line="580" w:lineRule="exact"/>
        <w:ind w:firstLineChars="200" w:firstLine="660"/>
        <w:contextualSpacing/>
        <w:jc w:val="left"/>
        <w:rPr>
          <w:rFonts w:ascii="方正黑体_GBK" w:eastAsia="方正黑体_GBK" w:hAnsi="方正黑体_GBK" w:cs="方正黑体_GBK"/>
          <w:color w:val="000000"/>
          <w:kern w:val="0"/>
          <w:sz w:val="33"/>
          <w:szCs w:val="33"/>
          <w:shd w:val="clear" w:color="auto" w:fill="FFFFFF"/>
        </w:rPr>
      </w:pPr>
      <w:bookmarkStart w:id="57" w:name="_Toc542538629_WPSOffice_Level2"/>
      <w:r>
        <w:rPr>
          <w:rFonts w:ascii="方正黑体_GBK" w:eastAsia="方正黑体_GBK" w:hAnsi="方正黑体_GBK" w:cs="方正黑体_GBK"/>
          <w:color w:val="000000"/>
          <w:kern w:val="0"/>
          <w:sz w:val="33"/>
          <w:szCs w:val="33"/>
          <w:shd w:val="clear" w:color="auto" w:fill="FFFFFF"/>
        </w:rPr>
        <w:lastRenderedPageBreak/>
        <w:t>四、评价结论及建议</w:t>
      </w:r>
      <w:bookmarkEnd w:id="57"/>
      <w:r>
        <w:rPr>
          <w:rFonts w:ascii="方正黑体_GBK" w:eastAsia="方正黑体_GBK" w:hAnsi="方正黑体_GBK" w:cs="方正黑体_GBK"/>
          <w:color w:val="000000"/>
          <w:kern w:val="0"/>
          <w:sz w:val="33"/>
          <w:szCs w:val="33"/>
          <w:shd w:val="clear" w:color="auto" w:fill="FFFFFF"/>
        </w:rPr>
        <w:t xml:space="preserve"> </w:t>
      </w:r>
    </w:p>
    <w:p w:rsidR="007F5EC8" w:rsidRDefault="00F75C99">
      <w:pPr>
        <w:spacing w:line="576" w:lineRule="exact"/>
        <w:ind w:firstLineChars="200" w:firstLine="660"/>
        <w:rPr>
          <w:rFonts w:ascii="方正楷体_GBK" w:eastAsia="方正楷体_GBK" w:hAnsi="方正楷体_GBK" w:cs="方正楷体_GBK"/>
          <w:color w:val="000000"/>
          <w:kern w:val="0"/>
          <w:sz w:val="33"/>
          <w:szCs w:val="33"/>
          <w:shd w:val="clear" w:color="auto" w:fill="FFFFFF"/>
          <w:lang w:val="zh-CN"/>
        </w:rPr>
      </w:pPr>
      <w:r>
        <w:rPr>
          <w:rFonts w:ascii="方正楷体_GBK" w:eastAsia="方正楷体_GBK" w:hAnsi="方正楷体_GBK" w:cs="方正楷体_GBK"/>
          <w:color w:val="000000"/>
          <w:kern w:val="0"/>
          <w:sz w:val="33"/>
          <w:szCs w:val="33"/>
          <w:shd w:val="clear" w:color="auto" w:fill="FFFFFF"/>
          <w:lang w:val="zh-CN"/>
        </w:rPr>
        <w:t>（</w:t>
      </w:r>
      <w:r>
        <w:rPr>
          <w:rFonts w:ascii="方正楷体_GBK" w:eastAsia="方正楷体_GBK" w:hAnsi="方正楷体_GBK" w:cs="方正楷体_GBK" w:hint="eastAsia"/>
          <w:color w:val="000000"/>
          <w:kern w:val="0"/>
          <w:sz w:val="33"/>
          <w:szCs w:val="33"/>
          <w:shd w:val="clear" w:color="auto" w:fill="FFFFFF"/>
          <w:lang w:val="zh-CN"/>
        </w:rPr>
        <w:t>一</w:t>
      </w:r>
      <w:r>
        <w:rPr>
          <w:rFonts w:ascii="方正楷体_GBK" w:eastAsia="方正楷体_GBK" w:hAnsi="方正楷体_GBK" w:cs="方正楷体_GBK"/>
          <w:color w:val="000000"/>
          <w:kern w:val="0"/>
          <w:sz w:val="33"/>
          <w:szCs w:val="33"/>
          <w:shd w:val="clear" w:color="auto" w:fill="FFFFFF"/>
          <w:lang w:val="zh-CN"/>
        </w:rPr>
        <w:t>）评价结论</w:t>
      </w:r>
    </w:p>
    <w:p w:rsidR="007F5EC8" w:rsidRDefault="00F75C99">
      <w:pPr>
        <w:adjustRightInd w:val="0"/>
        <w:snapToGrid w:val="0"/>
        <w:spacing w:line="560" w:lineRule="exact"/>
        <w:ind w:firstLineChars="200" w:firstLine="660"/>
        <w:rPr>
          <w:rFonts w:eastAsia="方正仿宋_GBK"/>
          <w:sz w:val="33"/>
          <w:szCs w:val="33"/>
        </w:rPr>
      </w:pPr>
      <w:r>
        <w:rPr>
          <w:rFonts w:eastAsia="方正仿宋_GBK"/>
          <w:sz w:val="33"/>
          <w:szCs w:val="33"/>
        </w:rPr>
        <w:t>从整体情况来看，市委编办高度重视财政资金的支出绩效，从预算、执行、资金支付等流程层层把关，严格按照部门预算安排部门整体支出，涉及</w:t>
      </w:r>
      <w:r>
        <w:rPr>
          <w:rFonts w:eastAsia="方正仿宋_GBK"/>
          <w:sz w:val="33"/>
          <w:szCs w:val="33"/>
        </w:rPr>
        <w:t>“</w:t>
      </w:r>
      <w:r>
        <w:rPr>
          <w:rFonts w:eastAsia="方正仿宋_GBK"/>
          <w:sz w:val="33"/>
          <w:szCs w:val="33"/>
        </w:rPr>
        <w:t>三重一大</w:t>
      </w:r>
      <w:r>
        <w:rPr>
          <w:rFonts w:eastAsia="方正仿宋_GBK"/>
          <w:sz w:val="33"/>
          <w:szCs w:val="33"/>
        </w:rPr>
        <w:t>”</w:t>
      </w:r>
      <w:r>
        <w:rPr>
          <w:rFonts w:eastAsia="方正仿宋_GBK"/>
          <w:sz w:val="33"/>
          <w:szCs w:val="33"/>
        </w:rPr>
        <w:t>事项必须经过市委编办室务会审定。专项资金严格按照资金申报的实施方案组织实施，切实做到专项资金专款专用，无截留、无挪用等现象，保证了部门的正常运行和日常工作的正常开展，圆满完成了各项工作任务，达到了预期绩效目标。</w:t>
      </w:r>
    </w:p>
    <w:p w:rsidR="007F5EC8" w:rsidRDefault="00F75C99">
      <w:pPr>
        <w:spacing w:line="576" w:lineRule="exact"/>
        <w:ind w:firstLineChars="200" w:firstLine="660"/>
        <w:rPr>
          <w:rFonts w:ascii="方正楷体_GBK" w:eastAsia="方正楷体_GBK" w:hAnsi="方正楷体_GBK" w:cs="方正楷体_GBK"/>
          <w:color w:val="000000"/>
          <w:kern w:val="0"/>
          <w:sz w:val="33"/>
          <w:szCs w:val="33"/>
          <w:shd w:val="clear" w:color="auto" w:fill="FFFFFF"/>
          <w:lang w:val="zh-CN"/>
        </w:rPr>
      </w:pPr>
      <w:r>
        <w:rPr>
          <w:rFonts w:ascii="方正楷体_GBK" w:eastAsia="方正楷体_GBK" w:hAnsi="方正楷体_GBK" w:cs="方正楷体_GBK"/>
          <w:color w:val="000000"/>
          <w:kern w:val="0"/>
          <w:sz w:val="33"/>
          <w:szCs w:val="33"/>
          <w:shd w:val="clear" w:color="auto" w:fill="FFFFFF"/>
          <w:lang w:val="zh-CN"/>
        </w:rPr>
        <w:t>（二）存在问题</w:t>
      </w:r>
    </w:p>
    <w:p w:rsidR="007F5EC8" w:rsidRDefault="00F75C99">
      <w:pPr>
        <w:snapToGrid w:val="0"/>
        <w:spacing w:line="576" w:lineRule="exact"/>
        <w:ind w:firstLineChars="200" w:firstLine="660"/>
        <w:rPr>
          <w:rFonts w:eastAsia="方正仿宋_GBK"/>
          <w:sz w:val="33"/>
          <w:szCs w:val="33"/>
        </w:rPr>
      </w:pPr>
      <w:r>
        <w:rPr>
          <w:rFonts w:eastAsia="方正仿宋_GBK"/>
          <w:sz w:val="33"/>
          <w:szCs w:val="33"/>
        </w:rPr>
        <w:t>一是专项资金预算不足。我办专项资金主要是物业管理费，年度费用约</w:t>
      </w:r>
      <w:r>
        <w:rPr>
          <w:rFonts w:eastAsia="方正仿宋_GBK"/>
          <w:sz w:val="33"/>
          <w:szCs w:val="33"/>
        </w:rPr>
        <w:t>10</w:t>
      </w:r>
      <w:r>
        <w:rPr>
          <w:rFonts w:eastAsia="方正仿宋_GBK"/>
          <w:sz w:val="33"/>
          <w:szCs w:val="33"/>
        </w:rPr>
        <w:t>万元，</w:t>
      </w:r>
      <w:r>
        <w:rPr>
          <w:rFonts w:eastAsia="方正仿宋_GBK"/>
          <w:sz w:val="33"/>
          <w:szCs w:val="33"/>
        </w:rPr>
        <w:t>2022</w:t>
      </w:r>
      <w:r>
        <w:rPr>
          <w:rFonts w:eastAsia="方正仿宋_GBK"/>
          <w:sz w:val="33"/>
          <w:szCs w:val="33"/>
        </w:rPr>
        <w:t>年仅下达</w:t>
      </w:r>
      <w:r>
        <w:rPr>
          <w:rFonts w:eastAsia="方正仿宋_GBK"/>
          <w:sz w:val="33"/>
          <w:szCs w:val="33"/>
        </w:rPr>
        <w:t>6.27</w:t>
      </w:r>
      <w:r>
        <w:rPr>
          <w:rFonts w:eastAsia="方正仿宋_GBK"/>
          <w:sz w:val="33"/>
          <w:szCs w:val="33"/>
        </w:rPr>
        <w:t>万元，存在资金缺口。</w:t>
      </w:r>
    </w:p>
    <w:p w:rsidR="007F5EC8" w:rsidRDefault="00F75C99">
      <w:pPr>
        <w:pStyle w:val="a8"/>
        <w:spacing w:line="576" w:lineRule="exact"/>
        <w:ind w:firstLineChars="200" w:firstLine="660"/>
        <w:rPr>
          <w:rFonts w:ascii="Times New Roman" w:eastAsia="方正仿宋_GBK" w:hAnsi="Times New Roman"/>
          <w:sz w:val="33"/>
          <w:szCs w:val="33"/>
        </w:rPr>
      </w:pPr>
      <w:r>
        <w:rPr>
          <w:rFonts w:ascii="Times New Roman" w:eastAsia="方正仿宋_GBK" w:hAnsi="Times New Roman"/>
          <w:sz w:val="33"/>
          <w:szCs w:val="33"/>
        </w:rPr>
        <w:t>二是</w:t>
      </w:r>
      <w:r>
        <w:rPr>
          <w:rFonts w:ascii="Times New Roman" w:eastAsia="方正仿宋_GBK" w:hAnsi="Times New Roman"/>
          <w:kern w:val="0"/>
          <w:sz w:val="33"/>
          <w:szCs w:val="33"/>
        </w:rPr>
        <w:t>绩效指标目标值及指标体系的设定有待进一步科学及合理化。项目的年度绩效目标</w:t>
      </w:r>
      <w:r>
        <w:rPr>
          <w:rFonts w:ascii="Times New Roman" w:eastAsia="方正仿宋_GBK" w:hAnsi="Times New Roman" w:hint="eastAsia"/>
          <w:kern w:val="0"/>
          <w:sz w:val="33"/>
          <w:szCs w:val="33"/>
        </w:rPr>
        <w:t>、</w:t>
      </w:r>
      <w:r>
        <w:rPr>
          <w:rFonts w:ascii="Times New Roman" w:eastAsia="方正仿宋_GBK" w:hAnsi="Times New Roman"/>
          <w:kern w:val="0"/>
          <w:sz w:val="33"/>
          <w:szCs w:val="33"/>
        </w:rPr>
        <w:t>预期产出等细化、量化的指标数值不够具体、明确。</w:t>
      </w:r>
    </w:p>
    <w:p w:rsidR="007F5EC8" w:rsidRDefault="00F75C99">
      <w:pPr>
        <w:spacing w:line="576" w:lineRule="exact"/>
        <w:ind w:firstLineChars="200" w:firstLine="660"/>
        <w:rPr>
          <w:rFonts w:ascii="方正楷体_GBK" w:eastAsia="方正楷体_GBK" w:hAnsi="方正楷体_GBK" w:cs="方正楷体_GBK"/>
          <w:color w:val="000000"/>
          <w:kern w:val="0"/>
          <w:sz w:val="33"/>
          <w:szCs w:val="33"/>
          <w:shd w:val="clear" w:color="auto" w:fill="FFFFFF"/>
          <w:lang w:val="zh-CN"/>
        </w:rPr>
      </w:pPr>
      <w:r>
        <w:rPr>
          <w:rFonts w:ascii="方正楷体_GBK" w:eastAsia="方正楷体_GBK" w:hAnsi="方正楷体_GBK" w:cs="方正楷体_GBK"/>
          <w:color w:val="000000"/>
          <w:kern w:val="0"/>
          <w:sz w:val="33"/>
          <w:szCs w:val="33"/>
          <w:shd w:val="clear" w:color="auto" w:fill="FFFFFF"/>
          <w:lang w:val="zh-CN"/>
        </w:rPr>
        <w:t>（三）改进建议</w:t>
      </w:r>
    </w:p>
    <w:p w:rsidR="007F5EC8" w:rsidRDefault="00F75C99">
      <w:pPr>
        <w:snapToGrid w:val="0"/>
        <w:spacing w:line="576" w:lineRule="exact"/>
        <w:ind w:firstLineChars="200" w:firstLine="660"/>
        <w:rPr>
          <w:rFonts w:eastAsia="方正仿宋_GBK"/>
          <w:sz w:val="33"/>
          <w:szCs w:val="33"/>
        </w:rPr>
      </w:pPr>
      <w:r>
        <w:rPr>
          <w:rFonts w:eastAsia="方正仿宋_GBK"/>
          <w:sz w:val="33"/>
          <w:szCs w:val="33"/>
        </w:rPr>
        <w:t>1.</w:t>
      </w:r>
      <w:r>
        <w:rPr>
          <w:rFonts w:eastAsia="方正仿宋_GBK"/>
          <w:sz w:val="33"/>
          <w:szCs w:val="33"/>
        </w:rPr>
        <w:t>科学编制预算，严格执行预算。</w:t>
      </w:r>
    </w:p>
    <w:p w:rsidR="007F5EC8" w:rsidRDefault="00F75C99">
      <w:pPr>
        <w:snapToGrid w:val="0"/>
        <w:spacing w:line="576" w:lineRule="exact"/>
        <w:ind w:firstLineChars="200" w:firstLine="660"/>
        <w:rPr>
          <w:rFonts w:eastAsia="方正仿宋_GBK"/>
          <w:sz w:val="33"/>
          <w:szCs w:val="33"/>
        </w:rPr>
      </w:pPr>
      <w:r>
        <w:rPr>
          <w:rFonts w:eastAsia="方正仿宋_GBK"/>
          <w:sz w:val="33"/>
          <w:szCs w:val="33"/>
        </w:rPr>
        <w:t>加强预算编制，按照《</w:t>
      </w:r>
      <w:r>
        <w:rPr>
          <w:rFonts w:eastAsia="方正仿宋_GBK" w:hint="eastAsia"/>
          <w:sz w:val="33"/>
          <w:szCs w:val="33"/>
        </w:rPr>
        <w:t>中华人民共和国</w:t>
      </w:r>
      <w:r>
        <w:rPr>
          <w:rFonts w:eastAsia="方正仿宋_GBK"/>
          <w:sz w:val="33"/>
          <w:szCs w:val="33"/>
        </w:rPr>
        <w:t>预算法》及其实施条例的相关规定，综合上一年的预算执行情况和本年度收支预测科学、合理地编制本年度预算。财政应根据单位实际情况足额下达物业管理费等专项资金，保障单位正常运行。</w:t>
      </w:r>
    </w:p>
    <w:p w:rsidR="007F5EC8" w:rsidRDefault="00F75C99">
      <w:pPr>
        <w:snapToGrid w:val="0"/>
        <w:spacing w:line="576" w:lineRule="exact"/>
        <w:ind w:firstLineChars="200" w:firstLine="660"/>
        <w:rPr>
          <w:rFonts w:eastAsia="方正仿宋_GBK"/>
          <w:sz w:val="33"/>
          <w:szCs w:val="33"/>
        </w:rPr>
      </w:pPr>
      <w:r>
        <w:rPr>
          <w:rFonts w:eastAsia="方正仿宋_GBK"/>
          <w:sz w:val="33"/>
          <w:szCs w:val="33"/>
        </w:rPr>
        <w:t>2.</w:t>
      </w:r>
      <w:r>
        <w:rPr>
          <w:rFonts w:eastAsia="方正仿宋_GBK"/>
          <w:sz w:val="33"/>
          <w:szCs w:val="33"/>
        </w:rPr>
        <w:t>加强绩效管理，发挥资金效益。</w:t>
      </w:r>
    </w:p>
    <w:p w:rsidR="007F5EC8" w:rsidRDefault="00F75C99">
      <w:pPr>
        <w:snapToGrid w:val="0"/>
        <w:spacing w:line="576" w:lineRule="exact"/>
        <w:ind w:firstLineChars="200" w:firstLine="660"/>
        <w:rPr>
          <w:rFonts w:eastAsia="方正仿宋_GBK"/>
          <w:sz w:val="33"/>
          <w:szCs w:val="33"/>
        </w:rPr>
      </w:pPr>
      <w:r>
        <w:rPr>
          <w:rFonts w:eastAsia="方正仿宋_GBK"/>
          <w:sz w:val="33"/>
          <w:szCs w:val="33"/>
        </w:rPr>
        <w:lastRenderedPageBreak/>
        <w:t>我办将严格按照财政资金绩效管理要求，对重点资金项目实施事前绩效评估、事中监控管理、事后绩效评价，确保财政资金安全、有效，发挥最大效益和价值。</w:t>
      </w:r>
    </w:p>
    <w:p w:rsidR="007F5EC8" w:rsidRDefault="00F75C99">
      <w:pPr>
        <w:pStyle w:val="21"/>
        <w:spacing w:line="560" w:lineRule="exact"/>
        <w:ind w:leftChars="0" w:left="0" w:firstLine="640"/>
        <w:rPr>
          <w:rFonts w:eastAsia="仿宋_GB2312" w:hAnsi="仿宋_GB2312" w:cs="仿宋_GB2312"/>
          <w:sz w:val="32"/>
        </w:rPr>
      </w:pPr>
      <w:r>
        <w:rPr>
          <w:rFonts w:eastAsia="仿宋_GB2312" w:hAnsi="仿宋_GB2312" w:cs="仿宋_GB2312" w:hint="eastAsia"/>
          <w:sz w:val="32"/>
          <w:lang w:val="zh-CN"/>
        </w:rPr>
        <w:t>附表：</w:t>
      </w:r>
      <w:r>
        <w:rPr>
          <w:rFonts w:eastAsia="仿宋_GB2312" w:hAnsi="仿宋_GB2312" w:cs="仿宋_GB2312" w:hint="eastAsia"/>
          <w:sz w:val="32"/>
        </w:rPr>
        <w:t>部门预算项目支出绩效自评表（2022年度）见附件</w:t>
      </w:r>
      <w:r w:rsidR="005D7BDD">
        <w:rPr>
          <w:rFonts w:eastAsia="仿宋_GB2312" w:hAnsi="仿宋_GB2312" w:cs="仿宋_GB2312" w:hint="eastAsia"/>
          <w:sz w:val="32"/>
        </w:rPr>
        <w:t>3</w:t>
      </w:r>
      <w:r>
        <w:rPr>
          <w:rFonts w:eastAsia="仿宋_GB2312" w:hAnsi="仿宋_GB2312" w:cs="仿宋_GB2312" w:hint="eastAsia"/>
          <w:sz w:val="32"/>
        </w:rPr>
        <w:t>。</w:t>
      </w:r>
    </w:p>
    <w:p w:rsidR="007F5EC8" w:rsidRDefault="007F5EC8">
      <w:pPr>
        <w:pStyle w:val="21"/>
        <w:spacing w:line="560" w:lineRule="exact"/>
        <w:ind w:leftChars="0" w:left="0" w:firstLineChars="0" w:firstLine="0"/>
        <w:rPr>
          <w:sz w:val="32"/>
          <w:lang w:val="zh-CN"/>
        </w:rPr>
      </w:pPr>
    </w:p>
    <w:p w:rsidR="007F5EC8" w:rsidRDefault="007F5EC8">
      <w:pPr>
        <w:pStyle w:val="a0"/>
        <w:spacing w:before="93"/>
        <w:rPr>
          <w:rFonts w:hAnsi="宋体" w:cs="宋体"/>
          <w:sz w:val="32"/>
          <w:szCs w:val="32"/>
          <w:shd w:val="clear" w:color="auto" w:fill="FFFFFF"/>
          <w:lang w:val="zh-CN"/>
        </w:rPr>
      </w:pPr>
    </w:p>
    <w:p w:rsidR="007F5EC8" w:rsidRDefault="007F5EC8">
      <w:pPr>
        <w:spacing w:line="580" w:lineRule="exact"/>
        <w:rPr>
          <w:rStyle w:val="1Char"/>
          <w:rFonts w:ascii="黑体" w:eastAsia="黑体" w:hAnsi="黑体"/>
          <w:b w:val="0"/>
        </w:rPr>
      </w:pPr>
    </w:p>
    <w:p w:rsidR="007F5EC8" w:rsidRDefault="00F75C99">
      <w:pPr>
        <w:widowControl/>
        <w:jc w:val="left"/>
        <w:rPr>
          <w:rStyle w:val="1Char"/>
          <w:rFonts w:ascii="黑体" w:eastAsia="黑体" w:hAnsi="黑体"/>
          <w:b w:val="0"/>
        </w:rPr>
      </w:pPr>
      <w:r>
        <w:rPr>
          <w:rStyle w:val="1Char"/>
          <w:rFonts w:ascii="黑体" w:eastAsia="黑体" w:hAnsi="黑体"/>
          <w:b w:val="0"/>
        </w:rPr>
        <w:br w:type="page"/>
      </w:r>
    </w:p>
    <w:p w:rsidR="007F5EC8" w:rsidRDefault="00F75C99">
      <w:pPr>
        <w:spacing w:line="600" w:lineRule="exact"/>
        <w:jc w:val="center"/>
        <w:outlineLvl w:val="0"/>
        <w:rPr>
          <w:rFonts w:ascii="仿宋" w:eastAsia="仿宋" w:hAnsi="仿宋"/>
        </w:rPr>
      </w:pPr>
      <w:bookmarkStart w:id="58" w:name="_Toc15396618"/>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59" w:name="_Toc15396619"/>
      <w:bookmarkEnd w:id="55"/>
      <w:bookmarkEnd w:id="58"/>
    </w:p>
    <w:p w:rsidR="007F5EC8" w:rsidRDefault="00F75C99">
      <w:pPr>
        <w:pStyle w:val="2"/>
        <w:rPr>
          <w:rFonts w:ascii="仿宋" w:eastAsia="仿宋" w:hAnsi="仿宋"/>
        </w:rPr>
      </w:pPr>
      <w:r>
        <w:rPr>
          <w:rFonts w:ascii="仿宋" w:eastAsia="仿宋" w:hAnsi="仿宋" w:hint="eastAsia"/>
          <w:b w:val="0"/>
        </w:rPr>
        <w:t>一、收</w:t>
      </w:r>
      <w:r>
        <w:rPr>
          <w:rStyle w:val="22"/>
          <w:rFonts w:ascii="仿宋" w:eastAsia="仿宋" w:hAnsi="仿宋" w:hint="eastAsia"/>
        </w:rPr>
        <w:t>入支出决算总表</w:t>
      </w:r>
      <w:bookmarkEnd w:id="59"/>
    </w:p>
    <w:p w:rsidR="007F5EC8" w:rsidRDefault="00F75C99">
      <w:pPr>
        <w:pStyle w:val="2"/>
        <w:rPr>
          <w:rFonts w:ascii="仿宋" w:eastAsia="仿宋" w:hAnsi="仿宋"/>
        </w:rPr>
      </w:pPr>
      <w:bookmarkStart w:id="60" w:name="_Toc15396620"/>
      <w:r>
        <w:rPr>
          <w:rFonts w:ascii="仿宋" w:eastAsia="仿宋" w:hAnsi="仿宋" w:hint="eastAsia"/>
          <w:b w:val="0"/>
        </w:rPr>
        <w:t>二、收</w:t>
      </w:r>
      <w:r>
        <w:rPr>
          <w:rStyle w:val="22"/>
          <w:rFonts w:ascii="仿宋" w:eastAsia="仿宋" w:hAnsi="仿宋" w:hint="eastAsia"/>
        </w:rPr>
        <w:t>入决算表</w:t>
      </w:r>
      <w:bookmarkEnd w:id="60"/>
    </w:p>
    <w:p w:rsidR="007F5EC8" w:rsidRDefault="00F75C99">
      <w:pPr>
        <w:pStyle w:val="2"/>
        <w:rPr>
          <w:rFonts w:ascii="仿宋" w:eastAsia="仿宋" w:hAnsi="仿宋"/>
        </w:rPr>
      </w:pPr>
      <w:bookmarkStart w:id="61" w:name="_Toc15396621"/>
      <w:r>
        <w:rPr>
          <w:rStyle w:val="22"/>
          <w:rFonts w:ascii="仿宋" w:eastAsia="仿宋" w:hAnsi="仿宋" w:hint="eastAsia"/>
        </w:rPr>
        <w:t>三、</w:t>
      </w:r>
      <w:r>
        <w:rPr>
          <w:rFonts w:ascii="仿宋" w:eastAsia="仿宋" w:hAnsi="仿宋" w:hint="eastAsia"/>
          <w:b w:val="0"/>
        </w:rPr>
        <w:t>支</w:t>
      </w:r>
      <w:r>
        <w:rPr>
          <w:rStyle w:val="22"/>
          <w:rFonts w:ascii="仿宋" w:eastAsia="仿宋" w:hAnsi="仿宋" w:hint="eastAsia"/>
        </w:rPr>
        <w:t>出决算表</w:t>
      </w:r>
      <w:bookmarkEnd w:id="61"/>
    </w:p>
    <w:p w:rsidR="007F5EC8" w:rsidRDefault="00F75C99">
      <w:pPr>
        <w:pStyle w:val="2"/>
        <w:rPr>
          <w:rFonts w:ascii="仿宋" w:eastAsia="仿宋" w:hAnsi="仿宋"/>
          <w:b w:val="0"/>
        </w:rPr>
      </w:pPr>
      <w:bookmarkStart w:id="62" w:name="_Toc15396622"/>
      <w:r>
        <w:rPr>
          <w:rStyle w:val="22"/>
          <w:rFonts w:ascii="仿宋" w:eastAsia="仿宋" w:hAnsi="仿宋" w:hint="eastAsia"/>
        </w:rPr>
        <w:t>四、</w:t>
      </w:r>
      <w:r>
        <w:rPr>
          <w:rFonts w:ascii="仿宋" w:eastAsia="仿宋" w:hAnsi="仿宋" w:hint="eastAsia"/>
          <w:b w:val="0"/>
        </w:rPr>
        <w:t>财</w:t>
      </w:r>
      <w:r>
        <w:rPr>
          <w:rStyle w:val="22"/>
          <w:rFonts w:ascii="仿宋" w:eastAsia="仿宋" w:hAnsi="仿宋" w:hint="eastAsia"/>
        </w:rPr>
        <w:t>政拨款收入支出决算总表</w:t>
      </w:r>
      <w:bookmarkEnd w:id="62"/>
    </w:p>
    <w:p w:rsidR="007F5EC8" w:rsidRDefault="00F75C99">
      <w:pPr>
        <w:pStyle w:val="2"/>
        <w:rPr>
          <w:rStyle w:val="22"/>
          <w:rFonts w:ascii="仿宋" w:eastAsia="仿宋" w:hAnsi="仿宋"/>
        </w:rPr>
      </w:pPr>
      <w:bookmarkStart w:id="63" w:name="_Toc15396623"/>
      <w:r>
        <w:rPr>
          <w:rStyle w:val="22"/>
          <w:rFonts w:ascii="仿宋" w:eastAsia="仿宋" w:hAnsi="仿宋" w:hint="eastAsia"/>
        </w:rPr>
        <w:t>五、</w:t>
      </w:r>
      <w:r>
        <w:rPr>
          <w:rFonts w:ascii="仿宋" w:eastAsia="仿宋" w:hAnsi="仿宋" w:hint="eastAsia"/>
          <w:b w:val="0"/>
        </w:rPr>
        <w:t>财</w:t>
      </w:r>
      <w:r>
        <w:rPr>
          <w:rStyle w:val="22"/>
          <w:rFonts w:ascii="仿宋" w:eastAsia="仿宋" w:hAnsi="仿宋" w:hint="eastAsia"/>
        </w:rPr>
        <w:t>政拨款支出决算明细表</w:t>
      </w:r>
      <w:bookmarkStart w:id="64" w:name="_Toc15396624"/>
      <w:bookmarkEnd w:id="63"/>
    </w:p>
    <w:p w:rsidR="007F5EC8" w:rsidRDefault="00F75C99">
      <w:pPr>
        <w:pStyle w:val="2"/>
        <w:rPr>
          <w:rFonts w:ascii="仿宋" w:eastAsia="仿宋" w:hAnsi="仿宋"/>
        </w:rPr>
      </w:pPr>
      <w:r>
        <w:rPr>
          <w:rStyle w:val="22"/>
          <w:rFonts w:ascii="仿宋" w:eastAsia="仿宋" w:hAnsi="仿宋" w:hint="eastAsia"/>
        </w:rPr>
        <w:t>六、</w:t>
      </w:r>
      <w:r>
        <w:rPr>
          <w:rFonts w:ascii="仿宋" w:eastAsia="仿宋" w:hAnsi="仿宋" w:hint="eastAsia"/>
          <w:b w:val="0"/>
        </w:rPr>
        <w:t>一</w:t>
      </w:r>
      <w:r>
        <w:rPr>
          <w:rStyle w:val="22"/>
          <w:rFonts w:ascii="仿宋" w:eastAsia="仿宋" w:hAnsi="仿宋" w:hint="eastAsia"/>
        </w:rPr>
        <w:t>般公共预算财政拨款支出决算表</w:t>
      </w:r>
      <w:bookmarkEnd w:id="64"/>
    </w:p>
    <w:p w:rsidR="007F5EC8" w:rsidRDefault="00F75C99">
      <w:pPr>
        <w:pStyle w:val="2"/>
        <w:rPr>
          <w:rFonts w:ascii="仿宋" w:eastAsia="仿宋" w:hAnsi="仿宋"/>
        </w:rPr>
      </w:pPr>
      <w:bookmarkStart w:id="65" w:name="_Toc15396625"/>
      <w:r>
        <w:rPr>
          <w:rStyle w:val="22"/>
          <w:rFonts w:ascii="仿宋" w:eastAsia="仿宋" w:hAnsi="仿宋" w:hint="eastAsia"/>
        </w:rPr>
        <w:t>七、</w:t>
      </w:r>
      <w:r>
        <w:rPr>
          <w:rFonts w:ascii="仿宋" w:eastAsia="仿宋" w:hAnsi="仿宋" w:hint="eastAsia"/>
          <w:b w:val="0"/>
        </w:rPr>
        <w:t>一</w:t>
      </w:r>
      <w:r>
        <w:rPr>
          <w:rStyle w:val="22"/>
          <w:rFonts w:ascii="仿宋" w:eastAsia="仿宋" w:hAnsi="仿宋" w:hint="eastAsia"/>
        </w:rPr>
        <w:t>般公共预算财政拨款支出决算明细表</w:t>
      </w:r>
      <w:bookmarkEnd w:id="65"/>
    </w:p>
    <w:p w:rsidR="007F5EC8" w:rsidRDefault="00F75C99">
      <w:pPr>
        <w:pStyle w:val="2"/>
        <w:rPr>
          <w:rFonts w:ascii="仿宋" w:eastAsia="仿宋" w:hAnsi="仿宋"/>
        </w:rPr>
      </w:pPr>
      <w:bookmarkStart w:id="66" w:name="_Toc15396626"/>
      <w:r>
        <w:rPr>
          <w:rStyle w:val="22"/>
          <w:rFonts w:ascii="仿宋" w:eastAsia="仿宋" w:hAnsi="仿宋" w:hint="eastAsia"/>
        </w:rPr>
        <w:t>八、</w:t>
      </w:r>
      <w:r>
        <w:rPr>
          <w:rFonts w:ascii="仿宋" w:eastAsia="仿宋" w:hAnsi="仿宋" w:hint="eastAsia"/>
          <w:b w:val="0"/>
        </w:rPr>
        <w:t>一</w:t>
      </w:r>
      <w:r>
        <w:rPr>
          <w:rStyle w:val="22"/>
          <w:rFonts w:ascii="仿宋" w:eastAsia="仿宋" w:hAnsi="仿宋" w:hint="eastAsia"/>
        </w:rPr>
        <w:t>般公共预算财政拨款基本支出决算表</w:t>
      </w:r>
      <w:bookmarkEnd w:id="66"/>
    </w:p>
    <w:p w:rsidR="007F5EC8" w:rsidRDefault="00F75C99">
      <w:pPr>
        <w:pStyle w:val="2"/>
        <w:rPr>
          <w:rFonts w:ascii="仿宋" w:eastAsia="仿宋" w:hAnsi="仿宋"/>
        </w:rPr>
      </w:pPr>
      <w:bookmarkStart w:id="67" w:name="_Toc15396627"/>
      <w:r>
        <w:rPr>
          <w:rStyle w:val="22"/>
          <w:rFonts w:ascii="仿宋" w:eastAsia="仿宋" w:hAnsi="仿宋" w:hint="eastAsia"/>
        </w:rPr>
        <w:t>九、</w:t>
      </w:r>
      <w:r>
        <w:rPr>
          <w:rFonts w:ascii="仿宋" w:eastAsia="仿宋" w:hAnsi="仿宋" w:hint="eastAsia"/>
          <w:b w:val="0"/>
        </w:rPr>
        <w:t>一</w:t>
      </w:r>
      <w:r>
        <w:rPr>
          <w:rStyle w:val="22"/>
          <w:rFonts w:ascii="仿宋" w:eastAsia="仿宋" w:hAnsi="仿宋" w:hint="eastAsia"/>
        </w:rPr>
        <w:t>般公共预算财政拨款项目支出决算表</w:t>
      </w:r>
      <w:bookmarkEnd w:id="67"/>
    </w:p>
    <w:p w:rsidR="007F5EC8" w:rsidRDefault="00F75C99">
      <w:pPr>
        <w:pStyle w:val="2"/>
        <w:rPr>
          <w:rFonts w:ascii="仿宋" w:eastAsia="仿宋" w:hAnsi="仿宋"/>
        </w:rPr>
      </w:pPr>
      <w:bookmarkStart w:id="68" w:name="_Toc15396628"/>
      <w:r>
        <w:rPr>
          <w:rStyle w:val="22"/>
          <w:rFonts w:ascii="仿宋" w:eastAsia="仿宋" w:hAnsi="仿宋" w:hint="eastAsia"/>
        </w:rPr>
        <w:t>十、</w:t>
      </w:r>
      <w:bookmarkEnd w:id="68"/>
      <w:r>
        <w:rPr>
          <w:rFonts w:ascii="仿宋" w:eastAsia="仿宋" w:hAnsi="仿宋" w:hint="eastAsia"/>
          <w:b w:val="0"/>
        </w:rPr>
        <w:t>政</w:t>
      </w:r>
      <w:r>
        <w:rPr>
          <w:rStyle w:val="22"/>
          <w:rFonts w:ascii="仿宋" w:eastAsia="仿宋" w:hAnsi="仿宋" w:hint="eastAsia"/>
        </w:rPr>
        <w:t>府性基金预算财政拨款收入支出决算表</w:t>
      </w:r>
    </w:p>
    <w:p w:rsidR="007F5EC8" w:rsidRDefault="00F75C99">
      <w:pPr>
        <w:pStyle w:val="2"/>
        <w:rPr>
          <w:rFonts w:ascii="仿宋" w:eastAsia="仿宋" w:hAnsi="仿宋"/>
        </w:rPr>
      </w:pPr>
      <w:bookmarkStart w:id="69" w:name="_Toc15396629"/>
      <w:r>
        <w:rPr>
          <w:rStyle w:val="22"/>
          <w:rFonts w:ascii="仿宋" w:eastAsia="仿宋" w:hAnsi="仿宋" w:hint="eastAsia"/>
        </w:rPr>
        <w:t>十一、</w:t>
      </w:r>
      <w:bookmarkEnd w:id="69"/>
      <w:r>
        <w:rPr>
          <w:rFonts w:ascii="仿宋" w:eastAsia="仿宋" w:hAnsi="仿宋" w:hint="eastAsia"/>
          <w:b w:val="0"/>
        </w:rPr>
        <w:t>国</w:t>
      </w:r>
      <w:r>
        <w:rPr>
          <w:rStyle w:val="22"/>
          <w:rFonts w:ascii="仿宋" w:eastAsia="仿宋" w:hAnsi="仿宋" w:hint="eastAsia"/>
        </w:rPr>
        <w:t>有资本经营预算财政拨款收入支出决算表</w:t>
      </w:r>
    </w:p>
    <w:p w:rsidR="007F5EC8" w:rsidRDefault="00F75C99">
      <w:pPr>
        <w:pStyle w:val="2"/>
        <w:rPr>
          <w:rFonts w:ascii="仿宋" w:eastAsia="仿宋" w:hAnsi="仿宋"/>
        </w:rPr>
      </w:pPr>
      <w:bookmarkStart w:id="70" w:name="_Toc15396630"/>
      <w:r>
        <w:rPr>
          <w:rStyle w:val="22"/>
          <w:rFonts w:ascii="仿宋" w:eastAsia="仿宋" w:hAnsi="仿宋" w:hint="eastAsia"/>
        </w:rPr>
        <w:t>十二、</w:t>
      </w:r>
      <w:bookmarkEnd w:id="70"/>
      <w:r>
        <w:rPr>
          <w:rStyle w:val="22"/>
          <w:rFonts w:ascii="仿宋" w:eastAsia="仿宋" w:hAnsi="仿宋" w:hint="eastAsia"/>
        </w:rPr>
        <w:t>国有资本经营预算财政拨款支出决算表</w:t>
      </w:r>
    </w:p>
    <w:p w:rsidR="007F5EC8" w:rsidRDefault="00F75C99">
      <w:pPr>
        <w:pStyle w:val="2"/>
        <w:rPr>
          <w:rFonts w:eastAsia="仿宋"/>
        </w:rPr>
      </w:pPr>
      <w:bookmarkStart w:id="71" w:name="_Toc15396631"/>
      <w:r>
        <w:rPr>
          <w:rStyle w:val="22"/>
          <w:rFonts w:ascii="仿宋" w:eastAsia="仿宋" w:hAnsi="仿宋" w:hint="eastAsia"/>
        </w:rPr>
        <w:t>十三、</w:t>
      </w:r>
      <w:bookmarkEnd w:id="71"/>
      <w:r>
        <w:rPr>
          <w:rStyle w:val="22"/>
          <w:rFonts w:ascii="仿宋" w:eastAsia="仿宋" w:hAnsi="仿宋" w:hint="eastAsia"/>
        </w:rPr>
        <w:t>财政拨款“三公”经费支出决算表</w:t>
      </w:r>
    </w:p>
    <w:sectPr w:rsidR="007F5EC8">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68AC" w:rsidRDefault="00E368AC">
      <w:r>
        <w:separator/>
      </w:r>
    </w:p>
  </w:endnote>
  <w:endnote w:type="continuationSeparator" w:id="0">
    <w:p w:rsidR="00E368AC" w:rsidRDefault="00E36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Arial Unicode MS"/>
    <w:charset w:val="86"/>
    <w:family w:val="auto"/>
    <w:pitch w:val="default"/>
    <w:sig w:usb0="00000000" w:usb1="00000000"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auto"/>
    <w:pitch w:val="variable"/>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
    </w:sdtPr>
    <w:sdtEndPr/>
    <w:sdtContent>
      <w:p w:rsidR="007F5EC8" w:rsidRDefault="00F75C99">
        <w:pPr>
          <w:pStyle w:val="a6"/>
          <w:jc w:val="center"/>
        </w:pPr>
        <w:r>
          <w:fldChar w:fldCharType="begin"/>
        </w:r>
        <w:r>
          <w:instrText>PAGE   \* MERGEFORMAT</w:instrText>
        </w:r>
        <w:r>
          <w:fldChar w:fldCharType="separate"/>
        </w:r>
        <w:r w:rsidR="003B4059" w:rsidRPr="003B4059">
          <w:rPr>
            <w:noProof/>
            <w:lang w:val="zh-CN"/>
          </w:rPr>
          <w:t>2</w:t>
        </w:r>
        <w:r>
          <w:fldChar w:fldCharType="end"/>
        </w:r>
      </w:p>
    </w:sdtContent>
  </w:sdt>
  <w:p w:rsidR="007F5EC8" w:rsidRDefault="007F5EC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68AC" w:rsidRDefault="00E368AC">
      <w:r>
        <w:separator/>
      </w:r>
    </w:p>
  </w:footnote>
  <w:footnote w:type="continuationSeparator" w:id="0">
    <w:p w:rsidR="00E368AC" w:rsidRDefault="00E368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5EC8" w:rsidRDefault="007F5EC8">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B97D2C9"/>
    <w:multiLevelType w:val="singleLevel"/>
    <w:tmpl w:val="AB97D2C9"/>
    <w:lvl w:ilvl="0">
      <w:start w:val="1"/>
      <w:numFmt w:val="decimal"/>
      <w:suff w:val="nothing"/>
      <w:lvlText w:val="（%1）"/>
      <w:lvlJc w:val="left"/>
    </w:lvl>
  </w:abstractNum>
  <w:abstractNum w:abstractNumId="1">
    <w:nsid w:val="CDBFBF63"/>
    <w:multiLevelType w:val="singleLevel"/>
    <w:tmpl w:val="CDBFBF63"/>
    <w:lvl w:ilvl="0">
      <w:start w:val="3"/>
      <w:numFmt w:val="chineseCounting"/>
      <w:suff w:val="nothing"/>
      <w:lvlText w:val="（%1）"/>
      <w:lvlJc w:val="left"/>
      <w:pPr>
        <w:ind w:left="660" w:firstLine="0"/>
      </w:pPr>
      <w:rPr>
        <w:rFonts w:hint="eastAsia"/>
      </w:rPr>
    </w:lvl>
  </w:abstractNum>
  <w:abstractNum w:abstractNumId="2">
    <w:nsid w:val="CF652CEC"/>
    <w:multiLevelType w:val="singleLevel"/>
    <w:tmpl w:val="CF652CEC"/>
    <w:lvl w:ilvl="0">
      <w:start w:val="9"/>
      <w:numFmt w:val="chineseCounting"/>
      <w:suff w:val="nothing"/>
      <w:lvlText w:val="%1、"/>
      <w:lvlJc w:val="left"/>
      <w:rPr>
        <w:rFonts w:hint="eastAsia"/>
      </w:rPr>
    </w:lvl>
  </w:abstractNum>
  <w:abstractNum w:abstractNumId="3">
    <w:nsid w:val="E2FA047D"/>
    <w:multiLevelType w:val="singleLevel"/>
    <w:tmpl w:val="E2FA047D"/>
    <w:lvl w:ilvl="0">
      <w:start w:val="3"/>
      <w:numFmt w:val="chineseCounting"/>
      <w:suff w:val="space"/>
      <w:lvlText w:val="第%1部分"/>
      <w:lvlJc w:val="left"/>
      <w:rPr>
        <w:rFonts w:hint="eastAsia"/>
      </w:rPr>
    </w:lvl>
  </w:abstractNum>
  <w:abstractNum w:abstractNumId="4">
    <w:nsid w:val="FF7302E6"/>
    <w:multiLevelType w:val="singleLevel"/>
    <w:tmpl w:val="FF7302E6"/>
    <w:lvl w:ilvl="0">
      <w:start w:val="3"/>
      <w:numFmt w:val="decimal"/>
      <w:suff w:val="nothing"/>
      <w:lvlText w:val="（%1）"/>
      <w:lvlJc w:val="left"/>
    </w:lvl>
  </w:abstractNum>
  <w:abstractNum w:abstractNumId="5">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5"/>
  </w:num>
  <w:num w:numId="2">
    <w:abstractNumId w:val="2"/>
  </w:num>
  <w:num w:numId="3">
    <w:abstractNumId w:val="3"/>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9CDF760F"/>
    <w:rsid w:val="A51409E5"/>
    <w:rsid w:val="AD173B27"/>
    <w:rsid w:val="B6CF946D"/>
    <w:rsid w:val="BE5F1443"/>
    <w:rsid w:val="C77C3950"/>
    <w:rsid w:val="CAEF0CBF"/>
    <w:rsid w:val="D5DFEAE6"/>
    <w:rsid w:val="D72B3DBE"/>
    <w:rsid w:val="D8D6DB89"/>
    <w:rsid w:val="DA1EFAEE"/>
    <w:rsid w:val="DB6F4CAB"/>
    <w:rsid w:val="DB71C0B2"/>
    <w:rsid w:val="DB7EEE2A"/>
    <w:rsid w:val="DBDFB5B4"/>
    <w:rsid w:val="DDAF8533"/>
    <w:rsid w:val="DE6FD4E0"/>
    <w:rsid w:val="DF6F9789"/>
    <w:rsid w:val="DFAB06DC"/>
    <w:rsid w:val="EC39F8A1"/>
    <w:rsid w:val="EEBD772D"/>
    <w:rsid w:val="EEF5413B"/>
    <w:rsid w:val="EFE79203"/>
    <w:rsid w:val="EFFF0C43"/>
    <w:rsid w:val="F2C786E4"/>
    <w:rsid w:val="F37F77FB"/>
    <w:rsid w:val="F9DF33E4"/>
    <w:rsid w:val="FBF59111"/>
    <w:rsid w:val="FBF7B273"/>
    <w:rsid w:val="FBF9A051"/>
    <w:rsid w:val="FD97EF58"/>
    <w:rsid w:val="FDBB0009"/>
    <w:rsid w:val="FDF79EDE"/>
    <w:rsid w:val="FEB16F69"/>
    <w:rsid w:val="FEF7571B"/>
    <w:rsid w:val="FEFB5133"/>
    <w:rsid w:val="FEFB84E6"/>
    <w:rsid w:val="FEFF43EE"/>
    <w:rsid w:val="FF374885"/>
    <w:rsid w:val="FF5EC6DE"/>
    <w:rsid w:val="FFAE3AE8"/>
    <w:rsid w:val="FFCE5E5F"/>
    <w:rsid w:val="FFE4AA5D"/>
    <w:rsid w:val="FFE5FD3B"/>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6D0C"/>
    <w:rsid w:val="00142216"/>
    <w:rsid w:val="00144D6A"/>
    <w:rsid w:val="0014729F"/>
    <w:rsid w:val="00157BAB"/>
    <w:rsid w:val="001654D1"/>
    <w:rsid w:val="00174518"/>
    <w:rsid w:val="0018106D"/>
    <w:rsid w:val="001877A7"/>
    <w:rsid w:val="00191536"/>
    <w:rsid w:val="00196687"/>
    <w:rsid w:val="001C0962"/>
    <w:rsid w:val="001D7531"/>
    <w:rsid w:val="001E2FF1"/>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4059"/>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46E63"/>
    <w:rsid w:val="0046709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5E15"/>
    <w:rsid w:val="005664BB"/>
    <w:rsid w:val="00566FFA"/>
    <w:rsid w:val="0057481D"/>
    <w:rsid w:val="0058486E"/>
    <w:rsid w:val="00585B33"/>
    <w:rsid w:val="0059014D"/>
    <w:rsid w:val="005B5C64"/>
    <w:rsid w:val="005B67C6"/>
    <w:rsid w:val="005C5337"/>
    <w:rsid w:val="005C6BD0"/>
    <w:rsid w:val="005D1C8B"/>
    <w:rsid w:val="005D468D"/>
    <w:rsid w:val="005D5CED"/>
    <w:rsid w:val="005D7BD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280B"/>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7F5EC8"/>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2575"/>
    <w:rsid w:val="00C533CC"/>
    <w:rsid w:val="00C5751C"/>
    <w:rsid w:val="00C61BFC"/>
    <w:rsid w:val="00C62B85"/>
    <w:rsid w:val="00C65438"/>
    <w:rsid w:val="00C87FD8"/>
    <w:rsid w:val="00C91381"/>
    <w:rsid w:val="00C91CBB"/>
    <w:rsid w:val="00CB4E70"/>
    <w:rsid w:val="00CC09B6"/>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2135"/>
    <w:rsid w:val="00E331A1"/>
    <w:rsid w:val="00E33202"/>
    <w:rsid w:val="00E336A9"/>
    <w:rsid w:val="00E368AC"/>
    <w:rsid w:val="00E45D90"/>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5438"/>
    <w:rsid w:val="00F1361C"/>
    <w:rsid w:val="00F156F0"/>
    <w:rsid w:val="00F160C7"/>
    <w:rsid w:val="00F2408F"/>
    <w:rsid w:val="00F240E9"/>
    <w:rsid w:val="00F36D8F"/>
    <w:rsid w:val="00F417B1"/>
    <w:rsid w:val="00F45853"/>
    <w:rsid w:val="00F602DF"/>
    <w:rsid w:val="00F754A1"/>
    <w:rsid w:val="00F75C99"/>
    <w:rsid w:val="00F81FD9"/>
    <w:rsid w:val="00F841AA"/>
    <w:rsid w:val="00F84A94"/>
    <w:rsid w:val="00F87E96"/>
    <w:rsid w:val="00FA23E8"/>
    <w:rsid w:val="00FD3CC1"/>
    <w:rsid w:val="00FF1E02"/>
    <w:rsid w:val="00FF30B4"/>
    <w:rsid w:val="015975B8"/>
    <w:rsid w:val="02143E91"/>
    <w:rsid w:val="066E0107"/>
    <w:rsid w:val="07996F6E"/>
    <w:rsid w:val="0A2032A3"/>
    <w:rsid w:val="0F98263C"/>
    <w:rsid w:val="0FF7E0B0"/>
    <w:rsid w:val="101860EC"/>
    <w:rsid w:val="10C055FF"/>
    <w:rsid w:val="118107EC"/>
    <w:rsid w:val="13D50BC4"/>
    <w:rsid w:val="16BB723D"/>
    <w:rsid w:val="1BE8440E"/>
    <w:rsid w:val="1D155CEE"/>
    <w:rsid w:val="1F7FFEEF"/>
    <w:rsid w:val="1FF35744"/>
    <w:rsid w:val="23860B96"/>
    <w:rsid w:val="240371BF"/>
    <w:rsid w:val="29FD04D3"/>
    <w:rsid w:val="2C8A61B5"/>
    <w:rsid w:val="2DEFE234"/>
    <w:rsid w:val="2DF04E50"/>
    <w:rsid w:val="2F040D46"/>
    <w:rsid w:val="319F7F4E"/>
    <w:rsid w:val="3304709D"/>
    <w:rsid w:val="35DF2B9D"/>
    <w:rsid w:val="36AA5135"/>
    <w:rsid w:val="376D39B2"/>
    <w:rsid w:val="37E16F03"/>
    <w:rsid w:val="37FF7DF7"/>
    <w:rsid w:val="38D469F0"/>
    <w:rsid w:val="39FF57CE"/>
    <w:rsid w:val="3BFCFF28"/>
    <w:rsid w:val="3D98207C"/>
    <w:rsid w:val="3E78745D"/>
    <w:rsid w:val="3FDE60BB"/>
    <w:rsid w:val="44E268DA"/>
    <w:rsid w:val="4A627F82"/>
    <w:rsid w:val="4B0E749A"/>
    <w:rsid w:val="4B4F25DA"/>
    <w:rsid w:val="4BE068DB"/>
    <w:rsid w:val="4D577224"/>
    <w:rsid w:val="4EAB630A"/>
    <w:rsid w:val="4ECE2238"/>
    <w:rsid w:val="4EDF6381"/>
    <w:rsid w:val="537E6D0A"/>
    <w:rsid w:val="5AF92295"/>
    <w:rsid w:val="5CD71FC4"/>
    <w:rsid w:val="5EDF4351"/>
    <w:rsid w:val="5EF820AB"/>
    <w:rsid w:val="5FBB4342"/>
    <w:rsid w:val="62F0D1D8"/>
    <w:rsid w:val="65945FA1"/>
    <w:rsid w:val="6927EF96"/>
    <w:rsid w:val="6C4A05C8"/>
    <w:rsid w:val="6D23F35C"/>
    <w:rsid w:val="6DF566E1"/>
    <w:rsid w:val="6DF74605"/>
    <w:rsid w:val="6E7E3605"/>
    <w:rsid w:val="6F77E8BB"/>
    <w:rsid w:val="6FF5CC65"/>
    <w:rsid w:val="715C0E4B"/>
    <w:rsid w:val="72734D90"/>
    <w:rsid w:val="73AD73D5"/>
    <w:rsid w:val="73B6EB34"/>
    <w:rsid w:val="73F5124E"/>
    <w:rsid w:val="744731E5"/>
    <w:rsid w:val="75AA2593"/>
    <w:rsid w:val="76E3355F"/>
    <w:rsid w:val="778769C8"/>
    <w:rsid w:val="77FF6045"/>
    <w:rsid w:val="79EE5BA4"/>
    <w:rsid w:val="7A894339"/>
    <w:rsid w:val="7BFE1028"/>
    <w:rsid w:val="7E3F9EEA"/>
    <w:rsid w:val="7E5E0280"/>
    <w:rsid w:val="7EDF20F5"/>
    <w:rsid w:val="7EEF11D3"/>
    <w:rsid w:val="7FA30C79"/>
    <w:rsid w:val="7FB7269E"/>
    <w:rsid w:val="7FC96657"/>
    <w:rsid w:val="7FD7E6AF"/>
    <w:rsid w:val="7FDFF6C3"/>
    <w:rsid w:val="7FFFC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7A539849-50A4-4CBE-8F38-9CE36D78F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a8">
    <w:name w:val="Normal (Web)"/>
    <w:basedOn w:val="a"/>
    <w:unhideWhenUsed/>
    <w:qFormat/>
    <w:rPr>
      <w:rFonts w:ascii="Calibri" w:eastAsia="仿宋_GB2312" w:hAnsi="Calibri"/>
      <w:sz w:val="24"/>
    </w:rPr>
  </w:style>
  <w:style w:type="paragraph" w:styleId="21">
    <w:name w:val="Body Text First Indent 2"/>
    <w:basedOn w:val="a4"/>
    <w:uiPriority w:val="99"/>
    <w:unhideWhenUsed/>
    <w:qFormat/>
    <w:pPr>
      <w:ind w:firstLineChars="200" w:firstLine="420"/>
    </w:pPr>
  </w:style>
  <w:style w:type="character" w:styleId="a9">
    <w:name w:val="Strong"/>
    <w:basedOn w:val="a1"/>
    <w:uiPriority w:val="99"/>
    <w:qFormat/>
    <w:rPr>
      <w:b/>
    </w:rPr>
  </w:style>
  <w:style w:type="character" w:styleId="aa">
    <w:name w:val="FollowedHyperlink"/>
    <w:basedOn w:val="a1"/>
    <w:uiPriority w:val="99"/>
    <w:semiHidden/>
    <w:unhideWhenUsed/>
    <w:qFormat/>
    <w:rPr>
      <w:color w:val="954F72"/>
      <w:u w:val="single"/>
    </w:rPr>
  </w:style>
  <w:style w:type="character" w:styleId="ab">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c">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2">
    <w:name w:val="标题 2 字符"/>
    <w:basedOn w:val="a1"/>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d">
    <w:name w:val="四号正文"/>
    <w:basedOn w:val="a"/>
    <w:qFormat/>
    <w:pPr>
      <w:spacing w:line="360" w:lineRule="auto"/>
    </w:pPr>
    <w:rPr>
      <w:rFonts w:ascii="??" w:hAnsi="??"/>
      <w:color w:val="000000"/>
      <w:kern w:val="0"/>
      <w:sz w:val="28"/>
      <w:szCs w:val="21"/>
      <w:lang w:val="zh-CN"/>
    </w:rPr>
  </w:style>
  <w:style w:type="paragraph" w:customStyle="1" w:styleId="TOC3">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qFormat/>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qFormat/>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__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___3.xlsx"/><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___4.xlsx"/><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sz="1800" b="1">
                <a:latin typeface="方正仿宋_GBK" panose="03000509000000000000" charset="-122"/>
                <a:ea typeface="方正仿宋_GBK" panose="03000509000000000000" charset="-122"/>
              </a:rPr>
              <a:t>收、支决算总计变动情况图                         </a:t>
            </a:r>
          </a:p>
          <a:p>
            <a:pPr defTabSz="914400">
              <a:defRPr/>
            </a:pPr>
            <a:r>
              <a:rPr lang="zh-CN" altLang="en-US" sz="1800" b="1">
                <a:latin typeface="方正仿宋_GBK" panose="03000509000000000000" charset="-122"/>
                <a:ea typeface="方正仿宋_GBK" panose="03000509000000000000" charset="-122"/>
              </a:rPr>
              <a:t>                         </a:t>
            </a:r>
            <a:r>
              <a:rPr lang="zh-CN" altLang="en-US" sz="1050" b="1">
                <a:latin typeface="方正仿宋_GBK" panose="03000509000000000000" charset="-122"/>
                <a:ea typeface="方正仿宋_GBK" panose="03000509000000000000" charset="-122"/>
              </a:rPr>
              <a:t>单位：万元</a:t>
            </a:r>
          </a:p>
        </c:rich>
      </c:tx>
      <c:layout>
        <c:manualLayout>
          <c:xMode val="edge"/>
          <c:yMode val="edge"/>
          <c:x val="0.151599800878879"/>
          <c:y val="4.5311115798354798E-2"/>
        </c:manualLayout>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全年收入总计</c:v>
                </c:pt>
              </c:strCache>
            </c:strRef>
          </c:tx>
          <c:spPr>
            <a:solidFill>
              <a:schemeClr val="accent1"/>
            </a:solidFill>
            <a:ln>
              <a:noFill/>
            </a:ln>
            <a:effectLst/>
          </c:spPr>
          <c:invertIfNegative val="0"/>
          <c:cat>
            <c:strRef>
              <c:f>Sheet1!$A$2:$A$5</c:f>
              <c:strCache>
                <c:ptCount val="4"/>
                <c:pt idx="0">
                  <c:v>2021年</c:v>
                </c:pt>
                <c:pt idx="1">
                  <c:v>2022年</c:v>
                </c:pt>
                <c:pt idx="2">
                  <c:v>同比增减额</c:v>
                </c:pt>
                <c:pt idx="3">
                  <c:v>同比增减率</c:v>
                </c:pt>
              </c:strCache>
            </c:strRef>
          </c:cat>
          <c:val>
            <c:numRef>
              <c:f>Sheet1!$B$2:$B$5</c:f>
              <c:numCache>
                <c:formatCode>General</c:formatCode>
                <c:ptCount val="4"/>
                <c:pt idx="0">
                  <c:v>599.97</c:v>
                </c:pt>
                <c:pt idx="1">
                  <c:v>607.67999999999995</c:v>
                </c:pt>
                <c:pt idx="2">
                  <c:v>7.71</c:v>
                </c:pt>
                <c:pt idx="3" formatCode="0.00%">
                  <c:v>1.29E-2</c:v>
                </c:pt>
              </c:numCache>
            </c:numRef>
          </c:val>
        </c:ser>
        <c:ser>
          <c:idx val="1"/>
          <c:order val="1"/>
          <c:tx>
            <c:strRef>
              <c:f>Sheet1!$C$1</c:f>
              <c:strCache>
                <c:ptCount val="1"/>
                <c:pt idx="0">
                  <c:v>全年支出总计</c:v>
                </c:pt>
              </c:strCache>
            </c:strRef>
          </c:tx>
          <c:spPr>
            <a:solidFill>
              <a:schemeClr val="accent2"/>
            </a:solidFill>
            <a:ln>
              <a:noFill/>
            </a:ln>
            <a:effectLst/>
          </c:spPr>
          <c:invertIfNegative val="0"/>
          <c:cat>
            <c:strRef>
              <c:f>Sheet1!$A$2:$A$5</c:f>
              <c:strCache>
                <c:ptCount val="4"/>
                <c:pt idx="0">
                  <c:v>2021年</c:v>
                </c:pt>
                <c:pt idx="1">
                  <c:v>2022年</c:v>
                </c:pt>
                <c:pt idx="2">
                  <c:v>同比增减额</c:v>
                </c:pt>
                <c:pt idx="3">
                  <c:v>同比增减率</c:v>
                </c:pt>
              </c:strCache>
            </c:strRef>
          </c:cat>
          <c:val>
            <c:numRef>
              <c:f>Sheet1!$C$2:$C$5</c:f>
              <c:numCache>
                <c:formatCode>General</c:formatCode>
                <c:ptCount val="4"/>
                <c:pt idx="0">
                  <c:v>599.97</c:v>
                </c:pt>
                <c:pt idx="1">
                  <c:v>607.67999999999995</c:v>
                </c:pt>
                <c:pt idx="2">
                  <c:v>7.71</c:v>
                </c:pt>
                <c:pt idx="3" formatCode="0.00%">
                  <c:v>1.29E-2</c:v>
                </c:pt>
              </c:numCache>
            </c:numRef>
          </c:val>
        </c:ser>
        <c:dLbls>
          <c:showLegendKey val="0"/>
          <c:showVal val="0"/>
          <c:showCatName val="0"/>
          <c:showSerName val="0"/>
          <c:showPercent val="0"/>
          <c:showBubbleSize val="0"/>
        </c:dLbls>
        <c:gapWidth val="219"/>
        <c:overlap val="-27"/>
        <c:axId val="335097760"/>
        <c:axId val="330082304"/>
      </c:barChart>
      <c:catAx>
        <c:axId val="33509776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0082304"/>
        <c:crossesAt val="0"/>
        <c:auto val="1"/>
        <c:lblAlgn val="ctr"/>
        <c:lblOffset val="100"/>
        <c:noMultiLvlLbl val="0"/>
      </c:catAx>
      <c:valAx>
        <c:axId val="330082304"/>
        <c:scaling>
          <c:orientation val="minMax"/>
          <c:max val="700"/>
        </c:scaling>
        <c:delete val="0"/>
        <c:axPos val="l"/>
        <c:majorGridlines>
          <c:spPr>
            <a:ln w="9525" cap="flat" cmpd="sng" algn="ctr">
              <a:solidFill>
                <a:schemeClr val="tx1">
                  <a:lumMod val="15000"/>
                  <a:lumOff val="85000"/>
                </a:schemeClr>
              </a:solidFill>
              <a:round/>
            </a:ln>
            <a:effectLst/>
          </c:spPr>
        </c:majorGridlines>
        <c:numFmt formatCode="#,##0.00_);[Red]\(#,##0.0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5097760"/>
        <c:crosses val="autoZero"/>
        <c:crossBetween val="between"/>
        <c:majorUnit val="100"/>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dTable>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收入决算结构图</a:t>
            </a:r>
          </a:p>
        </c:rich>
      </c:tx>
      <c:layout>
        <c:manualLayout>
          <c:xMode val="edge"/>
          <c:yMode val="edge"/>
          <c:x val="0.31416666666666698"/>
          <c:y val="2.4305555555555601E-2"/>
        </c:manualLayout>
      </c:layout>
      <c:overlay val="0"/>
    </c:title>
    <c:autoTitleDeleted val="0"/>
    <c:view3D>
      <c:rotX val="75"/>
      <c:rotY val="0"/>
      <c:depthPercent val="100"/>
      <c:rAngAx val="0"/>
    </c:view3D>
    <c:floor>
      <c:thickness val="0"/>
    </c:floor>
    <c:sideWall>
      <c:thickness val="0"/>
    </c:sideWall>
    <c:backWall>
      <c:thickness val="0"/>
    </c:backWall>
    <c:plotArea>
      <c:layout>
        <c:manualLayout>
          <c:layoutTarget val="inner"/>
          <c:xMode val="edge"/>
          <c:yMode val="edge"/>
          <c:x val="8.4722222222222296E-2"/>
          <c:y val="0.254050743657043"/>
          <c:w val="0.81388888888888899"/>
          <c:h val="0.64189851268591502"/>
        </c:manualLayout>
      </c:layout>
      <c:pie3DChart>
        <c:varyColors val="1"/>
        <c:ser>
          <c:idx val="0"/>
          <c:order val="0"/>
          <c:dPt>
            <c:idx val="0"/>
            <c:bubble3D val="0"/>
          </c:dPt>
          <c:dLbls>
            <c:dLbl>
              <c:idx val="0"/>
              <c:dLblPos val="bestFit"/>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1"/>
            <c:showSerName val="0"/>
            <c:showPercent val="1"/>
            <c:showBubbleSize val="0"/>
            <c:showLeaderLines val="1"/>
            <c:extLst>
              <c:ext xmlns:c15="http://schemas.microsoft.com/office/drawing/2012/chart" uri="{CE6537A1-D6FC-4f65-9D91-7224C49458BB}"/>
            </c:extLst>
          </c:dLbls>
          <c:cat>
            <c:strRef>
              <c:f>收入决算结构!$A$1</c:f>
              <c:strCache>
                <c:ptCount val="1"/>
                <c:pt idx="0">
                  <c:v>一般公共预算财政拨款收入</c:v>
                </c:pt>
              </c:strCache>
            </c:strRef>
          </c:cat>
          <c:val>
            <c:numRef>
              <c:f>收入决算结构!$B$1</c:f>
              <c:numCache>
                <c:formatCode>0.00%</c:formatCode>
                <c:ptCount val="1"/>
                <c:pt idx="0">
                  <c:v>1</c:v>
                </c:pt>
              </c:numCache>
            </c:numRef>
          </c:val>
        </c:ser>
        <c:ser>
          <c:idx val="1"/>
          <c:order val="1"/>
          <c:dPt>
            <c:idx val="0"/>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1"/>
            <c:showSerName val="0"/>
            <c:showPercent val="1"/>
            <c:showBubbleSize val="0"/>
            <c:showLeaderLines val="1"/>
            <c:extLst>
              <c:ext xmlns:c15="http://schemas.microsoft.com/office/drawing/2012/chart" uri="{CE6537A1-D6FC-4f65-9D91-7224C49458BB}"/>
            </c:extLst>
          </c:dLbls>
          <c:cat>
            <c:strRef>
              <c:f>收入决算结构!$A$1</c:f>
              <c:strCache>
                <c:ptCount val="1"/>
                <c:pt idx="0">
                  <c:v>一般公共预算财政拨款收入</c:v>
                </c:pt>
              </c:strCache>
            </c:strRef>
          </c:cat>
          <c:val>
            <c:numRef>
              <c:f>收入决算结构!$C$1</c:f>
              <c:numCache>
                <c:formatCode>_(* #,##0.00_);_(* \(#,##0.00\);_(* "-"??_);_(@_)</c:formatCode>
                <c:ptCount val="1"/>
                <c:pt idx="0">
                  <c:v>584.66</c:v>
                </c:pt>
              </c:numCache>
            </c:numRef>
          </c:val>
        </c:ser>
        <c:dLbls>
          <c:showLegendKey val="0"/>
          <c:showVal val="0"/>
          <c:showCatName val="1"/>
          <c:showSerName val="0"/>
          <c:showPercent val="1"/>
          <c:showBubbleSize val="0"/>
          <c:showLeaderLines val="1"/>
        </c:dLbls>
      </c:pie3DChart>
    </c:plotArea>
    <c:plotVisOnly val="1"/>
    <c:dispBlanksAs val="zero"/>
    <c:showDLblsOverMax val="0"/>
  </c:chart>
  <c:spPr>
    <a:ln w="9525" cap="flat" cmpd="sng" algn="ctr">
      <a:solidFill>
        <a:schemeClr val="tx1"/>
      </a:solidFill>
      <a:prstDash val="solid"/>
      <a:round/>
    </a:ln>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sz="1800" b="1"/>
              <a:t>支出决算结构图</a:t>
            </a:r>
          </a:p>
        </c:rich>
      </c:tx>
      <c:layout>
        <c:manualLayout>
          <c:xMode val="edge"/>
          <c:yMode val="edge"/>
          <c:x val="0.322545846817691"/>
          <c:y val="3.3549541489599599E-2"/>
        </c:manualLayout>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Sheet1!$C$1</c:f>
              <c:strCache>
                <c:ptCount val="1"/>
                <c:pt idx="0">
                  <c:v>占比</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manualLayout>
                  <c:x val="5.4688862762345199E-2"/>
                  <c:y val="-0.236822294705203"/>
                </c:manualLayout>
              </c:layout>
              <c:dLblPos val="bestFit"/>
              <c:showLegendKey val="0"/>
              <c:showVal val="1"/>
              <c:showCatName val="0"/>
              <c:showSerName val="0"/>
              <c:showPercent val="0"/>
              <c:showBubbleSize val="0"/>
              <c:extLst>
                <c:ext xmlns:c15="http://schemas.microsoft.com/office/drawing/2012/chart" uri="{CE6537A1-D6FC-4f65-9D91-7224C49458BB}">
                  <c15:layout>
                    <c:manualLayout>
                      <c:w val="0.15055267944592099"/>
                      <c:h val="6.4391353811148994E-2"/>
                    </c:manualLayout>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基本支出</c:v>
                </c:pt>
                <c:pt idx="1">
                  <c:v>项目支出</c:v>
                </c:pt>
              </c:strCache>
            </c:strRef>
          </c:cat>
          <c:val>
            <c:numRef>
              <c:f>Sheet1!$C$2:$C$3</c:f>
              <c:numCache>
                <c:formatCode>0.00%</c:formatCode>
                <c:ptCount val="2"/>
                <c:pt idx="0">
                  <c:v>0.98970000000000002</c:v>
                </c:pt>
                <c:pt idx="1">
                  <c:v>1.03E-2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4.1975654120610002E-3"/>
          <c:y val="0.175881683731513"/>
          <c:w val="0.209598432908913"/>
          <c:h val="0.1383390216154720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sz="1800" b="1">
                <a:latin typeface="方正仿宋_GBK" panose="03000509000000000000" charset="-122"/>
                <a:ea typeface="方正仿宋_GBK" panose="03000509000000000000" charset="-122"/>
              </a:rPr>
              <a:t>财政拨款收、支决算总计变动情况图</a:t>
            </a:r>
          </a:p>
          <a:p>
            <a:pPr defTabSz="914400">
              <a:defRPr/>
            </a:pPr>
            <a:r>
              <a:rPr lang="zh-CN" altLang="en-US" sz="1800" b="1">
                <a:latin typeface="方正仿宋_GBK" panose="03000509000000000000" charset="-122"/>
                <a:ea typeface="方正仿宋_GBK" panose="03000509000000000000" charset="-122"/>
              </a:rPr>
              <a:t>                               </a:t>
            </a:r>
            <a:r>
              <a:rPr lang="zh-CN" altLang="en-US" sz="1050" b="1">
                <a:latin typeface="方正仿宋_GBK" panose="03000509000000000000" charset="-122"/>
                <a:ea typeface="方正仿宋_GBK" panose="03000509000000000000" charset="-122"/>
              </a:rPr>
              <a:t>单位：万元</a:t>
            </a:r>
          </a:p>
        </c:rich>
      </c:tx>
      <c:layout>
        <c:manualLayout>
          <c:xMode val="edge"/>
          <c:yMode val="edge"/>
          <c:x val="0.14144450448255499"/>
          <c:y val="2.7404852814386E-2"/>
        </c:manualLayout>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财政拨款收入总计</c:v>
                </c:pt>
              </c:strCache>
            </c:strRef>
          </c:tx>
          <c:spPr>
            <a:solidFill>
              <a:schemeClr val="accent1"/>
            </a:solidFill>
            <a:ln>
              <a:noFill/>
            </a:ln>
            <a:effectLst/>
          </c:spPr>
          <c:invertIfNegative val="0"/>
          <c:cat>
            <c:strRef>
              <c:f>Sheet1!$A$2:$A$5</c:f>
              <c:strCache>
                <c:ptCount val="4"/>
                <c:pt idx="0">
                  <c:v>2021年</c:v>
                </c:pt>
                <c:pt idx="1">
                  <c:v>2022年</c:v>
                </c:pt>
                <c:pt idx="2">
                  <c:v>同比增减额</c:v>
                </c:pt>
                <c:pt idx="3">
                  <c:v>同比增减率</c:v>
                </c:pt>
              </c:strCache>
            </c:strRef>
          </c:cat>
          <c:val>
            <c:numRef>
              <c:f>Sheet1!$B$2:$B$5</c:f>
              <c:numCache>
                <c:formatCode>General</c:formatCode>
                <c:ptCount val="4"/>
                <c:pt idx="0">
                  <c:v>599.97</c:v>
                </c:pt>
                <c:pt idx="1">
                  <c:v>607.67999999999995</c:v>
                </c:pt>
                <c:pt idx="2">
                  <c:v>7.71</c:v>
                </c:pt>
                <c:pt idx="3" formatCode="0.00%">
                  <c:v>1.29E-2</c:v>
                </c:pt>
              </c:numCache>
            </c:numRef>
          </c:val>
        </c:ser>
        <c:ser>
          <c:idx val="1"/>
          <c:order val="1"/>
          <c:tx>
            <c:strRef>
              <c:f>Sheet1!$C$1</c:f>
              <c:strCache>
                <c:ptCount val="1"/>
                <c:pt idx="0">
                  <c:v>财政拨款支出总计</c:v>
                </c:pt>
              </c:strCache>
            </c:strRef>
          </c:tx>
          <c:spPr>
            <a:solidFill>
              <a:schemeClr val="accent2"/>
            </a:solidFill>
            <a:ln>
              <a:noFill/>
            </a:ln>
            <a:effectLst/>
          </c:spPr>
          <c:invertIfNegative val="0"/>
          <c:cat>
            <c:strRef>
              <c:f>Sheet1!$A$2:$A$5</c:f>
              <c:strCache>
                <c:ptCount val="4"/>
                <c:pt idx="0">
                  <c:v>2021年</c:v>
                </c:pt>
                <c:pt idx="1">
                  <c:v>2022年</c:v>
                </c:pt>
                <c:pt idx="2">
                  <c:v>同比增减额</c:v>
                </c:pt>
                <c:pt idx="3">
                  <c:v>同比增减率</c:v>
                </c:pt>
              </c:strCache>
            </c:strRef>
          </c:cat>
          <c:val>
            <c:numRef>
              <c:f>Sheet1!$C$2:$C$5</c:f>
              <c:numCache>
                <c:formatCode>General</c:formatCode>
                <c:ptCount val="4"/>
                <c:pt idx="0">
                  <c:v>599.97</c:v>
                </c:pt>
                <c:pt idx="1">
                  <c:v>607.67999999999995</c:v>
                </c:pt>
                <c:pt idx="2">
                  <c:v>7.71</c:v>
                </c:pt>
                <c:pt idx="3" formatCode="0.00%">
                  <c:v>1.29E-2</c:v>
                </c:pt>
              </c:numCache>
            </c:numRef>
          </c:val>
        </c:ser>
        <c:dLbls>
          <c:showLegendKey val="0"/>
          <c:showVal val="0"/>
          <c:showCatName val="0"/>
          <c:showSerName val="0"/>
          <c:showPercent val="0"/>
          <c:showBubbleSize val="0"/>
        </c:dLbls>
        <c:gapWidth val="219"/>
        <c:overlap val="-27"/>
        <c:axId val="375972592"/>
        <c:axId val="375972984"/>
      </c:barChart>
      <c:catAx>
        <c:axId val="37597259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75972984"/>
        <c:crossesAt val="0"/>
        <c:auto val="1"/>
        <c:lblAlgn val="ctr"/>
        <c:lblOffset val="100"/>
        <c:noMultiLvlLbl val="0"/>
      </c:catAx>
      <c:valAx>
        <c:axId val="375972984"/>
        <c:scaling>
          <c:orientation val="minMax"/>
          <c:max val="700"/>
        </c:scaling>
        <c:delete val="0"/>
        <c:axPos val="l"/>
        <c:majorGridlines>
          <c:spPr>
            <a:ln w="9525" cap="flat" cmpd="sng" algn="ctr">
              <a:solidFill>
                <a:schemeClr val="tx1">
                  <a:lumMod val="15000"/>
                  <a:lumOff val="85000"/>
                </a:schemeClr>
              </a:solidFill>
              <a:round/>
            </a:ln>
            <a:effectLst/>
          </c:spPr>
        </c:majorGridlines>
        <c:numFmt formatCode="#,##0.00_);[Red]\(#,##0.0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75972592"/>
        <c:crosses val="autoZero"/>
        <c:crossBetween val="between"/>
        <c:majorUnit val="100"/>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dTable>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400" baseline="0"/>
              <a:t>一般公共预算财政拨款支出决算变动情况</a:t>
            </a:r>
          </a:p>
        </c:rich>
      </c:tx>
      <c:overlay val="0"/>
    </c:title>
    <c:autoTitleDeleted val="0"/>
    <c:plotArea>
      <c:layout>
        <c:manualLayout>
          <c:layoutTarget val="inner"/>
          <c:xMode val="edge"/>
          <c:yMode val="edge"/>
          <c:x val="4.4444444444444502E-2"/>
          <c:y val="0.217227482640619"/>
          <c:w val="0.93888888888888999"/>
          <c:h val="0.77153327353068302"/>
        </c:manualLayout>
      </c:layout>
      <c:barChart>
        <c:barDir val="col"/>
        <c:grouping val="clustered"/>
        <c:varyColors val="0"/>
        <c:ser>
          <c:idx val="0"/>
          <c:order val="0"/>
          <c:tx>
            <c:strRef>
              <c:f>一般公共预算财政拨款支出!$A$2</c:f>
              <c:strCache>
                <c:ptCount val="1"/>
                <c:pt idx="0">
                  <c:v>一般公共预算财政拨款支出</c:v>
                </c:pt>
              </c:strCache>
            </c:strRef>
          </c:tx>
          <c:invertIfNegative val="0"/>
          <c:dLbls>
            <c:dLbl>
              <c:idx val="0"/>
              <c:dLblPos val="inEnd"/>
              <c:showLegendKey val="0"/>
              <c:showVal val="1"/>
              <c:showCatName val="0"/>
              <c:showSerName val="0"/>
              <c:showPercent val="0"/>
              <c:showBubbleSize val="0"/>
              <c:extLst>
                <c:ext xmlns:c15="http://schemas.microsoft.com/office/drawing/2012/chart" uri="{CE6537A1-D6FC-4f65-9D91-7224C49458BB}"/>
              </c:extLst>
            </c:dLbl>
            <c:dLbl>
              <c:idx val="1"/>
              <c:dLblPos val="inEnd"/>
              <c:showLegendKey val="0"/>
              <c:showVal val="1"/>
              <c:showCatName val="0"/>
              <c:showSerName val="0"/>
              <c:showPercent val="0"/>
              <c:showBubbleSize val="0"/>
              <c:extLst>
                <c:ext xmlns:c15="http://schemas.microsoft.com/office/drawing/2012/chart" uri="{CE6537A1-D6FC-4f65-9D91-7224C49458BB}"/>
              </c:extLst>
            </c:dLbl>
            <c:dLbl>
              <c:idx val="2"/>
              <c:layout>
                <c:manualLayout>
                  <c:x val="-8.3333333333333402E-3"/>
                  <c:y val="0"/>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3"/>
              <c:layout>
                <c:manualLayout>
                  <c:x val="4.8608923884513704E-3"/>
                  <c:y val="-5.4851656201202602E-2"/>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一般公共预算财政拨款支出!$B$1:$E$1</c:f>
              <c:strCache>
                <c:ptCount val="4"/>
                <c:pt idx="0">
                  <c:v>2021年</c:v>
                </c:pt>
                <c:pt idx="1">
                  <c:v>2022年</c:v>
                </c:pt>
                <c:pt idx="2">
                  <c:v>同比增加</c:v>
                </c:pt>
                <c:pt idx="3">
                  <c:v>同比增加</c:v>
                </c:pt>
              </c:strCache>
            </c:strRef>
          </c:cat>
          <c:val>
            <c:numRef>
              <c:f>一般公共预算财政拨款支出!$B$2:$E$2</c:f>
              <c:numCache>
                <c:formatCode>_(* #,##0.00_);_(* \(#,##0.00\);_(* "-"??_);_(@_)</c:formatCode>
                <c:ptCount val="4"/>
                <c:pt idx="0">
                  <c:v>599.97</c:v>
                </c:pt>
                <c:pt idx="1">
                  <c:v>607.67999999999995</c:v>
                </c:pt>
                <c:pt idx="2" formatCode="0.00_ ">
                  <c:v>7.70999999999992</c:v>
                </c:pt>
                <c:pt idx="3" formatCode="0.00%">
                  <c:v>1.28506425321265E-2</c:v>
                </c:pt>
              </c:numCache>
            </c:numRef>
          </c:val>
        </c:ser>
        <c:ser>
          <c:idx val="1"/>
          <c:order val="1"/>
          <c:tx>
            <c:strRef>
              <c:f>一般公共预算财政拨款支出!$A$3</c:f>
              <c:strCache>
                <c:ptCount val="1"/>
                <c:pt idx="0">
                  <c:v>全年支出</c:v>
                </c:pt>
              </c:strCache>
            </c:strRef>
          </c:tx>
          <c:invertIfNegative val="0"/>
          <c:dLbls>
            <c:dLbl>
              <c:idx val="1"/>
              <c:layout>
                <c:manualLayout>
                  <c:x val="2.29166666666667E-2"/>
                  <c:y val="3.1645569620253199E-3"/>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2"/>
              <c:layout>
                <c:manualLayout>
                  <c:x val="1.1111111111111099E-2"/>
                  <c:y val="8.43948303930365E-3"/>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3"/>
              <c:layout>
                <c:manualLayout>
                  <c:x val="3.6712962962961997E-2"/>
                  <c:y val="-4.95770623608758E-2"/>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一般公共预算财政拨款支出!$B$1:$E$1</c:f>
              <c:strCache>
                <c:ptCount val="4"/>
                <c:pt idx="0">
                  <c:v>2021年</c:v>
                </c:pt>
                <c:pt idx="1">
                  <c:v>2022年</c:v>
                </c:pt>
                <c:pt idx="2">
                  <c:v>同比增加</c:v>
                </c:pt>
                <c:pt idx="3">
                  <c:v>同比增加</c:v>
                </c:pt>
              </c:strCache>
            </c:strRef>
          </c:cat>
          <c:val>
            <c:numRef>
              <c:f>一般公共预算财政拨款支出!$B$3:$E$3</c:f>
              <c:numCache>
                <c:formatCode>_(* #,##0.00_);_(* \(#,##0.00\);_(* "-"??_);_(@_)</c:formatCode>
                <c:ptCount val="4"/>
                <c:pt idx="0">
                  <c:v>599.97</c:v>
                </c:pt>
                <c:pt idx="1">
                  <c:v>607.67999999999995</c:v>
                </c:pt>
                <c:pt idx="2" formatCode="0.00_ ">
                  <c:v>7.70999999999992</c:v>
                </c:pt>
                <c:pt idx="3" formatCode="0.00%">
                  <c:v>1.28506425321265E-2</c:v>
                </c:pt>
              </c:numCache>
            </c:numRef>
          </c:val>
        </c:ser>
        <c:dLbls>
          <c:showLegendKey val="0"/>
          <c:showVal val="1"/>
          <c:showCatName val="0"/>
          <c:showSerName val="0"/>
          <c:showPercent val="0"/>
          <c:showBubbleSize val="0"/>
        </c:dLbls>
        <c:gapWidth val="150"/>
        <c:overlap val="-25"/>
        <c:axId val="375974160"/>
        <c:axId val="375974552"/>
      </c:barChart>
      <c:catAx>
        <c:axId val="375974160"/>
        <c:scaling>
          <c:orientation val="minMax"/>
        </c:scaling>
        <c:delete val="0"/>
        <c:axPos val="b"/>
        <c:numFmt formatCode="General" sourceLinked="0"/>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75974552"/>
        <c:crosses val="autoZero"/>
        <c:auto val="1"/>
        <c:lblAlgn val="ctr"/>
        <c:lblOffset val="100"/>
        <c:noMultiLvlLbl val="0"/>
      </c:catAx>
      <c:valAx>
        <c:axId val="375974552"/>
        <c:scaling>
          <c:orientation val="minMax"/>
        </c:scaling>
        <c:delete val="1"/>
        <c:axPos val="l"/>
        <c:numFmt formatCode="_(* #,##0.00_);_(* \(#,##0.00\);_(* &quot;-&quot;??_);_(@_)" sourceLinked="1"/>
        <c:majorTickMark val="none"/>
        <c:minorTickMark val="none"/>
        <c:tickLblPos val="none"/>
        <c:crossAx val="375974160"/>
        <c:crosses val="autoZero"/>
        <c:crossBetween val="between"/>
      </c:valAx>
    </c:plotArea>
    <c:legend>
      <c:legendPos val="t"/>
      <c:layout>
        <c:manualLayout>
          <c:xMode val="edge"/>
          <c:yMode val="edge"/>
          <c:x val="0.56060717410323702"/>
          <c:y val="0.29620253164556998"/>
          <c:w val="0.40934098862642199"/>
          <c:h val="0.29148908601614698"/>
        </c:manualLayout>
      </c:layout>
      <c:overlay val="0"/>
      <c:spPr>
        <a:ln>
          <a:solidFill>
            <a:schemeClr val="tx1"/>
          </a:solidFill>
        </a:ln>
      </c:spP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000" baseline="0"/>
              <a:t>一般公共预算财政拨款支出决算结构</a:t>
            </a:r>
          </a:p>
        </c:rich>
      </c:tx>
      <c:overlay val="0"/>
    </c:title>
    <c:autoTitleDeleted val="0"/>
    <c:plotArea>
      <c:layout/>
      <c:pieChart>
        <c:varyColors val="1"/>
        <c:ser>
          <c:idx val="0"/>
          <c:order val="0"/>
          <c:spPr>
            <a:scene3d>
              <a:camera prst="orthographicFront"/>
              <a:lightRig rig="threePt" dir="t"/>
            </a:scene3d>
            <a:sp3d>
              <a:bevelT w="0"/>
            </a:sp3d>
          </c:spPr>
          <c:dPt>
            <c:idx val="0"/>
            <c:bubble3D val="0"/>
          </c:dPt>
          <c:dPt>
            <c:idx val="1"/>
            <c:bubble3D val="0"/>
            <c:spPr>
              <a:solidFill>
                <a:schemeClr val="accent3">
                  <a:lumMod val="75000"/>
                </a:schemeClr>
              </a:solidFill>
              <a:scene3d>
                <a:camera prst="orthographicFront"/>
                <a:lightRig rig="threePt" dir="t"/>
              </a:scene3d>
              <a:sp3d>
                <a:bevelT w="0"/>
              </a:sp3d>
            </c:spPr>
          </c:dPt>
          <c:dPt>
            <c:idx val="2"/>
            <c:bubble3D val="0"/>
          </c:dPt>
          <c:dLbls>
            <c:dLbl>
              <c:idx val="0"/>
              <c:dLblPos val="bestFit"/>
              <c:showLegendKey val="1"/>
              <c:showVal val="0"/>
              <c:showCatName val="1"/>
              <c:showSerName val="0"/>
              <c:showPercent val="1"/>
              <c:showBubbleSize val="0"/>
              <c:separator>
</c:separator>
              <c:extLst>
                <c:ext xmlns:c15="http://schemas.microsoft.com/office/drawing/2012/chart" uri="{CE6537A1-D6FC-4f65-9D91-7224C49458BB}"/>
              </c:extLst>
            </c:dLbl>
            <c:dLbl>
              <c:idx val="1"/>
              <c:layout>
                <c:manualLayout>
                  <c:x val="-8.1693788276465396E-2"/>
                  <c:y val="0.237696850393701"/>
                </c:manualLayout>
              </c:layout>
              <c:dLblPos val="bestFit"/>
              <c:showLegendKey val="1"/>
              <c:showVal val="0"/>
              <c:showCatName val="1"/>
              <c:showSerName val="0"/>
              <c:showPercent val="1"/>
              <c:showBubbleSize val="0"/>
              <c:separator>
</c:separator>
              <c:extLst>
                <c:ext xmlns:c15="http://schemas.microsoft.com/office/drawing/2012/chart" uri="{CE6537A1-D6FC-4f65-9D91-7224C49458BB}"/>
              </c:extLst>
            </c:dLbl>
            <c:dLbl>
              <c:idx val="2"/>
              <c:layout>
                <c:manualLayout>
                  <c:x val="-0.15782480314960601"/>
                  <c:y val="6.6505905511811E-2"/>
                </c:manualLayout>
              </c:layout>
              <c:dLblPos val="bestFit"/>
              <c:showLegendKey val="1"/>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1"/>
            <c:showSerName val="0"/>
            <c:showPercent val="1"/>
            <c:showBubbleSize val="0"/>
            <c:showLeaderLines val="1"/>
            <c:extLst>
              <c:ext xmlns:c15="http://schemas.microsoft.com/office/drawing/2012/chart" uri="{CE6537A1-D6FC-4f65-9D91-7224C49458BB}"/>
            </c:extLst>
          </c:dLbls>
          <c:cat>
            <c:strRef>
              <c:f>一般公共预算财政拨款支出决算结构!$A$1:$A$3</c:f>
              <c:strCache>
                <c:ptCount val="3"/>
                <c:pt idx="0">
                  <c:v>一般公共服务支出</c:v>
                </c:pt>
                <c:pt idx="1">
                  <c:v>社会保障和就业支出</c:v>
                </c:pt>
                <c:pt idx="2">
                  <c:v>住房保障支出</c:v>
                </c:pt>
              </c:strCache>
            </c:strRef>
          </c:cat>
          <c:val>
            <c:numRef>
              <c:f>一般公共预算财政拨款支出决算结构!$B$1:$B$3</c:f>
              <c:numCache>
                <c:formatCode>0.00%</c:formatCode>
                <c:ptCount val="3"/>
                <c:pt idx="0">
                  <c:v>0.80979999999999996</c:v>
                </c:pt>
                <c:pt idx="1">
                  <c:v>0.1168</c:v>
                </c:pt>
                <c:pt idx="2">
                  <c:v>7.3400000000000007E-2</c:v>
                </c:pt>
              </c:numCache>
            </c:numRef>
          </c:val>
        </c:ser>
        <c:ser>
          <c:idx val="1"/>
          <c:order val="1"/>
          <c:dPt>
            <c:idx val="0"/>
            <c:bubble3D val="0"/>
          </c:dPt>
          <c:dPt>
            <c:idx val="1"/>
            <c:bubble3D val="0"/>
          </c:dPt>
          <c:dPt>
            <c:idx val="2"/>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1"/>
            <c:showSerName val="0"/>
            <c:showPercent val="1"/>
            <c:showBubbleSize val="0"/>
            <c:showLeaderLines val="1"/>
            <c:extLst>
              <c:ext xmlns:c15="http://schemas.microsoft.com/office/drawing/2012/chart" uri="{CE6537A1-D6FC-4f65-9D91-7224C49458BB}"/>
            </c:extLst>
          </c:dLbls>
          <c:cat>
            <c:strRef>
              <c:f>一般公共预算财政拨款支出决算结构!$A$1:$A$3</c:f>
              <c:strCache>
                <c:ptCount val="3"/>
                <c:pt idx="0">
                  <c:v>一般公共服务支出</c:v>
                </c:pt>
                <c:pt idx="1">
                  <c:v>社会保障和就业支出</c:v>
                </c:pt>
                <c:pt idx="2">
                  <c:v>住房保障支出</c:v>
                </c:pt>
              </c:strCache>
            </c:strRef>
          </c:cat>
          <c:val>
            <c:numRef>
              <c:f>一般公共预算财政拨款支出决算结构!$C$1:$C$3</c:f>
              <c:numCache>
                <c:formatCode>_(* #,##0.00_);_(* \(#,##0.00\);_(* "-"??_);_(@_)</c:formatCode>
                <c:ptCount val="3"/>
                <c:pt idx="0">
                  <c:v>492.09</c:v>
                </c:pt>
                <c:pt idx="1">
                  <c:v>70.95</c:v>
                </c:pt>
                <c:pt idx="2">
                  <c:v>44.64</c:v>
                </c:pt>
              </c:numCache>
            </c:numRef>
          </c:val>
        </c:ser>
        <c:dLbls>
          <c:showLegendKey val="0"/>
          <c:showVal val="0"/>
          <c:showCatName val="1"/>
          <c:showSerName val="0"/>
          <c:showPercent val="1"/>
          <c:showBubbleSize val="0"/>
          <c:showLeaderLines val="1"/>
        </c:dLbls>
        <c:firstSliceAng val="0"/>
      </c:pieChart>
    </c:plotArea>
    <c:plotVisOnly val="1"/>
    <c:dispBlanksAs val="zero"/>
    <c:showDLblsOverMax val="0"/>
  </c:chart>
  <c:spPr>
    <a:ln w="9525" cap="flat" cmpd="sng" algn="ctr">
      <a:solidFill>
        <a:schemeClr val="tx1"/>
      </a:solidFill>
      <a:prstDash val="solid"/>
      <a:round/>
    </a:ln>
  </c:spPr>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cap="all" baseline="0">
                <a:solidFill>
                  <a:schemeClr val="tx1">
                    <a:lumMod val="65000"/>
                    <a:lumOff val="35000"/>
                  </a:schemeClr>
                </a:solidFill>
                <a:latin typeface="+mn-lt"/>
                <a:ea typeface="+mn-ea"/>
                <a:cs typeface="+mn-cs"/>
              </a:defRPr>
            </a:pPr>
            <a:r>
              <a:rPr lang="zh-CN" altLang="en-US">
                <a:latin typeface="仿宋_GB2312" panose="02010609030101010101" pitchFamily="3" charset="-122"/>
                <a:ea typeface="仿宋_GB2312" panose="02010609030101010101" pitchFamily="3" charset="-122"/>
                <a:cs typeface="仿宋_GB2312" panose="02010609030101010101" pitchFamily="3" charset="-122"/>
              </a:rPr>
              <a:t>“三公”经费财政拨款支出结构</a:t>
            </a:r>
          </a:p>
        </c:rich>
      </c:tx>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金额</c:v>
                </c:pt>
              </c:strCache>
            </c:strRef>
          </c:tx>
          <c:spPr>
            <a:scene3d>
              <a:camera prst="orthographicFront"/>
              <a:lightRig rig="threePt" dir="t"/>
            </a:scene3d>
            <a:sp3d contourW="19050"/>
          </c:spPr>
          <c:dPt>
            <c:idx val="0"/>
            <c:bubble3D val="0"/>
            <c:spPr>
              <a:solidFill>
                <a:schemeClr val="accent1">
                  <a:alpha val="90000"/>
                </a:schemeClr>
              </a:solidFill>
              <a:ln w="19050">
                <a:solidFill>
                  <a:schemeClr val="accent1">
                    <a:lumMod val="75000"/>
                  </a:schemeClr>
                </a:solidFill>
              </a:ln>
              <a:effectLst>
                <a:innerShdw blurRad="114300">
                  <a:schemeClr val="accent1">
                    <a:lumMod val="75000"/>
                  </a:schemeClr>
                </a:innerShdw>
              </a:effectLst>
              <a:scene3d>
                <a:camera prst="orthographicFront"/>
                <a:lightRig rig="threePt" dir="t"/>
              </a:scene3d>
              <a:sp3d contourW="19050"/>
            </c:spPr>
          </c:dPt>
          <c:dPt>
            <c:idx val="1"/>
            <c:bubble3D val="0"/>
            <c:spPr>
              <a:solidFill>
                <a:schemeClr val="accent2">
                  <a:alpha val="90000"/>
                </a:schemeClr>
              </a:solidFill>
              <a:ln w="19050">
                <a:solidFill>
                  <a:schemeClr val="accent2">
                    <a:lumMod val="75000"/>
                  </a:schemeClr>
                </a:solidFill>
              </a:ln>
              <a:effectLst>
                <a:innerShdw blurRad="114300">
                  <a:schemeClr val="accent2">
                    <a:lumMod val="75000"/>
                  </a:schemeClr>
                </a:innerShdw>
              </a:effectLst>
              <a:scene3d>
                <a:camera prst="orthographicFront"/>
                <a:lightRig rig="threePt" dir="t"/>
              </a:scene3d>
              <a:sp3d contourW="19050"/>
            </c:spPr>
          </c:dPt>
          <c:dLbls>
            <c:dLbl>
              <c:idx val="0"/>
              <c:layout>
                <c:manualLayout>
                  <c:x val="-0.126857561569447"/>
                  <c:y val="-0.257737884233394"/>
                </c:manualLayout>
              </c:layout>
              <c:tx>
                <c:rich>
                  <a:bodyPr rot="0" spcFirstLastPara="1" vertOverflow="clip" horzOverflow="clip" vert="horz" wrap="square" lIns="38100" tIns="19050" rIns="38100" bIns="19050" anchor="ctr" anchorCtr="1">
                    <a:spAutoFit/>
                  </a:bodyPr>
                  <a:lstStyle/>
                  <a:p>
                    <a:pPr defTabSz="914400">
                      <a:defRPr lang="zh-CN" sz="1000" b="0" i="0" u="none" strike="noStrike" kern="1200" baseline="0">
                        <a:solidFill>
                          <a:schemeClr val="accent1"/>
                        </a:solidFill>
                        <a:effectLst/>
                        <a:latin typeface="+mn-lt"/>
                        <a:ea typeface="+mn-ea"/>
                        <a:cs typeface="+mn-cs"/>
                      </a:defRPr>
                    </a:pPr>
                    <a:r>
                      <a:rPr lang="zh-CN" altLang="en-US"/>
                      <a:t>公务用车运行维护费支出</a:t>
                    </a:r>
                    <a:r>
                      <a:rPr lang="en-US" altLang="zh-CN"/>
                      <a:t>, 0.98, 86.73%</a:t>
                    </a:r>
                  </a:p>
                </c:rich>
              </c:tx>
              <c:spPr>
                <a:solidFill>
                  <a:schemeClr val="lt1">
                    <a:alpha val="90000"/>
                  </a:schemeClr>
                </a:solidFill>
                <a:ln w="12700" cap="flat" cmpd="sng" algn="ctr">
                  <a:solidFill>
                    <a:schemeClr val="accent1"/>
                  </a:solidFill>
                  <a:round/>
                </a:ln>
                <a:effectLst>
                  <a:outerShdw blurRad="50800" dist="38100" dir="2700000" algn="tl" rotWithShape="0">
                    <a:schemeClr val="accent1">
                      <a:lumMod val="75000"/>
                      <a:alpha val="40000"/>
                    </a:schemeClr>
                  </a:outerShdw>
                </a:effectLst>
              </c:spPr>
              <c:dLblPos val="bestFit"/>
              <c:showLegendKey val="0"/>
              <c:showVal val="1"/>
              <c:showCatName val="1"/>
              <c:showSerName val="0"/>
              <c:showPercent val="1"/>
              <c:showBubbleSize val="0"/>
              <c:extLst>
                <c:ext xmlns:c15="http://schemas.microsoft.com/office/drawing/2012/chart" uri="{CE6537A1-D6FC-4f65-9D91-7224C49458BB}"/>
              </c:extLst>
            </c:dLbl>
            <c:dLbl>
              <c:idx val="1"/>
              <c:tx>
                <c:rich>
                  <a:bodyPr rot="0" spcFirstLastPara="1" vertOverflow="clip" horzOverflow="clip" vert="horz" wrap="square" lIns="38100" tIns="19050" rIns="38100" bIns="19050" anchor="ctr" anchorCtr="1">
                    <a:spAutoFit/>
                  </a:bodyPr>
                  <a:lstStyle/>
                  <a:p>
                    <a:pPr defTabSz="914400">
                      <a:defRPr lang="zh-CN" sz="1000" b="0" i="0" u="none" strike="noStrike" kern="1200" baseline="0">
                        <a:solidFill>
                          <a:schemeClr val="accent2"/>
                        </a:solidFill>
                        <a:effectLst/>
                        <a:latin typeface="+mn-lt"/>
                        <a:ea typeface="+mn-ea"/>
                        <a:cs typeface="+mn-cs"/>
                      </a:defRPr>
                    </a:pPr>
                    <a:r>
                      <a:rPr lang="zh-CN" altLang="en-US"/>
                      <a:t>公务接待费支出</a:t>
                    </a:r>
                    <a:r>
                      <a:rPr lang="en-US" altLang="zh-CN"/>
                      <a:t>, 0.15, 13.27%</a:t>
                    </a:r>
                  </a:p>
                </c:rich>
              </c:tx>
              <c:spPr>
                <a:solidFill>
                  <a:schemeClr val="lt1">
                    <a:alpha val="90000"/>
                  </a:schemeClr>
                </a:solidFill>
                <a:ln w="12700" cap="flat" cmpd="sng" algn="ctr">
                  <a:solidFill>
                    <a:schemeClr val="accent1"/>
                  </a:solidFill>
                  <a:round/>
                </a:ln>
                <a:effectLst>
                  <a:outerShdw blurRad="50800" dist="38100" dir="2700000" algn="tl" rotWithShape="0">
                    <a:schemeClr val="accent1">
                      <a:lumMod val="75000"/>
                      <a:alpha val="40000"/>
                    </a:schemeClr>
                  </a:outerShdw>
                </a:effectLst>
              </c:spPr>
              <c:dLblPos val="inEnd"/>
              <c:showLegendKey val="0"/>
              <c:showVal val="1"/>
              <c:showCatName val="1"/>
              <c:showSerName val="0"/>
              <c:showPercent val="1"/>
              <c:showBubbleSize val="0"/>
              <c:extLst>
                <c:ext xmlns:c15="http://schemas.microsoft.com/office/drawing/2012/chart" uri="{CE6537A1-D6FC-4f65-9D91-7224C49458BB}"/>
              </c:extLst>
            </c:dLbl>
            <c:spPr>
              <a:solidFill>
                <a:schemeClr val="lt1">
                  <a:alpha val="90000"/>
                </a:schemeClr>
              </a:solidFill>
              <a:ln w="12700" cap="flat" cmpd="sng" algn="ctr">
                <a:solidFill>
                  <a:schemeClr val="accent1"/>
                </a:solidFill>
                <a:round/>
              </a:ln>
              <a:effectLst>
                <a:outerShdw blurRad="50800" dist="38100" dir="2700000" algn="tl" rotWithShape="0">
                  <a:schemeClr val="accent1">
                    <a:lumMod val="75000"/>
                    <a:alpha val="40000"/>
                  </a:schemeClr>
                </a:outerShdw>
              </a:effectLst>
            </c:spPr>
            <c:txPr>
              <a:bodyPr rot="0" spcFirstLastPara="1" vertOverflow="clip" horzOverflow="clip" vert="horz" wrap="square" lIns="38100" tIns="19050" rIns="38100" bIns="19050" anchor="ctr" anchorCtr="1">
                <a:spAutoFit/>
              </a:bodyPr>
              <a:lstStyle/>
              <a:p>
                <a:pPr>
                  <a:defRPr lang="zh-CN" sz="1000" b="0" i="0" u="none" strike="noStrike" kern="1200" baseline="0">
                    <a:solidFill>
                      <a:schemeClr val="accent1"/>
                    </a:solidFill>
                    <a:effectLst/>
                    <a:latin typeface="+mn-lt"/>
                    <a:ea typeface="+mn-ea"/>
                    <a:cs typeface="+mn-cs"/>
                  </a:defRPr>
                </a:pPr>
                <a:endParaRPr lang="zh-CN"/>
              </a:p>
            </c:txPr>
            <c:dLblPos val="inEnd"/>
            <c:showLegendKey val="0"/>
            <c:showVal val="1"/>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Sheet1!$A$2:$A$3</c:f>
              <c:strCache>
                <c:ptCount val="2"/>
                <c:pt idx="0">
                  <c:v>公务用车运行维护费支出</c:v>
                </c:pt>
                <c:pt idx="1">
                  <c:v>公务接待费支出</c:v>
                </c:pt>
              </c:strCache>
            </c:strRef>
          </c:cat>
          <c:val>
            <c:numRef>
              <c:f>Sheet1!$B$2:$B$3</c:f>
              <c:numCache>
                <c:formatCode>General</c:formatCode>
                <c:ptCount val="2"/>
                <c:pt idx="0">
                  <c:v>0.98</c:v>
                </c:pt>
                <c:pt idx="1">
                  <c:v>0.15</c:v>
                </c:pt>
              </c:numCache>
            </c:numRef>
          </c:val>
        </c:ser>
        <c:ser>
          <c:idx val="1"/>
          <c:order val="1"/>
          <c:tx>
            <c:strRef>
              <c:f>Sheet1!$C$1</c:f>
              <c:strCache>
                <c:ptCount val="1"/>
                <c:pt idx="0">
                  <c:v>列1</c:v>
                </c:pt>
              </c:strCache>
            </c:strRef>
          </c:tx>
          <c:dPt>
            <c:idx val="0"/>
            <c:bubble3D val="0"/>
            <c:spPr>
              <a:solidFill>
                <a:schemeClr val="accent1">
                  <a:alpha val="90000"/>
                </a:schemeClr>
              </a:solidFill>
              <a:ln w="19050">
                <a:solidFill>
                  <a:schemeClr val="accent1">
                    <a:lumMod val="75000"/>
                  </a:schemeClr>
                </a:solidFill>
              </a:ln>
              <a:effectLst>
                <a:innerShdw blurRad="114300">
                  <a:schemeClr val="accent1">
                    <a:lumMod val="75000"/>
                  </a:schemeClr>
                </a:innerShdw>
              </a:effectLst>
            </c:spPr>
          </c:dPt>
          <c:dPt>
            <c:idx val="1"/>
            <c:bubble3D val="0"/>
            <c:spPr>
              <a:solidFill>
                <a:schemeClr val="accent2">
                  <a:alpha val="90000"/>
                </a:schemeClr>
              </a:solidFill>
              <a:ln w="19050">
                <a:solidFill>
                  <a:schemeClr val="accent2">
                    <a:lumMod val="75000"/>
                  </a:schemeClr>
                </a:solidFill>
              </a:ln>
              <a:effectLst>
                <a:innerShdw blurRad="114300">
                  <a:schemeClr val="accent2">
                    <a:lumMod val="75000"/>
                  </a:schemeClr>
                </a:innerShdw>
              </a:effectLst>
            </c:spPr>
          </c:dPt>
          <c:dLbls>
            <c:dLbl>
              <c:idx val="0"/>
              <c:spPr>
                <a:solidFill>
                  <a:schemeClr val="lt1">
                    <a:alpha val="90000"/>
                  </a:schemeClr>
                </a:solidFill>
                <a:ln w="12700" cap="flat" cmpd="sng" algn="ctr">
                  <a:solidFill>
                    <a:schemeClr val="accent1"/>
                  </a:solidFill>
                  <a:round/>
                </a:ln>
                <a:effectLst>
                  <a:outerShdw blurRad="50800" dist="38100" dir="2700000" algn="tl" rotWithShape="0">
                    <a:schemeClr val="accent1">
                      <a:lumMod val="75000"/>
                      <a:alpha val="40000"/>
                    </a:schemeClr>
                  </a:outerShdw>
                </a:effectLst>
              </c:spPr>
              <c:txPr>
                <a:bodyPr rot="0" spcFirstLastPara="1" vertOverflow="clip" horzOverflow="clip" vert="horz" wrap="square" lIns="38100" tIns="19050" rIns="38100" bIns="19050" anchor="ctr" anchorCtr="1">
                  <a:spAutoFit/>
                </a:bodyPr>
                <a:lstStyle/>
                <a:p>
                  <a:pPr>
                    <a:defRPr lang="zh-CN" sz="1000" b="0" i="0" u="none" strike="noStrike" kern="1200" baseline="0">
                      <a:solidFill>
                        <a:schemeClr val="accent1"/>
                      </a:solidFill>
                      <a:effectLst/>
                      <a:latin typeface="+mn-lt"/>
                      <a:ea typeface="+mn-ea"/>
                      <a:cs typeface="+mn-cs"/>
                    </a:defRPr>
                  </a:pPr>
                  <a:endParaRPr lang="zh-CN"/>
                </a:p>
              </c:txPr>
              <c:dLblPos val="inEnd"/>
              <c:showLegendKey val="0"/>
              <c:showVal val="0"/>
              <c:showCatName val="1"/>
              <c:showSerName val="0"/>
              <c:showPercent val="1"/>
              <c:showBubbleSize val="0"/>
              <c:separator>
</c:separator>
              <c:extLst>
                <c:ext xmlns:c15="http://schemas.microsoft.com/office/drawing/2012/chart" uri="{CE6537A1-D6FC-4f65-9D91-7224C49458BB}"/>
              </c:extLst>
            </c:dLbl>
            <c:dLbl>
              <c:idx val="1"/>
              <c:dLblPos val="inEnd"/>
              <c:showLegendKey val="0"/>
              <c:showVal val="0"/>
              <c:showCatName val="1"/>
              <c:showSerName val="0"/>
              <c:showPercent val="1"/>
              <c:showBubbleSize val="0"/>
              <c:separator>
</c:separator>
              <c:extLst>
                <c:ext xmlns:c15="http://schemas.microsoft.com/office/drawing/2012/chart" uri="{CE6537A1-D6FC-4f65-9D91-7224C49458BB}"/>
              </c:extLst>
            </c:dLbl>
            <c:spPr>
              <a:solidFill>
                <a:schemeClr val="lt1">
                  <a:alpha val="90000"/>
                </a:schemeClr>
              </a:solidFill>
              <a:ln w="12700" cap="flat" cmpd="sng" algn="ctr">
                <a:solidFill>
                  <a:schemeClr val="accent1"/>
                </a:solidFill>
                <a:round/>
              </a:ln>
              <a:effectLst>
                <a:outerShdw blurRad="50800" dist="38100" dir="2700000" algn="tl" rotWithShape="0">
                  <a:schemeClr val="accent1">
                    <a:lumMod val="75000"/>
                    <a:alpha val="40000"/>
                  </a:schemeClr>
                </a:outerShdw>
              </a:effectLst>
            </c:spPr>
            <c:txPr>
              <a:bodyPr rot="0" spcFirstLastPara="1" vertOverflow="clip" horzOverflow="clip" vert="horz" wrap="square" lIns="38100" tIns="19050" rIns="38100" bIns="19050" anchor="ctr" anchorCtr="1">
                <a:spAutoFit/>
              </a:bodyPr>
              <a:lstStyle/>
              <a:p>
                <a:pPr>
                  <a:defRPr lang="zh-CN" sz="1000" b="0" i="0" u="none" strike="noStrike" kern="1200" baseline="0">
                    <a:solidFill>
                      <a:schemeClr val="accent2"/>
                    </a:solidFill>
                    <a:effectLst/>
                    <a:latin typeface="+mn-lt"/>
                    <a:ea typeface="+mn-ea"/>
                    <a:cs typeface="+mn-cs"/>
                  </a:defRPr>
                </a:pPr>
                <a:endParaRPr lang="zh-CN"/>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Sheet1!$A$2:$A$3</c:f>
              <c:strCache>
                <c:ptCount val="2"/>
                <c:pt idx="0">
                  <c:v>公务用车运行维护费支出</c:v>
                </c:pt>
                <c:pt idx="1">
                  <c:v>公务接待费支出</c:v>
                </c:pt>
              </c:strCache>
            </c:strRef>
          </c:cat>
          <c:val>
            <c:numRef>
              <c:f>Sheet1!$C$2:$C$3</c:f>
              <c:numCache>
                <c:formatCode>General</c:formatCode>
                <c:ptCount val="2"/>
                <c:pt idx="0">
                  <c:v>0.86729999999999996</c:v>
                </c:pt>
                <c:pt idx="1">
                  <c:v>0.13270000000000001</c:v>
                </c:pt>
              </c:numCache>
            </c:numRef>
          </c:val>
        </c:ser>
        <c:dLbls>
          <c:showLegendKey val="0"/>
          <c:showVal val="0"/>
          <c:showCatName val="0"/>
          <c:showSerName val="0"/>
          <c:showPercent val="1"/>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lang="zh-CN"/>
      </a:pPr>
      <a:endParaRPr lang="zh-CN"/>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32</Pages>
  <Words>1932</Words>
  <Characters>11015</Characters>
  <Application>Microsoft Office Word</Application>
  <DocSecurity>0</DocSecurity>
  <Lines>91</Lines>
  <Paragraphs>25</Paragraphs>
  <ScaleCrop>false</ScaleCrop>
  <Company>四川省财政厅</Company>
  <LinksUpToDate>false</LinksUpToDate>
  <CharactersWithSpaces>12922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49</cp:revision>
  <cp:lastPrinted>2023-08-01T18:35:00Z</cp:lastPrinted>
  <dcterms:created xsi:type="dcterms:W3CDTF">2020-08-06T17:49:00Z</dcterms:created>
  <dcterms:modified xsi:type="dcterms:W3CDTF">2023-09-13T09:10:00Z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2052-11.1.0.11698</vt:lpwstr>
  </property>
</Properties>
</file>