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77425"/>
      <w:bookmarkStart w:id="1" w:name="_Toc15377193"/>
      <w:bookmarkStart w:id="2" w:name="_Toc15378441"/>
      <w:bookmarkStart w:id="3" w:name="_Toc15396597"/>
      <w:bookmarkStart w:id="4" w:name="_Toc15396475"/>
      <w:bookmarkStart w:id="5" w:name="_Toc15306267"/>
      <w:bookmarkStart w:id="67" w:name="_GoBack"/>
      <w:bookmarkEnd w:id="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2022年度</w:t>
      </w:r>
      <w:bookmarkEnd w:id="0"/>
      <w:bookmarkEnd w:id="1"/>
      <w:bookmarkEnd w:id="2"/>
      <w:bookmarkEnd w:id="3"/>
      <w:bookmarkEnd w:id="4"/>
    </w:p>
    <w:bookmarkEnd w:id="5"/>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78442"/>
      <w:bookmarkStart w:id="7" w:name="_Toc15396476"/>
      <w:bookmarkStart w:id="8" w:name="_Toc15377426"/>
      <w:bookmarkStart w:id="9" w:name="_Toc15377194"/>
      <w:bookmarkStart w:id="10" w:name="_Toc15306268"/>
      <w:bookmarkStart w:id="11" w:name="_Toc15396598"/>
      <w:r>
        <w:rPr>
          <w:rFonts w:hint="eastAsia" w:ascii="方正小标宋简体" w:hAnsi="方正小标宋简体" w:eastAsia="方正小标宋简体" w:cs="方正小标宋简体"/>
          <w:sz w:val="72"/>
          <w:szCs w:val="72"/>
        </w:rPr>
        <w:t>盐边县人民法院部门决算</w:t>
      </w:r>
      <w:bookmarkEnd w:id="6"/>
      <w:bookmarkEnd w:id="7"/>
      <w:bookmarkEnd w:id="8"/>
      <w:bookmarkEnd w:id="9"/>
      <w:bookmarkEnd w:id="10"/>
      <w:bookmarkEnd w:id="11"/>
    </w:p>
    <w:p>
      <w:pPr>
        <w:adjustRightInd w:val="0"/>
        <w:snapToGrid w:val="0"/>
        <w:spacing w:line="360" w:lineRule="auto"/>
        <w:jc w:val="center"/>
        <w:outlineLvl w:val="0"/>
        <w:rPr>
          <w:rFonts w:ascii="方正小标宋简体" w:hAnsi="宋体" w:eastAsia="方正小标宋简体"/>
          <w:sz w:val="52"/>
          <w:szCs w:val="52"/>
        </w:rPr>
      </w:pP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1"/>
      </w:pPr>
      <w:r>
        <w:rPr>
          <w:rFonts w:hint="eastAsia"/>
        </w:rPr>
        <w:t>公开时间：2023年9月</w:t>
      </w:r>
      <w:r>
        <w:t>13</w:t>
      </w:r>
      <w:r>
        <w:rPr>
          <w:rFonts w:hint="eastAsia"/>
        </w:rPr>
        <w:t>日</w:t>
      </w:r>
    </w:p>
    <w:p/>
    <w:p/>
    <w:p>
      <w:pPr>
        <w:pStyle w:val="11"/>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Pr>
          <w:rFonts w:hint="eastAsia"/>
          <w:sz w:val="24"/>
        </w:rPr>
        <w:t>部门概况</w:t>
      </w:r>
      <w:r>
        <w:rPr>
          <w:rFonts w:cstheme="minorBidi"/>
          <w:sz w:val="24"/>
          <w:szCs w:val="24"/>
        </w:rPr>
        <w:tab/>
      </w:r>
      <w:r>
        <w:rPr>
          <w:rFonts w:hint="eastAsia" w:cstheme="minorBidi"/>
          <w:sz w:val="24"/>
          <w:szCs w:val="24"/>
        </w:rPr>
        <w:t>4</w:t>
      </w:r>
    </w:p>
    <w:p>
      <w:pPr>
        <w:pStyle w:val="12"/>
        <w:adjustRightInd w:val="0"/>
        <w:snapToGrid w:val="0"/>
        <w:spacing w:line="440" w:lineRule="exact"/>
        <w:jc w:val="left"/>
        <w:rPr>
          <w:rFonts w:ascii="仿宋" w:hAnsi="仿宋"/>
          <w:sz w:val="24"/>
        </w:rPr>
      </w:pPr>
      <w:r>
        <w:rPr>
          <w:rFonts w:hint="eastAsia"/>
          <w:sz w:val="24"/>
        </w:rPr>
        <w:t>一、部门职责</w:t>
      </w:r>
      <w:r>
        <w:rPr>
          <w:rFonts w:cstheme="minorBidi"/>
          <w:sz w:val="24"/>
        </w:rPr>
        <w:tab/>
      </w:r>
      <w:r>
        <w:rPr>
          <w:rFonts w:hint="eastAsia" w:cstheme="minorBidi"/>
          <w:sz w:val="24"/>
        </w:rPr>
        <w:t>4</w:t>
      </w:r>
    </w:p>
    <w:p>
      <w:pPr>
        <w:pStyle w:val="12"/>
        <w:adjustRightInd w:val="0"/>
        <w:snapToGrid w:val="0"/>
        <w:spacing w:line="440" w:lineRule="exact"/>
        <w:jc w:val="left"/>
        <w:rPr>
          <w:rFonts w:ascii="仿宋" w:hAnsi="仿宋" w:cstheme="minorBidi"/>
          <w:sz w:val="24"/>
        </w:rPr>
      </w:pPr>
      <w:r>
        <w:rPr>
          <w:rFonts w:hint="eastAsia"/>
          <w:sz w:val="24"/>
        </w:rPr>
        <w:t>二、机构设置</w:t>
      </w:r>
      <w:r>
        <w:rPr>
          <w:rFonts w:cstheme="minorBidi"/>
          <w:sz w:val="24"/>
        </w:rPr>
        <w:tab/>
      </w:r>
      <w:r>
        <w:rPr>
          <w:rFonts w:hint="eastAsia" w:cstheme="minorBidi"/>
          <w:sz w:val="24"/>
        </w:rPr>
        <w:t>4</w:t>
      </w:r>
    </w:p>
    <w:p>
      <w:pPr>
        <w:pStyle w:val="11"/>
        <w:adjustRightInd w:val="0"/>
        <w:snapToGrid w:val="0"/>
        <w:spacing w:before="0" w:line="440" w:lineRule="exact"/>
        <w:jc w:val="left"/>
        <w:rPr>
          <w:sz w:val="24"/>
          <w:szCs w:val="24"/>
        </w:rPr>
      </w:pPr>
      <w:r>
        <w:rPr>
          <w:rFonts w:hint="eastAsia"/>
          <w:sz w:val="24"/>
        </w:rPr>
        <w:t>第二部分 2022年度部门决算情况说明</w:t>
      </w:r>
      <w:r>
        <w:rPr>
          <w:rFonts w:cstheme="minorBidi"/>
          <w:sz w:val="24"/>
        </w:rPr>
        <w:tab/>
      </w:r>
      <w:r>
        <w:rPr>
          <w:rFonts w:hint="eastAsia" w:cstheme="minorBidi"/>
          <w:sz w:val="24"/>
        </w:rPr>
        <w:t>5</w:t>
      </w:r>
    </w:p>
    <w:p>
      <w:pPr>
        <w:pStyle w:val="12"/>
        <w:adjustRightInd w:val="0"/>
        <w:snapToGrid w:val="0"/>
        <w:spacing w:line="440" w:lineRule="exact"/>
        <w:jc w:val="left"/>
        <w:rPr>
          <w:rFonts w:ascii="仿宋" w:hAnsi="仿宋" w:cstheme="minorBidi"/>
          <w:sz w:val="24"/>
        </w:rPr>
      </w:pPr>
      <w:r>
        <w:rPr>
          <w:rFonts w:hint="eastAsia"/>
          <w:sz w:val="24"/>
        </w:rPr>
        <w:t>一、收入支出决算总体情况说明</w:t>
      </w:r>
      <w:r>
        <w:rPr>
          <w:rFonts w:cstheme="minorBidi"/>
          <w:sz w:val="24"/>
        </w:rPr>
        <w:tab/>
      </w:r>
      <w:r>
        <w:rPr>
          <w:rFonts w:hint="eastAsia" w:cstheme="minorBidi"/>
          <w:sz w:val="24"/>
        </w:rPr>
        <w:t>5</w:t>
      </w:r>
    </w:p>
    <w:p>
      <w:pPr>
        <w:pStyle w:val="12"/>
        <w:adjustRightInd w:val="0"/>
        <w:snapToGrid w:val="0"/>
        <w:spacing w:line="440" w:lineRule="exact"/>
        <w:jc w:val="left"/>
        <w:rPr>
          <w:rFonts w:ascii="仿宋" w:hAnsi="仿宋" w:cstheme="minorBidi"/>
          <w:sz w:val="24"/>
        </w:rPr>
      </w:pPr>
      <w:r>
        <w:rPr>
          <w:rFonts w:hint="eastAsia"/>
          <w:sz w:val="24"/>
        </w:rPr>
        <w:t>二、收入决算情况说明</w:t>
      </w:r>
      <w:r>
        <w:rPr>
          <w:rFonts w:cstheme="minorBidi"/>
          <w:sz w:val="24"/>
        </w:rPr>
        <w:tab/>
      </w:r>
      <w:r>
        <w:rPr>
          <w:rFonts w:hint="eastAsia" w:cstheme="minorBidi"/>
          <w:sz w:val="24"/>
        </w:rPr>
        <w:t>5</w:t>
      </w:r>
    </w:p>
    <w:p>
      <w:pPr>
        <w:pStyle w:val="12"/>
        <w:adjustRightInd w:val="0"/>
        <w:snapToGrid w:val="0"/>
        <w:spacing w:line="440" w:lineRule="exact"/>
        <w:jc w:val="left"/>
        <w:rPr>
          <w:rFonts w:ascii="仿宋" w:hAnsi="仿宋" w:cstheme="minorBidi"/>
          <w:sz w:val="24"/>
        </w:rPr>
      </w:pPr>
      <w:r>
        <w:rPr>
          <w:rFonts w:hint="eastAsia"/>
          <w:sz w:val="24"/>
        </w:rPr>
        <w:t>三、支出决算情况说明</w:t>
      </w:r>
      <w:r>
        <w:rPr>
          <w:rFonts w:cstheme="minorBidi"/>
          <w:sz w:val="24"/>
        </w:rPr>
        <w:tab/>
      </w:r>
      <w:r>
        <w:rPr>
          <w:rFonts w:hint="eastAsia" w:cstheme="minorBidi"/>
          <w:sz w:val="24"/>
        </w:rPr>
        <w:t>6</w:t>
      </w:r>
    </w:p>
    <w:p>
      <w:pPr>
        <w:pStyle w:val="12"/>
        <w:adjustRightInd w:val="0"/>
        <w:snapToGrid w:val="0"/>
        <w:spacing w:line="440" w:lineRule="exact"/>
        <w:jc w:val="left"/>
        <w:rPr>
          <w:rFonts w:ascii="仿宋" w:hAnsi="仿宋" w:cstheme="minorBidi"/>
          <w:sz w:val="24"/>
        </w:rPr>
      </w:pPr>
      <w:r>
        <w:rPr>
          <w:rFonts w:hint="eastAsia"/>
          <w:sz w:val="24"/>
        </w:rPr>
        <w:t>四、财政拨款收入支出决算总体情况说明</w:t>
      </w:r>
      <w:r>
        <w:rPr>
          <w:rFonts w:cstheme="minorBidi"/>
          <w:sz w:val="24"/>
        </w:rPr>
        <w:tab/>
      </w:r>
      <w:r>
        <w:rPr>
          <w:rFonts w:hint="eastAsia" w:cstheme="minorBidi"/>
          <w:sz w:val="24"/>
        </w:rPr>
        <w:t>7</w:t>
      </w:r>
    </w:p>
    <w:p>
      <w:pPr>
        <w:pStyle w:val="12"/>
        <w:adjustRightInd w:val="0"/>
        <w:snapToGrid w:val="0"/>
        <w:spacing w:line="440" w:lineRule="exact"/>
        <w:jc w:val="left"/>
        <w:rPr>
          <w:rFonts w:ascii="仿宋" w:hAnsi="仿宋" w:cstheme="minorBidi"/>
          <w:sz w:val="24"/>
        </w:rPr>
      </w:pPr>
      <w:r>
        <w:rPr>
          <w:rFonts w:hint="eastAsia"/>
          <w:sz w:val="24"/>
        </w:rPr>
        <w:t>五、一般公共预算财政拨款支出决算情况说明</w:t>
      </w:r>
      <w:r>
        <w:rPr>
          <w:rFonts w:cstheme="minorBidi"/>
          <w:sz w:val="24"/>
        </w:rPr>
        <w:tab/>
      </w:r>
      <w:r>
        <w:rPr>
          <w:rFonts w:hint="eastAsia" w:cstheme="minorBidi"/>
          <w:sz w:val="24"/>
        </w:rPr>
        <w:t>8</w:t>
      </w:r>
    </w:p>
    <w:p>
      <w:pPr>
        <w:pStyle w:val="12"/>
        <w:adjustRightInd w:val="0"/>
        <w:snapToGrid w:val="0"/>
        <w:spacing w:line="440" w:lineRule="exact"/>
        <w:jc w:val="left"/>
        <w:rPr>
          <w:rFonts w:ascii="仿宋" w:hAnsi="仿宋" w:cstheme="minorBidi"/>
          <w:sz w:val="24"/>
        </w:rPr>
      </w:pPr>
      <w:r>
        <w:rPr>
          <w:rFonts w:hint="eastAsia"/>
          <w:sz w:val="24"/>
        </w:rPr>
        <w:t>六、一般公共预算财政拨款基本支出决算情况说明</w:t>
      </w:r>
      <w:r>
        <w:rPr>
          <w:rFonts w:cstheme="minorBidi"/>
          <w:sz w:val="24"/>
        </w:rPr>
        <w:tab/>
      </w:r>
      <w:r>
        <w:rPr>
          <w:rFonts w:hint="eastAsia" w:cstheme="minorBidi"/>
          <w:sz w:val="24"/>
        </w:rPr>
        <w:t>10</w:t>
      </w:r>
    </w:p>
    <w:p>
      <w:pPr>
        <w:pStyle w:val="12"/>
        <w:adjustRightInd w:val="0"/>
        <w:snapToGrid w:val="0"/>
        <w:spacing w:line="440" w:lineRule="exact"/>
        <w:jc w:val="left"/>
        <w:rPr>
          <w:rFonts w:ascii="仿宋" w:hAnsi="仿宋" w:cstheme="minorBidi"/>
          <w:sz w:val="24"/>
        </w:rPr>
      </w:pPr>
      <w:r>
        <w:rPr>
          <w:rFonts w:hint="eastAsia"/>
          <w:sz w:val="24"/>
        </w:rPr>
        <w:t>七、财政拨款“三公”经费支出决算情况说明</w:t>
      </w:r>
      <w:r>
        <w:rPr>
          <w:rFonts w:cstheme="minorBidi"/>
          <w:sz w:val="24"/>
        </w:rPr>
        <w:tab/>
      </w:r>
      <w:r>
        <w:rPr>
          <w:rFonts w:hint="eastAsia" w:cstheme="minorBidi"/>
          <w:sz w:val="24"/>
        </w:rPr>
        <w:t>10</w:t>
      </w:r>
    </w:p>
    <w:p>
      <w:pPr>
        <w:pStyle w:val="12"/>
        <w:adjustRightInd w:val="0"/>
        <w:snapToGrid w:val="0"/>
        <w:spacing w:line="440" w:lineRule="exact"/>
        <w:jc w:val="left"/>
        <w:rPr>
          <w:rFonts w:ascii="仿宋" w:hAnsi="仿宋" w:cstheme="minorBidi"/>
          <w:sz w:val="24"/>
        </w:rPr>
      </w:pPr>
      <w:r>
        <w:rPr>
          <w:rFonts w:hint="eastAsia"/>
          <w:sz w:val="24"/>
        </w:rPr>
        <w:t>八、政府性基金预算支出决算情况说明</w:t>
      </w:r>
      <w:r>
        <w:rPr>
          <w:rFonts w:cstheme="minorBidi"/>
          <w:sz w:val="24"/>
        </w:rPr>
        <w:tab/>
      </w:r>
      <w:r>
        <w:rPr>
          <w:rFonts w:hint="eastAsia" w:cstheme="minorBidi"/>
          <w:sz w:val="24"/>
        </w:rPr>
        <w:t>13</w:t>
      </w:r>
    </w:p>
    <w:p>
      <w:pPr>
        <w:pStyle w:val="12"/>
        <w:adjustRightInd w:val="0"/>
        <w:snapToGrid w:val="0"/>
        <w:spacing w:line="440" w:lineRule="exact"/>
        <w:ind w:leftChars="0"/>
        <w:jc w:val="left"/>
        <w:rPr>
          <w:rFonts w:asciiTheme="minorEastAsia" w:hAnsiTheme="minorEastAsia" w:cstheme="minorEastAsia"/>
          <w:sz w:val="24"/>
        </w:rPr>
      </w:pPr>
      <w:r>
        <w:rPr>
          <w:rFonts w:hint="eastAsia" w:asciiTheme="minorEastAsia" w:hAnsiTheme="minorEastAsia" w:eastAsiaTheme="minorEastAsia" w:cstheme="minorEastAsia"/>
          <w:sz w:val="24"/>
        </w:rPr>
        <w:t>九、国有资本经营预算支出决算情况说明</w:t>
      </w:r>
      <w:r>
        <w:rPr>
          <w:rFonts w:cstheme="minorBidi"/>
          <w:sz w:val="24"/>
        </w:rPr>
        <w:tab/>
      </w:r>
      <w:r>
        <w:rPr>
          <w:rFonts w:hint="eastAsia" w:cstheme="minorBidi"/>
          <w:sz w:val="24"/>
        </w:rPr>
        <w:t>13</w:t>
      </w:r>
    </w:p>
    <w:p>
      <w:pPr>
        <w:pStyle w:val="12"/>
        <w:adjustRightInd w:val="0"/>
        <w:snapToGrid w:val="0"/>
        <w:spacing w:line="440" w:lineRule="exact"/>
        <w:ind w:leftChars="0"/>
        <w:jc w:val="left"/>
        <w:rPr>
          <w:rFonts w:asciiTheme="minorEastAsia" w:hAnsiTheme="minorEastAsia" w:cstheme="minorEastAsia"/>
          <w:sz w:val="24"/>
        </w:rPr>
      </w:pPr>
      <w:r>
        <w:rPr>
          <w:rFonts w:hint="eastAsia" w:asciiTheme="minorEastAsia" w:hAnsiTheme="minorEastAsia" w:eastAsiaTheme="minorEastAsia" w:cstheme="minorEastAsia"/>
          <w:sz w:val="24"/>
        </w:rPr>
        <w:t>十、其他重要事项的情况说明</w:t>
      </w:r>
      <w:r>
        <w:rPr>
          <w:rFonts w:cstheme="minorBidi"/>
          <w:sz w:val="24"/>
        </w:rPr>
        <w:tab/>
      </w:r>
      <w:r>
        <w:rPr>
          <w:rFonts w:hint="eastAsia" w:cstheme="minorBidi"/>
          <w:sz w:val="24"/>
        </w:rPr>
        <w:t>13</w:t>
      </w:r>
    </w:p>
    <w:p>
      <w:pPr>
        <w:pStyle w:val="11"/>
        <w:adjustRightInd w:val="0"/>
        <w:snapToGrid w:val="0"/>
        <w:spacing w:before="0" w:line="440" w:lineRule="exact"/>
        <w:jc w:val="left"/>
        <w:rPr>
          <w:rFonts w:cstheme="minorBidi"/>
          <w:sz w:val="24"/>
          <w:szCs w:val="24"/>
        </w:rPr>
      </w:pPr>
      <w:r>
        <w:rPr>
          <w:rFonts w:hint="eastAsia"/>
          <w:sz w:val="24"/>
        </w:rPr>
        <w:t>第三部分</w:t>
      </w:r>
      <w:r>
        <w:rPr>
          <w:sz w:val="24"/>
        </w:rPr>
        <w:t xml:space="preserve"> </w:t>
      </w:r>
      <w:r>
        <w:rPr>
          <w:rFonts w:hint="eastAsia"/>
          <w:sz w:val="24"/>
        </w:rPr>
        <w:t>名词解释</w:t>
      </w:r>
      <w:r>
        <w:rPr>
          <w:rFonts w:cstheme="minorBidi"/>
          <w:sz w:val="24"/>
        </w:rPr>
        <w:tab/>
      </w:r>
      <w:r>
        <w:rPr>
          <w:rFonts w:hint="eastAsia" w:cstheme="minorBidi"/>
          <w:sz w:val="24"/>
        </w:rPr>
        <w:t>15</w:t>
      </w:r>
    </w:p>
    <w:p>
      <w:pPr>
        <w:pStyle w:val="11"/>
        <w:adjustRightInd w:val="0"/>
        <w:snapToGrid w:val="0"/>
        <w:spacing w:before="0" w:line="440" w:lineRule="exact"/>
        <w:jc w:val="left"/>
        <w:rPr>
          <w:rFonts w:cstheme="minorBidi"/>
          <w:sz w:val="24"/>
          <w:szCs w:val="24"/>
        </w:rPr>
      </w:pPr>
      <w:r>
        <w:rPr>
          <w:rFonts w:hint="eastAsia"/>
          <w:sz w:val="24"/>
        </w:rPr>
        <w:t>第四部分</w:t>
      </w:r>
      <w:r>
        <w:rPr>
          <w:sz w:val="24"/>
        </w:rPr>
        <w:t xml:space="preserve"> </w:t>
      </w:r>
      <w:r>
        <w:rPr>
          <w:rFonts w:hint="eastAsia"/>
          <w:sz w:val="24"/>
        </w:rPr>
        <w:t>附件</w:t>
      </w:r>
      <w:r>
        <w:rPr>
          <w:rFonts w:cstheme="minorBidi"/>
          <w:sz w:val="24"/>
        </w:rPr>
        <w:tab/>
      </w:r>
      <w:r>
        <w:rPr>
          <w:rFonts w:hint="eastAsia" w:cstheme="minorBidi"/>
          <w:sz w:val="24"/>
        </w:rPr>
        <w:t>18</w:t>
      </w:r>
    </w:p>
    <w:p>
      <w:pPr>
        <w:pStyle w:val="11"/>
        <w:adjustRightInd w:val="0"/>
        <w:snapToGrid w:val="0"/>
        <w:spacing w:before="0" w:line="440" w:lineRule="exact"/>
        <w:jc w:val="left"/>
        <w:rPr>
          <w:rFonts w:cstheme="minorBidi"/>
          <w:sz w:val="24"/>
          <w:szCs w:val="24"/>
        </w:rPr>
      </w:pPr>
      <w:r>
        <w:rPr>
          <w:rFonts w:hint="eastAsia"/>
          <w:sz w:val="24"/>
        </w:rPr>
        <w:t>第五部分</w:t>
      </w:r>
      <w:r>
        <w:rPr>
          <w:sz w:val="24"/>
        </w:rPr>
        <w:t xml:space="preserve"> </w:t>
      </w:r>
      <w:r>
        <w:rPr>
          <w:rFonts w:hint="eastAsia"/>
          <w:sz w:val="24"/>
        </w:rPr>
        <w:t>附表</w:t>
      </w:r>
      <w:r>
        <w:rPr>
          <w:rFonts w:cstheme="minorBidi"/>
          <w:sz w:val="24"/>
        </w:rPr>
        <w:tab/>
      </w:r>
      <w:r>
        <w:rPr>
          <w:rFonts w:hint="eastAsia" w:cstheme="minorBidi"/>
          <w:sz w:val="24"/>
        </w:rPr>
        <w:t>36</w:t>
      </w:r>
    </w:p>
    <w:p>
      <w:pPr>
        <w:pStyle w:val="12"/>
        <w:adjustRightInd w:val="0"/>
        <w:snapToGrid w:val="0"/>
        <w:spacing w:line="440" w:lineRule="exact"/>
        <w:jc w:val="left"/>
        <w:rPr>
          <w:sz w:val="24"/>
        </w:rPr>
      </w:pPr>
      <w:r>
        <w:rPr>
          <w:rFonts w:hint="eastAsia"/>
          <w:sz w:val="24"/>
        </w:rPr>
        <w:t>一、收入支出决算总表</w:t>
      </w:r>
    </w:p>
    <w:p>
      <w:pPr>
        <w:pStyle w:val="12"/>
        <w:adjustRightInd w:val="0"/>
        <w:snapToGrid w:val="0"/>
        <w:spacing w:line="440" w:lineRule="exact"/>
        <w:jc w:val="left"/>
        <w:rPr>
          <w:sz w:val="24"/>
        </w:rPr>
      </w:pPr>
      <w:r>
        <w:rPr>
          <w:rFonts w:hint="eastAsia"/>
          <w:sz w:val="24"/>
        </w:rPr>
        <w:t>二、收入决算表</w:t>
      </w:r>
    </w:p>
    <w:p>
      <w:pPr>
        <w:pStyle w:val="12"/>
        <w:adjustRightInd w:val="0"/>
        <w:snapToGrid w:val="0"/>
        <w:spacing w:line="440" w:lineRule="exact"/>
        <w:jc w:val="left"/>
        <w:rPr>
          <w:sz w:val="24"/>
        </w:rPr>
      </w:pPr>
      <w:r>
        <w:rPr>
          <w:rFonts w:hint="eastAsia"/>
          <w:sz w:val="24"/>
        </w:rPr>
        <w:t>三、支出决算表</w:t>
      </w:r>
    </w:p>
    <w:p>
      <w:pPr>
        <w:pStyle w:val="12"/>
        <w:adjustRightInd w:val="0"/>
        <w:snapToGrid w:val="0"/>
        <w:spacing w:line="440" w:lineRule="exact"/>
        <w:jc w:val="left"/>
        <w:rPr>
          <w:sz w:val="24"/>
        </w:rPr>
      </w:pPr>
      <w:r>
        <w:rPr>
          <w:rFonts w:hint="eastAsia"/>
          <w:sz w:val="24"/>
        </w:rPr>
        <w:t>四、财政拨款收入支出决算总表</w:t>
      </w:r>
    </w:p>
    <w:p>
      <w:pPr>
        <w:pStyle w:val="12"/>
        <w:adjustRightInd w:val="0"/>
        <w:snapToGrid w:val="0"/>
        <w:spacing w:line="440" w:lineRule="exact"/>
        <w:jc w:val="left"/>
        <w:rPr>
          <w:sz w:val="24"/>
        </w:rPr>
      </w:pPr>
      <w:r>
        <w:rPr>
          <w:rFonts w:hint="eastAsia"/>
          <w:sz w:val="24"/>
        </w:rPr>
        <w:t>五、财政拨款支出决算明细表</w:t>
      </w:r>
    </w:p>
    <w:p>
      <w:pPr>
        <w:pStyle w:val="12"/>
        <w:adjustRightInd w:val="0"/>
        <w:snapToGrid w:val="0"/>
        <w:spacing w:line="440" w:lineRule="exact"/>
        <w:jc w:val="left"/>
        <w:rPr>
          <w:sz w:val="24"/>
        </w:rPr>
      </w:pPr>
      <w:r>
        <w:rPr>
          <w:rFonts w:hint="eastAsia"/>
          <w:sz w:val="24"/>
        </w:rPr>
        <w:t>六、一般公共预算财政拨款支出决算表</w:t>
      </w:r>
    </w:p>
    <w:p>
      <w:pPr>
        <w:pStyle w:val="12"/>
        <w:adjustRightInd w:val="0"/>
        <w:snapToGrid w:val="0"/>
        <w:spacing w:line="440" w:lineRule="exact"/>
        <w:jc w:val="left"/>
        <w:rPr>
          <w:sz w:val="24"/>
        </w:rPr>
      </w:pPr>
      <w:r>
        <w:rPr>
          <w:rFonts w:hint="eastAsia"/>
          <w:sz w:val="24"/>
        </w:rPr>
        <w:t>七、一般公共预算财政拨款支出决算明细表</w:t>
      </w:r>
    </w:p>
    <w:p>
      <w:pPr>
        <w:pStyle w:val="12"/>
        <w:adjustRightInd w:val="0"/>
        <w:snapToGrid w:val="0"/>
        <w:spacing w:line="440" w:lineRule="exact"/>
        <w:jc w:val="left"/>
        <w:rPr>
          <w:sz w:val="24"/>
        </w:rPr>
      </w:pPr>
      <w:r>
        <w:rPr>
          <w:rFonts w:hint="eastAsia"/>
          <w:sz w:val="24"/>
        </w:rPr>
        <w:t>八、一般公共预算财政拨款基本支出决算明细表</w:t>
      </w:r>
    </w:p>
    <w:p>
      <w:pPr>
        <w:pStyle w:val="12"/>
        <w:adjustRightInd w:val="0"/>
        <w:snapToGrid w:val="0"/>
        <w:spacing w:line="440" w:lineRule="exact"/>
        <w:jc w:val="left"/>
        <w:rPr>
          <w:sz w:val="24"/>
        </w:rPr>
      </w:pPr>
      <w:r>
        <w:rPr>
          <w:rFonts w:hint="eastAsia"/>
          <w:sz w:val="24"/>
        </w:rPr>
        <w:t>九、一般公共预算财政拨款项目支出决算表</w:t>
      </w:r>
    </w:p>
    <w:p>
      <w:pPr>
        <w:pStyle w:val="12"/>
        <w:adjustRightInd w:val="0"/>
        <w:snapToGrid w:val="0"/>
        <w:spacing w:line="440" w:lineRule="exact"/>
        <w:jc w:val="left"/>
        <w:rPr>
          <w:sz w:val="24"/>
        </w:rPr>
      </w:pPr>
      <w:r>
        <w:rPr>
          <w:rFonts w:hint="eastAsia"/>
          <w:sz w:val="24"/>
        </w:rPr>
        <w:t>十、政府性基金预算财政拨款收入支出决算表</w:t>
      </w:r>
    </w:p>
    <w:p>
      <w:pPr>
        <w:pStyle w:val="12"/>
        <w:adjustRightInd w:val="0"/>
        <w:snapToGrid w:val="0"/>
        <w:spacing w:line="440" w:lineRule="exact"/>
        <w:jc w:val="left"/>
        <w:rPr>
          <w:sz w:val="24"/>
        </w:rPr>
      </w:pPr>
      <w:r>
        <w:rPr>
          <w:rFonts w:hint="eastAsia"/>
          <w:sz w:val="24"/>
        </w:rPr>
        <w:t>十一、国有资本经营预算财政拨款收入支出决算表</w:t>
      </w:r>
    </w:p>
    <w:p>
      <w:pPr>
        <w:pStyle w:val="12"/>
        <w:adjustRightInd w:val="0"/>
        <w:snapToGrid w:val="0"/>
        <w:spacing w:line="440" w:lineRule="exact"/>
        <w:jc w:val="left"/>
        <w:rPr>
          <w:sz w:val="24"/>
        </w:rPr>
      </w:pPr>
      <w:r>
        <w:rPr>
          <w:rFonts w:hint="eastAsia"/>
          <w:sz w:val="24"/>
        </w:rPr>
        <w:t>十二、国有资本经营预算财政拨款支出决算表</w:t>
      </w:r>
    </w:p>
    <w:p>
      <w:pPr>
        <w:pStyle w:val="12"/>
        <w:adjustRightInd w:val="0"/>
        <w:snapToGrid w:val="0"/>
        <w:spacing w:line="440" w:lineRule="exact"/>
        <w:jc w:val="left"/>
        <w:rPr>
          <w:rFonts w:asciiTheme="minorEastAsia" w:hAnsiTheme="minorEastAsia" w:eastAsiaTheme="minorEastAsia" w:cstheme="minorEastAsia"/>
          <w:sz w:val="24"/>
        </w:rPr>
      </w:pPr>
      <w:r>
        <w:rPr>
          <w:rFonts w:hint="eastAsia"/>
          <w:sz w:val="24"/>
        </w:rPr>
        <w:t>十三、财政拨款“三公”经费支出决算表</w:t>
      </w:r>
    </w:p>
    <w:p>
      <w:pPr>
        <w:widowControl/>
        <w:spacing w:line="440" w:lineRule="exact"/>
        <w:jc w:val="left"/>
        <w:rPr>
          <w:rFonts w:ascii="仿宋" w:hAnsi="仿宋" w:eastAsia="仿宋"/>
          <w:bCs/>
          <w:kern w:val="44"/>
          <w:sz w:val="24"/>
        </w:rPr>
      </w:pPr>
      <w:bookmarkStart w:id="12" w:name="_Toc15396599"/>
      <w:bookmarkStart w:id="13" w:name="_Toc15377196"/>
      <w:r>
        <w:rPr>
          <w:rFonts w:ascii="仿宋" w:hAnsi="仿宋" w:eastAsia="仿宋"/>
          <w:b/>
          <w:sz w:val="24"/>
        </w:rPr>
        <w:br w:type="page"/>
      </w:r>
    </w:p>
    <w:p>
      <w:pPr>
        <w:pStyle w:val="3"/>
        <w:jc w:val="center"/>
        <w:rPr>
          <w:rStyle w:val="28"/>
          <w:rFonts w:ascii="黑体" w:hAnsi="黑体" w:eastAsia="黑体"/>
          <w:b/>
          <w:bCs w:val="0"/>
        </w:rPr>
      </w:pPr>
      <w:r>
        <w:rPr>
          <w:rFonts w:hint="eastAsia" w:ascii="黑体" w:hAnsi="黑体" w:eastAsia="黑体"/>
          <w:b w:val="0"/>
        </w:rPr>
        <w:t xml:space="preserve">第一部分 </w:t>
      </w:r>
      <w:r>
        <w:rPr>
          <w:rStyle w:val="28"/>
          <w:rFonts w:hint="eastAsia" w:ascii="黑体" w:hAnsi="黑体" w:eastAsia="黑体"/>
          <w:b w:val="0"/>
          <w:bCs w:val="0"/>
        </w:rPr>
        <w:t>部门概况</w:t>
      </w:r>
      <w:bookmarkEnd w:id="12"/>
      <w:bookmarkEnd w:id="13"/>
    </w:p>
    <w:p>
      <w:pPr>
        <w:widowControl/>
        <w:jc w:val="left"/>
        <w:rPr>
          <w:rFonts w:ascii="黑体" w:eastAsia="黑体"/>
          <w:sz w:val="32"/>
          <w:szCs w:val="32"/>
        </w:rPr>
      </w:pPr>
    </w:p>
    <w:p>
      <w:pPr>
        <w:pStyle w:val="4"/>
        <w:numPr>
          <w:ilvl w:val="0"/>
          <w:numId w:val="1"/>
        </w:numPr>
        <w:rPr>
          <w:rFonts w:ascii="黑体" w:hAnsi="黑体" w:eastAsia="黑体"/>
          <w:b w:val="0"/>
        </w:rPr>
      </w:pPr>
      <w:r>
        <w:rPr>
          <w:rFonts w:hint="eastAsia" w:ascii="黑体" w:hAnsi="黑体" w:eastAsia="黑体"/>
          <w:b w:val="0"/>
        </w:rPr>
        <w:t>部门职责</w:t>
      </w:r>
    </w:p>
    <w:p>
      <w:pPr>
        <w:pStyle w:val="2"/>
        <w:adjustRightInd w:val="0"/>
        <w:snapToGrid w:val="0"/>
        <w:spacing w:before="93" w:line="560" w:lineRule="exact"/>
        <w:ind w:firstLine="640" w:firstLineChars="200"/>
        <w:outlineLvl w:val="2"/>
        <w:rPr>
          <w:rFonts w:ascii="仿宋" w:hAnsi="仿宋" w:eastAsia="仿宋"/>
          <w:color w:val="000000"/>
          <w:sz w:val="32"/>
          <w:szCs w:val="32"/>
        </w:rPr>
      </w:pPr>
      <w:r>
        <w:rPr>
          <w:rFonts w:hint="eastAsia" w:ascii="仿宋" w:hAnsi="仿宋" w:eastAsia="仿宋"/>
          <w:sz w:val="32"/>
          <w:szCs w:val="32"/>
        </w:rPr>
        <w:t>我院属审判机关，主要负责案件审判工作，</w:t>
      </w:r>
      <w:r>
        <w:rPr>
          <w:rFonts w:hint="eastAsia" w:ascii="仿宋" w:hAnsi="仿宋" w:eastAsia="仿宋"/>
          <w:bCs/>
          <w:color w:val="000000"/>
          <w:sz w:val="32"/>
          <w:szCs w:val="32"/>
        </w:rPr>
        <w:t>主要职责是：</w:t>
      </w:r>
      <w:r>
        <w:rPr>
          <w:rFonts w:hint="eastAsia" w:ascii="仿宋" w:hAnsi="仿宋" w:eastAsia="仿宋"/>
          <w:sz w:val="32"/>
          <w:szCs w:val="32"/>
        </w:rPr>
        <w:t>（一）审判法律规定、上级人民法院指定由县法院管辖以及县法院认为应当由自己审判的刑事、民事、行政等第一审案件。（二）审查处理不服本院判决各类申诉案。（三）监督指导人民法庭的审判工作。（四）依法行使司法执行权和司法决定权。（五）管理协调本院的审</w:t>
      </w:r>
      <w:r>
        <w:rPr>
          <w:rFonts w:hint="eastAsia" w:ascii="仿宋" w:hAnsi="仿宋" w:eastAsia="仿宋"/>
          <w:color w:val="000000"/>
          <w:sz w:val="32"/>
          <w:szCs w:val="32"/>
        </w:rPr>
        <w:t>判和执行工作。（六）负责全院思想政治、教育培训工作，按照权限管理法官和其他人员，主管本院的监察工作；领导院直属单位和群团工作。（七）管理本法院的有关经费和物资装备。（八）结合审判工作宣传法制，教育公民遵守宪法和法律。（九）承办其他应由本院负责的工作。（十）派出机构及职责。派出法庭有四个，分别是红格法庭、渔门法庭、共和法庭、永兴法庭，依法审理和执行辖区内一般的民事案件、指导人民调解委员会工作及办</w:t>
      </w:r>
      <w:r>
        <w:rPr>
          <w:rFonts w:hint="eastAsia" w:ascii="仿宋" w:hAnsi="仿宋" w:eastAsia="仿宋"/>
          <w:sz w:val="32"/>
          <w:szCs w:val="32"/>
        </w:rPr>
        <w:t>理法庭审判工作有关的其他事项</w:t>
      </w:r>
      <w:r>
        <w:rPr>
          <w:rFonts w:hint="eastAsia" w:ascii="仿宋" w:hAnsi="仿宋" w:eastAsia="仿宋"/>
          <w:color w:val="000000"/>
          <w:sz w:val="32"/>
          <w:szCs w:val="32"/>
        </w:rPr>
        <w:t>。</w:t>
      </w:r>
    </w:p>
    <w:p/>
    <w:p>
      <w:pPr>
        <w:pStyle w:val="4"/>
        <w:rPr>
          <w:rStyle w:val="29"/>
          <w:b w:val="0"/>
          <w:bCs w:val="0"/>
        </w:rPr>
      </w:pPr>
      <w:bookmarkStart w:id="14" w:name="_Toc15377200"/>
      <w:bookmarkStart w:id="15" w:name="_Toc15396601"/>
      <w:r>
        <w:rPr>
          <w:rFonts w:hint="eastAsia" w:ascii="黑体" w:eastAsia="黑体"/>
          <w:b w:val="0"/>
        </w:rPr>
        <w:t>二、</w:t>
      </w:r>
      <w:r>
        <w:rPr>
          <w:rFonts w:hint="eastAsia" w:ascii="黑体" w:hAnsi="黑体" w:eastAsia="黑体"/>
          <w:b w:val="0"/>
        </w:rPr>
        <w:t>机</w:t>
      </w:r>
      <w:r>
        <w:rPr>
          <w:rStyle w:val="29"/>
          <w:rFonts w:hint="eastAsia" w:ascii="黑体" w:hAnsi="黑体" w:eastAsia="黑体"/>
          <w:b w:val="0"/>
          <w:bCs w:val="0"/>
        </w:rPr>
        <w:t>构设置</w:t>
      </w:r>
      <w:bookmarkEnd w:id="14"/>
      <w:bookmarkEnd w:id="15"/>
    </w:p>
    <w:p>
      <w:pPr>
        <w:spacing w:line="600" w:lineRule="exact"/>
        <w:ind w:firstLine="640" w:firstLineChars="200"/>
        <w:rPr>
          <w:rFonts w:ascii="仿宋" w:hAnsi="仿宋" w:eastAsia="仿宋"/>
          <w:kern w:val="0"/>
          <w:sz w:val="32"/>
          <w:szCs w:val="32"/>
        </w:rPr>
      </w:pPr>
      <w:r>
        <w:rPr>
          <w:rFonts w:hint="eastAsia" w:ascii="仿宋" w:hAnsi="仿宋" w:eastAsia="仿宋"/>
          <w:kern w:val="0"/>
          <w:sz w:val="32"/>
          <w:szCs w:val="32"/>
        </w:rPr>
        <w:t>盐边县人民法院下属二级预算单位0个，其中行政单位0个，参照公务员法管理的事业单位0个，其他事业单位0个。</w:t>
      </w:r>
      <w:r>
        <w:rPr>
          <w:rFonts w:hint="eastAsia" w:ascii="仿宋" w:hAnsi="仿宋" w:eastAsia="仿宋"/>
          <w:kern w:val="0"/>
          <w:sz w:val="32"/>
          <w:szCs w:val="32"/>
        </w:rPr>
        <w:br w:type="page"/>
      </w:r>
    </w:p>
    <w:p>
      <w:pPr>
        <w:pStyle w:val="3"/>
        <w:ind w:right="440"/>
        <w:jc w:val="center"/>
        <w:rPr>
          <w:rStyle w:val="28"/>
          <w:rFonts w:ascii="黑体" w:hAnsi="黑体" w:eastAsia="黑体"/>
          <w:b w:val="0"/>
          <w:bCs/>
        </w:rPr>
      </w:pPr>
      <w:bookmarkStart w:id="16" w:name="_Toc15396602"/>
      <w:bookmarkStart w:id="17" w:name="_Toc15377204"/>
      <w:r>
        <w:rPr>
          <w:rFonts w:hint="eastAsia" w:ascii="黑体" w:hAnsi="黑体" w:eastAsia="黑体"/>
          <w:b w:val="0"/>
        </w:rPr>
        <w:t>第二部分 2022年度</w:t>
      </w:r>
      <w:r>
        <w:rPr>
          <w:rStyle w:val="28"/>
          <w:rFonts w:hint="eastAsia" w:ascii="黑体" w:hAnsi="黑体" w:eastAsia="黑体"/>
          <w:b w:val="0"/>
          <w:bCs/>
        </w:rPr>
        <w:t>部门决算情况说明</w:t>
      </w:r>
      <w:bookmarkEnd w:id="16"/>
      <w:bookmarkEnd w:id="17"/>
    </w:p>
    <w:p/>
    <w:p>
      <w:pPr>
        <w:pStyle w:val="27"/>
        <w:numPr>
          <w:ilvl w:val="0"/>
          <w:numId w:val="2"/>
        </w:numPr>
        <w:spacing w:line="600" w:lineRule="exact"/>
        <w:ind w:firstLineChars="0"/>
        <w:outlineLvl w:val="1"/>
        <w:rPr>
          <w:rStyle w:val="29"/>
          <w:rFonts w:ascii="黑体" w:hAnsi="黑体" w:eastAsia="黑体"/>
          <w:b w:val="0"/>
        </w:rPr>
      </w:pPr>
      <w:bookmarkStart w:id="18" w:name="_Toc15396603"/>
      <w:bookmarkStart w:id="19" w:name="_Toc15377205"/>
      <w:r>
        <w:rPr>
          <w:rFonts w:hint="eastAsia" w:ascii="黑体" w:hAnsi="黑体" w:eastAsia="黑体"/>
          <w:sz w:val="32"/>
          <w:szCs w:val="32"/>
        </w:rPr>
        <w:t>收</w:t>
      </w:r>
      <w:r>
        <w:rPr>
          <w:rStyle w:val="29"/>
          <w:rFonts w:hint="eastAsia" w:ascii="黑体" w:hAnsi="黑体" w:eastAsia="黑体"/>
          <w:b w:val="0"/>
        </w:rPr>
        <w:t>入支出决算总体情况说明</w:t>
      </w:r>
      <w:bookmarkEnd w:id="18"/>
      <w:bookmarkEnd w:id="19"/>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2022年度收、支总计2170.15万元。与2021年相比，收、支总计减少532.05万元，下降19.69%。主要变动原因是2022年在建工程项目减少，5月财务统管，上划市级财政，相关费用支出减少。</w:t>
      </w:r>
    </w:p>
    <w:p>
      <w:pPr>
        <w:spacing w:line="600" w:lineRule="exact"/>
        <w:jc w:val="center"/>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Pr>
        <w:pStyle w:val="2"/>
        <w:spacing w:before="93"/>
      </w:pPr>
      <w:r>
        <w:rPr>
          <w:rFonts w:hint="eastAsia"/>
        </w:rPr>
        <w:drawing>
          <wp:inline distT="0" distB="0" distL="114300" distR="114300">
            <wp:extent cx="4699000" cy="2734310"/>
            <wp:effectExtent l="4445" t="4445" r="20955" b="2349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pacing w:line="600" w:lineRule="exact"/>
        <w:ind w:firstLine="640" w:firstLineChars="200"/>
        <w:jc w:val="left"/>
        <w:rPr>
          <w:rFonts w:ascii="仿宋_GB2312" w:eastAsia="仿宋_GB2312"/>
          <w:sz w:val="32"/>
          <w:szCs w:val="32"/>
        </w:rPr>
      </w:pPr>
    </w:p>
    <w:p>
      <w:pPr>
        <w:pStyle w:val="27"/>
        <w:numPr>
          <w:ilvl w:val="0"/>
          <w:numId w:val="2"/>
        </w:numPr>
        <w:spacing w:line="600" w:lineRule="exact"/>
        <w:ind w:firstLineChars="0"/>
        <w:outlineLvl w:val="1"/>
        <w:rPr>
          <w:rStyle w:val="29"/>
          <w:rFonts w:ascii="黑体" w:hAnsi="黑体" w:eastAsia="黑体"/>
          <w:b w:val="0"/>
        </w:rPr>
      </w:pPr>
      <w:bookmarkStart w:id="20" w:name="_Toc15396604"/>
      <w:bookmarkStart w:id="21" w:name="_Toc15377206"/>
      <w:r>
        <w:rPr>
          <w:rFonts w:hint="eastAsia" w:ascii="黑体" w:hAnsi="黑体" w:eastAsia="黑体"/>
          <w:sz w:val="32"/>
          <w:szCs w:val="32"/>
        </w:rPr>
        <w:t>收</w:t>
      </w:r>
      <w:r>
        <w:rPr>
          <w:rStyle w:val="29"/>
          <w:rFonts w:hint="eastAsia" w:ascii="黑体" w:hAnsi="黑体" w:eastAsia="黑体"/>
          <w:b w:val="0"/>
        </w:rPr>
        <w:t>入决算情况说明</w:t>
      </w:r>
      <w:bookmarkEnd w:id="20"/>
      <w:bookmarkEnd w:id="21"/>
    </w:p>
    <w:p>
      <w:pPr>
        <w:spacing w:line="600" w:lineRule="exact"/>
        <w:ind w:firstLine="640" w:firstLineChars="200"/>
        <w:outlineLvl w:val="1"/>
        <w:rPr>
          <w:rFonts w:ascii="仿宋" w:hAnsi="仿宋" w:eastAsia="仿宋"/>
          <w:sz w:val="32"/>
          <w:szCs w:val="32"/>
        </w:rPr>
      </w:pPr>
      <w:r>
        <w:rPr>
          <w:rFonts w:hint="eastAsia" w:ascii="仿宋" w:hAnsi="仿宋" w:eastAsia="仿宋"/>
          <w:kern w:val="0"/>
          <w:sz w:val="32"/>
          <w:szCs w:val="32"/>
        </w:rPr>
        <w:t>2022年本年收入合计1473.18万元，其中：一般公共预算财政拨款收入292.04万元，占19.82%；政府性基金预算财政拨款收入0万元，占0%；国有资本经营预算财政拨款收入0万元，占0%；上级补助收入0万元，占0%；事业收入0万元，占0%；经营收入0万元，占0%；附属单位上缴收入0万元，占0%；其他收入1181.14万元，占80.18%。</w:t>
      </w:r>
    </w:p>
    <w:p>
      <w:pPr>
        <w:spacing w:line="600" w:lineRule="exact"/>
        <w:jc w:val="center"/>
        <w:rPr>
          <w:rFonts w:ascii="仿宋" w:hAnsi="仿宋" w:eastAsia="仿宋"/>
          <w:sz w:val="32"/>
          <w:szCs w:val="32"/>
        </w:rPr>
      </w:pPr>
      <w:r>
        <w:rPr>
          <w:rFonts w:hint="eastAsia" w:ascii="仿宋" w:hAnsi="仿宋" w:eastAsia="仿宋"/>
          <w:sz w:val="32"/>
          <w:szCs w:val="32"/>
        </w:rPr>
        <w:t>图2：收入决算结构图</w:t>
      </w:r>
    </w:p>
    <w:p>
      <w:pPr>
        <w:pStyle w:val="2"/>
        <w:spacing w:before="93"/>
        <w:rPr>
          <w:rFonts w:eastAsia="仿宋"/>
        </w:rPr>
      </w:pPr>
      <w:r>
        <w:rPr>
          <w:rFonts w:hint="eastAsia" w:eastAsia="仿宋"/>
        </w:rPr>
        <w:drawing>
          <wp:inline distT="0" distB="0" distL="114300" distR="114300">
            <wp:extent cx="4689475" cy="3286125"/>
            <wp:effectExtent l="47625" t="4445" r="63500" b="10033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600" w:lineRule="exact"/>
        <w:ind w:firstLine="640" w:firstLineChars="200"/>
        <w:rPr>
          <w:rFonts w:ascii="仿宋_GB2312" w:eastAsia="仿宋_GB2312"/>
          <w:sz w:val="32"/>
          <w:szCs w:val="32"/>
        </w:rPr>
      </w:pPr>
    </w:p>
    <w:p>
      <w:pPr>
        <w:pStyle w:val="27"/>
        <w:numPr>
          <w:ilvl w:val="0"/>
          <w:numId w:val="2"/>
        </w:numPr>
        <w:spacing w:line="600" w:lineRule="exact"/>
        <w:ind w:firstLineChars="0"/>
        <w:outlineLvl w:val="1"/>
        <w:rPr>
          <w:rStyle w:val="29"/>
          <w:rFonts w:ascii="黑体" w:hAnsi="黑体" w:eastAsia="黑体"/>
          <w:b w:val="0"/>
        </w:rPr>
      </w:pPr>
      <w:bookmarkStart w:id="22" w:name="_Toc15396605"/>
      <w:bookmarkStart w:id="23" w:name="_Toc15377207"/>
      <w:r>
        <w:rPr>
          <w:rFonts w:hint="eastAsia" w:ascii="黑体" w:hAnsi="黑体" w:eastAsia="黑体"/>
          <w:sz w:val="32"/>
          <w:szCs w:val="32"/>
        </w:rPr>
        <w:t>支</w:t>
      </w:r>
      <w:r>
        <w:rPr>
          <w:rStyle w:val="29"/>
          <w:rFonts w:hint="eastAsia" w:ascii="黑体" w:hAnsi="黑体" w:eastAsia="黑体"/>
          <w:b w:val="0"/>
        </w:rPr>
        <w:t>出决算情况说明</w:t>
      </w:r>
      <w:bookmarkEnd w:id="22"/>
      <w:bookmarkEnd w:id="23"/>
    </w:p>
    <w:p>
      <w:pPr>
        <w:spacing w:line="600" w:lineRule="exact"/>
        <w:ind w:firstLine="640" w:firstLineChars="200"/>
        <w:outlineLvl w:val="1"/>
        <w:rPr>
          <w:rFonts w:ascii="仿宋" w:hAnsi="仿宋" w:eastAsia="仿宋"/>
          <w:sz w:val="32"/>
          <w:szCs w:val="32"/>
        </w:rPr>
      </w:pPr>
      <w:r>
        <w:rPr>
          <w:rFonts w:hint="eastAsia" w:ascii="仿宋" w:hAnsi="仿宋" w:eastAsia="仿宋"/>
          <w:kern w:val="0"/>
          <w:sz w:val="32"/>
          <w:szCs w:val="32"/>
        </w:rPr>
        <w:t>2022年本年支出合计2170.15万元，其中：基本支出1779.91万元，占82.02%；项目支出390.24万元，占17.98%；上缴上级支出0万元，占0%；经营支出0万元，占0%；对附属单位补助支出0万元，占0%。</w:t>
      </w:r>
    </w:p>
    <w:p>
      <w:pPr>
        <w:spacing w:line="600" w:lineRule="exact"/>
        <w:jc w:val="center"/>
        <w:rPr>
          <w:rFonts w:ascii="仿宋" w:hAnsi="仿宋" w:eastAsia="仿宋"/>
          <w:sz w:val="32"/>
          <w:szCs w:val="32"/>
        </w:rPr>
      </w:pPr>
      <w:r>
        <w:rPr>
          <w:rFonts w:hint="eastAsia" w:ascii="仿宋" w:hAnsi="仿宋" w:eastAsia="仿宋"/>
          <w:sz w:val="32"/>
          <w:szCs w:val="32"/>
        </w:rPr>
        <w:t>图3：支出决算结构图</w:t>
      </w:r>
    </w:p>
    <w:p>
      <w:pPr>
        <w:pStyle w:val="2"/>
        <w:spacing w:before="93"/>
        <w:rPr>
          <w:rFonts w:eastAsia="仿宋"/>
        </w:rPr>
      </w:pPr>
      <w:r>
        <w:rPr>
          <w:rFonts w:hint="eastAsia" w:eastAsia="仿宋"/>
        </w:rPr>
        <w:drawing>
          <wp:inline distT="0" distB="0" distL="114300" distR="114300">
            <wp:extent cx="4280535" cy="2905760"/>
            <wp:effectExtent l="47625" t="9525" r="53340" b="9461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rPr>
          <w:rFonts w:ascii="仿宋_GB2312" w:eastAsia="仿宋_GB2312"/>
          <w:sz w:val="32"/>
          <w:szCs w:val="32"/>
        </w:rPr>
      </w:pPr>
    </w:p>
    <w:p>
      <w:pPr>
        <w:spacing w:line="600" w:lineRule="exact"/>
        <w:ind w:firstLine="640" w:firstLineChars="200"/>
        <w:outlineLvl w:val="1"/>
        <w:rPr>
          <w:rStyle w:val="29"/>
          <w:rFonts w:ascii="黑体" w:hAnsi="黑体" w:eastAsia="黑体"/>
          <w:b w:val="0"/>
        </w:rPr>
      </w:pPr>
      <w:bookmarkStart w:id="24" w:name="_Toc15377208"/>
      <w:bookmarkStart w:id="25" w:name="_Toc15396606"/>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24"/>
      <w:bookmarkEnd w:id="25"/>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2022年财政拨款收、支总计989.01万元。与2021年相比，财政拨款收、支总计减少1713.19万元，下降63.4%。主要变动原因是5月财务统管，上划市级财政，相关费用支出减少，一部分费用由县上支付，未纳入财政拨款收支核算。</w:t>
      </w:r>
    </w:p>
    <w:p>
      <w:pPr>
        <w:spacing w:line="600" w:lineRule="exact"/>
        <w:jc w:val="center"/>
        <w:rPr>
          <w:rFonts w:ascii="仿宋" w:hAnsi="仿宋" w:eastAsia="仿宋"/>
          <w:sz w:val="32"/>
          <w:szCs w:val="32"/>
        </w:rPr>
      </w:pPr>
      <w:r>
        <w:rPr>
          <w:rFonts w:hint="eastAsia" w:ascii="仿宋" w:hAnsi="仿宋" w:eastAsia="仿宋"/>
          <w:sz w:val="32"/>
          <w:szCs w:val="32"/>
        </w:rPr>
        <w:t>图4：财政拨款收、支决算总计变动情况</w:t>
      </w:r>
    </w:p>
    <w:p>
      <w:pPr>
        <w:pStyle w:val="2"/>
        <w:spacing w:before="93"/>
        <w:rPr>
          <w:rFonts w:eastAsia="仿宋"/>
        </w:rPr>
      </w:pPr>
      <w:r>
        <w:rPr>
          <w:rFonts w:hint="eastAsia" w:eastAsia="仿宋"/>
        </w:rPr>
        <w:drawing>
          <wp:inline distT="0" distB="0" distL="114300" distR="114300">
            <wp:extent cx="4565650" cy="2647950"/>
            <wp:effectExtent l="4445" t="4445" r="20955" b="1460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640"/>
        <w:rPr>
          <w:rFonts w:ascii="仿宋" w:hAnsi="仿宋" w:eastAsia="仿宋"/>
          <w:b/>
          <w:sz w:val="32"/>
          <w:szCs w:val="32"/>
        </w:rPr>
      </w:pPr>
    </w:p>
    <w:p>
      <w:pPr>
        <w:spacing w:line="600" w:lineRule="exact"/>
        <w:ind w:firstLine="640" w:firstLineChars="200"/>
        <w:outlineLvl w:val="1"/>
        <w:rPr>
          <w:rStyle w:val="29"/>
          <w:rFonts w:ascii="黑体" w:hAnsi="黑体" w:eastAsia="黑体"/>
          <w:b w:val="0"/>
        </w:rPr>
      </w:pPr>
      <w:bookmarkStart w:id="26" w:name="_Toc15396607"/>
      <w:bookmarkStart w:id="27" w:name="_Toc15377209"/>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26"/>
      <w:bookmarkEnd w:id="27"/>
    </w:p>
    <w:p>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pPr>
        <w:spacing w:line="600" w:lineRule="exact"/>
        <w:ind w:firstLine="640"/>
        <w:rPr>
          <w:rFonts w:ascii="仿宋" w:hAnsi="仿宋" w:eastAsia="仿宋"/>
          <w:sz w:val="32"/>
          <w:szCs w:val="32"/>
        </w:rPr>
      </w:pPr>
      <w:r>
        <w:rPr>
          <w:rFonts w:hint="eastAsia" w:ascii="仿宋" w:hAnsi="仿宋" w:eastAsia="仿宋"/>
          <w:kern w:val="0"/>
          <w:sz w:val="32"/>
          <w:szCs w:val="32"/>
        </w:rPr>
        <w:t>2022年一般公共预算财政拨款支出989.01万元，占本年支出合计的45.57%。与2021年相比，一般公共预算财政拨款支出减少1713.19万元，下降63.4%。。主要变动原因是5月财务统管，上划市级财政，相关费用支出减少，一部分费用由县上支付，未纳入财政拨款收支核算。</w:t>
      </w:r>
    </w:p>
    <w:p>
      <w:pPr>
        <w:spacing w:line="600" w:lineRule="exact"/>
        <w:jc w:val="center"/>
        <w:rPr>
          <w:rFonts w:ascii="仿宋" w:hAnsi="仿宋" w:eastAsia="仿宋"/>
          <w:sz w:val="32"/>
          <w:szCs w:val="32"/>
        </w:rPr>
      </w:pPr>
      <w:r>
        <w:rPr>
          <w:rFonts w:hint="eastAsia" w:ascii="仿宋" w:hAnsi="仿宋" w:eastAsia="仿宋"/>
          <w:sz w:val="32"/>
          <w:szCs w:val="32"/>
        </w:rPr>
        <w:t>图5：一般公共预算财政拨款支出决算变动情况</w:t>
      </w:r>
    </w:p>
    <w:p>
      <w:pPr>
        <w:pStyle w:val="2"/>
        <w:spacing w:before="93"/>
        <w:rPr>
          <w:rFonts w:eastAsia="仿宋"/>
        </w:rPr>
      </w:pPr>
      <w:r>
        <w:rPr>
          <w:rFonts w:hint="eastAsia" w:eastAsia="仿宋"/>
        </w:rPr>
        <w:drawing>
          <wp:inline distT="0" distB="0" distL="114300" distR="114300">
            <wp:extent cx="4423410" cy="2610485"/>
            <wp:effectExtent l="4445" t="5080" r="10795" b="1333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2022年一般公共预算财政拨款支出989.01万元，主要用于以下方面:</w:t>
      </w:r>
      <w:r>
        <w:rPr>
          <w:rFonts w:hint="eastAsia" w:ascii="仿宋" w:hAnsi="仿宋" w:eastAsia="仿宋"/>
          <w:b/>
          <w:bCs/>
          <w:sz w:val="32"/>
          <w:szCs w:val="32"/>
        </w:rPr>
        <w:t>公共安全支出</w:t>
      </w:r>
      <w:r>
        <w:rPr>
          <w:rFonts w:hint="eastAsia" w:ascii="仿宋" w:hAnsi="仿宋" w:eastAsia="仿宋"/>
          <w:sz w:val="32"/>
          <w:szCs w:val="32"/>
        </w:rPr>
        <w:t>799.64万元；占80.85%；</w:t>
      </w:r>
      <w:r>
        <w:rPr>
          <w:rFonts w:hint="eastAsia" w:ascii="仿宋" w:hAnsi="仿宋" w:eastAsia="仿宋"/>
          <w:b/>
          <w:bCs/>
          <w:sz w:val="32"/>
          <w:szCs w:val="32"/>
        </w:rPr>
        <w:t>社会保障和就业支出</w:t>
      </w:r>
      <w:r>
        <w:rPr>
          <w:rFonts w:hint="eastAsia" w:ascii="仿宋" w:hAnsi="仿宋" w:eastAsia="仿宋"/>
          <w:sz w:val="32"/>
          <w:szCs w:val="32"/>
        </w:rPr>
        <w:t>70.43万元，占7.12%；</w:t>
      </w:r>
      <w:r>
        <w:rPr>
          <w:rFonts w:hint="eastAsia" w:ascii="仿宋" w:hAnsi="仿宋" w:eastAsia="仿宋"/>
          <w:b/>
          <w:bCs/>
          <w:sz w:val="32"/>
          <w:szCs w:val="32"/>
        </w:rPr>
        <w:t>卫生健康支出</w:t>
      </w:r>
      <w:r>
        <w:rPr>
          <w:rFonts w:hint="eastAsia" w:ascii="仿宋" w:hAnsi="仿宋" w:eastAsia="仿宋"/>
          <w:sz w:val="32"/>
          <w:szCs w:val="32"/>
        </w:rPr>
        <w:t>48.26万元，占4.88%；</w:t>
      </w:r>
      <w:r>
        <w:rPr>
          <w:rFonts w:hint="eastAsia" w:ascii="仿宋" w:hAnsi="仿宋" w:eastAsia="仿宋"/>
          <w:b/>
          <w:bCs/>
          <w:sz w:val="32"/>
          <w:szCs w:val="32"/>
        </w:rPr>
        <w:t>住房保障支出</w:t>
      </w:r>
      <w:r>
        <w:rPr>
          <w:rFonts w:hint="eastAsia" w:ascii="仿宋" w:hAnsi="仿宋" w:eastAsia="仿宋"/>
          <w:sz w:val="32"/>
          <w:szCs w:val="32"/>
        </w:rPr>
        <w:t>70.68万元，占7.15%。</w:t>
      </w:r>
    </w:p>
    <w:p>
      <w:pPr>
        <w:spacing w:line="600" w:lineRule="exact"/>
        <w:ind w:firstLine="640"/>
        <w:rPr>
          <w:rFonts w:ascii="仿宋" w:hAnsi="仿宋" w:eastAsia="仿宋"/>
          <w:sz w:val="32"/>
          <w:szCs w:val="32"/>
        </w:rPr>
      </w:pPr>
    </w:p>
    <w:p>
      <w:pPr>
        <w:spacing w:line="600" w:lineRule="exact"/>
        <w:jc w:val="center"/>
        <w:rPr>
          <w:rFonts w:ascii="仿宋" w:hAnsi="仿宋" w:eastAsia="仿宋"/>
          <w:sz w:val="32"/>
          <w:szCs w:val="32"/>
        </w:rPr>
      </w:pPr>
      <w:r>
        <w:rPr>
          <w:rFonts w:hint="eastAsia" w:ascii="仿宋" w:hAnsi="仿宋" w:eastAsia="仿宋"/>
          <w:sz w:val="32"/>
          <w:szCs w:val="32"/>
        </w:rPr>
        <w:t>图6：一般公共预算财政拨款支出决算结构</w:t>
      </w:r>
    </w:p>
    <w:p>
      <w:pPr>
        <w:pStyle w:val="2"/>
        <w:spacing w:before="93"/>
        <w:rPr>
          <w:rFonts w:eastAsia="仿宋"/>
        </w:rPr>
      </w:pPr>
      <w:r>
        <w:rPr>
          <w:rFonts w:hint="eastAsia" w:eastAsia="仿宋"/>
        </w:rPr>
        <w:drawing>
          <wp:inline distT="0" distB="0" distL="114300" distR="114300">
            <wp:extent cx="4756150" cy="2734310"/>
            <wp:effectExtent l="47625" t="9525" r="53975" b="9461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pPr>
        <w:spacing w:line="560" w:lineRule="exact"/>
        <w:ind w:firstLine="643" w:firstLineChars="200"/>
        <w:outlineLvl w:val="2"/>
        <w:rPr>
          <w:rFonts w:ascii="仿宋" w:hAnsi="仿宋" w:eastAsia="仿宋"/>
          <w:sz w:val="32"/>
          <w:szCs w:val="32"/>
        </w:rPr>
      </w:pPr>
      <w:bookmarkStart w:id="31" w:name="_Toc15377213"/>
      <w:bookmarkStart w:id="32" w:name="_Toc15377444"/>
      <w:bookmarkStart w:id="33" w:name="_Toc15378460"/>
      <w:r>
        <w:rPr>
          <w:rFonts w:hint="eastAsia" w:ascii="仿宋" w:hAnsi="仿宋" w:eastAsia="仿宋"/>
          <w:b/>
          <w:sz w:val="32"/>
          <w:szCs w:val="32"/>
        </w:rPr>
        <w:t>2022年一般公共预算支出决算数为989.01</w:t>
      </w:r>
      <w:r>
        <w:rPr>
          <w:rFonts w:hint="eastAsia" w:ascii="仿宋" w:hAnsi="仿宋" w:eastAsia="仿宋"/>
          <w:sz w:val="32"/>
          <w:szCs w:val="32"/>
        </w:rPr>
        <w:t>，</w:t>
      </w:r>
      <w:r>
        <w:rPr>
          <w:rStyle w:val="16"/>
          <w:rFonts w:hint="eastAsia" w:ascii="仿宋" w:hAnsi="仿宋" w:eastAsia="仿宋"/>
          <w:bCs/>
          <w:sz w:val="32"/>
          <w:szCs w:val="32"/>
        </w:rPr>
        <w:t>完成预算100</w:t>
      </w:r>
      <w:r>
        <w:rPr>
          <w:rStyle w:val="16"/>
          <w:rFonts w:ascii="仿宋" w:hAnsi="仿宋" w:eastAsia="仿宋"/>
          <w:bCs/>
          <w:sz w:val="32"/>
          <w:szCs w:val="32"/>
        </w:rPr>
        <w:t>%</w:t>
      </w:r>
      <w:r>
        <w:rPr>
          <w:rStyle w:val="16"/>
          <w:rFonts w:hint="eastAsia" w:ascii="仿宋" w:hAnsi="仿宋" w:eastAsia="仿宋"/>
          <w:bCs/>
          <w:sz w:val="32"/>
          <w:szCs w:val="32"/>
        </w:rPr>
        <w:t>。其中：</w:t>
      </w:r>
      <w:bookmarkEnd w:id="31"/>
      <w:bookmarkEnd w:id="32"/>
      <w:bookmarkEnd w:id="33"/>
    </w:p>
    <w:p>
      <w:pPr>
        <w:spacing w:line="560" w:lineRule="exact"/>
        <w:ind w:firstLine="643" w:firstLineChars="200"/>
        <w:rPr>
          <w:rFonts w:ascii="仿宋" w:hAnsi="仿宋" w:eastAsia="仿宋"/>
          <w:b/>
          <w:sz w:val="32"/>
          <w:szCs w:val="32"/>
        </w:rPr>
      </w:pPr>
      <w:r>
        <w:rPr>
          <w:rStyle w:val="16"/>
          <w:rFonts w:ascii="仿宋" w:hAnsi="仿宋" w:eastAsia="仿宋"/>
          <w:bCs/>
          <w:sz w:val="32"/>
          <w:szCs w:val="32"/>
        </w:rPr>
        <w:t>1.</w:t>
      </w:r>
      <w:r>
        <w:rPr>
          <w:rStyle w:val="16"/>
          <w:rFonts w:hint="eastAsia" w:ascii="仿宋" w:hAnsi="仿宋" w:eastAsia="仿宋"/>
          <w:bCs/>
          <w:sz w:val="32"/>
          <w:szCs w:val="32"/>
        </w:rPr>
        <w:t>公共安全（类）法院（款）行政运行（项）</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16"/>
          <w:rFonts w:hint="eastAsia" w:ascii="仿宋" w:hAnsi="仿宋" w:eastAsia="仿宋"/>
          <w:b w:val="0"/>
          <w:bCs/>
          <w:sz w:val="32"/>
          <w:szCs w:val="32"/>
        </w:rPr>
        <w:t>支出决算为727.8万元，完成预算100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，决算数等于预算数。</w:t>
      </w:r>
    </w:p>
    <w:p>
      <w:pPr>
        <w:spacing w:line="560" w:lineRule="exact"/>
        <w:ind w:firstLine="643" w:firstLineChars="200"/>
        <w:rPr>
          <w:rFonts w:ascii="仿宋" w:hAnsi="仿宋" w:eastAsia="仿宋"/>
          <w:b/>
          <w:sz w:val="32"/>
          <w:szCs w:val="32"/>
        </w:rPr>
      </w:pPr>
      <w:r>
        <w:rPr>
          <w:rStyle w:val="16"/>
          <w:rFonts w:ascii="仿宋" w:hAnsi="仿宋" w:eastAsia="仿宋"/>
          <w:bCs/>
          <w:sz w:val="32"/>
          <w:szCs w:val="32"/>
        </w:rPr>
        <w:t>2.</w:t>
      </w:r>
      <w:r>
        <w:rPr>
          <w:rStyle w:val="16"/>
          <w:rFonts w:hint="eastAsia" w:ascii="仿宋" w:hAnsi="仿宋" w:eastAsia="仿宋"/>
          <w:bCs/>
          <w:sz w:val="32"/>
          <w:szCs w:val="32"/>
        </w:rPr>
        <w:t>公共安全（类）法院（款）一般行政管理事务（项）</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16"/>
          <w:rFonts w:hint="eastAsia" w:ascii="仿宋" w:hAnsi="仿宋" w:eastAsia="仿宋"/>
          <w:b w:val="0"/>
          <w:bCs/>
          <w:sz w:val="32"/>
          <w:szCs w:val="32"/>
        </w:rPr>
        <w:t>支出决算为71.84万元，完成预算100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，决算数等于预算数。</w:t>
      </w:r>
    </w:p>
    <w:p>
      <w:pPr>
        <w:spacing w:line="560" w:lineRule="exact"/>
        <w:ind w:firstLine="643" w:firstLineChars="200"/>
        <w:rPr>
          <w:rStyle w:val="16"/>
          <w:rFonts w:ascii="仿宋" w:hAnsi="仿宋" w:eastAsia="仿宋"/>
          <w:b w:val="0"/>
          <w:bCs/>
          <w:sz w:val="32"/>
          <w:szCs w:val="32"/>
        </w:rPr>
      </w:pPr>
      <w:r>
        <w:rPr>
          <w:rStyle w:val="16"/>
          <w:rFonts w:hint="eastAsia" w:ascii="仿宋" w:hAnsi="仿宋" w:eastAsia="仿宋"/>
          <w:bCs/>
          <w:sz w:val="32"/>
          <w:szCs w:val="32"/>
        </w:rPr>
        <w:t>3</w:t>
      </w:r>
      <w:r>
        <w:rPr>
          <w:rStyle w:val="16"/>
          <w:rFonts w:ascii="仿宋" w:hAnsi="仿宋" w:eastAsia="仿宋"/>
          <w:bCs/>
          <w:sz w:val="32"/>
          <w:szCs w:val="32"/>
        </w:rPr>
        <w:t>.</w:t>
      </w:r>
      <w:r>
        <w:rPr>
          <w:rStyle w:val="16"/>
          <w:rFonts w:hint="eastAsia" w:ascii="仿宋" w:hAnsi="仿宋" w:eastAsia="仿宋"/>
          <w:bCs/>
          <w:sz w:val="32"/>
          <w:szCs w:val="32"/>
        </w:rPr>
        <w:t>社会保障和就业（类）行政事业单位养老（款）机关事业单位基本养老保险缴费（项）</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16"/>
          <w:rFonts w:hint="eastAsia" w:ascii="仿宋" w:hAnsi="仿宋" w:eastAsia="仿宋"/>
          <w:b w:val="0"/>
          <w:bCs/>
          <w:sz w:val="32"/>
          <w:szCs w:val="32"/>
        </w:rPr>
        <w:t>支出决算为58.60万元，完成预算100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，决算数等于预算数。</w:t>
      </w:r>
    </w:p>
    <w:p>
      <w:pPr>
        <w:pStyle w:val="2"/>
        <w:spacing w:before="93" w:line="560" w:lineRule="exact"/>
        <w:ind w:firstLine="643" w:firstLineChars="200"/>
      </w:pPr>
      <w:r>
        <w:rPr>
          <w:rStyle w:val="16"/>
          <w:rFonts w:hint="eastAsia" w:ascii="仿宋" w:hAnsi="仿宋" w:eastAsia="仿宋"/>
          <w:bCs/>
          <w:sz w:val="32"/>
          <w:szCs w:val="32"/>
        </w:rPr>
        <w:t>4</w:t>
      </w:r>
      <w:r>
        <w:rPr>
          <w:rStyle w:val="16"/>
          <w:rFonts w:ascii="仿宋" w:hAnsi="仿宋" w:eastAsia="仿宋"/>
          <w:bCs/>
          <w:sz w:val="32"/>
          <w:szCs w:val="32"/>
        </w:rPr>
        <w:t>.</w:t>
      </w:r>
      <w:r>
        <w:rPr>
          <w:rStyle w:val="16"/>
          <w:rFonts w:hint="eastAsia" w:ascii="仿宋" w:hAnsi="仿宋" w:eastAsia="仿宋"/>
          <w:bCs/>
          <w:sz w:val="32"/>
          <w:szCs w:val="32"/>
        </w:rPr>
        <w:t>社会保障和就业（类）行政事业单位养老（款）机关事业单位职业年金缴费支出（项）</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16"/>
          <w:rFonts w:hint="eastAsia" w:ascii="仿宋" w:hAnsi="仿宋" w:eastAsia="仿宋"/>
          <w:b w:val="0"/>
          <w:bCs/>
          <w:sz w:val="32"/>
          <w:szCs w:val="32"/>
        </w:rPr>
        <w:t>支出决算为11.83万元，完成预算100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，决算数等于预算数。</w:t>
      </w:r>
    </w:p>
    <w:p>
      <w:pPr>
        <w:spacing w:line="560" w:lineRule="exact"/>
        <w:ind w:firstLine="643" w:firstLineChars="200"/>
        <w:rPr>
          <w:rStyle w:val="16"/>
          <w:rFonts w:ascii="仿宋" w:hAnsi="仿宋" w:eastAsia="仿宋"/>
          <w:b w:val="0"/>
          <w:bCs/>
          <w:sz w:val="32"/>
          <w:szCs w:val="32"/>
        </w:rPr>
      </w:pPr>
      <w:r>
        <w:rPr>
          <w:rStyle w:val="16"/>
          <w:rFonts w:hint="eastAsia" w:ascii="仿宋" w:hAnsi="仿宋" w:eastAsia="仿宋"/>
          <w:bCs/>
          <w:sz w:val="32"/>
          <w:szCs w:val="32"/>
        </w:rPr>
        <w:t>5</w:t>
      </w:r>
      <w:r>
        <w:rPr>
          <w:rStyle w:val="16"/>
          <w:rFonts w:ascii="仿宋" w:hAnsi="仿宋" w:eastAsia="仿宋"/>
          <w:bCs/>
          <w:sz w:val="32"/>
          <w:szCs w:val="32"/>
        </w:rPr>
        <w:t>.</w:t>
      </w:r>
      <w:r>
        <w:rPr>
          <w:rFonts w:hint="eastAsia" w:ascii="仿宋" w:hAnsi="仿宋" w:eastAsia="仿宋"/>
          <w:b/>
          <w:bCs/>
          <w:sz w:val="32"/>
          <w:szCs w:val="32"/>
        </w:rPr>
        <w:t>卫生健康</w:t>
      </w:r>
      <w:r>
        <w:rPr>
          <w:rStyle w:val="16"/>
          <w:rFonts w:hint="eastAsia" w:ascii="仿宋" w:hAnsi="仿宋" w:eastAsia="仿宋"/>
          <w:bCs/>
          <w:sz w:val="32"/>
          <w:szCs w:val="32"/>
        </w:rPr>
        <w:t>（类）行政事业单位医疗（款）行政单位医疗（项）</w:t>
      </w:r>
      <w:r>
        <w:rPr>
          <w:rStyle w:val="16"/>
          <w:rFonts w:ascii="仿宋" w:hAnsi="仿宋" w:eastAsia="仿宋"/>
          <w:bCs/>
          <w:sz w:val="32"/>
          <w:szCs w:val="32"/>
        </w:rPr>
        <w:t>:</w:t>
      </w:r>
      <w:r>
        <w:rPr>
          <w:rStyle w:val="16"/>
          <w:rFonts w:hint="eastAsia" w:ascii="仿宋" w:hAnsi="仿宋" w:eastAsia="仿宋"/>
          <w:b w:val="0"/>
          <w:bCs/>
          <w:sz w:val="32"/>
          <w:szCs w:val="32"/>
        </w:rPr>
        <w:t>支出决算为43.68万元，完成预算100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，决算数等于预算数。</w:t>
      </w:r>
    </w:p>
    <w:p>
      <w:pPr>
        <w:spacing w:line="560" w:lineRule="exact"/>
        <w:ind w:firstLine="643" w:firstLineChars="200"/>
        <w:rPr>
          <w:rStyle w:val="16"/>
          <w:rFonts w:ascii="仿宋" w:hAnsi="仿宋" w:eastAsia="仿宋"/>
          <w:b w:val="0"/>
          <w:bCs/>
          <w:sz w:val="32"/>
          <w:szCs w:val="32"/>
        </w:rPr>
      </w:pPr>
      <w:r>
        <w:rPr>
          <w:rStyle w:val="16"/>
          <w:rFonts w:hint="eastAsia" w:ascii="仿宋" w:hAnsi="仿宋" w:eastAsia="仿宋"/>
          <w:bCs/>
          <w:sz w:val="32"/>
          <w:szCs w:val="32"/>
        </w:rPr>
        <w:t>6</w:t>
      </w:r>
      <w:r>
        <w:rPr>
          <w:rStyle w:val="16"/>
          <w:rFonts w:ascii="仿宋" w:hAnsi="仿宋" w:eastAsia="仿宋"/>
          <w:bCs/>
          <w:sz w:val="32"/>
          <w:szCs w:val="32"/>
        </w:rPr>
        <w:t>.</w:t>
      </w:r>
      <w:r>
        <w:rPr>
          <w:rFonts w:hint="eastAsia" w:ascii="仿宋" w:hAnsi="仿宋" w:eastAsia="仿宋"/>
          <w:b/>
          <w:bCs/>
          <w:sz w:val="32"/>
          <w:szCs w:val="32"/>
        </w:rPr>
        <w:t>卫生健康</w:t>
      </w:r>
      <w:r>
        <w:rPr>
          <w:rStyle w:val="16"/>
          <w:rFonts w:hint="eastAsia" w:ascii="仿宋" w:hAnsi="仿宋" w:eastAsia="仿宋"/>
          <w:bCs/>
          <w:sz w:val="32"/>
          <w:szCs w:val="32"/>
        </w:rPr>
        <w:t>（类）行政事业单位医疗（款）公务员医疗补助（项）</w:t>
      </w:r>
      <w:r>
        <w:rPr>
          <w:rStyle w:val="16"/>
          <w:rFonts w:ascii="仿宋" w:hAnsi="仿宋" w:eastAsia="仿宋"/>
          <w:bCs/>
          <w:sz w:val="32"/>
          <w:szCs w:val="32"/>
        </w:rPr>
        <w:t>:</w:t>
      </w:r>
      <w:r>
        <w:rPr>
          <w:rStyle w:val="16"/>
          <w:rFonts w:hint="eastAsia" w:ascii="仿宋" w:hAnsi="仿宋" w:eastAsia="仿宋"/>
          <w:b w:val="0"/>
          <w:bCs/>
          <w:sz w:val="32"/>
          <w:szCs w:val="32"/>
        </w:rPr>
        <w:t>支出决算为4.58万元，完成预算100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，决算数等于预算数。</w:t>
      </w:r>
    </w:p>
    <w:p>
      <w:pPr>
        <w:spacing w:line="560" w:lineRule="exact"/>
        <w:ind w:firstLine="643" w:firstLineChars="200"/>
        <w:rPr>
          <w:rFonts w:ascii="仿宋" w:hAnsi="仿宋" w:eastAsia="仿宋"/>
          <w:b/>
          <w:sz w:val="32"/>
          <w:szCs w:val="32"/>
        </w:rPr>
      </w:pPr>
      <w:r>
        <w:rPr>
          <w:rStyle w:val="16"/>
          <w:rFonts w:hint="eastAsia" w:ascii="仿宋" w:hAnsi="仿宋" w:eastAsia="仿宋"/>
          <w:bCs/>
          <w:sz w:val="32"/>
          <w:szCs w:val="32"/>
        </w:rPr>
        <w:t>7</w:t>
      </w:r>
      <w:r>
        <w:rPr>
          <w:rStyle w:val="16"/>
          <w:rFonts w:ascii="仿宋" w:hAnsi="仿宋" w:eastAsia="仿宋"/>
          <w:bCs/>
          <w:sz w:val="32"/>
          <w:szCs w:val="32"/>
        </w:rPr>
        <w:t>.</w:t>
      </w:r>
      <w:r>
        <w:rPr>
          <w:rFonts w:hint="eastAsia" w:ascii="仿宋" w:hAnsi="仿宋" w:eastAsia="仿宋"/>
          <w:b/>
          <w:bCs/>
          <w:sz w:val="32"/>
          <w:szCs w:val="32"/>
        </w:rPr>
        <w:t>住房保障</w:t>
      </w:r>
      <w:r>
        <w:rPr>
          <w:rStyle w:val="16"/>
          <w:rFonts w:hint="eastAsia" w:ascii="仿宋" w:hAnsi="仿宋" w:eastAsia="仿宋"/>
          <w:bCs/>
          <w:sz w:val="32"/>
          <w:szCs w:val="32"/>
        </w:rPr>
        <w:t>（类）住房改革（款）住房公积金（项）</w:t>
      </w:r>
      <w:r>
        <w:rPr>
          <w:rStyle w:val="16"/>
          <w:rFonts w:ascii="仿宋" w:hAnsi="仿宋" w:eastAsia="仿宋"/>
          <w:bCs/>
          <w:sz w:val="32"/>
          <w:szCs w:val="32"/>
        </w:rPr>
        <w:t>:</w:t>
      </w:r>
      <w:r>
        <w:rPr>
          <w:rStyle w:val="16"/>
          <w:rFonts w:hint="eastAsia" w:ascii="仿宋" w:hAnsi="仿宋" w:eastAsia="仿宋"/>
          <w:b w:val="0"/>
          <w:bCs/>
          <w:sz w:val="32"/>
          <w:szCs w:val="32"/>
        </w:rPr>
        <w:t>支出决算为70.68万元，完成预算100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，决算数等于预算数。</w:t>
      </w:r>
    </w:p>
    <w:p>
      <w:pPr>
        <w:spacing w:line="600" w:lineRule="exact"/>
        <w:rPr>
          <w:rFonts w:ascii="仿宋" w:hAnsi="仿宋" w:eastAsia="仿宋"/>
          <w:b/>
          <w:sz w:val="32"/>
          <w:szCs w:val="32"/>
        </w:rPr>
      </w:pPr>
    </w:p>
    <w:p>
      <w:pPr>
        <w:tabs>
          <w:tab w:val="right" w:pos="8306"/>
        </w:tabs>
        <w:spacing w:line="600" w:lineRule="exact"/>
        <w:ind w:firstLine="640"/>
        <w:outlineLvl w:val="1"/>
        <w:rPr>
          <w:rStyle w:val="29"/>
        </w:rPr>
      </w:pPr>
      <w:bookmarkStart w:id="34" w:name="_Toc15377214"/>
      <w:bookmarkStart w:id="35"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34"/>
      <w:bookmarkEnd w:id="35"/>
      <w:r>
        <w:rPr>
          <w:rStyle w:val="29"/>
          <w:rFonts w:ascii="黑体" w:hAnsi="黑体" w:eastAsia="黑体"/>
          <w:b w:val="0"/>
        </w:rPr>
        <w:tab/>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2022年一般公共预算财政拨款基本支出917.16万元，其中：</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人员经费839.68万元，主要包括：基本工资、津贴补贴、机关事业单位基本养老保险缴费、职业年金缴费、职工基本医疗保险缴费、公务员医疗补助缴费、其他社会保障缴费、住房公积金、其他工资福利支出、生活补助等。</w:t>
      </w:r>
      <w:r>
        <w:rPr>
          <w:rFonts w:hint="eastAsia" w:ascii="仿宋" w:hAnsi="仿宋" w:eastAsia="仿宋"/>
          <w:sz w:val="32"/>
          <w:szCs w:val="32"/>
        </w:rPr>
        <w:br w:type="textWrapping"/>
      </w:r>
      <w:r>
        <w:rPr>
          <w:rFonts w:hint="eastAsia" w:ascii="仿宋" w:hAnsi="仿宋" w:eastAsia="仿宋"/>
          <w:sz w:val="32"/>
          <w:szCs w:val="32"/>
        </w:rPr>
        <w:t>　　公用经费77.48万元，主要包括：办公费、水费、电费、邮电费、维修（护）费、培训费、公务接待费、劳务费、福利费、公务用车运行维护费、其他交通费、其他商品和服务支出等。</w:t>
      </w:r>
    </w:p>
    <w:p>
      <w:pPr>
        <w:pStyle w:val="2"/>
        <w:adjustRightInd w:val="0"/>
        <w:snapToGrid w:val="0"/>
        <w:spacing w:before="93" w:line="560" w:lineRule="exact"/>
        <w:ind w:firstLine="640" w:firstLineChars="200"/>
        <w:outlineLvl w:val="2"/>
        <w:rPr>
          <w:rFonts w:ascii="仿宋" w:hAnsi="仿宋" w:eastAsia="仿宋"/>
          <w:sz w:val="32"/>
          <w:szCs w:val="32"/>
        </w:rPr>
      </w:pPr>
    </w:p>
    <w:p>
      <w:pPr>
        <w:spacing w:line="600" w:lineRule="exact"/>
        <w:ind w:firstLine="640"/>
        <w:outlineLvl w:val="1"/>
        <w:rPr>
          <w:rStyle w:val="29"/>
          <w:rFonts w:ascii="黑体" w:hAnsi="黑体" w:eastAsia="黑体"/>
          <w:b w:val="0"/>
        </w:rPr>
      </w:pPr>
      <w:bookmarkStart w:id="36" w:name="_Toc15377215"/>
      <w:bookmarkStart w:id="37" w:name="_Toc15396609"/>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36"/>
      <w:bookmarkEnd w:id="37"/>
    </w:p>
    <w:p>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2022年“三公”经费财政拨款支出决算为10.49万元，完成预算100%，较上年减少20.39万元，下降66.03%。决算数与预算数持平的主要原因是2022年公务用车运行维护费和公务接待费未超预算支出。</w:t>
      </w:r>
    </w:p>
    <w:p>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2022年“三公”经费财政拨款支出决算中，因公出国（境）费支出决算0万元，占0%；公务用车购置及运行维护费支出决算10.11万元，占96.47%；公务接待费支出决算0.37万元，占3.53%。具体情况如下：</w:t>
      </w:r>
    </w:p>
    <w:p>
      <w:pPr>
        <w:spacing w:line="600" w:lineRule="exact"/>
        <w:jc w:val="center"/>
        <w:rPr>
          <w:rFonts w:ascii="仿宋" w:hAnsi="仿宋" w:eastAsia="仿宋"/>
          <w:sz w:val="32"/>
          <w:szCs w:val="32"/>
        </w:rPr>
      </w:pPr>
      <w:r>
        <w:rPr>
          <w:rFonts w:hint="eastAsia" w:ascii="仿宋" w:hAnsi="仿宋" w:eastAsia="仿宋"/>
          <w:sz w:val="32"/>
          <w:szCs w:val="32"/>
        </w:rPr>
        <w:t>图7：“三公”经费财政拨款支出结构</w:t>
      </w:r>
    </w:p>
    <w:p>
      <w:pPr>
        <w:pStyle w:val="2"/>
        <w:spacing w:before="93"/>
        <w:rPr>
          <w:rFonts w:eastAsia="仿宋"/>
        </w:rPr>
      </w:pPr>
      <w:r>
        <w:rPr>
          <w:rFonts w:hint="eastAsia" w:eastAsia="仿宋"/>
        </w:rPr>
        <w:drawing>
          <wp:inline distT="0" distB="0" distL="114300" distR="114300">
            <wp:extent cx="5080000" cy="3810000"/>
            <wp:effectExtent l="74295" t="20955" r="27305" b="7429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rPr>
          <w:rFonts w:ascii="仿宋" w:hAnsi="仿宋" w:eastAsia="仿宋"/>
          <w:kern w:val="0"/>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 w:hAnsi="仿宋" w:eastAsia="仿宋"/>
          <w:kern w:val="0"/>
          <w:sz w:val="32"/>
          <w:szCs w:val="32"/>
        </w:rPr>
        <w:t>0万元，完成预算0%。全年安排因公出国（境）团组0次，出国（境）0人。因公出国（境）支出决算比2021年增加0万元，增长0%。</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 w:hAnsi="仿宋" w:eastAsia="仿宋"/>
          <w:kern w:val="0"/>
          <w:sz w:val="32"/>
          <w:szCs w:val="32"/>
        </w:rPr>
        <w:t>10.11万元,完成预算100%。公务用车购置及运行维护费支出决算比2021年减少20.07万元，下降66.49%。主要原因是2022年5月财务统管，上划市级财政，一部分费用由县上支付未纳入财政拨款收支核算，一部分费用由于财政资金紧张当年未支付。</w:t>
      </w:r>
    </w:p>
    <w:p>
      <w:pPr>
        <w:spacing w:line="600" w:lineRule="exact"/>
        <w:ind w:firstLine="640" w:firstLineChars="200"/>
        <w:rPr>
          <w:rFonts w:ascii="仿宋" w:hAnsi="仿宋" w:eastAsia="仿宋"/>
          <w:kern w:val="0"/>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 w:hAnsi="仿宋" w:eastAsia="仿宋"/>
          <w:kern w:val="0"/>
          <w:sz w:val="32"/>
          <w:szCs w:val="32"/>
        </w:rPr>
        <w:t>0万元。全年按规定更新购置公务用车0辆，其中：轿车0辆、金额0万元，越野车0辆、金额0万元，载客汽车0辆、金额0万元。截至2022年12月底，单位共有公务用车10辆，其中：轿车1辆、越野车9辆。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 w:hAnsi="仿宋" w:eastAsia="仿宋"/>
          <w:kern w:val="0"/>
          <w:sz w:val="32"/>
          <w:szCs w:val="32"/>
        </w:rPr>
        <w:t>10.11万元。主要用于法院审判、调查、送达文书、执行等所需的公务用车燃料费、维修费、过路过桥费、保险费等支出。</w:t>
      </w:r>
    </w:p>
    <w:p>
      <w:pPr>
        <w:spacing w:line="600" w:lineRule="exact"/>
        <w:ind w:firstLine="640"/>
        <w:rPr>
          <w:rFonts w:ascii="仿宋" w:hAnsi="仿宋" w:eastAsia="仿宋"/>
          <w:kern w:val="0"/>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 w:hAnsi="仿宋" w:eastAsia="仿宋"/>
          <w:kern w:val="0"/>
          <w:sz w:val="32"/>
          <w:szCs w:val="32"/>
        </w:rPr>
        <w:t>0.37万元，完成预算100%。公务接待费支出决算比2021年减少0.32万元，下降45.8%。主要原因是2022年5月财务统管，上划市级财政，一部分费用由县上支付未纳入财政拨款收支核算，一部分费用由于财政资金紧张当年未支付。其中：</w:t>
      </w:r>
    </w:p>
    <w:p>
      <w:pPr>
        <w:spacing w:line="600" w:lineRule="exact"/>
        <w:ind w:firstLine="640"/>
        <w:rPr>
          <w:rFonts w:ascii="仿宋" w:hAnsi="仿宋" w:eastAsia="仿宋"/>
          <w:kern w:val="0"/>
          <w:sz w:val="32"/>
          <w:szCs w:val="32"/>
        </w:rPr>
      </w:pPr>
      <w:r>
        <w:rPr>
          <w:rFonts w:hint="eastAsia" w:ascii="仿宋" w:hAnsi="仿宋" w:eastAsia="仿宋"/>
          <w:b/>
          <w:sz w:val="32"/>
          <w:szCs w:val="32"/>
        </w:rPr>
        <w:t>国内公务接待支出</w:t>
      </w:r>
      <w:r>
        <w:rPr>
          <w:rFonts w:hint="eastAsia" w:ascii="仿宋" w:hAnsi="仿宋" w:eastAsia="仿宋"/>
          <w:kern w:val="0"/>
          <w:sz w:val="32"/>
          <w:szCs w:val="32"/>
        </w:rPr>
        <w:t>0.37万元，主要用于执行公务、开展业务活动开支的用餐费等。国内公务接待7批次，45人次，共计支出0.37万元，具体内容包括：攀枝花市广播电视台到我院录制《现在开庭》栏目4次共计1544元、市法院领导调研渔门法庭接待费400元、省高院法警总队到我院检查司法警务安全规范化工作接待费590元、市法院到我院开展全市司法警务工作检查接待费1200元。</w:t>
      </w:r>
    </w:p>
    <w:p>
      <w:pPr>
        <w:spacing w:line="600" w:lineRule="exact"/>
        <w:ind w:firstLine="643" w:firstLineChars="200"/>
        <w:rPr>
          <w:rFonts w:ascii="仿宋" w:hAnsi="仿宋" w:eastAsia="仿宋"/>
          <w:kern w:val="0"/>
          <w:sz w:val="32"/>
          <w:szCs w:val="32"/>
        </w:rPr>
      </w:pPr>
      <w:r>
        <w:rPr>
          <w:rFonts w:hint="eastAsia" w:ascii="仿宋" w:hAnsi="仿宋" w:eastAsia="仿宋"/>
          <w:b/>
          <w:sz w:val="32"/>
          <w:szCs w:val="32"/>
        </w:rPr>
        <w:t>外事接待支出</w:t>
      </w:r>
      <w:r>
        <w:rPr>
          <w:rFonts w:hint="eastAsia" w:ascii="仿宋" w:hAnsi="仿宋" w:eastAsia="仿宋"/>
          <w:kern w:val="0"/>
          <w:sz w:val="32"/>
          <w:szCs w:val="32"/>
        </w:rPr>
        <w:t>0万元，外事接待0批次，0人次，共计支出0万元。</w:t>
      </w:r>
    </w:p>
    <w:p>
      <w:pPr>
        <w:spacing w:line="600" w:lineRule="exact"/>
        <w:ind w:firstLine="640"/>
        <w:outlineLvl w:val="1"/>
        <w:rPr>
          <w:rFonts w:ascii="黑体" w:eastAsia="黑体"/>
          <w:sz w:val="32"/>
          <w:szCs w:val="32"/>
        </w:rPr>
      </w:pPr>
      <w:bookmarkStart w:id="40" w:name="_Toc15396610"/>
      <w:bookmarkStart w:id="41" w:name="_Toc15377218"/>
    </w:p>
    <w:p>
      <w:pPr>
        <w:spacing w:line="600" w:lineRule="exact"/>
        <w:ind w:firstLine="640"/>
        <w:outlineLvl w:val="1"/>
        <w:rPr>
          <w:rStyle w:val="29"/>
          <w:rFonts w:ascii="黑体" w:hAnsi="黑体" w:eastAsia="黑体"/>
        </w:rPr>
      </w:pPr>
      <w:r>
        <w:rPr>
          <w:rFonts w:hint="eastAsia" w:ascii="黑体" w:eastAsia="黑体"/>
          <w:sz w:val="32"/>
          <w:szCs w:val="32"/>
        </w:rPr>
        <w:t>八、</w:t>
      </w:r>
      <w:r>
        <w:rPr>
          <w:rStyle w:val="29"/>
          <w:rFonts w:hint="eastAsia" w:ascii="黑体" w:hAnsi="黑体" w:eastAsia="黑体"/>
          <w:b w:val="0"/>
        </w:rPr>
        <w:t>政府性基金预算支出决算情况说明</w:t>
      </w:r>
      <w:bookmarkEnd w:id="40"/>
      <w:bookmarkEnd w:id="41"/>
    </w:p>
    <w:p>
      <w:pPr>
        <w:spacing w:line="600" w:lineRule="exact"/>
        <w:ind w:firstLine="640"/>
        <w:rPr>
          <w:rFonts w:ascii="仿宋_GB2312" w:eastAsia="仿宋_GB2312"/>
          <w:sz w:val="32"/>
          <w:szCs w:val="32"/>
        </w:rPr>
      </w:pPr>
      <w:r>
        <w:rPr>
          <w:rFonts w:hint="eastAsia" w:ascii="仿宋" w:hAnsi="仿宋" w:eastAsia="仿宋"/>
          <w:kern w:val="0"/>
          <w:sz w:val="32"/>
          <w:szCs w:val="32"/>
        </w:rPr>
        <w:t>2022年政府性基金预算财政拨款支出0万元。</w:t>
      </w:r>
    </w:p>
    <w:p>
      <w:pPr>
        <w:spacing w:line="600" w:lineRule="exact"/>
        <w:ind w:firstLine="640"/>
        <w:rPr>
          <w:rFonts w:ascii="仿宋_GB2312" w:eastAsia="仿宋_GB2312"/>
          <w:sz w:val="32"/>
          <w:szCs w:val="32"/>
        </w:rPr>
      </w:pPr>
    </w:p>
    <w:p>
      <w:pPr>
        <w:numPr>
          <w:ilvl w:val="0"/>
          <w:numId w:val="3"/>
        </w:numPr>
        <w:spacing w:line="600" w:lineRule="exact"/>
        <w:ind w:firstLine="640"/>
        <w:outlineLvl w:val="1"/>
        <w:rPr>
          <w:rStyle w:val="29"/>
          <w:rFonts w:ascii="黑体" w:hAnsi="黑体" w:eastAsia="黑体"/>
          <w:b w:val="0"/>
        </w:rPr>
      </w:pPr>
      <w:bookmarkStart w:id="42" w:name="_Toc15396611"/>
      <w:bookmarkStart w:id="43" w:name="_Toc15377219"/>
      <w:r>
        <w:rPr>
          <w:rStyle w:val="29"/>
          <w:rFonts w:hint="eastAsia" w:ascii="黑体" w:hAnsi="黑体" w:eastAsia="黑体"/>
          <w:b w:val="0"/>
        </w:rPr>
        <w:t>国有资本经营预算支出决算情况说明</w:t>
      </w:r>
      <w:bookmarkEnd w:id="42"/>
      <w:bookmarkEnd w:id="43"/>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2022年国有资本经营预算财政拨款支出0万元。</w:t>
      </w:r>
    </w:p>
    <w:p>
      <w:pPr>
        <w:spacing w:line="580" w:lineRule="exact"/>
        <w:jc w:val="center"/>
        <w:rPr>
          <w:rFonts w:ascii="方正小标宋简体" w:hAnsi="方正小标宋简体" w:eastAsia="方正小标宋简体" w:cs="方正小标宋简体"/>
          <w:sz w:val="44"/>
          <w:szCs w:val="44"/>
        </w:rPr>
      </w:pPr>
    </w:p>
    <w:p>
      <w:pPr>
        <w:numPr>
          <w:ilvl w:val="0"/>
          <w:numId w:val="3"/>
        </w:numPr>
        <w:spacing w:line="600" w:lineRule="exact"/>
        <w:ind w:firstLine="640"/>
        <w:outlineLvl w:val="1"/>
        <w:rPr>
          <w:rStyle w:val="29"/>
          <w:rFonts w:ascii="黑体" w:hAnsi="黑体" w:eastAsia="黑体"/>
          <w:b w:val="0"/>
        </w:rPr>
      </w:pPr>
      <w:bookmarkStart w:id="44" w:name="_Toc15377221"/>
      <w:bookmarkStart w:id="45" w:name="_Toc15396612"/>
      <w:r>
        <w:rPr>
          <w:rStyle w:val="29"/>
          <w:rFonts w:hint="eastAsia" w:ascii="黑体" w:hAnsi="黑体" w:eastAsia="黑体"/>
          <w:b w:val="0"/>
        </w:rPr>
        <w:t>其他重要事项的情况说明</w:t>
      </w:r>
      <w:bookmarkEnd w:id="44"/>
      <w:bookmarkEnd w:id="45"/>
    </w:p>
    <w:p>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2022年，盐边县人民法院机关运行经费支出77.48万元，比2021年222.67减少145.19万元，下降65.2%。主要原因是2022年5月财务统管，上划市级财政，相关费用支出减少，一部分费用由县上支付，未纳入财政拨款收支核算。</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pPr>
        <w:spacing w:line="600" w:lineRule="exact"/>
        <w:ind w:firstLine="640" w:firstLineChars="200"/>
        <w:rPr>
          <w:rFonts w:ascii="仿宋" w:hAnsi="仿宋" w:eastAsia="仿宋"/>
          <w:b/>
          <w:sz w:val="32"/>
          <w:szCs w:val="32"/>
        </w:rPr>
      </w:pPr>
      <w:r>
        <w:rPr>
          <w:rFonts w:hint="eastAsia" w:ascii="仿宋" w:hAnsi="仿宋" w:eastAsia="仿宋"/>
          <w:kern w:val="0"/>
          <w:sz w:val="32"/>
          <w:szCs w:val="32"/>
        </w:rPr>
        <w:t>2022年，盐边县人民法院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截至2022年12月31日，盐边县人民法院共有车辆11辆，其中：主要领导干部用车0辆、机要通信用车0辆、应急保障用车0辆、其他用车11辆，其他用车主要是用于保障执法办案。单价100万元以上专用设备0台（套）。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widowControl/>
        <w:ind w:firstLine="640" w:firstLineChars="200"/>
        <w:jc w:val="left"/>
        <w:rPr>
          <w:rFonts w:ascii="仿宋_GB2312" w:eastAsia="仿宋_GB2312"/>
          <w:b/>
          <w:sz w:val="32"/>
          <w:szCs w:val="32"/>
        </w:rPr>
      </w:pPr>
      <w:r>
        <w:rPr>
          <w:rFonts w:hint="eastAsia" w:ascii="仿宋" w:hAnsi="仿宋" w:eastAsia="仿宋"/>
          <w:kern w:val="0"/>
          <w:sz w:val="32"/>
          <w:szCs w:val="32"/>
        </w:rPr>
        <w:t>根据预算绩效管理要求，本部门在2022年度预算编制阶段，组织对住房公积金等13个项目开展了预算事前绩效评估，对13个项目编制了绩效目标，预算执行过程中，选取1个项目开展绩效监控。组织对13个项目开展绩效自评，绩效自评表详见第四部分附件。</w:t>
      </w:r>
      <w:r>
        <w:rPr>
          <w:rFonts w:ascii="仿宋_GB2312" w:eastAsia="仿宋_GB2312"/>
          <w:b/>
          <w:sz w:val="32"/>
          <w:szCs w:val="32"/>
        </w:rPr>
        <w:br w:type="page"/>
      </w:r>
    </w:p>
    <w:p>
      <w:pPr>
        <w:numPr>
          <w:ilvl w:val="0"/>
          <w:numId w:val="4"/>
        </w:numPr>
        <w:spacing w:line="600" w:lineRule="exact"/>
        <w:ind w:firstLine="660" w:firstLineChars="150"/>
        <w:jc w:val="center"/>
        <w:outlineLvl w:val="0"/>
        <w:rPr>
          <w:rStyle w:val="28"/>
          <w:rFonts w:ascii="黑体" w:hAnsi="黑体" w:eastAsia="黑体"/>
          <w:b w:val="0"/>
        </w:rPr>
      </w:pPr>
      <w:bookmarkStart w:id="49" w:name="_Toc15396613"/>
      <w:bookmarkStart w:id="50" w:name="_Toc15377225"/>
      <w:r>
        <w:rPr>
          <w:rFonts w:hint="eastAsia" w:ascii="黑体" w:hAnsi="黑体" w:eastAsia="黑体"/>
          <w:sz w:val="44"/>
          <w:szCs w:val="44"/>
        </w:rPr>
        <w:t>名</w:t>
      </w:r>
      <w:r>
        <w:rPr>
          <w:rStyle w:val="28"/>
          <w:rFonts w:hint="eastAsia" w:ascii="黑体" w:hAnsi="黑体" w:eastAsia="黑体"/>
          <w:b w:val="0"/>
        </w:rPr>
        <w:t>词解释</w:t>
      </w:r>
      <w:bookmarkEnd w:id="49"/>
      <w:bookmarkEnd w:id="50"/>
    </w:p>
    <w:p>
      <w:pPr>
        <w:spacing w:line="600" w:lineRule="exact"/>
        <w:jc w:val="left"/>
        <w:rPr>
          <w:rFonts w:ascii="宋体"/>
          <w:b/>
          <w:sz w:val="44"/>
          <w:szCs w:val="44"/>
        </w:rPr>
      </w:pP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1.财政拨款收入：指单位从同级财政部门取得的财政预算资金。</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 xml:space="preserve">2.其他收入：指单位取得的除上述收入以外的各项收入。主要是银行存款利息等。 </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 xml:space="preserve">3.年初结转和结余：指以前年度尚未完成、结转到本年按有关规定继续使用的资金。 </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4.结余分配：指事业单位按照会计制度规定缴纳的所得税、提取的专用结余以及转入非财政拨款结余的金额等。</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5.一般公共服务支出（类）民族事务（款）民族工作专项（项）：指用于民族事务管理方面的专项支出。</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6.一般公共服务支出（类）其他一般公共服务支出（款）其他一般公共服务支出（项）：指上述项目未包括的一般公共服务支出。</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7.公共安全支出（类）法院（款）行政运行（项）：指法院（包括各专门法院）的基本支出。</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8.公共安全支出（类）法院（款）一般行政管理事务（项）：指法院（包括各专门法院）未单独设置项级科目的其他项目支出。</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9.公共安全支出（类）法院（款）其他法院支出（项）：指除上述项目以外其他用于法院方面的支出。。</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10.公共安全支出（类）其他公共安全支出（款）其他公共安全支出（项）：指除上述项目以外其他用于公共安全方面的支出。</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11.社会保障和就业支出（类）行政事业单位养老支出（款）行政单位离退休（项）：指行政单位（包括实行公务员管理的事业单位）开支的离退休经费。</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12.社会保障和就业支出（类）行政事业单位养老支出（款）机关事业单位基本养老保险缴费支出（项）：指机关事业单位实施养老保险制度由单位缴纳的基本养老保险费支出。</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13.社会保障和就业支出（类）行政事业单位养老支出（款）机关事业单位职业年金缴费支出（项）：指机关事业单位实施养老保险制度由单位实际缴纳的职业年金支出。</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14.社会保障和就业支出（类）抚恤（款）死亡抚恤（项）：指按规定用于烈士和牺牲、病故人员家属的一次性和定期抚恤金、丧葬补助费以及烈士褒奖金。</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15.卫生健康支出（类）行政事业单位医疗（款）行政单位医疗（项）：指财政部门安排的行政单位（包括实行公务员管理的事业单位，下同）基本医疗保险缴费经费，未参加医疗保险的行政单位的公费医疗经费，按国家规定享受离休人员、红军老战士待遇的医疗经费。</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16.卫生健康支出（类）行政事业单位医疗（款）公务员医疗补助（项）：指反映财政部门安排的公务员医疗补助经费。</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17.住房保障支出（类）住房改革支出（款）住房公积金（项）：指行政事业单位按人力资源和社会保障部、财政部规定的基本工资和津贴补贴以及规定比例为职工缴纳的住房公积金。</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18.基本支出：指为保障机构正常运转、完成日常工作任务而发生的人员支出和公用支出。</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 xml:space="preserve">19.项目支出：指在基本支出之外为完成特定行政任务和事业发展目标所发生的支出。 </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20.经营支出：指事业单位在专业业务活动及其辅助活动之外开展非独立核算经营活动发生的支出。</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21.“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
        <w:adjustRightInd w:val="0"/>
        <w:snapToGrid w:val="0"/>
        <w:spacing w:before="93" w:line="560" w:lineRule="exact"/>
        <w:ind w:firstLine="640" w:firstLineChars="200"/>
        <w:outlineLvl w:val="2"/>
        <w:rPr>
          <w:rFonts w:ascii="仿宋" w:hAnsi="仿宋" w:eastAsia="仿宋"/>
          <w:sz w:val="32"/>
          <w:szCs w:val="32"/>
        </w:rPr>
      </w:pPr>
      <w:r>
        <w:rPr>
          <w:rFonts w:hint="eastAsia" w:ascii="仿宋" w:hAnsi="仿宋" w:eastAsia="仿宋"/>
          <w:sz w:val="32"/>
          <w:szCs w:val="32"/>
        </w:rPr>
        <w:t>22.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Fonts w:ascii="黑体" w:hAnsi="黑体" w:eastAsia="黑体"/>
          <w:sz w:val="44"/>
          <w:szCs w:val="44"/>
        </w:rPr>
      </w:pPr>
      <w:bookmarkStart w:id="51" w:name="_Toc15377226"/>
      <w:r>
        <w:rPr>
          <w:rFonts w:ascii="宋体"/>
          <w:b/>
          <w:sz w:val="44"/>
          <w:szCs w:val="44"/>
        </w:rPr>
        <w:br w:type="page"/>
      </w:r>
      <w:bookmarkStart w:id="52" w:name="_Toc15396614"/>
      <w:r>
        <w:rPr>
          <w:rFonts w:hint="eastAsia" w:ascii="黑体" w:hAnsi="黑体" w:eastAsia="黑体"/>
          <w:sz w:val="44"/>
          <w:szCs w:val="44"/>
        </w:rPr>
        <w:t>第四部分 附件</w:t>
      </w:r>
      <w:bookmarkEnd w:id="52"/>
    </w:p>
    <w:p>
      <w:pPr>
        <w:spacing w:line="572" w:lineRule="exact"/>
        <w:jc w:val="left"/>
        <w:outlineLvl w:val="0"/>
        <w:rPr>
          <w:rFonts w:ascii="黑体" w:hAnsi="黑体" w:eastAsia="黑体" w:cs="黑体"/>
          <w:sz w:val="32"/>
          <w:szCs w:val="32"/>
        </w:rPr>
      </w:pPr>
      <w:r>
        <w:rPr>
          <w:rFonts w:hint="eastAsia" w:ascii="黑体" w:hAnsi="黑体" w:eastAsia="黑体" w:cs="黑体"/>
          <w:sz w:val="32"/>
          <w:szCs w:val="32"/>
        </w:rPr>
        <w:t>附件</w:t>
      </w:r>
    </w:p>
    <w:p>
      <w:pPr>
        <w:widowControl/>
        <w:spacing w:line="560" w:lineRule="exact"/>
        <w:contextualSpacing/>
        <w:jc w:val="center"/>
        <w:rPr>
          <w:rFonts w:ascii="宋体" w:hAnsi="宋体"/>
          <w:b/>
          <w:sz w:val="32"/>
          <w:szCs w:val="32"/>
          <w:shd w:val="clear" w:color="auto" w:fill="FFFFFF"/>
        </w:rPr>
      </w:pPr>
      <w:r>
        <w:rPr>
          <w:rFonts w:hint="eastAsia" w:ascii="宋体" w:hAnsi="宋体"/>
          <w:b/>
          <w:sz w:val="32"/>
          <w:szCs w:val="32"/>
          <w:shd w:val="clear" w:color="auto" w:fill="FFFFFF"/>
        </w:rPr>
        <w:t>2022年部门整体绩效评价报告</w:t>
      </w:r>
    </w:p>
    <w:p>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p>
    <w:p>
      <w:pPr>
        <w:widowControl/>
        <w:numPr>
          <w:ilvl w:val="0"/>
          <w:numId w:val="5"/>
        </w:numPr>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lang w:val="zh-CN"/>
        </w:rPr>
      </w:pPr>
      <w:r>
        <w:rPr>
          <w:rFonts w:hint="eastAsia" w:ascii="黑体" w:hAnsi="宋体" w:eastAsia="黑体" w:cs="宋体"/>
          <w:kern w:val="0"/>
          <w:sz w:val="32"/>
          <w:szCs w:val="32"/>
          <w:shd w:val="clear" w:color="auto" w:fill="FFFFFF"/>
          <w:lang w:val="zh-CN"/>
        </w:rPr>
        <w:t>部门（单位）基本情况</w:t>
      </w:r>
    </w:p>
    <w:p>
      <w:pPr>
        <w:widowControl/>
        <w:numPr>
          <w:ilvl w:val="0"/>
          <w:numId w:val="6"/>
        </w:numPr>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机构组成。</w:t>
      </w:r>
    </w:p>
    <w:p>
      <w:pPr>
        <w:pStyle w:val="2"/>
        <w:adjustRightInd w:val="0"/>
        <w:snapToGrid w:val="0"/>
        <w:spacing w:before="93" w:line="560" w:lineRule="exact"/>
        <w:ind w:firstLine="640" w:firstLineChars="200"/>
        <w:outlineLvl w:val="2"/>
        <w:rPr>
          <w:rFonts w:ascii="仿宋" w:hAnsi="仿宋" w:eastAsia="仿宋"/>
          <w:sz w:val="32"/>
          <w:szCs w:val="32"/>
          <w:lang w:val="zh-CN"/>
        </w:rPr>
      </w:pPr>
      <w:r>
        <w:rPr>
          <w:rFonts w:hint="eastAsia" w:ascii="仿宋" w:hAnsi="仿宋" w:eastAsia="仿宋"/>
          <w:sz w:val="32"/>
          <w:szCs w:val="32"/>
          <w:lang w:val="zh-CN"/>
        </w:rPr>
        <w:t>我院属基层人民法院，县院设9个内设庭室，分别是综合办公室、政治部（督查室）、立案庭（诉讼服务中心）、民事审判庭、行政审判庭（综合审判庭）、刑事审判庭（未成年人案件审判庭）、执行局、审判管理办公室（研究室）、法警大队；4个派出法庭，分别是红格</w:t>
      </w:r>
      <w:r>
        <w:rPr>
          <w:rFonts w:hint="eastAsia" w:ascii="仿宋" w:hAnsi="仿宋" w:eastAsia="仿宋"/>
          <w:sz w:val="32"/>
          <w:szCs w:val="32"/>
        </w:rPr>
        <w:t>人民</w:t>
      </w:r>
      <w:r>
        <w:rPr>
          <w:rFonts w:hint="eastAsia" w:ascii="仿宋" w:hAnsi="仿宋" w:eastAsia="仿宋"/>
          <w:sz w:val="32"/>
          <w:szCs w:val="32"/>
          <w:lang w:val="zh-CN"/>
        </w:rPr>
        <w:t>法庭、渔门</w:t>
      </w:r>
      <w:r>
        <w:rPr>
          <w:rFonts w:hint="eastAsia" w:ascii="仿宋" w:hAnsi="仿宋" w:eastAsia="仿宋"/>
          <w:sz w:val="32"/>
          <w:szCs w:val="32"/>
        </w:rPr>
        <w:t>人民</w:t>
      </w:r>
      <w:r>
        <w:rPr>
          <w:rFonts w:hint="eastAsia" w:ascii="仿宋" w:hAnsi="仿宋" w:eastAsia="仿宋"/>
          <w:sz w:val="32"/>
          <w:szCs w:val="32"/>
          <w:lang w:val="zh-CN"/>
        </w:rPr>
        <w:t>法庭、共和</w:t>
      </w:r>
      <w:r>
        <w:rPr>
          <w:rFonts w:hint="eastAsia" w:ascii="仿宋" w:hAnsi="仿宋" w:eastAsia="仿宋"/>
          <w:sz w:val="32"/>
          <w:szCs w:val="32"/>
        </w:rPr>
        <w:t>人民</w:t>
      </w:r>
      <w:r>
        <w:rPr>
          <w:rFonts w:hint="eastAsia" w:ascii="仿宋" w:hAnsi="仿宋" w:eastAsia="仿宋"/>
          <w:sz w:val="32"/>
          <w:szCs w:val="32"/>
          <w:lang w:val="zh-CN"/>
        </w:rPr>
        <w:t>法庭、永兴</w:t>
      </w:r>
      <w:r>
        <w:rPr>
          <w:rFonts w:hint="eastAsia" w:ascii="仿宋" w:hAnsi="仿宋" w:eastAsia="仿宋"/>
          <w:sz w:val="32"/>
          <w:szCs w:val="32"/>
        </w:rPr>
        <w:t>人民</w:t>
      </w:r>
      <w:r>
        <w:rPr>
          <w:rFonts w:hint="eastAsia" w:ascii="仿宋" w:hAnsi="仿宋" w:eastAsia="仿宋"/>
          <w:sz w:val="32"/>
          <w:szCs w:val="32"/>
          <w:lang w:val="zh-CN"/>
        </w:rPr>
        <w:t>法庭。</w:t>
      </w:r>
    </w:p>
    <w:p>
      <w:pPr>
        <w:widowControl/>
        <w:numPr>
          <w:ilvl w:val="0"/>
          <w:numId w:val="6"/>
        </w:numPr>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机构职能和人员概况</w:t>
      </w:r>
    </w:p>
    <w:p>
      <w:pPr>
        <w:pStyle w:val="2"/>
        <w:spacing w:before="93" w:line="560" w:lineRule="exact"/>
        <w:ind w:firstLine="643" w:firstLineChars="200"/>
        <w:rPr>
          <w:rFonts w:hAnsi="Calibri" w:cs="仿宋"/>
          <w:b/>
          <w:bCs/>
          <w:sz w:val="32"/>
          <w:szCs w:val="32"/>
        </w:rPr>
      </w:pPr>
      <w:r>
        <w:rPr>
          <w:rFonts w:hint="eastAsia" w:hAnsi="Calibri" w:cs="仿宋"/>
          <w:b/>
          <w:bCs/>
          <w:sz w:val="32"/>
          <w:szCs w:val="32"/>
        </w:rPr>
        <w:t>1.机构职能：</w:t>
      </w:r>
    </w:p>
    <w:p>
      <w:pPr>
        <w:pStyle w:val="2"/>
        <w:adjustRightInd w:val="0"/>
        <w:snapToGrid w:val="0"/>
        <w:spacing w:before="93" w:line="560" w:lineRule="exact"/>
        <w:ind w:firstLine="640" w:firstLineChars="200"/>
        <w:outlineLvl w:val="2"/>
        <w:rPr>
          <w:rFonts w:ascii="仿宋" w:hAnsi="仿宋" w:eastAsia="仿宋"/>
          <w:sz w:val="32"/>
          <w:szCs w:val="32"/>
          <w:lang w:val="zh-CN"/>
        </w:rPr>
      </w:pPr>
      <w:r>
        <w:rPr>
          <w:rFonts w:hint="eastAsia" w:ascii="仿宋" w:hAnsi="仿宋" w:eastAsia="仿宋"/>
          <w:sz w:val="32"/>
          <w:szCs w:val="32"/>
          <w:lang w:val="zh-CN"/>
        </w:rPr>
        <w:t>盐边县人民法院是国家审判机关，依法独立行使审判权，对县人民代表大会及其常务委员会负责并报告工作。其主要职责如下:</w:t>
      </w:r>
    </w:p>
    <w:p>
      <w:pPr>
        <w:pStyle w:val="2"/>
        <w:adjustRightInd w:val="0"/>
        <w:snapToGrid w:val="0"/>
        <w:spacing w:before="93" w:line="560" w:lineRule="exact"/>
        <w:ind w:firstLine="640" w:firstLineChars="200"/>
        <w:outlineLvl w:val="2"/>
        <w:rPr>
          <w:rFonts w:ascii="仿宋" w:hAnsi="仿宋" w:eastAsia="仿宋"/>
          <w:sz w:val="32"/>
          <w:szCs w:val="32"/>
          <w:lang w:val="zh-CN"/>
        </w:rPr>
      </w:pPr>
      <w:r>
        <w:rPr>
          <w:rFonts w:hint="eastAsia" w:ascii="仿宋" w:hAnsi="仿宋" w:eastAsia="仿宋"/>
          <w:sz w:val="32"/>
          <w:szCs w:val="32"/>
          <w:lang w:val="zh-CN"/>
        </w:rPr>
        <w:t>（</w:t>
      </w:r>
      <w:r>
        <w:rPr>
          <w:rFonts w:hint="eastAsia" w:ascii="仿宋" w:hAnsi="仿宋" w:eastAsia="仿宋"/>
          <w:sz w:val="32"/>
          <w:szCs w:val="32"/>
        </w:rPr>
        <w:t>1</w:t>
      </w:r>
      <w:r>
        <w:rPr>
          <w:rFonts w:hint="eastAsia" w:ascii="仿宋" w:hAnsi="仿宋" w:eastAsia="仿宋"/>
          <w:sz w:val="32"/>
          <w:szCs w:val="32"/>
          <w:lang w:val="zh-CN"/>
        </w:rPr>
        <w:t>）审理法律规定由本院管辖的刑事、民事、经济、行政等一审案件。</w:t>
      </w:r>
    </w:p>
    <w:p>
      <w:pPr>
        <w:pStyle w:val="2"/>
        <w:adjustRightInd w:val="0"/>
        <w:snapToGrid w:val="0"/>
        <w:spacing w:before="93" w:line="560" w:lineRule="exact"/>
        <w:ind w:firstLine="640" w:firstLineChars="200"/>
        <w:outlineLvl w:val="2"/>
        <w:rPr>
          <w:rFonts w:ascii="仿宋" w:hAnsi="仿宋" w:eastAsia="仿宋"/>
          <w:sz w:val="32"/>
          <w:szCs w:val="32"/>
          <w:lang w:val="zh-CN"/>
        </w:rPr>
      </w:pPr>
      <w:r>
        <w:rPr>
          <w:rFonts w:hint="eastAsia" w:ascii="仿宋" w:hAnsi="仿宋" w:eastAsia="仿宋"/>
          <w:sz w:val="32"/>
          <w:szCs w:val="32"/>
          <w:lang w:val="zh-CN"/>
        </w:rPr>
        <w:t>（</w:t>
      </w:r>
      <w:r>
        <w:rPr>
          <w:rFonts w:hint="eastAsia" w:ascii="仿宋" w:hAnsi="仿宋" w:eastAsia="仿宋"/>
          <w:sz w:val="32"/>
          <w:szCs w:val="32"/>
        </w:rPr>
        <w:t>2</w:t>
      </w:r>
      <w:r>
        <w:rPr>
          <w:rFonts w:hint="eastAsia" w:ascii="仿宋" w:hAnsi="仿宋" w:eastAsia="仿宋"/>
          <w:sz w:val="32"/>
          <w:szCs w:val="32"/>
          <w:lang w:val="zh-CN"/>
        </w:rPr>
        <w:t>）审理中级人民法院指令再审和发回重审的案件。</w:t>
      </w:r>
    </w:p>
    <w:p>
      <w:pPr>
        <w:pStyle w:val="2"/>
        <w:adjustRightInd w:val="0"/>
        <w:snapToGrid w:val="0"/>
        <w:spacing w:before="93" w:line="560" w:lineRule="exact"/>
        <w:ind w:firstLine="640" w:firstLineChars="200"/>
        <w:outlineLvl w:val="2"/>
        <w:rPr>
          <w:rFonts w:ascii="仿宋" w:hAnsi="仿宋" w:eastAsia="仿宋"/>
          <w:sz w:val="32"/>
          <w:szCs w:val="32"/>
          <w:lang w:val="zh-CN"/>
        </w:rPr>
      </w:pPr>
      <w:r>
        <w:rPr>
          <w:rFonts w:hint="eastAsia" w:ascii="仿宋" w:hAnsi="仿宋" w:eastAsia="仿宋"/>
          <w:sz w:val="32"/>
          <w:szCs w:val="32"/>
          <w:lang w:val="zh-CN"/>
        </w:rPr>
        <w:t>（</w:t>
      </w:r>
      <w:r>
        <w:rPr>
          <w:rFonts w:hint="eastAsia" w:ascii="仿宋" w:hAnsi="仿宋" w:eastAsia="仿宋"/>
          <w:sz w:val="32"/>
          <w:szCs w:val="32"/>
        </w:rPr>
        <w:t>3</w:t>
      </w:r>
      <w:r>
        <w:rPr>
          <w:rFonts w:hint="eastAsia" w:ascii="仿宋" w:hAnsi="仿宋" w:eastAsia="仿宋"/>
          <w:sz w:val="32"/>
          <w:szCs w:val="32"/>
          <w:lang w:val="zh-CN"/>
        </w:rPr>
        <w:t>）受理和审判各类告诉、申诉及再审案件，搞好本院审判监督。</w:t>
      </w:r>
    </w:p>
    <w:p>
      <w:pPr>
        <w:pStyle w:val="2"/>
        <w:adjustRightInd w:val="0"/>
        <w:snapToGrid w:val="0"/>
        <w:spacing w:before="93" w:line="560" w:lineRule="exact"/>
        <w:ind w:firstLine="640" w:firstLineChars="200"/>
        <w:outlineLvl w:val="2"/>
        <w:rPr>
          <w:rFonts w:ascii="仿宋" w:hAnsi="仿宋" w:eastAsia="仿宋"/>
          <w:sz w:val="32"/>
          <w:szCs w:val="32"/>
          <w:lang w:val="zh-CN"/>
        </w:rPr>
      </w:pPr>
      <w:r>
        <w:rPr>
          <w:rFonts w:hint="eastAsia" w:ascii="仿宋" w:hAnsi="仿宋" w:eastAsia="仿宋"/>
          <w:sz w:val="32"/>
          <w:szCs w:val="32"/>
          <w:lang w:val="zh-CN"/>
        </w:rPr>
        <w:t>（</w:t>
      </w:r>
      <w:r>
        <w:rPr>
          <w:rFonts w:hint="eastAsia" w:ascii="仿宋" w:hAnsi="仿宋" w:eastAsia="仿宋"/>
          <w:sz w:val="32"/>
          <w:szCs w:val="32"/>
        </w:rPr>
        <w:t>4</w:t>
      </w:r>
      <w:r>
        <w:rPr>
          <w:rFonts w:hint="eastAsia" w:ascii="仿宋" w:hAnsi="仿宋" w:eastAsia="仿宋"/>
          <w:sz w:val="32"/>
          <w:szCs w:val="32"/>
          <w:lang w:val="zh-CN"/>
        </w:rPr>
        <w:t>）做好执行工作，保证本院发生法律效力的判决、裁定、调解协议的执行。</w:t>
      </w:r>
    </w:p>
    <w:p>
      <w:pPr>
        <w:pStyle w:val="2"/>
        <w:adjustRightInd w:val="0"/>
        <w:snapToGrid w:val="0"/>
        <w:spacing w:before="93" w:line="560" w:lineRule="exact"/>
        <w:ind w:firstLine="640" w:firstLineChars="200"/>
        <w:outlineLvl w:val="2"/>
        <w:rPr>
          <w:rFonts w:ascii="仿宋" w:hAnsi="仿宋" w:eastAsia="仿宋"/>
          <w:sz w:val="32"/>
          <w:szCs w:val="32"/>
          <w:lang w:val="zh-CN"/>
        </w:rPr>
      </w:pPr>
      <w:r>
        <w:rPr>
          <w:rFonts w:hint="eastAsia" w:ascii="仿宋" w:hAnsi="仿宋" w:eastAsia="仿宋"/>
          <w:sz w:val="32"/>
          <w:szCs w:val="32"/>
          <w:lang w:val="zh-CN"/>
        </w:rPr>
        <w:t>（</w:t>
      </w:r>
      <w:r>
        <w:rPr>
          <w:rFonts w:hint="eastAsia" w:ascii="仿宋" w:hAnsi="仿宋" w:eastAsia="仿宋"/>
          <w:sz w:val="32"/>
          <w:szCs w:val="32"/>
        </w:rPr>
        <w:t>5</w:t>
      </w:r>
      <w:r>
        <w:rPr>
          <w:rFonts w:hint="eastAsia" w:ascii="仿宋" w:hAnsi="仿宋" w:eastAsia="仿宋"/>
          <w:sz w:val="32"/>
          <w:szCs w:val="32"/>
          <w:lang w:val="zh-CN"/>
        </w:rPr>
        <w:t>）负责本院执行政策，法律情况的调查研究，总结审判工作经验，做好司法统计与分析工作。</w:t>
      </w:r>
    </w:p>
    <w:p>
      <w:pPr>
        <w:pStyle w:val="2"/>
        <w:adjustRightInd w:val="0"/>
        <w:snapToGrid w:val="0"/>
        <w:spacing w:before="93" w:line="560" w:lineRule="exact"/>
        <w:ind w:firstLine="640" w:firstLineChars="200"/>
        <w:outlineLvl w:val="2"/>
        <w:rPr>
          <w:rFonts w:ascii="仿宋" w:hAnsi="仿宋" w:eastAsia="仿宋"/>
          <w:sz w:val="32"/>
          <w:szCs w:val="32"/>
          <w:lang w:val="zh-CN"/>
        </w:rPr>
      </w:pPr>
      <w:r>
        <w:rPr>
          <w:rFonts w:hint="eastAsia" w:ascii="仿宋" w:hAnsi="仿宋" w:eastAsia="仿宋"/>
          <w:sz w:val="32"/>
          <w:szCs w:val="32"/>
          <w:lang w:val="zh-CN"/>
        </w:rPr>
        <w:t>（</w:t>
      </w:r>
      <w:r>
        <w:rPr>
          <w:rFonts w:hint="eastAsia" w:ascii="仿宋" w:hAnsi="仿宋" w:eastAsia="仿宋"/>
          <w:sz w:val="32"/>
          <w:szCs w:val="32"/>
        </w:rPr>
        <w:t>6</w:t>
      </w:r>
      <w:r>
        <w:rPr>
          <w:rFonts w:hint="eastAsia" w:ascii="仿宋" w:hAnsi="仿宋" w:eastAsia="仿宋"/>
          <w:sz w:val="32"/>
          <w:szCs w:val="32"/>
          <w:lang w:val="zh-CN"/>
        </w:rPr>
        <w:t>）管理本院有关经费、物资装备计划、文秘、资料、档案、法庭建设等行政事务和后勤服务。</w:t>
      </w:r>
    </w:p>
    <w:p>
      <w:pPr>
        <w:pStyle w:val="2"/>
        <w:adjustRightInd w:val="0"/>
        <w:snapToGrid w:val="0"/>
        <w:spacing w:before="93" w:line="560" w:lineRule="exact"/>
        <w:ind w:firstLine="640" w:firstLineChars="200"/>
        <w:outlineLvl w:val="2"/>
        <w:rPr>
          <w:rFonts w:ascii="仿宋" w:hAnsi="仿宋" w:eastAsia="仿宋"/>
          <w:sz w:val="32"/>
          <w:szCs w:val="32"/>
          <w:lang w:val="zh-CN"/>
        </w:rPr>
      </w:pPr>
      <w:r>
        <w:rPr>
          <w:rFonts w:hint="eastAsia" w:ascii="仿宋" w:hAnsi="仿宋" w:eastAsia="仿宋"/>
          <w:sz w:val="32"/>
          <w:szCs w:val="32"/>
          <w:lang w:val="zh-CN"/>
        </w:rPr>
        <w:t>（</w:t>
      </w:r>
      <w:r>
        <w:rPr>
          <w:rFonts w:hint="eastAsia" w:ascii="仿宋" w:hAnsi="仿宋" w:eastAsia="仿宋"/>
          <w:sz w:val="32"/>
          <w:szCs w:val="32"/>
        </w:rPr>
        <w:t>7</w:t>
      </w:r>
      <w:r>
        <w:rPr>
          <w:rFonts w:hint="eastAsia" w:ascii="仿宋" w:hAnsi="仿宋" w:eastAsia="仿宋"/>
          <w:sz w:val="32"/>
          <w:szCs w:val="32"/>
          <w:lang w:val="zh-CN"/>
        </w:rPr>
        <w:t>）加强政治思想工作、抓好干部教育、干部管理、干部培训，提高队伍素质。</w:t>
      </w:r>
    </w:p>
    <w:p>
      <w:pPr>
        <w:pStyle w:val="2"/>
        <w:adjustRightInd w:val="0"/>
        <w:snapToGrid w:val="0"/>
        <w:spacing w:before="93" w:line="560" w:lineRule="exact"/>
        <w:ind w:firstLine="640" w:firstLineChars="200"/>
        <w:outlineLvl w:val="2"/>
        <w:rPr>
          <w:rFonts w:ascii="仿宋" w:hAnsi="仿宋" w:eastAsia="仿宋"/>
          <w:sz w:val="32"/>
          <w:szCs w:val="32"/>
          <w:lang w:val="zh-CN"/>
        </w:rPr>
      </w:pPr>
      <w:r>
        <w:rPr>
          <w:rFonts w:hint="eastAsia" w:ascii="仿宋" w:hAnsi="仿宋" w:eastAsia="仿宋"/>
          <w:sz w:val="32"/>
          <w:szCs w:val="32"/>
          <w:lang w:val="zh-CN"/>
        </w:rPr>
        <w:t>（</w:t>
      </w:r>
      <w:r>
        <w:rPr>
          <w:rFonts w:hint="eastAsia" w:ascii="仿宋" w:hAnsi="仿宋" w:eastAsia="仿宋"/>
          <w:sz w:val="32"/>
          <w:szCs w:val="32"/>
        </w:rPr>
        <w:t>8</w:t>
      </w:r>
      <w:r>
        <w:rPr>
          <w:rFonts w:hint="eastAsia" w:ascii="仿宋" w:hAnsi="仿宋" w:eastAsia="仿宋"/>
          <w:sz w:val="32"/>
          <w:szCs w:val="32"/>
          <w:lang w:val="zh-CN"/>
        </w:rPr>
        <w:t>）加强廉政建设，抓好对干警的教育、检查、监督、查处、促进严肃执法。</w:t>
      </w:r>
    </w:p>
    <w:p>
      <w:pPr>
        <w:pStyle w:val="2"/>
        <w:adjustRightInd w:val="0"/>
        <w:snapToGrid w:val="0"/>
        <w:spacing w:before="93" w:line="560" w:lineRule="exact"/>
        <w:ind w:firstLine="640" w:firstLineChars="200"/>
        <w:outlineLvl w:val="2"/>
        <w:rPr>
          <w:rFonts w:ascii="仿宋" w:hAnsi="仿宋" w:eastAsia="仿宋"/>
          <w:sz w:val="32"/>
          <w:szCs w:val="32"/>
          <w:lang w:val="zh-CN"/>
        </w:rPr>
      </w:pPr>
      <w:r>
        <w:rPr>
          <w:rFonts w:hint="eastAsia" w:ascii="仿宋" w:hAnsi="仿宋" w:eastAsia="仿宋"/>
          <w:sz w:val="32"/>
          <w:szCs w:val="32"/>
          <w:lang w:val="zh-CN"/>
        </w:rPr>
        <w:t>（</w:t>
      </w:r>
      <w:r>
        <w:rPr>
          <w:rFonts w:hint="eastAsia" w:ascii="仿宋" w:hAnsi="仿宋" w:eastAsia="仿宋"/>
          <w:sz w:val="32"/>
          <w:szCs w:val="32"/>
        </w:rPr>
        <w:t>9</w:t>
      </w:r>
      <w:r>
        <w:rPr>
          <w:rFonts w:hint="eastAsia" w:ascii="仿宋" w:hAnsi="仿宋" w:eastAsia="仿宋"/>
          <w:sz w:val="32"/>
          <w:szCs w:val="32"/>
          <w:lang w:val="zh-CN"/>
        </w:rPr>
        <w:t>）参与社会治安综合治理。</w:t>
      </w:r>
    </w:p>
    <w:p>
      <w:pPr>
        <w:pStyle w:val="2"/>
        <w:spacing w:before="93" w:line="560" w:lineRule="exact"/>
        <w:ind w:firstLine="643" w:firstLineChars="200"/>
        <w:rPr>
          <w:rFonts w:hAnsi="Calibri" w:cs="仿宋"/>
          <w:b/>
          <w:bCs/>
          <w:sz w:val="32"/>
          <w:szCs w:val="32"/>
        </w:rPr>
      </w:pPr>
      <w:r>
        <w:rPr>
          <w:rFonts w:hint="eastAsia" w:hAnsi="Calibri" w:cs="仿宋"/>
          <w:b/>
          <w:bCs/>
          <w:sz w:val="32"/>
          <w:szCs w:val="32"/>
        </w:rPr>
        <w:t>2.人员概况：</w:t>
      </w:r>
    </w:p>
    <w:p>
      <w:pPr>
        <w:pStyle w:val="2"/>
        <w:adjustRightInd w:val="0"/>
        <w:snapToGrid w:val="0"/>
        <w:spacing w:before="93" w:line="560" w:lineRule="exact"/>
        <w:ind w:firstLine="640" w:firstLineChars="200"/>
        <w:outlineLvl w:val="2"/>
        <w:rPr>
          <w:rFonts w:hAnsi="Calibri" w:cs="仿宋"/>
          <w:sz w:val="32"/>
          <w:szCs w:val="32"/>
          <w:lang w:val="zh-CN"/>
        </w:rPr>
      </w:pPr>
      <w:r>
        <w:rPr>
          <w:rFonts w:hint="eastAsia" w:ascii="仿宋" w:hAnsi="仿宋" w:eastAsia="仿宋"/>
          <w:sz w:val="32"/>
          <w:szCs w:val="32"/>
          <w:lang w:val="zh-CN"/>
        </w:rPr>
        <w:t>2022年末，全院共有在职员工</w:t>
      </w:r>
      <w:r>
        <w:rPr>
          <w:rFonts w:hint="eastAsia" w:ascii="仿宋" w:hAnsi="仿宋" w:eastAsia="仿宋"/>
          <w:sz w:val="32"/>
          <w:szCs w:val="32"/>
        </w:rPr>
        <w:t>102</w:t>
      </w:r>
      <w:r>
        <w:rPr>
          <w:rFonts w:hint="eastAsia" w:ascii="仿宋" w:hAnsi="仿宋" w:eastAsia="仿宋"/>
          <w:sz w:val="32"/>
          <w:szCs w:val="32"/>
          <w:lang w:val="zh-CN"/>
        </w:rPr>
        <w:t>人，其中在职干警</w:t>
      </w:r>
      <w:r>
        <w:rPr>
          <w:rFonts w:hint="eastAsia" w:ascii="仿宋" w:hAnsi="仿宋" w:eastAsia="仿宋"/>
          <w:sz w:val="32"/>
          <w:szCs w:val="32"/>
        </w:rPr>
        <w:t>62</w:t>
      </w:r>
      <w:r>
        <w:rPr>
          <w:rFonts w:hint="eastAsia" w:ascii="仿宋" w:hAnsi="仿宋" w:eastAsia="仿宋"/>
          <w:sz w:val="32"/>
          <w:szCs w:val="32"/>
          <w:lang w:val="zh-CN"/>
        </w:rPr>
        <w:t>人、聘用制书记员</w:t>
      </w:r>
      <w:r>
        <w:rPr>
          <w:rFonts w:hint="eastAsia" w:ascii="仿宋" w:hAnsi="仿宋" w:eastAsia="仿宋"/>
          <w:sz w:val="32"/>
          <w:szCs w:val="32"/>
        </w:rPr>
        <w:t>23</w:t>
      </w:r>
      <w:r>
        <w:rPr>
          <w:rFonts w:hint="eastAsia" w:ascii="仿宋" w:hAnsi="仿宋" w:eastAsia="仿宋"/>
          <w:sz w:val="32"/>
          <w:szCs w:val="32"/>
          <w:lang w:val="zh-CN"/>
        </w:rPr>
        <w:t>人、劳务派遣人员</w:t>
      </w:r>
      <w:r>
        <w:rPr>
          <w:rFonts w:hint="eastAsia" w:ascii="仿宋" w:hAnsi="仿宋" w:eastAsia="仿宋"/>
          <w:sz w:val="32"/>
          <w:szCs w:val="32"/>
        </w:rPr>
        <w:t>17</w:t>
      </w:r>
      <w:r>
        <w:rPr>
          <w:rFonts w:hint="eastAsia" w:ascii="仿宋" w:hAnsi="仿宋" w:eastAsia="仿宋"/>
          <w:sz w:val="32"/>
          <w:szCs w:val="32"/>
          <w:lang w:val="zh-CN"/>
        </w:rPr>
        <w:t>人。院领导班子成员</w:t>
      </w:r>
      <w:r>
        <w:rPr>
          <w:rFonts w:hint="eastAsia" w:ascii="仿宋" w:hAnsi="仿宋" w:eastAsia="仿宋"/>
          <w:sz w:val="32"/>
          <w:szCs w:val="32"/>
        </w:rPr>
        <w:t>8</w:t>
      </w:r>
      <w:r>
        <w:rPr>
          <w:rFonts w:hint="eastAsia" w:ascii="仿宋" w:hAnsi="仿宋" w:eastAsia="仿宋"/>
          <w:sz w:val="32"/>
          <w:szCs w:val="32"/>
          <w:lang w:val="zh-CN"/>
        </w:rPr>
        <w:t>人，部门负责人</w:t>
      </w:r>
      <w:r>
        <w:rPr>
          <w:rFonts w:hint="eastAsia" w:ascii="仿宋" w:hAnsi="仿宋" w:eastAsia="仿宋"/>
          <w:sz w:val="32"/>
          <w:szCs w:val="32"/>
        </w:rPr>
        <w:t>13</w:t>
      </w:r>
      <w:r>
        <w:rPr>
          <w:rFonts w:hint="eastAsia" w:ascii="仿宋" w:hAnsi="仿宋" w:eastAsia="仿宋"/>
          <w:sz w:val="32"/>
          <w:szCs w:val="32"/>
          <w:lang w:val="zh-CN"/>
        </w:rPr>
        <w:t>人，党员</w:t>
      </w:r>
      <w:r>
        <w:rPr>
          <w:rFonts w:hint="eastAsia" w:ascii="仿宋" w:hAnsi="仿宋" w:eastAsia="仿宋"/>
          <w:sz w:val="32"/>
          <w:szCs w:val="32"/>
        </w:rPr>
        <w:t>48</w:t>
      </w:r>
      <w:r>
        <w:rPr>
          <w:rFonts w:hint="eastAsia" w:ascii="仿宋" w:hAnsi="仿宋" w:eastAsia="仿宋"/>
          <w:sz w:val="32"/>
          <w:szCs w:val="32"/>
          <w:lang w:val="zh-CN"/>
        </w:rPr>
        <w:t>人，法官</w:t>
      </w:r>
      <w:r>
        <w:rPr>
          <w:rFonts w:hint="eastAsia" w:ascii="仿宋" w:hAnsi="仿宋" w:eastAsia="仿宋"/>
          <w:sz w:val="32"/>
          <w:szCs w:val="32"/>
        </w:rPr>
        <w:t>22</w:t>
      </w:r>
      <w:r>
        <w:rPr>
          <w:rFonts w:hint="eastAsia" w:ascii="仿宋" w:hAnsi="仿宋" w:eastAsia="仿宋"/>
          <w:sz w:val="32"/>
          <w:szCs w:val="32"/>
          <w:lang w:val="zh-CN"/>
        </w:rPr>
        <w:t>人。</w:t>
      </w:r>
    </w:p>
    <w:p>
      <w:pPr>
        <w:widowControl/>
        <w:numPr>
          <w:ilvl w:val="0"/>
          <w:numId w:val="6"/>
        </w:numPr>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年度主要工作任务。</w:t>
      </w:r>
    </w:p>
    <w:p>
      <w:pPr>
        <w:pStyle w:val="2"/>
        <w:adjustRightInd w:val="0"/>
        <w:snapToGrid w:val="0"/>
        <w:spacing w:before="93" w:line="560" w:lineRule="exact"/>
        <w:ind w:firstLine="640" w:firstLineChars="200"/>
        <w:outlineLvl w:val="2"/>
        <w:rPr>
          <w:rFonts w:ascii="仿宋" w:hAnsi="仿宋" w:eastAsia="仿宋"/>
          <w:sz w:val="32"/>
          <w:szCs w:val="32"/>
          <w:lang w:val="zh-CN"/>
        </w:rPr>
      </w:pPr>
      <w:r>
        <w:rPr>
          <w:rFonts w:hint="eastAsia" w:ascii="仿宋" w:hAnsi="仿宋" w:eastAsia="仿宋"/>
          <w:sz w:val="32"/>
          <w:szCs w:val="32"/>
          <w:lang w:val="zh-CN"/>
        </w:rPr>
        <w:t>2022年以来，盐边县人民法院认真贯彻落实党的二十大精神，围绕市委“一三三三”总体战略部署，全面聚焦“钒钛首县、滋味盐边”发展定位，忠实践行“项目攻坚突破年”奋进目标，全面履行审执职能，努力让人民群众切实感受到公平正义就在身边，为早日把盐边建设成为雅砻江畔的璀璨明珠积极贡献法院力量。</w:t>
      </w:r>
      <w:r>
        <w:rPr>
          <w:rFonts w:hint="eastAsia" w:ascii="仿宋" w:hAnsi="仿宋" w:eastAsia="仿宋"/>
          <w:sz w:val="32"/>
          <w:szCs w:val="32"/>
        </w:rPr>
        <w:t>2022年度</w:t>
      </w:r>
      <w:r>
        <w:rPr>
          <w:rFonts w:hint="eastAsia" w:ascii="仿宋" w:hAnsi="仿宋" w:eastAsia="仿宋"/>
          <w:sz w:val="32"/>
          <w:szCs w:val="32"/>
          <w:lang w:val="zh-CN"/>
        </w:rPr>
        <w:t>共受理案件3787件，其中旧存167件，新收3620件；结案3721件，结案率98.26%，同比提高2.34%。结收比102.79%，同比提高5.69%。</w:t>
      </w:r>
    </w:p>
    <w:p>
      <w:pPr>
        <w:widowControl/>
        <w:numPr>
          <w:ilvl w:val="0"/>
          <w:numId w:val="6"/>
        </w:numPr>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部门整体支出绩效目标。</w:t>
      </w:r>
    </w:p>
    <w:p>
      <w:pPr>
        <w:pStyle w:val="2"/>
        <w:adjustRightInd w:val="0"/>
        <w:snapToGrid w:val="0"/>
        <w:spacing w:before="93" w:line="560" w:lineRule="exact"/>
        <w:ind w:firstLine="640" w:firstLineChars="200"/>
        <w:outlineLvl w:val="2"/>
        <w:rPr>
          <w:lang w:val="zh-CN"/>
        </w:rPr>
      </w:pPr>
      <w:r>
        <w:rPr>
          <w:rFonts w:hint="eastAsia" w:ascii="仿宋" w:hAnsi="仿宋" w:eastAsia="仿宋"/>
          <w:sz w:val="32"/>
          <w:szCs w:val="32"/>
          <w:lang w:val="zh-CN"/>
        </w:rPr>
        <w:t>深化司法公开，着力打造过硬司法队伍，提升司法便民服务水平。采购业务装备、改善办公环境及审判环境，提高工作效率，更好地服务当事人。</w:t>
      </w:r>
      <w:r>
        <w:rPr>
          <w:rFonts w:hint="eastAsia" w:ascii="仿宋" w:hAnsi="仿宋" w:eastAsia="仿宋"/>
          <w:sz w:val="32"/>
          <w:szCs w:val="32"/>
        </w:rPr>
        <w:t>通过审判刑事案件、民事案件、行政案件以及法律规定的其他案件，惩罚犯罪，保障无罪的人不受刑事追究，解决民事、行政纠纷，保护个人和组织的合法权益，监督行政机关依法行使职权，维护国家安全和社会秩序，维护社会公平公正，维护国家法制统一、尊严和权威。</w:t>
      </w:r>
    </w:p>
    <w:p>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二、部门资金收支情况</w:t>
      </w:r>
    </w:p>
    <w:p>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（一）部门总体收支情况。</w:t>
      </w:r>
    </w:p>
    <w:p>
      <w:pPr>
        <w:pStyle w:val="2"/>
        <w:adjustRightInd w:val="0"/>
        <w:snapToGrid w:val="0"/>
        <w:spacing w:before="93" w:line="560" w:lineRule="exact"/>
        <w:ind w:firstLine="640" w:firstLineChars="200"/>
        <w:outlineLvl w:val="2"/>
        <w:rPr>
          <w:rFonts w:ascii="仿宋" w:hAnsi="仿宋" w:eastAsia="仿宋"/>
          <w:sz w:val="32"/>
          <w:szCs w:val="32"/>
          <w:lang w:val="zh-CN"/>
        </w:rPr>
      </w:pPr>
      <w:r>
        <w:rPr>
          <w:rFonts w:hint="eastAsia" w:ascii="仿宋" w:hAnsi="仿宋" w:eastAsia="仿宋"/>
          <w:sz w:val="32"/>
          <w:szCs w:val="32"/>
          <w:lang w:val="zh-CN"/>
        </w:rPr>
        <w:t>1.部门总体收入情况</w:t>
      </w:r>
    </w:p>
    <w:p>
      <w:pPr>
        <w:pStyle w:val="2"/>
        <w:adjustRightInd w:val="0"/>
        <w:snapToGrid w:val="0"/>
        <w:spacing w:before="93" w:line="560" w:lineRule="exact"/>
        <w:ind w:firstLine="640" w:firstLineChars="200"/>
        <w:outlineLvl w:val="2"/>
        <w:rPr>
          <w:rFonts w:ascii="仿宋" w:hAnsi="仿宋" w:eastAsia="仿宋"/>
          <w:sz w:val="32"/>
          <w:szCs w:val="32"/>
          <w:lang w:val="zh-CN"/>
        </w:rPr>
      </w:pPr>
      <w:r>
        <w:rPr>
          <w:rFonts w:hint="eastAsia" w:ascii="仿宋" w:hAnsi="仿宋" w:eastAsia="仿宋"/>
          <w:sz w:val="32"/>
          <w:szCs w:val="32"/>
          <w:lang w:val="zh-CN"/>
        </w:rPr>
        <w:t>2022年部门总体收入</w:t>
      </w:r>
      <w:r>
        <w:rPr>
          <w:rFonts w:hint="eastAsia" w:ascii="仿宋" w:hAnsi="仿宋" w:eastAsia="仿宋"/>
          <w:sz w:val="32"/>
          <w:szCs w:val="32"/>
        </w:rPr>
        <w:t>2170.15</w:t>
      </w:r>
      <w:r>
        <w:rPr>
          <w:rFonts w:hint="eastAsia" w:ascii="仿宋" w:hAnsi="仿宋" w:eastAsia="仿宋"/>
          <w:sz w:val="32"/>
          <w:szCs w:val="32"/>
          <w:lang w:val="zh-CN"/>
        </w:rPr>
        <w:t>万元，其中基本收入</w:t>
      </w:r>
      <w:r>
        <w:rPr>
          <w:rFonts w:hint="eastAsia" w:ascii="仿宋" w:hAnsi="仿宋" w:eastAsia="仿宋"/>
          <w:sz w:val="32"/>
          <w:szCs w:val="32"/>
        </w:rPr>
        <w:t>1779.91</w:t>
      </w:r>
      <w:r>
        <w:rPr>
          <w:rFonts w:hint="eastAsia" w:ascii="仿宋" w:hAnsi="仿宋" w:eastAsia="仿宋"/>
          <w:sz w:val="32"/>
          <w:szCs w:val="32"/>
          <w:lang w:val="zh-CN"/>
        </w:rPr>
        <w:t>万元，占比8</w:t>
      </w:r>
      <w:r>
        <w:rPr>
          <w:rFonts w:hint="eastAsia" w:ascii="仿宋" w:hAnsi="仿宋" w:eastAsia="仿宋"/>
          <w:sz w:val="32"/>
          <w:szCs w:val="32"/>
        </w:rPr>
        <w:t>2.02</w:t>
      </w:r>
      <w:r>
        <w:rPr>
          <w:rFonts w:hint="eastAsia" w:ascii="仿宋" w:hAnsi="仿宋" w:eastAsia="仿宋"/>
          <w:sz w:val="32"/>
          <w:szCs w:val="32"/>
          <w:lang w:val="zh-CN"/>
        </w:rPr>
        <w:t>%，项目收入</w:t>
      </w:r>
      <w:r>
        <w:rPr>
          <w:rFonts w:hint="eastAsia" w:ascii="仿宋" w:hAnsi="仿宋" w:eastAsia="仿宋"/>
          <w:sz w:val="32"/>
          <w:szCs w:val="32"/>
        </w:rPr>
        <w:t>390.24</w:t>
      </w:r>
      <w:r>
        <w:rPr>
          <w:rFonts w:hint="eastAsia" w:ascii="仿宋" w:hAnsi="仿宋" w:eastAsia="仿宋"/>
          <w:sz w:val="32"/>
          <w:szCs w:val="32"/>
          <w:lang w:val="zh-CN"/>
        </w:rPr>
        <w:t>万元，占比</w:t>
      </w:r>
      <w:r>
        <w:rPr>
          <w:rFonts w:hint="eastAsia" w:ascii="仿宋" w:hAnsi="仿宋" w:eastAsia="仿宋"/>
          <w:sz w:val="32"/>
          <w:szCs w:val="32"/>
        </w:rPr>
        <w:t>17.98</w:t>
      </w:r>
      <w:r>
        <w:rPr>
          <w:rFonts w:hint="eastAsia" w:ascii="仿宋" w:hAnsi="仿宋" w:eastAsia="仿宋"/>
          <w:sz w:val="32"/>
          <w:szCs w:val="32"/>
          <w:lang w:val="zh-CN"/>
        </w:rPr>
        <w:t>%。</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2.部门总体支出情况</w:t>
      </w:r>
    </w:p>
    <w:p>
      <w:pPr>
        <w:pStyle w:val="2"/>
        <w:adjustRightInd w:val="0"/>
        <w:snapToGrid w:val="0"/>
        <w:spacing w:before="93" w:line="560" w:lineRule="exact"/>
        <w:ind w:firstLine="640" w:firstLineChars="200"/>
        <w:outlineLvl w:val="2"/>
      </w:pPr>
      <w:r>
        <w:rPr>
          <w:rFonts w:hint="eastAsia" w:ascii="仿宋" w:hAnsi="仿宋" w:eastAsia="仿宋"/>
          <w:sz w:val="32"/>
          <w:szCs w:val="32"/>
          <w:lang w:val="zh-CN"/>
        </w:rPr>
        <w:t>2022年部门总体</w:t>
      </w:r>
      <w:r>
        <w:rPr>
          <w:rFonts w:hint="eastAsia" w:ascii="仿宋" w:hAnsi="仿宋" w:eastAsia="仿宋"/>
          <w:sz w:val="32"/>
          <w:szCs w:val="32"/>
        </w:rPr>
        <w:t>支出2170.15</w:t>
      </w:r>
      <w:r>
        <w:rPr>
          <w:rFonts w:hint="eastAsia" w:ascii="仿宋" w:hAnsi="仿宋" w:eastAsia="仿宋"/>
          <w:sz w:val="32"/>
          <w:szCs w:val="32"/>
          <w:lang w:val="zh-CN"/>
        </w:rPr>
        <w:t>万元，其中基本收入</w:t>
      </w:r>
      <w:r>
        <w:rPr>
          <w:rFonts w:hint="eastAsia" w:ascii="仿宋" w:hAnsi="仿宋" w:eastAsia="仿宋"/>
          <w:sz w:val="32"/>
          <w:szCs w:val="32"/>
        </w:rPr>
        <w:t>1779.91</w:t>
      </w:r>
      <w:r>
        <w:rPr>
          <w:rFonts w:hint="eastAsia" w:ascii="仿宋" w:hAnsi="仿宋" w:eastAsia="仿宋"/>
          <w:sz w:val="32"/>
          <w:szCs w:val="32"/>
          <w:lang w:val="zh-CN"/>
        </w:rPr>
        <w:t>万元，占比8</w:t>
      </w:r>
      <w:r>
        <w:rPr>
          <w:rFonts w:hint="eastAsia" w:ascii="仿宋" w:hAnsi="仿宋" w:eastAsia="仿宋"/>
          <w:sz w:val="32"/>
          <w:szCs w:val="32"/>
        </w:rPr>
        <w:t>2.02</w:t>
      </w:r>
      <w:r>
        <w:rPr>
          <w:rFonts w:hint="eastAsia" w:ascii="仿宋" w:hAnsi="仿宋" w:eastAsia="仿宋"/>
          <w:sz w:val="32"/>
          <w:szCs w:val="32"/>
          <w:lang w:val="zh-CN"/>
        </w:rPr>
        <w:t>%，项目收入</w:t>
      </w:r>
      <w:r>
        <w:rPr>
          <w:rFonts w:hint="eastAsia" w:ascii="仿宋" w:hAnsi="仿宋" w:eastAsia="仿宋"/>
          <w:sz w:val="32"/>
          <w:szCs w:val="32"/>
        </w:rPr>
        <w:t>390.24</w:t>
      </w:r>
      <w:r>
        <w:rPr>
          <w:rFonts w:hint="eastAsia" w:ascii="仿宋" w:hAnsi="仿宋" w:eastAsia="仿宋"/>
          <w:sz w:val="32"/>
          <w:szCs w:val="32"/>
          <w:lang w:val="zh-CN"/>
        </w:rPr>
        <w:t>万元，占比</w:t>
      </w:r>
      <w:r>
        <w:rPr>
          <w:rFonts w:hint="eastAsia" w:ascii="仿宋" w:hAnsi="仿宋" w:eastAsia="仿宋"/>
          <w:sz w:val="32"/>
          <w:szCs w:val="32"/>
        </w:rPr>
        <w:t>17.98</w:t>
      </w:r>
      <w:r>
        <w:rPr>
          <w:rFonts w:hint="eastAsia" w:ascii="仿宋" w:hAnsi="仿宋" w:eastAsia="仿宋"/>
          <w:sz w:val="32"/>
          <w:szCs w:val="32"/>
          <w:lang w:val="zh-CN"/>
        </w:rPr>
        <w:t>%。</w:t>
      </w:r>
    </w:p>
    <w:p>
      <w:pPr>
        <w:widowControl/>
        <w:adjustRightInd w:val="0"/>
        <w:snapToGrid w:val="0"/>
        <w:spacing w:line="560" w:lineRule="exact"/>
        <w:ind w:firstLine="640" w:firstLineChars="200"/>
        <w:contextualSpacing/>
        <w:jc w:val="left"/>
        <w:rPr>
          <w:rFonts w:ascii="仿宋" w:hAnsi="仿宋" w:eastAsia="仿宋"/>
          <w:kern w:val="0"/>
          <w:sz w:val="32"/>
          <w:szCs w:val="32"/>
          <w:lang w:val="zh-CN"/>
        </w:rPr>
      </w:pPr>
      <w:r>
        <w:rPr>
          <w:rFonts w:hint="eastAsia" w:ascii="仿宋" w:hAnsi="仿宋" w:eastAsia="仿宋"/>
          <w:kern w:val="0"/>
          <w:sz w:val="32"/>
          <w:szCs w:val="32"/>
        </w:rPr>
        <w:t>3.</w:t>
      </w:r>
      <w:r>
        <w:rPr>
          <w:rFonts w:hint="eastAsia" w:ascii="仿宋" w:hAnsi="仿宋" w:eastAsia="仿宋"/>
          <w:kern w:val="0"/>
          <w:sz w:val="32"/>
          <w:szCs w:val="32"/>
          <w:lang w:val="zh-CN"/>
        </w:rPr>
        <w:t>部门总体结转结余情况</w:t>
      </w:r>
    </w:p>
    <w:p>
      <w:pPr>
        <w:pStyle w:val="2"/>
        <w:spacing w:before="93" w:line="560" w:lineRule="exact"/>
        <w:ind w:firstLine="640" w:firstLineChars="200"/>
      </w:pPr>
      <w:r>
        <w:rPr>
          <w:rFonts w:hint="eastAsia" w:ascii="仿宋" w:hAnsi="仿宋" w:eastAsia="仿宋"/>
          <w:sz w:val="32"/>
          <w:szCs w:val="32"/>
        </w:rPr>
        <w:t>2022年部门年初结转和结余696.96万元，无年末结转和结余。</w:t>
      </w:r>
    </w:p>
    <w:p>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（二）部门财政拨款收支情况。</w:t>
      </w:r>
    </w:p>
    <w:p>
      <w:pPr>
        <w:widowControl/>
        <w:adjustRightInd w:val="0"/>
        <w:snapToGrid w:val="0"/>
        <w:spacing w:line="560" w:lineRule="exact"/>
        <w:ind w:firstLine="640" w:firstLineChars="200"/>
        <w:contextualSpacing/>
        <w:jc w:val="left"/>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1.部门财政拨款收入情况</w:t>
      </w:r>
    </w:p>
    <w:p>
      <w:pPr>
        <w:pStyle w:val="2"/>
        <w:adjustRightInd w:val="0"/>
        <w:snapToGrid w:val="0"/>
        <w:spacing w:before="93" w:line="560" w:lineRule="exact"/>
        <w:ind w:firstLine="640" w:firstLineChars="200"/>
        <w:outlineLvl w:val="2"/>
        <w:rPr>
          <w:rFonts w:ascii="仿宋" w:hAnsi="仿宋" w:eastAsia="仿宋" w:cs="仿宋"/>
        </w:rPr>
      </w:pPr>
      <w:r>
        <w:rPr>
          <w:rFonts w:hint="eastAsia" w:ascii="仿宋" w:hAnsi="仿宋" w:eastAsia="仿宋" w:cs="仿宋"/>
          <w:sz w:val="32"/>
          <w:szCs w:val="32"/>
          <w:lang w:val="zh-CN"/>
        </w:rPr>
        <w:t>2022年部门</w:t>
      </w:r>
      <w:r>
        <w:rPr>
          <w:rFonts w:hint="eastAsia" w:ascii="仿宋" w:hAnsi="仿宋" w:eastAsia="仿宋" w:cs="仿宋"/>
          <w:sz w:val="32"/>
          <w:szCs w:val="32"/>
          <w:shd w:val="clear" w:color="auto" w:fill="FFFFFF"/>
        </w:rPr>
        <w:t>财政拨款收入</w:t>
      </w:r>
      <w:r>
        <w:rPr>
          <w:rFonts w:hint="eastAsia" w:ascii="仿宋" w:hAnsi="仿宋" w:eastAsia="仿宋" w:cs="仿宋"/>
          <w:sz w:val="32"/>
          <w:szCs w:val="32"/>
        </w:rPr>
        <w:t>292.04</w:t>
      </w:r>
      <w:r>
        <w:rPr>
          <w:rFonts w:hint="eastAsia" w:ascii="仿宋" w:hAnsi="仿宋" w:eastAsia="仿宋" w:cs="仿宋"/>
          <w:sz w:val="32"/>
          <w:szCs w:val="32"/>
          <w:lang w:val="zh-CN"/>
        </w:rPr>
        <w:t>万元，其中基本收入</w:t>
      </w:r>
      <w:r>
        <w:rPr>
          <w:rFonts w:hint="eastAsia" w:ascii="仿宋" w:hAnsi="仿宋" w:eastAsia="仿宋" w:cs="仿宋"/>
          <w:sz w:val="32"/>
          <w:szCs w:val="32"/>
        </w:rPr>
        <w:t>248.33</w:t>
      </w:r>
      <w:r>
        <w:rPr>
          <w:rFonts w:hint="eastAsia" w:ascii="仿宋" w:hAnsi="仿宋" w:eastAsia="仿宋" w:cs="仿宋"/>
          <w:sz w:val="32"/>
          <w:szCs w:val="32"/>
          <w:lang w:val="zh-CN"/>
        </w:rPr>
        <w:t>万元，占比8</w:t>
      </w:r>
      <w:r>
        <w:rPr>
          <w:rFonts w:hint="eastAsia" w:ascii="仿宋" w:hAnsi="仿宋" w:eastAsia="仿宋" w:cs="仿宋"/>
          <w:sz w:val="32"/>
          <w:szCs w:val="32"/>
        </w:rPr>
        <w:t>5.03</w:t>
      </w:r>
      <w:r>
        <w:rPr>
          <w:rFonts w:hint="eastAsia" w:ascii="仿宋" w:hAnsi="仿宋" w:eastAsia="仿宋" w:cs="仿宋"/>
          <w:sz w:val="32"/>
          <w:szCs w:val="32"/>
          <w:lang w:val="zh-CN"/>
        </w:rPr>
        <w:t>%，项目收入</w:t>
      </w:r>
      <w:r>
        <w:rPr>
          <w:rFonts w:hint="eastAsia" w:ascii="仿宋" w:hAnsi="仿宋" w:eastAsia="仿宋" w:cs="仿宋"/>
          <w:sz w:val="32"/>
          <w:szCs w:val="32"/>
        </w:rPr>
        <w:t>43.71</w:t>
      </w:r>
      <w:r>
        <w:rPr>
          <w:rFonts w:hint="eastAsia" w:ascii="仿宋" w:hAnsi="仿宋" w:eastAsia="仿宋" w:cs="仿宋"/>
          <w:sz w:val="32"/>
          <w:szCs w:val="32"/>
          <w:lang w:val="zh-CN"/>
        </w:rPr>
        <w:t>万元，占比</w:t>
      </w:r>
      <w:r>
        <w:rPr>
          <w:rFonts w:hint="eastAsia" w:ascii="仿宋" w:hAnsi="仿宋" w:eastAsia="仿宋" w:cs="仿宋"/>
          <w:sz w:val="32"/>
          <w:szCs w:val="32"/>
        </w:rPr>
        <w:t>14.97</w:t>
      </w:r>
      <w:r>
        <w:rPr>
          <w:rFonts w:hint="eastAsia" w:ascii="仿宋" w:hAnsi="仿宋" w:eastAsia="仿宋" w:cs="仿宋"/>
          <w:sz w:val="32"/>
          <w:szCs w:val="32"/>
          <w:lang w:val="zh-CN"/>
        </w:rPr>
        <w:t>%。</w:t>
      </w:r>
    </w:p>
    <w:p>
      <w:pPr>
        <w:widowControl/>
        <w:adjustRightInd w:val="0"/>
        <w:snapToGrid w:val="0"/>
        <w:spacing w:line="560" w:lineRule="exact"/>
        <w:ind w:firstLine="640" w:firstLineChars="200"/>
        <w:contextualSpacing/>
        <w:jc w:val="left"/>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2.部门财政拨款支出情况</w:t>
      </w:r>
    </w:p>
    <w:p>
      <w:pPr>
        <w:pStyle w:val="2"/>
        <w:adjustRightInd w:val="0"/>
        <w:snapToGrid w:val="0"/>
        <w:spacing w:before="93" w:line="560" w:lineRule="exact"/>
        <w:ind w:firstLine="640" w:firstLineChars="200"/>
        <w:outlineLvl w:val="2"/>
        <w:rPr>
          <w:rFonts w:ascii="仿宋" w:hAnsi="仿宋" w:eastAsia="仿宋" w:cs="仿宋"/>
        </w:rPr>
      </w:pPr>
      <w:r>
        <w:rPr>
          <w:rFonts w:hint="eastAsia" w:ascii="仿宋" w:hAnsi="仿宋" w:eastAsia="仿宋" w:cs="仿宋"/>
          <w:sz w:val="32"/>
          <w:szCs w:val="32"/>
          <w:lang w:val="zh-CN"/>
        </w:rPr>
        <w:t>2022年部门</w:t>
      </w:r>
      <w:r>
        <w:rPr>
          <w:rFonts w:hint="eastAsia" w:ascii="仿宋" w:hAnsi="仿宋" w:eastAsia="仿宋" w:cs="仿宋"/>
          <w:sz w:val="32"/>
          <w:szCs w:val="32"/>
          <w:shd w:val="clear" w:color="auto" w:fill="FFFFFF"/>
        </w:rPr>
        <w:t>财政拨款支出</w:t>
      </w:r>
      <w:r>
        <w:rPr>
          <w:rFonts w:hint="eastAsia" w:ascii="仿宋" w:hAnsi="仿宋" w:eastAsia="仿宋" w:cs="仿宋"/>
          <w:sz w:val="32"/>
          <w:szCs w:val="32"/>
        </w:rPr>
        <w:t>989.01</w:t>
      </w:r>
      <w:r>
        <w:rPr>
          <w:rFonts w:hint="eastAsia" w:ascii="仿宋" w:hAnsi="仿宋" w:eastAsia="仿宋" w:cs="仿宋"/>
          <w:sz w:val="32"/>
          <w:szCs w:val="32"/>
          <w:lang w:val="zh-CN"/>
        </w:rPr>
        <w:t>万元，其中基本收入</w:t>
      </w:r>
      <w:r>
        <w:rPr>
          <w:rFonts w:hint="eastAsia" w:ascii="仿宋" w:hAnsi="仿宋" w:eastAsia="仿宋" w:cs="仿宋"/>
          <w:sz w:val="32"/>
          <w:szCs w:val="32"/>
        </w:rPr>
        <w:t>917.16</w:t>
      </w:r>
      <w:r>
        <w:rPr>
          <w:rFonts w:hint="eastAsia" w:ascii="仿宋" w:hAnsi="仿宋" w:eastAsia="仿宋" w:cs="仿宋"/>
          <w:sz w:val="32"/>
          <w:szCs w:val="32"/>
          <w:lang w:val="zh-CN"/>
        </w:rPr>
        <w:t>万元，占比</w:t>
      </w:r>
      <w:r>
        <w:rPr>
          <w:rFonts w:hint="eastAsia" w:ascii="仿宋" w:hAnsi="仿宋" w:eastAsia="仿宋" w:cs="仿宋"/>
          <w:sz w:val="32"/>
          <w:szCs w:val="32"/>
        </w:rPr>
        <w:t>92.74</w:t>
      </w:r>
      <w:r>
        <w:rPr>
          <w:rFonts w:hint="eastAsia" w:ascii="仿宋" w:hAnsi="仿宋" w:eastAsia="仿宋" w:cs="仿宋"/>
          <w:sz w:val="32"/>
          <w:szCs w:val="32"/>
          <w:lang w:val="zh-CN"/>
        </w:rPr>
        <w:t>%，项目收入</w:t>
      </w:r>
      <w:r>
        <w:rPr>
          <w:rFonts w:hint="eastAsia" w:ascii="仿宋" w:hAnsi="仿宋" w:eastAsia="仿宋" w:cs="仿宋"/>
          <w:sz w:val="32"/>
          <w:szCs w:val="32"/>
        </w:rPr>
        <w:t>71.85</w:t>
      </w:r>
      <w:r>
        <w:rPr>
          <w:rFonts w:hint="eastAsia" w:ascii="仿宋" w:hAnsi="仿宋" w:eastAsia="仿宋" w:cs="仿宋"/>
          <w:sz w:val="32"/>
          <w:szCs w:val="32"/>
          <w:lang w:val="zh-CN"/>
        </w:rPr>
        <w:t>万元，占比</w:t>
      </w:r>
      <w:r>
        <w:rPr>
          <w:rFonts w:hint="eastAsia" w:ascii="仿宋" w:hAnsi="仿宋" w:eastAsia="仿宋" w:cs="仿宋"/>
          <w:sz w:val="32"/>
          <w:szCs w:val="32"/>
        </w:rPr>
        <w:t>7.26</w:t>
      </w:r>
      <w:r>
        <w:rPr>
          <w:rFonts w:hint="eastAsia" w:ascii="仿宋" w:hAnsi="仿宋" w:eastAsia="仿宋" w:cs="仿宋"/>
          <w:sz w:val="32"/>
          <w:szCs w:val="32"/>
          <w:lang w:val="zh-CN"/>
        </w:rPr>
        <w:t>%。</w:t>
      </w:r>
    </w:p>
    <w:p>
      <w:pPr>
        <w:widowControl/>
        <w:adjustRightInd w:val="0"/>
        <w:snapToGrid w:val="0"/>
        <w:spacing w:line="560" w:lineRule="exact"/>
        <w:ind w:firstLine="640" w:firstLineChars="200"/>
        <w:contextualSpacing/>
        <w:jc w:val="left"/>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3.部门财政拨款结转结余情况</w:t>
      </w:r>
    </w:p>
    <w:p>
      <w:pPr>
        <w:pStyle w:val="2"/>
        <w:spacing w:before="93" w:line="560" w:lineRule="exact"/>
        <w:ind w:firstLine="600" w:firstLineChars="200"/>
        <w:rPr>
          <w:rFonts w:ascii="仿宋" w:hAnsi="仿宋" w:eastAsia="仿宋" w:cs="仿宋"/>
        </w:rPr>
      </w:pPr>
      <w:r>
        <w:rPr>
          <w:rFonts w:hint="eastAsia" w:ascii="仿宋" w:hAnsi="仿宋" w:eastAsia="仿宋" w:cs="仿宋"/>
        </w:rPr>
        <w:t>2022年部门年初结转和结余696.96万元，无年末结转和结余。</w:t>
      </w:r>
    </w:p>
    <w:p>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三、部门整体绩效分析</w:t>
      </w:r>
    </w:p>
    <w:p>
      <w:pPr>
        <w:widowControl/>
        <w:adjustRightInd w:val="0"/>
        <w:snapToGrid w:val="0"/>
        <w:spacing w:line="560" w:lineRule="exact"/>
        <w:ind w:firstLine="643"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（一）部门预算项目绩效分析。</w:t>
      </w:r>
    </w:p>
    <w:p>
      <w:pPr>
        <w:widowControl/>
        <w:adjustRightInd w:val="0"/>
        <w:snapToGrid w:val="0"/>
        <w:spacing w:line="560" w:lineRule="exact"/>
        <w:ind w:firstLine="640" w:firstLineChars="200"/>
        <w:contextualSpacing/>
        <w:jc w:val="left"/>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1.人员类项目绩效分析</w:t>
      </w:r>
    </w:p>
    <w:p>
      <w:pPr>
        <w:widowControl/>
        <w:adjustRightInd w:val="0"/>
        <w:snapToGrid w:val="0"/>
        <w:spacing w:line="560" w:lineRule="exact"/>
        <w:ind w:firstLine="640" w:firstLineChars="200"/>
        <w:contextualSpacing/>
        <w:jc w:val="left"/>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lang w:val="zh-CN"/>
        </w:rPr>
        <w:t>2022年人员类经费支出决算数为</w:t>
      </w:r>
      <w:r>
        <w:rPr>
          <w:rFonts w:hint="eastAsia" w:ascii="仿宋" w:hAnsi="仿宋" w:eastAsia="仿宋" w:cs="仿宋"/>
          <w:kern w:val="0"/>
          <w:sz w:val="32"/>
          <w:szCs w:val="32"/>
          <w:shd w:val="clear" w:color="auto" w:fill="FFFFFF"/>
        </w:rPr>
        <w:t>1631.33</w:t>
      </w:r>
      <w:r>
        <w:rPr>
          <w:rFonts w:hint="eastAsia" w:ascii="仿宋" w:hAnsi="仿宋" w:eastAsia="仿宋" w:cs="仿宋"/>
          <w:kern w:val="0"/>
          <w:sz w:val="32"/>
          <w:szCs w:val="32"/>
          <w:shd w:val="clear" w:color="auto" w:fill="FFFFFF"/>
          <w:lang w:val="zh-CN"/>
        </w:rPr>
        <w:t>万元，</w:t>
      </w:r>
      <w:r>
        <w:rPr>
          <w:rFonts w:hint="eastAsia" w:ascii="仿宋" w:hAnsi="仿宋" w:eastAsia="仿宋" w:cs="仿宋"/>
          <w:kern w:val="0"/>
          <w:sz w:val="32"/>
          <w:szCs w:val="32"/>
          <w:shd w:val="clear" w:color="auto" w:fill="FFFFFF"/>
        </w:rPr>
        <w:t>预算完成率</w:t>
      </w:r>
      <w:r>
        <w:rPr>
          <w:rFonts w:hint="eastAsia" w:ascii="仿宋" w:hAnsi="仿宋" w:eastAsia="仿宋" w:cs="仿宋"/>
          <w:kern w:val="0"/>
          <w:sz w:val="32"/>
          <w:szCs w:val="32"/>
          <w:shd w:val="clear" w:color="auto" w:fill="FFFFFF"/>
          <w:lang w:val="zh-CN"/>
        </w:rPr>
        <w:t>100%，年末无结转结余。我院年初设置了绩效目标，人员经费主要用于</w:t>
      </w:r>
      <w:r>
        <w:rPr>
          <w:rFonts w:hint="eastAsia" w:ascii="仿宋" w:hAnsi="仿宋" w:eastAsia="仿宋" w:cs="仿宋"/>
          <w:color w:val="000000"/>
          <w:kern w:val="0"/>
          <w:sz w:val="32"/>
          <w:szCs w:val="32"/>
          <w:shd w:val="clear" w:color="auto" w:fill="FFFFFF"/>
          <w:lang w:val="zh-CN"/>
        </w:rPr>
        <w:t>基本工资、津贴补贴、奖金、绩效工资、机关事业单位基本养老保险缴费、职业年金缴费、其他社会保障缴费、其他工资福利支出、抚恤金、生活补助、医疗费补助、住房公积金、其他对个人和家庭的补助支出等经费保障</w:t>
      </w:r>
      <w:r>
        <w:rPr>
          <w:rFonts w:hint="eastAsia" w:ascii="仿宋" w:hAnsi="仿宋" w:eastAsia="仿宋" w:cs="仿宋"/>
          <w:kern w:val="0"/>
          <w:sz w:val="32"/>
          <w:szCs w:val="32"/>
          <w:shd w:val="clear" w:color="auto" w:fill="FFFFFF"/>
          <w:lang w:val="zh-CN"/>
        </w:rPr>
        <w:t>。在预算执行过程中，我院严格按照内部控制手册、绩效评价相关要求对各项资金支出进行有效控制，对支付进度未按要求使用的资金进行及时调整，使各项经费保持科学的执行进度，严格落实各项资金预算。尽量压缩经费开支，以最低的经费标准保障我院各项工作的正常开展 ，无违规使用资金情况。</w:t>
      </w:r>
    </w:p>
    <w:p>
      <w:pPr>
        <w:widowControl/>
        <w:adjustRightInd w:val="0"/>
        <w:snapToGrid w:val="0"/>
        <w:spacing w:line="560" w:lineRule="exact"/>
        <w:ind w:firstLine="640" w:firstLineChars="200"/>
        <w:contextualSpacing/>
        <w:jc w:val="left"/>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2.运转类项目绩效分析</w:t>
      </w:r>
    </w:p>
    <w:p>
      <w:pPr>
        <w:widowControl/>
        <w:adjustRightInd w:val="0"/>
        <w:snapToGrid w:val="0"/>
        <w:spacing w:line="560" w:lineRule="exact"/>
        <w:ind w:firstLine="640" w:firstLineChars="200"/>
        <w:contextualSpacing/>
        <w:jc w:val="left"/>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2022年运转类项目支出决算数为480.38万元，其中公用经费148.57万元、聘用制书记员经费71.84万元、中央转移支付项目经费259.97万元，预算完成率100%，年末无结转结余。我院年初设置了绩效目标，运转类经费主要用于保障我院办公费、水费、邮电费、差旅费、劳务费、委托业务费、公务用车运行维护费等日常公用经费和聘用制书记员的工资社保。在预算执行过程中，我院严格按照内部控制手册、绩效评价相关要求对各项资金支出进行有效控制，对支付进度未按要求使用的资金进行及时调整，使各项经费保持科学的执行进度，严格落实各项资金预算。尽量压缩经费开支，以最低的经费标准保障我院各项工作的正常开展 ，无违规使用资金情况。</w:t>
      </w:r>
    </w:p>
    <w:p>
      <w:pPr>
        <w:widowControl/>
        <w:adjustRightInd w:val="0"/>
        <w:snapToGrid w:val="0"/>
        <w:spacing w:line="560" w:lineRule="exact"/>
        <w:ind w:firstLine="640" w:firstLineChars="200"/>
        <w:contextualSpacing/>
        <w:jc w:val="left"/>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3.特定目标类项目绩效分析</w:t>
      </w:r>
    </w:p>
    <w:p>
      <w:pPr>
        <w:widowControl/>
        <w:adjustRightInd w:val="0"/>
        <w:snapToGrid w:val="0"/>
        <w:spacing w:line="560" w:lineRule="exact"/>
        <w:ind w:firstLine="640" w:firstLineChars="200"/>
        <w:contextualSpacing/>
        <w:jc w:val="left"/>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2022年特定目标类项目支出决算数为58.43万元，其中渔门法庭“石榴籽”调解室经费3万元、“十三五”期间创建的节约型公共机构示范单位奖补资金8.41万元、中央转移支付司法救助金27万元、中央转移支付扫黑除恶专项资金2万元、黄志杰罚没收入2.6万元，破产费用保障资金15.42万元，预算完成率100%，年末无结转结余。我院年初设置了绩效目标，特定目标类项目主要用于保障我院“石榴籽”调解室打造、扫黑除恶、破产案件、司法救助等专项工作的经费支出。在预算执行过程中，我院严格按照内部控制手册、绩效评价相关要求对各项资金支出进行有效控制，对支付进度未按要求使用的资金进行及时调整，使各项经费保持科学的执行进度，严格落实各项资金预算。尽量压缩经费开支，以最低的经费标准保障我院各项工作的正常开展 ，无违规使用资金情况。</w:t>
      </w:r>
    </w:p>
    <w:p>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（二）部门整体履职绩效分析。</w:t>
      </w:r>
    </w:p>
    <w:p>
      <w:pPr>
        <w:widowControl/>
        <w:adjustRightInd w:val="0"/>
        <w:snapToGrid w:val="0"/>
        <w:spacing w:line="560" w:lineRule="exact"/>
        <w:ind w:firstLine="643" w:firstLineChars="200"/>
        <w:contextualSpacing/>
        <w:jc w:val="left"/>
        <w:rPr>
          <w:rFonts w:ascii="仿宋" w:hAnsi="仿宋" w:eastAsia="仿宋" w:cs="仿宋"/>
          <w:b/>
          <w:bCs/>
          <w:kern w:val="0"/>
          <w:sz w:val="32"/>
          <w:szCs w:val="32"/>
          <w:shd w:val="clear" w:color="auto" w:fill="FFFFFF"/>
          <w:lang w:val="zh-CN"/>
        </w:rPr>
      </w:pPr>
      <w:r>
        <w:rPr>
          <w:rFonts w:hint="eastAsia" w:ascii="仿宋" w:hAnsi="仿宋" w:eastAsia="仿宋" w:cs="仿宋"/>
          <w:b/>
          <w:bCs/>
          <w:kern w:val="0"/>
          <w:sz w:val="32"/>
          <w:szCs w:val="32"/>
          <w:shd w:val="clear" w:color="auto" w:fill="FFFFFF"/>
        </w:rPr>
        <w:t>一是</w:t>
      </w:r>
      <w:r>
        <w:rPr>
          <w:rFonts w:hint="eastAsia" w:ascii="仿宋" w:hAnsi="仿宋" w:eastAsia="仿宋" w:cs="仿宋"/>
          <w:b/>
          <w:bCs/>
          <w:kern w:val="0"/>
          <w:sz w:val="32"/>
          <w:szCs w:val="32"/>
          <w:shd w:val="clear" w:color="auto" w:fill="FFFFFF"/>
          <w:lang w:val="zh-CN"/>
        </w:rPr>
        <w:t>紧扣中心大局，不断提升服务高质量发展水平。</w:t>
      </w:r>
    </w:p>
    <w:p>
      <w:pPr>
        <w:widowControl/>
        <w:adjustRightInd w:val="0"/>
        <w:snapToGrid w:val="0"/>
        <w:spacing w:line="560" w:lineRule="exact"/>
        <w:ind w:firstLine="643"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b/>
          <w:bCs/>
          <w:kern w:val="0"/>
          <w:sz w:val="32"/>
          <w:szCs w:val="32"/>
          <w:shd w:val="clear" w:color="auto" w:fill="FFFFFF"/>
          <w:lang w:val="zh-CN"/>
        </w:rPr>
        <w:t>助推法治化营商环境建设。</w:t>
      </w:r>
      <w:r>
        <w:rPr>
          <w:rFonts w:hint="eastAsia" w:ascii="仿宋" w:hAnsi="仿宋" w:eastAsia="仿宋" w:cs="仿宋"/>
          <w:kern w:val="0"/>
          <w:sz w:val="32"/>
          <w:szCs w:val="32"/>
          <w:shd w:val="clear" w:color="auto" w:fill="FFFFFF"/>
          <w:lang w:val="zh-CN"/>
        </w:rPr>
        <w:t>聚焦“项目攻坚突破年”工作部署，院长牵头发展壮大新型农村集体经济突破行动，坚持动态掌控推进情况，全面助推集体经济发展。聚焦优化法治营商环境，持续推进辖区企业“走访+回访”双机制，主动走访攀枝花佳禾公司金菠萝种植基地、龙佰产业园、红格温泉假日酒店等企业，开展“订单式”法律宣传18次，梳理法律风险点，护航辖区重点项目建设。聚焦民生案件执行“绿色通道”，春节前组织开展“司法大拜年”执行案款集中兑付活动，集中为136名申请人兑付执行案款1346余万元，切实解决群众“急难愁盼”问题。</w:t>
      </w:r>
    </w:p>
    <w:p>
      <w:pPr>
        <w:widowControl/>
        <w:adjustRightInd w:val="0"/>
        <w:snapToGrid w:val="0"/>
        <w:spacing w:line="560" w:lineRule="exact"/>
        <w:ind w:firstLine="643"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b/>
          <w:bCs/>
          <w:kern w:val="0"/>
          <w:sz w:val="32"/>
          <w:szCs w:val="32"/>
          <w:shd w:val="clear" w:color="auto" w:fill="FFFFFF"/>
          <w:lang w:val="zh-CN"/>
        </w:rPr>
        <w:t>主动融入社会综合治理。</w:t>
      </w:r>
      <w:r>
        <w:rPr>
          <w:rFonts w:hint="eastAsia" w:ascii="仿宋" w:hAnsi="仿宋" w:eastAsia="仿宋" w:cs="仿宋"/>
          <w:kern w:val="0"/>
          <w:sz w:val="32"/>
          <w:szCs w:val="32"/>
          <w:shd w:val="clear" w:color="auto" w:fill="FFFFFF"/>
          <w:lang w:val="zh-CN"/>
        </w:rPr>
        <w:t>严格落实既有住宅增设电梯“包联工作机制”，组织党员干警上门入户宣传，开展电梯加装纠纷模拟法庭活动，不断提升群众获得感幸福感。统筹森林草原防灭火及疫情防控工作，组织干警开展卡点值守、进村入户、入林宣传、隐患排查等，强化院领导、专委到包联乡镇、村、社督导检查工作29人次，强化开展党员“双报到”“疫情防控暨森林防火党员先锋战一线”等主题党日活动4次，坚决把牢疫情防控安全关、守好森林草原责任田。</w:t>
      </w:r>
    </w:p>
    <w:p>
      <w:pPr>
        <w:widowControl/>
        <w:adjustRightInd w:val="0"/>
        <w:snapToGrid w:val="0"/>
        <w:spacing w:line="560" w:lineRule="exact"/>
        <w:ind w:firstLine="643"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b/>
          <w:bCs/>
          <w:kern w:val="0"/>
          <w:sz w:val="32"/>
          <w:szCs w:val="32"/>
          <w:shd w:val="clear" w:color="auto" w:fill="FFFFFF"/>
          <w:lang w:val="zh-CN"/>
        </w:rPr>
        <w:t>深入贯彻总体国家安全观。</w:t>
      </w:r>
      <w:r>
        <w:rPr>
          <w:rFonts w:hint="eastAsia" w:ascii="仿宋" w:hAnsi="仿宋" w:eastAsia="仿宋" w:cs="仿宋"/>
          <w:kern w:val="0"/>
          <w:sz w:val="32"/>
          <w:szCs w:val="32"/>
          <w:shd w:val="clear" w:color="auto" w:fill="FFFFFF"/>
          <w:lang w:val="zh-CN"/>
        </w:rPr>
        <w:t xml:space="preserve">常态化开展扫黑除恶斗争、打击整治养老诈骗专项宣传活动5次，提高群众知晓面与支持度。严厉打击涉毒品犯罪案件5件，审理非法持枪案件41件，为建设平安盐边保驾护航。审结危险驾驶、交通肇事等危害公共安全犯罪案件44件，切实维护社会平安稳定。聚焦生态修复，审结涉环境资源案件13件，依法严惩违反长江流域10年禁捕的犯罪行为。严惩保险诈骗犯罪案件3件，守好百姓“看病钱”“救命钱”。 </w:t>
      </w:r>
    </w:p>
    <w:p>
      <w:pPr>
        <w:widowControl/>
        <w:adjustRightInd w:val="0"/>
        <w:snapToGrid w:val="0"/>
        <w:spacing w:line="560" w:lineRule="exact"/>
        <w:ind w:firstLine="643" w:firstLineChars="200"/>
        <w:contextualSpacing/>
        <w:jc w:val="left"/>
        <w:rPr>
          <w:rFonts w:ascii="仿宋" w:hAnsi="仿宋" w:eastAsia="仿宋" w:cs="仿宋"/>
          <w:b/>
          <w:bCs/>
          <w:kern w:val="0"/>
          <w:sz w:val="32"/>
          <w:szCs w:val="32"/>
          <w:shd w:val="clear" w:color="auto" w:fill="FFFFFF"/>
          <w:lang w:val="zh-CN"/>
        </w:rPr>
      </w:pPr>
      <w:r>
        <w:rPr>
          <w:rFonts w:hint="eastAsia" w:ascii="仿宋" w:hAnsi="仿宋" w:eastAsia="仿宋" w:cs="仿宋"/>
          <w:b/>
          <w:bCs/>
          <w:kern w:val="0"/>
          <w:sz w:val="32"/>
          <w:szCs w:val="32"/>
          <w:shd w:val="clear" w:color="auto" w:fill="FFFFFF"/>
        </w:rPr>
        <w:t>二是</w:t>
      </w:r>
      <w:r>
        <w:rPr>
          <w:rFonts w:hint="eastAsia" w:ascii="仿宋" w:hAnsi="仿宋" w:eastAsia="仿宋" w:cs="仿宋"/>
          <w:b/>
          <w:bCs/>
          <w:kern w:val="0"/>
          <w:sz w:val="32"/>
          <w:szCs w:val="32"/>
          <w:shd w:val="clear" w:color="auto" w:fill="FFFFFF"/>
          <w:lang w:val="zh-CN"/>
        </w:rPr>
        <w:t>强化审判职能，不断提升司法公正高效水平。</w:t>
      </w:r>
    </w:p>
    <w:p>
      <w:pPr>
        <w:widowControl/>
        <w:adjustRightInd w:val="0"/>
        <w:snapToGrid w:val="0"/>
        <w:spacing w:line="560" w:lineRule="exact"/>
        <w:ind w:firstLine="643"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b/>
          <w:bCs/>
          <w:kern w:val="0"/>
          <w:sz w:val="32"/>
          <w:szCs w:val="32"/>
          <w:shd w:val="clear" w:color="auto" w:fill="FFFFFF"/>
          <w:lang w:val="zh-CN"/>
        </w:rPr>
        <w:t>全面助推诚信社会建设。</w:t>
      </w:r>
      <w:r>
        <w:rPr>
          <w:rFonts w:hint="eastAsia" w:ascii="仿宋" w:hAnsi="仿宋" w:eastAsia="仿宋" w:cs="仿宋"/>
          <w:kern w:val="0"/>
          <w:sz w:val="32"/>
          <w:szCs w:val="32"/>
          <w:shd w:val="clear" w:color="auto" w:fill="FFFFFF"/>
          <w:lang w:val="zh-CN"/>
        </w:rPr>
        <w:t>共受理首次执行案件1608件，执结1568件，执行到位标的7.34亿元。巩固完善综合治理执行难工作大格局，组织县检察院、县公安局召开打击拒不执行生效判决、裁定犯罪工作推进会，向公安机关移送拒执并判刑成功案件1件，开展“执行不能”专项宣传活动4次，邀请金融机构参加执行联动工作座谈会，与金融机构建立良好的常态化沟通机制，提高执行联动效率。加强失信联合惩戒，限制高消费456人，列入失信人员库309人，公开曝光14人。</w:t>
      </w:r>
    </w:p>
    <w:p>
      <w:pPr>
        <w:widowControl/>
        <w:adjustRightInd w:val="0"/>
        <w:snapToGrid w:val="0"/>
        <w:spacing w:line="560" w:lineRule="exact"/>
        <w:ind w:firstLine="643"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b/>
          <w:bCs/>
          <w:kern w:val="0"/>
          <w:sz w:val="32"/>
          <w:szCs w:val="32"/>
          <w:shd w:val="clear" w:color="auto" w:fill="FFFFFF"/>
          <w:lang w:val="zh-CN"/>
        </w:rPr>
        <w:t>全面提升办案质量。</w:t>
      </w:r>
      <w:r>
        <w:rPr>
          <w:rFonts w:hint="eastAsia" w:ascii="仿宋" w:hAnsi="仿宋" w:eastAsia="仿宋" w:cs="仿宋"/>
          <w:kern w:val="0"/>
          <w:sz w:val="32"/>
          <w:szCs w:val="32"/>
          <w:shd w:val="clear" w:color="auto" w:fill="FFFFFF"/>
          <w:lang w:val="zh-CN"/>
        </w:rPr>
        <w:t>共受理案件3787件，其中旧存167件，新收3620件。结案3721件，结案率98.26%，同比提高2.34%。结收比102.79%，同比提高5.69%。一年以上长期未结案1件（系破产案件），6个月以上长期未结案8件；庭审直播率80.22%；裁判文书上网率100%；审判流程信息公开率100%；四类案件监管比例6.13%；实质化监管率100%；关联案件检索率100%；类案检索率100%。</w:t>
      </w:r>
    </w:p>
    <w:p>
      <w:pPr>
        <w:widowControl/>
        <w:adjustRightInd w:val="0"/>
        <w:snapToGrid w:val="0"/>
        <w:spacing w:line="560" w:lineRule="exact"/>
        <w:ind w:firstLine="643"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b/>
          <w:bCs/>
          <w:kern w:val="0"/>
          <w:sz w:val="32"/>
          <w:szCs w:val="32"/>
          <w:shd w:val="clear" w:color="auto" w:fill="FFFFFF"/>
          <w:lang w:val="zh-CN"/>
        </w:rPr>
        <w:t>全面优化关键质效。</w:t>
      </w:r>
      <w:r>
        <w:rPr>
          <w:rFonts w:hint="eastAsia" w:ascii="仿宋" w:hAnsi="仿宋" w:eastAsia="仿宋" w:cs="仿宋"/>
          <w:kern w:val="0"/>
          <w:sz w:val="32"/>
          <w:szCs w:val="32"/>
          <w:shd w:val="clear" w:color="auto" w:fill="FFFFFF"/>
          <w:lang w:val="zh-CN"/>
        </w:rPr>
        <w:t>一审判决案件改发率0.45%，同比降低3.176%；服判息诉率96.89%，同比提高3.07%；平均在院审理天数39.38天；法官平均结案数169.14件；收结案均衡度75.65%（其中收案均衡度87.55%，结案均衡度63.74%）；生效案件改发率0.049%；法定审限类结案率100%；民商事案件调撤率63.96%。</w:t>
      </w:r>
    </w:p>
    <w:p>
      <w:pPr>
        <w:widowControl/>
        <w:adjustRightInd w:val="0"/>
        <w:snapToGrid w:val="0"/>
        <w:spacing w:line="560" w:lineRule="exact"/>
        <w:ind w:firstLine="643" w:firstLineChars="200"/>
        <w:contextualSpacing/>
        <w:jc w:val="left"/>
        <w:rPr>
          <w:rFonts w:ascii="仿宋" w:hAnsi="仿宋" w:eastAsia="仿宋" w:cs="仿宋"/>
          <w:b/>
          <w:bCs/>
          <w:kern w:val="0"/>
          <w:sz w:val="32"/>
          <w:szCs w:val="32"/>
          <w:shd w:val="clear" w:color="auto" w:fill="FFFFFF"/>
          <w:lang w:val="zh-CN"/>
        </w:rPr>
      </w:pPr>
      <w:r>
        <w:rPr>
          <w:rFonts w:hint="eastAsia" w:ascii="仿宋" w:hAnsi="仿宋" w:eastAsia="仿宋" w:cs="仿宋"/>
          <w:b/>
          <w:bCs/>
          <w:kern w:val="0"/>
          <w:sz w:val="32"/>
          <w:szCs w:val="32"/>
          <w:shd w:val="clear" w:color="auto" w:fill="FFFFFF"/>
        </w:rPr>
        <w:t>三是</w:t>
      </w:r>
      <w:r>
        <w:rPr>
          <w:rFonts w:hint="eastAsia" w:ascii="仿宋" w:hAnsi="仿宋" w:eastAsia="仿宋" w:cs="仿宋"/>
          <w:b/>
          <w:bCs/>
          <w:kern w:val="0"/>
          <w:sz w:val="32"/>
          <w:szCs w:val="32"/>
          <w:shd w:val="clear" w:color="auto" w:fill="FFFFFF"/>
          <w:lang w:val="zh-CN"/>
        </w:rPr>
        <w:t>拓宽服务领域，不断提升司法为民保障水平。</w:t>
      </w:r>
    </w:p>
    <w:p>
      <w:pPr>
        <w:widowControl/>
        <w:adjustRightInd w:val="0"/>
        <w:snapToGrid w:val="0"/>
        <w:spacing w:line="560" w:lineRule="exact"/>
        <w:ind w:firstLine="643"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b/>
          <w:bCs/>
          <w:kern w:val="0"/>
          <w:sz w:val="32"/>
          <w:szCs w:val="32"/>
          <w:shd w:val="clear" w:color="auto" w:fill="FFFFFF"/>
          <w:lang w:val="zh-CN"/>
        </w:rPr>
        <w:t>创新矛盾纠纷多元化解方式。</w:t>
      </w:r>
      <w:r>
        <w:rPr>
          <w:rFonts w:hint="eastAsia" w:ascii="仿宋" w:hAnsi="仿宋" w:eastAsia="仿宋" w:cs="仿宋"/>
          <w:kern w:val="0"/>
          <w:sz w:val="32"/>
          <w:szCs w:val="32"/>
          <w:shd w:val="clear" w:color="auto" w:fill="FFFFFF"/>
          <w:lang w:val="zh-CN"/>
        </w:rPr>
        <w:t>持续贯彻“三个便于”、“三个服务”、“三个优化”工作原则，在渔门法庭成立全市首家“石榴籽”调解室，聘请14名“石榴籽”调解员，成功调解纠纷案件234件，涉案标的金额836.92万元。红格法庭倾力打造“枫桥式”人民法庭，构建“五长息讼”特色调解模式，协同昔格达社区、安宁社区成立“法官工作室”，开通“出门问诊”“坐堂接诊”方式，更好服务乡村振兴和诉源治理实质化。共和法庭搭建法庭与乡政府、派出所、村社干部多元联动的矛盾纠纷排查调处网络，强化诉讼源头管控，主动前端排查隐患31件，全面助力“无讼乡镇”建设。永兴法庭充分发挥司法确认作用，一次性为15件土地经营权出租合同纠纷系列案进行司法确认，为“春耕”生产全面护航，助力乡村振兴。</w:t>
      </w:r>
    </w:p>
    <w:p>
      <w:pPr>
        <w:widowControl/>
        <w:adjustRightInd w:val="0"/>
        <w:snapToGrid w:val="0"/>
        <w:spacing w:line="560" w:lineRule="exact"/>
        <w:ind w:firstLine="643"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b/>
          <w:bCs/>
          <w:kern w:val="0"/>
          <w:sz w:val="32"/>
          <w:szCs w:val="32"/>
          <w:shd w:val="clear" w:color="auto" w:fill="FFFFFF"/>
          <w:lang w:val="zh-CN"/>
        </w:rPr>
        <w:t>持续推动诉讼服务优化升级。</w:t>
      </w:r>
      <w:r>
        <w:rPr>
          <w:rFonts w:hint="eastAsia" w:ascii="仿宋" w:hAnsi="仿宋" w:eastAsia="仿宋" w:cs="仿宋"/>
          <w:kern w:val="0"/>
          <w:sz w:val="32"/>
          <w:szCs w:val="32"/>
          <w:shd w:val="clear" w:color="auto" w:fill="FFFFFF"/>
          <w:lang w:val="zh-CN"/>
        </w:rPr>
        <w:t>坚持群众需求导向，持续完善“一站式”诉讼服务中心建设。集约化送达平台送达诉讼法律文书1012次，成功送达926次，送达成功率91.5%，提高送达效率。完善判后答疑预约机制，设立判后答疑窗口，判后答648件，其中刚性答疑163件，倡导性答疑485件，有效提升服判息诉率。 “24小时自助法院”自助立案62余件，提高群众办事效率。不断完善“四川微法院”各项功能使用情况，网上立案1381件，真正做到便民利民。</w:t>
      </w:r>
    </w:p>
    <w:p>
      <w:pPr>
        <w:widowControl/>
        <w:adjustRightInd w:val="0"/>
        <w:snapToGrid w:val="0"/>
        <w:spacing w:line="560" w:lineRule="exact"/>
        <w:ind w:firstLine="643"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b/>
          <w:bCs/>
          <w:kern w:val="0"/>
          <w:sz w:val="32"/>
          <w:szCs w:val="32"/>
          <w:shd w:val="clear" w:color="auto" w:fill="FFFFFF"/>
          <w:lang w:val="zh-CN"/>
        </w:rPr>
        <w:t>全力保障弱势群体合法权益。</w:t>
      </w:r>
      <w:r>
        <w:rPr>
          <w:rFonts w:hint="eastAsia" w:ascii="仿宋" w:hAnsi="仿宋" w:eastAsia="仿宋" w:cs="仿宋"/>
          <w:kern w:val="0"/>
          <w:sz w:val="32"/>
          <w:szCs w:val="32"/>
          <w:shd w:val="clear" w:color="auto" w:fill="FFFFFF"/>
          <w:lang w:val="zh-CN"/>
        </w:rPr>
        <w:t>畅通民生维权通道，审结追索劳动报酬案件222件，执结涉民生案件380件，有力维护民生权益。加大妇女儿童、老年人权益保护，依法打击侵害妇女儿童、老年人权益犯罪案件，审结“三养”案件38件。加强“三农”权益司法保护，审结拖欠农民工工资、农村土地承包经营等涉农纠纷案件169件。加大司法救助力度，为17名当事人发放司法救助金25万元。</w:t>
      </w:r>
    </w:p>
    <w:p>
      <w:pPr>
        <w:widowControl/>
        <w:adjustRightInd w:val="0"/>
        <w:snapToGrid w:val="0"/>
        <w:spacing w:line="560" w:lineRule="exact"/>
        <w:ind w:firstLine="643" w:firstLineChars="200"/>
        <w:contextualSpacing/>
        <w:jc w:val="left"/>
        <w:rPr>
          <w:rFonts w:ascii="仿宋" w:hAnsi="仿宋" w:eastAsia="仿宋" w:cs="仿宋"/>
          <w:b/>
          <w:bCs/>
          <w:kern w:val="0"/>
          <w:sz w:val="32"/>
          <w:szCs w:val="32"/>
          <w:shd w:val="clear" w:color="auto" w:fill="FFFFFF"/>
          <w:lang w:val="zh-CN"/>
        </w:rPr>
      </w:pPr>
      <w:r>
        <w:rPr>
          <w:rFonts w:hint="eastAsia" w:ascii="仿宋" w:hAnsi="仿宋" w:eastAsia="仿宋" w:cs="仿宋"/>
          <w:b/>
          <w:bCs/>
          <w:kern w:val="0"/>
          <w:sz w:val="32"/>
          <w:szCs w:val="32"/>
          <w:shd w:val="clear" w:color="auto" w:fill="FFFFFF"/>
        </w:rPr>
        <w:t>四是</w:t>
      </w:r>
      <w:r>
        <w:rPr>
          <w:rFonts w:hint="eastAsia" w:ascii="仿宋" w:hAnsi="仿宋" w:eastAsia="仿宋" w:cs="仿宋"/>
          <w:b/>
          <w:bCs/>
          <w:kern w:val="0"/>
          <w:sz w:val="32"/>
          <w:szCs w:val="32"/>
          <w:shd w:val="clear" w:color="auto" w:fill="FFFFFF"/>
          <w:lang w:val="zh-CN"/>
        </w:rPr>
        <w:t>深化司法改革，不断提升审判能力现代化水平。</w:t>
      </w:r>
    </w:p>
    <w:p>
      <w:pPr>
        <w:widowControl/>
        <w:adjustRightInd w:val="0"/>
        <w:snapToGrid w:val="0"/>
        <w:spacing w:line="560" w:lineRule="exact"/>
        <w:ind w:firstLine="643"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b/>
          <w:bCs/>
          <w:kern w:val="0"/>
          <w:sz w:val="32"/>
          <w:szCs w:val="32"/>
          <w:shd w:val="clear" w:color="auto" w:fill="FFFFFF"/>
          <w:lang w:val="zh-CN"/>
        </w:rPr>
        <w:t>加大智慧法院建设力度，着力提升司法公信。</w:t>
      </w:r>
      <w:r>
        <w:rPr>
          <w:rFonts w:hint="eastAsia" w:ascii="仿宋" w:hAnsi="仿宋" w:eastAsia="仿宋" w:cs="仿宋"/>
          <w:kern w:val="0"/>
          <w:sz w:val="32"/>
          <w:szCs w:val="32"/>
          <w:shd w:val="clear" w:color="auto" w:fill="FFFFFF"/>
          <w:lang w:val="zh-CN"/>
        </w:rPr>
        <w:t>强化审判流程、执行信息、裁判文书和庭审直播等司法公开“四大平台”建设，依托全流程网上办案系统，案件从立案到结案的所有信息同步扫描，电子卷宗随案同步生成，实现案件全程公开留痕。开展庭审直播场738次，不断满足当事人知情权，倒逼法官提升办案质量。</w:t>
      </w:r>
    </w:p>
    <w:p>
      <w:pPr>
        <w:widowControl/>
        <w:adjustRightInd w:val="0"/>
        <w:snapToGrid w:val="0"/>
        <w:spacing w:line="560" w:lineRule="exact"/>
        <w:ind w:firstLine="643"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b/>
          <w:bCs/>
          <w:kern w:val="0"/>
          <w:sz w:val="32"/>
          <w:szCs w:val="32"/>
          <w:shd w:val="clear" w:color="auto" w:fill="FFFFFF"/>
          <w:lang w:val="zh-CN"/>
        </w:rPr>
        <w:t>加大审判监督管理力度，优化审判体系改革。</w:t>
      </w:r>
      <w:r>
        <w:rPr>
          <w:rFonts w:hint="eastAsia" w:ascii="仿宋" w:hAnsi="仿宋" w:eastAsia="仿宋" w:cs="仿宋"/>
          <w:kern w:val="0"/>
          <w:sz w:val="32"/>
          <w:szCs w:val="32"/>
          <w:shd w:val="clear" w:color="auto" w:fill="FFFFFF"/>
          <w:lang w:val="zh-CN"/>
        </w:rPr>
        <w:t>严格规范庭审程序，,落实院庭长对“四类案件”的监管，进一步规范监管范围和程序，充分发挥院领导办疑难复杂案示范表率作用和专业法官会议、审判委员会研讨把关作用，实行案件办理进度每日通报制度，利用公告页面实时公布每名法官的办案进展情况，加强案件质量全过程监管，提升监管质量。开展“案件专项评查”，根据评查反馈的问题，制定整改措施10条，着力提高案件审判质量。</w:t>
      </w:r>
    </w:p>
    <w:p>
      <w:pPr>
        <w:widowControl/>
        <w:adjustRightInd w:val="0"/>
        <w:snapToGrid w:val="0"/>
        <w:spacing w:line="560" w:lineRule="exact"/>
        <w:ind w:firstLine="643"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b/>
          <w:bCs/>
          <w:kern w:val="0"/>
          <w:sz w:val="32"/>
          <w:szCs w:val="32"/>
          <w:shd w:val="clear" w:color="auto" w:fill="FFFFFF"/>
        </w:rPr>
        <w:t>五是</w:t>
      </w:r>
      <w:r>
        <w:rPr>
          <w:rFonts w:hint="eastAsia" w:ascii="仿宋" w:hAnsi="仿宋" w:eastAsia="仿宋" w:cs="仿宋"/>
          <w:b/>
          <w:bCs/>
          <w:kern w:val="0"/>
          <w:sz w:val="32"/>
          <w:szCs w:val="32"/>
          <w:shd w:val="clear" w:color="auto" w:fill="FFFFFF"/>
          <w:lang w:val="zh-CN"/>
        </w:rPr>
        <w:t>涵养忠诚本色，不断提升法院队伍建设水平。</w:t>
      </w:r>
    </w:p>
    <w:p>
      <w:pPr>
        <w:widowControl/>
        <w:adjustRightInd w:val="0"/>
        <w:snapToGrid w:val="0"/>
        <w:spacing w:line="560" w:lineRule="exact"/>
        <w:ind w:firstLine="643"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b/>
          <w:bCs/>
          <w:kern w:val="0"/>
          <w:sz w:val="32"/>
          <w:szCs w:val="32"/>
          <w:shd w:val="clear" w:color="auto" w:fill="FFFFFF"/>
          <w:lang w:val="zh-CN"/>
        </w:rPr>
        <w:t>全面加强政治建设。</w:t>
      </w:r>
      <w:r>
        <w:rPr>
          <w:rFonts w:hint="eastAsia" w:ascii="仿宋" w:hAnsi="仿宋" w:eastAsia="仿宋" w:cs="仿宋"/>
          <w:kern w:val="0"/>
          <w:sz w:val="32"/>
          <w:szCs w:val="32"/>
          <w:shd w:val="clear" w:color="auto" w:fill="FFFFFF"/>
          <w:lang w:val="zh-CN"/>
        </w:rPr>
        <w:t>始终坚持党对法院工作的绝对领导，认真开展“忠诚铸魂、铁纪担当”专项活动，把党史学习教育与党的二十大精神贯穿始终，扎实开展“两个确立”主题教育，坚持用理论武装干警思想意识。</w:t>
      </w:r>
    </w:p>
    <w:p>
      <w:pPr>
        <w:widowControl/>
        <w:adjustRightInd w:val="0"/>
        <w:snapToGrid w:val="0"/>
        <w:spacing w:line="560" w:lineRule="exact"/>
        <w:ind w:firstLine="643"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b/>
          <w:bCs/>
          <w:kern w:val="0"/>
          <w:sz w:val="32"/>
          <w:szCs w:val="32"/>
          <w:shd w:val="clear" w:color="auto" w:fill="FFFFFF"/>
          <w:lang w:val="zh-CN"/>
        </w:rPr>
        <w:t>不断锤炼过硬本领。</w:t>
      </w:r>
      <w:r>
        <w:rPr>
          <w:rFonts w:hint="eastAsia" w:ascii="仿宋" w:hAnsi="仿宋" w:eastAsia="仿宋" w:cs="仿宋"/>
          <w:kern w:val="0"/>
          <w:sz w:val="32"/>
          <w:szCs w:val="32"/>
          <w:shd w:val="clear" w:color="auto" w:fill="FFFFFF"/>
          <w:lang w:val="zh-CN"/>
        </w:rPr>
        <w:t>坚持以党建带队建促审判，完成院党总支班子选举、各支部换届选举工作，先后发展4名同志作为预备党员，吸收2名同志成为入党积极分子。成立青年工作委员会，自主开展意识形态、专业能力培训，加强青年干部交流学习。实质化运行法官权益保障机制，为1名干警召开不实举报澄清正名大会，进一步激发干警干事创业热情。</w:t>
      </w:r>
    </w:p>
    <w:p>
      <w:pPr>
        <w:widowControl/>
        <w:adjustRightInd w:val="0"/>
        <w:snapToGrid w:val="0"/>
        <w:spacing w:line="560" w:lineRule="exact"/>
        <w:ind w:firstLine="643"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b/>
          <w:bCs/>
          <w:kern w:val="0"/>
          <w:sz w:val="32"/>
          <w:szCs w:val="32"/>
          <w:shd w:val="clear" w:color="auto" w:fill="FFFFFF"/>
          <w:lang w:val="zh-CN"/>
        </w:rPr>
        <w:t>持续推进正风肃纪。</w:t>
      </w:r>
      <w:r>
        <w:rPr>
          <w:rFonts w:hint="eastAsia" w:ascii="仿宋" w:hAnsi="仿宋" w:eastAsia="仿宋" w:cs="仿宋"/>
          <w:kern w:val="0"/>
          <w:sz w:val="32"/>
          <w:szCs w:val="32"/>
          <w:shd w:val="clear" w:color="auto" w:fill="FFFFFF"/>
          <w:lang w:val="zh-CN"/>
        </w:rPr>
        <w:t>严格落实党风廉政建设主体责任，组织干警深入学习新时代政法干警“十个严禁”，扎紧扎牢党风廉政建设的“防护网”。严守政治纪律和政治规矩，严格执行防止干预司法“三个规定”和“三非”工作机制等铁规禁令。切实发挥思想政治建设对队伍建设、执法办案的引领促进作用，渔门法庭荣获“全省法院思想政治建设工作集体嘉奖”。</w:t>
      </w:r>
    </w:p>
    <w:p>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（三）结果应用情况。</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 w:hAnsi="仿宋" w:eastAsia="仿宋" w:cs="仿宋"/>
          <w:kern w:val="0"/>
          <w:sz w:val="32"/>
          <w:szCs w:val="32"/>
          <w:shd w:val="clear" w:color="auto" w:fill="FFFFFF"/>
          <w:lang w:val="zh-CN"/>
        </w:rPr>
        <w:t>在工作中，我院严格执行绩效评价相关制度，2022年绩效监控采用事前、事中、事后评价方式，长期监控绩效情况，保障目标绩效均能在资金范围内按时间节点完成。我院绩效目标、绩效评价、绩效监控等均按要求对外公开，主动接受社会监督，且定时开展自查，对自查中发现的问题及时整改，全面提高绩效评价水平，并将评价结果用于考核促进工作。</w:t>
      </w:r>
    </w:p>
    <w:p>
      <w:pPr>
        <w:widowControl/>
        <w:numPr>
          <w:ilvl w:val="0"/>
          <w:numId w:val="7"/>
        </w:numPr>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自评质量。</w:t>
      </w:r>
    </w:p>
    <w:p>
      <w:pPr>
        <w:widowControl/>
        <w:adjustRightInd w:val="0"/>
        <w:snapToGrid w:val="0"/>
        <w:spacing w:line="560" w:lineRule="exact"/>
        <w:ind w:firstLine="640"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kern w:val="0"/>
          <w:sz w:val="32"/>
          <w:szCs w:val="32"/>
          <w:shd w:val="clear" w:color="auto" w:fill="FFFFFF"/>
          <w:lang w:val="zh-CN"/>
        </w:rPr>
        <w:t>我院整体支出在年初预算范围内，人员经费、公用经费、</w:t>
      </w:r>
      <w:r>
        <w:rPr>
          <w:rFonts w:hint="eastAsia" w:ascii="仿宋" w:hAnsi="仿宋" w:eastAsia="仿宋" w:cs="仿宋"/>
          <w:kern w:val="0"/>
          <w:sz w:val="32"/>
          <w:szCs w:val="32"/>
          <w:shd w:val="clear" w:color="auto" w:fill="FFFFFF"/>
        </w:rPr>
        <w:t>项目经费</w:t>
      </w:r>
      <w:r>
        <w:rPr>
          <w:rFonts w:hint="eastAsia" w:ascii="仿宋" w:hAnsi="仿宋" w:eastAsia="仿宋" w:cs="仿宋"/>
          <w:kern w:val="0"/>
          <w:sz w:val="32"/>
          <w:szCs w:val="32"/>
          <w:shd w:val="clear" w:color="auto" w:fill="FFFFFF"/>
          <w:lang w:val="zh-CN"/>
        </w:rPr>
        <w:t>均严格按照财政下拨数合理安排使用，无超标准、超预算等情况发生，预算完成情况良好。</w:t>
      </w:r>
    </w:p>
    <w:p>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四、评价结论及建议</w:t>
      </w:r>
    </w:p>
    <w:p>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（一）评价结论。</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ascii="仿宋_GB2312" w:hAnsi="宋体" w:eastAsia="仿宋_GB2312" w:cs="宋体"/>
          <w:color w:val="000000"/>
          <w:kern w:val="0"/>
          <w:sz w:val="32"/>
          <w:szCs w:val="32"/>
          <w:shd w:val="clear" w:color="auto" w:fill="FFFFFF"/>
          <w:lang w:val="zh-CN"/>
        </w:rPr>
        <w:t>202</w:t>
      </w:r>
      <w:r>
        <w:rPr>
          <w:rFonts w:hint="eastAsia" w:ascii="仿宋_GB2312" w:hAnsi="宋体" w:eastAsia="仿宋_GB2312" w:cs="宋体"/>
          <w:color w:val="000000"/>
          <w:kern w:val="0"/>
          <w:sz w:val="32"/>
          <w:szCs w:val="32"/>
          <w:shd w:val="clear" w:color="auto" w:fill="FFFFFF"/>
          <w:lang w:val="zh-CN"/>
        </w:rPr>
        <w:t>2</w:t>
      </w:r>
      <w:r>
        <w:rPr>
          <w:rFonts w:ascii="仿宋_GB2312" w:hAnsi="宋体" w:eastAsia="仿宋_GB2312" w:cs="宋体"/>
          <w:color w:val="000000"/>
          <w:kern w:val="0"/>
          <w:sz w:val="32"/>
          <w:szCs w:val="32"/>
          <w:shd w:val="clear" w:color="auto" w:fill="FFFFFF"/>
          <w:lang w:val="zh-CN"/>
        </w:rPr>
        <w:t>年，我院总体绩效评价较为理想，基本达到了年初设定的各种绩效目标，</w:t>
      </w:r>
      <w:r>
        <w:rPr>
          <w:rFonts w:hint="eastAsia" w:ascii="仿宋" w:hAnsi="仿宋" w:eastAsia="仿宋" w:cs="仿宋"/>
          <w:kern w:val="0"/>
          <w:sz w:val="32"/>
          <w:szCs w:val="32"/>
          <w:shd w:val="clear" w:color="auto" w:fill="FFFFFF"/>
          <w:lang w:val="zh-CN"/>
        </w:rPr>
        <w:t>预算使用方面坚持“反对浪费、节约开支”的原则，专款专用，不拖欠、不挪用，资金的支出执行上严格按照预算执行，</w:t>
      </w:r>
      <w:r>
        <w:rPr>
          <w:rFonts w:ascii="仿宋_GB2312" w:hAnsi="宋体" w:eastAsia="仿宋_GB2312" w:cs="宋体"/>
          <w:color w:val="000000"/>
          <w:kern w:val="0"/>
          <w:sz w:val="32"/>
          <w:szCs w:val="32"/>
          <w:shd w:val="clear" w:color="auto" w:fill="FFFFFF"/>
          <w:lang w:val="zh-CN"/>
        </w:rPr>
        <w:t>所有资金使用严格按照审批程序办理、操作规范，会计核算真实准确。</w:t>
      </w:r>
    </w:p>
    <w:p>
      <w:pPr>
        <w:widowControl/>
        <w:numPr>
          <w:ilvl w:val="0"/>
          <w:numId w:val="8"/>
        </w:numPr>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存在问题。</w:t>
      </w:r>
    </w:p>
    <w:p>
      <w:pPr>
        <w:widowControl/>
        <w:adjustRightInd w:val="0"/>
        <w:snapToGrid w:val="0"/>
        <w:spacing w:line="560" w:lineRule="exact"/>
        <w:ind w:firstLine="640" w:firstLineChars="200"/>
        <w:contextualSpacing/>
        <w:jc w:val="left"/>
        <w:rPr>
          <w:rFonts w:ascii="仿宋" w:hAnsi="仿宋" w:eastAsia="仿宋" w:cs="仿宋"/>
          <w:color w:val="000000"/>
          <w:kern w:val="0"/>
          <w:sz w:val="32"/>
          <w:szCs w:val="32"/>
          <w:shd w:val="clear" w:color="auto" w:fill="FFFFFF"/>
          <w:lang w:val="zh-CN"/>
        </w:rPr>
      </w:pPr>
      <w:r>
        <w:rPr>
          <w:rFonts w:hint="eastAsia" w:ascii="仿宋" w:hAnsi="仿宋" w:eastAsia="仿宋" w:cs="仿宋"/>
          <w:color w:val="000000"/>
          <w:kern w:val="0"/>
          <w:sz w:val="32"/>
          <w:szCs w:val="32"/>
          <w:shd w:val="clear" w:color="auto" w:fill="FFFFFF"/>
          <w:lang w:val="zh-CN"/>
        </w:rPr>
        <w:t>1.</w:t>
      </w:r>
      <w:r>
        <w:rPr>
          <w:rFonts w:hint="eastAsia" w:ascii="仿宋" w:hAnsi="仿宋" w:eastAsia="仿宋" w:cs="仿宋"/>
          <w:color w:val="000000"/>
          <w:kern w:val="0"/>
          <w:sz w:val="32"/>
          <w:szCs w:val="32"/>
          <w:shd w:val="clear" w:color="auto" w:fill="FFFFFF"/>
        </w:rPr>
        <w:t>各部门对绩效目标管理的水平还有待提升</w:t>
      </w:r>
      <w:r>
        <w:rPr>
          <w:rFonts w:hint="eastAsia" w:ascii="仿宋" w:hAnsi="仿宋" w:eastAsia="仿宋" w:cs="仿宋"/>
          <w:color w:val="000000"/>
          <w:kern w:val="0"/>
          <w:sz w:val="32"/>
          <w:szCs w:val="32"/>
          <w:shd w:val="clear" w:color="auto" w:fill="FFFFFF"/>
          <w:lang w:val="zh-CN"/>
        </w:rPr>
        <w:t>。</w:t>
      </w:r>
    </w:p>
    <w:p>
      <w:pPr>
        <w:pStyle w:val="2"/>
        <w:spacing w:before="93" w:line="560" w:lineRule="exact"/>
        <w:ind w:firstLine="640" w:firstLineChars="200"/>
        <w:rPr>
          <w:rFonts w:ascii="仿宋" w:hAnsi="仿宋" w:eastAsia="仿宋" w:cs="仿宋"/>
        </w:rPr>
      </w:pPr>
      <w:r>
        <w:rPr>
          <w:rFonts w:hint="eastAsia" w:ascii="仿宋" w:hAnsi="仿宋" w:eastAsia="仿宋" w:cs="仿宋"/>
          <w:sz w:val="32"/>
          <w:szCs w:val="32"/>
        </w:rPr>
        <w:t>2.内部控制制度建设还需进一步完善。</w:t>
      </w:r>
    </w:p>
    <w:p>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（三）改进建议。</w:t>
      </w:r>
    </w:p>
    <w:p>
      <w:pPr>
        <w:pStyle w:val="2"/>
        <w:spacing w:before="93" w:line="560" w:lineRule="exact"/>
        <w:ind w:firstLine="640" w:firstLineChars="200"/>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1.加强预算学习，提高绩效目标管理水平。加强组织领导，加强业务人员培训，提高各部门对预算编制与执行的认识，让各部门了解绩效工作，深刻解读预算编制、执行和绩效目标管理的各项政策，为绩效评价工作的开展创造好的条件。</w:t>
      </w:r>
    </w:p>
    <w:p>
      <w:pPr>
        <w:pStyle w:val="2"/>
        <w:spacing w:before="93" w:line="560" w:lineRule="exact"/>
        <w:ind w:firstLine="640" w:firstLineChars="200"/>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2.建立健全内部控制制度。根据新要求新标准不断推进完善和细化，更好的规范各类工作程序，落实责任人职能职责，全面推进我院工作规范化。</w:t>
      </w:r>
    </w:p>
    <w:p>
      <w:pPr>
        <w:pStyle w:val="2"/>
        <w:spacing w:before="93" w:line="560" w:lineRule="exact"/>
        <w:ind w:firstLine="640" w:firstLineChars="200"/>
        <w:rPr>
          <w:rFonts w:hAnsi="宋体" w:cs="宋体"/>
          <w:color w:val="000000"/>
          <w:sz w:val="32"/>
          <w:szCs w:val="32"/>
          <w:shd w:val="clear" w:color="auto" w:fill="FFFFFF"/>
        </w:rPr>
      </w:pPr>
    </w:p>
    <w:p>
      <w:pPr>
        <w:pStyle w:val="13"/>
        <w:spacing w:line="560" w:lineRule="exact"/>
        <w:ind w:left="0" w:leftChars="0" w:firstLine="640"/>
        <w:rPr>
          <w:rFonts w:hAnsi="仿宋_GB2312" w:eastAsia="仿宋_GB2312" w:cs="仿宋_GB2312"/>
          <w:sz w:val="32"/>
        </w:rPr>
      </w:pPr>
      <w:r>
        <w:rPr>
          <w:rFonts w:hint="eastAsia" w:hAnsi="仿宋_GB2312" w:eastAsia="仿宋_GB2312" w:cs="仿宋_GB2312"/>
          <w:sz w:val="32"/>
          <w:lang w:val="zh-CN"/>
        </w:rPr>
        <w:t>附表：</w:t>
      </w:r>
      <w:r>
        <w:rPr>
          <w:rFonts w:hint="eastAsia" w:hAnsi="仿宋_GB2312" w:eastAsia="仿宋_GB2312" w:cs="仿宋_GB2312"/>
          <w:sz w:val="32"/>
        </w:rPr>
        <w:t>部门预算项目支出绩效自评表（2022年度）见附件3</w:t>
      </w:r>
    </w:p>
    <w:p>
      <w:pPr>
        <w:pStyle w:val="13"/>
        <w:spacing w:line="560" w:lineRule="exact"/>
        <w:ind w:left="0" w:leftChars="0" w:firstLine="640"/>
        <w:rPr>
          <w:rFonts w:hAnsi="仿宋_GB2312" w:eastAsia="仿宋_GB2312" w:cs="仿宋_GB2312"/>
          <w:sz w:val="32"/>
        </w:rPr>
      </w:pPr>
    </w:p>
    <w:p>
      <w:pPr>
        <w:pStyle w:val="13"/>
        <w:spacing w:line="560" w:lineRule="exact"/>
        <w:ind w:left="0" w:leftChars="0" w:firstLine="0" w:firstLineChars="0"/>
        <w:rPr>
          <w:sz w:val="32"/>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sz w:val="32"/>
          <w:szCs w:val="32"/>
        </w:rPr>
      </w:pPr>
      <w:r>
        <w:rPr>
          <w:rFonts w:hint="eastAsia" w:hAnsi="宋体" w:cs="宋体"/>
          <w:sz w:val="32"/>
          <w:szCs w:val="32"/>
          <w:shd w:val="clear" w:color="auto" w:fill="FFFFFF"/>
          <w:lang w:val="zh-CN"/>
        </w:rPr>
        <w:t>附件</w:t>
      </w:r>
      <w:r>
        <w:rPr>
          <w:rFonts w:hint="eastAsia" w:hAnsi="宋体" w:cs="宋体"/>
          <w:sz w:val="32"/>
          <w:szCs w:val="32"/>
          <w:shd w:val="clear" w:color="auto" w:fill="FFFFFF"/>
        </w:rPr>
        <w:t>2</w:t>
      </w:r>
    </w:p>
    <w:p>
      <w:pPr>
        <w:pStyle w:val="34"/>
        <w:spacing w:line="578" w:lineRule="exact"/>
        <w:jc w:val="center"/>
        <w:rPr>
          <w:rFonts w:ascii="方正小标宋简体" w:hAnsi="方正小标宋简体" w:eastAsia="方正小标宋简体" w:cs="方正小标宋简体"/>
          <w:color w:val="auto"/>
          <w:kern w:val="2"/>
          <w:sz w:val="32"/>
          <w:szCs w:val="32"/>
          <w:lang w:val="en-US"/>
        </w:rPr>
      </w:pPr>
      <w:r>
        <w:rPr>
          <w:rFonts w:hint="eastAsia" w:ascii="方正小标宋简体" w:hAnsi="方正小标宋简体" w:eastAsia="方正小标宋简体" w:cs="方正小标宋简体"/>
          <w:color w:val="auto"/>
          <w:kern w:val="2"/>
          <w:sz w:val="32"/>
          <w:szCs w:val="32"/>
          <w:lang w:val="en-US"/>
        </w:rPr>
        <w:t>2023年市级专项资金预算项目绩效自评报告</w:t>
      </w:r>
    </w:p>
    <w:p>
      <w:pPr>
        <w:pStyle w:val="34"/>
        <w:spacing w:line="578" w:lineRule="exact"/>
        <w:ind w:firstLine="640"/>
        <w:jc w:val="center"/>
        <w:rPr>
          <w:rFonts w:ascii="宋体" w:hAnsi="宋体"/>
          <w:color w:val="auto"/>
          <w:kern w:val="2"/>
          <w:sz w:val="32"/>
          <w:szCs w:val="32"/>
        </w:rPr>
      </w:pPr>
    </w:p>
    <w:p>
      <w:pPr>
        <w:adjustRightInd w:val="0"/>
        <w:snapToGrid w:val="0"/>
        <w:spacing w:line="578"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pPr>
        <w:widowControl/>
        <w:adjustRightInd w:val="0"/>
        <w:snapToGrid w:val="0"/>
        <w:spacing w:line="578" w:lineRule="exact"/>
        <w:ind w:firstLine="640"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kern w:val="0"/>
          <w:sz w:val="32"/>
          <w:szCs w:val="32"/>
          <w:shd w:val="clear" w:color="auto" w:fill="FFFFFF"/>
          <w:lang w:val="zh-CN"/>
        </w:rPr>
        <w:t>1．说明项目主管部门（单位）在该项目管理中的职能。</w:t>
      </w:r>
    </w:p>
    <w:p>
      <w:pPr>
        <w:pStyle w:val="2"/>
        <w:spacing w:before="93" w:line="560" w:lineRule="exact"/>
        <w:ind w:firstLine="600" w:firstLineChars="200"/>
        <w:rPr>
          <w:rFonts w:ascii="仿宋" w:hAnsi="仿宋" w:eastAsia="仿宋" w:cs="仿宋"/>
          <w:lang w:val="zh-CN"/>
        </w:rPr>
      </w:pPr>
      <w:r>
        <w:rPr>
          <w:rFonts w:hint="eastAsia" w:ascii="仿宋" w:hAnsi="仿宋" w:eastAsia="仿宋" w:cs="仿宋"/>
        </w:rPr>
        <w:t>盐边县人民法院作为</w:t>
      </w:r>
      <w:r>
        <w:rPr>
          <w:rFonts w:hint="eastAsia" w:ascii="仿宋" w:hAnsi="仿宋" w:eastAsia="仿宋" w:cs="仿宋"/>
          <w:lang w:val="zh-CN"/>
        </w:rPr>
        <w:t>项目主管单位，</w:t>
      </w:r>
      <w:r>
        <w:rPr>
          <w:rFonts w:hint="eastAsia" w:ascii="仿宋" w:hAnsi="仿宋" w:eastAsia="仿宋" w:cs="仿宋"/>
        </w:rPr>
        <w:t>根据单位实际情况和具体需求，向财政局</w:t>
      </w:r>
      <w:r>
        <w:rPr>
          <w:rFonts w:hint="eastAsia" w:ascii="仿宋" w:hAnsi="仿宋" w:eastAsia="仿宋" w:cs="仿宋"/>
          <w:lang w:val="zh-CN"/>
        </w:rPr>
        <w:t>提供文件依据，申报项目</w:t>
      </w:r>
      <w:r>
        <w:rPr>
          <w:rFonts w:hint="eastAsia" w:ascii="仿宋" w:hAnsi="仿宋" w:eastAsia="仿宋" w:cs="仿宋"/>
        </w:rPr>
        <w:t>经费</w:t>
      </w:r>
      <w:r>
        <w:rPr>
          <w:rFonts w:hint="eastAsia" w:ascii="仿宋" w:hAnsi="仿宋" w:eastAsia="仿宋" w:cs="仿宋"/>
          <w:lang w:val="zh-CN"/>
        </w:rPr>
        <w:t>，待批复后组织实施项目，并做好项目监督工作</w:t>
      </w:r>
      <w:r>
        <w:rPr>
          <w:rFonts w:hint="eastAsia" w:ascii="仿宋" w:hAnsi="仿宋" w:eastAsia="仿宋" w:cs="仿宋"/>
        </w:rPr>
        <w:t>和项目绩效事前、事中评价，</w:t>
      </w:r>
      <w:r>
        <w:rPr>
          <w:rFonts w:hint="eastAsia" w:ascii="仿宋" w:hAnsi="仿宋" w:eastAsia="仿宋" w:cs="仿宋"/>
          <w:lang w:val="zh-CN"/>
        </w:rPr>
        <w:t>待项目完成后，对项目进行评价、总结，</w:t>
      </w:r>
      <w:r>
        <w:rPr>
          <w:rFonts w:hint="eastAsia" w:ascii="仿宋" w:hAnsi="仿宋" w:eastAsia="仿宋" w:cs="仿宋"/>
        </w:rPr>
        <w:t>为</w:t>
      </w:r>
      <w:r>
        <w:rPr>
          <w:rFonts w:hint="eastAsia" w:ascii="仿宋" w:hAnsi="仿宋" w:eastAsia="仿宋" w:cs="仿宋"/>
          <w:lang w:val="zh-CN"/>
        </w:rPr>
        <w:t>工作中的不足并提出解决办法。</w:t>
      </w:r>
    </w:p>
    <w:p>
      <w:pPr>
        <w:widowControl/>
        <w:numPr>
          <w:ilvl w:val="0"/>
          <w:numId w:val="9"/>
        </w:numPr>
        <w:adjustRightInd w:val="0"/>
        <w:snapToGrid w:val="0"/>
        <w:spacing w:line="578" w:lineRule="exact"/>
        <w:ind w:firstLine="640"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kern w:val="0"/>
          <w:sz w:val="32"/>
          <w:szCs w:val="32"/>
          <w:shd w:val="clear" w:color="auto" w:fill="FFFFFF"/>
          <w:lang w:val="zh-CN"/>
        </w:rPr>
        <w:t>项目立项、资金申报的依据。</w:t>
      </w:r>
    </w:p>
    <w:p>
      <w:pPr>
        <w:widowControl/>
        <w:adjustRightInd w:val="0"/>
        <w:snapToGrid w:val="0"/>
        <w:spacing w:line="560" w:lineRule="exact"/>
        <w:ind w:firstLine="640" w:firstLineChars="200"/>
        <w:contextualSpacing/>
        <w:jc w:val="left"/>
        <w:rPr>
          <w:rFonts w:ascii="仿宋" w:hAnsi="仿宋" w:eastAsia="仿宋_GB2312" w:cs="仿宋"/>
          <w:kern w:val="0"/>
          <w:sz w:val="32"/>
          <w:szCs w:val="32"/>
          <w:shd w:val="clear" w:color="auto" w:fill="FFFFFF"/>
        </w:rPr>
      </w:pPr>
      <w:r>
        <w:rPr>
          <w:rFonts w:hint="eastAsia" w:ascii="仿宋" w:hAnsi="仿宋" w:eastAsia="仿宋" w:cs="仿宋"/>
          <w:kern w:val="0"/>
          <w:sz w:val="32"/>
          <w:szCs w:val="32"/>
          <w:shd w:val="clear" w:color="auto" w:fill="FFFFFF"/>
        </w:rPr>
        <w:t>我院严格按照相关规定进行项目立项，按相关要求对项目资金进行申报，待批复后再投入使用，资金使用过程</w:t>
      </w:r>
      <w:r>
        <w:rPr>
          <w:rFonts w:hint="eastAsia" w:ascii="仿宋_GB2312" w:eastAsia="仿宋_GB2312" w:cs="仿宋_GB2312"/>
          <w:kern w:val="0"/>
          <w:sz w:val="32"/>
          <w:szCs w:val="32"/>
        </w:rPr>
        <w:t>符合资金管理办法等相关规定。</w:t>
      </w:r>
    </w:p>
    <w:p>
      <w:pPr>
        <w:widowControl/>
        <w:numPr>
          <w:ilvl w:val="0"/>
          <w:numId w:val="9"/>
        </w:numPr>
        <w:adjustRightInd w:val="0"/>
        <w:snapToGrid w:val="0"/>
        <w:spacing w:line="560" w:lineRule="exact"/>
        <w:ind w:firstLine="640" w:firstLineChars="200"/>
        <w:contextualSpacing/>
        <w:jc w:val="left"/>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lang w:val="zh-CN"/>
        </w:rPr>
        <w:t>资金</w:t>
      </w:r>
      <w:r>
        <w:rPr>
          <w:rFonts w:hint="eastAsia" w:ascii="仿宋" w:hAnsi="仿宋" w:eastAsia="仿宋" w:cs="仿宋"/>
          <w:kern w:val="0"/>
          <w:sz w:val="32"/>
          <w:szCs w:val="32"/>
          <w:shd w:val="clear" w:color="auto" w:fill="FFFFFF"/>
        </w:rPr>
        <w:t>或项目</w:t>
      </w:r>
      <w:r>
        <w:rPr>
          <w:rFonts w:hint="eastAsia" w:ascii="仿宋" w:hAnsi="仿宋" w:eastAsia="仿宋" w:cs="仿宋"/>
          <w:kern w:val="0"/>
          <w:sz w:val="32"/>
          <w:szCs w:val="32"/>
          <w:shd w:val="clear" w:color="auto" w:fill="FFFFFF"/>
          <w:lang w:val="zh-CN"/>
        </w:rPr>
        <w:t>管理办法制定情况，资金支持具体项目的条件、范围与支持方式概况。</w:t>
      </w:r>
    </w:p>
    <w:p>
      <w:pPr>
        <w:adjustRightInd w:val="0"/>
        <w:snapToGrid w:val="0"/>
        <w:spacing w:line="560" w:lineRule="exact"/>
        <w:ind w:firstLine="640" w:firstLineChars="200"/>
        <w:rPr>
          <w:rFonts w:ascii="仿宋" w:hAnsi="仿宋" w:eastAsia="仿宋" w:cs="仿宋"/>
          <w:lang w:val="zh-CN"/>
        </w:rPr>
      </w:pPr>
      <w:r>
        <w:rPr>
          <w:rFonts w:hint="eastAsia" w:ascii="仿宋" w:hAnsi="仿宋" w:eastAsia="仿宋" w:cs="仿宋"/>
          <w:sz w:val="32"/>
          <w:szCs w:val="32"/>
        </w:rPr>
        <w:t>我院制定了财务管理制度并严格执行，待项目资金指标下达后，按预算指标使用相关费用，严格执行专款专用。</w:t>
      </w:r>
    </w:p>
    <w:p>
      <w:pPr>
        <w:widowControl/>
        <w:numPr>
          <w:ilvl w:val="0"/>
          <w:numId w:val="9"/>
        </w:numPr>
        <w:adjustRightInd w:val="0"/>
        <w:snapToGrid w:val="0"/>
        <w:spacing w:line="578" w:lineRule="exact"/>
        <w:ind w:firstLine="640"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kern w:val="0"/>
          <w:sz w:val="32"/>
          <w:szCs w:val="32"/>
          <w:shd w:val="clear" w:color="auto" w:fill="FFFFFF"/>
          <w:lang w:val="zh-CN"/>
        </w:rPr>
        <w:t>资金分配的原则及考虑因素。</w:t>
      </w:r>
    </w:p>
    <w:p>
      <w:pPr>
        <w:pStyle w:val="2"/>
        <w:spacing w:before="93" w:line="560" w:lineRule="exact"/>
        <w:ind w:firstLine="640" w:firstLineChars="200"/>
        <w:rPr>
          <w:lang w:val="zh-CN"/>
        </w:rPr>
      </w:pPr>
      <w:r>
        <w:rPr>
          <w:rFonts w:hint="eastAsia" w:ascii="仿宋" w:hAnsi="仿宋" w:eastAsia="仿宋" w:cs="仿宋"/>
          <w:kern w:val="2"/>
          <w:sz w:val="32"/>
          <w:szCs w:val="32"/>
        </w:rPr>
        <w:t>按照各项项目具体情况实施资金分配，严格审核，报送财政局审批支付，重大项目支出经院党委会审议通过。</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pPr>
        <w:widowControl/>
        <w:adjustRightInd w:val="0"/>
        <w:snapToGrid w:val="0"/>
        <w:spacing w:line="578" w:lineRule="exact"/>
        <w:ind w:firstLine="640"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kern w:val="0"/>
          <w:sz w:val="32"/>
          <w:szCs w:val="32"/>
          <w:shd w:val="clear" w:color="auto" w:fill="FFFFFF"/>
          <w:lang w:val="zh-CN"/>
        </w:rPr>
        <w:t>1．项目主要内容。</w:t>
      </w:r>
    </w:p>
    <w:p>
      <w:pPr>
        <w:pStyle w:val="2"/>
        <w:spacing w:before="93" w:line="560" w:lineRule="exact"/>
        <w:ind w:firstLine="640" w:firstLineChars="200"/>
        <w:rPr>
          <w:rFonts w:eastAsia="仿宋"/>
        </w:rPr>
      </w:pPr>
      <w:r>
        <w:rPr>
          <w:rFonts w:hint="eastAsia" w:ascii="仿宋" w:hAnsi="仿宋" w:eastAsia="仿宋" w:cs="仿宋"/>
          <w:sz w:val="32"/>
          <w:szCs w:val="32"/>
          <w:shd w:val="clear" w:color="auto" w:fill="FFFFFF"/>
        </w:rPr>
        <w:t>2022年除中央转移支付项目经费外，我院成立项目主要有：（1）渔门法庭“石榴籽”调解室改造；（2）“十三五”期间创建的节约型公共机构示范单位奖补资金；（3）聘用制书记员项目经费；（4）破产费用保障资金；（5）黄志杰（2021）川0422执587号案罚没收入资金。</w:t>
      </w:r>
    </w:p>
    <w:p>
      <w:pPr>
        <w:widowControl/>
        <w:numPr>
          <w:ilvl w:val="0"/>
          <w:numId w:val="10"/>
        </w:numPr>
        <w:adjustRightInd w:val="0"/>
        <w:snapToGrid w:val="0"/>
        <w:spacing w:line="578" w:lineRule="exact"/>
        <w:ind w:firstLine="640"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kern w:val="0"/>
          <w:sz w:val="32"/>
          <w:szCs w:val="32"/>
          <w:shd w:val="clear" w:color="auto" w:fill="FFFFFF"/>
          <w:lang w:val="zh-CN"/>
        </w:rPr>
        <w:t>项目应实现的具体绩效目标，</w:t>
      </w:r>
      <w:r>
        <w:rPr>
          <w:rFonts w:hint="eastAsia" w:ascii="仿宋" w:hAnsi="仿宋" w:eastAsia="仿宋" w:cs="仿宋"/>
          <w:kern w:val="0"/>
          <w:sz w:val="32"/>
          <w:szCs w:val="32"/>
          <w:shd w:val="clear" w:color="auto" w:fill="FFFFFF"/>
        </w:rPr>
        <w:t>包括但不限于：绩效</w:t>
      </w:r>
      <w:r>
        <w:rPr>
          <w:rFonts w:hint="eastAsia" w:ascii="仿宋" w:hAnsi="仿宋" w:eastAsia="仿宋" w:cs="仿宋"/>
          <w:kern w:val="0"/>
          <w:sz w:val="32"/>
          <w:szCs w:val="32"/>
          <w:shd w:val="clear" w:color="auto" w:fill="FFFFFF"/>
          <w:lang w:val="zh-CN"/>
        </w:rPr>
        <w:t>目标的量化细化情况、项目实施进度计划等。</w:t>
      </w:r>
    </w:p>
    <w:p>
      <w:pPr>
        <w:pStyle w:val="2"/>
        <w:spacing w:before="93" w:line="560" w:lineRule="exact"/>
        <w:ind w:firstLine="640" w:firstLineChars="200"/>
        <w:rPr>
          <w:lang w:val="zh-CN"/>
        </w:rPr>
      </w:pPr>
      <w:r>
        <w:rPr>
          <w:rFonts w:hint="eastAsia" w:ascii="仿宋" w:hAnsi="仿宋" w:eastAsia="仿宋" w:cs="仿宋"/>
          <w:sz w:val="32"/>
          <w:szCs w:val="32"/>
          <w:shd w:val="clear" w:color="auto" w:fill="FFFFFF"/>
        </w:rPr>
        <w:t>2022年项目应实现的具体绩效目标有：（1）完成渔门法庭“石榴籽”调解室的改造，</w:t>
      </w:r>
      <w:r>
        <w:rPr>
          <w:rFonts w:hint="eastAsia" w:hAnsi="宋体"/>
          <w:lang w:val="zh-CN"/>
        </w:rPr>
        <w:t>为各民族群众提供“一站式”解纷服务，让民族团结之花常开长盛；（</w:t>
      </w:r>
      <w:r>
        <w:rPr>
          <w:rFonts w:hint="eastAsia" w:hAnsi="宋体"/>
        </w:rPr>
        <w:t>2</w:t>
      </w:r>
      <w:r>
        <w:rPr>
          <w:rFonts w:hint="eastAsia" w:hAnsi="宋体"/>
          <w:lang w:val="zh-CN"/>
        </w:rPr>
        <w:t>）积极推进生态文明建设，扎实开展公共机构节能工作，发挥节约型示范单位引领作用</w:t>
      </w:r>
      <w:r>
        <w:rPr>
          <w:rFonts w:hint="eastAsia" w:ascii="仿宋" w:hAnsi="仿宋" w:eastAsia="仿宋" w:cs="仿宋"/>
          <w:sz w:val="32"/>
          <w:szCs w:val="32"/>
          <w:shd w:val="clear" w:color="auto" w:fill="FFFFFF"/>
        </w:rPr>
        <w:t>；（3）按时发放聘用制书记员的工资，缴纳社保、公积金，保障院审判工作的有序开展，提升审判工作质量；（4）</w:t>
      </w:r>
      <w:r>
        <w:rPr>
          <w:rFonts w:hint="eastAsia" w:hAnsi="宋体"/>
          <w:lang w:val="zh-CN"/>
        </w:rPr>
        <w:t>建立破产费用保障长效机制，解决因债务人财产不足以支付破产费用以及破产财产暂时无法变现而影响破产程序启动的问题；（</w:t>
      </w:r>
      <w:r>
        <w:rPr>
          <w:rFonts w:hint="eastAsia" w:hAnsi="宋体"/>
        </w:rPr>
        <w:t>5</w:t>
      </w:r>
      <w:r>
        <w:rPr>
          <w:rFonts w:hint="eastAsia" w:hAnsi="宋体"/>
          <w:lang w:val="zh-CN"/>
        </w:rPr>
        <w:t>）</w:t>
      </w:r>
      <w:r>
        <w:rPr>
          <w:rFonts w:hint="eastAsia" w:hAnsi="宋体"/>
        </w:rPr>
        <w:t>申请退还黄志杰罚没收入，将其返还给诈骗案件受害人，切实营造平安稳定的社会环境</w:t>
      </w:r>
      <w:r>
        <w:rPr>
          <w:rFonts w:hint="eastAsia" w:ascii="仿宋" w:hAnsi="仿宋" w:eastAsia="仿宋" w:cs="仿宋"/>
          <w:sz w:val="32"/>
          <w:szCs w:val="32"/>
          <w:shd w:val="clear" w:color="auto" w:fill="FFFFFF"/>
        </w:rPr>
        <w:t>。</w:t>
      </w:r>
    </w:p>
    <w:p>
      <w:pPr>
        <w:widowControl/>
        <w:numPr>
          <w:ilvl w:val="0"/>
          <w:numId w:val="10"/>
        </w:numPr>
        <w:adjustRightInd w:val="0"/>
        <w:snapToGrid w:val="0"/>
        <w:spacing w:line="578" w:lineRule="exact"/>
        <w:ind w:firstLine="640"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kern w:val="0"/>
          <w:sz w:val="32"/>
          <w:szCs w:val="32"/>
          <w:shd w:val="clear" w:color="auto" w:fill="FFFFFF"/>
          <w:lang w:val="zh-CN"/>
        </w:rPr>
        <w:t>分析评价申报内容是否与实际相符，申报目标是否合理可行。</w:t>
      </w:r>
    </w:p>
    <w:p>
      <w:pPr>
        <w:adjustRightInd w:val="0"/>
        <w:snapToGrid w:val="0"/>
        <w:spacing w:line="560" w:lineRule="exact"/>
        <w:ind w:firstLine="640" w:firstLineChars="200"/>
        <w:rPr>
          <w:lang w:val="zh-CN"/>
        </w:rPr>
      </w:pPr>
      <w:r>
        <w:rPr>
          <w:rFonts w:hint="eastAsia" w:ascii="仿宋" w:hAnsi="仿宋" w:eastAsia="仿宋" w:cs="仿宋"/>
          <w:sz w:val="32"/>
          <w:szCs w:val="32"/>
          <w:lang w:val="zh-CN"/>
        </w:rPr>
        <w:t>项目申报内容与具体实施内容相符、申报目标合理可行。</w:t>
      </w:r>
    </w:p>
    <w:p>
      <w:pPr>
        <w:numPr>
          <w:ilvl w:val="0"/>
          <w:numId w:val="8"/>
        </w:numPr>
        <w:adjustRightInd w:val="0"/>
        <w:snapToGrid w:val="0"/>
        <w:spacing w:line="578" w:lineRule="exact"/>
        <w:ind w:firstLine="643" w:firstLineChars="200"/>
        <w:rPr>
          <w:rFonts w:ascii="楷体_GB2312" w:hAnsi="宋体" w:eastAsia="楷体_GB2312"/>
          <w:b/>
          <w:sz w:val="32"/>
          <w:szCs w:val="32"/>
          <w:lang w:val="zh-CN"/>
        </w:rPr>
      </w:pPr>
      <w:r>
        <w:rPr>
          <w:rFonts w:hint="eastAsia" w:ascii="楷体_GB2312" w:hAnsi="宋体" w:eastAsia="楷体_GB2312"/>
          <w:b/>
          <w:sz w:val="32"/>
          <w:szCs w:val="32"/>
          <w:lang w:val="zh-CN"/>
        </w:rPr>
        <w:t>项目自评步骤及方法。</w:t>
      </w:r>
    </w:p>
    <w:p>
      <w:pPr>
        <w:adjustRightInd w:val="0"/>
        <w:snapToGrid w:val="0"/>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建立评价工作组，制定评价工作方案，对项目开展综合评分，全面考量项目的实施，形成项目绩效评价表和评价报告。</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pPr>
        <w:adjustRightInd w:val="0"/>
        <w:snapToGrid w:val="0"/>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年初，按要求申报项目资金并提供相关印证文件，待</w:t>
      </w:r>
      <w:r>
        <w:rPr>
          <w:rFonts w:hint="eastAsia" w:ascii="仿宋" w:hAnsi="仿宋" w:eastAsia="仿宋" w:cs="仿宋"/>
          <w:sz w:val="32"/>
          <w:szCs w:val="32"/>
        </w:rPr>
        <w:t>县、</w:t>
      </w:r>
      <w:r>
        <w:rPr>
          <w:rFonts w:hint="eastAsia" w:ascii="仿宋" w:hAnsi="仿宋" w:eastAsia="仿宋" w:cs="仿宋"/>
          <w:sz w:val="32"/>
          <w:szCs w:val="32"/>
          <w:lang w:val="zh-CN"/>
        </w:rPr>
        <w:t>市财政批复后，按相关规定执行。</w:t>
      </w:r>
    </w:p>
    <w:p>
      <w:pPr>
        <w:adjustRightInd w:val="0"/>
        <w:snapToGrid w:val="0"/>
        <w:spacing w:line="578" w:lineRule="exact"/>
        <w:ind w:firstLine="720"/>
        <w:rPr>
          <w:rFonts w:ascii="仿宋_GB2312" w:hAnsi="宋体"/>
          <w:sz w:val="32"/>
          <w:szCs w:val="32"/>
          <w:lang w:val="zh-CN"/>
        </w:rPr>
      </w:pPr>
      <w:r>
        <w:rPr>
          <w:rFonts w:hint="eastAsia" w:ascii="楷体_GB2312" w:hAnsi="宋体" w:eastAsia="楷体_GB2312"/>
          <w:b/>
          <w:sz w:val="32"/>
          <w:szCs w:val="32"/>
          <w:lang w:val="zh-CN"/>
        </w:rPr>
        <w:t>（二）资金计划、到位及使用情况（可用表格形式反映）。</w:t>
      </w:r>
    </w:p>
    <w:p>
      <w:pPr>
        <w:widowControl/>
        <w:adjustRightInd w:val="0"/>
        <w:snapToGrid w:val="0"/>
        <w:spacing w:line="560" w:lineRule="exact"/>
        <w:ind w:firstLine="640"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kern w:val="0"/>
          <w:sz w:val="32"/>
          <w:szCs w:val="32"/>
          <w:shd w:val="clear" w:color="auto" w:fill="FFFFFF"/>
          <w:lang w:val="zh-CN"/>
        </w:rPr>
        <w:t>1．资金计划。</w:t>
      </w:r>
    </w:p>
    <w:p>
      <w:pPr>
        <w:widowControl/>
        <w:adjustRightInd w:val="0"/>
        <w:snapToGrid w:val="0"/>
        <w:spacing w:line="560" w:lineRule="exact"/>
        <w:ind w:firstLine="640"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kern w:val="0"/>
          <w:sz w:val="32"/>
          <w:szCs w:val="32"/>
          <w:shd w:val="clear" w:color="auto" w:fill="FFFFFF"/>
        </w:rPr>
        <w:t>聘用制书记员项目经费由市级财政拨款，其余4项项目经费均由县财政局拨款。</w:t>
      </w:r>
    </w:p>
    <w:p>
      <w:pPr>
        <w:widowControl/>
        <w:numPr>
          <w:ilvl w:val="0"/>
          <w:numId w:val="11"/>
        </w:numPr>
        <w:adjustRightInd w:val="0"/>
        <w:snapToGrid w:val="0"/>
        <w:spacing w:line="560" w:lineRule="exact"/>
        <w:ind w:firstLine="640"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kern w:val="0"/>
          <w:sz w:val="32"/>
          <w:szCs w:val="32"/>
          <w:shd w:val="clear" w:color="auto" w:fill="FFFFFF"/>
          <w:lang w:val="zh-CN"/>
        </w:rPr>
        <w:t>资金到位。</w:t>
      </w:r>
    </w:p>
    <w:p>
      <w:pPr>
        <w:widowControl/>
        <w:adjustRightInd w:val="0"/>
        <w:snapToGrid w:val="0"/>
        <w:spacing w:line="560" w:lineRule="exact"/>
        <w:ind w:firstLine="640" w:firstLineChars="200"/>
        <w:contextualSpacing/>
        <w:jc w:val="left"/>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资金到位及时。</w:t>
      </w:r>
    </w:p>
    <w:p>
      <w:pPr>
        <w:widowControl/>
        <w:numPr>
          <w:ilvl w:val="0"/>
          <w:numId w:val="11"/>
        </w:numPr>
        <w:adjustRightInd w:val="0"/>
        <w:snapToGrid w:val="0"/>
        <w:spacing w:line="560" w:lineRule="exact"/>
        <w:ind w:firstLine="640"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kern w:val="0"/>
          <w:sz w:val="32"/>
          <w:szCs w:val="32"/>
          <w:shd w:val="clear" w:color="auto" w:fill="FFFFFF"/>
          <w:lang w:val="zh-CN"/>
        </w:rPr>
        <w:t>资金使用。</w:t>
      </w:r>
    </w:p>
    <w:p>
      <w:pPr>
        <w:widowControl/>
        <w:adjustRightInd w:val="0"/>
        <w:snapToGrid w:val="0"/>
        <w:spacing w:line="560" w:lineRule="exact"/>
        <w:ind w:firstLine="640" w:firstLineChars="200"/>
        <w:contextualSpacing/>
        <w:jc w:val="left"/>
        <w:rPr>
          <w:rFonts w:ascii="仿宋" w:hAnsi="仿宋" w:eastAsia="仿宋" w:cs="仿宋"/>
          <w:kern w:val="0"/>
          <w:sz w:val="32"/>
          <w:szCs w:val="32"/>
          <w:shd w:val="clear" w:color="auto" w:fill="FFFFFF"/>
          <w:lang w:val="zh-CN"/>
        </w:rPr>
      </w:pPr>
      <w:r>
        <w:rPr>
          <w:rFonts w:hint="eastAsia" w:ascii="仿宋" w:hAnsi="仿宋" w:eastAsia="仿宋" w:cs="仿宋"/>
          <w:kern w:val="0"/>
          <w:sz w:val="32"/>
          <w:szCs w:val="32"/>
          <w:shd w:val="clear" w:color="auto" w:fill="FFFFFF"/>
          <w:lang w:val="zh-CN"/>
        </w:rPr>
        <w:t>我院严格执行相关经费规定，做到专款专用，同时不截留、不挪用、不擅自改变项目资金用途，主动接受监督审计，保证每一笔经费支出都经得起检验。</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pPr>
        <w:adjustRightInd w:val="0"/>
        <w:snapToGrid w:val="0"/>
        <w:spacing w:line="560" w:lineRule="exact"/>
        <w:ind w:firstLine="640" w:firstLineChars="200"/>
        <w:rPr>
          <w:rFonts w:ascii="仿宋" w:hAnsi="仿宋" w:eastAsia="仿宋" w:cs="仿宋"/>
          <w:kern w:val="0"/>
          <w:sz w:val="32"/>
          <w:szCs w:val="32"/>
          <w:shd w:val="clear" w:color="auto" w:fill="FFFFFF"/>
          <w:lang w:val="zh-CN"/>
        </w:rPr>
      </w:pPr>
      <w:r>
        <w:rPr>
          <w:rFonts w:hint="eastAsia" w:ascii="仿宋" w:hAnsi="仿宋" w:eastAsia="仿宋" w:cs="仿宋"/>
          <w:kern w:val="0"/>
          <w:sz w:val="32"/>
          <w:szCs w:val="32"/>
          <w:shd w:val="clear" w:color="auto" w:fill="FFFFFF"/>
        </w:rPr>
        <w:t>我院</w:t>
      </w:r>
      <w:r>
        <w:rPr>
          <w:rFonts w:hint="eastAsia" w:ascii="仿宋" w:hAnsi="仿宋" w:eastAsia="仿宋" w:cs="仿宋"/>
          <w:kern w:val="0"/>
          <w:sz w:val="32"/>
          <w:szCs w:val="32"/>
          <w:shd w:val="clear" w:color="auto" w:fill="FFFFFF"/>
          <w:lang w:val="zh-CN"/>
        </w:rPr>
        <w:t>管理制度健全，严格遵守费用开支范围和开支标准，保证专款专用，财务人员按照会计制度，审核各类凭证，做到凭证合法、内容真实、数据准确、手续完备，保证会计核算真实规范。</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三、项目实施及管理情况</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（一）项目组织架构及实施流程。</w:t>
      </w:r>
    </w:p>
    <w:p>
      <w:pPr>
        <w:pStyle w:val="2"/>
        <w:spacing w:before="93" w:line="560" w:lineRule="exact"/>
        <w:ind w:firstLine="640" w:firstLineChars="200"/>
        <w:rPr>
          <w:rFonts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年初</w:t>
      </w:r>
      <w:r>
        <w:rPr>
          <w:rFonts w:hint="eastAsia" w:ascii="仿宋" w:hAnsi="仿宋" w:eastAsia="仿宋" w:cs="仿宋"/>
          <w:sz w:val="32"/>
          <w:szCs w:val="32"/>
          <w:shd w:val="clear" w:color="auto" w:fill="FFFFFF"/>
        </w:rPr>
        <w:t>根据实际需求</w:t>
      </w:r>
      <w:r>
        <w:rPr>
          <w:rFonts w:hint="eastAsia" w:ascii="仿宋" w:hAnsi="仿宋" w:eastAsia="仿宋" w:cs="仿宋"/>
          <w:sz w:val="32"/>
          <w:szCs w:val="32"/>
          <w:shd w:val="clear" w:color="auto" w:fill="FFFFFF"/>
          <w:lang w:val="zh-CN"/>
        </w:rPr>
        <w:t>做出项目预算，对该项目的年度总体目标进行规范，并细化到产出指标、效益指标等；年中</w:t>
      </w:r>
      <w:r>
        <w:rPr>
          <w:rFonts w:hint="eastAsia" w:ascii="仿宋" w:hAnsi="仿宋" w:eastAsia="仿宋" w:cs="仿宋"/>
          <w:sz w:val="32"/>
          <w:szCs w:val="32"/>
          <w:shd w:val="clear" w:color="auto" w:fill="FFFFFF"/>
        </w:rPr>
        <w:t>按照项目目标任务，严格把关，及时报送计划、支付，保障专款专用</w:t>
      </w:r>
      <w:r>
        <w:rPr>
          <w:rFonts w:hint="eastAsia" w:ascii="仿宋" w:hAnsi="仿宋" w:eastAsia="仿宋" w:cs="仿宋"/>
          <w:sz w:val="32"/>
          <w:szCs w:val="32"/>
          <w:shd w:val="clear" w:color="auto" w:fill="FFFFFF"/>
          <w:lang w:val="zh-CN"/>
        </w:rPr>
        <w:t>，</w:t>
      </w:r>
      <w:r>
        <w:rPr>
          <w:rFonts w:hint="eastAsia" w:ascii="仿宋" w:hAnsi="仿宋" w:eastAsia="仿宋" w:cs="仿宋"/>
          <w:sz w:val="32"/>
          <w:szCs w:val="32"/>
          <w:shd w:val="clear" w:color="auto" w:fill="FFFFFF"/>
        </w:rPr>
        <w:t>并进行事中绩效评价；</w:t>
      </w:r>
      <w:r>
        <w:rPr>
          <w:rFonts w:hint="eastAsia" w:ascii="仿宋" w:hAnsi="仿宋" w:eastAsia="仿宋" w:cs="仿宋"/>
          <w:sz w:val="32"/>
          <w:szCs w:val="32"/>
          <w:shd w:val="clear" w:color="auto" w:fill="FFFFFF"/>
          <w:lang w:val="zh-CN"/>
        </w:rPr>
        <w:t>年底对各个项目做出项目绩效评价。</w:t>
      </w:r>
    </w:p>
    <w:p>
      <w:pPr>
        <w:numPr>
          <w:ilvl w:val="0"/>
          <w:numId w:val="12"/>
        </w:numPr>
        <w:adjustRightInd w:val="0"/>
        <w:snapToGrid w:val="0"/>
        <w:spacing w:line="560" w:lineRule="exact"/>
        <w:ind w:firstLine="643" w:firstLineChars="200"/>
        <w:rPr>
          <w:rFonts w:ascii="楷体_GB2312" w:hAnsi="宋体" w:eastAsia="楷体_GB2312"/>
          <w:b/>
          <w:sz w:val="32"/>
          <w:szCs w:val="32"/>
          <w:lang w:val="zh-CN"/>
        </w:rPr>
      </w:pPr>
      <w:r>
        <w:rPr>
          <w:rFonts w:hint="eastAsia" w:ascii="楷体_GB2312" w:hAnsi="宋体" w:eastAsia="楷体_GB2312"/>
          <w:b/>
          <w:sz w:val="32"/>
          <w:szCs w:val="32"/>
          <w:lang w:val="zh-CN"/>
        </w:rPr>
        <w:t>项目管理情况。</w:t>
      </w:r>
    </w:p>
    <w:p>
      <w:pPr>
        <w:pStyle w:val="2"/>
        <w:spacing w:before="93" w:line="560" w:lineRule="exact"/>
        <w:ind w:firstLine="640" w:firstLineChars="200"/>
        <w:rPr>
          <w:rFonts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严格按照相关法律法规及招投标、政府采购、项目公示制等相关规定进行管理。</w:t>
      </w:r>
    </w:p>
    <w:p>
      <w:pPr>
        <w:pStyle w:val="2"/>
        <w:numPr>
          <w:ilvl w:val="0"/>
          <w:numId w:val="12"/>
        </w:numPr>
        <w:spacing w:before="93" w:line="560" w:lineRule="exact"/>
        <w:ind w:firstLine="643" w:firstLineChars="200"/>
        <w:rPr>
          <w:rFonts w:ascii="楷体_GB2312" w:hAnsi="宋体" w:eastAsia="楷体_GB2312"/>
          <w:b/>
          <w:sz w:val="32"/>
          <w:szCs w:val="32"/>
          <w:lang w:val="zh-CN"/>
        </w:rPr>
      </w:pPr>
      <w:r>
        <w:rPr>
          <w:rFonts w:hint="eastAsia" w:ascii="楷体_GB2312" w:hAnsi="宋体" w:eastAsia="楷体_GB2312"/>
          <w:b/>
          <w:sz w:val="32"/>
          <w:szCs w:val="32"/>
          <w:lang w:val="zh-CN"/>
        </w:rPr>
        <w:t>项目监管情况。</w:t>
      </w:r>
    </w:p>
    <w:p>
      <w:pPr>
        <w:pStyle w:val="2"/>
        <w:spacing w:before="93" w:line="560" w:lineRule="exact"/>
        <w:ind w:firstLine="640" w:firstLineChars="200"/>
        <w:rPr>
          <w:rFonts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严格根据合同条款，落实相关监管程序，执行验收工程，严格按照财务管理制度，进行账务报销。</w:t>
      </w:r>
    </w:p>
    <w:p>
      <w:pPr>
        <w:adjustRightInd w:val="0"/>
        <w:snapToGrid w:val="0"/>
        <w:spacing w:line="578" w:lineRule="exact"/>
        <w:rPr>
          <w:rFonts w:ascii="仿宋_GB2312" w:hAnsi="宋体"/>
          <w:sz w:val="32"/>
          <w:szCs w:val="32"/>
          <w:lang w:val="zh-CN"/>
        </w:rPr>
      </w:pPr>
      <w:r>
        <w:rPr>
          <w:rFonts w:hint="eastAsia" w:ascii="黑体" w:hAnsi="宋体" w:eastAsia="黑体"/>
          <w:sz w:val="32"/>
          <w:szCs w:val="32"/>
        </w:rPr>
        <w:t>四、项目绩效情况</w:t>
      </w:r>
      <w:r>
        <w:rPr>
          <w:rFonts w:hint="eastAsia" w:ascii="仿宋_GB2312" w:hAnsi="宋体"/>
          <w:sz w:val="32"/>
          <w:szCs w:val="32"/>
          <w:lang w:val="zh-CN"/>
        </w:rPr>
        <w:tab/>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pPr>
        <w:adjustRightInd w:val="0"/>
        <w:snapToGrid w:val="0"/>
        <w:spacing w:line="560" w:lineRule="exact"/>
        <w:ind w:firstLine="640" w:firstLineChars="200"/>
        <w:rPr>
          <w:rFonts w:ascii="仿宋" w:hAnsi="仿宋" w:eastAsia="仿宋" w:cs="仿宋"/>
          <w:sz w:val="32"/>
          <w:szCs w:val="32"/>
          <w:lang w:val="zh-CN"/>
        </w:rPr>
      </w:pPr>
      <w:r>
        <w:rPr>
          <w:rFonts w:hint="eastAsia" w:ascii="仿宋" w:hAnsi="仿宋" w:eastAsia="仿宋" w:cs="仿宋"/>
          <w:kern w:val="0"/>
          <w:sz w:val="32"/>
          <w:szCs w:val="32"/>
          <w:shd w:val="clear" w:color="auto" w:fill="FFFFFF"/>
        </w:rPr>
        <w:t>（1）按期</w:t>
      </w:r>
      <w:r>
        <w:rPr>
          <w:rFonts w:hint="eastAsia" w:ascii="仿宋" w:hAnsi="仿宋" w:eastAsia="仿宋" w:cs="仿宋"/>
          <w:sz w:val="32"/>
          <w:szCs w:val="32"/>
          <w:lang w:val="zh-CN"/>
        </w:rPr>
        <w:t>完成了盐边县人民法院“石榴籽”调解室项目的打造，工期为19天，共打造完成项目1个，由永兴法庭、综合办公室共同进行采购验收。成本指标为3万元，项目打造过程无违规记录。</w:t>
      </w:r>
    </w:p>
    <w:p>
      <w:pPr>
        <w:adjustRightInd w:val="0"/>
        <w:snapToGrid w:val="0"/>
        <w:spacing w:line="560" w:lineRule="exact"/>
        <w:ind w:firstLine="640" w:firstLineChars="200"/>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（2）</w:t>
      </w:r>
      <w:r>
        <w:rPr>
          <w:rFonts w:hint="eastAsia" w:ascii="仿宋" w:hAnsi="仿宋" w:eastAsia="仿宋" w:cs="仿宋"/>
          <w:sz w:val="32"/>
          <w:szCs w:val="32"/>
          <w:lang w:val="zh-CN"/>
        </w:rPr>
        <w:t>按期完成了盐边县人民法院审判大楼过道更换节能灯及每层增加计量电表的工程，工期为3天，共打造完成项目1个，由综合办公室、政治部（督察室）共同进行采购验收。成本指标为8.41万元，项目打造过程无违规记录。</w:t>
      </w:r>
    </w:p>
    <w:p>
      <w:pPr>
        <w:widowControl/>
        <w:adjustRightInd w:val="0"/>
        <w:snapToGrid w:val="0"/>
        <w:spacing w:line="560" w:lineRule="exact"/>
        <w:ind w:firstLine="640" w:firstLineChars="200"/>
        <w:contextualSpacing/>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（3）按时发放了聘用制书记员的工资，缴纳社保、公积金，共计71.84万元，良好的保障我院审判工作的有序开展，提升了审判工作质量，更好地为人民群众服务；</w:t>
      </w:r>
    </w:p>
    <w:p>
      <w:pPr>
        <w:adjustRightInd w:val="0"/>
        <w:snapToGrid w:val="0"/>
        <w:spacing w:line="560" w:lineRule="exact"/>
        <w:ind w:firstLine="640" w:firstLineChars="200"/>
        <w:rPr>
          <w:rFonts w:ascii="仿宋" w:hAnsi="仿宋" w:eastAsia="仿宋" w:cs="仿宋"/>
          <w:sz w:val="32"/>
          <w:szCs w:val="32"/>
          <w:lang w:val="zh-CN"/>
        </w:rPr>
      </w:pPr>
      <w:r>
        <w:rPr>
          <w:rFonts w:hint="eastAsia" w:ascii="仿宋" w:hAnsi="仿宋" w:eastAsia="仿宋" w:cs="仿宋"/>
          <w:kern w:val="0"/>
          <w:sz w:val="32"/>
          <w:szCs w:val="32"/>
          <w:shd w:val="clear" w:color="auto" w:fill="FFFFFF"/>
        </w:rPr>
        <w:t>（4）</w:t>
      </w:r>
      <w:r>
        <w:rPr>
          <w:rFonts w:hint="eastAsia" w:ascii="仿宋" w:hAnsi="仿宋" w:eastAsia="仿宋" w:cs="仿宋"/>
          <w:sz w:val="32"/>
          <w:szCs w:val="32"/>
          <w:lang w:val="zh-CN"/>
        </w:rPr>
        <w:t>2022年12月14日破产费用保障资金15.41万元通过院内报销审核，2022年12月19日该款项已支付到盐边县西雅德家具厂管理人账户上。成本指标为20万元，项目资金使用15.41万元，剩余4.59万元由县财政收回，资金无结余，项目打造过程无违规记录。</w:t>
      </w:r>
    </w:p>
    <w:p>
      <w:pPr>
        <w:widowControl/>
        <w:adjustRightInd w:val="0"/>
        <w:snapToGrid w:val="0"/>
        <w:spacing w:line="560" w:lineRule="exact"/>
        <w:ind w:firstLine="640" w:firstLineChars="200"/>
        <w:contextualSpacing/>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（5）我院自收到河北省献县公安局来函及“省长信箱”来件后，第一时间向县政府和县财政局拨付已上交县财政的黄志杰罚没收入2.6万元，及时将其返还给诈骗案件受害人。</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pPr>
        <w:widowControl/>
        <w:adjustRightInd w:val="0"/>
        <w:snapToGrid w:val="0"/>
        <w:spacing w:line="560" w:lineRule="exact"/>
        <w:ind w:firstLine="640" w:firstLineChars="200"/>
        <w:contextualSpacing/>
        <w:rPr>
          <w:rFonts w:ascii="仿宋" w:hAnsi="仿宋" w:eastAsia="仿宋" w:cs="仿宋"/>
          <w:kern w:val="0"/>
          <w:sz w:val="32"/>
          <w:szCs w:val="32"/>
          <w:shd w:val="clear" w:color="auto" w:fill="FFFFFF"/>
          <w:lang w:val="zh-CN"/>
        </w:rPr>
      </w:pPr>
      <w:r>
        <w:rPr>
          <w:rFonts w:hint="eastAsia" w:ascii="仿宋" w:hAnsi="仿宋" w:eastAsia="仿宋" w:cs="仿宋"/>
          <w:kern w:val="0"/>
          <w:sz w:val="32"/>
          <w:szCs w:val="32"/>
          <w:shd w:val="clear" w:color="auto" w:fill="FFFFFF"/>
        </w:rPr>
        <w:t>2022年以来，盐边县人民法院认真贯彻落实党的二十大精神，围绕市委“一三三三”总体战略部署，全面聚焦“钒钛首县、滋味盐边”发展定位，忠实践行“项目攻坚突破年”奋进目标，全面履行审执职能，不断加强队伍建设，努力让人民群众切实感受到公平正义就在身边。项目资金我我院在实现工作目标的过程中，解决了办案业务费缺口问题，保证了聘用制书记员经费，让调解室打造、破产费用保障等利好项目有序开展，保障了法院的各项工作有序进行，为服务盐边经济社会发展做出了努力。</w:t>
      </w:r>
    </w:p>
    <w:p>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pPr>
        <w:adjustRightInd w:val="0"/>
        <w:snapToGrid w:val="0"/>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202</w:t>
      </w:r>
      <w:r>
        <w:rPr>
          <w:rFonts w:hint="eastAsia" w:ascii="仿宋" w:hAnsi="仿宋" w:eastAsia="仿宋" w:cs="仿宋"/>
          <w:sz w:val="32"/>
          <w:szCs w:val="32"/>
        </w:rPr>
        <w:t>2</w:t>
      </w:r>
      <w:r>
        <w:rPr>
          <w:rFonts w:hint="eastAsia" w:ascii="仿宋" w:hAnsi="仿宋" w:eastAsia="仿宋" w:cs="仿宋"/>
          <w:sz w:val="32"/>
          <w:szCs w:val="32"/>
          <w:lang w:val="zh-CN"/>
        </w:rPr>
        <w:t>年度的</w:t>
      </w:r>
      <w:r>
        <w:rPr>
          <w:rFonts w:hint="eastAsia" w:ascii="仿宋" w:hAnsi="仿宋" w:eastAsia="仿宋" w:cs="仿宋"/>
          <w:sz w:val="32"/>
          <w:szCs w:val="32"/>
        </w:rPr>
        <w:t>项目均及时、完整实施，为盐边县人民法院的审判工作提供了有力保障</w:t>
      </w:r>
      <w:r>
        <w:rPr>
          <w:rFonts w:hint="eastAsia" w:ascii="仿宋" w:hAnsi="仿宋" w:eastAsia="仿宋" w:cs="仿宋"/>
          <w:sz w:val="32"/>
          <w:szCs w:val="32"/>
          <w:lang w:val="zh-CN"/>
        </w:rPr>
        <w:t>。</w:t>
      </w:r>
      <w:r>
        <w:rPr>
          <w:rFonts w:hint="eastAsia" w:ascii="仿宋" w:hAnsi="仿宋" w:eastAsia="仿宋" w:cs="仿宋"/>
          <w:sz w:val="32"/>
          <w:szCs w:val="32"/>
        </w:rPr>
        <w:t>项目执行率100%，市、县</w:t>
      </w:r>
      <w:r>
        <w:rPr>
          <w:rFonts w:hint="eastAsia" w:ascii="仿宋" w:hAnsi="仿宋" w:eastAsia="仿宋" w:cs="仿宋"/>
          <w:sz w:val="32"/>
          <w:szCs w:val="32"/>
          <w:lang w:val="zh-CN"/>
        </w:rPr>
        <w:t>财政下达的项目</w:t>
      </w:r>
      <w:r>
        <w:rPr>
          <w:rFonts w:hint="eastAsia" w:ascii="仿宋" w:hAnsi="仿宋" w:eastAsia="仿宋" w:cs="仿宋"/>
          <w:sz w:val="32"/>
          <w:szCs w:val="32"/>
        </w:rPr>
        <w:t>经费</w:t>
      </w:r>
      <w:r>
        <w:rPr>
          <w:rFonts w:hint="eastAsia" w:ascii="仿宋" w:hAnsi="仿宋" w:eastAsia="仿宋" w:cs="仿宋"/>
          <w:sz w:val="32"/>
          <w:szCs w:val="32"/>
          <w:lang w:val="zh-CN"/>
        </w:rPr>
        <w:t>完成支付100%。</w:t>
      </w:r>
    </w:p>
    <w:p>
      <w:pPr>
        <w:numPr>
          <w:ilvl w:val="0"/>
          <w:numId w:val="13"/>
        </w:num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存在的问题。</w:t>
      </w:r>
    </w:p>
    <w:p>
      <w:pPr>
        <w:adjustRightInd w:val="0"/>
        <w:snapToGrid w:val="0"/>
        <w:spacing w:line="560" w:lineRule="exact"/>
        <w:ind w:firstLine="640" w:firstLineChars="200"/>
        <w:rPr>
          <w:rFonts w:ascii="仿宋" w:hAnsi="仿宋" w:eastAsia="仿宋" w:cs="仿宋"/>
          <w:kern w:val="0"/>
          <w:sz w:val="32"/>
          <w:szCs w:val="32"/>
          <w:shd w:val="clear" w:color="auto" w:fill="FFFFFF"/>
          <w:lang w:val="zh-CN"/>
        </w:rPr>
      </w:pPr>
      <w:r>
        <w:rPr>
          <w:rFonts w:hint="eastAsia" w:ascii="仿宋" w:hAnsi="仿宋" w:eastAsia="仿宋" w:cs="仿宋"/>
          <w:color w:val="000000"/>
          <w:kern w:val="0"/>
          <w:sz w:val="32"/>
          <w:szCs w:val="32"/>
          <w:shd w:val="clear" w:color="auto" w:fill="FFFFFF"/>
        </w:rPr>
        <w:t>各部门对项目预算绩效管理的水平</w:t>
      </w:r>
      <w:r>
        <w:rPr>
          <w:rFonts w:hint="eastAsia" w:ascii="仿宋" w:hAnsi="仿宋" w:eastAsia="仿宋" w:cs="仿宋"/>
          <w:kern w:val="0"/>
          <w:sz w:val="32"/>
          <w:szCs w:val="32"/>
          <w:shd w:val="clear" w:color="auto" w:fill="FFFFFF"/>
          <w:lang w:val="zh-CN"/>
        </w:rPr>
        <w:t>有待提高。</w:t>
      </w:r>
    </w:p>
    <w:p>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pPr>
        <w:pStyle w:val="2"/>
        <w:spacing w:before="93" w:line="560" w:lineRule="exact"/>
        <w:ind w:firstLine="640" w:firstLineChars="200"/>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加强组织领导，加强对业务人员的绩效管理培训，提高各部门对预算编制与执行的认识，让各部门了解绩效工作，深刻解读预算编制、执行和绩效目标管理的各项政策，为绩效评价工作的开展创造好的条件。</w:t>
      </w:r>
    </w:p>
    <w:p>
      <w:pPr>
        <w:pStyle w:val="2"/>
        <w:spacing w:before="93" w:line="560" w:lineRule="exact"/>
        <w:ind w:firstLine="880" w:firstLineChars="200"/>
        <w:rPr>
          <w:rFonts w:ascii="仿宋" w:hAnsi="仿宋" w:eastAsia="仿宋" w:cs="仿宋"/>
          <w:color w:val="000000"/>
          <w:sz w:val="32"/>
          <w:szCs w:val="32"/>
          <w:shd w:val="clear" w:color="auto" w:fill="FFFFFF"/>
        </w:rPr>
      </w:pPr>
      <w:r>
        <w:rPr>
          <w:rStyle w:val="28"/>
          <w:rFonts w:ascii="黑体" w:hAnsi="黑体" w:eastAsia="黑体"/>
          <w:b w:val="0"/>
        </w:rPr>
        <w:br w:type="page"/>
      </w:r>
    </w:p>
    <w:p>
      <w:pPr>
        <w:widowControl/>
        <w:jc w:val="left"/>
        <w:rPr>
          <w:rStyle w:val="28"/>
          <w:rFonts w:ascii="黑体" w:hAnsi="黑体" w:eastAsia="黑体"/>
          <w:b w:val="0"/>
        </w:rPr>
      </w:pPr>
    </w:p>
    <w:p>
      <w:pPr>
        <w:spacing w:line="600" w:lineRule="exact"/>
        <w:jc w:val="center"/>
        <w:outlineLvl w:val="0"/>
        <w:rPr>
          <w:rFonts w:ascii="仿宋" w:hAnsi="仿宋" w:eastAsia="仿宋"/>
        </w:rPr>
      </w:pPr>
      <w:bookmarkStart w:id="53" w:name="_Toc15396618"/>
      <w:r>
        <w:rPr>
          <w:rFonts w:hint="eastAsia" w:ascii="黑体" w:hAnsi="黑体" w:eastAsia="黑体"/>
          <w:sz w:val="44"/>
          <w:szCs w:val="44"/>
        </w:rPr>
        <w:t>第</w:t>
      </w:r>
      <w:r>
        <w:rPr>
          <w:rStyle w:val="28"/>
          <w:rFonts w:hint="eastAsia" w:ascii="黑体" w:hAnsi="黑体" w:eastAsia="黑体"/>
          <w:b w:val="0"/>
        </w:rPr>
        <w:t>五部分 附表</w:t>
      </w:r>
      <w:bookmarkEnd w:id="51"/>
      <w:bookmarkEnd w:id="53"/>
      <w:bookmarkStart w:id="54" w:name="_Toc15396619"/>
    </w:p>
    <w:p>
      <w:pPr>
        <w:pStyle w:val="4"/>
        <w:rPr>
          <w:rFonts w:ascii="仿宋" w:hAnsi="仿宋" w:eastAsia="仿宋"/>
        </w:rPr>
      </w:pPr>
      <w:r>
        <w:rPr>
          <w:rFonts w:hint="eastAsia" w:ascii="仿宋" w:hAnsi="仿宋" w:eastAsia="仿宋"/>
          <w:b w:val="0"/>
        </w:rPr>
        <w:t>一、收</w:t>
      </w:r>
      <w:r>
        <w:rPr>
          <w:rStyle w:val="29"/>
          <w:rFonts w:hint="eastAsia" w:ascii="仿宋" w:hAnsi="仿宋" w:eastAsia="仿宋"/>
          <w:b w:val="0"/>
          <w:bCs w:val="0"/>
        </w:rPr>
        <w:t>入支出决算总表</w:t>
      </w:r>
      <w:bookmarkEnd w:id="54"/>
    </w:p>
    <w:p>
      <w:pPr>
        <w:pStyle w:val="4"/>
        <w:rPr>
          <w:rFonts w:ascii="仿宋" w:hAnsi="仿宋" w:eastAsia="仿宋"/>
        </w:rPr>
      </w:pPr>
      <w:bookmarkStart w:id="55" w:name="_Toc15396620"/>
      <w:r>
        <w:rPr>
          <w:rFonts w:hint="eastAsia" w:ascii="仿宋" w:hAnsi="仿宋" w:eastAsia="仿宋"/>
          <w:b w:val="0"/>
        </w:rPr>
        <w:t>二、收</w:t>
      </w:r>
      <w:r>
        <w:rPr>
          <w:rStyle w:val="29"/>
          <w:rFonts w:hint="eastAsia" w:ascii="仿宋" w:hAnsi="仿宋" w:eastAsia="仿宋"/>
          <w:b w:val="0"/>
          <w:bCs w:val="0"/>
        </w:rPr>
        <w:t>入决算表</w:t>
      </w:r>
      <w:bookmarkEnd w:id="55"/>
    </w:p>
    <w:p>
      <w:pPr>
        <w:pStyle w:val="4"/>
        <w:rPr>
          <w:rFonts w:ascii="仿宋" w:hAnsi="仿宋" w:eastAsia="仿宋"/>
        </w:rPr>
      </w:pPr>
      <w:bookmarkStart w:id="56" w:name="_Toc15396621"/>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56"/>
    </w:p>
    <w:p>
      <w:pPr>
        <w:pStyle w:val="4"/>
        <w:rPr>
          <w:rFonts w:ascii="仿宋" w:hAnsi="仿宋" w:eastAsia="仿宋"/>
          <w:b w:val="0"/>
        </w:rPr>
      </w:pPr>
      <w:bookmarkStart w:id="57" w:name="_Toc15396622"/>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57"/>
    </w:p>
    <w:p>
      <w:pPr>
        <w:pStyle w:val="4"/>
        <w:rPr>
          <w:rStyle w:val="29"/>
          <w:rFonts w:ascii="仿宋" w:hAnsi="仿宋" w:eastAsia="仿宋"/>
          <w:b w:val="0"/>
          <w:bCs w:val="0"/>
        </w:rPr>
      </w:pPr>
      <w:bookmarkStart w:id="58" w:name="_Toc15396623"/>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58"/>
      <w:bookmarkStart w:id="59" w:name="_Toc15396624"/>
    </w:p>
    <w:p>
      <w:pPr>
        <w:pStyle w:val="4"/>
        <w:rPr>
          <w:rFonts w:ascii="仿宋" w:hAnsi="仿宋" w:eastAsia="仿宋"/>
        </w:rPr>
      </w:pPr>
      <w:r>
        <w:rPr>
          <w:rStyle w:val="29"/>
          <w:rFonts w:hint="eastAsia" w:ascii="仿宋" w:hAnsi="仿宋" w:eastAsia="仿宋"/>
          <w:b w:val="0"/>
          <w:bCs w:val="0"/>
        </w:rPr>
        <w:t>六、</w:t>
      </w:r>
      <w:bookmarkEnd w:id="59"/>
      <w:r>
        <w:rPr>
          <w:rFonts w:hint="eastAsia" w:ascii="仿宋" w:hAnsi="仿宋" w:eastAsia="仿宋"/>
          <w:b w:val="0"/>
        </w:rPr>
        <w:t>一般公共预算财政拨款支出决算表</w:t>
      </w:r>
    </w:p>
    <w:p>
      <w:pPr>
        <w:pStyle w:val="4"/>
        <w:rPr>
          <w:rFonts w:ascii="仿宋" w:hAnsi="仿宋" w:eastAsia="仿宋"/>
        </w:rPr>
      </w:pPr>
      <w:bookmarkStart w:id="60" w:name="_Toc15396625"/>
      <w:r>
        <w:rPr>
          <w:rStyle w:val="29"/>
          <w:rFonts w:hint="eastAsia" w:ascii="仿宋" w:hAnsi="仿宋" w:eastAsia="仿宋"/>
          <w:b w:val="0"/>
          <w:bCs w:val="0"/>
        </w:rPr>
        <w:t>七、</w:t>
      </w:r>
      <w:bookmarkEnd w:id="60"/>
      <w:r>
        <w:rPr>
          <w:rFonts w:hint="eastAsia" w:ascii="仿宋" w:hAnsi="仿宋" w:eastAsia="仿宋"/>
          <w:b w:val="0"/>
        </w:rPr>
        <w:t>一般公共预算财政拨款支出决算明细表</w:t>
      </w:r>
    </w:p>
    <w:p>
      <w:pPr>
        <w:pStyle w:val="4"/>
        <w:rPr>
          <w:rFonts w:ascii="仿宋" w:hAnsi="仿宋" w:eastAsia="仿宋"/>
        </w:rPr>
      </w:pPr>
      <w:bookmarkStart w:id="61" w:name="_Toc15396626"/>
      <w:r>
        <w:rPr>
          <w:rStyle w:val="29"/>
          <w:rFonts w:hint="eastAsia" w:ascii="仿宋" w:hAnsi="仿宋" w:eastAsia="仿宋"/>
          <w:b w:val="0"/>
          <w:bCs w:val="0"/>
        </w:rPr>
        <w:t>八、</w:t>
      </w:r>
      <w:bookmarkEnd w:id="61"/>
      <w:r>
        <w:rPr>
          <w:rFonts w:hint="eastAsia" w:ascii="仿宋" w:hAnsi="仿宋" w:eastAsia="仿宋"/>
          <w:b w:val="0"/>
        </w:rPr>
        <w:t>一般公共预算财政拨款基本支出决算明细表</w:t>
      </w:r>
    </w:p>
    <w:p>
      <w:pPr>
        <w:pStyle w:val="4"/>
        <w:rPr>
          <w:rFonts w:ascii="仿宋" w:hAnsi="仿宋" w:eastAsia="仿宋"/>
        </w:rPr>
      </w:pPr>
      <w:bookmarkStart w:id="62" w:name="_Toc15396627"/>
      <w:r>
        <w:rPr>
          <w:rStyle w:val="29"/>
          <w:rFonts w:hint="eastAsia" w:ascii="仿宋" w:hAnsi="仿宋" w:eastAsia="仿宋"/>
          <w:b w:val="0"/>
          <w:bCs w:val="0"/>
        </w:rPr>
        <w:t>九、</w:t>
      </w:r>
      <w:r>
        <w:rPr>
          <w:rFonts w:hint="eastAsia" w:ascii="仿宋" w:hAnsi="仿宋" w:eastAsia="仿宋"/>
          <w:b w:val="0"/>
        </w:rPr>
        <w:t>一</w:t>
      </w:r>
      <w:bookmarkEnd w:id="62"/>
      <w:r>
        <w:rPr>
          <w:rStyle w:val="29"/>
          <w:rFonts w:hint="eastAsia" w:ascii="仿宋" w:hAnsi="仿宋" w:eastAsia="仿宋"/>
          <w:b w:val="0"/>
          <w:bCs w:val="0"/>
        </w:rPr>
        <w:t>般公共预算财政拨款项目支出决算表</w:t>
      </w:r>
    </w:p>
    <w:p>
      <w:pPr>
        <w:pStyle w:val="4"/>
        <w:rPr>
          <w:rFonts w:ascii="仿宋" w:hAnsi="仿宋" w:eastAsia="仿宋"/>
        </w:rPr>
      </w:pPr>
      <w:bookmarkStart w:id="63" w:name="_Toc15396628"/>
      <w:r>
        <w:rPr>
          <w:rStyle w:val="29"/>
          <w:rFonts w:hint="eastAsia" w:ascii="仿宋" w:hAnsi="仿宋" w:eastAsia="仿宋"/>
          <w:b w:val="0"/>
          <w:bCs w:val="0"/>
        </w:rPr>
        <w:t>十、</w:t>
      </w:r>
      <w:bookmarkEnd w:id="63"/>
      <w:r>
        <w:rPr>
          <w:rFonts w:hint="eastAsia" w:ascii="仿宋" w:hAnsi="仿宋" w:eastAsia="仿宋"/>
          <w:b w:val="0"/>
        </w:rPr>
        <w:t>政府性基金预算财政拨款收入支出决算表</w:t>
      </w:r>
    </w:p>
    <w:p>
      <w:pPr>
        <w:pStyle w:val="4"/>
        <w:rPr>
          <w:rFonts w:ascii="仿宋" w:hAnsi="仿宋" w:eastAsia="仿宋"/>
        </w:rPr>
      </w:pPr>
      <w:bookmarkStart w:id="64" w:name="_Toc15396629"/>
      <w:r>
        <w:rPr>
          <w:rStyle w:val="29"/>
          <w:rFonts w:hint="eastAsia" w:ascii="仿宋" w:hAnsi="仿宋" w:eastAsia="仿宋"/>
          <w:b w:val="0"/>
          <w:bCs w:val="0"/>
        </w:rPr>
        <w:t>十一、</w:t>
      </w:r>
      <w:bookmarkEnd w:id="64"/>
      <w:r>
        <w:rPr>
          <w:rFonts w:hint="eastAsia" w:ascii="仿宋" w:hAnsi="仿宋" w:eastAsia="仿宋"/>
          <w:b w:val="0"/>
        </w:rPr>
        <w:t>国有资本经营预算财政拨款收入支出决算表</w:t>
      </w:r>
    </w:p>
    <w:p>
      <w:pPr>
        <w:pStyle w:val="4"/>
        <w:rPr>
          <w:rFonts w:ascii="仿宋" w:hAnsi="仿宋" w:eastAsia="仿宋"/>
        </w:rPr>
      </w:pPr>
      <w:bookmarkStart w:id="65" w:name="_Toc15396630"/>
      <w:r>
        <w:rPr>
          <w:rStyle w:val="29"/>
          <w:rFonts w:hint="eastAsia" w:ascii="仿宋" w:hAnsi="仿宋" w:eastAsia="仿宋"/>
          <w:b w:val="0"/>
          <w:bCs w:val="0"/>
        </w:rPr>
        <w:t>十二、</w:t>
      </w:r>
      <w:bookmarkEnd w:id="65"/>
      <w:r>
        <w:rPr>
          <w:rStyle w:val="29"/>
          <w:rFonts w:hint="eastAsia" w:ascii="仿宋" w:hAnsi="仿宋" w:eastAsia="仿宋"/>
          <w:b w:val="0"/>
          <w:bCs w:val="0"/>
        </w:rPr>
        <w:t>国有资本经营预算财政拨款支出决算表</w:t>
      </w:r>
    </w:p>
    <w:p>
      <w:pPr>
        <w:pStyle w:val="4"/>
        <w:rPr>
          <w:rFonts w:eastAsia="仿宋"/>
        </w:rPr>
      </w:pPr>
      <w:bookmarkStart w:id="66" w:name="_Toc15396631"/>
      <w:r>
        <w:rPr>
          <w:rStyle w:val="29"/>
          <w:rFonts w:hint="eastAsia" w:ascii="仿宋" w:hAnsi="仿宋" w:eastAsia="仿宋"/>
          <w:b w:val="0"/>
          <w:bCs w:val="0"/>
        </w:rPr>
        <w:t>十三、</w:t>
      </w:r>
      <w:bookmarkEnd w:id="66"/>
      <w:r>
        <w:rPr>
          <w:rStyle w:val="29"/>
          <w:rFonts w:hint="eastAsia" w:ascii="仿宋" w:hAnsi="仿宋" w:eastAsia="仿宋"/>
          <w:b w:val="0"/>
          <w:bCs w:val="0"/>
        </w:rPr>
        <w:t>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35</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9F27D8"/>
    <w:multiLevelType w:val="singleLevel"/>
    <w:tmpl w:val="8E9F27D8"/>
    <w:lvl w:ilvl="0" w:tentative="0">
      <w:start w:val="2"/>
      <w:numFmt w:val="decimal"/>
      <w:suff w:val="nothing"/>
      <w:lvlText w:val="%1．"/>
      <w:lvlJc w:val="left"/>
    </w:lvl>
  </w:abstractNum>
  <w:abstractNum w:abstractNumId="1">
    <w:nsid w:val="A4CB3B30"/>
    <w:multiLevelType w:val="singleLevel"/>
    <w:tmpl w:val="A4CB3B30"/>
    <w:lvl w:ilvl="0" w:tentative="0">
      <w:start w:val="2"/>
      <w:numFmt w:val="chineseCounting"/>
      <w:suff w:val="nothing"/>
      <w:lvlText w:val="（%1）"/>
      <w:lvlJc w:val="left"/>
      <w:rPr>
        <w:rFonts w:hint="eastAsia"/>
      </w:rPr>
    </w:lvl>
  </w:abstractNum>
  <w:abstractNum w:abstractNumId="2">
    <w:nsid w:val="CF652CEC"/>
    <w:multiLevelType w:val="singleLevel"/>
    <w:tmpl w:val="CF652CEC"/>
    <w:lvl w:ilvl="0" w:tentative="0">
      <w:start w:val="9"/>
      <w:numFmt w:val="chineseCounting"/>
      <w:suff w:val="nothing"/>
      <w:lvlText w:val="%1、"/>
      <w:lvlJc w:val="left"/>
      <w:rPr>
        <w:rFonts w:hint="eastAsia"/>
      </w:rPr>
    </w:lvl>
  </w:abstractNum>
  <w:abstractNum w:abstractNumId="3">
    <w:nsid w:val="D22653C0"/>
    <w:multiLevelType w:val="singleLevel"/>
    <w:tmpl w:val="D22653C0"/>
    <w:lvl w:ilvl="0" w:tentative="0">
      <w:start w:val="2"/>
      <w:numFmt w:val="chineseCounting"/>
      <w:suff w:val="nothing"/>
      <w:lvlText w:val="（%1）"/>
      <w:lvlJc w:val="left"/>
      <w:rPr>
        <w:rFonts w:hint="eastAsia"/>
      </w:rPr>
    </w:lvl>
  </w:abstractNum>
  <w:abstractNum w:abstractNumId="4">
    <w:nsid w:val="DEBEF323"/>
    <w:multiLevelType w:val="singleLevel"/>
    <w:tmpl w:val="DEBEF323"/>
    <w:lvl w:ilvl="0" w:tentative="0">
      <w:start w:val="4"/>
      <w:numFmt w:val="chineseCounting"/>
      <w:suff w:val="nothing"/>
      <w:lvlText w:val="（%1）"/>
      <w:lvlJc w:val="left"/>
      <w:rPr>
        <w:rFonts w:hint="eastAsia"/>
      </w:rPr>
    </w:lvl>
  </w:abstractNum>
  <w:abstractNum w:abstractNumId="5">
    <w:nsid w:val="E2FA047D"/>
    <w:multiLevelType w:val="singleLevel"/>
    <w:tmpl w:val="E2FA047D"/>
    <w:lvl w:ilvl="0" w:tentative="0">
      <w:start w:val="3"/>
      <w:numFmt w:val="chineseCounting"/>
      <w:suff w:val="space"/>
      <w:lvlText w:val="第%1部分"/>
      <w:lvlJc w:val="left"/>
      <w:rPr>
        <w:rFonts w:hint="eastAsia"/>
      </w:rPr>
    </w:lvl>
  </w:abstractNum>
  <w:abstractNum w:abstractNumId="6">
    <w:nsid w:val="EED449A6"/>
    <w:multiLevelType w:val="singleLevel"/>
    <w:tmpl w:val="EED449A6"/>
    <w:lvl w:ilvl="0" w:tentative="0">
      <w:start w:val="2"/>
      <w:numFmt w:val="chineseCounting"/>
      <w:suff w:val="nothing"/>
      <w:lvlText w:val="（%1）"/>
      <w:lvlJc w:val="left"/>
      <w:rPr>
        <w:rFonts w:hint="eastAsia"/>
      </w:rPr>
    </w:lvl>
  </w:abstractNum>
  <w:abstractNum w:abstractNumId="7">
    <w:nsid w:val="F1FA2D17"/>
    <w:multiLevelType w:val="singleLevel"/>
    <w:tmpl w:val="F1FA2D17"/>
    <w:lvl w:ilvl="0" w:tentative="0">
      <w:start w:val="2"/>
      <w:numFmt w:val="decimal"/>
      <w:suff w:val="nothing"/>
      <w:lvlText w:val="%1．"/>
      <w:lvlJc w:val="left"/>
    </w:lvl>
  </w:abstractNum>
  <w:abstractNum w:abstractNumId="8">
    <w:nsid w:val="FFF674BC"/>
    <w:multiLevelType w:val="singleLevel"/>
    <w:tmpl w:val="FFF674BC"/>
    <w:lvl w:ilvl="0" w:tentative="0">
      <w:start w:val="1"/>
      <w:numFmt w:val="chineseCounting"/>
      <w:suff w:val="nothing"/>
      <w:lvlText w:val="%1、"/>
      <w:lvlJc w:val="left"/>
      <w:rPr>
        <w:rFonts w:hint="eastAsia"/>
      </w:rPr>
    </w:lvl>
  </w:abstractNum>
  <w:abstractNum w:abstractNumId="9">
    <w:nsid w:val="0FD16D87"/>
    <w:multiLevelType w:val="multilevel"/>
    <w:tmpl w:val="0FD16D87"/>
    <w:lvl w:ilvl="0" w:tentative="0">
      <w:start w:val="1"/>
      <w:numFmt w:val="japaneseCounting"/>
      <w:lvlText w:val="%1、"/>
      <w:lvlJc w:val="left"/>
      <w:pPr>
        <w:ind w:left="630" w:hanging="63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1">
    <w:nsid w:val="34E3419C"/>
    <w:multiLevelType w:val="singleLevel"/>
    <w:tmpl w:val="34E3419C"/>
    <w:lvl w:ilvl="0" w:tentative="0">
      <w:start w:val="1"/>
      <w:numFmt w:val="chineseCounting"/>
      <w:suff w:val="nothing"/>
      <w:lvlText w:val="（%1）"/>
      <w:lvlJc w:val="left"/>
      <w:rPr>
        <w:rFonts w:hint="eastAsia"/>
      </w:rPr>
    </w:lvl>
  </w:abstractNum>
  <w:abstractNum w:abstractNumId="12">
    <w:nsid w:val="4F01D6B0"/>
    <w:multiLevelType w:val="singleLevel"/>
    <w:tmpl w:val="4F01D6B0"/>
    <w:lvl w:ilvl="0" w:tentative="0">
      <w:start w:val="2"/>
      <w:numFmt w:val="decimal"/>
      <w:suff w:val="nothing"/>
      <w:lvlText w:val="%1．"/>
      <w:lvlJc w:val="left"/>
    </w:lvl>
  </w:abstractNum>
  <w:num w:numId="1">
    <w:abstractNumId w:val="9"/>
  </w:num>
  <w:num w:numId="2">
    <w:abstractNumId w:val="10"/>
  </w:num>
  <w:num w:numId="3">
    <w:abstractNumId w:val="2"/>
  </w:num>
  <w:num w:numId="4">
    <w:abstractNumId w:val="5"/>
  </w:num>
  <w:num w:numId="5">
    <w:abstractNumId w:val="8"/>
  </w:num>
  <w:num w:numId="6">
    <w:abstractNumId w:val="11"/>
  </w:num>
  <w:num w:numId="7">
    <w:abstractNumId w:val="4"/>
  </w:num>
  <w:num w:numId="8">
    <w:abstractNumId w:val="3"/>
  </w:num>
  <w:num w:numId="9">
    <w:abstractNumId w:val="12"/>
  </w:num>
  <w:num w:numId="10">
    <w:abstractNumId w:val="7"/>
  </w:num>
  <w:num w:numId="11">
    <w:abstractNumId w:val="0"/>
  </w:num>
  <w:num w:numId="12">
    <w:abstractNumId w:val="6"/>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lOTkxYmI3NDM1YjhiMGQ3NjdjYzI2OWY2YWRhYzE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36D0C"/>
    <w:rsid w:val="00142216"/>
    <w:rsid w:val="00144D6A"/>
    <w:rsid w:val="0014729F"/>
    <w:rsid w:val="001529B4"/>
    <w:rsid w:val="00157BAB"/>
    <w:rsid w:val="001654D1"/>
    <w:rsid w:val="00174518"/>
    <w:rsid w:val="0018106D"/>
    <w:rsid w:val="001877A7"/>
    <w:rsid w:val="00191536"/>
    <w:rsid w:val="00196687"/>
    <w:rsid w:val="001C0962"/>
    <w:rsid w:val="001D7531"/>
    <w:rsid w:val="001E2FF1"/>
    <w:rsid w:val="001E737D"/>
    <w:rsid w:val="001F0592"/>
    <w:rsid w:val="001F7506"/>
    <w:rsid w:val="002006CD"/>
    <w:rsid w:val="00202B36"/>
    <w:rsid w:val="00204B7A"/>
    <w:rsid w:val="00204CDE"/>
    <w:rsid w:val="0021101A"/>
    <w:rsid w:val="00217081"/>
    <w:rsid w:val="00220536"/>
    <w:rsid w:val="00235629"/>
    <w:rsid w:val="00247B82"/>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46E63"/>
    <w:rsid w:val="0046709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5E15"/>
    <w:rsid w:val="005664BB"/>
    <w:rsid w:val="00566FFA"/>
    <w:rsid w:val="0057481D"/>
    <w:rsid w:val="0058486E"/>
    <w:rsid w:val="00585B33"/>
    <w:rsid w:val="0059014D"/>
    <w:rsid w:val="005B5C64"/>
    <w:rsid w:val="005B67C6"/>
    <w:rsid w:val="005C5337"/>
    <w:rsid w:val="005C6BD0"/>
    <w:rsid w:val="005D1C8B"/>
    <w:rsid w:val="005D468D"/>
    <w:rsid w:val="005D5CED"/>
    <w:rsid w:val="005D7D8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280B"/>
    <w:rsid w:val="006748A4"/>
    <w:rsid w:val="00681A31"/>
    <w:rsid w:val="00683E73"/>
    <w:rsid w:val="006A3141"/>
    <w:rsid w:val="006A5E34"/>
    <w:rsid w:val="006B2422"/>
    <w:rsid w:val="006B2B9A"/>
    <w:rsid w:val="006C1937"/>
    <w:rsid w:val="006D7944"/>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3DCE"/>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4DB6"/>
    <w:rsid w:val="009F1185"/>
    <w:rsid w:val="009F18CD"/>
    <w:rsid w:val="009F2A13"/>
    <w:rsid w:val="009F5540"/>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2FA1"/>
    <w:rsid w:val="00A733B2"/>
    <w:rsid w:val="00A741C2"/>
    <w:rsid w:val="00A91760"/>
    <w:rsid w:val="00A93B00"/>
    <w:rsid w:val="00A93C21"/>
    <w:rsid w:val="00AB64C9"/>
    <w:rsid w:val="00AC3C6A"/>
    <w:rsid w:val="00AD5620"/>
    <w:rsid w:val="00AD656B"/>
    <w:rsid w:val="00AD7C1B"/>
    <w:rsid w:val="00AE16BA"/>
    <w:rsid w:val="00AE1EBE"/>
    <w:rsid w:val="00AF0A50"/>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2575"/>
    <w:rsid w:val="00C533CC"/>
    <w:rsid w:val="00C5751C"/>
    <w:rsid w:val="00C61BFC"/>
    <w:rsid w:val="00C62B85"/>
    <w:rsid w:val="00C65438"/>
    <w:rsid w:val="00C87FD8"/>
    <w:rsid w:val="00C91381"/>
    <w:rsid w:val="00C91CBB"/>
    <w:rsid w:val="00CB4E70"/>
    <w:rsid w:val="00CC09B6"/>
    <w:rsid w:val="00CC666F"/>
    <w:rsid w:val="00CC6BAC"/>
    <w:rsid w:val="00CD1E3F"/>
    <w:rsid w:val="00CE44F6"/>
    <w:rsid w:val="00CE49DA"/>
    <w:rsid w:val="00CE7B61"/>
    <w:rsid w:val="00D00095"/>
    <w:rsid w:val="00D114F0"/>
    <w:rsid w:val="00D20620"/>
    <w:rsid w:val="00D254F7"/>
    <w:rsid w:val="00D26091"/>
    <w:rsid w:val="00D2685C"/>
    <w:rsid w:val="00D34E7C"/>
    <w:rsid w:val="00D34F17"/>
    <w:rsid w:val="00D35489"/>
    <w:rsid w:val="00D36AFE"/>
    <w:rsid w:val="00D51276"/>
    <w:rsid w:val="00D7035F"/>
    <w:rsid w:val="00DA634F"/>
    <w:rsid w:val="00DA65AC"/>
    <w:rsid w:val="00DB1913"/>
    <w:rsid w:val="00DC410D"/>
    <w:rsid w:val="00DC4B63"/>
    <w:rsid w:val="00DC5A81"/>
    <w:rsid w:val="00DC68CA"/>
    <w:rsid w:val="00DC7CBA"/>
    <w:rsid w:val="00DD73B7"/>
    <w:rsid w:val="00DF06E2"/>
    <w:rsid w:val="00DF28BC"/>
    <w:rsid w:val="00DF34B9"/>
    <w:rsid w:val="00E01053"/>
    <w:rsid w:val="00E07ACF"/>
    <w:rsid w:val="00E22135"/>
    <w:rsid w:val="00E331A1"/>
    <w:rsid w:val="00E33202"/>
    <w:rsid w:val="00E336A9"/>
    <w:rsid w:val="00E472B1"/>
    <w:rsid w:val="00E50624"/>
    <w:rsid w:val="00E5285B"/>
    <w:rsid w:val="00E568DF"/>
    <w:rsid w:val="00E64269"/>
    <w:rsid w:val="00E82267"/>
    <w:rsid w:val="00E853CE"/>
    <w:rsid w:val="00E867B6"/>
    <w:rsid w:val="00EA010F"/>
    <w:rsid w:val="00ED1B63"/>
    <w:rsid w:val="00ED3C1F"/>
    <w:rsid w:val="00ED4085"/>
    <w:rsid w:val="00ED420E"/>
    <w:rsid w:val="00ED6FBE"/>
    <w:rsid w:val="00EE2F57"/>
    <w:rsid w:val="00EF39C0"/>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2143E91"/>
    <w:rsid w:val="066E0107"/>
    <w:rsid w:val="07221EB1"/>
    <w:rsid w:val="07996F6E"/>
    <w:rsid w:val="0A2032A3"/>
    <w:rsid w:val="0BCC749C"/>
    <w:rsid w:val="0D8A1D95"/>
    <w:rsid w:val="0F98263C"/>
    <w:rsid w:val="101860EC"/>
    <w:rsid w:val="10C055FF"/>
    <w:rsid w:val="118107EC"/>
    <w:rsid w:val="13D50BC4"/>
    <w:rsid w:val="16BB723D"/>
    <w:rsid w:val="19C93EF9"/>
    <w:rsid w:val="1A4B0597"/>
    <w:rsid w:val="1BE8440E"/>
    <w:rsid w:val="1D155CEE"/>
    <w:rsid w:val="1FF35744"/>
    <w:rsid w:val="23860B96"/>
    <w:rsid w:val="23D91AA4"/>
    <w:rsid w:val="240371BF"/>
    <w:rsid w:val="24FE6248"/>
    <w:rsid w:val="292C29B4"/>
    <w:rsid w:val="29FD04D3"/>
    <w:rsid w:val="2C8A61B5"/>
    <w:rsid w:val="2DF04E50"/>
    <w:rsid w:val="2E191392"/>
    <w:rsid w:val="2F040D46"/>
    <w:rsid w:val="2F830580"/>
    <w:rsid w:val="319F7F4E"/>
    <w:rsid w:val="3304709D"/>
    <w:rsid w:val="36AA5135"/>
    <w:rsid w:val="376D39B2"/>
    <w:rsid w:val="377E5F00"/>
    <w:rsid w:val="37E16F03"/>
    <w:rsid w:val="38D469F0"/>
    <w:rsid w:val="391914E1"/>
    <w:rsid w:val="3D98207C"/>
    <w:rsid w:val="3E78745D"/>
    <w:rsid w:val="44E268DA"/>
    <w:rsid w:val="4A2B6810"/>
    <w:rsid w:val="4A627F82"/>
    <w:rsid w:val="4B0E749A"/>
    <w:rsid w:val="4B4F25DA"/>
    <w:rsid w:val="4BE068DB"/>
    <w:rsid w:val="4D577224"/>
    <w:rsid w:val="4EAB630A"/>
    <w:rsid w:val="4ECE2238"/>
    <w:rsid w:val="537E6D0A"/>
    <w:rsid w:val="551A4BA3"/>
    <w:rsid w:val="554E3C0E"/>
    <w:rsid w:val="5987680D"/>
    <w:rsid w:val="5A6E01C6"/>
    <w:rsid w:val="5AF92295"/>
    <w:rsid w:val="5C5735C8"/>
    <w:rsid w:val="5CD71FC4"/>
    <w:rsid w:val="6038291E"/>
    <w:rsid w:val="63A15795"/>
    <w:rsid w:val="6C4A05C8"/>
    <w:rsid w:val="6E7E3605"/>
    <w:rsid w:val="6FF5CC65"/>
    <w:rsid w:val="715C0E4B"/>
    <w:rsid w:val="72734D90"/>
    <w:rsid w:val="73AD73D5"/>
    <w:rsid w:val="73B6EB34"/>
    <w:rsid w:val="744731E5"/>
    <w:rsid w:val="75D35373"/>
    <w:rsid w:val="76E3355F"/>
    <w:rsid w:val="76E41A31"/>
    <w:rsid w:val="778769C8"/>
    <w:rsid w:val="79EE5BA4"/>
    <w:rsid w:val="7A894339"/>
    <w:rsid w:val="7EEF11D3"/>
    <w:rsid w:val="7EF32753"/>
    <w:rsid w:val="7FA30C79"/>
    <w:rsid w:val="7FB7269E"/>
    <w:rsid w:val="7FC96657"/>
    <w:rsid w:val="D8D6DB89"/>
    <w:rsid w:val="DB6F4CAB"/>
    <w:rsid w:val="DF6F978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2">
    <w:name w:val="Body Text"/>
    <w:basedOn w:val="1"/>
    <w:link w:val="25"/>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1"/>
    <w:semiHidden/>
    <w:unhideWhenUsed/>
    <w:qFormat/>
    <w:uiPriority w:val="99"/>
    <w:rPr>
      <w:sz w:val="18"/>
      <w:szCs w:val="18"/>
    </w:rPr>
  </w:style>
  <w:style w:type="paragraph" w:styleId="9">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unhideWhenUsed/>
    <w:qFormat/>
    <w:uiPriority w:val="99"/>
    <w:pPr>
      <w:ind w:firstLine="420" w:firstLineChars="200"/>
    </w:pPr>
  </w:style>
  <w:style w:type="character" w:styleId="16">
    <w:name w:val="Strong"/>
    <w:basedOn w:val="15"/>
    <w:qFormat/>
    <w:uiPriority w:val="99"/>
    <w:rPr>
      <w:b/>
    </w:rPr>
  </w:style>
  <w:style w:type="character" w:styleId="17">
    <w:name w:val="FollowedHyperlink"/>
    <w:basedOn w:val="15"/>
    <w:semiHidden/>
    <w:unhideWhenUsed/>
    <w:qFormat/>
    <w:uiPriority w:val="99"/>
    <w:rPr>
      <w:color w:val="954F72"/>
      <w:u w:val="single"/>
    </w:rPr>
  </w:style>
  <w:style w:type="character" w:styleId="18">
    <w:name w:val="Hyperlink"/>
    <w:basedOn w:val="15"/>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5"/>
    <w:semiHidden/>
    <w:qFormat/>
    <w:uiPriority w:val="99"/>
    <w:rPr>
      <w:rFonts w:ascii="Times New Roman" w:hAnsi="Times New Roman"/>
      <w:sz w:val="18"/>
      <w:szCs w:val="18"/>
    </w:rPr>
  </w:style>
  <w:style w:type="character" w:customStyle="1" w:styleId="21">
    <w:name w:val="页眉 字符"/>
    <w:link w:val="10"/>
    <w:semiHidden/>
    <w:qFormat/>
    <w:locked/>
    <w:uiPriority w:val="99"/>
    <w:rPr>
      <w:sz w:val="18"/>
    </w:rPr>
  </w:style>
  <w:style w:type="character" w:customStyle="1" w:styleId="22">
    <w:name w:val="Footer Char"/>
    <w:basedOn w:val="15"/>
    <w:semiHidden/>
    <w:qFormat/>
    <w:uiPriority w:val="99"/>
    <w:rPr>
      <w:rFonts w:ascii="Times New Roman" w:hAnsi="Times New Roman"/>
      <w:sz w:val="18"/>
      <w:szCs w:val="18"/>
    </w:rPr>
  </w:style>
  <w:style w:type="character" w:customStyle="1" w:styleId="23">
    <w:name w:val="页脚 字符"/>
    <w:link w:val="9"/>
    <w:qFormat/>
    <w:locked/>
    <w:uiPriority w:val="99"/>
    <w:rPr>
      <w:sz w:val="18"/>
    </w:rPr>
  </w:style>
  <w:style w:type="character" w:customStyle="1" w:styleId="24">
    <w:name w:val="Body Text Char"/>
    <w:basedOn w:val="15"/>
    <w:semiHidden/>
    <w:qFormat/>
    <w:uiPriority w:val="99"/>
    <w:rPr>
      <w:rFonts w:ascii="Times New Roman" w:hAnsi="Times New Roman"/>
      <w:szCs w:val="24"/>
    </w:rPr>
  </w:style>
  <w:style w:type="character" w:customStyle="1" w:styleId="25">
    <w:name w:val="正文文本 字符"/>
    <w:link w:val="2"/>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字符"/>
    <w:basedOn w:val="15"/>
    <w:link w:val="3"/>
    <w:qFormat/>
    <w:uiPriority w:val="9"/>
    <w:rPr>
      <w:rFonts w:ascii="Times New Roman" w:hAnsi="Times New Roman"/>
      <w:b/>
      <w:bCs/>
      <w:kern w:val="44"/>
      <w:sz w:val="44"/>
      <w:szCs w:val="44"/>
    </w:rPr>
  </w:style>
  <w:style w:type="character" w:customStyle="1" w:styleId="29">
    <w:name w:val="标题 2 字符"/>
    <w:basedOn w:val="15"/>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字符"/>
    <w:basedOn w:val="15"/>
    <w:link w:val="8"/>
    <w:semiHidden/>
    <w:qFormat/>
    <w:uiPriority w:val="99"/>
    <w:rPr>
      <w:rFonts w:ascii="Times New Roman" w:hAnsi="Times New Roman"/>
      <w:kern w:val="2"/>
      <w:sz w:val="18"/>
      <w:szCs w:val="18"/>
    </w:rPr>
  </w:style>
  <w:style w:type="character" w:customStyle="1" w:styleId="32">
    <w:name w:val="标题 3 字符"/>
    <w:basedOn w:val="15"/>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 w:type="paragraph" w:customStyle="1" w:styleId="35">
    <w:name w:val="TOC 标题3"/>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36">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7">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63"/>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18"/>
      <w:szCs w:val="18"/>
    </w:rPr>
  </w:style>
  <w:style w:type="paragraph" w:customStyle="1" w:styleId="39">
    <w:name w:val="xl64"/>
    <w:basedOn w:val="1"/>
    <w:qFormat/>
    <w:uiPriority w:val="0"/>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40">
    <w:name w:val="xl65"/>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1">
    <w:name w:val="xl6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2">
    <w:name w:val="xl6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3">
    <w:name w:val="xl6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微软雅黑" w:hAnsi="微软雅黑" w:eastAsia="微软雅黑" w:cs="宋体"/>
      <w:i/>
      <w:iCs/>
      <w:color w:val="000000"/>
      <w:kern w:val="0"/>
      <w:sz w:val="16"/>
      <w:szCs w:val="16"/>
    </w:rPr>
  </w:style>
  <w:style w:type="paragraph" w:customStyle="1" w:styleId="44">
    <w:name w:val="xl6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5">
    <w:name w:val="xl7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30"/>
      <w:szCs w:val="30"/>
    </w:rPr>
  </w:style>
  <w:style w:type="paragraph" w:customStyle="1" w:styleId="46">
    <w:name w:val="xl71"/>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cs="Courier New"/>
      <w:color w:val="000000"/>
      <w:kern w:val="0"/>
      <w:sz w:val="18"/>
      <w:szCs w:val="18"/>
    </w:rPr>
  </w:style>
  <w:style w:type="paragraph" w:customStyle="1" w:styleId="47">
    <w:name w:val="xl7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color w:val="000000"/>
      <w:kern w:val="0"/>
      <w:sz w:val="18"/>
      <w:szCs w:val="18"/>
    </w:rPr>
  </w:style>
  <w:style w:type="paragraph" w:customStyle="1" w:styleId="48">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i/>
      <w:iCs/>
      <w:color w:val="000000"/>
      <w:kern w:val="0"/>
      <w:sz w:val="18"/>
      <w:szCs w:val="18"/>
    </w:rPr>
  </w:style>
  <w:style w:type="paragraph" w:customStyle="1" w:styleId="49">
    <w:name w:val="xl7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微软雅黑" w:hAnsi="微软雅黑" w:eastAsia="微软雅黑" w:cs="宋体"/>
      <w:i/>
      <w:iCs/>
      <w:color w:val="000000"/>
      <w:kern w:val="0"/>
      <w:sz w:val="16"/>
      <w:szCs w:val="16"/>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7.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收、支总计</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2021年</c:v>
                </c:pt>
                <c:pt idx="1">
                  <c:v>2022年</c:v>
                </c:pt>
              </c:strCache>
            </c:strRef>
          </c:cat>
          <c:val>
            <c:numRef>
              <c:f>Sheet1!$B$2:$B$3</c:f>
              <c:numCache>
                <c:formatCode>General</c:formatCode>
                <c:ptCount val="2"/>
                <c:pt idx="0">
                  <c:v>2702.2</c:v>
                </c:pt>
                <c:pt idx="1">
                  <c:v>2170.15</c:v>
                </c:pt>
              </c:numCache>
            </c:numRef>
          </c:val>
        </c:ser>
        <c:dLbls>
          <c:showLegendKey val="0"/>
          <c:showVal val="1"/>
          <c:showCatName val="0"/>
          <c:showSerName val="0"/>
          <c:showPercent val="0"/>
          <c:showBubbleSize val="0"/>
        </c:dLbls>
        <c:gapWidth val="219"/>
        <c:overlap val="-27"/>
        <c:axId val="984422710"/>
        <c:axId val="164716823"/>
        <c:extLst>
          <c:ext xmlns:c15="http://schemas.microsoft.com/office/drawing/2012/chart" uri="{02D57815-91ED-43cb-92C2-25804820EDAC}">
            <c15:filteredBarSeries>
              <c15:ser>
                <c:idx val="1"/>
                <c:order val="1"/>
                <c:tx>
                  <c:strRef>
                    <c:extLst>
                      <c:ext uri="{02D57815-91ED-43cb-92C2-25804820EDAC}">
                        <c15:formulaRef>
                          <c15:sqref>Sheet1!#REF!</c15:sqref>
                        </c15:formulaRef>
                      </c:ext>
                    </c:extLst>
                    <c:strCache>
                      <c:ptCount val="1"/>
                      <c:pt idx="0">
                        <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ullRef>
                          <c15:sqref/>
                        </c15:fullRef>
                        <c15:formulaRef>
                          <c15:sqref>Sheet1!$A$2:$A$3</c15:sqref>
                        </c15:formulaRef>
                      </c:ext>
                    </c:extLst>
                    <c:strCache>
                      <c:ptCount val="2"/>
                      <c:pt idx="0">
                        <c:v>2021年</c:v>
                      </c:pt>
                      <c:pt idx="1">
                        <c:v>2022年</c:v>
                      </c:pt>
                    </c:strCache>
                  </c:strRef>
                </c:cat>
                <c:val>
                  <c:numRef>
                    <c:extLst>
                      <c:ext uri="{02D57815-91ED-43cb-92C2-25804820EDAC}">
                        <c15:formulaRef>
                          <c15:sqref>Sheet1!#REF!</c15:sqref>
                        </c15:formulaRef>
                      </c:ext>
                    </c:extLst>
                    <c:numCache>
                      <c:formatCode>General</c:formatCode>
                      <c:ptCount val="1"/>
                      <c:pt idx="0">
                        <c:v>1</c:v>
                      </c:pt>
                    </c:numCache>
                  </c:numRef>
                </c:val>
              </c15:ser>
            </c15:filteredBarSeries>
            <c15:filteredBarSeries>
              <c15:ser>
                <c:idx val="2"/>
                <c:order val="2"/>
                <c:tx>
                  <c:strRef>
                    <c:extLst>
                      <c:ext uri="{02D57815-91ED-43cb-92C2-25804820EDAC}">
                        <c15:formulaRef>
                          <c15:sqref>Sheet1!#REF!</c15:sqref>
                        </c15:formulaRef>
                      </c:ext>
                    </c:extLst>
                    <c:strCache>
                      <c:ptCount val="1"/>
                      <c:pt idx="0">
                        <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ullRef>
                          <c15:sqref/>
                        </c15:fullRef>
                        <c15:formulaRef>
                          <c15:sqref>Sheet1!$A$2:$A$3</c15:sqref>
                        </c15:formulaRef>
                      </c:ext>
                    </c:extLst>
                    <c:strCache>
                      <c:ptCount val="2"/>
                      <c:pt idx="0">
                        <c:v>2021年</c:v>
                      </c:pt>
                      <c:pt idx="1">
                        <c:v>2022年</c:v>
                      </c:pt>
                    </c:strCache>
                  </c:strRef>
                </c:cat>
                <c:val>
                  <c:numRef>
                    <c:extLst>
                      <c:ext uri="{02D57815-91ED-43cb-92C2-25804820EDAC}">
                        <c15:formulaRef>
                          <c15:sqref>Sheet1!#REF!</c15:sqref>
                        </c15:formulaRef>
                      </c:ext>
                    </c:extLst>
                    <c:numCache>
                      <c:formatCode>General</c:formatCode>
                      <c:ptCount val="1"/>
                      <c:pt idx="0">
                        <c:v>1</c:v>
                      </c:pt>
                    </c:numCache>
                  </c:numRef>
                </c:val>
              </c15:ser>
            </c15:filteredBarSeries>
          </c:ext>
        </c:extLst>
      </c:barChart>
      <c:catAx>
        <c:axId val="984422710"/>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64716823"/>
        <c:crosses val="autoZero"/>
        <c:auto val="1"/>
        <c:lblAlgn val="ctr"/>
        <c:lblOffset val="100"/>
        <c:noMultiLvlLbl val="0"/>
      </c:catAx>
      <c:valAx>
        <c:axId val="16471682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84422710"/>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solidFill>
              <a:latin typeface="+mn-lt"/>
              <a:ea typeface="+mn-ea"/>
              <a:cs typeface="+mn-cs"/>
            </a:defRPr>
          </a:pPr>
        </a:p>
      </c:tx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tx>
            <c:strRef>
              <c:f>Sheet1!$B$1</c:f>
              <c:strCache>
                <c:ptCount val="1"/>
                <c:pt idx="0">
                  <c:v>收入决算结构</c:v>
                </c:pt>
              </c:strCache>
            </c:strRef>
          </c:tx>
          <c:spPr>
            <a:scene3d>
              <a:camera prst="orthographicFront"/>
              <a:lightRig rig="threePt" dir="t"/>
            </a:scene3d>
            <a:sp3d contourW="25400"/>
          </c:spPr>
          <c:explosion val="0"/>
          <c:dPt>
            <c:idx val="0"/>
            <c:bubble3D val="0"/>
            <c:spPr>
              <a:solidFill>
                <a:schemeClr val="accent1"/>
              </a:solidFill>
              <a:ln w="25400">
                <a:solidFill>
                  <a:schemeClr val="lt1"/>
                </a:solidFill>
              </a:ln>
              <a:effectLst/>
              <a:scene3d>
                <a:camera prst="orthographicFront"/>
                <a:lightRig rig="threePt" dir="t"/>
              </a:scene3d>
              <a:sp3d contourW="25400"/>
            </c:spPr>
          </c:dPt>
          <c:dPt>
            <c:idx val="1"/>
            <c:bubble3D val="0"/>
            <c:spPr>
              <a:solidFill>
                <a:schemeClr val="accent2"/>
              </a:solidFill>
              <a:ln w="25400">
                <a:solidFill>
                  <a:schemeClr val="lt1"/>
                </a:solidFill>
              </a:ln>
              <a:effectLst/>
              <a:scene3d>
                <a:camera prst="orthographicFront"/>
                <a:lightRig rig="threePt" dir="t"/>
              </a:scene3d>
              <a:sp3d contourW="25400"/>
            </c:spPr>
          </c:dPt>
          <c:dPt>
            <c:idx val="2"/>
            <c:bubble3D val="0"/>
            <c:spPr>
              <a:solidFill>
                <a:schemeClr val="accent3"/>
              </a:solidFill>
              <a:ln w="25400">
                <a:solidFill>
                  <a:schemeClr val="lt1"/>
                </a:solidFill>
              </a:ln>
              <a:effectLst/>
              <a:scene3d>
                <a:camera prst="orthographicFront"/>
                <a:lightRig rig="threePt" dir="t"/>
              </a:scene3d>
              <a:sp3d contourW="25400"/>
            </c:spPr>
          </c:dPt>
          <c:dPt>
            <c:idx val="3"/>
            <c:bubble3D val="0"/>
            <c:spPr>
              <a:solidFill>
                <a:schemeClr val="accent4"/>
              </a:solidFill>
              <a:ln w="25400">
                <a:solidFill>
                  <a:schemeClr val="lt1"/>
                </a:solidFill>
              </a:ln>
              <a:effectLst/>
              <a:scene3d>
                <a:camera prst="orthographicFront"/>
                <a:lightRig rig="threePt" dir="t"/>
              </a:scene3d>
              <a:sp3d contourW="25400"/>
            </c:spPr>
          </c:dPt>
          <c:dPt>
            <c:idx val="4"/>
            <c:bubble3D val="0"/>
            <c:spPr>
              <a:solidFill>
                <a:schemeClr val="accent5"/>
              </a:solidFill>
              <a:ln w="25400">
                <a:solidFill>
                  <a:schemeClr val="lt1"/>
                </a:solidFill>
              </a:ln>
              <a:effectLst/>
              <a:scene3d>
                <a:camera prst="orthographicFront"/>
                <a:lightRig rig="threePt" dir="t"/>
              </a:scene3d>
              <a:sp3d contourW="25400"/>
            </c:spPr>
          </c:dPt>
          <c:dPt>
            <c:idx val="5"/>
            <c:bubble3D val="0"/>
            <c:spPr>
              <a:solidFill>
                <a:schemeClr val="accent6"/>
              </a:solidFill>
              <a:ln w="25400">
                <a:solidFill>
                  <a:schemeClr val="lt1"/>
                </a:solidFill>
              </a:ln>
              <a:effectLst/>
              <a:scene3d>
                <a:camera prst="orthographicFront"/>
                <a:lightRig rig="threePt" dir="t"/>
              </a:scene3d>
              <a:sp3d contourW="25400"/>
            </c:spPr>
          </c:dPt>
          <c:dPt>
            <c:idx val="6"/>
            <c:bubble3D val="0"/>
            <c:spPr>
              <a:solidFill>
                <a:schemeClr val="accent1">
                  <a:lumMod val="60000"/>
                </a:schemeClr>
              </a:solidFill>
              <a:ln w="25400">
                <a:solidFill>
                  <a:schemeClr val="lt1"/>
                </a:solidFill>
              </a:ln>
              <a:effectLst/>
              <a:scene3d>
                <a:camera prst="orthographicFront"/>
                <a:lightRig rig="threePt" dir="t"/>
              </a:scene3d>
              <a:sp3d contourW="25400"/>
            </c:spPr>
          </c:dPt>
          <c:dPt>
            <c:idx val="7"/>
            <c:bubble3D val="0"/>
            <c:spPr>
              <a:solidFill>
                <a:schemeClr val="accent2">
                  <a:lumMod val="60000"/>
                </a:schemeClr>
              </a:solidFill>
              <a:ln w="25400">
                <a:solidFill>
                  <a:schemeClr val="lt1"/>
                </a:solidFill>
              </a:ln>
              <a:effectLst/>
              <a:scene3d>
                <a:camera prst="orthographicFront"/>
                <a:lightRig rig="threePt" dir="t"/>
              </a:scene3d>
              <a:sp3d contourW="25400"/>
            </c:spPr>
          </c:dPt>
          <c:dLbls>
            <c:dLbl>
              <c:idx val="0"/>
              <c:layout>
                <c:manualLayout>
                  <c:x val="0.0528097494922139"/>
                  <c:y val="-0.0202898550724638"/>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113653686482089"/>
                  <c:y val="-0.107013864117415"/>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spPr>
              <a:noFill/>
              <a:ln>
                <a:noFill/>
              </a:ln>
              <a:effectLst>
                <a:outerShdw blurRad="50800" dist="38100" dir="5400000" algn="t" rotWithShape="0">
                  <a:prstClr val="black">
                    <a:alpha val="40000"/>
                  </a:prstClr>
                </a:outerShdw>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mn-lt"/>
                    <a:ea typeface="+mn-ea"/>
                    <a:cs typeface="+mn-cs"/>
                  </a:defRPr>
                </a:pPr>
              </a:p>
            </c:txPr>
            <c:dLblPos val="bestFit"/>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Sheet1!$A$2:$A$9</c:f>
              <c:strCache>
                <c:ptCount val="8"/>
                <c:pt idx="0">
                  <c:v>一般公共预算财政拨款收入</c:v>
                </c:pt>
                <c:pt idx="1">
                  <c:v>其他收入</c:v>
                </c:pt>
                <c:pt idx="2">
                  <c:v>政府性基金预算财政拨款收入</c:v>
                </c:pt>
                <c:pt idx="3">
                  <c:v>国有资本经营预算财政拨款收入</c:v>
                </c:pt>
                <c:pt idx="4">
                  <c:v>上级补助收入</c:v>
                </c:pt>
                <c:pt idx="5">
                  <c:v>事业收入</c:v>
                </c:pt>
                <c:pt idx="6">
                  <c:v>经营收入</c:v>
                </c:pt>
                <c:pt idx="7">
                  <c:v>附属单位上缴收入</c:v>
                </c:pt>
              </c:strCache>
            </c:strRef>
          </c:cat>
          <c:val>
            <c:numRef>
              <c:f>Sheet1!$B$2:$B$9</c:f>
              <c:numCache>
                <c:formatCode>General</c:formatCode>
                <c:ptCount val="8"/>
                <c:pt idx="0">
                  <c:v>292.04</c:v>
                </c:pt>
                <c:pt idx="1">
                  <c:v>1181.14</c:v>
                </c:pt>
              </c:numCache>
            </c:numRef>
          </c:val>
        </c:ser>
        <c:dLbls>
          <c:showLegendKey val="0"/>
          <c:showVal val="1"/>
          <c:showCatName val="0"/>
          <c:showSerName val="0"/>
          <c:showPercent val="0"/>
          <c:showBubbleSize val="0"/>
        </c:dLbls>
      </c:pie3DChart>
      <c:spPr>
        <a:noFill/>
        <a:ln>
          <a:noFill/>
        </a:ln>
        <a:effectLst/>
      </c:spPr>
    </c:plotArea>
    <c:legend>
      <c:legendPos val="b"/>
      <c:legendEntry>
        <c:idx val="0"/>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4"/>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5"/>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6"/>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7"/>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a:outerShdw blurRad="50800" dist="50800" dir="5400000" algn="ctr" rotWithShape="0">
        <a:schemeClr val="tx1">
          <a:alpha val="100000"/>
        </a:schemeClr>
      </a:outerShdw>
    </a:effectLst>
  </c:spPr>
  <c:txPr>
    <a:bodyPr/>
    <a:lstStyle/>
    <a:p>
      <a:pPr>
        <a:defRPr lang="zh-CN">
          <a:solidFill>
            <a:schemeClr val="tx1"/>
          </a:solidFill>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tx>
            <c:strRef>
              <c:f>Sheet1!$B$1</c:f>
              <c:strCache>
                <c:ptCount val="1"/>
                <c:pt idx="0">
                  <c:v>支出决算结构</c:v>
                </c:pt>
              </c:strCache>
            </c:strRef>
          </c:tx>
          <c:spPr>
            <a:effectLst>
              <a:outerShdw blurRad="50800" dist="38100" dir="2700000" algn="tl" rotWithShape="0">
                <a:prstClr val="black">
                  <a:alpha val="40000"/>
                </a:prstClr>
              </a:outerShdw>
            </a:effectLst>
          </c:spPr>
          <c:explosion val="0"/>
          <c:dPt>
            <c:idx val="0"/>
            <c:bubble3D val="0"/>
            <c:spPr>
              <a:solidFill>
                <a:schemeClr val="accent1"/>
              </a:solidFill>
              <a:ln w="25400">
                <a:solidFill>
                  <a:schemeClr val="lt1"/>
                </a:solidFill>
              </a:ln>
              <a:effectLst>
                <a:outerShdw blurRad="50800" dist="38100" dir="2700000" algn="tl" rotWithShape="0">
                  <a:prstClr val="black">
                    <a:alpha val="40000"/>
                  </a:prstClr>
                </a:outerShdw>
              </a:effectLst>
            </c:spPr>
          </c:dPt>
          <c:dPt>
            <c:idx val="1"/>
            <c:bubble3D val="0"/>
            <c:spPr>
              <a:solidFill>
                <a:schemeClr val="accent2"/>
              </a:solidFill>
              <a:ln w="25400">
                <a:solidFill>
                  <a:schemeClr val="lt1"/>
                </a:solidFill>
              </a:ln>
              <a:effectLst>
                <a:outerShdw blurRad="50800" dist="38100" dir="2700000" algn="tl" rotWithShape="0">
                  <a:prstClr val="black">
                    <a:alpha val="40000"/>
                  </a:prstClr>
                </a:outerShdw>
              </a:effectLst>
            </c:spPr>
          </c:dPt>
          <c:dPt>
            <c:idx val="2"/>
            <c:bubble3D val="0"/>
            <c:spPr>
              <a:solidFill>
                <a:schemeClr val="accent3"/>
              </a:solidFill>
              <a:ln w="25400">
                <a:solidFill>
                  <a:schemeClr val="lt1"/>
                </a:solidFill>
              </a:ln>
              <a:effectLst>
                <a:outerShdw blurRad="50800" dist="38100" dir="2700000" algn="tl" rotWithShape="0">
                  <a:prstClr val="black">
                    <a:alpha val="40000"/>
                  </a:prstClr>
                </a:outerShdw>
              </a:effectLst>
            </c:spPr>
          </c:dPt>
          <c:dPt>
            <c:idx val="3"/>
            <c:bubble3D val="0"/>
            <c:spPr>
              <a:solidFill>
                <a:schemeClr val="accent4"/>
              </a:solidFill>
              <a:ln w="25400">
                <a:solidFill>
                  <a:schemeClr val="lt1"/>
                </a:solidFill>
              </a:ln>
              <a:effectLst>
                <a:outerShdw blurRad="50800" dist="38100" dir="2700000" algn="tl" rotWithShape="0">
                  <a:prstClr val="black">
                    <a:alpha val="40000"/>
                  </a:prstClr>
                </a:outerShdw>
              </a:effectLst>
            </c:spPr>
          </c:dPt>
          <c:dPt>
            <c:idx val="4"/>
            <c:bubble3D val="0"/>
            <c:spPr>
              <a:solidFill>
                <a:schemeClr val="accent5"/>
              </a:solidFill>
              <a:ln w="25400">
                <a:solidFill>
                  <a:schemeClr val="lt1"/>
                </a:solidFill>
              </a:ln>
              <a:effectLst>
                <a:outerShdw blurRad="50800" dist="38100" dir="2700000" algn="tl" rotWithShape="0">
                  <a:prstClr val="black">
                    <a:alpha val="40000"/>
                  </a:prstClr>
                </a:outerShdw>
              </a:effectLst>
            </c:spPr>
          </c:dPt>
          <c:dLbls>
            <c:dLbl>
              <c:idx val="0"/>
              <c:layout>
                <c:manualLayout>
                  <c:x val="0.123434995240453"/>
                  <c:y val="-0.103559622597532"/>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136923305147604"/>
                      <c:h val="0.119973776223776"/>
                    </c:manualLayout>
                  </c15:layout>
                </c:ext>
              </c:extLst>
            </c:dLbl>
            <c:dLbl>
              <c:idx val="1"/>
              <c:layout>
                <c:manualLayout>
                  <c:x val="-0.0105094722013363"/>
                  <c:y val="-0.0419811639899294"/>
                </c:manualLayout>
              </c:layout>
              <c:numFmt formatCode="General" sourceLinked="1"/>
              <c:spPr>
                <a:noFill/>
                <a:ln>
                  <a:noFill/>
                </a:ln>
                <a:effectLst>
                  <a:outerShdw blurRad="50800" dist="38100" dir="2700000" algn="tl" rotWithShape="0">
                    <a:prstClr val="black">
                      <a:alpha val="40000"/>
                    </a:prstClr>
                  </a:outerShdw>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194333184987391"/>
                      <c:h val="0.132867132867133"/>
                    </c:manualLayout>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v>1779.91</c:v>
                </c:pt>
                <c:pt idx="1">
                  <c:v>390.24</c:v>
                </c:pt>
              </c:numCache>
            </c:numRef>
          </c:val>
        </c:ser>
        <c:dLbls>
          <c:showLegendKey val="0"/>
          <c:showVal val="1"/>
          <c:showCatName val="0"/>
          <c:showSerName val="0"/>
          <c:showPercent val="0"/>
          <c:showBubbleSize val="0"/>
        </c:dLbls>
      </c:pie3D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a:outerShdw blurRad="50800" dist="38100" dir="5400000" algn="t" rotWithShape="0">
        <a:prstClr val="black">
          <a:alpha val="40000"/>
        </a:prstClr>
      </a:outerShdw>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财政拨款收、支总计</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2021年</c:v>
                </c:pt>
                <c:pt idx="1">
                  <c:v>2022年</c:v>
                </c:pt>
              </c:strCache>
            </c:strRef>
          </c:cat>
          <c:val>
            <c:numRef>
              <c:f>Sheet1!$B$2:$B$3</c:f>
              <c:numCache>
                <c:formatCode>General</c:formatCode>
                <c:ptCount val="2"/>
                <c:pt idx="0">
                  <c:v>2702.2</c:v>
                </c:pt>
                <c:pt idx="1">
                  <c:v>989.01</c:v>
                </c:pt>
              </c:numCache>
            </c:numRef>
          </c:val>
        </c:ser>
        <c:dLbls>
          <c:showLegendKey val="0"/>
          <c:showVal val="1"/>
          <c:showCatName val="0"/>
          <c:showSerName val="0"/>
          <c:showPercent val="0"/>
          <c:showBubbleSize val="0"/>
        </c:dLbls>
        <c:gapWidth val="219"/>
        <c:overlap val="-27"/>
        <c:axId val="656443864"/>
        <c:axId val="107449349"/>
      </c:barChart>
      <c:catAx>
        <c:axId val="656443864"/>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07449349"/>
        <c:crosses val="autoZero"/>
        <c:auto val="1"/>
        <c:lblAlgn val="ctr"/>
        <c:lblOffset val="100"/>
        <c:noMultiLvlLbl val="0"/>
      </c:catAx>
      <c:valAx>
        <c:axId val="10744934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5644386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一般公共预算财政拨款支出决算变动情况</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2021年</c:v>
                </c:pt>
                <c:pt idx="1">
                  <c:v>2022年</c:v>
                </c:pt>
              </c:strCache>
            </c:strRef>
          </c:cat>
          <c:val>
            <c:numRef>
              <c:f>Sheet1!$B$2:$B$3</c:f>
              <c:numCache>
                <c:formatCode>General</c:formatCode>
                <c:ptCount val="2"/>
                <c:pt idx="0">
                  <c:v>2702.2</c:v>
                </c:pt>
                <c:pt idx="1">
                  <c:v>989.01</c:v>
                </c:pt>
              </c:numCache>
            </c:numRef>
          </c:val>
        </c:ser>
        <c:dLbls>
          <c:showLegendKey val="0"/>
          <c:showVal val="1"/>
          <c:showCatName val="0"/>
          <c:showSerName val="0"/>
          <c:showPercent val="0"/>
          <c:showBubbleSize val="0"/>
        </c:dLbls>
        <c:gapWidth val="219"/>
        <c:overlap val="-27"/>
        <c:axId val="869440715"/>
        <c:axId val="527927611"/>
      </c:barChart>
      <c:catAx>
        <c:axId val="869440715"/>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7927611"/>
        <c:crosses val="autoZero"/>
        <c:auto val="1"/>
        <c:lblAlgn val="ctr"/>
        <c:lblOffset val="100"/>
        <c:noMultiLvlLbl val="0"/>
      </c:catAx>
      <c:valAx>
        <c:axId val="52792761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69440715"/>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tx>
            <c:strRef>
              <c:f>Sheet1!$B$1</c:f>
              <c:strCache>
                <c:ptCount val="1"/>
                <c:pt idx="0">
                  <c:v>一般公共预算财政拨款支出决算结构</c:v>
                </c:pt>
              </c:strCache>
            </c:strRef>
          </c:tx>
          <c:explosion val="0"/>
          <c:dPt>
            <c:idx val="0"/>
            <c:bubble3D val="0"/>
            <c:spPr>
              <a:solidFill>
                <a:schemeClr val="accent1"/>
              </a:solidFill>
              <a:ln w="25400">
                <a:solidFill>
                  <a:schemeClr val="lt1"/>
                </a:solidFill>
              </a:ln>
              <a:effectLst>
                <a:innerShdw blurRad="63500" dist="50800" dir="13500000">
                  <a:prstClr val="black">
                    <a:alpha val="50000"/>
                  </a:prstClr>
                </a:innerShdw>
              </a:effectLst>
            </c:spPr>
          </c:dPt>
          <c:dPt>
            <c:idx val="1"/>
            <c:bubble3D val="0"/>
            <c:spPr>
              <a:solidFill>
                <a:schemeClr val="accent2"/>
              </a:solidFill>
              <a:ln w="25400">
                <a:solidFill>
                  <a:schemeClr val="lt1"/>
                </a:solidFill>
              </a:ln>
              <a:effectLst/>
            </c:spPr>
          </c:dPt>
          <c:dPt>
            <c:idx val="2"/>
            <c:bubble3D val="0"/>
            <c:spPr>
              <a:solidFill>
                <a:schemeClr val="accent3"/>
              </a:solidFill>
              <a:ln w="25400">
                <a:solidFill>
                  <a:schemeClr val="lt1"/>
                </a:solidFill>
              </a:ln>
              <a:effectLst/>
            </c:spPr>
          </c:dPt>
          <c:dPt>
            <c:idx val="3"/>
            <c:bubble3D val="0"/>
            <c:spPr>
              <a:solidFill>
                <a:schemeClr val="accent4"/>
              </a:solidFill>
              <a:ln w="25400">
                <a:solidFill>
                  <a:schemeClr val="lt1"/>
                </a:solidFill>
              </a:ln>
              <a:effectLst/>
            </c:spPr>
          </c:dPt>
          <c:dLbls>
            <c:dLbl>
              <c:idx val="0"/>
              <c:layout>
                <c:manualLayout>
                  <c:x val="0.0761014686248331"/>
                  <c:y val="-0.0243845796562935"/>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212550066755674"/>
                      <c:h val="0.144681839294008"/>
                    </c:manualLayout>
                  </c15:layout>
                </c:ext>
              </c:extLst>
            </c:dLbl>
            <c:dLbl>
              <c:idx val="1"/>
              <c:layout>
                <c:manualLayout>
                  <c:x val="-0.0440587449933244"/>
                  <c:y val="0.0766372503483511"/>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0941255006675567"/>
                      <c:h val="0.267069205759405"/>
                    </c:manualLayout>
                  </c15:layout>
                </c:ext>
              </c:extLst>
            </c:dLbl>
            <c:dLbl>
              <c:idx val="2"/>
              <c:layout>
                <c:manualLayout>
                  <c:x val="0.0440587449933244"/>
                  <c:y val="-0.0801207617278216"/>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166088117489987"/>
                      <c:h val="0.142823966558291"/>
                    </c:manualLayout>
                  </c15:layout>
                </c:ext>
              </c:extLst>
            </c:dLbl>
            <c:dLbl>
              <c:idx val="3"/>
              <c:layout>
                <c:manualLayout>
                  <c:x val="0.164218958611482"/>
                  <c:y val="-0.0174175568973525"/>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167022696929239"/>
                      <c:h val="0.155829075708314"/>
                    </c:manualLayout>
                  </c15:layout>
                </c:ext>
              </c:extLst>
            </c:dLbl>
            <c:spPr>
              <a:noFill/>
              <a:ln>
                <a:noFill/>
              </a:ln>
              <a:effectLst>
                <a:outerShdw blurRad="50800" dist="38100" algn="l" rotWithShape="0">
                  <a:prstClr val="black">
                    <a:alpha val="40000"/>
                  </a:prstClr>
                </a:outerShdw>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公共安全支出</c:v>
                </c:pt>
                <c:pt idx="1">
                  <c:v>社会保障和就业支出</c:v>
                </c:pt>
                <c:pt idx="2">
                  <c:v>卫生健康支出</c:v>
                </c:pt>
                <c:pt idx="3">
                  <c:v>住房保障支出</c:v>
                </c:pt>
              </c:strCache>
            </c:strRef>
          </c:cat>
          <c:val>
            <c:numRef>
              <c:f>Sheet1!$B$2:$B$5</c:f>
              <c:numCache>
                <c:formatCode>General</c:formatCode>
                <c:ptCount val="4"/>
                <c:pt idx="0">
                  <c:v>799.64</c:v>
                </c:pt>
                <c:pt idx="1">
                  <c:v>70.43</c:v>
                </c:pt>
                <c:pt idx="2">
                  <c:v>48.26</c:v>
                </c:pt>
                <c:pt idx="3">
                  <c:v>70.68</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a:outerShdw blurRad="50800" dist="38100" dir="5400000" algn="t" rotWithShape="0">
        <a:prstClr val="black">
          <a:alpha val="40000"/>
        </a:prstClr>
      </a:outerShdw>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tx>
            <c:strRef>
              <c:f>Sheet1!$B$1</c:f>
              <c:strCache>
                <c:ptCount val="1"/>
                <c:pt idx="0">
                  <c:v>“三公”经费财政拨款支出结构</c:v>
                </c:pt>
              </c:strCache>
            </c:strRef>
          </c:tx>
          <c:explosion val="0"/>
          <c:dPt>
            <c:idx val="0"/>
            <c:bubble3D val="0"/>
            <c:spPr>
              <a:solidFill>
                <a:schemeClr val="accent1">
                  <a:shade val="65000"/>
                </a:schemeClr>
              </a:solidFill>
              <a:ln w="25400">
                <a:solidFill>
                  <a:schemeClr val="lt1"/>
                </a:solidFill>
              </a:ln>
              <a:effectLst/>
            </c:spPr>
          </c:dPt>
          <c:dPt>
            <c:idx val="1"/>
            <c:bubble3D val="0"/>
            <c:spPr>
              <a:solidFill>
                <a:schemeClr val="accent1"/>
              </a:solidFill>
              <a:ln w="25400">
                <a:solidFill>
                  <a:schemeClr val="lt1"/>
                </a:solidFill>
              </a:ln>
              <a:effectLst/>
            </c:spPr>
          </c:dPt>
          <c:dPt>
            <c:idx val="2"/>
            <c:bubble3D val="0"/>
            <c:spPr>
              <a:solidFill>
                <a:schemeClr val="accent1">
                  <a:tint val="65000"/>
                </a:schemeClr>
              </a:solidFill>
              <a:ln w="25400">
                <a:solidFill>
                  <a:schemeClr val="lt1"/>
                </a:solidFill>
              </a:ln>
              <a:effectLst/>
            </c:spPr>
          </c:dPt>
          <c:dLbls>
            <c:dLbl>
              <c:idx val="0"/>
              <c:layout>
                <c:manualLayout>
                  <c:x val="0.136875"/>
                  <c:y val="-0.02"/>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274609196658781"/>
                  <c:y val="-0.0750465757223515"/>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170625"/>
                  <c:y val="0"/>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spPr>
              <a:noFill/>
              <a:ln>
                <a:noFill/>
              </a:ln>
              <a:effectLst>
                <a:outerShdw blurRad="50800" dist="38100" algn="l" rotWithShape="0">
                  <a:prstClr val="black">
                    <a:alpha val="40000"/>
                  </a:prstClr>
                </a:outerShdw>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Sheet1!$A$2:$A$4</c:f>
              <c:strCache>
                <c:ptCount val="3"/>
                <c:pt idx="0">
                  <c:v>因公出国（境）费</c:v>
                </c:pt>
                <c:pt idx="1">
                  <c:v>公务用车购置及运行维护费</c:v>
                </c:pt>
                <c:pt idx="2">
                  <c:v>公务接待费</c:v>
                </c:pt>
              </c:strCache>
            </c:strRef>
          </c:cat>
          <c:val>
            <c:numRef>
              <c:f>Sheet1!$B$2:$B$4</c:f>
              <c:numCache>
                <c:formatCode>General</c:formatCode>
                <c:ptCount val="3"/>
                <c:pt idx="0">
                  <c:v>0</c:v>
                </c:pt>
                <c:pt idx="1">
                  <c:v>10.11</c:v>
                </c:pt>
                <c:pt idx="2">
                  <c:v>0.37</c:v>
                </c:pt>
              </c:numCache>
            </c:numRef>
          </c:val>
        </c:ser>
        <c:dLbls>
          <c:showLegendKey val="0"/>
          <c:showVal val="0"/>
          <c:showCatName val="1"/>
          <c:showSerName val="0"/>
          <c:showPercent val="1"/>
          <c:showBubbleSize val="0"/>
        </c:dLbls>
      </c:pie3D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a:outerShdw blurRad="50800" dist="38100" dir="8100000" algn="tr" rotWithShape="0">
        <a:prstClr val="black">
          <a:alpha val="40000"/>
        </a:prstClr>
      </a:outerShdw>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5B7C9A-37A4-4A6C-B716-74E03BC5143C}">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Pages>
  <Words>2193</Words>
  <Characters>12503</Characters>
  <Lines>104</Lines>
  <Paragraphs>29</Paragraphs>
  <TotalTime>22</TotalTime>
  <ScaleCrop>false</ScaleCrop>
  <LinksUpToDate>false</LinksUpToDate>
  <CharactersWithSpaces>14667</CharactersWithSpaces>
  <Application>WPS Office_11.1.0.12300_F1E327BC-269C-435d-A152-05C5408002CA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2020-08-05T01:49:00Z</dcterms:created>
  <dc:creator>曹颖</dc:creator>
  <cp:lastModifiedBy>user</cp:lastModifiedBy>
  <cp:lastPrinted>2023-07-31T02:35:00Z</cp:lastPrinted>
  <dcterms:modified xsi:type="dcterms:W3CDTF">2023-09-13T02:23:17Z</dcterms:modified>
  <dc:title>四川省***</dc:title>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2052-11.1.0.12300</vt:lpwstr>
  </property>
  <property fmtid="{D5CDD505-2E9C-101B-9397-08002B2CF9AE}" pid="3" name="ICV">
    <vt:lpwstr>804FF5AD228043339BD865C6300B3611</vt:lpwstr>
  </property>
</Properties>
</file>