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bookmarkStart w:id="68" w:name="_GoBack"/>
      <w:bookmarkEnd w:id="68"/>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pStyle w:val="2"/>
      </w:pPr>
    </w:p>
    <w:bookmarkEnd w:id="0"/>
    <w:p>
      <w:pPr>
        <w:adjustRightInd w:val="0"/>
        <w:snapToGrid w:val="0"/>
        <w:spacing w:line="360" w:lineRule="auto"/>
        <w:jc w:val="center"/>
        <w:outlineLvl w:val="0"/>
        <w:rPr>
          <w:rFonts w:ascii="方正小标宋简体" w:hAnsi="宋体" w:eastAsia="方正小标宋简体"/>
          <w:b w:val="0"/>
          <w:bCs w:val="0"/>
          <w:color w:val="000000"/>
          <w:sz w:val="72"/>
          <w:szCs w:val="72"/>
        </w:rPr>
      </w:pPr>
      <w:bookmarkStart w:id="1" w:name="_Toc15377193"/>
      <w:bookmarkStart w:id="2" w:name="_Toc15378441"/>
      <w:bookmarkStart w:id="3" w:name="_Toc15396597"/>
      <w:bookmarkStart w:id="4" w:name="_Toc15377425"/>
      <w:bookmarkStart w:id="5" w:name="_Toc15396475"/>
      <w:r>
        <w:rPr>
          <w:rFonts w:hint="eastAsia" w:ascii="方正小标宋简体" w:hAnsi="方正小标宋简体" w:eastAsia="方正小标宋简体" w:cs="方正小标宋简体"/>
          <w:b w:val="0"/>
          <w:bCs w:val="0"/>
          <w:color w:val="000000"/>
          <w:sz w:val="72"/>
          <w:szCs w:val="72"/>
        </w:rPr>
        <w:t>202</w:t>
      </w:r>
      <w:r>
        <w:rPr>
          <w:rFonts w:hint="eastAsia" w:ascii="方正小标宋简体" w:hAnsi="方正小标宋简体" w:eastAsia="方正小标宋简体" w:cs="方正小标宋简体"/>
          <w:b w:val="0"/>
          <w:bCs w:val="0"/>
          <w:color w:val="000000"/>
          <w:sz w:val="72"/>
          <w:szCs w:val="72"/>
          <w:lang w:val="en-US" w:eastAsia="zh-CN"/>
        </w:rPr>
        <w:t>2</w:t>
      </w:r>
      <w:r>
        <w:rPr>
          <w:rFonts w:hint="eastAsia" w:ascii="方正小标宋简体" w:hAnsi="方正小标宋简体" w:eastAsia="方正小标宋简体" w:cs="方正小标宋简体"/>
          <w:b w:val="0"/>
          <w:bCs w:val="0"/>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b w:val="0"/>
          <w:bCs w:val="0"/>
          <w:color w:val="000000"/>
          <w:sz w:val="72"/>
          <w:szCs w:val="72"/>
        </w:rPr>
      </w:pPr>
      <w:bookmarkStart w:id="6" w:name="_Toc15377426"/>
      <w:bookmarkStart w:id="7" w:name="_Toc15378442"/>
      <w:bookmarkStart w:id="8" w:name="_Toc15396476"/>
      <w:bookmarkStart w:id="9" w:name="_Toc15377194"/>
      <w:bookmarkStart w:id="10" w:name="_Toc15396598"/>
      <w:r>
        <w:rPr>
          <w:rFonts w:hint="eastAsia" w:ascii="方正小标宋简体" w:hAnsi="宋体" w:eastAsia="方正小标宋简体"/>
          <w:b w:val="0"/>
          <w:bCs w:val="0"/>
          <w:color w:val="000000"/>
          <w:sz w:val="72"/>
          <w:szCs w:val="72"/>
        </w:rPr>
        <w:t>四川省</w:t>
      </w:r>
      <w:bookmarkStart w:id="11" w:name="_Toc15306268"/>
      <w:r>
        <w:rPr>
          <w:rFonts w:hint="eastAsia" w:ascii="方正小标宋简体" w:hAnsi="宋体" w:eastAsia="方正小标宋简体"/>
          <w:b w:val="0"/>
          <w:bCs w:val="0"/>
          <w:color w:val="000000"/>
          <w:sz w:val="72"/>
          <w:szCs w:val="72"/>
        </w:rPr>
        <w:t>攀枝花市人民政府   驻成都办事处</w:t>
      </w:r>
      <w:r>
        <w:rPr>
          <w:rFonts w:hint="eastAsia" w:ascii="方正小标宋简体" w:hAnsi="宋体" w:eastAsia="方正小标宋简体"/>
          <w:b w:val="0"/>
          <w:bCs w:val="0"/>
          <w:color w:val="000000"/>
          <w:sz w:val="72"/>
          <w:szCs w:val="72"/>
          <w:lang w:eastAsia="zh-CN"/>
        </w:rPr>
        <w:t>（本级）</w:t>
      </w:r>
      <w:r>
        <w:rPr>
          <w:rFonts w:hint="eastAsia" w:ascii="方正小标宋简体" w:hAnsi="宋体" w:eastAsia="方正小标宋简体"/>
          <w:b w:val="0"/>
          <w:bCs w:val="0"/>
          <w:color w:val="000000"/>
          <w:sz w:val="72"/>
          <w:szCs w:val="72"/>
          <w:lang w:val="en-US" w:eastAsia="zh-CN"/>
        </w:rPr>
        <w:t xml:space="preserve">     </w:t>
      </w:r>
      <w:r>
        <w:rPr>
          <w:rFonts w:hint="eastAsia" w:ascii="方正小标宋简体" w:hAnsi="宋体" w:eastAsia="方正小标宋简体"/>
          <w:b w:val="0"/>
          <w:bCs w:val="0"/>
          <w:color w:val="000000"/>
          <w:sz w:val="72"/>
          <w:szCs w:val="72"/>
          <w:lang w:eastAsia="zh-CN"/>
        </w:rPr>
        <w:t>单位</w:t>
      </w:r>
      <w:r>
        <w:rPr>
          <w:rFonts w:hint="eastAsia" w:ascii="方正小标宋简体" w:hAnsi="宋体" w:eastAsia="方正小标宋简体"/>
          <w:b w:val="0"/>
          <w:bCs w:val="0"/>
          <w:color w:val="000000"/>
          <w:sz w:val="72"/>
          <w:szCs w:val="72"/>
        </w:rPr>
        <w:t>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72"/>
          <w:szCs w:val="72"/>
        </w:rPr>
      </w:pPr>
    </w:p>
    <w:p>
      <w:pPr>
        <w:widowControl/>
        <w:jc w:val="center"/>
        <w:rPr>
          <w:rFonts w:hint="eastAsia" w:ascii="黑体" w:hAnsi="黑体" w:eastAsia="黑体"/>
          <w:b w:val="0"/>
          <w:bCs w:val="0"/>
          <w:color w:val="000000"/>
          <w:sz w:val="36"/>
          <w:szCs w:val="36"/>
        </w:rPr>
        <w:sectPr>
          <w:footerReference r:id="rId3" w:type="default"/>
          <w:pgSz w:w="11906" w:h="16838"/>
          <w:pgMar w:top="2098" w:right="1474" w:bottom="1984" w:left="1587" w:header="851" w:footer="992" w:gutter="0"/>
          <w:pgNumType w:fmt="decimal" w:start="1"/>
          <w:cols w:space="0" w:num="1"/>
          <w:titlePg/>
          <w:rtlGutter w:val="0"/>
          <w:docGrid w:type="lines" w:linePitch="312" w:charSpace="0"/>
        </w:sectPr>
      </w:pPr>
    </w:p>
    <w:p>
      <w:pPr>
        <w:widowControl/>
        <w:jc w:val="center"/>
        <w:rPr>
          <w:rFonts w:ascii="黑体" w:hAnsi="黑体" w:eastAsia="黑体"/>
          <w:color w:val="000000"/>
          <w:sz w:val="48"/>
          <w:szCs w:val="48"/>
        </w:rPr>
      </w:pPr>
      <w:r>
        <w:rPr>
          <w:rFonts w:hint="eastAsia" w:ascii="黑体" w:hAnsi="黑体" w:eastAsia="黑体"/>
          <w:b w:val="0"/>
          <w:bCs w:val="0"/>
          <w:color w:val="000000"/>
          <w:sz w:val="36"/>
          <w:szCs w:val="36"/>
        </w:rPr>
        <w:t>目录</w:t>
      </w:r>
    </w:p>
    <w:p>
      <w:pPr>
        <w:pStyle w:val="11"/>
      </w:pPr>
      <w:bookmarkStart w:id="12" w:name="_Toc15396599"/>
      <w:bookmarkStart w:id="13" w:name="_Toc15377196"/>
      <w:r>
        <w:rPr>
          <w:rFonts w:hint="eastAsia" w:ascii="仿宋_GB2312" w:hAnsi="仿宋_GB2312" w:eastAsia="仿宋_GB2312" w:cs="仿宋_GB2312"/>
        </w:rPr>
        <w:t>公开时间：202</w:t>
      </w:r>
      <w:r>
        <w:rPr>
          <w:rFonts w:hint="eastAsia" w:ascii="仿宋_GB2312" w:hAnsi="仿宋_GB2312" w:eastAsia="仿宋_GB2312" w:cs="仿宋_GB2312"/>
          <w:lang w:val="en-US" w:eastAsia="zh-CN"/>
        </w:rPr>
        <w:t>3</w:t>
      </w:r>
      <w:r>
        <w:rPr>
          <w:rFonts w:hint="eastAsia" w:ascii="仿宋_GB2312" w:hAnsi="仿宋_GB2312" w:eastAsia="仿宋_GB2312" w:cs="仿宋_GB2312"/>
        </w:rPr>
        <w:t>年</w:t>
      </w:r>
      <w:r>
        <w:rPr>
          <w:rFonts w:hint="eastAsia" w:ascii="仿宋_GB2312" w:hAnsi="仿宋_GB2312" w:eastAsia="仿宋_GB2312" w:cs="仿宋_GB2312"/>
          <w:lang w:val="en-US" w:eastAsia="zh-CN"/>
        </w:rPr>
        <w:t>9</w:t>
      </w:r>
      <w:r>
        <w:rPr>
          <w:rFonts w:hint="eastAsia" w:ascii="仿宋_GB2312" w:hAnsi="仿宋_GB2312" w:eastAsia="仿宋_GB2312" w:cs="仿宋_GB2312"/>
        </w:rPr>
        <w:t>月</w:t>
      </w:r>
      <w:r>
        <w:rPr>
          <w:rFonts w:hint="eastAsia" w:ascii="仿宋_GB2312" w:hAnsi="仿宋_GB2312" w:eastAsia="仿宋_GB2312" w:cs="仿宋_GB2312"/>
          <w:lang w:val="en-US" w:eastAsia="zh-CN"/>
        </w:rPr>
        <w:t>14</w:t>
      </w:r>
      <w:r>
        <w:rPr>
          <w:rFonts w:hint="eastAsia" w:ascii="仿宋_GB2312" w:hAnsi="仿宋_GB2312" w:eastAsia="仿宋_GB2312" w:cs="仿宋_GB2312"/>
        </w:rPr>
        <w:t>日</w:t>
      </w:r>
    </w:p>
    <w:p/>
    <w:p>
      <w:pPr>
        <w:pStyle w:val="11"/>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"_Toc15396599" </w:instrText>
      </w:r>
      <w:r>
        <w:rPr>
          <w:rFonts w:hint="eastAsia" w:ascii="仿宋_GB2312" w:hAnsi="仿宋_GB2312" w:eastAsia="仿宋_GB2312" w:cs="仿宋_GB2312"/>
          <w:sz w:val="32"/>
          <w:szCs w:val="32"/>
        </w:rPr>
        <w:fldChar w:fldCharType="separate"/>
      </w:r>
      <w:r>
        <w:rPr>
          <w:rStyle w:val="17"/>
          <w:rFonts w:hint="eastAsia" w:ascii="楷体_GB2312" w:hAnsi="楷体_GB2312" w:eastAsia="楷体_GB2312" w:cs="楷体_GB2312"/>
          <w:color w:val="auto"/>
          <w:sz w:val="32"/>
          <w:szCs w:val="32"/>
          <w:u w:color="FFFFFF" w:themeColor="background1"/>
        </w:rPr>
        <w:t xml:space="preserve">第一部分 </w:t>
      </w:r>
      <w:r>
        <w:rPr>
          <w:rStyle w:val="17"/>
          <w:rFonts w:hint="eastAsia" w:ascii="楷体_GB2312" w:hAnsi="楷体_GB2312" w:eastAsia="楷体_GB2312" w:cs="楷体_GB2312"/>
          <w:color w:val="auto"/>
          <w:sz w:val="32"/>
          <w:szCs w:val="32"/>
          <w:u w:color="FFFFFF" w:themeColor="background1"/>
          <w:lang w:eastAsia="zh-CN"/>
        </w:rPr>
        <w:t>单位</w:t>
      </w:r>
      <w:r>
        <w:rPr>
          <w:rStyle w:val="17"/>
          <w:rFonts w:hint="eastAsia" w:ascii="楷体_GB2312" w:hAnsi="楷体_GB2312" w:eastAsia="楷体_GB2312" w:cs="楷体_GB2312"/>
          <w:color w:val="auto"/>
          <w:sz w:val="32"/>
          <w:szCs w:val="32"/>
          <w:u w:color="FFFFFF" w:themeColor="background1"/>
        </w:rPr>
        <w:t>概况</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3</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"_Toc15396600"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一、</w:t>
      </w:r>
      <w:r>
        <w:rPr>
          <w:rStyle w:val="18"/>
          <w:rFonts w:hint="eastAsia" w:ascii="仿宋_GB2312" w:hAnsi="仿宋_GB2312" w:eastAsia="仿宋_GB2312" w:cs="仿宋_GB2312"/>
          <w:color w:val="auto"/>
          <w:sz w:val="32"/>
          <w:szCs w:val="32"/>
          <w:u w:color="FFFFFF" w:themeColor="background1"/>
          <w:lang w:eastAsia="zh-CN"/>
        </w:rPr>
        <w:t>主要职责</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3</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"_Toc15396601"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二、</w:t>
      </w:r>
      <w:r>
        <w:rPr>
          <w:rFonts w:hint="eastAsia" w:ascii="仿宋_GB2312" w:hAnsi="仿宋_GB2312" w:eastAsia="仿宋_GB2312" w:cs="仿宋_GB2312"/>
          <w:color w:val="auto"/>
          <w:sz w:val="32"/>
          <w:szCs w:val="32"/>
          <w:highlight w:val="none"/>
          <w:lang w:val="en-US" w:eastAsia="zh-CN"/>
        </w:rPr>
        <w:t>机构设置</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4</w:t>
      </w:r>
      <w:r>
        <w:rPr>
          <w:rFonts w:hint="eastAsia" w:ascii="仿宋_GB2312" w:hAnsi="仿宋_GB2312" w:eastAsia="仿宋_GB2312" w:cs="仿宋_GB2312"/>
          <w:sz w:val="32"/>
          <w:szCs w:val="32"/>
          <w:u w:color="FFFFFF" w:themeColor="background1"/>
        </w:rPr>
        <w:fldChar w:fldCharType="end"/>
      </w:r>
    </w:p>
    <w:p>
      <w:pPr>
        <w:pStyle w:val="11"/>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"_Toc15396602" </w:instrText>
      </w:r>
      <w:r>
        <w:rPr>
          <w:rFonts w:hint="eastAsia" w:ascii="仿宋_GB2312" w:hAnsi="仿宋_GB2312" w:eastAsia="仿宋_GB2312" w:cs="仿宋_GB2312"/>
          <w:sz w:val="32"/>
          <w:szCs w:val="32"/>
        </w:rPr>
        <w:fldChar w:fldCharType="separate"/>
      </w:r>
      <w:r>
        <w:rPr>
          <w:rStyle w:val="18"/>
          <w:rFonts w:hint="eastAsia" w:ascii="楷体_GB2312" w:hAnsi="楷体_GB2312" w:eastAsia="楷体_GB2312" w:cs="楷体_GB2312"/>
          <w:color w:val="auto"/>
          <w:sz w:val="32"/>
          <w:szCs w:val="32"/>
          <w:u w:color="FFFFFF" w:themeColor="background1"/>
        </w:rPr>
        <w:t xml:space="preserve">第二部分 </w:t>
      </w:r>
      <w:r>
        <w:rPr>
          <w:rFonts w:hint="eastAsia" w:ascii="楷体_GB2312" w:hAnsi="楷体_GB2312" w:eastAsia="楷体_GB2312" w:cs="楷体_GB2312"/>
          <w:color w:val="auto"/>
          <w:sz w:val="32"/>
          <w:szCs w:val="32"/>
          <w:highlight w:val="none"/>
          <w:lang w:val="en-US" w:eastAsia="zh-CN"/>
        </w:rPr>
        <w:t>2022年度</w:t>
      </w:r>
      <w:r>
        <w:rPr>
          <w:rFonts w:hint="eastAsia" w:ascii="楷体_GB2312" w:hAnsi="楷体_GB2312" w:eastAsia="楷体_GB2312" w:cs="楷体_GB2312"/>
          <w:color w:val="auto"/>
          <w:sz w:val="32"/>
          <w:szCs w:val="32"/>
          <w:highlight w:val="none"/>
          <w:lang w:eastAsia="zh-CN"/>
        </w:rPr>
        <w:t>单位</w:t>
      </w:r>
      <w:r>
        <w:rPr>
          <w:rFonts w:hint="eastAsia" w:ascii="楷体_GB2312" w:hAnsi="楷体_GB2312" w:eastAsia="楷体_GB2312" w:cs="楷体_GB2312"/>
          <w:color w:val="auto"/>
          <w:sz w:val="32"/>
          <w:szCs w:val="32"/>
          <w:highlight w:val="none"/>
        </w:rPr>
        <w:t>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5</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"_Toc15396603"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bCs/>
          <w:color w:val="auto"/>
          <w:sz w:val="32"/>
          <w:szCs w:val="32"/>
          <w:u w:color="FFFFFF" w:themeColor="background1"/>
        </w:rPr>
        <w:t>一、</w:t>
      </w:r>
      <w:r>
        <w:rPr>
          <w:rStyle w:val="18"/>
          <w:rFonts w:hint="eastAsia" w:ascii="仿宋_GB2312" w:hAnsi="仿宋_GB2312" w:eastAsia="仿宋_GB2312" w:cs="仿宋_GB2312"/>
          <w:color w:val="auto"/>
          <w:sz w:val="32"/>
          <w:szCs w:val="32"/>
          <w:u w:color="FFFFFF" w:themeColor="background1"/>
        </w:rPr>
        <w:t>收</w:t>
      </w:r>
      <w:r>
        <w:rPr>
          <w:rStyle w:val="18"/>
          <w:rFonts w:hint="eastAsia" w:ascii="仿宋_GB2312" w:hAnsi="仿宋_GB2312" w:eastAsia="仿宋_GB2312" w:cs="仿宋_GB2312"/>
          <w:bCs/>
          <w:color w:val="auto"/>
          <w:sz w:val="32"/>
          <w:szCs w:val="32"/>
          <w:u w:color="FFFFFF" w:themeColor="background1"/>
        </w:rPr>
        <w:t>入支出决算总体情况说明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5</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"_Toc15396604"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bCs/>
          <w:color w:val="auto"/>
          <w:sz w:val="32"/>
          <w:szCs w:val="32"/>
          <w:u w:color="FFFFFF" w:themeColor="background1"/>
        </w:rPr>
        <w:t>二、</w:t>
      </w:r>
      <w:r>
        <w:rPr>
          <w:rStyle w:val="18"/>
          <w:rFonts w:hint="eastAsia" w:ascii="仿宋_GB2312" w:hAnsi="仿宋_GB2312" w:eastAsia="仿宋_GB2312" w:cs="仿宋_GB2312"/>
          <w:color w:val="auto"/>
          <w:sz w:val="32"/>
          <w:szCs w:val="32"/>
          <w:u w:color="FFFFFF" w:themeColor="background1"/>
        </w:rPr>
        <w:t>收</w:t>
      </w:r>
      <w:r>
        <w:rPr>
          <w:rStyle w:val="18"/>
          <w:rFonts w:hint="eastAsia" w:ascii="仿宋_GB2312" w:hAnsi="仿宋_GB2312" w:eastAsia="仿宋_GB2312" w:cs="仿宋_GB2312"/>
          <w:bCs/>
          <w:color w:val="auto"/>
          <w:sz w:val="32"/>
          <w:szCs w:val="32"/>
          <w:u w:color="FFFFFF" w:themeColor="background1"/>
        </w:rPr>
        <w:t>入决算情况说明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6</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"_Toc15396605"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bCs/>
          <w:color w:val="auto"/>
          <w:sz w:val="32"/>
          <w:szCs w:val="32"/>
          <w:u w:color="FFFFFF" w:themeColor="background1"/>
        </w:rPr>
        <w:t>三、</w:t>
      </w:r>
      <w:r>
        <w:rPr>
          <w:rStyle w:val="18"/>
          <w:rFonts w:hint="eastAsia" w:ascii="仿宋_GB2312" w:hAnsi="仿宋_GB2312" w:eastAsia="仿宋_GB2312" w:cs="仿宋_GB2312"/>
          <w:color w:val="auto"/>
          <w:sz w:val="32"/>
          <w:szCs w:val="32"/>
          <w:u w:color="FFFFFF" w:themeColor="background1"/>
        </w:rPr>
        <w:t>支</w:t>
      </w:r>
      <w:r>
        <w:rPr>
          <w:rStyle w:val="18"/>
          <w:rFonts w:hint="eastAsia" w:ascii="仿宋_GB2312" w:hAnsi="仿宋_GB2312" w:eastAsia="仿宋_GB2312" w:cs="仿宋_GB2312"/>
          <w:bCs/>
          <w:color w:val="auto"/>
          <w:sz w:val="32"/>
          <w:szCs w:val="32"/>
          <w:u w:color="FFFFFF" w:themeColor="background1"/>
        </w:rPr>
        <w:t>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7</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"_Toc15396606"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四、财</w:t>
      </w:r>
      <w:r>
        <w:rPr>
          <w:rStyle w:val="18"/>
          <w:rFonts w:hint="eastAsia" w:ascii="仿宋_GB2312" w:hAnsi="仿宋_GB2312" w:eastAsia="仿宋_GB2312" w:cs="仿宋_GB2312"/>
          <w:bCs/>
          <w:color w:val="auto"/>
          <w:sz w:val="32"/>
          <w:szCs w:val="32"/>
          <w:u w:color="FFFFFF" w:themeColor="background1"/>
        </w:rPr>
        <w:t>政拨款收入支出决算总体情况说明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7</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"_Toc15396607"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五、一</w:t>
      </w:r>
      <w:r>
        <w:rPr>
          <w:rStyle w:val="18"/>
          <w:rFonts w:hint="eastAsia" w:ascii="仿宋_GB2312" w:hAnsi="仿宋_GB2312" w:eastAsia="仿宋_GB2312" w:cs="仿宋_GB2312"/>
          <w:bCs/>
          <w:color w:val="auto"/>
          <w:sz w:val="32"/>
          <w:szCs w:val="32"/>
          <w:u w:color="FFFFFF" w:themeColor="background1"/>
        </w:rPr>
        <w:t>般公共预算财政拨款支出决算情况说明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8</w:t>
      </w:r>
      <w:r>
        <w:rPr>
          <w:rFonts w:hint="eastAsia" w:ascii="仿宋_GB2312" w:hAnsi="仿宋_GB2312" w:eastAsia="仿宋_GB2312" w:cs="仿宋_GB2312"/>
          <w:sz w:val="32"/>
          <w:szCs w:val="32"/>
          <w:u w:color="FFFFFF" w:themeColor="background1"/>
        </w:rPr>
        <w:fldChar w:fldCharType="end"/>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"_Toc15396608"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六、一</w:t>
      </w:r>
      <w:r>
        <w:rPr>
          <w:rStyle w:val="18"/>
          <w:rFonts w:hint="eastAsia" w:ascii="仿宋_GB2312" w:hAnsi="仿宋_GB2312" w:eastAsia="仿宋_GB2312" w:cs="仿宋_GB2312"/>
          <w:bCs/>
          <w:color w:val="auto"/>
          <w:sz w:val="32"/>
          <w:szCs w:val="32"/>
          <w:u w:color="FFFFFF" w:themeColor="background1"/>
        </w:rPr>
        <w:t>般公共预算财政拨款基本支出决算情况说明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"_Toc15396609"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七、</w:t>
      </w:r>
      <w:r>
        <w:rPr>
          <w:rStyle w:val="18"/>
          <w:rFonts w:hint="eastAsia" w:ascii="仿宋_GB2312" w:hAnsi="仿宋_GB2312" w:eastAsia="仿宋_GB2312" w:cs="仿宋_GB2312"/>
          <w:bCs/>
          <w:color w:val="auto"/>
          <w:sz w:val="32"/>
          <w:szCs w:val="32"/>
          <w:u w:color="FFFFFF" w:themeColor="background1"/>
        </w:rPr>
        <w:t>财政拨款</w:t>
      </w:r>
      <w:r>
        <w:rPr>
          <w:rStyle w:val="18"/>
          <w:rFonts w:hint="eastAsia" w:ascii="仿宋_GB2312" w:hAnsi="仿宋_GB2312" w:eastAsia="仿宋_GB2312" w:cs="仿宋_GB2312"/>
          <w:color w:val="auto"/>
          <w:sz w:val="32"/>
          <w:szCs w:val="32"/>
          <w:u w:color="FFFFFF" w:themeColor="background1"/>
        </w:rPr>
        <w:t>“</w:t>
      </w:r>
      <w:r>
        <w:rPr>
          <w:rStyle w:val="18"/>
          <w:rFonts w:hint="eastAsia" w:ascii="仿宋_GB2312" w:hAnsi="仿宋_GB2312" w:eastAsia="仿宋_GB2312" w:cs="仿宋_GB2312"/>
          <w:bCs/>
          <w:color w:val="auto"/>
          <w:sz w:val="32"/>
          <w:szCs w:val="32"/>
          <w:u w:color="FFFFFF" w:themeColor="background1"/>
        </w:rPr>
        <w:t>三公”经费支出决算情况说明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"_Toc15396610"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八、</w:t>
      </w:r>
      <w:r>
        <w:rPr>
          <w:rStyle w:val="18"/>
          <w:rFonts w:hint="eastAsia" w:ascii="仿宋_GB2312" w:hAnsi="仿宋_GB2312" w:eastAsia="仿宋_GB2312" w:cs="仿宋_GB2312"/>
          <w:bCs/>
          <w:color w:val="auto"/>
          <w:sz w:val="32"/>
          <w:szCs w:val="32"/>
          <w:u w:color="FFFFFF" w:themeColor="background1"/>
        </w:rPr>
        <w:t>政府性基金预算支出决算情况说明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3</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"_Toc15396611"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bCs/>
          <w:color w:val="auto"/>
          <w:sz w:val="32"/>
          <w:szCs w:val="32"/>
          <w:u w:color="FFFFFF" w:themeColor="background1"/>
        </w:rPr>
        <w:t>九、</w:t>
      </w:r>
      <w:r>
        <w:rPr>
          <w:rStyle w:val="18"/>
          <w:rFonts w:hint="eastAsia" w:ascii="仿宋_GB2312" w:hAnsi="仿宋_GB2312" w:eastAsia="仿宋_GB2312" w:cs="仿宋_GB2312"/>
          <w:color w:val="auto"/>
          <w:sz w:val="32"/>
          <w:szCs w:val="32"/>
          <w:u w:color="FFFFFF" w:themeColor="background1"/>
        </w:rPr>
        <w:t>国</w:t>
      </w:r>
      <w:r>
        <w:rPr>
          <w:rStyle w:val="18"/>
          <w:rFonts w:hint="eastAsia" w:ascii="仿宋_GB2312" w:hAnsi="仿宋_GB2312" w:eastAsia="仿宋_GB2312" w:cs="仿宋_GB2312"/>
          <w:bCs/>
          <w:color w:val="auto"/>
          <w:sz w:val="32"/>
          <w:szCs w:val="32"/>
          <w:u w:color="FFFFFF" w:themeColor="background1"/>
        </w:rPr>
        <w:t>有资本经营预算支出决算情况说明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3</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"_Toc15396612"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十</w:t>
      </w:r>
      <w:r>
        <w:rPr>
          <w:rStyle w:val="18"/>
          <w:rFonts w:hint="eastAsia" w:ascii="仿宋_GB2312" w:hAnsi="仿宋_GB2312" w:eastAsia="仿宋_GB2312" w:cs="仿宋_GB2312"/>
          <w:bCs/>
          <w:color w:val="auto"/>
          <w:sz w:val="32"/>
          <w:szCs w:val="32"/>
          <w:u w:color="FFFFFF" w:themeColor="background1"/>
        </w:rPr>
        <w:t>、其他重要事项的情况说明</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14</w:t>
      </w:r>
      <w:r>
        <w:rPr>
          <w:rFonts w:hint="eastAsia" w:ascii="仿宋_GB2312" w:hAnsi="仿宋_GB2312" w:eastAsia="仿宋_GB2312" w:cs="仿宋_GB2312"/>
          <w:sz w:val="32"/>
          <w:szCs w:val="32"/>
          <w:u w:color="FFFFFF" w:themeColor="background1"/>
        </w:rPr>
        <w:fldChar w:fldCharType="end"/>
      </w:r>
    </w:p>
    <w:p>
      <w:pPr>
        <w:pStyle w:val="11"/>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"_Toc15396613" </w:instrText>
      </w:r>
      <w:r>
        <w:rPr>
          <w:rFonts w:hint="eastAsia" w:ascii="仿宋_GB2312" w:hAnsi="仿宋_GB2312" w:eastAsia="仿宋_GB2312" w:cs="仿宋_GB2312"/>
          <w:sz w:val="32"/>
          <w:szCs w:val="32"/>
        </w:rPr>
        <w:fldChar w:fldCharType="separate"/>
      </w:r>
      <w:r>
        <w:rPr>
          <w:rStyle w:val="18"/>
          <w:rFonts w:hint="eastAsia" w:ascii="楷体_GB2312" w:hAnsi="楷体_GB2312" w:eastAsia="楷体_GB2312" w:cs="楷体_GB2312"/>
          <w:bCs/>
          <w:color w:val="auto"/>
          <w:kern w:val="44"/>
          <w:sz w:val="32"/>
          <w:szCs w:val="32"/>
          <w:u w:color="FFFFFF" w:themeColor="background1"/>
        </w:rPr>
        <w:t>第三部分</w:t>
      </w:r>
      <w:r>
        <w:rPr>
          <w:rStyle w:val="18"/>
          <w:rFonts w:hint="eastAsia" w:ascii="楷体_GB2312" w:hAnsi="楷体_GB2312" w:eastAsia="楷体_GB2312" w:cs="楷体_GB2312"/>
          <w:color w:val="auto"/>
          <w:sz w:val="32"/>
          <w:szCs w:val="32"/>
          <w:u w:color="FFFFFF" w:themeColor="background1"/>
        </w:rPr>
        <w:t xml:space="preserve"> 名</w:t>
      </w:r>
      <w:r>
        <w:rPr>
          <w:rStyle w:val="18"/>
          <w:rFonts w:hint="eastAsia" w:ascii="楷体_GB2312" w:hAnsi="楷体_GB2312" w:eastAsia="楷体_GB2312" w:cs="楷体_GB2312"/>
          <w:bCs/>
          <w:color w:val="auto"/>
          <w:kern w:val="44"/>
          <w:sz w:val="32"/>
          <w:szCs w:val="32"/>
          <w:u w:color="FFFFFF" w:themeColor="background1"/>
        </w:rPr>
        <w:t>词解释</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6</w:t>
      </w:r>
    </w:p>
    <w:p>
      <w:pPr>
        <w:pStyle w:val="11"/>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"_Toc15396614" </w:instrText>
      </w:r>
      <w:r>
        <w:rPr>
          <w:rFonts w:hint="eastAsia" w:ascii="仿宋_GB2312" w:hAnsi="仿宋_GB2312" w:eastAsia="仿宋_GB2312" w:cs="仿宋_GB2312"/>
          <w:sz w:val="32"/>
          <w:szCs w:val="32"/>
        </w:rPr>
        <w:fldChar w:fldCharType="separate"/>
      </w:r>
      <w:r>
        <w:rPr>
          <w:rStyle w:val="18"/>
          <w:rFonts w:hint="eastAsia" w:ascii="楷体_GB2312" w:hAnsi="楷体_GB2312" w:eastAsia="楷体_GB2312" w:cs="楷体_GB2312"/>
          <w:color w:val="auto"/>
          <w:sz w:val="32"/>
          <w:szCs w:val="32"/>
          <w:u w:color="FFFFFF" w:themeColor="background1"/>
        </w:rPr>
        <w:t>第</w:t>
      </w:r>
      <w:r>
        <w:rPr>
          <w:rStyle w:val="18"/>
          <w:rFonts w:hint="eastAsia" w:ascii="楷体_GB2312" w:hAnsi="楷体_GB2312" w:eastAsia="楷体_GB2312" w:cs="楷体_GB2312"/>
          <w:bCs/>
          <w:color w:val="auto"/>
          <w:kern w:val="44"/>
          <w:sz w:val="32"/>
          <w:szCs w:val="32"/>
          <w:u w:color="FFFFFF" w:themeColor="background1"/>
        </w:rPr>
        <w:t>四部分 附件</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1</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9</w:t>
      </w:r>
    </w:p>
    <w:p>
      <w:pPr>
        <w:pStyle w:val="11"/>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jc w:val="both"/>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"_Toc15396618" </w:instrText>
      </w:r>
      <w:r>
        <w:rPr>
          <w:rFonts w:hint="eastAsia" w:ascii="仿宋_GB2312" w:hAnsi="仿宋_GB2312" w:eastAsia="仿宋_GB2312" w:cs="仿宋_GB2312"/>
          <w:sz w:val="32"/>
          <w:szCs w:val="32"/>
        </w:rPr>
        <w:fldChar w:fldCharType="separate"/>
      </w:r>
      <w:r>
        <w:rPr>
          <w:rStyle w:val="18"/>
          <w:rFonts w:hint="eastAsia" w:ascii="楷体_GB2312" w:hAnsi="楷体_GB2312" w:eastAsia="楷体_GB2312" w:cs="楷体_GB2312"/>
          <w:color w:val="auto"/>
          <w:sz w:val="32"/>
          <w:szCs w:val="32"/>
          <w:u w:color="FFFFFF" w:themeColor="background1"/>
        </w:rPr>
        <w:t>第</w:t>
      </w:r>
      <w:r>
        <w:rPr>
          <w:rStyle w:val="18"/>
          <w:rFonts w:hint="eastAsia" w:ascii="楷体_GB2312" w:hAnsi="楷体_GB2312" w:eastAsia="楷体_GB2312" w:cs="楷体_GB2312"/>
          <w:bCs/>
          <w:color w:val="auto"/>
          <w:kern w:val="44"/>
          <w:sz w:val="32"/>
          <w:szCs w:val="32"/>
          <w:u w:color="FFFFFF" w:themeColor="background1"/>
        </w:rPr>
        <w:t>五部分 附表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2</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"_Toc15396619"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收入支出决算总表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lang w:val="en-US" w:eastAsia="zh-CN"/>
        </w:rPr>
        <w:t>2</w:t>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二、</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"_Toc15396620"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收入</w:t>
      </w:r>
      <w:r>
        <w:rPr>
          <w:rStyle w:val="18"/>
          <w:rFonts w:hint="eastAsia" w:ascii="仿宋_GB2312" w:hAnsi="仿宋_GB2312" w:eastAsia="仿宋_GB2312" w:cs="仿宋_GB2312"/>
          <w:color w:val="auto"/>
          <w:sz w:val="32"/>
          <w:szCs w:val="32"/>
          <w:u w:color="FFFFFF" w:themeColor="background1"/>
          <w:lang w:val="en-US" w:eastAsia="zh-CN"/>
        </w:rPr>
        <w:t>决算</w:t>
      </w:r>
      <w:r>
        <w:rPr>
          <w:rStyle w:val="18"/>
          <w:rFonts w:hint="eastAsia" w:ascii="仿宋_GB2312" w:hAnsi="仿宋_GB2312" w:eastAsia="仿宋_GB2312" w:cs="仿宋_GB2312"/>
          <w:color w:val="auto"/>
          <w:sz w:val="32"/>
          <w:szCs w:val="32"/>
          <w:u w:color="FFFFFF" w:themeColor="background1"/>
        </w:rPr>
        <w:t>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三、</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"_Toc15396621"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支出</w:t>
      </w:r>
      <w:r>
        <w:rPr>
          <w:rStyle w:val="18"/>
          <w:rFonts w:hint="eastAsia" w:ascii="仿宋_GB2312" w:hAnsi="仿宋_GB2312" w:eastAsia="仿宋_GB2312" w:cs="仿宋_GB2312"/>
          <w:color w:val="auto"/>
          <w:sz w:val="32"/>
          <w:szCs w:val="32"/>
          <w:u w:color="FFFFFF" w:themeColor="background1"/>
          <w:lang w:val="en-US" w:eastAsia="zh-CN"/>
        </w:rPr>
        <w:t>决算</w:t>
      </w:r>
      <w:r>
        <w:rPr>
          <w:rStyle w:val="18"/>
          <w:rFonts w:hint="eastAsia" w:ascii="仿宋_GB2312" w:hAnsi="仿宋_GB2312" w:eastAsia="仿宋_GB2312" w:cs="仿宋_GB2312"/>
          <w:color w:val="auto"/>
          <w:sz w:val="32"/>
          <w:szCs w:val="32"/>
          <w:u w:color="FFFFFF" w:themeColor="background1"/>
        </w:rPr>
        <w:t>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四、</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"_Toc15396622"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财政拨款收入支出决算总表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五、</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u w:color="FFFFFF" w:themeColor="background1"/>
        </w:rPr>
        <w:t>财政拨款支出决算明细表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六、</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"_Toc15396624"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一般公共预算财政拨款支出决算表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七、</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"_Toc15396625"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一般公共预算财政拨款支出决算明细表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八、</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"_Toc15396626"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一般公共预算财政拨款基本支出决算</w:t>
      </w:r>
      <w:r>
        <w:rPr>
          <w:rStyle w:val="18"/>
          <w:rFonts w:hint="eastAsia" w:ascii="仿宋_GB2312" w:hAnsi="仿宋_GB2312" w:eastAsia="仿宋_GB2312" w:cs="仿宋_GB2312"/>
          <w:color w:val="auto"/>
          <w:sz w:val="32"/>
          <w:szCs w:val="32"/>
          <w:u w:color="FFFFFF" w:themeColor="background1"/>
          <w:lang w:eastAsia="zh-CN"/>
        </w:rPr>
        <w:t>明细</w:t>
      </w:r>
      <w:r>
        <w:rPr>
          <w:rStyle w:val="18"/>
          <w:rFonts w:hint="eastAsia" w:ascii="仿宋_GB2312" w:hAnsi="仿宋_GB2312" w:eastAsia="仿宋_GB2312" w:cs="仿宋_GB2312"/>
          <w:color w:val="auto"/>
          <w:sz w:val="32"/>
          <w:szCs w:val="32"/>
          <w:u w:color="FFFFFF" w:themeColor="background1"/>
        </w:rPr>
        <w:t>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九、</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"_Toc15396627"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一般公共预算财政拨款项目支出决算表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十、</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"_Toc15396628"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color w:val="auto"/>
          <w:sz w:val="32"/>
          <w:szCs w:val="32"/>
          <w:u w:color="FFFFFF" w:themeColor="background1"/>
        </w:rPr>
        <w:t>政府性基金预算财政拨款收入支出决算表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十一、</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"_Toc15396629"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国有资本经营预算财政拨款收入支出决算表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十二、</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"_Toc15396630"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国有资本经营预算财政拨款支出决算表</w:t>
      </w:r>
      <w:r>
        <w:rPr>
          <w:rFonts w:hint="eastAsia" w:ascii="仿宋_GB2312" w:hAnsi="仿宋_GB2312" w:eastAsia="仿宋_GB2312" w:cs="仿宋_GB2312"/>
          <w:sz w:val="32"/>
          <w:szCs w:val="32"/>
          <w:u w:color="FFFFFF" w:themeColor="background1"/>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pStyle w:val="12"/>
        <w:keepNext w:val="0"/>
        <w:keepLines w:val="0"/>
        <w:pageBreakBefore w:val="0"/>
        <w:widowControl w:val="0"/>
        <w:tabs>
          <w:tab w:val="right" w:pos="8820"/>
          <w:tab w:val="right" w:pos="9450"/>
          <w:tab w:val="right" w:pos="10500"/>
          <w:tab w:val="right" w:pos="12600"/>
          <w:tab w:val="right" w:pos="14700"/>
        </w:tabs>
        <w:kinsoku/>
        <w:wordWrap/>
        <w:overflowPunct/>
        <w:topLinePunct w:val="0"/>
        <w:autoSpaceDE/>
        <w:autoSpaceDN/>
        <w:bidi w:val="0"/>
        <w:adjustRightInd w:val="0"/>
        <w:snapToGrid w:val="0"/>
        <w:spacing w:line="640" w:lineRule="exact"/>
        <w:jc w:val="left"/>
        <w:textAlignment w:val="auto"/>
        <w:rPr>
          <w:rFonts w:hint="eastAsia" w:ascii="仿宋_GB2312" w:hAnsi="仿宋_GB2312" w:eastAsia="仿宋_GB2312" w:cs="仿宋_GB2312"/>
          <w:sz w:val="32"/>
          <w:szCs w:val="32"/>
          <w:u w:color="FFFFFF" w:themeColor="background1"/>
          <w:lang w:val="en-US" w:eastAsia="zh-CN"/>
        </w:rPr>
      </w:pPr>
      <w:r>
        <w:rPr>
          <w:rFonts w:hint="eastAsia" w:ascii="仿宋_GB2312" w:hAnsi="仿宋_GB2312" w:eastAsia="仿宋_GB2312" w:cs="仿宋_GB2312"/>
          <w:sz w:val="32"/>
          <w:szCs w:val="32"/>
          <w:u w:color="FFFFFF" w:themeColor="background1"/>
        </w:rPr>
        <w:t>十三、</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"_Toc15396631" </w:instrText>
      </w:r>
      <w:r>
        <w:rPr>
          <w:rFonts w:hint="eastAsia" w:ascii="仿宋_GB2312" w:hAnsi="仿宋_GB2312" w:eastAsia="仿宋_GB2312" w:cs="仿宋_GB2312"/>
          <w:sz w:val="32"/>
          <w:szCs w:val="32"/>
        </w:rPr>
        <w:fldChar w:fldCharType="separate"/>
      </w:r>
      <w:r>
        <w:rPr>
          <w:rStyle w:val="18"/>
          <w:rFonts w:hint="eastAsia" w:ascii="仿宋_GB2312" w:hAnsi="仿宋_GB2312" w:eastAsia="仿宋_GB2312" w:cs="仿宋_GB2312"/>
          <w:bCs/>
          <w:color w:val="auto"/>
          <w:sz w:val="32"/>
          <w:szCs w:val="32"/>
          <w:u w:color="FFFFFF" w:themeColor="background1"/>
        </w:rPr>
        <w:t>财政拨款</w:t>
      </w:r>
      <w:r>
        <w:rPr>
          <w:rStyle w:val="18"/>
          <w:rFonts w:hint="eastAsia" w:ascii="仿宋_GB2312" w:hAnsi="仿宋_GB2312" w:eastAsia="仿宋_GB2312" w:cs="仿宋_GB2312"/>
          <w:color w:val="auto"/>
          <w:sz w:val="32"/>
          <w:szCs w:val="32"/>
          <w:u w:color="FFFFFF" w:themeColor="background1"/>
        </w:rPr>
        <w:t>“</w:t>
      </w:r>
      <w:r>
        <w:rPr>
          <w:rStyle w:val="18"/>
          <w:rFonts w:hint="eastAsia" w:ascii="仿宋_GB2312" w:hAnsi="仿宋_GB2312" w:eastAsia="仿宋_GB2312" w:cs="仿宋_GB2312"/>
          <w:bCs/>
          <w:color w:val="auto"/>
          <w:sz w:val="32"/>
          <w:szCs w:val="32"/>
          <w:u w:color="FFFFFF" w:themeColor="background1"/>
        </w:rPr>
        <w:t>三公”经费支出</w:t>
      </w:r>
      <w:r>
        <w:rPr>
          <w:rFonts w:hint="eastAsia" w:ascii="仿宋_GB2312" w:hAnsi="仿宋_GB2312" w:eastAsia="仿宋_GB2312" w:cs="仿宋_GB2312"/>
          <w:sz w:val="32"/>
          <w:szCs w:val="32"/>
        </w:rPr>
        <w:t>决算表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u w:color="FFFFFF" w:themeColor="background1"/>
        </w:rPr>
        <w:fldChar w:fldCharType="end"/>
      </w:r>
      <w:r>
        <w:rPr>
          <w:rFonts w:hint="eastAsia" w:ascii="仿宋_GB2312" w:hAnsi="仿宋_GB2312" w:eastAsia="仿宋_GB2312" w:cs="仿宋_GB2312"/>
          <w:sz w:val="32"/>
          <w:szCs w:val="32"/>
          <w:u w:color="FFFFFF" w:themeColor="background1"/>
          <w:lang w:val="en-US" w:eastAsia="zh-CN"/>
        </w:rPr>
        <w:t>21</w:t>
      </w:r>
    </w:p>
    <w:p>
      <w:pPr>
        <w:keepNext w:val="0"/>
        <w:keepLines w:val="0"/>
        <w:pageBreakBefore w:val="0"/>
        <w:widowControl w:val="0"/>
        <w:tabs>
          <w:tab w:val="right" w:leader="dot" w:pos="8296"/>
          <w:tab w:val="right" w:pos="8820"/>
          <w:tab w:val="right" w:pos="9450"/>
          <w:tab w:val="right" w:pos="10500"/>
          <w:tab w:val="right" w:pos="12600"/>
          <w:tab w:val="right" w:pos="14700"/>
        </w:tabs>
        <w:kinsoku/>
        <w:wordWrap/>
        <w:overflowPunct/>
        <w:topLinePunct w:val="0"/>
        <w:autoSpaceDE/>
        <w:autoSpaceDN/>
        <w:bidi w:val="0"/>
        <w:spacing w:line="640" w:lineRule="exact"/>
        <w:textAlignment w:val="auto"/>
        <w:rPr>
          <w:rFonts w:hint="eastAsia" w:ascii="仿宋_GB2312" w:hAnsi="仿宋_GB2312" w:eastAsia="仿宋_GB2312" w:cs="仿宋_GB2312"/>
          <w:sz w:val="32"/>
          <w:szCs w:val="32"/>
        </w:rPr>
      </w:pPr>
    </w:p>
    <w:p>
      <w:pPr>
        <w:pStyle w:val="3"/>
        <w:jc w:val="center"/>
        <w:rPr>
          <w:rFonts w:hint="eastAsia" w:ascii="仿宋_GB2312" w:hAnsi="仿宋_GB2312" w:eastAsia="仿宋_GB2312" w:cs="仿宋_GB2312"/>
          <w:b w:val="0"/>
          <w:bCs w:val="0"/>
          <w:sz w:val="32"/>
          <w:szCs w:val="32"/>
        </w:rPr>
        <w:sectPr>
          <w:footerReference r:id="rId5" w:type="first"/>
          <w:footerReference r:id="rId4" w:type="default"/>
          <w:pgSz w:w="11906" w:h="16838"/>
          <w:pgMar w:top="2098" w:right="1474" w:bottom="1984" w:left="1587" w:header="851" w:footer="992" w:gutter="0"/>
          <w:pgNumType w:fmt="decimal" w:start="1"/>
          <w:cols w:space="0" w:num="1"/>
          <w:rtlGutter w:val="0"/>
          <w:docGrid w:type="lines" w:linePitch="312" w:charSpace="0"/>
        </w:sectPr>
      </w:pPr>
    </w:p>
    <w:p>
      <w:pPr>
        <w:pStyle w:val="3"/>
        <w:jc w:val="center"/>
        <w:rPr>
          <w:rStyle w:val="27"/>
          <w:rFonts w:ascii="黑体" w:hAnsi="黑体" w:eastAsia="黑体"/>
          <w:b w:val="0"/>
          <w:bCs w:val="0"/>
        </w:rPr>
      </w:pPr>
      <w:r>
        <w:rPr>
          <w:rFonts w:hint="eastAsia" w:ascii="黑体" w:hAnsi="黑体" w:eastAsia="黑体"/>
          <w:b w:val="0"/>
          <w:bCs w:val="0"/>
        </w:rPr>
        <w:t xml:space="preserve">第一部分 </w:t>
      </w:r>
      <w:r>
        <w:rPr>
          <w:rStyle w:val="27"/>
          <w:rFonts w:hint="eastAsia" w:ascii="黑体" w:hAnsi="黑体" w:eastAsia="黑体"/>
          <w:b w:val="0"/>
          <w:bCs w:val="0"/>
          <w:lang w:eastAsia="zh-CN"/>
        </w:rPr>
        <w:t>单位</w:t>
      </w:r>
      <w:r>
        <w:rPr>
          <w:rStyle w:val="27"/>
          <w:rFonts w:hint="eastAsia" w:ascii="黑体" w:hAnsi="黑体" w:eastAsia="黑体"/>
          <w:b w:val="0"/>
          <w:bCs w:val="0"/>
        </w:rPr>
        <w:t>概况</w:t>
      </w:r>
      <w:bookmarkEnd w:id="12"/>
      <w:bookmarkEnd w:id="13"/>
    </w:p>
    <w:p>
      <w:pPr>
        <w:pStyle w:val="2"/>
        <w:keepNext w:val="0"/>
        <w:keepLines w:val="0"/>
        <w:pageBreakBefore w:val="0"/>
        <w:widowControl w:val="0"/>
        <w:kinsoku/>
        <w:wordWrap/>
        <w:overflowPunct/>
        <w:topLinePunct w:val="0"/>
        <w:autoSpaceDE/>
        <w:autoSpaceDN/>
        <w:bidi w:val="0"/>
        <w:spacing w:beforeLines="0" w:line="560" w:lineRule="exact"/>
        <w:ind w:firstLine="640" w:firstLineChars="200"/>
        <w:textAlignment w:val="auto"/>
        <w:rPr>
          <w:rFonts w:hint="eastAsia" w:hAnsi="仿宋_GB2312" w:cs="仿宋_GB2312"/>
          <w:b w:val="0"/>
          <w:bCs w:val="0"/>
          <w:color w:val="000000"/>
          <w:sz w:val="32"/>
          <w:szCs w:val="32"/>
          <w:lang w:val="en-US" w:eastAsia="zh-CN"/>
        </w:rPr>
      </w:pPr>
      <w:bookmarkStart w:id="14" w:name="_Toc15377198"/>
      <w:bookmarkStart w:id="15" w:name="_Toc15378445"/>
      <w:r>
        <w:rPr>
          <w:rFonts w:hint="eastAsia" w:ascii="黑体" w:hAnsi="黑体" w:eastAsia="黑体" w:cs="黑体"/>
          <w:b w:val="0"/>
          <w:bCs w:val="0"/>
          <w:color w:val="000000"/>
          <w:sz w:val="32"/>
          <w:szCs w:val="32"/>
          <w:lang w:val="en-US" w:eastAsia="zh-CN"/>
        </w:rPr>
        <w:t>一、主要职责</w:t>
      </w:r>
    </w:p>
    <w:p>
      <w:pPr>
        <w:pStyle w:val="2"/>
        <w:keepNext w:val="0"/>
        <w:keepLines w:val="0"/>
        <w:pageBreakBefore w:val="0"/>
        <w:widowControl w:val="0"/>
        <w:kinsoku/>
        <w:wordWrap/>
        <w:overflowPunct/>
        <w:topLinePunct w:val="0"/>
        <w:autoSpaceDE/>
        <w:autoSpaceDN/>
        <w:bidi w:val="0"/>
        <w:spacing w:beforeLines="0"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color w:val="000000"/>
          <w:sz w:val="32"/>
          <w:szCs w:val="32"/>
          <w:lang w:eastAsia="zh-CN"/>
        </w:rPr>
        <w:t>（</w:t>
      </w:r>
      <w:r>
        <w:rPr>
          <w:rFonts w:hint="eastAsia" w:ascii="楷体_GB2312" w:hAnsi="楷体_GB2312" w:eastAsia="楷体_GB2312" w:cs="楷体_GB2312"/>
          <w:b w:val="0"/>
          <w:bCs w:val="0"/>
          <w:color w:val="000000"/>
          <w:sz w:val="32"/>
          <w:szCs w:val="32"/>
        </w:rPr>
        <w:t>一）</w:t>
      </w:r>
      <w:bookmarkEnd w:id="14"/>
      <w:bookmarkEnd w:id="15"/>
      <w:r>
        <w:rPr>
          <w:rFonts w:hint="eastAsia" w:ascii="楷体_GB2312" w:hAnsi="楷体_GB2312" w:eastAsia="楷体_GB2312" w:cs="楷体_GB2312"/>
          <w:b w:val="0"/>
          <w:bCs w:val="0"/>
          <w:kern w:val="0"/>
          <w:sz w:val="32"/>
          <w:szCs w:val="32"/>
        </w:rPr>
        <w:t>负责川、渝地区的联络。</w:t>
      </w:r>
    </w:p>
    <w:p>
      <w:pPr>
        <w:pStyle w:val="2"/>
        <w:keepNext w:val="0"/>
        <w:keepLines w:val="0"/>
        <w:pageBreakBefore w:val="0"/>
        <w:widowControl w:val="0"/>
        <w:kinsoku/>
        <w:wordWrap/>
        <w:overflowPunct/>
        <w:topLinePunct w:val="0"/>
        <w:autoSpaceDE/>
        <w:autoSpaceDN/>
        <w:bidi w:val="0"/>
        <w:spacing w:beforeLines="0"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仿宋_GB2312" w:hAnsi="仿宋_GB2312" w:eastAsia="仿宋_GB2312" w:cs="仿宋_GB2312"/>
          <w:b w:val="0"/>
          <w:bCs w:val="0"/>
          <w:kern w:val="0"/>
          <w:sz w:val="32"/>
          <w:szCs w:val="32"/>
        </w:rPr>
        <w:t>负责与省级机关、重庆市、成都市的联系；积极向上争取政策、项目、资金；宣传介绍攀枝花的政治、经济和社会发展情况，促进城市间的相互了解和友好往来；参与我市在成都、重庆进行的有关重大活动的组织协调和服务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二）</w:t>
      </w:r>
      <w:r>
        <w:rPr>
          <w:rFonts w:hint="eastAsia" w:ascii="楷体_GB2312" w:hAnsi="楷体_GB2312" w:eastAsia="楷体_GB2312" w:cs="楷体_GB2312"/>
          <w:b w:val="0"/>
          <w:bCs w:val="0"/>
          <w:kern w:val="0"/>
          <w:sz w:val="32"/>
          <w:szCs w:val="32"/>
        </w:rPr>
        <w:t>提供信息咨询服务</w:t>
      </w:r>
      <w:r>
        <w:rPr>
          <w:rFonts w:hint="eastAsia" w:ascii="楷体_GB2312" w:hAnsi="楷体_GB2312" w:eastAsia="楷体_GB2312" w:cs="楷体_GB2312"/>
          <w:b w:val="0"/>
          <w:bCs w:val="0"/>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仿宋_GB2312" w:hAnsi="仿宋_GB2312" w:eastAsia="仿宋_GB2312" w:cs="仿宋_GB2312"/>
          <w:b w:val="0"/>
          <w:bCs w:val="0"/>
          <w:kern w:val="0"/>
          <w:sz w:val="32"/>
          <w:szCs w:val="32"/>
        </w:rPr>
        <w:t>加强调查研究，收集、整理和传递重要的政务、经济信息，为市委、市政府决策提供参考依据，为市及部门、县（区）和企业提供信息咨询服务。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三）协助开展招商引资各项活动。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仿宋_GB2312" w:hAnsi="仿宋_GB2312" w:eastAsia="仿宋_GB2312" w:cs="仿宋_GB2312"/>
          <w:b w:val="0"/>
          <w:bCs w:val="0"/>
          <w:kern w:val="0"/>
          <w:sz w:val="32"/>
          <w:szCs w:val="32"/>
        </w:rPr>
        <w:t>开展招商引资和区域间经济、技术、人才、文化的交流与合作；围绕我市经济发展的支柱产业和重点项目，积极开展招商引资活动，着力引进技术和资金，同时协助市内企业拓展市外市场。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四）负责协调业务指导工作。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仿宋_GB2312" w:hAnsi="仿宋_GB2312" w:eastAsia="仿宋_GB2312" w:cs="仿宋_GB2312"/>
          <w:b w:val="0"/>
          <w:bCs w:val="0"/>
          <w:kern w:val="0"/>
          <w:sz w:val="32"/>
          <w:szCs w:val="32"/>
        </w:rPr>
        <w:t>协调县（区）驻蓉办事处（联络处）的关系和</w:t>
      </w:r>
      <w:r>
        <w:rPr>
          <w:rFonts w:hint="eastAsia" w:ascii="仿宋_GB2312" w:hAnsi="仿宋_GB2312" w:eastAsia="仿宋_GB2312" w:cs="仿宋_GB2312"/>
          <w:b w:val="0"/>
          <w:bCs w:val="0"/>
          <w:kern w:val="0"/>
          <w:sz w:val="32"/>
          <w:szCs w:val="32"/>
          <w:lang w:eastAsia="zh-CN"/>
        </w:rPr>
        <w:t>进行相应的</w:t>
      </w:r>
      <w:r>
        <w:rPr>
          <w:rFonts w:hint="eastAsia" w:ascii="仿宋_GB2312" w:hAnsi="仿宋_GB2312" w:eastAsia="仿宋_GB2312" w:cs="仿宋_GB2312"/>
          <w:b w:val="0"/>
          <w:bCs w:val="0"/>
          <w:kern w:val="0"/>
          <w:sz w:val="32"/>
          <w:szCs w:val="32"/>
        </w:rPr>
        <w:t>业务指导。</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五）接待保障工作。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负责市级领导赴蓉及途经成都的接待工作，为市级各部门、县（区）和企事业单位在成都开展业务活动提供咨询服务和工作方便。</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六）在蓉离退休人员的服务管理工作。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负责与攀枝花调到成都和离退休后到成都定居的领导和干部的联系，为我市的经济建设和社会发展服务。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七）信访维稳工作。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协助市级有关部门做好本市人员到蓉上访的处置工作。</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八）国有资产的</w:t>
      </w:r>
      <w:r>
        <w:rPr>
          <w:rFonts w:hint="eastAsia" w:ascii="楷体_GB2312" w:hAnsi="楷体_GB2312" w:eastAsia="楷体_GB2312" w:cs="楷体_GB2312"/>
          <w:b w:val="0"/>
          <w:bCs w:val="0"/>
          <w:kern w:val="0"/>
          <w:sz w:val="32"/>
          <w:szCs w:val="32"/>
        </w:rPr>
        <w:t>监督管理</w:t>
      </w:r>
      <w:r>
        <w:rPr>
          <w:rFonts w:hint="eastAsia" w:ascii="楷体_GB2312" w:hAnsi="楷体_GB2312" w:eastAsia="楷体_GB2312" w:cs="楷体_GB2312"/>
          <w:b w:val="0"/>
          <w:bCs w:val="0"/>
          <w:kern w:val="0"/>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负责对办事处及所属单位的财产进行监督管理，保证国有资产保值增值。</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b w:val="0"/>
          <w:bCs w:val="0"/>
          <w:color w:val="000000"/>
          <w:sz w:val="32"/>
          <w:szCs w:val="32"/>
        </w:rPr>
      </w:pPr>
      <w:r>
        <w:rPr>
          <w:rFonts w:hint="eastAsia" w:ascii="楷体_GB2312" w:hAnsi="楷体_GB2312" w:eastAsia="楷体_GB2312" w:cs="楷体_GB2312"/>
          <w:b w:val="0"/>
          <w:bCs w:val="0"/>
          <w:kern w:val="0"/>
          <w:sz w:val="32"/>
          <w:szCs w:val="32"/>
          <w:lang w:eastAsia="zh-CN"/>
        </w:rPr>
        <w:t>（</w:t>
      </w:r>
      <w:r>
        <w:rPr>
          <w:rFonts w:hint="eastAsia" w:ascii="楷体_GB2312" w:hAnsi="楷体_GB2312" w:eastAsia="楷体_GB2312" w:cs="楷体_GB2312"/>
          <w:b w:val="0"/>
          <w:bCs w:val="0"/>
          <w:kern w:val="0"/>
          <w:sz w:val="32"/>
          <w:szCs w:val="32"/>
          <w:lang w:val="en-US" w:eastAsia="zh-CN"/>
        </w:rPr>
        <w:t>九）</w:t>
      </w:r>
      <w:r>
        <w:rPr>
          <w:rFonts w:hint="eastAsia" w:ascii="楷体_GB2312" w:hAnsi="楷体_GB2312" w:eastAsia="楷体_GB2312" w:cs="楷体_GB2312"/>
          <w:b w:val="0"/>
          <w:bCs w:val="0"/>
          <w:kern w:val="0"/>
          <w:sz w:val="32"/>
          <w:szCs w:val="32"/>
        </w:rPr>
        <w:t>承办市委、市政府和主管部门交办的其它事宜。</w:t>
      </w:r>
    </w:p>
    <w:p>
      <w:pPr>
        <w:pStyle w:val="2"/>
        <w:keepNext w:val="0"/>
        <w:keepLines w:val="0"/>
        <w:pageBreakBefore w:val="0"/>
        <w:widowControl w:val="0"/>
        <w:kinsoku/>
        <w:wordWrap/>
        <w:overflowPunct/>
        <w:topLinePunct w:val="0"/>
        <w:autoSpaceDE/>
        <w:autoSpaceDN/>
        <w:bidi w:val="0"/>
        <w:adjustRightInd w:val="0"/>
        <w:snapToGrid w:val="0"/>
        <w:spacing w:beforeLines="0" w:line="560" w:lineRule="exact"/>
        <w:ind w:firstLine="640" w:firstLineChars="200"/>
        <w:textAlignment w:val="auto"/>
        <w:outlineLvl w:val="2"/>
        <w:rPr>
          <w:rFonts w:hint="eastAsia" w:ascii="黑体" w:hAnsi="黑体" w:eastAsia="黑体" w:cs="黑体"/>
          <w:b w:val="0"/>
          <w:bCs w:val="0"/>
          <w:color w:val="000000"/>
          <w:sz w:val="32"/>
          <w:szCs w:val="32"/>
          <w:lang w:eastAsia="zh-CN"/>
        </w:rPr>
      </w:pPr>
      <w:bookmarkStart w:id="16" w:name="_Toc15378446"/>
      <w:bookmarkStart w:id="17" w:name="_Toc15377199"/>
      <w:r>
        <w:rPr>
          <w:rFonts w:hint="eastAsia" w:ascii="黑体" w:hAnsi="黑体" w:eastAsia="黑体" w:cs="黑体"/>
          <w:b w:val="0"/>
          <w:bCs w:val="0"/>
          <w:color w:val="000000"/>
          <w:sz w:val="32"/>
          <w:szCs w:val="32"/>
        </w:rPr>
        <w:t>二、</w:t>
      </w:r>
      <w:bookmarkEnd w:id="16"/>
      <w:bookmarkEnd w:id="17"/>
      <w:r>
        <w:rPr>
          <w:rFonts w:hint="eastAsia" w:ascii="黑体" w:hAnsi="黑体" w:eastAsia="黑体" w:cs="黑体"/>
          <w:b w:val="0"/>
          <w:bCs w:val="0"/>
          <w:color w:val="000000"/>
          <w:sz w:val="32"/>
          <w:szCs w:val="32"/>
          <w:lang w:eastAsia="zh-CN"/>
        </w:rPr>
        <w:t>机构设置</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_GB2312" w:hAnsi="仿宋_GB2312" w:eastAsia="仿宋_GB2312" w:cs="仿宋_GB2312"/>
          <w:sz w:val="32"/>
          <w:szCs w:val="32"/>
        </w:rPr>
      </w:pPr>
      <w:bookmarkStart w:id="18" w:name="_Toc15396602"/>
      <w:bookmarkStart w:id="19" w:name="_Toc15377204"/>
      <w:r>
        <w:rPr>
          <w:rFonts w:hint="eastAsia" w:ascii="黑体" w:hAnsi="黑体" w:eastAsia="黑体"/>
          <w:b w:val="0"/>
          <w:color w:val="000000"/>
        </w:rPr>
        <w:t xml:space="preserve">  </w:t>
      </w:r>
      <w:r>
        <w:rPr>
          <w:rFonts w:hint="eastAsia" w:ascii="仿宋_GB2312" w:hAnsi="仿宋_GB2312" w:eastAsia="仿宋_GB2312" w:cs="仿宋_GB2312"/>
          <w:b w:val="0"/>
          <w:color w:val="000000"/>
          <w:sz w:val="32"/>
          <w:szCs w:val="32"/>
          <w:lang w:eastAsia="zh-CN"/>
        </w:rPr>
        <w:t>攀枝花市人民政府驻成都办事处（以下简称：</w:t>
      </w:r>
      <w:r>
        <w:rPr>
          <w:rFonts w:hint="eastAsia" w:ascii="仿宋_GB2312" w:hAnsi="仿宋_GB2312" w:eastAsia="仿宋_GB2312" w:cs="仿宋_GB2312"/>
          <w:sz w:val="32"/>
          <w:szCs w:val="32"/>
          <w:lang w:eastAsia="zh-CN"/>
        </w:rPr>
        <w:t>成</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为攀枝花市人民政府的派出机构、独立核算的财政预算单位，执行</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会计制度。单位除内设处室“三科一办”，即</w:t>
      </w:r>
      <w:r>
        <w:rPr>
          <w:rFonts w:hint="eastAsia" w:ascii="仿宋_GB2312" w:hAnsi="仿宋_GB2312" w:eastAsia="仿宋_GB2312" w:cs="仿宋_GB2312"/>
          <w:kern w:val="0"/>
          <w:sz w:val="32"/>
          <w:szCs w:val="32"/>
        </w:rPr>
        <w:t>党委办公室、综合科、经济联络信息科、接待管理科外，</w:t>
      </w:r>
      <w:r>
        <w:rPr>
          <w:rFonts w:hint="eastAsia" w:ascii="仿宋_GB2312" w:hAnsi="仿宋_GB2312" w:eastAsia="仿宋_GB2312" w:cs="仿宋_GB2312"/>
          <w:sz w:val="32"/>
          <w:szCs w:val="32"/>
        </w:rPr>
        <w:t>还挂有“中共攀枝花市委组织部驻成都流动党员服务站”、“共青团攀枝花市委驻成都工作委员会”和“攀枝花市驻成都群众工作站”等三个牌子。</w:t>
      </w:r>
    </w:p>
    <w:p>
      <w:pPr>
        <w:pStyle w:val="3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截至202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年12月31日，</w:t>
      </w:r>
      <w:r>
        <w:rPr>
          <w:rFonts w:hint="eastAsia" w:ascii="仿宋_GB2312" w:hAnsi="仿宋_GB2312" w:eastAsia="仿宋_GB2312" w:cs="仿宋_GB2312"/>
          <w:sz w:val="32"/>
          <w:szCs w:val="32"/>
        </w:rPr>
        <w:t>编制人数：公务员8人、机关工勤7人。</w:t>
      </w:r>
    </w:p>
    <w:p>
      <w:pPr>
        <w:pStyle w:val="3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实有人数：公务员9人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原主任调回市人大工作后其工资关系未动，编制不纳入</w:t>
      </w:r>
      <w:r>
        <w:rPr>
          <w:rFonts w:hint="eastAsia" w:ascii="仿宋_GB2312" w:hAnsi="仿宋_GB2312" w:eastAsia="仿宋_GB2312" w:cs="仿宋_GB2312"/>
          <w:sz w:val="32"/>
          <w:szCs w:val="32"/>
          <w:lang w:eastAsia="zh-CN"/>
        </w:rPr>
        <w:t>成</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机关工勤</w:t>
      </w:r>
      <w:r>
        <w:rPr>
          <w:rFonts w:hint="eastAsia" w:ascii="仿宋_GB2312" w:hAnsi="仿宋_GB2312" w:eastAsia="仿宋_GB2312" w:cs="仿宋_GB2312"/>
          <w:sz w:val="32"/>
          <w:szCs w:val="32"/>
          <w:lang w:val="en-US" w:eastAsia="zh-CN"/>
        </w:rPr>
        <w:t>4人、</w:t>
      </w:r>
      <w:r>
        <w:rPr>
          <w:rFonts w:hint="eastAsia" w:ascii="仿宋_GB2312" w:hAnsi="仿宋_GB2312" w:eastAsia="仿宋_GB2312" w:cs="仿宋_GB2312"/>
          <w:sz w:val="32"/>
          <w:szCs w:val="32"/>
        </w:rPr>
        <w:t>按照攀委办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86号文管理</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聘用人员2人</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lang w:val="en-US" w:eastAsia="zh-CN"/>
        </w:rPr>
        <w:t>15人</w:t>
      </w:r>
      <w:r>
        <w:rPr>
          <w:rFonts w:hint="eastAsia" w:ascii="仿宋_GB2312" w:hAnsi="仿宋_GB2312" w:eastAsia="仿宋_GB2312" w:cs="仿宋_GB2312"/>
          <w:sz w:val="32"/>
          <w:szCs w:val="32"/>
        </w:rPr>
        <w:t>。</w:t>
      </w:r>
    </w:p>
    <w:p>
      <w:pPr>
        <w:pStyle w:val="3"/>
        <w:pageBreakBefore w:val="0"/>
        <w:widowControl w:val="0"/>
        <w:kinsoku/>
        <w:wordWrap/>
        <w:overflowPunct/>
        <w:topLinePunct w:val="0"/>
        <w:autoSpaceDE/>
        <w:autoSpaceDN/>
        <w:bidi w:val="0"/>
        <w:spacing w:line="560" w:lineRule="exact"/>
        <w:ind w:right="440"/>
        <w:jc w:val="center"/>
        <w:rPr>
          <w:rStyle w:val="27"/>
          <w:rFonts w:ascii="黑体" w:hAnsi="黑体" w:eastAsia="黑体"/>
          <w:b w:val="0"/>
          <w:bCs w:val="0"/>
        </w:rPr>
      </w:pPr>
      <w:r>
        <w:rPr>
          <w:rFonts w:hint="eastAsia" w:ascii="黑体" w:hAnsi="黑体" w:eastAsia="黑体"/>
          <w:b w:val="0"/>
          <w:bCs w:val="0"/>
          <w:color w:val="000000"/>
        </w:rPr>
        <w:t xml:space="preserve">第二部分 </w:t>
      </w:r>
      <w:r>
        <w:rPr>
          <w:rStyle w:val="27"/>
          <w:rFonts w:hint="eastAsia" w:ascii="黑体" w:hAnsi="黑体" w:eastAsia="黑体"/>
          <w:b w:val="0"/>
          <w:bCs w:val="0"/>
        </w:rPr>
        <w:t>202</w:t>
      </w:r>
      <w:r>
        <w:rPr>
          <w:rStyle w:val="27"/>
          <w:rFonts w:hint="eastAsia" w:ascii="黑体" w:hAnsi="黑体" w:eastAsia="黑体"/>
          <w:b w:val="0"/>
          <w:bCs w:val="0"/>
          <w:lang w:val="en-US" w:eastAsia="zh-CN"/>
        </w:rPr>
        <w:t>2</w:t>
      </w:r>
      <w:r>
        <w:rPr>
          <w:rStyle w:val="27"/>
          <w:rFonts w:hint="eastAsia" w:ascii="黑体" w:hAnsi="黑体" w:eastAsia="黑体"/>
          <w:b w:val="0"/>
          <w:bCs w:val="0"/>
        </w:rPr>
        <w:t>年度</w:t>
      </w:r>
      <w:r>
        <w:rPr>
          <w:rStyle w:val="27"/>
          <w:rFonts w:hint="eastAsia" w:ascii="黑体" w:hAnsi="黑体" w:eastAsia="黑体"/>
          <w:b w:val="0"/>
          <w:bCs w:val="0"/>
          <w:lang w:val="en-US" w:eastAsia="zh-CN"/>
        </w:rPr>
        <w:t>单位</w:t>
      </w:r>
      <w:r>
        <w:rPr>
          <w:rStyle w:val="27"/>
          <w:rFonts w:hint="eastAsia" w:ascii="黑体" w:hAnsi="黑体" w:eastAsia="黑体"/>
          <w:b w:val="0"/>
          <w:bCs w:val="0"/>
        </w:rPr>
        <w:t>决算情况说明</w:t>
      </w:r>
      <w:bookmarkEnd w:id="18"/>
      <w:bookmarkEnd w:id="19"/>
    </w:p>
    <w:p>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outlineLvl w:val="1"/>
        <w:rPr>
          <w:rStyle w:val="28"/>
          <w:rFonts w:ascii="黑体" w:hAnsi="黑体" w:eastAsia="黑体"/>
        </w:rPr>
      </w:pPr>
      <w:bookmarkStart w:id="20" w:name="_Toc15396603"/>
      <w:bookmarkStart w:id="21" w:name="_Toc15377205"/>
      <w:r>
        <w:rPr>
          <w:rFonts w:hint="eastAsia" w:ascii="黑体" w:hAnsi="黑体" w:eastAsia="黑体"/>
          <w:b w:val="0"/>
          <w:bCs w:val="0"/>
          <w:color w:val="000000"/>
          <w:sz w:val="32"/>
          <w:szCs w:val="32"/>
        </w:rPr>
        <w:t>一、收</w:t>
      </w:r>
      <w:r>
        <w:rPr>
          <w:rStyle w:val="28"/>
          <w:rFonts w:hint="eastAsia" w:ascii="黑体" w:hAnsi="黑体" w:eastAsia="黑体"/>
          <w:b w:val="0"/>
          <w:bCs w:val="0"/>
        </w:rPr>
        <w:t>入支出决算总体情况说明</w:t>
      </w:r>
      <w:bookmarkEnd w:id="20"/>
      <w:bookmarkEnd w:id="21"/>
    </w:p>
    <w:p>
      <w:pPr>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rPr>
          <w:rFonts w:hint="default" w:ascii="仿宋_GB2312" w:hAnsi="仿宋" w:eastAsia="仿宋_GB2312" w:cs="仿宋"/>
          <w:b w:val="0"/>
          <w:bCs w:val="0"/>
          <w:color w:val="000000"/>
          <w:sz w:val="32"/>
          <w:szCs w:val="32"/>
          <w:lang w:val="en-US" w:eastAsia="zh-CN"/>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年收、支总计为</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color w:val="000000"/>
          <w:sz w:val="32"/>
          <w:szCs w:val="32"/>
        </w:rPr>
        <w:t>万元。与20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年相比，收、支总计</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rPr>
        <w:t>了</w:t>
      </w:r>
      <w:r>
        <w:rPr>
          <w:rFonts w:hint="eastAsia" w:ascii="仿宋_GB2312" w:hAnsi="仿宋_GB2312" w:eastAsia="仿宋_GB2312" w:cs="仿宋_GB2312"/>
          <w:color w:val="000000"/>
          <w:sz w:val="32"/>
          <w:szCs w:val="32"/>
          <w:lang w:val="en-US" w:eastAsia="zh-CN"/>
        </w:rPr>
        <w:t>6.03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增长</w:t>
      </w:r>
      <w:r>
        <w:rPr>
          <w:rFonts w:hint="eastAsia" w:ascii="仿宋_GB2312" w:hAnsi="仿宋_GB2312" w:eastAsia="仿宋_GB2312" w:cs="仿宋_GB2312"/>
          <w:color w:val="000000"/>
          <w:sz w:val="32"/>
          <w:szCs w:val="32"/>
          <w:lang w:val="en-US" w:eastAsia="zh-CN"/>
        </w:rPr>
        <w:t>1.06</w:t>
      </w:r>
      <w:r>
        <w:rPr>
          <w:rFonts w:hint="eastAsia" w:ascii="仿宋_GB2312" w:hAnsi="仿宋_GB2312" w:eastAsia="仿宋_GB2312" w:cs="仿宋_GB2312"/>
          <w:color w:val="000000"/>
          <w:sz w:val="32"/>
          <w:szCs w:val="32"/>
        </w:rPr>
        <w:t>%。主要变动原因是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年财政预算拨款</w:t>
      </w:r>
      <w:r>
        <w:rPr>
          <w:rFonts w:hint="eastAsia" w:ascii="仿宋_GB2312" w:hAnsi="仿宋_GB2312" w:eastAsia="仿宋_GB2312" w:cs="仿宋_GB2312"/>
          <w:sz w:val="32"/>
          <w:szCs w:val="32"/>
          <w:lang w:eastAsia="zh-CN"/>
        </w:rPr>
        <w:t>收入为</w:t>
      </w:r>
      <w:r>
        <w:rPr>
          <w:rFonts w:hint="eastAsia" w:ascii="仿宋_GB2312" w:hAnsi="仿宋_GB2312" w:eastAsia="仿宋_GB2312" w:cs="仿宋_GB2312"/>
          <w:i w:val="0"/>
          <w:color w:val="000000"/>
          <w:kern w:val="0"/>
          <w:sz w:val="32"/>
          <w:szCs w:val="32"/>
          <w:u w:val="none"/>
          <w:lang w:val="en-US" w:eastAsia="zh-CN" w:bidi="ar"/>
        </w:rPr>
        <w:t>522.19万元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实际收到的财政预算拨款</w:t>
      </w:r>
      <w:r>
        <w:rPr>
          <w:rFonts w:hint="eastAsia" w:ascii="仿宋_GB2312" w:hAnsi="仿宋_GB2312" w:eastAsia="仿宋_GB2312" w:cs="仿宋_GB2312"/>
          <w:sz w:val="32"/>
          <w:szCs w:val="32"/>
          <w:lang w:val="en-US" w:eastAsia="zh-CN"/>
        </w:rPr>
        <w:t>574.54万元，是</w:t>
      </w:r>
      <w:r>
        <w:rPr>
          <w:rFonts w:hint="eastAsia" w:ascii="仿宋_GB2312" w:hAnsi="仿宋" w:eastAsia="仿宋_GB2312" w:cs="仿宋"/>
          <w:b w:val="0"/>
          <w:bCs w:val="0"/>
          <w:color w:val="000000"/>
          <w:sz w:val="32"/>
          <w:szCs w:val="32"/>
          <w:lang w:val="en-US" w:eastAsia="zh-CN"/>
        </w:rPr>
        <w:t>根据攀财资行【2022】109号文件减少基本支出，调整至年初结转结余52.35万元，包括一般公共服务支出-政府办公厅（室）及相关机构事务-行政运行21.85万元、社会保障和就业支出-抚恤-死亡抚恤29.21万元、住房保障支出-住房改革支出-住房公积金1.29万元。同时</w:t>
      </w:r>
      <w:r>
        <w:rPr>
          <w:rFonts w:hint="eastAsia" w:ascii="仿宋_GB2312" w:hAnsi="仿宋_GB2312" w:eastAsia="仿宋_GB2312" w:cs="仿宋_GB2312"/>
          <w:sz w:val="32"/>
          <w:szCs w:val="32"/>
          <w:lang w:val="en-US" w:eastAsia="zh-CN"/>
        </w:rPr>
        <w:t>追加了基本支出人员经费（如工资调标、正常晋升、职级并行、奖金、死亡抚恤金、干部异地体检费等）和项目支出的攀枝花大厦运转经费10万元。</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而2021</w:t>
      </w:r>
      <w:r>
        <w:rPr>
          <w:rFonts w:hint="eastAsia" w:ascii="仿宋_GB2312" w:hAnsi="仿宋_GB2312" w:eastAsia="仿宋_GB2312" w:cs="仿宋_GB2312"/>
          <w:sz w:val="32"/>
          <w:szCs w:val="32"/>
          <w:lang w:eastAsia="zh-CN"/>
        </w:rPr>
        <w:t>年因</w:t>
      </w:r>
      <w:r>
        <w:rPr>
          <w:rFonts w:hint="eastAsia" w:ascii="仿宋_GB2312" w:hAnsi="仿宋_GB2312" w:eastAsia="仿宋_GB2312" w:cs="仿宋_GB2312"/>
          <w:color w:val="000000"/>
          <w:sz w:val="32"/>
          <w:szCs w:val="32"/>
          <w:lang w:val="en-US" w:eastAsia="zh-CN"/>
        </w:rPr>
        <w:t>财政资金困难扣减了单位预算，包括</w:t>
      </w:r>
      <w:r>
        <w:rPr>
          <w:rFonts w:hint="eastAsia" w:ascii="仿宋_GB2312" w:hAnsi="仿宋_GB2312" w:eastAsia="仿宋_GB2312" w:cs="仿宋_GB2312"/>
          <w:sz w:val="32"/>
          <w:szCs w:val="32"/>
          <w:lang w:val="en-US" w:eastAsia="zh-CN"/>
        </w:rPr>
        <w:t>财政将公务接待费由基本支出中调出单列入项目支出，经费由2020年的300万元降低为100万元，但年末只到位了17万元；</w:t>
      </w:r>
      <w:r>
        <w:rPr>
          <w:rFonts w:hint="eastAsia" w:ascii="仿宋_GB2312" w:hAnsi="仿宋_GB2312" w:eastAsia="仿宋_GB2312" w:cs="仿宋_GB2312"/>
          <w:sz w:val="32"/>
          <w:szCs w:val="32"/>
          <w:lang w:eastAsia="zh-CN"/>
        </w:rPr>
        <w:t>项目支出中的业务运行费</w:t>
      </w:r>
      <w:r>
        <w:rPr>
          <w:rFonts w:hint="eastAsia" w:ascii="仿宋_GB2312" w:hAnsi="仿宋_GB2312" w:eastAsia="仿宋_GB2312" w:cs="仿宋_GB2312"/>
          <w:sz w:val="32"/>
          <w:szCs w:val="32"/>
          <w:lang w:val="en-US" w:eastAsia="zh-CN"/>
        </w:rPr>
        <w:t>40万元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w:t>
      </w:r>
      <w:r>
        <w:rPr>
          <w:rFonts w:hint="eastAsia" w:ascii="仿宋_GB2312" w:hAnsi="仿宋_GB2312" w:eastAsia="仿宋_GB2312" w:cs="仿宋_GB2312"/>
          <w:sz w:val="32"/>
          <w:szCs w:val="32"/>
          <w:lang w:eastAsia="zh-CN"/>
        </w:rPr>
        <w:t>网络舆情与新闻信息费</w:t>
      </w:r>
      <w:r>
        <w:rPr>
          <w:rFonts w:hint="eastAsia" w:ascii="仿宋_GB2312" w:hAnsi="仿宋_GB2312" w:eastAsia="仿宋_GB2312" w:cs="仿宋_GB2312"/>
          <w:sz w:val="32"/>
          <w:szCs w:val="32"/>
          <w:lang w:val="en-US" w:eastAsia="zh-CN"/>
        </w:rPr>
        <w:t>8万元、工作经费支出及信访经费2万元、车站攀枝花厅服务费30万元）均未拨付；</w:t>
      </w:r>
      <w:r>
        <w:rPr>
          <w:rFonts w:hint="eastAsia" w:ascii="仿宋_GB2312" w:hAnsi="仿宋_GB2312" w:eastAsia="仿宋_GB2312" w:cs="仿宋_GB2312"/>
          <w:sz w:val="32"/>
          <w:szCs w:val="32"/>
          <w:lang w:eastAsia="zh-CN"/>
        </w:rPr>
        <w:t>招商引资活动经费</w:t>
      </w:r>
      <w:r>
        <w:rPr>
          <w:rFonts w:hint="eastAsia" w:ascii="仿宋_GB2312" w:hAnsi="仿宋_GB2312" w:eastAsia="仿宋_GB2312" w:cs="仿宋_GB2312"/>
          <w:sz w:val="32"/>
          <w:szCs w:val="32"/>
          <w:lang w:val="en-US" w:eastAsia="zh-CN"/>
        </w:rPr>
        <w:t>25万元也只拨付8万元；根据攀财行政【2020】17号文要求，将攀枝花大厦租金收支纳入财政“收支两条线”管理，2021年攀枝花大厦客房租赁收入70万元上缴了财政，而财政应返还的攀枝花大厦运转经费50万元（年初预算在项目支出中核定）却只拨付了17万元。</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jc w:val="center"/>
        <w:textAlignment w:val="auto"/>
        <w:rPr>
          <w:rFonts w:hint="eastAsia" w:ascii="仿宋_GB2312" w:hAnsi="仿宋_GB2312" w:eastAsia="仿宋_GB2312" w:cs="仿宋_GB2312"/>
          <w:b w:val="0"/>
          <w:bCs w:val="0"/>
          <w:color w:val="000000" w:themeColor="text1"/>
          <w:sz w:val="32"/>
          <w:szCs w:val="32"/>
        </w:rPr>
      </w:pPr>
      <w:r>
        <w:rPr>
          <w:rFonts w:hint="eastAsia" w:ascii="仿宋_GB2312" w:hAnsi="仿宋_GB2312" w:eastAsia="仿宋_GB2312" w:cs="仿宋_GB2312"/>
          <w:b w:val="0"/>
          <w:bCs w:val="0"/>
          <w:color w:val="000000" w:themeColor="text1"/>
          <w:sz w:val="32"/>
          <w:szCs w:val="32"/>
        </w:rPr>
        <w:t>（图1：收、支决算总计变动情况图）</w:t>
      </w:r>
    </w:p>
    <w:p>
      <w:bookmarkStart w:id="22" w:name="_Toc15377206"/>
      <w:bookmarkStart w:id="23" w:name="_Toc15396604"/>
      <w:r>
        <w:drawing>
          <wp:inline distT="0" distB="0" distL="114300" distR="114300">
            <wp:extent cx="5757545" cy="2519680"/>
            <wp:effectExtent l="0" t="0" r="14605" b="139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
                    <a:stretch>
                      <a:fillRect/>
                    </a:stretch>
                  </pic:blipFill>
                  <pic:spPr>
                    <a:xfrm>
                      <a:off x="0" y="0"/>
                      <a:ext cx="5757545" cy="25196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Style w:val="28"/>
          <w:rFonts w:ascii="黑体" w:hAnsi="黑体" w:eastAsia="黑体"/>
          <w:b w:val="0"/>
        </w:rPr>
      </w:pPr>
      <w:r>
        <w:rPr>
          <w:rFonts w:hint="eastAsia"/>
        </w:rPr>
        <w:t xml:space="preserve">  </w:t>
      </w:r>
      <w:r>
        <w:rPr>
          <w:rFonts w:hint="eastAsia" w:ascii="黑体" w:hAnsi="黑体" w:eastAsia="黑体"/>
          <w:b/>
          <w:color w:val="000000"/>
          <w:sz w:val="32"/>
          <w:szCs w:val="32"/>
        </w:rPr>
        <w:t>二、收</w:t>
      </w:r>
      <w:r>
        <w:rPr>
          <w:rStyle w:val="28"/>
          <w:rFonts w:hint="eastAsia" w:ascii="黑体" w:hAnsi="黑体" w:eastAsia="黑体"/>
          <w:b w:val="0"/>
        </w:rPr>
        <w:t>入决算情况说明</w:t>
      </w:r>
      <w:bookmarkEnd w:id="22"/>
      <w:bookmarkEnd w:id="23"/>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outlineLvl w:val="1"/>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年本年收入合计</w:t>
      </w:r>
      <w:r>
        <w:rPr>
          <w:rFonts w:hint="eastAsia" w:ascii="仿宋_GB2312" w:hAnsi="仿宋_GB2312" w:eastAsia="仿宋_GB2312" w:cs="仿宋_GB2312"/>
          <w:color w:val="000000"/>
          <w:sz w:val="32"/>
          <w:szCs w:val="32"/>
          <w:lang w:val="en-US" w:eastAsia="zh-CN"/>
        </w:rPr>
        <w:t>522.19</w:t>
      </w:r>
      <w:r>
        <w:rPr>
          <w:rFonts w:hint="eastAsia" w:ascii="仿宋_GB2312" w:hAnsi="仿宋_GB2312" w:eastAsia="仿宋_GB2312" w:cs="仿宋_GB2312"/>
          <w:color w:val="000000"/>
          <w:sz w:val="32"/>
          <w:szCs w:val="32"/>
        </w:rPr>
        <w:t>万元，其中：一般公共预算财政拨款收入</w:t>
      </w:r>
      <w:r>
        <w:rPr>
          <w:rFonts w:hint="eastAsia" w:ascii="仿宋_GB2312" w:hAnsi="仿宋_GB2312" w:eastAsia="仿宋_GB2312" w:cs="仿宋_GB2312"/>
          <w:sz w:val="32"/>
          <w:szCs w:val="32"/>
          <w:lang w:val="en-US" w:eastAsia="zh-CN"/>
        </w:rPr>
        <w:t>522.19</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%；政府性基金预算财政拨款收入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国有资本经营预算财政拨款收入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w:t>
      </w:r>
      <w:r>
        <w:rPr>
          <w:rFonts w:hint="eastAsia" w:ascii="仿宋_GB2312" w:hAnsi="仿宋" w:eastAsia="仿宋_GB2312"/>
          <w:color w:val="000000"/>
          <w:sz w:val="32"/>
          <w:szCs w:val="32"/>
        </w:rPr>
        <w:t>上级补助收入</w:t>
      </w:r>
      <w:r>
        <w:rPr>
          <w:rFonts w:hint="eastAsia" w:ascii="仿宋_GB2312" w:hAnsi="仿宋_GB2312" w:eastAsia="仿宋_GB2312" w:cs="仿宋_GB2312"/>
          <w:color w:val="000000"/>
          <w:sz w:val="32"/>
          <w:szCs w:val="32"/>
        </w:rPr>
        <w:t>0万元，占0%；事业收入0万元，占0%；经营收入0万元，占0%；附属单位上缴收入0万元，占0%；其他收入</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万元，占0%。</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 w:val="0"/>
          <w:bCs w:val="0"/>
          <w:color w:val="000000" w:themeColor="text1"/>
          <w:sz w:val="32"/>
          <w:szCs w:val="32"/>
        </w:rPr>
        <w:t>（图2：收入决算结构图）</w:t>
      </w:r>
    </w:p>
    <w:p>
      <w:pPr>
        <w:rPr>
          <w:rFonts w:ascii="仿宋_GB2312" w:hAnsi="仿宋_GB2312" w:eastAsia="仿宋_GB2312" w:cs="仿宋_GB2312"/>
          <w:b/>
          <w:bCs/>
          <w:color w:val="000000" w:themeColor="text1"/>
          <w:sz w:val="32"/>
          <w:szCs w:val="32"/>
        </w:rPr>
      </w:pPr>
      <w:r>
        <w:drawing>
          <wp:inline distT="0" distB="0" distL="114300" distR="114300">
            <wp:extent cx="5841365" cy="2235835"/>
            <wp:effectExtent l="0" t="0" r="6985" b="1206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9"/>
                    <a:stretch>
                      <a:fillRect/>
                    </a:stretch>
                  </pic:blipFill>
                  <pic:spPr>
                    <a:xfrm>
                      <a:off x="0" y="0"/>
                      <a:ext cx="5841365" cy="2235835"/>
                    </a:xfrm>
                    <a:prstGeom prst="rect">
                      <a:avLst/>
                    </a:prstGeom>
                    <a:noFill/>
                    <a:ln>
                      <a:noFill/>
                    </a:ln>
                  </pic:spPr>
                </pic:pic>
              </a:graphicData>
            </a:graphic>
          </wp:inline>
        </w:drawing>
      </w:r>
    </w:p>
    <w:p>
      <w:pPr>
        <w:pStyle w:val="26"/>
        <w:keepNext w:val="0"/>
        <w:keepLines w:val="0"/>
        <w:pageBreakBefore w:val="0"/>
        <w:widowControl w:val="0"/>
        <w:kinsoku/>
        <w:wordWrap/>
        <w:overflowPunct/>
        <w:topLinePunct w:val="0"/>
        <w:autoSpaceDE/>
        <w:autoSpaceDN/>
        <w:bidi w:val="0"/>
        <w:adjustRightInd/>
        <w:snapToGrid w:val="0"/>
        <w:spacing w:line="560" w:lineRule="atLeast"/>
        <w:ind w:left="0" w:firstLine="643" w:firstLineChars="200"/>
        <w:textAlignment w:val="auto"/>
        <w:outlineLvl w:val="1"/>
        <w:rPr>
          <w:rStyle w:val="28"/>
          <w:rFonts w:ascii="黑体" w:hAnsi="黑体" w:eastAsia="黑体"/>
          <w:b w:val="0"/>
        </w:rPr>
      </w:pPr>
      <w:bookmarkStart w:id="24" w:name="_Toc15377207"/>
      <w:bookmarkStart w:id="25" w:name="_Toc15396605"/>
      <w:r>
        <w:rPr>
          <w:rFonts w:hint="eastAsia" w:ascii="黑体" w:hAnsi="黑体" w:eastAsia="黑体"/>
          <w:b/>
          <w:color w:val="000000"/>
          <w:sz w:val="32"/>
          <w:szCs w:val="32"/>
        </w:rPr>
        <w:t>三、支</w:t>
      </w:r>
      <w:r>
        <w:rPr>
          <w:rStyle w:val="28"/>
          <w:rFonts w:hint="eastAsia" w:ascii="黑体" w:hAnsi="黑体" w:eastAsia="黑体"/>
          <w:b w:val="0"/>
        </w:rPr>
        <w:t>出决算情况说明</w:t>
      </w:r>
      <w:bookmarkEnd w:id="24"/>
      <w:bookmarkEnd w:id="25"/>
    </w:p>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仿宋_GB2312" w:hAnsi="仿宋_GB2312" w:eastAsia="仿宋_GB2312" w:cs="仿宋_GB2312"/>
          <w:color w:val="000000"/>
          <w:sz w:val="32"/>
          <w:szCs w:val="32"/>
          <w:shd w:val="pct10" w:color="auto" w:fill="FFFFFF"/>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年本年支出合计</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color w:val="000000"/>
          <w:sz w:val="32"/>
          <w:szCs w:val="32"/>
        </w:rPr>
        <w:t>万元，其中：基本支出</w:t>
      </w:r>
      <w:r>
        <w:rPr>
          <w:rFonts w:hint="eastAsia" w:ascii="仿宋_GB2312" w:hAnsi="仿宋_GB2312" w:eastAsia="仿宋_GB2312" w:cs="仿宋_GB2312"/>
          <w:color w:val="000000"/>
          <w:sz w:val="32"/>
          <w:szCs w:val="32"/>
          <w:lang w:val="en-US" w:eastAsia="zh-CN"/>
        </w:rPr>
        <w:t>564.54</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98.26</w:t>
      </w:r>
      <w:r>
        <w:rPr>
          <w:rFonts w:hint="eastAsia" w:ascii="仿宋_GB2312" w:hAnsi="仿宋_GB2312" w:eastAsia="仿宋_GB2312" w:cs="仿宋_GB2312"/>
          <w:color w:val="000000"/>
          <w:sz w:val="32"/>
          <w:szCs w:val="32"/>
        </w:rPr>
        <w:t>%；项目支出</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1.74</w:t>
      </w:r>
      <w:r>
        <w:rPr>
          <w:rFonts w:hint="eastAsia" w:ascii="仿宋_GB2312" w:hAnsi="仿宋_GB2312" w:eastAsia="仿宋_GB2312" w:cs="仿宋_GB2312"/>
          <w:color w:val="000000"/>
          <w:sz w:val="32"/>
          <w:szCs w:val="32"/>
        </w:rPr>
        <w:t>%；上缴上级支出0万元，占0%；经营支出0万元，占0%；对附属单位补助支出0万元，占0%。</w:t>
      </w:r>
    </w:p>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jc w:val="center"/>
        <w:textAlignment w:val="auto"/>
        <w:rPr>
          <w:rFonts w:ascii="仿宋_GB2312" w:hAnsi="仿宋_GB2312" w:eastAsia="仿宋_GB2312" w:cs="仿宋_GB2312"/>
          <w:b w:val="0"/>
          <w:bCs w:val="0"/>
          <w:color w:val="000000" w:themeColor="text1"/>
          <w:sz w:val="32"/>
          <w:szCs w:val="32"/>
        </w:rPr>
      </w:pPr>
      <w:r>
        <w:rPr>
          <w:rFonts w:hint="eastAsia" w:ascii="仿宋_GB2312" w:hAnsi="仿宋_GB2312" w:eastAsia="仿宋_GB2312" w:cs="仿宋_GB2312"/>
          <w:b w:val="0"/>
          <w:bCs w:val="0"/>
          <w:color w:val="000000" w:themeColor="text1"/>
          <w:sz w:val="32"/>
          <w:szCs w:val="32"/>
        </w:rPr>
        <w:t>（图3：支出决算结构图）</w:t>
      </w:r>
    </w:p>
    <w:p>
      <w:pPr>
        <w:rPr>
          <w:rFonts w:ascii="仿宋_GB2312" w:hAnsi="仿宋_GB2312" w:eastAsia="仿宋_GB2312" w:cs="仿宋_GB2312"/>
          <w:b/>
          <w:bCs/>
          <w:color w:val="000000" w:themeColor="text1"/>
          <w:sz w:val="32"/>
          <w:szCs w:val="32"/>
        </w:rPr>
      </w:pPr>
      <w:r>
        <w:drawing>
          <wp:inline distT="0" distB="0" distL="114300" distR="114300">
            <wp:extent cx="5624195" cy="2969895"/>
            <wp:effectExtent l="0" t="0" r="14605" b="190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0"/>
                    <a:stretch>
                      <a:fillRect/>
                    </a:stretch>
                  </pic:blipFill>
                  <pic:spPr>
                    <a:xfrm>
                      <a:off x="0" y="0"/>
                      <a:ext cx="5624195" cy="29698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Style w:val="28"/>
          <w:rFonts w:ascii="黑体" w:hAnsi="黑体" w:eastAsia="黑体"/>
          <w:b w:val="0"/>
        </w:rPr>
      </w:pPr>
      <w:bookmarkStart w:id="26" w:name="_Toc15377208"/>
      <w:bookmarkStart w:id="27" w:name="_Toc15396606"/>
      <w:r>
        <w:rPr>
          <w:rFonts w:hint="eastAsia" w:ascii="黑体" w:hAnsi="黑体" w:eastAsia="黑体"/>
          <w:b w:val="0"/>
          <w:bCs/>
          <w:color w:val="000000"/>
          <w:sz w:val="32"/>
          <w:szCs w:val="32"/>
        </w:rPr>
        <w:t>四、财</w:t>
      </w:r>
      <w:r>
        <w:rPr>
          <w:rStyle w:val="28"/>
          <w:rFonts w:hint="eastAsia" w:ascii="黑体" w:hAnsi="黑体" w:eastAsia="黑体"/>
          <w:b w:val="0"/>
          <w:bCs/>
        </w:rPr>
        <w:t>政拨款收入支出决算总体情况说明</w:t>
      </w:r>
      <w:bookmarkEnd w:id="26"/>
      <w:bookmarkEnd w:id="27"/>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财政拨款</w:t>
      </w:r>
      <w:r>
        <w:rPr>
          <w:rFonts w:hint="eastAsia" w:ascii="仿宋_GB2312" w:hAnsi="仿宋_GB2312" w:eastAsia="仿宋_GB2312" w:cs="仿宋_GB2312"/>
          <w:color w:val="000000"/>
          <w:sz w:val="32"/>
          <w:szCs w:val="32"/>
        </w:rPr>
        <w:t>收、支总计为</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color w:val="000000"/>
          <w:sz w:val="32"/>
          <w:szCs w:val="32"/>
        </w:rPr>
        <w:t>万元。与20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年相比，收、支总计</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rPr>
        <w:t>了</w:t>
      </w:r>
      <w:r>
        <w:rPr>
          <w:rFonts w:hint="eastAsia" w:ascii="仿宋_GB2312" w:hAnsi="仿宋_GB2312" w:eastAsia="仿宋_GB2312" w:cs="仿宋_GB2312"/>
          <w:color w:val="000000"/>
          <w:sz w:val="32"/>
          <w:szCs w:val="32"/>
          <w:lang w:val="en-US" w:eastAsia="zh-CN"/>
        </w:rPr>
        <w:t>6.03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增长</w:t>
      </w:r>
      <w:r>
        <w:rPr>
          <w:rFonts w:hint="eastAsia" w:ascii="仿宋_GB2312" w:hAnsi="仿宋_GB2312" w:eastAsia="仿宋_GB2312" w:cs="仿宋_GB2312"/>
          <w:color w:val="000000"/>
          <w:sz w:val="32"/>
          <w:szCs w:val="32"/>
          <w:lang w:val="en-US" w:eastAsia="zh-CN"/>
        </w:rPr>
        <w:t>1.06</w:t>
      </w:r>
      <w:r>
        <w:rPr>
          <w:rFonts w:hint="eastAsia" w:ascii="仿宋_GB2312" w:hAnsi="仿宋_GB2312" w:eastAsia="仿宋_GB2312" w:cs="仿宋_GB2312"/>
          <w:color w:val="000000"/>
          <w:sz w:val="32"/>
          <w:szCs w:val="32"/>
        </w:rPr>
        <w:t>%。主要变动原因是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val="en-US" w:eastAsia="zh-CN"/>
        </w:rPr>
        <w:t>2022年1月份职工工资调标并补发了2021年10-12月份工资，新增了干部异地体检费，使得人员经费增加。</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年财政预算拨款</w:t>
      </w:r>
      <w:r>
        <w:rPr>
          <w:rFonts w:hint="eastAsia" w:ascii="仿宋_GB2312" w:hAnsi="仿宋_GB2312" w:eastAsia="仿宋_GB2312" w:cs="仿宋_GB2312"/>
          <w:sz w:val="32"/>
          <w:szCs w:val="32"/>
          <w:lang w:eastAsia="zh-CN"/>
        </w:rPr>
        <w:t>收入为</w:t>
      </w:r>
      <w:r>
        <w:rPr>
          <w:rFonts w:hint="eastAsia" w:ascii="仿宋_GB2312" w:hAnsi="仿宋_GB2312" w:eastAsia="仿宋_GB2312" w:cs="仿宋_GB2312"/>
          <w:i w:val="0"/>
          <w:color w:val="000000"/>
          <w:kern w:val="0"/>
          <w:sz w:val="32"/>
          <w:szCs w:val="32"/>
          <w:u w:val="none"/>
          <w:lang w:val="en-US" w:eastAsia="zh-CN" w:bidi="ar"/>
        </w:rPr>
        <w:t>522.19万元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实际收到的财政预算拨款</w:t>
      </w:r>
      <w:r>
        <w:rPr>
          <w:rFonts w:hint="eastAsia" w:ascii="仿宋_GB2312" w:hAnsi="仿宋_GB2312" w:eastAsia="仿宋_GB2312" w:cs="仿宋_GB2312"/>
          <w:sz w:val="32"/>
          <w:szCs w:val="32"/>
          <w:lang w:val="en-US" w:eastAsia="zh-CN"/>
        </w:rPr>
        <w:t>574.54万元，是</w:t>
      </w:r>
      <w:r>
        <w:rPr>
          <w:rFonts w:hint="eastAsia" w:ascii="仿宋_GB2312" w:hAnsi="仿宋" w:eastAsia="仿宋_GB2312" w:cs="仿宋"/>
          <w:b w:val="0"/>
          <w:bCs w:val="0"/>
          <w:color w:val="000000"/>
          <w:sz w:val="32"/>
          <w:szCs w:val="32"/>
          <w:lang w:val="en-US" w:eastAsia="zh-CN"/>
        </w:rPr>
        <w:t>根据攀财资行【2022】109号文件减少基本支出，调整至年初结转结余52.35万元，包括一般公共服务支出-政府办公厅（室）及相关机构事务-行政运行21.85万元、社会保障和就业支出-抚恤-死亡抚恤29.21万元、住房保障支出-住房改革支出-住房公积金1.29万元。</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 w:val="0"/>
          <w:bCs w:val="0"/>
          <w:color w:val="000000" w:themeColor="text1"/>
          <w:sz w:val="32"/>
          <w:szCs w:val="32"/>
        </w:rPr>
        <w:t>（图4：财政拨款收、支决算总计变动情况</w:t>
      </w:r>
      <w:r>
        <w:rPr>
          <w:rFonts w:hint="eastAsia" w:ascii="仿宋_GB2312" w:hAnsi="仿宋_GB2312" w:eastAsia="仿宋_GB2312" w:cs="仿宋_GB2312"/>
          <w:b w:val="0"/>
          <w:bCs w:val="0"/>
          <w:color w:val="000000" w:themeColor="text1"/>
          <w:sz w:val="32"/>
          <w:szCs w:val="32"/>
          <w:lang w:eastAsia="zh-CN"/>
        </w:rPr>
        <w:t>图</w:t>
      </w:r>
      <w:r>
        <w:rPr>
          <w:rFonts w:hint="eastAsia" w:ascii="仿宋_GB2312" w:hAnsi="仿宋_GB2312" w:eastAsia="仿宋_GB2312" w:cs="仿宋_GB2312"/>
          <w:b w:val="0"/>
          <w:bCs w:val="0"/>
          <w:color w:val="000000" w:themeColor="text1"/>
          <w:sz w:val="32"/>
          <w:szCs w:val="32"/>
        </w:rPr>
        <w:t>）</w:t>
      </w:r>
    </w:p>
    <w:p>
      <w:pPr>
        <w:rPr>
          <w:rFonts w:ascii="仿宋_GB2312" w:hAnsi="仿宋_GB2312" w:eastAsia="仿宋_GB2312" w:cs="仿宋_GB2312"/>
          <w:b/>
          <w:bCs/>
          <w:color w:val="000000" w:themeColor="text1"/>
          <w:sz w:val="32"/>
          <w:szCs w:val="32"/>
        </w:rPr>
      </w:pPr>
      <w:r>
        <w:drawing>
          <wp:inline distT="0" distB="0" distL="114300" distR="114300">
            <wp:extent cx="5737860" cy="3613785"/>
            <wp:effectExtent l="0" t="0" r="15240" b="571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1"/>
                    <a:stretch>
                      <a:fillRect/>
                    </a:stretch>
                  </pic:blipFill>
                  <pic:spPr>
                    <a:xfrm>
                      <a:off x="0" y="0"/>
                      <a:ext cx="5737860" cy="36137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Style w:val="28"/>
          <w:rFonts w:ascii="黑体" w:hAnsi="黑体" w:eastAsia="黑体"/>
          <w:b w:val="0"/>
          <w:bCs/>
        </w:rPr>
      </w:pPr>
      <w:bookmarkStart w:id="28" w:name="_Toc15377209"/>
      <w:bookmarkStart w:id="29" w:name="_Toc15396607"/>
      <w:r>
        <w:rPr>
          <w:rFonts w:hint="eastAsia" w:ascii="黑体" w:hAnsi="黑体" w:eastAsia="黑体"/>
          <w:b w:val="0"/>
          <w:bCs/>
          <w:color w:val="000000"/>
          <w:sz w:val="32"/>
          <w:szCs w:val="32"/>
        </w:rPr>
        <w:t>五、一</w:t>
      </w:r>
      <w:r>
        <w:rPr>
          <w:rStyle w:val="28"/>
          <w:rFonts w:hint="eastAsia" w:ascii="黑体" w:hAnsi="黑体" w:eastAsia="黑体"/>
          <w:b w:val="0"/>
          <w:bCs/>
        </w:rPr>
        <w:t>般公共预算财政拨款支出决算情况说明</w:t>
      </w:r>
      <w:bookmarkEnd w:id="28"/>
      <w:bookmarkEnd w:id="29"/>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仿宋_GB2312" w:hAnsi="仿宋_GB2312" w:eastAsia="仿宋_GB2312" w:cs="仿宋_GB2312"/>
          <w:b/>
          <w:color w:val="000000"/>
          <w:sz w:val="32"/>
          <w:szCs w:val="32"/>
        </w:rPr>
      </w:pPr>
      <w:bookmarkStart w:id="30" w:name="_Toc15377210"/>
      <w:r>
        <w:rPr>
          <w:rFonts w:hint="eastAsia" w:ascii="楷体_GB2312" w:hAnsi="楷体_GB2312" w:eastAsia="楷体_GB2312" w:cs="楷体_GB2312"/>
          <w:b w:val="0"/>
          <w:bCs/>
          <w:color w:val="000000"/>
          <w:sz w:val="32"/>
          <w:szCs w:val="32"/>
        </w:rPr>
        <w:t>（一）一般公共预算财政拨款支出决算总体情况</w:t>
      </w:r>
      <w:bookmarkEnd w:id="30"/>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年一般公共预算财政拨款支出</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color w:val="000000"/>
          <w:sz w:val="32"/>
          <w:szCs w:val="32"/>
        </w:rPr>
        <w:t>万元，占本年支出合计的</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%。与20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年相比，一般公共预算财政拨款</w:t>
      </w:r>
      <w:r>
        <w:rPr>
          <w:rFonts w:hint="eastAsia" w:ascii="仿宋_GB2312" w:hAnsi="仿宋_GB2312" w:eastAsia="仿宋_GB2312" w:cs="仿宋_GB2312"/>
          <w:color w:val="000000"/>
          <w:sz w:val="32"/>
          <w:szCs w:val="32"/>
          <w:lang w:eastAsia="zh-CN"/>
        </w:rPr>
        <w:t>增加</w:t>
      </w:r>
      <w:r>
        <w:rPr>
          <w:rFonts w:hint="eastAsia" w:ascii="仿宋_GB2312" w:hAnsi="仿宋_GB2312" w:eastAsia="仿宋_GB2312" w:cs="仿宋_GB2312"/>
          <w:color w:val="000000"/>
          <w:sz w:val="32"/>
          <w:szCs w:val="32"/>
        </w:rPr>
        <w:t>了</w:t>
      </w:r>
      <w:r>
        <w:rPr>
          <w:rFonts w:hint="eastAsia" w:ascii="仿宋_GB2312" w:hAnsi="仿宋_GB2312" w:eastAsia="仿宋_GB2312" w:cs="仿宋_GB2312"/>
          <w:color w:val="000000"/>
          <w:sz w:val="32"/>
          <w:szCs w:val="32"/>
          <w:lang w:val="en-US" w:eastAsia="zh-CN"/>
        </w:rPr>
        <w:t>6.03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增长</w:t>
      </w:r>
      <w:r>
        <w:rPr>
          <w:rFonts w:hint="eastAsia" w:ascii="仿宋_GB2312" w:hAnsi="仿宋_GB2312" w:eastAsia="仿宋_GB2312" w:cs="仿宋_GB2312"/>
          <w:color w:val="000000"/>
          <w:sz w:val="32"/>
          <w:szCs w:val="32"/>
          <w:lang w:val="en-US" w:eastAsia="zh-CN"/>
        </w:rPr>
        <w:t>1.06</w:t>
      </w:r>
      <w:r>
        <w:rPr>
          <w:rFonts w:hint="eastAsia" w:ascii="仿宋_GB2312" w:hAnsi="仿宋_GB2312" w:eastAsia="仿宋_GB2312" w:cs="仿宋_GB2312"/>
          <w:color w:val="000000"/>
          <w:sz w:val="32"/>
          <w:szCs w:val="32"/>
        </w:rPr>
        <w:t>%。主要变动原因是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lang w:val="en-US" w:eastAsia="zh-CN"/>
        </w:rPr>
        <w:t>2022年1月份职工工资调标并补发了2021年10-12月份工资，新增了干部异地体检费，使得人员经费增加。</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val="0"/>
          <w:bCs w:val="0"/>
          <w:color w:val="000000" w:themeColor="text1"/>
          <w:sz w:val="32"/>
          <w:szCs w:val="32"/>
        </w:rPr>
        <w:t>（图5：一般公共预算财政拨款支出决算变动情况</w:t>
      </w:r>
      <w:r>
        <w:rPr>
          <w:rFonts w:hint="eastAsia" w:ascii="仿宋_GB2312" w:hAnsi="仿宋_GB2312" w:eastAsia="仿宋_GB2312" w:cs="仿宋_GB2312"/>
          <w:b w:val="0"/>
          <w:bCs w:val="0"/>
          <w:color w:val="000000" w:themeColor="text1"/>
          <w:sz w:val="32"/>
          <w:szCs w:val="32"/>
          <w:lang w:eastAsia="zh-CN"/>
        </w:rPr>
        <w:t>图</w:t>
      </w:r>
      <w:r>
        <w:rPr>
          <w:rFonts w:hint="eastAsia" w:ascii="仿宋_GB2312" w:hAnsi="仿宋_GB2312" w:eastAsia="仿宋_GB2312" w:cs="仿宋_GB2312"/>
          <w:b w:val="0"/>
          <w:bCs w:val="0"/>
          <w:color w:val="000000" w:themeColor="text1"/>
          <w:sz w:val="32"/>
          <w:szCs w:val="32"/>
        </w:rPr>
        <w:t>）</w:t>
      </w:r>
    </w:p>
    <w:p>
      <w:pPr>
        <w:rPr>
          <w:rFonts w:ascii="仿宋_GB2312" w:hAnsi="仿宋_GB2312" w:eastAsia="仿宋_GB2312" w:cs="仿宋_GB2312"/>
          <w:b/>
          <w:color w:val="000000"/>
          <w:sz w:val="32"/>
          <w:szCs w:val="32"/>
        </w:rPr>
      </w:pPr>
      <w:bookmarkStart w:id="31" w:name="_Toc15377211"/>
      <w:r>
        <w:drawing>
          <wp:inline distT="0" distB="0" distL="114300" distR="114300">
            <wp:extent cx="5728970" cy="2663825"/>
            <wp:effectExtent l="0" t="0" r="5080" b="317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2"/>
                    <a:stretch>
                      <a:fillRect/>
                    </a:stretch>
                  </pic:blipFill>
                  <pic:spPr>
                    <a:xfrm>
                      <a:off x="0" y="0"/>
                      <a:ext cx="5728970" cy="26638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color w:val="000000"/>
          <w:sz w:val="32"/>
          <w:szCs w:val="32"/>
        </w:rPr>
      </w:pPr>
      <w:r>
        <w:rPr>
          <w:rFonts w:hint="eastAsia" w:ascii="楷体_GB2312" w:hAnsi="楷体_GB2312" w:eastAsia="楷体_GB2312" w:cs="楷体_GB2312"/>
          <w:b w:val="0"/>
          <w:bCs/>
          <w:color w:val="000000"/>
          <w:sz w:val="32"/>
          <w:szCs w:val="32"/>
        </w:rPr>
        <w:t>（二）一般公共预算财政拨款支出决算结构情况</w:t>
      </w:r>
      <w:bookmarkEnd w:id="31"/>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年一般公共预算财</w:t>
      </w:r>
      <w:r>
        <w:rPr>
          <w:rFonts w:hint="eastAsia" w:ascii="仿宋_GB2312" w:hAnsi="仿宋_GB2312" w:eastAsia="仿宋_GB2312" w:cs="仿宋_GB2312"/>
          <w:color w:val="000000" w:themeColor="text1"/>
          <w:sz w:val="32"/>
          <w:szCs w:val="32"/>
        </w:rPr>
        <w:t>政拨款支出</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color w:val="000000" w:themeColor="text1"/>
          <w:sz w:val="32"/>
          <w:szCs w:val="32"/>
        </w:rPr>
        <w:t>万元，主要用于以下方面:一般公共服务支出</w:t>
      </w:r>
      <w:r>
        <w:rPr>
          <w:rFonts w:hint="eastAsia" w:ascii="仿宋_GB2312" w:hAnsi="仿宋_GB2312" w:eastAsia="仿宋_GB2312" w:cs="仿宋_GB2312"/>
          <w:color w:val="000000" w:themeColor="text1"/>
          <w:sz w:val="32"/>
          <w:szCs w:val="32"/>
          <w:lang w:val="en-US" w:eastAsia="zh-CN"/>
        </w:rPr>
        <w:t>357.78</w:t>
      </w:r>
      <w:r>
        <w:rPr>
          <w:rFonts w:hint="eastAsia" w:ascii="仿宋_GB2312" w:hAnsi="仿宋_GB2312" w:eastAsia="仿宋_GB2312" w:cs="仿宋_GB2312"/>
          <w:color w:val="000000" w:themeColor="text1"/>
          <w:sz w:val="32"/>
          <w:szCs w:val="32"/>
        </w:rPr>
        <w:t>万元，占</w:t>
      </w:r>
      <w:r>
        <w:rPr>
          <w:rFonts w:hint="eastAsia" w:ascii="仿宋_GB2312" w:hAnsi="仿宋_GB2312" w:eastAsia="仿宋_GB2312" w:cs="仿宋_GB2312"/>
          <w:color w:val="000000" w:themeColor="text1"/>
          <w:sz w:val="32"/>
          <w:szCs w:val="32"/>
          <w:lang w:val="en-US" w:eastAsia="zh-CN"/>
        </w:rPr>
        <w:t>62.27</w:t>
      </w:r>
      <w:r>
        <w:rPr>
          <w:rFonts w:hint="eastAsia" w:ascii="仿宋_GB2312" w:hAnsi="仿宋_GB2312" w:eastAsia="仿宋_GB2312" w:cs="仿宋_GB2312"/>
          <w:color w:val="000000" w:themeColor="text1"/>
          <w:sz w:val="32"/>
          <w:szCs w:val="32"/>
        </w:rPr>
        <w:t>%；教育支出0万元，占0%；科学技术支出0万元，占0%；社会保障和就业支出</w:t>
      </w:r>
      <w:r>
        <w:rPr>
          <w:rFonts w:hint="eastAsia" w:ascii="仿宋_GB2312" w:hAnsi="仿宋_GB2312" w:eastAsia="仿宋_GB2312" w:cs="仿宋_GB2312"/>
          <w:color w:val="000000" w:themeColor="text1"/>
          <w:sz w:val="32"/>
          <w:szCs w:val="32"/>
          <w:lang w:val="en-US" w:eastAsia="zh-CN"/>
        </w:rPr>
        <w:t>184.13</w:t>
      </w:r>
      <w:r>
        <w:rPr>
          <w:rFonts w:hint="eastAsia" w:ascii="仿宋_GB2312" w:hAnsi="仿宋_GB2312" w:eastAsia="仿宋_GB2312" w:cs="仿宋_GB2312"/>
          <w:color w:val="000000" w:themeColor="text1"/>
          <w:sz w:val="32"/>
          <w:szCs w:val="32"/>
        </w:rPr>
        <w:t>万元，占</w:t>
      </w:r>
      <w:r>
        <w:rPr>
          <w:rFonts w:hint="eastAsia" w:ascii="仿宋_GB2312" w:hAnsi="仿宋_GB2312" w:eastAsia="仿宋_GB2312" w:cs="仿宋_GB2312"/>
          <w:color w:val="000000" w:themeColor="text1"/>
          <w:sz w:val="32"/>
          <w:szCs w:val="32"/>
          <w:lang w:val="en-US" w:eastAsia="zh-CN"/>
        </w:rPr>
        <w:t>32.05</w:t>
      </w:r>
      <w:r>
        <w:rPr>
          <w:rFonts w:hint="eastAsia" w:ascii="仿宋_GB2312" w:hAnsi="仿宋_GB2312" w:eastAsia="仿宋_GB2312" w:cs="仿宋_GB2312"/>
          <w:color w:val="000000" w:themeColor="text1"/>
          <w:sz w:val="32"/>
          <w:szCs w:val="32"/>
        </w:rPr>
        <w:t>%；卫生健康支出</w:t>
      </w:r>
      <w:r>
        <w:rPr>
          <w:rFonts w:hint="eastAsia" w:ascii="仿宋_GB2312" w:hAnsi="仿宋_GB2312" w:eastAsia="仿宋_GB2312" w:cs="仿宋_GB2312"/>
          <w:color w:val="000000" w:themeColor="text1"/>
          <w:sz w:val="32"/>
          <w:szCs w:val="32"/>
          <w:lang w:val="en-US" w:eastAsia="zh-CN"/>
        </w:rPr>
        <w:t>1.09</w:t>
      </w:r>
      <w:r>
        <w:rPr>
          <w:rFonts w:hint="eastAsia" w:ascii="仿宋_GB2312" w:hAnsi="仿宋_GB2312" w:eastAsia="仿宋_GB2312" w:cs="仿宋_GB2312"/>
          <w:color w:val="000000" w:themeColor="text1"/>
          <w:sz w:val="32"/>
          <w:szCs w:val="32"/>
        </w:rPr>
        <w:t>万元，占0</w:t>
      </w:r>
      <w:r>
        <w:rPr>
          <w:rFonts w:hint="eastAsia" w:ascii="仿宋_GB2312" w:hAnsi="仿宋_GB2312" w:eastAsia="仿宋_GB2312" w:cs="仿宋_GB2312"/>
          <w:color w:val="000000" w:themeColor="text1"/>
          <w:sz w:val="32"/>
          <w:szCs w:val="32"/>
          <w:lang w:val="en-US" w:eastAsia="zh-CN"/>
        </w:rPr>
        <w:t>.19</w:t>
      </w:r>
      <w:r>
        <w:rPr>
          <w:rFonts w:hint="eastAsia" w:ascii="仿宋_GB2312" w:hAnsi="仿宋_GB2312" w:eastAsia="仿宋_GB2312" w:cs="仿宋_GB2312"/>
          <w:color w:val="000000" w:themeColor="text1"/>
          <w:sz w:val="32"/>
          <w:szCs w:val="32"/>
        </w:rPr>
        <w:t>%；住房保障支出</w:t>
      </w:r>
      <w:r>
        <w:rPr>
          <w:rFonts w:hint="eastAsia" w:ascii="仿宋_GB2312" w:hAnsi="仿宋_GB2312" w:eastAsia="仿宋_GB2312" w:cs="仿宋_GB2312"/>
          <w:color w:val="000000" w:themeColor="text1"/>
          <w:sz w:val="32"/>
          <w:szCs w:val="32"/>
          <w:lang w:val="en-US" w:eastAsia="zh-CN"/>
        </w:rPr>
        <w:t>31.54</w:t>
      </w:r>
      <w:r>
        <w:rPr>
          <w:rFonts w:hint="eastAsia" w:ascii="仿宋_GB2312" w:hAnsi="仿宋_GB2312" w:eastAsia="仿宋_GB2312" w:cs="仿宋_GB2312"/>
          <w:color w:val="000000" w:themeColor="text1"/>
          <w:sz w:val="32"/>
          <w:szCs w:val="32"/>
        </w:rPr>
        <w:t>万元，占</w:t>
      </w:r>
      <w:r>
        <w:rPr>
          <w:rFonts w:hint="eastAsia" w:ascii="仿宋_GB2312" w:hAnsi="仿宋_GB2312" w:eastAsia="仿宋_GB2312" w:cs="仿宋_GB2312"/>
          <w:color w:val="000000" w:themeColor="text1"/>
          <w:sz w:val="32"/>
          <w:szCs w:val="32"/>
          <w:lang w:val="en-US" w:eastAsia="zh-CN"/>
        </w:rPr>
        <w:t>5.49</w:t>
      </w:r>
      <w:r>
        <w:rPr>
          <w:rFonts w:hint="eastAsia" w:ascii="仿宋_GB2312" w:hAnsi="仿宋_GB2312" w:eastAsia="仿宋_GB2312" w:cs="仿宋_GB2312"/>
          <w:color w:val="000000" w:themeColor="text1"/>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（图6：一般公共预算财政拨款支出决算结构</w:t>
      </w:r>
      <w:r>
        <w:rPr>
          <w:rFonts w:hint="eastAsia" w:ascii="仿宋_GB2312" w:hAnsi="仿宋_GB2312" w:eastAsia="仿宋_GB2312" w:cs="仿宋_GB2312"/>
          <w:b w:val="0"/>
          <w:bCs w:val="0"/>
          <w:color w:val="000000"/>
          <w:sz w:val="32"/>
          <w:szCs w:val="32"/>
          <w:lang w:eastAsia="zh-CN"/>
        </w:rPr>
        <w:t>图</w:t>
      </w:r>
      <w:r>
        <w:rPr>
          <w:rFonts w:hint="eastAsia" w:ascii="仿宋_GB2312" w:hAnsi="仿宋_GB2312" w:eastAsia="仿宋_GB2312" w:cs="仿宋_GB2312"/>
          <w:b w:val="0"/>
          <w:bCs w:val="0"/>
          <w:color w:val="000000"/>
          <w:sz w:val="32"/>
          <w:szCs w:val="32"/>
        </w:rPr>
        <w:t>）</w:t>
      </w:r>
    </w:p>
    <w:p>
      <w:pPr>
        <w:rPr>
          <w:rFonts w:ascii="仿宋_GB2312" w:hAnsi="仿宋_GB2312" w:eastAsia="仿宋_GB2312" w:cs="仿宋_GB2312"/>
          <w:b/>
          <w:color w:val="000000"/>
          <w:sz w:val="32"/>
          <w:szCs w:val="32"/>
        </w:rPr>
      </w:pPr>
      <w:bookmarkStart w:id="32" w:name="_Toc15377212"/>
      <w:r>
        <w:drawing>
          <wp:inline distT="0" distB="0" distL="114300" distR="114300">
            <wp:extent cx="5786755" cy="2710180"/>
            <wp:effectExtent l="0" t="0" r="4445" b="1397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13"/>
                    <a:stretch>
                      <a:fillRect/>
                    </a:stretch>
                  </pic:blipFill>
                  <pic:spPr>
                    <a:xfrm>
                      <a:off x="0" y="0"/>
                      <a:ext cx="5786755" cy="27101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（三）一般公共预算财政拨款支出决算具体情况</w:t>
      </w:r>
      <w:bookmarkEnd w:id="32"/>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outlineLvl w:val="2"/>
        <w:rPr>
          <w:rFonts w:hint="eastAsia" w:ascii="仿宋_GB2312" w:hAnsi="仿宋_GB2312" w:eastAsia="仿宋_GB2312" w:cs="仿宋_GB2312"/>
          <w:bCs/>
          <w:color w:val="FF0000"/>
          <w:sz w:val="32"/>
          <w:szCs w:val="32"/>
        </w:rPr>
      </w:pPr>
      <w:bookmarkStart w:id="33" w:name="_Toc15377444"/>
      <w:bookmarkStart w:id="34" w:name="_Toc15377213"/>
      <w:bookmarkStart w:id="35" w:name="_Toc15378460"/>
      <w:r>
        <w:rPr>
          <w:rFonts w:hint="eastAsia" w:ascii="仿宋_GB2312" w:hAnsi="仿宋_GB2312" w:eastAsia="仿宋_GB2312" w:cs="仿宋_GB2312"/>
          <w:bCs/>
          <w:color w:val="000000" w:themeColor="text1"/>
          <w:sz w:val="32"/>
          <w:szCs w:val="32"/>
        </w:rPr>
        <w:t>202</w:t>
      </w:r>
      <w:r>
        <w:rPr>
          <w:rFonts w:hint="eastAsia" w:ascii="仿宋_GB2312" w:hAnsi="仿宋_GB2312" w:eastAsia="仿宋_GB2312" w:cs="仿宋_GB2312"/>
          <w:bCs/>
          <w:color w:val="000000" w:themeColor="text1"/>
          <w:sz w:val="32"/>
          <w:szCs w:val="32"/>
          <w:lang w:val="en-US" w:eastAsia="zh-CN"/>
        </w:rPr>
        <w:t>2</w:t>
      </w:r>
      <w:r>
        <w:rPr>
          <w:rFonts w:hint="eastAsia" w:ascii="仿宋_GB2312" w:hAnsi="仿宋_GB2312" w:eastAsia="仿宋_GB2312" w:cs="仿宋_GB2312"/>
          <w:bCs/>
          <w:color w:val="000000" w:themeColor="text1"/>
          <w:sz w:val="32"/>
          <w:szCs w:val="32"/>
        </w:rPr>
        <w:t>年一般公共预算支出决算数为</w:t>
      </w:r>
      <w:r>
        <w:rPr>
          <w:rFonts w:hint="eastAsia" w:ascii="仿宋_GB2312" w:hAnsi="仿宋_GB2312" w:eastAsia="仿宋_GB2312" w:cs="仿宋_GB2312"/>
          <w:color w:val="000000"/>
          <w:sz w:val="32"/>
          <w:szCs w:val="32"/>
          <w:lang w:val="en-US" w:eastAsia="zh-CN"/>
        </w:rPr>
        <w:t>574.54</w:t>
      </w:r>
      <w:r>
        <w:rPr>
          <w:rFonts w:hint="eastAsia" w:ascii="仿宋_GB2312" w:hAnsi="仿宋_GB2312" w:eastAsia="仿宋_GB2312" w:cs="仿宋_GB2312"/>
          <w:bCs/>
          <w:color w:val="000000" w:themeColor="text1"/>
          <w:sz w:val="32"/>
          <w:szCs w:val="32"/>
        </w:rPr>
        <w:t>万元，</w:t>
      </w:r>
      <w:r>
        <w:rPr>
          <w:rStyle w:val="16"/>
          <w:rFonts w:hint="eastAsia" w:ascii="仿宋_GB2312" w:hAnsi="仿宋_GB2312" w:eastAsia="仿宋_GB2312" w:cs="仿宋_GB2312"/>
          <w:b w:val="0"/>
          <w:bCs/>
          <w:color w:val="000000" w:themeColor="text1"/>
          <w:sz w:val="32"/>
          <w:szCs w:val="32"/>
        </w:rPr>
        <w:t>完成</w:t>
      </w:r>
      <w:r>
        <w:rPr>
          <w:rStyle w:val="16"/>
          <w:rFonts w:hint="eastAsia" w:ascii="仿宋_GB2312" w:hAnsi="仿宋_GB2312" w:eastAsia="仿宋_GB2312" w:cs="仿宋_GB2312"/>
          <w:b w:val="0"/>
          <w:bCs/>
          <w:color w:val="000000"/>
          <w:sz w:val="32"/>
          <w:szCs w:val="32"/>
        </w:rPr>
        <w:t>预算100%。其中：</w:t>
      </w:r>
      <w:bookmarkEnd w:id="33"/>
      <w:bookmarkEnd w:id="34"/>
      <w:bookmarkEnd w:id="35"/>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rPr>
        <w:t>1</w:t>
      </w:r>
      <w:r>
        <w:rPr>
          <w:rStyle w:val="16"/>
          <w:rFonts w:hint="eastAsia" w:ascii="仿宋_GB2312" w:hAnsi="仿宋_GB2312" w:eastAsia="仿宋_GB2312" w:cs="仿宋_GB2312"/>
          <w:b w:val="0"/>
          <w:bCs/>
          <w:color w:val="000000"/>
          <w:sz w:val="32"/>
          <w:szCs w:val="32"/>
          <w:lang w:eastAsia="zh-CN"/>
        </w:rPr>
        <w:t>.</w:t>
      </w:r>
      <w:r>
        <w:rPr>
          <w:rStyle w:val="16"/>
          <w:rFonts w:hint="eastAsia" w:ascii="仿宋_GB2312" w:hAnsi="仿宋_GB2312" w:eastAsia="仿宋_GB2312" w:cs="仿宋_GB2312"/>
          <w:b w:val="0"/>
          <w:bCs/>
          <w:color w:val="000000"/>
          <w:sz w:val="32"/>
          <w:szCs w:val="32"/>
        </w:rPr>
        <w:t>一般公共服务（类）支出-政府办公厅（室）及相关机构（款）-行政运行（项）: 支出决算为</w:t>
      </w:r>
      <w:r>
        <w:rPr>
          <w:rStyle w:val="16"/>
          <w:rFonts w:hint="eastAsia" w:ascii="仿宋_GB2312" w:hAnsi="仿宋_GB2312" w:eastAsia="仿宋_GB2312" w:cs="仿宋_GB2312"/>
          <w:b w:val="0"/>
          <w:bCs/>
          <w:color w:val="000000"/>
          <w:sz w:val="32"/>
          <w:szCs w:val="32"/>
          <w:lang w:val="en-US" w:eastAsia="zh-CN"/>
        </w:rPr>
        <w:t>346.37</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rPr>
        <w:t>2</w:t>
      </w:r>
      <w:r>
        <w:rPr>
          <w:rStyle w:val="16"/>
          <w:rFonts w:hint="eastAsia" w:ascii="仿宋_GB2312" w:hAnsi="仿宋_GB2312" w:eastAsia="仿宋_GB2312" w:cs="仿宋_GB2312"/>
          <w:b w:val="0"/>
          <w:bCs/>
          <w:color w:val="000000"/>
          <w:sz w:val="32"/>
          <w:szCs w:val="32"/>
          <w:lang w:eastAsia="zh-CN"/>
        </w:rPr>
        <w:t>.</w:t>
      </w:r>
      <w:r>
        <w:rPr>
          <w:rStyle w:val="16"/>
          <w:rFonts w:hint="eastAsia" w:ascii="仿宋_GB2312" w:hAnsi="仿宋_GB2312" w:eastAsia="仿宋_GB2312" w:cs="仿宋_GB2312"/>
          <w:b w:val="0"/>
          <w:bCs/>
          <w:color w:val="000000"/>
          <w:sz w:val="32"/>
          <w:szCs w:val="32"/>
        </w:rPr>
        <w:t>一般公共服务（类）支出-政府办公厅（室）及相关机构（款）-一般行政管理事务（项）: 支出决算为</w:t>
      </w:r>
      <w:r>
        <w:rPr>
          <w:rStyle w:val="16"/>
          <w:rFonts w:hint="eastAsia" w:ascii="仿宋_GB2312" w:hAnsi="仿宋_GB2312" w:eastAsia="仿宋_GB2312" w:cs="仿宋_GB2312"/>
          <w:b w:val="0"/>
          <w:bCs/>
          <w:color w:val="000000"/>
          <w:sz w:val="32"/>
          <w:szCs w:val="32"/>
          <w:lang w:val="en-US" w:eastAsia="zh-CN"/>
        </w:rPr>
        <w:t>10</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rPr>
        <w:t>3</w:t>
      </w:r>
      <w:r>
        <w:rPr>
          <w:rStyle w:val="16"/>
          <w:rFonts w:hint="eastAsia" w:ascii="仿宋_GB2312" w:hAnsi="仿宋_GB2312" w:eastAsia="仿宋_GB2312" w:cs="仿宋_GB2312"/>
          <w:b w:val="0"/>
          <w:bCs/>
          <w:color w:val="000000"/>
          <w:sz w:val="32"/>
          <w:szCs w:val="32"/>
          <w:lang w:eastAsia="zh-CN"/>
        </w:rPr>
        <w:t>.</w:t>
      </w:r>
      <w:r>
        <w:rPr>
          <w:rStyle w:val="16"/>
          <w:rFonts w:hint="eastAsia" w:ascii="仿宋_GB2312" w:hAnsi="仿宋_GB2312" w:eastAsia="仿宋_GB2312" w:cs="仿宋_GB2312"/>
          <w:b w:val="0"/>
          <w:bCs/>
          <w:color w:val="000000"/>
          <w:sz w:val="32"/>
          <w:szCs w:val="32"/>
        </w:rPr>
        <w:t>一般公共服务（类）支出-对外联络事务（款）-行政运行（项）: 支出决算为</w:t>
      </w:r>
      <w:r>
        <w:rPr>
          <w:rStyle w:val="16"/>
          <w:rFonts w:hint="eastAsia" w:ascii="仿宋_GB2312" w:hAnsi="仿宋_GB2312" w:eastAsia="仿宋_GB2312" w:cs="仿宋_GB2312"/>
          <w:b w:val="0"/>
          <w:bCs/>
          <w:color w:val="000000"/>
          <w:sz w:val="32"/>
          <w:szCs w:val="32"/>
          <w:lang w:val="en-US" w:eastAsia="zh-CN"/>
        </w:rPr>
        <w:t>1.41</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lang w:val="en-US" w:eastAsia="zh-CN"/>
        </w:rPr>
        <w:t>4.</w:t>
      </w:r>
      <w:r>
        <w:rPr>
          <w:rStyle w:val="16"/>
          <w:rFonts w:hint="eastAsia" w:ascii="仿宋_GB2312" w:hAnsi="仿宋_GB2312" w:eastAsia="仿宋_GB2312" w:cs="仿宋_GB2312"/>
          <w:b w:val="0"/>
          <w:bCs/>
          <w:color w:val="000000"/>
          <w:sz w:val="32"/>
          <w:szCs w:val="32"/>
        </w:rPr>
        <w:t>社会保障和就业（类）支出-行政事业单位离退休（款）-行政单位离退休（项）: 支出决算为</w:t>
      </w:r>
      <w:r>
        <w:rPr>
          <w:rStyle w:val="16"/>
          <w:rFonts w:hint="eastAsia" w:ascii="仿宋_GB2312" w:hAnsi="仿宋_GB2312" w:eastAsia="仿宋_GB2312" w:cs="仿宋_GB2312"/>
          <w:b w:val="0"/>
          <w:bCs/>
          <w:color w:val="000000"/>
          <w:sz w:val="32"/>
          <w:szCs w:val="32"/>
          <w:lang w:val="en-US" w:eastAsia="zh-CN"/>
        </w:rPr>
        <w:t>118.44</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lang w:val="en-US" w:eastAsia="zh-CN"/>
        </w:rPr>
        <w:t>5.</w:t>
      </w:r>
      <w:r>
        <w:rPr>
          <w:rStyle w:val="16"/>
          <w:rFonts w:hint="eastAsia" w:ascii="仿宋_GB2312" w:hAnsi="仿宋_GB2312" w:eastAsia="仿宋_GB2312" w:cs="仿宋_GB2312"/>
          <w:b w:val="0"/>
          <w:bCs/>
          <w:color w:val="000000"/>
          <w:sz w:val="32"/>
          <w:szCs w:val="32"/>
        </w:rPr>
        <w:t>社会保障和就业（类）支出-行政事业单位离退休（款）-事业单位离退休（项）: 支出决算为</w:t>
      </w:r>
      <w:r>
        <w:rPr>
          <w:rStyle w:val="16"/>
          <w:rFonts w:hint="eastAsia" w:ascii="仿宋_GB2312" w:hAnsi="仿宋_GB2312" w:eastAsia="仿宋_GB2312" w:cs="仿宋_GB2312"/>
          <w:b w:val="0"/>
          <w:bCs/>
          <w:color w:val="000000"/>
          <w:sz w:val="32"/>
          <w:szCs w:val="32"/>
          <w:lang w:val="en-US" w:eastAsia="zh-CN"/>
        </w:rPr>
        <w:t>11.79</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lang w:val="en-US" w:eastAsia="zh-CN"/>
        </w:rPr>
        <w:t>6.</w:t>
      </w:r>
      <w:r>
        <w:rPr>
          <w:rStyle w:val="16"/>
          <w:rFonts w:hint="eastAsia" w:ascii="仿宋_GB2312" w:hAnsi="仿宋_GB2312" w:eastAsia="仿宋_GB2312" w:cs="仿宋_GB2312"/>
          <w:b w:val="0"/>
          <w:bCs/>
          <w:color w:val="000000"/>
          <w:sz w:val="32"/>
          <w:szCs w:val="32"/>
        </w:rPr>
        <w:t>社会保障和就业（类）支出-行政事业单位离退休（款）-机关事业单位基本养老保险缴费支出（项）: 支出决算为</w:t>
      </w:r>
      <w:r>
        <w:rPr>
          <w:rStyle w:val="16"/>
          <w:rFonts w:hint="eastAsia" w:ascii="仿宋_GB2312" w:hAnsi="仿宋_GB2312" w:eastAsia="仿宋_GB2312" w:cs="仿宋_GB2312"/>
          <w:b w:val="0"/>
          <w:bCs/>
          <w:color w:val="000000"/>
          <w:sz w:val="32"/>
          <w:szCs w:val="32"/>
          <w:lang w:val="en-US" w:eastAsia="zh-CN"/>
        </w:rPr>
        <w:t>22.46</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lang w:val="en-US" w:eastAsia="zh-CN"/>
        </w:rPr>
        <w:t>7.</w:t>
      </w:r>
      <w:r>
        <w:rPr>
          <w:rStyle w:val="16"/>
          <w:rFonts w:hint="eastAsia" w:ascii="仿宋_GB2312" w:hAnsi="仿宋_GB2312" w:eastAsia="仿宋_GB2312" w:cs="仿宋_GB2312"/>
          <w:b w:val="0"/>
          <w:bCs/>
          <w:color w:val="000000"/>
          <w:sz w:val="32"/>
          <w:szCs w:val="32"/>
        </w:rPr>
        <w:t>社会保障和就业（类）支出-</w:t>
      </w:r>
      <w:r>
        <w:rPr>
          <w:rStyle w:val="16"/>
          <w:rFonts w:hint="eastAsia" w:ascii="仿宋_GB2312" w:hAnsi="仿宋_GB2312" w:eastAsia="仿宋_GB2312" w:cs="仿宋_GB2312"/>
          <w:b w:val="0"/>
          <w:bCs/>
          <w:color w:val="000000"/>
          <w:sz w:val="32"/>
          <w:szCs w:val="32"/>
          <w:lang w:val="en-US" w:eastAsia="zh-CN"/>
        </w:rPr>
        <w:t>抚恤</w:t>
      </w:r>
      <w:r>
        <w:rPr>
          <w:rStyle w:val="16"/>
          <w:rFonts w:hint="eastAsia" w:ascii="仿宋_GB2312" w:hAnsi="仿宋_GB2312" w:eastAsia="仿宋_GB2312" w:cs="仿宋_GB2312"/>
          <w:b w:val="0"/>
          <w:bCs/>
          <w:color w:val="000000"/>
          <w:sz w:val="32"/>
          <w:szCs w:val="32"/>
        </w:rPr>
        <w:t>（款）-</w:t>
      </w:r>
      <w:r>
        <w:rPr>
          <w:rStyle w:val="16"/>
          <w:rFonts w:hint="eastAsia" w:ascii="仿宋_GB2312" w:hAnsi="仿宋_GB2312" w:eastAsia="仿宋_GB2312" w:cs="仿宋_GB2312"/>
          <w:b w:val="0"/>
          <w:bCs/>
          <w:color w:val="000000"/>
          <w:sz w:val="32"/>
          <w:szCs w:val="32"/>
          <w:lang w:val="en-US" w:eastAsia="zh-CN"/>
        </w:rPr>
        <w:t>死亡抚恤</w:t>
      </w:r>
      <w:r>
        <w:rPr>
          <w:rStyle w:val="16"/>
          <w:rFonts w:hint="eastAsia" w:ascii="仿宋_GB2312" w:hAnsi="仿宋_GB2312" w:eastAsia="仿宋_GB2312" w:cs="仿宋_GB2312"/>
          <w:b w:val="0"/>
          <w:bCs/>
          <w:color w:val="000000"/>
          <w:sz w:val="32"/>
          <w:szCs w:val="32"/>
        </w:rPr>
        <w:t>（项）: 支出决算为</w:t>
      </w:r>
      <w:r>
        <w:rPr>
          <w:rStyle w:val="16"/>
          <w:rFonts w:hint="eastAsia" w:ascii="仿宋_GB2312" w:hAnsi="仿宋_GB2312" w:eastAsia="仿宋_GB2312" w:cs="仿宋_GB2312"/>
          <w:b w:val="0"/>
          <w:bCs/>
          <w:color w:val="000000"/>
          <w:sz w:val="32"/>
          <w:szCs w:val="32"/>
          <w:lang w:val="en-US" w:eastAsia="zh-CN"/>
        </w:rPr>
        <w:t>31.44</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Style w:val="16"/>
          <w:rFonts w:hint="eastAsia" w:ascii="仿宋_GB2312" w:hAnsi="仿宋_GB2312" w:eastAsia="仿宋_GB2312" w:cs="仿宋_GB2312"/>
          <w:b w:val="0"/>
          <w:bCs/>
          <w:color w:val="000000"/>
          <w:sz w:val="32"/>
          <w:szCs w:val="32"/>
          <w:lang w:val="en-US" w:eastAsia="zh-CN"/>
        </w:rPr>
      </w:pPr>
      <w:r>
        <w:rPr>
          <w:rStyle w:val="16"/>
          <w:rFonts w:hint="eastAsia" w:ascii="仿宋_GB2312" w:hAnsi="仿宋_GB2312" w:eastAsia="仿宋_GB2312" w:cs="仿宋_GB2312"/>
          <w:b w:val="0"/>
          <w:bCs/>
          <w:color w:val="000000"/>
          <w:sz w:val="32"/>
          <w:szCs w:val="32"/>
          <w:lang w:val="en-US" w:eastAsia="zh-CN"/>
        </w:rPr>
        <w:t>8.卫生健康（类）支出－其他卫生健康支出（款）</w:t>
      </w:r>
      <w:r>
        <w:rPr>
          <w:rStyle w:val="16"/>
          <w:rFonts w:hint="eastAsia" w:ascii="仿宋_GB2312" w:hAnsi="仿宋_GB2312" w:eastAsia="仿宋_GB2312" w:cs="仿宋_GB2312"/>
          <w:b w:val="0"/>
          <w:bCs/>
          <w:color w:val="000000"/>
          <w:sz w:val="32"/>
          <w:szCs w:val="32"/>
        </w:rPr>
        <w:t>-</w:t>
      </w:r>
      <w:r>
        <w:rPr>
          <w:rStyle w:val="16"/>
          <w:rFonts w:hint="eastAsia" w:ascii="仿宋_GB2312" w:hAnsi="仿宋_GB2312" w:eastAsia="仿宋_GB2312" w:cs="仿宋_GB2312"/>
          <w:b w:val="0"/>
          <w:bCs/>
          <w:color w:val="000000"/>
          <w:sz w:val="32"/>
          <w:szCs w:val="32"/>
          <w:lang w:val="en-US" w:eastAsia="zh-CN"/>
        </w:rPr>
        <w:t>其他卫生健康支出</w:t>
      </w:r>
      <w:r>
        <w:rPr>
          <w:rStyle w:val="16"/>
          <w:rFonts w:hint="eastAsia" w:ascii="仿宋_GB2312" w:hAnsi="仿宋_GB2312" w:eastAsia="仿宋_GB2312" w:cs="仿宋_GB2312"/>
          <w:b w:val="0"/>
          <w:bCs/>
          <w:color w:val="000000"/>
          <w:sz w:val="32"/>
          <w:szCs w:val="32"/>
        </w:rPr>
        <w:t>（项）</w:t>
      </w:r>
      <w:r>
        <w:rPr>
          <w:rStyle w:val="16"/>
          <w:rFonts w:hint="eastAsia" w:ascii="仿宋_GB2312" w:hAnsi="仿宋_GB2312" w:eastAsia="仿宋_GB2312" w:cs="仿宋_GB2312"/>
          <w:b w:val="0"/>
          <w:bCs/>
          <w:color w:val="000000"/>
          <w:sz w:val="32"/>
          <w:szCs w:val="32"/>
          <w:lang w:val="en-US" w:eastAsia="zh-CN"/>
        </w:rPr>
        <w:t>：</w:t>
      </w:r>
      <w:r>
        <w:rPr>
          <w:rStyle w:val="16"/>
          <w:rFonts w:hint="eastAsia" w:ascii="仿宋_GB2312" w:hAnsi="仿宋_GB2312" w:eastAsia="仿宋_GB2312" w:cs="仿宋_GB2312"/>
          <w:b w:val="0"/>
          <w:bCs/>
          <w:color w:val="000000"/>
          <w:sz w:val="32"/>
          <w:szCs w:val="32"/>
        </w:rPr>
        <w:t>支出决算为</w:t>
      </w:r>
      <w:r>
        <w:rPr>
          <w:rStyle w:val="16"/>
          <w:rFonts w:hint="eastAsia" w:ascii="仿宋_GB2312" w:hAnsi="仿宋_GB2312" w:eastAsia="仿宋_GB2312" w:cs="仿宋_GB2312"/>
          <w:b w:val="0"/>
          <w:bCs/>
          <w:color w:val="000000"/>
          <w:sz w:val="32"/>
          <w:szCs w:val="32"/>
          <w:lang w:val="en-US" w:eastAsia="zh-CN"/>
        </w:rPr>
        <w:t>1.09</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000000"/>
          <w:sz w:val="32"/>
          <w:szCs w:val="32"/>
        </w:rPr>
      </w:pPr>
      <w:r>
        <w:rPr>
          <w:rStyle w:val="16"/>
          <w:rFonts w:hint="eastAsia" w:ascii="仿宋_GB2312" w:hAnsi="仿宋_GB2312" w:eastAsia="仿宋_GB2312" w:cs="仿宋_GB2312"/>
          <w:b w:val="0"/>
          <w:bCs/>
          <w:color w:val="000000"/>
          <w:sz w:val="32"/>
          <w:szCs w:val="32"/>
          <w:lang w:val="en-US" w:eastAsia="zh-CN"/>
        </w:rPr>
        <w:t>9.</w:t>
      </w:r>
      <w:r>
        <w:rPr>
          <w:rStyle w:val="16"/>
          <w:rFonts w:hint="eastAsia" w:ascii="仿宋_GB2312" w:hAnsi="仿宋_GB2312" w:eastAsia="仿宋_GB2312" w:cs="仿宋_GB2312"/>
          <w:b w:val="0"/>
          <w:bCs/>
          <w:color w:val="000000"/>
          <w:sz w:val="32"/>
          <w:szCs w:val="32"/>
        </w:rPr>
        <w:t>住房保障（类）支出-住房改革支出（款）-住房公积金（项）:支出决算为</w:t>
      </w:r>
      <w:r>
        <w:rPr>
          <w:rStyle w:val="16"/>
          <w:rFonts w:hint="eastAsia" w:ascii="仿宋_GB2312" w:hAnsi="仿宋_GB2312" w:eastAsia="仿宋_GB2312" w:cs="仿宋_GB2312"/>
          <w:b w:val="0"/>
          <w:bCs/>
          <w:color w:val="000000"/>
          <w:sz w:val="32"/>
          <w:szCs w:val="32"/>
          <w:lang w:val="en-US" w:eastAsia="zh-CN"/>
        </w:rPr>
        <w:t>31.54</w:t>
      </w:r>
      <w:r>
        <w:rPr>
          <w:rStyle w:val="16"/>
          <w:rFonts w:hint="eastAsia" w:ascii="仿宋_GB2312" w:hAnsi="仿宋_GB2312" w:eastAsia="仿宋_GB2312" w:cs="仿宋_GB2312"/>
          <w:b w:val="0"/>
          <w:bCs/>
          <w:color w:val="000000"/>
          <w:sz w:val="32"/>
          <w:szCs w:val="32"/>
        </w:rPr>
        <w:t>万元，完成预算100%，决算数与预算数持平。</w:t>
      </w:r>
    </w:p>
    <w:p>
      <w:pPr>
        <w:keepNext w:val="0"/>
        <w:keepLines w:val="0"/>
        <w:pageBreakBefore w:val="0"/>
        <w:widowControl w:val="0"/>
        <w:tabs>
          <w:tab w:val="right" w:pos="8306"/>
        </w:tabs>
        <w:kinsoku/>
        <w:wordWrap/>
        <w:overflowPunct/>
        <w:topLinePunct w:val="0"/>
        <w:autoSpaceDE/>
        <w:autoSpaceDN/>
        <w:bidi w:val="0"/>
        <w:adjustRightInd/>
        <w:spacing w:line="560" w:lineRule="exact"/>
        <w:ind w:firstLine="640" w:firstLineChars="200"/>
        <w:textAlignment w:val="auto"/>
        <w:outlineLvl w:val="1"/>
        <w:rPr>
          <w:rStyle w:val="28"/>
          <w:rFonts w:ascii="仿宋_GB2312" w:hAnsi="仿宋_GB2312" w:eastAsia="仿宋_GB2312" w:cs="仿宋_GB2312"/>
          <w:b w:val="0"/>
        </w:rPr>
      </w:pPr>
      <w:bookmarkStart w:id="36" w:name="_Toc15396608"/>
      <w:bookmarkStart w:id="37" w:name="_Toc15377214"/>
      <w:r>
        <w:rPr>
          <w:rFonts w:hint="eastAsia" w:ascii="黑体" w:hAnsi="黑体" w:eastAsia="黑体" w:cs="黑体"/>
          <w:b w:val="0"/>
          <w:bCs w:val="0"/>
          <w:color w:val="000000"/>
          <w:sz w:val="32"/>
          <w:szCs w:val="32"/>
        </w:rPr>
        <w:t>六、一</w:t>
      </w:r>
      <w:r>
        <w:rPr>
          <w:rStyle w:val="28"/>
          <w:rFonts w:hint="eastAsia" w:ascii="黑体" w:hAnsi="黑体" w:eastAsia="黑体" w:cs="黑体"/>
          <w:b w:val="0"/>
          <w:bCs w:val="0"/>
        </w:rPr>
        <w:t>般公共预算财政拨款基本支出决算情况说明</w:t>
      </w:r>
      <w:bookmarkEnd w:id="36"/>
      <w:bookmarkEnd w:id="37"/>
      <w:r>
        <w:rPr>
          <w:rStyle w:val="28"/>
          <w:rFonts w:hint="eastAsia" w:ascii="仿宋_GB2312" w:hAnsi="仿宋_GB2312" w:eastAsia="仿宋_GB2312" w:cs="仿宋_GB2312"/>
          <w:b w:val="0"/>
        </w:rPr>
        <w:tab/>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年一般公共预算财政拨款基本支出</w:t>
      </w:r>
      <w:r>
        <w:rPr>
          <w:rFonts w:hint="eastAsia" w:ascii="仿宋_GB2312" w:hAnsi="仿宋_GB2312" w:eastAsia="仿宋_GB2312" w:cs="仿宋_GB2312"/>
          <w:color w:val="000000"/>
          <w:sz w:val="32"/>
          <w:szCs w:val="32"/>
          <w:lang w:val="en-US" w:eastAsia="zh-CN"/>
        </w:rPr>
        <w:t>564.54</w:t>
      </w:r>
      <w:r>
        <w:rPr>
          <w:rFonts w:hint="eastAsia" w:ascii="仿宋_GB2312" w:hAnsi="仿宋_GB2312" w:eastAsia="仿宋_GB2312" w:cs="仿宋_GB2312"/>
          <w:color w:val="000000"/>
          <w:sz w:val="32"/>
          <w:szCs w:val="32"/>
        </w:rPr>
        <w:t>万元，其中：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人员经费</w:t>
      </w:r>
      <w:r>
        <w:rPr>
          <w:rFonts w:hint="eastAsia" w:ascii="仿宋_GB2312" w:hAnsi="仿宋_GB2312" w:eastAsia="仿宋_GB2312" w:cs="仿宋_GB2312"/>
          <w:color w:val="000000"/>
          <w:sz w:val="32"/>
          <w:szCs w:val="32"/>
          <w:lang w:val="en-US" w:eastAsia="zh-CN"/>
        </w:rPr>
        <w:t>485.47</w:t>
      </w:r>
      <w:r>
        <w:rPr>
          <w:rFonts w:hint="eastAsia" w:ascii="仿宋_GB2312" w:hAnsi="仿宋_GB2312" w:eastAsia="仿宋_GB2312" w:cs="仿宋_GB2312"/>
          <w:color w:val="000000"/>
          <w:sz w:val="32"/>
          <w:szCs w:val="32"/>
        </w:rPr>
        <w:t>万元，主要包括：基本工资、津贴补贴、奖金、机关事业单位基本养老保险缴费、</w:t>
      </w:r>
      <w:r>
        <w:rPr>
          <w:rFonts w:hint="eastAsia" w:ascii="仿宋_GB2312" w:hAnsi="仿宋_GB2312" w:eastAsia="仿宋_GB2312" w:cs="仿宋_GB2312"/>
          <w:color w:val="000000"/>
          <w:sz w:val="32"/>
          <w:szCs w:val="32"/>
          <w:lang w:eastAsia="zh-CN"/>
        </w:rPr>
        <w:t>职工基本医疗保险缴费、公务员医疗补助缴费、</w:t>
      </w:r>
      <w:r>
        <w:rPr>
          <w:rFonts w:hint="eastAsia" w:ascii="仿宋_GB2312" w:hAnsi="仿宋_GB2312" w:eastAsia="仿宋_GB2312" w:cs="仿宋_GB2312"/>
          <w:color w:val="000000"/>
          <w:sz w:val="32"/>
          <w:szCs w:val="32"/>
        </w:rPr>
        <w:t>其他社会保障缴费、住房公积金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其他工资福利支出、</w:t>
      </w:r>
      <w:r>
        <w:rPr>
          <w:rFonts w:hint="eastAsia" w:ascii="仿宋_GB2312" w:hAnsi="仿宋_GB2312" w:eastAsia="仿宋_GB2312" w:cs="仿宋_GB2312"/>
          <w:color w:val="000000"/>
          <w:sz w:val="32"/>
          <w:szCs w:val="32"/>
          <w:lang w:val="en-US" w:eastAsia="zh-CN"/>
        </w:rPr>
        <w:t>抚恤金、</w:t>
      </w:r>
      <w:r>
        <w:rPr>
          <w:rFonts w:hint="eastAsia" w:ascii="仿宋_GB2312" w:hAnsi="仿宋_GB2312" w:eastAsia="仿宋_GB2312" w:cs="仿宋_GB2312"/>
          <w:color w:val="000000"/>
          <w:sz w:val="32"/>
          <w:szCs w:val="32"/>
        </w:rPr>
        <w:t>生活补助、医疗费补助等。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日常</w:t>
      </w:r>
      <w:r>
        <w:rPr>
          <w:rFonts w:hint="eastAsia" w:ascii="仿宋_GB2312" w:hAnsi="仿宋_GB2312" w:eastAsia="仿宋_GB2312" w:cs="仿宋_GB2312"/>
          <w:color w:val="000000"/>
          <w:sz w:val="32"/>
          <w:szCs w:val="32"/>
        </w:rPr>
        <w:t>公用经费</w:t>
      </w:r>
      <w:r>
        <w:rPr>
          <w:rFonts w:hint="eastAsia" w:ascii="仿宋_GB2312" w:hAnsi="仿宋_GB2312" w:eastAsia="仿宋_GB2312" w:cs="仿宋_GB2312"/>
          <w:color w:val="000000"/>
          <w:sz w:val="32"/>
          <w:szCs w:val="32"/>
          <w:lang w:val="en-US" w:eastAsia="zh-CN"/>
        </w:rPr>
        <w:t>79.07</w:t>
      </w:r>
      <w:r>
        <w:rPr>
          <w:rFonts w:hint="eastAsia" w:ascii="仿宋_GB2312" w:hAnsi="仿宋_GB2312" w:eastAsia="仿宋_GB2312" w:cs="仿宋_GB2312"/>
          <w:color w:val="000000"/>
          <w:sz w:val="32"/>
          <w:szCs w:val="32"/>
        </w:rPr>
        <w:t>万元，主要包括：办公费、水费、电费、邮电费、差旅费、</w:t>
      </w:r>
      <w:r>
        <w:rPr>
          <w:rFonts w:hint="eastAsia" w:ascii="仿宋_GB2312" w:hAnsi="仿宋_GB2312" w:eastAsia="仿宋_GB2312" w:cs="仿宋_GB2312"/>
          <w:color w:val="000000"/>
          <w:sz w:val="32"/>
          <w:szCs w:val="32"/>
          <w:lang w:eastAsia="zh-CN"/>
        </w:rPr>
        <w:t>公务接待费、</w:t>
      </w:r>
      <w:r>
        <w:rPr>
          <w:rFonts w:hint="eastAsia" w:ascii="仿宋_GB2312" w:hAnsi="仿宋_GB2312" w:eastAsia="仿宋_GB2312" w:cs="仿宋_GB2312"/>
          <w:color w:val="000000"/>
          <w:sz w:val="32"/>
          <w:szCs w:val="32"/>
        </w:rPr>
        <w:t>委托业务费、工会经费、福利费、公务用车运行维护费、其他交通费、其他商品和服务支出等。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1"/>
        <w:rPr>
          <w:rStyle w:val="28"/>
          <w:rFonts w:ascii="黑体" w:hAnsi="黑体" w:eastAsia="黑体"/>
          <w:b w:val="0"/>
          <w:bCs/>
        </w:rPr>
      </w:pPr>
      <w:bookmarkStart w:id="38" w:name="_Toc15377215"/>
      <w:bookmarkStart w:id="39" w:name="_Toc15396609"/>
      <w:r>
        <w:rPr>
          <w:rFonts w:hint="eastAsia" w:ascii="黑体" w:eastAsia="黑体"/>
          <w:b w:val="0"/>
          <w:bCs/>
          <w:color w:val="000000"/>
          <w:sz w:val="32"/>
          <w:szCs w:val="32"/>
        </w:rPr>
        <w:t>七、</w:t>
      </w:r>
      <w:r>
        <w:rPr>
          <w:rStyle w:val="28"/>
          <w:rFonts w:hint="eastAsia" w:ascii="黑体" w:hAnsi="黑体" w:eastAsia="黑体"/>
          <w:b w:val="0"/>
          <w:bCs/>
        </w:rPr>
        <w:t>财政拨款“三公”经费支出决算情况说明</w:t>
      </w:r>
      <w:bookmarkEnd w:id="38"/>
      <w:bookmarkEnd w:id="39"/>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仿宋_GB2312" w:hAnsi="仿宋_GB2312" w:eastAsia="仿宋_GB2312" w:cs="仿宋_GB2312"/>
          <w:b w:val="0"/>
          <w:bCs/>
          <w:color w:val="000000"/>
          <w:sz w:val="32"/>
          <w:szCs w:val="32"/>
        </w:rPr>
      </w:pPr>
      <w:bookmarkStart w:id="40" w:name="_Toc15377216"/>
      <w:r>
        <w:rPr>
          <w:rFonts w:hint="eastAsia" w:ascii="楷体_GB2312" w:hAnsi="楷体_GB2312" w:eastAsia="楷体_GB2312" w:cs="楷体_GB2312"/>
          <w:b w:val="0"/>
          <w:bCs/>
          <w:color w:val="000000"/>
          <w:sz w:val="32"/>
          <w:szCs w:val="32"/>
        </w:rPr>
        <w:t>（一）“三公”经费财政拨款支出决算总体情况说明</w:t>
      </w:r>
      <w:bookmarkEnd w:id="40"/>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年“三公”经费财政拨款支出决算为</w:t>
      </w:r>
      <w:r>
        <w:rPr>
          <w:rFonts w:hint="eastAsia" w:ascii="仿宋_GB2312" w:hAnsi="仿宋_GB2312" w:eastAsia="仿宋_GB2312" w:cs="仿宋_GB2312"/>
          <w:color w:val="000000"/>
          <w:sz w:val="32"/>
          <w:szCs w:val="32"/>
          <w:lang w:val="en-US" w:eastAsia="zh-CN"/>
        </w:rPr>
        <w:t>21.79</w:t>
      </w:r>
      <w:r>
        <w:rPr>
          <w:rFonts w:hint="eastAsia" w:ascii="仿宋_GB2312" w:hAnsi="仿宋_GB2312" w:eastAsia="仿宋_GB2312" w:cs="仿宋_GB2312"/>
          <w:color w:val="000000"/>
          <w:sz w:val="32"/>
          <w:szCs w:val="32"/>
        </w:rPr>
        <w:t>万元，完成预算</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较上年减少</w:t>
      </w:r>
      <w:r>
        <w:rPr>
          <w:rFonts w:hint="eastAsia" w:ascii="仿宋_GB2312" w:hAnsi="仿宋_GB2312" w:eastAsia="仿宋_GB2312" w:cs="仿宋_GB2312"/>
          <w:sz w:val="32"/>
          <w:szCs w:val="32"/>
          <w:lang w:val="en-US" w:eastAsia="zh-CN"/>
        </w:rPr>
        <w:t>1.94</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8.18</w:t>
      </w:r>
      <w:r>
        <w:rPr>
          <w:rFonts w:hint="eastAsia" w:ascii="仿宋_GB2312" w:hAnsi="仿宋_GB2312" w:eastAsia="仿宋_GB2312" w:cs="仿宋_GB2312"/>
          <w:sz w:val="32"/>
          <w:szCs w:val="32"/>
        </w:rPr>
        <w:t>%。决算数与预算数持平的主要原因是</w:t>
      </w:r>
      <w:r>
        <w:rPr>
          <w:rFonts w:hint="eastAsia" w:ascii="仿宋_GB2312" w:hAnsi="仿宋_GB2312" w:eastAsia="仿宋_GB2312" w:cs="仿宋_GB2312"/>
          <w:sz w:val="32"/>
          <w:szCs w:val="32"/>
          <w:lang w:eastAsia="zh-CN"/>
        </w:rPr>
        <w:t>根据预算指标合理使用经费。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outlineLvl w:val="2"/>
        <w:rPr>
          <w:rFonts w:hint="eastAsia" w:ascii="楷体_GB2312" w:hAnsi="楷体_GB2312" w:eastAsia="楷体_GB2312" w:cs="楷体_GB2312"/>
          <w:b/>
          <w:color w:val="000000"/>
          <w:sz w:val="32"/>
          <w:szCs w:val="32"/>
        </w:rPr>
      </w:pPr>
      <w:bookmarkStart w:id="41" w:name="_Toc15377217"/>
      <w:r>
        <w:rPr>
          <w:rFonts w:hint="eastAsia" w:ascii="楷体_GB2312" w:hAnsi="楷体_GB2312" w:eastAsia="楷体_GB2312" w:cs="楷体_GB2312"/>
          <w:b w:val="0"/>
          <w:bCs/>
          <w:color w:val="000000"/>
          <w:sz w:val="32"/>
          <w:szCs w:val="32"/>
        </w:rPr>
        <w:t>（二）“三公”经费财政拨款支出决算具体情况说明</w:t>
      </w:r>
      <w:bookmarkEnd w:id="4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年“三公”经费财政拨款支出决算中，因公出国（境）费支出决算0万元，占0%；公务用车购置及运行维护费支出决算</w:t>
      </w:r>
      <w:r>
        <w:rPr>
          <w:rFonts w:hint="eastAsia" w:ascii="仿宋_GB2312" w:hAnsi="仿宋_GB2312" w:eastAsia="仿宋_GB2312" w:cs="仿宋_GB2312"/>
          <w:color w:val="000000"/>
          <w:sz w:val="32"/>
          <w:szCs w:val="32"/>
          <w:lang w:val="en-US" w:eastAsia="zh-CN"/>
        </w:rPr>
        <w:t>4.29</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19.69</w:t>
      </w:r>
      <w:r>
        <w:rPr>
          <w:rFonts w:hint="eastAsia" w:ascii="仿宋_GB2312" w:hAnsi="仿宋_GB2312" w:eastAsia="仿宋_GB2312" w:cs="仿宋_GB2312"/>
          <w:color w:val="000000"/>
          <w:sz w:val="32"/>
          <w:szCs w:val="32"/>
        </w:rPr>
        <w:t>%；公务接待费支出决算</w:t>
      </w:r>
      <w:r>
        <w:rPr>
          <w:rFonts w:hint="eastAsia" w:ascii="仿宋_GB2312" w:hAnsi="仿宋_GB2312" w:eastAsia="仿宋_GB2312" w:cs="仿宋_GB2312"/>
          <w:color w:val="000000"/>
          <w:sz w:val="32"/>
          <w:szCs w:val="32"/>
          <w:lang w:val="en-US" w:eastAsia="zh-CN"/>
        </w:rPr>
        <w:t>17.50</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80.31</w:t>
      </w:r>
      <w:r>
        <w:rPr>
          <w:rFonts w:hint="eastAsia" w:ascii="仿宋_GB2312" w:hAnsi="仿宋_GB2312" w:eastAsia="仿宋_GB2312" w:cs="仿宋_GB2312"/>
          <w:color w:val="000000"/>
          <w:sz w:val="32"/>
          <w:szCs w:val="32"/>
        </w:rPr>
        <w:t>%。具体情况如下：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val="0"/>
          <w:bCs w:val="0"/>
          <w:color w:val="000000"/>
          <w:sz w:val="32"/>
          <w:szCs w:val="32"/>
        </w:rPr>
        <w:t>（图</w:t>
      </w: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：“三公”经费财政拨款支出结构图）</w:t>
      </w:r>
    </w:p>
    <w:p>
      <w:r>
        <w:drawing>
          <wp:inline distT="0" distB="0" distL="114300" distR="114300">
            <wp:extent cx="5719445" cy="2767330"/>
            <wp:effectExtent l="0" t="0" r="1460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stretch>
                      <a:fillRect/>
                    </a:stretch>
                  </pic:blipFill>
                  <pic:spPr>
                    <a:xfrm>
                      <a:off x="0" y="0"/>
                      <a:ext cx="5719445" cy="2767330"/>
                    </a:xfrm>
                    <a:prstGeom prst="rect">
                      <a:avLst/>
                    </a:prstGeom>
                    <a:noFill/>
                    <a:ln>
                      <a:noFill/>
                    </a:ln>
                  </pic:spPr>
                </pic:pic>
              </a:graphicData>
            </a:graphic>
          </wp:inline>
        </w:drawing>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因公出国（境）经费支出0万元，</w:t>
      </w:r>
      <w:r>
        <w:rPr>
          <w:rStyle w:val="16"/>
          <w:rFonts w:hint="eastAsia" w:ascii="仿宋_GB2312" w:hAnsi="仿宋_GB2312" w:eastAsia="仿宋_GB2312" w:cs="仿宋_GB2312"/>
          <w:b w:val="0"/>
          <w:bCs/>
          <w:color w:val="000000"/>
          <w:sz w:val="32"/>
          <w:szCs w:val="32"/>
        </w:rPr>
        <w:t>完成预算0%。</w:t>
      </w:r>
      <w:r>
        <w:rPr>
          <w:rFonts w:hint="eastAsia" w:ascii="仿宋_GB2312" w:hAnsi="仿宋_GB2312" w:eastAsia="仿宋_GB2312" w:cs="仿宋_GB2312"/>
          <w:bCs/>
          <w:color w:val="000000"/>
          <w:sz w:val="32"/>
          <w:szCs w:val="32"/>
        </w:rPr>
        <w:t>全年安排因公出国（境）团组0次，出国（境）0人。因公出国（境）支出决算</w:t>
      </w:r>
      <w:r>
        <w:rPr>
          <w:rFonts w:hint="eastAsia" w:ascii="仿宋_GB2312" w:hAnsi="仿宋_GB2312" w:eastAsia="仿宋_GB2312" w:cs="仿宋_GB2312"/>
          <w:bCs/>
          <w:color w:val="000000"/>
          <w:sz w:val="32"/>
          <w:szCs w:val="32"/>
          <w:lang w:eastAsia="zh-CN"/>
        </w:rPr>
        <w:t>与</w:t>
      </w:r>
      <w:r>
        <w:rPr>
          <w:rFonts w:hint="eastAsia" w:ascii="仿宋_GB2312" w:hAnsi="仿宋_GB2312" w:eastAsia="仿宋_GB2312" w:cs="仿宋_GB2312"/>
          <w:bCs/>
          <w:color w:val="000000"/>
          <w:sz w:val="32"/>
          <w:szCs w:val="32"/>
        </w:rPr>
        <w:t>20</w:t>
      </w:r>
      <w:r>
        <w:rPr>
          <w:rFonts w:hint="eastAsia" w:ascii="仿宋_GB2312" w:hAnsi="仿宋_GB2312" w:eastAsia="仿宋_GB2312" w:cs="仿宋_GB2312"/>
          <w:bCs/>
          <w:color w:val="000000"/>
          <w:sz w:val="32"/>
          <w:szCs w:val="32"/>
          <w:lang w:val="en-US" w:eastAsia="zh-CN"/>
        </w:rPr>
        <w:t>21</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eastAsia="zh-CN"/>
        </w:rPr>
        <w:t>持平</w:t>
      </w:r>
      <w:r>
        <w:rPr>
          <w:rFonts w:hint="eastAsia" w:ascii="仿宋_GB2312" w:hAnsi="仿宋_GB2312" w:eastAsia="仿宋_GB2312" w:cs="仿宋_GB2312"/>
          <w:bCs/>
          <w:color w:val="000000"/>
          <w:sz w:val="32"/>
          <w:szCs w:val="32"/>
        </w:rPr>
        <w:t>。</w:t>
      </w:r>
    </w:p>
    <w:p>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公务用车购置及运行维护费支出</w:t>
      </w:r>
      <w:r>
        <w:rPr>
          <w:rFonts w:hint="eastAsia" w:ascii="仿宋_GB2312" w:hAnsi="仿宋_GB2312" w:eastAsia="仿宋_GB2312" w:cs="仿宋_GB2312"/>
          <w:bCs/>
          <w:color w:val="000000"/>
          <w:sz w:val="32"/>
          <w:szCs w:val="32"/>
          <w:lang w:val="en-US" w:eastAsia="zh-CN"/>
        </w:rPr>
        <w:t>4.29</w:t>
      </w:r>
      <w:r>
        <w:rPr>
          <w:rFonts w:hint="eastAsia" w:ascii="仿宋_GB2312" w:hAnsi="仿宋_GB2312" w:eastAsia="仿宋_GB2312" w:cs="仿宋_GB2312"/>
          <w:bCs/>
          <w:color w:val="000000"/>
          <w:sz w:val="32"/>
          <w:szCs w:val="32"/>
        </w:rPr>
        <w:t>万元,</w:t>
      </w:r>
      <w:r>
        <w:rPr>
          <w:rStyle w:val="16"/>
          <w:rFonts w:hint="eastAsia" w:ascii="仿宋_GB2312" w:hAnsi="仿宋_GB2312" w:eastAsia="仿宋_GB2312" w:cs="仿宋_GB2312"/>
          <w:b w:val="0"/>
          <w:bCs/>
          <w:color w:val="000000"/>
          <w:sz w:val="32"/>
          <w:szCs w:val="32"/>
        </w:rPr>
        <w:t>完成预算</w:t>
      </w:r>
      <w:r>
        <w:rPr>
          <w:rFonts w:hint="eastAsia" w:ascii="仿宋_GB2312" w:hAnsi="仿宋_GB2312" w:eastAsia="仿宋_GB2312" w:cs="仿宋_GB2312"/>
          <w:sz w:val="32"/>
          <w:szCs w:val="32"/>
          <w:lang w:val="en-US" w:eastAsia="zh-CN"/>
        </w:rPr>
        <w:t>100</w:t>
      </w:r>
      <w:r>
        <w:rPr>
          <w:rStyle w:val="16"/>
          <w:rFonts w:hint="eastAsia" w:ascii="仿宋_GB2312" w:hAnsi="仿宋_GB2312" w:eastAsia="仿宋_GB2312" w:cs="仿宋_GB2312"/>
          <w:b w:val="0"/>
          <w:bCs/>
          <w:color w:val="000000"/>
          <w:sz w:val="32"/>
          <w:szCs w:val="32"/>
        </w:rPr>
        <w:t>%。</w:t>
      </w:r>
      <w:r>
        <w:rPr>
          <w:rFonts w:hint="eastAsia" w:ascii="仿宋_GB2312" w:hAnsi="仿宋_GB2312" w:eastAsia="仿宋_GB2312" w:cs="仿宋_GB2312"/>
          <w:bCs/>
          <w:color w:val="000000"/>
          <w:sz w:val="32"/>
          <w:szCs w:val="32"/>
        </w:rPr>
        <w:t>公务用车购置及运行维护费支出决算比</w:t>
      </w:r>
      <w:r>
        <w:rPr>
          <w:rFonts w:hint="eastAsia" w:ascii="仿宋_GB2312" w:hAnsi="仿宋_GB2312" w:eastAsia="仿宋_GB2312" w:cs="仿宋_GB2312"/>
          <w:sz w:val="32"/>
          <w:szCs w:val="32"/>
        </w:rPr>
        <w:t>2021年减少</w:t>
      </w:r>
      <w:r>
        <w:rPr>
          <w:rFonts w:hint="eastAsia" w:ascii="仿宋_GB2312" w:hAnsi="仿宋_GB2312" w:eastAsia="仿宋_GB2312" w:cs="仿宋_GB2312"/>
          <w:sz w:val="32"/>
          <w:szCs w:val="32"/>
          <w:lang w:val="en-US" w:eastAsia="zh-CN"/>
        </w:rPr>
        <w:t>1.64</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27.66%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bCs/>
          <w:color w:val="000000"/>
          <w:sz w:val="32"/>
          <w:szCs w:val="32"/>
          <w:lang w:eastAsia="zh-CN"/>
        </w:rPr>
        <w:t>财政压减预算拨款</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其中：公务用车购置支出0万元。全年按规定更新购置公务用车0辆，其中：轿车0辆、金额0万元，越野车0辆、金额0万元，载客汽车0辆、金额0</w:t>
      </w:r>
      <w:r>
        <w:rPr>
          <w:rFonts w:hint="eastAsia" w:ascii="仿宋_GB2312" w:hAnsi="仿宋_GB2312" w:eastAsia="仿宋_GB2312" w:cs="仿宋_GB2312"/>
          <w:bCs/>
          <w:color w:val="000000"/>
          <w:sz w:val="32"/>
          <w:szCs w:val="32"/>
          <w:lang w:eastAsia="zh-CN"/>
        </w:rPr>
        <w:t>万元</w:t>
      </w:r>
      <w:r>
        <w:rPr>
          <w:rFonts w:hint="eastAsia" w:ascii="仿宋_GB2312" w:hAnsi="仿宋_GB2312" w:eastAsia="仿宋_GB2312" w:cs="仿宋_GB2312"/>
          <w:bCs/>
          <w:color w:val="000000"/>
          <w:sz w:val="32"/>
          <w:szCs w:val="32"/>
        </w:rPr>
        <w:t>。截至202</w:t>
      </w:r>
      <w:r>
        <w:rPr>
          <w:rFonts w:hint="eastAsia" w:ascii="仿宋_GB2312" w:hAnsi="仿宋_GB2312" w:eastAsia="仿宋_GB2312" w:cs="仿宋_GB2312"/>
          <w:bCs/>
          <w:color w:val="000000"/>
          <w:sz w:val="32"/>
          <w:szCs w:val="32"/>
          <w:lang w:val="en-US" w:eastAsia="zh-CN"/>
        </w:rPr>
        <w:t>2</w:t>
      </w:r>
      <w:r>
        <w:rPr>
          <w:rFonts w:hint="eastAsia" w:ascii="仿宋_GB2312" w:hAnsi="仿宋_GB2312" w:eastAsia="仿宋_GB2312" w:cs="仿宋_GB2312"/>
          <w:bCs/>
          <w:color w:val="000000"/>
          <w:sz w:val="32"/>
          <w:szCs w:val="32"/>
        </w:rPr>
        <w:t>年12月底，单位账面共有其他用车</w:t>
      </w:r>
      <w:r>
        <w:rPr>
          <w:rFonts w:hint="eastAsia" w:ascii="仿宋_GB2312" w:hAnsi="仿宋_GB2312" w:eastAsia="仿宋_GB2312" w:cs="仿宋_GB2312"/>
          <w:bCs/>
          <w:color w:val="000000"/>
          <w:sz w:val="32"/>
          <w:szCs w:val="32"/>
          <w:lang w:val="en-US" w:eastAsia="zh-CN"/>
        </w:rPr>
        <w:t>4</w:t>
      </w:r>
      <w:r>
        <w:rPr>
          <w:rFonts w:hint="eastAsia" w:ascii="仿宋_GB2312" w:hAnsi="仿宋_GB2312" w:eastAsia="仿宋_GB2312" w:cs="仿宋_GB2312"/>
          <w:bCs/>
          <w:color w:val="000000"/>
          <w:sz w:val="32"/>
          <w:szCs w:val="32"/>
        </w:rPr>
        <w:t>车辆，但实有公务用车为</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辆（</w:t>
      </w:r>
      <w:r>
        <w:rPr>
          <w:rFonts w:hint="eastAsia" w:ascii="仿宋_GB2312" w:hAnsi="宋体" w:eastAsia="仿宋_GB2312"/>
          <w:sz w:val="32"/>
          <w:szCs w:val="32"/>
        </w:rPr>
        <w:t>2016年7月公车改革时攀枝花市机关事务管理局将车辆调回进行拍卖处置</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sz w:val="32"/>
          <w:szCs w:val="32"/>
        </w:rPr>
        <w:t>因资料遗失</w:t>
      </w:r>
      <w:r>
        <w:rPr>
          <w:rFonts w:hint="eastAsia" w:ascii="仿宋_GB2312" w:hAnsi="仿宋_GB2312" w:eastAsia="仿宋_GB2312" w:cs="仿宋_GB2312"/>
          <w:sz w:val="32"/>
          <w:szCs w:val="32"/>
          <w:lang w:eastAsia="zh-CN"/>
        </w:rPr>
        <w:t>暂</w:t>
      </w:r>
      <w:r>
        <w:rPr>
          <w:rFonts w:hint="eastAsia" w:ascii="仿宋_GB2312" w:hAnsi="仿宋_GB2312" w:eastAsia="仿宋_GB2312" w:cs="仿宋_GB2312"/>
          <w:sz w:val="32"/>
          <w:szCs w:val="32"/>
        </w:rPr>
        <w:t>无法批复核销），</w:t>
      </w:r>
      <w:r>
        <w:rPr>
          <w:rFonts w:hint="eastAsia" w:ascii="仿宋_GB2312" w:hAnsi="仿宋_GB2312" w:eastAsia="仿宋_GB2312" w:cs="仿宋_GB2312"/>
          <w:bCs/>
          <w:color w:val="000000"/>
          <w:sz w:val="32"/>
          <w:szCs w:val="32"/>
        </w:rPr>
        <w:t>其中：轿车</w:t>
      </w:r>
      <w:r>
        <w:rPr>
          <w:rFonts w:hint="eastAsia" w:ascii="仿宋_GB2312" w:hAnsi="仿宋_GB2312" w:eastAsia="仿宋_GB2312" w:cs="仿宋_GB2312"/>
          <w:bCs/>
          <w:color w:val="000000"/>
          <w:sz w:val="32"/>
          <w:szCs w:val="32"/>
          <w:lang w:val="en-US" w:eastAsia="zh-CN"/>
        </w:rPr>
        <w:t>2</w:t>
      </w:r>
      <w:r>
        <w:rPr>
          <w:rFonts w:hint="eastAsia" w:ascii="仿宋_GB2312" w:hAnsi="仿宋_GB2312" w:eastAsia="仿宋_GB2312" w:cs="仿宋_GB2312"/>
          <w:bCs/>
          <w:color w:val="000000"/>
          <w:sz w:val="32"/>
          <w:szCs w:val="32"/>
        </w:rPr>
        <w:t>辆、越野车1辆、载客汽车0辆。</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公务用车运行维护费支出</w:t>
      </w:r>
      <w:r>
        <w:rPr>
          <w:rFonts w:hint="eastAsia" w:ascii="仿宋_GB2312" w:hAnsi="仿宋_GB2312" w:eastAsia="仿宋_GB2312" w:cs="仿宋_GB2312"/>
          <w:bCs/>
          <w:color w:val="000000"/>
          <w:sz w:val="32"/>
          <w:szCs w:val="32"/>
          <w:lang w:val="en-US" w:eastAsia="zh-CN"/>
        </w:rPr>
        <w:t>4.29</w:t>
      </w:r>
      <w:r>
        <w:rPr>
          <w:rFonts w:hint="eastAsia" w:ascii="仿宋_GB2312" w:hAnsi="仿宋_GB2312" w:eastAsia="仿宋_GB2312" w:cs="仿宋_GB2312"/>
          <w:bCs/>
          <w:color w:val="000000"/>
          <w:sz w:val="32"/>
          <w:szCs w:val="32"/>
        </w:rPr>
        <w:t>万元。主要用于</w:t>
      </w:r>
      <w:r>
        <w:rPr>
          <w:rFonts w:hint="eastAsia" w:ascii="仿宋_GB2312" w:eastAsia="仿宋_GB2312" w:cs="仿宋_GB2312"/>
          <w:sz w:val="32"/>
          <w:szCs w:val="32"/>
        </w:rPr>
        <w:t>接待、招商引资、信息联络、离</w:t>
      </w:r>
      <w:r>
        <w:rPr>
          <w:rFonts w:hint="eastAsia" w:ascii="仿宋_GB2312" w:eastAsia="仿宋_GB2312" w:cs="仿宋_GB2312"/>
          <w:sz w:val="32"/>
          <w:szCs w:val="32"/>
          <w:lang w:eastAsia="zh-CN"/>
        </w:rPr>
        <w:t>退</w:t>
      </w:r>
      <w:r>
        <w:rPr>
          <w:rFonts w:hint="eastAsia" w:ascii="仿宋_GB2312" w:eastAsia="仿宋_GB2312" w:cs="仿宋_GB2312"/>
          <w:sz w:val="32"/>
          <w:szCs w:val="32"/>
        </w:rPr>
        <w:t>休老干部服务工作及单位日常工作正常运行</w:t>
      </w:r>
      <w:r>
        <w:rPr>
          <w:rFonts w:hint="eastAsia" w:ascii="仿宋_GB2312" w:eastAsia="仿宋_GB2312"/>
          <w:color w:val="000000"/>
          <w:sz w:val="32"/>
          <w:szCs w:val="32"/>
        </w:rPr>
        <w:t>等所需的</w:t>
      </w:r>
      <w:r>
        <w:rPr>
          <w:rFonts w:hint="eastAsia" w:ascii="仿宋_GB2312" w:hAnsi="仿宋_GB2312" w:eastAsia="仿宋_GB2312" w:cs="仿宋_GB2312"/>
          <w:bCs/>
          <w:color w:val="000000"/>
          <w:sz w:val="32"/>
          <w:szCs w:val="32"/>
        </w:rPr>
        <w:t>公务用车燃料费、维修费、过路过桥费、保险费等支出。</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公务接待费支出</w:t>
      </w:r>
      <w:r>
        <w:rPr>
          <w:rFonts w:hint="eastAsia" w:ascii="仿宋_GB2312" w:hAnsi="仿宋_GB2312" w:eastAsia="仿宋_GB2312" w:cs="仿宋_GB2312"/>
          <w:bCs/>
          <w:color w:val="000000"/>
          <w:sz w:val="32"/>
          <w:szCs w:val="32"/>
          <w:lang w:val="en-US" w:eastAsia="zh-CN"/>
        </w:rPr>
        <w:t>17.50</w:t>
      </w:r>
      <w:r>
        <w:rPr>
          <w:rFonts w:hint="eastAsia" w:ascii="仿宋_GB2312" w:hAnsi="仿宋_GB2312" w:eastAsia="仿宋_GB2312" w:cs="仿宋_GB2312"/>
          <w:bCs/>
          <w:color w:val="000000"/>
          <w:sz w:val="32"/>
          <w:szCs w:val="32"/>
        </w:rPr>
        <w:t>万元，</w:t>
      </w:r>
      <w:r>
        <w:rPr>
          <w:rStyle w:val="16"/>
          <w:rFonts w:hint="eastAsia" w:ascii="仿宋_GB2312" w:hAnsi="仿宋_GB2312" w:eastAsia="仿宋_GB2312" w:cs="仿宋_GB2312"/>
          <w:b w:val="0"/>
          <w:bCs/>
          <w:sz w:val="32"/>
          <w:szCs w:val="32"/>
        </w:rPr>
        <w:t>完成预算</w:t>
      </w:r>
      <w:r>
        <w:rPr>
          <w:rStyle w:val="16"/>
          <w:rFonts w:hint="eastAsia" w:ascii="仿宋_GB2312" w:hAnsi="仿宋_GB2312" w:eastAsia="仿宋_GB2312" w:cs="仿宋_GB2312"/>
          <w:b w:val="0"/>
          <w:bCs/>
          <w:sz w:val="32"/>
          <w:szCs w:val="32"/>
          <w:lang w:val="en-US" w:eastAsia="zh-CN"/>
        </w:rPr>
        <w:t>100</w:t>
      </w:r>
      <w:r>
        <w:rPr>
          <w:rStyle w:val="16"/>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rPr>
        <w:t>公务接待费支出决算比2021年减少</w:t>
      </w:r>
      <w:r>
        <w:rPr>
          <w:rFonts w:hint="eastAsia" w:ascii="仿宋_GB2312" w:hAnsi="仿宋_GB2312" w:eastAsia="仿宋_GB2312" w:cs="仿宋_GB2312"/>
          <w:sz w:val="32"/>
          <w:szCs w:val="32"/>
          <w:lang w:val="en-US" w:eastAsia="zh-CN"/>
        </w:rPr>
        <w:t>0.30</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1.69</w:t>
      </w:r>
      <w:r>
        <w:rPr>
          <w:rFonts w:hint="eastAsia" w:ascii="仿宋_GB2312" w:hAnsi="仿宋_GB2312" w:eastAsia="仿宋_GB2312" w:cs="仿宋_GB2312"/>
          <w:sz w:val="32"/>
          <w:szCs w:val="32"/>
        </w:rPr>
        <w:t>%。主要原因是</w:t>
      </w:r>
      <w:r>
        <w:rPr>
          <w:rFonts w:hint="eastAsia" w:ascii="仿宋_GB2312" w:hAnsi="仿宋_GB2312" w:eastAsia="仿宋_GB2312" w:cs="仿宋_GB2312"/>
          <w:color w:val="000000"/>
          <w:sz w:val="32"/>
          <w:szCs w:val="32"/>
          <w:lang w:val="en-US" w:eastAsia="zh-CN"/>
        </w:rPr>
        <w:t>财政资金困难压缩了单位预算</w:t>
      </w:r>
      <w:r>
        <w:rPr>
          <w:rFonts w:hint="eastAsia" w:ascii="仿宋_GB2312" w:hAnsi="仿宋_GB2312" w:eastAsia="仿宋_GB2312" w:cs="仿宋_GB2312"/>
          <w:sz w:val="32"/>
          <w:szCs w:val="32"/>
        </w:rPr>
        <w:t>。其中：</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国内公务接待支出</w:t>
      </w:r>
      <w:r>
        <w:rPr>
          <w:rFonts w:hint="eastAsia" w:ascii="仿宋_GB2312" w:hAnsi="仿宋_GB2312" w:eastAsia="仿宋_GB2312" w:cs="仿宋_GB2312"/>
          <w:bCs/>
          <w:color w:val="000000"/>
          <w:sz w:val="32"/>
          <w:szCs w:val="32"/>
          <w:lang w:val="en-US" w:eastAsia="zh-CN"/>
        </w:rPr>
        <w:t>17.50</w:t>
      </w:r>
      <w:r>
        <w:rPr>
          <w:rFonts w:hint="eastAsia" w:ascii="仿宋_GB2312" w:hAnsi="仿宋_GB2312" w:eastAsia="仿宋_GB2312" w:cs="仿宋_GB2312"/>
          <w:bCs/>
          <w:color w:val="000000"/>
          <w:sz w:val="32"/>
          <w:szCs w:val="32"/>
        </w:rPr>
        <w:t>万元</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主要用于执行公务、开展业务活动开支的交通费、住宿费、用餐费等。国内公务接待4</w:t>
      </w:r>
      <w:r>
        <w:rPr>
          <w:rFonts w:hint="eastAsia" w:ascii="仿宋_GB2312" w:hAnsi="仿宋_GB2312" w:eastAsia="仿宋_GB2312" w:cs="仿宋_GB2312"/>
          <w:bCs/>
          <w:color w:val="000000"/>
          <w:sz w:val="32"/>
          <w:szCs w:val="32"/>
          <w:lang w:val="en-US" w:eastAsia="zh-CN"/>
        </w:rPr>
        <w:t>45</w:t>
      </w:r>
      <w:r>
        <w:rPr>
          <w:rFonts w:hint="eastAsia" w:ascii="仿宋_GB2312" w:hAnsi="仿宋_GB2312" w:eastAsia="仿宋_GB2312" w:cs="仿宋_GB2312"/>
          <w:bCs/>
          <w:color w:val="000000"/>
          <w:sz w:val="32"/>
          <w:szCs w:val="32"/>
        </w:rPr>
        <w:t>批次，1</w:t>
      </w:r>
      <w:r>
        <w:rPr>
          <w:rFonts w:hint="eastAsia" w:ascii="仿宋_GB2312" w:hAnsi="仿宋_GB2312" w:eastAsia="仿宋_GB2312" w:cs="仿宋_GB2312"/>
          <w:bCs/>
          <w:color w:val="000000"/>
          <w:sz w:val="32"/>
          <w:szCs w:val="32"/>
          <w:lang w:val="en-US" w:eastAsia="zh-CN"/>
        </w:rPr>
        <w:t>326</w:t>
      </w:r>
      <w:r>
        <w:rPr>
          <w:rFonts w:hint="eastAsia" w:ascii="仿宋_GB2312" w:hAnsi="仿宋_GB2312" w:eastAsia="仿宋_GB2312" w:cs="仿宋_GB2312"/>
          <w:bCs/>
          <w:color w:val="000000"/>
          <w:sz w:val="32"/>
          <w:szCs w:val="32"/>
        </w:rPr>
        <w:t>人次（不包括陪同人员），共计支出</w:t>
      </w:r>
      <w:r>
        <w:rPr>
          <w:rFonts w:hint="eastAsia" w:ascii="仿宋_GB2312" w:hAnsi="仿宋_GB2312" w:eastAsia="仿宋_GB2312" w:cs="仿宋_GB2312"/>
          <w:bCs/>
          <w:color w:val="000000"/>
          <w:sz w:val="32"/>
          <w:szCs w:val="32"/>
          <w:lang w:val="en-US" w:eastAsia="zh-CN"/>
        </w:rPr>
        <w:t>17.50</w:t>
      </w:r>
      <w:r>
        <w:rPr>
          <w:rFonts w:hint="eastAsia" w:ascii="仿宋_GB2312" w:hAnsi="仿宋_GB2312" w:eastAsia="仿宋_GB2312" w:cs="仿宋_GB2312"/>
          <w:bCs/>
          <w:color w:val="000000"/>
          <w:sz w:val="32"/>
          <w:szCs w:val="32"/>
        </w:rPr>
        <w:t>万元，具体内容包括：</w:t>
      </w:r>
      <w:r>
        <w:rPr>
          <w:rFonts w:hint="eastAsia" w:ascii="仿宋_GB2312" w:eastAsia="仿宋_GB2312" w:cs="仿宋_GB2312"/>
          <w:sz w:val="32"/>
          <w:szCs w:val="32"/>
        </w:rPr>
        <w:t>矿泉水和茶叶等接待用品共0.</w:t>
      </w:r>
      <w:r>
        <w:rPr>
          <w:rFonts w:hint="eastAsia" w:ascii="仿宋_GB2312" w:eastAsia="仿宋_GB2312" w:cs="仿宋_GB2312"/>
          <w:sz w:val="32"/>
          <w:szCs w:val="32"/>
          <w:lang w:val="en-US" w:eastAsia="zh-CN"/>
        </w:rPr>
        <w:t>35</w:t>
      </w:r>
      <w:r>
        <w:rPr>
          <w:rFonts w:hint="eastAsia" w:ascii="仿宋_GB2312" w:eastAsia="仿宋_GB2312" w:cs="仿宋_GB2312"/>
          <w:sz w:val="32"/>
          <w:szCs w:val="32"/>
        </w:rPr>
        <w:t>万元、餐费支出</w:t>
      </w:r>
      <w:r>
        <w:rPr>
          <w:rFonts w:hint="eastAsia" w:ascii="仿宋_GB2312" w:eastAsia="仿宋_GB2312" w:cs="仿宋_GB2312"/>
          <w:sz w:val="32"/>
          <w:szCs w:val="32"/>
          <w:lang w:val="en-US" w:eastAsia="zh-CN"/>
        </w:rPr>
        <w:t>4.13</w:t>
      </w:r>
      <w:r>
        <w:rPr>
          <w:rFonts w:hint="eastAsia" w:ascii="仿宋_GB2312" w:eastAsia="仿宋_GB2312" w:cs="仿宋_GB2312"/>
          <w:sz w:val="32"/>
          <w:szCs w:val="32"/>
        </w:rPr>
        <w:t>万元、攀枝花农产品支出</w:t>
      </w:r>
      <w:r>
        <w:rPr>
          <w:rFonts w:hint="eastAsia" w:ascii="仿宋_GB2312" w:eastAsia="仿宋_GB2312" w:cs="仿宋_GB2312"/>
          <w:sz w:val="32"/>
          <w:szCs w:val="32"/>
          <w:lang w:val="en-US" w:eastAsia="zh-CN"/>
        </w:rPr>
        <w:t>10.90</w:t>
      </w:r>
      <w:r>
        <w:rPr>
          <w:rFonts w:hint="eastAsia" w:ascii="仿宋_GB2312" w:eastAsia="仿宋_GB2312" w:cs="仿宋_GB2312"/>
          <w:sz w:val="32"/>
          <w:szCs w:val="32"/>
        </w:rPr>
        <w:t>万元</w:t>
      </w:r>
      <w:r>
        <w:rPr>
          <w:rFonts w:hint="eastAsia" w:asci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招商引资活动工作餐费2.12万元</w:t>
      </w:r>
      <w:r>
        <w:rPr>
          <w:rFonts w:hint="eastAsia" w:ascii="仿宋_GB2312" w:eastAsia="仿宋_GB2312" w:cs="仿宋_GB2312"/>
          <w:sz w:val="32"/>
          <w:szCs w:val="32"/>
        </w:rPr>
        <w:t>。</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sz w:val="32"/>
          <w:szCs w:val="32"/>
        </w:rPr>
        <w:t>外事接待支出0万元</w:t>
      </w:r>
      <w:r>
        <w:rPr>
          <w:rFonts w:hint="eastAsia" w:ascii="仿宋_GB2312" w:hAnsi="仿宋_GB2312" w:eastAsia="仿宋_GB2312" w:cs="仿宋_GB2312"/>
          <w:bCs/>
          <w:color w:val="000000" w:themeColor="text1"/>
          <w:sz w:val="32"/>
          <w:szCs w:val="32"/>
        </w:rPr>
        <w:t>，外事接待0批次，0人，共计支出0万元。</w:t>
      </w:r>
    </w:p>
    <w:p>
      <w:pPr>
        <w:keepNext w:val="0"/>
        <w:keepLines w:val="0"/>
        <w:pageBreakBefore w:val="0"/>
        <w:kinsoku/>
        <w:wordWrap/>
        <w:overflowPunct/>
        <w:topLinePunct w:val="0"/>
        <w:bidi w:val="0"/>
        <w:spacing w:line="560" w:lineRule="exact"/>
        <w:ind w:firstLine="640" w:firstLineChars="200"/>
        <w:textAlignment w:val="auto"/>
        <w:outlineLvl w:val="1"/>
        <w:rPr>
          <w:rStyle w:val="28"/>
          <w:rFonts w:ascii="黑体" w:hAnsi="黑体" w:eastAsia="黑体"/>
          <w:b w:val="0"/>
          <w:bCs/>
        </w:rPr>
      </w:pPr>
      <w:bookmarkStart w:id="42" w:name="_Toc15377218"/>
      <w:bookmarkStart w:id="43" w:name="_Toc15396610"/>
      <w:r>
        <w:rPr>
          <w:rFonts w:hint="eastAsia" w:ascii="黑体" w:eastAsia="黑体"/>
          <w:b w:val="0"/>
          <w:bCs/>
          <w:color w:val="000000"/>
          <w:sz w:val="32"/>
          <w:szCs w:val="32"/>
        </w:rPr>
        <w:t>八、</w:t>
      </w:r>
      <w:r>
        <w:rPr>
          <w:rStyle w:val="28"/>
          <w:rFonts w:hint="eastAsia" w:ascii="黑体" w:hAnsi="黑体" w:eastAsia="黑体"/>
          <w:b w:val="0"/>
          <w:bCs/>
        </w:rPr>
        <w:t>政府性基金预算支出决算情况说明</w:t>
      </w:r>
      <w:bookmarkEnd w:id="42"/>
      <w:bookmarkEnd w:id="43"/>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eastAsia="仿宋_GB2312"/>
          <w:b w:val="0"/>
          <w:bCs/>
          <w:color w:val="000000"/>
          <w:sz w:val="32"/>
          <w:szCs w:val="32"/>
        </w:rPr>
      </w:pPr>
      <w:r>
        <w:rPr>
          <w:rFonts w:hint="eastAsia" w:ascii="仿宋_GB2312" w:hAnsi="仿宋_GB2312" w:eastAsia="仿宋_GB2312" w:cs="仿宋_GB2312"/>
          <w:b w:val="0"/>
          <w:bCs/>
          <w:color w:val="000000"/>
          <w:sz w:val="32"/>
          <w:szCs w:val="32"/>
        </w:rPr>
        <w:t>202</w:t>
      </w:r>
      <w:r>
        <w:rPr>
          <w:rFonts w:hint="eastAsia" w:ascii="仿宋_GB2312" w:hAnsi="仿宋_GB2312" w:eastAsia="仿宋_GB2312" w:cs="仿宋_GB2312"/>
          <w:b w:val="0"/>
          <w:bCs/>
          <w:color w:val="000000"/>
          <w:sz w:val="32"/>
          <w:szCs w:val="32"/>
          <w:lang w:val="en-US" w:eastAsia="zh-CN"/>
        </w:rPr>
        <w:t>2</w:t>
      </w:r>
      <w:r>
        <w:rPr>
          <w:rFonts w:hint="eastAsia" w:ascii="仿宋_GB2312" w:hAnsi="仿宋_GB2312" w:eastAsia="仿宋_GB2312" w:cs="仿宋_GB2312"/>
          <w:b w:val="0"/>
          <w:bCs/>
          <w:color w:val="000000"/>
          <w:sz w:val="32"/>
          <w:szCs w:val="32"/>
        </w:rPr>
        <w:t>年政府性基金预算</w:t>
      </w:r>
      <w:r>
        <w:rPr>
          <w:rFonts w:hint="eastAsia" w:ascii="仿宋_GB2312" w:hAnsi="仿宋_GB2312" w:eastAsia="仿宋_GB2312" w:cs="仿宋_GB2312"/>
          <w:b w:val="0"/>
          <w:bCs/>
          <w:color w:val="000000"/>
          <w:sz w:val="32"/>
          <w:szCs w:val="32"/>
          <w:lang w:eastAsia="zh-CN"/>
        </w:rPr>
        <w:t>财政</w:t>
      </w:r>
      <w:r>
        <w:rPr>
          <w:rFonts w:hint="eastAsia" w:ascii="仿宋_GB2312" w:hAnsi="仿宋_GB2312" w:eastAsia="仿宋_GB2312" w:cs="仿宋_GB2312"/>
          <w:b w:val="0"/>
          <w:bCs/>
          <w:color w:val="000000"/>
          <w:sz w:val="32"/>
          <w:szCs w:val="32"/>
        </w:rPr>
        <w:t>拨款支出</w:t>
      </w:r>
      <w:r>
        <w:rPr>
          <w:rFonts w:hint="eastAsia" w:ascii="仿宋_GB2312" w:hAnsi="仿宋_GB2312" w:eastAsia="仿宋_GB2312" w:cs="仿宋_GB2312"/>
          <w:b w:val="0"/>
          <w:bCs/>
          <w:color w:val="000000"/>
          <w:sz w:val="32"/>
          <w:szCs w:val="32"/>
          <w:lang w:val="en-US" w:eastAsia="zh-CN"/>
        </w:rPr>
        <w:t>0</w:t>
      </w:r>
      <w:r>
        <w:rPr>
          <w:rFonts w:hint="eastAsia" w:ascii="仿宋_GB2312" w:hAnsi="仿宋_GB2312" w:eastAsia="仿宋_GB2312" w:cs="仿宋_GB2312"/>
          <w:b w:val="0"/>
          <w:bCs/>
          <w:color w:val="000000"/>
          <w:sz w:val="32"/>
          <w:szCs w:val="32"/>
        </w:rPr>
        <w:t>万元</w:t>
      </w:r>
      <w:r>
        <w:rPr>
          <w:rFonts w:hint="eastAsia" w:ascii="仿宋_GB2312" w:hAnsi="仿宋_GB2312" w:eastAsia="仿宋_GB2312" w:cs="仿宋_GB2312"/>
          <w:b w:val="0"/>
          <w:bCs/>
          <w:color w:val="000000"/>
          <w:kern w:val="0"/>
          <w:sz w:val="32"/>
          <w:szCs w:val="32"/>
        </w:rPr>
        <w:t>。</w:t>
      </w:r>
    </w:p>
    <w:p>
      <w:pPr>
        <w:keepNext w:val="0"/>
        <w:keepLines w:val="0"/>
        <w:pageBreakBefore w:val="0"/>
        <w:kinsoku/>
        <w:wordWrap/>
        <w:overflowPunct/>
        <w:topLinePunct w:val="0"/>
        <w:bidi w:val="0"/>
        <w:spacing w:line="560" w:lineRule="exact"/>
        <w:ind w:firstLine="640" w:firstLineChars="200"/>
        <w:textAlignment w:val="auto"/>
        <w:outlineLvl w:val="1"/>
        <w:rPr>
          <w:rStyle w:val="28"/>
          <w:rFonts w:ascii="黑体" w:hAnsi="黑体" w:eastAsia="黑体"/>
          <w:b w:val="0"/>
          <w:bCs/>
        </w:rPr>
      </w:pPr>
      <w:bookmarkStart w:id="44" w:name="_Toc15377219"/>
      <w:bookmarkStart w:id="45" w:name="_Toc15396611"/>
      <w:r>
        <w:rPr>
          <w:rStyle w:val="28"/>
          <w:rFonts w:hint="eastAsia" w:ascii="黑体" w:hAnsi="黑体" w:eastAsia="黑体"/>
          <w:b w:val="0"/>
          <w:bCs/>
        </w:rPr>
        <w:t>九、国有资本经营预算支出决算情况说明</w:t>
      </w:r>
      <w:bookmarkEnd w:id="44"/>
      <w:bookmarkEnd w:id="45"/>
    </w:p>
    <w:p>
      <w:pPr>
        <w:keepNext w:val="0"/>
        <w:keepLines w:val="0"/>
        <w:pageBreakBefore w:val="0"/>
        <w:widowControl/>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color w:val="000000"/>
          <w:sz w:val="32"/>
          <w:szCs w:val="32"/>
        </w:rPr>
        <w:t>202</w:t>
      </w:r>
      <w:r>
        <w:rPr>
          <w:rFonts w:hint="eastAsia" w:ascii="仿宋_GB2312" w:hAnsi="仿宋_GB2312" w:eastAsia="仿宋_GB2312" w:cs="仿宋_GB2312"/>
          <w:b w:val="0"/>
          <w:bCs/>
          <w:color w:val="000000"/>
          <w:sz w:val="32"/>
          <w:szCs w:val="32"/>
          <w:lang w:val="en-US" w:eastAsia="zh-CN"/>
        </w:rPr>
        <w:t>2</w:t>
      </w:r>
      <w:r>
        <w:rPr>
          <w:rFonts w:hint="eastAsia" w:ascii="仿宋_GB2312" w:hAnsi="仿宋_GB2312" w:eastAsia="仿宋_GB2312" w:cs="仿宋_GB2312"/>
          <w:b w:val="0"/>
          <w:bCs/>
          <w:color w:val="000000"/>
          <w:sz w:val="32"/>
          <w:szCs w:val="32"/>
        </w:rPr>
        <w:t>年国有资本经营预算</w:t>
      </w:r>
      <w:r>
        <w:rPr>
          <w:rFonts w:hint="eastAsia" w:ascii="仿宋_GB2312" w:hAnsi="仿宋_GB2312" w:eastAsia="仿宋_GB2312" w:cs="仿宋_GB2312"/>
          <w:b w:val="0"/>
          <w:bCs/>
          <w:color w:val="000000"/>
          <w:sz w:val="32"/>
          <w:szCs w:val="32"/>
          <w:lang w:eastAsia="zh-CN"/>
        </w:rPr>
        <w:t>财政</w:t>
      </w:r>
      <w:r>
        <w:rPr>
          <w:rFonts w:hint="eastAsia" w:ascii="仿宋_GB2312" w:hAnsi="仿宋_GB2312" w:eastAsia="仿宋_GB2312" w:cs="仿宋_GB2312"/>
          <w:b w:val="0"/>
          <w:bCs/>
          <w:color w:val="000000"/>
          <w:sz w:val="32"/>
          <w:szCs w:val="32"/>
        </w:rPr>
        <w:t>拨款支出0万元。</w:t>
      </w:r>
    </w:p>
    <w:p>
      <w:pPr>
        <w:keepNext w:val="0"/>
        <w:keepLines w:val="0"/>
        <w:pageBreakBefore w:val="0"/>
        <w:kinsoku/>
        <w:wordWrap/>
        <w:overflowPunct/>
        <w:topLinePunct w:val="0"/>
        <w:bidi w:val="0"/>
        <w:spacing w:line="560" w:lineRule="exact"/>
        <w:ind w:firstLine="640" w:firstLineChars="200"/>
        <w:textAlignment w:val="auto"/>
        <w:outlineLvl w:val="1"/>
        <w:rPr>
          <w:rStyle w:val="28"/>
          <w:rFonts w:ascii="黑体" w:hAnsi="黑体" w:eastAsia="黑体"/>
          <w:b w:val="0"/>
          <w:bCs/>
        </w:rPr>
      </w:pPr>
      <w:bookmarkStart w:id="46" w:name="_Toc15396612"/>
      <w:bookmarkStart w:id="47" w:name="_Toc15377221"/>
      <w:r>
        <w:rPr>
          <w:rFonts w:hint="eastAsia" w:ascii="黑体" w:hAnsi="黑体" w:eastAsia="黑体"/>
          <w:b w:val="0"/>
          <w:bCs/>
          <w:color w:val="000000"/>
          <w:sz w:val="32"/>
          <w:szCs w:val="32"/>
        </w:rPr>
        <w:t>十</w:t>
      </w:r>
      <w:r>
        <w:rPr>
          <w:rStyle w:val="28"/>
          <w:rFonts w:hint="eastAsia" w:ascii="黑体" w:hAnsi="黑体" w:eastAsia="黑体"/>
          <w:b w:val="0"/>
          <w:bCs/>
        </w:rPr>
        <w:t>、其他重要事项的情况说明</w:t>
      </w:r>
      <w:bookmarkEnd w:id="46"/>
      <w:bookmarkEnd w:id="47"/>
    </w:p>
    <w:p>
      <w:pPr>
        <w:keepNext w:val="0"/>
        <w:keepLines w:val="0"/>
        <w:pageBreakBefore w:val="0"/>
        <w:kinsoku/>
        <w:wordWrap/>
        <w:overflowPunct/>
        <w:topLinePunct w:val="0"/>
        <w:bidi w:val="0"/>
        <w:spacing w:line="560" w:lineRule="exact"/>
        <w:ind w:firstLine="640" w:firstLineChars="200"/>
        <w:textAlignment w:val="auto"/>
        <w:outlineLvl w:val="2"/>
        <w:rPr>
          <w:rFonts w:hint="eastAsia" w:ascii="仿宋_GB2312" w:hAnsi="仿宋_GB2312" w:eastAsia="仿宋_GB2312" w:cs="仿宋_GB2312"/>
          <w:b w:val="0"/>
          <w:bCs/>
          <w:color w:val="000000"/>
          <w:sz w:val="32"/>
          <w:szCs w:val="32"/>
        </w:rPr>
      </w:pPr>
      <w:bookmarkStart w:id="48" w:name="_Toc15377222"/>
      <w:r>
        <w:rPr>
          <w:rFonts w:hint="eastAsia" w:ascii="楷体_GB2312" w:hAnsi="楷体_GB2312" w:eastAsia="楷体_GB2312" w:cs="楷体_GB2312"/>
          <w:b w:val="0"/>
          <w:bCs/>
          <w:color w:val="000000"/>
          <w:sz w:val="32"/>
          <w:szCs w:val="32"/>
        </w:rPr>
        <w:t>（一）机关运行经费支出情况</w:t>
      </w:r>
      <w:bookmarkEnd w:id="48"/>
    </w:p>
    <w:p>
      <w:pPr>
        <w:keepNext w:val="0"/>
        <w:keepLines w:val="0"/>
        <w:pageBreakBefore w:val="0"/>
        <w:kinsoku/>
        <w:wordWrap/>
        <w:overflowPunct/>
        <w:topLinePunct w:val="0"/>
        <w:bidi w:val="0"/>
        <w:snapToGrid w:val="0"/>
        <w:spacing w:line="560" w:lineRule="exact"/>
        <w:ind w:firstLine="640" w:firstLineChars="200"/>
        <w:textAlignment w:val="auto"/>
        <w:rPr>
          <w:rFonts w:hint="default" w:ascii="仿宋_GB2312" w:hAnsi="仿宋_GB2312" w:eastAsia="仿宋_GB2312" w:cs="仿宋_GB2312"/>
          <w:b w:val="0"/>
          <w:bCs/>
          <w:sz w:val="32"/>
          <w:szCs w:val="32"/>
          <w:lang w:val="en-US"/>
        </w:rPr>
      </w:pPr>
      <w:r>
        <w:rPr>
          <w:rFonts w:hint="eastAsia" w:ascii="仿宋_GB2312" w:eastAsia="仿宋_GB2312"/>
          <w:b w:val="0"/>
          <w:bCs/>
          <w:color w:val="000000"/>
          <w:sz w:val="32"/>
          <w:szCs w:val="32"/>
        </w:rPr>
        <w:t>202</w:t>
      </w:r>
      <w:r>
        <w:rPr>
          <w:rFonts w:hint="eastAsia" w:ascii="仿宋_GB2312" w:eastAsia="仿宋_GB2312"/>
          <w:b w:val="0"/>
          <w:bCs/>
          <w:color w:val="000000"/>
          <w:sz w:val="32"/>
          <w:szCs w:val="32"/>
          <w:lang w:val="en-US" w:eastAsia="zh-CN"/>
        </w:rPr>
        <w:t>2</w:t>
      </w:r>
      <w:r>
        <w:rPr>
          <w:rFonts w:hint="eastAsia" w:ascii="仿宋_GB2312" w:eastAsia="仿宋_GB2312"/>
          <w:b w:val="0"/>
          <w:bCs/>
          <w:color w:val="000000"/>
          <w:sz w:val="32"/>
          <w:szCs w:val="32"/>
        </w:rPr>
        <w:t>年，</w:t>
      </w:r>
      <w:r>
        <w:rPr>
          <w:rFonts w:hint="eastAsia" w:ascii="仿宋_GB2312" w:eastAsia="仿宋_GB2312"/>
          <w:b w:val="0"/>
          <w:bCs/>
          <w:color w:val="000000"/>
          <w:sz w:val="32"/>
          <w:szCs w:val="32"/>
          <w:lang w:val="en-US" w:eastAsia="zh-CN"/>
        </w:rPr>
        <w:t>成</w:t>
      </w:r>
      <w:r>
        <w:rPr>
          <w:rFonts w:hint="eastAsia" w:ascii="仿宋_GB2312" w:eastAsia="仿宋_GB2312"/>
          <w:b w:val="0"/>
          <w:bCs/>
          <w:color w:val="000000"/>
          <w:sz w:val="32"/>
          <w:szCs w:val="32"/>
          <w:lang w:eastAsia="zh-CN"/>
        </w:rPr>
        <w:t>办</w:t>
      </w:r>
      <w:r>
        <w:rPr>
          <w:rFonts w:hint="eastAsia" w:ascii="仿宋_GB2312" w:eastAsia="仿宋_GB2312"/>
          <w:b w:val="0"/>
          <w:bCs/>
          <w:color w:val="000000"/>
          <w:sz w:val="32"/>
          <w:szCs w:val="32"/>
        </w:rPr>
        <w:t>机关运行经费支出</w:t>
      </w:r>
      <w:r>
        <w:rPr>
          <w:rFonts w:hint="eastAsia" w:ascii="仿宋_GB2312" w:eastAsia="仿宋_GB2312"/>
          <w:b w:val="0"/>
          <w:bCs/>
          <w:color w:val="000000"/>
          <w:sz w:val="32"/>
          <w:szCs w:val="32"/>
          <w:lang w:val="en-US" w:eastAsia="zh-CN"/>
        </w:rPr>
        <w:t>79.07</w:t>
      </w:r>
      <w:r>
        <w:rPr>
          <w:rFonts w:hint="eastAsia" w:ascii="仿宋_GB2312" w:eastAsia="仿宋_GB2312"/>
          <w:b w:val="0"/>
          <w:bCs/>
          <w:color w:val="000000"/>
          <w:sz w:val="32"/>
          <w:szCs w:val="32"/>
        </w:rPr>
        <w:t>万元，比20</w:t>
      </w:r>
      <w:r>
        <w:rPr>
          <w:rFonts w:hint="eastAsia" w:ascii="仿宋_GB2312" w:eastAsia="仿宋_GB2312"/>
          <w:b w:val="0"/>
          <w:bCs/>
          <w:color w:val="000000"/>
          <w:sz w:val="32"/>
          <w:szCs w:val="32"/>
          <w:lang w:val="en-US" w:eastAsia="zh-CN"/>
        </w:rPr>
        <w:t>21</w:t>
      </w:r>
      <w:r>
        <w:rPr>
          <w:rFonts w:hint="eastAsia" w:ascii="仿宋_GB2312" w:eastAsia="仿宋_GB2312"/>
          <w:b w:val="0"/>
          <w:bCs/>
          <w:color w:val="000000"/>
          <w:sz w:val="32"/>
          <w:szCs w:val="32"/>
        </w:rPr>
        <w:t>年</w:t>
      </w:r>
      <w:r>
        <w:rPr>
          <w:rFonts w:hint="eastAsia" w:ascii="仿宋_GB2312" w:eastAsia="仿宋_GB2312"/>
          <w:b w:val="0"/>
          <w:bCs/>
          <w:color w:val="000000"/>
          <w:sz w:val="32"/>
          <w:szCs w:val="32"/>
          <w:lang w:eastAsia="zh-CN"/>
        </w:rPr>
        <w:t>增加</w:t>
      </w:r>
      <w:r>
        <w:rPr>
          <w:rFonts w:hint="eastAsia" w:ascii="仿宋_GB2312" w:eastAsia="仿宋_GB2312"/>
          <w:b w:val="0"/>
          <w:bCs/>
          <w:color w:val="000000"/>
          <w:sz w:val="32"/>
          <w:szCs w:val="32"/>
          <w:lang w:val="en-US" w:eastAsia="zh-CN"/>
        </w:rPr>
        <w:t>32.17</w:t>
      </w:r>
      <w:r>
        <w:rPr>
          <w:rFonts w:hint="eastAsia" w:ascii="仿宋_GB2312" w:eastAsia="仿宋_GB2312"/>
          <w:b w:val="0"/>
          <w:bCs/>
          <w:color w:val="000000"/>
          <w:sz w:val="32"/>
          <w:szCs w:val="32"/>
        </w:rPr>
        <w:t>万元，</w:t>
      </w:r>
      <w:r>
        <w:rPr>
          <w:rFonts w:hint="eastAsia" w:ascii="仿宋_GB2312" w:eastAsia="仿宋_GB2312"/>
          <w:b w:val="0"/>
          <w:bCs/>
          <w:color w:val="000000"/>
          <w:sz w:val="32"/>
          <w:szCs w:val="32"/>
          <w:lang w:eastAsia="zh-CN"/>
        </w:rPr>
        <w:t>增长</w:t>
      </w:r>
      <w:r>
        <w:rPr>
          <w:rFonts w:hint="eastAsia" w:ascii="仿宋_GB2312" w:eastAsia="仿宋_GB2312"/>
          <w:b w:val="0"/>
          <w:bCs/>
          <w:color w:val="000000"/>
          <w:sz w:val="32"/>
          <w:szCs w:val="32"/>
          <w:lang w:val="en-US" w:eastAsia="zh-CN"/>
        </w:rPr>
        <w:t>68.59</w:t>
      </w:r>
      <w:r>
        <w:rPr>
          <w:rFonts w:hint="eastAsia" w:ascii="仿宋_GB2312" w:eastAsia="仿宋_GB2312"/>
          <w:b w:val="0"/>
          <w:bCs/>
          <w:color w:val="000000"/>
          <w:sz w:val="32"/>
          <w:szCs w:val="32"/>
        </w:rPr>
        <w:t>%。</w:t>
      </w:r>
      <w:r>
        <w:rPr>
          <w:rFonts w:hint="eastAsia" w:ascii="仿宋_GB2312" w:eastAsia="仿宋_GB2312"/>
          <w:b w:val="0"/>
          <w:bCs/>
          <w:color w:val="000000" w:themeColor="text1"/>
          <w:sz w:val="32"/>
          <w:szCs w:val="32"/>
        </w:rPr>
        <w:t>主要原因是：</w:t>
      </w:r>
      <w:r>
        <w:rPr>
          <w:rFonts w:hint="eastAsia" w:ascii="仿宋_GB2312" w:hAnsi="仿宋_GB2312" w:eastAsia="仿宋_GB2312" w:cs="仿宋_GB2312"/>
          <w:b w:val="0"/>
          <w:bCs/>
          <w:color w:val="000000"/>
          <w:sz w:val="32"/>
          <w:szCs w:val="32"/>
          <w:lang w:val="en-US" w:eastAsia="zh-CN"/>
        </w:rPr>
        <w:t>今年的</w:t>
      </w:r>
      <w:r>
        <w:rPr>
          <w:rFonts w:hint="eastAsia" w:ascii="仿宋_GB2312" w:hAnsi="仿宋_GB2312" w:eastAsia="仿宋_GB2312" w:cs="仿宋_GB2312"/>
          <w:b w:val="0"/>
          <w:bCs/>
          <w:sz w:val="32"/>
          <w:szCs w:val="32"/>
          <w:lang w:val="en-US" w:eastAsia="zh-CN"/>
        </w:rPr>
        <w:t>公务接待费由2021年单独核算的项目支出又调回</w:t>
      </w:r>
      <w:r>
        <w:rPr>
          <w:rFonts w:hint="eastAsia" w:ascii="仿宋_GB2312" w:hAnsi="仿宋_GB2312" w:eastAsia="仿宋_GB2312" w:cs="仿宋_GB2312"/>
          <w:b w:val="0"/>
          <w:bCs/>
          <w:color w:val="000000"/>
          <w:sz w:val="32"/>
          <w:szCs w:val="32"/>
        </w:rPr>
        <w:t>机关运行经费</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sz w:val="32"/>
          <w:szCs w:val="32"/>
          <w:lang w:val="en-US" w:eastAsia="zh-CN"/>
        </w:rPr>
        <w:t>基本支出）中核算，加之去年因财政资金困难，大幅缩减了日常公用经费支出，而2022年拨款基本正常，所以机关运行经费较上年增长较多。</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textAlignment w:val="auto"/>
        <w:outlineLvl w:val="2"/>
        <w:rPr>
          <w:rFonts w:hint="eastAsia" w:ascii="仿宋_GB2312" w:hAnsi="仿宋_GB2312" w:eastAsia="仿宋_GB2312" w:cs="仿宋_GB2312"/>
          <w:b w:val="0"/>
          <w:bCs/>
          <w:color w:val="000000"/>
          <w:sz w:val="32"/>
          <w:szCs w:val="32"/>
        </w:rPr>
      </w:pPr>
      <w:bookmarkStart w:id="49" w:name="_Toc15377223"/>
      <w:r>
        <w:rPr>
          <w:rFonts w:hint="eastAsia" w:ascii="楷体_GB2312" w:hAnsi="楷体_GB2312" w:eastAsia="楷体_GB2312" w:cs="楷体_GB2312"/>
          <w:b w:val="0"/>
          <w:bCs/>
          <w:color w:val="000000"/>
          <w:sz w:val="32"/>
          <w:szCs w:val="32"/>
        </w:rPr>
        <w:t>（二）政府采购支出情况</w:t>
      </w:r>
      <w:bookmarkEnd w:id="49"/>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val="0"/>
          <w:bCs/>
          <w:color w:val="000000"/>
          <w:sz w:val="32"/>
          <w:szCs w:val="32"/>
        </w:rPr>
        <w:t>202</w:t>
      </w:r>
      <w:r>
        <w:rPr>
          <w:rFonts w:hint="eastAsia" w:ascii="仿宋_GB2312" w:hAnsi="仿宋_GB2312" w:eastAsia="仿宋_GB2312" w:cs="仿宋_GB2312"/>
          <w:b w:val="0"/>
          <w:bCs/>
          <w:color w:val="000000"/>
          <w:sz w:val="32"/>
          <w:szCs w:val="32"/>
          <w:lang w:val="en-US" w:eastAsia="zh-CN"/>
        </w:rPr>
        <w:t>2</w:t>
      </w:r>
      <w:r>
        <w:rPr>
          <w:rFonts w:hint="eastAsia" w:ascii="仿宋_GB2312" w:hAnsi="仿宋_GB2312" w:eastAsia="仿宋_GB2312" w:cs="仿宋_GB2312"/>
          <w:b w:val="0"/>
          <w:bCs/>
          <w:color w:val="000000"/>
          <w:sz w:val="32"/>
          <w:szCs w:val="32"/>
        </w:rPr>
        <w:t>年，</w:t>
      </w:r>
      <w:r>
        <w:rPr>
          <w:rFonts w:hint="eastAsia" w:ascii="仿宋_GB2312" w:hAnsi="仿宋_GB2312" w:eastAsia="仿宋_GB2312" w:cs="仿宋_GB2312"/>
          <w:b w:val="0"/>
          <w:bCs/>
          <w:color w:val="000000"/>
          <w:sz w:val="32"/>
          <w:szCs w:val="32"/>
          <w:lang w:val="en-US" w:eastAsia="zh-CN"/>
        </w:rPr>
        <w:t>成</w:t>
      </w:r>
      <w:r>
        <w:rPr>
          <w:rFonts w:hint="eastAsia" w:ascii="仿宋_GB2312" w:hAnsi="仿宋_GB2312" w:eastAsia="仿宋_GB2312" w:cs="仿宋_GB2312"/>
          <w:b w:val="0"/>
          <w:bCs/>
          <w:color w:val="000000"/>
          <w:sz w:val="32"/>
          <w:szCs w:val="32"/>
          <w:lang w:eastAsia="zh-CN"/>
        </w:rPr>
        <w:t>办</w:t>
      </w:r>
      <w:r>
        <w:rPr>
          <w:rFonts w:hint="eastAsia" w:ascii="仿宋_GB2312" w:hAnsi="仿宋_GB2312" w:eastAsia="仿宋_GB2312" w:cs="仿宋_GB2312"/>
          <w:b w:val="0"/>
          <w:bCs/>
          <w:color w:val="000000"/>
          <w:sz w:val="32"/>
          <w:szCs w:val="32"/>
        </w:rPr>
        <w:t>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keepNext w:val="0"/>
        <w:keepLines w:val="0"/>
        <w:pageBreakBefore w:val="0"/>
        <w:kinsoku/>
        <w:wordWrap/>
        <w:overflowPunct/>
        <w:topLinePunct w:val="0"/>
        <w:autoSpaceDE w:val="0"/>
        <w:autoSpaceDN w:val="0"/>
        <w:bidi w:val="0"/>
        <w:adjustRightInd w:val="0"/>
        <w:spacing w:line="560" w:lineRule="exact"/>
        <w:ind w:firstLine="640" w:firstLineChars="200"/>
        <w:jc w:val="left"/>
        <w:textAlignment w:val="auto"/>
        <w:outlineLvl w:val="2"/>
        <w:rPr>
          <w:rFonts w:hint="eastAsia" w:ascii="仿宋_GB2312" w:hAnsi="仿宋_GB2312" w:eastAsia="仿宋_GB2312" w:cs="仿宋_GB2312"/>
          <w:b w:val="0"/>
          <w:bCs/>
          <w:color w:val="000000"/>
          <w:sz w:val="32"/>
          <w:szCs w:val="32"/>
        </w:rPr>
      </w:pPr>
      <w:bookmarkStart w:id="50" w:name="_Toc15377224"/>
      <w:r>
        <w:rPr>
          <w:rFonts w:hint="eastAsia" w:ascii="楷体_GB2312" w:hAnsi="楷体_GB2312" w:eastAsia="楷体_GB2312" w:cs="楷体_GB2312"/>
          <w:b w:val="0"/>
          <w:bCs/>
          <w:color w:val="000000"/>
          <w:sz w:val="32"/>
          <w:szCs w:val="32"/>
        </w:rPr>
        <w:t>（三）国有资产占有使用情况</w:t>
      </w:r>
      <w:bookmarkEnd w:id="50"/>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color w:val="000000" w:themeColor="text1"/>
          <w:sz w:val="32"/>
          <w:szCs w:val="32"/>
        </w:rPr>
      </w:pPr>
      <w:r>
        <w:rPr>
          <w:rFonts w:hint="eastAsia" w:ascii="仿宋_GB2312" w:hAnsi="仿宋_GB2312" w:eastAsia="仿宋_GB2312" w:cs="仿宋_GB2312"/>
          <w:b w:val="0"/>
          <w:bCs/>
          <w:color w:val="000000" w:themeColor="text1"/>
          <w:sz w:val="32"/>
          <w:szCs w:val="32"/>
        </w:rPr>
        <w:t>截至202</w:t>
      </w:r>
      <w:r>
        <w:rPr>
          <w:rFonts w:hint="eastAsia" w:ascii="仿宋_GB2312" w:hAnsi="仿宋_GB2312" w:eastAsia="仿宋_GB2312" w:cs="仿宋_GB2312"/>
          <w:b w:val="0"/>
          <w:bCs/>
          <w:color w:val="000000" w:themeColor="text1"/>
          <w:sz w:val="32"/>
          <w:szCs w:val="32"/>
          <w:lang w:val="en-US" w:eastAsia="zh-CN"/>
        </w:rPr>
        <w:t>2</w:t>
      </w:r>
      <w:r>
        <w:rPr>
          <w:rFonts w:hint="eastAsia" w:ascii="仿宋_GB2312" w:hAnsi="仿宋_GB2312" w:eastAsia="仿宋_GB2312" w:cs="仿宋_GB2312"/>
          <w:b w:val="0"/>
          <w:bCs/>
          <w:color w:val="000000" w:themeColor="text1"/>
          <w:sz w:val="32"/>
          <w:szCs w:val="32"/>
        </w:rPr>
        <w:t>年12月31日，</w:t>
      </w:r>
      <w:r>
        <w:rPr>
          <w:rFonts w:hint="eastAsia" w:ascii="仿宋_GB2312" w:hAnsi="仿宋_GB2312" w:eastAsia="仿宋_GB2312" w:cs="仿宋_GB2312"/>
          <w:b w:val="0"/>
          <w:bCs/>
          <w:color w:val="000000" w:themeColor="text1"/>
          <w:sz w:val="32"/>
          <w:szCs w:val="32"/>
          <w:lang w:eastAsia="zh-CN"/>
        </w:rPr>
        <w:t>成办</w:t>
      </w:r>
      <w:r>
        <w:rPr>
          <w:rFonts w:hint="eastAsia" w:ascii="仿宋_GB2312" w:hAnsi="仿宋_GB2312" w:eastAsia="仿宋_GB2312" w:cs="仿宋_GB2312"/>
          <w:b w:val="0"/>
          <w:bCs/>
          <w:color w:val="000000" w:themeColor="text1"/>
          <w:sz w:val="32"/>
          <w:szCs w:val="32"/>
        </w:rPr>
        <w:t>共有车辆</w:t>
      </w:r>
      <w:r>
        <w:rPr>
          <w:rFonts w:hint="eastAsia" w:ascii="仿宋_GB2312" w:hAnsi="仿宋_GB2312" w:eastAsia="仿宋_GB2312" w:cs="仿宋_GB2312"/>
          <w:b w:val="0"/>
          <w:bCs/>
          <w:color w:val="000000" w:themeColor="text1"/>
          <w:sz w:val="32"/>
          <w:szCs w:val="32"/>
          <w:lang w:val="en-US" w:eastAsia="zh-CN"/>
        </w:rPr>
        <w:t>4</w:t>
      </w:r>
      <w:r>
        <w:rPr>
          <w:rFonts w:hint="eastAsia" w:ascii="仿宋_GB2312" w:hAnsi="仿宋_GB2312" w:eastAsia="仿宋_GB2312" w:cs="仿宋_GB2312"/>
          <w:b w:val="0"/>
          <w:bCs/>
          <w:color w:val="000000" w:themeColor="text1"/>
          <w:sz w:val="32"/>
          <w:szCs w:val="32"/>
        </w:rPr>
        <w:t>辆，其中：主要领导干部用车0辆、机要通信用车0辆、应急保障用车0辆、其他用车</w:t>
      </w:r>
      <w:r>
        <w:rPr>
          <w:rFonts w:hint="eastAsia" w:ascii="仿宋_GB2312" w:hAnsi="仿宋_GB2312" w:eastAsia="仿宋_GB2312" w:cs="仿宋_GB2312"/>
          <w:b w:val="0"/>
          <w:bCs/>
          <w:color w:val="000000" w:themeColor="text1"/>
          <w:sz w:val="32"/>
          <w:szCs w:val="32"/>
          <w:lang w:val="en-US" w:eastAsia="zh-CN"/>
        </w:rPr>
        <w:t>4</w:t>
      </w:r>
      <w:r>
        <w:rPr>
          <w:rFonts w:hint="eastAsia" w:ascii="仿宋_GB2312" w:hAnsi="仿宋_GB2312" w:eastAsia="仿宋_GB2312" w:cs="仿宋_GB2312"/>
          <w:b w:val="0"/>
          <w:bCs/>
          <w:color w:val="000000" w:themeColor="text1"/>
          <w:sz w:val="32"/>
          <w:szCs w:val="32"/>
        </w:rPr>
        <w:t>辆，其他用车主要是用于</w:t>
      </w:r>
      <w:r>
        <w:rPr>
          <w:rFonts w:hint="eastAsia" w:ascii="仿宋_GB2312" w:hAnsi="仿宋_GB2312" w:eastAsia="仿宋_GB2312" w:cs="仿宋_GB2312"/>
          <w:b w:val="0"/>
          <w:bCs/>
          <w:color w:val="000000" w:themeColor="text1"/>
          <w:sz w:val="32"/>
          <w:szCs w:val="32"/>
          <w:lang w:eastAsia="zh-CN"/>
        </w:rPr>
        <w:t>公务</w:t>
      </w:r>
      <w:r>
        <w:rPr>
          <w:rFonts w:hint="eastAsia" w:ascii="仿宋_GB2312" w:hAnsi="仿宋_GB2312" w:eastAsia="仿宋_GB2312" w:cs="仿宋_GB2312"/>
          <w:b w:val="0"/>
          <w:bCs/>
          <w:color w:val="000000" w:themeColor="text1"/>
          <w:sz w:val="32"/>
          <w:szCs w:val="32"/>
        </w:rPr>
        <w:t>接待、招商引资、信息联络、离</w:t>
      </w:r>
      <w:r>
        <w:rPr>
          <w:rFonts w:hint="eastAsia" w:ascii="仿宋_GB2312" w:hAnsi="仿宋_GB2312" w:eastAsia="仿宋_GB2312" w:cs="仿宋_GB2312"/>
          <w:b w:val="0"/>
          <w:bCs/>
          <w:color w:val="000000" w:themeColor="text1"/>
          <w:sz w:val="32"/>
          <w:szCs w:val="32"/>
          <w:lang w:eastAsia="zh-CN"/>
        </w:rPr>
        <w:t>退</w:t>
      </w:r>
      <w:r>
        <w:rPr>
          <w:rFonts w:hint="eastAsia" w:ascii="仿宋_GB2312" w:hAnsi="仿宋_GB2312" w:eastAsia="仿宋_GB2312" w:cs="仿宋_GB2312"/>
          <w:b w:val="0"/>
          <w:bCs/>
          <w:color w:val="000000" w:themeColor="text1"/>
          <w:sz w:val="32"/>
          <w:szCs w:val="32"/>
        </w:rPr>
        <w:t>休老干部服务工作及单位日常工作正常运</w:t>
      </w:r>
      <w:r>
        <w:rPr>
          <w:rFonts w:hint="eastAsia" w:ascii="仿宋_GB2312" w:hAnsi="仿宋_GB2312" w:eastAsia="仿宋_GB2312" w:cs="仿宋_GB2312"/>
          <w:b w:val="0"/>
          <w:bCs/>
          <w:color w:val="000000" w:themeColor="text1"/>
          <w:sz w:val="32"/>
          <w:szCs w:val="32"/>
          <w:lang w:eastAsia="zh-CN"/>
        </w:rPr>
        <w:t>转</w:t>
      </w:r>
      <w:r>
        <w:rPr>
          <w:rFonts w:hint="eastAsia" w:ascii="仿宋_GB2312" w:hAnsi="仿宋_GB2312" w:eastAsia="仿宋_GB2312" w:cs="仿宋_GB2312"/>
          <w:b w:val="0"/>
          <w:bCs/>
          <w:color w:val="000000" w:themeColor="text1"/>
          <w:sz w:val="32"/>
          <w:szCs w:val="32"/>
        </w:rPr>
        <w:t>等所需的公务用车，但实有车辆为</w:t>
      </w:r>
      <w:r>
        <w:rPr>
          <w:rFonts w:hint="eastAsia" w:ascii="仿宋_GB2312" w:hAnsi="仿宋_GB2312" w:eastAsia="仿宋_GB2312" w:cs="仿宋_GB2312"/>
          <w:b w:val="0"/>
          <w:bCs/>
          <w:color w:val="000000" w:themeColor="text1"/>
          <w:sz w:val="32"/>
          <w:szCs w:val="32"/>
          <w:lang w:val="en-US" w:eastAsia="zh-CN"/>
        </w:rPr>
        <w:t>3</w:t>
      </w:r>
      <w:r>
        <w:rPr>
          <w:rFonts w:hint="eastAsia" w:ascii="仿宋_GB2312" w:hAnsi="仿宋_GB2312" w:eastAsia="仿宋_GB2312" w:cs="仿宋_GB2312"/>
          <w:b w:val="0"/>
          <w:bCs/>
          <w:color w:val="000000" w:themeColor="text1"/>
          <w:sz w:val="32"/>
          <w:szCs w:val="32"/>
        </w:rPr>
        <w:t>辆，2016年7月公车改革时攀枝花市机关事务管理局将车辆调回进行拍卖处置，2019年攀枝花市机关事务管理局完善拍卖处置核销手续后，根据攀财资管【2019】115号文批复核销了2辆别克轿车的资产，</w:t>
      </w:r>
      <w:r>
        <w:rPr>
          <w:rFonts w:hint="eastAsia" w:ascii="仿宋_GB2312" w:hAnsi="仿宋_GB2312" w:eastAsia="仿宋_GB2312" w:cs="仿宋_GB2312"/>
          <w:b w:val="0"/>
          <w:bCs/>
          <w:sz w:val="32"/>
          <w:szCs w:val="32"/>
        </w:rPr>
        <w:t>轿车相差1辆的原因是2005年11月通过财政无偿划拨（攀财统【2005】61号）的形式，将市政府接待办的一辆S600型奔驰轿车（型号：BENZ600SEL、排气量：6.0、价值：1</w:t>
      </w:r>
      <w:r>
        <w:rPr>
          <w:rFonts w:hint="eastAsia" w:ascii="仿宋_GB2312" w:hAnsi="仿宋_GB2312" w:eastAsia="仿宋_GB2312" w:cs="仿宋_GB2312"/>
          <w:b w:val="0"/>
          <w:bCs/>
          <w:sz w:val="32"/>
          <w:szCs w:val="32"/>
          <w:lang w:val="en-US" w:eastAsia="zh-CN"/>
        </w:rPr>
        <w:t>58万元</w:t>
      </w:r>
      <w:r>
        <w:rPr>
          <w:rFonts w:hint="eastAsia" w:ascii="仿宋_GB2312" w:hAnsi="仿宋_GB2312" w:eastAsia="仿宋_GB2312" w:cs="仿宋_GB2312"/>
          <w:b w:val="0"/>
          <w:bCs/>
          <w:sz w:val="32"/>
          <w:szCs w:val="32"/>
        </w:rPr>
        <w:t>）转入</w:t>
      </w:r>
      <w:r>
        <w:rPr>
          <w:rFonts w:hint="eastAsia" w:ascii="仿宋_GB2312" w:hAnsi="仿宋_GB2312" w:eastAsia="仿宋_GB2312" w:cs="仿宋_GB2312"/>
          <w:b w:val="0"/>
          <w:bCs/>
          <w:sz w:val="32"/>
          <w:szCs w:val="32"/>
          <w:lang w:eastAsia="zh-CN"/>
        </w:rPr>
        <w:t>成办</w:t>
      </w:r>
      <w:r>
        <w:rPr>
          <w:rFonts w:hint="eastAsia" w:ascii="仿宋_GB2312" w:hAnsi="仿宋_GB2312" w:eastAsia="仿宋_GB2312" w:cs="仿宋_GB2312"/>
          <w:b w:val="0"/>
          <w:bCs/>
          <w:sz w:val="32"/>
          <w:szCs w:val="32"/>
        </w:rPr>
        <w:t>使用，但因为此车车况存在问题，加之维修使用费过高。经报市政府和市机关事务管理局同意后与成都仁信担保公司协商，用该车置换3.0别克君威新车一辆（型号：别克牌SGM7302GL、车架号：LSGWK52C75S201421、发动机号：55310456、排气量：3.0），置换后只变更使用权，资产所有权仍由原单位管理，但新车的汽车购置税</w:t>
      </w:r>
      <w:r>
        <w:rPr>
          <w:rFonts w:hint="eastAsia" w:ascii="仿宋_GB2312" w:hAnsi="仿宋_GB2312" w:eastAsia="仿宋_GB2312" w:cs="仿宋_GB2312"/>
          <w:b w:val="0"/>
          <w:bCs/>
          <w:sz w:val="32"/>
          <w:szCs w:val="32"/>
          <w:lang w:val="en-US" w:eastAsia="zh-CN"/>
        </w:rPr>
        <w:t>2.02万元</w:t>
      </w:r>
      <w:r>
        <w:rPr>
          <w:rFonts w:hint="eastAsia" w:ascii="仿宋_GB2312" w:hAnsi="仿宋_GB2312" w:eastAsia="仿宋_GB2312" w:cs="仿宋_GB2312"/>
          <w:b w:val="0"/>
          <w:bCs/>
          <w:sz w:val="32"/>
          <w:szCs w:val="32"/>
        </w:rPr>
        <w:t>由</w:t>
      </w:r>
      <w:r>
        <w:rPr>
          <w:rFonts w:hint="eastAsia" w:ascii="仿宋_GB2312" w:hAnsi="仿宋_GB2312" w:eastAsia="仿宋_GB2312" w:cs="仿宋_GB2312"/>
          <w:b w:val="0"/>
          <w:bCs/>
          <w:sz w:val="32"/>
          <w:szCs w:val="32"/>
          <w:lang w:eastAsia="zh-CN"/>
        </w:rPr>
        <w:t>成</w:t>
      </w:r>
      <w:r>
        <w:rPr>
          <w:rFonts w:hint="eastAsia" w:ascii="仿宋_GB2312" w:hAnsi="仿宋_GB2312" w:eastAsia="仿宋_GB2312" w:cs="仿宋_GB2312"/>
          <w:b w:val="0"/>
          <w:bCs/>
          <w:sz w:val="32"/>
          <w:szCs w:val="32"/>
        </w:rPr>
        <w:t>办交纳，因此S600型奔驰轿车的原资产和新车的汽车购置税共</w:t>
      </w:r>
      <w:r>
        <w:rPr>
          <w:rFonts w:hint="eastAsia" w:ascii="仿宋_GB2312" w:hAnsi="仿宋_GB2312" w:eastAsia="仿宋_GB2312" w:cs="仿宋_GB2312"/>
          <w:b w:val="0"/>
          <w:bCs/>
          <w:sz w:val="32"/>
          <w:szCs w:val="32"/>
          <w:lang w:val="en-US" w:eastAsia="zh-CN"/>
        </w:rPr>
        <w:t>160.02万元</w:t>
      </w:r>
      <w:r>
        <w:rPr>
          <w:rFonts w:hint="eastAsia" w:ascii="仿宋_GB2312" w:hAnsi="仿宋_GB2312" w:eastAsia="仿宋_GB2312" w:cs="仿宋_GB2312"/>
          <w:b w:val="0"/>
          <w:bCs/>
          <w:sz w:val="32"/>
          <w:szCs w:val="32"/>
        </w:rPr>
        <w:t>列入了奔驰轿车的资产价值。2016年7月公车改革时，置换的3.0别克君威交回攀枝花市原机关事务管理局已经拍卖处置，但由于此车在账面价值过高，而当时的置换协议又遗失，所以财政</w:t>
      </w:r>
      <w:r>
        <w:rPr>
          <w:rFonts w:hint="eastAsia" w:ascii="仿宋_GB2312" w:hAnsi="仿宋_GB2312" w:eastAsia="仿宋_GB2312" w:cs="仿宋_GB2312"/>
          <w:b w:val="0"/>
          <w:bCs/>
          <w:sz w:val="32"/>
          <w:szCs w:val="32"/>
          <w:lang w:eastAsia="zh-CN"/>
        </w:rPr>
        <w:t>目前暂</w:t>
      </w:r>
      <w:r>
        <w:rPr>
          <w:rFonts w:hint="eastAsia" w:ascii="仿宋_GB2312" w:hAnsi="仿宋_GB2312" w:eastAsia="仿宋_GB2312" w:cs="仿宋_GB2312"/>
          <w:b w:val="0"/>
          <w:bCs/>
          <w:sz w:val="32"/>
          <w:szCs w:val="32"/>
        </w:rPr>
        <w:t>无法批复该车的核销文件</w:t>
      </w:r>
      <w:r>
        <w:rPr>
          <w:rFonts w:hint="eastAsia" w:ascii="仿宋_GB2312" w:hAnsi="仿宋_GB2312" w:eastAsia="仿宋_GB2312" w:cs="仿宋_GB2312"/>
          <w:b w:val="0"/>
          <w:bCs/>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b w:val="0"/>
          <w:bCs/>
          <w:color w:val="000000" w:themeColor="text1"/>
          <w:sz w:val="32"/>
          <w:szCs w:val="32"/>
        </w:rPr>
      </w:pPr>
      <w:r>
        <w:rPr>
          <w:rFonts w:hint="eastAsia" w:ascii="仿宋_GB2312" w:hAnsi="仿宋_GB2312" w:eastAsia="仿宋_GB2312" w:cs="仿宋_GB2312"/>
          <w:b w:val="0"/>
          <w:bCs/>
          <w:color w:val="000000" w:themeColor="text1"/>
          <w:sz w:val="32"/>
          <w:szCs w:val="32"/>
        </w:rPr>
        <w:t>单价100万元以上专用设备0台（套）。</w:t>
      </w:r>
    </w:p>
    <w:p>
      <w:pPr>
        <w:pStyle w:val="26"/>
        <w:keepNext w:val="0"/>
        <w:keepLines w:val="0"/>
        <w:pageBreakBefore w:val="0"/>
        <w:widowControl w:val="0"/>
        <w:kinsoku/>
        <w:wordWrap/>
        <w:overflowPunct/>
        <w:topLinePunct w:val="0"/>
        <w:bidi w:val="0"/>
        <w:snapToGrid/>
        <w:spacing w:line="560" w:lineRule="exact"/>
        <w:ind w:firstLine="640" w:firstLineChars="200"/>
        <w:textAlignment w:val="auto"/>
        <w:rPr>
          <w:rStyle w:val="28"/>
          <w:rFonts w:hint="eastAsia" w:ascii="仿宋_GB2312" w:hAnsi="仿宋_GB2312" w:eastAsia="仿宋_GB2312" w:cs="仿宋_GB2312"/>
          <w:b w:val="0"/>
          <w:bCs/>
        </w:rPr>
      </w:pPr>
      <w:r>
        <w:rPr>
          <w:rStyle w:val="28"/>
          <w:rFonts w:hint="eastAsia" w:ascii="楷体_GB2312" w:hAnsi="楷体_GB2312" w:eastAsia="楷体_GB2312" w:cs="楷体_GB2312"/>
          <w:b w:val="0"/>
          <w:bCs/>
        </w:rPr>
        <w:t>（四）预算绩效管理情况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b/>
          <w:color w:val="000000"/>
          <w:sz w:val="32"/>
          <w:szCs w:val="32"/>
        </w:rPr>
      </w:pPr>
      <w:r>
        <w:rPr>
          <w:rFonts w:hint="eastAsia" w:ascii="仿宋_GB2312" w:hAnsi="仿宋_GB2312" w:eastAsia="仿宋_GB2312" w:cs="仿宋_GB2312"/>
          <w:b w:val="0"/>
          <w:bCs/>
          <w:color w:val="auto"/>
          <w:sz w:val="32"/>
          <w:szCs w:val="32"/>
          <w:highlight w:val="none"/>
        </w:rPr>
        <w:t>根据预算绩效管理要求，本单位在</w:t>
      </w:r>
      <w:r>
        <w:rPr>
          <w:rFonts w:hint="eastAsia" w:ascii="仿宋_GB2312" w:hAnsi="仿宋_GB2312" w:eastAsia="仿宋_GB2312" w:cs="仿宋_GB2312"/>
          <w:b w:val="0"/>
          <w:bCs/>
          <w:color w:val="auto"/>
          <w:sz w:val="32"/>
          <w:szCs w:val="32"/>
          <w:highlight w:val="none"/>
          <w:lang w:val="en-US" w:eastAsia="zh-CN"/>
        </w:rPr>
        <w:t>2022年度</w:t>
      </w:r>
      <w:r>
        <w:rPr>
          <w:rFonts w:hint="eastAsia" w:ascii="仿宋_GB2312" w:hAnsi="仿宋_GB2312" w:eastAsia="仿宋_GB2312" w:cs="仿宋_GB2312"/>
          <w:b w:val="0"/>
          <w:bCs/>
          <w:color w:val="auto"/>
          <w:sz w:val="32"/>
          <w:szCs w:val="32"/>
          <w:highlight w:val="none"/>
        </w:rPr>
        <w:t>预算编制阶段，组织对</w:t>
      </w:r>
      <w:r>
        <w:rPr>
          <w:rFonts w:hint="eastAsia" w:ascii="仿宋_GB2312" w:hAnsi="仿宋_GB2312" w:eastAsia="仿宋_GB2312" w:cs="仿宋_GB2312"/>
          <w:b w:val="0"/>
          <w:bCs/>
          <w:sz w:val="32"/>
          <w:szCs w:val="32"/>
          <w:lang w:eastAsia="zh-CN"/>
        </w:rPr>
        <w:t>攀枝花大厦运转经费</w:t>
      </w:r>
      <w:r>
        <w:rPr>
          <w:rFonts w:hint="eastAsia" w:ascii="仿宋_GB2312" w:hAnsi="仿宋_GB2312" w:eastAsia="仿宋_GB2312" w:cs="仿宋_GB2312"/>
          <w:b w:val="0"/>
          <w:bCs/>
          <w:color w:val="auto"/>
          <w:sz w:val="32"/>
          <w:szCs w:val="32"/>
          <w:highlight w:val="none"/>
          <w:lang w:eastAsia="zh-CN"/>
        </w:rPr>
        <w:t>等</w:t>
      </w:r>
      <w:r>
        <w:rPr>
          <w:rFonts w:hint="eastAsia" w:ascii="仿宋_GB2312" w:hAnsi="仿宋_GB2312" w:eastAsia="仿宋_GB2312" w:cs="仿宋_GB2312"/>
          <w:b w:val="0"/>
          <w:bCs/>
          <w:color w:val="auto"/>
          <w:sz w:val="32"/>
          <w:szCs w:val="32"/>
          <w:highlight w:val="none"/>
          <w:lang w:val="en-US" w:eastAsia="zh-CN"/>
        </w:rPr>
        <w:t>1个项目</w:t>
      </w:r>
      <w:r>
        <w:rPr>
          <w:rFonts w:hint="eastAsia" w:ascii="仿宋_GB2312" w:hAnsi="仿宋_GB2312" w:eastAsia="仿宋_GB2312" w:cs="仿宋_GB2312"/>
          <w:b w:val="0"/>
          <w:bCs/>
          <w:color w:val="auto"/>
          <w:sz w:val="32"/>
          <w:szCs w:val="32"/>
          <w:highlight w:val="none"/>
        </w:rPr>
        <w:t>开展了预算事前绩效评估，对</w:t>
      </w:r>
      <w:r>
        <w:rPr>
          <w:rFonts w:hint="eastAsia" w:ascii="仿宋_GB2312" w:hAnsi="仿宋_GB2312" w:eastAsia="仿宋_GB2312" w:cs="仿宋_GB2312"/>
          <w:b w:val="0"/>
          <w:bCs/>
          <w:color w:val="auto"/>
          <w:sz w:val="32"/>
          <w:szCs w:val="32"/>
          <w:highlight w:val="none"/>
          <w:lang w:val="en-US" w:eastAsia="zh-CN"/>
        </w:rPr>
        <w:t>1</w:t>
      </w:r>
      <w:r>
        <w:rPr>
          <w:rFonts w:hint="eastAsia" w:ascii="仿宋_GB2312" w:hAnsi="仿宋_GB2312" w:eastAsia="仿宋_GB2312" w:cs="仿宋_GB2312"/>
          <w:b w:val="0"/>
          <w:bCs/>
          <w:color w:val="auto"/>
          <w:sz w:val="32"/>
          <w:szCs w:val="32"/>
          <w:highlight w:val="none"/>
        </w:rPr>
        <w:t>个项目编制了绩效目标，预算执行过程中，选取</w:t>
      </w:r>
      <w:r>
        <w:rPr>
          <w:rFonts w:hint="eastAsia" w:ascii="仿宋_GB2312" w:hAnsi="仿宋_GB2312" w:eastAsia="仿宋_GB2312" w:cs="仿宋_GB2312"/>
          <w:b w:val="0"/>
          <w:bCs/>
          <w:color w:val="auto"/>
          <w:sz w:val="32"/>
          <w:szCs w:val="32"/>
          <w:highlight w:val="none"/>
          <w:lang w:val="en-US" w:eastAsia="zh-CN"/>
        </w:rPr>
        <w:t>1</w:t>
      </w:r>
      <w:r>
        <w:rPr>
          <w:rFonts w:hint="eastAsia" w:ascii="仿宋_GB2312" w:hAnsi="仿宋_GB2312" w:eastAsia="仿宋_GB2312" w:cs="仿宋_GB2312"/>
          <w:b w:val="0"/>
          <w:bCs/>
          <w:color w:val="auto"/>
          <w:sz w:val="32"/>
          <w:szCs w:val="32"/>
          <w:highlight w:val="none"/>
        </w:rPr>
        <w:t>个项目开展绩效监控，</w:t>
      </w:r>
      <w:r>
        <w:rPr>
          <w:rFonts w:hint="eastAsia" w:ascii="仿宋_GB2312" w:hAnsi="仿宋_GB2312" w:eastAsia="仿宋_GB2312" w:cs="仿宋_GB2312"/>
          <w:b w:val="0"/>
          <w:bCs/>
          <w:color w:val="auto"/>
          <w:sz w:val="32"/>
          <w:szCs w:val="32"/>
          <w:highlight w:val="none"/>
          <w:lang w:eastAsia="zh-CN"/>
        </w:rPr>
        <w:t>组织</w:t>
      </w:r>
      <w:r>
        <w:rPr>
          <w:rFonts w:hint="eastAsia" w:ascii="仿宋_GB2312" w:hAnsi="仿宋_GB2312" w:eastAsia="仿宋_GB2312" w:cs="仿宋_GB2312"/>
          <w:b w:val="0"/>
          <w:bCs/>
          <w:color w:val="auto"/>
          <w:sz w:val="32"/>
          <w:szCs w:val="32"/>
          <w:highlight w:val="none"/>
        </w:rPr>
        <w:t>对</w:t>
      </w:r>
      <w:r>
        <w:rPr>
          <w:rFonts w:hint="eastAsia" w:ascii="仿宋_GB2312" w:hAnsi="仿宋_GB2312" w:eastAsia="仿宋_GB2312" w:cs="仿宋_GB2312"/>
          <w:b w:val="0"/>
          <w:bCs/>
          <w:color w:val="auto"/>
          <w:sz w:val="32"/>
          <w:szCs w:val="32"/>
          <w:highlight w:val="none"/>
          <w:lang w:val="en-US" w:eastAsia="zh-CN"/>
        </w:rPr>
        <w:t>1</w:t>
      </w:r>
      <w:r>
        <w:rPr>
          <w:rFonts w:hint="eastAsia" w:ascii="仿宋_GB2312" w:hAnsi="仿宋_GB2312" w:eastAsia="仿宋_GB2312" w:cs="仿宋_GB2312"/>
          <w:b w:val="0"/>
          <w:bCs/>
          <w:color w:val="auto"/>
          <w:sz w:val="32"/>
          <w:szCs w:val="32"/>
          <w:highlight w:val="none"/>
        </w:rPr>
        <w:t>个项目开展了绩效自评</w:t>
      </w:r>
      <w:r>
        <w:rPr>
          <w:rFonts w:hint="eastAsia" w:ascii="仿宋_GB2312" w:hAnsi="仿宋_GB2312" w:eastAsia="仿宋_GB2312" w:cs="仿宋_GB2312"/>
          <w:b w:val="0"/>
          <w:bCs/>
          <w:color w:val="auto"/>
          <w:sz w:val="32"/>
          <w:szCs w:val="32"/>
          <w:highlight w:val="none"/>
          <w:lang w:eastAsia="zh-CN"/>
        </w:rPr>
        <w:t>，</w:t>
      </w:r>
      <w:r>
        <w:rPr>
          <w:rFonts w:hint="eastAsia" w:ascii="仿宋_GB2312" w:hAnsi="仿宋_GB2312" w:eastAsia="仿宋_GB2312" w:cs="仿宋_GB2312"/>
          <w:sz w:val="32"/>
          <w:szCs w:val="32"/>
        </w:rPr>
        <w:t>绩效自评表详见第四部分附</w:t>
      </w:r>
      <w:r>
        <w:rPr>
          <w:rFonts w:hint="eastAsia" w:ascii="仿宋_GB2312" w:hAnsi="仿宋_GB2312" w:eastAsia="仿宋_GB2312" w:cs="仿宋_GB2312"/>
          <w:sz w:val="32"/>
          <w:szCs w:val="32"/>
          <w:lang w:eastAsia="zh-CN"/>
        </w:rPr>
        <w:t>件。</w:t>
      </w:r>
      <w:r>
        <w:rPr>
          <w:rFonts w:ascii="仿宋_GB2312" w:eastAsia="仿宋_GB2312"/>
          <w:b/>
          <w:color w:val="000000"/>
          <w:sz w:val="32"/>
          <w:szCs w:val="32"/>
        </w:rPr>
        <w:br w:type="page"/>
      </w:r>
    </w:p>
    <w:p>
      <w:pPr>
        <w:numPr>
          <w:ilvl w:val="0"/>
          <w:numId w:val="1"/>
        </w:numPr>
        <w:spacing w:line="600" w:lineRule="exact"/>
        <w:ind w:firstLine="660" w:firstLineChars="150"/>
        <w:jc w:val="center"/>
        <w:outlineLvl w:val="0"/>
        <w:rPr>
          <w:rStyle w:val="27"/>
          <w:rFonts w:ascii="黑体" w:hAnsi="黑体" w:eastAsia="黑体"/>
          <w:b w:val="0"/>
          <w:bCs w:val="0"/>
        </w:rPr>
      </w:pPr>
      <w:bookmarkStart w:id="51" w:name="_Toc15396613"/>
      <w:bookmarkStart w:id="52" w:name="_Toc15377225"/>
      <w:r>
        <w:rPr>
          <w:rFonts w:hint="eastAsia" w:ascii="黑体" w:hAnsi="黑体" w:eastAsia="黑体"/>
          <w:b w:val="0"/>
          <w:bCs w:val="0"/>
          <w:color w:val="000000"/>
          <w:sz w:val="44"/>
          <w:szCs w:val="44"/>
        </w:rPr>
        <w:t>名</w:t>
      </w:r>
      <w:r>
        <w:rPr>
          <w:rStyle w:val="27"/>
          <w:rFonts w:hint="eastAsia" w:ascii="黑体" w:hAnsi="黑体" w:eastAsia="黑体"/>
          <w:b w:val="0"/>
          <w:bCs w:val="0"/>
        </w:rPr>
        <w:t>词解释</w:t>
      </w:r>
      <w:bookmarkEnd w:id="51"/>
      <w:bookmarkEnd w:id="52"/>
    </w:p>
    <w:p>
      <w:pPr>
        <w:spacing w:line="600" w:lineRule="exact"/>
        <w:jc w:val="left"/>
        <w:rPr>
          <w:rFonts w:ascii="宋体"/>
          <w:color w:val="000000"/>
          <w:sz w:val="44"/>
          <w:szCs w:val="44"/>
        </w:rPr>
      </w:pP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财政拨款收入：指单位从同级财政部门取得的财政预算资金。</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年初结转和结余：指以前年度尚未完成、结转到本年按有关规定继续使用的资金。 </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一般公共服务（类）政府办公厅（室）及相关机构事务（款）行政运行（项）：指反映行政单位（包括实行公务员管理的事业单位）的基本支出。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一般公共服务（类）政府办公厅（室）及相关机构事务（款）一般行政管理事务（项）：指反映行政单位（包括实行公务员管理的事业单位）未单独设置项级科目的其他项目支出。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一般公共服务（类）</w:t>
      </w:r>
      <w:r>
        <w:rPr>
          <w:rFonts w:hint="eastAsia" w:ascii="仿宋_GB2312" w:hAnsi="仿宋_GB2312" w:eastAsia="仿宋_GB2312" w:cs="仿宋_GB2312"/>
          <w:color w:val="000000"/>
          <w:sz w:val="32"/>
          <w:szCs w:val="32"/>
          <w:lang w:eastAsia="zh-CN"/>
        </w:rPr>
        <w:t>对外联络</w:t>
      </w:r>
      <w:r>
        <w:rPr>
          <w:rFonts w:hint="eastAsia" w:ascii="仿宋_GB2312" w:hAnsi="仿宋_GB2312" w:eastAsia="仿宋_GB2312" w:cs="仿宋_GB2312"/>
          <w:color w:val="000000"/>
          <w:sz w:val="32"/>
          <w:szCs w:val="32"/>
        </w:rPr>
        <w:t>事务（款）</w:t>
      </w:r>
      <w:r>
        <w:rPr>
          <w:rFonts w:hint="eastAsia" w:ascii="仿宋_GB2312" w:hAnsi="仿宋_GB2312" w:eastAsia="仿宋_GB2312" w:cs="仿宋_GB2312"/>
          <w:color w:val="000000"/>
          <w:sz w:val="32"/>
          <w:szCs w:val="32"/>
          <w:lang w:eastAsia="zh-CN"/>
        </w:rPr>
        <w:t>行政运行</w:t>
      </w:r>
      <w:r>
        <w:rPr>
          <w:rFonts w:hint="eastAsia" w:ascii="仿宋_GB2312" w:hAnsi="仿宋_GB2312" w:eastAsia="仿宋_GB2312" w:cs="仿宋_GB2312"/>
          <w:color w:val="000000"/>
          <w:sz w:val="32"/>
          <w:szCs w:val="32"/>
        </w:rPr>
        <w:t>（项）：指反映</w:t>
      </w:r>
      <w:r>
        <w:rPr>
          <w:rFonts w:hint="eastAsia" w:ascii="仿宋_GB2312" w:hAnsi="仿宋_GB2312" w:eastAsia="仿宋_GB2312" w:cs="仿宋_GB2312"/>
          <w:color w:val="000000"/>
          <w:sz w:val="32"/>
          <w:szCs w:val="32"/>
          <w:lang w:eastAsia="zh-CN"/>
        </w:rPr>
        <w:t>中国共产党对外联络部门的</w:t>
      </w:r>
      <w:r>
        <w:rPr>
          <w:rFonts w:hint="eastAsia" w:ascii="仿宋_GB2312" w:hAnsi="仿宋_GB2312" w:eastAsia="仿宋_GB2312" w:cs="仿宋_GB2312"/>
          <w:color w:val="000000"/>
          <w:sz w:val="32"/>
          <w:szCs w:val="32"/>
        </w:rPr>
        <w:t>行政单位（包括实行公务员管理的事业单位）</w:t>
      </w:r>
      <w:r>
        <w:rPr>
          <w:rFonts w:hint="eastAsia" w:ascii="仿宋_GB2312" w:hAnsi="仿宋_GB2312" w:eastAsia="仿宋_GB2312" w:cs="仿宋_GB2312"/>
          <w:color w:val="000000"/>
          <w:sz w:val="32"/>
          <w:szCs w:val="32"/>
          <w:lang w:eastAsia="zh-CN"/>
        </w:rPr>
        <w:t>基本支出。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社会保障和就业（类）行政事业单位离退休（款）行政单位离退休（项）：指反映行政单位（包括实行公务员管理的事业单位）开支的离退休支出。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社会保障和就业（类）行政事业单位离退休（款）事业单位离退休（项）：指反映事业单位开支的离退休支出。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社会保障和就业（类）行政事业单位离退休（款）机关事业单位基本养老保险缴费支出（项）：指反映机关事业单位实施养老保险制度由单位缴纳的基本养老保险费支出。</w:t>
      </w:r>
    </w:p>
    <w:p>
      <w:pPr>
        <w:keepNext w:val="0"/>
        <w:keepLines w:val="0"/>
        <w:pageBreakBefore w:val="0"/>
        <w:widowControl w:val="0"/>
        <w:kinsoku/>
        <w:wordWrap/>
        <w:overflowPunct/>
        <w:topLinePunct w:val="0"/>
        <w:bidi w:val="0"/>
        <w:snapToGrid/>
        <w:spacing w:line="560" w:lineRule="exact"/>
        <w:ind w:firstLine="640" w:firstLineChars="200"/>
        <w:textAlignment w:val="auto"/>
        <w:rPr>
          <w:rStyle w:val="16"/>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color w:val="000000"/>
          <w:sz w:val="32"/>
          <w:szCs w:val="32"/>
          <w:lang w:val="en-US" w:eastAsia="zh-CN"/>
        </w:rPr>
        <w:t>10.</w:t>
      </w:r>
      <w:r>
        <w:rPr>
          <w:rStyle w:val="16"/>
          <w:rFonts w:hint="eastAsia" w:ascii="仿宋_GB2312" w:hAnsi="仿宋_GB2312" w:eastAsia="仿宋_GB2312" w:cs="仿宋_GB2312"/>
          <w:b w:val="0"/>
          <w:bCs/>
          <w:color w:val="000000"/>
          <w:sz w:val="32"/>
          <w:szCs w:val="32"/>
        </w:rPr>
        <w:t>社会保障和就业（类）支出-抚恤（款）-死亡抚恤（项）:</w:t>
      </w:r>
      <w:r>
        <w:rPr>
          <w:rFonts w:hint="eastAsia" w:ascii="仿宋_GB2312" w:hAnsi="仿宋_GB2312" w:eastAsia="仿宋_GB2312" w:cs="仿宋_GB2312"/>
          <w:color w:val="000000"/>
          <w:sz w:val="32"/>
          <w:szCs w:val="32"/>
        </w:rPr>
        <w:t>指反映</w:t>
      </w:r>
      <w:r>
        <w:rPr>
          <w:rFonts w:hint="eastAsia" w:ascii="仿宋_GB2312" w:hAnsi="仿宋_GB2312" w:eastAsia="仿宋_GB2312" w:cs="仿宋_GB2312"/>
          <w:color w:val="000000"/>
          <w:sz w:val="32"/>
          <w:szCs w:val="32"/>
          <w:lang w:val="en-US" w:eastAsia="zh-CN"/>
        </w:rPr>
        <w:t>离</w:t>
      </w:r>
      <w:r>
        <w:rPr>
          <w:rFonts w:hint="eastAsia" w:ascii="仿宋_GB2312" w:hAnsi="仿宋_GB2312" w:eastAsia="仿宋_GB2312" w:cs="仿宋_GB2312"/>
          <w:color w:val="000000"/>
          <w:sz w:val="32"/>
          <w:szCs w:val="32"/>
        </w:rPr>
        <w:t>退休人员死亡一次性丧葬抚恤金 。</w:t>
      </w:r>
    </w:p>
    <w:p>
      <w:pPr>
        <w:keepNext w:val="0"/>
        <w:keepLines w:val="0"/>
        <w:pageBreakBefore w:val="0"/>
        <w:widowControl w:val="0"/>
        <w:kinsoku/>
        <w:wordWrap/>
        <w:overflowPunct/>
        <w:topLinePunct w:val="0"/>
        <w:bidi w:val="0"/>
        <w:snapToGrid/>
        <w:spacing w:line="560" w:lineRule="exact"/>
        <w:ind w:firstLine="640" w:firstLineChars="200"/>
        <w:textAlignment w:val="auto"/>
        <w:rPr>
          <w:rStyle w:val="16"/>
          <w:rFonts w:hint="eastAsia" w:ascii="仿宋_GB2312" w:hAnsi="仿宋_GB2312" w:eastAsia="仿宋_GB2312" w:cs="仿宋_GB2312"/>
          <w:b w:val="0"/>
          <w:bCs/>
          <w:color w:val="000000"/>
          <w:sz w:val="32"/>
          <w:szCs w:val="32"/>
          <w:lang w:val="en-US" w:eastAsia="zh-CN"/>
        </w:rPr>
      </w:pPr>
      <w:r>
        <w:rPr>
          <w:rStyle w:val="16"/>
          <w:rFonts w:hint="eastAsia" w:ascii="仿宋_GB2312" w:hAnsi="仿宋_GB2312" w:eastAsia="仿宋_GB2312" w:cs="仿宋_GB2312"/>
          <w:b w:val="0"/>
          <w:bCs/>
          <w:color w:val="000000"/>
          <w:sz w:val="32"/>
          <w:szCs w:val="32"/>
          <w:lang w:val="en-US" w:eastAsia="zh-CN"/>
        </w:rPr>
        <w:t>11.</w:t>
      </w:r>
      <w:r>
        <w:rPr>
          <w:rStyle w:val="16"/>
          <w:rFonts w:hint="eastAsia" w:ascii="仿宋_GB2312" w:hAnsi="仿宋_GB2312" w:eastAsia="仿宋_GB2312" w:cs="仿宋_GB2312"/>
          <w:b w:val="0"/>
          <w:bCs/>
          <w:color w:val="000000"/>
          <w:sz w:val="32"/>
          <w:szCs w:val="32"/>
          <w:lang w:eastAsia="zh-CN"/>
        </w:rPr>
        <w:t>卫生健康</w:t>
      </w:r>
      <w:r>
        <w:rPr>
          <w:rStyle w:val="16"/>
          <w:rFonts w:hint="eastAsia" w:ascii="仿宋_GB2312" w:hAnsi="仿宋_GB2312" w:eastAsia="仿宋_GB2312" w:cs="仿宋_GB2312"/>
          <w:b w:val="0"/>
          <w:bCs/>
          <w:color w:val="000000"/>
          <w:sz w:val="32"/>
          <w:szCs w:val="32"/>
        </w:rPr>
        <w:t>（类）支出-</w:t>
      </w:r>
      <w:r>
        <w:rPr>
          <w:rStyle w:val="16"/>
          <w:rFonts w:hint="eastAsia" w:ascii="仿宋_GB2312" w:hAnsi="仿宋_GB2312" w:eastAsia="仿宋_GB2312" w:cs="仿宋_GB2312"/>
          <w:b w:val="0"/>
          <w:bCs/>
          <w:color w:val="000000"/>
          <w:sz w:val="32"/>
          <w:szCs w:val="32"/>
          <w:lang w:eastAsia="zh-CN"/>
        </w:rPr>
        <w:t>其他卫生健康支出</w:t>
      </w:r>
      <w:r>
        <w:rPr>
          <w:rStyle w:val="16"/>
          <w:rFonts w:hint="eastAsia" w:ascii="仿宋_GB2312" w:hAnsi="仿宋_GB2312" w:eastAsia="仿宋_GB2312" w:cs="仿宋_GB2312"/>
          <w:b w:val="0"/>
          <w:bCs/>
          <w:color w:val="000000"/>
          <w:sz w:val="32"/>
          <w:szCs w:val="32"/>
        </w:rPr>
        <w:t>（款）-</w:t>
      </w:r>
      <w:r>
        <w:rPr>
          <w:rStyle w:val="16"/>
          <w:rFonts w:hint="eastAsia" w:ascii="仿宋_GB2312" w:hAnsi="仿宋_GB2312" w:eastAsia="仿宋_GB2312" w:cs="仿宋_GB2312"/>
          <w:b w:val="0"/>
          <w:bCs/>
          <w:color w:val="000000"/>
          <w:sz w:val="32"/>
          <w:szCs w:val="32"/>
          <w:lang w:eastAsia="zh-CN"/>
        </w:rPr>
        <w:t>其他卫生健康支出</w:t>
      </w:r>
      <w:r>
        <w:rPr>
          <w:rStyle w:val="16"/>
          <w:rFonts w:hint="eastAsia" w:ascii="仿宋_GB2312" w:hAnsi="仿宋_GB2312" w:eastAsia="仿宋_GB2312" w:cs="仿宋_GB2312"/>
          <w:b w:val="0"/>
          <w:bCs/>
          <w:color w:val="000000"/>
          <w:sz w:val="32"/>
          <w:szCs w:val="32"/>
        </w:rPr>
        <w:t>（项）:</w:t>
      </w:r>
      <w:r>
        <w:rPr>
          <w:rFonts w:hint="eastAsia" w:ascii="仿宋_GB2312" w:hAnsi="仿宋_GB2312" w:eastAsia="仿宋_GB2312" w:cs="仿宋_GB2312"/>
          <w:color w:val="000000"/>
          <w:sz w:val="32"/>
          <w:szCs w:val="32"/>
        </w:rPr>
        <w:t>指反映</w:t>
      </w:r>
      <w:r>
        <w:rPr>
          <w:rFonts w:hint="eastAsia" w:ascii="仿宋_GB2312" w:hAnsi="仿宋_GB2312" w:eastAsia="仿宋_GB2312" w:cs="仿宋_GB2312"/>
          <w:color w:val="000000"/>
          <w:sz w:val="32"/>
          <w:szCs w:val="32"/>
          <w:lang w:eastAsia="zh-CN"/>
        </w:rPr>
        <w:t>除上述项目以外其他用于卫生健康方面的支出。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住房保障支出（类）</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住房改革支出（款）</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住房公积金（项）：指反映行政事业单位按人力资源和社会保障部、财政部规定的基本工资和津贴补贴以及规定比例为职工缴纳的住房公积金。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13.</w:t>
      </w:r>
      <w:r>
        <w:rPr>
          <w:rFonts w:hint="eastAsia" w:ascii="仿宋_GB2312" w:hAnsi="仿宋_GB2312" w:eastAsia="仿宋_GB2312" w:cs="仿宋_GB2312"/>
          <w:color w:val="000000"/>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rPr>
        <w:t xml:space="preserve">项目支出：指在基本支出之外为完成特定行政任务和事业发展目标所发生的支出。 </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hint="eastAsia" w:ascii="黑体" w:hAnsi="黑体" w:eastAsia="黑体"/>
          <w:b w:val="0"/>
          <w:bCs/>
        </w:rPr>
      </w:pPr>
      <w:bookmarkStart w:id="53" w:name="_Toc15377226"/>
      <w:r>
        <w:rPr>
          <w:rFonts w:hint="eastAsia" w:ascii="仿宋_GB2312" w:eastAsia="仿宋_GB2312"/>
          <w:b/>
          <w:color w:val="000000"/>
          <w:sz w:val="32"/>
          <w:szCs w:val="32"/>
        </w:rPr>
        <w:br w:type="page"/>
      </w:r>
      <w:bookmarkStart w:id="54" w:name="_Toc15396614"/>
      <w:r>
        <w:rPr>
          <w:rFonts w:hint="eastAsia" w:ascii="黑体" w:hAnsi="黑体" w:eastAsia="黑体"/>
          <w:b w:val="0"/>
          <w:bCs/>
          <w:color w:val="000000"/>
          <w:sz w:val="44"/>
          <w:szCs w:val="44"/>
        </w:rPr>
        <w:t>第</w:t>
      </w:r>
      <w:r>
        <w:rPr>
          <w:rStyle w:val="27"/>
          <w:rFonts w:hint="eastAsia" w:ascii="黑体" w:hAnsi="黑体" w:eastAsia="黑体"/>
          <w:b w:val="0"/>
          <w:bCs/>
        </w:rPr>
        <w:t>四部分 附件</w:t>
      </w:r>
      <w:bookmarkEnd w:id="54"/>
    </w:p>
    <w:tbl>
      <w:tblPr>
        <w:tblStyle w:val="13"/>
        <w:tblW w:w="9510" w:type="dxa"/>
        <w:tblInd w:w="-269" w:type="dxa"/>
        <w:shd w:val="clear" w:color="auto" w:fill="auto"/>
        <w:tblLayout w:type="fixed"/>
        <w:tblCellMar>
          <w:top w:w="0" w:type="dxa"/>
          <w:left w:w="0" w:type="dxa"/>
          <w:bottom w:w="0" w:type="dxa"/>
          <w:right w:w="0" w:type="dxa"/>
        </w:tblCellMar>
      </w:tblPr>
      <w:tblGrid>
        <w:gridCol w:w="390"/>
        <w:gridCol w:w="553"/>
        <w:gridCol w:w="377"/>
        <w:gridCol w:w="1035"/>
        <w:gridCol w:w="1312"/>
        <w:gridCol w:w="511"/>
        <w:gridCol w:w="949"/>
        <w:gridCol w:w="511"/>
        <w:gridCol w:w="782"/>
        <w:gridCol w:w="540"/>
        <w:gridCol w:w="570"/>
        <w:gridCol w:w="1980"/>
      </w:tblGrid>
      <w:tr>
        <w:tblPrEx>
          <w:shd w:val="clear" w:color="auto" w:fill="auto"/>
          <w:tblCellMar>
            <w:top w:w="0" w:type="dxa"/>
            <w:left w:w="0" w:type="dxa"/>
            <w:bottom w:w="0" w:type="dxa"/>
            <w:right w:w="0" w:type="dxa"/>
          </w:tblCellMar>
        </w:tblPrEx>
        <w:trPr>
          <w:trHeight w:val="904" w:hRule="atLeast"/>
        </w:trPr>
        <w:tc>
          <w:tcPr>
            <w:tcW w:w="9510" w:type="dxa"/>
            <w:gridSpan w:val="1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b/>
                <w:i w:val="0"/>
                <w:color w:val="000000"/>
                <w:sz w:val="30"/>
                <w:szCs w:val="30"/>
                <w:u w:val="none"/>
              </w:rPr>
            </w:pPr>
            <w:r>
              <w:rPr>
                <w:rFonts w:hint="eastAsia" w:ascii="黑体" w:hAnsi="宋体" w:eastAsia="黑体" w:cs="黑体"/>
                <w:b w:val="0"/>
                <w:bCs/>
                <w:i w:val="0"/>
                <w:color w:val="000000"/>
                <w:kern w:val="0"/>
                <w:sz w:val="30"/>
                <w:szCs w:val="30"/>
                <w:u w:val="none"/>
                <w:lang w:val="en-US" w:eastAsia="zh-CN" w:bidi="ar"/>
              </w:rPr>
              <w:t>部门预算项目支出绩效自评表（2022年度）</w:t>
            </w:r>
          </w:p>
        </w:tc>
      </w:tr>
      <w:tr>
        <w:tblPrEx>
          <w:tblCellMar>
            <w:top w:w="0" w:type="dxa"/>
            <w:left w:w="0" w:type="dxa"/>
            <w:bottom w:w="0" w:type="dxa"/>
            <w:right w:w="0" w:type="dxa"/>
          </w:tblCellMar>
        </w:tblPrEx>
        <w:trPr>
          <w:trHeight w:val="500" w:hRule="atLeast"/>
        </w:trPr>
        <w:tc>
          <w:tcPr>
            <w:tcW w:w="13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190"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攀枝花大厦运转经费</w:t>
            </w:r>
          </w:p>
        </w:tc>
      </w:tr>
      <w:tr>
        <w:tblPrEx>
          <w:tblCellMar>
            <w:top w:w="0" w:type="dxa"/>
            <w:left w:w="0" w:type="dxa"/>
            <w:bottom w:w="0" w:type="dxa"/>
            <w:right w:w="0" w:type="dxa"/>
          </w:tblCellMar>
        </w:tblPrEx>
        <w:trPr>
          <w:trHeight w:val="660" w:hRule="atLeast"/>
        </w:trPr>
        <w:tc>
          <w:tcPr>
            <w:tcW w:w="13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431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攀枝花市人民政府驻成都办事处</w:t>
            </w:r>
          </w:p>
        </w:tc>
        <w:tc>
          <w:tcPr>
            <w:tcW w:w="782"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eastAsia" w:ascii="黑体" w:hAnsi="黑体" w:eastAsia="黑体" w:cs="黑体"/>
                <w:i w:val="0"/>
                <w:color w:val="000000"/>
                <w:kern w:val="0"/>
                <w:sz w:val="18"/>
                <w:szCs w:val="18"/>
                <w:u w:val="none"/>
                <w:lang w:val="en-US" w:eastAsia="zh-CN" w:bidi="ar"/>
              </w:rPr>
              <w:t xml:space="preserve">实施单位   </w:t>
            </w:r>
          </w:p>
        </w:tc>
        <w:tc>
          <w:tcPr>
            <w:tcW w:w="30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攀枝花市人民政府驻成都办事处</w:t>
            </w:r>
            <w:r>
              <w:rPr>
                <w:rFonts w:hint="eastAsia" w:ascii="宋体" w:hAnsi="宋体" w:eastAsia="宋体" w:cs="宋体"/>
                <w:i w:val="0"/>
                <w:color w:val="000000"/>
                <w:kern w:val="0"/>
                <w:sz w:val="18"/>
                <w:szCs w:val="18"/>
                <w:u w:val="none"/>
                <w:lang w:val="en-US" w:eastAsia="zh-CN" w:bidi="ar"/>
              </w:rPr>
              <w:t xml:space="preserve">    （本级）</w:t>
            </w:r>
          </w:p>
        </w:tc>
      </w:tr>
      <w:tr>
        <w:tblPrEx>
          <w:tblCellMar>
            <w:top w:w="0" w:type="dxa"/>
            <w:left w:w="0" w:type="dxa"/>
            <w:bottom w:w="0" w:type="dxa"/>
            <w:right w:w="0" w:type="dxa"/>
          </w:tblCellMar>
        </w:tblPrEx>
        <w:trPr>
          <w:trHeight w:val="410" w:hRule="atLeast"/>
        </w:trPr>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w:t>
            </w:r>
            <w:r>
              <w:rPr>
                <w:rFonts w:hint="eastAsia" w:ascii="宋体" w:hAnsi="宋体" w:eastAsia="宋体" w:cs="宋体"/>
                <w:i w:val="0"/>
                <w:color w:val="000000"/>
                <w:kern w:val="0"/>
                <w:sz w:val="18"/>
                <w:szCs w:val="18"/>
                <w:u w:val="none"/>
                <w:lang w:val="en-US" w:eastAsia="zh-CN" w:bidi="ar"/>
              </w:rPr>
              <w:t xml:space="preserve"> </w:t>
            </w:r>
            <w:r>
              <w:rPr>
                <w:rFonts w:ascii="宋体" w:hAnsi="宋体" w:eastAsia="宋体" w:cs="宋体"/>
                <w:i w:val="0"/>
                <w:color w:val="000000"/>
                <w:kern w:val="0"/>
                <w:sz w:val="18"/>
                <w:szCs w:val="18"/>
                <w:u w:val="none"/>
                <w:lang w:val="en-US" w:eastAsia="zh-CN" w:bidi="ar"/>
              </w:rPr>
              <w:t>情况</w:t>
            </w:r>
          </w:p>
        </w:tc>
        <w:tc>
          <w:tcPr>
            <w:tcW w:w="431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87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黑体" w:eastAsia="黑体" w:cs="黑体"/>
                <w:i w:val="0"/>
                <w:color w:val="000000"/>
                <w:sz w:val="18"/>
                <w:szCs w:val="18"/>
                <w:u w:val="none"/>
              </w:rPr>
            </w:pPr>
            <w:r>
              <w:rPr>
                <w:rFonts w:hint="eastAsia" w:ascii="黑体" w:hAnsi="黑体" w:eastAsia="黑体" w:cs="黑体"/>
                <w:i w:val="0"/>
                <w:color w:val="000000"/>
                <w:kern w:val="0"/>
                <w:sz w:val="18"/>
                <w:szCs w:val="18"/>
                <w:u w:val="none"/>
                <w:lang w:val="en-US" w:eastAsia="zh-CN" w:bidi="ar"/>
              </w:rPr>
              <w:t>年度目标完成情况</w:t>
            </w:r>
          </w:p>
        </w:tc>
      </w:tr>
      <w:tr>
        <w:tblPrEx>
          <w:tblCellMar>
            <w:top w:w="0" w:type="dxa"/>
            <w:left w:w="0" w:type="dxa"/>
            <w:bottom w:w="0" w:type="dxa"/>
            <w:right w:w="0" w:type="dxa"/>
          </w:tblCellMar>
        </w:tblPrEx>
        <w:trPr>
          <w:trHeight w:val="740"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31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严格执行相关政策，保障工资及时、足额发放，科学合理编制预算，减少资金结余。</w:t>
            </w:r>
          </w:p>
        </w:tc>
        <w:tc>
          <w:tcPr>
            <w:tcW w:w="3872"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黑体" w:eastAsia="黑体" w:cs="黑体"/>
                <w:i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r>
              <w:rPr>
                <w:rFonts w:hint="eastAsia" w:ascii="宋体" w:hAnsi="宋体" w:cs="宋体"/>
                <w:i w:val="0"/>
                <w:iCs w:val="0"/>
                <w:color w:val="000000"/>
                <w:kern w:val="0"/>
                <w:sz w:val="18"/>
                <w:szCs w:val="18"/>
                <w:u w:val="none"/>
                <w:lang w:val="en-US" w:eastAsia="zh-CN" w:bidi="ar"/>
              </w:rPr>
              <w:t>攀枝花大厦</w:t>
            </w:r>
            <w:r>
              <w:rPr>
                <w:rFonts w:hint="eastAsia" w:ascii="宋体" w:hAnsi="宋体" w:eastAsia="宋体" w:cs="宋体"/>
                <w:i w:val="0"/>
                <w:iCs w:val="0"/>
                <w:color w:val="000000"/>
                <w:kern w:val="0"/>
                <w:sz w:val="18"/>
                <w:szCs w:val="18"/>
                <w:u w:val="none"/>
                <w:lang w:val="en-US" w:eastAsia="zh-CN" w:bidi="ar"/>
              </w:rPr>
              <w:t>公司正常运行，及时兑现3人的工资补助等人员和办公经费。</w:t>
            </w:r>
          </w:p>
        </w:tc>
      </w:tr>
      <w:tr>
        <w:tblPrEx>
          <w:tblCellMar>
            <w:top w:w="0" w:type="dxa"/>
            <w:left w:w="0" w:type="dxa"/>
            <w:bottom w:w="0" w:type="dxa"/>
            <w:right w:w="0" w:type="dxa"/>
          </w:tblCellMar>
        </w:tblPrEx>
        <w:trPr>
          <w:trHeight w:val="660"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190"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r>
              <w:rPr>
                <w:rFonts w:hint="eastAsia" w:ascii="宋体" w:hAnsi="宋体" w:eastAsia="宋体" w:cs="宋体"/>
                <w:i w:val="0"/>
                <w:color w:val="auto"/>
                <w:sz w:val="18"/>
                <w:szCs w:val="18"/>
                <w:u w:val="none"/>
              </w:rPr>
              <w:t>根据攀财行政【2020】17号文要求，将攀枝花大厦租金收支纳入财政“收支两条线”管理，从2021年起攀枝花大厦客房租赁收入70万元上缴财政，财政拨入项目经费用于其人员</w:t>
            </w:r>
            <w:r>
              <w:rPr>
                <w:rFonts w:hint="eastAsia" w:ascii="宋体" w:hAnsi="宋体" w:cs="宋体"/>
                <w:i w:val="0"/>
                <w:color w:val="auto"/>
                <w:sz w:val="18"/>
                <w:szCs w:val="18"/>
                <w:u w:val="none"/>
                <w:lang w:eastAsia="zh-CN"/>
              </w:rPr>
              <w:t>工资福利</w:t>
            </w:r>
            <w:r>
              <w:rPr>
                <w:rFonts w:hint="eastAsia" w:ascii="宋体" w:hAnsi="宋体" w:eastAsia="宋体" w:cs="宋体"/>
                <w:i w:val="0"/>
                <w:color w:val="auto"/>
                <w:sz w:val="18"/>
                <w:szCs w:val="18"/>
                <w:u w:val="none"/>
              </w:rPr>
              <w:t>和日常</w:t>
            </w:r>
            <w:r>
              <w:rPr>
                <w:rFonts w:hint="eastAsia" w:ascii="宋体" w:hAnsi="宋体" w:cs="宋体"/>
                <w:i w:val="0"/>
                <w:color w:val="auto"/>
                <w:sz w:val="18"/>
                <w:szCs w:val="18"/>
                <w:u w:val="none"/>
                <w:lang w:eastAsia="zh-CN"/>
              </w:rPr>
              <w:t>经费</w:t>
            </w:r>
            <w:r>
              <w:rPr>
                <w:rFonts w:hint="eastAsia" w:ascii="宋体" w:hAnsi="宋体" w:eastAsia="宋体" w:cs="宋体"/>
                <w:i w:val="0"/>
                <w:color w:val="auto"/>
                <w:sz w:val="18"/>
                <w:szCs w:val="18"/>
                <w:u w:val="none"/>
              </w:rPr>
              <w:t>开支。</w:t>
            </w:r>
          </w:p>
        </w:tc>
      </w:tr>
      <w:tr>
        <w:tblPrEx>
          <w:tblCellMar>
            <w:top w:w="0" w:type="dxa"/>
            <w:left w:w="0" w:type="dxa"/>
            <w:bottom w:w="0" w:type="dxa"/>
            <w:right w:w="0" w:type="dxa"/>
          </w:tblCellMar>
        </w:tblPrEx>
        <w:trPr>
          <w:trHeight w:val="660" w:hRule="atLeast"/>
        </w:trPr>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年度预算数（万元）</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w:t>
            </w:r>
            <w:r>
              <w:rPr>
                <w:rFonts w:hint="eastAsia" w:ascii="宋体" w:hAnsi="宋体" w:eastAsia="宋体" w:cs="宋体"/>
                <w:i w:val="0"/>
                <w:color w:val="000000"/>
                <w:kern w:val="0"/>
                <w:sz w:val="18"/>
                <w:szCs w:val="18"/>
                <w:u w:val="none"/>
                <w:lang w:val="en-US" w:eastAsia="zh-CN" w:bidi="ar"/>
              </w:rPr>
              <w:t xml:space="preserve">   </w:t>
            </w:r>
            <w:r>
              <w:rPr>
                <w:rFonts w:ascii="宋体" w:hAnsi="宋体" w:eastAsia="宋体" w:cs="宋体"/>
                <w:i w:val="0"/>
                <w:color w:val="000000"/>
                <w:kern w:val="0"/>
                <w:sz w:val="18"/>
                <w:szCs w:val="18"/>
                <w:u w:val="none"/>
                <w:lang w:val="en-US" w:eastAsia="zh-CN" w:bidi="ar"/>
              </w:rPr>
              <w:t>执行率</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tblPrEx>
          <w:tblCellMar>
            <w:top w:w="0" w:type="dxa"/>
            <w:left w:w="0" w:type="dxa"/>
            <w:bottom w:w="0" w:type="dxa"/>
            <w:right w:w="0" w:type="dxa"/>
          </w:tblCellMar>
        </w:tblPrEx>
        <w:trPr>
          <w:trHeight w:val="415"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10</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contextualSpacing/>
              <w:jc w:val="both"/>
              <w:textAlignment w:val="auto"/>
              <w:rPr>
                <w:rFonts w:hint="eastAsia" w:ascii="宋体" w:hAnsi="宋体" w:eastAsia="宋体" w:cs="宋体"/>
                <w:sz w:val="18"/>
                <w:szCs w:val="18"/>
              </w:rPr>
            </w:pPr>
            <w:r>
              <w:rPr>
                <w:rFonts w:hint="eastAsia" w:ascii="宋体" w:hAnsi="宋体" w:eastAsia="宋体" w:cs="宋体"/>
                <w:i w:val="0"/>
                <w:iCs/>
                <w:color w:val="000000"/>
                <w:kern w:val="0"/>
                <w:sz w:val="18"/>
                <w:szCs w:val="18"/>
                <w:u w:val="none"/>
                <w:lang w:val="en-US" w:eastAsia="zh-CN" w:bidi="ar"/>
              </w:rPr>
              <w:t>年中发生预算调整的追加经费是因为2021年</w:t>
            </w:r>
            <w:r>
              <w:rPr>
                <w:rFonts w:hint="eastAsia" w:ascii="宋体" w:hAnsi="宋体" w:eastAsia="宋体" w:cs="宋体"/>
                <w:sz w:val="18"/>
                <w:szCs w:val="18"/>
              </w:rPr>
              <w:t>攀枝花大厦</w:t>
            </w:r>
            <w:r>
              <w:rPr>
                <w:rFonts w:hint="eastAsia" w:ascii="宋体" w:hAnsi="宋体" w:eastAsia="宋体" w:cs="宋体"/>
                <w:i w:val="0"/>
                <w:color w:val="auto"/>
                <w:sz w:val="18"/>
                <w:szCs w:val="18"/>
                <w:u w:val="none"/>
              </w:rPr>
              <w:t>客房租赁收入70万元</w:t>
            </w:r>
            <w:r>
              <w:rPr>
                <w:rFonts w:hint="eastAsia" w:ascii="宋体" w:hAnsi="宋体" w:cs="宋体"/>
                <w:i w:val="0"/>
                <w:color w:val="auto"/>
                <w:sz w:val="18"/>
                <w:szCs w:val="18"/>
                <w:u w:val="none"/>
                <w:lang w:eastAsia="zh-CN"/>
              </w:rPr>
              <w:t>全部</w:t>
            </w:r>
            <w:r>
              <w:rPr>
                <w:rFonts w:hint="eastAsia" w:ascii="宋体" w:hAnsi="宋体" w:eastAsia="宋体" w:cs="宋体"/>
                <w:i w:val="0"/>
                <w:color w:val="auto"/>
                <w:sz w:val="18"/>
                <w:szCs w:val="18"/>
                <w:u w:val="none"/>
              </w:rPr>
              <w:t>上缴</w:t>
            </w:r>
            <w:r>
              <w:rPr>
                <w:rFonts w:hint="eastAsia" w:ascii="宋体" w:hAnsi="宋体" w:cs="宋体"/>
                <w:i w:val="0"/>
                <w:color w:val="auto"/>
                <w:sz w:val="18"/>
                <w:szCs w:val="18"/>
                <w:u w:val="none"/>
                <w:lang w:eastAsia="zh-CN"/>
              </w:rPr>
              <w:t>了</w:t>
            </w:r>
            <w:r>
              <w:rPr>
                <w:rFonts w:hint="eastAsia" w:ascii="宋体" w:hAnsi="宋体" w:eastAsia="宋体" w:cs="宋体"/>
                <w:i w:val="0"/>
                <w:color w:val="auto"/>
                <w:sz w:val="18"/>
                <w:szCs w:val="18"/>
                <w:u w:val="none"/>
              </w:rPr>
              <w:t>财政</w:t>
            </w:r>
            <w:r>
              <w:rPr>
                <w:rFonts w:hint="eastAsia" w:ascii="宋体" w:hAnsi="宋体" w:cs="宋体"/>
                <w:i w:val="0"/>
                <w:color w:val="auto"/>
                <w:sz w:val="18"/>
                <w:szCs w:val="18"/>
                <w:u w:val="none"/>
                <w:lang w:eastAsia="zh-CN"/>
              </w:rPr>
              <w:t>，但</w:t>
            </w:r>
            <w:r>
              <w:rPr>
                <w:rFonts w:hint="eastAsia" w:ascii="宋体" w:hAnsi="宋体" w:eastAsia="宋体" w:cs="宋体"/>
                <w:i w:val="0"/>
                <w:color w:val="auto"/>
                <w:sz w:val="18"/>
                <w:szCs w:val="18"/>
                <w:u w:val="none"/>
              </w:rPr>
              <w:t>财政应拨入的人员经费和日常开支</w:t>
            </w:r>
            <w:r>
              <w:rPr>
                <w:rFonts w:hint="eastAsia" w:ascii="宋体" w:hAnsi="宋体" w:cs="宋体"/>
                <w:i w:val="0"/>
                <w:color w:val="auto"/>
                <w:sz w:val="18"/>
                <w:szCs w:val="18"/>
                <w:u w:val="none"/>
                <w:lang w:val="en-US" w:eastAsia="zh-CN"/>
              </w:rPr>
              <w:t>50万元只拨付了17万元</w:t>
            </w:r>
            <w:r>
              <w:rPr>
                <w:rFonts w:hint="eastAsia" w:ascii="宋体" w:hAnsi="宋体" w:eastAsia="宋体" w:cs="宋体"/>
                <w:kern w:val="0"/>
                <w:sz w:val="18"/>
                <w:szCs w:val="18"/>
                <w:shd w:val="clear" w:color="auto" w:fill="FFFFFF"/>
                <w:lang w:val="en-US" w:eastAsia="zh-CN"/>
              </w:rPr>
              <w:t>，还有</w:t>
            </w:r>
            <w:r>
              <w:rPr>
                <w:rFonts w:hint="eastAsia" w:ascii="宋体" w:hAnsi="宋体" w:eastAsia="宋体" w:cs="宋体"/>
                <w:sz w:val="18"/>
                <w:szCs w:val="18"/>
              </w:rPr>
              <w:t>33万元未拨付，造成资金缺口</w:t>
            </w:r>
            <w:r>
              <w:rPr>
                <w:rFonts w:hint="eastAsia" w:ascii="宋体" w:hAnsi="宋体" w:eastAsia="宋体" w:cs="宋体"/>
                <w:sz w:val="18"/>
                <w:szCs w:val="18"/>
                <w:lang w:eastAsia="zh-CN"/>
              </w:rPr>
              <w:t>，所以</w:t>
            </w:r>
            <w:r>
              <w:rPr>
                <w:rFonts w:hint="eastAsia" w:ascii="宋体" w:hAnsi="宋体" w:eastAsia="宋体" w:cs="宋体"/>
                <w:sz w:val="18"/>
                <w:szCs w:val="18"/>
                <w:lang w:val="en-US" w:eastAsia="zh-CN"/>
              </w:rPr>
              <w:t>2022年追加了大厦运转经费10万元用于人员和公用支出</w:t>
            </w:r>
            <w:r>
              <w:rPr>
                <w:rFonts w:hint="eastAsia" w:ascii="宋体" w:hAnsi="宋体" w:eastAsia="宋体" w:cs="宋体"/>
                <w:sz w:val="18"/>
                <w:szCs w:val="18"/>
              </w:rPr>
              <w:t>。</w:t>
            </w:r>
          </w:p>
          <w:p>
            <w:pPr>
              <w:keepNext w:val="0"/>
              <w:keepLines w:val="0"/>
              <w:widowControl/>
              <w:suppressLineNumbers w:val="0"/>
              <w:jc w:val="both"/>
              <w:textAlignment w:val="center"/>
              <w:rPr>
                <w:rFonts w:hint="default" w:ascii="黑体" w:hAnsi="黑体" w:eastAsia="黑体" w:cs="黑体"/>
                <w:i/>
                <w:color w:val="000000"/>
                <w:sz w:val="18"/>
                <w:szCs w:val="18"/>
                <w:u w:val="none"/>
                <w:lang w:val="en-US"/>
              </w:rPr>
            </w:pPr>
          </w:p>
        </w:tc>
      </w:tr>
      <w:tr>
        <w:tblPrEx>
          <w:tblCellMar>
            <w:top w:w="0" w:type="dxa"/>
            <w:left w:w="0" w:type="dxa"/>
            <w:bottom w:w="0" w:type="dxa"/>
            <w:right w:w="0" w:type="dxa"/>
          </w:tblCellMar>
        </w:tblPrEx>
        <w:trPr>
          <w:trHeight w:val="660"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w:t>
            </w:r>
            <w:r>
              <w:rPr>
                <w:rFonts w:hint="eastAsia" w:ascii="宋体" w:hAnsi="宋体" w:eastAsia="宋体" w:cs="宋体"/>
                <w:i w:val="0"/>
                <w:color w:val="000000"/>
                <w:kern w:val="0"/>
                <w:sz w:val="18"/>
                <w:szCs w:val="18"/>
                <w:u w:val="none"/>
                <w:lang w:val="en-US" w:eastAsia="zh-CN" w:bidi="ar"/>
              </w:rPr>
              <w:t xml:space="preserve">    </w:t>
            </w:r>
            <w:r>
              <w:rPr>
                <w:rFonts w:ascii="宋体" w:hAnsi="宋体" w:eastAsia="宋体" w:cs="宋体"/>
                <w:i w:val="0"/>
                <w:color w:val="000000"/>
                <w:kern w:val="0"/>
                <w:sz w:val="18"/>
                <w:szCs w:val="18"/>
                <w:u w:val="none"/>
                <w:lang w:val="en-US" w:eastAsia="zh-CN" w:bidi="ar"/>
              </w:rPr>
              <w:t>财政资金</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黑体" w:hAnsi="黑体" w:eastAsia="黑体" w:cs="黑体"/>
                <w:i/>
                <w:color w:val="000000"/>
                <w:sz w:val="18"/>
                <w:szCs w:val="18"/>
                <w:u w:val="none"/>
              </w:rPr>
            </w:pPr>
          </w:p>
        </w:tc>
      </w:tr>
      <w:tr>
        <w:tblPrEx>
          <w:tblCellMar>
            <w:top w:w="0" w:type="dxa"/>
            <w:left w:w="0" w:type="dxa"/>
            <w:bottom w:w="0" w:type="dxa"/>
            <w:right w:w="0" w:type="dxa"/>
          </w:tblCellMar>
        </w:tblPrEx>
        <w:trPr>
          <w:trHeight w:val="660"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财政专户</w:t>
            </w:r>
            <w:r>
              <w:rPr>
                <w:rFonts w:hint="eastAsia" w:ascii="宋体" w:hAnsi="宋体" w:eastAsia="宋体" w:cs="宋体"/>
                <w:i w:val="0"/>
                <w:color w:val="000000"/>
                <w:kern w:val="0"/>
                <w:sz w:val="18"/>
                <w:szCs w:val="18"/>
                <w:u w:val="none"/>
                <w:lang w:val="en-US" w:eastAsia="zh-CN" w:bidi="ar"/>
              </w:rPr>
              <w:t xml:space="preserve"> </w:t>
            </w:r>
            <w:r>
              <w:rPr>
                <w:rFonts w:ascii="宋体" w:hAnsi="宋体" w:eastAsia="宋体" w:cs="宋体"/>
                <w:i w:val="0"/>
                <w:color w:val="000000"/>
                <w:kern w:val="0"/>
                <w:sz w:val="18"/>
                <w:szCs w:val="18"/>
                <w:u w:val="none"/>
                <w:lang w:val="en-US" w:eastAsia="zh-CN" w:bidi="ar"/>
              </w:rPr>
              <w:t>管理资金</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r>
              <w:rPr>
                <w:rFonts w:ascii="宋体" w:hAnsi="宋体" w:eastAsia="宋体" w:cs="宋体"/>
                <w:i w:val="0"/>
                <w:color w:val="000000"/>
                <w:kern w:val="0"/>
                <w:sz w:val="18"/>
                <w:szCs w:val="18"/>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黑体" w:hAnsi="黑体" w:eastAsia="黑体" w:cs="黑体"/>
                <w:i/>
                <w:color w:val="000000"/>
                <w:sz w:val="18"/>
                <w:szCs w:val="18"/>
                <w:u w:val="none"/>
              </w:rPr>
            </w:pPr>
          </w:p>
        </w:tc>
      </w:tr>
      <w:tr>
        <w:tblPrEx>
          <w:tblCellMar>
            <w:top w:w="0" w:type="dxa"/>
            <w:left w:w="0" w:type="dxa"/>
            <w:bottom w:w="0" w:type="dxa"/>
            <w:right w:w="0" w:type="dxa"/>
          </w:tblCellMar>
        </w:tblPrEx>
        <w:trPr>
          <w:trHeight w:val="505"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单位资金</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w:t>
            </w:r>
            <w:r>
              <w:rPr>
                <w:rFonts w:ascii="宋体" w:hAnsi="宋体" w:eastAsia="宋体" w:cs="宋体"/>
                <w:i w:val="0"/>
                <w:color w:val="000000"/>
                <w:kern w:val="0"/>
                <w:sz w:val="18"/>
                <w:szCs w:val="18"/>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黑体" w:hAnsi="黑体" w:eastAsia="黑体" w:cs="黑体"/>
                <w:i/>
                <w:color w:val="000000"/>
                <w:sz w:val="18"/>
                <w:szCs w:val="18"/>
                <w:u w:val="none"/>
              </w:rPr>
            </w:pPr>
          </w:p>
        </w:tc>
      </w:tr>
      <w:tr>
        <w:tblPrEx>
          <w:tblCellMar>
            <w:top w:w="0" w:type="dxa"/>
            <w:left w:w="0" w:type="dxa"/>
            <w:bottom w:w="0" w:type="dxa"/>
            <w:right w:w="0" w:type="dxa"/>
          </w:tblCellMar>
        </w:tblPrEx>
        <w:trPr>
          <w:trHeight w:val="520" w:hRule="atLeast"/>
        </w:trPr>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其他资金</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color w:val="000000"/>
                <w:sz w:val="16"/>
                <w:szCs w:val="16"/>
                <w:u w:val="none"/>
              </w:rPr>
            </w:pPr>
            <w:r>
              <w:rPr>
                <w:rFonts w:hint="eastAsia" w:ascii="宋体" w:hAnsi="宋体" w:eastAsia="宋体" w:cs="宋体"/>
                <w:i w:val="0"/>
                <w:color w:val="000000"/>
                <w:kern w:val="0"/>
                <w:sz w:val="18"/>
                <w:szCs w:val="18"/>
                <w:u w:val="none"/>
                <w:lang w:val="en-US" w:eastAsia="zh-CN" w:bidi="ar"/>
              </w:rPr>
              <w:t>0</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color w:val="000000"/>
                <w:sz w:val="16"/>
                <w:szCs w:val="16"/>
                <w:u w:val="none"/>
              </w:rPr>
            </w:pPr>
            <w:r>
              <w:rPr>
                <w:rFonts w:hint="eastAsia" w:ascii="宋体" w:hAnsi="宋体" w:eastAsia="宋体" w:cs="宋体"/>
                <w:i w:val="0"/>
                <w:color w:val="000000"/>
                <w:kern w:val="0"/>
                <w:sz w:val="18"/>
                <w:szCs w:val="18"/>
                <w:u w:val="none"/>
                <w:lang w:val="en-US" w:eastAsia="zh-CN" w:bidi="ar"/>
              </w:rPr>
              <w:t>0</w:t>
            </w:r>
          </w:p>
        </w:tc>
        <w:tc>
          <w:tcPr>
            <w:tcW w:w="197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color w:val="000000"/>
                <w:sz w:val="16"/>
                <w:szCs w:val="16"/>
                <w:u w:val="none"/>
              </w:rPr>
            </w:pPr>
            <w:r>
              <w:rPr>
                <w:rFonts w:hint="eastAsia" w:ascii="宋体" w:hAnsi="宋体" w:eastAsia="宋体" w:cs="宋体"/>
                <w:i w:val="0"/>
                <w:color w:val="000000"/>
                <w:kern w:val="0"/>
                <w:sz w:val="18"/>
                <w:szCs w:val="18"/>
                <w:u w:val="none"/>
                <w:lang w:val="en-US" w:eastAsia="zh-CN" w:bidi="ar"/>
              </w:rPr>
              <w:t>0</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微软雅黑" w:hAnsi="微软雅黑" w:eastAsia="微软雅黑" w:cs="微软雅黑"/>
                <w:i/>
                <w:color w:val="000000"/>
                <w:sz w:val="16"/>
                <w:szCs w:val="16"/>
                <w:u w:val="none"/>
              </w:rPr>
            </w:pPr>
            <w:r>
              <w:rPr>
                <w:rFonts w:hint="eastAsia" w:ascii="宋体" w:hAnsi="宋体" w:eastAsia="宋体" w:cs="宋体"/>
                <w:i w:val="0"/>
                <w:color w:val="000000"/>
                <w:kern w:val="0"/>
                <w:sz w:val="18"/>
                <w:szCs w:val="18"/>
                <w:u w:val="none"/>
                <w:lang w:val="en-US" w:eastAsia="zh-CN" w:bidi="ar"/>
              </w:rPr>
              <w:t>0</w:t>
            </w:r>
            <w:r>
              <w:rPr>
                <w:rFonts w:ascii="宋体" w:hAnsi="宋体" w:eastAsia="宋体" w:cs="宋体"/>
                <w:i w:val="0"/>
                <w:color w:val="000000"/>
                <w:kern w:val="0"/>
                <w:sz w:val="18"/>
                <w:szCs w:val="18"/>
                <w:u w:val="none"/>
                <w:lang w:val="en-US" w:eastAsia="zh-CN" w:bidi="ar"/>
              </w:rPr>
              <w:t>%</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黑体" w:hAnsi="黑体" w:eastAsia="黑体" w:cs="黑体"/>
                <w:i/>
                <w:color w:val="000000"/>
                <w:sz w:val="18"/>
                <w:szCs w:val="18"/>
                <w:u w:val="none"/>
              </w:rPr>
            </w:pPr>
          </w:p>
        </w:tc>
      </w:tr>
      <w:tr>
        <w:tblPrEx>
          <w:tblCellMar>
            <w:top w:w="0" w:type="dxa"/>
            <w:left w:w="0" w:type="dxa"/>
            <w:bottom w:w="0" w:type="dxa"/>
            <w:right w:w="0" w:type="dxa"/>
          </w:tblCellMar>
        </w:tblPrEx>
        <w:trPr>
          <w:trHeight w:val="660" w:hRule="atLeast"/>
        </w:trPr>
        <w:tc>
          <w:tcPr>
            <w:tcW w:w="39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tblPrEx>
          <w:tblCellMar>
            <w:top w:w="0" w:type="dxa"/>
            <w:left w:w="0" w:type="dxa"/>
            <w:bottom w:w="0" w:type="dxa"/>
            <w:right w:w="0" w:type="dxa"/>
          </w:tblCellMar>
        </w:tblPrEx>
        <w:trPr>
          <w:trHeight w:val="660" w:hRule="atLeast"/>
        </w:trPr>
        <w:tc>
          <w:tcPr>
            <w:tcW w:w="39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产出指标</w:t>
            </w:r>
          </w:p>
        </w:tc>
        <w:tc>
          <w:tcPr>
            <w:tcW w:w="103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数量指标</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科目调整次数</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次</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微软雅黑" w:hAnsi="微软雅黑" w:eastAsia="微软雅黑" w:cs="微软雅黑"/>
                <w:i/>
                <w:color w:val="000000"/>
                <w:sz w:val="16"/>
                <w:szCs w:val="16"/>
                <w:u w:val="none"/>
                <w:lang w:val="en-US" w:eastAsia="zh-CN"/>
              </w:rPr>
            </w:pPr>
            <w:r>
              <w:rPr>
                <w:rFonts w:hint="eastAsia" w:ascii="微软雅黑" w:hAnsi="微软雅黑" w:eastAsia="微软雅黑" w:cs="微软雅黑"/>
                <w:i w:val="0"/>
                <w:iCs/>
                <w:color w:val="000000"/>
                <w:sz w:val="16"/>
                <w:szCs w:val="16"/>
                <w:u w:val="none"/>
                <w:lang w:val="en-US" w:eastAsia="zh-CN"/>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22.5</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p>
        </w:tc>
      </w:tr>
      <w:tr>
        <w:tblPrEx>
          <w:tblCellMar>
            <w:top w:w="0" w:type="dxa"/>
            <w:left w:w="0" w:type="dxa"/>
            <w:bottom w:w="0" w:type="dxa"/>
            <w:right w:w="0" w:type="dxa"/>
          </w:tblCellMar>
        </w:tblPrEx>
        <w:trPr>
          <w:trHeight w:val="660" w:hRule="atLeast"/>
        </w:trPr>
        <w:tc>
          <w:tcPr>
            <w:tcW w:w="39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足额保障率</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100</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r>
              <w:rPr>
                <w:rFonts w:hint="eastAsia" w:ascii="微软雅黑" w:hAnsi="微软雅黑" w:eastAsia="微软雅黑" w:cs="微软雅黑"/>
                <w:i w:val="0"/>
                <w:iCs/>
                <w:color w:val="000000"/>
                <w:sz w:val="16"/>
                <w:szCs w:val="16"/>
                <w:u w:val="none"/>
                <w:lang w:val="en-US" w:eastAsia="zh-CN"/>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22.5</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p>
        </w:tc>
      </w:tr>
      <w:tr>
        <w:tblPrEx>
          <w:tblCellMar>
            <w:top w:w="0" w:type="dxa"/>
            <w:left w:w="0" w:type="dxa"/>
            <w:bottom w:w="0" w:type="dxa"/>
            <w:right w:w="0" w:type="dxa"/>
          </w:tblCellMar>
        </w:tblPrEx>
        <w:trPr>
          <w:trHeight w:val="660" w:hRule="atLeast"/>
        </w:trPr>
        <w:tc>
          <w:tcPr>
            <w:tcW w:w="390"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时效指标</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按时发放率</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100</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r>
              <w:rPr>
                <w:rFonts w:hint="eastAsia" w:ascii="微软雅黑" w:hAnsi="微软雅黑" w:eastAsia="微软雅黑" w:cs="微软雅黑"/>
                <w:i w:val="0"/>
                <w:iCs/>
                <w:color w:val="000000"/>
                <w:sz w:val="16"/>
                <w:szCs w:val="16"/>
                <w:u w:val="none"/>
                <w:lang w:val="en-US" w:eastAsia="zh-CN"/>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22.5</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p>
        </w:tc>
      </w:tr>
      <w:tr>
        <w:tblPrEx>
          <w:tblCellMar>
            <w:top w:w="0" w:type="dxa"/>
            <w:left w:w="0" w:type="dxa"/>
            <w:bottom w:w="0" w:type="dxa"/>
            <w:right w:w="0" w:type="dxa"/>
          </w:tblCellMar>
        </w:tblPrEx>
        <w:trPr>
          <w:trHeight w:val="660" w:hRule="atLeast"/>
        </w:trPr>
        <w:tc>
          <w:tcPr>
            <w:tcW w:w="39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效益指标</w:t>
            </w:r>
          </w:p>
        </w:tc>
        <w:tc>
          <w:tcPr>
            <w:tcW w:w="10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经济效益</w:t>
            </w:r>
            <w:r>
              <w:rPr>
                <w:rFonts w:hint="eastAsia" w:ascii="宋体" w:hAnsi="宋体" w:eastAsia="宋体" w:cs="宋体"/>
                <w:i w:val="0"/>
                <w:color w:val="000000"/>
                <w:sz w:val="18"/>
                <w:szCs w:val="18"/>
                <w:u w:val="none"/>
                <w:lang w:val="en-US" w:eastAsia="zh-CN"/>
              </w:rPr>
              <w:t xml:space="preserve">  </w:t>
            </w:r>
            <w:r>
              <w:rPr>
                <w:rFonts w:hint="eastAsia" w:ascii="宋体" w:hAnsi="宋体" w:eastAsia="宋体" w:cs="宋体"/>
                <w:i w:val="0"/>
                <w:color w:val="000000"/>
                <w:sz w:val="18"/>
                <w:szCs w:val="18"/>
                <w:u w:val="none"/>
                <w:lang w:eastAsia="zh-CN"/>
              </w:rPr>
              <w:t>指标</w:t>
            </w:r>
          </w:p>
        </w:tc>
        <w:tc>
          <w:tcPr>
            <w:tcW w:w="13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sz w:val="18"/>
                <w:szCs w:val="18"/>
                <w:u w:val="none"/>
                <w:lang w:eastAsia="zh-CN"/>
              </w:rPr>
              <w:t>结余率</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eastAsia="zh-CN"/>
              </w:rPr>
              <w:t>≤</w:t>
            </w:r>
          </w:p>
        </w:tc>
        <w:tc>
          <w:tcPr>
            <w:tcW w:w="9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5</w:t>
            </w:r>
          </w:p>
        </w:tc>
        <w:tc>
          <w:tcPr>
            <w:tcW w:w="5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w:t>
            </w:r>
          </w:p>
        </w:tc>
        <w:tc>
          <w:tcPr>
            <w:tcW w:w="7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r>
              <w:rPr>
                <w:rFonts w:hint="eastAsia" w:ascii="微软雅黑" w:hAnsi="微软雅黑" w:eastAsia="微软雅黑" w:cs="微软雅黑"/>
                <w:i w:val="0"/>
                <w:iCs/>
                <w:color w:val="000000"/>
                <w:sz w:val="16"/>
                <w:szCs w:val="16"/>
                <w:u w:val="none"/>
                <w:lang w:val="en-US" w:eastAsia="zh-CN"/>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22.5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sz w:val="18"/>
                <w:szCs w:val="18"/>
                <w:u w:val="none"/>
                <w:lang w:val="en-US" w:eastAsia="zh-CN"/>
              </w:rPr>
              <w:t>22.5</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微软雅黑" w:hAnsi="微软雅黑" w:eastAsia="微软雅黑" w:cs="微软雅黑"/>
                <w:i/>
                <w:color w:val="000000"/>
                <w:sz w:val="16"/>
                <w:szCs w:val="16"/>
                <w:u w:val="none"/>
              </w:rPr>
            </w:pPr>
          </w:p>
        </w:tc>
      </w:tr>
      <w:tr>
        <w:tblPrEx>
          <w:tblCellMar>
            <w:top w:w="0" w:type="dxa"/>
            <w:left w:w="0" w:type="dxa"/>
            <w:bottom w:w="0" w:type="dxa"/>
            <w:right w:w="0" w:type="dxa"/>
          </w:tblCellMar>
        </w:tblPrEx>
        <w:trPr>
          <w:trHeight w:val="660" w:hRule="atLeast"/>
        </w:trPr>
        <w:tc>
          <w:tcPr>
            <w:tcW w:w="6420"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合计</w:t>
            </w:r>
          </w:p>
        </w:tc>
        <w:tc>
          <w:tcPr>
            <w:tcW w:w="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100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100</w:t>
            </w:r>
          </w:p>
        </w:tc>
        <w:tc>
          <w:tcPr>
            <w:tcW w:w="19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660" w:hRule="atLeast"/>
        </w:trPr>
        <w:tc>
          <w:tcPr>
            <w:tcW w:w="9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评价结论</w:t>
            </w:r>
          </w:p>
        </w:tc>
        <w:tc>
          <w:tcPr>
            <w:tcW w:w="8567"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微软雅黑" w:hAnsi="微软雅黑" w:eastAsia="微软雅黑" w:cs="微软雅黑"/>
                <w:i/>
                <w:color w:val="000000"/>
                <w:sz w:val="16"/>
                <w:szCs w:val="16"/>
                <w:u w:val="none"/>
              </w:rPr>
            </w:pPr>
            <w:r>
              <w:rPr>
                <w:rFonts w:hint="eastAsia" w:ascii="宋体" w:hAnsi="宋体" w:eastAsia="宋体" w:cs="宋体"/>
                <w:i w:val="0"/>
                <w:iCs w:val="0"/>
                <w:color w:val="000000"/>
                <w:kern w:val="0"/>
                <w:sz w:val="18"/>
                <w:szCs w:val="18"/>
                <w:u w:val="none"/>
                <w:lang w:val="en-US" w:eastAsia="zh-CN" w:bidi="ar"/>
              </w:rPr>
              <w:t>保障攀枝花大厦正常运转，增强服务能力，为攀枝花经济社会发展提供助力。</w:t>
            </w:r>
          </w:p>
        </w:tc>
      </w:tr>
      <w:tr>
        <w:tblPrEx>
          <w:tblCellMar>
            <w:top w:w="0" w:type="dxa"/>
            <w:left w:w="0" w:type="dxa"/>
            <w:bottom w:w="0" w:type="dxa"/>
            <w:right w:w="0" w:type="dxa"/>
          </w:tblCellMar>
        </w:tblPrEx>
        <w:trPr>
          <w:trHeight w:val="660" w:hRule="atLeast"/>
        </w:trPr>
        <w:tc>
          <w:tcPr>
            <w:tcW w:w="9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存在问题</w:t>
            </w:r>
          </w:p>
        </w:tc>
        <w:tc>
          <w:tcPr>
            <w:tcW w:w="8567"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宋体" w:cs="微软雅黑"/>
                <w:i/>
                <w:color w:val="000000"/>
                <w:sz w:val="16"/>
                <w:szCs w:val="16"/>
                <w:u w:val="none"/>
                <w:lang w:val="en-US" w:eastAsia="zh-CN"/>
              </w:rPr>
            </w:pPr>
            <w:r>
              <w:rPr>
                <w:rFonts w:hint="eastAsia" w:ascii="宋体" w:hAnsi="宋体" w:eastAsia="宋体" w:cs="宋体"/>
                <w:i w:val="0"/>
                <w:color w:val="auto"/>
                <w:sz w:val="18"/>
                <w:szCs w:val="18"/>
                <w:u w:val="none"/>
              </w:rPr>
              <w:t>根据财行要求攀枝花大厦租金收支纳入财政“收支两条线”管理，从2021年起</w:t>
            </w:r>
            <w:r>
              <w:rPr>
                <w:rFonts w:hint="eastAsia" w:ascii="宋体" w:hAnsi="宋体" w:cs="宋体"/>
                <w:i w:val="0"/>
                <w:color w:val="auto"/>
                <w:sz w:val="18"/>
                <w:szCs w:val="18"/>
                <w:u w:val="none"/>
                <w:lang w:eastAsia="zh-CN"/>
              </w:rPr>
              <w:t>每年将</w:t>
            </w:r>
            <w:r>
              <w:rPr>
                <w:rFonts w:hint="eastAsia" w:ascii="宋体" w:hAnsi="宋体" w:eastAsia="宋体" w:cs="宋体"/>
                <w:i w:val="0"/>
                <w:color w:val="auto"/>
                <w:sz w:val="18"/>
                <w:szCs w:val="18"/>
                <w:u w:val="none"/>
              </w:rPr>
              <w:t>攀枝花大厦客房租赁收入70万元上缴财政，</w:t>
            </w:r>
            <w:r>
              <w:rPr>
                <w:rFonts w:hint="eastAsia" w:ascii="宋体" w:hAnsi="宋体" w:cs="宋体"/>
                <w:i w:val="0"/>
                <w:color w:val="auto"/>
                <w:sz w:val="18"/>
                <w:szCs w:val="18"/>
                <w:u w:val="none"/>
                <w:lang w:eastAsia="zh-CN"/>
              </w:rPr>
              <w:t>而</w:t>
            </w:r>
            <w:r>
              <w:rPr>
                <w:rFonts w:hint="eastAsia" w:ascii="宋体" w:hAnsi="宋体" w:eastAsia="宋体" w:cs="宋体"/>
                <w:i w:val="0"/>
                <w:color w:val="auto"/>
                <w:sz w:val="18"/>
                <w:szCs w:val="18"/>
                <w:u w:val="none"/>
              </w:rPr>
              <w:t>财政拨入项目经费</w:t>
            </w:r>
            <w:r>
              <w:rPr>
                <w:rFonts w:hint="eastAsia" w:ascii="宋体" w:hAnsi="宋体" w:cs="宋体"/>
                <w:i w:val="0"/>
                <w:color w:val="auto"/>
                <w:sz w:val="18"/>
                <w:szCs w:val="18"/>
                <w:u w:val="none"/>
                <w:lang w:val="en-US" w:eastAsia="zh-CN"/>
              </w:rPr>
              <w:t>50万元</w:t>
            </w:r>
            <w:r>
              <w:rPr>
                <w:rFonts w:hint="eastAsia" w:ascii="宋体" w:hAnsi="宋体" w:eastAsia="宋体" w:cs="宋体"/>
                <w:i w:val="0"/>
                <w:color w:val="auto"/>
                <w:sz w:val="18"/>
                <w:szCs w:val="18"/>
                <w:u w:val="none"/>
              </w:rPr>
              <w:t>用于其人员经费和日常开支。</w:t>
            </w:r>
            <w:r>
              <w:rPr>
                <w:rFonts w:hint="eastAsia" w:ascii="宋体" w:hAnsi="宋体" w:cs="宋体"/>
                <w:i w:val="0"/>
                <w:color w:val="auto"/>
                <w:sz w:val="18"/>
                <w:szCs w:val="18"/>
                <w:u w:val="none"/>
                <w:lang w:val="en-US" w:eastAsia="zh-CN"/>
              </w:rPr>
              <w:t>2021年</w:t>
            </w:r>
            <w:r>
              <w:rPr>
                <w:rFonts w:hint="eastAsia" w:ascii="宋体" w:hAnsi="宋体" w:eastAsia="宋体" w:cs="宋体"/>
                <w:i w:val="0"/>
                <w:color w:val="auto"/>
                <w:sz w:val="18"/>
                <w:szCs w:val="18"/>
                <w:u w:val="none"/>
              </w:rPr>
              <w:t>攀枝花大厦客房租赁收入70万元全部上缴</w:t>
            </w:r>
            <w:r>
              <w:rPr>
                <w:rFonts w:hint="eastAsia" w:ascii="宋体" w:hAnsi="宋体" w:cs="宋体"/>
                <w:i w:val="0"/>
                <w:color w:val="auto"/>
                <w:sz w:val="18"/>
                <w:szCs w:val="18"/>
                <w:u w:val="none"/>
                <w:lang w:eastAsia="zh-CN"/>
              </w:rPr>
              <w:t>了</w:t>
            </w:r>
            <w:r>
              <w:rPr>
                <w:rFonts w:hint="eastAsia" w:ascii="宋体" w:hAnsi="宋体" w:eastAsia="宋体" w:cs="宋体"/>
                <w:i w:val="0"/>
                <w:color w:val="auto"/>
                <w:sz w:val="18"/>
                <w:szCs w:val="18"/>
                <w:u w:val="none"/>
              </w:rPr>
              <w:t>财政，但财政应拨入的人员经费和日常开支</w:t>
            </w:r>
            <w:r>
              <w:rPr>
                <w:rFonts w:hint="eastAsia" w:ascii="宋体" w:hAnsi="宋体" w:cs="宋体"/>
                <w:i w:val="0"/>
                <w:color w:val="auto"/>
                <w:sz w:val="18"/>
                <w:szCs w:val="18"/>
                <w:u w:val="none"/>
                <w:lang w:val="en-US" w:eastAsia="zh-CN"/>
              </w:rPr>
              <w:t>50万元</w:t>
            </w:r>
            <w:r>
              <w:rPr>
                <w:rFonts w:hint="eastAsia" w:ascii="宋体" w:hAnsi="宋体" w:eastAsia="宋体" w:cs="宋体"/>
                <w:i w:val="0"/>
                <w:color w:val="auto"/>
                <w:sz w:val="18"/>
                <w:szCs w:val="18"/>
                <w:u w:val="none"/>
              </w:rPr>
              <w:t>却未</w:t>
            </w:r>
            <w:r>
              <w:rPr>
                <w:rFonts w:hint="eastAsia" w:ascii="宋体" w:hAnsi="宋体" w:cs="宋体"/>
                <w:i w:val="0"/>
                <w:color w:val="auto"/>
                <w:sz w:val="18"/>
                <w:szCs w:val="18"/>
                <w:u w:val="none"/>
                <w:lang w:val="en-US" w:eastAsia="zh-CN"/>
              </w:rPr>
              <w:t>完全</w:t>
            </w:r>
            <w:r>
              <w:rPr>
                <w:rFonts w:hint="eastAsia" w:ascii="宋体" w:hAnsi="宋体" w:eastAsia="宋体" w:cs="宋体"/>
                <w:i w:val="0"/>
                <w:color w:val="auto"/>
                <w:sz w:val="18"/>
                <w:szCs w:val="18"/>
                <w:u w:val="none"/>
              </w:rPr>
              <w:t>拨付，</w:t>
            </w:r>
            <w:r>
              <w:rPr>
                <w:rFonts w:hint="eastAsia" w:ascii="宋体" w:hAnsi="宋体" w:cs="宋体"/>
                <w:i w:val="0"/>
                <w:color w:val="auto"/>
                <w:sz w:val="18"/>
                <w:szCs w:val="18"/>
                <w:u w:val="none"/>
                <w:lang w:val="en-US" w:eastAsia="zh-CN"/>
              </w:rPr>
              <w:t>只拨付了17万元，2022年又追加了10万元，</w:t>
            </w:r>
            <w:r>
              <w:rPr>
                <w:rFonts w:hint="eastAsia" w:ascii="宋体" w:hAnsi="宋体" w:eastAsia="宋体" w:cs="宋体"/>
                <w:i w:val="0"/>
                <w:color w:val="auto"/>
                <w:sz w:val="18"/>
                <w:szCs w:val="18"/>
                <w:u w:val="none"/>
              </w:rPr>
              <w:t>造成资金缺口</w:t>
            </w:r>
            <w:r>
              <w:rPr>
                <w:rFonts w:hint="eastAsia" w:ascii="宋体" w:hAnsi="宋体" w:cs="宋体"/>
                <w:i w:val="0"/>
                <w:color w:val="auto"/>
                <w:sz w:val="18"/>
                <w:szCs w:val="18"/>
                <w:u w:val="none"/>
                <w:lang w:eastAsia="zh-CN"/>
              </w:rPr>
              <w:t>，同时，因为</w:t>
            </w:r>
            <w:r>
              <w:rPr>
                <w:rFonts w:hint="eastAsia" w:ascii="宋体" w:hAnsi="宋体" w:cs="宋体"/>
                <w:i w:val="0"/>
                <w:color w:val="auto"/>
                <w:sz w:val="18"/>
                <w:szCs w:val="18"/>
                <w:u w:val="none"/>
                <w:lang w:val="en-US" w:eastAsia="zh-CN"/>
              </w:rPr>
              <w:t>3年疫情造成2022年未收到收入，也无法上缴财政。</w:t>
            </w:r>
          </w:p>
        </w:tc>
      </w:tr>
      <w:tr>
        <w:tblPrEx>
          <w:tblCellMar>
            <w:top w:w="0" w:type="dxa"/>
            <w:left w:w="0" w:type="dxa"/>
            <w:bottom w:w="0" w:type="dxa"/>
            <w:right w:w="0" w:type="dxa"/>
          </w:tblCellMar>
        </w:tblPrEx>
        <w:trPr>
          <w:trHeight w:val="660" w:hRule="atLeast"/>
        </w:trPr>
        <w:tc>
          <w:tcPr>
            <w:tcW w:w="94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改进措施</w:t>
            </w:r>
          </w:p>
        </w:tc>
        <w:tc>
          <w:tcPr>
            <w:tcW w:w="8567"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微软雅黑" w:hAnsi="微软雅黑" w:eastAsia="微软雅黑" w:cs="微软雅黑"/>
                <w:i/>
                <w:color w:val="000000"/>
                <w:sz w:val="16"/>
                <w:szCs w:val="16"/>
                <w:u w:val="none"/>
                <w:lang w:val="en-US" w:eastAsia="zh-CN"/>
              </w:rPr>
            </w:pPr>
            <w:r>
              <w:rPr>
                <w:rFonts w:hint="eastAsia" w:ascii="宋体" w:hAnsi="宋体" w:eastAsia="宋体" w:cs="宋体"/>
                <w:i w:val="0"/>
                <w:iCs/>
                <w:color w:val="000000"/>
                <w:sz w:val="18"/>
                <w:szCs w:val="18"/>
                <w:u w:val="none"/>
                <w:lang w:eastAsia="zh-CN"/>
              </w:rPr>
              <w:t>通过与租赁单位梨园祥丽雅阁酒店有限责任公司协商，催缴</w:t>
            </w:r>
            <w:r>
              <w:rPr>
                <w:rFonts w:hint="eastAsia" w:ascii="宋体" w:hAnsi="宋体" w:eastAsia="宋体" w:cs="宋体"/>
                <w:i w:val="0"/>
                <w:iCs/>
                <w:color w:val="000000"/>
                <w:sz w:val="18"/>
                <w:szCs w:val="18"/>
                <w:u w:val="none"/>
                <w:lang w:val="en-US" w:eastAsia="zh-CN"/>
              </w:rPr>
              <w:t>2022年客房租赁收入上缴财政。</w:t>
            </w:r>
          </w:p>
        </w:tc>
      </w:tr>
      <w:tr>
        <w:tblPrEx>
          <w:tblCellMar>
            <w:top w:w="0" w:type="dxa"/>
            <w:left w:w="0" w:type="dxa"/>
            <w:bottom w:w="0" w:type="dxa"/>
            <w:right w:w="0" w:type="dxa"/>
          </w:tblCellMar>
        </w:tblPrEx>
        <w:trPr>
          <w:trHeight w:val="660" w:hRule="atLeast"/>
        </w:trPr>
        <w:tc>
          <w:tcPr>
            <w:tcW w:w="417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黑体" w:eastAsia="黑体" w:cs="黑体"/>
                <w:i w:val="0"/>
                <w:color w:val="000000"/>
                <w:sz w:val="18"/>
                <w:szCs w:val="18"/>
                <w:u w:val="none"/>
              </w:rPr>
            </w:pPr>
            <w:r>
              <w:rPr>
                <w:rFonts w:hint="eastAsia" w:ascii="黑体" w:hAnsi="黑体" w:eastAsia="黑体" w:cs="黑体"/>
                <w:i w:val="0"/>
                <w:color w:val="000000"/>
                <w:kern w:val="0"/>
                <w:sz w:val="18"/>
                <w:szCs w:val="18"/>
                <w:u w:val="none"/>
                <w:lang w:val="en-US" w:eastAsia="zh-CN" w:bidi="ar"/>
              </w:rPr>
              <w:t>项目负责人：曾朝辉</w:t>
            </w:r>
          </w:p>
        </w:tc>
        <w:tc>
          <w:tcPr>
            <w:tcW w:w="533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黑体" w:hAnsi="黑体" w:eastAsia="黑体" w:cs="黑体"/>
                <w:i w:val="0"/>
                <w:color w:val="000000"/>
                <w:sz w:val="18"/>
                <w:szCs w:val="18"/>
                <w:u w:val="none"/>
              </w:rPr>
            </w:pPr>
            <w:r>
              <w:rPr>
                <w:rFonts w:hint="eastAsia" w:ascii="黑体" w:hAnsi="黑体" w:eastAsia="黑体" w:cs="黑体"/>
                <w:i w:val="0"/>
                <w:color w:val="000000"/>
                <w:kern w:val="0"/>
                <w:sz w:val="18"/>
                <w:szCs w:val="18"/>
                <w:u w:val="none"/>
                <w:lang w:val="en-US" w:eastAsia="zh-CN" w:bidi="ar"/>
              </w:rPr>
              <w:t>财务负责人：吴琳</w:t>
            </w:r>
          </w:p>
        </w:tc>
      </w:tr>
    </w:tbl>
    <w:p>
      <w:pPr>
        <w:pStyle w:val="2"/>
        <w:rPr>
          <w:rStyle w:val="27"/>
          <w:rFonts w:hint="eastAsia" w:ascii="黑体" w:hAnsi="黑体" w:eastAsia="黑体"/>
          <w:b w:val="0"/>
          <w:bCs/>
        </w:rPr>
      </w:pPr>
    </w:p>
    <w:bookmarkEnd w:id="53"/>
    <w:p>
      <w:pPr>
        <w:ind w:firstLine="640" w:firstLineChars="200"/>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numPr>
          <w:ilvl w:val="0"/>
          <w:numId w:val="0"/>
        </w:numPr>
        <w:spacing w:line="600" w:lineRule="exact"/>
        <w:ind w:leftChars="150"/>
        <w:jc w:val="center"/>
        <w:outlineLvl w:val="0"/>
        <w:rPr>
          <w:rStyle w:val="27"/>
          <w:rFonts w:hint="eastAsia" w:ascii="黑体" w:hAnsi="黑体" w:eastAsia="黑体"/>
          <w:b w:val="0"/>
          <w:color w:val="auto"/>
          <w:highlight w:val="none"/>
        </w:rPr>
      </w:pPr>
      <w:bookmarkStart w:id="55" w:name="_Toc15396619"/>
      <w:r>
        <w:rPr>
          <w:rStyle w:val="27"/>
          <w:rFonts w:hint="eastAsia" w:ascii="黑体" w:hAnsi="黑体" w:eastAsia="黑体"/>
          <w:b w:val="0"/>
          <w:color w:val="auto"/>
          <w:highlight w:val="none"/>
          <w:lang w:eastAsia="zh-CN"/>
        </w:rPr>
        <w:t>第五部分</w:t>
      </w:r>
      <w:r>
        <w:rPr>
          <w:rStyle w:val="27"/>
          <w:rFonts w:hint="eastAsia" w:ascii="黑体" w:hAnsi="黑体" w:eastAsia="黑体"/>
          <w:b w:val="0"/>
          <w:color w:val="auto"/>
          <w:highlight w:val="none"/>
          <w:lang w:val="en-US" w:eastAsia="zh-CN"/>
        </w:rPr>
        <w:t xml:space="preserve"> </w:t>
      </w:r>
      <w:r>
        <w:rPr>
          <w:rStyle w:val="27"/>
          <w:rFonts w:hint="eastAsia" w:ascii="黑体" w:hAnsi="黑体" w:eastAsia="黑体"/>
          <w:b w:val="0"/>
          <w:color w:val="auto"/>
          <w:highlight w:val="none"/>
        </w:rPr>
        <w:t>附表</w:t>
      </w:r>
    </w:p>
    <w:p>
      <w:pPr>
        <w:pageBreakBefore w:val="0"/>
        <w:widowControl w:val="0"/>
        <w:numPr>
          <w:ilvl w:val="0"/>
          <w:numId w:val="0"/>
        </w:numPr>
        <w:kinsoku/>
        <w:wordWrap/>
        <w:overflowPunct/>
        <w:topLinePunct w:val="0"/>
        <w:autoSpaceDE/>
        <w:autoSpaceDN/>
        <w:bidi w:val="0"/>
        <w:adjustRightInd/>
        <w:snapToGrid/>
        <w:spacing w:line="600" w:lineRule="exact"/>
        <w:ind w:leftChars="0" w:firstLine="320" w:firstLineChars="100"/>
        <w:jc w:val="both"/>
        <w:textAlignment w:val="auto"/>
        <w:outlineLvl w:val="0"/>
        <w:rPr>
          <w:rFonts w:hint="eastAsia" w:ascii="仿宋_GB2312" w:hAnsi="仿宋_GB2312" w:eastAsia="仿宋_GB2312" w:cs="仿宋_GB2312"/>
          <w:b w:val="0"/>
          <w:color w:val="auto"/>
          <w:sz w:val="32"/>
          <w:szCs w:val="32"/>
          <w:highlight w:val="none"/>
        </w:rPr>
      </w:pPr>
    </w:p>
    <w:p>
      <w:pPr>
        <w:pageBreakBefore w:val="0"/>
        <w:widowControl w:val="0"/>
        <w:numPr>
          <w:ilvl w:val="0"/>
          <w:numId w:val="0"/>
        </w:numPr>
        <w:kinsoku/>
        <w:wordWrap/>
        <w:overflowPunct/>
        <w:topLinePunct w:val="0"/>
        <w:autoSpaceDE/>
        <w:autoSpaceDN/>
        <w:bidi w:val="0"/>
        <w:adjustRightInd/>
        <w:snapToGrid/>
        <w:spacing w:line="600" w:lineRule="exact"/>
        <w:ind w:leftChars="0" w:firstLine="320" w:firstLineChars="100"/>
        <w:jc w:val="both"/>
        <w:textAlignment w:val="auto"/>
        <w:outlineLvl w:val="0"/>
        <w:rPr>
          <w:rFonts w:hint="eastAsia" w:ascii="仿宋_GB2312" w:hAnsi="仿宋_GB2312" w:eastAsia="仿宋_GB2312" w:cs="仿宋_GB2312"/>
          <w:b w:val="0"/>
          <w:color w:val="auto"/>
          <w:sz w:val="32"/>
          <w:szCs w:val="32"/>
          <w:highlight w:val="none"/>
        </w:rPr>
      </w:pPr>
      <w:r>
        <w:rPr>
          <w:rFonts w:hint="eastAsia" w:ascii="仿宋_GB2312" w:hAnsi="仿宋_GB2312" w:eastAsia="仿宋_GB2312" w:cs="仿宋_GB2312"/>
          <w:b w:val="0"/>
          <w:color w:val="auto"/>
          <w:sz w:val="32"/>
          <w:szCs w:val="32"/>
          <w:highlight w:val="none"/>
        </w:rPr>
        <w:t>一、收</w:t>
      </w:r>
      <w:r>
        <w:rPr>
          <w:rStyle w:val="28"/>
          <w:rFonts w:hint="eastAsia" w:ascii="仿宋_GB2312" w:hAnsi="仿宋_GB2312" w:eastAsia="仿宋_GB2312" w:cs="仿宋_GB2312"/>
          <w:b w:val="0"/>
          <w:bCs w:val="0"/>
          <w:color w:val="auto"/>
          <w:sz w:val="32"/>
          <w:szCs w:val="32"/>
          <w:highlight w:val="none"/>
        </w:rPr>
        <w:t>入支出决算总表</w:t>
      </w:r>
      <w:bookmarkEnd w:id="55"/>
      <w:bookmarkStart w:id="56" w:name="_Toc15396620"/>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color w:val="auto"/>
          <w:sz w:val="32"/>
          <w:szCs w:val="32"/>
          <w:highlight w:val="none"/>
        </w:rPr>
        <w:t>二、收</w:t>
      </w:r>
      <w:r>
        <w:rPr>
          <w:rStyle w:val="28"/>
          <w:rFonts w:hint="eastAsia" w:ascii="仿宋_GB2312" w:hAnsi="仿宋_GB2312" w:eastAsia="仿宋_GB2312" w:cs="仿宋_GB2312"/>
          <w:b w:val="0"/>
          <w:bCs w:val="0"/>
          <w:color w:val="auto"/>
          <w:sz w:val="32"/>
          <w:szCs w:val="32"/>
          <w:highlight w:val="none"/>
        </w:rPr>
        <w:t>入决算表</w:t>
      </w:r>
      <w:bookmarkEnd w:id="56"/>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57" w:name="_Toc15396621"/>
      <w:r>
        <w:rPr>
          <w:rStyle w:val="28"/>
          <w:rFonts w:hint="eastAsia" w:ascii="仿宋_GB2312" w:hAnsi="仿宋_GB2312" w:eastAsia="仿宋_GB2312" w:cs="仿宋_GB2312"/>
          <w:b w:val="0"/>
          <w:bCs w:val="0"/>
          <w:color w:val="auto"/>
          <w:sz w:val="32"/>
          <w:szCs w:val="32"/>
          <w:highlight w:val="none"/>
        </w:rPr>
        <w:t>三、</w:t>
      </w:r>
      <w:r>
        <w:rPr>
          <w:rFonts w:hint="eastAsia" w:ascii="仿宋_GB2312" w:hAnsi="仿宋_GB2312" w:eastAsia="仿宋_GB2312" w:cs="仿宋_GB2312"/>
          <w:b w:val="0"/>
          <w:color w:val="auto"/>
          <w:sz w:val="32"/>
          <w:szCs w:val="32"/>
          <w:highlight w:val="none"/>
        </w:rPr>
        <w:t>支</w:t>
      </w:r>
      <w:r>
        <w:rPr>
          <w:rStyle w:val="28"/>
          <w:rFonts w:hint="eastAsia" w:ascii="仿宋_GB2312" w:hAnsi="仿宋_GB2312" w:eastAsia="仿宋_GB2312" w:cs="仿宋_GB2312"/>
          <w:b w:val="0"/>
          <w:bCs w:val="0"/>
          <w:color w:val="auto"/>
          <w:sz w:val="32"/>
          <w:szCs w:val="32"/>
          <w:highlight w:val="none"/>
        </w:rPr>
        <w:t>出决算表</w:t>
      </w:r>
      <w:bookmarkEnd w:id="57"/>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b w:val="0"/>
          <w:color w:val="auto"/>
          <w:sz w:val="32"/>
          <w:szCs w:val="32"/>
          <w:highlight w:val="none"/>
        </w:rPr>
      </w:pPr>
      <w:bookmarkStart w:id="58" w:name="_Toc15396622"/>
      <w:r>
        <w:rPr>
          <w:rStyle w:val="28"/>
          <w:rFonts w:hint="eastAsia" w:ascii="仿宋_GB2312" w:hAnsi="仿宋_GB2312" w:eastAsia="仿宋_GB2312" w:cs="仿宋_GB2312"/>
          <w:b w:val="0"/>
          <w:bCs w:val="0"/>
          <w:color w:val="auto"/>
          <w:sz w:val="32"/>
          <w:szCs w:val="32"/>
          <w:highlight w:val="none"/>
        </w:rPr>
        <w:t>四、</w:t>
      </w:r>
      <w:r>
        <w:rPr>
          <w:rFonts w:hint="eastAsia" w:ascii="仿宋_GB2312" w:hAnsi="仿宋_GB2312" w:eastAsia="仿宋_GB2312" w:cs="仿宋_GB2312"/>
          <w:b w:val="0"/>
          <w:color w:val="auto"/>
          <w:sz w:val="32"/>
          <w:szCs w:val="32"/>
          <w:highlight w:val="none"/>
        </w:rPr>
        <w:t>财</w:t>
      </w:r>
      <w:r>
        <w:rPr>
          <w:rStyle w:val="28"/>
          <w:rFonts w:hint="eastAsia" w:ascii="仿宋_GB2312" w:hAnsi="仿宋_GB2312" w:eastAsia="仿宋_GB2312" w:cs="仿宋_GB2312"/>
          <w:b w:val="0"/>
          <w:bCs w:val="0"/>
          <w:color w:val="auto"/>
          <w:sz w:val="32"/>
          <w:szCs w:val="32"/>
          <w:highlight w:val="none"/>
        </w:rPr>
        <w:t>政拨款收入支出决算总表</w:t>
      </w:r>
      <w:bookmarkEnd w:id="58"/>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Style w:val="28"/>
          <w:rFonts w:hint="eastAsia" w:ascii="仿宋_GB2312" w:hAnsi="仿宋_GB2312" w:eastAsia="仿宋_GB2312" w:cs="仿宋_GB2312"/>
          <w:b w:val="0"/>
          <w:bCs w:val="0"/>
          <w:color w:val="auto"/>
          <w:sz w:val="32"/>
          <w:szCs w:val="32"/>
          <w:highlight w:val="none"/>
        </w:rPr>
      </w:pPr>
      <w:bookmarkStart w:id="59" w:name="_Toc15396623"/>
      <w:r>
        <w:rPr>
          <w:rStyle w:val="28"/>
          <w:rFonts w:hint="eastAsia" w:ascii="仿宋_GB2312" w:hAnsi="仿宋_GB2312" w:eastAsia="仿宋_GB2312" w:cs="仿宋_GB2312"/>
          <w:b w:val="0"/>
          <w:bCs w:val="0"/>
          <w:color w:val="auto"/>
          <w:sz w:val="32"/>
          <w:szCs w:val="32"/>
          <w:highlight w:val="none"/>
        </w:rPr>
        <w:t>五、</w:t>
      </w:r>
      <w:r>
        <w:rPr>
          <w:rFonts w:hint="eastAsia" w:ascii="仿宋_GB2312" w:hAnsi="仿宋_GB2312" w:eastAsia="仿宋_GB2312" w:cs="仿宋_GB2312"/>
          <w:b w:val="0"/>
          <w:color w:val="auto"/>
          <w:sz w:val="32"/>
          <w:szCs w:val="32"/>
          <w:highlight w:val="none"/>
        </w:rPr>
        <w:t>财</w:t>
      </w:r>
      <w:r>
        <w:rPr>
          <w:rStyle w:val="28"/>
          <w:rFonts w:hint="eastAsia" w:ascii="仿宋_GB2312" w:hAnsi="仿宋_GB2312" w:eastAsia="仿宋_GB2312" w:cs="仿宋_GB2312"/>
          <w:b w:val="0"/>
          <w:bCs w:val="0"/>
          <w:color w:val="auto"/>
          <w:sz w:val="32"/>
          <w:szCs w:val="32"/>
          <w:highlight w:val="none"/>
        </w:rPr>
        <w:t>政拨款支出决算明细表</w:t>
      </w:r>
      <w:bookmarkEnd w:id="59"/>
      <w:bookmarkStart w:id="60" w:name="_Toc15396624"/>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r>
        <w:rPr>
          <w:rStyle w:val="28"/>
          <w:rFonts w:hint="eastAsia" w:ascii="仿宋_GB2312" w:hAnsi="仿宋_GB2312" w:eastAsia="仿宋_GB2312" w:cs="仿宋_GB2312"/>
          <w:b w:val="0"/>
          <w:bCs w:val="0"/>
          <w:color w:val="auto"/>
          <w:sz w:val="32"/>
          <w:szCs w:val="32"/>
          <w:highlight w:val="none"/>
        </w:rPr>
        <w:t>六、</w:t>
      </w:r>
      <w:r>
        <w:rPr>
          <w:rFonts w:hint="eastAsia" w:ascii="仿宋_GB2312" w:hAnsi="仿宋_GB2312" w:eastAsia="仿宋_GB2312" w:cs="仿宋_GB2312"/>
          <w:b w:val="0"/>
          <w:color w:val="auto"/>
          <w:sz w:val="32"/>
          <w:szCs w:val="32"/>
          <w:highlight w:val="none"/>
        </w:rPr>
        <w:t>一</w:t>
      </w:r>
      <w:r>
        <w:rPr>
          <w:rStyle w:val="28"/>
          <w:rFonts w:hint="eastAsia" w:ascii="仿宋_GB2312" w:hAnsi="仿宋_GB2312" w:eastAsia="仿宋_GB2312" w:cs="仿宋_GB2312"/>
          <w:b w:val="0"/>
          <w:bCs w:val="0"/>
          <w:color w:val="auto"/>
          <w:sz w:val="32"/>
          <w:szCs w:val="32"/>
          <w:highlight w:val="none"/>
        </w:rPr>
        <w:t>般公共预算财政拨款支出决算表</w:t>
      </w:r>
      <w:bookmarkEnd w:id="60"/>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1" w:name="_Toc15396625"/>
      <w:r>
        <w:rPr>
          <w:rStyle w:val="28"/>
          <w:rFonts w:hint="eastAsia" w:ascii="仿宋_GB2312" w:hAnsi="仿宋_GB2312" w:eastAsia="仿宋_GB2312" w:cs="仿宋_GB2312"/>
          <w:b w:val="0"/>
          <w:bCs w:val="0"/>
          <w:color w:val="auto"/>
          <w:sz w:val="32"/>
          <w:szCs w:val="32"/>
          <w:highlight w:val="none"/>
        </w:rPr>
        <w:t>七、</w:t>
      </w:r>
      <w:r>
        <w:rPr>
          <w:rFonts w:hint="eastAsia" w:ascii="仿宋_GB2312" w:hAnsi="仿宋_GB2312" w:eastAsia="仿宋_GB2312" w:cs="仿宋_GB2312"/>
          <w:b w:val="0"/>
          <w:color w:val="auto"/>
          <w:sz w:val="32"/>
          <w:szCs w:val="32"/>
          <w:highlight w:val="none"/>
        </w:rPr>
        <w:t>一</w:t>
      </w:r>
      <w:r>
        <w:rPr>
          <w:rStyle w:val="28"/>
          <w:rFonts w:hint="eastAsia" w:ascii="仿宋_GB2312" w:hAnsi="仿宋_GB2312" w:eastAsia="仿宋_GB2312" w:cs="仿宋_GB2312"/>
          <w:b w:val="0"/>
          <w:bCs w:val="0"/>
          <w:color w:val="auto"/>
          <w:sz w:val="32"/>
          <w:szCs w:val="32"/>
          <w:highlight w:val="none"/>
        </w:rPr>
        <w:t>般公共预算财政拨款支出决算明细表</w:t>
      </w:r>
      <w:bookmarkEnd w:id="61"/>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2" w:name="_Toc15396626"/>
      <w:r>
        <w:rPr>
          <w:rStyle w:val="28"/>
          <w:rFonts w:hint="eastAsia" w:ascii="仿宋_GB2312" w:hAnsi="仿宋_GB2312" w:eastAsia="仿宋_GB2312" w:cs="仿宋_GB2312"/>
          <w:b w:val="0"/>
          <w:bCs w:val="0"/>
          <w:color w:val="auto"/>
          <w:sz w:val="32"/>
          <w:szCs w:val="32"/>
          <w:highlight w:val="none"/>
        </w:rPr>
        <w:t>八、</w:t>
      </w:r>
      <w:r>
        <w:rPr>
          <w:rFonts w:hint="eastAsia" w:ascii="仿宋_GB2312" w:hAnsi="仿宋_GB2312" w:eastAsia="仿宋_GB2312" w:cs="仿宋_GB2312"/>
          <w:b w:val="0"/>
          <w:color w:val="auto"/>
          <w:sz w:val="32"/>
          <w:szCs w:val="32"/>
          <w:highlight w:val="none"/>
        </w:rPr>
        <w:t>一</w:t>
      </w:r>
      <w:r>
        <w:rPr>
          <w:rStyle w:val="28"/>
          <w:rFonts w:hint="eastAsia" w:ascii="仿宋_GB2312" w:hAnsi="仿宋_GB2312" w:eastAsia="仿宋_GB2312" w:cs="仿宋_GB2312"/>
          <w:b w:val="0"/>
          <w:bCs w:val="0"/>
          <w:color w:val="auto"/>
          <w:sz w:val="32"/>
          <w:szCs w:val="32"/>
          <w:highlight w:val="none"/>
        </w:rPr>
        <w:t>般公共预算财政拨款基本支出决算表</w:t>
      </w:r>
      <w:bookmarkEnd w:id="62"/>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3" w:name="_Toc15396627"/>
      <w:r>
        <w:rPr>
          <w:rStyle w:val="28"/>
          <w:rFonts w:hint="eastAsia" w:ascii="仿宋_GB2312" w:hAnsi="仿宋_GB2312" w:eastAsia="仿宋_GB2312" w:cs="仿宋_GB2312"/>
          <w:b w:val="0"/>
          <w:bCs w:val="0"/>
          <w:color w:val="auto"/>
          <w:sz w:val="32"/>
          <w:szCs w:val="32"/>
          <w:highlight w:val="none"/>
        </w:rPr>
        <w:t>九、</w:t>
      </w:r>
      <w:r>
        <w:rPr>
          <w:rFonts w:hint="eastAsia" w:ascii="仿宋_GB2312" w:hAnsi="仿宋_GB2312" w:eastAsia="仿宋_GB2312" w:cs="仿宋_GB2312"/>
          <w:b w:val="0"/>
          <w:color w:val="auto"/>
          <w:sz w:val="32"/>
          <w:szCs w:val="32"/>
          <w:highlight w:val="none"/>
        </w:rPr>
        <w:t>一</w:t>
      </w:r>
      <w:r>
        <w:rPr>
          <w:rStyle w:val="28"/>
          <w:rFonts w:hint="eastAsia" w:ascii="仿宋_GB2312" w:hAnsi="仿宋_GB2312" w:eastAsia="仿宋_GB2312" w:cs="仿宋_GB2312"/>
          <w:b w:val="0"/>
          <w:bCs w:val="0"/>
          <w:color w:val="auto"/>
          <w:sz w:val="32"/>
          <w:szCs w:val="32"/>
          <w:highlight w:val="none"/>
        </w:rPr>
        <w:t>般公共预算财政拨款项目支出决算表</w:t>
      </w:r>
      <w:bookmarkEnd w:id="63"/>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4" w:name="_Toc15396628"/>
      <w:r>
        <w:rPr>
          <w:rStyle w:val="28"/>
          <w:rFonts w:hint="eastAsia" w:ascii="仿宋_GB2312" w:hAnsi="仿宋_GB2312" w:eastAsia="仿宋_GB2312" w:cs="仿宋_GB2312"/>
          <w:b w:val="0"/>
          <w:bCs w:val="0"/>
          <w:color w:val="auto"/>
          <w:sz w:val="32"/>
          <w:szCs w:val="32"/>
          <w:highlight w:val="none"/>
        </w:rPr>
        <w:t>十、</w:t>
      </w:r>
      <w:bookmarkEnd w:id="64"/>
      <w:r>
        <w:rPr>
          <w:rFonts w:hint="eastAsia" w:ascii="仿宋_GB2312" w:hAnsi="仿宋_GB2312" w:eastAsia="仿宋_GB2312" w:cs="仿宋_GB2312"/>
          <w:b w:val="0"/>
          <w:color w:val="auto"/>
          <w:sz w:val="32"/>
          <w:szCs w:val="32"/>
          <w:highlight w:val="none"/>
        </w:rPr>
        <w:t>政</w:t>
      </w:r>
      <w:r>
        <w:rPr>
          <w:rStyle w:val="28"/>
          <w:rFonts w:hint="eastAsia" w:ascii="仿宋_GB2312" w:hAnsi="仿宋_GB2312" w:eastAsia="仿宋_GB2312" w:cs="仿宋_GB2312"/>
          <w:b w:val="0"/>
          <w:bCs w:val="0"/>
          <w:color w:val="auto"/>
          <w:sz w:val="32"/>
          <w:szCs w:val="32"/>
          <w:highlight w:val="none"/>
        </w:rPr>
        <w:t>府性基金预算财政拨款收入支出决算表</w:t>
      </w:r>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5" w:name="_Toc15396629"/>
      <w:r>
        <w:rPr>
          <w:rStyle w:val="28"/>
          <w:rFonts w:hint="eastAsia" w:ascii="仿宋_GB2312" w:hAnsi="仿宋_GB2312" w:eastAsia="仿宋_GB2312" w:cs="仿宋_GB2312"/>
          <w:b w:val="0"/>
          <w:bCs w:val="0"/>
          <w:color w:val="auto"/>
          <w:sz w:val="32"/>
          <w:szCs w:val="32"/>
          <w:highlight w:val="none"/>
        </w:rPr>
        <w:t>十一、</w:t>
      </w:r>
      <w:bookmarkEnd w:id="65"/>
      <w:r>
        <w:rPr>
          <w:rFonts w:hint="eastAsia" w:ascii="仿宋_GB2312" w:hAnsi="仿宋_GB2312" w:eastAsia="仿宋_GB2312" w:cs="仿宋_GB2312"/>
          <w:b w:val="0"/>
          <w:color w:val="auto"/>
          <w:sz w:val="32"/>
          <w:szCs w:val="32"/>
          <w:highlight w:val="none"/>
        </w:rPr>
        <w:t>国</w:t>
      </w:r>
      <w:r>
        <w:rPr>
          <w:rStyle w:val="28"/>
          <w:rFonts w:hint="eastAsia" w:ascii="仿宋_GB2312" w:hAnsi="仿宋_GB2312" w:eastAsia="仿宋_GB2312" w:cs="仿宋_GB2312"/>
          <w:b w:val="0"/>
          <w:bCs w:val="0"/>
          <w:color w:val="auto"/>
          <w:sz w:val="32"/>
          <w:szCs w:val="32"/>
          <w:highlight w:val="none"/>
        </w:rPr>
        <w:t>有资本经营预算</w:t>
      </w:r>
      <w:r>
        <w:rPr>
          <w:rStyle w:val="28"/>
          <w:rFonts w:hint="eastAsia" w:ascii="仿宋_GB2312" w:hAnsi="仿宋_GB2312" w:eastAsia="仿宋_GB2312" w:cs="仿宋_GB2312"/>
          <w:b w:val="0"/>
          <w:bCs w:val="0"/>
          <w:color w:val="auto"/>
          <w:sz w:val="32"/>
          <w:szCs w:val="32"/>
          <w:highlight w:val="none"/>
          <w:lang w:eastAsia="zh-CN"/>
        </w:rPr>
        <w:t>财政拨款收入</w:t>
      </w:r>
      <w:r>
        <w:rPr>
          <w:rStyle w:val="28"/>
          <w:rFonts w:hint="eastAsia" w:ascii="仿宋_GB2312" w:hAnsi="仿宋_GB2312" w:eastAsia="仿宋_GB2312" w:cs="仿宋_GB2312"/>
          <w:b w:val="0"/>
          <w:bCs w:val="0"/>
          <w:color w:val="auto"/>
          <w:sz w:val="32"/>
          <w:szCs w:val="32"/>
          <w:highlight w:val="none"/>
        </w:rPr>
        <w:t>支出决算表</w:t>
      </w:r>
    </w:p>
    <w:p>
      <w:pPr>
        <w:pageBreakBefore w:val="0"/>
        <w:widowControl w:val="0"/>
        <w:kinsoku/>
        <w:wordWrap/>
        <w:overflowPunct/>
        <w:topLinePunct w:val="0"/>
        <w:autoSpaceDE/>
        <w:autoSpaceDN/>
        <w:bidi w:val="0"/>
        <w:adjustRightInd/>
        <w:snapToGrid/>
        <w:spacing w:line="600" w:lineRule="exact"/>
        <w:ind w:leftChars="0" w:firstLine="320" w:firstLineChars="100"/>
        <w:textAlignment w:val="auto"/>
        <w:rPr>
          <w:rFonts w:hint="eastAsia" w:ascii="仿宋_GB2312" w:hAnsi="仿宋_GB2312" w:eastAsia="仿宋_GB2312" w:cs="仿宋_GB2312"/>
          <w:color w:val="auto"/>
          <w:sz w:val="32"/>
          <w:szCs w:val="32"/>
          <w:highlight w:val="none"/>
        </w:rPr>
      </w:pPr>
      <w:bookmarkStart w:id="66" w:name="_Toc15396630"/>
      <w:r>
        <w:rPr>
          <w:rStyle w:val="28"/>
          <w:rFonts w:hint="eastAsia" w:ascii="仿宋_GB2312" w:hAnsi="仿宋_GB2312" w:eastAsia="仿宋_GB2312" w:cs="仿宋_GB2312"/>
          <w:b w:val="0"/>
          <w:bCs w:val="0"/>
          <w:color w:val="auto"/>
          <w:sz w:val="32"/>
          <w:szCs w:val="32"/>
          <w:highlight w:val="none"/>
        </w:rPr>
        <w:t>十二、</w:t>
      </w:r>
      <w:bookmarkEnd w:id="66"/>
      <w:r>
        <w:rPr>
          <w:rStyle w:val="28"/>
          <w:rFonts w:hint="eastAsia" w:ascii="仿宋_GB2312" w:hAnsi="仿宋_GB2312" w:eastAsia="仿宋_GB2312" w:cs="仿宋_GB2312"/>
          <w:b w:val="0"/>
          <w:bCs w:val="0"/>
          <w:color w:val="auto"/>
          <w:sz w:val="32"/>
          <w:szCs w:val="32"/>
          <w:highlight w:val="none"/>
          <w:lang w:eastAsia="zh-CN"/>
        </w:rPr>
        <w:t>国有资本经营预算财政拨款支出决算表</w:t>
      </w:r>
    </w:p>
    <w:p>
      <w:pPr>
        <w:pStyle w:val="4"/>
        <w:pageBreakBefore w:val="0"/>
        <w:widowControl w:val="0"/>
        <w:kinsoku/>
        <w:wordWrap/>
        <w:overflowPunct/>
        <w:topLinePunct w:val="0"/>
        <w:autoSpaceDE/>
        <w:autoSpaceDN/>
        <w:bidi w:val="0"/>
        <w:adjustRightInd/>
        <w:snapToGrid/>
        <w:spacing w:before="0" w:after="0" w:line="600" w:lineRule="exact"/>
        <w:ind w:leftChars="0" w:firstLine="320" w:firstLineChars="100"/>
        <w:textAlignment w:val="auto"/>
        <w:rPr>
          <w:rStyle w:val="28"/>
          <w:rFonts w:hint="eastAsia" w:ascii="仿宋_GB2312" w:hAnsi="仿宋_GB2312" w:eastAsia="仿宋_GB2312" w:cs="仿宋_GB2312"/>
          <w:b w:val="0"/>
          <w:bCs w:val="0"/>
          <w:color w:val="auto"/>
          <w:sz w:val="32"/>
          <w:szCs w:val="32"/>
          <w:highlight w:val="none"/>
        </w:rPr>
      </w:pPr>
      <w:bookmarkStart w:id="67" w:name="_Toc15396631"/>
      <w:r>
        <w:rPr>
          <w:rStyle w:val="28"/>
          <w:rFonts w:hint="eastAsia" w:ascii="仿宋_GB2312" w:hAnsi="仿宋_GB2312" w:eastAsia="仿宋_GB2312" w:cs="仿宋_GB2312"/>
          <w:b w:val="0"/>
          <w:bCs w:val="0"/>
          <w:color w:val="auto"/>
          <w:sz w:val="32"/>
          <w:szCs w:val="32"/>
          <w:highlight w:val="none"/>
        </w:rPr>
        <w:t>十三、</w:t>
      </w:r>
      <w:bookmarkEnd w:id="67"/>
      <w:r>
        <w:rPr>
          <w:rStyle w:val="34"/>
          <w:rFonts w:hint="eastAsia" w:ascii="仿宋_GB2312" w:hAnsi="仿宋_GB2312" w:eastAsia="仿宋_GB2312" w:cs="仿宋_GB2312"/>
          <w:b w:val="0"/>
          <w:bCs w:val="0"/>
        </w:rPr>
        <w:t>财政拨款“三公”经费支出决算表</w:t>
      </w:r>
    </w:p>
    <w:p>
      <w:pPr>
        <w:pageBreakBefore w:val="0"/>
        <w:widowControl w:val="0"/>
        <w:kinsoku/>
        <w:wordWrap/>
        <w:overflowPunct/>
        <w:topLinePunct w:val="0"/>
        <w:autoSpaceDE/>
        <w:autoSpaceDN/>
        <w:bidi w:val="0"/>
        <w:adjustRightInd/>
        <w:snapToGrid/>
        <w:spacing w:line="600" w:lineRule="exact"/>
        <w:ind w:leftChars="0" w:firstLine="320" w:firstLineChars="100"/>
        <w:textAlignment w:val="auto"/>
        <w:rPr>
          <w:rFonts w:hint="eastAsia" w:ascii="仿宋_GB2312" w:hAnsi="仿宋_GB2312" w:eastAsia="仿宋_GB2312" w:cs="仿宋_GB2312"/>
          <w:sz w:val="32"/>
          <w:szCs w:val="32"/>
        </w:rPr>
      </w:pPr>
    </w:p>
    <w:sectPr>
      <w:footerReference r:id="rId6" w:type="default"/>
      <w:pgSz w:w="11906" w:h="16838"/>
      <w:pgMar w:top="2098" w:right="1474" w:bottom="1984" w:left="1587" w:header="851" w:footer="992" w:gutter="0"/>
      <w:pgNumType w:fmt="decimal"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00000000" w:usb1="00000000" w:usb2="00000000" w:usb3="00000000" w:csb0="00000000" w:csb1="00000000"/>
  </w:font>
  <w:font w:name="方正小标宋简体">
    <w:panose1 w:val="02000000000000000000"/>
    <w:charset w:val="86"/>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7" o:spid="_x0000_s409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2</w:t>
                    </w:r>
                    <w:r>
                      <w:rPr>
                        <w:lang w:val="zh-CN"/>
                      </w:rPr>
                      <w:fldChar w:fldCharType="end"/>
                    </w:r>
                  </w:p>
                </w:sdtContent>
              </w:sdt>
              <w:p/>
            </w:txbxContent>
          </v:textbox>
        </v:shape>
      </w:pic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2</w:t>
                    </w:r>
                    <w:r>
                      <w:rPr>
                        <w:lang w:val="zh-CN"/>
                      </w:rPr>
                      <w:fldChar w:fldCharType="end"/>
                    </w:r>
                  </w:p>
                </w:sdtContent>
              </w:sdt>
              <w:p/>
            </w:txbxContent>
          </v:textbox>
        </v:shape>
      </w:pic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9"/>
                      <w:jc w:val="center"/>
                    </w:pPr>
                    <w:r>
                      <w:fldChar w:fldCharType="begin"/>
                    </w:r>
                    <w:r>
                      <w:instrText xml:space="preserve">PAGE   \* MERGEFORMAT</w:instrText>
                    </w:r>
                    <w:r>
                      <w:fldChar w:fldCharType="separate"/>
                    </w:r>
                    <w:r>
                      <w:rPr>
                        <w:lang w:val="zh-CN"/>
                      </w:rPr>
                      <w:t>2</w:t>
                    </w:r>
                    <w:r>
                      <w:rPr>
                        <w:lang w:val="zh-CN"/>
                      </w:rPr>
                      <w:fldChar w:fldCharType="end"/>
                    </w:r>
                  </w:p>
                </w:sdtContent>
              </w:sdt>
              <w:p/>
            </w:txbxContent>
          </v:textbox>
        </v:shape>
      </w:pict>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b w:val="0"/>
        <w:bCs w:val="0"/>
        <w:sz w:val="44"/>
        <w:szCs w:val="4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2UyMWFmMjEwMjJhY2YxMTZmMTIxODRkNjk2MWJiMjYifQ=="/>
  </w:docVars>
  <w:rsids>
    <w:rsidRoot w:val="00F1361C"/>
    <w:rsid w:val="000137CB"/>
    <w:rsid w:val="000222C6"/>
    <w:rsid w:val="0002549F"/>
    <w:rsid w:val="00041F47"/>
    <w:rsid w:val="0006487A"/>
    <w:rsid w:val="00065F8F"/>
    <w:rsid w:val="00074109"/>
    <w:rsid w:val="000768F2"/>
    <w:rsid w:val="000839A3"/>
    <w:rsid w:val="00090263"/>
    <w:rsid w:val="0009184B"/>
    <w:rsid w:val="0009593C"/>
    <w:rsid w:val="000B047F"/>
    <w:rsid w:val="000B5923"/>
    <w:rsid w:val="000B5A48"/>
    <w:rsid w:val="000B5C27"/>
    <w:rsid w:val="000B6FF3"/>
    <w:rsid w:val="000C3467"/>
    <w:rsid w:val="000C3CA6"/>
    <w:rsid w:val="000C3E73"/>
    <w:rsid w:val="000D0A66"/>
    <w:rsid w:val="000D1267"/>
    <w:rsid w:val="000D1D50"/>
    <w:rsid w:val="000D5782"/>
    <w:rsid w:val="000D69A7"/>
    <w:rsid w:val="000E6613"/>
    <w:rsid w:val="000E7119"/>
    <w:rsid w:val="001133F1"/>
    <w:rsid w:val="00114E9B"/>
    <w:rsid w:val="0014729F"/>
    <w:rsid w:val="0015314D"/>
    <w:rsid w:val="001579B7"/>
    <w:rsid w:val="00157BAB"/>
    <w:rsid w:val="001654D1"/>
    <w:rsid w:val="0018106D"/>
    <w:rsid w:val="001877A7"/>
    <w:rsid w:val="00191536"/>
    <w:rsid w:val="00196687"/>
    <w:rsid w:val="001A2585"/>
    <w:rsid w:val="001A57C5"/>
    <w:rsid w:val="001C0962"/>
    <w:rsid w:val="001D6023"/>
    <w:rsid w:val="001D7531"/>
    <w:rsid w:val="001E2176"/>
    <w:rsid w:val="001E5661"/>
    <w:rsid w:val="001E737D"/>
    <w:rsid w:val="001F0592"/>
    <w:rsid w:val="001F7506"/>
    <w:rsid w:val="001F75B2"/>
    <w:rsid w:val="002006CD"/>
    <w:rsid w:val="00202B36"/>
    <w:rsid w:val="00204B7A"/>
    <w:rsid w:val="0021101A"/>
    <w:rsid w:val="00220536"/>
    <w:rsid w:val="00235629"/>
    <w:rsid w:val="00260C38"/>
    <w:rsid w:val="002616C0"/>
    <w:rsid w:val="00262553"/>
    <w:rsid w:val="002662AA"/>
    <w:rsid w:val="00280496"/>
    <w:rsid w:val="0028371D"/>
    <w:rsid w:val="00295495"/>
    <w:rsid w:val="002B0CAE"/>
    <w:rsid w:val="002B147D"/>
    <w:rsid w:val="002B2613"/>
    <w:rsid w:val="002B7119"/>
    <w:rsid w:val="002C05DC"/>
    <w:rsid w:val="002D4A77"/>
    <w:rsid w:val="002D6BC7"/>
    <w:rsid w:val="002E408B"/>
    <w:rsid w:val="002E4D96"/>
    <w:rsid w:val="002E696B"/>
    <w:rsid w:val="002E6B5D"/>
    <w:rsid w:val="002F1818"/>
    <w:rsid w:val="002F567B"/>
    <w:rsid w:val="003216A9"/>
    <w:rsid w:val="00322F92"/>
    <w:rsid w:val="00332C17"/>
    <w:rsid w:val="00345360"/>
    <w:rsid w:val="00346CE5"/>
    <w:rsid w:val="00350ABA"/>
    <w:rsid w:val="0037013F"/>
    <w:rsid w:val="00380C92"/>
    <w:rsid w:val="00385BF9"/>
    <w:rsid w:val="00386F12"/>
    <w:rsid w:val="003A1FFE"/>
    <w:rsid w:val="003A484F"/>
    <w:rsid w:val="003B0BE0"/>
    <w:rsid w:val="003B0C1B"/>
    <w:rsid w:val="003B688C"/>
    <w:rsid w:val="003C0291"/>
    <w:rsid w:val="003C39AE"/>
    <w:rsid w:val="003C7B60"/>
    <w:rsid w:val="003D1FB2"/>
    <w:rsid w:val="003D66DA"/>
    <w:rsid w:val="003E1310"/>
    <w:rsid w:val="003E29D2"/>
    <w:rsid w:val="003E56D9"/>
    <w:rsid w:val="003E6F55"/>
    <w:rsid w:val="003F1E60"/>
    <w:rsid w:val="003F5643"/>
    <w:rsid w:val="00406254"/>
    <w:rsid w:val="00406B9E"/>
    <w:rsid w:val="004136F2"/>
    <w:rsid w:val="004223DE"/>
    <w:rsid w:val="00423E58"/>
    <w:rsid w:val="00424667"/>
    <w:rsid w:val="00424768"/>
    <w:rsid w:val="00434489"/>
    <w:rsid w:val="00437085"/>
    <w:rsid w:val="00443880"/>
    <w:rsid w:val="004464F4"/>
    <w:rsid w:val="004660F3"/>
    <w:rsid w:val="00471401"/>
    <w:rsid w:val="00472144"/>
    <w:rsid w:val="00473F31"/>
    <w:rsid w:val="00474533"/>
    <w:rsid w:val="0048263A"/>
    <w:rsid w:val="00487E5D"/>
    <w:rsid w:val="004A0B34"/>
    <w:rsid w:val="004A711F"/>
    <w:rsid w:val="004B199D"/>
    <w:rsid w:val="004B4690"/>
    <w:rsid w:val="004B7237"/>
    <w:rsid w:val="004C46FA"/>
    <w:rsid w:val="004D4744"/>
    <w:rsid w:val="004E0A2D"/>
    <w:rsid w:val="004E206B"/>
    <w:rsid w:val="004E6DF7"/>
    <w:rsid w:val="004F0FBD"/>
    <w:rsid w:val="004F2EDA"/>
    <w:rsid w:val="00505A47"/>
    <w:rsid w:val="00512FDA"/>
    <w:rsid w:val="00520DA0"/>
    <w:rsid w:val="00523412"/>
    <w:rsid w:val="00551A93"/>
    <w:rsid w:val="00560956"/>
    <w:rsid w:val="005664BB"/>
    <w:rsid w:val="0057481D"/>
    <w:rsid w:val="0058486E"/>
    <w:rsid w:val="005B61BD"/>
    <w:rsid w:val="005D1C8B"/>
    <w:rsid w:val="005D5CED"/>
    <w:rsid w:val="005D7350"/>
    <w:rsid w:val="005E2E1E"/>
    <w:rsid w:val="005F1A4C"/>
    <w:rsid w:val="00605688"/>
    <w:rsid w:val="006070AF"/>
    <w:rsid w:val="00607E6C"/>
    <w:rsid w:val="006101B1"/>
    <w:rsid w:val="00614E44"/>
    <w:rsid w:val="00622830"/>
    <w:rsid w:val="00630AEF"/>
    <w:rsid w:val="006325F8"/>
    <w:rsid w:val="00634C9A"/>
    <w:rsid w:val="006376FB"/>
    <w:rsid w:val="006440E4"/>
    <w:rsid w:val="006451F8"/>
    <w:rsid w:val="0066343B"/>
    <w:rsid w:val="00664777"/>
    <w:rsid w:val="00665979"/>
    <w:rsid w:val="006748A4"/>
    <w:rsid w:val="00683E73"/>
    <w:rsid w:val="00687F4C"/>
    <w:rsid w:val="006A3141"/>
    <w:rsid w:val="006A5E34"/>
    <w:rsid w:val="006B2422"/>
    <w:rsid w:val="006B2B9A"/>
    <w:rsid w:val="006B5454"/>
    <w:rsid w:val="006B6589"/>
    <w:rsid w:val="006C1937"/>
    <w:rsid w:val="006D0CF2"/>
    <w:rsid w:val="006E0E00"/>
    <w:rsid w:val="006F020C"/>
    <w:rsid w:val="0070606E"/>
    <w:rsid w:val="007127B7"/>
    <w:rsid w:val="007416B6"/>
    <w:rsid w:val="00742083"/>
    <w:rsid w:val="00746F48"/>
    <w:rsid w:val="0074701E"/>
    <w:rsid w:val="00753EB2"/>
    <w:rsid w:val="0075404D"/>
    <w:rsid w:val="0076182A"/>
    <w:rsid w:val="00767B7E"/>
    <w:rsid w:val="007770C3"/>
    <w:rsid w:val="00784D24"/>
    <w:rsid w:val="00785FBA"/>
    <w:rsid w:val="00786E4A"/>
    <w:rsid w:val="007875EB"/>
    <w:rsid w:val="0079426B"/>
    <w:rsid w:val="007B6D53"/>
    <w:rsid w:val="007D312A"/>
    <w:rsid w:val="007D3F19"/>
    <w:rsid w:val="007E23B0"/>
    <w:rsid w:val="007F10D3"/>
    <w:rsid w:val="007F1991"/>
    <w:rsid w:val="007F2C2F"/>
    <w:rsid w:val="007F362D"/>
    <w:rsid w:val="007F55FC"/>
    <w:rsid w:val="007F5665"/>
    <w:rsid w:val="00800112"/>
    <w:rsid w:val="0081050B"/>
    <w:rsid w:val="00816258"/>
    <w:rsid w:val="00817DE8"/>
    <w:rsid w:val="00820E86"/>
    <w:rsid w:val="008253BB"/>
    <w:rsid w:val="008312D4"/>
    <w:rsid w:val="0083706E"/>
    <w:rsid w:val="008423A5"/>
    <w:rsid w:val="00850625"/>
    <w:rsid w:val="00853718"/>
    <w:rsid w:val="00855221"/>
    <w:rsid w:val="00860645"/>
    <w:rsid w:val="00867F27"/>
    <w:rsid w:val="00871F71"/>
    <w:rsid w:val="00880FCF"/>
    <w:rsid w:val="00884CD1"/>
    <w:rsid w:val="00885AF4"/>
    <w:rsid w:val="0088649A"/>
    <w:rsid w:val="00887F24"/>
    <w:rsid w:val="008939CD"/>
    <w:rsid w:val="008B1B11"/>
    <w:rsid w:val="008B768C"/>
    <w:rsid w:val="008C4DB1"/>
    <w:rsid w:val="008C4EAF"/>
    <w:rsid w:val="008C5176"/>
    <w:rsid w:val="008C7FD0"/>
    <w:rsid w:val="008E1DE7"/>
    <w:rsid w:val="008E4747"/>
    <w:rsid w:val="008E707C"/>
    <w:rsid w:val="008F4D05"/>
    <w:rsid w:val="008F5282"/>
    <w:rsid w:val="00900B08"/>
    <w:rsid w:val="00902155"/>
    <w:rsid w:val="00902FA3"/>
    <w:rsid w:val="00922D8C"/>
    <w:rsid w:val="00923564"/>
    <w:rsid w:val="0092392E"/>
    <w:rsid w:val="009315F9"/>
    <w:rsid w:val="00942BDF"/>
    <w:rsid w:val="00946945"/>
    <w:rsid w:val="00951248"/>
    <w:rsid w:val="0095152F"/>
    <w:rsid w:val="00954C49"/>
    <w:rsid w:val="0097099F"/>
    <w:rsid w:val="00971997"/>
    <w:rsid w:val="00971FFC"/>
    <w:rsid w:val="0098660A"/>
    <w:rsid w:val="00990EFF"/>
    <w:rsid w:val="009931C3"/>
    <w:rsid w:val="009967D2"/>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33E9D"/>
    <w:rsid w:val="00A40A00"/>
    <w:rsid w:val="00A4142F"/>
    <w:rsid w:val="00A52548"/>
    <w:rsid w:val="00A56DF2"/>
    <w:rsid w:val="00A575E6"/>
    <w:rsid w:val="00A67AB5"/>
    <w:rsid w:val="00A91760"/>
    <w:rsid w:val="00A93B00"/>
    <w:rsid w:val="00A93C21"/>
    <w:rsid w:val="00AB2E35"/>
    <w:rsid w:val="00AC3C6A"/>
    <w:rsid w:val="00AD5620"/>
    <w:rsid w:val="00AD7C1B"/>
    <w:rsid w:val="00AE16BA"/>
    <w:rsid w:val="00AE1EBE"/>
    <w:rsid w:val="00AE7618"/>
    <w:rsid w:val="00B03C9D"/>
    <w:rsid w:val="00B060AE"/>
    <w:rsid w:val="00B10517"/>
    <w:rsid w:val="00B11C20"/>
    <w:rsid w:val="00B1434D"/>
    <w:rsid w:val="00B14E76"/>
    <w:rsid w:val="00B161B8"/>
    <w:rsid w:val="00B2048C"/>
    <w:rsid w:val="00B26DB4"/>
    <w:rsid w:val="00B310B9"/>
    <w:rsid w:val="00B35F3F"/>
    <w:rsid w:val="00B36CBB"/>
    <w:rsid w:val="00B425E0"/>
    <w:rsid w:val="00B440AA"/>
    <w:rsid w:val="00B44B70"/>
    <w:rsid w:val="00B53C56"/>
    <w:rsid w:val="00B562C0"/>
    <w:rsid w:val="00B77EA6"/>
    <w:rsid w:val="00B8061E"/>
    <w:rsid w:val="00B81598"/>
    <w:rsid w:val="00B82C51"/>
    <w:rsid w:val="00B841F1"/>
    <w:rsid w:val="00B84DEA"/>
    <w:rsid w:val="00B91FE4"/>
    <w:rsid w:val="00B944D6"/>
    <w:rsid w:val="00BB4DF0"/>
    <w:rsid w:val="00BC289F"/>
    <w:rsid w:val="00BC2D05"/>
    <w:rsid w:val="00BC38F9"/>
    <w:rsid w:val="00BC5361"/>
    <w:rsid w:val="00BC5460"/>
    <w:rsid w:val="00BC6B50"/>
    <w:rsid w:val="00BD0E25"/>
    <w:rsid w:val="00BE1A00"/>
    <w:rsid w:val="00BF103A"/>
    <w:rsid w:val="00BF5BD6"/>
    <w:rsid w:val="00C03E31"/>
    <w:rsid w:val="00C05743"/>
    <w:rsid w:val="00C223F3"/>
    <w:rsid w:val="00C33E72"/>
    <w:rsid w:val="00C354B2"/>
    <w:rsid w:val="00C35554"/>
    <w:rsid w:val="00C42709"/>
    <w:rsid w:val="00C533CC"/>
    <w:rsid w:val="00C54B4D"/>
    <w:rsid w:val="00C5751C"/>
    <w:rsid w:val="00C61BFC"/>
    <w:rsid w:val="00C62B85"/>
    <w:rsid w:val="00C65438"/>
    <w:rsid w:val="00C91CBB"/>
    <w:rsid w:val="00CB4EB4"/>
    <w:rsid w:val="00CC09B6"/>
    <w:rsid w:val="00CC666F"/>
    <w:rsid w:val="00CD04E6"/>
    <w:rsid w:val="00CD1E3F"/>
    <w:rsid w:val="00CE1CF1"/>
    <w:rsid w:val="00CE44F6"/>
    <w:rsid w:val="00CE49DA"/>
    <w:rsid w:val="00CE6D30"/>
    <w:rsid w:val="00CE7B61"/>
    <w:rsid w:val="00CF14A6"/>
    <w:rsid w:val="00D00095"/>
    <w:rsid w:val="00D04134"/>
    <w:rsid w:val="00D20620"/>
    <w:rsid w:val="00D25E22"/>
    <w:rsid w:val="00D26091"/>
    <w:rsid w:val="00D34E7C"/>
    <w:rsid w:val="00D35489"/>
    <w:rsid w:val="00D51276"/>
    <w:rsid w:val="00D5222E"/>
    <w:rsid w:val="00D67ED2"/>
    <w:rsid w:val="00D7035F"/>
    <w:rsid w:val="00D71664"/>
    <w:rsid w:val="00DA405B"/>
    <w:rsid w:val="00DA65AC"/>
    <w:rsid w:val="00DB1913"/>
    <w:rsid w:val="00DC410D"/>
    <w:rsid w:val="00DC68CA"/>
    <w:rsid w:val="00DC7CBA"/>
    <w:rsid w:val="00DD6403"/>
    <w:rsid w:val="00DD73B7"/>
    <w:rsid w:val="00DF28BC"/>
    <w:rsid w:val="00DF34B9"/>
    <w:rsid w:val="00DF61BF"/>
    <w:rsid w:val="00E01053"/>
    <w:rsid w:val="00E058F2"/>
    <w:rsid w:val="00E07ACF"/>
    <w:rsid w:val="00E30E32"/>
    <w:rsid w:val="00E331A1"/>
    <w:rsid w:val="00E33202"/>
    <w:rsid w:val="00E336A9"/>
    <w:rsid w:val="00E37D82"/>
    <w:rsid w:val="00E50624"/>
    <w:rsid w:val="00E568DF"/>
    <w:rsid w:val="00E64269"/>
    <w:rsid w:val="00E6637C"/>
    <w:rsid w:val="00E758BD"/>
    <w:rsid w:val="00E82267"/>
    <w:rsid w:val="00E92958"/>
    <w:rsid w:val="00EA010F"/>
    <w:rsid w:val="00EA256D"/>
    <w:rsid w:val="00ED1B63"/>
    <w:rsid w:val="00ED3C1F"/>
    <w:rsid w:val="00ED4085"/>
    <w:rsid w:val="00ED420E"/>
    <w:rsid w:val="00EE1686"/>
    <w:rsid w:val="00EE2F57"/>
    <w:rsid w:val="00EF0821"/>
    <w:rsid w:val="00EF4C34"/>
    <w:rsid w:val="00EF77C6"/>
    <w:rsid w:val="00F05438"/>
    <w:rsid w:val="00F1361C"/>
    <w:rsid w:val="00F160C7"/>
    <w:rsid w:val="00F36D8F"/>
    <w:rsid w:val="00F417B1"/>
    <w:rsid w:val="00F602DF"/>
    <w:rsid w:val="00F70D77"/>
    <w:rsid w:val="00F81FD9"/>
    <w:rsid w:val="00F841AA"/>
    <w:rsid w:val="00F84D8A"/>
    <w:rsid w:val="00F96947"/>
    <w:rsid w:val="00FA23E8"/>
    <w:rsid w:val="00FC2C12"/>
    <w:rsid w:val="00FC2F4E"/>
    <w:rsid w:val="00FD2426"/>
    <w:rsid w:val="00FD3CC1"/>
    <w:rsid w:val="00FE11BB"/>
    <w:rsid w:val="00FE50BE"/>
    <w:rsid w:val="00FF1686"/>
    <w:rsid w:val="00FF1E02"/>
    <w:rsid w:val="00FF30B4"/>
    <w:rsid w:val="02153EA1"/>
    <w:rsid w:val="02C90BEB"/>
    <w:rsid w:val="0303192A"/>
    <w:rsid w:val="030A2DF6"/>
    <w:rsid w:val="036F050E"/>
    <w:rsid w:val="048E6D2F"/>
    <w:rsid w:val="049146F9"/>
    <w:rsid w:val="055273C7"/>
    <w:rsid w:val="06A86353"/>
    <w:rsid w:val="07C67082"/>
    <w:rsid w:val="089601EF"/>
    <w:rsid w:val="08CF262A"/>
    <w:rsid w:val="09006B8C"/>
    <w:rsid w:val="0902615F"/>
    <w:rsid w:val="090D2269"/>
    <w:rsid w:val="0A800575"/>
    <w:rsid w:val="0ACC1DAE"/>
    <w:rsid w:val="0BD46CDB"/>
    <w:rsid w:val="0C41370B"/>
    <w:rsid w:val="0C655C4C"/>
    <w:rsid w:val="0C9A0B16"/>
    <w:rsid w:val="0E0A6BD5"/>
    <w:rsid w:val="0F3D04C2"/>
    <w:rsid w:val="0F887C3C"/>
    <w:rsid w:val="10C055FF"/>
    <w:rsid w:val="10F36651"/>
    <w:rsid w:val="11011FB8"/>
    <w:rsid w:val="120314AC"/>
    <w:rsid w:val="121200DD"/>
    <w:rsid w:val="13C77805"/>
    <w:rsid w:val="157168CF"/>
    <w:rsid w:val="16833A27"/>
    <w:rsid w:val="16BB723D"/>
    <w:rsid w:val="17580E6A"/>
    <w:rsid w:val="17965DA3"/>
    <w:rsid w:val="17F0070E"/>
    <w:rsid w:val="19B415F1"/>
    <w:rsid w:val="19D43F31"/>
    <w:rsid w:val="1A271EB3"/>
    <w:rsid w:val="1AC77D35"/>
    <w:rsid w:val="1BD33B62"/>
    <w:rsid w:val="1EF557E0"/>
    <w:rsid w:val="208D6CB1"/>
    <w:rsid w:val="20BD6B50"/>
    <w:rsid w:val="21582C6B"/>
    <w:rsid w:val="23E25E34"/>
    <w:rsid w:val="240371BF"/>
    <w:rsid w:val="254B2A0B"/>
    <w:rsid w:val="25E15635"/>
    <w:rsid w:val="26006FB3"/>
    <w:rsid w:val="26650CFF"/>
    <w:rsid w:val="26CF6C88"/>
    <w:rsid w:val="26DE0804"/>
    <w:rsid w:val="27133F99"/>
    <w:rsid w:val="271453BF"/>
    <w:rsid w:val="2846219C"/>
    <w:rsid w:val="28990242"/>
    <w:rsid w:val="298D720A"/>
    <w:rsid w:val="29A35566"/>
    <w:rsid w:val="29FD04D3"/>
    <w:rsid w:val="2A324283"/>
    <w:rsid w:val="2ABC4498"/>
    <w:rsid w:val="2BEA0FAC"/>
    <w:rsid w:val="2C5E19C9"/>
    <w:rsid w:val="2D2748A6"/>
    <w:rsid w:val="30356754"/>
    <w:rsid w:val="303E5971"/>
    <w:rsid w:val="31352351"/>
    <w:rsid w:val="31896533"/>
    <w:rsid w:val="319F7F4E"/>
    <w:rsid w:val="3246453D"/>
    <w:rsid w:val="32C36AFF"/>
    <w:rsid w:val="32D2148E"/>
    <w:rsid w:val="333917F7"/>
    <w:rsid w:val="33F87710"/>
    <w:rsid w:val="349F5212"/>
    <w:rsid w:val="34CD0D00"/>
    <w:rsid w:val="34EA6193"/>
    <w:rsid w:val="352A5380"/>
    <w:rsid w:val="36066BA9"/>
    <w:rsid w:val="36447454"/>
    <w:rsid w:val="368016D1"/>
    <w:rsid w:val="369836F8"/>
    <w:rsid w:val="37572258"/>
    <w:rsid w:val="37A157E1"/>
    <w:rsid w:val="37F66014"/>
    <w:rsid w:val="38190DAB"/>
    <w:rsid w:val="39017540"/>
    <w:rsid w:val="395770DB"/>
    <w:rsid w:val="39607AC6"/>
    <w:rsid w:val="3990146C"/>
    <w:rsid w:val="3AAC6218"/>
    <w:rsid w:val="3B0B0CFB"/>
    <w:rsid w:val="3B8E022A"/>
    <w:rsid w:val="3C286238"/>
    <w:rsid w:val="3D292998"/>
    <w:rsid w:val="3F5C5493"/>
    <w:rsid w:val="3FF12B45"/>
    <w:rsid w:val="400466E5"/>
    <w:rsid w:val="402E3816"/>
    <w:rsid w:val="40366117"/>
    <w:rsid w:val="40CA18C5"/>
    <w:rsid w:val="40F7123F"/>
    <w:rsid w:val="41927842"/>
    <w:rsid w:val="41BE4ADD"/>
    <w:rsid w:val="41E476A0"/>
    <w:rsid w:val="42845602"/>
    <w:rsid w:val="42CC7BA4"/>
    <w:rsid w:val="43242D62"/>
    <w:rsid w:val="4326473D"/>
    <w:rsid w:val="4345081B"/>
    <w:rsid w:val="44220596"/>
    <w:rsid w:val="446D26D3"/>
    <w:rsid w:val="44DC7A93"/>
    <w:rsid w:val="461D7EDD"/>
    <w:rsid w:val="46BE7339"/>
    <w:rsid w:val="471575E4"/>
    <w:rsid w:val="47F2036B"/>
    <w:rsid w:val="47F41188"/>
    <w:rsid w:val="481B6678"/>
    <w:rsid w:val="48667D77"/>
    <w:rsid w:val="487877F8"/>
    <w:rsid w:val="494C459D"/>
    <w:rsid w:val="49E55275"/>
    <w:rsid w:val="4AB65EB7"/>
    <w:rsid w:val="4B2624C2"/>
    <w:rsid w:val="4BBA3F38"/>
    <w:rsid w:val="4C43586D"/>
    <w:rsid w:val="4C775871"/>
    <w:rsid w:val="4CB97900"/>
    <w:rsid w:val="4CBE45E6"/>
    <w:rsid w:val="4CC215CD"/>
    <w:rsid w:val="4D5501D5"/>
    <w:rsid w:val="4D5C00F1"/>
    <w:rsid w:val="4DAA6EBD"/>
    <w:rsid w:val="4DC71C58"/>
    <w:rsid w:val="4E023878"/>
    <w:rsid w:val="4E6F2126"/>
    <w:rsid w:val="4FE023B5"/>
    <w:rsid w:val="503A7D37"/>
    <w:rsid w:val="510C4C42"/>
    <w:rsid w:val="512A33E4"/>
    <w:rsid w:val="51B279D7"/>
    <w:rsid w:val="52015EC8"/>
    <w:rsid w:val="523F1F1F"/>
    <w:rsid w:val="52CB7885"/>
    <w:rsid w:val="531560E4"/>
    <w:rsid w:val="5367529C"/>
    <w:rsid w:val="53F1765D"/>
    <w:rsid w:val="54914D57"/>
    <w:rsid w:val="56616E54"/>
    <w:rsid w:val="58EF58B3"/>
    <w:rsid w:val="59E73B45"/>
    <w:rsid w:val="5A3F3C7F"/>
    <w:rsid w:val="5A997A7D"/>
    <w:rsid w:val="5B5E020B"/>
    <w:rsid w:val="5B766FA7"/>
    <w:rsid w:val="5BE11D49"/>
    <w:rsid w:val="5BF1505D"/>
    <w:rsid w:val="5C8A4B66"/>
    <w:rsid w:val="5E0C135A"/>
    <w:rsid w:val="5E225DCE"/>
    <w:rsid w:val="5F257EC3"/>
    <w:rsid w:val="5F784F0F"/>
    <w:rsid w:val="607E3B52"/>
    <w:rsid w:val="60B16CEC"/>
    <w:rsid w:val="61200E8D"/>
    <w:rsid w:val="6129786D"/>
    <w:rsid w:val="61563C2F"/>
    <w:rsid w:val="621B5254"/>
    <w:rsid w:val="627562FB"/>
    <w:rsid w:val="62904588"/>
    <w:rsid w:val="633E756D"/>
    <w:rsid w:val="636857AA"/>
    <w:rsid w:val="64D97D9E"/>
    <w:rsid w:val="651210AB"/>
    <w:rsid w:val="65261E0A"/>
    <w:rsid w:val="65987DB9"/>
    <w:rsid w:val="65E21896"/>
    <w:rsid w:val="66021735"/>
    <w:rsid w:val="67BF5525"/>
    <w:rsid w:val="68FA4902"/>
    <w:rsid w:val="690D78B5"/>
    <w:rsid w:val="692E258F"/>
    <w:rsid w:val="6940504F"/>
    <w:rsid w:val="6A7760D8"/>
    <w:rsid w:val="6A782C64"/>
    <w:rsid w:val="6B290462"/>
    <w:rsid w:val="6B7534D0"/>
    <w:rsid w:val="6B8757D5"/>
    <w:rsid w:val="6BBB590E"/>
    <w:rsid w:val="6BDE47A4"/>
    <w:rsid w:val="6CFC1CFF"/>
    <w:rsid w:val="6D360F52"/>
    <w:rsid w:val="6D9943CC"/>
    <w:rsid w:val="6DCE5FDF"/>
    <w:rsid w:val="6F5914DC"/>
    <w:rsid w:val="6FF8798A"/>
    <w:rsid w:val="707B6397"/>
    <w:rsid w:val="70E405B6"/>
    <w:rsid w:val="73225535"/>
    <w:rsid w:val="7511048F"/>
    <w:rsid w:val="763C3364"/>
    <w:rsid w:val="76646D03"/>
    <w:rsid w:val="76A800CD"/>
    <w:rsid w:val="76F6012A"/>
    <w:rsid w:val="77464893"/>
    <w:rsid w:val="77634E40"/>
    <w:rsid w:val="77BB4F93"/>
    <w:rsid w:val="78BB71E3"/>
    <w:rsid w:val="78EE0A09"/>
    <w:rsid w:val="79D43ED8"/>
    <w:rsid w:val="79FA3E6F"/>
    <w:rsid w:val="7AF7222F"/>
    <w:rsid w:val="7BD03556"/>
    <w:rsid w:val="7C2F7930"/>
    <w:rsid w:val="7C5357D3"/>
    <w:rsid w:val="7D2419C6"/>
    <w:rsid w:val="7DDF10D0"/>
    <w:rsid w:val="7E391BE2"/>
    <w:rsid w:val="7E573529"/>
    <w:rsid w:val="7EDC510A"/>
    <w:rsid w:val="7F9E0E3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rPr>
  </w:style>
  <w:style w:type="character" w:styleId="17">
    <w:name w:val="FollowedHyperlink"/>
    <w:basedOn w:val="15"/>
    <w:semiHidden/>
    <w:unhideWhenUsed/>
    <w:qFormat/>
    <w:uiPriority w:val="99"/>
    <w:rPr>
      <w:color w:val="800080"/>
      <w:u w:val="single"/>
    </w:rPr>
  </w:style>
  <w:style w:type="character" w:styleId="18">
    <w:name w:val="Hyperlink"/>
    <w:basedOn w:val="15"/>
    <w:unhideWhenUsed/>
    <w:qFormat/>
    <w:uiPriority w:val="99"/>
    <w:rPr>
      <w:color w:val="0000FF" w:themeColor="hyperlink"/>
      <w:u w:val="single"/>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列出段落1"/>
    <w:basedOn w:val="1"/>
    <w:qFormat/>
    <w:uiPriority w:val="34"/>
    <w:pPr>
      <w:ind w:firstLine="420" w:firstLineChars="200"/>
    </w:pPr>
  </w:style>
  <w:style w:type="character" w:customStyle="1" w:styleId="33">
    <w:name w:val="apple-converted-space"/>
    <w:basedOn w:val="15"/>
    <w:qFormat/>
    <w:uiPriority w:val="0"/>
    <w:rPr>
      <w:rFonts w:cs="Times New Roman"/>
    </w:rPr>
  </w:style>
  <w:style w:type="character" w:customStyle="1" w:styleId="34">
    <w:name w:val="标题 2 字符"/>
    <w:basedOn w:val="15"/>
    <w:link w:val="4"/>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9" textRotate="1"/>
    <customShpInfo spid="_x0000_s4098" textRotate="1"/>
    <customShpInfo spid="_x0000_s410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807F46-FAC6-4F79-B21A-5F5CFBC013E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10581</Words>
  <Characters>11345</Characters>
  <Lines>411</Lines>
  <Paragraphs>115</Paragraphs>
  <TotalTime>4</TotalTime>
  <ScaleCrop>false</ScaleCrop>
  <LinksUpToDate>false</LinksUpToDate>
  <CharactersWithSpaces>11464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紫玉</cp:lastModifiedBy>
  <cp:lastPrinted>2019-08-01T00:48:00Z</cp:lastPrinted>
  <dcterms:modified xsi:type="dcterms:W3CDTF">2023-09-13T02:50:50Z</dcterms:modified>
  <dc:title>四川省***</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0F5920656343490CAEAC37F92BD77D76</vt:lpwstr>
  </property>
</Properties>
</file>