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2"/>
        <w:rPr>
          <w:rFonts w:ascii="方正小标宋简体" w:hAnsi="宋体" w:eastAsia="方正小标宋简体"/>
          <w:szCs w:val="21"/>
        </w:rPr>
      </w:pPr>
    </w:p>
    <w:p>
      <w:pPr>
        <w:pStyle w:val="2"/>
        <w:rPr>
          <w:rFonts w:ascii="方正小标宋简体" w:hAnsi="宋体" w:eastAsia="方正小标宋简体"/>
          <w:szCs w:val="21"/>
        </w:rPr>
      </w:pPr>
    </w:p>
    <w:p>
      <w:pPr>
        <w:pStyle w:val="2"/>
        <w:rPr>
          <w:rFonts w:ascii="方正小标宋简体" w:hAnsi="宋体" w:eastAsia="方正小标宋简体"/>
          <w:szCs w:val="21"/>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1" w:name="_Toc15378441"/>
      <w:bookmarkStart w:id="2" w:name="_Toc15377425"/>
      <w:bookmarkStart w:id="3" w:name="_Toc15396475"/>
      <w:bookmarkStart w:id="4" w:name="_Toc15396597"/>
      <w:bookmarkStart w:id="5" w:name="_Toc15377193"/>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6" w:name="_Toc15377426"/>
      <w:bookmarkStart w:id="7" w:name="_Toc15378442"/>
      <w:bookmarkStart w:id="8" w:name="_Toc15396476"/>
      <w:bookmarkStart w:id="9" w:name="_Toc15396598"/>
      <w:bookmarkStart w:id="10" w:name="_Toc15377194"/>
      <w:r>
        <w:rPr>
          <w:rFonts w:hint="eastAsia" w:ascii="方正小标宋简体" w:hAnsi="方正小标宋简体" w:eastAsia="方正小标宋简体" w:cs="方正小标宋简体"/>
          <w:sz w:val="72"/>
          <w:szCs w:val="72"/>
        </w:rPr>
        <w:t>攀枝花市</w:t>
      </w:r>
      <w:bookmarkEnd w:id="0"/>
      <w:bookmarkStart w:id="11" w:name="_Toc15306268"/>
      <w:r>
        <w:rPr>
          <w:rFonts w:hint="eastAsia" w:ascii="方正小标宋简体" w:hAnsi="方正小标宋简体" w:eastAsia="方正小标宋简体" w:cs="方正小标宋简体"/>
          <w:sz w:val="72"/>
          <w:szCs w:val="72"/>
          <w:lang w:eastAsia="zh-CN"/>
        </w:rPr>
        <w:t>成都干部休养所</w:t>
      </w: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rPr>
          <w:rFonts w:hint="eastAsia"/>
        </w:rPr>
      </w:pPr>
      <w:r>
        <w:rPr>
          <w:rFonts w:hint="eastAsia"/>
        </w:rPr>
        <w:t>公开时间：2023年9月</w:t>
      </w:r>
      <w:r>
        <w:t>1</w:t>
      </w:r>
      <w:r>
        <w:rPr>
          <w:rFonts w:hint="eastAsia"/>
          <w:lang w:val="en-US" w:eastAsia="zh-CN"/>
        </w:rPr>
        <w:t>4</w:t>
      </w:r>
      <w:r>
        <w:rPr>
          <w:rFonts w:hint="eastAsia"/>
        </w:rPr>
        <w:t>日</w:t>
      </w:r>
    </w:p>
    <w:p/>
    <w:p>
      <w:pPr>
        <w:pStyle w:val="10"/>
        <w:adjustRightInd w:val="0"/>
        <w:snapToGrid w:val="0"/>
        <w:spacing w:before="0" w:line="440" w:lineRule="exact"/>
        <w:jc w:val="left"/>
        <w:rPr>
          <w:rFonts w:hint="default" w:cs="Times New Roman"/>
          <w:sz w:val="24"/>
          <w:lang w:val="en-US" w:eastAsia="zh-CN"/>
        </w:rPr>
      </w:pPr>
      <w:r>
        <w:rPr>
          <w:rFonts w:hint="eastAsia" w:cs="Times New Roman"/>
          <w:sz w:val="24"/>
        </w:rPr>
        <w:t>第一部分</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eastAsia="zh-CN"/>
        </w:rPr>
        <w:t>单位概况</w:t>
      </w:r>
      <w:r>
        <w:rPr>
          <w:rFonts w:hint="eastAsia" w:ascii="Times New Roman" w:hAnsi="Times New Roman" w:eastAsia="宋体" w:cs="Times New Roman"/>
          <w:kern w:val="2"/>
          <w:sz w:val="24"/>
          <w:szCs w:val="24"/>
          <w:lang w:val="en-US" w:eastAsia="zh-CN" w:bidi="ar-SA"/>
        </w:rPr>
        <w:t>......................................................................................................</w:t>
      </w:r>
      <w:r>
        <w:rPr>
          <w:rFonts w:hint="eastAsia" w:cs="Times New Roman"/>
          <w:sz w:val="24"/>
          <w:lang w:val="en-US" w:eastAsia="zh-CN"/>
        </w:rPr>
        <w:t>4</w:t>
      </w:r>
    </w:p>
    <w:p>
      <w:pPr>
        <w:pStyle w:val="11"/>
        <w:adjustRightInd w:val="0"/>
        <w:snapToGrid w:val="0"/>
        <w:spacing w:line="440" w:lineRule="exact"/>
        <w:jc w:val="left"/>
        <w:rPr>
          <w:rFonts w:hint="default" w:eastAsia="宋体"/>
          <w:sz w:val="24"/>
          <w:lang w:val="en-US" w:eastAsia="zh-CN"/>
        </w:rPr>
      </w:pPr>
      <w:r>
        <w:rPr>
          <w:rFonts w:hint="eastAsia"/>
          <w:sz w:val="24"/>
        </w:rPr>
        <w:t>一、主要职责</w:t>
      </w:r>
      <w:r>
        <w:rPr>
          <w:rFonts w:hint="eastAsia"/>
          <w:sz w:val="24"/>
          <w:lang w:val="en-US" w:eastAsia="zh-CN"/>
        </w:rPr>
        <w:t>...........................................................................................................4</w:t>
      </w:r>
    </w:p>
    <w:p>
      <w:pPr>
        <w:pStyle w:val="11"/>
        <w:adjustRightInd w:val="0"/>
        <w:snapToGrid w:val="0"/>
        <w:spacing w:line="440" w:lineRule="exact"/>
        <w:jc w:val="left"/>
      </w:pPr>
      <w:r>
        <w:rPr>
          <w:rFonts w:hint="eastAsia"/>
          <w:sz w:val="24"/>
        </w:rPr>
        <w:t>二、机构设置</w:t>
      </w:r>
      <w:r>
        <w:rPr>
          <w:rFonts w:hint="eastAsia"/>
          <w:sz w:val="24"/>
          <w:lang w:val="en-US" w:eastAsia="zh-CN"/>
        </w:rPr>
        <w:t>...........................................................................................................4</w:t>
      </w:r>
    </w:p>
    <w:p>
      <w:pPr>
        <w:pStyle w:val="10"/>
        <w:adjustRightInd w:val="0"/>
        <w:snapToGrid w:val="0"/>
        <w:spacing w:before="0" w:line="440" w:lineRule="exact"/>
        <w:jc w:val="left"/>
        <w:rPr>
          <w:rFonts w:hint="default" w:cs="Times New Roman"/>
          <w:sz w:val="24"/>
          <w:lang w:val="en-US" w:eastAsia="zh-CN"/>
        </w:rPr>
      </w:pPr>
      <w:r>
        <w:rPr>
          <w:rFonts w:hint="eastAsia" w:ascii="仿宋_GB2312" w:hAnsi="仿宋_GB2312" w:eastAsia="仿宋_GB2312" w:cs="仿宋_GB2312"/>
          <w:sz w:val="24"/>
        </w:rPr>
        <w:t>第二部分 2022年度单位决算情况说明</w:t>
      </w:r>
      <w:r>
        <w:rPr>
          <w:rFonts w:hint="eastAsia" w:ascii="Times New Roman" w:hAnsi="Times New Roman" w:eastAsia="宋体" w:cs="Times New Roman"/>
          <w:kern w:val="2"/>
          <w:sz w:val="24"/>
          <w:szCs w:val="24"/>
          <w:lang w:val="en-US" w:eastAsia="zh-CN" w:bidi="ar-SA"/>
        </w:rPr>
        <w:t>.....................................................................</w:t>
      </w:r>
      <w:r>
        <w:rPr>
          <w:rFonts w:hint="eastAsia" w:cs="Times New Roman"/>
          <w:sz w:val="24"/>
          <w:lang w:val="en-US" w:eastAsia="zh-CN"/>
        </w:rPr>
        <w:t>5</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一、收入支出决算总体情况说明</w:t>
      </w:r>
      <w:r>
        <w:rPr>
          <w:rFonts w:hint="eastAsia" w:ascii="Times New Roman" w:hAnsi="Times New Roman" w:eastAsia="宋体" w:cs="Times New Roman"/>
          <w:sz w:val="24"/>
          <w:lang w:val="en-US" w:eastAsia="zh-CN"/>
        </w:rPr>
        <w:t>...........................................................................5</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二、收入决算情况说明</w:t>
      </w:r>
      <w:r>
        <w:rPr>
          <w:rFonts w:hint="eastAsia" w:ascii="Times New Roman" w:hAnsi="Times New Roman" w:eastAsia="宋体" w:cs="Times New Roman"/>
          <w:sz w:val="24"/>
          <w:lang w:val="en-US" w:eastAsia="zh-CN"/>
        </w:rPr>
        <w:t>...........................................................................................5</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三、支出决算情况说明</w:t>
      </w:r>
      <w:r>
        <w:rPr>
          <w:rFonts w:hint="eastAsia" w:ascii="Times New Roman" w:hAnsi="Times New Roman" w:eastAsia="宋体" w:cs="Times New Roman"/>
          <w:sz w:val="24"/>
          <w:lang w:val="en-US" w:eastAsia="zh-CN"/>
        </w:rPr>
        <w:t>...........................................................................................6</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四、财政拨款收入支出决算总体情况说明</w:t>
      </w:r>
      <w:r>
        <w:rPr>
          <w:rFonts w:hint="eastAsia" w:ascii="Times New Roman" w:hAnsi="Times New Roman" w:eastAsia="宋体" w:cs="Times New Roman"/>
          <w:sz w:val="24"/>
          <w:lang w:val="en-US" w:eastAsia="zh-CN"/>
        </w:rPr>
        <w:t>...........................................................7</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五、一般公共预算财政拨款支出决算情况说明</w:t>
      </w:r>
      <w:r>
        <w:rPr>
          <w:rFonts w:hint="eastAsia" w:ascii="Times New Roman" w:hAnsi="Times New Roman" w:eastAsia="宋体" w:cs="Times New Roman"/>
          <w:sz w:val="24"/>
          <w:lang w:val="en-US" w:eastAsia="zh-CN"/>
        </w:rPr>
        <w:t>...................................................7</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六、一般公共预算财政拨款基本支出决算情况说明</w:t>
      </w:r>
      <w:r>
        <w:rPr>
          <w:rFonts w:hint="eastAsia" w:ascii="Times New Roman" w:hAnsi="Times New Roman" w:eastAsia="宋体" w:cs="Times New Roman"/>
          <w:sz w:val="24"/>
          <w:lang w:val="en-US" w:eastAsia="zh-CN"/>
        </w:rPr>
        <w:t>.........................................10</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七、财政拨款“三公”经费支出决算情况说明</w:t>
      </w:r>
      <w:r>
        <w:rPr>
          <w:rFonts w:hint="eastAsia" w:ascii="Times New Roman" w:hAnsi="Times New Roman" w:eastAsia="宋体" w:cs="Times New Roman"/>
          <w:sz w:val="24"/>
          <w:lang w:val="en-US" w:eastAsia="zh-CN"/>
        </w:rPr>
        <w:t>.....................................................11</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八、政府性基金预算支出决算情况说明</w:t>
      </w:r>
      <w:r>
        <w:rPr>
          <w:rFonts w:hint="eastAsia" w:ascii="Times New Roman" w:hAnsi="Times New Roman" w:eastAsia="宋体" w:cs="Times New Roman"/>
          <w:sz w:val="24"/>
          <w:lang w:val="en-US" w:eastAsia="zh-CN"/>
        </w:rPr>
        <w:t>.............................................................12</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九、国有资本经营预算支出决算情况说明</w:t>
      </w:r>
      <w:r>
        <w:rPr>
          <w:rFonts w:hint="eastAsia" w:ascii="Times New Roman" w:hAnsi="Times New Roman" w:eastAsia="宋体" w:cs="Times New Roman"/>
          <w:sz w:val="24"/>
          <w:lang w:val="en-US" w:eastAsia="zh-CN"/>
        </w:rPr>
        <w:t>.........................................................12</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十、其他重要事项的情况说明</w:t>
      </w:r>
      <w:r>
        <w:rPr>
          <w:rFonts w:hint="eastAsia" w:ascii="Times New Roman" w:hAnsi="Times New Roman" w:eastAsia="宋体" w:cs="Times New Roman"/>
          <w:sz w:val="24"/>
          <w:lang w:val="en-US" w:eastAsia="zh-CN"/>
        </w:rPr>
        <w:t>.............................................................................13</w:t>
      </w:r>
    </w:p>
    <w:p>
      <w:pPr>
        <w:pStyle w:val="10"/>
        <w:adjustRightInd w:val="0"/>
        <w:snapToGrid w:val="0"/>
        <w:spacing w:before="0" w:line="440" w:lineRule="exact"/>
        <w:jc w:val="left"/>
        <w:rPr>
          <w:rFonts w:hint="default" w:cs="Times New Roman"/>
          <w:sz w:val="24"/>
          <w:lang w:val="en-US" w:eastAsia="zh-CN"/>
        </w:rPr>
      </w:pPr>
      <w:r>
        <w:rPr>
          <w:rFonts w:hint="eastAsia" w:ascii="仿宋_GB2312" w:hAnsi="仿宋_GB2312" w:eastAsia="仿宋_GB2312" w:cs="仿宋_GB2312"/>
          <w:sz w:val="24"/>
        </w:rPr>
        <w:t>第三部分 名词解释</w:t>
      </w:r>
      <w:r>
        <w:rPr>
          <w:rFonts w:hint="eastAsia" w:ascii="Times New Roman" w:hAnsi="Times New Roman" w:eastAsia="宋体" w:cs="Times New Roman"/>
          <w:kern w:val="2"/>
          <w:sz w:val="24"/>
          <w:szCs w:val="24"/>
          <w:lang w:val="en-US" w:eastAsia="zh-CN" w:bidi="ar-SA"/>
        </w:rPr>
        <w:t>....................................................................................................</w:t>
      </w:r>
      <w:r>
        <w:rPr>
          <w:rFonts w:hint="eastAsia" w:cs="Times New Roman"/>
          <w:sz w:val="24"/>
          <w:lang w:val="en-US" w:eastAsia="zh-CN"/>
        </w:rPr>
        <w:t>14</w:t>
      </w:r>
    </w:p>
    <w:p>
      <w:pPr>
        <w:pStyle w:val="10"/>
        <w:adjustRightInd w:val="0"/>
        <w:snapToGrid w:val="0"/>
        <w:spacing w:before="0" w:line="440" w:lineRule="exact"/>
        <w:jc w:val="left"/>
        <w:rPr>
          <w:rFonts w:hint="default" w:cs="Times New Roman"/>
          <w:sz w:val="24"/>
          <w:lang w:val="en-US"/>
        </w:rPr>
      </w:pPr>
      <w:r>
        <w:rPr>
          <w:rFonts w:hint="eastAsia" w:ascii="仿宋_GB2312" w:hAnsi="仿宋_GB2312" w:eastAsia="仿宋_GB2312" w:cs="仿宋_GB2312"/>
          <w:sz w:val="24"/>
        </w:rPr>
        <w:t>第四部分 附件</w:t>
      </w:r>
      <w:r>
        <w:rPr>
          <w:rFonts w:hint="eastAsia" w:ascii="Times New Roman" w:hAnsi="Times New Roman" w:eastAsia="宋体" w:cs="Times New Roman"/>
          <w:kern w:val="2"/>
          <w:sz w:val="24"/>
          <w:szCs w:val="24"/>
          <w:lang w:val="en-US" w:eastAsia="zh-CN" w:bidi="ar-SA"/>
        </w:rPr>
        <w:t>............................................................................................................</w:t>
      </w:r>
      <w:r>
        <w:rPr>
          <w:rFonts w:hint="eastAsia" w:cs="Times New Roman"/>
          <w:sz w:val="24"/>
          <w:lang w:val="en-US" w:eastAsia="zh-CN"/>
        </w:rPr>
        <w:t>16</w:t>
      </w:r>
    </w:p>
    <w:p>
      <w:pPr>
        <w:pStyle w:val="10"/>
        <w:adjustRightInd w:val="0"/>
        <w:snapToGrid w:val="0"/>
        <w:spacing w:before="0" w:line="440" w:lineRule="exact"/>
        <w:jc w:val="left"/>
        <w:rPr>
          <w:rFonts w:hint="default" w:cstheme="minorBidi"/>
          <w:sz w:val="24"/>
          <w:szCs w:val="24"/>
          <w:lang w:val="en-US"/>
        </w:rPr>
      </w:pPr>
      <w:r>
        <w:rPr>
          <w:rFonts w:hint="eastAsia" w:ascii="仿宋_GB2312" w:hAnsi="仿宋_GB2312" w:eastAsia="仿宋_GB2312" w:cs="仿宋_GB2312"/>
          <w:sz w:val="24"/>
        </w:rPr>
        <w:t>第五部分 附表</w:t>
      </w:r>
      <w:r>
        <w:rPr>
          <w:rFonts w:hint="eastAsia" w:ascii="Times New Roman" w:hAnsi="Times New Roman" w:eastAsia="宋体" w:cs="Times New Roman"/>
          <w:kern w:val="2"/>
          <w:sz w:val="24"/>
          <w:szCs w:val="24"/>
          <w:lang w:val="en-US" w:eastAsia="zh-CN" w:bidi="ar-SA"/>
        </w:rPr>
        <w:t>............................................................................................................</w:t>
      </w:r>
      <w:r>
        <w:rPr>
          <w:rFonts w:hint="eastAsia" w:cs="Times New Roman"/>
          <w:sz w:val="24"/>
          <w:lang w:val="en-US" w:eastAsia="zh-CN"/>
        </w:rPr>
        <w:t>19</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一、收入支出决算总表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default" w:ascii="Times New Roman" w:hAnsi="Times New Roman" w:eastAsia="宋体" w:cs="Times New Roman"/>
          <w:sz w:val="24"/>
          <w:lang w:val="en-US"/>
        </w:rPr>
      </w:pPr>
      <w:r>
        <w:rPr>
          <w:rFonts w:hint="eastAsia" w:ascii="Times New Roman" w:hAnsi="Times New Roman" w:eastAsia="宋体" w:cs="Times New Roman"/>
          <w:sz w:val="24"/>
        </w:rPr>
        <w:t>二、收入决算表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三、支出决算表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四、财政拨款收入支出决算总表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五、财政拨款支出决算明细表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六、一般公共预算财政拨款支出决算表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七、一般公共预算财政拨款支出决算明细表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八、一般公共预算财政拨款基本支出决算明细表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九、一般公共预算财政拨款项目支出决算表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十、政府性基金预算财政拨款收入支出决算表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十一、国有资本经营预算财政拨款收入支出决算表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十二、国有资本经营预算财政拨款支出决算表</w:t>
      </w:r>
      <w:r>
        <w:rPr>
          <w:rFonts w:hint="eastAsia" w:ascii="Times New Roman" w:hAnsi="Times New Roman" w:eastAsia="宋体" w:cs="Times New Roman"/>
          <w:sz w:val="24"/>
          <w:lang w:val="en-US" w:eastAsia="zh-CN"/>
        </w:rPr>
        <w:t>.................................................19</w:t>
      </w:r>
    </w:p>
    <w:p>
      <w:pPr>
        <w:pStyle w:val="11"/>
        <w:adjustRightInd w:val="0"/>
        <w:snapToGrid w:val="0"/>
        <w:spacing w:line="440" w:lineRule="exact"/>
        <w:jc w:val="left"/>
        <w:rPr>
          <w:rFonts w:hint="eastAsia" w:ascii="Times New Roman" w:hAnsi="Times New Roman" w:eastAsia="宋体" w:cs="Times New Roman"/>
          <w:sz w:val="24"/>
        </w:rPr>
      </w:pPr>
      <w:r>
        <w:rPr>
          <w:rFonts w:hint="eastAsia" w:ascii="Times New Roman" w:hAnsi="Times New Roman" w:eastAsia="宋体" w:cs="Times New Roman"/>
          <w:sz w:val="24"/>
        </w:rPr>
        <w:t>十三、财政拨款“三公”经费支出决算表</w:t>
      </w:r>
      <w:r>
        <w:rPr>
          <w:rFonts w:hint="eastAsia" w:ascii="Times New Roman" w:hAnsi="Times New Roman" w:eastAsia="宋体" w:cs="Times New Roman"/>
          <w:sz w:val="24"/>
          <w:lang w:val="en-US" w:eastAsia="zh-CN"/>
        </w:rPr>
        <w:t>...</w:t>
      </w:r>
      <w:bookmarkStart w:id="67" w:name="_GoBack"/>
      <w:bookmarkEnd w:id="67"/>
      <w:r>
        <w:rPr>
          <w:rFonts w:hint="eastAsia" w:ascii="Times New Roman" w:hAnsi="Times New Roman" w:eastAsia="宋体" w:cs="Times New Roman"/>
          <w:sz w:val="24"/>
          <w:lang w:val="en-US" w:eastAsia="zh-CN"/>
        </w:rPr>
        <w:t>..........................................................19</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2"/>
      <w:bookmarkEnd w:id="13"/>
    </w:p>
    <w:p>
      <w:pPr>
        <w:widowControl/>
        <w:jc w:val="left"/>
        <w:rPr>
          <w:rFonts w:ascii="黑体" w:eastAsia="黑体"/>
          <w:sz w:val="32"/>
          <w:szCs w:val="32"/>
        </w:rPr>
      </w:pPr>
    </w:p>
    <w:p>
      <w:pPr>
        <w:spacing w:line="600" w:lineRule="exact"/>
        <w:ind w:firstLine="640"/>
        <w:outlineLvl w:val="1"/>
        <w:rPr>
          <w:rFonts w:hint="eastAsia" w:ascii="黑体" w:eastAsia="黑体"/>
          <w:sz w:val="32"/>
          <w:szCs w:val="32"/>
          <w:lang w:val="en-US" w:eastAsia="zh-CN"/>
        </w:rPr>
      </w:pPr>
      <w:bookmarkStart w:id="14" w:name="_Toc15377197"/>
      <w:bookmarkStart w:id="15" w:name="_Toc15396600"/>
      <w:r>
        <w:rPr>
          <w:rFonts w:hint="eastAsia" w:ascii="黑体" w:eastAsia="黑体"/>
          <w:sz w:val="32"/>
          <w:szCs w:val="32"/>
          <w:lang w:val="en-US" w:eastAsia="zh-CN"/>
        </w:rPr>
        <w:t>一、主要职责</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1．主要职能:（1）落实干休所离休老干部政治、生活待遇。（2）作好离休老同志日常管理服务。（3）为方便离休老干部看病就医提供服务。（4）开展离休老干部的文化娱乐活动.组织他们外出参观考察。</w:t>
      </w:r>
    </w:p>
    <w:p>
      <w:pPr>
        <w:pStyle w:val="23"/>
        <w:numPr>
          <w:ilvl w:val="0"/>
          <w:numId w:val="0"/>
        </w:numPr>
        <w:spacing w:line="600" w:lineRule="exact"/>
        <w:ind w:left="640" w:leftChars="0"/>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w:t>
      </w:r>
    </w:p>
    <w:bookmarkEnd w:id="14"/>
    <w:bookmarkEnd w:id="15"/>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攀枝花市成都干部休养所为独立核算参照公务员法管理的事业单位，其中行政单位0个，参照公务员法管理的事业单位1个，其他事业单位0个。</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人员情况：干休所现有在编公务员2名：1名为副县级，1名为3级科员（2020年由攀枝花市老干局调入）。聘用驾驶员1名，退休返聘人员2名：1名为医生，1名为会计。4名长期临聘人员：2名门卫，2名护理人员。</w:t>
      </w:r>
    </w:p>
    <w:p>
      <w:pPr>
        <w:widowControl/>
        <w:ind w:firstLine="640" w:firstLineChars="200"/>
        <w:jc w:val="left"/>
        <w:rPr>
          <w:rFonts w:hint="eastAsia" w:ascii="仿宋" w:hAnsi="仿宋" w:eastAsia="仿宋" w:cs="Times New Roman"/>
          <w:b w:val="0"/>
          <w:bCs w:val="0"/>
          <w:kern w:val="2"/>
          <w:sz w:val="32"/>
          <w:szCs w:val="32"/>
          <w:lang w:val="en-US" w:eastAsia="zh-CN" w:bidi="ar-SA"/>
        </w:rPr>
      </w:pPr>
    </w:p>
    <w:p>
      <w:pPr>
        <w:widowControl/>
        <w:ind w:firstLine="640" w:firstLineChars="200"/>
        <w:jc w:val="left"/>
        <w:rPr>
          <w:rFonts w:hint="eastAsia" w:ascii="仿宋" w:hAnsi="仿宋" w:eastAsia="仿宋" w:cs="Times New Roman"/>
          <w:b w:val="0"/>
          <w:bCs w:val="0"/>
          <w:kern w:val="2"/>
          <w:sz w:val="32"/>
          <w:szCs w:val="32"/>
          <w:lang w:val="en-US" w:eastAsia="zh-CN" w:bidi="ar-SA"/>
        </w:rPr>
      </w:pPr>
    </w:p>
    <w:p>
      <w:pPr>
        <w:widowControl/>
        <w:ind w:firstLine="640" w:firstLineChars="200"/>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2022年度</w:t>
      </w:r>
      <w:r>
        <w:rPr>
          <w:rStyle w:val="24"/>
          <w:rFonts w:hint="eastAsia" w:ascii="黑体" w:hAnsi="黑体" w:eastAsia="黑体"/>
          <w:b w:val="0"/>
          <w:bCs/>
        </w:rPr>
        <w:t>单位决算情况说明</w:t>
      </w:r>
      <w:bookmarkEnd w:id="16"/>
      <w:bookmarkEnd w:id="17"/>
    </w:p>
    <w:p/>
    <w:p>
      <w:pPr>
        <w:pStyle w:val="23"/>
        <w:numPr>
          <w:ilvl w:val="0"/>
          <w:numId w:val="1"/>
        </w:numPr>
        <w:spacing w:line="600" w:lineRule="exact"/>
        <w:ind w:firstLineChars="0"/>
        <w:outlineLvl w:val="1"/>
        <w:rPr>
          <w:rStyle w:val="25"/>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5"/>
          <w:rFonts w:hint="eastAsia" w:ascii="黑体" w:hAnsi="黑体" w:eastAsia="黑体"/>
          <w:b w:val="0"/>
        </w:rPr>
        <w:t>入支出决算总体情况说明</w:t>
      </w:r>
      <w:bookmarkEnd w:id="18"/>
      <w:bookmarkEnd w:id="19"/>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2022年度收、支总计107.61万元。与2021年相比，收、支总计各减少3.92万元，下降3.51%。主要变动原因是2022年项目经费相较于2021年减少25.3万元。</w:t>
      </w:r>
    </w:p>
    <w:p>
      <w:pPr>
        <w:pStyle w:val="23"/>
        <w:numPr>
          <w:ilvl w:val="0"/>
          <w:numId w:val="0"/>
        </w:numPr>
        <w:spacing w:line="600" w:lineRule="exact"/>
        <w:jc w:val="center"/>
        <w:outlineLvl w:val="1"/>
        <w:rPr>
          <w:rFonts w:hint="eastAsia" w:ascii="仿宋" w:hAnsi="仿宋" w:eastAsia="仿宋"/>
          <w:sz w:val="32"/>
          <w:szCs w:val="32"/>
          <w:lang w:eastAsia="zh-CN"/>
        </w:rPr>
      </w:pPr>
      <w:r>
        <w:rPr>
          <w:rFonts w:hint="eastAsia" w:eastAsia="宋体"/>
          <w:lang w:eastAsia="zh-CN"/>
        </w:rPr>
        <w:drawing>
          <wp:anchor distT="0" distB="0" distL="114300" distR="114300" simplePos="0" relativeHeight="251659264" behindDoc="0" locked="0" layoutInCell="1" allowOverlap="1">
            <wp:simplePos x="0" y="0"/>
            <wp:positionH relativeFrom="column">
              <wp:posOffset>205740</wp:posOffset>
            </wp:positionH>
            <wp:positionV relativeFrom="paragraph">
              <wp:posOffset>64135</wp:posOffset>
            </wp:positionV>
            <wp:extent cx="4934585" cy="2965450"/>
            <wp:effectExtent l="0" t="0" r="18415" b="6350"/>
            <wp:wrapTopAndBottom/>
            <wp:docPr id="3" name="图片 3" descr="微信图片_2023090417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904171106"/>
                    <pic:cNvPicPr>
                      <a:picLocks noChangeAspect="1"/>
                    </pic:cNvPicPr>
                  </pic:nvPicPr>
                  <pic:blipFill>
                    <a:blip r:embed="rId8"/>
                    <a:stretch>
                      <a:fillRect/>
                    </a:stretch>
                  </pic:blipFill>
                  <pic:spPr>
                    <a:xfrm>
                      <a:off x="0" y="0"/>
                      <a:ext cx="4934585" cy="2965450"/>
                    </a:xfrm>
                    <a:prstGeom prst="rect">
                      <a:avLst/>
                    </a:prstGeom>
                  </pic:spPr>
                </pic:pic>
              </a:graphicData>
            </a:graphic>
          </wp:anchor>
        </w:drawing>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r>
        <w:rPr>
          <w:rFonts w:hint="eastAsia" w:ascii="仿宋" w:hAnsi="仿宋" w:eastAsia="仿宋"/>
          <w:sz w:val="32"/>
          <w:szCs w:val="32"/>
          <w:lang w:eastAsia="zh-CN"/>
        </w:rPr>
        <w:t>）</w:t>
      </w:r>
    </w:p>
    <w:p>
      <w:pPr>
        <w:spacing w:line="600" w:lineRule="exact"/>
        <w:jc w:val="left"/>
        <w:rPr>
          <w:rFonts w:ascii="仿宋_GB2312" w:eastAsia="仿宋_GB2312"/>
          <w:sz w:val="32"/>
          <w:szCs w:val="32"/>
        </w:rPr>
      </w:pPr>
    </w:p>
    <w:p>
      <w:pPr>
        <w:pStyle w:val="23"/>
        <w:numPr>
          <w:ilvl w:val="0"/>
          <w:numId w:val="1"/>
        </w:numPr>
        <w:spacing w:line="600" w:lineRule="exact"/>
        <w:ind w:firstLineChars="0"/>
        <w:outlineLvl w:val="1"/>
        <w:rPr>
          <w:rFonts w:hint="eastAsia" w:ascii="黑体" w:hAnsi="黑体" w:eastAsia="黑体"/>
          <w:sz w:val="32"/>
          <w:szCs w:val="32"/>
        </w:rPr>
      </w:pPr>
      <w:bookmarkStart w:id="20" w:name="_Toc15396604"/>
      <w:bookmarkStart w:id="21" w:name="_Toc15377206"/>
      <w:r>
        <w:rPr>
          <w:rFonts w:hint="eastAsia" w:ascii="黑体" w:hAnsi="黑体" w:eastAsia="黑体"/>
          <w:sz w:val="32"/>
          <w:szCs w:val="32"/>
        </w:rPr>
        <w:t>收入决算情况说明</w:t>
      </w:r>
      <w:bookmarkEnd w:id="20"/>
      <w:bookmarkEnd w:id="21"/>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本年收入合计107.61万元，其中：一般公共预算财政拨款收入98.56万元，占91.59%；年初结转和结余9.05万元，占8.41%；政府性基金预算财政拨款收入0万元，占0%；国有资本经营预算财政拨款收入0万元，占0%；上级补助收入0万元，占0%；事业收入0万元，占0%；经营收入0万元，占0%；附属单位上缴收入0万元，占0%；其他收入0万元，占0%。</w:t>
      </w:r>
    </w:p>
    <w:p>
      <w:pPr>
        <w:pStyle w:val="2"/>
        <w:jc w:val="center"/>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3780790" cy="2342515"/>
            <wp:effectExtent l="0" t="0" r="10160" b="635"/>
            <wp:docPr id="8" name="图片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
                    <pic:cNvPicPr>
                      <a:picLocks noChangeAspect="1"/>
                    </pic:cNvPicPr>
                  </pic:nvPicPr>
                  <pic:blipFill>
                    <a:blip r:embed="rId9"/>
                    <a:stretch>
                      <a:fillRect/>
                    </a:stretch>
                  </pic:blipFill>
                  <pic:spPr>
                    <a:xfrm>
                      <a:off x="0" y="0"/>
                      <a:ext cx="3780790" cy="2342515"/>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（图2：收入决算结构图）</w:t>
      </w:r>
    </w:p>
    <w:p>
      <w:pPr>
        <w:spacing w:line="600" w:lineRule="exact"/>
        <w:ind w:firstLine="640" w:firstLineChars="200"/>
        <w:rPr>
          <w:rFonts w:ascii="仿宋_GB2312" w:eastAsia="仿宋_GB2312"/>
          <w:sz w:val="32"/>
          <w:szCs w:val="32"/>
        </w:rPr>
      </w:pPr>
    </w:p>
    <w:p>
      <w:pPr>
        <w:pStyle w:val="23"/>
        <w:numPr>
          <w:ilvl w:val="0"/>
          <w:numId w:val="1"/>
        </w:numPr>
        <w:spacing w:line="600" w:lineRule="exact"/>
        <w:ind w:firstLineChars="0"/>
        <w:outlineLvl w:val="1"/>
        <w:rPr>
          <w:rFonts w:hint="eastAsia" w:ascii="黑体" w:hAnsi="黑体" w:eastAsia="黑体"/>
          <w:sz w:val="32"/>
          <w:szCs w:val="32"/>
        </w:rPr>
      </w:pPr>
      <w:bookmarkStart w:id="22" w:name="_Toc15377207"/>
      <w:bookmarkStart w:id="23" w:name="_Toc15396605"/>
      <w:r>
        <w:rPr>
          <w:rFonts w:hint="eastAsia" w:ascii="黑体" w:hAnsi="黑体" w:eastAsia="黑体"/>
          <w:sz w:val="32"/>
          <w:szCs w:val="32"/>
        </w:rPr>
        <w:t>支出决算情况说明</w:t>
      </w:r>
      <w:bookmarkEnd w:id="22"/>
      <w:bookmarkEnd w:id="23"/>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2022年本年支出合计107.61万元，其中：基本支出92.61万元，占86.06%；项目支出15万元，占13.94%；上缴上级支出0万元，占0%；经营支出0万元，占0%；对附属单位补助支出0万元，占0%。</w:t>
      </w:r>
    </w:p>
    <w:p>
      <w:pPr>
        <w:pStyle w:val="2"/>
        <w:jc w:val="center"/>
        <w:rPr>
          <w:rFonts w:ascii="仿宋" w:hAnsi="仿宋" w:eastAsia="仿宋"/>
          <w:sz w:val="32"/>
          <w:szCs w:val="32"/>
          <w:shd w:val="pct10" w:color="auto" w:fill="FFFFFF"/>
        </w:rPr>
      </w:pPr>
      <w:r>
        <w:rPr>
          <w:rFonts w:hint="eastAsia" w:ascii="仿宋" w:hAnsi="仿宋" w:eastAsia="仿宋"/>
          <w:sz w:val="32"/>
          <w:szCs w:val="32"/>
          <w:shd w:val="pct10" w:color="auto" w:fill="FFFFFF"/>
          <w:lang w:eastAsia="zh-CN"/>
        </w:rPr>
        <w:drawing>
          <wp:inline distT="0" distB="0" distL="114300" distR="114300">
            <wp:extent cx="3749040" cy="2322830"/>
            <wp:effectExtent l="0" t="0" r="3810" b="1270"/>
            <wp:docPr id="9" name="图片 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
                    <pic:cNvPicPr>
                      <a:picLocks noChangeAspect="1"/>
                    </pic:cNvPicPr>
                  </pic:nvPicPr>
                  <pic:blipFill>
                    <a:blip r:embed="rId10"/>
                    <a:stretch>
                      <a:fillRect/>
                    </a:stretch>
                  </pic:blipFill>
                  <pic:spPr>
                    <a:xfrm>
                      <a:off x="0" y="0"/>
                      <a:ext cx="3749040" cy="2322830"/>
                    </a:xfrm>
                    <a:prstGeom prst="rect">
                      <a:avLst/>
                    </a:prstGeom>
                  </pic:spPr>
                </pic:pic>
              </a:graphicData>
            </a:graphic>
          </wp:inline>
        </w:drawing>
      </w:r>
    </w:p>
    <w:p>
      <w:pPr>
        <w:spacing w:line="600" w:lineRule="exact"/>
        <w:jc w:val="center"/>
        <w:rPr>
          <w:rFonts w:ascii="仿宋_GB2312" w:eastAsia="仿宋_GB2312"/>
          <w:sz w:val="32"/>
          <w:szCs w:val="32"/>
        </w:rPr>
      </w:pPr>
      <w:r>
        <w:rPr>
          <w:rFonts w:hint="eastAsia" w:ascii="仿宋" w:hAnsi="仿宋" w:eastAsia="仿宋"/>
          <w:sz w:val="32"/>
          <w:szCs w:val="32"/>
        </w:rPr>
        <w:t>（图3：支出决算结构图）</w:t>
      </w:r>
    </w:p>
    <w:p>
      <w:pPr>
        <w:spacing w:line="600" w:lineRule="exact"/>
        <w:ind w:firstLine="640" w:firstLineChars="200"/>
        <w:outlineLvl w:val="1"/>
        <w:rPr>
          <w:rStyle w:val="25"/>
          <w:rFonts w:ascii="黑体" w:hAnsi="黑体" w:eastAsia="黑体"/>
          <w:b w:val="0"/>
        </w:rPr>
      </w:pPr>
      <w:bookmarkStart w:id="24" w:name="_Toc15377208"/>
      <w:bookmarkStart w:id="25" w:name="_Toc15396606"/>
      <w:r>
        <w:rPr>
          <w:rFonts w:hint="eastAsia" w:ascii="黑体" w:hAnsi="黑体" w:eastAsia="黑体"/>
          <w:sz w:val="32"/>
          <w:szCs w:val="32"/>
        </w:rPr>
        <w:t>四、</w:t>
      </w:r>
      <w:r>
        <w:rPr>
          <w:rFonts w:hint="eastAsia" w:ascii="黑体" w:hAnsi="黑体" w:eastAsia="黑体" w:cs="Times New Roman"/>
          <w:kern w:val="2"/>
          <w:sz w:val="32"/>
          <w:szCs w:val="32"/>
          <w:lang w:val="en-US" w:eastAsia="zh-CN" w:bidi="ar-SA"/>
        </w:rPr>
        <w:t>财政拨款收入支出决算总体情况说明</w:t>
      </w:r>
      <w:bookmarkEnd w:id="24"/>
      <w:bookmarkEnd w:id="25"/>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2022年财政拨款收、支总计107.61万元。与2021年相比，财政拨款收、支总计各减少3.92万元，下降3.51%。主要变动原因是2022年项目经费相较于2021年减少25.3万元。</w:t>
      </w:r>
    </w:p>
    <w:p>
      <w:pPr>
        <w:pStyle w:val="2"/>
        <w:jc w:val="center"/>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4238625" cy="2456815"/>
            <wp:effectExtent l="0" t="0" r="9525" b="635"/>
            <wp:docPr id="6" name="图片 6" descr="微信图片_20230904171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0904171846"/>
                    <pic:cNvPicPr>
                      <a:picLocks noChangeAspect="1"/>
                    </pic:cNvPicPr>
                  </pic:nvPicPr>
                  <pic:blipFill>
                    <a:blip r:embed="rId11"/>
                    <a:stretch>
                      <a:fillRect/>
                    </a:stretch>
                  </pic:blipFill>
                  <pic:spPr>
                    <a:xfrm>
                      <a:off x="0" y="0"/>
                      <a:ext cx="4238625" cy="2456815"/>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（图4：财政拨款收、支决算总计变动情况）</w:t>
      </w:r>
    </w:p>
    <w:p>
      <w:pPr>
        <w:spacing w:line="600" w:lineRule="exact"/>
        <w:ind w:firstLine="640"/>
        <w:rPr>
          <w:rFonts w:ascii="仿宋" w:hAnsi="仿宋" w:eastAsia="仿宋"/>
          <w:b/>
          <w:sz w:val="32"/>
          <w:szCs w:val="32"/>
        </w:rPr>
      </w:pPr>
    </w:p>
    <w:p>
      <w:pPr>
        <w:spacing w:line="600" w:lineRule="exact"/>
        <w:ind w:firstLine="640" w:firstLineChars="200"/>
        <w:outlineLvl w:val="1"/>
        <w:rPr>
          <w:rStyle w:val="25"/>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cs="Times New Roman"/>
          <w:kern w:val="2"/>
          <w:sz w:val="32"/>
          <w:szCs w:val="32"/>
          <w:lang w:val="en-US" w:eastAsia="zh-CN" w:bidi="ar-SA"/>
        </w:rPr>
        <w:t>一般公共预算财政拨款支出决算情况说明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一般公共预算财政拨款支出98.56万元，占本年支出合计的91.59%。与2021年相比，一般公共预算财政拨款支出减少12.97万元，下降11.63%。主要变动原因是2021年没有年初结转和结余经费，2022年项目经费相较于2021年减少25.3万元。</w:t>
      </w:r>
    </w:p>
    <w:p>
      <w:pPr>
        <w:pStyle w:val="2"/>
        <w:jc w:val="center"/>
        <w:rPr>
          <w:rFonts w:ascii="仿宋" w:hAnsi="仿宋" w:eastAsia="仿宋"/>
          <w:sz w:val="32"/>
          <w:szCs w:val="32"/>
        </w:rPr>
      </w:pPr>
      <w:r>
        <w:rPr>
          <w:rFonts w:hint="eastAsia" w:ascii="仿宋" w:hAnsi="仿宋" w:eastAsia="仿宋"/>
          <w:sz w:val="32"/>
          <w:szCs w:val="32"/>
          <w:lang w:eastAsia="zh-CN"/>
        </w:rPr>
        <w:drawing>
          <wp:inline distT="0" distB="0" distL="114300" distR="114300">
            <wp:extent cx="3740785" cy="2099310"/>
            <wp:effectExtent l="0" t="0" r="12065" b="15240"/>
            <wp:docPr id="7"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
                    <pic:cNvPicPr>
                      <a:picLocks noChangeAspect="1"/>
                    </pic:cNvPicPr>
                  </pic:nvPicPr>
                  <pic:blipFill>
                    <a:blip r:embed="rId12"/>
                    <a:stretch>
                      <a:fillRect/>
                    </a:stretch>
                  </pic:blipFill>
                  <pic:spPr>
                    <a:xfrm>
                      <a:off x="0" y="0"/>
                      <a:ext cx="3740785" cy="2099310"/>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（图5：一般公共预算财政拨款支出决算变动情况）</w:t>
      </w: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一般公共预算财政总支出107.61万元，包含一般公共预算财政拨款支出98.56万元，年初结转和结余支出9.05万元。主要用于以下方面:一般公共服务支出70.94万元，占65.92%；教育支出0万元，占0%；科学技术支出0万元，占0%；文化旅游体育与传媒支出0万元，占0%；社会保障和就业支出28.83万元，占26.79%；卫生健康支出2.74万元，占2.55%；住房保障支出5.1万元，占4.74%。</w:t>
      </w:r>
    </w:p>
    <w:p>
      <w:pPr>
        <w:pStyle w:val="2"/>
        <w:jc w:val="center"/>
        <w:rPr>
          <w:rFonts w:ascii="仿宋" w:hAnsi="仿宋" w:eastAsia="仿宋"/>
          <w:sz w:val="32"/>
          <w:szCs w:val="32"/>
        </w:rPr>
      </w:pPr>
      <w:r>
        <w:rPr>
          <w:rFonts w:hint="eastAsia" w:ascii="仿宋" w:hAnsi="仿宋" w:eastAsia="仿宋"/>
          <w:sz w:val="32"/>
          <w:szCs w:val="32"/>
          <w:lang w:eastAsia="zh-CN"/>
        </w:rPr>
        <w:drawing>
          <wp:inline distT="0" distB="0" distL="114300" distR="114300">
            <wp:extent cx="4032250" cy="2498090"/>
            <wp:effectExtent l="0" t="0" r="6350" b="16510"/>
            <wp:docPr id="13" name="图片 1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6"/>
                    <pic:cNvPicPr>
                      <a:picLocks noChangeAspect="1"/>
                    </pic:cNvPicPr>
                  </pic:nvPicPr>
                  <pic:blipFill>
                    <a:blip r:embed="rId13"/>
                    <a:stretch>
                      <a:fillRect/>
                    </a:stretch>
                  </pic:blipFill>
                  <pic:spPr>
                    <a:xfrm>
                      <a:off x="0" y="0"/>
                      <a:ext cx="4032250" cy="2498090"/>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0" w:firstLineChars="200"/>
        <w:outlineLvl w:val="1"/>
        <w:rPr>
          <w:rFonts w:hint="eastAsia" w:ascii="仿宋" w:hAnsi="仿宋" w:eastAsia="仿宋" w:cs="Times New Roman"/>
          <w:sz w:val="32"/>
          <w:szCs w:val="32"/>
          <w:lang w:val="en-US" w:eastAsia="zh-CN"/>
        </w:rPr>
      </w:pPr>
      <w:bookmarkStart w:id="31" w:name="_Toc15377213"/>
      <w:bookmarkStart w:id="32" w:name="_Toc15378460"/>
      <w:bookmarkStart w:id="33" w:name="_Toc15377444"/>
      <w:r>
        <w:rPr>
          <w:rFonts w:hint="eastAsia" w:ascii="仿宋" w:hAnsi="仿宋" w:eastAsia="仿宋" w:cs="Times New Roman"/>
          <w:sz w:val="32"/>
          <w:szCs w:val="32"/>
          <w:lang w:val="en-US" w:eastAsia="zh-CN"/>
        </w:rPr>
        <w:t>2022年一般公共预算支出总决算数为107.61万元，完成预算135.29%。其中：</w:t>
      </w:r>
      <w:bookmarkEnd w:id="31"/>
      <w:bookmarkEnd w:id="32"/>
      <w:bookmarkEnd w:id="33"/>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1.一般公共服务支出（类）政府办公厅（室）及相关机构事务（款）行政运行（项）: 支出决算为55.94万元，完成预算104.48%，决算数大于预算数的主要原因是职工工资调增。</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2.一般公共服务支出（类）政府办公厅（室）及相关机构事务（款）一般行政管理事务（项）：支出决算为15万元，该笔经费为后期追加项目经费。</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3.社会保障和就业支出（类）行政事业单位养老支出（款）行政单位离退休（项）: 支出决算为11.65万元，完成预算281.4%，决算数大于预算数的主要原因是追加单位符合规定的退休人员体检费。</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4.社会保障和就业支出（类）行政事业单位养老支出（款）事业单位离退休（项）: 支出决算为13.98万元，完成预算112.02%，决算数大于预算数的主要原因是追加单位符合规定的退休人员体检费。</w:t>
      </w:r>
    </w:p>
    <w:p>
      <w:pPr>
        <w:spacing w:line="600" w:lineRule="exact"/>
        <w:ind w:firstLine="640" w:firstLineChars="200"/>
        <w:outlineLvl w:val="1"/>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5.社会保障和就业支出（类）行政事业单位养老支出（款）机关事业单位基本养老保险缴费支出（项）: 支出决算为3.2万元，完成预算106.31%，决算数大于预算数的主要原因是工资上涨使得与之相关的各项社保增长。</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6.卫生健康支出（类）其他卫生健康支出（款）其他卫生健康支出（项）:支出决算为2.74万元，该笔经费为后期追加经费。</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7.住房保障支出（类）住房改革支出（款）住房公积金（项）：支出决算为5.1万元，完成预算97.89%，决算数小于预算数的主要原因是：职工缴纳公积金基数调整，部分职工公积金减少。</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5"/>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cs="Times New Roman"/>
          <w:kern w:val="2"/>
          <w:sz w:val="32"/>
          <w:szCs w:val="32"/>
          <w:lang w:val="en-US" w:eastAsia="zh-CN" w:bidi="ar-SA"/>
        </w:rPr>
        <w:t>一般公共预算财政拨款基本支出决算情况说明</w:t>
      </w:r>
      <w:bookmarkEnd w:id="34"/>
      <w:bookmarkEnd w:id="35"/>
      <w:r>
        <w:rPr>
          <w:rStyle w:val="25"/>
          <w:rFonts w:ascii="黑体" w:hAnsi="黑体" w:eastAsia="黑体"/>
          <w:b w:val="0"/>
        </w:rPr>
        <w:tab/>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2022年一般公共预算财政拨款基本总支出107.61万元，包含一般公共预算财政拨款支出98.56万元，年初结转和结余支出9.05万元。其中：</w:t>
      </w:r>
    </w:p>
    <w:p>
      <w:pPr>
        <w:spacing w:line="600" w:lineRule="exact"/>
        <w:ind w:firstLine="640" w:firstLineChars="200"/>
        <w:outlineLvl w:val="1"/>
        <w:rPr>
          <w:rFonts w:ascii="仿宋" w:hAnsi="仿宋" w:eastAsia="仿宋"/>
          <w:sz w:val="32"/>
          <w:szCs w:val="32"/>
        </w:rPr>
      </w:pPr>
      <w:r>
        <w:rPr>
          <w:rFonts w:hint="eastAsia" w:ascii="仿宋" w:hAnsi="仿宋" w:eastAsia="仿宋" w:cs="Times New Roman"/>
          <w:sz w:val="32"/>
          <w:szCs w:val="32"/>
          <w:lang w:val="en-US" w:eastAsia="zh-CN"/>
        </w:rPr>
        <w:t>人员经费81.85万元，主要包括：基本工资、津贴补贴、奖金、绩效工资、机关事业单位基本养老保险缴费、职业年金缴费、其他社会保障缴费、其他工资福利支出、离休费、退休费、生活补助、医疗费补助、住房公积金、其他对个人和家庭的补助支出等。</w:t>
      </w:r>
      <w:r>
        <w:rPr>
          <w:rFonts w:hint="eastAsia" w:ascii="仿宋" w:hAnsi="仿宋" w:eastAsia="仿宋" w:cs="Times New Roman"/>
          <w:sz w:val="32"/>
          <w:szCs w:val="32"/>
          <w:lang w:val="en-US" w:eastAsia="zh-CN"/>
        </w:rPr>
        <w:br w:type="textWrapping"/>
      </w:r>
      <w:r>
        <w:rPr>
          <w:rFonts w:hint="eastAsia" w:ascii="仿宋" w:hAnsi="仿宋" w:eastAsia="仿宋" w:cs="Times New Roman"/>
          <w:sz w:val="32"/>
          <w:szCs w:val="32"/>
          <w:lang w:val="en-US" w:eastAsia="zh-CN"/>
        </w:rPr>
        <w:t>　　公用经费25.77万元，主要包括：办公费、印刷费、咨询费、手续费、水费、电费、邮电费、取暖费、差旅费、维修（护）费、公务接待费、劳务费、委托业务费、工会经费、福利费、公务用车运行维护费、其他交通费。</w:t>
      </w:r>
    </w:p>
    <w:p>
      <w:pPr>
        <w:spacing w:line="600" w:lineRule="exact"/>
        <w:ind w:firstLine="640"/>
        <w:rPr>
          <w:rFonts w:ascii="仿宋" w:hAnsi="仿宋" w:eastAsia="仿宋"/>
          <w:b/>
          <w:sz w:val="32"/>
          <w:szCs w:val="32"/>
        </w:rPr>
      </w:pPr>
    </w:p>
    <w:p>
      <w:pPr>
        <w:spacing w:line="600" w:lineRule="exact"/>
        <w:ind w:firstLine="640"/>
        <w:outlineLvl w:val="1"/>
        <w:rPr>
          <w:rStyle w:val="25"/>
          <w:rFonts w:ascii="黑体" w:hAnsi="黑体" w:eastAsia="黑体"/>
          <w:b w:val="0"/>
        </w:rPr>
      </w:pPr>
      <w:bookmarkStart w:id="36" w:name="_Toc15377215"/>
      <w:bookmarkStart w:id="37" w:name="_Toc15396609"/>
      <w:r>
        <w:rPr>
          <w:rFonts w:hint="eastAsia" w:ascii="黑体" w:eastAsia="黑体"/>
          <w:sz w:val="32"/>
          <w:szCs w:val="32"/>
        </w:rPr>
        <w:t>七、</w:t>
      </w:r>
      <w:r>
        <w:rPr>
          <w:rFonts w:hint="eastAsia" w:ascii="黑体" w:hAnsi="黑体" w:eastAsia="黑体" w:cs="Times New Roman"/>
          <w:kern w:val="2"/>
          <w:sz w:val="32"/>
          <w:szCs w:val="32"/>
          <w:lang w:val="en-US" w:eastAsia="zh-CN" w:bidi="ar-SA"/>
        </w:rPr>
        <w:t>财政拨款“三公”经费支出决算情况说明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2022年“三公”经费财政拨款支出决算为4.92万元，完成预算98.6%，相较于2021年减少0.04万元，下降0.81%。决算数小于预算数的主要原因是本年公务接待费支出减少。</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2022年“三公”经费财政拨款支出决算中，因公出国（境）费支出决算0万元，占0%；公务用车购置及运行维护费支出决算4.86万元，占98.78%；公务接待费支出决算0.06万元，占1.22%。具体情况如下：</w:t>
      </w:r>
    </w:p>
    <w:p>
      <w:pPr>
        <w:pStyle w:val="2"/>
        <w:jc w:val="center"/>
        <w:rPr>
          <w:rFonts w:hint="eastAsia"/>
          <w:lang w:val="en-US" w:eastAsia="zh-CN"/>
        </w:rPr>
      </w:pPr>
      <w:r>
        <w:rPr>
          <w:rFonts w:hint="eastAsia"/>
          <w:lang w:val="en-US" w:eastAsia="zh-CN"/>
        </w:rPr>
        <w:drawing>
          <wp:inline distT="0" distB="0" distL="114300" distR="114300">
            <wp:extent cx="4632960" cy="2717800"/>
            <wp:effectExtent l="0" t="0" r="15240" b="6350"/>
            <wp:docPr id="1" name="图片 1" descr="微信图片_2023091116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911165637"/>
                    <pic:cNvPicPr>
                      <a:picLocks noChangeAspect="1"/>
                    </pic:cNvPicPr>
                  </pic:nvPicPr>
                  <pic:blipFill>
                    <a:blip r:embed="rId14"/>
                    <a:stretch>
                      <a:fillRect/>
                    </a:stretch>
                  </pic:blipFill>
                  <pic:spPr>
                    <a:xfrm>
                      <a:off x="0" y="0"/>
                      <a:ext cx="4632960" cy="2717800"/>
                    </a:xfrm>
                    <a:prstGeom prst="rect">
                      <a:avLst/>
                    </a:prstGeom>
                  </pic:spPr>
                </pic:pic>
              </a:graphicData>
            </a:graphic>
          </wp:inline>
        </w:drawing>
      </w:r>
    </w:p>
    <w:p>
      <w:pPr>
        <w:spacing w:line="600" w:lineRule="exact"/>
        <w:jc w:val="center"/>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（图7：“三公”经费财政拨款支出结构）</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1.因公出国（境）经费支出0万元，完成预算0%。全年安排因公出国（境）团组0次，出国（境）0人。因公出国（境）支出决算比与2021年持平。</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2.公务用车购置及运行维护费支出4.86万元,完成预算100%。公务用车购置及运行维护费支出决算比2021年增加0.02万元，增长0.41%。主要原因是油价上涨，公务车燃油费用增加。</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其中：公务用车购置支出0万元。全年按规定更新购置公务用车0辆，其中：轿车0辆、金额0万元，越野车0辆、金额0万元，载客汽车0辆、金额0万元。截至2022年12月底，单位共有公务用车3辆，其中：轿车2辆、越野车0辆、载客汽车1辆。</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公务用车运行维护费支出4.86万元。主要用于接送老同志看病就医等所需的公务用车燃料费、维修费、过路过桥费、保险费等支出。</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3.公务接待费支出0.06万元，完成预算46.15%。公务接待费支出决算比2021年减少0.07万元，下降53.85%。主要原因是公务接待减少。其中：</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国内公务接待支出0.06万元，主要用于执行公务、开展业务活动开支的用餐费。国内公务接待1批次，8人次，共计支出0.06万元，具体内容包括：开展老干部慰问活动时非本单位人员的用餐费。</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外事接待支出0万元，共计支出0万元。</w:t>
      </w:r>
    </w:p>
    <w:p>
      <w:pPr>
        <w:spacing w:line="600" w:lineRule="exact"/>
        <w:ind w:firstLine="640"/>
        <w:outlineLvl w:val="1"/>
        <w:rPr>
          <w:rFonts w:ascii="黑体" w:eastAsia="黑体"/>
          <w:sz w:val="32"/>
          <w:szCs w:val="32"/>
        </w:rPr>
      </w:pPr>
      <w:bookmarkStart w:id="40" w:name="_Toc15396610"/>
      <w:bookmarkStart w:id="41" w:name="_Toc15377218"/>
    </w:p>
    <w:p>
      <w:pPr>
        <w:spacing w:line="600" w:lineRule="exact"/>
        <w:ind w:firstLine="640"/>
        <w:outlineLvl w:val="1"/>
        <w:rPr>
          <w:rStyle w:val="25"/>
          <w:rFonts w:ascii="黑体" w:hAnsi="黑体" w:eastAsia="黑体"/>
        </w:rPr>
      </w:pPr>
      <w:r>
        <w:rPr>
          <w:rFonts w:hint="eastAsia" w:ascii="黑体" w:eastAsia="黑体"/>
          <w:sz w:val="32"/>
          <w:szCs w:val="32"/>
        </w:rPr>
        <w:t>八、</w:t>
      </w:r>
      <w:r>
        <w:rPr>
          <w:rFonts w:hint="eastAsia" w:ascii="黑体" w:hAnsi="黑体" w:eastAsia="黑体" w:cs="Times New Roman"/>
          <w:kern w:val="2"/>
          <w:sz w:val="32"/>
          <w:szCs w:val="32"/>
          <w:lang w:val="en-US" w:eastAsia="zh-CN" w:bidi="ar-SA"/>
        </w:rPr>
        <w:t>政府性基金预算支出决算情况说明</w:t>
      </w:r>
      <w:bookmarkEnd w:id="40"/>
      <w:bookmarkEnd w:id="41"/>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2022年政府性基金预算财政拨款支出0万元。</w:t>
      </w:r>
    </w:p>
    <w:p>
      <w:pPr>
        <w:spacing w:line="600" w:lineRule="exact"/>
        <w:ind w:firstLine="640"/>
        <w:rPr>
          <w:rFonts w:ascii="仿宋_GB2312" w:eastAsia="仿宋_GB2312"/>
          <w:sz w:val="32"/>
          <w:szCs w:val="32"/>
        </w:rPr>
      </w:pPr>
    </w:p>
    <w:p>
      <w:pPr>
        <w:numPr>
          <w:ilvl w:val="0"/>
          <w:numId w:val="2"/>
        </w:numPr>
        <w:spacing w:line="600" w:lineRule="exact"/>
        <w:ind w:firstLine="640"/>
        <w:outlineLvl w:val="1"/>
        <w:rPr>
          <w:rFonts w:hint="eastAsia" w:ascii="黑体" w:hAnsi="黑体" w:eastAsia="黑体" w:cs="Times New Roman"/>
          <w:kern w:val="2"/>
          <w:sz w:val="32"/>
          <w:szCs w:val="32"/>
          <w:lang w:val="en-US" w:eastAsia="zh-CN" w:bidi="ar-SA"/>
        </w:rPr>
      </w:pPr>
      <w:bookmarkStart w:id="42" w:name="_Toc15396611"/>
      <w:bookmarkStart w:id="43" w:name="_Toc15377219"/>
      <w:r>
        <w:rPr>
          <w:rFonts w:hint="eastAsia" w:ascii="黑体" w:hAnsi="黑体" w:eastAsia="黑体" w:cs="Times New Roman"/>
          <w:kern w:val="2"/>
          <w:sz w:val="32"/>
          <w:szCs w:val="32"/>
          <w:lang w:val="en-US" w:eastAsia="zh-CN" w:bidi="ar-SA"/>
        </w:rPr>
        <w:t>国有资本经营预算支出决算情况说明</w:t>
      </w:r>
      <w:bookmarkEnd w:id="42"/>
      <w:bookmarkEnd w:id="43"/>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2"/>
        </w:numPr>
        <w:spacing w:line="600" w:lineRule="exact"/>
        <w:ind w:firstLine="640"/>
        <w:outlineLvl w:val="1"/>
        <w:rPr>
          <w:rFonts w:hint="eastAsia" w:ascii="黑体" w:hAnsi="黑体" w:eastAsia="黑体" w:cs="Times New Roman"/>
          <w:kern w:val="2"/>
          <w:sz w:val="32"/>
          <w:szCs w:val="32"/>
          <w:lang w:val="en-US" w:eastAsia="zh-CN" w:bidi="ar-SA"/>
        </w:rPr>
      </w:pPr>
      <w:bookmarkStart w:id="44" w:name="_Toc15377221"/>
      <w:bookmarkStart w:id="45" w:name="_Toc15396612"/>
      <w:r>
        <w:rPr>
          <w:rFonts w:hint="eastAsia" w:ascii="黑体" w:hAnsi="黑体" w:eastAsia="黑体" w:cs="Times New Roman"/>
          <w:kern w:val="2"/>
          <w:sz w:val="32"/>
          <w:szCs w:val="32"/>
          <w:lang w:val="en-US" w:eastAsia="zh-CN" w:bidi="ar-SA"/>
        </w:rPr>
        <w:t>其他重要事项的情况说明</w:t>
      </w:r>
      <w:bookmarkEnd w:id="44"/>
      <w:bookmarkEnd w:id="45"/>
    </w:p>
    <w:p>
      <w:pPr>
        <w:spacing w:line="600" w:lineRule="exact"/>
        <w:ind w:firstLine="643" w:firstLineChars="200"/>
        <w:outlineLvl w:val="2"/>
        <w:rPr>
          <w:rFonts w:hint="eastAsia" w:ascii="仿宋" w:hAnsi="仿宋" w:eastAsia="仿宋" w:cs="Times New Roman"/>
          <w:b/>
          <w:sz w:val="32"/>
          <w:szCs w:val="32"/>
        </w:rPr>
      </w:pPr>
      <w:bookmarkStart w:id="46" w:name="_Toc15377222"/>
      <w:r>
        <w:rPr>
          <w:rFonts w:hint="eastAsia" w:ascii="仿宋" w:hAnsi="仿宋" w:eastAsia="仿宋" w:cs="Times New Roman"/>
          <w:b/>
          <w:sz w:val="32"/>
          <w:szCs w:val="32"/>
        </w:rPr>
        <w:t>（一）机关运行经费支出情况</w:t>
      </w:r>
      <w:bookmarkEnd w:id="46"/>
    </w:p>
    <w:p>
      <w:pPr>
        <w:spacing w:line="600" w:lineRule="exact"/>
        <w:ind w:firstLine="640" w:firstLineChars="200"/>
        <w:outlineLvl w:val="1"/>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2022年，本单位机关运行经费支出10.77万元，比2021年增加6.64万元，增长61.65%。主要原因是2021年公务车运行维护费用项目经费支出。</w:t>
      </w:r>
    </w:p>
    <w:p>
      <w:pPr>
        <w:spacing w:line="600" w:lineRule="exact"/>
        <w:ind w:firstLine="643" w:firstLineChars="200"/>
        <w:outlineLvl w:val="2"/>
        <w:rPr>
          <w:rFonts w:hint="eastAsia" w:ascii="仿宋" w:hAnsi="仿宋" w:eastAsia="仿宋" w:cs="Times New Roman"/>
          <w:b/>
          <w:sz w:val="32"/>
          <w:szCs w:val="32"/>
        </w:rPr>
      </w:pPr>
      <w:bookmarkStart w:id="47" w:name="_Toc15377223"/>
      <w:r>
        <w:rPr>
          <w:rFonts w:hint="eastAsia" w:ascii="仿宋" w:hAnsi="仿宋" w:eastAsia="仿宋" w:cs="Times New Roman"/>
          <w:b/>
          <w:sz w:val="32"/>
          <w:szCs w:val="32"/>
        </w:rPr>
        <w:t>（二）政府采购支出情况</w:t>
      </w:r>
      <w:bookmarkEnd w:id="47"/>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2022年，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spacing w:line="600" w:lineRule="exact"/>
        <w:ind w:firstLine="643" w:firstLineChars="200"/>
        <w:outlineLvl w:val="2"/>
        <w:rPr>
          <w:rFonts w:hint="eastAsia" w:ascii="仿宋" w:hAnsi="仿宋" w:eastAsia="仿宋" w:cs="Times New Roman"/>
          <w:b/>
          <w:sz w:val="32"/>
          <w:szCs w:val="32"/>
        </w:rPr>
      </w:pPr>
      <w:bookmarkStart w:id="48" w:name="_Toc15377224"/>
      <w:r>
        <w:rPr>
          <w:rFonts w:hint="eastAsia" w:ascii="仿宋" w:hAnsi="仿宋" w:eastAsia="仿宋" w:cs="Times New Roman"/>
          <w:b/>
          <w:sz w:val="32"/>
          <w:szCs w:val="32"/>
        </w:rPr>
        <w:t>（三）国有资产占有使用情况</w:t>
      </w:r>
      <w:bookmarkEnd w:id="48"/>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截至2022年12月31日，本单位共有车辆3辆，其中：主要领导干部用车0辆、机要通信用车0辆、应急保障用车0辆、其他用车3辆，其他用车主要是用于必要的公务活动和业务用车。单价100万元以上专用设备0台（套）。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根据预算绩效管理要求，本单位在2022年度预算编制阶段，组织对老干部活动及慰问项目等2个项目开展了预算事前绩效评估，对2个项目编制了绩效目标，预算执行过程中，选取2个项目开展绩效监控，组织对2个项目开展绩效自评，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4"/>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4"/>
          <w:rFonts w:hint="eastAsia" w:ascii="黑体" w:hAnsi="黑体" w:eastAsia="黑体"/>
          <w:b w:val="0"/>
        </w:rPr>
        <w:t>词解释</w:t>
      </w:r>
      <w:bookmarkEnd w:id="49"/>
      <w:bookmarkEnd w:id="50"/>
    </w:p>
    <w:p>
      <w:pPr>
        <w:spacing w:line="600" w:lineRule="exact"/>
        <w:ind w:firstLine="640" w:firstLineChars="200"/>
        <w:outlineLvl w:val="1"/>
        <w:rPr>
          <w:rFonts w:hint="eastAsia" w:ascii="仿宋" w:hAnsi="仿宋" w:eastAsia="仿宋" w:cs="Times New Roman"/>
          <w:sz w:val="32"/>
          <w:szCs w:val="32"/>
          <w:lang w:val="en-US" w:eastAsia="zh-CN"/>
        </w:rPr>
      </w:pP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1.一般公共预算拨款收入：指市级财政当年拨付的资金。</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2.一般公共服务支出（类）政府办公厅（室）及相关机构事务（款）一般行政管理事务（政府）（项）：指行政单位（包括实行公务员管理的事业单位）未单独设置项级科目的其他项目支出。</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3.一般公共服务支出（类）政府办公厅（室）及相关机构事务（款）事业运行（政府）（项）：指事业单位的基本支出。</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4.社会保障和就业支出（类）行政事业单位离退休（款）事业单位离退休（项）：指实行归口管理的事业单位开支的离退休经费。</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5.社会保障和就业支出（类）行政事业单位离退休（款）机关事业单位基本养老保险缴费支出（项）：指机关事业单位实施养老保险制度由单位缴纳的基本养老保险费支出。</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6.住房保障支出（类）住房改革支出（款）住房公积金（项）：指行政事业单位按人力资源和社会保障部、财政部规定的基本工资和津贴补贴以及规定比例为职工缴纳的住房公积金。</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7.年初结转和结余：指以前年度尚未完成、结转到本年按有关规定继续使用的资金。 </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8.基本支出：指为保障机构正常运转、完成日常工作任务而发生的人员支出和公用支出。</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9.项目支出：指在基本支出之外为完成特定行政任务和事业发展目标所发生的支出。 </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10.“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outlineLvl w:val="1"/>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4"/>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4"/>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ascii="宋体" w:hAnsi="宋体" w:cs="宋体"/>
          <w:kern w:val="0"/>
          <w:sz w:val="32"/>
          <w:szCs w:val="32"/>
        </w:rPr>
      </w:pPr>
      <w:bookmarkStart w:id="53" w:name="_Toc15396618"/>
      <w:r>
        <w:rPr>
          <w:rFonts w:hint="eastAsia" w:ascii="宋体" w:hAnsi="宋体" w:cs="宋体"/>
          <w:kern w:val="0"/>
          <w:sz w:val="32"/>
          <w:szCs w:val="32"/>
        </w:rPr>
        <w:t>部门预算项目支出绩效自评表（2022年度）</w:t>
      </w:r>
    </w:p>
    <w:tbl>
      <w:tblPr>
        <w:tblStyle w:val="12"/>
        <w:tblW w:w="7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635"/>
        <w:gridCol w:w="789"/>
        <w:gridCol w:w="815"/>
        <w:gridCol w:w="503"/>
        <w:gridCol w:w="737"/>
        <w:gridCol w:w="503"/>
        <w:gridCol w:w="982"/>
        <w:gridCol w:w="502"/>
        <w:gridCol w:w="486"/>
        <w:gridCol w:w="12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7748"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68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老干部活动及慰问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34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攀枝花市人民政府驻成都办事处部门</w:t>
            </w:r>
          </w:p>
        </w:tc>
        <w:tc>
          <w:tcPr>
            <w:tcW w:w="1005"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实施单位</w:t>
            </w:r>
          </w:p>
        </w:tc>
        <w:tc>
          <w:tcPr>
            <w:tcW w:w="23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攀枝花市成都干部休养所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34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3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34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组织离休老同志外出活动，让老干部感受到组织的温暖，安享晚年；春节前市级领导亲临干休所看望老干部慰问金，节假日期间慰问走访老干部，老干部住院慰问等，送去组织的关心和祝福，让老干部病有所医，老有所养，真正感受党和政府的温暖。2.干休所两个院落的“物业”管理：两栋楼房、车库、活动室、医务室及附属设施的日常维护维修；清淤，管辖区的市容环境卫生绿化，沟渠清淤疏通，垃圾清运，补充公用支出不足（在编在职仅2人）；鉴于本单位的机构设置及编制配置实际，满足日常管理及正常运转所需，解决长期聘用人员和临时聘请人员的劳务费。</w:t>
            </w:r>
          </w:p>
        </w:tc>
        <w:tc>
          <w:tcPr>
            <w:tcW w:w="3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让尊老、敬老、爱老这一传统美德在干休所充分体现，以儿女之心，晚辈之情作好老干部各项服务工作，立足本职，尽力尽责，得到老同志们的一致好评。组织开展健康有益的活动，让老干部们始终保持积极健康的精神状态和生活态度，让老同志们幸福的安度晚年；让老干部们看到祖国建设日新月异的变化和伟大成就，分享经济发展和社会进步的成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68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组织干休所老干部集体学习和座谈、外出活动，感受城乡建设的伟大成就和祖国日新月异的变化。2.市委市政府领导亲临干休所慰问老同志，组织老干部迎春团拜活动，节假日及住院慰问，送去组织的关心祝福，真正感受党和政府的温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8" w:hRule="atLeast"/>
          <w:jc w:val="center"/>
        </w:trPr>
        <w:tc>
          <w:tcPr>
            <w:tcW w:w="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项目完成度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iCs/>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543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74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两栋楼房的车库、活动室、医务室、及附属设施的日常维护维修；两栋院落的屋顶地面环境卫生绿化，沟渠清淤疏通，垃圾清运，补充公用经费支出不足；由于干休所的机构设置及编制配置实际情况，要满足日常管理及单位正常运转需要，解决长期聘用人员和临时聘请人员的劳务费。干休所聘用临时人员4人及临时聘请人员2人的劳务支出，认真做好老干部服务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74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74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30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64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82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84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521"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78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521"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100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50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45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c>
          <w:tcPr>
            <w:tcW w:w="135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jc w:val="center"/>
        </w:trPr>
        <w:tc>
          <w:tcPr>
            <w:tcW w:w="7748"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68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干休所管理离休干部楼栋运转经费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34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攀枝花市人民政府驻成都办事处部门</w:t>
            </w:r>
          </w:p>
        </w:tc>
        <w:tc>
          <w:tcPr>
            <w:tcW w:w="100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r>
              <w:rPr>
                <w:rFonts w:hint="eastAsia" w:ascii="黑体" w:hAnsi="黑体" w:eastAsia="黑体" w:cs="黑体"/>
                <w:i w:val="0"/>
                <w:iCs w:val="0"/>
                <w:color w:val="000000"/>
                <w:kern w:val="0"/>
                <w:sz w:val="18"/>
                <w:szCs w:val="18"/>
                <w:u w:val="none"/>
                <w:lang w:val="en-US" w:eastAsia="zh-CN" w:bidi="ar"/>
              </w:rPr>
              <w:t xml:space="preserve"> </w:t>
            </w:r>
          </w:p>
        </w:tc>
        <w:tc>
          <w:tcPr>
            <w:tcW w:w="23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攀枝花市成都干部休养所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34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3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34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干休所两个院落的“物业”管理：两栋楼房、车库、活动室、医务室及附属设施的日常维护维修；清淤，管辖区的市容环境卫生绿化，沟渠清淤疏通，垃圾清运，补充公用支出不足（在编在职仅2人）；鉴于本单位的机构设置及编制配置实际，满足日常管理及正常运转所需，解决长期聘用人员和临时聘请人员的劳务费。</w:t>
            </w:r>
          </w:p>
        </w:tc>
        <w:tc>
          <w:tcPr>
            <w:tcW w:w="33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坚持以老同志为本，把老同志满不满意作为工作的出发点和目的，关心他们的感受，营造和谐温暖的大家庭；把老同志的服务放在首位，重视老干部的管理和服务，把他们的满意作为干休所工作的出发点和落脚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680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两栋楼房的车库、活动室、医务室、及附属设施的日常维护维修；两栋院落的屋顶地面环境卫生绿化，沟渠清淤疏通，垃圾清运，补充公用经费支出不足；由于干休所的机构设置及编制配置实际情况，要满足日常管理及单位正常运转需要，解决长期聘用人员和临时聘请人员的劳务费。干休所聘用临时人员4人及临时聘请人员2人的劳务支出，认真做好老干部服务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iCs/>
                <w:color w:val="000000"/>
                <w:sz w:val="16"/>
                <w:szCs w:val="16"/>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iCs/>
                <w:color w:val="000000"/>
                <w:sz w:val="16"/>
                <w:szCs w:val="16"/>
                <w:u w:val="none"/>
              </w:rPr>
            </w:pP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iCs/>
                <w:color w:val="000000"/>
                <w:sz w:val="16"/>
                <w:szCs w:val="16"/>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iCs/>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iCs/>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项目完成度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iCs/>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543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74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干休所两栋院落的绿化卫生，沟渠清淤，管道疏通，垃圾清运，让老同志们有一个良好的生活环境；经过干休所全体职工的共同努力，能给老同志们一个较好的生活环境环境。让尊老、敬老、爱老这一传统美德在干休所充分体现，以儿女之心，晚辈之情作好老干部各项服务工作，立足本职，尽力尽责，得到老同志们的一致好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74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iCs/>
                <w:color w:val="000000"/>
                <w:sz w:val="16"/>
                <w:szCs w:val="16"/>
                <w:u w:val="none"/>
                <w:lang w:val="en-US" w:eastAsia="zh-CN"/>
              </w:rPr>
            </w:pPr>
            <w:r>
              <w:rPr>
                <w:rFonts w:hint="eastAsia" w:ascii="宋体" w:hAnsi="宋体" w:eastAsia="宋体" w:cs="宋体"/>
                <w:i w:val="0"/>
                <w:iCs w:val="0"/>
                <w:color w:val="000000"/>
                <w:kern w:val="0"/>
                <w:sz w:val="18"/>
                <w:szCs w:val="18"/>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744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iCs/>
                <w:color w:val="000000"/>
                <w:sz w:val="16"/>
                <w:szCs w:val="16"/>
                <w:u w:val="none"/>
                <w:lang w:val="en-US" w:eastAsia="zh-CN"/>
              </w:rPr>
            </w:pPr>
            <w:r>
              <w:rPr>
                <w:rFonts w:hint="eastAsia" w:ascii="宋体" w:hAnsi="宋体" w:eastAsia="宋体" w:cs="宋体"/>
                <w:i w:val="0"/>
                <w:iCs w:val="0"/>
                <w:color w:val="000000"/>
                <w:kern w:val="0"/>
                <w:sz w:val="18"/>
                <w:szCs w:val="18"/>
                <w:u w:val="none"/>
                <w:lang w:val="en-US" w:eastAsia="zh-CN" w:bidi="ar"/>
              </w:rPr>
              <w:t>无</w:t>
            </w:r>
          </w:p>
        </w:tc>
      </w:tr>
    </w:tbl>
    <w:p>
      <w:pPr>
        <w:spacing w:line="600" w:lineRule="exact"/>
        <w:jc w:val="left"/>
        <w:outlineLvl w:val="0"/>
        <w:rPr>
          <w:rFonts w:ascii="仿宋_GB2312" w:hAnsi="Calibri" w:eastAsia="仿宋_GB2312" w:cs="仿宋"/>
          <w:kern w:val="0"/>
          <w:sz w:val="32"/>
          <w:szCs w:val="32"/>
        </w:rPr>
      </w:pPr>
    </w:p>
    <w:p>
      <w:pPr>
        <w:pStyle w:val="2"/>
        <w:spacing w:before="93"/>
        <w:rPr>
          <w:rFonts w:hAnsi="Calibri" w:cs="仿宋"/>
          <w:sz w:val="32"/>
          <w:szCs w:val="32"/>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4"/>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25"/>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5"/>
          <w:rFonts w:hint="eastAsia" w:ascii="仿宋" w:hAnsi="仿宋" w:eastAsia="仿宋"/>
          <w:b w:val="0"/>
          <w:bCs w:val="0"/>
        </w:rPr>
        <w:t>入决算表</w:t>
      </w:r>
      <w:bookmarkEnd w:id="55"/>
    </w:p>
    <w:p>
      <w:pPr>
        <w:pStyle w:val="4"/>
        <w:rPr>
          <w:rFonts w:ascii="仿宋" w:hAnsi="仿宋" w:eastAsia="仿宋"/>
        </w:rPr>
      </w:pPr>
      <w:bookmarkStart w:id="56" w:name="_Toc1539662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57"/>
    </w:p>
    <w:p>
      <w:pPr>
        <w:pStyle w:val="4"/>
        <w:rPr>
          <w:rStyle w:val="25"/>
          <w:rFonts w:ascii="仿宋" w:hAnsi="仿宋" w:eastAsia="仿宋"/>
          <w:b w:val="0"/>
          <w:bCs w:val="0"/>
        </w:rPr>
      </w:pPr>
      <w:bookmarkStart w:id="58"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5"/>
          <w:rFonts w:hint="eastAsia" w:ascii="仿宋" w:hAnsi="仿宋" w:eastAsia="仿宋"/>
          <w:b w:val="0"/>
          <w:bCs w:val="0"/>
        </w:rPr>
        <w:t>十、</w:t>
      </w:r>
      <w:bookmarkEnd w:id="63"/>
      <w:r>
        <w:rPr>
          <w:rFonts w:hint="eastAsia" w:ascii="仿宋" w:hAnsi="仿宋" w:eastAsia="仿宋"/>
          <w:b w:val="0"/>
        </w:rPr>
        <w:t>政</w:t>
      </w:r>
      <w:r>
        <w:rPr>
          <w:rStyle w:val="25"/>
          <w:rFonts w:hint="eastAsia" w:ascii="仿宋" w:hAnsi="仿宋" w:eastAsia="仿宋"/>
          <w:b w:val="0"/>
          <w:bCs w:val="0"/>
        </w:rPr>
        <w:t>府性基金预算财政拨款收入支出决算表</w:t>
      </w:r>
    </w:p>
    <w:p>
      <w:pPr>
        <w:pStyle w:val="4"/>
        <w:rPr>
          <w:rFonts w:ascii="仿宋" w:hAnsi="仿宋" w:eastAsia="仿宋"/>
        </w:rPr>
      </w:pPr>
      <w:bookmarkStart w:id="64" w:name="_Toc15396629"/>
      <w:r>
        <w:rPr>
          <w:rStyle w:val="25"/>
          <w:rFonts w:hint="eastAsia" w:ascii="仿宋" w:hAnsi="仿宋" w:eastAsia="仿宋"/>
          <w:b w:val="0"/>
          <w:bCs w:val="0"/>
        </w:rPr>
        <w:t>十一、</w:t>
      </w:r>
      <w:bookmarkEnd w:id="64"/>
      <w:r>
        <w:rPr>
          <w:rFonts w:hint="eastAsia" w:ascii="仿宋" w:hAnsi="仿宋" w:eastAsia="仿宋"/>
          <w:b w:val="0"/>
        </w:rPr>
        <w:t>国</w:t>
      </w:r>
      <w:r>
        <w:rPr>
          <w:rStyle w:val="25"/>
          <w:rFonts w:hint="eastAsia" w:ascii="仿宋" w:hAnsi="仿宋" w:eastAsia="仿宋"/>
          <w:b w:val="0"/>
          <w:bCs w:val="0"/>
        </w:rPr>
        <w:t>有资本经营预算财政拨款收入支出决算表</w:t>
      </w:r>
    </w:p>
    <w:p>
      <w:pPr>
        <w:pStyle w:val="4"/>
        <w:rPr>
          <w:rFonts w:ascii="仿宋" w:hAnsi="仿宋" w:eastAsia="仿宋"/>
        </w:rPr>
      </w:pPr>
      <w:bookmarkStart w:id="65" w:name="_Toc15396630"/>
      <w:r>
        <w:rPr>
          <w:rStyle w:val="25"/>
          <w:rFonts w:hint="eastAsia" w:ascii="仿宋" w:hAnsi="仿宋" w:eastAsia="仿宋"/>
          <w:b w:val="0"/>
          <w:bCs w:val="0"/>
        </w:rPr>
        <w:t>十二、</w:t>
      </w:r>
      <w:bookmarkEnd w:id="65"/>
      <w:r>
        <w:rPr>
          <w:rStyle w:val="25"/>
          <w:rFonts w:hint="eastAsia" w:ascii="仿宋" w:hAnsi="仿宋" w:eastAsia="仿宋"/>
          <w:b w:val="0"/>
          <w:bCs w:val="0"/>
        </w:rPr>
        <w:t>国有资本经营预算财政拨款支出决算表</w:t>
      </w:r>
    </w:p>
    <w:p>
      <w:pPr>
        <w:pStyle w:val="4"/>
        <w:rPr>
          <w:rFonts w:eastAsia="仿宋"/>
        </w:rPr>
      </w:pPr>
      <w:bookmarkStart w:id="66" w:name="_Toc15396631"/>
      <w:r>
        <w:rPr>
          <w:rStyle w:val="25"/>
          <w:rFonts w:hint="eastAsia" w:ascii="仿宋" w:hAnsi="仿宋" w:eastAsia="仿宋"/>
          <w:b w:val="0"/>
          <w:bCs w:val="0"/>
        </w:rPr>
        <w:t>十三、</w:t>
      </w:r>
      <w:bookmarkEnd w:id="66"/>
      <w:r>
        <w:rPr>
          <w:rStyle w:val="25"/>
          <w:rFonts w:hint="eastAsia" w:ascii="仿宋" w:hAnsi="仿宋" w:eastAsia="仿宋"/>
          <w:b w:val="0"/>
          <w:bCs w:val="0"/>
        </w:rPr>
        <w:t>财政拨款“三公”经费支出决算表</w:t>
      </w:r>
    </w:p>
    <w:sectPr>
      <w:headerReference r:id="rId3" w:type="default"/>
      <w:footerReference r:id="rId5" w:type="default"/>
      <w:headerReference r:id="rId4" w:type="even"/>
      <w:footerReference r:id="rId6"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embedRegular r:id="rId1" w:fontKey="{1F2DFD95-B295-4456-A7EE-A14EA7628CD5}"/>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embedRegular r:id="rId2" w:fontKey="{B45B64FE-3F04-4E36-A495-3E8B37321EFE}"/>
  </w:font>
  <w:font w:name="Cambria">
    <w:panose1 w:val="02040503050406030204"/>
    <w:charset w:val="00"/>
    <w:family w:val="roman"/>
    <w:pitch w:val="default"/>
    <w:sig w:usb0="A00002EF" w:usb1="4000004B" w:usb2="00000000" w:usb3="00000000" w:csb0="2000009F" w:csb1="00000000"/>
    <w:embedRegular r:id="rId3" w:fontKey="{0333CD80-2596-4CBA-BA4F-638ECC8D2302}"/>
  </w:font>
  <w:font w:name="仿宋_GB2312">
    <w:panose1 w:val="02010609030101010101"/>
    <w:charset w:val="86"/>
    <w:family w:val="modern"/>
    <w:pitch w:val="default"/>
    <w:sig w:usb0="00000001" w:usb1="080E0000" w:usb2="00000000" w:usb3="00000000" w:csb0="00040000" w:csb1="00000000"/>
    <w:embedRegular r:id="rId4" w:fontKey="{A67930CE-8FCB-4617-B100-6F0EE7727065}"/>
  </w:font>
  <w:font w:name="仿宋">
    <w:panose1 w:val="02010609060101010101"/>
    <w:charset w:val="86"/>
    <w:family w:val="modern"/>
    <w:pitch w:val="default"/>
    <w:sig w:usb0="00000000" w:usb1="00000000" w:usb2="00000000" w:usb3="00000000" w:csb0="00000000" w:csb1="00000000"/>
    <w:embedRegular r:id="rId5" w:fontKey="{071CC685-65BE-448B-B00A-122430A45587}"/>
  </w:font>
  <w:font w:name="方正小标宋简体">
    <w:panose1 w:val="02000000000000000000"/>
    <w:charset w:val="86"/>
    <w:family w:val="script"/>
    <w:pitch w:val="default"/>
    <w:sig w:usb0="00000000" w:usb1="00000000" w:usb2="00000000" w:usb3="00000000" w:csb0="00000000" w:csb1="00000000"/>
    <w:embedRegular r:id="rId6" w:fontKey="{8A5F1F09-432E-4DD8-9B66-68174130965A}"/>
  </w:font>
  <w:font w:name="微软雅黑">
    <w:panose1 w:val="020B0503020204020204"/>
    <w:charset w:val="86"/>
    <w:family w:val="auto"/>
    <w:pitch w:val="default"/>
    <w:sig w:usb0="80000287" w:usb1="2A0F3C52" w:usb2="00000016" w:usb3="00000000" w:csb0="0004001F" w:csb1="00000000"/>
    <w:embedRegular r:id="rId7" w:fontKey="{7F99EE39-1A44-432E-B4DE-A75DE1B3549C}"/>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15</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hMmM3NzBmMmEwYWNkNWE5YmY0NjNiNWY0OTNkZT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3D30"/>
    <w:rsid w:val="00114E9B"/>
    <w:rsid w:val="00123991"/>
    <w:rsid w:val="00142216"/>
    <w:rsid w:val="00144D6A"/>
    <w:rsid w:val="0014729F"/>
    <w:rsid w:val="00157BAB"/>
    <w:rsid w:val="001654D1"/>
    <w:rsid w:val="00166E95"/>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950"/>
    <w:rsid w:val="00260C38"/>
    <w:rsid w:val="00260C9E"/>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4B39"/>
    <w:rsid w:val="00471401"/>
    <w:rsid w:val="00473F31"/>
    <w:rsid w:val="0048263A"/>
    <w:rsid w:val="00485945"/>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049A"/>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60DF"/>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641D5"/>
    <w:rsid w:val="0097099F"/>
    <w:rsid w:val="00971997"/>
    <w:rsid w:val="00971FFC"/>
    <w:rsid w:val="00980214"/>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5860"/>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524A"/>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8C519F"/>
    <w:rsid w:val="0234258D"/>
    <w:rsid w:val="05157BA2"/>
    <w:rsid w:val="053A62B5"/>
    <w:rsid w:val="088E7A4F"/>
    <w:rsid w:val="08A07782"/>
    <w:rsid w:val="0A2032A3"/>
    <w:rsid w:val="0A7956C2"/>
    <w:rsid w:val="0B8A37D8"/>
    <w:rsid w:val="0D766D04"/>
    <w:rsid w:val="0D9378B6"/>
    <w:rsid w:val="10C055FF"/>
    <w:rsid w:val="118107EC"/>
    <w:rsid w:val="11DD6519"/>
    <w:rsid w:val="1557566D"/>
    <w:rsid w:val="16BB723D"/>
    <w:rsid w:val="18015F3F"/>
    <w:rsid w:val="18C14F8A"/>
    <w:rsid w:val="1A7867B1"/>
    <w:rsid w:val="1BE8440E"/>
    <w:rsid w:val="1D155CEE"/>
    <w:rsid w:val="1D4E07BE"/>
    <w:rsid w:val="1E94735D"/>
    <w:rsid w:val="1F9D6372"/>
    <w:rsid w:val="20F57F95"/>
    <w:rsid w:val="240371BF"/>
    <w:rsid w:val="25711CC6"/>
    <w:rsid w:val="25C741E6"/>
    <w:rsid w:val="27842671"/>
    <w:rsid w:val="29FD04D3"/>
    <w:rsid w:val="2ABE7A3E"/>
    <w:rsid w:val="2B980A61"/>
    <w:rsid w:val="2C934D84"/>
    <w:rsid w:val="2CA234A8"/>
    <w:rsid w:val="2CFE66A2"/>
    <w:rsid w:val="2EFA178C"/>
    <w:rsid w:val="2FCA2A4C"/>
    <w:rsid w:val="30511F59"/>
    <w:rsid w:val="30B46D73"/>
    <w:rsid w:val="318D5C69"/>
    <w:rsid w:val="319F7F4E"/>
    <w:rsid w:val="34932829"/>
    <w:rsid w:val="37D22C05"/>
    <w:rsid w:val="383D272C"/>
    <w:rsid w:val="39AE70AB"/>
    <w:rsid w:val="3C0C0783"/>
    <w:rsid w:val="3C5C170A"/>
    <w:rsid w:val="3F9F3A96"/>
    <w:rsid w:val="48BF60AB"/>
    <w:rsid w:val="493C27E9"/>
    <w:rsid w:val="496F39ED"/>
    <w:rsid w:val="49FF41D3"/>
    <w:rsid w:val="4BE068DB"/>
    <w:rsid w:val="4BF6002B"/>
    <w:rsid w:val="4ECE2238"/>
    <w:rsid w:val="51DB4B86"/>
    <w:rsid w:val="52AB4326"/>
    <w:rsid w:val="55333C3E"/>
    <w:rsid w:val="59FE7432"/>
    <w:rsid w:val="5E5E4943"/>
    <w:rsid w:val="621E68C3"/>
    <w:rsid w:val="64CA39A1"/>
    <w:rsid w:val="69630ADE"/>
    <w:rsid w:val="6AB0256A"/>
    <w:rsid w:val="6C4A05C8"/>
    <w:rsid w:val="6D3B1A89"/>
    <w:rsid w:val="6ED749C9"/>
    <w:rsid w:val="711C66C3"/>
    <w:rsid w:val="71BF4EC2"/>
    <w:rsid w:val="72734D90"/>
    <w:rsid w:val="7412278C"/>
    <w:rsid w:val="77644920"/>
    <w:rsid w:val="79E7B28D"/>
    <w:rsid w:val="7A0D129F"/>
    <w:rsid w:val="7F9F20EE"/>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字符"/>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字符"/>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字符"/>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字符"/>
    <w:basedOn w:val="13"/>
    <w:link w:val="3"/>
    <w:qFormat/>
    <w:uiPriority w:val="9"/>
    <w:rPr>
      <w:rFonts w:ascii="Times New Roman" w:hAnsi="Times New Roman"/>
      <w:b/>
      <w:bCs/>
      <w:kern w:val="44"/>
      <w:sz w:val="44"/>
      <w:szCs w:val="44"/>
    </w:rPr>
  </w:style>
  <w:style w:type="character" w:customStyle="1" w:styleId="25">
    <w:name w:val="标题 2 字符"/>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字符"/>
    <w:basedOn w:val="13"/>
    <w:link w:val="7"/>
    <w:semiHidden/>
    <w:qFormat/>
    <w:uiPriority w:val="99"/>
    <w:rPr>
      <w:rFonts w:ascii="Times New Roman" w:hAnsi="Times New Roman"/>
      <w:kern w:val="2"/>
      <w:sz w:val="18"/>
      <w:szCs w:val="18"/>
    </w:rPr>
  </w:style>
  <w:style w:type="character" w:customStyle="1" w:styleId="28">
    <w:name w:val="标题 3 字符"/>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6513</Words>
  <Characters>9373</Characters>
  <Lines>41</Lines>
  <Paragraphs>11</Paragraphs>
  <TotalTime>23</TotalTime>
  <ScaleCrop>false</ScaleCrop>
  <LinksUpToDate>false</LinksUpToDate>
  <CharactersWithSpaces>9392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紫玉</cp:lastModifiedBy>
  <cp:lastPrinted>2023-07-31T02:35:00Z</cp:lastPrinted>
  <dcterms:modified xsi:type="dcterms:W3CDTF">2023-09-13T02:54:47Z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3505024EB0434884A2015FEDA4E358D0_12</vt:lpwstr>
  </property>
</Properties>
</file>