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9"/>
        <w:rPr>
          <w:rFonts w:ascii="方正小标宋简体" w:hAnsi="宋体" w:eastAsia="方正小标宋简体"/>
          <w:sz w:val="72"/>
          <w:szCs w:val="72"/>
        </w:rPr>
      </w:pPr>
      <w:bookmarkStart w:id="0" w:name="_Toc15377193"/>
      <w:bookmarkStart w:id="1" w:name="_Toc15396597"/>
      <w:bookmarkStart w:id="2" w:name="_Toc15377425"/>
      <w:bookmarkStart w:id="3" w:name="_Toc15378441"/>
      <w:bookmarkStart w:id="4" w:name="_Toc15396475"/>
      <w:bookmarkStart w:id="5" w:name="_Toc15306267"/>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1339"/>
      <w:bookmarkStart w:id="7" w:name="_Toc20562"/>
      <w:r>
        <w:rPr>
          <w:rFonts w:hint="eastAsia" w:ascii="方正小标宋简体" w:hAnsi="方正小标宋简体" w:eastAsia="方正小标宋简体" w:cs="方正小标宋简体"/>
          <w:sz w:val="72"/>
          <w:szCs w:val="72"/>
        </w:rPr>
        <w:t>2022年度</w:t>
      </w:r>
      <w:bookmarkEnd w:id="0"/>
      <w:bookmarkEnd w:id="1"/>
      <w:bookmarkEnd w:id="2"/>
      <w:bookmarkEnd w:id="3"/>
      <w:bookmarkEnd w:id="4"/>
      <w:bookmarkEnd w:id="6"/>
      <w:bookmarkEnd w:id="7"/>
    </w:p>
    <w:bookmarkEnd w:id="5"/>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8" w:name="_Toc20269"/>
      <w:bookmarkStart w:id="9" w:name="_Toc969"/>
      <w:bookmarkStart w:id="10" w:name="_Toc15306268"/>
      <w:bookmarkStart w:id="11" w:name="_Toc15378442"/>
      <w:bookmarkStart w:id="12" w:name="_Toc15396476"/>
      <w:bookmarkStart w:id="13" w:name="_Toc15377194"/>
      <w:bookmarkStart w:id="14" w:name="_Toc15396598"/>
      <w:bookmarkStart w:id="15" w:name="_Toc15377426"/>
      <w:r>
        <w:rPr>
          <w:rFonts w:hint="eastAsia" w:ascii="方正小标宋简体" w:hAnsi="方正小标宋简体" w:eastAsia="方正小标宋简体" w:cs="方正小标宋简体"/>
          <w:sz w:val="72"/>
          <w:szCs w:val="72"/>
          <w:lang w:eastAsia="zh-CN"/>
        </w:rPr>
        <w:t>攀枝花市强制隔离戒毒所</w:t>
      </w:r>
      <w:r>
        <w:rPr>
          <w:rFonts w:hint="eastAsia" w:ascii="方正小标宋简体" w:hAnsi="方正小标宋简体" w:eastAsia="方正小标宋简体" w:cs="方正小标宋简体"/>
          <w:sz w:val="72"/>
          <w:szCs w:val="72"/>
        </w:rPr>
        <w:t>部门决算</w:t>
      </w:r>
      <w:bookmarkEnd w:id="8"/>
      <w:bookmarkEnd w:id="9"/>
      <w:bookmarkEnd w:id="10"/>
      <w:bookmarkEnd w:id="11"/>
      <w:bookmarkEnd w:id="12"/>
      <w:bookmarkEnd w:id="13"/>
      <w:bookmarkEnd w:id="14"/>
      <w:bookmarkEnd w:id="15"/>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1"/>
        <w:rPr>
          <w:highlight w:val="none"/>
        </w:rPr>
      </w:pPr>
      <w:r>
        <w:rPr>
          <w:rFonts w:hint="eastAsia"/>
          <w:highlight w:val="none"/>
        </w:rPr>
        <w:t>公开时间：2023年9月</w:t>
      </w:r>
      <w:r>
        <w:rPr>
          <w:rFonts w:hint="eastAsia"/>
          <w:highlight w:val="none"/>
          <w:lang w:val="en-US" w:eastAsia="zh-CN"/>
        </w:rPr>
        <w:t>14</w:t>
      </w:r>
      <w:r>
        <w:rPr>
          <w:rFonts w:hint="eastAsia"/>
          <w:highlight w:val="none"/>
        </w:rPr>
        <w:t>日</w:t>
      </w:r>
      <w:bookmarkStart w:id="102" w:name="_GoBack"/>
      <w:bookmarkEnd w:id="102"/>
    </w:p>
    <w:sdt>
      <w:sdtPr>
        <w:rPr>
          <w:rFonts w:ascii="宋体" w:hAnsi="宋体" w:eastAsia="宋体" w:cs="Times New Roman"/>
          <w:kern w:val="2"/>
          <w:sz w:val="21"/>
          <w:szCs w:val="24"/>
          <w:lang w:val="en-US" w:eastAsia="zh-CN" w:bidi="ar-SA"/>
        </w:rPr>
        <w:id w:val="147479214"/>
        <w15:color w:val="DBDBDB"/>
        <w:docPartObj>
          <w:docPartGallery w:val="Table of Contents"/>
          <w:docPartUnique/>
        </w:docPartObj>
      </w:sdtPr>
      <w:sdtEndPr>
        <w:rPr>
          <w:rFonts w:ascii="宋体" w:hAnsi="宋体" w:eastAsia="宋体" w:cs="Times New Roman"/>
          <w:b/>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TOC \o "1-2" \h \u </w:instrText>
          </w:r>
          <w:r>
            <w:rPr>
              <w:rFonts w:hint="eastAsia" w:asciiTheme="minorEastAsia" w:hAnsiTheme="minorEastAsia" w:eastAsiaTheme="minorEastAsia" w:cstheme="minorEastAsia"/>
              <w:sz w:val="24"/>
              <w:szCs w:val="24"/>
            </w:rPr>
            <w:fldChar w:fldCharType="separate"/>
          </w:r>
        </w:p>
        <w:p>
          <w:pPr>
            <w:pStyle w:val="50"/>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fldChar w:fldCharType="begin"/>
          </w:r>
          <w:r>
            <w:rPr>
              <w:rFonts w:hint="eastAsia" w:asciiTheme="minorEastAsia" w:hAnsiTheme="minorEastAsia" w:eastAsiaTheme="minorEastAsia" w:cstheme="minorEastAsia"/>
              <w:b/>
              <w:sz w:val="24"/>
              <w:szCs w:val="24"/>
            </w:rPr>
            <w:instrText xml:space="preserve"> HYPERLINK \l _Toc27908 </w:instrText>
          </w:r>
          <w:r>
            <w:rPr>
              <w:rFonts w:hint="eastAsia" w:asciiTheme="minorEastAsia" w:hAnsiTheme="minorEastAsia" w:eastAsiaTheme="minorEastAsia" w:cstheme="minorEastAsia"/>
              <w:b/>
              <w:sz w:val="24"/>
              <w:szCs w:val="24"/>
            </w:rPr>
            <w:fldChar w:fldCharType="separate"/>
          </w:r>
          <w:r>
            <w:rPr>
              <w:rFonts w:hint="eastAsia" w:asciiTheme="minorEastAsia" w:hAnsiTheme="minorEastAsia" w:eastAsiaTheme="minorEastAsia" w:cstheme="minorEastAsia"/>
              <w:b/>
              <w:sz w:val="24"/>
              <w:szCs w:val="24"/>
            </w:rPr>
            <w:t xml:space="preserve">第一部分 </w:t>
          </w:r>
          <w:r>
            <w:rPr>
              <w:rFonts w:hint="eastAsia" w:asciiTheme="minorEastAsia" w:hAnsiTheme="minorEastAsia" w:eastAsiaTheme="minorEastAsia" w:cstheme="minorEastAsia"/>
              <w:b/>
              <w:bCs w:val="0"/>
              <w:sz w:val="24"/>
              <w:szCs w:val="24"/>
            </w:rPr>
            <w:t>部门概况</w:t>
          </w:r>
          <w:r>
            <w:rPr>
              <w:rFonts w:hint="eastAsia" w:asciiTheme="minorEastAsia" w:hAnsiTheme="minorEastAsia" w:eastAsiaTheme="minorEastAsia" w:cstheme="minorEastAsia"/>
              <w:b/>
              <w:sz w:val="24"/>
              <w:szCs w:val="24"/>
            </w:rPr>
            <w:tab/>
          </w:r>
          <w:r>
            <w:rPr>
              <w:rFonts w:hint="eastAsia" w:asciiTheme="minorEastAsia" w:hAnsiTheme="minorEastAsia" w:eastAsiaTheme="minorEastAsia" w:cstheme="minorEastAsia"/>
              <w:b/>
              <w:sz w:val="24"/>
              <w:szCs w:val="24"/>
            </w:rPr>
            <w:fldChar w:fldCharType="begin"/>
          </w:r>
          <w:r>
            <w:rPr>
              <w:rFonts w:hint="eastAsia" w:asciiTheme="minorEastAsia" w:hAnsiTheme="minorEastAsia" w:eastAsiaTheme="minorEastAsia" w:cstheme="minorEastAsia"/>
              <w:b/>
              <w:sz w:val="24"/>
              <w:szCs w:val="24"/>
            </w:rPr>
            <w:instrText xml:space="preserve"> PAGEREF _Toc27908 </w:instrText>
          </w:r>
          <w:r>
            <w:rPr>
              <w:rFonts w:hint="eastAsia" w:asciiTheme="minorEastAsia" w:hAnsiTheme="minorEastAsia" w:eastAsiaTheme="minorEastAsia" w:cstheme="minorEastAsia"/>
              <w:b/>
              <w:sz w:val="24"/>
              <w:szCs w:val="24"/>
            </w:rPr>
            <w:fldChar w:fldCharType="separate"/>
          </w:r>
          <w:r>
            <w:rPr>
              <w:rFonts w:hint="eastAsia" w:asciiTheme="minorEastAsia" w:hAnsiTheme="minorEastAsia" w:eastAsiaTheme="minorEastAsia" w:cstheme="minorEastAsia"/>
              <w:b/>
              <w:sz w:val="24"/>
              <w:szCs w:val="24"/>
            </w:rPr>
            <w:t>4</w:t>
          </w:r>
          <w:r>
            <w:rPr>
              <w:rFonts w:hint="eastAsia" w:asciiTheme="minorEastAsia" w:hAnsiTheme="minorEastAsia" w:eastAsiaTheme="minorEastAsia" w:cstheme="minorEastAsia"/>
              <w:b/>
              <w:sz w:val="24"/>
              <w:szCs w:val="24"/>
            </w:rPr>
            <w:fldChar w:fldCharType="end"/>
          </w:r>
          <w:r>
            <w:rPr>
              <w:rFonts w:hint="eastAsia" w:asciiTheme="minorEastAsia" w:hAnsiTheme="minorEastAsia" w:eastAsiaTheme="minorEastAsia" w:cstheme="minorEastAsia"/>
              <w:b/>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_Toc19324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一、 部门职责</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_Toc19324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4</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_Toc26065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二、机</w:t>
          </w:r>
          <w:r>
            <w:rPr>
              <w:rFonts w:hint="eastAsia" w:asciiTheme="minorEastAsia" w:hAnsiTheme="minorEastAsia" w:eastAsiaTheme="minorEastAsia" w:cstheme="minorEastAsia"/>
              <w:bCs w:val="0"/>
              <w:sz w:val="24"/>
              <w:szCs w:val="24"/>
            </w:rPr>
            <w:t>构设置</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_Toc26065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4</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0"/>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fldChar w:fldCharType="begin"/>
          </w:r>
          <w:r>
            <w:rPr>
              <w:rFonts w:hint="eastAsia" w:asciiTheme="minorEastAsia" w:hAnsiTheme="minorEastAsia" w:eastAsiaTheme="minorEastAsia" w:cstheme="minorEastAsia"/>
              <w:b/>
              <w:sz w:val="24"/>
              <w:szCs w:val="24"/>
            </w:rPr>
            <w:instrText xml:space="preserve"> HYPERLINK \l _Toc7306 </w:instrText>
          </w:r>
          <w:r>
            <w:rPr>
              <w:rFonts w:hint="eastAsia" w:asciiTheme="minorEastAsia" w:hAnsiTheme="minorEastAsia" w:eastAsiaTheme="minorEastAsia" w:cstheme="minorEastAsia"/>
              <w:b/>
              <w:sz w:val="24"/>
              <w:szCs w:val="24"/>
            </w:rPr>
            <w:fldChar w:fldCharType="separate"/>
          </w:r>
          <w:r>
            <w:rPr>
              <w:rFonts w:hint="eastAsia" w:asciiTheme="minorEastAsia" w:hAnsiTheme="minorEastAsia" w:eastAsiaTheme="minorEastAsia" w:cstheme="minorEastAsia"/>
              <w:b/>
              <w:sz w:val="24"/>
              <w:szCs w:val="24"/>
            </w:rPr>
            <w:t>第二部分 2022年度</w:t>
          </w:r>
          <w:r>
            <w:rPr>
              <w:rFonts w:hint="eastAsia" w:asciiTheme="minorEastAsia" w:hAnsiTheme="minorEastAsia" w:eastAsiaTheme="minorEastAsia" w:cstheme="minorEastAsia"/>
              <w:b/>
              <w:bCs/>
              <w:sz w:val="24"/>
              <w:szCs w:val="24"/>
            </w:rPr>
            <w:t>部门决算情况说明</w:t>
          </w:r>
          <w:r>
            <w:rPr>
              <w:rFonts w:hint="eastAsia" w:asciiTheme="minorEastAsia" w:hAnsiTheme="minorEastAsia" w:eastAsiaTheme="minorEastAsia" w:cstheme="minorEastAsia"/>
              <w:b/>
              <w:sz w:val="24"/>
              <w:szCs w:val="24"/>
            </w:rPr>
            <w:tab/>
          </w:r>
          <w:r>
            <w:rPr>
              <w:rFonts w:hint="eastAsia" w:asciiTheme="minorEastAsia" w:hAnsiTheme="minorEastAsia" w:eastAsiaTheme="minorEastAsia" w:cstheme="minorEastAsia"/>
              <w:b/>
              <w:sz w:val="24"/>
              <w:szCs w:val="24"/>
            </w:rPr>
            <w:fldChar w:fldCharType="begin"/>
          </w:r>
          <w:r>
            <w:rPr>
              <w:rFonts w:hint="eastAsia" w:asciiTheme="minorEastAsia" w:hAnsiTheme="minorEastAsia" w:eastAsiaTheme="minorEastAsia" w:cstheme="minorEastAsia"/>
              <w:b/>
              <w:sz w:val="24"/>
              <w:szCs w:val="24"/>
            </w:rPr>
            <w:instrText xml:space="preserve"> PAGEREF _Toc7306 </w:instrText>
          </w:r>
          <w:r>
            <w:rPr>
              <w:rFonts w:hint="eastAsia" w:asciiTheme="minorEastAsia" w:hAnsiTheme="minorEastAsia" w:eastAsiaTheme="minorEastAsia" w:cstheme="minorEastAsia"/>
              <w:b/>
              <w:sz w:val="24"/>
              <w:szCs w:val="24"/>
            </w:rPr>
            <w:fldChar w:fldCharType="separate"/>
          </w:r>
          <w:r>
            <w:rPr>
              <w:rFonts w:hint="eastAsia" w:asciiTheme="minorEastAsia" w:hAnsiTheme="minorEastAsia" w:eastAsiaTheme="minorEastAsia" w:cstheme="minorEastAsia"/>
              <w:b/>
              <w:sz w:val="24"/>
              <w:szCs w:val="24"/>
            </w:rPr>
            <w:t>5</w:t>
          </w:r>
          <w:r>
            <w:rPr>
              <w:rFonts w:hint="eastAsia" w:asciiTheme="minorEastAsia" w:hAnsiTheme="minorEastAsia" w:eastAsiaTheme="minorEastAsia" w:cstheme="minorEastAsia"/>
              <w:b/>
              <w:sz w:val="24"/>
              <w:szCs w:val="24"/>
            </w:rPr>
            <w:fldChar w:fldCharType="end"/>
          </w:r>
          <w:r>
            <w:rPr>
              <w:rFonts w:hint="eastAsia" w:asciiTheme="minorEastAsia" w:hAnsiTheme="minorEastAsia" w:eastAsiaTheme="minorEastAsia" w:cstheme="minorEastAsia"/>
              <w:b/>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_Toc12898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一、 收入支出决算总体情况说明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_Toc12898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5</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_Toc8508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二、 收入决算情况说明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_Toc8508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5</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_Toc10891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三、 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_Toc10891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6</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_Toc1130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四、财政拨款收入支出决算总体情况说明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_Toc1130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7</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_Toc19664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五、一般公共预算财政拨款支出决算情况说明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_Toc19664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7</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_Toc1708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六、一般公共预算财政拨款基本支出决算情况说明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_Toc1708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9</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_Toc6433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七、财政拨款“三公”经费支出决算情况说明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_Toc6433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10</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_Toc30227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八、政府性基金预算支出决算情况说明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_Toc30227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12</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_Toc25852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九、 国有资本经营预算支出决算情况说明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_Toc25852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12</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_Toc32505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十、 其他重要事项的情况说明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_Toc32505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12</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0"/>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fldChar w:fldCharType="begin"/>
          </w:r>
          <w:r>
            <w:rPr>
              <w:rFonts w:hint="eastAsia" w:asciiTheme="minorEastAsia" w:hAnsiTheme="minorEastAsia" w:eastAsiaTheme="minorEastAsia" w:cstheme="minorEastAsia"/>
              <w:b/>
              <w:sz w:val="24"/>
              <w:szCs w:val="24"/>
            </w:rPr>
            <w:instrText xml:space="preserve"> HYPERLINK \l _Toc21767 </w:instrText>
          </w:r>
          <w:r>
            <w:rPr>
              <w:rFonts w:hint="eastAsia" w:asciiTheme="minorEastAsia" w:hAnsiTheme="minorEastAsia" w:eastAsiaTheme="minorEastAsia" w:cstheme="minorEastAsia"/>
              <w:b/>
              <w:sz w:val="24"/>
              <w:szCs w:val="24"/>
            </w:rPr>
            <w:fldChar w:fldCharType="separate"/>
          </w:r>
          <w:r>
            <w:rPr>
              <w:rFonts w:hint="eastAsia" w:asciiTheme="minorEastAsia" w:hAnsiTheme="minorEastAsia" w:eastAsiaTheme="minorEastAsia" w:cstheme="minorEastAsia"/>
              <w:b/>
              <w:sz w:val="24"/>
              <w:szCs w:val="24"/>
            </w:rPr>
            <w:t>第三部分 名词解释</w:t>
          </w:r>
          <w:r>
            <w:rPr>
              <w:rFonts w:hint="eastAsia" w:asciiTheme="minorEastAsia" w:hAnsiTheme="minorEastAsia" w:eastAsiaTheme="minorEastAsia" w:cstheme="minorEastAsia"/>
              <w:b/>
              <w:sz w:val="24"/>
              <w:szCs w:val="24"/>
            </w:rPr>
            <w:tab/>
          </w:r>
          <w:r>
            <w:rPr>
              <w:rFonts w:hint="eastAsia" w:asciiTheme="minorEastAsia" w:hAnsiTheme="minorEastAsia" w:eastAsiaTheme="minorEastAsia" w:cstheme="minorEastAsia"/>
              <w:b/>
              <w:sz w:val="24"/>
              <w:szCs w:val="24"/>
            </w:rPr>
            <w:fldChar w:fldCharType="begin"/>
          </w:r>
          <w:r>
            <w:rPr>
              <w:rFonts w:hint="eastAsia" w:asciiTheme="minorEastAsia" w:hAnsiTheme="minorEastAsia" w:eastAsiaTheme="minorEastAsia" w:cstheme="minorEastAsia"/>
              <w:b/>
              <w:sz w:val="24"/>
              <w:szCs w:val="24"/>
            </w:rPr>
            <w:instrText xml:space="preserve"> PAGEREF _Toc21767 </w:instrText>
          </w:r>
          <w:r>
            <w:rPr>
              <w:rFonts w:hint="eastAsia" w:asciiTheme="minorEastAsia" w:hAnsiTheme="minorEastAsia" w:eastAsiaTheme="minorEastAsia" w:cstheme="minorEastAsia"/>
              <w:b/>
              <w:sz w:val="24"/>
              <w:szCs w:val="24"/>
            </w:rPr>
            <w:fldChar w:fldCharType="separate"/>
          </w:r>
          <w:r>
            <w:rPr>
              <w:rFonts w:hint="eastAsia" w:asciiTheme="minorEastAsia" w:hAnsiTheme="minorEastAsia" w:eastAsiaTheme="minorEastAsia" w:cstheme="minorEastAsia"/>
              <w:b/>
              <w:sz w:val="24"/>
              <w:szCs w:val="24"/>
            </w:rPr>
            <w:t>15</w:t>
          </w:r>
          <w:r>
            <w:rPr>
              <w:rFonts w:hint="eastAsia" w:asciiTheme="minorEastAsia" w:hAnsiTheme="minorEastAsia" w:eastAsiaTheme="minorEastAsia" w:cstheme="minorEastAsia"/>
              <w:b/>
              <w:sz w:val="24"/>
              <w:szCs w:val="24"/>
            </w:rPr>
            <w:fldChar w:fldCharType="end"/>
          </w:r>
          <w:r>
            <w:rPr>
              <w:rFonts w:hint="eastAsia" w:asciiTheme="minorEastAsia" w:hAnsiTheme="minorEastAsia" w:eastAsiaTheme="minorEastAsia" w:cstheme="minorEastAsia"/>
              <w:b/>
              <w:sz w:val="24"/>
              <w:szCs w:val="24"/>
            </w:rPr>
            <w:fldChar w:fldCharType="end"/>
          </w:r>
        </w:p>
        <w:p>
          <w:pPr>
            <w:pStyle w:val="50"/>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fldChar w:fldCharType="begin"/>
          </w:r>
          <w:r>
            <w:rPr>
              <w:rFonts w:hint="eastAsia" w:asciiTheme="minorEastAsia" w:hAnsiTheme="minorEastAsia" w:eastAsiaTheme="minorEastAsia" w:cstheme="minorEastAsia"/>
              <w:b/>
              <w:sz w:val="24"/>
              <w:szCs w:val="24"/>
            </w:rPr>
            <w:instrText xml:space="preserve"> HYPERLINK \l _Toc7736 </w:instrText>
          </w:r>
          <w:r>
            <w:rPr>
              <w:rFonts w:hint="eastAsia" w:asciiTheme="minorEastAsia" w:hAnsiTheme="minorEastAsia" w:eastAsiaTheme="minorEastAsia" w:cstheme="minorEastAsia"/>
              <w:b/>
              <w:sz w:val="24"/>
              <w:szCs w:val="24"/>
            </w:rPr>
            <w:fldChar w:fldCharType="separate"/>
          </w:r>
          <w:r>
            <w:rPr>
              <w:rFonts w:hint="eastAsia" w:asciiTheme="minorEastAsia" w:hAnsiTheme="minorEastAsia" w:eastAsiaTheme="minorEastAsia" w:cstheme="minorEastAsia"/>
              <w:b/>
              <w:sz w:val="24"/>
              <w:szCs w:val="24"/>
            </w:rPr>
            <w:t>第四部分 附件</w:t>
          </w:r>
          <w:r>
            <w:rPr>
              <w:rFonts w:hint="eastAsia" w:asciiTheme="minorEastAsia" w:hAnsiTheme="minorEastAsia" w:eastAsiaTheme="minorEastAsia" w:cstheme="minorEastAsia"/>
              <w:b/>
              <w:sz w:val="24"/>
              <w:szCs w:val="24"/>
            </w:rPr>
            <w:tab/>
          </w:r>
          <w:r>
            <w:rPr>
              <w:rFonts w:hint="eastAsia" w:asciiTheme="minorEastAsia" w:hAnsiTheme="minorEastAsia" w:eastAsiaTheme="minorEastAsia" w:cstheme="minorEastAsia"/>
              <w:b/>
              <w:sz w:val="24"/>
              <w:szCs w:val="24"/>
            </w:rPr>
            <w:fldChar w:fldCharType="begin"/>
          </w:r>
          <w:r>
            <w:rPr>
              <w:rFonts w:hint="eastAsia" w:asciiTheme="minorEastAsia" w:hAnsiTheme="minorEastAsia" w:eastAsiaTheme="minorEastAsia" w:cstheme="minorEastAsia"/>
              <w:b/>
              <w:sz w:val="24"/>
              <w:szCs w:val="24"/>
            </w:rPr>
            <w:instrText xml:space="preserve"> PAGEREF _Toc7736 </w:instrText>
          </w:r>
          <w:r>
            <w:rPr>
              <w:rFonts w:hint="eastAsia" w:asciiTheme="minorEastAsia" w:hAnsiTheme="minorEastAsia" w:eastAsiaTheme="minorEastAsia" w:cstheme="minorEastAsia"/>
              <w:b/>
              <w:sz w:val="24"/>
              <w:szCs w:val="24"/>
            </w:rPr>
            <w:fldChar w:fldCharType="separate"/>
          </w:r>
          <w:r>
            <w:rPr>
              <w:rFonts w:hint="eastAsia" w:asciiTheme="minorEastAsia" w:hAnsiTheme="minorEastAsia" w:eastAsiaTheme="minorEastAsia" w:cstheme="minorEastAsia"/>
              <w:b/>
              <w:sz w:val="24"/>
              <w:szCs w:val="24"/>
            </w:rPr>
            <w:t>18</w:t>
          </w:r>
          <w:r>
            <w:rPr>
              <w:rFonts w:hint="eastAsia" w:asciiTheme="minorEastAsia" w:hAnsiTheme="minorEastAsia" w:eastAsiaTheme="minorEastAsia" w:cstheme="minorEastAsia"/>
              <w:b/>
              <w:sz w:val="24"/>
              <w:szCs w:val="24"/>
            </w:rPr>
            <w:fldChar w:fldCharType="end"/>
          </w:r>
          <w:r>
            <w:rPr>
              <w:rFonts w:hint="eastAsia" w:asciiTheme="minorEastAsia" w:hAnsiTheme="minorEastAsia" w:eastAsiaTheme="minorEastAsia" w:cstheme="minorEastAsia"/>
              <w:b/>
              <w:sz w:val="24"/>
              <w:szCs w:val="24"/>
            </w:rPr>
            <w:fldChar w:fldCharType="end"/>
          </w:r>
        </w:p>
        <w:p>
          <w:pPr>
            <w:pStyle w:val="50"/>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fldChar w:fldCharType="begin"/>
          </w:r>
          <w:r>
            <w:rPr>
              <w:rFonts w:hint="eastAsia" w:asciiTheme="minorEastAsia" w:hAnsiTheme="minorEastAsia" w:eastAsiaTheme="minorEastAsia" w:cstheme="minorEastAsia"/>
              <w:b/>
              <w:sz w:val="24"/>
              <w:szCs w:val="24"/>
            </w:rPr>
            <w:instrText xml:space="preserve"> HYPERLINK \l _Toc12847 </w:instrText>
          </w:r>
          <w:r>
            <w:rPr>
              <w:rFonts w:hint="eastAsia" w:asciiTheme="minorEastAsia" w:hAnsiTheme="minorEastAsia" w:eastAsiaTheme="minorEastAsia" w:cstheme="minorEastAsia"/>
              <w:b/>
              <w:sz w:val="24"/>
              <w:szCs w:val="24"/>
            </w:rPr>
            <w:fldChar w:fldCharType="separate"/>
          </w:r>
          <w:r>
            <w:rPr>
              <w:rFonts w:hint="eastAsia" w:asciiTheme="minorEastAsia" w:hAnsiTheme="minorEastAsia" w:eastAsiaTheme="minorEastAsia" w:cstheme="minorEastAsia"/>
              <w:b/>
              <w:sz w:val="24"/>
              <w:szCs w:val="24"/>
            </w:rPr>
            <w:t>第五部分 附表</w:t>
          </w:r>
          <w:r>
            <w:rPr>
              <w:rFonts w:hint="eastAsia" w:asciiTheme="minorEastAsia" w:hAnsiTheme="minorEastAsia" w:eastAsiaTheme="minorEastAsia" w:cstheme="minorEastAsia"/>
              <w:b/>
              <w:sz w:val="24"/>
              <w:szCs w:val="24"/>
            </w:rPr>
            <w:tab/>
          </w:r>
          <w:r>
            <w:rPr>
              <w:rFonts w:hint="eastAsia" w:asciiTheme="minorEastAsia" w:hAnsiTheme="minorEastAsia" w:eastAsiaTheme="minorEastAsia" w:cstheme="minorEastAsia"/>
              <w:b/>
              <w:sz w:val="24"/>
              <w:szCs w:val="24"/>
            </w:rPr>
            <w:fldChar w:fldCharType="begin"/>
          </w:r>
          <w:r>
            <w:rPr>
              <w:rFonts w:hint="eastAsia" w:asciiTheme="minorEastAsia" w:hAnsiTheme="minorEastAsia" w:eastAsiaTheme="minorEastAsia" w:cstheme="minorEastAsia"/>
              <w:b/>
              <w:sz w:val="24"/>
              <w:szCs w:val="24"/>
            </w:rPr>
            <w:instrText xml:space="preserve"> PAGEREF _Toc12847 </w:instrText>
          </w:r>
          <w:r>
            <w:rPr>
              <w:rFonts w:hint="eastAsia" w:asciiTheme="minorEastAsia" w:hAnsiTheme="minorEastAsia" w:eastAsiaTheme="minorEastAsia" w:cstheme="minorEastAsia"/>
              <w:b/>
              <w:sz w:val="24"/>
              <w:szCs w:val="24"/>
            </w:rPr>
            <w:fldChar w:fldCharType="separate"/>
          </w:r>
          <w:r>
            <w:rPr>
              <w:rFonts w:hint="eastAsia" w:asciiTheme="minorEastAsia" w:hAnsiTheme="minorEastAsia" w:eastAsiaTheme="minorEastAsia" w:cstheme="minorEastAsia"/>
              <w:b/>
              <w:sz w:val="24"/>
              <w:szCs w:val="24"/>
            </w:rPr>
            <w:t>31</w:t>
          </w:r>
          <w:r>
            <w:rPr>
              <w:rFonts w:hint="eastAsia" w:asciiTheme="minorEastAsia" w:hAnsiTheme="minorEastAsia" w:eastAsiaTheme="minorEastAsia" w:cstheme="minorEastAsia"/>
              <w:b/>
              <w:sz w:val="24"/>
              <w:szCs w:val="24"/>
            </w:rPr>
            <w:fldChar w:fldCharType="end"/>
          </w:r>
          <w:r>
            <w:rPr>
              <w:rFonts w:hint="eastAsia" w:asciiTheme="minorEastAsia" w:hAnsiTheme="minorEastAsia" w:eastAsiaTheme="minorEastAsia" w:cstheme="minorEastAsia"/>
              <w:b/>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_Toc3442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一、收</w:t>
          </w:r>
          <w:r>
            <w:rPr>
              <w:rFonts w:hint="eastAsia" w:asciiTheme="minorEastAsia" w:hAnsiTheme="minorEastAsia" w:eastAsiaTheme="minorEastAsia" w:cstheme="minorEastAsia"/>
              <w:bCs w:val="0"/>
              <w:sz w:val="24"/>
              <w:szCs w:val="24"/>
            </w:rPr>
            <w:t>入支出决算总表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_Toc3442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31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_Toc32025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二、收</w:t>
          </w:r>
          <w:r>
            <w:rPr>
              <w:rFonts w:hint="eastAsia" w:asciiTheme="minorEastAsia" w:hAnsiTheme="minorEastAsia" w:eastAsiaTheme="minorEastAsia" w:cstheme="minorEastAsia"/>
              <w:bCs w:val="0"/>
              <w:sz w:val="24"/>
              <w:szCs w:val="24"/>
            </w:rPr>
            <w:t>入决算表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_Toc32025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31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_Toc19073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三、</w:t>
          </w:r>
          <w:r>
            <w:rPr>
              <w:rFonts w:hint="eastAsia" w:asciiTheme="minorEastAsia" w:hAnsiTheme="minorEastAsia" w:eastAsiaTheme="minorEastAsia" w:cstheme="minorEastAsia"/>
              <w:sz w:val="24"/>
              <w:szCs w:val="24"/>
            </w:rPr>
            <w:t>支</w:t>
          </w:r>
          <w:r>
            <w:rPr>
              <w:rFonts w:hint="eastAsia" w:asciiTheme="minorEastAsia" w:hAnsiTheme="minorEastAsia" w:eastAsiaTheme="minorEastAsia" w:cstheme="minorEastAsia"/>
              <w:bCs w:val="0"/>
              <w:sz w:val="24"/>
              <w:szCs w:val="24"/>
            </w:rPr>
            <w:t>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_Toc19073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31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_Toc27422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四、</w:t>
          </w:r>
          <w:r>
            <w:rPr>
              <w:rFonts w:hint="eastAsia" w:asciiTheme="minorEastAsia" w:hAnsiTheme="minorEastAsia" w:eastAsiaTheme="minorEastAsia" w:cstheme="minorEastAsia"/>
              <w:sz w:val="24"/>
              <w:szCs w:val="24"/>
            </w:rPr>
            <w:t>财</w:t>
          </w:r>
          <w:r>
            <w:rPr>
              <w:rFonts w:hint="eastAsia" w:asciiTheme="minorEastAsia" w:hAnsiTheme="minorEastAsia" w:eastAsiaTheme="minorEastAsia" w:cstheme="minorEastAsia"/>
              <w:bCs w:val="0"/>
              <w:sz w:val="24"/>
              <w:szCs w:val="24"/>
            </w:rPr>
            <w:t>政拨款收入支出决算总表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_Toc27422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31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_Toc5372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五、</w:t>
          </w:r>
          <w:r>
            <w:rPr>
              <w:rFonts w:hint="eastAsia" w:asciiTheme="minorEastAsia" w:hAnsiTheme="minorEastAsia" w:eastAsiaTheme="minorEastAsia" w:cstheme="minorEastAsia"/>
              <w:sz w:val="24"/>
              <w:szCs w:val="24"/>
            </w:rPr>
            <w:t>财</w:t>
          </w:r>
          <w:r>
            <w:rPr>
              <w:rFonts w:hint="eastAsia" w:asciiTheme="minorEastAsia" w:hAnsiTheme="minorEastAsia" w:eastAsiaTheme="minorEastAsia" w:cstheme="minorEastAsia"/>
              <w:bCs w:val="0"/>
              <w:sz w:val="24"/>
              <w:szCs w:val="24"/>
            </w:rPr>
            <w:t>政拨款支出决算明细表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_Toc5372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31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_Toc16820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六、</w:t>
          </w:r>
          <w:r>
            <w:rPr>
              <w:rFonts w:hint="eastAsia" w:asciiTheme="minorEastAsia" w:hAnsiTheme="minorEastAsia" w:eastAsiaTheme="minorEastAsia" w:cstheme="minorEastAsia"/>
              <w:sz w:val="24"/>
              <w:szCs w:val="24"/>
            </w:rPr>
            <w:t>一</w:t>
          </w:r>
          <w:r>
            <w:rPr>
              <w:rFonts w:hint="eastAsia" w:asciiTheme="minorEastAsia" w:hAnsiTheme="minorEastAsia" w:eastAsiaTheme="minorEastAsia" w:cstheme="minorEastAsia"/>
              <w:bCs w:val="0"/>
              <w:sz w:val="24"/>
              <w:szCs w:val="24"/>
            </w:rPr>
            <w:t>般公共预算财政拨款支出决算表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_Toc16820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31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_Toc5190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七、</w:t>
          </w:r>
          <w:r>
            <w:rPr>
              <w:rFonts w:hint="eastAsia" w:asciiTheme="minorEastAsia" w:hAnsiTheme="minorEastAsia" w:eastAsiaTheme="minorEastAsia" w:cstheme="minorEastAsia"/>
              <w:sz w:val="24"/>
              <w:szCs w:val="24"/>
            </w:rPr>
            <w:t>一</w:t>
          </w:r>
          <w:r>
            <w:rPr>
              <w:rFonts w:hint="eastAsia" w:asciiTheme="minorEastAsia" w:hAnsiTheme="minorEastAsia" w:eastAsiaTheme="minorEastAsia" w:cstheme="minorEastAsia"/>
              <w:bCs w:val="0"/>
              <w:sz w:val="24"/>
              <w:szCs w:val="24"/>
            </w:rPr>
            <w:t>般公共预算财政拨款支出决算明细表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_Toc5190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31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_Toc19281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八、</w:t>
          </w:r>
          <w:r>
            <w:rPr>
              <w:rFonts w:hint="eastAsia" w:asciiTheme="minorEastAsia" w:hAnsiTheme="minorEastAsia" w:eastAsiaTheme="minorEastAsia" w:cstheme="minorEastAsia"/>
              <w:sz w:val="24"/>
              <w:szCs w:val="24"/>
            </w:rPr>
            <w:t>一</w:t>
          </w:r>
          <w:r>
            <w:rPr>
              <w:rFonts w:hint="eastAsia" w:asciiTheme="minorEastAsia" w:hAnsiTheme="minorEastAsia" w:eastAsiaTheme="minorEastAsia" w:cstheme="minorEastAsia"/>
              <w:bCs w:val="0"/>
              <w:sz w:val="24"/>
              <w:szCs w:val="24"/>
            </w:rPr>
            <w:t>般公共预算财政拨款基本支出决算表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_Toc19281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31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_Toc12054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九、</w:t>
          </w:r>
          <w:r>
            <w:rPr>
              <w:rFonts w:hint="eastAsia" w:asciiTheme="minorEastAsia" w:hAnsiTheme="minorEastAsia" w:eastAsiaTheme="minorEastAsia" w:cstheme="minorEastAsia"/>
              <w:sz w:val="24"/>
              <w:szCs w:val="24"/>
            </w:rPr>
            <w:t>一</w:t>
          </w:r>
          <w:r>
            <w:rPr>
              <w:rFonts w:hint="eastAsia" w:asciiTheme="minorEastAsia" w:hAnsiTheme="minorEastAsia" w:eastAsiaTheme="minorEastAsia" w:cstheme="minorEastAsia"/>
              <w:bCs w:val="0"/>
              <w:sz w:val="24"/>
              <w:szCs w:val="24"/>
            </w:rPr>
            <w:t>般公共预算财政拨款项目支出决算表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_Toc12054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31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_Toc27016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十、</w:t>
          </w:r>
          <w:r>
            <w:rPr>
              <w:rFonts w:hint="eastAsia" w:asciiTheme="minorEastAsia" w:hAnsiTheme="minorEastAsia" w:eastAsiaTheme="minorEastAsia" w:cstheme="minorEastAsia"/>
              <w:sz w:val="24"/>
              <w:szCs w:val="24"/>
            </w:rPr>
            <w:t>政</w:t>
          </w:r>
          <w:r>
            <w:rPr>
              <w:rFonts w:hint="eastAsia" w:asciiTheme="minorEastAsia" w:hAnsiTheme="minorEastAsia" w:eastAsiaTheme="minorEastAsia" w:cstheme="minorEastAsia"/>
              <w:bCs w:val="0"/>
              <w:sz w:val="24"/>
              <w:szCs w:val="24"/>
            </w:rPr>
            <w:t>府性基金预算财政拨款收入支出决算表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_Toc27016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31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_Toc18339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十一、</w:t>
          </w:r>
          <w:r>
            <w:rPr>
              <w:rFonts w:hint="eastAsia" w:asciiTheme="minorEastAsia" w:hAnsiTheme="minorEastAsia" w:eastAsiaTheme="minorEastAsia" w:cstheme="minorEastAsia"/>
              <w:sz w:val="24"/>
              <w:szCs w:val="24"/>
            </w:rPr>
            <w:t>国</w:t>
          </w:r>
          <w:r>
            <w:rPr>
              <w:rFonts w:hint="eastAsia" w:asciiTheme="minorEastAsia" w:hAnsiTheme="minorEastAsia" w:eastAsiaTheme="minorEastAsia" w:cstheme="minorEastAsia"/>
              <w:bCs w:val="0"/>
              <w:sz w:val="24"/>
              <w:szCs w:val="24"/>
            </w:rPr>
            <w:t>有资本经营预算财政拨款收入支出决算表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_Toc18339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31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_Toc2289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十二、国有资本经营预算财政拨款支出决算表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_Toc2289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31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51"/>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_Toc26200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bCs w:val="0"/>
              <w:sz w:val="24"/>
              <w:szCs w:val="24"/>
            </w:rPr>
            <w:t>十三、财政拨款“三公”经费支出决算表</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_Toc26200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31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keepNext w:val="0"/>
            <w:keepLines w:val="0"/>
            <w:pageBreakBefore w:val="0"/>
            <w:widowControl/>
            <w:kinsoku/>
            <w:wordWrap/>
            <w:overflowPunct/>
            <w:topLinePunct w:val="0"/>
            <w:autoSpaceDE/>
            <w:autoSpaceDN/>
            <w:bidi w:val="0"/>
            <w:adjustRightInd/>
            <w:snapToGrid/>
            <w:spacing w:line="360" w:lineRule="auto"/>
            <w:textAlignment w:val="auto"/>
          </w:pPr>
          <w:r>
            <w:rPr>
              <w:rFonts w:hint="eastAsia" w:asciiTheme="minorEastAsia" w:hAnsiTheme="minorEastAsia" w:eastAsiaTheme="minorEastAsia" w:cstheme="minorEastAsia"/>
              <w:b/>
              <w:sz w:val="24"/>
              <w:szCs w:val="24"/>
            </w:rPr>
            <w:fldChar w:fldCharType="end"/>
          </w:r>
        </w:p>
      </w:sdtContent>
    </w:sdt>
    <w:p>
      <w:pPr>
        <w:pStyle w:val="3"/>
        <w:jc w:val="center"/>
        <w:rPr>
          <w:rFonts w:hint="eastAsia" w:ascii="黑体" w:hAnsi="黑体" w:eastAsia="黑体"/>
          <w:b w:val="0"/>
        </w:rPr>
      </w:pPr>
      <w:bookmarkStart w:id="16" w:name="_Toc27908"/>
    </w:p>
    <w:p>
      <w:pPr>
        <w:pStyle w:val="3"/>
        <w:jc w:val="center"/>
        <w:rPr>
          <w:rFonts w:hint="eastAsia" w:ascii="黑体" w:hAnsi="黑体" w:eastAsia="黑体"/>
          <w:b w:val="0"/>
        </w:rPr>
      </w:pPr>
    </w:p>
    <w:p>
      <w:pPr>
        <w:pStyle w:val="3"/>
        <w:jc w:val="center"/>
        <w:rPr>
          <w:rFonts w:hint="eastAsia" w:ascii="黑体" w:hAnsi="黑体" w:eastAsia="黑体"/>
          <w:b w:val="0"/>
        </w:rPr>
      </w:pPr>
    </w:p>
    <w:p>
      <w:pPr>
        <w:pStyle w:val="3"/>
        <w:jc w:val="center"/>
        <w:rPr>
          <w:rFonts w:hint="eastAsia" w:ascii="黑体" w:hAnsi="黑体" w:eastAsia="黑体"/>
          <w:b w:val="0"/>
        </w:rPr>
      </w:pPr>
    </w:p>
    <w:p>
      <w:pPr>
        <w:pStyle w:val="3"/>
        <w:jc w:val="center"/>
        <w:rPr>
          <w:rFonts w:hint="eastAsia" w:ascii="黑体" w:hAnsi="黑体" w:eastAsia="黑体"/>
          <w:b w:val="0"/>
        </w:rPr>
      </w:pPr>
    </w:p>
    <w:p>
      <w:pPr>
        <w:pStyle w:val="3"/>
        <w:jc w:val="center"/>
        <w:rPr>
          <w:rFonts w:hint="eastAsia" w:ascii="黑体" w:hAnsi="黑体" w:eastAsia="黑体"/>
          <w:b w:val="0"/>
        </w:rPr>
      </w:pPr>
    </w:p>
    <w:p>
      <w:pPr>
        <w:pStyle w:val="3"/>
        <w:jc w:val="center"/>
        <w:rPr>
          <w:rFonts w:hint="eastAsia" w:ascii="黑体" w:hAnsi="黑体" w:eastAsia="黑体"/>
          <w:b w:val="0"/>
        </w:rPr>
      </w:pPr>
    </w:p>
    <w:p>
      <w:pPr>
        <w:rPr>
          <w:rFonts w:hint="eastAsia"/>
        </w:rPr>
      </w:pPr>
    </w:p>
    <w:p>
      <w:pPr>
        <w:pStyle w:val="3"/>
        <w:spacing w:before="0" w:after="0" w:line="240" w:lineRule="auto"/>
        <w:jc w:val="center"/>
        <w:rPr>
          <w:rFonts w:hint="eastAsia" w:ascii="黑体" w:hAnsi="黑体" w:eastAsia="黑体"/>
          <w:b w:val="0"/>
        </w:rPr>
      </w:pPr>
    </w:p>
    <w:p>
      <w:pPr>
        <w:rPr>
          <w:rFonts w:hint="eastAsia"/>
        </w:rPr>
      </w:pPr>
    </w:p>
    <w:p>
      <w:pPr>
        <w:pStyle w:val="3"/>
        <w:jc w:val="center"/>
        <w:rPr>
          <w:rStyle w:val="28"/>
          <w:rFonts w:ascii="黑体" w:hAnsi="黑体" w:eastAsia="黑体"/>
          <w:b/>
          <w:bCs w:val="0"/>
        </w:rPr>
      </w:pPr>
      <w:r>
        <w:rPr>
          <w:rFonts w:hint="eastAsia" w:ascii="黑体" w:hAnsi="黑体" w:eastAsia="黑体"/>
          <w:b w:val="0"/>
        </w:rPr>
        <w:t xml:space="preserve">第一部分 </w:t>
      </w:r>
      <w:r>
        <w:rPr>
          <w:rStyle w:val="28"/>
          <w:rFonts w:hint="eastAsia" w:ascii="黑体" w:hAnsi="黑体" w:eastAsia="黑体"/>
          <w:b w:val="0"/>
          <w:bCs w:val="0"/>
        </w:rPr>
        <w:t>部门概况</w:t>
      </w:r>
      <w:bookmarkEnd w:id="16"/>
    </w:p>
    <w:p>
      <w:pPr>
        <w:widowControl/>
        <w:jc w:val="left"/>
        <w:rPr>
          <w:rFonts w:ascii="黑体" w:eastAsia="黑体"/>
          <w:sz w:val="32"/>
          <w:szCs w:val="32"/>
        </w:rPr>
      </w:pPr>
    </w:p>
    <w:p>
      <w:pPr>
        <w:pStyle w:val="4"/>
        <w:numPr>
          <w:ilvl w:val="0"/>
          <w:numId w:val="1"/>
        </w:numPr>
        <w:rPr>
          <w:rFonts w:ascii="黑体" w:hAnsi="黑体" w:eastAsia="黑体"/>
          <w:b w:val="0"/>
        </w:rPr>
      </w:pPr>
      <w:bookmarkStart w:id="17" w:name="_Toc19324"/>
      <w:r>
        <w:rPr>
          <w:rFonts w:hint="eastAsia" w:ascii="黑体" w:hAnsi="黑体" w:eastAsia="黑体"/>
          <w:b w:val="0"/>
        </w:rPr>
        <w:t>部门职责</w:t>
      </w:r>
      <w:bookmarkEnd w:id="17"/>
    </w:p>
    <w:p>
      <w:pPr>
        <w:pStyle w:val="2"/>
        <w:adjustRightInd w:val="0"/>
        <w:snapToGrid w:val="0"/>
        <w:spacing w:before="93" w:line="600" w:lineRule="exact"/>
        <w:ind w:firstLine="672" w:firstLineChars="210"/>
        <w:outlineLvl w:val="2"/>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w:t>
      </w:r>
      <w:r>
        <w:rPr>
          <w:rFonts w:hint="eastAsia" w:hAnsi="仿宋_GB2312" w:cs="仿宋_GB2312"/>
          <w:bCs/>
          <w:color w:val="000000"/>
          <w:sz w:val="32"/>
          <w:szCs w:val="32"/>
          <w:lang w:val="en-US" w:eastAsia="zh-CN"/>
        </w:rPr>
        <w:t>.</w:t>
      </w:r>
      <w:r>
        <w:rPr>
          <w:rFonts w:hint="eastAsia" w:ascii="仿宋_GB2312" w:hAnsi="仿宋_GB2312" w:eastAsia="仿宋_GB2312" w:cs="仿宋_GB2312"/>
          <w:bCs/>
          <w:color w:val="000000"/>
          <w:sz w:val="32"/>
          <w:szCs w:val="32"/>
        </w:rPr>
        <w:t>遵循以人为本、科学戒毒、综合矫治、关怀救助的原则,教育和挽救吸毒成瘾人员。</w:t>
      </w:r>
    </w:p>
    <w:p>
      <w:pPr>
        <w:pStyle w:val="2"/>
        <w:adjustRightInd w:val="0"/>
        <w:snapToGrid w:val="0"/>
        <w:spacing w:before="93" w:line="600" w:lineRule="exact"/>
        <w:ind w:firstLine="672" w:firstLineChars="210"/>
        <w:outlineLvl w:val="2"/>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w:t>
      </w:r>
      <w:r>
        <w:rPr>
          <w:rFonts w:hint="eastAsia" w:hAnsi="仿宋_GB2312" w:cs="仿宋_GB2312"/>
          <w:bCs/>
          <w:color w:val="000000"/>
          <w:sz w:val="32"/>
          <w:szCs w:val="32"/>
          <w:lang w:val="en-US" w:eastAsia="zh-CN"/>
        </w:rPr>
        <w:t>.</w:t>
      </w:r>
      <w:r>
        <w:rPr>
          <w:rFonts w:hint="eastAsia" w:ascii="仿宋_GB2312" w:hAnsi="仿宋_GB2312" w:eastAsia="仿宋_GB2312" w:cs="仿宋_GB2312"/>
          <w:bCs/>
          <w:color w:val="000000"/>
          <w:sz w:val="32"/>
          <w:szCs w:val="32"/>
        </w:rPr>
        <w:t>依法收治和管理强制隔离戒毒人员。</w:t>
      </w:r>
    </w:p>
    <w:p>
      <w:pPr>
        <w:pStyle w:val="2"/>
        <w:adjustRightInd w:val="0"/>
        <w:snapToGrid w:val="0"/>
        <w:spacing w:before="93" w:line="600" w:lineRule="exact"/>
        <w:ind w:firstLine="672" w:firstLineChars="210"/>
        <w:outlineLvl w:val="2"/>
      </w:pPr>
      <w:r>
        <w:rPr>
          <w:rFonts w:hint="eastAsia" w:ascii="仿宋_GB2312" w:hAnsi="仿宋_GB2312" w:eastAsia="仿宋_GB2312" w:cs="仿宋_GB2312"/>
          <w:bCs/>
          <w:color w:val="000000"/>
          <w:sz w:val="32"/>
          <w:szCs w:val="32"/>
        </w:rPr>
        <w:t>3</w:t>
      </w:r>
      <w:r>
        <w:rPr>
          <w:rFonts w:hint="eastAsia" w:hAnsi="仿宋_GB2312" w:cs="仿宋_GB2312"/>
          <w:bCs/>
          <w:color w:val="000000"/>
          <w:sz w:val="32"/>
          <w:szCs w:val="32"/>
          <w:lang w:val="en-US" w:eastAsia="zh-CN"/>
        </w:rPr>
        <w:t>.</w:t>
      </w:r>
      <w:r>
        <w:rPr>
          <w:rFonts w:hint="eastAsia" w:ascii="仿宋_GB2312" w:hAnsi="仿宋_GB2312" w:eastAsia="仿宋_GB2312" w:cs="仿宋_GB2312"/>
          <w:bCs/>
          <w:color w:val="000000"/>
          <w:sz w:val="32"/>
          <w:szCs w:val="32"/>
        </w:rPr>
        <w:t>依法为强制隔离戒毒人员提供科学规范的戒毒治疗、心理治疗、身体康复训练和卫生、道德、法制教育，开展职业技能培训。</w:t>
      </w:r>
    </w:p>
    <w:p>
      <w:pPr>
        <w:pStyle w:val="4"/>
        <w:rPr>
          <w:rStyle w:val="29"/>
          <w:b w:val="0"/>
          <w:bCs w:val="0"/>
        </w:rPr>
      </w:pPr>
      <w:bookmarkStart w:id="18" w:name="_Toc26065"/>
      <w:bookmarkStart w:id="19" w:name="_Toc15396601"/>
      <w:bookmarkStart w:id="20" w:name="_Toc15377200"/>
      <w:r>
        <w:rPr>
          <w:rFonts w:hint="eastAsia" w:ascii="黑体" w:eastAsia="黑体"/>
          <w:b w:val="0"/>
        </w:rPr>
        <w:t>二、</w:t>
      </w:r>
      <w:r>
        <w:rPr>
          <w:rFonts w:hint="eastAsia" w:ascii="黑体" w:hAnsi="黑体" w:eastAsia="黑体"/>
          <w:b w:val="0"/>
        </w:rPr>
        <w:t>机</w:t>
      </w:r>
      <w:r>
        <w:rPr>
          <w:rStyle w:val="29"/>
          <w:rFonts w:hint="eastAsia" w:ascii="黑体" w:hAnsi="黑体" w:eastAsia="黑体"/>
          <w:b w:val="0"/>
          <w:bCs w:val="0"/>
        </w:rPr>
        <w:t>构设置</w:t>
      </w:r>
      <w:bookmarkEnd w:id="18"/>
      <w:bookmarkEnd w:id="19"/>
      <w:bookmarkEnd w:id="20"/>
    </w:p>
    <w:p>
      <w:pPr>
        <w:ind w:firstLine="640" w:firstLineChars="200"/>
        <w:rPr>
          <w:rFonts w:eastAsia="仿宋"/>
          <w:sz w:val="32"/>
          <w:szCs w:val="32"/>
        </w:rPr>
      </w:pPr>
      <w:r>
        <w:rPr>
          <w:rFonts w:eastAsia="仿宋"/>
          <w:sz w:val="32"/>
          <w:szCs w:val="32"/>
        </w:rPr>
        <w:t>攀枝花市强制隔离戒毒所下属二级单位0个，其中行政单位0个，参照公务员法管理的事业单位</w:t>
      </w:r>
      <w:r>
        <w:rPr>
          <w:rFonts w:eastAsia="仿宋"/>
          <w:bCs/>
          <w:sz w:val="32"/>
          <w:szCs w:val="32"/>
        </w:rPr>
        <w:t>0</w:t>
      </w:r>
      <w:r>
        <w:rPr>
          <w:rFonts w:eastAsia="仿宋"/>
          <w:sz w:val="32"/>
          <w:szCs w:val="32"/>
        </w:rPr>
        <w:t>个，其他事业单位0个。</w:t>
      </w:r>
    </w:p>
    <w:p>
      <w:pPr>
        <w:pStyle w:val="2"/>
        <w:adjustRightInd w:val="0"/>
        <w:snapToGrid w:val="0"/>
        <w:spacing w:before="93" w:line="600" w:lineRule="exact"/>
        <w:ind w:firstLine="672" w:firstLineChars="210"/>
        <w:rPr>
          <w:rFonts w:hint="eastAsia" w:ascii="Times New Roman" w:eastAsia="仿宋"/>
          <w:color w:val="000000"/>
          <w:sz w:val="32"/>
          <w:szCs w:val="32"/>
          <w:lang w:eastAsia="zh-CN"/>
        </w:rPr>
      </w:pPr>
      <w:r>
        <w:rPr>
          <w:rFonts w:ascii="Times New Roman" w:eastAsia="仿宋"/>
          <w:color w:val="000000"/>
          <w:sz w:val="32"/>
          <w:szCs w:val="32"/>
        </w:rPr>
        <w:t>纳入</w:t>
      </w:r>
      <w:r>
        <w:rPr>
          <w:rFonts w:ascii="Times New Roman" w:eastAsia="仿宋"/>
          <w:sz w:val="32"/>
          <w:szCs w:val="32"/>
        </w:rPr>
        <w:t>攀枝花市强制隔离戒毒所</w:t>
      </w:r>
      <w:r>
        <w:rPr>
          <w:rFonts w:ascii="Times New Roman" w:eastAsia="仿宋"/>
          <w:color w:val="000000"/>
          <w:sz w:val="32"/>
          <w:szCs w:val="32"/>
        </w:rPr>
        <w:t>202</w:t>
      </w:r>
      <w:r>
        <w:rPr>
          <w:rFonts w:hint="eastAsia" w:ascii="Times New Roman" w:eastAsia="仿宋"/>
          <w:color w:val="000000"/>
          <w:sz w:val="32"/>
          <w:szCs w:val="32"/>
          <w:lang w:val="en-US" w:eastAsia="zh-CN"/>
        </w:rPr>
        <w:t>2</w:t>
      </w:r>
      <w:r>
        <w:rPr>
          <w:rFonts w:ascii="Times New Roman" w:eastAsia="仿宋"/>
          <w:color w:val="000000"/>
          <w:sz w:val="32"/>
          <w:szCs w:val="32"/>
        </w:rPr>
        <w:t>年度部门决算编制范围的二级预算单位包括：无</w:t>
      </w:r>
      <w:r>
        <w:rPr>
          <w:rFonts w:hint="eastAsia" w:ascii="Times New Roman" w:eastAsia="仿宋"/>
          <w:color w:val="000000"/>
          <w:sz w:val="32"/>
          <w:szCs w:val="32"/>
          <w:lang w:eastAsia="zh-CN"/>
        </w:rPr>
        <w:t>。</w:t>
      </w:r>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8"/>
          <w:rFonts w:ascii="黑体" w:hAnsi="黑体" w:eastAsia="黑体"/>
          <w:b w:val="0"/>
          <w:bCs/>
        </w:rPr>
      </w:pPr>
      <w:bookmarkStart w:id="21" w:name="_Toc7306"/>
      <w:bookmarkStart w:id="22" w:name="_Toc15396602"/>
      <w:bookmarkStart w:id="23" w:name="_Toc15377204"/>
      <w:r>
        <w:rPr>
          <w:rFonts w:hint="eastAsia" w:ascii="黑体" w:hAnsi="黑体" w:eastAsia="黑体"/>
          <w:b w:val="0"/>
        </w:rPr>
        <w:t>第二部分 2022年度</w:t>
      </w:r>
      <w:r>
        <w:rPr>
          <w:rStyle w:val="28"/>
          <w:rFonts w:hint="eastAsia" w:ascii="黑体" w:hAnsi="黑体" w:eastAsia="黑体"/>
          <w:b w:val="0"/>
          <w:bCs/>
        </w:rPr>
        <w:t>部门决算情况说明</w:t>
      </w:r>
      <w:bookmarkEnd w:id="21"/>
      <w:bookmarkEnd w:id="22"/>
      <w:bookmarkEnd w:id="23"/>
    </w:p>
    <w:p/>
    <w:p>
      <w:pPr>
        <w:pStyle w:val="27"/>
        <w:numPr>
          <w:ilvl w:val="0"/>
          <w:numId w:val="2"/>
        </w:numPr>
        <w:spacing w:line="600" w:lineRule="exact"/>
        <w:ind w:firstLineChars="0"/>
        <w:outlineLvl w:val="1"/>
        <w:rPr>
          <w:rStyle w:val="29"/>
          <w:rFonts w:ascii="黑体" w:hAnsi="黑体" w:eastAsia="黑体"/>
          <w:b w:val="0"/>
        </w:rPr>
      </w:pPr>
      <w:bookmarkStart w:id="24" w:name="_Toc12898"/>
      <w:bookmarkStart w:id="25" w:name="_Toc15377205"/>
      <w:bookmarkStart w:id="26" w:name="_Toc15396603"/>
      <w:r>
        <w:rPr>
          <w:rFonts w:hint="eastAsia" w:ascii="黑体" w:hAnsi="黑体" w:eastAsia="黑体"/>
          <w:sz w:val="32"/>
          <w:szCs w:val="32"/>
        </w:rPr>
        <w:t>收</w:t>
      </w:r>
      <w:r>
        <w:rPr>
          <w:rStyle w:val="29"/>
          <w:rFonts w:hint="eastAsia" w:ascii="黑体" w:hAnsi="黑体" w:eastAsia="黑体"/>
          <w:b w:val="0"/>
        </w:rPr>
        <w:t>入支出决算总体情况说明</w:t>
      </w:r>
      <w:bookmarkEnd w:id="24"/>
      <w:bookmarkEnd w:id="25"/>
      <w:bookmarkEnd w:id="26"/>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2022年度收、支总计</w:t>
      </w:r>
      <w:r>
        <w:rPr>
          <w:rFonts w:hint="eastAsia" w:ascii="仿宋" w:hAnsi="仿宋" w:eastAsia="仿宋"/>
          <w:sz w:val="32"/>
          <w:szCs w:val="32"/>
          <w:lang w:val="en-US" w:eastAsia="zh-CN"/>
        </w:rPr>
        <w:t>5928.11</w:t>
      </w:r>
      <w:r>
        <w:rPr>
          <w:rFonts w:hint="eastAsia" w:ascii="仿宋" w:hAnsi="仿宋" w:eastAsia="仿宋"/>
          <w:sz w:val="32"/>
          <w:szCs w:val="32"/>
        </w:rPr>
        <w:t>万元。与2021年相比，收、支总计各增加</w:t>
      </w:r>
      <w:r>
        <w:rPr>
          <w:rFonts w:hint="eastAsia" w:ascii="仿宋" w:hAnsi="仿宋" w:eastAsia="仿宋"/>
          <w:sz w:val="32"/>
          <w:szCs w:val="32"/>
          <w:lang w:val="en-US" w:eastAsia="zh-CN"/>
        </w:rPr>
        <w:t>2360.04</w:t>
      </w:r>
      <w:r>
        <w:rPr>
          <w:rFonts w:hint="eastAsia" w:ascii="仿宋" w:hAnsi="仿宋" w:eastAsia="仿宋"/>
          <w:sz w:val="32"/>
          <w:szCs w:val="32"/>
        </w:rPr>
        <w:t>万元，增长</w:t>
      </w:r>
      <w:r>
        <w:rPr>
          <w:rFonts w:hint="eastAsia" w:ascii="仿宋" w:hAnsi="仿宋" w:eastAsia="仿宋"/>
          <w:sz w:val="32"/>
          <w:szCs w:val="32"/>
          <w:lang w:val="en-US" w:eastAsia="zh-CN"/>
        </w:rPr>
        <w:t>63.37</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攀枝花市强制隔离戒毒所建设项目持续推进，</w:t>
      </w:r>
      <w:r>
        <w:rPr>
          <w:rFonts w:hint="eastAsia" w:ascii="仿宋" w:hAnsi="仿宋" w:eastAsia="仿宋"/>
          <w:sz w:val="32"/>
          <w:szCs w:val="32"/>
          <w:lang w:val="en-US" w:eastAsia="zh-CN"/>
        </w:rPr>
        <w:t>2022年项目建设资金拨付较2021年大幅增加</w:t>
      </w:r>
      <w:r>
        <w:rPr>
          <w:rFonts w:hint="eastAsia" w:ascii="仿宋" w:hAnsi="仿宋" w:eastAsia="仿宋"/>
          <w:sz w:val="32"/>
          <w:szCs w:val="32"/>
        </w:rPr>
        <w:t>。</w:t>
      </w:r>
    </w:p>
    <w:p>
      <w:pPr>
        <w:pStyle w:val="2"/>
        <w:jc w:val="center"/>
        <w:rPr>
          <w:rFonts w:hint="eastAsia" w:ascii="仿宋" w:hAnsi="仿宋" w:eastAsia="仿宋"/>
          <w:sz w:val="32"/>
          <w:szCs w:val="32"/>
        </w:rPr>
      </w:pPr>
      <w:r>
        <w:rPr>
          <w:rFonts w:eastAsia="仿宋"/>
          <w:sz w:val="32"/>
          <w:szCs w:val="32"/>
        </w:rPr>
        <w:object>
          <v:shape id="_x0000_i1025" o:spt="75" type="#_x0000_t75" style="height:222.75pt;width:366.9pt;" o:ole="t" filled="f" o:preferrelative="t" stroked="f" coordsize="21600,21600">
            <v:path/>
            <v:fill on="f" focussize="0,0"/>
            <v:stroke on="f"/>
            <v:imagedata r:id="rId7" o:title=""/>
            <o:lock v:ext="edit" aspectratio="t"/>
            <w10:wrap type="none"/>
            <w10:anchorlock/>
          </v:shape>
          <o:OLEObject Type="Embed" ProgID="Excel.Chart.8" ShapeID="_x0000_i1025" DrawAspect="Content" ObjectID="_1468075725" r:id="rId6">
            <o:LockedField>false</o:LockedField>
          </o:OLEObject>
        </w:object>
      </w:r>
    </w:p>
    <w:p>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spacing w:line="600" w:lineRule="exact"/>
        <w:ind w:firstLine="640" w:firstLineChars="200"/>
        <w:jc w:val="left"/>
        <w:rPr>
          <w:rFonts w:ascii="仿宋_GB2312" w:eastAsia="仿宋_GB2312"/>
          <w:sz w:val="32"/>
          <w:szCs w:val="32"/>
        </w:rPr>
      </w:pPr>
    </w:p>
    <w:p>
      <w:pPr>
        <w:pStyle w:val="27"/>
        <w:numPr>
          <w:ilvl w:val="0"/>
          <w:numId w:val="2"/>
        </w:numPr>
        <w:spacing w:line="600" w:lineRule="exact"/>
        <w:ind w:firstLineChars="0"/>
        <w:outlineLvl w:val="1"/>
        <w:rPr>
          <w:rStyle w:val="29"/>
          <w:rFonts w:ascii="黑体" w:hAnsi="黑体" w:eastAsia="黑体"/>
          <w:b w:val="0"/>
        </w:rPr>
      </w:pPr>
      <w:bookmarkStart w:id="27" w:name="_Toc15377206"/>
      <w:bookmarkStart w:id="28" w:name="_Toc15396604"/>
      <w:bookmarkStart w:id="29" w:name="_Toc8508"/>
      <w:r>
        <w:rPr>
          <w:rFonts w:hint="eastAsia" w:ascii="黑体" w:hAnsi="黑体" w:eastAsia="黑体"/>
          <w:sz w:val="32"/>
          <w:szCs w:val="32"/>
        </w:rPr>
        <w:t>收</w:t>
      </w:r>
      <w:r>
        <w:rPr>
          <w:rStyle w:val="29"/>
          <w:rFonts w:hint="eastAsia" w:ascii="黑体" w:hAnsi="黑体" w:eastAsia="黑体"/>
          <w:b w:val="0"/>
        </w:rPr>
        <w:t>入决算情况说明</w:t>
      </w:r>
      <w:bookmarkEnd w:id="27"/>
      <w:bookmarkEnd w:id="28"/>
      <w:bookmarkEnd w:id="29"/>
    </w:p>
    <w:p>
      <w:pPr>
        <w:spacing w:line="600" w:lineRule="exact"/>
        <w:ind w:firstLine="640" w:firstLineChars="200"/>
        <w:outlineLvl w:val="1"/>
        <w:rPr>
          <w:rFonts w:ascii="仿宋" w:hAnsi="仿宋" w:eastAsia="仿宋"/>
          <w:sz w:val="32"/>
          <w:szCs w:val="32"/>
        </w:rPr>
      </w:pPr>
      <w:bookmarkStart w:id="30" w:name="_Toc26683"/>
      <w:r>
        <w:rPr>
          <w:rFonts w:ascii="仿宋" w:hAnsi="仿宋" w:eastAsia="仿宋"/>
          <w:sz w:val="32"/>
          <w:szCs w:val="32"/>
        </w:rPr>
        <w:t>20</w:t>
      </w:r>
      <w:r>
        <w:rPr>
          <w:rFonts w:hint="eastAsia" w:ascii="仿宋" w:hAnsi="仿宋" w:eastAsia="仿宋"/>
          <w:sz w:val="32"/>
          <w:szCs w:val="32"/>
        </w:rPr>
        <w:t>22年本年收入合计</w:t>
      </w:r>
      <w:r>
        <w:rPr>
          <w:rFonts w:hint="eastAsia" w:ascii="仿宋" w:hAnsi="仿宋" w:eastAsia="仿宋"/>
          <w:sz w:val="32"/>
          <w:szCs w:val="32"/>
          <w:lang w:val="en-US" w:eastAsia="zh-CN"/>
        </w:rPr>
        <w:t>2865.49</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2565.33</w:t>
      </w:r>
      <w:r>
        <w:rPr>
          <w:rFonts w:hint="eastAsia" w:ascii="仿宋" w:hAnsi="仿宋" w:eastAsia="仿宋"/>
          <w:sz w:val="32"/>
          <w:szCs w:val="32"/>
        </w:rPr>
        <w:t>万元，占</w:t>
      </w:r>
      <w:r>
        <w:rPr>
          <w:rFonts w:hint="eastAsia" w:ascii="仿宋" w:hAnsi="仿宋" w:eastAsia="仿宋"/>
          <w:sz w:val="32"/>
          <w:szCs w:val="32"/>
          <w:lang w:val="en-US" w:eastAsia="zh-CN"/>
        </w:rPr>
        <w:t>89.53</w:t>
      </w:r>
      <w:r>
        <w:rPr>
          <w:rFonts w:ascii="仿宋" w:hAnsi="仿宋" w:eastAsia="仿宋"/>
          <w:sz w:val="32"/>
          <w:szCs w:val="32"/>
        </w:rPr>
        <w:t>%</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300</w:t>
      </w:r>
      <w:r>
        <w:rPr>
          <w:rFonts w:hint="eastAsia" w:ascii="仿宋" w:hAnsi="仿宋" w:eastAsia="仿宋"/>
          <w:sz w:val="32"/>
          <w:szCs w:val="32"/>
        </w:rPr>
        <w:t>万元，占</w:t>
      </w:r>
      <w:r>
        <w:rPr>
          <w:rFonts w:hint="eastAsia" w:ascii="仿宋" w:hAnsi="仿宋" w:eastAsia="仿宋"/>
          <w:sz w:val="32"/>
          <w:szCs w:val="32"/>
          <w:lang w:val="en-US" w:eastAsia="zh-CN"/>
        </w:rPr>
        <w:t>10.47</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sz w:val="32"/>
          <w:szCs w:val="32"/>
          <w:lang w:val="en-US" w:eastAsia="zh-CN"/>
        </w:rPr>
        <w:t>0.15</w:t>
      </w:r>
      <w:r>
        <w:rPr>
          <w:rFonts w:hint="eastAsia" w:ascii="仿宋" w:hAnsi="仿宋" w:eastAsia="仿宋"/>
          <w:sz w:val="32"/>
          <w:szCs w:val="32"/>
        </w:rPr>
        <w:t>万元，占</w:t>
      </w:r>
      <w:r>
        <w:rPr>
          <w:rFonts w:hint="eastAsia" w:ascii="仿宋" w:hAnsi="仿宋" w:eastAsia="仿宋"/>
          <w:sz w:val="32"/>
          <w:szCs w:val="32"/>
          <w:lang w:val="en-US" w:eastAsia="zh-CN"/>
        </w:rPr>
        <w:t>0.01</w:t>
      </w:r>
      <w:r>
        <w:rPr>
          <w:rFonts w:ascii="仿宋" w:hAnsi="仿宋" w:eastAsia="仿宋"/>
          <w:sz w:val="32"/>
          <w:szCs w:val="32"/>
        </w:rPr>
        <w:t>%</w:t>
      </w:r>
      <w:r>
        <w:rPr>
          <w:rFonts w:hint="eastAsia" w:ascii="仿宋" w:hAnsi="仿宋" w:eastAsia="仿宋"/>
          <w:sz w:val="32"/>
          <w:szCs w:val="32"/>
        </w:rPr>
        <w:t>。</w:t>
      </w:r>
      <w:bookmarkEnd w:id="30"/>
    </w:p>
    <w:p>
      <w:pPr>
        <w:pStyle w:val="2"/>
        <w:jc w:val="center"/>
        <w:rPr>
          <w:rFonts w:ascii="仿宋" w:hAnsi="仿宋" w:eastAsia="仿宋"/>
          <w:sz w:val="32"/>
          <w:szCs w:val="32"/>
        </w:rPr>
      </w:pPr>
      <w:r>
        <w:rPr>
          <w:rFonts w:eastAsia="仿宋"/>
          <w:color w:val="000000"/>
          <w:sz w:val="32"/>
          <w:szCs w:val="32"/>
        </w:rPr>
        <w:object>
          <v:shape id="_x0000_i1026" o:spt="75" type="#_x0000_t75" style="height:209.85pt;width:428.7pt;" o:ole="t" filled="f" o:preferrelative="t" stroked="f" coordsize="21600,21600">
            <v:path/>
            <v:fill on="f" focussize="0,0"/>
            <v:stroke on="f"/>
            <v:imagedata r:id="rId9" o:title=""/>
            <o:lock v:ext="edit" aspectratio="t"/>
            <w10:wrap type="none"/>
            <w10:anchorlock/>
          </v:shape>
          <o:OLEObject Type="Embed" ProgID="Excel.Chart.8" ShapeID="_x0000_i1026" DrawAspect="Content" ObjectID="_1468075726" r:id="rId8">
            <o:LockedField>false</o:LockedField>
          </o:OLEObject>
        </w:object>
      </w:r>
      <w:r>
        <w:rPr>
          <w:rFonts w:hint="eastAsia" w:ascii="仿宋" w:hAnsi="仿宋" w:eastAsia="仿宋"/>
          <w:sz w:val="32"/>
          <w:szCs w:val="32"/>
        </w:rPr>
        <w:t>（图2：收入决算结构图）</w:t>
      </w:r>
    </w:p>
    <w:p>
      <w:pPr>
        <w:spacing w:line="600" w:lineRule="exact"/>
        <w:ind w:firstLine="640" w:firstLineChars="200"/>
        <w:rPr>
          <w:rFonts w:ascii="仿宋_GB2312" w:eastAsia="仿宋_GB2312"/>
          <w:sz w:val="32"/>
          <w:szCs w:val="32"/>
        </w:rPr>
      </w:pPr>
    </w:p>
    <w:p>
      <w:pPr>
        <w:pStyle w:val="27"/>
        <w:numPr>
          <w:ilvl w:val="0"/>
          <w:numId w:val="2"/>
        </w:numPr>
        <w:spacing w:line="600" w:lineRule="exact"/>
        <w:ind w:firstLineChars="0"/>
        <w:outlineLvl w:val="1"/>
        <w:rPr>
          <w:rStyle w:val="29"/>
          <w:rFonts w:ascii="黑体" w:hAnsi="黑体" w:eastAsia="黑体"/>
          <w:b w:val="0"/>
        </w:rPr>
      </w:pPr>
      <w:bookmarkStart w:id="31" w:name="_Toc15396605"/>
      <w:bookmarkStart w:id="32" w:name="_Toc15377207"/>
      <w:bookmarkStart w:id="33" w:name="_Toc10891"/>
      <w:r>
        <w:rPr>
          <w:rFonts w:hint="eastAsia" w:ascii="黑体" w:hAnsi="黑体" w:eastAsia="黑体"/>
          <w:sz w:val="32"/>
          <w:szCs w:val="32"/>
        </w:rPr>
        <w:t>支</w:t>
      </w:r>
      <w:r>
        <w:rPr>
          <w:rStyle w:val="29"/>
          <w:rFonts w:hint="eastAsia" w:ascii="黑体" w:hAnsi="黑体" w:eastAsia="黑体"/>
          <w:b w:val="0"/>
        </w:rPr>
        <w:t>出决算情况说明</w:t>
      </w:r>
      <w:bookmarkEnd w:id="31"/>
      <w:bookmarkEnd w:id="32"/>
      <w:bookmarkEnd w:id="33"/>
    </w:p>
    <w:p>
      <w:pPr>
        <w:spacing w:line="600" w:lineRule="exact"/>
        <w:ind w:firstLine="640" w:firstLineChars="200"/>
        <w:outlineLvl w:val="1"/>
        <w:rPr>
          <w:rFonts w:hint="eastAsia" w:ascii="仿宋" w:hAnsi="仿宋" w:eastAsia="仿宋"/>
          <w:sz w:val="32"/>
          <w:szCs w:val="32"/>
        </w:rPr>
      </w:pPr>
      <w:bookmarkStart w:id="34" w:name="_Toc26597"/>
      <w:r>
        <w:rPr>
          <w:rFonts w:ascii="仿宋" w:hAnsi="仿宋" w:eastAsia="仿宋"/>
          <w:sz w:val="32"/>
          <w:szCs w:val="32"/>
        </w:rPr>
        <w:t>20</w:t>
      </w:r>
      <w:r>
        <w:rPr>
          <w:rFonts w:hint="eastAsia" w:ascii="仿宋" w:hAnsi="仿宋" w:eastAsia="仿宋"/>
          <w:sz w:val="32"/>
          <w:szCs w:val="32"/>
        </w:rPr>
        <w:t>22年本年支出合计</w:t>
      </w:r>
      <w:r>
        <w:rPr>
          <w:rFonts w:hint="eastAsia" w:ascii="仿宋" w:hAnsi="仿宋" w:eastAsia="仿宋"/>
          <w:sz w:val="32"/>
          <w:szCs w:val="32"/>
          <w:lang w:val="en-US" w:eastAsia="zh-CN"/>
        </w:rPr>
        <w:t>5886.69</w:t>
      </w:r>
      <w:r>
        <w:rPr>
          <w:rFonts w:hint="eastAsia" w:ascii="仿宋" w:hAnsi="仿宋" w:eastAsia="仿宋"/>
          <w:sz w:val="32"/>
          <w:szCs w:val="32"/>
        </w:rPr>
        <w:t>万元，其中：基本支出</w:t>
      </w:r>
      <w:r>
        <w:rPr>
          <w:rFonts w:hint="eastAsia" w:ascii="仿宋" w:hAnsi="仿宋" w:eastAsia="仿宋"/>
          <w:sz w:val="32"/>
          <w:szCs w:val="32"/>
          <w:lang w:val="en-US" w:eastAsia="zh-CN"/>
        </w:rPr>
        <w:t>2646.69</w:t>
      </w:r>
      <w:r>
        <w:rPr>
          <w:rFonts w:hint="eastAsia" w:ascii="仿宋" w:hAnsi="仿宋" w:eastAsia="仿宋"/>
          <w:sz w:val="32"/>
          <w:szCs w:val="32"/>
        </w:rPr>
        <w:t>万元，占</w:t>
      </w:r>
      <w:r>
        <w:rPr>
          <w:rFonts w:hint="eastAsia" w:ascii="仿宋" w:hAnsi="仿宋" w:eastAsia="仿宋"/>
          <w:sz w:val="32"/>
          <w:szCs w:val="32"/>
          <w:lang w:val="en-US" w:eastAsia="zh-CN"/>
        </w:rPr>
        <w:t>44.96</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3240</w:t>
      </w:r>
      <w:r>
        <w:rPr>
          <w:rFonts w:hint="eastAsia" w:ascii="仿宋" w:hAnsi="仿宋" w:eastAsia="仿宋"/>
          <w:sz w:val="32"/>
          <w:szCs w:val="32"/>
        </w:rPr>
        <w:t>万元，占</w:t>
      </w:r>
      <w:r>
        <w:rPr>
          <w:rFonts w:hint="eastAsia" w:ascii="仿宋" w:hAnsi="仿宋" w:eastAsia="仿宋"/>
          <w:sz w:val="32"/>
          <w:szCs w:val="32"/>
          <w:lang w:val="en-US" w:eastAsia="zh-CN"/>
        </w:rPr>
        <w:t>55.04</w:t>
      </w:r>
      <w:r>
        <w:rPr>
          <w:rFonts w:ascii="仿宋" w:hAnsi="仿宋" w:eastAsia="仿宋"/>
          <w:sz w:val="32"/>
          <w:szCs w:val="32"/>
        </w:rPr>
        <w:t>%</w:t>
      </w:r>
      <w:r>
        <w:rPr>
          <w:rFonts w:hint="eastAsia" w:ascii="仿宋" w:hAnsi="仿宋" w:eastAsia="仿宋"/>
          <w:sz w:val="32"/>
          <w:szCs w:val="32"/>
        </w:rPr>
        <w:t>。</w:t>
      </w:r>
      <w:bookmarkEnd w:id="34"/>
    </w:p>
    <w:p>
      <w:pPr>
        <w:pStyle w:val="2"/>
        <w:jc w:val="center"/>
        <w:rPr>
          <w:rFonts w:ascii="仿宋" w:hAnsi="仿宋" w:eastAsia="仿宋"/>
          <w:sz w:val="32"/>
          <w:szCs w:val="32"/>
          <w:shd w:val="pct10" w:color="auto" w:fill="FFFFFF"/>
        </w:rPr>
      </w:pPr>
      <w:r>
        <w:rPr>
          <w:rFonts w:hint="eastAsia" w:eastAsia="仿宋"/>
          <w:color w:val="000000"/>
          <w:sz w:val="32"/>
          <w:szCs w:val="32"/>
          <w:shd w:val="pct10" w:color="auto" w:fill="FFFFFF"/>
        </w:rPr>
        <w:object>
          <v:shape id="_x0000_i1027" o:spt="75" type="#_x0000_t75" style="height:243.5pt;width:302.3pt;" o:ole="t" filled="f" o:preferrelative="t" stroked="f" coordsize="21600,21600">
            <v:path/>
            <v:fill on="f" focussize="0,0"/>
            <v:stroke on="f"/>
            <v:imagedata r:id="rId11" o:title=""/>
            <o:lock v:ext="edit" aspectratio="t"/>
            <w10:wrap type="none"/>
            <w10:anchorlock/>
          </v:shape>
          <o:OLEObject Type="Embed" ProgID="Excel.Chart.8" ShapeID="_x0000_i1027" DrawAspect="Content" ObjectID="_1468075727" r:id="rId10">
            <o:LockedField>false</o:LockedField>
          </o:OLEObject>
        </w:object>
      </w:r>
    </w:p>
    <w:p>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（图3：支出决算结构图）</w:t>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29"/>
          <w:rFonts w:ascii="黑体" w:hAnsi="黑体" w:eastAsia="黑体"/>
          <w:b w:val="0"/>
        </w:rPr>
      </w:pPr>
      <w:bookmarkStart w:id="35" w:name="_Toc15377208"/>
      <w:bookmarkStart w:id="36" w:name="_Toc15396606"/>
      <w:bookmarkStart w:id="37" w:name="_Toc1130"/>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35"/>
      <w:bookmarkEnd w:id="36"/>
      <w:bookmarkEnd w:id="37"/>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22年财政拨款收、支总计</w:t>
      </w:r>
      <w:r>
        <w:rPr>
          <w:rFonts w:hint="eastAsia" w:ascii="仿宋" w:hAnsi="仿宋" w:eastAsia="仿宋"/>
          <w:sz w:val="32"/>
          <w:szCs w:val="32"/>
          <w:lang w:val="en-US" w:eastAsia="zh-CN"/>
        </w:rPr>
        <w:t>5886.53</w:t>
      </w:r>
      <w:r>
        <w:rPr>
          <w:rFonts w:hint="eastAsia" w:ascii="仿宋" w:hAnsi="仿宋" w:eastAsia="仿宋"/>
          <w:sz w:val="32"/>
          <w:szCs w:val="32"/>
        </w:rPr>
        <w:t>万元。与</w:t>
      </w:r>
      <w:r>
        <w:rPr>
          <w:rFonts w:ascii="仿宋" w:hAnsi="仿宋" w:eastAsia="仿宋"/>
          <w:sz w:val="32"/>
          <w:szCs w:val="32"/>
        </w:rPr>
        <w:t>20</w:t>
      </w:r>
      <w:r>
        <w:rPr>
          <w:rFonts w:hint="eastAsia" w:ascii="仿宋" w:hAnsi="仿宋" w:eastAsia="仿宋"/>
          <w:sz w:val="32"/>
          <w:szCs w:val="32"/>
        </w:rPr>
        <w:t>21年相比，财政拨款收、支总计各增加</w:t>
      </w:r>
      <w:r>
        <w:rPr>
          <w:rFonts w:hint="eastAsia" w:ascii="仿宋" w:hAnsi="仿宋" w:eastAsia="仿宋"/>
          <w:sz w:val="32"/>
          <w:szCs w:val="32"/>
          <w:lang w:val="en-US" w:eastAsia="zh-CN"/>
        </w:rPr>
        <w:t>2360.09</w:t>
      </w:r>
      <w:r>
        <w:rPr>
          <w:rFonts w:hint="eastAsia" w:ascii="仿宋" w:hAnsi="仿宋" w:eastAsia="仿宋"/>
          <w:sz w:val="32"/>
          <w:szCs w:val="32"/>
        </w:rPr>
        <w:t>万元，增长</w:t>
      </w:r>
      <w:r>
        <w:rPr>
          <w:rFonts w:hint="eastAsia" w:ascii="仿宋" w:hAnsi="仿宋" w:eastAsia="仿宋"/>
          <w:sz w:val="32"/>
          <w:szCs w:val="32"/>
          <w:lang w:val="en-US" w:eastAsia="zh-CN"/>
        </w:rPr>
        <w:t>66.93</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攀枝花市强制隔离戒毒所建设项目持续推进，</w:t>
      </w:r>
      <w:r>
        <w:rPr>
          <w:rFonts w:hint="eastAsia" w:ascii="仿宋" w:hAnsi="仿宋" w:eastAsia="仿宋"/>
          <w:sz w:val="32"/>
          <w:szCs w:val="32"/>
          <w:lang w:val="en-US" w:eastAsia="zh-CN"/>
        </w:rPr>
        <w:t>2022年项目建设资金拨付较2021年大幅增加</w:t>
      </w:r>
      <w:r>
        <w:rPr>
          <w:rFonts w:hint="eastAsia" w:ascii="仿宋" w:hAnsi="仿宋" w:eastAsia="仿宋"/>
          <w:sz w:val="32"/>
          <w:szCs w:val="32"/>
        </w:rPr>
        <w:t>。</w:t>
      </w:r>
    </w:p>
    <w:p>
      <w:pPr>
        <w:pStyle w:val="2"/>
        <w:jc w:val="center"/>
        <w:rPr>
          <w:rFonts w:ascii="仿宋" w:hAnsi="仿宋" w:eastAsia="仿宋"/>
          <w:sz w:val="32"/>
          <w:szCs w:val="32"/>
        </w:rPr>
      </w:pPr>
      <w:r>
        <w:rPr>
          <w:rFonts w:eastAsia="仿宋"/>
          <w:sz w:val="32"/>
          <w:szCs w:val="32"/>
        </w:rPr>
        <w:object>
          <v:shape id="_x0000_i1028" o:spt="75" type="#_x0000_t75" style="height:222.75pt;width:366.9pt;" o:ole="t" filled="f" o:preferrelative="t" stroked="f" coordsize="21600,21600">
            <v:path/>
            <v:fill on="f" focussize="0,0"/>
            <v:stroke on="f"/>
            <v:imagedata r:id="rId13" o:title=""/>
            <o:lock v:ext="edit" aspectratio="t"/>
            <w10:wrap type="none"/>
            <w10:anchorlock/>
          </v:shape>
          <o:OLEObject Type="Embed" ProgID="Excel.Chart.8" ShapeID="_x0000_i1028" DrawAspect="Content" ObjectID="_1468075728" r:id="rId12">
            <o:LockedField>false</o:LockedField>
          </o:OLEObject>
        </w:object>
      </w:r>
    </w:p>
    <w:p>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（图4：财政拨款收、支决算总计变动情况）</w:t>
      </w:r>
    </w:p>
    <w:p>
      <w:pPr>
        <w:spacing w:line="600" w:lineRule="exact"/>
        <w:ind w:firstLine="640"/>
        <w:rPr>
          <w:rFonts w:ascii="仿宋" w:hAnsi="仿宋" w:eastAsia="仿宋"/>
          <w:b/>
          <w:sz w:val="32"/>
          <w:szCs w:val="32"/>
        </w:rPr>
      </w:pPr>
    </w:p>
    <w:p>
      <w:pPr>
        <w:spacing w:line="600" w:lineRule="exact"/>
        <w:ind w:firstLine="640" w:firstLineChars="200"/>
        <w:outlineLvl w:val="1"/>
        <w:rPr>
          <w:rStyle w:val="29"/>
          <w:rFonts w:ascii="黑体" w:hAnsi="黑体" w:eastAsia="黑体"/>
          <w:b w:val="0"/>
        </w:rPr>
      </w:pPr>
      <w:bookmarkStart w:id="38" w:name="_Toc15396607"/>
      <w:bookmarkStart w:id="39" w:name="_Toc15377209"/>
      <w:bookmarkStart w:id="40" w:name="_Toc19664"/>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38"/>
      <w:bookmarkEnd w:id="39"/>
      <w:bookmarkEnd w:id="40"/>
    </w:p>
    <w:p>
      <w:pPr>
        <w:spacing w:line="600" w:lineRule="exact"/>
        <w:ind w:firstLine="643" w:firstLineChars="200"/>
        <w:outlineLvl w:val="2"/>
        <w:rPr>
          <w:rFonts w:ascii="仿宋" w:hAnsi="仿宋" w:eastAsia="仿宋"/>
          <w:b/>
          <w:sz w:val="32"/>
          <w:szCs w:val="32"/>
        </w:rPr>
      </w:pPr>
      <w:bookmarkStart w:id="41" w:name="_Toc15377210"/>
      <w:r>
        <w:rPr>
          <w:rFonts w:hint="eastAsia" w:ascii="仿宋" w:hAnsi="仿宋" w:eastAsia="仿宋"/>
          <w:b/>
          <w:sz w:val="32"/>
          <w:szCs w:val="32"/>
        </w:rPr>
        <w:t>（一）一般公共预算财政拨款支出决算总体情况</w:t>
      </w:r>
      <w:bookmarkEnd w:id="41"/>
    </w:p>
    <w:p>
      <w:pPr>
        <w:spacing w:line="600" w:lineRule="exact"/>
        <w:ind w:firstLine="640" w:firstLineChars="200"/>
        <w:rPr>
          <w:rFonts w:hint="eastAsia" w:ascii="仿宋" w:hAnsi="仿宋" w:eastAsia="仿宋"/>
          <w:sz w:val="32"/>
          <w:szCs w:val="32"/>
          <w:lang w:val="en-US" w:eastAsia="zh-CN"/>
        </w:rPr>
      </w:pPr>
      <w:r>
        <w:rPr>
          <w:rFonts w:ascii="仿宋" w:hAnsi="仿宋" w:eastAsia="仿宋"/>
          <w:sz w:val="32"/>
          <w:szCs w:val="32"/>
        </w:rPr>
        <w:t>20</w:t>
      </w:r>
      <w:r>
        <w:rPr>
          <w:rFonts w:hint="eastAsia" w:ascii="仿宋" w:hAnsi="仿宋" w:eastAsia="仿宋"/>
          <w:sz w:val="32"/>
          <w:szCs w:val="32"/>
        </w:rPr>
        <w:t>22年一般公共预算财政拨款支出</w:t>
      </w:r>
      <w:r>
        <w:rPr>
          <w:rFonts w:hint="eastAsia" w:ascii="仿宋" w:hAnsi="仿宋" w:eastAsia="仿宋"/>
          <w:sz w:val="32"/>
          <w:szCs w:val="32"/>
          <w:lang w:val="en-US" w:eastAsia="zh-CN"/>
        </w:rPr>
        <w:t>3486.53</w:t>
      </w:r>
      <w:r>
        <w:rPr>
          <w:rFonts w:hint="eastAsia" w:ascii="仿宋" w:hAnsi="仿宋" w:eastAsia="仿宋"/>
          <w:sz w:val="32"/>
          <w:szCs w:val="32"/>
        </w:rPr>
        <w:t>万元，占本年支出合计的</w:t>
      </w:r>
      <w:r>
        <w:rPr>
          <w:rFonts w:hint="eastAsia" w:ascii="仿宋" w:hAnsi="仿宋" w:eastAsia="仿宋"/>
          <w:sz w:val="32"/>
          <w:szCs w:val="32"/>
          <w:lang w:val="en-US" w:eastAsia="zh-CN"/>
        </w:rPr>
        <w:t>59.23</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21年相比，一般公共预算财政拨款支出减少</w:t>
      </w:r>
      <w:r>
        <w:rPr>
          <w:rFonts w:hint="eastAsia" w:ascii="仿宋" w:hAnsi="仿宋" w:eastAsia="仿宋"/>
          <w:sz w:val="32"/>
          <w:szCs w:val="32"/>
          <w:lang w:val="en-US" w:eastAsia="zh-CN"/>
        </w:rPr>
        <w:t>39.91</w:t>
      </w:r>
      <w:r>
        <w:rPr>
          <w:rFonts w:hint="eastAsia" w:ascii="仿宋" w:hAnsi="仿宋" w:eastAsia="仿宋"/>
          <w:sz w:val="32"/>
          <w:szCs w:val="32"/>
        </w:rPr>
        <w:t>万元，下降</w:t>
      </w:r>
      <w:r>
        <w:rPr>
          <w:rFonts w:hint="eastAsia" w:ascii="仿宋" w:hAnsi="仿宋" w:eastAsia="仿宋"/>
          <w:sz w:val="32"/>
          <w:szCs w:val="32"/>
          <w:lang w:val="en-US" w:eastAsia="zh-CN"/>
        </w:rPr>
        <w:t>1.13</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攀枝花市强制隔离戒毒所建设项目</w:t>
      </w:r>
      <w:r>
        <w:rPr>
          <w:rFonts w:hint="eastAsia" w:ascii="仿宋" w:hAnsi="仿宋" w:eastAsia="仿宋"/>
          <w:sz w:val="32"/>
          <w:szCs w:val="32"/>
        </w:rPr>
        <w:t>一般公共预算财政拨款</w:t>
      </w:r>
      <w:r>
        <w:rPr>
          <w:rFonts w:hint="eastAsia" w:ascii="仿宋" w:hAnsi="仿宋" w:eastAsia="仿宋"/>
          <w:sz w:val="32"/>
          <w:szCs w:val="32"/>
          <w:lang w:eastAsia="zh-CN"/>
        </w:rPr>
        <w:t>较</w:t>
      </w:r>
      <w:r>
        <w:rPr>
          <w:rFonts w:hint="eastAsia" w:ascii="仿宋" w:hAnsi="仿宋" w:eastAsia="仿宋"/>
          <w:sz w:val="32"/>
          <w:szCs w:val="32"/>
          <w:lang w:val="en-US" w:eastAsia="zh-CN"/>
        </w:rPr>
        <w:t>2021年减少。</w:t>
      </w:r>
    </w:p>
    <w:p>
      <w:pPr>
        <w:pStyle w:val="2"/>
        <w:rPr>
          <w:rFonts w:hint="eastAsia" w:ascii="仿宋" w:hAnsi="仿宋" w:eastAsia="仿宋"/>
          <w:sz w:val="32"/>
          <w:szCs w:val="32"/>
          <w:lang w:val="en-US" w:eastAsia="zh-CN"/>
        </w:rPr>
      </w:pPr>
    </w:p>
    <w:p>
      <w:pPr>
        <w:pStyle w:val="2"/>
        <w:jc w:val="center"/>
        <w:rPr>
          <w:rFonts w:hint="eastAsia" w:ascii="仿宋" w:hAnsi="仿宋" w:eastAsia="仿宋"/>
          <w:sz w:val="32"/>
          <w:szCs w:val="32"/>
          <w:lang w:val="en-US" w:eastAsia="zh-CN"/>
        </w:rPr>
      </w:pPr>
      <w:r>
        <w:rPr>
          <w:rFonts w:eastAsia="仿宋"/>
          <w:sz w:val="32"/>
          <w:szCs w:val="32"/>
        </w:rPr>
        <w:object>
          <v:shape id="_x0000_i1029" o:spt="75" type="#_x0000_t75" style="height:222.75pt;width:366.9pt;" o:ole="t" filled="f" o:preferrelative="t" stroked="f" coordsize="21600,21600">
            <v:path/>
            <v:fill on="f" focussize="0,0"/>
            <v:stroke on="f"/>
            <v:imagedata r:id="rId15" o:title=""/>
            <o:lock v:ext="edit" aspectratio="t"/>
            <w10:wrap type="none"/>
            <w10:anchorlock/>
          </v:shape>
          <o:OLEObject Type="Embed" ProgID="Excel.Chart.8" ShapeID="_x0000_i1029" DrawAspect="Content" ObjectID="_1468075729" r:id="rId14">
            <o:LockedField>false</o:LockedField>
          </o:OLEObject>
        </w:object>
      </w:r>
    </w:p>
    <w:p>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（图5：一般公共预算财政拨款支出决算变动情况）</w:t>
      </w:r>
    </w:p>
    <w:p>
      <w:pPr>
        <w:spacing w:line="600" w:lineRule="exact"/>
        <w:ind w:firstLine="643" w:firstLineChars="200"/>
        <w:outlineLvl w:val="2"/>
        <w:rPr>
          <w:rFonts w:ascii="仿宋" w:hAnsi="仿宋" w:eastAsia="仿宋"/>
          <w:b/>
          <w:sz w:val="32"/>
          <w:szCs w:val="32"/>
        </w:rPr>
      </w:pPr>
      <w:bookmarkStart w:id="42" w:name="_Toc15377211"/>
      <w:r>
        <w:rPr>
          <w:rFonts w:hint="eastAsia" w:ascii="仿宋" w:hAnsi="仿宋" w:eastAsia="仿宋"/>
          <w:b/>
          <w:sz w:val="32"/>
          <w:szCs w:val="32"/>
        </w:rPr>
        <w:t>（二）一般公共预算财政拨款支出决算结构情况</w:t>
      </w:r>
      <w:bookmarkEnd w:id="42"/>
    </w:p>
    <w:p>
      <w:pPr>
        <w:spacing w:line="600" w:lineRule="exact"/>
        <w:ind w:firstLine="640"/>
        <w:rPr>
          <w:rFonts w:hint="eastAsia"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22年一般公共预算财政拨款支出</w:t>
      </w:r>
      <w:r>
        <w:rPr>
          <w:rFonts w:hint="eastAsia" w:ascii="仿宋" w:hAnsi="仿宋" w:eastAsia="仿宋"/>
          <w:sz w:val="32"/>
          <w:szCs w:val="32"/>
          <w:lang w:val="en-US" w:eastAsia="zh-CN"/>
        </w:rPr>
        <w:t>3486.53</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bCs w:val="0"/>
          <w:sz w:val="32"/>
          <w:szCs w:val="32"/>
        </w:rPr>
        <w:t>公共</w:t>
      </w:r>
      <w:r>
        <w:rPr>
          <w:rFonts w:hint="eastAsia" w:ascii="仿宋" w:hAnsi="仿宋" w:eastAsia="仿宋"/>
          <w:b/>
          <w:bCs w:val="0"/>
          <w:sz w:val="32"/>
          <w:szCs w:val="32"/>
          <w:lang w:val="en-US" w:eastAsia="zh-CN"/>
        </w:rPr>
        <w:t>安全</w:t>
      </w:r>
      <w:r>
        <w:rPr>
          <w:rFonts w:hint="eastAsia" w:ascii="仿宋" w:hAnsi="仿宋" w:eastAsia="仿宋"/>
          <w:b/>
          <w:bCs w:val="0"/>
          <w:sz w:val="32"/>
          <w:szCs w:val="32"/>
        </w:rPr>
        <w:t>支出</w:t>
      </w:r>
      <w:r>
        <w:rPr>
          <w:rFonts w:hint="eastAsia" w:ascii="仿宋" w:hAnsi="仿宋" w:eastAsia="仿宋"/>
          <w:sz w:val="32"/>
          <w:szCs w:val="32"/>
          <w:lang w:val="en-US" w:eastAsia="zh-CN"/>
        </w:rPr>
        <w:t>2078.91</w:t>
      </w:r>
      <w:r>
        <w:rPr>
          <w:rFonts w:hint="eastAsia" w:ascii="仿宋" w:hAnsi="仿宋" w:eastAsia="仿宋"/>
          <w:sz w:val="32"/>
          <w:szCs w:val="32"/>
        </w:rPr>
        <w:t>万元，占</w:t>
      </w:r>
      <w:r>
        <w:rPr>
          <w:rFonts w:hint="eastAsia" w:ascii="仿宋" w:hAnsi="仿宋" w:eastAsia="仿宋"/>
          <w:sz w:val="32"/>
          <w:szCs w:val="32"/>
          <w:lang w:val="en-US" w:eastAsia="zh-CN"/>
        </w:rPr>
        <w:t>59.63</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sz w:val="32"/>
          <w:szCs w:val="32"/>
        </w:rPr>
        <w:t>支出</w:t>
      </w:r>
      <w:r>
        <w:rPr>
          <w:rFonts w:hint="eastAsia" w:ascii="仿宋" w:hAnsi="仿宋" w:eastAsia="仿宋"/>
          <w:sz w:val="32"/>
          <w:szCs w:val="32"/>
          <w:lang w:val="en-US" w:eastAsia="zh-CN"/>
        </w:rPr>
        <w:t>380.81</w:t>
      </w:r>
      <w:r>
        <w:rPr>
          <w:rFonts w:hint="eastAsia" w:ascii="仿宋" w:hAnsi="仿宋" w:eastAsia="仿宋"/>
          <w:sz w:val="32"/>
          <w:szCs w:val="32"/>
        </w:rPr>
        <w:t>万元，占</w:t>
      </w:r>
      <w:r>
        <w:rPr>
          <w:rFonts w:hint="eastAsia" w:ascii="仿宋" w:hAnsi="仿宋" w:eastAsia="仿宋"/>
          <w:sz w:val="32"/>
          <w:szCs w:val="32"/>
          <w:lang w:val="en-US" w:eastAsia="zh-CN"/>
        </w:rPr>
        <w:t>10.92</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lang w:val="en-US" w:eastAsia="zh-CN"/>
        </w:rPr>
        <w:t>城乡社区</w:t>
      </w:r>
      <w:r>
        <w:rPr>
          <w:rFonts w:hint="eastAsia" w:ascii="仿宋" w:hAnsi="仿宋" w:eastAsia="仿宋"/>
          <w:b/>
          <w:bCs/>
          <w:sz w:val="32"/>
          <w:szCs w:val="32"/>
        </w:rPr>
        <w:t>支出</w:t>
      </w:r>
      <w:r>
        <w:rPr>
          <w:rFonts w:hint="eastAsia" w:ascii="仿宋" w:hAnsi="仿宋" w:eastAsia="仿宋"/>
          <w:sz w:val="32"/>
          <w:szCs w:val="32"/>
          <w:lang w:val="en-US" w:eastAsia="zh-CN"/>
        </w:rPr>
        <w:t>820</w:t>
      </w:r>
      <w:r>
        <w:rPr>
          <w:rFonts w:hint="eastAsia" w:ascii="仿宋" w:hAnsi="仿宋" w:eastAsia="仿宋"/>
          <w:sz w:val="32"/>
          <w:szCs w:val="32"/>
        </w:rPr>
        <w:t>万元，占</w:t>
      </w:r>
      <w:r>
        <w:rPr>
          <w:rFonts w:hint="eastAsia" w:ascii="仿宋" w:hAnsi="仿宋" w:eastAsia="仿宋"/>
          <w:sz w:val="32"/>
          <w:szCs w:val="32"/>
          <w:lang w:val="en-US" w:eastAsia="zh-CN"/>
        </w:rPr>
        <w:t>23.52</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lang w:val="en-US" w:eastAsia="zh-CN"/>
        </w:rPr>
        <w:t>206.80</w:t>
      </w:r>
      <w:r>
        <w:rPr>
          <w:rFonts w:hint="eastAsia" w:ascii="仿宋" w:hAnsi="仿宋" w:eastAsia="仿宋"/>
          <w:sz w:val="32"/>
          <w:szCs w:val="32"/>
        </w:rPr>
        <w:t>万元，占</w:t>
      </w:r>
      <w:r>
        <w:rPr>
          <w:rFonts w:hint="eastAsia" w:ascii="仿宋" w:hAnsi="仿宋" w:eastAsia="仿宋"/>
          <w:sz w:val="32"/>
          <w:szCs w:val="32"/>
          <w:lang w:val="en-US" w:eastAsia="zh-CN"/>
        </w:rPr>
        <w:t>5.93</w:t>
      </w:r>
      <w:r>
        <w:rPr>
          <w:rFonts w:ascii="仿宋" w:hAnsi="仿宋" w:eastAsia="仿宋"/>
          <w:sz w:val="32"/>
          <w:szCs w:val="32"/>
        </w:rPr>
        <w:t>%</w:t>
      </w:r>
      <w:r>
        <w:rPr>
          <w:rFonts w:hint="eastAsia" w:ascii="仿宋" w:hAnsi="仿宋" w:eastAsia="仿宋"/>
          <w:sz w:val="32"/>
          <w:szCs w:val="32"/>
        </w:rPr>
        <w:t>。</w:t>
      </w:r>
    </w:p>
    <w:p>
      <w:pPr>
        <w:pStyle w:val="2"/>
        <w:jc w:val="center"/>
        <w:rPr>
          <w:rFonts w:ascii="仿宋" w:hAnsi="仿宋" w:eastAsia="仿宋"/>
          <w:sz w:val="32"/>
          <w:szCs w:val="32"/>
        </w:rPr>
      </w:pPr>
      <w:r>
        <w:rPr>
          <w:rFonts w:hint="eastAsia" w:eastAsia="仿宋"/>
          <w:color w:val="000000"/>
          <w:sz w:val="32"/>
          <w:szCs w:val="32"/>
        </w:rPr>
        <w:object>
          <v:shape id="_x0000_i1030" o:spt="75" type="#_x0000_t75" style="height:202.15pt;width:332.8pt;" o:ole="t" filled="f" o:preferrelative="t" stroked="f" coordsize="21600,21600">
            <v:path/>
            <v:fill on="f" focussize="0,0"/>
            <v:stroke on="f"/>
            <v:imagedata r:id="rId17" o:title=""/>
            <o:lock v:ext="edit" aspectratio="t"/>
            <w10:wrap type="none"/>
            <w10:anchorlock/>
          </v:shape>
          <o:OLEObject Type="Embed" ProgID="Excel.Chart.8" ShapeID="_x0000_i1030" DrawAspect="Content" ObjectID="_1468075730" r:id="rId16">
            <o:LockedField>false</o:LockedField>
          </o:OLEObject>
        </w:objec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w:t>
      </w:r>
    </w:p>
    <w:p>
      <w:pPr>
        <w:spacing w:line="600" w:lineRule="exact"/>
        <w:ind w:firstLine="643" w:firstLineChars="200"/>
        <w:outlineLvl w:val="2"/>
        <w:rPr>
          <w:rFonts w:ascii="仿宋" w:hAnsi="仿宋" w:eastAsia="仿宋"/>
          <w:b/>
          <w:sz w:val="32"/>
          <w:szCs w:val="32"/>
        </w:rPr>
      </w:pPr>
      <w:bookmarkStart w:id="43" w:name="_Toc15377212"/>
      <w:r>
        <w:rPr>
          <w:rFonts w:hint="eastAsia" w:ascii="仿宋" w:hAnsi="仿宋" w:eastAsia="仿宋"/>
          <w:b/>
          <w:sz w:val="32"/>
          <w:szCs w:val="32"/>
        </w:rPr>
        <w:t>（三）一般公共预算财政拨款支出决算具体情况</w:t>
      </w:r>
      <w:bookmarkEnd w:id="43"/>
    </w:p>
    <w:p>
      <w:pPr>
        <w:spacing w:line="600" w:lineRule="exact"/>
        <w:ind w:firstLine="643" w:firstLineChars="200"/>
        <w:outlineLvl w:val="2"/>
        <w:rPr>
          <w:rStyle w:val="16"/>
          <w:rFonts w:hint="eastAsia" w:ascii="仿宋" w:hAnsi="仿宋" w:eastAsia="仿宋"/>
          <w:bCs/>
          <w:sz w:val="32"/>
          <w:szCs w:val="32"/>
        </w:rPr>
      </w:pPr>
      <w:bookmarkStart w:id="44" w:name="_Toc15378460"/>
      <w:bookmarkStart w:id="45" w:name="_Toc15377213"/>
      <w:bookmarkStart w:id="46" w:name="_Toc15377444"/>
      <w:r>
        <w:rPr>
          <w:rFonts w:hint="eastAsia" w:ascii="仿宋" w:hAnsi="仿宋" w:eastAsia="仿宋"/>
          <w:b/>
          <w:sz w:val="32"/>
          <w:szCs w:val="32"/>
        </w:rPr>
        <w:t>2022年一般公共预算支出决算数为</w:t>
      </w:r>
      <w:r>
        <w:rPr>
          <w:rFonts w:hint="eastAsia" w:ascii="仿宋" w:hAnsi="仿宋" w:eastAsia="仿宋"/>
          <w:b/>
          <w:sz w:val="32"/>
          <w:szCs w:val="32"/>
          <w:lang w:val="en-US" w:eastAsia="zh-CN"/>
        </w:rPr>
        <w:t>3486.53万元</w:t>
      </w:r>
      <w:r>
        <w:rPr>
          <w:rFonts w:hint="eastAsia" w:ascii="仿宋" w:hAnsi="仿宋" w:eastAsia="仿宋"/>
          <w:sz w:val="32"/>
          <w:szCs w:val="32"/>
        </w:rPr>
        <w:t>，</w:t>
      </w:r>
      <w:r>
        <w:rPr>
          <w:rStyle w:val="16"/>
          <w:rFonts w:hint="eastAsia" w:ascii="仿宋" w:hAnsi="仿宋" w:eastAsia="仿宋"/>
          <w:bCs/>
          <w:sz w:val="32"/>
          <w:szCs w:val="32"/>
        </w:rPr>
        <w:t>完成预算</w:t>
      </w:r>
      <w:r>
        <w:rPr>
          <w:rStyle w:val="16"/>
          <w:rFonts w:hint="eastAsia" w:ascii="仿宋" w:hAnsi="仿宋" w:eastAsia="仿宋"/>
          <w:bCs/>
          <w:sz w:val="32"/>
          <w:szCs w:val="32"/>
          <w:lang w:val="en-US" w:eastAsia="zh-CN"/>
        </w:rPr>
        <w:t>100</w:t>
      </w:r>
      <w:r>
        <w:rPr>
          <w:rStyle w:val="16"/>
          <w:rFonts w:ascii="仿宋" w:hAnsi="仿宋" w:eastAsia="仿宋"/>
          <w:bCs/>
          <w:sz w:val="32"/>
          <w:szCs w:val="32"/>
        </w:rPr>
        <w:t>%</w:t>
      </w:r>
      <w:r>
        <w:rPr>
          <w:rStyle w:val="16"/>
          <w:rFonts w:hint="eastAsia" w:ascii="仿宋" w:hAnsi="仿宋" w:eastAsia="仿宋"/>
          <w:bCs/>
          <w:sz w:val="32"/>
          <w:szCs w:val="32"/>
        </w:rPr>
        <w:t>。其中：</w:t>
      </w:r>
      <w:bookmarkEnd w:id="44"/>
      <w:bookmarkEnd w:id="45"/>
      <w:bookmarkEnd w:id="46"/>
    </w:p>
    <w:p>
      <w:pPr>
        <w:spacing w:line="600" w:lineRule="exact"/>
        <w:ind w:firstLine="643" w:firstLineChars="200"/>
        <w:rPr>
          <w:rStyle w:val="16"/>
          <w:rFonts w:eastAsia="仿宋"/>
          <w:b w:val="0"/>
          <w:bCs/>
          <w:color w:val="000000"/>
          <w:sz w:val="32"/>
          <w:szCs w:val="32"/>
        </w:rPr>
      </w:pPr>
      <w:r>
        <w:rPr>
          <w:rStyle w:val="16"/>
          <w:rFonts w:hint="eastAsia" w:eastAsia="仿宋"/>
          <w:bCs/>
          <w:color w:val="000000"/>
          <w:sz w:val="32"/>
          <w:szCs w:val="32"/>
          <w:lang w:val="en-US" w:eastAsia="zh-CN"/>
        </w:rPr>
        <w:t>1</w:t>
      </w:r>
      <w:r>
        <w:rPr>
          <w:rStyle w:val="16"/>
          <w:rFonts w:eastAsia="仿宋"/>
          <w:bCs/>
          <w:color w:val="000000"/>
          <w:sz w:val="32"/>
          <w:szCs w:val="32"/>
        </w:rPr>
        <w:t>.公共安全支出（类）强制隔离戒毒（款）行政运行（项）:</w:t>
      </w:r>
      <w:r>
        <w:rPr>
          <w:rStyle w:val="16"/>
          <w:rFonts w:eastAsia="仿宋"/>
          <w:b w:val="0"/>
          <w:bCs/>
          <w:color w:val="000000"/>
          <w:sz w:val="32"/>
          <w:szCs w:val="32"/>
        </w:rPr>
        <w:t xml:space="preserve"> 支出决算为</w:t>
      </w:r>
      <w:r>
        <w:rPr>
          <w:rStyle w:val="16"/>
          <w:rFonts w:hint="eastAsia" w:eastAsia="仿宋"/>
          <w:b w:val="0"/>
          <w:bCs/>
          <w:color w:val="000000"/>
          <w:sz w:val="32"/>
          <w:szCs w:val="32"/>
          <w:lang w:val="en-US" w:eastAsia="zh-CN"/>
        </w:rPr>
        <w:t>2058.91</w:t>
      </w:r>
      <w:r>
        <w:rPr>
          <w:rStyle w:val="16"/>
          <w:rFonts w:eastAsia="仿宋"/>
          <w:b w:val="0"/>
          <w:bCs/>
          <w:color w:val="000000"/>
          <w:sz w:val="32"/>
          <w:szCs w:val="32"/>
        </w:rPr>
        <w:t>万元，完成预算100%。</w:t>
      </w:r>
    </w:p>
    <w:p>
      <w:pPr>
        <w:spacing w:line="600" w:lineRule="exact"/>
        <w:ind w:firstLine="643" w:firstLineChars="200"/>
        <w:rPr>
          <w:rStyle w:val="16"/>
          <w:rFonts w:eastAsia="仿宋"/>
          <w:b w:val="0"/>
          <w:bCs/>
          <w:color w:val="000000"/>
          <w:sz w:val="32"/>
          <w:szCs w:val="32"/>
        </w:rPr>
      </w:pPr>
      <w:r>
        <w:rPr>
          <w:rStyle w:val="16"/>
          <w:rFonts w:hint="eastAsia" w:eastAsia="仿宋"/>
          <w:bCs/>
          <w:color w:val="000000"/>
          <w:sz w:val="32"/>
          <w:szCs w:val="32"/>
          <w:lang w:val="en-US" w:eastAsia="zh-CN"/>
        </w:rPr>
        <w:t>2</w:t>
      </w:r>
      <w:r>
        <w:rPr>
          <w:rStyle w:val="16"/>
          <w:rFonts w:eastAsia="仿宋"/>
          <w:bCs/>
          <w:color w:val="000000"/>
          <w:sz w:val="32"/>
          <w:szCs w:val="32"/>
        </w:rPr>
        <w:t>.公共安全支出（类）强制隔离戒毒（款）一般行政管理事务（项）:</w:t>
      </w:r>
      <w:r>
        <w:rPr>
          <w:rStyle w:val="16"/>
          <w:rFonts w:eastAsia="仿宋"/>
          <w:b w:val="0"/>
          <w:bCs/>
          <w:color w:val="000000"/>
          <w:sz w:val="32"/>
          <w:szCs w:val="32"/>
        </w:rPr>
        <w:t xml:space="preserve"> 支出决算为</w:t>
      </w:r>
      <w:r>
        <w:rPr>
          <w:rStyle w:val="16"/>
          <w:rFonts w:hint="eastAsia" w:eastAsia="仿宋"/>
          <w:b w:val="0"/>
          <w:bCs/>
          <w:color w:val="000000"/>
          <w:sz w:val="32"/>
          <w:szCs w:val="32"/>
          <w:lang w:val="en-US" w:eastAsia="zh-CN"/>
        </w:rPr>
        <w:t>20</w:t>
      </w:r>
      <w:r>
        <w:rPr>
          <w:rStyle w:val="16"/>
          <w:rFonts w:eastAsia="仿宋"/>
          <w:b w:val="0"/>
          <w:bCs/>
          <w:color w:val="000000"/>
          <w:sz w:val="32"/>
          <w:szCs w:val="32"/>
        </w:rPr>
        <w:t>万元，完成预算100%。</w:t>
      </w:r>
    </w:p>
    <w:p>
      <w:pPr>
        <w:spacing w:line="600" w:lineRule="exact"/>
        <w:ind w:firstLine="643" w:firstLineChars="200"/>
        <w:rPr>
          <w:rStyle w:val="16"/>
          <w:rFonts w:eastAsia="仿宋"/>
          <w:b w:val="0"/>
          <w:bCs/>
          <w:color w:val="000000"/>
          <w:sz w:val="32"/>
          <w:szCs w:val="32"/>
        </w:rPr>
      </w:pPr>
      <w:r>
        <w:rPr>
          <w:rStyle w:val="16"/>
          <w:rFonts w:hint="eastAsia" w:eastAsia="仿宋"/>
          <w:bCs/>
          <w:color w:val="000000"/>
          <w:sz w:val="32"/>
          <w:szCs w:val="32"/>
          <w:lang w:val="en-US" w:eastAsia="zh-CN"/>
        </w:rPr>
        <w:t>3</w:t>
      </w:r>
      <w:r>
        <w:rPr>
          <w:rStyle w:val="16"/>
          <w:rFonts w:eastAsia="仿宋"/>
          <w:bCs/>
          <w:color w:val="000000"/>
          <w:sz w:val="32"/>
          <w:szCs w:val="32"/>
        </w:rPr>
        <w:t>.社会保障和就业（类）行政事业单位养老支出（款）行政单位离退休（项）:</w:t>
      </w:r>
      <w:r>
        <w:rPr>
          <w:rStyle w:val="16"/>
          <w:rFonts w:eastAsia="仿宋"/>
          <w:b w:val="0"/>
          <w:bCs/>
          <w:color w:val="000000"/>
          <w:sz w:val="32"/>
          <w:szCs w:val="32"/>
        </w:rPr>
        <w:t xml:space="preserve"> 支出决算为</w:t>
      </w:r>
      <w:r>
        <w:rPr>
          <w:rStyle w:val="16"/>
          <w:rFonts w:hint="eastAsia" w:eastAsia="仿宋"/>
          <w:b w:val="0"/>
          <w:bCs/>
          <w:color w:val="000000"/>
          <w:sz w:val="32"/>
          <w:szCs w:val="32"/>
          <w:lang w:val="en-US" w:eastAsia="zh-CN"/>
        </w:rPr>
        <w:t>211.93</w:t>
      </w:r>
      <w:r>
        <w:rPr>
          <w:rStyle w:val="16"/>
          <w:rFonts w:eastAsia="仿宋"/>
          <w:b w:val="0"/>
          <w:bCs/>
          <w:color w:val="000000"/>
          <w:sz w:val="32"/>
          <w:szCs w:val="32"/>
        </w:rPr>
        <w:t>万元，完成预算100%。</w:t>
      </w:r>
    </w:p>
    <w:p>
      <w:pPr>
        <w:spacing w:line="600" w:lineRule="exact"/>
        <w:ind w:firstLine="643" w:firstLineChars="200"/>
        <w:rPr>
          <w:rStyle w:val="16"/>
          <w:rFonts w:eastAsia="仿宋"/>
          <w:b w:val="0"/>
          <w:bCs/>
          <w:color w:val="000000"/>
          <w:sz w:val="32"/>
          <w:szCs w:val="32"/>
        </w:rPr>
      </w:pPr>
      <w:r>
        <w:rPr>
          <w:rStyle w:val="16"/>
          <w:rFonts w:hint="eastAsia" w:eastAsia="仿宋"/>
          <w:bCs/>
          <w:color w:val="000000"/>
          <w:sz w:val="32"/>
          <w:szCs w:val="32"/>
          <w:lang w:val="en-US" w:eastAsia="zh-CN"/>
        </w:rPr>
        <w:t>4</w:t>
      </w:r>
      <w:r>
        <w:rPr>
          <w:rStyle w:val="16"/>
          <w:rFonts w:eastAsia="仿宋"/>
          <w:bCs/>
          <w:color w:val="000000"/>
          <w:sz w:val="32"/>
          <w:szCs w:val="32"/>
        </w:rPr>
        <w:t>.社会保障和就业（类）行政事业单位养老支出（款）机关事业单位基本养老保险缴费支出（项）:</w:t>
      </w:r>
      <w:r>
        <w:rPr>
          <w:rStyle w:val="16"/>
          <w:rFonts w:eastAsia="仿宋"/>
          <w:b w:val="0"/>
          <w:bCs/>
          <w:color w:val="000000"/>
          <w:sz w:val="32"/>
          <w:szCs w:val="32"/>
        </w:rPr>
        <w:t xml:space="preserve"> 支出决算为</w:t>
      </w:r>
      <w:r>
        <w:rPr>
          <w:rStyle w:val="16"/>
          <w:rFonts w:hint="eastAsia" w:eastAsia="仿宋"/>
          <w:b w:val="0"/>
          <w:bCs/>
          <w:color w:val="000000"/>
          <w:sz w:val="32"/>
          <w:szCs w:val="32"/>
          <w:lang w:val="en-US" w:eastAsia="zh-CN"/>
        </w:rPr>
        <w:t>146.46</w:t>
      </w:r>
      <w:r>
        <w:rPr>
          <w:rStyle w:val="16"/>
          <w:rFonts w:eastAsia="仿宋"/>
          <w:b w:val="0"/>
          <w:bCs/>
          <w:color w:val="000000"/>
          <w:sz w:val="32"/>
          <w:szCs w:val="32"/>
        </w:rPr>
        <w:t>万元，完成预算100%。</w:t>
      </w:r>
    </w:p>
    <w:p>
      <w:pPr>
        <w:spacing w:line="600" w:lineRule="exact"/>
        <w:ind w:firstLine="643" w:firstLineChars="200"/>
        <w:rPr>
          <w:rStyle w:val="16"/>
          <w:rFonts w:eastAsia="仿宋"/>
          <w:b w:val="0"/>
          <w:bCs/>
          <w:color w:val="000000"/>
          <w:sz w:val="32"/>
          <w:szCs w:val="32"/>
        </w:rPr>
      </w:pPr>
      <w:r>
        <w:rPr>
          <w:rStyle w:val="16"/>
          <w:rFonts w:hint="eastAsia" w:eastAsia="仿宋"/>
          <w:bCs/>
          <w:color w:val="000000"/>
          <w:sz w:val="32"/>
          <w:szCs w:val="32"/>
          <w:lang w:val="en-US" w:eastAsia="zh-CN"/>
        </w:rPr>
        <w:t>5</w:t>
      </w:r>
      <w:r>
        <w:rPr>
          <w:rStyle w:val="16"/>
          <w:rFonts w:eastAsia="仿宋"/>
          <w:bCs/>
          <w:color w:val="000000"/>
          <w:sz w:val="32"/>
          <w:szCs w:val="32"/>
        </w:rPr>
        <w:t>.</w:t>
      </w:r>
      <w:r>
        <w:rPr>
          <w:rStyle w:val="16"/>
          <w:rFonts w:hint="eastAsia" w:eastAsia="仿宋"/>
          <w:bCs/>
          <w:color w:val="000000"/>
          <w:sz w:val="32"/>
          <w:szCs w:val="32"/>
        </w:rPr>
        <w:t>城乡社区支出</w:t>
      </w:r>
      <w:r>
        <w:rPr>
          <w:rStyle w:val="16"/>
          <w:rFonts w:eastAsia="仿宋"/>
          <w:bCs/>
          <w:color w:val="000000"/>
          <w:sz w:val="32"/>
          <w:szCs w:val="32"/>
        </w:rPr>
        <w:t>（类）</w:t>
      </w:r>
      <w:r>
        <w:rPr>
          <w:rStyle w:val="16"/>
          <w:rFonts w:hint="eastAsia" w:eastAsia="仿宋"/>
          <w:bCs/>
          <w:color w:val="000000"/>
          <w:sz w:val="32"/>
          <w:szCs w:val="32"/>
        </w:rPr>
        <w:t>城乡社区公共设施</w:t>
      </w:r>
      <w:r>
        <w:rPr>
          <w:rStyle w:val="16"/>
          <w:rFonts w:eastAsia="仿宋"/>
          <w:bCs/>
          <w:color w:val="000000"/>
          <w:sz w:val="32"/>
          <w:szCs w:val="32"/>
        </w:rPr>
        <w:t>（款）</w:t>
      </w:r>
      <w:r>
        <w:rPr>
          <w:rStyle w:val="16"/>
          <w:rFonts w:hint="eastAsia" w:eastAsia="仿宋"/>
          <w:bCs/>
          <w:color w:val="000000"/>
          <w:sz w:val="32"/>
          <w:szCs w:val="32"/>
        </w:rPr>
        <w:t>其他城乡社区公共设施支出</w:t>
      </w:r>
      <w:r>
        <w:rPr>
          <w:rStyle w:val="16"/>
          <w:rFonts w:eastAsia="仿宋"/>
          <w:bCs/>
          <w:color w:val="000000"/>
          <w:sz w:val="32"/>
          <w:szCs w:val="32"/>
        </w:rPr>
        <w:t>（项）:</w:t>
      </w:r>
      <w:r>
        <w:rPr>
          <w:rStyle w:val="16"/>
          <w:rFonts w:eastAsia="仿宋"/>
          <w:b w:val="0"/>
          <w:bCs/>
          <w:color w:val="000000"/>
          <w:sz w:val="32"/>
          <w:szCs w:val="32"/>
        </w:rPr>
        <w:t xml:space="preserve"> 支出决算为</w:t>
      </w:r>
      <w:r>
        <w:rPr>
          <w:rStyle w:val="16"/>
          <w:rFonts w:hint="eastAsia" w:eastAsia="仿宋"/>
          <w:b w:val="0"/>
          <w:bCs/>
          <w:color w:val="000000"/>
          <w:sz w:val="32"/>
          <w:szCs w:val="32"/>
          <w:lang w:val="en-US" w:eastAsia="zh-CN"/>
        </w:rPr>
        <w:t>820</w:t>
      </w:r>
      <w:r>
        <w:rPr>
          <w:rStyle w:val="16"/>
          <w:rFonts w:eastAsia="仿宋"/>
          <w:b w:val="0"/>
          <w:bCs/>
          <w:color w:val="000000"/>
          <w:sz w:val="32"/>
          <w:szCs w:val="32"/>
        </w:rPr>
        <w:t>万元，完成预算100%。</w:t>
      </w:r>
    </w:p>
    <w:p>
      <w:pPr>
        <w:spacing w:line="600" w:lineRule="exact"/>
        <w:ind w:firstLine="643" w:firstLineChars="200"/>
        <w:rPr>
          <w:rFonts w:eastAsia="仿宋"/>
          <w:b/>
          <w:color w:val="000000"/>
          <w:sz w:val="32"/>
          <w:szCs w:val="32"/>
        </w:rPr>
      </w:pPr>
      <w:r>
        <w:rPr>
          <w:rStyle w:val="16"/>
          <w:rFonts w:hint="eastAsia" w:eastAsia="仿宋"/>
          <w:bCs/>
          <w:color w:val="000000"/>
          <w:sz w:val="32"/>
          <w:szCs w:val="32"/>
          <w:lang w:val="en-US" w:eastAsia="zh-CN"/>
        </w:rPr>
        <w:t>6</w:t>
      </w:r>
      <w:r>
        <w:rPr>
          <w:rStyle w:val="16"/>
          <w:rFonts w:eastAsia="仿宋"/>
          <w:bCs/>
          <w:color w:val="000000"/>
          <w:sz w:val="32"/>
          <w:szCs w:val="32"/>
        </w:rPr>
        <w:t>.住房保障支出（类）住房改革支出（款）住房公积金（项）:</w:t>
      </w:r>
      <w:r>
        <w:rPr>
          <w:rStyle w:val="16"/>
          <w:rFonts w:eastAsia="仿宋"/>
          <w:b w:val="0"/>
          <w:bCs/>
          <w:color w:val="000000"/>
          <w:sz w:val="32"/>
          <w:szCs w:val="32"/>
        </w:rPr>
        <w:t xml:space="preserve"> 支出决算为</w:t>
      </w:r>
      <w:r>
        <w:rPr>
          <w:rStyle w:val="16"/>
          <w:rFonts w:hint="eastAsia" w:eastAsia="仿宋"/>
          <w:b w:val="0"/>
          <w:bCs/>
          <w:color w:val="000000"/>
          <w:sz w:val="32"/>
          <w:szCs w:val="32"/>
          <w:lang w:val="en-US" w:eastAsia="zh-CN"/>
        </w:rPr>
        <w:t>206.80</w:t>
      </w:r>
      <w:r>
        <w:rPr>
          <w:rStyle w:val="16"/>
          <w:rFonts w:eastAsia="仿宋"/>
          <w:b w:val="0"/>
          <w:bCs/>
          <w:color w:val="000000"/>
          <w:sz w:val="32"/>
          <w:szCs w:val="32"/>
        </w:rPr>
        <w:t>万元，完成预算100%。</w:t>
      </w:r>
    </w:p>
    <w:p>
      <w:pPr>
        <w:spacing w:line="600" w:lineRule="exact"/>
        <w:ind w:firstLine="640"/>
        <w:rPr>
          <w:rFonts w:ascii="仿宋" w:hAnsi="仿宋" w:eastAsia="仿宋"/>
          <w:b/>
          <w:sz w:val="32"/>
          <w:szCs w:val="32"/>
        </w:rPr>
      </w:pPr>
    </w:p>
    <w:p>
      <w:pPr>
        <w:tabs>
          <w:tab w:val="right" w:pos="8306"/>
        </w:tabs>
        <w:spacing w:line="600" w:lineRule="exact"/>
        <w:ind w:firstLine="640"/>
        <w:outlineLvl w:val="1"/>
        <w:rPr>
          <w:rStyle w:val="29"/>
        </w:rPr>
      </w:pPr>
      <w:bookmarkStart w:id="47" w:name="_Toc15377214"/>
      <w:bookmarkStart w:id="48" w:name="_Toc15396608"/>
      <w:bookmarkStart w:id="49" w:name="_Toc17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47"/>
      <w:bookmarkEnd w:id="48"/>
      <w:bookmarkEnd w:id="49"/>
      <w:r>
        <w:rPr>
          <w:rStyle w:val="29"/>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22年一般公共预算财政拨款基本支出</w:t>
      </w:r>
      <w:r>
        <w:rPr>
          <w:rFonts w:hint="eastAsia" w:ascii="仿宋" w:hAnsi="仿宋" w:eastAsia="仿宋"/>
          <w:sz w:val="32"/>
          <w:szCs w:val="32"/>
          <w:lang w:val="en-US" w:eastAsia="zh-CN"/>
        </w:rPr>
        <w:t>2646.53</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hint="eastAsia" w:ascii="仿宋" w:hAnsi="仿宋" w:eastAsia="仿宋"/>
          <w:sz w:val="32"/>
          <w:szCs w:val="32"/>
          <w:lang w:val="en-US" w:eastAsia="zh-CN"/>
        </w:rPr>
        <w:t>2491.01</w:t>
      </w:r>
      <w:r>
        <w:rPr>
          <w:rFonts w:hint="eastAsia" w:ascii="仿宋" w:hAnsi="仿宋" w:eastAsia="仿宋"/>
          <w:sz w:val="32"/>
          <w:szCs w:val="32"/>
        </w:rPr>
        <w:t>万元，主要包括：基本工资、津贴补贴、奖金、机关事业单位基本养老保险缴费、职业年金缴费、其他社会保障缴费、其他工资福利支出、抚恤金、生活补助、医疗费补助、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hint="eastAsia" w:ascii="仿宋" w:hAnsi="仿宋" w:eastAsia="仿宋"/>
          <w:sz w:val="32"/>
          <w:szCs w:val="32"/>
          <w:lang w:val="en-US" w:eastAsia="zh-CN"/>
        </w:rPr>
        <w:t>155.52</w:t>
      </w:r>
      <w:r>
        <w:rPr>
          <w:rFonts w:hint="eastAsia" w:ascii="仿宋" w:hAnsi="仿宋" w:eastAsia="仿宋"/>
          <w:sz w:val="32"/>
          <w:szCs w:val="32"/>
        </w:rPr>
        <w:t>万元，主要包括：办公费、水费、电费、邮电费、差旅费、维修（护）费、公务接待费、工会经费、福利费、公务用车运行维护费、其他交通费、其他商品和服务支出等。</w:t>
      </w:r>
    </w:p>
    <w:p>
      <w:pPr>
        <w:spacing w:line="600" w:lineRule="exact"/>
        <w:ind w:firstLine="640"/>
        <w:rPr>
          <w:rFonts w:ascii="仿宋" w:hAnsi="仿宋" w:eastAsia="仿宋"/>
          <w:b/>
          <w:sz w:val="32"/>
          <w:szCs w:val="32"/>
        </w:rPr>
      </w:pPr>
    </w:p>
    <w:p>
      <w:pPr>
        <w:spacing w:line="600" w:lineRule="exact"/>
        <w:ind w:firstLine="640"/>
        <w:outlineLvl w:val="1"/>
        <w:rPr>
          <w:rStyle w:val="29"/>
          <w:rFonts w:ascii="黑体" w:hAnsi="黑体" w:eastAsia="黑体"/>
          <w:b w:val="0"/>
        </w:rPr>
      </w:pPr>
      <w:bookmarkStart w:id="50" w:name="_Toc15377215"/>
      <w:bookmarkStart w:id="51" w:name="_Toc15396609"/>
      <w:bookmarkStart w:id="52" w:name="_Toc6433"/>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50"/>
      <w:bookmarkEnd w:id="51"/>
      <w:bookmarkEnd w:id="52"/>
    </w:p>
    <w:p>
      <w:pPr>
        <w:spacing w:line="600" w:lineRule="exact"/>
        <w:ind w:firstLine="640"/>
        <w:outlineLvl w:val="2"/>
        <w:rPr>
          <w:rFonts w:ascii="仿宋" w:hAnsi="仿宋" w:eastAsia="仿宋"/>
          <w:b/>
          <w:sz w:val="32"/>
          <w:szCs w:val="32"/>
        </w:rPr>
      </w:pPr>
      <w:bookmarkStart w:id="53" w:name="_Toc15377216"/>
      <w:r>
        <w:rPr>
          <w:rFonts w:hint="eastAsia" w:ascii="仿宋" w:hAnsi="仿宋" w:eastAsia="仿宋"/>
          <w:b/>
          <w:sz w:val="32"/>
          <w:szCs w:val="32"/>
        </w:rPr>
        <w:t>（一）“三公”经费财政拨款支出决算总体情况说明</w:t>
      </w:r>
      <w:bookmarkEnd w:id="53"/>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22年“三公”经费财政拨款支出决算为</w:t>
      </w:r>
      <w:r>
        <w:rPr>
          <w:rFonts w:hint="eastAsia" w:ascii="仿宋" w:hAnsi="仿宋" w:eastAsia="仿宋"/>
          <w:sz w:val="32"/>
          <w:szCs w:val="32"/>
          <w:lang w:val="en-US" w:eastAsia="zh-CN"/>
        </w:rPr>
        <w:t>3.94</w:t>
      </w:r>
      <w:r>
        <w:rPr>
          <w:rFonts w:hint="eastAsia" w:ascii="仿宋" w:hAnsi="仿宋" w:eastAsia="仿宋"/>
          <w:sz w:val="32"/>
          <w:szCs w:val="32"/>
        </w:rPr>
        <w:t>万元，完成预算</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，较上年减少</w:t>
      </w:r>
      <w:r>
        <w:rPr>
          <w:rFonts w:hint="eastAsia" w:ascii="仿宋" w:hAnsi="仿宋" w:eastAsia="仿宋"/>
          <w:sz w:val="32"/>
          <w:szCs w:val="32"/>
          <w:lang w:val="en-US" w:eastAsia="zh-CN"/>
        </w:rPr>
        <w:t>1.01</w:t>
      </w:r>
      <w:r>
        <w:rPr>
          <w:rFonts w:hint="eastAsia" w:ascii="仿宋" w:hAnsi="仿宋" w:eastAsia="仿宋"/>
          <w:sz w:val="32"/>
          <w:szCs w:val="32"/>
        </w:rPr>
        <w:t>万元，下降</w:t>
      </w:r>
      <w:r>
        <w:rPr>
          <w:rFonts w:hint="eastAsia" w:ascii="仿宋" w:hAnsi="仿宋" w:eastAsia="仿宋"/>
          <w:sz w:val="32"/>
          <w:szCs w:val="32"/>
          <w:lang w:val="en-US" w:eastAsia="zh-CN"/>
        </w:rPr>
        <w:t>28.40</w:t>
      </w:r>
      <w:r>
        <w:rPr>
          <w:rFonts w:hint="eastAsia" w:ascii="仿宋" w:hAnsi="仿宋" w:eastAsia="仿宋"/>
          <w:sz w:val="32"/>
          <w:szCs w:val="32"/>
        </w:rPr>
        <w:t>%。决算数与预算数持平的主要原因是</w:t>
      </w:r>
      <w:r>
        <w:rPr>
          <w:rFonts w:eastAsia="仿宋"/>
          <w:color w:val="000000"/>
          <w:sz w:val="32"/>
          <w:szCs w:val="32"/>
        </w:rPr>
        <w:t>继续贯彻落实“中央八项规定”和省委省政府“十项规定”、以及司法部“十二项规定”精神和厉行节约要求，进一步规范因公出国（境）、公务接待、公务用车运行管理，从严控制“三公”经费开支</w:t>
      </w:r>
      <w:r>
        <w:rPr>
          <w:rFonts w:hint="eastAsia" w:ascii="仿宋" w:hAnsi="仿宋" w:eastAsia="仿宋"/>
          <w:sz w:val="32"/>
          <w:szCs w:val="32"/>
        </w:rPr>
        <w:t>。</w:t>
      </w:r>
    </w:p>
    <w:p>
      <w:pPr>
        <w:spacing w:line="600" w:lineRule="exact"/>
        <w:ind w:firstLine="640"/>
        <w:outlineLvl w:val="2"/>
        <w:rPr>
          <w:rFonts w:ascii="仿宋" w:hAnsi="仿宋" w:eastAsia="仿宋"/>
          <w:b/>
          <w:sz w:val="32"/>
          <w:szCs w:val="32"/>
        </w:rPr>
      </w:pPr>
      <w:bookmarkStart w:id="54" w:name="_Toc15377217"/>
      <w:r>
        <w:rPr>
          <w:rFonts w:hint="eastAsia" w:ascii="仿宋" w:hAnsi="仿宋" w:eastAsia="仿宋"/>
          <w:b/>
          <w:sz w:val="32"/>
          <w:szCs w:val="32"/>
        </w:rPr>
        <w:t>（二）“三公”经费财政拨款支出决算具体情况说明</w:t>
      </w:r>
      <w:bookmarkEnd w:id="54"/>
    </w:p>
    <w:p>
      <w:pPr>
        <w:spacing w:line="600" w:lineRule="exact"/>
        <w:ind w:firstLine="640"/>
        <w:rPr>
          <w:rFonts w:hint="eastAsia"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3.68</w:t>
      </w:r>
      <w:r>
        <w:rPr>
          <w:rFonts w:hint="eastAsia" w:ascii="仿宋" w:hAnsi="仿宋" w:eastAsia="仿宋"/>
          <w:sz w:val="32"/>
          <w:szCs w:val="32"/>
        </w:rPr>
        <w:t>万元，占</w:t>
      </w:r>
      <w:r>
        <w:rPr>
          <w:rFonts w:hint="eastAsia" w:ascii="仿宋" w:hAnsi="仿宋" w:eastAsia="仿宋"/>
          <w:sz w:val="32"/>
          <w:szCs w:val="32"/>
          <w:lang w:val="en-US" w:eastAsia="zh-CN"/>
        </w:rPr>
        <w:t>93.4</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0.26</w:t>
      </w:r>
      <w:r>
        <w:rPr>
          <w:rFonts w:hint="eastAsia" w:ascii="仿宋" w:hAnsi="仿宋" w:eastAsia="仿宋"/>
          <w:sz w:val="32"/>
          <w:szCs w:val="32"/>
        </w:rPr>
        <w:t>万元，占</w:t>
      </w:r>
      <w:r>
        <w:rPr>
          <w:rFonts w:hint="eastAsia" w:ascii="仿宋" w:hAnsi="仿宋" w:eastAsia="仿宋"/>
          <w:sz w:val="32"/>
          <w:szCs w:val="32"/>
          <w:lang w:val="en-US" w:eastAsia="zh-CN"/>
        </w:rPr>
        <w:t>6.6</w:t>
      </w:r>
      <w:r>
        <w:rPr>
          <w:rFonts w:ascii="仿宋" w:hAnsi="仿宋" w:eastAsia="仿宋"/>
          <w:sz w:val="32"/>
          <w:szCs w:val="32"/>
        </w:rPr>
        <w:t>%</w:t>
      </w:r>
      <w:r>
        <w:rPr>
          <w:rFonts w:hint="eastAsia" w:ascii="仿宋" w:hAnsi="仿宋" w:eastAsia="仿宋"/>
          <w:sz w:val="32"/>
          <w:szCs w:val="32"/>
        </w:rPr>
        <w:t>。具体情况如下：</w:t>
      </w:r>
    </w:p>
    <w:p>
      <w:pPr>
        <w:pStyle w:val="2"/>
        <w:rPr>
          <w:rFonts w:hint="eastAsia" w:ascii="仿宋" w:hAnsi="仿宋" w:eastAsia="仿宋"/>
          <w:sz w:val="32"/>
          <w:szCs w:val="32"/>
        </w:rPr>
      </w:pPr>
    </w:p>
    <w:p>
      <w:pPr>
        <w:pStyle w:val="2"/>
        <w:jc w:val="center"/>
        <w:rPr>
          <w:rFonts w:hint="eastAsia" w:ascii="仿宋" w:hAnsi="仿宋" w:eastAsia="仿宋"/>
          <w:sz w:val="32"/>
          <w:szCs w:val="32"/>
        </w:rPr>
      </w:pPr>
      <w:r>
        <w:rPr>
          <w:rFonts w:hint="eastAsia" w:eastAsia="仿宋"/>
          <w:color w:val="000000"/>
          <w:sz w:val="32"/>
          <w:szCs w:val="32"/>
        </w:rPr>
        <w:object>
          <v:shape id="_x0000_i1031" o:spt="75" type="#_x0000_t75" style="height:222.75pt;width:312.75pt;" o:ole="t" filled="f" o:preferrelative="t" stroked="f" coordsize="21600,21600">
            <v:path/>
            <v:fill on="f" focussize="0,0"/>
            <v:stroke on="f"/>
            <v:imagedata r:id="rId19" o:title=""/>
            <o:lock v:ext="edit" aspectratio="t"/>
            <w10:wrap type="none"/>
            <w10:anchorlock/>
          </v:shape>
          <o:OLEObject Type="Embed" ProgID="Excel.Chart.8" ShapeID="_x0000_i1031" DrawAspect="Content" ObjectID="_1468075731" r:id="rId18">
            <o:LockedField>false</o:LockedField>
          </o:OLEObject>
        </w:object>
      </w:r>
    </w:p>
    <w:p>
      <w:pPr>
        <w:spacing w:line="600" w:lineRule="exact"/>
        <w:ind w:firstLine="640"/>
        <w:jc w:val="center"/>
        <w:rPr>
          <w:rFonts w:ascii="仿宋" w:hAnsi="仿宋" w:eastAsia="仿宋"/>
          <w:sz w:val="32"/>
          <w:szCs w:val="32"/>
        </w:rPr>
      </w:pPr>
      <w:r>
        <w:rPr>
          <w:rFonts w:hint="eastAsia" w:ascii="仿宋" w:hAnsi="仿宋" w:eastAsia="仿宋"/>
          <w:sz w:val="32"/>
          <w:szCs w:val="32"/>
        </w:rPr>
        <w:t>（图7：“三公”经费财政拨款支出结构）</w:t>
      </w:r>
    </w:p>
    <w:p>
      <w:pPr>
        <w:spacing w:line="600" w:lineRule="exact"/>
        <w:ind w:firstLine="640"/>
        <w:rPr>
          <w:rFonts w:hint="eastAsia"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hint="eastAsia" w:ascii="仿宋" w:hAnsi="仿宋" w:eastAsia="仿宋"/>
          <w:b w:val="0"/>
          <w:bCs/>
          <w:sz w:val="32"/>
          <w:szCs w:val="32"/>
          <w:lang w:val="en-US" w:eastAsia="zh-CN"/>
        </w:rPr>
        <w:t>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lang w:val="en-US" w:eastAsia="zh-CN"/>
        </w:rPr>
        <w:t>3.68</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hint="eastAsia" w:ascii="仿宋" w:hAnsi="仿宋" w:eastAsia="仿宋"/>
          <w:b w:val="0"/>
          <w:bCs/>
          <w:sz w:val="32"/>
          <w:szCs w:val="32"/>
          <w:lang w:val="en-US" w:eastAsia="zh-CN"/>
        </w:rPr>
        <w:t>100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21年减少</w:t>
      </w:r>
      <w:r>
        <w:rPr>
          <w:rFonts w:hint="eastAsia" w:ascii="仿宋_GB2312" w:eastAsia="仿宋_GB2312"/>
          <w:sz w:val="32"/>
          <w:szCs w:val="32"/>
          <w:lang w:val="en-US" w:eastAsia="zh-CN"/>
        </w:rPr>
        <w:t>0.95</w:t>
      </w:r>
      <w:r>
        <w:rPr>
          <w:rFonts w:hint="eastAsia" w:ascii="仿宋_GB2312" w:eastAsia="仿宋_GB2312"/>
          <w:sz w:val="32"/>
          <w:szCs w:val="32"/>
        </w:rPr>
        <w:t>万元，下降</w:t>
      </w:r>
      <w:r>
        <w:rPr>
          <w:rFonts w:hint="eastAsia" w:ascii="仿宋_GB2312" w:eastAsia="仿宋_GB2312"/>
          <w:sz w:val="32"/>
          <w:szCs w:val="32"/>
          <w:lang w:val="en-US" w:eastAsia="zh-CN"/>
        </w:rPr>
        <w:t>20.52</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val="en-US" w:eastAsia="zh-CN"/>
        </w:rPr>
        <w:t>2022年公务用车维护费未能全部在当年完成支付。</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lang w:val="en-US" w:eastAsia="zh-CN"/>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月底，单位共有公务用车</w:t>
      </w:r>
      <w:r>
        <w:rPr>
          <w:rFonts w:hint="eastAsia" w:ascii="仿宋_GB2312" w:eastAsia="仿宋_GB2312"/>
          <w:sz w:val="32"/>
          <w:szCs w:val="32"/>
          <w:lang w:val="en-US" w:eastAsia="zh-CN"/>
        </w:rPr>
        <w:t>4</w:t>
      </w:r>
      <w:r>
        <w:rPr>
          <w:rFonts w:hint="eastAsia" w:ascii="仿宋_GB2312" w:eastAsia="仿宋_GB2312"/>
          <w:sz w:val="32"/>
          <w:szCs w:val="32"/>
        </w:rPr>
        <w:t>辆，其中：轿车</w:t>
      </w:r>
      <w:r>
        <w:rPr>
          <w:rFonts w:hint="eastAsia" w:ascii="仿宋_GB2312" w:eastAsia="仿宋_GB2312"/>
          <w:sz w:val="32"/>
          <w:szCs w:val="32"/>
          <w:lang w:val="en-US" w:eastAsia="zh-CN"/>
        </w:rPr>
        <w:t>2</w:t>
      </w:r>
      <w:r>
        <w:rPr>
          <w:rFonts w:hint="eastAsia" w:ascii="仿宋_GB2312" w:eastAsia="仿宋_GB2312"/>
          <w:sz w:val="32"/>
          <w:szCs w:val="32"/>
        </w:rPr>
        <w:t>辆、越野车</w:t>
      </w:r>
      <w:r>
        <w:rPr>
          <w:rFonts w:hint="eastAsia" w:ascii="仿宋_GB2312" w:eastAsia="仿宋_GB2312"/>
          <w:sz w:val="32"/>
          <w:szCs w:val="32"/>
          <w:lang w:val="en-US" w:eastAsia="zh-CN"/>
        </w:rPr>
        <w:t>1</w:t>
      </w:r>
      <w:r>
        <w:rPr>
          <w:rFonts w:hint="eastAsia" w:ascii="仿宋_GB2312" w:eastAsia="仿宋_GB2312"/>
          <w:sz w:val="32"/>
          <w:szCs w:val="32"/>
        </w:rPr>
        <w:t>辆、载客汽车</w:t>
      </w:r>
      <w:r>
        <w:rPr>
          <w:rFonts w:hint="eastAsia" w:ascii="仿宋_GB2312" w:eastAsia="仿宋_GB2312"/>
          <w:sz w:val="32"/>
          <w:szCs w:val="32"/>
          <w:lang w:val="en-US" w:eastAsia="zh-CN"/>
        </w:rPr>
        <w:t>1</w:t>
      </w:r>
      <w:r>
        <w:rPr>
          <w:rFonts w:hint="eastAsia" w:ascii="仿宋_GB2312" w:eastAsia="仿宋_GB2312"/>
          <w:sz w:val="32"/>
          <w:szCs w:val="32"/>
        </w:rPr>
        <w:t>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lang w:val="en-US" w:eastAsia="zh-CN"/>
        </w:rPr>
        <w:t>3.68</w:t>
      </w:r>
      <w:r>
        <w:rPr>
          <w:rFonts w:hint="eastAsia" w:ascii="仿宋_GB2312" w:eastAsia="仿宋_GB2312"/>
          <w:sz w:val="32"/>
          <w:szCs w:val="32"/>
        </w:rPr>
        <w:t>万元。主要用于</w:t>
      </w:r>
      <w:r>
        <w:rPr>
          <w:rFonts w:eastAsia="仿宋_GB2312"/>
          <w:color w:val="000000"/>
          <w:sz w:val="32"/>
          <w:szCs w:val="32"/>
        </w:rPr>
        <w:t>单位执行公务活动、普法禁毒戒毒宣传、对口帮扶慰问</w:t>
      </w:r>
      <w:r>
        <w:rPr>
          <w:rFonts w:hint="eastAsia" w:eastAsia="仿宋_GB2312"/>
          <w:color w:val="000000"/>
          <w:sz w:val="32"/>
          <w:szCs w:val="32"/>
          <w:lang w:eastAsia="zh-CN"/>
        </w:rPr>
        <w:t>、</w:t>
      </w:r>
      <w:r>
        <w:rPr>
          <w:rFonts w:hint="eastAsia" w:eastAsia="仿宋_GB2312"/>
          <w:color w:val="000000"/>
          <w:sz w:val="32"/>
          <w:szCs w:val="32"/>
          <w:lang w:val="en-US" w:eastAsia="zh-CN"/>
        </w:rPr>
        <w:t>森林防火督导</w:t>
      </w:r>
      <w:r>
        <w:rPr>
          <w:rFonts w:eastAsia="仿宋_GB2312"/>
          <w:color w:val="000000"/>
          <w:sz w:val="32"/>
          <w:szCs w:val="32"/>
        </w:rPr>
        <w:t>等所需的公务用车燃料费、维修费、过路过桥费、保险费等支出</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0.26</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hint="eastAsia" w:ascii="仿宋" w:hAnsi="仿宋" w:eastAsia="仿宋"/>
          <w:b w:val="0"/>
          <w:bCs/>
          <w:sz w:val="32"/>
          <w:szCs w:val="32"/>
          <w:lang w:val="en-US" w:eastAsia="zh-CN"/>
        </w:rPr>
        <w:t>100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21年减少</w:t>
      </w:r>
      <w:r>
        <w:rPr>
          <w:rFonts w:hint="eastAsia" w:ascii="仿宋_GB2312" w:eastAsia="仿宋_GB2312"/>
          <w:sz w:val="32"/>
          <w:szCs w:val="32"/>
          <w:lang w:val="en-US" w:eastAsia="zh-CN"/>
        </w:rPr>
        <w:t>0.06</w:t>
      </w:r>
      <w:r>
        <w:rPr>
          <w:rFonts w:hint="eastAsia" w:ascii="仿宋_GB2312" w:eastAsia="仿宋_GB2312"/>
          <w:sz w:val="32"/>
          <w:szCs w:val="32"/>
        </w:rPr>
        <w:t>万元，下降</w:t>
      </w:r>
      <w:r>
        <w:rPr>
          <w:rFonts w:hint="eastAsia" w:ascii="仿宋_GB2312" w:eastAsia="仿宋_GB2312"/>
          <w:sz w:val="32"/>
          <w:szCs w:val="32"/>
          <w:lang w:val="en-US" w:eastAsia="zh-CN"/>
        </w:rPr>
        <w:t>18.75</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val="en-US" w:eastAsia="zh-CN"/>
        </w:rPr>
        <w:t>2022年上级主管部门来攀专项督察次数较上年有所减少，致使公务接待费减少</w:t>
      </w:r>
      <w:r>
        <w:rPr>
          <w:rFonts w:hint="eastAsia" w:ascii="仿宋_GB2312" w:eastAsia="仿宋_GB2312"/>
          <w:sz w:val="32"/>
          <w:szCs w:val="32"/>
        </w:rPr>
        <w:t>。其中：</w:t>
      </w:r>
    </w:p>
    <w:p>
      <w:pPr>
        <w:spacing w:line="600" w:lineRule="exact"/>
        <w:ind w:firstLine="640"/>
        <w:rPr>
          <w:rFonts w:hint="eastAsia"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lang w:val="en-US" w:eastAsia="zh-CN"/>
        </w:rPr>
        <w:t>0.26</w:t>
      </w:r>
      <w:r>
        <w:rPr>
          <w:rFonts w:hint="eastAsia" w:ascii="仿宋_GB2312" w:eastAsia="仿宋_GB2312"/>
          <w:sz w:val="32"/>
          <w:szCs w:val="32"/>
        </w:rPr>
        <w:t>万元，主要用于执行公务、开展业务活动开支的交通费、住宿费、用餐费等。国内公务接待</w:t>
      </w:r>
      <w:r>
        <w:rPr>
          <w:rFonts w:hint="eastAsia" w:ascii="仿宋_GB2312" w:eastAsia="仿宋_GB2312"/>
          <w:sz w:val="32"/>
          <w:szCs w:val="32"/>
          <w:lang w:val="en-US" w:eastAsia="zh-CN"/>
        </w:rPr>
        <w:t>3</w:t>
      </w:r>
      <w:r>
        <w:rPr>
          <w:rFonts w:hint="eastAsia" w:ascii="仿宋_GB2312" w:eastAsia="仿宋_GB2312"/>
          <w:sz w:val="32"/>
          <w:szCs w:val="32"/>
        </w:rPr>
        <w:t>批次，</w:t>
      </w:r>
      <w:r>
        <w:rPr>
          <w:rFonts w:hint="eastAsia" w:ascii="仿宋_GB2312" w:eastAsia="仿宋_GB2312"/>
          <w:sz w:val="32"/>
          <w:szCs w:val="32"/>
          <w:lang w:val="en-US" w:eastAsia="zh-CN"/>
        </w:rPr>
        <w:t>9</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0.26</w:t>
      </w:r>
      <w:r>
        <w:rPr>
          <w:rFonts w:hint="eastAsia" w:ascii="仿宋_GB2312" w:eastAsia="仿宋_GB2312"/>
          <w:sz w:val="32"/>
          <w:szCs w:val="32"/>
        </w:rPr>
        <w:t>万元，具体内容包括：</w:t>
      </w:r>
    </w:p>
    <w:p>
      <w:pPr>
        <w:spacing w:line="60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w:t>
      </w:r>
      <w:r>
        <w:rPr>
          <w:rFonts w:hint="eastAsia" w:eastAsia="仿宋_GB2312" w:cs="Times New Roman"/>
          <w:color w:val="auto"/>
          <w:sz w:val="32"/>
          <w:szCs w:val="32"/>
          <w:lang w:val="en-US" w:eastAsia="zh-CN"/>
        </w:rPr>
        <w:t>2022年1月</w:t>
      </w:r>
      <w:r>
        <w:rPr>
          <w:rFonts w:hint="default" w:ascii="Times New Roman" w:hAnsi="Times New Roman" w:eastAsia="仿宋_GB2312" w:cs="Times New Roman"/>
          <w:color w:val="auto"/>
          <w:sz w:val="32"/>
          <w:szCs w:val="32"/>
          <w:lang w:eastAsia="zh-CN"/>
        </w:rPr>
        <w:t>接待</w:t>
      </w:r>
      <w:r>
        <w:rPr>
          <w:rFonts w:hint="default" w:ascii="Times New Roman" w:hAnsi="Times New Roman" w:eastAsia="仿宋_GB2312" w:cs="Times New Roman"/>
          <w:color w:val="auto"/>
          <w:sz w:val="32"/>
          <w:szCs w:val="32"/>
        </w:rPr>
        <w:t>四川省戒毒管理局</w:t>
      </w:r>
      <w:r>
        <w:rPr>
          <w:rFonts w:hint="eastAsia" w:eastAsia="仿宋_GB2312" w:cs="Times New Roman"/>
          <w:color w:val="auto"/>
          <w:sz w:val="32"/>
          <w:szCs w:val="32"/>
          <w:lang w:eastAsia="zh-CN"/>
        </w:rPr>
        <w:t>局</w:t>
      </w:r>
      <w:r>
        <w:rPr>
          <w:rFonts w:hint="default" w:ascii="Times New Roman" w:hAnsi="Times New Roman" w:eastAsia="仿宋_GB2312" w:cs="Times New Roman"/>
          <w:color w:val="auto"/>
          <w:sz w:val="32"/>
          <w:szCs w:val="32"/>
          <w:lang w:eastAsia="zh-CN"/>
        </w:rPr>
        <w:t>领导</w:t>
      </w:r>
      <w:r>
        <w:rPr>
          <w:rFonts w:hint="default" w:ascii="Times New Roman" w:hAnsi="Times New Roman" w:eastAsia="仿宋_GB2312" w:cs="Times New Roman"/>
          <w:color w:val="auto"/>
          <w:sz w:val="32"/>
          <w:szCs w:val="32"/>
        </w:rPr>
        <w:t>一行</w:t>
      </w:r>
      <w:r>
        <w:rPr>
          <w:rFonts w:hint="eastAsia"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人来所</w:t>
      </w:r>
      <w:r>
        <w:rPr>
          <w:rFonts w:hint="default" w:ascii="Times New Roman" w:hAnsi="Times New Roman" w:eastAsia="仿宋_GB2312" w:cs="Times New Roman"/>
          <w:color w:val="auto"/>
          <w:sz w:val="32"/>
          <w:szCs w:val="32"/>
          <w:lang w:eastAsia="zh-CN"/>
        </w:rPr>
        <w:t>调研</w:t>
      </w:r>
      <w:r>
        <w:rPr>
          <w:rFonts w:hint="eastAsia" w:eastAsia="仿宋_GB2312" w:cs="Times New Roman"/>
          <w:color w:val="auto"/>
          <w:sz w:val="32"/>
          <w:szCs w:val="32"/>
          <w:lang w:eastAsia="zh-CN"/>
        </w:rPr>
        <w:t>场所建设工作</w:t>
      </w:r>
      <w:r>
        <w:rPr>
          <w:rFonts w:hint="default" w:ascii="Times New Roman" w:hAnsi="Times New Roman" w:eastAsia="仿宋_GB2312" w:cs="Times New Roman"/>
          <w:color w:val="auto"/>
          <w:sz w:val="32"/>
          <w:szCs w:val="32"/>
        </w:rPr>
        <w:t>，用餐费</w:t>
      </w:r>
      <w:r>
        <w:rPr>
          <w:rFonts w:hint="default" w:ascii="Times New Roman" w:hAnsi="Times New Roman" w:eastAsia="仿宋_GB2312" w:cs="Times New Roman"/>
          <w:color w:val="auto"/>
          <w:sz w:val="32"/>
          <w:szCs w:val="32"/>
          <w:lang w:val="en-US" w:eastAsia="zh-CN"/>
        </w:rPr>
        <w:t>0.</w:t>
      </w:r>
      <w:r>
        <w:rPr>
          <w:rFonts w:hint="eastAsia" w:eastAsia="仿宋_GB2312" w:cs="Times New Roman"/>
          <w:color w:val="auto"/>
          <w:sz w:val="32"/>
          <w:szCs w:val="32"/>
          <w:lang w:val="en-US" w:eastAsia="zh-CN"/>
        </w:rPr>
        <w:t>09</w:t>
      </w:r>
      <w:r>
        <w:rPr>
          <w:rFonts w:hint="default" w:ascii="Times New Roman" w:hAnsi="Times New Roman" w:eastAsia="仿宋_GB2312" w:cs="Times New Roman"/>
          <w:color w:val="auto"/>
          <w:sz w:val="32"/>
          <w:szCs w:val="32"/>
        </w:rPr>
        <w:t>万元。</w:t>
      </w:r>
    </w:p>
    <w:p>
      <w:pPr>
        <w:spacing w:line="60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w:t>
      </w:r>
      <w:r>
        <w:rPr>
          <w:rFonts w:hint="eastAsia" w:eastAsia="仿宋_GB2312" w:cs="Times New Roman"/>
          <w:color w:val="auto"/>
          <w:sz w:val="32"/>
          <w:szCs w:val="32"/>
          <w:lang w:val="en-US" w:eastAsia="zh-CN"/>
        </w:rPr>
        <w:t>2022年6月</w:t>
      </w:r>
      <w:r>
        <w:rPr>
          <w:rFonts w:hint="default" w:ascii="Times New Roman" w:hAnsi="Times New Roman" w:eastAsia="仿宋_GB2312" w:cs="Times New Roman"/>
          <w:color w:val="auto"/>
          <w:sz w:val="32"/>
          <w:szCs w:val="32"/>
          <w:lang w:eastAsia="zh-CN"/>
        </w:rPr>
        <w:t>接待</w:t>
      </w:r>
      <w:r>
        <w:rPr>
          <w:rFonts w:hint="default" w:ascii="Times New Roman" w:hAnsi="Times New Roman" w:eastAsia="仿宋_GB2312" w:cs="Times New Roman"/>
          <w:color w:val="auto"/>
          <w:sz w:val="32"/>
          <w:szCs w:val="32"/>
        </w:rPr>
        <w:t>四川省</w:t>
      </w:r>
      <w:r>
        <w:rPr>
          <w:rFonts w:hint="eastAsia" w:eastAsia="仿宋_GB2312" w:cs="Times New Roman"/>
          <w:color w:val="auto"/>
          <w:sz w:val="32"/>
          <w:szCs w:val="32"/>
          <w:lang w:eastAsia="zh-CN"/>
        </w:rPr>
        <w:t>司法厅检查组</w:t>
      </w:r>
      <w:r>
        <w:rPr>
          <w:rFonts w:hint="eastAsia"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人来所</w:t>
      </w:r>
      <w:r>
        <w:rPr>
          <w:rFonts w:hint="default" w:ascii="Times New Roman" w:hAnsi="Times New Roman" w:eastAsia="仿宋_GB2312" w:cs="Times New Roman"/>
          <w:color w:val="auto"/>
          <w:sz w:val="32"/>
          <w:szCs w:val="32"/>
          <w:lang w:eastAsia="zh-CN"/>
        </w:rPr>
        <w:t>检查</w:t>
      </w:r>
      <w:r>
        <w:rPr>
          <w:rFonts w:hint="eastAsia" w:eastAsia="仿宋_GB2312" w:cs="Times New Roman"/>
          <w:color w:val="auto"/>
          <w:sz w:val="32"/>
          <w:szCs w:val="32"/>
          <w:lang w:eastAsia="zh-CN"/>
        </w:rPr>
        <w:t>枪弹安全工作</w:t>
      </w:r>
      <w:r>
        <w:rPr>
          <w:rFonts w:hint="default" w:ascii="Times New Roman" w:hAnsi="Times New Roman" w:eastAsia="仿宋_GB2312" w:cs="Times New Roman"/>
          <w:color w:val="auto"/>
          <w:sz w:val="32"/>
          <w:szCs w:val="32"/>
        </w:rPr>
        <w:t>，用餐费</w:t>
      </w:r>
      <w:r>
        <w:rPr>
          <w:rFonts w:hint="default" w:ascii="Times New Roman" w:hAnsi="Times New Roman" w:eastAsia="仿宋_GB2312" w:cs="Times New Roman"/>
          <w:color w:val="auto"/>
          <w:sz w:val="32"/>
          <w:szCs w:val="32"/>
          <w:lang w:val="en-US" w:eastAsia="zh-CN"/>
        </w:rPr>
        <w:t>0.0</w:t>
      </w:r>
      <w:r>
        <w:rPr>
          <w:rFonts w:hint="eastAsia" w:eastAsia="仿宋_GB2312" w:cs="Times New Roman"/>
          <w:color w:val="auto"/>
          <w:sz w:val="32"/>
          <w:szCs w:val="32"/>
          <w:lang w:val="en-US" w:eastAsia="zh-CN"/>
        </w:rPr>
        <w:t>9</w:t>
      </w:r>
      <w:r>
        <w:rPr>
          <w:rFonts w:hint="default" w:ascii="Times New Roman" w:hAnsi="Times New Roman" w:eastAsia="仿宋_GB2312" w:cs="Times New Roman"/>
          <w:color w:val="auto"/>
          <w:sz w:val="32"/>
          <w:szCs w:val="32"/>
        </w:rPr>
        <w:t>万元。</w:t>
      </w:r>
    </w:p>
    <w:p>
      <w:pPr>
        <w:pStyle w:val="2"/>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kern w:val="2"/>
          <w:sz w:val="32"/>
          <w:szCs w:val="32"/>
          <w:lang w:val="en-US" w:eastAsia="zh-CN" w:bidi="ar-SA"/>
        </w:rPr>
        <w:t>3）</w:t>
      </w:r>
      <w:r>
        <w:rPr>
          <w:rFonts w:hint="eastAsia" w:ascii="Times New Roman" w:hAnsi="Times New Roman" w:eastAsia="仿宋_GB2312" w:cs="Times New Roman"/>
          <w:color w:val="auto"/>
          <w:kern w:val="2"/>
          <w:sz w:val="32"/>
          <w:szCs w:val="32"/>
          <w:lang w:val="en-US" w:eastAsia="zh-CN" w:bidi="ar-SA"/>
        </w:rPr>
        <w:t>2022年10月</w:t>
      </w:r>
      <w:r>
        <w:rPr>
          <w:rFonts w:hint="default" w:ascii="Times New Roman" w:hAnsi="Times New Roman" w:eastAsia="仿宋_GB2312" w:cs="Times New Roman"/>
          <w:color w:val="auto"/>
          <w:sz w:val="32"/>
          <w:szCs w:val="32"/>
          <w:lang w:eastAsia="zh-CN"/>
        </w:rPr>
        <w:t>接待</w:t>
      </w:r>
      <w:r>
        <w:rPr>
          <w:rFonts w:hint="default" w:ascii="Times New Roman" w:hAnsi="Times New Roman" w:eastAsia="仿宋_GB2312" w:cs="Times New Roman"/>
          <w:color w:val="auto"/>
          <w:sz w:val="32"/>
          <w:szCs w:val="32"/>
        </w:rPr>
        <w:t>四川省成都第二强戒所一行3人来所考察干部</w:t>
      </w:r>
      <w:r>
        <w:rPr>
          <w:rFonts w:hint="eastAsia" w:ascii="Times New Roman" w:cs="Times New Roman"/>
          <w:color w:val="auto"/>
          <w:sz w:val="32"/>
          <w:szCs w:val="32"/>
          <w:lang w:eastAsia="zh-CN"/>
        </w:rPr>
        <w:t>事宜</w:t>
      </w:r>
      <w:r>
        <w:rPr>
          <w:rFonts w:hint="default" w:ascii="Times New Roman" w:hAnsi="Times New Roman" w:eastAsia="仿宋_GB2312" w:cs="Times New Roman"/>
          <w:color w:val="auto"/>
          <w:sz w:val="32"/>
          <w:szCs w:val="32"/>
        </w:rPr>
        <w:t>，用餐费</w:t>
      </w:r>
      <w:r>
        <w:rPr>
          <w:rFonts w:hint="default" w:ascii="Times New Roman" w:hAnsi="Times New Roman" w:eastAsia="仿宋_GB2312" w:cs="Times New Roman"/>
          <w:color w:val="auto"/>
          <w:sz w:val="32"/>
          <w:szCs w:val="32"/>
          <w:lang w:val="en-US" w:eastAsia="zh-CN"/>
        </w:rPr>
        <w:t>0.0</w:t>
      </w:r>
      <w:r>
        <w:rPr>
          <w:rFonts w:hint="eastAsia" w:ascii="Times New Roman" w:cs="Times New Roman"/>
          <w:color w:val="auto"/>
          <w:sz w:val="32"/>
          <w:szCs w:val="32"/>
          <w:lang w:val="en-US" w:eastAsia="zh-CN"/>
        </w:rPr>
        <w:t>9</w:t>
      </w:r>
      <w:r>
        <w:rPr>
          <w:rFonts w:hint="default" w:ascii="Times New Roman" w:hAnsi="Times New Roman" w:eastAsia="仿宋_GB2312" w:cs="Times New Roman"/>
          <w:color w:val="auto"/>
          <w:sz w:val="32"/>
          <w:szCs w:val="32"/>
        </w:rPr>
        <w:t>万元。</w:t>
      </w:r>
    </w:p>
    <w:p>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lang w:val="en-US" w:eastAsia="zh-CN"/>
        </w:rPr>
        <w:t>0</w:t>
      </w:r>
      <w:r>
        <w:rPr>
          <w:rFonts w:hint="eastAsia" w:ascii="仿宋_GB2312" w:eastAsia="仿宋_GB2312"/>
          <w:sz w:val="32"/>
          <w:szCs w:val="32"/>
        </w:rPr>
        <w:t>万元。</w:t>
      </w:r>
    </w:p>
    <w:p>
      <w:pPr>
        <w:spacing w:line="600" w:lineRule="exact"/>
        <w:ind w:firstLine="640"/>
        <w:outlineLvl w:val="9"/>
        <w:rPr>
          <w:rFonts w:ascii="黑体" w:eastAsia="黑体"/>
          <w:sz w:val="32"/>
          <w:szCs w:val="32"/>
        </w:rPr>
      </w:pPr>
      <w:bookmarkStart w:id="55" w:name="_Toc15377218"/>
      <w:bookmarkStart w:id="56" w:name="_Toc15396610"/>
    </w:p>
    <w:p>
      <w:pPr>
        <w:spacing w:line="600" w:lineRule="exact"/>
        <w:ind w:firstLine="640"/>
        <w:outlineLvl w:val="1"/>
        <w:rPr>
          <w:rStyle w:val="29"/>
          <w:rFonts w:ascii="黑体" w:hAnsi="黑体" w:eastAsia="黑体"/>
        </w:rPr>
      </w:pPr>
      <w:bookmarkStart w:id="57" w:name="_Toc30227"/>
      <w:r>
        <w:rPr>
          <w:rFonts w:hint="eastAsia" w:ascii="黑体" w:eastAsia="黑体"/>
          <w:sz w:val="32"/>
          <w:szCs w:val="32"/>
        </w:rPr>
        <w:t>八、</w:t>
      </w:r>
      <w:r>
        <w:rPr>
          <w:rStyle w:val="29"/>
          <w:rFonts w:hint="eastAsia" w:ascii="黑体" w:hAnsi="黑体" w:eastAsia="黑体"/>
          <w:b w:val="0"/>
        </w:rPr>
        <w:t>政府性基金预算支出决算情况说明</w:t>
      </w:r>
      <w:bookmarkEnd w:id="55"/>
      <w:bookmarkEnd w:id="56"/>
      <w:bookmarkEnd w:id="57"/>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22年政府性基金预算财政拨款支出</w:t>
      </w:r>
      <w:r>
        <w:rPr>
          <w:rFonts w:hint="eastAsia" w:ascii="仿宋_GB2312" w:eastAsia="仿宋_GB2312"/>
          <w:sz w:val="32"/>
          <w:szCs w:val="32"/>
          <w:lang w:val="en-US" w:eastAsia="zh-CN"/>
        </w:rPr>
        <w:t>2400</w:t>
      </w:r>
      <w:r>
        <w:rPr>
          <w:rFonts w:hint="eastAsia" w:ascii="仿宋_GB2312" w:eastAsia="仿宋_GB2312"/>
          <w:sz w:val="32"/>
          <w:szCs w:val="32"/>
        </w:rPr>
        <w:t>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29"/>
          <w:rFonts w:ascii="黑体" w:hAnsi="黑体" w:eastAsia="黑体"/>
          <w:b w:val="0"/>
        </w:rPr>
      </w:pPr>
      <w:bookmarkStart w:id="58" w:name="_Toc15396611"/>
      <w:bookmarkStart w:id="59" w:name="_Toc15377219"/>
      <w:bookmarkStart w:id="60" w:name="_Toc25852"/>
      <w:r>
        <w:rPr>
          <w:rStyle w:val="29"/>
          <w:rFonts w:hint="eastAsia" w:ascii="黑体" w:hAnsi="黑体" w:eastAsia="黑体"/>
          <w:b w:val="0"/>
        </w:rPr>
        <w:t>国有资本经营预算支出决算情况说明</w:t>
      </w:r>
      <w:bookmarkEnd w:id="58"/>
      <w:bookmarkEnd w:id="59"/>
      <w:bookmarkEnd w:id="60"/>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29"/>
          <w:rFonts w:ascii="黑体" w:hAnsi="黑体" w:eastAsia="黑体"/>
          <w:b w:val="0"/>
        </w:rPr>
      </w:pPr>
      <w:bookmarkStart w:id="61" w:name="_Toc15396612"/>
      <w:bookmarkStart w:id="62" w:name="_Toc15377221"/>
      <w:bookmarkStart w:id="63" w:name="_Toc32505"/>
      <w:r>
        <w:rPr>
          <w:rStyle w:val="29"/>
          <w:rFonts w:hint="eastAsia" w:ascii="黑体" w:hAnsi="黑体" w:eastAsia="黑体"/>
          <w:b w:val="0"/>
        </w:rPr>
        <w:t>其他重要事项的情况说明</w:t>
      </w:r>
      <w:bookmarkEnd w:id="61"/>
      <w:bookmarkEnd w:id="62"/>
      <w:bookmarkEnd w:id="63"/>
    </w:p>
    <w:p>
      <w:pPr>
        <w:spacing w:line="600" w:lineRule="exact"/>
        <w:ind w:firstLine="643" w:firstLineChars="200"/>
        <w:outlineLvl w:val="2"/>
        <w:rPr>
          <w:rFonts w:ascii="仿宋" w:hAnsi="仿宋" w:eastAsia="仿宋"/>
          <w:sz w:val="32"/>
          <w:szCs w:val="32"/>
        </w:rPr>
      </w:pPr>
      <w:bookmarkStart w:id="64" w:name="_Toc15377222"/>
      <w:r>
        <w:rPr>
          <w:rFonts w:hint="eastAsia" w:ascii="仿宋" w:hAnsi="仿宋" w:eastAsia="仿宋"/>
          <w:b/>
          <w:sz w:val="32"/>
          <w:szCs w:val="32"/>
        </w:rPr>
        <w:t>（一）机关运行经费支出情况</w:t>
      </w:r>
      <w:bookmarkEnd w:id="64"/>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w:t>
      </w:r>
      <w:r>
        <w:rPr>
          <w:rFonts w:eastAsia="仿宋_GB2312"/>
          <w:color w:val="auto"/>
          <w:sz w:val="32"/>
          <w:szCs w:val="32"/>
        </w:rPr>
        <w:t>攀枝花市强制隔离戒毒所</w:t>
      </w:r>
      <w:r>
        <w:rPr>
          <w:rFonts w:hint="eastAsia" w:ascii="仿宋_GB2312" w:eastAsia="仿宋_GB2312"/>
          <w:sz w:val="32"/>
          <w:szCs w:val="32"/>
        </w:rPr>
        <w:t>机关运行经费支出</w:t>
      </w:r>
      <w:r>
        <w:rPr>
          <w:rFonts w:hint="eastAsia" w:ascii="仿宋_GB2312" w:eastAsia="仿宋_GB2312"/>
          <w:sz w:val="32"/>
          <w:szCs w:val="32"/>
          <w:lang w:val="en-US" w:eastAsia="zh-CN"/>
        </w:rPr>
        <w:t>155.52</w:t>
      </w:r>
      <w:r>
        <w:rPr>
          <w:rFonts w:hint="eastAsia" w:ascii="仿宋_GB2312" w:eastAsia="仿宋_GB2312"/>
          <w:sz w:val="32"/>
          <w:szCs w:val="32"/>
        </w:rPr>
        <w:t>万元，比</w:t>
      </w:r>
      <w:r>
        <w:rPr>
          <w:rFonts w:ascii="仿宋_GB2312" w:eastAsia="仿宋_GB2312"/>
          <w:sz w:val="32"/>
          <w:szCs w:val="32"/>
        </w:rPr>
        <w:t>20</w:t>
      </w:r>
      <w:r>
        <w:rPr>
          <w:rFonts w:hint="eastAsia" w:ascii="仿宋_GB2312" w:eastAsia="仿宋_GB2312"/>
          <w:sz w:val="32"/>
          <w:szCs w:val="32"/>
        </w:rPr>
        <w:t>21年减少</w:t>
      </w:r>
      <w:r>
        <w:rPr>
          <w:rFonts w:hint="eastAsia" w:ascii="仿宋_GB2312" w:eastAsia="仿宋_GB2312"/>
          <w:sz w:val="32"/>
          <w:szCs w:val="32"/>
          <w:lang w:val="en-US" w:eastAsia="zh-CN"/>
        </w:rPr>
        <w:t>37.61</w:t>
      </w:r>
      <w:r>
        <w:rPr>
          <w:rFonts w:hint="eastAsia" w:ascii="仿宋_GB2312" w:eastAsia="仿宋_GB2312"/>
          <w:sz w:val="32"/>
          <w:szCs w:val="32"/>
        </w:rPr>
        <w:t>万元，下降</w:t>
      </w:r>
      <w:r>
        <w:rPr>
          <w:rFonts w:hint="eastAsia" w:ascii="仿宋_GB2312" w:eastAsia="仿宋_GB2312"/>
          <w:sz w:val="32"/>
          <w:szCs w:val="32"/>
          <w:lang w:val="en-US" w:eastAsia="zh-CN"/>
        </w:rPr>
        <w:t>19.47</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color w:val="auto"/>
          <w:sz w:val="32"/>
          <w:szCs w:val="32"/>
          <w:lang w:val="en-US" w:eastAsia="zh-CN"/>
        </w:rPr>
        <w:t>财政资金紧张，部门行政公用经费开支减少</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5" w:name="_Toc15377223"/>
      <w:r>
        <w:rPr>
          <w:rFonts w:hint="eastAsia" w:ascii="仿宋" w:hAnsi="仿宋" w:eastAsia="仿宋"/>
          <w:b/>
          <w:sz w:val="32"/>
          <w:szCs w:val="32"/>
        </w:rPr>
        <w:t>（二）政府采购支出情况</w:t>
      </w:r>
      <w:bookmarkEnd w:id="65"/>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w:t>
      </w:r>
      <w:r>
        <w:rPr>
          <w:rFonts w:eastAsia="仿宋_GB2312"/>
          <w:color w:val="auto"/>
          <w:sz w:val="32"/>
          <w:szCs w:val="32"/>
        </w:rPr>
        <w:t>攀枝花市强制隔离戒毒所</w:t>
      </w:r>
      <w:r>
        <w:rPr>
          <w:rFonts w:hint="eastAsia" w:ascii="仿宋_GB2312" w:eastAsia="仿宋_GB2312"/>
          <w:sz w:val="32"/>
          <w:szCs w:val="32"/>
        </w:rPr>
        <w:t>政府采购支出总额</w:t>
      </w:r>
      <w:r>
        <w:rPr>
          <w:rFonts w:hint="eastAsia" w:ascii="仿宋_GB2312" w:eastAsia="仿宋_GB2312"/>
          <w:sz w:val="32"/>
          <w:szCs w:val="32"/>
          <w:lang w:val="en-US" w:eastAsia="zh-CN"/>
        </w:rPr>
        <w:t>0</w:t>
      </w:r>
      <w:r>
        <w:rPr>
          <w:rFonts w:hint="eastAsia" w:ascii="仿宋_GB2312" w:eastAsia="仿宋_GB2312"/>
          <w:sz w:val="32"/>
          <w:szCs w:val="32"/>
        </w:rPr>
        <w:t>万元。</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6" w:name="_Toc15377224"/>
      <w:r>
        <w:rPr>
          <w:rFonts w:hint="eastAsia" w:ascii="仿宋" w:hAnsi="仿宋" w:eastAsia="仿宋"/>
          <w:b/>
          <w:sz w:val="32"/>
          <w:szCs w:val="32"/>
        </w:rPr>
        <w:t>（三）国有资产占有使用情况</w:t>
      </w:r>
      <w:bookmarkEnd w:id="66"/>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eastAsia="仿宋_GB2312"/>
          <w:color w:val="auto"/>
          <w:sz w:val="32"/>
          <w:szCs w:val="32"/>
        </w:rPr>
        <w:t>攀枝花市强制隔离戒毒所</w:t>
      </w:r>
      <w:r>
        <w:rPr>
          <w:rFonts w:hint="eastAsia" w:ascii="仿宋_GB2312" w:eastAsia="仿宋_GB2312"/>
          <w:sz w:val="32"/>
          <w:szCs w:val="32"/>
        </w:rPr>
        <w:t>共有车辆</w:t>
      </w:r>
      <w:r>
        <w:rPr>
          <w:rFonts w:hint="eastAsia" w:ascii="仿宋_GB2312" w:eastAsia="仿宋_GB2312"/>
          <w:sz w:val="32"/>
          <w:szCs w:val="32"/>
          <w:lang w:val="en-US" w:eastAsia="zh-CN"/>
        </w:rPr>
        <w:t>4</w:t>
      </w:r>
      <w:r>
        <w:rPr>
          <w:rFonts w:hint="eastAsia" w:ascii="仿宋_GB2312" w:eastAsia="仿宋_GB2312"/>
          <w:sz w:val="32"/>
          <w:szCs w:val="32"/>
        </w:rPr>
        <w:t>辆，其中：</w:t>
      </w:r>
      <w:r>
        <w:rPr>
          <w:rFonts w:eastAsia="仿宋_GB2312"/>
          <w:color w:val="000000"/>
          <w:sz w:val="32"/>
          <w:szCs w:val="32"/>
        </w:rPr>
        <w:t>执法执勤用车3辆、一般特种专业技术用车1辆。单价50万元以上通用设备0台（套），单价100万元以上专用设备0台（套）。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根据预算绩效管理要求，本部门在2022年度预算编制阶段，组织对</w:t>
      </w:r>
      <w:r>
        <w:rPr>
          <w:rFonts w:eastAsia="仿宋_GB2312"/>
          <w:sz w:val="32"/>
          <w:szCs w:val="32"/>
        </w:rPr>
        <w:t>“</w:t>
      </w:r>
      <w:r>
        <w:rPr>
          <w:rFonts w:hint="eastAsia" w:eastAsia="仿宋_GB2312"/>
          <w:sz w:val="32"/>
          <w:szCs w:val="32"/>
          <w:lang w:val="en-US" w:eastAsia="zh-CN"/>
        </w:rPr>
        <w:t>攀枝花市强制隔离戒毒所建设项目</w:t>
      </w:r>
      <w:r>
        <w:rPr>
          <w:rFonts w:eastAsia="仿宋_GB2312"/>
          <w:sz w:val="32"/>
          <w:szCs w:val="32"/>
        </w:rPr>
        <w:t>”、“</w:t>
      </w:r>
      <w:r>
        <w:rPr>
          <w:rFonts w:hint="eastAsia" w:eastAsia="仿宋_GB2312"/>
          <w:sz w:val="32"/>
          <w:szCs w:val="32"/>
          <w:lang w:val="en-US" w:eastAsia="zh-CN"/>
        </w:rPr>
        <w:t>2021年民警被装</w:t>
      </w:r>
      <w:r>
        <w:rPr>
          <w:rFonts w:eastAsia="仿宋_GB2312"/>
          <w:sz w:val="32"/>
          <w:szCs w:val="32"/>
        </w:rPr>
        <w:t>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个项目开展绩效监控。</w:t>
      </w:r>
    </w:p>
    <w:p>
      <w:pPr>
        <w:widowControl/>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组织对2022年度一般公共预算、政府性基金预算、国有资本经营预算、社会保险基金预算以及资本资产、债券资金等全面开展绩效自评，形成</w:t>
      </w:r>
      <w:r>
        <w:rPr>
          <w:rFonts w:hint="eastAsia" w:ascii="仿宋_GB2312" w:hAnsi="仿宋_GB2312" w:eastAsia="仿宋_GB2312" w:cs="仿宋_GB2312"/>
          <w:sz w:val="32"/>
          <w:szCs w:val="32"/>
          <w:lang w:val="en-US" w:eastAsia="zh-CN"/>
        </w:rPr>
        <w:t>攀枝花市强制隔离戒毒所</w:t>
      </w:r>
      <w:r>
        <w:rPr>
          <w:rFonts w:hint="eastAsia" w:ascii="仿宋_GB2312" w:hAnsi="仿宋_GB2312" w:eastAsia="仿宋_GB2312" w:cs="仿宋_GB2312"/>
          <w:sz w:val="32"/>
          <w:szCs w:val="32"/>
        </w:rPr>
        <w:t>部门整体（含部门预算项目）绩效自评报告、</w:t>
      </w:r>
      <w:r>
        <w:rPr>
          <w:rFonts w:hint="eastAsia" w:ascii="仿宋_GB2312" w:hAnsi="仿宋_GB2312" w:eastAsia="仿宋_GB2312" w:cs="仿宋_GB2312"/>
          <w:sz w:val="32"/>
          <w:szCs w:val="32"/>
          <w:lang w:val="en-US" w:eastAsia="zh-CN"/>
        </w:rPr>
        <w:t>攀枝花市强制隔离戒毒所建设项目</w:t>
      </w:r>
      <w:r>
        <w:rPr>
          <w:rFonts w:hint="eastAsia" w:ascii="仿宋_GB2312" w:hAnsi="仿宋_GB2312" w:eastAsia="仿宋_GB2312" w:cs="仿宋_GB2312"/>
          <w:sz w:val="32"/>
          <w:szCs w:val="32"/>
        </w:rPr>
        <w:t>等专项预算项目绩效自评报告，其中，</w:t>
      </w:r>
      <w:r>
        <w:rPr>
          <w:rFonts w:hint="eastAsia" w:ascii="仿宋_GB2312" w:hAnsi="仿宋_GB2312" w:eastAsia="仿宋_GB2312" w:cs="仿宋_GB2312"/>
          <w:sz w:val="32"/>
          <w:szCs w:val="32"/>
          <w:lang w:val="en-US" w:eastAsia="zh-CN"/>
        </w:rPr>
        <w:t>攀枝花市强制隔离戒毒所</w:t>
      </w:r>
      <w:r>
        <w:rPr>
          <w:rFonts w:hint="eastAsia" w:ascii="仿宋_GB2312" w:hAnsi="仿宋_GB2312" w:eastAsia="仿宋_GB2312" w:cs="仿宋_GB2312"/>
          <w:sz w:val="32"/>
          <w:szCs w:val="32"/>
        </w:rPr>
        <w:t>部门整体（含部门预算项目）绩效自评得分为</w:t>
      </w:r>
      <w:r>
        <w:rPr>
          <w:rFonts w:hint="eastAsia" w:ascii="仿宋_GB2312" w:hAnsi="仿宋_GB2312" w:eastAsia="仿宋_GB2312" w:cs="仿宋_GB2312"/>
          <w:sz w:val="32"/>
          <w:szCs w:val="32"/>
          <w:lang w:val="en-US" w:eastAsia="zh-CN"/>
        </w:rPr>
        <w:t>92.3</w:t>
      </w:r>
      <w:r>
        <w:rPr>
          <w:rFonts w:hint="eastAsia" w:ascii="仿宋_GB2312" w:hAnsi="仿宋_GB2312" w:eastAsia="仿宋_GB2312" w:cs="仿宋_GB2312"/>
          <w:sz w:val="32"/>
          <w:szCs w:val="32"/>
        </w:rPr>
        <w:t>分，绩效自评综述：</w:t>
      </w:r>
      <w:r>
        <w:rPr>
          <w:rFonts w:hint="eastAsia" w:ascii="仿宋_GB2312" w:hAnsi="仿宋_GB2312" w:eastAsia="仿宋_GB2312" w:cs="仿宋_GB2312"/>
          <w:sz w:val="32"/>
          <w:szCs w:val="32"/>
          <w:lang w:val="en-US" w:eastAsia="zh-CN"/>
        </w:rPr>
        <w:t>2022年市强戒所按照政府会计制度，科学、合理编制部门预算和设定</w:t>
      </w:r>
      <w:r>
        <w:rPr>
          <w:rFonts w:hint="eastAsia" w:ascii="仿宋_GB2312" w:hAnsi="仿宋_GB2312" w:eastAsia="仿宋_GB2312" w:cs="仿宋_GB2312"/>
          <w:sz w:val="32"/>
          <w:szCs w:val="32"/>
          <w:lang w:eastAsia="zh-CN"/>
        </w:rPr>
        <w:t>整体支出绩效目标，在预算执行过程中</w:t>
      </w:r>
      <w:r>
        <w:rPr>
          <w:rFonts w:hint="eastAsia" w:ascii="仿宋_GB2312" w:hAnsi="仿宋_GB2312" w:eastAsia="仿宋_GB2312" w:cs="仿宋_GB2312"/>
          <w:sz w:val="32"/>
          <w:szCs w:val="32"/>
          <w:lang w:val="en-US" w:eastAsia="zh-CN"/>
        </w:rPr>
        <w:t>严格落实财经纪律，</w:t>
      </w:r>
      <w:r>
        <w:rPr>
          <w:rFonts w:hint="eastAsia" w:ascii="仿宋_GB2312" w:hAnsi="仿宋_GB2312" w:eastAsia="仿宋_GB2312" w:cs="仿宋_GB2312"/>
          <w:sz w:val="32"/>
          <w:szCs w:val="32"/>
          <w:lang w:eastAsia="zh-CN"/>
        </w:rPr>
        <w:t>坚持预算执行和绩效目标过程监控，较好地完成了绩效目标管理各项要求，基本完成了</w:t>
      </w:r>
      <w:r>
        <w:rPr>
          <w:rFonts w:hint="eastAsia" w:ascii="仿宋_GB2312" w:hAnsi="仿宋_GB2312" w:eastAsia="仿宋_GB2312" w:cs="仿宋_GB2312"/>
          <w:sz w:val="32"/>
          <w:szCs w:val="32"/>
          <w:lang w:val="en-US" w:eastAsia="zh-CN"/>
        </w:rPr>
        <w:t>2022年度</w:t>
      </w:r>
      <w:r>
        <w:rPr>
          <w:rFonts w:hint="eastAsia" w:ascii="仿宋_GB2312" w:hAnsi="仿宋_GB2312" w:eastAsia="仿宋_GB2312" w:cs="仿宋_GB2312"/>
          <w:sz w:val="32"/>
          <w:szCs w:val="32"/>
          <w:lang w:eastAsia="zh-CN"/>
        </w:rPr>
        <w:t>部门整体支出绩效目标</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攀枝花市强制隔离戒毒所建设项目</w:t>
      </w:r>
      <w:r>
        <w:rPr>
          <w:rFonts w:hint="eastAsia" w:ascii="仿宋_GB2312" w:hAnsi="仿宋_GB2312" w:eastAsia="仿宋_GB2312" w:cs="仿宋_GB2312"/>
          <w:sz w:val="32"/>
          <w:szCs w:val="32"/>
        </w:rPr>
        <w:t>专项预算项目绩效自评得分为</w:t>
      </w:r>
      <w:r>
        <w:rPr>
          <w:rFonts w:hint="eastAsia" w:ascii="仿宋_GB2312" w:hAnsi="仿宋_GB2312" w:eastAsia="仿宋_GB2312" w:cs="仿宋_GB2312"/>
          <w:sz w:val="32"/>
          <w:szCs w:val="32"/>
          <w:lang w:val="en-US" w:eastAsia="zh-CN"/>
        </w:rPr>
        <w:t>98.1</w:t>
      </w:r>
      <w:r>
        <w:rPr>
          <w:rFonts w:hint="eastAsia" w:ascii="仿宋_GB2312" w:hAnsi="仿宋_GB2312" w:eastAsia="仿宋_GB2312" w:cs="仿宋_GB2312"/>
          <w:sz w:val="32"/>
          <w:szCs w:val="32"/>
        </w:rPr>
        <w:t>分，绩效自评综述：从项目建设整体上看，市强戒所项目严格按照我市市本级投资项目决策程序，经研究决策后组织实施。项目建设严格按照相关法律法规规定，依法依规开展建设，并结合项目实际情况制定了相关管理规定和制度，项目管理规范。项目绩效管理严格按照年度申报目标推进项目建设，并制定了实施方案，细化了时间节点，落实了职责，项目绩效目标严格控制在申报范围，总体执行较好，实现了既定目标。绩效自评报告详见附件。</w:t>
      </w:r>
      <w:r>
        <w:rPr>
          <w:rFonts w:hint="eastAsia" w:ascii="仿宋_GB2312" w:hAnsi="仿宋_GB2312" w:eastAsia="仿宋_GB2312" w:cs="仿宋_GB2312"/>
          <w:sz w:val="32"/>
          <w:szCs w:val="32"/>
        </w:rPr>
        <w:br w:type="page"/>
      </w:r>
    </w:p>
    <w:p>
      <w:pPr>
        <w:numPr>
          <w:ilvl w:val="0"/>
          <w:numId w:val="4"/>
        </w:numPr>
        <w:spacing w:line="600" w:lineRule="exact"/>
        <w:ind w:firstLine="660" w:firstLineChars="150"/>
        <w:jc w:val="center"/>
        <w:outlineLvl w:val="0"/>
        <w:rPr>
          <w:rStyle w:val="28"/>
          <w:rFonts w:ascii="黑体" w:hAnsi="黑体" w:eastAsia="黑体"/>
          <w:b w:val="0"/>
        </w:rPr>
      </w:pPr>
      <w:bookmarkStart w:id="67" w:name="_Toc21767"/>
      <w:bookmarkStart w:id="68" w:name="_Toc15377225"/>
      <w:bookmarkStart w:id="69" w:name="_Toc15396613"/>
      <w:r>
        <w:rPr>
          <w:rFonts w:hint="eastAsia" w:ascii="黑体" w:hAnsi="黑体" w:eastAsia="黑体"/>
          <w:sz w:val="44"/>
          <w:szCs w:val="44"/>
        </w:rPr>
        <w:t>名</w:t>
      </w:r>
      <w:r>
        <w:rPr>
          <w:rStyle w:val="28"/>
          <w:rFonts w:hint="eastAsia" w:ascii="黑体" w:hAnsi="黑体" w:eastAsia="黑体"/>
          <w:b w:val="0"/>
        </w:rPr>
        <w:t>词解释</w:t>
      </w:r>
      <w:bookmarkEnd w:id="67"/>
      <w:bookmarkEnd w:id="68"/>
      <w:bookmarkEnd w:id="69"/>
    </w:p>
    <w:p>
      <w:pPr>
        <w:spacing w:line="600" w:lineRule="exact"/>
        <w:jc w:val="left"/>
        <w:rPr>
          <w:rFonts w:ascii="宋体"/>
          <w:b/>
          <w:sz w:val="44"/>
          <w:szCs w:val="44"/>
        </w:rPr>
      </w:pPr>
    </w:p>
    <w:p>
      <w:pPr>
        <w:pStyle w:val="26"/>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1.财政拨款收入：指单位从同级财政部门取得的财政预算资金。</w:t>
      </w:r>
    </w:p>
    <w:p>
      <w:pPr>
        <w:pStyle w:val="26"/>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2.其他收入：指单位取得的除“财政拨款收入”、“事业收入”、“经营收入”以外的各项收入。</w:t>
      </w:r>
    </w:p>
    <w:p>
      <w:pPr>
        <w:pStyle w:val="26"/>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3.年初结转和结余：指以前年度尚未完成、结转到本年按有关规定继续使用的资金。 </w:t>
      </w:r>
    </w:p>
    <w:p>
      <w:pPr>
        <w:pStyle w:val="26"/>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4.年末结转和结余：指单位按有关规定结转到下年或以后年度继续使用的资金。</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color w:val="000000"/>
          <w:sz w:val="32"/>
          <w:szCs w:val="32"/>
        </w:rPr>
        <w:t>公共安全支出（类）</w:t>
      </w:r>
      <w:r>
        <w:rPr>
          <w:rFonts w:hint="eastAsia" w:ascii="仿宋_GB2312" w:hAnsi="仿宋_GB2312" w:eastAsia="仿宋_GB2312" w:cs="仿宋_GB2312"/>
          <w:sz w:val="32"/>
          <w:szCs w:val="32"/>
        </w:rPr>
        <w:t>强制隔离戒毒</w:t>
      </w:r>
      <w:r>
        <w:rPr>
          <w:rFonts w:hint="eastAsia" w:ascii="仿宋_GB2312" w:hAnsi="仿宋_GB2312" w:eastAsia="仿宋_GB2312" w:cs="仿宋_GB2312"/>
          <w:color w:val="000000"/>
          <w:sz w:val="32"/>
          <w:szCs w:val="32"/>
        </w:rPr>
        <w:t>（款）行政运行（项）：指反映行政单位（包括实行公务员管理的事业单位）的基本支出。</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6.公共安全支出（类）</w:t>
      </w:r>
      <w:r>
        <w:rPr>
          <w:rFonts w:hint="eastAsia" w:ascii="仿宋_GB2312" w:hAnsi="仿宋_GB2312" w:eastAsia="仿宋_GB2312" w:cs="仿宋_GB2312"/>
          <w:sz w:val="32"/>
          <w:szCs w:val="32"/>
        </w:rPr>
        <w:t>强制隔离戒毒</w:t>
      </w:r>
      <w:r>
        <w:rPr>
          <w:rFonts w:hint="eastAsia" w:ascii="仿宋_GB2312" w:hAnsi="仿宋_GB2312" w:eastAsia="仿宋_GB2312" w:cs="仿宋_GB2312"/>
          <w:color w:val="000000"/>
          <w:sz w:val="32"/>
          <w:szCs w:val="32"/>
        </w:rPr>
        <w:t>（款）一般行政管理事务（项）：指反映行政单位（包括实行公务员管理的事业单位）未单独设置项级科目的其他项目支出。</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7.社会保障和就业支出（类）行政事业单位离退休（款）行政单位离退休（项）：指反映行政单位（包括实行公务员管理的事业单位）开支的离退休经费。</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8.社会保障和就业支出（类）行政事业单位离退休（款）机关事业单位基本养老保险缴费支出（项）：指反映机关事业单位实施保险制度由单位缴纳的基本养老保险费支出。</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9.社会保障和就业支出（类）抚恤（款）死亡抚恤（项）：反映按规定用于烈士和牺牲、病故人员家属的一次性和定期抚恤金以及丧葬补助费。</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10.</w:t>
      </w:r>
      <w:r>
        <w:rPr>
          <w:rFonts w:hint="eastAsia" w:ascii="仿宋_GB2312" w:hAnsi="仿宋_GB2312" w:eastAsia="仿宋_GB2312" w:cs="仿宋_GB2312"/>
          <w:color w:val="auto"/>
          <w:sz w:val="32"/>
          <w:szCs w:val="32"/>
        </w:rPr>
        <w:t>城乡社区支出（类）城乡社区公共设施（款） 其他城乡社区公共设施支出（项）：</w:t>
      </w:r>
      <w:r>
        <w:rPr>
          <w:rFonts w:hint="eastAsia" w:ascii="仿宋_GB2312" w:hAnsi="仿宋_GB2312" w:eastAsia="仿宋_GB2312" w:cs="仿宋_GB2312"/>
          <w:color w:val="000000"/>
          <w:sz w:val="32"/>
          <w:szCs w:val="32"/>
        </w:rPr>
        <w:t>反映除上述项目以外其他用于城乡社区管理事务方面的支出。</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11.住房保障支出（类）住房改革支出（款）住房公积金（项）：指反映行政事业单位按照人力资源和社会保障部、财政部规定的基本工资和津贴补贴以及规定比例为职工缴纳的住房公积金。</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12.基本支出：指为保障机构正常运转、完成日常工作任务而发生的人员支出和公用支出。</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13.项目支出：指在基本支出之外为完成特定行政任务和事业发展目标所发生的支出。</w:t>
      </w:r>
    </w:p>
    <w:p>
      <w:pPr>
        <w:pStyle w:val="26"/>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14.</w:t>
      </w:r>
      <w:r>
        <w:rPr>
          <w:rFonts w:hint="eastAsia" w:ascii="仿宋_GB2312" w:hAnsi="仿宋_GB2312" w:eastAsia="仿宋_GB2312" w:cs="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ind w:firstLine="640" w:firstLineChars="200"/>
        <w:rPr>
          <w:rFonts w:ascii="仿宋" w:hAnsi="仿宋" w:eastAsia="仿宋"/>
          <w:b/>
          <w:sz w:val="32"/>
          <w:szCs w:val="32"/>
        </w:rPr>
      </w:pPr>
      <w:r>
        <w:rPr>
          <w:rFonts w:hint="eastAsia" w:ascii="仿宋_GB2312" w:hAnsi="仿宋_GB2312" w:eastAsia="仿宋_GB2312" w:cs="仿宋_GB2312"/>
          <w:color w:val="000000"/>
          <w:sz w:val="32"/>
          <w:szCs w:val="32"/>
        </w:rPr>
        <w:t>15.</w:t>
      </w:r>
      <w:r>
        <w:rPr>
          <w:rFonts w:hint="eastAsia" w:ascii="仿宋_GB2312" w:hAnsi="仿宋_GB2312" w:eastAsia="仿宋_GB2312" w:cs="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8"/>
          <w:rFonts w:ascii="黑体" w:hAnsi="黑体" w:eastAsia="黑体"/>
          <w:b w:val="0"/>
        </w:rPr>
      </w:pPr>
      <w:bookmarkStart w:id="70" w:name="_Toc15377226"/>
      <w:r>
        <w:rPr>
          <w:rFonts w:ascii="宋体"/>
          <w:b/>
          <w:sz w:val="44"/>
          <w:szCs w:val="44"/>
        </w:rPr>
        <w:br w:type="page"/>
      </w:r>
      <w:bookmarkStart w:id="71" w:name="_Toc7736"/>
      <w:bookmarkStart w:id="72" w:name="_Toc15396614"/>
      <w:r>
        <w:rPr>
          <w:rFonts w:hint="eastAsia" w:ascii="黑体" w:hAnsi="黑体" w:eastAsia="黑体"/>
          <w:sz w:val="44"/>
          <w:szCs w:val="44"/>
        </w:rPr>
        <w:t>第</w:t>
      </w:r>
      <w:r>
        <w:rPr>
          <w:rStyle w:val="28"/>
          <w:rFonts w:hint="eastAsia" w:ascii="黑体" w:hAnsi="黑体" w:eastAsia="黑体"/>
          <w:b w:val="0"/>
        </w:rPr>
        <w:t>四部分 附件</w:t>
      </w:r>
      <w:bookmarkEnd w:id="71"/>
      <w:bookmarkEnd w:id="72"/>
    </w:p>
    <w:p>
      <w:pPr>
        <w:spacing w:line="572" w:lineRule="exact"/>
        <w:jc w:val="left"/>
        <w:outlineLvl w:val="9"/>
        <w:rPr>
          <w:rFonts w:hint="eastAsia" w:ascii="黑体" w:hAnsi="黑体" w:eastAsia="黑体" w:cs="黑体"/>
          <w:sz w:val="32"/>
          <w:szCs w:val="32"/>
        </w:rPr>
      </w:pPr>
    </w:p>
    <w:p>
      <w:pPr>
        <w:spacing w:line="572" w:lineRule="exact"/>
        <w:jc w:val="left"/>
        <w:outlineLvl w:val="0"/>
        <w:rPr>
          <w:rFonts w:hint="eastAsia" w:ascii="仿宋_GB2312" w:hAnsi="仿宋_GB2312" w:eastAsia="仿宋_GB2312" w:cs="仿宋_GB2312"/>
          <w:sz w:val="44"/>
          <w:szCs w:val="44"/>
          <w:lang w:val="en-US" w:eastAsia="zh-CN"/>
        </w:rPr>
      </w:pPr>
      <w:bookmarkStart w:id="73" w:name="_Toc31301"/>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bookmarkEnd w:id="73"/>
    </w:p>
    <w:p>
      <w:pPr>
        <w:keepNext w:val="0"/>
        <w:keepLines w:val="0"/>
        <w:pageBreakBefore w:val="0"/>
        <w:widowControl/>
        <w:kinsoku/>
        <w:wordWrap/>
        <w:overflowPunct/>
        <w:topLinePunct w:val="0"/>
        <w:autoSpaceDE/>
        <w:autoSpaceDN/>
        <w:bidi w:val="0"/>
        <w:spacing w:line="560" w:lineRule="exact"/>
        <w:contextualSpacing/>
        <w:jc w:val="center"/>
        <w:textAlignment w:val="auto"/>
        <w:rPr>
          <w:rFonts w:hint="eastAsia" w:ascii="方正小标宋_GBK" w:hAnsi="方正小标宋_GBK" w:eastAsia="方正小标宋_GBK" w:cs="方正小标宋_GBK"/>
          <w:b w:val="0"/>
          <w:bCs/>
          <w:sz w:val="32"/>
          <w:szCs w:val="32"/>
          <w:shd w:val="clear" w:color="auto" w:fill="FFFFFF"/>
        </w:rPr>
      </w:pPr>
      <w:r>
        <w:rPr>
          <w:rFonts w:hint="eastAsia" w:ascii="方正小标宋_GBK" w:hAnsi="方正小标宋_GBK" w:eastAsia="方正小标宋_GBK" w:cs="方正小标宋_GBK"/>
          <w:b w:val="0"/>
          <w:bCs/>
          <w:sz w:val="32"/>
          <w:szCs w:val="32"/>
          <w:shd w:val="clear" w:color="auto" w:fill="FFFFFF"/>
        </w:rPr>
        <w:t>202</w:t>
      </w:r>
      <w:r>
        <w:rPr>
          <w:rFonts w:hint="eastAsia" w:ascii="方正小标宋_GBK" w:hAnsi="方正小标宋_GBK" w:eastAsia="方正小标宋_GBK" w:cs="方正小标宋_GBK"/>
          <w:b w:val="0"/>
          <w:bCs/>
          <w:sz w:val="32"/>
          <w:szCs w:val="32"/>
          <w:shd w:val="clear" w:color="auto" w:fill="FFFFFF"/>
          <w:lang w:val="en-US" w:eastAsia="zh-CN"/>
        </w:rPr>
        <w:t>2</w:t>
      </w:r>
      <w:r>
        <w:rPr>
          <w:rFonts w:hint="eastAsia" w:ascii="方正小标宋_GBK" w:hAnsi="方正小标宋_GBK" w:eastAsia="方正小标宋_GBK" w:cs="方正小标宋_GBK"/>
          <w:b w:val="0"/>
          <w:bCs/>
          <w:sz w:val="32"/>
          <w:szCs w:val="32"/>
          <w:shd w:val="clear" w:color="auto" w:fill="FFFFFF"/>
        </w:rPr>
        <w:t>年</w:t>
      </w:r>
      <w:r>
        <w:rPr>
          <w:rFonts w:hint="eastAsia" w:ascii="方正小标宋_GBK" w:hAnsi="方正小标宋_GBK" w:eastAsia="方正小标宋_GBK" w:cs="方正小标宋_GBK"/>
          <w:b w:val="0"/>
          <w:bCs/>
          <w:sz w:val="32"/>
          <w:szCs w:val="32"/>
          <w:shd w:val="clear" w:color="auto" w:fill="FFFFFF"/>
          <w:lang w:eastAsia="zh-CN"/>
        </w:rPr>
        <w:t>市级</w:t>
      </w:r>
      <w:r>
        <w:rPr>
          <w:rFonts w:hint="eastAsia" w:ascii="方正小标宋_GBK" w:hAnsi="方正小标宋_GBK" w:eastAsia="方正小标宋_GBK" w:cs="方正小标宋_GBK"/>
          <w:b w:val="0"/>
          <w:bCs/>
          <w:sz w:val="32"/>
          <w:szCs w:val="32"/>
          <w:shd w:val="clear" w:color="auto" w:fill="FFFFFF"/>
        </w:rPr>
        <w:t>部门整体绩效评价报告</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contextualSpacing/>
        <w:jc w:val="left"/>
        <w:textAlignment w:val="auto"/>
        <w:rPr>
          <w:rFonts w:eastAsia="黑体"/>
          <w:color w:val="000000"/>
          <w:kern w:val="0"/>
          <w:sz w:val="24"/>
          <w:szCs w:val="32"/>
          <w:shd w:val="clear" w:color="auto" w:fill="FFFFFF"/>
        </w:rPr>
      </w:pP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eastAsia="黑体"/>
          <w:color w:val="000000"/>
          <w:kern w:val="0"/>
          <w:sz w:val="32"/>
          <w:szCs w:val="32"/>
          <w:shd w:val="clear" w:color="auto" w:fill="FFFFFF"/>
          <w:lang w:val="zh-CN"/>
        </w:rPr>
      </w:pPr>
      <w:r>
        <w:rPr>
          <w:rFonts w:eastAsia="黑体"/>
          <w:color w:val="000000"/>
          <w:kern w:val="0"/>
          <w:sz w:val="32"/>
          <w:szCs w:val="32"/>
          <w:shd w:val="clear" w:color="auto" w:fill="FFFFFF"/>
        </w:rPr>
        <w:t>一、</w:t>
      </w:r>
      <w:r>
        <w:rPr>
          <w:rFonts w:eastAsia="黑体"/>
          <w:color w:val="000000"/>
          <w:kern w:val="0"/>
          <w:sz w:val="32"/>
          <w:szCs w:val="32"/>
          <w:shd w:val="clear" w:color="auto" w:fill="FFFFFF"/>
          <w:lang w:val="zh-CN"/>
        </w:rPr>
        <w:t>部门</w:t>
      </w:r>
      <w:r>
        <w:rPr>
          <w:rFonts w:hint="eastAsia" w:eastAsia="黑体"/>
          <w:color w:val="000000"/>
          <w:kern w:val="0"/>
          <w:sz w:val="32"/>
          <w:szCs w:val="32"/>
          <w:shd w:val="clear" w:color="auto" w:fill="FFFFFF"/>
          <w:lang w:val="zh-CN"/>
        </w:rPr>
        <w:t>基本情况</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（一）机构组成。</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攀枝花市强制隔离戒毒所系纳入公务员编制的</w:t>
      </w:r>
      <w:r>
        <w:rPr>
          <w:rFonts w:hint="eastAsia" w:ascii="仿宋_GB2312" w:hAnsi="仿宋_GB2312" w:eastAsia="仿宋_GB2312" w:cs="仿宋_GB2312"/>
          <w:sz w:val="32"/>
          <w:szCs w:val="32"/>
          <w:lang w:eastAsia="zh-CN"/>
        </w:rPr>
        <w:t>特殊</w:t>
      </w:r>
      <w:r>
        <w:rPr>
          <w:rFonts w:hint="eastAsia" w:ascii="仿宋_GB2312" w:hAnsi="仿宋_GB2312" w:eastAsia="仿宋_GB2312" w:cs="仿宋_GB2312"/>
          <w:sz w:val="32"/>
          <w:szCs w:val="32"/>
        </w:rPr>
        <w:t>事业</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。攀枝花市强制隔离戒毒所</w:t>
      </w:r>
      <w:r>
        <w:rPr>
          <w:rFonts w:hint="eastAsia" w:ascii="仿宋_GB2312" w:hAnsi="仿宋_GB2312" w:eastAsia="仿宋_GB2312" w:cs="仿宋_GB2312"/>
          <w:sz w:val="32"/>
          <w:szCs w:val="32"/>
          <w:lang w:eastAsia="zh-CN"/>
        </w:rPr>
        <w:t>下设</w:t>
      </w:r>
      <w:r>
        <w:rPr>
          <w:rFonts w:hint="eastAsia" w:ascii="仿宋_GB2312" w:hAnsi="仿宋_GB2312" w:eastAsia="仿宋_GB2312" w:cs="仿宋_GB2312"/>
          <w:sz w:val="32"/>
          <w:szCs w:val="32"/>
          <w:lang w:val="en-US" w:eastAsia="zh-CN"/>
        </w:rPr>
        <w:t>19个内设</w:t>
      </w:r>
      <w:r>
        <w:rPr>
          <w:rFonts w:hint="eastAsia" w:ascii="仿宋_GB2312" w:hAnsi="仿宋_GB2312" w:eastAsia="仿宋_GB2312" w:cs="仿宋_GB2312"/>
          <w:sz w:val="32"/>
          <w:szCs w:val="32"/>
        </w:rPr>
        <w:t>机构：政治处、审计监察科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办公室、</w:t>
      </w:r>
      <w:r>
        <w:rPr>
          <w:rFonts w:hint="eastAsia" w:ascii="仿宋_GB2312" w:hAnsi="仿宋_GB2312" w:eastAsia="仿宋_GB2312" w:cs="仿宋_GB2312"/>
          <w:sz w:val="32"/>
          <w:szCs w:val="32"/>
          <w:lang w:eastAsia="zh-CN"/>
        </w:rPr>
        <w:t>研究室</w:t>
      </w:r>
      <w:r>
        <w:rPr>
          <w:rFonts w:hint="eastAsia" w:ascii="仿宋_GB2312" w:hAnsi="仿宋_GB2312" w:eastAsia="仿宋_GB2312" w:cs="仿宋_GB2312"/>
          <w:sz w:val="32"/>
          <w:szCs w:val="32"/>
        </w:rPr>
        <w:t>、生产计划科、安全科、财务科、管理科、教育科、生活卫生科、</w:t>
      </w:r>
      <w:r>
        <w:rPr>
          <w:rFonts w:hint="eastAsia" w:ascii="仿宋_GB2312" w:hAnsi="仿宋_GB2312" w:eastAsia="仿宋_GB2312" w:cs="仿宋_GB2312"/>
          <w:sz w:val="32"/>
          <w:szCs w:val="32"/>
          <w:lang w:eastAsia="zh-CN"/>
        </w:rPr>
        <w:t>警务督察科、</w:t>
      </w:r>
      <w:r>
        <w:rPr>
          <w:rFonts w:hint="eastAsia" w:ascii="仿宋_GB2312" w:hAnsi="仿宋_GB2312" w:eastAsia="仿宋_GB2312" w:cs="仿宋_GB2312"/>
          <w:sz w:val="32"/>
          <w:szCs w:val="32"/>
        </w:rPr>
        <w:t>护所队（警戒科）、卫生所、一大队、二大队、三大队、四大队、入出所教育大队、戒毒大队。</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（二）机构职能和人员概况。</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sz w:val="32"/>
          <w:szCs w:val="32"/>
        </w:rPr>
        <w:t>攀枝花市强制隔离戒毒所</w:t>
      </w:r>
      <w:r>
        <w:rPr>
          <w:rFonts w:hint="eastAsia" w:hAnsi="仿宋_GB2312" w:cs="仿宋_GB2312"/>
          <w:sz w:val="32"/>
          <w:szCs w:val="32"/>
          <w:lang w:eastAsia="zh-CN"/>
        </w:rPr>
        <w:t>主要职能是</w:t>
      </w:r>
      <w:r>
        <w:rPr>
          <w:rFonts w:hint="eastAsia" w:ascii="仿宋_GB2312" w:hAnsi="仿宋_GB2312" w:eastAsia="仿宋_GB2312" w:cs="仿宋_GB2312"/>
          <w:bCs/>
          <w:color w:val="000000"/>
          <w:sz w:val="32"/>
          <w:szCs w:val="32"/>
        </w:rPr>
        <w:t>遵循以人为本、科学戒毒、综合矫治、关怀救助的原则,教育和挽救吸毒成瘾人员</w:t>
      </w:r>
      <w:r>
        <w:rPr>
          <w:rFonts w:hint="eastAsia" w:hAnsi="仿宋_GB2312" w:cs="仿宋_GB2312"/>
          <w:bCs/>
          <w:color w:val="000000"/>
          <w:sz w:val="32"/>
          <w:szCs w:val="32"/>
          <w:lang w:eastAsia="zh-CN"/>
        </w:rPr>
        <w:t>；</w:t>
      </w:r>
      <w:r>
        <w:rPr>
          <w:rFonts w:hint="eastAsia" w:ascii="仿宋_GB2312" w:hAnsi="仿宋_GB2312" w:eastAsia="仿宋_GB2312" w:cs="仿宋_GB2312"/>
          <w:bCs/>
          <w:color w:val="000000"/>
          <w:sz w:val="32"/>
          <w:szCs w:val="32"/>
        </w:rPr>
        <w:t>依法收治和管理强制隔离戒毒人员</w:t>
      </w:r>
      <w:r>
        <w:rPr>
          <w:rFonts w:hint="eastAsia" w:hAnsi="仿宋_GB2312" w:cs="仿宋_GB2312"/>
          <w:bCs/>
          <w:color w:val="000000"/>
          <w:sz w:val="32"/>
          <w:szCs w:val="32"/>
          <w:lang w:eastAsia="zh-CN"/>
        </w:rPr>
        <w:t>；</w:t>
      </w:r>
      <w:r>
        <w:rPr>
          <w:rFonts w:hint="eastAsia" w:ascii="仿宋_GB2312" w:hAnsi="仿宋_GB2312" w:eastAsia="仿宋_GB2312" w:cs="仿宋_GB2312"/>
          <w:bCs/>
          <w:color w:val="000000"/>
          <w:sz w:val="32"/>
          <w:szCs w:val="32"/>
        </w:rPr>
        <w:t>依法为强制隔离戒毒人员提供科学规范的戒毒治疗、心理治疗、身体康复训练和卫生、道德、法制教育，开展职业技能培训。</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sz w:val="32"/>
          <w:szCs w:val="32"/>
          <w:lang w:val="zh-CN"/>
        </w:rPr>
      </w:pPr>
      <w:r>
        <w:rPr>
          <w:rFonts w:hint="eastAsia" w:ascii="仿宋_GB2312" w:hAnsi="仿宋_GB2312" w:eastAsia="仿宋_GB2312" w:cs="仿宋_GB2312"/>
          <w:sz w:val="32"/>
          <w:szCs w:val="32"/>
        </w:rPr>
        <w:t>攀枝花市强制隔离戒毒所共有民警编制100人，工勤人员编制9人</w:t>
      </w:r>
      <w:r>
        <w:rPr>
          <w:rFonts w:hint="eastAsia" w:hAnsi="仿宋_GB2312" w:cs="仿宋_GB2312"/>
          <w:sz w:val="32"/>
          <w:szCs w:val="32"/>
          <w:lang w:eastAsia="zh-CN"/>
        </w:rPr>
        <w:t>。</w:t>
      </w:r>
      <w:r>
        <w:rPr>
          <w:rFonts w:hint="eastAsia" w:ascii="仿宋_GB2312" w:hAnsi="仿宋_GB2312" w:eastAsia="仿宋_GB2312" w:cs="仿宋_GB2312"/>
          <w:sz w:val="32"/>
          <w:szCs w:val="32"/>
          <w:lang w:eastAsia="zh-CN"/>
        </w:rPr>
        <w:t>截止</w:t>
      </w:r>
      <w:r>
        <w:rPr>
          <w:rFonts w:hint="eastAsia" w:ascii="仿宋_GB2312" w:hAnsi="仿宋_GB2312" w:eastAsia="仿宋_GB2312" w:cs="仿宋_GB2312"/>
          <w:sz w:val="32"/>
          <w:szCs w:val="32"/>
          <w:lang w:val="en-US" w:eastAsia="zh-CN"/>
        </w:rPr>
        <w:t>202</w:t>
      </w:r>
      <w:r>
        <w:rPr>
          <w:rFonts w:hint="eastAsia" w:hAnsi="仿宋_GB2312" w:cs="仿宋_GB2312"/>
          <w:sz w:val="32"/>
          <w:szCs w:val="32"/>
          <w:lang w:val="en-US" w:eastAsia="zh-CN"/>
        </w:rPr>
        <w:t>2</w:t>
      </w:r>
      <w:r>
        <w:rPr>
          <w:rFonts w:hint="eastAsia" w:ascii="仿宋_GB2312" w:hAnsi="仿宋_GB2312" w:eastAsia="仿宋_GB2312" w:cs="仿宋_GB2312"/>
          <w:sz w:val="32"/>
          <w:szCs w:val="32"/>
          <w:lang w:val="en-US" w:eastAsia="zh-CN"/>
        </w:rPr>
        <w:t>年12月30日</w:t>
      </w:r>
      <w:r>
        <w:rPr>
          <w:rFonts w:hint="eastAsia" w:ascii="仿宋_GB2312" w:hAnsi="仿宋_GB2312" w:eastAsia="仿宋_GB2312" w:cs="仿宋_GB2312"/>
          <w:sz w:val="32"/>
          <w:szCs w:val="32"/>
        </w:rPr>
        <w:t>实有在职人员</w:t>
      </w:r>
      <w:r>
        <w:rPr>
          <w:rFonts w:hint="eastAsia" w:ascii="仿宋_GB2312" w:hAnsi="仿宋_GB2312" w:eastAsia="仿宋_GB2312" w:cs="仿宋_GB2312"/>
          <w:sz w:val="32"/>
          <w:szCs w:val="32"/>
          <w:lang w:val="en-US" w:eastAsia="zh-CN"/>
        </w:rPr>
        <w:t>96</w:t>
      </w:r>
      <w:r>
        <w:rPr>
          <w:rFonts w:hint="eastAsia" w:ascii="仿宋_GB2312" w:hAnsi="仿宋_GB2312" w:eastAsia="仿宋_GB2312" w:cs="仿宋_GB2312"/>
          <w:sz w:val="32"/>
          <w:szCs w:val="32"/>
        </w:rPr>
        <w:t>人</w:t>
      </w:r>
      <w:r>
        <w:rPr>
          <w:rFonts w:hint="eastAsia" w:hAnsi="仿宋_GB2312" w:cs="仿宋_GB2312"/>
          <w:sz w:val="32"/>
          <w:szCs w:val="32"/>
          <w:lang w:eastAsia="zh-CN"/>
        </w:rPr>
        <w:t>，其中</w:t>
      </w:r>
      <w:r>
        <w:rPr>
          <w:rFonts w:hint="eastAsia" w:ascii="仿宋_GB2312" w:hAnsi="仿宋_GB2312" w:eastAsia="仿宋_GB2312" w:cs="仿宋_GB2312"/>
          <w:sz w:val="32"/>
          <w:szCs w:val="32"/>
        </w:rPr>
        <w:t>民警</w:t>
      </w:r>
      <w:r>
        <w:rPr>
          <w:rFonts w:hint="eastAsia" w:ascii="仿宋_GB2312" w:hAnsi="仿宋_GB2312" w:eastAsia="仿宋_GB2312" w:cs="仿宋_GB2312"/>
          <w:sz w:val="32"/>
          <w:szCs w:val="32"/>
          <w:lang w:val="en-US" w:eastAsia="zh-CN"/>
        </w:rPr>
        <w:t>89</w:t>
      </w:r>
      <w:r>
        <w:rPr>
          <w:rFonts w:hint="eastAsia" w:ascii="仿宋_GB2312" w:hAnsi="仿宋_GB2312" w:eastAsia="仿宋_GB2312" w:cs="仿宋_GB2312"/>
          <w:sz w:val="32"/>
          <w:szCs w:val="32"/>
        </w:rPr>
        <w:t>人和工勤人员</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人</w:t>
      </w:r>
      <w:r>
        <w:rPr>
          <w:rFonts w:hint="eastAsia" w:hAnsi="仿宋_GB2312" w:cs="仿宋_GB2312"/>
          <w:sz w:val="32"/>
          <w:szCs w:val="32"/>
          <w:lang w:eastAsia="zh-CN"/>
        </w:rPr>
        <w:t>。</w:t>
      </w:r>
      <w:r>
        <w:rPr>
          <w:rFonts w:hint="eastAsia" w:ascii="仿宋_GB2312" w:hAnsi="仿宋_GB2312" w:eastAsia="仿宋_GB2312" w:cs="仿宋_GB2312"/>
          <w:sz w:val="32"/>
          <w:szCs w:val="32"/>
        </w:rPr>
        <w:t>退休人员</w:t>
      </w:r>
      <w:r>
        <w:rPr>
          <w:rFonts w:hint="eastAsia" w:ascii="仿宋_GB2312" w:hAnsi="仿宋_GB2312" w:eastAsia="仿宋_GB2312" w:cs="仿宋_GB2312"/>
          <w:sz w:val="32"/>
          <w:szCs w:val="32"/>
          <w:lang w:val="en-US" w:eastAsia="zh-CN"/>
        </w:rPr>
        <w:t>64</w:t>
      </w:r>
      <w:r>
        <w:rPr>
          <w:rFonts w:hint="eastAsia" w:ascii="仿宋_GB2312" w:hAnsi="仿宋_GB2312" w:eastAsia="仿宋_GB2312" w:cs="仿宋_GB2312"/>
          <w:sz w:val="32"/>
          <w:szCs w:val="32"/>
        </w:rPr>
        <w:t>人。</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（三）年度主要工作任务。</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2022年紧紧围绕中心大局，紧扣全国统一戒毒基本模式要求，对标任务抓落实，继续紧追戒毒工作步伐；找准定位，密切服务我市“三个圈层”联动发展空间布局和工业强市、精明增长、绿色低碳“三大战略”部署，以创新引领高质量发展为根本遵循，为平安攀枝花、法治攀枝花建设贡献司法行政戒毒力量。</w:t>
      </w:r>
      <w:r>
        <w:rPr>
          <w:rFonts w:hint="eastAsia" w:hAnsi="仿宋_GB2312" w:cs="仿宋_GB2312"/>
          <w:sz w:val="32"/>
          <w:szCs w:val="32"/>
          <w:lang w:val="zh-CN"/>
        </w:rPr>
        <w:t>重点推动新所建设项目，实现早日完工投入使用。</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（四）部门整体支出绩效目标。</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color w:val="000000"/>
          <w:sz w:val="32"/>
          <w:szCs w:val="32"/>
          <w:lang w:val="zh-CN"/>
        </w:rPr>
      </w:pPr>
      <w:r>
        <w:rPr>
          <w:rFonts w:hint="eastAsia" w:ascii="仿宋_GB2312" w:hAnsi="仿宋_GB2312" w:eastAsia="仿宋_GB2312" w:cs="仿宋_GB2312"/>
          <w:bCs/>
          <w:color w:val="000000"/>
          <w:sz w:val="32"/>
          <w:szCs w:val="32"/>
          <w:lang w:val="zh-CN"/>
        </w:rPr>
        <w:t>保障</w:t>
      </w:r>
      <w:r>
        <w:rPr>
          <w:rFonts w:hint="eastAsia" w:hAnsi="仿宋_GB2312" w:cs="仿宋_GB2312"/>
          <w:bCs/>
          <w:color w:val="000000"/>
          <w:sz w:val="32"/>
          <w:szCs w:val="32"/>
          <w:lang w:val="zh-CN"/>
        </w:rPr>
        <w:t>全年人员经费和公用经费按预算支出，确保全年</w:t>
      </w:r>
      <w:r>
        <w:rPr>
          <w:rFonts w:hint="eastAsia" w:ascii="仿宋_GB2312" w:hAnsi="仿宋_GB2312" w:eastAsia="仿宋_GB2312" w:cs="仿宋_GB2312"/>
          <w:bCs/>
          <w:color w:val="000000"/>
          <w:sz w:val="32"/>
          <w:szCs w:val="32"/>
          <w:lang w:val="zh-CN"/>
        </w:rPr>
        <w:t>任务目标</w:t>
      </w:r>
      <w:r>
        <w:rPr>
          <w:rFonts w:hint="eastAsia" w:hAnsi="仿宋_GB2312" w:cs="仿宋_GB2312"/>
          <w:bCs/>
          <w:color w:val="000000"/>
          <w:sz w:val="32"/>
          <w:szCs w:val="32"/>
          <w:lang w:val="zh-CN"/>
        </w:rPr>
        <w:t>顺利达成，重点推动</w:t>
      </w:r>
      <w:r>
        <w:rPr>
          <w:rFonts w:hint="eastAsia" w:ascii="仿宋_GB2312" w:hAnsi="仿宋_GB2312" w:eastAsia="仿宋_GB2312" w:cs="仿宋_GB2312"/>
          <w:bCs/>
          <w:color w:val="000000"/>
          <w:sz w:val="32"/>
          <w:szCs w:val="32"/>
          <w:lang w:val="zh-CN"/>
        </w:rPr>
        <w:t xml:space="preserve">开展新所建设项目施工建设。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eastAsia="黑体"/>
          <w:color w:val="000000"/>
          <w:kern w:val="0"/>
          <w:sz w:val="32"/>
          <w:szCs w:val="32"/>
          <w:shd w:val="clear" w:color="auto" w:fill="FFFFFF"/>
        </w:rPr>
      </w:pPr>
      <w:r>
        <w:rPr>
          <w:rFonts w:eastAsia="黑体"/>
          <w:color w:val="000000"/>
          <w:kern w:val="0"/>
          <w:sz w:val="32"/>
          <w:szCs w:val="32"/>
          <w:shd w:val="clear" w:color="auto" w:fill="FFFFFF"/>
        </w:rPr>
        <w:t>二、部门资金收支情况</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（一）部门总体收支情况。</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1.部门总体收入情况。2022年部门总体收入2865.49万元，其中：一般公共预算收入2565.33万元，政府性基金预算财政拨款300.00万元，其他收入0.15万元。</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2.部门总体支出情况。2022年部门总体支出5886.69万元，其中：</w:t>
      </w:r>
      <w:r>
        <w:rPr>
          <w:rFonts w:hint="eastAsia" w:ascii="仿宋_GB2312" w:hAnsi="仿宋_GB2312" w:eastAsia="仿宋_GB2312" w:cs="仿宋_GB2312"/>
          <w:bCs/>
          <w:color w:val="000000"/>
          <w:sz w:val="32"/>
          <w:szCs w:val="32"/>
          <w:lang w:val="zh-CN"/>
        </w:rPr>
        <w:t>基本支出</w:t>
      </w:r>
      <w:r>
        <w:rPr>
          <w:rFonts w:hint="eastAsia" w:ascii="仿宋_GB2312" w:hAnsi="仿宋_GB2312" w:eastAsia="仿宋_GB2312" w:cs="仿宋_GB2312"/>
          <w:bCs/>
          <w:color w:val="000000"/>
          <w:sz w:val="32"/>
          <w:szCs w:val="32"/>
          <w:lang w:val="en-US" w:eastAsia="zh-CN"/>
        </w:rPr>
        <w:t>2646.69</w:t>
      </w:r>
      <w:r>
        <w:rPr>
          <w:rFonts w:hint="eastAsia" w:ascii="仿宋_GB2312" w:hAnsi="仿宋_GB2312" w:eastAsia="仿宋_GB2312" w:cs="仿宋_GB2312"/>
          <w:bCs/>
          <w:color w:val="000000"/>
          <w:sz w:val="32"/>
          <w:szCs w:val="32"/>
          <w:lang w:val="zh-CN"/>
        </w:rPr>
        <w:t>万元，项目支出</w:t>
      </w:r>
      <w:r>
        <w:rPr>
          <w:rFonts w:hint="eastAsia" w:ascii="仿宋_GB2312" w:hAnsi="仿宋_GB2312" w:eastAsia="仿宋_GB2312" w:cs="仿宋_GB2312"/>
          <w:bCs/>
          <w:color w:val="000000"/>
          <w:sz w:val="32"/>
          <w:szCs w:val="32"/>
          <w:lang w:val="en-US" w:eastAsia="zh-CN"/>
        </w:rPr>
        <w:t>3240</w:t>
      </w:r>
      <w:r>
        <w:rPr>
          <w:rFonts w:hint="eastAsia" w:ascii="仿宋_GB2312" w:hAnsi="仿宋_GB2312" w:eastAsia="仿宋_GB2312" w:cs="仿宋_GB2312"/>
          <w:bCs/>
          <w:color w:val="000000"/>
          <w:sz w:val="32"/>
          <w:szCs w:val="32"/>
          <w:lang w:val="zh-CN"/>
        </w:rPr>
        <w:t>万元。</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Cs/>
          <w:color w:val="000000"/>
          <w:sz w:val="32"/>
          <w:szCs w:val="32"/>
          <w:lang w:val="en-US"/>
        </w:rPr>
      </w:pPr>
      <w:r>
        <w:rPr>
          <w:rFonts w:hint="eastAsia" w:ascii="仿宋_GB2312" w:hAnsi="仿宋_GB2312" w:eastAsia="仿宋_GB2312" w:cs="仿宋_GB2312"/>
          <w:bCs/>
          <w:color w:val="000000"/>
          <w:sz w:val="32"/>
          <w:szCs w:val="32"/>
          <w:lang w:val="en-US" w:eastAsia="zh-CN"/>
        </w:rPr>
        <w:t>3.部门总体结转结余情况。2022年部门年初结转结余3062.63万元，年末结转结余41.42万元。</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楷体_GB2312" w:hAnsi="楷体_GB2312" w:eastAsia="楷体_GB2312" w:cs="楷体_GB2312"/>
          <w:color w:val="auto"/>
          <w:kern w:val="0"/>
          <w:sz w:val="32"/>
          <w:szCs w:val="32"/>
          <w:shd w:val="clear" w:color="auto" w:fill="FFFFFF"/>
          <w:lang w:val="zh-CN"/>
        </w:rPr>
      </w:pPr>
      <w:r>
        <w:rPr>
          <w:rFonts w:hint="eastAsia" w:ascii="楷体_GB2312" w:hAnsi="楷体_GB2312" w:eastAsia="楷体_GB2312" w:cs="楷体_GB2312"/>
          <w:color w:val="auto"/>
          <w:kern w:val="0"/>
          <w:sz w:val="32"/>
          <w:szCs w:val="32"/>
          <w:shd w:val="clear" w:color="auto" w:fill="FFFFFF"/>
          <w:lang w:val="zh-CN"/>
        </w:rPr>
        <w:t>（二）部门财政拨款收支情况。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default"/>
          <w:sz w:val="32"/>
          <w:szCs w:val="32"/>
          <w:lang w:val="en-US"/>
        </w:rPr>
      </w:pPr>
      <w:r>
        <w:rPr>
          <w:rFonts w:hint="eastAsia" w:ascii="仿宋_GB2312" w:hAnsi="仿宋_GB2312" w:eastAsia="仿宋_GB2312" w:cs="仿宋_GB2312"/>
          <w:bCs/>
          <w:color w:val="000000"/>
          <w:sz w:val="32"/>
          <w:szCs w:val="32"/>
          <w:lang w:val="en-US" w:eastAsia="zh-CN"/>
        </w:rPr>
        <w:t>1.部门</w:t>
      </w:r>
      <w:r>
        <w:rPr>
          <w:rFonts w:hint="eastAsia" w:hAnsi="仿宋_GB2312" w:cs="仿宋_GB2312"/>
          <w:bCs/>
          <w:color w:val="000000"/>
          <w:sz w:val="32"/>
          <w:szCs w:val="32"/>
          <w:lang w:val="en-US" w:eastAsia="zh-CN"/>
        </w:rPr>
        <w:t>财政拨款</w:t>
      </w:r>
      <w:r>
        <w:rPr>
          <w:rFonts w:hint="eastAsia" w:ascii="仿宋_GB2312" w:hAnsi="仿宋_GB2312" w:eastAsia="仿宋_GB2312" w:cs="仿宋_GB2312"/>
          <w:bCs/>
          <w:color w:val="000000"/>
          <w:sz w:val="32"/>
          <w:szCs w:val="32"/>
          <w:lang w:val="en-US" w:eastAsia="zh-CN"/>
        </w:rPr>
        <w:t>收入情况。</w:t>
      </w:r>
      <w:r>
        <w:rPr>
          <w:rFonts w:hint="eastAsia" w:ascii="仿宋_GB2312" w:hAnsi="仿宋_GB2312" w:eastAsia="仿宋_GB2312" w:cs="仿宋_GB2312"/>
          <w:b w:val="0"/>
          <w:bCs/>
          <w:color w:val="auto"/>
          <w:sz w:val="32"/>
          <w:szCs w:val="32"/>
          <w:lang w:val="en-US" w:eastAsia="zh-CN"/>
        </w:rPr>
        <w:t>2022年财政拨款收入</w:t>
      </w:r>
      <w:r>
        <w:rPr>
          <w:rFonts w:hint="eastAsia" w:hAnsi="仿宋_GB2312" w:cs="仿宋_GB2312"/>
          <w:b w:val="0"/>
          <w:bCs/>
          <w:color w:val="auto"/>
          <w:sz w:val="32"/>
          <w:szCs w:val="32"/>
          <w:lang w:val="en-US" w:eastAsia="zh-CN"/>
        </w:rPr>
        <w:t>2865.33</w:t>
      </w:r>
      <w:r>
        <w:rPr>
          <w:rFonts w:hint="eastAsia" w:ascii="仿宋_GB2312" w:hAnsi="仿宋_GB2312" w:eastAsia="仿宋_GB2312" w:cs="仿宋_GB2312"/>
          <w:b w:val="0"/>
          <w:bCs/>
          <w:color w:val="auto"/>
          <w:sz w:val="32"/>
          <w:szCs w:val="32"/>
          <w:lang w:val="en-US" w:eastAsia="zh-CN"/>
        </w:rPr>
        <w:t>万元，其中：一般公共预算收入</w:t>
      </w:r>
      <w:r>
        <w:rPr>
          <w:rFonts w:hint="eastAsia" w:hAnsi="仿宋_GB2312" w:cs="仿宋_GB2312"/>
          <w:b w:val="0"/>
          <w:bCs/>
          <w:color w:val="auto"/>
          <w:sz w:val="32"/>
          <w:szCs w:val="32"/>
          <w:lang w:val="en-US" w:eastAsia="zh-CN"/>
        </w:rPr>
        <w:t>2565.33</w:t>
      </w:r>
      <w:r>
        <w:rPr>
          <w:rFonts w:hint="eastAsia" w:ascii="仿宋_GB2312" w:hAnsi="仿宋_GB2312" w:eastAsia="仿宋_GB2312" w:cs="仿宋_GB2312"/>
          <w:b w:val="0"/>
          <w:bCs/>
          <w:color w:val="auto"/>
          <w:sz w:val="32"/>
          <w:szCs w:val="32"/>
          <w:lang w:val="en-US" w:eastAsia="zh-CN"/>
        </w:rPr>
        <w:t>万元</w:t>
      </w:r>
      <w:r>
        <w:rPr>
          <w:rFonts w:hint="eastAsia" w:hAnsi="仿宋_GB2312" w:cs="仿宋_GB2312"/>
          <w:b w:val="0"/>
          <w:bCs/>
          <w:color w:val="auto"/>
          <w:sz w:val="32"/>
          <w:szCs w:val="32"/>
          <w:lang w:val="en-US" w:eastAsia="zh-CN"/>
        </w:rPr>
        <w:t>，</w:t>
      </w:r>
      <w:r>
        <w:rPr>
          <w:rFonts w:hint="eastAsia" w:ascii="仿宋_GB2312" w:hAnsi="仿宋_GB2312" w:eastAsia="仿宋_GB2312" w:cs="仿宋_GB2312"/>
          <w:b w:val="0"/>
          <w:bCs/>
          <w:color w:val="auto"/>
          <w:sz w:val="32"/>
          <w:szCs w:val="32"/>
          <w:lang w:val="en-US" w:eastAsia="zh-CN"/>
        </w:rPr>
        <w:t>政府性基金预算财政拨款</w:t>
      </w:r>
      <w:r>
        <w:rPr>
          <w:rFonts w:hint="eastAsia" w:hAnsi="仿宋_GB2312" w:cs="仿宋_GB2312"/>
          <w:b w:val="0"/>
          <w:bCs/>
          <w:color w:val="auto"/>
          <w:sz w:val="32"/>
          <w:szCs w:val="32"/>
          <w:lang w:val="en-US" w:eastAsia="zh-CN"/>
        </w:rPr>
        <w:t>300</w:t>
      </w:r>
      <w:r>
        <w:rPr>
          <w:rFonts w:hint="eastAsia" w:ascii="仿宋_GB2312" w:hAnsi="仿宋_GB2312" w:eastAsia="仿宋_GB2312" w:cs="仿宋_GB2312"/>
          <w:b w:val="0"/>
          <w:bCs/>
          <w:color w:val="auto"/>
          <w:sz w:val="32"/>
          <w:szCs w:val="32"/>
          <w:lang w:val="en-US" w:eastAsia="zh-CN"/>
        </w:rPr>
        <w:t>万元。</w:t>
      </w:r>
    </w:p>
    <w:p>
      <w:pPr>
        <w:keepNext w:val="0"/>
        <w:keepLines w:val="0"/>
        <w:pageBreakBefore w:val="0"/>
        <w:numPr>
          <w:ilvl w:val="0"/>
          <w:numId w:val="0"/>
        </w:numPr>
        <w:kinsoku/>
        <w:wordWrap/>
        <w:overflowPunct/>
        <w:topLinePunct w:val="0"/>
        <w:autoSpaceDE/>
        <w:autoSpaceDN/>
        <w:bidi w:val="0"/>
        <w:snapToGrid w:val="0"/>
        <w:spacing w:line="560" w:lineRule="exact"/>
        <w:ind w:firstLine="640" w:firstLineChars="200"/>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cs="仿宋_GB2312"/>
          <w:bCs/>
          <w:color w:val="000000"/>
          <w:sz w:val="32"/>
          <w:szCs w:val="32"/>
          <w:lang w:val="en-US" w:eastAsia="zh-CN"/>
        </w:rPr>
        <w:t>2</w:t>
      </w:r>
      <w:r>
        <w:rPr>
          <w:rFonts w:hint="eastAsia" w:ascii="仿宋_GB2312" w:hAnsi="仿宋_GB2312" w:eastAsia="仿宋_GB2312" w:cs="仿宋_GB2312"/>
          <w:bCs/>
          <w:color w:val="000000"/>
          <w:sz w:val="32"/>
          <w:szCs w:val="32"/>
          <w:lang w:val="en-US" w:eastAsia="zh-CN"/>
        </w:rPr>
        <w:t>.部门</w:t>
      </w:r>
      <w:r>
        <w:rPr>
          <w:rFonts w:hint="eastAsia" w:hAnsi="仿宋_GB2312" w:cs="仿宋_GB2312"/>
          <w:bCs/>
          <w:color w:val="000000"/>
          <w:sz w:val="32"/>
          <w:szCs w:val="32"/>
          <w:lang w:val="en-US" w:eastAsia="zh-CN"/>
        </w:rPr>
        <w:t>财政拨款</w:t>
      </w:r>
      <w:r>
        <w:rPr>
          <w:rFonts w:hint="eastAsia" w:ascii="仿宋_GB2312" w:hAnsi="仿宋_GB2312" w:cs="仿宋_GB2312"/>
          <w:bCs/>
          <w:color w:val="000000"/>
          <w:sz w:val="32"/>
          <w:szCs w:val="32"/>
          <w:lang w:val="en-US" w:eastAsia="zh-CN"/>
        </w:rPr>
        <w:t>支出</w:t>
      </w:r>
      <w:r>
        <w:rPr>
          <w:rFonts w:hint="eastAsia" w:ascii="仿宋_GB2312" w:hAnsi="仿宋_GB2312" w:eastAsia="仿宋_GB2312" w:cs="仿宋_GB2312"/>
          <w:bCs/>
          <w:color w:val="000000"/>
          <w:sz w:val="32"/>
          <w:szCs w:val="32"/>
          <w:lang w:val="en-US" w:eastAsia="zh-CN"/>
        </w:rPr>
        <w:t>情况。</w:t>
      </w:r>
      <w:r>
        <w:rPr>
          <w:rFonts w:hint="eastAsia" w:ascii="仿宋_GB2312" w:hAnsi="仿宋_GB2312" w:eastAsia="仿宋_GB2312" w:cs="仿宋_GB2312"/>
          <w:b w:val="0"/>
          <w:bCs/>
          <w:color w:val="auto"/>
          <w:sz w:val="32"/>
          <w:szCs w:val="32"/>
          <w:lang w:val="en-US" w:eastAsia="zh-CN"/>
        </w:rPr>
        <w:t>2022年</w:t>
      </w:r>
      <w:r>
        <w:rPr>
          <w:rFonts w:hint="eastAsia" w:hAnsi="仿宋_GB2312" w:cs="仿宋_GB2312"/>
          <w:bCs/>
          <w:color w:val="000000"/>
          <w:sz w:val="32"/>
          <w:szCs w:val="32"/>
          <w:lang w:val="en-US" w:eastAsia="zh-CN"/>
        </w:rPr>
        <w:t>财政拨款</w:t>
      </w:r>
      <w:r>
        <w:rPr>
          <w:rFonts w:hint="eastAsia" w:ascii="仿宋_GB2312" w:hAnsi="仿宋_GB2312" w:eastAsia="仿宋_GB2312" w:cs="仿宋_GB2312"/>
          <w:b w:val="0"/>
          <w:bCs/>
          <w:color w:val="auto"/>
          <w:sz w:val="32"/>
          <w:szCs w:val="32"/>
          <w:lang w:val="en-US" w:eastAsia="zh-CN"/>
        </w:rPr>
        <w:t>支出为</w:t>
      </w:r>
      <w:r>
        <w:rPr>
          <w:rFonts w:hint="eastAsia" w:ascii="仿宋_GB2312" w:hAnsi="仿宋_GB2312" w:cs="仿宋_GB2312"/>
          <w:b w:val="0"/>
          <w:bCs/>
          <w:color w:val="auto"/>
          <w:sz w:val="32"/>
          <w:szCs w:val="32"/>
          <w:lang w:val="en-US" w:eastAsia="zh-CN"/>
        </w:rPr>
        <w:t>5886</w:t>
      </w:r>
      <w:r>
        <w:rPr>
          <w:rFonts w:hint="eastAsia" w:ascii="仿宋_GB2312" w:hAnsi="仿宋_GB2312" w:eastAsia="仿宋_GB2312" w:cs="仿宋_GB2312"/>
          <w:b w:val="0"/>
          <w:bCs/>
          <w:color w:val="auto"/>
          <w:sz w:val="32"/>
          <w:szCs w:val="32"/>
          <w:lang w:val="en-US" w:eastAsia="zh-CN"/>
        </w:rPr>
        <w:t>.53万元，其中：一般公共预算收入</w:t>
      </w:r>
      <w:r>
        <w:rPr>
          <w:rFonts w:hint="eastAsia" w:hAnsi="仿宋_GB2312" w:cs="仿宋_GB2312"/>
          <w:b w:val="0"/>
          <w:bCs/>
          <w:color w:val="auto"/>
          <w:sz w:val="32"/>
          <w:szCs w:val="32"/>
          <w:lang w:val="en-US" w:eastAsia="zh-CN"/>
        </w:rPr>
        <w:t>3486.53</w:t>
      </w:r>
      <w:r>
        <w:rPr>
          <w:rFonts w:hint="eastAsia" w:ascii="仿宋_GB2312" w:hAnsi="仿宋_GB2312" w:eastAsia="仿宋_GB2312" w:cs="仿宋_GB2312"/>
          <w:b w:val="0"/>
          <w:bCs/>
          <w:color w:val="auto"/>
          <w:sz w:val="32"/>
          <w:szCs w:val="32"/>
          <w:lang w:val="en-US" w:eastAsia="zh-CN"/>
        </w:rPr>
        <w:t>万元</w:t>
      </w:r>
      <w:r>
        <w:rPr>
          <w:rFonts w:hint="eastAsia" w:hAnsi="仿宋_GB2312" w:cs="仿宋_GB2312"/>
          <w:b w:val="0"/>
          <w:bCs/>
          <w:color w:val="auto"/>
          <w:sz w:val="32"/>
          <w:szCs w:val="32"/>
          <w:lang w:val="en-US" w:eastAsia="zh-CN"/>
        </w:rPr>
        <w:t>，</w:t>
      </w:r>
      <w:r>
        <w:rPr>
          <w:rFonts w:hint="eastAsia" w:ascii="仿宋_GB2312" w:hAnsi="仿宋_GB2312" w:eastAsia="仿宋_GB2312" w:cs="仿宋_GB2312"/>
          <w:b w:val="0"/>
          <w:bCs/>
          <w:color w:val="auto"/>
          <w:sz w:val="32"/>
          <w:szCs w:val="32"/>
          <w:lang w:val="en-US" w:eastAsia="zh-CN"/>
        </w:rPr>
        <w:t>政府性基金预算财政拨款</w:t>
      </w:r>
      <w:r>
        <w:rPr>
          <w:rFonts w:hint="eastAsia" w:hAnsi="仿宋_GB2312" w:cs="仿宋_GB2312"/>
          <w:b w:val="0"/>
          <w:bCs/>
          <w:color w:val="auto"/>
          <w:sz w:val="32"/>
          <w:szCs w:val="32"/>
          <w:lang w:val="en-US" w:eastAsia="zh-CN"/>
        </w:rPr>
        <w:t>2400</w:t>
      </w:r>
      <w:r>
        <w:rPr>
          <w:rFonts w:hint="eastAsia" w:ascii="仿宋_GB2312" w:hAnsi="仿宋_GB2312" w:eastAsia="仿宋_GB2312" w:cs="仿宋_GB2312"/>
          <w:b w:val="0"/>
          <w:bCs/>
          <w:color w:val="auto"/>
          <w:sz w:val="32"/>
          <w:szCs w:val="32"/>
          <w:lang w:val="en-US" w:eastAsia="zh-CN"/>
        </w:rPr>
        <w:t>万元。</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3.部门</w:t>
      </w:r>
      <w:r>
        <w:rPr>
          <w:rFonts w:hint="eastAsia" w:ascii="仿宋_GB2312" w:hAnsi="仿宋_GB2312" w:cs="仿宋_GB2312"/>
          <w:bCs/>
          <w:color w:val="000000"/>
          <w:sz w:val="32"/>
          <w:szCs w:val="32"/>
          <w:lang w:val="en-US" w:eastAsia="zh-CN"/>
        </w:rPr>
        <w:t>财政拨款</w:t>
      </w:r>
      <w:r>
        <w:rPr>
          <w:rFonts w:hint="eastAsia" w:ascii="仿宋_GB2312" w:hAnsi="仿宋_GB2312" w:eastAsia="仿宋_GB2312" w:cs="仿宋_GB2312"/>
          <w:bCs/>
          <w:color w:val="000000"/>
          <w:sz w:val="32"/>
          <w:szCs w:val="32"/>
          <w:lang w:val="en-US" w:eastAsia="zh-CN"/>
        </w:rPr>
        <w:t>结转结余情况。</w:t>
      </w:r>
      <w:r>
        <w:rPr>
          <w:rFonts w:hint="eastAsia" w:ascii="仿宋_GB2312" w:hAnsi="仿宋_GB2312" w:eastAsia="仿宋_GB2312" w:cs="仿宋_GB2312"/>
          <w:b w:val="0"/>
          <w:bCs/>
          <w:color w:val="auto"/>
          <w:sz w:val="32"/>
          <w:szCs w:val="32"/>
          <w:lang w:val="en-US" w:eastAsia="zh-CN"/>
        </w:rPr>
        <w:t>2022年</w:t>
      </w:r>
      <w:r>
        <w:rPr>
          <w:rFonts w:hint="eastAsia" w:ascii="仿宋_GB2312" w:hAnsi="仿宋_GB2312" w:cs="仿宋_GB2312"/>
          <w:b w:val="0"/>
          <w:bCs/>
          <w:color w:val="auto"/>
          <w:sz w:val="32"/>
          <w:szCs w:val="32"/>
          <w:lang w:val="en-US" w:eastAsia="zh-CN"/>
        </w:rPr>
        <w:t>年初</w:t>
      </w:r>
      <w:r>
        <w:rPr>
          <w:rFonts w:hint="eastAsia" w:ascii="仿宋_GB2312" w:hAnsi="仿宋_GB2312" w:cs="仿宋_GB2312"/>
          <w:bCs/>
          <w:color w:val="000000"/>
          <w:sz w:val="32"/>
          <w:szCs w:val="32"/>
          <w:lang w:val="en-US" w:eastAsia="zh-CN"/>
        </w:rPr>
        <w:t>财政拨款</w:t>
      </w:r>
      <w:r>
        <w:rPr>
          <w:rFonts w:hint="eastAsia" w:ascii="仿宋_GB2312" w:hAnsi="仿宋_GB2312" w:eastAsia="仿宋_GB2312" w:cs="仿宋_GB2312"/>
          <w:bCs/>
          <w:color w:val="000000"/>
          <w:sz w:val="32"/>
          <w:szCs w:val="32"/>
          <w:lang w:val="en-US" w:eastAsia="zh-CN"/>
        </w:rPr>
        <w:t>结转结余</w:t>
      </w:r>
      <w:r>
        <w:rPr>
          <w:rFonts w:hint="eastAsia" w:ascii="仿宋_GB2312" w:hAnsi="仿宋_GB2312" w:cs="仿宋_GB2312"/>
          <w:bCs/>
          <w:color w:val="000000"/>
          <w:sz w:val="32"/>
          <w:szCs w:val="32"/>
          <w:lang w:val="en-US" w:eastAsia="zh-CN"/>
        </w:rPr>
        <w:t>3021.19万元，年末结转结余0万元。</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eastAsia="黑体"/>
          <w:color w:val="000000"/>
          <w:kern w:val="0"/>
          <w:sz w:val="32"/>
          <w:szCs w:val="32"/>
          <w:shd w:val="clear" w:color="auto" w:fill="FFFFFF"/>
        </w:rPr>
      </w:pPr>
      <w:r>
        <w:rPr>
          <w:rFonts w:eastAsia="黑体"/>
          <w:color w:val="000000"/>
          <w:kern w:val="0"/>
          <w:sz w:val="32"/>
          <w:szCs w:val="32"/>
          <w:shd w:val="clear" w:color="auto" w:fill="FFFFFF"/>
        </w:rPr>
        <w:t>三、部门整体预算绩效管理情况</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（一）部门预算项目绩效分析。</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仿宋_GB2312" w:hAnsi="仿宋_GB2312" w:eastAsia="仿宋_GB2312" w:cs="仿宋_GB2312"/>
          <w:color w:val="000000"/>
          <w:kern w:val="0"/>
          <w:sz w:val="32"/>
          <w:szCs w:val="32"/>
          <w:shd w:val="clear" w:color="auto" w:fill="FFFFFF"/>
          <w:lang w:val="en-US" w:eastAsia="zh-CN"/>
        </w:rPr>
      </w:pPr>
      <w:r>
        <w:rPr>
          <w:rFonts w:hint="eastAsia" w:ascii="仿宋_GB2312" w:hAnsi="仿宋_GB2312" w:eastAsia="仿宋_GB2312" w:cs="仿宋_GB2312"/>
          <w:color w:val="000000"/>
          <w:kern w:val="0"/>
          <w:sz w:val="32"/>
          <w:szCs w:val="32"/>
          <w:shd w:val="clear" w:color="auto" w:fill="FFFFFF"/>
          <w:lang w:val="en-US" w:eastAsia="zh-CN"/>
        </w:rPr>
        <w:t>1.人员类项目绩效分析。2022年部门预算人员类项目主要包括在职人员工资、津贴补贴、社保、公积金以及退休人员生活补助等。项目绩效目标制定方面，做到编制要素完整，指标细化量化，并将绩效目标纳入到所党委会集体研究决定；目标实现方面，项目绩效目标完成情况与预期相符；支出控制方面，严格落实公务员和人民警察工资、津贴补贴制度规范支付；及时处置方面，按要求开展绩效监控，并将结果运用到预算调整，定期开展增人增资调整；执行进度方面，按月发放工资、津补贴，并及时缴纳社保、公积金；预算完成方面，全年完成预算执行进度100%；资金结余率为0%；无违规记录。</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仿宋_GB2312" w:hAnsi="仿宋_GB2312" w:eastAsia="仿宋_GB2312" w:cs="仿宋_GB2312"/>
          <w:color w:val="000000"/>
          <w:kern w:val="0"/>
          <w:sz w:val="32"/>
          <w:szCs w:val="32"/>
          <w:shd w:val="clear" w:color="auto" w:fill="FFFFFF"/>
          <w:lang w:val="en-US" w:eastAsia="zh-CN"/>
        </w:rPr>
      </w:pPr>
      <w:r>
        <w:rPr>
          <w:rFonts w:hint="eastAsia" w:ascii="仿宋_GB2312" w:hAnsi="仿宋_GB2312" w:eastAsia="仿宋_GB2312" w:cs="仿宋_GB2312"/>
          <w:color w:val="000000"/>
          <w:kern w:val="0"/>
          <w:sz w:val="32"/>
          <w:szCs w:val="32"/>
          <w:shd w:val="clear" w:color="auto" w:fill="FFFFFF"/>
          <w:lang w:val="en-US" w:eastAsia="zh-CN"/>
        </w:rPr>
        <w:t>2.运转类项目绩效分析。2022年部门预算运转类项目主要包括在职人员和退休人员的基本公用经费、党建经费、福利费等。项目绩效目标制定方面，做到编制要素完整，指标细化量化，并将绩效目标纳入到所党委会集体研究决定；目标实现方面，项目绩效目标完成情况与预期相符；支出控制方面，因财政资金紧张，预算执行受到较大影响，致决算数与预算数偏离度超出20%；及时处置方面，按要求开展绩效监控，并将结果运用到预算调整，定期开展增人增资调整；执行进度方面，受财政资金紧张影响，全年预算执行进度明显滞后，二、三季度均未达预期；预算完成方面，经预算调整，全年完成预算执行进度100%；资金结余率为0%；无违规记录。</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仿宋_GB2312" w:hAnsi="仿宋_GB2312" w:eastAsia="仿宋_GB2312" w:cs="仿宋_GB2312"/>
          <w:color w:val="000000"/>
          <w:kern w:val="0"/>
          <w:sz w:val="32"/>
          <w:szCs w:val="32"/>
          <w:shd w:val="clear" w:color="auto" w:fill="FFFFFF"/>
          <w:lang w:val="en-US" w:eastAsia="zh-CN"/>
        </w:rPr>
      </w:pPr>
      <w:r>
        <w:rPr>
          <w:rFonts w:hint="eastAsia" w:ascii="仿宋_GB2312" w:hAnsi="仿宋_GB2312" w:eastAsia="仿宋_GB2312" w:cs="仿宋_GB2312"/>
          <w:color w:val="000000"/>
          <w:kern w:val="0"/>
          <w:sz w:val="32"/>
          <w:szCs w:val="32"/>
          <w:shd w:val="clear" w:color="auto" w:fill="FFFFFF"/>
          <w:lang w:val="en-US" w:eastAsia="zh-CN"/>
        </w:rPr>
        <w:t>3.特定目标类项目绩效分析。2022年部门预算运转类项目主要包括新所建设项目、民警被装费以及丧葬抚恤费。项目绩效目标制定方面，做到编制要素完整，指标细化量化，并将绩效目标纳入到所党委会集体研究决定；目标实现方面，民警被装费、丧葬抚恤项目绩效目标完成情况与预期相符，但新所建设项目投资任务未达预期指标；支出控制方面，严格执行专款专用，按要求拨付；及时处置方面，按要求开展绩效监控，并将结果运用到预算调整，积极争取基建资金推动新所建设项目实施；执行进度方面，按下达预算资金及时拨付项目进度资金；预算完成方面，全年完成下达预算执行进度100%；资金结余率为0%；无违规记录。</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（二）部门整体履职绩效分析。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2022年攀枝花市强戒所严格</w:t>
      </w:r>
      <w:r>
        <w:rPr>
          <w:rFonts w:hint="eastAsia" w:ascii="仿宋_GB2312" w:hAnsi="仿宋_GB2312" w:eastAsia="仿宋_GB2312" w:cs="仿宋_GB2312"/>
          <w:color w:val="auto"/>
          <w:sz w:val="32"/>
          <w:szCs w:val="32"/>
          <w:lang w:eastAsia="zh-CN"/>
        </w:rPr>
        <w:t>按照绩效管理要求，组织单位内部各职能科室部门拟定了全年整体支出绩效目标，在预算执行过程中定期对照整体支出绩效目标强化预算执行，在保障民警职工工资、津补贴、奖金、社保及住房公积金等人员经费开支的基础上，加大推进行政运行经费的正常支付进度，积极协调市财政局相关部门落实特定目标项目的资金和支付进度，基本实现全年整体支出绩效总体目标。但由于财政资金紧张，本年度单位公用经费压减幅度较大，以致当年部分预算内资金未能形成支付，进而影响个别绩效目标的全面达成。当年无财政拨款资金结余，无预算执行违规情形和记录。</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（三）结果应用情况。</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攀枝花市强戒所</w:t>
      </w:r>
      <w:r>
        <w:rPr>
          <w:rFonts w:hint="eastAsia" w:ascii="仿宋_GB2312" w:hAnsi="仿宋_GB2312" w:eastAsia="仿宋_GB2312" w:cs="仿宋_GB2312"/>
          <w:color w:val="auto"/>
          <w:sz w:val="32"/>
          <w:szCs w:val="32"/>
          <w:lang w:eastAsia="zh-CN"/>
        </w:rPr>
        <w:t>按照绩效管理的相关要求，将整体支出绩效目标评价纳入到单位内部控制管理和考核体系当中，认真组织整体支出绩效目标评价，并将部门预算资金使用情况和绩效目标评价结果进行信息公开，对出现绩效目标偏差的情况进行分析，拟定针对性措施及时纠偏。同时，当年整体支出绩效目标评价也将应用于第二年部门预算编制和绩效目标设定，确保部门预算编制和绩效目标设定更加科学、客观、符合实际，发挥财政资金最大效益。</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（四）自评质量。</w:t>
      </w:r>
    </w:p>
    <w:p>
      <w:pPr>
        <w:keepNext w:val="0"/>
        <w:keepLines w:val="0"/>
        <w:pageBreakBefore w:val="0"/>
        <w:widowControl/>
        <w:kinsoku/>
        <w:wordWrap/>
        <w:overflowPunct/>
        <w:topLinePunct w:val="0"/>
        <w:autoSpaceDE/>
        <w:autoSpaceDN/>
        <w:bidi w:val="0"/>
        <w:adjustRightInd w:val="0"/>
        <w:snapToGrid w:val="0"/>
        <w:spacing w:line="560" w:lineRule="exact"/>
        <w:ind w:firstLine="640"/>
        <w:contextualSpacing/>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2022年市强戒所</w:t>
      </w:r>
      <w:r>
        <w:rPr>
          <w:rFonts w:hint="eastAsia" w:ascii="仿宋_GB2312" w:hAnsi="仿宋_GB2312" w:eastAsia="仿宋_GB2312" w:cs="仿宋_GB2312"/>
          <w:color w:val="auto"/>
          <w:sz w:val="32"/>
          <w:szCs w:val="32"/>
          <w:lang w:eastAsia="zh-CN"/>
        </w:rPr>
        <w:t>整体支出绩效目标评价客观，能够真实、准确反应市强戒所全年预算资金使用情况以及总体绩效目标完成情况。</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eastAsia="黑体"/>
          <w:color w:val="000000"/>
          <w:kern w:val="0"/>
          <w:sz w:val="32"/>
          <w:szCs w:val="32"/>
          <w:shd w:val="clear" w:color="auto" w:fill="FFFFFF"/>
        </w:rPr>
      </w:pPr>
      <w:r>
        <w:rPr>
          <w:rFonts w:eastAsia="黑体"/>
          <w:color w:val="000000"/>
          <w:kern w:val="0"/>
          <w:sz w:val="32"/>
          <w:szCs w:val="32"/>
          <w:shd w:val="clear" w:color="auto" w:fill="FFFFFF"/>
        </w:rPr>
        <w:t>四、评价结论及建议</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（一）评价结论。</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sz w:val="32"/>
          <w:szCs w:val="32"/>
          <w:lang w:val="zh-CN"/>
        </w:rPr>
      </w:pPr>
      <w:r>
        <w:rPr>
          <w:rFonts w:hint="eastAsia" w:ascii="仿宋_GB2312" w:hAnsi="仿宋"/>
          <w:color w:val="auto"/>
          <w:sz w:val="32"/>
          <w:szCs w:val="32"/>
          <w:lang w:val="en-US" w:eastAsia="zh-CN"/>
        </w:rPr>
        <w:t>2022年市强戒所</w:t>
      </w:r>
      <w:r>
        <w:rPr>
          <w:rFonts w:hint="eastAsia" w:hAnsi="仿宋"/>
          <w:color w:val="auto"/>
          <w:sz w:val="32"/>
          <w:szCs w:val="32"/>
          <w:lang w:val="en-US" w:eastAsia="zh-CN"/>
        </w:rPr>
        <w:t>按照政府会计制度，科学、合理编制部门预算和设定</w:t>
      </w:r>
      <w:r>
        <w:rPr>
          <w:rFonts w:hint="eastAsia" w:ascii="仿宋_GB2312" w:hAnsi="仿宋"/>
          <w:color w:val="auto"/>
          <w:sz w:val="32"/>
          <w:szCs w:val="32"/>
          <w:lang w:eastAsia="zh-CN"/>
        </w:rPr>
        <w:t>整体支出绩效目标</w:t>
      </w:r>
      <w:r>
        <w:rPr>
          <w:rFonts w:hint="eastAsia" w:hAnsi="仿宋"/>
          <w:color w:val="auto"/>
          <w:sz w:val="32"/>
          <w:szCs w:val="32"/>
          <w:lang w:eastAsia="zh-CN"/>
        </w:rPr>
        <w:t>，在预算执行过程中</w:t>
      </w:r>
      <w:r>
        <w:rPr>
          <w:rFonts w:hint="eastAsia" w:hAnsi="仿宋"/>
          <w:color w:val="auto"/>
          <w:sz w:val="32"/>
          <w:szCs w:val="32"/>
          <w:lang w:val="en-US" w:eastAsia="zh-CN"/>
        </w:rPr>
        <w:t>严格落实财经纪律，</w:t>
      </w:r>
      <w:r>
        <w:rPr>
          <w:rFonts w:hint="eastAsia" w:hAnsi="仿宋"/>
          <w:color w:val="auto"/>
          <w:sz w:val="32"/>
          <w:szCs w:val="32"/>
          <w:lang w:eastAsia="zh-CN"/>
        </w:rPr>
        <w:t>坚持预算执行和绩效目标过程监控，较好地完成了绩效目标管理各项要求，基本完成了</w:t>
      </w:r>
      <w:r>
        <w:rPr>
          <w:rFonts w:hint="eastAsia" w:hAnsi="仿宋"/>
          <w:color w:val="auto"/>
          <w:sz w:val="32"/>
          <w:szCs w:val="32"/>
          <w:lang w:val="en-US" w:eastAsia="zh-CN"/>
        </w:rPr>
        <w:t>2022年度</w:t>
      </w:r>
      <w:r>
        <w:rPr>
          <w:rFonts w:hint="eastAsia" w:hAnsi="仿宋"/>
          <w:color w:val="auto"/>
          <w:sz w:val="32"/>
          <w:szCs w:val="32"/>
          <w:lang w:eastAsia="zh-CN"/>
        </w:rPr>
        <w:t>部门整体支出绩效目标。</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（二）存在问题。</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1.预算编制方面，存在个别需维持运转或当年必须完成的经费保障项目未列入年初预算，</w:t>
      </w:r>
      <w:r>
        <w:rPr>
          <w:rFonts w:hint="eastAsia" w:ascii="仿宋_GB2312" w:hAnsi="仿宋_GB2312" w:eastAsia="仿宋_GB2312" w:cs="仿宋_GB2312"/>
          <w:sz w:val="32"/>
          <w:szCs w:val="32"/>
          <w:lang w:eastAsia="zh-CN"/>
        </w:rPr>
        <w:t>以致资金保障不足，严重制约单位全年目标任务完成</w:t>
      </w:r>
      <w:r>
        <w:rPr>
          <w:rFonts w:hint="eastAsia" w:ascii="仿宋_GB2312" w:hAnsi="仿宋_GB2312" w:eastAsia="仿宋_GB2312" w:cs="仿宋_GB2312"/>
          <w:sz w:val="32"/>
          <w:szCs w:val="32"/>
        </w:rPr>
        <w:t>。 </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2.预算执行方面，</w:t>
      </w:r>
      <w:r>
        <w:rPr>
          <w:rFonts w:hint="eastAsia" w:ascii="仿宋_GB2312" w:hAnsi="仿宋_GB2312" w:eastAsia="仿宋_GB2312" w:cs="仿宋_GB2312"/>
          <w:sz w:val="32"/>
          <w:szCs w:val="32"/>
          <w:lang w:eastAsia="zh-CN"/>
        </w:rPr>
        <w:t>受我市财政资金严重紧张影响，</w:t>
      </w:r>
      <w:r>
        <w:rPr>
          <w:rFonts w:hint="eastAsia" w:ascii="仿宋_GB2312" w:hAnsi="仿宋_GB2312" w:eastAsia="仿宋_GB2312" w:cs="仿宋_GB2312"/>
          <w:color w:val="auto"/>
          <w:sz w:val="32"/>
          <w:szCs w:val="32"/>
          <w:lang w:eastAsia="zh-CN"/>
        </w:rPr>
        <w:t>本年度单位公用经费压减幅度较大，以致当年部分预算内资金未能形成支付，进而影响个别绩效目标的全面达成。</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3.内部管理方面，单位内部个别业务部门存在对绩效管理的认识不足、配合度不高、设置绩效目标质量不高等问题。</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（三）改进建议。</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color w:val="auto"/>
          <w:sz w:val="32"/>
          <w:szCs w:val="32"/>
          <w:lang w:val="zh-CN" w:eastAsia="zh-CN"/>
        </w:rPr>
      </w:pPr>
      <w:r>
        <w:rPr>
          <w:rFonts w:hint="eastAsia" w:ascii="仿宋_GB2312" w:hAnsi="仿宋"/>
          <w:color w:val="auto"/>
          <w:sz w:val="32"/>
          <w:szCs w:val="32"/>
          <w:lang w:val="zh-CN" w:eastAsia="zh-CN"/>
        </w:rPr>
        <w:t>一是加强与市财政的沟通协调，争取单位运转预算项目应列尽列，落实资金保障。</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hAnsi="仿宋"/>
          <w:color w:val="auto"/>
          <w:sz w:val="32"/>
          <w:szCs w:val="32"/>
          <w:lang w:val="zh-CN" w:eastAsia="zh-CN"/>
        </w:rPr>
      </w:pPr>
      <w:r>
        <w:rPr>
          <w:rFonts w:hint="eastAsia" w:ascii="仿宋_GB2312" w:hAnsi="仿宋"/>
          <w:color w:val="auto"/>
          <w:sz w:val="32"/>
          <w:szCs w:val="32"/>
          <w:lang w:val="zh-CN" w:eastAsia="zh-CN"/>
        </w:rPr>
        <w:t>二是加大场所基建专项资金的</w:t>
      </w:r>
      <w:r>
        <w:rPr>
          <w:rFonts w:hint="eastAsia" w:hAnsi="仿宋"/>
          <w:color w:val="auto"/>
          <w:sz w:val="32"/>
          <w:szCs w:val="32"/>
          <w:lang w:val="zh-CN" w:eastAsia="zh-CN"/>
        </w:rPr>
        <w:t>争取和</w:t>
      </w:r>
      <w:r>
        <w:rPr>
          <w:rFonts w:hint="eastAsia" w:ascii="仿宋_GB2312" w:hAnsi="仿宋"/>
          <w:color w:val="auto"/>
          <w:sz w:val="32"/>
          <w:szCs w:val="32"/>
          <w:lang w:val="zh-CN" w:eastAsia="zh-CN"/>
        </w:rPr>
        <w:t>保障力度，推动新所建设项目早日完工</w:t>
      </w:r>
      <w:r>
        <w:rPr>
          <w:rFonts w:hint="eastAsia" w:hAnsi="仿宋"/>
          <w:color w:val="auto"/>
          <w:sz w:val="32"/>
          <w:szCs w:val="32"/>
          <w:lang w:val="zh-CN" w:eastAsia="zh-CN"/>
        </w:rPr>
        <w:t>。</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color w:val="auto"/>
          <w:sz w:val="32"/>
          <w:szCs w:val="32"/>
          <w:lang w:val="zh-CN" w:eastAsia="zh-CN"/>
        </w:rPr>
      </w:pPr>
      <w:r>
        <w:rPr>
          <w:rFonts w:hint="eastAsia" w:hAnsi="仿宋"/>
          <w:color w:val="auto"/>
          <w:sz w:val="32"/>
          <w:szCs w:val="32"/>
          <w:lang w:val="zh-CN" w:eastAsia="zh-CN"/>
        </w:rPr>
        <w:t>三是</w:t>
      </w:r>
      <w:r>
        <w:rPr>
          <w:rFonts w:hint="eastAsia" w:ascii="仿宋_GB2312" w:hAnsi="仿宋_GB2312" w:eastAsia="仿宋_GB2312" w:cs="仿宋_GB2312"/>
          <w:b w:val="0"/>
          <w:bCs/>
          <w:color w:val="auto"/>
          <w:sz w:val="32"/>
          <w:szCs w:val="32"/>
        </w:rPr>
        <w:t>进一步加强单位内部机构的预算</w:t>
      </w:r>
      <w:r>
        <w:rPr>
          <w:rFonts w:hint="eastAsia" w:hAnsi="仿宋_GB2312" w:cs="仿宋_GB2312"/>
          <w:b w:val="0"/>
          <w:bCs/>
          <w:color w:val="auto"/>
          <w:sz w:val="32"/>
          <w:szCs w:val="32"/>
          <w:lang w:eastAsia="zh-CN"/>
        </w:rPr>
        <w:t>和绩效</w:t>
      </w:r>
      <w:r>
        <w:rPr>
          <w:rFonts w:hint="eastAsia" w:ascii="仿宋_GB2312" w:hAnsi="仿宋_GB2312" w:eastAsia="仿宋_GB2312" w:cs="仿宋_GB2312"/>
          <w:b w:val="0"/>
          <w:bCs/>
          <w:color w:val="auto"/>
          <w:sz w:val="32"/>
          <w:szCs w:val="32"/>
        </w:rPr>
        <w:t>管理意识，严格按照预算</w:t>
      </w:r>
      <w:r>
        <w:rPr>
          <w:rFonts w:hint="eastAsia" w:hAnsi="仿宋_GB2312" w:cs="仿宋_GB2312"/>
          <w:b w:val="0"/>
          <w:bCs/>
          <w:color w:val="auto"/>
          <w:sz w:val="32"/>
          <w:szCs w:val="32"/>
          <w:lang w:eastAsia="zh-CN"/>
        </w:rPr>
        <w:t>和绩效管理</w:t>
      </w:r>
      <w:r>
        <w:rPr>
          <w:rFonts w:hint="eastAsia" w:ascii="仿宋_GB2312" w:hAnsi="仿宋_GB2312" w:eastAsia="仿宋_GB2312" w:cs="仿宋_GB2312"/>
          <w:b w:val="0"/>
          <w:bCs/>
          <w:color w:val="auto"/>
          <w:sz w:val="32"/>
          <w:szCs w:val="32"/>
        </w:rPr>
        <w:t>相关制度</w:t>
      </w:r>
      <w:r>
        <w:rPr>
          <w:rFonts w:hint="eastAsia" w:ascii="仿宋_GB2312" w:hAnsi="仿宋_GB2312" w:eastAsia="仿宋_GB2312" w:cs="仿宋_GB2312"/>
          <w:b w:val="0"/>
          <w:bCs/>
          <w:color w:val="auto"/>
          <w:sz w:val="32"/>
          <w:szCs w:val="32"/>
          <w:lang w:eastAsia="zh-CN"/>
        </w:rPr>
        <w:t>，做细做实本单位保运转或特定目标项目的预算编制</w:t>
      </w:r>
      <w:r>
        <w:rPr>
          <w:rFonts w:hint="eastAsia" w:hAnsi="仿宋_GB2312" w:cs="仿宋_GB2312"/>
          <w:b w:val="0"/>
          <w:bCs/>
          <w:color w:val="auto"/>
          <w:sz w:val="32"/>
          <w:szCs w:val="32"/>
          <w:lang w:eastAsia="zh-CN"/>
        </w:rPr>
        <w:t>和绩效目标管理</w:t>
      </w:r>
      <w:r>
        <w:rPr>
          <w:rFonts w:hint="eastAsia" w:ascii="仿宋_GB2312" w:hAnsi="仿宋_GB2312" w:eastAsia="仿宋_GB2312" w:cs="仿宋_GB2312"/>
          <w:b w:val="0"/>
          <w:bCs/>
          <w:color w:val="auto"/>
          <w:sz w:val="32"/>
          <w:szCs w:val="32"/>
          <w:lang w:eastAsia="zh-CN"/>
        </w:rPr>
        <w:t>，</w:t>
      </w:r>
      <w:r>
        <w:rPr>
          <w:rFonts w:hint="eastAsia" w:hAnsi="仿宋_GB2312" w:cs="仿宋_GB2312"/>
          <w:b w:val="0"/>
          <w:bCs/>
          <w:color w:val="auto"/>
          <w:sz w:val="32"/>
          <w:szCs w:val="32"/>
          <w:lang w:eastAsia="zh-CN"/>
        </w:rPr>
        <w:t>不断</w:t>
      </w:r>
      <w:r>
        <w:rPr>
          <w:rFonts w:hint="eastAsia" w:ascii="仿宋_GB2312" w:hAnsi="仿宋_GB2312" w:eastAsia="仿宋_GB2312" w:cs="仿宋_GB2312"/>
          <w:b w:val="0"/>
          <w:bCs/>
          <w:color w:val="auto"/>
          <w:sz w:val="32"/>
          <w:szCs w:val="32"/>
          <w:lang w:eastAsia="zh-CN"/>
        </w:rPr>
        <w:t>提高预算编制</w:t>
      </w:r>
      <w:r>
        <w:rPr>
          <w:rFonts w:hint="eastAsia" w:hAnsi="仿宋_GB2312" w:cs="仿宋_GB2312"/>
          <w:b w:val="0"/>
          <w:bCs/>
          <w:color w:val="auto"/>
          <w:sz w:val="32"/>
          <w:szCs w:val="32"/>
          <w:lang w:eastAsia="zh-CN"/>
        </w:rPr>
        <w:t>和绩效目标管理</w:t>
      </w:r>
      <w:r>
        <w:rPr>
          <w:rFonts w:hint="eastAsia" w:ascii="仿宋_GB2312" w:hAnsi="仿宋_GB2312" w:eastAsia="仿宋_GB2312" w:cs="仿宋_GB2312"/>
          <w:b w:val="0"/>
          <w:bCs/>
          <w:color w:val="auto"/>
          <w:sz w:val="32"/>
          <w:szCs w:val="32"/>
          <w:lang w:eastAsia="zh-CN"/>
        </w:rPr>
        <w:t>质量</w:t>
      </w:r>
      <w:r>
        <w:rPr>
          <w:rFonts w:hint="eastAsia" w:ascii="仿宋_GB2312" w:hAnsi="仿宋_GB2312" w:eastAsia="仿宋_GB2312" w:cs="仿宋_GB2312"/>
          <w:b w:val="0"/>
          <w:bCs/>
          <w:color w:val="auto"/>
          <w:sz w:val="32"/>
          <w:szCs w:val="32"/>
        </w:rPr>
        <w:t>。</w:t>
      </w:r>
    </w:p>
    <w:p>
      <w:pPr>
        <w:pStyle w:val="13"/>
        <w:spacing w:line="560" w:lineRule="exact"/>
        <w:ind w:left="0" w:leftChars="0" w:firstLine="640"/>
        <w:rPr>
          <w:rFonts w:hint="eastAsia" w:hAnsi="仿宋_GB2312" w:eastAsia="仿宋_GB2312" w:cs="仿宋_GB2312"/>
          <w:sz w:val="32"/>
          <w:lang w:val="zh-CN" w:eastAsia="zh-CN"/>
        </w:rPr>
      </w:pPr>
      <w:r>
        <w:rPr>
          <w:rFonts w:hint="eastAsia" w:hAnsi="仿宋_GB2312" w:eastAsia="仿宋_GB2312" w:cs="仿宋_GB2312"/>
          <w:sz w:val="32"/>
          <w:lang w:val="zh-CN"/>
        </w:rPr>
        <w:t>附表：</w:t>
      </w:r>
      <w:r>
        <w:rPr>
          <w:rFonts w:hint="eastAsia" w:hAnsi="仿宋_GB2312" w:eastAsia="仿宋_GB2312" w:cs="仿宋_GB2312"/>
          <w:sz w:val="32"/>
        </w:rPr>
        <w:t>部门预算项目支出绩效自评表（2022年度）见附件</w:t>
      </w:r>
      <w:r>
        <w:rPr>
          <w:rFonts w:hint="eastAsia" w:hAnsi="仿宋_GB2312" w:eastAsia="仿宋_GB2312" w:cs="仿宋_GB2312"/>
          <w:sz w:val="32"/>
          <w:lang w:val="en-US" w:eastAsia="zh-CN"/>
        </w:rPr>
        <w:t>3</w:t>
      </w:r>
    </w:p>
    <w:p>
      <w:pPr>
        <w:pStyle w:val="13"/>
        <w:spacing w:line="560" w:lineRule="exact"/>
        <w:ind w:left="0" w:leftChars="0" w:firstLine="640"/>
        <w:rPr>
          <w:rFonts w:hint="eastAsia" w:hAnsi="仿宋_GB2312" w:eastAsia="仿宋_GB2312" w:cs="仿宋_GB2312"/>
          <w:sz w:val="32"/>
          <w:lang w:val="zh-CN"/>
        </w:rPr>
      </w:pPr>
    </w:p>
    <w:p>
      <w:pPr>
        <w:pStyle w:val="13"/>
        <w:spacing w:line="560" w:lineRule="exact"/>
        <w:ind w:left="0" w:leftChars="0" w:firstLine="640"/>
        <w:rPr>
          <w:rFonts w:hint="eastAsia" w:hAnsi="仿宋_GB2312" w:eastAsia="仿宋_GB2312" w:cs="仿宋_GB2312"/>
          <w:sz w:val="32"/>
          <w:lang w:val="zh-CN"/>
        </w:rPr>
      </w:pPr>
    </w:p>
    <w:p>
      <w:pPr>
        <w:pStyle w:val="13"/>
        <w:spacing w:line="560" w:lineRule="exact"/>
        <w:ind w:left="0" w:leftChars="0" w:firstLine="0" w:firstLineChars="0"/>
        <w:rPr>
          <w:sz w:val="32"/>
          <w:lang w:val="zh-CN"/>
        </w:rPr>
      </w:pPr>
    </w:p>
    <w:p>
      <w:pPr>
        <w:pStyle w:val="13"/>
        <w:spacing w:line="560" w:lineRule="exact"/>
        <w:ind w:left="0" w:leftChars="0" w:firstLine="0" w:firstLineChars="0"/>
        <w:rPr>
          <w:sz w:val="32"/>
          <w:lang w:val="zh-CN"/>
        </w:rPr>
      </w:pPr>
    </w:p>
    <w:p>
      <w:pPr>
        <w:pStyle w:val="2"/>
        <w:spacing w:before="93"/>
        <w:rPr>
          <w:sz w:val="32"/>
          <w:szCs w:val="32"/>
        </w:rPr>
      </w:pPr>
      <w:r>
        <w:rPr>
          <w:rFonts w:hint="eastAsia" w:hAnsi="宋体" w:cs="宋体"/>
          <w:sz w:val="32"/>
          <w:szCs w:val="32"/>
          <w:shd w:val="clear" w:color="auto" w:fill="FFFFFF"/>
          <w:lang w:val="zh-CN"/>
        </w:rPr>
        <w:t>附件</w:t>
      </w:r>
      <w:r>
        <w:rPr>
          <w:rFonts w:hint="eastAsia" w:hAnsi="宋体" w:cs="宋体"/>
          <w:sz w:val="32"/>
          <w:szCs w:val="32"/>
          <w:shd w:val="clear" w:color="auto" w:fill="FFFFFF"/>
        </w:rPr>
        <w:t>2</w:t>
      </w:r>
    </w:p>
    <w:p>
      <w:pPr>
        <w:autoSpaceDE w:val="0"/>
        <w:autoSpaceDN w:val="0"/>
        <w:adjustRightInd w:val="0"/>
        <w:spacing w:line="600" w:lineRule="exact"/>
        <w:jc w:val="center"/>
        <w:rPr>
          <w:rFonts w:hint="eastAsia" w:ascii="方正小标宋_GBK" w:hAnsi="方正小标宋_GBK" w:eastAsia="方正小标宋_GBK" w:cs="方正小标宋_GBK"/>
          <w:color w:val="auto"/>
          <w:kern w:val="2"/>
          <w:sz w:val="40"/>
          <w:szCs w:val="40"/>
        </w:rPr>
      </w:pPr>
      <w:r>
        <w:rPr>
          <w:rFonts w:hint="eastAsia" w:ascii="方正小标宋_GBK" w:hAnsi="方正小标宋_GBK" w:eastAsia="方正小标宋_GBK" w:cs="方正小标宋_GBK"/>
          <w:color w:val="auto"/>
          <w:kern w:val="2"/>
          <w:sz w:val="40"/>
          <w:szCs w:val="40"/>
          <w:lang w:val="en-US"/>
        </w:rPr>
        <w:t>202</w:t>
      </w:r>
      <w:r>
        <w:rPr>
          <w:rFonts w:hint="eastAsia" w:ascii="方正小标宋_GBK" w:hAnsi="方正小标宋_GBK" w:eastAsia="方正小标宋_GBK" w:cs="方正小标宋_GBK"/>
          <w:color w:val="auto"/>
          <w:kern w:val="2"/>
          <w:sz w:val="40"/>
          <w:szCs w:val="40"/>
          <w:lang w:val="en-US" w:eastAsia="zh-CN"/>
        </w:rPr>
        <w:t>2</w:t>
      </w:r>
      <w:r>
        <w:rPr>
          <w:rFonts w:hint="eastAsia" w:ascii="方正小标宋_GBK" w:hAnsi="方正小标宋_GBK" w:eastAsia="方正小标宋_GBK" w:cs="方正小标宋_GBK"/>
          <w:color w:val="auto"/>
          <w:kern w:val="2"/>
          <w:sz w:val="40"/>
          <w:szCs w:val="40"/>
          <w:lang w:val="en-US"/>
        </w:rPr>
        <w:t>年</w:t>
      </w:r>
      <w:r>
        <w:rPr>
          <w:rFonts w:hint="eastAsia" w:ascii="方正小标宋_GBK" w:hAnsi="方正小标宋_GBK" w:eastAsia="方正小标宋_GBK" w:cs="方正小标宋_GBK"/>
          <w:color w:val="auto"/>
          <w:kern w:val="2"/>
          <w:sz w:val="40"/>
          <w:szCs w:val="40"/>
        </w:rPr>
        <w:t>专项预算项目支出绩效自评报告</w:t>
      </w:r>
    </w:p>
    <w:p>
      <w:pPr>
        <w:autoSpaceDE w:val="0"/>
        <w:autoSpaceDN w:val="0"/>
        <w:adjustRightInd w:val="0"/>
        <w:spacing w:line="600" w:lineRule="exact"/>
        <w:jc w:val="center"/>
        <w:rPr>
          <w:rFonts w:hint="eastAsia" w:ascii="Times New Roman" w:hAnsi="Times New Roman" w:eastAsia="仿宋_GB2312" w:cs="Times New Roman"/>
          <w:kern w:val="0"/>
          <w:sz w:val="32"/>
          <w:szCs w:val="32"/>
        </w:rPr>
      </w:pP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left"/>
        <w:textAlignment w:val="auto"/>
        <w:rPr>
          <w:rFonts w:ascii="Times New Roman" w:hAnsi="Times New Roman" w:eastAsia="黑体" w:cs="Times New Roman"/>
          <w:kern w:val="0"/>
          <w:sz w:val="32"/>
          <w:szCs w:val="32"/>
        </w:rPr>
      </w:pPr>
      <w:r>
        <w:rPr>
          <w:rFonts w:hint="default" w:ascii="Times New Roman" w:hAnsi="Times New Roman" w:eastAsia="黑体" w:cs="Times New Roman"/>
          <w:kern w:val="0"/>
          <w:sz w:val="32"/>
          <w:szCs w:val="32"/>
        </w:rPr>
        <w:t>一、项目概况</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left"/>
        <w:textAlignment w:val="auto"/>
        <w:rPr>
          <w:rFonts w:hint="eastAsia" w:ascii="楷体" w:hAnsi="楷体" w:eastAsia="楷体" w:cs="楷体"/>
          <w:kern w:val="0"/>
          <w:sz w:val="32"/>
          <w:szCs w:val="32"/>
        </w:rPr>
      </w:pPr>
      <w:r>
        <w:rPr>
          <w:rFonts w:hint="eastAsia" w:ascii="楷体" w:hAnsi="楷体" w:eastAsia="楷体" w:cs="楷体"/>
          <w:kern w:val="0"/>
          <w:sz w:val="32"/>
          <w:szCs w:val="32"/>
        </w:rPr>
        <w:t>（一）项目基本情况。</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攀枝花市强制隔离戒毒所建设项目（以下简称市强戒所项目）为“十三五”地方政法基础设计建设项目，同时也是攀枝花市</w:t>
      </w:r>
      <w:r>
        <w:rPr>
          <w:rFonts w:hint="eastAsia" w:ascii="仿宋_GB2312" w:hAnsi="仿宋_GB2312" w:eastAsia="仿宋_GB2312" w:cs="仿宋_GB2312"/>
          <w:b w:val="0"/>
          <w:bCs w:val="0"/>
          <w:color w:val="000000"/>
          <w:kern w:val="0"/>
          <w:sz w:val="32"/>
          <w:szCs w:val="32"/>
          <w:lang w:val="en-US" w:eastAsia="zh-CN"/>
        </w:rPr>
        <w:t>2022</w:t>
      </w:r>
      <w:r>
        <w:rPr>
          <w:rFonts w:hint="eastAsia" w:ascii="仿宋_GB2312" w:hAnsi="仿宋_GB2312" w:eastAsia="仿宋_GB2312" w:cs="仿宋_GB2312"/>
          <w:kern w:val="0"/>
          <w:sz w:val="32"/>
          <w:szCs w:val="32"/>
          <w:lang w:eastAsia="zh-CN"/>
        </w:rPr>
        <w:t>“项目攻坚突破年”</w:t>
      </w:r>
      <w:r>
        <w:rPr>
          <w:rFonts w:hint="eastAsia" w:ascii="仿宋_GB2312" w:hAnsi="仿宋_GB2312" w:eastAsia="仿宋_GB2312" w:cs="仿宋_GB2312"/>
          <w:kern w:val="0"/>
          <w:sz w:val="32"/>
          <w:szCs w:val="32"/>
        </w:rPr>
        <w:t>重点推进项目。项目业主单位为攀枝花市强制隔离戒毒所（以下简称市强戒所），主管单位为攀枝花市司法局。该项目于2018年2月经市发展改革委批复立项（攀发改函〔2018〕38号），总建筑面积32150㎡，概算总投资17227.09万元，资金来源：一是“十三五”政法基础设施建设项目中央预算内资金；二是攀枝花市火车南站建设征地补偿费；三是攀枝花市火车南站站前基础设施建设项目及毅德城项目征地补偿费。</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攀枝花市司法局、市强戒所主要负责项目建设资金的筹措；督促代建单位严格按照代建合同约定开展项目代建工作，切实履行项目推进建设主体责任，严格按工期推进项目建设；督促代建单位抓好项目安全生产、疫情防控、工程质量等工作；按程序向市财政申请项目建设资金，并办理项目资金审批、拨付；监督代建单位对项目建设资金的使用；与相关部门协调涉及项目建设相关事宜。</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根据市发展改革委《关于批复攀枝花市强制隔离戒毒所建设项目可行性研究报告的函》（攀发改函〔2018〕38号）及市发展改革委《关于同意攀枝花市强制隔离戒毒所建设项目变更建设地址的复函 》（攀发改函〔2020〕155 号），市强戒所向攀枝花市本级财政申报项目202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年度预算资金</w:t>
      </w:r>
      <w:r>
        <w:rPr>
          <w:rFonts w:hint="eastAsia" w:ascii="仿宋_GB2312" w:hAnsi="仿宋_GB2312" w:eastAsia="仿宋_GB2312" w:cs="仿宋_GB2312"/>
          <w:kern w:val="0"/>
          <w:sz w:val="32"/>
          <w:szCs w:val="32"/>
          <w:lang w:val="en-US" w:eastAsia="zh-CN"/>
        </w:rPr>
        <w:t>9000</w:t>
      </w:r>
      <w:r>
        <w:rPr>
          <w:rFonts w:hint="eastAsia" w:ascii="仿宋_GB2312" w:hAnsi="仿宋_GB2312" w:eastAsia="仿宋_GB2312" w:cs="仿宋_GB2312"/>
          <w:kern w:val="0"/>
          <w:sz w:val="32"/>
          <w:szCs w:val="32"/>
        </w:rPr>
        <w:t>万元。</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为确保项目建设资金安全和规范使用，市强戒所根据《基本建设财务规则》（财政部令 81 号）、《攀枝花市政府投资项目代建管理办法》（攀办发〔2018〕44 号）和《攀枝花市市级政府投资项目代建制资金管理暂行办法》(攀财投〔2018〕49 号）等相关规定，结合项目实际情况制定了《攀枝花市强制隔离戒毒所建设项目代建资金财务管理制度（试行）》，明确了项目业主单位、代建单位各自的工作职责，资金申请、审批、拨付流程，市强戒所项目代建专户制度，所有资金均通过受业主及代建共同监管的代建专户支付，建设资金的使用严格按照项目立项批复内容及初步设计概算范围进行支付。</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项目建设资金的分配上，严格按照项目工程进展情况及所签订的相关合同约定的支付时间节点，结合项目建设资金到位情况、各参建单位履职情况进行研究支付。按照保障优先级的原则，优先保障项目农民工工资的支付。</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rPr>
        <w:t>（二）项目绩效目标。</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根据市发展改革委《关于批复攀枝花市强制隔离戒毒所建设项目可行性研究报告的函》（攀发改函〔2018〕38号），市强戒所项目总建筑面积32150㎡ ，主要建设行政管理区功能用房建筑面积7</w:t>
      </w:r>
      <w:r>
        <w:rPr>
          <w:rFonts w:hint="eastAsia" w:ascii="仿宋_GB2312" w:hAnsi="仿宋_GB2312" w:eastAsia="仿宋_GB2312" w:cs="仿宋_GB2312"/>
          <w:kern w:val="0"/>
          <w:sz w:val="32"/>
          <w:szCs w:val="32"/>
          <w:lang w:val="en-US" w:eastAsia="zh-CN"/>
        </w:rPr>
        <w:t>457</w:t>
      </w:r>
      <w:r>
        <w:rPr>
          <w:rFonts w:hint="eastAsia" w:ascii="仿宋_GB2312" w:hAnsi="仿宋_GB2312" w:eastAsia="仿宋_GB2312" w:cs="仿宋_GB2312"/>
          <w:kern w:val="0"/>
          <w:sz w:val="32"/>
          <w:szCs w:val="32"/>
        </w:rPr>
        <w:t>㎡，戒毒管理区功能用房建筑面积24</w:t>
      </w:r>
      <w:r>
        <w:rPr>
          <w:rFonts w:hint="eastAsia" w:ascii="仿宋_GB2312" w:hAnsi="仿宋_GB2312" w:eastAsia="仿宋_GB2312" w:cs="仿宋_GB2312"/>
          <w:kern w:val="0"/>
          <w:sz w:val="32"/>
          <w:szCs w:val="32"/>
          <w:lang w:val="en-US" w:eastAsia="zh-CN"/>
        </w:rPr>
        <w:t>603</w:t>
      </w:r>
      <w:r>
        <w:rPr>
          <w:rFonts w:hint="eastAsia" w:ascii="仿宋_GB2312" w:hAnsi="仿宋_GB2312" w:eastAsia="仿宋_GB2312" w:cs="仿宋_GB2312"/>
          <w:kern w:val="0"/>
          <w:sz w:val="32"/>
          <w:szCs w:val="32"/>
        </w:rPr>
        <w:t>㎡，建设室外场地约5708㎡，同时配套建设室外总图工程及其他辅助工程。</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年项目投资</w:t>
      </w:r>
      <w:r>
        <w:rPr>
          <w:rFonts w:hint="eastAsia" w:ascii="仿宋_GB2312" w:hAnsi="仿宋_GB2312" w:eastAsia="仿宋_GB2312" w:cs="仿宋_GB2312"/>
          <w:kern w:val="0"/>
          <w:sz w:val="32"/>
          <w:szCs w:val="32"/>
          <w:lang w:val="en-US" w:eastAsia="zh-CN"/>
        </w:rPr>
        <w:t>9000</w:t>
      </w:r>
      <w:r>
        <w:rPr>
          <w:rFonts w:hint="eastAsia" w:ascii="仿宋_GB2312" w:hAnsi="仿宋_GB2312" w:eastAsia="仿宋_GB2312" w:cs="仿宋_GB2312"/>
          <w:kern w:val="0"/>
          <w:sz w:val="32"/>
          <w:szCs w:val="32"/>
        </w:rPr>
        <w:t>万元。一季度计划完成投资2000万元。其中1月投资500万元：进行场平土石方、边坡支护、1-3号楼内外装饰及安装、9号楼挖孔桩施工；完成4号楼主体、5号楼基础施工。2月投资250万元：进行场平土石方、边坡支护、1-3号楼装饰安装、9号楼挖孔桩、5号楼主体施工。3月投资1250万元：进行场平土石方、边坡支护、1-4号楼装饰安装、5号楼主体施工；完成9号楼挖孔桩施工</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二季度计划完成投资3000万元。其中4月投资1000万元：进行4号楼内外装饰安装施工。完成场平土石方、边坡支护、1-3号楼装饰安装、5号楼主体、9号楼基础施工。5月投资1000万元：进行9号楼主体、5号楼装饰安装施工；完成4号楼装饰安装、6号楼基础施工。6月投资1000万元：进行6号楼主体施工；完成5号楼装饰安装、9号楼主体、11号楼基础施工</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三季度计划完成投资2000万元。其中7月投资600万元：进行9号楼装饰安装、11号楼主体施工；完成6号楼主体、7号楼基础施工。8月投资700万元：进行6号楼、9号楼装饰安装、7号楼主体施工；完成8号楼挖孔桩、11号楼主体施工。9月投资700万元：进行6号楼、11号楼装饰安装、总平土建及安装施工；完成9号楼装饰安装、7号楼主体、8号楼、10号楼基础施工</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四季度计划完成投资2000万元。其中10月投资700万元：进行7号楼、11号楼装饰安装；8号楼、10号楼主体、总平土建及安装施工。11月投资700万元：进行7号楼装饰安装、总平土建及安装施工；完成8号楼、10号楼主体、11号楼装饰安装施工。12月投资600万元：进行8号楼、10号楼装饰安装、总平土建及安装施工；完成7号楼装饰安装施工。</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default" w:ascii="仿宋_GB2312" w:hAnsi="仿宋_GB2312" w:eastAsia="仿宋_GB2312" w:cs="仿宋_GB2312"/>
          <w:kern w:val="0"/>
          <w:sz w:val="32"/>
          <w:szCs w:val="32"/>
        </w:rPr>
      </w:pPr>
      <w:r>
        <w:rPr>
          <w:rFonts w:hint="default" w:ascii="仿宋_GB2312" w:hAnsi="仿宋_GB2312" w:eastAsia="仿宋_GB2312" w:cs="仿宋_GB2312"/>
          <w:kern w:val="0"/>
          <w:sz w:val="32"/>
          <w:szCs w:val="32"/>
        </w:rPr>
        <w:t>绩效目标，质量指标：合格；时效指标：按计划推进；成本指标：严格控制项目投资确保不超批复概算总投资；社会效益指标：有效地保障社会治安的稳定，为社会主义经济建设提供强有力保障，促进社会的长治久安。</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default" w:ascii="仿宋_GB2312" w:hAnsi="仿宋_GB2312" w:eastAsia="仿宋_GB2312" w:cs="仿宋_GB2312"/>
          <w:kern w:val="0"/>
          <w:sz w:val="32"/>
          <w:szCs w:val="32"/>
        </w:rPr>
      </w:pPr>
      <w:r>
        <w:rPr>
          <w:rFonts w:hint="default"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2</w:t>
      </w:r>
      <w:r>
        <w:rPr>
          <w:rFonts w:hint="default" w:ascii="仿宋_GB2312" w:hAnsi="仿宋_GB2312" w:eastAsia="仿宋_GB2312" w:cs="仿宋_GB2312"/>
          <w:kern w:val="0"/>
          <w:sz w:val="32"/>
          <w:szCs w:val="32"/>
        </w:rPr>
        <w:t>年市强戒所结合市强戒所项目工期及施工计划，经与各参建单位反复研究讨论，拟定了年度完成投资</w:t>
      </w:r>
      <w:r>
        <w:rPr>
          <w:rFonts w:hint="eastAsia" w:ascii="仿宋_GB2312" w:hAnsi="仿宋_GB2312" w:eastAsia="仿宋_GB2312" w:cs="仿宋_GB2312"/>
          <w:kern w:val="0"/>
          <w:sz w:val="32"/>
          <w:szCs w:val="32"/>
          <w:lang w:val="en-US" w:eastAsia="zh-CN"/>
        </w:rPr>
        <w:t>9</w:t>
      </w:r>
      <w:r>
        <w:rPr>
          <w:rFonts w:hint="default" w:ascii="仿宋_GB2312" w:hAnsi="仿宋_GB2312" w:eastAsia="仿宋_GB2312" w:cs="仿宋_GB2312"/>
          <w:kern w:val="0"/>
          <w:sz w:val="32"/>
          <w:szCs w:val="32"/>
        </w:rPr>
        <w:t>000万元的任务目标，申报年度目标任务符合项目实际，切实可行。</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rPr>
        <w:t>（三）项目自评步骤及方法。</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市强戒所项目自评采用与代建单位、总承包单位、过控单位、监理单位对项目工程建设是否按计划实施、项目管理是否规范、投资控制是否有效、投资完成是否完成绩效目标、质量控制是否合格等方面开展，采取比率分值法、分级评分法、缺（错）项扣分法综合对项目进行了绩效自评。</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ascii="Times New Roman" w:hAnsi="Times New Roman" w:eastAsia="黑体" w:cs="Times New Roman"/>
          <w:kern w:val="0"/>
          <w:sz w:val="32"/>
          <w:szCs w:val="32"/>
        </w:rPr>
      </w:pPr>
      <w:r>
        <w:rPr>
          <w:rFonts w:hint="default" w:ascii="Times New Roman" w:hAnsi="Times New Roman" w:eastAsia="黑体" w:cs="Times New Roman"/>
          <w:kern w:val="0"/>
          <w:sz w:val="32"/>
          <w:szCs w:val="32"/>
        </w:rPr>
        <w:t>二、项目资金申报及使用情况</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rPr>
        <w:t>（一）项目资金申报及批复情况。</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市强戒所项目申报202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年市本级预算资金</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000万元，实际下达</w:t>
      </w:r>
      <w:r>
        <w:rPr>
          <w:rFonts w:hint="eastAsia" w:ascii="仿宋_GB2312" w:hAnsi="仿宋_GB2312" w:eastAsia="仿宋_GB2312" w:cs="仿宋_GB2312"/>
          <w:kern w:val="0"/>
          <w:sz w:val="32"/>
          <w:szCs w:val="32"/>
          <w:lang w:val="en-US" w:eastAsia="zh-CN"/>
        </w:rPr>
        <w:t>3220</w:t>
      </w:r>
      <w:r>
        <w:rPr>
          <w:rFonts w:hint="eastAsia" w:ascii="仿宋_GB2312" w:hAnsi="仿宋_GB2312" w:eastAsia="仿宋_GB2312" w:cs="仿宋_GB2312"/>
          <w:kern w:val="0"/>
          <w:sz w:val="32"/>
          <w:szCs w:val="32"/>
        </w:rPr>
        <w:t>万元。</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rPr>
        <w:t>（二）资金计划、到位及使用情况。</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rPr>
        <w:t>1．资金计划。</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default" w:ascii="Times New Roman" w:hAnsi="Times New Roman" w:eastAsia="仿宋_GB2312" w:cs="Times New Roman"/>
          <w:kern w:val="0"/>
          <w:sz w:val="32"/>
          <w:szCs w:val="32"/>
        </w:rPr>
      </w:pPr>
      <w:r>
        <w:rPr>
          <w:rFonts w:hint="eastAsia" w:ascii="仿宋_GB2312" w:hAnsi="仿宋_GB2312" w:eastAsia="仿宋_GB2312" w:cs="仿宋_GB2312"/>
          <w:kern w:val="0"/>
          <w:sz w:val="32"/>
          <w:szCs w:val="32"/>
        </w:rPr>
        <w:t>市强戒所项目202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年度申报市本级预算资金</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000万元，全部为市本级资金。</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rPr>
        <w:t>2．资金到位。</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年项目申报预算资金</w:t>
      </w:r>
      <w:r>
        <w:rPr>
          <w:rFonts w:hint="eastAsia" w:ascii="仿宋_GB2312" w:hAnsi="仿宋_GB2312" w:eastAsia="仿宋_GB2312" w:cs="仿宋_GB2312"/>
          <w:kern w:val="0"/>
          <w:sz w:val="32"/>
          <w:szCs w:val="32"/>
          <w:lang w:val="en-US" w:eastAsia="zh-CN"/>
        </w:rPr>
        <w:t>9000</w:t>
      </w:r>
      <w:r>
        <w:rPr>
          <w:rFonts w:hint="eastAsia" w:ascii="仿宋_GB2312" w:hAnsi="仿宋_GB2312" w:eastAsia="仿宋_GB2312" w:cs="仿宋_GB2312"/>
          <w:kern w:val="0"/>
          <w:sz w:val="32"/>
          <w:szCs w:val="32"/>
        </w:rPr>
        <w:t>万元，市财政局实际下达项目建设资金</w:t>
      </w:r>
      <w:r>
        <w:rPr>
          <w:rFonts w:hint="eastAsia" w:ascii="仿宋_GB2312" w:hAnsi="仿宋_GB2312" w:eastAsia="仿宋_GB2312" w:cs="仿宋_GB2312"/>
          <w:kern w:val="0"/>
          <w:sz w:val="32"/>
          <w:szCs w:val="32"/>
          <w:lang w:val="en-US" w:eastAsia="zh-CN"/>
        </w:rPr>
        <w:t>3220</w:t>
      </w:r>
      <w:r>
        <w:rPr>
          <w:rFonts w:hint="eastAsia" w:ascii="仿宋_GB2312" w:hAnsi="仿宋_GB2312" w:eastAsia="仿宋_GB2312" w:cs="仿宋_GB2312"/>
          <w:kern w:val="0"/>
          <w:sz w:val="32"/>
          <w:szCs w:val="32"/>
        </w:rPr>
        <w:t>万元，资金下达率</w:t>
      </w:r>
      <w:r>
        <w:rPr>
          <w:rFonts w:hint="eastAsia" w:ascii="仿宋_GB2312" w:hAnsi="仿宋_GB2312" w:eastAsia="仿宋_GB2312" w:cs="仿宋_GB2312"/>
          <w:kern w:val="0"/>
          <w:sz w:val="32"/>
          <w:szCs w:val="32"/>
          <w:lang w:val="en-US" w:eastAsia="zh-CN"/>
        </w:rPr>
        <w:t>35.7</w:t>
      </w:r>
      <w:r>
        <w:rPr>
          <w:rFonts w:hint="eastAsia" w:ascii="仿宋_GB2312" w:hAnsi="仿宋_GB2312" w:eastAsia="仿宋_GB2312" w:cs="仿宋_GB2312"/>
          <w:kern w:val="0"/>
          <w:sz w:val="32"/>
          <w:szCs w:val="32"/>
        </w:rPr>
        <w:t>%。据向市财政局了解，202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年市级财政运行整体较为紧张，因而项目建设资金拨付较工程进度有所滞后。</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rPr>
        <w:t>3．资金使用。</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市强戒所项目资金的支付，均严格按照工程进度及签订的相关合同约定的支付时间节点，严格执行资金申报、审批、拨付流程，由各参建单位提出申请，经代建单位审核把关并提出请款申请，市强戒所党委会集体研究同意后审核支付。确保了项目建设资金严格按照预算申报内容，依法依规，安全、规范使用。</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rPr>
        <w:t>（三）项目财务管理情况。</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市强戒所项目财务管理规范严格，制定了相关财务管理制定和资金使用管理规定。严格执行财务管理制度，按照专户、专账的要求，开具了专户建立了专账进行财务管理，账务处理及时。</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ascii="Times New Roman" w:hAnsi="Times New Roman" w:eastAsia="黑体" w:cs="Times New Roman"/>
          <w:kern w:val="0"/>
          <w:sz w:val="32"/>
          <w:szCs w:val="32"/>
        </w:rPr>
      </w:pPr>
      <w:r>
        <w:rPr>
          <w:rFonts w:hint="default" w:ascii="Times New Roman" w:hAnsi="Times New Roman" w:eastAsia="黑体" w:cs="Times New Roman"/>
          <w:kern w:val="0"/>
          <w:sz w:val="32"/>
          <w:szCs w:val="32"/>
        </w:rPr>
        <w:t>三、项目实施及管理情况</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rPr>
        <w:t>（一）项目组织架构及实施流程。</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市强戒所项目按照主管部门市司法局牵头负责，业主单位市强戒所主抓监督协调，代建单位履行项目建设主体责任，总承包单位、监理单位、过控单位各自按合同履职的管理体系，采取代建单位对业主负责，代建单位直接对各参建单位进行实际管理和考核，各参建单位项目协作配合的方式。</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rPr>
        <w:t>（二）项目管理情况。</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市强戒所项目严格按照政府投资项目决策、审批、实施等相关要求，组织实施项目建设各项工作，严格按照审批招标范围开展招投标工作，公开招标确定了项目代建单位、总承包单位、监理单位、过控单位。项目建设依法依规，管理规范。</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rPr>
        <w:t>（三）项目监管情况。</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强化项目管理和推进，项目主管单位成立了市强戒所项目建设领导小组，由单位主要领导任组长，统筹项目建设。制定了《攀枝花市强制隔离戒毒所建设项目实施全过程的互动、监督、确认制度》《攀枝花市强制隔离戒毒所建设项目变更、签证、计量、结算、索赔管理制度(试行)》，规范项目管理，对项目建设各环节进行监督管理。同时，为及时掌握项目推进情况实现监督常态化，制定了半月报、月报制度，由代建单位及时报送半月和每月项目推进情况。</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ascii="Times New Roman" w:hAnsi="Times New Roman" w:eastAsia="黑体" w:cs="Times New Roman"/>
          <w:kern w:val="0"/>
          <w:sz w:val="32"/>
          <w:szCs w:val="32"/>
        </w:rPr>
      </w:pPr>
      <w:r>
        <w:rPr>
          <w:rFonts w:hint="default" w:ascii="Times New Roman" w:hAnsi="Times New Roman" w:eastAsia="黑体" w:cs="Times New Roman"/>
          <w:kern w:val="0"/>
          <w:sz w:val="32"/>
          <w:szCs w:val="32"/>
        </w:rPr>
        <w:t>四、项目绩效情况</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rPr>
        <w:t>（一）项目完成情况。</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eastAsia="zh-CN"/>
        </w:rPr>
        <w:t>攀枝花</w:t>
      </w:r>
      <w:r>
        <w:rPr>
          <w:rFonts w:hint="eastAsia" w:ascii="仿宋_GB2312" w:hAnsi="仿宋_GB2312" w:eastAsia="仿宋_GB2312" w:cs="仿宋_GB2312"/>
          <w:kern w:val="0"/>
          <w:sz w:val="32"/>
          <w:szCs w:val="32"/>
        </w:rPr>
        <w:t>市强戒所项目</w:t>
      </w:r>
      <w:r>
        <w:rPr>
          <w:rFonts w:hint="eastAsia" w:ascii="仿宋_GB2312" w:hAnsi="仿宋_GB2312" w:eastAsia="仿宋_GB2312" w:cs="仿宋_GB2312"/>
          <w:kern w:val="0"/>
          <w:sz w:val="32"/>
          <w:szCs w:val="32"/>
          <w:lang w:eastAsia="zh-CN"/>
        </w:rPr>
        <w:t>因市财政拨付原因</w:t>
      </w:r>
      <w:r>
        <w:rPr>
          <w:rFonts w:hint="eastAsia" w:ascii="仿宋_GB2312" w:hAnsi="仿宋_GB2312" w:eastAsia="仿宋_GB2312" w:cs="仿宋_GB2312"/>
          <w:kern w:val="0"/>
          <w:sz w:val="32"/>
          <w:szCs w:val="32"/>
        </w:rPr>
        <w:t>完成投资</w:t>
      </w:r>
      <w:r>
        <w:rPr>
          <w:rFonts w:hint="eastAsia" w:ascii="仿宋_GB2312" w:hAnsi="仿宋_GB2312" w:eastAsia="仿宋_GB2312" w:cs="仿宋_GB2312"/>
          <w:kern w:val="0"/>
          <w:sz w:val="32"/>
          <w:szCs w:val="32"/>
          <w:lang w:val="en-US" w:eastAsia="zh-CN"/>
        </w:rPr>
        <w:t>4502.77</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未</w:t>
      </w:r>
      <w:r>
        <w:rPr>
          <w:rFonts w:hint="eastAsia" w:ascii="仿宋_GB2312" w:hAnsi="仿宋_GB2312" w:eastAsia="仿宋_GB2312" w:cs="仿宋_GB2312"/>
          <w:kern w:val="0"/>
          <w:sz w:val="32"/>
          <w:szCs w:val="32"/>
        </w:rPr>
        <w:t>完成年度目标任务，项目建设工程质量、建材质量合格，投资严格控制在初步设计批复范围，达到了既定绩效目标。</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（二）项目效益情况。</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攀枝花</w:t>
      </w:r>
      <w:r>
        <w:rPr>
          <w:rFonts w:hint="eastAsia" w:ascii="仿宋_GB2312" w:hAnsi="仿宋_GB2312" w:eastAsia="仿宋_GB2312" w:cs="仿宋_GB2312"/>
          <w:kern w:val="0"/>
          <w:sz w:val="32"/>
          <w:szCs w:val="32"/>
        </w:rPr>
        <w:t>市强戒所项目为政法基础设施建设项目，主要功能为收治吸毒成瘾被执行强制隔离戒毒人员。项目建成后将是我市吸毒吸毒成瘾被执行强制隔离戒毒人员的主要场所，可有效地保障社会治安的稳定，为社会主义经济建设提供强有力保障，促进社会的长治久安，服务全市“一三三三”总体发展战略。</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五、评价结论及建议</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rPr>
        <w:t>（一）评价结论。</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从项目建设整体上看，</w:t>
      </w:r>
      <w:r>
        <w:rPr>
          <w:rFonts w:hint="eastAsia" w:ascii="仿宋_GB2312" w:hAnsi="仿宋_GB2312" w:eastAsia="仿宋_GB2312" w:cs="仿宋_GB2312"/>
          <w:kern w:val="0"/>
          <w:sz w:val="32"/>
          <w:szCs w:val="32"/>
          <w:lang w:eastAsia="zh-CN"/>
        </w:rPr>
        <w:t>攀枝花</w:t>
      </w:r>
      <w:r>
        <w:rPr>
          <w:rFonts w:hint="eastAsia" w:ascii="仿宋_GB2312" w:hAnsi="仿宋_GB2312" w:eastAsia="仿宋_GB2312" w:cs="仿宋_GB2312"/>
          <w:kern w:val="0"/>
          <w:sz w:val="32"/>
          <w:szCs w:val="32"/>
        </w:rPr>
        <w:t>市强戒所项目严格按照我市市本级投资项目决策程序，经研究决策后组织实施。项目建设严格按照相关法律法规规定，依法依规开展建设，并结合项目实际情况制定了相关管理规定和制度，项目管理规范。项目绩效管理严格按照年度申报目标推进项目建设，并制定了实施方案，细化了时间节点，落实了职责，项目绩效目标严格控制在申报范围，总体执行较好，实现了既定目标。</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rPr>
        <w:t>（二）存在的问题。</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攀枝花</w:t>
      </w:r>
      <w:r>
        <w:rPr>
          <w:rFonts w:hint="eastAsia" w:ascii="仿宋_GB2312" w:hAnsi="仿宋_GB2312" w:eastAsia="仿宋_GB2312" w:cs="仿宋_GB2312"/>
          <w:kern w:val="0"/>
          <w:sz w:val="32"/>
          <w:szCs w:val="32"/>
        </w:rPr>
        <w:t>市强戒所项目建设存在的主要问题是项目建设资金拨付不及时的问题。主要原因：一是资金拨付审批时间较长；二是受新冠疫情影响，全市经济承压运行，市本级财政运行整体较为紧张。</w:t>
      </w:r>
    </w:p>
    <w:p>
      <w:pPr>
        <w:keepNext w:val="0"/>
        <w:keepLines w:val="0"/>
        <w:pageBreakBefore w:val="0"/>
        <w:kinsoku/>
        <w:wordWrap/>
        <w:overflowPunct/>
        <w:topLinePunct w:val="0"/>
        <w:autoSpaceDE w:val="0"/>
        <w:autoSpaceDN w:val="0"/>
        <w:bidi w:val="0"/>
        <w:adjustRightInd w:val="0"/>
        <w:snapToGrid/>
        <w:spacing w:line="500" w:lineRule="exact"/>
        <w:ind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rPr>
        <w:t>（三）相关建议。</w:t>
      </w:r>
    </w:p>
    <w:p>
      <w:pPr>
        <w:spacing w:line="580" w:lineRule="exact"/>
        <w:ind w:firstLine="640" w:firstLineChars="200"/>
        <w:rPr>
          <w:rStyle w:val="28"/>
          <w:rFonts w:ascii="黑体" w:hAnsi="黑体" w:eastAsia="黑体"/>
          <w:b w:val="0"/>
        </w:rPr>
      </w:pPr>
      <w:r>
        <w:rPr>
          <w:rFonts w:hint="eastAsia" w:ascii="仿宋_GB2312" w:hAnsi="仿宋_GB2312" w:eastAsia="仿宋_GB2312" w:cs="仿宋_GB2312"/>
          <w:kern w:val="0"/>
          <w:sz w:val="32"/>
          <w:szCs w:val="32"/>
        </w:rPr>
        <w:t>建议</w:t>
      </w:r>
      <w:r>
        <w:rPr>
          <w:rFonts w:hint="eastAsia" w:ascii="仿宋_GB2312" w:hAnsi="仿宋_GB2312" w:eastAsia="仿宋_GB2312" w:cs="仿宋_GB2312"/>
          <w:kern w:val="0"/>
          <w:sz w:val="32"/>
          <w:szCs w:val="32"/>
          <w:lang w:eastAsia="zh-CN"/>
        </w:rPr>
        <w:t>市财政局</w:t>
      </w:r>
      <w:r>
        <w:rPr>
          <w:rFonts w:hint="eastAsia" w:ascii="仿宋_GB2312" w:hAnsi="仿宋_GB2312" w:eastAsia="仿宋_GB2312" w:cs="仿宋_GB2312"/>
          <w:kern w:val="0"/>
          <w:sz w:val="32"/>
          <w:szCs w:val="32"/>
        </w:rPr>
        <w:t>在项目建设资金拨付上给予更大支持。</w:t>
      </w:r>
    </w:p>
    <w:p>
      <w:pPr>
        <w:widowControl/>
        <w:jc w:val="left"/>
        <w:rPr>
          <w:rStyle w:val="28"/>
          <w:rFonts w:ascii="黑体" w:hAnsi="黑体" w:eastAsia="黑体"/>
          <w:b w:val="0"/>
        </w:rPr>
      </w:pPr>
      <w:r>
        <w:rPr>
          <w:rStyle w:val="28"/>
          <w:rFonts w:ascii="黑体" w:hAnsi="黑体" w:eastAsia="黑体"/>
          <w:b w:val="0"/>
        </w:rPr>
        <w:br w:type="page"/>
      </w:r>
    </w:p>
    <w:p>
      <w:pPr>
        <w:spacing w:line="600" w:lineRule="exact"/>
        <w:jc w:val="center"/>
        <w:outlineLvl w:val="0"/>
        <w:rPr>
          <w:rFonts w:ascii="仿宋" w:hAnsi="仿宋" w:eastAsia="仿宋"/>
        </w:rPr>
      </w:pPr>
      <w:bookmarkStart w:id="74" w:name="_Toc15396618"/>
      <w:bookmarkStart w:id="75" w:name="_Toc12847"/>
      <w:r>
        <w:rPr>
          <w:rFonts w:hint="eastAsia" w:ascii="黑体" w:hAnsi="黑体" w:eastAsia="黑体"/>
          <w:sz w:val="44"/>
          <w:szCs w:val="44"/>
        </w:rPr>
        <w:t>第</w:t>
      </w:r>
      <w:r>
        <w:rPr>
          <w:rStyle w:val="28"/>
          <w:rFonts w:hint="eastAsia" w:ascii="黑体" w:hAnsi="黑体" w:eastAsia="黑体"/>
          <w:b w:val="0"/>
        </w:rPr>
        <w:t>五部分 附表</w:t>
      </w:r>
      <w:bookmarkEnd w:id="70"/>
      <w:bookmarkEnd w:id="74"/>
      <w:bookmarkEnd w:id="75"/>
      <w:bookmarkStart w:id="76" w:name="_Toc15396619"/>
    </w:p>
    <w:p>
      <w:pPr>
        <w:pStyle w:val="4"/>
        <w:outlineLvl w:val="9"/>
        <w:rPr>
          <w:rFonts w:hint="eastAsia" w:ascii="仿宋" w:hAnsi="仿宋" w:eastAsia="仿宋"/>
          <w:b w:val="0"/>
        </w:rPr>
      </w:pPr>
    </w:p>
    <w:p>
      <w:pPr>
        <w:pStyle w:val="4"/>
        <w:rPr>
          <w:rFonts w:ascii="仿宋" w:hAnsi="仿宋" w:eastAsia="仿宋"/>
        </w:rPr>
      </w:pPr>
      <w:bookmarkStart w:id="77" w:name="_Toc3442"/>
      <w:r>
        <w:rPr>
          <w:rFonts w:hint="eastAsia" w:ascii="仿宋" w:hAnsi="仿宋" w:eastAsia="仿宋"/>
          <w:b w:val="0"/>
        </w:rPr>
        <w:t>一、收</w:t>
      </w:r>
      <w:r>
        <w:rPr>
          <w:rStyle w:val="29"/>
          <w:rFonts w:hint="eastAsia" w:ascii="仿宋" w:hAnsi="仿宋" w:eastAsia="仿宋"/>
          <w:b w:val="0"/>
          <w:bCs w:val="0"/>
        </w:rPr>
        <w:t>入支出决算总表</w:t>
      </w:r>
      <w:bookmarkEnd w:id="76"/>
      <w:bookmarkEnd w:id="77"/>
    </w:p>
    <w:p>
      <w:pPr>
        <w:pStyle w:val="4"/>
        <w:rPr>
          <w:rFonts w:ascii="仿宋" w:hAnsi="仿宋" w:eastAsia="仿宋"/>
        </w:rPr>
      </w:pPr>
      <w:bookmarkStart w:id="78" w:name="_Toc15396620"/>
      <w:bookmarkStart w:id="79" w:name="_Toc32025"/>
      <w:r>
        <w:rPr>
          <w:rFonts w:hint="eastAsia" w:ascii="仿宋" w:hAnsi="仿宋" w:eastAsia="仿宋"/>
          <w:b w:val="0"/>
        </w:rPr>
        <w:t>二、收</w:t>
      </w:r>
      <w:r>
        <w:rPr>
          <w:rStyle w:val="29"/>
          <w:rFonts w:hint="eastAsia" w:ascii="仿宋" w:hAnsi="仿宋" w:eastAsia="仿宋"/>
          <w:b w:val="0"/>
          <w:bCs w:val="0"/>
        </w:rPr>
        <w:t>入决算表</w:t>
      </w:r>
      <w:bookmarkEnd w:id="78"/>
      <w:bookmarkEnd w:id="79"/>
    </w:p>
    <w:p>
      <w:pPr>
        <w:pStyle w:val="4"/>
        <w:rPr>
          <w:rFonts w:ascii="仿宋" w:hAnsi="仿宋" w:eastAsia="仿宋"/>
        </w:rPr>
      </w:pPr>
      <w:bookmarkStart w:id="80" w:name="_Toc15396621"/>
      <w:bookmarkStart w:id="81" w:name="_Toc19073"/>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80"/>
      <w:bookmarkEnd w:id="81"/>
    </w:p>
    <w:p>
      <w:pPr>
        <w:pStyle w:val="4"/>
        <w:rPr>
          <w:rFonts w:ascii="仿宋" w:hAnsi="仿宋" w:eastAsia="仿宋"/>
          <w:b w:val="0"/>
        </w:rPr>
      </w:pPr>
      <w:bookmarkStart w:id="82" w:name="_Toc15396622"/>
      <w:bookmarkStart w:id="83" w:name="_Toc274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82"/>
      <w:bookmarkEnd w:id="83"/>
    </w:p>
    <w:p>
      <w:pPr>
        <w:pStyle w:val="4"/>
        <w:rPr>
          <w:rStyle w:val="29"/>
          <w:rFonts w:ascii="仿宋" w:hAnsi="仿宋" w:eastAsia="仿宋"/>
          <w:b w:val="0"/>
          <w:bCs w:val="0"/>
        </w:rPr>
      </w:pPr>
      <w:bookmarkStart w:id="84" w:name="_Toc15396623"/>
      <w:bookmarkStart w:id="85" w:name="_Toc5372"/>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84"/>
      <w:bookmarkEnd w:id="85"/>
      <w:bookmarkStart w:id="86" w:name="_Toc15396624"/>
    </w:p>
    <w:p>
      <w:pPr>
        <w:pStyle w:val="4"/>
        <w:rPr>
          <w:rFonts w:ascii="仿宋" w:hAnsi="仿宋" w:eastAsia="仿宋"/>
        </w:rPr>
      </w:pPr>
      <w:bookmarkStart w:id="87" w:name="_Toc16820"/>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86"/>
      <w:bookmarkEnd w:id="87"/>
    </w:p>
    <w:p>
      <w:pPr>
        <w:pStyle w:val="4"/>
        <w:rPr>
          <w:rFonts w:ascii="仿宋" w:hAnsi="仿宋" w:eastAsia="仿宋"/>
        </w:rPr>
      </w:pPr>
      <w:bookmarkStart w:id="88" w:name="_Toc15396625"/>
      <w:bookmarkStart w:id="89" w:name="_Toc5190"/>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88"/>
      <w:bookmarkEnd w:id="89"/>
    </w:p>
    <w:p>
      <w:pPr>
        <w:pStyle w:val="4"/>
        <w:rPr>
          <w:rFonts w:ascii="仿宋" w:hAnsi="仿宋" w:eastAsia="仿宋"/>
        </w:rPr>
      </w:pPr>
      <w:bookmarkStart w:id="90" w:name="_Toc15396626"/>
      <w:bookmarkStart w:id="91" w:name="_Toc19281"/>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90"/>
      <w:bookmarkEnd w:id="91"/>
    </w:p>
    <w:p>
      <w:pPr>
        <w:pStyle w:val="4"/>
        <w:rPr>
          <w:rFonts w:ascii="仿宋" w:hAnsi="仿宋" w:eastAsia="仿宋"/>
        </w:rPr>
      </w:pPr>
      <w:bookmarkStart w:id="92" w:name="_Toc15396627"/>
      <w:bookmarkStart w:id="93" w:name="_Toc12054"/>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92"/>
      <w:bookmarkEnd w:id="93"/>
    </w:p>
    <w:p>
      <w:pPr>
        <w:pStyle w:val="4"/>
        <w:rPr>
          <w:rFonts w:ascii="仿宋" w:hAnsi="仿宋" w:eastAsia="仿宋"/>
        </w:rPr>
      </w:pPr>
      <w:bookmarkStart w:id="94" w:name="_Toc15396628"/>
      <w:bookmarkStart w:id="95" w:name="_Toc27016"/>
      <w:r>
        <w:rPr>
          <w:rStyle w:val="29"/>
          <w:rFonts w:hint="eastAsia" w:ascii="仿宋" w:hAnsi="仿宋" w:eastAsia="仿宋"/>
          <w:b w:val="0"/>
          <w:bCs w:val="0"/>
        </w:rPr>
        <w:t>十、</w:t>
      </w:r>
      <w:bookmarkEnd w:id="94"/>
      <w:r>
        <w:rPr>
          <w:rFonts w:hint="eastAsia" w:ascii="仿宋" w:hAnsi="仿宋" w:eastAsia="仿宋"/>
          <w:b w:val="0"/>
        </w:rPr>
        <w:t>政</w:t>
      </w:r>
      <w:r>
        <w:rPr>
          <w:rStyle w:val="29"/>
          <w:rFonts w:hint="eastAsia" w:ascii="仿宋" w:hAnsi="仿宋" w:eastAsia="仿宋"/>
          <w:b w:val="0"/>
          <w:bCs w:val="0"/>
        </w:rPr>
        <w:t>府性基金预算财政拨款收入支出决算表</w:t>
      </w:r>
      <w:bookmarkEnd w:id="95"/>
    </w:p>
    <w:p>
      <w:pPr>
        <w:pStyle w:val="4"/>
        <w:rPr>
          <w:rFonts w:ascii="仿宋" w:hAnsi="仿宋" w:eastAsia="仿宋"/>
        </w:rPr>
      </w:pPr>
      <w:bookmarkStart w:id="96" w:name="_Toc15396629"/>
      <w:bookmarkStart w:id="97" w:name="_Toc18339"/>
      <w:r>
        <w:rPr>
          <w:rStyle w:val="29"/>
          <w:rFonts w:hint="eastAsia" w:ascii="仿宋" w:hAnsi="仿宋" w:eastAsia="仿宋"/>
          <w:b w:val="0"/>
          <w:bCs w:val="0"/>
        </w:rPr>
        <w:t>十一、</w:t>
      </w:r>
      <w:bookmarkEnd w:id="96"/>
      <w:r>
        <w:rPr>
          <w:rFonts w:hint="eastAsia" w:ascii="仿宋" w:hAnsi="仿宋" w:eastAsia="仿宋"/>
          <w:b w:val="0"/>
        </w:rPr>
        <w:t>国</w:t>
      </w:r>
      <w:r>
        <w:rPr>
          <w:rStyle w:val="29"/>
          <w:rFonts w:hint="eastAsia" w:ascii="仿宋" w:hAnsi="仿宋" w:eastAsia="仿宋"/>
          <w:b w:val="0"/>
          <w:bCs w:val="0"/>
        </w:rPr>
        <w:t>有资本经营预算财政拨款收入支出决算表</w:t>
      </w:r>
      <w:bookmarkEnd w:id="97"/>
    </w:p>
    <w:p>
      <w:pPr>
        <w:pStyle w:val="4"/>
        <w:rPr>
          <w:rFonts w:ascii="仿宋" w:hAnsi="仿宋" w:eastAsia="仿宋"/>
        </w:rPr>
      </w:pPr>
      <w:bookmarkStart w:id="98" w:name="_Toc15396630"/>
      <w:bookmarkStart w:id="99" w:name="_Toc2289"/>
      <w:r>
        <w:rPr>
          <w:rStyle w:val="29"/>
          <w:rFonts w:hint="eastAsia" w:ascii="仿宋" w:hAnsi="仿宋" w:eastAsia="仿宋"/>
          <w:b w:val="0"/>
          <w:bCs w:val="0"/>
        </w:rPr>
        <w:t>十二、</w:t>
      </w:r>
      <w:bookmarkEnd w:id="98"/>
      <w:r>
        <w:rPr>
          <w:rStyle w:val="29"/>
          <w:rFonts w:hint="eastAsia" w:ascii="仿宋" w:hAnsi="仿宋" w:eastAsia="仿宋"/>
          <w:b w:val="0"/>
          <w:bCs w:val="0"/>
        </w:rPr>
        <w:t>国有资本经营预算财政拨款支出决算表</w:t>
      </w:r>
      <w:bookmarkEnd w:id="99"/>
    </w:p>
    <w:p>
      <w:pPr>
        <w:pStyle w:val="4"/>
        <w:rPr>
          <w:rFonts w:eastAsia="仿宋"/>
        </w:rPr>
      </w:pPr>
      <w:bookmarkStart w:id="100" w:name="_Toc15396631"/>
      <w:bookmarkStart w:id="101" w:name="_Toc26200"/>
      <w:r>
        <w:rPr>
          <w:rStyle w:val="29"/>
          <w:rFonts w:hint="eastAsia" w:ascii="仿宋" w:hAnsi="仿宋" w:eastAsia="仿宋"/>
          <w:b w:val="0"/>
          <w:bCs w:val="0"/>
        </w:rPr>
        <w:t>十三、</w:t>
      </w:r>
      <w:bookmarkEnd w:id="100"/>
      <w:r>
        <w:rPr>
          <w:rStyle w:val="29"/>
          <w:rFonts w:hint="eastAsia" w:ascii="仿宋" w:hAnsi="仿宋" w:eastAsia="仿宋"/>
          <w:b w:val="0"/>
          <w:bCs w:val="0"/>
        </w:rPr>
        <w:t>财政拨款“三公”经费支出决算表</w:t>
      </w:r>
      <w:bookmarkEnd w:id="101"/>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方正小标宋简体">
    <w:altName w:val="仿宋_GB2312"/>
    <w:panose1 w:val="03000509000000000000"/>
    <w:charset w:val="86"/>
    <w:family w:val="script"/>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17</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0FD16D87"/>
    <w:multiLevelType w:val="multilevel"/>
    <w:tmpl w:val="0FD16D87"/>
    <w:lvl w:ilvl="0" w:tentative="0">
      <w:start w:val="1"/>
      <w:numFmt w:val="japaneseCounting"/>
      <w:lvlText w:val="%1、"/>
      <w:lvlJc w:val="left"/>
      <w:pPr>
        <w:ind w:left="630" w:hanging="63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6D0C"/>
    <w:rsid w:val="00142216"/>
    <w:rsid w:val="00144D6A"/>
    <w:rsid w:val="0014729F"/>
    <w:rsid w:val="00157BAB"/>
    <w:rsid w:val="001654D1"/>
    <w:rsid w:val="00174518"/>
    <w:rsid w:val="0018106D"/>
    <w:rsid w:val="001877A7"/>
    <w:rsid w:val="00191536"/>
    <w:rsid w:val="00196687"/>
    <w:rsid w:val="001C0962"/>
    <w:rsid w:val="001D7531"/>
    <w:rsid w:val="001E2FF1"/>
    <w:rsid w:val="001E737D"/>
    <w:rsid w:val="001F0592"/>
    <w:rsid w:val="001F7506"/>
    <w:rsid w:val="002006CD"/>
    <w:rsid w:val="00202B36"/>
    <w:rsid w:val="00204B7A"/>
    <w:rsid w:val="00204CDE"/>
    <w:rsid w:val="0021101A"/>
    <w:rsid w:val="00217081"/>
    <w:rsid w:val="00220536"/>
    <w:rsid w:val="00235629"/>
    <w:rsid w:val="00247B82"/>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46E63"/>
    <w:rsid w:val="0046709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5E15"/>
    <w:rsid w:val="005664BB"/>
    <w:rsid w:val="00566FFA"/>
    <w:rsid w:val="0057481D"/>
    <w:rsid w:val="0058486E"/>
    <w:rsid w:val="00585B33"/>
    <w:rsid w:val="0059014D"/>
    <w:rsid w:val="005B5C64"/>
    <w:rsid w:val="005B67C6"/>
    <w:rsid w:val="005C5337"/>
    <w:rsid w:val="005C6BD0"/>
    <w:rsid w:val="005D1C8B"/>
    <w:rsid w:val="005D468D"/>
    <w:rsid w:val="005D5CED"/>
    <w:rsid w:val="005D7D8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280B"/>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3DCE"/>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4DB6"/>
    <w:rsid w:val="009F1185"/>
    <w:rsid w:val="009F18CD"/>
    <w:rsid w:val="009F2A13"/>
    <w:rsid w:val="009F5540"/>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AF0A50"/>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2575"/>
    <w:rsid w:val="00C533CC"/>
    <w:rsid w:val="00C5751C"/>
    <w:rsid w:val="00C61BFC"/>
    <w:rsid w:val="00C62B85"/>
    <w:rsid w:val="00C65438"/>
    <w:rsid w:val="00C87FD8"/>
    <w:rsid w:val="00C91381"/>
    <w:rsid w:val="00C91CBB"/>
    <w:rsid w:val="00CB4E70"/>
    <w:rsid w:val="00CC09B6"/>
    <w:rsid w:val="00CC666F"/>
    <w:rsid w:val="00CC6BAC"/>
    <w:rsid w:val="00CD1E3F"/>
    <w:rsid w:val="00CE44F6"/>
    <w:rsid w:val="00CE49DA"/>
    <w:rsid w:val="00CE7B61"/>
    <w:rsid w:val="00D00095"/>
    <w:rsid w:val="00D114F0"/>
    <w:rsid w:val="00D20620"/>
    <w:rsid w:val="00D254F7"/>
    <w:rsid w:val="00D26091"/>
    <w:rsid w:val="00D2685C"/>
    <w:rsid w:val="00D34E7C"/>
    <w:rsid w:val="00D34F17"/>
    <w:rsid w:val="00D35489"/>
    <w:rsid w:val="00D36AFE"/>
    <w:rsid w:val="00D51276"/>
    <w:rsid w:val="00D7035F"/>
    <w:rsid w:val="00DA634F"/>
    <w:rsid w:val="00DA65AC"/>
    <w:rsid w:val="00DB1913"/>
    <w:rsid w:val="00DC410D"/>
    <w:rsid w:val="00DC4B63"/>
    <w:rsid w:val="00DC5A81"/>
    <w:rsid w:val="00DC68CA"/>
    <w:rsid w:val="00DC7CBA"/>
    <w:rsid w:val="00DD73B7"/>
    <w:rsid w:val="00DF06E2"/>
    <w:rsid w:val="00DF28BC"/>
    <w:rsid w:val="00DF34B9"/>
    <w:rsid w:val="00E01053"/>
    <w:rsid w:val="00E07ACF"/>
    <w:rsid w:val="00E22135"/>
    <w:rsid w:val="00E331A1"/>
    <w:rsid w:val="00E33202"/>
    <w:rsid w:val="00E336A9"/>
    <w:rsid w:val="00E472B1"/>
    <w:rsid w:val="00E50624"/>
    <w:rsid w:val="00E5285B"/>
    <w:rsid w:val="00E568DF"/>
    <w:rsid w:val="00E64269"/>
    <w:rsid w:val="00E82267"/>
    <w:rsid w:val="00E853CE"/>
    <w:rsid w:val="00E867B6"/>
    <w:rsid w:val="00EA010F"/>
    <w:rsid w:val="00ED1B63"/>
    <w:rsid w:val="00ED3C1F"/>
    <w:rsid w:val="00ED4085"/>
    <w:rsid w:val="00ED420E"/>
    <w:rsid w:val="00ED6FBE"/>
    <w:rsid w:val="00EE2F57"/>
    <w:rsid w:val="00EF39C0"/>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4D30BF"/>
    <w:rsid w:val="015975B8"/>
    <w:rsid w:val="02143E91"/>
    <w:rsid w:val="060A6021"/>
    <w:rsid w:val="066E0107"/>
    <w:rsid w:val="07996F6E"/>
    <w:rsid w:val="0A2032A3"/>
    <w:rsid w:val="0F98263C"/>
    <w:rsid w:val="101860EC"/>
    <w:rsid w:val="10C055FF"/>
    <w:rsid w:val="118107EC"/>
    <w:rsid w:val="13D50BC4"/>
    <w:rsid w:val="16BB723D"/>
    <w:rsid w:val="1A920590"/>
    <w:rsid w:val="1BE8440E"/>
    <w:rsid w:val="1D155CEE"/>
    <w:rsid w:val="1D3950D9"/>
    <w:rsid w:val="1D5631EB"/>
    <w:rsid w:val="1D613607"/>
    <w:rsid w:val="1FD375CE"/>
    <w:rsid w:val="1FF35744"/>
    <w:rsid w:val="202C1AD0"/>
    <w:rsid w:val="21B01A76"/>
    <w:rsid w:val="23860B96"/>
    <w:rsid w:val="240371BF"/>
    <w:rsid w:val="295633AC"/>
    <w:rsid w:val="29FD04D3"/>
    <w:rsid w:val="2BF87BD7"/>
    <w:rsid w:val="2C8A61B5"/>
    <w:rsid w:val="2DF04E50"/>
    <w:rsid w:val="2E75581D"/>
    <w:rsid w:val="2F040D46"/>
    <w:rsid w:val="312E5ADB"/>
    <w:rsid w:val="319F7F4E"/>
    <w:rsid w:val="3217059D"/>
    <w:rsid w:val="32BB6F41"/>
    <w:rsid w:val="3304709D"/>
    <w:rsid w:val="3339450C"/>
    <w:rsid w:val="36AA5135"/>
    <w:rsid w:val="376D39B2"/>
    <w:rsid w:val="37DF5096"/>
    <w:rsid w:val="37E16F03"/>
    <w:rsid w:val="38D469F0"/>
    <w:rsid w:val="3D98207C"/>
    <w:rsid w:val="3E78745D"/>
    <w:rsid w:val="3EBA0B2E"/>
    <w:rsid w:val="42851A86"/>
    <w:rsid w:val="442512A5"/>
    <w:rsid w:val="44E268DA"/>
    <w:rsid w:val="47FE2B10"/>
    <w:rsid w:val="4A627F82"/>
    <w:rsid w:val="4B0E749A"/>
    <w:rsid w:val="4B4F25DA"/>
    <w:rsid w:val="4BE068DB"/>
    <w:rsid w:val="4D577224"/>
    <w:rsid w:val="4EAB630A"/>
    <w:rsid w:val="4ECE2238"/>
    <w:rsid w:val="4F98252E"/>
    <w:rsid w:val="537E6D0A"/>
    <w:rsid w:val="55025C7A"/>
    <w:rsid w:val="553430CE"/>
    <w:rsid w:val="576F2FD4"/>
    <w:rsid w:val="5AF92295"/>
    <w:rsid w:val="5CD71FC4"/>
    <w:rsid w:val="5D98686F"/>
    <w:rsid w:val="5E1D41A6"/>
    <w:rsid w:val="64131588"/>
    <w:rsid w:val="69D543A8"/>
    <w:rsid w:val="6B8E0F58"/>
    <w:rsid w:val="6C4A05C8"/>
    <w:rsid w:val="6E7E3605"/>
    <w:rsid w:val="6FF5CC65"/>
    <w:rsid w:val="705D2FC9"/>
    <w:rsid w:val="715C0E4B"/>
    <w:rsid w:val="72734D90"/>
    <w:rsid w:val="73AD73D5"/>
    <w:rsid w:val="73B6EB34"/>
    <w:rsid w:val="744731E5"/>
    <w:rsid w:val="75E45A46"/>
    <w:rsid w:val="76B4042B"/>
    <w:rsid w:val="76E3355F"/>
    <w:rsid w:val="778769C8"/>
    <w:rsid w:val="78513B87"/>
    <w:rsid w:val="79EE5BA4"/>
    <w:rsid w:val="7A894339"/>
    <w:rsid w:val="7B964BDC"/>
    <w:rsid w:val="7DFA53A3"/>
    <w:rsid w:val="7E1105C5"/>
    <w:rsid w:val="7EEF11D3"/>
    <w:rsid w:val="7FA30C79"/>
    <w:rsid w:val="7FB7269E"/>
    <w:rsid w:val="7FC96657"/>
    <w:rsid w:val="7FCC562A"/>
    <w:rsid w:val="D8D6DB89"/>
    <w:rsid w:val="DB6F4CAB"/>
    <w:rsid w:val="DF6F978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25"/>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1"/>
    <w:semiHidden/>
    <w:unhideWhenUsed/>
    <w:qFormat/>
    <w:uiPriority w:val="99"/>
    <w:rPr>
      <w:sz w:val="18"/>
      <w:szCs w:val="18"/>
    </w:rPr>
  </w:style>
  <w:style w:type="paragraph" w:styleId="9">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qFormat/>
    <w:uiPriority w:val="99"/>
    <w:rPr>
      <w:b/>
    </w:rPr>
  </w:style>
  <w:style w:type="character" w:styleId="17">
    <w:name w:val="FollowedHyperlink"/>
    <w:basedOn w:val="15"/>
    <w:semiHidden/>
    <w:unhideWhenUsed/>
    <w:qFormat/>
    <w:uiPriority w:val="99"/>
    <w:rPr>
      <w:color w:val="954F72"/>
      <w:u w:val="single"/>
    </w:rPr>
  </w:style>
  <w:style w:type="character" w:styleId="18">
    <w:name w:val="Hyperlink"/>
    <w:basedOn w:val="15"/>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5"/>
    <w:semiHidden/>
    <w:qFormat/>
    <w:uiPriority w:val="99"/>
    <w:rPr>
      <w:rFonts w:ascii="Times New Roman" w:hAnsi="Times New Roman"/>
      <w:sz w:val="18"/>
      <w:szCs w:val="18"/>
    </w:rPr>
  </w:style>
  <w:style w:type="character" w:customStyle="1" w:styleId="21">
    <w:name w:val="页眉 字符"/>
    <w:link w:val="10"/>
    <w:semiHidden/>
    <w:qFormat/>
    <w:locked/>
    <w:uiPriority w:val="99"/>
    <w:rPr>
      <w:sz w:val="18"/>
    </w:rPr>
  </w:style>
  <w:style w:type="character" w:customStyle="1" w:styleId="22">
    <w:name w:val="Footer Char"/>
    <w:basedOn w:val="15"/>
    <w:semiHidden/>
    <w:qFormat/>
    <w:uiPriority w:val="99"/>
    <w:rPr>
      <w:rFonts w:ascii="Times New Roman" w:hAnsi="Times New Roman"/>
      <w:sz w:val="18"/>
      <w:szCs w:val="18"/>
    </w:rPr>
  </w:style>
  <w:style w:type="character" w:customStyle="1" w:styleId="23">
    <w:name w:val="页脚 字符"/>
    <w:link w:val="9"/>
    <w:qFormat/>
    <w:locked/>
    <w:uiPriority w:val="99"/>
    <w:rPr>
      <w:sz w:val="18"/>
    </w:rPr>
  </w:style>
  <w:style w:type="character" w:customStyle="1" w:styleId="24">
    <w:name w:val="Body Text Char"/>
    <w:basedOn w:val="15"/>
    <w:semiHidden/>
    <w:qFormat/>
    <w:uiPriority w:val="99"/>
    <w:rPr>
      <w:rFonts w:ascii="Times New Roman" w:hAnsi="Times New Roman"/>
      <w:szCs w:val="24"/>
    </w:rPr>
  </w:style>
  <w:style w:type="character" w:customStyle="1" w:styleId="25">
    <w:name w:val="正文文本 字符"/>
    <w:link w:val="2"/>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字符"/>
    <w:basedOn w:val="15"/>
    <w:link w:val="3"/>
    <w:qFormat/>
    <w:uiPriority w:val="9"/>
    <w:rPr>
      <w:rFonts w:ascii="Times New Roman" w:hAnsi="Times New Roman"/>
      <w:b/>
      <w:bCs/>
      <w:kern w:val="44"/>
      <w:sz w:val="44"/>
      <w:szCs w:val="44"/>
    </w:rPr>
  </w:style>
  <w:style w:type="character" w:customStyle="1" w:styleId="29">
    <w:name w:val="标题 2 字符"/>
    <w:basedOn w:val="15"/>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字符"/>
    <w:basedOn w:val="15"/>
    <w:link w:val="8"/>
    <w:semiHidden/>
    <w:qFormat/>
    <w:uiPriority w:val="99"/>
    <w:rPr>
      <w:rFonts w:ascii="Times New Roman" w:hAnsi="Times New Roman"/>
      <w:kern w:val="2"/>
      <w:sz w:val="18"/>
      <w:szCs w:val="18"/>
    </w:rPr>
  </w:style>
  <w:style w:type="character" w:customStyle="1" w:styleId="32">
    <w:name w:val="标题 3 字符"/>
    <w:basedOn w:val="15"/>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 w:type="paragraph" w:customStyle="1" w:styleId="35">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36">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7">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6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39">
    <w:name w:val="xl64"/>
    <w:basedOn w:val="1"/>
    <w:qFormat/>
    <w:uiPriority w:val="0"/>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40">
    <w:name w:val="xl6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1">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2">
    <w:name w:val="xl6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3">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微软雅黑" w:hAnsi="微软雅黑" w:eastAsia="微软雅黑" w:cs="宋体"/>
      <w:i/>
      <w:iCs/>
      <w:color w:val="000000"/>
      <w:kern w:val="0"/>
      <w:sz w:val="16"/>
      <w:szCs w:val="16"/>
    </w:rPr>
  </w:style>
  <w:style w:type="paragraph" w:customStyle="1" w:styleId="44">
    <w:name w:val="xl6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5">
    <w:name w:val="xl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30"/>
      <w:szCs w:val="30"/>
    </w:rPr>
  </w:style>
  <w:style w:type="paragraph" w:customStyle="1" w:styleId="46">
    <w:name w:val="xl7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47">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color w:val="000000"/>
      <w:kern w:val="0"/>
      <w:sz w:val="18"/>
      <w:szCs w:val="18"/>
    </w:rPr>
  </w:style>
  <w:style w:type="paragraph" w:customStyle="1" w:styleId="48">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i/>
      <w:iCs/>
      <w:color w:val="000000"/>
      <w:kern w:val="0"/>
      <w:sz w:val="18"/>
      <w:szCs w:val="18"/>
    </w:rPr>
  </w:style>
  <w:style w:type="paragraph" w:customStyle="1" w:styleId="49">
    <w:name w:val="xl7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paragraph" w:customStyle="1" w:styleId="50">
    <w:name w:val="WPSOffice手动目录 1"/>
    <w:qFormat/>
    <w:uiPriority w:val="0"/>
    <w:pPr>
      <w:ind w:leftChars="0"/>
    </w:pPr>
    <w:rPr>
      <w:rFonts w:ascii="Calibri" w:hAnsi="Calibri" w:eastAsia="宋体" w:cs="Times New Roman"/>
      <w:sz w:val="20"/>
      <w:szCs w:val="20"/>
    </w:rPr>
  </w:style>
  <w:style w:type="paragraph" w:customStyle="1" w:styleId="51">
    <w:name w:val="WPSOffice手动目录 2"/>
    <w:qFormat/>
    <w:uiPriority w:val="0"/>
    <w:pPr>
      <w:ind w:leftChars="20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7.bin"/><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B089E2-D438-45B4-B1D5-CABA8630F864}">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22</Pages>
  <Words>1232</Words>
  <Characters>7025</Characters>
  <Lines>58</Lines>
  <Paragraphs>16</Paragraphs>
  <TotalTime>54</TotalTime>
  <ScaleCrop>false</ScaleCrop>
  <LinksUpToDate>false</LinksUpToDate>
  <CharactersWithSpaces>8241</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2020-08-05T01:49:00Z</dcterms:created>
  <dc:creator>曹颖</dc:creator>
  <cp:lastModifiedBy>Administrator</cp:lastModifiedBy>
  <cp:lastPrinted>2023-07-31T02:35:00Z</cp:lastPrinted>
  <dcterms:modified xsi:type="dcterms:W3CDTF">2023-09-13T07:58:54Z</dcterms:modified>
  <dc:title>四川省***</dc:title>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