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_GBK"/>
          <w:sz w:val="44"/>
          <w:szCs w:val="44"/>
        </w:rPr>
      </w:pPr>
      <w:bookmarkStart w:id="0" w:name="_Toc15377193"/>
      <w:bookmarkStart w:id="1" w:name="_Toc15396475"/>
      <w:bookmarkStart w:id="2" w:name="_Toc15377425"/>
      <w:bookmarkStart w:id="3" w:name="_Toc15396597"/>
      <w:bookmarkStart w:id="4" w:name="_Toc15378441"/>
      <w:bookmarkStart w:id="5" w:name="_Toc15306267"/>
    </w:p>
    <w:p>
      <w:pPr>
        <w:jc w:val="center"/>
        <w:rPr>
          <w:rFonts w:eastAsia="方正小标宋_GBK"/>
          <w:sz w:val="44"/>
          <w:szCs w:val="44"/>
        </w:rPr>
      </w:pPr>
    </w:p>
    <w:p>
      <w:pPr>
        <w:jc w:val="center"/>
        <w:rPr>
          <w:rFonts w:ascii="方正小标宋_GBK" w:hAnsi="方正小标宋_GBK" w:eastAsia="方正小标宋_GBK" w:cs="方正小标宋_GBK"/>
          <w:sz w:val="72"/>
          <w:szCs w:val="72"/>
        </w:rPr>
      </w:pPr>
      <w:bookmarkStart w:id="6" w:name="_Toc14376"/>
      <w:bookmarkStart w:id="7" w:name="_Toc287344460"/>
    </w:p>
    <w:p>
      <w:pPr>
        <w:jc w:val="center"/>
        <w:rPr>
          <w:rFonts w:ascii="方正小标宋_GBK" w:hAnsi="方正小标宋_GBK" w:eastAsia="方正小标宋_GBK" w:cs="方正小标宋_GBK"/>
          <w:sz w:val="72"/>
          <w:szCs w:val="72"/>
        </w:rPr>
      </w:pPr>
    </w:p>
    <w:p>
      <w:pPr>
        <w:jc w:val="center"/>
        <w:rPr>
          <w:rFonts w:ascii="方正小标宋_GBK" w:hAnsi="方正小标宋_GBK" w:eastAsia="方正小标宋_GBK" w:cs="方正小标宋_GBK"/>
          <w:sz w:val="72"/>
          <w:szCs w:val="72"/>
        </w:rPr>
      </w:pPr>
    </w:p>
    <w:p>
      <w:pPr>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2022年度</w:t>
      </w:r>
      <w:bookmarkEnd w:id="0"/>
      <w:bookmarkEnd w:id="1"/>
      <w:bookmarkEnd w:id="2"/>
      <w:bookmarkEnd w:id="3"/>
      <w:bookmarkEnd w:id="4"/>
      <w:bookmarkEnd w:id="6"/>
      <w:bookmarkEnd w:id="7"/>
    </w:p>
    <w:bookmarkEnd w:id="5"/>
    <w:p>
      <w:pPr>
        <w:jc w:val="center"/>
        <w:rPr>
          <w:rFonts w:ascii="方正小标宋_GBK" w:hAnsi="方正小标宋_GBK" w:eastAsia="方正小标宋_GBK" w:cs="方正小标宋_GBK"/>
          <w:sz w:val="52"/>
          <w:szCs w:val="52"/>
        </w:rPr>
      </w:pPr>
      <w:bookmarkStart w:id="8" w:name="_Toc15396598"/>
      <w:bookmarkStart w:id="9" w:name="_Toc1172565117"/>
      <w:bookmarkStart w:id="10" w:name="_Toc15377426"/>
      <w:bookmarkStart w:id="11" w:name="_Toc4125"/>
      <w:bookmarkStart w:id="12" w:name="_Toc15396476"/>
      <w:bookmarkStart w:id="13" w:name="_Toc15377194"/>
      <w:bookmarkStart w:id="14" w:name="_Toc15306268"/>
      <w:bookmarkStart w:id="15" w:name="_Toc15378442"/>
      <w:r>
        <w:rPr>
          <w:rFonts w:hint="eastAsia" w:ascii="方正小标宋_GBK" w:hAnsi="方正小标宋_GBK" w:eastAsia="方正小标宋_GBK" w:cs="方正小标宋_GBK"/>
          <w:sz w:val="72"/>
          <w:szCs w:val="72"/>
        </w:rPr>
        <w:t>攀枝花市人民政府办公室部门决算</w:t>
      </w:r>
      <w:bookmarkEnd w:id="8"/>
      <w:bookmarkEnd w:id="9"/>
      <w:bookmarkEnd w:id="10"/>
      <w:bookmarkEnd w:id="11"/>
      <w:bookmarkEnd w:id="12"/>
      <w:bookmarkEnd w:id="13"/>
      <w:bookmarkEnd w:id="14"/>
      <w:bookmarkEnd w:id="15"/>
    </w:p>
    <w:p>
      <w:pPr>
        <w:jc w:val="center"/>
        <w:rPr>
          <w:rFonts w:ascii="黑体" w:hAnsi="黑体" w:eastAsia="黑体" w:cs="黑体"/>
          <w:sz w:val="36"/>
          <w:szCs w:val="36"/>
        </w:rPr>
        <w:sectPr>
          <w:footerReference r:id="rId5" w:type="first"/>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pPr>
        <w:adjustRightInd w:val="0"/>
        <w:snapToGrid w:val="0"/>
        <w:spacing w:line="300" w:lineRule="auto"/>
        <w:jc w:val="center"/>
        <w:rPr>
          <w:rFonts w:ascii="黑体" w:hAnsi="黑体" w:eastAsia="黑体" w:cs="黑体"/>
          <w:sz w:val="32"/>
          <w:szCs w:val="32"/>
        </w:rPr>
      </w:pPr>
      <w:r>
        <w:rPr>
          <w:rFonts w:hint="eastAsia" w:ascii="黑体" w:hAnsi="黑体" w:eastAsia="黑体" w:cs="黑体"/>
          <w:sz w:val="36"/>
          <w:szCs w:val="36"/>
        </w:rPr>
        <w:t>目　　录</w:t>
      </w:r>
    </w:p>
    <w:p>
      <w:pPr>
        <w:pStyle w:val="12"/>
        <w:adjustRightInd w:val="0"/>
        <w:snapToGrid w:val="0"/>
        <w:spacing w:before="0" w:line="300" w:lineRule="auto"/>
        <w:rPr>
          <w:rFonts w:ascii="Times New Roman" w:hAnsi="Times New Roman"/>
          <w:snapToGrid w:val="0"/>
          <w:kern w:val="0"/>
        </w:rPr>
      </w:pPr>
    </w:p>
    <w:p>
      <w:pPr>
        <w:pStyle w:val="12"/>
        <w:adjustRightInd w:val="0"/>
        <w:snapToGrid w:val="0"/>
        <w:spacing w:before="0" w:line="300" w:lineRule="auto"/>
        <w:rPr>
          <w:rFonts w:ascii="Times New Roman" w:hAnsi="Times New Roman"/>
          <w:snapToGrid w:val="0"/>
          <w:kern w:val="0"/>
        </w:rPr>
      </w:pPr>
      <w:r>
        <w:rPr>
          <w:rFonts w:ascii="Times New Roman" w:hAnsi="Times New Roman"/>
          <w:snapToGrid w:val="0"/>
          <w:kern w:val="0"/>
        </w:rPr>
        <w:t>公开时间：2023年9月</w:t>
      </w:r>
      <w:r>
        <w:rPr>
          <w:rFonts w:hint="eastAsia" w:ascii="Times New Roman" w:hAnsi="Times New Roman"/>
          <w:snapToGrid w:val="0"/>
          <w:kern w:val="0"/>
          <w:lang w:val="en-US" w:eastAsia="zh-CN"/>
        </w:rPr>
        <w:t>14</w:t>
      </w:r>
      <w:bookmarkStart w:id="160" w:name="_GoBack"/>
      <w:bookmarkEnd w:id="160"/>
      <w:r>
        <w:rPr>
          <w:rFonts w:ascii="Times New Roman" w:hAnsi="Times New Roman"/>
          <w:snapToGrid w:val="0"/>
          <w:kern w:val="0"/>
        </w:rPr>
        <w:t>日</w:t>
      </w:r>
    </w:p>
    <w:sdt>
      <w:sdtPr>
        <w:rPr>
          <w:rFonts w:ascii="宋体" w:hAnsi="宋体"/>
        </w:rPr>
        <w:id w:val="542261617"/>
        <w:docPartObj>
          <w:docPartGallery w:val="Table of Contents"/>
          <w:docPartUnique/>
        </w:docPartObj>
      </w:sdtPr>
      <w:sdtEndPr>
        <w:rPr>
          <w:rFonts w:ascii="Times New Roman" w:hAnsi="Times New Roman"/>
        </w:rPr>
      </w:sdtEndPr>
      <w:sdtContent>
        <w:p>
          <w:pPr>
            <w:jc w:val="center"/>
          </w:pPr>
          <w:r>
            <w:fldChar w:fldCharType="begin"/>
          </w:r>
          <w:r>
            <w:instrText xml:space="preserve">TOC \o "1-3" \h \u </w:instrText>
          </w:r>
          <w:r>
            <w:fldChar w:fldCharType="separate"/>
          </w:r>
        </w:p>
        <w:p>
          <w:pPr>
            <w:pStyle w:val="12"/>
            <w:tabs>
              <w:tab w:val="right" w:leader="dot" w:pos="8306"/>
              <w:tab w:val="clear" w:pos="8296"/>
            </w:tabs>
            <w:adjustRightInd w:val="0"/>
            <w:snapToGrid w:val="0"/>
            <w:spacing w:before="0" w:line="300" w:lineRule="auto"/>
            <w:jc w:val="both"/>
            <w:rPr>
              <w:rFonts w:ascii="Times New Roman" w:hAnsi="Times New Roman"/>
              <w:snapToGrid w:val="0"/>
              <w:kern w:val="0"/>
              <w:sz w:val="32"/>
              <w:szCs w:val="32"/>
            </w:rPr>
          </w:pPr>
          <w:r>
            <w:fldChar w:fldCharType="begin"/>
          </w:r>
          <w:r>
            <w:instrText xml:space="preserve"> HYPERLINK \l "_Toc1271168136" </w:instrText>
          </w:r>
          <w:r>
            <w:fldChar w:fldCharType="separate"/>
          </w:r>
          <w:r>
            <w:rPr>
              <w:rFonts w:ascii="Times New Roman" w:hAnsi="Times New Roman"/>
              <w:snapToGrid w:val="0"/>
              <w:kern w:val="0"/>
              <w:sz w:val="32"/>
              <w:szCs w:val="32"/>
            </w:rPr>
            <w:t>第一部分</w:t>
          </w:r>
          <w:r>
            <w:rPr>
              <w:rFonts w:hint="eastAsia" w:ascii="Times New Roman" w:hAnsi="Times New Roman"/>
              <w:snapToGrid w:val="0"/>
              <w:kern w:val="0"/>
              <w:sz w:val="32"/>
              <w:szCs w:val="32"/>
            </w:rPr>
            <w:t>　</w:t>
          </w:r>
          <w:r>
            <w:rPr>
              <w:rFonts w:ascii="Times New Roman" w:hAnsi="Times New Roman"/>
              <w:snapToGrid w:val="0"/>
              <w:kern w:val="0"/>
              <w:sz w:val="32"/>
              <w:szCs w:val="32"/>
            </w:rPr>
            <w:t>部门概况</w:t>
          </w:r>
          <w:r>
            <w:rPr>
              <w:rFonts w:ascii="Times New Roman" w:hAnsi="Times New Roman"/>
              <w:snapToGrid w:val="0"/>
              <w:kern w:val="0"/>
              <w:sz w:val="32"/>
              <w:szCs w:val="32"/>
            </w:rPr>
            <w:tab/>
          </w:r>
          <w:r>
            <w:rPr>
              <w:rFonts w:ascii="Times New Roman" w:hAnsi="Times New Roman"/>
              <w:snapToGrid w:val="0"/>
              <w:kern w:val="0"/>
              <w:sz w:val="32"/>
              <w:szCs w:val="32"/>
            </w:rPr>
            <w:fldChar w:fldCharType="begin"/>
          </w:r>
          <w:r>
            <w:rPr>
              <w:rFonts w:ascii="Times New Roman" w:hAnsi="Times New Roman"/>
              <w:snapToGrid w:val="0"/>
              <w:kern w:val="0"/>
              <w:sz w:val="32"/>
              <w:szCs w:val="32"/>
            </w:rPr>
            <w:instrText xml:space="preserve"> PAGEREF _Toc1271168136 </w:instrText>
          </w:r>
          <w:r>
            <w:rPr>
              <w:rFonts w:ascii="Times New Roman" w:hAnsi="Times New Roman"/>
              <w:snapToGrid w:val="0"/>
              <w:kern w:val="0"/>
              <w:sz w:val="32"/>
              <w:szCs w:val="32"/>
            </w:rPr>
            <w:fldChar w:fldCharType="separate"/>
          </w:r>
          <w:r>
            <w:rPr>
              <w:rFonts w:ascii="Times New Roman" w:hAnsi="Times New Roman"/>
              <w:snapToGrid w:val="0"/>
              <w:kern w:val="0"/>
              <w:sz w:val="32"/>
              <w:szCs w:val="32"/>
            </w:rPr>
            <w:t>4</w:t>
          </w:r>
          <w:r>
            <w:rPr>
              <w:rFonts w:ascii="Times New Roman" w:hAnsi="Times New Roman"/>
              <w:snapToGrid w:val="0"/>
              <w:kern w:val="0"/>
              <w:sz w:val="32"/>
              <w:szCs w:val="32"/>
            </w:rPr>
            <w:fldChar w:fldCharType="end"/>
          </w:r>
          <w:r>
            <w:rPr>
              <w:rFonts w:ascii="Times New Roman" w:hAnsi="Times New Roman"/>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"_Toc1981205479" </w:instrText>
          </w:r>
          <w:r>
            <w:fldChar w:fldCharType="separate"/>
          </w:r>
          <w:r>
            <w:rPr>
              <w:rFonts w:eastAsia="仿宋"/>
              <w:snapToGrid w:val="0"/>
              <w:kern w:val="0"/>
              <w:sz w:val="32"/>
              <w:szCs w:val="32"/>
            </w:rPr>
            <w:t>一、部门职责</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_Toc1981205479 </w:instrText>
          </w:r>
          <w:r>
            <w:rPr>
              <w:rFonts w:eastAsia="仿宋"/>
              <w:snapToGrid w:val="0"/>
              <w:kern w:val="0"/>
              <w:sz w:val="32"/>
              <w:szCs w:val="32"/>
            </w:rPr>
            <w:fldChar w:fldCharType="separate"/>
          </w:r>
          <w:r>
            <w:rPr>
              <w:rFonts w:eastAsia="仿宋"/>
              <w:snapToGrid w:val="0"/>
              <w:kern w:val="0"/>
              <w:sz w:val="32"/>
              <w:szCs w:val="32"/>
            </w:rPr>
            <w:t>4</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53" w:lineRule="auto"/>
            <w:ind w:left="0" w:leftChars="0"/>
            <w:rPr>
              <w:rFonts w:eastAsia="仿宋"/>
              <w:snapToGrid w:val="0"/>
              <w:kern w:val="0"/>
              <w:sz w:val="32"/>
              <w:szCs w:val="32"/>
            </w:rPr>
          </w:pPr>
          <w:r>
            <w:fldChar w:fldCharType="begin"/>
          </w:r>
          <w:r>
            <w:instrText xml:space="preserve"> HYPERLINK \l "_Toc137141008" </w:instrText>
          </w:r>
          <w:r>
            <w:fldChar w:fldCharType="separate"/>
          </w:r>
          <w:r>
            <w:rPr>
              <w:rFonts w:eastAsia="仿宋"/>
              <w:snapToGrid w:val="0"/>
              <w:kern w:val="0"/>
              <w:sz w:val="32"/>
              <w:szCs w:val="32"/>
            </w:rPr>
            <w:t>二、机构设置</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_Toc137141008 </w:instrText>
          </w:r>
          <w:r>
            <w:rPr>
              <w:rFonts w:eastAsia="仿宋"/>
              <w:snapToGrid w:val="0"/>
              <w:kern w:val="0"/>
              <w:sz w:val="32"/>
              <w:szCs w:val="32"/>
            </w:rPr>
            <w:fldChar w:fldCharType="separate"/>
          </w:r>
          <w:r>
            <w:rPr>
              <w:rFonts w:eastAsia="仿宋"/>
              <w:snapToGrid w:val="0"/>
              <w:kern w:val="0"/>
              <w:sz w:val="32"/>
              <w:szCs w:val="32"/>
            </w:rPr>
            <w:t>7</w:t>
          </w:r>
          <w:r>
            <w:rPr>
              <w:rFonts w:eastAsia="仿宋"/>
              <w:snapToGrid w:val="0"/>
              <w:kern w:val="0"/>
              <w:sz w:val="32"/>
              <w:szCs w:val="32"/>
            </w:rPr>
            <w:fldChar w:fldCharType="end"/>
          </w:r>
          <w:r>
            <w:rPr>
              <w:rFonts w:eastAsia="仿宋"/>
              <w:snapToGrid w:val="0"/>
              <w:kern w:val="0"/>
              <w:sz w:val="32"/>
              <w:szCs w:val="32"/>
            </w:rPr>
            <w:fldChar w:fldCharType="end"/>
          </w:r>
        </w:p>
        <w:p>
          <w:pPr>
            <w:pStyle w:val="12"/>
            <w:tabs>
              <w:tab w:val="right" w:leader="dot" w:pos="8306"/>
              <w:tab w:val="clear" w:pos="8296"/>
            </w:tabs>
            <w:adjustRightInd w:val="0"/>
            <w:snapToGrid w:val="0"/>
            <w:spacing w:before="0" w:line="300" w:lineRule="auto"/>
            <w:jc w:val="both"/>
            <w:rPr>
              <w:rFonts w:ascii="Times New Roman" w:hAnsi="Times New Roman"/>
              <w:snapToGrid w:val="0"/>
              <w:kern w:val="0"/>
              <w:sz w:val="32"/>
              <w:szCs w:val="32"/>
            </w:rPr>
          </w:pPr>
          <w:r>
            <w:fldChar w:fldCharType="begin"/>
          </w:r>
          <w:r>
            <w:instrText xml:space="preserve"> HYPERLINK \l "_Toc626473919" </w:instrText>
          </w:r>
          <w:r>
            <w:fldChar w:fldCharType="separate"/>
          </w:r>
          <w:r>
            <w:rPr>
              <w:rFonts w:ascii="Times New Roman" w:hAnsi="Times New Roman"/>
              <w:snapToGrid w:val="0"/>
              <w:kern w:val="0"/>
              <w:sz w:val="32"/>
              <w:szCs w:val="32"/>
            </w:rPr>
            <w:t>第二部分</w:t>
          </w:r>
          <w:r>
            <w:rPr>
              <w:rFonts w:hint="eastAsia" w:ascii="Times New Roman" w:hAnsi="Times New Roman"/>
              <w:snapToGrid w:val="0"/>
              <w:kern w:val="0"/>
              <w:sz w:val="32"/>
              <w:szCs w:val="32"/>
            </w:rPr>
            <w:t>　</w:t>
          </w:r>
          <w:r>
            <w:rPr>
              <w:rFonts w:ascii="Times New Roman" w:hAnsi="Times New Roman"/>
              <w:snapToGrid w:val="0"/>
              <w:kern w:val="0"/>
              <w:sz w:val="32"/>
              <w:szCs w:val="32"/>
            </w:rPr>
            <w:t>2022年度部门决算情况说明</w:t>
          </w:r>
          <w:r>
            <w:rPr>
              <w:rFonts w:ascii="Times New Roman" w:hAnsi="Times New Roman"/>
              <w:snapToGrid w:val="0"/>
              <w:kern w:val="0"/>
              <w:sz w:val="32"/>
              <w:szCs w:val="32"/>
            </w:rPr>
            <w:tab/>
          </w:r>
          <w:r>
            <w:rPr>
              <w:rFonts w:ascii="Times New Roman" w:hAnsi="Times New Roman"/>
              <w:snapToGrid w:val="0"/>
              <w:kern w:val="0"/>
              <w:sz w:val="32"/>
              <w:szCs w:val="32"/>
            </w:rPr>
            <w:fldChar w:fldCharType="begin"/>
          </w:r>
          <w:r>
            <w:rPr>
              <w:rFonts w:ascii="Times New Roman" w:hAnsi="Times New Roman"/>
              <w:snapToGrid w:val="0"/>
              <w:kern w:val="0"/>
              <w:sz w:val="32"/>
              <w:szCs w:val="32"/>
            </w:rPr>
            <w:instrText xml:space="preserve"> PAGEREF _Toc626473919 </w:instrText>
          </w:r>
          <w:r>
            <w:rPr>
              <w:rFonts w:ascii="Times New Roman" w:hAnsi="Times New Roman"/>
              <w:snapToGrid w:val="0"/>
              <w:kern w:val="0"/>
              <w:sz w:val="32"/>
              <w:szCs w:val="32"/>
            </w:rPr>
            <w:fldChar w:fldCharType="separate"/>
          </w:r>
          <w:r>
            <w:rPr>
              <w:rFonts w:ascii="Times New Roman" w:hAnsi="Times New Roman"/>
              <w:snapToGrid w:val="0"/>
              <w:kern w:val="0"/>
              <w:sz w:val="32"/>
              <w:szCs w:val="32"/>
            </w:rPr>
            <w:t>8</w:t>
          </w:r>
          <w:r>
            <w:rPr>
              <w:rFonts w:ascii="Times New Roman" w:hAnsi="Times New Roman"/>
              <w:snapToGrid w:val="0"/>
              <w:kern w:val="0"/>
              <w:sz w:val="32"/>
              <w:szCs w:val="32"/>
            </w:rPr>
            <w:fldChar w:fldCharType="end"/>
          </w:r>
          <w:r>
            <w:rPr>
              <w:rFonts w:ascii="Times New Roman" w:hAnsi="Times New Roman"/>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"_Toc1408057752" </w:instrText>
          </w:r>
          <w:r>
            <w:fldChar w:fldCharType="separate"/>
          </w:r>
          <w:r>
            <w:rPr>
              <w:rFonts w:eastAsia="仿宋"/>
              <w:snapToGrid w:val="0"/>
              <w:kern w:val="0"/>
              <w:sz w:val="32"/>
              <w:szCs w:val="32"/>
            </w:rPr>
            <w:t>一、收入支出决算总体情况说明</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_Toc1408057752 </w:instrText>
          </w:r>
          <w:r>
            <w:rPr>
              <w:rFonts w:eastAsia="仿宋"/>
              <w:snapToGrid w:val="0"/>
              <w:kern w:val="0"/>
              <w:sz w:val="32"/>
              <w:szCs w:val="32"/>
            </w:rPr>
            <w:fldChar w:fldCharType="separate"/>
          </w:r>
          <w:r>
            <w:rPr>
              <w:rFonts w:eastAsia="仿宋"/>
              <w:snapToGrid w:val="0"/>
              <w:kern w:val="0"/>
              <w:sz w:val="32"/>
              <w:szCs w:val="32"/>
            </w:rPr>
            <w:t>8</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"_Toc890603444" </w:instrText>
          </w:r>
          <w:r>
            <w:fldChar w:fldCharType="separate"/>
          </w:r>
          <w:r>
            <w:rPr>
              <w:rFonts w:eastAsia="仿宋"/>
              <w:snapToGrid w:val="0"/>
              <w:kern w:val="0"/>
              <w:sz w:val="32"/>
              <w:szCs w:val="32"/>
            </w:rPr>
            <w:t>二、收入决算情况说明</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_Toc890603444 </w:instrText>
          </w:r>
          <w:r>
            <w:rPr>
              <w:rFonts w:eastAsia="仿宋"/>
              <w:snapToGrid w:val="0"/>
              <w:kern w:val="0"/>
              <w:sz w:val="32"/>
              <w:szCs w:val="32"/>
            </w:rPr>
            <w:fldChar w:fldCharType="separate"/>
          </w:r>
          <w:r>
            <w:rPr>
              <w:rFonts w:eastAsia="仿宋"/>
              <w:snapToGrid w:val="0"/>
              <w:kern w:val="0"/>
              <w:sz w:val="32"/>
              <w:szCs w:val="32"/>
            </w:rPr>
            <w:t>8</w:t>
          </w:r>
          <w:r>
            <w:rPr>
              <w:rFonts w:eastAsia="仿宋"/>
              <w:snapToGrid w:val="0"/>
              <w:kern w:val="0"/>
              <w:sz w:val="32"/>
              <w:szCs w:val="32"/>
            </w:rPr>
            <w:fldChar w:fldCharType="end"/>
          </w:r>
          <w:r>
            <w:rPr>
              <w:rFonts w:eastAsia="仿宋"/>
              <w:snapToGrid w:val="0"/>
              <w:kern w:val="0"/>
              <w:sz w:val="32"/>
              <w:szCs w:val="32"/>
            </w:rPr>
            <w:fldChar w:fldCharType="end"/>
          </w:r>
          <w:r>
            <w:fldChar w:fldCharType="begin"/>
          </w:r>
          <w:r>
            <w:instrText xml:space="preserve"> HYPERLINK \l "_Toc400264135" </w:instrText>
          </w:r>
          <w:r>
            <w:fldChar w:fldCharType="separate"/>
          </w:r>
          <w: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"_Toc477135223" </w:instrText>
          </w:r>
          <w:r>
            <w:fldChar w:fldCharType="separate"/>
          </w:r>
          <w:r>
            <w:rPr>
              <w:rFonts w:eastAsia="仿宋"/>
              <w:snapToGrid w:val="0"/>
              <w:kern w:val="0"/>
              <w:sz w:val="32"/>
              <w:szCs w:val="32"/>
            </w:rPr>
            <w:t>三、</w:t>
          </w:r>
          <w:r>
            <w:rPr>
              <w:rFonts w:hint="eastAsia" w:eastAsia="仿宋"/>
              <w:snapToGrid w:val="0"/>
              <w:kern w:val="0"/>
              <w:sz w:val="32"/>
              <w:szCs w:val="32"/>
            </w:rPr>
            <w:t>支</w:t>
          </w:r>
          <w:r>
            <w:rPr>
              <w:rFonts w:eastAsia="仿宋"/>
              <w:snapToGrid w:val="0"/>
              <w:kern w:val="0"/>
              <w:sz w:val="32"/>
              <w:szCs w:val="32"/>
            </w:rPr>
            <w:t>出决算情况说明</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_Toc477135223 </w:instrText>
          </w:r>
          <w:r>
            <w:rPr>
              <w:rFonts w:eastAsia="仿宋"/>
              <w:snapToGrid w:val="0"/>
              <w:kern w:val="0"/>
              <w:sz w:val="32"/>
              <w:szCs w:val="32"/>
            </w:rPr>
            <w:fldChar w:fldCharType="separate"/>
          </w:r>
          <w:r>
            <w:rPr>
              <w:rFonts w:eastAsia="仿宋"/>
              <w:snapToGrid w:val="0"/>
              <w:kern w:val="0"/>
              <w:sz w:val="32"/>
              <w:szCs w:val="32"/>
            </w:rPr>
            <w:t>9</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"_Toc1859028059" </w:instrText>
          </w:r>
          <w:r>
            <w:fldChar w:fldCharType="separate"/>
          </w:r>
          <w:r>
            <w:rPr>
              <w:rFonts w:eastAsia="仿宋"/>
              <w:snapToGrid w:val="0"/>
              <w:kern w:val="0"/>
              <w:sz w:val="32"/>
              <w:szCs w:val="32"/>
            </w:rPr>
            <w:t>四、财政拨款收入支出决算总体情况说明</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_Toc1859028059 </w:instrText>
          </w:r>
          <w:r>
            <w:rPr>
              <w:rFonts w:eastAsia="仿宋"/>
              <w:snapToGrid w:val="0"/>
              <w:kern w:val="0"/>
              <w:sz w:val="32"/>
              <w:szCs w:val="32"/>
            </w:rPr>
            <w:fldChar w:fldCharType="separate"/>
          </w:r>
          <w:r>
            <w:rPr>
              <w:rFonts w:eastAsia="仿宋"/>
              <w:snapToGrid w:val="0"/>
              <w:kern w:val="0"/>
              <w:sz w:val="32"/>
              <w:szCs w:val="32"/>
            </w:rPr>
            <w:t>10</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"_Toc1012199546" </w:instrText>
          </w:r>
          <w:r>
            <w:fldChar w:fldCharType="separate"/>
          </w:r>
          <w:r>
            <w:rPr>
              <w:rFonts w:eastAsia="仿宋"/>
              <w:snapToGrid w:val="0"/>
              <w:kern w:val="0"/>
              <w:sz w:val="32"/>
              <w:szCs w:val="32"/>
            </w:rPr>
            <w:t>五、一般公共预算财政拨款支出决算情况说明</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_Toc1012199546 </w:instrText>
          </w:r>
          <w:r>
            <w:rPr>
              <w:rFonts w:eastAsia="仿宋"/>
              <w:snapToGrid w:val="0"/>
              <w:kern w:val="0"/>
              <w:sz w:val="32"/>
              <w:szCs w:val="32"/>
            </w:rPr>
            <w:fldChar w:fldCharType="separate"/>
          </w:r>
          <w:r>
            <w:rPr>
              <w:rFonts w:eastAsia="仿宋"/>
              <w:snapToGrid w:val="0"/>
              <w:kern w:val="0"/>
              <w:sz w:val="32"/>
              <w:szCs w:val="32"/>
            </w:rPr>
            <w:t>10</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"_Toc1964366531" </w:instrText>
          </w:r>
          <w:r>
            <w:fldChar w:fldCharType="separate"/>
          </w:r>
          <w:r>
            <w:rPr>
              <w:rFonts w:eastAsia="仿宋"/>
              <w:snapToGrid w:val="0"/>
              <w:kern w:val="0"/>
              <w:sz w:val="32"/>
              <w:szCs w:val="32"/>
            </w:rPr>
            <w:t>六、一般公共预算财政拨款基本支出决算情况说明</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_Toc1964366531 </w:instrText>
          </w:r>
          <w:r>
            <w:rPr>
              <w:rFonts w:eastAsia="仿宋"/>
              <w:snapToGrid w:val="0"/>
              <w:kern w:val="0"/>
              <w:sz w:val="32"/>
              <w:szCs w:val="32"/>
            </w:rPr>
            <w:fldChar w:fldCharType="separate"/>
          </w:r>
          <w:r>
            <w:rPr>
              <w:rFonts w:eastAsia="仿宋"/>
              <w:snapToGrid w:val="0"/>
              <w:kern w:val="0"/>
              <w:sz w:val="32"/>
              <w:szCs w:val="32"/>
            </w:rPr>
            <w:t>13</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"_Toc1568177718" </w:instrText>
          </w:r>
          <w:r>
            <w:fldChar w:fldCharType="separate"/>
          </w:r>
          <w:r>
            <w:rPr>
              <w:rFonts w:eastAsia="仿宋"/>
              <w:snapToGrid w:val="0"/>
              <w:kern w:val="0"/>
              <w:sz w:val="32"/>
              <w:szCs w:val="32"/>
            </w:rPr>
            <w:t>七、财政拨款“三公”经费支出决算情况说明</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_Toc1568177718 </w:instrText>
          </w:r>
          <w:r>
            <w:rPr>
              <w:rFonts w:eastAsia="仿宋"/>
              <w:snapToGrid w:val="0"/>
              <w:kern w:val="0"/>
              <w:sz w:val="32"/>
              <w:szCs w:val="32"/>
            </w:rPr>
            <w:fldChar w:fldCharType="separate"/>
          </w:r>
          <w:r>
            <w:rPr>
              <w:rFonts w:eastAsia="仿宋"/>
              <w:snapToGrid w:val="0"/>
              <w:kern w:val="0"/>
              <w:sz w:val="32"/>
              <w:szCs w:val="32"/>
            </w:rPr>
            <w:t>14</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"_Toc1995833615" </w:instrText>
          </w:r>
          <w:r>
            <w:fldChar w:fldCharType="separate"/>
          </w:r>
          <w:r>
            <w:rPr>
              <w:rFonts w:eastAsia="仿宋"/>
              <w:snapToGrid w:val="0"/>
              <w:kern w:val="0"/>
              <w:sz w:val="32"/>
              <w:szCs w:val="32"/>
            </w:rPr>
            <w:t>八、政府性基金预算支出决算情况说明</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_Toc1995833615 </w:instrText>
          </w:r>
          <w:r>
            <w:rPr>
              <w:rFonts w:eastAsia="仿宋"/>
              <w:snapToGrid w:val="0"/>
              <w:kern w:val="0"/>
              <w:sz w:val="32"/>
              <w:szCs w:val="32"/>
            </w:rPr>
            <w:fldChar w:fldCharType="separate"/>
          </w:r>
          <w:r>
            <w:rPr>
              <w:rFonts w:eastAsia="仿宋"/>
              <w:snapToGrid w:val="0"/>
              <w:kern w:val="0"/>
              <w:sz w:val="32"/>
              <w:szCs w:val="32"/>
            </w:rPr>
            <w:t>16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"_Toc900462277" </w:instrText>
          </w:r>
          <w:r>
            <w:fldChar w:fldCharType="separate"/>
          </w:r>
          <w:r>
            <w:rPr>
              <w:rFonts w:eastAsia="仿宋"/>
              <w:snapToGrid w:val="0"/>
              <w:kern w:val="0"/>
              <w:sz w:val="32"/>
              <w:szCs w:val="32"/>
            </w:rPr>
            <w:t>九、国有资本经营预算支出决算情况说明</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_Toc900462277 </w:instrText>
          </w:r>
          <w:r>
            <w:rPr>
              <w:rFonts w:eastAsia="仿宋"/>
              <w:snapToGrid w:val="0"/>
              <w:kern w:val="0"/>
              <w:sz w:val="32"/>
              <w:szCs w:val="32"/>
            </w:rPr>
            <w:fldChar w:fldCharType="separate"/>
          </w:r>
          <w:r>
            <w:rPr>
              <w:rFonts w:eastAsia="仿宋"/>
              <w:snapToGrid w:val="0"/>
              <w:kern w:val="0"/>
              <w:sz w:val="32"/>
              <w:szCs w:val="32"/>
            </w:rPr>
            <w:t>16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"_Toc1020080105" </w:instrText>
          </w:r>
          <w:r>
            <w:fldChar w:fldCharType="separate"/>
          </w:r>
          <w:r>
            <w:rPr>
              <w:rFonts w:eastAsia="仿宋"/>
              <w:snapToGrid w:val="0"/>
              <w:kern w:val="0"/>
              <w:sz w:val="32"/>
              <w:szCs w:val="32"/>
            </w:rPr>
            <w:t>十、其他重要事项的情况说明</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_Toc1020080105 </w:instrText>
          </w:r>
          <w:r>
            <w:rPr>
              <w:rFonts w:eastAsia="仿宋"/>
              <w:snapToGrid w:val="0"/>
              <w:kern w:val="0"/>
              <w:sz w:val="32"/>
              <w:szCs w:val="32"/>
            </w:rPr>
            <w:fldChar w:fldCharType="separate"/>
          </w:r>
          <w:r>
            <w:rPr>
              <w:rFonts w:eastAsia="仿宋"/>
              <w:snapToGrid w:val="0"/>
              <w:kern w:val="0"/>
              <w:sz w:val="32"/>
              <w:szCs w:val="32"/>
            </w:rPr>
            <w:t>16</w:t>
          </w:r>
          <w:r>
            <w:rPr>
              <w:rFonts w:eastAsia="仿宋"/>
              <w:snapToGrid w:val="0"/>
              <w:kern w:val="0"/>
              <w:sz w:val="32"/>
              <w:szCs w:val="32"/>
            </w:rPr>
            <w:fldChar w:fldCharType="end"/>
          </w:r>
          <w:r>
            <w:rPr>
              <w:rFonts w:eastAsia="仿宋"/>
              <w:snapToGrid w:val="0"/>
              <w:kern w:val="0"/>
              <w:sz w:val="32"/>
              <w:szCs w:val="32"/>
            </w:rPr>
            <w:fldChar w:fldCharType="end"/>
          </w:r>
        </w:p>
        <w:p>
          <w:pPr>
            <w:pStyle w:val="12"/>
            <w:tabs>
              <w:tab w:val="right" w:leader="dot" w:pos="8306"/>
              <w:tab w:val="clear" w:pos="8296"/>
            </w:tabs>
            <w:adjustRightInd w:val="0"/>
            <w:snapToGrid w:val="0"/>
            <w:spacing w:before="0" w:line="300" w:lineRule="auto"/>
            <w:jc w:val="both"/>
            <w:rPr>
              <w:rFonts w:ascii="Times New Roman" w:hAnsi="Times New Roman"/>
              <w:snapToGrid w:val="0"/>
              <w:kern w:val="0"/>
              <w:sz w:val="32"/>
              <w:szCs w:val="32"/>
            </w:rPr>
          </w:pPr>
          <w:r>
            <w:fldChar w:fldCharType="begin"/>
          </w:r>
          <w:r>
            <w:instrText xml:space="preserve"> HYPERLINK \l "_Toc1116725309" </w:instrText>
          </w:r>
          <w:r>
            <w:fldChar w:fldCharType="separate"/>
          </w:r>
          <w:r>
            <w:rPr>
              <w:rFonts w:ascii="Times New Roman" w:hAnsi="Times New Roman"/>
              <w:snapToGrid w:val="0"/>
              <w:kern w:val="0"/>
              <w:sz w:val="32"/>
              <w:szCs w:val="32"/>
            </w:rPr>
            <w:t>第三部分</w:t>
          </w:r>
          <w:r>
            <w:rPr>
              <w:rFonts w:hint="eastAsia" w:ascii="Times New Roman" w:hAnsi="Times New Roman"/>
              <w:snapToGrid w:val="0"/>
              <w:kern w:val="0"/>
              <w:sz w:val="32"/>
              <w:szCs w:val="32"/>
            </w:rPr>
            <w:t>　</w:t>
          </w:r>
          <w:r>
            <w:rPr>
              <w:rFonts w:ascii="Times New Roman" w:hAnsi="Times New Roman"/>
              <w:snapToGrid w:val="0"/>
              <w:kern w:val="0"/>
              <w:sz w:val="32"/>
              <w:szCs w:val="32"/>
            </w:rPr>
            <w:t>名词解释</w:t>
          </w:r>
          <w:r>
            <w:rPr>
              <w:rFonts w:ascii="Times New Roman" w:hAnsi="Times New Roman"/>
              <w:snapToGrid w:val="0"/>
              <w:kern w:val="0"/>
              <w:sz w:val="32"/>
              <w:szCs w:val="32"/>
            </w:rPr>
            <w:tab/>
          </w:r>
          <w:r>
            <w:rPr>
              <w:rFonts w:ascii="Times New Roman" w:hAnsi="Times New Roman"/>
              <w:snapToGrid w:val="0"/>
              <w:kern w:val="0"/>
              <w:sz w:val="32"/>
              <w:szCs w:val="32"/>
            </w:rPr>
            <w:fldChar w:fldCharType="begin"/>
          </w:r>
          <w:r>
            <w:rPr>
              <w:rFonts w:ascii="Times New Roman" w:hAnsi="Times New Roman"/>
              <w:snapToGrid w:val="0"/>
              <w:kern w:val="0"/>
              <w:sz w:val="32"/>
              <w:szCs w:val="32"/>
            </w:rPr>
            <w:instrText xml:space="preserve"> PAGEREF _Toc1116725309 </w:instrText>
          </w:r>
          <w:r>
            <w:rPr>
              <w:rFonts w:ascii="Times New Roman" w:hAnsi="Times New Roman"/>
              <w:snapToGrid w:val="0"/>
              <w:kern w:val="0"/>
              <w:sz w:val="32"/>
              <w:szCs w:val="32"/>
            </w:rPr>
            <w:fldChar w:fldCharType="separate"/>
          </w:r>
          <w:r>
            <w:rPr>
              <w:rFonts w:ascii="Times New Roman" w:hAnsi="Times New Roman"/>
              <w:snapToGrid w:val="0"/>
              <w:kern w:val="0"/>
              <w:sz w:val="32"/>
              <w:szCs w:val="32"/>
            </w:rPr>
            <w:t>20</w:t>
          </w:r>
          <w:r>
            <w:rPr>
              <w:rFonts w:ascii="Times New Roman" w:hAnsi="Times New Roman"/>
              <w:snapToGrid w:val="0"/>
              <w:kern w:val="0"/>
              <w:sz w:val="32"/>
              <w:szCs w:val="32"/>
            </w:rPr>
            <w:fldChar w:fldCharType="end"/>
          </w:r>
          <w:r>
            <w:rPr>
              <w:rFonts w:ascii="Times New Roman" w:hAnsi="Times New Roman"/>
              <w:snapToGrid w:val="0"/>
              <w:kern w:val="0"/>
              <w:sz w:val="32"/>
              <w:szCs w:val="32"/>
            </w:rPr>
            <w:fldChar w:fldCharType="end"/>
          </w:r>
        </w:p>
        <w:p>
          <w:pPr>
            <w:pStyle w:val="12"/>
            <w:tabs>
              <w:tab w:val="right" w:leader="dot" w:pos="8306"/>
              <w:tab w:val="clear" w:pos="8296"/>
            </w:tabs>
            <w:adjustRightInd w:val="0"/>
            <w:snapToGrid w:val="0"/>
            <w:spacing w:before="0" w:line="300" w:lineRule="auto"/>
            <w:jc w:val="both"/>
            <w:rPr>
              <w:rFonts w:ascii="Times New Roman" w:hAnsi="Times New Roman"/>
              <w:snapToGrid w:val="0"/>
              <w:kern w:val="0"/>
              <w:sz w:val="32"/>
              <w:szCs w:val="32"/>
            </w:rPr>
          </w:pPr>
          <w:r>
            <w:fldChar w:fldCharType="begin"/>
          </w:r>
          <w:r>
            <w:instrText xml:space="preserve"> HYPERLINK \l "_Toc410311205" </w:instrText>
          </w:r>
          <w:r>
            <w:fldChar w:fldCharType="separate"/>
          </w:r>
          <w:r>
            <w:rPr>
              <w:rFonts w:ascii="Times New Roman" w:hAnsi="Times New Roman"/>
              <w:snapToGrid w:val="0"/>
              <w:kern w:val="0"/>
              <w:sz w:val="32"/>
              <w:szCs w:val="32"/>
            </w:rPr>
            <w:t>第四部分</w:t>
          </w:r>
          <w:r>
            <w:rPr>
              <w:rFonts w:hint="eastAsia" w:ascii="Times New Roman" w:hAnsi="Times New Roman"/>
              <w:snapToGrid w:val="0"/>
              <w:kern w:val="0"/>
              <w:sz w:val="32"/>
              <w:szCs w:val="32"/>
            </w:rPr>
            <w:t>　</w:t>
          </w:r>
          <w:r>
            <w:rPr>
              <w:rFonts w:ascii="Times New Roman" w:hAnsi="Times New Roman"/>
              <w:snapToGrid w:val="0"/>
              <w:kern w:val="0"/>
              <w:sz w:val="32"/>
              <w:szCs w:val="32"/>
            </w:rPr>
            <w:t>附件</w:t>
          </w:r>
          <w:r>
            <w:rPr>
              <w:rFonts w:ascii="Times New Roman" w:hAnsi="Times New Roman"/>
              <w:snapToGrid w:val="0"/>
              <w:kern w:val="0"/>
              <w:sz w:val="32"/>
              <w:szCs w:val="32"/>
            </w:rPr>
            <w:tab/>
          </w:r>
          <w:r>
            <w:rPr>
              <w:rFonts w:ascii="Times New Roman" w:hAnsi="Times New Roman"/>
              <w:snapToGrid w:val="0"/>
              <w:kern w:val="0"/>
              <w:sz w:val="32"/>
              <w:szCs w:val="32"/>
            </w:rPr>
            <w:fldChar w:fldCharType="begin"/>
          </w:r>
          <w:r>
            <w:rPr>
              <w:rFonts w:ascii="Times New Roman" w:hAnsi="Times New Roman"/>
              <w:snapToGrid w:val="0"/>
              <w:kern w:val="0"/>
              <w:sz w:val="32"/>
              <w:szCs w:val="32"/>
            </w:rPr>
            <w:instrText xml:space="preserve"> PAGEREF _Toc410311205 </w:instrText>
          </w:r>
          <w:r>
            <w:rPr>
              <w:rFonts w:ascii="Times New Roman" w:hAnsi="Times New Roman"/>
              <w:snapToGrid w:val="0"/>
              <w:kern w:val="0"/>
              <w:sz w:val="32"/>
              <w:szCs w:val="32"/>
            </w:rPr>
            <w:fldChar w:fldCharType="separate"/>
          </w:r>
          <w:r>
            <w:rPr>
              <w:rFonts w:ascii="Times New Roman" w:hAnsi="Times New Roman"/>
              <w:snapToGrid w:val="0"/>
              <w:kern w:val="0"/>
              <w:sz w:val="32"/>
              <w:szCs w:val="32"/>
            </w:rPr>
            <w:t>24</w:t>
          </w:r>
          <w:r>
            <w:rPr>
              <w:rFonts w:ascii="Times New Roman" w:hAnsi="Times New Roman"/>
              <w:snapToGrid w:val="0"/>
              <w:kern w:val="0"/>
              <w:sz w:val="32"/>
              <w:szCs w:val="32"/>
            </w:rPr>
            <w:fldChar w:fldCharType="end"/>
          </w:r>
          <w:r>
            <w:rPr>
              <w:rFonts w:ascii="Times New Roman" w:hAnsi="Times New Roman"/>
              <w:snapToGrid w:val="0"/>
              <w:kern w:val="0"/>
              <w:sz w:val="32"/>
              <w:szCs w:val="32"/>
            </w:rPr>
            <w:fldChar w:fldCharType="end"/>
          </w:r>
        </w:p>
        <w:p>
          <w:pPr>
            <w:pStyle w:val="12"/>
            <w:tabs>
              <w:tab w:val="right" w:leader="dot" w:pos="8306"/>
              <w:tab w:val="clear" w:pos="8296"/>
            </w:tabs>
            <w:adjustRightInd w:val="0"/>
            <w:snapToGrid w:val="0"/>
            <w:spacing w:before="0" w:line="300" w:lineRule="auto"/>
            <w:jc w:val="both"/>
            <w:rPr>
              <w:rFonts w:ascii="Times New Roman" w:hAnsi="Times New Roman"/>
              <w:snapToGrid w:val="0"/>
              <w:kern w:val="0"/>
              <w:sz w:val="32"/>
              <w:szCs w:val="32"/>
            </w:rPr>
          </w:pPr>
          <w:r>
            <w:fldChar w:fldCharType="begin"/>
          </w:r>
          <w:r>
            <w:instrText xml:space="preserve"> HYPERLINK \l "_Toc240409797" </w:instrText>
          </w:r>
          <w:r>
            <w:fldChar w:fldCharType="separate"/>
          </w:r>
          <w:r>
            <w:rPr>
              <w:rFonts w:ascii="Times New Roman" w:hAnsi="Times New Roman"/>
              <w:snapToGrid w:val="0"/>
              <w:kern w:val="0"/>
              <w:sz w:val="32"/>
              <w:szCs w:val="32"/>
            </w:rPr>
            <w:t>第五部分</w:t>
          </w:r>
          <w:r>
            <w:rPr>
              <w:rFonts w:hint="eastAsia" w:ascii="Times New Roman" w:hAnsi="Times New Roman"/>
              <w:snapToGrid w:val="0"/>
              <w:kern w:val="0"/>
              <w:sz w:val="32"/>
              <w:szCs w:val="32"/>
            </w:rPr>
            <w:t>　</w:t>
          </w:r>
          <w:r>
            <w:rPr>
              <w:rFonts w:ascii="Times New Roman" w:hAnsi="Times New Roman"/>
              <w:snapToGrid w:val="0"/>
              <w:kern w:val="0"/>
              <w:sz w:val="32"/>
              <w:szCs w:val="32"/>
            </w:rPr>
            <w:t>附表</w:t>
          </w:r>
          <w:r>
            <w:rPr>
              <w:rFonts w:ascii="Times New Roman" w:hAnsi="Times New Roman"/>
              <w:snapToGrid w:val="0"/>
              <w:kern w:val="0"/>
              <w:sz w:val="32"/>
              <w:szCs w:val="32"/>
            </w:rPr>
            <w:tab/>
          </w:r>
          <w:r>
            <w:rPr>
              <w:rFonts w:ascii="Times New Roman" w:hAnsi="Times New Roman"/>
              <w:snapToGrid w:val="0"/>
              <w:kern w:val="0"/>
              <w:sz w:val="32"/>
              <w:szCs w:val="32"/>
            </w:rPr>
            <w:fldChar w:fldCharType="begin"/>
          </w:r>
          <w:r>
            <w:rPr>
              <w:rFonts w:ascii="Times New Roman" w:hAnsi="Times New Roman"/>
              <w:snapToGrid w:val="0"/>
              <w:kern w:val="0"/>
              <w:sz w:val="32"/>
              <w:szCs w:val="32"/>
            </w:rPr>
            <w:instrText xml:space="preserve"> PAGEREF _Toc240409797 </w:instrText>
          </w:r>
          <w:r>
            <w:rPr>
              <w:rFonts w:ascii="Times New Roman" w:hAnsi="Times New Roman"/>
              <w:snapToGrid w:val="0"/>
              <w:kern w:val="0"/>
              <w:sz w:val="32"/>
              <w:szCs w:val="32"/>
            </w:rPr>
            <w:fldChar w:fldCharType="separate"/>
          </w:r>
          <w:r>
            <w:rPr>
              <w:rFonts w:ascii="Times New Roman" w:hAnsi="Times New Roman"/>
              <w:snapToGrid w:val="0"/>
              <w:kern w:val="0"/>
              <w:sz w:val="32"/>
              <w:szCs w:val="32"/>
            </w:rPr>
            <w:t>66</w:t>
          </w:r>
          <w:r>
            <w:rPr>
              <w:rFonts w:ascii="Times New Roman" w:hAnsi="Times New Roman"/>
              <w:snapToGrid w:val="0"/>
              <w:kern w:val="0"/>
              <w:sz w:val="32"/>
              <w:szCs w:val="32"/>
            </w:rPr>
            <w:fldChar w:fldCharType="end"/>
          </w:r>
          <w:r>
            <w:rPr>
              <w:rFonts w:ascii="Times New Roman" w:hAnsi="Times New Roman"/>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"_Toc244033036" </w:instrText>
          </w:r>
          <w:r>
            <w:fldChar w:fldCharType="separate"/>
          </w:r>
          <w:r>
            <w:rPr>
              <w:rFonts w:eastAsia="仿宋"/>
              <w:snapToGrid w:val="0"/>
              <w:kern w:val="0"/>
              <w:sz w:val="32"/>
              <w:szCs w:val="32"/>
            </w:rPr>
            <w:t>一、收入支出决算总表</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_Toc244033036 </w:instrText>
          </w:r>
          <w:r>
            <w:rPr>
              <w:rFonts w:eastAsia="仿宋"/>
              <w:snapToGrid w:val="0"/>
              <w:kern w:val="0"/>
              <w:sz w:val="32"/>
              <w:szCs w:val="32"/>
            </w:rPr>
            <w:fldChar w:fldCharType="separate"/>
          </w:r>
          <w:r>
            <w:rPr>
              <w:rFonts w:eastAsia="仿宋"/>
              <w:snapToGrid w:val="0"/>
              <w:kern w:val="0"/>
              <w:sz w:val="32"/>
              <w:szCs w:val="32"/>
            </w:rPr>
            <w:t>66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"_Toc1024893270" </w:instrText>
          </w:r>
          <w:r>
            <w:fldChar w:fldCharType="separate"/>
          </w:r>
          <w:r>
            <w:rPr>
              <w:rFonts w:eastAsia="仿宋"/>
              <w:snapToGrid w:val="0"/>
              <w:kern w:val="0"/>
              <w:sz w:val="32"/>
              <w:szCs w:val="32"/>
            </w:rPr>
            <w:t>二、收入决算表</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_Toc1024893270 </w:instrText>
          </w:r>
          <w:r>
            <w:rPr>
              <w:rFonts w:eastAsia="仿宋"/>
              <w:snapToGrid w:val="0"/>
              <w:kern w:val="0"/>
              <w:sz w:val="32"/>
              <w:szCs w:val="32"/>
            </w:rPr>
            <w:fldChar w:fldCharType="separate"/>
          </w:r>
          <w:r>
            <w:rPr>
              <w:rFonts w:eastAsia="仿宋"/>
              <w:snapToGrid w:val="0"/>
              <w:kern w:val="0"/>
              <w:sz w:val="32"/>
              <w:szCs w:val="32"/>
            </w:rPr>
            <w:t>66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"_Toc1178192269" </w:instrText>
          </w:r>
          <w:r>
            <w:fldChar w:fldCharType="separate"/>
          </w:r>
          <w:r>
            <w:rPr>
              <w:rFonts w:eastAsia="仿宋"/>
              <w:snapToGrid w:val="0"/>
              <w:kern w:val="0"/>
              <w:sz w:val="32"/>
              <w:szCs w:val="32"/>
            </w:rPr>
            <w:t>三、支出决算表</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_Toc1178192269 </w:instrText>
          </w:r>
          <w:r>
            <w:rPr>
              <w:rFonts w:eastAsia="仿宋"/>
              <w:snapToGrid w:val="0"/>
              <w:kern w:val="0"/>
              <w:sz w:val="32"/>
              <w:szCs w:val="32"/>
            </w:rPr>
            <w:fldChar w:fldCharType="separate"/>
          </w:r>
          <w:r>
            <w:rPr>
              <w:rFonts w:eastAsia="仿宋"/>
              <w:snapToGrid w:val="0"/>
              <w:kern w:val="0"/>
              <w:sz w:val="32"/>
              <w:szCs w:val="32"/>
            </w:rPr>
            <w:t>66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"_Toc870506955" </w:instrText>
          </w:r>
          <w:r>
            <w:fldChar w:fldCharType="separate"/>
          </w:r>
          <w:r>
            <w:rPr>
              <w:rFonts w:eastAsia="仿宋"/>
              <w:snapToGrid w:val="0"/>
              <w:kern w:val="0"/>
              <w:sz w:val="32"/>
              <w:szCs w:val="32"/>
            </w:rPr>
            <w:t>四、财政拨款收入支出决算总表</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_Toc870506955 </w:instrText>
          </w:r>
          <w:r>
            <w:rPr>
              <w:rFonts w:eastAsia="仿宋"/>
              <w:snapToGrid w:val="0"/>
              <w:kern w:val="0"/>
              <w:sz w:val="32"/>
              <w:szCs w:val="32"/>
            </w:rPr>
            <w:fldChar w:fldCharType="separate"/>
          </w:r>
          <w:r>
            <w:rPr>
              <w:rFonts w:eastAsia="仿宋"/>
              <w:snapToGrid w:val="0"/>
              <w:kern w:val="0"/>
              <w:sz w:val="32"/>
              <w:szCs w:val="32"/>
            </w:rPr>
            <w:t>66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"_Toc285467374" </w:instrText>
          </w:r>
          <w:r>
            <w:fldChar w:fldCharType="separate"/>
          </w:r>
          <w:r>
            <w:rPr>
              <w:rFonts w:eastAsia="仿宋"/>
              <w:snapToGrid w:val="0"/>
              <w:kern w:val="0"/>
              <w:sz w:val="32"/>
              <w:szCs w:val="32"/>
            </w:rPr>
            <w:t>五、财政拨款支出决算明细表</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_Toc285467374 </w:instrText>
          </w:r>
          <w:r>
            <w:rPr>
              <w:rFonts w:eastAsia="仿宋"/>
              <w:snapToGrid w:val="0"/>
              <w:kern w:val="0"/>
              <w:sz w:val="32"/>
              <w:szCs w:val="32"/>
            </w:rPr>
            <w:fldChar w:fldCharType="separate"/>
          </w:r>
          <w:r>
            <w:rPr>
              <w:rFonts w:eastAsia="仿宋"/>
              <w:snapToGrid w:val="0"/>
              <w:kern w:val="0"/>
              <w:sz w:val="32"/>
              <w:szCs w:val="32"/>
            </w:rPr>
            <w:t>66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"_Toc2068795713" </w:instrText>
          </w:r>
          <w:r>
            <w:fldChar w:fldCharType="separate"/>
          </w:r>
          <w:r>
            <w:rPr>
              <w:rFonts w:eastAsia="仿宋"/>
              <w:snapToGrid w:val="0"/>
              <w:kern w:val="0"/>
              <w:sz w:val="32"/>
              <w:szCs w:val="32"/>
            </w:rPr>
            <w:t>六、一般公共预算财政拨款支出决算表</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_Toc2068795713 </w:instrText>
          </w:r>
          <w:r>
            <w:rPr>
              <w:rFonts w:eastAsia="仿宋"/>
              <w:snapToGrid w:val="0"/>
              <w:kern w:val="0"/>
              <w:sz w:val="32"/>
              <w:szCs w:val="32"/>
            </w:rPr>
            <w:fldChar w:fldCharType="separate"/>
          </w:r>
          <w:r>
            <w:rPr>
              <w:rFonts w:eastAsia="仿宋"/>
              <w:snapToGrid w:val="0"/>
              <w:kern w:val="0"/>
              <w:sz w:val="32"/>
              <w:szCs w:val="32"/>
            </w:rPr>
            <w:t>66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"_Toc1270771090" </w:instrText>
          </w:r>
          <w:r>
            <w:fldChar w:fldCharType="separate"/>
          </w:r>
          <w:r>
            <w:rPr>
              <w:rFonts w:eastAsia="仿宋"/>
              <w:snapToGrid w:val="0"/>
              <w:kern w:val="0"/>
              <w:sz w:val="32"/>
              <w:szCs w:val="32"/>
            </w:rPr>
            <w:t>七、一般公共预算财政拨款支出决算明细表</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_Toc1270771090 </w:instrText>
          </w:r>
          <w:r>
            <w:rPr>
              <w:rFonts w:eastAsia="仿宋"/>
              <w:snapToGrid w:val="0"/>
              <w:kern w:val="0"/>
              <w:sz w:val="32"/>
              <w:szCs w:val="32"/>
            </w:rPr>
            <w:fldChar w:fldCharType="separate"/>
          </w:r>
          <w:r>
            <w:rPr>
              <w:rFonts w:eastAsia="仿宋"/>
              <w:snapToGrid w:val="0"/>
              <w:kern w:val="0"/>
              <w:sz w:val="32"/>
              <w:szCs w:val="32"/>
            </w:rPr>
            <w:t>66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"_Toc293783907" </w:instrText>
          </w:r>
          <w:r>
            <w:fldChar w:fldCharType="separate"/>
          </w:r>
          <w:r>
            <w:rPr>
              <w:rFonts w:eastAsia="仿宋"/>
              <w:snapToGrid w:val="0"/>
              <w:kern w:val="0"/>
              <w:sz w:val="32"/>
              <w:szCs w:val="32"/>
            </w:rPr>
            <w:t>八、一般公共预算财政拨款基本支出决算表</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_Toc293783907 </w:instrText>
          </w:r>
          <w:r>
            <w:rPr>
              <w:rFonts w:eastAsia="仿宋"/>
              <w:snapToGrid w:val="0"/>
              <w:kern w:val="0"/>
              <w:sz w:val="32"/>
              <w:szCs w:val="32"/>
            </w:rPr>
            <w:fldChar w:fldCharType="separate"/>
          </w:r>
          <w:r>
            <w:rPr>
              <w:rFonts w:eastAsia="仿宋"/>
              <w:snapToGrid w:val="0"/>
              <w:kern w:val="0"/>
              <w:sz w:val="32"/>
              <w:szCs w:val="32"/>
            </w:rPr>
            <w:t>66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"_Toc398447288" </w:instrText>
          </w:r>
          <w:r>
            <w:fldChar w:fldCharType="separate"/>
          </w:r>
          <w:r>
            <w:rPr>
              <w:rFonts w:eastAsia="仿宋"/>
              <w:snapToGrid w:val="0"/>
              <w:kern w:val="0"/>
              <w:sz w:val="32"/>
              <w:szCs w:val="32"/>
            </w:rPr>
            <w:t>九、一般公共预算财政拨款项目支出决算表</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_Toc398447288 </w:instrText>
          </w:r>
          <w:r>
            <w:rPr>
              <w:rFonts w:eastAsia="仿宋"/>
              <w:snapToGrid w:val="0"/>
              <w:kern w:val="0"/>
              <w:sz w:val="32"/>
              <w:szCs w:val="32"/>
            </w:rPr>
            <w:fldChar w:fldCharType="separate"/>
          </w:r>
          <w:r>
            <w:rPr>
              <w:rFonts w:eastAsia="仿宋"/>
              <w:snapToGrid w:val="0"/>
              <w:kern w:val="0"/>
              <w:sz w:val="32"/>
              <w:szCs w:val="32"/>
            </w:rPr>
            <w:t>66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"_Toc624248637" </w:instrText>
          </w:r>
          <w:r>
            <w:fldChar w:fldCharType="separate"/>
          </w:r>
          <w:r>
            <w:rPr>
              <w:rFonts w:eastAsia="仿宋"/>
              <w:snapToGrid w:val="0"/>
              <w:kern w:val="0"/>
              <w:sz w:val="32"/>
              <w:szCs w:val="32"/>
            </w:rPr>
            <w:t>十、政府性基金预算财政拨款收入支出决算表</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_Toc624248637 </w:instrText>
          </w:r>
          <w:r>
            <w:rPr>
              <w:rFonts w:eastAsia="仿宋"/>
              <w:snapToGrid w:val="0"/>
              <w:kern w:val="0"/>
              <w:sz w:val="32"/>
              <w:szCs w:val="32"/>
            </w:rPr>
            <w:fldChar w:fldCharType="separate"/>
          </w:r>
          <w:r>
            <w:rPr>
              <w:rFonts w:eastAsia="仿宋"/>
              <w:snapToGrid w:val="0"/>
              <w:kern w:val="0"/>
              <w:sz w:val="32"/>
              <w:szCs w:val="32"/>
            </w:rPr>
            <w:t>66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"_Toc5328318" </w:instrText>
          </w:r>
          <w:r>
            <w:fldChar w:fldCharType="separate"/>
          </w:r>
          <w:r>
            <w:rPr>
              <w:rFonts w:eastAsia="仿宋"/>
              <w:snapToGrid w:val="0"/>
              <w:kern w:val="0"/>
              <w:sz w:val="32"/>
              <w:szCs w:val="32"/>
            </w:rPr>
            <w:t>十一、国有资本经营预算财政拨款收入支出决算表</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_Toc5328318 </w:instrText>
          </w:r>
          <w:r>
            <w:rPr>
              <w:rFonts w:eastAsia="仿宋"/>
              <w:snapToGrid w:val="0"/>
              <w:kern w:val="0"/>
              <w:sz w:val="32"/>
              <w:szCs w:val="32"/>
            </w:rPr>
            <w:fldChar w:fldCharType="separate"/>
          </w:r>
          <w:r>
            <w:rPr>
              <w:rFonts w:eastAsia="仿宋"/>
              <w:snapToGrid w:val="0"/>
              <w:kern w:val="0"/>
              <w:sz w:val="32"/>
              <w:szCs w:val="32"/>
            </w:rPr>
            <w:t>66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snapToGrid w:val="0"/>
              <w:kern w:val="0"/>
              <w:sz w:val="32"/>
              <w:szCs w:val="32"/>
            </w:rPr>
          </w:pPr>
          <w:r>
            <w:fldChar w:fldCharType="begin"/>
          </w:r>
          <w:r>
            <w:instrText xml:space="preserve"> HYPERLINK \l "_Toc1410646834" </w:instrText>
          </w:r>
          <w:r>
            <w:fldChar w:fldCharType="separate"/>
          </w:r>
          <w:r>
            <w:rPr>
              <w:rFonts w:eastAsia="仿宋"/>
              <w:snapToGrid w:val="0"/>
              <w:kern w:val="0"/>
              <w:sz w:val="32"/>
              <w:szCs w:val="32"/>
            </w:rPr>
            <w:t>十二、国有资本经营预算财政拨款支出决算表</w:t>
          </w:r>
          <w:r>
            <w:rPr>
              <w:rFonts w:eastAsia="仿宋"/>
              <w:snapToGrid w:val="0"/>
              <w:kern w:val="0"/>
              <w:sz w:val="32"/>
              <w:szCs w:val="32"/>
            </w:rPr>
            <w:tab/>
          </w:r>
          <w:r>
            <w:rPr>
              <w:rFonts w:eastAsia="仿宋"/>
              <w:snapToGrid w:val="0"/>
              <w:kern w:val="0"/>
              <w:sz w:val="32"/>
              <w:szCs w:val="32"/>
            </w:rPr>
            <w:fldChar w:fldCharType="begin"/>
          </w:r>
          <w:r>
            <w:rPr>
              <w:rFonts w:eastAsia="仿宋"/>
              <w:snapToGrid w:val="0"/>
              <w:kern w:val="0"/>
              <w:sz w:val="32"/>
              <w:szCs w:val="32"/>
            </w:rPr>
            <w:instrText xml:space="preserve"> PAGEREF _Toc1410646834 </w:instrText>
          </w:r>
          <w:r>
            <w:rPr>
              <w:rFonts w:eastAsia="仿宋"/>
              <w:snapToGrid w:val="0"/>
              <w:kern w:val="0"/>
              <w:sz w:val="32"/>
              <w:szCs w:val="32"/>
            </w:rPr>
            <w:fldChar w:fldCharType="separate"/>
          </w:r>
          <w:r>
            <w:rPr>
              <w:rFonts w:eastAsia="仿宋"/>
              <w:snapToGrid w:val="0"/>
              <w:kern w:val="0"/>
              <w:sz w:val="32"/>
              <w:szCs w:val="32"/>
            </w:rPr>
            <w:t>66</w:t>
          </w:r>
          <w:r>
            <w:rPr>
              <w:rFonts w:eastAsia="仿宋"/>
              <w:snapToGrid w:val="0"/>
              <w:kern w:val="0"/>
              <w:sz w:val="32"/>
              <w:szCs w:val="32"/>
            </w:rPr>
            <w:fldChar w:fldCharType="end"/>
          </w:r>
          <w:r>
            <w:rPr>
              <w:rFonts w:eastAsia="仿宋"/>
              <w:snapToGrid w:val="0"/>
              <w:kern w:val="0"/>
              <w:sz w:val="32"/>
              <w:szCs w:val="32"/>
            </w:rPr>
            <w:fldChar w:fldCharType="end"/>
          </w:r>
        </w:p>
        <w:p>
          <w:pPr>
            <w:pStyle w:val="13"/>
            <w:adjustRightInd w:val="0"/>
            <w:snapToGrid w:val="0"/>
            <w:spacing w:line="300" w:lineRule="auto"/>
            <w:ind w:left="0" w:leftChars="0"/>
            <w:rPr>
              <w:rFonts w:eastAsia="仿宋"/>
            </w:rPr>
          </w:pPr>
          <w:r>
            <w:fldChar w:fldCharType="begin"/>
          </w:r>
          <w:r>
            <w:instrText xml:space="preserve"> HYPERLINK \l "_Toc1699817665" </w:instrText>
          </w:r>
          <w:r>
            <w:fldChar w:fldCharType="separate"/>
          </w:r>
          <w:r>
            <w:rPr>
              <w:rFonts w:eastAsia="仿宋"/>
              <w:snapToGrid w:val="0"/>
              <w:kern w:val="0"/>
              <w:sz w:val="32"/>
              <w:szCs w:val="32"/>
            </w:rPr>
            <w:t>十三、财政拨款“三公”经费支出决算表</w:t>
          </w:r>
          <w:r>
            <w:rPr>
              <w:rFonts w:eastAsia="仿宋"/>
              <w:snapToGrid w:val="0"/>
              <w:kern w:val="0"/>
              <w:sz w:val="32"/>
              <w:szCs w:val="32"/>
            </w:rPr>
            <w:tab/>
          </w:r>
          <w:r>
            <w:rPr>
              <w:rFonts w:hint="eastAsia" w:eastAsia="仿宋"/>
              <w:snapToGrid w:val="0"/>
              <w:kern w:val="0"/>
              <w:sz w:val="32"/>
              <w:szCs w:val="32"/>
            </w:rPr>
            <w:t>6</w:t>
          </w:r>
          <w:r>
            <w:rPr>
              <w:rFonts w:hint="eastAsia" w:eastAsia="仿宋"/>
              <w:snapToGrid w:val="0"/>
              <w:kern w:val="0"/>
              <w:sz w:val="32"/>
              <w:szCs w:val="32"/>
            </w:rPr>
            <w:fldChar w:fldCharType="end"/>
          </w:r>
          <w:r>
            <w:rPr>
              <w:rFonts w:hint="eastAsia" w:eastAsia="仿宋"/>
              <w:snapToGrid w:val="0"/>
              <w:kern w:val="0"/>
              <w:sz w:val="32"/>
              <w:szCs w:val="32"/>
            </w:rPr>
            <w:t>6</w:t>
          </w:r>
        </w:p>
        <w:p>
          <w:r>
            <w:fldChar w:fldCharType="end"/>
          </w:r>
        </w:p>
      </w:sdtContent>
    </w:sdt>
    <w:p>
      <w:pPr>
        <w:pStyle w:val="2"/>
        <w:rPr>
          <w:rFonts w:ascii="黑体" w:hAnsi="黑体" w:eastAsia="黑体"/>
          <w:b w:val="0"/>
        </w:rPr>
      </w:pPr>
      <w:bookmarkStart w:id="16" w:name="_Toc15396599"/>
      <w:bookmarkStart w:id="17" w:name="_Toc15377196"/>
      <w:bookmarkStart w:id="18" w:name="_Toc25333"/>
    </w:p>
    <w:p>
      <w:pPr>
        <w:rPr>
          <w:rFonts w:ascii="黑体" w:hAnsi="黑体" w:eastAsia="黑体"/>
        </w:rPr>
      </w:pPr>
    </w:p>
    <w:p>
      <w:pPr>
        <w:pStyle w:val="5"/>
        <w:spacing w:before="93"/>
        <w:rPr>
          <w:rFonts w:ascii="黑体" w:hAnsi="黑体" w:eastAsia="黑体"/>
        </w:rPr>
      </w:pPr>
    </w:p>
    <w:p>
      <w:pPr>
        <w:pStyle w:val="5"/>
        <w:spacing w:before="93"/>
        <w:rPr>
          <w:rFonts w:ascii="黑体" w:hAnsi="黑体" w:eastAsia="黑体"/>
        </w:rPr>
      </w:pPr>
    </w:p>
    <w:p>
      <w:pPr>
        <w:pStyle w:val="5"/>
        <w:spacing w:before="93"/>
        <w:rPr>
          <w:rFonts w:ascii="黑体" w:hAnsi="黑体" w:eastAsia="黑体"/>
        </w:rPr>
      </w:pPr>
    </w:p>
    <w:p>
      <w:pPr>
        <w:pStyle w:val="5"/>
        <w:spacing w:before="93"/>
        <w:rPr>
          <w:rFonts w:ascii="黑体" w:hAnsi="黑体" w:eastAsia="黑体"/>
        </w:rPr>
      </w:pPr>
    </w:p>
    <w:p>
      <w:pPr>
        <w:pStyle w:val="5"/>
        <w:spacing w:before="93"/>
        <w:rPr>
          <w:rFonts w:ascii="黑体" w:hAnsi="黑体" w:eastAsia="黑体"/>
        </w:rPr>
      </w:pPr>
    </w:p>
    <w:p>
      <w:pPr>
        <w:pStyle w:val="5"/>
        <w:spacing w:before="93"/>
        <w:rPr>
          <w:rFonts w:ascii="黑体" w:hAnsi="黑体" w:eastAsia="黑体"/>
        </w:rPr>
      </w:pPr>
    </w:p>
    <w:p>
      <w:pPr>
        <w:pStyle w:val="5"/>
        <w:spacing w:before="93"/>
        <w:rPr>
          <w:rFonts w:ascii="黑体" w:hAnsi="黑体" w:eastAsia="黑体"/>
        </w:rPr>
      </w:pPr>
    </w:p>
    <w:p>
      <w:pPr>
        <w:pStyle w:val="5"/>
        <w:spacing w:before="93"/>
        <w:rPr>
          <w:rFonts w:ascii="黑体" w:hAnsi="黑体" w:eastAsia="黑体"/>
        </w:rPr>
      </w:pPr>
    </w:p>
    <w:p>
      <w:pPr>
        <w:pStyle w:val="5"/>
        <w:spacing w:before="93"/>
        <w:rPr>
          <w:rFonts w:ascii="黑体" w:hAnsi="黑体" w:eastAsia="黑体"/>
        </w:rPr>
      </w:pPr>
    </w:p>
    <w:p>
      <w:pPr>
        <w:pStyle w:val="5"/>
        <w:spacing w:before="93"/>
        <w:rPr>
          <w:rFonts w:ascii="黑体" w:hAnsi="黑体" w:eastAsia="黑体"/>
        </w:rPr>
      </w:pPr>
    </w:p>
    <w:p>
      <w:pPr>
        <w:pStyle w:val="5"/>
        <w:spacing w:before="93"/>
        <w:rPr>
          <w:rFonts w:ascii="黑体" w:hAnsi="黑体" w:eastAsia="黑体"/>
        </w:rPr>
      </w:pPr>
    </w:p>
    <w:p>
      <w:pPr>
        <w:pStyle w:val="5"/>
        <w:adjustRightInd w:val="0"/>
        <w:snapToGrid w:val="0"/>
        <w:spacing w:beforeLines="0" w:line="300" w:lineRule="auto"/>
        <w:rPr>
          <w:rFonts w:ascii="黑体" w:hAnsi="黑体" w:eastAsia="黑体"/>
        </w:rPr>
      </w:pPr>
    </w:p>
    <w:p>
      <w:pPr>
        <w:pStyle w:val="2"/>
        <w:keepNext w:val="0"/>
        <w:keepLines w:val="0"/>
        <w:adjustRightInd w:val="0"/>
        <w:snapToGrid w:val="0"/>
        <w:spacing w:before="0" w:after="0" w:line="300" w:lineRule="auto"/>
        <w:jc w:val="center"/>
        <w:rPr>
          <w:rStyle w:val="33"/>
          <w:rFonts w:ascii="黑体" w:hAnsi="黑体" w:eastAsia="黑体"/>
          <w:b/>
          <w:bCs w:val="0"/>
        </w:rPr>
      </w:pPr>
      <w:bookmarkStart w:id="19" w:name="_Toc1271168136"/>
      <w:r>
        <w:rPr>
          <w:rFonts w:hint="eastAsia" w:ascii="黑体" w:hAnsi="黑体" w:eastAsia="黑体" w:cs="黑体"/>
          <w:b w:val="0"/>
        </w:rPr>
        <w:t>第一部分　</w:t>
      </w:r>
      <w:r>
        <w:rPr>
          <w:rStyle w:val="33"/>
          <w:rFonts w:hint="eastAsia" w:ascii="黑体" w:hAnsi="黑体" w:eastAsia="黑体" w:cs="黑体"/>
          <w:b w:val="0"/>
          <w:bCs w:val="0"/>
        </w:rPr>
        <w:t>部门概况</w:t>
      </w:r>
      <w:bookmarkEnd w:id="16"/>
      <w:bookmarkEnd w:id="17"/>
      <w:bookmarkEnd w:id="18"/>
      <w:bookmarkEnd w:id="19"/>
    </w:p>
    <w:p>
      <w:pPr>
        <w:adjustRightInd w:val="0"/>
        <w:snapToGrid w:val="0"/>
        <w:spacing w:line="300" w:lineRule="auto"/>
        <w:rPr>
          <w:rFonts w:ascii="黑体" w:eastAsia="黑体"/>
          <w:sz w:val="32"/>
          <w:szCs w:val="32"/>
        </w:rPr>
      </w:pPr>
    </w:p>
    <w:p>
      <w:pPr>
        <w:adjustRightInd w:val="0"/>
        <w:snapToGrid w:val="0"/>
        <w:spacing w:line="353" w:lineRule="auto"/>
        <w:rPr>
          <w:rFonts w:ascii="黑体" w:hAnsi="黑体" w:eastAsia="黑体" w:cs="黑体"/>
          <w:snapToGrid w:val="0"/>
          <w:kern w:val="0"/>
          <w:sz w:val="32"/>
          <w:szCs w:val="32"/>
        </w:rPr>
      </w:pPr>
      <w:bookmarkStart w:id="20" w:name="_Toc1981205479"/>
      <w:bookmarkStart w:id="21" w:name="_Toc19575"/>
      <w:r>
        <w:rPr>
          <w:rFonts w:hint="eastAsia" w:ascii="黑体" w:hAnsi="黑体" w:eastAsia="黑体" w:cs="黑体"/>
          <w:snapToGrid w:val="0"/>
          <w:kern w:val="0"/>
          <w:sz w:val="32"/>
          <w:szCs w:val="32"/>
        </w:rPr>
        <w:t>　　一、部门职责</w:t>
      </w:r>
      <w:bookmarkEnd w:id="20"/>
      <w:bookmarkEnd w:id="21"/>
    </w:p>
    <w:p>
      <w:pPr>
        <w:adjustRightInd w:val="0"/>
        <w:snapToGrid w:val="0"/>
        <w:spacing w:line="353" w:lineRule="auto"/>
        <w:rPr>
          <w:rFonts w:ascii="楷体" w:hAnsi="楷体" w:eastAsia="楷体" w:cs="楷体"/>
          <w:snapToGrid w:val="0"/>
          <w:kern w:val="0"/>
          <w:sz w:val="32"/>
          <w:szCs w:val="32"/>
        </w:rPr>
      </w:pPr>
      <w:r>
        <w:rPr>
          <w:rFonts w:hint="eastAsia" w:ascii="楷体" w:hAnsi="楷体" w:eastAsia="楷体" w:cs="楷体"/>
          <w:snapToGrid w:val="0"/>
          <w:kern w:val="0"/>
          <w:sz w:val="32"/>
          <w:szCs w:val="32"/>
        </w:rPr>
        <w:t>　　（一）市政府办公室职能简介。</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（1）协助市政府领导同志组织起草或审核以市政府、市政府办公室名义发布的公文。办理省政府、省政府办公厅及省直部门发送市政府的文电。指导全市行政机关公文处理工作。</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（2）研究市政府部门和县（区）人民政府请示市政府的事项，提出审核意见，报市政府领导同志审批。</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（3）负责市政府会议的准备工作，协助市政府领导同志组织实施会议决定事项。</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（4）督促检查市政府部门和县（区）人民政府对市政府决定事项及市政府领导同志指示的贯彻落实情况，及时向市政府领导同志报告。</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（5）根据市政府领导同志的指示，对市政府部门间争议问题提出处理意见和建议，报市政府领导同志决定。</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（6）负责市政府值班工作，指导市政府部门和县（区）人民政府值班工作，及时报告重要情况。</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（7）指导、监督全市政府信息公开工作和机关行政效能建设工作，指导、监督全市政府系统电子政务工作和政府网站建设。</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（8）围绕市政府中心工作和市政府领导同志的指示，组织专题调查研究，及时反映情况，提出政策性建议。</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w:t>
      </w:r>
      <w:r>
        <w:rPr>
          <w:rFonts w:hint="eastAsia" w:eastAsia="仿宋"/>
          <w:snapToGrid w:val="0"/>
          <w:kern w:val="0"/>
          <w:sz w:val="32"/>
          <w:szCs w:val="32"/>
        </w:rPr>
        <w:t>9</w:t>
      </w:r>
      <w:r>
        <w:rPr>
          <w:rFonts w:eastAsia="仿宋"/>
          <w:snapToGrid w:val="0"/>
          <w:kern w:val="0"/>
          <w:sz w:val="32"/>
          <w:szCs w:val="32"/>
        </w:rPr>
        <w:t>）贯彻执行党和国家的外事方针政策、法律、法规以及市委、市政府关于外事工作的决策部署，统筹管理全市外事工作。</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w:t>
      </w:r>
      <w:r>
        <w:rPr>
          <w:rFonts w:hint="eastAsia" w:eastAsia="仿宋"/>
          <w:snapToGrid w:val="0"/>
          <w:kern w:val="0"/>
          <w:sz w:val="32"/>
          <w:szCs w:val="32"/>
        </w:rPr>
        <w:t>10</w:t>
      </w:r>
      <w:r>
        <w:rPr>
          <w:rFonts w:eastAsia="仿宋"/>
          <w:snapToGrid w:val="0"/>
          <w:kern w:val="0"/>
          <w:sz w:val="32"/>
          <w:szCs w:val="32"/>
        </w:rPr>
        <w:t>）负责职责范围内的安全生产和职业健康、生态环境保护、行政审批便民化工作。</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w:t>
      </w:r>
      <w:r>
        <w:rPr>
          <w:rFonts w:hint="eastAsia" w:eastAsia="仿宋"/>
          <w:snapToGrid w:val="0"/>
          <w:kern w:val="0"/>
          <w:sz w:val="32"/>
          <w:szCs w:val="32"/>
        </w:rPr>
        <w:t>11</w:t>
      </w:r>
      <w:r>
        <w:rPr>
          <w:rFonts w:eastAsia="仿宋"/>
          <w:snapToGrid w:val="0"/>
          <w:kern w:val="0"/>
          <w:sz w:val="32"/>
          <w:szCs w:val="32"/>
        </w:rPr>
        <w:t>）负责原市机关事务管理局的机关事务管理、公共机构节能等行政职责。</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w:t>
      </w:r>
      <w:r>
        <w:rPr>
          <w:rFonts w:hint="eastAsia" w:eastAsia="仿宋"/>
          <w:snapToGrid w:val="0"/>
          <w:kern w:val="0"/>
          <w:sz w:val="32"/>
          <w:szCs w:val="32"/>
        </w:rPr>
        <w:t>12</w:t>
      </w:r>
      <w:r>
        <w:rPr>
          <w:rFonts w:eastAsia="仿宋"/>
          <w:snapToGrid w:val="0"/>
          <w:kern w:val="0"/>
          <w:sz w:val="32"/>
          <w:szCs w:val="32"/>
        </w:rPr>
        <w:t>）负责市政府驻外机构的管理工作。</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w:t>
      </w:r>
      <w:r>
        <w:rPr>
          <w:rFonts w:hint="eastAsia" w:eastAsia="仿宋"/>
          <w:snapToGrid w:val="0"/>
          <w:kern w:val="0"/>
          <w:sz w:val="32"/>
          <w:szCs w:val="32"/>
        </w:rPr>
        <w:t>13</w:t>
      </w:r>
      <w:r>
        <w:rPr>
          <w:rFonts w:eastAsia="仿宋"/>
          <w:snapToGrid w:val="0"/>
          <w:kern w:val="0"/>
          <w:sz w:val="32"/>
          <w:szCs w:val="32"/>
        </w:rPr>
        <w:t>）承办市政府和市政府领导同志交办的其他事项。</w:t>
      </w:r>
    </w:p>
    <w:p>
      <w:pPr>
        <w:adjustRightInd w:val="0"/>
        <w:snapToGrid w:val="0"/>
        <w:spacing w:line="353" w:lineRule="auto"/>
        <w:rPr>
          <w:rFonts w:ascii="楷体" w:hAnsi="楷体" w:eastAsia="楷体" w:cs="楷体"/>
          <w:snapToGrid w:val="0"/>
          <w:kern w:val="0"/>
          <w:sz w:val="32"/>
          <w:szCs w:val="32"/>
        </w:rPr>
      </w:pPr>
      <w:r>
        <w:rPr>
          <w:rFonts w:hint="eastAsia" w:ascii="楷体" w:hAnsi="楷体" w:eastAsia="楷体" w:cs="楷体"/>
          <w:snapToGrid w:val="0"/>
          <w:kern w:val="0"/>
          <w:sz w:val="32"/>
          <w:szCs w:val="32"/>
        </w:rPr>
        <w:t>　　（二）市大数据中心职能简介。</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（1）贯彻执行国家、省大数据发展方针政策；开展全市大数据发展规划、政策措施、管理办法和考核细则的基础性研究工作，提出相关政策建议。</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（2）负责全市电子政务外网等基础设施建设和运维管理，为全市电子政务基础设施规划建设、组织实施、运行维护提供支撑服务。</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（3）承</w:t>
      </w:r>
      <w:r>
        <w:rPr>
          <w:rFonts w:eastAsia="仿宋"/>
          <w:snapToGrid w:val="0"/>
          <w:spacing w:val="-4"/>
          <w:kern w:val="0"/>
          <w:sz w:val="32"/>
          <w:szCs w:val="32"/>
        </w:rPr>
        <w:t>担全市政府数据、公共数据、社会数据汇聚整合、共享开放、应用融合等数据管理的具体事务性、技术性工作，为政府履行政府数据所有者职责提供支撑。负责市级政务信息资源共享交换平台等数据资源平台建设和运维管理。</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（4）为政务系统大数据发展和重大应用建设提供支撑服务，承担办公运行、工作监测、信息公开、为民服务等跨部门跨层级综合性应用系统建设、运维管理和支撑服务。对</w:t>
      </w:r>
      <w:r>
        <w:rPr>
          <w:rFonts w:hint="eastAsia" w:ascii="仿宋" w:hAnsi="仿宋" w:eastAsia="仿宋" w:cs="仿宋"/>
          <w:snapToGrid w:val="0"/>
          <w:kern w:val="0"/>
          <w:sz w:val="32"/>
          <w:szCs w:val="32"/>
        </w:rPr>
        <w:t>“</w:t>
      </w:r>
      <w:r>
        <w:rPr>
          <w:rFonts w:eastAsia="仿宋"/>
          <w:snapToGrid w:val="0"/>
          <w:kern w:val="0"/>
          <w:sz w:val="32"/>
          <w:szCs w:val="32"/>
        </w:rPr>
        <w:t>走好网上群众路线</w:t>
      </w:r>
      <w:r>
        <w:rPr>
          <w:rFonts w:hint="eastAsia" w:ascii="仿宋" w:hAnsi="仿宋" w:eastAsia="仿宋" w:cs="仿宋"/>
          <w:snapToGrid w:val="0"/>
          <w:kern w:val="0"/>
          <w:sz w:val="32"/>
          <w:szCs w:val="32"/>
        </w:rPr>
        <w:t>”</w:t>
      </w:r>
      <w:r>
        <w:rPr>
          <w:rFonts w:eastAsia="仿宋"/>
          <w:snapToGrid w:val="0"/>
          <w:kern w:val="0"/>
          <w:sz w:val="32"/>
          <w:szCs w:val="32"/>
        </w:rPr>
        <w:t>等群众诉求网络渠道办理情况进行统计分析，并提出建议。</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（5）负责攀枝花市政府网站集约化平台和政务新媒体运维建设和运维管理工作，为政务公开、信息发布、政策解读等相关工作提供支撑服务，参与全市政府网站和政务新媒体绩效评估工作。</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（6）负责统筹协调全市政府信息化建设，按照</w:t>
      </w:r>
      <w:r>
        <w:rPr>
          <w:rFonts w:hint="eastAsia" w:ascii="仿宋" w:hAnsi="仿宋" w:eastAsia="仿宋" w:cs="仿宋"/>
          <w:snapToGrid w:val="0"/>
          <w:kern w:val="0"/>
          <w:sz w:val="32"/>
          <w:szCs w:val="32"/>
        </w:rPr>
        <w:t>“</w:t>
      </w:r>
      <w:r>
        <w:rPr>
          <w:rFonts w:eastAsia="仿宋"/>
          <w:snapToGrid w:val="0"/>
          <w:kern w:val="0"/>
          <w:sz w:val="32"/>
          <w:szCs w:val="32"/>
        </w:rPr>
        <w:t>共用统建、集约发展</w:t>
      </w:r>
      <w:r>
        <w:rPr>
          <w:rFonts w:hint="eastAsia" w:ascii="仿宋" w:hAnsi="仿宋" w:eastAsia="仿宋" w:cs="仿宋"/>
          <w:snapToGrid w:val="0"/>
          <w:kern w:val="0"/>
          <w:sz w:val="32"/>
          <w:szCs w:val="32"/>
        </w:rPr>
        <w:t>”</w:t>
      </w:r>
      <w:r>
        <w:rPr>
          <w:rFonts w:eastAsia="仿宋"/>
          <w:snapToGrid w:val="0"/>
          <w:kern w:val="0"/>
          <w:sz w:val="32"/>
          <w:szCs w:val="32"/>
        </w:rPr>
        <w:t>原则，推动全市政务信息系统集约化、标准化、规范化建设，为市政府统筹全市政府信息化建设提供建议，对市级预算安排的信息化项目建设备案提出共享开放建议意见。</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（7）推进电子政务外网、政务应用系统及数据的安全体系建设和安全保障工作。</w:t>
      </w:r>
    </w:p>
    <w:p>
      <w:pPr>
        <w:adjustRightInd w:val="0"/>
        <w:snapToGrid w:val="0"/>
        <w:spacing w:line="353" w:lineRule="auto"/>
        <w:rPr>
          <w:rFonts w:ascii="楷体" w:hAnsi="楷体" w:eastAsia="楷体" w:cs="楷体"/>
          <w:snapToGrid w:val="0"/>
          <w:kern w:val="0"/>
          <w:sz w:val="32"/>
          <w:szCs w:val="32"/>
        </w:rPr>
      </w:pPr>
      <w:r>
        <w:rPr>
          <w:rFonts w:hint="eastAsia" w:ascii="楷体" w:hAnsi="楷体" w:eastAsia="楷体" w:cs="楷体"/>
          <w:snapToGrid w:val="0"/>
          <w:kern w:val="0"/>
          <w:sz w:val="32"/>
          <w:szCs w:val="32"/>
        </w:rPr>
        <w:t>　　（三）市决策咨询服务中心职能简介。</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（1）对我市经济社会发展中带战略性、综合性、前瞻性的重大问题和热点、难点问题开展调查研究，了解民意、集中民智，为市委、市政府决策提供咨询意见。</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（2）加强全市经济社会发展公共政策研究。</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（3）承担或参与全市发展战略、中长期规划、重大决策部署、重大问题、重点项目等咨询论证。</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（4）受市级部门、县（区）党委和政府以及企事业单位委托，提供政策制定、规划编制、专题研究及重要问题的咨询论证服务。</w:t>
      </w:r>
    </w:p>
    <w:p>
      <w:pPr>
        <w:adjustRightInd w:val="0"/>
        <w:snapToGrid w:val="0"/>
        <w:spacing w:line="353" w:lineRule="auto"/>
        <w:rPr>
          <w:rFonts w:ascii="楷体" w:hAnsi="楷体" w:eastAsia="楷体" w:cs="楷体"/>
          <w:snapToGrid w:val="0"/>
          <w:kern w:val="0"/>
          <w:sz w:val="32"/>
          <w:szCs w:val="32"/>
        </w:rPr>
      </w:pPr>
      <w:r>
        <w:rPr>
          <w:rFonts w:hint="eastAsia" w:ascii="楷体" w:hAnsi="楷体" w:eastAsia="楷体" w:cs="楷体"/>
          <w:snapToGrid w:val="0"/>
          <w:kern w:val="0"/>
          <w:sz w:val="32"/>
          <w:szCs w:val="32"/>
        </w:rPr>
        <w:t>　　（四）市地方志编纂中心职能简介。</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主要负责编修地方志、年鉴。负责组织编辑、出版、发行《攀枝花市志》、《攀枝花年鉴》；负责指导、督促县区志、部门志、专业志的编修，并审查验收；负责组织编辑、出版、发行《攀枝花史志》杂志。</w:t>
      </w:r>
    </w:p>
    <w:p>
      <w:pPr>
        <w:adjustRightInd w:val="0"/>
        <w:snapToGrid w:val="0"/>
        <w:spacing w:line="353" w:lineRule="auto"/>
        <w:rPr>
          <w:rFonts w:ascii="黑体" w:hAnsi="黑体" w:eastAsia="黑体" w:cs="黑体"/>
          <w:snapToGrid w:val="0"/>
          <w:kern w:val="0"/>
          <w:sz w:val="32"/>
          <w:szCs w:val="32"/>
        </w:rPr>
      </w:pPr>
      <w:bookmarkStart w:id="22" w:name="_Toc15396601"/>
      <w:bookmarkStart w:id="23" w:name="_Toc21310"/>
      <w:bookmarkStart w:id="24" w:name="_Toc137141008"/>
      <w:bookmarkStart w:id="25" w:name="_Toc15377200"/>
      <w:r>
        <w:rPr>
          <w:rFonts w:hint="eastAsia" w:ascii="黑体" w:hAnsi="黑体" w:eastAsia="黑体" w:cs="黑体"/>
          <w:snapToGrid w:val="0"/>
          <w:kern w:val="0"/>
          <w:sz w:val="32"/>
          <w:szCs w:val="32"/>
        </w:rPr>
        <w:t>　　二、机构设置</w:t>
      </w:r>
      <w:bookmarkEnd w:id="22"/>
      <w:bookmarkEnd w:id="23"/>
      <w:bookmarkEnd w:id="24"/>
      <w:bookmarkEnd w:id="25"/>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市政府办公室下属二级预算单位1个，其中行政单位0个，参照公务员法管理的事业单位1个，其他事业单位0个。</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纳入市政府办公室2022年度部门决算编制范围的二级预算单位包括：</w:t>
      </w:r>
    </w:p>
    <w:p>
      <w:pPr>
        <w:adjustRightInd w:val="0"/>
        <w:snapToGrid w:val="0"/>
        <w:spacing w:line="353" w:lineRule="auto"/>
        <w:rPr>
          <w:rFonts w:eastAsia="仿宋"/>
          <w:snapToGrid w:val="0"/>
          <w:kern w:val="0"/>
          <w:sz w:val="32"/>
          <w:szCs w:val="32"/>
        </w:rPr>
      </w:pPr>
      <w:bookmarkStart w:id="26" w:name="_Toc30899"/>
      <w:bookmarkStart w:id="27" w:name="_Toc937782471"/>
      <w:r>
        <w:rPr>
          <w:rFonts w:hint="eastAsia" w:eastAsia="仿宋"/>
          <w:snapToGrid w:val="0"/>
          <w:kern w:val="0"/>
          <w:sz w:val="32"/>
          <w:szCs w:val="32"/>
        </w:rPr>
        <w:t>　　1．</w:t>
      </w:r>
      <w:r>
        <w:rPr>
          <w:rFonts w:eastAsia="仿宋"/>
          <w:snapToGrid w:val="0"/>
          <w:kern w:val="0"/>
          <w:sz w:val="32"/>
          <w:szCs w:val="32"/>
        </w:rPr>
        <w:t>市地方志编纂中心</w:t>
      </w:r>
      <w:bookmarkEnd w:id="26"/>
      <w:bookmarkEnd w:id="27"/>
      <w:r>
        <w:rPr>
          <w:rFonts w:hint="eastAsia" w:eastAsia="仿宋"/>
          <w:snapToGrid w:val="0"/>
          <w:kern w:val="0"/>
          <w:sz w:val="32"/>
          <w:szCs w:val="32"/>
        </w:rPr>
        <w:t>。</w:t>
      </w:r>
    </w:p>
    <w:p>
      <w:pPr>
        <w:adjustRightInd w:val="0"/>
        <w:snapToGrid w:val="0"/>
        <w:spacing w:line="353" w:lineRule="auto"/>
        <w:jc w:val="center"/>
        <w:rPr>
          <w:rFonts w:eastAsia="方正小标宋_GBK"/>
          <w:snapToGrid w:val="0"/>
          <w:kern w:val="0"/>
          <w:sz w:val="44"/>
          <w:szCs w:val="44"/>
        </w:rPr>
      </w:pPr>
      <w:bookmarkStart w:id="28" w:name="_Toc626473919"/>
      <w:bookmarkStart w:id="29" w:name="_Toc4074"/>
      <w:bookmarkStart w:id="30" w:name="_Toc15396602"/>
      <w:bookmarkStart w:id="31" w:name="_Toc15377204"/>
    </w:p>
    <w:p>
      <w:pPr>
        <w:adjustRightInd w:val="0"/>
        <w:snapToGrid w:val="0"/>
        <w:spacing w:line="353" w:lineRule="auto"/>
        <w:jc w:val="center"/>
        <w:rPr>
          <w:rFonts w:eastAsia="方正小标宋_GBK"/>
          <w:snapToGrid w:val="0"/>
          <w:kern w:val="0"/>
          <w:sz w:val="44"/>
          <w:szCs w:val="44"/>
        </w:rPr>
      </w:pPr>
    </w:p>
    <w:p>
      <w:pPr>
        <w:adjustRightInd w:val="0"/>
        <w:snapToGrid w:val="0"/>
        <w:spacing w:line="353" w:lineRule="auto"/>
        <w:jc w:val="center"/>
        <w:rPr>
          <w:rFonts w:eastAsia="方正小标宋_GBK"/>
          <w:snapToGrid w:val="0"/>
          <w:kern w:val="0"/>
          <w:sz w:val="44"/>
          <w:szCs w:val="44"/>
        </w:rPr>
      </w:pPr>
    </w:p>
    <w:p>
      <w:pPr>
        <w:adjustRightInd w:val="0"/>
        <w:snapToGrid w:val="0"/>
        <w:spacing w:line="353" w:lineRule="auto"/>
        <w:jc w:val="center"/>
        <w:rPr>
          <w:rFonts w:eastAsia="方正小标宋_GBK"/>
          <w:snapToGrid w:val="0"/>
          <w:kern w:val="0"/>
          <w:sz w:val="44"/>
          <w:szCs w:val="44"/>
        </w:rPr>
      </w:pPr>
    </w:p>
    <w:p>
      <w:pPr>
        <w:adjustRightInd w:val="0"/>
        <w:snapToGrid w:val="0"/>
        <w:spacing w:line="353" w:lineRule="auto"/>
        <w:jc w:val="center"/>
        <w:rPr>
          <w:rFonts w:eastAsia="方正小标宋_GBK"/>
          <w:snapToGrid w:val="0"/>
          <w:kern w:val="0"/>
          <w:sz w:val="44"/>
          <w:szCs w:val="44"/>
        </w:rPr>
      </w:pPr>
    </w:p>
    <w:p>
      <w:pPr>
        <w:adjustRightInd w:val="0"/>
        <w:snapToGrid w:val="0"/>
        <w:spacing w:line="353" w:lineRule="auto"/>
        <w:jc w:val="center"/>
        <w:rPr>
          <w:rFonts w:eastAsia="方正小标宋_GBK"/>
          <w:snapToGrid w:val="0"/>
          <w:kern w:val="0"/>
          <w:sz w:val="44"/>
          <w:szCs w:val="44"/>
        </w:rPr>
      </w:pPr>
    </w:p>
    <w:p>
      <w:pPr>
        <w:adjustRightInd w:val="0"/>
        <w:snapToGrid w:val="0"/>
        <w:spacing w:line="300" w:lineRule="auto"/>
        <w:rPr>
          <w:rFonts w:eastAsia="方正小标宋_GBK"/>
          <w:snapToGrid w:val="0"/>
          <w:kern w:val="0"/>
          <w:sz w:val="44"/>
          <w:szCs w:val="44"/>
        </w:rPr>
      </w:pPr>
    </w:p>
    <w:p>
      <w:pPr>
        <w:adjustRightInd w:val="0"/>
        <w:snapToGrid w:val="0"/>
        <w:spacing w:line="300" w:lineRule="auto"/>
        <w:jc w:val="center"/>
        <w:rPr>
          <w:rFonts w:eastAsia="仿宋"/>
          <w:snapToGrid w:val="0"/>
          <w:kern w:val="0"/>
          <w:sz w:val="32"/>
          <w:szCs w:val="32"/>
        </w:rPr>
      </w:pPr>
      <w:r>
        <w:rPr>
          <w:rFonts w:eastAsia="方正小标宋_GBK"/>
          <w:snapToGrid w:val="0"/>
          <w:kern w:val="0"/>
          <w:sz w:val="44"/>
          <w:szCs w:val="44"/>
        </w:rPr>
        <w:t>第二部分　2022年度部门决算情况说明</w:t>
      </w:r>
      <w:bookmarkEnd w:id="28"/>
      <w:bookmarkEnd w:id="29"/>
      <w:bookmarkEnd w:id="30"/>
      <w:bookmarkEnd w:id="31"/>
    </w:p>
    <w:p>
      <w:pPr>
        <w:adjustRightInd w:val="0"/>
        <w:snapToGrid w:val="0"/>
        <w:spacing w:line="353" w:lineRule="auto"/>
        <w:rPr>
          <w:rFonts w:ascii="黑体" w:hAnsi="黑体" w:eastAsia="黑体" w:cs="黑体"/>
          <w:snapToGrid w:val="0"/>
          <w:kern w:val="0"/>
          <w:sz w:val="32"/>
          <w:szCs w:val="32"/>
        </w:rPr>
      </w:pPr>
      <w:bookmarkStart w:id="32" w:name="_Toc15377205"/>
      <w:bookmarkStart w:id="33" w:name="_Toc15396603"/>
      <w:bookmarkStart w:id="34" w:name="_Toc21680"/>
      <w:bookmarkStart w:id="35" w:name="_Toc1408057752"/>
    </w:p>
    <w:p>
      <w:pPr>
        <w:adjustRightInd w:val="0"/>
        <w:snapToGrid w:val="0"/>
        <w:spacing w:line="353"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一、收入支出决算总体情况说明</w:t>
      </w:r>
      <w:bookmarkEnd w:id="32"/>
      <w:bookmarkEnd w:id="33"/>
      <w:bookmarkEnd w:id="34"/>
      <w:bookmarkEnd w:id="35"/>
    </w:p>
    <w:p>
      <w:pPr>
        <w:adjustRightInd w:val="0"/>
        <w:snapToGrid w:val="0"/>
        <w:spacing w:line="353" w:lineRule="auto"/>
        <w:rPr>
          <w:rFonts w:eastAsia="仿宋"/>
          <w:snapToGrid w:val="0"/>
          <w:kern w:val="0"/>
          <w:sz w:val="32"/>
          <w:szCs w:val="32"/>
        </w:rPr>
      </w:pPr>
      <w:r>
        <w:drawing>
          <wp:anchor distT="0" distB="0" distL="114300" distR="114300" simplePos="0" relativeHeight="251659264" behindDoc="0" locked="0" layoutInCell="1" allowOverlap="1">
            <wp:simplePos x="0" y="0"/>
            <wp:positionH relativeFrom="column">
              <wp:posOffset>24765</wp:posOffset>
            </wp:positionH>
            <wp:positionV relativeFrom="paragraph">
              <wp:posOffset>2232660</wp:posOffset>
            </wp:positionV>
            <wp:extent cx="5224145" cy="2924175"/>
            <wp:effectExtent l="4445" t="4445" r="10160" b="5080"/>
            <wp:wrapNone/>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hint="eastAsia" w:eastAsia="仿宋"/>
          <w:snapToGrid w:val="0"/>
          <w:kern w:val="0"/>
          <w:sz w:val="32"/>
          <w:szCs w:val="32"/>
        </w:rPr>
        <w:t>　　</w:t>
      </w:r>
      <w:r>
        <w:rPr>
          <w:rFonts w:eastAsia="仿宋"/>
          <w:snapToGrid w:val="0"/>
          <w:kern w:val="0"/>
          <w:sz w:val="32"/>
          <w:szCs w:val="32"/>
        </w:rPr>
        <w:t>2022年度收、支总计均为4315.73万元。与2021年相比，收、支总计各增加464.86万元，增长12.07%。主要变动原因：一是市政府办公室（本级）新增划转市大数据中心及市决策咨询</w:t>
      </w:r>
      <w:r>
        <w:rPr>
          <w:rFonts w:hint="eastAsia" w:eastAsia="仿宋"/>
          <w:snapToGrid w:val="0"/>
          <w:kern w:val="0"/>
          <w:sz w:val="32"/>
          <w:szCs w:val="32"/>
        </w:rPr>
        <w:t>服务</w:t>
      </w:r>
      <w:r>
        <w:rPr>
          <w:rFonts w:eastAsia="仿宋"/>
          <w:snapToGrid w:val="0"/>
          <w:kern w:val="0"/>
          <w:sz w:val="32"/>
          <w:szCs w:val="32"/>
        </w:rPr>
        <w:t>中心两个机构，导致人员经费和公用经费增加。二是市地方志编纂中心有新进入人员，导致人员经费和公用经费有所增加。</w:t>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pStyle w:val="5"/>
        <w:spacing w:before="93"/>
        <w:rPr>
          <w:rFonts w:ascii="仿宋" w:hAnsi="仿宋" w:eastAsia="仿宋"/>
          <w:sz w:val="32"/>
          <w:szCs w:val="32"/>
        </w:rPr>
      </w:pPr>
    </w:p>
    <w:p>
      <w:pPr>
        <w:pStyle w:val="5"/>
        <w:spacing w:before="93"/>
        <w:rPr>
          <w:rFonts w:ascii="仿宋" w:hAnsi="仿宋" w:eastAsia="仿宋"/>
          <w:sz w:val="32"/>
          <w:szCs w:val="32"/>
        </w:rPr>
      </w:pPr>
    </w:p>
    <w:p>
      <w:pPr>
        <w:pStyle w:val="5"/>
        <w:spacing w:before="93"/>
        <w:rPr>
          <w:rFonts w:ascii="仿宋" w:hAnsi="仿宋" w:eastAsia="仿宋"/>
          <w:sz w:val="32"/>
          <w:szCs w:val="32"/>
        </w:rPr>
      </w:pPr>
    </w:p>
    <w:p>
      <w:pPr>
        <w:spacing w:line="600" w:lineRule="exact"/>
        <w:rPr>
          <w:rFonts w:ascii="仿宋" w:hAnsi="仿宋" w:eastAsia="仿宋"/>
          <w:sz w:val="32"/>
          <w:szCs w:val="32"/>
        </w:rPr>
      </w:pPr>
    </w:p>
    <w:p>
      <w:pPr>
        <w:spacing w:line="329" w:lineRule="auto"/>
        <w:ind w:firstLine="640" w:firstLineChars="200"/>
        <w:jc w:val="center"/>
        <w:rPr>
          <w:rFonts w:eastAsia="仿宋"/>
          <w:sz w:val="32"/>
          <w:szCs w:val="32"/>
        </w:rPr>
      </w:pPr>
      <w:r>
        <w:rPr>
          <w:rFonts w:eastAsia="仿宋"/>
          <w:sz w:val="32"/>
          <w:szCs w:val="32"/>
        </w:rPr>
        <w:t>（图1：收、支决算总计变动情况图）</w:t>
      </w:r>
    </w:p>
    <w:p>
      <w:pPr>
        <w:adjustRightInd w:val="0"/>
        <w:snapToGrid w:val="0"/>
        <w:spacing w:line="329" w:lineRule="auto"/>
        <w:rPr>
          <w:rFonts w:ascii="黑体" w:hAnsi="黑体" w:eastAsia="黑体" w:cs="黑体"/>
          <w:snapToGrid w:val="0"/>
          <w:kern w:val="0"/>
          <w:sz w:val="32"/>
          <w:szCs w:val="32"/>
        </w:rPr>
      </w:pPr>
      <w:bookmarkStart w:id="36" w:name="_Toc15377206"/>
      <w:bookmarkStart w:id="37" w:name="_Toc17290"/>
      <w:bookmarkStart w:id="38" w:name="_Toc15396604"/>
      <w:bookmarkStart w:id="39" w:name="_Toc890603444"/>
      <w:r>
        <w:rPr>
          <w:rFonts w:hint="eastAsia" w:ascii="黑体" w:hAnsi="黑体" w:eastAsia="黑体" w:cs="黑体"/>
          <w:snapToGrid w:val="0"/>
          <w:kern w:val="0"/>
          <w:sz w:val="32"/>
          <w:szCs w:val="32"/>
        </w:rPr>
        <w:t>　　二、收入决算情况说明</w:t>
      </w:r>
      <w:bookmarkEnd w:id="36"/>
      <w:bookmarkEnd w:id="37"/>
      <w:bookmarkEnd w:id="38"/>
      <w:bookmarkEnd w:id="39"/>
    </w:p>
    <w:p>
      <w:pPr>
        <w:adjustRightInd w:val="0"/>
        <w:snapToGrid w:val="0"/>
        <w:spacing w:line="329" w:lineRule="auto"/>
        <w:rPr>
          <w:rFonts w:eastAsia="仿宋"/>
          <w:snapToGrid w:val="0"/>
          <w:kern w:val="0"/>
          <w:sz w:val="32"/>
          <w:szCs w:val="32"/>
        </w:rPr>
      </w:pPr>
      <w:bookmarkStart w:id="40" w:name="_Toc27179"/>
      <w:bookmarkStart w:id="41" w:name="_Toc400264135"/>
      <w:r>
        <w:rPr>
          <w:rFonts w:hint="eastAsia" w:eastAsia="仿宋"/>
          <w:snapToGrid w:val="0"/>
          <w:kern w:val="0"/>
          <w:sz w:val="32"/>
          <w:szCs w:val="32"/>
        </w:rPr>
        <w:t>　　</w:t>
      </w:r>
      <w:r>
        <w:rPr>
          <w:rFonts w:eastAsia="仿宋"/>
          <w:snapToGrid w:val="0"/>
          <w:kern w:val="0"/>
          <w:sz w:val="32"/>
          <w:szCs w:val="32"/>
        </w:rPr>
        <w:t>2022年本年收入合计4075.26万元，其中：一般公共预算财政拨款收入4072.25万元，占99.93%；政府性基金预算财政拨款收入0万元，占0%；国有资本经营预算财政拨款收入0万元，占0%；上级补助收入0万元，占0%；事业收入0万元，占0%；经营收入0万元，占0%；附属单位上缴收入0万元，占0%；其他收入3.01万元，占0.07%。</w:t>
      </w:r>
      <w:bookmarkEnd w:id="40"/>
      <w:bookmarkEnd w:id="41"/>
    </w:p>
    <w:p>
      <w:pPr>
        <w:spacing w:line="600" w:lineRule="exact"/>
        <w:outlineLvl w:val="1"/>
        <w:rPr>
          <w:rFonts w:ascii="仿宋" w:hAnsi="仿宋" w:eastAsia="仿宋"/>
          <w:sz w:val="32"/>
          <w:szCs w:val="32"/>
        </w:rPr>
      </w:pPr>
      <w:r>
        <w:drawing>
          <wp:anchor distT="0" distB="0" distL="114300" distR="114300" simplePos="0" relativeHeight="251660288" behindDoc="0" locked="0" layoutInCell="1" allowOverlap="1">
            <wp:simplePos x="0" y="0"/>
            <wp:positionH relativeFrom="column">
              <wp:posOffset>66675</wp:posOffset>
            </wp:positionH>
            <wp:positionV relativeFrom="paragraph">
              <wp:posOffset>635</wp:posOffset>
            </wp:positionV>
            <wp:extent cx="5169535" cy="2833370"/>
            <wp:effectExtent l="4445" t="4445" r="7620" b="19685"/>
            <wp:wrapNone/>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pStyle w:val="5"/>
        <w:spacing w:before="93"/>
        <w:rPr>
          <w:rFonts w:ascii="仿宋" w:hAnsi="仿宋" w:eastAsia="仿宋"/>
          <w:sz w:val="32"/>
          <w:szCs w:val="32"/>
        </w:rPr>
      </w:pPr>
    </w:p>
    <w:p>
      <w:pPr>
        <w:pStyle w:val="5"/>
        <w:spacing w:before="93"/>
        <w:rPr>
          <w:rFonts w:ascii="仿宋" w:hAnsi="仿宋" w:eastAsia="仿宋"/>
          <w:sz w:val="32"/>
          <w:szCs w:val="32"/>
        </w:rPr>
      </w:pPr>
    </w:p>
    <w:p>
      <w:pPr>
        <w:pStyle w:val="5"/>
        <w:spacing w:before="93"/>
        <w:rPr>
          <w:rFonts w:ascii="仿宋" w:hAnsi="仿宋" w:eastAsia="仿宋"/>
          <w:sz w:val="32"/>
          <w:szCs w:val="32"/>
        </w:rPr>
      </w:pPr>
    </w:p>
    <w:p>
      <w:pPr>
        <w:spacing w:line="600" w:lineRule="exact"/>
        <w:ind w:firstLine="640" w:firstLineChars="200"/>
        <w:rPr>
          <w:rFonts w:ascii="仿宋" w:hAnsi="仿宋" w:eastAsia="仿宋"/>
          <w:sz w:val="32"/>
          <w:szCs w:val="32"/>
        </w:rPr>
      </w:pPr>
    </w:p>
    <w:p>
      <w:pPr>
        <w:pStyle w:val="5"/>
        <w:spacing w:before="93"/>
        <w:rPr>
          <w:rFonts w:ascii="仿宋" w:hAnsi="仿宋" w:eastAsia="仿宋"/>
          <w:sz w:val="32"/>
          <w:szCs w:val="32"/>
        </w:rPr>
      </w:pPr>
    </w:p>
    <w:p>
      <w:pPr>
        <w:adjustRightInd w:val="0"/>
        <w:snapToGrid w:val="0"/>
        <w:spacing w:line="353" w:lineRule="auto"/>
        <w:jc w:val="center"/>
        <w:rPr>
          <w:rFonts w:eastAsia="黑体"/>
          <w:sz w:val="32"/>
          <w:szCs w:val="32"/>
        </w:rPr>
      </w:pPr>
    </w:p>
    <w:p>
      <w:pPr>
        <w:adjustRightInd w:val="0"/>
        <w:snapToGrid w:val="0"/>
        <w:spacing w:line="324" w:lineRule="auto"/>
        <w:jc w:val="center"/>
        <w:rPr>
          <w:rFonts w:eastAsia="仿宋"/>
          <w:sz w:val="32"/>
          <w:szCs w:val="32"/>
        </w:rPr>
      </w:pPr>
      <w:r>
        <w:rPr>
          <w:rFonts w:eastAsia="仿宋"/>
          <w:sz w:val="32"/>
          <w:szCs w:val="32"/>
        </w:rPr>
        <w:t>（图2：收入决算结构图）</w:t>
      </w:r>
      <w:bookmarkStart w:id="42" w:name="_Toc477135223"/>
      <w:bookmarkStart w:id="43" w:name="_Toc21044"/>
      <w:bookmarkStart w:id="44" w:name="_Toc15396605"/>
      <w:bookmarkStart w:id="45" w:name="_Toc15377207"/>
    </w:p>
    <w:p>
      <w:pPr>
        <w:adjustRightInd w:val="0"/>
        <w:snapToGrid w:val="0"/>
        <w:spacing w:line="324" w:lineRule="auto"/>
        <w:jc w:val="left"/>
        <w:rPr>
          <w:rFonts w:ascii="黑体" w:hAnsi="黑体" w:eastAsia="黑体" w:cs="黑体"/>
          <w:snapToGrid w:val="0"/>
          <w:kern w:val="0"/>
          <w:sz w:val="32"/>
          <w:szCs w:val="32"/>
        </w:rPr>
      </w:pPr>
      <w:r>
        <w:rPr>
          <w:rFonts w:hint="eastAsia" w:ascii="黑体" w:hAnsi="黑体" w:eastAsia="黑体" w:cs="黑体"/>
          <w:snapToGrid w:val="0"/>
          <w:kern w:val="0"/>
          <w:sz w:val="32"/>
          <w:szCs w:val="32"/>
        </w:rPr>
        <w:t>　　三、支出决算情况说明</w:t>
      </w:r>
      <w:bookmarkEnd w:id="42"/>
      <w:bookmarkEnd w:id="43"/>
      <w:bookmarkEnd w:id="44"/>
      <w:bookmarkEnd w:id="45"/>
    </w:p>
    <w:p>
      <w:pPr>
        <w:adjustRightInd w:val="0"/>
        <w:snapToGrid w:val="0"/>
        <w:spacing w:line="324" w:lineRule="auto"/>
        <w:rPr>
          <w:rFonts w:ascii="仿宋" w:hAnsi="仿宋" w:eastAsia="仿宋"/>
          <w:sz w:val="32"/>
          <w:szCs w:val="32"/>
        </w:rPr>
      </w:pPr>
      <w:bookmarkStart w:id="46" w:name="_Toc18926"/>
      <w:bookmarkStart w:id="47" w:name="_Toc1500961194"/>
      <w:r>
        <w:drawing>
          <wp:anchor distT="0" distB="0" distL="114300" distR="114300" simplePos="0" relativeHeight="251664384" behindDoc="0" locked="0" layoutInCell="1" allowOverlap="1">
            <wp:simplePos x="0" y="0"/>
            <wp:positionH relativeFrom="column">
              <wp:posOffset>-3175</wp:posOffset>
            </wp:positionH>
            <wp:positionV relativeFrom="paragraph">
              <wp:posOffset>1404620</wp:posOffset>
            </wp:positionV>
            <wp:extent cx="5249545" cy="2607945"/>
            <wp:effectExtent l="4445" t="4445" r="22860" b="16510"/>
            <wp:wrapNone/>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eastAsia="仿宋"/>
          <w:snapToGrid w:val="0"/>
          <w:kern w:val="0"/>
          <w:sz w:val="32"/>
          <w:szCs w:val="32"/>
        </w:rPr>
        <w:t>　　</w:t>
      </w:r>
      <w:r>
        <w:rPr>
          <w:rFonts w:eastAsia="仿宋"/>
          <w:snapToGrid w:val="0"/>
          <w:kern w:val="0"/>
          <w:sz w:val="32"/>
          <w:szCs w:val="32"/>
        </w:rPr>
        <w:t>2022年本年支出合计4296.03万元，其中：基本支出3767.52万元，占87.70%；项目支出528.51万元，占12.30%；上缴上级支出0万元，占0%；经营支出0万元，占0%；对附属单位补助支出0万元，占0%。</w:t>
      </w:r>
      <w:bookmarkEnd w:id="46"/>
      <w:bookmarkEnd w:id="47"/>
    </w:p>
    <w:p>
      <w:pPr>
        <w:spacing w:line="600" w:lineRule="exact"/>
        <w:ind w:firstLine="640"/>
        <w:rPr>
          <w:rFonts w:ascii="仿宋" w:hAnsi="仿宋" w:eastAsia="仿宋"/>
          <w:sz w:val="32"/>
          <w:szCs w:val="32"/>
          <w:shd w:val="pct10" w:color="auto" w:fill="FFFFFF"/>
        </w:rPr>
      </w:pPr>
    </w:p>
    <w:p>
      <w:pPr>
        <w:pStyle w:val="5"/>
        <w:spacing w:before="93"/>
        <w:rPr>
          <w:rFonts w:ascii="仿宋" w:hAnsi="仿宋" w:eastAsia="仿宋"/>
          <w:sz w:val="32"/>
          <w:szCs w:val="32"/>
          <w:shd w:val="pct10" w:color="auto" w:fill="FFFFFF"/>
        </w:rPr>
      </w:pPr>
    </w:p>
    <w:p>
      <w:pPr>
        <w:pStyle w:val="5"/>
        <w:spacing w:before="93"/>
        <w:rPr>
          <w:rFonts w:ascii="仿宋" w:hAnsi="仿宋" w:eastAsia="仿宋"/>
          <w:sz w:val="32"/>
          <w:szCs w:val="32"/>
          <w:shd w:val="pct10" w:color="auto" w:fill="FFFFFF"/>
        </w:rPr>
      </w:pPr>
    </w:p>
    <w:p>
      <w:pPr>
        <w:pStyle w:val="5"/>
        <w:spacing w:before="93"/>
        <w:rPr>
          <w:rFonts w:ascii="仿宋" w:hAnsi="仿宋" w:eastAsia="仿宋"/>
          <w:sz w:val="32"/>
          <w:szCs w:val="32"/>
          <w:shd w:val="pct10" w:color="auto" w:fill="FFFFFF"/>
        </w:rPr>
      </w:pPr>
    </w:p>
    <w:p>
      <w:pPr>
        <w:pStyle w:val="5"/>
        <w:spacing w:before="93"/>
        <w:rPr>
          <w:rFonts w:ascii="仿宋" w:hAnsi="仿宋" w:eastAsia="仿宋"/>
          <w:sz w:val="32"/>
          <w:szCs w:val="32"/>
          <w:shd w:val="pct10" w:color="auto" w:fill="FFFFFF"/>
        </w:rPr>
      </w:pPr>
    </w:p>
    <w:p>
      <w:pPr>
        <w:adjustRightInd w:val="0"/>
        <w:snapToGrid w:val="0"/>
        <w:spacing w:line="353" w:lineRule="auto"/>
        <w:jc w:val="center"/>
        <w:rPr>
          <w:rFonts w:eastAsia="黑体"/>
          <w:sz w:val="32"/>
          <w:szCs w:val="32"/>
        </w:rPr>
      </w:pPr>
    </w:p>
    <w:p>
      <w:pPr>
        <w:adjustRightInd w:val="0"/>
        <w:snapToGrid w:val="0"/>
        <w:spacing w:line="339" w:lineRule="auto"/>
        <w:jc w:val="center"/>
        <w:rPr>
          <w:rFonts w:eastAsia="黑体"/>
          <w:sz w:val="32"/>
          <w:szCs w:val="32"/>
        </w:rPr>
      </w:pPr>
      <w:r>
        <w:rPr>
          <w:rFonts w:eastAsia="仿宋"/>
          <w:sz w:val="32"/>
          <w:szCs w:val="32"/>
        </w:rPr>
        <w:t>（图3：支出决算结构图）</w:t>
      </w:r>
    </w:p>
    <w:p>
      <w:pPr>
        <w:adjustRightInd w:val="0"/>
        <w:snapToGrid w:val="0"/>
        <w:spacing w:line="339" w:lineRule="auto"/>
        <w:rPr>
          <w:rFonts w:ascii="黑体" w:hAnsi="黑体" w:eastAsia="黑体" w:cs="黑体"/>
          <w:snapToGrid w:val="0"/>
          <w:kern w:val="0"/>
          <w:sz w:val="32"/>
          <w:szCs w:val="32"/>
        </w:rPr>
      </w:pPr>
      <w:bookmarkStart w:id="48" w:name="_Toc1859028059"/>
      <w:bookmarkStart w:id="49" w:name="_Toc15396606"/>
      <w:bookmarkStart w:id="50" w:name="_Toc15377208"/>
      <w:bookmarkStart w:id="51" w:name="_Toc23409"/>
      <w:r>
        <w:rPr>
          <w:rFonts w:hint="eastAsia" w:ascii="黑体" w:hAnsi="黑体" w:eastAsia="黑体" w:cs="黑体"/>
          <w:snapToGrid w:val="0"/>
          <w:kern w:val="0"/>
          <w:sz w:val="32"/>
          <w:szCs w:val="32"/>
        </w:rPr>
        <w:t>　　四、财政拨款收入支出决算总体情况说明</w:t>
      </w:r>
      <w:bookmarkEnd w:id="48"/>
      <w:bookmarkEnd w:id="49"/>
      <w:bookmarkEnd w:id="50"/>
      <w:bookmarkEnd w:id="51"/>
    </w:p>
    <w:p>
      <w:pPr>
        <w:adjustRightInd w:val="0"/>
        <w:snapToGrid w:val="0"/>
        <w:spacing w:line="339" w:lineRule="auto"/>
        <w:rPr>
          <w:rFonts w:eastAsia="仿宋"/>
          <w:snapToGrid w:val="0"/>
          <w:kern w:val="0"/>
          <w:sz w:val="32"/>
          <w:szCs w:val="32"/>
        </w:rPr>
      </w:pPr>
      <w:r>
        <w:drawing>
          <wp:anchor distT="0" distB="0" distL="114300" distR="114300" simplePos="0" relativeHeight="251661312" behindDoc="0" locked="0" layoutInCell="1" allowOverlap="1">
            <wp:simplePos x="0" y="0"/>
            <wp:positionH relativeFrom="column">
              <wp:posOffset>8890</wp:posOffset>
            </wp:positionH>
            <wp:positionV relativeFrom="paragraph">
              <wp:posOffset>2185670</wp:posOffset>
            </wp:positionV>
            <wp:extent cx="5283200" cy="2961640"/>
            <wp:effectExtent l="4445" t="4445" r="8255" b="5715"/>
            <wp:wrapNone/>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eastAsia" w:eastAsia="仿宋"/>
          <w:snapToGrid w:val="0"/>
          <w:kern w:val="0"/>
          <w:sz w:val="32"/>
          <w:szCs w:val="32"/>
        </w:rPr>
        <w:t>　　</w:t>
      </w:r>
      <w:r>
        <w:rPr>
          <w:rFonts w:eastAsia="仿宋"/>
          <w:snapToGrid w:val="0"/>
          <w:kern w:val="0"/>
          <w:sz w:val="32"/>
          <w:szCs w:val="32"/>
        </w:rPr>
        <w:t>2022年财政拨款收、支总计4312.72万元。与2021年相比，财政拨款收、支总计各增加463.85万元，增长12.05%。主要变动原因：一是市政府办公室（本级）新增划转市大数据中心及市决策咨询</w:t>
      </w:r>
      <w:r>
        <w:rPr>
          <w:rFonts w:hint="eastAsia" w:eastAsia="仿宋"/>
          <w:snapToGrid w:val="0"/>
          <w:kern w:val="0"/>
          <w:sz w:val="32"/>
          <w:szCs w:val="32"/>
        </w:rPr>
        <w:t>服务</w:t>
      </w:r>
      <w:r>
        <w:rPr>
          <w:rFonts w:eastAsia="仿宋"/>
          <w:snapToGrid w:val="0"/>
          <w:kern w:val="0"/>
          <w:sz w:val="32"/>
          <w:szCs w:val="32"/>
        </w:rPr>
        <w:t>中心两个机构，导致人员经费和公用经费增加。二是市地方志编纂中心有新进入人员，导致人员经费和公用经费有所增加。</w:t>
      </w:r>
    </w:p>
    <w:p>
      <w:pPr>
        <w:spacing w:line="600" w:lineRule="exact"/>
        <w:ind w:firstLine="640"/>
        <w:rPr>
          <w:rFonts w:ascii="仿宋" w:hAnsi="仿宋" w:eastAsia="仿宋"/>
          <w:sz w:val="32"/>
          <w:szCs w:val="32"/>
        </w:rPr>
      </w:pPr>
    </w:p>
    <w:p>
      <w:pPr>
        <w:spacing w:line="600" w:lineRule="exact"/>
        <w:rPr>
          <w:rFonts w:ascii="仿宋" w:hAnsi="仿宋" w:eastAsia="仿宋"/>
          <w:sz w:val="32"/>
          <w:szCs w:val="32"/>
        </w:rPr>
      </w:pPr>
    </w:p>
    <w:p>
      <w:pPr>
        <w:pStyle w:val="5"/>
        <w:spacing w:before="93"/>
      </w:pPr>
    </w:p>
    <w:p>
      <w:pPr>
        <w:pStyle w:val="5"/>
        <w:spacing w:before="93"/>
      </w:pPr>
    </w:p>
    <w:p>
      <w:pPr>
        <w:pStyle w:val="5"/>
        <w:spacing w:before="93"/>
      </w:pPr>
    </w:p>
    <w:p>
      <w:pPr>
        <w:pStyle w:val="5"/>
        <w:spacing w:before="93"/>
      </w:pPr>
    </w:p>
    <w:p>
      <w:pPr>
        <w:pStyle w:val="5"/>
        <w:spacing w:before="93"/>
      </w:pPr>
    </w:p>
    <w:p>
      <w:pPr>
        <w:adjustRightInd w:val="0"/>
        <w:snapToGrid w:val="0"/>
        <w:spacing w:line="317" w:lineRule="auto"/>
        <w:jc w:val="center"/>
        <w:rPr>
          <w:rFonts w:eastAsia="仿宋"/>
          <w:b/>
          <w:sz w:val="32"/>
          <w:szCs w:val="32"/>
        </w:rPr>
      </w:pPr>
      <w:r>
        <w:rPr>
          <w:rFonts w:eastAsia="仿宋"/>
          <w:sz w:val="32"/>
          <w:szCs w:val="32"/>
        </w:rPr>
        <w:t>（图4：财政拨款收、支决算总计变动情况）</w:t>
      </w:r>
    </w:p>
    <w:p>
      <w:pPr>
        <w:adjustRightInd w:val="0"/>
        <w:snapToGrid w:val="0"/>
        <w:spacing w:line="317" w:lineRule="auto"/>
        <w:rPr>
          <w:rFonts w:ascii="黑体" w:hAnsi="黑体" w:eastAsia="黑体" w:cs="黑体"/>
          <w:snapToGrid w:val="0"/>
          <w:kern w:val="0"/>
          <w:sz w:val="32"/>
          <w:szCs w:val="32"/>
        </w:rPr>
      </w:pPr>
      <w:bookmarkStart w:id="52" w:name="_Toc15377209"/>
      <w:bookmarkStart w:id="53" w:name="_Toc30657"/>
      <w:bookmarkStart w:id="54" w:name="_Toc1012199546"/>
      <w:bookmarkStart w:id="55" w:name="_Toc15396607"/>
      <w:r>
        <w:rPr>
          <w:rFonts w:hint="eastAsia" w:ascii="黑体" w:hAnsi="黑体" w:eastAsia="黑体" w:cs="黑体"/>
          <w:snapToGrid w:val="0"/>
          <w:kern w:val="0"/>
          <w:sz w:val="32"/>
          <w:szCs w:val="32"/>
        </w:rPr>
        <w:t>　　五、一般公共预算财政拨款支出决算情况说明</w:t>
      </w:r>
      <w:bookmarkEnd w:id="52"/>
      <w:bookmarkEnd w:id="53"/>
      <w:bookmarkEnd w:id="54"/>
      <w:bookmarkEnd w:id="55"/>
    </w:p>
    <w:p>
      <w:pPr>
        <w:adjustRightInd w:val="0"/>
        <w:snapToGrid w:val="0"/>
        <w:spacing w:line="317" w:lineRule="auto"/>
        <w:rPr>
          <w:rFonts w:ascii="楷体" w:hAnsi="楷体" w:eastAsia="楷体" w:cs="楷体"/>
          <w:snapToGrid w:val="0"/>
          <w:kern w:val="0"/>
          <w:sz w:val="32"/>
          <w:szCs w:val="32"/>
        </w:rPr>
      </w:pPr>
      <w:bookmarkStart w:id="56" w:name="_Toc15377210"/>
      <w:bookmarkStart w:id="57" w:name="_Toc1075569028"/>
      <w:bookmarkStart w:id="58" w:name="_Toc16244"/>
      <w:r>
        <w:rPr>
          <w:rFonts w:hint="eastAsia" w:ascii="楷体" w:hAnsi="楷体" w:eastAsia="楷体" w:cs="楷体"/>
          <w:snapToGrid w:val="0"/>
          <w:kern w:val="0"/>
          <w:sz w:val="32"/>
          <w:szCs w:val="32"/>
        </w:rPr>
        <w:t>　　（一）一般公共预算财政拨款支出决算总体情况</w:t>
      </w:r>
      <w:bookmarkEnd w:id="56"/>
      <w:bookmarkEnd w:id="57"/>
      <w:bookmarkEnd w:id="58"/>
      <w:r>
        <w:rPr>
          <w:rFonts w:hint="eastAsia" w:ascii="楷体" w:hAnsi="楷体" w:eastAsia="楷体" w:cs="楷体"/>
          <w:snapToGrid w:val="0"/>
          <w:kern w:val="0"/>
          <w:sz w:val="32"/>
          <w:szCs w:val="32"/>
        </w:rPr>
        <w:t>。</w:t>
      </w:r>
    </w:p>
    <w:p>
      <w:pPr>
        <w:adjustRightInd w:val="0"/>
        <w:snapToGrid w:val="0"/>
        <w:spacing w:line="317" w:lineRule="auto"/>
        <w:rPr>
          <w:rFonts w:eastAsia="仿宋"/>
          <w:snapToGrid w:val="0"/>
          <w:kern w:val="0"/>
          <w:sz w:val="32"/>
          <w:szCs w:val="32"/>
        </w:rPr>
      </w:pPr>
      <w:r>
        <w:rPr>
          <w:rFonts w:hint="eastAsia" w:eastAsia="仿宋"/>
          <w:snapToGrid w:val="0"/>
          <w:kern w:val="0"/>
          <w:sz w:val="32"/>
          <w:szCs w:val="32"/>
        </w:rPr>
        <w:t>　　</w:t>
      </w:r>
      <w:r>
        <w:rPr>
          <w:rFonts w:eastAsia="仿宋"/>
          <w:snapToGrid w:val="0"/>
          <w:spacing w:val="4"/>
          <w:kern w:val="0"/>
          <w:sz w:val="32"/>
          <w:szCs w:val="32"/>
        </w:rPr>
        <w:t>2022年一般公共预算财政拨款支出4293.02万元，占本年支出合计的99.93%。与2021年相比，一般公共预算财政拨款支出增加545.32万元，增长14.55%。主要变动原因一是市政府办公室（本级）新增划转市大数据中心及市决策咨询</w:t>
      </w:r>
      <w:r>
        <w:rPr>
          <w:rFonts w:hint="eastAsia" w:eastAsia="仿宋"/>
          <w:snapToGrid w:val="0"/>
          <w:spacing w:val="4"/>
          <w:kern w:val="0"/>
          <w:sz w:val="32"/>
          <w:szCs w:val="32"/>
        </w:rPr>
        <w:t>服务</w:t>
      </w:r>
      <w:r>
        <w:rPr>
          <w:rFonts w:eastAsia="仿宋"/>
          <w:snapToGrid w:val="0"/>
          <w:spacing w:val="4"/>
          <w:kern w:val="0"/>
          <w:sz w:val="32"/>
          <w:szCs w:val="32"/>
        </w:rPr>
        <w:t>中心两个机构，导致人员经费和公用经费增</w:t>
      </w:r>
      <w:r>
        <w:drawing>
          <wp:anchor distT="0" distB="0" distL="114300" distR="114300" simplePos="0" relativeHeight="251662336" behindDoc="0" locked="0" layoutInCell="1" allowOverlap="1">
            <wp:simplePos x="0" y="0"/>
            <wp:positionH relativeFrom="column">
              <wp:posOffset>-32385</wp:posOffset>
            </wp:positionH>
            <wp:positionV relativeFrom="paragraph">
              <wp:posOffset>597535</wp:posOffset>
            </wp:positionV>
            <wp:extent cx="5286375" cy="2932430"/>
            <wp:effectExtent l="4445" t="4445" r="5080" b="15875"/>
            <wp:wrapNone/>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eastAsia="仿宋"/>
          <w:snapToGrid w:val="0"/>
          <w:spacing w:val="4"/>
          <w:kern w:val="0"/>
          <w:sz w:val="32"/>
          <w:szCs w:val="32"/>
        </w:rPr>
        <w:t>加。二是市地方志编纂中心有新进入人员，导致人员经费和公用经费有所增加。</w:t>
      </w:r>
    </w:p>
    <w:p>
      <w:pPr>
        <w:spacing w:line="600" w:lineRule="exact"/>
        <w:rPr>
          <w:rFonts w:ascii="仿宋" w:hAnsi="仿宋" w:eastAsia="仿宋"/>
          <w:sz w:val="32"/>
          <w:szCs w:val="32"/>
        </w:rPr>
      </w:pPr>
    </w:p>
    <w:p>
      <w:pPr>
        <w:pStyle w:val="5"/>
        <w:spacing w:before="93"/>
        <w:rPr>
          <w:rFonts w:ascii="仿宋" w:hAnsi="仿宋" w:eastAsia="仿宋"/>
          <w:sz w:val="32"/>
          <w:szCs w:val="32"/>
        </w:rPr>
      </w:pPr>
    </w:p>
    <w:p>
      <w:pPr>
        <w:pStyle w:val="5"/>
        <w:spacing w:before="93"/>
        <w:rPr>
          <w:rFonts w:ascii="仿宋" w:hAnsi="仿宋" w:eastAsia="仿宋"/>
          <w:sz w:val="32"/>
          <w:szCs w:val="32"/>
        </w:rPr>
      </w:pPr>
    </w:p>
    <w:p>
      <w:pPr>
        <w:adjustRightInd w:val="0"/>
        <w:snapToGrid w:val="0"/>
        <w:spacing w:line="353" w:lineRule="auto"/>
        <w:rPr>
          <w:rFonts w:eastAsia="黑体"/>
          <w:sz w:val="32"/>
          <w:szCs w:val="32"/>
        </w:rPr>
      </w:pPr>
    </w:p>
    <w:p>
      <w:pPr>
        <w:adjustRightInd w:val="0"/>
        <w:snapToGrid w:val="0"/>
        <w:spacing w:line="317" w:lineRule="auto"/>
        <w:jc w:val="center"/>
        <w:rPr>
          <w:rFonts w:eastAsia="仿宋"/>
          <w:sz w:val="32"/>
          <w:szCs w:val="32"/>
        </w:rPr>
      </w:pPr>
    </w:p>
    <w:p>
      <w:pPr>
        <w:adjustRightInd w:val="0"/>
        <w:snapToGrid w:val="0"/>
        <w:spacing w:line="317" w:lineRule="auto"/>
        <w:jc w:val="center"/>
        <w:rPr>
          <w:rFonts w:eastAsia="仿宋"/>
          <w:sz w:val="32"/>
          <w:szCs w:val="32"/>
        </w:rPr>
      </w:pPr>
    </w:p>
    <w:p>
      <w:pPr>
        <w:adjustRightInd w:val="0"/>
        <w:snapToGrid w:val="0"/>
        <w:spacing w:line="317" w:lineRule="auto"/>
        <w:rPr>
          <w:rFonts w:eastAsia="仿宋"/>
          <w:sz w:val="32"/>
          <w:szCs w:val="32"/>
        </w:rPr>
      </w:pPr>
    </w:p>
    <w:p>
      <w:pPr>
        <w:adjustRightInd w:val="0"/>
        <w:snapToGrid w:val="0"/>
        <w:spacing w:line="317" w:lineRule="auto"/>
        <w:jc w:val="center"/>
        <w:rPr>
          <w:rFonts w:eastAsia="仿宋"/>
          <w:sz w:val="32"/>
          <w:szCs w:val="32"/>
        </w:rPr>
      </w:pPr>
    </w:p>
    <w:p>
      <w:pPr>
        <w:adjustRightInd w:val="0"/>
        <w:snapToGrid w:val="0"/>
        <w:spacing w:line="317" w:lineRule="auto"/>
        <w:jc w:val="center"/>
        <w:rPr>
          <w:rFonts w:eastAsia="黑体"/>
          <w:sz w:val="32"/>
          <w:szCs w:val="32"/>
        </w:rPr>
      </w:pPr>
      <w:r>
        <w:rPr>
          <w:rFonts w:eastAsia="仿宋"/>
          <w:sz w:val="32"/>
          <w:szCs w:val="32"/>
        </w:rPr>
        <w:t>（图5：一般公共预算财政拨款支出决算变动情况）</w:t>
      </w:r>
    </w:p>
    <w:p>
      <w:pPr>
        <w:adjustRightInd w:val="0"/>
        <w:snapToGrid w:val="0"/>
        <w:spacing w:line="317" w:lineRule="auto"/>
        <w:rPr>
          <w:rFonts w:ascii="楷体" w:hAnsi="楷体" w:eastAsia="楷体" w:cs="楷体"/>
          <w:sz w:val="32"/>
          <w:szCs w:val="32"/>
        </w:rPr>
      </w:pPr>
      <w:bookmarkStart w:id="59" w:name="_Toc15377211"/>
      <w:bookmarkStart w:id="60" w:name="_Toc561354173"/>
      <w:bookmarkStart w:id="61" w:name="_Toc9446"/>
      <w:r>
        <w:rPr>
          <w:rFonts w:hint="eastAsia" w:ascii="楷体" w:hAnsi="楷体" w:eastAsia="楷体" w:cs="楷体"/>
          <w:sz w:val="32"/>
          <w:szCs w:val="32"/>
        </w:rPr>
        <w:t>　　（二）一般公共预算财政拨款支出决算结构情况</w:t>
      </w:r>
      <w:bookmarkEnd w:id="59"/>
      <w:bookmarkEnd w:id="60"/>
      <w:bookmarkEnd w:id="61"/>
      <w:r>
        <w:rPr>
          <w:rFonts w:hint="eastAsia" w:ascii="楷体" w:hAnsi="楷体" w:eastAsia="楷体" w:cs="楷体"/>
          <w:sz w:val="32"/>
          <w:szCs w:val="32"/>
        </w:rPr>
        <w:t>。</w:t>
      </w:r>
    </w:p>
    <w:p>
      <w:pPr>
        <w:adjustRightInd w:val="0"/>
        <w:snapToGrid w:val="0"/>
        <w:spacing w:line="317" w:lineRule="auto"/>
        <w:rPr>
          <w:rFonts w:ascii="仿宋" w:hAnsi="仿宋" w:eastAsia="仿宋"/>
          <w:sz w:val="32"/>
          <w:szCs w:val="32"/>
        </w:rPr>
      </w:pPr>
      <w:r>
        <w:rPr>
          <w:sz w:val="32"/>
          <w:szCs w:val="32"/>
        </w:rPr>
        <w:drawing>
          <wp:anchor distT="0" distB="0" distL="114300" distR="114300" simplePos="0" relativeHeight="251663360" behindDoc="0" locked="0" layoutInCell="1" allowOverlap="1">
            <wp:simplePos x="0" y="0"/>
            <wp:positionH relativeFrom="column">
              <wp:posOffset>35560</wp:posOffset>
            </wp:positionH>
            <wp:positionV relativeFrom="paragraph">
              <wp:posOffset>1378585</wp:posOffset>
            </wp:positionV>
            <wp:extent cx="5215890" cy="3013075"/>
            <wp:effectExtent l="4445" t="4445" r="18415" b="11430"/>
            <wp:wrapNone/>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eastAsia" w:eastAsia="仿宋"/>
          <w:sz w:val="32"/>
          <w:szCs w:val="32"/>
        </w:rPr>
        <w:t>　　</w:t>
      </w:r>
      <w:r>
        <w:rPr>
          <w:rFonts w:eastAsia="仿宋"/>
          <w:sz w:val="32"/>
          <w:szCs w:val="32"/>
        </w:rPr>
        <w:t>2022年一般公共预算财政拨款支出4293.02万元，主要用于以下方面:一般公共服务支出3073.11万元，占71.58%；科学技术支出202.41万元，占4.72%；社会保障和就业支出764.90万元，占17.82%；住房保障支出252.60万元，占5.88%</w:t>
      </w:r>
      <w:r>
        <w:rPr>
          <w:rFonts w:hint="eastAsia" w:ascii="仿宋" w:hAnsi="仿宋" w:eastAsia="仿宋"/>
          <w:sz w:val="32"/>
          <w:szCs w:val="32"/>
        </w:rPr>
        <w:t>。</w:t>
      </w:r>
    </w:p>
    <w:p>
      <w:pPr>
        <w:pStyle w:val="5"/>
        <w:spacing w:before="93"/>
        <w:rPr>
          <w:rFonts w:ascii="仿宋" w:hAnsi="仿宋" w:eastAsia="仿宋"/>
          <w:sz w:val="32"/>
          <w:szCs w:val="32"/>
        </w:rPr>
      </w:pPr>
    </w:p>
    <w:p>
      <w:pPr>
        <w:pStyle w:val="5"/>
        <w:spacing w:before="93"/>
        <w:rPr>
          <w:rFonts w:ascii="仿宋" w:hAnsi="仿宋" w:eastAsia="仿宋"/>
          <w:sz w:val="32"/>
          <w:szCs w:val="32"/>
        </w:rPr>
      </w:pPr>
    </w:p>
    <w:p>
      <w:pPr>
        <w:pStyle w:val="5"/>
        <w:spacing w:before="93"/>
        <w:rPr>
          <w:rFonts w:ascii="仿宋" w:hAnsi="仿宋" w:eastAsia="仿宋"/>
          <w:sz w:val="32"/>
          <w:szCs w:val="32"/>
        </w:rPr>
      </w:pPr>
    </w:p>
    <w:p>
      <w:pPr>
        <w:pStyle w:val="5"/>
        <w:spacing w:before="93"/>
        <w:rPr>
          <w:rFonts w:ascii="仿宋" w:hAnsi="仿宋" w:eastAsia="仿宋"/>
          <w:sz w:val="32"/>
          <w:szCs w:val="32"/>
        </w:rPr>
      </w:pPr>
    </w:p>
    <w:p>
      <w:pPr>
        <w:spacing w:line="600" w:lineRule="exact"/>
        <w:ind w:firstLine="640"/>
        <w:rPr>
          <w:rFonts w:ascii="仿宋" w:hAnsi="仿宋" w:eastAsia="仿宋"/>
          <w:sz w:val="32"/>
          <w:szCs w:val="32"/>
        </w:rPr>
      </w:pPr>
    </w:p>
    <w:p>
      <w:pPr>
        <w:spacing w:line="600" w:lineRule="exact"/>
        <w:jc w:val="center"/>
        <w:rPr>
          <w:rFonts w:ascii="仿宋" w:hAnsi="仿宋" w:eastAsia="仿宋"/>
          <w:sz w:val="32"/>
          <w:szCs w:val="32"/>
        </w:rPr>
      </w:pPr>
    </w:p>
    <w:p>
      <w:pPr>
        <w:spacing w:line="336" w:lineRule="auto"/>
        <w:jc w:val="center"/>
        <w:rPr>
          <w:rFonts w:eastAsia="仿宋"/>
          <w:sz w:val="32"/>
          <w:szCs w:val="32"/>
        </w:rPr>
      </w:pPr>
    </w:p>
    <w:p>
      <w:pPr>
        <w:adjustRightInd w:val="0"/>
        <w:snapToGrid w:val="0"/>
        <w:spacing w:line="348" w:lineRule="auto"/>
        <w:jc w:val="center"/>
        <w:rPr>
          <w:rFonts w:eastAsia="仿宋"/>
          <w:sz w:val="32"/>
          <w:szCs w:val="32"/>
        </w:rPr>
      </w:pPr>
      <w:r>
        <w:rPr>
          <w:rFonts w:eastAsia="仿宋"/>
          <w:sz w:val="32"/>
          <w:szCs w:val="32"/>
        </w:rPr>
        <w:t>（图6：一般公共预算财政拨款支出决算结构）</w:t>
      </w:r>
    </w:p>
    <w:p>
      <w:pPr>
        <w:adjustRightInd w:val="0"/>
        <w:snapToGrid w:val="0"/>
        <w:spacing w:line="348" w:lineRule="auto"/>
        <w:outlineLvl w:val="2"/>
        <w:rPr>
          <w:rFonts w:eastAsia="仿宋"/>
          <w:sz w:val="32"/>
          <w:szCs w:val="32"/>
        </w:rPr>
      </w:pPr>
      <w:bookmarkStart w:id="62" w:name="_Toc1496750134"/>
      <w:bookmarkStart w:id="63" w:name="_Toc15377212"/>
      <w:bookmarkStart w:id="64" w:name="_Toc18337"/>
      <w:r>
        <w:rPr>
          <w:rFonts w:eastAsia="仿宋"/>
          <w:sz w:val="32"/>
          <w:szCs w:val="32"/>
        </w:rPr>
        <w:t>　　</w:t>
      </w:r>
      <w:r>
        <w:rPr>
          <w:rFonts w:hint="eastAsia" w:ascii="楷体" w:hAnsi="楷体" w:eastAsia="楷体" w:cs="楷体"/>
          <w:sz w:val="32"/>
          <w:szCs w:val="32"/>
        </w:rPr>
        <w:t>（三）一般公共预算财政拨款支出决算具体情况</w:t>
      </w:r>
      <w:bookmarkEnd w:id="62"/>
      <w:bookmarkEnd w:id="63"/>
      <w:bookmarkEnd w:id="64"/>
      <w:r>
        <w:rPr>
          <w:rFonts w:hint="eastAsia" w:ascii="楷体" w:hAnsi="楷体" w:eastAsia="楷体" w:cs="楷体"/>
          <w:sz w:val="32"/>
          <w:szCs w:val="32"/>
        </w:rPr>
        <w:t>。</w:t>
      </w:r>
    </w:p>
    <w:p>
      <w:pPr>
        <w:adjustRightInd w:val="0"/>
        <w:snapToGrid w:val="0"/>
        <w:spacing w:line="348" w:lineRule="auto"/>
        <w:outlineLvl w:val="2"/>
        <w:rPr>
          <w:rFonts w:eastAsia="仿宋"/>
          <w:sz w:val="32"/>
          <w:szCs w:val="32"/>
        </w:rPr>
      </w:pPr>
      <w:bookmarkStart w:id="65" w:name="_Toc15377444"/>
      <w:bookmarkStart w:id="66" w:name="_Toc15378460"/>
      <w:bookmarkStart w:id="67" w:name="_Toc220973092"/>
      <w:bookmarkStart w:id="68" w:name="_Toc3116"/>
      <w:bookmarkStart w:id="69" w:name="_Toc15377213"/>
      <w:r>
        <w:rPr>
          <w:rFonts w:eastAsia="仿宋"/>
          <w:sz w:val="32"/>
          <w:szCs w:val="32"/>
        </w:rPr>
        <w:t>　　2022年一般公共预算支出决算数为4293.02万元，</w:t>
      </w:r>
      <w:r>
        <w:rPr>
          <w:rStyle w:val="19"/>
          <w:rFonts w:eastAsia="仿宋"/>
          <w:b w:val="0"/>
          <w:sz w:val="32"/>
          <w:szCs w:val="32"/>
        </w:rPr>
        <w:t>完成预算100%。其中：</w:t>
      </w:r>
      <w:bookmarkEnd w:id="65"/>
      <w:bookmarkEnd w:id="66"/>
      <w:bookmarkEnd w:id="67"/>
      <w:bookmarkEnd w:id="68"/>
      <w:bookmarkEnd w:id="69"/>
    </w:p>
    <w:p>
      <w:pPr>
        <w:adjustRightInd w:val="0"/>
        <w:snapToGrid w:val="0"/>
        <w:spacing w:line="348" w:lineRule="auto"/>
        <w:rPr>
          <w:rFonts w:eastAsia="仿宋"/>
          <w:sz w:val="32"/>
          <w:szCs w:val="32"/>
        </w:rPr>
      </w:pPr>
      <w:r>
        <w:rPr>
          <w:rStyle w:val="19"/>
          <w:rFonts w:eastAsia="仿宋"/>
          <w:b w:val="0"/>
          <w:sz w:val="32"/>
          <w:szCs w:val="32"/>
        </w:rPr>
        <w:t>　　1．一般公共服务支出（类）</w:t>
      </w:r>
      <w:r>
        <w:rPr>
          <w:rFonts w:eastAsia="仿宋"/>
          <w:snapToGrid w:val="0"/>
          <w:spacing w:val="-11"/>
          <w:kern w:val="0"/>
          <w:sz w:val="32"/>
          <w:szCs w:val="32"/>
        </w:rPr>
        <w:t>政府办公厅（室）及相关机构事务</w:t>
      </w:r>
      <w:r>
        <w:rPr>
          <w:rStyle w:val="19"/>
          <w:rFonts w:eastAsia="仿宋"/>
          <w:b w:val="0"/>
          <w:sz w:val="32"/>
          <w:szCs w:val="32"/>
        </w:rPr>
        <w:t>（款）</w:t>
      </w:r>
      <w:r>
        <w:rPr>
          <w:rFonts w:eastAsia="仿宋"/>
          <w:snapToGrid w:val="0"/>
          <w:spacing w:val="-11"/>
          <w:kern w:val="0"/>
          <w:sz w:val="32"/>
          <w:szCs w:val="32"/>
        </w:rPr>
        <w:t>行政运行</w:t>
      </w:r>
      <w:r>
        <w:rPr>
          <w:rStyle w:val="19"/>
          <w:rFonts w:eastAsia="仿宋"/>
          <w:b w:val="0"/>
          <w:sz w:val="32"/>
          <w:szCs w:val="32"/>
        </w:rPr>
        <w:t>（项）：支出决算为2353.19万元，完成预算100%。</w:t>
      </w:r>
    </w:p>
    <w:p>
      <w:pPr>
        <w:adjustRightInd w:val="0"/>
        <w:snapToGrid w:val="0"/>
        <w:spacing w:line="348" w:lineRule="auto"/>
        <w:rPr>
          <w:rStyle w:val="19"/>
          <w:rFonts w:eastAsia="仿宋"/>
          <w:b w:val="0"/>
          <w:sz w:val="32"/>
          <w:szCs w:val="32"/>
        </w:rPr>
      </w:pPr>
      <w:r>
        <w:rPr>
          <w:rStyle w:val="19"/>
          <w:rFonts w:eastAsia="仿宋"/>
          <w:b w:val="0"/>
          <w:sz w:val="32"/>
          <w:szCs w:val="32"/>
        </w:rPr>
        <w:t>　　2．一般公共服务支出（类）</w:t>
      </w:r>
      <w:r>
        <w:rPr>
          <w:rFonts w:eastAsia="仿宋"/>
          <w:snapToGrid w:val="0"/>
          <w:spacing w:val="-11"/>
          <w:kern w:val="0"/>
          <w:sz w:val="32"/>
          <w:szCs w:val="32"/>
        </w:rPr>
        <w:t>政府办公厅（室）及相关机构事务</w:t>
      </w:r>
      <w:r>
        <w:rPr>
          <w:rStyle w:val="19"/>
          <w:rFonts w:eastAsia="仿宋"/>
          <w:b w:val="0"/>
          <w:sz w:val="32"/>
          <w:szCs w:val="32"/>
        </w:rPr>
        <w:t>（款）</w:t>
      </w:r>
      <w:r>
        <w:rPr>
          <w:rFonts w:eastAsia="仿宋"/>
          <w:snapToGrid w:val="0"/>
          <w:spacing w:val="-11"/>
          <w:kern w:val="0"/>
          <w:sz w:val="32"/>
          <w:szCs w:val="32"/>
        </w:rPr>
        <w:t>一般行政管理事务</w:t>
      </w:r>
      <w:r>
        <w:rPr>
          <w:rStyle w:val="19"/>
          <w:rFonts w:eastAsia="仿宋"/>
          <w:b w:val="0"/>
          <w:sz w:val="32"/>
          <w:szCs w:val="32"/>
        </w:rPr>
        <w:t>（项）：支出决算为524.37万元，完成预算100%。</w:t>
      </w:r>
    </w:p>
    <w:p>
      <w:pPr>
        <w:adjustRightInd w:val="0"/>
        <w:snapToGrid w:val="0"/>
        <w:spacing w:line="348" w:lineRule="auto"/>
        <w:rPr>
          <w:rStyle w:val="19"/>
          <w:rFonts w:eastAsia="仿宋"/>
          <w:b w:val="0"/>
          <w:sz w:val="32"/>
          <w:szCs w:val="32"/>
        </w:rPr>
      </w:pPr>
      <w:r>
        <w:rPr>
          <w:rStyle w:val="19"/>
          <w:rFonts w:eastAsia="仿宋"/>
          <w:b w:val="0"/>
          <w:sz w:val="32"/>
          <w:szCs w:val="32"/>
        </w:rPr>
        <w:t>　　3．一般公共服务支出（类）</w:t>
      </w:r>
      <w:r>
        <w:rPr>
          <w:rFonts w:eastAsia="仿宋"/>
          <w:snapToGrid w:val="0"/>
          <w:spacing w:val="-11"/>
          <w:kern w:val="0"/>
          <w:sz w:val="32"/>
          <w:szCs w:val="32"/>
        </w:rPr>
        <w:t>政府办公厅（室）及相关机构事务</w:t>
      </w:r>
      <w:r>
        <w:rPr>
          <w:rStyle w:val="19"/>
          <w:rFonts w:eastAsia="仿宋"/>
          <w:b w:val="0"/>
          <w:sz w:val="32"/>
          <w:szCs w:val="32"/>
        </w:rPr>
        <w:t>（款）</w:t>
      </w:r>
      <w:r>
        <w:rPr>
          <w:rFonts w:eastAsia="仿宋"/>
          <w:snapToGrid w:val="0"/>
          <w:spacing w:val="-11"/>
          <w:kern w:val="0"/>
          <w:sz w:val="32"/>
          <w:szCs w:val="32"/>
        </w:rPr>
        <w:t>事业运行</w:t>
      </w:r>
      <w:r>
        <w:rPr>
          <w:rStyle w:val="19"/>
          <w:rFonts w:eastAsia="仿宋"/>
          <w:b w:val="0"/>
          <w:sz w:val="32"/>
          <w:szCs w:val="32"/>
        </w:rPr>
        <w:t>（项）：支出决算为195.55万元，完成预算100%。</w:t>
      </w:r>
    </w:p>
    <w:p>
      <w:pPr>
        <w:adjustRightInd w:val="0"/>
        <w:snapToGrid w:val="0"/>
        <w:spacing w:line="348" w:lineRule="auto"/>
        <w:rPr>
          <w:rFonts w:eastAsia="仿宋"/>
        </w:rPr>
      </w:pPr>
      <w:r>
        <w:rPr>
          <w:rStyle w:val="19"/>
          <w:rFonts w:eastAsia="仿宋"/>
          <w:b w:val="0"/>
          <w:sz w:val="32"/>
          <w:szCs w:val="32"/>
        </w:rPr>
        <w:t>　　4．科学技术支出（类）科学技术管理事务（款）行政运行（项）：支出决算为179.7万元，完成预算</w:t>
      </w:r>
      <w:r>
        <w:rPr>
          <w:rStyle w:val="19"/>
          <w:rFonts w:hint="eastAsia" w:eastAsia="仿宋"/>
          <w:b w:val="0"/>
          <w:sz w:val="32"/>
          <w:szCs w:val="32"/>
          <w:lang w:val="en-US" w:eastAsia="zh-CN"/>
        </w:rPr>
        <w:t>100</w:t>
      </w:r>
      <w:r>
        <w:rPr>
          <w:rStyle w:val="19"/>
          <w:rFonts w:eastAsia="仿宋"/>
          <w:b w:val="0"/>
          <w:sz w:val="32"/>
          <w:szCs w:val="32"/>
        </w:rPr>
        <w:t>%。</w:t>
      </w:r>
    </w:p>
    <w:p>
      <w:pPr>
        <w:adjustRightInd w:val="0"/>
        <w:snapToGrid w:val="0"/>
        <w:spacing w:line="348" w:lineRule="auto"/>
        <w:rPr>
          <w:rFonts w:eastAsia="仿宋"/>
          <w:sz w:val="32"/>
          <w:szCs w:val="32"/>
        </w:rPr>
      </w:pPr>
      <w:r>
        <w:rPr>
          <w:rStyle w:val="19"/>
          <w:rFonts w:eastAsia="仿宋"/>
          <w:b w:val="0"/>
          <w:sz w:val="32"/>
          <w:szCs w:val="32"/>
        </w:rPr>
        <w:t>　　5．科学技术支出（类）其他科学技术支出（款）其他科学技术支出（项）：支出决算为22.71万元，完成预算</w:t>
      </w:r>
      <w:r>
        <w:rPr>
          <w:rStyle w:val="19"/>
          <w:rFonts w:hint="eastAsia" w:eastAsia="仿宋"/>
          <w:b w:val="0"/>
          <w:sz w:val="32"/>
          <w:szCs w:val="32"/>
          <w:lang w:val="en-US" w:eastAsia="zh-CN"/>
        </w:rPr>
        <w:t>100</w:t>
      </w:r>
      <w:r>
        <w:rPr>
          <w:rStyle w:val="19"/>
          <w:rFonts w:eastAsia="仿宋"/>
          <w:b w:val="0"/>
          <w:sz w:val="32"/>
          <w:szCs w:val="32"/>
        </w:rPr>
        <w:t>%。</w:t>
      </w:r>
    </w:p>
    <w:p>
      <w:pPr>
        <w:adjustRightInd w:val="0"/>
        <w:snapToGrid w:val="0"/>
        <w:spacing w:line="348" w:lineRule="auto"/>
        <w:rPr>
          <w:rStyle w:val="19"/>
          <w:rFonts w:eastAsia="仿宋"/>
          <w:b w:val="0"/>
          <w:sz w:val="32"/>
          <w:szCs w:val="32"/>
        </w:rPr>
      </w:pPr>
      <w:r>
        <w:rPr>
          <w:rStyle w:val="19"/>
          <w:rFonts w:eastAsia="仿宋"/>
          <w:b w:val="0"/>
          <w:sz w:val="32"/>
          <w:szCs w:val="32"/>
        </w:rPr>
        <w:t>　　6．社会保障和就业支出（类）人力资源和社会保障管理事务（款）其他人力资源和社会保障管理事务支出（项）:支出决算为1万元，完成预算100%。</w:t>
      </w:r>
    </w:p>
    <w:p>
      <w:pPr>
        <w:adjustRightInd w:val="0"/>
        <w:snapToGrid w:val="0"/>
        <w:spacing w:line="348" w:lineRule="auto"/>
        <w:rPr>
          <w:rStyle w:val="19"/>
          <w:rFonts w:eastAsia="仿宋"/>
          <w:b w:val="0"/>
          <w:sz w:val="32"/>
          <w:szCs w:val="32"/>
        </w:rPr>
      </w:pPr>
      <w:r>
        <w:rPr>
          <w:rStyle w:val="19"/>
          <w:rFonts w:eastAsia="仿宋"/>
          <w:b w:val="0"/>
          <w:sz w:val="32"/>
          <w:szCs w:val="32"/>
        </w:rPr>
        <w:t>　　7．社会保障和就业支出（类）行政事业单位养老支出（款）行政单位离退休（项）：支出决算为548.07万元，完成预算100%。</w:t>
      </w:r>
    </w:p>
    <w:p>
      <w:pPr>
        <w:adjustRightInd w:val="0"/>
        <w:snapToGrid w:val="0"/>
        <w:spacing w:line="348" w:lineRule="auto"/>
        <w:rPr>
          <w:rStyle w:val="19"/>
          <w:rFonts w:eastAsia="仿宋"/>
          <w:b w:val="0"/>
          <w:sz w:val="32"/>
          <w:szCs w:val="32"/>
        </w:rPr>
      </w:pPr>
      <w:r>
        <w:rPr>
          <w:rStyle w:val="19"/>
          <w:rFonts w:eastAsia="仿宋"/>
          <w:b w:val="0"/>
          <w:sz w:val="32"/>
          <w:szCs w:val="32"/>
        </w:rPr>
        <w:t>　　8．社会保障和就业支出（类）行政事业单位养老支出（款）事业单位离退休（项）：支出决算为1.16万元，完成预算100%。</w:t>
      </w:r>
    </w:p>
    <w:p>
      <w:pPr>
        <w:adjustRightInd w:val="0"/>
        <w:snapToGrid w:val="0"/>
        <w:spacing w:line="348" w:lineRule="auto"/>
        <w:rPr>
          <w:rStyle w:val="19"/>
          <w:rFonts w:eastAsia="仿宋"/>
          <w:b w:val="0"/>
          <w:sz w:val="32"/>
          <w:szCs w:val="32"/>
        </w:rPr>
      </w:pPr>
      <w:r>
        <w:rPr>
          <w:rStyle w:val="19"/>
          <w:rFonts w:eastAsia="仿宋"/>
          <w:b w:val="0"/>
          <w:sz w:val="32"/>
          <w:szCs w:val="32"/>
        </w:rPr>
        <w:t>　　9．社会保障和就业支出（类）行政事业单位养老支出（款）机关事业单位基本养老保险缴费支出（项）：支出决算为187.49万元，完成预算100%。</w:t>
      </w:r>
    </w:p>
    <w:p>
      <w:pPr>
        <w:adjustRightInd w:val="0"/>
        <w:snapToGrid w:val="0"/>
        <w:spacing w:line="348" w:lineRule="auto"/>
        <w:rPr>
          <w:rStyle w:val="19"/>
          <w:rFonts w:eastAsia="仿宋"/>
          <w:b w:val="0"/>
          <w:sz w:val="32"/>
          <w:szCs w:val="32"/>
        </w:rPr>
      </w:pPr>
      <w:r>
        <w:rPr>
          <w:rStyle w:val="19"/>
          <w:rFonts w:eastAsia="仿宋"/>
          <w:b w:val="0"/>
          <w:sz w:val="32"/>
          <w:szCs w:val="32"/>
        </w:rPr>
        <w:t>　　10．社会保障和就业支出（类）抚恤（款）死亡抚恤（项）:支出决算为26.05万元，完成预算100%。</w:t>
      </w:r>
    </w:p>
    <w:p>
      <w:pPr>
        <w:adjustRightInd w:val="0"/>
        <w:snapToGrid w:val="0"/>
        <w:spacing w:line="348" w:lineRule="auto"/>
        <w:rPr>
          <w:rStyle w:val="19"/>
          <w:rFonts w:eastAsia="仿宋"/>
          <w:b w:val="0"/>
          <w:sz w:val="32"/>
          <w:szCs w:val="32"/>
        </w:rPr>
      </w:pPr>
      <w:r>
        <w:rPr>
          <w:rStyle w:val="19"/>
          <w:rFonts w:eastAsia="仿宋"/>
          <w:b w:val="0"/>
          <w:sz w:val="32"/>
          <w:szCs w:val="32"/>
        </w:rPr>
        <w:t>　　11．社会保障和就业支出（类）社会福利（款）儿童福利（项）：支出决算为1.13万元，完成预算100%。</w:t>
      </w:r>
    </w:p>
    <w:p>
      <w:pPr>
        <w:adjustRightInd w:val="0"/>
        <w:snapToGrid w:val="0"/>
        <w:spacing w:line="348" w:lineRule="auto"/>
        <w:rPr>
          <w:rFonts w:eastAsia="仿宋"/>
          <w:sz w:val="32"/>
          <w:szCs w:val="32"/>
        </w:rPr>
      </w:pPr>
      <w:r>
        <w:rPr>
          <w:rStyle w:val="19"/>
          <w:rFonts w:eastAsia="仿宋"/>
          <w:b w:val="0"/>
          <w:sz w:val="32"/>
          <w:szCs w:val="32"/>
        </w:rPr>
        <w:t>　　12.</w:t>
      </w:r>
      <w:r>
        <w:rPr>
          <w:rFonts w:eastAsia="仿宋"/>
          <w:sz w:val="32"/>
          <w:szCs w:val="32"/>
        </w:rPr>
        <w:t>住房保障支出</w:t>
      </w:r>
      <w:r>
        <w:rPr>
          <w:rStyle w:val="19"/>
          <w:rFonts w:eastAsia="仿宋"/>
          <w:b w:val="0"/>
          <w:sz w:val="32"/>
          <w:szCs w:val="32"/>
        </w:rPr>
        <w:t>（类）住房改革支出（款）住房公积金（项）:支出决算为252.60万元，完成预算100%。</w:t>
      </w:r>
    </w:p>
    <w:p>
      <w:pPr>
        <w:tabs>
          <w:tab w:val="right" w:pos="8306"/>
        </w:tabs>
        <w:adjustRightInd w:val="0"/>
        <w:snapToGrid w:val="0"/>
        <w:spacing w:line="348" w:lineRule="auto"/>
        <w:outlineLvl w:val="1"/>
        <w:rPr>
          <w:rStyle w:val="34"/>
          <w:rFonts w:ascii="Times New Roman" w:hAnsi="Times New Roman" w:eastAsia="仿宋" w:cs="Times New Roman"/>
          <w:b w:val="0"/>
          <w:bCs w:val="0"/>
        </w:rPr>
      </w:pPr>
      <w:bookmarkStart w:id="70" w:name="_Toc15377214"/>
      <w:bookmarkStart w:id="71" w:name="_Toc1666"/>
      <w:bookmarkStart w:id="72" w:name="_Toc15396608"/>
      <w:bookmarkStart w:id="73" w:name="_Toc1964366531"/>
      <w:r>
        <w:rPr>
          <w:rFonts w:eastAsia="仿宋"/>
          <w:sz w:val="32"/>
          <w:szCs w:val="32"/>
        </w:rPr>
        <w:t>　　</w:t>
      </w:r>
      <w:r>
        <w:rPr>
          <w:rFonts w:hint="eastAsia" w:ascii="黑体" w:hAnsi="黑体" w:eastAsia="黑体" w:cs="黑体"/>
          <w:sz w:val="32"/>
          <w:szCs w:val="32"/>
        </w:rPr>
        <w:t>六、一</w:t>
      </w:r>
      <w:r>
        <w:rPr>
          <w:rStyle w:val="34"/>
          <w:rFonts w:hint="eastAsia" w:ascii="黑体" w:hAnsi="黑体" w:eastAsia="黑体" w:cs="黑体"/>
          <w:b w:val="0"/>
          <w:bCs w:val="0"/>
        </w:rPr>
        <w:t>般公共预算财政拨款基本支出决算情况说明</w:t>
      </w:r>
      <w:bookmarkEnd w:id="70"/>
      <w:bookmarkEnd w:id="71"/>
      <w:bookmarkEnd w:id="72"/>
      <w:bookmarkEnd w:id="73"/>
      <w:r>
        <w:rPr>
          <w:rStyle w:val="34"/>
          <w:rFonts w:hint="eastAsia" w:ascii="黑体" w:hAnsi="黑体" w:eastAsia="黑体" w:cs="黑体"/>
          <w:b w:val="0"/>
          <w:bCs w:val="0"/>
        </w:rPr>
        <w:tab/>
      </w:r>
    </w:p>
    <w:p>
      <w:pPr>
        <w:adjustRightInd w:val="0"/>
        <w:snapToGrid w:val="0"/>
        <w:spacing w:line="348" w:lineRule="auto"/>
        <w:rPr>
          <w:rFonts w:eastAsia="仿宋"/>
          <w:sz w:val="32"/>
          <w:szCs w:val="32"/>
        </w:rPr>
      </w:pPr>
      <w:r>
        <w:rPr>
          <w:rFonts w:eastAsia="仿宋"/>
          <w:sz w:val="32"/>
          <w:szCs w:val="32"/>
        </w:rPr>
        <w:t>　　2022年一般公共预算财政拨款基本支出3767.52万元，其中：</w:t>
      </w:r>
    </w:p>
    <w:p>
      <w:pPr>
        <w:adjustRightInd w:val="0"/>
        <w:snapToGrid w:val="0"/>
        <w:spacing w:line="348" w:lineRule="auto"/>
        <w:rPr>
          <w:rFonts w:eastAsia="仿宋"/>
          <w:sz w:val="32"/>
          <w:szCs w:val="32"/>
        </w:rPr>
      </w:pPr>
      <w:r>
        <w:rPr>
          <w:rFonts w:eastAsia="仿宋"/>
          <w:sz w:val="32"/>
          <w:szCs w:val="32"/>
        </w:rPr>
        <w:t>　　人员经费3347.09万元，主要包括：基本工资、津贴补贴、奖金、绩效工资、机关事业单位基本养老保险缴费、职业年金缴费、其他社会保障缴费、其他工资福利支出、离休费、退休费、抚恤金、生活补助、医疗费补助、住房公积金、等。</w:t>
      </w:r>
    </w:p>
    <w:p>
      <w:pPr>
        <w:adjustRightInd w:val="0"/>
        <w:snapToGrid w:val="0"/>
        <w:spacing w:line="348" w:lineRule="auto"/>
        <w:rPr>
          <w:rFonts w:eastAsia="仿宋"/>
          <w:b/>
          <w:sz w:val="32"/>
          <w:szCs w:val="32"/>
        </w:rPr>
      </w:pPr>
      <w:r>
        <w:rPr>
          <w:rFonts w:eastAsia="仿宋"/>
          <w:sz w:val="32"/>
          <w:szCs w:val="32"/>
        </w:rPr>
        <w:t>　　公用经费420.43万元，主要包括：办公费、印刷费、咨询费、水费、电费、邮电费、物业管理费、差旅费、维修（护）费、租赁费、会议费、培训费、公务接待费、劳务费、委托业务费、工会经费、福利费、公务用车运行维护费、其他交通费、其他商品和服务支出、办公设备购置等。</w:t>
      </w:r>
    </w:p>
    <w:p>
      <w:pPr>
        <w:adjustRightInd w:val="0"/>
        <w:snapToGrid w:val="0"/>
        <w:spacing w:line="348" w:lineRule="auto"/>
        <w:outlineLvl w:val="1"/>
        <w:rPr>
          <w:rStyle w:val="34"/>
          <w:rFonts w:ascii="Times New Roman" w:hAnsi="Times New Roman" w:eastAsia="黑体" w:cs="Times New Roman"/>
          <w:b w:val="0"/>
        </w:rPr>
      </w:pPr>
      <w:bookmarkStart w:id="74" w:name="_Toc15396609"/>
      <w:bookmarkStart w:id="75" w:name="_Toc15377215"/>
      <w:bookmarkStart w:id="76" w:name="_Toc5389"/>
      <w:bookmarkStart w:id="77" w:name="_Toc1568177718"/>
      <w:r>
        <w:rPr>
          <w:rFonts w:hint="eastAsia" w:eastAsia="黑体"/>
          <w:sz w:val="32"/>
          <w:szCs w:val="32"/>
        </w:rPr>
        <w:t>　　</w:t>
      </w:r>
      <w:r>
        <w:rPr>
          <w:rFonts w:eastAsia="黑体"/>
          <w:sz w:val="32"/>
          <w:szCs w:val="32"/>
        </w:rPr>
        <w:t>七、</w:t>
      </w:r>
      <w:r>
        <w:rPr>
          <w:rStyle w:val="34"/>
          <w:rFonts w:ascii="Times New Roman" w:hAnsi="Times New Roman" w:eastAsia="黑体" w:cs="Times New Roman"/>
          <w:b w:val="0"/>
        </w:rPr>
        <w:t>财政拨款</w:t>
      </w:r>
      <w:r>
        <w:rPr>
          <w:rStyle w:val="34"/>
          <w:rFonts w:ascii="Times New Roman" w:hAnsi="Times New Roman" w:eastAsia="黑体" w:cs="Times New Roman"/>
        </w:rPr>
        <w:t>“</w:t>
      </w:r>
      <w:r>
        <w:rPr>
          <w:rStyle w:val="34"/>
          <w:rFonts w:ascii="Times New Roman" w:hAnsi="Times New Roman" w:eastAsia="黑体" w:cs="Times New Roman"/>
          <w:b w:val="0"/>
        </w:rPr>
        <w:t>三公”经费支出决算情况说明</w:t>
      </w:r>
      <w:bookmarkEnd w:id="74"/>
      <w:bookmarkEnd w:id="75"/>
      <w:bookmarkEnd w:id="76"/>
      <w:bookmarkEnd w:id="77"/>
    </w:p>
    <w:p>
      <w:pPr>
        <w:adjustRightInd w:val="0"/>
        <w:snapToGrid w:val="0"/>
        <w:spacing w:line="348" w:lineRule="auto"/>
        <w:outlineLvl w:val="2"/>
        <w:rPr>
          <w:rFonts w:ascii="楷体" w:hAnsi="楷体" w:eastAsia="楷体" w:cs="楷体"/>
          <w:bCs/>
          <w:sz w:val="32"/>
          <w:szCs w:val="32"/>
        </w:rPr>
      </w:pPr>
      <w:bookmarkStart w:id="78" w:name="_Toc810079419"/>
      <w:bookmarkStart w:id="79" w:name="_Toc12408"/>
      <w:bookmarkStart w:id="80" w:name="_Toc15377216"/>
      <w:r>
        <w:rPr>
          <w:rFonts w:hint="eastAsia" w:ascii="楷体" w:hAnsi="楷体" w:eastAsia="楷体" w:cs="楷体"/>
          <w:bCs/>
          <w:sz w:val="32"/>
          <w:szCs w:val="32"/>
        </w:rPr>
        <w:t>　　（一）“三公”经费财政拨款支出决算总体情况说明</w:t>
      </w:r>
      <w:bookmarkEnd w:id="78"/>
      <w:bookmarkEnd w:id="79"/>
      <w:bookmarkEnd w:id="80"/>
      <w:r>
        <w:rPr>
          <w:rFonts w:hint="eastAsia" w:ascii="楷体" w:hAnsi="楷体" w:eastAsia="楷体" w:cs="楷体"/>
          <w:bCs/>
          <w:sz w:val="32"/>
          <w:szCs w:val="32"/>
        </w:rPr>
        <w:t>。</w:t>
      </w:r>
    </w:p>
    <w:p>
      <w:pPr>
        <w:adjustRightInd w:val="0"/>
        <w:snapToGrid w:val="0"/>
        <w:spacing w:line="348" w:lineRule="auto"/>
        <w:rPr>
          <w:rFonts w:eastAsia="仿宋"/>
          <w:sz w:val="32"/>
          <w:szCs w:val="32"/>
        </w:rPr>
      </w:pPr>
      <w:r>
        <w:rPr>
          <w:rFonts w:eastAsia="仿宋"/>
          <w:sz w:val="32"/>
          <w:szCs w:val="32"/>
        </w:rPr>
        <w:t>2022年</w:t>
      </w:r>
      <w:r>
        <w:rPr>
          <w:rFonts w:hint="eastAsia" w:ascii="仿宋" w:hAnsi="仿宋" w:eastAsia="仿宋" w:cs="仿宋"/>
          <w:sz w:val="32"/>
          <w:szCs w:val="32"/>
        </w:rPr>
        <w:t>“</w:t>
      </w:r>
      <w:r>
        <w:rPr>
          <w:rFonts w:eastAsia="仿宋"/>
          <w:sz w:val="32"/>
          <w:szCs w:val="32"/>
        </w:rPr>
        <w:t>三公</w:t>
      </w:r>
      <w:r>
        <w:rPr>
          <w:rFonts w:hint="eastAsia" w:ascii="仿宋" w:hAnsi="仿宋" w:eastAsia="仿宋" w:cs="仿宋"/>
          <w:sz w:val="32"/>
          <w:szCs w:val="32"/>
        </w:rPr>
        <w:t>”</w:t>
      </w:r>
      <w:r>
        <w:rPr>
          <w:rFonts w:eastAsia="仿宋"/>
          <w:sz w:val="32"/>
          <w:szCs w:val="32"/>
        </w:rPr>
        <w:t>经费财政拨款支出决算为49.90万元，完成预算99.54%，较上年减少0.79万元，下降1.57%。决算数小于预算数（或与预算数持平）的主要原因是市地方志编纂中心没发生公务接待费用，年初预算未使用。</w:t>
      </w:r>
    </w:p>
    <w:p>
      <w:pPr>
        <w:adjustRightInd w:val="0"/>
        <w:snapToGrid w:val="0"/>
        <w:spacing w:line="348" w:lineRule="auto"/>
        <w:outlineLvl w:val="2"/>
        <w:rPr>
          <w:rFonts w:ascii="楷体" w:hAnsi="楷体" w:eastAsia="楷体" w:cs="楷体"/>
          <w:bCs/>
          <w:sz w:val="32"/>
          <w:szCs w:val="32"/>
        </w:rPr>
      </w:pPr>
      <w:bookmarkStart w:id="81" w:name="_Toc910663218"/>
      <w:bookmarkStart w:id="82" w:name="_Toc2565"/>
      <w:bookmarkStart w:id="83" w:name="_Toc15377217"/>
      <w:r>
        <w:rPr>
          <w:rFonts w:hint="eastAsia" w:ascii="楷体" w:hAnsi="楷体" w:eastAsia="楷体" w:cs="楷体"/>
          <w:bCs/>
          <w:sz w:val="32"/>
          <w:szCs w:val="32"/>
        </w:rPr>
        <w:t>　　（二）“三公”经费财政拨款支出决算具体情况说明</w:t>
      </w:r>
      <w:bookmarkEnd w:id="81"/>
      <w:bookmarkEnd w:id="82"/>
      <w:bookmarkEnd w:id="83"/>
      <w:r>
        <w:rPr>
          <w:rFonts w:hint="eastAsia" w:ascii="楷体" w:hAnsi="楷体" w:eastAsia="楷体" w:cs="楷体"/>
          <w:bCs/>
          <w:sz w:val="32"/>
          <w:szCs w:val="32"/>
        </w:rPr>
        <w:t>。</w:t>
      </w:r>
    </w:p>
    <w:p>
      <w:pPr>
        <w:adjustRightInd w:val="0"/>
        <w:snapToGrid w:val="0"/>
        <w:spacing w:line="348" w:lineRule="auto"/>
        <w:rPr>
          <w:rFonts w:eastAsia="仿宋"/>
          <w:sz w:val="32"/>
          <w:szCs w:val="32"/>
        </w:rPr>
      </w:pPr>
      <w:r>
        <w:rPr>
          <w:rFonts w:hint="eastAsia" w:eastAsia="仿宋"/>
          <w:sz w:val="32"/>
          <w:szCs w:val="32"/>
        </w:rPr>
        <w:t>　　</w:t>
      </w:r>
      <w:r>
        <w:rPr>
          <w:rFonts w:eastAsia="仿宋"/>
          <w:sz w:val="32"/>
          <w:szCs w:val="32"/>
        </w:rPr>
        <w:t>2022年“三公”经费财政拨款支出决算中，因公出国（境）费支出决算0万元，占0%；公务用车购置及运行维护费支出决算48.90万元，占98%；公务接待费支出决算1万元，占2%。具体情况如下：</w:t>
      </w:r>
    </w:p>
    <w:p>
      <w:pPr>
        <w:pStyle w:val="5"/>
        <w:spacing w:before="93"/>
        <w:rPr>
          <w:rFonts w:ascii="仿宋" w:hAnsi="仿宋" w:eastAsia="仿宋"/>
          <w:sz w:val="32"/>
          <w:szCs w:val="32"/>
        </w:rPr>
      </w:pPr>
      <w:r>
        <w:drawing>
          <wp:inline distT="0" distB="0" distL="114300" distR="114300">
            <wp:extent cx="5275580" cy="2993390"/>
            <wp:effectExtent l="4445" t="4445" r="15875" b="12065"/>
            <wp:docPr id="13"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adjustRightInd w:val="0"/>
        <w:snapToGrid w:val="0"/>
        <w:spacing w:line="353" w:lineRule="auto"/>
        <w:jc w:val="center"/>
        <w:rPr>
          <w:rFonts w:eastAsia="仿宋"/>
          <w:sz w:val="32"/>
          <w:szCs w:val="32"/>
        </w:rPr>
      </w:pPr>
      <w:r>
        <w:rPr>
          <w:rFonts w:eastAsia="仿宋"/>
          <w:sz w:val="32"/>
          <w:szCs w:val="32"/>
        </w:rPr>
        <w:t>（图7：“三公”经费财政拨款支出结构）（饼状图）</w:t>
      </w:r>
    </w:p>
    <w:p>
      <w:pPr>
        <w:adjustRightInd w:val="0"/>
        <w:snapToGrid w:val="0"/>
        <w:spacing w:line="353" w:lineRule="auto"/>
        <w:rPr>
          <w:rFonts w:eastAsia="仿宋_GB2312"/>
          <w:sz w:val="32"/>
          <w:szCs w:val="32"/>
        </w:rPr>
      </w:pPr>
      <w:r>
        <w:rPr>
          <w:rFonts w:hint="eastAsia" w:eastAsia="仿宋_GB2312"/>
          <w:b/>
          <w:sz w:val="32"/>
          <w:szCs w:val="32"/>
        </w:rPr>
        <w:t>　　</w:t>
      </w:r>
      <w:r>
        <w:rPr>
          <w:rFonts w:eastAsia="仿宋_GB2312"/>
          <w:b/>
          <w:sz w:val="32"/>
          <w:szCs w:val="32"/>
        </w:rPr>
        <w:t>1．因公出国（境）经费支出</w:t>
      </w:r>
      <w:r>
        <w:rPr>
          <w:rFonts w:eastAsia="仿宋_GB2312"/>
          <w:sz w:val="32"/>
          <w:szCs w:val="32"/>
        </w:rPr>
        <w:t>0万元，</w:t>
      </w:r>
      <w:r>
        <w:rPr>
          <w:rStyle w:val="19"/>
          <w:rFonts w:eastAsia="仿宋"/>
          <w:b w:val="0"/>
          <w:bCs/>
          <w:sz w:val="32"/>
          <w:szCs w:val="32"/>
        </w:rPr>
        <w:t>完成预算0%。</w:t>
      </w:r>
      <w:r>
        <w:rPr>
          <w:rFonts w:eastAsia="仿宋_GB2312"/>
          <w:sz w:val="32"/>
          <w:szCs w:val="32"/>
        </w:rPr>
        <w:t>全年安排因公出国（境）团组0次，出国（境）0人。</w:t>
      </w:r>
    </w:p>
    <w:p>
      <w:pPr>
        <w:adjustRightInd w:val="0"/>
        <w:snapToGrid w:val="0"/>
        <w:spacing w:line="353" w:lineRule="auto"/>
        <w:rPr>
          <w:rFonts w:eastAsia="仿宋_GB2312"/>
          <w:b/>
          <w:sz w:val="32"/>
          <w:szCs w:val="32"/>
        </w:rPr>
      </w:pPr>
      <w:r>
        <w:rPr>
          <w:rFonts w:hint="eastAsia" w:eastAsia="仿宋_GB2312"/>
          <w:b/>
          <w:sz w:val="32"/>
          <w:szCs w:val="32"/>
        </w:rPr>
        <w:t>　　</w:t>
      </w:r>
      <w:r>
        <w:rPr>
          <w:rFonts w:eastAsia="仿宋_GB2312"/>
          <w:b/>
          <w:sz w:val="32"/>
          <w:szCs w:val="32"/>
        </w:rPr>
        <w:t>2．公务用车购置及运行维护费支出</w:t>
      </w:r>
      <w:r>
        <w:rPr>
          <w:rFonts w:eastAsia="仿宋_GB2312"/>
          <w:sz w:val="32"/>
          <w:szCs w:val="32"/>
        </w:rPr>
        <w:t>48.90万元</w:t>
      </w:r>
      <w:r>
        <w:rPr>
          <w:rFonts w:hint="eastAsia" w:eastAsia="仿宋_GB2312"/>
          <w:sz w:val="32"/>
          <w:szCs w:val="32"/>
        </w:rPr>
        <w:t>,</w:t>
      </w:r>
      <w:r>
        <w:rPr>
          <w:rStyle w:val="19"/>
          <w:rFonts w:eastAsia="仿宋"/>
          <w:b w:val="0"/>
          <w:bCs/>
          <w:sz w:val="32"/>
          <w:szCs w:val="32"/>
        </w:rPr>
        <w:t>完成预算100%。</w:t>
      </w:r>
      <w:r>
        <w:rPr>
          <w:rFonts w:eastAsia="仿宋_GB2312"/>
          <w:sz w:val="32"/>
          <w:szCs w:val="32"/>
        </w:rPr>
        <w:t>公务用车购置及运行维护费支出决算比2021年减少1.24万元，下降2.47%。主要原因是财政压减经费。</w:t>
      </w:r>
    </w:p>
    <w:p>
      <w:pPr>
        <w:adjustRightInd w:val="0"/>
        <w:snapToGrid w:val="0"/>
        <w:spacing w:line="353" w:lineRule="auto"/>
        <w:rPr>
          <w:rFonts w:eastAsia="仿宋_GB2312"/>
          <w:b/>
          <w:sz w:val="32"/>
          <w:szCs w:val="32"/>
        </w:rPr>
      </w:pPr>
      <w:r>
        <w:rPr>
          <w:rFonts w:hint="eastAsia" w:eastAsia="仿宋_GB2312"/>
          <w:sz w:val="32"/>
          <w:szCs w:val="32"/>
        </w:rPr>
        <w:t>　　</w:t>
      </w:r>
      <w:r>
        <w:rPr>
          <w:rFonts w:eastAsia="仿宋_GB2312"/>
          <w:sz w:val="32"/>
          <w:szCs w:val="32"/>
        </w:rPr>
        <w:t>其中：</w:t>
      </w:r>
      <w:r>
        <w:rPr>
          <w:rFonts w:eastAsia="仿宋_GB2312"/>
          <w:b/>
          <w:sz w:val="32"/>
          <w:szCs w:val="32"/>
        </w:rPr>
        <w:t>公务用车购置支出</w:t>
      </w:r>
      <w:r>
        <w:rPr>
          <w:rFonts w:eastAsia="仿宋_GB2312"/>
          <w:sz w:val="32"/>
          <w:szCs w:val="32"/>
        </w:rPr>
        <w:t>0万元。全年按规定更新购置公务用车0辆，其中：轿车0辆、金额0万元，越野车0辆、金额0万元，载客汽车0辆、金额0万元。截至2022年12月底，单位共有公务用车15辆，其中：轿车</w:t>
      </w:r>
      <w:r>
        <w:rPr>
          <w:rFonts w:hint="eastAsia" w:eastAsia="仿宋_GB2312"/>
          <w:sz w:val="32"/>
          <w:szCs w:val="32"/>
          <w:lang w:val="en-US" w:eastAsia="zh-CN"/>
        </w:rPr>
        <w:t>4</w:t>
      </w:r>
      <w:r>
        <w:rPr>
          <w:rFonts w:eastAsia="仿宋_GB2312"/>
          <w:sz w:val="32"/>
          <w:szCs w:val="32"/>
        </w:rPr>
        <w:t>辆、越野车11辆、载客汽车</w:t>
      </w:r>
      <w:r>
        <w:rPr>
          <w:rFonts w:hint="eastAsia" w:eastAsia="仿宋_GB2312"/>
          <w:sz w:val="32"/>
          <w:szCs w:val="32"/>
          <w:lang w:val="en-US" w:eastAsia="zh-CN"/>
        </w:rPr>
        <w:t>0</w:t>
      </w:r>
      <w:r>
        <w:rPr>
          <w:rFonts w:eastAsia="仿宋_GB2312"/>
          <w:sz w:val="32"/>
          <w:szCs w:val="32"/>
        </w:rPr>
        <w:t>辆。</w:t>
      </w:r>
    </w:p>
    <w:p>
      <w:pPr>
        <w:adjustRightInd w:val="0"/>
        <w:snapToGrid w:val="0"/>
        <w:spacing w:line="353" w:lineRule="auto"/>
        <w:rPr>
          <w:rFonts w:eastAsia="仿宋_GB2312"/>
          <w:sz w:val="32"/>
          <w:szCs w:val="32"/>
          <w:lang w:val="en"/>
        </w:rPr>
      </w:pPr>
      <w:r>
        <w:rPr>
          <w:rFonts w:hint="eastAsia" w:eastAsia="仿宋_GB2312"/>
          <w:b/>
          <w:sz w:val="32"/>
          <w:szCs w:val="32"/>
        </w:rPr>
        <w:t>　　</w:t>
      </w:r>
      <w:r>
        <w:rPr>
          <w:rFonts w:eastAsia="仿宋_GB2312"/>
          <w:b/>
          <w:sz w:val="32"/>
          <w:szCs w:val="32"/>
        </w:rPr>
        <w:t>公务用车运行维护费支出</w:t>
      </w:r>
      <w:r>
        <w:rPr>
          <w:rFonts w:eastAsia="仿宋_GB2312"/>
          <w:sz w:val="32"/>
          <w:szCs w:val="32"/>
        </w:rPr>
        <w:t>48.9万元。主要用于</w:t>
      </w:r>
      <w:r>
        <w:rPr>
          <w:rFonts w:eastAsia="仿宋_GB2312"/>
          <w:sz w:val="32"/>
          <w:szCs w:val="32"/>
          <w:lang w:val="en"/>
        </w:rPr>
        <w:t>机关日常服务工作和专项业务工作等所需的公务用车燃料费、维修费、过路过桥费、保险费等支出。</w:t>
      </w:r>
    </w:p>
    <w:p>
      <w:pPr>
        <w:adjustRightInd w:val="0"/>
        <w:snapToGrid w:val="0"/>
        <w:spacing w:line="353" w:lineRule="auto"/>
        <w:rPr>
          <w:rFonts w:eastAsia="仿宋_GB2312"/>
          <w:sz w:val="32"/>
          <w:szCs w:val="32"/>
        </w:rPr>
      </w:pPr>
      <w:r>
        <w:rPr>
          <w:rFonts w:hint="eastAsia" w:eastAsia="仿宋_GB2312"/>
          <w:b/>
          <w:sz w:val="32"/>
          <w:szCs w:val="32"/>
        </w:rPr>
        <w:t>　　</w:t>
      </w:r>
      <w:r>
        <w:rPr>
          <w:rFonts w:eastAsia="仿宋_GB2312"/>
          <w:b/>
          <w:sz w:val="32"/>
          <w:szCs w:val="32"/>
        </w:rPr>
        <w:t>3</w:t>
      </w:r>
      <w:r>
        <w:rPr>
          <w:rFonts w:hint="eastAsia" w:eastAsia="仿宋_GB2312"/>
          <w:b/>
          <w:sz w:val="32"/>
          <w:szCs w:val="32"/>
        </w:rPr>
        <w:t>．</w:t>
      </w:r>
      <w:r>
        <w:rPr>
          <w:rFonts w:eastAsia="仿宋_GB2312"/>
          <w:b/>
          <w:sz w:val="32"/>
          <w:szCs w:val="32"/>
        </w:rPr>
        <w:t>公务接待费支出</w:t>
      </w:r>
      <w:r>
        <w:rPr>
          <w:rFonts w:eastAsia="仿宋_GB2312"/>
          <w:sz w:val="32"/>
          <w:szCs w:val="32"/>
        </w:rPr>
        <w:t>1万元，</w:t>
      </w:r>
      <w:r>
        <w:rPr>
          <w:rStyle w:val="19"/>
          <w:rFonts w:eastAsia="仿宋"/>
          <w:b w:val="0"/>
          <w:bCs/>
          <w:sz w:val="32"/>
          <w:szCs w:val="32"/>
        </w:rPr>
        <w:t>完成预算81.30%。</w:t>
      </w:r>
      <w:r>
        <w:rPr>
          <w:rFonts w:eastAsia="仿宋_GB2312"/>
          <w:sz w:val="32"/>
          <w:szCs w:val="32"/>
        </w:rPr>
        <w:t>公务接待费支出决算比2021年增加0.45万元，增长81.82%。主要原因是2022年比2021年接待批次和人数增加。其中：</w:t>
      </w:r>
    </w:p>
    <w:p>
      <w:pPr>
        <w:adjustRightInd w:val="0"/>
        <w:snapToGrid w:val="0"/>
        <w:spacing w:line="353" w:lineRule="auto"/>
        <w:ind w:firstLine="642"/>
        <w:rPr>
          <w:rFonts w:eastAsia="仿宋_GB2312"/>
          <w:sz w:val="32"/>
          <w:szCs w:val="32"/>
        </w:rPr>
      </w:pPr>
      <w:r>
        <w:rPr>
          <w:rFonts w:eastAsia="仿宋"/>
          <w:b/>
          <w:sz w:val="32"/>
          <w:szCs w:val="32"/>
        </w:rPr>
        <w:t>国内公务接待支出</w:t>
      </w:r>
      <w:r>
        <w:rPr>
          <w:rFonts w:eastAsia="仿宋"/>
          <w:sz w:val="32"/>
          <w:szCs w:val="32"/>
        </w:rPr>
        <w:t>1</w:t>
      </w:r>
      <w:r>
        <w:rPr>
          <w:rFonts w:eastAsia="仿宋_GB2312"/>
          <w:sz w:val="32"/>
          <w:szCs w:val="32"/>
        </w:rPr>
        <w:t>万元，主要用于</w:t>
      </w:r>
      <w:r>
        <w:rPr>
          <w:rFonts w:eastAsia="仿宋_GB2312"/>
          <w:snapToGrid w:val="0"/>
          <w:spacing w:val="-11"/>
          <w:kern w:val="0"/>
          <w:sz w:val="32"/>
          <w:szCs w:val="32"/>
          <w:lang w:val="en"/>
        </w:rPr>
        <w:t>执行公务、开展业务活动开支</w:t>
      </w:r>
      <w:r>
        <w:rPr>
          <w:rFonts w:eastAsia="仿宋_GB2312"/>
          <w:sz w:val="32"/>
          <w:szCs w:val="32"/>
        </w:rPr>
        <w:t>的交通费、住宿费、用餐费等。国内公务接待5批次，15人次（不包括陪同人员），共计支出1万元，具体内容包括：接待上级、其他地区人员到攀枝花督查调研和交流学习。</w:t>
      </w:r>
    </w:p>
    <w:p>
      <w:pPr>
        <w:adjustRightInd w:val="0"/>
        <w:snapToGrid w:val="0"/>
        <w:spacing w:line="353" w:lineRule="auto"/>
        <w:ind w:firstLine="642"/>
        <w:rPr>
          <w:rFonts w:eastAsia="仿宋_GB2312"/>
          <w:sz w:val="32"/>
          <w:szCs w:val="32"/>
        </w:rPr>
      </w:pPr>
      <w:r>
        <w:rPr>
          <w:rFonts w:eastAsia="仿宋"/>
          <w:b/>
          <w:sz w:val="32"/>
          <w:szCs w:val="32"/>
        </w:rPr>
        <w:t>外事接待支出</w:t>
      </w:r>
      <w:r>
        <w:rPr>
          <w:rFonts w:eastAsia="仿宋"/>
          <w:sz w:val="32"/>
          <w:szCs w:val="32"/>
        </w:rPr>
        <w:t>0</w:t>
      </w:r>
      <w:r>
        <w:rPr>
          <w:rFonts w:eastAsia="仿宋_GB2312"/>
          <w:sz w:val="32"/>
          <w:szCs w:val="32"/>
        </w:rPr>
        <w:t>万元。外事接待0批次，0人次（不包括陪同人员），共计支出0万元。</w:t>
      </w:r>
      <w:bookmarkStart w:id="84" w:name="_Toc1995833615"/>
      <w:bookmarkStart w:id="85" w:name="_Toc15396610"/>
      <w:bookmarkStart w:id="86" w:name="_Toc15377218"/>
      <w:bookmarkStart w:id="87" w:name="_Toc14116"/>
    </w:p>
    <w:p>
      <w:pPr>
        <w:adjustRightInd w:val="0"/>
        <w:snapToGrid w:val="0"/>
        <w:spacing w:line="353" w:lineRule="auto"/>
        <w:ind w:firstLine="642"/>
        <w:rPr>
          <w:rStyle w:val="34"/>
          <w:rFonts w:ascii="Times New Roman" w:hAnsi="Times New Roman" w:eastAsia="黑体" w:cs="Times New Roman"/>
        </w:rPr>
      </w:pPr>
      <w:r>
        <w:rPr>
          <w:rFonts w:eastAsia="黑体"/>
          <w:sz w:val="32"/>
          <w:szCs w:val="32"/>
        </w:rPr>
        <w:t>八、</w:t>
      </w:r>
      <w:r>
        <w:rPr>
          <w:rStyle w:val="34"/>
          <w:rFonts w:ascii="Times New Roman" w:hAnsi="Times New Roman" w:eastAsia="黑体" w:cs="Times New Roman"/>
          <w:b w:val="0"/>
        </w:rPr>
        <w:t>政府性基金预算支出决算情况说明</w:t>
      </w:r>
      <w:bookmarkEnd w:id="84"/>
      <w:bookmarkEnd w:id="85"/>
      <w:bookmarkEnd w:id="86"/>
      <w:bookmarkEnd w:id="87"/>
    </w:p>
    <w:p>
      <w:pPr>
        <w:adjustRightInd w:val="0"/>
        <w:snapToGrid w:val="0"/>
        <w:spacing w:line="353" w:lineRule="auto"/>
        <w:rPr>
          <w:rFonts w:eastAsia="仿宋_GB2312"/>
          <w:sz w:val="32"/>
          <w:szCs w:val="32"/>
        </w:rPr>
      </w:pPr>
      <w:r>
        <w:rPr>
          <w:rFonts w:hint="eastAsia" w:eastAsia="仿宋_GB2312"/>
          <w:sz w:val="32"/>
          <w:szCs w:val="32"/>
        </w:rPr>
        <w:t>　　</w:t>
      </w:r>
      <w:r>
        <w:rPr>
          <w:rFonts w:eastAsia="仿宋_GB2312"/>
          <w:sz w:val="32"/>
          <w:szCs w:val="32"/>
        </w:rPr>
        <w:t>2022年政府性基金预算财政拨款支出0万元。</w:t>
      </w:r>
    </w:p>
    <w:p>
      <w:pPr>
        <w:adjustRightInd w:val="0"/>
        <w:snapToGrid w:val="0"/>
        <w:spacing w:line="353" w:lineRule="auto"/>
        <w:outlineLvl w:val="1"/>
        <w:rPr>
          <w:rStyle w:val="34"/>
          <w:rFonts w:ascii="Times New Roman" w:hAnsi="Times New Roman" w:eastAsia="黑体" w:cs="Times New Roman"/>
          <w:b w:val="0"/>
        </w:rPr>
      </w:pPr>
      <w:bookmarkStart w:id="88" w:name="_Toc15377219"/>
      <w:bookmarkStart w:id="89" w:name="_Toc2787"/>
      <w:bookmarkStart w:id="90" w:name="_Toc15396611"/>
      <w:bookmarkStart w:id="91" w:name="_Toc900462277"/>
      <w:r>
        <w:rPr>
          <w:rStyle w:val="34"/>
          <w:rFonts w:hint="eastAsia" w:ascii="Times New Roman" w:hAnsi="Times New Roman" w:eastAsia="黑体" w:cs="Times New Roman"/>
          <w:b w:val="0"/>
        </w:rPr>
        <w:t>　　九、</w:t>
      </w:r>
      <w:r>
        <w:rPr>
          <w:rStyle w:val="34"/>
          <w:rFonts w:ascii="Times New Roman" w:hAnsi="Times New Roman" w:eastAsia="黑体" w:cs="Times New Roman"/>
          <w:b w:val="0"/>
        </w:rPr>
        <w:t>国有资本经营预算支出决算情况说明</w:t>
      </w:r>
      <w:bookmarkEnd w:id="88"/>
      <w:bookmarkEnd w:id="89"/>
      <w:bookmarkEnd w:id="90"/>
      <w:bookmarkEnd w:id="91"/>
    </w:p>
    <w:p>
      <w:pPr>
        <w:adjustRightInd w:val="0"/>
        <w:snapToGrid w:val="0"/>
        <w:spacing w:line="353" w:lineRule="auto"/>
        <w:rPr>
          <w:rFonts w:eastAsia="方正小标宋简体"/>
          <w:sz w:val="44"/>
          <w:szCs w:val="44"/>
        </w:rPr>
      </w:pPr>
      <w:r>
        <w:rPr>
          <w:rFonts w:hint="eastAsia" w:eastAsia="仿宋_GB2312"/>
          <w:sz w:val="32"/>
          <w:szCs w:val="32"/>
        </w:rPr>
        <w:t>　　</w:t>
      </w:r>
      <w:r>
        <w:rPr>
          <w:rFonts w:eastAsia="仿宋_GB2312"/>
          <w:sz w:val="32"/>
          <w:szCs w:val="32"/>
        </w:rPr>
        <w:t>2022年国有资本经营预算财政拨款支出0万元。</w:t>
      </w:r>
    </w:p>
    <w:p>
      <w:pPr>
        <w:adjustRightInd w:val="0"/>
        <w:snapToGrid w:val="0"/>
        <w:spacing w:line="353" w:lineRule="auto"/>
        <w:outlineLvl w:val="1"/>
        <w:rPr>
          <w:rStyle w:val="34"/>
          <w:rFonts w:ascii="Times New Roman" w:hAnsi="Times New Roman" w:eastAsia="黑体" w:cs="Times New Roman"/>
          <w:b w:val="0"/>
        </w:rPr>
      </w:pPr>
      <w:bookmarkStart w:id="92" w:name="_Toc15396612"/>
      <w:bookmarkStart w:id="93" w:name="_Toc9480"/>
      <w:bookmarkStart w:id="94" w:name="_Toc1020080105"/>
      <w:bookmarkStart w:id="95" w:name="_Toc15377221"/>
      <w:r>
        <w:rPr>
          <w:rStyle w:val="34"/>
          <w:rFonts w:hint="eastAsia" w:ascii="Times New Roman" w:hAnsi="Times New Roman" w:eastAsia="黑体" w:cs="Times New Roman"/>
          <w:b w:val="0"/>
        </w:rPr>
        <w:t>　　十、</w:t>
      </w:r>
      <w:r>
        <w:rPr>
          <w:rStyle w:val="34"/>
          <w:rFonts w:ascii="Times New Roman" w:hAnsi="Times New Roman" w:eastAsia="黑体" w:cs="Times New Roman"/>
          <w:b w:val="0"/>
        </w:rPr>
        <w:t>其他重要事项的情况说明</w:t>
      </w:r>
      <w:bookmarkEnd w:id="92"/>
      <w:bookmarkEnd w:id="93"/>
      <w:bookmarkEnd w:id="94"/>
      <w:bookmarkEnd w:id="95"/>
    </w:p>
    <w:p>
      <w:pPr>
        <w:adjustRightInd w:val="0"/>
        <w:snapToGrid w:val="0"/>
        <w:spacing w:line="353" w:lineRule="auto"/>
        <w:outlineLvl w:val="2"/>
        <w:rPr>
          <w:rFonts w:ascii="楷体" w:hAnsi="楷体" w:eastAsia="楷体" w:cs="楷体"/>
          <w:bCs/>
          <w:sz w:val="32"/>
          <w:szCs w:val="32"/>
        </w:rPr>
      </w:pPr>
      <w:bookmarkStart w:id="96" w:name="_Toc991845487"/>
      <w:bookmarkStart w:id="97" w:name="_Toc15377222"/>
      <w:bookmarkStart w:id="98" w:name="_Toc25186"/>
      <w:r>
        <w:rPr>
          <w:rFonts w:hint="eastAsia" w:ascii="楷体" w:hAnsi="楷体" w:eastAsia="楷体" w:cs="楷体"/>
          <w:bCs/>
          <w:sz w:val="32"/>
          <w:szCs w:val="32"/>
        </w:rPr>
        <w:t>　　（一）机关运行经费支出情况</w:t>
      </w:r>
      <w:bookmarkEnd w:id="96"/>
      <w:bookmarkEnd w:id="97"/>
      <w:bookmarkEnd w:id="98"/>
      <w:r>
        <w:rPr>
          <w:rFonts w:hint="eastAsia" w:ascii="楷体" w:hAnsi="楷体" w:eastAsia="楷体" w:cs="楷体"/>
          <w:bCs/>
          <w:sz w:val="32"/>
          <w:szCs w:val="32"/>
        </w:rPr>
        <w:t>。</w:t>
      </w:r>
    </w:p>
    <w:p>
      <w:pPr>
        <w:adjustRightInd w:val="0"/>
        <w:snapToGrid w:val="0"/>
        <w:spacing w:line="353" w:lineRule="auto"/>
        <w:rPr>
          <w:rFonts w:eastAsia="仿宋_GB2312"/>
          <w:sz w:val="32"/>
          <w:szCs w:val="32"/>
        </w:rPr>
      </w:pPr>
      <w:r>
        <w:rPr>
          <w:rFonts w:hint="eastAsia" w:eastAsia="仿宋_GB2312"/>
          <w:sz w:val="32"/>
          <w:szCs w:val="32"/>
        </w:rPr>
        <w:t>　　</w:t>
      </w:r>
      <w:r>
        <w:rPr>
          <w:rFonts w:eastAsia="仿宋_GB2312"/>
          <w:sz w:val="32"/>
          <w:szCs w:val="32"/>
        </w:rPr>
        <w:t>2022年，</w:t>
      </w:r>
      <w:r>
        <w:rPr>
          <w:rFonts w:eastAsia="仿宋_GB2312"/>
          <w:snapToGrid w:val="0"/>
          <w:spacing w:val="-11"/>
          <w:kern w:val="0"/>
          <w:sz w:val="32"/>
          <w:szCs w:val="32"/>
        </w:rPr>
        <w:t>市政府办公室</w:t>
      </w:r>
      <w:r>
        <w:rPr>
          <w:rFonts w:eastAsia="仿宋_GB2312"/>
          <w:sz w:val="32"/>
          <w:szCs w:val="32"/>
        </w:rPr>
        <w:t>机关运行经费支出420.43万元，比2021年减少96.64万元，下降18.69%。主要原因是财政压减经费支出。</w:t>
      </w:r>
    </w:p>
    <w:p>
      <w:pPr>
        <w:autoSpaceDE w:val="0"/>
        <w:autoSpaceDN w:val="0"/>
        <w:adjustRightInd w:val="0"/>
        <w:snapToGrid w:val="0"/>
        <w:spacing w:line="353" w:lineRule="auto"/>
        <w:outlineLvl w:val="2"/>
        <w:rPr>
          <w:rFonts w:ascii="楷体" w:hAnsi="楷体" w:eastAsia="楷体" w:cs="楷体"/>
          <w:bCs/>
          <w:sz w:val="32"/>
          <w:szCs w:val="32"/>
        </w:rPr>
      </w:pPr>
      <w:bookmarkStart w:id="99" w:name="_Toc1079359167"/>
      <w:bookmarkStart w:id="100" w:name="_Toc15377223"/>
      <w:bookmarkStart w:id="101" w:name="_Toc25383"/>
      <w:r>
        <w:rPr>
          <w:rFonts w:hint="eastAsia" w:ascii="楷体" w:hAnsi="楷体" w:eastAsia="楷体" w:cs="楷体"/>
          <w:bCs/>
          <w:sz w:val="32"/>
          <w:szCs w:val="32"/>
        </w:rPr>
        <w:t>　　（二）政府采购支出情况</w:t>
      </w:r>
      <w:bookmarkEnd w:id="99"/>
      <w:bookmarkEnd w:id="100"/>
      <w:bookmarkEnd w:id="101"/>
      <w:r>
        <w:rPr>
          <w:rFonts w:hint="eastAsia" w:ascii="楷体" w:hAnsi="楷体" w:eastAsia="楷体" w:cs="楷体"/>
          <w:bCs/>
          <w:sz w:val="32"/>
          <w:szCs w:val="32"/>
        </w:rPr>
        <w:t>。</w:t>
      </w:r>
    </w:p>
    <w:p>
      <w:pPr>
        <w:adjustRightInd w:val="0"/>
        <w:snapToGrid w:val="0"/>
        <w:spacing w:line="353" w:lineRule="auto"/>
        <w:rPr>
          <w:rFonts w:eastAsia="仿宋_GB2312"/>
          <w:sz w:val="32"/>
          <w:szCs w:val="32"/>
        </w:rPr>
      </w:pPr>
      <w:r>
        <w:rPr>
          <w:rFonts w:hint="eastAsia" w:eastAsia="仿宋_GB2312"/>
          <w:sz w:val="32"/>
          <w:szCs w:val="32"/>
        </w:rPr>
        <w:t>　　</w:t>
      </w:r>
      <w:r>
        <w:rPr>
          <w:rFonts w:eastAsia="仿宋_GB2312"/>
          <w:sz w:val="32"/>
          <w:szCs w:val="32"/>
        </w:rPr>
        <w:t>2022年，</w:t>
      </w:r>
      <w:r>
        <w:rPr>
          <w:rFonts w:eastAsia="仿宋_GB2312"/>
          <w:snapToGrid w:val="0"/>
          <w:spacing w:val="-11"/>
          <w:kern w:val="0"/>
          <w:sz w:val="32"/>
          <w:szCs w:val="32"/>
        </w:rPr>
        <w:t>市政府办公室</w:t>
      </w:r>
      <w:r>
        <w:rPr>
          <w:rFonts w:eastAsia="仿宋_GB2312"/>
          <w:sz w:val="32"/>
          <w:szCs w:val="32"/>
        </w:rPr>
        <w:t>政府采购支出总额31.74万元，其中：政府采购货物支出31.74万元、政府采购工程支出0万元、政府采购服务支出0万元。</w:t>
      </w:r>
      <w:r>
        <w:rPr>
          <w:rFonts w:eastAsia="仿宋"/>
          <w:snapToGrid w:val="0"/>
          <w:kern w:val="0"/>
          <w:sz w:val="32"/>
          <w:szCs w:val="32"/>
        </w:rPr>
        <w:t>主要用于</w:t>
      </w:r>
      <w:r>
        <w:rPr>
          <w:rFonts w:hint="eastAsia" w:eastAsia="仿宋"/>
          <w:snapToGrid w:val="0"/>
          <w:kern w:val="0"/>
          <w:sz w:val="32"/>
          <w:szCs w:val="32"/>
          <w:lang w:eastAsia="zh-CN"/>
        </w:rPr>
        <w:t>市大数据中心办公设施设备购置</w:t>
      </w:r>
      <w:r>
        <w:rPr>
          <w:rFonts w:eastAsia="仿宋"/>
          <w:snapToGrid w:val="0"/>
          <w:kern w:val="0"/>
          <w:sz w:val="32"/>
          <w:szCs w:val="32"/>
        </w:rPr>
        <w:t>等。</w:t>
      </w:r>
      <w:r>
        <w:rPr>
          <w:rFonts w:eastAsia="仿宋_GB2312"/>
          <w:sz w:val="32"/>
          <w:szCs w:val="32"/>
        </w:rPr>
        <w:t>授予中小企业合同金额31.74万元，占政府采购支出总额的100%，其中：授予小微企业合同金额31.74万元，占政府采购支出总额的100%。</w:t>
      </w:r>
    </w:p>
    <w:p>
      <w:pPr>
        <w:autoSpaceDE w:val="0"/>
        <w:autoSpaceDN w:val="0"/>
        <w:adjustRightInd w:val="0"/>
        <w:snapToGrid w:val="0"/>
        <w:spacing w:line="353" w:lineRule="auto"/>
        <w:outlineLvl w:val="2"/>
        <w:rPr>
          <w:rFonts w:ascii="楷体" w:hAnsi="楷体" w:eastAsia="楷体" w:cs="楷体"/>
          <w:bCs/>
          <w:sz w:val="32"/>
          <w:szCs w:val="32"/>
        </w:rPr>
      </w:pPr>
      <w:bookmarkStart w:id="102" w:name="_Toc122966745"/>
      <w:bookmarkStart w:id="103" w:name="_Toc25037"/>
      <w:bookmarkStart w:id="104" w:name="_Toc15377224"/>
      <w:r>
        <w:rPr>
          <w:rFonts w:hint="eastAsia" w:ascii="楷体" w:hAnsi="楷体" w:eastAsia="楷体" w:cs="楷体"/>
          <w:bCs/>
          <w:sz w:val="32"/>
          <w:szCs w:val="32"/>
        </w:rPr>
        <w:t>　　（三）国有资产占有使用情况</w:t>
      </w:r>
      <w:bookmarkEnd w:id="102"/>
      <w:bookmarkEnd w:id="103"/>
      <w:bookmarkEnd w:id="104"/>
      <w:r>
        <w:rPr>
          <w:rFonts w:hint="eastAsia" w:ascii="楷体" w:hAnsi="楷体" w:eastAsia="楷体" w:cs="楷体"/>
          <w:bCs/>
          <w:sz w:val="32"/>
          <w:szCs w:val="32"/>
        </w:rPr>
        <w:t>。</w:t>
      </w:r>
    </w:p>
    <w:p>
      <w:pPr>
        <w:autoSpaceDE w:val="0"/>
        <w:autoSpaceDN w:val="0"/>
        <w:adjustRightInd w:val="0"/>
        <w:snapToGrid w:val="0"/>
        <w:spacing w:line="353" w:lineRule="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截至2022年12月31日，</w:t>
      </w:r>
      <w:r>
        <w:rPr>
          <w:rFonts w:hint="default" w:ascii="Times New Roman" w:hAnsi="Times New Roman" w:eastAsia="仿宋" w:cs="Times New Roman"/>
          <w:snapToGrid w:val="0"/>
          <w:spacing w:val="-11"/>
          <w:kern w:val="0"/>
          <w:sz w:val="32"/>
          <w:szCs w:val="32"/>
        </w:rPr>
        <w:t>市政府办公室</w:t>
      </w:r>
      <w:r>
        <w:rPr>
          <w:rFonts w:hint="default" w:ascii="Times New Roman" w:hAnsi="Times New Roman" w:eastAsia="仿宋" w:cs="Times New Roman"/>
          <w:sz w:val="32"/>
          <w:szCs w:val="32"/>
        </w:rPr>
        <w:t>共有车辆15辆，其中：主要领导干部用车1辆、机要通信用车1辆、应急保障用车12辆、其他用车1辆，其他用车主要是用于</w:t>
      </w:r>
      <w:r>
        <w:rPr>
          <w:rFonts w:hint="default" w:ascii="Times New Roman" w:hAnsi="Times New Roman" w:eastAsia="仿宋" w:cs="Times New Roman"/>
          <w:snapToGrid w:val="0"/>
          <w:spacing w:val="-11"/>
          <w:kern w:val="0"/>
          <w:sz w:val="32"/>
          <w:szCs w:val="32"/>
        </w:rPr>
        <w:t>下乡调研、督查督办等业务工作</w:t>
      </w:r>
      <w:r>
        <w:rPr>
          <w:rFonts w:hint="default" w:ascii="Times New Roman" w:hAnsi="Times New Roman" w:eastAsia="仿宋" w:cs="Times New Roman"/>
          <w:sz w:val="32"/>
          <w:szCs w:val="32"/>
        </w:rPr>
        <w:t>。单价100万元以上专用设备0台（套）。</w:t>
      </w:r>
    </w:p>
    <w:p>
      <w:pPr>
        <w:autoSpaceDE w:val="0"/>
        <w:autoSpaceDN w:val="0"/>
        <w:adjustRightInd w:val="0"/>
        <w:snapToGrid w:val="0"/>
        <w:spacing w:line="353" w:lineRule="auto"/>
        <w:outlineLvl w:val="2"/>
        <w:rPr>
          <w:rFonts w:ascii="楷体" w:hAnsi="楷体" w:eastAsia="楷体" w:cs="楷体"/>
          <w:bCs/>
          <w:sz w:val="32"/>
          <w:szCs w:val="32"/>
        </w:rPr>
      </w:pPr>
      <w:bookmarkStart w:id="105" w:name="_Toc8367"/>
      <w:bookmarkStart w:id="106" w:name="_Toc1862670792"/>
      <w:r>
        <w:rPr>
          <w:rFonts w:hint="eastAsia" w:ascii="楷体" w:hAnsi="楷体" w:eastAsia="楷体" w:cs="楷体"/>
          <w:bCs/>
          <w:sz w:val="32"/>
          <w:szCs w:val="32"/>
        </w:rPr>
        <w:t>　　（四）预算绩效管理情况</w:t>
      </w:r>
      <w:bookmarkEnd w:id="105"/>
      <w:bookmarkEnd w:id="106"/>
      <w:r>
        <w:rPr>
          <w:rFonts w:hint="eastAsia" w:ascii="楷体" w:hAnsi="楷体" w:eastAsia="楷体" w:cs="楷体"/>
          <w:bCs/>
          <w:sz w:val="32"/>
          <w:szCs w:val="32"/>
        </w:rPr>
        <w:t>。</w:t>
      </w:r>
    </w:p>
    <w:p>
      <w:pPr>
        <w:adjustRightInd w:val="0"/>
        <w:snapToGrid w:val="0"/>
        <w:spacing w:line="353" w:lineRule="auto"/>
        <w:rPr>
          <w:rFonts w:eastAsia="仿宋_GB2312"/>
          <w:sz w:val="32"/>
          <w:szCs w:val="32"/>
        </w:rPr>
      </w:pPr>
      <w:r>
        <w:rPr>
          <w:rFonts w:hint="eastAsia" w:eastAsia="仿宋_GB2312"/>
          <w:sz w:val="32"/>
          <w:szCs w:val="32"/>
        </w:rPr>
        <w:t>　　</w:t>
      </w:r>
      <w:r>
        <w:rPr>
          <w:rFonts w:eastAsia="仿宋_GB2312"/>
          <w:sz w:val="32"/>
          <w:szCs w:val="32"/>
        </w:rPr>
        <w:t>根据预算绩效管理要求，本部门在2022年度预算编制阶段，组织对市级电子政务外网网络租赁费项目、2021年攀枝花市政府网站集约化平台运维和安全防护项目等69个项目开展了预算事前绩效评估，对69个项目编制了绩效目标，预算执行过程中，选取</w:t>
      </w:r>
      <w:r>
        <w:rPr>
          <w:rFonts w:eastAsia="仿宋_GB2312"/>
          <w:sz w:val="32"/>
          <w:szCs w:val="32"/>
          <w:lang w:val="en"/>
        </w:rPr>
        <w:t>18</w:t>
      </w:r>
      <w:r>
        <w:rPr>
          <w:rFonts w:eastAsia="仿宋_GB2312"/>
          <w:sz w:val="32"/>
          <w:szCs w:val="32"/>
        </w:rPr>
        <w:t>个项目开展绩效监控。</w:t>
      </w:r>
    </w:p>
    <w:p>
      <w:pPr>
        <w:adjustRightInd w:val="0"/>
        <w:snapToGrid w:val="0"/>
        <w:spacing w:line="353" w:lineRule="auto"/>
        <w:rPr>
          <w:rFonts w:eastAsia="仿宋_GB2312"/>
          <w:sz w:val="32"/>
          <w:szCs w:val="32"/>
        </w:rPr>
      </w:pPr>
      <w:r>
        <w:rPr>
          <w:rFonts w:hint="eastAsia" w:eastAsia="仿宋_GB2312"/>
          <w:sz w:val="32"/>
          <w:szCs w:val="32"/>
        </w:rPr>
        <w:t>　　</w:t>
      </w:r>
      <w:r>
        <w:rPr>
          <w:rFonts w:eastAsia="仿宋_GB2312"/>
          <w:sz w:val="32"/>
          <w:szCs w:val="32"/>
        </w:rPr>
        <w:t>组织对2022年度一般公共预算、政府性基金预算、国有资本经营预算、社会保险基金预算以及资本资产、债券资金等全面开展绩效自评，形成市政府办公室部门整体（含部门预算项目）绩效自评报告、</w:t>
      </w:r>
      <w:r>
        <w:rPr>
          <w:rFonts w:eastAsia="方正仿宋_GBK"/>
          <w:sz w:val="30"/>
          <w:szCs w:val="30"/>
        </w:rPr>
        <w:t>2021年攀枝花市政府网站和政务新媒体绩效督查评估、电子政务外网和协同办公平台托管费</w:t>
      </w:r>
      <w:r>
        <w:rPr>
          <w:rFonts w:eastAsia="仿宋_GB2312"/>
          <w:sz w:val="32"/>
          <w:szCs w:val="32"/>
        </w:rPr>
        <w:t>等专项预算项目绩效自评报告，其中，市政府办公室部门整体（含部门预算项目）绩效自评得分为100分，绩效自评综述：市政府办公室预、决算编制合理、支出高效规范，财政支出既确保了机关正常运转，又保证了重点项目实施，财政支出绩效良好；</w:t>
      </w:r>
      <w:r>
        <w:rPr>
          <w:rFonts w:eastAsia="方正仿宋_GBK"/>
          <w:sz w:val="30"/>
          <w:szCs w:val="30"/>
        </w:rPr>
        <w:t>2021年攀枝花市政府网站和政务新媒体绩效督查评估</w:t>
      </w:r>
      <w:r>
        <w:rPr>
          <w:rFonts w:eastAsia="仿宋_GB2312"/>
          <w:sz w:val="32"/>
          <w:szCs w:val="32"/>
        </w:rPr>
        <w:t>专项预算项目绩效自评得分为</w:t>
      </w:r>
      <w:r>
        <w:rPr>
          <w:rFonts w:eastAsia="仿宋_GB2312"/>
          <w:sz w:val="32"/>
          <w:szCs w:val="32"/>
          <w:lang w:val="en"/>
        </w:rPr>
        <w:t>100</w:t>
      </w:r>
      <w:r>
        <w:rPr>
          <w:rFonts w:eastAsia="仿宋_GB2312"/>
          <w:sz w:val="32"/>
          <w:szCs w:val="32"/>
        </w:rPr>
        <w:t>分，绩效自评综述：</w:t>
      </w:r>
      <w:r>
        <w:rPr>
          <w:rFonts w:eastAsia="仿宋"/>
          <w:kern w:val="0"/>
          <w:sz w:val="32"/>
          <w:szCs w:val="32"/>
          <w:shd w:val="clear" w:color="auto" w:fill="FFFFFF"/>
          <w:lang w:val="zh-CN"/>
        </w:rPr>
        <w:t>该项目立项依据充分，资金申报流程规范，通过加强政府网站运维，提升为民服务的精准性，切实增强政府与公众的互动互信，进一步提升了我市网络理政水平</w:t>
      </w:r>
      <w:r>
        <w:rPr>
          <w:rFonts w:eastAsia="仿宋"/>
          <w:kern w:val="0"/>
          <w:sz w:val="32"/>
          <w:szCs w:val="32"/>
          <w:shd w:val="clear" w:color="auto" w:fill="FFFFFF"/>
          <w:lang w:val="en"/>
        </w:rPr>
        <w:t>,</w:t>
      </w:r>
      <w:r>
        <w:rPr>
          <w:rFonts w:eastAsia="仿宋"/>
          <w:kern w:val="0"/>
          <w:sz w:val="32"/>
          <w:szCs w:val="32"/>
          <w:shd w:val="clear" w:color="auto" w:fill="FFFFFF"/>
          <w:lang w:val="zh-CN"/>
        </w:rPr>
        <w:t>完成了年初设定的绩效目标。</w:t>
      </w:r>
      <w:r>
        <w:rPr>
          <w:rFonts w:eastAsia="方正仿宋_GBK"/>
          <w:sz w:val="30"/>
          <w:szCs w:val="30"/>
        </w:rPr>
        <w:t>2021年攀枝花市政府网站集约化平台运维和安全防护</w:t>
      </w:r>
      <w:r>
        <w:rPr>
          <w:rFonts w:eastAsia="仿宋_GB2312"/>
          <w:sz w:val="32"/>
          <w:szCs w:val="32"/>
        </w:rPr>
        <w:t>专</w:t>
      </w:r>
      <w:r>
        <w:rPr>
          <w:rFonts w:eastAsia="仿宋"/>
          <w:sz w:val="32"/>
          <w:szCs w:val="32"/>
        </w:rPr>
        <w:t>项预算项目绩效自评得分为</w:t>
      </w:r>
      <w:r>
        <w:rPr>
          <w:rFonts w:eastAsia="仿宋"/>
          <w:sz w:val="32"/>
          <w:szCs w:val="32"/>
          <w:lang w:val="en"/>
        </w:rPr>
        <w:t>100</w:t>
      </w:r>
      <w:r>
        <w:rPr>
          <w:rFonts w:eastAsia="仿宋"/>
          <w:sz w:val="32"/>
          <w:szCs w:val="32"/>
        </w:rPr>
        <w:t>分，绩效自评综述：</w:t>
      </w:r>
      <w:r>
        <w:rPr>
          <w:rFonts w:eastAsia="仿宋"/>
          <w:kern w:val="0"/>
          <w:sz w:val="32"/>
          <w:szCs w:val="32"/>
          <w:shd w:val="clear" w:color="auto" w:fill="FFFFFF"/>
          <w:lang w:val="zh-CN"/>
        </w:rPr>
        <w:t>该项目立项依据充分，资金申报流程规范</w:t>
      </w:r>
      <w:r>
        <w:rPr>
          <w:rFonts w:eastAsia="仿宋"/>
          <w:spacing w:val="4"/>
          <w:kern w:val="0"/>
          <w:sz w:val="32"/>
          <w:szCs w:val="32"/>
          <w:shd w:val="clear" w:color="auto" w:fill="FFFFFF"/>
          <w:lang w:val="zh-CN"/>
        </w:rPr>
        <w:t>，主管部门和各项目实施单位严格执行招投标、政府采购、项目公示制等相关法律法规和项目管理制度，通过加强政府网站运维，加快推进政府网站集约化建设，</w:t>
      </w:r>
      <w:r>
        <w:rPr>
          <w:rFonts w:eastAsia="仿宋"/>
          <w:kern w:val="0"/>
          <w:sz w:val="32"/>
          <w:szCs w:val="32"/>
          <w:shd w:val="clear" w:color="auto" w:fill="FFFFFF"/>
          <w:lang w:val="zh-CN"/>
        </w:rPr>
        <w:t>全面深化政务公开，推进“互联网+政务服务”，进一步提升政府网上服务能力</w:t>
      </w:r>
      <w:r>
        <w:rPr>
          <w:rFonts w:eastAsia="仿宋"/>
          <w:kern w:val="0"/>
          <w:sz w:val="32"/>
          <w:szCs w:val="32"/>
          <w:shd w:val="clear" w:color="auto" w:fill="FFFFFF"/>
          <w:lang w:val="en"/>
        </w:rPr>
        <w:t>,</w:t>
      </w:r>
      <w:r>
        <w:rPr>
          <w:rFonts w:eastAsia="仿宋"/>
          <w:kern w:val="0"/>
          <w:sz w:val="32"/>
          <w:szCs w:val="32"/>
          <w:shd w:val="clear" w:color="auto" w:fill="FFFFFF"/>
          <w:lang w:val="zh-CN"/>
        </w:rPr>
        <w:t>完成了年初设定的绩效目标。</w:t>
      </w:r>
      <w:r>
        <w:rPr>
          <w:rFonts w:eastAsia="仿宋"/>
          <w:sz w:val="32"/>
          <w:szCs w:val="32"/>
        </w:rPr>
        <w:t>《攀枝花市人民政府公报》等印刷费专项预算项目绩效自评得分为</w:t>
      </w:r>
      <w:r>
        <w:rPr>
          <w:rFonts w:eastAsia="仿宋"/>
          <w:sz w:val="32"/>
          <w:szCs w:val="32"/>
          <w:lang w:val="en"/>
        </w:rPr>
        <w:t>100</w:t>
      </w:r>
      <w:r>
        <w:rPr>
          <w:rFonts w:eastAsia="仿宋"/>
          <w:sz w:val="32"/>
          <w:szCs w:val="32"/>
        </w:rPr>
        <w:t>分，绩效自评综述：</w:t>
      </w:r>
      <w:r>
        <w:rPr>
          <w:rFonts w:eastAsia="仿宋"/>
          <w:kern w:val="0"/>
          <w:sz w:val="32"/>
          <w:szCs w:val="32"/>
          <w:shd w:val="clear" w:color="auto" w:fill="FFFFFF"/>
          <w:lang w:val="zh-CN"/>
        </w:rPr>
        <w:t>该项目完成了年初设定的绩效目标。在</w:t>
      </w:r>
      <w:r>
        <w:rPr>
          <w:rFonts w:eastAsia="仿宋"/>
          <w:sz w:val="32"/>
          <w:szCs w:val="32"/>
        </w:rPr>
        <w:t>推进政务公开、加强政务服务、促进依法行政、密切党和政府同人民群众联系等方面发挥着重要作用。市大数据中心办公用房改造及办公设施设备采购专项预算项目绩效自评得分为</w:t>
      </w:r>
      <w:r>
        <w:rPr>
          <w:rFonts w:eastAsia="仿宋"/>
          <w:sz w:val="32"/>
          <w:szCs w:val="32"/>
          <w:lang w:val="en"/>
        </w:rPr>
        <w:t>100</w:t>
      </w:r>
      <w:r>
        <w:rPr>
          <w:rFonts w:eastAsia="仿宋"/>
          <w:sz w:val="32"/>
          <w:szCs w:val="32"/>
        </w:rPr>
        <w:t>分，绩效自评综述：该项目</w:t>
      </w:r>
      <w:r>
        <w:rPr>
          <w:rFonts w:eastAsia="仿宋"/>
          <w:bCs/>
          <w:kern w:val="0"/>
          <w:sz w:val="32"/>
          <w:szCs w:val="32"/>
          <w:shd w:val="clear" w:color="auto" w:fill="FFFFFF"/>
        </w:rPr>
        <w:t>达到了预期绩效目标，办公用房改造按时完成，办公设施设备采购及时到位，项目顺利推进、如期完成，满足了</w:t>
      </w:r>
      <w:r>
        <w:rPr>
          <w:rFonts w:eastAsia="仿宋"/>
          <w:sz w:val="32"/>
          <w:szCs w:val="32"/>
        </w:rPr>
        <w:t>市大数据中心</w:t>
      </w:r>
      <w:r>
        <w:rPr>
          <w:rFonts w:eastAsia="仿宋"/>
          <w:bCs/>
          <w:kern w:val="0"/>
          <w:sz w:val="32"/>
          <w:szCs w:val="32"/>
          <w:shd w:val="clear" w:color="auto" w:fill="FFFFFF"/>
        </w:rPr>
        <w:t>基本办公需求，确保了</w:t>
      </w:r>
      <w:r>
        <w:rPr>
          <w:rFonts w:eastAsia="仿宋"/>
          <w:sz w:val="32"/>
          <w:szCs w:val="32"/>
        </w:rPr>
        <w:t>市大数据中心日常工作的</w:t>
      </w:r>
      <w:r>
        <w:rPr>
          <w:rFonts w:eastAsia="仿宋"/>
          <w:bCs/>
          <w:kern w:val="0"/>
          <w:sz w:val="32"/>
          <w:szCs w:val="32"/>
          <w:shd w:val="clear" w:color="auto" w:fill="FFFFFF"/>
        </w:rPr>
        <w:t>正常运转。</w:t>
      </w:r>
      <w:r>
        <w:rPr>
          <w:rFonts w:eastAsia="仿宋"/>
          <w:sz w:val="32"/>
          <w:szCs w:val="32"/>
        </w:rPr>
        <w:t>电子政务外网和协同办公平台托管费专项预算项目绩效自评得分为</w:t>
      </w:r>
      <w:r>
        <w:rPr>
          <w:rFonts w:eastAsia="仿宋"/>
          <w:sz w:val="32"/>
          <w:szCs w:val="32"/>
          <w:lang w:val="en"/>
        </w:rPr>
        <w:t>100</w:t>
      </w:r>
      <w:r>
        <w:rPr>
          <w:rFonts w:eastAsia="仿宋"/>
          <w:sz w:val="32"/>
          <w:szCs w:val="32"/>
        </w:rPr>
        <w:t>分，绩效自评综述：该</w:t>
      </w:r>
      <w:r>
        <w:rPr>
          <w:rFonts w:eastAsia="仿宋"/>
          <w:kern w:val="0"/>
          <w:sz w:val="32"/>
          <w:szCs w:val="32"/>
          <w:shd w:val="clear" w:color="auto" w:fill="FFFFFF"/>
          <w:lang w:val="zh-CN"/>
        </w:rPr>
        <w:t>项目</w:t>
      </w:r>
      <w:r>
        <w:rPr>
          <w:rFonts w:eastAsia="仿宋"/>
          <w:kern w:val="0"/>
          <w:sz w:val="32"/>
          <w:szCs w:val="32"/>
          <w:shd w:val="clear" w:color="auto" w:fill="FFFFFF"/>
        </w:rPr>
        <w:t>保障了全市电子政务外网和协同办公平台全年正常运行不中断，满足全市各级党政机关内部办公需要，提高了全市各级党政机关内部办公效率</w:t>
      </w:r>
      <w:r>
        <w:rPr>
          <w:rFonts w:eastAsia="仿宋"/>
          <w:kern w:val="0"/>
          <w:sz w:val="32"/>
          <w:szCs w:val="32"/>
          <w:shd w:val="clear" w:color="auto" w:fill="FFFFFF"/>
          <w:lang w:val="zh-CN"/>
        </w:rPr>
        <w:t>，达到了预期绩效目标。</w:t>
      </w:r>
      <w:r>
        <w:rPr>
          <w:rFonts w:eastAsia="仿宋"/>
          <w:sz w:val="32"/>
          <w:szCs w:val="32"/>
        </w:rPr>
        <w:t>市级电子政务外网网络租赁费专项预算项目绩效自评得分为</w:t>
      </w:r>
      <w:r>
        <w:rPr>
          <w:rFonts w:eastAsia="仿宋"/>
          <w:sz w:val="32"/>
          <w:szCs w:val="32"/>
          <w:lang w:val="en"/>
        </w:rPr>
        <w:t>100</w:t>
      </w:r>
      <w:r>
        <w:rPr>
          <w:rFonts w:eastAsia="仿宋"/>
          <w:sz w:val="32"/>
          <w:szCs w:val="32"/>
        </w:rPr>
        <w:t>分，绩效自评综述：该</w:t>
      </w:r>
      <w:r>
        <w:rPr>
          <w:rFonts w:eastAsia="仿宋"/>
          <w:kern w:val="0"/>
          <w:sz w:val="32"/>
          <w:szCs w:val="32"/>
          <w:shd w:val="clear" w:color="auto" w:fill="FFFFFF"/>
          <w:lang w:val="zh-CN"/>
        </w:rPr>
        <w:t>项目完成了电子政务外网全年正常安全运行的省级年度目标考核任务，保障全市电子政务外网稳定运行，无重大事故发生，达到了预期绩效目标</w:t>
      </w:r>
      <w:r>
        <w:rPr>
          <w:rFonts w:eastAsia="仿宋_GB2312"/>
          <w:sz w:val="32"/>
          <w:szCs w:val="32"/>
        </w:rPr>
        <w:t>。绩效自评报告详见附件。</w:t>
      </w:r>
    </w:p>
    <w:p>
      <w:pPr>
        <w:adjustRightInd w:val="0"/>
        <w:snapToGrid w:val="0"/>
        <w:spacing w:line="276" w:lineRule="auto"/>
        <w:jc w:val="center"/>
        <w:rPr>
          <w:rFonts w:ascii="方正小标宋_GBK" w:hAnsi="方正小标宋_GBK" w:eastAsia="方正小标宋_GBK" w:cs="方正小标宋_GBK"/>
          <w:sz w:val="44"/>
          <w:szCs w:val="44"/>
        </w:rPr>
      </w:pPr>
      <w:bookmarkStart w:id="107" w:name="_Toc15396613"/>
      <w:bookmarkStart w:id="108" w:name="_Toc15377225"/>
      <w:bookmarkStart w:id="109" w:name="_Toc14970"/>
      <w:bookmarkStart w:id="110" w:name="_Toc1116725309"/>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adjustRightInd w:val="0"/>
        <w:snapToGrid w:val="0"/>
        <w:spacing w:line="300" w:lineRule="auto"/>
        <w:rPr>
          <w:rFonts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val="0"/>
        <w:snapToGrid w:val="0"/>
        <w:spacing w:line="353" w:lineRule="auto"/>
        <w:jc w:val="center"/>
        <w:textAlignment w:val="auto"/>
        <w:rPr>
          <w:rFonts w:hint="eastAsia" w:ascii="方正小标宋_GBK" w:hAnsi="方正小标宋_GBK" w:eastAsia="方正小标宋_GBK" w:cs="方正小标宋_GBK"/>
          <w:sz w:val="32"/>
          <w:szCs w:val="32"/>
        </w:rPr>
      </w:pPr>
    </w:p>
    <w:p>
      <w:pPr>
        <w:keepNext w:val="0"/>
        <w:keepLines w:val="0"/>
        <w:pageBreakBefore w:val="0"/>
        <w:widowControl w:val="0"/>
        <w:kinsoku/>
        <w:wordWrap/>
        <w:overflowPunct/>
        <w:topLinePunct w:val="0"/>
        <w:autoSpaceDE/>
        <w:autoSpaceDN/>
        <w:bidi w:val="0"/>
        <w:adjustRightInd w:val="0"/>
        <w:snapToGrid w:val="0"/>
        <w:spacing w:line="353" w:lineRule="auto"/>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第三部分　名词解释</w:t>
      </w:r>
      <w:bookmarkEnd w:id="107"/>
      <w:bookmarkEnd w:id="108"/>
      <w:bookmarkEnd w:id="109"/>
      <w:bookmarkEnd w:id="110"/>
    </w:p>
    <w:p>
      <w:pPr>
        <w:keepNext w:val="0"/>
        <w:keepLines w:val="0"/>
        <w:pageBreakBefore w:val="0"/>
        <w:widowControl w:val="0"/>
        <w:kinsoku/>
        <w:wordWrap/>
        <w:overflowPunct/>
        <w:topLinePunct w:val="0"/>
        <w:autoSpaceDE/>
        <w:autoSpaceDN/>
        <w:bidi w:val="0"/>
        <w:adjustRightInd w:val="0"/>
        <w:snapToGrid w:val="0"/>
        <w:spacing w:line="353" w:lineRule="auto"/>
        <w:jc w:val="left"/>
        <w:textAlignment w:val="auto"/>
        <w:rPr>
          <w:rFonts w:ascii="宋体"/>
          <w:b w:val="0"/>
          <w:bCs/>
          <w:sz w:val="32"/>
          <w:szCs w:val="32"/>
        </w:rPr>
      </w:pP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w:t>
      </w:r>
      <w:r>
        <w:rPr>
          <w:rFonts w:hint="eastAsia" w:eastAsia="仿宋"/>
          <w:snapToGrid w:val="0"/>
          <w:kern w:val="0"/>
          <w:sz w:val="32"/>
          <w:szCs w:val="32"/>
        </w:rPr>
        <w:t>．</w:t>
      </w:r>
      <w:r>
        <w:rPr>
          <w:rFonts w:eastAsia="仿宋"/>
          <w:snapToGrid w:val="0"/>
          <w:kern w:val="0"/>
          <w:sz w:val="32"/>
          <w:szCs w:val="32"/>
        </w:rPr>
        <w:t>财政拨款收入：指单位从同级财政部门取得的财政预算资金。</w:t>
      </w:r>
    </w:p>
    <w:p>
      <w:pPr>
        <w:adjustRightInd w:val="0"/>
        <w:snapToGrid w:val="0"/>
        <w:spacing w:line="353" w:lineRule="auto"/>
        <w:rPr>
          <w:rFonts w:eastAsia="仿宋"/>
          <w:snapToGrid w:val="0"/>
          <w:kern w:val="0"/>
          <w:sz w:val="32"/>
          <w:szCs w:val="32"/>
        </w:rPr>
      </w:pPr>
      <w:r>
        <w:rPr>
          <w:rFonts w:eastAsia="仿宋"/>
          <w:snapToGrid w:val="0"/>
          <w:kern w:val="0"/>
          <w:sz w:val="32"/>
          <w:szCs w:val="32"/>
        </w:rPr>
        <w:t>　　2．事业收入：指事业单位开展专业业务活动及辅助活动取得的收入。</w:t>
      </w:r>
    </w:p>
    <w:p>
      <w:pPr>
        <w:adjustRightInd w:val="0"/>
        <w:snapToGrid w:val="0"/>
        <w:spacing w:line="353" w:lineRule="auto"/>
        <w:rPr>
          <w:rFonts w:eastAsia="仿宋"/>
          <w:snapToGrid w:val="0"/>
          <w:kern w:val="0"/>
          <w:sz w:val="32"/>
          <w:szCs w:val="32"/>
        </w:rPr>
      </w:pPr>
      <w:r>
        <w:rPr>
          <w:rFonts w:eastAsia="仿宋"/>
          <w:snapToGrid w:val="0"/>
          <w:kern w:val="0"/>
          <w:sz w:val="32"/>
          <w:szCs w:val="32"/>
        </w:rPr>
        <w:t>　　3．经营收入：指事业单位在专业业务活动及其辅助活动之外开展非独立核算经营活动取得的收入。</w:t>
      </w:r>
    </w:p>
    <w:p>
      <w:pPr>
        <w:adjustRightInd w:val="0"/>
        <w:snapToGrid w:val="0"/>
        <w:spacing w:line="353" w:lineRule="auto"/>
        <w:rPr>
          <w:rFonts w:eastAsia="仿宋"/>
          <w:snapToGrid w:val="0"/>
          <w:spacing w:val="-4"/>
          <w:kern w:val="0"/>
          <w:sz w:val="32"/>
          <w:szCs w:val="32"/>
        </w:rPr>
      </w:pPr>
      <w:r>
        <w:rPr>
          <w:rFonts w:eastAsia="仿宋"/>
          <w:snapToGrid w:val="0"/>
          <w:kern w:val="0"/>
          <w:sz w:val="32"/>
          <w:szCs w:val="32"/>
        </w:rPr>
        <w:t>　　4．</w:t>
      </w:r>
      <w:r>
        <w:rPr>
          <w:rFonts w:eastAsia="仿宋"/>
          <w:snapToGrid w:val="0"/>
          <w:spacing w:val="-4"/>
          <w:kern w:val="0"/>
          <w:sz w:val="32"/>
          <w:szCs w:val="32"/>
        </w:rPr>
        <w:t>其他收入：指单位取得的除上述收入以外的各项收入。</w:t>
      </w:r>
    </w:p>
    <w:p>
      <w:pPr>
        <w:adjustRightInd w:val="0"/>
        <w:snapToGrid w:val="0"/>
        <w:spacing w:line="353" w:lineRule="auto"/>
        <w:rPr>
          <w:rFonts w:eastAsia="仿宋"/>
          <w:snapToGrid w:val="0"/>
          <w:kern w:val="0"/>
          <w:sz w:val="32"/>
          <w:szCs w:val="32"/>
        </w:rPr>
      </w:pPr>
      <w:r>
        <w:rPr>
          <w:rFonts w:eastAsia="仿宋"/>
          <w:snapToGrid w:val="0"/>
          <w:kern w:val="0"/>
          <w:sz w:val="32"/>
          <w:szCs w:val="32"/>
        </w:rPr>
        <w:t>　　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adjustRightInd w:val="0"/>
        <w:snapToGrid w:val="0"/>
        <w:spacing w:line="353" w:lineRule="auto"/>
        <w:rPr>
          <w:rFonts w:eastAsia="仿宋"/>
          <w:snapToGrid w:val="0"/>
          <w:kern w:val="0"/>
          <w:sz w:val="32"/>
          <w:szCs w:val="32"/>
        </w:rPr>
      </w:pPr>
      <w:r>
        <w:rPr>
          <w:rFonts w:eastAsia="仿宋"/>
          <w:snapToGrid w:val="0"/>
          <w:kern w:val="0"/>
          <w:sz w:val="32"/>
          <w:szCs w:val="32"/>
        </w:rPr>
        <w:t>　　6．年初结转和结余：指以前年度尚未完成、结转到本年按有关规定继续使用的资金。</w:t>
      </w:r>
    </w:p>
    <w:p>
      <w:pPr>
        <w:adjustRightInd w:val="0"/>
        <w:snapToGrid w:val="0"/>
        <w:spacing w:line="353" w:lineRule="auto"/>
        <w:rPr>
          <w:rFonts w:eastAsia="仿宋"/>
          <w:snapToGrid w:val="0"/>
          <w:kern w:val="0"/>
          <w:sz w:val="32"/>
          <w:szCs w:val="32"/>
        </w:rPr>
      </w:pPr>
      <w:r>
        <w:rPr>
          <w:rFonts w:eastAsia="仿宋"/>
          <w:snapToGrid w:val="0"/>
          <w:kern w:val="0"/>
          <w:sz w:val="32"/>
          <w:szCs w:val="32"/>
        </w:rPr>
        <w:t>　　7．结余分配：指事业单位按照事业单位会计制度的规定从非财政补助结余中分配的事业基金和职工福利基金等。</w:t>
      </w:r>
    </w:p>
    <w:p>
      <w:pPr>
        <w:adjustRightInd w:val="0"/>
        <w:snapToGrid w:val="0"/>
        <w:spacing w:line="353" w:lineRule="auto"/>
        <w:rPr>
          <w:rFonts w:eastAsia="仿宋"/>
          <w:snapToGrid w:val="0"/>
          <w:kern w:val="0"/>
          <w:sz w:val="32"/>
          <w:szCs w:val="32"/>
        </w:rPr>
      </w:pPr>
      <w:r>
        <w:rPr>
          <w:rFonts w:eastAsia="仿宋"/>
          <w:snapToGrid w:val="0"/>
          <w:kern w:val="0"/>
          <w:sz w:val="32"/>
          <w:szCs w:val="32"/>
        </w:rPr>
        <w:t>　　8．年末结转和结余：指单位按有关规定结转到下年或以后年度继续使用的资金。</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9．一般公共服务支出（类）政府办公厅（室）及相关机构事务（款）行政运行（项）：指反映行政单位（包括实行公务员管理的事业单位）的基本支出。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10．一般公共服务支出（类）政府办公厅（室）及相关机构事务（款）一般行政管理事务（项）：指反映行政单位（包括实行公务员管理的事业单位）未单独设置项级科目的其他项目支出。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11．一般公共服务支出（类）政府办公厅（室）及相关机构事务（款）事业运行（项）：指反映事业单位的基本支出，不包括行政单位（包括实行公务员管理的事业单位）后勤服务中心、医务室等附属事业单位。</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12．科学技术支出（类）科学技术管理事务（款）行政运行（项）：反映行政单位（包括实行公务员管理的事业单位）的基本支出。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13．科学技术支出（类）其他科学技术支出（款）其他科学技术支出（项）：反映其他用于科技方面的支出。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14．社会保障和就业支出（类）人力资源和社会保障管理事务（款）其他人力资源和社会保障管理事务支出（项）：反映其他用于人力资源和社会保障管理事务方面的支出。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15．社会保障和就业支出（类）行政事业单位养老支出（款）行政单位离退休（项）：反映行政单位（包括实行公务员管理的事业单位）开支的离退休经费。</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16．社会保障和就业支出（类）行政事业单位养老支出（款）事业单位离退休（项）：反应事业单位开支的离退休经费。</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17．社会保障和就业支出（类）行政事业单位养老支出（款）机关事业单位基本养老保险缴费支出（项）：反映机关事业单位实施养老保险制度由单位缴纳的基本养老保险费支出。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18．社会保障和就业支出（类）抚恤（款）死亡抚恤（项）：指反映按规定用于烈士和牺牲、病故人员家属的一次性和定期抚恤金以及丧葬补助费。</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19．社会保障和就业支出（类）社会福利（款）儿童福利（项）：指反映对儿童提供福利服务方面的支出。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20．住房保障支出（类）住房改革支出（款）住房公积金（项）：反映行政事业单位按人力资源和社会保障部、财政部规定的基本工资和津贴补贴以及规定比例为职工缴纳的住房公积金。</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21．基本支出：指为保障机构正常运转、完成日常工作任务而发生的人员支出和公用支出。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22．项目支出：指在基本支出之外为完成特定行政任务和事业发展目标所发生的支出。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23．经营支出：指事业单位在专业业务活动及其辅助活动之外开展非独立核算经营活动发生的支出。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24</w:t>
      </w:r>
      <w:r>
        <w:rPr>
          <w:rFonts w:hint="eastAsia" w:eastAsia="仿宋"/>
          <w:snapToGrid w:val="0"/>
          <w:kern w:val="0"/>
          <w:sz w:val="32"/>
          <w:szCs w:val="32"/>
        </w:rPr>
        <w:t>．</w:t>
      </w:r>
      <w:r>
        <w:rPr>
          <w:rFonts w:hint="eastAsia" w:ascii="仿宋" w:hAnsi="仿宋" w:eastAsia="仿宋" w:cs="仿宋"/>
          <w:snapToGrid w:val="0"/>
          <w:kern w:val="0"/>
          <w:sz w:val="32"/>
          <w:szCs w:val="32"/>
        </w:rPr>
        <w:t>“</w:t>
      </w:r>
      <w:r>
        <w:rPr>
          <w:rFonts w:eastAsia="仿宋"/>
          <w:snapToGrid w:val="0"/>
          <w:kern w:val="0"/>
          <w:sz w:val="32"/>
          <w:szCs w:val="32"/>
        </w:rPr>
        <w:t>三公</w:t>
      </w:r>
      <w:r>
        <w:rPr>
          <w:rFonts w:hint="eastAsia" w:ascii="仿宋" w:hAnsi="仿宋" w:eastAsia="仿宋" w:cs="仿宋"/>
          <w:snapToGrid w:val="0"/>
          <w:kern w:val="0"/>
          <w:sz w:val="32"/>
          <w:szCs w:val="32"/>
        </w:rPr>
        <w:t>”</w:t>
      </w:r>
      <w:r>
        <w:rPr>
          <w:rFonts w:eastAsia="仿宋"/>
          <w:snapToGrid w:val="0"/>
          <w:kern w:val="0"/>
          <w:sz w:val="32"/>
          <w:szCs w:val="32"/>
        </w:rPr>
        <w:t>经费：指单位用财政拨款安排的因公出国（境）费、公务用车购置及运行费和公务接待费。其中，因公出国（境）</w:t>
      </w:r>
      <w:bookmarkStart w:id="111" w:name="hmjd_error_2_0_费_黑马提示无建议_11309"/>
      <w:r>
        <w:rPr>
          <w:rFonts w:eastAsia="仿宋"/>
          <w:snapToGrid w:val="0"/>
          <w:kern w:val="0"/>
          <w:sz w:val="32"/>
          <w:szCs w:val="32"/>
        </w:rPr>
        <w:t>费</w:t>
      </w:r>
      <w:bookmarkEnd w:id="111"/>
      <w:r>
        <w:rPr>
          <w:rFonts w:eastAsia="仿宋"/>
          <w:snapToGrid w:val="0"/>
          <w:kern w:val="0"/>
          <w:sz w:val="32"/>
          <w:szCs w:val="32"/>
        </w:rPr>
        <w:t>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25．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ascii="仿宋_GB2312" w:eastAsia="仿宋_GB2312"/>
          <w:sz w:val="32"/>
          <w:szCs w:val="32"/>
        </w:rPr>
      </w:pPr>
    </w:p>
    <w:p>
      <w:pPr>
        <w:pStyle w:val="31"/>
        <w:spacing w:line="560" w:lineRule="exact"/>
        <w:ind w:firstLine="640" w:firstLineChars="200"/>
        <w:rPr>
          <w:rFonts w:ascii="仿宋_GB2312" w:eastAsia="仿宋_GB2312" w:cs="黑体"/>
          <w:color w:val="auto"/>
          <w:sz w:val="32"/>
          <w:szCs w:val="32"/>
        </w:rPr>
      </w:pPr>
    </w:p>
    <w:p>
      <w:pPr>
        <w:adjustRightInd w:val="0"/>
        <w:snapToGrid w:val="0"/>
        <w:spacing w:line="300" w:lineRule="auto"/>
        <w:jc w:val="center"/>
        <w:outlineLvl w:val="0"/>
        <w:rPr>
          <w:rFonts w:ascii="黑体" w:hAnsi="黑体" w:eastAsia="黑体" w:cs="黑体"/>
          <w:sz w:val="32"/>
          <w:szCs w:val="32"/>
        </w:rPr>
      </w:pPr>
      <w:bookmarkStart w:id="112" w:name="_Toc15377226"/>
      <w:r>
        <w:rPr>
          <w:rFonts w:ascii="宋体"/>
          <w:bCs/>
          <w:sz w:val="44"/>
          <w:szCs w:val="44"/>
        </w:rPr>
        <w:br w:type="page"/>
      </w:r>
      <w:bookmarkStart w:id="113" w:name="_Toc5365"/>
      <w:bookmarkStart w:id="114" w:name="_Toc410311205"/>
      <w:bookmarkStart w:id="115" w:name="_Toc15396614"/>
      <w:r>
        <w:rPr>
          <w:rFonts w:hint="eastAsia" w:ascii="方正小标宋_GBK" w:hAnsi="方正小标宋_GBK" w:eastAsia="方正小标宋_GBK" w:cs="方正小标宋_GBK"/>
          <w:sz w:val="44"/>
          <w:szCs w:val="44"/>
        </w:rPr>
        <w:t>第</w:t>
      </w:r>
      <w:r>
        <w:rPr>
          <w:rStyle w:val="33"/>
          <w:rFonts w:hint="eastAsia" w:ascii="方正小标宋_GBK" w:hAnsi="方正小标宋_GBK" w:eastAsia="方正小标宋_GBK" w:cs="方正小标宋_GBK"/>
          <w:b w:val="0"/>
        </w:rPr>
        <w:t>四部分　附件</w:t>
      </w:r>
      <w:bookmarkEnd w:id="113"/>
      <w:bookmarkEnd w:id="114"/>
      <w:bookmarkEnd w:id="115"/>
      <w:bookmarkStart w:id="116" w:name="_Toc19549"/>
      <w:bookmarkStart w:id="117" w:name="_Toc887752261"/>
    </w:p>
    <w:p>
      <w:pPr>
        <w:adjustRightInd w:val="0"/>
        <w:snapToGrid w:val="0"/>
        <w:spacing w:line="300" w:lineRule="auto"/>
        <w:jc w:val="left"/>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bookmarkEnd w:id="116"/>
      <w:bookmarkEnd w:id="117"/>
      <w:r>
        <w:rPr>
          <w:rFonts w:hint="default" w:ascii="Times New Roman" w:hAnsi="Times New Roman" w:eastAsia="黑体" w:cs="Times New Roman"/>
          <w:sz w:val="32"/>
          <w:szCs w:val="32"/>
        </w:rPr>
        <w:t>1</w:t>
      </w:r>
    </w:p>
    <w:p>
      <w:pPr>
        <w:adjustRightInd w:val="0"/>
        <w:snapToGrid w:val="0"/>
        <w:spacing w:line="300" w:lineRule="auto"/>
        <w:jc w:val="left"/>
        <w:outlineLvl w:val="0"/>
        <w:rPr>
          <w:rFonts w:ascii="黑体" w:hAnsi="黑体" w:eastAsia="黑体" w:cs="黑体"/>
          <w:sz w:val="32"/>
          <w:szCs w:val="32"/>
        </w:rPr>
      </w:pPr>
    </w:p>
    <w:p>
      <w:pPr>
        <w:pStyle w:val="8"/>
        <w:adjustRightInd w:val="0"/>
        <w:snapToGrid w:val="0"/>
        <w:spacing w:line="276" w:lineRule="auto"/>
        <w:jc w:val="center"/>
        <w:rPr>
          <w:rFonts w:ascii="方正小标宋_GBK" w:hAnsi="方正小标宋_GBK" w:eastAsia="方正小标宋_GBK" w:cs="方正小标宋_GBK"/>
          <w:bCs/>
          <w:sz w:val="44"/>
          <w:szCs w:val="44"/>
          <w:shd w:val="clear" w:color="auto" w:fill="FFFFFF"/>
        </w:rPr>
      </w:pPr>
      <w:r>
        <w:rPr>
          <w:rFonts w:hint="eastAsia" w:ascii="方正小标宋_GBK" w:hAnsi="方正小标宋_GBK" w:eastAsia="方正小标宋_GBK" w:cs="方正小标宋_GBK"/>
          <w:bCs/>
          <w:sz w:val="44"/>
          <w:szCs w:val="44"/>
          <w:shd w:val="clear" w:color="auto" w:fill="FFFFFF"/>
        </w:rPr>
        <w:t>2022年攀枝花市人民政府办公室</w:t>
      </w:r>
    </w:p>
    <w:p>
      <w:pPr>
        <w:pStyle w:val="8"/>
        <w:adjustRightInd w:val="0"/>
        <w:snapToGrid w:val="0"/>
        <w:spacing w:line="276" w:lineRule="auto"/>
        <w:jc w:val="center"/>
        <w:rPr>
          <w:rFonts w:ascii="方正小标宋_GBK" w:hAnsi="方正小标宋_GBK" w:eastAsia="方正小标宋_GBK" w:cs="方正小标宋_GBK"/>
          <w:bCs/>
          <w:sz w:val="44"/>
          <w:szCs w:val="44"/>
          <w:shd w:val="clear" w:color="auto" w:fill="FFFFFF"/>
        </w:rPr>
      </w:pPr>
      <w:r>
        <w:rPr>
          <w:rFonts w:hint="eastAsia" w:ascii="方正小标宋_GBK" w:hAnsi="方正小标宋_GBK" w:eastAsia="方正小标宋_GBK" w:cs="方正小标宋_GBK"/>
          <w:bCs/>
          <w:sz w:val="44"/>
          <w:szCs w:val="44"/>
          <w:shd w:val="clear" w:color="auto" w:fill="FFFFFF"/>
        </w:rPr>
        <w:t>整体绩效评价报告</w:t>
      </w:r>
    </w:p>
    <w:p>
      <w:pPr>
        <w:adjustRightInd w:val="0"/>
        <w:snapToGrid w:val="0"/>
        <w:spacing w:line="300" w:lineRule="auto"/>
        <w:ind w:firstLine="640" w:firstLineChars="200"/>
        <w:contextualSpacing/>
        <w:jc w:val="left"/>
        <w:rPr>
          <w:rFonts w:ascii="黑体" w:hAnsi="宋体" w:eastAsia="黑体" w:cs="宋体"/>
          <w:kern w:val="0"/>
          <w:sz w:val="32"/>
          <w:szCs w:val="32"/>
          <w:shd w:val="clear" w:color="auto" w:fill="FFFFFF"/>
        </w:rPr>
      </w:pPr>
    </w:p>
    <w:p>
      <w:pPr>
        <w:adjustRightInd w:val="0"/>
        <w:snapToGrid w:val="0"/>
        <w:spacing w:line="358" w:lineRule="auto"/>
        <w:rPr>
          <w:rFonts w:ascii="黑体" w:hAnsi="黑体" w:eastAsia="黑体" w:cs="黑体"/>
          <w:snapToGrid w:val="0"/>
          <w:kern w:val="0"/>
          <w:sz w:val="32"/>
          <w:szCs w:val="32"/>
          <w:lang w:val="zh-CN"/>
        </w:rPr>
      </w:pPr>
      <w:r>
        <w:rPr>
          <w:rFonts w:hint="eastAsia" w:ascii="黑体" w:hAnsi="黑体" w:eastAsia="黑体" w:cs="黑体"/>
          <w:snapToGrid w:val="0"/>
          <w:kern w:val="0"/>
          <w:sz w:val="32"/>
          <w:szCs w:val="32"/>
          <w:lang w:val="zh-CN"/>
        </w:rPr>
        <w:t>　　一、部门（单位）基本情况</w:t>
      </w:r>
    </w:p>
    <w:p>
      <w:pPr>
        <w:adjustRightInd w:val="0"/>
        <w:snapToGrid w:val="0"/>
        <w:spacing w:line="358"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　（一）机构组成。</w:t>
      </w:r>
    </w:p>
    <w:p>
      <w:pPr>
        <w:adjustRightInd w:val="0"/>
        <w:snapToGrid w:val="0"/>
        <w:spacing w:line="358" w:lineRule="auto"/>
        <w:rPr>
          <w:rFonts w:eastAsia="仿宋"/>
          <w:snapToGrid w:val="0"/>
          <w:kern w:val="0"/>
          <w:sz w:val="32"/>
          <w:szCs w:val="32"/>
          <w:lang w:val="zh-CN"/>
        </w:rPr>
      </w:pPr>
      <w:r>
        <w:rPr>
          <w:rFonts w:hint="eastAsia" w:eastAsia="仿宋"/>
          <w:snapToGrid w:val="0"/>
          <w:kern w:val="0"/>
          <w:sz w:val="32"/>
          <w:szCs w:val="32"/>
        </w:rPr>
        <w:t>　　</w:t>
      </w:r>
      <w:r>
        <w:rPr>
          <w:rFonts w:eastAsia="仿宋"/>
          <w:snapToGrid w:val="0"/>
          <w:kern w:val="0"/>
          <w:sz w:val="32"/>
          <w:szCs w:val="32"/>
        </w:rPr>
        <w:t>市政府办公室下属二级预算单位1个，其中行政单位0个，参照公务员法管理的事业单位1个，其他事业单位0个。</w:t>
      </w:r>
    </w:p>
    <w:p>
      <w:pPr>
        <w:adjustRightInd w:val="0"/>
        <w:snapToGrid w:val="0"/>
        <w:spacing w:line="358"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　（二）机构职能和人员概况。</w:t>
      </w:r>
    </w:p>
    <w:p>
      <w:pPr>
        <w:adjustRightInd w:val="0"/>
        <w:snapToGrid w:val="0"/>
        <w:spacing w:line="35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w:t>
      </w:r>
      <w:r>
        <w:rPr>
          <w:rFonts w:hint="eastAsia" w:eastAsia="仿宋"/>
          <w:snapToGrid w:val="0"/>
          <w:kern w:val="0"/>
          <w:sz w:val="32"/>
          <w:szCs w:val="32"/>
        </w:rPr>
        <w:t>．</w:t>
      </w:r>
      <w:r>
        <w:rPr>
          <w:rFonts w:eastAsia="仿宋"/>
          <w:snapToGrid w:val="0"/>
          <w:spacing w:val="-4"/>
          <w:kern w:val="0"/>
          <w:sz w:val="32"/>
          <w:szCs w:val="32"/>
        </w:rPr>
        <w:t>协助市政府领导同志组织起草或审核以市政府、市政府办公室名义发布的公文。办理省政府、省政府办公厅及省直部门发送市政府的文电。指导全市行政机关公文处理工作。</w:t>
      </w:r>
    </w:p>
    <w:p>
      <w:pPr>
        <w:adjustRightInd w:val="0"/>
        <w:snapToGrid w:val="0"/>
        <w:spacing w:line="35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w:t>
      </w:r>
      <w:r>
        <w:rPr>
          <w:rFonts w:hint="eastAsia" w:eastAsia="仿宋"/>
          <w:snapToGrid w:val="0"/>
          <w:kern w:val="0"/>
          <w:sz w:val="32"/>
          <w:szCs w:val="32"/>
        </w:rPr>
        <w:t>．</w:t>
      </w:r>
      <w:r>
        <w:rPr>
          <w:rFonts w:eastAsia="仿宋"/>
          <w:snapToGrid w:val="0"/>
          <w:kern w:val="0"/>
          <w:sz w:val="32"/>
          <w:szCs w:val="32"/>
        </w:rPr>
        <w:t>研究市政府部门和县（区）人民政府请示市政府的事项，提出审核意见，报市政府领导同志审批。</w:t>
      </w:r>
    </w:p>
    <w:p>
      <w:pPr>
        <w:adjustRightInd w:val="0"/>
        <w:snapToGrid w:val="0"/>
        <w:spacing w:line="35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w:t>
      </w:r>
      <w:r>
        <w:rPr>
          <w:rFonts w:hint="eastAsia" w:eastAsia="仿宋"/>
          <w:snapToGrid w:val="0"/>
          <w:kern w:val="0"/>
          <w:sz w:val="32"/>
          <w:szCs w:val="32"/>
        </w:rPr>
        <w:t>．</w:t>
      </w:r>
      <w:r>
        <w:rPr>
          <w:rFonts w:eastAsia="仿宋"/>
          <w:snapToGrid w:val="0"/>
          <w:kern w:val="0"/>
          <w:sz w:val="32"/>
          <w:szCs w:val="32"/>
        </w:rPr>
        <w:t>负责市政府会议的准备工作，协助市政府领导同志组织实施会议决定事项。</w:t>
      </w:r>
    </w:p>
    <w:p>
      <w:pPr>
        <w:adjustRightInd w:val="0"/>
        <w:snapToGrid w:val="0"/>
        <w:spacing w:line="35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4</w:t>
      </w:r>
      <w:r>
        <w:rPr>
          <w:rFonts w:hint="eastAsia" w:eastAsia="仿宋"/>
          <w:snapToGrid w:val="0"/>
          <w:kern w:val="0"/>
          <w:sz w:val="32"/>
          <w:szCs w:val="32"/>
        </w:rPr>
        <w:t>．</w:t>
      </w:r>
      <w:r>
        <w:rPr>
          <w:rFonts w:eastAsia="仿宋"/>
          <w:snapToGrid w:val="0"/>
          <w:kern w:val="0"/>
          <w:sz w:val="32"/>
          <w:szCs w:val="32"/>
        </w:rPr>
        <w:t>督促检查市政府部门和县（区）人民政府对市政府决定事项及市政府领导同志指示的贯彻落实情况，及时向市政府领导同志报告。</w:t>
      </w:r>
    </w:p>
    <w:p>
      <w:pPr>
        <w:adjustRightInd w:val="0"/>
        <w:snapToGrid w:val="0"/>
        <w:spacing w:line="35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5</w:t>
      </w:r>
      <w:r>
        <w:rPr>
          <w:rFonts w:hint="eastAsia" w:eastAsia="仿宋"/>
          <w:snapToGrid w:val="0"/>
          <w:kern w:val="0"/>
          <w:sz w:val="32"/>
          <w:szCs w:val="32"/>
        </w:rPr>
        <w:t>．</w:t>
      </w:r>
      <w:r>
        <w:rPr>
          <w:rFonts w:eastAsia="仿宋"/>
          <w:snapToGrid w:val="0"/>
          <w:kern w:val="0"/>
          <w:sz w:val="32"/>
          <w:szCs w:val="32"/>
        </w:rPr>
        <w:t>根据市政府领导同志的指示，对市政府部门间争议问题提出处理意见和建议，报市政府领导同志决定。</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6</w:t>
      </w:r>
      <w:r>
        <w:rPr>
          <w:rFonts w:hint="eastAsia" w:eastAsia="仿宋"/>
          <w:snapToGrid w:val="0"/>
          <w:kern w:val="0"/>
          <w:sz w:val="32"/>
          <w:szCs w:val="32"/>
        </w:rPr>
        <w:t>．</w:t>
      </w:r>
      <w:r>
        <w:rPr>
          <w:rFonts w:eastAsia="仿宋"/>
          <w:snapToGrid w:val="0"/>
          <w:kern w:val="0"/>
          <w:sz w:val="32"/>
          <w:szCs w:val="32"/>
        </w:rPr>
        <w:t>负责市政府值班工作，指导市政府部门和县（区）人民政府值班工作，及时报告重要情况。</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7</w:t>
      </w:r>
      <w:r>
        <w:rPr>
          <w:rFonts w:hint="eastAsia" w:eastAsia="仿宋"/>
          <w:snapToGrid w:val="0"/>
          <w:kern w:val="0"/>
          <w:sz w:val="32"/>
          <w:szCs w:val="32"/>
        </w:rPr>
        <w:t>．</w:t>
      </w:r>
      <w:r>
        <w:rPr>
          <w:rFonts w:eastAsia="仿宋"/>
          <w:snapToGrid w:val="0"/>
          <w:kern w:val="0"/>
          <w:sz w:val="32"/>
          <w:szCs w:val="32"/>
        </w:rPr>
        <w:t>指导、监督全市政府信息公开工作和机关行政效能建设工作，指导、监督全市政府系统电子政务工作和政府网站建设。</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8</w:t>
      </w:r>
      <w:r>
        <w:rPr>
          <w:rFonts w:hint="eastAsia" w:eastAsia="仿宋"/>
          <w:snapToGrid w:val="0"/>
          <w:kern w:val="0"/>
          <w:sz w:val="32"/>
          <w:szCs w:val="32"/>
        </w:rPr>
        <w:t>．</w:t>
      </w:r>
      <w:r>
        <w:rPr>
          <w:rFonts w:eastAsia="仿宋"/>
          <w:snapToGrid w:val="0"/>
          <w:kern w:val="0"/>
          <w:sz w:val="32"/>
          <w:szCs w:val="32"/>
        </w:rPr>
        <w:t>围绕市政府中心工作和市政府领导同志的指示，组织专题调查研究，及时反映情况，提出政策性建议。</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9．</w:t>
      </w:r>
      <w:r>
        <w:rPr>
          <w:rFonts w:eastAsia="仿宋"/>
          <w:snapToGrid w:val="0"/>
          <w:kern w:val="0"/>
          <w:sz w:val="32"/>
          <w:szCs w:val="32"/>
        </w:rPr>
        <w:t>贯彻执行党和国家的外事方针政策、法律、法规以及市委、市政府关于外事工作的决策部署，统筹管理全市外事工作。</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w:t>
      </w:r>
      <w:r>
        <w:rPr>
          <w:rFonts w:hint="eastAsia" w:eastAsia="仿宋"/>
          <w:snapToGrid w:val="0"/>
          <w:kern w:val="0"/>
          <w:sz w:val="32"/>
          <w:szCs w:val="32"/>
        </w:rPr>
        <w:t>0．</w:t>
      </w:r>
      <w:r>
        <w:rPr>
          <w:rFonts w:eastAsia="仿宋"/>
          <w:snapToGrid w:val="0"/>
          <w:kern w:val="0"/>
          <w:sz w:val="32"/>
          <w:szCs w:val="32"/>
        </w:rPr>
        <w:t>负责职责范围内的安全生产和职业健康、生态环境保护、行政审批便民化工作。</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w:t>
      </w:r>
      <w:r>
        <w:rPr>
          <w:rFonts w:hint="eastAsia" w:eastAsia="仿宋"/>
          <w:snapToGrid w:val="0"/>
          <w:kern w:val="0"/>
          <w:sz w:val="32"/>
          <w:szCs w:val="32"/>
        </w:rPr>
        <w:t>1．</w:t>
      </w:r>
      <w:r>
        <w:rPr>
          <w:rFonts w:eastAsia="仿宋"/>
          <w:snapToGrid w:val="0"/>
          <w:kern w:val="0"/>
          <w:sz w:val="32"/>
          <w:szCs w:val="32"/>
        </w:rPr>
        <w:t>负责原市机关事务管理局的机关事务管理、公共机构节能等行政职责。</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w:t>
      </w:r>
      <w:r>
        <w:rPr>
          <w:rFonts w:hint="eastAsia" w:eastAsia="仿宋"/>
          <w:snapToGrid w:val="0"/>
          <w:kern w:val="0"/>
          <w:sz w:val="32"/>
          <w:szCs w:val="32"/>
        </w:rPr>
        <w:t>2．</w:t>
      </w:r>
      <w:r>
        <w:rPr>
          <w:rFonts w:eastAsia="仿宋"/>
          <w:snapToGrid w:val="0"/>
          <w:kern w:val="0"/>
          <w:sz w:val="32"/>
          <w:szCs w:val="32"/>
        </w:rPr>
        <w:t>负责市政府驻外机构的管理工作。</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w:t>
      </w:r>
      <w:r>
        <w:rPr>
          <w:rFonts w:hint="eastAsia" w:eastAsia="仿宋"/>
          <w:snapToGrid w:val="0"/>
          <w:kern w:val="0"/>
          <w:sz w:val="32"/>
          <w:szCs w:val="32"/>
        </w:rPr>
        <w:t>3．</w:t>
      </w:r>
      <w:r>
        <w:rPr>
          <w:rFonts w:eastAsia="仿宋"/>
          <w:snapToGrid w:val="0"/>
          <w:kern w:val="0"/>
          <w:sz w:val="32"/>
          <w:szCs w:val="32"/>
        </w:rPr>
        <w:t>承办市政府和市政府领导同志交办的其他事项。</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14．</w:t>
      </w:r>
      <w:r>
        <w:rPr>
          <w:rFonts w:eastAsia="仿宋"/>
          <w:snapToGrid w:val="0"/>
          <w:kern w:val="0"/>
          <w:sz w:val="32"/>
          <w:szCs w:val="32"/>
        </w:rPr>
        <w:t>贯彻执行国家、省大数据发展方针政策；开展全市大数据发展规划、政策措施、管理办法和考核细则的基础性研究工作，提出相关政策建议。</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15．</w:t>
      </w:r>
      <w:r>
        <w:rPr>
          <w:rFonts w:eastAsia="仿宋"/>
          <w:snapToGrid w:val="0"/>
          <w:kern w:val="0"/>
          <w:sz w:val="32"/>
          <w:szCs w:val="32"/>
        </w:rPr>
        <w:t>负责全市电子政务外网等基础设施建设和运维管理，为全市电子政务基础设施规划建设、组织实施、运行维护提供支撑服务。</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16．</w:t>
      </w:r>
      <w:r>
        <w:rPr>
          <w:rFonts w:eastAsia="仿宋"/>
          <w:snapToGrid w:val="0"/>
          <w:kern w:val="0"/>
          <w:sz w:val="32"/>
          <w:szCs w:val="32"/>
        </w:rPr>
        <w:t>承担全市政府数据、公共数据、社会数据汇聚整合、共享开放、应用融合等数据管理的具体事务性、技术性工作，为政府履行政府数据所有者职责提供支撑。负责市级政务信息资源共享交换平台等数据资源平台建设和运维管理。</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17．</w:t>
      </w:r>
      <w:r>
        <w:rPr>
          <w:rFonts w:eastAsia="仿宋"/>
          <w:snapToGrid w:val="0"/>
          <w:kern w:val="0"/>
          <w:sz w:val="32"/>
          <w:szCs w:val="32"/>
        </w:rPr>
        <w:t>为政务系统大数据发展和重大应用建设提供支撑服务，承担办公运行、工作监测、信息公开、为民服务等跨部门跨层级综合性应用系统建设、运维管理和支撑服务。对“走好网上群众路线”等群众诉求网络渠道办理情况进行统计分析，并提出建议。</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18．</w:t>
      </w:r>
      <w:r>
        <w:rPr>
          <w:rFonts w:eastAsia="仿宋"/>
          <w:snapToGrid w:val="0"/>
          <w:kern w:val="0"/>
          <w:sz w:val="32"/>
          <w:szCs w:val="32"/>
        </w:rPr>
        <w:t>负责攀枝花市政府网站集约化平台和政务新媒体运维建设和运维管理工作，为政务公开、信息发布、政策解读等相关工作提供支撑服务，参与全市政府网站和政务新媒体绩效评估工作。</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19．</w:t>
      </w:r>
      <w:r>
        <w:rPr>
          <w:rFonts w:eastAsia="仿宋"/>
          <w:snapToGrid w:val="0"/>
          <w:kern w:val="0"/>
          <w:sz w:val="32"/>
          <w:szCs w:val="32"/>
        </w:rPr>
        <w:t>负责</w:t>
      </w:r>
      <w:r>
        <w:rPr>
          <w:rFonts w:eastAsia="仿宋"/>
          <w:snapToGrid w:val="0"/>
          <w:spacing w:val="-4"/>
          <w:kern w:val="0"/>
          <w:sz w:val="32"/>
          <w:szCs w:val="32"/>
        </w:rPr>
        <w:t>统筹协调全市政府信息化建设，按照</w:t>
      </w:r>
      <w:r>
        <w:rPr>
          <w:rFonts w:hint="eastAsia" w:ascii="仿宋" w:hAnsi="仿宋" w:eastAsia="仿宋" w:cs="仿宋"/>
          <w:snapToGrid w:val="0"/>
          <w:spacing w:val="-4"/>
          <w:kern w:val="0"/>
          <w:sz w:val="32"/>
          <w:szCs w:val="32"/>
        </w:rPr>
        <w:t>“</w:t>
      </w:r>
      <w:r>
        <w:rPr>
          <w:rFonts w:eastAsia="仿宋"/>
          <w:snapToGrid w:val="0"/>
          <w:spacing w:val="-4"/>
          <w:kern w:val="0"/>
          <w:sz w:val="32"/>
          <w:szCs w:val="32"/>
        </w:rPr>
        <w:t>共用统建、集约发展</w:t>
      </w:r>
      <w:r>
        <w:rPr>
          <w:rFonts w:hint="eastAsia" w:ascii="仿宋" w:hAnsi="仿宋" w:eastAsia="仿宋" w:cs="仿宋"/>
          <w:snapToGrid w:val="0"/>
          <w:spacing w:val="-4"/>
          <w:kern w:val="0"/>
          <w:sz w:val="32"/>
          <w:szCs w:val="32"/>
        </w:rPr>
        <w:t>”</w:t>
      </w:r>
      <w:r>
        <w:rPr>
          <w:rFonts w:eastAsia="仿宋"/>
          <w:snapToGrid w:val="0"/>
          <w:spacing w:val="-4"/>
          <w:kern w:val="0"/>
          <w:sz w:val="32"/>
          <w:szCs w:val="32"/>
        </w:rPr>
        <w:t>原则，推动全市政务信息系统集约化、标准化、规范化建设，为市政府统筹全市政府信息化建设提供建议，对市级预算安排的信息化项目建设备案提出共享开放建议意见。</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20．</w:t>
      </w:r>
      <w:r>
        <w:rPr>
          <w:rFonts w:eastAsia="仿宋"/>
          <w:snapToGrid w:val="0"/>
          <w:kern w:val="0"/>
          <w:sz w:val="32"/>
          <w:szCs w:val="32"/>
        </w:rPr>
        <w:t>推进电子政务外网、政务应用系统及数据的安全体系建设和安全保障工作。</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21．</w:t>
      </w:r>
      <w:r>
        <w:rPr>
          <w:rFonts w:eastAsia="仿宋"/>
          <w:snapToGrid w:val="0"/>
          <w:kern w:val="0"/>
          <w:sz w:val="32"/>
          <w:szCs w:val="32"/>
        </w:rPr>
        <w:t>对我市经济社会发展中带战略性、综合性、前瞻性的重大问题和热点、难点问题开展调查研究，了解民意、集中民智，为市委、市政府决策提供咨询意见。</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22．</w:t>
      </w:r>
      <w:r>
        <w:rPr>
          <w:rFonts w:eastAsia="仿宋"/>
          <w:snapToGrid w:val="0"/>
          <w:kern w:val="0"/>
          <w:sz w:val="32"/>
          <w:szCs w:val="32"/>
        </w:rPr>
        <w:t>加强全市经济社会发展公共政策研究。</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23．</w:t>
      </w:r>
      <w:r>
        <w:rPr>
          <w:rFonts w:eastAsia="仿宋"/>
          <w:snapToGrid w:val="0"/>
          <w:kern w:val="0"/>
          <w:sz w:val="32"/>
          <w:szCs w:val="32"/>
        </w:rPr>
        <w:t>承担或参与全市发展战略、中长期规划、重大决策部署、重大问题、重点项目等咨询论证。</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24．</w:t>
      </w:r>
      <w:r>
        <w:rPr>
          <w:rFonts w:eastAsia="仿宋"/>
          <w:snapToGrid w:val="0"/>
          <w:kern w:val="0"/>
          <w:sz w:val="32"/>
          <w:szCs w:val="32"/>
        </w:rPr>
        <w:t>受市级部门、县（区）党委和政府以及企事业单位委托，提供政策制定、规划编制、专题研究及重要问题的咨询论证服务。</w:t>
      </w:r>
    </w:p>
    <w:p>
      <w:pPr>
        <w:adjustRightInd w:val="0"/>
        <w:snapToGrid w:val="0"/>
        <w:spacing w:line="348"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（三）人员概况。</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市政府办公室2022年度部门预算包括</w:t>
      </w:r>
      <w:r>
        <w:rPr>
          <w:rFonts w:hint="eastAsia" w:eastAsia="仿宋"/>
          <w:snapToGrid w:val="0"/>
          <w:kern w:val="0"/>
          <w:sz w:val="32"/>
          <w:szCs w:val="32"/>
        </w:rPr>
        <w:t>：</w:t>
      </w:r>
      <w:r>
        <w:rPr>
          <w:rFonts w:eastAsia="仿宋"/>
          <w:snapToGrid w:val="0"/>
          <w:kern w:val="0"/>
          <w:sz w:val="32"/>
          <w:szCs w:val="32"/>
        </w:rPr>
        <w:t>市政府办公室本级、市大数据中心、市决策咨询服务中心、原市政府驻昆明办事处等单位和机构的预算。2022年末在职人数126人，离休人员1人，退休人员144人。</w:t>
      </w:r>
    </w:p>
    <w:p>
      <w:pPr>
        <w:adjustRightInd w:val="0"/>
        <w:snapToGrid w:val="0"/>
        <w:spacing w:line="348"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（四）年度主要工作任务。</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w:t>
      </w:r>
      <w:r>
        <w:rPr>
          <w:rFonts w:hint="eastAsia" w:eastAsia="仿宋"/>
          <w:snapToGrid w:val="0"/>
          <w:kern w:val="0"/>
          <w:sz w:val="32"/>
          <w:szCs w:val="32"/>
        </w:rPr>
        <w:t>．</w:t>
      </w:r>
      <w:r>
        <w:rPr>
          <w:rFonts w:eastAsia="仿宋"/>
          <w:snapToGrid w:val="0"/>
          <w:kern w:val="0"/>
          <w:sz w:val="32"/>
          <w:szCs w:val="32"/>
        </w:rPr>
        <w:t>履职尽责，推动政务工作高效运转</w:t>
      </w:r>
      <w:r>
        <w:rPr>
          <w:rFonts w:hint="eastAsia" w:eastAsia="仿宋"/>
          <w:snapToGrid w:val="0"/>
          <w:kern w:val="0"/>
          <w:sz w:val="32"/>
          <w:szCs w:val="32"/>
        </w:rPr>
        <w:t>。</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（1）坚持外晒错情、内亮</w:t>
      </w:r>
      <w:r>
        <w:rPr>
          <w:rFonts w:hint="eastAsia" w:ascii="仿宋" w:hAnsi="仿宋" w:eastAsia="仿宋" w:cs="仿宋"/>
          <w:snapToGrid w:val="0"/>
          <w:kern w:val="0"/>
          <w:sz w:val="32"/>
          <w:szCs w:val="32"/>
        </w:rPr>
        <w:t>“</w:t>
      </w:r>
      <w:r>
        <w:rPr>
          <w:rFonts w:eastAsia="仿宋"/>
          <w:snapToGrid w:val="0"/>
          <w:kern w:val="0"/>
          <w:sz w:val="32"/>
          <w:szCs w:val="32"/>
        </w:rPr>
        <w:t>家丑</w:t>
      </w:r>
      <w:r>
        <w:rPr>
          <w:rFonts w:hint="eastAsia" w:ascii="仿宋" w:hAnsi="仿宋" w:eastAsia="仿宋" w:cs="仿宋"/>
          <w:snapToGrid w:val="0"/>
          <w:kern w:val="0"/>
          <w:sz w:val="32"/>
          <w:szCs w:val="32"/>
        </w:rPr>
        <w:t>”</w:t>
      </w:r>
      <w:r>
        <w:rPr>
          <w:rFonts w:eastAsia="仿宋"/>
          <w:snapToGrid w:val="0"/>
          <w:kern w:val="0"/>
          <w:sz w:val="32"/>
          <w:szCs w:val="32"/>
        </w:rPr>
        <w:t>，提升办文质效。坚持按季度发布公文质量“红黄牌”预警处置情况通报，目前已制发3期。全市各部门（单位）报送市政府（市政府办公室）公文的退文数量从2021年的485件减少到2022年的236件，同比减少51.3%。各科室公文重发数量从2021年的79件降至2022年的21件，同比减少73.4%。</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（2）坚持分类施策，统筹会议精简。推行</w:t>
      </w:r>
      <w:r>
        <w:rPr>
          <w:rFonts w:hint="eastAsia" w:ascii="仿宋" w:hAnsi="仿宋" w:eastAsia="仿宋" w:cs="仿宋"/>
          <w:snapToGrid w:val="0"/>
          <w:kern w:val="0"/>
          <w:sz w:val="32"/>
          <w:szCs w:val="32"/>
        </w:rPr>
        <w:t>“</w:t>
      </w:r>
      <w:r>
        <w:rPr>
          <w:rFonts w:eastAsia="仿宋"/>
          <w:snapToGrid w:val="0"/>
          <w:kern w:val="0"/>
          <w:sz w:val="32"/>
          <w:szCs w:val="32"/>
        </w:rPr>
        <w:t>套会</w:t>
      </w:r>
      <w:r>
        <w:rPr>
          <w:rFonts w:hint="eastAsia" w:ascii="仿宋" w:hAnsi="仿宋" w:eastAsia="仿宋" w:cs="仿宋"/>
          <w:snapToGrid w:val="0"/>
          <w:kern w:val="0"/>
          <w:sz w:val="32"/>
          <w:szCs w:val="32"/>
        </w:rPr>
        <w:t>”“</w:t>
      </w:r>
      <w:r>
        <w:rPr>
          <w:rFonts w:eastAsia="仿宋"/>
          <w:snapToGrid w:val="0"/>
          <w:kern w:val="0"/>
          <w:sz w:val="32"/>
          <w:szCs w:val="32"/>
        </w:rPr>
        <w:t>打包会</w:t>
      </w:r>
      <w:r>
        <w:rPr>
          <w:rFonts w:hint="eastAsia" w:ascii="仿宋" w:hAnsi="仿宋" w:eastAsia="仿宋" w:cs="仿宋"/>
          <w:snapToGrid w:val="0"/>
          <w:kern w:val="0"/>
          <w:sz w:val="32"/>
          <w:szCs w:val="32"/>
        </w:rPr>
        <w:t>”“</w:t>
      </w:r>
      <w:r>
        <w:rPr>
          <w:rFonts w:eastAsia="仿宋"/>
          <w:snapToGrid w:val="0"/>
          <w:kern w:val="0"/>
          <w:sz w:val="32"/>
          <w:szCs w:val="32"/>
        </w:rPr>
        <w:t>线上会</w:t>
      </w:r>
      <w:r>
        <w:rPr>
          <w:rFonts w:hint="eastAsia" w:ascii="仿宋" w:hAnsi="仿宋" w:eastAsia="仿宋" w:cs="仿宋"/>
          <w:snapToGrid w:val="0"/>
          <w:kern w:val="0"/>
          <w:sz w:val="32"/>
          <w:szCs w:val="32"/>
        </w:rPr>
        <w:t>”</w:t>
      </w:r>
      <w:r>
        <w:rPr>
          <w:rFonts w:eastAsia="仿宋"/>
          <w:snapToGrid w:val="0"/>
          <w:kern w:val="0"/>
          <w:sz w:val="32"/>
          <w:szCs w:val="32"/>
        </w:rPr>
        <w:t>，能</w:t>
      </w:r>
      <w:r>
        <w:rPr>
          <w:rFonts w:hint="eastAsia" w:ascii="仿宋" w:hAnsi="仿宋" w:eastAsia="仿宋" w:cs="仿宋"/>
          <w:snapToGrid w:val="0"/>
          <w:kern w:val="0"/>
          <w:sz w:val="32"/>
          <w:szCs w:val="32"/>
        </w:rPr>
        <w:t>“</w:t>
      </w:r>
      <w:r>
        <w:rPr>
          <w:rFonts w:eastAsia="仿宋"/>
          <w:snapToGrid w:val="0"/>
          <w:kern w:val="0"/>
          <w:sz w:val="32"/>
          <w:szCs w:val="32"/>
        </w:rPr>
        <w:t>线上</w:t>
      </w:r>
      <w:r>
        <w:rPr>
          <w:rFonts w:hint="eastAsia" w:ascii="仿宋" w:hAnsi="仿宋" w:eastAsia="仿宋" w:cs="仿宋"/>
          <w:snapToGrid w:val="0"/>
          <w:kern w:val="0"/>
          <w:sz w:val="32"/>
          <w:szCs w:val="32"/>
        </w:rPr>
        <w:t>”</w:t>
      </w:r>
      <w:r>
        <w:rPr>
          <w:rFonts w:eastAsia="仿宋"/>
          <w:snapToGrid w:val="0"/>
          <w:kern w:val="0"/>
          <w:sz w:val="32"/>
          <w:szCs w:val="32"/>
        </w:rPr>
        <w:t>的一律不</w:t>
      </w:r>
      <w:r>
        <w:rPr>
          <w:rFonts w:hint="eastAsia" w:ascii="仿宋" w:hAnsi="仿宋" w:eastAsia="仿宋" w:cs="仿宋"/>
          <w:snapToGrid w:val="0"/>
          <w:kern w:val="0"/>
          <w:sz w:val="32"/>
          <w:szCs w:val="32"/>
        </w:rPr>
        <w:t>“</w:t>
      </w:r>
      <w:r>
        <w:rPr>
          <w:rFonts w:eastAsia="仿宋"/>
          <w:snapToGrid w:val="0"/>
          <w:kern w:val="0"/>
          <w:sz w:val="32"/>
          <w:szCs w:val="32"/>
        </w:rPr>
        <w:t>线下</w:t>
      </w:r>
      <w:r>
        <w:rPr>
          <w:rFonts w:hint="eastAsia" w:ascii="仿宋" w:hAnsi="仿宋" w:eastAsia="仿宋" w:cs="仿宋"/>
          <w:snapToGrid w:val="0"/>
          <w:kern w:val="0"/>
          <w:sz w:val="32"/>
          <w:szCs w:val="32"/>
        </w:rPr>
        <w:t>”</w:t>
      </w:r>
      <w:r>
        <w:rPr>
          <w:rFonts w:eastAsia="仿宋"/>
          <w:snapToGrid w:val="0"/>
          <w:kern w:val="0"/>
          <w:sz w:val="32"/>
          <w:szCs w:val="32"/>
        </w:rPr>
        <w:t>，对能套开、打包开的会一律套开、打包召开。提倡开短会讲短话，从严把握会议，做到内容务实、重点突出、程序简练、质效双升。全年承办、协办各类会议1200余次。</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坚持突发信息及时报送，促进应急值班高效处置。全面贯彻落实全国政府系统值班工作规范（试行）和省政府“值班十条”，加强值班培训，提升人员素质，统筹突发事件信息及时规范报送，促进应急事件快速高效处置。全年规范向省政府总值班室报送突发事件信息2次，接报、处理疫情防控等信息333期，传达省市领导批示72次。</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（4）深化政府信息公开内容，提升政务公开质量。创新公开形式，打造</w:t>
      </w:r>
      <w:r>
        <w:rPr>
          <w:rFonts w:hint="eastAsia" w:ascii="仿宋" w:hAnsi="仿宋" w:eastAsia="仿宋" w:cs="仿宋"/>
          <w:snapToGrid w:val="0"/>
          <w:kern w:val="0"/>
          <w:sz w:val="32"/>
          <w:szCs w:val="32"/>
        </w:rPr>
        <w:t>“</w:t>
      </w:r>
      <w:r>
        <w:rPr>
          <w:rFonts w:eastAsia="仿宋"/>
          <w:snapToGrid w:val="0"/>
          <w:kern w:val="0"/>
          <w:sz w:val="32"/>
          <w:szCs w:val="32"/>
        </w:rPr>
        <w:t>指尖公开</w:t>
      </w:r>
      <w:r>
        <w:rPr>
          <w:rFonts w:hint="eastAsia" w:ascii="仿宋" w:hAnsi="仿宋" w:eastAsia="仿宋" w:cs="仿宋"/>
          <w:snapToGrid w:val="0"/>
          <w:kern w:val="0"/>
          <w:sz w:val="32"/>
          <w:szCs w:val="32"/>
        </w:rPr>
        <w:t>”</w:t>
      </w:r>
      <w:r>
        <w:rPr>
          <w:rFonts w:eastAsia="仿宋"/>
          <w:snapToGrid w:val="0"/>
          <w:kern w:val="0"/>
          <w:sz w:val="32"/>
          <w:szCs w:val="32"/>
        </w:rPr>
        <w:t>服务，公开党务、事务、财务等信息1438条，实现</w:t>
      </w:r>
      <w:r>
        <w:rPr>
          <w:rFonts w:hint="eastAsia" w:ascii="仿宋" w:hAnsi="仿宋" w:eastAsia="仿宋" w:cs="仿宋"/>
          <w:snapToGrid w:val="0"/>
          <w:kern w:val="0"/>
          <w:sz w:val="32"/>
          <w:szCs w:val="32"/>
        </w:rPr>
        <w:t>“</w:t>
      </w:r>
      <w:r>
        <w:rPr>
          <w:rFonts w:eastAsia="仿宋"/>
          <w:snapToGrid w:val="0"/>
          <w:kern w:val="0"/>
          <w:sz w:val="32"/>
          <w:szCs w:val="32"/>
        </w:rPr>
        <w:t>掌上阅读</w:t>
      </w:r>
      <w:r>
        <w:rPr>
          <w:rFonts w:hint="eastAsia" w:ascii="仿宋" w:hAnsi="仿宋" w:eastAsia="仿宋" w:cs="仿宋"/>
          <w:snapToGrid w:val="0"/>
          <w:kern w:val="0"/>
          <w:sz w:val="32"/>
          <w:szCs w:val="32"/>
        </w:rPr>
        <w:t>”</w:t>
      </w:r>
      <w:r>
        <w:rPr>
          <w:rFonts w:eastAsia="仿宋"/>
          <w:snapToGrid w:val="0"/>
          <w:kern w:val="0"/>
          <w:sz w:val="32"/>
          <w:szCs w:val="32"/>
        </w:rPr>
        <w:t>，实现</w:t>
      </w:r>
      <w:r>
        <w:rPr>
          <w:rFonts w:hint="eastAsia" w:ascii="仿宋" w:hAnsi="仿宋" w:eastAsia="仿宋" w:cs="仿宋"/>
          <w:snapToGrid w:val="0"/>
          <w:kern w:val="0"/>
          <w:sz w:val="32"/>
          <w:szCs w:val="32"/>
        </w:rPr>
        <w:t>“</w:t>
      </w:r>
      <w:r>
        <w:rPr>
          <w:rFonts w:eastAsia="仿宋"/>
          <w:snapToGrid w:val="0"/>
          <w:kern w:val="0"/>
          <w:sz w:val="32"/>
          <w:szCs w:val="32"/>
        </w:rPr>
        <w:t>扫码看公报</w:t>
      </w:r>
      <w:r>
        <w:rPr>
          <w:rFonts w:hint="eastAsia" w:ascii="仿宋" w:hAnsi="仿宋" w:eastAsia="仿宋" w:cs="仿宋"/>
          <w:snapToGrid w:val="0"/>
          <w:kern w:val="0"/>
          <w:sz w:val="32"/>
          <w:szCs w:val="32"/>
        </w:rPr>
        <w:t>”</w:t>
      </w:r>
      <w:r>
        <w:rPr>
          <w:rFonts w:eastAsia="仿宋"/>
          <w:snapToGrid w:val="0"/>
          <w:kern w:val="0"/>
          <w:sz w:val="32"/>
          <w:szCs w:val="32"/>
        </w:rPr>
        <w:t>；深入推广</w:t>
      </w:r>
      <w:r>
        <w:rPr>
          <w:rFonts w:hint="eastAsia" w:ascii="仿宋" w:hAnsi="仿宋" w:eastAsia="仿宋" w:cs="仿宋"/>
          <w:snapToGrid w:val="0"/>
          <w:kern w:val="0"/>
          <w:sz w:val="32"/>
          <w:szCs w:val="32"/>
        </w:rPr>
        <w:t>“</w:t>
      </w:r>
      <w:r>
        <w:rPr>
          <w:rFonts w:eastAsia="仿宋"/>
          <w:snapToGrid w:val="0"/>
          <w:kern w:val="0"/>
          <w:sz w:val="32"/>
          <w:szCs w:val="32"/>
        </w:rPr>
        <w:t>五步</w:t>
      </w:r>
      <w:r>
        <w:rPr>
          <w:rFonts w:hint="eastAsia" w:ascii="仿宋" w:hAnsi="仿宋" w:eastAsia="仿宋" w:cs="仿宋"/>
          <w:snapToGrid w:val="0"/>
          <w:kern w:val="0"/>
          <w:sz w:val="32"/>
          <w:szCs w:val="32"/>
        </w:rPr>
        <w:t>”</w:t>
      </w:r>
      <w:r>
        <w:rPr>
          <w:rFonts w:eastAsia="仿宋"/>
          <w:snapToGrid w:val="0"/>
          <w:kern w:val="0"/>
          <w:sz w:val="32"/>
          <w:szCs w:val="32"/>
        </w:rPr>
        <w:t>议事法，推进“政务公开日”活动，拓展参与渠道，搭建沟通桥梁，解决居民操心事、烦心事、揪心事100余件；下放社保、就业、医疗、民政等12个领域政务服务事项108项，下沉到镇（街道）91项、村（社区）55项、派出所等网点16项，利用数字技术、人工智能搭建智慧社区治理平台，解决172件居民愁难急盼问题。</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5）强化统筹调度，做好审计服务保障。强化工作统筹和分析研判，加强与省审计组沟通对接，及时掌握省审计组工作动态，对审计组反馈问题或经风险研判可能存在的重大问题，切实担起主体责任，短期能够整改完成的立行立改，并主动向审计组报告整改情况；短期不能整改的，制定整改措施方案，主动向审计组报告有关情况。严格执行统进统出、</w:t>
      </w:r>
      <w:r>
        <w:rPr>
          <w:rFonts w:hint="eastAsia" w:ascii="仿宋" w:hAnsi="仿宋" w:eastAsia="仿宋" w:cs="仿宋"/>
          <w:snapToGrid w:val="0"/>
          <w:kern w:val="0"/>
          <w:sz w:val="32"/>
          <w:szCs w:val="32"/>
        </w:rPr>
        <w:t>“</w:t>
      </w:r>
      <w:r>
        <w:rPr>
          <w:rFonts w:eastAsia="仿宋"/>
          <w:snapToGrid w:val="0"/>
          <w:kern w:val="0"/>
          <w:sz w:val="32"/>
          <w:szCs w:val="32"/>
        </w:rPr>
        <w:t>双签字</w:t>
      </w:r>
      <w:r>
        <w:rPr>
          <w:rFonts w:hint="eastAsia" w:ascii="仿宋" w:hAnsi="仿宋" w:eastAsia="仿宋" w:cs="仿宋"/>
          <w:snapToGrid w:val="0"/>
          <w:kern w:val="0"/>
          <w:sz w:val="32"/>
          <w:szCs w:val="32"/>
        </w:rPr>
        <w:t>”</w:t>
      </w:r>
      <w:r>
        <w:rPr>
          <w:rFonts w:eastAsia="仿宋"/>
          <w:snapToGrid w:val="0"/>
          <w:kern w:val="0"/>
          <w:sz w:val="32"/>
          <w:szCs w:val="32"/>
        </w:rPr>
        <w:t>和风险研判的资料审核把关机制，最大限度避免出现重大风险问题。</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w:t>
      </w:r>
      <w:r>
        <w:rPr>
          <w:rFonts w:hint="eastAsia" w:eastAsia="仿宋"/>
          <w:snapToGrid w:val="0"/>
          <w:kern w:val="0"/>
          <w:sz w:val="32"/>
          <w:szCs w:val="32"/>
        </w:rPr>
        <w:t>．</w:t>
      </w:r>
      <w:r>
        <w:rPr>
          <w:rFonts w:eastAsia="仿宋"/>
          <w:snapToGrid w:val="0"/>
          <w:kern w:val="0"/>
          <w:sz w:val="32"/>
          <w:szCs w:val="32"/>
        </w:rPr>
        <w:t>积极作为，参谋助手作用充分发挥</w:t>
      </w:r>
      <w:r>
        <w:rPr>
          <w:rFonts w:hint="eastAsia" w:eastAsia="仿宋"/>
          <w:snapToGrid w:val="0"/>
          <w:kern w:val="0"/>
          <w:sz w:val="32"/>
          <w:szCs w:val="32"/>
        </w:rPr>
        <w:t>。</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全面提升调研水平。坚持以服务决策为导向，突出“点线面”齐发力，全面提升政务调研水平，为市委、市政府科学决策提供可靠依据、可行对策。完成《攀枝花普职融通推进现状》《攀枝花钒钛高新区发展现状》《把准</w:t>
      </w:r>
      <w:r>
        <w:rPr>
          <w:rFonts w:hint="eastAsia" w:ascii="仿宋" w:hAnsi="仿宋" w:eastAsia="仿宋" w:cs="仿宋"/>
          <w:snapToGrid w:val="0"/>
          <w:kern w:val="0"/>
          <w:sz w:val="32"/>
          <w:szCs w:val="32"/>
        </w:rPr>
        <w:t>“</w:t>
      </w:r>
      <w:r>
        <w:rPr>
          <w:rFonts w:eastAsia="仿宋"/>
          <w:snapToGrid w:val="0"/>
          <w:kern w:val="0"/>
          <w:sz w:val="32"/>
          <w:szCs w:val="32"/>
        </w:rPr>
        <w:t>四个关系</w:t>
      </w:r>
      <w:r>
        <w:rPr>
          <w:rFonts w:hint="eastAsia" w:ascii="仿宋" w:hAnsi="仿宋" w:eastAsia="仿宋" w:cs="仿宋"/>
          <w:snapToGrid w:val="0"/>
          <w:kern w:val="0"/>
          <w:sz w:val="32"/>
          <w:szCs w:val="32"/>
        </w:rPr>
        <w:t>”</w:t>
      </w:r>
      <w:r>
        <w:rPr>
          <w:rFonts w:eastAsia="仿宋"/>
          <w:snapToGrid w:val="0"/>
          <w:kern w:val="0"/>
          <w:sz w:val="32"/>
          <w:szCs w:val="32"/>
        </w:rPr>
        <w:t>奋力实现</w:t>
      </w:r>
      <w:r>
        <w:rPr>
          <w:rFonts w:hint="eastAsia" w:ascii="仿宋" w:hAnsi="仿宋" w:eastAsia="仿宋" w:cs="仿宋"/>
          <w:snapToGrid w:val="0"/>
          <w:kern w:val="0"/>
          <w:sz w:val="32"/>
          <w:szCs w:val="32"/>
        </w:rPr>
        <w:t>“</w:t>
      </w:r>
      <w:r>
        <w:rPr>
          <w:rFonts w:eastAsia="仿宋"/>
          <w:snapToGrid w:val="0"/>
          <w:kern w:val="0"/>
          <w:sz w:val="32"/>
          <w:szCs w:val="32"/>
        </w:rPr>
        <w:t>四变</w:t>
      </w:r>
      <w:r>
        <w:rPr>
          <w:rFonts w:hint="eastAsia" w:ascii="仿宋" w:hAnsi="仿宋" w:eastAsia="仿宋" w:cs="仿宋"/>
          <w:snapToGrid w:val="0"/>
          <w:kern w:val="0"/>
          <w:sz w:val="32"/>
          <w:szCs w:val="32"/>
        </w:rPr>
        <w:t>”</w:t>
      </w:r>
      <w:r>
        <w:rPr>
          <w:rFonts w:eastAsia="仿宋"/>
          <w:snapToGrid w:val="0"/>
          <w:kern w:val="0"/>
          <w:sz w:val="32"/>
          <w:szCs w:val="32"/>
        </w:rPr>
        <w:t>在扎实走好特色发展之路中再创攀枝花</w:t>
      </w:r>
      <w:r>
        <w:rPr>
          <w:rFonts w:hint="eastAsia" w:ascii="仿宋" w:hAnsi="仿宋" w:eastAsia="仿宋" w:cs="仿宋"/>
          <w:snapToGrid w:val="0"/>
          <w:kern w:val="0"/>
          <w:sz w:val="32"/>
          <w:szCs w:val="32"/>
        </w:rPr>
        <w:t>“</w:t>
      </w:r>
      <w:r>
        <w:rPr>
          <w:rFonts w:eastAsia="仿宋"/>
          <w:snapToGrid w:val="0"/>
          <w:kern w:val="0"/>
          <w:sz w:val="32"/>
          <w:szCs w:val="32"/>
        </w:rPr>
        <w:t>火红年华</w:t>
      </w:r>
      <w:r>
        <w:rPr>
          <w:rFonts w:hint="eastAsia" w:ascii="仿宋" w:hAnsi="仿宋" w:eastAsia="仿宋" w:cs="仿宋"/>
          <w:snapToGrid w:val="0"/>
          <w:kern w:val="0"/>
          <w:sz w:val="32"/>
          <w:szCs w:val="32"/>
        </w:rPr>
        <w:t>”</w:t>
      </w:r>
      <w:r>
        <w:rPr>
          <w:rFonts w:eastAsia="仿宋"/>
          <w:snapToGrid w:val="0"/>
          <w:kern w:val="0"/>
          <w:sz w:val="32"/>
          <w:szCs w:val="32"/>
        </w:rPr>
        <w:t>》《关于攀枝花乡村振兴路径的思考》《推进攀枝花基本公共服务优质均衡的路径和政策研究》等调研课题200余篇。</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（2）持续提高信息编报质量。开展信息岗位“练兵”，每月组织2</w:t>
      </w:r>
      <w:r>
        <w:rPr>
          <w:rFonts w:hint="eastAsia" w:ascii="仿宋" w:hAnsi="仿宋" w:eastAsia="仿宋" w:cs="仿宋"/>
          <w:snapToGrid w:val="0"/>
          <w:kern w:val="0"/>
          <w:sz w:val="32"/>
          <w:szCs w:val="32"/>
        </w:rPr>
        <w:t>—</w:t>
      </w:r>
      <w:r>
        <w:rPr>
          <w:rFonts w:eastAsia="仿宋"/>
          <w:snapToGrid w:val="0"/>
          <w:kern w:val="0"/>
          <w:sz w:val="32"/>
          <w:szCs w:val="32"/>
        </w:rPr>
        <w:t>3个单位信息员交流学习，以点带面提升政务信息写作质量和水平。围绕国家、省、市中心工作，高质量加强信息编报。截至11月底，共编发《每日政情》226期、《驻外机构信息汇览》45期，向省政府办公厅编报信息678条（篇），被省政府及国务院办公厅采用166篇次，获国务院及省领导批示22次。</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（3）不断提升督查工作质效。围绕经济发展、围绕安排部署、围绕安全保障，紧盯指标任务、紧盯项目攻坚、紧盯助企纾困、紧盯民生实事，充分发挥政务督查</w:t>
      </w:r>
      <w:r>
        <w:rPr>
          <w:rFonts w:hint="eastAsia" w:ascii="仿宋" w:hAnsi="仿宋" w:eastAsia="仿宋" w:cs="仿宋"/>
          <w:snapToGrid w:val="0"/>
          <w:kern w:val="0"/>
          <w:sz w:val="32"/>
          <w:szCs w:val="32"/>
        </w:rPr>
        <w:t>“</w:t>
      </w:r>
      <w:r>
        <w:rPr>
          <w:rFonts w:eastAsia="仿宋"/>
          <w:snapToGrid w:val="0"/>
          <w:kern w:val="0"/>
          <w:sz w:val="32"/>
          <w:szCs w:val="32"/>
        </w:rPr>
        <w:t>利器</w:t>
      </w:r>
      <w:r>
        <w:rPr>
          <w:rFonts w:hint="eastAsia" w:ascii="仿宋" w:hAnsi="仿宋" w:eastAsia="仿宋" w:cs="仿宋"/>
          <w:snapToGrid w:val="0"/>
          <w:kern w:val="0"/>
          <w:sz w:val="32"/>
          <w:szCs w:val="32"/>
        </w:rPr>
        <w:t>”</w:t>
      </w:r>
      <w:r>
        <w:rPr>
          <w:rFonts w:eastAsia="仿宋"/>
          <w:snapToGrid w:val="0"/>
          <w:kern w:val="0"/>
          <w:sz w:val="32"/>
          <w:szCs w:val="32"/>
        </w:rPr>
        <w:t>作用，坚持</w:t>
      </w:r>
      <w:r>
        <w:rPr>
          <w:rFonts w:hint="eastAsia" w:ascii="仿宋" w:hAnsi="仿宋" w:eastAsia="仿宋" w:cs="仿宋"/>
          <w:snapToGrid w:val="0"/>
          <w:kern w:val="0"/>
          <w:sz w:val="32"/>
          <w:szCs w:val="32"/>
        </w:rPr>
        <w:t>“</w:t>
      </w:r>
      <w:r>
        <w:rPr>
          <w:rFonts w:eastAsia="仿宋"/>
          <w:snapToGrid w:val="0"/>
          <w:kern w:val="0"/>
          <w:sz w:val="32"/>
          <w:szCs w:val="32"/>
        </w:rPr>
        <w:t>督考合一</w:t>
      </w:r>
      <w:r>
        <w:rPr>
          <w:rFonts w:hint="eastAsia" w:ascii="仿宋" w:hAnsi="仿宋" w:eastAsia="仿宋" w:cs="仿宋"/>
          <w:snapToGrid w:val="0"/>
          <w:kern w:val="0"/>
          <w:sz w:val="32"/>
          <w:szCs w:val="32"/>
        </w:rPr>
        <w:t>”</w:t>
      </w:r>
      <w:r>
        <w:rPr>
          <w:rFonts w:eastAsia="仿宋"/>
          <w:snapToGrid w:val="0"/>
          <w:kern w:val="0"/>
          <w:sz w:val="32"/>
          <w:szCs w:val="32"/>
        </w:rPr>
        <w:t>，建立</w:t>
      </w:r>
      <w:r>
        <w:rPr>
          <w:rFonts w:hint="eastAsia" w:ascii="仿宋" w:hAnsi="仿宋" w:eastAsia="仿宋" w:cs="仿宋"/>
          <w:snapToGrid w:val="0"/>
          <w:kern w:val="0"/>
          <w:sz w:val="32"/>
          <w:szCs w:val="32"/>
        </w:rPr>
        <w:t>“</w:t>
      </w:r>
      <w:r>
        <w:rPr>
          <w:rFonts w:eastAsia="仿宋"/>
          <w:snapToGrid w:val="0"/>
          <w:kern w:val="0"/>
          <w:sz w:val="32"/>
          <w:szCs w:val="32"/>
        </w:rPr>
        <w:t>明晰责任、清单管理、调度推进、奖惩考核</w:t>
      </w:r>
      <w:r>
        <w:rPr>
          <w:rFonts w:hint="eastAsia" w:ascii="仿宋" w:hAnsi="仿宋" w:eastAsia="仿宋" w:cs="仿宋"/>
          <w:snapToGrid w:val="0"/>
          <w:kern w:val="0"/>
          <w:sz w:val="32"/>
          <w:szCs w:val="32"/>
        </w:rPr>
        <w:t>”</w:t>
      </w:r>
      <w:r>
        <w:rPr>
          <w:rFonts w:eastAsia="仿宋"/>
          <w:snapToGrid w:val="0"/>
          <w:kern w:val="0"/>
          <w:sz w:val="32"/>
          <w:szCs w:val="32"/>
        </w:rPr>
        <w:t>工作机制，将重大项目、重点工作的督查情况纳入考核，引导市级部门开拓创新、相互比拼，全力推动拼经济搞建设要求落地落实。2022年累计督查督办市领导批示指示600余件，印发专报35期、通报13期，坚持既督又帮，帮助企业解决尾矿排放、用工短缺等难题200余项。</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w:t>
      </w:r>
      <w:r>
        <w:rPr>
          <w:rFonts w:hint="eastAsia" w:eastAsia="仿宋"/>
          <w:snapToGrid w:val="0"/>
          <w:kern w:val="0"/>
          <w:sz w:val="32"/>
          <w:szCs w:val="32"/>
        </w:rPr>
        <w:t>．</w:t>
      </w:r>
      <w:r>
        <w:rPr>
          <w:rFonts w:eastAsia="仿宋"/>
          <w:snapToGrid w:val="0"/>
          <w:kern w:val="0"/>
          <w:sz w:val="32"/>
          <w:szCs w:val="32"/>
        </w:rPr>
        <w:t>围绕中心，服务保障全市发展大局</w:t>
      </w:r>
      <w:r>
        <w:rPr>
          <w:rFonts w:hint="eastAsia" w:eastAsia="仿宋"/>
          <w:snapToGrid w:val="0"/>
          <w:kern w:val="0"/>
          <w:sz w:val="32"/>
          <w:szCs w:val="32"/>
        </w:rPr>
        <w:t>。</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（1）加强协调，充分疫情防控</w:t>
      </w:r>
      <w:r>
        <w:rPr>
          <w:rFonts w:hint="eastAsia" w:ascii="仿宋" w:hAnsi="仿宋" w:eastAsia="仿宋" w:cs="仿宋"/>
          <w:snapToGrid w:val="0"/>
          <w:kern w:val="0"/>
          <w:sz w:val="32"/>
          <w:szCs w:val="32"/>
        </w:rPr>
        <w:t>“</w:t>
      </w:r>
      <w:r>
        <w:rPr>
          <w:rFonts w:eastAsia="仿宋"/>
          <w:snapToGrid w:val="0"/>
          <w:kern w:val="0"/>
          <w:sz w:val="32"/>
          <w:szCs w:val="32"/>
        </w:rPr>
        <w:t>中枢</w:t>
      </w:r>
      <w:r>
        <w:rPr>
          <w:rFonts w:hint="eastAsia" w:ascii="仿宋" w:hAnsi="仿宋" w:eastAsia="仿宋" w:cs="仿宋"/>
          <w:snapToGrid w:val="0"/>
          <w:kern w:val="0"/>
          <w:sz w:val="32"/>
          <w:szCs w:val="32"/>
        </w:rPr>
        <w:t>”</w:t>
      </w:r>
      <w:r>
        <w:rPr>
          <w:rFonts w:eastAsia="仿宋"/>
          <w:snapToGrid w:val="0"/>
          <w:kern w:val="0"/>
          <w:sz w:val="32"/>
          <w:szCs w:val="32"/>
        </w:rPr>
        <w:t>作用。毫不动摇坚持</w:t>
      </w:r>
      <w:r>
        <w:rPr>
          <w:rFonts w:hint="eastAsia" w:ascii="仿宋" w:hAnsi="仿宋" w:eastAsia="仿宋" w:cs="仿宋"/>
          <w:snapToGrid w:val="0"/>
          <w:kern w:val="0"/>
          <w:sz w:val="32"/>
          <w:szCs w:val="32"/>
        </w:rPr>
        <w:t>“</w:t>
      </w:r>
      <w:r>
        <w:rPr>
          <w:rFonts w:eastAsia="仿宋"/>
          <w:snapToGrid w:val="0"/>
          <w:kern w:val="0"/>
          <w:sz w:val="32"/>
          <w:szCs w:val="32"/>
        </w:rPr>
        <w:t>外防输入、内防反弹</w:t>
      </w:r>
      <w:r>
        <w:rPr>
          <w:rFonts w:hint="eastAsia" w:ascii="仿宋" w:hAnsi="仿宋" w:eastAsia="仿宋" w:cs="仿宋"/>
          <w:snapToGrid w:val="0"/>
          <w:kern w:val="0"/>
          <w:sz w:val="32"/>
          <w:szCs w:val="32"/>
        </w:rPr>
        <w:t>”</w:t>
      </w:r>
      <w:r>
        <w:rPr>
          <w:rFonts w:eastAsia="仿宋"/>
          <w:snapToGrid w:val="0"/>
          <w:kern w:val="0"/>
          <w:sz w:val="32"/>
          <w:szCs w:val="32"/>
        </w:rPr>
        <w:t>总策略和</w:t>
      </w:r>
      <w:r>
        <w:rPr>
          <w:rFonts w:hint="eastAsia" w:ascii="仿宋" w:hAnsi="仿宋" w:eastAsia="仿宋" w:cs="仿宋"/>
          <w:snapToGrid w:val="0"/>
          <w:kern w:val="0"/>
          <w:sz w:val="32"/>
          <w:szCs w:val="32"/>
        </w:rPr>
        <w:t>“</w:t>
      </w:r>
      <w:r>
        <w:rPr>
          <w:rFonts w:eastAsia="仿宋"/>
          <w:snapToGrid w:val="0"/>
          <w:kern w:val="0"/>
          <w:sz w:val="32"/>
          <w:szCs w:val="32"/>
        </w:rPr>
        <w:t>动态清零</w:t>
      </w:r>
      <w:r>
        <w:rPr>
          <w:rFonts w:hint="eastAsia" w:ascii="仿宋" w:hAnsi="仿宋" w:eastAsia="仿宋" w:cs="仿宋"/>
          <w:snapToGrid w:val="0"/>
          <w:kern w:val="0"/>
          <w:sz w:val="32"/>
          <w:szCs w:val="32"/>
        </w:rPr>
        <w:t>”</w:t>
      </w:r>
      <w:r>
        <w:rPr>
          <w:rFonts w:eastAsia="仿宋"/>
          <w:snapToGrid w:val="0"/>
          <w:kern w:val="0"/>
          <w:sz w:val="32"/>
          <w:szCs w:val="32"/>
        </w:rPr>
        <w:t>总方针，推进常态化疫情防控工作。针对2022年全国严峻复杂的疫情形势，严格按照第九版防控方案和</w:t>
      </w:r>
      <w:r>
        <w:rPr>
          <w:rFonts w:hint="eastAsia" w:ascii="仿宋" w:hAnsi="仿宋" w:eastAsia="仿宋" w:cs="仿宋"/>
          <w:snapToGrid w:val="0"/>
          <w:kern w:val="0"/>
          <w:sz w:val="32"/>
          <w:szCs w:val="32"/>
        </w:rPr>
        <w:t>“</w:t>
      </w:r>
      <w:r>
        <w:rPr>
          <w:rFonts w:eastAsia="仿宋"/>
          <w:snapToGrid w:val="0"/>
          <w:kern w:val="0"/>
          <w:sz w:val="32"/>
          <w:szCs w:val="32"/>
        </w:rPr>
        <w:t>九不准</w:t>
      </w:r>
      <w:r>
        <w:rPr>
          <w:rFonts w:hint="eastAsia" w:ascii="仿宋" w:hAnsi="仿宋" w:eastAsia="仿宋" w:cs="仿宋"/>
          <w:snapToGrid w:val="0"/>
          <w:kern w:val="0"/>
          <w:sz w:val="32"/>
          <w:szCs w:val="32"/>
        </w:rPr>
        <w:t>”</w:t>
      </w:r>
      <w:r>
        <w:rPr>
          <w:rFonts w:eastAsia="仿宋"/>
          <w:snapToGrid w:val="0"/>
          <w:kern w:val="0"/>
          <w:sz w:val="32"/>
          <w:szCs w:val="32"/>
        </w:rPr>
        <w:t>要求，落实属地、部门、单位、个人</w:t>
      </w:r>
      <w:r>
        <w:rPr>
          <w:rFonts w:hint="eastAsia" w:ascii="仿宋" w:hAnsi="仿宋" w:eastAsia="仿宋" w:cs="仿宋"/>
          <w:snapToGrid w:val="0"/>
          <w:kern w:val="0"/>
          <w:sz w:val="32"/>
          <w:szCs w:val="32"/>
        </w:rPr>
        <w:t>“</w:t>
      </w:r>
      <w:r>
        <w:rPr>
          <w:rFonts w:eastAsia="仿宋"/>
          <w:snapToGrid w:val="0"/>
          <w:kern w:val="0"/>
          <w:sz w:val="32"/>
          <w:szCs w:val="32"/>
        </w:rPr>
        <w:t>四方责任</w:t>
      </w:r>
      <w:r>
        <w:rPr>
          <w:rFonts w:hint="eastAsia" w:ascii="仿宋" w:hAnsi="仿宋" w:eastAsia="仿宋" w:cs="仿宋"/>
          <w:snapToGrid w:val="0"/>
          <w:kern w:val="0"/>
          <w:sz w:val="32"/>
          <w:szCs w:val="32"/>
        </w:rPr>
        <w:t>”</w:t>
      </w:r>
      <w:r>
        <w:rPr>
          <w:rFonts w:eastAsia="仿宋"/>
          <w:snapToGrid w:val="0"/>
          <w:kern w:val="0"/>
          <w:sz w:val="32"/>
          <w:szCs w:val="32"/>
        </w:rPr>
        <w:t>，坚持24小时值班值守，严控境外疫情输入，严防内部反弹，持续推进新冠肺炎疫苗接种，强化重要场所、重点行业常态化防控，加快推进方舱医院等疫情防控基础设施建设，优化后勤物资储备，实行</w:t>
      </w:r>
      <w:r>
        <w:rPr>
          <w:rFonts w:hint="eastAsia" w:ascii="仿宋" w:hAnsi="仿宋" w:eastAsia="仿宋" w:cs="仿宋"/>
          <w:snapToGrid w:val="0"/>
          <w:kern w:val="0"/>
          <w:sz w:val="32"/>
          <w:szCs w:val="32"/>
        </w:rPr>
        <w:t>“</w:t>
      </w:r>
      <w:r>
        <w:rPr>
          <w:rFonts w:eastAsia="仿宋"/>
          <w:snapToGrid w:val="0"/>
          <w:kern w:val="0"/>
          <w:sz w:val="32"/>
          <w:szCs w:val="32"/>
        </w:rPr>
        <w:t>一患一策</w:t>
      </w:r>
      <w:r>
        <w:rPr>
          <w:rFonts w:hint="eastAsia" w:ascii="仿宋" w:hAnsi="仿宋" w:eastAsia="仿宋" w:cs="仿宋"/>
          <w:snapToGrid w:val="0"/>
          <w:kern w:val="0"/>
          <w:sz w:val="32"/>
          <w:szCs w:val="32"/>
        </w:rPr>
        <w:t>”</w:t>
      </w:r>
      <w:r>
        <w:rPr>
          <w:rFonts w:eastAsia="仿宋"/>
          <w:snapToGrid w:val="0"/>
          <w:kern w:val="0"/>
          <w:sz w:val="32"/>
          <w:szCs w:val="32"/>
        </w:rPr>
        <w:t>、中西医结合，保障疫情患者救治。</w:t>
      </w:r>
    </w:p>
    <w:p>
      <w:pPr>
        <w:adjustRightInd w:val="0"/>
        <w:snapToGrid w:val="0"/>
        <w:spacing w:line="353" w:lineRule="auto"/>
        <w:rPr>
          <w:rFonts w:eastAsia="仿宋"/>
          <w:snapToGrid w:val="0"/>
          <w:spacing w:val="4"/>
          <w:kern w:val="0"/>
          <w:sz w:val="32"/>
          <w:szCs w:val="32"/>
        </w:rPr>
      </w:pPr>
      <w:r>
        <w:rPr>
          <w:rFonts w:hint="eastAsia" w:eastAsia="仿宋"/>
          <w:snapToGrid w:val="0"/>
          <w:kern w:val="0"/>
          <w:sz w:val="32"/>
          <w:szCs w:val="32"/>
        </w:rPr>
        <w:t>　　</w:t>
      </w:r>
      <w:r>
        <w:rPr>
          <w:rFonts w:eastAsia="仿宋"/>
          <w:snapToGrid w:val="0"/>
          <w:kern w:val="0"/>
          <w:sz w:val="32"/>
          <w:szCs w:val="32"/>
        </w:rPr>
        <w:t>（2）软硬齐抓，稳步推进电子政务建设管理。完成全市电子政务外网IPv6改造和链路升级工作，提速省到市、市到县主干线路带宽到千兆，县到乡百兆，横向接入50</w:t>
      </w:r>
      <w:r>
        <w:rPr>
          <w:rFonts w:hint="eastAsia" w:eastAsia="仿宋"/>
          <w:snapToGrid w:val="0"/>
          <w:kern w:val="0"/>
          <w:sz w:val="32"/>
          <w:szCs w:val="32"/>
        </w:rPr>
        <w:t>～</w:t>
      </w:r>
      <w:r>
        <w:rPr>
          <w:rFonts w:eastAsia="仿宋"/>
          <w:snapToGrid w:val="0"/>
          <w:kern w:val="0"/>
          <w:sz w:val="32"/>
          <w:szCs w:val="32"/>
        </w:rPr>
        <w:t>200兆，进一步提升外网性能和覆盖面。推进村（社区）电子政务外网接入工作，全市336个村（社区）已全部接入电子政务外网，覆盖率达100%</w:t>
      </w:r>
      <w:r>
        <w:rPr>
          <w:rFonts w:eastAsia="仿宋"/>
          <w:snapToGrid w:val="0"/>
          <w:spacing w:val="4"/>
          <w:kern w:val="0"/>
          <w:sz w:val="32"/>
          <w:szCs w:val="32"/>
        </w:rPr>
        <w:t>。加快推进政务云建设，形成存储资源179.2TB、计算资源1364个CPU核心、运行内存2.42T、出口总带宽1Gbps的服务能力，为市发展改革委、市委政法委等27个部门58个业务系统提供了安全可靠的云资源服务，每年节约财政支出300余万元。</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（3）有力有效，不断推进</w:t>
      </w:r>
      <w:r>
        <w:rPr>
          <w:rFonts w:hint="eastAsia" w:ascii="仿宋" w:hAnsi="仿宋" w:eastAsia="仿宋" w:cs="仿宋"/>
          <w:snapToGrid w:val="0"/>
          <w:kern w:val="0"/>
          <w:sz w:val="32"/>
          <w:szCs w:val="32"/>
        </w:rPr>
        <w:t>“</w:t>
      </w:r>
      <w:r>
        <w:rPr>
          <w:rFonts w:eastAsia="仿宋"/>
          <w:snapToGrid w:val="0"/>
          <w:kern w:val="0"/>
          <w:sz w:val="32"/>
          <w:szCs w:val="32"/>
        </w:rPr>
        <w:t>一网通办</w:t>
      </w:r>
      <w:r>
        <w:rPr>
          <w:rFonts w:hint="eastAsia" w:ascii="仿宋" w:hAnsi="仿宋" w:eastAsia="仿宋" w:cs="仿宋"/>
          <w:snapToGrid w:val="0"/>
          <w:kern w:val="0"/>
          <w:sz w:val="32"/>
          <w:szCs w:val="32"/>
        </w:rPr>
        <w:t>”</w:t>
      </w:r>
      <w:r>
        <w:rPr>
          <w:rFonts w:eastAsia="仿宋"/>
          <w:snapToGrid w:val="0"/>
          <w:kern w:val="0"/>
          <w:sz w:val="32"/>
          <w:szCs w:val="32"/>
        </w:rPr>
        <w:t>工作。统筹推进</w:t>
      </w:r>
      <w:r>
        <w:rPr>
          <w:rFonts w:hint="eastAsia" w:ascii="仿宋" w:hAnsi="仿宋" w:eastAsia="仿宋" w:cs="仿宋"/>
          <w:snapToGrid w:val="0"/>
          <w:kern w:val="0"/>
          <w:sz w:val="32"/>
          <w:szCs w:val="32"/>
        </w:rPr>
        <w:t>“</w:t>
      </w:r>
      <w:r>
        <w:rPr>
          <w:rFonts w:eastAsia="仿宋"/>
          <w:snapToGrid w:val="0"/>
          <w:kern w:val="0"/>
          <w:sz w:val="32"/>
          <w:szCs w:val="32"/>
        </w:rPr>
        <w:t>一网通办</w:t>
      </w:r>
      <w:r>
        <w:rPr>
          <w:rFonts w:hint="eastAsia" w:ascii="仿宋" w:hAnsi="仿宋" w:eastAsia="仿宋" w:cs="仿宋"/>
          <w:snapToGrid w:val="0"/>
          <w:kern w:val="0"/>
          <w:sz w:val="32"/>
          <w:szCs w:val="32"/>
        </w:rPr>
        <w:t>”</w:t>
      </w:r>
      <w:r>
        <w:rPr>
          <w:rFonts w:eastAsia="仿宋"/>
          <w:snapToGrid w:val="0"/>
          <w:kern w:val="0"/>
          <w:sz w:val="32"/>
          <w:szCs w:val="32"/>
        </w:rPr>
        <w:t>集中攻坚，制发市级政务信息资源共享平台管理办法等5个</w:t>
      </w:r>
      <w:r>
        <w:rPr>
          <w:rFonts w:eastAsia="仿宋"/>
          <w:snapToGrid w:val="0"/>
          <w:spacing w:val="-4"/>
          <w:kern w:val="0"/>
          <w:sz w:val="32"/>
          <w:szCs w:val="32"/>
        </w:rPr>
        <w:t>管理制度，召开调度会、分析会20余次，印发攻坚快报21期，印发提醒敦促函20余份。建立完善政务数据供需对接机制和统筹管理机制，提升数据质量和加快数据回流，截至12月10日，共享目录和开放数据集达到10578条、8457个，开放数据量达5175万条，已审核通过国家数据资源接口107个，汇总上报省级政务数据需求286条。</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rPr>
        <w:t>　　</w:t>
      </w:r>
      <w:r>
        <w:rPr>
          <w:rFonts w:eastAsia="仿宋"/>
          <w:snapToGrid w:val="0"/>
          <w:kern w:val="0"/>
          <w:sz w:val="32"/>
          <w:szCs w:val="32"/>
        </w:rPr>
        <w:t>（4）提质赋能，持续加强干部队伍建设。坚决落实党要管党、全面从严治党要求，纵深推进全面从严治党，进一步加强政治思想建设、严肃党内政治生活、坚持严管厚爱结合，着力建设政治型、学习型、实干型机关。坚持党建引领，深入学习贯彻党的十九大、党的二十大精神，教育引导机关干部时刻心怀</w:t>
      </w:r>
      <w:r>
        <w:rPr>
          <w:rFonts w:hint="eastAsia" w:ascii="仿宋" w:hAnsi="仿宋" w:eastAsia="仿宋" w:cs="仿宋"/>
          <w:snapToGrid w:val="0"/>
          <w:kern w:val="0"/>
          <w:sz w:val="32"/>
          <w:szCs w:val="32"/>
        </w:rPr>
        <w:t>“</w:t>
      </w:r>
      <w:r>
        <w:rPr>
          <w:rFonts w:eastAsia="仿宋"/>
          <w:snapToGrid w:val="0"/>
          <w:kern w:val="0"/>
          <w:sz w:val="32"/>
          <w:szCs w:val="32"/>
        </w:rPr>
        <w:t>国之大者</w:t>
      </w:r>
      <w:r>
        <w:rPr>
          <w:rFonts w:hint="eastAsia" w:ascii="仿宋" w:hAnsi="仿宋" w:eastAsia="仿宋" w:cs="仿宋"/>
          <w:snapToGrid w:val="0"/>
          <w:kern w:val="0"/>
          <w:sz w:val="32"/>
          <w:szCs w:val="32"/>
        </w:rPr>
        <w:t>”</w:t>
      </w:r>
      <w:r>
        <w:rPr>
          <w:rFonts w:eastAsia="仿宋"/>
          <w:snapToGrid w:val="0"/>
          <w:kern w:val="0"/>
          <w:sz w:val="32"/>
          <w:szCs w:val="32"/>
        </w:rPr>
        <w:t>，坚持从政治角度看问题、想办法、出对策，切实提高政治领悟力、政治判断力和政治执行力。严肃开展党内组织生活，严格执行“三会一课”制度，扎实开展主题党日活动、学习心得体会分享、知识测试、科（室）座右铭上墙等活动。加强干部队伍建设，鲜明实干用人导向，做好干部选拔补充、提拔交流、培训教育和实践历练。今年以来，配合组织部门提拔交流（含进一步使用）县级干部6名，提拔使用科级干部13名，晋升公务员职级20名。办公室公开考调公务员6名，择优调入大数据中心事业人员2名。组织干部参加培训20余班次、140余人次。加强党风廉政建设，常态化开展警示教育，落实谈心谈话制度，强化廉政风险防控，勇于自我革命，持续改进作风，永葆清正廉洁的政治本色。</w:t>
      </w:r>
    </w:p>
    <w:p>
      <w:pPr>
        <w:adjustRightInd w:val="0"/>
        <w:snapToGrid w:val="0"/>
        <w:spacing w:line="353"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（五）部门整体支出绩效目标。</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rPr>
        <w:t>　　</w:t>
      </w:r>
      <w:r>
        <w:rPr>
          <w:rFonts w:eastAsia="仿宋"/>
          <w:snapToGrid w:val="0"/>
          <w:kern w:val="0"/>
          <w:sz w:val="32"/>
          <w:szCs w:val="32"/>
        </w:rPr>
        <w:t>市政府办公室紧紧围绕市委市政府决策部署和全市中心工作，坚持高标准、严要求，创新理念、转变作风，主动担当、强化服务，进一步发挥桥梁纽带作用，进一步树立作风优、能力强、业绩靓的标杆，圆满完成了各项工作任务，为全市经济社会发展做出新的更大贡献。</w:t>
      </w:r>
      <w:r>
        <w:rPr>
          <w:rFonts w:eastAsia="仿宋"/>
          <w:snapToGrid w:val="0"/>
          <w:kern w:val="0"/>
          <w:sz w:val="32"/>
          <w:szCs w:val="32"/>
          <w:lang w:val="zh-CN"/>
        </w:rPr>
        <w:t>整体支出</w:t>
      </w:r>
      <w:r>
        <w:rPr>
          <w:rFonts w:eastAsia="仿宋"/>
          <w:snapToGrid w:val="0"/>
          <w:kern w:val="0"/>
          <w:sz w:val="32"/>
          <w:szCs w:val="32"/>
        </w:rPr>
        <w:t>实际完成情况达到预期绩效目标。</w:t>
      </w:r>
    </w:p>
    <w:p>
      <w:pPr>
        <w:adjustRightInd w:val="0"/>
        <w:snapToGrid w:val="0"/>
        <w:spacing w:line="353"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二、部门资金收支情况</w:t>
      </w:r>
    </w:p>
    <w:p>
      <w:pPr>
        <w:adjustRightInd w:val="0"/>
        <w:snapToGrid w:val="0"/>
        <w:spacing w:line="353"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（一）部门总体收支情况。</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w:t>
      </w:r>
      <w:r>
        <w:rPr>
          <w:rFonts w:hint="eastAsia" w:eastAsia="仿宋"/>
          <w:snapToGrid w:val="0"/>
          <w:kern w:val="0"/>
          <w:sz w:val="32"/>
          <w:szCs w:val="32"/>
        </w:rPr>
        <w:t>．</w:t>
      </w:r>
      <w:r>
        <w:rPr>
          <w:rFonts w:eastAsia="仿宋"/>
          <w:snapToGrid w:val="0"/>
          <w:kern w:val="0"/>
          <w:sz w:val="32"/>
          <w:szCs w:val="32"/>
        </w:rPr>
        <w:t>部门总体收入情况</w:t>
      </w:r>
      <w:r>
        <w:rPr>
          <w:rFonts w:hint="eastAsia" w:eastAsia="仿宋"/>
          <w:snapToGrid w:val="0"/>
          <w:kern w:val="0"/>
          <w:sz w:val="32"/>
          <w:szCs w:val="32"/>
        </w:rPr>
        <w:t>。</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市政府办公室2022年本年收入合计4075.26万元，同比增长7.56%。其中：一般公共预算财政拨款收入4072.25万元，占99.93%；其他收入3.01万元，占0.07%。</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w:t>
      </w:r>
      <w:r>
        <w:rPr>
          <w:rFonts w:hint="eastAsia" w:eastAsia="仿宋"/>
          <w:snapToGrid w:val="0"/>
          <w:kern w:val="0"/>
          <w:sz w:val="32"/>
          <w:szCs w:val="32"/>
        </w:rPr>
        <w:t>．</w:t>
      </w:r>
      <w:r>
        <w:rPr>
          <w:rFonts w:eastAsia="仿宋"/>
          <w:snapToGrid w:val="0"/>
          <w:kern w:val="0"/>
          <w:sz w:val="32"/>
          <w:szCs w:val="32"/>
        </w:rPr>
        <w:t>部门总体支出情况</w:t>
      </w:r>
      <w:r>
        <w:rPr>
          <w:rFonts w:hint="eastAsia" w:eastAsia="仿宋"/>
          <w:snapToGrid w:val="0"/>
          <w:kern w:val="0"/>
          <w:sz w:val="32"/>
          <w:szCs w:val="32"/>
        </w:rPr>
        <w:t>。</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市政府办公室2022年本年支出合计4296.03万元，同比增长12.11%。其中：基本支出3767.52万元，占87.70%；项目支出528.51万元，占12.30%。</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w:t>
      </w:r>
      <w:r>
        <w:rPr>
          <w:rFonts w:hint="eastAsia" w:eastAsia="仿宋"/>
          <w:snapToGrid w:val="0"/>
          <w:kern w:val="0"/>
          <w:sz w:val="32"/>
          <w:szCs w:val="32"/>
        </w:rPr>
        <w:t>．</w:t>
      </w:r>
      <w:r>
        <w:rPr>
          <w:rFonts w:eastAsia="仿宋"/>
          <w:snapToGrid w:val="0"/>
          <w:kern w:val="0"/>
          <w:sz w:val="32"/>
          <w:szCs w:val="32"/>
        </w:rPr>
        <w:t>部门总体结转结余情况</w:t>
      </w:r>
      <w:r>
        <w:rPr>
          <w:rFonts w:hint="eastAsia" w:eastAsia="仿宋"/>
          <w:snapToGrid w:val="0"/>
          <w:kern w:val="0"/>
          <w:sz w:val="32"/>
          <w:szCs w:val="32"/>
        </w:rPr>
        <w:t>。</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市政府办公室2022年年初结转和结余240.47万元；年末结转和结余为19.70万元，其中：一般公共预算财政拨款结转19.69万元，非财政拨款结转0.01万元。</w:t>
      </w:r>
    </w:p>
    <w:p>
      <w:pPr>
        <w:adjustRightInd w:val="0"/>
        <w:snapToGrid w:val="0"/>
        <w:spacing w:line="348"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（二）部门财政拨款收支情况。</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1</w:t>
      </w:r>
      <w:r>
        <w:rPr>
          <w:rFonts w:hint="eastAsia" w:eastAsia="仿宋"/>
          <w:snapToGrid w:val="0"/>
          <w:kern w:val="0"/>
          <w:sz w:val="32"/>
          <w:szCs w:val="32"/>
        </w:rPr>
        <w:t>．</w:t>
      </w:r>
      <w:r>
        <w:rPr>
          <w:rFonts w:eastAsia="仿宋"/>
          <w:snapToGrid w:val="0"/>
          <w:kern w:val="0"/>
          <w:sz w:val="32"/>
          <w:szCs w:val="32"/>
        </w:rPr>
        <w:t>部门财政拨款收入情况</w:t>
      </w:r>
      <w:r>
        <w:rPr>
          <w:rFonts w:hint="eastAsia" w:eastAsia="仿宋"/>
          <w:snapToGrid w:val="0"/>
          <w:kern w:val="0"/>
          <w:sz w:val="32"/>
          <w:szCs w:val="32"/>
        </w:rPr>
        <w:t>。</w:t>
      </w:r>
    </w:p>
    <w:p>
      <w:pPr>
        <w:adjustRightInd w:val="0"/>
        <w:snapToGrid w:val="0"/>
        <w:spacing w:line="348" w:lineRule="auto"/>
        <w:ind w:firstLine="640" w:firstLineChars="200"/>
        <w:rPr>
          <w:rFonts w:eastAsia="仿宋"/>
          <w:snapToGrid w:val="0"/>
          <w:kern w:val="0"/>
          <w:sz w:val="32"/>
          <w:szCs w:val="32"/>
        </w:rPr>
      </w:pPr>
      <w:r>
        <w:rPr>
          <w:rFonts w:eastAsia="仿宋"/>
          <w:snapToGrid w:val="0"/>
          <w:kern w:val="0"/>
          <w:sz w:val="32"/>
          <w:szCs w:val="32"/>
        </w:rPr>
        <w:t>市政府办公室2022年财政拨款收入本年合计4072.25万元，同比增长7.53%。其中：一般公共预算财政拨款4072.25万元，占财政拨款收入本年合计的100%。</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w:t>
      </w:r>
      <w:r>
        <w:rPr>
          <w:rFonts w:hint="eastAsia" w:eastAsia="仿宋"/>
          <w:snapToGrid w:val="0"/>
          <w:kern w:val="0"/>
          <w:sz w:val="32"/>
          <w:szCs w:val="32"/>
        </w:rPr>
        <w:t>．</w:t>
      </w:r>
      <w:r>
        <w:rPr>
          <w:rFonts w:eastAsia="仿宋"/>
          <w:snapToGrid w:val="0"/>
          <w:kern w:val="0"/>
          <w:sz w:val="32"/>
          <w:szCs w:val="32"/>
        </w:rPr>
        <w:t>部门财政拨款支出情况</w:t>
      </w:r>
      <w:r>
        <w:rPr>
          <w:rFonts w:hint="eastAsia" w:eastAsia="仿宋"/>
          <w:snapToGrid w:val="0"/>
          <w:kern w:val="0"/>
          <w:sz w:val="32"/>
          <w:szCs w:val="32"/>
        </w:rPr>
        <w:t>。</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市政府办公室2022年度财政拨款支出本年合计4293.02万元，同比增长,12.09%。基本支出3767.52万元，其中：人员经费支出3347.09万元，公用经费支出420.43万元；项目支出525.50万元，其中：一般行政管理事务524.37万元，社会福利</w:t>
      </w:r>
      <w:r>
        <w:rPr>
          <w:rFonts w:hint="eastAsia" w:eastAsia="仿宋"/>
          <w:snapToGrid w:val="0"/>
          <w:kern w:val="0"/>
          <w:sz w:val="32"/>
          <w:szCs w:val="32"/>
        </w:rPr>
        <w:t>—</w:t>
      </w:r>
      <w:r>
        <w:rPr>
          <w:rFonts w:eastAsia="仿宋"/>
          <w:snapToGrid w:val="0"/>
          <w:kern w:val="0"/>
          <w:sz w:val="32"/>
          <w:szCs w:val="32"/>
        </w:rPr>
        <w:t>儿童福利支出1.13万元。主要用于：攀枝花市人民政府办公室及下属单位信息公开、政务调研、《攀枝花市人民政府公报》印刷、安保、市政府网站集约化平台运维和安全防护、市政府网站在线访谈节目及相关微视频采购、市政府网站与政务新媒体绩效评估、市大数据办公用房及办公设施设备采购、市级电子政务外网网络租赁费、市决策咨询、电子政务外网及协同办公平台托管、关心下一代等工作开展。</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w:t>
      </w:r>
      <w:r>
        <w:rPr>
          <w:rFonts w:hint="eastAsia" w:eastAsia="仿宋"/>
          <w:snapToGrid w:val="0"/>
          <w:kern w:val="0"/>
          <w:sz w:val="32"/>
          <w:szCs w:val="32"/>
        </w:rPr>
        <w:t>．</w:t>
      </w:r>
      <w:r>
        <w:rPr>
          <w:rFonts w:eastAsia="仿宋"/>
          <w:snapToGrid w:val="0"/>
          <w:kern w:val="0"/>
          <w:sz w:val="32"/>
          <w:szCs w:val="32"/>
        </w:rPr>
        <w:t>部门财政拨款结转结余情况</w:t>
      </w:r>
      <w:r>
        <w:rPr>
          <w:rFonts w:hint="eastAsia" w:eastAsia="仿宋"/>
          <w:snapToGrid w:val="0"/>
          <w:kern w:val="0"/>
          <w:sz w:val="32"/>
          <w:szCs w:val="32"/>
        </w:rPr>
        <w:t>。</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市政府办公室2022年度年初财政拨款结转和结余240.47万元；年末财政拨款结转和结余19.69万元，其中：基本支出结余15.64万元，项目支出结余4.05万元。年末其他资金结转结余0.01万元</w:t>
      </w:r>
    </w:p>
    <w:p>
      <w:pPr>
        <w:adjustRightInd w:val="0"/>
        <w:snapToGrid w:val="0"/>
        <w:spacing w:line="348" w:lineRule="auto"/>
        <w:rPr>
          <w:rFonts w:ascii="楷体" w:hAnsi="楷体" w:eastAsia="楷体" w:cs="楷体"/>
          <w:snapToGrid w:val="0"/>
          <w:kern w:val="0"/>
          <w:sz w:val="32"/>
          <w:szCs w:val="32"/>
        </w:rPr>
      </w:pPr>
      <w:r>
        <w:rPr>
          <w:rFonts w:hint="eastAsia" w:ascii="黑体" w:hAnsi="黑体" w:eastAsia="黑体" w:cs="黑体"/>
          <w:snapToGrid w:val="0"/>
          <w:kern w:val="0"/>
          <w:sz w:val="32"/>
          <w:szCs w:val="32"/>
        </w:rPr>
        <w:t>　　</w:t>
      </w:r>
      <w:r>
        <w:rPr>
          <w:rFonts w:hint="eastAsia" w:ascii="楷体" w:hAnsi="楷体" w:eastAsia="楷体" w:cs="楷体"/>
          <w:snapToGrid w:val="0"/>
          <w:kern w:val="0"/>
          <w:sz w:val="32"/>
          <w:szCs w:val="32"/>
        </w:rPr>
        <w:t>三、部门整体绩效分析</w:t>
      </w:r>
    </w:p>
    <w:p>
      <w:pPr>
        <w:adjustRightInd w:val="0"/>
        <w:snapToGrid w:val="0"/>
        <w:spacing w:line="348" w:lineRule="auto"/>
        <w:ind w:firstLine="640"/>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（一）部门预算项目绩效分析。</w:t>
      </w:r>
    </w:p>
    <w:p>
      <w:pPr>
        <w:adjustRightInd w:val="0"/>
        <w:snapToGrid w:val="0"/>
        <w:spacing w:line="348" w:lineRule="auto"/>
        <w:ind w:firstLine="640"/>
        <w:rPr>
          <w:rFonts w:eastAsia="仿宋"/>
          <w:snapToGrid w:val="0"/>
          <w:kern w:val="0"/>
          <w:sz w:val="32"/>
          <w:szCs w:val="32"/>
        </w:rPr>
      </w:pPr>
      <w:r>
        <w:rPr>
          <w:rFonts w:eastAsia="仿宋"/>
          <w:snapToGrid w:val="0"/>
          <w:kern w:val="0"/>
          <w:sz w:val="32"/>
          <w:szCs w:val="32"/>
        </w:rPr>
        <w:t>1</w:t>
      </w:r>
      <w:r>
        <w:rPr>
          <w:rFonts w:hint="eastAsia" w:eastAsia="仿宋"/>
          <w:snapToGrid w:val="0"/>
          <w:kern w:val="0"/>
          <w:sz w:val="32"/>
          <w:szCs w:val="32"/>
        </w:rPr>
        <w:t>．</w:t>
      </w:r>
      <w:r>
        <w:rPr>
          <w:rFonts w:eastAsia="仿宋"/>
          <w:snapToGrid w:val="0"/>
          <w:kern w:val="0"/>
          <w:sz w:val="32"/>
          <w:szCs w:val="32"/>
        </w:rPr>
        <w:t>人员类项目绩效分析</w:t>
      </w:r>
      <w:r>
        <w:rPr>
          <w:rFonts w:hint="eastAsia" w:eastAsia="仿宋"/>
          <w:snapToGrid w:val="0"/>
          <w:kern w:val="0"/>
          <w:sz w:val="32"/>
          <w:szCs w:val="32"/>
        </w:rPr>
        <w:t>。</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rPr>
        <w:t>　　</w:t>
      </w:r>
      <w:r>
        <w:rPr>
          <w:rFonts w:eastAsia="仿宋"/>
          <w:snapToGrid w:val="0"/>
          <w:kern w:val="0"/>
          <w:sz w:val="32"/>
          <w:szCs w:val="32"/>
        </w:rPr>
        <w:t>2022年</w:t>
      </w:r>
      <w:r>
        <w:rPr>
          <w:rFonts w:eastAsia="仿宋"/>
          <w:snapToGrid w:val="0"/>
          <w:kern w:val="0"/>
          <w:sz w:val="32"/>
          <w:szCs w:val="32"/>
          <w:lang w:val="zh-CN"/>
        </w:rPr>
        <w:t>预算安排</w:t>
      </w:r>
      <w:r>
        <w:rPr>
          <w:rFonts w:eastAsia="仿宋"/>
          <w:snapToGrid w:val="0"/>
          <w:kern w:val="0"/>
          <w:sz w:val="32"/>
          <w:szCs w:val="32"/>
        </w:rPr>
        <w:t>人员类项目</w:t>
      </w:r>
      <w:r>
        <w:rPr>
          <w:rFonts w:eastAsia="仿宋"/>
          <w:snapToGrid w:val="0"/>
          <w:kern w:val="0"/>
          <w:sz w:val="32"/>
          <w:szCs w:val="32"/>
          <w:lang w:val="zh-CN"/>
        </w:rPr>
        <w:t>经费3347.09万元，预算执行3347.09万元，预算执行率</w:t>
      </w:r>
      <w:r>
        <w:rPr>
          <w:rFonts w:eastAsia="仿宋"/>
          <w:snapToGrid w:val="0"/>
          <w:kern w:val="0"/>
          <w:sz w:val="32"/>
          <w:szCs w:val="32"/>
        </w:rPr>
        <w:t>100%，无</w:t>
      </w:r>
      <w:r>
        <w:rPr>
          <w:rFonts w:eastAsia="仿宋"/>
          <w:snapToGrid w:val="0"/>
          <w:kern w:val="0"/>
          <w:sz w:val="32"/>
          <w:szCs w:val="32"/>
          <w:lang w:val="zh-CN"/>
        </w:rPr>
        <w:t>资金结余。</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lang w:val="zh-CN"/>
        </w:rPr>
        <w:t>　　</w:t>
      </w:r>
      <w:r>
        <w:rPr>
          <w:rFonts w:eastAsia="仿宋"/>
          <w:snapToGrid w:val="0"/>
          <w:kern w:val="0"/>
          <w:sz w:val="32"/>
          <w:szCs w:val="32"/>
          <w:lang w:val="zh-CN"/>
        </w:rPr>
        <w:t>人员类项目经费支出严格执行财务管理制度，专款专用，保障</w:t>
      </w:r>
      <w:r>
        <w:rPr>
          <w:rFonts w:eastAsia="仿宋"/>
          <w:snapToGrid w:val="0"/>
          <w:kern w:val="0"/>
          <w:sz w:val="32"/>
          <w:szCs w:val="32"/>
        </w:rPr>
        <w:t>工资、社保、公积金等工资福利支出及对个人和家庭的补助支出</w:t>
      </w:r>
      <w:r>
        <w:rPr>
          <w:rFonts w:eastAsia="仿宋"/>
          <w:snapToGrid w:val="0"/>
          <w:kern w:val="0"/>
          <w:sz w:val="32"/>
          <w:szCs w:val="32"/>
          <w:lang w:val="zh-CN"/>
        </w:rPr>
        <w:t>及时足额发放、缴纳，账务处理及时，会计核算规范，未存在挪用或超标准开支的违规记录等情况。有效地维持了本单位工作的正常运转，实现了年初设定的绩效目标，项目资金使用率</w:t>
      </w:r>
      <w:r>
        <w:rPr>
          <w:rFonts w:eastAsia="仿宋"/>
          <w:snapToGrid w:val="0"/>
          <w:kern w:val="0"/>
          <w:sz w:val="32"/>
          <w:szCs w:val="32"/>
        </w:rPr>
        <w:t>100%。</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w:t>
      </w:r>
      <w:r>
        <w:rPr>
          <w:rFonts w:hint="eastAsia" w:eastAsia="仿宋"/>
          <w:snapToGrid w:val="0"/>
          <w:kern w:val="0"/>
          <w:sz w:val="32"/>
          <w:szCs w:val="32"/>
        </w:rPr>
        <w:t>．</w:t>
      </w:r>
      <w:r>
        <w:rPr>
          <w:rFonts w:eastAsia="仿宋"/>
          <w:snapToGrid w:val="0"/>
          <w:kern w:val="0"/>
          <w:sz w:val="32"/>
          <w:szCs w:val="32"/>
        </w:rPr>
        <w:t>运转类项目绩效分析</w:t>
      </w:r>
      <w:r>
        <w:rPr>
          <w:rFonts w:hint="eastAsia" w:eastAsia="仿宋"/>
          <w:snapToGrid w:val="0"/>
          <w:kern w:val="0"/>
          <w:sz w:val="32"/>
          <w:szCs w:val="32"/>
        </w:rPr>
        <w:t>。</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rPr>
        <w:t>　　</w:t>
      </w:r>
      <w:r>
        <w:rPr>
          <w:rFonts w:eastAsia="仿宋"/>
          <w:snapToGrid w:val="0"/>
          <w:kern w:val="0"/>
          <w:sz w:val="32"/>
          <w:szCs w:val="32"/>
        </w:rPr>
        <w:t>2022年</w:t>
      </w:r>
      <w:r>
        <w:rPr>
          <w:rFonts w:eastAsia="仿宋"/>
          <w:snapToGrid w:val="0"/>
          <w:kern w:val="0"/>
          <w:sz w:val="32"/>
          <w:szCs w:val="32"/>
          <w:lang w:val="zh-CN"/>
        </w:rPr>
        <w:t>预算安排运转类项目经费</w:t>
      </w:r>
      <w:r>
        <w:rPr>
          <w:rFonts w:eastAsia="仿宋"/>
          <w:snapToGrid w:val="0"/>
          <w:kern w:val="0"/>
          <w:sz w:val="32"/>
          <w:szCs w:val="32"/>
        </w:rPr>
        <w:t>71.65</w:t>
      </w:r>
      <w:r>
        <w:rPr>
          <w:rFonts w:eastAsia="仿宋"/>
          <w:snapToGrid w:val="0"/>
          <w:kern w:val="0"/>
          <w:sz w:val="32"/>
          <w:szCs w:val="32"/>
          <w:lang w:val="zh-CN"/>
        </w:rPr>
        <w:t>万元，预算执行</w:t>
      </w:r>
      <w:r>
        <w:rPr>
          <w:rFonts w:eastAsia="仿宋"/>
          <w:snapToGrid w:val="0"/>
          <w:kern w:val="0"/>
          <w:sz w:val="32"/>
          <w:szCs w:val="32"/>
        </w:rPr>
        <w:t>71.65</w:t>
      </w:r>
      <w:r>
        <w:rPr>
          <w:rFonts w:eastAsia="仿宋"/>
          <w:snapToGrid w:val="0"/>
          <w:kern w:val="0"/>
          <w:sz w:val="32"/>
          <w:szCs w:val="32"/>
          <w:lang w:val="zh-CN"/>
        </w:rPr>
        <w:t>万元，预算执行率</w:t>
      </w:r>
      <w:r>
        <w:rPr>
          <w:rFonts w:eastAsia="仿宋"/>
          <w:snapToGrid w:val="0"/>
          <w:kern w:val="0"/>
          <w:sz w:val="32"/>
          <w:szCs w:val="32"/>
        </w:rPr>
        <w:t>100%，无</w:t>
      </w:r>
      <w:r>
        <w:rPr>
          <w:rFonts w:eastAsia="仿宋"/>
          <w:snapToGrid w:val="0"/>
          <w:kern w:val="0"/>
          <w:sz w:val="32"/>
          <w:szCs w:val="32"/>
          <w:lang w:val="zh-CN"/>
        </w:rPr>
        <w:t>资金结余。</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lang w:val="zh-CN"/>
        </w:rPr>
        <w:t>　　</w:t>
      </w:r>
      <w:r>
        <w:rPr>
          <w:rFonts w:eastAsia="仿宋"/>
          <w:snapToGrid w:val="0"/>
          <w:kern w:val="0"/>
          <w:sz w:val="32"/>
          <w:szCs w:val="32"/>
          <w:lang w:val="zh-CN"/>
        </w:rPr>
        <w:t>运转类项目经费</w:t>
      </w:r>
      <w:r>
        <w:rPr>
          <w:rFonts w:eastAsia="仿宋"/>
          <w:snapToGrid w:val="0"/>
          <w:kern w:val="0"/>
          <w:sz w:val="32"/>
          <w:szCs w:val="32"/>
        </w:rPr>
        <w:t>在资金使用上，严格按照资金使用用途进行审核审批，及时足额划拨资金，保障了单位日常运转，完成各项目标任务。</w:t>
      </w:r>
      <w:r>
        <w:rPr>
          <w:rFonts w:eastAsia="仿宋"/>
          <w:snapToGrid w:val="0"/>
          <w:kern w:val="0"/>
          <w:sz w:val="32"/>
          <w:szCs w:val="32"/>
          <w:lang w:val="zh-CN"/>
        </w:rPr>
        <w:t>未存在挪用或超标准开支的违规记录等情况。实现了年初设定的绩效目标，项目资金使用率</w:t>
      </w:r>
      <w:r>
        <w:rPr>
          <w:rFonts w:eastAsia="仿宋"/>
          <w:snapToGrid w:val="0"/>
          <w:kern w:val="0"/>
          <w:sz w:val="32"/>
          <w:szCs w:val="32"/>
        </w:rPr>
        <w:t>100%。</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3</w:t>
      </w:r>
      <w:r>
        <w:rPr>
          <w:rFonts w:hint="eastAsia" w:eastAsia="仿宋"/>
          <w:snapToGrid w:val="0"/>
          <w:kern w:val="0"/>
          <w:sz w:val="32"/>
          <w:szCs w:val="32"/>
        </w:rPr>
        <w:t>．</w:t>
      </w:r>
      <w:r>
        <w:rPr>
          <w:rFonts w:eastAsia="仿宋"/>
          <w:snapToGrid w:val="0"/>
          <w:kern w:val="0"/>
          <w:sz w:val="32"/>
          <w:szCs w:val="32"/>
        </w:rPr>
        <w:t>特定目标类项目绩效分析</w:t>
      </w:r>
      <w:r>
        <w:rPr>
          <w:rFonts w:hint="eastAsia" w:eastAsia="仿宋"/>
          <w:snapToGrid w:val="0"/>
          <w:kern w:val="0"/>
          <w:sz w:val="32"/>
          <w:szCs w:val="32"/>
        </w:rPr>
        <w:t>。</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rPr>
        <w:t>　　</w:t>
      </w:r>
      <w:r>
        <w:rPr>
          <w:rFonts w:eastAsia="仿宋"/>
          <w:snapToGrid w:val="0"/>
          <w:kern w:val="0"/>
          <w:sz w:val="32"/>
          <w:szCs w:val="32"/>
        </w:rPr>
        <w:t>2022年</w:t>
      </w:r>
      <w:r>
        <w:rPr>
          <w:rFonts w:eastAsia="仿宋"/>
          <w:snapToGrid w:val="0"/>
          <w:kern w:val="0"/>
          <w:sz w:val="32"/>
          <w:szCs w:val="32"/>
          <w:lang w:val="zh-CN"/>
        </w:rPr>
        <w:t>预算安排运转类项目经费</w:t>
      </w:r>
      <w:r>
        <w:rPr>
          <w:rFonts w:eastAsia="仿宋"/>
          <w:snapToGrid w:val="0"/>
          <w:kern w:val="0"/>
          <w:sz w:val="32"/>
          <w:szCs w:val="32"/>
        </w:rPr>
        <w:t>453.85</w:t>
      </w:r>
      <w:r>
        <w:rPr>
          <w:rFonts w:eastAsia="仿宋"/>
          <w:snapToGrid w:val="0"/>
          <w:kern w:val="0"/>
          <w:sz w:val="32"/>
          <w:szCs w:val="32"/>
          <w:lang w:val="zh-CN"/>
        </w:rPr>
        <w:t>万元，预算执行</w:t>
      </w:r>
      <w:r>
        <w:rPr>
          <w:rFonts w:eastAsia="仿宋"/>
          <w:snapToGrid w:val="0"/>
          <w:kern w:val="0"/>
          <w:sz w:val="32"/>
          <w:szCs w:val="32"/>
        </w:rPr>
        <w:t>453.85</w:t>
      </w:r>
      <w:r>
        <w:rPr>
          <w:rFonts w:eastAsia="仿宋"/>
          <w:snapToGrid w:val="0"/>
          <w:kern w:val="0"/>
          <w:sz w:val="32"/>
          <w:szCs w:val="32"/>
          <w:lang w:val="zh-CN"/>
        </w:rPr>
        <w:t>万元，预算执行率</w:t>
      </w:r>
      <w:r>
        <w:rPr>
          <w:rFonts w:eastAsia="仿宋"/>
          <w:snapToGrid w:val="0"/>
          <w:kern w:val="0"/>
          <w:sz w:val="32"/>
          <w:szCs w:val="32"/>
        </w:rPr>
        <w:t>100%，无</w:t>
      </w:r>
      <w:r>
        <w:rPr>
          <w:rFonts w:eastAsia="仿宋"/>
          <w:snapToGrid w:val="0"/>
          <w:kern w:val="0"/>
          <w:sz w:val="32"/>
          <w:szCs w:val="32"/>
          <w:lang w:val="zh-CN"/>
        </w:rPr>
        <w:t>资金结余。</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特定目标类项目经费在资金使用上，严格按照资金使用用途进行审核审批，及时足额划拨资金，圆满完成了各项工作任务，为全市经济社会发展做出新的更大贡献。未存在挪用或超标准开支的违规记录等情况。实现了年初设定的绩效目标，项目资金使用率</w:t>
      </w:r>
      <w:r>
        <w:rPr>
          <w:rFonts w:eastAsia="仿宋"/>
          <w:snapToGrid w:val="0"/>
          <w:kern w:val="0"/>
          <w:sz w:val="32"/>
          <w:szCs w:val="32"/>
        </w:rPr>
        <w:t>100%。</w:t>
      </w:r>
    </w:p>
    <w:p>
      <w:pPr>
        <w:adjustRightInd w:val="0"/>
        <w:snapToGrid w:val="0"/>
        <w:spacing w:line="353"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（二）部门整体履职绩效分析。</w:t>
      </w:r>
    </w:p>
    <w:p>
      <w:pPr>
        <w:adjustRightInd w:val="0"/>
        <w:snapToGrid w:val="0"/>
        <w:spacing w:line="353" w:lineRule="auto"/>
        <w:ind w:firstLine="640"/>
        <w:rPr>
          <w:rFonts w:eastAsia="仿宋"/>
          <w:snapToGrid w:val="0"/>
          <w:kern w:val="0"/>
          <w:sz w:val="32"/>
          <w:szCs w:val="32"/>
          <w:lang w:val="zh-CN"/>
        </w:rPr>
      </w:pPr>
      <w:r>
        <w:rPr>
          <w:rFonts w:eastAsia="仿宋"/>
          <w:snapToGrid w:val="0"/>
          <w:kern w:val="0"/>
          <w:sz w:val="32"/>
          <w:szCs w:val="32"/>
          <w:lang w:val="zh-CN"/>
        </w:rPr>
        <w:t>2022年初部门预算绩效目标已全部完成，项目下达资金已全部完成支付，各对应工作项目已全部完成，达到绩效目标。（详见下表）</w:t>
      </w:r>
    </w:p>
    <w:tbl>
      <w:tblPr>
        <w:tblStyle w:val="16"/>
        <w:tblpPr w:leftFromText="180" w:rightFromText="180" w:vertAnchor="text" w:horzAnchor="page" w:tblpX="1858" w:tblpY="149"/>
        <w:tblOverlap w:val="never"/>
        <w:tblW w:w="8469"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443"/>
        <w:gridCol w:w="443"/>
        <w:gridCol w:w="490"/>
        <w:gridCol w:w="2500"/>
        <w:gridCol w:w="1667"/>
        <w:gridCol w:w="83"/>
        <w:gridCol w:w="1401"/>
        <w:gridCol w:w="349"/>
        <w:gridCol w:w="109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6" w:hRule="atLeast"/>
        </w:trPr>
        <w:tc>
          <w:tcPr>
            <w:tcW w:w="443" w:type="dxa"/>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p>
        </w:tc>
        <w:tc>
          <w:tcPr>
            <w:tcW w:w="3433" w:type="dxa"/>
            <w:gridSpan w:val="3"/>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项目资金</w:t>
            </w:r>
          </w:p>
        </w:tc>
        <w:tc>
          <w:tcPr>
            <w:tcW w:w="1667" w:type="dxa"/>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全年预算数</w:t>
            </w:r>
          </w:p>
        </w:tc>
        <w:tc>
          <w:tcPr>
            <w:tcW w:w="1484" w:type="dxa"/>
            <w:gridSpan w:val="2"/>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实际完成数</w:t>
            </w:r>
          </w:p>
        </w:tc>
        <w:tc>
          <w:tcPr>
            <w:tcW w:w="1441" w:type="dxa"/>
            <w:gridSpan w:val="2"/>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执行率（%）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4" w:hRule="atLeast"/>
        </w:trPr>
        <w:tc>
          <w:tcPr>
            <w:tcW w:w="443" w:type="dxa"/>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3433" w:type="dxa"/>
            <w:gridSpan w:val="3"/>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资金总额：</w:t>
            </w:r>
          </w:p>
        </w:tc>
        <w:tc>
          <w:tcPr>
            <w:tcW w:w="1667"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4315.73</w:t>
            </w:r>
          </w:p>
        </w:tc>
        <w:tc>
          <w:tcPr>
            <w:tcW w:w="1484"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4296.03</w:t>
            </w:r>
          </w:p>
        </w:tc>
        <w:tc>
          <w:tcPr>
            <w:tcW w:w="1441"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99.54%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0" w:hRule="atLeast"/>
        </w:trPr>
        <w:tc>
          <w:tcPr>
            <w:tcW w:w="443" w:type="dxa"/>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3433" w:type="dxa"/>
            <w:gridSpan w:val="3"/>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其中：财政拨款</w:t>
            </w:r>
          </w:p>
        </w:tc>
        <w:tc>
          <w:tcPr>
            <w:tcW w:w="1667"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4315.73</w:t>
            </w:r>
          </w:p>
        </w:tc>
        <w:tc>
          <w:tcPr>
            <w:tcW w:w="1484"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4296.03</w:t>
            </w:r>
          </w:p>
        </w:tc>
        <w:tc>
          <w:tcPr>
            <w:tcW w:w="1441"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99.54%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3" w:hRule="atLeast"/>
        </w:trPr>
        <w:tc>
          <w:tcPr>
            <w:tcW w:w="443" w:type="dxa"/>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3433" w:type="dxa"/>
            <w:gridSpan w:val="3"/>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其他资金</w:t>
            </w:r>
          </w:p>
        </w:tc>
        <w:tc>
          <w:tcPr>
            <w:tcW w:w="1667"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hint="eastAsia" w:eastAsia="仿宋"/>
                <w:snapToGrid w:val="0"/>
                <w:color w:val="000000"/>
                <w:kern w:val="0"/>
                <w:sz w:val="18"/>
                <w:szCs w:val="18"/>
              </w:rPr>
              <w:t>0.00</w:t>
            </w:r>
          </w:p>
        </w:tc>
        <w:tc>
          <w:tcPr>
            <w:tcW w:w="1484"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hint="eastAsia" w:eastAsia="仿宋"/>
                <w:snapToGrid w:val="0"/>
                <w:color w:val="000000"/>
                <w:kern w:val="0"/>
                <w:sz w:val="18"/>
                <w:szCs w:val="18"/>
              </w:rPr>
              <w:t>0.00</w:t>
            </w:r>
          </w:p>
        </w:tc>
        <w:tc>
          <w:tcPr>
            <w:tcW w:w="1441"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hint="eastAsia" w:eastAsia="仿宋"/>
                <w:snapToGrid w:val="0"/>
                <w:color w:val="000000"/>
                <w:kern w:val="0"/>
                <w:sz w:val="18"/>
                <w:szCs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9" w:hRule="atLeast"/>
        </w:trPr>
        <w:tc>
          <w:tcPr>
            <w:tcW w:w="443" w:type="dxa"/>
            <w:vMerge w:val="restart"/>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总</w:t>
            </w:r>
            <w:r>
              <w:rPr>
                <w:rFonts w:hint="eastAsia" w:ascii="黑体" w:hAnsi="黑体" w:eastAsia="黑体" w:cs="黑体"/>
                <w:snapToGrid w:val="0"/>
                <w:color w:val="000000"/>
                <w:kern w:val="0"/>
                <w:sz w:val="18"/>
                <w:szCs w:val="18"/>
              </w:rPr>
              <w:br w:type="textWrapping"/>
            </w:r>
            <w:r>
              <w:rPr>
                <w:rFonts w:hint="eastAsia" w:ascii="黑体" w:hAnsi="黑体" w:eastAsia="黑体" w:cs="黑体"/>
                <w:snapToGrid w:val="0"/>
                <w:color w:val="000000"/>
                <w:kern w:val="0"/>
                <w:sz w:val="18"/>
                <w:szCs w:val="18"/>
              </w:rPr>
              <w:t>体</w:t>
            </w:r>
            <w:r>
              <w:rPr>
                <w:rFonts w:hint="eastAsia" w:ascii="黑体" w:hAnsi="黑体" w:eastAsia="黑体" w:cs="黑体"/>
                <w:snapToGrid w:val="0"/>
                <w:color w:val="000000"/>
                <w:kern w:val="0"/>
                <w:sz w:val="18"/>
                <w:szCs w:val="18"/>
              </w:rPr>
              <w:br w:type="textWrapping"/>
            </w:r>
            <w:r>
              <w:rPr>
                <w:rFonts w:hint="eastAsia" w:ascii="黑体" w:hAnsi="黑体" w:eastAsia="黑体" w:cs="黑体"/>
                <w:snapToGrid w:val="0"/>
                <w:color w:val="000000"/>
                <w:kern w:val="0"/>
                <w:sz w:val="18"/>
                <w:szCs w:val="18"/>
              </w:rPr>
              <w:t>目</w:t>
            </w:r>
            <w:r>
              <w:rPr>
                <w:rFonts w:hint="eastAsia" w:ascii="黑体" w:hAnsi="黑体" w:eastAsia="黑体" w:cs="黑体"/>
                <w:snapToGrid w:val="0"/>
                <w:color w:val="000000"/>
                <w:kern w:val="0"/>
                <w:sz w:val="18"/>
                <w:szCs w:val="18"/>
              </w:rPr>
              <w:br w:type="textWrapping"/>
            </w:r>
            <w:r>
              <w:rPr>
                <w:rFonts w:hint="eastAsia" w:ascii="黑体" w:hAnsi="黑体" w:eastAsia="黑体" w:cs="黑体"/>
                <w:snapToGrid w:val="0"/>
                <w:color w:val="000000"/>
                <w:kern w:val="0"/>
                <w:sz w:val="18"/>
                <w:szCs w:val="18"/>
              </w:rPr>
              <w:t>标</w:t>
            </w:r>
          </w:p>
        </w:tc>
        <w:tc>
          <w:tcPr>
            <w:tcW w:w="3433" w:type="dxa"/>
            <w:gridSpan w:val="3"/>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年度设定目标</w:t>
            </w:r>
          </w:p>
        </w:tc>
        <w:tc>
          <w:tcPr>
            <w:tcW w:w="4592" w:type="dxa"/>
            <w:gridSpan w:val="5"/>
            <w:tcBorders>
              <w:tl2br w:val="nil"/>
              <w:tr2bl w:val="nil"/>
            </w:tcBorders>
            <w:shd w:val="clear" w:color="auto" w:fill="auto"/>
            <w:vAlign w:val="center"/>
          </w:tcPr>
          <w:p>
            <w:pPr>
              <w:adjustRightInd w:val="0"/>
              <w:snapToGrid w:val="0"/>
              <w:jc w:val="center"/>
              <w:rPr>
                <w:rFonts w:ascii="黑体" w:hAnsi="黑体" w:eastAsia="黑体" w:cs="黑体"/>
                <w:snapToGrid w:val="0"/>
                <w:kern w:val="0"/>
                <w:sz w:val="18"/>
                <w:szCs w:val="18"/>
              </w:rPr>
            </w:pPr>
            <w:r>
              <w:rPr>
                <w:rFonts w:hint="eastAsia" w:ascii="黑体" w:hAnsi="黑体" w:eastAsia="黑体" w:cs="黑体"/>
                <w:snapToGrid w:val="0"/>
                <w:kern w:val="0"/>
                <w:sz w:val="18"/>
                <w:szCs w:val="18"/>
              </w:rPr>
              <w:t>实际完成情况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598"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3433" w:type="dxa"/>
            <w:gridSpan w:val="3"/>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紧紧围绕市委市政府决策部署和全市中心工作，坚持高标准、严要求，创新理念、转变作风，主动担当、强化服务，进一步发挥桥梁纽带作用，进一步树立作风优、能力强、业绩靓的标杆，圆满完成了各项工作任务，为全市经济社会发展做出新的更大贡献。</w:t>
            </w:r>
          </w:p>
        </w:tc>
        <w:tc>
          <w:tcPr>
            <w:tcW w:w="4592" w:type="dxa"/>
            <w:gridSpan w:val="5"/>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一、履职尽责，推动政务工作高效运转。一是坚持外晒错情、内亮“家丑”，提升办文质效。全市各部门（单位）报送市政府（市政府办公室）公文的退文数量从2021年的485件减少到2022年的236件，同比减少51.3%。各科室公文重发数量从2021年的79件降至2022年的21件，同比减少73.4%。二是坚持分类施策，统筹会议精简。全年承办、协办各类会议1200余次。三是坚持突发信息及时报送，促进应急值班高效处置。四是深化政府信息公开内容，提升政务公开质量。五是强化统筹调度，做好审计服务保障。</w:t>
            </w:r>
          </w:p>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二、积极作为，参谋助手作用充分发挥。一是全面提升调研水平。完成调研课题200余篇。二是持续提高信息编报质量。省政府及国务院办公厅采用166篇次，获国务院及省领导批示22次。三是不断提升督查工作质效。2022年累计督查督办市领导批示指示600余件，印发专报35期、通报13期，坚持既督又帮，帮助企业解决尾矿排放、用工短缺等难题200余项。</w:t>
            </w:r>
          </w:p>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三、围绕中心，服务保障全市发展大局。一是加强协调，充分疫情防控“中枢”作用。二是软硬齐抓，稳步推进电子政务建设管理。完成全市电子政务外网IPv6改造和链路升级工作，提速省到市、市到县主干线路带宽到千兆，县到乡百兆，横向接入50－200兆，进一步提升外网性能和覆盖面。三是有力有效，不断推进</w:t>
            </w:r>
            <w:r>
              <w:rPr>
                <w:rFonts w:hint="eastAsia" w:ascii="仿宋" w:hAnsi="仿宋" w:eastAsia="仿宋" w:cs="仿宋"/>
                <w:snapToGrid w:val="0"/>
                <w:color w:val="000000"/>
                <w:kern w:val="0"/>
                <w:sz w:val="18"/>
                <w:szCs w:val="18"/>
              </w:rPr>
              <w:t>“</w:t>
            </w:r>
            <w:r>
              <w:rPr>
                <w:rFonts w:eastAsia="仿宋"/>
                <w:snapToGrid w:val="0"/>
                <w:color w:val="000000"/>
                <w:kern w:val="0"/>
                <w:sz w:val="18"/>
                <w:szCs w:val="18"/>
              </w:rPr>
              <w:t>一网通办</w:t>
            </w:r>
            <w:r>
              <w:rPr>
                <w:rFonts w:hint="eastAsia" w:ascii="仿宋" w:hAnsi="仿宋" w:eastAsia="仿宋" w:cs="仿宋"/>
                <w:snapToGrid w:val="0"/>
                <w:color w:val="000000"/>
                <w:kern w:val="0"/>
                <w:sz w:val="18"/>
                <w:szCs w:val="18"/>
              </w:rPr>
              <w:t>”</w:t>
            </w:r>
            <w:r>
              <w:rPr>
                <w:rFonts w:eastAsia="仿宋"/>
                <w:snapToGrid w:val="0"/>
                <w:color w:val="000000"/>
                <w:kern w:val="0"/>
                <w:sz w:val="18"/>
                <w:szCs w:val="18"/>
              </w:rPr>
              <w:t>工作。统筹推进</w:t>
            </w:r>
            <w:r>
              <w:rPr>
                <w:rFonts w:hint="eastAsia" w:ascii="仿宋" w:hAnsi="仿宋" w:eastAsia="仿宋" w:cs="仿宋"/>
                <w:snapToGrid w:val="0"/>
                <w:color w:val="000000"/>
                <w:kern w:val="0"/>
                <w:sz w:val="18"/>
                <w:szCs w:val="18"/>
              </w:rPr>
              <w:t>“</w:t>
            </w:r>
            <w:r>
              <w:rPr>
                <w:rFonts w:eastAsia="仿宋"/>
                <w:snapToGrid w:val="0"/>
                <w:color w:val="000000"/>
                <w:kern w:val="0"/>
                <w:sz w:val="18"/>
                <w:szCs w:val="18"/>
              </w:rPr>
              <w:t>一网通办</w:t>
            </w:r>
            <w:r>
              <w:rPr>
                <w:rFonts w:hint="eastAsia" w:ascii="仿宋" w:hAnsi="仿宋" w:eastAsia="仿宋" w:cs="仿宋"/>
                <w:snapToGrid w:val="0"/>
                <w:color w:val="000000"/>
                <w:kern w:val="0"/>
                <w:sz w:val="18"/>
                <w:szCs w:val="18"/>
              </w:rPr>
              <w:t>”</w:t>
            </w:r>
            <w:r>
              <w:rPr>
                <w:rFonts w:eastAsia="仿宋"/>
                <w:snapToGrid w:val="0"/>
                <w:color w:val="000000"/>
                <w:kern w:val="0"/>
                <w:sz w:val="18"/>
                <w:szCs w:val="18"/>
              </w:rPr>
              <w:t>集中攻坚，制发市级政务信息资源共享平台管理办法等5个管理制度，召开调度会、分析会20余次，印发攻坚快报21期，印发提醒敦促函20余份。共享目录和开放数据集达到10578条、8457个，开放数据量达5175万条，已审核通过国家数据资源接口107个，汇总上报省级政务数据需求286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70" w:hRule="atLeast"/>
        </w:trPr>
        <w:tc>
          <w:tcPr>
            <w:tcW w:w="443" w:type="dxa"/>
            <w:vMerge w:val="restart"/>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绩</w:t>
            </w:r>
            <w:r>
              <w:rPr>
                <w:rFonts w:hint="eastAsia" w:ascii="黑体" w:hAnsi="黑体" w:eastAsia="黑体" w:cs="黑体"/>
                <w:snapToGrid w:val="0"/>
                <w:color w:val="000000"/>
                <w:kern w:val="0"/>
                <w:sz w:val="18"/>
                <w:szCs w:val="18"/>
              </w:rPr>
              <w:br w:type="textWrapping"/>
            </w:r>
            <w:r>
              <w:rPr>
                <w:rFonts w:hint="eastAsia" w:ascii="黑体" w:hAnsi="黑体" w:eastAsia="黑体" w:cs="黑体"/>
                <w:snapToGrid w:val="0"/>
                <w:color w:val="000000"/>
                <w:kern w:val="0"/>
                <w:sz w:val="18"/>
                <w:szCs w:val="18"/>
              </w:rPr>
              <w:t>效履职</w:t>
            </w:r>
            <w:r>
              <w:rPr>
                <w:rFonts w:hint="eastAsia" w:ascii="黑体" w:hAnsi="黑体" w:eastAsia="黑体" w:cs="黑体"/>
                <w:snapToGrid w:val="0"/>
                <w:color w:val="000000"/>
                <w:kern w:val="0"/>
                <w:sz w:val="18"/>
                <w:szCs w:val="18"/>
              </w:rPr>
              <w:br w:type="textWrapping"/>
            </w:r>
            <w:r>
              <w:rPr>
                <w:rFonts w:hint="eastAsia" w:ascii="黑体" w:hAnsi="黑体" w:eastAsia="黑体" w:cs="黑体"/>
                <w:snapToGrid w:val="0"/>
                <w:color w:val="000000"/>
                <w:kern w:val="0"/>
                <w:sz w:val="18"/>
                <w:szCs w:val="18"/>
              </w:rPr>
              <w:t>指</w:t>
            </w:r>
            <w:r>
              <w:rPr>
                <w:rFonts w:hint="eastAsia" w:ascii="黑体" w:hAnsi="黑体" w:eastAsia="黑体" w:cs="黑体"/>
                <w:snapToGrid w:val="0"/>
                <w:color w:val="000000"/>
                <w:kern w:val="0"/>
                <w:sz w:val="18"/>
                <w:szCs w:val="18"/>
              </w:rPr>
              <w:br w:type="textWrapping"/>
            </w:r>
            <w:r>
              <w:rPr>
                <w:rFonts w:hint="eastAsia" w:ascii="黑体" w:hAnsi="黑体" w:eastAsia="黑体" w:cs="黑体"/>
                <w:snapToGrid w:val="0"/>
                <w:color w:val="000000"/>
                <w:kern w:val="0"/>
                <w:sz w:val="18"/>
                <w:szCs w:val="18"/>
              </w:rPr>
              <w:t>标</w:t>
            </w:r>
          </w:p>
        </w:tc>
        <w:tc>
          <w:tcPr>
            <w:tcW w:w="443" w:type="dxa"/>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一级</w:t>
            </w:r>
            <w:r>
              <w:rPr>
                <w:rFonts w:hint="eastAsia" w:ascii="黑体" w:hAnsi="黑体" w:eastAsia="黑体" w:cs="黑体"/>
                <w:snapToGrid w:val="0"/>
                <w:color w:val="000000"/>
                <w:kern w:val="0"/>
                <w:sz w:val="18"/>
                <w:szCs w:val="18"/>
              </w:rPr>
              <w:br w:type="textWrapping"/>
            </w:r>
            <w:r>
              <w:rPr>
                <w:rFonts w:hint="eastAsia" w:ascii="黑体" w:hAnsi="黑体" w:eastAsia="黑体" w:cs="黑体"/>
                <w:snapToGrid w:val="0"/>
                <w:color w:val="000000"/>
                <w:kern w:val="0"/>
                <w:sz w:val="18"/>
                <w:szCs w:val="18"/>
              </w:rPr>
              <w:t>指标</w:t>
            </w:r>
          </w:p>
        </w:tc>
        <w:tc>
          <w:tcPr>
            <w:tcW w:w="490" w:type="dxa"/>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二级指标</w:t>
            </w:r>
          </w:p>
        </w:tc>
        <w:tc>
          <w:tcPr>
            <w:tcW w:w="2500" w:type="dxa"/>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三级指标</w:t>
            </w:r>
          </w:p>
        </w:tc>
        <w:tc>
          <w:tcPr>
            <w:tcW w:w="1750" w:type="dxa"/>
            <w:gridSpan w:val="2"/>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年度指标值</w:t>
            </w:r>
          </w:p>
        </w:tc>
        <w:tc>
          <w:tcPr>
            <w:tcW w:w="1750" w:type="dxa"/>
            <w:gridSpan w:val="2"/>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实际完成数</w:t>
            </w:r>
          </w:p>
        </w:tc>
        <w:tc>
          <w:tcPr>
            <w:tcW w:w="1093" w:type="dxa"/>
            <w:tcBorders>
              <w:tl2br w:val="nil"/>
              <w:tr2bl w:val="nil"/>
            </w:tcBorders>
            <w:shd w:val="clear" w:color="auto" w:fill="auto"/>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完成率（%）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9"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43" w:type="dxa"/>
            <w:vMerge w:val="restart"/>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产出指标</w:t>
            </w:r>
          </w:p>
        </w:tc>
        <w:tc>
          <w:tcPr>
            <w:tcW w:w="490" w:type="dxa"/>
            <w:vMerge w:val="restart"/>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数量指标</w:t>
            </w: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人员经费支出</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3347.09万元</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3347.09万元</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87"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90"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公用支出</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436.07万元</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420.43万元</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96.41%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88"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90"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项目支出</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532.56万元</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528.51万元</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99.24%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60"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90" w:type="dxa"/>
            <w:vMerge w:val="restart"/>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质量指标</w:t>
            </w: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办文办会质量</w:t>
            </w:r>
          </w:p>
        </w:tc>
        <w:tc>
          <w:tcPr>
            <w:tcW w:w="1750" w:type="dxa"/>
            <w:gridSpan w:val="2"/>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提高办文办会质量。</w:t>
            </w:r>
          </w:p>
        </w:tc>
        <w:tc>
          <w:tcPr>
            <w:tcW w:w="1750" w:type="dxa"/>
            <w:gridSpan w:val="2"/>
            <w:tcBorders>
              <w:tl2br w:val="nil"/>
              <w:tr2bl w:val="nil"/>
            </w:tcBorders>
            <w:shd w:val="clear" w:color="auto" w:fill="auto"/>
            <w:vAlign w:val="center"/>
          </w:tcPr>
          <w:p>
            <w:pPr>
              <w:adjustRightInd w:val="0"/>
              <w:snapToGrid w:val="0"/>
              <w:textAlignment w:val="center"/>
              <w:rPr>
                <w:rFonts w:eastAsia="仿宋"/>
                <w:snapToGrid w:val="0"/>
                <w:color w:val="000000"/>
                <w:spacing w:val="-4"/>
                <w:kern w:val="0"/>
                <w:sz w:val="18"/>
                <w:szCs w:val="18"/>
              </w:rPr>
            </w:pPr>
            <w:r>
              <w:rPr>
                <w:rFonts w:hint="eastAsia" w:eastAsia="仿宋"/>
                <w:snapToGrid w:val="0"/>
                <w:color w:val="000000"/>
                <w:kern w:val="0"/>
                <w:sz w:val="18"/>
                <w:szCs w:val="18"/>
              </w:rPr>
              <w:t>　</w:t>
            </w:r>
            <w:r>
              <w:rPr>
                <w:rFonts w:eastAsia="仿宋"/>
                <w:snapToGrid w:val="0"/>
                <w:color w:val="000000"/>
                <w:spacing w:val="-4"/>
                <w:kern w:val="0"/>
                <w:sz w:val="18"/>
                <w:szCs w:val="18"/>
              </w:rPr>
              <w:t>一是提升办文质效。退文数量同比减少51.3%。各科室公文重发数量同比减少73.4%。</w:t>
            </w:r>
          </w:p>
          <w:p>
            <w:pPr>
              <w:adjustRightInd w:val="0"/>
              <w:snapToGrid w:val="0"/>
              <w:textAlignment w:val="center"/>
              <w:rPr>
                <w:rFonts w:eastAsia="仿宋"/>
                <w:snapToGrid w:val="0"/>
                <w:color w:val="000000"/>
                <w:kern w:val="0"/>
                <w:sz w:val="18"/>
                <w:szCs w:val="18"/>
              </w:rPr>
            </w:pPr>
            <w:r>
              <w:rPr>
                <w:rFonts w:hint="eastAsia" w:eastAsia="仿宋"/>
                <w:snapToGrid w:val="0"/>
                <w:color w:val="000000"/>
                <w:spacing w:val="-4"/>
                <w:kern w:val="0"/>
                <w:sz w:val="18"/>
                <w:szCs w:val="18"/>
              </w:rPr>
              <w:t>　</w:t>
            </w:r>
            <w:r>
              <w:rPr>
                <w:rFonts w:eastAsia="仿宋"/>
                <w:snapToGrid w:val="0"/>
                <w:color w:val="000000"/>
                <w:spacing w:val="-4"/>
                <w:kern w:val="0"/>
                <w:sz w:val="18"/>
                <w:szCs w:val="18"/>
              </w:rPr>
              <w:t>二是统筹会议精简。全年承办、协办各类会议1200余次。</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09"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90"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应急值班处置</w:t>
            </w:r>
          </w:p>
        </w:tc>
        <w:tc>
          <w:tcPr>
            <w:tcW w:w="1750" w:type="dxa"/>
            <w:gridSpan w:val="2"/>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坚持突发信息及时报送，促进应急值班高效处置。</w:t>
            </w:r>
          </w:p>
        </w:tc>
        <w:tc>
          <w:tcPr>
            <w:tcW w:w="1750" w:type="dxa"/>
            <w:gridSpan w:val="2"/>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spacing w:val="-4"/>
                <w:kern w:val="0"/>
                <w:sz w:val="18"/>
                <w:szCs w:val="18"/>
              </w:rPr>
              <w:t>全年规范向省政府总值班室报送突发事件信息2次，接报、处理疫情防控等信息333期，传达省市领导批示72次。</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70"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90" w:type="dxa"/>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疫情防控工作</w:t>
            </w:r>
          </w:p>
        </w:tc>
        <w:tc>
          <w:tcPr>
            <w:tcW w:w="1750" w:type="dxa"/>
            <w:gridSpan w:val="2"/>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发挥疫情防控</w:t>
            </w:r>
            <w:r>
              <w:rPr>
                <w:rFonts w:hint="eastAsia" w:ascii="仿宋" w:hAnsi="仿宋" w:eastAsia="仿宋" w:cs="仿宋"/>
                <w:snapToGrid w:val="0"/>
                <w:color w:val="000000"/>
                <w:kern w:val="0"/>
                <w:sz w:val="18"/>
                <w:szCs w:val="18"/>
              </w:rPr>
              <w:t>“</w:t>
            </w:r>
            <w:r>
              <w:rPr>
                <w:rFonts w:eastAsia="仿宋"/>
                <w:snapToGrid w:val="0"/>
                <w:color w:val="000000"/>
                <w:kern w:val="0"/>
                <w:sz w:val="18"/>
                <w:szCs w:val="18"/>
              </w:rPr>
              <w:t>综合枢纽</w:t>
            </w:r>
            <w:r>
              <w:rPr>
                <w:rFonts w:hint="eastAsia" w:ascii="仿宋" w:hAnsi="仿宋" w:eastAsia="仿宋" w:cs="仿宋"/>
                <w:snapToGrid w:val="0"/>
                <w:color w:val="000000"/>
                <w:kern w:val="0"/>
                <w:sz w:val="18"/>
                <w:szCs w:val="18"/>
              </w:rPr>
              <w:t>”</w:t>
            </w:r>
            <w:r>
              <w:rPr>
                <w:rFonts w:eastAsia="仿宋"/>
                <w:snapToGrid w:val="0"/>
                <w:color w:val="000000"/>
                <w:kern w:val="0"/>
                <w:sz w:val="18"/>
                <w:szCs w:val="18"/>
              </w:rPr>
              <w:t>作用，圆满完成疫情防控工作。</w:t>
            </w:r>
          </w:p>
        </w:tc>
        <w:tc>
          <w:tcPr>
            <w:tcW w:w="1750" w:type="dxa"/>
            <w:gridSpan w:val="2"/>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持续推进新冠肺炎疫苗接种，强化重要场所、重点行业常态化防控，加快推进方舱医院等疫情防控基础设施建设，优化后勤物资储备，实行“一患一策”、中西医结合，保障疫情患者救治。</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70" w:hRule="atLeast"/>
        </w:trPr>
        <w:tc>
          <w:tcPr>
            <w:tcW w:w="443" w:type="dxa"/>
            <w:vMerge w:val="restart"/>
            <w:tcBorders>
              <w:tl2br w:val="nil"/>
              <w:tr2bl w:val="nil"/>
            </w:tcBorders>
            <w:vAlign w:val="center"/>
          </w:tcPr>
          <w:p>
            <w:pPr>
              <w:adjustRightInd w:val="0"/>
              <w:snapToGrid w:val="0"/>
              <w:jc w:val="center"/>
              <w:textAlignment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绩</w:t>
            </w:r>
            <w:r>
              <w:rPr>
                <w:rFonts w:hint="eastAsia" w:ascii="黑体" w:hAnsi="黑体" w:eastAsia="黑体" w:cs="黑体"/>
                <w:snapToGrid w:val="0"/>
                <w:color w:val="000000"/>
                <w:kern w:val="0"/>
                <w:sz w:val="18"/>
                <w:szCs w:val="18"/>
              </w:rPr>
              <w:br w:type="textWrapping"/>
            </w:r>
            <w:r>
              <w:rPr>
                <w:rFonts w:hint="eastAsia" w:ascii="黑体" w:hAnsi="黑体" w:eastAsia="黑体" w:cs="黑体"/>
                <w:snapToGrid w:val="0"/>
                <w:color w:val="000000"/>
                <w:kern w:val="0"/>
                <w:sz w:val="18"/>
                <w:szCs w:val="18"/>
              </w:rPr>
              <w:t>效履职</w:t>
            </w:r>
            <w:r>
              <w:rPr>
                <w:rFonts w:hint="eastAsia" w:ascii="黑体" w:hAnsi="黑体" w:eastAsia="黑体" w:cs="黑体"/>
                <w:snapToGrid w:val="0"/>
                <w:color w:val="000000"/>
                <w:kern w:val="0"/>
                <w:sz w:val="18"/>
                <w:szCs w:val="18"/>
              </w:rPr>
              <w:br w:type="textWrapping"/>
            </w:r>
            <w:r>
              <w:rPr>
                <w:rFonts w:hint="eastAsia" w:ascii="黑体" w:hAnsi="黑体" w:eastAsia="黑体" w:cs="黑体"/>
                <w:snapToGrid w:val="0"/>
                <w:color w:val="000000"/>
                <w:kern w:val="0"/>
                <w:sz w:val="18"/>
                <w:szCs w:val="18"/>
              </w:rPr>
              <w:t>指</w:t>
            </w:r>
            <w:r>
              <w:rPr>
                <w:rFonts w:hint="eastAsia" w:ascii="黑体" w:hAnsi="黑体" w:eastAsia="黑体" w:cs="黑体"/>
                <w:snapToGrid w:val="0"/>
                <w:color w:val="000000"/>
                <w:kern w:val="0"/>
                <w:sz w:val="18"/>
                <w:szCs w:val="18"/>
              </w:rPr>
              <w:br w:type="textWrapping"/>
            </w:r>
            <w:r>
              <w:rPr>
                <w:rFonts w:hint="eastAsia" w:ascii="黑体" w:hAnsi="黑体" w:eastAsia="黑体" w:cs="黑体"/>
                <w:snapToGrid w:val="0"/>
                <w:color w:val="000000"/>
                <w:kern w:val="0"/>
                <w:sz w:val="18"/>
                <w:szCs w:val="18"/>
              </w:rPr>
              <w:t>标</w:t>
            </w:r>
          </w:p>
        </w:tc>
        <w:tc>
          <w:tcPr>
            <w:tcW w:w="443" w:type="dxa"/>
            <w:vMerge w:val="restart"/>
            <w:tcBorders>
              <w:tl2br w:val="nil"/>
              <w:tr2bl w:val="nil"/>
            </w:tcBorders>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产出指标</w:t>
            </w:r>
          </w:p>
        </w:tc>
        <w:tc>
          <w:tcPr>
            <w:tcW w:w="490" w:type="dxa"/>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督查工作</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提升督查工作</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2022年累计督查督办市领导批示指示600余件，印发专报35期、通报13期，坚持既督又帮，帮助企业解决尾矿排放、用工短缺等难题200余项。</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5"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9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时效指标</w:t>
            </w: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工作安排完成时限</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2022年全年</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已全部完成</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20"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43" w:type="dxa"/>
            <w:vMerge w:val="restart"/>
            <w:tcBorders>
              <w:tl2br w:val="nil"/>
              <w:tr2bl w:val="nil"/>
            </w:tcBorders>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成本指标</w:t>
            </w:r>
          </w:p>
        </w:tc>
        <w:tc>
          <w:tcPr>
            <w:tcW w:w="490" w:type="dxa"/>
            <w:vMerge w:val="restart"/>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经济成本指标</w:t>
            </w: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基本支出</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3783.16万元</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3767.52万元</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99.59%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5"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90"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项目支出</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532.56万元</w:t>
            </w:r>
          </w:p>
        </w:tc>
        <w:tc>
          <w:tcPr>
            <w:tcW w:w="1750" w:type="dxa"/>
            <w:gridSpan w:val="2"/>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528.51万元</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99.24%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5"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43" w:type="dxa"/>
            <w:vMerge w:val="restart"/>
            <w:tcBorders>
              <w:tl2br w:val="nil"/>
              <w:tr2bl w:val="nil"/>
            </w:tcBorders>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效益指标</w:t>
            </w:r>
          </w:p>
        </w:tc>
        <w:tc>
          <w:tcPr>
            <w:tcW w:w="490" w:type="dxa"/>
            <w:tcBorders>
              <w:tl2br w:val="nil"/>
              <w:tr2bl w:val="nil"/>
            </w:tcBorders>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经济效益指标</w:t>
            </w: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运转保障率</w:t>
            </w:r>
          </w:p>
        </w:tc>
        <w:tc>
          <w:tcPr>
            <w:tcW w:w="1750" w:type="dxa"/>
            <w:gridSpan w:val="2"/>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保障单位日常运转</w:t>
            </w:r>
          </w:p>
        </w:tc>
        <w:tc>
          <w:tcPr>
            <w:tcW w:w="1750" w:type="dxa"/>
            <w:gridSpan w:val="2"/>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保障单位日常运转</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5"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90" w:type="dxa"/>
            <w:tcBorders>
              <w:tl2br w:val="nil"/>
              <w:tr2bl w:val="nil"/>
            </w:tcBorders>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社会效益指标</w:t>
            </w: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可持续影响</w:t>
            </w:r>
          </w:p>
        </w:tc>
        <w:tc>
          <w:tcPr>
            <w:tcW w:w="1750" w:type="dxa"/>
            <w:gridSpan w:val="2"/>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持续为经济社会发展贡献力量</w:t>
            </w:r>
          </w:p>
        </w:tc>
        <w:tc>
          <w:tcPr>
            <w:tcW w:w="1750" w:type="dxa"/>
            <w:gridSpan w:val="2"/>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完成全面目标任务</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100%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70" w:hRule="atLeast"/>
        </w:trPr>
        <w:tc>
          <w:tcPr>
            <w:tcW w:w="443" w:type="dxa"/>
            <w:vMerge w:val="continue"/>
            <w:tcBorders>
              <w:tl2br w:val="nil"/>
              <w:tr2bl w:val="nil"/>
            </w:tcBorders>
            <w:vAlign w:val="center"/>
          </w:tcPr>
          <w:p>
            <w:pPr>
              <w:adjustRightInd w:val="0"/>
              <w:snapToGrid w:val="0"/>
              <w:jc w:val="center"/>
              <w:textAlignment w:val="center"/>
              <w:rPr>
                <w:rFonts w:eastAsia="仿宋"/>
                <w:snapToGrid w:val="0"/>
                <w:color w:val="000000"/>
                <w:kern w:val="0"/>
                <w:sz w:val="18"/>
                <w:szCs w:val="18"/>
              </w:rPr>
            </w:pPr>
          </w:p>
        </w:tc>
        <w:tc>
          <w:tcPr>
            <w:tcW w:w="44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满意度指标</w:t>
            </w:r>
          </w:p>
        </w:tc>
        <w:tc>
          <w:tcPr>
            <w:tcW w:w="49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满意度指标</w:t>
            </w:r>
          </w:p>
        </w:tc>
        <w:tc>
          <w:tcPr>
            <w:tcW w:w="2500"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群众满意度</w:t>
            </w:r>
          </w:p>
        </w:tc>
        <w:tc>
          <w:tcPr>
            <w:tcW w:w="1750" w:type="dxa"/>
            <w:gridSpan w:val="2"/>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抽样调查满意度达到满意及以上</w:t>
            </w:r>
          </w:p>
        </w:tc>
        <w:tc>
          <w:tcPr>
            <w:tcW w:w="1750" w:type="dxa"/>
            <w:gridSpan w:val="2"/>
            <w:tcBorders>
              <w:tl2br w:val="nil"/>
              <w:tr2bl w:val="nil"/>
            </w:tcBorders>
            <w:shd w:val="clear" w:color="auto" w:fill="auto"/>
            <w:vAlign w:val="center"/>
          </w:tcPr>
          <w:p>
            <w:pPr>
              <w:adjustRightInd w:val="0"/>
              <w:snapToGrid w:val="0"/>
              <w:textAlignment w:val="center"/>
              <w:rPr>
                <w:rFonts w:eastAsia="仿宋"/>
                <w:snapToGrid w:val="0"/>
                <w:color w:val="000000"/>
                <w:kern w:val="0"/>
                <w:sz w:val="18"/>
                <w:szCs w:val="18"/>
              </w:rPr>
            </w:pPr>
            <w:r>
              <w:rPr>
                <w:rFonts w:hint="eastAsia" w:eastAsia="仿宋"/>
                <w:snapToGrid w:val="0"/>
                <w:color w:val="000000"/>
                <w:kern w:val="0"/>
                <w:sz w:val="18"/>
                <w:szCs w:val="18"/>
              </w:rPr>
              <w:t>　</w:t>
            </w:r>
            <w:r>
              <w:rPr>
                <w:rFonts w:eastAsia="仿宋"/>
                <w:snapToGrid w:val="0"/>
                <w:color w:val="000000"/>
                <w:kern w:val="0"/>
                <w:sz w:val="18"/>
                <w:szCs w:val="18"/>
              </w:rPr>
              <w:t>抽样调查满意度达到满意及以上</w:t>
            </w:r>
          </w:p>
        </w:tc>
        <w:tc>
          <w:tcPr>
            <w:tcW w:w="1093" w:type="dxa"/>
            <w:tcBorders>
              <w:tl2br w:val="nil"/>
              <w:tr2bl w:val="nil"/>
            </w:tcBorders>
            <w:shd w:val="clear" w:color="auto" w:fill="auto"/>
            <w:vAlign w:val="center"/>
          </w:tcPr>
          <w:p>
            <w:pPr>
              <w:adjustRightInd w:val="0"/>
              <w:snapToGrid w:val="0"/>
              <w:jc w:val="center"/>
              <w:textAlignment w:val="center"/>
              <w:rPr>
                <w:rFonts w:eastAsia="仿宋"/>
                <w:snapToGrid w:val="0"/>
                <w:color w:val="000000"/>
                <w:kern w:val="0"/>
                <w:sz w:val="18"/>
                <w:szCs w:val="18"/>
              </w:rPr>
            </w:pPr>
            <w:r>
              <w:rPr>
                <w:rFonts w:eastAsia="仿宋"/>
                <w:snapToGrid w:val="0"/>
                <w:color w:val="000000"/>
                <w:kern w:val="0"/>
                <w:sz w:val="18"/>
                <w:szCs w:val="18"/>
              </w:rPr>
              <w:t>100%</w:t>
            </w:r>
          </w:p>
        </w:tc>
      </w:tr>
    </w:tbl>
    <w:p>
      <w:pPr>
        <w:adjustRightInd w:val="0"/>
        <w:snapToGrid w:val="0"/>
        <w:spacing w:line="353" w:lineRule="auto"/>
        <w:rPr>
          <w:rFonts w:eastAsia="仿宋"/>
          <w:snapToGrid w:val="0"/>
          <w:kern w:val="0"/>
          <w:sz w:val="32"/>
          <w:szCs w:val="32"/>
          <w:lang w:val="zh-CN"/>
        </w:rPr>
      </w:pPr>
    </w:p>
    <w:p>
      <w:pPr>
        <w:adjustRightInd w:val="0"/>
        <w:snapToGrid w:val="0"/>
        <w:spacing w:line="348" w:lineRule="auto"/>
        <w:rPr>
          <w:rFonts w:ascii="楷体" w:hAnsi="楷体" w:eastAsia="楷体" w:cs="楷体"/>
          <w:sz w:val="32"/>
          <w:szCs w:val="32"/>
          <w:lang w:val="zh-CN"/>
        </w:rPr>
      </w:pPr>
      <w:r>
        <w:rPr>
          <w:rFonts w:hint="eastAsia" w:ascii="楷体" w:hAnsi="楷体" w:eastAsia="楷体" w:cs="楷体"/>
          <w:sz w:val="32"/>
          <w:szCs w:val="32"/>
          <w:lang w:val="zh-CN"/>
        </w:rPr>
        <w:t>　　（三）结果应用情况。</w:t>
      </w:r>
    </w:p>
    <w:p>
      <w:pPr>
        <w:adjustRightInd w:val="0"/>
        <w:snapToGrid w:val="0"/>
        <w:spacing w:line="348" w:lineRule="auto"/>
        <w:rPr>
          <w:rFonts w:eastAsia="仿宋"/>
          <w:sz w:val="32"/>
          <w:szCs w:val="32"/>
          <w:lang w:val="zh-CN"/>
        </w:rPr>
      </w:pPr>
      <w:r>
        <w:rPr>
          <w:rFonts w:hint="eastAsia" w:eastAsia="仿宋"/>
          <w:sz w:val="32"/>
          <w:szCs w:val="32"/>
          <w:lang w:val="zh-CN"/>
        </w:rPr>
        <w:t>　　</w:t>
      </w:r>
      <w:r>
        <w:rPr>
          <w:rFonts w:eastAsia="仿宋"/>
          <w:sz w:val="32"/>
          <w:szCs w:val="32"/>
          <w:lang w:val="zh-CN"/>
        </w:rPr>
        <w:t>绩效自评结果拟应用于今后的绩效管理工作，加强绩效评价工作，严格内部管理，通过绩效评价，我办进一步掌握了项目经费使用情况和取得的效果，总结了项目资金管理经验，为下一年提高项目资金的使用效益，加强财政支出的规范管理，完善预算编制和加强绩效目标管理等工作提供重要的参考依据。</w:t>
      </w:r>
    </w:p>
    <w:p>
      <w:pPr>
        <w:adjustRightInd w:val="0"/>
        <w:snapToGrid w:val="0"/>
        <w:spacing w:line="348" w:lineRule="auto"/>
        <w:rPr>
          <w:rFonts w:ascii="楷体" w:hAnsi="楷体" w:eastAsia="楷体" w:cs="楷体"/>
          <w:sz w:val="32"/>
          <w:szCs w:val="32"/>
          <w:lang w:val="zh-CN"/>
        </w:rPr>
      </w:pPr>
      <w:r>
        <w:rPr>
          <w:rFonts w:hint="eastAsia" w:ascii="楷体" w:hAnsi="楷体" w:eastAsia="楷体" w:cs="楷体"/>
          <w:sz w:val="32"/>
          <w:szCs w:val="32"/>
          <w:lang w:val="zh-CN"/>
        </w:rPr>
        <w:t>　　（四）自评质量。</w:t>
      </w:r>
    </w:p>
    <w:p>
      <w:pPr>
        <w:adjustRightInd w:val="0"/>
        <w:snapToGrid w:val="0"/>
        <w:spacing w:line="348" w:lineRule="auto"/>
        <w:rPr>
          <w:rFonts w:eastAsia="仿宋"/>
          <w:sz w:val="32"/>
          <w:szCs w:val="32"/>
          <w:lang w:val="zh-CN"/>
        </w:rPr>
      </w:pPr>
      <w:r>
        <w:rPr>
          <w:rFonts w:hint="eastAsia" w:eastAsia="仿宋"/>
          <w:sz w:val="32"/>
          <w:szCs w:val="32"/>
          <w:lang w:val="zh-CN"/>
        </w:rPr>
        <w:t>　　</w:t>
      </w:r>
      <w:r>
        <w:rPr>
          <w:rFonts w:eastAsia="仿宋"/>
          <w:sz w:val="32"/>
          <w:szCs w:val="32"/>
          <w:lang w:val="zh-CN"/>
        </w:rPr>
        <w:t>根据部门整体支出绩效评价指标规定的内容，我办认真开展了自评，部门整体绩效目标编制合理，目标设定客观实际，严格按预算执行质量、预算执行进度、厉行节约的要求，做到了清晰、细化。</w:t>
      </w:r>
    </w:p>
    <w:p>
      <w:pPr>
        <w:adjustRightInd w:val="0"/>
        <w:snapToGrid w:val="0"/>
        <w:spacing w:line="348" w:lineRule="auto"/>
        <w:rPr>
          <w:rFonts w:ascii="黑体" w:hAnsi="黑体" w:eastAsia="黑体" w:cs="黑体"/>
          <w:sz w:val="32"/>
          <w:szCs w:val="32"/>
        </w:rPr>
      </w:pPr>
      <w:r>
        <w:rPr>
          <w:rFonts w:hint="eastAsia" w:ascii="黑体" w:hAnsi="黑体" w:eastAsia="黑体" w:cs="黑体"/>
          <w:sz w:val="32"/>
          <w:szCs w:val="32"/>
        </w:rPr>
        <w:t>　　四、评价结论及建议</w:t>
      </w:r>
    </w:p>
    <w:p>
      <w:pPr>
        <w:adjustRightInd w:val="0"/>
        <w:snapToGrid w:val="0"/>
        <w:spacing w:line="348" w:lineRule="auto"/>
        <w:rPr>
          <w:rFonts w:ascii="楷体" w:hAnsi="楷体" w:eastAsia="楷体" w:cs="楷体"/>
          <w:sz w:val="32"/>
          <w:szCs w:val="32"/>
          <w:lang w:val="zh-CN"/>
        </w:rPr>
      </w:pPr>
      <w:r>
        <w:rPr>
          <w:rFonts w:hint="eastAsia" w:ascii="楷体" w:hAnsi="楷体" w:eastAsia="楷体" w:cs="楷体"/>
          <w:sz w:val="32"/>
          <w:szCs w:val="32"/>
          <w:lang w:val="zh-CN"/>
        </w:rPr>
        <w:t>　　（一）评价结论。</w:t>
      </w:r>
    </w:p>
    <w:p>
      <w:pPr>
        <w:adjustRightInd w:val="0"/>
        <w:snapToGrid w:val="0"/>
        <w:spacing w:line="348" w:lineRule="auto"/>
        <w:rPr>
          <w:rFonts w:eastAsia="仿宋"/>
          <w:sz w:val="32"/>
          <w:szCs w:val="32"/>
          <w:lang w:val="zh-CN"/>
        </w:rPr>
      </w:pPr>
      <w:r>
        <w:rPr>
          <w:rFonts w:hint="eastAsia" w:eastAsia="仿宋"/>
          <w:sz w:val="32"/>
          <w:szCs w:val="32"/>
          <w:lang w:val="zh-CN"/>
        </w:rPr>
        <w:t>　　</w:t>
      </w:r>
      <w:r>
        <w:rPr>
          <w:rFonts w:eastAsia="仿宋"/>
          <w:sz w:val="32"/>
          <w:szCs w:val="32"/>
          <w:lang w:val="zh-CN"/>
        </w:rPr>
        <w:t>我办预算整体绩效评价结果良好，完成了年初设定的绩效目标，保障了单位各项工作任务圆满完成。</w:t>
      </w:r>
    </w:p>
    <w:p>
      <w:pPr>
        <w:adjustRightInd w:val="0"/>
        <w:snapToGrid w:val="0"/>
        <w:spacing w:line="348" w:lineRule="auto"/>
        <w:rPr>
          <w:rFonts w:ascii="楷体" w:hAnsi="楷体" w:eastAsia="楷体" w:cs="楷体"/>
          <w:sz w:val="32"/>
          <w:szCs w:val="32"/>
          <w:lang w:val="zh-CN"/>
        </w:rPr>
      </w:pPr>
      <w:r>
        <w:rPr>
          <w:rFonts w:hint="eastAsia" w:ascii="楷体" w:hAnsi="楷体" w:eastAsia="楷体" w:cs="楷体"/>
          <w:sz w:val="32"/>
          <w:szCs w:val="32"/>
          <w:lang w:val="zh-CN"/>
        </w:rPr>
        <w:t>　　（二）存在问题。</w:t>
      </w:r>
    </w:p>
    <w:p>
      <w:pPr>
        <w:adjustRightInd w:val="0"/>
        <w:snapToGrid w:val="0"/>
        <w:spacing w:line="348" w:lineRule="auto"/>
        <w:rPr>
          <w:rFonts w:eastAsia="仿宋"/>
          <w:sz w:val="32"/>
          <w:szCs w:val="32"/>
          <w:lang w:val="zh-CN"/>
        </w:rPr>
      </w:pPr>
      <w:r>
        <w:rPr>
          <w:rFonts w:hint="eastAsia" w:eastAsia="仿宋"/>
          <w:sz w:val="32"/>
          <w:szCs w:val="32"/>
          <w:lang w:val="zh-CN"/>
        </w:rPr>
        <w:t>　　</w:t>
      </w:r>
      <w:r>
        <w:rPr>
          <w:rFonts w:eastAsia="仿宋"/>
          <w:sz w:val="32"/>
          <w:szCs w:val="32"/>
          <w:lang w:val="zh-CN"/>
        </w:rPr>
        <w:t>我办无绩效自评存在的问题。</w:t>
      </w:r>
    </w:p>
    <w:p>
      <w:pPr>
        <w:adjustRightInd w:val="0"/>
        <w:snapToGrid w:val="0"/>
        <w:spacing w:line="348" w:lineRule="auto"/>
        <w:rPr>
          <w:rFonts w:ascii="楷体" w:hAnsi="楷体" w:eastAsia="楷体" w:cs="楷体"/>
          <w:sz w:val="32"/>
          <w:szCs w:val="32"/>
          <w:lang w:val="zh-CN"/>
        </w:rPr>
      </w:pPr>
      <w:r>
        <w:rPr>
          <w:rFonts w:hint="eastAsia" w:ascii="楷体" w:hAnsi="楷体" w:eastAsia="楷体" w:cs="楷体"/>
          <w:sz w:val="32"/>
          <w:szCs w:val="32"/>
          <w:lang w:val="zh-CN"/>
        </w:rPr>
        <w:t>　　（三）改进建议。</w:t>
      </w:r>
    </w:p>
    <w:p>
      <w:pPr>
        <w:adjustRightInd w:val="0"/>
        <w:snapToGrid w:val="0"/>
        <w:spacing w:line="348" w:lineRule="auto"/>
        <w:rPr>
          <w:rFonts w:ascii="仿宋" w:hAnsi="仿宋" w:eastAsia="仿宋" w:cs="仿宋"/>
          <w:sz w:val="32"/>
          <w:szCs w:val="32"/>
          <w:lang w:val="zh-CN"/>
        </w:rPr>
      </w:pPr>
      <w:r>
        <w:rPr>
          <w:rFonts w:hint="eastAsia" w:ascii="仿宋" w:hAnsi="仿宋" w:eastAsia="仿宋" w:cs="仿宋"/>
          <w:sz w:val="32"/>
          <w:szCs w:val="32"/>
          <w:lang w:val="zh-CN"/>
        </w:rPr>
        <w:t>　　我办无绩效自评的改进建议。</w:t>
      </w:r>
    </w:p>
    <w:p>
      <w:pPr>
        <w:adjustRightInd w:val="0"/>
        <w:snapToGrid w:val="0"/>
        <w:spacing w:line="348" w:lineRule="auto"/>
        <w:rPr>
          <w:rFonts w:eastAsia="仿宋"/>
          <w:sz w:val="32"/>
          <w:szCs w:val="32"/>
          <w:lang w:val="zh-CN"/>
        </w:rPr>
      </w:pPr>
    </w:p>
    <w:p>
      <w:pPr>
        <w:adjustRightInd w:val="0"/>
        <w:snapToGrid w:val="0"/>
        <w:spacing w:line="348" w:lineRule="auto"/>
        <w:rPr>
          <w:rFonts w:eastAsia="仿宋"/>
          <w:sz w:val="32"/>
          <w:szCs w:val="32"/>
          <w:lang w:val="zh-CN"/>
        </w:rPr>
      </w:pPr>
    </w:p>
    <w:p>
      <w:pPr>
        <w:adjustRightInd w:val="0"/>
        <w:snapToGrid w:val="0"/>
        <w:spacing w:line="348" w:lineRule="auto"/>
        <w:rPr>
          <w:rFonts w:eastAsia="仿宋"/>
          <w:sz w:val="32"/>
          <w:szCs w:val="32"/>
          <w:lang w:val="zh-CN"/>
        </w:rPr>
      </w:pPr>
      <w:r>
        <w:rPr>
          <w:rFonts w:hint="eastAsia" w:eastAsia="仿宋"/>
          <w:sz w:val="32"/>
          <w:szCs w:val="32"/>
          <w:lang w:val="zh-CN"/>
        </w:rPr>
        <w:t>　</w:t>
      </w:r>
      <w:r>
        <w:rPr>
          <w:rFonts w:eastAsia="仿宋"/>
          <w:spacing w:val="-10"/>
          <w:sz w:val="32"/>
          <w:szCs w:val="32"/>
          <w:lang w:val="zh-CN"/>
        </w:rPr>
        <w:t>附表：</w:t>
      </w:r>
      <w:r>
        <w:rPr>
          <w:rFonts w:eastAsia="仿宋"/>
          <w:spacing w:val="-10"/>
          <w:sz w:val="32"/>
          <w:szCs w:val="32"/>
        </w:rPr>
        <w:t>部门预算项目支出绩效自评表（2022年度）见附件</w:t>
      </w:r>
      <w:r>
        <w:rPr>
          <w:rFonts w:hint="eastAsia" w:eastAsia="仿宋"/>
          <w:spacing w:val="-10"/>
          <w:sz w:val="32"/>
          <w:szCs w:val="32"/>
        </w:rPr>
        <w:t>3。</w:t>
      </w:r>
    </w:p>
    <w:p>
      <w:pPr>
        <w:pStyle w:val="5"/>
        <w:adjustRightInd w:val="0"/>
        <w:snapToGrid w:val="0"/>
        <w:spacing w:beforeLines="0" w:line="300" w:lineRule="auto"/>
        <w:rPr>
          <w:rFonts w:ascii="Times New Roman" w:eastAsia="黑体"/>
          <w:sz w:val="32"/>
          <w:szCs w:val="32"/>
          <w:shd w:val="clear" w:color="auto" w:fill="FFFFFF"/>
          <w:lang w:val="zh-CN"/>
        </w:rPr>
      </w:pPr>
    </w:p>
    <w:p>
      <w:pPr>
        <w:pStyle w:val="5"/>
        <w:adjustRightInd w:val="0"/>
        <w:snapToGrid w:val="0"/>
        <w:spacing w:beforeLines="0" w:line="300" w:lineRule="auto"/>
        <w:rPr>
          <w:rFonts w:ascii="Times New Roman" w:eastAsia="黑体"/>
          <w:sz w:val="32"/>
          <w:szCs w:val="32"/>
          <w:shd w:val="clear" w:color="auto" w:fill="FFFFFF"/>
          <w:lang w:val="zh-CN"/>
        </w:rPr>
      </w:pPr>
    </w:p>
    <w:p>
      <w:pPr>
        <w:pStyle w:val="5"/>
        <w:adjustRightInd w:val="0"/>
        <w:snapToGrid w:val="0"/>
        <w:spacing w:beforeLines="0" w:line="300" w:lineRule="auto"/>
        <w:rPr>
          <w:rFonts w:ascii="Times New Roman" w:eastAsia="黑体"/>
          <w:sz w:val="32"/>
          <w:szCs w:val="32"/>
          <w:shd w:val="clear" w:color="auto" w:fill="FFFFFF"/>
          <w:lang w:val="zh-CN"/>
        </w:rPr>
      </w:pPr>
    </w:p>
    <w:p>
      <w:pPr>
        <w:pStyle w:val="5"/>
        <w:adjustRightInd w:val="0"/>
        <w:snapToGrid w:val="0"/>
        <w:spacing w:beforeLines="0" w:line="300" w:lineRule="auto"/>
        <w:rPr>
          <w:rFonts w:ascii="Times New Roman" w:eastAsia="黑体"/>
          <w:sz w:val="32"/>
          <w:szCs w:val="32"/>
          <w:shd w:val="clear" w:color="auto" w:fill="FFFFFF"/>
          <w:lang w:val="zh-CN"/>
        </w:rPr>
      </w:pPr>
    </w:p>
    <w:p>
      <w:pPr>
        <w:pStyle w:val="5"/>
        <w:adjustRightInd w:val="0"/>
        <w:snapToGrid w:val="0"/>
        <w:spacing w:beforeLines="0" w:line="300" w:lineRule="auto"/>
        <w:rPr>
          <w:rFonts w:ascii="Times New Roman" w:eastAsia="黑体"/>
          <w:sz w:val="32"/>
          <w:szCs w:val="32"/>
          <w:shd w:val="clear" w:color="auto" w:fill="FFFFFF"/>
          <w:lang w:val="zh-CN"/>
        </w:rPr>
      </w:pPr>
    </w:p>
    <w:p>
      <w:pPr>
        <w:pStyle w:val="5"/>
        <w:adjustRightInd w:val="0"/>
        <w:snapToGrid w:val="0"/>
        <w:spacing w:beforeLines="0" w:line="300" w:lineRule="auto"/>
        <w:rPr>
          <w:rFonts w:ascii="Times New Roman" w:eastAsia="黑体"/>
          <w:sz w:val="32"/>
          <w:szCs w:val="32"/>
          <w:shd w:val="clear" w:color="auto" w:fill="FFFFFF"/>
          <w:lang w:val="zh-CN"/>
        </w:rPr>
      </w:pPr>
    </w:p>
    <w:p>
      <w:pPr>
        <w:pStyle w:val="5"/>
        <w:adjustRightInd w:val="0"/>
        <w:snapToGrid w:val="0"/>
        <w:spacing w:beforeLines="0" w:line="300" w:lineRule="auto"/>
        <w:rPr>
          <w:rFonts w:ascii="Times New Roman" w:eastAsia="黑体"/>
          <w:sz w:val="32"/>
          <w:szCs w:val="32"/>
          <w:shd w:val="clear" w:color="auto" w:fill="FFFFFF"/>
        </w:rPr>
      </w:pPr>
      <w:r>
        <w:rPr>
          <w:rFonts w:ascii="Times New Roman" w:eastAsia="黑体"/>
          <w:sz w:val="32"/>
          <w:szCs w:val="32"/>
          <w:shd w:val="clear" w:color="auto" w:fill="FFFFFF"/>
          <w:lang w:val="zh-CN"/>
        </w:rPr>
        <w:t>附件</w:t>
      </w:r>
      <w:r>
        <w:rPr>
          <w:rFonts w:ascii="Times New Roman" w:eastAsia="黑体"/>
          <w:sz w:val="32"/>
          <w:szCs w:val="32"/>
          <w:shd w:val="clear" w:color="auto" w:fill="FFFFFF"/>
        </w:rPr>
        <w:t>2</w:t>
      </w:r>
    </w:p>
    <w:p>
      <w:pPr>
        <w:pStyle w:val="5"/>
        <w:adjustRightInd w:val="0"/>
        <w:snapToGrid w:val="0"/>
        <w:spacing w:beforeLines="0" w:line="300" w:lineRule="auto"/>
        <w:rPr>
          <w:rFonts w:ascii="Times New Roman" w:eastAsia="黑体"/>
          <w:sz w:val="32"/>
          <w:szCs w:val="32"/>
          <w:shd w:val="clear" w:color="auto" w:fill="FFFFFF"/>
        </w:rPr>
      </w:pPr>
    </w:p>
    <w:p>
      <w:pPr>
        <w:pStyle w:val="39"/>
        <w:adjustRightInd w:val="0"/>
        <w:snapToGrid w:val="0"/>
        <w:spacing w:line="300" w:lineRule="auto"/>
        <w:jc w:val="center"/>
        <w:rPr>
          <w:rFonts w:ascii="Times New Roman" w:hAnsi="Times New Roman" w:eastAsia="方正小标宋简体"/>
          <w:color w:val="auto"/>
          <w:w w:val="90"/>
          <w:kern w:val="2"/>
          <w:sz w:val="44"/>
          <w:szCs w:val="44"/>
          <w:lang w:val="en-US"/>
        </w:rPr>
      </w:pPr>
      <w:r>
        <w:rPr>
          <w:rFonts w:ascii="Times New Roman" w:hAnsi="Times New Roman" w:eastAsia="方正小标宋简体"/>
          <w:color w:val="auto"/>
          <w:w w:val="90"/>
          <w:kern w:val="2"/>
          <w:sz w:val="44"/>
          <w:szCs w:val="44"/>
          <w:lang w:val="en-US"/>
        </w:rPr>
        <w:t>2022年市级专项资金预算项目绩效自评报告</w:t>
      </w:r>
    </w:p>
    <w:p>
      <w:pPr>
        <w:pStyle w:val="39"/>
        <w:adjustRightInd w:val="0"/>
        <w:snapToGrid w:val="0"/>
        <w:spacing w:line="300" w:lineRule="auto"/>
        <w:jc w:val="center"/>
        <w:rPr>
          <w:rFonts w:ascii="Times New Roman" w:hAnsi="Times New Roman" w:eastAsia="方正仿宋_GBK"/>
          <w:color w:val="auto"/>
          <w:kern w:val="2"/>
          <w:sz w:val="30"/>
          <w:szCs w:val="30"/>
          <w:lang w:val="en-US"/>
        </w:rPr>
      </w:pPr>
      <w:r>
        <w:rPr>
          <w:rFonts w:ascii="Times New Roman" w:hAnsi="Times New Roman" w:eastAsia="方正仿宋_GBK"/>
          <w:color w:val="auto"/>
          <w:kern w:val="2"/>
          <w:sz w:val="30"/>
          <w:szCs w:val="30"/>
          <w:lang w:val="en-US"/>
        </w:rPr>
        <w:t>（2021年攀枝花市政府网站和政务新媒体绩效督查评估项目）</w:t>
      </w:r>
    </w:p>
    <w:p>
      <w:pPr>
        <w:adjustRightInd w:val="0"/>
        <w:snapToGrid w:val="0"/>
        <w:spacing w:line="353" w:lineRule="auto"/>
        <w:rPr>
          <w:rFonts w:ascii="黑体" w:hAnsi="黑体" w:eastAsia="黑体" w:cs="黑体"/>
          <w:snapToGrid w:val="0"/>
          <w:kern w:val="0"/>
          <w:sz w:val="32"/>
          <w:szCs w:val="32"/>
        </w:rPr>
      </w:pPr>
    </w:p>
    <w:p>
      <w:pPr>
        <w:adjustRightInd w:val="0"/>
        <w:snapToGrid w:val="0"/>
        <w:spacing w:line="353" w:lineRule="auto"/>
        <w:rPr>
          <w:rFonts w:ascii="黑体" w:hAnsi="黑体" w:eastAsia="黑体" w:cs="黑体"/>
          <w:snapToGrid w:val="0"/>
          <w:kern w:val="0"/>
          <w:sz w:val="32"/>
          <w:szCs w:val="32"/>
          <w:lang w:val="zh-CN"/>
        </w:rPr>
      </w:pPr>
      <w:r>
        <w:rPr>
          <w:rFonts w:hint="eastAsia" w:ascii="黑体" w:hAnsi="黑体" w:eastAsia="黑体" w:cs="黑体"/>
          <w:snapToGrid w:val="0"/>
          <w:kern w:val="0"/>
          <w:sz w:val="32"/>
          <w:szCs w:val="32"/>
        </w:rPr>
        <w:t>　　一、</w:t>
      </w:r>
      <w:r>
        <w:rPr>
          <w:rFonts w:hint="eastAsia" w:ascii="黑体" w:hAnsi="黑体" w:eastAsia="黑体" w:cs="黑体"/>
          <w:snapToGrid w:val="0"/>
          <w:kern w:val="0"/>
          <w:sz w:val="32"/>
          <w:szCs w:val="32"/>
          <w:lang w:val="zh-CN"/>
        </w:rPr>
        <w:t>项目概况</w:t>
      </w:r>
    </w:p>
    <w:p>
      <w:pPr>
        <w:adjustRightInd w:val="0"/>
        <w:snapToGrid w:val="0"/>
        <w:spacing w:line="353"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（一）项目基本情况。</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1．攀枝花市政府网站和政务新媒体绩效督查评估项目由市政府办公室负责，市大数据中心组织实施。</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2．依据文件要求，经市政府主要领导同意，开展全市政府网站督查评估工作。市政府办公室与中国电信股份有限公司攀枝花分公司签订了《2021年攀枝花市政府网站督查评估项目技术服务合同》，内容包括：在国务院办公厅《政府网站与政务新媒体检查指标》的基础上制定全市政府网站督查评估指标体系，对各县（区）、各部门政府网站及政务服务平台开展督查评估，政府采购中标价格为34.79万元。通过该项目的实施，有效提升我市政府网站为民服务能力，改善营商环境，提高了国、省对我市政府网站的考核分值。</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3．根据有关要求，攀枝花市政府网站和政务新媒体绩效督查评估项目委托代理公司通过政府采购招标程序（竞争性磋商）确定采购服务提供方。</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4．</w:t>
      </w:r>
      <w:r>
        <w:rPr>
          <w:rFonts w:eastAsia="仿宋"/>
          <w:snapToGrid w:val="0"/>
          <w:kern w:val="0"/>
          <w:sz w:val="32"/>
          <w:szCs w:val="32"/>
        </w:rPr>
        <w:t>开展</w:t>
      </w:r>
      <w:r>
        <w:rPr>
          <w:rFonts w:eastAsia="仿宋"/>
          <w:snapToGrid w:val="0"/>
          <w:kern w:val="0"/>
          <w:sz w:val="32"/>
          <w:szCs w:val="32"/>
          <w:lang w:val="zh-CN"/>
        </w:rPr>
        <w:t>43个政府网站154个政务新媒体监测服务、以及协助参与2021年仁和区基层政务公开标准目录编制，预算34.79万元。</w:t>
      </w:r>
    </w:p>
    <w:p>
      <w:pPr>
        <w:adjustRightInd w:val="0"/>
        <w:snapToGrid w:val="0"/>
        <w:spacing w:line="370"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（二）项目绩效目标。</w:t>
      </w:r>
    </w:p>
    <w:p>
      <w:pPr>
        <w:adjustRightInd w:val="0"/>
        <w:snapToGrid w:val="0"/>
        <w:spacing w:line="360"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摸清全市政府网站、互联网+政务服务工作开展基本情况，加快推进各地区、各部门政府网站、互联网+政务服务建设工作。在国务院办公厅《政府网站与政务新媒体检查指标》的基础上制定全市政府网站督查评估指标体系，对各县（区）、各部门政府网站及政务服务平台开展督查评估。</w:t>
      </w:r>
    </w:p>
    <w:p>
      <w:pPr>
        <w:adjustRightInd w:val="0"/>
        <w:snapToGrid w:val="0"/>
        <w:spacing w:line="360"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2．通过该项目的实施，有效提升我市政府网站为民服务能力，改善营商环境，提高了国、省对我市政府网站的考核分值。</w:t>
      </w:r>
    </w:p>
    <w:p>
      <w:pPr>
        <w:adjustRightInd w:val="0"/>
        <w:snapToGrid w:val="0"/>
        <w:spacing w:line="360"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3．申报内容与实际相符，申报目标合理可行。</w:t>
      </w:r>
    </w:p>
    <w:p>
      <w:pPr>
        <w:adjustRightInd w:val="0"/>
        <w:snapToGrid w:val="0"/>
        <w:spacing w:line="360"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（三）项目自评步骤及方法。</w:t>
      </w:r>
      <w:r>
        <w:rPr>
          <w:rFonts w:eastAsia="仿宋"/>
          <w:snapToGrid w:val="0"/>
          <w:kern w:val="0"/>
          <w:sz w:val="32"/>
          <w:szCs w:val="32"/>
          <w:lang w:val="zh-CN"/>
        </w:rPr>
        <w:t>按照项目申报、立项、招标采购、签订合同、组织实施、项目验收等步骤细化指标，对照指标及完成情况开展自评。</w:t>
      </w:r>
    </w:p>
    <w:p>
      <w:pPr>
        <w:adjustRightInd w:val="0"/>
        <w:snapToGrid w:val="0"/>
        <w:spacing w:line="360"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二、项目资金申报及使用情况</w:t>
      </w:r>
    </w:p>
    <w:p>
      <w:pPr>
        <w:adjustRightInd w:val="0"/>
        <w:snapToGrid w:val="0"/>
        <w:spacing w:line="360"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（一）项目资金申报及批复情况。</w:t>
      </w:r>
      <w:r>
        <w:rPr>
          <w:rFonts w:eastAsia="仿宋"/>
          <w:snapToGrid w:val="0"/>
          <w:kern w:val="0"/>
          <w:sz w:val="32"/>
          <w:szCs w:val="32"/>
          <w:lang w:val="zh-CN"/>
        </w:rPr>
        <w:t>2021年攀枝花市政府网站督查评估项目预算经费34.79万元已通过《攀枝花市财政局关于2021年市级部门预算的批复》（攀财绩〔2021〕5号）文件下达，且该项目已通过竞争性磋商完成采购，成交人：中国电信股份有限公司攀枝花分公司，成交金额为34.79万元。</w:t>
      </w:r>
    </w:p>
    <w:p>
      <w:pPr>
        <w:adjustRightInd w:val="0"/>
        <w:snapToGrid w:val="0"/>
        <w:spacing w:line="360"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（二）资金计划、到位及使用情况。</w:t>
      </w:r>
    </w:p>
    <w:p>
      <w:pPr>
        <w:adjustRightInd w:val="0"/>
        <w:snapToGrid w:val="0"/>
        <w:spacing w:line="370"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1．资金计划。</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205"/>
        <w:gridCol w:w="1363"/>
        <w:gridCol w:w="1862"/>
        <w:gridCol w:w="1650"/>
        <w:gridCol w:w="144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jc w:val="center"/>
        </w:trPr>
        <w:tc>
          <w:tcPr>
            <w:tcW w:w="2205" w:type="dxa"/>
            <w:tcBorders>
              <w:tl2br w:val="nil"/>
              <w:tr2bl w:val="nil"/>
            </w:tcBorders>
            <w:vAlign w:val="center"/>
          </w:tcPr>
          <w:p>
            <w:pPr>
              <w:pStyle w:val="5"/>
              <w:adjustRightInd w:val="0"/>
              <w:snapToGrid w:val="0"/>
              <w:spacing w:beforeLines="0"/>
              <w:jc w:val="center"/>
              <w:rPr>
                <w:rFonts w:ascii="黑体" w:hAnsi="黑体" w:eastAsia="黑体" w:cs="黑体"/>
                <w:sz w:val="18"/>
                <w:szCs w:val="18"/>
                <w:lang w:val="zh-CN"/>
              </w:rPr>
            </w:pPr>
            <w:r>
              <w:rPr>
                <w:rFonts w:hint="eastAsia" w:ascii="黑体" w:hAnsi="黑体" w:eastAsia="黑体" w:cs="黑体"/>
                <w:sz w:val="18"/>
                <w:szCs w:val="18"/>
                <w:lang w:val="zh-CN"/>
              </w:rPr>
              <w:t>年度预算数（万元）</w:t>
            </w:r>
          </w:p>
        </w:tc>
        <w:tc>
          <w:tcPr>
            <w:tcW w:w="1363" w:type="dxa"/>
            <w:tcBorders>
              <w:tl2br w:val="nil"/>
              <w:tr2bl w:val="nil"/>
            </w:tcBorders>
            <w:vAlign w:val="center"/>
          </w:tcPr>
          <w:p>
            <w:pPr>
              <w:pStyle w:val="5"/>
              <w:adjustRightInd w:val="0"/>
              <w:snapToGrid w:val="0"/>
              <w:spacing w:beforeLines="0"/>
              <w:jc w:val="center"/>
              <w:rPr>
                <w:rFonts w:ascii="黑体" w:hAnsi="黑体" w:eastAsia="黑体" w:cs="黑体"/>
                <w:sz w:val="18"/>
                <w:szCs w:val="18"/>
                <w:lang w:val="zh-CN"/>
              </w:rPr>
            </w:pPr>
            <w:r>
              <w:rPr>
                <w:rFonts w:hint="eastAsia" w:ascii="黑体" w:hAnsi="黑体" w:eastAsia="黑体" w:cs="黑体"/>
                <w:sz w:val="18"/>
                <w:szCs w:val="18"/>
                <w:lang w:val="zh-CN"/>
              </w:rPr>
              <w:t>年初预算</w:t>
            </w:r>
          </w:p>
        </w:tc>
        <w:tc>
          <w:tcPr>
            <w:tcW w:w="1862" w:type="dxa"/>
            <w:tcBorders>
              <w:tl2br w:val="nil"/>
              <w:tr2bl w:val="nil"/>
            </w:tcBorders>
            <w:vAlign w:val="center"/>
          </w:tcPr>
          <w:p>
            <w:pPr>
              <w:pStyle w:val="5"/>
              <w:adjustRightInd w:val="0"/>
              <w:snapToGrid w:val="0"/>
              <w:spacing w:beforeLines="0"/>
              <w:jc w:val="center"/>
              <w:rPr>
                <w:rFonts w:ascii="黑体" w:hAnsi="黑体" w:eastAsia="黑体" w:cs="黑体"/>
                <w:sz w:val="18"/>
                <w:szCs w:val="18"/>
                <w:lang w:val="zh-CN"/>
              </w:rPr>
            </w:pPr>
            <w:r>
              <w:rPr>
                <w:rFonts w:hint="eastAsia" w:ascii="黑体" w:hAnsi="黑体" w:eastAsia="黑体" w:cs="黑体"/>
                <w:sz w:val="18"/>
                <w:szCs w:val="18"/>
                <w:lang w:val="zh-CN"/>
              </w:rPr>
              <w:t>调整后预算数</w:t>
            </w:r>
          </w:p>
        </w:tc>
        <w:tc>
          <w:tcPr>
            <w:tcW w:w="1650" w:type="dxa"/>
            <w:tcBorders>
              <w:tl2br w:val="nil"/>
              <w:tr2bl w:val="nil"/>
            </w:tcBorders>
            <w:vAlign w:val="center"/>
          </w:tcPr>
          <w:p>
            <w:pPr>
              <w:pStyle w:val="5"/>
              <w:adjustRightInd w:val="0"/>
              <w:snapToGrid w:val="0"/>
              <w:spacing w:beforeLines="0"/>
              <w:jc w:val="center"/>
              <w:rPr>
                <w:rFonts w:ascii="黑体" w:hAnsi="黑体" w:eastAsia="黑体" w:cs="黑体"/>
                <w:sz w:val="18"/>
                <w:szCs w:val="18"/>
                <w:lang w:val="zh-CN"/>
              </w:rPr>
            </w:pPr>
            <w:r>
              <w:rPr>
                <w:rFonts w:hint="eastAsia" w:ascii="黑体" w:hAnsi="黑体" w:eastAsia="黑体" w:cs="黑体"/>
                <w:sz w:val="18"/>
                <w:szCs w:val="18"/>
                <w:lang w:val="zh-CN"/>
              </w:rPr>
              <w:t>执行预算数</w:t>
            </w:r>
          </w:p>
        </w:tc>
        <w:tc>
          <w:tcPr>
            <w:tcW w:w="1442" w:type="dxa"/>
            <w:tcBorders>
              <w:tl2br w:val="nil"/>
              <w:tr2bl w:val="nil"/>
            </w:tcBorders>
            <w:vAlign w:val="center"/>
          </w:tcPr>
          <w:p>
            <w:pPr>
              <w:pStyle w:val="5"/>
              <w:adjustRightInd w:val="0"/>
              <w:snapToGrid w:val="0"/>
              <w:spacing w:beforeLines="0"/>
              <w:jc w:val="center"/>
              <w:rPr>
                <w:rFonts w:ascii="黑体" w:hAnsi="黑体" w:eastAsia="黑体" w:cs="黑体"/>
                <w:sz w:val="18"/>
                <w:szCs w:val="18"/>
                <w:lang w:val="zh-CN"/>
              </w:rPr>
            </w:pPr>
            <w:r>
              <w:rPr>
                <w:rFonts w:hint="eastAsia" w:ascii="黑体" w:hAnsi="黑体" w:eastAsia="黑体" w:cs="黑体"/>
                <w:sz w:val="18"/>
                <w:szCs w:val="18"/>
                <w:lang w:val="zh-CN"/>
              </w:rPr>
              <w:t>预算执行率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8" w:hRule="atLeast"/>
          <w:jc w:val="center"/>
        </w:trPr>
        <w:tc>
          <w:tcPr>
            <w:tcW w:w="2205"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总额</w:t>
            </w:r>
          </w:p>
        </w:tc>
        <w:tc>
          <w:tcPr>
            <w:tcW w:w="1363"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c>
          <w:tcPr>
            <w:tcW w:w="1862"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34.79</w:t>
            </w:r>
          </w:p>
        </w:tc>
        <w:tc>
          <w:tcPr>
            <w:tcW w:w="1650"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34.79</w:t>
            </w:r>
          </w:p>
        </w:tc>
        <w:tc>
          <w:tcPr>
            <w:tcW w:w="1442"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100.00%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8" w:hRule="atLeast"/>
          <w:jc w:val="center"/>
        </w:trPr>
        <w:tc>
          <w:tcPr>
            <w:tcW w:w="2205"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其中：财政资金</w:t>
            </w:r>
          </w:p>
        </w:tc>
        <w:tc>
          <w:tcPr>
            <w:tcW w:w="1363"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c>
          <w:tcPr>
            <w:tcW w:w="1862"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34.79</w:t>
            </w:r>
          </w:p>
        </w:tc>
        <w:tc>
          <w:tcPr>
            <w:tcW w:w="1650"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34.79</w:t>
            </w:r>
          </w:p>
        </w:tc>
        <w:tc>
          <w:tcPr>
            <w:tcW w:w="1442"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100.00%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4" w:hRule="atLeast"/>
          <w:jc w:val="center"/>
        </w:trPr>
        <w:tc>
          <w:tcPr>
            <w:tcW w:w="2205"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财政专户管理资金</w:t>
            </w:r>
          </w:p>
        </w:tc>
        <w:tc>
          <w:tcPr>
            <w:tcW w:w="1363"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c>
          <w:tcPr>
            <w:tcW w:w="1862"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c>
          <w:tcPr>
            <w:tcW w:w="1650"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c>
          <w:tcPr>
            <w:tcW w:w="1442"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1" w:hRule="atLeast"/>
          <w:jc w:val="center"/>
        </w:trPr>
        <w:tc>
          <w:tcPr>
            <w:tcW w:w="2205"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单位资金</w:t>
            </w:r>
          </w:p>
        </w:tc>
        <w:tc>
          <w:tcPr>
            <w:tcW w:w="1363"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c>
          <w:tcPr>
            <w:tcW w:w="1862"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c>
          <w:tcPr>
            <w:tcW w:w="1650"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c>
          <w:tcPr>
            <w:tcW w:w="1442"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9" w:hRule="atLeast"/>
          <w:jc w:val="center"/>
        </w:trPr>
        <w:tc>
          <w:tcPr>
            <w:tcW w:w="2205"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其他资金</w:t>
            </w:r>
          </w:p>
        </w:tc>
        <w:tc>
          <w:tcPr>
            <w:tcW w:w="1363"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c>
          <w:tcPr>
            <w:tcW w:w="1862"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c>
          <w:tcPr>
            <w:tcW w:w="1650"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c>
          <w:tcPr>
            <w:tcW w:w="1442" w:type="dxa"/>
            <w:tcBorders>
              <w:tl2br w:val="nil"/>
              <w:tr2bl w:val="nil"/>
            </w:tcBorders>
            <w:vAlign w:val="center"/>
          </w:tcPr>
          <w:p>
            <w:pPr>
              <w:pStyle w:val="5"/>
              <w:adjustRightInd w:val="0"/>
              <w:snapToGrid w:val="0"/>
              <w:spacing w:beforeLines="0"/>
              <w:jc w:val="center"/>
              <w:rPr>
                <w:rFonts w:ascii="Times New Roman" w:eastAsia="仿宋"/>
                <w:sz w:val="18"/>
                <w:szCs w:val="18"/>
                <w:lang w:val="zh-CN"/>
              </w:rPr>
            </w:pPr>
            <w:r>
              <w:rPr>
                <w:rFonts w:ascii="Times New Roman" w:eastAsia="仿宋"/>
                <w:sz w:val="18"/>
                <w:szCs w:val="18"/>
                <w:lang w:val="zh-CN"/>
              </w:rPr>
              <w:t>0.00%</w:t>
            </w:r>
          </w:p>
        </w:tc>
      </w:tr>
    </w:tbl>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rPr>
        <w:t>　　2．</w:t>
      </w:r>
      <w:r>
        <w:rPr>
          <w:rFonts w:eastAsia="仿宋"/>
          <w:snapToGrid w:val="0"/>
          <w:kern w:val="0"/>
          <w:sz w:val="32"/>
          <w:szCs w:val="32"/>
          <w:lang w:val="zh-CN"/>
        </w:rPr>
        <w:t>资金到位。</w:t>
      </w:r>
    </w:p>
    <w:p>
      <w:pPr>
        <w:adjustRightInd w:val="0"/>
        <w:snapToGrid w:val="0"/>
        <w:spacing w:line="353" w:lineRule="auto"/>
        <w:rPr>
          <w:rFonts w:eastAsia="仿宋"/>
          <w:snapToGrid w:val="0"/>
          <w:kern w:val="0"/>
          <w:sz w:val="32"/>
          <w:szCs w:val="32"/>
        </w:rPr>
      </w:pPr>
      <w:r>
        <w:rPr>
          <w:rFonts w:eastAsia="仿宋"/>
          <w:snapToGrid w:val="0"/>
          <w:kern w:val="0"/>
          <w:sz w:val="32"/>
          <w:szCs w:val="32"/>
        </w:rPr>
        <w:t>　　到位资金为34.79万元，资金到位率为100%。</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rPr>
        <w:t>　　3．</w:t>
      </w:r>
      <w:r>
        <w:rPr>
          <w:rFonts w:eastAsia="仿宋"/>
          <w:snapToGrid w:val="0"/>
          <w:kern w:val="0"/>
          <w:sz w:val="32"/>
          <w:szCs w:val="32"/>
          <w:lang w:val="zh-CN"/>
        </w:rPr>
        <w:t>资金使用。</w:t>
      </w:r>
    </w:p>
    <w:p>
      <w:pPr>
        <w:adjustRightInd w:val="0"/>
        <w:snapToGrid w:val="0"/>
        <w:spacing w:line="353" w:lineRule="auto"/>
        <w:rPr>
          <w:rFonts w:eastAsia="仿宋"/>
          <w:snapToGrid w:val="0"/>
          <w:kern w:val="0"/>
          <w:sz w:val="32"/>
          <w:szCs w:val="32"/>
          <w:lang w:val="zh-CN"/>
        </w:rPr>
      </w:pPr>
      <w:r>
        <w:rPr>
          <w:rFonts w:eastAsia="仿宋"/>
          <w:snapToGrid w:val="0"/>
          <w:kern w:val="0"/>
          <w:sz w:val="32"/>
          <w:szCs w:val="32"/>
          <w:lang w:val="zh-CN"/>
        </w:rPr>
        <w:t>　　该项目中标金额为34.79万元，已按合同规定拨付给中标服务方。</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（三）项目财务管理情况</w:t>
      </w:r>
      <w:r>
        <w:rPr>
          <w:rFonts w:eastAsia="仿宋"/>
          <w:snapToGrid w:val="0"/>
          <w:kern w:val="0"/>
          <w:sz w:val="32"/>
          <w:szCs w:val="32"/>
          <w:lang w:val="zh-CN"/>
        </w:rPr>
        <w:t>。在项目实施过程中，项目实施单位能够严格执行财务管理制度，按照签订的合同要求，及时划拨资金，账务处理及时，会计核算规范。</w:t>
      </w:r>
    </w:p>
    <w:p>
      <w:pPr>
        <w:adjustRightInd w:val="0"/>
        <w:snapToGrid w:val="0"/>
        <w:spacing w:line="353"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三、项目实施及管理情况</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项目由中标方中国电信股份有限公司攀枝花分公司负责实施，市政府办公室负责组织、协调、监督。在项目实施过程中，项目主管部门能够严格遵守《中华人民共和国招标投标法》、《中华人民共和国政府采购法》等法律法规，确保项目顺利推进。</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在该项目招标前，邀请政府采购专家库中专家开展了项目可行性论证，并报请市政府机关党组会议研究决定。在项目招标过程中，请市政府办公室机关党委派监督员进行全程监督。在项目实施过程中，制定了外包服务考核细则，项目完成后，进行了项目验收，形成了验收报告。</w:t>
      </w:r>
    </w:p>
    <w:p>
      <w:pPr>
        <w:adjustRightInd w:val="0"/>
        <w:snapToGrid w:val="0"/>
        <w:spacing w:line="348" w:lineRule="auto"/>
        <w:rPr>
          <w:rFonts w:eastAsia="仿宋"/>
          <w:snapToGrid w:val="0"/>
          <w:kern w:val="0"/>
          <w:sz w:val="32"/>
          <w:szCs w:val="32"/>
          <w:lang w:val="zh-CN"/>
        </w:rPr>
      </w:pPr>
      <w:r>
        <w:rPr>
          <w:rFonts w:eastAsia="仿宋"/>
          <w:snapToGrid w:val="0"/>
          <w:kern w:val="0"/>
          <w:sz w:val="32"/>
          <w:szCs w:val="32"/>
          <w:lang w:val="zh-CN"/>
        </w:rPr>
        <w:t>　　</w:t>
      </w:r>
      <w:r>
        <w:rPr>
          <w:rFonts w:hint="eastAsia" w:ascii="楷体" w:hAnsi="楷体" w:eastAsia="楷体" w:cs="楷体"/>
          <w:snapToGrid w:val="0"/>
          <w:kern w:val="0"/>
          <w:sz w:val="32"/>
          <w:szCs w:val="32"/>
          <w:lang w:val="zh-CN"/>
        </w:rPr>
        <w:t>（一）项目组织架构及实施流程。</w:t>
      </w:r>
      <w:r>
        <w:rPr>
          <w:rFonts w:eastAsia="仿宋"/>
          <w:snapToGrid w:val="0"/>
          <w:kern w:val="0"/>
          <w:sz w:val="32"/>
          <w:szCs w:val="32"/>
          <w:lang w:val="zh-CN"/>
        </w:rPr>
        <w:t>该项目由市政府办公室负责，市大数据中心组织实施，中标单位为中国电信股份有限公司攀枝花分公司，均按合同约定正常推进，如期完成。</w:t>
      </w:r>
    </w:p>
    <w:p>
      <w:pPr>
        <w:adjustRightInd w:val="0"/>
        <w:snapToGrid w:val="0"/>
        <w:spacing w:line="348" w:lineRule="auto"/>
        <w:rPr>
          <w:rFonts w:eastAsia="仿宋"/>
          <w:snapToGrid w:val="0"/>
          <w:kern w:val="0"/>
          <w:sz w:val="32"/>
          <w:szCs w:val="32"/>
          <w:lang w:val="zh-CN"/>
        </w:rPr>
      </w:pPr>
      <w:r>
        <w:rPr>
          <w:rFonts w:hint="eastAsia" w:ascii="楷体" w:hAnsi="楷体" w:eastAsia="楷体" w:cs="楷体"/>
          <w:snapToGrid w:val="0"/>
          <w:kern w:val="0"/>
          <w:sz w:val="32"/>
          <w:szCs w:val="32"/>
          <w:lang w:val="zh-CN"/>
        </w:rPr>
        <w:t>　　（二）项目管理情况。</w:t>
      </w:r>
      <w:r>
        <w:rPr>
          <w:rFonts w:eastAsia="仿宋"/>
          <w:snapToGrid w:val="0"/>
          <w:kern w:val="0"/>
          <w:sz w:val="32"/>
          <w:szCs w:val="32"/>
          <w:lang w:val="zh-CN"/>
        </w:rPr>
        <w:t>各项目实施单位严格执行招投标、政府采购、项目公示制等有关法律法规和项目管理制度。</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　（三）项目监管情况</w:t>
      </w:r>
      <w:r>
        <w:rPr>
          <w:rFonts w:eastAsia="仿宋"/>
          <w:snapToGrid w:val="0"/>
          <w:kern w:val="0"/>
          <w:sz w:val="32"/>
          <w:szCs w:val="32"/>
          <w:lang w:val="zh-CN"/>
        </w:rPr>
        <w:t>。为确保管好项目、用好资金，项目主管部门市政府办公室安排行政科、财务科、机关党委、机关纪委全程参与，按照有关规定和程序组织实施各项招标及采购后，报请市政府机关党组审议，并严格按照合同约定组织实施和验收。</w:t>
      </w:r>
    </w:p>
    <w:p>
      <w:pPr>
        <w:adjustRightInd w:val="0"/>
        <w:snapToGrid w:val="0"/>
        <w:spacing w:line="348" w:lineRule="auto"/>
        <w:rPr>
          <w:rFonts w:ascii="黑体" w:hAnsi="黑体" w:eastAsia="黑体" w:cs="黑体"/>
          <w:snapToGrid w:val="0"/>
          <w:kern w:val="0"/>
          <w:sz w:val="32"/>
          <w:szCs w:val="32"/>
          <w:lang w:val="zh-CN"/>
        </w:rPr>
      </w:pPr>
      <w:r>
        <w:rPr>
          <w:rFonts w:hint="eastAsia" w:ascii="黑体" w:hAnsi="黑体" w:eastAsia="黑体" w:cs="黑体"/>
          <w:snapToGrid w:val="0"/>
          <w:kern w:val="0"/>
          <w:sz w:val="32"/>
          <w:szCs w:val="32"/>
        </w:rPr>
        <w:t>　　四、项目绩效情况</w:t>
      </w:r>
      <w:r>
        <w:rPr>
          <w:rFonts w:hint="eastAsia" w:ascii="黑体" w:hAnsi="黑体" w:eastAsia="黑体" w:cs="黑体"/>
          <w:snapToGrid w:val="0"/>
          <w:kern w:val="0"/>
          <w:sz w:val="32"/>
          <w:szCs w:val="32"/>
          <w:lang w:val="zh-CN"/>
        </w:rPr>
        <w:tab/>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（一）项目完成情况。</w:t>
      </w:r>
      <w:r>
        <w:rPr>
          <w:rFonts w:eastAsia="仿宋"/>
          <w:snapToGrid w:val="0"/>
          <w:kern w:val="0"/>
          <w:sz w:val="32"/>
          <w:szCs w:val="32"/>
        </w:rPr>
        <w:t>按照国办《政府网站与政务新媒体检查指标》对各县（区）、各部门政府网站及政务新媒体平台开展了督查评估，形成了督查报告。按照督查评估指标对督查评估对象开展年度评估，形成了评估报告。</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（二）项目效益情况。</w:t>
      </w:r>
      <w:r>
        <w:rPr>
          <w:rFonts w:eastAsia="仿宋"/>
          <w:snapToGrid w:val="0"/>
          <w:kern w:val="0"/>
          <w:sz w:val="32"/>
          <w:szCs w:val="32"/>
        </w:rPr>
        <w:t>项目实施完成后，经验收，符合相关要求，通过加强政府网站运维，积极回应社会关切，提升为民服务的精准性，切实增强政府与公众的互动互信，进一步提升了我市网络理政水平。综合广大网友留言反映，服务对象评价达基本满意及以上。</w:t>
      </w:r>
    </w:p>
    <w:p>
      <w:pPr>
        <w:adjustRightInd w:val="0"/>
        <w:snapToGrid w:val="0"/>
        <w:spacing w:line="348"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五、评价结论及建议</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（一）评价结论。</w:t>
      </w:r>
      <w:r>
        <w:rPr>
          <w:rFonts w:eastAsia="仿宋"/>
          <w:snapToGrid w:val="0"/>
          <w:kern w:val="0"/>
          <w:sz w:val="32"/>
          <w:szCs w:val="32"/>
          <w:lang w:val="zh-CN"/>
        </w:rPr>
        <w:t>该项目立项依据充分，资金申报流程规范，主管部门和各项目实施单位严格执行招投标、政府采购、项目公示制等相关法律法规和项目管理制度，管好项目、用好资金，并严格按照合同约定组织实施，加快互联网政府信息公开平台建设，推进政府信息公开标准化规范化，推动政府信息公开工作取得新进展。</w:t>
      </w:r>
    </w:p>
    <w:p>
      <w:pPr>
        <w:adjustRightInd w:val="0"/>
        <w:snapToGrid w:val="0"/>
        <w:spacing w:line="353"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（二）存在的问题。</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1．个别部门和县区未严格按照《政府网站与政务新媒体检查考核指标》要求，未及时更新栏目或出现严重错别字。</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2．由于涉及部门多，日常运维工作量较大，技术力量不够的原因，部分运维任务未及时准确完成。</w:t>
      </w:r>
    </w:p>
    <w:p>
      <w:pPr>
        <w:adjustRightInd w:val="0"/>
        <w:snapToGrid w:val="0"/>
        <w:spacing w:line="353" w:lineRule="auto"/>
        <w:rPr>
          <w:rFonts w:eastAsia="仿宋"/>
          <w:snapToGrid w:val="0"/>
          <w:kern w:val="0"/>
          <w:sz w:val="32"/>
          <w:szCs w:val="32"/>
          <w:lang w:val="zh-CN"/>
        </w:rPr>
      </w:pPr>
      <w:r>
        <w:rPr>
          <w:rFonts w:hint="eastAsia" w:ascii="楷体" w:hAnsi="楷体" w:eastAsia="楷体" w:cs="楷体"/>
          <w:snapToGrid w:val="0"/>
          <w:kern w:val="0"/>
          <w:sz w:val="32"/>
          <w:szCs w:val="32"/>
          <w:lang w:val="zh-CN"/>
        </w:rPr>
        <w:t>　　（三）相关建议。</w:t>
      </w:r>
      <w:r>
        <w:rPr>
          <w:rFonts w:eastAsia="仿宋"/>
          <w:snapToGrid w:val="0"/>
          <w:spacing w:val="-4"/>
          <w:kern w:val="0"/>
          <w:sz w:val="32"/>
          <w:szCs w:val="32"/>
          <w:lang w:val="zh-CN"/>
        </w:rPr>
        <w:t>坚持用户思维，注重客户体验，主动汲取公众的意见和建议，抓好信息公开栏目的不断优化，提供更加便捷的信息获取途径，着力提升本地化、个性化的服务。</w:t>
      </w:r>
    </w:p>
    <w:p>
      <w:pPr>
        <w:adjustRightInd w:val="0"/>
        <w:snapToGrid w:val="0"/>
        <w:spacing w:line="353" w:lineRule="auto"/>
        <w:rPr>
          <w:rFonts w:eastAsia="仿宋"/>
          <w:snapToGrid w:val="0"/>
          <w:kern w:val="0"/>
          <w:sz w:val="32"/>
          <w:szCs w:val="32"/>
          <w:lang w:val="zh-CN"/>
        </w:rPr>
      </w:pPr>
    </w:p>
    <w:p>
      <w:pPr>
        <w:adjustRightInd w:val="0"/>
        <w:snapToGrid w:val="0"/>
        <w:spacing w:line="300" w:lineRule="auto"/>
        <w:rPr>
          <w:rFonts w:eastAsia="仿宋"/>
          <w:snapToGrid w:val="0"/>
          <w:kern w:val="0"/>
          <w:sz w:val="32"/>
          <w:szCs w:val="32"/>
          <w:lang w:val="zh-CN"/>
        </w:rPr>
      </w:pPr>
    </w:p>
    <w:p>
      <w:pPr>
        <w:adjustRightInd w:val="0"/>
        <w:snapToGrid w:val="0"/>
        <w:spacing w:line="300" w:lineRule="auto"/>
        <w:rPr>
          <w:rFonts w:eastAsia="仿宋"/>
          <w:snapToGrid w:val="0"/>
          <w:kern w:val="0"/>
          <w:sz w:val="32"/>
          <w:szCs w:val="32"/>
          <w:lang w:val="zh-CN"/>
        </w:rPr>
      </w:pPr>
    </w:p>
    <w:p>
      <w:pPr>
        <w:adjustRightInd w:val="0"/>
        <w:snapToGrid w:val="0"/>
        <w:spacing w:line="300" w:lineRule="auto"/>
        <w:rPr>
          <w:rFonts w:eastAsia="仿宋"/>
          <w:snapToGrid w:val="0"/>
          <w:kern w:val="0"/>
          <w:sz w:val="32"/>
          <w:szCs w:val="32"/>
          <w:lang w:val="zh-CN"/>
        </w:rPr>
      </w:pPr>
    </w:p>
    <w:p>
      <w:pPr>
        <w:adjustRightInd w:val="0"/>
        <w:snapToGrid w:val="0"/>
        <w:spacing w:line="300" w:lineRule="auto"/>
        <w:rPr>
          <w:rFonts w:eastAsia="仿宋"/>
          <w:snapToGrid w:val="0"/>
          <w:kern w:val="0"/>
          <w:sz w:val="32"/>
          <w:szCs w:val="32"/>
          <w:lang w:val="zh-CN"/>
        </w:rPr>
      </w:pPr>
    </w:p>
    <w:p>
      <w:pPr>
        <w:adjustRightInd w:val="0"/>
        <w:snapToGrid w:val="0"/>
        <w:spacing w:line="300" w:lineRule="auto"/>
        <w:rPr>
          <w:rFonts w:eastAsia="仿宋"/>
          <w:snapToGrid w:val="0"/>
          <w:kern w:val="0"/>
          <w:sz w:val="32"/>
          <w:szCs w:val="32"/>
          <w:lang w:val="zh-CN"/>
        </w:rPr>
      </w:pPr>
    </w:p>
    <w:p>
      <w:pPr>
        <w:adjustRightInd w:val="0"/>
        <w:snapToGrid w:val="0"/>
        <w:spacing w:line="300" w:lineRule="auto"/>
        <w:rPr>
          <w:rFonts w:eastAsia="仿宋"/>
          <w:snapToGrid w:val="0"/>
          <w:kern w:val="0"/>
          <w:sz w:val="32"/>
          <w:szCs w:val="32"/>
          <w:lang w:val="zh-CN"/>
        </w:rPr>
      </w:pPr>
    </w:p>
    <w:p>
      <w:pPr>
        <w:adjustRightInd w:val="0"/>
        <w:snapToGrid w:val="0"/>
        <w:spacing w:line="300" w:lineRule="auto"/>
        <w:rPr>
          <w:rFonts w:eastAsia="仿宋"/>
          <w:snapToGrid w:val="0"/>
          <w:kern w:val="0"/>
          <w:sz w:val="32"/>
          <w:szCs w:val="32"/>
          <w:lang w:val="zh-CN"/>
        </w:rPr>
      </w:pPr>
    </w:p>
    <w:p>
      <w:pPr>
        <w:adjustRightInd w:val="0"/>
        <w:snapToGrid w:val="0"/>
        <w:spacing w:line="300" w:lineRule="auto"/>
        <w:rPr>
          <w:rFonts w:eastAsia="仿宋"/>
          <w:snapToGrid w:val="0"/>
          <w:kern w:val="0"/>
          <w:sz w:val="32"/>
          <w:szCs w:val="32"/>
          <w:lang w:val="zh-CN"/>
        </w:rPr>
      </w:pPr>
    </w:p>
    <w:p>
      <w:pPr>
        <w:adjustRightInd w:val="0"/>
        <w:snapToGrid w:val="0"/>
        <w:spacing w:line="300" w:lineRule="auto"/>
        <w:rPr>
          <w:rFonts w:eastAsia="仿宋"/>
          <w:snapToGrid w:val="0"/>
          <w:kern w:val="0"/>
          <w:sz w:val="32"/>
          <w:szCs w:val="32"/>
          <w:lang w:val="zh-CN"/>
        </w:rPr>
      </w:pPr>
    </w:p>
    <w:p>
      <w:pPr>
        <w:adjustRightInd w:val="0"/>
        <w:snapToGrid w:val="0"/>
        <w:spacing w:line="300" w:lineRule="auto"/>
        <w:rPr>
          <w:rFonts w:eastAsia="仿宋"/>
          <w:snapToGrid w:val="0"/>
          <w:kern w:val="0"/>
          <w:sz w:val="32"/>
          <w:szCs w:val="32"/>
          <w:lang w:val="zh-CN"/>
        </w:rPr>
      </w:pPr>
    </w:p>
    <w:p>
      <w:pPr>
        <w:adjustRightInd w:val="0"/>
        <w:snapToGrid w:val="0"/>
        <w:spacing w:line="300" w:lineRule="auto"/>
        <w:rPr>
          <w:rFonts w:eastAsia="仿宋"/>
          <w:snapToGrid w:val="0"/>
          <w:kern w:val="0"/>
          <w:sz w:val="32"/>
          <w:szCs w:val="32"/>
          <w:lang w:val="zh-CN"/>
        </w:rPr>
      </w:pPr>
    </w:p>
    <w:p>
      <w:pPr>
        <w:adjustRightInd w:val="0"/>
        <w:snapToGrid w:val="0"/>
        <w:spacing w:line="300" w:lineRule="auto"/>
        <w:jc w:val="center"/>
        <w:rPr>
          <w:rFonts w:eastAsia="方正小标宋_GBK"/>
          <w:snapToGrid w:val="0"/>
          <w:w w:val="90"/>
          <w:kern w:val="0"/>
          <w:sz w:val="44"/>
          <w:szCs w:val="44"/>
        </w:rPr>
      </w:pPr>
      <w:r>
        <w:rPr>
          <w:rFonts w:eastAsia="方正小标宋_GBK"/>
          <w:snapToGrid w:val="0"/>
          <w:w w:val="90"/>
          <w:kern w:val="0"/>
          <w:sz w:val="44"/>
          <w:szCs w:val="44"/>
        </w:rPr>
        <w:t>2022年市级专项资金预算项目绩效自评报告</w:t>
      </w:r>
    </w:p>
    <w:p>
      <w:pPr>
        <w:adjustRightInd w:val="0"/>
        <w:snapToGrid w:val="0"/>
        <w:spacing w:line="300" w:lineRule="auto"/>
        <w:jc w:val="center"/>
        <w:rPr>
          <w:rFonts w:eastAsia="仿宋"/>
          <w:snapToGrid w:val="0"/>
          <w:w w:val="90"/>
          <w:kern w:val="0"/>
          <w:sz w:val="32"/>
          <w:szCs w:val="32"/>
        </w:rPr>
      </w:pPr>
      <w:r>
        <w:rPr>
          <w:rFonts w:eastAsia="仿宋"/>
          <w:snapToGrid w:val="0"/>
          <w:w w:val="90"/>
          <w:kern w:val="0"/>
          <w:sz w:val="32"/>
          <w:szCs w:val="32"/>
        </w:rPr>
        <w:t>（2021年攀枝花市政府网站集约化平台运维和安全防护项目）</w:t>
      </w:r>
    </w:p>
    <w:p>
      <w:pPr>
        <w:adjustRightInd w:val="0"/>
        <w:snapToGrid w:val="0"/>
        <w:spacing w:line="300" w:lineRule="auto"/>
        <w:rPr>
          <w:rFonts w:ascii="黑体" w:hAnsi="黑体" w:eastAsia="黑体" w:cs="黑体"/>
          <w:snapToGrid w:val="0"/>
          <w:kern w:val="0"/>
          <w:sz w:val="32"/>
          <w:szCs w:val="32"/>
        </w:rPr>
      </w:pPr>
    </w:p>
    <w:p>
      <w:pPr>
        <w:adjustRightInd w:val="0"/>
        <w:snapToGrid w:val="0"/>
        <w:spacing w:line="344" w:lineRule="auto"/>
        <w:rPr>
          <w:rFonts w:ascii="黑体" w:hAnsi="黑体" w:eastAsia="黑体" w:cs="黑体"/>
          <w:snapToGrid w:val="0"/>
          <w:kern w:val="0"/>
          <w:sz w:val="32"/>
          <w:szCs w:val="32"/>
          <w:lang w:val="zh-CN"/>
        </w:rPr>
      </w:pPr>
      <w:r>
        <w:rPr>
          <w:rFonts w:hint="eastAsia" w:ascii="黑体" w:hAnsi="黑体" w:eastAsia="黑体" w:cs="黑体"/>
          <w:snapToGrid w:val="0"/>
          <w:kern w:val="0"/>
          <w:sz w:val="32"/>
          <w:szCs w:val="32"/>
        </w:rPr>
        <w:t>　　一、</w:t>
      </w:r>
      <w:r>
        <w:rPr>
          <w:rFonts w:hint="eastAsia" w:ascii="黑体" w:hAnsi="黑体" w:eastAsia="黑体" w:cs="黑体"/>
          <w:snapToGrid w:val="0"/>
          <w:kern w:val="0"/>
          <w:sz w:val="32"/>
          <w:szCs w:val="32"/>
          <w:lang w:val="zh-CN"/>
        </w:rPr>
        <w:t>项目概况</w:t>
      </w:r>
    </w:p>
    <w:p>
      <w:pPr>
        <w:adjustRightInd w:val="0"/>
        <w:snapToGrid w:val="0"/>
        <w:spacing w:line="344"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（一）项目基本情况。</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1．攀枝花市政府网站集约化平台运维和安全防护项目由市政府办公室负责，市大数据中心组织实施。</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2．围绕国家、省、市对于政府网站集约化平台建设要求，从优化组织结构提升网站保障机制为核心基础；从资源的有效整合和结构优化出发提升政务服务的实用性、便捷性、易用性，提升用户的总体满意度；从全面解读国办47号文关于网站创新的内容出发，落地网站创新内容，开展网站的创新工作。按照“统一规划、协同建设、分级管理”的网站群建设模式，实现网站内容发布的分级管理和资源共享，满足国家对于集约化的建设要求的同时为网站长期科学的有效发展提供了技术保障。对纳入国务院办公厅监测的43个政府网站（含1个市政府门户网站、37个市级部门网站、5个区县政府网站）进行集约化建设，实现集约化管理。</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3．根据有关要求，攀枝花市政府网站集约化平台运维和安全防护项目委托代理公司通过政府采购招标程序（竞争性磋商）确定采购服务提供方。</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4．围绕国家、省、市对于集约化平台建设要求，对政府网站实施日常运维和安全监测服务，预算为50.55万元。</w:t>
      </w:r>
    </w:p>
    <w:p>
      <w:pPr>
        <w:adjustRightInd w:val="0"/>
        <w:snapToGrid w:val="0"/>
        <w:spacing w:line="353"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（二）项目绩效目标。</w:t>
      </w:r>
    </w:p>
    <w:p>
      <w:pPr>
        <w:adjustRightInd w:val="0"/>
        <w:snapToGrid w:val="0"/>
        <w:spacing w:line="360"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1．2017年，四川省人民政府办公厅下发了《四川省人民政府办公厅关于转发</w:t>
      </w:r>
      <w:r>
        <w:rPr>
          <w:rFonts w:hint="eastAsia" w:eastAsia="仿宋"/>
          <w:snapToGrid w:val="0"/>
          <w:kern w:val="0"/>
          <w:sz w:val="32"/>
          <w:szCs w:val="32"/>
          <w:lang w:val="zh-CN"/>
        </w:rPr>
        <w:t>〈</w:t>
      </w:r>
      <w:r>
        <w:rPr>
          <w:rFonts w:eastAsia="仿宋"/>
          <w:snapToGrid w:val="0"/>
          <w:kern w:val="0"/>
          <w:sz w:val="32"/>
          <w:szCs w:val="32"/>
          <w:lang w:val="zh-CN"/>
        </w:rPr>
        <w:t>国务院办公厅关于印发政府网站发展指引的通知</w:t>
      </w:r>
      <w:r>
        <w:rPr>
          <w:rFonts w:hint="eastAsia" w:eastAsia="仿宋"/>
          <w:snapToGrid w:val="0"/>
          <w:kern w:val="0"/>
          <w:sz w:val="32"/>
          <w:szCs w:val="32"/>
          <w:lang w:val="zh-CN"/>
        </w:rPr>
        <w:t>〉</w:t>
      </w:r>
      <w:r>
        <w:rPr>
          <w:rFonts w:eastAsia="仿宋"/>
          <w:snapToGrid w:val="0"/>
          <w:kern w:val="0"/>
          <w:sz w:val="32"/>
          <w:szCs w:val="32"/>
          <w:lang w:val="zh-CN"/>
        </w:rPr>
        <w:t>的通知》，要求各地市（州）加快推进政府网站集约化建设，全面深化政务公开，推进</w:t>
      </w:r>
      <w:r>
        <w:rPr>
          <w:rFonts w:hint="eastAsia" w:ascii="仿宋" w:hAnsi="仿宋" w:eastAsia="仿宋" w:cs="仿宋"/>
          <w:snapToGrid w:val="0"/>
          <w:kern w:val="0"/>
          <w:sz w:val="32"/>
          <w:szCs w:val="32"/>
          <w:lang w:val="zh-CN"/>
        </w:rPr>
        <w:t>“</w:t>
      </w:r>
      <w:r>
        <w:rPr>
          <w:rFonts w:eastAsia="仿宋"/>
          <w:snapToGrid w:val="0"/>
          <w:kern w:val="0"/>
          <w:sz w:val="32"/>
          <w:szCs w:val="32"/>
          <w:lang w:val="zh-CN"/>
        </w:rPr>
        <w:t>互联网+政务服务</w:t>
      </w:r>
      <w:r>
        <w:rPr>
          <w:rFonts w:hint="eastAsia" w:ascii="仿宋" w:hAnsi="仿宋" w:eastAsia="仿宋" w:cs="仿宋"/>
          <w:snapToGrid w:val="0"/>
          <w:kern w:val="0"/>
          <w:sz w:val="32"/>
          <w:szCs w:val="32"/>
          <w:lang w:val="zh-CN"/>
        </w:rPr>
        <w:t>”</w:t>
      </w:r>
      <w:r>
        <w:rPr>
          <w:rFonts w:eastAsia="仿宋"/>
          <w:snapToGrid w:val="0"/>
          <w:kern w:val="0"/>
          <w:sz w:val="32"/>
          <w:szCs w:val="32"/>
          <w:lang w:val="zh-CN"/>
        </w:rPr>
        <w:t>，进一步提升政府网上服务能力。</w:t>
      </w:r>
    </w:p>
    <w:p>
      <w:pPr>
        <w:adjustRightInd w:val="0"/>
        <w:snapToGrid w:val="0"/>
        <w:spacing w:line="360"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2．按照建设法治政府、创新政府、廉洁政府和服务型政府以及《政府网站发展指引》的要求，提出了攀枝花市政府网站群集约化建设方案，以适应人民期待和需求，打通信息壁垒，推动政务信息资源共享，不断提升政府网上履职能力和服务水平。</w:t>
      </w:r>
    </w:p>
    <w:p>
      <w:pPr>
        <w:adjustRightInd w:val="0"/>
        <w:snapToGrid w:val="0"/>
        <w:spacing w:line="360" w:lineRule="auto"/>
        <w:rPr>
          <w:rFonts w:eastAsia="仿宋"/>
          <w:snapToGrid w:val="0"/>
          <w:kern w:val="0"/>
          <w:sz w:val="32"/>
          <w:szCs w:val="32"/>
          <w:lang w:val="zh-CN"/>
        </w:rPr>
      </w:pPr>
      <w:r>
        <w:rPr>
          <w:rFonts w:eastAsia="仿宋"/>
          <w:snapToGrid w:val="0"/>
          <w:kern w:val="0"/>
          <w:sz w:val="32"/>
          <w:szCs w:val="32"/>
          <w:lang w:val="zh-CN"/>
        </w:rPr>
        <w:t>　　3．申报内容与实际相符，申报目标合理可行。</w:t>
      </w:r>
    </w:p>
    <w:p>
      <w:pPr>
        <w:adjustRightInd w:val="0"/>
        <w:snapToGrid w:val="0"/>
        <w:spacing w:line="360" w:lineRule="auto"/>
        <w:rPr>
          <w:rFonts w:eastAsia="仿宋"/>
          <w:snapToGrid w:val="0"/>
          <w:kern w:val="0"/>
          <w:sz w:val="32"/>
          <w:szCs w:val="32"/>
          <w:lang w:val="zh-CN"/>
        </w:rPr>
      </w:pPr>
      <w:r>
        <w:rPr>
          <w:rFonts w:hint="eastAsia" w:ascii="楷体" w:hAnsi="楷体" w:eastAsia="楷体" w:cs="楷体"/>
          <w:snapToGrid w:val="0"/>
          <w:kern w:val="0"/>
          <w:sz w:val="32"/>
          <w:szCs w:val="32"/>
          <w:lang w:val="zh-CN"/>
        </w:rPr>
        <w:t>　　（三）项目自评步骤及方法。</w:t>
      </w:r>
      <w:r>
        <w:rPr>
          <w:rFonts w:eastAsia="仿宋"/>
          <w:snapToGrid w:val="0"/>
          <w:kern w:val="0"/>
          <w:sz w:val="32"/>
          <w:szCs w:val="32"/>
          <w:lang w:val="zh-CN"/>
        </w:rPr>
        <w:t>按照项目申报、立项、招标采购、签订合同、组织实施、项目验收等步骤细化指标，对照指标及完成情况开展自评。</w:t>
      </w:r>
    </w:p>
    <w:p>
      <w:pPr>
        <w:adjustRightInd w:val="0"/>
        <w:snapToGrid w:val="0"/>
        <w:spacing w:line="360"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二、项目资金申报及使用情况</w:t>
      </w:r>
    </w:p>
    <w:p>
      <w:pPr>
        <w:adjustRightInd w:val="0"/>
        <w:snapToGrid w:val="0"/>
        <w:spacing w:line="360"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（一）项目资金申报及批复情况。</w:t>
      </w:r>
      <w:r>
        <w:rPr>
          <w:rFonts w:eastAsia="仿宋"/>
          <w:snapToGrid w:val="0"/>
          <w:spacing w:val="-4"/>
          <w:kern w:val="0"/>
          <w:sz w:val="32"/>
          <w:szCs w:val="32"/>
          <w:lang w:val="zh-CN"/>
        </w:rPr>
        <w:t>2021年3月，市政府办公室向市政府上报了关于2021年度全市政府网站集约化平台运维和安全防护经费的请示。根据市领导的指示，市财政局核实了相关预算。且该项目已通过竞争性磋商完成采购，成交人：江苏泰得科技股份有限公司，成交金额为50.55万元</w:t>
      </w:r>
      <w:r>
        <w:rPr>
          <w:rFonts w:hint="eastAsia" w:ascii="楷体" w:hAnsi="楷体" w:eastAsia="楷体" w:cs="楷体"/>
          <w:snapToGrid w:val="0"/>
          <w:spacing w:val="-4"/>
          <w:kern w:val="0"/>
          <w:sz w:val="32"/>
          <w:szCs w:val="32"/>
          <w:lang w:val="zh-CN"/>
        </w:rPr>
        <w:t>。</w:t>
      </w:r>
    </w:p>
    <w:p>
      <w:pPr>
        <w:adjustRightInd w:val="0"/>
        <w:snapToGrid w:val="0"/>
        <w:spacing w:line="360"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（二）资金计划、到位及使用情况。</w:t>
      </w:r>
    </w:p>
    <w:p>
      <w:pPr>
        <w:adjustRightInd w:val="0"/>
        <w:snapToGrid w:val="0"/>
        <w:spacing w:line="372"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1．资金计划。</w:t>
      </w:r>
    </w:p>
    <w:tbl>
      <w:tblPr>
        <w:tblStyle w:val="17"/>
        <w:tblpPr w:leftFromText="180" w:rightFromText="180" w:vertAnchor="text" w:horzAnchor="page" w:tblpXSpec="center" w:tblpY="62"/>
        <w:tblOverlap w:val="never"/>
        <w:tblW w:w="894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283"/>
        <w:gridCol w:w="1701"/>
        <w:gridCol w:w="1701"/>
        <w:gridCol w:w="1559"/>
        <w:gridCol w:w="170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 w:hRule="atLeast"/>
          <w:jc w:val="center"/>
        </w:trPr>
        <w:tc>
          <w:tcPr>
            <w:tcW w:w="2283" w:type="dxa"/>
            <w:tcBorders>
              <w:tl2br w:val="nil"/>
              <w:tr2bl w:val="nil"/>
            </w:tcBorders>
            <w:vAlign w:val="center"/>
          </w:tcPr>
          <w:p>
            <w:pPr>
              <w:pStyle w:val="5"/>
              <w:adjustRightInd w:val="0"/>
              <w:snapToGrid w:val="0"/>
              <w:spacing w:beforeLines="0"/>
              <w:jc w:val="center"/>
              <w:rPr>
                <w:rFonts w:ascii="黑体" w:hAnsi="黑体" w:eastAsia="黑体" w:cs="黑体"/>
                <w:snapToGrid w:val="0"/>
                <w:sz w:val="18"/>
                <w:szCs w:val="18"/>
                <w:lang w:val="zh-CN"/>
              </w:rPr>
            </w:pPr>
            <w:r>
              <w:rPr>
                <w:rFonts w:hint="eastAsia" w:ascii="黑体" w:hAnsi="黑体" w:eastAsia="黑体" w:cs="黑体"/>
                <w:snapToGrid w:val="0"/>
                <w:sz w:val="18"/>
                <w:szCs w:val="18"/>
                <w:lang w:val="zh-CN"/>
              </w:rPr>
              <w:t>年度预算数（万元）</w:t>
            </w:r>
          </w:p>
        </w:tc>
        <w:tc>
          <w:tcPr>
            <w:tcW w:w="1701" w:type="dxa"/>
            <w:tcBorders>
              <w:tl2br w:val="nil"/>
              <w:tr2bl w:val="nil"/>
            </w:tcBorders>
            <w:vAlign w:val="center"/>
          </w:tcPr>
          <w:p>
            <w:pPr>
              <w:pStyle w:val="5"/>
              <w:adjustRightInd w:val="0"/>
              <w:snapToGrid w:val="0"/>
              <w:spacing w:beforeLines="0"/>
              <w:jc w:val="center"/>
              <w:rPr>
                <w:rFonts w:ascii="黑体" w:hAnsi="黑体" w:eastAsia="黑体" w:cs="黑体"/>
                <w:snapToGrid w:val="0"/>
                <w:sz w:val="18"/>
                <w:szCs w:val="18"/>
                <w:lang w:val="zh-CN"/>
              </w:rPr>
            </w:pPr>
            <w:r>
              <w:rPr>
                <w:rFonts w:hint="eastAsia" w:ascii="黑体" w:hAnsi="黑体" w:eastAsia="黑体" w:cs="黑体"/>
                <w:snapToGrid w:val="0"/>
                <w:sz w:val="18"/>
                <w:szCs w:val="18"/>
                <w:lang w:val="zh-CN"/>
              </w:rPr>
              <w:t>年初预算</w:t>
            </w:r>
          </w:p>
        </w:tc>
        <w:tc>
          <w:tcPr>
            <w:tcW w:w="1701" w:type="dxa"/>
            <w:tcBorders>
              <w:tl2br w:val="nil"/>
              <w:tr2bl w:val="nil"/>
            </w:tcBorders>
            <w:vAlign w:val="center"/>
          </w:tcPr>
          <w:p>
            <w:pPr>
              <w:pStyle w:val="5"/>
              <w:adjustRightInd w:val="0"/>
              <w:snapToGrid w:val="0"/>
              <w:spacing w:beforeLines="0"/>
              <w:jc w:val="center"/>
              <w:rPr>
                <w:rFonts w:ascii="黑体" w:hAnsi="黑体" w:eastAsia="黑体" w:cs="黑体"/>
                <w:snapToGrid w:val="0"/>
                <w:sz w:val="18"/>
                <w:szCs w:val="18"/>
                <w:lang w:val="zh-CN"/>
              </w:rPr>
            </w:pPr>
            <w:r>
              <w:rPr>
                <w:rFonts w:hint="eastAsia" w:ascii="黑体" w:hAnsi="黑体" w:eastAsia="黑体" w:cs="黑体"/>
                <w:snapToGrid w:val="0"/>
                <w:sz w:val="18"/>
                <w:szCs w:val="18"/>
                <w:lang w:val="zh-CN"/>
              </w:rPr>
              <w:t>调整后预算数</w:t>
            </w:r>
          </w:p>
        </w:tc>
        <w:tc>
          <w:tcPr>
            <w:tcW w:w="1559" w:type="dxa"/>
            <w:tcBorders>
              <w:tl2br w:val="nil"/>
              <w:tr2bl w:val="nil"/>
            </w:tcBorders>
            <w:vAlign w:val="center"/>
          </w:tcPr>
          <w:p>
            <w:pPr>
              <w:pStyle w:val="5"/>
              <w:adjustRightInd w:val="0"/>
              <w:snapToGrid w:val="0"/>
              <w:spacing w:beforeLines="0"/>
              <w:jc w:val="center"/>
              <w:rPr>
                <w:rFonts w:ascii="黑体" w:hAnsi="黑体" w:eastAsia="黑体" w:cs="黑体"/>
                <w:snapToGrid w:val="0"/>
                <w:sz w:val="18"/>
                <w:szCs w:val="18"/>
                <w:lang w:val="zh-CN"/>
              </w:rPr>
            </w:pPr>
            <w:r>
              <w:rPr>
                <w:rFonts w:hint="eastAsia" w:ascii="黑体" w:hAnsi="黑体" w:eastAsia="黑体" w:cs="黑体"/>
                <w:snapToGrid w:val="0"/>
                <w:sz w:val="18"/>
                <w:szCs w:val="18"/>
                <w:lang w:val="zh-CN"/>
              </w:rPr>
              <w:t>执行预算数</w:t>
            </w:r>
          </w:p>
        </w:tc>
        <w:tc>
          <w:tcPr>
            <w:tcW w:w="1701" w:type="dxa"/>
            <w:tcBorders>
              <w:tl2br w:val="nil"/>
              <w:tr2bl w:val="nil"/>
            </w:tcBorders>
            <w:vAlign w:val="center"/>
          </w:tcPr>
          <w:p>
            <w:pPr>
              <w:pStyle w:val="5"/>
              <w:adjustRightInd w:val="0"/>
              <w:snapToGrid w:val="0"/>
              <w:spacing w:beforeLines="0"/>
              <w:jc w:val="center"/>
              <w:rPr>
                <w:rFonts w:ascii="黑体" w:hAnsi="黑体" w:eastAsia="黑体" w:cs="黑体"/>
                <w:snapToGrid w:val="0"/>
                <w:sz w:val="18"/>
                <w:szCs w:val="18"/>
                <w:lang w:val="zh-CN"/>
              </w:rPr>
            </w:pPr>
            <w:r>
              <w:rPr>
                <w:rFonts w:hint="eastAsia" w:ascii="黑体" w:hAnsi="黑体" w:eastAsia="黑体" w:cs="黑体"/>
                <w:snapToGrid w:val="0"/>
                <w:sz w:val="18"/>
                <w:szCs w:val="18"/>
                <w:lang w:val="zh-CN"/>
              </w:rPr>
              <w:t>预算执行率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9" w:hRule="atLeast"/>
          <w:jc w:val="center"/>
        </w:trPr>
        <w:tc>
          <w:tcPr>
            <w:tcW w:w="2283"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总额</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50.55</w:t>
            </w:r>
          </w:p>
        </w:tc>
        <w:tc>
          <w:tcPr>
            <w:tcW w:w="1559"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50.55</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100.00%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8" w:hRule="atLeast"/>
          <w:jc w:val="center"/>
        </w:trPr>
        <w:tc>
          <w:tcPr>
            <w:tcW w:w="2283"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其中：财政资金</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50.55</w:t>
            </w:r>
          </w:p>
        </w:tc>
        <w:tc>
          <w:tcPr>
            <w:tcW w:w="1559"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50.55</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100.00%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1" w:hRule="atLeast"/>
          <w:jc w:val="center"/>
        </w:trPr>
        <w:tc>
          <w:tcPr>
            <w:tcW w:w="2283"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财政专户管理资金</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c>
          <w:tcPr>
            <w:tcW w:w="1559"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6" w:hRule="atLeast"/>
          <w:jc w:val="center"/>
        </w:trPr>
        <w:tc>
          <w:tcPr>
            <w:tcW w:w="2283"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单位资金</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c>
          <w:tcPr>
            <w:tcW w:w="1559"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1" w:hRule="atLeast"/>
          <w:jc w:val="center"/>
        </w:trPr>
        <w:tc>
          <w:tcPr>
            <w:tcW w:w="2283"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其他资金</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c>
          <w:tcPr>
            <w:tcW w:w="1559"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napToGrid w:val="0"/>
                <w:sz w:val="18"/>
                <w:szCs w:val="18"/>
                <w:lang w:val="zh-CN"/>
              </w:rPr>
              <w:t>0.00</w:t>
            </w:r>
          </w:p>
        </w:tc>
        <w:tc>
          <w:tcPr>
            <w:tcW w:w="1701" w:type="dxa"/>
            <w:tcBorders>
              <w:tl2br w:val="nil"/>
              <w:tr2bl w:val="nil"/>
            </w:tcBorders>
            <w:vAlign w:val="center"/>
          </w:tcPr>
          <w:p>
            <w:pPr>
              <w:pStyle w:val="5"/>
              <w:adjustRightInd w:val="0"/>
              <w:snapToGrid w:val="0"/>
              <w:spacing w:beforeLines="0"/>
              <w:jc w:val="center"/>
              <w:rPr>
                <w:rFonts w:ascii="Times New Roman" w:eastAsia="仿宋"/>
                <w:snapToGrid w:val="0"/>
                <w:sz w:val="18"/>
                <w:szCs w:val="18"/>
                <w:lang w:val="zh-CN"/>
              </w:rPr>
            </w:pPr>
            <w:r>
              <w:rPr>
                <w:rFonts w:ascii="Times New Roman" w:eastAsia="仿宋"/>
                <w:sz w:val="18"/>
                <w:szCs w:val="18"/>
                <w:lang w:val="zh-CN"/>
              </w:rPr>
              <w:t>0.00%</w:t>
            </w:r>
          </w:p>
        </w:tc>
      </w:tr>
    </w:tbl>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2．资金到位。</w:t>
      </w:r>
      <w:r>
        <w:rPr>
          <w:rFonts w:eastAsia="仿宋"/>
          <w:snapToGrid w:val="0"/>
          <w:kern w:val="0"/>
          <w:sz w:val="32"/>
          <w:szCs w:val="32"/>
        </w:rPr>
        <w:t>到位资金为50.55万元，资金到位率为100%。</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rPr>
        <w:t>　　</w:t>
      </w:r>
      <w:r>
        <w:rPr>
          <w:rFonts w:eastAsia="仿宋"/>
          <w:snapToGrid w:val="0"/>
          <w:kern w:val="0"/>
          <w:sz w:val="32"/>
          <w:szCs w:val="32"/>
        </w:rPr>
        <w:t>3</w:t>
      </w:r>
      <w:r>
        <w:rPr>
          <w:rFonts w:eastAsia="仿宋"/>
          <w:snapToGrid w:val="0"/>
          <w:kern w:val="0"/>
          <w:sz w:val="32"/>
          <w:szCs w:val="32"/>
          <w:lang w:val="zh-CN"/>
        </w:rPr>
        <w:t>．</w:t>
      </w:r>
      <w:r>
        <w:rPr>
          <w:rFonts w:eastAsia="仿宋"/>
          <w:snapToGrid w:val="0"/>
          <w:kern w:val="0"/>
          <w:sz w:val="32"/>
          <w:szCs w:val="32"/>
        </w:rPr>
        <w:t>资金使用。</w:t>
      </w:r>
      <w:r>
        <w:rPr>
          <w:rFonts w:eastAsia="仿宋"/>
          <w:snapToGrid w:val="0"/>
          <w:kern w:val="0"/>
          <w:sz w:val="32"/>
          <w:szCs w:val="32"/>
          <w:lang w:val="zh-CN"/>
        </w:rPr>
        <w:t>该项目中标金额为50.55万元，已按合同规定拨付给中标服务方。</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（三）项目财务管理情况。</w:t>
      </w:r>
      <w:r>
        <w:rPr>
          <w:rFonts w:eastAsia="仿宋"/>
          <w:snapToGrid w:val="0"/>
          <w:kern w:val="0"/>
          <w:sz w:val="32"/>
          <w:szCs w:val="32"/>
          <w:lang w:val="zh-CN"/>
        </w:rPr>
        <w:t>在项目实施过程中，项目实施单位能够严格执行财务管理制度，按照签订的合同要求，及时划拨资金，账务处理及时，会计核算规范。</w:t>
      </w:r>
    </w:p>
    <w:p>
      <w:pPr>
        <w:adjustRightInd w:val="0"/>
        <w:snapToGrid w:val="0"/>
        <w:spacing w:line="348"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三、项目实施及管理情况</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项目由中标方江苏泰德科技有限公司负责实施，市政府办公室负责组织、协调、监督。在项目实施过程中，项目主管部门能够严格遵守《中华人民共和国招标投标法》、《中华人民共和国政府采购法》。在该项目招标前，邀请政府采购专家库中专家开展了项目可行性论证，并报请市政府机关党组会议研究决定。在项目招标过程中，请市政府办公室机关党委派监督员进行全程监督。在项目实施过程中，制定了外包服务考核细则，项目完成后，进行了项目验收，形成了验收报告。</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　（一）项目组织架构及实施流程。</w:t>
      </w:r>
      <w:r>
        <w:rPr>
          <w:rFonts w:eastAsia="仿宋"/>
          <w:snapToGrid w:val="0"/>
          <w:kern w:val="0"/>
          <w:sz w:val="32"/>
          <w:szCs w:val="32"/>
          <w:lang w:val="zh-CN"/>
        </w:rPr>
        <w:t>该项目由市政府办公室负责，市大数据中心组织实施，中标单位为江苏泰得科技股份有限公司，均按合同约定正常推进，如期完成。</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（二）项目管理情况。</w:t>
      </w:r>
      <w:r>
        <w:rPr>
          <w:rFonts w:eastAsia="仿宋"/>
          <w:snapToGrid w:val="0"/>
          <w:kern w:val="0"/>
          <w:sz w:val="32"/>
          <w:szCs w:val="32"/>
          <w:lang w:val="zh-CN"/>
        </w:rPr>
        <w:t>各项目实施单位严格执行招投标、政府采购、项目公示制等有关法律法规和项目管理制度。</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（三）项目监管情况。</w:t>
      </w:r>
      <w:r>
        <w:rPr>
          <w:rFonts w:eastAsia="仿宋"/>
          <w:snapToGrid w:val="0"/>
          <w:kern w:val="0"/>
          <w:sz w:val="32"/>
          <w:szCs w:val="32"/>
          <w:lang w:val="zh-CN"/>
        </w:rPr>
        <w:t>为确保管好项目、用好资金，项目主管部门市政府办公室安排行政科、财务科、机关党委、机关纪委全程参与，按照有关规定和程序组织实施各项招标及采购后，报请市政府机关党组审议，并严格按照合同约定组织实施和验收。</w:t>
      </w:r>
    </w:p>
    <w:p>
      <w:pPr>
        <w:adjustRightInd w:val="0"/>
        <w:snapToGrid w:val="0"/>
        <w:spacing w:line="344" w:lineRule="auto"/>
        <w:rPr>
          <w:rFonts w:ascii="黑体" w:hAnsi="黑体" w:eastAsia="黑体" w:cs="黑体"/>
          <w:snapToGrid w:val="0"/>
          <w:kern w:val="0"/>
          <w:sz w:val="32"/>
          <w:szCs w:val="32"/>
          <w:lang w:val="zh-CN"/>
        </w:rPr>
      </w:pPr>
      <w:r>
        <w:rPr>
          <w:rFonts w:hint="eastAsia" w:ascii="黑体" w:hAnsi="黑体" w:eastAsia="黑体" w:cs="黑体"/>
          <w:snapToGrid w:val="0"/>
          <w:kern w:val="0"/>
          <w:sz w:val="32"/>
          <w:szCs w:val="32"/>
        </w:rPr>
        <w:t>　　四、项目绩效情况</w:t>
      </w:r>
      <w:r>
        <w:rPr>
          <w:rFonts w:hint="eastAsia" w:ascii="黑体" w:hAnsi="黑体" w:eastAsia="黑体" w:cs="黑体"/>
          <w:snapToGrid w:val="0"/>
          <w:kern w:val="0"/>
          <w:sz w:val="32"/>
          <w:szCs w:val="32"/>
          <w:lang w:val="zh-CN"/>
        </w:rPr>
        <w:tab/>
      </w:r>
    </w:p>
    <w:p>
      <w:pPr>
        <w:adjustRightInd w:val="0"/>
        <w:snapToGrid w:val="0"/>
        <w:spacing w:line="344" w:lineRule="auto"/>
        <w:rPr>
          <w:rFonts w:eastAsia="仿宋"/>
          <w:snapToGrid w:val="0"/>
          <w:kern w:val="0"/>
          <w:sz w:val="32"/>
          <w:szCs w:val="32"/>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（一）项目完成情况。</w:t>
      </w:r>
      <w:r>
        <w:rPr>
          <w:rFonts w:eastAsia="仿宋"/>
          <w:snapToGrid w:val="0"/>
          <w:kern w:val="0"/>
          <w:sz w:val="32"/>
          <w:szCs w:val="32"/>
        </w:rPr>
        <w:t>顺利完成43个政府网站（含1个市级门户网站、37个市级部门网站、5个县（区）门户网站）的运维和安全防护任务，完成12期月度运行监测报告，12期安全监测报告，截至2021年12月底，市级部门和县（区）政府提交运维任务达7500余次，平均每月656次。</w:t>
      </w:r>
    </w:p>
    <w:p>
      <w:pPr>
        <w:adjustRightInd w:val="0"/>
        <w:snapToGrid w:val="0"/>
        <w:spacing w:line="344" w:lineRule="auto"/>
        <w:rPr>
          <w:rFonts w:eastAsia="仿宋"/>
          <w:snapToGrid w:val="0"/>
          <w:kern w:val="0"/>
          <w:sz w:val="32"/>
          <w:szCs w:val="32"/>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　（二）项目效益情况。</w:t>
      </w:r>
      <w:r>
        <w:rPr>
          <w:rFonts w:eastAsia="仿宋"/>
          <w:snapToGrid w:val="0"/>
          <w:kern w:val="0"/>
          <w:sz w:val="32"/>
          <w:szCs w:val="32"/>
        </w:rPr>
        <w:t>项目实施完成后，经验收，符合有关要求，通过加强政府网站运维，积极回应社会关切，提升为民服务的精准性，切实增强政府与公众的互动互信，加快推进政府网站集约化建设，全面深化政务公开，推进“互联网+政务服务”，进一步提升政府网上服务能力。综合广大网友留言反映，服务对象评价达基本满意及以上。</w:t>
      </w:r>
    </w:p>
    <w:p>
      <w:pPr>
        <w:adjustRightInd w:val="0"/>
        <w:snapToGrid w:val="0"/>
        <w:spacing w:line="344"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五、评价结论及建议</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　（一）评价结论。</w:t>
      </w:r>
      <w:r>
        <w:rPr>
          <w:rFonts w:eastAsia="仿宋"/>
          <w:snapToGrid w:val="0"/>
          <w:kern w:val="0"/>
          <w:sz w:val="32"/>
          <w:szCs w:val="32"/>
          <w:lang w:val="zh-CN"/>
        </w:rPr>
        <w:t>该项目立项依据充分，资金申报流程规范，主管部门和各项目实施单位严格执行招投标、政府采购、项目公示制等相关法律法规和项目管理制度，管好项目、用好资金，并严格按照合同约定组织实施，加快互联网政府信息公开平台建设，推进政府信息公开标准化规范化，推动政府信息公开工作取得新进展。</w:t>
      </w:r>
    </w:p>
    <w:p>
      <w:pPr>
        <w:adjustRightInd w:val="0"/>
        <w:snapToGrid w:val="0"/>
        <w:spacing w:line="353" w:lineRule="auto"/>
        <w:rPr>
          <w:rFonts w:eastAsia="仿宋"/>
          <w:snapToGrid w:val="0"/>
          <w:kern w:val="0"/>
          <w:sz w:val="32"/>
          <w:szCs w:val="32"/>
        </w:rPr>
      </w:pPr>
      <w:r>
        <w:rPr>
          <w:rFonts w:hint="eastAsia" w:ascii="楷体" w:hAnsi="楷体" w:eastAsia="楷体" w:cs="楷体"/>
          <w:snapToGrid w:val="0"/>
          <w:kern w:val="0"/>
          <w:sz w:val="32"/>
          <w:szCs w:val="32"/>
          <w:lang w:val="zh-CN"/>
        </w:rPr>
        <w:t>　　（二）存在的问题。</w:t>
      </w:r>
      <w:r>
        <w:rPr>
          <w:rFonts w:eastAsia="仿宋"/>
          <w:snapToGrid w:val="0"/>
          <w:kern w:val="0"/>
          <w:sz w:val="32"/>
          <w:szCs w:val="32"/>
          <w:lang w:val="zh-CN"/>
        </w:rPr>
        <w:t>无。</w:t>
      </w:r>
    </w:p>
    <w:p>
      <w:pPr>
        <w:adjustRightInd w:val="0"/>
        <w:snapToGrid w:val="0"/>
        <w:spacing w:line="353" w:lineRule="auto"/>
        <w:ind w:firstLine="640" w:firstLineChars="200"/>
        <w:rPr>
          <w:rFonts w:eastAsia="仿宋"/>
          <w:snapToGrid w:val="0"/>
          <w:kern w:val="0"/>
          <w:sz w:val="32"/>
          <w:szCs w:val="32"/>
        </w:rPr>
      </w:pPr>
      <w:r>
        <w:rPr>
          <w:rFonts w:hint="eastAsia" w:ascii="楷体" w:hAnsi="楷体" w:eastAsia="楷体" w:cs="楷体"/>
          <w:snapToGrid w:val="0"/>
          <w:kern w:val="0"/>
          <w:sz w:val="32"/>
          <w:szCs w:val="32"/>
          <w:lang w:val="zh-CN"/>
        </w:rPr>
        <w:t>（三）相关建议。</w:t>
      </w:r>
      <w:r>
        <w:rPr>
          <w:rFonts w:eastAsia="仿宋"/>
          <w:snapToGrid w:val="0"/>
          <w:kern w:val="0"/>
          <w:sz w:val="32"/>
          <w:szCs w:val="32"/>
          <w:lang w:val="zh-CN"/>
        </w:rPr>
        <w:t>无。</w:t>
      </w: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00" w:lineRule="auto"/>
        <w:rPr>
          <w:rFonts w:eastAsia="仿宋"/>
          <w:snapToGrid w:val="0"/>
          <w:kern w:val="0"/>
          <w:sz w:val="32"/>
          <w:szCs w:val="32"/>
        </w:rPr>
      </w:pPr>
    </w:p>
    <w:p>
      <w:pPr>
        <w:adjustRightInd w:val="0"/>
        <w:snapToGrid w:val="0"/>
        <w:spacing w:line="300" w:lineRule="auto"/>
        <w:rPr>
          <w:rFonts w:eastAsia="仿宋"/>
          <w:snapToGrid w:val="0"/>
          <w:kern w:val="0"/>
          <w:sz w:val="32"/>
          <w:szCs w:val="32"/>
        </w:rPr>
      </w:pPr>
    </w:p>
    <w:p>
      <w:pPr>
        <w:adjustRightInd w:val="0"/>
        <w:snapToGrid w:val="0"/>
        <w:spacing w:line="300" w:lineRule="auto"/>
        <w:jc w:val="center"/>
        <w:rPr>
          <w:rFonts w:eastAsia="方正小标宋_GBK"/>
          <w:snapToGrid w:val="0"/>
          <w:w w:val="90"/>
          <w:kern w:val="0"/>
          <w:sz w:val="32"/>
          <w:szCs w:val="32"/>
        </w:rPr>
      </w:pPr>
    </w:p>
    <w:p>
      <w:pPr>
        <w:adjustRightInd w:val="0"/>
        <w:snapToGrid w:val="0"/>
        <w:spacing w:line="300" w:lineRule="auto"/>
        <w:jc w:val="center"/>
        <w:rPr>
          <w:rFonts w:eastAsia="方正小标宋_GBK"/>
          <w:snapToGrid w:val="0"/>
          <w:w w:val="90"/>
          <w:kern w:val="0"/>
          <w:sz w:val="44"/>
          <w:szCs w:val="44"/>
        </w:rPr>
      </w:pPr>
    </w:p>
    <w:p>
      <w:pPr>
        <w:adjustRightInd w:val="0"/>
        <w:snapToGrid w:val="0"/>
        <w:spacing w:line="300" w:lineRule="auto"/>
        <w:jc w:val="center"/>
        <w:rPr>
          <w:rFonts w:eastAsia="方正小标宋_GBK"/>
          <w:snapToGrid w:val="0"/>
          <w:w w:val="90"/>
          <w:kern w:val="0"/>
          <w:sz w:val="44"/>
          <w:szCs w:val="44"/>
        </w:rPr>
      </w:pPr>
      <w:r>
        <w:rPr>
          <w:rFonts w:eastAsia="方正小标宋_GBK"/>
          <w:snapToGrid w:val="0"/>
          <w:w w:val="90"/>
          <w:kern w:val="0"/>
          <w:sz w:val="44"/>
          <w:szCs w:val="44"/>
        </w:rPr>
        <w:t>2022年市级专项资金预算项目绩效自评报告</w:t>
      </w:r>
    </w:p>
    <w:p>
      <w:pPr>
        <w:adjustRightInd w:val="0"/>
        <w:snapToGrid w:val="0"/>
        <w:spacing w:line="300" w:lineRule="auto"/>
        <w:jc w:val="center"/>
        <w:rPr>
          <w:rFonts w:eastAsia="仿宋"/>
          <w:snapToGrid w:val="0"/>
          <w:kern w:val="0"/>
          <w:sz w:val="32"/>
          <w:szCs w:val="32"/>
        </w:rPr>
      </w:pPr>
      <w:r>
        <w:rPr>
          <w:rFonts w:eastAsia="仿宋"/>
          <w:snapToGrid w:val="0"/>
          <w:kern w:val="0"/>
          <w:sz w:val="32"/>
          <w:szCs w:val="32"/>
        </w:rPr>
        <w:t>（《攀枝花市人民政府公报》等印刷费）</w:t>
      </w:r>
    </w:p>
    <w:p>
      <w:pPr>
        <w:adjustRightInd w:val="0"/>
        <w:snapToGrid w:val="0"/>
        <w:spacing w:line="300" w:lineRule="auto"/>
        <w:rPr>
          <w:rFonts w:eastAsia="仿宋"/>
          <w:snapToGrid w:val="0"/>
          <w:kern w:val="0"/>
          <w:sz w:val="32"/>
          <w:szCs w:val="32"/>
        </w:rPr>
      </w:pPr>
    </w:p>
    <w:p>
      <w:pPr>
        <w:adjustRightInd w:val="0"/>
        <w:snapToGrid w:val="0"/>
        <w:spacing w:line="344" w:lineRule="auto"/>
        <w:rPr>
          <w:rFonts w:ascii="黑体" w:hAnsi="黑体" w:eastAsia="黑体" w:cs="黑体"/>
          <w:snapToGrid w:val="0"/>
          <w:kern w:val="0"/>
          <w:sz w:val="32"/>
          <w:szCs w:val="32"/>
          <w:lang w:val="zh-CN"/>
        </w:rPr>
      </w:pPr>
      <w:r>
        <w:rPr>
          <w:rFonts w:hint="eastAsia" w:ascii="黑体" w:hAnsi="黑体" w:eastAsia="黑体" w:cs="黑体"/>
          <w:snapToGrid w:val="0"/>
          <w:kern w:val="0"/>
          <w:sz w:val="32"/>
          <w:szCs w:val="32"/>
        </w:rPr>
        <w:t>　　一、</w:t>
      </w:r>
      <w:r>
        <w:rPr>
          <w:rFonts w:hint="eastAsia" w:ascii="黑体" w:hAnsi="黑体" w:eastAsia="黑体" w:cs="黑体"/>
          <w:snapToGrid w:val="0"/>
          <w:kern w:val="0"/>
          <w:sz w:val="32"/>
          <w:szCs w:val="32"/>
          <w:lang w:val="zh-CN"/>
        </w:rPr>
        <w:t>项目概况</w:t>
      </w:r>
    </w:p>
    <w:p>
      <w:pPr>
        <w:adjustRightInd w:val="0"/>
        <w:snapToGrid w:val="0"/>
        <w:spacing w:line="344"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（一）项目基本情况。</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w:t>
      </w:r>
      <w:r>
        <w:rPr>
          <w:rFonts w:eastAsia="仿宋"/>
          <w:snapToGrid w:val="0"/>
          <w:kern w:val="0"/>
          <w:sz w:val="32"/>
          <w:szCs w:val="32"/>
        </w:rPr>
        <w:t>《攀枝花市人民政府公报》等印刷费</w:t>
      </w:r>
      <w:r>
        <w:rPr>
          <w:rFonts w:eastAsia="仿宋"/>
          <w:snapToGrid w:val="0"/>
          <w:kern w:val="0"/>
          <w:sz w:val="32"/>
          <w:szCs w:val="32"/>
          <w:lang w:val="zh-CN"/>
        </w:rPr>
        <w:t>项目由市政府办公室负责，市大数据中心组织实施。</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2.《攀枝花市人民政府公报》是刊登行政法规和规章标准文本的法定载体，是政府机关发布政令的权威渠道，在推进政务公开、加强政务服务、促进依法行政、密切党和政府同人民群众联系等方面发挥着重要作用。2018年10月13日，四川省人民政府办公厅发文《四川省人民政府办公厅关于做好政府公报工作的通知》（川办发〔2018〕79号），明确提出要健全政府公报体系、建设政府公报数据库、完善工作机制、切实办好政府公报电子版等要求。</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3．根据相关要求，攀枝花市人民政府公报项目通过内部比选方式（参照公开招标竞争性谈判方式）确定采购服务提供方。</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4．</w:t>
      </w:r>
      <w:r>
        <w:rPr>
          <w:rFonts w:eastAsia="仿宋"/>
          <w:snapToGrid w:val="0"/>
          <w:kern w:val="0"/>
          <w:sz w:val="32"/>
          <w:szCs w:val="32"/>
        </w:rPr>
        <w:t>《攀枝花市人民政府公报》等印刷费项目每月印刷1期，每期543本，预算6.84万元。</w:t>
      </w:r>
    </w:p>
    <w:p>
      <w:pPr>
        <w:adjustRightInd w:val="0"/>
        <w:snapToGrid w:val="0"/>
        <w:spacing w:line="344"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（二）项目绩效目标。</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1．本项目的主要内容是健全政府公报体系、建设政府公报数据库、完善工作机制、切实办好政府公报电子版。</w:t>
      </w:r>
    </w:p>
    <w:p>
      <w:pPr>
        <w:adjustRightInd w:val="0"/>
        <w:snapToGrid w:val="0"/>
        <w:spacing w:line="336"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2．2021年度绩效目标为高质量出版《攀枝花市人民政府公报》12期，刊登汇编攀枝花市人民政府（办公室）文件50篇，同步更新完善《攀枝花市人民政府公报》电子版，推进《攀枝花市人民政府公报》数据库建设，保证年度文件汇编合格率达100%。</w:t>
      </w:r>
    </w:p>
    <w:p>
      <w:pPr>
        <w:adjustRightInd w:val="0"/>
        <w:snapToGrid w:val="0"/>
        <w:spacing w:line="336"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3．申报内容与实际相符，申报目标合理可行。</w:t>
      </w:r>
    </w:p>
    <w:p>
      <w:pPr>
        <w:adjustRightInd w:val="0"/>
        <w:snapToGrid w:val="0"/>
        <w:spacing w:line="336" w:lineRule="auto"/>
        <w:rPr>
          <w:rFonts w:eastAsia="仿宋"/>
          <w:snapToGrid w:val="0"/>
          <w:kern w:val="0"/>
          <w:sz w:val="32"/>
          <w:szCs w:val="32"/>
        </w:rPr>
      </w:pPr>
      <w:r>
        <w:rPr>
          <w:rFonts w:hint="eastAsia" w:eastAsia="仿宋"/>
          <w:snapToGrid w:val="0"/>
          <w:kern w:val="0"/>
          <w:sz w:val="32"/>
          <w:szCs w:val="32"/>
          <w:lang w:val="zh-CN"/>
        </w:rPr>
        <w:t>　　</w:t>
      </w:r>
      <w:r>
        <w:rPr>
          <w:rFonts w:eastAsia="仿宋"/>
          <w:snapToGrid w:val="0"/>
          <w:kern w:val="0"/>
          <w:sz w:val="32"/>
          <w:szCs w:val="32"/>
          <w:lang w:val="zh-CN"/>
        </w:rPr>
        <w:t>（</w:t>
      </w:r>
      <w:r>
        <w:rPr>
          <w:rFonts w:hint="eastAsia" w:ascii="楷体" w:hAnsi="楷体" w:eastAsia="楷体" w:cs="楷体"/>
          <w:snapToGrid w:val="0"/>
          <w:kern w:val="0"/>
          <w:sz w:val="32"/>
          <w:szCs w:val="32"/>
          <w:lang w:val="zh-CN"/>
        </w:rPr>
        <w:t>三）项目自评步骤及方法。</w:t>
      </w:r>
      <w:r>
        <w:rPr>
          <w:rFonts w:eastAsia="仿宋"/>
          <w:snapToGrid w:val="0"/>
          <w:kern w:val="0"/>
          <w:sz w:val="32"/>
          <w:szCs w:val="32"/>
          <w:lang w:val="zh-CN"/>
        </w:rPr>
        <w:t>按照项目申报、立项、招标采购、签订合同、组织实施、项目验收等步骤细化指标，对照指标及完成情况开展自评。</w:t>
      </w:r>
    </w:p>
    <w:p>
      <w:pPr>
        <w:adjustRightInd w:val="0"/>
        <w:snapToGrid w:val="0"/>
        <w:spacing w:line="336"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二、项目资金申报及使用情况</w:t>
      </w:r>
    </w:p>
    <w:p>
      <w:pPr>
        <w:adjustRightInd w:val="0"/>
        <w:snapToGrid w:val="0"/>
        <w:spacing w:line="336" w:lineRule="auto"/>
        <w:rPr>
          <w:rFonts w:eastAsia="楷体"/>
          <w:snapToGrid w:val="0"/>
          <w:kern w:val="0"/>
          <w:sz w:val="32"/>
          <w:szCs w:val="32"/>
          <w:lang w:val="zh-CN"/>
        </w:rPr>
      </w:pPr>
      <w:r>
        <w:rPr>
          <w:rFonts w:eastAsia="仿宋"/>
          <w:snapToGrid w:val="0"/>
          <w:kern w:val="0"/>
          <w:sz w:val="32"/>
          <w:szCs w:val="32"/>
          <w:lang w:val="zh-CN"/>
        </w:rPr>
        <w:t>　　</w:t>
      </w:r>
      <w:r>
        <w:rPr>
          <w:rFonts w:eastAsia="楷体"/>
          <w:snapToGrid w:val="0"/>
          <w:kern w:val="0"/>
          <w:sz w:val="32"/>
          <w:szCs w:val="32"/>
          <w:lang w:val="zh-CN"/>
        </w:rPr>
        <w:t>（一）项目资金申报及批复情况。</w:t>
      </w:r>
      <w:r>
        <w:rPr>
          <w:rFonts w:eastAsia="仿宋"/>
          <w:snapToGrid w:val="0"/>
          <w:kern w:val="0"/>
          <w:sz w:val="32"/>
          <w:szCs w:val="32"/>
          <w:lang w:val="zh-CN"/>
        </w:rPr>
        <w:t>申请预算安排6.84万元，实际执行6.84万元。</w:t>
      </w:r>
    </w:p>
    <w:p>
      <w:pPr>
        <w:adjustRightInd w:val="0"/>
        <w:snapToGrid w:val="0"/>
        <w:spacing w:line="336"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（二）资金计划、到位及使用情况。</w:t>
      </w:r>
    </w:p>
    <w:p>
      <w:pPr>
        <w:adjustRightInd w:val="0"/>
        <w:snapToGrid w:val="0"/>
        <w:spacing w:line="336"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1．资金计划。</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237"/>
        <w:gridCol w:w="1287"/>
        <w:gridCol w:w="1661"/>
        <w:gridCol w:w="1662"/>
        <w:gridCol w:w="167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20" w:hRule="atLeast"/>
          <w:jc w:val="center"/>
        </w:trPr>
        <w:tc>
          <w:tcPr>
            <w:tcW w:w="2300" w:type="dxa"/>
            <w:tcBorders>
              <w:tl2br w:val="nil"/>
              <w:tr2bl w:val="nil"/>
            </w:tcBorders>
            <w:vAlign w:val="center"/>
          </w:tcPr>
          <w:p>
            <w:pPr>
              <w:pStyle w:val="5"/>
              <w:widowControl/>
              <w:adjustRightInd w:val="0"/>
              <w:snapToGrid w:val="0"/>
              <w:spacing w:beforeLines="0"/>
              <w:jc w:val="center"/>
              <w:rPr>
                <w:rFonts w:ascii="黑体" w:hAnsi="黑体" w:eastAsia="黑体" w:cs="黑体"/>
                <w:bCs/>
                <w:sz w:val="18"/>
                <w:szCs w:val="18"/>
                <w:lang w:val="zh-CN"/>
              </w:rPr>
            </w:pPr>
            <w:r>
              <w:rPr>
                <w:rFonts w:hint="eastAsia" w:ascii="黑体" w:hAnsi="黑体" w:eastAsia="黑体" w:cs="黑体"/>
                <w:bCs/>
                <w:sz w:val="18"/>
                <w:szCs w:val="18"/>
                <w:lang w:val="zh-CN"/>
              </w:rPr>
              <w:t>年度预算数（万元）</w:t>
            </w:r>
          </w:p>
        </w:tc>
        <w:tc>
          <w:tcPr>
            <w:tcW w:w="1315" w:type="dxa"/>
            <w:tcBorders>
              <w:tl2br w:val="nil"/>
              <w:tr2bl w:val="nil"/>
            </w:tcBorders>
            <w:vAlign w:val="center"/>
          </w:tcPr>
          <w:p>
            <w:pPr>
              <w:pStyle w:val="5"/>
              <w:widowControl/>
              <w:adjustRightInd w:val="0"/>
              <w:snapToGrid w:val="0"/>
              <w:spacing w:beforeLines="0"/>
              <w:jc w:val="center"/>
              <w:rPr>
                <w:rFonts w:ascii="黑体" w:hAnsi="黑体" w:eastAsia="黑体" w:cs="黑体"/>
                <w:bCs/>
                <w:sz w:val="18"/>
                <w:szCs w:val="18"/>
                <w:lang w:val="zh-CN"/>
              </w:rPr>
            </w:pPr>
            <w:r>
              <w:rPr>
                <w:rFonts w:hint="eastAsia" w:ascii="黑体" w:hAnsi="黑体" w:eastAsia="黑体" w:cs="黑体"/>
                <w:bCs/>
                <w:sz w:val="18"/>
                <w:szCs w:val="18"/>
                <w:lang w:val="zh-CN"/>
              </w:rPr>
              <w:t>年初预算</w:t>
            </w:r>
          </w:p>
        </w:tc>
        <w:tc>
          <w:tcPr>
            <w:tcW w:w="1704" w:type="dxa"/>
            <w:tcBorders>
              <w:tl2br w:val="nil"/>
              <w:tr2bl w:val="nil"/>
            </w:tcBorders>
            <w:vAlign w:val="center"/>
          </w:tcPr>
          <w:p>
            <w:pPr>
              <w:pStyle w:val="5"/>
              <w:widowControl/>
              <w:adjustRightInd w:val="0"/>
              <w:snapToGrid w:val="0"/>
              <w:spacing w:beforeLines="0"/>
              <w:jc w:val="center"/>
              <w:rPr>
                <w:rFonts w:ascii="黑体" w:hAnsi="黑体" w:eastAsia="黑体" w:cs="黑体"/>
                <w:bCs/>
                <w:sz w:val="18"/>
                <w:szCs w:val="18"/>
                <w:lang w:val="zh-CN"/>
              </w:rPr>
            </w:pPr>
            <w:r>
              <w:rPr>
                <w:rFonts w:hint="eastAsia" w:ascii="黑体" w:hAnsi="黑体" w:eastAsia="黑体" w:cs="黑体"/>
                <w:bCs/>
                <w:sz w:val="18"/>
                <w:szCs w:val="18"/>
                <w:lang w:val="zh-CN"/>
              </w:rPr>
              <w:t>调整后预算数</w:t>
            </w:r>
          </w:p>
        </w:tc>
        <w:tc>
          <w:tcPr>
            <w:tcW w:w="1705" w:type="dxa"/>
            <w:tcBorders>
              <w:tl2br w:val="nil"/>
              <w:tr2bl w:val="nil"/>
            </w:tcBorders>
            <w:vAlign w:val="center"/>
          </w:tcPr>
          <w:p>
            <w:pPr>
              <w:pStyle w:val="5"/>
              <w:widowControl/>
              <w:adjustRightInd w:val="0"/>
              <w:snapToGrid w:val="0"/>
              <w:spacing w:beforeLines="0"/>
              <w:jc w:val="center"/>
              <w:rPr>
                <w:rFonts w:ascii="黑体" w:hAnsi="黑体" w:eastAsia="黑体" w:cs="黑体"/>
                <w:bCs/>
                <w:sz w:val="18"/>
                <w:szCs w:val="18"/>
                <w:lang w:val="zh-CN"/>
              </w:rPr>
            </w:pPr>
            <w:r>
              <w:rPr>
                <w:rFonts w:hint="eastAsia" w:ascii="黑体" w:hAnsi="黑体" w:eastAsia="黑体" w:cs="黑体"/>
                <w:bCs/>
                <w:sz w:val="18"/>
                <w:szCs w:val="18"/>
                <w:lang w:val="zh-CN"/>
              </w:rPr>
              <w:t>预算执行数</w:t>
            </w:r>
          </w:p>
        </w:tc>
        <w:tc>
          <w:tcPr>
            <w:tcW w:w="1705" w:type="dxa"/>
            <w:tcBorders>
              <w:tl2br w:val="nil"/>
              <w:tr2bl w:val="nil"/>
            </w:tcBorders>
            <w:vAlign w:val="center"/>
          </w:tcPr>
          <w:p>
            <w:pPr>
              <w:pStyle w:val="5"/>
              <w:widowControl/>
              <w:adjustRightInd w:val="0"/>
              <w:snapToGrid w:val="0"/>
              <w:spacing w:beforeLines="0"/>
              <w:jc w:val="center"/>
              <w:rPr>
                <w:rFonts w:ascii="黑体" w:hAnsi="黑体" w:eastAsia="黑体" w:cs="黑体"/>
                <w:bCs/>
                <w:sz w:val="18"/>
                <w:szCs w:val="18"/>
                <w:lang w:val="zh-CN"/>
              </w:rPr>
            </w:pPr>
            <w:r>
              <w:rPr>
                <w:rFonts w:hint="eastAsia" w:ascii="黑体" w:hAnsi="黑体" w:eastAsia="黑体" w:cs="黑体"/>
                <w:bCs/>
                <w:sz w:val="18"/>
                <w:szCs w:val="18"/>
                <w:lang w:val="zh-CN"/>
              </w:rPr>
              <w:t>预算执行率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8" w:hRule="atLeast"/>
          <w:jc w:val="center"/>
        </w:trPr>
        <w:tc>
          <w:tcPr>
            <w:tcW w:w="2300"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总额</w:t>
            </w:r>
          </w:p>
        </w:tc>
        <w:tc>
          <w:tcPr>
            <w:tcW w:w="131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0.00</w:t>
            </w:r>
          </w:p>
        </w:tc>
        <w:tc>
          <w:tcPr>
            <w:tcW w:w="1704"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6.84</w:t>
            </w:r>
          </w:p>
        </w:tc>
        <w:tc>
          <w:tcPr>
            <w:tcW w:w="170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6.84</w:t>
            </w:r>
          </w:p>
        </w:tc>
        <w:tc>
          <w:tcPr>
            <w:tcW w:w="170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100.00%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1" w:hRule="atLeast"/>
          <w:jc w:val="center"/>
        </w:trPr>
        <w:tc>
          <w:tcPr>
            <w:tcW w:w="2300"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其中：财政资金</w:t>
            </w:r>
          </w:p>
        </w:tc>
        <w:tc>
          <w:tcPr>
            <w:tcW w:w="131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0.00</w:t>
            </w:r>
          </w:p>
        </w:tc>
        <w:tc>
          <w:tcPr>
            <w:tcW w:w="1704"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6.84</w:t>
            </w:r>
          </w:p>
        </w:tc>
        <w:tc>
          <w:tcPr>
            <w:tcW w:w="170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6.84</w:t>
            </w:r>
          </w:p>
        </w:tc>
        <w:tc>
          <w:tcPr>
            <w:tcW w:w="170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100.00%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3" w:hRule="atLeast"/>
          <w:jc w:val="center"/>
        </w:trPr>
        <w:tc>
          <w:tcPr>
            <w:tcW w:w="2300"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财政专户管理资金</w:t>
            </w:r>
          </w:p>
        </w:tc>
        <w:tc>
          <w:tcPr>
            <w:tcW w:w="131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0.00</w:t>
            </w:r>
          </w:p>
        </w:tc>
        <w:tc>
          <w:tcPr>
            <w:tcW w:w="1704"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0.00</w:t>
            </w:r>
          </w:p>
        </w:tc>
        <w:tc>
          <w:tcPr>
            <w:tcW w:w="170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0.00</w:t>
            </w:r>
          </w:p>
        </w:tc>
        <w:tc>
          <w:tcPr>
            <w:tcW w:w="170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1" w:hRule="atLeast"/>
          <w:jc w:val="center"/>
        </w:trPr>
        <w:tc>
          <w:tcPr>
            <w:tcW w:w="2300"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单位资金</w:t>
            </w:r>
          </w:p>
        </w:tc>
        <w:tc>
          <w:tcPr>
            <w:tcW w:w="131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0.00</w:t>
            </w:r>
          </w:p>
        </w:tc>
        <w:tc>
          <w:tcPr>
            <w:tcW w:w="1704"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0.00</w:t>
            </w:r>
          </w:p>
        </w:tc>
        <w:tc>
          <w:tcPr>
            <w:tcW w:w="170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0.00</w:t>
            </w:r>
          </w:p>
        </w:tc>
        <w:tc>
          <w:tcPr>
            <w:tcW w:w="170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6" w:hRule="atLeast"/>
          <w:jc w:val="center"/>
        </w:trPr>
        <w:tc>
          <w:tcPr>
            <w:tcW w:w="2300"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其他资金</w:t>
            </w:r>
          </w:p>
        </w:tc>
        <w:tc>
          <w:tcPr>
            <w:tcW w:w="131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snapToGrid w:val="0"/>
                <w:sz w:val="18"/>
                <w:szCs w:val="18"/>
                <w:lang w:val="zh-CN"/>
              </w:rPr>
              <w:t>0.00</w:t>
            </w:r>
          </w:p>
        </w:tc>
        <w:tc>
          <w:tcPr>
            <w:tcW w:w="1704"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snapToGrid w:val="0"/>
                <w:sz w:val="18"/>
                <w:szCs w:val="18"/>
                <w:lang w:val="zh-CN"/>
              </w:rPr>
              <w:t>0.00</w:t>
            </w:r>
          </w:p>
        </w:tc>
        <w:tc>
          <w:tcPr>
            <w:tcW w:w="170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snapToGrid w:val="0"/>
                <w:sz w:val="18"/>
                <w:szCs w:val="18"/>
                <w:lang w:val="zh-CN"/>
              </w:rPr>
              <w:t>0.00</w:t>
            </w:r>
          </w:p>
        </w:tc>
        <w:tc>
          <w:tcPr>
            <w:tcW w:w="1705" w:type="dxa"/>
            <w:tcBorders>
              <w:tl2br w:val="nil"/>
              <w:tr2bl w:val="nil"/>
            </w:tcBorders>
            <w:vAlign w:val="center"/>
          </w:tcPr>
          <w:p>
            <w:pPr>
              <w:pStyle w:val="5"/>
              <w:widowControl/>
              <w:adjustRightInd w:val="0"/>
              <w:snapToGrid w:val="0"/>
              <w:spacing w:beforeLines="0"/>
              <w:jc w:val="center"/>
              <w:rPr>
                <w:rFonts w:ascii="Times New Roman" w:eastAsia="仿宋"/>
                <w:bCs/>
                <w:sz w:val="18"/>
                <w:szCs w:val="18"/>
                <w:lang w:val="zh-CN"/>
              </w:rPr>
            </w:pPr>
            <w:r>
              <w:rPr>
                <w:rFonts w:ascii="Times New Roman" w:eastAsia="仿宋"/>
                <w:bCs/>
                <w:sz w:val="18"/>
                <w:szCs w:val="18"/>
                <w:lang w:val="zh-CN"/>
              </w:rPr>
              <w:t>0.00%</w:t>
            </w:r>
          </w:p>
        </w:tc>
      </w:tr>
    </w:tbl>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rPr>
        <w:t>　　2．</w:t>
      </w:r>
      <w:r>
        <w:rPr>
          <w:rFonts w:eastAsia="仿宋"/>
          <w:snapToGrid w:val="0"/>
          <w:kern w:val="0"/>
          <w:sz w:val="32"/>
          <w:szCs w:val="32"/>
          <w:lang w:val="zh-CN"/>
        </w:rPr>
        <w:t>资金到位。</w:t>
      </w:r>
    </w:p>
    <w:p>
      <w:pPr>
        <w:adjustRightInd w:val="0"/>
        <w:snapToGrid w:val="0"/>
        <w:spacing w:line="353" w:lineRule="auto"/>
        <w:rPr>
          <w:rFonts w:eastAsia="仿宋"/>
          <w:snapToGrid w:val="0"/>
          <w:kern w:val="0"/>
          <w:sz w:val="32"/>
          <w:szCs w:val="32"/>
          <w:lang w:val="zh-CN"/>
        </w:rPr>
      </w:pPr>
      <w:r>
        <w:rPr>
          <w:rFonts w:eastAsia="仿宋"/>
          <w:snapToGrid w:val="0"/>
          <w:kern w:val="0"/>
          <w:sz w:val="32"/>
          <w:szCs w:val="32"/>
          <w:lang w:val="zh-CN"/>
        </w:rPr>
        <w:t>　　到位资金为6.84万元，资金到位率为100%。</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rPr>
        <w:t>　　3．</w:t>
      </w:r>
      <w:r>
        <w:rPr>
          <w:rFonts w:eastAsia="仿宋"/>
          <w:snapToGrid w:val="0"/>
          <w:kern w:val="0"/>
          <w:sz w:val="32"/>
          <w:szCs w:val="32"/>
          <w:lang w:val="zh-CN"/>
        </w:rPr>
        <w:t>资金使用。</w:t>
      </w:r>
    </w:p>
    <w:p>
      <w:pPr>
        <w:adjustRightInd w:val="0"/>
        <w:snapToGrid w:val="0"/>
        <w:spacing w:line="353" w:lineRule="auto"/>
        <w:rPr>
          <w:rFonts w:ascii="楷体" w:hAnsi="楷体" w:eastAsia="楷体" w:cs="楷体"/>
          <w:snapToGrid w:val="0"/>
          <w:kern w:val="0"/>
          <w:sz w:val="32"/>
          <w:szCs w:val="32"/>
          <w:lang w:val="zh-CN"/>
        </w:rPr>
      </w:pPr>
      <w:r>
        <w:rPr>
          <w:rFonts w:eastAsia="仿宋"/>
          <w:snapToGrid w:val="0"/>
          <w:kern w:val="0"/>
          <w:sz w:val="32"/>
          <w:szCs w:val="32"/>
          <w:lang w:val="zh-CN"/>
        </w:rPr>
        <w:t>　　预算安排6.84万元，实际执行6.84万元，已按实际执</w:t>
      </w:r>
      <w:r>
        <w:rPr>
          <w:rFonts w:hint="eastAsia" w:ascii="仿宋" w:hAnsi="仿宋" w:eastAsia="仿宋" w:cs="仿宋"/>
          <w:snapToGrid w:val="0"/>
          <w:kern w:val="0"/>
          <w:sz w:val="32"/>
          <w:szCs w:val="32"/>
          <w:lang w:val="zh-CN"/>
        </w:rPr>
        <w:t>行金额支付。</w:t>
      </w:r>
    </w:p>
    <w:p>
      <w:pPr>
        <w:adjustRightInd w:val="0"/>
        <w:snapToGrid w:val="0"/>
        <w:spacing w:line="348" w:lineRule="auto"/>
        <w:rPr>
          <w:rFonts w:eastAsia="仿宋"/>
          <w:snapToGrid w:val="0"/>
          <w:kern w:val="0"/>
          <w:sz w:val="32"/>
          <w:szCs w:val="32"/>
          <w:lang w:val="zh-CN"/>
        </w:rPr>
      </w:pPr>
      <w:r>
        <w:rPr>
          <w:rFonts w:hint="eastAsia" w:ascii="楷体" w:hAnsi="楷体" w:eastAsia="楷体" w:cs="楷体"/>
          <w:snapToGrid w:val="0"/>
          <w:kern w:val="0"/>
          <w:sz w:val="32"/>
          <w:szCs w:val="32"/>
          <w:lang w:val="zh-CN"/>
        </w:rPr>
        <w:t>　　（三）项目财务管理情况。</w:t>
      </w:r>
      <w:r>
        <w:rPr>
          <w:rFonts w:eastAsia="仿宋"/>
          <w:snapToGrid w:val="0"/>
          <w:kern w:val="0"/>
          <w:sz w:val="32"/>
          <w:szCs w:val="32"/>
          <w:lang w:val="zh-CN"/>
        </w:rPr>
        <w:t>在项目实施过程中，项目实施单位能够严格执行财务管理制度，按照签订的合同要求，及时划拨资金，账务处理及时，会计核算规范。</w:t>
      </w:r>
    </w:p>
    <w:p>
      <w:pPr>
        <w:adjustRightInd w:val="0"/>
        <w:snapToGrid w:val="0"/>
        <w:spacing w:line="348"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三、项目实施及管理情况</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2021年度预算项目绩效评估工作通过线上与线下相结合方式开展。按照有关规定和工作安排，我单位开展自行评估，通过自行成立方式组建评估组，通过收集被评估项目相关基础资料，并查阅资料、收集数据信息等，深入论证分析后，形成绩效评估报告。</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（一）项目组织架构及实施流程。</w:t>
      </w:r>
      <w:r>
        <w:rPr>
          <w:rFonts w:eastAsia="仿宋"/>
          <w:snapToGrid w:val="0"/>
          <w:kern w:val="0"/>
          <w:sz w:val="32"/>
          <w:szCs w:val="32"/>
          <w:lang w:val="zh-CN"/>
        </w:rPr>
        <w:t>该项目由市政府办公室负责，市大数据中心组织实施，中标单位为攀枝花市日报印刷厂，均按合同约定正常推进，如期完成。</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（二）项目管理情况。</w:t>
      </w:r>
      <w:r>
        <w:rPr>
          <w:rFonts w:eastAsia="仿宋"/>
          <w:snapToGrid w:val="0"/>
          <w:kern w:val="0"/>
          <w:sz w:val="32"/>
          <w:szCs w:val="32"/>
          <w:lang w:val="zh-CN"/>
        </w:rPr>
        <w:t>各项目实施单位严格执行招投标、政府采购、项目公示制等相关法律法规和项目管理制度。</w:t>
      </w:r>
    </w:p>
    <w:p>
      <w:pPr>
        <w:adjustRightInd w:val="0"/>
        <w:snapToGrid w:val="0"/>
        <w:spacing w:line="348" w:lineRule="auto"/>
        <w:rPr>
          <w:rFonts w:eastAsia="仿宋"/>
          <w:snapToGrid w:val="0"/>
          <w:kern w:val="0"/>
          <w:sz w:val="32"/>
          <w:szCs w:val="32"/>
          <w:lang w:val="zh-CN"/>
        </w:rPr>
      </w:pPr>
      <w:r>
        <w:rPr>
          <w:rFonts w:hint="eastAsia" w:ascii="楷体" w:hAnsi="楷体" w:eastAsia="楷体" w:cs="楷体"/>
          <w:snapToGrid w:val="0"/>
          <w:kern w:val="0"/>
          <w:sz w:val="32"/>
          <w:szCs w:val="32"/>
          <w:lang w:val="zh-CN"/>
        </w:rPr>
        <w:t>　　（三）项目监管情况。</w:t>
      </w:r>
      <w:r>
        <w:rPr>
          <w:rFonts w:eastAsia="仿宋"/>
          <w:snapToGrid w:val="0"/>
          <w:kern w:val="0"/>
          <w:sz w:val="32"/>
          <w:szCs w:val="32"/>
          <w:lang w:val="zh-CN"/>
        </w:rPr>
        <w:t>为确保管好项目、用好资金，项目主管部门攀枝花市人民政府办公室安排行政科、财务科、机关党委、机关纪委全程参与，按照有关规定和程序组织实施各项招标及采购后，报请市政府机关党组审议，并严格按照合同约定组织实施和验收。</w:t>
      </w:r>
    </w:p>
    <w:p>
      <w:pPr>
        <w:adjustRightInd w:val="0"/>
        <w:snapToGrid w:val="0"/>
        <w:spacing w:line="348" w:lineRule="auto"/>
        <w:rPr>
          <w:rFonts w:ascii="黑体" w:hAnsi="黑体" w:eastAsia="黑体" w:cs="黑体"/>
          <w:snapToGrid w:val="0"/>
          <w:kern w:val="0"/>
          <w:sz w:val="32"/>
          <w:szCs w:val="32"/>
          <w:lang w:val="zh-CN"/>
        </w:rPr>
      </w:pPr>
      <w:r>
        <w:rPr>
          <w:rFonts w:hint="eastAsia" w:ascii="黑体" w:hAnsi="黑体" w:eastAsia="黑体" w:cs="黑体"/>
          <w:snapToGrid w:val="0"/>
          <w:kern w:val="0"/>
          <w:sz w:val="32"/>
          <w:szCs w:val="32"/>
        </w:rPr>
        <w:t>　　四、项目绩效情况</w:t>
      </w:r>
      <w:r>
        <w:rPr>
          <w:rFonts w:hint="eastAsia" w:ascii="黑体" w:hAnsi="黑体" w:eastAsia="黑体" w:cs="黑体"/>
          <w:snapToGrid w:val="0"/>
          <w:kern w:val="0"/>
          <w:sz w:val="32"/>
          <w:szCs w:val="32"/>
          <w:lang w:val="zh-CN"/>
        </w:rPr>
        <w:tab/>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　（一）项目完成情况。</w:t>
      </w:r>
      <w:r>
        <w:rPr>
          <w:rFonts w:eastAsia="仿宋"/>
          <w:snapToGrid w:val="0"/>
          <w:kern w:val="0"/>
          <w:sz w:val="32"/>
          <w:szCs w:val="32"/>
        </w:rPr>
        <w:t>《攀枝花市人民政府公报》为A4开本折页月刊，每年编印12期，每期印刷数量为543册，电子版同期在攀枝花市人民政府公众网上同步发载。与攀枝花日报社印刷厂签订了长期合作协议，该协议对印刷质量和文字校对等作了详细要求。</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lang w:val="zh-CN"/>
        </w:rPr>
        <w:t>　　</w:t>
      </w:r>
      <w:r>
        <w:rPr>
          <w:rFonts w:eastAsia="仿宋"/>
          <w:snapToGrid w:val="0"/>
          <w:kern w:val="0"/>
          <w:sz w:val="32"/>
          <w:szCs w:val="32"/>
          <w:lang w:val="zh-CN"/>
        </w:rPr>
        <w:t>（</w:t>
      </w:r>
      <w:r>
        <w:rPr>
          <w:rFonts w:hint="eastAsia" w:ascii="楷体" w:hAnsi="楷体" w:eastAsia="楷体" w:cs="楷体"/>
          <w:snapToGrid w:val="0"/>
          <w:kern w:val="0"/>
          <w:sz w:val="32"/>
          <w:szCs w:val="32"/>
          <w:lang w:val="zh-CN"/>
        </w:rPr>
        <w:t>二）项目效益情况</w:t>
      </w:r>
      <w:r>
        <w:rPr>
          <w:rFonts w:eastAsia="仿宋"/>
          <w:snapToGrid w:val="0"/>
          <w:kern w:val="0"/>
          <w:sz w:val="32"/>
          <w:szCs w:val="32"/>
          <w:lang w:val="zh-CN"/>
        </w:rPr>
        <w:t>。</w:t>
      </w:r>
      <w:r>
        <w:rPr>
          <w:rFonts w:eastAsia="仿宋"/>
          <w:snapToGrid w:val="0"/>
          <w:kern w:val="0"/>
          <w:sz w:val="32"/>
          <w:szCs w:val="32"/>
        </w:rPr>
        <w:t>2021年度绩效目标为高质量出版《攀枝花市人民政府公报》12期，刊登汇编攀枝花市人民政府（办公室）文件50篇，同步更新完善《攀枝花市人民政府公报》电子版，推进《攀枝花市人民政府公报》数据库建设，年度文件汇编合格率达100%。</w:t>
      </w:r>
    </w:p>
    <w:p>
      <w:pPr>
        <w:adjustRightInd w:val="0"/>
        <w:snapToGrid w:val="0"/>
        <w:spacing w:line="353"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五、评价结论及建议</w:t>
      </w:r>
    </w:p>
    <w:p>
      <w:pPr>
        <w:adjustRightInd w:val="0"/>
        <w:snapToGrid w:val="0"/>
        <w:spacing w:line="353" w:lineRule="auto"/>
        <w:rPr>
          <w:rFonts w:eastAsia="仿宋"/>
          <w:snapToGrid w:val="0"/>
          <w:kern w:val="0"/>
          <w:sz w:val="32"/>
          <w:szCs w:val="32"/>
          <w:lang w:val="zh-CN"/>
        </w:rPr>
      </w:pPr>
      <w:r>
        <w:rPr>
          <w:rFonts w:hint="eastAsia" w:ascii="楷体" w:hAnsi="楷体" w:eastAsia="楷体" w:cs="楷体"/>
          <w:snapToGrid w:val="0"/>
          <w:kern w:val="0"/>
          <w:sz w:val="32"/>
          <w:szCs w:val="32"/>
          <w:lang w:val="zh-CN"/>
        </w:rPr>
        <w:t>　　（一）评价结论。</w:t>
      </w:r>
      <w:r>
        <w:rPr>
          <w:rFonts w:eastAsia="仿宋"/>
          <w:snapToGrid w:val="0"/>
          <w:kern w:val="0"/>
          <w:sz w:val="32"/>
          <w:szCs w:val="32"/>
          <w:lang w:val="zh-CN"/>
        </w:rPr>
        <w:t>《攀枝花市人民政府公报》是刊登行政法规和规章标准文本的法定载体，是政府机关发布政令的权威渠道，在推进政务公开、加强政务服务、促进依法行政、密切党和政府同人民群众联系等方面发挥着重要作用。</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（二）存在的问题。</w:t>
      </w:r>
      <w:r>
        <w:rPr>
          <w:rFonts w:eastAsia="仿宋"/>
          <w:snapToGrid w:val="0"/>
          <w:kern w:val="0"/>
          <w:sz w:val="32"/>
          <w:szCs w:val="32"/>
          <w:lang w:val="zh-CN"/>
        </w:rPr>
        <w:t>因部分表格格式兼容性问题，在后台上传电子版时，易出现表格格式不统一情况。</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（三）相关建议。</w:t>
      </w:r>
      <w:r>
        <w:rPr>
          <w:rFonts w:eastAsia="仿宋"/>
          <w:snapToGrid w:val="0"/>
          <w:kern w:val="0"/>
          <w:sz w:val="32"/>
          <w:szCs w:val="32"/>
          <w:lang w:val="zh-CN"/>
        </w:rPr>
        <w:t>积极与运维公司联系，进一步完善内容编辑格式，举一反三，针对字体、排版等做优化调整处理，切实保障政府公报电子版无误。</w:t>
      </w: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00" w:lineRule="auto"/>
        <w:rPr>
          <w:rFonts w:eastAsia="仿宋"/>
          <w:snapToGrid w:val="0"/>
          <w:kern w:val="0"/>
          <w:sz w:val="32"/>
          <w:szCs w:val="32"/>
        </w:rPr>
      </w:pPr>
    </w:p>
    <w:p>
      <w:pPr>
        <w:adjustRightInd w:val="0"/>
        <w:snapToGrid w:val="0"/>
        <w:spacing w:line="300" w:lineRule="auto"/>
        <w:jc w:val="center"/>
        <w:rPr>
          <w:rFonts w:eastAsia="方正小标宋_GBK"/>
          <w:snapToGrid w:val="0"/>
          <w:w w:val="90"/>
          <w:kern w:val="0"/>
          <w:sz w:val="44"/>
          <w:szCs w:val="44"/>
        </w:rPr>
      </w:pPr>
      <w:r>
        <w:rPr>
          <w:rFonts w:eastAsia="方正小标宋_GBK"/>
          <w:snapToGrid w:val="0"/>
          <w:w w:val="90"/>
          <w:kern w:val="0"/>
          <w:sz w:val="44"/>
          <w:szCs w:val="44"/>
        </w:rPr>
        <w:t>2022年市级专项资金预算项目绩效自评报告</w:t>
      </w:r>
    </w:p>
    <w:p>
      <w:pPr>
        <w:adjustRightInd w:val="0"/>
        <w:snapToGrid w:val="0"/>
        <w:spacing w:line="300" w:lineRule="auto"/>
        <w:rPr>
          <w:rFonts w:eastAsia="仿宋"/>
          <w:snapToGrid w:val="0"/>
          <w:kern w:val="0"/>
          <w:sz w:val="32"/>
          <w:szCs w:val="32"/>
        </w:rPr>
      </w:pPr>
      <w:r>
        <w:rPr>
          <w:rFonts w:eastAsia="仿宋"/>
          <w:snapToGrid w:val="0"/>
          <w:kern w:val="0"/>
          <w:sz w:val="32"/>
          <w:szCs w:val="32"/>
        </w:rPr>
        <w:t>（市大数据中心办公用房改造及办公设施设备采购项目）</w:t>
      </w:r>
    </w:p>
    <w:p>
      <w:pPr>
        <w:adjustRightInd w:val="0"/>
        <w:snapToGrid w:val="0"/>
        <w:spacing w:line="300" w:lineRule="auto"/>
        <w:rPr>
          <w:rFonts w:eastAsia="仿宋"/>
          <w:snapToGrid w:val="0"/>
          <w:kern w:val="0"/>
          <w:sz w:val="32"/>
          <w:szCs w:val="32"/>
        </w:rPr>
      </w:pPr>
    </w:p>
    <w:p>
      <w:pPr>
        <w:adjustRightInd w:val="0"/>
        <w:snapToGrid w:val="0"/>
        <w:spacing w:line="344" w:lineRule="auto"/>
        <w:rPr>
          <w:rFonts w:ascii="黑体" w:hAnsi="黑体" w:eastAsia="黑体" w:cs="黑体"/>
          <w:snapToGrid w:val="0"/>
          <w:kern w:val="0"/>
          <w:sz w:val="32"/>
          <w:szCs w:val="32"/>
          <w:lang w:val="zh-CN"/>
        </w:rPr>
      </w:pPr>
      <w:r>
        <w:rPr>
          <w:rFonts w:hint="eastAsia" w:ascii="黑体" w:hAnsi="黑体" w:eastAsia="黑体" w:cs="黑体"/>
          <w:snapToGrid w:val="0"/>
          <w:kern w:val="0"/>
          <w:sz w:val="32"/>
          <w:szCs w:val="32"/>
        </w:rPr>
        <w:t>　　一、</w:t>
      </w:r>
      <w:r>
        <w:rPr>
          <w:rFonts w:hint="eastAsia" w:ascii="黑体" w:hAnsi="黑体" w:eastAsia="黑体" w:cs="黑体"/>
          <w:snapToGrid w:val="0"/>
          <w:kern w:val="0"/>
          <w:sz w:val="32"/>
          <w:szCs w:val="32"/>
          <w:lang w:val="zh-CN"/>
        </w:rPr>
        <w:t>项目概况</w:t>
      </w:r>
    </w:p>
    <w:p>
      <w:pPr>
        <w:adjustRightInd w:val="0"/>
        <w:snapToGrid w:val="0"/>
        <w:spacing w:line="344"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（一）项目基本情况。</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1．市大数据中心办公用房改造及办公设施设备采购项目由市政府办公室负责，市大数据中心组织实施。</w:t>
      </w:r>
    </w:p>
    <w:p>
      <w:pPr>
        <w:adjustRightInd w:val="0"/>
        <w:snapToGrid w:val="0"/>
        <w:spacing w:line="344" w:lineRule="auto"/>
        <w:rPr>
          <w:rFonts w:eastAsia="仿宋"/>
          <w:snapToGrid w:val="0"/>
          <w:kern w:val="0"/>
          <w:sz w:val="32"/>
          <w:szCs w:val="32"/>
        </w:rPr>
      </w:pPr>
      <w:r>
        <w:rPr>
          <w:rFonts w:hint="eastAsia" w:eastAsia="仿宋"/>
          <w:snapToGrid w:val="0"/>
          <w:kern w:val="0"/>
          <w:sz w:val="32"/>
          <w:szCs w:val="32"/>
        </w:rPr>
        <w:t>　　</w:t>
      </w:r>
      <w:r>
        <w:rPr>
          <w:rFonts w:eastAsia="仿宋"/>
          <w:snapToGrid w:val="0"/>
          <w:kern w:val="0"/>
          <w:sz w:val="32"/>
          <w:szCs w:val="32"/>
        </w:rPr>
        <w:t>2</w:t>
      </w:r>
      <w:r>
        <w:rPr>
          <w:rFonts w:eastAsia="仿宋"/>
          <w:snapToGrid w:val="0"/>
          <w:kern w:val="0"/>
          <w:sz w:val="32"/>
          <w:szCs w:val="32"/>
          <w:lang w:val="zh-CN"/>
        </w:rPr>
        <w:t>．</w:t>
      </w:r>
      <w:r>
        <w:rPr>
          <w:rFonts w:eastAsia="仿宋"/>
          <w:snapToGrid w:val="0"/>
          <w:kern w:val="0"/>
          <w:sz w:val="32"/>
          <w:szCs w:val="32"/>
        </w:rPr>
        <w:t>根据《中共攀枝花市委机构编制委员会关于调整攀枝花市大数据产业发展中心等事业单位有关机构编制事项的批复》（攀编发〔2021〕55号），2021年9月，重新组建成立攀枝花市大数据中心（以下简称中心），中心核定事业编制22名，内设6个科室，实有人员20人，为满足中心人员基本办公需求，拟将市政府办公大楼附楼负一楼闲置办公室和学习室改造为中心办公用房，预计改造经费预算29.6万元；拟按照办公设备国产化</w:t>
      </w:r>
      <w:r>
        <w:rPr>
          <w:rFonts w:eastAsia="仿宋"/>
          <w:snapToGrid w:val="0"/>
          <w:spacing w:val="6"/>
          <w:kern w:val="0"/>
          <w:sz w:val="32"/>
          <w:szCs w:val="32"/>
        </w:rPr>
        <w:t>替代要求和政府采购有关规定，紧急采购办公电脑、办公桌椅、打印机等办公设备，采购经费预算20.3万元，综上，向财政申请经费合计49.9万元，用于解决中心办公用房改造及办公设施设备采购。根据攀财</w:t>
      </w:r>
      <w:r>
        <w:rPr>
          <w:rFonts w:eastAsia="仿宋"/>
          <w:snapToGrid w:val="0"/>
          <w:kern w:val="0"/>
          <w:sz w:val="32"/>
          <w:szCs w:val="32"/>
        </w:rPr>
        <w:t>资〔2022〕20号，下达市政府办公室大数据中心办公用房改造及办公设施设备购置资金45.72万元。</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3．根据有关要求，办公用房改造委托代理公司采取公开招标方式确定施工方；空调、投影仪等设备采取网上竞价方式购置，办公桌椅、铁皮柜等办公家具采取询价采购方式购置，国产电脑、打印机等办公设备采取比选方式购置。</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4．</w:t>
      </w:r>
      <w:r>
        <w:rPr>
          <w:rFonts w:eastAsia="仿宋"/>
          <w:snapToGrid w:val="0"/>
          <w:kern w:val="0"/>
          <w:sz w:val="32"/>
          <w:szCs w:val="32"/>
        </w:rPr>
        <w:t>将市政府办公室闲置办公室和学习室改造为中心办公用房；按照办公设备国产化替代要求和政府采购有关规定，采购办公电脑、办公桌椅、打印机等办公设备。</w:t>
      </w:r>
    </w:p>
    <w:p>
      <w:pPr>
        <w:adjustRightInd w:val="0"/>
        <w:snapToGrid w:val="0"/>
        <w:spacing w:line="348"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（二）项目绩效目标。</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w:t>
      </w:r>
      <w:r>
        <w:rPr>
          <w:rFonts w:eastAsia="仿宋"/>
          <w:snapToGrid w:val="0"/>
          <w:kern w:val="0"/>
          <w:sz w:val="32"/>
          <w:szCs w:val="32"/>
        </w:rPr>
        <w:t>将市政府办公室闲置办公室和学习室改造为中心办公用房，采购办公电脑、办公桌椅、打印机等办公设备，满足中心人员基本办公需求。</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lang w:val="zh-CN"/>
        </w:rPr>
        <w:t>　　</w:t>
      </w:r>
      <w:r>
        <w:rPr>
          <w:rFonts w:eastAsia="仿宋"/>
          <w:snapToGrid w:val="0"/>
          <w:kern w:val="0"/>
          <w:sz w:val="32"/>
          <w:szCs w:val="32"/>
          <w:lang w:val="zh-CN"/>
        </w:rPr>
        <w:t>2．</w:t>
      </w:r>
      <w:r>
        <w:rPr>
          <w:rFonts w:eastAsia="仿宋"/>
          <w:snapToGrid w:val="0"/>
          <w:kern w:val="0"/>
          <w:sz w:val="32"/>
          <w:szCs w:val="32"/>
        </w:rPr>
        <w:t>计划于2022年4月至2022年12月期间，完成办公用房改造及办公设施设备采购，将市政府办公大楼附楼负一楼共有闲置办公用房5间和大学习室1间改造为中心办公用房，并采购办公电脑、办公桌椅、打印机等办公设备20余套，已按计划全部如期完成。</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3．申报内容与实际相符，申报目标合理可行。</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（三）项目自评步骤及方法。</w:t>
      </w:r>
      <w:r>
        <w:rPr>
          <w:rFonts w:eastAsia="仿宋"/>
          <w:snapToGrid w:val="0"/>
          <w:kern w:val="0"/>
          <w:sz w:val="32"/>
          <w:szCs w:val="32"/>
        </w:rPr>
        <w:t>按照项目申报、立项、招标采购、签订合同、组织实施、项目验收等步骤细化指标，对照指标及完成情况开展自评。</w:t>
      </w:r>
    </w:p>
    <w:p>
      <w:pPr>
        <w:adjustRightInd w:val="0"/>
        <w:snapToGrid w:val="0"/>
        <w:spacing w:line="348"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二、项目资金申报及使用情况</w:t>
      </w:r>
    </w:p>
    <w:p>
      <w:pPr>
        <w:adjustRightInd w:val="0"/>
        <w:snapToGrid w:val="0"/>
        <w:spacing w:line="348" w:lineRule="auto"/>
        <w:rPr>
          <w:rFonts w:eastAsia="仿宋"/>
          <w:snapToGrid w:val="0"/>
          <w:kern w:val="0"/>
          <w:sz w:val="32"/>
          <w:szCs w:val="32"/>
        </w:rPr>
      </w:pPr>
      <w:r>
        <w:rPr>
          <w:rFonts w:hint="eastAsia" w:ascii="楷体" w:hAnsi="楷体" w:eastAsia="楷体" w:cs="楷体"/>
          <w:snapToGrid w:val="0"/>
          <w:kern w:val="0"/>
          <w:sz w:val="32"/>
          <w:szCs w:val="32"/>
          <w:lang w:val="zh-CN"/>
        </w:rPr>
        <w:t>　　（一）项目资金申报及批复情况。</w:t>
      </w:r>
      <w:r>
        <w:rPr>
          <w:rFonts w:eastAsia="仿宋"/>
          <w:snapToGrid w:val="0"/>
          <w:kern w:val="0"/>
          <w:sz w:val="32"/>
          <w:szCs w:val="32"/>
          <w:lang w:val="zh-CN"/>
        </w:rPr>
        <w:t>市政府办公室</w:t>
      </w:r>
      <w:r>
        <w:rPr>
          <w:rFonts w:eastAsia="仿宋"/>
          <w:snapToGrid w:val="0"/>
          <w:kern w:val="0"/>
          <w:sz w:val="32"/>
          <w:szCs w:val="32"/>
        </w:rPr>
        <w:t>向市政府报送了</w:t>
      </w:r>
      <w:r>
        <w:rPr>
          <w:rFonts w:eastAsia="仿宋"/>
          <w:snapToGrid w:val="0"/>
          <w:kern w:val="0"/>
          <w:sz w:val="32"/>
          <w:szCs w:val="32"/>
          <w:lang w:val="zh-CN"/>
        </w:rPr>
        <w:t>《攀枝花市人民政府办公室关于解决市大数据中心办公用房改造及办公设施设备采购经费的请示》（攀办〔2022〕1号）；</w:t>
      </w:r>
      <w:r>
        <w:rPr>
          <w:rFonts w:eastAsia="仿宋"/>
          <w:snapToGrid w:val="0"/>
          <w:kern w:val="0"/>
          <w:sz w:val="32"/>
          <w:szCs w:val="32"/>
        </w:rPr>
        <w:t>根据市领导对《攀枝花市财政局关于安排市大数据中心办公用房改造及办公设施设备购置经费的请示》（攀财政</w:t>
      </w:r>
      <w:r>
        <w:rPr>
          <w:rFonts w:eastAsia="仿宋"/>
          <w:snapToGrid w:val="0"/>
          <w:kern w:val="0"/>
          <w:sz w:val="32"/>
          <w:szCs w:val="32"/>
          <w:lang w:val="zh-CN"/>
        </w:rPr>
        <w:t>〔2022〕</w:t>
      </w:r>
      <w:r>
        <w:rPr>
          <w:rFonts w:eastAsia="仿宋"/>
          <w:snapToGrid w:val="0"/>
          <w:kern w:val="0"/>
          <w:sz w:val="32"/>
          <w:szCs w:val="32"/>
        </w:rPr>
        <w:t>60</w:t>
      </w:r>
      <w:r>
        <w:rPr>
          <w:rFonts w:eastAsia="仿宋"/>
          <w:snapToGrid w:val="0"/>
          <w:kern w:val="0"/>
          <w:sz w:val="32"/>
          <w:szCs w:val="32"/>
          <w:lang w:val="zh-CN"/>
        </w:rPr>
        <w:t>号</w:t>
      </w:r>
      <w:r>
        <w:rPr>
          <w:rFonts w:eastAsia="仿宋"/>
          <w:snapToGrid w:val="0"/>
          <w:kern w:val="0"/>
          <w:sz w:val="32"/>
          <w:szCs w:val="32"/>
        </w:rPr>
        <w:t>）的批示精神，结合单位实际情况下达市政府办公室大数据中心办公用房改造及办公设施设备购置资金45.72万元。</w:t>
      </w:r>
    </w:p>
    <w:p>
      <w:pPr>
        <w:adjustRightInd w:val="0"/>
        <w:snapToGrid w:val="0"/>
        <w:spacing w:line="348"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（二）资金计划、到位及使用情况。</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lang w:val="zh-CN"/>
        </w:rPr>
        <w:t>　　</w:t>
      </w:r>
      <w:r>
        <w:rPr>
          <w:rFonts w:eastAsia="仿宋"/>
          <w:snapToGrid w:val="0"/>
          <w:kern w:val="0"/>
          <w:sz w:val="32"/>
          <w:szCs w:val="32"/>
          <w:lang w:val="zh-CN"/>
        </w:rPr>
        <w:t>1．资金计划。</w:t>
      </w:r>
      <w:r>
        <w:rPr>
          <w:rFonts w:eastAsia="仿宋"/>
          <w:snapToGrid w:val="0"/>
          <w:kern w:val="0"/>
          <w:sz w:val="32"/>
          <w:szCs w:val="32"/>
        </w:rPr>
        <w:t>市级财政拨款45.72万元。</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lang w:val="zh-CN"/>
        </w:rPr>
        <w:t>　　</w:t>
      </w:r>
      <w:r>
        <w:rPr>
          <w:rFonts w:eastAsia="仿宋"/>
          <w:snapToGrid w:val="0"/>
          <w:kern w:val="0"/>
          <w:sz w:val="32"/>
          <w:szCs w:val="32"/>
          <w:lang w:val="zh-CN"/>
        </w:rPr>
        <w:t>2．资金到位。</w:t>
      </w:r>
      <w:r>
        <w:rPr>
          <w:rFonts w:eastAsia="仿宋"/>
          <w:snapToGrid w:val="0"/>
          <w:kern w:val="0"/>
          <w:sz w:val="32"/>
          <w:szCs w:val="32"/>
        </w:rPr>
        <w:t>到位资金为45.72万元，资金到位率为100%。</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3．资金使用。项目已全部完成，按照《攀枝花市人民政府办公室办公家具采购合同》《大数据中心办公用房改造项目建设工程施工合同》《攀枝花市人民政府办公室办公设备采购供货合同》，实际支付金额45.72万元（</w:t>
      </w:r>
      <w:r>
        <w:rPr>
          <w:rFonts w:eastAsia="仿宋"/>
          <w:snapToGrid w:val="0"/>
          <w:kern w:val="0"/>
          <w:sz w:val="32"/>
          <w:szCs w:val="32"/>
        </w:rPr>
        <w:t>其中办公用房改造29.447万元，办公家具采购8.156万元，电子产品购置8.117万元</w:t>
      </w:r>
      <w:r>
        <w:rPr>
          <w:rFonts w:eastAsia="仿宋"/>
          <w:snapToGrid w:val="0"/>
          <w:kern w:val="0"/>
          <w:sz w:val="32"/>
          <w:szCs w:val="32"/>
          <w:lang w:val="zh-CN"/>
        </w:rPr>
        <w:t>），</w:t>
      </w:r>
      <w:r>
        <w:rPr>
          <w:rFonts w:eastAsia="仿宋"/>
          <w:snapToGrid w:val="0"/>
          <w:kern w:val="0"/>
          <w:sz w:val="32"/>
          <w:szCs w:val="32"/>
        </w:rPr>
        <w:t>支付率为100%</w:t>
      </w:r>
      <w:r>
        <w:rPr>
          <w:rFonts w:eastAsia="仿宋"/>
          <w:snapToGrid w:val="0"/>
          <w:kern w:val="0"/>
          <w:sz w:val="32"/>
          <w:szCs w:val="32"/>
          <w:lang w:val="zh-CN"/>
        </w:rPr>
        <w:t>。</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（三）项目财务管理情况。</w:t>
      </w:r>
      <w:r>
        <w:rPr>
          <w:rFonts w:eastAsia="仿宋"/>
          <w:snapToGrid w:val="0"/>
          <w:kern w:val="0"/>
          <w:sz w:val="32"/>
          <w:szCs w:val="32"/>
          <w:lang w:val="zh-CN"/>
        </w:rPr>
        <w:t>各项目实施单位财务管理制度健全，严格执行财务管理制度，账务处理及时，会计核算规范。</w:t>
      </w:r>
    </w:p>
    <w:p>
      <w:pPr>
        <w:adjustRightInd w:val="0"/>
        <w:snapToGrid w:val="0"/>
        <w:spacing w:line="348"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三、项目实施及管理情况</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结合项目组织实施管理办法，重点围绕以下内容进行分析评价，并对自评中发现的问题分析说明。</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（一）项目组织架构及实施流程。</w:t>
      </w:r>
      <w:r>
        <w:rPr>
          <w:rFonts w:eastAsia="仿宋"/>
          <w:snapToGrid w:val="0"/>
          <w:kern w:val="0"/>
          <w:sz w:val="32"/>
          <w:szCs w:val="32"/>
        </w:rPr>
        <w:t>该</w:t>
      </w:r>
      <w:r>
        <w:rPr>
          <w:rFonts w:eastAsia="仿宋"/>
          <w:snapToGrid w:val="0"/>
          <w:kern w:val="0"/>
          <w:sz w:val="32"/>
          <w:szCs w:val="32"/>
          <w:lang w:val="zh-CN"/>
        </w:rPr>
        <w:t>项目由市政府办公室负责，市大数据中心组织实施，</w:t>
      </w:r>
      <w:r>
        <w:rPr>
          <w:rFonts w:eastAsia="仿宋"/>
          <w:snapToGrid w:val="0"/>
          <w:kern w:val="0"/>
          <w:sz w:val="32"/>
          <w:szCs w:val="32"/>
        </w:rPr>
        <w:t>中标单位分别为四川良安建设工程有限公司攀枝花分公司、攀枝花华耀科技有限公司、攀枝花市宇森工贸有限公司，均按合同约定正常推进，如期完成。</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（二）项目管理情况。</w:t>
      </w:r>
      <w:r>
        <w:rPr>
          <w:rFonts w:eastAsia="仿宋"/>
          <w:snapToGrid w:val="0"/>
          <w:kern w:val="0"/>
          <w:sz w:val="32"/>
          <w:szCs w:val="32"/>
          <w:lang w:val="zh-CN"/>
        </w:rPr>
        <w:t>各项目实施单位</w:t>
      </w:r>
      <w:r>
        <w:rPr>
          <w:rFonts w:eastAsia="仿宋"/>
          <w:snapToGrid w:val="0"/>
          <w:kern w:val="0"/>
          <w:sz w:val="32"/>
          <w:szCs w:val="32"/>
        </w:rPr>
        <w:t>严格</w:t>
      </w:r>
      <w:r>
        <w:rPr>
          <w:rFonts w:eastAsia="仿宋"/>
          <w:snapToGrid w:val="0"/>
          <w:kern w:val="0"/>
          <w:sz w:val="32"/>
          <w:szCs w:val="32"/>
          <w:lang w:val="zh-CN"/>
        </w:rPr>
        <w:t>执行招投标、政府采购、项目公示制</w:t>
      </w:r>
      <w:r>
        <w:rPr>
          <w:rFonts w:eastAsia="仿宋"/>
          <w:snapToGrid w:val="0"/>
          <w:kern w:val="0"/>
          <w:sz w:val="32"/>
          <w:szCs w:val="32"/>
        </w:rPr>
        <w:t>等有</w:t>
      </w:r>
      <w:r>
        <w:rPr>
          <w:rFonts w:eastAsia="仿宋"/>
          <w:snapToGrid w:val="0"/>
          <w:kern w:val="0"/>
          <w:sz w:val="32"/>
          <w:szCs w:val="32"/>
          <w:lang w:val="zh-CN"/>
        </w:rPr>
        <w:t>关法律法规</w:t>
      </w:r>
      <w:r>
        <w:rPr>
          <w:rFonts w:eastAsia="仿宋"/>
          <w:snapToGrid w:val="0"/>
          <w:kern w:val="0"/>
          <w:sz w:val="32"/>
          <w:szCs w:val="32"/>
        </w:rPr>
        <w:t>和</w:t>
      </w:r>
      <w:r>
        <w:rPr>
          <w:rFonts w:eastAsia="仿宋"/>
          <w:snapToGrid w:val="0"/>
          <w:kern w:val="0"/>
          <w:sz w:val="32"/>
          <w:szCs w:val="32"/>
          <w:lang w:val="zh-CN"/>
        </w:rPr>
        <w:t>项目管理制度。</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（三）项目监管情况。</w:t>
      </w:r>
      <w:r>
        <w:rPr>
          <w:rFonts w:eastAsia="仿宋"/>
          <w:snapToGrid w:val="0"/>
          <w:kern w:val="0"/>
          <w:sz w:val="32"/>
          <w:szCs w:val="32"/>
        </w:rPr>
        <w:t>为确保管好项目、用好资金，</w:t>
      </w:r>
      <w:r>
        <w:rPr>
          <w:rFonts w:eastAsia="仿宋"/>
          <w:snapToGrid w:val="0"/>
          <w:kern w:val="0"/>
          <w:sz w:val="32"/>
          <w:szCs w:val="32"/>
          <w:lang w:val="zh-CN"/>
        </w:rPr>
        <w:t>项目主管部门</w:t>
      </w:r>
      <w:r>
        <w:rPr>
          <w:rFonts w:eastAsia="仿宋"/>
          <w:snapToGrid w:val="0"/>
          <w:kern w:val="0"/>
          <w:sz w:val="32"/>
          <w:szCs w:val="32"/>
        </w:rPr>
        <w:t>市政府办公室安排行政科、财务科、机关党委、机关纪委全程参与</w:t>
      </w:r>
      <w:r>
        <w:rPr>
          <w:rFonts w:eastAsia="仿宋"/>
          <w:snapToGrid w:val="0"/>
          <w:kern w:val="0"/>
          <w:sz w:val="32"/>
          <w:szCs w:val="32"/>
          <w:lang w:val="zh-CN"/>
        </w:rPr>
        <w:t>，按照有关规定和程序组织实施各项招标及采购后，报请市政府机关党组审议，并以市大数据中心名义签订项目合同，</w:t>
      </w:r>
      <w:r>
        <w:rPr>
          <w:rFonts w:eastAsia="仿宋"/>
          <w:snapToGrid w:val="0"/>
          <w:kern w:val="0"/>
          <w:sz w:val="32"/>
          <w:szCs w:val="32"/>
        </w:rPr>
        <w:t>并严格按照合同约定组织实施和验收。</w:t>
      </w:r>
    </w:p>
    <w:p>
      <w:pPr>
        <w:adjustRightInd w:val="0"/>
        <w:snapToGrid w:val="0"/>
        <w:spacing w:line="348" w:lineRule="auto"/>
        <w:rPr>
          <w:rFonts w:ascii="黑体" w:hAnsi="黑体" w:eastAsia="黑体" w:cs="黑体"/>
          <w:snapToGrid w:val="0"/>
          <w:kern w:val="0"/>
          <w:sz w:val="32"/>
          <w:szCs w:val="32"/>
          <w:lang w:val="zh-CN"/>
        </w:rPr>
      </w:pPr>
      <w:r>
        <w:rPr>
          <w:rFonts w:hint="eastAsia" w:ascii="黑体" w:hAnsi="黑体" w:eastAsia="黑体" w:cs="黑体"/>
          <w:snapToGrid w:val="0"/>
          <w:kern w:val="0"/>
          <w:sz w:val="32"/>
          <w:szCs w:val="32"/>
        </w:rPr>
        <w:t>　　四、项目绩效情况</w:t>
      </w:r>
      <w:r>
        <w:rPr>
          <w:rFonts w:hint="eastAsia" w:ascii="黑体" w:hAnsi="黑体" w:eastAsia="黑体" w:cs="黑体"/>
          <w:snapToGrid w:val="0"/>
          <w:kern w:val="0"/>
          <w:sz w:val="32"/>
          <w:szCs w:val="32"/>
          <w:lang w:val="zh-CN"/>
        </w:rPr>
        <w:tab/>
      </w:r>
    </w:p>
    <w:p>
      <w:pPr>
        <w:adjustRightInd w:val="0"/>
        <w:snapToGrid w:val="0"/>
        <w:spacing w:line="348" w:lineRule="auto"/>
        <w:rPr>
          <w:rFonts w:eastAsia="仿宋"/>
          <w:snapToGrid w:val="0"/>
          <w:kern w:val="0"/>
          <w:sz w:val="32"/>
          <w:szCs w:val="32"/>
          <w:lang w:val="zh-CN"/>
        </w:rPr>
      </w:pPr>
      <w:r>
        <w:rPr>
          <w:rFonts w:hint="eastAsia" w:ascii="楷体" w:hAnsi="楷体" w:eastAsia="楷体" w:cs="楷体"/>
          <w:snapToGrid w:val="0"/>
          <w:kern w:val="0"/>
          <w:sz w:val="32"/>
          <w:szCs w:val="32"/>
          <w:lang w:val="zh-CN"/>
        </w:rPr>
        <w:t>　　（一）项目完成情况。</w:t>
      </w:r>
      <w:r>
        <w:rPr>
          <w:rFonts w:eastAsia="仿宋"/>
          <w:snapToGrid w:val="0"/>
          <w:kern w:val="0"/>
          <w:sz w:val="32"/>
          <w:szCs w:val="32"/>
        </w:rPr>
        <w:t>该项目按照合同约定执行，办公用房改造按时完成，办公设施设备采购及时到位、保质保量，满足了中心基本办公需求，确保了中心正常运转，达到了项目预期目标。</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lang w:val="zh-CN"/>
        </w:rPr>
        <w:t>　　</w:t>
      </w:r>
      <w:r>
        <w:rPr>
          <w:rFonts w:eastAsia="仿宋"/>
          <w:snapToGrid w:val="0"/>
          <w:kern w:val="0"/>
          <w:sz w:val="32"/>
          <w:szCs w:val="32"/>
          <w:lang w:val="zh-CN"/>
        </w:rPr>
        <w:t>（</w:t>
      </w:r>
      <w:r>
        <w:rPr>
          <w:rFonts w:hint="eastAsia" w:ascii="楷体" w:hAnsi="楷体" w:eastAsia="楷体" w:cs="楷体"/>
          <w:snapToGrid w:val="0"/>
          <w:kern w:val="0"/>
          <w:sz w:val="32"/>
          <w:szCs w:val="32"/>
          <w:lang w:val="zh-CN"/>
        </w:rPr>
        <w:t>二）项目效益情况。</w:t>
      </w:r>
      <w:r>
        <w:rPr>
          <w:rFonts w:eastAsia="仿宋"/>
          <w:snapToGrid w:val="0"/>
          <w:kern w:val="0"/>
          <w:sz w:val="32"/>
          <w:szCs w:val="32"/>
        </w:rPr>
        <w:t>满足了中心基本办公需求，确保了中心正常运转，保障了全市大数据发展规划、政府数据管理、电子政务建设管理、政府信息公开和政府网站与政务新媒体建设管理、“一网通办”能力提升等工作顺利开展。</w:t>
      </w:r>
    </w:p>
    <w:p>
      <w:pPr>
        <w:adjustRightInd w:val="0"/>
        <w:snapToGrid w:val="0"/>
        <w:spacing w:line="348"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五、评价结论及建议</w:t>
      </w:r>
    </w:p>
    <w:p>
      <w:pPr>
        <w:adjustRightInd w:val="0"/>
        <w:snapToGrid w:val="0"/>
        <w:spacing w:line="348" w:lineRule="auto"/>
        <w:rPr>
          <w:rFonts w:eastAsia="仿宋"/>
          <w:snapToGrid w:val="0"/>
          <w:kern w:val="0"/>
          <w:sz w:val="32"/>
          <w:szCs w:val="32"/>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（一）评价结论。</w:t>
      </w:r>
      <w:r>
        <w:rPr>
          <w:rFonts w:eastAsia="仿宋"/>
          <w:snapToGrid w:val="0"/>
          <w:kern w:val="0"/>
          <w:sz w:val="32"/>
          <w:szCs w:val="32"/>
        </w:rPr>
        <w:t>该项</w:t>
      </w:r>
      <w:r>
        <w:rPr>
          <w:rFonts w:eastAsia="仿宋"/>
          <w:snapToGrid w:val="0"/>
          <w:kern w:val="0"/>
          <w:sz w:val="32"/>
          <w:szCs w:val="32"/>
          <w:lang w:val="zh-CN"/>
        </w:rPr>
        <w:t>目</w:t>
      </w:r>
      <w:r>
        <w:rPr>
          <w:rFonts w:eastAsia="仿宋"/>
          <w:snapToGrid w:val="0"/>
          <w:kern w:val="0"/>
          <w:sz w:val="32"/>
          <w:szCs w:val="32"/>
        </w:rPr>
        <w:t>立项依据充分，资金申报流程规范，</w:t>
      </w:r>
      <w:r>
        <w:rPr>
          <w:rFonts w:eastAsia="仿宋"/>
          <w:snapToGrid w:val="0"/>
          <w:kern w:val="0"/>
          <w:sz w:val="32"/>
          <w:szCs w:val="32"/>
          <w:lang w:val="zh-CN"/>
        </w:rPr>
        <w:t>主管部门</w:t>
      </w:r>
      <w:r>
        <w:rPr>
          <w:rFonts w:eastAsia="仿宋"/>
          <w:snapToGrid w:val="0"/>
          <w:kern w:val="0"/>
          <w:sz w:val="32"/>
          <w:szCs w:val="32"/>
        </w:rPr>
        <w:t>和各项目实施单位严格</w:t>
      </w:r>
      <w:r>
        <w:rPr>
          <w:rFonts w:eastAsia="仿宋"/>
          <w:snapToGrid w:val="0"/>
          <w:kern w:val="0"/>
          <w:sz w:val="32"/>
          <w:szCs w:val="32"/>
          <w:lang w:val="zh-CN"/>
        </w:rPr>
        <w:t>执行招投标、政府采购、项目公示制</w:t>
      </w:r>
      <w:r>
        <w:rPr>
          <w:rFonts w:eastAsia="仿宋"/>
          <w:snapToGrid w:val="0"/>
          <w:kern w:val="0"/>
          <w:sz w:val="32"/>
          <w:szCs w:val="32"/>
        </w:rPr>
        <w:t>等</w:t>
      </w:r>
      <w:r>
        <w:rPr>
          <w:rFonts w:eastAsia="仿宋"/>
          <w:snapToGrid w:val="0"/>
          <w:kern w:val="0"/>
          <w:sz w:val="32"/>
          <w:szCs w:val="32"/>
          <w:lang w:val="zh-CN"/>
        </w:rPr>
        <w:t>有关法律法规</w:t>
      </w:r>
      <w:r>
        <w:rPr>
          <w:rFonts w:eastAsia="仿宋"/>
          <w:snapToGrid w:val="0"/>
          <w:kern w:val="0"/>
          <w:sz w:val="32"/>
          <w:szCs w:val="32"/>
        </w:rPr>
        <w:t>和</w:t>
      </w:r>
      <w:r>
        <w:rPr>
          <w:rFonts w:eastAsia="仿宋"/>
          <w:snapToGrid w:val="0"/>
          <w:kern w:val="0"/>
          <w:sz w:val="32"/>
          <w:szCs w:val="32"/>
          <w:lang w:val="zh-CN"/>
        </w:rPr>
        <w:t>项目管理制度，</w:t>
      </w:r>
      <w:r>
        <w:rPr>
          <w:rFonts w:eastAsia="仿宋"/>
          <w:snapToGrid w:val="0"/>
          <w:kern w:val="0"/>
          <w:sz w:val="32"/>
          <w:szCs w:val="32"/>
        </w:rPr>
        <w:t>管好项目、用好资金，并严格按照合同约定组织实施，办公用房改造按时完成，办公设施设备采购及时到位，资金到位率和支付率均为100%，项目顺利推进、如期完成，满足了中心基本办公需求，确保了中心正常运转，达到了项目预期目标。</w:t>
      </w:r>
    </w:p>
    <w:p>
      <w:pPr>
        <w:adjustRightInd w:val="0"/>
        <w:snapToGrid w:val="0"/>
        <w:spacing w:line="353" w:lineRule="auto"/>
        <w:rPr>
          <w:rFonts w:ascii="楷体" w:hAnsi="楷体" w:eastAsia="楷体" w:cs="楷体"/>
          <w:snapToGrid w:val="0"/>
          <w:kern w:val="0"/>
          <w:sz w:val="32"/>
          <w:szCs w:val="32"/>
        </w:rPr>
      </w:pPr>
      <w:r>
        <w:rPr>
          <w:rFonts w:hint="eastAsia" w:ascii="楷体" w:hAnsi="楷体" w:eastAsia="楷体" w:cs="楷体"/>
          <w:snapToGrid w:val="0"/>
          <w:kern w:val="0"/>
          <w:sz w:val="32"/>
          <w:szCs w:val="32"/>
          <w:lang w:val="zh-CN"/>
        </w:rPr>
        <w:t>　　（二）存在的问题。</w:t>
      </w:r>
      <w:r>
        <w:rPr>
          <w:rFonts w:hint="eastAsia" w:ascii="楷体" w:hAnsi="楷体" w:eastAsia="楷体" w:cs="楷体"/>
          <w:snapToGrid w:val="0"/>
          <w:kern w:val="0"/>
          <w:sz w:val="32"/>
          <w:szCs w:val="32"/>
        </w:rPr>
        <w:t>无。</w:t>
      </w:r>
    </w:p>
    <w:p>
      <w:pPr>
        <w:adjustRightInd w:val="0"/>
        <w:snapToGrid w:val="0"/>
        <w:spacing w:line="353" w:lineRule="auto"/>
        <w:rPr>
          <w:rFonts w:eastAsia="仿宋"/>
          <w:snapToGrid w:val="0"/>
          <w:kern w:val="0"/>
          <w:sz w:val="32"/>
          <w:szCs w:val="32"/>
        </w:rPr>
      </w:pPr>
      <w:r>
        <w:rPr>
          <w:rFonts w:hint="eastAsia" w:ascii="楷体" w:hAnsi="楷体" w:eastAsia="楷体" w:cs="楷体"/>
          <w:snapToGrid w:val="0"/>
          <w:kern w:val="0"/>
          <w:sz w:val="32"/>
          <w:szCs w:val="32"/>
          <w:lang w:val="zh-CN"/>
        </w:rPr>
        <w:t>　　（三）有关建议。</w:t>
      </w:r>
      <w:r>
        <w:rPr>
          <w:rFonts w:eastAsia="仿宋"/>
          <w:snapToGrid w:val="0"/>
          <w:kern w:val="0"/>
          <w:sz w:val="32"/>
          <w:szCs w:val="32"/>
        </w:rPr>
        <w:t>无。</w:t>
      </w: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00" w:lineRule="auto"/>
        <w:rPr>
          <w:rFonts w:eastAsia="仿宋"/>
          <w:snapToGrid w:val="0"/>
          <w:kern w:val="0"/>
          <w:sz w:val="32"/>
          <w:szCs w:val="32"/>
        </w:rPr>
      </w:pPr>
    </w:p>
    <w:p>
      <w:pPr>
        <w:adjustRightInd w:val="0"/>
        <w:snapToGrid w:val="0"/>
        <w:spacing w:line="300" w:lineRule="auto"/>
        <w:jc w:val="center"/>
        <w:rPr>
          <w:rFonts w:eastAsia="方正小标宋_GBK"/>
          <w:snapToGrid w:val="0"/>
          <w:w w:val="90"/>
          <w:kern w:val="0"/>
          <w:sz w:val="44"/>
          <w:szCs w:val="44"/>
        </w:rPr>
      </w:pPr>
      <w:r>
        <w:rPr>
          <w:rFonts w:eastAsia="方正小标宋_GBK"/>
          <w:snapToGrid w:val="0"/>
          <w:w w:val="90"/>
          <w:kern w:val="0"/>
          <w:sz w:val="44"/>
          <w:szCs w:val="44"/>
        </w:rPr>
        <w:t>2022年市级专项资金预算项目绩效自评报告</w:t>
      </w:r>
    </w:p>
    <w:p>
      <w:pPr>
        <w:adjustRightInd w:val="0"/>
        <w:snapToGrid w:val="0"/>
        <w:spacing w:line="300" w:lineRule="auto"/>
        <w:jc w:val="center"/>
        <w:rPr>
          <w:rFonts w:eastAsia="仿宋"/>
          <w:snapToGrid w:val="0"/>
          <w:kern w:val="0"/>
          <w:sz w:val="32"/>
          <w:szCs w:val="32"/>
        </w:rPr>
      </w:pPr>
      <w:r>
        <w:rPr>
          <w:rFonts w:eastAsia="仿宋"/>
          <w:snapToGrid w:val="0"/>
          <w:kern w:val="0"/>
          <w:sz w:val="32"/>
          <w:szCs w:val="32"/>
        </w:rPr>
        <w:t>（电子政务外网和协同办公平台托管费）</w:t>
      </w:r>
    </w:p>
    <w:p>
      <w:pPr>
        <w:adjustRightInd w:val="0"/>
        <w:snapToGrid w:val="0"/>
        <w:spacing w:line="300" w:lineRule="auto"/>
        <w:rPr>
          <w:rFonts w:eastAsia="仿宋"/>
          <w:snapToGrid w:val="0"/>
          <w:kern w:val="0"/>
          <w:sz w:val="32"/>
          <w:szCs w:val="32"/>
        </w:rPr>
      </w:pPr>
    </w:p>
    <w:p>
      <w:pPr>
        <w:adjustRightInd w:val="0"/>
        <w:snapToGrid w:val="0"/>
        <w:spacing w:line="344" w:lineRule="auto"/>
        <w:rPr>
          <w:rFonts w:ascii="黑体" w:hAnsi="黑体" w:eastAsia="黑体" w:cs="黑体"/>
          <w:snapToGrid w:val="0"/>
          <w:kern w:val="0"/>
          <w:sz w:val="32"/>
          <w:szCs w:val="32"/>
          <w:lang w:val="zh-CN"/>
        </w:rPr>
      </w:pPr>
      <w:r>
        <w:rPr>
          <w:rFonts w:hint="eastAsia" w:ascii="黑体" w:hAnsi="黑体" w:eastAsia="黑体" w:cs="黑体"/>
          <w:snapToGrid w:val="0"/>
          <w:kern w:val="0"/>
          <w:sz w:val="32"/>
          <w:szCs w:val="32"/>
        </w:rPr>
        <w:t>　　一、</w:t>
      </w:r>
      <w:r>
        <w:rPr>
          <w:rFonts w:hint="eastAsia" w:ascii="黑体" w:hAnsi="黑体" w:eastAsia="黑体" w:cs="黑体"/>
          <w:snapToGrid w:val="0"/>
          <w:kern w:val="0"/>
          <w:sz w:val="32"/>
          <w:szCs w:val="32"/>
          <w:lang w:val="zh-CN"/>
        </w:rPr>
        <w:t>项目概况</w:t>
      </w:r>
    </w:p>
    <w:p>
      <w:pPr>
        <w:adjustRightInd w:val="0"/>
        <w:snapToGrid w:val="0"/>
        <w:spacing w:line="344"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（一）项目基本情况。</w:t>
      </w:r>
    </w:p>
    <w:p>
      <w:pPr>
        <w:adjustRightInd w:val="0"/>
        <w:snapToGrid w:val="0"/>
        <w:spacing w:line="344" w:lineRule="auto"/>
        <w:rPr>
          <w:rFonts w:eastAsia="仿宋"/>
          <w:snapToGrid w:val="0"/>
          <w:kern w:val="0"/>
          <w:sz w:val="32"/>
          <w:szCs w:val="32"/>
        </w:rPr>
      </w:pPr>
      <w:r>
        <w:rPr>
          <w:rFonts w:hint="eastAsia" w:eastAsia="仿宋"/>
          <w:snapToGrid w:val="0"/>
          <w:kern w:val="0"/>
          <w:sz w:val="32"/>
          <w:szCs w:val="32"/>
          <w:lang w:val="zh-CN"/>
        </w:rPr>
        <w:t>　　</w:t>
      </w:r>
      <w:r>
        <w:rPr>
          <w:rFonts w:eastAsia="仿宋"/>
          <w:snapToGrid w:val="0"/>
          <w:kern w:val="0"/>
          <w:sz w:val="32"/>
          <w:szCs w:val="32"/>
          <w:lang w:val="zh-CN"/>
        </w:rPr>
        <w:t>1．</w:t>
      </w:r>
      <w:r>
        <w:rPr>
          <w:rFonts w:eastAsia="仿宋"/>
          <w:snapToGrid w:val="0"/>
          <w:kern w:val="0"/>
          <w:sz w:val="32"/>
          <w:szCs w:val="32"/>
        </w:rPr>
        <w:t>市大数据中心负责我市电子政务外网和协同办公平台建设、运维、管理工作。</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2．根据《攀枝花市信创版协同办公平台IDC服务合同》约定，全市电子政务外网网络核心设备和信创版协同办公平台设备47台全部托管在电信公司IDC机房，保障设备安全正常运行，根据设备功率计算的电费作为托管费用。</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3．按照47台托管设备功率计算托管（电费）费。</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4．资金分配的原则及考虑因素。</w:t>
      </w:r>
    </w:p>
    <w:p>
      <w:pPr>
        <w:adjustRightInd w:val="0"/>
        <w:snapToGrid w:val="0"/>
        <w:spacing w:line="344" w:lineRule="auto"/>
        <w:rPr>
          <w:rFonts w:eastAsia="仿宋"/>
          <w:snapToGrid w:val="0"/>
          <w:kern w:val="0"/>
          <w:sz w:val="32"/>
          <w:szCs w:val="32"/>
          <w:lang w:val="zh-CN"/>
        </w:rPr>
      </w:pPr>
      <w:r>
        <w:rPr>
          <w:rFonts w:eastAsia="仿宋"/>
          <w:snapToGrid w:val="0"/>
          <w:kern w:val="0"/>
          <w:sz w:val="32"/>
          <w:szCs w:val="32"/>
          <w:lang w:val="zh-CN"/>
        </w:rPr>
        <w:t>　　按照合同约定，托管费按月支付。</w:t>
      </w:r>
    </w:p>
    <w:p>
      <w:pPr>
        <w:adjustRightInd w:val="0"/>
        <w:snapToGrid w:val="0"/>
        <w:spacing w:line="344"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（二）项目绩效目标。</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1．本项目托管设备包括电子政务外网网络核心设备和协同办公平台设备47台，所有设备安全正常运行，确保我市电子政务外网和协同办公平台正常运行，满足全市各级党政机关内部办公需要。</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2．电子政务外网和协同办公平台的正常稳定运行，提高了全市各级党政机关内部办公效率，节约了行政成本。全年电子政务外网稳定运行，无重大事故发生；市协同办公平台正常运行，累计发送公文285759份，累计接收公文3674556份。达到了项目预期目标。</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3．申报内容与实际相符，申报目标合理。</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　（三）项目自评步骤及方法</w:t>
      </w:r>
      <w:r>
        <w:rPr>
          <w:rFonts w:eastAsia="仿宋"/>
          <w:snapToGrid w:val="0"/>
          <w:kern w:val="0"/>
          <w:sz w:val="32"/>
          <w:szCs w:val="32"/>
          <w:lang w:val="zh-CN"/>
        </w:rPr>
        <w:t>。实时监测各级部门电子政务外网运行情况和协同办公平台使用情况，并结合市网络安全运营中心每月出具的电子政务外网及协同办公平台网络安全监测情况，2022年全年未出现因断电导致电子政务外网和协同办公平台无法正常运行的情况发生。达到了项目预期目标。</w:t>
      </w:r>
    </w:p>
    <w:p>
      <w:pPr>
        <w:adjustRightInd w:val="0"/>
        <w:snapToGrid w:val="0"/>
        <w:spacing w:line="344"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二、项目资金申报及使用情况</w:t>
      </w:r>
    </w:p>
    <w:p>
      <w:pPr>
        <w:adjustRightInd w:val="0"/>
        <w:snapToGrid w:val="0"/>
        <w:spacing w:line="344"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（一）项目资金申报及批复情况。</w:t>
      </w:r>
      <w:r>
        <w:rPr>
          <w:rFonts w:eastAsia="仿宋"/>
          <w:snapToGrid w:val="0"/>
          <w:kern w:val="0"/>
          <w:sz w:val="32"/>
          <w:szCs w:val="32"/>
          <w:lang w:val="zh-CN"/>
        </w:rPr>
        <w:t>按照《攀枝花市预算绩效管理操作实务指南》要求，进行了2022年电子政务外网和协同办公平台托管费（电费）预算申报工作，调整预算数为10.68万元。</w:t>
      </w:r>
    </w:p>
    <w:p>
      <w:pPr>
        <w:adjustRightInd w:val="0"/>
        <w:snapToGrid w:val="0"/>
        <w:spacing w:line="344" w:lineRule="auto"/>
        <w:rPr>
          <w:rFonts w:ascii="楷体" w:hAnsi="楷体" w:eastAsia="楷体" w:cs="楷体"/>
          <w:snapToGrid w:val="0"/>
          <w:kern w:val="0"/>
          <w:sz w:val="32"/>
          <w:szCs w:val="32"/>
          <w:lang w:val="zh-CN"/>
        </w:rPr>
      </w:pPr>
      <w:r>
        <w:rPr>
          <w:rFonts w:hint="eastAsia" w:ascii="楷体" w:hAnsi="楷体" w:eastAsia="楷体" w:cs="楷体"/>
          <w:snapToGrid w:val="0"/>
          <w:kern w:val="0"/>
          <w:sz w:val="32"/>
          <w:szCs w:val="32"/>
          <w:lang w:val="zh-CN"/>
        </w:rPr>
        <w:t>　　（二）资金计划、到位及使用情况。</w:t>
      </w:r>
    </w:p>
    <w:p>
      <w:pPr>
        <w:adjustRightInd w:val="0"/>
        <w:snapToGrid w:val="0"/>
        <w:spacing w:line="344" w:lineRule="auto"/>
        <w:rPr>
          <w:rFonts w:eastAsia="仿宋"/>
          <w:kern w:val="0"/>
          <w:sz w:val="32"/>
          <w:szCs w:val="32"/>
          <w:shd w:val="clear" w:color="auto" w:fill="FFFFFF"/>
          <w:lang w:val="zh-CN"/>
        </w:rPr>
      </w:pPr>
      <w:r>
        <w:rPr>
          <w:rFonts w:hint="eastAsia" w:eastAsia="仿宋"/>
          <w:snapToGrid w:val="0"/>
          <w:kern w:val="0"/>
          <w:sz w:val="32"/>
          <w:szCs w:val="32"/>
          <w:lang w:val="zh-CN"/>
        </w:rPr>
        <w:t>　　</w:t>
      </w:r>
      <w:r>
        <w:rPr>
          <w:rFonts w:eastAsia="仿宋"/>
          <w:snapToGrid w:val="0"/>
          <w:kern w:val="0"/>
          <w:sz w:val="32"/>
          <w:szCs w:val="32"/>
          <w:lang w:val="zh-CN"/>
        </w:rPr>
        <w:t>1．资金计划。本项目为市级财政资金。</w:t>
      </w:r>
    </w:p>
    <w:tbl>
      <w:tblPr>
        <w:tblStyle w:val="16"/>
        <w:tblW w:w="8675" w:type="dxa"/>
        <w:jc w:val="center"/>
        <w:tblLayout w:type="autofit"/>
        <w:tblCellMar>
          <w:top w:w="0" w:type="dxa"/>
          <w:left w:w="108" w:type="dxa"/>
          <w:bottom w:w="0" w:type="dxa"/>
          <w:right w:w="108" w:type="dxa"/>
        </w:tblCellMar>
      </w:tblPr>
      <w:tblGrid>
        <w:gridCol w:w="1709"/>
        <w:gridCol w:w="1982"/>
        <w:gridCol w:w="1987"/>
        <w:gridCol w:w="1843"/>
        <w:gridCol w:w="1154"/>
      </w:tblGrid>
      <w:tr>
        <w:tblPrEx>
          <w:tblCellMar>
            <w:top w:w="0" w:type="dxa"/>
            <w:left w:w="108" w:type="dxa"/>
            <w:bottom w:w="0" w:type="dxa"/>
            <w:right w:w="108" w:type="dxa"/>
          </w:tblCellMar>
        </w:tblPrEx>
        <w:trPr>
          <w:trHeight w:val="513" w:hRule="atLeast"/>
          <w:jc w:val="center"/>
        </w:trPr>
        <w:tc>
          <w:tcPr>
            <w:tcW w:w="17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年度预算数（万元）</w:t>
            </w:r>
          </w:p>
        </w:tc>
        <w:tc>
          <w:tcPr>
            <w:tcW w:w="1982" w:type="dxa"/>
            <w:tcBorders>
              <w:top w:val="single" w:color="000000" w:sz="4" w:space="0"/>
              <w:left w:val="nil"/>
              <w:bottom w:val="single" w:color="000000" w:sz="4" w:space="0"/>
              <w:right w:val="single" w:color="000000" w:sz="4" w:space="0"/>
            </w:tcBorders>
            <w:shd w:val="clear" w:color="auto" w:fill="auto"/>
            <w:vAlign w:val="center"/>
          </w:tcPr>
          <w:p>
            <w:pPr>
              <w:widowControl/>
              <w:adjustRightInd w:val="0"/>
              <w:snapToGrid w:val="0"/>
              <w:jc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年初预算</w:t>
            </w:r>
          </w:p>
        </w:tc>
        <w:tc>
          <w:tcPr>
            <w:tcW w:w="1987" w:type="dxa"/>
            <w:tcBorders>
              <w:top w:val="single" w:color="000000" w:sz="4" w:space="0"/>
              <w:left w:val="nil"/>
              <w:bottom w:val="single" w:color="000000" w:sz="4" w:space="0"/>
              <w:right w:val="single" w:color="000000" w:sz="4" w:space="0"/>
            </w:tcBorders>
            <w:shd w:val="clear" w:color="auto" w:fill="auto"/>
            <w:vAlign w:val="center"/>
          </w:tcPr>
          <w:p>
            <w:pPr>
              <w:widowControl/>
              <w:adjustRightInd w:val="0"/>
              <w:snapToGrid w:val="0"/>
              <w:jc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调整后预算数</w:t>
            </w:r>
          </w:p>
        </w:tc>
        <w:tc>
          <w:tcPr>
            <w:tcW w:w="1843" w:type="dxa"/>
            <w:tcBorders>
              <w:top w:val="single" w:color="000000" w:sz="4" w:space="0"/>
              <w:left w:val="nil"/>
              <w:bottom w:val="single" w:color="000000" w:sz="4" w:space="0"/>
              <w:right w:val="single" w:color="000000" w:sz="4" w:space="0"/>
            </w:tcBorders>
            <w:shd w:val="clear" w:color="auto" w:fill="auto"/>
            <w:vAlign w:val="center"/>
          </w:tcPr>
          <w:p>
            <w:pPr>
              <w:widowControl/>
              <w:adjustRightInd w:val="0"/>
              <w:snapToGrid w:val="0"/>
              <w:jc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预算执行数</w:t>
            </w:r>
          </w:p>
        </w:tc>
        <w:tc>
          <w:tcPr>
            <w:tcW w:w="1154" w:type="dxa"/>
            <w:tcBorders>
              <w:top w:val="single" w:color="000000" w:sz="4" w:space="0"/>
              <w:left w:val="nil"/>
              <w:bottom w:val="single" w:color="000000" w:sz="4" w:space="0"/>
              <w:right w:val="single" w:color="000000" w:sz="4" w:space="0"/>
            </w:tcBorders>
            <w:shd w:val="clear" w:color="auto" w:fill="auto"/>
            <w:vAlign w:val="center"/>
          </w:tcPr>
          <w:p>
            <w:pPr>
              <w:widowControl/>
              <w:adjustRightInd w:val="0"/>
              <w:snapToGrid w:val="0"/>
              <w:jc w:val="center"/>
              <w:rPr>
                <w:rFonts w:ascii="黑体" w:hAnsi="黑体" w:eastAsia="黑体" w:cs="黑体"/>
                <w:snapToGrid w:val="0"/>
                <w:color w:val="000000"/>
                <w:kern w:val="0"/>
                <w:sz w:val="18"/>
                <w:szCs w:val="18"/>
              </w:rPr>
            </w:pPr>
            <w:r>
              <w:rPr>
                <w:rFonts w:hint="eastAsia" w:ascii="黑体" w:hAnsi="黑体" w:eastAsia="黑体" w:cs="黑体"/>
                <w:snapToGrid w:val="0"/>
                <w:color w:val="000000"/>
                <w:kern w:val="0"/>
                <w:sz w:val="18"/>
                <w:szCs w:val="18"/>
              </w:rPr>
              <w:t>预算执行率</w:t>
            </w:r>
          </w:p>
        </w:tc>
      </w:tr>
      <w:tr>
        <w:tblPrEx>
          <w:tblCellMar>
            <w:top w:w="0" w:type="dxa"/>
            <w:left w:w="108" w:type="dxa"/>
            <w:bottom w:w="0" w:type="dxa"/>
            <w:right w:w="108" w:type="dxa"/>
          </w:tblCellMar>
        </w:tblPrEx>
        <w:trPr>
          <w:trHeight w:val="587" w:hRule="atLeast"/>
          <w:jc w:val="center"/>
        </w:trPr>
        <w:tc>
          <w:tcPr>
            <w:tcW w:w="1709" w:type="dxa"/>
            <w:tcBorders>
              <w:top w:val="nil"/>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总额</w:t>
            </w:r>
          </w:p>
        </w:tc>
        <w:tc>
          <w:tcPr>
            <w:tcW w:w="1982"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987"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10.68</w:t>
            </w:r>
          </w:p>
        </w:tc>
        <w:tc>
          <w:tcPr>
            <w:tcW w:w="1843" w:type="dxa"/>
            <w:tcBorders>
              <w:top w:val="single" w:color="000000" w:sz="4" w:space="0"/>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10.68</w:t>
            </w:r>
          </w:p>
        </w:tc>
        <w:tc>
          <w:tcPr>
            <w:tcW w:w="1154"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100.00%</w:t>
            </w:r>
          </w:p>
        </w:tc>
      </w:tr>
      <w:tr>
        <w:tblPrEx>
          <w:tblCellMar>
            <w:top w:w="0" w:type="dxa"/>
            <w:left w:w="108" w:type="dxa"/>
            <w:bottom w:w="0" w:type="dxa"/>
            <w:right w:w="108" w:type="dxa"/>
          </w:tblCellMar>
        </w:tblPrEx>
        <w:trPr>
          <w:trHeight w:val="532" w:hRule="atLeast"/>
          <w:jc w:val="center"/>
        </w:trPr>
        <w:tc>
          <w:tcPr>
            <w:tcW w:w="1709" w:type="dxa"/>
            <w:tcBorders>
              <w:top w:val="nil"/>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其中：财政资金</w:t>
            </w:r>
          </w:p>
        </w:tc>
        <w:tc>
          <w:tcPr>
            <w:tcW w:w="1982"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987"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10.68</w:t>
            </w:r>
          </w:p>
        </w:tc>
        <w:tc>
          <w:tcPr>
            <w:tcW w:w="1843" w:type="dxa"/>
            <w:tcBorders>
              <w:top w:val="single" w:color="000000" w:sz="4" w:space="0"/>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10.68</w:t>
            </w:r>
          </w:p>
        </w:tc>
        <w:tc>
          <w:tcPr>
            <w:tcW w:w="1154"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100.00%</w:t>
            </w:r>
          </w:p>
        </w:tc>
      </w:tr>
      <w:tr>
        <w:tblPrEx>
          <w:tblCellMar>
            <w:top w:w="0" w:type="dxa"/>
            <w:left w:w="108" w:type="dxa"/>
            <w:bottom w:w="0" w:type="dxa"/>
            <w:right w:w="108" w:type="dxa"/>
          </w:tblCellMar>
        </w:tblPrEx>
        <w:trPr>
          <w:trHeight w:val="547" w:hRule="atLeast"/>
          <w:jc w:val="center"/>
        </w:trPr>
        <w:tc>
          <w:tcPr>
            <w:tcW w:w="1709" w:type="dxa"/>
            <w:tcBorders>
              <w:top w:val="nil"/>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财政专户管理资金</w:t>
            </w:r>
          </w:p>
        </w:tc>
        <w:tc>
          <w:tcPr>
            <w:tcW w:w="1982"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987"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843" w:type="dxa"/>
            <w:tcBorders>
              <w:top w:val="single" w:color="000000" w:sz="4" w:space="0"/>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154"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r>
      <w:tr>
        <w:tblPrEx>
          <w:tblCellMar>
            <w:top w:w="0" w:type="dxa"/>
            <w:left w:w="108" w:type="dxa"/>
            <w:bottom w:w="0" w:type="dxa"/>
            <w:right w:w="108" w:type="dxa"/>
          </w:tblCellMar>
        </w:tblPrEx>
        <w:trPr>
          <w:trHeight w:val="552" w:hRule="atLeast"/>
          <w:jc w:val="center"/>
        </w:trPr>
        <w:tc>
          <w:tcPr>
            <w:tcW w:w="1709" w:type="dxa"/>
            <w:tcBorders>
              <w:top w:val="nil"/>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单位资金</w:t>
            </w:r>
          </w:p>
        </w:tc>
        <w:tc>
          <w:tcPr>
            <w:tcW w:w="1982"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987"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843" w:type="dxa"/>
            <w:tcBorders>
              <w:top w:val="single" w:color="000000" w:sz="4" w:space="0"/>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154"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r>
      <w:tr>
        <w:tblPrEx>
          <w:tblCellMar>
            <w:top w:w="0" w:type="dxa"/>
            <w:left w:w="108" w:type="dxa"/>
            <w:bottom w:w="0" w:type="dxa"/>
            <w:right w:w="108" w:type="dxa"/>
          </w:tblCellMar>
        </w:tblPrEx>
        <w:trPr>
          <w:trHeight w:val="596" w:hRule="atLeast"/>
          <w:jc w:val="center"/>
        </w:trPr>
        <w:tc>
          <w:tcPr>
            <w:tcW w:w="1709" w:type="dxa"/>
            <w:tcBorders>
              <w:top w:val="nil"/>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其他资金</w:t>
            </w:r>
          </w:p>
        </w:tc>
        <w:tc>
          <w:tcPr>
            <w:tcW w:w="1982"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i/>
                <w:iCs/>
                <w:snapToGrid w:val="0"/>
                <w:color w:val="000000"/>
                <w:kern w:val="0"/>
                <w:sz w:val="18"/>
                <w:szCs w:val="18"/>
              </w:rPr>
            </w:pPr>
            <w:r>
              <w:rPr>
                <w:rFonts w:eastAsia="仿宋"/>
                <w:i/>
                <w:iCs/>
                <w:snapToGrid w:val="0"/>
                <w:color w:val="000000"/>
                <w:kern w:val="0"/>
                <w:sz w:val="18"/>
                <w:szCs w:val="18"/>
              </w:rPr>
              <w:t>　</w:t>
            </w:r>
            <w:r>
              <w:rPr>
                <w:rFonts w:eastAsia="仿宋"/>
                <w:snapToGrid w:val="0"/>
                <w:color w:val="000000"/>
                <w:kern w:val="0"/>
                <w:sz w:val="18"/>
                <w:szCs w:val="18"/>
              </w:rPr>
              <w:t>0.00</w:t>
            </w:r>
          </w:p>
        </w:tc>
        <w:tc>
          <w:tcPr>
            <w:tcW w:w="1987"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i/>
                <w:iCs/>
                <w:snapToGrid w:val="0"/>
                <w:color w:val="000000"/>
                <w:kern w:val="0"/>
                <w:sz w:val="18"/>
                <w:szCs w:val="18"/>
              </w:rPr>
            </w:pPr>
            <w:r>
              <w:rPr>
                <w:rFonts w:eastAsia="仿宋"/>
                <w:i/>
                <w:iCs/>
                <w:snapToGrid w:val="0"/>
                <w:color w:val="000000"/>
                <w:kern w:val="0"/>
                <w:sz w:val="18"/>
                <w:szCs w:val="18"/>
              </w:rPr>
              <w:t>　</w:t>
            </w:r>
            <w:r>
              <w:rPr>
                <w:rFonts w:eastAsia="仿宋"/>
                <w:snapToGrid w:val="0"/>
                <w:color w:val="000000"/>
                <w:kern w:val="0"/>
                <w:sz w:val="18"/>
                <w:szCs w:val="18"/>
              </w:rPr>
              <w:t>0.00</w:t>
            </w:r>
          </w:p>
        </w:tc>
        <w:tc>
          <w:tcPr>
            <w:tcW w:w="1843" w:type="dxa"/>
            <w:tcBorders>
              <w:top w:val="single" w:color="000000" w:sz="4" w:space="0"/>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i/>
                <w:iCs/>
                <w:snapToGrid w:val="0"/>
                <w:color w:val="000000"/>
                <w:kern w:val="0"/>
                <w:sz w:val="18"/>
                <w:szCs w:val="18"/>
              </w:rPr>
            </w:pPr>
            <w:r>
              <w:rPr>
                <w:rFonts w:eastAsia="仿宋"/>
                <w:snapToGrid w:val="0"/>
                <w:color w:val="000000"/>
                <w:kern w:val="0"/>
                <w:sz w:val="18"/>
                <w:szCs w:val="18"/>
              </w:rPr>
              <w:t>0.00</w:t>
            </w:r>
            <w:r>
              <w:rPr>
                <w:rFonts w:eastAsia="仿宋"/>
                <w:i/>
                <w:iCs/>
                <w:snapToGrid w:val="0"/>
                <w:color w:val="000000"/>
                <w:kern w:val="0"/>
                <w:sz w:val="18"/>
                <w:szCs w:val="18"/>
              </w:rPr>
              <w:t>　</w:t>
            </w:r>
          </w:p>
        </w:tc>
        <w:tc>
          <w:tcPr>
            <w:tcW w:w="1154" w:type="dxa"/>
            <w:tcBorders>
              <w:top w:val="nil"/>
              <w:left w:val="nil"/>
              <w:bottom w:val="single" w:color="000000" w:sz="4" w:space="0"/>
              <w:right w:val="single" w:color="000000" w:sz="4" w:space="0"/>
            </w:tcBorders>
            <w:shd w:val="clear" w:color="auto" w:fill="auto"/>
            <w:vAlign w:val="center"/>
          </w:tcPr>
          <w:p>
            <w:pPr>
              <w:widowControl/>
              <w:adjustRightInd w:val="0"/>
              <w:snapToGrid w:val="0"/>
              <w:jc w:val="center"/>
              <w:rPr>
                <w:rFonts w:eastAsia="仿宋"/>
                <w:i/>
                <w:iCs/>
                <w:snapToGrid w:val="0"/>
                <w:color w:val="000000"/>
                <w:kern w:val="0"/>
                <w:sz w:val="18"/>
                <w:szCs w:val="18"/>
              </w:rPr>
            </w:pPr>
            <w:r>
              <w:rPr>
                <w:rFonts w:eastAsia="仿宋"/>
                <w:i/>
                <w:iCs/>
                <w:snapToGrid w:val="0"/>
                <w:color w:val="000000"/>
                <w:kern w:val="0"/>
                <w:sz w:val="18"/>
                <w:szCs w:val="18"/>
              </w:rPr>
              <w:t>　</w:t>
            </w:r>
            <w:r>
              <w:rPr>
                <w:rFonts w:eastAsia="仿宋"/>
                <w:bCs/>
                <w:sz w:val="18"/>
                <w:szCs w:val="18"/>
                <w:lang w:val="zh-CN"/>
              </w:rPr>
              <w:t>0.00%</w:t>
            </w:r>
          </w:p>
        </w:tc>
      </w:tr>
    </w:tbl>
    <w:p>
      <w:pPr>
        <w:rPr>
          <w:rFonts w:eastAsia="仿宋"/>
          <w:sz w:val="32"/>
          <w:szCs w:val="32"/>
          <w:lang w:val="zh-CN"/>
        </w:rPr>
      </w:pPr>
      <w:r>
        <w:rPr>
          <w:rFonts w:hint="eastAsia" w:eastAsia="仿宋"/>
          <w:sz w:val="32"/>
          <w:szCs w:val="32"/>
          <w:lang w:val="zh-CN"/>
        </w:rPr>
        <w:t>　　</w:t>
      </w:r>
      <w:r>
        <w:rPr>
          <w:rFonts w:eastAsia="仿宋"/>
          <w:sz w:val="32"/>
          <w:szCs w:val="32"/>
          <w:lang w:val="zh-CN"/>
        </w:rPr>
        <w:t>2．资金到位。调整后的预算资金10.68万元全部到位，资金到位率100%。</w:t>
      </w:r>
    </w:p>
    <w:p>
      <w:pPr>
        <w:rPr>
          <w:rFonts w:eastAsia="仿宋"/>
          <w:sz w:val="32"/>
          <w:szCs w:val="32"/>
          <w:lang w:val="zh-CN"/>
        </w:rPr>
      </w:pPr>
      <w:r>
        <w:rPr>
          <w:rFonts w:hint="eastAsia" w:eastAsia="仿宋"/>
          <w:sz w:val="32"/>
          <w:szCs w:val="32"/>
          <w:lang w:val="zh-CN"/>
        </w:rPr>
        <w:t>　　</w:t>
      </w:r>
      <w:r>
        <w:rPr>
          <w:rFonts w:eastAsia="仿宋"/>
          <w:sz w:val="32"/>
          <w:szCs w:val="32"/>
          <w:lang w:val="zh-CN"/>
        </w:rPr>
        <w:t>3．资金使用。按照市政府办公室财务管理相关规定及时向电信公司支付了2022年电子政务外网和协同办公平台托管费（电费）。</w:t>
      </w:r>
    </w:p>
    <w:p>
      <w:pPr>
        <w:rPr>
          <w:rFonts w:eastAsia="仿宋"/>
          <w:sz w:val="32"/>
          <w:szCs w:val="32"/>
          <w:lang w:val="zh-CN"/>
        </w:rPr>
      </w:pPr>
      <w:r>
        <w:rPr>
          <w:rFonts w:hint="eastAsia" w:eastAsia="仿宋"/>
          <w:sz w:val="32"/>
          <w:szCs w:val="32"/>
          <w:lang w:val="zh-CN"/>
        </w:rPr>
        <w:t>　　</w:t>
      </w:r>
      <w:r>
        <w:rPr>
          <w:rFonts w:hint="eastAsia" w:ascii="楷体" w:hAnsi="楷体" w:eastAsia="楷体" w:cs="楷体"/>
          <w:sz w:val="32"/>
          <w:szCs w:val="32"/>
          <w:lang w:val="zh-CN"/>
        </w:rPr>
        <w:t>（三）项目财务管理情况</w:t>
      </w:r>
      <w:r>
        <w:rPr>
          <w:rFonts w:eastAsia="仿宋"/>
          <w:sz w:val="32"/>
          <w:szCs w:val="32"/>
          <w:lang w:val="zh-CN"/>
        </w:rPr>
        <w:t>。本项目严格执行财务管理制度，及时向电信公司支付了电子政务外网和协同办公平台托管费（电费）。</w:t>
      </w:r>
    </w:p>
    <w:p>
      <w:pPr>
        <w:rPr>
          <w:rFonts w:ascii="黑体" w:hAnsi="黑体" w:eastAsia="黑体" w:cs="黑体"/>
          <w:sz w:val="32"/>
          <w:szCs w:val="32"/>
        </w:rPr>
      </w:pPr>
      <w:r>
        <w:rPr>
          <w:rFonts w:hint="eastAsia" w:ascii="黑体" w:hAnsi="黑体" w:eastAsia="黑体" w:cs="黑体"/>
          <w:sz w:val="32"/>
          <w:szCs w:val="32"/>
        </w:rPr>
        <w:t>　　三、项目实施及管理情况</w:t>
      </w:r>
    </w:p>
    <w:p>
      <w:pPr>
        <w:rPr>
          <w:rFonts w:eastAsia="仿宋"/>
          <w:sz w:val="32"/>
          <w:szCs w:val="32"/>
          <w:lang w:val="zh-CN"/>
        </w:rPr>
      </w:pPr>
      <w:r>
        <w:rPr>
          <w:rFonts w:hint="eastAsia" w:eastAsia="仿宋"/>
          <w:sz w:val="32"/>
          <w:szCs w:val="32"/>
          <w:lang w:val="zh-CN"/>
        </w:rPr>
        <w:t>　　</w:t>
      </w:r>
      <w:r>
        <w:rPr>
          <w:rFonts w:eastAsia="仿宋"/>
          <w:sz w:val="32"/>
          <w:szCs w:val="32"/>
          <w:lang w:val="zh-CN"/>
        </w:rPr>
        <w:t>结合项目组织实施管理办法，重点围绕以下内容进行分析评价，并对自评中发现的问题分析说明。</w:t>
      </w:r>
    </w:p>
    <w:p>
      <w:pPr>
        <w:rPr>
          <w:rFonts w:eastAsia="仿宋"/>
          <w:sz w:val="32"/>
          <w:szCs w:val="32"/>
          <w:lang w:val="zh-CN"/>
        </w:rPr>
      </w:pPr>
      <w:r>
        <w:rPr>
          <w:rFonts w:eastAsia="仿宋"/>
          <w:sz w:val="32"/>
          <w:szCs w:val="32"/>
          <w:lang w:val="zh-CN"/>
        </w:rPr>
        <w:t>　　</w:t>
      </w:r>
      <w:r>
        <w:rPr>
          <w:rFonts w:hint="eastAsia" w:ascii="楷体" w:hAnsi="楷体" w:eastAsia="楷体" w:cs="楷体"/>
          <w:sz w:val="32"/>
          <w:szCs w:val="32"/>
          <w:lang w:val="zh-CN"/>
        </w:rPr>
        <w:t>（一）项目组织架构及实施流程。</w:t>
      </w:r>
      <w:r>
        <w:rPr>
          <w:rFonts w:eastAsia="仿宋"/>
          <w:sz w:val="32"/>
          <w:szCs w:val="32"/>
          <w:lang w:val="zh-CN"/>
        </w:rPr>
        <w:t>本项目根据《攀枝花市信创版协同办公平台IDC服务合同》约定，保障全市电子政务外网和协同办公平台全年正常运行不中断，同时，严格执行财务管理相关制度支付相应合同费用。</w:t>
      </w:r>
    </w:p>
    <w:p>
      <w:pPr>
        <w:rPr>
          <w:rFonts w:eastAsia="仿宋"/>
          <w:sz w:val="32"/>
          <w:szCs w:val="32"/>
          <w:lang w:val="zh-CN"/>
        </w:rPr>
      </w:pPr>
      <w:r>
        <w:rPr>
          <w:rFonts w:hint="eastAsia" w:eastAsia="仿宋"/>
          <w:sz w:val="32"/>
          <w:szCs w:val="32"/>
          <w:lang w:val="zh-CN"/>
        </w:rPr>
        <w:t>　　</w:t>
      </w:r>
      <w:r>
        <w:rPr>
          <w:rFonts w:hint="eastAsia" w:ascii="楷体" w:hAnsi="楷体" w:eastAsia="楷体" w:cs="楷体"/>
          <w:sz w:val="32"/>
          <w:szCs w:val="32"/>
          <w:lang w:val="zh-CN"/>
        </w:rPr>
        <w:t>（二）项目管理情况。</w:t>
      </w:r>
      <w:r>
        <w:rPr>
          <w:rFonts w:eastAsia="仿宋"/>
          <w:sz w:val="32"/>
          <w:szCs w:val="32"/>
          <w:lang w:val="zh-CN"/>
        </w:rPr>
        <w:t>我中心严格执行招投标、政府采购、项目公示制等相关法律法规和项目管理制度。</w:t>
      </w:r>
    </w:p>
    <w:p>
      <w:pPr>
        <w:rPr>
          <w:rFonts w:eastAsia="仿宋"/>
          <w:sz w:val="32"/>
          <w:szCs w:val="32"/>
          <w:lang w:val="zh-CN"/>
        </w:rPr>
      </w:pPr>
      <w:r>
        <w:rPr>
          <w:rFonts w:hint="eastAsia" w:eastAsia="仿宋"/>
          <w:sz w:val="32"/>
          <w:szCs w:val="32"/>
          <w:lang w:val="zh-CN"/>
        </w:rPr>
        <w:t>　</w:t>
      </w:r>
      <w:r>
        <w:rPr>
          <w:rFonts w:hint="eastAsia" w:ascii="楷体" w:hAnsi="楷体" w:eastAsia="楷体" w:cs="楷体"/>
          <w:sz w:val="32"/>
          <w:szCs w:val="32"/>
          <w:lang w:val="zh-CN"/>
        </w:rPr>
        <w:t>　（三）项目监管情况。</w:t>
      </w:r>
      <w:r>
        <w:rPr>
          <w:rFonts w:eastAsia="仿宋"/>
          <w:sz w:val="32"/>
          <w:szCs w:val="32"/>
          <w:lang w:val="zh-CN"/>
        </w:rPr>
        <w:t>为确保管好项目、用好资金，我中心按照市政府办公室有关规定和程序，在合同签订、资金拨付等关键环节，报请市政府机关党组审议，并严格执行财务管理制度进行资金拨付。</w:t>
      </w:r>
    </w:p>
    <w:p>
      <w:pPr>
        <w:rPr>
          <w:rFonts w:ascii="黑体" w:hAnsi="黑体" w:eastAsia="黑体" w:cs="黑体"/>
          <w:sz w:val="32"/>
          <w:szCs w:val="32"/>
          <w:lang w:val="zh-CN"/>
        </w:rPr>
      </w:pPr>
      <w:r>
        <w:rPr>
          <w:rFonts w:hint="eastAsia" w:ascii="黑体" w:hAnsi="黑体" w:eastAsia="黑体" w:cs="黑体"/>
          <w:sz w:val="32"/>
          <w:szCs w:val="32"/>
        </w:rPr>
        <w:t>　　四、项目绩效情况</w:t>
      </w:r>
      <w:r>
        <w:rPr>
          <w:rFonts w:hint="eastAsia" w:ascii="黑体" w:hAnsi="黑体" w:eastAsia="黑体" w:cs="黑体"/>
          <w:sz w:val="32"/>
          <w:szCs w:val="32"/>
          <w:lang w:val="zh-CN"/>
        </w:rPr>
        <w:tab/>
      </w:r>
    </w:p>
    <w:p>
      <w:pPr>
        <w:rPr>
          <w:rFonts w:eastAsia="仿宋"/>
          <w:sz w:val="32"/>
          <w:szCs w:val="32"/>
          <w:lang w:val="zh-CN"/>
        </w:rPr>
      </w:pPr>
      <w:r>
        <w:rPr>
          <w:rFonts w:hint="eastAsia" w:eastAsia="仿宋"/>
          <w:sz w:val="32"/>
          <w:szCs w:val="32"/>
          <w:lang w:val="zh-CN"/>
        </w:rPr>
        <w:t>　　</w:t>
      </w:r>
      <w:r>
        <w:rPr>
          <w:rFonts w:hint="eastAsia" w:ascii="楷体" w:hAnsi="楷体" w:eastAsia="楷体" w:cs="楷体"/>
          <w:sz w:val="32"/>
          <w:szCs w:val="32"/>
          <w:lang w:val="zh-CN"/>
        </w:rPr>
        <w:t>（一）项目完成情况。</w:t>
      </w:r>
      <w:r>
        <w:rPr>
          <w:rFonts w:eastAsia="仿宋"/>
          <w:sz w:val="32"/>
          <w:szCs w:val="32"/>
        </w:rPr>
        <w:t>本项目完成了托管的47台包括电子政务外网网络核心设备和协同办公平台设备安全正常运行，确保我市电子政务外网和协同办公平台正常运行，满足全市各级党政机关内部办公需要，提高了全市各级党政机关内部办公效率，节约了行政成本。全年电子政务外网稳定运行，无重大事故发生；市协同办公平台正常运行，累计发送公文285759份，累计接收公文3674556份。达到了项目预期目标。</w:t>
      </w:r>
    </w:p>
    <w:p>
      <w:pPr>
        <w:rPr>
          <w:rFonts w:eastAsia="仿宋"/>
          <w:sz w:val="32"/>
          <w:szCs w:val="32"/>
        </w:rPr>
      </w:pPr>
      <w:r>
        <w:rPr>
          <w:rFonts w:hint="eastAsia" w:eastAsia="仿宋"/>
          <w:sz w:val="32"/>
          <w:szCs w:val="32"/>
          <w:lang w:val="zh-CN"/>
        </w:rPr>
        <w:t>　　</w:t>
      </w:r>
      <w:r>
        <w:rPr>
          <w:rFonts w:hint="eastAsia" w:ascii="楷体" w:hAnsi="楷体" w:eastAsia="楷体" w:cs="楷体"/>
          <w:sz w:val="32"/>
          <w:szCs w:val="32"/>
          <w:lang w:val="zh-CN"/>
        </w:rPr>
        <w:t>（二）项目效益情况。</w:t>
      </w:r>
      <w:r>
        <w:rPr>
          <w:rFonts w:eastAsia="仿宋"/>
          <w:sz w:val="32"/>
          <w:szCs w:val="32"/>
        </w:rPr>
        <w:t>项目保障了全市电子政务外网和协同办公平台全年正常运行不中断，满足全市各级党政机关内部办公需要，提高了全市各级党政机关内部办公效率。</w:t>
      </w:r>
    </w:p>
    <w:p>
      <w:pPr>
        <w:rPr>
          <w:rFonts w:ascii="黑体" w:hAnsi="黑体" w:eastAsia="黑体" w:cs="黑体"/>
          <w:sz w:val="32"/>
          <w:szCs w:val="32"/>
        </w:rPr>
      </w:pPr>
      <w:r>
        <w:rPr>
          <w:rFonts w:hint="eastAsia" w:ascii="黑体" w:hAnsi="黑体" w:eastAsia="黑体" w:cs="黑体"/>
          <w:sz w:val="32"/>
          <w:szCs w:val="32"/>
        </w:rPr>
        <w:t>　　五、评价结论及建议</w:t>
      </w:r>
    </w:p>
    <w:p>
      <w:pPr>
        <w:rPr>
          <w:rFonts w:eastAsia="仿宋"/>
          <w:sz w:val="32"/>
          <w:szCs w:val="32"/>
          <w:lang w:val="zh-CN"/>
        </w:rPr>
      </w:pPr>
      <w:r>
        <w:rPr>
          <w:rFonts w:hint="eastAsia" w:ascii="楷体" w:hAnsi="楷体" w:eastAsia="楷体" w:cs="楷体"/>
          <w:sz w:val="32"/>
          <w:szCs w:val="32"/>
          <w:lang w:val="zh-CN"/>
        </w:rPr>
        <w:t>　　（一）评价结论。</w:t>
      </w:r>
      <w:r>
        <w:rPr>
          <w:rFonts w:eastAsia="仿宋"/>
          <w:sz w:val="32"/>
          <w:szCs w:val="32"/>
          <w:lang w:val="zh-CN"/>
        </w:rPr>
        <w:t>项目</w:t>
      </w:r>
      <w:r>
        <w:rPr>
          <w:rFonts w:eastAsia="仿宋"/>
          <w:sz w:val="32"/>
          <w:szCs w:val="32"/>
        </w:rPr>
        <w:t>保障了全市电子政务外网和协同办公平台全年正常运行不中断，满足全市各级党政机关内部办公需要，提高了全市各级党政机关内部办公效率</w:t>
      </w:r>
      <w:r>
        <w:rPr>
          <w:rFonts w:eastAsia="仿宋"/>
          <w:sz w:val="32"/>
          <w:szCs w:val="32"/>
          <w:lang w:val="zh-CN"/>
        </w:rPr>
        <w:t>，达到了项目预期目标。</w:t>
      </w:r>
    </w:p>
    <w:p>
      <w:pPr>
        <w:rPr>
          <w:rFonts w:eastAsia="仿宋"/>
          <w:sz w:val="32"/>
          <w:szCs w:val="32"/>
        </w:rPr>
      </w:pPr>
      <w:r>
        <w:rPr>
          <w:rFonts w:hint="eastAsia" w:eastAsia="仿宋"/>
          <w:sz w:val="32"/>
          <w:szCs w:val="32"/>
          <w:lang w:val="zh-CN"/>
        </w:rPr>
        <w:t>　　</w:t>
      </w:r>
      <w:r>
        <w:rPr>
          <w:rFonts w:hint="eastAsia" w:ascii="楷体" w:hAnsi="楷体" w:eastAsia="楷体" w:cs="楷体"/>
          <w:sz w:val="32"/>
          <w:szCs w:val="32"/>
          <w:lang w:val="zh-CN"/>
        </w:rPr>
        <w:t>（二）存在的问题。</w:t>
      </w:r>
      <w:r>
        <w:rPr>
          <w:rFonts w:eastAsia="仿宋"/>
          <w:sz w:val="32"/>
          <w:szCs w:val="32"/>
          <w:lang w:val="zh-CN"/>
        </w:rPr>
        <w:t>无</w:t>
      </w:r>
      <w:r>
        <w:rPr>
          <w:rFonts w:eastAsia="仿宋"/>
          <w:sz w:val="32"/>
          <w:szCs w:val="32"/>
        </w:rPr>
        <w:t>。</w:t>
      </w:r>
    </w:p>
    <w:p>
      <w:pPr>
        <w:rPr>
          <w:rFonts w:eastAsia="仿宋"/>
          <w:sz w:val="32"/>
          <w:szCs w:val="32"/>
        </w:rPr>
      </w:pPr>
      <w:r>
        <w:rPr>
          <w:rFonts w:hint="eastAsia" w:eastAsia="仿宋"/>
          <w:sz w:val="32"/>
          <w:szCs w:val="32"/>
          <w:lang w:val="zh-CN"/>
        </w:rPr>
        <w:t>　</w:t>
      </w:r>
      <w:r>
        <w:rPr>
          <w:rFonts w:hint="eastAsia" w:ascii="楷体" w:hAnsi="楷体" w:eastAsia="楷体" w:cs="楷体"/>
          <w:sz w:val="32"/>
          <w:szCs w:val="32"/>
          <w:lang w:val="zh-CN"/>
        </w:rPr>
        <w:t>　（三）相关建议。</w:t>
      </w:r>
      <w:r>
        <w:rPr>
          <w:rFonts w:eastAsia="仿宋"/>
          <w:sz w:val="32"/>
          <w:szCs w:val="32"/>
          <w:lang w:val="zh-CN"/>
        </w:rPr>
        <w:t>请财政继续加强经费保障。</w:t>
      </w:r>
    </w:p>
    <w:p>
      <w:pPr>
        <w:rPr>
          <w:rFonts w:eastAsia="仿宋"/>
          <w:sz w:val="32"/>
          <w:szCs w:val="32"/>
        </w:rPr>
      </w:pPr>
    </w:p>
    <w:p>
      <w:pPr>
        <w:rPr>
          <w:rFonts w:eastAsia="仿宋"/>
          <w:sz w:val="32"/>
          <w:szCs w:val="32"/>
        </w:rPr>
      </w:pPr>
    </w:p>
    <w:p>
      <w:pPr>
        <w:rPr>
          <w:rFonts w:eastAsia="仿宋"/>
          <w:sz w:val="32"/>
          <w:szCs w:val="32"/>
        </w:rPr>
      </w:pPr>
    </w:p>
    <w:p>
      <w:pPr>
        <w:rPr>
          <w:rFonts w:eastAsia="仿宋"/>
          <w:sz w:val="32"/>
          <w:szCs w:val="32"/>
        </w:rPr>
      </w:pPr>
    </w:p>
    <w:p>
      <w:pPr>
        <w:rPr>
          <w:rFonts w:eastAsia="仿宋"/>
          <w:sz w:val="32"/>
          <w:szCs w:val="32"/>
        </w:rPr>
      </w:pPr>
    </w:p>
    <w:p>
      <w:pPr>
        <w:adjustRightInd w:val="0"/>
        <w:snapToGrid w:val="0"/>
        <w:spacing w:line="300" w:lineRule="auto"/>
        <w:rPr>
          <w:rFonts w:eastAsia="仿宋"/>
          <w:sz w:val="32"/>
          <w:szCs w:val="32"/>
        </w:rPr>
      </w:pPr>
    </w:p>
    <w:p>
      <w:pPr>
        <w:adjustRightInd w:val="0"/>
        <w:snapToGrid w:val="0"/>
        <w:spacing w:line="300" w:lineRule="auto"/>
        <w:jc w:val="center"/>
        <w:rPr>
          <w:rFonts w:eastAsia="方正小标宋_GBK"/>
          <w:w w:val="90"/>
          <w:sz w:val="44"/>
          <w:szCs w:val="44"/>
        </w:rPr>
      </w:pPr>
      <w:r>
        <w:rPr>
          <w:rFonts w:eastAsia="方正小标宋_GBK"/>
          <w:w w:val="90"/>
          <w:sz w:val="44"/>
          <w:szCs w:val="44"/>
        </w:rPr>
        <w:t>2022年市级专项资金预算项目绩效自评报告</w:t>
      </w:r>
    </w:p>
    <w:p>
      <w:pPr>
        <w:adjustRightInd w:val="0"/>
        <w:snapToGrid w:val="0"/>
        <w:spacing w:line="300" w:lineRule="auto"/>
        <w:jc w:val="center"/>
        <w:rPr>
          <w:rFonts w:eastAsia="仿宋"/>
          <w:sz w:val="32"/>
          <w:szCs w:val="32"/>
        </w:rPr>
      </w:pPr>
      <w:r>
        <w:rPr>
          <w:rFonts w:eastAsia="仿宋"/>
          <w:sz w:val="32"/>
          <w:szCs w:val="32"/>
        </w:rPr>
        <w:t>（市级电子政务外网网络租赁）</w:t>
      </w:r>
    </w:p>
    <w:p>
      <w:pPr>
        <w:adjustRightInd w:val="0"/>
        <w:snapToGrid w:val="0"/>
        <w:spacing w:line="300" w:lineRule="auto"/>
        <w:rPr>
          <w:rFonts w:eastAsia="仿宋"/>
          <w:sz w:val="32"/>
          <w:szCs w:val="32"/>
        </w:rPr>
      </w:pPr>
    </w:p>
    <w:p>
      <w:pPr>
        <w:adjustRightInd w:val="0"/>
        <w:snapToGrid w:val="0"/>
        <w:spacing w:line="353" w:lineRule="auto"/>
        <w:rPr>
          <w:rFonts w:ascii="黑体" w:hAnsi="黑体" w:eastAsia="黑体" w:cs="黑体"/>
          <w:sz w:val="32"/>
          <w:szCs w:val="32"/>
          <w:lang w:val="zh-CN"/>
        </w:rPr>
      </w:pPr>
      <w:r>
        <w:rPr>
          <w:rFonts w:hint="eastAsia" w:ascii="黑体" w:hAnsi="黑体" w:eastAsia="黑体" w:cs="黑体"/>
          <w:sz w:val="32"/>
          <w:szCs w:val="32"/>
        </w:rPr>
        <w:t>　　一、</w:t>
      </w:r>
      <w:r>
        <w:rPr>
          <w:rFonts w:hint="eastAsia" w:ascii="黑体" w:hAnsi="黑体" w:eastAsia="黑体" w:cs="黑体"/>
          <w:sz w:val="32"/>
          <w:szCs w:val="32"/>
          <w:lang w:val="zh-CN"/>
        </w:rPr>
        <w:t>项目概况</w:t>
      </w:r>
    </w:p>
    <w:p>
      <w:pPr>
        <w:adjustRightInd w:val="0"/>
        <w:snapToGrid w:val="0"/>
        <w:spacing w:line="353" w:lineRule="auto"/>
        <w:rPr>
          <w:rFonts w:ascii="楷体" w:hAnsi="楷体" w:eastAsia="楷体" w:cs="楷体"/>
          <w:sz w:val="32"/>
          <w:szCs w:val="32"/>
          <w:lang w:val="zh-CN"/>
        </w:rPr>
      </w:pPr>
      <w:r>
        <w:rPr>
          <w:rFonts w:hint="eastAsia" w:ascii="楷体" w:hAnsi="楷体" w:eastAsia="楷体" w:cs="楷体"/>
          <w:sz w:val="32"/>
          <w:szCs w:val="32"/>
          <w:lang w:val="zh-CN"/>
        </w:rPr>
        <w:t>　　（一）项目基本情况。</w:t>
      </w:r>
    </w:p>
    <w:p>
      <w:pPr>
        <w:adjustRightInd w:val="0"/>
        <w:snapToGrid w:val="0"/>
        <w:spacing w:line="353" w:lineRule="auto"/>
        <w:rPr>
          <w:rFonts w:eastAsia="仿宋"/>
          <w:sz w:val="32"/>
          <w:szCs w:val="32"/>
        </w:rPr>
      </w:pPr>
      <w:r>
        <w:rPr>
          <w:rFonts w:hint="eastAsia" w:eastAsia="仿宋"/>
          <w:sz w:val="32"/>
          <w:szCs w:val="32"/>
          <w:lang w:val="zh-CN"/>
        </w:rPr>
        <w:t>　　</w:t>
      </w:r>
      <w:r>
        <w:rPr>
          <w:rFonts w:eastAsia="仿宋"/>
          <w:sz w:val="32"/>
          <w:szCs w:val="32"/>
          <w:lang w:val="zh-CN"/>
        </w:rPr>
        <w:t>1．</w:t>
      </w:r>
      <w:r>
        <w:rPr>
          <w:rFonts w:eastAsia="仿宋"/>
          <w:sz w:val="32"/>
          <w:szCs w:val="32"/>
        </w:rPr>
        <w:t>市大数据中心负责我市电子政务外网网络基础设施的建设、管理及运维工作。</w:t>
      </w:r>
    </w:p>
    <w:p>
      <w:pPr>
        <w:adjustRightInd w:val="0"/>
        <w:snapToGrid w:val="0"/>
        <w:spacing w:line="353" w:lineRule="auto"/>
        <w:rPr>
          <w:rFonts w:eastAsia="仿宋"/>
          <w:sz w:val="32"/>
          <w:szCs w:val="32"/>
          <w:lang w:val="zh-CN"/>
        </w:rPr>
      </w:pPr>
      <w:r>
        <w:rPr>
          <w:rFonts w:hint="eastAsia" w:eastAsia="仿宋"/>
          <w:sz w:val="32"/>
          <w:szCs w:val="32"/>
          <w:lang w:val="zh-CN"/>
        </w:rPr>
        <w:t>　　</w:t>
      </w:r>
      <w:r>
        <w:rPr>
          <w:rFonts w:eastAsia="仿宋"/>
          <w:sz w:val="32"/>
          <w:szCs w:val="32"/>
          <w:lang w:val="zh-CN"/>
        </w:rPr>
        <w:t>2．根据《攀枝花电子政务网建设合作合同》、《攀枝花市电子政务外网安全运营保障平台建设合同》和《攀枝花市电子政务外网IPV6升级改造及接入电路业务合作补充合同》约定，严格执行国家提速降费要求，及时更新因机构改革导致的网络链路数量变化，统一支付全市77家市级部门电子政务外网光纤租赁费。</w:t>
      </w:r>
    </w:p>
    <w:p>
      <w:pPr>
        <w:adjustRightInd w:val="0"/>
        <w:snapToGrid w:val="0"/>
        <w:spacing w:line="353" w:lineRule="auto"/>
        <w:rPr>
          <w:rFonts w:eastAsia="仿宋"/>
          <w:sz w:val="32"/>
          <w:szCs w:val="32"/>
          <w:lang w:val="zh-CN"/>
        </w:rPr>
      </w:pPr>
      <w:r>
        <w:rPr>
          <w:rFonts w:hint="eastAsia" w:eastAsia="仿宋"/>
          <w:sz w:val="32"/>
          <w:szCs w:val="32"/>
          <w:lang w:val="zh-CN"/>
        </w:rPr>
        <w:t>　　</w:t>
      </w:r>
      <w:r>
        <w:rPr>
          <w:rFonts w:eastAsia="仿宋"/>
          <w:sz w:val="32"/>
          <w:szCs w:val="32"/>
          <w:lang w:val="zh-CN"/>
        </w:rPr>
        <w:t>3．及时更新因机构改革导致的网络链路数量变化，2022年市级77家部门使用电子政务外网。</w:t>
      </w:r>
    </w:p>
    <w:p>
      <w:pPr>
        <w:adjustRightInd w:val="0"/>
        <w:snapToGrid w:val="0"/>
        <w:spacing w:line="353" w:lineRule="auto"/>
        <w:rPr>
          <w:rFonts w:eastAsia="仿宋"/>
          <w:sz w:val="32"/>
          <w:szCs w:val="32"/>
          <w:lang w:val="zh-CN"/>
        </w:rPr>
      </w:pPr>
      <w:r>
        <w:rPr>
          <w:rFonts w:hint="eastAsia" w:eastAsia="仿宋"/>
          <w:sz w:val="32"/>
          <w:szCs w:val="32"/>
          <w:lang w:val="zh-CN"/>
        </w:rPr>
        <w:t>　　</w:t>
      </w:r>
      <w:r>
        <w:rPr>
          <w:rFonts w:eastAsia="仿宋"/>
          <w:sz w:val="32"/>
          <w:szCs w:val="32"/>
          <w:lang w:val="zh-CN"/>
        </w:rPr>
        <w:t>4．资金分配的原则及考虑因素。</w:t>
      </w:r>
    </w:p>
    <w:p>
      <w:pPr>
        <w:adjustRightInd w:val="0"/>
        <w:snapToGrid w:val="0"/>
        <w:spacing w:line="353" w:lineRule="auto"/>
        <w:rPr>
          <w:rFonts w:eastAsia="仿宋"/>
          <w:sz w:val="32"/>
          <w:szCs w:val="32"/>
          <w:lang w:val="zh-CN"/>
        </w:rPr>
      </w:pPr>
      <w:r>
        <w:rPr>
          <w:rFonts w:eastAsia="仿宋"/>
          <w:sz w:val="32"/>
          <w:szCs w:val="32"/>
          <w:lang w:val="zh-CN"/>
        </w:rPr>
        <w:t>　　根据各级部门使用电子政务外网网络带宽，计算网络租赁费。</w:t>
      </w:r>
    </w:p>
    <w:p>
      <w:pPr>
        <w:adjustRightInd w:val="0"/>
        <w:snapToGrid w:val="0"/>
        <w:spacing w:line="353" w:lineRule="auto"/>
        <w:rPr>
          <w:rFonts w:ascii="楷体" w:hAnsi="楷体" w:eastAsia="楷体" w:cs="楷体"/>
          <w:sz w:val="32"/>
          <w:szCs w:val="32"/>
          <w:lang w:val="zh-CN"/>
        </w:rPr>
      </w:pPr>
      <w:r>
        <w:rPr>
          <w:rFonts w:hint="eastAsia" w:ascii="楷体" w:hAnsi="楷体" w:eastAsia="楷体" w:cs="楷体"/>
          <w:sz w:val="32"/>
          <w:szCs w:val="32"/>
          <w:lang w:val="zh-CN"/>
        </w:rPr>
        <w:t>　　（二）项目绩效目标。</w:t>
      </w:r>
    </w:p>
    <w:p>
      <w:pPr>
        <w:adjustRightInd w:val="0"/>
        <w:snapToGrid w:val="0"/>
        <w:spacing w:line="353" w:lineRule="auto"/>
        <w:rPr>
          <w:rFonts w:eastAsia="仿宋"/>
          <w:sz w:val="32"/>
          <w:szCs w:val="32"/>
          <w:lang w:val="zh-CN"/>
        </w:rPr>
      </w:pPr>
      <w:r>
        <w:rPr>
          <w:rFonts w:hint="eastAsia" w:eastAsia="仿宋"/>
          <w:sz w:val="32"/>
          <w:szCs w:val="32"/>
          <w:lang w:val="zh-CN"/>
        </w:rPr>
        <w:t>　　</w:t>
      </w:r>
      <w:r>
        <w:rPr>
          <w:rFonts w:eastAsia="仿宋"/>
          <w:sz w:val="32"/>
          <w:szCs w:val="32"/>
          <w:lang w:val="zh-CN"/>
        </w:rPr>
        <w:t>1．完成电子政务外网全年正常安全运行的省级年度目标考核任务，保障全市电子政务外网网络正常运行，确保市级77家单位业务系统和日常办公的正常运行。</w:t>
      </w:r>
    </w:p>
    <w:p>
      <w:pPr>
        <w:spacing w:line="353" w:lineRule="auto"/>
        <w:rPr>
          <w:rFonts w:eastAsia="仿宋"/>
          <w:sz w:val="32"/>
          <w:szCs w:val="32"/>
          <w:lang w:val="zh-CN"/>
        </w:rPr>
      </w:pPr>
      <w:r>
        <w:rPr>
          <w:rFonts w:hint="eastAsia" w:eastAsia="仿宋"/>
          <w:sz w:val="32"/>
          <w:szCs w:val="32"/>
          <w:lang w:val="zh-CN"/>
        </w:rPr>
        <w:t>　　</w:t>
      </w:r>
      <w:r>
        <w:rPr>
          <w:rFonts w:eastAsia="仿宋"/>
          <w:sz w:val="32"/>
          <w:szCs w:val="32"/>
          <w:lang w:val="zh-CN"/>
        </w:rPr>
        <w:t>2．保障全市电子政务外网全年正常运行不中断，各依托电子政务外网建设的行业专网和业务系统正常运行，全年无网络安全事故发生。</w:t>
      </w:r>
    </w:p>
    <w:p>
      <w:pPr>
        <w:adjustRightInd w:val="0"/>
        <w:snapToGrid w:val="0"/>
        <w:spacing w:line="353" w:lineRule="auto"/>
        <w:rPr>
          <w:rFonts w:eastAsia="仿宋"/>
          <w:sz w:val="32"/>
          <w:szCs w:val="32"/>
          <w:lang w:val="zh-CN"/>
        </w:rPr>
      </w:pPr>
      <w:r>
        <w:rPr>
          <w:rFonts w:hint="eastAsia" w:eastAsia="仿宋"/>
          <w:sz w:val="32"/>
          <w:szCs w:val="32"/>
          <w:lang w:val="zh-CN"/>
        </w:rPr>
        <w:t>　　</w:t>
      </w:r>
      <w:r>
        <w:rPr>
          <w:rFonts w:eastAsia="仿宋"/>
          <w:sz w:val="32"/>
          <w:szCs w:val="32"/>
          <w:lang w:val="zh-CN"/>
        </w:rPr>
        <w:t>3．申报内容与实际相符，申报目标合理。</w:t>
      </w:r>
    </w:p>
    <w:p>
      <w:pPr>
        <w:adjustRightInd w:val="0"/>
        <w:snapToGrid w:val="0"/>
        <w:spacing w:line="353" w:lineRule="auto"/>
        <w:rPr>
          <w:rFonts w:eastAsia="仿宋"/>
          <w:sz w:val="32"/>
          <w:szCs w:val="32"/>
          <w:lang w:val="zh-CN"/>
        </w:rPr>
      </w:pPr>
      <w:r>
        <w:rPr>
          <w:rFonts w:hint="eastAsia" w:eastAsia="仿宋"/>
          <w:sz w:val="32"/>
          <w:szCs w:val="32"/>
          <w:lang w:val="zh-CN"/>
        </w:rPr>
        <w:t>　　</w:t>
      </w:r>
      <w:r>
        <w:rPr>
          <w:rFonts w:hint="eastAsia" w:ascii="楷体" w:hAnsi="楷体" w:eastAsia="楷体" w:cs="楷体"/>
          <w:sz w:val="32"/>
          <w:szCs w:val="32"/>
          <w:lang w:val="zh-CN"/>
        </w:rPr>
        <w:t>（三）项目自评步骤及方法。</w:t>
      </w:r>
      <w:r>
        <w:rPr>
          <w:rFonts w:eastAsia="仿宋"/>
          <w:sz w:val="32"/>
          <w:szCs w:val="32"/>
          <w:lang w:val="zh-CN"/>
        </w:rPr>
        <w:t>实时监测各级部门电子政务外网运行情况，并结合市网络安全运营中心每月出具的电子政务外网网络安全监测情况，2022年全年无网络中断情况发生，也未发生网络安全事故，达到了项目预期目标。</w:t>
      </w:r>
    </w:p>
    <w:p>
      <w:pPr>
        <w:adjustRightInd w:val="0"/>
        <w:snapToGrid w:val="0"/>
        <w:spacing w:line="353" w:lineRule="auto"/>
        <w:rPr>
          <w:rFonts w:ascii="黑体" w:hAnsi="黑体" w:eastAsia="黑体" w:cs="黑体"/>
          <w:sz w:val="32"/>
          <w:szCs w:val="32"/>
        </w:rPr>
      </w:pPr>
      <w:r>
        <w:rPr>
          <w:rFonts w:hint="eastAsia" w:ascii="黑体" w:hAnsi="黑体" w:eastAsia="黑体" w:cs="黑体"/>
          <w:sz w:val="32"/>
          <w:szCs w:val="32"/>
        </w:rPr>
        <w:t>　　二、项目资金申报及使用情况</w:t>
      </w:r>
    </w:p>
    <w:p>
      <w:pPr>
        <w:adjustRightInd w:val="0"/>
        <w:snapToGrid w:val="0"/>
        <w:spacing w:line="353" w:lineRule="auto"/>
        <w:rPr>
          <w:rFonts w:eastAsia="仿宋"/>
          <w:sz w:val="32"/>
          <w:szCs w:val="32"/>
          <w:lang w:val="zh-CN"/>
        </w:rPr>
      </w:pPr>
      <w:r>
        <w:rPr>
          <w:rFonts w:hint="eastAsia" w:eastAsia="仿宋"/>
          <w:sz w:val="32"/>
          <w:szCs w:val="32"/>
          <w:lang w:val="zh-CN"/>
        </w:rPr>
        <w:t>　　</w:t>
      </w:r>
      <w:r>
        <w:rPr>
          <w:rFonts w:hint="eastAsia" w:ascii="楷体" w:hAnsi="楷体" w:eastAsia="楷体" w:cs="楷体"/>
          <w:sz w:val="32"/>
          <w:szCs w:val="32"/>
          <w:lang w:val="zh-CN"/>
        </w:rPr>
        <w:t>（一）项目资金申报及批复情况</w:t>
      </w:r>
      <w:r>
        <w:rPr>
          <w:rFonts w:eastAsia="仿宋"/>
          <w:sz w:val="32"/>
          <w:szCs w:val="32"/>
          <w:lang w:val="zh-CN"/>
        </w:rPr>
        <w:t>。按照《攀枝花市预算绩效管理操作实务指南》要求，进行了2022年市级电子政务外网网络租赁费预算申报工作，调整预算数为31.79万元。</w:t>
      </w:r>
    </w:p>
    <w:p>
      <w:pPr>
        <w:adjustRightInd w:val="0"/>
        <w:snapToGrid w:val="0"/>
        <w:spacing w:line="353" w:lineRule="auto"/>
        <w:rPr>
          <w:rFonts w:ascii="楷体" w:hAnsi="楷体" w:eastAsia="楷体" w:cs="楷体"/>
          <w:sz w:val="32"/>
          <w:szCs w:val="32"/>
          <w:lang w:val="zh-CN"/>
        </w:rPr>
      </w:pPr>
      <w:r>
        <w:rPr>
          <w:rFonts w:hint="eastAsia" w:ascii="楷体" w:hAnsi="楷体" w:eastAsia="楷体" w:cs="楷体"/>
          <w:sz w:val="32"/>
          <w:szCs w:val="32"/>
          <w:lang w:val="zh-CN"/>
        </w:rPr>
        <w:t>　　（二）资金计划、到位及使用情况。</w:t>
      </w:r>
    </w:p>
    <w:p>
      <w:pPr>
        <w:adjustRightInd w:val="0"/>
        <w:snapToGrid w:val="0"/>
        <w:spacing w:line="353" w:lineRule="auto"/>
        <w:rPr>
          <w:rFonts w:eastAsia="仿宋"/>
          <w:sz w:val="32"/>
          <w:szCs w:val="32"/>
          <w:lang w:val="zh-CN"/>
        </w:rPr>
      </w:pPr>
      <w:r>
        <w:rPr>
          <w:rFonts w:hint="eastAsia" w:eastAsia="仿宋"/>
          <w:sz w:val="32"/>
          <w:szCs w:val="32"/>
          <w:lang w:val="zh-CN"/>
        </w:rPr>
        <w:t>　　</w:t>
      </w:r>
      <w:r>
        <w:rPr>
          <w:rFonts w:eastAsia="仿宋"/>
          <w:sz w:val="32"/>
          <w:szCs w:val="32"/>
          <w:lang w:val="zh-CN"/>
        </w:rPr>
        <w:t>1．资金计划。本项目为市级财政资金。</w:t>
      </w:r>
    </w:p>
    <w:tbl>
      <w:tblPr>
        <w:tblStyle w:val="16"/>
        <w:tblW w:w="863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1548"/>
        <w:gridCol w:w="1982"/>
        <w:gridCol w:w="1987"/>
        <w:gridCol w:w="1843"/>
        <w:gridCol w:w="127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0" w:hRule="atLeast"/>
          <w:jc w:val="center"/>
        </w:trPr>
        <w:tc>
          <w:tcPr>
            <w:tcW w:w="1548"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年度预算数（万元）</w:t>
            </w:r>
          </w:p>
        </w:tc>
        <w:tc>
          <w:tcPr>
            <w:tcW w:w="1982"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年初预算</w:t>
            </w:r>
          </w:p>
        </w:tc>
        <w:tc>
          <w:tcPr>
            <w:tcW w:w="1987"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调整后预算数</w:t>
            </w:r>
          </w:p>
        </w:tc>
        <w:tc>
          <w:tcPr>
            <w:tcW w:w="1843"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预算执行数</w:t>
            </w:r>
          </w:p>
        </w:tc>
        <w:tc>
          <w:tcPr>
            <w:tcW w:w="1277"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预算执行率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55" w:hRule="atLeast"/>
          <w:jc w:val="center"/>
        </w:trPr>
        <w:tc>
          <w:tcPr>
            <w:tcW w:w="1548"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总额</w:t>
            </w:r>
          </w:p>
        </w:tc>
        <w:tc>
          <w:tcPr>
            <w:tcW w:w="1982"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987"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31.79</w:t>
            </w:r>
          </w:p>
        </w:tc>
        <w:tc>
          <w:tcPr>
            <w:tcW w:w="1843"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31.79</w:t>
            </w:r>
          </w:p>
        </w:tc>
        <w:tc>
          <w:tcPr>
            <w:tcW w:w="1277"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100.00%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32" w:hRule="atLeast"/>
          <w:jc w:val="center"/>
        </w:trPr>
        <w:tc>
          <w:tcPr>
            <w:tcW w:w="1548"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其中：财政资金</w:t>
            </w:r>
          </w:p>
        </w:tc>
        <w:tc>
          <w:tcPr>
            <w:tcW w:w="1982"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987"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31.79</w:t>
            </w:r>
          </w:p>
        </w:tc>
        <w:tc>
          <w:tcPr>
            <w:tcW w:w="1843"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31.79</w:t>
            </w:r>
          </w:p>
        </w:tc>
        <w:tc>
          <w:tcPr>
            <w:tcW w:w="1277"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100.00%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47" w:hRule="atLeast"/>
          <w:jc w:val="center"/>
        </w:trPr>
        <w:tc>
          <w:tcPr>
            <w:tcW w:w="1548"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财政专户管理资金</w:t>
            </w:r>
          </w:p>
        </w:tc>
        <w:tc>
          <w:tcPr>
            <w:tcW w:w="1982"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987"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843"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277"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94" w:hRule="atLeast"/>
          <w:jc w:val="center"/>
        </w:trPr>
        <w:tc>
          <w:tcPr>
            <w:tcW w:w="1548"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单位资金</w:t>
            </w:r>
          </w:p>
        </w:tc>
        <w:tc>
          <w:tcPr>
            <w:tcW w:w="1982"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987"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843"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c>
          <w:tcPr>
            <w:tcW w:w="1277"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79" w:hRule="atLeast"/>
          <w:jc w:val="center"/>
        </w:trPr>
        <w:tc>
          <w:tcPr>
            <w:tcW w:w="1548" w:type="dxa"/>
            <w:tcBorders>
              <w:tl2br w:val="nil"/>
              <w:tr2bl w:val="nil"/>
            </w:tcBorders>
            <w:shd w:val="clear" w:color="auto" w:fill="auto"/>
            <w:vAlign w:val="center"/>
          </w:tcPr>
          <w:p>
            <w:pPr>
              <w:widowControl/>
              <w:adjustRightInd w:val="0"/>
              <w:snapToGrid w:val="0"/>
              <w:jc w:val="center"/>
              <w:rPr>
                <w:rFonts w:eastAsia="仿宋"/>
                <w:snapToGrid w:val="0"/>
                <w:color w:val="000000"/>
                <w:kern w:val="0"/>
                <w:sz w:val="18"/>
                <w:szCs w:val="18"/>
              </w:rPr>
            </w:pPr>
            <w:r>
              <w:rPr>
                <w:rFonts w:eastAsia="仿宋"/>
                <w:snapToGrid w:val="0"/>
                <w:color w:val="000000"/>
                <w:kern w:val="0"/>
                <w:sz w:val="18"/>
                <w:szCs w:val="18"/>
              </w:rPr>
              <w:t>其他资金</w:t>
            </w:r>
          </w:p>
        </w:tc>
        <w:tc>
          <w:tcPr>
            <w:tcW w:w="1982" w:type="dxa"/>
            <w:tcBorders>
              <w:tl2br w:val="nil"/>
              <w:tr2bl w:val="nil"/>
            </w:tcBorders>
            <w:shd w:val="clear" w:color="auto" w:fill="auto"/>
            <w:vAlign w:val="center"/>
          </w:tcPr>
          <w:p>
            <w:pPr>
              <w:widowControl/>
              <w:adjustRightInd w:val="0"/>
              <w:snapToGrid w:val="0"/>
              <w:jc w:val="center"/>
              <w:rPr>
                <w:rFonts w:eastAsia="仿宋"/>
                <w:i/>
                <w:iCs/>
                <w:snapToGrid w:val="0"/>
                <w:color w:val="000000"/>
                <w:kern w:val="0"/>
                <w:sz w:val="18"/>
                <w:szCs w:val="18"/>
              </w:rPr>
            </w:pPr>
            <w:r>
              <w:rPr>
                <w:rFonts w:eastAsia="仿宋"/>
                <w:snapToGrid w:val="0"/>
                <w:color w:val="000000"/>
                <w:kern w:val="0"/>
                <w:sz w:val="18"/>
                <w:szCs w:val="18"/>
              </w:rPr>
              <w:t>0.00</w:t>
            </w:r>
          </w:p>
        </w:tc>
        <w:tc>
          <w:tcPr>
            <w:tcW w:w="1987" w:type="dxa"/>
            <w:tcBorders>
              <w:tl2br w:val="nil"/>
              <w:tr2bl w:val="nil"/>
            </w:tcBorders>
            <w:shd w:val="clear" w:color="auto" w:fill="auto"/>
            <w:vAlign w:val="center"/>
          </w:tcPr>
          <w:p>
            <w:pPr>
              <w:widowControl/>
              <w:adjustRightInd w:val="0"/>
              <w:snapToGrid w:val="0"/>
              <w:jc w:val="center"/>
              <w:rPr>
                <w:rFonts w:eastAsia="仿宋"/>
                <w:i/>
                <w:iCs/>
                <w:snapToGrid w:val="0"/>
                <w:color w:val="000000"/>
                <w:kern w:val="0"/>
                <w:sz w:val="18"/>
                <w:szCs w:val="18"/>
              </w:rPr>
            </w:pPr>
            <w:r>
              <w:rPr>
                <w:rFonts w:eastAsia="仿宋"/>
                <w:snapToGrid w:val="0"/>
                <w:color w:val="000000"/>
                <w:kern w:val="0"/>
                <w:sz w:val="18"/>
                <w:szCs w:val="18"/>
              </w:rPr>
              <w:t>0.00</w:t>
            </w:r>
          </w:p>
        </w:tc>
        <w:tc>
          <w:tcPr>
            <w:tcW w:w="1843" w:type="dxa"/>
            <w:tcBorders>
              <w:tl2br w:val="nil"/>
              <w:tr2bl w:val="nil"/>
            </w:tcBorders>
            <w:shd w:val="clear" w:color="auto" w:fill="auto"/>
            <w:vAlign w:val="center"/>
          </w:tcPr>
          <w:p>
            <w:pPr>
              <w:widowControl/>
              <w:adjustRightInd w:val="0"/>
              <w:snapToGrid w:val="0"/>
              <w:jc w:val="center"/>
              <w:rPr>
                <w:rFonts w:eastAsia="仿宋"/>
                <w:i/>
                <w:iCs/>
                <w:snapToGrid w:val="0"/>
                <w:color w:val="000000"/>
                <w:kern w:val="0"/>
                <w:sz w:val="18"/>
                <w:szCs w:val="18"/>
              </w:rPr>
            </w:pPr>
            <w:r>
              <w:rPr>
                <w:rFonts w:eastAsia="仿宋"/>
                <w:snapToGrid w:val="0"/>
                <w:color w:val="000000"/>
                <w:kern w:val="0"/>
                <w:sz w:val="18"/>
                <w:szCs w:val="18"/>
              </w:rPr>
              <w:t>0.00</w:t>
            </w:r>
          </w:p>
        </w:tc>
        <w:tc>
          <w:tcPr>
            <w:tcW w:w="1277" w:type="dxa"/>
            <w:tcBorders>
              <w:tl2br w:val="nil"/>
              <w:tr2bl w:val="nil"/>
            </w:tcBorders>
            <w:shd w:val="clear" w:color="auto" w:fill="auto"/>
            <w:vAlign w:val="center"/>
          </w:tcPr>
          <w:p>
            <w:pPr>
              <w:widowControl/>
              <w:adjustRightInd w:val="0"/>
              <w:snapToGrid w:val="0"/>
              <w:jc w:val="center"/>
              <w:rPr>
                <w:rFonts w:eastAsia="仿宋"/>
                <w:i/>
                <w:iCs/>
                <w:snapToGrid w:val="0"/>
                <w:color w:val="000000"/>
                <w:kern w:val="0"/>
                <w:sz w:val="18"/>
                <w:szCs w:val="18"/>
              </w:rPr>
            </w:pPr>
            <w:r>
              <w:rPr>
                <w:rFonts w:eastAsia="仿宋"/>
                <w:snapToGrid w:val="0"/>
                <w:color w:val="000000"/>
                <w:kern w:val="0"/>
                <w:sz w:val="18"/>
                <w:szCs w:val="18"/>
              </w:rPr>
              <w:t>0.00%</w:t>
            </w:r>
          </w:p>
        </w:tc>
      </w:tr>
    </w:tbl>
    <w:p>
      <w:pPr>
        <w:adjustRightInd w:val="0"/>
        <w:snapToGrid w:val="0"/>
        <w:spacing w:line="336"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2．资金到位。调整后的预算资金31.79万元全部到位。资金到位率100%。</w:t>
      </w:r>
    </w:p>
    <w:p>
      <w:pPr>
        <w:adjustRightInd w:val="0"/>
        <w:snapToGrid w:val="0"/>
        <w:spacing w:line="336"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3．资金使用。项目资金到位后，按照市政府办公室财务管理相关规定及时向电信公司支付了2022年市级电子政务外网网络租赁费用。</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（三）项目财务管理情况。</w:t>
      </w:r>
      <w:r>
        <w:rPr>
          <w:rFonts w:eastAsia="仿宋"/>
          <w:snapToGrid w:val="0"/>
          <w:kern w:val="0"/>
          <w:sz w:val="32"/>
          <w:szCs w:val="32"/>
          <w:lang w:val="zh-CN"/>
        </w:rPr>
        <w:t>本项目严格执行财务管理制度，及时向电信公司支付了市级电子政务外网网络租赁费。</w:t>
      </w:r>
    </w:p>
    <w:p>
      <w:pPr>
        <w:adjustRightInd w:val="0"/>
        <w:snapToGrid w:val="0"/>
        <w:spacing w:line="348"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三、项目实施及管理情况</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eastAsia="仿宋"/>
          <w:snapToGrid w:val="0"/>
          <w:kern w:val="0"/>
          <w:sz w:val="32"/>
          <w:szCs w:val="32"/>
          <w:lang w:val="zh-CN"/>
        </w:rPr>
        <w:t>结合项目组织实施管理办法，重点围绕以下内容进行分析评价，并对自评中发现的问题分析说明。</w:t>
      </w:r>
    </w:p>
    <w:p>
      <w:pPr>
        <w:adjustRightInd w:val="0"/>
        <w:snapToGrid w:val="0"/>
        <w:spacing w:line="348" w:lineRule="auto"/>
        <w:rPr>
          <w:rFonts w:eastAsia="仿宋"/>
          <w:snapToGrid w:val="0"/>
          <w:kern w:val="0"/>
          <w:sz w:val="32"/>
          <w:szCs w:val="32"/>
          <w:lang w:val="zh-CN"/>
        </w:rPr>
      </w:pPr>
      <w:r>
        <w:rPr>
          <w:rFonts w:eastAsia="仿宋"/>
          <w:snapToGrid w:val="0"/>
          <w:kern w:val="0"/>
          <w:sz w:val="32"/>
          <w:szCs w:val="32"/>
          <w:lang w:val="zh-CN"/>
        </w:rPr>
        <w:t>　　</w:t>
      </w:r>
      <w:r>
        <w:rPr>
          <w:rFonts w:hint="eastAsia" w:ascii="楷体" w:hAnsi="楷体" w:eastAsia="楷体" w:cs="楷体"/>
          <w:snapToGrid w:val="0"/>
          <w:kern w:val="0"/>
          <w:sz w:val="32"/>
          <w:szCs w:val="32"/>
          <w:lang w:val="zh-CN"/>
        </w:rPr>
        <w:t>（一）项目组织架构及实施流程。</w:t>
      </w:r>
      <w:r>
        <w:rPr>
          <w:rFonts w:eastAsia="仿宋"/>
          <w:snapToGrid w:val="0"/>
          <w:kern w:val="0"/>
          <w:sz w:val="32"/>
          <w:szCs w:val="32"/>
          <w:lang w:val="zh-CN"/>
        </w:rPr>
        <w:t>本项目根据《攀枝花电子政务网建设合作合同》、《攀枝花市电子政务外网安全运营保障平台建设合同》和《攀枝花市电子政务外网IPV6升级改造及接入电路业务合作补充合同》约定，保障全市电子政务外网全年正常运行不中断，同时，严格执行财务管理相关制度支付相应合同费用。</w:t>
      </w:r>
    </w:p>
    <w:p>
      <w:pPr>
        <w:adjustRightInd w:val="0"/>
        <w:snapToGrid w:val="0"/>
        <w:spacing w:line="348"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　（二）项目管理情况。</w:t>
      </w:r>
      <w:r>
        <w:rPr>
          <w:rFonts w:eastAsia="仿宋"/>
          <w:snapToGrid w:val="0"/>
          <w:kern w:val="0"/>
          <w:sz w:val="32"/>
          <w:szCs w:val="32"/>
          <w:lang w:val="zh-CN"/>
        </w:rPr>
        <w:t>我中心严格执行招投标、政府采购、项目公示制等相关法律法规和项目管理制度。</w:t>
      </w:r>
    </w:p>
    <w:p>
      <w:pPr>
        <w:adjustRightInd w:val="0"/>
        <w:snapToGrid w:val="0"/>
        <w:spacing w:line="348" w:lineRule="auto"/>
        <w:rPr>
          <w:rFonts w:eastAsia="仿宋"/>
          <w:snapToGrid w:val="0"/>
          <w:kern w:val="0"/>
          <w:sz w:val="32"/>
          <w:szCs w:val="32"/>
          <w:lang w:val="zh-CN"/>
        </w:rPr>
      </w:pPr>
      <w:r>
        <w:rPr>
          <w:rFonts w:hint="eastAsia" w:ascii="楷体" w:hAnsi="楷体" w:eastAsia="楷体" w:cs="楷体"/>
          <w:snapToGrid w:val="0"/>
          <w:kern w:val="0"/>
          <w:sz w:val="32"/>
          <w:szCs w:val="32"/>
          <w:lang w:val="zh-CN"/>
        </w:rPr>
        <w:t>　　（三）项目监管情况。</w:t>
      </w:r>
      <w:r>
        <w:rPr>
          <w:rFonts w:eastAsia="仿宋"/>
          <w:snapToGrid w:val="0"/>
          <w:kern w:val="0"/>
          <w:sz w:val="32"/>
          <w:szCs w:val="32"/>
          <w:lang w:val="zh-CN"/>
        </w:rPr>
        <w:t>为确保管好项目、用好资金，我中心按照市政府办公室有关规定和程序，在合同签订、资金拨付等关键环节，报请市政府机关党组审议，并严格执行财务管理制度进行资金拨付。</w:t>
      </w:r>
    </w:p>
    <w:p>
      <w:pPr>
        <w:adjustRightInd w:val="0"/>
        <w:snapToGrid w:val="0"/>
        <w:spacing w:line="348" w:lineRule="auto"/>
        <w:rPr>
          <w:rFonts w:ascii="黑体" w:hAnsi="黑体" w:eastAsia="黑体" w:cs="黑体"/>
          <w:snapToGrid w:val="0"/>
          <w:kern w:val="0"/>
          <w:sz w:val="32"/>
          <w:szCs w:val="32"/>
          <w:lang w:val="zh-CN"/>
        </w:rPr>
      </w:pPr>
      <w:r>
        <w:rPr>
          <w:rFonts w:hint="eastAsia" w:ascii="黑体" w:hAnsi="黑体" w:eastAsia="黑体" w:cs="黑体"/>
          <w:snapToGrid w:val="0"/>
          <w:kern w:val="0"/>
          <w:sz w:val="32"/>
          <w:szCs w:val="32"/>
        </w:rPr>
        <w:t>　　四、项目绩效情况</w:t>
      </w:r>
      <w:r>
        <w:rPr>
          <w:rFonts w:hint="eastAsia" w:ascii="黑体" w:hAnsi="黑体" w:eastAsia="黑体" w:cs="黑体"/>
          <w:snapToGrid w:val="0"/>
          <w:kern w:val="0"/>
          <w:sz w:val="32"/>
          <w:szCs w:val="32"/>
          <w:lang w:val="zh-CN"/>
        </w:rPr>
        <w:tab/>
      </w:r>
    </w:p>
    <w:p>
      <w:pPr>
        <w:adjustRightInd w:val="0"/>
        <w:snapToGrid w:val="0"/>
        <w:spacing w:line="348" w:lineRule="auto"/>
        <w:rPr>
          <w:rFonts w:eastAsia="仿宋"/>
          <w:snapToGrid w:val="0"/>
          <w:kern w:val="0"/>
          <w:sz w:val="32"/>
          <w:szCs w:val="32"/>
        </w:rPr>
      </w:pPr>
      <w:r>
        <w:rPr>
          <w:rFonts w:hint="eastAsia" w:ascii="楷体" w:hAnsi="楷体" w:eastAsia="楷体" w:cs="楷体"/>
          <w:snapToGrid w:val="0"/>
          <w:kern w:val="0"/>
          <w:sz w:val="32"/>
          <w:szCs w:val="32"/>
          <w:lang w:val="zh-CN"/>
        </w:rPr>
        <w:t>　　（一）项目完成情况。</w:t>
      </w:r>
      <w:r>
        <w:rPr>
          <w:rFonts w:eastAsia="仿宋"/>
          <w:snapToGrid w:val="0"/>
          <w:kern w:val="0"/>
          <w:sz w:val="32"/>
          <w:szCs w:val="32"/>
        </w:rPr>
        <w:t>本项目要完成电子政务外网全年正常安全运行的省级年度目标考核任务，保障全市电子政务外网全年正常运行不中断，各依托电子政务外网建设的行业专网和业务系统正常运行。</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rPr>
        <w:t>　　</w:t>
      </w:r>
      <w:r>
        <w:rPr>
          <w:rFonts w:eastAsia="仿宋"/>
          <w:snapToGrid w:val="0"/>
          <w:kern w:val="0"/>
          <w:sz w:val="32"/>
          <w:szCs w:val="32"/>
        </w:rPr>
        <w:t>2022年1</w:t>
      </w:r>
      <w:r>
        <w:rPr>
          <w:rFonts w:hint="eastAsia" w:ascii="仿宋" w:hAnsi="仿宋" w:eastAsia="仿宋" w:cs="仿宋"/>
          <w:snapToGrid w:val="0"/>
          <w:kern w:val="0"/>
          <w:sz w:val="32"/>
          <w:szCs w:val="32"/>
        </w:rPr>
        <w:t>—</w:t>
      </w:r>
      <w:r>
        <w:rPr>
          <w:rFonts w:eastAsia="仿宋"/>
          <w:snapToGrid w:val="0"/>
          <w:kern w:val="0"/>
          <w:sz w:val="32"/>
          <w:szCs w:val="32"/>
        </w:rPr>
        <w:t>12月，全年电子政务外网稳定运行，无重大事故发生，达到了项目预期目标。</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lang w:val="zh-CN"/>
        </w:rPr>
        <w:t>　　</w:t>
      </w:r>
      <w:r>
        <w:rPr>
          <w:rFonts w:eastAsia="仿宋"/>
          <w:snapToGrid w:val="0"/>
          <w:kern w:val="0"/>
          <w:sz w:val="32"/>
          <w:szCs w:val="32"/>
          <w:lang w:val="zh-CN"/>
        </w:rPr>
        <w:t>（</w:t>
      </w:r>
      <w:r>
        <w:rPr>
          <w:rFonts w:hint="eastAsia" w:ascii="楷体" w:hAnsi="楷体" w:eastAsia="楷体" w:cs="楷体"/>
          <w:snapToGrid w:val="0"/>
          <w:kern w:val="0"/>
          <w:sz w:val="32"/>
          <w:szCs w:val="32"/>
          <w:lang w:val="zh-CN"/>
        </w:rPr>
        <w:t>二）项目效益情况。</w:t>
      </w:r>
      <w:r>
        <w:rPr>
          <w:rFonts w:eastAsia="仿宋"/>
          <w:snapToGrid w:val="0"/>
          <w:kern w:val="0"/>
          <w:sz w:val="32"/>
          <w:szCs w:val="32"/>
        </w:rPr>
        <w:t>项目保障了全市电子政务外网全年正常运行不中断，为各级部门依托电子政务外网建设的行业专网和业务系统正常运行。</w:t>
      </w:r>
    </w:p>
    <w:p>
      <w:pPr>
        <w:adjustRightInd w:val="0"/>
        <w:snapToGrid w:val="0"/>
        <w:spacing w:line="353" w:lineRule="auto"/>
        <w:rPr>
          <w:rFonts w:ascii="黑体" w:hAnsi="黑体" w:eastAsia="黑体" w:cs="黑体"/>
          <w:snapToGrid w:val="0"/>
          <w:kern w:val="0"/>
          <w:sz w:val="32"/>
          <w:szCs w:val="32"/>
        </w:rPr>
      </w:pPr>
      <w:r>
        <w:rPr>
          <w:rFonts w:hint="eastAsia" w:ascii="黑体" w:hAnsi="黑体" w:eastAsia="黑体" w:cs="黑体"/>
          <w:snapToGrid w:val="0"/>
          <w:kern w:val="0"/>
          <w:sz w:val="32"/>
          <w:szCs w:val="32"/>
        </w:rPr>
        <w:t>　　五、评价结论及建议</w:t>
      </w:r>
    </w:p>
    <w:p>
      <w:pPr>
        <w:adjustRightInd w:val="0"/>
        <w:snapToGrid w:val="0"/>
        <w:spacing w:line="353" w:lineRule="auto"/>
        <w:rPr>
          <w:rFonts w:eastAsia="仿宋"/>
          <w:snapToGrid w:val="0"/>
          <w:kern w:val="0"/>
          <w:sz w:val="32"/>
          <w:szCs w:val="32"/>
          <w:lang w:val="zh-CN"/>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（一）评价结论。</w:t>
      </w:r>
      <w:r>
        <w:rPr>
          <w:rFonts w:eastAsia="仿宋"/>
          <w:snapToGrid w:val="0"/>
          <w:kern w:val="0"/>
          <w:sz w:val="32"/>
          <w:szCs w:val="32"/>
          <w:lang w:val="zh-CN"/>
        </w:rPr>
        <w:t>项目完成了电子政务外网全年正常安全运行的省级年度目标考核任务，保障全市电子政务外网全年正常运行不中断，各依托电子政务外网建设的行业专网和业务系统正常运行，保障了市级77家单位网络正常运行。2022年电子政务外网稳定运行，无重大事故发生，达到了项目预期目标。</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（二）存在的问题。</w:t>
      </w:r>
      <w:r>
        <w:rPr>
          <w:rFonts w:eastAsia="仿宋"/>
          <w:snapToGrid w:val="0"/>
          <w:kern w:val="0"/>
          <w:sz w:val="32"/>
          <w:szCs w:val="32"/>
          <w:lang w:val="zh-CN"/>
        </w:rPr>
        <w:t>无</w:t>
      </w:r>
      <w:r>
        <w:rPr>
          <w:rFonts w:eastAsia="仿宋"/>
          <w:snapToGrid w:val="0"/>
          <w:kern w:val="0"/>
          <w:sz w:val="32"/>
          <w:szCs w:val="32"/>
        </w:rPr>
        <w:t>。</w:t>
      </w:r>
    </w:p>
    <w:p>
      <w:pPr>
        <w:adjustRightInd w:val="0"/>
        <w:snapToGrid w:val="0"/>
        <w:spacing w:line="353" w:lineRule="auto"/>
        <w:rPr>
          <w:rFonts w:eastAsia="仿宋"/>
          <w:snapToGrid w:val="0"/>
          <w:kern w:val="0"/>
          <w:sz w:val="32"/>
          <w:szCs w:val="32"/>
        </w:rPr>
      </w:pPr>
      <w:r>
        <w:rPr>
          <w:rFonts w:hint="eastAsia" w:eastAsia="仿宋"/>
          <w:snapToGrid w:val="0"/>
          <w:kern w:val="0"/>
          <w:sz w:val="32"/>
          <w:szCs w:val="32"/>
          <w:lang w:val="zh-CN"/>
        </w:rPr>
        <w:t>　　</w:t>
      </w:r>
      <w:r>
        <w:rPr>
          <w:rFonts w:hint="eastAsia" w:ascii="楷体" w:hAnsi="楷体" w:eastAsia="楷体" w:cs="楷体"/>
          <w:snapToGrid w:val="0"/>
          <w:kern w:val="0"/>
          <w:sz w:val="32"/>
          <w:szCs w:val="32"/>
          <w:lang w:val="zh-CN"/>
        </w:rPr>
        <w:t>（三）相关建议。</w:t>
      </w:r>
      <w:r>
        <w:rPr>
          <w:rFonts w:eastAsia="仿宋"/>
          <w:snapToGrid w:val="0"/>
          <w:kern w:val="0"/>
          <w:sz w:val="32"/>
          <w:szCs w:val="32"/>
          <w:lang w:val="zh-CN"/>
        </w:rPr>
        <w:t>请财政继续加强经费保障。</w:t>
      </w: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rPr>
          <w:rFonts w:eastAsia="仿宋"/>
          <w:snapToGrid w:val="0"/>
          <w:kern w:val="0"/>
          <w:sz w:val="32"/>
          <w:szCs w:val="32"/>
        </w:rPr>
      </w:pPr>
    </w:p>
    <w:p>
      <w:pPr>
        <w:adjustRightInd w:val="0"/>
        <w:snapToGrid w:val="0"/>
        <w:spacing w:line="353" w:lineRule="auto"/>
        <w:jc w:val="center"/>
        <w:rPr>
          <w:rFonts w:ascii="方正小标宋_GBK" w:hAnsi="方正小标宋_GBK" w:eastAsia="方正小标宋_GBK" w:cs="方正小标宋_GBK"/>
          <w:snapToGrid w:val="0"/>
          <w:kern w:val="0"/>
          <w:sz w:val="44"/>
          <w:szCs w:val="44"/>
        </w:rPr>
      </w:pPr>
      <w:bookmarkStart w:id="118" w:name="_Toc15396618"/>
      <w:bookmarkStart w:id="119" w:name="_Toc240409797"/>
      <w:bookmarkStart w:id="120" w:name="_Toc22089"/>
      <w:r>
        <w:rPr>
          <w:rFonts w:hint="eastAsia" w:ascii="方正小标宋_GBK" w:hAnsi="方正小标宋_GBK" w:eastAsia="方正小标宋_GBK" w:cs="方正小标宋_GBK"/>
          <w:snapToGrid w:val="0"/>
          <w:kern w:val="0"/>
          <w:sz w:val="44"/>
          <w:szCs w:val="44"/>
        </w:rPr>
        <w:t>第五部分　附表</w:t>
      </w:r>
      <w:bookmarkEnd w:id="112"/>
      <w:bookmarkEnd w:id="118"/>
      <w:bookmarkEnd w:id="119"/>
      <w:bookmarkEnd w:id="120"/>
      <w:bookmarkStart w:id="121" w:name="_Toc15396619"/>
    </w:p>
    <w:p>
      <w:pPr>
        <w:adjustRightInd w:val="0"/>
        <w:snapToGrid w:val="0"/>
        <w:spacing w:line="353" w:lineRule="auto"/>
        <w:rPr>
          <w:rFonts w:eastAsia="仿宋"/>
          <w:snapToGrid w:val="0"/>
          <w:kern w:val="0"/>
          <w:sz w:val="32"/>
          <w:szCs w:val="32"/>
        </w:rPr>
      </w:pPr>
      <w:bookmarkStart w:id="122" w:name="_Toc23050"/>
      <w:bookmarkStart w:id="123" w:name="_Toc244033036"/>
      <w:r>
        <w:rPr>
          <w:rFonts w:hint="eastAsia" w:eastAsia="仿宋"/>
          <w:snapToGrid w:val="0"/>
          <w:kern w:val="0"/>
          <w:sz w:val="32"/>
          <w:szCs w:val="32"/>
        </w:rPr>
        <w:t>　　</w:t>
      </w:r>
      <w:r>
        <w:rPr>
          <w:rFonts w:eastAsia="仿宋"/>
          <w:snapToGrid w:val="0"/>
          <w:kern w:val="0"/>
          <w:sz w:val="32"/>
          <w:szCs w:val="32"/>
        </w:rPr>
        <w:t>一、收入支出决算总表</w:t>
      </w:r>
      <w:bookmarkEnd w:id="121"/>
      <w:bookmarkEnd w:id="122"/>
      <w:bookmarkEnd w:id="123"/>
    </w:p>
    <w:p>
      <w:pPr>
        <w:adjustRightInd w:val="0"/>
        <w:snapToGrid w:val="0"/>
        <w:spacing w:line="353" w:lineRule="auto"/>
        <w:rPr>
          <w:rFonts w:eastAsia="仿宋"/>
          <w:snapToGrid w:val="0"/>
          <w:kern w:val="0"/>
          <w:sz w:val="32"/>
          <w:szCs w:val="32"/>
        </w:rPr>
      </w:pPr>
      <w:bookmarkStart w:id="124" w:name="_Toc5226"/>
      <w:bookmarkStart w:id="125" w:name="_Toc15396620"/>
      <w:bookmarkStart w:id="126" w:name="_Toc1024893270"/>
      <w:r>
        <w:rPr>
          <w:rFonts w:hint="eastAsia" w:eastAsia="仿宋"/>
          <w:snapToGrid w:val="0"/>
          <w:kern w:val="0"/>
          <w:sz w:val="32"/>
          <w:szCs w:val="32"/>
        </w:rPr>
        <w:t>　　</w:t>
      </w:r>
      <w:r>
        <w:rPr>
          <w:rFonts w:eastAsia="仿宋"/>
          <w:snapToGrid w:val="0"/>
          <w:kern w:val="0"/>
          <w:sz w:val="32"/>
          <w:szCs w:val="32"/>
        </w:rPr>
        <w:t>二、收入决算表</w:t>
      </w:r>
      <w:bookmarkEnd w:id="124"/>
      <w:bookmarkEnd w:id="125"/>
      <w:bookmarkEnd w:id="126"/>
    </w:p>
    <w:p>
      <w:pPr>
        <w:adjustRightInd w:val="0"/>
        <w:snapToGrid w:val="0"/>
        <w:spacing w:line="353" w:lineRule="auto"/>
        <w:rPr>
          <w:rFonts w:eastAsia="仿宋"/>
          <w:snapToGrid w:val="0"/>
          <w:kern w:val="0"/>
          <w:sz w:val="32"/>
          <w:szCs w:val="32"/>
        </w:rPr>
      </w:pPr>
      <w:bookmarkStart w:id="127" w:name="_Toc1178192269"/>
      <w:bookmarkStart w:id="128" w:name="_Toc15396621"/>
      <w:bookmarkStart w:id="129" w:name="_Toc21972"/>
      <w:r>
        <w:rPr>
          <w:rFonts w:hint="eastAsia" w:eastAsia="仿宋"/>
          <w:snapToGrid w:val="0"/>
          <w:kern w:val="0"/>
          <w:sz w:val="32"/>
          <w:szCs w:val="32"/>
        </w:rPr>
        <w:t>　　</w:t>
      </w:r>
      <w:r>
        <w:rPr>
          <w:rFonts w:eastAsia="仿宋"/>
          <w:snapToGrid w:val="0"/>
          <w:kern w:val="0"/>
          <w:sz w:val="32"/>
          <w:szCs w:val="32"/>
        </w:rPr>
        <w:t>三、支出决算表</w:t>
      </w:r>
      <w:bookmarkEnd w:id="127"/>
      <w:bookmarkEnd w:id="128"/>
      <w:bookmarkEnd w:id="129"/>
    </w:p>
    <w:p>
      <w:pPr>
        <w:adjustRightInd w:val="0"/>
        <w:snapToGrid w:val="0"/>
        <w:spacing w:line="353" w:lineRule="auto"/>
        <w:rPr>
          <w:rFonts w:eastAsia="仿宋"/>
          <w:snapToGrid w:val="0"/>
          <w:kern w:val="0"/>
          <w:sz w:val="32"/>
          <w:szCs w:val="32"/>
        </w:rPr>
      </w:pPr>
      <w:bookmarkStart w:id="130" w:name="_Toc870506955"/>
      <w:bookmarkStart w:id="131" w:name="_Toc15269"/>
      <w:bookmarkStart w:id="132" w:name="_Toc15396622"/>
      <w:r>
        <w:rPr>
          <w:rFonts w:hint="eastAsia" w:eastAsia="仿宋"/>
          <w:snapToGrid w:val="0"/>
          <w:kern w:val="0"/>
          <w:sz w:val="32"/>
          <w:szCs w:val="32"/>
        </w:rPr>
        <w:t>　　</w:t>
      </w:r>
      <w:r>
        <w:rPr>
          <w:rFonts w:eastAsia="仿宋"/>
          <w:snapToGrid w:val="0"/>
          <w:kern w:val="0"/>
          <w:sz w:val="32"/>
          <w:szCs w:val="32"/>
        </w:rPr>
        <w:t>四、财政拨款收入支出决算总表</w:t>
      </w:r>
      <w:bookmarkEnd w:id="130"/>
      <w:bookmarkEnd w:id="131"/>
      <w:bookmarkEnd w:id="132"/>
    </w:p>
    <w:p>
      <w:pPr>
        <w:adjustRightInd w:val="0"/>
        <w:snapToGrid w:val="0"/>
        <w:spacing w:line="353" w:lineRule="auto"/>
        <w:rPr>
          <w:rFonts w:eastAsia="仿宋"/>
          <w:snapToGrid w:val="0"/>
          <w:kern w:val="0"/>
          <w:sz w:val="32"/>
          <w:szCs w:val="32"/>
        </w:rPr>
      </w:pPr>
      <w:bookmarkStart w:id="133" w:name="_Toc15396623"/>
      <w:bookmarkStart w:id="134" w:name="_Toc285467374"/>
      <w:bookmarkStart w:id="135" w:name="_Toc22775"/>
      <w:r>
        <w:rPr>
          <w:rFonts w:hint="eastAsia" w:eastAsia="仿宋"/>
          <w:snapToGrid w:val="0"/>
          <w:kern w:val="0"/>
          <w:sz w:val="32"/>
          <w:szCs w:val="32"/>
        </w:rPr>
        <w:t>　　</w:t>
      </w:r>
      <w:r>
        <w:rPr>
          <w:rFonts w:eastAsia="仿宋"/>
          <w:snapToGrid w:val="0"/>
          <w:kern w:val="0"/>
          <w:sz w:val="32"/>
          <w:szCs w:val="32"/>
        </w:rPr>
        <w:t>五、财政拨款支出决算明细表</w:t>
      </w:r>
      <w:bookmarkEnd w:id="133"/>
      <w:bookmarkEnd w:id="134"/>
      <w:bookmarkEnd w:id="135"/>
      <w:bookmarkStart w:id="136" w:name="_Toc15396624"/>
    </w:p>
    <w:p>
      <w:pPr>
        <w:adjustRightInd w:val="0"/>
        <w:snapToGrid w:val="0"/>
        <w:spacing w:line="353" w:lineRule="auto"/>
        <w:rPr>
          <w:rFonts w:eastAsia="仿宋"/>
          <w:snapToGrid w:val="0"/>
          <w:kern w:val="0"/>
          <w:sz w:val="32"/>
          <w:szCs w:val="32"/>
        </w:rPr>
      </w:pPr>
      <w:bookmarkStart w:id="137" w:name="_Toc28132"/>
      <w:bookmarkStart w:id="138" w:name="_Toc2068795713"/>
      <w:r>
        <w:rPr>
          <w:rFonts w:hint="eastAsia" w:eastAsia="仿宋"/>
          <w:snapToGrid w:val="0"/>
          <w:kern w:val="0"/>
          <w:sz w:val="32"/>
          <w:szCs w:val="32"/>
        </w:rPr>
        <w:t>　　</w:t>
      </w:r>
      <w:r>
        <w:rPr>
          <w:rFonts w:eastAsia="仿宋"/>
          <w:snapToGrid w:val="0"/>
          <w:kern w:val="0"/>
          <w:sz w:val="32"/>
          <w:szCs w:val="32"/>
        </w:rPr>
        <w:t>六、一般公共预算财政拨款支出决算表</w:t>
      </w:r>
      <w:bookmarkEnd w:id="136"/>
      <w:bookmarkEnd w:id="137"/>
      <w:bookmarkEnd w:id="138"/>
    </w:p>
    <w:p>
      <w:pPr>
        <w:adjustRightInd w:val="0"/>
        <w:snapToGrid w:val="0"/>
        <w:spacing w:line="353" w:lineRule="auto"/>
        <w:rPr>
          <w:rFonts w:eastAsia="仿宋"/>
          <w:snapToGrid w:val="0"/>
          <w:kern w:val="0"/>
          <w:sz w:val="32"/>
          <w:szCs w:val="32"/>
        </w:rPr>
      </w:pPr>
      <w:bookmarkStart w:id="139" w:name="_Toc7397"/>
      <w:bookmarkStart w:id="140" w:name="_Toc1270771090"/>
      <w:bookmarkStart w:id="141" w:name="_Toc15396625"/>
      <w:r>
        <w:rPr>
          <w:rFonts w:hint="eastAsia" w:eastAsia="仿宋"/>
          <w:snapToGrid w:val="0"/>
          <w:kern w:val="0"/>
          <w:sz w:val="32"/>
          <w:szCs w:val="32"/>
        </w:rPr>
        <w:t>　　</w:t>
      </w:r>
      <w:r>
        <w:rPr>
          <w:rFonts w:eastAsia="仿宋"/>
          <w:snapToGrid w:val="0"/>
          <w:kern w:val="0"/>
          <w:sz w:val="32"/>
          <w:szCs w:val="32"/>
        </w:rPr>
        <w:t>七、一般公共预算财政拨款支出决算明细表</w:t>
      </w:r>
      <w:bookmarkEnd w:id="139"/>
      <w:bookmarkEnd w:id="140"/>
      <w:bookmarkEnd w:id="141"/>
    </w:p>
    <w:p>
      <w:pPr>
        <w:adjustRightInd w:val="0"/>
        <w:snapToGrid w:val="0"/>
        <w:spacing w:line="353" w:lineRule="auto"/>
        <w:rPr>
          <w:rFonts w:eastAsia="仿宋"/>
          <w:snapToGrid w:val="0"/>
          <w:kern w:val="0"/>
          <w:sz w:val="32"/>
          <w:szCs w:val="32"/>
        </w:rPr>
      </w:pPr>
      <w:bookmarkStart w:id="142" w:name="_Toc293783907"/>
      <w:bookmarkStart w:id="143" w:name="_Toc15396626"/>
      <w:bookmarkStart w:id="144" w:name="_Toc26934"/>
      <w:r>
        <w:rPr>
          <w:rFonts w:hint="eastAsia" w:eastAsia="仿宋"/>
          <w:snapToGrid w:val="0"/>
          <w:kern w:val="0"/>
          <w:sz w:val="32"/>
          <w:szCs w:val="32"/>
        </w:rPr>
        <w:t>　　</w:t>
      </w:r>
      <w:r>
        <w:rPr>
          <w:rFonts w:eastAsia="仿宋"/>
          <w:snapToGrid w:val="0"/>
          <w:kern w:val="0"/>
          <w:sz w:val="32"/>
          <w:szCs w:val="32"/>
        </w:rPr>
        <w:t>八、一般公共预算财政拨款基本支出决算表</w:t>
      </w:r>
      <w:bookmarkEnd w:id="142"/>
      <w:bookmarkEnd w:id="143"/>
      <w:bookmarkEnd w:id="144"/>
    </w:p>
    <w:p>
      <w:pPr>
        <w:adjustRightInd w:val="0"/>
        <w:snapToGrid w:val="0"/>
        <w:spacing w:line="353" w:lineRule="auto"/>
        <w:rPr>
          <w:rFonts w:eastAsia="仿宋"/>
          <w:snapToGrid w:val="0"/>
          <w:kern w:val="0"/>
          <w:sz w:val="32"/>
          <w:szCs w:val="32"/>
        </w:rPr>
      </w:pPr>
      <w:bookmarkStart w:id="145" w:name="_Toc15396627"/>
      <w:bookmarkStart w:id="146" w:name="_Toc398447288"/>
      <w:bookmarkStart w:id="147" w:name="_Toc20532"/>
      <w:r>
        <w:rPr>
          <w:rFonts w:hint="eastAsia" w:eastAsia="仿宋"/>
          <w:snapToGrid w:val="0"/>
          <w:kern w:val="0"/>
          <w:sz w:val="32"/>
          <w:szCs w:val="32"/>
        </w:rPr>
        <w:t>　　</w:t>
      </w:r>
      <w:r>
        <w:rPr>
          <w:rFonts w:eastAsia="仿宋"/>
          <w:snapToGrid w:val="0"/>
          <w:kern w:val="0"/>
          <w:sz w:val="32"/>
          <w:szCs w:val="32"/>
        </w:rPr>
        <w:t>九、一般公共预算财政拨款项目支出决算表</w:t>
      </w:r>
      <w:bookmarkEnd w:id="145"/>
      <w:bookmarkEnd w:id="146"/>
      <w:bookmarkEnd w:id="147"/>
    </w:p>
    <w:p>
      <w:pPr>
        <w:adjustRightInd w:val="0"/>
        <w:snapToGrid w:val="0"/>
        <w:spacing w:line="353" w:lineRule="auto"/>
        <w:rPr>
          <w:rFonts w:eastAsia="仿宋"/>
          <w:snapToGrid w:val="0"/>
          <w:kern w:val="0"/>
          <w:sz w:val="32"/>
          <w:szCs w:val="32"/>
        </w:rPr>
      </w:pPr>
      <w:bookmarkStart w:id="148" w:name="_Toc15396628"/>
      <w:bookmarkStart w:id="149" w:name="_Toc624248637"/>
      <w:bookmarkStart w:id="150" w:name="_Toc28569"/>
      <w:r>
        <w:rPr>
          <w:rFonts w:hint="eastAsia" w:eastAsia="仿宋"/>
          <w:snapToGrid w:val="0"/>
          <w:kern w:val="0"/>
          <w:sz w:val="32"/>
          <w:szCs w:val="32"/>
        </w:rPr>
        <w:t>　　</w:t>
      </w:r>
      <w:r>
        <w:rPr>
          <w:rFonts w:eastAsia="仿宋"/>
          <w:snapToGrid w:val="0"/>
          <w:kern w:val="0"/>
          <w:sz w:val="32"/>
          <w:szCs w:val="32"/>
        </w:rPr>
        <w:t>十、</w:t>
      </w:r>
      <w:bookmarkEnd w:id="148"/>
      <w:r>
        <w:rPr>
          <w:rFonts w:eastAsia="仿宋"/>
          <w:snapToGrid w:val="0"/>
          <w:kern w:val="0"/>
          <w:sz w:val="32"/>
          <w:szCs w:val="32"/>
        </w:rPr>
        <w:t>政府性基金预算财政拨款收入支出决算表</w:t>
      </w:r>
      <w:bookmarkEnd w:id="149"/>
      <w:bookmarkEnd w:id="150"/>
    </w:p>
    <w:p>
      <w:pPr>
        <w:adjustRightInd w:val="0"/>
        <w:snapToGrid w:val="0"/>
        <w:spacing w:line="353" w:lineRule="auto"/>
        <w:rPr>
          <w:rFonts w:eastAsia="仿宋"/>
          <w:snapToGrid w:val="0"/>
          <w:kern w:val="0"/>
          <w:sz w:val="32"/>
          <w:szCs w:val="32"/>
        </w:rPr>
      </w:pPr>
      <w:bookmarkStart w:id="151" w:name="_Toc15396629"/>
      <w:bookmarkStart w:id="152" w:name="_Toc5328318"/>
      <w:bookmarkStart w:id="153" w:name="_Toc11196"/>
      <w:r>
        <w:rPr>
          <w:rFonts w:hint="eastAsia" w:eastAsia="仿宋"/>
          <w:snapToGrid w:val="0"/>
          <w:kern w:val="0"/>
          <w:sz w:val="32"/>
          <w:szCs w:val="32"/>
        </w:rPr>
        <w:t>　　</w:t>
      </w:r>
      <w:r>
        <w:rPr>
          <w:rFonts w:eastAsia="仿宋"/>
          <w:snapToGrid w:val="0"/>
          <w:kern w:val="0"/>
          <w:sz w:val="32"/>
          <w:szCs w:val="32"/>
        </w:rPr>
        <w:t>十一、</w:t>
      </w:r>
      <w:bookmarkEnd w:id="151"/>
      <w:r>
        <w:rPr>
          <w:rFonts w:eastAsia="仿宋"/>
          <w:snapToGrid w:val="0"/>
          <w:kern w:val="0"/>
          <w:sz w:val="32"/>
          <w:szCs w:val="32"/>
        </w:rPr>
        <w:t>国有资本经营预算财政拨款收入支出决算表</w:t>
      </w:r>
      <w:bookmarkEnd w:id="152"/>
      <w:bookmarkEnd w:id="153"/>
    </w:p>
    <w:p>
      <w:pPr>
        <w:adjustRightInd w:val="0"/>
        <w:snapToGrid w:val="0"/>
        <w:spacing w:line="353" w:lineRule="auto"/>
        <w:rPr>
          <w:rFonts w:eastAsia="仿宋"/>
          <w:snapToGrid w:val="0"/>
          <w:kern w:val="0"/>
          <w:sz w:val="32"/>
          <w:szCs w:val="32"/>
        </w:rPr>
      </w:pPr>
      <w:bookmarkStart w:id="154" w:name="_Toc15396630"/>
      <w:bookmarkStart w:id="155" w:name="_Toc8715"/>
      <w:bookmarkStart w:id="156" w:name="_Toc1410646834"/>
      <w:r>
        <w:rPr>
          <w:rFonts w:hint="eastAsia" w:eastAsia="仿宋"/>
          <w:snapToGrid w:val="0"/>
          <w:kern w:val="0"/>
          <w:sz w:val="32"/>
          <w:szCs w:val="32"/>
        </w:rPr>
        <w:t>　　</w:t>
      </w:r>
      <w:r>
        <w:rPr>
          <w:rFonts w:eastAsia="仿宋"/>
          <w:snapToGrid w:val="0"/>
          <w:kern w:val="0"/>
          <w:sz w:val="32"/>
          <w:szCs w:val="32"/>
        </w:rPr>
        <w:t>十二、</w:t>
      </w:r>
      <w:bookmarkEnd w:id="154"/>
      <w:r>
        <w:rPr>
          <w:rFonts w:eastAsia="仿宋"/>
          <w:snapToGrid w:val="0"/>
          <w:kern w:val="0"/>
          <w:sz w:val="32"/>
          <w:szCs w:val="32"/>
        </w:rPr>
        <w:t>国有资本经营预算财政拨款支出决算表</w:t>
      </w:r>
      <w:bookmarkEnd w:id="155"/>
      <w:bookmarkEnd w:id="156"/>
    </w:p>
    <w:p>
      <w:pPr>
        <w:adjustRightInd w:val="0"/>
        <w:snapToGrid w:val="0"/>
        <w:spacing w:line="353" w:lineRule="auto"/>
        <w:rPr>
          <w:rFonts w:eastAsia="仿宋"/>
          <w:snapToGrid w:val="0"/>
          <w:kern w:val="0"/>
          <w:sz w:val="32"/>
          <w:szCs w:val="32"/>
        </w:rPr>
      </w:pPr>
      <w:bookmarkStart w:id="157" w:name="_Toc15396631"/>
      <w:bookmarkStart w:id="158" w:name="_Toc4582"/>
      <w:bookmarkStart w:id="159" w:name="_Toc1699817665"/>
      <w:r>
        <w:rPr>
          <w:rFonts w:hint="eastAsia" w:eastAsia="仿宋"/>
          <w:snapToGrid w:val="0"/>
          <w:kern w:val="0"/>
          <w:sz w:val="32"/>
          <w:szCs w:val="32"/>
        </w:rPr>
        <w:t>　　</w:t>
      </w:r>
      <w:r>
        <w:rPr>
          <w:rFonts w:eastAsia="仿宋"/>
          <w:snapToGrid w:val="0"/>
          <w:kern w:val="0"/>
          <w:sz w:val="32"/>
          <w:szCs w:val="32"/>
        </w:rPr>
        <w:t>十三、</w:t>
      </w:r>
      <w:bookmarkEnd w:id="157"/>
      <w:r>
        <w:rPr>
          <w:rFonts w:eastAsia="仿宋"/>
          <w:snapToGrid w:val="0"/>
          <w:kern w:val="0"/>
          <w:sz w:val="32"/>
          <w:szCs w:val="32"/>
        </w:rPr>
        <w:t>财政拨款“三公”经费支出决算表</w:t>
      </w:r>
      <w:bookmarkEnd w:id="158"/>
      <w:bookmarkEnd w:id="159"/>
    </w:p>
    <w:sectPr>
      <w:footerReference r:id="rId7" w:type="first"/>
      <w:footerReference r:id="rId6" w:type="default"/>
      <w:pgSz w:w="11906" w:h="16838"/>
      <w:pgMar w:top="1440" w:right="1800" w:bottom="1440" w:left="1800" w:header="851" w:footer="992" w:gutter="0"/>
      <w:pgNumType w:start="2"/>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汉仪仿宋S"/>
    <w:panose1 w:val="00000000000000000000"/>
    <w:charset w:val="00"/>
    <w:family w:val="roman"/>
    <w:pitch w:val="default"/>
    <w:sig w:usb0="00000000" w:usb1="00000000" w:usb2="00000000" w:usb3="00000000" w:csb0="00000000" w:csb1="00000000"/>
  </w:font>
  <w:font w:name="等线">
    <w:altName w:val="Arial Unicode MS"/>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方正小标宋_GBK">
    <w:panose1 w:val="02000000000000000000"/>
    <w:charset w:val="86"/>
    <w:family w:val="script"/>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script"/>
    <w:pitch w:val="default"/>
    <w:sig w:usb0="00000001" w:usb1="08000000" w:usb2="00000000" w:usb3="00000000" w:csb0="00040000" w:csb1="00000000"/>
  </w:font>
  <w:font w:name="Batang">
    <w:panose1 w:val="0203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firstLineChars="200"/>
    </w:pPr>
    <w:r>
      <mc:AlternateContent>
        <mc:Choice Requires="wps">
          <w:drawing>
            <wp:inline distT="0" distB="0" distL="114300" distR="114300">
              <wp:extent cx="4838700" cy="395605"/>
              <wp:effectExtent l="0" t="0" r="0" b="0"/>
              <wp:docPr id="4" name="文本框 4"/>
              <wp:cNvGraphicFramePr/>
              <a:graphic xmlns:a="http://schemas.openxmlformats.org/drawingml/2006/main">
                <a:graphicData uri="http://schemas.microsoft.com/office/word/2010/wordprocessingShape">
                  <wps:wsp>
                    <wps:cNvSpPr txBox="true">
                      <a:spLocks noRot="true"/>
                    </wps:cNvSpPr>
                    <wps:spPr>
                      <a:xfrm>
                        <a:off x="0" y="0"/>
                        <a:ext cx="4838700" cy="395605"/>
                      </a:xfrm>
                      <a:prstGeom prst="rect">
                        <a:avLst/>
                      </a:prstGeom>
                      <a:noFill/>
                      <a:ln>
                        <a:noFill/>
                      </a:ln>
                    </wps:spPr>
                    <wps:txbx>
                      <w:txbxContent>
                        <w:p>
                          <w:pPr>
                            <w:spacing w:line="439" w:lineRule="atLeast"/>
                            <w:jc w:val="left"/>
                            <w:rPr>
                              <w:sz w:val="28"/>
                            </w:rPr>
                          </w:pPr>
                          <w:r>
                            <w:rPr>
                              <w:rFonts w:hint="eastAsia"/>
                              <w:sz w:val="28"/>
                            </w:rPr>
                            <w:t>－</w:t>
                          </w: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１</w:t>
                          </w:r>
                          <w:r>
                            <w:rPr>
                              <w:rFonts w:hint="eastAsia"/>
                              <w:sz w:val="28"/>
                            </w:rPr>
                            <w:fldChar w:fldCharType="end"/>
                          </w:r>
                          <w:r>
                            <w:rPr>
                              <w:rFonts w:hint="eastAsia"/>
                              <w:sz w:val="28"/>
                            </w:rPr>
                            <w:t>－</w:t>
                          </w:r>
                        </w:p>
                      </w:txbxContent>
                    </wps:txbx>
                    <wps:bodyPr lIns="0" tIns="0" rIns="0" bIns="0" upright="true"/>
                  </wps:wsp>
                </a:graphicData>
              </a:graphic>
            </wp:inline>
          </w:drawing>
        </mc:Choice>
        <mc:Fallback>
          <w:pict>
            <v:shape id="_x0000_s1026" o:spid="_x0000_s1026" o:spt="202" type="#_x0000_t202" style="height:31.15pt;width:381pt;" filled="f" stroked="f" coordsize="21600,21600" o:gfxdata="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VZ2b0tMAAAAEAQAADwAAAAAAAAABACAAAAA4AAAAZHJzL2Rvd25y&#10;ZXYueG1sUEsBAhQAFAAAAAgAh07iQJVrcvK0AQAAUAMAAA4AAAAAAAAAAQAgAAAAOAEAAGRycy9l&#10;Mm9Eb2MueG1sUEsFBgAAAAAGAAYAWQEAAF4FAAAAAA==&#10;">
              <v:fill on="f" focussize="0,0"/>
              <v:stroke on="f"/>
              <v:imagedata o:title=""/>
              <o:lock v:ext="edit" rotation="t" aspectratio="f"/>
              <v:textbox inset="0mm,0mm,0mm,0mm">
                <w:txbxContent>
                  <w:p>
                    <w:pPr>
                      <w:spacing w:line="439" w:lineRule="atLeast"/>
                      <w:jc w:val="left"/>
                      <w:rPr>
                        <w:sz w:val="28"/>
                      </w:rPr>
                    </w:pPr>
                    <w:r>
                      <w:rPr>
                        <w:rFonts w:hint="eastAsia"/>
                        <w:sz w:val="28"/>
                      </w:rPr>
                      <w:t>－</w:t>
                    </w: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１</w:t>
                    </w:r>
                    <w:r>
                      <w:rPr>
                        <w:rFonts w:hint="eastAsia"/>
                        <w:sz w:val="28"/>
                      </w:rPr>
                      <w:fldChar w:fldCharType="end"/>
                    </w:r>
                    <w:r>
                      <w:rPr>
                        <w:rFonts w:hint="eastAsia"/>
                        <w:sz w:val="28"/>
                      </w:rPr>
                      <w:t>－</w:t>
                    </w:r>
                  </w:p>
                </w:txbxContent>
              </v:textbox>
              <w10:wrap type="none"/>
              <w10:anchorlock/>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firstLineChars="200"/>
    </w:pPr>
    <w:r>
      <mc:AlternateContent>
        <mc:Choice Requires="wps">
          <w:drawing>
            <wp:inline distT="0" distB="0" distL="114300" distR="114300">
              <wp:extent cx="4870450" cy="395605"/>
              <wp:effectExtent l="0" t="0" r="0" b="0"/>
              <wp:docPr id="1" name="文本框 1"/>
              <wp:cNvGraphicFramePr/>
              <a:graphic xmlns:a="http://schemas.openxmlformats.org/drawingml/2006/main">
                <a:graphicData uri="http://schemas.microsoft.com/office/word/2010/wordprocessingShape">
                  <wps:wsp>
                    <wps:cNvSpPr txBox="true">
                      <a:spLocks noRot="true"/>
                    </wps:cNvSpPr>
                    <wps:spPr>
                      <a:xfrm>
                        <a:off x="0" y="0"/>
                        <a:ext cx="4870450" cy="395605"/>
                      </a:xfrm>
                      <a:prstGeom prst="rect">
                        <a:avLst/>
                      </a:prstGeom>
                      <a:noFill/>
                      <a:ln>
                        <a:noFill/>
                      </a:ln>
                    </wps:spPr>
                    <wps:txbx>
                      <w:txbxContent>
                        <w:p>
                          <w:pPr>
                            <w:spacing w:line="439" w:lineRule="atLeast"/>
                            <w:jc w:val="right"/>
                            <w:rPr>
                              <w:sz w:val="28"/>
                            </w:rPr>
                          </w:pPr>
                        </w:p>
                      </w:txbxContent>
                    </wps:txbx>
                    <wps:bodyPr lIns="0" tIns="0" rIns="0" bIns="0" upright="true"/>
                  </wps:wsp>
                </a:graphicData>
              </a:graphic>
            </wp:inline>
          </w:drawing>
        </mc:Choice>
        <mc:Fallback>
          <w:pict>
            <v:shape id="_x0000_s1026" o:spid="_x0000_s1026" o:spt="202" type="#_x0000_t202" style="height:31.15pt;width:383.5pt;" filled="f" stroked="f" coordsize="21600,21600" o:gfxdata="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DyU+dXUAAAABAEAAA8AAAAAAAAAAQAgAAAAOAAAAGRycy9kb3du&#10;cmV2LnhtbFBLAQIUABQAAAAIAIdO4kB52uCItAEAAFADAAAOAAAAAAAAAAEAIAAAADkBAABkcnMv&#10;ZTJvRG9jLnhtbFBLBQYAAAAABgAGAFkBAABfBQAAAAA=&#10;">
              <v:fill on="f" focussize="0,0"/>
              <v:stroke on="f"/>
              <v:imagedata o:title=""/>
              <o:lock v:ext="edit" rotation="t" aspectratio="f"/>
              <v:textbox inset="0mm,0mm,0mm,0mm">
                <w:txbxContent>
                  <w:p>
                    <w:pPr>
                      <w:spacing w:line="439" w:lineRule="atLeast"/>
                      <w:jc w:val="right"/>
                      <w:rPr>
                        <w:sz w:val="28"/>
                      </w:rPr>
                    </w:pPr>
                  </w:p>
                </w:txbxContent>
              </v:textbox>
              <w10:wrap type="none"/>
              <w10:anchorlock/>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firstLineChars="200"/>
    </w:pPr>
    <w:r>
      <mc:AlternateContent>
        <mc:Choice Requires="wps">
          <w:drawing>
            <wp:inline distT="0" distB="0" distL="114300" distR="114300">
              <wp:extent cx="4838700" cy="395605"/>
              <wp:effectExtent l="0" t="0" r="0" b="0"/>
              <wp:docPr id="9" name="文本框 9"/>
              <wp:cNvGraphicFramePr/>
              <a:graphic xmlns:a="http://schemas.openxmlformats.org/drawingml/2006/main">
                <a:graphicData uri="http://schemas.microsoft.com/office/word/2010/wordprocessingShape">
                  <wps:wsp>
                    <wps:cNvSpPr txBox="true">
                      <a:spLocks noRot="true"/>
                    </wps:cNvSpPr>
                    <wps:spPr>
                      <a:xfrm>
                        <a:off x="0" y="0"/>
                        <a:ext cx="4838700" cy="395605"/>
                      </a:xfrm>
                      <a:prstGeom prst="rect">
                        <a:avLst/>
                      </a:prstGeom>
                      <a:noFill/>
                      <a:ln>
                        <a:noFill/>
                      </a:ln>
                    </wps:spPr>
                    <wps:txbx>
                      <w:txbxContent>
                        <w:p>
                          <w:pPr>
                            <w:spacing w:line="439" w:lineRule="atLeast"/>
                            <w:jc w:val="left"/>
                            <w:rPr>
                              <w:sz w:val="28"/>
                            </w:rPr>
                          </w:pPr>
                          <w:r>
                            <w:rPr>
                              <w:rFonts w:hint="eastAsia"/>
                              <w:sz w:val="28"/>
                            </w:rPr>
                            <w:t>－</w:t>
                          </w: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６５</w:t>
                          </w:r>
                          <w:r>
                            <w:rPr>
                              <w:rFonts w:hint="eastAsia"/>
                              <w:sz w:val="28"/>
                            </w:rPr>
                            <w:fldChar w:fldCharType="end"/>
                          </w:r>
                          <w:r>
                            <w:rPr>
                              <w:rFonts w:hint="eastAsia"/>
                              <w:sz w:val="28"/>
                            </w:rPr>
                            <w:t>－</w:t>
                          </w:r>
                        </w:p>
                      </w:txbxContent>
                    </wps:txbx>
                    <wps:bodyPr lIns="0" tIns="0" rIns="0" bIns="0" upright="true"/>
                  </wps:wsp>
                </a:graphicData>
              </a:graphic>
            </wp:inline>
          </w:drawing>
        </mc:Choice>
        <mc:Fallback>
          <w:pict>
            <v:shape id="_x0000_s1026" o:spid="_x0000_s1026" o:spt="202" type="#_x0000_t202" style="height:31.15pt;width:381pt;" filled="f" stroked="f" coordsize="21600,21600" o:gfxdata="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VZ2b0tMAAAAEAQAADwAAAAAAAAABACAAAAA4AAAAZHJzL2Rvd25y&#10;ZXYueG1sUEsBAhQAFAAAAAgAh07iQCKa3t60AQAAUAMAAA4AAAAAAAAAAQAgAAAAOAEAAGRycy9l&#10;Mm9Eb2MueG1sUEsFBgAAAAAGAAYAWQEAAF4FAAAAAA==&#10;">
              <v:fill on="f" focussize="0,0"/>
              <v:stroke on="f"/>
              <v:imagedata o:title=""/>
              <o:lock v:ext="edit" rotation="t" aspectratio="f"/>
              <v:textbox inset="0mm,0mm,0mm,0mm">
                <w:txbxContent>
                  <w:p>
                    <w:pPr>
                      <w:spacing w:line="439" w:lineRule="atLeast"/>
                      <w:jc w:val="left"/>
                      <w:rPr>
                        <w:sz w:val="28"/>
                      </w:rPr>
                    </w:pPr>
                    <w:r>
                      <w:rPr>
                        <w:rFonts w:hint="eastAsia"/>
                        <w:sz w:val="28"/>
                      </w:rPr>
                      <w:t>－</w:t>
                    </w: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６５</w:t>
                    </w:r>
                    <w:r>
                      <w:rPr>
                        <w:rFonts w:hint="eastAsia"/>
                        <w:sz w:val="28"/>
                      </w:rPr>
                      <w:fldChar w:fldCharType="end"/>
                    </w:r>
                    <w:r>
                      <w:rPr>
                        <w:rFonts w:hint="eastAsia"/>
                        <w:sz w:val="28"/>
                      </w:rPr>
                      <w:t>－</w:t>
                    </w:r>
                  </w:p>
                </w:txbxContent>
              </v:textbox>
              <w10:wrap type="none"/>
              <w10:anchorlock/>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firstLineChars="200"/>
    </w:pPr>
    <w:r>
      <mc:AlternateContent>
        <mc:Choice Requires="wps">
          <w:drawing>
            <wp:inline distT="0" distB="0" distL="114300" distR="114300">
              <wp:extent cx="4870450" cy="395605"/>
              <wp:effectExtent l="0" t="0" r="0" b="0"/>
              <wp:docPr id="10" name="文本框 10"/>
              <wp:cNvGraphicFramePr/>
              <a:graphic xmlns:a="http://schemas.openxmlformats.org/drawingml/2006/main">
                <a:graphicData uri="http://schemas.microsoft.com/office/word/2010/wordprocessingShape">
                  <wps:wsp>
                    <wps:cNvSpPr txBox="true">
                      <a:spLocks noRot="true"/>
                    </wps:cNvSpPr>
                    <wps:spPr>
                      <a:xfrm>
                        <a:off x="0" y="0"/>
                        <a:ext cx="4870450" cy="395605"/>
                      </a:xfrm>
                      <a:prstGeom prst="rect">
                        <a:avLst/>
                      </a:prstGeom>
                      <a:noFill/>
                      <a:ln>
                        <a:noFill/>
                      </a:ln>
                    </wps:spPr>
                    <wps:txbx>
                      <w:txbxContent>
                        <w:p>
                          <w:pPr>
                            <w:spacing w:line="439" w:lineRule="atLeast"/>
                            <w:jc w:val="right"/>
                            <w:rPr>
                              <w:sz w:val="28"/>
                            </w:rPr>
                          </w:pPr>
                          <w:r>
                            <w:rPr>
                              <w:rFonts w:hint="eastAsia"/>
                              <w:sz w:val="28"/>
                            </w:rPr>
                            <w:t>－</w:t>
                          </w: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２</w:t>
                          </w:r>
                          <w:r>
                            <w:rPr>
                              <w:rFonts w:hint="eastAsia"/>
                              <w:sz w:val="28"/>
                            </w:rPr>
                            <w:fldChar w:fldCharType="end"/>
                          </w:r>
                          <w:r>
                            <w:rPr>
                              <w:rFonts w:hint="eastAsia"/>
                              <w:sz w:val="28"/>
                            </w:rPr>
                            <w:t>－</w:t>
                          </w:r>
                        </w:p>
                      </w:txbxContent>
                    </wps:txbx>
                    <wps:bodyPr lIns="0" tIns="0" rIns="0" bIns="0" upright="true"/>
                  </wps:wsp>
                </a:graphicData>
              </a:graphic>
            </wp:inline>
          </w:drawing>
        </mc:Choice>
        <mc:Fallback>
          <w:pict>
            <v:shape id="_x0000_s1026" o:spid="_x0000_s1026" o:spt="202" type="#_x0000_t202" style="height:31.15pt;width:383.5pt;" filled="f" stroked="f" coordsize="21600,21600" o:gfxdata="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WAAAA&#10;ZHJzL1BLAQIUABQAAAAIAIdO4kA8lPnV1AAAAAQBAAAPAAAAAAAAAAEAIAAAADgAAABkcnMvZG93&#10;bnJldi54bWxQSwECFAAUAAAACACHTuJAurlzoLUBAABSAwAADgAAAAAAAAABACAAAAA5AQAAZHJz&#10;L2Uyb0RvYy54bWxQSwUGAAAAAAYABgBZAQAAYAUAAAAA&#10;">
              <v:fill on="f" focussize="0,0"/>
              <v:stroke on="f"/>
              <v:imagedata o:title=""/>
              <o:lock v:ext="edit" rotation="t" aspectratio="f"/>
              <v:textbox inset="0mm,0mm,0mm,0mm">
                <w:txbxContent>
                  <w:p>
                    <w:pPr>
                      <w:spacing w:line="439" w:lineRule="atLeast"/>
                      <w:jc w:val="right"/>
                      <w:rPr>
                        <w:sz w:val="28"/>
                      </w:rPr>
                    </w:pPr>
                    <w:r>
                      <w:rPr>
                        <w:rFonts w:hint="eastAsia"/>
                        <w:sz w:val="28"/>
                      </w:rPr>
                      <w:t>－</w:t>
                    </w:r>
                    <w:r>
                      <w:rPr>
                        <w:rFonts w:hint="eastAsia"/>
                        <w:sz w:val="28"/>
                      </w:rPr>
                      <w:fldChar w:fldCharType="begin"/>
                    </w:r>
                    <w:r>
                      <w:rPr>
                        <w:rFonts w:hint="eastAsia"/>
                        <w:sz w:val="28"/>
                      </w:rPr>
                      <w:instrText xml:space="preserve"> PAGE \* DBCHAR \* MERGEFORMAT </w:instrText>
                    </w:r>
                    <w:r>
                      <w:rPr>
                        <w:rFonts w:hint="eastAsia"/>
                        <w:sz w:val="28"/>
                      </w:rPr>
                      <w:fldChar w:fldCharType="separate"/>
                    </w:r>
                    <w:r>
                      <w:rPr>
                        <w:rFonts w:hint="eastAsia"/>
                        <w:sz w:val="28"/>
                      </w:rPr>
                      <w:t>２</w:t>
                    </w:r>
                    <w:r>
                      <w:rPr>
                        <w:rFonts w:hint="eastAsia"/>
                        <w:sz w:val="28"/>
                      </w:rPr>
                      <w:fldChar w:fldCharType="end"/>
                    </w:r>
                    <w:r>
                      <w:rPr>
                        <w:rFonts w:hint="eastAsia"/>
                        <w:sz w:val="28"/>
                      </w:rPr>
                      <w:t>－</w:t>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HorizontalSpacing w:val="105"/>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ZjMTdlZmZlODUxODk1NTVjZDc4M2MyYzI4MGI3YTc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6D0C"/>
    <w:rsid w:val="00142216"/>
    <w:rsid w:val="00144D6A"/>
    <w:rsid w:val="0014729F"/>
    <w:rsid w:val="00157BAB"/>
    <w:rsid w:val="001654D1"/>
    <w:rsid w:val="00174518"/>
    <w:rsid w:val="0018106D"/>
    <w:rsid w:val="001877A7"/>
    <w:rsid w:val="00191536"/>
    <w:rsid w:val="00196687"/>
    <w:rsid w:val="001C0962"/>
    <w:rsid w:val="001D7531"/>
    <w:rsid w:val="001E2FF1"/>
    <w:rsid w:val="001E737D"/>
    <w:rsid w:val="001F0592"/>
    <w:rsid w:val="001F7506"/>
    <w:rsid w:val="002006CD"/>
    <w:rsid w:val="00202B36"/>
    <w:rsid w:val="00204B7A"/>
    <w:rsid w:val="00204CDE"/>
    <w:rsid w:val="0021101A"/>
    <w:rsid w:val="00217081"/>
    <w:rsid w:val="00220536"/>
    <w:rsid w:val="00235629"/>
    <w:rsid w:val="00247B82"/>
    <w:rsid w:val="00260C38"/>
    <w:rsid w:val="002616C0"/>
    <w:rsid w:val="00265372"/>
    <w:rsid w:val="002662AA"/>
    <w:rsid w:val="002755AB"/>
    <w:rsid w:val="00280496"/>
    <w:rsid w:val="00294DC9"/>
    <w:rsid w:val="00295495"/>
    <w:rsid w:val="002A31DE"/>
    <w:rsid w:val="002B2613"/>
    <w:rsid w:val="002D6D05"/>
    <w:rsid w:val="002F1818"/>
    <w:rsid w:val="002F567B"/>
    <w:rsid w:val="003216A9"/>
    <w:rsid w:val="00335A74"/>
    <w:rsid w:val="0036561B"/>
    <w:rsid w:val="0037013F"/>
    <w:rsid w:val="00372E28"/>
    <w:rsid w:val="00380C92"/>
    <w:rsid w:val="003A484F"/>
    <w:rsid w:val="003A4883"/>
    <w:rsid w:val="003B0BE0"/>
    <w:rsid w:val="003B0C1B"/>
    <w:rsid w:val="003B688C"/>
    <w:rsid w:val="003B6B63"/>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46E63"/>
    <w:rsid w:val="0046709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5E15"/>
    <w:rsid w:val="005664BB"/>
    <w:rsid w:val="00566FFA"/>
    <w:rsid w:val="0057481D"/>
    <w:rsid w:val="0058486E"/>
    <w:rsid w:val="00585B33"/>
    <w:rsid w:val="0059014D"/>
    <w:rsid w:val="005B5C64"/>
    <w:rsid w:val="005B67C6"/>
    <w:rsid w:val="005C5337"/>
    <w:rsid w:val="005C6BD0"/>
    <w:rsid w:val="005D1C8B"/>
    <w:rsid w:val="005D468D"/>
    <w:rsid w:val="005D5CED"/>
    <w:rsid w:val="005D7D8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280B"/>
    <w:rsid w:val="006748A4"/>
    <w:rsid w:val="00681A31"/>
    <w:rsid w:val="00683E73"/>
    <w:rsid w:val="006A3141"/>
    <w:rsid w:val="006A5E34"/>
    <w:rsid w:val="006B2422"/>
    <w:rsid w:val="006B2B9A"/>
    <w:rsid w:val="006C1937"/>
    <w:rsid w:val="006F020C"/>
    <w:rsid w:val="006F4F09"/>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F0A5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2575"/>
    <w:rsid w:val="00C533CC"/>
    <w:rsid w:val="00C5751C"/>
    <w:rsid w:val="00C61BFC"/>
    <w:rsid w:val="00C62B85"/>
    <w:rsid w:val="00C65438"/>
    <w:rsid w:val="00C87FD8"/>
    <w:rsid w:val="00C91381"/>
    <w:rsid w:val="00C91CBB"/>
    <w:rsid w:val="00CB4E70"/>
    <w:rsid w:val="00CC09B6"/>
    <w:rsid w:val="00CC666F"/>
    <w:rsid w:val="00CC6BAC"/>
    <w:rsid w:val="00CD1E3F"/>
    <w:rsid w:val="00CE44F6"/>
    <w:rsid w:val="00CE49DA"/>
    <w:rsid w:val="00CE7B61"/>
    <w:rsid w:val="00D00095"/>
    <w:rsid w:val="00D114F0"/>
    <w:rsid w:val="00D20620"/>
    <w:rsid w:val="00D254F7"/>
    <w:rsid w:val="00D26091"/>
    <w:rsid w:val="00D2685C"/>
    <w:rsid w:val="00D34E7C"/>
    <w:rsid w:val="00D34F17"/>
    <w:rsid w:val="00D35489"/>
    <w:rsid w:val="00D36AFE"/>
    <w:rsid w:val="00D51276"/>
    <w:rsid w:val="00D7035F"/>
    <w:rsid w:val="00DA634F"/>
    <w:rsid w:val="00DA65AC"/>
    <w:rsid w:val="00DB1913"/>
    <w:rsid w:val="00DC410D"/>
    <w:rsid w:val="00DC4B63"/>
    <w:rsid w:val="00DC5A81"/>
    <w:rsid w:val="00DC68CA"/>
    <w:rsid w:val="00DC7CBA"/>
    <w:rsid w:val="00DD73B7"/>
    <w:rsid w:val="00DF06E2"/>
    <w:rsid w:val="00DF28BC"/>
    <w:rsid w:val="00DF34B9"/>
    <w:rsid w:val="00E01053"/>
    <w:rsid w:val="00E07ACF"/>
    <w:rsid w:val="00E22135"/>
    <w:rsid w:val="00E331A1"/>
    <w:rsid w:val="00E33202"/>
    <w:rsid w:val="00E336A9"/>
    <w:rsid w:val="00E472B1"/>
    <w:rsid w:val="00E50624"/>
    <w:rsid w:val="00E5285B"/>
    <w:rsid w:val="00E568DF"/>
    <w:rsid w:val="00E64269"/>
    <w:rsid w:val="00E82267"/>
    <w:rsid w:val="00E853CE"/>
    <w:rsid w:val="00E867B6"/>
    <w:rsid w:val="00EA010F"/>
    <w:rsid w:val="00ED1B63"/>
    <w:rsid w:val="00ED3C1F"/>
    <w:rsid w:val="00ED4085"/>
    <w:rsid w:val="00ED420E"/>
    <w:rsid w:val="00ED6FBE"/>
    <w:rsid w:val="00EE2F57"/>
    <w:rsid w:val="00EF39C0"/>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96569"/>
    <w:rsid w:val="00FA23E8"/>
    <w:rsid w:val="00FD3CC1"/>
    <w:rsid w:val="00FF1E02"/>
    <w:rsid w:val="00FF30B4"/>
    <w:rsid w:val="015975B8"/>
    <w:rsid w:val="02143E91"/>
    <w:rsid w:val="042C4804"/>
    <w:rsid w:val="066E0107"/>
    <w:rsid w:val="06E948D4"/>
    <w:rsid w:val="07996F6E"/>
    <w:rsid w:val="0A2032A3"/>
    <w:rsid w:val="0B7366D4"/>
    <w:rsid w:val="0CA74839"/>
    <w:rsid w:val="0F98263C"/>
    <w:rsid w:val="101860EC"/>
    <w:rsid w:val="10C055FF"/>
    <w:rsid w:val="118107EC"/>
    <w:rsid w:val="13D50BC4"/>
    <w:rsid w:val="15DB75CB"/>
    <w:rsid w:val="16BB723D"/>
    <w:rsid w:val="17A3F2C6"/>
    <w:rsid w:val="17C92C60"/>
    <w:rsid w:val="1A2176E8"/>
    <w:rsid w:val="1BE8440E"/>
    <w:rsid w:val="1D155CEE"/>
    <w:rsid w:val="1E506DA9"/>
    <w:rsid w:val="1FF35744"/>
    <w:rsid w:val="23860B96"/>
    <w:rsid w:val="240371BF"/>
    <w:rsid w:val="24EFC24B"/>
    <w:rsid w:val="251470D6"/>
    <w:rsid w:val="29FD04D3"/>
    <w:rsid w:val="2AFE5520"/>
    <w:rsid w:val="2BE508BA"/>
    <w:rsid w:val="2C8A61B5"/>
    <w:rsid w:val="2DF04E50"/>
    <w:rsid w:val="2F040D46"/>
    <w:rsid w:val="2F452801"/>
    <w:rsid w:val="2FFF16F3"/>
    <w:rsid w:val="319F7F4E"/>
    <w:rsid w:val="31FF717F"/>
    <w:rsid w:val="3304709D"/>
    <w:rsid w:val="36535C2E"/>
    <w:rsid w:val="36AA5135"/>
    <w:rsid w:val="36EEA792"/>
    <w:rsid w:val="373CBFEB"/>
    <w:rsid w:val="376D39B2"/>
    <w:rsid w:val="377E6D27"/>
    <w:rsid w:val="37D841C4"/>
    <w:rsid w:val="37E16F03"/>
    <w:rsid w:val="37FF4AC7"/>
    <w:rsid w:val="38D469F0"/>
    <w:rsid w:val="3D98207C"/>
    <w:rsid w:val="3E78745D"/>
    <w:rsid w:val="3FBD260F"/>
    <w:rsid w:val="3FFF83CF"/>
    <w:rsid w:val="43402483"/>
    <w:rsid w:val="44E268DA"/>
    <w:rsid w:val="45F35D2E"/>
    <w:rsid w:val="47FD3178"/>
    <w:rsid w:val="495F7098"/>
    <w:rsid w:val="4A557323"/>
    <w:rsid w:val="4A627F82"/>
    <w:rsid w:val="4AC44826"/>
    <w:rsid w:val="4B0E749A"/>
    <w:rsid w:val="4B4F25DA"/>
    <w:rsid w:val="4BBDDCCD"/>
    <w:rsid w:val="4BE068DB"/>
    <w:rsid w:val="4D577224"/>
    <w:rsid w:val="4E7B6D7C"/>
    <w:rsid w:val="4EAB630A"/>
    <w:rsid w:val="4ECE2238"/>
    <w:rsid w:val="4FDBA465"/>
    <w:rsid w:val="4FFFB6FB"/>
    <w:rsid w:val="517F190D"/>
    <w:rsid w:val="52724678"/>
    <w:rsid w:val="537E6D0A"/>
    <w:rsid w:val="55DC1CF4"/>
    <w:rsid w:val="583F49D6"/>
    <w:rsid w:val="5899206F"/>
    <w:rsid w:val="5ABC2126"/>
    <w:rsid w:val="5AF92295"/>
    <w:rsid w:val="5B722D97"/>
    <w:rsid w:val="5B7F8977"/>
    <w:rsid w:val="5CAB4B12"/>
    <w:rsid w:val="5CD71FC4"/>
    <w:rsid w:val="5CE4E6D5"/>
    <w:rsid w:val="5D779418"/>
    <w:rsid w:val="5F3FAD4D"/>
    <w:rsid w:val="5FA5B6DE"/>
    <w:rsid w:val="5FDFFA26"/>
    <w:rsid w:val="5FEF8CF3"/>
    <w:rsid w:val="5FFC44EC"/>
    <w:rsid w:val="5FFFBC3C"/>
    <w:rsid w:val="60873B3D"/>
    <w:rsid w:val="62F753A0"/>
    <w:rsid w:val="63FF34F2"/>
    <w:rsid w:val="646325E1"/>
    <w:rsid w:val="65F75278"/>
    <w:rsid w:val="677F63AD"/>
    <w:rsid w:val="67ED4D96"/>
    <w:rsid w:val="690B0264"/>
    <w:rsid w:val="6B671514"/>
    <w:rsid w:val="6C4A05C8"/>
    <w:rsid w:val="6D753BE6"/>
    <w:rsid w:val="6D7939A5"/>
    <w:rsid w:val="6E7E3605"/>
    <w:rsid w:val="6F701286"/>
    <w:rsid w:val="6FD31316"/>
    <w:rsid w:val="6FF5CC65"/>
    <w:rsid w:val="715C0E4B"/>
    <w:rsid w:val="72734D90"/>
    <w:rsid w:val="72F56B34"/>
    <w:rsid w:val="73AD73D5"/>
    <w:rsid w:val="73B6EB34"/>
    <w:rsid w:val="73B72896"/>
    <w:rsid w:val="73FBBC5D"/>
    <w:rsid w:val="744731E5"/>
    <w:rsid w:val="74FD0024"/>
    <w:rsid w:val="751E6015"/>
    <w:rsid w:val="75DF27B9"/>
    <w:rsid w:val="76DF983E"/>
    <w:rsid w:val="76E3355F"/>
    <w:rsid w:val="76E7CD3D"/>
    <w:rsid w:val="770F5F7C"/>
    <w:rsid w:val="778769C8"/>
    <w:rsid w:val="7795587D"/>
    <w:rsid w:val="77DB4336"/>
    <w:rsid w:val="77DFC931"/>
    <w:rsid w:val="77DFE68C"/>
    <w:rsid w:val="77FF6DC1"/>
    <w:rsid w:val="78947751"/>
    <w:rsid w:val="797981E0"/>
    <w:rsid w:val="798B4889"/>
    <w:rsid w:val="79E9E530"/>
    <w:rsid w:val="79EBF506"/>
    <w:rsid w:val="79EE5BA4"/>
    <w:rsid w:val="7A894339"/>
    <w:rsid w:val="7C3F7747"/>
    <w:rsid w:val="7C57CD98"/>
    <w:rsid w:val="7CEE9B12"/>
    <w:rsid w:val="7DEF6B0B"/>
    <w:rsid w:val="7DFBDA33"/>
    <w:rsid w:val="7DFF04EC"/>
    <w:rsid w:val="7E7FC941"/>
    <w:rsid w:val="7EA184F1"/>
    <w:rsid w:val="7EEF11D3"/>
    <w:rsid w:val="7EF92492"/>
    <w:rsid w:val="7EF9B663"/>
    <w:rsid w:val="7EFC178A"/>
    <w:rsid w:val="7F3E5D1D"/>
    <w:rsid w:val="7F57858D"/>
    <w:rsid w:val="7F7D116F"/>
    <w:rsid w:val="7F7F8C5E"/>
    <w:rsid w:val="7FA30C79"/>
    <w:rsid w:val="7FAD59D2"/>
    <w:rsid w:val="7FB54547"/>
    <w:rsid w:val="7FB7269E"/>
    <w:rsid w:val="7FC702CD"/>
    <w:rsid w:val="7FC96657"/>
    <w:rsid w:val="7FE42AA2"/>
    <w:rsid w:val="7FE7E391"/>
    <w:rsid w:val="7FEE02D8"/>
    <w:rsid w:val="7FEFCDE2"/>
    <w:rsid w:val="7FF64F7E"/>
    <w:rsid w:val="7FF7F1B6"/>
    <w:rsid w:val="7FFECBC4"/>
    <w:rsid w:val="7FFFDA58"/>
    <w:rsid w:val="9DCFB1F3"/>
    <w:rsid w:val="9FEFE5B0"/>
    <w:rsid w:val="A762ED66"/>
    <w:rsid w:val="AB5F8B40"/>
    <w:rsid w:val="AFDBD7F9"/>
    <w:rsid w:val="AFDF8E2B"/>
    <w:rsid w:val="B3771BF0"/>
    <w:rsid w:val="B7BFFB04"/>
    <w:rsid w:val="B7FEC549"/>
    <w:rsid w:val="BBAD45B7"/>
    <w:rsid w:val="BBDD564F"/>
    <w:rsid w:val="BBE37896"/>
    <w:rsid w:val="BDBEA9A3"/>
    <w:rsid w:val="BDBF24F0"/>
    <w:rsid w:val="BFDCFB32"/>
    <w:rsid w:val="BFDF4111"/>
    <w:rsid w:val="BFEBDD44"/>
    <w:rsid w:val="BFEE1DC1"/>
    <w:rsid w:val="BFF65FED"/>
    <w:rsid w:val="C5C7169F"/>
    <w:rsid w:val="C7B73EE8"/>
    <w:rsid w:val="CCD1AE7E"/>
    <w:rsid w:val="CEDF6AF1"/>
    <w:rsid w:val="D3FB6CEF"/>
    <w:rsid w:val="D5FF8658"/>
    <w:rsid w:val="D7FF5828"/>
    <w:rsid w:val="D8D6DB89"/>
    <w:rsid w:val="DB6F4CAB"/>
    <w:rsid w:val="DEFCCFB8"/>
    <w:rsid w:val="DF6F9789"/>
    <w:rsid w:val="DFEF55D7"/>
    <w:rsid w:val="E3FD6BAA"/>
    <w:rsid w:val="E5EB8716"/>
    <w:rsid w:val="E6BBE50D"/>
    <w:rsid w:val="E77F1374"/>
    <w:rsid w:val="E7EFCFC6"/>
    <w:rsid w:val="E7FD8E26"/>
    <w:rsid w:val="E995DDFF"/>
    <w:rsid w:val="EB7F1ACA"/>
    <w:rsid w:val="EE77EAE3"/>
    <w:rsid w:val="EEF5B6F7"/>
    <w:rsid w:val="EF36649C"/>
    <w:rsid w:val="EFE7698F"/>
    <w:rsid w:val="F0FFC267"/>
    <w:rsid w:val="F4EB1B17"/>
    <w:rsid w:val="F563F2EF"/>
    <w:rsid w:val="F70630F0"/>
    <w:rsid w:val="F7CDC428"/>
    <w:rsid w:val="F7E9D2F4"/>
    <w:rsid w:val="F7F7FA8D"/>
    <w:rsid w:val="F9992BDD"/>
    <w:rsid w:val="FA67BDA1"/>
    <w:rsid w:val="FAFF126A"/>
    <w:rsid w:val="FB1605E0"/>
    <w:rsid w:val="FB6DB037"/>
    <w:rsid w:val="FBECF4C9"/>
    <w:rsid w:val="FBF6E687"/>
    <w:rsid w:val="FBFB4407"/>
    <w:rsid w:val="FBFF7692"/>
    <w:rsid w:val="FCBFF4F9"/>
    <w:rsid w:val="FCEFCF95"/>
    <w:rsid w:val="FCFBDC15"/>
    <w:rsid w:val="FDDD480A"/>
    <w:rsid w:val="FDF73691"/>
    <w:rsid w:val="FDFBBBFD"/>
    <w:rsid w:val="FDFFC431"/>
    <w:rsid w:val="FE1F33AD"/>
    <w:rsid w:val="FEFEC87C"/>
    <w:rsid w:val="FF7F77D3"/>
    <w:rsid w:val="FFAB344A"/>
    <w:rsid w:val="FFCD4633"/>
    <w:rsid w:val="FFED2EEA"/>
    <w:rsid w:val="FFF6BEEC"/>
    <w:rsid w:val="FFFFD6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7"/>
    <w:unhideWhenUsed/>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30"/>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Plain Text"/>
    <w:basedOn w:val="1"/>
    <w:qFormat/>
    <w:uiPriority w:val="0"/>
    <w:rPr>
      <w:rFonts w:ascii="宋体" w:hAnsi="Courier New"/>
    </w:rPr>
  </w:style>
  <w:style w:type="paragraph" w:styleId="9">
    <w:name w:val="Balloon Text"/>
    <w:basedOn w:val="1"/>
    <w:link w:val="36"/>
    <w:semiHidden/>
    <w:unhideWhenUsed/>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6"/>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semiHidden/>
    <w:unhideWhenUsed/>
    <w:qFormat/>
    <w:uiPriority w:val="99"/>
    <w:pPr>
      <w:jc w:val="left"/>
    </w:pPr>
    <w:rPr>
      <w:kern w:val="0"/>
      <w:sz w:val="24"/>
    </w:rPr>
  </w:style>
  <w:style w:type="paragraph" w:styleId="15">
    <w:name w:val="Body Text First Indent 2"/>
    <w:basedOn w:val="6"/>
    <w:unhideWhenUsed/>
    <w:qFormat/>
    <w:uiPriority w:val="99"/>
    <w:pPr>
      <w:ind w:firstLine="420" w:firstLineChars="200"/>
    </w:p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99"/>
    <w:rPr>
      <w:b/>
    </w:rPr>
  </w:style>
  <w:style w:type="character" w:styleId="20">
    <w:name w:val="FollowedHyperlink"/>
    <w:basedOn w:val="18"/>
    <w:semiHidden/>
    <w:unhideWhenUsed/>
    <w:qFormat/>
    <w:uiPriority w:val="99"/>
    <w:rPr>
      <w:color w:val="954F72"/>
      <w:u w:val="single"/>
    </w:rPr>
  </w:style>
  <w:style w:type="character" w:styleId="21">
    <w:name w:val="Emphasis"/>
    <w:basedOn w:val="18"/>
    <w:qFormat/>
    <w:uiPriority w:val="20"/>
  </w:style>
  <w:style w:type="character" w:styleId="22">
    <w:name w:val="Hyperlink"/>
    <w:basedOn w:val="18"/>
    <w:unhideWhenUsed/>
    <w:qFormat/>
    <w:uiPriority w:val="99"/>
    <w:rPr>
      <w:color w:val="0000FF" w:themeColor="hyperlink"/>
      <w:u w:val="single"/>
      <w14:textFill>
        <w14:solidFill>
          <w14:schemeClr w14:val="hlink"/>
        </w14:solidFill>
      </w14:textFill>
    </w:rPr>
  </w:style>
  <w:style w:type="character" w:styleId="23">
    <w:name w:val="HTML Code"/>
    <w:basedOn w:val="18"/>
    <w:semiHidden/>
    <w:unhideWhenUsed/>
    <w:qFormat/>
    <w:uiPriority w:val="99"/>
    <w:rPr>
      <w:rFonts w:ascii="Courier New" w:hAnsi="Courier New"/>
      <w:sz w:val="20"/>
    </w:rPr>
  </w:style>
  <w:style w:type="paragraph" w:customStyle="1" w:styleId="24">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5">
    <w:name w:val="Header Char"/>
    <w:basedOn w:val="18"/>
    <w:semiHidden/>
    <w:qFormat/>
    <w:uiPriority w:val="99"/>
    <w:rPr>
      <w:rFonts w:ascii="Times New Roman" w:hAnsi="Times New Roman"/>
      <w:sz w:val="18"/>
      <w:szCs w:val="18"/>
    </w:rPr>
  </w:style>
  <w:style w:type="character" w:customStyle="1" w:styleId="26">
    <w:name w:val="页眉 字符"/>
    <w:link w:val="11"/>
    <w:semiHidden/>
    <w:qFormat/>
    <w:locked/>
    <w:uiPriority w:val="99"/>
    <w:rPr>
      <w:sz w:val="18"/>
    </w:rPr>
  </w:style>
  <w:style w:type="character" w:customStyle="1" w:styleId="27">
    <w:name w:val="Footer Char"/>
    <w:basedOn w:val="18"/>
    <w:semiHidden/>
    <w:qFormat/>
    <w:uiPriority w:val="99"/>
    <w:rPr>
      <w:rFonts w:ascii="Times New Roman" w:hAnsi="Times New Roman"/>
      <w:sz w:val="18"/>
      <w:szCs w:val="18"/>
    </w:rPr>
  </w:style>
  <w:style w:type="character" w:customStyle="1" w:styleId="28">
    <w:name w:val="页脚 字符"/>
    <w:link w:val="10"/>
    <w:qFormat/>
    <w:locked/>
    <w:uiPriority w:val="99"/>
    <w:rPr>
      <w:sz w:val="18"/>
    </w:rPr>
  </w:style>
  <w:style w:type="character" w:customStyle="1" w:styleId="29">
    <w:name w:val="Body Text Char"/>
    <w:basedOn w:val="18"/>
    <w:semiHidden/>
    <w:qFormat/>
    <w:uiPriority w:val="99"/>
    <w:rPr>
      <w:rFonts w:ascii="Times New Roman" w:hAnsi="Times New Roman"/>
      <w:szCs w:val="24"/>
    </w:rPr>
  </w:style>
  <w:style w:type="character" w:customStyle="1" w:styleId="30">
    <w:name w:val="正文文本 字符"/>
    <w:link w:val="5"/>
    <w:qFormat/>
    <w:locked/>
    <w:uiPriority w:val="99"/>
    <w:rPr>
      <w:rFonts w:ascii="仿宋_GB2312" w:hAnsi="Times New Roman" w:eastAsia="仿宋_GB2312"/>
      <w:sz w:val="24"/>
    </w:rPr>
  </w:style>
  <w:style w:type="paragraph" w:customStyle="1" w:styleId="31">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2">
    <w:name w:val="List Paragraph"/>
    <w:basedOn w:val="1"/>
    <w:qFormat/>
    <w:uiPriority w:val="34"/>
    <w:pPr>
      <w:ind w:firstLine="420" w:firstLineChars="200"/>
    </w:pPr>
  </w:style>
  <w:style w:type="character" w:customStyle="1" w:styleId="33">
    <w:name w:val="标题 1 字符"/>
    <w:basedOn w:val="18"/>
    <w:qFormat/>
    <w:uiPriority w:val="9"/>
    <w:rPr>
      <w:rFonts w:ascii="Times New Roman" w:hAnsi="Times New Roman"/>
      <w:b/>
      <w:bCs/>
      <w:kern w:val="44"/>
      <w:sz w:val="44"/>
      <w:szCs w:val="44"/>
    </w:rPr>
  </w:style>
  <w:style w:type="character" w:customStyle="1" w:styleId="34">
    <w:name w:val="标题 2 字符"/>
    <w:basedOn w:val="18"/>
    <w:link w:val="3"/>
    <w:qFormat/>
    <w:uiPriority w:val="9"/>
    <w:rPr>
      <w:rFonts w:asciiTheme="majorHAnsi" w:hAnsiTheme="majorHAnsi" w:eastAsiaTheme="majorEastAsia" w:cstheme="majorBidi"/>
      <w:b/>
      <w:bCs/>
      <w:kern w:val="2"/>
      <w:sz w:val="32"/>
      <w:szCs w:val="32"/>
    </w:rPr>
  </w:style>
  <w:style w:type="paragraph" w:customStyle="1" w:styleId="3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6">
    <w:name w:val="批注框文本 字符"/>
    <w:basedOn w:val="18"/>
    <w:link w:val="9"/>
    <w:semiHidden/>
    <w:qFormat/>
    <w:uiPriority w:val="99"/>
    <w:rPr>
      <w:rFonts w:ascii="Times New Roman" w:hAnsi="Times New Roman"/>
      <w:kern w:val="2"/>
      <w:sz w:val="18"/>
      <w:szCs w:val="18"/>
    </w:rPr>
  </w:style>
  <w:style w:type="character" w:customStyle="1" w:styleId="37">
    <w:name w:val="标题 3 字符"/>
    <w:basedOn w:val="18"/>
    <w:link w:val="4"/>
    <w:qFormat/>
    <w:uiPriority w:val="9"/>
    <w:rPr>
      <w:rFonts w:ascii="Times New Roman" w:hAnsi="Times New Roman"/>
      <w:b/>
      <w:bCs/>
      <w:kern w:val="2"/>
      <w:sz w:val="32"/>
      <w:szCs w:val="32"/>
    </w:rPr>
  </w:style>
  <w:style w:type="paragraph" w:customStyle="1" w:styleId="38">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9">
    <w:name w:val="四号正文"/>
    <w:basedOn w:val="1"/>
    <w:qFormat/>
    <w:uiPriority w:val="0"/>
    <w:pPr>
      <w:spacing w:line="360" w:lineRule="auto"/>
    </w:pPr>
    <w:rPr>
      <w:rFonts w:ascii="??" w:hAnsi="??"/>
      <w:color w:val="000000"/>
      <w:kern w:val="0"/>
      <w:sz w:val="28"/>
      <w:szCs w:val="21"/>
      <w:lang w:val="zh-CN"/>
    </w:rPr>
  </w:style>
  <w:style w:type="paragraph" w:customStyle="1" w:styleId="40">
    <w:name w:val="TOC 标题3"/>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41">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42">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3">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44">
    <w:name w:val="xl64"/>
    <w:basedOn w:val="1"/>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45">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6">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7">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8">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49">
    <w:name w:val="xl6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50">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30"/>
      <w:szCs w:val="30"/>
    </w:rPr>
  </w:style>
  <w:style w:type="paragraph" w:customStyle="1" w:styleId="51">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52">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53">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54">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character" w:customStyle="1" w:styleId="55">
    <w:name w:val="zwgk_ic"/>
    <w:basedOn w:val="18"/>
    <w:qFormat/>
    <w:uiPriority w:val="0"/>
  </w:style>
  <w:style w:type="character" w:customStyle="1" w:styleId="56">
    <w:name w:val="cur"/>
    <w:basedOn w:val="18"/>
    <w:qFormat/>
    <w:uiPriority w:val="0"/>
    <w:rPr>
      <w:b/>
      <w:bCs/>
      <w:color w:val="CC0000"/>
    </w:rPr>
  </w:style>
  <w:style w:type="character" w:customStyle="1" w:styleId="57">
    <w:name w:val="hdcy_ic"/>
    <w:basedOn w:val="18"/>
    <w:qFormat/>
    <w:uiPriority w:val="0"/>
  </w:style>
  <w:style w:type="character" w:customStyle="1" w:styleId="58">
    <w:name w:val="zwfw_ic"/>
    <w:basedOn w:val="18"/>
    <w:qFormat/>
    <w:uiPriority w:val="0"/>
  </w:style>
  <w:style w:type="character" w:customStyle="1" w:styleId="59">
    <w:name w:val="page_next"/>
    <w:basedOn w:val="18"/>
    <w:qFormat/>
    <w:uiPriority w:val="0"/>
  </w:style>
  <w:style w:type="character" w:customStyle="1" w:styleId="60">
    <w:name w:val="hover52"/>
    <w:basedOn w:val="18"/>
    <w:qFormat/>
    <w:uiPriority w:val="0"/>
    <w:rPr>
      <w:color w:val="FFFFFF"/>
    </w:rPr>
  </w:style>
  <w:style w:type="character" w:customStyle="1" w:styleId="61">
    <w:name w:val="active"/>
    <w:basedOn w:val="18"/>
    <w:qFormat/>
    <w:uiPriority w:val="0"/>
    <w:rPr>
      <w:color w:val="FFFFFF"/>
    </w:rPr>
  </w:style>
  <w:style w:type="character" w:customStyle="1" w:styleId="62">
    <w:name w:val="page_prev"/>
    <w:basedOn w:val="18"/>
    <w:qFormat/>
    <w:uiPriority w:val="0"/>
  </w:style>
  <w:style w:type="character" w:customStyle="1" w:styleId="63">
    <w:name w:val="more16"/>
    <w:basedOn w:val="18"/>
    <w:qFormat/>
    <w:uiPriority w:val="0"/>
  </w:style>
  <w:style w:type="character" w:customStyle="1" w:styleId="64">
    <w:name w:val="more17"/>
    <w:basedOn w:val="18"/>
    <w:qFormat/>
    <w:uiPriority w:val="0"/>
  </w:style>
  <w:style w:type="character" w:customStyle="1" w:styleId="65">
    <w:name w:val="tit18"/>
    <w:basedOn w:val="18"/>
    <w:qFormat/>
    <w:uiPriority w:val="0"/>
    <w:rPr>
      <w:color w:val="246FB2"/>
      <w:sz w:val="30"/>
      <w:szCs w:val="30"/>
    </w:rPr>
  </w:style>
  <w:style w:type="character" w:customStyle="1" w:styleId="66">
    <w:name w:val="on"/>
    <w:basedOn w:val="18"/>
    <w:qFormat/>
    <w:uiPriority w:val="0"/>
  </w:style>
  <w:style w:type="character" w:customStyle="1" w:styleId="67">
    <w:name w:val="标题 1 字符1"/>
    <w:basedOn w:val="18"/>
    <w:link w:val="2"/>
    <w:qFormat/>
    <w:uiPriority w:val="9"/>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4037;&#20316;&#31807;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24037;&#20316;&#31807;1.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2022&#24180;&#20915;&#31639;&#20844;&#24320;1111\&#24037;&#20316;&#31807;1.xlsx" TargetMode="External"/></Relationships>
</file>

<file path=word/charts/_rels/chart4.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chartUserShapes" Target="../drawings/drawing1.xml"/><Relationship Id="rId1" Type="http://schemas.openxmlformats.org/officeDocument/2006/relationships/oleObject" Target="file:///C:\Users\Administrator\Desktop\&#24037;&#20316;&#31807;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4037;&#20316;&#31807;1.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istrator\Desktop\&#24037;&#20316;&#31807;1.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4037;&#20316;&#31807;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1" i="0" u="none" strike="noStrike" kern="1200" spc="0" baseline="0">
                <a:solidFill>
                  <a:schemeClr val="tx1">
                    <a:lumMod val="65000"/>
                    <a:lumOff val="35000"/>
                  </a:schemeClr>
                </a:solidFill>
                <a:latin typeface="+mn-lt"/>
                <a:ea typeface="+mn-ea"/>
                <a:cs typeface="+mn-cs"/>
              </a:defRPr>
            </a:pPr>
            <a:r>
              <a:rPr lang="zh-CN" altLang="en-US" b="0" i="0">
                <a:latin typeface="方正小标宋_GBK" panose="02000000000000000000" pitchFamily="4" charset="-122"/>
                <a:ea typeface="方正小标宋_GBK" panose="02000000000000000000" pitchFamily="4" charset="-122"/>
              </a:rPr>
              <a:t>收、支决算总计变动情况</a:t>
            </a:r>
            <a:endParaRPr lang="zh-CN" altLang="en-US" b="0" i="0">
              <a:latin typeface="方正小标宋_GBK" panose="02000000000000000000" pitchFamily="4" charset="-122"/>
              <a:ea typeface="方正小标宋_GBK" panose="02000000000000000000" pitchFamily="4" charset="-122"/>
            </a:endParaRPr>
          </a:p>
        </c:rich>
      </c:tx>
      <c:layout/>
      <c:overlay val="false"/>
      <c:spPr>
        <a:noFill/>
        <a:ln>
          <a:noFill/>
        </a:ln>
        <a:effectLst/>
      </c:spPr>
    </c:title>
    <c:autoTitleDeleted val="false"/>
    <c:plotArea>
      <c:layout>
        <c:manualLayout>
          <c:layoutTarget val="inner"/>
          <c:xMode val="edge"/>
          <c:yMode val="edge"/>
          <c:x val="0.232818767472955"/>
          <c:y val="0.223820605034906"/>
          <c:w val="0.673343867752522"/>
          <c:h val="0.599873069600169"/>
        </c:manualLayout>
      </c:layout>
      <c:barChart>
        <c:barDir val="col"/>
        <c:grouping val="clustered"/>
        <c:varyColors val="false"/>
        <c:ser>
          <c:idx val="0"/>
          <c:order val="0"/>
          <c:tx>
            <c:strRef>
              <c:f>"收、支决算总计"</c:f>
              <c:strCache>
                <c:ptCount val="1"/>
                <c:pt idx="0">
                  <c:v>收、支决算总计</c:v>
                </c:pt>
              </c:strCache>
            </c:strRef>
          </c:tx>
          <c:spPr>
            <a:solidFill>
              <a:schemeClr val="accent1"/>
            </a:solidFill>
            <a:ln>
              <a:noFill/>
            </a:ln>
            <a:effectLst/>
          </c:spPr>
          <c:invertIfNegative val="false"/>
          <c:dLbls>
            <c:delete val="true"/>
          </c:dLbls>
          <c:cat>
            <c:strRef>
              <c:f>[工作簿1.xlsx]Sheet2!$A$2:$A$3</c:f>
              <c:strCache>
                <c:ptCount val="2"/>
                <c:pt idx="0">
                  <c:v>2021年</c:v>
                </c:pt>
                <c:pt idx="1">
                  <c:v>2022年</c:v>
                </c:pt>
              </c:strCache>
            </c:strRef>
          </c:cat>
          <c:val>
            <c:numRef>
              <c:f>[工作簿1.xlsx]Sheet2!$B$2:$B$3</c:f>
              <c:numCache>
                <c:formatCode>General</c:formatCode>
                <c:ptCount val="2"/>
                <c:pt idx="0">
                  <c:v>3850.87</c:v>
                </c:pt>
                <c:pt idx="1">
                  <c:v>4315.73</c:v>
                </c:pt>
              </c:numCache>
            </c:numRef>
          </c:val>
        </c:ser>
        <c:dLbls>
          <c:showLegendKey val="false"/>
          <c:showVal val="true"/>
          <c:showCatName val="false"/>
          <c:showSerName val="false"/>
          <c:showPercent val="false"/>
          <c:showBubbleSize val="false"/>
        </c:dLbls>
        <c:gapWidth val="219"/>
        <c:overlap val="-27"/>
        <c:axId val="234014166"/>
        <c:axId val="704449540"/>
      </c:barChart>
      <c:catAx>
        <c:axId val="234014166"/>
        <c:scaling>
          <c:orientation val="minMax"/>
        </c:scaling>
        <c:delete val="false"/>
        <c:axPos val="b"/>
        <c:title>
          <c:tx>
            <c:rich>
              <a:bodyPr rot="0" spcFirstLastPara="0" vertOverflow="ellipsis" vert="horz" wrap="square" anchor="ctr" anchorCtr="true"/>
              <a:lstStyle/>
              <a:p>
                <a:pPr defTabSz="914400">
                  <a:defRPr lang="zh-CN" sz="10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lang="zh-CN" altLang="en-US" b="1">
                    <a:latin typeface="Times New Roman" panose="02020603050405020304" charset="0"/>
                    <a:ea typeface="Times New Roman" panose="02020603050405020304" charset="0"/>
                    <a:cs typeface="Times New Roman" panose="02020603050405020304" charset="0"/>
                    <a:sym typeface="Times New Roman" panose="02020603050405020304" charset="0"/>
                  </a:rPr>
                  <a:t>单位：万元</a:t>
                </a:r>
                <a:endParaRPr lang="zh-CN" altLang="en-US" b="1">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764529262086514"/>
              <c:y val="0.100495145203676"/>
            </c:manualLayout>
          </c:layout>
          <c:overlay val="false"/>
          <c:spPr>
            <a:noFill/>
            <a:ln>
              <a:noFill/>
            </a:ln>
            <a:effectLst/>
          </c:spPr>
        </c:title>
        <c:numFmt formatCode="General" sourceLinked="fals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704449540"/>
        <c:crosses val="autoZero"/>
        <c:auto val="true"/>
        <c:lblAlgn val="ctr"/>
        <c:lblOffset val="100"/>
        <c:noMultiLvlLbl val="false"/>
      </c:catAx>
      <c:valAx>
        <c:axId val="704449540"/>
        <c:scaling>
          <c:orientation val="minMax"/>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234014166"/>
        <c:crosses val="autoZero"/>
        <c:crossBetween val="between"/>
      </c:valAx>
      <c:dTable>
        <c:showHorzBorder val="true"/>
        <c:showVertBorder val="true"/>
        <c:showOutline val="true"/>
        <c:showKeys val="true"/>
        <c:spPr>
          <a:noFill/>
          <a:ln w="9525" cap="flat" cmpd="sng" algn="ctr">
            <a:solidFill>
              <a:schemeClr val="tx1">
                <a:lumMod val="15000"/>
                <a:lumOff val="85000"/>
              </a:schemeClr>
            </a:solidFill>
            <a:round/>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Table>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4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收入决算结构</a:t>
            </a:r>
            <a:endPar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manualLayout>
          <c:xMode val="edge"/>
          <c:yMode val="edge"/>
          <c:x val="0.390308315931704"/>
          <c:y val="0.0263331138907176"/>
        </c:manualLayout>
      </c:layout>
      <c:overlay val="false"/>
      <c:spPr>
        <a:noFill/>
        <a:ln>
          <a:noFill/>
        </a:ln>
        <a:effectLst/>
      </c:spPr>
    </c:title>
    <c:autoTitleDeleted val="false"/>
    <c:plotArea>
      <c:layout>
        <c:manualLayout>
          <c:layoutTarget val="inner"/>
          <c:xMode val="edge"/>
          <c:yMode val="edge"/>
          <c:x val="0.0915139171758316"/>
          <c:y val="0.237495007588466"/>
          <c:w val="0.823625254582485"/>
          <c:h val="0.566770508826584"/>
        </c:manualLayout>
      </c:layout>
      <c:ofPieChart>
        <c:ofPieType val="bar"/>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Lbls>
            <c:dLbl>
              <c:idx val="0"/>
              <c:layout>
                <c:manualLayout>
                  <c:x val="-0.03125"/>
                  <c:y val="-0.0277777777777778"/>
                </c:manualLayout>
              </c:layout>
              <c:tx>
                <c:rich>
                  <a:bodyPr rot="0" spcFirstLastPara="0" vertOverflow="ellipsis" vert="horz" wrap="square" lIns="38100" tIns="19050" rIns="38100" bIns="19050"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lang="en-US" altLang="zh-CN" b="1">
                        <a:latin typeface="Times New Roman" panose="02020603050405020304" charset="0"/>
                        <a:ea typeface="Times New Roman" panose="02020603050405020304" charset="0"/>
                        <a:cs typeface="Times New Roman" panose="02020603050405020304" charset="0"/>
                        <a:sym typeface="Times New Roman" panose="02020603050405020304" charset="0"/>
                      </a:rPr>
                      <a:t>4072.25</a:t>
                    </a:r>
                    <a:r>
                      <a:rPr lang="zh-CN" altLang="en-US" b="1">
                        <a:latin typeface="Times New Roman" panose="02020603050405020304" charset="0"/>
                        <a:ea typeface="Times New Roman" panose="02020603050405020304" charset="0"/>
                        <a:cs typeface="Times New Roman" panose="02020603050405020304" charset="0"/>
                        <a:sym typeface="Times New Roman" panose="02020603050405020304" charset="0"/>
                      </a:rPr>
                      <a:t>万元</a:t>
                    </a:r>
                    <a:endParaRPr lang="zh-CN" altLang="en-US" b="1">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dLblPos val="bestFit"/>
              <c:showLegendKey val="true"/>
              <c:showVal val="true"/>
              <c:showCatName val="false"/>
              <c:showSerName val="false"/>
              <c:showPercent val="false"/>
              <c:showBubbleSize val="false"/>
              <c:extLst>
                <c:ext xmlns:c15="http://schemas.microsoft.com/office/drawing/2012/chart" uri="{CE6537A1-D6FC-4f65-9D91-7224C49458BB}">
                  <c15:layout/>
                </c:ext>
              </c:extLst>
            </c:dLbl>
            <c:dLbl>
              <c:idx val="1"/>
              <c:layout/>
              <c:tx>
                <c:rich>
                  <a:bodyPr rot="0" spcFirstLastPara="0" vertOverflow="ellipsis" vert="horz" wrap="square" lIns="38100" tIns="19050" rIns="38100" bIns="19050"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lang="en-US" altLang="zh-CN" b="1">
                        <a:latin typeface="Times New Roman" panose="02020603050405020304" charset="0"/>
                        <a:ea typeface="Times New Roman" panose="02020603050405020304" charset="0"/>
                        <a:cs typeface="Times New Roman" panose="02020603050405020304" charset="0"/>
                        <a:sym typeface="Times New Roman" panose="02020603050405020304" charset="0"/>
                      </a:rPr>
                      <a:t>3.01</a:t>
                    </a:r>
                    <a:r>
                      <a:rPr lang="zh-CN" altLang="en-US" b="1">
                        <a:latin typeface="Times New Roman" panose="02020603050405020304" charset="0"/>
                        <a:ea typeface="Times New Roman" panose="02020603050405020304" charset="0"/>
                        <a:cs typeface="Times New Roman" panose="02020603050405020304" charset="0"/>
                        <a:sym typeface="Times New Roman" panose="02020603050405020304" charset="0"/>
                      </a:rPr>
                      <a:t>万元</a:t>
                    </a:r>
                    <a:endParaRPr lang="zh-CN" altLang="en-US" b="1">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dLblPos val="bestFit"/>
              <c:showLegendKey val="true"/>
              <c:showVal val="true"/>
              <c:showCatName val="false"/>
              <c:showSerName val="false"/>
              <c:showPercent val="false"/>
              <c:showBubbleSize val="true"/>
              <c:extLst>
                <c:ext xmlns:c15="http://schemas.microsoft.com/office/drawing/2012/chart" uri="{CE6537A1-D6FC-4f65-9D91-7224C49458BB}"/>
              </c:extLst>
            </c:dLbl>
            <c:dLbl>
              <c:idx val="2"/>
              <c:delete val="true"/>
            </c:dLbl>
            <c:numFmt formatCode="General" sourceLinked="false"/>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tru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[工作簿1.xlsx]Sheet2!$A$5:$A$6</c:f>
              <c:strCache>
                <c:ptCount val="2"/>
                <c:pt idx="0">
                  <c:v>一般公共预算财政拨款收入</c:v>
                </c:pt>
                <c:pt idx="1">
                  <c:v>其他收入</c:v>
                </c:pt>
              </c:strCache>
            </c:strRef>
          </c:cat>
          <c:val>
            <c:numRef>
              <c:f>[工作簿1.xlsx]Sheet2!$B$5:$B$6</c:f>
              <c:numCache>
                <c:formatCode>General</c:formatCode>
                <c:ptCount val="2"/>
                <c:pt idx="0">
                  <c:v>4072.25</c:v>
                </c:pt>
                <c:pt idx="1">
                  <c:v>3.01</c:v>
                </c:pt>
              </c:numCache>
            </c:numRef>
          </c:val>
        </c:ser>
        <c:dLbls>
          <c:showLegendKey val="false"/>
          <c:showVal val="true"/>
          <c:showCatName val="false"/>
          <c:showSerName val="false"/>
          <c:showPercent val="false"/>
          <c:showBubbleSize val="false"/>
          <c:showLeaderLines val="true"/>
        </c:dLbls>
        <c:gapWidth val="100"/>
        <c:secondPieSize val="75"/>
        <c:serLines>
          <c:spPr>
            <a:ln w="9525" cap="flat" cmpd="sng" algn="ctr">
              <a:solidFill>
                <a:schemeClr val="tx1">
                  <a:lumMod val="35000"/>
                  <a:lumOff val="65000"/>
                </a:schemeClr>
              </a:solidFill>
              <a:round/>
            </a:ln>
            <a:effectLst/>
          </c:spPr>
        </c:serLines>
      </c:ofPieChart>
      <c:spPr>
        <a:noFill/>
        <a:ln>
          <a:noFill/>
        </a:ln>
        <a:effectLst/>
      </c:spPr>
    </c:plotArea>
    <c:legend>
      <c:legendPos val="b"/>
      <c:legendEntry>
        <c:idx val="0"/>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false"/>
      <c:spPr>
        <a:noFill/>
        <a:ln>
          <a:noFill/>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支出决算结构</a:t>
            </a:r>
            <a:endParaRPr lang="zh-CN" altLang="en-US">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manualLayout>
          <c:xMode val="edge"/>
          <c:yMode val="edge"/>
          <c:x val="0.394213489876602"/>
          <c:y val="0.0320038213518032"/>
        </c:manualLayout>
      </c:layout>
      <c:overlay val="false"/>
      <c:spPr>
        <a:noFill/>
        <a:ln>
          <a:noFill/>
        </a:ln>
        <a:effectLst/>
      </c:spPr>
    </c:title>
    <c:autoTitleDeleted val="false"/>
    <c:plotArea>
      <c:layout>
        <c:manualLayout>
          <c:layoutTarget val="inner"/>
          <c:xMode val="edge"/>
          <c:yMode val="edge"/>
          <c:x val="0.220825396825397"/>
          <c:y val="0.294266277939747"/>
          <c:w val="0.419809523809524"/>
          <c:h val="0.642565597667638"/>
        </c:manualLayout>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Pt>
            <c:idx val="3"/>
            <c:bubble3D val="false"/>
            <c:spPr>
              <a:solidFill>
                <a:schemeClr val="accent4"/>
              </a:solidFill>
              <a:ln w="19050">
                <a:solidFill>
                  <a:schemeClr val="lt1"/>
                </a:solidFill>
              </a:ln>
              <a:effectLst/>
            </c:spPr>
          </c:dPt>
          <c:dPt>
            <c:idx val="4"/>
            <c:bubble3D val="false"/>
            <c:spPr>
              <a:solidFill>
                <a:schemeClr val="accent5"/>
              </a:solidFill>
              <a:ln w="19050">
                <a:solidFill>
                  <a:schemeClr val="lt1"/>
                </a:solidFill>
              </a:ln>
              <a:effectLst/>
            </c:spPr>
          </c:dPt>
          <c:dLbls>
            <c:dLbl>
              <c:idx val="2"/>
              <c:layout>
                <c:manualLayout>
                  <c:x val="0.0266664499213097"/>
                  <c:y val="-0.0410651117594859"/>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3"/>
              <c:layout>
                <c:manualLayout>
                  <c:x val="-0.0628573596024998"/>
                  <c:y val="-0.0294033041793109"/>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4"/>
              <c:layout>
                <c:manualLayout>
                  <c:x val="0.081904545159405"/>
                  <c:y val="0.0289057337215637"/>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inEnd"/>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[工作簿1.xlsx]Sheet2!$A$9:$A$13</c:f>
              <c:strCache>
                <c:ptCount val="5"/>
                <c:pt idx="0">
                  <c:v>基本支出</c:v>
                </c:pt>
                <c:pt idx="1">
                  <c:v>项目支出</c:v>
                </c:pt>
                <c:pt idx="2">
                  <c:v>上缴上级支出</c:v>
                </c:pt>
                <c:pt idx="3">
                  <c:v>经营支出</c:v>
                </c:pt>
                <c:pt idx="4">
                  <c:v>对附属单位补助支出</c:v>
                </c:pt>
              </c:strCache>
            </c:strRef>
          </c:cat>
          <c:val>
            <c:numRef>
              <c:f>[工作簿1.xlsx]Sheet2!$B$9:$B$13</c:f>
              <c:numCache>
                <c:formatCode>General</c:formatCode>
                <c:ptCount val="5"/>
                <c:pt idx="0">
                  <c:v>3767.52</c:v>
                </c:pt>
                <c:pt idx="1" c:formatCode="#,##0.00">
                  <c:v>528.51</c:v>
                </c:pt>
                <c:pt idx="2">
                  <c:v>0</c:v>
                </c:pt>
                <c:pt idx="3">
                  <c:v>0</c:v>
                </c:pt>
                <c:pt idx="4">
                  <c:v>0</c:v>
                </c:pt>
              </c:numCache>
            </c:numRef>
          </c:val>
        </c:ser>
        <c:dLbls>
          <c:showLegendKey val="true"/>
          <c:showVal val="false"/>
          <c:showCatName val="false"/>
          <c:showSerName val="false"/>
          <c:showPercent val="true"/>
          <c:showBubbleSize val="false"/>
          <c:showLeaderLines val="true"/>
        </c:dLbls>
        <c:firstSliceAng val="0"/>
      </c:pieChart>
      <c:spPr>
        <a:noFill/>
        <a:ln>
          <a:noFill/>
        </a:ln>
        <a:effectLst/>
      </c:spPr>
    </c:plotArea>
    <c:legend>
      <c:legendPos val="r"/>
      <c:legendEntry>
        <c:idx val="0"/>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4"/>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false"/>
      <c:spPr>
        <a:noFill/>
        <a:ln>
          <a:noFill/>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t" anchorCtr="true"/>
          <a:lstStyle/>
          <a:p>
            <a:pPr defTabSz="914400">
              <a:defRPr lang="zh-CN" sz="140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财政拨款收、支决算总计变动情况</a:t>
            </a:r>
            <a:endPar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manualLayout>
          <c:xMode val="edge"/>
          <c:yMode val="edge"/>
          <c:x val="0.275448054137392"/>
          <c:y val="0.027869529314616"/>
        </c:manualLayout>
      </c:layout>
      <c:overlay val="false"/>
      <c:spPr>
        <a:noFill/>
        <a:ln>
          <a:noFill/>
        </a:ln>
        <a:effectLst/>
      </c:spPr>
    </c:title>
    <c:autoTitleDeleted val="false"/>
    <c:plotArea>
      <c:layout>
        <c:manualLayout>
          <c:layoutTarget val="inner"/>
          <c:xMode val="edge"/>
          <c:yMode val="edge"/>
          <c:x val="0.0891826923076923"/>
          <c:y val="0.206560147035164"/>
          <c:w val="0.592548076923077"/>
          <c:h val="0.616786570743405"/>
        </c:manualLayout>
      </c:layout>
      <c:barChart>
        <c:barDir val="col"/>
        <c:grouping val="clustered"/>
        <c:varyColors val="false"/>
        <c:ser>
          <c:idx val="0"/>
          <c:order val="0"/>
          <c:tx>
            <c:strRef>
              <c:f>"财政拨款收、支决算总计"</c:f>
              <c:strCache>
                <c:ptCount val="1"/>
                <c:pt idx="0">
                  <c:v>财政拨款收、支决算总计</c:v>
                </c:pt>
              </c:strCache>
            </c:strRef>
          </c:tx>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[工作簿1.xlsx]Sheet2!$A$13:$A$14</c:f>
              <c:strCache>
                <c:ptCount val="2"/>
                <c:pt idx="0">
                  <c:v>2021年</c:v>
                </c:pt>
                <c:pt idx="1">
                  <c:v>2022年</c:v>
                </c:pt>
              </c:strCache>
            </c:strRef>
          </c:cat>
          <c:val>
            <c:numRef>
              <c:f>[工作簿1.xlsx]Sheet2!$B$13:$B$14</c:f>
              <c:numCache>
                <c:formatCode>General</c:formatCode>
                <c:ptCount val="2"/>
                <c:pt idx="0">
                  <c:v>3848.87</c:v>
                </c:pt>
                <c:pt idx="1">
                  <c:v>4312.72</c:v>
                </c:pt>
              </c:numCache>
            </c:numRef>
          </c:val>
        </c:ser>
        <c:dLbls>
          <c:showLegendKey val="false"/>
          <c:showVal val="true"/>
          <c:showCatName val="false"/>
          <c:showSerName val="false"/>
          <c:showPercent val="false"/>
          <c:showBubbleSize val="false"/>
        </c:dLbls>
        <c:gapWidth val="150"/>
        <c:overlap val="-25"/>
        <c:axId val="118575106"/>
        <c:axId val="687545613"/>
      </c:barChart>
      <c:catAx>
        <c:axId val="118575106"/>
        <c:scaling>
          <c:orientation val="minMax"/>
        </c:scaling>
        <c:delete val="false"/>
        <c:axPos val="b"/>
        <c:title>
          <c:tx>
            <c:rich>
              <a:bodyPr rot="0" spcFirstLastPara="0" vertOverflow="ellipsis" vert="horz" wrap="square" anchor="ctr" anchorCtr="true"/>
              <a:lstStyle/>
              <a:p>
                <a:pPr defTabSz="914400">
                  <a:defRPr lang="zh-CN" sz="10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lang="zh-CN" altLang="en-US" b="1">
                    <a:latin typeface="Times New Roman" panose="02020603050405020304" charset="0"/>
                    <a:ea typeface="Times New Roman" panose="02020603050405020304" charset="0"/>
                    <a:cs typeface="Times New Roman" panose="02020603050405020304" charset="0"/>
                    <a:sym typeface="Times New Roman" panose="02020603050405020304" charset="0"/>
                  </a:rPr>
                  <a:t>单位：万元</a:t>
                </a:r>
                <a:endParaRPr lang="zh-CN" altLang="en-US" b="1">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742638257122337"/>
              <c:y val="0.134805945499587"/>
            </c:manualLayout>
          </c:layout>
          <c:overlay val="false"/>
          <c:spPr>
            <a:noFill/>
            <a:ln>
              <a:noFill/>
            </a:ln>
            <a:effectLst/>
          </c:spPr>
        </c:title>
        <c:numFmt formatCode="General" sourceLinked="fals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687545613"/>
        <c:crosses val="autoZero"/>
        <c:auto val="true"/>
        <c:lblAlgn val="ctr"/>
        <c:lblOffset val="100"/>
        <c:noMultiLvlLbl val="false"/>
      </c:catAx>
      <c:valAx>
        <c:axId val="687545613"/>
        <c:scaling>
          <c:orientation val="minMax"/>
        </c:scaling>
        <c:delete val="true"/>
        <c:axPos val="l"/>
        <c:numFmt formatCode="General" sourceLinked="true"/>
        <c:majorTickMark val="none"/>
        <c:minorTickMark val="none"/>
        <c:tickLblPos val="nextTo"/>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118575106"/>
        <c:crosses val="autoZero"/>
        <c:crossBetween val="between"/>
      </c:valAx>
      <c:spPr>
        <a:noFill/>
        <a:ln>
          <a:noFill/>
        </a:ln>
        <a:effectLst/>
      </c:spPr>
    </c:plotArea>
    <c:legend>
      <c:legendPos val="r"/>
      <c:legendEntry>
        <c:idx val="0"/>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false"/>
      <c:spPr>
        <a:noFill/>
        <a:ln>
          <a:noFill/>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一般公共预算财政拨款支出决算变动情况</a:t>
            </a:r>
            <a:endPar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overlay val="false"/>
      <c:spPr>
        <a:noFill/>
        <a:ln>
          <a:noFill/>
        </a:ln>
        <a:effectLst/>
      </c:spPr>
    </c:title>
    <c:autoTitleDeleted val="false"/>
    <c:plotArea>
      <c:layout>
        <c:manualLayout>
          <c:layoutTarget val="inner"/>
          <c:xMode val="edge"/>
          <c:yMode val="edge"/>
          <c:x val="0.0894684885650469"/>
          <c:y val="0.122246462175022"/>
          <c:w val="0.592065009560229"/>
          <c:h val="0.727023474178404"/>
        </c:manualLayout>
      </c:layout>
      <c:barChart>
        <c:barDir val="col"/>
        <c:grouping val="clustered"/>
        <c:varyColors val="false"/>
        <c:ser>
          <c:idx val="0"/>
          <c:order val="0"/>
          <c:tx>
            <c:strRef>
              <c:f>"一般公共预算财政拨款支出"</c:f>
              <c:strCache>
                <c:ptCount val="1"/>
                <c:pt idx="0">
                  <c:v>一般公共预算财政拨款支出</c:v>
                </c:pt>
              </c:strCache>
            </c:strRef>
          </c:tx>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[工作簿1.xlsx]Sheet2!$A$18:$A$19</c:f>
              <c:strCache>
                <c:ptCount val="2"/>
                <c:pt idx="0">
                  <c:v>2021年</c:v>
                </c:pt>
                <c:pt idx="1">
                  <c:v>2022年</c:v>
                </c:pt>
              </c:strCache>
            </c:strRef>
          </c:cat>
          <c:val>
            <c:numRef>
              <c:f>[工作簿1.xlsx]Sheet2!$B$18:$B$19</c:f>
              <c:numCache>
                <c:formatCode>General</c:formatCode>
                <c:ptCount val="2"/>
                <c:pt idx="0">
                  <c:v>3747.7</c:v>
                </c:pt>
                <c:pt idx="1">
                  <c:v>4293.02</c:v>
                </c:pt>
              </c:numCache>
            </c:numRef>
          </c:val>
        </c:ser>
        <c:dLbls>
          <c:showLegendKey val="false"/>
          <c:showVal val="true"/>
          <c:showCatName val="false"/>
          <c:showSerName val="false"/>
          <c:showPercent val="false"/>
          <c:showBubbleSize val="false"/>
        </c:dLbls>
        <c:gapWidth val="219"/>
        <c:overlap val="-27"/>
        <c:axId val="610823883"/>
        <c:axId val="704882147"/>
      </c:barChart>
      <c:catAx>
        <c:axId val="610823883"/>
        <c:scaling>
          <c:orientation val="minMax"/>
        </c:scaling>
        <c:delete val="false"/>
        <c:axPos val="b"/>
        <c:title>
          <c:tx>
            <c:rich>
              <a:bodyPr rot="0" spcFirstLastPara="0" vertOverflow="ellipsis" vert="horz" wrap="square" anchor="ctr" anchorCtr="true"/>
              <a:lstStyle/>
              <a:p>
                <a:pPr defTabSz="914400">
                  <a:defRPr lang="zh-CN" sz="10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lang="zh-CN" altLang="en-US" b="1">
                    <a:latin typeface="Times New Roman" panose="02020603050405020304" charset="0"/>
                    <a:ea typeface="Times New Roman" panose="02020603050405020304" charset="0"/>
                    <a:cs typeface="Times New Roman" panose="02020603050405020304" charset="0"/>
                    <a:sym typeface="Times New Roman" panose="02020603050405020304" charset="0"/>
                  </a:rPr>
                  <a:t>单位：万元</a:t>
                </a:r>
                <a:endParaRPr lang="zh-CN" altLang="en-US" b="1">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layout>
            <c:manualLayout>
              <c:xMode val="edge"/>
              <c:yMode val="edge"/>
              <c:x val="0.808665972222542"/>
              <c:y val="0.112008895478132"/>
            </c:manualLayout>
          </c:layout>
          <c:overlay val="false"/>
          <c:spPr>
            <a:noFill/>
            <a:ln>
              <a:noFill/>
            </a:ln>
            <a:effectLst/>
          </c:spPr>
        </c:title>
        <c:numFmt formatCode="General" sourceLinked="false"/>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crossAx val="704882147"/>
        <c:crosses val="autoZero"/>
        <c:auto val="true"/>
        <c:lblAlgn val="ctr"/>
        <c:lblOffset val="100"/>
        <c:noMultiLvlLbl val="false"/>
      </c:catAx>
      <c:valAx>
        <c:axId val="704882147"/>
        <c:scaling>
          <c:orientation val="minMax"/>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610823883"/>
        <c:crosses val="autoZero"/>
        <c:crossBetween val="between"/>
      </c:valAx>
      <c:spPr>
        <a:noFill/>
        <a:ln>
          <a:noFill/>
        </a:ln>
        <a:effectLst/>
      </c:spPr>
    </c:plotArea>
    <c:legend>
      <c:legendPos val="r"/>
      <c:legendEntry>
        <c:idx val="0"/>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manualLayout>
          <c:xMode val="edge"/>
          <c:yMode val="edge"/>
          <c:x val="0.7040273556231"/>
          <c:y val="0.505731494074218"/>
          <c:w val="0.292173252279635"/>
          <c:h val="0.10413833300952"/>
        </c:manualLayout>
      </c:layout>
      <c:overlay val="false"/>
      <c:spPr>
        <a:noFill/>
        <a:ln>
          <a:noFill/>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一般公共预算财政拨款支出决算结构</a:t>
            </a:r>
            <a:endParaRPr lang="zh-CN" altLang="en-US">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overlay val="false"/>
      <c:spPr>
        <a:noFill/>
        <a:ln>
          <a:noFill/>
        </a:ln>
        <a:effectLst/>
      </c:spPr>
    </c:title>
    <c:autoTitleDeleted val="false"/>
    <c:plotArea>
      <c:layout>
        <c:manualLayout>
          <c:layoutTarget val="inner"/>
          <c:xMode val="edge"/>
          <c:yMode val="edge"/>
          <c:x val="0.197847900712965"/>
          <c:y val="0.225119077463023"/>
          <c:w val="0.397016107736995"/>
          <c:h val="0.753823013286538"/>
        </c:manualLayout>
      </c:layout>
      <c:pieChart>
        <c:varyColors val="true"/>
        <c:ser>
          <c:idx val="0"/>
          <c:order val="0"/>
          <c:spPr/>
          <c:explosion val="9"/>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Pt>
            <c:idx val="3"/>
            <c:bubble3D val="false"/>
            <c:spPr>
              <a:solidFill>
                <a:schemeClr val="accent4"/>
              </a:solidFill>
              <a:ln w="19050">
                <a:solidFill>
                  <a:schemeClr val="lt1"/>
                </a:solidFill>
              </a:ln>
              <a:effectLst/>
            </c:spPr>
          </c:dPt>
          <c:dLbls>
            <c:dLbl>
              <c:idx val="1"/>
              <c:layout>
                <c:manualLayout>
                  <c:x val="-0.0233265390618428"/>
                  <c:y val="0.0105142190994088"/>
                </c:manualLayout>
              </c:layout>
              <c:tx>
                <c:rich>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r>
                      <a:rPr lang="en-US" altLang="zh-CN" b="1">
                        <a:latin typeface="Times New Roman" panose="02020603050405020304" charset="0"/>
                        <a:ea typeface="Times New Roman" panose="02020603050405020304" charset="0"/>
                        <a:cs typeface="Times New Roman" panose="02020603050405020304" charset="0"/>
                        <a:sym typeface="Times New Roman" panose="02020603050405020304" charset="0"/>
                      </a:rPr>
                      <a:t>4.72%</a:t>
                    </a:r>
                    <a:endParaRPr lang="en-US" altLang="zh-CN" b="1">
                      <a:latin typeface="Times New Roman" panose="02020603050405020304" charset="0"/>
                      <a:ea typeface="Times New Roman" panose="02020603050405020304" charset="0"/>
                      <a:cs typeface="Times New Roman" panose="02020603050405020304" charset="0"/>
                      <a:sym typeface="Times New Roman" panose="02020603050405020304" charset="0"/>
                    </a:endParaRPr>
                  </a:p>
                </c:rich>
              </c:tx>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0391660576319239"/>
                  <c:y val="-0.0379677938745108"/>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3"/>
              <c:layout>
                <c:manualLayout>
                  <c:x val="0.0185360086568565"/>
                  <c:y val="-0.0192668057507974"/>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numFmt formatCode="0.00%" sourceLinked="false"/>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inEnd"/>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[工作簿1.xlsx]Sheet2!$A$23:$A$26</c:f>
              <c:strCache>
                <c:ptCount val="4"/>
                <c:pt idx="0">
                  <c:v>一般公共服务支出</c:v>
                </c:pt>
                <c:pt idx="1">
                  <c:v>科学技术支出</c:v>
                </c:pt>
                <c:pt idx="2">
                  <c:v>社会保障和就业支出</c:v>
                </c:pt>
                <c:pt idx="3">
                  <c:v>住房保障支出</c:v>
                </c:pt>
              </c:strCache>
            </c:strRef>
          </c:cat>
          <c:val>
            <c:numRef>
              <c:f>[工作簿1.xlsx]Sheet2!$B$23:$B$26</c:f>
              <c:numCache>
                <c:formatCode>General</c:formatCode>
                <c:ptCount val="4"/>
                <c:pt idx="0">
                  <c:v>3073.11</c:v>
                </c:pt>
                <c:pt idx="1" c:formatCode="#,##0.00">
                  <c:v>202.41</c:v>
                </c:pt>
                <c:pt idx="2" c:formatCode="#,##0.00">
                  <c:v>764.9</c:v>
                </c:pt>
                <c:pt idx="3" c:formatCode="#,##0.00">
                  <c:v>252.6</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r"/>
      <c:legendEntry>
        <c:idx val="0"/>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3"/>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false"/>
      <c:spPr>
        <a:noFill/>
        <a:ln>
          <a:noFill/>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defRPr>
            </a:pPr>
            <a:r>
              <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rPr>
              <a:t>“三公”经费财政拨款支出结构</a:t>
            </a:r>
            <a:endParaRPr lang="zh-CN" altLang="en-US" b="0">
              <a:latin typeface="方正小标宋_GBK" panose="02000000000000000000" pitchFamily="4" charset="-122"/>
              <a:ea typeface="方正小标宋_GBK" panose="02000000000000000000" pitchFamily="4" charset="-122"/>
              <a:cs typeface="方正小标宋_GBK" panose="02000000000000000000" pitchFamily="4" charset="-122"/>
              <a:sym typeface="方正小标宋_GBK" panose="02000000000000000000" pitchFamily="4" charset="-122"/>
            </a:endParaRPr>
          </a:p>
        </c:rich>
      </c:tx>
      <c:layout>
        <c:manualLayout>
          <c:xMode val="edge"/>
          <c:yMode val="edge"/>
          <c:x val="0.278333333333333"/>
          <c:y val="0.0243055555555556"/>
        </c:manualLayout>
      </c:layout>
      <c:overlay val="false"/>
      <c:spPr>
        <a:noFill/>
        <a:ln>
          <a:noFill/>
        </a:ln>
        <a:effectLst/>
      </c:spPr>
    </c:title>
    <c:autoTitleDeleted val="false"/>
    <c:plotArea>
      <c:layout>
        <c:manualLayout>
          <c:layoutTarget val="inner"/>
          <c:xMode val="edge"/>
          <c:yMode val="edge"/>
          <c:x val="0.0941709920177325"/>
          <c:y val="0.289241622574956"/>
          <c:w val="0.443631996449899"/>
          <c:h val="0.62546634561208"/>
        </c:manualLayout>
      </c:layout>
      <c:pieChart>
        <c:varyColors val="true"/>
        <c:ser>
          <c:idx val="0"/>
          <c:order val="0"/>
          <c:spPr/>
          <c:explosion val="0"/>
          <c:dPt>
            <c:idx val="0"/>
            <c:bubble3D val="false"/>
            <c:spPr>
              <a:solidFill>
                <a:srgbClr val="FFC000"/>
              </a:solidFill>
              <a:ln w="19050">
                <a:solidFill>
                  <a:schemeClr val="lt1"/>
                </a:solidFill>
              </a:ln>
              <a:effectLst/>
            </c:spPr>
          </c:dPt>
          <c:dPt>
            <c:idx val="1"/>
            <c:bubble3D val="false"/>
            <c:spPr>
              <a:solidFill>
                <a:schemeClr val="accent1"/>
              </a:solidFill>
              <a:ln w="19050">
                <a:solidFill>
                  <a:schemeClr val="lt1"/>
                </a:solidFill>
              </a:ln>
              <a:effectLst/>
            </c:spPr>
          </c:dPt>
          <c:dPt>
            <c:idx val="2"/>
            <c:bubble3D val="false"/>
            <c:spPr>
              <a:solidFill>
                <a:srgbClr val="92D050"/>
              </a:solidFill>
              <a:ln w="19050">
                <a:solidFill>
                  <a:schemeClr val="lt1"/>
                </a:solidFill>
              </a:ln>
              <a:effectLst/>
            </c:spPr>
          </c:dPt>
          <c:dLbls>
            <c:dLbl>
              <c:idx val="0"/>
              <c:layout>
                <c:manualLayout>
                  <c:x val="0.0791664490633889"/>
                  <c:y val="-0.00639389598490394"/>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477254461332453"/>
                  <c:y val="0.0165358748621674"/>
                </c:manualLayout>
              </c:layout>
              <c:dLblPos val="bestFit"/>
              <c:showLegendKey val="true"/>
              <c:showVal val="false"/>
              <c:showCatName val="false"/>
              <c:showSerName val="false"/>
              <c:showPercent val="true"/>
              <c:showBubbleSize val="false"/>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true"/>
              <a:lstStyle/>
              <a:p>
                <a:pPr>
                  <a:defRPr lang="zh-CN" sz="900" b="1" i="0" u="none" strike="noStrike" kern="1200" baseline="0">
                    <a:solidFill>
                      <a:schemeClr val="tx1">
                        <a:lumMod val="75000"/>
                        <a:lumOff val="2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dLblPos val="inEnd"/>
            <c:showLegendKey val="tru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[工作簿1.xlsx]Sheet1!$A$64:$A$66</c:f>
              <c:strCache>
                <c:ptCount val="3"/>
                <c:pt idx="0">
                  <c:v>因公出国（境）费支出</c:v>
                </c:pt>
                <c:pt idx="1">
                  <c:v>公务用车购置及运行维护费支出</c:v>
                </c:pt>
                <c:pt idx="2">
                  <c:v>公务接待费支出</c:v>
                </c:pt>
              </c:strCache>
            </c:strRef>
          </c:cat>
          <c:val>
            <c:numRef>
              <c:f>[工作簿1.xlsx]Sheet1!$B$64:$B$66</c:f>
              <c:numCache>
                <c:formatCode>General</c:formatCode>
                <c:ptCount val="3"/>
                <c:pt idx="0">
                  <c:v>0</c:v>
                </c:pt>
                <c:pt idx="1">
                  <c:v>48.9</c:v>
                </c:pt>
                <c:pt idx="2">
                  <c:v>1</c:v>
                </c:pt>
              </c:numCache>
            </c:numRef>
          </c:val>
        </c:ser>
        <c:dLbls>
          <c:showLegendKey val="true"/>
          <c:showVal val="false"/>
          <c:showCatName val="false"/>
          <c:showSerName val="false"/>
          <c:showPercent val="true"/>
          <c:showBubbleSize val="false"/>
          <c:showLeaderLines val="true"/>
        </c:dLbls>
        <c:firstSliceAng val="0"/>
      </c:pieChart>
      <c:spPr>
        <a:noFill/>
        <a:ln>
          <a:noFill/>
        </a:ln>
        <a:effectLst/>
      </c:spPr>
    </c:plotArea>
    <c:legend>
      <c:legendPos val="r"/>
      <c:legendEntry>
        <c:idx val="0"/>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1"/>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egendEntry>
        <c:idx val="2"/>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Entry>
      <c:layout/>
      <c:overlay val="false"/>
      <c:spPr>
        <a:noFill/>
        <a:ln>
          <a:noFill/>
        </a:ln>
        <a:effectLst/>
      </c:spPr>
      <c:txPr>
        <a:bodyPr rot="0" spcFirstLastPara="0" vertOverflow="ellipsis" vert="horz" wrap="square" anchor="ctr" anchorCtr="true"/>
        <a:lstStyle/>
        <a:p>
          <a:pPr>
            <a:defRPr lang="zh-CN" sz="900" b="1" i="0" u="none" strike="noStrike" kern="1200" baseline="0">
              <a:solidFill>
                <a:schemeClr val="tx1">
                  <a:lumMod val="65000"/>
                  <a:lumOff val="35000"/>
                </a:schemeClr>
              </a:solidFill>
              <a:latin typeface="Times New Roman" panose="02020603050405020304" charset="0"/>
              <a:ea typeface="Times New Roman" panose="02020603050405020304" charset="0"/>
              <a:cs typeface="Times New Roman" panose="02020603050405020304" charset="0"/>
              <a:sym typeface="Times New Roman" panose="02020603050405020304"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rot="5400000" vert="horz"/>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33">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50000"/>
            <a:lumOff val="50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0">
      <cs:styleClr val="auto"/>
    </cs:fillRef>
    <cs:effectRef idx="0"/>
    <cs:fontRef idx="minor">
      <a:schemeClr val="tx1"/>
    </cs:fontRef>
    <cs:spPr>
      <a:solidFill>
        <a:schemeClr val="phClr"/>
      </a:solidFill>
      <a:ln w="19050">
        <a:solidFill>
          <a:schemeClr val="lt1"/>
        </a:solidFill>
      </a:ln>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40" b="0" kern="1200" spc="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0.55602</cdr:x>
      <cdr:y>0.75661</cdr:y>
    </cdr:from>
    <cdr:to>
      <cdr:x>0.72839</cdr:x>
      <cdr:y>1</cdr:y>
    </cdr:to>
    <cdr:sp>
      <cdr:nvSpPr>
        <cdr:cNvPr id="2" name="矩形 1"/>
        <cdr:cNvSpPr/>
      </cdr:nvSpPr>
      <cdr:spPr xmlns:a="http://schemas.openxmlformats.org/drawingml/2006/main">
        <a:xfrm xmlns:a="http://schemas.openxmlformats.org/drawingml/2006/main">
          <a:off x="2949575" y="2327275"/>
          <a:ext cx="914400" cy="748665"/>
        </a:xfrm>
        <a:prstGeom xmlns:a="http://schemas.openxmlformats.org/drawingml/2006/main" prst="rect">
          <a:avLst/>
        </a:prstGeom>
      </cdr:spPr>
      <cdr:txBody xmlns:a="http://schemas.openxmlformats.org/drawingml/2006/main">
        <a:bodyPr vert="horz" wrap="none" lIns="45720" tIns="45720" rIns="45720" bIns="45720" anchor="t" anchorCtr="false">
          <a:spAutoFit/>
        </a:bodyPr>
        <a:lstStyle/>
        <a:p>
          <a:endParaRPr lang="zh-CN" altLang="en-US"/>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Pages>
  <Words>4804</Words>
  <Characters>27385</Characters>
  <Lines>228</Lines>
  <Paragraphs>64</Paragraphs>
  <TotalTime>10</TotalTime>
  <ScaleCrop>false</ScaleCrop>
  <LinksUpToDate>false</LinksUpToDate>
  <CharactersWithSpaces>32125</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2020-08-13T17:49:00Z</dcterms:created>
  <dc:creator>曹颖</dc:creator>
  <cp:lastModifiedBy>初见</cp:lastModifiedBy>
  <cp:lastPrinted>2023-09-08T01:53:00Z</cp:lastPrinted>
  <dcterms:modified xsi:type="dcterms:W3CDTF">2023-09-14T17:51:51Z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FAFD193CB0F242B28B827726BD8CC32C_12</vt:lpwstr>
  </property>
</Properties>
</file>