
<file path=[Content_Types].xml><?xml version="1.0" encoding="utf-8"?>
<Types xmlns="http://schemas.openxmlformats.org/package/2006/content-types">
  <Default Extension="xml" ContentType="application/xml"/>
  <Default Extension="xls" ContentType="application/vnd.ms-exce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eastAsia="方正小标宋简体"/>
          <w:sz w:val="72"/>
          <w:szCs w:val="72"/>
        </w:rPr>
      </w:pPr>
      <w:bookmarkStart w:id="0" w:name="_Toc15396597"/>
      <w:bookmarkStart w:id="1" w:name="_Toc15377193"/>
      <w:bookmarkStart w:id="2" w:name="_Toc15378441"/>
      <w:bookmarkStart w:id="3" w:name="_Toc15396475"/>
      <w:bookmarkStart w:id="4" w:name="_Toc15377425"/>
      <w:bookmarkStart w:id="5" w:name="_Toc15306267"/>
    </w:p>
    <w:p>
      <w:pPr>
        <w:spacing w:line="600" w:lineRule="exact"/>
        <w:jc w:val="center"/>
        <w:rPr>
          <w:rFonts w:eastAsia="方正小标宋简体"/>
          <w:sz w:val="72"/>
          <w:szCs w:val="72"/>
        </w:rPr>
      </w:pPr>
    </w:p>
    <w:p>
      <w:pPr>
        <w:spacing w:line="600" w:lineRule="exact"/>
        <w:jc w:val="center"/>
        <w:rPr>
          <w:rFonts w:eastAsia="方正小标宋简体"/>
          <w:sz w:val="72"/>
          <w:szCs w:val="72"/>
        </w:rPr>
      </w:pPr>
    </w:p>
    <w:p>
      <w:pPr>
        <w:adjustRightInd w:val="0"/>
        <w:snapToGrid w:val="0"/>
        <w:spacing w:line="360" w:lineRule="auto"/>
        <w:jc w:val="center"/>
        <w:outlineLvl w:val="0"/>
        <w:rPr>
          <w:rFonts w:eastAsia="方正小标宋简体"/>
          <w:sz w:val="72"/>
          <w:szCs w:val="72"/>
        </w:rPr>
      </w:pPr>
      <w:bookmarkStart w:id="6" w:name="_Toc5452"/>
      <w:r>
        <w:rPr>
          <w:rFonts w:eastAsia="方正小标宋简体"/>
          <w:sz w:val="72"/>
          <w:szCs w:val="72"/>
        </w:rPr>
        <w:t>2022年度</w:t>
      </w:r>
      <w:bookmarkEnd w:id="0"/>
      <w:bookmarkEnd w:id="1"/>
      <w:bookmarkEnd w:id="2"/>
      <w:bookmarkEnd w:id="3"/>
      <w:bookmarkEnd w:id="4"/>
      <w:bookmarkEnd w:id="6"/>
    </w:p>
    <w:bookmarkEnd w:id="5"/>
    <w:p>
      <w:pPr>
        <w:adjustRightInd w:val="0"/>
        <w:snapToGrid w:val="0"/>
        <w:spacing w:line="1440" w:lineRule="exact"/>
        <w:jc w:val="center"/>
        <w:outlineLvl w:val="0"/>
        <w:rPr>
          <w:rFonts w:eastAsia="方正小标宋简体"/>
          <w:color w:val="000000"/>
          <w:sz w:val="72"/>
          <w:szCs w:val="72"/>
        </w:rPr>
      </w:pPr>
      <w:bookmarkStart w:id="7" w:name="_Toc11386"/>
      <w:bookmarkStart w:id="8" w:name="_Toc27031"/>
      <w:bookmarkStart w:id="9" w:name="_Toc27783"/>
      <w:bookmarkStart w:id="10" w:name="_Toc29564"/>
      <w:bookmarkStart w:id="11" w:name="_Toc15396476"/>
      <w:bookmarkStart w:id="12" w:name="_Toc15377426"/>
      <w:bookmarkStart w:id="13" w:name="_Toc15396598"/>
      <w:bookmarkStart w:id="14" w:name="_Toc15378442"/>
      <w:bookmarkStart w:id="15" w:name="_Toc15377194"/>
      <w:r>
        <w:rPr>
          <w:rFonts w:eastAsia="方正小标宋简体"/>
          <w:color w:val="000000"/>
          <w:sz w:val="72"/>
          <w:szCs w:val="72"/>
        </w:rPr>
        <w:t>米易县</w:t>
      </w:r>
      <w:bookmarkStart w:id="16" w:name="_Toc15306268"/>
      <w:r>
        <w:rPr>
          <w:rFonts w:eastAsia="方正小标宋简体"/>
          <w:color w:val="000000"/>
          <w:sz w:val="72"/>
          <w:szCs w:val="72"/>
        </w:rPr>
        <w:t>人民检察院</w:t>
      </w:r>
      <w:bookmarkEnd w:id="7"/>
      <w:bookmarkEnd w:id="8"/>
      <w:bookmarkEnd w:id="9"/>
      <w:bookmarkEnd w:id="10"/>
    </w:p>
    <w:p>
      <w:pPr>
        <w:adjustRightInd w:val="0"/>
        <w:snapToGrid w:val="0"/>
        <w:spacing w:line="1440" w:lineRule="exact"/>
        <w:jc w:val="center"/>
        <w:outlineLvl w:val="0"/>
        <w:rPr>
          <w:rFonts w:eastAsia="方正小标宋简体"/>
          <w:color w:val="000000"/>
          <w:sz w:val="72"/>
          <w:szCs w:val="72"/>
        </w:rPr>
      </w:pPr>
      <w:bookmarkStart w:id="17" w:name="_Toc27649"/>
      <w:bookmarkStart w:id="18" w:name="_Toc23823"/>
      <w:bookmarkStart w:id="19" w:name="_Toc22354"/>
      <w:bookmarkStart w:id="20" w:name="_Toc15430"/>
      <w:r>
        <w:rPr>
          <w:rFonts w:eastAsia="方正小标宋简体"/>
          <w:color w:val="000000"/>
          <w:sz w:val="72"/>
          <w:szCs w:val="72"/>
        </w:rPr>
        <w:t>部门决算</w:t>
      </w:r>
      <w:bookmarkEnd w:id="11"/>
      <w:bookmarkEnd w:id="12"/>
      <w:bookmarkEnd w:id="13"/>
      <w:bookmarkEnd w:id="14"/>
      <w:bookmarkEnd w:id="15"/>
      <w:bookmarkEnd w:id="16"/>
      <w:bookmarkEnd w:id="17"/>
      <w:bookmarkEnd w:id="18"/>
      <w:bookmarkEnd w:id="19"/>
      <w:bookmarkEnd w:id="20"/>
    </w:p>
    <w:p>
      <w:pPr>
        <w:widowControl/>
        <w:jc w:val="center"/>
        <w:rPr>
          <w:rFonts w:eastAsia="黑体"/>
          <w:sz w:val="48"/>
          <w:szCs w:val="48"/>
        </w:rPr>
      </w:pPr>
      <w:r>
        <w:rPr>
          <w:rFonts w:eastAsia="方正小标宋简体"/>
          <w:sz w:val="36"/>
          <w:szCs w:val="36"/>
        </w:rPr>
        <w:br w:type="page"/>
      </w:r>
      <w:r>
        <w:rPr>
          <w:rFonts w:eastAsia="黑体"/>
          <w:sz w:val="48"/>
          <w:szCs w:val="48"/>
        </w:rPr>
        <w:t>目录</w:t>
      </w:r>
    </w:p>
    <w:p>
      <w:pPr>
        <w:widowControl/>
        <w:jc w:val="center"/>
        <w:rPr>
          <w:rFonts w:eastAsia="黑体"/>
          <w:sz w:val="48"/>
          <w:szCs w:val="48"/>
        </w:rPr>
      </w:pPr>
    </w:p>
    <w:p>
      <w:pPr>
        <w:pStyle w:val="11"/>
        <w:rPr>
          <w:rFonts w:ascii="Times New Roman" w:hAnsi="Times New Roman"/>
        </w:rPr>
      </w:pPr>
      <w:r>
        <w:rPr>
          <w:rFonts w:ascii="Times New Roman" w:hAnsi="Times New Roman"/>
        </w:rPr>
        <w:t>公开时间：2023年9月1</w:t>
      </w:r>
      <w:r>
        <w:rPr>
          <w:rFonts w:hint="eastAsia" w:ascii="Times New Roman" w:hAnsi="Times New Roman"/>
          <w:lang w:val="en-US" w:eastAsia="zh-CN"/>
        </w:rPr>
        <w:t>5</w:t>
      </w:r>
      <w:r>
        <w:rPr>
          <w:rFonts w:ascii="Times New Roman" w:hAnsi="Times New Roman"/>
        </w:rPr>
        <w:t>日</w:t>
      </w:r>
    </w:p>
    <w:p>
      <w:pPr>
        <w:widowControl/>
        <w:jc w:val="center"/>
        <w:rPr>
          <w:rFonts w:eastAsia="黑体"/>
          <w:sz w:val="48"/>
          <w:szCs w:val="48"/>
        </w:rPr>
      </w:pPr>
    </w:p>
    <w:sdt>
      <w:sdtPr>
        <w:rPr>
          <w:rFonts w:ascii="宋体" w:hAnsi="宋体"/>
        </w:rPr>
        <w:id w:val="147465512"/>
        <w:docPartObj>
          <w:docPartGallery w:val="Table of Contents"/>
          <w:docPartUnique/>
        </w:docPartObj>
      </w:sdtPr>
      <w:sdtEndPr>
        <w:rPr>
          <w:rFonts w:ascii="Times New Roman" w:hAnsi="Times New Roman" w:eastAsia="黑体"/>
          <w:sz w:val="32"/>
          <w:szCs w:val="32"/>
        </w:rPr>
      </w:sdtEndPr>
      <w:sdtContent>
        <w:p>
          <w:pPr>
            <w:jc w:val="center"/>
          </w:pPr>
        </w:p>
        <w:p>
          <w:pPr>
            <w:pStyle w:val="51"/>
            <w:tabs>
              <w:tab w:val="right" w:leader="dot" w:pos="8844"/>
            </w:tabs>
            <w:rPr>
              <w:sz w:val="32"/>
              <w:szCs w:val="32"/>
            </w:rPr>
          </w:pPr>
          <w:r>
            <w:rPr>
              <w:rFonts w:eastAsia="黑体"/>
              <w:sz w:val="32"/>
              <w:szCs w:val="32"/>
            </w:rPr>
            <w:fldChar w:fldCharType="begin"/>
          </w:r>
          <w:r>
            <w:rPr>
              <w:rFonts w:eastAsia="黑体"/>
              <w:sz w:val="32"/>
              <w:szCs w:val="32"/>
            </w:rPr>
            <w:instrText xml:space="preserve">TOC \o "1-3" \h \u </w:instrText>
          </w:r>
          <w:r>
            <w:rPr>
              <w:rFonts w:eastAsia="黑体"/>
              <w:sz w:val="32"/>
              <w:szCs w:val="32"/>
            </w:rPr>
            <w:fldChar w:fldCharType="separate"/>
          </w:r>
        </w:p>
        <w:p>
          <w:pPr>
            <w:pStyle w:val="51"/>
            <w:tabs>
              <w:tab w:val="right" w:leader="dot" w:pos="8844"/>
            </w:tabs>
            <w:rPr>
              <w:sz w:val="24"/>
              <w:szCs w:val="24"/>
            </w:rPr>
          </w:pPr>
          <w:r>
            <w:fldChar w:fldCharType="begin"/>
          </w:r>
          <w:r>
            <w:instrText xml:space="preserve"> HYPERLINK \l "_Toc6853" </w:instrText>
          </w:r>
          <w:r>
            <w:fldChar w:fldCharType="separate"/>
          </w:r>
          <w:r>
            <w:rPr>
              <w:rFonts w:ascii="Times New Roman" w:hAnsi="Times New Roman"/>
              <w:sz w:val="24"/>
              <w:szCs w:val="24"/>
            </w:rPr>
            <w:t>第一部分 部门概况</w:t>
          </w:r>
          <w:r>
            <w:rPr>
              <w:sz w:val="24"/>
              <w:szCs w:val="24"/>
            </w:rPr>
            <w:tab/>
          </w:r>
          <w:r>
            <w:rPr>
              <w:sz w:val="24"/>
              <w:szCs w:val="24"/>
            </w:rPr>
            <w:fldChar w:fldCharType="begin"/>
          </w:r>
          <w:r>
            <w:rPr>
              <w:sz w:val="24"/>
              <w:szCs w:val="24"/>
            </w:rPr>
            <w:instrText xml:space="preserve"> PAGEREF _Toc6853 \h </w:instrText>
          </w:r>
          <w:r>
            <w:rPr>
              <w:sz w:val="24"/>
              <w:szCs w:val="24"/>
            </w:rPr>
            <w:fldChar w:fldCharType="separate"/>
          </w:r>
          <w:r>
            <w:rPr>
              <w:sz w:val="24"/>
              <w:szCs w:val="24"/>
            </w:rPr>
            <w:t>4</w:t>
          </w:r>
          <w:r>
            <w:rPr>
              <w:sz w:val="24"/>
              <w:szCs w:val="24"/>
            </w:rPr>
            <w:fldChar w:fldCharType="end"/>
          </w:r>
          <w:r>
            <w:rPr>
              <w:sz w:val="24"/>
              <w:szCs w:val="24"/>
            </w:rPr>
            <w:fldChar w:fldCharType="end"/>
          </w:r>
        </w:p>
        <w:p>
          <w:pPr>
            <w:pStyle w:val="51"/>
            <w:tabs>
              <w:tab w:val="right" w:leader="dot" w:pos="8844"/>
            </w:tabs>
            <w:rPr>
              <w:sz w:val="24"/>
              <w:szCs w:val="24"/>
            </w:rPr>
          </w:pPr>
          <w:r>
            <w:fldChar w:fldCharType="begin"/>
          </w:r>
          <w:r>
            <w:instrText xml:space="preserve"> HYPERLINK \l "_Toc27619" </w:instrText>
          </w:r>
          <w:r>
            <w:fldChar w:fldCharType="separate"/>
          </w:r>
          <w:r>
            <w:rPr>
              <w:rFonts w:ascii="Times New Roman" w:hAnsi="Times New Roman"/>
              <w:sz w:val="24"/>
              <w:szCs w:val="24"/>
            </w:rPr>
            <w:t>第二部分 2022年度部门决算情况说明</w:t>
          </w:r>
          <w:r>
            <w:rPr>
              <w:sz w:val="24"/>
              <w:szCs w:val="24"/>
            </w:rPr>
            <w:tab/>
          </w:r>
          <w:r>
            <w:rPr>
              <w:sz w:val="24"/>
              <w:szCs w:val="24"/>
            </w:rPr>
            <w:fldChar w:fldCharType="begin"/>
          </w:r>
          <w:r>
            <w:rPr>
              <w:sz w:val="24"/>
              <w:szCs w:val="24"/>
            </w:rPr>
            <w:instrText xml:space="preserve"> PAGEREF _Toc27619 \h </w:instrText>
          </w:r>
          <w:r>
            <w:rPr>
              <w:sz w:val="24"/>
              <w:szCs w:val="24"/>
            </w:rPr>
            <w:fldChar w:fldCharType="separate"/>
          </w:r>
          <w:r>
            <w:rPr>
              <w:sz w:val="24"/>
              <w:szCs w:val="24"/>
            </w:rPr>
            <w:t>4</w:t>
          </w:r>
          <w:r>
            <w:rPr>
              <w:sz w:val="24"/>
              <w:szCs w:val="24"/>
            </w:rPr>
            <w:fldChar w:fldCharType="end"/>
          </w:r>
          <w:r>
            <w:rPr>
              <w:sz w:val="24"/>
              <w:szCs w:val="24"/>
            </w:rPr>
            <w:fldChar w:fldCharType="end"/>
          </w:r>
        </w:p>
        <w:p>
          <w:pPr>
            <w:pStyle w:val="51"/>
            <w:tabs>
              <w:tab w:val="right" w:leader="dot" w:pos="8844"/>
            </w:tabs>
            <w:rPr>
              <w:sz w:val="24"/>
              <w:szCs w:val="24"/>
            </w:rPr>
          </w:pPr>
          <w:r>
            <w:fldChar w:fldCharType="begin"/>
          </w:r>
          <w:r>
            <w:instrText xml:space="preserve"> HYPERLINK \l "_Toc11558" </w:instrText>
          </w:r>
          <w:r>
            <w:fldChar w:fldCharType="separate"/>
          </w:r>
          <w:r>
            <w:rPr>
              <w:rFonts w:eastAsia="黑体"/>
              <w:sz w:val="24"/>
              <w:szCs w:val="24"/>
            </w:rPr>
            <w:t>第一部分 部门概况</w:t>
          </w:r>
          <w:r>
            <w:rPr>
              <w:sz w:val="24"/>
              <w:szCs w:val="24"/>
            </w:rPr>
            <w:tab/>
          </w:r>
          <w:r>
            <w:rPr>
              <w:sz w:val="24"/>
              <w:szCs w:val="24"/>
            </w:rPr>
            <w:fldChar w:fldCharType="begin"/>
          </w:r>
          <w:r>
            <w:rPr>
              <w:sz w:val="24"/>
              <w:szCs w:val="24"/>
            </w:rPr>
            <w:instrText xml:space="preserve"> PAGEREF _Toc11558 \h </w:instrText>
          </w:r>
          <w:r>
            <w:rPr>
              <w:sz w:val="24"/>
              <w:szCs w:val="24"/>
            </w:rPr>
            <w:fldChar w:fldCharType="separate"/>
          </w:r>
          <w:r>
            <w:rPr>
              <w:sz w:val="24"/>
              <w:szCs w:val="24"/>
            </w:rPr>
            <w:t>6</w:t>
          </w:r>
          <w:r>
            <w:rPr>
              <w:sz w:val="24"/>
              <w:szCs w:val="24"/>
            </w:rPr>
            <w:fldChar w:fldCharType="end"/>
          </w:r>
          <w:r>
            <w:rPr>
              <w:sz w:val="24"/>
              <w:szCs w:val="24"/>
            </w:rPr>
            <w:fldChar w:fldCharType="end"/>
          </w:r>
        </w:p>
        <w:p>
          <w:pPr>
            <w:pStyle w:val="52"/>
            <w:tabs>
              <w:tab w:val="right" w:leader="dot" w:pos="8844"/>
            </w:tabs>
            <w:ind w:left="420"/>
            <w:rPr>
              <w:sz w:val="24"/>
              <w:szCs w:val="24"/>
            </w:rPr>
          </w:pPr>
          <w:r>
            <w:fldChar w:fldCharType="begin"/>
          </w:r>
          <w:r>
            <w:instrText xml:space="preserve"> HYPERLINK \l "_Toc7223" </w:instrText>
          </w:r>
          <w:r>
            <w:fldChar w:fldCharType="separate"/>
          </w:r>
          <w:r>
            <w:rPr>
              <w:rFonts w:ascii="Times New Roman" w:hAnsi="Times New Roman" w:eastAsia="黑体" w:cs="Times New Roman"/>
              <w:sz w:val="24"/>
              <w:szCs w:val="24"/>
            </w:rPr>
            <w:t>一、 部门职责</w:t>
          </w:r>
          <w:r>
            <w:rPr>
              <w:sz w:val="24"/>
              <w:szCs w:val="24"/>
            </w:rPr>
            <w:tab/>
          </w:r>
          <w:r>
            <w:rPr>
              <w:sz w:val="24"/>
              <w:szCs w:val="24"/>
            </w:rPr>
            <w:fldChar w:fldCharType="begin"/>
          </w:r>
          <w:r>
            <w:rPr>
              <w:sz w:val="24"/>
              <w:szCs w:val="24"/>
            </w:rPr>
            <w:instrText xml:space="preserve"> PAGEREF _Toc7223 \h </w:instrText>
          </w:r>
          <w:r>
            <w:rPr>
              <w:sz w:val="24"/>
              <w:szCs w:val="24"/>
            </w:rPr>
            <w:fldChar w:fldCharType="separate"/>
          </w:r>
          <w:r>
            <w:rPr>
              <w:sz w:val="24"/>
              <w:szCs w:val="24"/>
            </w:rPr>
            <w:t>6</w:t>
          </w:r>
          <w:r>
            <w:rPr>
              <w:sz w:val="24"/>
              <w:szCs w:val="24"/>
            </w:rPr>
            <w:fldChar w:fldCharType="end"/>
          </w:r>
          <w:r>
            <w:rPr>
              <w:sz w:val="24"/>
              <w:szCs w:val="24"/>
            </w:rPr>
            <w:fldChar w:fldCharType="end"/>
          </w:r>
        </w:p>
        <w:p>
          <w:pPr>
            <w:pStyle w:val="52"/>
            <w:tabs>
              <w:tab w:val="right" w:leader="dot" w:pos="8844"/>
            </w:tabs>
            <w:ind w:left="420"/>
            <w:rPr>
              <w:sz w:val="24"/>
              <w:szCs w:val="24"/>
            </w:rPr>
          </w:pPr>
          <w:r>
            <w:fldChar w:fldCharType="begin"/>
          </w:r>
          <w:r>
            <w:instrText xml:space="preserve"> HYPERLINK \l "_Toc1123" </w:instrText>
          </w:r>
          <w:r>
            <w:fldChar w:fldCharType="separate"/>
          </w:r>
          <w:r>
            <w:rPr>
              <w:rFonts w:ascii="Times New Roman" w:hAnsi="Times New Roman" w:eastAsia="黑体" w:cs="Times New Roman"/>
              <w:sz w:val="24"/>
              <w:szCs w:val="24"/>
            </w:rPr>
            <w:t>二、机构设置</w:t>
          </w:r>
          <w:r>
            <w:rPr>
              <w:sz w:val="24"/>
              <w:szCs w:val="24"/>
            </w:rPr>
            <w:tab/>
          </w:r>
          <w:r>
            <w:rPr>
              <w:sz w:val="24"/>
              <w:szCs w:val="24"/>
            </w:rPr>
            <w:fldChar w:fldCharType="begin"/>
          </w:r>
          <w:r>
            <w:rPr>
              <w:sz w:val="24"/>
              <w:szCs w:val="24"/>
            </w:rPr>
            <w:instrText xml:space="preserve"> PAGEREF _Toc1123 \h </w:instrText>
          </w:r>
          <w:r>
            <w:rPr>
              <w:sz w:val="24"/>
              <w:szCs w:val="24"/>
            </w:rPr>
            <w:fldChar w:fldCharType="separate"/>
          </w:r>
          <w:r>
            <w:rPr>
              <w:sz w:val="24"/>
              <w:szCs w:val="24"/>
            </w:rPr>
            <w:t>6</w:t>
          </w:r>
          <w:r>
            <w:rPr>
              <w:sz w:val="24"/>
              <w:szCs w:val="24"/>
            </w:rPr>
            <w:fldChar w:fldCharType="end"/>
          </w:r>
          <w:r>
            <w:rPr>
              <w:sz w:val="24"/>
              <w:szCs w:val="24"/>
            </w:rPr>
            <w:fldChar w:fldCharType="end"/>
          </w:r>
        </w:p>
        <w:p>
          <w:pPr>
            <w:pStyle w:val="51"/>
            <w:tabs>
              <w:tab w:val="right" w:leader="dot" w:pos="8844"/>
            </w:tabs>
            <w:rPr>
              <w:sz w:val="24"/>
              <w:szCs w:val="24"/>
            </w:rPr>
          </w:pPr>
          <w:r>
            <w:fldChar w:fldCharType="begin"/>
          </w:r>
          <w:r>
            <w:instrText xml:space="preserve"> HYPERLINK \l "_Toc497" </w:instrText>
          </w:r>
          <w:r>
            <w:fldChar w:fldCharType="separate"/>
          </w:r>
          <w:r>
            <w:rPr>
              <w:rFonts w:eastAsia="黑体"/>
              <w:sz w:val="24"/>
              <w:szCs w:val="24"/>
            </w:rPr>
            <w:t>第二部分 2022年度</w:t>
          </w:r>
          <w:r>
            <w:rPr>
              <w:rFonts w:eastAsia="黑体"/>
              <w:bCs/>
              <w:sz w:val="24"/>
              <w:szCs w:val="24"/>
            </w:rPr>
            <w:t>部门决算情况说明</w:t>
          </w:r>
          <w:r>
            <w:rPr>
              <w:sz w:val="24"/>
              <w:szCs w:val="24"/>
            </w:rPr>
            <w:tab/>
          </w:r>
          <w:r>
            <w:rPr>
              <w:sz w:val="24"/>
              <w:szCs w:val="24"/>
            </w:rPr>
            <w:fldChar w:fldCharType="begin"/>
          </w:r>
          <w:r>
            <w:rPr>
              <w:sz w:val="24"/>
              <w:szCs w:val="24"/>
            </w:rPr>
            <w:instrText xml:space="preserve"> PAGEREF _Toc497 \h </w:instrText>
          </w:r>
          <w:r>
            <w:rPr>
              <w:sz w:val="24"/>
              <w:szCs w:val="24"/>
            </w:rPr>
            <w:fldChar w:fldCharType="separate"/>
          </w:r>
          <w:r>
            <w:rPr>
              <w:sz w:val="24"/>
              <w:szCs w:val="24"/>
            </w:rPr>
            <w:t>8</w:t>
          </w:r>
          <w:r>
            <w:rPr>
              <w:sz w:val="24"/>
              <w:szCs w:val="24"/>
            </w:rPr>
            <w:fldChar w:fldCharType="end"/>
          </w:r>
          <w:r>
            <w:rPr>
              <w:sz w:val="24"/>
              <w:szCs w:val="24"/>
            </w:rPr>
            <w:fldChar w:fldCharType="end"/>
          </w:r>
        </w:p>
        <w:p>
          <w:pPr>
            <w:pStyle w:val="52"/>
            <w:tabs>
              <w:tab w:val="right" w:leader="dot" w:pos="8844"/>
            </w:tabs>
            <w:ind w:left="420"/>
            <w:rPr>
              <w:sz w:val="24"/>
              <w:szCs w:val="24"/>
            </w:rPr>
          </w:pPr>
          <w:r>
            <w:fldChar w:fldCharType="begin"/>
          </w:r>
          <w:r>
            <w:instrText xml:space="preserve"> HYPERLINK \l "_Toc9350" </w:instrText>
          </w:r>
          <w:r>
            <w:fldChar w:fldCharType="separate"/>
          </w:r>
          <w:r>
            <w:rPr>
              <w:rFonts w:ascii="Times New Roman" w:hAnsi="Times New Roman" w:eastAsia="黑体" w:cs="Times New Roman"/>
              <w:sz w:val="24"/>
              <w:szCs w:val="24"/>
            </w:rPr>
            <w:t xml:space="preserve">一、 </w:t>
          </w:r>
          <w:r>
            <w:rPr>
              <w:rFonts w:eastAsia="黑体"/>
              <w:sz w:val="24"/>
              <w:szCs w:val="24"/>
            </w:rPr>
            <w:t>收</w:t>
          </w:r>
          <w:r>
            <w:rPr>
              <w:rFonts w:ascii="Times New Roman" w:hAnsi="Times New Roman" w:eastAsia="黑体" w:cs="Times New Roman"/>
              <w:sz w:val="24"/>
              <w:szCs w:val="24"/>
            </w:rPr>
            <w:t>入支出决算总体情况说明</w:t>
          </w:r>
          <w:r>
            <w:rPr>
              <w:sz w:val="24"/>
              <w:szCs w:val="24"/>
            </w:rPr>
            <w:tab/>
          </w:r>
          <w:r>
            <w:rPr>
              <w:sz w:val="24"/>
              <w:szCs w:val="24"/>
            </w:rPr>
            <w:fldChar w:fldCharType="begin"/>
          </w:r>
          <w:r>
            <w:rPr>
              <w:sz w:val="24"/>
              <w:szCs w:val="24"/>
            </w:rPr>
            <w:instrText xml:space="preserve"> PAGEREF _Toc9350 \h </w:instrText>
          </w:r>
          <w:r>
            <w:rPr>
              <w:sz w:val="24"/>
              <w:szCs w:val="24"/>
            </w:rPr>
            <w:fldChar w:fldCharType="separate"/>
          </w:r>
          <w:r>
            <w:rPr>
              <w:sz w:val="24"/>
              <w:szCs w:val="24"/>
            </w:rPr>
            <w:t>8</w:t>
          </w:r>
          <w:r>
            <w:rPr>
              <w:sz w:val="24"/>
              <w:szCs w:val="24"/>
            </w:rPr>
            <w:fldChar w:fldCharType="end"/>
          </w:r>
          <w:r>
            <w:rPr>
              <w:sz w:val="24"/>
              <w:szCs w:val="24"/>
            </w:rPr>
            <w:fldChar w:fldCharType="end"/>
          </w:r>
        </w:p>
        <w:p>
          <w:pPr>
            <w:pStyle w:val="52"/>
            <w:tabs>
              <w:tab w:val="right" w:leader="dot" w:pos="8844"/>
            </w:tabs>
            <w:ind w:left="420"/>
            <w:rPr>
              <w:sz w:val="24"/>
              <w:szCs w:val="24"/>
            </w:rPr>
          </w:pPr>
          <w:r>
            <w:fldChar w:fldCharType="begin"/>
          </w:r>
          <w:r>
            <w:instrText xml:space="preserve"> HYPERLINK \l "_Toc29371" </w:instrText>
          </w:r>
          <w:r>
            <w:fldChar w:fldCharType="separate"/>
          </w:r>
          <w:r>
            <w:rPr>
              <w:rFonts w:ascii="Times New Roman" w:hAnsi="Times New Roman" w:eastAsia="黑体" w:cs="Times New Roman"/>
              <w:sz w:val="24"/>
              <w:szCs w:val="24"/>
            </w:rPr>
            <w:t xml:space="preserve">二、 </w:t>
          </w:r>
          <w:r>
            <w:rPr>
              <w:rFonts w:eastAsia="黑体"/>
              <w:sz w:val="24"/>
              <w:szCs w:val="24"/>
            </w:rPr>
            <w:t>收</w:t>
          </w:r>
          <w:r>
            <w:rPr>
              <w:rFonts w:ascii="Times New Roman" w:hAnsi="Times New Roman" w:eastAsia="黑体" w:cs="Times New Roman"/>
              <w:sz w:val="24"/>
              <w:szCs w:val="24"/>
            </w:rPr>
            <w:t>入决算情况说明</w:t>
          </w:r>
          <w:r>
            <w:rPr>
              <w:sz w:val="24"/>
              <w:szCs w:val="24"/>
            </w:rPr>
            <w:tab/>
          </w:r>
          <w:r>
            <w:rPr>
              <w:sz w:val="24"/>
              <w:szCs w:val="24"/>
            </w:rPr>
            <w:fldChar w:fldCharType="begin"/>
          </w:r>
          <w:r>
            <w:rPr>
              <w:sz w:val="24"/>
              <w:szCs w:val="24"/>
            </w:rPr>
            <w:instrText xml:space="preserve"> PAGEREF _Toc29371 \h </w:instrText>
          </w:r>
          <w:r>
            <w:rPr>
              <w:sz w:val="24"/>
              <w:szCs w:val="24"/>
            </w:rPr>
            <w:fldChar w:fldCharType="separate"/>
          </w:r>
          <w:r>
            <w:rPr>
              <w:sz w:val="24"/>
              <w:szCs w:val="24"/>
            </w:rPr>
            <w:t>8</w:t>
          </w:r>
          <w:r>
            <w:rPr>
              <w:sz w:val="24"/>
              <w:szCs w:val="24"/>
            </w:rPr>
            <w:fldChar w:fldCharType="end"/>
          </w:r>
          <w:r>
            <w:rPr>
              <w:sz w:val="24"/>
              <w:szCs w:val="24"/>
            </w:rPr>
            <w:fldChar w:fldCharType="end"/>
          </w:r>
        </w:p>
        <w:p>
          <w:pPr>
            <w:pStyle w:val="52"/>
            <w:tabs>
              <w:tab w:val="right" w:leader="dot" w:pos="8844"/>
            </w:tabs>
            <w:ind w:left="420"/>
            <w:rPr>
              <w:sz w:val="24"/>
              <w:szCs w:val="24"/>
            </w:rPr>
          </w:pPr>
          <w:r>
            <w:fldChar w:fldCharType="begin"/>
          </w:r>
          <w:r>
            <w:instrText xml:space="preserve"> HYPERLINK \l "_Toc14914" </w:instrText>
          </w:r>
          <w:r>
            <w:fldChar w:fldCharType="separate"/>
          </w:r>
          <w:r>
            <w:rPr>
              <w:rFonts w:ascii="Times New Roman" w:hAnsi="Times New Roman" w:eastAsia="黑体" w:cs="Times New Roman"/>
              <w:sz w:val="24"/>
              <w:szCs w:val="24"/>
            </w:rPr>
            <w:t xml:space="preserve">三、 </w:t>
          </w:r>
          <w:r>
            <w:rPr>
              <w:rFonts w:eastAsia="黑体"/>
              <w:sz w:val="24"/>
              <w:szCs w:val="24"/>
            </w:rPr>
            <w:t>支</w:t>
          </w:r>
          <w:r>
            <w:rPr>
              <w:rFonts w:ascii="Times New Roman" w:hAnsi="Times New Roman" w:eastAsia="黑体" w:cs="Times New Roman"/>
              <w:sz w:val="24"/>
              <w:szCs w:val="24"/>
            </w:rPr>
            <w:t>出决算情况说明</w:t>
          </w:r>
          <w:r>
            <w:rPr>
              <w:sz w:val="24"/>
              <w:szCs w:val="24"/>
            </w:rPr>
            <w:tab/>
          </w:r>
          <w:r>
            <w:rPr>
              <w:sz w:val="24"/>
              <w:szCs w:val="24"/>
            </w:rPr>
            <w:fldChar w:fldCharType="begin"/>
          </w:r>
          <w:r>
            <w:rPr>
              <w:sz w:val="24"/>
              <w:szCs w:val="24"/>
            </w:rPr>
            <w:instrText xml:space="preserve"> PAGEREF _Toc14914 \h </w:instrText>
          </w:r>
          <w:r>
            <w:rPr>
              <w:sz w:val="24"/>
              <w:szCs w:val="24"/>
            </w:rPr>
            <w:fldChar w:fldCharType="separate"/>
          </w:r>
          <w:r>
            <w:rPr>
              <w:sz w:val="24"/>
              <w:szCs w:val="24"/>
            </w:rPr>
            <w:t>9</w:t>
          </w:r>
          <w:r>
            <w:rPr>
              <w:sz w:val="24"/>
              <w:szCs w:val="24"/>
            </w:rPr>
            <w:fldChar w:fldCharType="end"/>
          </w:r>
          <w:r>
            <w:rPr>
              <w:sz w:val="24"/>
              <w:szCs w:val="24"/>
            </w:rPr>
            <w:fldChar w:fldCharType="end"/>
          </w:r>
        </w:p>
        <w:p>
          <w:pPr>
            <w:pStyle w:val="52"/>
            <w:tabs>
              <w:tab w:val="right" w:leader="dot" w:pos="8844"/>
            </w:tabs>
            <w:ind w:left="420"/>
            <w:rPr>
              <w:sz w:val="24"/>
              <w:szCs w:val="24"/>
            </w:rPr>
          </w:pPr>
          <w:r>
            <w:fldChar w:fldCharType="begin"/>
          </w:r>
          <w:r>
            <w:instrText xml:space="preserve"> HYPERLINK \l "_Toc26982" </w:instrText>
          </w:r>
          <w:r>
            <w:fldChar w:fldCharType="separate"/>
          </w:r>
          <w:r>
            <w:rPr>
              <w:rFonts w:eastAsia="黑体"/>
              <w:sz w:val="24"/>
              <w:szCs w:val="24"/>
            </w:rPr>
            <w:t>四、财</w:t>
          </w:r>
          <w:r>
            <w:rPr>
              <w:rFonts w:ascii="Times New Roman" w:hAnsi="Times New Roman" w:eastAsia="黑体" w:cs="Times New Roman"/>
              <w:sz w:val="24"/>
              <w:szCs w:val="24"/>
            </w:rPr>
            <w:t>政拨款收入支出决算总体情况说明</w:t>
          </w:r>
          <w:r>
            <w:rPr>
              <w:sz w:val="24"/>
              <w:szCs w:val="24"/>
            </w:rPr>
            <w:tab/>
          </w:r>
          <w:r>
            <w:rPr>
              <w:sz w:val="24"/>
              <w:szCs w:val="24"/>
            </w:rPr>
            <w:fldChar w:fldCharType="begin"/>
          </w:r>
          <w:r>
            <w:rPr>
              <w:sz w:val="24"/>
              <w:szCs w:val="24"/>
            </w:rPr>
            <w:instrText xml:space="preserve"> PAGEREF _Toc26982 \h </w:instrText>
          </w:r>
          <w:r>
            <w:rPr>
              <w:sz w:val="24"/>
              <w:szCs w:val="24"/>
            </w:rPr>
            <w:fldChar w:fldCharType="separate"/>
          </w:r>
          <w:r>
            <w:rPr>
              <w:sz w:val="24"/>
              <w:szCs w:val="24"/>
            </w:rPr>
            <w:t>10</w:t>
          </w:r>
          <w:r>
            <w:rPr>
              <w:sz w:val="24"/>
              <w:szCs w:val="24"/>
            </w:rPr>
            <w:fldChar w:fldCharType="end"/>
          </w:r>
          <w:r>
            <w:rPr>
              <w:sz w:val="24"/>
              <w:szCs w:val="24"/>
            </w:rPr>
            <w:fldChar w:fldCharType="end"/>
          </w:r>
        </w:p>
        <w:p>
          <w:pPr>
            <w:pStyle w:val="52"/>
            <w:tabs>
              <w:tab w:val="right" w:leader="dot" w:pos="8844"/>
            </w:tabs>
            <w:ind w:left="420"/>
            <w:rPr>
              <w:sz w:val="24"/>
              <w:szCs w:val="24"/>
            </w:rPr>
          </w:pPr>
          <w:r>
            <w:fldChar w:fldCharType="begin"/>
          </w:r>
          <w:r>
            <w:instrText xml:space="preserve"> HYPERLINK \l "_Toc9669" </w:instrText>
          </w:r>
          <w:r>
            <w:fldChar w:fldCharType="separate"/>
          </w:r>
          <w:r>
            <w:rPr>
              <w:rFonts w:eastAsia="黑体"/>
              <w:sz w:val="24"/>
              <w:szCs w:val="24"/>
            </w:rPr>
            <w:t>五、一</w:t>
          </w:r>
          <w:r>
            <w:rPr>
              <w:rFonts w:ascii="Times New Roman" w:hAnsi="Times New Roman" w:eastAsia="黑体" w:cs="Times New Roman"/>
              <w:sz w:val="24"/>
              <w:szCs w:val="24"/>
            </w:rPr>
            <w:t>般公共预算财政拨款支出决算情况说明</w:t>
          </w:r>
          <w:r>
            <w:rPr>
              <w:sz w:val="24"/>
              <w:szCs w:val="24"/>
            </w:rPr>
            <w:tab/>
          </w:r>
          <w:r>
            <w:rPr>
              <w:sz w:val="24"/>
              <w:szCs w:val="24"/>
            </w:rPr>
            <w:fldChar w:fldCharType="begin"/>
          </w:r>
          <w:r>
            <w:rPr>
              <w:sz w:val="24"/>
              <w:szCs w:val="24"/>
            </w:rPr>
            <w:instrText xml:space="preserve"> PAGEREF _Toc9669 \h </w:instrText>
          </w:r>
          <w:r>
            <w:rPr>
              <w:sz w:val="24"/>
              <w:szCs w:val="24"/>
            </w:rPr>
            <w:fldChar w:fldCharType="separate"/>
          </w:r>
          <w:r>
            <w:rPr>
              <w:sz w:val="24"/>
              <w:szCs w:val="24"/>
            </w:rPr>
            <w:t>10</w:t>
          </w:r>
          <w:r>
            <w:rPr>
              <w:sz w:val="24"/>
              <w:szCs w:val="24"/>
            </w:rPr>
            <w:fldChar w:fldCharType="end"/>
          </w:r>
          <w:r>
            <w:rPr>
              <w:sz w:val="24"/>
              <w:szCs w:val="24"/>
            </w:rPr>
            <w:fldChar w:fldCharType="end"/>
          </w:r>
        </w:p>
        <w:p>
          <w:pPr>
            <w:pStyle w:val="52"/>
            <w:tabs>
              <w:tab w:val="right" w:leader="dot" w:pos="8844"/>
            </w:tabs>
            <w:ind w:left="0" w:leftChars="0" w:firstLine="400" w:firstLineChars="200"/>
            <w:rPr>
              <w:sz w:val="24"/>
              <w:szCs w:val="24"/>
            </w:rPr>
          </w:pPr>
          <w:r>
            <w:fldChar w:fldCharType="begin"/>
          </w:r>
          <w:r>
            <w:instrText xml:space="preserve"> HYPERLINK \l "_Toc5252" </w:instrText>
          </w:r>
          <w:r>
            <w:fldChar w:fldCharType="separate"/>
          </w:r>
          <w:r>
            <w:rPr>
              <w:rFonts w:eastAsia="黑体"/>
              <w:sz w:val="24"/>
              <w:szCs w:val="24"/>
            </w:rPr>
            <w:t>六、一</w:t>
          </w:r>
          <w:r>
            <w:rPr>
              <w:rFonts w:ascii="Times New Roman" w:hAnsi="Times New Roman" w:eastAsia="黑体" w:cs="Times New Roman"/>
              <w:sz w:val="24"/>
              <w:szCs w:val="24"/>
            </w:rPr>
            <w:t>般公共预算财政拨款基本支出决算情况说明</w:t>
          </w:r>
          <w:r>
            <w:rPr>
              <w:sz w:val="24"/>
              <w:szCs w:val="24"/>
            </w:rPr>
            <w:tab/>
          </w:r>
          <w:r>
            <w:rPr>
              <w:sz w:val="24"/>
              <w:szCs w:val="24"/>
            </w:rPr>
            <w:fldChar w:fldCharType="begin"/>
          </w:r>
          <w:r>
            <w:rPr>
              <w:sz w:val="24"/>
              <w:szCs w:val="24"/>
            </w:rPr>
            <w:instrText xml:space="preserve"> PAGEREF _Toc5252 \h </w:instrText>
          </w:r>
          <w:r>
            <w:rPr>
              <w:sz w:val="24"/>
              <w:szCs w:val="24"/>
            </w:rPr>
            <w:fldChar w:fldCharType="separate"/>
          </w:r>
          <w:r>
            <w:rPr>
              <w:sz w:val="24"/>
              <w:szCs w:val="24"/>
            </w:rPr>
            <w:t>14</w:t>
          </w:r>
          <w:r>
            <w:rPr>
              <w:sz w:val="24"/>
              <w:szCs w:val="24"/>
            </w:rPr>
            <w:fldChar w:fldCharType="end"/>
          </w:r>
          <w:r>
            <w:rPr>
              <w:sz w:val="24"/>
              <w:szCs w:val="24"/>
            </w:rPr>
            <w:fldChar w:fldCharType="end"/>
          </w:r>
        </w:p>
        <w:p>
          <w:pPr>
            <w:pStyle w:val="52"/>
            <w:tabs>
              <w:tab w:val="right" w:leader="dot" w:pos="8844"/>
            </w:tabs>
            <w:ind w:left="420"/>
            <w:rPr>
              <w:sz w:val="24"/>
              <w:szCs w:val="24"/>
            </w:rPr>
          </w:pPr>
          <w:r>
            <w:fldChar w:fldCharType="begin"/>
          </w:r>
          <w:r>
            <w:instrText xml:space="preserve"> HYPERLINK \l "_Toc32306" </w:instrText>
          </w:r>
          <w:r>
            <w:fldChar w:fldCharType="separate"/>
          </w:r>
          <w:r>
            <w:rPr>
              <w:rFonts w:eastAsia="黑体"/>
              <w:sz w:val="24"/>
              <w:szCs w:val="24"/>
            </w:rPr>
            <w:t>七、</w:t>
          </w:r>
          <w:r>
            <w:rPr>
              <w:rFonts w:ascii="Times New Roman" w:hAnsi="Times New Roman" w:eastAsia="黑体" w:cs="Times New Roman"/>
              <w:sz w:val="24"/>
              <w:szCs w:val="24"/>
            </w:rPr>
            <w:t>财政拨款“三公”经费支出决算情况说明</w:t>
          </w:r>
          <w:r>
            <w:rPr>
              <w:sz w:val="24"/>
              <w:szCs w:val="24"/>
            </w:rPr>
            <w:tab/>
          </w:r>
          <w:r>
            <w:rPr>
              <w:sz w:val="24"/>
              <w:szCs w:val="24"/>
            </w:rPr>
            <w:fldChar w:fldCharType="begin"/>
          </w:r>
          <w:r>
            <w:rPr>
              <w:sz w:val="24"/>
              <w:szCs w:val="24"/>
            </w:rPr>
            <w:instrText xml:space="preserve"> PAGEREF _Toc32306 \h </w:instrText>
          </w:r>
          <w:r>
            <w:rPr>
              <w:sz w:val="24"/>
              <w:szCs w:val="24"/>
            </w:rPr>
            <w:fldChar w:fldCharType="separate"/>
          </w:r>
          <w:r>
            <w:rPr>
              <w:sz w:val="24"/>
              <w:szCs w:val="24"/>
            </w:rPr>
            <w:t>14</w:t>
          </w:r>
          <w:r>
            <w:rPr>
              <w:sz w:val="24"/>
              <w:szCs w:val="24"/>
            </w:rPr>
            <w:fldChar w:fldCharType="end"/>
          </w:r>
          <w:r>
            <w:rPr>
              <w:sz w:val="24"/>
              <w:szCs w:val="24"/>
            </w:rPr>
            <w:fldChar w:fldCharType="end"/>
          </w:r>
        </w:p>
        <w:p>
          <w:pPr>
            <w:pStyle w:val="52"/>
            <w:tabs>
              <w:tab w:val="right" w:leader="dot" w:pos="8844"/>
            </w:tabs>
            <w:ind w:left="420"/>
            <w:rPr>
              <w:sz w:val="24"/>
              <w:szCs w:val="24"/>
            </w:rPr>
          </w:pPr>
          <w:r>
            <w:fldChar w:fldCharType="begin"/>
          </w:r>
          <w:r>
            <w:instrText xml:space="preserve"> HYPERLINK \l "_Toc11398" </w:instrText>
          </w:r>
          <w:r>
            <w:fldChar w:fldCharType="separate"/>
          </w:r>
          <w:r>
            <w:rPr>
              <w:rFonts w:eastAsia="黑体"/>
              <w:sz w:val="24"/>
              <w:szCs w:val="24"/>
            </w:rPr>
            <w:t>八、</w:t>
          </w:r>
          <w:r>
            <w:rPr>
              <w:rFonts w:ascii="Times New Roman" w:hAnsi="Times New Roman" w:eastAsia="黑体" w:cs="Times New Roman"/>
              <w:sz w:val="24"/>
              <w:szCs w:val="24"/>
            </w:rPr>
            <w:t>政府性基金预算支出决算情况说明</w:t>
          </w:r>
          <w:r>
            <w:rPr>
              <w:sz w:val="24"/>
              <w:szCs w:val="24"/>
            </w:rPr>
            <w:tab/>
          </w:r>
          <w:r>
            <w:rPr>
              <w:sz w:val="24"/>
              <w:szCs w:val="24"/>
            </w:rPr>
            <w:fldChar w:fldCharType="begin"/>
          </w:r>
          <w:r>
            <w:rPr>
              <w:sz w:val="24"/>
              <w:szCs w:val="24"/>
            </w:rPr>
            <w:instrText xml:space="preserve"> PAGEREF _Toc11398 \h </w:instrText>
          </w:r>
          <w:r>
            <w:rPr>
              <w:sz w:val="24"/>
              <w:szCs w:val="24"/>
            </w:rPr>
            <w:fldChar w:fldCharType="separate"/>
          </w:r>
          <w:r>
            <w:rPr>
              <w:sz w:val="24"/>
              <w:szCs w:val="24"/>
            </w:rPr>
            <w:t>17</w:t>
          </w:r>
          <w:r>
            <w:rPr>
              <w:sz w:val="24"/>
              <w:szCs w:val="24"/>
            </w:rPr>
            <w:fldChar w:fldCharType="end"/>
          </w:r>
          <w:r>
            <w:rPr>
              <w:sz w:val="24"/>
              <w:szCs w:val="24"/>
            </w:rPr>
            <w:fldChar w:fldCharType="end"/>
          </w:r>
        </w:p>
        <w:p>
          <w:pPr>
            <w:pStyle w:val="52"/>
            <w:tabs>
              <w:tab w:val="right" w:leader="dot" w:pos="8844"/>
            </w:tabs>
            <w:ind w:left="420"/>
            <w:rPr>
              <w:sz w:val="24"/>
              <w:szCs w:val="24"/>
            </w:rPr>
          </w:pPr>
          <w:r>
            <w:fldChar w:fldCharType="begin"/>
          </w:r>
          <w:r>
            <w:instrText xml:space="preserve"> HYPERLINK \l "_Toc292" </w:instrText>
          </w:r>
          <w:r>
            <w:fldChar w:fldCharType="separate"/>
          </w:r>
          <w:r>
            <w:rPr>
              <w:rFonts w:hint="eastAsia" w:ascii="Times New Roman" w:hAnsi="Times New Roman" w:eastAsia="黑体" w:cs="Times New Roman"/>
              <w:sz w:val="24"/>
              <w:szCs w:val="24"/>
            </w:rPr>
            <w:t xml:space="preserve">九、 </w:t>
          </w:r>
          <w:r>
            <w:rPr>
              <w:rFonts w:ascii="Times New Roman" w:hAnsi="Times New Roman" w:eastAsia="黑体" w:cs="Times New Roman"/>
              <w:sz w:val="24"/>
              <w:szCs w:val="24"/>
            </w:rPr>
            <w:t>国有资本经营预算支出决算情况说明</w:t>
          </w:r>
          <w:r>
            <w:rPr>
              <w:sz w:val="24"/>
              <w:szCs w:val="24"/>
            </w:rPr>
            <w:tab/>
          </w:r>
          <w:r>
            <w:rPr>
              <w:sz w:val="24"/>
              <w:szCs w:val="24"/>
            </w:rPr>
            <w:fldChar w:fldCharType="begin"/>
          </w:r>
          <w:r>
            <w:rPr>
              <w:sz w:val="24"/>
              <w:szCs w:val="24"/>
            </w:rPr>
            <w:instrText xml:space="preserve"> PAGEREF _Toc292 \h </w:instrText>
          </w:r>
          <w:r>
            <w:rPr>
              <w:sz w:val="24"/>
              <w:szCs w:val="24"/>
            </w:rPr>
            <w:fldChar w:fldCharType="separate"/>
          </w:r>
          <w:r>
            <w:rPr>
              <w:sz w:val="24"/>
              <w:szCs w:val="24"/>
            </w:rPr>
            <w:t>17</w:t>
          </w:r>
          <w:r>
            <w:rPr>
              <w:sz w:val="24"/>
              <w:szCs w:val="24"/>
            </w:rPr>
            <w:fldChar w:fldCharType="end"/>
          </w:r>
          <w:r>
            <w:rPr>
              <w:sz w:val="24"/>
              <w:szCs w:val="24"/>
            </w:rPr>
            <w:fldChar w:fldCharType="end"/>
          </w:r>
        </w:p>
        <w:p>
          <w:pPr>
            <w:pStyle w:val="52"/>
            <w:tabs>
              <w:tab w:val="right" w:leader="dot" w:pos="8844"/>
            </w:tabs>
            <w:ind w:left="420"/>
            <w:rPr>
              <w:sz w:val="24"/>
              <w:szCs w:val="24"/>
            </w:rPr>
          </w:pPr>
          <w:r>
            <w:fldChar w:fldCharType="begin"/>
          </w:r>
          <w:r>
            <w:instrText xml:space="preserve"> HYPERLINK \l "_Toc10984" </w:instrText>
          </w:r>
          <w:r>
            <w:fldChar w:fldCharType="separate"/>
          </w:r>
          <w:r>
            <w:rPr>
              <w:rFonts w:hint="eastAsia" w:ascii="Times New Roman" w:hAnsi="Times New Roman" w:eastAsia="黑体" w:cs="Times New Roman"/>
              <w:sz w:val="24"/>
              <w:szCs w:val="24"/>
            </w:rPr>
            <w:t xml:space="preserve">十、 </w:t>
          </w:r>
          <w:r>
            <w:rPr>
              <w:rFonts w:ascii="Times New Roman" w:hAnsi="Times New Roman" w:eastAsia="黑体" w:cs="Times New Roman"/>
              <w:sz w:val="24"/>
              <w:szCs w:val="24"/>
            </w:rPr>
            <w:t>其他重要事项的情况说明</w:t>
          </w:r>
          <w:r>
            <w:rPr>
              <w:sz w:val="24"/>
              <w:szCs w:val="24"/>
            </w:rPr>
            <w:tab/>
          </w:r>
          <w:r>
            <w:rPr>
              <w:sz w:val="24"/>
              <w:szCs w:val="24"/>
            </w:rPr>
            <w:fldChar w:fldCharType="begin"/>
          </w:r>
          <w:r>
            <w:rPr>
              <w:sz w:val="24"/>
              <w:szCs w:val="24"/>
            </w:rPr>
            <w:instrText xml:space="preserve"> PAGEREF _Toc10984 \h </w:instrText>
          </w:r>
          <w:r>
            <w:rPr>
              <w:sz w:val="24"/>
              <w:szCs w:val="24"/>
            </w:rPr>
            <w:fldChar w:fldCharType="separate"/>
          </w:r>
          <w:r>
            <w:rPr>
              <w:sz w:val="24"/>
              <w:szCs w:val="24"/>
            </w:rPr>
            <w:t>17</w:t>
          </w:r>
          <w:r>
            <w:rPr>
              <w:sz w:val="24"/>
              <w:szCs w:val="24"/>
            </w:rPr>
            <w:fldChar w:fldCharType="end"/>
          </w:r>
          <w:r>
            <w:rPr>
              <w:sz w:val="24"/>
              <w:szCs w:val="24"/>
            </w:rPr>
            <w:fldChar w:fldCharType="end"/>
          </w:r>
        </w:p>
        <w:p>
          <w:pPr>
            <w:pStyle w:val="51"/>
            <w:tabs>
              <w:tab w:val="right" w:leader="dot" w:pos="8844"/>
            </w:tabs>
            <w:rPr>
              <w:sz w:val="24"/>
              <w:szCs w:val="24"/>
            </w:rPr>
          </w:pPr>
          <w:r>
            <w:fldChar w:fldCharType="begin"/>
          </w:r>
          <w:r>
            <w:instrText xml:space="preserve"> HYPERLINK \l "_Toc4396" </w:instrText>
          </w:r>
          <w:r>
            <w:fldChar w:fldCharType="separate"/>
          </w:r>
          <w:r>
            <w:rPr>
              <w:rFonts w:hint="eastAsia" w:eastAsia="黑体"/>
              <w:sz w:val="24"/>
              <w:szCs w:val="24"/>
            </w:rPr>
            <w:t xml:space="preserve">第三部分 </w:t>
          </w:r>
          <w:r>
            <w:rPr>
              <w:rFonts w:eastAsia="黑体"/>
              <w:sz w:val="24"/>
              <w:szCs w:val="24"/>
            </w:rPr>
            <w:t>名词解释</w:t>
          </w:r>
          <w:r>
            <w:rPr>
              <w:sz w:val="24"/>
              <w:szCs w:val="24"/>
            </w:rPr>
            <w:tab/>
          </w:r>
          <w:r>
            <w:rPr>
              <w:sz w:val="24"/>
              <w:szCs w:val="24"/>
            </w:rPr>
            <w:fldChar w:fldCharType="begin"/>
          </w:r>
          <w:r>
            <w:rPr>
              <w:sz w:val="24"/>
              <w:szCs w:val="24"/>
            </w:rPr>
            <w:instrText xml:space="preserve"> PAGEREF _Toc4396 \h </w:instrText>
          </w:r>
          <w:r>
            <w:rPr>
              <w:sz w:val="24"/>
              <w:szCs w:val="24"/>
            </w:rPr>
            <w:fldChar w:fldCharType="separate"/>
          </w:r>
          <w:r>
            <w:rPr>
              <w:sz w:val="24"/>
              <w:szCs w:val="24"/>
            </w:rPr>
            <w:t>19</w:t>
          </w:r>
          <w:r>
            <w:rPr>
              <w:sz w:val="24"/>
              <w:szCs w:val="24"/>
            </w:rPr>
            <w:fldChar w:fldCharType="end"/>
          </w:r>
          <w:r>
            <w:rPr>
              <w:sz w:val="24"/>
              <w:szCs w:val="24"/>
            </w:rPr>
            <w:fldChar w:fldCharType="end"/>
          </w:r>
        </w:p>
        <w:p>
          <w:pPr>
            <w:pStyle w:val="52"/>
            <w:tabs>
              <w:tab w:val="right" w:leader="dot" w:pos="8844"/>
            </w:tabs>
            <w:ind w:left="420"/>
            <w:rPr>
              <w:sz w:val="24"/>
              <w:szCs w:val="24"/>
            </w:rPr>
          </w:pPr>
        </w:p>
        <w:p>
          <w:pPr>
            <w:pStyle w:val="51"/>
            <w:tabs>
              <w:tab w:val="right" w:leader="dot" w:pos="8844"/>
            </w:tabs>
            <w:rPr>
              <w:sz w:val="24"/>
              <w:szCs w:val="24"/>
            </w:rPr>
          </w:pPr>
          <w:r>
            <w:fldChar w:fldCharType="begin"/>
          </w:r>
          <w:r>
            <w:instrText xml:space="preserve"> HYPERLINK \l "_Toc9623" </w:instrText>
          </w:r>
          <w:r>
            <w:fldChar w:fldCharType="separate"/>
          </w:r>
          <w:r>
            <w:rPr>
              <w:rFonts w:eastAsia="黑体"/>
              <w:sz w:val="24"/>
              <w:szCs w:val="24"/>
            </w:rPr>
            <w:t>第四部分 附件</w:t>
          </w:r>
          <w:r>
            <w:rPr>
              <w:sz w:val="24"/>
              <w:szCs w:val="24"/>
            </w:rPr>
            <w:tab/>
          </w:r>
          <w:r>
            <w:rPr>
              <w:sz w:val="24"/>
              <w:szCs w:val="24"/>
            </w:rPr>
            <w:fldChar w:fldCharType="begin"/>
          </w:r>
          <w:r>
            <w:rPr>
              <w:sz w:val="24"/>
              <w:szCs w:val="24"/>
            </w:rPr>
            <w:instrText xml:space="preserve"> PAGEREF _Toc9623 \h </w:instrText>
          </w:r>
          <w:r>
            <w:rPr>
              <w:sz w:val="24"/>
              <w:szCs w:val="24"/>
            </w:rPr>
            <w:fldChar w:fldCharType="separate"/>
          </w:r>
          <w:r>
            <w:rPr>
              <w:sz w:val="24"/>
              <w:szCs w:val="24"/>
            </w:rPr>
            <w:t>21</w:t>
          </w:r>
          <w:r>
            <w:rPr>
              <w:sz w:val="24"/>
              <w:szCs w:val="24"/>
            </w:rPr>
            <w:fldChar w:fldCharType="end"/>
          </w:r>
          <w:r>
            <w:rPr>
              <w:sz w:val="24"/>
              <w:szCs w:val="24"/>
            </w:rPr>
            <w:fldChar w:fldCharType="end"/>
          </w:r>
        </w:p>
        <w:p>
          <w:pPr>
            <w:pStyle w:val="51"/>
            <w:tabs>
              <w:tab w:val="right" w:leader="dot" w:pos="8844"/>
            </w:tabs>
            <w:rPr>
              <w:sz w:val="24"/>
              <w:szCs w:val="24"/>
            </w:rPr>
          </w:pPr>
          <w:r>
            <w:fldChar w:fldCharType="begin"/>
          </w:r>
          <w:r>
            <w:instrText xml:space="preserve"> HYPERLINK \l "_Toc8635" </w:instrText>
          </w:r>
          <w:r>
            <w:fldChar w:fldCharType="separate"/>
          </w:r>
          <w:r>
            <w:rPr>
              <w:rFonts w:eastAsia="黑体"/>
              <w:sz w:val="24"/>
              <w:szCs w:val="24"/>
            </w:rPr>
            <w:t>第五部分 附表</w:t>
          </w:r>
          <w:r>
            <w:rPr>
              <w:sz w:val="24"/>
              <w:szCs w:val="24"/>
            </w:rPr>
            <w:tab/>
          </w:r>
          <w:r>
            <w:rPr>
              <w:sz w:val="24"/>
              <w:szCs w:val="24"/>
            </w:rPr>
            <w:fldChar w:fldCharType="begin"/>
          </w:r>
          <w:r>
            <w:rPr>
              <w:sz w:val="24"/>
              <w:szCs w:val="24"/>
            </w:rPr>
            <w:instrText xml:space="preserve"> PAGEREF _Toc8635 \h </w:instrText>
          </w:r>
          <w:r>
            <w:rPr>
              <w:sz w:val="24"/>
              <w:szCs w:val="24"/>
            </w:rPr>
            <w:fldChar w:fldCharType="separate"/>
          </w:r>
          <w:r>
            <w:rPr>
              <w:sz w:val="24"/>
              <w:szCs w:val="24"/>
            </w:rPr>
            <w:t>36</w:t>
          </w:r>
          <w:r>
            <w:rPr>
              <w:sz w:val="24"/>
              <w:szCs w:val="24"/>
            </w:rPr>
            <w:fldChar w:fldCharType="end"/>
          </w:r>
          <w:r>
            <w:rPr>
              <w:sz w:val="24"/>
              <w:szCs w:val="24"/>
            </w:rPr>
            <w:fldChar w:fldCharType="end"/>
          </w:r>
        </w:p>
        <w:p>
          <w:pPr>
            <w:pStyle w:val="52"/>
            <w:tabs>
              <w:tab w:val="right" w:leader="dot" w:pos="8844"/>
            </w:tabs>
            <w:ind w:left="420"/>
            <w:rPr>
              <w:sz w:val="24"/>
              <w:szCs w:val="24"/>
            </w:rPr>
          </w:pPr>
          <w:r>
            <w:fldChar w:fldCharType="begin"/>
          </w:r>
          <w:r>
            <w:instrText xml:space="preserve"> HYPERLINK \l "_Toc2183" </w:instrText>
          </w:r>
          <w:r>
            <w:fldChar w:fldCharType="separate"/>
          </w:r>
          <w:r>
            <w:rPr>
              <w:rFonts w:ascii="Times New Roman" w:hAnsi="Times New Roman" w:eastAsia="仿宋" w:cs="Times New Roman"/>
              <w:sz w:val="24"/>
              <w:szCs w:val="24"/>
            </w:rPr>
            <w:t>一、收入支出决算总表</w:t>
          </w:r>
          <w:r>
            <w:rPr>
              <w:sz w:val="24"/>
              <w:szCs w:val="24"/>
            </w:rPr>
            <w:tab/>
          </w:r>
          <w:r>
            <w:rPr>
              <w:sz w:val="24"/>
              <w:szCs w:val="24"/>
            </w:rPr>
            <w:fldChar w:fldCharType="begin"/>
          </w:r>
          <w:r>
            <w:rPr>
              <w:sz w:val="24"/>
              <w:szCs w:val="24"/>
            </w:rPr>
            <w:instrText xml:space="preserve"> PAGEREF _Toc2183 \h </w:instrText>
          </w:r>
          <w:r>
            <w:rPr>
              <w:sz w:val="24"/>
              <w:szCs w:val="24"/>
            </w:rPr>
            <w:fldChar w:fldCharType="separate"/>
          </w:r>
          <w:r>
            <w:rPr>
              <w:sz w:val="24"/>
              <w:szCs w:val="24"/>
            </w:rPr>
            <w:t>36</w:t>
          </w:r>
          <w:r>
            <w:rPr>
              <w:sz w:val="24"/>
              <w:szCs w:val="24"/>
            </w:rPr>
            <w:fldChar w:fldCharType="end"/>
          </w:r>
          <w:r>
            <w:rPr>
              <w:sz w:val="24"/>
              <w:szCs w:val="24"/>
            </w:rPr>
            <w:fldChar w:fldCharType="end"/>
          </w:r>
        </w:p>
        <w:p>
          <w:pPr>
            <w:pStyle w:val="52"/>
            <w:tabs>
              <w:tab w:val="right" w:leader="dot" w:pos="8844"/>
            </w:tabs>
            <w:ind w:left="420"/>
            <w:rPr>
              <w:sz w:val="24"/>
              <w:szCs w:val="24"/>
            </w:rPr>
          </w:pPr>
          <w:r>
            <w:fldChar w:fldCharType="begin"/>
          </w:r>
          <w:r>
            <w:instrText xml:space="preserve"> HYPERLINK \l "_Toc15835" </w:instrText>
          </w:r>
          <w:r>
            <w:fldChar w:fldCharType="separate"/>
          </w:r>
          <w:r>
            <w:rPr>
              <w:rFonts w:ascii="Times New Roman" w:hAnsi="Times New Roman" w:eastAsia="仿宋" w:cs="Times New Roman"/>
              <w:sz w:val="24"/>
              <w:szCs w:val="24"/>
            </w:rPr>
            <w:t>二、收入决算表</w:t>
          </w:r>
          <w:r>
            <w:rPr>
              <w:sz w:val="24"/>
              <w:szCs w:val="24"/>
            </w:rPr>
            <w:tab/>
          </w:r>
          <w:r>
            <w:rPr>
              <w:sz w:val="24"/>
              <w:szCs w:val="24"/>
            </w:rPr>
            <w:fldChar w:fldCharType="begin"/>
          </w:r>
          <w:r>
            <w:rPr>
              <w:sz w:val="24"/>
              <w:szCs w:val="24"/>
            </w:rPr>
            <w:instrText xml:space="preserve"> PAGEREF _Toc15835 \h </w:instrText>
          </w:r>
          <w:r>
            <w:rPr>
              <w:sz w:val="24"/>
              <w:szCs w:val="24"/>
            </w:rPr>
            <w:fldChar w:fldCharType="separate"/>
          </w:r>
          <w:r>
            <w:rPr>
              <w:sz w:val="24"/>
              <w:szCs w:val="24"/>
            </w:rPr>
            <w:t>36</w:t>
          </w:r>
          <w:r>
            <w:rPr>
              <w:sz w:val="24"/>
              <w:szCs w:val="24"/>
            </w:rPr>
            <w:fldChar w:fldCharType="end"/>
          </w:r>
          <w:r>
            <w:rPr>
              <w:sz w:val="24"/>
              <w:szCs w:val="24"/>
            </w:rPr>
            <w:fldChar w:fldCharType="end"/>
          </w:r>
        </w:p>
        <w:p>
          <w:pPr>
            <w:pStyle w:val="52"/>
            <w:tabs>
              <w:tab w:val="right" w:leader="dot" w:pos="8844"/>
            </w:tabs>
            <w:ind w:left="420"/>
            <w:rPr>
              <w:sz w:val="24"/>
              <w:szCs w:val="24"/>
            </w:rPr>
          </w:pPr>
          <w:r>
            <w:fldChar w:fldCharType="begin"/>
          </w:r>
          <w:r>
            <w:instrText xml:space="preserve"> HYPERLINK \l "_Toc1191" </w:instrText>
          </w:r>
          <w:r>
            <w:fldChar w:fldCharType="separate"/>
          </w:r>
          <w:r>
            <w:rPr>
              <w:rFonts w:ascii="Times New Roman" w:hAnsi="Times New Roman" w:eastAsia="仿宋" w:cs="Times New Roman"/>
              <w:sz w:val="24"/>
              <w:szCs w:val="24"/>
            </w:rPr>
            <w:t>三、支出决算表</w:t>
          </w:r>
          <w:r>
            <w:rPr>
              <w:sz w:val="24"/>
              <w:szCs w:val="24"/>
            </w:rPr>
            <w:tab/>
          </w:r>
          <w:r>
            <w:rPr>
              <w:sz w:val="24"/>
              <w:szCs w:val="24"/>
            </w:rPr>
            <w:fldChar w:fldCharType="begin"/>
          </w:r>
          <w:r>
            <w:rPr>
              <w:sz w:val="24"/>
              <w:szCs w:val="24"/>
            </w:rPr>
            <w:instrText xml:space="preserve"> PAGEREF _Toc1191 \h </w:instrText>
          </w:r>
          <w:r>
            <w:rPr>
              <w:sz w:val="24"/>
              <w:szCs w:val="24"/>
            </w:rPr>
            <w:fldChar w:fldCharType="separate"/>
          </w:r>
          <w:r>
            <w:rPr>
              <w:sz w:val="24"/>
              <w:szCs w:val="24"/>
            </w:rPr>
            <w:t>36</w:t>
          </w:r>
          <w:r>
            <w:rPr>
              <w:sz w:val="24"/>
              <w:szCs w:val="24"/>
            </w:rPr>
            <w:fldChar w:fldCharType="end"/>
          </w:r>
          <w:r>
            <w:rPr>
              <w:sz w:val="24"/>
              <w:szCs w:val="24"/>
            </w:rPr>
            <w:fldChar w:fldCharType="end"/>
          </w:r>
        </w:p>
        <w:p>
          <w:pPr>
            <w:pStyle w:val="52"/>
            <w:tabs>
              <w:tab w:val="right" w:leader="dot" w:pos="8844"/>
            </w:tabs>
            <w:ind w:left="420"/>
            <w:rPr>
              <w:sz w:val="24"/>
              <w:szCs w:val="24"/>
            </w:rPr>
          </w:pPr>
          <w:r>
            <w:fldChar w:fldCharType="begin"/>
          </w:r>
          <w:r>
            <w:instrText xml:space="preserve"> HYPERLINK \l "_Toc20508" </w:instrText>
          </w:r>
          <w:r>
            <w:fldChar w:fldCharType="separate"/>
          </w:r>
          <w:r>
            <w:rPr>
              <w:rFonts w:ascii="Times New Roman" w:hAnsi="Times New Roman" w:eastAsia="仿宋" w:cs="Times New Roman"/>
              <w:sz w:val="24"/>
              <w:szCs w:val="24"/>
            </w:rPr>
            <w:t>四、财政拨款收入支出决算总表</w:t>
          </w:r>
          <w:r>
            <w:rPr>
              <w:sz w:val="24"/>
              <w:szCs w:val="24"/>
            </w:rPr>
            <w:tab/>
          </w:r>
          <w:r>
            <w:rPr>
              <w:sz w:val="24"/>
              <w:szCs w:val="24"/>
            </w:rPr>
            <w:fldChar w:fldCharType="begin"/>
          </w:r>
          <w:r>
            <w:rPr>
              <w:sz w:val="24"/>
              <w:szCs w:val="24"/>
            </w:rPr>
            <w:instrText xml:space="preserve"> PAGEREF _Toc20508 \h </w:instrText>
          </w:r>
          <w:r>
            <w:rPr>
              <w:sz w:val="24"/>
              <w:szCs w:val="24"/>
            </w:rPr>
            <w:fldChar w:fldCharType="separate"/>
          </w:r>
          <w:r>
            <w:rPr>
              <w:sz w:val="24"/>
              <w:szCs w:val="24"/>
            </w:rPr>
            <w:t>36</w:t>
          </w:r>
          <w:r>
            <w:rPr>
              <w:sz w:val="24"/>
              <w:szCs w:val="24"/>
            </w:rPr>
            <w:fldChar w:fldCharType="end"/>
          </w:r>
          <w:r>
            <w:rPr>
              <w:sz w:val="24"/>
              <w:szCs w:val="24"/>
            </w:rPr>
            <w:fldChar w:fldCharType="end"/>
          </w:r>
        </w:p>
        <w:p>
          <w:pPr>
            <w:pStyle w:val="52"/>
            <w:tabs>
              <w:tab w:val="right" w:leader="dot" w:pos="8844"/>
            </w:tabs>
            <w:ind w:left="420"/>
            <w:rPr>
              <w:sz w:val="24"/>
              <w:szCs w:val="24"/>
            </w:rPr>
          </w:pPr>
          <w:r>
            <w:fldChar w:fldCharType="begin"/>
          </w:r>
          <w:r>
            <w:instrText xml:space="preserve"> HYPERLINK \l "_Toc20896" </w:instrText>
          </w:r>
          <w:r>
            <w:fldChar w:fldCharType="separate"/>
          </w:r>
          <w:r>
            <w:rPr>
              <w:rFonts w:ascii="Times New Roman" w:hAnsi="Times New Roman" w:eastAsia="仿宋" w:cs="Times New Roman"/>
              <w:sz w:val="24"/>
              <w:szCs w:val="24"/>
            </w:rPr>
            <w:t>五、财政拨款支出决算明细表</w:t>
          </w:r>
          <w:r>
            <w:rPr>
              <w:sz w:val="24"/>
              <w:szCs w:val="24"/>
            </w:rPr>
            <w:tab/>
          </w:r>
          <w:r>
            <w:rPr>
              <w:sz w:val="24"/>
              <w:szCs w:val="24"/>
            </w:rPr>
            <w:fldChar w:fldCharType="begin"/>
          </w:r>
          <w:r>
            <w:rPr>
              <w:sz w:val="24"/>
              <w:szCs w:val="24"/>
            </w:rPr>
            <w:instrText xml:space="preserve"> PAGEREF _Toc20896 \h </w:instrText>
          </w:r>
          <w:r>
            <w:rPr>
              <w:sz w:val="24"/>
              <w:szCs w:val="24"/>
            </w:rPr>
            <w:fldChar w:fldCharType="separate"/>
          </w:r>
          <w:r>
            <w:rPr>
              <w:sz w:val="24"/>
              <w:szCs w:val="24"/>
            </w:rPr>
            <w:t>36</w:t>
          </w:r>
          <w:r>
            <w:rPr>
              <w:sz w:val="24"/>
              <w:szCs w:val="24"/>
            </w:rPr>
            <w:fldChar w:fldCharType="end"/>
          </w:r>
          <w:r>
            <w:rPr>
              <w:sz w:val="24"/>
              <w:szCs w:val="24"/>
            </w:rPr>
            <w:fldChar w:fldCharType="end"/>
          </w:r>
        </w:p>
        <w:p>
          <w:pPr>
            <w:pStyle w:val="52"/>
            <w:tabs>
              <w:tab w:val="right" w:leader="dot" w:pos="8844"/>
            </w:tabs>
            <w:ind w:left="420"/>
            <w:rPr>
              <w:sz w:val="24"/>
              <w:szCs w:val="24"/>
            </w:rPr>
          </w:pPr>
          <w:r>
            <w:fldChar w:fldCharType="begin"/>
          </w:r>
          <w:r>
            <w:instrText xml:space="preserve"> HYPERLINK \l "_Toc5917" </w:instrText>
          </w:r>
          <w:r>
            <w:fldChar w:fldCharType="separate"/>
          </w:r>
          <w:r>
            <w:rPr>
              <w:rFonts w:ascii="Times New Roman" w:hAnsi="Times New Roman" w:eastAsia="仿宋" w:cs="Times New Roman"/>
              <w:sz w:val="24"/>
              <w:szCs w:val="24"/>
            </w:rPr>
            <w:t>六、一般公共预算财政拨款支出决算表</w:t>
          </w:r>
          <w:r>
            <w:rPr>
              <w:sz w:val="24"/>
              <w:szCs w:val="24"/>
            </w:rPr>
            <w:tab/>
          </w:r>
          <w:r>
            <w:rPr>
              <w:sz w:val="24"/>
              <w:szCs w:val="24"/>
            </w:rPr>
            <w:fldChar w:fldCharType="begin"/>
          </w:r>
          <w:r>
            <w:rPr>
              <w:sz w:val="24"/>
              <w:szCs w:val="24"/>
            </w:rPr>
            <w:instrText xml:space="preserve"> PAGEREF _Toc5917 \h </w:instrText>
          </w:r>
          <w:r>
            <w:rPr>
              <w:sz w:val="24"/>
              <w:szCs w:val="24"/>
            </w:rPr>
            <w:fldChar w:fldCharType="separate"/>
          </w:r>
          <w:r>
            <w:rPr>
              <w:sz w:val="24"/>
              <w:szCs w:val="24"/>
            </w:rPr>
            <w:t>36</w:t>
          </w:r>
          <w:r>
            <w:rPr>
              <w:sz w:val="24"/>
              <w:szCs w:val="24"/>
            </w:rPr>
            <w:fldChar w:fldCharType="end"/>
          </w:r>
          <w:r>
            <w:rPr>
              <w:sz w:val="24"/>
              <w:szCs w:val="24"/>
            </w:rPr>
            <w:fldChar w:fldCharType="end"/>
          </w:r>
        </w:p>
        <w:p>
          <w:pPr>
            <w:pStyle w:val="52"/>
            <w:tabs>
              <w:tab w:val="right" w:leader="dot" w:pos="8844"/>
            </w:tabs>
            <w:ind w:left="420"/>
            <w:rPr>
              <w:sz w:val="24"/>
              <w:szCs w:val="24"/>
            </w:rPr>
          </w:pPr>
          <w:r>
            <w:fldChar w:fldCharType="begin"/>
          </w:r>
          <w:r>
            <w:instrText xml:space="preserve"> HYPERLINK \l "_Toc18293" </w:instrText>
          </w:r>
          <w:r>
            <w:fldChar w:fldCharType="separate"/>
          </w:r>
          <w:r>
            <w:rPr>
              <w:rFonts w:ascii="Times New Roman" w:hAnsi="Times New Roman" w:eastAsia="仿宋" w:cs="Times New Roman"/>
              <w:sz w:val="24"/>
              <w:szCs w:val="24"/>
            </w:rPr>
            <w:t>七、一般公共预算财政拨款支出决算明细表</w:t>
          </w:r>
          <w:r>
            <w:rPr>
              <w:sz w:val="24"/>
              <w:szCs w:val="24"/>
            </w:rPr>
            <w:tab/>
          </w:r>
          <w:r>
            <w:rPr>
              <w:sz w:val="24"/>
              <w:szCs w:val="24"/>
            </w:rPr>
            <w:fldChar w:fldCharType="begin"/>
          </w:r>
          <w:r>
            <w:rPr>
              <w:sz w:val="24"/>
              <w:szCs w:val="24"/>
            </w:rPr>
            <w:instrText xml:space="preserve"> PAGEREF _Toc18293 \h </w:instrText>
          </w:r>
          <w:r>
            <w:rPr>
              <w:sz w:val="24"/>
              <w:szCs w:val="24"/>
            </w:rPr>
            <w:fldChar w:fldCharType="separate"/>
          </w:r>
          <w:r>
            <w:rPr>
              <w:sz w:val="24"/>
              <w:szCs w:val="24"/>
            </w:rPr>
            <w:t>36</w:t>
          </w:r>
          <w:r>
            <w:rPr>
              <w:sz w:val="24"/>
              <w:szCs w:val="24"/>
            </w:rPr>
            <w:fldChar w:fldCharType="end"/>
          </w:r>
          <w:r>
            <w:rPr>
              <w:sz w:val="24"/>
              <w:szCs w:val="24"/>
            </w:rPr>
            <w:fldChar w:fldCharType="end"/>
          </w:r>
        </w:p>
        <w:p>
          <w:pPr>
            <w:pStyle w:val="52"/>
            <w:tabs>
              <w:tab w:val="right" w:leader="dot" w:pos="8844"/>
            </w:tabs>
            <w:ind w:left="420"/>
            <w:rPr>
              <w:sz w:val="24"/>
              <w:szCs w:val="24"/>
            </w:rPr>
          </w:pPr>
          <w:r>
            <w:fldChar w:fldCharType="begin"/>
          </w:r>
          <w:r>
            <w:instrText xml:space="preserve"> HYPERLINK \l "_Toc22320" </w:instrText>
          </w:r>
          <w:r>
            <w:fldChar w:fldCharType="separate"/>
          </w:r>
          <w:r>
            <w:rPr>
              <w:rFonts w:ascii="Times New Roman" w:hAnsi="Times New Roman" w:eastAsia="仿宋" w:cs="Times New Roman"/>
              <w:sz w:val="24"/>
              <w:szCs w:val="24"/>
            </w:rPr>
            <w:t>八、一般公共预算财政拨款基本支出决算表</w:t>
          </w:r>
          <w:r>
            <w:rPr>
              <w:sz w:val="24"/>
              <w:szCs w:val="24"/>
            </w:rPr>
            <w:tab/>
          </w:r>
          <w:r>
            <w:rPr>
              <w:sz w:val="24"/>
              <w:szCs w:val="24"/>
            </w:rPr>
            <w:fldChar w:fldCharType="begin"/>
          </w:r>
          <w:r>
            <w:rPr>
              <w:sz w:val="24"/>
              <w:szCs w:val="24"/>
            </w:rPr>
            <w:instrText xml:space="preserve"> PAGEREF _Toc22320 \h </w:instrText>
          </w:r>
          <w:r>
            <w:rPr>
              <w:sz w:val="24"/>
              <w:szCs w:val="24"/>
            </w:rPr>
            <w:fldChar w:fldCharType="separate"/>
          </w:r>
          <w:r>
            <w:rPr>
              <w:sz w:val="24"/>
              <w:szCs w:val="24"/>
            </w:rPr>
            <w:t>36</w:t>
          </w:r>
          <w:r>
            <w:rPr>
              <w:sz w:val="24"/>
              <w:szCs w:val="24"/>
            </w:rPr>
            <w:fldChar w:fldCharType="end"/>
          </w:r>
          <w:r>
            <w:rPr>
              <w:sz w:val="24"/>
              <w:szCs w:val="24"/>
            </w:rPr>
            <w:fldChar w:fldCharType="end"/>
          </w:r>
        </w:p>
        <w:p>
          <w:pPr>
            <w:pStyle w:val="52"/>
            <w:tabs>
              <w:tab w:val="right" w:leader="dot" w:pos="8844"/>
            </w:tabs>
            <w:ind w:left="420"/>
            <w:rPr>
              <w:sz w:val="24"/>
              <w:szCs w:val="24"/>
            </w:rPr>
          </w:pPr>
          <w:r>
            <w:fldChar w:fldCharType="begin"/>
          </w:r>
          <w:r>
            <w:instrText xml:space="preserve"> HYPERLINK \l "_Toc7209" </w:instrText>
          </w:r>
          <w:r>
            <w:fldChar w:fldCharType="separate"/>
          </w:r>
          <w:r>
            <w:rPr>
              <w:rFonts w:ascii="Times New Roman" w:hAnsi="Times New Roman" w:eastAsia="仿宋" w:cs="Times New Roman"/>
              <w:sz w:val="24"/>
              <w:szCs w:val="24"/>
            </w:rPr>
            <w:t>九、一般公共预算财政拨款项目支出决算表</w:t>
          </w:r>
          <w:r>
            <w:rPr>
              <w:sz w:val="24"/>
              <w:szCs w:val="24"/>
            </w:rPr>
            <w:tab/>
          </w:r>
          <w:r>
            <w:rPr>
              <w:sz w:val="24"/>
              <w:szCs w:val="24"/>
            </w:rPr>
            <w:fldChar w:fldCharType="begin"/>
          </w:r>
          <w:r>
            <w:rPr>
              <w:sz w:val="24"/>
              <w:szCs w:val="24"/>
            </w:rPr>
            <w:instrText xml:space="preserve"> PAGEREF _Toc7209 \h </w:instrText>
          </w:r>
          <w:r>
            <w:rPr>
              <w:sz w:val="24"/>
              <w:szCs w:val="24"/>
            </w:rPr>
            <w:fldChar w:fldCharType="separate"/>
          </w:r>
          <w:r>
            <w:rPr>
              <w:sz w:val="24"/>
              <w:szCs w:val="24"/>
            </w:rPr>
            <w:t>36</w:t>
          </w:r>
          <w:r>
            <w:rPr>
              <w:sz w:val="24"/>
              <w:szCs w:val="24"/>
            </w:rPr>
            <w:fldChar w:fldCharType="end"/>
          </w:r>
          <w:r>
            <w:rPr>
              <w:sz w:val="24"/>
              <w:szCs w:val="24"/>
            </w:rPr>
            <w:fldChar w:fldCharType="end"/>
          </w:r>
        </w:p>
        <w:p>
          <w:pPr>
            <w:pStyle w:val="52"/>
            <w:tabs>
              <w:tab w:val="right" w:leader="dot" w:pos="8844"/>
            </w:tabs>
            <w:ind w:left="420"/>
            <w:rPr>
              <w:sz w:val="24"/>
              <w:szCs w:val="24"/>
            </w:rPr>
          </w:pPr>
          <w:r>
            <w:fldChar w:fldCharType="begin"/>
          </w:r>
          <w:r>
            <w:instrText xml:space="preserve"> HYPERLINK \l "_Toc11640" </w:instrText>
          </w:r>
          <w:r>
            <w:fldChar w:fldCharType="separate"/>
          </w:r>
          <w:r>
            <w:rPr>
              <w:rFonts w:ascii="Times New Roman" w:hAnsi="Times New Roman" w:eastAsia="仿宋" w:cs="Times New Roman"/>
              <w:sz w:val="24"/>
              <w:szCs w:val="24"/>
            </w:rPr>
            <w:t>十、政府性基金预算财政拨款收入支出决算表</w:t>
          </w:r>
          <w:r>
            <w:rPr>
              <w:sz w:val="24"/>
              <w:szCs w:val="24"/>
            </w:rPr>
            <w:tab/>
          </w:r>
          <w:r>
            <w:rPr>
              <w:sz w:val="24"/>
              <w:szCs w:val="24"/>
            </w:rPr>
            <w:fldChar w:fldCharType="begin"/>
          </w:r>
          <w:r>
            <w:rPr>
              <w:sz w:val="24"/>
              <w:szCs w:val="24"/>
            </w:rPr>
            <w:instrText xml:space="preserve"> PAGEREF _Toc11640 \h </w:instrText>
          </w:r>
          <w:r>
            <w:rPr>
              <w:sz w:val="24"/>
              <w:szCs w:val="24"/>
            </w:rPr>
            <w:fldChar w:fldCharType="separate"/>
          </w:r>
          <w:r>
            <w:rPr>
              <w:sz w:val="24"/>
              <w:szCs w:val="24"/>
            </w:rPr>
            <w:t>36</w:t>
          </w:r>
          <w:r>
            <w:rPr>
              <w:sz w:val="24"/>
              <w:szCs w:val="24"/>
            </w:rPr>
            <w:fldChar w:fldCharType="end"/>
          </w:r>
          <w:r>
            <w:rPr>
              <w:sz w:val="24"/>
              <w:szCs w:val="24"/>
            </w:rPr>
            <w:fldChar w:fldCharType="end"/>
          </w:r>
        </w:p>
        <w:p>
          <w:pPr>
            <w:pStyle w:val="52"/>
            <w:tabs>
              <w:tab w:val="right" w:leader="dot" w:pos="8844"/>
            </w:tabs>
            <w:ind w:left="420"/>
            <w:rPr>
              <w:sz w:val="24"/>
              <w:szCs w:val="24"/>
            </w:rPr>
          </w:pPr>
          <w:r>
            <w:fldChar w:fldCharType="begin"/>
          </w:r>
          <w:r>
            <w:instrText xml:space="preserve"> HYPERLINK \l "_Toc25293" </w:instrText>
          </w:r>
          <w:r>
            <w:fldChar w:fldCharType="separate"/>
          </w:r>
          <w:r>
            <w:rPr>
              <w:rFonts w:ascii="Times New Roman" w:hAnsi="Times New Roman" w:eastAsia="仿宋" w:cs="Times New Roman"/>
              <w:sz w:val="24"/>
              <w:szCs w:val="24"/>
            </w:rPr>
            <w:t>十一、国有资本经营预算财政拨款收入支出决算表</w:t>
          </w:r>
          <w:r>
            <w:rPr>
              <w:sz w:val="24"/>
              <w:szCs w:val="24"/>
            </w:rPr>
            <w:tab/>
          </w:r>
          <w:r>
            <w:rPr>
              <w:sz w:val="24"/>
              <w:szCs w:val="24"/>
            </w:rPr>
            <w:fldChar w:fldCharType="begin"/>
          </w:r>
          <w:r>
            <w:rPr>
              <w:sz w:val="24"/>
              <w:szCs w:val="24"/>
            </w:rPr>
            <w:instrText xml:space="preserve"> PAGEREF _Toc25293 \h </w:instrText>
          </w:r>
          <w:r>
            <w:rPr>
              <w:sz w:val="24"/>
              <w:szCs w:val="24"/>
            </w:rPr>
            <w:fldChar w:fldCharType="separate"/>
          </w:r>
          <w:r>
            <w:rPr>
              <w:sz w:val="24"/>
              <w:szCs w:val="24"/>
            </w:rPr>
            <w:t>36</w:t>
          </w:r>
          <w:r>
            <w:rPr>
              <w:sz w:val="24"/>
              <w:szCs w:val="24"/>
            </w:rPr>
            <w:fldChar w:fldCharType="end"/>
          </w:r>
          <w:r>
            <w:rPr>
              <w:sz w:val="24"/>
              <w:szCs w:val="24"/>
            </w:rPr>
            <w:fldChar w:fldCharType="end"/>
          </w:r>
        </w:p>
        <w:p>
          <w:pPr>
            <w:pStyle w:val="52"/>
            <w:tabs>
              <w:tab w:val="right" w:leader="dot" w:pos="8844"/>
            </w:tabs>
            <w:ind w:left="420"/>
            <w:rPr>
              <w:sz w:val="24"/>
              <w:szCs w:val="24"/>
            </w:rPr>
          </w:pPr>
          <w:r>
            <w:fldChar w:fldCharType="begin"/>
          </w:r>
          <w:r>
            <w:instrText xml:space="preserve"> HYPERLINK \l "_Toc10547" </w:instrText>
          </w:r>
          <w:r>
            <w:fldChar w:fldCharType="separate"/>
          </w:r>
          <w:r>
            <w:rPr>
              <w:rFonts w:ascii="Times New Roman" w:hAnsi="Times New Roman" w:eastAsia="仿宋" w:cs="Times New Roman"/>
              <w:sz w:val="24"/>
              <w:szCs w:val="24"/>
            </w:rPr>
            <w:t>十二、国有资本经营预算财政拨款支出决算表</w:t>
          </w:r>
          <w:r>
            <w:rPr>
              <w:sz w:val="24"/>
              <w:szCs w:val="24"/>
            </w:rPr>
            <w:tab/>
          </w:r>
          <w:r>
            <w:rPr>
              <w:sz w:val="24"/>
              <w:szCs w:val="24"/>
            </w:rPr>
            <w:fldChar w:fldCharType="begin"/>
          </w:r>
          <w:r>
            <w:rPr>
              <w:sz w:val="24"/>
              <w:szCs w:val="24"/>
            </w:rPr>
            <w:instrText xml:space="preserve"> PAGEREF _Toc10547 \h </w:instrText>
          </w:r>
          <w:r>
            <w:rPr>
              <w:sz w:val="24"/>
              <w:szCs w:val="24"/>
            </w:rPr>
            <w:fldChar w:fldCharType="separate"/>
          </w:r>
          <w:r>
            <w:rPr>
              <w:sz w:val="24"/>
              <w:szCs w:val="24"/>
            </w:rPr>
            <w:t>36</w:t>
          </w:r>
          <w:r>
            <w:rPr>
              <w:sz w:val="24"/>
              <w:szCs w:val="24"/>
            </w:rPr>
            <w:fldChar w:fldCharType="end"/>
          </w:r>
          <w:r>
            <w:rPr>
              <w:sz w:val="24"/>
              <w:szCs w:val="24"/>
            </w:rPr>
            <w:fldChar w:fldCharType="end"/>
          </w:r>
        </w:p>
        <w:p>
          <w:pPr>
            <w:pStyle w:val="52"/>
            <w:tabs>
              <w:tab w:val="right" w:leader="dot" w:pos="8844"/>
            </w:tabs>
            <w:ind w:left="420"/>
            <w:rPr>
              <w:sz w:val="24"/>
              <w:szCs w:val="24"/>
            </w:rPr>
          </w:pPr>
          <w:r>
            <w:fldChar w:fldCharType="begin"/>
          </w:r>
          <w:r>
            <w:instrText xml:space="preserve"> HYPERLINK \l "_Toc31803" </w:instrText>
          </w:r>
          <w:r>
            <w:fldChar w:fldCharType="separate"/>
          </w:r>
          <w:r>
            <w:rPr>
              <w:rFonts w:ascii="Times New Roman" w:hAnsi="Times New Roman" w:eastAsia="仿宋" w:cs="Times New Roman"/>
              <w:sz w:val="24"/>
              <w:szCs w:val="24"/>
            </w:rPr>
            <w:t>十三、财政拨款“三公”经费支出决算表</w:t>
          </w:r>
          <w:r>
            <w:rPr>
              <w:sz w:val="24"/>
              <w:szCs w:val="24"/>
            </w:rPr>
            <w:tab/>
          </w:r>
          <w:r>
            <w:rPr>
              <w:sz w:val="24"/>
              <w:szCs w:val="24"/>
            </w:rPr>
            <w:fldChar w:fldCharType="begin"/>
          </w:r>
          <w:r>
            <w:rPr>
              <w:sz w:val="24"/>
              <w:szCs w:val="24"/>
            </w:rPr>
            <w:instrText xml:space="preserve"> PAGEREF _Toc31803 \h </w:instrText>
          </w:r>
          <w:r>
            <w:rPr>
              <w:sz w:val="24"/>
              <w:szCs w:val="24"/>
            </w:rPr>
            <w:fldChar w:fldCharType="separate"/>
          </w:r>
          <w:r>
            <w:rPr>
              <w:sz w:val="24"/>
              <w:szCs w:val="24"/>
            </w:rPr>
            <w:t>36</w:t>
          </w:r>
          <w:r>
            <w:rPr>
              <w:sz w:val="24"/>
              <w:szCs w:val="24"/>
            </w:rPr>
            <w:fldChar w:fldCharType="end"/>
          </w:r>
          <w:r>
            <w:rPr>
              <w:sz w:val="24"/>
              <w:szCs w:val="24"/>
            </w:rPr>
            <w:fldChar w:fldCharType="end"/>
          </w:r>
        </w:p>
        <w:p>
          <w:pPr>
            <w:widowControl/>
            <w:jc w:val="center"/>
            <w:rPr>
              <w:rFonts w:eastAsia="黑体"/>
              <w:sz w:val="32"/>
              <w:szCs w:val="32"/>
            </w:rPr>
          </w:pPr>
          <w:r>
            <w:rPr>
              <w:rFonts w:eastAsia="黑体"/>
              <w:sz w:val="32"/>
              <w:szCs w:val="32"/>
            </w:rPr>
            <w:fldChar w:fldCharType="end"/>
          </w:r>
        </w:p>
      </w:sdtContent>
    </w:sdt>
    <w:p>
      <w:pPr>
        <w:widowControl/>
        <w:jc w:val="center"/>
        <w:rPr>
          <w:rFonts w:eastAsia="黑体"/>
          <w:sz w:val="32"/>
          <w:szCs w:val="32"/>
        </w:rPr>
      </w:pPr>
    </w:p>
    <w:p>
      <w:pPr>
        <w:widowControl/>
        <w:jc w:val="center"/>
        <w:rPr>
          <w:rFonts w:eastAsia="黑体"/>
          <w:sz w:val="32"/>
          <w:szCs w:val="32"/>
        </w:rPr>
      </w:pPr>
    </w:p>
    <w:p>
      <w:pPr>
        <w:widowControl/>
        <w:jc w:val="center"/>
        <w:rPr>
          <w:rFonts w:eastAsia="黑体"/>
          <w:sz w:val="32"/>
          <w:szCs w:val="32"/>
        </w:rPr>
      </w:pPr>
    </w:p>
    <w:p>
      <w:pPr>
        <w:widowControl/>
        <w:jc w:val="center"/>
        <w:rPr>
          <w:rFonts w:eastAsia="黑体"/>
          <w:sz w:val="32"/>
          <w:szCs w:val="32"/>
        </w:rPr>
      </w:pPr>
    </w:p>
    <w:p>
      <w:pPr>
        <w:widowControl/>
        <w:jc w:val="center"/>
        <w:rPr>
          <w:rFonts w:eastAsia="黑体"/>
          <w:sz w:val="32"/>
          <w:szCs w:val="32"/>
        </w:rPr>
      </w:pPr>
    </w:p>
    <w:p>
      <w:pPr>
        <w:widowControl/>
        <w:jc w:val="center"/>
        <w:rPr>
          <w:rFonts w:eastAsia="黑体"/>
          <w:sz w:val="32"/>
          <w:szCs w:val="32"/>
        </w:rPr>
      </w:pPr>
    </w:p>
    <w:p>
      <w:pPr>
        <w:widowControl/>
        <w:jc w:val="center"/>
        <w:rPr>
          <w:rFonts w:eastAsia="黑体"/>
          <w:sz w:val="32"/>
          <w:szCs w:val="32"/>
        </w:rPr>
      </w:pPr>
    </w:p>
    <w:p>
      <w:pPr>
        <w:widowControl/>
        <w:jc w:val="center"/>
        <w:rPr>
          <w:rFonts w:eastAsia="黑体"/>
          <w:sz w:val="32"/>
          <w:szCs w:val="32"/>
        </w:rPr>
      </w:pPr>
    </w:p>
    <w:p>
      <w:pPr>
        <w:widowControl/>
        <w:jc w:val="center"/>
        <w:rPr>
          <w:rFonts w:eastAsia="黑体"/>
          <w:sz w:val="32"/>
          <w:szCs w:val="32"/>
        </w:rPr>
      </w:pPr>
    </w:p>
    <w:p>
      <w:pPr>
        <w:widowControl/>
        <w:jc w:val="center"/>
        <w:rPr>
          <w:rFonts w:eastAsia="黑体"/>
          <w:sz w:val="32"/>
          <w:szCs w:val="32"/>
        </w:rPr>
      </w:pPr>
    </w:p>
    <w:p>
      <w:pPr>
        <w:widowControl/>
        <w:jc w:val="center"/>
        <w:rPr>
          <w:rFonts w:eastAsia="黑体"/>
          <w:sz w:val="32"/>
          <w:szCs w:val="32"/>
        </w:rPr>
      </w:pPr>
    </w:p>
    <w:p>
      <w:pPr>
        <w:widowControl/>
        <w:jc w:val="center"/>
        <w:rPr>
          <w:rFonts w:eastAsia="黑体"/>
          <w:sz w:val="32"/>
          <w:szCs w:val="32"/>
        </w:rPr>
      </w:pPr>
    </w:p>
    <w:p>
      <w:pPr>
        <w:widowControl/>
        <w:jc w:val="center"/>
        <w:rPr>
          <w:rFonts w:eastAsia="黑体"/>
          <w:sz w:val="32"/>
          <w:szCs w:val="32"/>
        </w:rPr>
      </w:pPr>
    </w:p>
    <w:p>
      <w:pPr>
        <w:widowControl/>
        <w:jc w:val="center"/>
        <w:rPr>
          <w:rFonts w:eastAsia="黑体"/>
          <w:sz w:val="32"/>
          <w:szCs w:val="32"/>
        </w:rPr>
      </w:pPr>
    </w:p>
    <w:p>
      <w:pPr>
        <w:pStyle w:val="2"/>
        <w:jc w:val="center"/>
        <w:rPr>
          <w:rFonts w:eastAsia="黑体"/>
          <w:b w:val="0"/>
        </w:rPr>
      </w:pPr>
    </w:p>
    <w:p>
      <w:pPr>
        <w:pStyle w:val="2"/>
        <w:jc w:val="center"/>
        <w:rPr>
          <w:rStyle w:val="29"/>
          <w:rFonts w:eastAsia="黑体"/>
          <w:b/>
          <w:bCs w:val="0"/>
        </w:rPr>
      </w:pPr>
      <w:r>
        <w:rPr>
          <w:rFonts w:eastAsia="黑体"/>
          <w:b w:val="0"/>
        </w:rPr>
        <w:t xml:space="preserve">第一部分 </w:t>
      </w:r>
      <w:r>
        <w:rPr>
          <w:rStyle w:val="29"/>
          <w:rFonts w:eastAsia="黑体"/>
          <w:b w:val="0"/>
          <w:bCs w:val="0"/>
        </w:rPr>
        <w:t>部门概况</w:t>
      </w:r>
    </w:p>
    <w:p>
      <w:pPr>
        <w:widowControl/>
        <w:jc w:val="left"/>
        <w:rPr>
          <w:rFonts w:eastAsia="黑体"/>
          <w:sz w:val="32"/>
          <w:szCs w:val="32"/>
        </w:rPr>
      </w:pPr>
    </w:p>
    <w:p>
      <w:pPr>
        <w:pStyle w:val="3"/>
        <w:numPr>
          <w:ilvl w:val="0"/>
          <w:numId w:val="1"/>
        </w:numPr>
        <w:rPr>
          <w:rFonts w:ascii="Times New Roman" w:hAnsi="Times New Roman" w:eastAsia="黑体" w:cs="Times New Roman"/>
          <w:b w:val="0"/>
        </w:rPr>
      </w:pPr>
      <w:bookmarkStart w:id="21" w:name="_Toc7223"/>
      <w:r>
        <w:rPr>
          <w:rFonts w:ascii="Times New Roman" w:hAnsi="Times New Roman" w:eastAsia="黑体" w:cs="Times New Roman"/>
          <w:b w:val="0"/>
        </w:rPr>
        <w:t>部门职责</w:t>
      </w:r>
      <w:bookmarkEnd w:id="21"/>
    </w:p>
    <w:p>
      <w:pPr>
        <w:spacing w:line="560" w:lineRule="exact"/>
        <w:ind w:firstLine="660" w:firstLineChars="200"/>
        <w:rPr>
          <w:rFonts w:eastAsia="方正仿宋_GBK"/>
          <w:sz w:val="33"/>
          <w:szCs w:val="33"/>
        </w:rPr>
      </w:pPr>
      <w:r>
        <w:rPr>
          <w:rFonts w:eastAsia="方正仿宋_GBK"/>
          <w:sz w:val="33"/>
          <w:szCs w:val="33"/>
        </w:rPr>
        <w:t>人民检察院是国家法律监督机关，依法履行法律监督职能，保证国家法律正确统一实施，向县人民代表大会及其常务委员会报告工作，依法履行以下职责：</w:t>
      </w:r>
      <w:r>
        <w:rPr>
          <w:rFonts w:eastAsia="方正仿宋_GBK"/>
          <w:sz w:val="33"/>
          <w:szCs w:val="33"/>
        </w:rPr>
        <w:br w:type="textWrapping"/>
      </w:r>
      <w:r>
        <w:rPr>
          <w:rFonts w:eastAsia="方正仿宋_GBK"/>
          <w:sz w:val="33"/>
          <w:szCs w:val="33"/>
        </w:rPr>
        <w:t xml:space="preserve">    1、依照法律规定对有关刑事案件行使侦查权；</w:t>
      </w:r>
      <w:r>
        <w:rPr>
          <w:rFonts w:eastAsia="方正仿宋_GBK"/>
          <w:sz w:val="33"/>
          <w:szCs w:val="33"/>
        </w:rPr>
        <w:br w:type="textWrapping"/>
      </w:r>
      <w:r>
        <w:rPr>
          <w:rFonts w:eastAsia="方正仿宋_GBK"/>
          <w:sz w:val="33"/>
          <w:szCs w:val="33"/>
        </w:rPr>
        <w:t xml:space="preserve">    2、对刑事案件进行审查，批准或者决定是否逮捕犯罪嫌疑人；</w:t>
      </w:r>
      <w:r>
        <w:rPr>
          <w:rFonts w:eastAsia="方正仿宋_GBK"/>
          <w:sz w:val="33"/>
          <w:szCs w:val="33"/>
        </w:rPr>
        <w:br w:type="textWrapping"/>
      </w:r>
      <w:r>
        <w:rPr>
          <w:rFonts w:eastAsia="方正仿宋_GBK"/>
          <w:sz w:val="33"/>
          <w:szCs w:val="33"/>
        </w:rPr>
        <w:t xml:space="preserve">    3、对刑事案件进行审查，决定是否提起公诉，对决定提起公诉的案件支持公诉；</w:t>
      </w:r>
      <w:r>
        <w:rPr>
          <w:rFonts w:eastAsia="方正仿宋_GBK"/>
          <w:sz w:val="33"/>
          <w:szCs w:val="33"/>
        </w:rPr>
        <w:br w:type="textWrapping"/>
      </w:r>
      <w:r>
        <w:rPr>
          <w:rFonts w:eastAsia="方正仿宋_GBK"/>
          <w:sz w:val="33"/>
          <w:szCs w:val="33"/>
        </w:rPr>
        <w:t xml:space="preserve">    4、依照法律规定提起公益诉讼；</w:t>
      </w:r>
      <w:r>
        <w:rPr>
          <w:rFonts w:eastAsia="方正仿宋_GBK"/>
          <w:sz w:val="33"/>
          <w:szCs w:val="33"/>
        </w:rPr>
        <w:br w:type="textWrapping"/>
      </w:r>
      <w:r>
        <w:rPr>
          <w:rFonts w:eastAsia="方正仿宋_GBK"/>
          <w:sz w:val="33"/>
          <w:szCs w:val="33"/>
        </w:rPr>
        <w:t xml:space="preserve">    5、对诉讼活动实行法律监督；</w:t>
      </w:r>
      <w:r>
        <w:rPr>
          <w:rFonts w:eastAsia="方正仿宋_GBK"/>
          <w:sz w:val="33"/>
          <w:szCs w:val="33"/>
        </w:rPr>
        <w:br w:type="textWrapping"/>
      </w:r>
      <w:r>
        <w:rPr>
          <w:rFonts w:eastAsia="方正仿宋_GBK"/>
          <w:sz w:val="33"/>
          <w:szCs w:val="33"/>
        </w:rPr>
        <w:t xml:space="preserve">    6、对判决、裁定等生效法律文书的执行工作实行法律监督；</w:t>
      </w:r>
      <w:r>
        <w:rPr>
          <w:rFonts w:eastAsia="方正仿宋_GBK"/>
          <w:sz w:val="33"/>
          <w:szCs w:val="33"/>
        </w:rPr>
        <w:br w:type="textWrapping"/>
      </w:r>
      <w:r>
        <w:rPr>
          <w:rFonts w:eastAsia="方正仿宋_GBK"/>
          <w:sz w:val="33"/>
          <w:szCs w:val="33"/>
        </w:rPr>
        <w:t xml:space="preserve">    7、对监狱、看守所的执法活动实行法律监督；</w:t>
      </w:r>
      <w:r>
        <w:rPr>
          <w:rFonts w:eastAsia="方正仿宋_GBK"/>
          <w:sz w:val="33"/>
          <w:szCs w:val="33"/>
        </w:rPr>
        <w:br w:type="textWrapping"/>
      </w:r>
      <w:r>
        <w:rPr>
          <w:rFonts w:eastAsia="方正仿宋_GBK"/>
          <w:sz w:val="33"/>
          <w:szCs w:val="33"/>
        </w:rPr>
        <w:t xml:space="preserve">    8、法律规定的其他职权。</w:t>
      </w:r>
    </w:p>
    <w:p/>
    <w:p>
      <w:pPr>
        <w:pStyle w:val="3"/>
        <w:rPr>
          <w:rStyle w:val="30"/>
          <w:rFonts w:ascii="Times New Roman" w:hAnsi="Times New Roman" w:cs="Times New Roman"/>
          <w:b w:val="0"/>
          <w:bCs w:val="0"/>
        </w:rPr>
      </w:pPr>
      <w:bookmarkStart w:id="22" w:name="_Toc15377200"/>
      <w:bookmarkStart w:id="23" w:name="_Toc15396601"/>
      <w:bookmarkStart w:id="24" w:name="_Toc1123"/>
      <w:r>
        <w:rPr>
          <w:rFonts w:ascii="Times New Roman" w:hAnsi="Times New Roman" w:eastAsia="黑体" w:cs="Times New Roman"/>
          <w:b w:val="0"/>
        </w:rPr>
        <w:t>二、机</w:t>
      </w:r>
      <w:r>
        <w:rPr>
          <w:rStyle w:val="30"/>
          <w:rFonts w:ascii="Times New Roman" w:hAnsi="Times New Roman" w:eastAsia="黑体" w:cs="Times New Roman"/>
          <w:b w:val="0"/>
          <w:bCs w:val="0"/>
        </w:rPr>
        <w:t>构设置</w:t>
      </w:r>
      <w:bookmarkEnd w:id="22"/>
      <w:bookmarkEnd w:id="23"/>
      <w:bookmarkEnd w:id="24"/>
    </w:p>
    <w:p>
      <w:pPr>
        <w:ind w:firstLine="800" w:firstLineChars="250"/>
        <w:rPr>
          <w:rFonts w:eastAsia="仿宋"/>
          <w:kern w:val="0"/>
          <w:sz w:val="32"/>
          <w:szCs w:val="32"/>
        </w:rPr>
      </w:pPr>
      <w:r>
        <w:rPr>
          <w:rFonts w:eastAsia="仿宋"/>
          <w:sz w:val="32"/>
          <w:szCs w:val="32"/>
        </w:rPr>
        <w:t>米易县人民检察院下属二级预算单位0个，其中行政单位0个，参照公务员法管理的事业单位0个，其他事业单位0个。</w:t>
      </w:r>
      <w:r>
        <w:rPr>
          <w:rFonts w:eastAsia="仿宋"/>
          <w:sz w:val="32"/>
          <w:szCs w:val="32"/>
        </w:rPr>
        <w:br w:type="page"/>
      </w:r>
    </w:p>
    <w:p>
      <w:pPr>
        <w:pStyle w:val="2"/>
        <w:ind w:right="440"/>
        <w:jc w:val="center"/>
        <w:rPr>
          <w:rStyle w:val="29"/>
          <w:rFonts w:eastAsia="黑体"/>
          <w:b w:val="0"/>
          <w:bCs/>
        </w:rPr>
      </w:pPr>
      <w:bookmarkStart w:id="25" w:name="_Toc497"/>
      <w:bookmarkStart w:id="26" w:name="_Toc15396602"/>
      <w:bookmarkStart w:id="27" w:name="_Toc15377204"/>
      <w:r>
        <w:rPr>
          <w:rFonts w:eastAsia="黑体"/>
          <w:b w:val="0"/>
        </w:rPr>
        <w:t>第二部分 2022年度</w:t>
      </w:r>
      <w:r>
        <w:rPr>
          <w:rStyle w:val="29"/>
          <w:rFonts w:eastAsia="黑体"/>
          <w:b w:val="0"/>
          <w:bCs/>
        </w:rPr>
        <w:t>部门决算情况说明</w:t>
      </w:r>
      <w:bookmarkEnd w:id="25"/>
      <w:bookmarkEnd w:id="26"/>
      <w:bookmarkEnd w:id="27"/>
    </w:p>
    <w:p/>
    <w:p>
      <w:pPr>
        <w:pStyle w:val="28"/>
        <w:numPr>
          <w:ilvl w:val="0"/>
          <w:numId w:val="2"/>
        </w:numPr>
        <w:spacing w:line="600" w:lineRule="exact"/>
        <w:ind w:firstLineChars="0"/>
        <w:outlineLvl w:val="1"/>
        <w:rPr>
          <w:rStyle w:val="30"/>
          <w:rFonts w:ascii="Times New Roman" w:hAnsi="Times New Roman" w:eastAsia="黑体" w:cs="Times New Roman"/>
          <w:b w:val="0"/>
        </w:rPr>
      </w:pPr>
      <w:bookmarkStart w:id="28" w:name="_Toc15396603"/>
      <w:bookmarkStart w:id="29" w:name="_Toc15377205"/>
      <w:bookmarkStart w:id="30" w:name="_Toc9350"/>
      <w:r>
        <w:rPr>
          <w:rFonts w:eastAsia="黑体"/>
          <w:sz w:val="32"/>
          <w:szCs w:val="32"/>
        </w:rPr>
        <w:t>收</w:t>
      </w:r>
      <w:r>
        <w:rPr>
          <w:rStyle w:val="30"/>
          <w:rFonts w:ascii="Times New Roman" w:hAnsi="Times New Roman" w:eastAsia="黑体" w:cs="Times New Roman"/>
          <w:b w:val="0"/>
        </w:rPr>
        <w:t>入支出决算总体情况说明</w:t>
      </w:r>
      <w:bookmarkEnd w:id="28"/>
      <w:bookmarkEnd w:id="29"/>
      <w:bookmarkEnd w:id="30"/>
    </w:p>
    <w:p>
      <w:pPr>
        <w:spacing w:line="560" w:lineRule="exact"/>
        <w:ind w:firstLine="640" w:firstLineChars="200"/>
        <w:rPr>
          <w:rFonts w:eastAsia="仿宋"/>
          <w:color w:val="000000"/>
          <w:sz w:val="32"/>
          <w:szCs w:val="32"/>
        </w:rPr>
      </w:pPr>
      <w:r>
        <w:rPr>
          <w:rFonts w:eastAsia="仿宋"/>
          <w:sz w:val="32"/>
          <w:szCs w:val="32"/>
        </w:rPr>
        <w:t>2022年度收、支总计1794.26万元。与2021年相比，</w:t>
      </w:r>
      <w:r>
        <w:rPr>
          <w:rFonts w:eastAsia="仿宋"/>
          <w:color w:val="000000"/>
          <w:sz w:val="32"/>
          <w:szCs w:val="32"/>
        </w:rPr>
        <w:t>收入减少333.95万元，下降约31.76%，主要原因是上年度结余。支出减少13.1万元，下降约1.22%，基本与上年持平。</w:t>
      </w:r>
    </w:p>
    <w:p>
      <w:pPr>
        <w:spacing w:line="600" w:lineRule="exact"/>
        <w:ind w:firstLine="640" w:firstLineChars="200"/>
        <w:rPr>
          <w:rFonts w:eastAsia="仿宋"/>
          <w:sz w:val="32"/>
          <w:szCs w:val="32"/>
        </w:rPr>
      </w:pPr>
      <w:r>
        <w:rPr>
          <w:sz w:val="32"/>
          <w:szCs w:val="32"/>
        </w:rPr>
        <w:pict>
          <v:shape id="Object 2" o:spid="_x0000_s1034" o:spt="75" type="#_x0000_t75" style="position:absolute;left:0pt;margin-left:27.1pt;margin-top:16.05pt;height:246.1pt;width:385.15pt;mso-wrap-distance-bottom:0pt;mso-wrap-distance-top:0pt;z-index:251665408;mso-width-relative:page;mso-height-relative:page;" o:ole="t" filled="f" o:preferrelative="t" stroked="f" coordsize="21600,21600">
            <v:path/>
            <v:fill on="f" focussize="0,0"/>
            <v:stroke on="f" joinstyle="miter"/>
            <v:imagedata r:id="rId7" o:title=""/>
            <o:lock v:ext="edit" aspectratio="t"/>
            <w10:wrap type="topAndBottom"/>
          </v:shape>
          <o:OLEObject Type="Embed" ProgID="Excel.Sheet.8" ShapeID="Object 2" DrawAspect="Content" ObjectID="_1468075725" r:id="rId6">
            <o:LockedField>false</o:LockedField>
          </o:OLEObject>
        </w:pict>
      </w:r>
      <w:r>
        <w:rPr>
          <w:rFonts w:eastAsia="仿宋"/>
          <w:sz w:val="32"/>
          <w:szCs w:val="32"/>
        </w:rPr>
        <w:t>（图1：收、支决算总计变动情况图）（柱状图）</w:t>
      </w:r>
    </w:p>
    <w:p>
      <w:pPr>
        <w:spacing w:line="600" w:lineRule="exact"/>
        <w:ind w:firstLine="640" w:firstLineChars="200"/>
        <w:jc w:val="left"/>
        <w:rPr>
          <w:rFonts w:eastAsia="仿宋_GB2312"/>
          <w:sz w:val="32"/>
          <w:szCs w:val="32"/>
        </w:rPr>
      </w:pPr>
    </w:p>
    <w:p>
      <w:pPr>
        <w:pStyle w:val="28"/>
        <w:numPr>
          <w:ilvl w:val="0"/>
          <w:numId w:val="2"/>
        </w:numPr>
        <w:spacing w:line="600" w:lineRule="exact"/>
        <w:ind w:firstLineChars="0"/>
        <w:outlineLvl w:val="1"/>
        <w:rPr>
          <w:rStyle w:val="30"/>
          <w:rFonts w:ascii="Times New Roman" w:hAnsi="Times New Roman" w:eastAsia="黑体" w:cs="Times New Roman"/>
          <w:b w:val="0"/>
        </w:rPr>
      </w:pPr>
      <w:bookmarkStart w:id="31" w:name="_Toc15377206"/>
      <w:bookmarkStart w:id="32" w:name="_Toc15396604"/>
      <w:bookmarkStart w:id="33" w:name="_Toc29371"/>
      <w:r>
        <w:rPr>
          <w:rFonts w:eastAsia="黑体"/>
          <w:sz w:val="32"/>
          <w:szCs w:val="32"/>
        </w:rPr>
        <w:t>收</w:t>
      </w:r>
      <w:r>
        <w:rPr>
          <w:rStyle w:val="30"/>
          <w:rFonts w:ascii="Times New Roman" w:hAnsi="Times New Roman" w:eastAsia="黑体" w:cs="Times New Roman"/>
          <w:b w:val="0"/>
        </w:rPr>
        <w:t>入决算情况说明</w:t>
      </w:r>
      <w:bookmarkEnd w:id="31"/>
      <w:bookmarkEnd w:id="32"/>
      <w:bookmarkEnd w:id="33"/>
    </w:p>
    <w:p>
      <w:pPr>
        <w:spacing w:line="600" w:lineRule="exact"/>
        <w:ind w:firstLine="640" w:firstLineChars="200"/>
        <w:outlineLvl w:val="1"/>
        <w:rPr>
          <w:rFonts w:eastAsia="仿宋"/>
          <w:sz w:val="32"/>
          <w:szCs w:val="32"/>
        </w:rPr>
      </w:pPr>
      <w:bookmarkStart w:id="34" w:name="_Toc3885"/>
      <w:r>
        <w:rPr>
          <w:rFonts w:eastAsia="仿宋"/>
          <w:sz w:val="32"/>
          <w:szCs w:val="32"/>
        </w:rPr>
        <w:t>2022年本年收入合计717.41万元，其中：一般公共预算财政拨款收入717.41万元，占100%；政府性基金预算财政拨款收入0万元，占0%；国有资本经营预算财政拨款收入0万元，占0%；上级补助收入0万元，占0%；事业收入0万元，占0%；经营收入0万元，占0%；附属单位上缴收入0万元，占0%；其他收入0万元，占0%。</w:t>
      </w:r>
      <w:bookmarkEnd w:id="34"/>
    </w:p>
    <w:p>
      <w:pPr>
        <w:spacing w:line="600" w:lineRule="exact"/>
        <w:ind w:firstLine="640" w:firstLineChars="200"/>
        <w:rPr>
          <w:rFonts w:eastAsia="仿宋"/>
          <w:sz w:val="32"/>
          <w:szCs w:val="32"/>
        </w:rPr>
      </w:pPr>
    </w:p>
    <w:p>
      <w:pPr>
        <w:spacing w:line="600" w:lineRule="exact"/>
        <w:ind w:firstLine="1650" w:firstLineChars="500"/>
        <w:rPr>
          <w:rFonts w:eastAsia="仿宋"/>
          <w:sz w:val="32"/>
          <w:szCs w:val="32"/>
        </w:rPr>
      </w:pPr>
      <w:r>
        <w:rPr>
          <w:sz w:val="33"/>
          <w:szCs w:val="33"/>
        </w:rPr>
        <w:pict>
          <v:shape id="Object 3" o:spid="_x0000_s1028" o:spt="75" type="#_x0000_t75" style="position:absolute;left:0pt;margin-left:73.15pt;margin-top:225.45pt;height:152.65pt;width:295.5pt;mso-position-vertical-relative:page;mso-wrap-distance-bottom:0.05pt;mso-wrap-distance-top:0pt;z-index:251660288;mso-width-relative:page;mso-height-relative:page;" o:ole="t" filled="f" o:preferrelative="t" stroked="f" coordsize="21600,21600">
            <v:path/>
            <v:fill on="f" focussize="0,0"/>
            <v:stroke on="f"/>
            <v:imagedata r:id="rId9" o:title=""/>
            <o:lock v:ext="edit" aspectratio="t"/>
            <w10:wrap type="topAndBottom"/>
          </v:shape>
          <o:OLEObject Type="Embed" ProgID="Excel.Sheet.8" ShapeID="Object 3" DrawAspect="Content" ObjectID="_1468075726" r:id="rId8">
            <o:LockedField>false</o:LockedField>
          </o:OLEObject>
        </w:pict>
      </w:r>
      <w:r>
        <w:rPr>
          <w:rFonts w:eastAsia="仿宋"/>
          <w:sz w:val="32"/>
          <w:szCs w:val="32"/>
        </w:rPr>
        <w:t>（图2：收入决算结构图）（饼状图）</w:t>
      </w:r>
    </w:p>
    <w:p>
      <w:pPr>
        <w:spacing w:line="600" w:lineRule="exact"/>
        <w:ind w:firstLine="640" w:firstLineChars="200"/>
        <w:rPr>
          <w:rFonts w:eastAsia="仿宋_GB2312"/>
          <w:sz w:val="32"/>
          <w:szCs w:val="32"/>
        </w:rPr>
      </w:pPr>
    </w:p>
    <w:p>
      <w:pPr>
        <w:pStyle w:val="28"/>
        <w:numPr>
          <w:ilvl w:val="0"/>
          <w:numId w:val="2"/>
        </w:numPr>
        <w:spacing w:line="600" w:lineRule="exact"/>
        <w:ind w:firstLineChars="0"/>
        <w:outlineLvl w:val="1"/>
        <w:rPr>
          <w:rStyle w:val="30"/>
          <w:rFonts w:ascii="Times New Roman" w:hAnsi="Times New Roman" w:eastAsia="黑体" w:cs="Times New Roman"/>
          <w:b w:val="0"/>
        </w:rPr>
      </w:pPr>
      <w:bookmarkStart w:id="35" w:name="_Toc15377207"/>
      <w:bookmarkStart w:id="36" w:name="_Toc15396605"/>
      <w:bookmarkStart w:id="37" w:name="_Toc14914"/>
      <w:r>
        <w:rPr>
          <w:rFonts w:eastAsia="黑体"/>
          <w:sz w:val="32"/>
          <w:szCs w:val="32"/>
        </w:rPr>
        <w:t>支</w:t>
      </w:r>
      <w:r>
        <w:rPr>
          <w:rStyle w:val="30"/>
          <w:rFonts w:ascii="Times New Roman" w:hAnsi="Times New Roman" w:eastAsia="黑体" w:cs="Times New Roman"/>
          <w:b w:val="0"/>
        </w:rPr>
        <w:t>出决算情况说明</w:t>
      </w:r>
      <w:bookmarkEnd w:id="35"/>
      <w:bookmarkEnd w:id="36"/>
      <w:bookmarkEnd w:id="37"/>
    </w:p>
    <w:p>
      <w:pPr>
        <w:spacing w:line="600" w:lineRule="exact"/>
        <w:ind w:firstLine="640" w:firstLineChars="200"/>
        <w:outlineLvl w:val="1"/>
        <w:rPr>
          <w:rFonts w:eastAsia="仿宋"/>
          <w:sz w:val="32"/>
          <w:szCs w:val="32"/>
        </w:rPr>
      </w:pPr>
      <w:bookmarkStart w:id="38" w:name="_Toc5745"/>
      <w:r>
        <w:rPr>
          <w:rFonts w:eastAsia="仿宋"/>
          <w:sz w:val="32"/>
          <w:szCs w:val="32"/>
        </w:rPr>
        <w:t>2022年本年支出合计1076.85万元，其中：基本支出945.14万元，占87.77%；项目支出131.71万元，占12.23%；上缴上级支出0万元，占0%；经营支出0万元，占0%；对附属单位补助支出0万元，占0%。</w:t>
      </w:r>
      <w:bookmarkEnd w:id="38"/>
    </w:p>
    <w:p>
      <w:pPr>
        <w:spacing w:line="600" w:lineRule="exact"/>
        <w:ind w:firstLine="640"/>
        <w:rPr>
          <w:rFonts w:eastAsia="仿宋"/>
          <w:sz w:val="32"/>
          <w:szCs w:val="32"/>
          <w:shd w:val="pct10" w:color="auto" w:fill="FFFFFF"/>
        </w:rPr>
      </w:pPr>
      <w:r>
        <w:rPr>
          <w:sz w:val="33"/>
          <w:szCs w:val="33"/>
        </w:rPr>
        <w:pict>
          <v:shape id="Object 4" o:spid="_x0000_s1027" o:spt="75" type="#_x0000_t75" style="position:absolute;left:0pt;margin-left:64.6pt;margin-top:8.55pt;height:156.7pt;width:328.35pt;mso-wrap-distance-bottom:0pt;mso-wrap-distance-left:9pt;mso-wrap-distance-right:9pt;mso-wrap-distance-top:0pt;z-index:251659264;mso-width-relative:page;mso-height-relative:page;" o:ole="t" filled="f" o:preferrelative="t" stroked="f" coordsize="21600,21600">
            <v:path/>
            <v:fill on="f" focussize="0,0"/>
            <v:stroke on="f" joinstyle="miter"/>
            <v:imagedata r:id="rId11" o:title=""/>
            <o:lock v:ext="edit" aspectratio="t"/>
            <w10:wrap type="square"/>
          </v:shape>
          <o:OLEObject Type="Embed" ProgID="Excel.Sheet.8" ShapeID="Object 4" DrawAspect="Content" ObjectID="_1468075727" r:id="rId10">
            <o:LockedField>false</o:LockedField>
          </o:OLEObject>
        </w:pict>
      </w:r>
    </w:p>
    <w:p>
      <w:pPr>
        <w:spacing w:line="600" w:lineRule="exact"/>
        <w:ind w:firstLine="640" w:firstLineChars="200"/>
        <w:rPr>
          <w:rFonts w:eastAsia="仿宋"/>
          <w:sz w:val="32"/>
          <w:szCs w:val="32"/>
        </w:rPr>
      </w:pPr>
      <w:r>
        <w:rPr>
          <w:rFonts w:eastAsia="仿宋"/>
          <w:sz w:val="32"/>
          <w:szCs w:val="32"/>
        </w:rPr>
        <w:t>（图3：支出决算结构图）（饼状图）</w:t>
      </w:r>
    </w:p>
    <w:p>
      <w:pPr>
        <w:spacing w:line="600" w:lineRule="exact"/>
        <w:ind w:firstLine="640" w:firstLineChars="200"/>
        <w:rPr>
          <w:rFonts w:eastAsia="仿宋_GB2312"/>
          <w:sz w:val="32"/>
          <w:szCs w:val="32"/>
        </w:rPr>
      </w:pPr>
    </w:p>
    <w:p>
      <w:pPr>
        <w:spacing w:line="600" w:lineRule="exact"/>
        <w:ind w:firstLine="640" w:firstLineChars="200"/>
        <w:outlineLvl w:val="1"/>
        <w:rPr>
          <w:rStyle w:val="30"/>
          <w:rFonts w:ascii="Times New Roman" w:hAnsi="Times New Roman" w:eastAsia="黑体" w:cs="Times New Roman"/>
          <w:b w:val="0"/>
        </w:rPr>
      </w:pPr>
      <w:bookmarkStart w:id="39" w:name="_Toc15396606"/>
      <w:bookmarkStart w:id="40" w:name="_Toc26982"/>
      <w:bookmarkStart w:id="41" w:name="_Toc15377208"/>
      <w:r>
        <w:rPr>
          <w:rFonts w:eastAsia="黑体"/>
          <w:sz w:val="32"/>
          <w:szCs w:val="32"/>
        </w:rPr>
        <w:t>四、财</w:t>
      </w:r>
      <w:r>
        <w:rPr>
          <w:rStyle w:val="30"/>
          <w:rFonts w:ascii="Times New Roman" w:hAnsi="Times New Roman" w:eastAsia="黑体" w:cs="Times New Roman"/>
          <w:b w:val="0"/>
        </w:rPr>
        <w:t>政拨款收入支出决算总体情况说明</w:t>
      </w:r>
      <w:bookmarkEnd w:id="39"/>
      <w:bookmarkEnd w:id="40"/>
      <w:bookmarkEnd w:id="41"/>
    </w:p>
    <w:p>
      <w:pPr>
        <w:spacing w:line="600" w:lineRule="exact"/>
        <w:ind w:firstLine="640" w:firstLineChars="200"/>
        <w:rPr>
          <w:rFonts w:ascii="仿宋" w:hAnsi="仿宋" w:eastAsia="仿宋"/>
          <w:sz w:val="32"/>
          <w:szCs w:val="32"/>
        </w:rPr>
      </w:pPr>
      <w:r>
        <w:rPr>
          <w:rFonts w:eastAsia="仿宋"/>
          <w:sz w:val="32"/>
          <w:szCs w:val="32"/>
        </w:rPr>
        <w:t>2022年度收、支总计</w:t>
      </w:r>
      <w:r>
        <w:rPr>
          <w:rFonts w:hint="eastAsia" w:eastAsia="仿宋"/>
          <w:sz w:val="32"/>
          <w:szCs w:val="32"/>
        </w:rPr>
        <w:t>969.62</w:t>
      </w:r>
      <w:r>
        <w:rPr>
          <w:rFonts w:eastAsia="仿宋"/>
          <w:sz w:val="32"/>
          <w:szCs w:val="32"/>
        </w:rPr>
        <w:t>万元。与2021年相比，</w:t>
      </w:r>
      <w:r>
        <w:rPr>
          <w:rFonts w:eastAsia="仿宋"/>
          <w:color w:val="000000"/>
          <w:sz w:val="32"/>
          <w:szCs w:val="32"/>
        </w:rPr>
        <w:t>收入减少</w:t>
      </w:r>
      <w:r>
        <w:rPr>
          <w:rFonts w:hint="eastAsia" w:eastAsia="仿宋"/>
          <w:color w:val="000000"/>
          <w:sz w:val="32"/>
          <w:szCs w:val="32"/>
        </w:rPr>
        <w:t>566.55</w:t>
      </w:r>
      <w:r>
        <w:rPr>
          <w:rFonts w:eastAsia="仿宋"/>
          <w:color w:val="000000"/>
          <w:sz w:val="32"/>
          <w:szCs w:val="32"/>
        </w:rPr>
        <w:t>万元，下降约</w:t>
      </w:r>
      <w:r>
        <w:rPr>
          <w:rFonts w:hint="eastAsia" w:eastAsia="仿宋"/>
          <w:color w:val="000000"/>
          <w:sz w:val="32"/>
          <w:szCs w:val="32"/>
        </w:rPr>
        <w:t>53.89</w:t>
      </w:r>
      <w:r>
        <w:rPr>
          <w:rFonts w:eastAsia="仿宋"/>
          <w:color w:val="000000"/>
          <w:sz w:val="32"/>
          <w:szCs w:val="32"/>
        </w:rPr>
        <w:t>%，主要原因是</w:t>
      </w:r>
      <w:r>
        <w:rPr>
          <w:rFonts w:hint="eastAsia" w:ascii="仿宋" w:hAnsi="仿宋" w:eastAsia="仿宋"/>
          <w:sz w:val="32"/>
          <w:szCs w:val="32"/>
        </w:rPr>
        <w:t>检法两院上划至市级代管，县级部分的人员和项目经费仍由原渠道保障</w:t>
      </w:r>
      <w:r>
        <w:rPr>
          <w:rFonts w:eastAsia="仿宋"/>
          <w:color w:val="000000"/>
          <w:sz w:val="32"/>
          <w:szCs w:val="32"/>
        </w:rPr>
        <w:t>。支出减少</w:t>
      </w:r>
      <w:r>
        <w:rPr>
          <w:rFonts w:hint="eastAsia" w:eastAsia="仿宋"/>
          <w:color w:val="000000"/>
          <w:sz w:val="32"/>
          <w:szCs w:val="32"/>
        </w:rPr>
        <w:t>605.14</w:t>
      </w:r>
      <w:r>
        <w:rPr>
          <w:rFonts w:eastAsia="仿宋"/>
          <w:color w:val="000000"/>
          <w:sz w:val="32"/>
          <w:szCs w:val="32"/>
        </w:rPr>
        <w:t>万元，下降约</w:t>
      </w:r>
      <w:r>
        <w:rPr>
          <w:rFonts w:hint="eastAsia" w:eastAsia="仿宋"/>
          <w:color w:val="000000"/>
          <w:sz w:val="32"/>
          <w:szCs w:val="32"/>
        </w:rPr>
        <w:t>53.89</w:t>
      </w:r>
      <w:r>
        <w:rPr>
          <w:rFonts w:eastAsia="仿宋"/>
          <w:color w:val="000000"/>
          <w:sz w:val="32"/>
          <w:szCs w:val="32"/>
        </w:rPr>
        <w:t>%，</w:t>
      </w:r>
      <w:r>
        <w:rPr>
          <w:rFonts w:hint="eastAsia" w:ascii="仿宋" w:hAnsi="仿宋" w:eastAsia="仿宋"/>
          <w:sz w:val="32"/>
          <w:szCs w:val="32"/>
        </w:rPr>
        <w:t>是检法两院上划至市级代管，县级部分的人员和项目经费仍由原渠道保障。</w:t>
      </w:r>
    </w:p>
    <w:p>
      <w:pPr>
        <w:spacing w:line="600" w:lineRule="exact"/>
        <w:rPr>
          <w:rFonts w:eastAsia="仿宋"/>
          <w:sz w:val="32"/>
          <w:szCs w:val="32"/>
        </w:rPr>
      </w:pPr>
      <w:r>
        <w:rPr>
          <w:sz w:val="33"/>
          <w:szCs w:val="33"/>
        </w:rPr>
        <w:pict>
          <v:shape id="_x0000_s1029" o:spid="_x0000_s1029" o:spt="75" type="#_x0000_t75" style="position:absolute;left:0pt;margin-left:47pt;margin-top:11.4pt;height:254.05pt;width:335.4pt;mso-wrap-distance-left:9pt;mso-wrap-distance-right:9pt;z-index:-251655168;mso-width-relative:page;mso-height-relative:page;" o:ole="t" filled="f" o:preferrelative="t" stroked="f" coordsize="21600,21600" wrapcoords="21592 -2 0 0 0 21600 21592 21602 8 21602 21600 21600 21600 0 8 -2 21592 -2">
            <v:path/>
            <v:fill on="f" focussize="0,0"/>
            <v:stroke on="f"/>
            <v:imagedata r:id="rId13" o:title=""/>
            <o:lock v:ext="edit" aspectratio="t"/>
            <w10:wrap type="tight"/>
          </v:shape>
          <o:OLEObject Type="Embed" ProgID="Excel.Sheet.8" ShapeID="_x0000_s1029" DrawAspect="Content" ObjectID="_1468075728" r:id="rId12">
            <o:LockedField>false</o:LockedField>
          </o:OLEObject>
        </w:pict>
      </w:r>
    </w:p>
    <w:p>
      <w:pPr>
        <w:spacing w:line="600" w:lineRule="exact"/>
        <w:ind w:firstLine="640" w:firstLineChars="200"/>
        <w:rPr>
          <w:rFonts w:eastAsia="仿宋"/>
          <w:sz w:val="32"/>
          <w:szCs w:val="32"/>
        </w:rPr>
      </w:pPr>
      <w:r>
        <w:rPr>
          <w:rFonts w:eastAsia="仿宋"/>
          <w:sz w:val="32"/>
          <w:szCs w:val="32"/>
        </w:rPr>
        <w:t>（图4：财政拨款收、支决算总计变动情况）（柱状图）</w:t>
      </w:r>
    </w:p>
    <w:p>
      <w:pPr>
        <w:spacing w:line="600" w:lineRule="exact"/>
        <w:ind w:firstLine="640"/>
        <w:rPr>
          <w:rFonts w:eastAsia="仿宋"/>
          <w:b/>
          <w:sz w:val="32"/>
          <w:szCs w:val="32"/>
        </w:rPr>
      </w:pPr>
    </w:p>
    <w:p>
      <w:pPr>
        <w:spacing w:line="600" w:lineRule="exact"/>
        <w:ind w:firstLine="640" w:firstLineChars="200"/>
        <w:outlineLvl w:val="1"/>
        <w:rPr>
          <w:rStyle w:val="30"/>
          <w:rFonts w:ascii="Times New Roman" w:hAnsi="Times New Roman" w:eastAsia="黑体" w:cs="Times New Roman"/>
          <w:b w:val="0"/>
        </w:rPr>
      </w:pPr>
      <w:bookmarkStart w:id="42" w:name="_Toc15396607"/>
      <w:bookmarkStart w:id="43" w:name="_Toc15377209"/>
      <w:bookmarkStart w:id="44" w:name="_Toc9669"/>
      <w:r>
        <w:rPr>
          <w:rFonts w:eastAsia="黑体"/>
          <w:sz w:val="32"/>
          <w:szCs w:val="32"/>
        </w:rPr>
        <w:t>五、</w:t>
      </w:r>
      <w:r>
        <w:rPr>
          <w:rFonts w:eastAsia="黑体"/>
          <w:b/>
          <w:sz w:val="32"/>
          <w:szCs w:val="32"/>
        </w:rPr>
        <w:t>一</w:t>
      </w:r>
      <w:r>
        <w:rPr>
          <w:rStyle w:val="30"/>
          <w:rFonts w:ascii="Times New Roman" w:hAnsi="Times New Roman" w:eastAsia="黑体" w:cs="Times New Roman"/>
          <w:b w:val="0"/>
        </w:rPr>
        <w:t>般公共预算财政拨款支出决算情况说明</w:t>
      </w:r>
      <w:bookmarkEnd w:id="42"/>
      <w:bookmarkEnd w:id="43"/>
      <w:bookmarkEnd w:id="44"/>
    </w:p>
    <w:p>
      <w:pPr>
        <w:spacing w:line="600" w:lineRule="exact"/>
        <w:ind w:firstLine="643" w:firstLineChars="200"/>
        <w:outlineLvl w:val="2"/>
        <w:rPr>
          <w:rFonts w:eastAsia="仿宋"/>
          <w:b/>
          <w:sz w:val="32"/>
          <w:szCs w:val="32"/>
        </w:rPr>
      </w:pPr>
      <w:bookmarkStart w:id="45" w:name="_Toc1703"/>
      <w:bookmarkStart w:id="46" w:name="_Toc15377210"/>
      <w:r>
        <w:rPr>
          <w:rFonts w:eastAsia="仿宋"/>
          <w:b/>
          <w:sz w:val="32"/>
          <w:szCs w:val="32"/>
        </w:rPr>
        <w:t>（一）一般公共预算财政拨款支出决算总体情况</w:t>
      </w:r>
      <w:bookmarkEnd w:id="45"/>
      <w:bookmarkEnd w:id="46"/>
    </w:p>
    <w:p>
      <w:pPr>
        <w:spacing w:line="600" w:lineRule="exact"/>
        <w:ind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2022年一般公共预算财政拨款支出484.81万元，占本年支出合计的45.02%。与2021年相比，一般公共预算财政拨款支出减少605.14万元，下降55.52%。主要变动原因是检法两院上划至市级代管，县级部分的人员和项目经费仍由原渠道保障。</w:t>
      </w:r>
    </w:p>
    <w:p>
      <w:pPr>
        <w:spacing w:line="600" w:lineRule="exact"/>
        <w:ind w:firstLine="640" w:firstLineChars="200"/>
        <w:rPr>
          <w:rFonts w:eastAsia="仿宋"/>
          <w:sz w:val="32"/>
          <w:szCs w:val="32"/>
        </w:rPr>
      </w:pPr>
    </w:p>
    <w:p>
      <w:pPr>
        <w:spacing w:line="600" w:lineRule="exact"/>
        <w:ind w:firstLine="640" w:firstLineChars="200"/>
        <w:rPr>
          <w:rFonts w:eastAsia="仿宋"/>
          <w:sz w:val="32"/>
          <w:szCs w:val="32"/>
        </w:rPr>
      </w:pPr>
      <w:r>
        <w:rPr>
          <w:rFonts w:eastAsia="仿宋"/>
          <w:sz w:val="32"/>
          <w:szCs w:val="32"/>
        </w:rPr>
        <w:pict>
          <v:shape id="Object 11" o:spid="_x0000_s1031" o:spt="75" type="#_x0000_t75" style="position:absolute;left:0pt;margin-left:58.05pt;margin-top:263.65pt;height:214pt;width:335.65pt;mso-position-vertical-relative:page;mso-wrap-distance-bottom:0pt;mso-wrap-distance-top:0pt;z-index:251662336;mso-width-relative:page;mso-height-relative:page;" o:ole="t" filled="f" o:preferrelative="t" stroked="f" coordsize="21600,21600">
            <v:path/>
            <v:fill on="f" focussize="0,0"/>
            <v:stroke on="f"/>
            <v:imagedata r:id="rId15" o:title=""/>
            <o:lock v:ext="edit" aspectratio="t"/>
            <w10:wrap type="topAndBottom"/>
          </v:shape>
          <o:OLEObject Type="Embed" ProgID="Excel.Sheet.8" ShapeID="Object 11" DrawAspect="Content" ObjectID="_1468075729" r:id="rId14">
            <o:LockedField>false</o:LockedField>
          </o:OLEObject>
        </w:pict>
      </w:r>
    </w:p>
    <w:p>
      <w:pPr>
        <w:spacing w:line="600" w:lineRule="exact"/>
        <w:ind w:firstLine="640" w:firstLineChars="200"/>
        <w:rPr>
          <w:rFonts w:eastAsia="仿宋"/>
          <w:sz w:val="32"/>
          <w:szCs w:val="32"/>
        </w:rPr>
      </w:pPr>
      <w:r>
        <w:rPr>
          <w:rFonts w:eastAsia="仿宋"/>
          <w:sz w:val="32"/>
          <w:szCs w:val="32"/>
        </w:rPr>
        <w:t>（图5：一般公共预算财政拨款支出决算变动情况）（柱状图）</w:t>
      </w:r>
    </w:p>
    <w:p>
      <w:pPr>
        <w:spacing w:line="600" w:lineRule="exact"/>
        <w:ind w:firstLine="640" w:firstLineChars="200"/>
        <w:rPr>
          <w:rFonts w:eastAsia="仿宋"/>
          <w:sz w:val="32"/>
          <w:szCs w:val="32"/>
        </w:rPr>
      </w:pPr>
    </w:p>
    <w:p>
      <w:pPr>
        <w:spacing w:line="600" w:lineRule="exact"/>
        <w:ind w:firstLine="643" w:firstLineChars="200"/>
        <w:outlineLvl w:val="2"/>
        <w:rPr>
          <w:rFonts w:eastAsia="仿宋"/>
          <w:b/>
          <w:sz w:val="32"/>
          <w:szCs w:val="32"/>
        </w:rPr>
      </w:pPr>
      <w:bookmarkStart w:id="47" w:name="_Toc15377211"/>
      <w:bookmarkStart w:id="48" w:name="_Toc20725"/>
      <w:r>
        <w:rPr>
          <w:rFonts w:eastAsia="仿宋"/>
          <w:b/>
          <w:sz w:val="32"/>
          <w:szCs w:val="32"/>
        </w:rPr>
        <w:t>（二）一般公共预算财政拨款支出决算结构情况</w:t>
      </w:r>
      <w:bookmarkEnd w:id="47"/>
      <w:bookmarkEnd w:id="48"/>
    </w:p>
    <w:p>
      <w:pPr>
        <w:spacing w:line="560" w:lineRule="exact"/>
        <w:ind w:firstLine="640"/>
        <w:rPr>
          <w:rFonts w:eastAsia="仿宋"/>
          <w:color w:val="000000"/>
          <w:sz w:val="32"/>
          <w:szCs w:val="32"/>
        </w:rPr>
      </w:pPr>
      <w:r>
        <w:rPr>
          <w:rFonts w:eastAsia="仿宋"/>
          <w:sz w:val="32"/>
          <w:szCs w:val="32"/>
        </w:rPr>
        <w:t>2022年一般公共预算财政拨款支出484.81万元，主要用于以下方面:</w:t>
      </w:r>
      <w:r>
        <w:rPr>
          <w:rFonts w:eastAsia="仿宋"/>
          <w:b/>
          <w:bCs/>
          <w:color w:val="000000"/>
          <w:sz w:val="32"/>
          <w:szCs w:val="32"/>
        </w:rPr>
        <w:t>公共安全支出</w:t>
      </w:r>
      <w:r>
        <w:rPr>
          <w:rFonts w:eastAsia="仿宋"/>
          <w:b/>
          <w:color w:val="000000"/>
          <w:sz w:val="32"/>
          <w:szCs w:val="32"/>
        </w:rPr>
        <w:t>（类）</w:t>
      </w:r>
      <w:r>
        <w:rPr>
          <w:rFonts w:eastAsia="仿宋"/>
          <w:color w:val="000000"/>
          <w:sz w:val="32"/>
          <w:szCs w:val="32"/>
        </w:rPr>
        <w:t>支出365.33万元，占</w:t>
      </w:r>
      <w:r>
        <w:rPr>
          <w:rFonts w:hint="eastAsia" w:eastAsia="仿宋"/>
          <w:color w:val="000000"/>
          <w:sz w:val="32"/>
          <w:szCs w:val="32"/>
        </w:rPr>
        <w:t>75.36</w:t>
      </w:r>
      <w:r>
        <w:rPr>
          <w:rFonts w:eastAsia="仿宋"/>
          <w:color w:val="000000"/>
          <w:sz w:val="32"/>
          <w:szCs w:val="32"/>
        </w:rPr>
        <w:t>%；</w:t>
      </w:r>
      <w:r>
        <w:rPr>
          <w:rFonts w:eastAsia="仿宋"/>
          <w:b/>
          <w:color w:val="000000"/>
          <w:sz w:val="32"/>
          <w:szCs w:val="32"/>
        </w:rPr>
        <w:t>社会保障和就业（类）</w:t>
      </w:r>
      <w:r>
        <w:rPr>
          <w:rFonts w:eastAsia="仿宋"/>
          <w:color w:val="000000"/>
          <w:sz w:val="32"/>
          <w:szCs w:val="32"/>
        </w:rPr>
        <w:t>支出31.54万元，占</w:t>
      </w:r>
      <w:r>
        <w:rPr>
          <w:rFonts w:hint="eastAsia" w:eastAsia="仿宋"/>
          <w:color w:val="000000"/>
          <w:sz w:val="32"/>
          <w:szCs w:val="32"/>
        </w:rPr>
        <w:t>6.51</w:t>
      </w:r>
      <w:r>
        <w:rPr>
          <w:rFonts w:eastAsia="仿宋"/>
          <w:color w:val="000000"/>
          <w:sz w:val="32"/>
          <w:szCs w:val="32"/>
        </w:rPr>
        <w:t>%；</w:t>
      </w:r>
      <w:r>
        <w:rPr>
          <w:rFonts w:eastAsia="仿宋"/>
          <w:b/>
          <w:color w:val="000000"/>
          <w:sz w:val="32"/>
          <w:szCs w:val="32"/>
        </w:rPr>
        <w:t>卫生健康</w:t>
      </w:r>
      <w:r>
        <w:rPr>
          <w:rFonts w:eastAsia="仿宋"/>
          <w:color w:val="000000"/>
          <w:sz w:val="32"/>
          <w:szCs w:val="32"/>
        </w:rPr>
        <w:t>支出42.71万元，占</w:t>
      </w:r>
      <w:r>
        <w:rPr>
          <w:rFonts w:hint="eastAsia" w:eastAsia="仿宋"/>
          <w:color w:val="000000"/>
          <w:sz w:val="32"/>
          <w:szCs w:val="32"/>
        </w:rPr>
        <w:t>8.8</w:t>
      </w:r>
      <w:r>
        <w:rPr>
          <w:rFonts w:eastAsia="仿宋"/>
          <w:color w:val="000000"/>
          <w:sz w:val="32"/>
          <w:szCs w:val="32"/>
        </w:rPr>
        <w:t>%，</w:t>
      </w:r>
      <w:r>
        <w:rPr>
          <w:rFonts w:eastAsia="仿宋"/>
          <w:b/>
          <w:bCs/>
          <w:color w:val="000000"/>
          <w:sz w:val="32"/>
          <w:szCs w:val="32"/>
        </w:rPr>
        <w:t>住房保障</w:t>
      </w:r>
      <w:r>
        <w:rPr>
          <w:rFonts w:eastAsia="仿宋"/>
          <w:color w:val="000000"/>
          <w:sz w:val="32"/>
          <w:szCs w:val="32"/>
        </w:rPr>
        <w:t>支出45.23万元，占</w:t>
      </w:r>
      <w:r>
        <w:rPr>
          <w:rFonts w:hint="eastAsia" w:eastAsia="仿宋"/>
          <w:color w:val="000000"/>
          <w:sz w:val="32"/>
          <w:szCs w:val="32"/>
        </w:rPr>
        <w:t>9.33</w:t>
      </w:r>
      <w:r>
        <w:rPr>
          <w:rFonts w:eastAsia="仿宋"/>
          <w:color w:val="000000"/>
          <w:sz w:val="32"/>
          <w:szCs w:val="32"/>
        </w:rPr>
        <w:t>%。</w:t>
      </w:r>
    </w:p>
    <w:p>
      <w:pPr>
        <w:spacing w:line="600" w:lineRule="exact"/>
        <w:ind w:firstLine="640"/>
        <w:rPr>
          <w:rFonts w:eastAsia="仿宋"/>
          <w:sz w:val="32"/>
          <w:szCs w:val="32"/>
        </w:rPr>
      </w:pPr>
    </w:p>
    <w:p>
      <w:pPr>
        <w:spacing w:line="600" w:lineRule="exact"/>
        <w:ind w:firstLine="640"/>
        <w:rPr>
          <w:rFonts w:eastAsia="仿宋"/>
          <w:sz w:val="32"/>
          <w:szCs w:val="32"/>
        </w:rPr>
      </w:pPr>
      <w:r>
        <w:rPr>
          <w:sz w:val="33"/>
          <w:szCs w:val="33"/>
        </w:rPr>
        <w:pict>
          <v:shape id="Object 12" o:spid="_x0000_s1032" o:spt="75" type="#_x0000_t75" style="position:absolute;left:0pt;margin-left:50.1pt;margin-top:27.15pt;height:192.55pt;width:364.25pt;mso-wrap-distance-left:9pt;mso-wrap-distance-right:9pt;z-index:-251653120;mso-width-relative:page;mso-height-relative:page;" o:ole="t" filled="f" o:preferrelative="t" stroked="f" coordsize="21600,21600" wrapcoords="21592 -2 0 0 0 21600 21592 21602 8 21602 21600 21600 21600 0 8 -2 21592 -2">
            <v:path/>
            <v:fill on="f" focussize="0,0"/>
            <v:stroke on="f"/>
            <v:imagedata r:id="rId17" o:title=""/>
            <o:lock v:ext="edit" aspectratio="t"/>
            <w10:wrap type="tight"/>
          </v:shape>
          <o:OLEObject Type="Embed" ProgID="Excel.Sheet.8" ShapeID="Object 12" DrawAspect="Content" ObjectID="_1468075730" r:id="rId16">
            <o:LockedField>false</o:LockedField>
          </o:OLEObject>
        </w:pict>
      </w:r>
    </w:p>
    <w:p>
      <w:pPr>
        <w:spacing w:line="600" w:lineRule="exact"/>
        <w:ind w:firstLine="640" w:firstLineChars="200"/>
        <w:rPr>
          <w:rFonts w:eastAsia="仿宋"/>
          <w:sz w:val="32"/>
          <w:szCs w:val="32"/>
        </w:rPr>
      </w:pPr>
      <w:r>
        <w:rPr>
          <w:rFonts w:eastAsia="仿宋"/>
          <w:sz w:val="32"/>
          <w:szCs w:val="32"/>
        </w:rPr>
        <w:t>（图6：一般公共预算财政拨款支出决算结构）（饼状图）</w:t>
      </w:r>
    </w:p>
    <w:p>
      <w:pPr>
        <w:spacing w:line="600" w:lineRule="exact"/>
        <w:ind w:firstLine="640" w:firstLineChars="200"/>
        <w:rPr>
          <w:rFonts w:eastAsia="仿宋"/>
          <w:sz w:val="32"/>
          <w:szCs w:val="32"/>
        </w:rPr>
      </w:pPr>
    </w:p>
    <w:p>
      <w:pPr>
        <w:spacing w:line="600" w:lineRule="exact"/>
        <w:ind w:firstLine="643" w:firstLineChars="200"/>
        <w:outlineLvl w:val="2"/>
        <w:rPr>
          <w:rFonts w:eastAsia="仿宋"/>
          <w:b/>
          <w:sz w:val="32"/>
          <w:szCs w:val="32"/>
        </w:rPr>
      </w:pPr>
      <w:bookmarkStart w:id="49" w:name="_Toc15377212"/>
      <w:bookmarkStart w:id="50" w:name="_Toc24161"/>
      <w:r>
        <w:rPr>
          <w:rFonts w:eastAsia="仿宋"/>
          <w:b/>
          <w:sz w:val="32"/>
          <w:szCs w:val="32"/>
        </w:rPr>
        <w:t>（三）一般公共预算财政拨款支出决算具体情况</w:t>
      </w:r>
      <w:bookmarkEnd w:id="49"/>
      <w:bookmarkEnd w:id="50"/>
    </w:p>
    <w:p>
      <w:pPr>
        <w:spacing w:line="600" w:lineRule="exact"/>
        <w:ind w:firstLine="643" w:firstLineChars="200"/>
        <w:outlineLvl w:val="2"/>
        <w:rPr>
          <w:rFonts w:eastAsia="仿宋"/>
          <w:sz w:val="32"/>
          <w:szCs w:val="32"/>
        </w:rPr>
      </w:pPr>
      <w:bookmarkStart w:id="51" w:name="_Toc15378460"/>
      <w:bookmarkStart w:id="52" w:name="_Toc15377444"/>
      <w:bookmarkStart w:id="53" w:name="_Toc15377213"/>
      <w:r>
        <w:rPr>
          <w:rFonts w:eastAsia="仿宋"/>
          <w:b/>
          <w:sz w:val="32"/>
          <w:szCs w:val="32"/>
        </w:rPr>
        <w:t>2022</w:t>
      </w:r>
      <w:r>
        <w:rPr>
          <w:rFonts w:hAnsi="仿宋" w:eastAsia="仿宋"/>
          <w:b/>
          <w:sz w:val="32"/>
          <w:szCs w:val="32"/>
        </w:rPr>
        <w:t>年一般公共预算支出决算数为</w:t>
      </w:r>
      <w:r>
        <w:rPr>
          <w:rFonts w:eastAsia="仿宋"/>
          <w:sz w:val="32"/>
          <w:szCs w:val="32"/>
        </w:rPr>
        <w:t>484.81</w:t>
      </w:r>
      <w:r>
        <w:rPr>
          <w:rFonts w:hAnsi="仿宋" w:eastAsia="仿宋"/>
          <w:sz w:val="32"/>
          <w:szCs w:val="32"/>
        </w:rPr>
        <w:t>，</w:t>
      </w:r>
      <w:r>
        <w:rPr>
          <w:rStyle w:val="17"/>
          <w:rFonts w:hAnsi="仿宋" w:eastAsia="仿宋"/>
          <w:bCs/>
          <w:sz w:val="32"/>
          <w:szCs w:val="32"/>
        </w:rPr>
        <w:t>完成预算</w:t>
      </w:r>
      <w:r>
        <w:rPr>
          <w:rStyle w:val="17"/>
          <w:rFonts w:eastAsia="仿宋"/>
          <w:bCs/>
          <w:sz w:val="32"/>
          <w:szCs w:val="32"/>
        </w:rPr>
        <w:t>100%</w:t>
      </w:r>
      <w:r>
        <w:rPr>
          <w:rStyle w:val="17"/>
          <w:rFonts w:hAnsi="仿宋" w:eastAsia="仿宋"/>
          <w:bCs/>
          <w:sz w:val="32"/>
          <w:szCs w:val="32"/>
        </w:rPr>
        <w:t>。其中：</w:t>
      </w:r>
    </w:p>
    <w:p>
      <w:pPr>
        <w:spacing w:line="600" w:lineRule="exact"/>
        <w:ind w:firstLine="643" w:firstLineChars="200"/>
        <w:rPr>
          <w:rFonts w:eastAsia="仿宋"/>
          <w:sz w:val="32"/>
          <w:szCs w:val="32"/>
        </w:rPr>
      </w:pPr>
      <w:r>
        <w:rPr>
          <w:rStyle w:val="17"/>
          <w:rFonts w:eastAsia="仿宋_GB2312"/>
          <w:bCs/>
          <w:sz w:val="32"/>
          <w:szCs w:val="32"/>
        </w:rPr>
        <w:t>1.</w:t>
      </w:r>
      <w:r>
        <w:rPr>
          <w:rFonts w:hint="eastAsia" w:hAnsi="仿宋" w:eastAsia="仿宋"/>
          <w:b/>
          <w:sz w:val="32"/>
          <w:szCs w:val="32"/>
        </w:rPr>
        <w:t>公共安全支出（类）</w:t>
      </w:r>
      <w:r>
        <w:rPr>
          <w:rFonts w:hAnsi="仿宋" w:eastAsia="仿宋"/>
          <w:b/>
          <w:sz w:val="32"/>
          <w:szCs w:val="32"/>
        </w:rPr>
        <w:t>检察</w:t>
      </w:r>
      <w:r>
        <w:rPr>
          <w:rFonts w:hint="eastAsia" w:hAnsi="仿宋" w:eastAsia="仿宋"/>
          <w:b/>
          <w:sz w:val="32"/>
          <w:szCs w:val="32"/>
        </w:rPr>
        <w:t>（款）</w:t>
      </w:r>
      <w:r>
        <w:rPr>
          <w:rFonts w:hAnsi="仿宋" w:eastAsia="仿宋"/>
          <w:b/>
          <w:sz w:val="32"/>
          <w:szCs w:val="32"/>
        </w:rPr>
        <w:t>行政运行</w:t>
      </w:r>
      <w:r>
        <w:rPr>
          <w:rFonts w:hint="eastAsia" w:hAnsi="仿宋" w:eastAsia="仿宋"/>
          <w:b/>
          <w:sz w:val="32"/>
          <w:szCs w:val="32"/>
        </w:rPr>
        <w:t>（项）</w:t>
      </w:r>
      <w:r>
        <w:rPr>
          <w:rStyle w:val="17"/>
          <w:rFonts w:eastAsia="仿宋_GB2312"/>
          <w:bCs/>
          <w:sz w:val="32"/>
          <w:szCs w:val="32"/>
        </w:rPr>
        <w:t xml:space="preserve">: </w:t>
      </w:r>
      <w:r>
        <w:rPr>
          <w:rFonts w:eastAsia="仿宋"/>
          <w:sz w:val="32"/>
          <w:szCs w:val="32"/>
        </w:rPr>
        <w:t>支出决算为306.89万元，完成预算100%。</w:t>
      </w:r>
    </w:p>
    <w:p>
      <w:pPr>
        <w:spacing w:line="600" w:lineRule="exact"/>
        <w:ind w:firstLine="643" w:firstLineChars="200"/>
        <w:rPr>
          <w:rFonts w:eastAsia="仿宋_GB2312"/>
          <w:b/>
          <w:bCs/>
          <w:sz w:val="32"/>
          <w:szCs w:val="32"/>
        </w:rPr>
      </w:pPr>
      <w:r>
        <w:rPr>
          <w:rStyle w:val="17"/>
          <w:rFonts w:eastAsia="仿宋_GB2312"/>
          <w:bCs/>
          <w:sz w:val="32"/>
          <w:szCs w:val="32"/>
        </w:rPr>
        <w:t xml:space="preserve">2. </w:t>
      </w:r>
      <w:r>
        <w:rPr>
          <w:rStyle w:val="17"/>
          <w:rFonts w:ascii="仿宋" w:hAnsi="仿宋" w:eastAsia="仿宋"/>
          <w:bCs/>
          <w:sz w:val="32"/>
          <w:szCs w:val="32"/>
        </w:rPr>
        <w:t>公共安全支出（类）检察（款）一般行政管理事务（项）:</w:t>
      </w:r>
      <w:r>
        <w:rPr>
          <w:rStyle w:val="17"/>
          <w:rFonts w:eastAsia="仿宋_GB2312"/>
          <w:bCs/>
          <w:sz w:val="32"/>
          <w:szCs w:val="32"/>
        </w:rPr>
        <w:t xml:space="preserve"> </w:t>
      </w:r>
      <w:r>
        <w:rPr>
          <w:rFonts w:eastAsia="仿宋"/>
          <w:sz w:val="32"/>
          <w:szCs w:val="32"/>
        </w:rPr>
        <w:t>支出决算为29.89万元，完成预算100%。</w:t>
      </w:r>
    </w:p>
    <w:p>
      <w:pPr>
        <w:spacing w:line="600" w:lineRule="exact"/>
        <w:ind w:firstLine="643" w:firstLineChars="200"/>
        <w:rPr>
          <w:rStyle w:val="17"/>
          <w:rFonts w:eastAsia="仿宋_GB2312"/>
          <w:bCs/>
          <w:sz w:val="32"/>
          <w:szCs w:val="32"/>
        </w:rPr>
      </w:pPr>
      <w:r>
        <w:rPr>
          <w:rStyle w:val="17"/>
          <w:rFonts w:eastAsia="仿宋_GB2312"/>
          <w:bCs/>
          <w:sz w:val="32"/>
          <w:szCs w:val="32"/>
        </w:rPr>
        <w:t xml:space="preserve">3. </w:t>
      </w:r>
      <w:r>
        <w:rPr>
          <w:rStyle w:val="17"/>
          <w:rFonts w:ascii="仿宋" w:hAnsi="仿宋" w:eastAsia="仿宋"/>
          <w:bCs/>
          <w:sz w:val="32"/>
          <w:szCs w:val="32"/>
        </w:rPr>
        <w:t>公共安全支出（类）检察（款）其他公共安全支出（项）</w:t>
      </w:r>
      <w:r>
        <w:rPr>
          <w:rStyle w:val="17"/>
          <w:rFonts w:eastAsia="仿宋_GB2312"/>
          <w:bCs/>
          <w:sz w:val="32"/>
          <w:szCs w:val="32"/>
        </w:rPr>
        <w:t xml:space="preserve">: </w:t>
      </w:r>
      <w:r>
        <w:rPr>
          <w:rFonts w:eastAsia="仿宋"/>
          <w:sz w:val="32"/>
          <w:szCs w:val="32"/>
        </w:rPr>
        <w:t>支出决算为28.55万元，完成预算100%。</w:t>
      </w:r>
    </w:p>
    <w:p>
      <w:pPr>
        <w:spacing w:line="600" w:lineRule="exact"/>
        <w:ind w:firstLine="643" w:firstLineChars="200"/>
        <w:rPr>
          <w:rFonts w:eastAsia="仿宋_GB2312"/>
          <w:b/>
          <w:sz w:val="32"/>
          <w:szCs w:val="32"/>
        </w:rPr>
      </w:pPr>
      <w:r>
        <w:rPr>
          <w:rStyle w:val="17"/>
          <w:rFonts w:eastAsia="仿宋_GB2312"/>
          <w:bCs/>
          <w:sz w:val="32"/>
          <w:szCs w:val="32"/>
        </w:rPr>
        <w:t>4.</w:t>
      </w:r>
      <w:r>
        <w:rPr>
          <w:rStyle w:val="17"/>
          <w:rFonts w:hint="eastAsia" w:eastAsia="仿宋_GB2312"/>
          <w:bCs/>
          <w:sz w:val="32"/>
          <w:szCs w:val="32"/>
        </w:rPr>
        <w:t xml:space="preserve"> </w:t>
      </w:r>
      <w:r>
        <w:rPr>
          <w:rStyle w:val="17"/>
          <w:rFonts w:ascii="仿宋" w:hAnsi="仿宋" w:eastAsia="仿宋"/>
          <w:bCs/>
          <w:sz w:val="32"/>
          <w:szCs w:val="32"/>
        </w:rPr>
        <w:t>公共安全支出（类）检察（款）一般行政管理事务（项）:</w:t>
      </w:r>
      <w:r>
        <w:rPr>
          <w:rStyle w:val="17"/>
          <w:rFonts w:eastAsia="仿宋_GB2312"/>
          <w:bCs/>
          <w:sz w:val="32"/>
          <w:szCs w:val="32"/>
        </w:rPr>
        <w:t xml:space="preserve"> </w:t>
      </w:r>
      <w:r>
        <w:rPr>
          <w:rFonts w:eastAsia="仿宋"/>
          <w:sz w:val="32"/>
          <w:szCs w:val="32"/>
        </w:rPr>
        <w:t>支出决算为29.89万元，完成预算100%。</w:t>
      </w:r>
    </w:p>
    <w:p>
      <w:pPr>
        <w:spacing w:line="600" w:lineRule="exact"/>
        <w:ind w:firstLine="643" w:firstLineChars="200"/>
        <w:rPr>
          <w:rFonts w:eastAsia="仿宋"/>
          <w:sz w:val="32"/>
          <w:szCs w:val="32"/>
        </w:rPr>
      </w:pPr>
      <w:r>
        <w:rPr>
          <w:rStyle w:val="17"/>
          <w:rFonts w:eastAsia="仿宋_GB2312"/>
          <w:bCs/>
          <w:sz w:val="32"/>
          <w:szCs w:val="32"/>
        </w:rPr>
        <w:t>5.</w:t>
      </w:r>
      <w:r>
        <w:rPr>
          <w:rStyle w:val="17"/>
          <w:rFonts w:hint="eastAsia" w:eastAsia="仿宋_GB2312"/>
          <w:bCs/>
          <w:sz w:val="32"/>
          <w:szCs w:val="32"/>
        </w:rPr>
        <w:t xml:space="preserve"> </w:t>
      </w:r>
      <w:r>
        <w:rPr>
          <w:rStyle w:val="17"/>
          <w:rFonts w:ascii="仿宋" w:hAnsi="仿宋" w:eastAsia="仿宋"/>
          <w:bCs/>
          <w:sz w:val="32"/>
          <w:szCs w:val="32"/>
        </w:rPr>
        <w:t>社会保障和就业（类）行政事业单位养老支出（款）机关事业单位基本养老保险缴费支出（项）:</w:t>
      </w:r>
      <w:r>
        <w:rPr>
          <w:rStyle w:val="17"/>
          <w:rFonts w:eastAsia="仿宋_GB2312"/>
          <w:bCs/>
          <w:sz w:val="32"/>
          <w:szCs w:val="32"/>
        </w:rPr>
        <w:t xml:space="preserve"> </w:t>
      </w:r>
      <w:r>
        <w:rPr>
          <w:rFonts w:eastAsia="仿宋"/>
          <w:sz w:val="32"/>
          <w:szCs w:val="32"/>
        </w:rPr>
        <w:t>支出决算为25.04万元，完成预算100%。</w:t>
      </w:r>
    </w:p>
    <w:p>
      <w:pPr>
        <w:spacing w:line="600" w:lineRule="exact"/>
        <w:ind w:firstLine="643" w:firstLineChars="200"/>
        <w:rPr>
          <w:rFonts w:eastAsia="仿宋_GB2312"/>
          <w:b/>
          <w:sz w:val="32"/>
          <w:szCs w:val="32"/>
        </w:rPr>
      </w:pPr>
      <w:r>
        <w:rPr>
          <w:rStyle w:val="17"/>
          <w:rFonts w:eastAsia="仿宋_GB2312"/>
          <w:bCs/>
          <w:sz w:val="32"/>
          <w:szCs w:val="32"/>
        </w:rPr>
        <w:t>6.</w:t>
      </w:r>
      <w:r>
        <w:rPr>
          <w:rStyle w:val="17"/>
          <w:rFonts w:hint="eastAsia" w:eastAsia="仿宋_GB2312"/>
          <w:bCs/>
          <w:sz w:val="32"/>
          <w:szCs w:val="32"/>
        </w:rPr>
        <w:t xml:space="preserve"> </w:t>
      </w:r>
      <w:r>
        <w:rPr>
          <w:rStyle w:val="17"/>
          <w:rFonts w:ascii="仿宋" w:hAnsi="仿宋" w:eastAsia="仿宋"/>
          <w:bCs/>
          <w:sz w:val="32"/>
          <w:szCs w:val="32"/>
        </w:rPr>
        <w:t>社会保障和就业（类）行政事业单位养老支出（款）机关事业单位职业年金缴费支出（项）:</w:t>
      </w:r>
      <w:r>
        <w:rPr>
          <w:rStyle w:val="17"/>
          <w:rFonts w:eastAsia="仿宋_GB2312"/>
          <w:bCs/>
          <w:sz w:val="32"/>
          <w:szCs w:val="32"/>
        </w:rPr>
        <w:t xml:space="preserve"> </w:t>
      </w:r>
      <w:r>
        <w:rPr>
          <w:rFonts w:eastAsia="仿宋_GB2312"/>
          <w:sz w:val="32"/>
          <w:szCs w:val="32"/>
        </w:rPr>
        <w:t>支出决算为6.5万元，完成预算100%。</w:t>
      </w:r>
    </w:p>
    <w:p>
      <w:pPr>
        <w:spacing w:line="600" w:lineRule="exact"/>
        <w:ind w:firstLine="643" w:firstLineChars="200"/>
        <w:rPr>
          <w:rFonts w:eastAsia="仿宋"/>
          <w:sz w:val="32"/>
          <w:szCs w:val="32"/>
        </w:rPr>
      </w:pPr>
      <w:r>
        <w:rPr>
          <w:rStyle w:val="17"/>
          <w:rFonts w:eastAsia="仿宋_GB2312"/>
          <w:bCs/>
          <w:sz w:val="32"/>
          <w:szCs w:val="32"/>
        </w:rPr>
        <w:t>7.</w:t>
      </w:r>
      <w:r>
        <w:rPr>
          <w:rStyle w:val="17"/>
          <w:rFonts w:hint="eastAsia" w:eastAsia="仿宋_GB2312"/>
          <w:bCs/>
          <w:sz w:val="32"/>
          <w:szCs w:val="32"/>
        </w:rPr>
        <w:t xml:space="preserve"> </w:t>
      </w:r>
      <w:r>
        <w:rPr>
          <w:rFonts w:ascii="仿宋" w:hAnsi="仿宋" w:eastAsia="仿宋"/>
          <w:b/>
          <w:bCs/>
          <w:sz w:val="32"/>
          <w:szCs w:val="32"/>
        </w:rPr>
        <w:t>卫生健康</w:t>
      </w:r>
      <w:r>
        <w:rPr>
          <w:rStyle w:val="17"/>
          <w:rFonts w:ascii="仿宋" w:hAnsi="仿宋" w:eastAsia="仿宋"/>
          <w:bCs/>
          <w:sz w:val="32"/>
          <w:szCs w:val="32"/>
        </w:rPr>
        <w:t>（类）行政事业单位医疗（款）行政单位医疗（项）:</w:t>
      </w:r>
      <w:r>
        <w:rPr>
          <w:rFonts w:eastAsia="仿宋"/>
          <w:sz w:val="32"/>
          <w:szCs w:val="32"/>
        </w:rPr>
        <w:t>支出决算为22.28万元，完成预算100%。</w:t>
      </w:r>
    </w:p>
    <w:p>
      <w:pPr>
        <w:spacing w:line="600" w:lineRule="exact"/>
        <w:ind w:firstLine="643" w:firstLineChars="200"/>
        <w:rPr>
          <w:rStyle w:val="17"/>
          <w:rFonts w:eastAsia="仿宋_GB2312"/>
          <w:bCs/>
          <w:sz w:val="32"/>
          <w:szCs w:val="32"/>
        </w:rPr>
      </w:pPr>
      <w:r>
        <w:rPr>
          <w:rStyle w:val="17"/>
          <w:rFonts w:eastAsia="仿宋_GB2312"/>
          <w:bCs/>
          <w:sz w:val="32"/>
          <w:szCs w:val="32"/>
        </w:rPr>
        <w:t>8.</w:t>
      </w:r>
      <w:r>
        <w:rPr>
          <w:rStyle w:val="17"/>
          <w:rFonts w:hint="eastAsia" w:eastAsia="仿宋_GB2312"/>
          <w:bCs/>
          <w:sz w:val="32"/>
          <w:szCs w:val="32"/>
        </w:rPr>
        <w:t xml:space="preserve"> </w:t>
      </w:r>
      <w:r>
        <w:rPr>
          <w:rFonts w:ascii="仿宋" w:hAnsi="仿宋" w:eastAsia="仿宋"/>
          <w:b/>
          <w:bCs/>
          <w:sz w:val="32"/>
          <w:szCs w:val="32"/>
        </w:rPr>
        <w:t>卫生健康</w:t>
      </w:r>
      <w:r>
        <w:rPr>
          <w:rStyle w:val="17"/>
          <w:rFonts w:ascii="仿宋" w:hAnsi="仿宋" w:eastAsia="仿宋"/>
          <w:bCs/>
          <w:sz w:val="32"/>
          <w:szCs w:val="32"/>
        </w:rPr>
        <w:t>（类）行政事业单位医疗（款）公务员医疗补助（项）:</w:t>
      </w:r>
      <w:r>
        <w:rPr>
          <w:rFonts w:eastAsia="仿宋_GB2312"/>
          <w:sz w:val="32"/>
          <w:szCs w:val="32"/>
        </w:rPr>
        <w:t>支出决算为20.43万元，完成预算100%</w:t>
      </w:r>
      <w:r>
        <w:rPr>
          <w:rStyle w:val="17"/>
          <w:rFonts w:eastAsia="仿宋_GB2312"/>
          <w:bCs/>
          <w:sz w:val="32"/>
          <w:szCs w:val="32"/>
        </w:rPr>
        <w:t>。</w:t>
      </w:r>
    </w:p>
    <w:p>
      <w:pPr>
        <w:spacing w:line="600" w:lineRule="exact"/>
        <w:ind w:firstLine="643" w:firstLineChars="200"/>
        <w:rPr>
          <w:rFonts w:eastAsia="仿宋_GB2312"/>
          <w:b/>
          <w:sz w:val="32"/>
          <w:szCs w:val="32"/>
        </w:rPr>
      </w:pPr>
      <w:r>
        <w:rPr>
          <w:rStyle w:val="17"/>
          <w:rFonts w:eastAsia="仿宋_GB2312"/>
          <w:bCs/>
          <w:sz w:val="32"/>
          <w:szCs w:val="32"/>
        </w:rPr>
        <w:t>9.</w:t>
      </w:r>
      <w:r>
        <w:rPr>
          <w:rStyle w:val="17"/>
          <w:rFonts w:hint="eastAsia" w:eastAsia="仿宋_GB2312"/>
          <w:bCs/>
          <w:sz w:val="32"/>
          <w:szCs w:val="32"/>
        </w:rPr>
        <w:t xml:space="preserve"> </w:t>
      </w:r>
      <w:r>
        <w:rPr>
          <w:rStyle w:val="17"/>
          <w:rFonts w:ascii="仿宋" w:hAnsi="仿宋" w:eastAsia="仿宋"/>
          <w:bCs/>
          <w:sz w:val="32"/>
          <w:szCs w:val="32"/>
        </w:rPr>
        <w:t>住房保障支出（类）住房改革支出（款）住房公积金（项）：</w:t>
      </w:r>
      <w:r>
        <w:rPr>
          <w:rFonts w:eastAsia="仿宋"/>
          <w:sz w:val="32"/>
          <w:szCs w:val="32"/>
        </w:rPr>
        <w:t>支出决算为45.23万元，完成预算100%。</w:t>
      </w:r>
    </w:p>
    <w:p>
      <w:pPr>
        <w:spacing w:line="560" w:lineRule="exact"/>
        <w:rPr>
          <w:rFonts w:eastAsia="仿宋_GB2312"/>
          <w:b/>
          <w:color w:val="000000"/>
          <w:sz w:val="32"/>
          <w:szCs w:val="32"/>
        </w:rPr>
      </w:pPr>
    </w:p>
    <w:bookmarkEnd w:id="51"/>
    <w:bookmarkEnd w:id="52"/>
    <w:bookmarkEnd w:id="53"/>
    <w:p>
      <w:pPr>
        <w:tabs>
          <w:tab w:val="right" w:pos="8306"/>
        </w:tabs>
        <w:spacing w:line="600" w:lineRule="exact"/>
        <w:ind w:firstLine="640"/>
        <w:outlineLvl w:val="1"/>
        <w:rPr>
          <w:rStyle w:val="30"/>
          <w:rFonts w:ascii="Times New Roman" w:hAnsi="Times New Roman" w:cs="Times New Roman"/>
        </w:rPr>
      </w:pPr>
      <w:bookmarkStart w:id="54" w:name="_Toc15396608"/>
      <w:bookmarkStart w:id="55" w:name="_Toc15377214"/>
      <w:bookmarkStart w:id="56" w:name="_Toc5252"/>
      <w:r>
        <w:rPr>
          <w:rFonts w:eastAsia="黑体"/>
          <w:sz w:val="32"/>
          <w:szCs w:val="32"/>
        </w:rPr>
        <w:t>六</w:t>
      </w:r>
      <w:r>
        <w:rPr>
          <w:rFonts w:eastAsia="黑体"/>
          <w:b/>
          <w:sz w:val="32"/>
          <w:szCs w:val="32"/>
        </w:rPr>
        <w:t>、一</w:t>
      </w:r>
      <w:r>
        <w:rPr>
          <w:rStyle w:val="30"/>
          <w:rFonts w:ascii="Times New Roman" w:hAnsi="Times New Roman" w:eastAsia="黑体" w:cs="Times New Roman"/>
          <w:b w:val="0"/>
        </w:rPr>
        <w:t>般公共预算财政拨款基本支出决算情况说明</w:t>
      </w:r>
      <w:bookmarkEnd w:id="54"/>
      <w:bookmarkEnd w:id="55"/>
      <w:bookmarkEnd w:id="56"/>
      <w:r>
        <w:rPr>
          <w:rStyle w:val="30"/>
          <w:rFonts w:ascii="Times New Roman" w:hAnsi="Times New Roman" w:eastAsia="黑体" w:cs="Times New Roman"/>
          <w:b w:val="0"/>
        </w:rPr>
        <w:tab/>
      </w:r>
    </w:p>
    <w:p>
      <w:pPr>
        <w:spacing w:line="600" w:lineRule="exact"/>
        <w:ind w:firstLine="645"/>
        <w:rPr>
          <w:rFonts w:eastAsia="仿宋"/>
          <w:sz w:val="32"/>
          <w:szCs w:val="32"/>
        </w:rPr>
      </w:pPr>
      <w:r>
        <w:rPr>
          <w:rFonts w:eastAsia="仿宋"/>
          <w:sz w:val="32"/>
          <w:szCs w:val="32"/>
        </w:rPr>
        <w:t>2022年一般公共预算财政拨款基本支出</w:t>
      </w:r>
      <w:r>
        <w:rPr>
          <w:rFonts w:hint="eastAsia" w:eastAsia="仿宋"/>
          <w:sz w:val="32"/>
          <w:szCs w:val="32"/>
        </w:rPr>
        <w:t>426.37</w:t>
      </w:r>
      <w:r>
        <w:rPr>
          <w:rFonts w:eastAsia="仿宋"/>
          <w:sz w:val="32"/>
          <w:szCs w:val="32"/>
        </w:rPr>
        <w:t>万元，其中：</w:t>
      </w:r>
    </w:p>
    <w:p>
      <w:pPr>
        <w:spacing w:line="600" w:lineRule="exact"/>
        <w:ind w:firstLine="645"/>
        <w:rPr>
          <w:rFonts w:eastAsia="仿宋"/>
          <w:sz w:val="32"/>
          <w:szCs w:val="32"/>
        </w:rPr>
      </w:pPr>
      <w:r>
        <w:rPr>
          <w:rFonts w:eastAsia="仿宋"/>
          <w:sz w:val="32"/>
          <w:szCs w:val="32"/>
        </w:rPr>
        <w:t>人员经费</w:t>
      </w:r>
      <w:r>
        <w:rPr>
          <w:rFonts w:hint="eastAsia" w:eastAsia="仿宋"/>
          <w:sz w:val="32"/>
          <w:szCs w:val="32"/>
        </w:rPr>
        <w:t>380.97</w:t>
      </w:r>
      <w:r>
        <w:rPr>
          <w:rFonts w:eastAsia="仿宋"/>
          <w:sz w:val="32"/>
          <w:szCs w:val="32"/>
        </w:rPr>
        <w:t>万元，主要包括：基本工资、津贴补贴、奖金、伙食补助费、绩效工资、机关事业单位基本养老保险缴费、职业年金缴费、其他社会保障缴费、其他工资福利支出、离休费、退休费、抚恤金、生活补助、医疗费补助、奖励金、住房公积金、其他对个人和家庭的补助支出等。</w:t>
      </w:r>
      <w:r>
        <w:rPr>
          <w:rFonts w:eastAsia="仿宋"/>
          <w:sz w:val="32"/>
          <w:szCs w:val="32"/>
        </w:rPr>
        <w:br w:type="textWrapping"/>
      </w:r>
      <w:r>
        <w:rPr>
          <w:rFonts w:eastAsia="仿宋"/>
          <w:sz w:val="32"/>
          <w:szCs w:val="32"/>
        </w:rPr>
        <w:t>　　公用经费</w:t>
      </w:r>
      <w:r>
        <w:rPr>
          <w:rFonts w:hint="eastAsia" w:eastAsia="仿宋"/>
          <w:sz w:val="32"/>
          <w:szCs w:val="32"/>
        </w:rPr>
        <w:t>45.4</w:t>
      </w:r>
      <w:r>
        <w:rPr>
          <w:rFonts w:eastAsia="仿宋"/>
          <w:sz w:val="32"/>
          <w:szCs w:val="32"/>
        </w:rPr>
        <w:t>万元，主要包括：办公费、印刷费、咨询费、手续费、水费、电费、邮电费、取暖费、物业管理费、差旅费、因公出国（境）费用、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p>
    <w:p>
      <w:pPr>
        <w:spacing w:line="600" w:lineRule="exact"/>
        <w:ind w:firstLine="640"/>
        <w:rPr>
          <w:rFonts w:eastAsia="仿宋"/>
          <w:b/>
          <w:sz w:val="32"/>
          <w:szCs w:val="32"/>
        </w:rPr>
      </w:pPr>
    </w:p>
    <w:p>
      <w:pPr>
        <w:spacing w:line="600" w:lineRule="exact"/>
        <w:ind w:firstLine="640"/>
        <w:outlineLvl w:val="1"/>
        <w:rPr>
          <w:rStyle w:val="30"/>
          <w:rFonts w:ascii="Times New Roman" w:hAnsi="Times New Roman" w:eastAsia="黑体" w:cs="Times New Roman"/>
          <w:b w:val="0"/>
        </w:rPr>
      </w:pPr>
      <w:bookmarkStart w:id="57" w:name="_Toc15377215"/>
      <w:bookmarkStart w:id="58" w:name="_Toc15396609"/>
      <w:bookmarkStart w:id="59" w:name="_Toc32306"/>
      <w:r>
        <w:rPr>
          <w:rFonts w:eastAsia="黑体"/>
          <w:sz w:val="32"/>
          <w:szCs w:val="32"/>
        </w:rPr>
        <w:t>七、</w:t>
      </w:r>
      <w:r>
        <w:rPr>
          <w:rStyle w:val="30"/>
          <w:rFonts w:ascii="Times New Roman" w:hAnsi="Times New Roman" w:eastAsia="黑体" w:cs="Times New Roman"/>
          <w:b w:val="0"/>
        </w:rPr>
        <w:t>财政拨款</w:t>
      </w:r>
      <w:r>
        <w:rPr>
          <w:rStyle w:val="30"/>
          <w:rFonts w:ascii="Times New Roman" w:hAnsi="Times New Roman" w:eastAsia="黑体" w:cs="Times New Roman"/>
        </w:rPr>
        <w:t>“</w:t>
      </w:r>
      <w:r>
        <w:rPr>
          <w:rStyle w:val="30"/>
          <w:rFonts w:ascii="Times New Roman" w:hAnsi="Times New Roman" w:eastAsia="黑体" w:cs="Times New Roman"/>
          <w:b w:val="0"/>
        </w:rPr>
        <w:t>三公”经费支出决算情况说明</w:t>
      </w:r>
      <w:bookmarkEnd w:id="57"/>
      <w:bookmarkEnd w:id="58"/>
      <w:bookmarkEnd w:id="59"/>
    </w:p>
    <w:p>
      <w:pPr>
        <w:spacing w:line="600" w:lineRule="exact"/>
        <w:ind w:firstLine="640"/>
        <w:outlineLvl w:val="2"/>
        <w:rPr>
          <w:rFonts w:eastAsia="仿宋"/>
          <w:b/>
          <w:sz w:val="32"/>
          <w:szCs w:val="32"/>
        </w:rPr>
      </w:pPr>
      <w:bookmarkStart w:id="60" w:name="_Toc15377216"/>
      <w:bookmarkStart w:id="61" w:name="_Toc20835"/>
      <w:r>
        <w:rPr>
          <w:rFonts w:eastAsia="仿宋"/>
          <w:b/>
          <w:sz w:val="32"/>
          <w:szCs w:val="32"/>
        </w:rPr>
        <w:t>（一）“三公”经费财政拨款支出决算总体情况说明</w:t>
      </w:r>
      <w:bookmarkEnd w:id="60"/>
      <w:bookmarkEnd w:id="61"/>
    </w:p>
    <w:p>
      <w:pPr>
        <w:spacing w:line="600" w:lineRule="exact"/>
        <w:ind w:firstLine="640"/>
        <w:rPr>
          <w:rFonts w:eastAsia="仿宋"/>
          <w:sz w:val="32"/>
          <w:szCs w:val="32"/>
        </w:rPr>
      </w:pPr>
      <w:r>
        <w:rPr>
          <w:rFonts w:eastAsia="仿宋"/>
          <w:sz w:val="32"/>
          <w:szCs w:val="32"/>
        </w:rPr>
        <w:t>2022年“三公”经费财政拨款支出决算为</w:t>
      </w:r>
      <w:r>
        <w:rPr>
          <w:rFonts w:hint="eastAsia" w:eastAsia="仿宋"/>
          <w:sz w:val="32"/>
          <w:szCs w:val="32"/>
        </w:rPr>
        <w:t>6.36（包含县级支出1.18）</w:t>
      </w:r>
      <w:r>
        <w:rPr>
          <w:rFonts w:eastAsia="仿宋"/>
          <w:sz w:val="32"/>
          <w:szCs w:val="32"/>
        </w:rPr>
        <w:t>万元，完成预算100%，较上年减少1</w:t>
      </w:r>
      <w:r>
        <w:rPr>
          <w:rFonts w:hint="eastAsia" w:eastAsia="仿宋"/>
          <w:sz w:val="32"/>
          <w:szCs w:val="32"/>
        </w:rPr>
        <w:t>4.06</w:t>
      </w:r>
      <w:r>
        <w:rPr>
          <w:rFonts w:eastAsia="仿宋"/>
          <w:sz w:val="32"/>
          <w:szCs w:val="32"/>
        </w:rPr>
        <w:t>万元，下降</w:t>
      </w:r>
      <w:r>
        <w:rPr>
          <w:rFonts w:hint="eastAsia" w:eastAsia="仿宋"/>
          <w:sz w:val="32"/>
          <w:szCs w:val="32"/>
        </w:rPr>
        <w:t>68.85</w:t>
      </w:r>
      <w:r>
        <w:rPr>
          <w:rFonts w:eastAsia="仿宋"/>
          <w:sz w:val="32"/>
          <w:szCs w:val="32"/>
        </w:rPr>
        <w:t>%</w:t>
      </w:r>
      <w:r>
        <w:rPr>
          <w:rFonts w:hint="eastAsia" w:eastAsia="仿宋"/>
          <w:sz w:val="32"/>
          <w:szCs w:val="32"/>
        </w:rPr>
        <w:t>，</w:t>
      </w:r>
      <w:r>
        <w:rPr>
          <w:rFonts w:eastAsia="仿宋"/>
          <w:sz w:val="32"/>
          <w:szCs w:val="32"/>
        </w:rPr>
        <w:t>主要原因是公务用车运行维护费用</w:t>
      </w:r>
      <w:r>
        <w:rPr>
          <w:rFonts w:hint="eastAsia" w:eastAsia="仿宋"/>
          <w:sz w:val="32"/>
          <w:szCs w:val="32"/>
        </w:rPr>
        <w:t>2021年底有部分油卡充值未使用，在2022年使用，导致2022年的油费减少。</w:t>
      </w:r>
      <w:r>
        <w:rPr>
          <w:rFonts w:eastAsia="仿宋_GB2312"/>
          <w:sz w:val="32"/>
          <w:szCs w:val="32"/>
        </w:rPr>
        <w:t>公务接待费支出</w:t>
      </w:r>
      <w:r>
        <w:rPr>
          <w:rFonts w:hint="eastAsia" w:eastAsia="仿宋_GB2312"/>
          <w:sz w:val="32"/>
          <w:szCs w:val="32"/>
        </w:rPr>
        <w:t>1.37万元，由于年末系统等支付问题，未能成功转付，已于2023年年初转付</w:t>
      </w:r>
      <w:r>
        <w:rPr>
          <w:rFonts w:eastAsia="仿宋"/>
          <w:sz w:val="32"/>
          <w:szCs w:val="32"/>
        </w:rPr>
        <w:t>。</w:t>
      </w:r>
    </w:p>
    <w:p>
      <w:pPr>
        <w:spacing w:line="600" w:lineRule="exact"/>
        <w:ind w:firstLine="640"/>
        <w:outlineLvl w:val="2"/>
        <w:rPr>
          <w:rFonts w:eastAsia="仿宋"/>
          <w:b/>
          <w:sz w:val="32"/>
          <w:szCs w:val="32"/>
        </w:rPr>
      </w:pPr>
      <w:bookmarkStart w:id="62" w:name="_Toc15377217"/>
      <w:bookmarkStart w:id="63" w:name="_Toc20622"/>
      <w:r>
        <w:rPr>
          <w:rFonts w:eastAsia="仿宋"/>
          <w:b/>
          <w:sz w:val="32"/>
          <w:szCs w:val="32"/>
        </w:rPr>
        <w:t>（二）“三公”经费财政拨款支出决算具体情况说明</w:t>
      </w:r>
      <w:bookmarkEnd w:id="62"/>
      <w:bookmarkEnd w:id="63"/>
    </w:p>
    <w:p>
      <w:pPr>
        <w:spacing w:line="600" w:lineRule="exact"/>
        <w:ind w:firstLine="640"/>
        <w:rPr>
          <w:rFonts w:eastAsia="仿宋"/>
          <w:sz w:val="32"/>
          <w:szCs w:val="32"/>
        </w:rPr>
      </w:pPr>
      <w:r>
        <w:rPr>
          <w:sz w:val="33"/>
          <w:szCs w:val="33"/>
        </w:rPr>
        <w:pict>
          <v:shape id="Object 13" o:spid="_x0000_s1033" o:spt="75" type="#_x0000_t75" style="position:absolute;left:0pt;margin-left:56.5pt;margin-top:531.95pt;height:159.6pt;width:329.75pt;mso-position-vertical-relative:page;mso-wrap-distance-bottom:0pt;mso-wrap-distance-top:0pt;z-index:251664384;mso-width-relative:page;mso-height-relative:page;" o:ole="t" filled="f" o:preferrelative="t" stroked="f" coordsize="21600,21600">
            <v:path/>
            <v:fill on="f" focussize="0,0"/>
            <v:stroke on="f" joinstyle="miter"/>
            <v:imagedata r:id="rId19" o:title=""/>
            <o:lock v:ext="edit" aspectratio="t"/>
            <w10:wrap type="topAndBottom"/>
          </v:shape>
          <o:OLEObject Type="Embed" ProgID="Excel.Sheet.8" ShapeID="Object 13" DrawAspect="Content" ObjectID="_1468075731" r:id="rId18">
            <o:LockedField>false</o:LockedField>
          </o:OLEObject>
        </w:pict>
      </w:r>
      <w:r>
        <w:rPr>
          <w:rFonts w:eastAsia="仿宋"/>
          <w:sz w:val="32"/>
          <w:szCs w:val="32"/>
        </w:rPr>
        <w:t>2022年“三公”经费财政拨款支出决算中，因公出国（境）费支出决算0万元，占0%；公务用车购置及运行维护费支出决算</w:t>
      </w:r>
      <w:r>
        <w:rPr>
          <w:rFonts w:hint="eastAsia" w:eastAsia="仿宋"/>
          <w:sz w:val="32"/>
          <w:szCs w:val="32"/>
        </w:rPr>
        <w:t>6.36</w:t>
      </w:r>
      <w:r>
        <w:rPr>
          <w:rFonts w:eastAsia="仿宋"/>
          <w:sz w:val="32"/>
          <w:szCs w:val="32"/>
        </w:rPr>
        <w:t>万元，占</w:t>
      </w:r>
      <w:r>
        <w:rPr>
          <w:rFonts w:hint="eastAsia" w:eastAsia="仿宋"/>
          <w:sz w:val="32"/>
          <w:szCs w:val="32"/>
        </w:rPr>
        <w:t>100</w:t>
      </w:r>
      <w:r>
        <w:rPr>
          <w:rFonts w:eastAsia="仿宋"/>
          <w:sz w:val="32"/>
          <w:szCs w:val="32"/>
        </w:rPr>
        <w:t>%；公务接待费支出决算0万元，占0%。</w:t>
      </w:r>
    </w:p>
    <w:p>
      <w:pPr>
        <w:spacing w:line="600" w:lineRule="exact"/>
        <w:ind w:firstLine="640"/>
        <w:rPr>
          <w:rFonts w:eastAsia="仿宋"/>
          <w:sz w:val="32"/>
          <w:szCs w:val="32"/>
        </w:rPr>
      </w:pPr>
      <w:r>
        <w:rPr>
          <w:rFonts w:eastAsia="仿宋"/>
          <w:sz w:val="32"/>
          <w:szCs w:val="32"/>
        </w:rPr>
        <w:t>（图7：“三公”经费财政拨款支出结构）（饼状图）</w:t>
      </w:r>
    </w:p>
    <w:p>
      <w:pPr>
        <w:spacing w:line="600" w:lineRule="exact"/>
        <w:ind w:firstLine="640"/>
        <w:rPr>
          <w:rFonts w:eastAsia="仿宋"/>
          <w:sz w:val="32"/>
          <w:szCs w:val="32"/>
        </w:rPr>
      </w:pPr>
      <w:r>
        <w:rPr>
          <w:rFonts w:eastAsia="仿宋"/>
          <w:sz w:val="32"/>
          <w:szCs w:val="32"/>
        </w:rPr>
        <w:t>具体情况如下：</w:t>
      </w:r>
    </w:p>
    <w:p>
      <w:pPr>
        <w:spacing w:line="600" w:lineRule="exact"/>
        <w:ind w:firstLine="640"/>
        <w:rPr>
          <w:rFonts w:eastAsia="仿宋_GB2312"/>
          <w:sz w:val="32"/>
          <w:szCs w:val="32"/>
        </w:rPr>
      </w:pPr>
      <w:r>
        <w:rPr>
          <w:rFonts w:eastAsia="仿宋_GB2312"/>
          <w:b/>
          <w:sz w:val="32"/>
          <w:szCs w:val="32"/>
        </w:rPr>
        <w:t>1.因公出国（境）经费支出0</w:t>
      </w:r>
      <w:r>
        <w:rPr>
          <w:rFonts w:eastAsia="仿宋_GB2312"/>
          <w:sz w:val="32"/>
          <w:szCs w:val="32"/>
        </w:rPr>
        <w:t>万元，</w:t>
      </w:r>
      <w:r>
        <w:rPr>
          <w:rFonts w:eastAsia="仿宋_GB2312"/>
          <w:color w:val="000000"/>
          <w:sz w:val="32"/>
          <w:szCs w:val="32"/>
        </w:rPr>
        <w:t>无相关费用支出预算。</w:t>
      </w:r>
    </w:p>
    <w:p>
      <w:pPr>
        <w:spacing w:line="600" w:lineRule="exact"/>
        <w:ind w:firstLine="640"/>
        <w:rPr>
          <w:rFonts w:eastAsia="仿宋_GB2312"/>
          <w:b/>
          <w:sz w:val="32"/>
          <w:szCs w:val="32"/>
        </w:rPr>
      </w:pPr>
      <w:r>
        <w:rPr>
          <w:rFonts w:eastAsia="仿宋_GB2312"/>
          <w:b/>
          <w:sz w:val="32"/>
          <w:szCs w:val="32"/>
        </w:rPr>
        <w:t>2.公务用车购置及运行维护费支出</w:t>
      </w:r>
      <w:r>
        <w:rPr>
          <w:rFonts w:hint="eastAsia" w:eastAsia="仿宋_GB2312"/>
          <w:b/>
          <w:sz w:val="32"/>
          <w:szCs w:val="32"/>
        </w:rPr>
        <w:t>6.36</w:t>
      </w:r>
      <w:r>
        <w:rPr>
          <w:rFonts w:eastAsia="仿宋_GB2312"/>
          <w:sz w:val="32"/>
          <w:szCs w:val="32"/>
        </w:rPr>
        <w:t>万元</w:t>
      </w:r>
      <w:r>
        <w:rPr>
          <w:rFonts w:hint="eastAsia" w:eastAsia="仿宋_GB2312"/>
          <w:sz w:val="32"/>
          <w:szCs w:val="32"/>
        </w:rPr>
        <w:t>（包含县级支出1.18万元），</w:t>
      </w:r>
      <w:r>
        <w:rPr>
          <w:rStyle w:val="17"/>
          <w:rFonts w:eastAsia="仿宋"/>
          <w:b w:val="0"/>
          <w:bCs/>
          <w:sz w:val="32"/>
          <w:szCs w:val="32"/>
        </w:rPr>
        <w:t>完成预算100%。</w:t>
      </w:r>
      <w:r>
        <w:rPr>
          <w:rFonts w:eastAsia="仿宋_GB2312"/>
          <w:sz w:val="32"/>
          <w:szCs w:val="32"/>
        </w:rPr>
        <w:t>公务用车购置及运行维护费支出决算比2021年减少</w:t>
      </w:r>
      <w:r>
        <w:rPr>
          <w:rFonts w:hint="eastAsia" w:eastAsia="仿宋_GB2312"/>
          <w:sz w:val="32"/>
          <w:szCs w:val="32"/>
        </w:rPr>
        <w:t>13.48</w:t>
      </w:r>
      <w:r>
        <w:rPr>
          <w:rFonts w:eastAsia="仿宋_GB2312"/>
          <w:sz w:val="32"/>
          <w:szCs w:val="32"/>
        </w:rPr>
        <w:t>万元，下降</w:t>
      </w:r>
      <w:r>
        <w:rPr>
          <w:rFonts w:hint="eastAsia" w:eastAsia="仿宋_GB2312"/>
          <w:sz w:val="32"/>
          <w:szCs w:val="32"/>
        </w:rPr>
        <w:t>67.94</w:t>
      </w:r>
      <w:r>
        <w:rPr>
          <w:rFonts w:eastAsia="仿宋_GB2312"/>
          <w:sz w:val="32"/>
          <w:szCs w:val="32"/>
        </w:rPr>
        <w:t>%。主要原因是2021年底汽车加油卡预充值。</w:t>
      </w:r>
    </w:p>
    <w:p>
      <w:pPr>
        <w:spacing w:line="560" w:lineRule="exact"/>
        <w:ind w:firstLine="640" w:firstLineChars="200"/>
        <w:rPr>
          <w:rFonts w:eastAsia="仿宋_GB2312"/>
          <w:b/>
          <w:color w:val="000000"/>
          <w:sz w:val="32"/>
          <w:szCs w:val="32"/>
        </w:rPr>
      </w:pPr>
      <w:r>
        <w:rPr>
          <w:rFonts w:eastAsia="仿宋_GB2312"/>
          <w:sz w:val="32"/>
          <w:szCs w:val="32"/>
        </w:rPr>
        <w:t>其中：</w:t>
      </w:r>
      <w:r>
        <w:rPr>
          <w:rFonts w:eastAsia="仿宋_GB2312"/>
          <w:color w:val="000000"/>
          <w:sz w:val="32"/>
          <w:szCs w:val="32"/>
        </w:rPr>
        <w:t>其中：</w:t>
      </w:r>
      <w:r>
        <w:rPr>
          <w:rFonts w:eastAsia="仿宋_GB2312"/>
          <w:b/>
          <w:color w:val="000000"/>
          <w:sz w:val="32"/>
          <w:szCs w:val="32"/>
        </w:rPr>
        <w:t>公务用车购置支出0万元</w:t>
      </w:r>
      <w:r>
        <w:rPr>
          <w:rFonts w:eastAsia="仿宋_GB2312"/>
          <w:color w:val="000000"/>
          <w:sz w:val="32"/>
          <w:szCs w:val="32"/>
        </w:rPr>
        <w:t>。全年按规定更新购置公务用车0辆。截至2021年12月底，我院共有公务用车8辆，其中：轿车6辆、越野车1辆、其他车型1辆。</w:t>
      </w:r>
    </w:p>
    <w:p>
      <w:pPr>
        <w:spacing w:line="600" w:lineRule="exact"/>
        <w:ind w:firstLine="643" w:firstLineChars="200"/>
        <w:rPr>
          <w:rFonts w:eastAsia="仿宋_GB2312"/>
          <w:sz w:val="32"/>
          <w:szCs w:val="32"/>
        </w:rPr>
      </w:pPr>
      <w:r>
        <w:rPr>
          <w:rFonts w:eastAsia="仿宋_GB2312"/>
          <w:b/>
          <w:sz w:val="32"/>
          <w:szCs w:val="32"/>
        </w:rPr>
        <w:t>公务用车运行维护费支出</w:t>
      </w:r>
      <w:r>
        <w:rPr>
          <w:rFonts w:hint="eastAsia" w:eastAsia="仿宋_GB2312"/>
          <w:b/>
          <w:sz w:val="32"/>
          <w:szCs w:val="32"/>
        </w:rPr>
        <w:t>6.36（包含县级支出1.18）</w:t>
      </w:r>
      <w:r>
        <w:rPr>
          <w:rFonts w:eastAsia="仿宋_GB2312"/>
          <w:sz w:val="32"/>
          <w:szCs w:val="32"/>
        </w:rPr>
        <w:t>万元。主要用于</w:t>
      </w:r>
      <w:r>
        <w:rPr>
          <w:rFonts w:eastAsia="仿宋_GB2312"/>
          <w:color w:val="000000"/>
          <w:sz w:val="33"/>
          <w:szCs w:val="33"/>
        </w:rPr>
        <w:t>调查办案</w:t>
      </w:r>
      <w:r>
        <w:rPr>
          <w:rFonts w:eastAsia="仿宋_GB2312"/>
          <w:sz w:val="32"/>
          <w:szCs w:val="32"/>
        </w:rPr>
        <w:t>等所需的公务用车燃料费、维修费、过路过桥费、保险费等支出。</w:t>
      </w:r>
    </w:p>
    <w:p>
      <w:pPr>
        <w:spacing w:line="600" w:lineRule="exact"/>
        <w:ind w:firstLine="640"/>
        <w:rPr>
          <w:rFonts w:eastAsia="仿宋_GB2312"/>
          <w:sz w:val="32"/>
          <w:szCs w:val="32"/>
        </w:rPr>
      </w:pPr>
      <w:r>
        <w:rPr>
          <w:rFonts w:eastAsia="仿宋_GB2312"/>
          <w:b/>
          <w:sz w:val="32"/>
          <w:szCs w:val="32"/>
        </w:rPr>
        <w:t>3.公务接待费支出0</w:t>
      </w:r>
      <w:r>
        <w:rPr>
          <w:rFonts w:eastAsia="仿宋_GB2312"/>
          <w:sz w:val="32"/>
          <w:szCs w:val="32"/>
        </w:rPr>
        <w:t>万元，</w:t>
      </w:r>
      <w:r>
        <w:rPr>
          <w:rStyle w:val="17"/>
          <w:rFonts w:eastAsia="仿宋"/>
          <w:b w:val="0"/>
          <w:bCs/>
          <w:sz w:val="32"/>
          <w:szCs w:val="32"/>
        </w:rPr>
        <w:t>完成预算0%。</w:t>
      </w:r>
      <w:r>
        <w:rPr>
          <w:rStyle w:val="17"/>
          <w:rFonts w:hint="eastAsia" w:eastAsia="仿宋"/>
          <w:b w:val="0"/>
          <w:bCs/>
          <w:sz w:val="32"/>
          <w:szCs w:val="32"/>
        </w:rPr>
        <w:t>2022年实际发生</w:t>
      </w:r>
      <w:r>
        <w:rPr>
          <w:rFonts w:eastAsia="仿宋_GB2312"/>
          <w:sz w:val="32"/>
          <w:szCs w:val="32"/>
        </w:rPr>
        <w:t>公务接待费支出</w:t>
      </w:r>
      <w:r>
        <w:rPr>
          <w:rFonts w:hint="eastAsia" w:eastAsia="仿宋_GB2312"/>
          <w:sz w:val="32"/>
          <w:szCs w:val="32"/>
        </w:rPr>
        <w:t>1.37万元，由于年末系统等支付问题，未能成功转付，已于2023年年初转付。</w:t>
      </w:r>
      <w:r>
        <w:rPr>
          <w:rFonts w:eastAsia="仿宋_GB2312"/>
          <w:sz w:val="32"/>
          <w:szCs w:val="32"/>
        </w:rPr>
        <w:t>比2021年增加</w:t>
      </w:r>
      <w:r>
        <w:rPr>
          <w:rFonts w:hint="eastAsia" w:eastAsia="仿宋_GB2312"/>
          <w:sz w:val="32"/>
          <w:szCs w:val="32"/>
        </w:rPr>
        <w:t>0.79</w:t>
      </w:r>
      <w:r>
        <w:rPr>
          <w:rFonts w:eastAsia="仿宋_GB2312"/>
          <w:sz w:val="32"/>
          <w:szCs w:val="32"/>
        </w:rPr>
        <w:t>万元，增长</w:t>
      </w:r>
      <w:r>
        <w:rPr>
          <w:rFonts w:hint="eastAsia" w:eastAsia="仿宋_GB2312"/>
          <w:sz w:val="32"/>
          <w:szCs w:val="32"/>
        </w:rPr>
        <w:t>136</w:t>
      </w:r>
      <w:r>
        <w:rPr>
          <w:rFonts w:eastAsia="仿宋_GB2312"/>
          <w:sz w:val="32"/>
          <w:szCs w:val="32"/>
        </w:rPr>
        <w:t>%。主要原因</w:t>
      </w:r>
      <w:r>
        <w:rPr>
          <w:rFonts w:hint="eastAsia" w:eastAsia="仿宋_GB2312"/>
          <w:sz w:val="32"/>
          <w:szCs w:val="32"/>
        </w:rPr>
        <w:t>是2021年公务</w:t>
      </w:r>
      <w:r>
        <w:rPr>
          <w:rFonts w:hint="eastAsia" w:eastAsia="仿宋_GB2312"/>
          <w:sz w:val="32"/>
          <w:szCs w:val="32"/>
          <w:lang w:eastAsia="zh-CN"/>
        </w:rPr>
        <w:t>接待</w:t>
      </w:r>
      <w:r>
        <w:rPr>
          <w:rFonts w:hint="eastAsia" w:eastAsia="仿宋_GB2312"/>
          <w:sz w:val="32"/>
          <w:szCs w:val="32"/>
        </w:rPr>
        <w:t>活动受到新冠肺炎疫情影响较大，次数相对减少，于2022年逐渐恢复</w:t>
      </w:r>
      <w:r>
        <w:rPr>
          <w:rFonts w:eastAsia="仿宋_GB2312"/>
          <w:sz w:val="32"/>
          <w:szCs w:val="32"/>
        </w:rPr>
        <w:t>。</w:t>
      </w:r>
    </w:p>
    <w:p>
      <w:pPr>
        <w:widowControl/>
        <w:adjustRightInd w:val="0"/>
        <w:snapToGrid w:val="0"/>
        <w:spacing w:line="560" w:lineRule="exact"/>
        <w:ind w:firstLine="643" w:firstLineChars="200"/>
        <w:jc w:val="left"/>
        <w:rPr>
          <w:rFonts w:eastAsia="仿宋_GB2312"/>
          <w:color w:val="000000"/>
          <w:sz w:val="32"/>
          <w:szCs w:val="32"/>
        </w:rPr>
      </w:pPr>
      <w:r>
        <w:rPr>
          <w:rFonts w:eastAsia="仿宋"/>
          <w:b/>
          <w:sz w:val="32"/>
          <w:szCs w:val="32"/>
        </w:rPr>
        <w:t>国内公务接待支出</w:t>
      </w:r>
      <w:r>
        <w:rPr>
          <w:rFonts w:hint="eastAsia" w:eastAsia="仿宋"/>
          <w:b/>
          <w:sz w:val="32"/>
          <w:szCs w:val="32"/>
        </w:rPr>
        <w:t>0</w:t>
      </w:r>
      <w:r>
        <w:rPr>
          <w:rFonts w:eastAsia="仿宋_GB2312"/>
          <w:sz w:val="32"/>
          <w:szCs w:val="32"/>
        </w:rPr>
        <w:t>万元，</w:t>
      </w:r>
      <w:r>
        <w:rPr>
          <w:rFonts w:hint="eastAsia" w:eastAsia="仿宋_GB2312"/>
          <w:sz w:val="32"/>
          <w:szCs w:val="32"/>
        </w:rPr>
        <w:t>实际支出1.37万元。</w:t>
      </w:r>
      <w:r>
        <w:rPr>
          <w:rFonts w:eastAsia="仿宋_GB2312"/>
          <w:sz w:val="32"/>
          <w:szCs w:val="32"/>
        </w:rPr>
        <w:t>主要用于</w:t>
      </w:r>
      <w:r>
        <w:rPr>
          <w:rFonts w:hint="eastAsia" w:eastAsia="仿宋_GB2312"/>
          <w:sz w:val="32"/>
          <w:szCs w:val="32"/>
        </w:rPr>
        <w:t>接待外单位</w:t>
      </w:r>
      <w:r>
        <w:rPr>
          <w:rFonts w:eastAsia="仿宋_GB2312"/>
          <w:sz w:val="32"/>
          <w:szCs w:val="32"/>
        </w:rPr>
        <w:t>执行公务、开展业务活动开支的</w:t>
      </w:r>
      <w:r>
        <w:rPr>
          <w:rFonts w:hint="eastAsia" w:eastAsia="仿宋_GB2312"/>
          <w:sz w:val="32"/>
          <w:szCs w:val="32"/>
        </w:rPr>
        <w:t>接待费</w:t>
      </w:r>
      <w:r>
        <w:rPr>
          <w:rFonts w:eastAsia="仿宋_GB2312"/>
          <w:sz w:val="32"/>
          <w:szCs w:val="32"/>
        </w:rPr>
        <w:t>。国内公务接待</w:t>
      </w:r>
      <w:r>
        <w:rPr>
          <w:rFonts w:hint="eastAsia" w:eastAsia="仿宋_GB2312"/>
          <w:sz w:val="32"/>
          <w:szCs w:val="32"/>
        </w:rPr>
        <w:t>6</w:t>
      </w:r>
      <w:r>
        <w:rPr>
          <w:rFonts w:eastAsia="仿宋_GB2312"/>
          <w:sz w:val="32"/>
          <w:szCs w:val="32"/>
        </w:rPr>
        <w:t>批次</w:t>
      </w:r>
      <w:r>
        <w:rPr>
          <w:rFonts w:hint="eastAsia" w:eastAsia="仿宋_GB2312"/>
          <w:sz w:val="32"/>
          <w:szCs w:val="32"/>
        </w:rPr>
        <w:t>，58</w:t>
      </w:r>
      <w:r>
        <w:rPr>
          <w:rFonts w:eastAsia="仿宋_GB2312"/>
          <w:sz w:val="32"/>
          <w:szCs w:val="32"/>
        </w:rPr>
        <w:t>人次（不包括陪同人员），共计支出</w:t>
      </w:r>
      <w:r>
        <w:rPr>
          <w:rFonts w:hint="eastAsia" w:eastAsia="仿宋_GB2312"/>
          <w:sz w:val="32"/>
          <w:szCs w:val="32"/>
        </w:rPr>
        <w:t>1.37</w:t>
      </w:r>
      <w:r>
        <w:rPr>
          <w:rFonts w:eastAsia="仿宋_GB2312"/>
          <w:sz w:val="32"/>
          <w:szCs w:val="32"/>
        </w:rPr>
        <w:t>万元，</w:t>
      </w:r>
      <w:r>
        <w:rPr>
          <w:rFonts w:hint="eastAsia" w:eastAsia="仿宋_GB2312"/>
          <w:color w:val="000000"/>
          <w:sz w:val="32"/>
          <w:szCs w:val="32"/>
        </w:rPr>
        <w:t>主要用于</w:t>
      </w:r>
      <w:r>
        <w:rPr>
          <w:rFonts w:eastAsia="仿宋_GB2312"/>
          <w:color w:val="000000"/>
          <w:sz w:val="32"/>
          <w:szCs w:val="32"/>
        </w:rPr>
        <w:t>接待</w:t>
      </w:r>
      <w:r>
        <w:rPr>
          <w:rFonts w:hint="eastAsia" w:eastAsia="仿宋_GB2312"/>
          <w:color w:val="000000"/>
          <w:sz w:val="32"/>
          <w:szCs w:val="32"/>
        </w:rPr>
        <w:t>攀枝花市检察院等</w:t>
      </w:r>
      <w:r>
        <w:rPr>
          <w:rFonts w:eastAsia="仿宋_GB2312"/>
          <w:color w:val="000000"/>
          <w:sz w:val="32"/>
          <w:szCs w:val="32"/>
        </w:rPr>
        <w:t>进行工作调研和办案指导等相关工作开展的公务接待。</w:t>
      </w:r>
    </w:p>
    <w:p>
      <w:pPr>
        <w:spacing w:line="560" w:lineRule="exact"/>
        <w:ind w:firstLine="643" w:firstLineChars="200"/>
        <w:rPr>
          <w:rFonts w:eastAsia="黑体"/>
          <w:sz w:val="32"/>
          <w:szCs w:val="32"/>
        </w:rPr>
      </w:pPr>
      <w:bookmarkStart w:id="64" w:name="_Toc15396610"/>
      <w:bookmarkStart w:id="65" w:name="_Toc15377218"/>
      <w:r>
        <w:rPr>
          <w:rFonts w:eastAsia="仿宋"/>
          <w:b/>
          <w:color w:val="000000"/>
          <w:sz w:val="32"/>
          <w:szCs w:val="32"/>
        </w:rPr>
        <w:t>外事接待支出0</w:t>
      </w:r>
      <w:r>
        <w:rPr>
          <w:rFonts w:eastAsia="仿宋_GB2312"/>
          <w:b/>
          <w:color w:val="000000"/>
          <w:sz w:val="32"/>
          <w:szCs w:val="32"/>
        </w:rPr>
        <w:t>万元</w:t>
      </w:r>
      <w:r>
        <w:rPr>
          <w:rFonts w:eastAsia="仿宋_GB2312"/>
          <w:color w:val="000000"/>
          <w:sz w:val="32"/>
          <w:szCs w:val="32"/>
        </w:rPr>
        <w:t>，外事接待0批次，0人，共计支出0万元。</w:t>
      </w:r>
    </w:p>
    <w:p>
      <w:pPr>
        <w:spacing w:line="600" w:lineRule="exact"/>
        <w:ind w:firstLine="640"/>
        <w:outlineLvl w:val="1"/>
        <w:rPr>
          <w:rStyle w:val="30"/>
          <w:rFonts w:ascii="Times New Roman" w:hAnsi="Times New Roman" w:eastAsia="黑体" w:cs="Times New Roman"/>
        </w:rPr>
      </w:pPr>
      <w:bookmarkStart w:id="66" w:name="_Toc11398"/>
      <w:r>
        <w:rPr>
          <w:rFonts w:eastAsia="黑体"/>
          <w:sz w:val="32"/>
          <w:szCs w:val="32"/>
        </w:rPr>
        <w:t>八、</w:t>
      </w:r>
      <w:r>
        <w:rPr>
          <w:rStyle w:val="30"/>
          <w:rFonts w:ascii="Times New Roman" w:hAnsi="Times New Roman" w:eastAsia="黑体" w:cs="Times New Roman"/>
          <w:b w:val="0"/>
        </w:rPr>
        <w:t>政府性基金预算支出决算情况说明</w:t>
      </w:r>
      <w:bookmarkEnd w:id="64"/>
      <w:bookmarkEnd w:id="65"/>
      <w:bookmarkEnd w:id="66"/>
    </w:p>
    <w:p>
      <w:pPr>
        <w:spacing w:line="600" w:lineRule="exact"/>
        <w:ind w:firstLine="640"/>
        <w:rPr>
          <w:rFonts w:eastAsia="仿宋_GB2312"/>
          <w:sz w:val="32"/>
          <w:szCs w:val="32"/>
        </w:rPr>
      </w:pPr>
      <w:r>
        <w:rPr>
          <w:rFonts w:eastAsia="仿宋_GB2312"/>
          <w:sz w:val="32"/>
          <w:szCs w:val="32"/>
        </w:rPr>
        <w:t>2022年政府性基金预算财政拨款支出0万元。</w:t>
      </w:r>
    </w:p>
    <w:p>
      <w:pPr>
        <w:spacing w:line="600" w:lineRule="exact"/>
        <w:ind w:firstLine="640"/>
        <w:rPr>
          <w:rFonts w:eastAsia="仿宋_GB2312"/>
          <w:sz w:val="32"/>
          <w:szCs w:val="32"/>
        </w:rPr>
      </w:pPr>
    </w:p>
    <w:p>
      <w:pPr>
        <w:numPr>
          <w:ilvl w:val="0"/>
          <w:numId w:val="3"/>
        </w:numPr>
        <w:spacing w:line="600" w:lineRule="exact"/>
        <w:ind w:firstLine="640"/>
        <w:outlineLvl w:val="1"/>
        <w:rPr>
          <w:rStyle w:val="30"/>
          <w:rFonts w:ascii="Times New Roman" w:hAnsi="Times New Roman" w:eastAsia="黑体" w:cs="Times New Roman"/>
          <w:b w:val="0"/>
        </w:rPr>
      </w:pPr>
      <w:bookmarkStart w:id="67" w:name="_Toc15377219"/>
      <w:bookmarkStart w:id="68" w:name="_Toc15396611"/>
      <w:bookmarkStart w:id="69" w:name="_Toc292"/>
      <w:r>
        <w:rPr>
          <w:rStyle w:val="30"/>
          <w:rFonts w:ascii="Times New Roman" w:hAnsi="Times New Roman" w:eastAsia="黑体" w:cs="Times New Roman"/>
          <w:b w:val="0"/>
        </w:rPr>
        <w:t>国有资本经营预算支出决算情况说明</w:t>
      </w:r>
      <w:bookmarkEnd w:id="67"/>
      <w:bookmarkEnd w:id="68"/>
      <w:bookmarkEnd w:id="69"/>
    </w:p>
    <w:p>
      <w:pPr>
        <w:spacing w:line="600" w:lineRule="exact"/>
        <w:ind w:firstLine="640"/>
        <w:rPr>
          <w:rFonts w:eastAsia="仿宋_GB2312"/>
          <w:sz w:val="32"/>
          <w:szCs w:val="32"/>
        </w:rPr>
      </w:pPr>
      <w:r>
        <w:rPr>
          <w:rFonts w:eastAsia="仿宋_GB2312"/>
          <w:sz w:val="32"/>
          <w:szCs w:val="32"/>
        </w:rPr>
        <w:t>2022年国有资本经营预算财政拨款支出0万元。</w:t>
      </w:r>
    </w:p>
    <w:p>
      <w:pPr>
        <w:spacing w:line="580" w:lineRule="exact"/>
        <w:jc w:val="center"/>
        <w:rPr>
          <w:rFonts w:eastAsia="方正小标宋简体"/>
          <w:sz w:val="44"/>
          <w:szCs w:val="44"/>
        </w:rPr>
      </w:pPr>
    </w:p>
    <w:p>
      <w:pPr>
        <w:numPr>
          <w:ilvl w:val="0"/>
          <w:numId w:val="3"/>
        </w:numPr>
        <w:spacing w:line="600" w:lineRule="exact"/>
        <w:ind w:firstLine="640"/>
        <w:outlineLvl w:val="1"/>
        <w:rPr>
          <w:rStyle w:val="30"/>
          <w:rFonts w:ascii="Times New Roman" w:hAnsi="Times New Roman" w:eastAsia="黑体" w:cs="Times New Roman"/>
          <w:b w:val="0"/>
        </w:rPr>
      </w:pPr>
      <w:bookmarkStart w:id="70" w:name="_Toc15396612"/>
      <w:bookmarkStart w:id="71" w:name="_Toc15377221"/>
      <w:bookmarkStart w:id="72" w:name="_Toc10984"/>
      <w:r>
        <w:rPr>
          <w:rStyle w:val="30"/>
          <w:rFonts w:ascii="Times New Roman" w:hAnsi="Times New Roman" w:eastAsia="黑体" w:cs="Times New Roman"/>
          <w:b w:val="0"/>
        </w:rPr>
        <w:t>其他重要事项的情况说明</w:t>
      </w:r>
      <w:bookmarkEnd w:id="70"/>
      <w:bookmarkEnd w:id="71"/>
      <w:bookmarkEnd w:id="72"/>
    </w:p>
    <w:p>
      <w:pPr>
        <w:spacing w:line="600" w:lineRule="exact"/>
        <w:ind w:firstLine="643" w:firstLineChars="200"/>
        <w:outlineLvl w:val="2"/>
        <w:rPr>
          <w:rFonts w:eastAsia="仿宋"/>
          <w:sz w:val="32"/>
          <w:szCs w:val="32"/>
        </w:rPr>
      </w:pPr>
      <w:bookmarkStart w:id="73" w:name="_Toc15377222"/>
      <w:bookmarkStart w:id="74" w:name="_Toc21301"/>
      <w:r>
        <w:rPr>
          <w:rFonts w:eastAsia="仿宋"/>
          <w:b/>
          <w:sz w:val="32"/>
          <w:szCs w:val="32"/>
        </w:rPr>
        <w:t>（一）机关运行经费支出情况</w:t>
      </w:r>
      <w:bookmarkEnd w:id="73"/>
      <w:bookmarkEnd w:id="74"/>
    </w:p>
    <w:p>
      <w:pPr>
        <w:spacing w:line="560" w:lineRule="exact"/>
        <w:ind w:firstLine="640" w:firstLineChars="200"/>
        <w:rPr>
          <w:rFonts w:eastAsia="仿宋_GB2312"/>
          <w:sz w:val="32"/>
          <w:szCs w:val="32"/>
        </w:rPr>
      </w:pPr>
      <w:r>
        <w:rPr>
          <w:rFonts w:eastAsia="仿宋_GB2312"/>
          <w:sz w:val="32"/>
          <w:szCs w:val="32"/>
        </w:rPr>
        <w:t>2022年，</w:t>
      </w:r>
      <w:r>
        <w:rPr>
          <w:rFonts w:hint="eastAsia" w:eastAsia="仿宋_GB2312"/>
          <w:sz w:val="32"/>
          <w:szCs w:val="32"/>
        </w:rPr>
        <w:t>米易县检察院</w:t>
      </w:r>
      <w:r>
        <w:rPr>
          <w:rFonts w:eastAsia="仿宋_GB2312"/>
          <w:sz w:val="32"/>
          <w:szCs w:val="32"/>
        </w:rPr>
        <w:t>机关运行经费支出</w:t>
      </w:r>
      <w:r>
        <w:rPr>
          <w:rFonts w:hint="eastAsia" w:eastAsia="仿宋_GB2312"/>
          <w:sz w:val="32"/>
          <w:szCs w:val="32"/>
        </w:rPr>
        <w:t>75.96</w:t>
      </w:r>
      <w:r>
        <w:rPr>
          <w:rFonts w:eastAsia="仿宋_GB2312"/>
          <w:sz w:val="32"/>
          <w:szCs w:val="32"/>
        </w:rPr>
        <w:t>万元，比2021年增加</w:t>
      </w:r>
      <w:r>
        <w:rPr>
          <w:rFonts w:hint="eastAsia" w:eastAsia="仿宋_GB2312"/>
          <w:sz w:val="32"/>
          <w:szCs w:val="32"/>
        </w:rPr>
        <w:t>6.55</w:t>
      </w:r>
      <w:r>
        <w:rPr>
          <w:rFonts w:eastAsia="仿宋_GB2312"/>
          <w:sz w:val="32"/>
          <w:szCs w:val="32"/>
        </w:rPr>
        <w:t>万元，增长</w:t>
      </w:r>
      <w:r>
        <w:rPr>
          <w:rFonts w:hint="eastAsia" w:eastAsia="仿宋_GB2312"/>
          <w:sz w:val="32"/>
          <w:szCs w:val="32"/>
        </w:rPr>
        <w:t>9.43</w:t>
      </w:r>
      <w:r>
        <w:rPr>
          <w:rFonts w:eastAsia="仿宋_GB2312"/>
          <w:sz w:val="32"/>
          <w:szCs w:val="32"/>
        </w:rPr>
        <w:t>%</w:t>
      </w:r>
      <w:r>
        <w:rPr>
          <w:rFonts w:hint="eastAsia" w:eastAsia="仿宋_GB2312"/>
          <w:sz w:val="32"/>
          <w:szCs w:val="32"/>
        </w:rPr>
        <w:t>，主要原因是在上年度中央转移支付办案业务经费中列支了部分经费。</w:t>
      </w:r>
    </w:p>
    <w:p>
      <w:pPr>
        <w:autoSpaceDE w:val="0"/>
        <w:autoSpaceDN w:val="0"/>
        <w:adjustRightInd w:val="0"/>
        <w:spacing w:line="600" w:lineRule="exact"/>
        <w:ind w:firstLine="643" w:firstLineChars="200"/>
        <w:jc w:val="left"/>
        <w:outlineLvl w:val="2"/>
        <w:rPr>
          <w:rFonts w:eastAsia="仿宋"/>
          <w:b/>
          <w:sz w:val="32"/>
          <w:szCs w:val="32"/>
        </w:rPr>
      </w:pPr>
      <w:bookmarkStart w:id="75" w:name="_Toc15377223"/>
      <w:bookmarkStart w:id="76" w:name="_Toc21552"/>
      <w:r>
        <w:rPr>
          <w:rFonts w:eastAsia="仿宋"/>
          <w:b/>
          <w:sz w:val="32"/>
          <w:szCs w:val="32"/>
        </w:rPr>
        <w:t>（二）政府采购支出情况</w:t>
      </w:r>
      <w:bookmarkEnd w:id="75"/>
      <w:bookmarkEnd w:id="76"/>
    </w:p>
    <w:p>
      <w:pPr>
        <w:spacing w:line="600" w:lineRule="exact"/>
        <w:ind w:firstLine="640" w:firstLineChars="200"/>
        <w:rPr>
          <w:rFonts w:eastAsia="仿宋_GB2312"/>
          <w:sz w:val="32"/>
          <w:szCs w:val="32"/>
        </w:rPr>
      </w:pPr>
      <w:r>
        <w:rPr>
          <w:rFonts w:eastAsia="仿宋_GB2312"/>
          <w:sz w:val="32"/>
          <w:szCs w:val="32"/>
        </w:rPr>
        <w:t>2022年，米易县人民检察院政府采购支出总额0万元，其中：政府采购货物支出0万元、政府采购工程支出0万元、政府采购服务支出0万元。授予中小企业合同金额0万元，占政府采购支出总额的0%，其中：授予小微企业合同金额0万元，占政府采购支出总额的0%。</w:t>
      </w:r>
    </w:p>
    <w:p>
      <w:pPr>
        <w:autoSpaceDE w:val="0"/>
        <w:autoSpaceDN w:val="0"/>
        <w:adjustRightInd w:val="0"/>
        <w:spacing w:line="600" w:lineRule="exact"/>
        <w:ind w:firstLine="643" w:firstLineChars="200"/>
        <w:jc w:val="left"/>
        <w:outlineLvl w:val="2"/>
        <w:rPr>
          <w:rFonts w:eastAsia="仿宋"/>
          <w:b/>
          <w:sz w:val="32"/>
          <w:szCs w:val="32"/>
        </w:rPr>
      </w:pPr>
      <w:bookmarkStart w:id="77" w:name="_Toc15377224"/>
      <w:bookmarkStart w:id="78" w:name="_Toc25489"/>
      <w:r>
        <w:rPr>
          <w:rFonts w:eastAsia="仿宋"/>
          <w:b/>
          <w:sz w:val="32"/>
          <w:szCs w:val="32"/>
        </w:rPr>
        <w:t>（三）国有资产占有使用情况</w:t>
      </w:r>
      <w:bookmarkEnd w:id="77"/>
      <w:bookmarkEnd w:id="78"/>
    </w:p>
    <w:p>
      <w:pPr>
        <w:autoSpaceDE w:val="0"/>
        <w:autoSpaceDN w:val="0"/>
        <w:adjustRightInd w:val="0"/>
        <w:spacing w:line="560" w:lineRule="exact"/>
        <w:ind w:firstLine="640" w:firstLineChars="200"/>
        <w:jc w:val="left"/>
        <w:rPr>
          <w:rFonts w:eastAsia="仿宋"/>
          <w:b/>
          <w:color w:val="FF0000"/>
          <w:sz w:val="32"/>
          <w:szCs w:val="32"/>
        </w:rPr>
      </w:pPr>
      <w:r>
        <w:rPr>
          <w:rFonts w:eastAsia="仿宋_GB2312"/>
          <w:color w:val="000000"/>
          <w:sz w:val="32"/>
          <w:szCs w:val="32"/>
        </w:rPr>
        <w:t>截至2021年12月31日，米易县人民检察院共有车辆8辆，其中：一般执法执勤用车5辆、特种专业技术用车2辆、其他用车1辆，其他用车主要是用于日常通勤。单价50万元以上通用设备0台（套），单价100万元以上专用设备0台（套）。</w:t>
      </w:r>
    </w:p>
    <w:p>
      <w:pPr>
        <w:autoSpaceDE w:val="0"/>
        <w:autoSpaceDN w:val="0"/>
        <w:adjustRightInd w:val="0"/>
        <w:spacing w:line="600" w:lineRule="exact"/>
        <w:ind w:firstLine="643" w:firstLineChars="200"/>
        <w:jc w:val="left"/>
        <w:outlineLvl w:val="2"/>
        <w:rPr>
          <w:rFonts w:eastAsia="仿宋"/>
          <w:b/>
          <w:sz w:val="32"/>
          <w:szCs w:val="32"/>
        </w:rPr>
      </w:pPr>
      <w:bookmarkStart w:id="79" w:name="_Toc16038"/>
      <w:r>
        <w:rPr>
          <w:rFonts w:eastAsia="仿宋"/>
          <w:b/>
          <w:sz w:val="32"/>
          <w:szCs w:val="32"/>
        </w:rPr>
        <w:t>（四）预算绩效管理情况</w:t>
      </w:r>
      <w:bookmarkEnd w:id="79"/>
    </w:p>
    <w:p>
      <w:pPr>
        <w:adjustRightInd w:val="0"/>
        <w:snapToGrid w:val="0"/>
        <w:spacing w:line="560" w:lineRule="exact"/>
        <w:ind w:firstLine="640" w:firstLineChars="200"/>
        <w:rPr>
          <w:rFonts w:eastAsia="仿宋_GB2312"/>
          <w:sz w:val="32"/>
          <w:szCs w:val="32"/>
        </w:rPr>
      </w:pPr>
      <w:r>
        <w:rPr>
          <w:rFonts w:eastAsia="仿宋_GB2312"/>
          <w:sz w:val="32"/>
          <w:szCs w:val="32"/>
        </w:rPr>
        <w:t>根据预算绩效管理要求，本部门在2022年度预算编制阶段，组织对长期临时聘用人员项目等3个项目开展了预算事前绩效评估，对3个项目编制了绩效目标，预算执行过程中，选取3个项目开展绩效监控。</w:t>
      </w:r>
      <w:r>
        <w:rPr>
          <w:rFonts w:hint="eastAsia" w:eastAsia="仿宋_GB2312"/>
          <w:sz w:val="32"/>
          <w:szCs w:val="32"/>
        </w:rPr>
        <w:t>对</w:t>
      </w:r>
      <w:r>
        <w:rPr>
          <w:rFonts w:eastAsia="仿宋_GB2312"/>
          <w:sz w:val="32"/>
          <w:szCs w:val="32"/>
        </w:rPr>
        <w:t>一般公共预算、政府性基金预算、国有资本经营预算、社会保险基金预算以及资本资产、债券资金等全面开展绩效自评，形成米易县人民检察院部门整体（含部门预算项目）绩效自评报告、聘用制书记员专项预算项目绩效自评报告，其中，米易县人民检察院部门整体（含部门预算项目）绩效自评得分为</w:t>
      </w:r>
      <w:r>
        <w:rPr>
          <w:rFonts w:hint="eastAsia" w:eastAsia="仿宋_GB2312"/>
          <w:sz w:val="32"/>
          <w:szCs w:val="32"/>
        </w:rPr>
        <w:t>93.5</w:t>
      </w:r>
      <w:r>
        <w:rPr>
          <w:rFonts w:eastAsia="仿宋_GB2312"/>
          <w:sz w:val="32"/>
          <w:szCs w:val="32"/>
        </w:rPr>
        <w:t>分，绩效自评综述：2022年米易县检察院的部门预算编制规范、准确，各项经费足额纳入预算安排，确保了部门正常运转和专项工作的顺利开展，较好完成年初绩效目标任务。聘用制书记员专项预算项目绩效自评得分为</w:t>
      </w:r>
      <w:r>
        <w:rPr>
          <w:rFonts w:hint="eastAsia" w:eastAsia="仿宋_GB2312"/>
          <w:sz w:val="32"/>
          <w:szCs w:val="32"/>
        </w:rPr>
        <w:t>96</w:t>
      </w:r>
      <w:r>
        <w:rPr>
          <w:rFonts w:eastAsia="仿宋_GB2312"/>
          <w:sz w:val="32"/>
          <w:szCs w:val="32"/>
        </w:rPr>
        <w:t>分，绩效自评综述</w:t>
      </w:r>
      <w:r>
        <w:rPr>
          <w:rFonts w:hint="eastAsia" w:eastAsia="仿宋_GB2312"/>
          <w:sz w:val="32"/>
          <w:szCs w:val="32"/>
        </w:rPr>
        <w:t>：</w:t>
      </w:r>
      <w:r>
        <w:rPr>
          <w:rFonts w:eastAsia="仿宋_GB2312"/>
          <w:sz w:val="32"/>
          <w:szCs w:val="32"/>
        </w:rPr>
        <w:t>项目立项依据充分、资金到位率高、预算执行率高、资金使用绩效较好</w:t>
      </w:r>
      <w:r>
        <w:rPr>
          <w:rFonts w:hint="eastAsia" w:eastAsia="仿宋_GB2312"/>
          <w:sz w:val="32"/>
          <w:szCs w:val="32"/>
        </w:rPr>
        <w:t>。</w:t>
      </w:r>
    </w:p>
    <w:p>
      <w:pPr>
        <w:tabs>
          <w:tab w:val="left" w:pos="5140"/>
        </w:tabs>
        <w:adjustRightInd w:val="0"/>
        <w:snapToGrid w:val="0"/>
        <w:spacing w:line="560" w:lineRule="exact"/>
        <w:ind w:firstLine="640" w:firstLineChars="200"/>
        <w:rPr>
          <w:rFonts w:hint="eastAsia" w:eastAsia="仿宋_GB2312"/>
          <w:sz w:val="32"/>
          <w:szCs w:val="32"/>
        </w:rPr>
      </w:pPr>
      <w:r>
        <w:rPr>
          <w:rFonts w:eastAsia="仿宋_GB2312"/>
          <w:sz w:val="32"/>
          <w:szCs w:val="32"/>
        </w:rPr>
        <w:t>绩效自评报告详见附件。</w:t>
      </w:r>
      <w:r>
        <w:rPr>
          <w:rFonts w:eastAsia="仿宋_GB2312"/>
          <w:sz w:val="32"/>
          <w:szCs w:val="32"/>
        </w:rPr>
        <w:tab/>
      </w:r>
    </w:p>
    <w:p>
      <w:pPr>
        <w:tabs>
          <w:tab w:val="left" w:pos="5140"/>
        </w:tabs>
        <w:adjustRightInd w:val="0"/>
        <w:snapToGrid w:val="0"/>
        <w:spacing w:line="560" w:lineRule="exact"/>
        <w:ind w:firstLine="640" w:firstLineChars="200"/>
        <w:rPr>
          <w:rFonts w:hint="eastAsia" w:eastAsia="仿宋_GB2312"/>
          <w:sz w:val="32"/>
          <w:szCs w:val="32"/>
        </w:rPr>
      </w:pPr>
    </w:p>
    <w:p>
      <w:pPr>
        <w:tabs>
          <w:tab w:val="left" w:pos="5140"/>
        </w:tabs>
        <w:adjustRightInd w:val="0"/>
        <w:snapToGrid w:val="0"/>
        <w:spacing w:line="560" w:lineRule="exact"/>
        <w:ind w:firstLine="640" w:firstLineChars="200"/>
        <w:rPr>
          <w:rFonts w:hint="eastAsia" w:eastAsia="仿宋_GB2312"/>
          <w:sz w:val="32"/>
          <w:szCs w:val="32"/>
        </w:rPr>
      </w:pPr>
    </w:p>
    <w:p>
      <w:pPr>
        <w:tabs>
          <w:tab w:val="left" w:pos="5140"/>
        </w:tabs>
        <w:adjustRightInd w:val="0"/>
        <w:snapToGrid w:val="0"/>
        <w:spacing w:line="560" w:lineRule="exact"/>
        <w:ind w:firstLine="640" w:firstLineChars="200"/>
        <w:rPr>
          <w:rFonts w:hint="eastAsia" w:eastAsia="仿宋_GB2312"/>
          <w:sz w:val="32"/>
          <w:szCs w:val="32"/>
        </w:rPr>
      </w:pPr>
    </w:p>
    <w:p>
      <w:pPr>
        <w:tabs>
          <w:tab w:val="left" w:pos="5140"/>
        </w:tabs>
        <w:adjustRightInd w:val="0"/>
        <w:snapToGrid w:val="0"/>
        <w:spacing w:line="560" w:lineRule="exact"/>
        <w:ind w:firstLine="640" w:firstLineChars="200"/>
        <w:rPr>
          <w:rFonts w:hint="eastAsia" w:eastAsia="仿宋_GB2312"/>
          <w:sz w:val="32"/>
          <w:szCs w:val="32"/>
        </w:rPr>
      </w:pPr>
    </w:p>
    <w:p>
      <w:pPr>
        <w:tabs>
          <w:tab w:val="left" w:pos="5140"/>
        </w:tabs>
        <w:adjustRightInd w:val="0"/>
        <w:snapToGrid w:val="0"/>
        <w:spacing w:line="560" w:lineRule="exact"/>
        <w:ind w:firstLine="640" w:firstLineChars="200"/>
        <w:rPr>
          <w:rFonts w:hint="eastAsia" w:eastAsia="仿宋_GB2312"/>
          <w:sz w:val="32"/>
          <w:szCs w:val="32"/>
        </w:rPr>
      </w:pPr>
    </w:p>
    <w:p>
      <w:pPr>
        <w:tabs>
          <w:tab w:val="left" w:pos="5140"/>
        </w:tabs>
        <w:adjustRightInd w:val="0"/>
        <w:snapToGrid w:val="0"/>
        <w:spacing w:line="560" w:lineRule="exact"/>
        <w:ind w:firstLine="640" w:firstLineChars="200"/>
        <w:rPr>
          <w:rFonts w:hint="eastAsia" w:eastAsia="仿宋_GB2312"/>
          <w:sz w:val="32"/>
          <w:szCs w:val="32"/>
        </w:rPr>
      </w:pPr>
    </w:p>
    <w:p>
      <w:pPr>
        <w:tabs>
          <w:tab w:val="left" w:pos="5140"/>
        </w:tabs>
        <w:adjustRightInd w:val="0"/>
        <w:snapToGrid w:val="0"/>
        <w:spacing w:line="560" w:lineRule="exact"/>
        <w:ind w:firstLine="640" w:firstLineChars="200"/>
        <w:rPr>
          <w:rFonts w:hint="eastAsia" w:eastAsia="仿宋_GB2312"/>
          <w:sz w:val="32"/>
          <w:szCs w:val="32"/>
        </w:rPr>
      </w:pPr>
    </w:p>
    <w:p>
      <w:pPr>
        <w:tabs>
          <w:tab w:val="left" w:pos="5140"/>
        </w:tabs>
        <w:adjustRightInd w:val="0"/>
        <w:snapToGrid w:val="0"/>
        <w:spacing w:line="560" w:lineRule="exact"/>
        <w:ind w:firstLine="640" w:firstLineChars="200"/>
        <w:rPr>
          <w:rFonts w:hint="eastAsia" w:eastAsia="仿宋_GB2312"/>
          <w:sz w:val="32"/>
          <w:szCs w:val="32"/>
        </w:rPr>
      </w:pPr>
    </w:p>
    <w:p>
      <w:pPr>
        <w:tabs>
          <w:tab w:val="left" w:pos="5140"/>
        </w:tabs>
        <w:adjustRightInd w:val="0"/>
        <w:snapToGrid w:val="0"/>
        <w:spacing w:line="560" w:lineRule="exact"/>
        <w:ind w:firstLine="640" w:firstLineChars="200"/>
        <w:rPr>
          <w:rFonts w:hint="eastAsia" w:eastAsia="仿宋_GB2312"/>
          <w:sz w:val="32"/>
          <w:szCs w:val="32"/>
        </w:rPr>
      </w:pPr>
    </w:p>
    <w:p>
      <w:pPr>
        <w:tabs>
          <w:tab w:val="left" w:pos="5140"/>
        </w:tabs>
        <w:adjustRightInd w:val="0"/>
        <w:snapToGrid w:val="0"/>
        <w:spacing w:line="560" w:lineRule="exact"/>
        <w:ind w:firstLine="640" w:firstLineChars="200"/>
        <w:rPr>
          <w:rFonts w:hint="eastAsia" w:eastAsia="仿宋_GB2312"/>
          <w:sz w:val="32"/>
          <w:szCs w:val="32"/>
        </w:rPr>
      </w:pPr>
    </w:p>
    <w:p>
      <w:pPr>
        <w:tabs>
          <w:tab w:val="left" w:pos="5140"/>
        </w:tabs>
        <w:adjustRightInd w:val="0"/>
        <w:snapToGrid w:val="0"/>
        <w:spacing w:line="560" w:lineRule="exact"/>
        <w:ind w:firstLine="640" w:firstLineChars="200"/>
        <w:rPr>
          <w:rFonts w:hint="eastAsia" w:eastAsia="仿宋_GB2312"/>
          <w:sz w:val="32"/>
          <w:szCs w:val="32"/>
        </w:rPr>
      </w:pPr>
    </w:p>
    <w:p>
      <w:pPr>
        <w:tabs>
          <w:tab w:val="left" w:pos="5140"/>
        </w:tabs>
        <w:adjustRightInd w:val="0"/>
        <w:snapToGrid w:val="0"/>
        <w:spacing w:line="560" w:lineRule="exact"/>
        <w:ind w:firstLine="640" w:firstLineChars="200"/>
        <w:rPr>
          <w:rFonts w:hint="eastAsia" w:eastAsia="仿宋_GB2312"/>
          <w:sz w:val="32"/>
          <w:szCs w:val="32"/>
        </w:rPr>
      </w:pPr>
    </w:p>
    <w:p>
      <w:pPr>
        <w:tabs>
          <w:tab w:val="left" w:pos="5140"/>
        </w:tabs>
        <w:adjustRightInd w:val="0"/>
        <w:snapToGrid w:val="0"/>
        <w:spacing w:line="560" w:lineRule="exact"/>
        <w:ind w:firstLine="640" w:firstLineChars="200"/>
        <w:rPr>
          <w:rFonts w:eastAsia="仿宋_GB2312"/>
          <w:sz w:val="32"/>
          <w:szCs w:val="32"/>
        </w:rPr>
      </w:pPr>
    </w:p>
    <w:p>
      <w:pPr>
        <w:widowControl/>
        <w:jc w:val="left"/>
        <w:rPr>
          <w:rFonts w:eastAsia="仿宋_GB2312"/>
          <w:sz w:val="32"/>
          <w:szCs w:val="32"/>
          <w:lang w:val="zh-CN"/>
        </w:rPr>
      </w:pPr>
    </w:p>
    <w:p>
      <w:pPr>
        <w:numPr>
          <w:ilvl w:val="0"/>
          <w:numId w:val="4"/>
        </w:numPr>
        <w:spacing w:line="600" w:lineRule="exact"/>
        <w:ind w:firstLine="660" w:firstLineChars="150"/>
        <w:jc w:val="center"/>
        <w:outlineLvl w:val="0"/>
        <w:rPr>
          <w:rStyle w:val="29"/>
          <w:rFonts w:eastAsia="黑体"/>
          <w:b w:val="0"/>
        </w:rPr>
      </w:pPr>
      <w:bookmarkStart w:id="80" w:name="_Toc15396613"/>
      <w:bookmarkStart w:id="81" w:name="_Toc15377225"/>
      <w:bookmarkStart w:id="82" w:name="_Toc4396"/>
      <w:r>
        <w:rPr>
          <w:rFonts w:eastAsia="黑体"/>
          <w:sz w:val="44"/>
          <w:szCs w:val="44"/>
        </w:rPr>
        <w:t>名</w:t>
      </w:r>
      <w:r>
        <w:rPr>
          <w:rStyle w:val="29"/>
          <w:rFonts w:eastAsia="黑体"/>
          <w:b w:val="0"/>
        </w:rPr>
        <w:t>词解释</w:t>
      </w:r>
      <w:bookmarkEnd w:id="80"/>
      <w:bookmarkEnd w:id="81"/>
      <w:bookmarkEnd w:id="82"/>
    </w:p>
    <w:p>
      <w:pPr>
        <w:spacing w:line="600" w:lineRule="exact"/>
        <w:jc w:val="left"/>
        <w:rPr>
          <w:b/>
          <w:sz w:val="44"/>
          <w:szCs w:val="44"/>
        </w:rPr>
      </w:pPr>
    </w:p>
    <w:p>
      <w:pPr>
        <w:pStyle w:val="27"/>
        <w:spacing w:line="560" w:lineRule="exact"/>
        <w:ind w:firstLine="640" w:firstLineChars="200"/>
        <w:outlineLvl w:val="1"/>
        <w:rPr>
          <w:rFonts w:ascii="Times New Roman" w:hAnsi="Times New Roman" w:eastAsia="仿宋_GB2312" w:cs="Times New Roman"/>
          <w:sz w:val="32"/>
          <w:szCs w:val="32"/>
        </w:rPr>
      </w:pPr>
      <w:bookmarkStart w:id="83" w:name="_Toc12284"/>
      <w:bookmarkStart w:id="84" w:name="_Toc15377226"/>
      <w:r>
        <w:rPr>
          <w:rFonts w:ascii="Times New Roman" w:hAnsi="Times New Roman" w:eastAsia="仿宋_GB2312" w:cs="Times New Roman"/>
          <w:sz w:val="32"/>
          <w:szCs w:val="32"/>
        </w:rPr>
        <w:t>1.财政拨款收入：指单位从同级财政部门取得的财政预算资金。</w:t>
      </w:r>
      <w:bookmarkEnd w:id="83"/>
    </w:p>
    <w:p>
      <w:pPr>
        <w:pStyle w:val="27"/>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2.事业收入：指事业单位开展专业业务活动及辅助活动取得的收入。</w:t>
      </w:r>
    </w:p>
    <w:p>
      <w:pPr>
        <w:pStyle w:val="27"/>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3.经营收入：指事业单位在专业业务活动及其辅助活动之外开展非独立核算经营活动取得的收入。</w:t>
      </w:r>
    </w:p>
    <w:p>
      <w:pPr>
        <w:pStyle w:val="27"/>
        <w:spacing w:line="560" w:lineRule="exact"/>
        <w:ind w:firstLine="640" w:firstLineChars="200"/>
        <w:outlineLvl w:val="1"/>
        <w:rPr>
          <w:rFonts w:ascii="Times New Roman" w:hAnsi="Times New Roman" w:eastAsia="仿宋_GB2312" w:cs="Times New Roman"/>
          <w:sz w:val="32"/>
          <w:szCs w:val="32"/>
        </w:rPr>
      </w:pPr>
      <w:bookmarkStart w:id="85" w:name="_Toc2901"/>
      <w:r>
        <w:rPr>
          <w:rFonts w:ascii="Times New Roman" w:hAnsi="Times New Roman" w:eastAsia="仿宋_GB2312" w:cs="Times New Roman"/>
          <w:sz w:val="32"/>
          <w:szCs w:val="32"/>
        </w:rPr>
        <w:t>4.其他收入：指单位取得的除上述收入以外的各项收入。</w:t>
      </w:r>
      <w:bookmarkEnd w:id="85"/>
      <w:r>
        <w:rPr>
          <w:rFonts w:ascii="Times New Roman" w:hAnsi="Times New Roman" w:eastAsia="仿宋_GB2312" w:cs="Times New Roman"/>
          <w:sz w:val="32"/>
          <w:szCs w:val="32"/>
        </w:rPr>
        <w:t xml:space="preserve"> </w:t>
      </w:r>
    </w:p>
    <w:p>
      <w:pPr>
        <w:pStyle w:val="27"/>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5.使用非财政拨款结余：指事业单位使用以前年度积累的非财政拨款结余弥补当年收支差额的金额。 </w:t>
      </w:r>
    </w:p>
    <w:p>
      <w:pPr>
        <w:pStyle w:val="27"/>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6.年初结转和结余：指以前年度尚未完成、结转到本年按有关规定继续使用的资金。 </w:t>
      </w:r>
    </w:p>
    <w:p>
      <w:pPr>
        <w:pStyle w:val="27"/>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7.结余分配：指事业单位按照会计制度规定缴纳的所得税、提取的专用结余以及转入非财政拨款结余的金额等。</w:t>
      </w:r>
    </w:p>
    <w:p>
      <w:pPr>
        <w:pStyle w:val="27"/>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8、年末结转和结余：指单位按有关规定结转到下年或以后年度继续使用的资金。</w:t>
      </w:r>
    </w:p>
    <w:p>
      <w:pPr>
        <w:spacing w:line="560" w:lineRule="exact"/>
        <w:ind w:firstLine="640" w:firstLineChars="200"/>
        <w:outlineLvl w:val="1"/>
        <w:rPr>
          <w:rFonts w:eastAsia="仿宋_GB2312"/>
          <w:color w:val="000000"/>
          <w:sz w:val="32"/>
          <w:szCs w:val="32"/>
        </w:rPr>
      </w:pPr>
      <w:bookmarkStart w:id="86" w:name="_Toc8477"/>
      <w:r>
        <w:rPr>
          <w:rFonts w:eastAsia="仿宋_GB2312"/>
          <w:color w:val="000000"/>
          <w:sz w:val="32"/>
          <w:szCs w:val="32"/>
        </w:rPr>
        <w:t>9.公共安全2040401：反映</w:t>
      </w:r>
      <w:r>
        <w:rPr>
          <w:rFonts w:hint="eastAsia" w:eastAsia="仿宋_GB2312"/>
          <w:color w:val="000000"/>
          <w:sz w:val="32"/>
          <w:szCs w:val="32"/>
        </w:rPr>
        <w:t>检察院</w:t>
      </w:r>
      <w:r>
        <w:rPr>
          <w:rFonts w:eastAsia="仿宋_GB2312"/>
          <w:color w:val="000000"/>
          <w:sz w:val="32"/>
          <w:szCs w:val="32"/>
        </w:rPr>
        <w:t>行政基本支出。</w:t>
      </w:r>
      <w:bookmarkEnd w:id="86"/>
    </w:p>
    <w:p>
      <w:pPr>
        <w:spacing w:line="560" w:lineRule="exact"/>
        <w:ind w:firstLine="640" w:firstLineChars="200"/>
        <w:rPr>
          <w:rFonts w:eastAsia="仿宋_GB2312"/>
          <w:color w:val="000000"/>
          <w:sz w:val="32"/>
          <w:szCs w:val="32"/>
        </w:rPr>
      </w:pPr>
      <w:r>
        <w:rPr>
          <w:rFonts w:eastAsia="仿宋_GB2312"/>
          <w:color w:val="000000"/>
          <w:sz w:val="32"/>
          <w:szCs w:val="32"/>
        </w:rPr>
        <w:t>10.社会保障和就业208：指是用于社会保障制度的运作的支出。</w:t>
      </w:r>
    </w:p>
    <w:p>
      <w:pPr>
        <w:spacing w:line="560" w:lineRule="exact"/>
        <w:ind w:firstLine="640" w:firstLineChars="200"/>
        <w:outlineLvl w:val="1"/>
        <w:rPr>
          <w:rFonts w:eastAsia="仿宋_GB2312"/>
          <w:color w:val="000000"/>
          <w:sz w:val="32"/>
          <w:szCs w:val="32"/>
        </w:rPr>
      </w:pPr>
      <w:bookmarkStart w:id="87" w:name="_Toc15040"/>
      <w:r>
        <w:rPr>
          <w:rFonts w:eastAsia="仿宋_GB2312"/>
          <w:color w:val="000000"/>
          <w:sz w:val="32"/>
          <w:szCs w:val="32"/>
        </w:rPr>
        <w:t>11.医疗卫生与计划生育210：用于卫生事业的财政拨款支出。</w:t>
      </w:r>
      <w:bookmarkEnd w:id="87"/>
    </w:p>
    <w:p>
      <w:pPr>
        <w:spacing w:line="560" w:lineRule="exact"/>
        <w:ind w:firstLine="640" w:firstLineChars="200"/>
        <w:rPr>
          <w:rFonts w:eastAsia="仿宋_GB2312"/>
          <w:color w:val="000000"/>
          <w:sz w:val="32"/>
          <w:szCs w:val="32"/>
        </w:rPr>
      </w:pPr>
      <w:r>
        <w:rPr>
          <w:rFonts w:eastAsia="仿宋_GB2312"/>
          <w:color w:val="000000"/>
          <w:sz w:val="32"/>
          <w:szCs w:val="32"/>
        </w:rPr>
        <w:t>12.住房保障221：住房保障支出包括保障性安居工程支出、住房改革支出(住房公积金、提租补贴、购房补贴)、城乡社区住宅(如公有住房建设和维修改造支出)。</w:t>
      </w:r>
    </w:p>
    <w:p>
      <w:pPr>
        <w:spacing w:line="560" w:lineRule="exact"/>
        <w:ind w:firstLine="640" w:firstLineChars="200"/>
        <w:rPr>
          <w:rFonts w:eastAsia="仿宋_GB2312"/>
          <w:color w:val="000000"/>
          <w:sz w:val="32"/>
          <w:szCs w:val="32"/>
        </w:rPr>
      </w:pPr>
      <w:r>
        <w:rPr>
          <w:rFonts w:eastAsia="仿宋_GB2312"/>
          <w:color w:val="000000"/>
          <w:sz w:val="32"/>
          <w:szCs w:val="32"/>
        </w:rPr>
        <w:t>13.基本支出：指为保障机构正常运转、完成日常工作任务而发生的人员支出和公用支出。</w:t>
      </w:r>
    </w:p>
    <w:p>
      <w:pPr>
        <w:spacing w:line="560" w:lineRule="exact"/>
        <w:ind w:firstLine="640" w:firstLineChars="200"/>
        <w:rPr>
          <w:rFonts w:eastAsia="仿宋_GB2312"/>
          <w:color w:val="000000"/>
          <w:sz w:val="32"/>
          <w:szCs w:val="32"/>
        </w:rPr>
      </w:pPr>
      <w:r>
        <w:rPr>
          <w:rFonts w:eastAsia="仿宋_GB2312"/>
          <w:color w:val="000000"/>
          <w:sz w:val="32"/>
          <w:szCs w:val="32"/>
        </w:rPr>
        <w:t xml:space="preserve">14.项目支出：指在基本支出之外为完成特定行政任务和事业发展目标所发生的支出。 </w:t>
      </w:r>
    </w:p>
    <w:p>
      <w:pPr>
        <w:spacing w:line="560" w:lineRule="exact"/>
        <w:ind w:firstLine="640" w:firstLineChars="200"/>
        <w:rPr>
          <w:rFonts w:eastAsia="仿宋_GB2312"/>
          <w:color w:val="000000"/>
          <w:sz w:val="32"/>
          <w:szCs w:val="32"/>
        </w:rPr>
      </w:pPr>
      <w:r>
        <w:rPr>
          <w:rFonts w:eastAsia="仿宋_GB2312"/>
          <w:color w:val="000000"/>
          <w:sz w:val="32"/>
          <w:szCs w:val="32"/>
        </w:rPr>
        <w:t>15.经营支出：指事业单位在专业业务活动及其辅助活动之外开展非独立核算经营活动发生的支出。</w:t>
      </w:r>
    </w:p>
    <w:p>
      <w:pPr>
        <w:pStyle w:val="27"/>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16.“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Style w:val="27"/>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17.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spacing w:line="560" w:lineRule="exact"/>
        <w:rPr>
          <w:rFonts w:eastAsia="黑体"/>
          <w:sz w:val="44"/>
          <w:szCs w:val="44"/>
        </w:rPr>
      </w:pPr>
    </w:p>
    <w:p>
      <w:pPr>
        <w:spacing w:line="600" w:lineRule="exact"/>
        <w:jc w:val="center"/>
        <w:outlineLvl w:val="0"/>
        <w:rPr>
          <w:rStyle w:val="29"/>
          <w:rFonts w:eastAsia="黑体"/>
          <w:b w:val="0"/>
        </w:rPr>
      </w:pPr>
      <w:r>
        <w:rPr>
          <w:b/>
          <w:sz w:val="44"/>
          <w:szCs w:val="44"/>
        </w:rPr>
        <w:br w:type="page"/>
      </w:r>
      <w:bookmarkStart w:id="88" w:name="_Toc15396614"/>
      <w:bookmarkStart w:id="89" w:name="_Toc9623"/>
      <w:r>
        <w:rPr>
          <w:rFonts w:eastAsia="黑体"/>
          <w:sz w:val="44"/>
          <w:szCs w:val="44"/>
        </w:rPr>
        <w:t>第</w:t>
      </w:r>
      <w:r>
        <w:rPr>
          <w:rStyle w:val="29"/>
          <w:rFonts w:eastAsia="黑体"/>
          <w:b w:val="0"/>
        </w:rPr>
        <w:t>四部分 附件</w:t>
      </w:r>
      <w:bookmarkEnd w:id="88"/>
      <w:bookmarkEnd w:id="89"/>
    </w:p>
    <w:p>
      <w:pPr>
        <w:spacing w:line="572" w:lineRule="exact"/>
        <w:jc w:val="left"/>
        <w:outlineLvl w:val="1"/>
        <w:rPr>
          <w:rFonts w:eastAsia="方正小标宋简体"/>
          <w:sz w:val="44"/>
          <w:szCs w:val="44"/>
        </w:rPr>
      </w:pPr>
      <w:bookmarkStart w:id="90" w:name="_Toc9151"/>
      <w:r>
        <w:rPr>
          <w:rFonts w:eastAsia="黑体"/>
          <w:sz w:val="32"/>
          <w:szCs w:val="32"/>
        </w:rPr>
        <w:t>附件</w:t>
      </w:r>
      <w:bookmarkEnd w:id="90"/>
    </w:p>
    <w:p>
      <w:pPr>
        <w:widowControl/>
        <w:spacing w:line="560" w:lineRule="exact"/>
        <w:contextualSpacing/>
        <w:jc w:val="center"/>
        <w:rPr>
          <w:rFonts w:ascii="方正小标宋_GBK" w:hAnsi="方正小标宋_GBK" w:eastAsia="方正小标宋_GBK" w:cs="方正小标宋_GBK"/>
          <w:bCs/>
          <w:sz w:val="36"/>
          <w:szCs w:val="36"/>
          <w:shd w:val="clear" w:color="auto" w:fill="FFFFFF"/>
        </w:rPr>
      </w:pPr>
      <w:r>
        <w:rPr>
          <w:rFonts w:hint="eastAsia" w:ascii="方正小标宋_GBK" w:hAnsi="方正小标宋_GBK" w:eastAsia="方正小标宋_GBK" w:cs="方正小标宋_GBK"/>
          <w:bCs/>
          <w:sz w:val="36"/>
          <w:szCs w:val="36"/>
          <w:shd w:val="clear" w:color="auto" w:fill="FFFFFF"/>
        </w:rPr>
        <w:t>2023年米易县人民检察院整体绩效评价报告</w:t>
      </w:r>
    </w:p>
    <w:p>
      <w:pPr>
        <w:widowControl/>
        <w:adjustRightInd w:val="0"/>
        <w:snapToGrid w:val="0"/>
        <w:spacing w:line="560" w:lineRule="exact"/>
        <w:ind w:firstLine="720" w:firstLineChars="200"/>
        <w:contextualSpacing/>
        <w:jc w:val="left"/>
        <w:rPr>
          <w:rFonts w:eastAsia="黑体"/>
          <w:kern w:val="0"/>
          <w:sz w:val="36"/>
          <w:szCs w:val="36"/>
          <w:shd w:val="clear" w:color="auto" w:fill="FFFFFF"/>
        </w:rPr>
      </w:pPr>
    </w:p>
    <w:p>
      <w:pPr>
        <w:widowControl/>
        <w:numPr>
          <w:ilvl w:val="0"/>
          <w:numId w:val="5"/>
        </w:numPr>
        <w:adjustRightInd w:val="0"/>
        <w:snapToGrid w:val="0"/>
        <w:spacing w:line="560" w:lineRule="exact"/>
        <w:ind w:firstLine="640" w:firstLineChars="200"/>
        <w:contextualSpacing/>
        <w:jc w:val="left"/>
        <w:outlineLvl w:val="1"/>
        <w:rPr>
          <w:rFonts w:eastAsia="黑体"/>
          <w:kern w:val="0"/>
          <w:sz w:val="32"/>
          <w:szCs w:val="32"/>
          <w:shd w:val="clear" w:color="auto" w:fill="FFFFFF"/>
          <w:lang w:val="zh-CN"/>
        </w:rPr>
      </w:pPr>
      <w:bookmarkStart w:id="91" w:name="_Toc31598"/>
      <w:r>
        <w:rPr>
          <w:rFonts w:eastAsia="黑体"/>
          <w:kern w:val="0"/>
          <w:sz w:val="32"/>
          <w:szCs w:val="32"/>
          <w:shd w:val="clear" w:color="auto" w:fill="FFFFFF"/>
          <w:lang w:val="zh-CN"/>
        </w:rPr>
        <w:t>部门（单位）基本情况</w:t>
      </w:r>
      <w:bookmarkEnd w:id="91"/>
    </w:p>
    <w:p>
      <w:pPr>
        <w:widowControl/>
        <w:numPr>
          <w:ilvl w:val="0"/>
          <w:numId w:val="6"/>
        </w:numPr>
        <w:adjustRightInd w:val="0"/>
        <w:snapToGrid w:val="0"/>
        <w:spacing w:line="560" w:lineRule="exact"/>
        <w:ind w:firstLine="643" w:firstLineChars="200"/>
        <w:contextualSpacing/>
        <w:jc w:val="left"/>
        <w:outlineLvl w:val="2"/>
        <w:rPr>
          <w:rFonts w:eastAsia="楷体_GB2312"/>
          <w:b/>
          <w:bCs/>
          <w:kern w:val="0"/>
          <w:sz w:val="32"/>
          <w:szCs w:val="32"/>
          <w:shd w:val="clear" w:color="auto" w:fill="FFFFFF"/>
          <w:lang w:val="zh-CN"/>
        </w:rPr>
      </w:pPr>
      <w:bookmarkStart w:id="92" w:name="_Toc4956"/>
      <w:r>
        <w:rPr>
          <w:rFonts w:eastAsia="楷体_GB2312"/>
          <w:b/>
          <w:bCs/>
          <w:kern w:val="0"/>
          <w:sz w:val="32"/>
          <w:szCs w:val="32"/>
          <w:shd w:val="clear" w:color="auto" w:fill="FFFFFF"/>
          <w:lang w:val="zh-CN"/>
        </w:rPr>
        <w:t>机构组成。</w:t>
      </w:r>
      <w:bookmarkEnd w:id="92"/>
    </w:p>
    <w:p>
      <w:pPr>
        <w:pStyle w:val="13"/>
        <w:shd w:val="clear" w:color="auto" w:fill="FFFFFF"/>
        <w:spacing w:before="0" w:beforeAutospacing="0" w:after="0" w:afterAutospacing="0" w:line="560" w:lineRule="exact"/>
        <w:ind w:firstLine="640" w:firstLineChars="200"/>
        <w:rPr>
          <w:rFonts w:ascii="Times New Roman" w:hAnsi="Times New Roman" w:eastAsia="方正仿宋_GBK" w:cs="Times New Roman"/>
          <w:sz w:val="32"/>
          <w:szCs w:val="32"/>
          <w:shd w:val="clear" w:color="auto" w:fill="FFFFFF"/>
        </w:rPr>
      </w:pPr>
      <w:r>
        <w:rPr>
          <w:rFonts w:ascii="Times New Roman" w:hAnsi="Times New Roman" w:eastAsia="方正仿宋_GBK" w:cs="Times New Roman"/>
          <w:sz w:val="32"/>
          <w:szCs w:val="32"/>
          <w:shd w:val="clear" w:color="auto" w:fill="FFFFFF"/>
        </w:rPr>
        <w:t>人民检察院按照法律规定和业务分工设立若干业务机构。</w:t>
      </w:r>
    </w:p>
    <w:p>
      <w:pPr>
        <w:pStyle w:val="13"/>
        <w:shd w:val="clear" w:color="auto" w:fill="FFFFFF"/>
        <w:spacing w:before="0" w:beforeAutospacing="0" w:after="0" w:afterAutospacing="0" w:line="560" w:lineRule="exact"/>
        <w:ind w:firstLine="640" w:firstLineChars="200"/>
        <w:rPr>
          <w:rFonts w:ascii="Times New Roman" w:hAnsi="Times New Roman" w:eastAsia="方正仿宋_GBK" w:cs="Times New Roman"/>
          <w:sz w:val="32"/>
          <w:szCs w:val="32"/>
          <w:shd w:val="clear" w:color="auto" w:fill="FFFFFF"/>
        </w:rPr>
      </w:pPr>
      <w:r>
        <w:rPr>
          <w:rFonts w:ascii="Times New Roman" w:hAnsi="Times New Roman" w:eastAsia="方正仿宋_GBK" w:cs="Times New Roman"/>
          <w:sz w:val="32"/>
          <w:szCs w:val="32"/>
          <w:shd w:val="clear" w:color="auto" w:fill="FFFFFF"/>
        </w:rPr>
        <w:t>1、办公室</w:t>
      </w:r>
    </w:p>
    <w:p>
      <w:pPr>
        <w:pStyle w:val="13"/>
        <w:shd w:val="clear" w:color="auto" w:fill="FFFFFF"/>
        <w:spacing w:before="0" w:beforeAutospacing="0" w:after="0" w:afterAutospacing="0" w:line="560" w:lineRule="exact"/>
        <w:ind w:firstLine="640" w:firstLineChars="200"/>
        <w:rPr>
          <w:rFonts w:ascii="Times New Roman" w:hAnsi="Times New Roman" w:eastAsia="方正仿宋_GBK" w:cs="Times New Roman"/>
          <w:sz w:val="32"/>
          <w:szCs w:val="32"/>
          <w:shd w:val="clear" w:color="auto" w:fill="FFFFFF"/>
        </w:rPr>
      </w:pPr>
      <w:r>
        <w:rPr>
          <w:rFonts w:ascii="Times New Roman" w:hAnsi="Times New Roman" w:eastAsia="方正仿宋_GBK" w:cs="Times New Roman"/>
          <w:sz w:val="32"/>
          <w:szCs w:val="32"/>
          <w:shd w:val="clear" w:color="auto" w:fill="FFFFFF"/>
        </w:rPr>
        <w:t>负责机关文电、会务、机要、档案、保密等工作。协助院领导处理检察政务，组织协调院重要工作部署、重大决策的贯彻实施。承担综合性绩效考核相关工作。起草审核相关文件文稿，处理检察信息。负责本院计划财务管理、预决算执行、国有资产管理、政府采购等工作。负责本院检察技术、案件信息网络安全、办案过程中全程同步录音录像等工作。负责领导同志批办事项督查工作。负责人大代表、政协委员联络工作和特约检察员的联系工作，组织人民监督员工作。</w:t>
      </w:r>
    </w:p>
    <w:p>
      <w:pPr>
        <w:pStyle w:val="13"/>
        <w:shd w:val="clear" w:color="auto" w:fill="FFFFFF"/>
        <w:spacing w:before="0" w:beforeAutospacing="0" w:after="0" w:afterAutospacing="0" w:line="560" w:lineRule="exact"/>
        <w:ind w:left="420" w:leftChars="200" w:firstLine="320" w:firstLineChars="100"/>
        <w:rPr>
          <w:rFonts w:ascii="Times New Roman" w:hAnsi="Times New Roman" w:eastAsia="方正仿宋_GBK" w:cs="Times New Roman"/>
          <w:sz w:val="32"/>
          <w:szCs w:val="32"/>
          <w:shd w:val="clear" w:color="auto" w:fill="FFFFFF"/>
        </w:rPr>
      </w:pPr>
      <w:r>
        <w:rPr>
          <w:rFonts w:ascii="Times New Roman" w:hAnsi="Times New Roman" w:eastAsia="方正仿宋_GBK" w:cs="Times New Roman"/>
          <w:sz w:val="32"/>
          <w:szCs w:val="32"/>
          <w:shd w:val="clear" w:color="auto" w:fill="FFFFFF"/>
        </w:rPr>
        <w:t>2、政治部（司法警察大队）</w:t>
      </w:r>
    </w:p>
    <w:p>
      <w:pPr>
        <w:pStyle w:val="13"/>
        <w:shd w:val="clear" w:color="auto" w:fill="FFFFFF"/>
        <w:spacing w:before="0" w:beforeAutospacing="0" w:after="0" w:afterAutospacing="0" w:line="560" w:lineRule="exact"/>
        <w:ind w:firstLine="640" w:firstLineChars="200"/>
        <w:rPr>
          <w:rFonts w:ascii="Times New Roman" w:hAnsi="Times New Roman" w:eastAsia="方正仿宋_GBK" w:cs="Times New Roman"/>
          <w:sz w:val="32"/>
          <w:szCs w:val="32"/>
          <w:shd w:val="clear" w:color="auto" w:fill="FFFFFF"/>
        </w:rPr>
      </w:pPr>
      <w:r>
        <w:rPr>
          <w:rFonts w:ascii="Times New Roman" w:hAnsi="Times New Roman" w:eastAsia="方正仿宋_GBK" w:cs="Times New Roman"/>
          <w:sz w:val="32"/>
          <w:szCs w:val="32"/>
          <w:shd w:val="clear" w:color="auto" w:fill="FFFFFF"/>
        </w:rPr>
        <w:t>负责本院思想政治工作、新闻宣传、舆论引导、组织人事、教育培训、退休人员工作。负责本院检务督察工作。负责本院司法警察队伍建设和管理工作，组织司法警察执行办案场所警戒、人员押解和看管等警务事项。</w:t>
      </w:r>
    </w:p>
    <w:p>
      <w:pPr>
        <w:pStyle w:val="13"/>
        <w:shd w:val="clear" w:color="auto" w:fill="FFFFFF"/>
        <w:spacing w:before="0" w:beforeAutospacing="0" w:after="0" w:afterAutospacing="0" w:line="560" w:lineRule="exact"/>
        <w:ind w:firstLine="640" w:firstLineChars="200"/>
        <w:rPr>
          <w:rFonts w:ascii="Times New Roman" w:hAnsi="Times New Roman" w:eastAsia="方正仿宋_GBK" w:cs="Times New Roman"/>
          <w:sz w:val="32"/>
          <w:szCs w:val="32"/>
          <w:shd w:val="clear" w:color="auto" w:fill="FFFFFF"/>
        </w:rPr>
      </w:pPr>
      <w:r>
        <w:rPr>
          <w:rFonts w:ascii="Times New Roman" w:hAnsi="Times New Roman" w:eastAsia="方正仿宋_GBK" w:cs="Times New Roman"/>
          <w:sz w:val="32"/>
          <w:szCs w:val="32"/>
          <w:shd w:val="clear" w:color="auto" w:fill="FFFFFF"/>
        </w:rPr>
        <w:t>3、第一检察部（未成年人刑事检察部）</w:t>
      </w:r>
    </w:p>
    <w:p>
      <w:pPr>
        <w:pStyle w:val="13"/>
        <w:shd w:val="clear" w:color="auto" w:fill="FFFFFF"/>
        <w:spacing w:before="0" w:beforeAutospacing="0" w:after="0" w:afterAutospacing="0" w:line="560" w:lineRule="exact"/>
        <w:ind w:firstLine="640" w:firstLineChars="200"/>
        <w:rPr>
          <w:rFonts w:ascii="Times New Roman" w:hAnsi="Times New Roman" w:eastAsia="方正仿宋_GBK" w:cs="Times New Roman"/>
          <w:sz w:val="32"/>
          <w:szCs w:val="32"/>
          <w:shd w:val="clear" w:color="auto" w:fill="FFFFFF"/>
        </w:rPr>
      </w:pPr>
      <w:r>
        <w:rPr>
          <w:rFonts w:ascii="Times New Roman" w:hAnsi="Times New Roman" w:eastAsia="方正仿宋_GBK" w:cs="Times New Roman"/>
          <w:sz w:val="32"/>
          <w:szCs w:val="32"/>
          <w:shd w:val="clear" w:color="auto" w:fill="FFFFFF"/>
        </w:rPr>
        <w:t>负责对法律规定由米易县人民检察院办理的刑事案件的审查逮捕、审查起诉、出庭支持公诉、抗诉，开展相关立案监督、侦查监督、审判监督以及相关案件的补充侦查。负责对法律规定由米易县人民检察院办理的米易县监察委员会移送职务犯罪案件的审查逮捕、审查起诉、出庭支持公诉、抗诉，开展相关审判监督以及相关案件的补充侦查。办理米易县人民检察院管辖的相关刑事申诉案件。负责对法律规定由米易县人民检察院办理的未成年人犯罪和侵害未成年人犯罪案件的审查逮捕、审查起诉、出庭支持公诉、抗诉，开展相关立案监督、侦查监督、审判监督以及相关案件的补充侦查。开展未成年人司法保护和预防未成年人犯罪工作。</w:t>
      </w:r>
    </w:p>
    <w:p>
      <w:pPr>
        <w:pStyle w:val="13"/>
        <w:shd w:val="clear" w:color="auto" w:fill="FFFFFF"/>
        <w:spacing w:before="0" w:beforeAutospacing="0" w:after="0" w:afterAutospacing="0" w:line="560" w:lineRule="exact"/>
        <w:ind w:firstLine="640" w:firstLineChars="200"/>
        <w:rPr>
          <w:rFonts w:ascii="Times New Roman" w:hAnsi="Times New Roman" w:eastAsia="方正仿宋_GBK" w:cs="Times New Roman"/>
          <w:sz w:val="32"/>
          <w:szCs w:val="32"/>
          <w:shd w:val="clear" w:color="auto" w:fill="FFFFFF"/>
        </w:rPr>
      </w:pPr>
      <w:r>
        <w:rPr>
          <w:rFonts w:ascii="Times New Roman" w:hAnsi="Times New Roman" w:eastAsia="方正仿宋_GBK" w:cs="Times New Roman"/>
          <w:sz w:val="32"/>
          <w:szCs w:val="32"/>
          <w:shd w:val="clear" w:color="auto" w:fill="FFFFFF"/>
        </w:rPr>
        <w:t>4、第二检察部</w:t>
      </w:r>
    </w:p>
    <w:p>
      <w:pPr>
        <w:pStyle w:val="13"/>
        <w:shd w:val="clear" w:color="auto" w:fill="FFFFFF"/>
        <w:spacing w:before="0" w:beforeAutospacing="0" w:after="0" w:afterAutospacing="0" w:line="560" w:lineRule="exact"/>
        <w:ind w:firstLine="640" w:firstLineChars="200"/>
        <w:rPr>
          <w:rFonts w:ascii="Times New Roman" w:hAnsi="Times New Roman" w:eastAsia="方正仿宋_GBK" w:cs="Times New Roman"/>
          <w:sz w:val="32"/>
          <w:szCs w:val="32"/>
          <w:shd w:val="clear" w:color="auto" w:fill="FFFFFF"/>
        </w:rPr>
      </w:pPr>
      <w:r>
        <w:rPr>
          <w:rFonts w:ascii="Times New Roman" w:hAnsi="Times New Roman" w:eastAsia="方正仿宋_GBK" w:cs="Times New Roman"/>
          <w:sz w:val="32"/>
          <w:szCs w:val="32"/>
          <w:shd w:val="clear" w:color="auto" w:fill="FFFFFF"/>
        </w:rPr>
        <w:t>负责办理向米易县人民检察院申请监督和提请抗诉的民事案件和行政案件的审查、抗诉。承办对米易县人民</w:t>
      </w:r>
      <w:r>
        <w:rPr>
          <w:rFonts w:hint="eastAsia" w:ascii="Times New Roman" w:hAnsi="Times New Roman" w:eastAsia="方正仿宋_GBK" w:cs="Times New Roman"/>
          <w:sz w:val="32"/>
          <w:szCs w:val="32"/>
          <w:shd w:val="clear" w:color="auto" w:fill="FFFFFF"/>
        </w:rPr>
        <w:t>检察院</w:t>
      </w:r>
      <w:r>
        <w:rPr>
          <w:rFonts w:ascii="Times New Roman" w:hAnsi="Times New Roman" w:eastAsia="方正仿宋_GBK" w:cs="Times New Roman"/>
          <w:sz w:val="32"/>
          <w:szCs w:val="32"/>
          <w:shd w:val="clear" w:color="auto" w:fill="FFFFFF"/>
        </w:rPr>
        <w:t>民事诉讼和行政诉讼活动的法律监督，对审判监督程序以外的其他民事审判和行政审判程序中审判人员的违法行为提出检察建议，对民事执行和行政执行活动实行法律监督。开展民事支持起诉工作。负责办理法律规定由米易县人民检察院办理的破坏生态环境和资源保护、食品药品安全领域侵害众多消费者合法权益等损害社会公共利益的民事公益诉讼案件，生态环境和资源保护、食品药品安全、国有财产保护、国有土地使用权出让等领域的行政公益诉讼案件，侵害英雄烈士姓名、肖像、名誉、荣誉的公益诉讼案件。负责对米易县人民</w:t>
      </w:r>
      <w:r>
        <w:rPr>
          <w:rFonts w:hint="eastAsia" w:ascii="Times New Roman" w:hAnsi="Times New Roman" w:eastAsia="方正仿宋_GBK" w:cs="Times New Roman"/>
          <w:sz w:val="32"/>
          <w:szCs w:val="32"/>
          <w:shd w:val="clear" w:color="auto" w:fill="FFFFFF"/>
        </w:rPr>
        <w:t>检察院</w:t>
      </w:r>
      <w:r>
        <w:rPr>
          <w:rFonts w:ascii="Times New Roman" w:hAnsi="Times New Roman" w:eastAsia="方正仿宋_GBK" w:cs="Times New Roman"/>
          <w:sz w:val="32"/>
          <w:szCs w:val="32"/>
          <w:shd w:val="clear" w:color="auto" w:fill="FFFFFF"/>
        </w:rPr>
        <w:t>开庭审理的公益诉讼案件，派员出席法庭，依照有关规定提出检察建议。办理米易县人民检察院管辖的民事申诉、行政申诉和公益诉讼申诉案件。</w:t>
      </w:r>
    </w:p>
    <w:p>
      <w:pPr>
        <w:pStyle w:val="13"/>
        <w:shd w:val="clear" w:color="auto" w:fill="FFFFFF"/>
        <w:spacing w:before="0" w:beforeAutospacing="0" w:after="0" w:afterAutospacing="0" w:line="560" w:lineRule="exact"/>
        <w:ind w:firstLine="640" w:firstLineChars="200"/>
        <w:rPr>
          <w:rFonts w:ascii="Times New Roman" w:hAnsi="Times New Roman" w:eastAsia="方正仿宋_GBK" w:cs="Times New Roman"/>
          <w:sz w:val="32"/>
          <w:szCs w:val="32"/>
          <w:shd w:val="clear" w:color="auto" w:fill="FFFFFF"/>
        </w:rPr>
      </w:pPr>
      <w:r>
        <w:rPr>
          <w:rFonts w:ascii="Times New Roman" w:hAnsi="Times New Roman" w:eastAsia="方正仿宋_GBK" w:cs="Times New Roman"/>
          <w:sz w:val="32"/>
          <w:szCs w:val="32"/>
          <w:shd w:val="clear" w:color="auto" w:fill="FFFFFF"/>
        </w:rPr>
        <w:t>5、第三检察部</w:t>
      </w:r>
    </w:p>
    <w:p>
      <w:pPr>
        <w:pStyle w:val="13"/>
        <w:shd w:val="clear" w:color="auto" w:fill="FFFFFF"/>
        <w:spacing w:before="0" w:beforeAutospacing="0" w:after="0" w:afterAutospacing="0" w:line="560" w:lineRule="exact"/>
        <w:ind w:firstLine="640" w:firstLineChars="200"/>
        <w:rPr>
          <w:rFonts w:ascii="Times New Roman" w:hAnsi="Times New Roman" w:eastAsia="方正仿宋_GBK" w:cs="Times New Roman"/>
          <w:sz w:val="32"/>
          <w:szCs w:val="32"/>
          <w:shd w:val="clear" w:color="auto" w:fill="FFFFFF"/>
        </w:rPr>
      </w:pPr>
      <w:r>
        <w:rPr>
          <w:rFonts w:ascii="Times New Roman" w:hAnsi="Times New Roman" w:eastAsia="方正仿宋_GBK" w:cs="Times New Roman"/>
          <w:sz w:val="32"/>
          <w:szCs w:val="32"/>
          <w:shd w:val="clear" w:color="auto" w:fill="FFFFFF"/>
        </w:rPr>
        <w:t>负责对看守所、社区矫正机构等执法活动的监督，对刑事判决、裁定执行、强制医疗执行、羁押和办案期限的监督，羁押必要性审查。办理罪犯又犯罪案件。负责对法律规定由米易县人民检察院办理的司法工作人员利用职权实施的非法拘禁、刑讯逼供、非法搜查等侵犯公民权利、损害司法公正犯罪，以及按照刑事诉讼法规定由人民检察院直接受理的其他重大犯罪案件的侦查。负责受理向米易县人民检察院的控告和申诉。承办米易县人民检察院管辖的国家赔偿案件和国家司法救助案件。负责法律政策研究工作，承担本院检察委员会日常工作。负责案件的统一受理流转、办案流程监控、涉案财物管理、法律文书监管、案件信息公开，统一组织办案质量评查、业务考评和业务统计分析研判等工作。</w:t>
      </w:r>
    </w:p>
    <w:p>
      <w:pPr>
        <w:widowControl/>
        <w:adjustRightInd w:val="0"/>
        <w:snapToGrid w:val="0"/>
        <w:spacing w:line="560" w:lineRule="exact"/>
        <w:ind w:firstLine="321" w:firstLineChars="100"/>
        <w:contextualSpacing/>
        <w:jc w:val="left"/>
        <w:outlineLvl w:val="2"/>
        <w:rPr>
          <w:rFonts w:eastAsia="楷体_GB2312"/>
          <w:b/>
          <w:bCs/>
          <w:kern w:val="0"/>
          <w:sz w:val="32"/>
          <w:szCs w:val="32"/>
          <w:shd w:val="clear" w:color="auto" w:fill="FFFFFF"/>
          <w:lang w:val="zh-CN"/>
        </w:rPr>
      </w:pPr>
      <w:bookmarkStart w:id="93" w:name="_Toc28237"/>
      <w:r>
        <w:rPr>
          <w:rFonts w:eastAsia="楷体_GB2312"/>
          <w:b/>
          <w:bCs/>
          <w:kern w:val="0"/>
          <w:sz w:val="32"/>
          <w:szCs w:val="32"/>
          <w:shd w:val="clear" w:color="auto" w:fill="FFFFFF"/>
          <w:lang w:val="zh-CN"/>
        </w:rPr>
        <w:t>（二）机构职能和人员概况。</w:t>
      </w:r>
      <w:bookmarkEnd w:id="93"/>
    </w:p>
    <w:p>
      <w:pPr>
        <w:pStyle w:val="5"/>
        <w:adjustRightInd w:val="0"/>
        <w:snapToGrid w:val="0"/>
        <w:spacing w:before="93" w:line="580" w:lineRule="exact"/>
        <w:ind w:firstLine="643" w:firstLineChars="200"/>
        <w:rPr>
          <w:rFonts w:ascii="Times New Roman" w:eastAsia="方正仿宋_GBK"/>
          <w:b/>
          <w:bCs/>
          <w:color w:val="000000"/>
          <w:kern w:val="2"/>
          <w:sz w:val="32"/>
          <w:szCs w:val="32"/>
          <w:shd w:val="clear" w:color="auto" w:fill="FFFFFF"/>
        </w:rPr>
      </w:pPr>
      <w:r>
        <w:rPr>
          <w:rFonts w:ascii="Times New Roman" w:eastAsia="方正仿宋_GBK"/>
          <w:b/>
          <w:bCs/>
          <w:color w:val="000000"/>
          <w:kern w:val="2"/>
          <w:sz w:val="32"/>
          <w:szCs w:val="32"/>
          <w:shd w:val="clear" w:color="auto" w:fill="FFFFFF"/>
        </w:rPr>
        <w:t>1、机构职能</w:t>
      </w:r>
    </w:p>
    <w:p>
      <w:pPr>
        <w:pStyle w:val="5"/>
        <w:adjustRightInd w:val="0"/>
        <w:snapToGrid w:val="0"/>
        <w:spacing w:before="93" w:line="580" w:lineRule="exact"/>
        <w:ind w:firstLine="640" w:firstLineChars="200"/>
        <w:rPr>
          <w:rFonts w:ascii="Times New Roman" w:eastAsia="方正仿宋_GBK"/>
          <w:color w:val="000000"/>
          <w:kern w:val="2"/>
          <w:sz w:val="32"/>
          <w:szCs w:val="32"/>
          <w:shd w:val="clear" w:color="auto" w:fill="FFFFFF"/>
        </w:rPr>
      </w:pPr>
      <w:r>
        <w:rPr>
          <w:rFonts w:ascii="Times New Roman" w:eastAsia="方正仿宋_GBK"/>
          <w:color w:val="000000"/>
          <w:kern w:val="2"/>
          <w:sz w:val="32"/>
          <w:szCs w:val="32"/>
          <w:shd w:val="clear" w:color="auto" w:fill="FFFFFF"/>
        </w:rPr>
        <w:t>人民检察院是国家法律监督机关，依法履行法律监督职能，保证国家法律正确统一实施，向县人民代表大会及其常务委员会报告工作，依法履行以下职责：</w:t>
      </w:r>
      <w:r>
        <w:rPr>
          <w:rFonts w:ascii="Times New Roman" w:eastAsia="方正仿宋_GBK"/>
          <w:color w:val="000000"/>
          <w:kern w:val="2"/>
          <w:sz w:val="32"/>
          <w:szCs w:val="32"/>
          <w:shd w:val="clear" w:color="auto" w:fill="FFFFFF"/>
        </w:rPr>
        <w:br w:type="textWrapping"/>
      </w:r>
      <w:r>
        <w:rPr>
          <w:rFonts w:ascii="Times New Roman" w:eastAsia="方正仿宋_GBK"/>
          <w:color w:val="000000"/>
          <w:kern w:val="2"/>
          <w:sz w:val="32"/>
          <w:szCs w:val="32"/>
          <w:shd w:val="clear" w:color="auto" w:fill="FFFFFF"/>
        </w:rPr>
        <w:t xml:space="preserve">    1.依照法律规定对有关刑事案件行使侦查权；</w:t>
      </w:r>
      <w:r>
        <w:rPr>
          <w:rFonts w:ascii="Times New Roman" w:eastAsia="方正仿宋_GBK"/>
          <w:color w:val="000000"/>
          <w:kern w:val="2"/>
          <w:sz w:val="32"/>
          <w:szCs w:val="32"/>
          <w:shd w:val="clear" w:color="auto" w:fill="FFFFFF"/>
        </w:rPr>
        <w:br w:type="textWrapping"/>
      </w:r>
      <w:r>
        <w:rPr>
          <w:rFonts w:ascii="Times New Roman" w:eastAsia="方正仿宋_GBK"/>
          <w:color w:val="000000"/>
          <w:kern w:val="2"/>
          <w:sz w:val="32"/>
          <w:szCs w:val="32"/>
          <w:shd w:val="clear" w:color="auto" w:fill="FFFFFF"/>
        </w:rPr>
        <w:t xml:space="preserve">    2.对刑事案件进行审查，批准或者决定是否逮捕犯罪嫌疑人；</w:t>
      </w:r>
      <w:r>
        <w:rPr>
          <w:rFonts w:ascii="Times New Roman" w:eastAsia="方正仿宋_GBK"/>
          <w:color w:val="000000"/>
          <w:kern w:val="2"/>
          <w:sz w:val="32"/>
          <w:szCs w:val="32"/>
          <w:shd w:val="clear" w:color="auto" w:fill="FFFFFF"/>
        </w:rPr>
        <w:br w:type="textWrapping"/>
      </w:r>
      <w:r>
        <w:rPr>
          <w:rFonts w:ascii="Times New Roman" w:eastAsia="方正仿宋_GBK"/>
          <w:color w:val="000000"/>
          <w:kern w:val="2"/>
          <w:sz w:val="32"/>
          <w:szCs w:val="32"/>
          <w:shd w:val="clear" w:color="auto" w:fill="FFFFFF"/>
        </w:rPr>
        <w:t xml:space="preserve">    3.对刑事案件进行审查，决定是否提起公诉，对决定提起公诉的案件支持公诉；</w:t>
      </w:r>
      <w:r>
        <w:rPr>
          <w:rFonts w:ascii="Times New Roman" w:eastAsia="方正仿宋_GBK"/>
          <w:color w:val="000000"/>
          <w:kern w:val="2"/>
          <w:sz w:val="32"/>
          <w:szCs w:val="32"/>
          <w:shd w:val="clear" w:color="auto" w:fill="FFFFFF"/>
        </w:rPr>
        <w:br w:type="textWrapping"/>
      </w:r>
      <w:r>
        <w:rPr>
          <w:rFonts w:ascii="Times New Roman" w:eastAsia="方正仿宋_GBK"/>
          <w:color w:val="000000"/>
          <w:kern w:val="2"/>
          <w:sz w:val="32"/>
          <w:szCs w:val="32"/>
          <w:shd w:val="clear" w:color="auto" w:fill="FFFFFF"/>
        </w:rPr>
        <w:t xml:space="preserve">    4.依照法律规定提起公益诉讼；</w:t>
      </w:r>
      <w:r>
        <w:rPr>
          <w:rFonts w:ascii="Times New Roman" w:eastAsia="方正仿宋_GBK"/>
          <w:color w:val="000000"/>
          <w:kern w:val="2"/>
          <w:sz w:val="32"/>
          <w:szCs w:val="32"/>
          <w:shd w:val="clear" w:color="auto" w:fill="FFFFFF"/>
        </w:rPr>
        <w:br w:type="textWrapping"/>
      </w:r>
      <w:r>
        <w:rPr>
          <w:rFonts w:ascii="Times New Roman" w:eastAsia="方正仿宋_GBK"/>
          <w:color w:val="000000"/>
          <w:kern w:val="2"/>
          <w:sz w:val="32"/>
          <w:szCs w:val="32"/>
          <w:shd w:val="clear" w:color="auto" w:fill="FFFFFF"/>
        </w:rPr>
        <w:t xml:space="preserve">    5.对诉讼活动实行法律监督；</w:t>
      </w:r>
      <w:r>
        <w:rPr>
          <w:rFonts w:ascii="Times New Roman" w:eastAsia="方正仿宋_GBK"/>
          <w:color w:val="000000"/>
          <w:kern w:val="2"/>
          <w:sz w:val="32"/>
          <w:szCs w:val="32"/>
          <w:shd w:val="clear" w:color="auto" w:fill="FFFFFF"/>
        </w:rPr>
        <w:br w:type="textWrapping"/>
      </w:r>
      <w:r>
        <w:rPr>
          <w:rFonts w:ascii="Times New Roman" w:eastAsia="方正仿宋_GBK"/>
          <w:color w:val="000000"/>
          <w:kern w:val="2"/>
          <w:sz w:val="32"/>
          <w:szCs w:val="32"/>
          <w:shd w:val="clear" w:color="auto" w:fill="FFFFFF"/>
        </w:rPr>
        <w:t xml:space="preserve">    6.对判决、裁定等生效法律文书的执行工作实行法律监督；</w:t>
      </w:r>
      <w:r>
        <w:rPr>
          <w:rFonts w:ascii="Times New Roman" w:eastAsia="方正仿宋_GBK"/>
          <w:color w:val="000000"/>
          <w:kern w:val="2"/>
          <w:sz w:val="32"/>
          <w:szCs w:val="32"/>
          <w:shd w:val="clear" w:color="auto" w:fill="FFFFFF"/>
        </w:rPr>
        <w:br w:type="textWrapping"/>
      </w:r>
      <w:r>
        <w:rPr>
          <w:rFonts w:ascii="Times New Roman" w:eastAsia="方正仿宋_GBK"/>
          <w:color w:val="000000"/>
          <w:kern w:val="2"/>
          <w:sz w:val="32"/>
          <w:szCs w:val="32"/>
          <w:shd w:val="clear" w:color="auto" w:fill="FFFFFF"/>
        </w:rPr>
        <w:t xml:space="preserve">    7.对监狱、看守所的执法活动实行法律监督；</w:t>
      </w:r>
      <w:r>
        <w:rPr>
          <w:rFonts w:ascii="Times New Roman" w:eastAsia="方正仿宋_GBK"/>
          <w:color w:val="000000"/>
          <w:kern w:val="2"/>
          <w:sz w:val="32"/>
          <w:szCs w:val="32"/>
          <w:shd w:val="clear" w:color="auto" w:fill="FFFFFF"/>
        </w:rPr>
        <w:br w:type="textWrapping"/>
      </w:r>
      <w:r>
        <w:rPr>
          <w:rFonts w:ascii="Times New Roman" w:eastAsia="方正仿宋_GBK"/>
          <w:color w:val="000000"/>
          <w:kern w:val="2"/>
          <w:sz w:val="32"/>
          <w:szCs w:val="32"/>
          <w:shd w:val="clear" w:color="auto" w:fill="FFFFFF"/>
        </w:rPr>
        <w:t xml:space="preserve">    8.法律规定的其他职权。</w:t>
      </w:r>
    </w:p>
    <w:p>
      <w:pPr>
        <w:pStyle w:val="5"/>
        <w:adjustRightInd w:val="0"/>
        <w:snapToGrid w:val="0"/>
        <w:spacing w:before="93" w:line="580" w:lineRule="exact"/>
        <w:ind w:firstLine="643" w:firstLineChars="200"/>
        <w:rPr>
          <w:rFonts w:ascii="Times New Roman" w:eastAsia="方正仿宋_GBK"/>
          <w:b/>
          <w:bCs/>
          <w:color w:val="000000"/>
          <w:kern w:val="2"/>
          <w:sz w:val="32"/>
          <w:szCs w:val="32"/>
          <w:shd w:val="clear" w:color="auto" w:fill="FFFFFF"/>
        </w:rPr>
      </w:pPr>
      <w:r>
        <w:rPr>
          <w:rFonts w:ascii="Times New Roman" w:eastAsia="方正仿宋_GBK"/>
          <w:b/>
          <w:bCs/>
          <w:color w:val="000000"/>
          <w:kern w:val="2"/>
          <w:sz w:val="32"/>
          <w:szCs w:val="32"/>
          <w:shd w:val="clear" w:color="auto" w:fill="FFFFFF"/>
        </w:rPr>
        <w:t>2、人员概况</w:t>
      </w:r>
    </w:p>
    <w:p>
      <w:pPr>
        <w:spacing w:line="600" w:lineRule="exact"/>
        <w:ind w:firstLine="640" w:firstLineChars="200"/>
        <w:rPr>
          <w:rFonts w:eastAsia="方正仿宋_GBK"/>
          <w:color w:val="000000"/>
          <w:sz w:val="32"/>
          <w:szCs w:val="32"/>
          <w:shd w:val="clear" w:color="auto" w:fill="FFFFFF"/>
        </w:rPr>
      </w:pPr>
      <w:r>
        <w:rPr>
          <w:rFonts w:eastAsia="方正仿宋_GBK"/>
          <w:color w:val="000000"/>
          <w:sz w:val="32"/>
          <w:szCs w:val="32"/>
          <w:shd w:val="clear" w:color="auto" w:fill="FFFFFF"/>
        </w:rPr>
        <w:t>截止2022年12月31日，米易县人民检察院政法编制数为32个，机关工勤1个，事业人员编制数为6个，有正式干警38名，含30名政法专项编制干警、1名机关工勤、5名事业人员、2名派驻纪检监察组干警（编制在纪委）。聘用制书记员核定10人，在职10人。另有1名在职编内聘用人员。设领导职数设检察长l名（按副县级配备）；副检察长3名（按正科级配备）；纪检组长1名、政治处主任1名、检察委员会专职委员2名（按副科级配备）。</w:t>
      </w:r>
    </w:p>
    <w:p>
      <w:pPr>
        <w:spacing w:line="600" w:lineRule="exact"/>
        <w:ind w:firstLine="640"/>
        <w:rPr>
          <w:rFonts w:eastAsia="方正仿宋_GBK"/>
          <w:kern w:val="0"/>
          <w:sz w:val="32"/>
          <w:szCs w:val="32"/>
          <w:shd w:val="clear" w:color="auto" w:fill="FFFFFF"/>
          <w:lang w:val="zh-CN"/>
        </w:rPr>
      </w:pPr>
      <w:r>
        <w:rPr>
          <w:rFonts w:eastAsia="方正仿宋_GBK"/>
          <w:color w:val="000000"/>
          <w:sz w:val="32"/>
          <w:szCs w:val="32"/>
          <w:shd w:val="clear" w:color="auto" w:fill="FFFFFF"/>
          <w:lang w:val="zh-CN"/>
        </w:rPr>
        <w:t>实有车辆编制</w:t>
      </w:r>
      <w:r>
        <w:rPr>
          <w:rFonts w:eastAsia="方正仿宋_GBK"/>
          <w:color w:val="000000"/>
          <w:sz w:val="32"/>
          <w:szCs w:val="32"/>
          <w:shd w:val="clear" w:color="auto" w:fill="FFFFFF"/>
        </w:rPr>
        <w:t>8</w:t>
      </w:r>
      <w:r>
        <w:rPr>
          <w:rFonts w:eastAsia="方正仿宋_GBK"/>
          <w:color w:val="000000"/>
          <w:sz w:val="32"/>
          <w:szCs w:val="32"/>
          <w:shd w:val="clear" w:color="auto" w:fill="FFFFFF"/>
          <w:lang w:val="zh-CN"/>
        </w:rPr>
        <w:t>辆和实有车辆</w:t>
      </w:r>
      <w:r>
        <w:rPr>
          <w:rFonts w:eastAsia="方正仿宋_GBK"/>
          <w:color w:val="000000"/>
          <w:sz w:val="32"/>
          <w:szCs w:val="32"/>
          <w:shd w:val="clear" w:color="auto" w:fill="FFFFFF"/>
        </w:rPr>
        <w:t>8</w:t>
      </w:r>
      <w:r>
        <w:rPr>
          <w:rFonts w:eastAsia="方正仿宋_GBK"/>
          <w:color w:val="000000"/>
          <w:sz w:val="32"/>
          <w:szCs w:val="32"/>
          <w:shd w:val="clear" w:color="auto" w:fill="FFFFFF"/>
          <w:lang w:val="zh-CN"/>
        </w:rPr>
        <w:t>辆。</w:t>
      </w:r>
    </w:p>
    <w:p>
      <w:pPr>
        <w:widowControl/>
        <w:adjustRightInd w:val="0"/>
        <w:snapToGrid w:val="0"/>
        <w:spacing w:line="560" w:lineRule="exact"/>
        <w:ind w:firstLine="643" w:firstLineChars="200"/>
        <w:contextualSpacing/>
        <w:jc w:val="left"/>
        <w:outlineLvl w:val="2"/>
        <w:rPr>
          <w:rFonts w:eastAsia="楷体_GB2312"/>
          <w:b/>
          <w:bCs/>
          <w:kern w:val="0"/>
          <w:sz w:val="32"/>
          <w:szCs w:val="32"/>
          <w:shd w:val="clear" w:color="auto" w:fill="FFFFFF"/>
          <w:lang w:val="zh-CN"/>
        </w:rPr>
      </w:pPr>
      <w:bookmarkStart w:id="94" w:name="_Toc13880"/>
      <w:r>
        <w:rPr>
          <w:rFonts w:eastAsia="楷体_GB2312"/>
          <w:b/>
          <w:bCs/>
          <w:kern w:val="0"/>
          <w:sz w:val="32"/>
          <w:szCs w:val="32"/>
          <w:shd w:val="clear" w:color="auto" w:fill="FFFFFF"/>
          <w:lang w:val="zh-CN"/>
        </w:rPr>
        <w:t>（三）年度主要工作任务。</w:t>
      </w:r>
      <w:bookmarkEnd w:id="94"/>
    </w:p>
    <w:p>
      <w:pPr>
        <w:widowControl/>
        <w:spacing w:line="600" w:lineRule="exact"/>
        <w:ind w:firstLine="66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一是突出政治统领，把牢正确工作方向。</w:t>
      </w:r>
    </w:p>
    <w:p>
      <w:pPr>
        <w:widowControl/>
        <w:spacing w:line="600" w:lineRule="exact"/>
        <w:ind w:firstLine="66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二是强化责任担当，服务经济社会发展。</w:t>
      </w:r>
    </w:p>
    <w:p>
      <w:pPr>
        <w:spacing w:line="600" w:lineRule="exact"/>
        <w:ind w:firstLine="66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三是牢记职能定位，维护社会公平正义。</w:t>
      </w:r>
    </w:p>
    <w:p>
      <w:pPr>
        <w:widowControl/>
        <w:spacing w:line="600" w:lineRule="exact"/>
        <w:ind w:firstLine="66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四是持续夯基固本，促进检察队伍发展。</w:t>
      </w:r>
    </w:p>
    <w:p>
      <w:pPr>
        <w:widowControl/>
        <w:numPr>
          <w:ilvl w:val="0"/>
          <w:numId w:val="7"/>
        </w:numPr>
        <w:adjustRightInd w:val="0"/>
        <w:snapToGrid w:val="0"/>
        <w:spacing w:line="560" w:lineRule="exact"/>
        <w:ind w:firstLine="643" w:firstLineChars="200"/>
        <w:contextualSpacing/>
        <w:jc w:val="left"/>
        <w:outlineLvl w:val="2"/>
        <w:rPr>
          <w:rFonts w:eastAsia="楷体_GB2312"/>
          <w:b/>
          <w:bCs/>
          <w:kern w:val="0"/>
          <w:sz w:val="32"/>
          <w:szCs w:val="32"/>
          <w:shd w:val="clear" w:color="auto" w:fill="FFFFFF"/>
          <w:lang w:val="zh-CN"/>
        </w:rPr>
      </w:pPr>
      <w:bookmarkStart w:id="95" w:name="_Toc20848"/>
      <w:r>
        <w:rPr>
          <w:rFonts w:eastAsia="楷体_GB2312"/>
          <w:b/>
          <w:bCs/>
          <w:kern w:val="0"/>
          <w:sz w:val="32"/>
          <w:szCs w:val="32"/>
          <w:shd w:val="clear" w:color="auto" w:fill="FFFFFF"/>
          <w:lang w:val="zh-CN"/>
        </w:rPr>
        <w:t>部门整体支出绩效目标。</w:t>
      </w:r>
      <w:bookmarkEnd w:id="95"/>
    </w:p>
    <w:p>
      <w:pPr>
        <w:widowControl/>
        <w:adjustRightInd w:val="0"/>
        <w:snapToGrid w:val="0"/>
        <w:spacing w:line="576" w:lineRule="exact"/>
        <w:ind w:firstLine="720"/>
        <w:jc w:val="left"/>
        <w:rPr>
          <w:color w:val="4A4A4A"/>
          <w:sz w:val="33"/>
          <w:szCs w:val="33"/>
          <w:shd w:val="clear" w:color="auto" w:fill="FFFFFF"/>
        </w:rPr>
      </w:pPr>
      <w:r>
        <w:rPr>
          <w:rFonts w:eastAsia="方正仿宋_GBK"/>
          <w:kern w:val="0"/>
          <w:sz w:val="32"/>
          <w:szCs w:val="32"/>
          <w:shd w:val="clear" w:color="auto" w:fill="FFFFFF"/>
        </w:rPr>
        <w:t>1、</w:t>
      </w:r>
      <w:r>
        <w:rPr>
          <w:rFonts w:eastAsia="方正仿宋_GBK"/>
          <w:kern w:val="0"/>
          <w:sz w:val="32"/>
          <w:szCs w:val="32"/>
          <w:shd w:val="clear" w:color="auto" w:fill="FFFFFF"/>
          <w:lang w:val="zh-CN"/>
        </w:rPr>
        <w:t>部门预算管理</w:t>
      </w:r>
    </w:p>
    <w:p>
      <w:pPr>
        <w:pStyle w:val="13"/>
        <w:shd w:val="clear" w:color="auto" w:fill="FFFFFF"/>
        <w:adjustRightInd w:val="0"/>
        <w:snapToGrid w:val="0"/>
        <w:spacing w:before="0" w:beforeAutospacing="0" w:after="0" w:afterAutospacing="0" w:line="560" w:lineRule="atLeast"/>
        <w:ind w:firstLine="640" w:firstLineChars="200"/>
        <w:rPr>
          <w:rFonts w:ascii="Times New Roman" w:hAnsi="Times New Roman" w:eastAsia="方正仿宋_GBK" w:cs="Times New Roman"/>
          <w:color w:val="000000"/>
          <w:sz w:val="32"/>
          <w:szCs w:val="32"/>
          <w:shd w:val="clear" w:color="auto" w:fill="FFFFFF"/>
          <w:lang w:val="zh-CN"/>
        </w:rPr>
      </w:pPr>
      <w:r>
        <w:rPr>
          <w:rFonts w:ascii="Times New Roman" w:hAnsi="Times New Roman" w:eastAsia="方正仿宋_GBK" w:cs="Times New Roman"/>
          <w:color w:val="000000"/>
          <w:sz w:val="32"/>
          <w:szCs w:val="32"/>
          <w:shd w:val="clear" w:color="auto" w:fill="FFFFFF"/>
          <w:lang w:val="zh-CN"/>
        </w:rPr>
        <w:t>组织管理方面：成立了预算绩效管理工作领导小组，确保全面预算绩效管理工作的顺利实施。 </w:t>
      </w:r>
    </w:p>
    <w:p>
      <w:pPr>
        <w:pStyle w:val="13"/>
        <w:shd w:val="clear" w:color="auto" w:fill="FFFFFF"/>
        <w:adjustRightInd w:val="0"/>
        <w:snapToGrid w:val="0"/>
        <w:spacing w:before="0" w:beforeAutospacing="0" w:after="0" w:afterAutospacing="0" w:line="560" w:lineRule="atLeast"/>
        <w:ind w:firstLine="640" w:firstLineChars="200"/>
        <w:rPr>
          <w:rFonts w:ascii="Times New Roman" w:hAnsi="Times New Roman" w:eastAsia="方正仿宋_GBK" w:cs="Times New Roman"/>
          <w:color w:val="000000"/>
          <w:sz w:val="32"/>
          <w:szCs w:val="32"/>
          <w:shd w:val="clear" w:color="auto" w:fill="FFFFFF"/>
          <w:lang w:val="zh-CN"/>
        </w:rPr>
      </w:pPr>
      <w:r>
        <w:rPr>
          <w:rFonts w:ascii="Times New Roman" w:hAnsi="Times New Roman" w:eastAsia="方正仿宋_GBK" w:cs="Times New Roman"/>
          <w:color w:val="000000"/>
          <w:sz w:val="32"/>
          <w:szCs w:val="32"/>
          <w:shd w:val="clear" w:color="auto" w:fill="FFFFFF"/>
          <w:lang w:val="zh-CN"/>
        </w:rPr>
        <w:t>制度建设方面：制定了预算绩效相关的制度和管理办法，建立健全了预算绩效管理制度，并严格按照该办法进行预算绩效管理工作。 </w:t>
      </w:r>
    </w:p>
    <w:p>
      <w:pPr>
        <w:pStyle w:val="13"/>
        <w:shd w:val="clear" w:color="auto" w:fill="FFFFFF"/>
        <w:adjustRightInd w:val="0"/>
        <w:snapToGrid w:val="0"/>
        <w:spacing w:before="0" w:beforeAutospacing="0" w:after="0" w:afterAutospacing="0" w:line="560" w:lineRule="atLeast"/>
        <w:ind w:firstLine="640" w:firstLineChars="200"/>
        <w:rPr>
          <w:rFonts w:ascii="Times New Roman" w:hAnsi="Times New Roman" w:eastAsia="方正仿宋_GBK" w:cs="Times New Roman"/>
          <w:color w:val="000000"/>
          <w:sz w:val="32"/>
          <w:szCs w:val="32"/>
          <w:shd w:val="clear" w:color="auto" w:fill="FFFFFF"/>
          <w:lang w:val="zh-CN"/>
        </w:rPr>
      </w:pPr>
      <w:r>
        <w:rPr>
          <w:rFonts w:ascii="Times New Roman" w:hAnsi="Times New Roman" w:eastAsia="方正仿宋_GBK" w:cs="Times New Roman"/>
          <w:color w:val="000000"/>
          <w:sz w:val="32"/>
          <w:szCs w:val="32"/>
          <w:shd w:val="clear" w:color="auto" w:fill="FFFFFF"/>
          <w:lang w:val="zh-CN"/>
        </w:rPr>
        <w:t>绩效目标管理方面：在编制部门预算时，项目均设定了绩效目标并报送财政局；在预算执行时严格按照设定的目标开展项目，并在事前、事中、事后对绩效目标的完成情况进行了监督和考核。我院202</w:t>
      </w:r>
      <w:r>
        <w:rPr>
          <w:rFonts w:ascii="Times New Roman" w:hAnsi="Times New Roman" w:eastAsia="方正仿宋_GBK" w:cs="Times New Roman"/>
          <w:color w:val="000000"/>
          <w:sz w:val="32"/>
          <w:szCs w:val="32"/>
          <w:shd w:val="clear" w:color="auto" w:fill="FFFFFF"/>
        </w:rPr>
        <w:t>2</w:t>
      </w:r>
      <w:r>
        <w:rPr>
          <w:rFonts w:ascii="Times New Roman" w:hAnsi="Times New Roman" w:eastAsia="方正仿宋_GBK" w:cs="Times New Roman"/>
          <w:color w:val="000000"/>
          <w:sz w:val="32"/>
          <w:szCs w:val="32"/>
          <w:shd w:val="clear" w:color="auto" w:fill="FFFFFF"/>
          <w:lang w:val="zh-CN"/>
        </w:rPr>
        <w:t>年纳入财政预算绩效评价的部门整体支出项目支出均按国家法律法规、国民经济和社会发展总体规划设定，符合、部门</w:t>
      </w:r>
      <w:r>
        <w:rPr>
          <w:rFonts w:hint="eastAsia" w:ascii="Times New Roman" w:hAnsi="Times New Roman" w:eastAsia="方正仿宋_GBK" w:cs="Times New Roman"/>
          <w:color w:val="000000"/>
          <w:sz w:val="32"/>
          <w:szCs w:val="32"/>
          <w:shd w:val="clear" w:color="auto" w:fill="FFFFFF"/>
          <w:lang w:val="zh-CN"/>
        </w:rPr>
        <w:t>“</w:t>
      </w:r>
      <w:r>
        <w:rPr>
          <w:rFonts w:ascii="Times New Roman" w:hAnsi="Times New Roman" w:eastAsia="方正仿宋_GBK" w:cs="Times New Roman"/>
          <w:color w:val="000000"/>
          <w:sz w:val="32"/>
          <w:szCs w:val="32"/>
          <w:shd w:val="clear" w:color="auto" w:fill="FFFFFF"/>
          <w:lang w:val="zh-CN"/>
        </w:rPr>
        <w:t>三定</w:t>
      </w:r>
      <w:r>
        <w:rPr>
          <w:rFonts w:hint="eastAsia" w:ascii="Times New Roman" w:hAnsi="Times New Roman" w:eastAsia="方正仿宋_GBK" w:cs="Times New Roman"/>
          <w:color w:val="000000"/>
          <w:sz w:val="32"/>
          <w:szCs w:val="32"/>
          <w:shd w:val="clear" w:color="auto" w:fill="FFFFFF"/>
          <w:lang w:val="zh-CN"/>
        </w:rPr>
        <w:t>”</w:t>
      </w:r>
      <w:r>
        <w:rPr>
          <w:rFonts w:ascii="Times New Roman" w:hAnsi="Times New Roman" w:eastAsia="方正仿宋_GBK" w:cs="Times New Roman"/>
          <w:color w:val="000000"/>
          <w:sz w:val="32"/>
          <w:szCs w:val="32"/>
          <w:shd w:val="clear" w:color="auto" w:fill="FFFFFF"/>
          <w:lang w:val="zh-CN"/>
        </w:rPr>
        <w:t>方案确定的职责，符合部门制定的中长期规划，项目预算申报文本内容完整具体，指标设置清晰，可量化，可操作、可检查、可考评；具体分析了绩效目标完成和实现的经济效益、社会效益、运行保障效果，可持续影响等情况；绩效目标匹配合理，符合客观实际，均能在一定期限内如期实现。 </w:t>
      </w:r>
    </w:p>
    <w:p>
      <w:pPr>
        <w:pStyle w:val="13"/>
        <w:shd w:val="clear" w:color="auto" w:fill="FFFFFF"/>
        <w:adjustRightInd w:val="0"/>
        <w:snapToGrid w:val="0"/>
        <w:spacing w:before="0" w:beforeAutospacing="0" w:after="0" w:afterAutospacing="0" w:line="560" w:lineRule="atLeast"/>
        <w:ind w:firstLine="640" w:firstLineChars="200"/>
        <w:rPr>
          <w:rFonts w:ascii="Times New Roman" w:hAnsi="Times New Roman" w:eastAsia="方正仿宋_GBK" w:cs="Times New Roman"/>
          <w:color w:val="000000"/>
          <w:sz w:val="32"/>
          <w:szCs w:val="32"/>
          <w:shd w:val="clear" w:color="auto" w:fill="FFFFFF"/>
        </w:rPr>
      </w:pPr>
      <w:r>
        <w:rPr>
          <w:rFonts w:ascii="Times New Roman" w:hAnsi="Times New Roman" w:eastAsia="方正仿宋_GBK" w:cs="Times New Roman"/>
          <w:color w:val="000000"/>
          <w:sz w:val="32"/>
          <w:szCs w:val="32"/>
          <w:shd w:val="clear" w:color="auto" w:fill="FFFFFF"/>
          <w:lang w:val="zh-CN"/>
        </w:rPr>
        <w:t>绩效运行监控管理方面：严格按预算绩效管理制度开展预算执行动态监控和绩效跟踪监控管理工作。</w:t>
      </w:r>
      <w:r>
        <w:rPr>
          <w:rFonts w:ascii="Times New Roman" w:hAnsi="Times New Roman" w:eastAsia="方正仿宋_GBK" w:cs="Times New Roman"/>
          <w:color w:val="000000"/>
          <w:sz w:val="32"/>
          <w:szCs w:val="32"/>
          <w:shd w:val="clear" w:color="auto" w:fill="FFFFFF"/>
        </w:rPr>
        <w:t>2022年预算执行进度监控情况。</w:t>
      </w:r>
      <w:r>
        <w:rPr>
          <w:rFonts w:ascii="Times New Roman" w:hAnsi="Times New Roman" w:eastAsia="方正仿宋_GBK" w:cs="Times New Roman"/>
          <w:color w:val="000000"/>
          <w:sz w:val="32"/>
          <w:szCs w:val="32"/>
          <w:shd w:val="clear" w:color="auto" w:fill="FFFFFF"/>
          <w:lang w:val="zh-CN"/>
        </w:rPr>
        <w:t>全年项目经费基本按预算计划进行支出。财政资金均实行专项管理、专款专用。在项目实施过程中，严格按专项资金管理办法和各项财务管理制度执行。资金拨入和支出会计核算及时、合规合法，审批流程齐全、附件资料完整。资金使用无截留、挤占、挪用、虚列支出等情况。</w:t>
      </w:r>
    </w:p>
    <w:p>
      <w:pPr>
        <w:pStyle w:val="13"/>
        <w:shd w:val="clear" w:color="auto" w:fill="FFFFFF"/>
        <w:adjustRightInd w:val="0"/>
        <w:snapToGrid w:val="0"/>
        <w:spacing w:before="0" w:beforeAutospacing="0" w:after="0" w:afterAutospacing="0" w:line="560" w:lineRule="atLeast"/>
        <w:ind w:firstLine="640" w:firstLineChars="200"/>
        <w:rPr>
          <w:rFonts w:ascii="Times New Roman" w:hAnsi="Times New Roman" w:eastAsia="方正仿宋_GBK" w:cs="Times New Roman"/>
          <w:color w:val="000000"/>
          <w:sz w:val="32"/>
          <w:szCs w:val="32"/>
          <w:shd w:val="clear" w:color="auto" w:fill="FFFFFF"/>
          <w:lang w:val="zh-CN"/>
        </w:rPr>
      </w:pPr>
      <w:r>
        <w:rPr>
          <w:rFonts w:ascii="Times New Roman" w:hAnsi="Times New Roman" w:eastAsia="方正仿宋_GBK" w:cs="Times New Roman"/>
          <w:color w:val="000000"/>
          <w:sz w:val="32"/>
          <w:szCs w:val="32"/>
          <w:shd w:val="clear" w:color="auto" w:fill="FFFFFF"/>
          <w:lang w:val="zh-CN"/>
        </w:rPr>
        <w:t> 绩效评价管理方面：主要是认真组织开展绩效自评工作，对202</w:t>
      </w:r>
      <w:r>
        <w:rPr>
          <w:rFonts w:ascii="Times New Roman" w:hAnsi="Times New Roman" w:eastAsia="方正仿宋_GBK" w:cs="Times New Roman"/>
          <w:color w:val="000000"/>
          <w:sz w:val="32"/>
          <w:szCs w:val="32"/>
          <w:shd w:val="clear" w:color="auto" w:fill="FFFFFF"/>
        </w:rPr>
        <w:t>2</w:t>
      </w:r>
      <w:r>
        <w:rPr>
          <w:rFonts w:ascii="Times New Roman" w:hAnsi="Times New Roman" w:eastAsia="方正仿宋_GBK" w:cs="Times New Roman"/>
          <w:color w:val="000000"/>
          <w:sz w:val="32"/>
          <w:szCs w:val="32"/>
          <w:shd w:val="clear" w:color="auto" w:fill="FFFFFF"/>
          <w:lang w:val="zh-CN"/>
        </w:rPr>
        <w:t>年度部门整体支出和项目支出均进行了绩效自评，并进行了上报。 </w:t>
      </w:r>
    </w:p>
    <w:p>
      <w:pPr>
        <w:pStyle w:val="13"/>
        <w:shd w:val="clear" w:color="auto" w:fill="FFFFFF"/>
        <w:adjustRightInd w:val="0"/>
        <w:snapToGrid w:val="0"/>
        <w:spacing w:before="0" w:beforeAutospacing="0" w:after="0" w:afterAutospacing="0" w:line="560" w:lineRule="atLeast"/>
        <w:ind w:firstLine="640" w:firstLineChars="200"/>
        <w:rPr>
          <w:rFonts w:ascii="Times New Roman" w:hAnsi="Times New Roman" w:eastAsia="方正仿宋_GBK" w:cs="Times New Roman"/>
          <w:color w:val="000000"/>
          <w:sz w:val="32"/>
          <w:szCs w:val="32"/>
          <w:shd w:val="clear" w:color="auto" w:fill="FFFFFF"/>
          <w:lang w:val="zh-CN"/>
        </w:rPr>
      </w:pPr>
      <w:r>
        <w:rPr>
          <w:rFonts w:ascii="Times New Roman" w:hAnsi="Times New Roman" w:eastAsia="方正仿宋_GBK" w:cs="Times New Roman"/>
          <w:color w:val="000000"/>
          <w:sz w:val="32"/>
          <w:szCs w:val="32"/>
          <w:shd w:val="clear" w:color="auto" w:fill="FFFFFF"/>
        </w:rPr>
        <w:t>2、</w:t>
      </w:r>
      <w:r>
        <w:rPr>
          <w:rFonts w:ascii="Times New Roman" w:hAnsi="Times New Roman" w:eastAsia="方正仿宋_GBK" w:cs="Times New Roman"/>
          <w:color w:val="000000"/>
          <w:sz w:val="32"/>
          <w:szCs w:val="32"/>
          <w:shd w:val="clear" w:color="auto" w:fill="FFFFFF"/>
          <w:lang w:val="zh-CN"/>
        </w:rPr>
        <w:t>结果应用情况</w:t>
      </w:r>
    </w:p>
    <w:p>
      <w:pPr>
        <w:pStyle w:val="13"/>
        <w:shd w:val="clear" w:color="auto" w:fill="FFFFFF"/>
        <w:adjustRightInd w:val="0"/>
        <w:snapToGrid w:val="0"/>
        <w:spacing w:before="0" w:beforeAutospacing="0" w:after="0" w:afterAutospacing="0" w:line="560" w:lineRule="atLeast"/>
        <w:ind w:firstLine="640" w:firstLineChars="200"/>
        <w:rPr>
          <w:rFonts w:ascii="Times New Roman" w:hAnsi="Times New Roman" w:eastAsia="楷体_GB2312" w:cs="Times New Roman"/>
          <w:b/>
          <w:bCs/>
          <w:sz w:val="32"/>
          <w:szCs w:val="32"/>
          <w:shd w:val="clear" w:color="auto" w:fill="FFFFFF"/>
          <w:lang w:val="zh-CN"/>
        </w:rPr>
      </w:pPr>
      <w:r>
        <w:rPr>
          <w:rFonts w:ascii="Times New Roman" w:hAnsi="Times New Roman" w:eastAsia="方正仿宋_GBK" w:cs="Times New Roman"/>
          <w:color w:val="000000"/>
          <w:sz w:val="32"/>
          <w:szCs w:val="32"/>
          <w:shd w:val="clear" w:color="auto" w:fill="FFFFFF"/>
          <w:lang w:val="zh-CN"/>
        </w:rPr>
        <w:t>一是开展了绩效自评工作。对照县级部门预算整体绩效评价指标体系，对部门整体绩效完成情况实施绩效自评。二是实行项目监控。积极跟踪项目进展情况，对当年项目进行资金执行进度进行核算，加快预算执行，保证资金能按项目实施进度进行拨付，同时尽量保证项目的实施，确保绩效目标如期实现。三是保证信息公开。按照财政局的要求，及时、完整、真实的在政府网站上及县检察院门户网站上予以公开。</w:t>
      </w:r>
    </w:p>
    <w:p>
      <w:pPr>
        <w:widowControl/>
        <w:adjustRightInd w:val="0"/>
        <w:snapToGrid w:val="0"/>
        <w:spacing w:line="560" w:lineRule="exact"/>
        <w:ind w:firstLine="640" w:firstLineChars="200"/>
        <w:contextualSpacing/>
        <w:jc w:val="left"/>
        <w:outlineLvl w:val="1"/>
        <w:rPr>
          <w:rFonts w:eastAsia="黑体"/>
          <w:kern w:val="0"/>
          <w:sz w:val="32"/>
          <w:szCs w:val="32"/>
          <w:shd w:val="clear" w:color="auto" w:fill="FFFFFF"/>
        </w:rPr>
      </w:pPr>
      <w:bookmarkStart w:id="96" w:name="_Toc28496"/>
      <w:r>
        <w:rPr>
          <w:rFonts w:eastAsia="黑体"/>
          <w:kern w:val="0"/>
          <w:sz w:val="32"/>
          <w:szCs w:val="32"/>
          <w:shd w:val="clear" w:color="auto" w:fill="FFFFFF"/>
        </w:rPr>
        <w:t>二、部门资金收支情况</w:t>
      </w:r>
      <w:bookmarkEnd w:id="96"/>
    </w:p>
    <w:p>
      <w:pPr>
        <w:widowControl/>
        <w:adjustRightInd w:val="0"/>
        <w:snapToGrid w:val="0"/>
        <w:spacing w:line="560" w:lineRule="exact"/>
        <w:ind w:firstLine="643" w:firstLineChars="200"/>
        <w:contextualSpacing/>
        <w:jc w:val="left"/>
        <w:outlineLvl w:val="2"/>
        <w:rPr>
          <w:rFonts w:eastAsia="楷体_GB2312"/>
          <w:b/>
          <w:bCs/>
          <w:kern w:val="0"/>
          <w:sz w:val="32"/>
          <w:szCs w:val="32"/>
          <w:shd w:val="clear" w:color="auto" w:fill="FFFFFF"/>
          <w:lang w:val="zh-CN"/>
        </w:rPr>
      </w:pPr>
      <w:bookmarkStart w:id="97" w:name="_Toc11714"/>
      <w:r>
        <w:rPr>
          <w:rFonts w:eastAsia="楷体_GB2312"/>
          <w:b/>
          <w:bCs/>
          <w:kern w:val="0"/>
          <w:sz w:val="32"/>
          <w:szCs w:val="32"/>
          <w:shd w:val="clear" w:color="auto" w:fill="FFFFFF"/>
          <w:lang w:val="zh-CN"/>
        </w:rPr>
        <w:t>（一）部门总体收支情况。</w:t>
      </w:r>
      <w:bookmarkEnd w:id="97"/>
    </w:p>
    <w:p>
      <w:pPr>
        <w:widowControl/>
        <w:adjustRightInd w:val="0"/>
        <w:snapToGrid w:val="0"/>
        <w:spacing w:line="560" w:lineRule="exact"/>
        <w:ind w:firstLine="640" w:firstLineChars="200"/>
        <w:contextualSpacing/>
        <w:jc w:val="left"/>
        <w:rPr>
          <w:rFonts w:eastAsia="仿宋_GB2312"/>
          <w:kern w:val="0"/>
          <w:sz w:val="32"/>
          <w:szCs w:val="32"/>
          <w:shd w:val="clear" w:color="auto" w:fill="FFFFFF"/>
        </w:rPr>
      </w:pPr>
      <w:r>
        <w:rPr>
          <w:rFonts w:eastAsia="仿宋_GB2312"/>
          <w:kern w:val="0"/>
          <w:sz w:val="32"/>
          <w:szCs w:val="32"/>
          <w:shd w:val="clear" w:color="auto" w:fill="FFFFFF"/>
        </w:rPr>
        <w:t>1.部门总体收入情况</w:t>
      </w:r>
    </w:p>
    <w:p>
      <w:pPr>
        <w:widowControl/>
        <w:adjustRightInd w:val="0"/>
        <w:snapToGrid w:val="0"/>
        <w:spacing w:line="576" w:lineRule="exact"/>
        <w:ind w:firstLine="640" w:firstLineChars="200"/>
        <w:jc w:val="left"/>
        <w:rPr>
          <w:rFonts w:eastAsia="仿宋_GB2312"/>
          <w:kern w:val="0"/>
          <w:sz w:val="32"/>
          <w:szCs w:val="32"/>
          <w:shd w:val="clear" w:color="auto" w:fill="FFFFFF"/>
        </w:rPr>
      </w:pPr>
      <w:r>
        <w:rPr>
          <w:color w:val="000000"/>
          <w:kern w:val="0"/>
          <w:sz w:val="32"/>
          <w:szCs w:val="32"/>
          <w:shd w:val="clear" w:color="auto" w:fill="FFFFFF"/>
        </w:rPr>
        <w:t>2022</w:t>
      </w:r>
      <w:r>
        <w:rPr>
          <w:rFonts w:eastAsia="仿宋_GB2312"/>
          <w:color w:val="000000"/>
          <w:kern w:val="0"/>
          <w:sz w:val="32"/>
          <w:szCs w:val="32"/>
          <w:shd w:val="clear" w:color="auto" w:fill="FFFFFF"/>
          <w:lang w:val="zh-CN"/>
        </w:rPr>
        <w:t>年米易县人民检察院上年结转收入</w:t>
      </w:r>
      <w:r>
        <w:rPr>
          <w:color w:val="000000"/>
          <w:kern w:val="0"/>
          <w:sz w:val="32"/>
          <w:szCs w:val="32"/>
          <w:shd w:val="clear" w:color="auto" w:fill="FFFFFF"/>
        </w:rPr>
        <w:t>359.43</w:t>
      </w:r>
      <w:r>
        <w:rPr>
          <w:rFonts w:eastAsia="仿宋_GB2312"/>
          <w:color w:val="000000"/>
          <w:kern w:val="0"/>
          <w:sz w:val="32"/>
          <w:szCs w:val="32"/>
          <w:shd w:val="clear" w:color="auto" w:fill="FFFFFF"/>
          <w:lang w:val="zh-CN"/>
        </w:rPr>
        <w:t>万元</w:t>
      </w:r>
      <w:r>
        <w:rPr>
          <w:color w:val="000000"/>
          <w:kern w:val="0"/>
          <w:sz w:val="32"/>
          <w:szCs w:val="32"/>
          <w:shd w:val="clear" w:color="auto" w:fill="FFFFFF"/>
          <w:lang w:val="zh-CN"/>
        </w:rPr>
        <w:t>，</w:t>
      </w:r>
      <w:r>
        <w:rPr>
          <w:rFonts w:eastAsia="仿宋_GB2312"/>
          <w:color w:val="000000"/>
          <w:kern w:val="0"/>
          <w:sz w:val="32"/>
          <w:szCs w:val="32"/>
          <w:shd w:val="clear" w:color="auto" w:fill="FFFFFF"/>
          <w:lang w:val="zh-CN"/>
        </w:rPr>
        <w:t>本年度收入总额为</w:t>
      </w:r>
      <w:r>
        <w:rPr>
          <w:rFonts w:eastAsia="仿宋_GB2312"/>
          <w:color w:val="000000"/>
          <w:kern w:val="0"/>
          <w:sz w:val="32"/>
          <w:szCs w:val="32"/>
          <w:shd w:val="clear" w:color="auto" w:fill="FFFFFF"/>
        </w:rPr>
        <w:t>717.41</w:t>
      </w:r>
      <w:r>
        <w:rPr>
          <w:rFonts w:eastAsia="仿宋_GB2312"/>
          <w:color w:val="000000"/>
          <w:kern w:val="0"/>
          <w:sz w:val="32"/>
          <w:szCs w:val="32"/>
          <w:shd w:val="clear" w:color="auto" w:fill="FFFFFF"/>
          <w:lang w:val="zh-CN"/>
        </w:rPr>
        <w:t>万元。</w:t>
      </w:r>
    </w:p>
    <w:p>
      <w:pPr>
        <w:widowControl/>
        <w:adjustRightInd w:val="0"/>
        <w:snapToGrid w:val="0"/>
        <w:spacing w:line="560" w:lineRule="exact"/>
        <w:ind w:firstLine="640" w:firstLineChars="200"/>
        <w:contextualSpacing/>
        <w:jc w:val="left"/>
        <w:rPr>
          <w:rFonts w:eastAsia="仿宋_GB2312"/>
          <w:kern w:val="0"/>
          <w:sz w:val="32"/>
          <w:szCs w:val="32"/>
          <w:shd w:val="clear" w:color="auto" w:fill="FFFFFF"/>
        </w:rPr>
      </w:pPr>
      <w:r>
        <w:rPr>
          <w:rFonts w:eastAsia="仿宋_GB2312"/>
          <w:kern w:val="0"/>
          <w:sz w:val="32"/>
          <w:szCs w:val="32"/>
          <w:shd w:val="clear" w:color="auto" w:fill="FFFFFF"/>
        </w:rPr>
        <w:t>2.部门总体支出情况</w:t>
      </w:r>
    </w:p>
    <w:p>
      <w:pPr>
        <w:widowControl/>
        <w:adjustRightInd w:val="0"/>
        <w:snapToGrid w:val="0"/>
        <w:spacing w:line="576" w:lineRule="exact"/>
        <w:ind w:firstLine="640" w:firstLineChars="200"/>
        <w:jc w:val="left"/>
        <w:rPr>
          <w:rFonts w:eastAsia="仿宋_GB2312"/>
          <w:kern w:val="0"/>
          <w:sz w:val="32"/>
          <w:szCs w:val="32"/>
          <w:shd w:val="clear" w:color="auto" w:fill="FFFFFF"/>
        </w:rPr>
      </w:pPr>
      <w:r>
        <w:rPr>
          <w:rFonts w:eastAsia="仿宋_GB2312"/>
          <w:color w:val="000000"/>
          <w:kern w:val="0"/>
          <w:sz w:val="32"/>
          <w:szCs w:val="32"/>
          <w:shd w:val="clear" w:color="auto" w:fill="FFFFFF"/>
          <w:lang w:val="zh-CN"/>
        </w:rPr>
        <w:t>20</w:t>
      </w:r>
      <w:r>
        <w:rPr>
          <w:color w:val="000000"/>
          <w:kern w:val="0"/>
          <w:sz w:val="32"/>
          <w:szCs w:val="32"/>
          <w:shd w:val="clear" w:color="auto" w:fill="FFFFFF"/>
        </w:rPr>
        <w:t>22</w:t>
      </w:r>
      <w:r>
        <w:rPr>
          <w:rFonts w:eastAsia="仿宋_GB2312"/>
          <w:color w:val="000000"/>
          <w:kern w:val="0"/>
          <w:sz w:val="32"/>
          <w:szCs w:val="32"/>
          <w:shd w:val="clear" w:color="auto" w:fill="FFFFFF"/>
          <w:lang w:val="zh-CN"/>
        </w:rPr>
        <w:t>年米易县人民检察院支出决算总额为</w:t>
      </w:r>
      <w:r>
        <w:rPr>
          <w:color w:val="000000"/>
          <w:kern w:val="0"/>
          <w:sz w:val="32"/>
          <w:szCs w:val="32"/>
          <w:shd w:val="clear" w:color="auto" w:fill="FFFFFF"/>
        </w:rPr>
        <w:t>1076.85</w:t>
      </w:r>
      <w:r>
        <w:rPr>
          <w:rFonts w:eastAsia="仿宋_GB2312"/>
          <w:color w:val="000000"/>
          <w:kern w:val="0"/>
          <w:sz w:val="32"/>
          <w:szCs w:val="32"/>
          <w:shd w:val="clear" w:color="auto" w:fill="FFFFFF"/>
          <w:lang w:val="zh-CN"/>
        </w:rPr>
        <w:t>万元，其中：公共安全支出</w:t>
      </w:r>
      <w:r>
        <w:rPr>
          <w:color w:val="000000"/>
          <w:kern w:val="0"/>
          <w:sz w:val="32"/>
          <w:szCs w:val="32"/>
          <w:shd w:val="clear" w:color="auto" w:fill="FFFFFF"/>
        </w:rPr>
        <w:t>849.31</w:t>
      </w:r>
      <w:r>
        <w:rPr>
          <w:rFonts w:eastAsia="仿宋_GB2312"/>
          <w:color w:val="000000"/>
          <w:kern w:val="0"/>
          <w:sz w:val="32"/>
          <w:szCs w:val="32"/>
          <w:shd w:val="clear" w:color="auto" w:fill="FFFFFF"/>
          <w:lang w:val="zh-CN"/>
        </w:rPr>
        <w:t>万元，社会保障和就业</w:t>
      </w:r>
      <w:r>
        <w:rPr>
          <w:color w:val="000000"/>
          <w:kern w:val="0"/>
          <w:sz w:val="32"/>
          <w:szCs w:val="32"/>
          <w:shd w:val="clear" w:color="auto" w:fill="FFFFFF"/>
        </w:rPr>
        <w:t>84.68</w:t>
      </w:r>
      <w:r>
        <w:rPr>
          <w:rFonts w:eastAsia="仿宋_GB2312"/>
          <w:color w:val="000000"/>
          <w:kern w:val="0"/>
          <w:sz w:val="32"/>
          <w:szCs w:val="32"/>
          <w:shd w:val="clear" w:color="auto" w:fill="FFFFFF"/>
          <w:lang w:val="zh-CN"/>
        </w:rPr>
        <w:t>万元，卫生健康支出</w:t>
      </w:r>
      <w:r>
        <w:rPr>
          <w:rFonts w:eastAsia="仿宋_GB2312"/>
          <w:color w:val="000000"/>
          <w:kern w:val="0"/>
          <w:sz w:val="32"/>
          <w:szCs w:val="32"/>
          <w:shd w:val="clear" w:color="auto" w:fill="FFFFFF"/>
        </w:rPr>
        <w:t>70.24万元，</w:t>
      </w:r>
      <w:r>
        <w:rPr>
          <w:rFonts w:eastAsia="仿宋_GB2312"/>
          <w:color w:val="000000"/>
          <w:kern w:val="0"/>
          <w:sz w:val="32"/>
          <w:szCs w:val="32"/>
          <w:shd w:val="clear" w:color="auto" w:fill="FFFFFF"/>
          <w:lang w:val="zh-CN"/>
        </w:rPr>
        <w:t>住房保障支出</w:t>
      </w:r>
      <w:r>
        <w:rPr>
          <w:rFonts w:eastAsia="仿宋_GB2312"/>
          <w:color w:val="000000"/>
          <w:kern w:val="0"/>
          <w:sz w:val="32"/>
          <w:szCs w:val="32"/>
          <w:shd w:val="clear" w:color="auto" w:fill="FFFFFF"/>
        </w:rPr>
        <w:t>72.62</w:t>
      </w:r>
      <w:r>
        <w:rPr>
          <w:rFonts w:eastAsia="仿宋_GB2312"/>
          <w:color w:val="000000"/>
          <w:kern w:val="0"/>
          <w:sz w:val="32"/>
          <w:szCs w:val="32"/>
          <w:shd w:val="clear" w:color="auto" w:fill="FFFFFF"/>
          <w:lang w:val="zh-CN"/>
        </w:rPr>
        <w:t>万元</w:t>
      </w:r>
      <w:r>
        <w:rPr>
          <w:color w:val="000000"/>
          <w:kern w:val="0"/>
          <w:sz w:val="32"/>
          <w:szCs w:val="32"/>
          <w:shd w:val="clear" w:color="auto" w:fill="FFFFFF"/>
          <w:lang w:val="zh-CN"/>
        </w:rPr>
        <w:t>。</w:t>
      </w:r>
    </w:p>
    <w:p>
      <w:pPr>
        <w:widowControl/>
        <w:adjustRightInd w:val="0"/>
        <w:snapToGrid w:val="0"/>
        <w:spacing w:line="560" w:lineRule="exact"/>
        <w:ind w:left="420" w:leftChars="200" w:firstLine="320" w:firstLineChars="100"/>
        <w:contextualSpacing/>
        <w:jc w:val="left"/>
        <w:rPr>
          <w:rFonts w:eastAsia="仿宋_GB2312"/>
          <w:kern w:val="0"/>
          <w:sz w:val="32"/>
          <w:szCs w:val="32"/>
          <w:shd w:val="clear" w:color="auto" w:fill="FFFFFF"/>
        </w:rPr>
      </w:pPr>
      <w:r>
        <w:rPr>
          <w:rFonts w:eastAsia="仿宋_GB2312"/>
          <w:kern w:val="0"/>
          <w:sz w:val="32"/>
          <w:szCs w:val="32"/>
          <w:shd w:val="clear" w:color="auto" w:fill="FFFFFF"/>
        </w:rPr>
        <w:t>3.部门总体结转结余情况</w:t>
      </w:r>
    </w:p>
    <w:p>
      <w:pPr>
        <w:widowControl/>
        <w:adjustRightInd w:val="0"/>
        <w:snapToGrid w:val="0"/>
        <w:spacing w:line="560" w:lineRule="exact"/>
        <w:ind w:left="420" w:leftChars="200" w:firstLine="320" w:firstLineChars="100"/>
        <w:contextualSpacing/>
        <w:jc w:val="left"/>
        <w:rPr>
          <w:rFonts w:eastAsia="仿宋_GB2312"/>
          <w:kern w:val="0"/>
          <w:sz w:val="32"/>
          <w:szCs w:val="32"/>
          <w:shd w:val="clear" w:color="auto" w:fill="FFFFFF"/>
        </w:rPr>
      </w:pPr>
      <w:r>
        <w:rPr>
          <w:color w:val="000000"/>
          <w:kern w:val="0"/>
          <w:sz w:val="32"/>
          <w:szCs w:val="32"/>
          <w:shd w:val="clear" w:color="auto" w:fill="FFFFFF"/>
        </w:rPr>
        <w:t>2022</w:t>
      </w:r>
      <w:r>
        <w:rPr>
          <w:rFonts w:eastAsia="仿宋_GB2312"/>
          <w:color w:val="000000"/>
          <w:kern w:val="0"/>
          <w:sz w:val="32"/>
          <w:szCs w:val="32"/>
          <w:shd w:val="clear" w:color="auto" w:fill="FFFFFF"/>
          <w:lang w:val="zh-CN"/>
        </w:rPr>
        <w:t>年末结转结余资金</w:t>
      </w:r>
      <w:r>
        <w:rPr>
          <w:color w:val="000000"/>
          <w:kern w:val="0"/>
          <w:sz w:val="32"/>
          <w:szCs w:val="32"/>
          <w:shd w:val="clear" w:color="auto" w:fill="FFFFFF"/>
        </w:rPr>
        <w:t>0</w:t>
      </w:r>
      <w:r>
        <w:rPr>
          <w:rFonts w:eastAsia="仿宋_GB2312"/>
          <w:color w:val="000000"/>
          <w:kern w:val="0"/>
          <w:sz w:val="32"/>
          <w:szCs w:val="32"/>
          <w:shd w:val="clear" w:color="auto" w:fill="FFFFFF"/>
          <w:lang w:val="zh-CN"/>
        </w:rPr>
        <w:t>万元。</w:t>
      </w:r>
    </w:p>
    <w:p>
      <w:pPr>
        <w:widowControl/>
        <w:adjustRightInd w:val="0"/>
        <w:snapToGrid w:val="0"/>
        <w:spacing w:line="560" w:lineRule="exact"/>
        <w:ind w:firstLine="643" w:firstLineChars="200"/>
        <w:contextualSpacing/>
        <w:jc w:val="left"/>
        <w:outlineLvl w:val="2"/>
        <w:rPr>
          <w:rFonts w:eastAsia="楷体_GB2312"/>
          <w:b/>
          <w:bCs/>
          <w:kern w:val="0"/>
          <w:sz w:val="32"/>
          <w:szCs w:val="32"/>
          <w:shd w:val="clear" w:color="auto" w:fill="FFFFFF"/>
          <w:lang w:val="zh-CN"/>
        </w:rPr>
      </w:pPr>
      <w:bookmarkStart w:id="98" w:name="_Toc13861"/>
      <w:r>
        <w:rPr>
          <w:rFonts w:eastAsia="楷体_GB2312"/>
          <w:b/>
          <w:bCs/>
          <w:kern w:val="0"/>
          <w:sz w:val="32"/>
          <w:szCs w:val="32"/>
          <w:shd w:val="clear" w:color="auto" w:fill="FFFFFF"/>
          <w:lang w:val="zh-CN"/>
        </w:rPr>
        <w:t>（二）部门财政拨款收支情况。</w:t>
      </w:r>
      <w:bookmarkEnd w:id="98"/>
    </w:p>
    <w:p>
      <w:pPr>
        <w:widowControl/>
        <w:adjustRightInd w:val="0"/>
        <w:snapToGrid w:val="0"/>
        <w:spacing w:line="560" w:lineRule="exact"/>
        <w:ind w:firstLine="640" w:firstLineChars="200"/>
        <w:contextualSpacing/>
        <w:jc w:val="left"/>
        <w:rPr>
          <w:rFonts w:eastAsia="仿宋_GB2312"/>
          <w:kern w:val="0"/>
          <w:sz w:val="32"/>
          <w:szCs w:val="32"/>
          <w:shd w:val="clear" w:color="auto" w:fill="FFFFFF"/>
        </w:rPr>
      </w:pPr>
      <w:r>
        <w:rPr>
          <w:rFonts w:eastAsia="仿宋_GB2312"/>
          <w:kern w:val="0"/>
          <w:sz w:val="32"/>
          <w:szCs w:val="32"/>
          <w:shd w:val="clear" w:color="auto" w:fill="FFFFFF"/>
        </w:rPr>
        <w:t>1.部门财政拨款收入情况</w:t>
      </w:r>
    </w:p>
    <w:p>
      <w:pPr>
        <w:widowControl/>
        <w:adjustRightInd w:val="0"/>
        <w:snapToGrid w:val="0"/>
        <w:spacing w:line="576" w:lineRule="exact"/>
        <w:ind w:firstLine="640" w:firstLineChars="200"/>
        <w:jc w:val="left"/>
        <w:rPr>
          <w:rFonts w:eastAsia="仿宋_GB2312"/>
          <w:kern w:val="0"/>
          <w:sz w:val="32"/>
          <w:szCs w:val="32"/>
          <w:shd w:val="clear" w:color="auto" w:fill="FFFFFF"/>
        </w:rPr>
      </w:pPr>
      <w:r>
        <w:rPr>
          <w:color w:val="000000"/>
          <w:kern w:val="0"/>
          <w:sz w:val="32"/>
          <w:szCs w:val="32"/>
          <w:shd w:val="clear" w:color="auto" w:fill="FFFFFF"/>
        </w:rPr>
        <w:t>2022</w:t>
      </w:r>
      <w:r>
        <w:rPr>
          <w:rFonts w:eastAsia="仿宋_GB2312"/>
          <w:color w:val="000000"/>
          <w:kern w:val="0"/>
          <w:sz w:val="32"/>
          <w:szCs w:val="32"/>
          <w:shd w:val="clear" w:color="auto" w:fill="FFFFFF"/>
          <w:lang w:val="zh-CN"/>
        </w:rPr>
        <w:t>年米易县人民检察院财政拨款上年结转收</w:t>
      </w:r>
      <w:r>
        <w:rPr>
          <w:color w:val="000000"/>
          <w:kern w:val="0"/>
          <w:sz w:val="32"/>
          <w:szCs w:val="32"/>
          <w:shd w:val="clear" w:color="auto" w:fill="FFFFFF"/>
        </w:rPr>
        <w:t>359.43</w:t>
      </w:r>
      <w:r>
        <w:rPr>
          <w:rFonts w:eastAsia="仿宋_GB2312"/>
          <w:color w:val="000000"/>
          <w:kern w:val="0"/>
          <w:sz w:val="32"/>
          <w:szCs w:val="32"/>
          <w:shd w:val="clear" w:color="auto" w:fill="FFFFFF"/>
          <w:lang w:val="zh-CN"/>
        </w:rPr>
        <w:t>万元</w:t>
      </w:r>
      <w:r>
        <w:rPr>
          <w:color w:val="000000"/>
          <w:kern w:val="0"/>
          <w:sz w:val="32"/>
          <w:szCs w:val="32"/>
          <w:shd w:val="clear" w:color="auto" w:fill="FFFFFF"/>
          <w:lang w:val="zh-CN"/>
        </w:rPr>
        <w:t>，</w:t>
      </w:r>
      <w:r>
        <w:rPr>
          <w:rFonts w:eastAsia="仿宋_GB2312"/>
          <w:color w:val="000000"/>
          <w:kern w:val="0"/>
          <w:sz w:val="32"/>
          <w:szCs w:val="32"/>
          <w:shd w:val="clear" w:color="auto" w:fill="FFFFFF"/>
          <w:lang w:val="zh-CN"/>
        </w:rPr>
        <w:t>本年度收入总额为</w:t>
      </w:r>
      <w:r>
        <w:rPr>
          <w:rFonts w:eastAsia="仿宋_GB2312"/>
          <w:color w:val="000000"/>
          <w:kern w:val="0"/>
          <w:sz w:val="32"/>
          <w:szCs w:val="32"/>
          <w:shd w:val="clear" w:color="auto" w:fill="FFFFFF"/>
        </w:rPr>
        <w:t>125.38</w:t>
      </w:r>
      <w:r>
        <w:rPr>
          <w:rFonts w:eastAsia="仿宋_GB2312"/>
          <w:color w:val="000000"/>
          <w:kern w:val="0"/>
          <w:sz w:val="32"/>
          <w:szCs w:val="32"/>
          <w:shd w:val="clear" w:color="auto" w:fill="FFFFFF"/>
          <w:lang w:val="zh-CN"/>
        </w:rPr>
        <w:t>万元。</w:t>
      </w:r>
    </w:p>
    <w:p>
      <w:pPr>
        <w:widowControl/>
        <w:adjustRightInd w:val="0"/>
        <w:snapToGrid w:val="0"/>
        <w:spacing w:line="560" w:lineRule="exact"/>
        <w:ind w:firstLine="640" w:firstLineChars="200"/>
        <w:contextualSpacing/>
        <w:jc w:val="left"/>
        <w:rPr>
          <w:rFonts w:eastAsia="仿宋_GB2312"/>
          <w:kern w:val="0"/>
          <w:sz w:val="32"/>
          <w:szCs w:val="32"/>
          <w:shd w:val="clear" w:color="auto" w:fill="FFFFFF"/>
        </w:rPr>
      </w:pPr>
      <w:r>
        <w:rPr>
          <w:rFonts w:eastAsia="仿宋_GB2312"/>
          <w:kern w:val="0"/>
          <w:sz w:val="32"/>
          <w:szCs w:val="32"/>
          <w:shd w:val="clear" w:color="auto" w:fill="FFFFFF"/>
        </w:rPr>
        <w:t>2.部门财政拨款支出情况</w:t>
      </w:r>
    </w:p>
    <w:p>
      <w:pPr>
        <w:widowControl/>
        <w:adjustRightInd w:val="0"/>
        <w:snapToGrid w:val="0"/>
        <w:spacing w:line="576" w:lineRule="exact"/>
        <w:ind w:firstLine="640" w:firstLineChars="200"/>
        <w:jc w:val="left"/>
        <w:rPr>
          <w:rFonts w:eastAsia="仿宋_GB2312"/>
          <w:kern w:val="0"/>
          <w:sz w:val="32"/>
          <w:szCs w:val="32"/>
          <w:shd w:val="clear" w:color="auto" w:fill="FFFFFF"/>
        </w:rPr>
      </w:pPr>
      <w:r>
        <w:rPr>
          <w:rFonts w:eastAsia="仿宋_GB2312"/>
          <w:color w:val="000000"/>
          <w:kern w:val="0"/>
          <w:sz w:val="32"/>
          <w:szCs w:val="32"/>
          <w:shd w:val="clear" w:color="auto" w:fill="FFFFFF"/>
          <w:lang w:val="zh-CN"/>
        </w:rPr>
        <w:t>20</w:t>
      </w:r>
      <w:r>
        <w:rPr>
          <w:color w:val="000000"/>
          <w:kern w:val="0"/>
          <w:sz w:val="32"/>
          <w:szCs w:val="32"/>
          <w:shd w:val="clear" w:color="auto" w:fill="FFFFFF"/>
        </w:rPr>
        <w:t>22</w:t>
      </w:r>
      <w:r>
        <w:rPr>
          <w:rFonts w:eastAsia="仿宋_GB2312"/>
          <w:color w:val="000000"/>
          <w:kern w:val="0"/>
          <w:sz w:val="32"/>
          <w:szCs w:val="32"/>
          <w:shd w:val="clear" w:color="auto" w:fill="FFFFFF"/>
          <w:lang w:val="zh-CN"/>
        </w:rPr>
        <w:t>年米易县人民检察院支出决算总额为</w:t>
      </w:r>
      <w:r>
        <w:rPr>
          <w:rFonts w:hint="eastAsia"/>
          <w:color w:val="000000"/>
          <w:kern w:val="0"/>
          <w:sz w:val="32"/>
          <w:szCs w:val="32"/>
          <w:shd w:val="clear" w:color="auto" w:fill="FFFFFF"/>
        </w:rPr>
        <w:t>484.81</w:t>
      </w:r>
      <w:r>
        <w:rPr>
          <w:rFonts w:eastAsia="仿宋_GB2312"/>
          <w:color w:val="000000"/>
          <w:kern w:val="0"/>
          <w:sz w:val="32"/>
          <w:szCs w:val="32"/>
          <w:shd w:val="clear" w:color="auto" w:fill="FFFFFF"/>
          <w:lang w:val="zh-CN"/>
        </w:rPr>
        <w:t>万元，其中：公共安全支出</w:t>
      </w:r>
      <w:r>
        <w:rPr>
          <w:color w:val="000000"/>
          <w:kern w:val="0"/>
          <w:sz w:val="32"/>
          <w:szCs w:val="32"/>
          <w:shd w:val="clear" w:color="auto" w:fill="FFFFFF"/>
        </w:rPr>
        <w:t>365.33</w:t>
      </w:r>
      <w:r>
        <w:rPr>
          <w:rFonts w:eastAsia="仿宋_GB2312"/>
          <w:color w:val="000000"/>
          <w:kern w:val="0"/>
          <w:sz w:val="32"/>
          <w:szCs w:val="32"/>
          <w:shd w:val="clear" w:color="auto" w:fill="FFFFFF"/>
          <w:lang w:val="zh-CN"/>
        </w:rPr>
        <w:t>万元，社会保障和就业</w:t>
      </w:r>
      <w:r>
        <w:rPr>
          <w:color w:val="000000"/>
          <w:kern w:val="0"/>
          <w:sz w:val="32"/>
          <w:szCs w:val="32"/>
          <w:shd w:val="clear" w:color="auto" w:fill="FFFFFF"/>
        </w:rPr>
        <w:t>31.54</w:t>
      </w:r>
      <w:r>
        <w:rPr>
          <w:rFonts w:eastAsia="仿宋_GB2312"/>
          <w:color w:val="000000"/>
          <w:kern w:val="0"/>
          <w:sz w:val="32"/>
          <w:szCs w:val="32"/>
          <w:shd w:val="clear" w:color="auto" w:fill="FFFFFF"/>
          <w:lang w:val="zh-CN"/>
        </w:rPr>
        <w:t>万元，卫生健康支出</w:t>
      </w:r>
      <w:r>
        <w:rPr>
          <w:rFonts w:eastAsia="仿宋_GB2312"/>
          <w:color w:val="000000"/>
          <w:kern w:val="0"/>
          <w:sz w:val="32"/>
          <w:szCs w:val="32"/>
          <w:shd w:val="clear" w:color="auto" w:fill="FFFFFF"/>
        </w:rPr>
        <w:t>42.71万元，</w:t>
      </w:r>
      <w:r>
        <w:rPr>
          <w:rFonts w:eastAsia="仿宋_GB2312"/>
          <w:color w:val="000000"/>
          <w:kern w:val="0"/>
          <w:sz w:val="32"/>
          <w:szCs w:val="32"/>
          <w:shd w:val="clear" w:color="auto" w:fill="FFFFFF"/>
          <w:lang w:val="zh-CN"/>
        </w:rPr>
        <w:t>住房保障支出</w:t>
      </w:r>
      <w:r>
        <w:rPr>
          <w:rFonts w:eastAsia="仿宋_GB2312"/>
          <w:color w:val="000000"/>
          <w:kern w:val="0"/>
          <w:sz w:val="32"/>
          <w:szCs w:val="32"/>
          <w:shd w:val="clear" w:color="auto" w:fill="FFFFFF"/>
        </w:rPr>
        <w:t>45.23</w:t>
      </w:r>
      <w:r>
        <w:rPr>
          <w:rFonts w:eastAsia="仿宋_GB2312"/>
          <w:color w:val="000000"/>
          <w:kern w:val="0"/>
          <w:sz w:val="32"/>
          <w:szCs w:val="32"/>
          <w:shd w:val="clear" w:color="auto" w:fill="FFFFFF"/>
          <w:lang w:val="zh-CN"/>
        </w:rPr>
        <w:t>万元</w:t>
      </w:r>
      <w:r>
        <w:rPr>
          <w:color w:val="000000"/>
          <w:kern w:val="0"/>
          <w:sz w:val="32"/>
          <w:szCs w:val="32"/>
          <w:shd w:val="clear" w:color="auto" w:fill="FFFFFF"/>
          <w:lang w:val="zh-CN"/>
        </w:rPr>
        <w:t>。</w:t>
      </w:r>
    </w:p>
    <w:p>
      <w:pPr>
        <w:widowControl/>
        <w:adjustRightInd w:val="0"/>
        <w:snapToGrid w:val="0"/>
        <w:spacing w:line="560" w:lineRule="exact"/>
        <w:ind w:firstLine="640" w:firstLineChars="200"/>
        <w:contextualSpacing/>
        <w:jc w:val="left"/>
        <w:rPr>
          <w:rFonts w:eastAsia="仿宋_GB2312"/>
          <w:kern w:val="0"/>
          <w:sz w:val="32"/>
          <w:szCs w:val="32"/>
          <w:shd w:val="clear" w:color="auto" w:fill="FFFFFF"/>
        </w:rPr>
      </w:pPr>
      <w:r>
        <w:rPr>
          <w:rFonts w:eastAsia="仿宋_GB2312"/>
          <w:kern w:val="0"/>
          <w:sz w:val="32"/>
          <w:szCs w:val="32"/>
          <w:shd w:val="clear" w:color="auto" w:fill="FFFFFF"/>
        </w:rPr>
        <w:t>3.部门财政拨款结转结余情况</w:t>
      </w:r>
    </w:p>
    <w:p>
      <w:pPr>
        <w:widowControl/>
        <w:adjustRightInd w:val="0"/>
        <w:snapToGrid w:val="0"/>
        <w:spacing w:line="560" w:lineRule="exact"/>
        <w:ind w:left="420" w:leftChars="200"/>
        <w:contextualSpacing/>
        <w:jc w:val="left"/>
        <w:rPr>
          <w:rFonts w:eastAsia="黑体"/>
          <w:kern w:val="0"/>
          <w:sz w:val="32"/>
          <w:szCs w:val="32"/>
          <w:shd w:val="clear" w:color="auto" w:fill="FFFFFF"/>
        </w:rPr>
      </w:pPr>
      <w:r>
        <w:rPr>
          <w:color w:val="000000"/>
          <w:kern w:val="0"/>
          <w:sz w:val="32"/>
          <w:szCs w:val="32"/>
          <w:shd w:val="clear" w:color="auto" w:fill="FFFFFF"/>
        </w:rPr>
        <w:t>2022</w:t>
      </w:r>
      <w:r>
        <w:rPr>
          <w:rFonts w:eastAsia="仿宋_GB2312"/>
          <w:color w:val="000000"/>
          <w:kern w:val="0"/>
          <w:sz w:val="32"/>
          <w:szCs w:val="32"/>
          <w:shd w:val="clear" w:color="auto" w:fill="FFFFFF"/>
          <w:lang w:val="zh-CN"/>
        </w:rPr>
        <w:t>年末结转结余资金</w:t>
      </w:r>
      <w:r>
        <w:rPr>
          <w:color w:val="000000"/>
          <w:kern w:val="0"/>
          <w:sz w:val="32"/>
          <w:szCs w:val="32"/>
          <w:shd w:val="clear" w:color="auto" w:fill="FFFFFF"/>
        </w:rPr>
        <w:t>0</w:t>
      </w:r>
      <w:r>
        <w:rPr>
          <w:rFonts w:eastAsia="仿宋_GB2312"/>
          <w:color w:val="000000"/>
          <w:kern w:val="0"/>
          <w:sz w:val="32"/>
          <w:szCs w:val="32"/>
          <w:shd w:val="clear" w:color="auto" w:fill="FFFFFF"/>
          <w:lang w:val="zh-CN"/>
        </w:rPr>
        <w:t>万元。</w:t>
      </w:r>
    </w:p>
    <w:p>
      <w:pPr>
        <w:widowControl/>
        <w:adjustRightInd w:val="0"/>
        <w:snapToGrid w:val="0"/>
        <w:spacing w:line="560" w:lineRule="exact"/>
        <w:ind w:firstLine="640" w:firstLineChars="200"/>
        <w:contextualSpacing/>
        <w:jc w:val="left"/>
        <w:rPr>
          <w:rFonts w:eastAsia="黑体"/>
          <w:kern w:val="0"/>
          <w:sz w:val="32"/>
          <w:szCs w:val="32"/>
          <w:shd w:val="clear" w:color="auto" w:fill="FFFFFF"/>
        </w:rPr>
      </w:pPr>
      <w:r>
        <w:rPr>
          <w:rFonts w:eastAsia="黑体"/>
          <w:kern w:val="0"/>
          <w:sz w:val="32"/>
          <w:szCs w:val="32"/>
          <w:shd w:val="clear" w:color="auto" w:fill="FFFFFF"/>
        </w:rPr>
        <w:t>三、部门整体绩效分析（根据适用指标体系进行调整，涉及到有专项资金预算项目的部门，专项资金预算项目自评报告作为本报告附件一并公开）</w:t>
      </w:r>
    </w:p>
    <w:p>
      <w:pPr>
        <w:widowControl/>
        <w:adjustRightInd w:val="0"/>
        <w:snapToGrid w:val="0"/>
        <w:spacing w:line="560" w:lineRule="exact"/>
        <w:ind w:firstLine="643" w:firstLineChars="200"/>
        <w:contextualSpacing/>
        <w:jc w:val="left"/>
        <w:outlineLvl w:val="2"/>
        <w:rPr>
          <w:rFonts w:eastAsia="仿宋_GB2312"/>
          <w:kern w:val="0"/>
          <w:sz w:val="32"/>
          <w:szCs w:val="32"/>
          <w:shd w:val="clear" w:color="auto" w:fill="FFFFFF"/>
          <w:lang w:val="zh-CN"/>
        </w:rPr>
      </w:pPr>
      <w:bookmarkStart w:id="99" w:name="_Toc28161"/>
      <w:r>
        <w:rPr>
          <w:rFonts w:eastAsia="楷体_GB2312"/>
          <w:b/>
          <w:bCs/>
          <w:kern w:val="0"/>
          <w:sz w:val="32"/>
          <w:szCs w:val="32"/>
          <w:shd w:val="clear" w:color="auto" w:fill="FFFFFF"/>
          <w:lang w:val="zh-CN"/>
        </w:rPr>
        <w:t>（一）部门预算项目绩效分析。</w:t>
      </w:r>
      <w:bookmarkEnd w:id="99"/>
    </w:p>
    <w:p>
      <w:pPr>
        <w:widowControl/>
        <w:adjustRightInd w:val="0"/>
        <w:snapToGrid w:val="0"/>
        <w:spacing w:line="560" w:lineRule="exact"/>
        <w:ind w:firstLine="640" w:firstLineChars="200"/>
        <w:contextualSpacing/>
        <w:jc w:val="left"/>
        <w:rPr>
          <w:rFonts w:eastAsia="仿宋_GB2312"/>
          <w:kern w:val="0"/>
          <w:sz w:val="32"/>
          <w:szCs w:val="32"/>
          <w:shd w:val="clear" w:color="auto" w:fill="FFFFFF"/>
        </w:rPr>
      </w:pPr>
      <w:r>
        <w:rPr>
          <w:rFonts w:eastAsia="仿宋_GB2312"/>
          <w:kern w:val="0"/>
          <w:sz w:val="32"/>
          <w:szCs w:val="32"/>
          <w:shd w:val="clear" w:color="auto" w:fill="FFFFFF"/>
        </w:rPr>
        <w:t>1.运转类项目绩效分析</w:t>
      </w:r>
    </w:p>
    <w:p>
      <w:pPr>
        <w:spacing w:line="576" w:lineRule="exact"/>
        <w:ind w:firstLine="640" w:firstLineChars="200"/>
        <w:jc w:val="left"/>
        <w:rPr>
          <w:rFonts w:eastAsia="仿宋_GB2312"/>
          <w:kern w:val="0"/>
          <w:sz w:val="32"/>
          <w:szCs w:val="32"/>
          <w:shd w:val="clear" w:color="auto" w:fill="FFFFFF"/>
        </w:rPr>
      </w:pPr>
      <w:r>
        <w:rPr>
          <w:rFonts w:eastAsia="方正仿宋_GBK"/>
          <w:color w:val="000000"/>
          <w:kern w:val="0"/>
          <w:sz w:val="32"/>
          <w:szCs w:val="32"/>
          <w:shd w:val="clear" w:color="auto" w:fill="FFFFFF"/>
          <w:lang w:val="zh-CN"/>
        </w:rPr>
        <w:t>我院涉及运转类项目</w:t>
      </w:r>
      <w:r>
        <w:rPr>
          <w:rFonts w:eastAsia="方正仿宋_GBK"/>
          <w:color w:val="000000"/>
          <w:kern w:val="0"/>
          <w:sz w:val="32"/>
          <w:szCs w:val="32"/>
          <w:shd w:val="clear" w:color="auto" w:fill="FFFFFF"/>
        </w:rPr>
        <w:t>1个，为聘用制书记员专项经费项目，为适应检察工作需要，完善司法人员分类管理制度，保证财务基本要求设立该项目。</w:t>
      </w:r>
      <w:r>
        <w:rPr>
          <w:rFonts w:eastAsia="方正仿宋_GBK"/>
          <w:color w:val="000000"/>
          <w:kern w:val="0"/>
          <w:sz w:val="32"/>
          <w:szCs w:val="32"/>
          <w:shd w:val="clear" w:color="auto" w:fill="FFFFFF"/>
          <w:lang w:val="zh-CN"/>
        </w:rPr>
        <w:t>存在的问题包括由于财政支出的多样性和复杂性，绩效支出过程中动态调整还比较滞后，</w:t>
      </w:r>
      <w:r>
        <w:rPr>
          <w:rFonts w:hint="eastAsia" w:eastAsia="方正仿宋_GBK"/>
          <w:color w:val="000000"/>
          <w:kern w:val="0"/>
          <w:sz w:val="32"/>
          <w:szCs w:val="32"/>
          <w:shd w:val="clear" w:color="auto" w:fill="FFFFFF"/>
          <w:lang w:val="zh-CN"/>
        </w:rPr>
        <w:t>中间存在</w:t>
      </w:r>
      <w:r>
        <w:rPr>
          <w:rFonts w:eastAsia="方正仿宋_GBK"/>
          <w:color w:val="000000"/>
          <w:kern w:val="0"/>
          <w:sz w:val="32"/>
          <w:szCs w:val="32"/>
          <w:shd w:val="clear" w:color="auto" w:fill="FFFFFF"/>
          <w:lang w:val="zh-CN"/>
        </w:rPr>
        <w:t>没有跟上实际支出进度</w:t>
      </w:r>
      <w:r>
        <w:rPr>
          <w:rFonts w:hint="eastAsia" w:eastAsia="方正仿宋_GBK"/>
          <w:color w:val="000000"/>
          <w:kern w:val="0"/>
          <w:sz w:val="32"/>
          <w:szCs w:val="32"/>
          <w:shd w:val="clear" w:color="auto" w:fill="FFFFFF"/>
          <w:lang w:val="zh-CN"/>
        </w:rPr>
        <w:t>的情况</w:t>
      </w:r>
      <w:r>
        <w:rPr>
          <w:rFonts w:eastAsia="方正仿宋_GBK"/>
          <w:color w:val="000000"/>
          <w:kern w:val="0"/>
          <w:sz w:val="32"/>
          <w:szCs w:val="32"/>
          <w:shd w:val="clear" w:color="auto" w:fill="FFFFFF"/>
          <w:lang w:val="zh-CN"/>
        </w:rPr>
        <w:t>，以及项目年度长期规划目标制定上还不太完善。</w:t>
      </w:r>
    </w:p>
    <w:p>
      <w:pPr>
        <w:widowControl/>
        <w:adjustRightInd w:val="0"/>
        <w:snapToGrid w:val="0"/>
        <w:spacing w:line="560" w:lineRule="exact"/>
        <w:ind w:firstLine="643" w:firstLineChars="200"/>
        <w:contextualSpacing/>
        <w:jc w:val="left"/>
        <w:outlineLvl w:val="2"/>
        <w:rPr>
          <w:rFonts w:eastAsia="楷体_GB2312"/>
          <w:b/>
          <w:bCs/>
          <w:kern w:val="0"/>
          <w:sz w:val="32"/>
          <w:szCs w:val="32"/>
          <w:shd w:val="clear" w:color="auto" w:fill="FFFFFF"/>
          <w:lang w:val="zh-CN"/>
        </w:rPr>
      </w:pPr>
      <w:bookmarkStart w:id="100" w:name="_Toc16082"/>
      <w:r>
        <w:rPr>
          <w:rFonts w:eastAsia="楷体_GB2312"/>
          <w:b/>
          <w:bCs/>
          <w:kern w:val="0"/>
          <w:sz w:val="32"/>
          <w:szCs w:val="32"/>
          <w:shd w:val="clear" w:color="auto" w:fill="FFFFFF"/>
          <w:lang w:val="zh-CN"/>
        </w:rPr>
        <w:t>（二）部门整体履职绩效分析。</w:t>
      </w:r>
      <w:bookmarkEnd w:id="100"/>
    </w:p>
    <w:p>
      <w:pPr>
        <w:widowControl/>
        <w:adjustRightInd w:val="0"/>
        <w:snapToGrid w:val="0"/>
        <w:spacing w:line="560" w:lineRule="exact"/>
        <w:ind w:firstLine="640" w:firstLineChars="200"/>
        <w:contextualSpacing/>
        <w:jc w:val="left"/>
        <w:rPr>
          <w:rFonts w:eastAsia="方正仿宋_GBK"/>
          <w:color w:val="000000"/>
          <w:kern w:val="0"/>
          <w:sz w:val="32"/>
          <w:szCs w:val="32"/>
          <w:shd w:val="clear" w:color="auto" w:fill="FFFFFF"/>
          <w:lang w:val="zh-CN"/>
        </w:rPr>
      </w:pPr>
      <w:r>
        <w:rPr>
          <w:rFonts w:eastAsia="方正仿宋_GBK"/>
          <w:color w:val="000000"/>
          <w:kern w:val="0"/>
          <w:sz w:val="32"/>
          <w:szCs w:val="32"/>
          <w:shd w:val="clear" w:color="auto" w:fill="FFFFFF"/>
          <w:lang w:val="zh-CN"/>
        </w:rPr>
        <w:t>20</w:t>
      </w:r>
      <w:r>
        <w:rPr>
          <w:rFonts w:eastAsia="方正仿宋_GBK"/>
          <w:color w:val="000000"/>
          <w:kern w:val="0"/>
          <w:sz w:val="32"/>
          <w:szCs w:val="32"/>
          <w:shd w:val="clear" w:color="auto" w:fill="FFFFFF"/>
        </w:rPr>
        <w:t>22</w:t>
      </w:r>
      <w:r>
        <w:rPr>
          <w:rFonts w:eastAsia="方正仿宋_GBK"/>
          <w:color w:val="000000"/>
          <w:kern w:val="0"/>
          <w:sz w:val="32"/>
          <w:szCs w:val="32"/>
          <w:shd w:val="clear" w:color="auto" w:fill="FFFFFF"/>
          <w:lang w:val="zh-CN"/>
        </w:rPr>
        <w:t>年米易县检察院的部门预算编制规范、准确，各项经费足额纳入预算安排，确保了部门正常运转和专项工作的顺利开展，较好完成年初绩效目标任务。</w:t>
      </w:r>
    </w:p>
    <w:p>
      <w:pPr>
        <w:widowControl/>
        <w:adjustRightInd w:val="0"/>
        <w:snapToGrid w:val="0"/>
        <w:spacing w:line="560" w:lineRule="exact"/>
        <w:ind w:firstLine="643" w:firstLineChars="200"/>
        <w:contextualSpacing/>
        <w:jc w:val="left"/>
        <w:outlineLvl w:val="2"/>
        <w:rPr>
          <w:rFonts w:eastAsia="楷体_GB2312"/>
          <w:b/>
          <w:bCs/>
          <w:kern w:val="0"/>
          <w:sz w:val="32"/>
          <w:szCs w:val="32"/>
          <w:shd w:val="clear" w:color="auto" w:fill="FFFFFF"/>
          <w:lang w:val="zh-CN"/>
        </w:rPr>
      </w:pPr>
      <w:bookmarkStart w:id="101" w:name="_Toc24804"/>
      <w:r>
        <w:rPr>
          <w:rFonts w:eastAsia="楷体_GB2312"/>
          <w:b/>
          <w:bCs/>
          <w:kern w:val="0"/>
          <w:sz w:val="32"/>
          <w:szCs w:val="32"/>
          <w:shd w:val="clear" w:color="auto" w:fill="FFFFFF"/>
          <w:lang w:val="zh-CN"/>
        </w:rPr>
        <w:t>（三）结果应用情况。</w:t>
      </w:r>
      <w:bookmarkEnd w:id="101"/>
    </w:p>
    <w:p>
      <w:pPr>
        <w:pStyle w:val="13"/>
        <w:shd w:val="clear" w:color="auto" w:fill="FFFFFF"/>
        <w:adjustRightInd w:val="0"/>
        <w:snapToGrid w:val="0"/>
        <w:spacing w:before="0" w:beforeAutospacing="0" w:after="0" w:afterAutospacing="0" w:line="560" w:lineRule="atLeast"/>
        <w:ind w:firstLine="640" w:firstLineChars="200"/>
        <w:rPr>
          <w:rFonts w:ascii="Times New Roman" w:hAnsi="Times New Roman" w:eastAsia="仿宋_GB2312" w:cs="Times New Roman"/>
          <w:sz w:val="32"/>
          <w:szCs w:val="32"/>
          <w:shd w:val="clear" w:color="auto" w:fill="FFFFFF"/>
          <w:lang w:val="zh-CN"/>
        </w:rPr>
      </w:pPr>
      <w:r>
        <w:rPr>
          <w:rFonts w:ascii="Times New Roman" w:hAnsi="Times New Roman" w:eastAsia="方正仿宋_GBK" w:cs="Times New Roman"/>
          <w:color w:val="000000"/>
          <w:sz w:val="32"/>
          <w:szCs w:val="32"/>
          <w:shd w:val="clear" w:color="auto" w:fill="FFFFFF"/>
          <w:lang w:val="zh-CN"/>
        </w:rPr>
        <w:t>一是开展了绩效自评工作。对照县级部门预算整体绩效评价指标体系，对部门整体绩效完成情况实施绩效自评。二是实行项目监控。积极跟踪项目进展情况，对当年项目进行资金执行进度进行核算，加快预算执行，保证资金能按项目实施进度进行拨付，同时尽量保证项目的实施，确保绩效目标如期实现。三是保证信息公开。按照财政局的要求，及时、完整、真实的在政府网站上及县检察院门户网站上予以公开。</w:t>
      </w:r>
    </w:p>
    <w:p>
      <w:pPr>
        <w:widowControl/>
        <w:numPr>
          <w:ilvl w:val="0"/>
          <w:numId w:val="8"/>
        </w:numPr>
        <w:adjustRightInd w:val="0"/>
        <w:snapToGrid w:val="0"/>
        <w:spacing w:line="560" w:lineRule="exact"/>
        <w:ind w:firstLine="643" w:firstLineChars="200"/>
        <w:contextualSpacing/>
        <w:jc w:val="left"/>
        <w:outlineLvl w:val="2"/>
        <w:rPr>
          <w:rFonts w:eastAsia="楷体_GB2312"/>
          <w:b/>
          <w:bCs/>
          <w:kern w:val="0"/>
          <w:sz w:val="32"/>
          <w:szCs w:val="32"/>
          <w:shd w:val="clear" w:color="auto" w:fill="FFFFFF"/>
          <w:lang w:val="zh-CN"/>
        </w:rPr>
      </w:pPr>
      <w:bookmarkStart w:id="102" w:name="_Toc1039"/>
      <w:r>
        <w:rPr>
          <w:rFonts w:eastAsia="楷体_GB2312"/>
          <w:b/>
          <w:bCs/>
          <w:kern w:val="0"/>
          <w:sz w:val="32"/>
          <w:szCs w:val="32"/>
          <w:shd w:val="clear" w:color="auto" w:fill="FFFFFF"/>
          <w:lang w:val="zh-CN"/>
        </w:rPr>
        <w:t>自评质量。</w:t>
      </w:r>
      <w:bookmarkEnd w:id="102"/>
    </w:p>
    <w:p>
      <w:pPr>
        <w:widowControl/>
        <w:adjustRightInd w:val="0"/>
        <w:snapToGrid w:val="0"/>
        <w:spacing w:line="560" w:lineRule="exact"/>
        <w:ind w:firstLine="640" w:firstLineChars="200"/>
        <w:contextualSpacing/>
        <w:jc w:val="left"/>
        <w:rPr>
          <w:rFonts w:eastAsia="方正仿宋_GBK"/>
          <w:color w:val="000000"/>
          <w:kern w:val="0"/>
          <w:sz w:val="32"/>
          <w:szCs w:val="32"/>
          <w:shd w:val="clear" w:color="auto" w:fill="FFFFFF"/>
          <w:lang w:val="zh-CN"/>
        </w:rPr>
      </w:pPr>
      <w:r>
        <w:rPr>
          <w:rFonts w:eastAsia="方正仿宋_GBK"/>
          <w:color w:val="000000"/>
          <w:kern w:val="0"/>
          <w:sz w:val="32"/>
          <w:szCs w:val="32"/>
          <w:shd w:val="clear" w:color="auto" w:fill="FFFFFF"/>
          <w:lang w:val="zh-CN"/>
        </w:rPr>
        <w:t>主要从部门资金收支情况和整体绩效情况进行客观评价，自评质量真实可靠。</w:t>
      </w:r>
    </w:p>
    <w:p>
      <w:pPr>
        <w:widowControl/>
        <w:adjustRightInd w:val="0"/>
        <w:snapToGrid w:val="0"/>
        <w:spacing w:line="560" w:lineRule="exact"/>
        <w:ind w:firstLine="640" w:firstLineChars="200"/>
        <w:contextualSpacing/>
        <w:jc w:val="left"/>
        <w:outlineLvl w:val="1"/>
        <w:rPr>
          <w:rFonts w:eastAsia="黑体"/>
          <w:kern w:val="0"/>
          <w:sz w:val="32"/>
          <w:szCs w:val="32"/>
          <w:shd w:val="clear" w:color="auto" w:fill="FFFFFF"/>
        </w:rPr>
      </w:pPr>
      <w:bookmarkStart w:id="103" w:name="_Toc27034"/>
      <w:r>
        <w:rPr>
          <w:rFonts w:eastAsia="黑体"/>
          <w:kern w:val="0"/>
          <w:sz w:val="32"/>
          <w:szCs w:val="32"/>
          <w:shd w:val="clear" w:color="auto" w:fill="FFFFFF"/>
        </w:rPr>
        <w:t>四、评价结论及建议</w:t>
      </w:r>
      <w:bookmarkEnd w:id="103"/>
    </w:p>
    <w:p>
      <w:pPr>
        <w:widowControl/>
        <w:adjustRightInd w:val="0"/>
        <w:snapToGrid w:val="0"/>
        <w:spacing w:line="560" w:lineRule="exact"/>
        <w:ind w:firstLine="643" w:firstLineChars="200"/>
        <w:contextualSpacing/>
        <w:jc w:val="left"/>
        <w:outlineLvl w:val="2"/>
        <w:rPr>
          <w:rFonts w:eastAsia="楷体_GB2312"/>
          <w:b/>
          <w:bCs/>
          <w:kern w:val="0"/>
          <w:sz w:val="32"/>
          <w:szCs w:val="32"/>
          <w:shd w:val="clear" w:color="auto" w:fill="FFFFFF"/>
          <w:lang w:val="zh-CN"/>
        </w:rPr>
      </w:pPr>
      <w:bookmarkStart w:id="104" w:name="_Toc19010"/>
      <w:r>
        <w:rPr>
          <w:rFonts w:eastAsia="楷体_GB2312"/>
          <w:b/>
          <w:bCs/>
          <w:kern w:val="0"/>
          <w:sz w:val="32"/>
          <w:szCs w:val="32"/>
          <w:shd w:val="clear" w:color="auto" w:fill="FFFFFF"/>
          <w:lang w:val="zh-CN"/>
        </w:rPr>
        <w:t>（一）评价结论。</w:t>
      </w:r>
      <w:bookmarkEnd w:id="104"/>
    </w:p>
    <w:p>
      <w:pPr>
        <w:pStyle w:val="13"/>
        <w:shd w:val="clear" w:color="auto" w:fill="FFFFFF"/>
        <w:adjustRightInd w:val="0"/>
        <w:snapToGrid w:val="0"/>
        <w:spacing w:before="0" w:beforeAutospacing="0" w:after="0" w:afterAutospacing="0" w:line="560" w:lineRule="atLeast"/>
        <w:ind w:firstLine="640" w:firstLineChars="200"/>
        <w:rPr>
          <w:rFonts w:ascii="Times New Roman" w:hAnsi="Times New Roman" w:eastAsia="方正仿宋_GBK" w:cs="Times New Roman"/>
          <w:color w:val="000000"/>
          <w:sz w:val="32"/>
          <w:szCs w:val="32"/>
          <w:shd w:val="clear" w:color="auto" w:fill="FFFFFF"/>
          <w:lang w:val="zh-CN"/>
        </w:rPr>
      </w:pPr>
      <w:r>
        <w:rPr>
          <w:rFonts w:ascii="Times New Roman" w:hAnsi="Times New Roman" w:eastAsia="方正仿宋_GBK" w:cs="Times New Roman"/>
          <w:color w:val="000000"/>
          <w:sz w:val="32"/>
          <w:szCs w:val="32"/>
          <w:shd w:val="clear" w:color="auto" w:fill="FFFFFF"/>
          <w:lang w:val="zh-CN"/>
        </w:rPr>
        <w:t>1. 20</w:t>
      </w:r>
      <w:r>
        <w:rPr>
          <w:rFonts w:ascii="Times New Roman" w:hAnsi="Times New Roman" w:eastAsia="方正仿宋_GBK" w:cs="Times New Roman"/>
          <w:color w:val="000000"/>
          <w:sz w:val="32"/>
          <w:szCs w:val="32"/>
          <w:shd w:val="clear" w:color="auto" w:fill="FFFFFF"/>
        </w:rPr>
        <w:t>22</w:t>
      </w:r>
      <w:r>
        <w:rPr>
          <w:rFonts w:ascii="Times New Roman" w:hAnsi="Times New Roman" w:eastAsia="方正仿宋_GBK" w:cs="Times New Roman"/>
          <w:color w:val="000000"/>
          <w:sz w:val="32"/>
          <w:szCs w:val="32"/>
          <w:shd w:val="clear" w:color="auto" w:fill="FFFFFF"/>
          <w:lang w:val="zh-CN"/>
        </w:rPr>
        <w:t>年米易县检察院的部门预算编制规范、准确，各项经费足额纳入预算安排，确保了部门正常运转和专项工作的顺利开展，较好完成年初绩效目标任务。</w:t>
      </w:r>
    </w:p>
    <w:p>
      <w:pPr>
        <w:spacing w:line="576" w:lineRule="exact"/>
        <w:ind w:firstLine="640" w:firstLineChars="200"/>
        <w:jc w:val="left"/>
        <w:rPr>
          <w:rFonts w:eastAsia="楷体_GB2312"/>
          <w:b/>
          <w:bCs/>
          <w:kern w:val="0"/>
          <w:sz w:val="32"/>
          <w:szCs w:val="32"/>
          <w:shd w:val="clear" w:color="auto" w:fill="FFFFFF"/>
          <w:lang w:val="zh-CN"/>
        </w:rPr>
      </w:pPr>
      <w:r>
        <w:rPr>
          <w:rFonts w:eastAsia="方正仿宋_GBK"/>
          <w:color w:val="000000"/>
          <w:kern w:val="0"/>
          <w:sz w:val="32"/>
          <w:szCs w:val="32"/>
          <w:shd w:val="clear" w:color="auto" w:fill="FFFFFF"/>
        </w:rPr>
        <w:t>2.</w:t>
      </w:r>
      <w:r>
        <w:rPr>
          <w:rFonts w:eastAsia="方正仿宋_GBK"/>
          <w:color w:val="000000"/>
          <w:kern w:val="0"/>
          <w:sz w:val="32"/>
          <w:szCs w:val="32"/>
          <w:shd w:val="clear" w:color="auto" w:fill="FFFFFF"/>
          <w:lang w:val="zh-CN"/>
        </w:rPr>
        <w:t>随着财政支出绩效评价工作有序推进，部门也充分意识讲求效益的理念。对项目运行和资金使用情况进行跟踪问效，促进了财政支出效益的进一步提高。</w:t>
      </w:r>
    </w:p>
    <w:p>
      <w:pPr>
        <w:widowControl/>
        <w:numPr>
          <w:ilvl w:val="0"/>
          <w:numId w:val="6"/>
        </w:numPr>
        <w:adjustRightInd w:val="0"/>
        <w:snapToGrid w:val="0"/>
        <w:spacing w:line="560" w:lineRule="exact"/>
        <w:ind w:firstLine="643" w:firstLineChars="200"/>
        <w:contextualSpacing/>
        <w:jc w:val="left"/>
        <w:outlineLvl w:val="2"/>
        <w:rPr>
          <w:rFonts w:eastAsia="楷体_GB2312"/>
          <w:b/>
          <w:bCs/>
          <w:kern w:val="0"/>
          <w:sz w:val="32"/>
          <w:szCs w:val="32"/>
          <w:shd w:val="clear" w:color="auto" w:fill="FFFFFF"/>
          <w:lang w:val="zh-CN"/>
        </w:rPr>
      </w:pPr>
      <w:bookmarkStart w:id="105" w:name="_Toc14621"/>
      <w:r>
        <w:rPr>
          <w:rFonts w:eastAsia="楷体_GB2312"/>
          <w:b/>
          <w:bCs/>
          <w:kern w:val="0"/>
          <w:sz w:val="32"/>
          <w:szCs w:val="32"/>
          <w:shd w:val="clear" w:color="auto" w:fill="FFFFFF"/>
          <w:lang w:val="zh-CN"/>
        </w:rPr>
        <w:t>存在问题。</w:t>
      </w:r>
      <w:bookmarkEnd w:id="105"/>
    </w:p>
    <w:p>
      <w:pPr>
        <w:spacing w:line="576" w:lineRule="exact"/>
        <w:ind w:firstLine="640" w:firstLineChars="200"/>
        <w:jc w:val="left"/>
        <w:rPr>
          <w:rFonts w:eastAsia="方正仿宋_GBK"/>
          <w:color w:val="000000"/>
          <w:kern w:val="0"/>
          <w:sz w:val="32"/>
          <w:szCs w:val="32"/>
          <w:shd w:val="clear" w:color="auto" w:fill="FFFFFF"/>
          <w:lang w:val="zh-CN"/>
        </w:rPr>
      </w:pPr>
      <w:r>
        <w:rPr>
          <w:rFonts w:hint="eastAsia" w:eastAsia="方正仿宋_GBK"/>
          <w:color w:val="000000"/>
          <w:kern w:val="0"/>
          <w:sz w:val="32"/>
          <w:szCs w:val="32"/>
          <w:shd w:val="clear" w:color="auto" w:fill="FFFFFF"/>
        </w:rPr>
        <w:t>1</w:t>
      </w:r>
      <w:r>
        <w:rPr>
          <w:rFonts w:eastAsia="方正仿宋_GBK"/>
          <w:color w:val="000000"/>
          <w:kern w:val="0"/>
          <w:sz w:val="32"/>
          <w:szCs w:val="32"/>
          <w:shd w:val="clear" w:color="auto" w:fill="FFFFFF"/>
        </w:rPr>
        <w:t>.</w:t>
      </w:r>
      <w:r>
        <w:rPr>
          <w:rFonts w:eastAsia="方正仿宋_GBK"/>
          <w:color w:val="000000"/>
          <w:kern w:val="0"/>
          <w:sz w:val="32"/>
          <w:szCs w:val="32"/>
          <w:shd w:val="clear" w:color="auto" w:fill="FFFFFF"/>
          <w:lang w:val="zh-CN"/>
        </w:rPr>
        <w:t>项目年度长期规划目标制定上还不太完善。</w:t>
      </w:r>
    </w:p>
    <w:p>
      <w:pPr>
        <w:spacing w:line="576" w:lineRule="exact"/>
        <w:ind w:firstLine="640" w:firstLineChars="200"/>
        <w:jc w:val="left"/>
        <w:rPr>
          <w:rFonts w:eastAsia="楷体_GB2312"/>
          <w:b/>
          <w:bCs/>
          <w:kern w:val="0"/>
          <w:sz w:val="32"/>
          <w:szCs w:val="32"/>
          <w:shd w:val="clear" w:color="auto" w:fill="FFFFFF"/>
          <w:lang w:val="zh-CN"/>
        </w:rPr>
      </w:pPr>
      <w:r>
        <w:rPr>
          <w:rFonts w:eastAsia="方正仿宋_GBK"/>
          <w:color w:val="000000"/>
          <w:kern w:val="0"/>
          <w:sz w:val="32"/>
          <w:szCs w:val="32"/>
          <w:shd w:val="clear" w:color="auto" w:fill="FFFFFF"/>
        </w:rPr>
        <w:t>3</w:t>
      </w:r>
      <w:r>
        <w:rPr>
          <w:rFonts w:eastAsia="方正仿宋_GBK"/>
          <w:color w:val="000000"/>
          <w:kern w:val="0"/>
          <w:sz w:val="32"/>
          <w:szCs w:val="32"/>
          <w:shd w:val="clear" w:color="auto" w:fill="FFFFFF"/>
          <w:lang w:val="zh-CN"/>
        </w:rPr>
        <w:t>.资金执行支付过程中还存在业务发生录入不及时、资金支付跟不上进度等问题、需要一一改善。</w:t>
      </w:r>
    </w:p>
    <w:p>
      <w:pPr>
        <w:widowControl/>
        <w:adjustRightInd w:val="0"/>
        <w:snapToGrid w:val="0"/>
        <w:spacing w:line="560" w:lineRule="exact"/>
        <w:ind w:firstLine="643" w:firstLineChars="200"/>
        <w:contextualSpacing/>
        <w:jc w:val="left"/>
        <w:outlineLvl w:val="2"/>
        <w:rPr>
          <w:rFonts w:eastAsia="楷体_GB2312"/>
          <w:b/>
          <w:bCs/>
          <w:kern w:val="0"/>
          <w:sz w:val="32"/>
          <w:szCs w:val="32"/>
          <w:shd w:val="clear" w:color="auto" w:fill="FFFFFF"/>
          <w:lang w:val="zh-CN"/>
        </w:rPr>
      </w:pPr>
      <w:bookmarkStart w:id="106" w:name="_Toc11265"/>
      <w:r>
        <w:rPr>
          <w:rFonts w:eastAsia="楷体_GB2312"/>
          <w:b/>
          <w:bCs/>
          <w:kern w:val="0"/>
          <w:sz w:val="32"/>
          <w:szCs w:val="32"/>
          <w:shd w:val="clear" w:color="auto" w:fill="FFFFFF"/>
          <w:lang w:val="zh-CN"/>
        </w:rPr>
        <w:t>（三）改进建议。</w:t>
      </w:r>
      <w:bookmarkEnd w:id="106"/>
    </w:p>
    <w:p>
      <w:pPr>
        <w:spacing w:line="576" w:lineRule="exact"/>
        <w:ind w:firstLine="640" w:firstLineChars="200"/>
        <w:jc w:val="left"/>
        <w:rPr>
          <w:rFonts w:eastAsia="方正仿宋_GBK"/>
          <w:color w:val="000000"/>
          <w:kern w:val="0"/>
          <w:sz w:val="32"/>
          <w:szCs w:val="32"/>
          <w:shd w:val="clear" w:color="auto" w:fill="FFFFFF"/>
          <w:lang w:val="zh-CN"/>
        </w:rPr>
      </w:pPr>
      <w:r>
        <w:rPr>
          <w:rFonts w:eastAsia="方正仿宋_GBK"/>
          <w:color w:val="000000"/>
          <w:kern w:val="0"/>
          <w:sz w:val="32"/>
          <w:szCs w:val="32"/>
          <w:shd w:val="clear" w:color="auto" w:fill="FFFFFF"/>
          <w:lang w:val="zh-CN"/>
        </w:rPr>
        <w:t>1、加强政策学习，提高思想认识。组织部门人员认真学习《预算法》等相关法规、制度，提高部门领导对全面预算管理的重视程度，增强财务人员的预算意识，坚持先有预算、后有支出，没有预算不得支出的支出理念。</w:t>
      </w:r>
    </w:p>
    <w:p>
      <w:pPr>
        <w:spacing w:line="576" w:lineRule="exact"/>
        <w:ind w:firstLine="640" w:firstLineChars="200"/>
        <w:jc w:val="left"/>
        <w:rPr>
          <w:rFonts w:eastAsia="方正仿宋_GBK"/>
          <w:color w:val="000000"/>
          <w:kern w:val="0"/>
          <w:sz w:val="32"/>
          <w:szCs w:val="32"/>
          <w:shd w:val="clear" w:color="auto" w:fill="FFFFFF"/>
          <w:lang w:val="zh-CN"/>
        </w:rPr>
      </w:pPr>
      <w:r>
        <w:rPr>
          <w:rFonts w:eastAsia="方正仿宋_GBK"/>
          <w:color w:val="000000"/>
          <w:kern w:val="0"/>
          <w:sz w:val="32"/>
          <w:szCs w:val="32"/>
          <w:shd w:val="clear" w:color="auto" w:fill="FFFFFF"/>
          <w:lang w:val="zh-CN"/>
        </w:rPr>
        <w:t>2、科学合理编制预算，严格执行预算，细化预算指标，提高预算科学性。预算编制前根据年度内部门可预见的工作任务，确定部门年度预算目标，细化预算指标，科学合理编制部门预算，推进预算编制科学化、准确化。年度预算编制后，加强预算执行管理，根据实际情况，定期做好预算执行分析，掌握预算执行进度，及时找出预算实际执行情况与预算目标之间存在的差异，采取有效措施纠正偏差，提高预算执行的时效性和均衡性，提高预算支出执行效率，同时为下一次科学、准确地编制部门预算积累经验。</w:t>
      </w:r>
    </w:p>
    <w:p>
      <w:pPr>
        <w:spacing w:line="576" w:lineRule="exact"/>
        <w:ind w:firstLine="640" w:firstLineChars="200"/>
        <w:jc w:val="left"/>
        <w:rPr>
          <w:rFonts w:eastAsia="方正仿宋_GBK"/>
          <w:color w:val="000000"/>
          <w:kern w:val="0"/>
          <w:sz w:val="32"/>
          <w:szCs w:val="32"/>
          <w:shd w:val="clear" w:color="auto" w:fill="FFFFFF"/>
          <w:lang w:val="zh-CN"/>
        </w:rPr>
      </w:pPr>
      <w:r>
        <w:rPr>
          <w:rFonts w:eastAsia="方正仿宋_GBK"/>
          <w:color w:val="000000"/>
          <w:kern w:val="0"/>
          <w:sz w:val="32"/>
          <w:szCs w:val="32"/>
          <w:shd w:val="clear" w:color="auto" w:fill="FFFFFF"/>
          <w:lang w:val="zh-CN"/>
        </w:rPr>
        <w:t>3.规范账务处理，提高财务信息质量。</w:t>
      </w:r>
    </w:p>
    <w:p>
      <w:pPr>
        <w:spacing w:line="576" w:lineRule="exact"/>
        <w:ind w:firstLine="640" w:firstLineChars="200"/>
        <w:jc w:val="left"/>
        <w:rPr>
          <w:rFonts w:eastAsia="方正仿宋_GBK"/>
          <w:color w:val="000000"/>
          <w:kern w:val="0"/>
          <w:sz w:val="32"/>
          <w:szCs w:val="32"/>
          <w:shd w:val="clear" w:color="auto" w:fill="FFFFFF"/>
          <w:lang w:val="zh-CN"/>
        </w:rPr>
      </w:pPr>
      <w:r>
        <w:rPr>
          <w:rFonts w:eastAsia="方正仿宋_GBK"/>
          <w:color w:val="000000"/>
          <w:kern w:val="0"/>
          <w:sz w:val="32"/>
          <w:szCs w:val="32"/>
          <w:shd w:val="clear" w:color="auto" w:fill="FFFFFF"/>
          <w:lang w:val="zh-CN"/>
        </w:rPr>
        <w:t>4.建立健全内控制度，完善财政绩效评价等相关工作。我院在以后的工作中，将严格、认真地贯彻和落实上级检察院和县财政相关文件精神，进一步完善各项规章制度，深化管理改革，强化源头控制，健全完善长效机制，完善内控措施，确保经费各项开支合理、合规、合法，发挥最大的使用效益,保障我院办案工作的顺利开展。</w:t>
      </w:r>
    </w:p>
    <w:p>
      <w:pPr>
        <w:spacing w:line="576" w:lineRule="exact"/>
        <w:ind w:firstLine="640" w:firstLineChars="200"/>
        <w:jc w:val="left"/>
        <w:rPr>
          <w:rFonts w:eastAsia="方正仿宋_GBK"/>
          <w:color w:val="000000"/>
          <w:kern w:val="0"/>
          <w:sz w:val="32"/>
          <w:szCs w:val="32"/>
          <w:shd w:val="clear" w:color="auto" w:fill="FFFFFF"/>
          <w:lang w:val="zh-CN"/>
        </w:rPr>
      </w:pPr>
    </w:p>
    <w:p>
      <w:pPr>
        <w:pStyle w:val="14"/>
        <w:spacing w:line="560" w:lineRule="exact"/>
        <w:ind w:left="0" w:leftChars="0" w:firstLine="640"/>
        <w:rPr>
          <w:rFonts w:ascii="Times New Roman" w:eastAsia="仿宋_GB2312"/>
          <w:sz w:val="32"/>
        </w:rPr>
      </w:pPr>
      <w:r>
        <w:rPr>
          <w:rFonts w:ascii="Times New Roman" w:eastAsia="仿宋_GB2312"/>
          <w:sz w:val="32"/>
          <w:lang w:val="zh-CN"/>
        </w:rPr>
        <w:t>附表：</w:t>
      </w:r>
      <w:r>
        <w:rPr>
          <w:rFonts w:ascii="Times New Roman" w:eastAsia="仿宋_GB2312"/>
          <w:sz w:val="32"/>
        </w:rPr>
        <w:t>部门预算项目支出绩效自评表（2022年度）见附件</w:t>
      </w:r>
      <w:r>
        <w:rPr>
          <w:rFonts w:hint="eastAsia" w:ascii="Times New Roman" w:eastAsia="仿宋_GB2312"/>
          <w:sz w:val="32"/>
        </w:rPr>
        <w:t>3</w:t>
      </w:r>
    </w:p>
    <w:p>
      <w:pPr>
        <w:pStyle w:val="14"/>
        <w:spacing w:line="560" w:lineRule="exact"/>
        <w:ind w:left="0" w:leftChars="0" w:firstLine="0" w:firstLineChars="0"/>
        <w:rPr>
          <w:rFonts w:ascii="Times New Roman" w:eastAsia="仿宋_GB2312"/>
          <w:kern w:val="0"/>
          <w:sz w:val="32"/>
        </w:rPr>
      </w:pPr>
    </w:p>
    <w:p>
      <w:pPr>
        <w:pStyle w:val="14"/>
        <w:spacing w:line="560" w:lineRule="exact"/>
        <w:ind w:left="0" w:leftChars="0" w:firstLine="0" w:firstLineChars="0"/>
        <w:rPr>
          <w:rFonts w:ascii="Times New Roman" w:eastAsia="仿宋_GB2312"/>
          <w:kern w:val="0"/>
          <w:sz w:val="32"/>
        </w:rPr>
      </w:pPr>
    </w:p>
    <w:p>
      <w:pPr>
        <w:pStyle w:val="14"/>
        <w:spacing w:line="560" w:lineRule="exact"/>
        <w:ind w:left="0" w:leftChars="0" w:firstLine="0" w:firstLineChars="0"/>
        <w:rPr>
          <w:rFonts w:ascii="Times New Roman" w:eastAsia="仿宋_GB2312"/>
          <w:kern w:val="0"/>
          <w:sz w:val="32"/>
        </w:rPr>
      </w:pPr>
    </w:p>
    <w:p>
      <w:pPr>
        <w:pStyle w:val="14"/>
        <w:spacing w:line="560" w:lineRule="exact"/>
        <w:ind w:left="0" w:leftChars="0" w:firstLine="0" w:firstLineChars="0"/>
        <w:rPr>
          <w:rFonts w:ascii="Times New Roman" w:eastAsia="仿宋_GB2312"/>
          <w:kern w:val="0"/>
          <w:sz w:val="32"/>
        </w:rPr>
      </w:pPr>
    </w:p>
    <w:p>
      <w:pPr>
        <w:pStyle w:val="14"/>
        <w:spacing w:line="560" w:lineRule="exact"/>
        <w:ind w:left="0" w:leftChars="0" w:firstLine="0" w:firstLineChars="0"/>
        <w:rPr>
          <w:rFonts w:ascii="Times New Roman"/>
          <w:sz w:val="32"/>
          <w:lang w:val="zh-CN"/>
        </w:rPr>
      </w:pPr>
    </w:p>
    <w:p>
      <w:pPr>
        <w:pStyle w:val="5"/>
        <w:spacing w:before="93"/>
        <w:rPr>
          <w:rFonts w:ascii="Times New Roman"/>
          <w:sz w:val="32"/>
          <w:szCs w:val="32"/>
          <w:shd w:val="clear" w:color="auto" w:fill="FFFFFF"/>
          <w:lang w:val="zh-CN"/>
        </w:rPr>
      </w:pPr>
    </w:p>
    <w:p>
      <w:pPr>
        <w:pStyle w:val="5"/>
        <w:spacing w:before="93"/>
        <w:rPr>
          <w:rFonts w:ascii="Times New Roman"/>
          <w:sz w:val="32"/>
          <w:szCs w:val="32"/>
          <w:shd w:val="clear" w:color="auto" w:fill="FFFFFF"/>
          <w:lang w:val="zh-CN"/>
        </w:rPr>
      </w:pPr>
    </w:p>
    <w:p>
      <w:pPr>
        <w:pStyle w:val="5"/>
        <w:spacing w:before="93"/>
        <w:rPr>
          <w:rFonts w:ascii="Times New Roman"/>
          <w:sz w:val="32"/>
          <w:szCs w:val="32"/>
          <w:shd w:val="clear" w:color="auto" w:fill="FFFFFF"/>
          <w:lang w:val="zh-CN"/>
        </w:rPr>
      </w:pPr>
    </w:p>
    <w:p>
      <w:pPr>
        <w:pStyle w:val="5"/>
        <w:spacing w:before="93"/>
        <w:rPr>
          <w:rFonts w:ascii="Times New Roman"/>
          <w:sz w:val="32"/>
          <w:szCs w:val="32"/>
          <w:shd w:val="clear" w:color="auto" w:fill="FFFFFF"/>
          <w:lang w:val="zh-CN"/>
        </w:rPr>
      </w:pPr>
    </w:p>
    <w:p>
      <w:pPr>
        <w:pStyle w:val="5"/>
        <w:spacing w:before="93"/>
        <w:outlineLvl w:val="1"/>
        <w:rPr>
          <w:rFonts w:ascii="Times New Roman"/>
          <w:sz w:val="32"/>
          <w:szCs w:val="32"/>
        </w:rPr>
      </w:pPr>
      <w:bookmarkStart w:id="107" w:name="_Toc32551"/>
      <w:r>
        <w:rPr>
          <w:rFonts w:ascii="Times New Roman"/>
          <w:sz w:val="32"/>
          <w:szCs w:val="32"/>
          <w:shd w:val="clear" w:color="auto" w:fill="FFFFFF"/>
          <w:lang w:val="zh-CN"/>
        </w:rPr>
        <w:t>附件</w:t>
      </w:r>
      <w:r>
        <w:rPr>
          <w:rFonts w:ascii="Times New Roman"/>
          <w:sz w:val="32"/>
          <w:szCs w:val="32"/>
          <w:shd w:val="clear" w:color="auto" w:fill="FFFFFF"/>
        </w:rPr>
        <w:t>2</w:t>
      </w:r>
      <w:bookmarkEnd w:id="107"/>
    </w:p>
    <w:p>
      <w:pPr>
        <w:pStyle w:val="35"/>
        <w:spacing w:line="578" w:lineRule="exact"/>
        <w:jc w:val="center"/>
        <w:rPr>
          <w:rFonts w:ascii="Times New Roman" w:hAnsi="Times New Roman" w:eastAsia="方正小标宋简体"/>
          <w:color w:val="auto"/>
          <w:kern w:val="2"/>
          <w:sz w:val="32"/>
          <w:szCs w:val="32"/>
          <w:lang w:val="en-US"/>
        </w:rPr>
      </w:pPr>
      <w:r>
        <w:rPr>
          <w:rFonts w:ascii="Times New Roman" w:hAnsi="Times New Roman" w:eastAsia="方正小标宋简体"/>
          <w:color w:val="auto"/>
          <w:kern w:val="2"/>
          <w:sz w:val="32"/>
          <w:szCs w:val="32"/>
          <w:lang w:val="en-US"/>
        </w:rPr>
        <w:t>2023年市级专项资金预算项目绩效自评报告</w:t>
      </w:r>
    </w:p>
    <w:p>
      <w:pPr>
        <w:pStyle w:val="35"/>
        <w:spacing w:line="578" w:lineRule="exact"/>
        <w:ind w:firstLine="640"/>
        <w:jc w:val="center"/>
        <w:rPr>
          <w:rFonts w:ascii="Times New Roman" w:hAnsi="Times New Roman"/>
          <w:color w:val="auto"/>
          <w:kern w:val="2"/>
          <w:sz w:val="32"/>
          <w:szCs w:val="32"/>
        </w:rPr>
      </w:pPr>
    </w:p>
    <w:p>
      <w:pPr>
        <w:adjustRightInd w:val="0"/>
        <w:snapToGrid w:val="0"/>
        <w:spacing w:line="578" w:lineRule="exact"/>
        <w:ind w:firstLine="720"/>
        <w:outlineLvl w:val="1"/>
        <w:rPr>
          <w:rFonts w:eastAsia="黑体"/>
          <w:sz w:val="32"/>
          <w:szCs w:val="32"/>
          <w:lang w:val="zh-CN"/>
        </w:rPr>
      </w:pPr>
      <w:bookmarkStart w:id="108" w:name="_Toc947"/>
      <w:r>
        <w:rPr>
          <w:rFonts w:eastAsia="黑体"/>
          <w:sz w:val="32"/>
          <w:szCs w:val="32"/>
        </w:rPr>
        <w:t>一、</w:t>
      </w:r>
      <w:r>
        <w:rPr>
          <w:rFonts w:eastAsia="黑体"/>
          <w:sz w:val="32"/>
          <w:szCs w:val="32"/>
          <w:lang w:val="zh-CN"/>
        </w:rPr>
        <w:t>项目概况</w:t>
      </w:r>
      <w:bookmarkEnd w:id="108"/>
    </w:p>
    <w:p>
      <w:pPr>
        <w:adjustRightInd w:val="0"/>
        <w:snapToGrid w:val="0"/>
        <w:spacing w:line="578" w:lineRule="exact"/>
        <w:ind w:firstLine="720"/>
        <w:outlineLvl w:val="2"/>
        <w:rPr>
          <w:rFonts w:eastAsia="楷体_GB2312"/>
          <w:b/>
          <w:sz w:val="32"/>
          <w:szCs w:val="32"/>
          <w:lang w:val="zh-CN"/>
        </w:rPr>
      </w:pPr>
      <w:bookmarkStart w:id="109" w:name="_Toc14285"/>
      <w:r>
        <w:rPr>
          <w:rFonts w:eastAsia="楷体_GB2312"/>
          <w:b/>
          <w:sz w:val="32"/>
          <w:szCs w:val="32"/>
          <w:lang w:val="zh-CN"/>
        </w:rPr>
        <w:t>（一）项目基本情况。</w:t>
      </w:r>
      <w:bookmarkEnd w:id="109"/>
    </w:p>
    <w:p>
      <w:pPr>
        <w:spacing w:line="560" w:lineRule="exact"/>
        <w:ind w:firstLine="640" w:firstLineChars="200"/>
        <w:rPr>
          <w:rFonts w:eastAsia="仿宋"/>
          <w:sz w:val="32"/>
          <w:szCs w:val="32"/>
        </w:rPr>
      </w:pPr>
      <w:r>
        <w:rPr>
          <w:rFonts w:eastAsia="仿宋"/>
          <w:sz w:val="32"/>
          <w:szCs w:val="32"/>
        </w:rPr>
        <w:t>1.项目主管部门及主要职责。</w:t>
      </w:r>
    </w:p>
    <w:p>
      <w:pPr>
        <w:adjustRightInd w:val="0"/>
        <w:snapToGrid w:val="0"/>
        <w:spacing w:line="560" w:lineRule="exact"/>
        <w:ind w:firstLine="640" w:firstLineChars="200"/>
        <w:rPr>
          <w:rFonts w:eastAsia="仿宋"/>
          <w:sz w:val="32"/>
          <w:szCs w:val="32"/>
        </w:rPr>
      </w:pPr>
      <w:r>
        <w:rPr>
          <w:rFonts w:eastAsia="仿宋"/>
          <w:sz w:val="32"/>
          <w:szCs w:val="32"/>
        </w:rPr>
        <w:t>项目主管部门为米易县人民检察院。</w:t>
      </w:r>
    </w:p>
    <w:p>
      <w:pPr>
        <w:adjustRightInd w:val="0"/>
        <w:snapToGrid w:val="0"/>
        <w:spacing w:line="560" w:lineRule="exact"/>
        <w:ind w:firstLine="640" w:firstLineChars="200"/>
        <w:rPr>
          <w:rFonts w:eastAsia="仿宋"/>
          <w:sz w:val="32"/>
          <w:szCs w:val="32"/>
        </w:rPr>
      </w:pPr>
      <w:r>
        <w:rPr>
          <w:rFonts w:eastAsia="仿宋"/>
          <w:sz w:val="32"/>
          <w:szCs w:val="32"/>
        </w:rPr>
        <w:t>具体职责是国家的法律监督机关,最高人民检察院是最高检察机关,主要任务是领导地方各级人民检察院和专门人民检察院依法履行法律监督职能,保证国家法律的统一和正确实施。</w:t>
      </w:r>
    </w:p>
    <w:p>
      <w:pPr>
        <w:adjustRightInd w:val="0"/>
        <w:snapToGrid w:val="0"/>
        <w:spacing w:line="560" w:lineRule="exact"/>
        <w:ind w:firstLine="720"/>
        <w:rPr>
          <w:rFonts w:eastAsia="仿宋_GB2312"/>
          <w:sz w:val="32"/>
          <w:szCs w:val="32"/>
          <w:lang w:val="zh-CN"/>
        </w:rPr>
      </w:pPr>
      <w:r>
        <w:rPr>
          <w:rFonts w:eastAsia="仿宋_GB2312"/>
          <w:sz w:val="32"/>
          <w:szCs w:val="32"/>
        </w:rPr>
        <w:t>2</w:t>
      </w:r>
      <w:r>
        <w:rPr>
          <w:rFonts w:eastAsia="仿宋_GB2312"/>
          <w:sz w:val="32"/>
          <w:szCs w:val="32"/>
          <w:lang w:val="zh-CN"/>
        </w:rPr>
        <w:t>．项目立项、资金申报的依据。</w:t>
      </w:r>
    </w:p>
    <w:p>
      <w:pPr>
        <w:adjustRightInd w:val="0"/>
        <w:snapToGrid w:val="0"/>
        <w:spacing w:line="560" w:lineRule="exact"/>
        <w:ind w:firstLine="640" w:firstLineChars="200"/>
        <w:rPr>
          <w:rFonts w:eastAsia="仿宋"/>
          <w:sz w:val="32"/>
          <w:szCs w:val="32"/>
        </w:rPr>
      </w:pPr>
      <w:r>
        <w:rPr>
          <w:rFonts w:eastAsia="仿宋"/>
          <w:sz w:val="32"/>
          <w:szCs w:val="32"/>
        </w:rPr>
        <w:t>为保障我院依法履行检察职能，保障检察工作顺利开展，结合检院工作实际，设立经常性预算项目“聘用制书记员管理”。该项目主要用于我院根据相关规定聘用的书记员工资和办公经费支出。202</w:t>
      </w:r>
      <w:r>
        <w:rPr>
          <w:rFonts w:hint="eastAsia" w:eastAsia="仿宋"/>
          <w:sz w:val="32"/>
          <w:szCs w:val="32"/>
        </w:rPr>
        <w:t>2</w:t>
      </w:r>
      <w:r>
        <w:rPr>
          <w:rFonts w:eastAsia="仿宋"/>
          <w:sz w:val="32"/>
          <w:szCs w:val="32"/>
        </w:rPr>
        <w:t>年聘用制书记员管理项目批复预算57万元。</w:t>
      </w:r>
    </w:p>
    <w:p>
      <w:pPr>
        <w:adjustRightInd w:val="0"/>
        <w:snapToGrid w:val="0"/>
        <w:spacing w:line="560" w:lineRule="exact"/>
        <w:ind w:firstLine="640" w:firstLineChars="200"/>
        <w:rPr>
          <w:rFonts w:eastAsia="仿宋_GB2312"/>
          <w:sz w:val="32"/>
          <w:szCs w:val="32"/>
          <w:lang w:val="zh-CN"/>
        </w:rPr>
      </w:pPr>
      <w:r>
        <w:rPr>
          <w:rFonts w:eastAsia="仿宋_GB2312"/>
          <w:sz w:val="32"/>
          <w:szCs w:val="32"/>
        </w:rPr>
        <w:t>3.</w:t>
      </w:r>
      <w:r>
        <w:rPr>
          <w:rFonts w:eastAsia="仿宋_GB2312"/>
          <w:sz w:val="32"/>
          <w:szCs w:val="32"/>
          <w:lang w:val="zh-CN"/>
        </w:rPr>
        <w:t>资金管理办法制定情况，资金支持具体项目的条件、范围与支持方式概况。</w:t>
      </w:r>
    </w:p>
    <w:p>
      <w:pPr>
        <w:adjustRightInd w:val="0"/>
        <w:snapToGrid w:val="0"/>
        <w:spacing w:line="560" w:lineRule="exact"/>
        <w:ind w:firstLine="640" w:firstLineChars="200"/>
        <w:rPr>
          <w:rFonts w:eastAsia="仿宋"/>
          <w:sz w:val="32"/>
          <w:szCs w:val="32"/>
          <w:lang w:val="zh-CN"/>
        </w:rPr>
      </w:pPr>
      <w:r>
        <w:rPr>
          <w:rFonts w:eastAsia="仿宋"/>
          <w:sz w:val="32"/>
          <w:szCs w:val="32"/>
        </w:rPr>
        <w:t>我院聘用制书记员经费按照《米易县检察院财务管理制度》进行支付管理。2022年度县检察院聘用制书记员资金57万元，发放46.51万元。按月及时足额兑现聘用制书记员工资社保费，保障聘用制书记员协助检察人办案，确保我院办案工作顺利进行。</w:t>
      </w:r>
    </w:p>
    <w:p>
      <w:pPr>
        <w:numPr>
          <w:ilvl w:val="0"/>
          <w:numId w:val="9"/>
        </w:numPr>
        <w:adjustRightInd w:val="0"/>
        <w:snapToGrid w:val="0"/>
        <w:spacing w:line="560" w:lineRule="exact"/>
        <w:ind w:firstLine="720"/>
        <w:rPr>
          <w:rFonts w:eastAsia="仿宋_GB2312"/>
          <w:sz w:val="32"/>
          <w:szCs w:val="32"/>
          <w:lang w:val="zh-CN"/>
        </w:rPr>
      </w:pPr>
      <w:r>
        <w:rPr>
          <w:rFonts w:eastAsia="仿宋_GB2312"/>
          <w:sz w:val="32"/>
          <w:szCs w:val="32"/>
          <w:lang w:val="zh-CN"/>
        </w:rPr>
        <w:t>资金分配的原则及考虑因素。</w:t>
      </w:r>
    </w:p>
    <w:p>
      <w:pPr>
        <w:adjustRightInd w:val="0"/>
        <w:snapToGrid w:val="0"/>
        <w:spacing w:line="560" w:lineRule="exact"/>
        <w:ind w:firstLine="640" w:firstLineChars="200"/>
        <w:rPr>
          <w:rFonts w:eastAsia="仿宋_GB2312"/>
          <w:kern w:val="0"/>
          <w:sz w:val="32"/>
          <w:szCs w:val="32"/>
          <w:shd w:val="clear" w:color="auto" w:fill="FFFFFF"/>
          <w:lang w:val="zh-CN"/>
        </w:rPr>
      </w:pPr>
      <w:r>
        <w:rPr>
          <w:rFonts w:eastAsia="仿宋"/>
          <w:sz w:val="32"/>
          <w:szCs w:val="32"/>
          <w:lang w:val="zh-CN"/>
        </w:rPr>
        <w:t>该项目资金合计</w:t>
      </w:r>
      <w:r>
        <w:rPr>
          <w:rFonts w:eastAsia="仿宋"/>
          <w:sz w:val="32"/>
          <w:szCs w:val="32"/>
        </w:rPr>
        <w:t>57万元，用于10名书记员全年工资及社保费用。</w:t>
      </w:r>
    </w:p>
    <w:p>
      <w:pPr>
        <w:adjustRightInd w:val="0"/>
        <w:snapToGrid w:val="0"/>
        <w:spacing w:line="578" w:lineRule="exact"/>
        <w:ind w:firstLine="720"/>
        <w:outlineLvl w:val="2"/>
        <w:rPr>
          <w:rFonts w:eastAsia="楷体_GB2312"/>
          <w:b/>
          <w:sz w:val="32"/>
          <w:szCs w:val="32"/>
          <w:lang w:val="zh-CN"/>
        </w:rPr>
      </w:pPr>
      <w:bookmarkStart w:id="110" w:name="_Toc25394"/>
      <w:r>
        <w:rPr>
          <w:rFonts w:eastAsia="楷体_GB2312"/>
          <w:b/>
          <w:sz w:val="32"/>
          <w:szCs w:val="32"/>
          <w:lang w:val="zh-CN"/>
        </w:rPr>
        <w:t>（二）项目绩效目标。</w:t>
      </w:r>
      <w:bookmarkEnd w:id="110"/>
    </w:p>
    <w:p>
      <w:pPr>
        <w:adjustRightInd w:val="0"/>
        <w:snapToGrid w:val="0"/>
        <w:spacing w:line="560" w:lineRule="exact"/>
        <w:ind w:firstLine="720"/>
        <w:rPr>
          <w:rFonts w:eastAsia="仿宋_GB2312"/>
          <w:sz w:val="32"/>
          <w:szCs w:val="32"/>
          <w:lang w:val="zh-CN"/>
        </w:rPr>
      </w:pPr>
      <w:r>
        <w:rPr>
          <w:rFonts w:eastAsia="仿宋_GB2312"/>
          <w:sz w:val="32"/>
          <w:szCs w:val="32"/>
          <w:lang w:val="zh-CN"/>
        </w:rPr>
        <w:t>1．项目主要内容。</w:t>
      </w:r>
    </w:p>
    <w:p>
      <w:pPr>
        <w:adjustRightInd w:val="0"/>
        <w:snapToGrid w:val="0"/>
        <w:spacing w:line="560" w:lineRule="exact"/>
        <w:ind w:firstLine="640" w:firstLineChars="200"/>
        <w:rPr>
          <w:rFonts w:eastAsia="仿宋_GB2312"/>
          <w:sz w:val="32"/>
          <w:szCs w:val="32"/>
          <w:lang w:val="zh-CN"/>
        </w:rPr>
      </w:pPr>
      <w:r>
        <w:rPr>
          <w:rFonts w:eastAsia="仿宋_GB2312"/>
          <w:sz w:val="32"/>
          <w:szCs w:val="32"/>
          <w:lang w:val="zh-CN"/>
        </w:rPr>
        <w:t>为深入推进全省检察院司法人员分类管理制度改革、打造一支数量充足、素质优良、队伍稳定、充满活力的聘用制书记员队伍，更好地适应检察工作需要。</w:t>
      </w:r>
    </w:p>
    <w:p>
      <w:pPr>
        <w:widowControl/>
        <w:adjustRightInd w:val="0"/>
        <w:snapToGrid w:val="0"/>
        <w:spacing w:line="578" w:lineRule="exact"/>
        <w:ind w:firstLine="640" w:firstLineChars="200"/>
        <w:contextualSpacing/>
        <w:jc w:val="left"/>
        <w:rPr>
          <w:rFonts w:eastAsia="仿宋_GB2312"/>
          <w:kern w:val="0"/>
          <w:sz w:val="32"/>
          <w:szCs w:val="32"/>
          <w:shd w:val="clear" w:color="auto" w:fill="FFFFFF"/>
          <w:lang w:val="zh-CN"/>
        </w:rPr>
      </w:pPr>
      <w:r>
        <w:rPr>
          <w:rFonts w:eastAsia="仿宋_GB2312"/>
          <w:sz w:val="32"/>
          <w:szCs w:val="32"/>
        </w:rPr>
        <w:t>2.</w:t>
      </w:r>
      <w:r>
        <w:rPr>
          <w:rFonts w:eastAsia="仿宋_GB2312"/>
          <w:kern w:val="0"/>
          <w:sz w:val="32"/>
          <w:szCs w:val="32"/>
          <w:shd w:val="clear" w:color="auto" w:fill="FFFFFF"/>
          <w:lang w:val="zh-CN"/>
        </w:rPr>
        <w:t>项目应实现的具体绩效目标</w:t>
      </w:r>
      <w:r>
        <w:rPr>
          <w:rFonts w:hint="eastAsia" w:eastAsia="仿宋_GB2312"/>
          <w:kern w:val="0"/>
          <w:sz w:val="32"/>
          <w:szCs w:val="32"/>
          <w:shd w:val="clear" w:color="auto" w:fill="FFFFFF"/>
          <w:lang w:val="zh-CN"/>
        </w:rPr>
        <w:t>。</w:t>
      </w:r>
    </w:p>
    <w:p>
      <w:pPr>
        <w:widowControl/>
        <w:adjustRightInd w:val="0"/>
        <w:snapToGrid w:val="0"/>
        <w:spacing w:line="578" w:lineRule="exact"/>
        <w:contextualSpacing/>
        <w:jc w:val="left"/>
        <w:rPr>
          <w:rFonts w:eastAsia="仿宋_GB2312"/>
          <w:kern w:val="0"/>
          <w:sz w:val="32"/>
          <w:szCs w:val="32"/>
          <w:shd w:val="clear" w:color="auto" w:fill="FFFFFF"/>
        </w:rPr>
      </w:pPr>
      <w:r>
        <w:rPr>
          <w:rFonts w:eastAsia="仿宋_GB2312"/>
          <w:kern w:val="0"/>
          <w:sz w:val="32"/>
          <w:szCs w:val="32"/>
          <w:shd w:val="clear" w:color="auto" w:fill="FFFFFF"/>
        </w:rPr>
        <w:t xml:space="preserve">    招聘书记员10名，要求态度端正、爱岗敬业、认真负责、工作按时达标完成、具备一定的专业能力。接待来访群众满意度达到90%以上。</w:t>
      </w:r>
    </w:p>
    <w:p>
      <w:pPr>
        <w:adjustRightInd w:val="0"/>
        <w:snapToGrid w:val="0"/>
        <w:spacing w:line="560" w:lineRule="exact"/>
        <w:ind w:firstLine="640" w:firstLineChars="200"/>
        <w:rPr>
          <w:rFonts w:eastAsia="仿宋_GB2312"/>
          <w:sz w:val="32"/>
          <w:szCs w:val="32"/>
          <w:lang w:val="zh-CN"/>
        </w:rPr>
      </w:pPr>
      <w:r>
        <w:rPr>
          <w:rFonts w:eastAsia="仿宋_GB2312"/>
          <w:sz w:val="32"/>
          <w:szCs w:val="32"/>
        </w:rPr>
        <w:t>3.</w:t>
      </w:r>
      <w:r>
        <w:rPr>
          <w:rFonts w:eastAsia="仿宋_GB2312"/>
          <w:sz w:val="32"/>
          <w:szCs w:val="32"/>
          <w:lang w:val="zh-CN"/>
        </w:rPr>
        <w:t>分析评价申报内容是否与实际相符，申报目标是否合理可行。</w:t>
      </w:r>
    </w:p>
    <w:p>
      <w:pPr>
        <w:widowControl/>
        <w:adjustRightInd w:val="0"/>
        <w:snapToGrid w:val="0"/>
        <w:spacing w:line="578" w:lineRule="exact"/>
        <w:ind w:firstLine="640" w:firstLineChars="200"/>
        <w:contextualSpacing/>
        <w:jc w:val="left"/>
        <w:rPr>
          <w:rFonts w:eastAsia="仿宋_GB2312"/>
          <w:kern w:val="0"/>
          <w:sz w:val="32"/>
          <w:szCs w:val="32"/>
          <w:shd w:val="clear" w:color="auto" w:fill="FFFFFF"/>
          <w:lang w:val="zh-CN"/>
        </w:rPr>
      </w:pPr>
      <w:r>
        <w:rPr>
          <w:rFonts w:eastAsia="仿宋_GB2312"/>
          <w:sz w:val="32"/>
          <w:szCs w:val="32"/>
          <w:lang w:val="zh-CN"/>
        </w:rPr>
        <w:t>该项目申报内容适应检察工作需要，完善司法人员分类管理制度，确保司法责任制、检察官员额制等改革任务落地生根。</w:t>
      </w:r>
    </w:p>
    <w:p>
      <w:pPr>
        <w:adjustRightInd w:val="0"/>
        <w:snapToGrid w:val="0"/>
        <w:spacing w:line="578" w:lineRule="exact"/>
        <w:ind w:firstLine="720"/>
        <w:outlineLvl w:val="2"/>
        <w:rPr>
          <w:rFonts w:eastAsia="楷体_GB2312"/>
          <w:b/>
          <w:sz w:val="32"/>
          <w:szCs w:val="32"/>
          <w:lang w:val="zh-CN"/>
        </w:rPr>
      </w:pPr>
      <w:bookmarkStart w:id="111" w:name="_Toc8981"/>
      <w:r>
        <w:rPr>
          <w:rFonts w:eastAsia="楷体_GB2312"/>
          <w:b/>
          <w:sz w:val="32"/>
          <w:szCs w:val="32"/>
          <w:lang w:val="zh-CN"/>
        </w:rPr>
        <w:t>（三）项目自评步骤及方法。</w:t>
      </w:r>
      <w:bookmarkEnd w:id="111"/>
    </w:p>
    <w:p>
      <w:pPr>
        <w:pStyle w:val="13"/>
        <w:shd w:val="clear" w:color="auto" w:fill="FFFFFF"/>
        <w:spacing w:before="0" w:beforeAutospacing="0" w:after="150" w:afterAutospacing="0" w:line="560" w:lineRule="exact"/>
        <w:ind w:firstLine="640" w:firstLineChars="200"/>
        <w:rPr>
          <w:rFonts w:ascii="Times New Roman" w:hAnsi="Times New Roman" w:eastAsia="仿宋" w:cs="Times New Roman"/>
          <w:kern w:val="2"/>
          <w:sz w:val="32"/>
          <w:szCs w:val="32"/>
          <w:lang w:val="zh-CN"/>
        </w:rPr>
      </w:pPr>
      <w:r>
        <w:rPr>
          <w:rFonts w:ascii="Times New Roman" w:hAnsi="Times New Roman" w:eastAsia="仿宋" w:cs="Times New Roman"/>
          <w:kern w:val="2"/>
          <w:sz w:val="32"/>
          <w:szCs w:val="32"/>
          <w:lang w:val="zh-CN"/>
        </w:rPr>
        <w:t>本着科学、规范、独立、客观、公正的原则，评价比较法、因素分析法、成本效益分析法，通过对决策、过程、产出和效益的比较和分析，对项目绩效情况进行综合评价。结合项目的实际情况，采取现场评价和非现场评价相结合的方式。</w:t>
      </w:r>
    </w:p>
    <w:p>
      <w:pPr>
        <w:pStyle w:val="13"/>
        <w:shd w:val="clear" w:color="auto" w:fill="FFFFFF"/>
        <w:spacing w:before="0" w:beforeAutospacing="0" w:after="150" w:afterAutospacing="0" w:line="560" w:lineRule="exact"/>
        <w:ind w:firstLine="420"/>
        <w:rPr>
          <w:rFonts w:ascii="Times New Roman" w:hAnsi="Times New Roman" w:eastAsia="仿宋_GB2312" w:cs="Times New Roman"/>
          <w:kern w:val="2"/>
          <w:sz w:val="32"/>
          <w:szCs w:val="32"/>
          <w:lang w:val="zh-CN"/>
        </w:rPr>
      </w:pPr>
      <w:r>
        <w:rPr>
          <w:rFonts w:ascii="Times New Roman" w:hAnsi="Times New Roman" w:eastAsia="仿宋_GB2312" w:cs="Times New Roman"/>
          <w:kern w:val="2"/>
          <w:sz w:val="32"/>
          <w:szCs w:val="32"/>
          <w:lang w:val="zh-CN"/>
        </w:rPr>
        <w:t>1、现场评价。现场评价满足现场数量占项目数量的30%，现场评价金额不低于项目总金额的60%的原则。</w:t>
      </w:r>
    </w:p>
    <w:p>
      <w:pPr>
        <w:pStyle w:val="13"/>
        <w:shd w:val="clear" w:color="auto" w:fill="FFFFFF"/>
        <w:spacing w:before="0" w:beforeAutospacing="0" w:after="150" w:afterAutospacing="0" w:line="560" w:lineRule="exact"/>
        <w:ind w:firstLine="420"/>
        <w:rPr>
          <w:rFonts w:ascii="Times New Roman" w:hAnsi="Times New Roman" w:eastAsia="黑体" w:cs="Times New Roman"/>
          <w:sz w:val="32"/>
          <w:szCs w:val="32"/>
        </w:rPr>
      </w:pPr>
      <w:r>
        <w:rPr>
          <w:rFonts w:ascii="Times New Roman" w:hAnsi="Times New Roman" w:eastAsia="仿宋_GB2312" w:cs="Times New Roman"/>
          <w:kern w:val="2"/>
          <w:sz w:val="32"/>
          <w:szCs w:val="32"/>
          <w:lang w:val="zh-CN"/>
        </w:rPr>
        <w:t>2、非现场评价。对项目实施单位提交的相关资料和数据进行分类、汇总、梳理、分析，对发现的问题进行核实确认。</w:t>
      </w:r>
    </w:p>
    <w:p>
      <w:pPr>
        <w:adjustRightInd w:val="0"/>
        <w:snapToGrid w:val="0"/>
        <w:spacing w:line="578" w:lineRule="exact"/>
        <w:ind w:firstLine="720"/>
        <w:outlineLvl w:val="1"/>
        <w:rPr>
          <w:rFonts w:eastAsia="黑体"/>
          <w:sz w:val="32"/>
          <w:szCs w:val="32"/>
        </w:rPr>
      </w:pPr>
      <w:bookmarkStart w:id="112" w:name="_Toc4518"/>
      <w:r>
        <w:rPr>
          <w:rFonts w:eastAsia="黑体"/>
          <w:sz w:val="32"/>
          <w:szCs w:val="32"/>
        </w:rPr>
        <w:t>二、项目资金申报及使用情况</w:t>
      </w:r>
      <w:bookmarkEnd w:id="112"/>
    </w:p>
    <w:p>
      <w:pPr>
        <w:adjustRightInd w:val="0"/>
        <w:snapToGrid w:val="0"/>
        <w:spacing w:line="578" w:lineRule="exact"/>
        <w:ind w:firstLine="720"/>
        <w:outlineLvl w:val="2"/>
        <w:rPr>
          <w:rFonts w:eastAsia="楷体_GB2312"/>
          <w:b/>
          <w:sz w:val="32"/>
          <w:szCs w:val="32"/>
          <w:lang w:val="zh-CN"/>
        </w:rPr>
      </w:pPr>
      <w:bookmarkStart w:id="113" w:name="_Toc7671"/>
      <w:r>
        <w:rPr>
          <w:rFonts w:eastAsia="楷体_GB2312"/>
          <w:b/>
          <w:sz w:val="32"/>
          <w:szCs w:val="32"/>
          <w:lang w:val="zh-CN"/>
        </w:rPr>
        <w:t>（一）项目资金申报及批复情况。</w:t>
      </w:r>
      <w:bookmarkEnd w:id="113"/>
    </w:p>
    <w:p>
      <w:pPr>
        <w:adjustRightInd w:val="0"/>
        <w:snapToGrid w:val="0"/>
        <w:spacing w:line="560" w:lineRule="exact"/>
        <w:ind w:left="420" w:leftChars="200" w:firstLine="640" w:firstLineChars="200"/>
        <w:rPr>
          <w:rFonts w:eastAsia="仿宋_GB2312"/>
          <w:sz w:val="32"/>
          <w:szCs w:val="32"/>
        </w:rPr>
      </w:pPr>
      <w:r>
        <w:rPr>
          <w:rFonts w:eastAsia="仿宋_GB2312"/>
          <w:sz w:val="32"/>
          <w:szCs w:val="32"/>
          <w:lang w:val="zh-CN"/>
        </w:rPr>
        <w:t>该项目资金在</w:t>
      </w:r>
      <w:r>
        <w:rPr>
          <w:rFonts w:eastAsia="仿宋_GB2312"/>
          <w:sz w:val="32"/>
          <w:szCs w:val="32"/>
        </w:rPr>
        <w:t>2022年年初预算时进行申报，预计10名书记员，共计57万元。</w:t>
      </w:r>
    </w:p>
    <w:p>
      <w:pPr>
        <w:adjustRightInd w:val="0"/>
        <w:snapToGrid w:val="0"/>
        <w:spacing w:line="578" w:lineRule="exact"/>
        <w:ind w:firstLine="720"/>
        <w:outlineLvl w:val="2"/>
        <w:rPr>
          <w:sz w:val="32"/>
          <w:szCs w:val="32"/>
          <w:lang w:val="zh-CN"/>
        </w:rPr>
      </w:pPr>
      <w:bookmarkStart w:id="114" w:name="_Toc2276"/>
      <w:r>
        <w:rPr>
          <w:rFonts w:eastAsia="楷体_GB2312"/>
          <w:b/>
          <w:sz w:val="32"/>
          <w:szCs w:val="32"/>
          <w:lang w:val="zh-CN"/>
        </w:rPr>
        <w:t>（二）资金计划、到位及使用情况。</w:t>
      </w:r>
      <w:bookmarkEnd w:id="114"/>
    </w:p>
    <w:p>
      <w:pPr>
        <w:adjustRightInd w:val="0"/>
        <w:snapToGrid w:val="0"/>
        <w:spacing w:line="560" w:lineRule="exact"/>
        <w:ind w:firstLine="720"/>
        <w:rPr>
          <w:rFonts w:eastAsia="楷体_GB2312"/>
          <w:sz w:val="32"/>
          <w:szCs w:val="32"/>
          <w:lang w:val="zh-CN"/>
        </w:rPr>
      </w:pPr>
      <w:r>
        <w:rPr>
          <w:rFonts w:eastAsia="楷体_GB2312"/>
          <w:sz w:val="32"/>
          <w:szCs w:val="32"/>
          <w:lang w:val="zh-CN"/>
        </w:rPr>
        <w:t>1．资金计划。</w:t>
      </w:r>
      <w:r>
        <w:rPr>
          <w:rFonts w:eastAsia="仿宋_GB2312"/>
          <w:sz w:val="32"/>
          <w:szCs w:val="32"/>
          <w:lang w:val="zh-CN"/>
        </w:rPr>
        <w:t>该项目资金全部为同级财政资金。</w:t>
      </w:r>
    </w:p>
    <w:p>
      <w:pPr>
        <w:adjustRightInd w:val="0"/>
        <w:snapToGrid w:val="0"/>
        <w:spacing w:line="560" w:lineRule="exact"/>
        <w:ind w:firstLine="720"/>
        <w:rPr>
          <w:rFonts w:eastAsia="仿宋_GB2312"/>
          <w:sz w:val="32"/>
          <w:szCs w:val="32"/>
          <w:lang w:val="zh-CN"/>
        </w:rPr>
      </w:pPr>
      <w:r>
        <w:rPr>
          <w:rFonts w:eastAsia="楷体_GB2312"/>
          <w:sz w:val="32"/>
          <w:szCs w:val="32"/>
          <w:lang w:val="zh-CN"/>
        </w:rPr>
        <w:t>2．资金到位。</w:t>
      </w:r>
      <w:r>
        <w:rPr>
          <w:rFonts w:eastAsia="仿宋_GB2312"/>
          <w:sz w:val="32"/>
          <w:szCs w:val="32"/>
          <w:lang w:val="zh-CN"/>
        </w:rPr>
        <w:t>截止</w:t>
      </w:r>
      <w:r>
        <w:rPr>
          <w:rFonts w:eastAsia="仿宋_GB2312"/>
          <w:sz w:val="32"/>
          <w:szCs w:val="32"/>
        </w:rPr>
        <w:t>2021年12月31日</w:t>
      </w:r>
      <w:r>
        <w:rPr>
          <w:rFonts w:eastAsia="仿宋_GB2312"/>
          <w:sz w:val="32"/>
          <w:szCs w:val="32"/>
          <w:lang w:val="zh-CN"/>
        </w:rPr>
        <w:t>该项目资金全部到位。全部为同级财政拨款资金，其中财政资金</w:t>
      </w:r>
      <w:r>
        <w:rPr>
          <w:rFonts w:eastAsia="仿宋_GB2312"/>
          <w:sz w:val="32"/>
          <w:szCs w:val="32"/>
        </w:rPr>
        <w:t>57万元</w:t>
      </w:r>
      <w:r>
        <w:rPr>
          <w:rFonts w:eastAsia="仿宋_GB2312"/>
          <w:sz w:val="32"/>
          <w:szCs w:val="32"/>
          <w:lang w:val="zh-CN"/>
        </w:rPr>
        <w:t>、项目单位自筹</w:t>
      </w:r>
      <w:r>
        <w:rPr>
          <w:rFonts w:eastAsia="仿宋_GB2312"/>
          <w:sz w:val="32"/>
          <w:szCs w:val="32"/>
        </w:rPr>
        <w:t>0元，</w:t>
      </w:r>
      <w:r>
        <w:rPr>
          <w:rFonts w:eastAsia="仿宋_GB2312"/>
          <w:sz w:val="32"/>
          <w:szCs w:val="32"/>
          <w:lang w:val="zh-CN"/>
        </w:rPr>
        <w:t>及其他渠道资金</w:t>
      </w:r>
      <w:r>
        <w:rPr>
          <w:rFonts w:eastAsia="仿宋_GB2312"/>
          <w:sz w:val="32"/>
          <w:szCs w:val="32"/>
        </w:rPr>
        <w:t>0元。</w:t>
      </w:r>
      <w:r>
        <w:rPr>
          <w:rFonts w:eastAsia="仿宋_GB2312"/>
          <w:sz w:val="32"/>
          <w:szCs w:val="32"/>
          <w:lang w:val="zh-CN"/>
        </w:rPr>
        <w:t>将资金到位情况与资金计划进行一致，资金到位率</w:t>
      </w:r>
      <w:r>
        <w:rPr>
          <w:rFonts w:eastAsia="仿宋_GB2312"/>
          <w:sz w:val="32"/>
          <w:szCs w:val="32"/>
        </w:rPr>
        <w:t>100%、</w:t>
      </w:r>
      <w:r>
        <w:rPr>
          <w:rFonts w:eastAsia="仿宋_GB2312"/>
          <w:sz w:val="32"/>
          <w:szCs w:val="32"/>
          <w:lang w:val="zh-CN"/>
        </w:rPr>
        <w:t>到位及时。</w:t>
      </w:r>
    </w:p>
    <w:p>
      <w:pPr>
        <w:adjustRightInd w:val="0"/>
        <w:snapToGrid w:val="0"/>
        <w:spacing w:line="560" w:lineRule="exact"/>
        <w:ind w:firstLine="720"/>
        <w:rPr>
          <w:rFonts w:eastAsia="仿宋_GB2312"/>
          <w:sz w:val="32"/>
          <w:szCs w:val="32"/>
          <w:lang w:val="zh-CN"/>
        </w:rPr>
      </w:pPr>
      <w:r>
        <w:rPr>
          <w:rFonts w:eastAsia="楷体_GB2312"/>
          <w:sz w:val="32"/>
          <w:szCs w:val="32"/>
          <w:lang w:val="zh-CN"/>
        </w:rPr>
        <w:t>3．资金使用。截止</w:t>
      </w:r>
      <w:r>
        <w:rPr>
          <w:rFonts w:eastAsia="楷体_GB2312"/>
          <w:sz w:val="32"/>
          <w:szCs w:val="32"/>
        </w:rPr>
        <w:t>2021年12月31日</w:t>
      </w:r>
      <w:r>
        <w:rPr>
          <w:rFonts w:eastAsia="仿宋_GB2312"/>
          <w:sz w:val="32"/>
          <w:szCs w:val="32"/>
          <w:lang w:val="zh-CN"/>
        </w:rPr>
        <w:t>该项目资金支出</w:t>
      </w:r>
      <w:r>
        <w:rPr>
          <w:rFonts w:eastAsia="仿宋_GB2312"/>
          <w:sz w:val="32"/>
          <w:szCs w:val="32"/>
        </w:rPr>
        <w:t>46.51万元，支出率81.60%</w:t>
      </w:r>
      <w:r>
        <w:rPr>
          <w:rFonts w:eastAsia="仿宋_GB2312"/>
          <w:sz w:val="32"/>
          <w:szCs w:val="32"/>
          <w:lang w:val="zh-CN"/>
        </w:rPr>
        <w:t>。主要原因是上年度三位书记员离职，本年度于年中招聘到位。招聘书记员需要一定的周期。综上资金支付进度、支付依据等合规合法、与预算相符。</w:t>
      </w:r>
    </w:p>
    <w:p>
      <w:pPr>
        <w:adjustRightInd w:val="0"/>
        <w:snapToGrid w:val="0"/>
        <w:spacing w:line="578" w:lineRule="exact"/>
        <w:ind w:firstLine="720"/>
        <w:outlineLvl w:val="2"/>
        <w:rPr>
          <w:rFonts w:eastAsia="楷体_GB2312"/>
          <w:b/>
          <w:sz w:val="32"/>
          <w:szCs w:val="32"/>
          <w:lang w:val="zh-CN"/>
        </w:rPr>
      </w:pPr>
      <w:bookmarkStart w:id="115" w:name="_Toc4268"/>
      <w:r>
        <w:rPr>
          <w:rFonts w:eastAsia="楷体_GB2312"/>
          <w:b/>
          <w:sz w:val="32"/>
          <w:szCs w:val="32"/>
          <w:lang w:val="zh-CN"/>
        </w:rPr>
        <w:t>（三）项目财务管理情况。</w:t>
      </w:r>
      <w:bookmarkEnd w:id="115"/>
    </w:p>
    <w:p>
      <w:pPr>
        <w:adjustRightInd w:val="0"/>
        <w:snapToGrid w:val="0"/>
        <w:spacing w:line="560" w:lineRule="exact"/>
        <w:ind w:firstLine="720"/>
        <w:rPr>
          <w:rFonts w:eastAsia="仿宋_GB2312"/>
          <w:sz w:val="33"/>
          <w:szCs w:val="33"/>
          <w:lang w:val="zh-CN"/>
        </w:rPr>
      </w:pPr>
      <w:r>
        <w:rPr>
          <w:rFonts w:hint="eastAsia" w:eastAsia="仿宋_GB2312"/>
          <w:sz w:val="33"/>
          <w:szCs w:val="33"/>
          <w:lang w:val="zh-CN"/>
        </w:rPr>
        <w:t>我院项目管理中</w:t>
      </w:r>
      <w:r>
        <w:rPr>
          <w:rFonts w:eastAsia="仿宋_GB2312"/>
          <w:sz w:val="33"/>
          <w:szCs w:val="33"/>
          <w:lang w:val="zh-CN"/>
        </w:rPr>
        <w:t>财务管理制度健全，严格执行财务管理制度，账务处理及时</w:t>
      </w:r>
      <w:r>
        <w:rPr>
          <w:rFonts w:hint="eastAsia" w:eastAsia="仿宋_GB2312"/>
          <w:sz w:val="33"/>
          <w:szCs w:val="33"/>
          <w:lang w:val="zh-CN"/>
        </w:rPr>
        <w:t>，</w:t>
      </w:r>
      <w:r>
        <w:rPr>
          <w:rFonts w:eastAsia="仿宋_GB2312"/>
          <w:sz w:val="33"/>
          <w:szCs w:val="33"/>
          <w:lang w:val="zh-CN"/>
        </w:rPr>
        <w:t>会计核算规范。</w:t>
      </w:r>
    </w:p>
    <w:p>
      <w:pPr>
        <w:adjustRightInd w:val="0"/>
        <w:snapToGrid w:val="0"/>
        <w:spacing w:line="578" w:lineRule="exact"/>
        <w:ind w:firstLine="720"/>
        <w:outlineLvl w:val="1"/>
        <w:rPr>
          <w:rFonts w:eastAsia="黑体"/>
          <w:sz w:val="32"/>
          <w:szCs w:val="32"/>
        </w:rPr>
      </w:pPr>
      <w:bookmarkStart w:id="116" w:name="_Toc30488"/>
      <w:r>
        <w:rPr>
          <w:rFonts w:eastAsia="黑体"/>
          <w:sz w:val="32"/>
          <w:szCs w:val="32"/>
        </w:rPr>
        <w:t>三、项目实施及管理情况</w:t>
      </w:r>
      <w:bookmarkEnd w:id="116"/>
    </w:p>
    <w:p>
      <w:pPr>
        <w:widowControl/>
        <w:adjustRightInd w:val="0"/>
        <w:snapToGrid w:val="0"/>
        <w:spacing w:line="578" w:lineRule="exact"/>
        <w:ind w:firstLine="640" w:firstLineChars="200"/>
        <w:contextualSpacing/>
        <w:jc w:val="left"/>
        <w:rPr>
          <w:rFonts w:eastAsia="仿宋_GB2312"/>
          <w:kern w:val="0"/>
          <w:sz w:val="32"/>
          <w:szCs w:val="32"/>
          <w:shd w:val="clear" w:color="auto" w:fill="FFFFFF"/>
          <w:lang w:val="zh-CN"/>
        </w:rPr>
      </w:pPr>
      <w:r>
        <w:rPr>
          <w:rFonts w:eastAsia="仿宋_GB2312"/>
          <w:kern w:val="0"/>
          <w:sz w:val="32"/>
          <w:szCs w:val="32"/>
          <w:shd w:val="clear" w:color="auto" w:fill="FFFFFF"/>
          <w:lang w:val="zh-CN"/>
        </w:rPr>
        <w:t>结合项目组织实施管理办法，重点围绕以下内容进行分析评价，并对自评中发现的问题分析说明。</w:t>
      </w:r>
    </w:p>
    <w:p>
      <w:pPr>
        <w:numPr>
          <w:ilvl w:val="0"/>
          <w:numId w:val="10"/>
        </w:numPr>
        <w:adjustRightInd w:val="0"/>
        <w:snapToGrid w:val="0"/>
        <w:spacing w:line="578" w:lineRule="exact"/>
        <w:ind w:firstLine="720"/>
        <w:outlineLvl w:val="2"/>
        <w:rPr>
          <w:rFonts w:eastAsia="楷体_GB2312"/>
          <w:b/>
          <w:sz w:val="32"/>
          <w:szCs w:val="32"/>
          <w:lang w:val="zh-CN"/>
        </w:rPr>
      </w:pPr>
      <w:bookmarkStart w:id="117" w:name="_Toc1083"/>
      <w:r>
        <w:rPr>
          <w:rFonts w:eastAsia="楷体_GB2312"/>
          <w:b/>
          <w:sz w:val="32"/>
          <w:szCs w:val="32"/>
          <w:lang w:val="zh-CN"/>
        </w:rPr>
        <w:t>项目组织架构及实施流程。</w:t>
      </w:r>
      <w:bookmarkEnd w:id="117"/>
    </w:p>
    <w:p>
      <w:pPr>
        <w:adjustRightInd w:val="0"/>
        <w:snapToGrid w:val="0"/>
        <w:spacing w:line="560" w:lineRule="exact"/>
        <w:ind w:firstLine="643" w:firstLineChars="200"/>
        <w:rPr>
          <w:rFonts w:eastAsia="楷体_GB2312"/>
          <w:b/>
          <w:sz w:val="32"/>
          <w:szCs w:val="32"/>
          <w:lang w:val="zh-CN"/>
        </w:rPr>
      </w:pPr>
      <w:r>
        <w:rPr>
          <w:rFonts w:eastAsia="楷体_GB2312"/>
          <w:b/>
          <w:sz w:val="32"/>
          <w:szCs w:val="32"/>
        </w:rPr>
        <w:t xml:space="preserve"> </w:t>
      </w:r>
      <w:r>
        <w:rPr>
          <w:rFonts w:eastAsia="仿宋"/>
          <w:sz w:val="32"/>
          <w:szCs w:val="32"/>
        </w:rPr>
        <w:t>2022年县财政局批复我院聘用制书记员项目经费预算57万元。按月及时足额兑现聘用制书记员工资社保费，保障聘用制书记员协助检察人办案，确保我院办案工作顺利进行。</w:t>
      </w:r>
    </w:p>
    <w:p>
      <w:pPr>
        <w:numPr>
          <w:ilvl w:val="0"/>
          <w:numId w:val="10"/>
        </w:numPr>
        <w:adjustRightInd w:val="0"/>
        <w:snapToGrid w:val="0"/>
        <w:spacing w:line="578" w:lineRule="exact"/>
        <w:ind w:firstLine="720"/>
        <w:outlineLvl w:val="2"/>
        <w:rPr>
          <w:rFonts w:ascii="方正楷体_GBK" w:hAnsi="方正楷体_GBK" w:eastAsia="方正楷体_GBK" w:cs="方正楷体_GBK"/>
          <w:b/>
          <w:kern w:val="0"/>
          <w:sz w:val="32"/>
          <w:szCs w:val="32"/>
          <w:shd w:val="clear" w:color="auto" w:fill="FFFFFF"/>
          <w:lang w:val="zh-CN"/>
        </w:rPr>
      </w:pPr>
      <w:bookmarkStart w:id="118" w:name="_Toc11916"/>
      <w:r>
        <w:rPr>
          <w:rFonts w:hint="eastAsia" w:ascii="方正楷体_GBK" w:hAnsi="方正楷体_GBK" w:eastAsia="方正楷体_GBK" w:cs="方正楷体_GBK"/>
          <w:b/>
          <w:sz w:val="32"/>
          <w:szCs w:val="32"/>
          <w:lang w:val="zh-CN"/>
        </w:rPr>
        <w:t>项目管理情况。</w:t>
      </w:r>
      <w:bookmarkEnd w:id="118"/>
    </w:p>
    <w:p>
      <w:pPr>
        <w:adjustRightInd w:val="0"/>
        <w:snapToGrid w:val="0"/>
        <w:spacing w:line="560" w:lineRule="exact"/>
        <w:ind w:firstLine="640" w:firstLineChars="200"/>
        <w:rPr>
          <w:rFonts w:eastAsia="仿宋"/>
          <w:sz w:val="32"/>
          <w:szCs w:val="32"/>
        </w:rPr>
      </w:pPr>
      <w:r>
        <w:rPr>
          <w:rFonts w:eastAsia="仿宋"/>
          <w:sz w:val="32"/>
          <w:szCs w:val="32"/>
        </w:rPr>
        <w:t>该项目经费主要是保证我院检察执行业务的顺利开展，确保依法受理的各类案件得到及时处理，有效化解法律纠纷和社会矛盾，维护社会公平正义，进而实现该项目绩效目标。</w:t>
      </w:r>
    </w:p>
    <w:p>
      <w:pPr>
        <w:numPr>
          <w:ilvl w:val="0"/>
          <w:numId w:val="10"/>
        </w:numPr>
        <w:adjustRightInd w:val="0"/>
        <w:snapToGrid w:val="0"/>
        <w:spacing w:line="578" w:lineRule="exact"/>
        <w:ind w:firstLine="720"/>
        <w:outlineLvl w:val="2"/>
        <w:rPr>
          <w:rFonts w:eastAsia="楷体_GB2312"/>
          <w:b/>
          <w:sz w:val="32"/>
          <w:szCs w:val="32"/>
          <w:lang w:val="zh-CN"/>
        </w:rPr>
      </w:pPr>
      <w:bookmarkStart w:id="119" w:name="_Toc16799"/>
      <w:r>
        <w:rPr>
          <w:rFonts w:eastAsia="楷体_GB2312"/>
          <w:b/>
          <w:sz w:val="32"/>
          <w:szCs w:val="32"/>
          <w:lang w:val="zh-CN"/>
        </w:rPr>
        <w:t>项目监管情况。</w:t>
      </w:r>
      <w:bookmarkEnd w:id="119"/>
    </w:p>
    <w:p>
      <w:pPr>
        <w:adjustRightInd w:val="0"/>
        <w:snapToGrid w:val="0"/>
        <w:spacing w:line="560" w:lineRule="exact"/>
        <w:ind w:firstLine="640" w:firstLineChars="200"/>
        <w:rPr>
          <w:rFonts w:eastAsia="仿宋"/>
          <w:sz w:val="32"/>
          <w:szCs w:val="32"/>
          <w:lang w:val="zh-CN"/>
        </w:rPr>
      </w:pPr>
      <w:r>
        <w:rPr>
          <w:rFonts w:eastAsia="仿宋"/>
          <w:sz w:val="32"/>
          <w:szCs w:val="32"/>
          <w:lang w:val="zh-CN"/>
        </w:rPr>
        <w:t>我院制定修改《米易县检察院财务管理制度》，对资金支付进行有效监管，</w:t>
      </w:r>
      <w:r>
        <w:rPr>
          <w:rFonts w:eastAsia="仿宋"/>
          <w:sz w:val="32"/>
          <w:szCs w:val="32"/>
        </w:rPr>
        <w:t>加强对</w:t>
      </w:r>
      <w:r>
        <w:rPr>
          <w:rFonts w:hint="eastAsia" w:eastAsia="仿宋"/>
          <w:sz w:val="32"/>
          <w:szCs w:val="32"/>
        </w:rPr>
        <w:t>聘用制书记员</w:t>
      </w:r>
      <w:r>
        <w:rPr>
          <w:rFonts w:eastAsia="仿宋"/>
          <w:sz w:val="32"/>
          <w:szCs w:val="32"/>
        </w:rPr>
        <w:t>经费管理，</w:t>
      </w:r>
      <w:r>
        <w:rPr>
          <w:rFonts w:hint="eastAsia" w:eastAsia="仿宋"/>
          <w:sz w:val="32"/>
          <w:szCs w:val="32"/>
        </w:rPr>
        <w:t>每月</w:t>
      </w:r>
      <w:r>
        <w:rPr>
          <w:rFonts w:eastAsia="仿宋"/>
          <w:sz w:val="32"/>
          <w:szCs w:val="32"/>
        </w:rPr>
        <w:t>结算，严控经费支出，建立审批制度，未经领导审批的坚决不能开支，经费不予报销。经费支出层层把关，报销时，先由相关经办人员办理有关报销凭证收集、办公室主任审核，再由领导签字审批。</w:t>
      </w:r>
    </w:p>
    <w:p>
      <w:pPr>
        <w:adjustRightInd w:val="0"/>
        <w:snapToGrid w:val="0"/>
        <w:spacing w:line="578" w:lineRule="exact"/>
        <w:ind w:firstLine="720"/>
        <w:outlineLvl w:val="1"/>
        <w:rPr>
          <w:sz w:val="32"/>
          <w:szCs w:val="32"/>
          <w:lang w:val="zh-CN"/>
        </w:rPr>
      </w:pPr>
      <w:bookmarkStart w:id="120" w:name="_Toc31936"/>
      <w:r>
        <w:rPr>
          <w:rFonts w:eastAsia="黑体"/>
          <w:sz w:val="32"/>
          <w:szCs w:val="32"/>
        </w:rPr>
        <w:t>四、项目绩效情况</w:t>
      </w:r>
      <w:bookmarkEnd w:id="120"/>
      <w:r>
        <w:rPr>
          <w:sz w:val="32"/>
          <w:szCs w:val="32"/>
          <w:lang w:val="zh-CN"/>
        </w:rPr>
        <w:tab/>
      </w:r>
    </w:p>
    <w:p>
      <w:pPr>
        <w:adjustRightInd w:val="0"/>
        <w:snapToGrid w:val="0"/>
        <w:spacing w:line="578" w:lineRule="exact"/>
        <w:ind w:firstLine="720"/>
        <w:outlineLvl w:val="2"/>
        <w:rPr>
          <w:rFonts w:eastAsia="楷体_GB2312"/>
          <w:b/>
          <w:sz w:val="32"/>
          <w:szCs w:val="32"/>
          <w:lang w:val="zh-CN"/>
        </w:rPr>
      </w:pPr>
      <w:bookmarkStart w:id="121" w:name="_Toc12036"/>
      <w:r>
        <w:rPr>
          <w:rFonts w:eastAsia="楷体_GB2312"/>
          <w:b/>
          <w:sz w:val="32"/>
          <w:szCs w:val="32"/>
          <w:lang w:val="zh-CN"/>
        </w:rPr>
        <w:t>（一）项目完成情况。</w:t>
      </w:r>
      <w:bookmarkEnd w:id="121"/>
    </w:p>
    <w:p>
      <w:pPr>
        <w:adjustRightInd w:val="0"/>
        <w:snapToGrid w:val="0"/>
        <w:spacing w:line="560" w:lineRule="exact"/>
        <w:ind w:firstLine="640" w:firstLineChars="200"/>
        <w:rPr>
          <w:rFonts w:eastAsia="仿宋"/>
          <w:sz w:val="32"/>
          <w:szCs w:val="32"/>
        </w:rPr>
      </w:pPr>
      <w:r>
        <w:rPr>
          <w:rFonts w:eastAsia="仿宋"/>
          <w:sz w:val="32"/>
          <w:szCs w:val="32"/>
        </w:rPr>
        <w:t>该项目预期目标是为审判执行大局服务，提高法官的司法能力和</w:t>
      </w:r>
      <w:r>
        <w:rPr>
          <w:rFonts w:hint="eastAsia" w:eastAsia="仿宋"/>
          <w:sz w:val="32"/>
          <w:szCs w:val="32"/>
        </w:rPr>
        <w:t>检察院</w:t>
      </w:r>
      <w:r>
        <w:rPr>
          <w:rFonts w:eastAsia="仿宋"/>
          <w:sz w:val="32"/>
          <w:szCs w:val="32"/>
        </w:rPr>
        <w:t>的司法公信力，有效化解社会矛盾，维护社会公平正义。结案率和案件调解率同比提高，说明该项目达到了预期的工作目标，实现了经济效益和社会效益。</w:t>
      </w:r>
    </w:p>
    <w:p>
      <w:pPr>
        <w:adjustRightInd w:val="0"/>
        <w:snapToGrid w:val="0"/>
        <w:spacing w:line="578" w:lineRule="exact"/>
        <w:ind w:firstLine="720"/>
        <w:outlineLvl w:val="2"/>
        <w:rPr>
          <w:rFonts w:eastAsia="楷体_GB2312"/>
          <w:b/>
          <w:sz w:val="32"/>
          <w:szCs w:val="32"/>
          <w:lang w:val="zh-CN"/>
        </w:rPr>
      </w:pPr>
      <w:bookmarkStart w:id="122" w:name="_Toc27443"/>
      <w:r>
        <w:rPr>
          <w:rFonts w:eastAsia="楷体_GB2312"/>
          <w:b/>
          <w:sz w:val="32"/>
          <w:szCs w:val="32"/>
          <w:lang w:val="zh-CN"/>
        </w:rPr>
        <w:t>（二）项目效益情况。</w:t>
      </w:r>
      <w:bookmarkEnd w:id="122"/>
    </w:p>
    <w:p>
      <w:pPr>
        <w:pStyle w:val="13"/>
        <w:shd w:val="clear" w:color="auto" w:fill="FFFFFF"/>
        <w:spacing w:before="0" w:beforeAutospacing="0" w:after="0" w:afterAutospacing="0" w:line="560" w:lineRule="exact"/>
        <w:ind w:firstLine="645"/>
        <w:jc w:val="both"/>
        <w:rPr>
          <w:rFonts w:ascii="Times New Roman" w:hAnsi="Times New Roman" w:eastAsia="仿宋" w:cs="Times New Roman"/>
          <w:kern w:val="2"/>
          <w:sz w:val="32"/>
          <w:szCs w:val="32"/>
        </w:rPr>
      </w:pPr>
      <w:r>
        <w:rPr>
          <w:rFonts w:ascii="Times New Roman" w:hAnsi="Times New Roman" w:eastAsia="仿宋" w:cs="Times New Roman"/>
          <w:kern w:val="2"/>
          <w:sz w:val="32"/>
          <w:szCs w:val="32"/>
        </w:rPr>
        <w:t>1、项目实施对经济和社会的影响。</w:t>
      </w:r>
    </w:p>
    <w:p>
      <w:pPr>
        <w:pStyle w:val="13"/>
        <w:shd w:val="clear" w:color="auto" w:fill="FFFFFF"/>
        <w:spacing w:before="0" w:beforeAutospacing="0" w:after="0" w:afterAutospacing="0" w:line="560" w:lineRule="exact"/>
        <w:ind w:firstLine="645"/>
        <w:jc w:val="both"/>
        <w:rPr>
          <w:rFonts w:ascii="Times New Roman" w:hAnsi="Times New Roman" w:eastAsia="仿宋" w:cs="Times New Roman"/>
          <w:kern w:val="2"/>
          <w:sz w:val="32"/>
          <w:szCs w:val="32"/>
        </w:rPr>
      </w:pPr>
      <w:r>
        <w:rPr>
          <w:rFonts w:ascii="Times New Roman" w:hAnsi="Times New Roman" w:eastAsia="仿宋" w:cs="Times New Roman"/>
          <w:kern w:val="2"/>
          <w:sz w:val="32"/>
          <w:szCs w:val="32"/>
        </w:rPr>
        <w:t>通过该项目的实施，缓解了各级</w:t>
      </w:r>
      <w:r>
        <w:rPr>
          <w:rFonts w:hint="eastAsia" w:ascii="Times New Roman" w:hAnsi="Times New Roman" w:eastAsia="仿宋" w:cs="Times New Roman"/>
          <w:kern w:val="2"/>
          <w:sz w:val="32"/>
          <w:szCs w:val="32"/>
        </w:rPr>
        <w:t>检察</w:t>
      </w:r>
      <w:r>
        <w:rPr>
          <w:rFonts w:ascii="Times New Roman" w:hAnsi="Times New Roman" w:eastAsia="仿宋" w:cs="Times New Roman"/>
          <w:kern w:val="2"/>
          <w:sz w:val="32"/>
          <w:szCs w:val="32"/>
        </w:rPr>
        <w:t>院在司改后“案多人少”的突出矛盾，提高了办案质效，促进了</w:t>
      </w:r>
      <w:r>
        <w:rPr>
          <w:rFonts w:hint="eastAsia" w:ascii="Times New Roman" w:hAnsi="Times New Roman" w:eastAsia="仿宋" w:cs="Times New Roman"/>
          <w:kern w:val="2"/>
          <w:sz w:val="32"/>
          <w:szCs w:val="32"/>
        </w:rPr>
        <w:t>检察院</w:t>
      </w:r>
      <w:r>
        <w:rPr>
          <w:rFonts w:ascii="Times New Roman" w:hAnsi="Times New Roman" w:eastAsia="仿宋" w:cs="Times New Roman"/>
          <w:kern w:val="2"/>
          <w:sz w:val="32"/>
          <w:szCs w:val="32"/>
        </w:rPr>
        <w:t>司法公正。</w:t>
      </w:r>
    </w:p>
    <w:p>
      <w:pPr>
        <w:pStyle w:val="13"/>
        <w:shd w:val="clear" w:color="auto" w:fill="FFFFFF"/>
        <w:spacing w:before="0" w:beforeAutospacing="0" w:after="0" w:afterAutospacing="0" w:line="560" w:lineRule="exact"/>
        <w:ind w:firstLine="645"/>
        <w:jc w:val="both"/>
        <w:rPr>
          <w:rFonts w:ascii="Times New Roman" w:hAnsi="Times New Roman" w:eastAsia="仿宋" w:cs="Times New Roman"/>
          <w:kern w:val="2"/>
          <w:sz w:val="32"/>
          <w:szCs w:val="32"/>
        </w:rPr>
      </w:pPr>
      <w:r>
        <w:rPr>
          <w:rFonts w:ascii="Times New Roman" w:hAnsi="Times New Roman" w:eastAsia="仿宋" w:cs="Times New Roman"/>
          <w:kern w:val="2"/>
          <w:sz w:val="32"/>
          <w:szCs w:val="32"/>
        </w:rPr>
        <w:t>2.项目的可持续性分析。</w:t>
      </w:r>
    </w:p>
    <w:p>
      <w:pPr>
        <w:pStyle w:val="13"/>
        <w:shd w:val="clear" w:color="auto" w:fill="FFFFFF"/>
        <w:spacing w:before="0" w:beforeAutospacing="0" w:after="0" w:afterAutospacing="0" w:line="560" w:lineRule="exact"/>
        <w:ind w:firstLine="645"/>
        <w:jc w:val="both"/>
        <w:rPr>
          <w:rFonts w:ascii="Times New Roman" w:hAnsi="Times New Roman" w:eastAsia="仿宋" w:cs="Times New Roman"/>
          <w:kern w:val="2"/>
          <w:sz w:val="32"/>
          <w:szCs w:val="32"/>
        </w:rPr>
      </w:pPr>
      <w:r>
        <w:rPr>
          <w:rFonts w:ascii="Times New Roman" w:hAnsi="Times New Roman" w:eastAsia="仿宋" w:cs="Times New Roman"/>
          <w:kern w:val="2"/>
          <w:sz w:val="32"/>
          <w:szCs w:val="32"/>
        </w:rPr>
        <w:t>聘用制书记员是我院经常性预算项目，是保证我院检察工作的基础性必备条件，项目完成质量高、符合预期，且该项目是在</w:t>
      </w:r>
      <w:r>
        <w:rPr>
          <w:rFonts w:hint="eastAsia" w:ascii="Times New Roman" w:hAnsi="Times New Roman" w:eastAsia="仿宋" w:cs="Times New Roman"/>
          <w:kern w:val="2"/>
          <w:sz w:val="32"/>
          <w:szCs w:val="32"/>
        </w:rPr>
        <w:t>最高人民检察院</w:t>
      </w:r>
      <w:bookmarkStart w:id="155" w:name="_GoBack"/>
      <w:bookmarkEnd w:id="155"/>
      <w:r>
        <w:rPr>
          <w:rFonts w:ascii="Times New Roman" w:hAnsi="Times New Roman" w:eastAsia="仿宋" w:cs="Times New Roman"/>
          <w:kern w:val="2"/>
          <w:sz w:val="32"/>
          <w:szCs w:val="32"/>
        </w:rPr>
        <w:t>和省内相关文件的基础上执行，可持续性很强。</w:t>
      </w:r>
    </w:p>
    <w:p>
      <w:pPr>
        <w:adjustRightInd w:val="0"/>
        <w:snapToGrid w:val="0"/>
        <w:spacing w:line="578" w:lineRule="exact"/>
        <w:ind w:firstLine="720"/>
        <w:outlineLvl w:val="1"/>
        <w:rPr>
          <w:rFonts w:eastAsia="黑体"/>
          <w:sz w:val="32"/>
          <w:szCs w:val="32"/>
        </w:rPr>
      </w:pPr>
      <w:bookmarkStart w:id="123" w:name="_Toc993"/>
      <w:r>
        <w:rPr>
          <w:rFonts w:eastAsia="黑体"/>
          <w:sz w:val="32"/>
          <w:szCs w:val="32"/>
        </w:rPr>
        <w:t>五、评价结论及建议</w:t>
      </w:r>
      <w:bookmarkEnd w:id="123"/>
    </w:p>
    <w:p>
      <w:pPr>
        <w:adjustRightInd w:val="0"/>
        <w:snapToGrid w:val="0"/>
        <w:spacing w:line="578" w:lineRule="exact"/>
        <w:ind w:firstLine="720"/>
        <w:outlineLvl w:val="2"/>
        <w:rPr>
          <w:rFonts w:eastAsia="楷体_GB2312"/>
          <w:b/>
          <w:sz w:val="32"/>
          <w:szCs w:val="32"/>
          <w:lang w:val="zh-CN"/>
        </w:rPr>
      </w:pPr>
      <w:bookmarkStart w:id="124" w:name="_Toc16274"/>
      <w:r>
        <w:rPr>
          <w:rFonts w:eastAsia="楷体_GB2312"/>
          <w:b/>
          <w:sz w:val="32"/>
          <w:szCs w:val="32"/>
          <w:lang w:val="zh-CN"/>
        </w:rPr>
        <w:t>（一）评价结论。</w:t>
      </w:r>
      <w:bookmarkEnd w:id="124"/>
    </w:p>
    <w:p>
      <w:pPr>
        <w:adjustRightInd w:val="0"/>
        <w:snapToGrid w:val="0"/>
        <w:spacing w:line="560" w:lineRule="exact"/>
        <w:ind w:firstLine="640" w:firstLineChars="200"/>
        <w:rPr>
          <w:rFonts w:eastAsia="仿宋"/>
          <w:sz w:val="32"/>
          <w:szCs w:val="32"/>
          <w:lang w:val="zh-CN"/>
        </w:rPr>
      </w:pPr>
      <w:r>
        <w:rPr>
          <w:rFonts w:eastAsia="仿宋"/>
          <w:sz w:val="32"/>
          <w:szCs w:val="32"/>
        </w:rPr>
        <w:t>我院对该项目评价，项目立项依据充分、资金到位率高、预算执行率高、资金使用绩效较好，但项目在绩效目标等方面还存在部分问题。</w:t>
      </w:r>
    </w:p>
    <w:p>
      <w:pPr>
        <w:adjustRightInd w:val="0"/>
        <w:snapToGrid w:val="0"/>
        <w:spacing w:line="578" w:lineRule="exact"/>
        <w:ind w:firstLine="720"/>
        <w:outlineLvl w:val="2"/>
        <w:rPr>
          <w:rFonts w:eastAsia="楷体_GB2312"/>
          <w:b/>
          <w:sz w:val="32"/>
          <w:szCs w:val="32"/>
          <w:lang w:val="zh-CN"/>
        </w:rPr>
      </w:pPr>
      <w:bookmarkStart w:id="125" w:name="_Toc29442"/>
      <w:r>
        <w:rPr>
          <w:rFonts w:eastAsia="楷体_GB2312"/>
          <w:b/>
          <w:sz w:val="32"/>
          <w:szCs w:val="32"/>
          <w:lang w:val="zh-CN"/>
        </w:rPr>
        <w:t>（二）存在的问题。</w:t>
      </w:r>
      <w:bookmarkEnd w:id="125"/>
    </w:p>
    <w:p>
      <w:pPr>
        <w:adjustRightInd w:val="0"/>
        <w:snapToGrid w:val="0"/>
        <w:spacing w:line="560" w:lineRule="exact"/>
        <w:ind w:firstLine="640" w:firstLineChars="200"/>
        <w:rPr>
          <w:rFonts w:eastAsia="仿宋"/>
          <w:sz w:val="32"/>
          <w:szCs w:val="32"/>
        </w:rPr>
      </w:pPr>
      <w:r>
        <w:rPr>
          <w:rFonts w:eastAsia="仿宋"/>
          <w:sz w:val="32"/>
          <w:szCs w:val="32"/>
        </w:rPr>
        <w:t>聘用</w:t>
      </w:r>
      <w:r>
        <w:rPr>
          <w:rFonts w:hint="eastAsia" w:eastAsia="仿宋"/>
          <w:sz w:val="32"/>
          <w:szCs w:val="32"/>
        </w:rPr>
        <w:t>制</w:t>
      </w:r>
      <w:r>
        <w:rPr>
          <w:rFonts w:eastAsia="仿宋"/>
          <w:sz w:val="32"/>
          <w:szCs w:val="32"/>
        </w:rPr>
        <w:t>书记员招聘周期长，离职人员无法尽快招聘进院，资金支付稍微滞后。</w:t>
      </w:r>
    </w:p>
    <w:p>
      <w:pPr>
        <w:adjustRightInd w:val="0"/>
        <w:snapToGrid w:val="0"/>
        <w:spacing w:line="578" w:lineRule="exact"/>
        <w:ind w:firstLine="720"/>
        <w:outlineLvl w:val="2"/>
        <w:rPr>
          <w:rFonts w:eastAsia="楷体_GB2312"/>
          <w:b/>
          <w:sz w:val="32"/>
          <w:szCs w:val="32"/>
          <w:lang w:val="zh-CN"/>
        </w:rPr>
      </w:pPr>
      <w:bookmarkStart w:id="126" w:name="_Toc32284"/>
      <w:r>
        <w:rPr>
          <w:rFonts w:eastAsia="楷体_GB2312"/>
          <w:b/>
          <w:sz w:val="32"/>
          <w:szCs w:val="32"/>
          <w:lang w:val="zh-CN"/>
        </w:rPr>
        <w:t>（三）相关建议。</w:t>
      </w:r>
      <w:bookmarkEnd w:id="126"/>
    </w:p>
    <w:p>
      <w:pPr>
        <w:adjustRightInd w:val="0"/>
        <w:snapToGrid w:val="0"/>
        <w:spacing w:line="560" w:lineRule="exact"/>
        <w:ind w:firstLine="640" w:firstLineChars="200"/>
        <w:rPr>
          <w:rFonts w:eastAsia="仿宋"/>
          <w:sz w:val="32"/>
          <w:szCs w:val="32"/>
        </w:rPr>
      </w:pPr>
      <w:r>
        <w:rPr>
          <w:rFonts w:eastAsia="仿宋"/>
          <w:sz w:val="32"/>
          <w:szCs w:val="32"/>
        </w:rPr>
        <w:t>尽量缩短聘用制书记员的招聘流程。</w:t>
      </w:r>
    </w:p>
    <w:p>
      <w:pPr>
        <w:spacing w:line="560" w:lineRule="exact"/>
        <w:jc w:val="center"/>
        <w:rPr>
          <w:rFonts w:eastAsia="方正小标宋_GBK"/>
          <w:sz w:val="32"/>
          <w:szCs w:val="32"/>
        </w:rPr>
      </w:pPr>
    </w:p>
    <w:p>
      <w:pPr>
        <w:widowControl/>
        <w:jc w:val="left"/>
        <w:rPr>
          <w:rStyle w:val="29"/>
          <w:rFonts w:eastAsia="黑体"/>
          <w:b w:val="0"/>
        </w:rPr>
      </w:pPr>
      <w:r>
        <w:rPr>
          <w:rStyle w:val="29"/>
          <w:rFonts w:eastAsia="黑体"/>
          <w:b w:val="0"/>
        </w:rPr>
        <w:br w:type="page"/>
      </w:r>
    </w:p>
    <w:p>
      <w:pPr>
        <w:spacing w:line="600" w:lineRule="exact"/>
        <w:jc w:val="center"/>
        <w:outlineLvl w:val="0"/>
        <w:rPr>
          <w:rFonts w:eastAsia="仿宋"/>
        </w:rPr>
      </w:pPr>
      <w:bookmarkStart w:id="127" w:name="_Toc15396618"/>
      <w:bookmarkStart w:id="128" w:name="_Toc8635"/>
      <w:r>
        <w:rPr>
          <w:rFonts w:eastAsia="黑体"/>
          <w:sz w:val="44"/>
          <w:szCs w:val="44"/>
        </w:rPr>
        <w:t>第</w:t>
      </w:r>
      <w:r>
        <w:rPr>
          <w:rStyle w:val="29"/>
          <w:rFonts w:eastAsia="黑体"/>
          <w:b w:val="0"/>
        </w:rPr>
        <w:t>五部分 附表</w:t>
      </w:r>
      <w:bookmarkEnd w:id="84"/>
      <w:bookmarkEnd w:id="127"/>
      <w:bookmarkEnd w:id="128"/>
      <w:bookmarkStart w:id="129" w:name="_Toc15396619"/>
    </w:p>
    <w:p>
      <w:pPr>
        <w:pStyle w:val="3"/>
        <w:rPr>
          <w:rFonts w:ascii="Times New Roman" w:hAnsi="Times New Roman" w:eastAsia="仿宋" w:cs="Times New Roman"/>
        </w:rPr>
      </w:pPr>
      <w:bookmarkStart w:id="130" w:name="_Toc2183"/>
      <w:r>
        <w:rPr>
          <w:rFonts w:ascii="Times New Roman" w:hAnsi="Times New Roman" w:eastAsia="仿宋" w:cs="Times New Roman"/>
          <w:b w:val="0"/>
        </w:rPr>
        <w:t>一、收</w:t>
      </w:r>
      <w:r>
        <w:rPr>
          <w:rStyle w:val="30"/>
          <w:rFonts w:ascii="Times New Roman" w:hAnsi="Times New Roman" w:eastAsia="仿宋" w:cs="Times New Roman"/>
          <w:b w:val="0"/>
          <w:bCs w:val="0"/>
        </w:rPr>
        <w:t>入支出决算总表</w:t>
      </w:r>
      <w:bookmarkEnd w:id="129"/>
      <w:bookmarkEnd w:id="130"/>
    </w:p>
    <w:p>
      <w:pPr>
        <w:pStyle w:val="3"/>
        <w:rPr>
          <w:rFonts w:ascii="Times New Roman" w:hAnsi="Times New Roman" w:eastAsia="仿宋" w:cs="Times New Roman"/>
        </w:rPr>
      </w:pPr>
      <w:bookmarkStart w:id="131" w:name="_Toc15396620"/>
      <w:bookmarkStart w:id="132" w:name="_Toc15835"/>
      <w:r>
        <w:rPr>
          <w:rFonts w:ascii="Times New Roman" w:hAnsi="Times New Roman" w:eastAsia="仿宋" w:cs="Times New Roman"/>
          <w:b w:val="0"/>
        </w:rPr>
        <w:t>二、收</w:t>
      </w:r>
      <w:r>
        <w:rPr>
          <w:rStyle w:val="30"/>
          <w:rFonts w:ascii="Times New Roman" w:hAnsi="Times New Roman" w:eastAsia="仿宋" w:cs="Times New Roman"/>
          <w:b w:val="0"/>
          <w:bCs w:val="0"/>
        </w:rPr>
        <w:t>入决算表</w:t>
      </w:r>
      <w:bookmarkEnd w:id="131"/>
      <w:bookmarkEnd w:id="132"/>
    </w:p>
    <w:p>
      <w:pPr>
        <w:pStyle w:val="3"/>
        <w:rPr>
          <w:rFonts w:ascii="Times New Roman" w:hAnsi="Times New Roman" w:eastAsia="仿宋" w:cs="Times New Roman"/>
        </w:rPr>
      </w:pPr>
      <w:bookmarkStart w:id="133" w:name="_Toc15396621"/>
      <w:bookmarkStart w:id="134" w:name="_Toc1191"/>
      <w:r>
        <w:rPr>
          <w:rStyle w:val="30"/>
          <w:rFonts w:ascii="Times New Roman" w:hAnsi="Times New Roman" w:eastAsia="仿宋" w:cs="Times New Roman"/>
          <w:b w:val="0"/>
          <w:bCs w:val="0"/>
        </w:rPr>
        <w:t>三、</w:t>
      </w:r>
      <w:r>
        <w:rPr>
          <w:rFonts w:ascii="Times New Roman" w:hAnsi="Times New Roman" w:eastAsia="仿宋" w:cs="Times New Roman"/>
          <w:b w:val="0"/>
        </w:rPr>
        <w:t>支</w:t>
      </w:r>
      <w:r>
        <w:rPr>
          <w:rStyle w:val="30"/>
          <w:rFonts w:ascii="Times New Roman" w:hAnsi="Times New Roman" w:eastAsia="仿宋" w:cs="Times New Roman"/>
          <w:b w:val="0"/>
          <w:bCs w:val="0"/>
        </w:rPr>
        <w:t>出决算表</w:t>
      </w:r>
      <w:bookmarkEnd w:id="133"/>
      <w:bookmarkEnd w:id="134"/>
    </w:p>
    <w:p>
      <w:pPr>
        <w:pStyle w:val="3"/>
        <w:rPr>
          <w:rFonts w:ascii="Times New Roman" w:hAnsi="Times New Roman" w:eastAsia="仿宋" w:cs="Times New Roman"/>
          <w:b w:val="0"/>
        </w:rPr>
      </w:pPr>
      <w:bookmarkStart w:id="135" w:name="_Toc15396622"/>
      <w:bookmarkStart w:id="136" w:name="_Toc20508"/>
      <w:r>
        <w:rPr>
          <w:rStyle w:val="30"/>
          <w:rFonts w:ascii="Times New Roman" w:hAnsi="Times New Roman" w:eastAsia="仿宋" w:cs="Times New Roman"/>
          <w:b w:val="0"/>
          <w:bCs w:val="0"/>
        </w:rPr>
        <w:t>四、</w:t>
      </w:r>
      <w:r>
        <w:rPr>
          <w:rFonts w:ascii="Times New Roman" w:hAnsi="Times New Roman" w:eastAsia="仿宋" w:cs="Times New Roman"/>
          <w:b w:val="0"/>
        </w:rPr>
        <w:t>财</w:t>
      </w:r>
      <w:r>
        <w:rPr>
          <w:rStyle w:val="30"/>
          <w:rFonts w:ascii="Times New Roman" w:hAnsi="Times New Roman" w:eastAsia="仿宋" w:cs="Times New Roman"/>
          <w:b w:val="0"/>
          <w:bCs w:val="0"/>
        </w:rPr>
        <w:t>政拨款收入支出决算总表</w:t>
      </w:r>
      <w:bookmarkEnd w:id="135"/>
      <w:bookmarkEnd w:id="136"/>
    </w:p>
    <w:p>
      <w:pPr>
        <w:pStyle w:val="3"/>
        <w:rPr>
          <w:rStyle w:val="30"/>
          <w:rFonts w:ascii="Times New Roman" w:hAnsi="Times New Roman" w:eastAsia="仿宋" w:cs="Times New Roman"/>
          <w:b w:val="0"/>
          <w:bCs w:val="0"/>
        </w:rPr>
      </w:pPr>
      <w:bookmarkStart w:id="137" w:name="_Toc15396623"/>
      <w:bookmarkStart w:id="138" w:name="_Toc20896"/>
      <w:r>
        <w:rPr>
          <w:rStyle w:val="30"/>
          <w:rFonts w:ascii="Times New Roman" w:hAnsi="Times New Roman" w:eastAsia="仿宋" w:cs="Times New Roman"/>
          <w:b w:val="0"/>
          <w:bCs w:val="0"/>
        </w:rPr>
        <w:t>五、</w:t>
      </w:r>
      <w:r>
        <w:rPr>
          <w:rFonts w:ascii="Times New Roman" w:hAnsi="Times New Roman" w:eastAsia="仿宋" w:cs="Times New Roman"/>
          <w:b w:val="0"/>
        </w:rPr>
        <w:t>财</w:t>
      </w:r>
      <w:r>
        <w:rPr>
          <w:rStyle w:val="30"/>
          <w:rFonts w:ascii="Times New Roman" w:hAnsi="Times New Roman" w:eastAsia="仿宋" w:cs="Times New Roman"/>
          <w:b w:val="0"/>
          <w:bCs w:val="0"/>
        </w:rPr>
        <w:t>政拨款支出决算明细表</w:t>
      </w:r>
      <w:bookmarkEnd w:id="137"/>
      <w:bookmarkEnd w:id="138"/>
      <w:bookmarkStart w:id="139" w:name="_Toc15396624"/>
    </w:p>
    <w:p>
      <w:pPr>
        <w:pStyle w:val="3"/>
        <w:rPr>
          <w:rFonts w:ascii="Times New Roman" w:hAnsi="Times New Roman" w:eastAsia="仿宋" w:cs="Times New Roman"/>
        </w:rPr>
      </w:pPr>
      <w:bookmarkStart w:id="140" w:name="_Toc5917"/>
      <w:r>
        <w:rPr>
          <w:rStyle w:val="30"/>
          <w:rFonts w:ascii="Times New Roman" w:hAnsi="Times New Roman" w:eastAsia="仿宋" w:cs="Times New Roman"/>
          <w:b w:val="0"/>
          <w:bCs w:val="0"/>
        </w:rPr>
        <w:t>六、</w:t>
      </w:r>
      <w:r>
        <w:rPr>
          <w:rFonts w:ascii="Times New Roman" w:hAnsi="Times New Roman" w:eastAsia="仿宋" w:cs="Times New Roman"/>
          <w:b w:val="0"/>
        </w:rPr>
        <w:t>一</w:t>
      </w:r>
      <w:r>
        <w:rPr>
          <w:rStyle w:val="30"/>
          <w:rFonts w:ascii="Times New Roman" w:hAnsi="Times New Roman" w:eastAsia="仿宋" w:cs="Times New Roman"/>
          <w:b w:val="0"/>
          <w:bCs w:val="0"/>
        </w:rPr>
        <w:t>般公共预算财政拨款支出决算表</w:t>
      </w:r>
      <w:bookmarkEnd w:id="139"/>
      <w:bookmarkEnd w:id="140"/>
    </w:p>
    <w:p>
      <w:pPr>
        <w:pStyle w:val="3"/>
        <w:rPr>
          <w:rFonts w:ascii="Times New Roman" w:hAnsi="Times New Roman" w:eastAsia="仿宋" w:cs="Times New Roman"/>
        </w:rPr>
      </w:pPr>
      <w:bookmarkStart w:id="141" w:name="_Toc15396625"/>
      <w:bookmarkStart w:id="142" w:name="_Toc18293"/>
      <w:r>
        <w:rPr>
          <w:rStyle w:val="30"/>
          <w:rFonts w:ascii="Times New Roman" w:hAnsi="Times New Roman" w:eastAsia="仿宋" w:cs="Times New Roman"/>
          <w:b w:val="0"/>
          <w:bCs w:val="0"/>
        </w:rPr>
        <w:t>七、</w:t>
      </w:r>
      <w:r>
        <w:rPr>
          <w:rFonts w:ascii="Times New Roman" w:hAnsi="Times New Roman" w:eastAsia="仿宋" w:cs="Times New Roman"/>
          <w:b w:val="0"/>
        </w:rPr>
        <w:t>一</w:t>
      </w:r>
      <w:r>
        <w:rPr>
          <w:rStyle w:val="30"/>
          <w:rFonts w:ascii="Times New Roman" w:hAnsi="Times New Roman" w:eastAsia="仿宋" w:cs="Times New Roman"/>
          <w:b w:val="0"/>
          <w:bCs w:val="0"/>
        </w:rPr>
        <w:t>般公共预算财政拨款支出决算明细表</w:t>
      </w:r>
      <w:bookmarkEnd w:id="141"/>
      <w:bookmarkEnd w:id="142"/>
    </w:p>
    <w:p>
      <w:pPr>
        <w:pStyle w:val="3"/>
        <w:rPr>
          <w:rFonts w:ascii="Times New Roman" w:hAnsi="Times New Roman" w:eastAsia="仿宋" w:cs="Times New Roman"/>
        </w:rPr>
      </w:pPr>
      <w:bookmarkStart w:id="143" w:name="_Toc15396626"/>
      <w:bookmarkStart w:id="144" w:name="_Toc22320"/>
      <w:r>
        <w:rPr>
          <w:rStyle w:val="30"/>
          <w:rFonts w:ascii="Times New Roman" w:hAnsi="Times New Roman" w:eastAsia="仿宋" w:cs="Times New Roman"/>
          <w:b w:val="0"/>
          <w:bCs w:val="0"/>
        </w:rPr>
        <w:t>八、</w:t>
      </w:r>
      <w:r>
        <w:rPr>
          <w:rFonts w:ascii="Times New Roman" w:hAnsi="Times New Roman" w:eastAsia="仿宋" w:cs="Times New Roman"/>
          <w:b w:val="0"/>
        </w:rPr>
        <w:t>一</w:t>
      </w:r>
      <w:r>
        <w:rPr>
          <w:rStyle w:val="30"/>
          <w:rFonts w:ascii="Times New Roman" w:hAnsi="Times New Roman" w:eastAsia="仿宋" w:cs="Times New Roman"/>
          <w:b w:val="0"/>
          <w:bCs w:val="0"/>
        </w:rPr>
        <w:t>般公共预算财政拨款基本支出决算表</w:t>
      </w:r>
      <w:bookmarkEnd w:id="143"/>
      <w:bookmarkEnd w:id="144"/>
    </w:p>
    <w:p>
      <w:pPr>
        <w:pStyle w:val="3"/>
        <w:rPr>
          <w:rFonts w:ascii="Times New Roman" w:hAnsi="Times New Roman" w:eastAsia="仿宋" w:cs="Times New Roman"/>
        </w:rPr>
      </w:pPr>
      <w:bookmarkStart w:id="145" w:name="_Toc15396627"/>
      <w:bookmarkStart w:id="146" w:name="_Toc7209"/>
      <w:r>
        <w:rPr>
          <w:rStyle w:val="30"/>
          <w:rFonts w:ascii="Times New Roman" w:hAnsi="Times New Roman" w:eastAsia="仿宋" w:cs="Times New Roman"/>
          <w:b w:val="0"/>
          <w:bCs w:val="0"/>
        </w:rPr>
        <w:t>九、</w:t>
      </w:r>
      <w:r>
        <w:rPr>
          <w:rFonts w:ascii="Times New Roman" w:hAnsi="Times New Roman" w:eastAsia="仿宋" w:cs="Times New Roman"/>
          <w:b w:val="0"/>
        </w:rPr>
        <w:t>一</w:t>
      </w:r>
      <w:r>
        <w:rPr>
          <w:rStyle w:val="30"/>
          <w:rFonts w:ascii="Times New Roman" w:hAnsi="Times New Roman" w:eastAsia="仿宋" w:cs="Times New Roman"/>
          <w:b w:val="0"/>
          <w:bCs w:val="0"/>
        </w:rPr>
        <w:t>般公共预算财政拨款项目支出决算表</w:t>
      </w:r>
      <w:bookmarkEnd w:id="145"/>
      <w:bookmarkEnd w:id="146"/>
    </w:p>
    <w:p>
      <w:pPr>
        <w:pStyle w:val="3"/>
        <w:rPr>
          <w:rFonts w:ascii="Times New Roman" w:hAnsi="Times New Roman" w:eastAsia="仿宋" w:cs="Times New Roman"/>
        </w:rPr>
      </w:pPr>
      <w:bookmarkStart w:id="147" w:name="_Toc15396628"/>
      <w:bookmarkStart w:id="148" w:name="_Toc11640"/>
      <w:r>
        <w:rPr>
          <w:rStyle w:val="30"/>
          <w:rFonts w:ascii="Times New Roman" w:hAnsi="Times New Roman" w:eastAsia="仿宋" w:cs="Times New Roman"/>
          <w:b w:val="0"/>
          <w:bCs w:val="0"/>
        </w:rPr>
        <w:t>十、</w:t>
      </w:r>
      <w:bookmarkEnd w:id="147"/>
      <w:r>
        <w:rPr>
          <w:rFonts w:ascii="Times New Roman" w:hAnsi="Times New Roman" w:eastAsia="仿宋" w:cs="Times New Roman"/>
          <w:b w:val="0"/>
        </w:rPr>
        <w:t>政</w:t>
      </w:r>
      <w:r>
        <w:rPr>
          <w:rStyle w:val="30"/>
          <w:rFonts w:ascii="Times New Roman" w:hAnsi="Times New Roman" w:eastAsia="仿宋" w:cs="Times New Roman"/>
          <w:b w:val="0"/>
          <w:bCs w:val="0"/>
        </w:rPr>
        <w:t>府性基金预算财政拨款收入支出决算表</w:t>
      </w:r>
      <w:bookmarkEnd w:id="148"/>
    </w:p>
    <w:p>
      <w:pPr>
        <w:pStyle w:val="3"/>
        <w:rPr>
          <w:rFonts w:ascii="Times New Roman" w:hAnsi="Times New Roman" w:eastAsia="仿宋" w:cs="Times New Roman"/>
        </w:rPr>
      </w:pPr>
      <w:bookmarkStart w:id="149" w:name="_Toc15396629"/>
      <w:bookmarkStart w:id="150" w:name="_Toc25293"/>
      <w:r>
        <w:rPr>
          <w:rStyle w:val="30"/>
          <w:rFonts w:ascii="Times New Roman" w:hAnsi="Times New Roman" w:eastAsia="仿宋" w:cs="Times New Roman"/>
          <w:b w:val="0"/>
          <w:bCs w:val="0"/>
        </w:rPr>
        <w:t>十一、</w:t>
      </w:r>
      <w:bookmarkEnd w:id="149"/>
      <w:r>
        <w:rPr>
          <w:rFonts w:ascii="Times New Roman" w:hAnsi="Times New Roman" w:eastAsia="仿宋" w:cs="Times New Roman"/>
          <w:b w:val="0"/>
        </w:rPr>
        <w:t>国</w:t>
      </w:r>
      <w:r>
        <w:rPr>
          <w:rStyle w:val="30"/>
          <w:rFonts w:ascii="Times New Roman" w:hAnsi="Times New Roman" w:eastAsia="仿宋" w:cs="Times New Roman"/>
          <w:b w:val="0"/>
          <w:bCs w:val="0"/>
        </w:rPr>
        <w:t>有资本经营预算财政拨款收入支出决算表</w:t>
      </w:r>
      <w:bookmarkEnd w:id="150"/>
    </w:p>
    <w:p>
      <w:pPr>
        <w:pStyle w:val="3"/>
        <w:rPr>
          <w:rFonts w:ascii="Times New Roman" w:hAnsi="Times New Roman" w:eastAsia="仿宋" w:cs="Times New Roman"/>
        </w:rPr>
      </w:pPr>
      <w:bookmarkStart w:id="151" w:name="_Toc15396630"/>
      <w:bookmarkStart w:id="152" w:name="_Toc10547"/>
      <w:r>
        <w:rPr>
          <w:rStyle w:val="30"/>
          <w:rFonts w:ascii="Times New Roman" w:hAnsi="Times New Roman" w:eastAsia="仿宋" w:cs="Times New Roman"/>
          <w:b w:val="0"/>
          <w:bCs w:val="0"/>
        </w:rPr>
        <w:t>十二、</w:t>
      </w:r>
      <w:bookmarkEnd w:id="151"/>
      <w:r>
        <w:rPr>
          <w:rStyle w:val="30"/>
          <w:rFonts w:ascii="Times New Roman" w:hAnsi="Times New Roman" w:eastAsia="仿宋" w:cs="Times New Roman"/>
          <w:b w:val="0"/>
          <w:bCs w:val="0"/>
        </w:rPr>
        <w:t>国有资本经营预算财政拨款支出决算表</w:t>
      </w:r>
      <w:bookmarkEnd w:id="152"/>
    </w:p>
    <w:p>
      <w:pPr>
        <w:pStyle w:val="3"/>
        <w:rPr>
          <w:rFonts w:ascii="Times New Roman" w:hAnsi="Times New Roman" w:eastAsia="仿宋" w:cs="Times New Roman"/>
        </w:rPr>
      </w:pPr>
      <w:bookmarkStart w:id="153" w:name="_Toc15396631"/>
      <w:bookmarkStart w:id="154" w:name="_Toc31803"/>
      <w:r>
        <w:rPr>
          <w:rStyle w:val="30"/>
          <w:rFonts w:ascii="Times New Roman" w:hAnsi="Times New Roman" w:eastAsia="仿宋" w:cs="Times New Roman"/>
          <w:b w:val="0"/>
          <w:bCs w:val="0"/>
        </w:rPr>
        <w:t>十三、</w:t>
      </w:r>
      <w:bookmarkEnd w:id="153"/>
      <w:r>
        <w:rPr>
          <w:rStyle w:val="30"/>
          <w:rFonts w:ascii="Times New Roman" w:hAnsi="Times New Roman" w:eastAsia="仿宋" w:cs="Times New Roman"/>
          <w:b w:val="0"/>
          <w:bCs w:val="0"/>
        </w:rPr>
        <w:t>财政拨款“三公”经费支出决算表</w:t>
      </w:r>
      <w:bookmarkEnd w:id="154"/>
    </w:p>
    <w:sectPr>
      <w:headerReference r:id="rId3" w:type="default"/>
      <w:footerReference r:id="rId4" w:type="default"/>
      <w:pgSz w:w="11906" w:h="16838"/>
      <w:pgMar w:top="2098" w:right="1531" w:bottom="1984" w:left="1531"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0"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80F3C52" w:usb2="00000016" w:usb3="00000000" w:csb0="0004001F" w:csb1="00000000"/>
  </w:font>
  <w:font w:name="方正小标宋简体">
    <w:panose1 w:val="02010601030101010101"/>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4781956"/>
    </w:sdtPr>
    <w:sdtContent>
      <w:p>
        <w:pPr>
          <w:pStyle w:val="9"/>
          <w:jc w:val="center"/>
        </w:pPr>
        <w:r>
          <w:fldChar w:fldCharType="begin"/>
        </w:r>
        <w:r>
          <w:instrText xml:space="preserve">PAGE   \* MERGEFORMAT</w:instrText>
        </w:r>
        <w:r>
          <w:fldChar w:fldCharType="separate"/>
        </w:r>
        <w:r>
          <w:rPr>
            <w:lang w:val="zh-CN"/>
          </w:rPr>
          <w:t>25</w:t>
        </w:r>
        <w:r>
          <w:rPr>
            <w:lang w:val="zh-CN"/>
          </w:rPr>
          <w:fldChar w:fldCharType="end"/>
        </w:r>
      </w:p>
    </w:sdtContent>
  </w:sdt>
  <w:p>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p>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2275AE"/>
    <w:multiLevelType w:val="singleLevel"/>
    <w:tmpl w:val="892275AE"/>
    <w:lvl w:ilvl="0" w:tentative="0">
      <w:start w:val="1"/>
      <w:numFmt w:val="chineseCounting"/>
      <w:suff w:val="nothing"/>
      <w:lvlText w:val="（%1）"/>
      <w:lvlJc w:val="left"/>
      <w:rPr>
        <w:rFonts w:hint="eastAsia"/>
      </w:rPr>
    </w:lvl>
  </w:abstractNum>
  <w:abstractNum w:abstractNumId="1">
    <w:nsid w:val="C7639035"/>
    <w:multiLevelType w:val="singleLevel"/>
    <w:tmpl w:val="C7639035"/>
    <w:lvl w:ilvl="0" w:tentative="0">
      <w:start w:val="4"/>
      <w:numFmt w:val="chineseCounting"/>
      <w:suff w:val="nothing"/>
      <w:lvlText w:val="（%1）"/>
      <w:lvlJc w:val="left"/>
      <w:rPr>
        <w:rFonts w:hint="eastAsia"/>
      </w:rPr>
    </w:lvl>
  </w:abstractNum>
  <w:abstractNum w:abstractNumId="2">
    <w:nsid w:val="CF652CEC"/>
    <w:multiLevelType w:val="singleLevel"/>
    <w:tmpl w:val="CF652CEC"/>
    <w:lvl w:ilvl="0" w:tentative="0">
      <w:start w:val="9"/>
      <w:numFmt w:val="chineseCounting"/>
      <w:suff w:val="nothing"/>
      <w:lvlText w:val="%1、"/>
      <w:lvlJc w:val="left"/>
      <w:rPr>
        <w:rFonts w:hint="eastAsia"/>
      </w:rPr>
    </w:lvl>
  </w:abstractNum>
  <w:abstractNum w:abstractNumId="3">
    <w:nsid w:val="DEBEF323"/>
    <w:multiLevelType w:val="singleLevel"/>
    <w:tmpl w:val="DEBEF323"/>
    <w:lvl w:ilvl="0" w:tentative="0">
      <w:start w:val="4"/>
      <w:numFmt w:val="chineseCounting"/>
      <w:suff w:val="nothing"/>
      <w:lvlText w:val="（%1）"/>
      <w:lvlJc w:val="left"/>
      <w:rPr>
        <w:rFonts w:hint="eastAsia"/>
      </w:rPr>
    </w:lvl>
  </w:abstractNum>
  <w:abstractNum w:abstractNumId="4">
    <w:nsid w:val="E2FA047D"/>
    <w:multiLevelType w:val="singleLevel"/>
    <w:tmpl w:val="E2FA047D"/>
    <w:lvl w:ilvl="0" w:tentative="0">
      <w:start w:val="3"/>
      <w:numFmt w:val="chineseCounting"/>
      <w:suff w:val="space"/>
      <w:lvlText w:val="第%1部分"/>
      <w:lvlJc w:val="left"/>
      <w:rPr>
        <w:rFonts w:hint="eastAsia"/>
      </w:rPr>
    </w:lvl>
  </w:abstractNum>
  <w:abstractNum w:abstractNumId="5">
    <w:nsid w:val="FC0CB0F6"/>
    <w:multiLevelType w:val="singleLevel"/>
    <w:tmpl w:val="FC0CB0F6"/>
    <w:lvl w:ilvl="0" w:tentative="0">
      <w:start w:val="4"/>
      <w:numFmt w:val="decimal"/>
      <w:suff w:val="nothing"/>
      <w:lvlText w:val="%1．"/>
      <w:lvlJc w:val="left"/>
    </w:lvl>
  </w:abstractNum>
  <w:abstractNum w:abstractNumId="6">
    <w:nsid w:val="FFF674BC"/>
    <w:multiLevelType w:val="singleLevel"/>
    <w:tmpl w:val="FFF674BC"/>
    <w:lvl w:ilvl="0" w:tentative="0">
      <w:start w:val="1"/>
      <w:numFmt w:val="chineseCounting"/>
      <w:suff w:val="nothing"/>
      <w:lvlText w:val="%1、"/>
      <w:lvlJc w:val="left"/>
      <w:rPr>
        <w:rFonts w:hint="eastAsia"/>
      </w:rPr>
    </w:lvl>
  </w:abstractNum>
  <w:abstractNum w:abstractNumId="7">
    <w:nsid w:val="0FD16D87"/>
    <w:multiLevelType w:val="multilevel"/>
    <w:tmpl w:val="0FD16D87"/>
    <w:lvl w:ilvl="0" w:tentative="0">
      <w:start w:val="1"/>
      <w:numFmt w:val="japaneseCounting"/>
      <w:lvlText w:val="%1、"/>
      <w:lvlJc w:val="left"/>
      <w:pPr>
        <w:ind w:left="630" w:hanging="63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9">
    <w:nsid w:val="2753858F"/>
    <w:multiLevelType w:val="singleLevel"/>
    <w:tmpl w:val="2753858F"/>
    <w:lvl w:ilvl="0" w:tentative="0">
      <w:start w:val="1"/>
      <w:numFmt w:val="chineseCounting"/>
      <w:suff w:val="nothing"/>
      <w:lvlText w:val="（%1）"/>
      <w:lvlJc w:val="left"/>
      <w:rPr>
        <w:rFonts w:hint="eastAsia"/>
      </w:rPr>
    </w:lvl>
  </w:abstractNum>
  <w:num w:numId="1">
    <w:abstractNumId w:val="7"/>
  </w:num>
  <w:num w:numId="2">
    <w:abstractNumId w:val="8"/>
  </w:num>
  <w:num w:numId="3">
    <w:abstractNumId w:val="2"/>
  </w:num>
  <w:num w:numId="4">
    <w:abstractNumId w:val="4"/>
  </w:num>
  <w:num w:numId="5">
    <w:abstractNumId w:val="6"/>
  </w:num>
  <w:num w:numId="6">
    <w:abstractNumId w:val="9"/>
  </w:num>
  <w:num w:numId="7">
    <w:abstractNumId w:val="1"/>
  </w:num>
  <w:num w:numId="8">
    <w:abstractNumId w:val="3"/>
  </w:num>
  <w:num w:numId="9">
    <w:abstractNumId w:val="5"/>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2Y2MzRkOTNiNjMyZjRjOWQ3ZWEwMmZmMTczYjg3YjgifQ=="/>
  </w:docVars>
  <w:rsids>
    <w:rsidRoot w:val="00F1361C"/>
    <w:rsid w:val="000222C6"/>
    <w:rsid w:val="00023A89"/>
    <w:rsid w:val="0002549F"/>
    <w:rsid w:val="000468DB"/>
    <w:rsid w:val="0006487A"/>
    <w:rsid w:val="00064F47"/>
    <w:rsid w:val="00065C68"/>
    <w:rsid w:val="00065F8F"/>
    <w:rsid w:val="00070A43"/>
    <w:rsid w:val="000768F2"/>
    <w:rsid w:val="0009184B"/>
    <w:rsid w:val="00094236"/>
    <w:rsid w:val="00095612"/>
    <w:rsid w:val="0009593C"/>
    <w:rsid w:val="00097322"/>
    <w:rsid w:val="000A6A92"/>
    <w:rsid w:val="000B047F"/>
    <w:rsid w:val="000B5923"/>
    <w:rsid w:val="000B5A48"/>
    <w:rsid w:val="000B6FF3"/>
    <w:rsid w:val="000C3467"/>
    <w:rsid w:val="000C3CA6"/>
    <w:rsid w:val="000D1267"/>
    <w:rsid w:val="000D1D50"/>
    <w:rsid w:val="000D5782"/>
    <w:rsid w:val="000E45CD"/>
    <w:rsid w:val="000E6613"/>
    <w:rsid w:val="000E7119"/>
    <w:rsid w:val="0011008B"/>
    <w:rsid w:val="00113DBD"/>
    <w:rsid w:val="00114E9B"/>
    <w:rsid w:val="00136D0C"/>
    <w:rsid w:val="00142216"/>
    <w:rsid w:val="00144AA8"/>
    <w:rsid w:val="00144D6A"/>
    <w:rsid w:val="0014729F"/>
    <w:rsid w:val="00157BAB"/>
    <w:rsid w:val="001654D1"/>
    <w:rsid w:val="00174518"/>
    <w:rsid w:val="0018106D"/>
    <w:rsid w:val="00185434"/>
    <w:rsid w:val="001877A7"/>
    <w:rsid w:val="00191536"/>
    <w:rsid w:val="00196687"/>
    <w:rsid w:val="001A1D85"/>
    <w:rsid w:val="001C0962"/>
    <w:rsid w:val="001D7531"/>
    <w:rsid w:val="001E2FF1"/>
    <w:rsid w:val="001E737D"/>
    <w:rsid w:val="001F0592"/>
    <w:rsid w:val="001F7506"/>
    <w:rsid w:val="002006CD"/>
    <w:rsid w:val="00202B36"/>
    <w:rsid w:val="00204B7A"/>
    <w:rsid w:val="00204CDE"/>
    <w:rsid w:val="0021101A"/>
    <w:rsid w:val="00217081"/>
    <w:rsid w:val="00220536"/>
    <w:rsid w:val="00235629"/>
    <w:rsid w:val="002376A5"/>
    <w:rsid w:val="00247B82"/>
    <w:rsid w:val="00260C38"/>
    <w:rsid w:val="002616C0"/>
    <w:rsid w:val="00265372"/>
    <w:rsid w:val="002662AA"/>
    <w:rsid w:val="00280496"/>
    <w:rsid w:val="00294DC9"/>
    <w:rsid w:val="00295495"/>
    <w:rsid w:val="002A31DE"/>
    <w:rsid w:val="002B1035"/>
    <w:rsid w:val="002B2613"/>
    <w:rsid w:val="002C1D5F"/>
    <w:rsid w:val="002C626E"/>
    <w:rsid w:val="002D6D05"/>
    <w:rsid w:val="002F1818"/>
    <w:rsid w:val="002F567B"/>
    <w:rsid w:val="00310C4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34489"/>
    <w:rsid w:val="00437085"/>
    <w:rsid w:val="00443880"/>
    <w:rsid w:val="004464F4"/>
    <w:rsid w:val="00446E63"/>
    <w:rsid w:val="00447F2B"/>
    <w:rsid w:val="00467094"/>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25E15"/>
    <w:rsid w:val="005664BB"/>
    <w:rsid w:val="00566FFA"/>
    <w:rsid w:val="0057481D"/>
    <w:rsid w:val="0058486E"/>
    <w:rsid w:val="00585B33"/>
    <w:rsid w:val="0059014D"/>
    <w:rsid w:val="005B5C64"/>
    <w:rsid w:val="005B67C6"/>
    <w:rsid w:val="005C5337"/>
    <w:rsid w:val="005C6BD0"/>
    <w:rsid w:val="005D1C8B"/>
    <w:rsid w:val="005D468D"/>
    <w:rsid w:val="005D5CED"/>
    <w:rsid w:val="005D7D8C"/>
    <w:rsid w:val="005E2322"/>
    <w:rsid w:val="005F1A4C"/>
    <w:rsid w:val="00605688"/>
    <w:rsid w:val="006070AF"/>
    <w:rsid w:val="00607E6C"/>
    <w:rsid w:val="006101B1"/>
    <w:rsid w:val="00614E44"/>
    <w:rsid w:val="00615275"/>
    <w:rsid w:val="0062270A"/>
    <w:rsid w:val="00622830"/>
    <w:rsid w:val="00623DA0"/>
    <w:rsid w:val="00630AEF"/>
    <w:rsid w:val="006325F8"/>
    <w:rsid w:val="00633463"/>
    <w:rsid w:val="00634C9A"/>
    <w:rsid w:val="006440E4"/>
    <w:rsid w:val="006512B0"/>
    <w:rsid w:val="0066343B"/>
    <w:rsid w:val="00664777"/>
    <w:rsid w:val="0067280B"/>
    <w:rsid w:val="006748A4"/>
    <w:rsid w:val="00674F2B"/>
    <w:rsid w:val="00681A31"/>
    <w:rsid w:val="00683E73"/>
    <w:rsid w:val="006952CE"/>
    <w:rsid w:val="00696DD4"/>
    <w:rsid w:val="006A3141"/>
    <w:rsid w:val="006A5E34"/>
    <w:rsid w:val="006B2422"/>
    <w:rsid w:val="006B2B9A"/>
    <w:rsid w:val="006C1937"/>
    <w:rsid w:val="006F020C"/>
    <w:rsid w:val="007127B7"/>
    <w:rsid w:val="0071798E"/>
    <w:rsid w:val="007416B6"/>
    <w:rsid w:val="00746F48"/>
    <w:rsid w:val="0075404D"/>
    <w:rsid w:val="0076182A"/>
    <w:rsid w:val="00767B7E"/>
    <w:rsid w:val="007770C3"/>
    <w:rsid w:val="0078300D"/>
    <w:rsid w:val="00784D24"/>
    <w:rsid w:val="00785FBA"/>
    <w:rsid w:val="00786E4A"/>
    <w:rsid w:val="007875EB"/>
    <w:rsid w:val="0079426B"/>
    <w:rsid w:val="007961A6"/>
    <w:rsid w:val="007B3E81"/>
    <w:rsid w:val="007D1682"/>
    <w:rsid w:val="007D312A"/>
    <w:rsid w:val="007D3F19"/>
    <w:rsid w:val="007E23B0"/>
    <w:rsid w:val="007E23E5"/>
    <w:rsid w:val="007F1991"/>
    <w:rsid w:val="007F2C2F"/>
    <w:rsid w:val="007F55FC"/>
    <w:rsid w:val="007F5665"/>
    <w:rsid w:val="00800112"/>
    <w:rsid w:val="00807A7D"/>
    <w:rsid w:val="00813348"/>
    <w:rsid w:val="008253BB"/>
    <w:rsid w:val="00831D07"/>
    <w:rsid w:val="0083706E"/>
    <w:rsid w:val="008408F6"/>
    <w:rsid w:val="008423A5"/>
    <w:rsid w:val="00850625"/>
    <w:rsid w:val="00853718"/>
    <w:rsid w:val="00855221"/>
    <w:rsid w:val="00860645"/>
    <w:rsid w:val="00864F91"/>
    <w:rsid w:val="00871F71"/>
    <w:rsid w:val="00872690"/>
    <w:rsid w:val="00872FD8"/>
    <w:rsid w:val="00885AF4"/>
    <w:rsid w:val="008939CD"/>
    <w:rsid w:val="008B768C"/>
    <w:rsid w:val="008C4DB1"/>
    <w:rsid w:val="008C4EAF"/>
    <w:rsid w:val="008C5176"/>
    <w:rsid w:val="008C7FD0"/>
    <w:rsid w:val="008D0AF6"/>
    <w:rsid w:val="008E1DE7"/>
    <w:rsid w:val="008E707C"/>
    <w:rsid w:val="00900B08"/>
    <w:rsid w:val="00902155"/>
    <w:rsid w:val="00902FA3"/>
    <w:rsid w:val="00923564"/>
    <w:rsid w:val="0092392E"/>
    <w:rsid w:val="009315F9"/>
    <w:rsid w:val="00933499"/>
    <w:rsid w:val="00935C98"/>
    <w:rsid w:val="00943DCE"/>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E4DB6"/>
    <w:rsid w:val="009F1185"/>
    <w:rsid w:val="009F18CD"/>
    <w:rsid w:val="009F2A13"/>
    <w:rsid w:val="009F5540"/>
    <w:rsid w:val="009F7527"/>
    <w:rsid w:val="00A04EB0"/>
    <w:rsid w:val="00A13CC1"/>
    <w:rsid w:val="00A16847"/>
    <w:rsid w:val="00A237D8"/>
    <w:rsid w:val="00A268C4"/>
    <w:rsid w:val="00A307CD"/>
    <w:rsid w:val="00A331C8"/>
    <w:rsid w:val="00A40A00"/>
    <w:rsid w:val="00A4142F"/>
    <w:rsid w:val="00A422EB"/>
    <w:rsid w:val="00A45BB7"/>
    <w:rsid w:val="00A47C14"/>
    <w:rsid w:val="00A56DF2"/>
    <w:rsid w:val="00A56E6E"/>
    <w:rsid w:val="00A67AB5"/>
    <w:rsid w:val="00A733B2"/>
    <w:rsid w:val="00A741C2"/>
    <w:rsid w:val="00A9106C"/>
    <w:rsid w:val="00A91760"/>
    <w:rsid w:val="00A93B00"/>
    <w:rsid w:val="00A93C21"/>
    <w:rsid w:val="00AB199E"/>
    <w:rsid w:val="00AB2353"/>
    <w:rsid w:val="00AB64C9"/>
    <w:rsid w:val="00AC3C6A"/>
    <w:rsid w:val="00AD5620"/>
    <w:rsid w:val="00AD656B"/>
    <w:rsid w:val="00AD7C1B"/>
    <w:rsid w:val="00AE16BA"/>
    <w:rsid w:val="00AE1EBE"/>
    <w:rsid w:val="00AE6F8E"/>
    <w:rsid w:val="00AF0A50"/>
    <w:rsid w:val="00B03C9D"/>
    <w:rsid w:val="00B060AE"/>
    <w:rsid w:val="00B10517"/>
    <w:rsid w:val="00B14CC2"/>
    <w:rsid w:val="00B14E76"/>
    <w:rsid w:val="00B161B8"/>
    <w:rsid w:val="00B2048C"/>
    <w:rsid w:val="00B2721E"/>
    <w:rsid w:val="00B310B9"/>
    <w:rsid w:val="00B35F3F"/>
    <w:rsid w:val="00B36CBB"/>
    <w:rsid w:val="00B425E0"/>
    <w:rsid w:val="00B440AA"/>
    <w:rsid w:val="00B44B70"/>
    <w:rsid w:val="00B522A4"/>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33E72"/>
    <w:rsid w:val="00C354B2"/>
    <w:rsid w:val="00C35554"/>
    <w:rsid w:val="00C42709"/>
    <w:rsid w:val="00C52575"/>
    <w:rsid w:val="00C533CC"/>
    <w:rsid w:val="00C5751C"/>
    <w:rsid w:val="00C61BFC"/>
    <w:rsid w:val="00C62B85"/>
    <w:rsid w:val="00C65438"/>
    <w:rsid w:val="00C663B3"/>
    <w:rsid w:val="00C87FD8"/>
    <w:rsid w:val="00C91381"/>
    <w:rsid w:val="00C91CBB"/>
    <w:rsid w:val="00CB4E70"/>
    <w:rsid w:val="00CC09B6"/>
    <w:rsid w:val="00CC640D"/>
    <w:rsid w:val="00CC666F"/>
    <w:rsid w:val="00CC6BAC"/>
    <w:rsid w:val="00CD1E3F"/>
    <w:rsid w:val="00CE44F6"/>
    <w:rsid w:val="00CE49DA"/>
    <w:rsid w:val="00CE7B61"/>
    <w:rsid w:val="00D00095"/>
    <w:rsid w:val="00D114F0"/>
    <w:rsid w:val="00D20620"/>
    <w:rsid w:val="00D254F7"/>
    <w:rsid w:val="00D26091"/>
    <w:rsid w:val="00D2685C"/>
    <w:rsid w:val="00D34E7C"/>
    <w:rsid w:val="00D34F17"/>
    <w:rsid w:val="00D35489"/>
    <w:rsid w:val="00D36AFE"/>
    <w:rsid w:val="00D410BE"/>
    <w:rsid w:val="00D43392"/>
    <w:rsid w:val="00D51276"/>
    <w:rsid w:val="00D7035F"/>
    <w:rsid w:val="00DA634F"/>
    <w:rsid w:val="00DA65AC"/>
    <w:rsid w:val="00DB1913"/>
    <w:rsid w:val="00DC410D"/>
    <w:rsid w:val="00DC4B63"/>
    <w:rsid w:val="00DC5A81"/>
    <w:rsid w:val="00DC68CA"/>
    <w:rsid w:val="00DC7CBA"/>
    <w:rsid w:val="00DD73B7"/>
    <w:rsid w:val="00DE1D01"/>
    <w:rsid w:val="00DE3290"/>
    <w:rsid w:val="00DF06E2"/>
    <w:rsid w:val="00DF28BC"/>
    <w:rsid w:val="00DF34B9"/>
    <w:rsid w:val="00E01053"/>
    <w:rsid w:val="00E07ACF"/>
    <w:rsid w:val="00E22135"/>
    <w:rsid w:val="00E331A1"/>
    <w:rsid w:val="00E33202"/>
    <w:rsid w:val="00E336A9"/>
    <w:rsid w:val="00E472B1"/>
    <w:rsid w:val="00E50624"/>
    <w:rsid w:val="00E5285B"/>
    <w:rsid w:val="00E568DF"/>
    <w:rsid w:val="00E64269"/>
    <w:rsid w:val="00E82267"/>
    <w:rsid w:val="00E853CE"/>
    <w:rsid w:val="00E867B6"/>
    <w:rsid w:val="00EA010F"/>
    <w:rsid w:val="00ED1B63"/>
    <w:rsid w:val="00ED3C1F"/>
    <w:rsid w:val="00ED4085"/>
    <w:rsid w:val="00ED420E"/>
    <w:rsid w:val="00ED6FBE"/>
    <w:rsid w:val="00EE2F57"/>
    <w:rsid w:val="00EF39C0"/>
    <w:rsid w:val="00EF4C34"/>
    <w:rsid w:val="00EF77C6"/>
    <w:rsid w:val="00F02839"/>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F1E02"/>
    <w:rsid w:val="00FF30B4"/>
    <w:rsid w:val="015975B8"/>
    <w:rsid w:val="019B2BEF"/>
    <w:rsid w:val="01B87A71"/>
    <w:rsid w:val="01C75E8D"/>
    <w:rsid w:val="02143E91"/>
    <w:rsid w:val="0249021F"/>
    <w:rsid w:val="062830F5"/>
    <w:rsid w:val="066E0107"/>
    <w:rsid w:val="0734324F"/>
    <w:rsid w:val="07996F6E"/>
    <w:rsid w:val="09945539"/>
    <w:rsid w:val="09B515FF"/>
    <w:rsid w:val="09D726B7"/>
    <w:rsid w:val="0A2032A3"/>
    <w:rsid w:val="0F98263C"/>
    <w:rsid w:val="101860EC"/>
    <w:rsid w:val="10C055FF"/>
    <w:rsid w:val="10E51584"/>
    <w:rsid w:val="11623F2F"/>
    <w:rsid w:val="118107EC"/>
    <w:rsid w:val="11F81162"/>
    <w:rsid w:val="12032937"/>
    <w:rsid w:val="13A63FC3"/>
    <w:rsid w:val="13D50BC4"/>
    <w:rsid w:val="15D622E7"/>
    <w:rsid w:val="161C2C4B"/>
    <w:rsid w:val="16BB723D"/>
    <w:rsid w:val="17EF4597"/>
    <w:rsid w:val="19DF013E"/>
    <w:rsid w:val="1BC20B26"/>
    <w:rsid w:val="1BE8440E"/>
    <w:rsid w:val="1CDD6D9F"/>
    <w:rsid w:val="1D155CEE"/>
    <w:rsid w:val="1F3B422A"/>
    <w:rsid w:val="1F3C1B5B"/>
    <w:rsid w:val="1F643726"/>
    <w:rsid w:val="1FB10F53"/>
    <w:rsid w:val="1FF35744"/>
    <w:rsid w:val="20DF2F80"/>
    <w:rsid w:val="21225AE8"/>
    <w:rsid w:val="21455474"/>
    <w:rsid w:val="22364E1D"/>
    <w:rsid w:val="229C673D"/>
    <w:rsid w:val="23860B96"/>
    <w:rsid w:val="240371BF"/>
    <w:rsid w:val="24527311"/>
    <w:rsid w:val="27046950"/>
    <w:rsid w:val="27597E1C"/>
    <w:rsid w:val="29FD04D3"/>
    <w:rsid w:val="2AF775F0"/>
    <w:rsid w:val="2B856638"/>
    <w:rsid w:val="2B9B6F57"/>
    <w:rsid w:val="2C791678"/>
    <w:rsid w:val="2C8A61B5"/>
    <w:rsid w:val="2DF04E50"/>
    <w:rsid w:val="2E6818F3"/>
    <w:rsid w:val="2F040D46"/>
    <w:rsid w:val="30677F4F"/>
    <w:rsid w:val="309D3028"/>
    <w:rsid w:val="319F7F4E"/>
    <w:rsid w:val="31D9734B"/>
    <w:rsid w:val="3304709D"/>
    <w:rsid w:val="338C1238"/>
    <w:rsid w:val="34064E7E"/>
    <w:rsid w:val="3444459E"/>
    <w:rsid w:val="36AA5135"/>
    <w:rsid w:val="376D39B2"/>
    <w:rsid w:val="37732382"/>
    <w:rsid w:val="37E16F03"/>
    <w:rsid w:val="38D469F0"/>
    <w:rsid w:val="392D6FD1"/>
    <w:rsid w:val="39C26D96"/>
    <w:rsid w:val="3A5913BB"/>
    <w:rsid w:val="3AFB3784"/>
    <w:rsid w:val="3B7F216D"/>
    <w:rsid w:val="3C853D67"/>
    <w:rsid w:val="3CCB0A1D"/>
    <w:rsid w:val="3D0D06A1"/>
    <w:rsid w:val="3D98207C"/>
    <w:rsid w:val="3E78745D"/>
    <w:rsid w:val="41126927"/>
    <w:rsid w:val="41FA329B"/>
    <w:rsid w:val="4367618F"/>
    <w:rsid w:val="43832EC9"/>
    <w:rsid w:val="44146B06"/>
    <w:rsid w:val="44513192"/>
    <w:rsid w:val="44E268DA"/>
    <w:rsid w:val="45D65DD5"/>
    <w:rsid w:val="47471A77"/>
    <w:rsid w:val="474F4272"/>
    <w:rsid w:val="4840005F"/>
    <w:rsid w:val="48CA08A8"/>
    <w:rsid w:val="4918279A"/>
    <w:rsid w:val="4A2C2648"/>
    <w:rsid w:val="4A627F82"/>
    <w:rsid w:val="4B0E749A"/>
    <w:rsid w:val="4B433E76"/>
    <w:rsid w:val="4B4F25DA"/>
    <w:rsid w:val="4BE068DB"/>
    <w:rsid w:val="4BEB7E45"/>
    <w:rsid w:val="4D3D2AAD"/>
    <w:rsid w:val="4D4F5EB0"/>
    <w:rsid w:val="4D577224"/>
    <w:rsid w:val="4EAB630A"/>
    <w:rsid w:val="4ECE2238"/>
    <w:rsid w:val="4F0E0E3E"/>
    <w:rsid w:val="50722786"/>
    <w:rsid w:val="52914B20"/>
    <w:rsid w:val="52EA2E41"/>
    <w:rsid w:val="537B6EE9"/>
    <w:rsid w:val="537E6D0A"/>
    <w:rsid w:val="54612138"/>
    <w:rsid w:val="55A734CB"/>
    <w:rsid w:val="57580CE6"/>
    <w:rsid w:val="58D65FE6"/>
    <w:rsid w:val="58F72073"/>
    <w:rsid w:val="59A23411"/>
    <w:rsid w:val="5AF92295"/>
    <w:rsid w:val="5B7756EE"/>
    <w:rsid w:val="5C976621"/>
    <w:rsid w:val="5CB544E6"/>
    <w:rsid w:val="5CD71FC4"/>
    <w:rsid w:val="5D801223"/>
    <w:rsid w:val="5DF15728"/>
    <w:rsid w:val="5DFD7C50"/>
    <w:rsid w:val="5E1E1436"/>
    <w:rsid w:val="5E3C16F3"/>
    <w:rsid w:val="5E9B181C"/>
    <w:rsid w:val="5F480DE2"/>
    <w:rsid w:val="5F7B3924"/>
    <w:rsid w:val="60877508"/>
    <w:rsid w:val="6153100C"/>
    <w:rsid w:val="633015A4"/>
    <w:rsid w:val="633471AA"/>
    <w:rsid w:val="6446501A"/>
    <w:rsid w:val="654C3747"/>
    <w:rsid w:val="6790037D"/>
    <w:rsid w:val="68D128E1"/>
    <w:rsid w:val="69047169"/>
    <w:rsid w:val="69147BFC"/>
    <w:rsid w:val="692F7142"/>
    <w:rsid w:val="697C1A2B"/>
    <w:rsid w:val="6A2B5972"/>
    <w:rsid w:val="6A427DF3"/>
    <w:rsid w:val="6B8D6867"/>
    <w:rsid w:val="6B924226"/>
    <w:rsid w:val="6C4A05C8"/>
    <w:rsid w:val="6D98667C"/>
    <w:rsid w:val="6D9D09CE"/>
    <w:rsid w:val="6E7E3605"/>
    <w:rsid w:val="6F190B3E"/>
    <w:rsid w:val="6F6A3147"/>
    <w:rsid w:val="6FF5CC65"/>
    <w:rsid w:val="715C0E4B"/>
    <w:rsid w:val="718722F2"/>
    <w:rsid w:val="71994071"/>
    <w:rsid w:val="72734D90"/>
    <w:rsid w:val="733E137A"/>
    <w:rsid w:val="73AD73D5"/>
    <w:rsid w:val="73B6EB34"/>
    <w:rsid w:val="73DB505B"/>
    <w:rsid w:val="744731E5"/>
    <w:rsid w:val="76E3355F"/>
    <w:rsid w:val="77693A35"/>
    <w:rsid w:val="778769C8"/>
    <w:rsid w:val="77C522E0"/>
    <w:rsid w:val="79EE5BA4"/>
    <w:rsid w:val="7A894339"/>
    <w:rsid w:val="7B164183"/>
    <w:rsid w:val="7B847A31"/>
    <w:rsid w:val="7C4B4E4D"/>
    <w:rsid w:val="7C883F37"/>
    <w:rsid w:val="7D0643D7"/>
    <w:rsid w:val="7DCA3869"/>
    <w:rsid w:val="7DCC1471"/>
    <w:rsid w:val="7EEA25C1"/>
    <w:rsid w:val="7EEF11D3"/>
    <w:rsid w:val="7FA30C79"/>
    <w:rsid w:val="7FB7269E"/>
    <w:rsid w:val="7FC96657"/>
    <w:rsid w:val="D8D6DB89"/>
    <w:rsid w:val="DB6F4CAB"/>
    <w:rsid w:val="DF6F9789"/>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9"/>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30"/>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33"/>
    <w:unhideWhenUsed/>
    <w:qFormat/>
    <w:uiPriority w:val="9"/>
    <w:pPr>
      <w:keepNext/>
      <w:keepLines/>
      <w:spacing w:before="260" w:after="260" w:line="416" w:lineRule="auto"/>
      <w:outlineLvl w:val="2"/>
    </w:pPr>
    <w:rPr>
      <w:b/>
      <w:bCs/>
      <w:sz w:val="32"/>
      <w:szCs w:val="32"/>
    </w:rPr>
  </w:style>
  <w:style w:type="character" w:default="1" w:styleId="16">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5">
    <w:name w:val="Body Text"/>
    <w:basedOn w:val="1"/>
    <w:link w:val="26"/>
    <w:qFormat/>
    <w:uiPriority w:val="99"/>
    <w:pPr>
      <w:spacing w:beforeLines="30"/>
    </w:pPr>
    <w:rPr>
      <w:rFonts w:ascii="仿宋_GB2312" w:eastAsia="仿宋_GB2312"/>
      <w:kern w:val="0"/>
      <w:sz w:val="30"/>
    </w:rPr>
  </w:style>
  <w:style w:type="paragraph" w:styleId="6">
    <w:name w:val="Body Text Indent"/>
    <w:basedOn w:val="1"/>
    <w:qFormat/>
    <w:uiPriority w:val="0"/>
    <w:pPr>
      <w:spacing w:after="120"/>
      <w:ind w:left="200" w:leftChars="200"/>
    </w:pPr>
    <w:rPr>
      <w:rFonts w:ascii="仿宋_GB2312"/>
      <w:szCs w:val="32"/>
    </w:rPr>
  </w:style>
  <w:style w:type="paragraph" w:styleId="7">
    <w:name w:val="toc 3"/>
    <w:basedOn w:val="1"/>
    <w:next w:val="1"/>
    <w:unhideWhenUsed/>
    <w:qFormat/>
    <w:uiPriority w:val="39"/>
    <w:pPr>
      <w:tabs>
        <w:tab w:val="right" w:leader="dot" w:pos="8296"/>
      </w:tabs>
      <w:ind w:left="840" w:leftChars="400"/>
    </w:pPr>
  </w:style>
  <w:style w:type="paragraph" w:styleId="8">
    <w:name w:val="Balloon Text"/>
    <w:basedOn w:val="1"/>
    <w:link w:val="32"/>
    <w:semiHidden/>
    <w:unhideWhenUsed/>
    <w:qFormat/>
    <w:uiPriority w:val="99"/>
    <w:rPr>
      <w:sz w:val="18"/>
      <w:szCs w:val="18"/>
    </w:rPr>
  </w:style>
  <w:style w:type="paragraph" w:styleId="9">
    <w:name w:val="footer"/>
    <w:basedOn w:val="1"/>
    <w:link w:val="20"/>
    <w:qFormat/>
    <w:uiPriority w:val="99"/>
    <w:pPr>
      <w:tabs>
        <w:tab w:val="center" w:pos="4153"/>
        <w:tab w:val="right" w:pos="8306"/>
      </w:tabs>
      <w:snapToGrid w:val="0"/>
      <w:jc w:val="left"/>
    </w:pPr>
    <w:rPr>
      <w:rFonts w:ascii="Calibri" w:hAnsi="Calibri"/>
      <w:kern w:val="0"/>
      <w:sz w:val="18"/>
      <w:szCs w:val="18"/>
    </w:rPr>
  </w:style>
  <w:style w:type="paragraph" w:styleId="10">
    <w:name w:val="header"/>
    <w:basedOn w:val="1"/>
    <w:link w:val="23"/>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1">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2">
    <w:name w:val="toc 2"/>
    <w:basedOn w:val="1"/>
    <w:next w:val="1"/>
    <w:unhideWhenUsed/>
    <w:qFormat/>
    <w:uiPriority w:val="39"/>
    <w:pPr>
      <w:tabs>
        <w:tab w:val="right" w:leader="dot" w:pos="8296"/>
      </w:tabs>
      <w:ind w:left="420" w:leftChars="200"/>
    </w:p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2"/>
    <w:basedOn w:val="6"/>
    <w:unhideWhenUsed/>
    <w:qFormat/>
    <w:uiPriority w:val="99"/>
    <w:pPr>
      <w:ind w:firstLine="420" w:firstLineChars="200"/>
    </w:pPr>
  </w:style>
  <w:style w:type="character" w:styleId="17">
    <w:name w:val="Strong"/>
    <w:basedOn w:val="16"/>
    <w:qFormat/>
    <w:uiPriority w:val="99"/>
    <w:rPr>
      <w:b/>
    </w:rPr>
  </w:style>
  <w:style w:type="character" w:styleId="18">
    <w:name w:val="FollowedHyperlink"/>
    <w:basedOn w:val="16"/>
    <w:semiHidden/>
    <w:unhideWhenUsed/>
    <w:qFormat/>
    <w:uiPriority w:val="99"/>
    <w:rPr>
      <w:color w:val="954F72"/>
      <w:u w:val="single"/>
    </w:rPr>
  </w:style>
  <w:style w:type="character" w:styleId="19">
    <w:name w:val="Hyperlink"/>
    <w:basedOn w:val="16"/>
    <w:unhideWhenUsed/>
    <w:qFormat/>
    <w:uiPriority w:val="99"/>
    <w:rPr>
      <w:color w:val="0000FF" w:themeColor="hyperlink"/>
      <w:u w:val="single"/>
    </w:rPr>
  </w:style>
  <w:style w:type="character" w:customStyle="1" w:styleId="20">
    <w:name w:val="页脚 Char"/>
    <w:link w:val="9"/>
    <w:qFormat/>
    <w:locked/>
    <w:uiPriority w:val="99"/>
    <w:rPr>
      <w:sz w:val="18"/>
    </w:rPr>
  </w:style>
  <w:style w:type="paragraph" w:customStyle="1" w:styleId="21">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character" w:customStyle="1" w:styleId="22">
    <w:name w:val="Header Char"/>
    <w:basedOn w:val="16"/>
    <w:semiHidden/>
    <w:qFormat/>
    <w:uiPriority w:val="99"/>
    <w:rPr>
      <w:rFonts w:ascii="Times New Roman" w:hAnsi="Times New Roman"/>
      <w:sz w:val="18"/>
      <w:szCs w:val="18"/>
    </w:rPr>
  </w:style>
  <w:style w:type="character" w:customStyle="1" w:styleId="23">
    <w:name w:val="页眉 Char"/>
    <w:link w:val="10"/>
    <w:semiHidden/>
    <w:qFormat/>
    <w:locked/>
    <w:uiPriority w:val="99"/>
    <w:rPr>
      <w:sz w:val="18"/>
    </w:rPr>
  </w:style>
  <w:style w:type="character" w:customStyle="1" w:styleId="24">
    <w:name w:val="Footer Char"/>
    <w:basedOn w:val="16"/>
    <w:semiHidden/>
    <w:qFormat/>
    <w:uiPriority w:val="99"/>
    <w:rPr>
      <w:rFonts w:ascii="Times New Roman" w:hAnsi="Times New Roman"/>
      <w:sz w:val="18"/>
      <w:szCs w:val="18"/>
    </w:rPr>
  </w:style>
  <w:style w:type="character" w:customStyle="1" w:styleId="25">
    <w:name w:val="Body Text Char"/>
    <w:basedOn w:val="16"/>
    <w:semiHidden/>
    <w:qFormat/>
    <w:uiPriority w:val="99"/>
    <w:rPr>
      <w:rFonts w:ascii="Times New Roman" w:hAnsi="Times New Roman"/>
      <w:szCs w:val="24"/>
    </w:rPr>
  </w:style>
  <w:style w:type="character" w:customStyle="1" w:styleId="26">
    <w:name w:val="正文文本 Char"/>
    <w:link w:val="5"/>
    <w:qFormat/>
    <w:locked/>
    <w:uiPriority w:val="99"/>
    <w:rPr>
      <w:rFonts w:ascii="仿宋_GB2312" w:hAnsi="Times New Roman" w:eastAsia="仿宋_GB2312"/>
      <w:sz w:val="24"/>
    </w:rPr>
  </w:style>
  <w:style w:type="paragraph" w:customStyle="1" w:styleId="27">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8">
    <w:name w:val="List Paragraph"/>
    <w:basedOn w:val="1"/>
    <w:qFormat/>
    <w:uiPriority w:val="34"/>
    <w:pPr>
      <w:ind w:firstLine="420" w:firstLineChars="200"/>
    </w:pPr>
  </w:style>
  <w:style w:type="character" w:customStyle="1" w:styleId="29">
    <w:name w:val="标题 1 Char"/>
    <w:basedOn w:val="16"/>
    <w:link w:val="2"/>
    <w:qFormat/>
    <w:uiPriority w:val="9"/>
    <w:rPr>
      <w:rFonts w:ascii="Times New Roman" w:hAnsi="Times New Roman"/>
      <w:b/>
      <w:bCs/>
      <w:kern w:val="44"/>
      <w:sz w:val="44"/>
      <w:szCs w:val="44"/>
    </w:rPr>
  </w:style>
  <w:style w:type="character" w:customStyle="1" w:styleId="30">
    <w:name w:val="标题 2 Char"/>
    <w:basedOn w:val="16"/>
    <w:link w:val="3"/>
    <w:qFormat/>
    <w:uiPriority w:val="9"/>
    <w:rPr>
      <w:rFonts w:asciiTheme="majorHAnsi" w:hAnsiTheme="majorHAnsi" w:eastAsiaTheme="majorEastAsia" w:cstheme="majorBidi"/>
      <w:b/>
      <w:bCs/>
      <w:kern w:val="2"/>
      <w:sz w:val="32"/>
      <w:szCs w:val="32"/>
    </w:rPr>
  </w:style>
  <w:style w:type="paragraph" w:customStyle="1" w:styleId="31">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32">
    <w:name w:val="批注框文本 Char"/>
    <w:basedOn w:val="16"/>
    <w:link w:val="8"/>
    <w:semiHidden/>
    <w:qFormat/>
    <w:uiPriority w:val="99"/>
    <w:rPr>
      <w:rFonts w:ascii="Times New Roman" w:hAnsi="Times New Roman"/>
      <w:kern w:val="2"/>
      <w:sz w:val="18"/>
      <w:szCs w:val="18"/>
    </w:rPr>
  </w:style>
  <w:style w:type="character" w:customStyle="1" w:styleId="33">
    <w:name w:val="标题 3 Char"/>
    <w:basedOn w:val="16"/>
    <w:link w:val="4"/>
    <w:qFormat/>
    <w:uiPriority w:val="9"/>
    <w:rPr>
      <w:rFonts w:ascii="Times New Roman" w:hAnsi="Times New Roman"/>
      <w:b/>
      <w:bCs/>
      <w:kern w:val="2"/>
      <w:sz w:val="32"/>
      <w:szCs w:val="32"/>
    </w:rPr>
  </w:style>
  <w:style w:type="paragraph" w:customStyle="1" w:styleId="34">
    <w:name w:val="TOC 标题2"/>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paragraph" w:customStyle="1" w:styleId="35">
    <w:name w:val="四号正文"/>
    <w:basedOn w:val="1"/>
    <w:qFormat/>
    <w:uiPriority w:val="0"/>
    <w:pPr>
      <w:spacing w:line="360" w:lineRule="auto"/>
    </w:pPr>
    <w:rPr>
      <w:rFonts w:ascii="??" w:hAnsi="??"/>
      <w:color w:val="000000"/>
      <w:kern w:val="0"/>
      <w:sz w:val="28"/>
      <w:szCs w:val="21"/>
      <w:lang w:val="zh-CN"/>
    </w:rPr>
  </w:style>
  <w:style w:type="paragraph" w:customStyle="1" w:styleId="36">
    <w:name w:val="TOC 标题3"/>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366091" w:themeColor="accent1" w:themeShade="BF"/>
      <w:kern w:val="0"/>
      <w:sz w:val="32"/>
      <w:szCs w:val="32"/>
    </w:rPr>
  </w:style>
  <w:style w:type="paragraph" w:customStyle="1" w:styleId="37">
    <w:name w:val="msonormal"/>
    <w:basedOn w:val="1"/>
    <w:qFormat/>
    <w:uiPriority w:val="0"/>
    <w:pPr>
      <w:widowControl/>
      <w:spacing w:before="100" w:beforeAutospacing="1" w:after="100" w:afterAutospacing="1"/>
      <w:jc w:val="left"/>
    </w:pPr>
    <w:rPr>
      <w:rFonts w:ascii="宋体" w:hAnsi="宋体" w:cs="宋体"/>
      <w:kern w:val="0"/>
      <w:sz w:val="24"/>
    </w:rPr>
  </w:style>
  <w:style w:type="paragraph" w:customStyle="1" w:styleId="38">
    <w:name w:val="font5"/>
    <w:basedOn w:val="1"/>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9">
    <w:name w:val="xl63"/>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宋体" w:hAnsi="宋体" w:cs="宋体"/>
      <w:color w:val="000000"/>
      <w:kern w:val="0"/>
      <w:sz w:val="18"/>
      <w:szCs w:val="18"/>
    </w:rPr>
  </w:style>
  <w:style w:type="paragraph" w:customStyle="1" w:styleId="40">
    <w:name w:val="xl64"/>
    <w:basedOn w:val="1"/>
    <w:qFormat/>
    <w:uiPriority w:val="0"/>
    <w:pPr>
      <w:widowControl/>
      <w:spacing w:before="100" w:beforeAutospacing="1" w:after="100" w:afterAutospacing="1"/>
      <w:jc w:val="left"/>
    </w:pPr>
    <w:rPr>
      <w:rFonts w:ascii="Courier New" w:hAnsi="Courier New" w:cs="Courier New"/>
      <w:color w:val="000000"/>
      <w:kern w:val="0"/>
      <w:sz w:val="18"/>
      <w:szCs w:val="18"/>
    </w:rPr>
  </w:style>
  <w:style w:type="paragraph" w:customStyle="1" w:styleId="41">
    <w:name w:val="xl65"/>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宋体" w:hAnsi="宋体" w:cs="宋体"/>
      <w:color w:val="000000"/>
      <w:kern w:val="0"/>
      <w:sz w:val="18"/>
      <w:szCs w:val="18"/>
    </w:rPr>
  </w:style>
  <w:style w:type="paragraph" w:customStyle="1" w:styleId="42">
    <w:name w:val="xl66"/>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宋体" w:hAnsi="宋体" w:cs="宋体"/>
      <w:color w:val="000000"/>
      <w:kern w:val="0"/>
      <w:sz w:val="18"/>
      <w:szCs w:val="18"/>
    </w:rPr>
  </w:style>
  <w:style w:type="paragraph" w:customStyle="1" w:styleId="43">
    <w:name w:val="xl67"/>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宋体" w:hAnsi="宋体" w:cs="宋体"/>
      <w:color w:val="000000"/>
      <w:kern w:val="0"/>
      <w:sz w:val="18"/>
      <w:szCs w:val="18"/>
    </w:rPr>
  </w:style>
  <w:style w:type="paragraph" w:customStyle="1" w:styleId="44">
    <w:name w:val="xl68"/>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微软雅黑" w:hAnsi="微软雅黑" w:eastAsia="微软雅黑" w:cs="宋体"/>
      <w:i/>
      <w:iCs/>
      <w:color w:val="000000"/>
      <w:kern w:val="0"/>
      <w:sz w:val="16"/>
      <w:szCs w:val="16"/>
    </w:rPr>
  </w:style>
  <w:style w:type="paragraph" w:customStyle="1" w:styleId="45">
    <w:name w:val="xl69"/>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46">
    <w:name w:val="xl70"/>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黑体" w:hAnsi="黑体" w:eastAsia="黑体" w:cs="宋体"/>
      <w:b/>
      <w:bCs/>
      <w:color w:val="000000"/>
      <w:kern w:val="0"/>
      <w:sz w:val="30"/>
      <w:szCs w:val="30"/>
    </w:rPr>
  </w:style>
  <w:style w:type="paragraph" w:customStyle="1" w:styleId="47">
    <w:name w:val="xl71"/>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Courier New" w:hAnsi="Courier New" w:cs="Courier New"/>
      <w:color w:val="000000"/>
      <w:kern w:val="0"/>
      <w:sz w:val="18"/>
      <w:szCs w:val="18"/>
    </w:rPr>
  </w:style>
  <w:style w:type="paragraph" w:customStyle="1" w:styleId="48">
    <w:name w:val="xl72"/>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Courier New" w:hAnsi="Courier New" w:cs="Courier New"/>
      <w:color w:val="000000"/>
      <w:kern w:val="0"/>
      <w:sz w:val="18"/>
      <w:szCs w:val="18"/>
    </w:rPr>
  </w:style>
  <w:style w:type="paragraph" w:customStyle="1" w:styleId="49">
    <w:name w:val="xl73"/>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Courier New" w:hAnsi="Courier New" w:cs="Courier New"/>
      <w:i/>
      <w:iCs/>
      <w:color w:val="000000"/>
      <w:kern w:val="0"/>
      <w:sz w:val="18"/>
      <w:szCs w:val="18"/>
    </w:rPr>
  </w:style>
  <w:style w:type="paragraph" w:customStyle="1" w:styleId="50">
    <w:name w:val="xl74"/>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微软雅黑" w:hAnsi="微软雅黑" w:eastAsia="微软雅黑" w:cs="宋体"/>
      <w:i/>
      <w:iCs/>
      <w:color w:val="000000"/>
      <w:kern w:val="0"/>
      <w:sz w:val="16"/>
      <w:szCs w:val="16"/>
    </w:rPr>
  </w:style>
  <w:style w:type="paragraph" w:customStyle="1" w:styleId="51">
    <w:name w:val="WPSOffice手动目录 1"/>
    <w:qFormat/>
    <w:uiPriority w:val="0"/>
    <w:rPr>
      <w:rFonts w:asciiTheme="minorHAnsi" w:hAnsiTheme="minorHAnsi" w:eastAsiaTheme="minorEastAsia" w:cstheme="minorBidi"/>
      <w:lang w:val="en-US" w:eastAsia="zh-CN" w:bidi="ar-SA"/>
    </w:rPr>
  </w:style>
  <w:style w:type="paragraph" w:customStyle="1" w:styleId="52">
    <w:name w:val="WPSOffice手动目录 2"/>
    <w:qFormat/>
    <w:uiPriority w:val="0"/>
    <w:pPr>
      <w:ind w:left="200" w:leftChars="200"/>
    </w:pPr>
    <w:rPr>
      <w:rFonts w:asciiTheme="minorHAnsi" w:hAnsiTheme="minorHAnsi" w:eastAsiaTheme="minorEastAsia" w:cstheme="minorBidi"/>
      <w:lang w:val="en-US" w:eastAsia="zh-CN" w:bidi="ar-SA"/>
    </w:rPr>
  </w:style>
  <w:style w:type="paragraph" w:customStyle="1" w:styleId="53">
    <w:name w:val="WPSOffice手动目录 3"/>
    <w:qFormat/>
    <w:uiPriority w:val="0"/>
    <w:pPr>
      <w:ind w:left="400" w:leftChars="400"/>
    </w:pPr>
    <w:rPr>
      <w:rFonts w:asciiTheme="minorHAnsi" w:hAnsiTheme="minorHAnsi" w:eastAsiaTheme="minorEastAsia" w:cstheme="minorBidi"/>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2.emf"/><Relationship Id="rId8" Type="http://schemas.openxmlformats.org/officeDocument/2006/relationships/oleObject" Target="embeddings/oleObject1.bin"/><Relationship Id="rId7" Type="http://schemas.openxmlformats.org/officeDocument/2006/relationships/image" Target="media/image1.emf"/><Relationship Id="rId6" Type="http://schemas.openxmlformats.org/officeDocument/2006/relationships/oleObject" Target="embeddings/Workbook1.xls"/><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3" Type="http://schemas.openxmlformats.org/officeDocument/2006/relationships/fontTable" Target="fontTable.xml"/><Relationship Id="rId22" Type="http://schemas.openxmlformats.org/officeDocument/2006/relationships/customXml" Target="../customXml/item2.xml"/><Relationship Id="rId21" Type="http://schemas.openxmlformats.org/officeDocument/2006/relationships/numbering" Target="numbering.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image" Target="media/image7.emf"/><Relationship Id="rId18" Type="http://schemas.openxmlformats.org/officeDocument/2006/relationships/oleObject" Target="embeddings/Workbook3.xls"/><Relationship Id="rId17" Type="http://schemas.openxmlformats.org/officeDocument/2006/relationships/image" Target="media/image6.emf"/><Relationship Id="rId16" Type="http://schemas.openxmlformats.org/officeDocument/2006/relationships/oleObject" Target="embeddings/oleObject4.bin"/><Relationship Id="rId15" Type="http://schemas.openxmlformats.org/officeDocument/2006/relationships/image" Target="media/image5.emf"/><Relationship Id="rId14" Type="http://schemas.openxmlformats.org/officeDocument/2006/relationships/oleObject" Target="embeddings/oleObject3.bin"/><Relationship Id="rId13" Type="http://schemas.openxmlformats.org/officeDocument/2006/relationships/image" Target="media/image4.emf"/><Relationship Id="rId12" Type="http://schemas.openxmlformats.org/officeDocument/2006/relationships/oleObject" Target="embeddings/oleObject2.bin"/><Relationship Id="rId11" Type="http://schemas.openxmlformats.org/officeDocument/2006/relationships/image" Target="media/image3.emf"/><Relationship Id="rId10" Type="http://schemas.openxmlformats.org/officeDocument/2006/relationships/oleObject" Target="embeddings/Workbook2.xls"/><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34"/>
    <customShpInfo spid="_x0000_s1028"/>
    <customShpInfo spid="_x0000_s1027"/>
    <customShpInfo spid="_x0000_s1029"/>
    <customShpInfo spid="_x0000_s1031"/>
    <customShpInfo spid="_x0000_s1032"/>
    <customShpInfo spid="_x0000_s1033"/>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2B089E2-D438-45B4-B1D5-CABA8630F864}">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33</Pages>
  <Words>11582</Words>
  <Characters>2873</Characters>
  <Lines>23</Lines>
  <Paragraphs>28</Paragraphs>
  <TotalTime>101</TotalTime>
  <ScaleCrop>false</ScaleCrop>
  <LinksUpToDate>false</LinksUpToDate>
  <CharactersWithSpaces>14427</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2020-08-05T01:49:00Z</dcterms:created>
  <dc:creator>曹颖</dc:creator>
  <cp:lastModifiedBy>Administrator</cp:lastModifiedBy>
  <cp:lastPrinted>2023-07-31T02:35:00Z</cp:lastPrinted>
  <dcterms:modified xsi:type="dcterms:W3CDTF">2023-09-18T06:47:46Z</dcterms:modified>
  <dc:title>四川省***</dc:title>
  <cp:revision>81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943A9B7B069543BA9D2902B16A4B4C1F_13</vt:lpwstr>
  </property>
</Properties>
</file>