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96597"/>
      <w:bookmarkStart w:id="1" w:name="_Toc15377425"/>
      <w:bookmarkStart w:id="2" w:name="_Toc15396475"/>
      <w:bookmarkStart w:id="3" w:name="_Toc15378441"/>
      <w:bookmarkStart w:id="4" w:name="_Toc15377193"/>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bookmarkEnd w:id="5"/>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6" w:name="_Toc15377426"/>
      <w:bookmarkStart w:id="7" w:name="_Toc15396598"/>
      <w:bookmarkStart w:id="8" w:name="_Toc15377194"/>
      <w:bookmarkStart w:id="9" w:name="_Toc15396476"/>
      <w:bookmarkStart w:id="10" w:name="_Toc15378442"/>
      <w:bookmarkStart w:id="11" w:name="_Toc15306268"/>
      <w:r>
        <w:rPr>
          <w:rFonts w:hint="eastAsia" w:ascii="方正小标宋简体" w:hAnsi="方正小标宋简体" w:eastAsia="方正小标宋简体" w:cs="方正小标宋简体"/>
          <w:sz w:val="72"/>
          <w:szCs w:val="72"/>
        </w:rPr>
        <w:t>盐边县人民</w:t>
      </w:r>
      <w:r>
        <w:rPr>
          <w:rFonts w:hint="eastAsia" w:ascii="方正小标宋简体" w:hAnsi="方正小标宋简体" w:eastAsia="方正小标宋简体" w:cs="方正小标宋简体"/>
          <w:sz w:val="72"/>
          <w:szCs w:val="72"/>
          <w:lang w:eastAsia="zh-CN"/>
        </w:rPr>
        <w:t>检察院</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sz w:val="52"/>
          <w:szCs w:val="5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公开时间：2023年9月</w:t>
      </w:r>
      <w:r>
        <w:t>1</w:t>
      </w:r>
      <w:r>
        <w:rPr>
          <w:rFonts w:hint="eastAsia"/>
          <w:lang w:val="en-US" w:eastAsia="zh-CN"/>
        </w:rPr>
        <w:t>5</w:t>
      </w:r>
      <w:r>
        <w:rPr>
          <w:rFonts w:hint="eastAsia"/>
        </w:rPr>
        <w:t>日</w:t>
      </w:r>
    </w:p>
    <w:p/>
    <w:p/>
    <w:p>
      <w:pPr>
        <w:pStyle w:val="11"/>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cstheme="minorBidi"/>
          <w:sz w:val="24"/>
          <w:szCs w:val="24"/>
        </w:rPr>
        <w:tab/>
      </w:r>
      <w:r>
        <w:rPr>
          <w:rFonts w:hint="eastAsia" w:cstheme="minorBidi"/>
          <w:sz w:val="24"/>
          <w:szCs w:val="24"/>
        </w:rPr>
        <w:t>4</w:t>
      </w:r>
    </w:p>
    <w:p>
      <w:pPr>
        <w:pStyle w:val="12"/>
        <w:adjustRightInd w:val="0"/>
        <w:snapToGrid w:val="0"/>
        <w:spacing w:line="440" w:lineRule="exact"/>
        <w:jc w:val="left"/>
        <w:rPr>
          <w:rFonts w:ascii="仿宋" w:hAnsi="仿宋"/>
          <w:sz w:val="24"/>
        </w:rPr>
      </w:pPr>
      <w:r>
        <w:rPr>
          <w:rFonts w:hint="eastAsia"/>
          <w:sz w:val="24"/>
        </w:rPr>
        <w:t>一、部门职责</w:t>
      </w:r>
      <w:r>
        <w:rPr>
          <w:rFonts w:cstheme="minorBidi"/>
          <w:sz w:val="24"/>
        </w:rPr>
        <w:tab/>
      </w:r>
      <w:r>
        <w:rPr>
          <w:rFonts w:hint="eastAsia" w:cstheme="minorBidi"/>
          <w:sz w:val="24"/>
        </w:rPr>
        <w:t>4</w:t>
      </w:r>
    </w:p>
    <w:p>
      <w:pPr>
        <w:pStyle w:val="12"/>
        <w:adjustRightInd w:val="0"/>
        <w:snapToGrid w:val="0"/>
        <w:spacing w:line="440" w:lineRule="exact"/>
        <w:jc w:val="left"/>
        <w:rPr>
          <w:rFonts w:ascii="仿宋" w:hAnsi="仿宋" w:cstheme="minorBidi"/>
          <w:sz w:val="24"/>
        </w:rPr>
      </w:pPr>
      <w:r>
        <w:rPr>
          <w:rFonts w:hint="eastAsia"/>
          <w:sz w:val="24"/>
        </w:rPr>
        <w:t>二、机构设置</w:t>
      </w:r>
      <w:r>
        <w:rPr>
          <w:rFonts w:cstheme="minorBidi"/>
          <w:sz w:val="24"/>
        </w:rPr>
        <w:tab/>
      </w:r>
      <w:r>
        <w:rPr>
          <w:rFonts w:hint="eastAsia" w:cstheme="minorBidi"/>
          <w:sz w:val="24"/>
        </w:rPr>
        <w:t>4</w:t>
      </w:r>
    </w:p>
    <w:p>
      <w:pPr>
        <w:pStyle w:val="11"/>
        <w:adjustRightInd w:val="0"/>
        <w:snapToGrid w:val="0"/>
        <w:spacing w:before="0" w:line="440" w:lineRule="exact"/>
        <w:jc w:val="left"/>
        <w:rPr>
          <w:sz w:val="24"/>
          <w:szCs w:val="24"/>
        </w:rPr>
      </w:pPr>
      <w:r>
        <w:rPr>
          <w:rFonts w:hint="eastAsia"/>
          <w:sz w:val="24"/>
        </w:rPr>
        <w:t>第二部分 2022年度部门决算情况说明</w:t>
      </w:r>
      <w:r>
        <w:rPr>
          <w:rFonts w:cstheme="minorBidi"/>
          <w:sz w:val="24"/>
        </w:rPr>
        <w:tab/>
      </w:r>
      <w:r>
        <w:rPr>
          <w:rFonts w:hint="eastAsia" w:cstheme="minorBidi"/>
          <w:sz w:val="24"/>
        </w:rPr>
        <w:t>5</w:t>
      </w:r>
    </w:p>
    <w:p>
      <w:pPr>
        <w:pStyle w:val="12"/>
        <w:adjustRightInd w:val="0"/>
        <w:snapToGrid w:val="0"/>
        <w:spacing w:line="440" w:lineRule="exact"/>
        <w:jc w:val="left"/>
        <w:rPr>
          <w:rFonts w:ascii="仿宋" w:hAnsi="仿宋" w:cstheme="minorBidi"/>
          <w:sz w:val="24"/>
        </w:rPr>
      </w:pPr>
      <w:r>
        <w:rPr>
          <w:rFonts w:hint="eastAsia"/>
          <w:sz w:val="24"/>
        </w:rPr>
        <w:t>一、收入支出决算总体情况说明</w:t>
      </w:r>
      <w:r>
        <w:rPr>
          <w:rFonts w:cstheme="minorBidi"/>
          <w:sz w:val="24"/>
        </w:rPr>
        <w:tab/>
      </w:r>
      <w:r>
        <w:rPr>
          <w:rFonts w:hint="eastAsia" w:cstheme="minorBidi"/>
          <w:sz w:val="24"/>
        </w:rPr>
        <w:t>5</w:t>
      </w:r>
    </w:p>
    <w:p>
      <w:pPr>
        <w:pStyle w:val="12"/>
        <w:adjustRightInd w:val="0"/>
        <w:snapToGrid w:val="0"/>
        <w:spacing w:line="440" w:lineRule="exact"/>
        <w:jc w:val="left"/>
        <w:rPr>
          <w:rFonts w:ascii="仿宋" w:hAnsi="仿宋" w:cstheme="minorBidi"/>
          <w:sz w:val="24"/>
        </w:rPr>
      </w:pPr>
      <w:r>
        <w:rPr>
          <w:rFonts w:hint="eastAsia"/>
          <w:sz w:val="24"/>
        </w:rPr>
        <w:t>二、收入决算情况说明</w:t>
      </w:r>
      <w:r>
        <w:rPr>
          <w:rFonts w:cstheme="minorBidi"/>
          <w:sz w:val="24"/>
        </w:rPr>
        <w:tab/>
      </w:r>
      <w:r>
        <w:rPr>
          <w:rFonts w:hint="eastAsia" w:cstheme="minorBidi"/>
          <w:sz w:val="24"/>
        </w:rPr>
        <w:t>5</w:t>
      </w:r>
    </w:p>
    <w:p>
      <w:pPr>
        <w:pStyle w:val="12"/>
        <w:adjustRightInd w:val="0"/>
        <w:snapToGrid w:val="0"/>
        <w:spacing w:line="440" w:lineRule="exact"/>
        <w:jc w:val="left"/>
        <w:rPr>
          <w:rFonts w:ascii="仿宋" w:hAnsi="仿宋" w:cstheme="minorBidi"/>
          <w:sz w:val="24"/>
        </w:rPr>
      </w:pPr>
      <w:r>
        <w:rPr>
          <w:rFonts w:hint="eastAsia"/>
          <w:sz w:val="24"/>
        </w:rPr>
        <w:t>三、支出决算情况说明</w:t>
      </w:r>
      <w:r>
        <w:rPr>
          <w:rFonts w:cstheme="minorBidi"/>
          <w:sz w:val="24"/>
        </w:rPr>
        <w:tab/>
      </w:r>
      <w:r>
        <w:rPr>
          <w:rFonts w:hint="eastAsia" w:cstheme="minorBidi"/>
          <w:sz w:val="24"/>
        </w:rPr>
        <w:t>6</w:t>
      </w:r>
    </w:p>
    <w:p>
      <w:pPr>
        <w:pStyle w:val="12"/>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cstheme="minorBidi"/>
          <w:sz w:val="24"/>
        </w:rPr>
        <w:tab/>
      </w:r>
      <w:r>
        <w:rPr>
          <w:rFonts w:hint="eastAsia" w:cstheme="minorBidi"/>
          <w:sz w:val="24"/>
        </w:rPr>
        <w:t>7</w:t>
      </w:r>
    </w:p>
    <w:p>
      <w:pPr>
        <w:pStyle w:val="12"/>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rPr>
          <w:rFonts w:cstheme="minorBidi"/>
          <w:sz w:val="24"/>
        </w:rPr>
        <w:tab/>
      </w:r>
      <w:r>
        <w:rPr>
          <w:rFonts w:hint="eastAsia" w:cstheme="minorBidi"/>
          <w:sz w:val="24"/>
        </w:rPr>
        <w:t>8</w:t>
      </w:r>
    </w:p>
    <w:p>
      <w:pPr>
        <w:pStyle w:val="12"/>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rFonts w:cstheme="minorBidi"/>
          <w:sz w:val="24"/>
        </w:rPr>
        <w:tab/>
      </w:r>
      <w:r>
        <w:rPr>
          <w:rFonts w:hint="eastAsia" w:cstheme="minorBidi"/>
          <w:sz w:val="24"/>
        </w:rPr>
        <w:t>10</w:t>
      </w:r>
    </w:p>
    <w:p>
      <w:pPr>
        <w:pStyle w:val="12"/>
        <w:adjustRightInd w:val="0"/>
        <w:snapToGrid w:val="0"/>
        <w:spacing w:line="440" w:lineRule="exact"/>
        <w:jc w:val="left"/>
        <w:rPr>
          <w:rFonts w:ascii="仿宋" w:hAnsi="仿宋" w:cstheme="minorBidi"/>
          <w:sz w:val="24"/>
        </w:rPr>
      </w:pPr>
      <w:r>
        <w:rPr>
          <w:rFonts w:hint="eastAsia"/>
          <w:sz w:val="24"/>
        </w:rPr>
        <w:t>七、财政拨款“三公”经费支出决算情况说明</w:t>
      </w:r>
      <w:r>
        <w:rPr>
          <w:rFonts w:cstheme="minorBidi"/>
          <w:sz w:val="24"/>
        </w:rPr>
        <w:tab/>
      </w:r>
      <w:r>
        <w:rPr>
          <w:rFonts w:hint="eastAsia" w:cstheme="minorBidi"/>
          <w:sz w:val="24"/>
        </w:rPr>
        <w:t>10</w:t>
      </w:r>
    </w:p>
    <w:p>
      <w:pPr>
        <w:pStyle w:val="12"/>
        <w:adjustRightInd w:val="0"/>
        <w:snapToGrid w:val="0"/>
        <w:spacing w:line="440" w:lineRule="exact"/>
        <w:jc w:val="left"/>
        <w:rPr>
          <w:rFonts w:ascii="仿宋" w:hAnsi="仿宋" w:cstheme="minorBidi"/>
          <w:sz w:val="24"/>
        </w:rPr>
      </w:pPr>
      <w:r>
        <w:rPr>
          <w:rFonts w:hint="eastAsia"/>
          <w:sz w:val="24"/>
        </w:rPr>
        <w:t>八、政府性基金预算支出决算情况说明</w:t>
      </w:r>
      <w:r>
        <w:rPr>
          <w:rFonts w:cstheme="minorBidi"/>
          <w:sz w:val="24"/>
        </w:rPr>
        <w:tab/>
      </w:r>
      <w:r>
        <w:rPr>
          <w:rFonts w:hint="eastAsia" w:cstheme="minorBidi"/>
          <w:sz w:val="24"/>
        </w:rPr>
        <w:t>13</w:t>
      </w:r>
    </w:p>
    <w:p>
      <w:pPr>
        <w:pStyle w:val="12"/>
        <w:adjustRightInd w:val="0"/>
        <w:snapToGrid w:val="0"/>
        <w:spacing w:line="440" w:lineRule="exact"/>
        <w:ind w:leftChars="0"/>
        <w:jc w:val="left"/>
        <w:rPr>
          <w:rFonts w:asciiTheme="minorEastAsia" w:hAnsiTheme="minorEastAsia" w:cstheme="minorEastAsia"/>
          <w:sz w:val="24"/>
        </w:rPr>
      </w:pPr>
      <w:r>
        <w:rPr>
          <w:rFonts w:hint="eastAsia" w:asciiTheme="minorEastAsia" w:hAnsiTheme="minorEastAsia" w:eastAsiaTheme="minorEastAsia" w:cstheme="minorEastAsia"/>
          <w:sz w:val="24"/>
        </w:rPr>
        <w:t>九、国有资本经营预算支出决算情况说明</w:t>
      </w:r>
      <w:r>
        <w:rPr>
          <w:rFonts w:cstheme="minorBidi"/>
          <w:sz w:val="24"/>
        </w:rPr>
        <w:tab/>
      </w:r>
      <w:r>
        <w:rPr>
          <w:rFonts w:hint="eastAsia" w:cstheme="minorBidi"/>
          <w:sz w:val="24"/>
        </w:rPr>
        <w:t>13</w:t>
      </w:r>
    </w:p>
    <w:p>
      <w:pPr>
        <w:pStyle w:val="12"/>
        <w:adjustRightInd w:val="0"/>
        <w:snapToGrid w:val="0"/>
        <w:spacing w:line="440" w:lineRule="exact"/>
        <w:ind w:leftChars="0"/>
        <w:jc w:val="left"/>
        <w:rPr>
          <w:rFonts w:asciiTheme="minorEastAsia" w:hAnsiTheme="minorEastAsia" w:cstheme="minorEastAsia"/>
          <w:sz w:val="24"/>
        </w:rPr>
      </w:pPr>
      <w:r>
        <w:rPr>
          <w:rFonts w:hint="eastAsia" w:asciiTheme="minorEastAsia" w:hAnsiTheme="minorEastAsia" w:eastAsiaTheme="minorEastAsia" w:cstheme="minorEastAsia"/>
          <w:sz w:val="24"/>
        </w:rPr>
        <w:t>十、其他重要事项的情况说明</w:t>
      </w:r>
      <w:r>
        <w:rPr>
          <w:rFonts w:cstheme="minorBidi"/>
          <w:sz w:val="24"/>
        </w:rPr>
        <w:tab/>
      </w:r>
      <w:r>
        <w:rPr>
          <w:rFonts w:hint="eastAsia" w:cstheme="minorBidi"/>
          <w:sz w:val="24"/>
        </w:rPr>
        <w:t>13</w:t>
      </w:r>
    </w:p>
    <w:p>
      <w:pPr>
        <w:pStyle w:val="11"/>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cstheme="minorBidi"/>
          <w:sz w:val="24"/>
        </w:rPr>
        <w:tab/>
      </w:r>
      <w:r>
        <w:rPr>
          <w:rFonts w:hint="eastAsia" w:cstheme="minorBidi"/>
          <w:sz w:val="24"/>
        </w:rPr>
        <w:t>15</w:t>
      </w:r>
    </w:p>
    <w:p>
      <w:pPr>
        <w:pStyle w:val="11"/>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cstheme="minorBidi"/>
          <w:sz w:val="24"/>
        </w:rPr>
        <w:tab/>
      </w:r>
      <w:r>
        <w:rPr>
          <w:rFonts w:hint="eastAsia" w:cstheme="minorBidi"/>
          <w:sz w:val="24"/>
        </w:rPr>
        <w:t>18</w:t>
      </w:r>
    </w:p>
    <w:p>
      <w:pPr>
        <w:pStyle w:val="11"/>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cstheme="minorBidi"/>
          <w:sz w:val="24"/>
        </w:rPr>
        <w:tab/>
      </w:r>
      <w:r>
        <w:rPr>
          <w:rFonts w:hint="eastAsia" w:cstheme="minorBidi"/>
          <w:sz w:val="24"/>
        </w:rPr>
        <w:t>36</w:t>
      </w:r>
    </w:p>
    <w:p>
      <w:pPr>
        <w:pStyle w:val="12"/>
        <w:adjustRightInd w:val="0"/>
        <w:snapToGrid w:val="0"/>
        <w:spacing w:line="440" w:lineRule="exact"/>
        <w:jc w:val="left"/>
        <w:rPr>
          <w:sz w:val="24"/>
        </w:rPr>
      </w:pPr>
      <w:r>
        <w:rPr>
          <w:rFonts w:hint="eastAsia"/>
          <w:sz w:val="24"/>
        </w:rPr>
        <w:t>一、收入支出决算总表</w:t>
      </w:r>
    </w:p>
    <w:p>
      <w:pPr>
        <w:pStyle w:val="12"/>
        <w:adjustRightInd w:val="0"/>
        <w:snapToGrid w:val="0"/>
        <w:spacing w:line="440" w:lineRule="exact"/>
        <w:jc w:val="left"/>
        <w:rPr>
          <w:sz w:val="24"/>
        </w:rPr>
      </w:pPr>
      <w:r>
        <w:rPr>
          <w:rFonts w:hint="eastAsia"/>
          <w:sz w:val="24"/>
        </w:rPr>
        <w:t>二、收入决算表</w:t>
      </w:r>
    </w:p>
    <w:p>
      <w:pPr>
        <w:pStyle w:val="12"/>
        <w:adjustRightInd w:val="0"/>
        <w:snapToGrid w:val="0"/>
        <w:spacing w:line="440" w:lineRule="exact"/>
        <w:jc w:val="left"/>
        <w:rPr>
          <w:sz w:val="24"/>
        </w:rPr>
      </w:pPr>
      <w:r>
        <w:rPr>
          <w:rFonts w:hint="eastAsia"/>
          <w:sz w:val="24"/>
        </w:rPr>
        <w:t>三、支出决算表</w:t>
      </w:r>
    </w:p>
    <w:p>
      <w:pPr>
        <w:pStyle w:val="12"/>
        <w:adjustRightInd w:val="0"/>
        <w:snapToGrid w:val="0"/>
        <w:spacing w:line="440" w:lineRule="exact"/>
        <w:jc w:val="left"/>
        <w:rPr>
          <w:sz w:val="24"/>
        </w:rPr>
      </w:pPr>
      <w:r>
        <w:rPr>
          <w:rFonts w:hint="eastAsia"/>
          <w:sz w:val="24"/>
        </w:rPr>
        <w:t>四、财政拨款收入支出决算总表</w:t>
      </w:r>
    </w:p>
    <w:p>
      <w:pPr>
        <w:pStyle w:val="12"/>
        <w:adjustRightInd w:val="0"/>
        <w:snapToGrid w:val="0"/>
        <w:spacing w:line="440" w:lineRule="exact"/>
        <w:jc w:val="left"/>
        <w:rPr>
          <w:sz w:val="24"/>
        </w:rPr>
      </w:pPr>
      <w:r>
        <w:rPr>
          <w:rFonts w:hint="eastAsia"/>
          <w:sz w:val="24"/>
        </w:rPr>
        <w:t>五、财政拨款支出决算明细表</w:t>
      </w:r>
    </w:p>
    <w:p>
      <w:pPr>
        <w:pStyle w:val="12"/>
        <w:adjustRightInd w:val="0"/>
        <w:snapToGrid w:val="0"/>
        <w:spacing w:line="440" w:lineRule="exact"/>
        <w:jc w:val="left"/>
        <w:rPr>
          <w:sz w:val="24"/>
        </w:rPr>
      </w:pPr>
      <w:r>
        <w:rPr>
          <w:rFonts w:hint="eastAsia"/>
          <w:sz w:val="24"/>
        </w:rPr>
        <w:t>六、一般公共预算财政拨款支出决算表</w:t>
      </w:r>
    </w:p>
    <w:p>
      <w:pPr>
        <w:pStyle w:val="12"/>
        <w:adjustRightInd w:val="0"/>
        <w:snapToGrid w:val="0"/>
        <w:spacing w:line="440" w:lineRule="exact"/>
        <w:jc w:val="left"/>
        <w:rPr>
          <w:sz w:val="24"/>
        </w:rPr>
      </w:pPr>
      <w:r>
        <w:rPr>
          <w:rFonts w:hint="eastAsia"/>
          <w:sz w:val="24"/>
        </w:rPr>
        <w:t>七、一般公共预算财政拨款支出决算明细表</w:t>
      </w:r>
    </w:p>
    <w:p>
      <w:pPr>
        <w:pStyle w:val="12"/>
        <w:adjustRightInd w:val="0"/>
        <w:snapToGrid w:val="0"/>
        <w:spacing w:line="440" w:lineRule="exact"/>
        <w:jc w:val="left"/>
        <w:rPr>
          <w:sz w:val="24"/>
        </w:rPr>
      </w:pPr>
      <w:r>
        <w:rPr>
          <w:rFonts w:hint="eastAsia"/>
          <w:sz w:val="24"/>
        </w:rPr>
        <w:t>八、一般公共预算财政拨款基本支出决算明细表</w:t>
      </w:r>
    </w:p>
    <w:p>
      <w:pPr>
        <w:pStyle w:val="12"/>
        <w:adjustRightInd w:val="0"/>
        <w:snapToGrid w:val="0"/>
        <w:spacing w:line="440" w:lineRule="exact"/>
        <w:jc w:val="left"/>
        <w:rPr>
          <w:sz w:val="24"/>
        </w:rPr>
      </w:pPr>
      <w:r>
        <w:rPr>
          <w:rFonts w:hint="eastAsia"/>
          <w:sz w:val="24"/>
        </w:rPr>
        <w:t>九、一般公共预算财政拨款项目支出决算表</w:t>
      </w:r>
    </w:p>
    <w:p>
      <w:pPr>
        <w:pStyle w:val="12"/>
        <w:adjustRightInd w:val="0"/>
        <w:snapToGrid w:val="0"/>
        <w:spacing w:line="440" w:lineRule="exact"/>
        <w:jc w:val="left"/>
        <w:rPr>
          <w:sz w:val="24"/>
        </w:rPr>
      </w:pPr>
      <w:r>
        <w:rPr>
          <w:rFonts w:hint="eastAsia"/>
          <w:sz w:val="24"/>
        </w:rPr>
        <w:t>十、政府性基金预算财政拨款收入支出决算表</w:t>
      </w:r>
    </w:p>
    <w:p>
      <w:pPr>
        <w:pStyle w:val="12"/>
        <w:adjustRightInd w:val="0"/>
        <w:snapToGrid w:val="0"/>
        <w:spacing w:line="440" w:lineRule="exact"/>
        <w:jc w:val="left"/>
        <w:rPr>
          <w:sz w:val="24"/>
        </w:rPr>
      </w:pPr>
      <w:r>
        <w:rPr>
          <w:rFonts w:hint="eastAsia"/>
          <w:sz w:val="24"/>
        </w:rPr>
        <w:t>十一、国有资本经营预算财政拨款收入支出决算表</w:t>
      </w:r>
    </w:p>
    <w:p>
      <w:pPr>
        <w:pStyle w:val="12"/>
        <w:adjustRightInd w:val="0"/>
        <w:snapToGrid w:val="0"/>
        <w:spacing w:line="440" w:lineRule="exact"/>
        <w:jc w:val="left"/>
        <w:rPr>
          <w:sz w:val="24"/>
        </w:rPr>
      </w:pPr>
      <w:r>
        <w:rPr>
          <w:rFonts w:hint="eastAsia"/>
          <w:sz w:val="24"/>
        </w:rPr>
        <w:t>十二、国有资本经营预算财政拨款支出决算表</w:t>
      </w:r>
    </w:p>
    <w:p>
      <w:pPr>
        <w:pStyle w:val="12"/>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8"/>
          <w:rFonts w:ascii="黑体" w:hAnsi="黑体" w:eastAsia="黑体"/>
          <w:b/>
          <w:bCs w:val="0"/>
        </w:rPr>
      </w:pPr>
      <w:r>
        <w:rPr>
          <w:rFonts w:hint="eastAsia" w:ascii="黑体" w:hAnsi="黑体" w:eastAsia="黑体"/>
          <w:b w:val="0"/>
        </w:rPr>
        <w:t xml:space="preserve">第一部分 </w:t>
      </w:r>
      <w:r>
        <w:rPr>
          <w:rStyle w:val="28"/>
          <w:rFonts w:hint="eastAsia" w:ascii="黑体" w:hAnsi="黑体" w:eastAsia="黑体"/>
          <w:b w:val="0"/>
          <w:bCs w:val="0"/>
        </w:rPr>
        <w:t>部门概况</w:t>
      </w:r>
      <w:bookmarkEnd w:id="12"/>
      <w:bookmarkEnd w:id="13"/>
    </w:p>
    <w:p>
      <w:pPr>
        <w:widowControl/>
        <w:jc w:val="left"/>
        <w:rPr>
          <w:rFonts w:ascii="黑体" w:eastAsia="黑体"/>
          <w:sz w:val="32"/>
          <w:szCs w:val="32"/>
        </w:rPr>
      </w:pPr>
    </w:p>
    <w:p>
      <w:pPr>
        <w:pStyle w:val="4"/>
        <w:numPr>
          <w:ilvl w:val="0"/>
          <w:numId w:val="1"/>
        </w:numPr>
        <w:rPr>
          <w:rFonts w:ascii="黑体" w:hAnsi="黑体" w:eastAsia="黑体"/>
          <w:b w:val="0"/>
        </w:rPr>
      </w:pPr>
      <w:r>
        <w:rPr>
          <w:rFonts w:hint="eastAsia" w:ascii="黑体" w:hAnsi="黑体" w:eastAsia="黑体"/>
          <w:b w:val="0"/>
        </w:rPr>
        <w:t>部门职责</w:t>
      </w:r>
    </w:p>
    <w:p>
      <w:pPr>
        <w:spacing w:line="560" w:lineRule="exact"/>
        <w:ind w:firstLine="640" w:firstLineChars="200"/>
        <w:rPr>
          <w:rFonts w:ascii="仿宋" w:hAnsi="仿宋" w:eastAsia="仿宋"/>
          <w:bCs/>
          <w:color w:val="000000"/>
          <w:sz w:val="32"/>
          <w:szCs w:val="32"/>
        </w:rPr>
      </w:pPr>
      <w:bookmarkStart w:id="14" w:name="_Toc15396602"/>
      <w:bookmarkStart w:id="15" w:name="_Toc15377204"/>
      <w:r>
        <w:rPr>
          <w:rFonts w:hint="eastAsia" w:ascii="仿宋" w:hAnsi="仿宋" w:eastAsia="仿宋"/>
          <w:bCs/>
          <w:color w:val="000000"/>
          <w:sz w:val="32"/>
          <w:szCs w:val="32"/>
        </w:rPr>
        <w:t>盐边县人民检察院是国家的法律监督机关。主要是依法履行法律监督职能、保障国家法律在辖区内的正确实施。其主要职责是：（一）对盐边县人民代表大会及其常务委员会负责、报告工作，并接受县委和攀枝花市人民检察院的领导。（二）依法向盐边县人民代表大会及其常务委员会提出议案。（三）依据法律和上级人民检察院确定的工作方针，安排部署本院检察工作。（四）依法对贪污贿赂犯罪、国家工作人员渎职犯罪和国家机关工作人员利用职权实施的非法拘禁、刑讯逼供、报复陷害、非法搜查等侵犯公民人身权利、民主权利的犯罪以及国家机关工作人员利用职权实施的其他重大犯罪案件进行侦查。（五）依法对刑事案件进行审查批准或决定逮捕，对侦查活动是否合法实行监督。（六）对刑事犯罪案件依法审查起诉和支持公诉。对同级人民法院的刑事审判活动实行监督，对确有错误的判决、裁定依法提出抗诉。（七）依法对同级人民法院的民事、经济、行政审判活动实行监督。（八）依法对刑罚执行活动进行监督，受理被监管改造人员的控告、申诉。办理刑罚执行申诉案件。（九）受理单位和个人的举报、控告，接受犯罪嫌疑人的自首、办理刑事申诉、赔偿事项。（十）对检察业务活动进行调查研究，提出检察建议。负责职务犯罪预防，开展法制宣传，提出落实预防对策。做好检察环节社会治安综合治理工作。（十一）负责自侦刑事案件的传唤、拘传、提押，参与搜查和协助执行强制措施，送达法律文书和其他须由司法警察执行的任务。（十二）负责本院检察队伍建设和思想政治工作，依法管理检察官及其他检察人员工作。贯彻落实上级检察机关的干部教育培训规划。（十三）依照干部管理权限，协同县委主管部门管理和考核应由县委主管的干部，办理有关干部任免手续；报经攀枝花市人民检察院检察长提请市人民代表大会常务委员会批准或任免本院检察长；提请县人民代表大会常务委员会任免本院的副检察长、检察委员会委员、检察员。（十四）规划本院的基础建设计划，管理本院的财务和装备工作。（十五）负责其他应当由县人民检察院承办的事项</w:t>
      </w:r>
      <w:r>
        <w:rPr>
          <w:rFonts w:hint="eastAsia" w:eastAsia="仿宋_GB2312"/>
          <w:sz w:val="32"/>
          <w:szCs w:val="32"/>
        </w:rPr>
        <w:t>。（十六）承办市委、县委和市人民检察院交办的事项。</w:t>
      </w:r>
    </w:p>
    <w:p>
      <w:pPr>
        <w:spacing w:line="560" w:lineRule="exact"/>
        <w:ind w:firstLine="640" w:firstLineChars="200"/>
        <w:rPr>
          <w:rFonts w:eastAsia="黑体"/>
          <w:sz w:val="32"/>
          <w:szCs w:val="32"/>
        </w:rPr>
      </w:pPr>
      <w:bookmarkStart w:id="16" w:name="_Toc15377200"/>
      <w:bookmarkStart w:id="17" w:name="_Toc15396601"/>
    </w:p>
    <w:p>
      <w:pPr>
        <w:spacing w:line="560" w:lineRule="exact"/>
        <w:ind w:firstLine="640" w:firstLineChars="200"/>
        <w:rPr>
          <w:rFonts w:eastAsia="黑体"/>
          <w:sz w:val="32"/>
          <w:szCs w:val="32"/>
        </w:rPr>
      </w:pPr>
      <w:r>
        <w:rPr>
          <w:rFonts w:eastAsia="黑体"/>
          <w:sz w:val="32"/>
          <w:szCs w:val="32"/>
        </w:rPr>
        <w:t>二、机构设置</w:t>
      </w:r>
      <w:bookmarkEnd w:id="16"/>
      <w:bookmarkEnd w:id="17"/>
    </w:p>
    <w:p>
      <w:pPr>
        <w:spacing w:line="560" w:lineRule="exact"/>
        <w:ind w:firstLine="640" w:firstLineChars="200"/>
        <w:rPr>
          <w:rFonts w:eastAsia="仿宋_GB2312"/>
          <w:sz w:val="32"/>
          <w:szCs w:val="32"/>
        </w:rPr>
      </w:pPr>
      <w:r>
        <w:rPr>
          <w:rFonts w:hint="eastAsia" w:eastAsia="仿宋_GB2312"/>
          <w:sz w:val="32"/>
          <w:szCs w:val="32"/>
        </w:rPr>
        <w:t>盐边县人民检察院</w:t>
      </w:r>
      <w:r>
        <w:rPr>
          <w:rFonts w:eastAsia="仿宋_GB2312"/>
          <w:sz w:val="32"/>
          <w:szCs w:val="32"/>
        </w:rPr>
        <w:t>下属二级单位</w:t>
      </w:r>
      <w:r>
        <w:rPr>
          <w:rFonts w:hint="eastAsia" w:eastAsia="仿宋_GB2312"/>
          <w:sz w:val="32"/>
          <w:szCs w:val="32"/>
        </w:rPr>
        <w:t>0</w:t>
      </w:r>
      <w:r>
        <w:rPr>
          <w:rFonts w:eastAsia="仿宋_GB2312"/>
          <w:sz w:val="32"/>
          <w:szCs w:val="32"/>
        </w:rPr>
        <w:t>个，其中行政单位</w:t>
      </w:r>
      <w:r>
        <w:rPr>
          <w:rFonts w:hint="eastAsia" w:eastAsia="仿宋_GB2312"/>
          <w:sz w:val="32"/>
          <w:szCs w:val="32"/>
        </w:rPr>
        <w:t>0</w:t>
      </w:r>
      <w:r>
        <w:rPr>
          <w:rFonts w:eastAsia="仿宋_GB2312"/>
          <w:sz w:val="32"/>
          <w:szCs w:val="32"/>
        </w:rPr>
        <w:t>个，参照公务员法管理的事业单位</w:t>
      </w:r>
      <w:r>
        <w:rPr>
          <w:rFonts w:hint="eastAsia" w:eastAsia="仿宋_GB2312"/>
          <w:sz w:val="32"/>
          <w:szCs w:val="32"/>
        </w:rPr>
        <w:t>0</w:t>
      </w:r>
      <w:r>
        <w:rPr>
          <w:rFonts w:eastAsia="仿宋_GB2312"/>
          <w:sz w:val="32"/>
          <w:szCs w:val="32"/>
        </w:rPr>
        <w:t>个，其他事业单位</w:t>
      </w:r>
      <w:r>
        <w:rPr>
          <w:rFonts w:hint="eastAsia" w:eastAsia="仿宋_GB2312"/>
          <w:sz w:val="32"/>
          <w:szCs w:val="32"/>
        </w:rPr>
        <w:t>0</w:t>
      </w:r>
      <w:r>
        <w:rPr>
          <w:rFonts w:eastAsia="仿宋_GB2312"/>
          <w:sz w:val="32"/>
          <w:szCs w:val="32"/>
        </w:rPr>
        <w:t>个。</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8"/>
          <w:rFonts w:ascii="黑体" w:hAnsi="黑体" w:eastAsia="黑体"/>
          <w:b w:val="0"/>
          <w:bCs/>
        </w:rPr>
      </w:pPr>
      <w:r>
        <w:rPr>
          <w:rFonts w:hint="eastAsia" w:ascii="黑体" w:hAnsi="黑体" w:eastAsia="黑体"/>
          <w:b w:val="0"/>
        </w:rPr>
        <w:t>第二部分 2022年度</w:t>
      </w:r>
      <w:r>
        <w:rPr>
          <w:rStyle w:val="28"/>
          <w:rFonts w:hint="eastAsia" w:ascii="黑体" w:hAnsi="黑体" w:eastAsia="黑体"/>
          <w:b w:val="0"/>
          <w:bCs/>
        </w:rPr>
        <w:t>部门决算情况说明</w:t>
      </w:r>
      <w:bookmarkEnd w:id="14"/>
      <w:bookmarkEnd w:id="15"/>
    </w:p>
    <w:p/>
    <w:p>
      <w:pPr>
        <w:pStyle w:val="27"/>
        <w:numPr>
          <w:ilvl w:val="0"/>
          <w:numId w:val="2"/>
        </w:numPr>
        <w:spacing w:line="600" w:lineRule="exact"/>
        <w:ind w:firstLineChars="0"/>
        <w:outlineLvl w:val="1"/>
        <w:rPr>
          <w:rStyle w:val="29"/>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9"/>
          <w:rFonts w:hint="eastAsia" w:ascii="黑体" w:hAnsi="黑体" w:eastAsia="黑体"/>
          <w:b w:val="0"/>
        </w:rPr>
        <w:t>入支出决算总体情况说明</w:t>
      </w:r>
      <w:bookmarkEnd w:id="18"/>
      <w:bookmarkEnd w:id="19"/>
    </w:p>
    <w:p>
      <w:pPr>
        <w:spacing w:line="600" w:lineRule="exact"/>
        <w:ind w:firstLine="640" w:firstLineChars="200"/>
        <w:rPr>
          <w:rFonts w:ascii="仿宋_GB2312" w:eastAsia="仿宋_GB2312"/>
          <w:sz w:val="32"/>
          <w:szCs w:val="32"/>
        </w:rPr>
      </w:pPr>
      <w:r>
        <w:rPr>
          <w:rFonts w:hint="eastAsia" w:ascii="仿宋" w:hAnsi="仿宋" w:eastAsia="仿宋"/>
          <w:sz w:val="32"/>
          <w:szCs w:val="32"/>
        </w:rPr>
        <w:t>2022年度收、支总计974.81万元。与2021年相比，收、支总计各减少417.24万元，下降42.8</w:t>
      </w:r>
      <w:r>
        <w:rPr>
          <w:rFonts w:ascii="仿宋" w:hAnsi="仿宋" w:eastAsia="仿宋"/>
          <w:sz w:val="32"/>
          <w:szCs w:val="32"/>
        </w:rPr>
        <w:t>%</w:t>
      </w:r>
      <w:r>
        <w:rPr>
          <w:rFonts w:hint="eastAsia" w:ascii="仿宋" w:hAnsi="仿宋" w:eastAsia="仿宋"/>
          <w:sz w:val="32"/>
          <w:szCs w:val="32"/>
        </w:rPr>
        <w:t>。主要变动原因是2022年无大型项目建设，5月</w:t>
      </w:r>
      <w:r>
        <w:rPr>
          <w:rFonts w:hint="eastAsia" w:ascii="仿宋_GB2312" w:hAnsi="仿宋" w:eastAsia="仿宋_GB2312"/>
          <w:sz w:val="32"/>
          <w:szCs w:val="32"/>
        </w:rPr>
        <w:t>财务统管，上划市级财政，相关费用支出减少</w:t>
      </w:r>
      <w:r>
        <w:rPr>
          <w:rFonts w:hint="eastAsia" w:ascii="仿宋" w:hAnsi="仿宋" w:eastAsia="仿宋"/>
          <w:sz w:val="32"/>
          <w:szCs w:val="32"/>
        </w:rPr>
        <w:t>。</w:t>
      </w:r>
    </w:p>
    <w:p>
      <w:pPr>
        <w:pStyle w:val="27"/>
        <w:numPr>
          <w:ilvl w:val="0"/>
          <w:numId w:val="2"/>
        </w:numPr>
        <w:spacing w:line="600" w:lineRule="exact"/>
        <w:ind w:firstLineChars="0"/>
        <w:outlineLvl w:val="1"/>
        <w:rPr>
          <w:rStyle w:val="29"/>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9"/>
          <w:rFonts w:hint="eastAsia" w:ascii="黑体" w:hAnsi="黑体" w:eastAsia="黑体"/>
          <w:b w:val="0"/>
        </w:rPr>
        <w:t>入决算情况说明</w:t>
      </w:r>
      <w:bookmarkEnd w:id="20"/>
      <w:bookmarkEnd w:id="21"/>
    </w:p>
    <w:p>
      <w:pPr>
        <w:spacing w:line="600" w:lineRule="exact"/>
        <w:ind w:firstLine="640" w:firstLineChars="200"/>
        <w:outlineLvl w:val="1"/>
        <w:rPr>
          <w:rFonts w:ascii="仿宋_GB2312" w:eastAsia="仿宋_GB2312"/>
          <w:sz w:val="32"/>
          <w:szCs w:val="32"/>
        </w:rPr>
      </w:pPr>
      <w:r>
        <w:rPr>
          <w:rFonts w:ascii="仿宋" w:hAnsi="仿宋" w:eastAsia="仿宋"/>
          <w:sz w:val="32"/>
          <w:szCs w:val="32"/>
        </w:rPr>
        <w:t>20</w:t>
      </w:r>
      <w:r>
        <w:rPr>
          <w:rFonts w:hint="eastAsia" w:ascii="仿宋" w:hAnsi="仿宋" w:eastAsia="仿宋"/>
          <w:sz w:val="32"/>
          <w:szCs w:val="32"/>
        </w:rPr>
        <w:t>22年本年收入合计974.81万元，其中：一般公共预算财政拨款收入460.38万元，占47.23</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；其他收入514.43万元，占52.77</w:t>
      </w:r>
      <w:r>
        <w:rPr>
          <w:rFonts w:ascii="仿宋" w:hAnsi="仿宋" w:eastAsia="仿宋"/>
          <w:sz w:val="32"/>
          <w:szCs w:val="32"/>
        </w:rPr>
        <w:t>%</w:t>
      </w:r>
      <w:r>
        <w:rPr>
          <w:rFonts w:hint="eastAsia" w:ascii="仿宋" w:hAnsi="仿宋" w:eastAsia="仿宋"/>
          <w:sz w:val="32"/>
          <w:szCs w:val="32"/>
        </w:rPr>
        <w:t>。</w:t>
      </w:r>
    </w:p>
    <w:p>
      <w:pPr>
        <w:pStyle w:val="27"/>
        <w:numPr>
          <w:ilvl w:val="0"/>
          <w:numId w:val="2"/>
        </w:numPr>
        <w:spacing w:line="600" w:lineRule="exact"/>
        <w:ind w:firstLineChars="0"/>
        <w:outlineLvl w:val="1"/>
        <w:rPr>
          <w:rStyle w:val="29"/>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9"/>
          <w:rFonts w:hint="eastAsia" w:ascii="黑体" w:hAnsi="黑体" w:eastAsia="黑体"/>
          <w:b w:val="0"/>
        </w:rPr>
        <w:t>出决算情况说明</w:t>
      </w:r>
      <w:bookmarkEnd w:id="22"/>
      <w:bookmarkEnd w:id="23"/>
    </w:p>
    <w:p>
      <w:pPr>
        <w:spacing w:line="600" w:lineRule="exact"/>
        <w:ind w:firstLine="640" w:firstLineChars="200"/>
        <w:outlineLvl w:val="1"/>
        <w:rPr>
          <w:rFonts w:ascii="仿宋_GB2312" w:eastAsia="仿宋_GB2312"/>
          <w:sz w:val="32"/>
          <w:szCs w:val="32"/>
        </w:rPr>
      </w:pPr>
      <w:r>
        <w:rPr>
          <w:rFonts w:ascii="仿宋" w:hAnsi="仿宋" w:eastAsia="仿宋"/>
          <w:sz w:val="32"/>
          <w:szCs w:val="32"/>
        </w:rPr>
        <w:t>20</w:t>
      </w:r>
      <w:r>
        <w:rPr>
          <w:rFonts w:hint="eastAsia" w:ascii="仿宋" w:hAnsi="仿宋" w:eastAsia="仿宋"/>
          <w:sz w:val="32"/>
          <w:szCs w:val="32"/>
        </w:rPr>
        <w:t>22年本年支出合计974.81万元，其中：基本支出823.93万元，占84.52</w:t>
      </w:r>
      <w:r>
        <w:rPr>
          <w:rFonts w:ascii="仿宋" w:hAnsi="仿宋" w:eastAsia="仿宋"/>
          <w:sz w:val="32"/>
          <w:szCs w:val="32"/>
        </w:rPr>
        <w:t>%</w:t>
      </w:r>
      <w:r>
        <w:rPr>
          <w:rFonts w:hint="eastAsia" w:ascii="仿宋" w:hAnsi="仿宋" w:eastAsia="仿宋"/>
          <w:sz w:val="32"/>
          <w:szCs w:val="32"/>
        </w:rPr>
        <w:t>；项目支出150.88万元，占15.48</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outlineLvl w:val="1"/>
        <w:rPr>
          <w:rStyle w:val="29"/>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22年财政拨款收、支总计460.38万元。与</w:t>
      </w:r>
      <w:r>
        <w:rPr>
          <w:rFonts w:ascii="仿宋" w:hAnsi="仿宋" w:eastAsia="仿宋"/>
          <w:sz w:val="32"/>
          <w:szCs w:val="32"/>
        </w:rPr>
        <w:t>20</w:t>
      </w:r>
      <w:r>
        <w:rPr>
          <w:rFonts w:hint="eastAsia" w:ascii="仿宋" w:hAnsi="仿宋" w:eastAsia="仿宋"/>
          <w:sz w:val="32"/>
          <w:szCs w:val="32"/>
        </w:rPr>
        <w:t>21年相比，财政拨款收、支总计各减少931.67万元，下降202.37</w:t>
      </w:r>
      <w:r>
        <w:rPr>
          <w:rFonts w:ascii="仿宋" w:hAnsi="仿宋" w:eastAsia="仿宋"/>
          <w:sz w:val="32"/>
          <w:szCs w:val="32"/>
        </w:rPr>
        <w:t>%</w:t>
      </w:r>
      <w:r>
        <w:rPr>
          <w:rFonts w:hint="eastAsia" w:ascii="仿宋" w:hAnsi="仿宋" w:eastAsia="仿宋"/>
          <w:sz w:val="32"/>
          <w:szCs w:val="32"/>
        </w:rPr>
        <w:t>。主要变动原因是2022年无大型项目建设，5月</w:t>
      </w:r>
      <w:r>
        <w:rPr>
          <w:rFonts w:hint="eastAsia" w:ascii="仿宋_GB2312" w:hAnsi="仿宋" w:eastAsia="仿宋_GB2312"/>
          <w:sz w:val="32"/>
          <w:szCs w:val="32"/>
        </w:rPr>
        <w:t>财务统管，上划市级财政，相关费用支出减少，一部分费用由县上支付，未纳入财政拨款收支核算</w:t>
      </w:r>
      <w:r>
        <w:rPr>
          <w:rFonts w:hint="eastAsia" w:ascii="仿宋" w:hAnsi="仿宋" w:eastAsia="仿宋"/>
          <w:sz w:val="32"/>
          <w:szCs w:val="32"/>
        </w:rPr>
        <w:t>。</w:t>
      </w:r>
    </w:p>
    <w:p>
      <w:pPr>
        <w:spacing w:line="600" w:lineRule="exact"/>
        <w:ind w:firstLine="640" w:firstLineChars="200"/>
        <w:outlineLvl w:val="1"/>
        <w:rPr>
          <w:rStyle w:val="29"/>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22年一般公共预算财政拨款支出460.38万元，占本年支出合计的47.23</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21年相比，一般公共预算财政拨款支出减少931.67万元，下降202.37</w:t>
      </w:r>
      <w:r>
        <w:rPr>
          <w:rFonts w:ascii="仿宋" w:hAnsi="仿宋" w:eastAsia="仿宋"/>
          <w:sz w:val="32"/>
          <w:szCs w:val="32"/>
        </w:rPr>
        <w:t>%</w:t>
      </w:r>
      <w:r>
        <w:rPr>
          <w:rFonts w:hint="eastAsia" w:ascii="仿宋" w:hAnsi="仿宋" w:eastAsia="仿宋"/>
          <w:sz w:val="32"/>
          <w:szCs w:val="32"/>
        </w:rPr>
        <w:t>。主要变动原因是2022年无大型项目建设，5月</w:t>
      </w:r>
      <w:r>
        <w:rPr>
          <w:rFonts w:hint="eastAsia" w:ascii="仿宋_GB2312" w:hAnsi="仿宋" w:eastAsia="仿宋_GB2312"/>
          <w:sz w:val="32"/>
          <w:szCs w:val="32"/>
        </w:rPr>
        <w:t>财务统管，上划市级财政，相关费用支出减少，一部分费用由县上支付，未纳入财政拨款收支核算</w:t>
      </w:r>
      <w:r>
        <w:rPr>
          <w:rFonts w:hint="eastAsia" w:ascii="仿宋" w:hAnsi="仿宋" w:eastAsia="仿宋"/>
          <w:sz w:val="32"/>
          <w:szCs w:val="32"/>
        </w:rPr>
        <w:t>。</w:t>
      </w: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22年一般公共预算财政拨款支出460.38万元，主要用于以下方面</w:t>
      </w:r>
      <w:r>
        <w:rPr>
          <w:rFonts w:ascii="仿宋" w:hAnsi="仿宋" w:eastAsia="仿宋"/>
          <w:sz w:val="32"/>
          <w:szCs w:val="32"/>
        </w:rPr>
        <w:t>:</w:t>
      </w:r>
      <w:r>
        <w:rPr>
          <w:rFonts w:hint="eastAsia" w:ascii="仿宋" w:hAnsi="仿宋" w:eastAsia="仿宋"/>
          <w:b/>
          <w:sz w:val="32"/>
          <w:szCs w:val="32"/>
        </w:rPr>
        <w:t>公共安全</w:t>
      </w:r>
      <w:r>
        <w:rPr>
          <w:rFonts w:hint="eastAsia" w:ascii="仿宋" w:hAnsi="仿宋" w:eastAsia="仿宋"/>
          <w:b/>
          <w:bCs/>
          <w:sz w:val="32"/>
          <w:szCs w:val="32"/>
        </w:rPr>
        <w:t>支出</w:t>
      </w:r>
      <w:r>
        <w:rPr>
          <w:rFonts w:hint="eastAsia" w:ascii="仿宋" w:hAnsi="仿宋" w:eastAsia="仿宋"/>
          <w:sz w:val="32"/>
          <w:szCs w:val="32"/>
        </w:rPr>
        <w:t>357.39万元，占77.63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文化旅游体育与传媒支出0万元，占0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46.22万元，占10.04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24.55万元，占5.33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32.22万元，占7</w:t>
      </w:r>
      <w:r>
        <w:rPr>
          <w:rFonts w:ascii="仿宋" w:hAnsi="仿宋" w:eastAsia="仿宋"/>
          <w:sz w:val="32"/>
          <w:szCs w:val="32"/>
        </w:rPr>
        <w:t>%</w:t>
      </w:r>
      <w:r>
        <w:rPr>
          <w:rFonts w:hint="eastAsia" w:ascii="仿宋" w:hAnsi="仿宋" w:eastAsia="仿宋"/>
          <w:sz w:val="32"/>
          <w:szCs w:val="32"/>
        </w:rPr>
        <w:t>。</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8460"/>
      <w:bookmarkStart w:id="32" w:name="_Toc15377213"/>
      <w:bookmarkStart w:id="33" w:name="_Toc15377444"/>
      <w:r>
        <w:rPr>
          <w:rFonts w:hint="eastAsia" w:ascii="仿宋" w:hAnsi="仿宋" w:eastAsia="仿宋"/>
          <w:b/>
          <w:sz w:val="32"/>
          <w:szCs w:val="32"/>
        </w:rPr>
        <w:t>2022年一般公共预算支出决算数为</w:t>
      </w:r>
      <w:r>
        <w:rPr>
          <w:rFonts w:hint="eastAsia" w:ascii="仿宋" w:hAnsi="仿宋" w:eastAsia="仿宋"/>
          <w:sz w:val="32"/>
          <w:szCs w:val="32"/>
        </w:rPr>
        <w:t>460.38，</w:t>
      </w:r>
      <w:r>
        <w:rPr>
          <w:rStyle w:val="16"/>
          <w:rFonts w:hint="eastAsia" w:ascii="仿宋" w:hAnsi="仿宋" w:eastAsia="仿宋"/>
          <w:bCs/>
          <w:sz w:val="32"/>
          <w:szCs w:val="32"/>
        </w:rPr>
        <w:t>完成预算100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pPr>
        <w:spacing w:line="600" w:lineRule="exact"/>
        <w:ind w:firstLine="643" w:firstLineChars="200"/>
        <w:rPr>
          <w:rFonts w:ascii="仿宋" w:hAnsi="仿宋" w:eastAsia="仿宋"/>
          <w:b/>
          <w:color w:val="000000"/>
          <w:sz w:val="32"/>
          <w:szCs w:val="32"/>
        </w:rPr>
      </w:pPr>
      <w:r>
        <w:rPr>
          <w:rStyle w:val="16"/>
          <w:rFonts w:ascii="仿宋" w:hAnsi="仿宋" w:eastAsia="仿宋"/>
          <w:bCs/>
          <w:color w:val="000000"/>
          <w:sz w:val="32"/>
          <w:szCs w:val="32"/>
        </w:rPr>
        <w:t>1.</w:t>
      </w:r>
      <w:r>
        <w:rPr>
          <w:rStyle w:val="16"/>
          <w:rFonts w:hint="eastAsia" w:ascii="仿宋" w:hAnsi="仿宋" w:eastAsia="仿宋"/>
          <w:bCs/>
          <w:color w:val="000000"/>
          <w:sz w:val="32"/>
          <w:szCs w:val="32"/>
        </w:rPr>
        <w:t>公共安全（类）检察（款）行政运行（项）</w:t>
      </w:r>
      <w:r>
        <w:rPr>
          <w:rStyle w:val="16"/>
          <w:rFonts w:ascii="仿宋" w:hAnsi="仿宋" w:eastAsia="仿宋"/>
          <w:bCs/>
          <w:color w:val="000000"/>
          <w:sz w:val="32"/>
          <w:szCs w:val="32"/>
        </w:rPr>
        <w:t>:</w:t>
      </w:r>
      <w:r>
        <w:rPr>
          <w:rStyle w:val="16"/>
          <w:rFonts w:ascii="仿宋" w:hAnsi="仿宋" w:eastAsia="仿宋"/>
          <w:b w:val="0"/>
          <w:bCs/>
          <w:color w:val="000000"/>
          <w:sz w:val="32"/>
          <w:szCs w:val="32"/>
        </w:rPr>
        <w:t xml:space="preserve"> </w:t>
      </w:r>
      <w:r>
        <w:rPr>
          <w:rStyle w:val="16"/>
          <w:rFonts w:hint="eastAsia" w:ascii="仿宋" w:hAnsi="仿宋" w:eastAsia="仿宋"/>
          <w:b w:val="0"/>
          <w:bCs/>
          <w:color w:val="000000"/>
          <w:sz w:val="32"/>
          <w:szCs w:val="32"/>
        </w:rPr>
        <w:t>支出决算为328.51万元，完成预算71.36</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spacing w:line="600" w:lineRule="exact"/>
        <w:ind w:firstLine="643" w:firstLineChars="200"/>
        <w:rPr>
          <w:rFonts w:ascii="仿宋" w:hAnsi="仿宋" w:eastAsia="仿宋"/>
          <w:b/>
          <w:color w:val="000000"/>
          <w:sz w:val="32"/>
          <w:szCs w:val="32"/>
        </w:rPr>
      </w:pPr>
      <w:r>
        <w:rPr>
          <w:rStyle w:val="16"/>
          <w:rFonts w:ascii="仿宋" w:hAnsi="仿宋" w:eastAsia="仿宋"/>
          <w:bCs/>
          <w:color w:val="000000"/>
          <w:sz w:val="32"/>
          <w:szCs w:val="32"/>
        </w:rPr>
        <w:t xml:space="preserve">2. </w:t>
      </w:r>
      <w:r>
        <w:rPr>
          <w:rStyle w:val="16"/>
          <w:rFonts w:hint="eastAsia" w:ascii="仿宋" w:hAnsi="仿宋" w:eastAsia="仿宋"/>
          <w:bCs/>
          <w:color w:val="000000"/>
          <w:sz w:val="32"/>
          <w:szCs w:val="32"/>
        </w:rPr>
        <w:t>公共安全（类）检察（款）一般行政管理事务（项）</w:t>
      </w:r>
      <w:r>
        <w:rPr>
          <w:rStyle w:val="16"/>
          <w:rFonts w:ascii="仿宋" w:hAnsi="仿宋" w:eastAsia="仿宋"/>
          <w:bCs/>
          <w:color w:val="000000"/>
          <w:sz w:val="32"/>
          <w:szCs w:val="32"/>
        </w:rPr>
        <w:t>:</w:t>
      </w:r>
      <w:r>
        <w:rPr>
          <w:rStyle w:val="16"/>
          <w:rFonts w:ascii="仿宋" w:hAnsi="仿宋" w:eastAsia="仿宋"/>
          <w:b w:val="0"/>
          <w:bCs/>
          <w:color w:val="000000"/>
          <w:sz w:val="32"/>
          <w:szCs w:val="32"/>
        </w:rPr>
        <w:t xml:space="preserve"> </w:t>
      </w:r>
      <w:r>
        <w:rPr>
          <w:rStyle w:val="16"/>
          <w:rFonts w:hint="eastAsia" w:ascii="仿宋" w:hAnsi="仿宋" w:eastAsia="仿宋"/>
          <w:b w:val="0"/>
          <w:bCs/>
          <w:color w:val="000000"/>
          <w:sz w:val="32"/>
          <w:szCs w:val="32"/>
        </w:rPr>
        <w:t>支出决算为26.88万元，完成预算5.84</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spacing w:line="600" w:lineRule="exact"/>
        <w:ind w:firstLine="643" w:firstLineChars="200"/>
        <w:rPr>
          <w:rFonts w:ascii="仿宋" w:hAnsi="仿宋" w:eastAsia="仿宋"/>
          <w:b/>
          <w:color w:val="000000"/>
          <w:sz w:val="32"/>
          <w:szCs w:val="32"/>
        </w:rPr>
      </w:pPr>
      <w:r>
        <w:rPr>
          <w:rStyle w:val="16"/>
          <w:rFonts w:ascii="仿宋" w:hAnsi="仿宋" w:eastAsia="仿宋"/>
          <w:bCs/>
          <w:color w:val="000000"/>
          <w:sz w:val="32"/>
          <w:szCs w:val="32"/>
        </w:rPr>
        <w:t xml:space="preserve">3. </w:t>
      </w:r>
      <w:r>
        <w:rPr>
          <w:rStyle w:val="16"/>
          <w:rFonts w:hint="eastAsia" w:ascii="仿宋" w:hAnsi="仿宋" w:eastAsia="仿宋"/>
          <w:bCs/>
          <w:color w:val="000000"/>
          <w:sz w:val="32"/>
          <w:szCs w:val="32"/>
        </w:rPr>
        <w:t>公共安全（类）检察（款）其他公共安全支出（项）</w:t>
      </w:r>
      <w:r>
        <w:rPr>
          <w:rStyle w:val="16"/>
          <w:rFonts w:ascii="仿宋" w:hAnsi="仿宋" w:eastAsia="仿宋"/>
          <w:bCs/>
          <w:color w:val="000000"/>
          <w:sz w:val="32"/>
          <w:szCs w:val="32"/>
        </w:rPr>
        <w:t>:</w:t>
      </w:r>
      <w:r>
        <w:rPr>
          <w:rStyle w:val="16"/>
          <w:rFonts w:hint="eastAsia" w:ascii="仿宋" w:hAnsi="仿宋" w:eastAsia="仿宋"/>
          <w:b w:val="0"/>
          <w:bCs/>
          <w:color w:val="000000"/>
          <w:sz w:val="32"/>
          <w:szCs w:val="32"/>
        </w:rPr>
        <w:t>支出决算为2万元，完成预算0.43</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spacing w:line="600" w:lineRule="exact"/>
        <w:ind w:firstLine="643" w:firstLineChars="200"/>
        <w:rPr>
          <w:rFonts w:ascii="仿宋" w:hAnsi="仿宋" w:eastAsia="仿宋"/>
          <w:b/>
          <w:color w:val="000000"/>
          <w:sz w:val="32"/>
          <w:szCs w:val="32"/>
        </w:rPr>
      </w:pPr>
      <w:r>
        <w:rPr>
          <w:rStyle w:val="16"/>
          <w:rFonts w:hint="eastAsia" w:ascii="仿宋" w:hAnsi="仿宋" w:eastAsia="仿宋"/>
          <w:bCs/>
          <w:color w:val="000000"/>
          <w:sz w:val="32"/>
          <w:szCs w:val="32"/>
        </w:rPr>
        <w:t>4</w:t>
      </w:r>
      <w:r>
        <w:rPr>
          <w:rStyle w:val="16"/>
          <w:rFonts w:ascii="仿宋" w:hAnsi="仿宋" w:eastAsia="仿宋"/>
          <w:bCs/>
          <w:color w:val="000000"/>
          <w:sz w:val="32"/>
          <w:szCs w:val="32"/>
        </w:rPr>
        <w:t>.</w:t>
      </w:r>
      <w:r>
        <w:rPr>
          <w:rStyle w:val="16"/>
          <w:rFonts w:hint="eastAsia" w:ascii="仿宋" w:hAnsi="仿宋" w:eastAsia="仿宋"/>
          <w:bCs/>
          <w:color w:val="000000"/>
          <w:sz w:val="32"/>
          <w:szCs w:val="32"/>
        </w:rPr>
        <w:t>社会保障和就业（类）行政事业单位养老支出（款）机关事业单位基本养老保险缴费支出（项）</w:t>
      </w:r>
      <w:r>
        <w:rPr>
          <w:rStyle w:val="16"/>
          <w:rFonts w:ascii="仿宋" w:hAnsi="仿宋" w:eastAsia="仿宋"/>
          <w:bCs/>
          <w:color w:val="000000"/>
          <w:sz w:val="32"/>
          <w:szCs w:val="32"/>
        </w:rPr>
        <w:t>:</w:t>
      </w:r>
      <w:r>
        <w:rPr>
          <w:rStyle w:val="16"/>
          <w:rFonts w:ascii="仿宋" w:hAnsi="仿宋" w:eastAsia="仿宋"/>
          <w:b w:val="0"/>
          <w:bCs/>
          <w:color w:val="000000"/>
          <w:sz w:val="32"/>
          <w:szCs w:val="32"/>
        </w:rPr>
        <w:t xml:space="preserve"> </w:t>
      </w:r>
      <w:r>
        <w:rPr>
          <w:rStyle w:val="16"/>
          <w:rFonts w:hint="eastAsia" w:ascii="仿宋" w:hAnsi="仿宋" w:eastAsia="仿宋"/>
          <w:b w:val="0"/>
          <w:bCs/>
          <w:color w:val="000000"/>
          <w:sz w:val="32"/>
          <w:szCs w:val="32"/>
        </w:rPr>
        <w:t>支出决算为24.57万元，完成预算5.34</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spacing w:line="600" w:lineRule="exact"/>
        <w:ind w:firstLine="643" w:firstLineChars="200"/>
        <w:rPr>
          <w:rFonts w:ascii="仿宋" w:hAnsi="仿宋" w:eastAsia="仿宋"/>
          <w:b/>
          <w:color w:val="000000"/>
          <w:sz w:val="32"/>
          <w:szCs w:val="32"/>
        </w:rPr>
      </w:pPr>
      <w:r>
        <w:rPr>
          <w:rStyle w:val="16"/>
          <w:rFonts w:hint="eastAsia" w:ascii="仿宋" w:hAnsi="仿宋" w:eastAsia="仿宋"/>
          <w:bCs/>
          <w:color w:val="000000"/>
          <w:sz w:val="32"/>
          <w:szCs w:val="32"/>
        </w:rPr>
        <w:t>5</w:t>
      </w:r>
      <w:r>
        <w:rPr>
          <w:rStyle w:val="16"/>
          <w:rFonts w:ascii="仿宋" w:hAnsi="仿宋" w:eastAsia="仿宋"/>
          <w:bCs/>
          <w:color w:val="000000"/>
          <w:sz w:val="32"/>
          <w:szCs w:val="32"/>
        </w:rPr>
        <w:t>.</w:t>
      </w:r>
      <w:r>
        <w:rPr>
          <w:rStyle w:val="16"/>
          <w:rFonts w:hint="eastAsia" w:ascii="仿宋" w:hAnsi="仿宋" w:eastAsia="仿宋"/>
          <w:bCs/>
          <w:color w:val="000000"/>
          <w:sz w:val="32"/>
          <w:szCs w:val="32"/>
        </w:rPr>
        <w:t xml:space="preserve"> 社会保障和就业（类）行政事业单位养老支出（款）机关事业单位职业年金缴费支出（项）</w:t>
      </w:r>
      <w:r>
        <w:rPr>
          <w:rStyle w:val="16"/>
          <w:rFonts w:ascii="仿宋" w:hAnsi="仿宋" w:eastAsia="仿宋"/>
          <w:bCs/>
          <w:color w:val="000000"/>
          <w:sz w:val="32"/>
          <w:szCs w:val="32"/>
        </w:rPr>
        <w:t>:</w:t>
      </w:r>
      <w:r>
        <w:rPr>
          <w:rStyle w:val="16"/>
          <w:rFonts w:ascii="仿宋" w:hAnsi="仿宋" w:eastAsia="仿宋"/>
          <w:b w:val="0"/>
          <w:bCs/>
          <w:color w:val="000000"/>
          <w:sz w:val="32"/>
          <w:szCs w:val="32"/>
        </w:rPr>
        <w:t xml:space="preserve"> </w:t>
      </w:r>
      <w:r>
        <w:rPr>
          <w:rStyle w:val="16"/>
          <w:rFonts w:hint="eastAsia" w:ascii="仿宋" w:hAnsi="仿宋" w:eastAsia="仿宋"/>
          <w:b w:val="0"/>
          <w:bCs/>
          <w:color w:val="000000"/>
          <w:sz w:val="32"/>
          <w:szCs w:val="32"/>
        </w:rPr>
        <w:t>支出决算为21.65万元，完成预算4.70</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spacing w:line="600" w:lineRule="exact"/>
        <w:ind w:firstLine="643" w:firstLineChars="200"/>
        <w:rPr>
          <w:rStyle w:val="16"/>
          <w:rFonts w:ascii="仿宋" w:hAnsi="仿宋" w:eastAsia="仿宋"/>
          <w:b w:val="0"/>
          <w:bCs/>
          <w:color w:val="000000"/>
          <w:sz w:val="32"/>
          <w:szCs w:val="32"/>
        </w:rPr>
      </w:pPr>
      <w:r>
        <w:rPr>
          <w:rStyle w:val="16"/>
          <w:rFonts w:hint="eastAsia" w:ascii="仿宋" w:hAnsi="仿宋" w:eastAsia="仿宋"/>
          <w:bCs/>
          <w:color w:val="000000"/>
          <w:sz w:val="32"/>
          <w:szCs w:val="32"/>
        </w:rPr>
        <w:t>6.卫生健康（类）行政事业单位医疗（款）行政单位医疗（项）</w:t>
      </w:r>
      <w:r>
        <w:rPr>
          <w:rStyle w:val="16"/>
          <w:rFonts w:ascii="仿宋" w:hAnsi="仿宋" w:eastAsia="仿宋"/>
          <w:bCs/>
          <w:color w:val="000000"/>
          <w:sz w:val="32"/>
          <w:szCs w:val="32"/>
        </w:rPr>
        <w:t>:</w:t>
      </w:r>
      <w:r>
        <w:rPr>
          <w:rStyle w:val="16"/>
          <w:rFonts w:hint="eastAsia" w:ascii="仿宋" w:hAnsi="仿宋" w:eastAsia="仿宋"/>
          <w:b w:val="0"/>
          <w:bCs/>
          <w:color w:val="000000"/>
          <w:sz w:val="32"/>
          <w:szCs w:val="32"/>
        </w:rPr>
        <w:t>支出决算为22.15万元，完成预算4.81</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spacing w:line="600" w:lineRule="exact"/>
        <w:ind w:firstLine="643" w:firstLineChars="200"/>
        <w:rPr>
          <w:rFonts w:ascii="仿宋" w:hAnsi="仿宋" w:eastAsia="仿宋"/>
          <w:b/>
          <w:color w:val="000000"/>
          <w:sz w:val="32"/>
          <w:szCs w:val="32"/>
        </w:rPr>
      </w:pPr>
      <w:r>
        <w:rPr>
          <w:rStyle w:val="16"/>
          <w:rFonts w:hint="eastAsia" w:ascii="仿宋" w:hAnsi="仿宋" w:eastAsia="仿宋"/>
          <w:bCs/>
          <w:color w:val="000000"/>
          <w:sz w:val="32"/>
          <w:szCs w:val="32"/>
        </w:rPr>
        <w:t>7.卫生健康（类）行政事业单位医疗（款）公务员医疗补助（项）</w:t>
      </w:r>
      <w:r>
        <w:rPr>
          <w:rStyle w:val="16"/>
          <w:rFonts w:ascii="仿宋" w:hAnsi="仿宋" w:eastAsia="仿宋"/>
          <w:bCs/>
          <w:color w:val="000000"/>
          <w:sz w:val="32"/>
          <w:szCs w:val="32"/>
        </w:rPr>
        <w:t>:</w:t>
      </w:r>
      <w:r>
        <w:rPr>
          <w:rStyle w:val="16"/>
          <w:rFonts w:hint="eastAsia" w:ascii="仿宋" w:hAnsi="仿宋" w:eastAsia="仿宋"/>
          <w:b w:val="0"/>
          <w:bCs/>
          <w:color w:val="000000"/>
          <w:sz w:val="32"/>
          <w:szCs w:val="32"/>
        </w:rPr>
        <w:t>支出决算为2.4万元，完成预算0.521</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spacing w:line="600" w:lineRule="exact"/>
        <w:ind w:firstLine="643" w:firstLineChars="200"/>
        <w:rPr>
          <w:rStyle w:val="16"/>
          <w:rFonts w:ascii="仿宋" w:hAnsi="仿宋" w:eastAsia="仿宋"/>
          <w:b w:val="0"/>
          <w:bCs/>
          <w:color w:val="000000"/>
          <w:sz w:val="32"/>
          <w:szCs w:val="32"/>
        </w:rPr>
      </w:pPr>
      <w:r>
        <w:rPr>
          <w:rStyle w:val="16"/>
          <w:rFonts w:hint="eastAsia" w:ascii="仿宋" w:hAnsi="仿宋" w:eastAsia="仿宋"/>
          <w:bCs/>
          <w:color w:val="000000"/>
          <w:sz w:val="32"/>
          <w:szCs w:val="32"/>
        </w:rPr>
        <w:t>8</w:t>
      </w:r>
      <w:r>
        <w:rPr>
          <w:rStyle w:val="16"/>
          <w:rFonts w:ascii="仿宋" w:hAnsi="仿宋" w:eastAsia="仿宋"/>
          <w:bCs/>
          <w:color w:val="000000"/>
          <w:sz w:val="32"/>
          <w:szCs w:val="32"/>
        </w:rPr>
        <w:t>.</w:t>
      </w:r>
      <w:r>
        <w:rPr>
          <w:rStyle w:val="16"/>
          <w:rFonts w:hint="eastAsia" w:ascii="仿宋" w:hAnsi="仿宋" w:eastAsia="仿宋"/>
          <w:bCs/>
          <w:color w:val="000000"/>
          <w:sz w:val="32"/>
          <w:szCs w:val="32"/>
        </w:rPr>
        <w:t>住房保障支出（类）住房改革支出（款）住房公积金（项）</w:t>
      </w:r>
      <w:r>
        <w:rPr>
          <w:rStyle w:val="16"/>
          <w:rFonts w:ascii="仿宋" w:hAnsi="仿宋" w:eastAsia="仿宋"/>
          <w:bCs/>
          <w:color w:val="000000"/>
          <w:sz w:val="32"/>
          <w:szCs w:val="32"/>
        </w:rPr>
        <w:t>:</w:t>
      </w:r>
      <w:r>
        <w:rPr>
          <w:rStyle w:val="16"/>
          <w:rFonts w:hint="eastAsia" w:ascii="仿宋" w:hAnsi="仿宋" w:eastAsia="仿宋"/>
          <w:b w:val="0"/>
          <w:bCs/>
          <w:color w:val="000000"/>
          <w:sz w:val="32"/>
          <w:szCs w:val="32"/>
        </w:rPr>
        <w:t>支出决算为</w:t>
      </w:r>
      <w:r>
        <w:rPr>
          <w:rFonts w:hint="eastAsia" w:eastAsia="仿宋_GB2312"/>
          <w:sz w:val="32"/>
          <w:szCs w:val="32"/>
        </w:rPr>
        <w:t>32.22</w:t>
      </w:r>
      <w:r>
        <w:rPr>
          <w:rStyle w:val="16"/>
          <w:rFonts w:hint="eastAsia" w:ascii="仿宋" w:hAnsi="仿宋" w:eastAsia="仿宋"/>
          <w:b w:val="0"/>
          <w:bCs/>
          <w:color w:val="000000"/>
          <w:sz w:val="32"/>
          <w:szCs w:val="32"/>
        </w:rPr>
        <w:t>万元，完成预算</w:t>
      </w:r>
      <w:r>
        <w:rPr>
          <w:rFonts w:hint="eastAsia" w:eastAsia="仿宋_GB2312"/>
          <w:sz w:val="32"/>
          <w:szCs w:val="32"/>
        </w:rPr>
        <w:t>7</w:t>
      </w:r>
      <w:r>
        <w:rPr>
          <w:rStyle w:val="16"/>
          <w:rFonts w:ascii="仿宋" w:hAnsi="仿宋" w:eastAsia="仿宋"/>
          <w:b w:val="0"/>
          <w:bCs/>
          <w:color w:val="000000"/>
          <w:sz w:val="32"/>
          <w:szCs w:val="32"/>
        </w:rPr>
        <w:t>%</w:t>
      </w:r>
      <w:r>
        <w:rPr>
          <w:rStyle w:val="16"/>
          <w:rFonts w:hint="eastAsia" w:ascii="仿宋" w:hAnsi="仿宋" w:eastAsia="仿宋"/>
          <w:b w:val="0"/>
          <w:bCs/>
          <w:color w:val="000000"/>
          <w:sz w:val="32"/>
          <w:szCs w:val="32"/>
        </w:rPr>
        <w:t>。</w:t>
      </w:r>
    </w:p>
    <w:p>
      <w:pPr>
        <w:tabs>
          <w:tab w:val="right" w:pos="8306"/>
        </w:tabs>
        <w:spacing w:line="600" w:lineRule="exact"/>
        <w:ind w:firstLine="640"/>
        <w:outlineLvl w:val="1"/>
        <w:rPr>
          <w:rStyle w:val="29"/>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4"/>
      <w:bookmarkEnd w:id="35"/>
      <w:r>
        <w:rPr>
          <w:rStyle w:val="29"/>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22年一般公共预算财政拨款基本支出431.5万元，其中：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392.14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39.36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9"/>
          <w:rFonts w:ascii="黑体" w:hAnsi="黑体" w:eastAsia="黑体"/>
          <w:b w:val="0"/>
        </w:rPr>
      </w:pPr>
      <w:bookmarkStart w:id="36" w:name="_Toc15396609"/>
      <w:bookmarkStart w:id="37" w:name="_Toc15377215"/>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22年“三公”经费财政拨款支出决算为6.41万元，完成预算100</w:t>
      </w:r>
      <w:r>
        <w:rPr>
          <w:rFonts w:ascii="仿宋" w:hAnsi="仿宋" w:eastAsia="仿宋"/>
          <w:sz w:val="32"/>
          <w:szCs w:val="32"/>
        </w:rPr>
        <w:t>%</w:t>
      </w:r>
      <w:r>
        <w:rPr>
          <w:rFonts w:hint="eastAsia" w:ascii="仿宋" w:hAnsi="仿宋" w:eastAsia="仿宋"/>
          <w:sz w:val="32"/>
          <w:szCs w:val="32"/>
        </w:rPr>
        <w:t>，较上年减少7.87万元，下降122.78%。</w:t>
      </w:r>
      <w:r>
        <w:rPr>
          <w:rFonts w:eastAsia="仿宋_GB2312"/>
          <w:sz w:val="32"/>
          <w:szCs w:val="32"/>
        </w:rPr>
        <w:t>决算数与预算数持平的主要原因是</w:t>
      </w:r>
      <w:r>
        <w:rPr>
          <w:rFonts w:hint="eastAsia" w:eastAsia="仿宋_GB2312"/>
          <w:sz w:val="32"/>
          <w:szCs w:val="32"/>
        </w:rPr>
        <w:t>2022年公务用车运行维护费未超预算支出；公务接待未超预算支出</w:t>
      </w:r>
      <w:r>
        <w:rPr>
          <w:rFonts w:eastAsia="仿宋_GB2312"/>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；公务用车购置及运行维护费支出决算6.41万元，占100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w:t>
      </w:r>
    </w:p>
    <w:p>
      <w:pPr>
        <w:spacing w:line="600" w:lineRule="exact"/>
        <w:ind w:firstLine="643" w:firstLineChars="200"/>
        <w:rPr>
          <w:rFonts w:ascii="仿宋_GB2312" w:eastAsia="仿宋_GB2312"/>
          <w:sz w:val="32"/>
          <w:szCs w:val="32"/>
        </w:rPr>
      </w:pPr>
      <w:r>
        <w:rPr>
          <w:rFonts w:hint="eastAsia" w:ascii="仿宋_GB2312" w:eastAsia="仿宋_GB2312"/>
          <w:b/>
          <w:sz w:val="32"/>
          <w:szCs w:val="32"/>
        </w:rPr>
        <w:t>1.因公出国（境）经费支出</w:t>
      </w:r>
      <w:r>
        <w:rPr>
          <w:rFonts w:hint="eastAsia" w:ascii="仿宋_GB2312" w:eastAsia="仿宋_GB2312"/>
          <w:sz w:val="32"/>
          <w:szCs w:val="32"/>
        </w:rPr>
        <w:t>0万元，</w:t>
      </w:r>
      <w:r>
        <w:rPr>
          <w:rStyle w:val="16"/>
          <w:rFonts w:hint="eastAsia" w:ascii="仿宋" w:hAnsi="仿宋" w:eastAsia="仿宋"/>
          <w:b w:val="0"/>
          <w:bCs/>
          <w:sz w:val="32"/>
          <w:szCs w:val="32"/>
        </w:rPr>
        <w:t>完成预算0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21年增加</w:t>
      </w:r>
      <w:r>
        <w:rPr>
          <w:rFonts w:ascii="仿宋_GB2312" w:eastAsia="仿宋_GB2312"/>
          <w:sz w:val="32"/>
          <w:szCs w:val="32"/>
        </w:rPr>
        <w:t>/</w:t>
      </w:r>
      <w:r>
        <w:rPr>
          <w:rFonts w:hint="eastAsia" w:ascii="仿宋_GB2312" w:eastAsia="仿宋_GB2312"/>
          <w:sz w:val="32"/>
          <w:szCs w:val="32"/>
        </w:rPr>
        <w:t>减少0万元，增长</w:t>
      </w:r>
      <w:r>
        <w:rPr>
          <w:rFonts w:ascii="仿宋_GB2312" w:eastAsia="仿宋_GB2312"/>
          <w:sz w:val="32"/>
          <w:szCs w:val="32"/>
        </w:rPr>
        <w:t>/</w:t>
      </w:r>
      <w:r>
        <w:rPr>
          <w:rFonts w:hint="eastAsia" w:ascii="仿宋_GB2312" w:eastAsia="仿宋_GB2312"/>
          <w:sz w:val="32"/>
          <w:szCs w:val="32"/>
        </w:rPr>
        <w:t>下降0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6.41万元,</w:t>
      </w:r>
      <w:r>
        <w:rPr>
          <w:rStyle w:val="16"/>
          <w:rFonts w:hint="eastAsia" w:ascii="仿宋" w:hAnsi="仿宋" w:eastAsia="仿宋"/>
          <w:b w:val="0"/>
          <w:bCs/>
          <w:sz w:val="32"/>
          <w:szCs w:val="32"/>
        </w:rPr>
        <w:t>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21年减少7.52万元，下降117.32</w:t>
      </w:r>
      <w:r>
        <w:rPr>
          <w:rFonts w:ascii="仿宋_GB2312" w:eastAsia="仿宋_GB2312"/>
          <w:sz w:val="32"/>
          <w:szCs w:val="32"/>
        </w:rPr>
        <w:t>%</w:t>
      </w:r>
      <w:r>
        <w:rPr>
          <w:rFonts w:hint="eastAsia" w:ascii="仿宋_GB2312" w:eastAsia="仿宋_GB2312"/>
          <w:sz w:val="32"/>
          <w:szCs w:val="32"/>
        </w:rPr>
        <w:t>。主要原因是2022年</w:t>
      </w:r>
      <w:r>
        <w:rPr>
          <w:rFonts w:hint="eastAsia" w:ascii="仿宋" w:hAnsi="仿宋" w:eastAsia="仿宋"/>
          <w:sz w:val="32"/>
          <w:szCs w:val="32"/>
        </w:rPr>
        <w:t>5月</w:t>
      </w:r>
      <w:r>
        <w:rPr>
          <w:rFonts w:hint="eastAsia" w:ascii="仿宋_GB2312" w:hAnsi="仿宋" w:eastAsia="仿宋_GB2312"/>
          <w:sz w:val="32"/>
          <w:szCs w:val="32"/>
        </w:rPr>
        <w:t>财务统管，上划市级财政，相关费用支出减少，一部分费用由县上支付，未纳入财政拨款收支核算</w:t>
      </w:r>
      <w:r>
        <w:rPr>
          <w:rFonts w:hint="eastAsia" w:ascii="仿宋" w:hAnsi="仿宋" w:eastAsia="仿宋"/>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月底，单位共有公务用车6辆，其中：轿车4辆、越野车2辆、载客汽车0辆。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6.41万元，</w:t>
      </w:r>
      <w:r>
        <w:rPr>
          <w:rFonts w:eastAsia="仿宋_GB2312"/>
          <w:sz w:val="32"/>
          <w:szCs w:val="32"/>
        </w:rPr>
        <w:t>主要用于</w:t>
      </w:r>
      <w:r>
        <w:rPr>
          <w:rFonts w:hint="eastAsia" w:eastAsia="仿宋_GB2312"/>
          <w:sz w:val="32"/>
          <w:szCs w:val="32"/>
        </w:rPr>
        <w:t>盐边县人民检察院办案执勤执法等相关业务工作</w:t>
      </w:r>
      <w:r>
        <w:rPr>
          <w:rFonts w:eastAsia="仿宋_GB2312"/>
          <w:sz w:val="32"/>
          <w:szCs w:val="32"/>
        </w:rPr>
        <w:t>等所需的公务用车燃料费、维修费、过路过桥费、</w:t>
      </w:r>
      <w:r>
        <w:rPr>
          <w:rFonts w:hint="eastAsia" w:ascii="仿宋_GB2312" w:eastAsia="仿宋_GB2312"/>
          <w:sz w:val="32"/>
          <w:szCs w:val="32"/>
        </w:rPr>
        <w:t>保险费等支出。</w:t>
      </w:r>
    </w:p>
    <w:p>
      <w:pPr>
        <w:spacing w:line="600" w:lineRule="exact"/>
        <w:ind w:firstLine="640"/>
        <w:rPr>
          <w:rFonts w:ascii="仿宋_GB2312" w:eastAsia="仿宋_GB2312"/>
          <w:b/>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0万元，</w:t>
      </w:r>
      <w:r>
        <w:rPr>
          <w:rStyle w:val="16"/>
          <w:rFonts w:hint="eastAsia" w:ascii="仿宋" w:hAnsi="仿宋" w:eastAsia="仿宋"/>
          <w:b w:val="0"/>
          <w:bCs/>
          <w:sz w:val="32"/>
          <w:szCs w:val="32"/>
        </w:rPr>
        <w:t>完成预算0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21年减少0.35万元，下降100</w:t>
      </w:r>
      <w:r>
        <w:rPr>
          <w:rFonts w:ascii="仿宋_GB2312" w:eastAsia="仿宋_GB2312"/>
          <w:sz w:val="32"/>
          <w:szCs w:val="32"/>
        </w:rPr>
        <w:t>%</w:t>
      </w:r>
      <w:r>
        <w:rPr>
          <w:rFonts w:hint="eastAsia" w:ascii="仿宋_GB2312" w:eastAsia="仿宋_GB2312"/>
          <w:sz w:val="32"/>
          <w:szCs w:val="32"/>
        </w:rPr>
        <w:t>。主要原因是2022年</w:t>
      </w:r>
      <w:r>
        <w:rPr>
          <w:rFonts w:hint="eastAsia" w:ascii="仿宋" w:hAnsi="仿宋" w:eastAsia="仿宋"/>
          <w:sz w:val="32"/>
          <w:szCs w:val="32"/>
        </w:rPr>
        <w:t>5月</w:t>
      </w:r>
      <w:r>
        <w:rPr>
          <w:rFonts w:hint="eastAsia" w:ascii="仿宋_GB2312" w:hAnsi="仿宋" w:eastAsia="仿宋_GB2312"/>
          <w:sz w:val="32"/>
          <w:szCs w:val="32"/>
        </w:rPr>
        <w:t>财务统管，上划市级财政，相关费用支出减少，一部分费用由县上支付，未纳入财政拨款收支核算</w:t>
      </w:r>
      <w:r>
        <w:rPr>
          <w:rFonts w:hint="eastAsia" w:ascii="仿宋" w:hAnsi="仿宋" w:eastAsia="仿宋"/>
          <w:sz w:val="32"/>
          <w:szCs w:val="32"/>
        </w:rPr>
        <w:t>。</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w:t>
      </w:r>
      <w:r>
        <w:rPr>
          <w:rFonts w:hint="eastAsia" w:ascii="仿宋_GB2312" w:eastAsia="仿宋_GB2312"/>
          <w:sz w:val="32"/>
          <w:szCs w:val="32"/>
        </w:rPr>
        <w:t>万元，主要用于</w:t>
      </w:r>
      <w:r>
        <w:rPr>
          <w:rFonts w:hint="eastAsia" w:eastAsia="仿宋_GB2312"/>
          <w:sz w:val="32"/>
          <w:szCs w:val="32"/>
        </w:rPr>
        <w:t>盐边县人民检察院上级院或其他部门到我院</w:t>
      </w:r>
      <w:r>
        <w:rPr>
          <w:rFonts w:eastAsia="仿宋_GB2312"/>
          <w:sz w:val="32"/>
          <w:szCs w:val="32"/>
        </w:rPr>
        <w:t>执行公务、开展业务活动开支的交通费、住宿费、用餐费等。</w:t>
      </w:r>
      <w:r>
        <w:rPr>
          <w:rFonts w:hint="eastAsia" w:ascii="仿宋_GB2312" w:eastAsia="仿宋_GB2312"/>
          <w:sz w:val="32"/>
          <w:szCs w:val="32"/>
        </w:rPr>
        <w:t>国内公务接待0批次，0人次（不包括陪同人员），共计支出0万元。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万元。外事接待0批次，0人次（不包括陪同人员），共计支出0万元。</w:t>
      </w:r>
    </w:p>
    <w:p>
      <w:pPr>
        <w:spacing w:line="600" w:lineRule="exact"/>
        <w:ind w:firstLine="640"/>
        <w:outlineLvl w:val="1"/>
        <w:rPr>
          <w:rFonts w:ascii="黑体" w:eastAsia="黑体"/>
          <w:sz w:val="32"/>
          <w:szCs w:val="32"/>
        </w:rPr>
      </w:pPr>
      <w:bookmarkStart w:id="40" w:name="_Toc15396610"/>
      <w:bookmarkStart w:id="41" w:name="_Toc15377218"/>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22年政府性基金预算财政拨款支出0万元。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42" w:name="_Toc15396611"/>
      <w:bookmarkStart w:id="43" w:name="_Toc15377219"/>
      <w:r>
        <w:rPr>
          <w:rStyle w:val="29"/>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44" w:name="_Toc15377221"/>
      <w:bookmarkStart w:id="45" w:name="_Toc15396612"/>
      <w:r>
        <w:rPr>
          <w:rStyle w:val="29"/>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rPr>
          <w:rFonts w:ascii="仿宋" w:hAnsi="仿宋" w:eastAsia="仿宋"/>
          <w:b/>
          <w:sz w:val="32"/>
          <w:szCs w:val="32"/>
        </w:rPr>
      </w:pPr>
      <w:r>
        <w:rPr>
          <w:rFonts w:ascii="仿宋_GB2312" w:eastAsia="仿宋_GB2312"/>
          <w:sz w:val="32"/>
          <w:szCs w:val="32"/>
        </w:rPr>
        <w:t>20</w:t>
      </w:r>
      <w:r>
        <w:rPr>
          <w:rFonts w:hint="eastAsia" w:ascii="仿宋_GB2312" w:eastAsia="仿宋_GB2312"/>
          <w:sz w:val="32"/>
          <w:szCs w:val="32"/>
        </w:rPr>
        <w:t>22年，盐边县人民检察院机关运行经费支出39.36万元，比</w:t>
      </w:r>
      <w:r>
        <w:rPr>
          <w:rFonts w:ascii="仿宋_GB2312" w:eastAsia="仿宋_GB2312"/>
          <w:sz w:val="32"/>
          <w:szCs w:val="32"/>
        </w:rPr>
        <w:t>20</w:t>
      </w:r>
      <w:r>
        <w:rPr>
          <w:rFonts w:hint="eastAsia" w:ascii="仿宋_GB2312" w:eastAsia="仿宋_GB2312"/>
          <w:sz w:val="32"/>
          <w:szCs w:val="32"/>
        </w:rPr>
        <w:t>21年减少56.69万元，下降59.02</w:t>
      </w:r>
      <w:r>
        <w:rPr>
          <w:rFonts w:ascii="仿宋_GB2312" w:eastAsia="仿宋_GB2312"/>
          <w:sz w:val="32"/>
          <w:szCs w:val="32"/>
        </w:rPr>
        <w:t>%</w:t>
      </w:r>
      <w:r>
        <w:rPr>
          <w:rFonts w:hint="eastAsia" w:ascii="仿宋_GB2312" w:eastAsia="仿宋_GB2312"/>
          <w:sz w:val="32"/>
          <w:szCs w:val="32"/>
        </w:rPr>
        <w:t>。主要原因是2022年</w:t>
      </w:r>
      <w:r>
        <w:rPr>
          <w:rFonts w:hint="eastAsia" w:ascii="仿宋" w:hAnsi="仿宋" w:eastAsia="仿宋"/>
          <w:sz w:val="32"/>
          <w:szCs w:val="32"/>
        </w:rPr>
        <w:t>5月</w:t>
      </w:r>
      <w:r>
        <w:rPr>
          <w:rFonts w:hint="eastAsia" w:ascii="仿宋_GB2312" w:hAnsi="仿宋" w:eastAsia="仿宋_GB2312"/>
          <w:sz w:val="32"/>
          <w:szCs w:val="32"/>
        </w:rPr>
        <w:t>财务统管，上划市级财政，相关费用支出减少，一部分费用由县上支付，未纳入财政拨款收支核算</w:t>
      </w:r>
      <w:r>
        <w:rPr>
          <w:rFonts w:hint="eastAsia" w:ascii="仿宋" w:hAnsi="仿宋" w:eastAsia="仿宋"/>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22年，盐边县人民检察院政府采购支出总额0万元，其中：政府采购货物支出0万元、政府采购工程支出0万元、政府采购服务支出0万元。授予中小企业合同金额0万元，占政府采购支出总额的0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日，盐边县人民检察院共有车辆6辆，其中：主要领导干部用车0辆、机要通信用车0辆、应急保障用车0辆、</w:t>
      </w:r>
      <w:r>
        <w:rPr>
          <w:rFonts w:hint="eastAsia" w:ascii="仿宋_GB2312" w:eastAsia="仿宋_GB2312"/>
          <w:color w:val="000000"/>
          <w:sz w:val="32"/>
          <w:szCs w:val="32"/>
        </w:rPr>
        <w:t>执法执勤用车</w:t>
      </w:r>
      <w:r>
        <w:rPr>
          <w:rFonts w:ascii="仿宋_GB2312" w:eastAsia="仿宋_GB2312"/>
          <w:color w:val="000000"/>
          <w:sz w:val="32"/>
          <w:szCs w:val="32"/>
        </w:rPr>
        <w:t>4</w:t>
      </w:r>
      <w:r>
        <w:rPr>
          <w:rFonts w:hint="eastAsia" w:ascii="仿宋_GB2312" w:eastAsia="仿宋_GB2312"/>
          <w:color w:val="000000"/>
          <w:sz w:val="32"/>
          <w:szCs w:val="32"/>
        </w:rPr>
        <w:t>辆、特种专业技术用车1辆、</w:t>
      </w:r>
      <w:r>
        <w:rPr>
          <w:rFonts w:hint="eastAsia" w:ascii="仿宋_GB2312" w:eastAsia="仿宋_GB2312"/>
          <w:sz w:val="32"/>
          <w:szCs w:val="32"/>
        </w:rPr>
        <w:t>其他用车1辆，其他用车主要用于日常公务用车</w:t>
      </w:r>
      <w:r>
        <w:rPr>
          <w:rFonts w:hint="eastAsia" w:ascii="仿宋_GB2312" w:eastAsia="仿宋_GB2312"/>
          <w:color w:val="000000"/>
          <w:sz w:val="32"/>
          <w:szCs w:val="32"/>
        </w:rPr>
        <w:t>。</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pStyle w:val="2"/>
        <w:spacing w:before="93"/>
        <w:ind w:firstLine="640" w:firstLineChars="200"/>
        <w:rPr>
          <w:highlight w:val="yellow"/>
        </w:rPr>
      </w:pPr>
      <w:r>
        <w:rPr>
          <w:rFonts w:hint="eastAsia" w:hAnsi="仿宋_GB2312" w:cs="仿宋_GB2312"/>
          <w:sz w:val="32"/>
          <w:szCs w:val="32"/>
        </w:rPr>
        <w:t>根据预算绩效管理要求，本单位在2022年度预算编制阶段，组织对聘用制书记员项目经费等12个项目开展了预算事前绩效评估，对12个项目编制了绩效目标，预算执行过程中，选取2个项目开展绩效监控，组织对12个项目开展绩效自评，绩效自评表详见第四部分附件。</w:t>
      </w:r>
    </w:p>
    <w:p>
      <w:pPr>
        <w:widowControl/>
        <w:ind w:firstLine="643" w:firstLineChars="200"/>
        <w:jc w:val="left"/>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pStyle w:val="2"/>
        <w:rPr>
          <w:rFonts w:ascii="仿宋_GB2312" w:eastAsia="仿宋_GB2312"/>
          <w:b/>
          <w:sz w:val="32"/>
          <w:szCs w:val="32"/>
        </w:rPr>
      </w:pPr>
    </w:p>
    <w:p>
      <w:pPr>
        <w:numPr>
          <w:ilvl w:val="0"/>
          <w:numId w:val="4"/>
        </w:numPr>
        <w:spacing w:line="600" w:lineRule="exact"/>
        <w:ind w:firstLine="660" w:firstLineChars="150"/>
        <w:jc w:val="center"/>
        <w:outlineLvl w:val="0"/>
        <w:rPr>
          <w:rStyle w:val="28"/>
          <w:rFonts w:ascii="黑体" w:hAnsi="黑体" w:eastAsia="黑体"/>
          <w:b w:val="0"/>
        </w:rPr>
      </w:pPr>
      <w:bookmarkStart w:id="49" w:name="_Toc15396613"/>
      <w:bookmarkStart w:id="50" w:name="_Toc15377225"/>
      <w:bookmarkStart w:id="51" w:name="_Toc15377226"/>
      <w:r>
        <w:rPr>
          <w:rFonts w:hint="eastAsia" w:ascii="黑体" w:hAnsi="黑体" w:eastAsia="黑体"/>
          <w:sz w:val="44"/>
          <w:szCs w:val="44"/>
        </w:rPr>
        <w:t>名</w:t>
      </w:r>
      <w:r>
        <w:rPr>
          <w:rStyle w:val="28"/>
          <w:rFonts w:hint="eastAsia" w:ascii="黑体" w:hAnsi="黑体" w:eastAsia="黑体"/>
          <w:b w:val="0"/>
        </w:rPr>
        <w:t>词解释</w:t>
      </w:r>
      <w:bookmarkEnd w:id="49"/>
      <w:bookmarkEnd w:id="50"/>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firstLineChars="200"/>
        <w:rPr>
          <w:rFonts w:ascii="仿宋" w:hAnsi="仿宋" w:eastAsia="仿宋"/>
          <w:b/>
          <w:color w:val="000000"/>
          <w:sz w:val="32"/>
          <w:szCs w:val="32"/>
        </w:rPr>
      </w:pPr>
      <w:r>
        <w:rPr>
          <w:rFonts w:hint="eastAsia" w:ascii="仿宋_GB2312" w:eastAsia="仿宋_GB2312"/>
          <w:sz w:val="32"/>
          <w:szCs w:val="32"/>
        </w:rPr>
        <w:t>9</w:t>
      </w:r>
      <w:r>
        <w:rPr>
          <w:rFonts w:ascii="仿宋_GB2312" w:eastAsia="仿宋_GB2312"/>
          <w:sz w:val="32"/>
          <w:szCs w:val="32"/>
        </w:rPr>
        <w:t>.</w:t>
      </w:r>
      <w:r>
        <w:rPr>
          <w:rFonts w:hint="eastAsia" w:ascii="仿宋_GB2312" w:eastAsia="仿宋_GB2312"/>
          <w:sz w:val="32"/>
          <w:szCs w:val="32"/>
        </w:rPr>
        <w:t>公共安全（类）检察（款）行政运行（项）：</w:t>
      </w:r>
      <w:r>
        <w:rPr>
          <w:rFonts w:hint="eastAsia" w:ascii="仿宋_GB2312" w:eastAsia="仿宋_GB2312"/>
          <w:color w:val="000000"/>
          <w:sz w:val="32"/>
          <w:szCs w:val="32"/>
        </w:rPr>
        <w:t>指行政单位检察事务的基本支出。公共安全（类）检察（款）一般行政管理事务（项）：指行政单位未单独设立项级科目的其他项目支出。公共安全（类）检察（款）其他公共安全支出（项）:项目以</w:t>
      </w:r>
      <w:r>
        <w:rPr>
          <w:rStyle w:val="16"/>
          <w:rFonts w:hint="eastAsia" w:ascii="仿宋" w:hAnsi="仿宋" w:eastAsia="仿宋"/>
          <w:b w:val="0"/>
          <w:bCs/>
          <w:color w:val="000000"/>
          <w:sz w:val="32"/>
          <w:szCs w:val="32"/>
        </w:rPr>
        <w:t>外其他用于公共安全方面的支出。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10.社会保障和就业（类）</w:t>
      </w:r>
      <w:r>
        <w:rPr>
          <w:rStyle w:val="16"/>
          <w:rFonts w:hint="eastAsia" w:ascii="仿宋" w:hAnsi="仿宋" w:eastAsia="仿宋"/>
          <w:b w:val="0"/>
          <w:bCs/>
          <w:color w:val="000000"/>
          <w:sz w:val="32"/>
          <w:szCs w:val="32"/>
        </w:rPr>
        <w:t>行政事业单位离退休（款）机关事业单位基本养老保险缴费支出（项）</w:t>
      </w:r>
      <w:r>
        <w:rPr>
          <w:rFonts w:hint="eastAsia" w:ascii="仿宋_GB2312" w:eastAsia="仿宋_GB2312"/>
          <w:color w:val="000000"/>
          <w:sz w:val="32"/>
          <w:szCs w:val="32"/>
        </w:rPr>
        <w:t>：指行政单位开支的基本养老保险缴费支出。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11.卫生健康（类）行政事业单位医疗（款）行政单位医疗（项）:指行政单位开支的基本医疗保险缴费支出。</w:t>
      </w:r>
    </w:p>
    <w:p>
      <w:pPr>
        <w:ind w:firstLine="640" w:firstLineChars="200"/>
        <w:rPr>
          <w:rFonts w:ascii="仿宋" w:hAnsi="仿宋" w:eastAsia="仿宋"/>
          <w:b/>
          <w:color w:val="000000"/>
          <w:sz w:val="32"/>
          <w:szCs w:val="32"/>
        </w:rPr>
      </w:pPr>
      <w:r>
        <w:rPr>
          <w:rFonts w:hint="eastAsia" w:ascii="仿宋_GB2312" w:eastAsia="仿宋_GB2312"/>
          <w:color w:val="000000"/>
          <w:sz w:val="32"/>
          <w:szCs w:val="32"/>
        </w:rPr>
        <w:t>12.住房保障（类）住房改革支出（款）住房公积金：指行政事业单位按照规定为职工缴纳的住房公积金。</w:t>
      </w:r>
    </w:p>
    <w:p>
      <w:pPr>
        <w:ind w:firstLine="640" w:firstLineChars="200"/>
        <w:rPr>
          <w:rFonts w:ascii="仿宋_GB2312" w:eastAsia="仿宋_GB2312"/>
          <w:sz w:val="32"/>
          <w:szCs w:val="32"/>
        </w:rPr>
      </w:pPr>
      <w:r>
        <w:rPr>
          <w:rFonts w:hint="eastAsia" w:ascii="仿宋_GB2312" w:eastAsia="仿宋_GB2312"/>
          <w:sz w:val="32"/>
          <w:szCs w:val="32"/>
        </w:rPr>
        <w:t>13</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rPr>
        <w:t>14</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15</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16</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17</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黑体" w:hAnsi="黑体" w:eastAsia="黑体"/>
          <w:sz w:val="44"/>
          <w:szCs w:val="44"/>
        </w:rPr>
      </w:pPr>
      <w:bookmarkStart w:id="52" w:name="_Toc15396614"/>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ind w:firstLine="2640" w:firstLineChars="600"/>
        <w:outlineLvl w:val="0"/>
        <w:rPr>
          <w:rStyle w:val="28"/>
          <w:rFonts w:ascii="黑体" w:hAnsi="黑体" w:eastAsia="黑体"/>
          <w:b w:val="0"/>
        </w:rPr>
      </w:pPr>
      <w:r>
        <w:rPr>
          <w:rFonts w:hint="eastAsia" w:ascii="黑体" w:hAnsi="黑体" w:eastAsia="黑体"/>
          <w:sz w:val="44"/>
          <w:szCs w:val="44"/>
        </w:rPr>
        <w:t>第</w:t>
      </w:r>
      <w:r>
        <w:rPr>
          <w:rStyle w:val="28"/>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jc w:val="center"/>
        <w:rPr>
          <w:rFonts w:ascii="方正小标宋_GBK" w:eastAsia="方正小标宋_GBK"/>
          <w:sz w:val="38"/>
          <w:szCs w:val="38"/>
        </w:rPr>
      </w:pPr>
      <w:r>
        <w:rPr>
          <w:rFonts w:ascii="方正小标宋_GBK" w:eastAsia="方正小标宋_GBK"/>
          <w:sz w:val="38"/>
          <w:szCs w:val="38"/>
        </w:rPr>
        <w:t>202</w:t>
      </w:r>
      <w:r>
        <w:rPr>
          <w:rFonts w:hint="eastAsia" w:ascii="方正小标宋_GBK" w:eastAsia="方正小标宋_GBK"/>
          <w:sz w:val="38"/>
          <w:szCs w:val="38"/>
        </w:rPr>
        <w:t>2</w:t>
      </w:r>
      <w:r>
        <w:rPr>
          <w:rFonts w:ascii="方正小标宋_GBK" w:eastAsia="方正小标宋_GBK"/>
          <w:sz w:val="38"/>
          <w:szCs w:val="38"/>
        </w:rPr>
        <w:t>年县级部门整体支出绩效评价报告</w:t>
      </w:r>
    </w:p>
    <w:p/>
    <w:p>
      <w:pPr>
        <w:jc w:val="left"/>
        <w:rPr>
          <w:rFonts w:hint="eastAsia" w:ascii="方正仿宋_GBK" w:eastAsia="方正仿宋_GBK"/>
          <w:sz w:val="33"/>
          <w:szCs w:val="33"/>
        </w:rPr>
      </w:pPr>
      <w:r>
        <w:rPr>
          <w:rFonts w:hint="eastAsia" w:ascii="方正仿宋_GBK" w:eastAsia="方正仿宋_GBK"/>
          <w:sz w:val="33"/>
          <w:szCs w:val="33"/>
        </w:rPr>
        <w:t xml:space="preserve">    根据盐边县财政局《关于开展2022年度部门整体支出绩效评价工作的通知》（盐边财绩〔2023〕1号）要求，我院立即对2022年度部门整体支出绩效进行了全面综合自评。整体支出分基本支出和项目支出两部分，基本支出的评价重点是厉行节约保运转，降低行政成本；项目支出的评价重点是提高资金绩效。现将有关情况报告如下：</w:t>
      </w:r>
    </w:p>
    <w:p>
      <w:pPr>
        <w:jc w:val="left"/>
        <w:rPr>
          <w:rFonts w:hint="eastAsia" w:ascii="方正仿宋_GBK" w:eastAsia="方正仿宋_GBK"/>
          <w:b/>
          <w:sz w:val="33"/>
          <w:szCs w:val="33"/>
        </w:rPr>
      </w:pPr>
      <w:r>
        <w:rPr>
          <w:rFonts w:hint="eastAsia" w:ascii="方正仿宋_GBK" w:eastAsia="方正仿宋_GBK"/>
          <w:sz w:val="33"/>
          <w:szCs w:val="33"/>
        </w:rPr>
        <w:t xml:space="preserve">    </w:t>
      </w:r>
      <w:r>
        <w:rPr>
          <w:rFonts w:hint="eastAsia" w:ascii="方正仿宋_GBK" w:eastAsia="方正仿宋_GBK"/>
          <w:b/>
          <w:sz w:val="33"/>
          <w:szCs w:val="33"/>
        </w:rPr>
        <w:t>一、部门概况</w:t>
      </w:r>
    </w:p>
    <w:p>
      <w:pPr>
        <w:jc w:val="left"/>
        <w:rPr>
          <w:rFonts w:hint="eastAsia" w:ascii="方正仿宋_GBK" w:eastAsia="方正仿宋_GBK"/>
          <w:sz w:val="33"/>
          <w:szCs w:val="33"/>
        </w:rPr>
      </w:pPr>
      <w:r>
        <w:rPr>
          <w:rFonts w:hint="eastAsia" w:ascii="方正仿宋_GBK" w:eastAsia="方正仿宋_GBK"/>
          <w:sz w:val="33"/>
          <w:szCs w:val="33"/>
        </w:rPr>
        <w:t xml:space="preserve">   （一）机构组成</w:t>
      </w:r>
    </w:p>
    <w:p>
      <w:pPr>
        <w:jc w:val="left"/>
        <w:rPr>
          <w:rFonts w:hint="eastAsia" w:ascii="方正仿宋_GBK" w:eastAsia="方正仿宋_GBK"/>
          <w:sz w:val="33"/>
          <w:szCs w:val="33"/>
        </w:rPr>
      </w:pPr>
      <w:r>
        <w:rPr>
          <w:rFonts w:hint="eastAsia" w:ascii="方正仿宋_GBK" w:eastAsia="方正仿宋_GBK"/>
          <w:sz w:val="33"/>
          <w:szCs w:val="33"/>
        </w:rPr>
        <w:t xml:space="preserve">    我院2022年共设5个内设机构，分别是第一检察部、第二检察部、第三检察部、政治部（含司法警察大队）、办公室，下设派出检察室3个：渔门镇、红格镇、桐子林派驻检察室，无下属二级单位。</w:t>
      </w:r>
    </w:p>
    <w:p>
      <w:pPr>
        <w:jc w:val="left"/>
        <w:rPr>
          <w:rFonts w:hint="eastAsia" w:ascii="方正仿宋_GBK" w:eastAsia="方正仿宋_GBK"/>
          <w:sz w:val="33"/>
          <w:szCs w:val="33"/>
        </w:rPr>
      </w:pPr>
      <w:r>
        <w:rPr>
          <w:rFonts w:hint="eastAsia" w:ascii="方正仿宋_GBK" w:eastAsia="方正仿宋_GBK"/>
          <w:sz w:val="33"/>
          <w:szCs w:val="33"/>
        </w:rPr>
        <w:t xml:space="preserve">   （二）机构职能 </w:t>
      </w:r>
      <w:r>
        <w:rPr>
          <w:rFonts w:hint="eastAsia" w:ascii="方正仿宋_GBK" w:eastAsia="方正仿宋_GBK"/>
          <w:sz w:val="33"/>
          <w:szCs w:val="33"/>
        </w:rPr>
        <w:br w:type="textWrapping"/>
      </w:r>
      <w:r>
        <w:rPr>
          <w:rFonts w:hint="eastAsia" w:ascii="方正仿宋_GBK" w:eastAsia="方正仿宋_GBK"/>
          <w:sz w:val="33"/>
          <w:szCs w:val="33"/>
        </w:rPr>
        <w:t>　  盐边县人民检察院是国家的法律监督机关，主要是依法履行法律监督职能、保障国家法律在辖区内的正确实施，依法向盐边县人民代表大会及其常务委员会提出议案，依据法律和上级人民检察院确定的工作方针，安排部署本院检察工作，对检察业务活动进行调查研究，提出检察建议，负责其他应当由县人民检察院承办的事项等。</w:t>
      </w:r>
    </w:p>
    <w:p>
      <w:pPr>
        <w:jc w:val="left"/>
        <w:rPr>
          <w:rFonts w:hint="eastAsia" w:ascii="方正仿宋_GBK" w:eastAsia="方正仿宋_GBK"/>
          <w:sz w:val="33"/>
          <w:szCs w:val="33"/>
        </w:rPr>
      </w:pPr>
      <w:r>
        <w:rPr>
          <w:rFonts w:hint="eastAsia" w:ascii="方正仿宋_GBK" w:eastAsia="方正仿宋_GBK"/>
          <w:sz w:val="33"/>
          <w:szCs w:val="33"/>
        </w:rPr>
        <w:t xml:space="preserve">   （三）人员概况 </w:t>
      </w:r>
      <w:r>
        <w:rPr>
          <w:rFonts w:hint="eastAsia" w:ascii="方正仿宋_GBK" w:eastAsia="方正仿宋_GBK"/>
          <w:sz w:val="33"/>
          <w:szCs w:val="33"/>
        </w:rPr>
        <w:br w:type="textWrapping"/>
      </w:r>
      <w:r>
        <w:rPr>
          <w:rFonts w:hint="eastAsia" w:ascii="方正仿宋_GBK" w:eastAsia="方正仿宋_GBK"/>
          <w:sz w:val="33"/>
          <w:szCs w:val="33"/>
        </w:rPr>
        <w:t>　  我院有政法专项编制31个，工勤人员编制2个，实有政法专项编制干警26人，工勤人员2人，退休人员12人。</w:t>
      </w:r>
    </w:p>
    <w:p>
      <w:pPr>
        <w:jc w:val="left"/>
        <w:rPr>
          <w:rFonts w:hint="eastAsia" w:ascii="方正仿宋_GBK" w:eastAsia="方正仿宋_GBK"/>
          <w:b/>
          <w:sz w:val="33"/>
          <w:szCs w:val="33"/>
        </w:rPr>
      </w:pPr>
      <w:r>
        <w:rPr>
          <w:rFonts w:hint="eastAsia" w:ascii="方正仿宋_GBK" w:eastAsia="方正仿宋_GBK"/>
          <w:b/>
          <w:sz w:val="33"/>
          <w:szCs w:val="33"/>
        </w:rPr>
        <w:t xml:space="preserve">    二、评价工作开展情况</w:t>
      </w:r>
    </w:p>
    <w:p>
      <w:pPr>
        <w:jc w:val="left"/>
        <w:rPr>
          <w:rFonts w:hint="eastAsia" w:ascii="方正仿宋_GBK" w:eastAsia="方正仿宋_GBK"/>
          <w:sz w:val="33"/>
          <w:szCs w:val="33"/>
        </w:rPr>
      </w:pPr>
      <w:r>
        <w:rPr>
          <w:rFonts w:hint="eastAsia" w:ascii="方正仿宋_GBK" w:eastAsia="方正仿宋_GBK"/>
          <w:sz w:val="33"/>
          <w:szCs w:val="33"/>
        </w:rPr>
        <w:t xml:space="preserve">    根据要求开展评价工作，及时报送相关资料，应公开的内容在规定期限，规定模块按要求进行公开。</w:t>
      </w:r>
    </w:p>
    <w:p>
      <w:pPr>
        <w:jc w:val="left"/>
        <w:rPr>
          <w:rFonts w:hint="eastAsia" w:ascii="方正仿宋_GBK" w:eastAsia="方正仿宋_GBK"/>
          <w:b/>
          <w:sz w:val="33"/>
          <w:szCs w:val="33"/>
        </w:rPr>
      </w:pPr>
      <w:r>
        <w:rPr>
          <w:rFonts w:hint="eastAsia" w:ascii="方正仿宋_GBK" w:eastAsia="方正仿宋_GBK"/>
          <w:sz w:val="33"/>
          <w:szCs w:val="33"/>
        </w:rPr>
        <w:t xml:space="preserve">    </w:t>
      </w:r>
      <w:r>
        <w:rPr>
          <w:rFonts w:hint="eastAsia" w:ascii="方正仿宋_GBK" w:eastAsia="方正仿宋_GBK"/>
          <w:b/>
          <w:sz w:val="33"/>
          <w:szCs w:val="33"/>
        </w:rPr>
        <w:t>三、部门资金基本情况</w:t>
      </w:r>
    </w:p>
    <w:p>
      <w:pPr>
        <w:jc w:val="left"/>
        <w:rPr>
          <w:rFonts w:hint="eastAsia" w:ascii="方正仿宋_GBK" w:eastAsia="方正仿宋_GBK"/>
          <w:sz w:val="33"/>
          <w:szCs w:val="33"/>
        </w:rPr>
      </w:pPr>
      <w:r>
        <w:rPr>
          <w:rFonts w:hint="eastAsia" w:ascii="方正仿宋_GBK" w:eastAsia="方正仿宋_GBK"/>
          <w:sz w:val="33"/>
          <w:szCs w:val="33"/>
        </w:rPr>
        <w:t xml:space="preserve">   （一）部门财政资金收入情况。</w:t>
      </w:r>
    </w:p>
    <w:p>
      <w:pPr>
        <w:ind w:firstLine="660" w:firstLineChars="200"/>
        <w:jc w:val="left"/>
        <w:rPr>
          <w:rFonts w:hint="eastAsia" w:ascii="方正仿宋_GBK" w:eastAsia="方正仿宋_GBK"/>
          <w:sz w:val="33"/>
          <w:szCs w:val="33"/>
        </w:rPr>
      </w:pPr>
      <w:r>
        <w:rPr>
          <w:rFonts w:hint="eastAsia" w:ascii="方正仿宋_GBK" w:eastAsia="方正仿宋_GBK"/>
          <w:sz w:val="33"/>
          <w:szCs w:val="33"/>
        </w:rPr>
        <w:t>盐边县人民检察院2022年收入预算数为974.82万元，其中:当年财政拔款收入106.93万元，其他收入（县级资金）514.43万元，年初结转结余353.46万元。相应安排支出预算974.82万元，其中：工资福利支出739.29万元，日常公用支出65.11万元，对个人和家庭的补助支出19.54万元，项目支出150.88万元。</w:t>
      </w:r>
    </w:p>
    <w:p>
      <w:pPr>
        <w:jc w:val="left"/>
        <w:rPr>
          <w:rFonts w:hint="eastAsia" w:ascii="方正仿宋_GBK" w:eastAsia="方正仿宋_GBK"/>
          <w:sz w:val="33"/>
          <w:szCs w:val="33"/>
        </w:rPr>
      </w:pPr>
      <w:r>
        <w:rPr>
          <w:rFonts w:hint="eastAsia" w:ascii="方正仿宋_GBK" w:eastAsia="方正仿宋_GBK"/>
          <w:sz w:val="33"/>
          <w:szCs w:val="33"/>
        </w:rPr>
        <w:t xml:space="preserve">   （二）部门财政资金支出情况。</w:t>
      </w:r>
    </w:p>
    <w:p>
      <w:pPr>
        <w:jc w:val="left"/>
        <w:rPr>
          <w:rFonts w:hint="eastAsia" w:ascii="方正仿宋_GBK" w:eastAsia="方正仿宋_GBK"/>
          <w:sz w:val="33"/>
          <w:szCs w:val="33"/>
        </w:rPr>
      </w:pPr>
      <w:r>
        <w:rPr>
          <w:rFonts w:hint="eastAsia" w:ascii="方正仿宋_GBK" w:eastAsia="方正仿宋_GBK"/>
          <w:sz w:val="33"/>
          <w:szCs w:val="33"/>
        </w:rPr>
        <w:t xml:space="preserve">    基本支出用于为保障机构正常运转、完成日常工作任务而发生的支出，包括人员经费和公用经费。2022年基本支出823.94万元，其中工资福利支出739.29万元、商品和服务支出65.11万元、对个人和家庭的补助19.54万元。项目支出是在基本支出之外为完成其特定的行政工作任务而发生的支出，主要用于一般行政管理事务(办案业务、业务装备等)。2022年项目支出150.88万元，其中商品和服务支出112.19万元，资本性支出38.69万元。</w:t>
      </w:r>
    </w:p>
    <w:p>
      <w:pPr>
        <w:jc w:val="left"/>
        <w:rPr>
          <w:rFonts w:hint="eastAsia" w:ascii="方正仿宋_GBK" w:eastAsia="方正仿宋_GBK"/>
          <w:sz w:val="33"/>
          <w:szCs w:val="33"/>
        </w:rPr>
      </w:pPr>
      <w:r>
        <w:rPr>
          <w:rFonts w:hint="eastAsia" w:ascii="方正仿宋_GBK" w:eastAsia="方正仿宋_GBK"/>
          <w:sz w:val="33"/>
          <w:szCs w:val="33"/>
        </w:rPr>
        <w:t xml:space="preserve">   （三）结转和结余情况。</w:t>
      </w:r>
    </w:p>
    <w:p>
      <w:pPr>
        <w:jc w:val="left"/>
        <w:rPr>
          <w:rFonts w:hint="eastAsia" w:ascii="方正仿宋_GBK" w:eastAsia="方正仿宋_GBK"/>
          <w:sz w:val="33"/>
          <w:szCs w:val="33"/>
        </w:rPr>
      </w:pPr>
      <w:r>
        <w:rPr>
          <w:rFonts w:hint="eastAsia" w:ascii="方正仿宋_GBK" w:eastAsia="方正仿宋_GBK"/>
          <w:sz w:val="33"/>
          <w:szCs w:val="33"/>
        </w:rPr>
        <w:t xml:space="preserve">   </w:t>
      </w:r>
      <w:r>
        <w:rPr>
          <w:rFonts w:ascii="方正仿宋_GBK" w:eastAsia="方正仿宋_GBK"/>
          <w:sz w:val="33"/>
          <w:szCs w:val="33"/>
        </w:rPr>
        <w:t>2021</w:t>
      </w:r>
      <w:r>
        <w:rPr>
          <w:rFonts w:hint="eastAsia" w:ascii="方正仿宋_GBK" w:eastAsia="方正仿宋_GBK"/>
          <w:sz w:val="33"/>
          <w:szCs w:val="33"/>
        </w:rPr>
        <w:t>年度政法转移支付下达检察办案业务经费71.72万元；检察办案装备经费23.14万元；司法救助经费8万元；青少年法治教育基地配套操场改造项目19.14万元，同级财政配套经费19.14万元；2022年中央政法纪检监察转移支付下达司法救助经费2万元；聘用制书记员项目经费26.88万元。合计150.88万元，全额安排在2022年的部门经费预算中。2022年项目支出528.44万元，其中商品和服务支出112.19万元，资本性支出38.69万元。政法转移支付年末结转结余161万元。</w:t>
      </w:r>
    </w:p>
    <w:p>
      <w:pPr>
        <w:jc w:val="left"/>
        <w:rPr>
          <w:rFonts w:hint="eastAsia" w:ascii="方正仿宋_GBK" w:eastAsia="方正仿宋_GBK"/>
          <w:b/>
          <w:sz w:val="33"/>
          <w:szCs w:val="33"/>
        </w:rPr>
      </w:pPr>
      <w:r>
        <w:rPr>
          <w:rFonts w:hint="eastAsia" w:ascii="方正仿宋_GBK" w:eastAsia="方正仿宋_GBK"/>
          <w:sz w:val="33"/>
          <w:szCs w:val="33"/>
        </w:rPr>
        <w:t xml:space="preserve">    </w:t>
      </w:r>
      <w:r>
        <w:rPr>
          <w:rFonts w:hint="eastAsia" w:ascii="方正仿宋_GBK" w:eastAsia="方正仿宋_GBK"/>
          <w:b/>
          <w:sz w:val="33"/>
          <w:szCs w:val="33"/>
        </w:rPr>
        <w:t>四、部门财政支出管理情况</w:t>
      </w:r>
    </w:p>
    <w:p>
      <w:pPr>
        <w:jc w:val="left"/>
        <w:rPr>
          <w:rFonts w:hint="eastAsia" w:ascii="方正仿宋_GBK" w:eastAsia="方正仿宋_GBK"/>
          <w:sz w:val="33"/>
          <w:szCs w:val="33"/>
        </w:rPr>
      </w:pPr>
      <w:r>
        <w:rPr>
          <w:rFonts w:hint="eastAsia" w:ascii="方正仿宋_GBK" w:eastAsia="方正仿宋_GBK"/>
          <w:sz w:val="33"/>
          <w:szCs w:val="33"/>
        </w:rPr>
        <w:t xml:space="preserve">   （一）专项资金分配情况</w:t>
      </w:r>
    </w:p>
    <w:p>
      <w:pPr>
        <w:jc w:val="left"/>
        <w:rPr>
          <w:rFonts w:hint="eastAsia" w:ascii="方正仿宋_GBK" w:eastAsia="方正仿宋_GBK"/>
          <w:sz w:val="33"/>
          <w:szCs w:val="33"/>
        </w:rPr>
      </w:pPr>
      <w:r>
        <w:rPr>
          <w:rFonts w:hint="eastAsia" w:ascii="方正仿宋_GBK" w:eastAsia="方正仿宋_GBK"/>
          <w:sz w:val="33"/>
          <w:szCs w:val="33"/>
        </w:rPr>
        <w:t xml:space="preserve">   </w:t>
      </w:r>
      <w:r>
        <w:rPr>
          <w:rFonts w:ascii="方正仿宋_GBK" w:eastAsia="方正仿宋_GBK"/>
          <w:sz w:val="33"/>
          <w:szCs w:val="33"/>
        </w:rPr>
        <w:t>2021</w:t>
      </w:r>
      <w:r>
        <w:rPr>
          <w:rFonts w:hint="eastAsia" w:ascii="方正仿宋_GBK" w:eastAsia="方正仿宋_GBK"/>
          <w:sz w:val="33"/>
          <w:szCs w:val="33"/>
        </w:rPr>
        <w:t>年度政法转移支付下达检察办案业务经费71.72万元；检察办案装备经费23.14万元；司法救助经费8万元；青少年法治教育基地配套操场改造项目19.14万元，同级财政配套经费19.14万元；2022年中央政法纪检监察转移支付下达司法救助经费2万元；聘用制书记员项目经费26.88万元。合计150.88万元，全额安排在2022年的部门经费预算中。2022年项目支出528.44万元，其中商品和服务支出112.19万元，资本性支出38.69万元。政法转移支付年末结转结余161万元。</w:t>
      </w:r>
    </w:p>
    <w:p>
      <w:pPr>
        <w:jc w:val="left"/>
        <w:rPr>
          <w:rFonts w:hint="eastAsia" w:ascii="方正仿宋_GBK" w:eastAsia="方正仿宋_GBK"/>
          <w:sz w:val="33"/>
          <w:szCs w:val="33"/>
        </w:rPr>
      </w:pPr>
      <w:r>
        <w:rPr>
          <w:rFonts w:hint="eastAsia" w:ascii="方正仿宋_GBK" w:eastAsia="方正仿宋_GBK"/>
          <w:sz w:val="33"/>
          <w:szCs w:val="33"/>
        </w:rPr>
        <w:t xml:space="preserve">   （二）资产管理。</w:t>
      </w:r>
    </w:p>
    <w:p>
      <w:pPr>
        <w:jc w:val="left"/>
        <w:rPr>
          <w:rFonts w:hint="eastAsia" w:ascii="方正仿宋_GBK" w:eastAsia="方正仿宋_GBK"/>
          <w:sz w:val="33"/>
          <w:szCs w:val="33"/>
        </w:rPr>
      </w:pPr>
      <w:r>
        <w:rPr>
          <w:rFonts w:hint="eastAsia" w:ascii="方正仿宋_GBK" w:eastAsia="方正仿宋_GBK"/>
          <w:sz w:val="33"/>
          <w:szCs w:val="33"/>
        </w:rPr>
        <w:t xml:space="preserve">    2022年我院青少年法治教育基地配套操场改造和采购了相应的办公设备，年末固定资产原值2350.13万元。</w:t>
      </w:r>
    </w:p>
    <w:p>
      <w:pPr>
        <w:jc w:val="left"/>
        <w:rPr>
          <w:rFonts w:hint="eastAsia" w:ascii="方正仿宋_GBK" w:eastAsia="方正仿宋_GBK"/>
          <w:sz w:val="33"/>
          <w:szCs w:val="33"/>
        </w:rPr>
      </w:pPr>
      <w:r>
        <w:rPr>
          <w:rFonts w:hint="eastAsia" w:ascii="方正仿宋_GBK" w:eastAsia="方正仿宋_GBK"/>
          <w:sz w:val="33"/>
          <w:szCs w:val="33"/>
        </w:rPr>
        <w:t xml:space="preserve">   （三）内控制度管理。</w:t>
      </w:r>
    </w:p>
    <w:p>
      <w:pPr>
        <w:jc w:val="left"/>
        <w:rPr>
          <w:rFonts w:hint="eastAsia" w:ascii="方正仿宋_GBK" w:eastAsia="方正仿宋_GBK"/>
          <w:sz w:val="33"/>
          <w:szCs w:val="33"/>
        </w:rPr>
      </w:pPr>
      <w:r>
        <w:rPr>
          <w:rFonts w:hint="eastAsia" w:ascii="方正仿宋_GBK" w:eastAsia="方正仿宋_GBK"/>
          <w:sz w:val="33"/>
          <w:szCs w:val="33"/>
        </w:rPr>
        <w:t xml:space="preserve">    1.内部控制制度的设置及执行情况。</w:t>
      </w:r>
    </w:p>
    <w:p>
      <w:pPr>
        <w:jc w:val="left"/>
        <w:rPr>
          <w:rFonts w:hint="eastAsia" w:ascii="方正仿宋_GBK" w:eastAsia="方正仿宋_GBK"/>
          <w:sz w:val="33"/>
          <w:szCs w:val="33"/>
        </w:rPr>
      </w:pPr>
      <w:r>
        <w:rPr>
          <w:rFonts w:hint="eastAsia" w:ascii="方正仿宋_GBK" w:eastAsia="方正仿宋_GBK"/>
          <w:sz w:val="33"/>
          <w:szCs w:val="33"/>
        </w:rPr>
        <w:t xml:space="preserve">    我院按照规定设置内部控制制度，并根据检查、自评等及时修订内部控制制度。</w:t>
      </w:r>
    </w:p>
    <w:p>
      <w:pPr>
        <w:jc w:val="left"/>
        <w:rPr>
          <w:rFonts w:hint="eastAsia" w:ascii="方正仿宋_GBK" w:eastAsia="方正仿宋_GBK"/>
          <w:sz w:val="33"/>
          <w:szCs w:val="33"/>
        </w:rPr>
      </w:pPr>
      <w:r>
        <w:rPr>
          <w:rFonts w:hint="eastAsia" w:ascii="方正仿宋_GBK" w:eastAsia="方正仿宋_GBK"/>
          <w:sz w:val="33"/>
          <w:szCs w:val="33"/>
        </w:rPr>
        <w:t xml:space="preserve">    2.部门内部控制制度的执行。</w:t>
      </w:r>
    </w:p>
    <w:p>
      <w:pPr>
        <w:jc w:val="left"/>
        <w:rPr>
          <w:rFonts w:hint="eastAsia" w:ascii="方正仿宋_GBK" w:eastAsia="方正仿宋_GBK"/>
          <w:sz w:val="33"/>
          <w:szCs w:val="33"/>
        </w:rPr>
      </w:pPr>
      <w:r>
        <w:rPr>
          <w:rFonts w:hint="eastAsia" w:ascii="方正仿宋_GBK" w:eastAsia="方正仿宋_GBK"/>
          <w:sz w:val="33"/>
          <w:szCs w:val="33"/>
        </w:rPr>
        <w:t xml:space="preserve">    2022年已按照内控管理要求开展内部控制评价，依据报告反馈进行相应调整。</w:t>
      </w:r>
    </w:p>
    <w:p>
      <w:pPr>
        <w:jc w:val="left"/>
        <w:rPr>
          <w:rFonts w:hint="eastAsia" w:ascii="方正仿宋_GBK" w:eastAsia="方正仿宋_GBK"/>
          <w:sz w:val="33"/>
          <w:szCs w:val="33"/>
        </w:rPr>
      </w:pPr>
      <w:r>
        <w:rPr>
          <w:rFonts w:hint="eastAsia" w:ascii="方正仿宋_GBK" w:eastAsia="方正仿宋_GBK"/>
          <w:sz w:val="33"/>
          <w:szCs w:val="33"/>
        </w:rPr>
        <w:t xml:space="preserve">   （四）信息公开。</w:t>
      </w:r>
    </w:p>
    <w:p>
      <w:pPr>
        <w:jc w:val="left"/>
        <w:rPr>
          <w:rFonts w:hint="eastAsia" w:ascii="方正仿宋_GBK" w:eastAsia="方正仿宋_GBK"/>
          <w:sz w:val="33"/>
          <w:szCs w:val="33"/>
        </w:rPr>
      </w:pPr>
      <w:r>
        <w:rPr>
          <w:rFonts w:hint="eastAsia" w:ascii="方正仿宋_GBK" w:eastAsia="方正仿宋_GBK"/>
          <w:sz w:val="33"/>
          <w:szCs w:val="33"/>
        </w:rPr>
        <w:t xml:space="preserve">    按照财政相关要求，按时按要求在盐边县公众信息网财政版块下的“财政绩效评价信息专栏”进行信息公开绩效监控。</w:t>
      </w:r>
    </w:p>
    <w:p>
      <w:pPr>
        <w:jc w:val="left"/>
        <w:rPr>
          <w:rFonts w:hint="eastAsia" w:ascii="方正仿宋_GBK" w:eastAsia="方正仿宋_GBK"/>
          <w:sz w:val="33"/>
          <w:szCs w:val="33"/>
        </w:rPr>
      </w:pPr>
      <w:r>
        <w:rPr>
          <w:rFonts w:hint="eastAsia" w:ascii="方正仿宋_GBK" w:eastAsia="方正仿宋_GBK"/>
          <w:sz w:val="33"/>
          <w:szCs w:val="33"/>
        </w:rPr>
        <w:t>2022年预算执行进度监控情况。按要求对2022预算执行进度进行监控，支付进度符合预算执行进度要求。</w:t>
      </w:r>
    </w:p>
    <w:p>
      <w:pPr>
        <w:jc w:val="left"/>
        <w:rPr>
          <w:rFonts w:hint="eastAsia" w:ascii="方正仿宋_GBK" w:eastAsia="方正仿宋_GBK"/>
          <w:sz w:val="33"/>
          <w:szCs w:val="33"/>
        </w:rPr>
      </w:pPr>
      <w:r>
        <w:rPr>
          <w:rFonts w:hint="eastAsia" w:ascii="方正仿宋_GBK" w:eastAsia="方正仿宋_GBK"/>
          <w:sz w:val="33"/>
          <w:szCs w:val="33"/>
        </w:rPr>
        <w:t xml:space="preserve">    （六）部门绩效情况。</w:t>
      </w:r>
    </w:p>
    <w:p>
      <w:pPr>
        <w:jc w:val="left"/>
        <w:rPr>
          <w:rFonts w:hint="eastAsia" w:ascii="方正仿宋_GBK" w:eastAsia="方正仿宋_GBK"/>
          <w:sz w:val="33"/>
          <w:szCs w:val="33"/>
        </w:rPr>
      </w:pPr>
      <w:r>
        <w:rPr>
          <w:rFonts w:hint="eastAsia" w:ascii="方正仿宋_GBK" w:eastAsia="方正仿宋_GBK"/>
          <w:sz w:val="33"/>
          <w:szCs w:val="33"/>
        </w:rPr>
        <w:t xml:space="preserve">    1.总体绩效</w:t>
      </w:r>
    </w:p>
    <w:p>
      <w:pPr>
        <w:jc w:val="left"/>
        <w:rPr>
          <w:rFonts w:hint="eastAsia" w:ascii="方正仿宋_GBK" w:eastAsia="方正仿宋_GBK"/>
          <w:sz w:val="33"/>
          <w:szCs w:val="33"/>
        </w:rPr>
      </w:pPr>
      <w:r>
        <w:rPr>
          <w:rFonts w:hint="eastAsia" w:ascii="方正仿宋_GBK" w:eastAsia="方正仿宋_GBK"/>
          <w:sz w:val="33"/>
          <w:szCs w:val="33"/>
        </w:rPr>
        <w:t xml:space="preserve">    紧紧围绕“预算编制有目标、预算执行有监控、预算完成有评价、评价结果有反馈、反馈结果有应用”开展工作，突出预算绩效管理，提高资金使用效益。通过科学规范制定内控管理制度有效地加强了预算绩效管理。</w:t>
      </w:r>
    </w:p>
    <w:p>
      <w:pPr>
        <w:jc w:val="left"/>
        <w:rPr>
          <w:rFonts w:hint="eastAsia" w:ascii="方正仿宋_GBK" w:eastAsia="方正仿宋_GBK"/>
          <w:sz w:val="33"/>
          <w:szCs w:val="33"/>
        </w:rPr>
      </w:pPr>
      <w:r>
        <w:rPr>
          <w:rFonts w:hint="eastAsia" w:ascii="方正仿宋_GBK" w:eastAsia="方正仿宋_GBK"/>
          <w:sz w:val="33"/>
          <w:szCs w:val="33"/>
        </w:rPr>
        <w:t xml:space="preserve">    2.主要目标绩效完成情况</w:t>
      </w:r>
    </w:p>
    <w:p>
      <w:pPr>
        <w:jc w:val="left"/>
        <w:rPr>
          <w:rFonts w:hint="eastAsia" w:ascii="方正仿宋_GBK" w:eastAsia="方正仿宋_GBK"/>
          <w:sz w:val="33"/>
          <w:szCs w:val="33"/>
        </w:rPr>
      </w:pPr>
      <w:r>
        <w:rPr>
          <w:rFonts w:hint="eastAsia" w:ascii="方正仿宋_GBK" w:eastAsia="方正仿宋_GBK"/>
          <w:sz w:val="33"/>
          <w:szCs w:val="33"/>
        </w:rPr>
        <w:t xml:space="preserve">    财政拨款支出主要用于保障我院机构正常运转、完成日常工作任务以及检察业务相关工作。基本支出是用于为保障机构正常运转、完成日常工作任务而发生的支出，包括人员经费和办公费、水电费、差旅费等公用经费。所有开支均按照财务管理制度执行，资金的使用严格把关，使我院日常工作运行得到保障。2022年我院较好地完成了绩效目标任务，日常管理工作均按照我院相关管理制度执行，建立了工作有计划、实施有方案、日常有监督的管理机制，工作取得了较好成效，效能得到了提高、获得了社会公众的好评。</w:t>
      </w:r>
    </w:p>
    <w:p>
      <w:pPr>
        <w:jc w:val="left"/>
        <w:rPr>
          <w:rFonts w:hint="eastAsia" w:ascii="方正仿宋_GBK" w:eastAsia="方正仿宋_GBK"/>
          <w:sz w:val="33"/>
          <w:szCs w:val="33"/>
        </w:rPr>
      </w:pPr>
      <w:r>
        <w:rPr>
          <w:rFonts w:hint="eastAsia" w:ascii="方正仿宋_GBK" w:eastAsia="方正仿宋_GBK"/>
          <w:sz w:val="33"/>
          <w:szCs w:val="33"/>
        </w:rPr>
        <w:t xml:space="preserve">    我院2022年专项资金有二项：第一项是政法转移支付地方财政配套司法救助金经费，用于救助贫困刑事案件被害人。第二项是青少年法治教育基地建设资金，用于支付盐边县青少年法治教育基地建设。资金落实到位情况良好，管理制度健全、制度执行有效、项目质量可控。项目实施对经济效益、社会效益、生态效益都较好，社会公众的满意度及可持续影响力较好。项目所有开支均按照我院财务管理制度执行，资金的使用严格把关，整个项目的运行完全按照我院内部管理制度的有关规定执行，不存在违规违法的问题。</w:t>
      </w:r>
    </w:p>
    <w:p>
      <w:pPr>
        <w:jc w:val="left"/>
        <w:rPr>
          <w:rFonts w:hint="eastAsia" w:ascii="方正仿宋_GBK" w:eastAsia="方正仿宋_GBK"/>
          <w:b/>
          <w:sz w:val="33"/>
          <w:szCs w:val="33"/>
        </w:rPr>
      </w:pPr>
      <w:r>
        <w:rPr>
          <w:rFonts w:hint="eastAsia" w:ascii="方正仿宋_GBK" w:eastAsia="方正仿宋_GBK"/>
          <w:b/>
          <w:sz w:val="33"/>
          <w:szCs w:val="33"/>
        </w:rPr>
        <w:t xml:space="preserve">    五、评价结论及建议</w:t>
      </w:r>
    </w:p>
    <w:p>
      <w:pPr>
        <w:jc w:val="left"/>
        <w:rPr>
          <w:rFonts w:hint="eastAsia" w:ascii="方正仿宋_GBK" w:eastAsia="方正仿宋_GBK"/>
          <w:sz w:val="33"/>
          <w:szCs w:val="33"/>
        </w:rPr>
      </w:pPr>
      <w:r>
        <w:rPr>
          <w:rFonts w:hint="eastAsia" w:ascii="方正仿宋_GBK" w:eastAsia="方正仿宋_GBK"/>
          <w:sz w:val="33"/>
          <w:szCs w:val="33"/>
        </w:rPr>
        <w:t xml:space="preserve">   （一）评价结论。</w:t>
      </w:r>
    </w:p>
    <w:p>
      <w:pPr>
        <w:jc w:val="left"/>
        <w:rPr>
          <w:rFonts w:hint="eastAsia" w:ascii="方正仿宋_GBK" w:eastAsia="方正仿宋_GBK"/>
          <w:sz w:val="33"/>
          <w:szCs w:val="33"/>
        </w:rPr>
      </w:pPr>
      <w:r>
        <w:rPr>
          <w:rFonts w:hint="eastAsia" w:ascii="方正仿宋_GBK" w:eastAsia="方正仿宋_GBK"/>
          <w:sz w:val="33"/>
          <w:szCs w:val="33"/>
        </w:rPr>
        <w:t xml:space="preserve">    绩效自评结果用于指导今后的部门预算绩效工作，全面做到保障单位正常工作运转，结合我院年度工作计划，按照进度有序使用资金。部门预算整体绩效自评表部门预算整体绩效评价自评报告将在按照规定在盐边县公众信息网进行公开公示。</w:t>
      </w:r>
    </w:p>
    <w:p>
      <w:pPr>
        <w:jc w:val="left"/>
        <w:rPr>
          <w:rFonts w:hint="eastAsia" w:ascii="方正仿宋_GBK" w:eastAsia="方正仿宋_GBK"/>
          <w:sz w:val="33"/>
          <w:szCs w:val="33"/>
        </w:rPr>
      </w:pPr>
      <w:r>
        <w:rPr>
          <w:rFonts w:hint="eastAsia" w:ascii="方正仿宋_GBK" w:eastAsia="方正仿宋_GBK"/>
          <w:sz w:val="33"/>
          <w:szCs w:val="33"/>
        </w:rPr>
        <w:t xml:space="preserve">   （二）存在问题。</w:t>
      </w:r>
    </w:p>
    <w:p>
      <w:pPr>
        <w:jc w:val="left"/>
        <w:rPr>
          <w:rFonts w:hint="eastAsia" w:ascii="方正仿宋_GBK" w:eastAsia="方正仿宋_GBK"/>
          <w:sz w:val="33"/>
          <w:szCs w:val="33"/>
        </w:rPr>
      </w:pPr>
      <w:r>
        <w:rPr>
          <w:rFonts w:hint="eastAsia" w:ascii="方正仿宋_GBK" w:eastAsia="方正仿宋_GBK"/>
          <w:sz w:val="33"/>
          <w:szCs w:val="33"/>
        </w:rPr>
        <w:t xml:space="preserve">    加强我院人员的培训教育，提高对预算资金使用效率的认识。在使用政法转移支付经费中，存在当年所下达经费有未全部支出结转下年继续使用的情况。</w:t>
      </w:r>
    </w:p>
    <w:p>
      <w:pPr>
        <w:jc w:val="left"/>
        <w:rPr>
          <w:rFonts w:hint="eastAsia" w:ascii="方正仿宋_GBK" w:eastAsia="方正仿宋_GBK"/>
          <w:sz w:val="33"/>
          <w:szCs w:val="33"/>
        </w:rPr>
      </w:pPr>
      <w:r>
        <w:rPr>
          <w:rFonts w:hint="eastAsia" w:ascii="方正仿宋_GBK" w:eastAsia="方正仿宋_GBK"/>
          <w:sz w:val="33"/>
          <w:szCs w:val="33"/>
        </w:rPr>
        <w:t xml:space="preserve">   （三）改进建议。</w:t>
      </w:r>
    </w:p>
    <w:p>
      <w:pPr>
        <w:spacing w:line="600" w:lineRule="exact"/>
        <w:jc w:val="left"/>
        <w:outlineLvl w:val="0"/>
        <w:rPr>
          <w:rFonts w:ascii="宋体" w:hAnsi="宋体" w:cs="宋体"/>
          <w:kern w:val="0"/>
          <w:sz w:val="32"/>
          <w:szCs w:val="32"/>
        </w:rPr>
      </w:pPr>
      <w:r>
        <w:rPr>
          <w:rFonts w:hint="eastAsia" w:ascii="方正仿宋_GBK" w:eastAsia="方正仿宋_GBK"/>
          <w:sz w:val="33"/>
          <w:szCs w:val="33"/>
        </w:rPr>
        <w:t xml:space="preserve">    加强对财务人员培训和继续教育工作，提高财务人员的整体专业技术水平。加强单位人员的培训教育，提高对预算资金使用效率的认识。进一步加强预算资金管理，减少预算资金使用的随意性，加大预算监督管理力度，提高预算资金使用效率。</w:t>
      </w:r>
    </w:p>
    <w:p>
      <w:pPr>
        <w:spacing w:line="600" w:lineRule="exact"/>
        <w:jc w:val="left"/>
        <w:outlineLvl w:val="0"/>
        <w:rPr>
          <w:rFonts w:ascii="仿宋_GB2312" w:hAnsi="Calibri" w:eastAsia="仿宋_GB2312" w:cs="仿宋"/>
          <w:kern w:val="0"/>
          <w:sz w:val="32"/>
          <w:szCs w:val="32"/>
        </w:rPr>
      </w:pPr>
    </w:p>
    <w:p>
      <w:pPr>
        <w:pStyle w:val="2"/>
        <w:spacing w:before="93"/>
        <w:rPr>
          <w:rFonts w:hAnsi="Calibri" w:cs="仿宋"/>
          <w:sz w:val="32"/>
          <w:szCs w:val="32"/>
        </w:rPr>
      </w:pPr>
    </w:p>
    <w:p>
      <w:pPr>
        <w:jc w:val="center"/>
        <w:rPr>
          <w:rFonts w:hint="eastAsia" w:ascii="方正小标宋_GBK" w:hAnsi="Arial" w:eastAsia="方正小标宋_GBK" w:cs="Arial"/>
          <w:b/>
          <w:sz w:val="44"/>
          <w:szCs w:val="44"/>
        </w:rPr>
      </w:pPr>
    </w:p>
    <w:p>
      <w:pPr>
        <w:jc w:val="center"/>
        <w:rPr>
          <w:rFonts w:ascii="方正小标宋_GBK" w:hAnsi="Arial" w:eastAsia="方正小标宋_GBK" w:cs="Arial"/>
          <w:b/>
          <w:sz w:val="44"/>
          <w:szCs w:val="44"/>
        </w:rPr>
      </w:pPr>
      <w:r>
        <w:rPr>
          <w:rFonts w:hint="eastAsia" w:ascii="方正小标宋_GBK" w:hAnsi="Arial" w:eastAsia="方正小标宋_GBK" w:cs="Arial"/>
          <w:b/>
          <w:sz w:val="44"/>
          <w:szCs w:val="44"/>
        </w:rPr>
        <w:t>盐边县人民检察院</w:t>
      </w:r>
    </w:p>
    <w:p>
      <w:pPr>
        <w:jc w:val="center"/>
        <w:rPr>
          <w:rFonts w:ascii="方正小标宋_GBK" w:hAnsi="宋体" w:eastAsia="方正小标宋_GBK" w:cs="宋体"/>
          <w:b/>
          <w:sz w:val="44"/>
          <w:szCs w:val="44"/>
        </w:rPr>
      </w:pPr>
      <w:r>
        <w:rPr>
          <w:rFonts w:hint="eastAsia" w:ascii="方正小标宋_GBK" w:hAnsi="宋体" w:eastAsia="方正小标宋_GBK" w:cs="宋体"/>
          <w:b/>
          <w:sz w:val="44"/>
          <w:szCs w:val="44"/>
        </w:rPr>
        <w:t>转移支付</w:t>
      </w:r>
      <w:r>
        <w:rPr>
          <w:rFonts w:ascii="方正小标宋_GBK" w:hAnsi="Arial" w:eastAsia="方正小标宋_GBK" w:cs="Arial"/>
          <w:b/>
          <w:sz w:val="44"/>
          <w:szCs w:val="44"/>
        </w:rPr>
        <w:t>2022</w:t>
      </w:r>
      <w:r>
        <w:rPr>
          <w:rFonts w:hint="eastAsia" w:ascii="方正小标宋_GBK" w:hAnsi="宋体" w:eastAsia="方正小标宋_GBK" w:cs="宋体"/>
          <w:b/>
          <w:sz w:val="44"/>
          <w:szCs w:val="44"/>
        </w:rPr>
        <w:t>年度绩效自评报告</w:t>
      </w:r>
    </w:p>
    <w:p>
      <w:pPr>
        <w:jc w:val="center"/>
        <w:rPr>
          <w:rFonts w:ascii="仿宋_GB2312" w:hAnsi="华文中宋"/>
          <w:bCs/>
          <w:szCs w:val="32"/>
        </w:rPr>
      </w:pPr>
      <w:r>
        <w:rPr>
          <w:rFonts w:ascii="仿宋_GB2312"/>
          <w:bCs/>
          <w:szCs w:val="32"/>
        </w:rPr>
        <w:t xml:space="preserve"> </w:t>
      </w:r>
    </w:p>
    <w:p>
      <w:pPr>
        <w:ind w:firstLine="472" w:firstLineChars="147"/>
        <w:rPr>
          <w:rFonts w:ascii="仿宋_GB2312" w:hAnsi="黑体" w:cs="黑体"/>
          <w:b/>
          <w:bCs/>
          <w:sz w:val="32"/>
          <w:szCs w:val="32"/>
        </w:rPr>
      </w:pPr>
      <w:r>
        <w:rPr>
          <w:rFonts w:hint="eastAsia" w:ascii="仿宋_GB2312" w:hAnsi="黑体" w:cs="黑体"/>
          <w:b/>
          <w:bCs/>
          <w:sz w:val="32"/>
          <w:szCs w:val="32"/>
        </w:rPr>
        <w:t>一、绩效目标分解下达情况</w:t>
      </w:r>
    </w:p>
    <w:p>
      <w:pPr>
        <w:ind w:firstLine="321" w:firstLineChars="100"/>
        <w:outlineLvl w:val="0"/>
        <w:rPr>
          <w:rFonts w:ascii="楷体_GB2312" w:eastAsia="楷体_GB2312"/>
          <w:b/>
          <w:sz w:val="32"/>
          <w:szCs w:val="32"/>
        </w:rPr>
      </w:pPr>
      <w:r>
        <w:rPr>
          <w:rFonts w:hint="eastAsia" w:ascii="楷体_GB2312" w:eastAsia="楷体_GB2312"/>
          <w:b/>
          <w:sz w:val="32"/>
          <w:szCs w:val="32"/>
        </w:rPr>
        <w:t>（一）中央下达</w:t>
      </w:r>
      <w:r>
        <w:rPr>
          <w:rFonts w:ascii="楷体_GB2312" w:eastAsia="楷体_GB2312"/>
          <w:b/>
          <w:sz w:val="32"/>
          <w:szCs w:val="32"/>
        </w:rPr>
        <w:t>2022</w:t>
      </w:r>
      <w:r>
        <w:rPr>
          <w:rFonts w:hint="eastAsia" w:ascii="楷体_GB2312" w:eastAsia="楷体_GB2312"/>
          <w:b/>
          <w:sz w:val="32"/>
          <w:szCs w:val="32"/>
        </w:rPr>
        <w:t>年度转移支付预算和绩效目标情况。</w:t>
      </w:r>
    </w:p>
    <w:p>
      <w:pPr>
        <w:tabs>
          <w:tab w:val="left" w:pos="7080"/>
        </w:tabs>
        <w:ind w:firstLine="640" w:firstLineChars="200"/>
        <w:outlineLvl w:val="0"/>
        <w:rPr>
          <w:rFonts w:ascii="仿宋_GB2312"/>
          <w:sz w:val="32"/>
          <w:szCs w:val="32"/>
        </w:rPr>
      </w:pPr>
      <w:r>
        <w:rPr>
          <w:rFonts w:ascii="仿宋_GB2312"/>
          <w:sz w:val="32"/>
          <w:szCs w:val="32"/>
        </w:rPr>
        <w:t>2022</w:t>
      </w:r>
      <w:r>
        <w:rPr>
          <w:rFonts w:hint="eastAsia" w:ascii="仿宋_GB2312"/>
          <w:sz w:val="32"/>
          <w:szCs w:val="32"/>
        </w:rPr>
        <w:t>年度中央政法纪检监察转移支付下达资金</w:t>
      </w:r>
      <w:r>
        <w:rPr>
          <w:rFonts w:ascii="仿宋_GB2312"/>
          <w:sz w:val="32"/>
          <w:szCs w:val="32"/>
        </w:rPr>
        <w:t>163</w:t>
      </w:r>
      <w:r>
        <w:rPr>
          <w:rFonts w:hint="eastAsia" w:ascii="仿宋_GB2312"/>
          <w:sz w:val="32"/>
          <w:szCs w:val="32"/>
        </w:rPr>
        <w:t>万元，合计下达经费</w:t>
      </w:r>
      <w:r>
        <w:rPr>
          <w:rFonts w:ascii="仿宋_GB2312"/>
          <w:sz w:val="32"/>
          <w:szCs w:val="32"/>
        </w:rPr>
        <w:t>163</w:t>
      </w:r>
      <w:r>
        <w:rPr>
          <w:rFonts w:hint="eastAsia" w:ascii="仿宋_GB2312"/>
          <w:sz w:val="32"/>
          <w:szCs w:val="32"/>
        </w:rPr>
        <w:t>万元。</w:t>
      </w:r>
    </w:p>
    <w:p>
      <w:pPr>
        <w:tabs>
          <w:tab w:val="left" w:pos="7080"/>
        </w:tabs>
        <w:ind w:firstLine="482" w:firstLineChars="150"/>
        <w:outlineLvl w:val="0"/>
        <w:rPr>
          <w:rFonts w:ascii="楷体_GB2312" w:eastAsia="楷体_GB2312"/>
          <w:b/>
          <w:sz w:val="32"/>
          <w:szCs w:val="32"/>
        </w:rPr>
      </w:pPr>
      <w:r>
        <w:rPr>
          <w:rFonts w:hint="eastAsia" w:ascii="楷体_GB2312" w:eastAsia="楷体_GB2312"/>
          <w:b/>
          <w:sz w:val="32"/>
          <w:szCs w:val="32"/>
        </w:rPr>
        <w:t>（二）省内资金安排、分解下达预算和绩效目标情况。</w:t>
      </w:r>
    </w:p>
    <w:p>
      <w:pPr>
        <w:tabs>
          <w:tab w:val="left" w:pos="7080"/>
        </w:tabs>
        <w:ind w:firstLine="640" w:firstLineChars="200"/>
        <w:outlineLvl w:val="0"/>
        <w:rPr>
          <w:rFonts w:ascii="仿宋_GB2312"/>
          <w:sz w:val="32"/>
          <w:szCs w:val="32"/>
        </w:rPr>
      </w:pPr>
      <w:r>
        <w:rPr>
          <w:rFonts w:ascii="仿宋_GB2312"/>
          <w:sz w:val="32"/>
          <w:szCs w:val="32"/>
        </w:rPr>
        <w:t>2021</w:t>
      </w:r>
      <w:r>
        <w:rPr>
          <w:rFonts w:hint="eastAsia" w:ascii="仿宋_GB2312"/>
          <w:sz w:val="32"/>
          <w:szCs w:val="32"/>
        </w:rPr>
        <w:t>年结余政法转移支付经费</w:t>
      </w:r>
      <w:r>
        <w:rPr>
          <w:rFonts w:ascii="仿宋_GB2312"/>
          <w:sz w:val="32"/>
          <w:szCs w:val="32"/>
        </w:rPr>
        <w:t>102.86</w:t>
      </w:r>
      <w:r>
        <w:rPr>
          <w:rFonts w:hint="eastAsia" w:ascii="仿宋_GB2312"/>
          <w:sz w:val="32"/>
          <w:szCs w:val="32"/>
        </w:rPr>
        <w:t>万元。分别是：政法转移支付下达检察办案业务经费</w:t>
      </w:r>
      <w:r>
        <w:rPr>
          <w:rFonts w:ascii="仿宋_GB2312"/>
          <w:sz w:val="32"/>
          <w:szCs w:val="32"/>
        </w:rPr>
        <w:t>71.72</w:t>
      </w:r>
      <w:r>
        <w:rPr>
          <w:rFonts w:hint="eastAsia" w:ascii="仿宋_GB2312"/>
          <w:sz w:val="32"/>
          <w:szCs w:val="32"/>
        </w:rPr>
        <w:t>万元；政法转移支下达检察办案装备经费</w:t>
      </w:r>
      <w:r>
        <w:rPr>
          <w:rFonts w:ascii="仿宋_GB2312"/>
          <w:sz w:val="32"/>
          <w:szCs w:val="32"/>
        </w:rPr>
        <w:t>23.14</w:t>
      </w:r>
      <w:r>
        <w:rPr>
          <w:rFonts w:hint="eastAsia" w:ascii="仿宋_GB2312"/>
          <w:sz w:val="32"/>
          <w:szCs w:val="32"/>
        </w:rPr>
        <w:t>万元；政法转移支付司法救助经费</w:t>
      </w:r>
      <w:r>
        <w:rPr>
          <w:rFonts w:ascii="仿宋_GB2312"/>
          <w:sz w:val="32"/>
          <w:szCs w:val="32"/>
        </w:rPr>
        <w:t>8</w:t>
      </w:r>
      <w:r>
        <w:rPr>
          <w:rFonts w:hint="eastAsia" w:ascii="仿宋_GB2312"/>
          <w:sz w:val="32"/>
          <w:szCs w:val="32"/>
        </w:rPr>
        <w:t>万元。</w:t>
      </w:r>
    </w:p>
    <w:p>
      <w:pPr>
        <w:tabs>
          <w:tab w:val="left" w:pos="7080"/>
        </w:tabs>
        <w:ind w:firstLine="482" w:firstLineChars="150"/>
        <w:outlineLvl w:val="0"/>
        <w:rPr>
          <w:rFonts w:ascii="仿宋_GB2312" w:hAnsi="黑体" w:cs="黑体"/>
          <w:b/>
          <w:bCs/>
          <w:sz w:val="32"/>
          <w:szCs w:val="32"/>
        </w:rPr>
      </w:pPr>
      <w:r>
        <w:rPr>
          <w:rFonts w:hint="eastAsia" w:ascii="仿宋_GB2312" w:hAnsi="黑体" w:cs="黑体"/>
          <w:b/>
          <w:bCs/>
          <w:sz w:val="32"/>
          <w:szCs w:val="32"/>
        </w:rPr>
        <w:t>二、绩效目标完成情况分析</w:t>
      </w:r>
    </w:p>
    <w:p>
      <w:pPr>
        <w:ind w:firstLine="315" w:firstLineChars="98"/>
        <w:outlineLvl w:val="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（一）资金投入情况分析。</w:t>
      </w:r>
    </w:p>
    <w:p>
      <w:pPr>
        <w:ind w:firstLine="320" w:firstLineChars="100"/>
        <w:outlineLvl w:val="0"/>
        <w:rPr>
          <w:rFonts w:ascii="仿宋_GB2312" w:hAnsi="楷体_GB2312" w:cs="楷体_GB2312"/>
          <w:bCs/>
          <w:sz w:val="32"/>
          <w:szCs w:val="32"/>
        </w:rPr>
      </w:pPr>
      <w:r>
        <w:rPr>
          <w:rFonts w:ascii="仿宋_GB2312" w:hAnsi="楷体_GB2312" w:cs="楷体_GB2312"/>
          <w:bCs/>
          <w:sz w:val="32"/>
          <w:szCs w:val="32"/>
        </w:rPr>
        <w:t>2021</w:t>
      </w:r>
      <w:r>
        <w:rPr>
          <w:rFonts w:hint="eastAsia" w:ascii="仿宋_GB2312" w:hAnsi="楷体_GB2312" w:cs="楷体_GB2312"/>
          <w:bCs/>
          <w:sz w:val="32"/>
          <w:szCs w:val="32"/>
        </w:rPr>
        <w:t>年度政法转移支付结余经费</w:t>
      </w:r>
      <w:r>
        <w:rPr>
          <w:rFonts w:ascii="仿宋_GB2312"/>
          <w:sz w:val="32"/>
          <w:szCs w:val="32"/>
        </w:rPr>
        <w:t>102.86</w:t>
      </w:r>
      <w:r>
        <w:rPr>
          <w:rFonts w:hint="eastAsia" w:ascii="仿宋_GB2312" w:hAnsi="楷体_GB2312" w:cs="楷体_GB2312"/>
          <w:bCs/>
          <w:sz w:val="32"/>
          <w:szCs w:val="32"/>
        </w:rPr>
        <w:t>万元及</w:t>
      </w:r>
      <w:r>
        <w:rPr>
          <w:rFonts w:ascii="仿宋_GB2312" w:hAnsi="楷体_GB2312" w:cs="楷体_GB2312"/>
          <w:bCs/>
          <w:sz w:val="32"/>
          <w:szCs w:val="32"/>
        </w:rPr>
        <w:t>2022</w:t>
      </w:r>
      <w:r>
        <w:rPr>
          <w:rFonts w:hint="eastAsia" w:ascii="仿宋_GB2312" w:hAnsi="楷体_GB2312" w:cs="楷体_GB2312"/>
          <w:bCs/>
          <w:sz w:val="32"/>
          <w:szCs w:val="32"/>
        </w:rPr>
        <w:t>年度下达政法转移支付经费</w:t>
      </w:r>
      <w:r>
        <w:rPr>
          <w:rFonts w:ascii="仿宋_GB2312" w:hAnsi="楷体_GB2312" w:cs="楷体_GB2312"/>
          <w:bCs/>
          <w:sz w:val="32"/>
          <w:szCs w:val="32"/>
        </w:rPr>
        <w:t>163</w:t>
      </w:r>
      <w:r>
        <w:rPr>
          <w:rFonts w:hint="eastAsia" w:ascii="仿宋_GB2312" w:hAnsi="楷体_GB2312" w:cs="楷体_GB2312"/>
          <w:bCs/>
          <w:sz w:val="32"/>
          <w:szCs w:val="32"/>
        </w:rPr>
        <w:t>万元及地方财政配套经费</w:t>
      </w:r>
      <w:r>
        <w:rPr>
          <w:rFonts w:ascii="仿宋_GB2312" w:hAnsi="楷体_GB2312" w:cs="楷体_GB2312"/>
          <w:bCs/>
          <w:sz w:val="32"/>
          <w:szCs w:val="32"/>
        </w:rPr>
        <w:t>19.14</w:t>
      </w:r>
      <w:r>
        <w:rPr>
          <w:rFonts w:hint="eastAsia" w:ascii="仿宋_GB2312" w:hAnsi="楷体_GB2312" w:cs="楷体_GB2312"/>
          <w:bCs/>
          <w:sz w:val="32"/>
          <w:szCs w:val="32"/>
        </w:rPr>
        <w:t>万元，聘用制书记员项目经费</w:t>
      </w:r>
      <w:r>
        <w:rPr>
          <w:rFonts w:ascii="仿宋_GB2312" w:hAnsi="楷体_GB2312" w:cs="楷体_GB2312"/>
          <w:bCs/>
          <w:sz w:val="32"/>
          <w:szCs w:val="32"/>
        </w:rPr>
        <w:t>26.88</w:t>
      </w:r>
      <w:r>
        <w:rPr>
          <w:rFonts w:hint="eastAsia" w:ascii="仿宋_GB2312" w:hAnsi="楷体_GB2312" w:cs="楷体_GB2312"/>
          <w:bCs/>
          <w:sz w:val="32"/>
          <w:szCs w:val="32"/>
        </w:rPr>
        <w:t>万元，</w:t>
      </w:r>
      <w:r>
        <w:rPr>
          <w:rFonts w:hint="eastAsia" w:ascii="仿宋_GB2312"/>
          <w:sz w:val="32"/>
          <w:szCs w:val="32"/>
        </w:rPr>
        <w:t>合计</w:t>
      </w:r>
      <w:r>
        <w:rPr>
          <w:rFonts w:ascii="仿宋_GB2312"/>
          <w:sz w:val="32"/>
          <w:szCs w:val="32"/>
        </w:rPr>
        <w:t>150.88</w:t>
      </w:r>
      <w:r>
        <w:rPr>
          <w:rFonts w:hint="eastAsia" w:ascii="仿宋_GB2312"/>
          <w:sz w:val="32"/>
          <w:szCs w:val="32"/>
        </w:rPr>
        <w:t>万元全额安排在</w:t>
      </w:r>
      <w:r>
        <w:rPr>
          <w:rFonts w:ascii="仿宋_GB2312"/>
          <w:sz w:val="32"/>
          <w:szCs w:val="32"/>
        </w:rPr>
        <w:t>2022</w:t>
      </w:r>
      <w:r>
        <w:rPr>
          <w:rFonts w:hint="eastAsia" w:ascii="仿宋_GB2312"/>
          <w:sz w:val="32"/>
          <w:szCs w:val="32"/>
        </w:rPr>
        <w:t>年的部门经费预算中。</w:t>
      </w:r>
    </w:p>
    <w:p>
      <w:pPr>
        <w:ind w:firstLine="472" w:firstLineChars="147"/>
        <w:outlineLvl w:val="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（二）总体绩效目标完成情况分析。</w:t>
      </w:r>
    </w:p>
    <w:p>
      <w:pPr>
        <w:ind w:firstLine="640" w:firstLineChars="200"/>
        <w:outlineLvl w:val="0"/>
        <w:rPr>
          <w:rFonts w:ascii="仿宋_GB2312" w:hAnsi="楷体_GB2312" w:cs="楷体_GB2312"/>
          <w:bCs/>
          <w:sz w:val="32"/>
          <w:szCs w:val="32"/>
        </w:rPr>
      </w:pPr>
      <w:r>
        <w:rPr>
          <w:rFonts w:ascii="仿宋_GB2312" w:hAnsi="楷体_GB2312" w:cs="楷体_GB2312"/>
          <w:bCs/>
          <w:sz w:val="32"/>
          <w:szCs w:val="32"/>
        </w:rPr>
        <w:t>2022</w:t>
      </w:r>
      <w:r>
        <w:rPr>
          <w:rFonts w:hint="eastAsia" w:ascii="仿宋_GB2312" w:hAnsi="楷体_GB2312" w:cs="楷体_GB2312"/>
          <w:bCs/>
          <w:sz w:val="32"/>
          <w:szCs w:val="32"/>
        </w:rPr>
        <w:t>年度财政部门预算经费政法转移支付及</w:t>
      </w:r>
      <w:r>
        <w:rPr>
          <w:rFonts w:hint="eastAsia" w:ascii="仿宋_GB2312"/>
          <w:sz w:val="32"/>
          <w:szCs w:val="32"/>
        </w:rPr>
        <w:t>配套经费相同项目经费合计</w:t>
      </w:r>
      <w:r>
        <w:rPr>
          <w:rFonts w:ascii="仿宋_GB2312"/>
          <w:sz w:val="32"/>
          <w:szCs w:val="32"/>
        </w:rPr>
        <w:t>150.88</w:t>
      </w:r>
      <w:r>
        <w:rPr>
          <w:rFonts w:hint="eastAsia" w:ascii="仿宋_GB2312"/>
          <w:sz w:val="32"/>
          <w:szCs w:val="32"/>
        </w:rPr>
        <w:t>万元，</w:t>
      </w:r>
      <w:r>
        <w:rPr>
          <w:rFonts w:ascii="仿宋_GB2312"/>
          <w:sz w:val="32"/>
          <w:szCs w:val="32"/>
        </w:rPr>
        <w:t>71.72</w:t>
      </w:r>
      <w:r>
        <w:rPr>
          <w:rFonts w:hint="eastAsia" w:ascii="仿宋_GB2312"/>
          <w:sz w:val="32"/>
          <w:szCs w:val="32"/>
        </w:rPr>
        <w:t>万元用于开展我院检察办案业务工作。</w:t>
      </w:r>
    </w:p>
    <w:p>
      <w:pPr>
        <w:ind w:firstLine="482" w:firstLineChars="150"/>
        <w:outlineLvl w:val="0"/>
        <w:rPr>
          <w:rFonts w:ascii="仿宋_GB2312"/>
          <w:sz w:val="32"/>
          <w:szCs w:val="32"/>
        </w:rPr>
      </w:pPr>
      <w:r>
        <w:rPr>
          <w:rFonts w:hint="eastAsia" w:ascii="楷体_GB2312" w:hAnsi="楷体_GB2312" w:eastAsia="楷体_GB2312" w:cs="楷体_GB2312"/>
          <w:b/>
          <w:bCs/>
          <w:sz w:val="32"/>
          <w:szCs w:val="32"/>
        </w:rPr>
        <w:t>（三）绩效指标完成情况分析。</w:t>
      </w:r>
    </w:p>
    <w:p>
      <w:pPr>
        <w:ind w:firstLine="640" w:firstLineChars="200"/>
        <w:rPr>
          <w:rFonts w:ascii="仿宋_GB2312"/>
          <w:sz w:val="32"/>
          <w:szCs w:val="32"/>
        </w:rPr>
      </w:pPr>
      <w:r>
        <w:rPr>
          <w:rFonts w:ascii="仿宋_GB2312"/>
          <w:sz w:val="32"/>
          <w:szCs w:val="32"/>
        </w:rPr>
        <w:t>1.</w:t>
      </w:r>
      <w:r>
        <w:rPr>
          <w:rFonts w:hint="eastAsia" w:ascii="仿宋_GB2312"/>
          <w:sz w:val="32"/>
          <w:szCs w:val="32"/>
        </w:rPr>
        <w:t>产出指标完成情况分析。</w:t>
      </w:r>
    </w:p>
    <w:p>
      <w:pPr>
        <w:ind w:firstLine="480" w:firstLineChars="150"/>
        <w:rPr>
          <w:rFonts w:ascii="仿宋_GB2312"/>
          <w:sz w:val="32"/>
          <w:szCs w:val="32"/>
        </w:rPr>
      </w:pPr>
      <w:r>
        <w:rPr>
          <w:rFonts w:hint="eastAsia" w:ascii="仿宋_GB2312"/>
          <w:sz w:val="32"/>
          <w:szCs w:val="32"/>
        </w:rPr>
        <w:t>（</w:t>
      </w:r>
      <w:r>
        <w:rPr>
          <w:rFonts w:ascii="仿宋_GB2312"/>
          <w:sz w:val="32"/>
          <w:szCs w:val="32"/>
        </w:rPr>
        <w:t>1</w:t>
      </w:r>
      <w:r>
        <w:rPr>
          <w:rFonts w:hint="eastAsia" w:ascii="仿宋_GB2312"/>
          <w:sz w:val="32"/>
          <w:szCs w:val="32"/>
        </w:rPr>
        <w:t>）数量指标。</w:t>
      </w:r>
    </w:p>
    <w:p>
      <w:pPr>
        <w:ind w:firstLine="640" w:firstLineChars="200"/>
        <w:rPr>
          <w:rFonts w:ascii="仿宋_GB2312"/>
          <w:sz w:val="32"/>
          <w:szCs w:val="32"/>
        </w:rPr>
      </w:pPr>
      <w:r>
        <w:rPr>
          <w:rFonts w:hint="eastAsia" w:ascii="仿宋_GB2312"/>
          <w:sz w:val="32"/>
          <w:szCs w:val="32"/>
        </w:rPr>
        <w:t>检察办案办公业务经费情况：用于开展检察办案业务预算经费</w:t>
      </w:r>
      <w:r>
        <w:rPr>
          <w:rFonts w:ascii="仿宋_GB2312"/>
          <w:sz w:val="32"/>
          <w:szCs w:val="32"/>
        </w:rPr>
        <w:t>71.72</w:t>
      </w:r>
      <w:r>
        <w:rPr>
          <w:rFonts w:hint="eastAsia" w:ascii="仿宋_GB2312"/>
          <w:sz w:val="32"/>
          <w:szCs w:val="32"/>
        </w:rPr>
        <w:t>万元，根据工作实际列支经费</w:t>
      </w:r>
      <w:r>
        <w:rPr>
          <w:rFonts w:ascii="仿宋_GB2312"/>
          <w:sz w:val="32"/>
          <w:szCs w:val="32"/>
        </w:rPr>
        <w:t>71.72</w:t>
      </w:r>
      <w:r>
        <w:rPr>
          <w:rFonts w:hint="eastAsia" w:ascii="仿宋_GB2312"/>
          <w:sz w:val="32"/>
          <w:szCs w:val="32"/>
        </w:rPr>
        <w:t>万元，将</w:t>
      </w:r>
      <w:r>
        <w:rPr>
          <w:rFonts w:ascii="仿宋_GB2312"/>
          <w:sz w:val="32"/>
          <w:szCs w:val="32"/>
        </w:rPr>
        <w:t>2021</w:t>
      </w:r>
      <w:r>
        <w:rPr>
          <w:rFonts w:hint="eastAsia" w:ascii="仿宋_GB2312"/>
          <w:sz w:val="32"/>
          <w:szCs w:val="32"/>
        </w:rPr>
        <w:t>年中央政法转移支付检察办案业务经费支付完成。</w:t>
      </w:r>
    </w:p>
    <w:p>
      <w:pPr>
        <w:ind w:firstLine="640" w:firstLineChars="200"/>
        <w:rPr>
          <w:rFonts w:ascii="仿宋_GB2312"/>
          <w:sz w:val="32"/>
          <w:szCs w:val="32"/>
        </w:rPr>
      </w:pPr>
      <w:r>
        <w:rPr>
          <w:rFonts w:hint="eastAsia" w:ascii="仿宋_GB2312"/>
          <w:sz w:val="32"/>
          <w:szCs w:val="32"/>
        </w:rPr>
        <w:t>检察业务装备经费情况：共计</w:t>
      </w:r>
      <w:r>
        <w:rPr>
          <w:rFonts w:ascii="仿宋_GB2312"/>
          <w:sz w:val="32"/>
          <w:szCs w:val="32"/>
        </w:rPr>
        <w:t>23.14</w:t>
      </w:r>
      <w:r>
        <w:rPr>
          <w:rFonts w:hint="eastAsia" w:ascii="仿宋_GB2312"/>
          <w:sz w:val="32"/>
          <w:szCs w:val="32"/>
        </w:rPr>
        <w:t>万元，支出经费</w:t>
      </w:r>
      <w:r>
        <w:rPr>
          <w:rFonts w:ascii="仿宋_GB2312"/>
          <w:sz w:val="32"/>
          <w:szCs w:val="32"/>
        </w:rPr>
        <w:t>23.14</w:t>
      </w:r>
      <w:r>
        <w:rPr>
          <w:rFonts w:hint="eastAsia" w:ascii="仿宋_GB2312"/>
          <w:sz w:val="32"/>
          <w:szCs w:val="32"/>
        </w:rPr>
        <w:t>万元，将</w:t>
      </w:r>
      <w:r>
        <w:rPr>
          <w:rFonts w:ascii="仿宋_GB2312"/>
          <w:sz w:val="32"/>
          <w:szCs w:val="32"/>
        </w:rPr>
        <w:t>2021</w:t>
      </w:r>
      <w:r>
        <w:rPr>
          <w:rFonts w:hint="eastAsia" w:ascii="仿宋_GB2312"/>
          <w:sz w:val="32"/>
          <w:szCs w:val="32"/>
        </w:rPr>
        <w:t>年中央政法转移支付检察业务装备支付完成。</w:t>
      </w:r>
    </w:p>
    <w:p>
      <w:pPr>
        <w:ind w:firstLine="640" w:firstLineChars="200"/>
        <w:rPr>
          <w:rFonts w:hint="eastAsia" w:ascii="仿宋_GB2312"/>
          <w:sz w:val="32"/>
          <w:szCs w:val="32"/>
        </w:rPr>
      </w:pPr>
      <w:r>
        <w:rPr>
          <w:rFonts w:hint="eastAsia" w:ascii="仿宋_GB2312"/>
          <w:sz w:val="32"/>
          <w:szCs w:val="32"/>
        </w:rPr>
        <w:t>政法转移支下达司法救助经费情况：共计10万元，其中：上年结转政法转移支付8万元，2022年度中央政法纪检监察转移支付下达资金2万元，支付了刑事被害人，已完成当年的业务目标任务。</w:t>
      </w:r>
    </w:p>
    <w:p>
      <w:pPr>
        <w:ind w:firstLine="640" w:firstLineChars="200"/>
        <w:rPr>
          <w:rFonts w:ascii="仿宋_GB2312"/>
          <w:sz w:val="32"/>
          <w:szCs w:val="32"/>
        </w:rPr>
      </w:pPr>
      <w:r>
        <w:rPr>
          <w:rFonts w:hint="eastAsia" w:ascii="仿宋_GB2312"/>
          <w:sz w:val="32"/>
          <w:szCs w:val="32"/>
        </w:rPr>
        <w:t>2022年度中央政法纪检监察转移支付下达资金163万元，支付司法救助金2万元，结转结余161万元，由于对当年度政法转移支付下达具体金额、时间不清楚等不好规划此政法转移经费，加之根据工作实际情况，为确保来年初在预算经费未落实之前，便于开展检察业务工作时有经费使用，故该经费有结转结余。</w:t>
      </w:r>
    </w:p>
    <w:p>
      <w:pPr>
        <w:ind w:firstLine="480" w:firstLineChars="150"/>
        <w:rPr>
          <w:rFonts w:ascii="仿宋_GB2312"/>
          <w:sz w:val="32"/>
          <w:szCs w:val="32"/>
        </w:rPr>
      </w:pPr>
      <w:r>
        <w:rPr>
          <w:rFonts w:hint="eastAsia" w:ascii="仿宋_GB2312"/>
          <w:sz w:val="32"/>
          <w:szCs w:val="32"/>
        </w:rPr>
        <w:t>（</w:t>
      </w:r>
      <w:r>
        <w:rPr>
          <w:rFonts w:ascii="仿宋_GB2312"/>
          <w:sz w:val="32"/>
          <w:szCs w:val="32"/>
        </w:rPr>
        <w:t>2</w:t>
      </w:r>
      <w:r>
        <w:rPr>
          <w:rFonts w:hint="eastAsia" w:ascii="仿宋_GB2312"/>
          <w:sz w:val="32"/>
          <w:szCs w:val="32"/>
        </w:rPr>
        <w:t>）质量指标。</w:t>
      </w:r>
      <w:r>
        <w:rPr>
          <w:rFonts w:ascii="仿宋_GB2312"/>
          <w:sz w:val="32"/>
          <w:szCs w:val="32"/>
        </w:rPr>
        <w:t>2022</w:t>
      </w:r>
      <w:r>
        <w:rPr>
          <w:rFonts w:hint="eastAsia" w:ascii="仿宋_GB2312"/>
          <w:sz w:val="32"/>
          <w:szCs w:val="32"/>
        </w:rPr>
        <w:t>年度所办理的批捕、公诉案件</w:t>
      </w:r>
      <w:r>
        <w:rPr>
          <w:rFonts w:ascii="仿宋_GB2312"/>
          <w:sz w:val="32"/>
          <w:szCs w:val="32"/>
        </w:rPr>
        <w:t>404</w:t>
      </w:r>
      <w:r>
        <w:rPr>
          <w:rFonts w:hint="eastAsia" w:ascii="仿宋_GB2312"/>
          <w:sz w:val="32"/>
          <w:szCs w:val="32"/>
        </w:rPr>
        <w:t>件；刑事被害人司法救助</w:t>
      </w:r>
      <w:r>
        <w:rPr>
          <w:rFonts w:ascii="仿宋_GB2312"/>
          <w:sz w:val="32"/>
          <w:szCs w:val="32"/>
        </w:rPr>
        <w:t>11</w:t>
      </w:r>
      <w:r>
        <w:rPr>
          <w:rFonts w:hint="eastAsia" w:ascii="仿宋_GB2312"/>
          <w:sz w:val="32"/>
          <w:szCs w:val="32"/>
        </w:rPr>
        <w:t>人。以上所办案件均无冤假错案，件件符合法律规定，切实维护了当事人合法权益、社会公平正义。</w:t>
      </w:r>
      <w:r>
        <w:rPr>
          <w:rFonts w:ascii="仿宋_GB2312"/>
          <w:sz w:val="32"/>
          <w:szCs w:val="32"/>
        </w:rPr>
        <w:t>2022</w:t>
      </w:r>
      <w:r>
        <w:rPr>
          <w:rFonts w:hint="eastAsia" w:ascii="仿宋_GB2312"/>
          <w:sz w:val="32"/>
          <w:szCs w:val="32"/>
        </w:rPr>
        <w:t>年所购置的办案办公设备均属合格产品，无质量问题。</w:t>
      </w:r>
    </w:p>
    <w:p>
      <w:pPr>
        <w:ind w:firstLine="640" w:firstLineChars="200"/>
        <w:rPr>
          <w:rFonts w:ascii="仿宋_GB2312"/>
          <w:sz w:val="32"/>
          <w:szCs w:val="32"/>
        </w:rPr>
      </w:pPr>
      <w:r>
        <w:rPr>
          <w:rFonts w:hint="eastAsia" w:ascii="仿宋_GB2312"/>
          <w:sz w:val="32"/>
          <w:szCs w:val="32"/>
        </w:rPr>
        <w:t>（</w:t>
      </w:r>
      <w:r>
        <w:rPr>
          <w:rFonts w:ascii="仿宋_GB2312"/>
          <w:sz w:val="32"/>
          <w:szCs w:val="32"/>
        </w:rPr>
        <w:t>3</w:t>
      </w:r>
      <w:r>
        <w:rPr>
          <w:rFonts w:hint="eastAsia" w:ascii="仿宋_GB2312"/>
          <w:sz w:val="32"/>
          <w:szCs w:val="32"/>
        </w:rPr>
        <w:t>）时效指标。按照检察业务工作要求，完成当年的目标任务。</w:t>
      </w:r>
    </w:p>
    <w:p>
      <w:pPr>
        <w:ind w:firstLine="640" w:firstLineChars="200"/>
        <w:rPr>
          <w:rFonts w:ascii="仿宋_GB2312"/>
          <w:sz w:val="32"/>
          <w:szCs w:val="32"/>
        </w:rPr>
      </w:pPr>
      <w:r>
        <w:rPr>
          <w:rFonts w:hint="eastAsia" w:ascii="仿宋_GB2312"/>
          <w:sz w:val="32"/>
          <w:szCs w:val="32"/>
        </w:rPr>
        <w:t>（</w:t>
      </w:r>
      <w:r>
        <w:rPr>
          <w:rFonts w:ascii="仿宋_GB2312"/>
          <w:sz w:val="32"/>
          <w:szCs w:val="32"/>
        </w:rPr>
        <w:t>4</w:t>
      </w:r>
      <w:r>
        <w:rPr>
          <w:rFonts w:hint="eastAsia" w:ascii="仿宋_GB2312"/>
          <w:sz w:val="32"/>
          <w:szCs w:val="32"/>
        </w:rPr>
        <w:t>）成本指标。科学统筹，厉行节约，把有限的经费按规定合理运用，开展好检察各项业务工作，充分履行好法律监督职责，创造良好的法治环境。</w:t>
      </w:r>
    </w:p>
    <w:p>
      <w:pPr>
        <w:ind w:firstLine="640" w:firstLineChars="200"/>
        <w:rPr>
          <w:rFonts w:ascii="仿宋_GB2312"/>
          <w:sz w:val="32"/>
          <w:szCs w:val="32"/>
        </w:rPr>
      </w:pPr>
      <w:r>
        <w:rPr>
          <w:rFonts w:ascii="仿宋_GB2312"/>
          <w:sz w:val="32"/>
          <w:szCs w:val="32"/>
        </w:rPr>
        <w:t>2.</w:t>
      </w:r>
      <w:r>
        <w:rPr>
          <w:rFonts w:hint="eastAsia" w:ascii="仿宋_GB2312"/>
          <w:sz w:val="32"/>
          <w:szCs w:val="32"/>
        </w:rPr>
        <w:t>效益指标完成情况分析。</w:t>
      </w:r>
    </w:p>
    <w:p>
      <w:pPr>
        <w:ind w:firstLine="640" w:firstLineChars="200"/>
        <w:rPr>
          <w:rFonts w:ascii="仿宋_GB2312"/>
          <w:sz w:val="32"/>
          <w:szCs w:val="32"/>
        </w:rPr>
      </w:pPr>
      <w:r>
        <w:rPr>
          <w:rFonts w:hint="eastAsia" w:ascii="仿宋_GB2312"/>
          <w:sz w:val="32"/>
          <w:szCs w:val="32"/>
        </w:rPr>
        <w:t>（</w:t>
      </w:r>
      <w:r>
        <w:rPr>
          <w:rFonts w:ascii="仿宋_GB2312"/>
          <w:sz w:val="32"/>
          <w:szCs w:val="32"/>
        </w:rPr>
        <w:t>1</w:t>
      </w:r>
      <w:r>
        <w:rPr>
          <w:rFonts w:hint="eastAsia" w:ascii="仿宋_GB2312"/>
          <w:sz w:val="32"/>
          <w:szCs w:val="32"/>
        </w:rPr>
        <w:t>）经济效益。营造良好的法治环境，为人民安居乐业、经济建设保驾护航。</w:t>
      </w:r>
    </w:p>
    <w:p>
      <w:pPr>
        <w:ind w:firstLine="640" w:firstLineChars="200"/>
        <w:rPr>
          <w:rFonts w:ascii="仿宋_GB2312"/>
          <w:sz w:val="32"/>
          <w:szCs w:val="32"/>
        </w:rPr>
      </w:pPr>
      <w:r>
        <w:rPr>
          <w:rFonts w:hint="eastAsia" w:ascii="仿宋_GB2312"/>
          <w:sz w:val="32"/>
          <w:szCs w:val="32"/>
        </w:rPr>
        <w:t>（</w:t>
      </w:r>
      <w:r>
        <w:rPr>
          <w:rFonts w:ascii="仿宋_GB2312"/>
          <w:sz w:val="32"/>
          <w:szCs w:val="32"/>
        </w:rPr>
        <w:t>2</w:t>
      </w:r>
      <w:r>
        <w:rPr>
          <w:rFonts w:hint="eastAsia" w:ascii="仿宋_GB2312"/>
          <w:sz w:val="32"/>
          <w:szCs w:val="32"/>
        </w:rPr>
        <w:t>）社会效益。惩治犯罪，严厉打击黑恶势力，保护人民群众及当事人的合法权益，维护社会公平正义。</w:t>
      </w:r>
    </w:p>
    <w:p>
      <w:pPr>
        <w:ind w:firstLine="640" w:firstLineChars="200"/>
        <w:rPr>
          <w:rFonts w:ascii="仿宋_GB2312"/>
          <w:sz w:val="32"/>
          <w:szCs w:val="32"/>
        </w:rPr>
      </w:pPr>
      <w:r>
        <w:rPr>
          <w:rFonts w:hint="eastAsia" w:ascii="仿宋_GB2312"/>
          <w:sz w:val="32"/>
          <w:szCs w:val="32"/>
        </w:rPr>
        <w:t>（</w:t>
      </w:r>
      <w:r>
        <w:rPr>
          <w:rFonts w:ascii="仿宋_GB2312"/>
          <w:sz w:val="32"/>
          <w:szCs w:val="32"/>
        </w:rPr>
        <w:t>3</w:t>
      </w:r>
      <w:r>
        <w:rPr>
          <w:rFonts w:hint="eastAsia" w:ascii="仿宋_GB2312"/>
          <w:sz w:val="32"/>
          <w:szCs w:val="32"/>
        </w:rPr>
        <w:t>）生态效益。努力构建和谐社会。</w:t>
      </w:r>
    </w:p>
    <w:p>
      <w:pPr>
        <w:ind w:firstLine="640" w:firstLineChars="200"/>
        <w:rPr>
          <w:rFonts w:ascii="仿宋_GB2312"/>
          <w:sz w:val="32"/>
          <w:szCs w:val="32"/>
        </w:rPr>
      </w:pPr>
      <w:r>
        <w:rPr>
          <w:rFonts w:hint="eastAsia" w:ascii="仿宋_GB2312"/>
          <w:sz w:val="32"/>
          <w:szCs w:val="32"/>
        </w:rPr>
        <w:t>（</w:t>
      </w:r>
      <w:r>
        <w:rPr>
          <w:rFonts w:ascii="仿宋_GB2312"/>
          <w:sz w:val="32"/>
          <w:szCs w:val="32"/>
        </w:rPr>
        <w:t>4</w:t>
      </w:r>
      <w:r>
        <w:rPr>
          <w:rFonts w:hint="eastAsia" w:ascii="仿宋_GB2312"/>
          <w:sz w:val="32"/>
          <w:szCs w:val="32"/>
        </w:rPr>
        <w:t>）可持续影响。</w:t>
      </w:r>
    </w:p>
    <w:p>
      <w:pPr>
        <w:ind w:firstLine="640" w:firstLineChars="200"/>
        <w:rPr>
          <w:rFonts w:ascii="仿宋_GB2312"/>
          <w:sz w:val="32"/>
          <w:szCs w:val="32"/>
        </w:rPr>
      </w:pPr>
      <w:r>
        <w:rPr>
          <w:rFonts w:ascii="仿宋_GB2312"/>
          <w:sz w:val="32"/>
          <w:szCs w:val="32"/>
        </w:rPr>
        <w:t>3.</w:t>
      </w:r>
      <w:r>
        <w:rPr>
          <w:rFonts w:hint="eastAsia" w:ascii="仿宋_GB2312"/>
          <w:sz w:val="32"/>
          <w:szCs w:val="32"/>
        </w:rPr>
        <w:t>满意度指标完成情况分析。</w:t>
      </w:r>
    </w:p>
    <w:p>
      <w:pPr>
        <w:ind w:firstLine="640" w:firstLineChars="200"/>
        <w:rPr>
          <w:rFonts w:ascii="仿宋_GB2312"/>
          <w:sz w:val="32"/>
          <w:szCs w:val="32"/>
        </w:rPr>
      </w:pPr>
      <w:r>
        <w:rPr>
          <w:rFonts w:hint="eastAsia" w:ascii="仿宋_GB2312"/>
          <w:sz w:val="32"/>
          <w:szCs w:val="32"/>
        </w:rPr>
        <w:t>人民群众、涉案当事人、使用办案办公设备职工、司法救助当事人均达</w:t>
      </w:r>
      <w:r>
        <w:rPr>
          <w:rFonts w:ascii="仿宋_GB2312"/>
          <w:sz w:val="32"/>
          <w:szCs w:val="32"/>
        </w:rPr>
        <w:t>90%</w:t>
      </w:r>
      <w:r>
        <w:rPr>
          <w:rFonts w:hint="eastAsia" w:ascii="仿宋_GB2312"/>
          <w:sz w:val="32"/>
          <w:szCs w:val="32"/>
        </w:rPr>
        <w:t>以上的满意度。</w:t>
      </w:r>
    </w:p>
    <w:p>
      <w:pPr>
        <w:ind w:firstLine="643" w:firstLineChars="200"/>
        <w:rPr>
          <w:rFonts w:ascii="仿宋_GB2312"/>
          <w:b/>
          <w:sz w:val="32"/>
          <w:szCs w:val="32"/>
        </w:rPr>
      </w:pPr>
      <w:r>
        <w:rPr>
          <w:rFonts w:hint="eastAsia" w:ascii="仿宋_GB2312" w:hAnsi="黑体" w:cs="黑体"/>
          <w:b/>
          <w:bCs/>
          <w:sz w:val="32"/>
          <w:szCs w:val="32"/>
        </w:rPr>
        <w:t>三、偏离绩效目标的原因和下一步改进措施</w:t>
      </w:r>
    </w:p>
    <w:p>
      <w:pPr>
        <w:ind w:firstLine="640" w:firstLineChars="200"/>
        <w:rPr>
          <w:rFonts w:ascii="仿宋_GB2312"/>
          <w:sz w:val="32"/>
          <w:szCs w:val="32"/>
        </w:rPr>
      </w:pPr>
      <w:r>
        <w:rPr>
          <w:rFonts w:hint="eastAsia" w:ascii="仿宋_GB2312"/>
          <w:sz w:val="32"/>
          <w:szCs w:val="32"/>
        </w:rPr>
        <w:t>在使用政法转移支付经费中，存在当年所下达经费有未全部支出结转下年继续使用的情况，因为转移支付下达的时间、金额不详，加之来年初部门业务经费预算未到位，致使经费紧张，故造成当年转移经费结余。办案办公装备经费原则上是次年申报上年计划并需上报省级院批复。</w:t>
      </w:r>
    </w:p>
    <w:p>
      <w:pPr>
        <w:ind w:firstLine="643" w:firstLineChars="200"/>
        <w:rPr>
          <w:rFonts w:ascii="仿宋_GB2312" w:hAnsi="黑体" w:cs="黑体"/>
          <w:b/>
          <w:bCs/>
          <w:sz w:val="32"/>
          <w:szCs w:val="32"/>
        </w:rPr>
      </w:pPr>
      <w:r>
        <w:rPr>
          <w:rFonts w:hint="eastAsia" w:ascii="仿宋_GB2312" w:hAnsi="黑体" w:cs="黑体"/>
          <w:b/>
          <w:bCs/>
          <w:sz w:val="32"/>
          <w:szCs w:val="32"/>
        </w:rPr>
        <w:t>四、绩效自评结果拟应用和公开情况</w:t>
      </w:r>
    </w:p>
    <w:p>
      <w:pPr>
        <w:ind w:firstLine="640" w:firstLineChars="200"/>
        <w:rPr>
          <w:rFonts w:ascii="仿宋_GB2312" w:hAnsi="黑体" w:cs="黑体"/>
          <w:bCs/>
          <w:sz w:val="32"/>
          <w:szCs w:val="32"/>
        </w:rPr>
      </w:pPr>
      <w:r>
        <w:rPr>
          <w:rFonts w:hint="eastAsia" w:ascii="仿宋_GB2312" w:hAnsi="黑体" w:cs="黑体"/>
          <w:bCs/>
          <w:sz w:val="32"/>
          <w:szCs w:val="32"/>
        </w:rPr>
        <w:t>单位部门的预决算均按要求公开公示。</w:t>
      </w:r>
    </w:p>
    <w:p>
      <w:pPr>
        <w:ind w:firstLine="643" w:firstLineChars="200"/>
        <w:rPr>
          <w:rFonts w:ascii="仿宋_GB2312" w:hAnsi="黑体" w:cs="黑体"/>
          <w:b/>
          <w:bCs/>
          <w:sz w:val="32"/>
          <w:szCs w:val="32"/>
        </w:rPr>
      </w:pPr>
      <w:r>
        <w:rPr>
          <w:rFonts w:hint="eastAsia" w:ascii="仿宋_GB2312" w:hAnsi="黑体" w:cs="黑体"/>
          <w:b/>
          <w:bCs/>
          <w:sz w:val="32"/>
          <w:szCs w:val="32"/>
        </w:rPr>
        <w:t>五、其他需要说明的问题</w:t>
      </w:r>
    </w:p>
    <w:p>
      <w:pPr>
        <w:ind w:firstLine="640" w:firstLineChars="200"/>
        <w:rPr>
          <w:rFonts w:ascii="仿宋_GB2312"/>
          <w:sz w:val="32"/>
          <w:szCs w:val="32"/>
        </w:rPr>
      </w:pPr>
      <w:r>
        <w:rPr>
          <w:rFonts w:hint="eastAsia" w:ascii="仿宋_GB2312"/>
          <w:sz w:val="32"/>
          <w:szCs w:val="32"/>
        </w:rPr>
        <w:t>无中央巡视、各级审计和财政监督中发现的问题及其所涉及的金额。</w:t>
      </w:r>
    </w:p>
    <w:p>
      <w:pPr>
        <w:rPr>
          <w:rFonts w:ascii="仿宋_GB2312"/>
          <w:sz w:val="32"/>
          <w:szCs w:val="32"/>
        </w:rPr>
      </w:pPr>
      <w:r>
        <w:rPr>
          <w:rFonts w:ascii="仿宋_GB2312"/>
          <w:sz w:val="32"/>
          <w:szCs w:val="32"/>
        </w:rPr>
        <w:t xml:space="preserve">    </w:t>
      </w:r>
      <w:r>
        <w:rPr>
          <w:rFonts w:hint="eastAsia" w:ascii="仿宋_GB2312"/>
          <w:sz w:val="32"/>
          <w:szCs w:val="32"/>
        </w:rPr>
        <w:t>附：绩效目标自评表</w:t>
      </w: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int="eastAsia" w:hAnsi="Calibri" w:cs="仿宋"/>
          <w:sz w:val="32"/>
          <w:szCs w:val="32"/>
        </w:rPr>
      </w:pPr>
      <w:bookmarkStart w:id="53" w:name="_GoBack"/>
      <w:bookmarkEnd w:id="53"/>
    </w:p>
    <w:p>
      <w:pPr>
        <w:spacing w:line="600" w:lineRule="exact"/>
        <w:jc w:val="center"/>
        <w:outlineLvl w:val="0"/>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p>
    <w:p>
      <w:pPr>
        <w:pStyle w:val="4"/>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p>
    <w:p>
      <w:pPr>
        <w:pStyle w:val="4"/>
        <w:rPr>
          <w:rFonts w:ascii="仿宋" w:hAnsi="仿宋" w:eastAsia="仿宋"/>
        </w:rPr>
      </w:pPr>
      <w:r>
        <w:rPr>
          <w:rFonts w:hint="eastAsia" w:ascii="仿宋" w:hAnsi="仿宋" w:eastAsia="仿宋"/>
          <w:b w:val="0"/>
        </w:rPr>
        <w:t>二、收</w:t>
      </w:r>
      <w:r>
        <w:rPr>
          <w:rStyle w:val="29"/>
          <w:rFonts w:hint="eastAsia" w:ascii="仿宋" w:hAnsi="仿宋" w:eastAsia="仿宋"/>
          <w:b w:val="0"/>
          <w:bCs w:val="0"/>
        </w:rPr>
        <w:t>入决算表</w:t>
      </w:r>
    </w:p>
    <w:p>
      <w:pPr>
        <w:pStyle w:val="4"/>
        <w:rPr>
          <w:rFonts w:ascii="仿宋" w:hAnsi="仿宋" w:eastAsia="仿宋"/>
        </w:rPr>
      </w:pPr>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p>
    <w:p>
      <w:pPr>
        <w:pStyle w:val="4"/>
        <w:rPr>
          <w:rFonts w:ascii="仿宋" w:hAnsi="仿宋" w:eastAsia="仿宋"/>
          <w:b w:val="0"/>
        </w:rPr>
      </w:pPr>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p>
    <w:p>
      <w:pPr>
        <w:pStyle w:val="4"/>
        <w:rPr>
          <w:rStyle w:val="29"/>
          <w:rFonts w:ascii="仿宋" w:hAnsi="仿宋" w:eastAsia="仿宋"/>
          <w:b w:val="0"/>
          <w:bCs w:val="0"/>
        </w:rPr>
      </w:pPr>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p>
    <w:p>
      <w:pPr>
        <w:pStyle w:val="4"/>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p>
    <w:p>
      <w:pPr>
        <w:pStyle w:val="4"/>
        <w:rPr>
          <w:rFonts w:ascii="仿宋" w:hAnsi="仿宋" w:eastAsia="仿宋"/>
        </w:rPr>
      </w:pPr>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p>
    <w:p>
      <w:pPr>
        <w:pStyle w:val="4"/>
        <w:rPr>
          <w:rFonts w:ascii="仿宋" w:hAnsi="仿宋" w:eastAsia="仿宋"/>
        </w:rPr>
      </w:pPr>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p>
    <w:p>
      <w:pPr>
        <w:pStyle w:val="4"/>
        <w:rPr>
          <w:rFonts w:ascii="仿宋" w:hAnsi="仿宋" w:eastAsia="仿宋"/>
        </w:rPr>
      </w:pPr>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p>
    <w:p>
      <w:pPr>
        <w:pStyle w:val="4"/>
        <w:rPr>
          <w:rFonts w:ascii="仿宋" w:hAnsi="仿宋" w:eastAsia="仿宋"/>
        </w:rPr>
      </w:pPr>
      <w:r>
        <w:rPr>
          <w:rStyle w:val="29"/>
          <w:rFonts w:hint="eastAsia" w:ascii="仿宋" w:hAnsi="仿宋" w:eastAsia="仿宋"/>
          <w:b w:val="0"/>
          <w:bCs w:val="0"/>
        </w:rPr>
        <w:t>十、</w:t>
      </w:r>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4"/>
        <w:rPr>
          <w:rFonts w:ascii="仿宋" w:hAnsi="仿宋" w:eastAsia="仿宋"/>
        </w:rPr>
      </w:pPr>
      <w:r>
        <w:rPr>
          <w:rStyle w:val="29"/>
          <w:rFonts w:hint="eastAsia" w:ascii="仿宋" w:hAnsi="仿宋" w:eastAsia="仿宋"/>
          <w:b w:val="0"/>
          <w:bCs w:val="0"/>
        </w:rPr>
        <w:t>十一、</w:t>
      </w:r>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4"/>
        <w:rPr>
          <w:rFonts w:ascii="仿宋" w:hAnsi="仿宋" w:eastAsia="仿宋"/>
        </w:rPr>
      </w:pPr>
      <w:r>
        <w:rPr>
          <w:rStyle w:val="29"/>
          <w:rFonts w:hint="eastAsia" w:ascii="仿宋" w:hAnsi="仿宋" w:eastAsia="仿宋"/>
          <w:b w:val="0"/>
          <w:bCs w:val="0"/>
        </w:rPr>
        <w:t>十二、国有资本经营预算财政拨款支出决算表</w:t>
      </w:r>
    </w:p>
    <w:p>
      <w:pPr>
        <w:pStyle w:val="4"/>
        <w:rPr>
          <w:rFonts w:eastAsia="仿宋"/>
        </w:rPr>
      </w:pPr>
      <w:r>
        <w:rPr>
          <w:rStyle w:val="29"/>
          <w:rFonts w:hint="eastAsia" w:ascii="仿宋" w:hAnsi="仿宋" w:eastAsia="仿宋"/>
          <w:b w:val="0"/>
          <w:bCs w:val="0"/>
        </w:rPr>
        <w:t>十三、财政拨款“三公”经费支出决算表</w:t>
      </w:r>
    </w:p>
    <w:bookmarkEnd w:id="51"/>
    <w:p>
      <w:pPr>
        <w:pStyle w:val="4"/>
        <w:rPr>
          <w:rFonts w:eastAsia="仿宋"/>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35</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0FD16D87"/>
    <w:multiLevelType w:val="multilevel"/>
    <w:tmpl w:val="0FD16D87"/>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lOTkxYmI3NDM1YjhiMGQ3NjdjYzI2OWY2YWRhYz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29B4"/>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D7944"/>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2FA1"/>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66E0107"/>
    <w:rsid w:val="07221EB1"/>
    <w:rsid w:val="07996F6E"/>
    <w:rsid w:val="0A2032A3"/>
    <w:rsid w:val="0BCC749C"/>
    <w:rsid w:val="0D8A1D95"/>
    <w:rsid w:val="0F98263C"/>
    <w:rsid w:val="101860EC"/>
    <w:rsid w:val="10C055FF"/>
    <w:rsid w:val="118107EC"/>
    <w:rsid w:val="13D50BC4"/>
    <w:rsid w:val="147B4774"/>
    <w:rsid w:val="16BB723D"/>
    <w:rsid w:val="18C34CAF"/>
    <w:rsid w:val="19C93EF9"/>
    <w:rsid w:val="1A4B0597"/>
    <w:rsid w:val="1BE8440E"/>
    <w:rsid w:val="1D155CEE"/>
    <w:rsid w:val="1FF35744"/>
    <w:rsid w:val="23860B96"/>
    <w:rsid w:val="23D91AA4"/>
    <w:rsid w:val="240371BF"/>
    <w:rsid w:val="24FE6248"/>
    <w:rsid w:val="292C29B4"/>
    <w:rsid w:val="29FD04D3"/>
    <w:rsid w:val="2C8A61B5"/>
    <w:rsid w:val="2DF04E50"/>
    <w:rsid w:val="2E191392"/>
    <w:rsid w:val="2F040D46"/>
    <w:rsid w:val="2F830580"/>
    <w:rsid w:val="319F7F4E"/>
    <w:rsid w:val="3304709D"/>
    <w:rsid w:val="36AA5135"/>
    <w:rsid w:val="376D39B2"/>
    <w:rsid w:val="377E5F00"/>
    <w:rsid w:val="37E16F03"/>
    <w:rsid w:val="38D469F0"/>
    <w:rsid w:val="391914E1"/>
    <w:rsid w:val="3D98207C"/>
    <w:rsid w:val="3E78745D"/>
    <w:rsid w:val="44E268DA"/>
    <w:rsid w:val="4A2B6810"/>
    <w:rsid w:val="4A627F82"/>
    <w:rsid w:val="4B0E749A"/>
    <w:rsid w:val="4B4F25DA"/>
    <w:rsid w:val="4BE068DB"/>
    <w:rsid w:val="4CFD2E65"/>
    <w:rsid w:val="4D577224"/>
    <w:rsid w:val="4EAB630A"/>
    <w:rsid w:val="4ECE2238"/>
    <w:rsid w:val="537E6D0A"/>
    <w:rsid w:val="551A4BA3"/>
    <w:rsid w:val="554E3C0E"/>
    <w:rsid w:val="5987680D"/>
    <w:rsid w:val="5A6E01C6"/>
    <w:rsid w:val="5AF92295"/>
    <w:rsid w:val="5C5735C8"/>
    <w:rsid w:val="5CD71FC4"/>
    <w:rsid w:val="6038291E"/>
    <w:rsid w:val="63A15795"/>
    <w:rsid w:val="6C4A05C8"/>
    <w:rsid w:val="6E7E3605"/>
    <w:rsid w:val="6FF5CC65"/>
    <w:rsid w:val="715C0E4B"/>
    <w:rsid w:val="72734D90"/>
    <w:rsid w:val="73AD73D5"/>
    <w:rsid w:val="73B6EB34"/>
    <w:rsid w:val="744731E5"/>
    <w:rsid w:val="75D35373"/>
    <w:rsid w:val="76E3355F"/>
    <w:rsid w:val="76E41A31"/>
    <w:rsid w:val="778769C8"/>
    <w:rsid w:val="79EE5BA4"/>
    <w:rsid w:val="7A894339"/>
    <w:rsid w:val="7EEF11D3"/>
    <w:rsid w:val="7EF32753"/>
    <w:rsid w:val="7FA30C79"/>
    <w:rsid w:val="7FB7269E"/>
    <w:rsid w:val="7FC96657"/>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FollowedHyperlink"/>
    <w:basedOn w:val="15"/>
    <w:semiHidden/>
    <w:unhideWhenUsed/>
    <w:qFormat/>
    <w:uiPriority w:val="99"/>
    <w:rPr>
      <w:color w:val="954F72"/>
      <w:u w:val="single"/>
    </w:rPr>
  </w:style>
  <w:style w:type="character" w:styleId="18">
    <w:name w:val="Hyperlink"/>
    <w:basedOn w:val="15"/>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5"/>
    <w:semiHidden/>
    <w:qFormat/>
    <w:uiPriority w:val="99"/>
    <w:rPr>
      <w:rFonts w:ascii="Times New Roman" w:hAnsi="Times New Roman"/>
      <w:sz w:val="18"/>
      <w:szCs w:val="18"/>
    </w:rPr>
  </w:style>
  <w:style w:type="character" w:customStyle="1" w:styleId="21">
    <w:name w:val="页眉 字符"/>
    <w:link w:val="10"/>
    <w:semiHidden/>
    <w:qFormat/>
    <w:locked/>
    <w:uiPriority w:val="99"/>
    <w:rPr>
      <w:sz w:val="18"/>
    </w:rPr>
  </w:style>
  <w:style w:type="character" w:customStyle="1" w:styleId="22">
    <w:name w:val="Footer Char"/>
    <w:basedOn w:val="15"/>
    <w:semiHidden/>
    <w:qFormat/>
    <w:uiPriority w:val="99"/>
    <w:rPr>
      <w:rFonts w:ascii="Times New Roman" w:hAnsi="Times New Roman"/>
      <w:sz w:val="18"/>
      <w:szCs w:val="18"/>
    </w:rPr>
  </w:style>
  <w:style w:type="character" w:customStyle="1" w:styleId="23">
    <w:name w:val="页脚 字符"/>
    <w:link w:val="9"/>
    <w:qFormat/>
    <w:locked/>
    <w:uiPriority w:val="99"/>
    <w:rPr>
      <w:sz w:val="18"/>
    </w:rPr>
  </w:style>
  <w:style w:type="character" w:customStyle="1" w:styleId="24">
    <w:name w:val="Body Text Char"/>
    <w:basedOn w:val="15"/>
    <w:semiHidden/>
    <w:qFormat/>
    <w:uiPriority w:val="99"/>
    <w:rPr>
      <w:rFonts w:ascii="Times New Roman" w:hAnsi="Times New Roman"/>
      <w:szCs w:val="24"/>
    </w:rPr>
  </w:style>
  <w:style w:type="character" w:customStyle="1" w:styleId="25">
    <w:name w:val="正文文本 字符"/>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5"/>
    <w:link w:val="3"/>
    <w:qFormat/>
    <w:uiPriority w:val="9"/>
    <w:rPr>
      <w:rFonts w:ascii="Times New Roman" w:hAnsi="Times New Roman"/>
      <w:b/>
      <w:bCs/>
      <w:kern w:val="44"/>
      <w:sz w:val="44"/>
      <w:szCs w:val="44"/>
    </w:rPr>
  </w:style>
  <w:style w:type="character" w:customStyle="1" w:styleId="29">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5"/>
    <w:link w:val="8"/>
    <w:semiHidden/>
    <w:qFormat/>
    <w:uiPriority w:val="99"/>
    <w:rPr>
      <w:rFonts w:ascii="Times New Roman" w:hAnsi="Times New Roman"/>
      <w:kern w:val="2"/>
      <w:sz w:val="18"/>
      <w:szCs w:val="18"/>
    </w:rPr>
  </w:style>
  <w:style w:type="character" w:customStyle="1" w:styleId="32">
    <w:name w:val="标题 3 字符"/>
    <w:basedOn w:val="15"/>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paragraph" w:customStyle="1" w:styleId="35">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36">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7">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39">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0">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1">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2">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4">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6">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7">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48">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49">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5B7C9A-37A4-4A6C-B716-74E03BC5143C}">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2193</Words>
  <Characters>12503</Characters>
  <Lines>104</Lines>
  <Paragraphs>29</Paragraphs>
  <TotalTime>0</TotalTime>
  <ScaleCrop>false</ScaleCrop>
  <LinksUpToDate>false</LinksUpToDate>
  <CharactersWithSpaces>14667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Administrator</cp:lastModifiedBy>
  <cp:lastPrinted>2023-07-31T02:35:00Z</cp:lastPrinted>
  <dcterms:modified xsi:type="dcterms:W3CDTF">2023-09-15T01:48:06Z</dcterms:modified>
  <dc:title>四川省***</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804FF5AD228043339BD865C6300B3611</vt:lpwstr>
  </property>
</Properties>
</file>