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71F6" w:rsidRDefault="009971F6">
      <w:pPr>
        <w:spacing w:line="600" w:lineRule="exact"/>
        <w:jc w:val="center"/>
        <w:outlineLvl w:val="0"/>
        <w:rPr>
          <w:rFonts w:ascii="方正小标宋简体" w:eastAsia="方正小标宋简体" w:hAnsi="宋体"/>
          <w:color w:val="000000"/>
          <w:sz w:val="72"/>
          <w:szCs w:val="72"/>
        </w:rPr>
      </w:pPr>
      <w:bookmarkStart w:id="0" w:name="_Toc15306267"/>
    </w:p>
    <w:p w:rsidR="009971F6" w:rsidRDefault="009971F6">
      <w:pPr>
        <w:spacing w:line="600" w:lineRule="exact"/>
        <w:jc w:val="center"/>
        <w:outlineLvl w:val="0"/>
        <w:rPr>
          <w:rFonts w:ascii="方正小标宋简体" w:eastAsia="方正小标宋简体" w:hAnsi="宋体"/>
          <w:color w:val="000000"/>
          <w:sz w:val="72"/>
          <w:szCs w:val="72"/>
        </w:rPr>
      </w:pPr>
    </w:p>
    <w:p w:rsidR="009971F6" w:rsidRDefault="009971F6">
      <w:pPr>
        <w:spacing w:line="600" w:lineRule="exact"/>
        <w:jc w:val="center"/>
        <w:outlineLvl w:val="0"/>
        <w:rPr>
          <w:rFonts w:ascii="方正小标宋简体" w:eastAsia="方正小标宋简体" w:hAnsi="宋体"/>
          <w:color w:val="000000"/>
          <w:sz w:val="72"/>
          <w:szCs w:val="72"/>
        </w:rPr>
      </w:pPr>
    </w:p>
    <w:p w:rsidR="009971F6" w:rsidRDefault="009971F6">
      <w:pPr>
        <w:spacing w:line="600" w:lineRule="exact"/>
        <w:jc w:val="center"/>
        <w:outlineLvl w:val="0"/>
        <w:rPr>
          <w:rFonts w:ascii="方正小标宋简体" w:eastAsia="方正小标宋简体" w:hAnsi="宋体"/>
          <w:color w:val="000000"/>
          <w:sz w:val="72"/>
          <w:szCs w:val="72"/>
        </w:rPr>
      </w:pPr>
    </w:p>
    <w:p w:rsidR="009971F6" w:rsidRDefault="00ED6E5C">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96597"/>
      <w:bookmarkStart w:id="3" w:name="_Toc15378441"/>
      <w:bookmarkStart w:id="4" w:name="_Toc15377425"/>
      <w:bookmarkStart w:id="5" w:name="_Toc15396475"/>
      <w:r>
        <w:rPr>
          <w:rFonts w:ascii="黑体" w:eastAsia="黑体" w:hAnsi="黑体"/>
          <w:color w:val="000000"/>
          <w:sz w:val="72"/>
          <w:szCs w:val="72"/>
        </w:rPr>
        <w:t>201</w:t>
      </w:r>
      <w:r>
        <w:rPr>
          <w:rFonts w:ascii="黑体" w:eastAsia="黑体" w:hAnsi="黑体" w:hint="eastAsia"/>
          <w:color w:val="000000"/>
          <w:sz w:val="72"/>
          <w:szCs w:val="72"/>
        </w:rPr>
        <w:t>8</w:t>
      </w:r>
      <w:r>
        <w:rPr>
          <w:rFonts w:ascii="方正小标宋简体" w:eastAsia="方正小标宋简体" w:hAnsi="宋体" w:hint="eastAsia"/>
          <w:color w:val="000000"/>
          <w:sz w:val="72"/>
          <w:szCs w:val="72"/>
        </w:rPr>
        <w:t>年度</w:t>
      </w:r>
      <w:bookmarkEnd w:id="1"/>
      <w:bookmarkEnd w:id="2"/>
      <w:bookmarkEnd w:id="3"/>
      <w:bookmarkEnd w:id="4"/>
      <w:bookmarkEnd w:id="5"/>
    </w:p>
    <w:p w:rsidR="009971F6" w:rsidRDefault="00ED6E5C">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78442"/>
      <w:bookmarkStart w:id="7" w:name="_Toc15377194"/>
      <w:bookmarkStart w:id="8" w:name="_Toc15396476"/>
      <w:bookmarkStart w:id="9" w:name="_Toc15377426"/>
      <w:bookmarkStart w:id="10" w:name="_Toc15396598"/>
      <w:r>
        <w:rPr>
          <w:rFonts w:ascii="方正小标宋简体" w:eastAsia="方正小标宋简体" w:hAnsi="宋体" w:hint="eastAsia"/>
          <w:color w:val="000000"/>
          <w:sz w:val="72"/>
          <w:szCs w:val="72"/>
        </w:rPr>
        <w:t>四川省</w:t>
      </w:r>
      <w:bookmarkStart w:id="11" w:name="_Toc15306268"/>
      <w:bookmarkEnd w:id="0"/>
      <w:r>
        <w:rPr>
          <w:rFonts w:ascii="方正小标宋简体" w:eastAsia="方正小标宋简体" w:hAnsi="宋体" w:hint="eastAsia"/>
          <w:color w:val="000000"/>
          <w:sz w:val="72"/>
          <w:szCs w:val="72"/>
        </w:rPr>
        <w:t>攀枝花市人民政府驻成都办事处</w:t>
      </w:r>
    </w:p>
    <w:p w:rsidR="009971F6" w:rsidRDefault="00ED6E5C">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9971F6" w:rsidRDefault="00ED6E5C">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9971F6" w:rsidRDefault="00ED6E5C">
      <w:pPr>
        <w:pStyle w:val="10"/>
      </w:pPr>
      <w:bookmarkStart w:id="12" w:name="_Toc15377196"/>
      <w:bookmarkStart w:id="13" w:name="_Toc15396599"/>
      <w:r>
        <w:rPr>
          <w:rFonts w:hint="eastAsia"/>
        </w:rPr>
        <w:t>公开时间：2019年9月18日</w:t>
      </w:r>
    </w:p>
    <w:p w:rsidR="009971F6" w:rsidRDefault="009971F6"/>
    <w:p w:rsidR="009971F6" w:rsidRDefault="00FE640E">
      <w:pPr>
        <w:pStyle w:val="10"/>
        <w:spacing w:line="640" w:lineRule="exact"/>
        <w:rPr>
          <w:rFonts w:ascii="仿宋_GB2312" w:eastAsia="仿宋_GB2312" w:hAnsi="仿宋_GB2312" w:cs="仿宋_GB2312"/>
          <w:u w:color="FFFFFF" w:themeColor="background1"/>
        </w:rPr>
      </w:pPr>
      <w:hyperlink w:anchor="_Toc15396599" w:history="1">
        <w:r w:rsidR="00ED6E5C">
          <w:rPr>
            <w:rStyle w:val="a9"/>
            <w:rFonts w:ascii="仿宋_GB2312" w:eastAsia="仿宋_GB2312" w:hAnsi="仿宋_GB2312" w:cs="仿宋_GB2312" w:hint="eastAsia"/>
            <w:color w:val="auto"/>
            <w:u w:color="FFFFFF" w:themeColor="background1"/>
          </w:rPr>
          <w:t>第一部分 部门概况</w:t>
        </w:r>
        <w:r w:rsidR="00ED6E5C">
          <w:rPr>
            <w:rFonts w:ascii="仿宋_GB2312" w:eastAsia="仿宋_GB2312" w:hAnsi="仿宋_GB2312" w:cs="仿宋_GB2312" w:hint="eastAsia"/>
            <w:u w:color="FFFFFF" w:themeColor="background1"/>
          </w:rPr>
          <w:tab/>
          <w:t>4</w:t>
        </w:r>
      </w:hyperlink>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0" w:history="1">
        <w:r w:rsidR="00ED6E5C">
          <w:rPr>
            <w:rStyle w:val="a9"/>
            <w:rFonts w:ascii="仿宋_GB2312" w:eastAsia="仿宋_GB2312" w:hAnsi="仿宋_GB2312" w:cs="仿宋_GB2312" w:hint="eastAsia"/>
            <w:color w:val="auto"/>
            <w:sz w:val="28"/>
            <w:szCs w:val="28"/>
            <w:u w:color="FFFFFF" w:themeColor="background1"/>
          </w:rPr>
          <w:t>一、基本职能及主要工作</w:t>
        </w:r>
        <w:r w:rsidR="00ED6E5C">
          <w:rPr>
            <w:rFonts w:ascii="仿宋_GB2312" w:eastAsia="仿宋_GB2312" w:hAnsi="仿宋_GB2312" w:cs="仿宋_GB2312" w:hint="eastAsia"/>
            <w:sz w:val="28"/>
            <w:szCs w:val="28"/>
            <w:u w:color="FFFFFF" w:themeColor="background1"/>
          </w:rPr>
          <w:tab/>
          <w:t>4</w:t>
        </w:r>
      </w:hyperlink>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1" w:history="1">
        <w:r w:rsidR="00ED6E5C">
          <w:rPr>
            <w:rStyle w:val="a9"/>
            <w:rFonts w:ascii="仿宋_GB2312" w:eastAsia="仿宋_GB2312" w:hAnsi="仿宋_GB2312" w:cs="仿宋_GB2312" w:hint="eastAsia"/>
            <w:color w:val="auto"/>
            <w:sz w:val="28"/>
            <w:szCs w:val="28"/>
            <w:u w:color="FFFFFF" w:themeColor="background1"/>
          </w:rPr>
          <w:t>二、机构设置</w:t>
        </w:r>
        <w:r w:rsidR="00ED6E5C">
          <w:rPr>
            <w:rFonts w:ascii="仿宋_GB2312" w:eastAsia="仿宋_GB2312" w:hAnsi="仿宋_GB2312" w:cs="仿宋_GB2312" w:hint="eastAsia"/>
            <w:sz w:val="28"/>
            <w:szCs w:val="28"/>
            <w:u w:color="FFFFFF" w:themeColor="background1"/>
          </w:rPr>
          <w:tab/>
          <w:t>6</w:t>
        </w:r>
      </w:hyperlink>
    </w:p>
    <w:p w:rsidR="009971F6" w:rsidRDefault="00FE640E">
      <w:pPr>
        <w:pStyle w:val="10"/>
        <w:spacing w:line="640" w:lineRule="exact"/>
        <w:rPr>
          <w:rFonts w:ascii="仿宋_GB2312" w:eastAsia="仿宋_GB2312" w:hAnsi="仿宋_GB2312" w:cs="仿宋_GB2312"/>
          <w:u w:color="FFFFFF" w:themeColor="background1"/>
        </w:rPr>
      </w:pPr>
      <w:hyperlink w:anchor="_Toc15396602" w:history="1">
        <w:r w:rsidR="00ED6E5C">
          <w:rPr>
            <w:rStyle w:val="a9"/>
            <w:rFonts w:ascii="仿宋_GB2312" w:eastAsia="仿宋_GB2312" w:hAnsi="仿宋_GB2312" w:cs="仿宋_GB2312" w:hint="eastAsia"/>
            <w:color w:val="auto"/>
            <w:u w:color="FFFFFF" w:themeColor="background1"/>
          </w:rPr>
          <w:t>第二部分 2018年度部门决算情况说明</w:t>
        </w:r>
        <w:r w:rsidR="00ED6E5C">
          <w:rPr>
            <w:rFonts w:ascii="仿宋_GB2312" w:eastAsia="仿宋_GB2312" w:hAnsi="仿宋_GB2312" w:cs="仿宋_GB2312" w:hint="eastAsia"/>
            <w:u w:color="FFFFFF" w:themeColor="background1"/>
          </w:rPr>
          <w:tab/>
          <w:t>7</w:t>
        </w:r>
      </w:hyperlink>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3" w:history="1">
        <w:r w:rsidR="00ED6E5C">
          <w:rPr>
            <w:rStyle w:val="a9"/>
            <w:rFonts w:ascii="仿宋_GB2312" w:eastAsia="仿宋_GB2312" w:hAnsi="仿宋_GB2312" w:cs="仿宋_GB2312" w:hint="eastAsia"/>
            <w:bCs/>
            <w:color w:val="auto"/>
            <w:sz w:val="28"/>
            <w:szCs w:val="28"/>
            <w:u w:color="FFFFFF" w:themeColor="background1"/>
          </w:rPr>
          <w:t>一、</w:t>
        </w:r>
        <w:r w:rsidR="00ED6E5C">
          <w:rPr>
            <w:rStyle w:val="a9"/>
            <w:rFonts w:ascii="仿宋_GB2312" w:eastAsia="仿宋_GB2312" w:hAnsi="仿宋_GB2312" w:cs="仿宋_GB2312" w:hint="eastAsia"/>
            <w:color w:val="auto"/>
            <w:sz w:val="28"/>
            <w:szCs w:val="28"/>
            <w:u w:color="FFFFFF" w:themeColor="background1"/>
          </w:rPr>
          <w:t>收</w:t>
        </w:r>
        <w:r w:rsidR="00ED6E5C">
          <w:rPr>
            <w:rStyle w:val="a9"/>
            <w:rFonts w:ascii="仿宋_GB2312" w:eastAsia="仿宋_GB2312" w:hAnsi="仿宋_GB2312" w:cs="仿宋_GB2312" w:hint="eastAsia"/>
            <w:bCs/>
            <w:color w:val="auto"/>
            <w:sz w:val="28"/>
            <w:szCs w:val="28"/>
            <w:u w:color="FFFFFF" w:themeColor="background1"/>
          </w:rPr>
          <w:t>入支出决算总体情况说明</w:t>
        </w:r>
        <w:r w:rsidR="00ED6E5C">
          <w:rPr>
            <w:rFonts w:ascii="仿宋_GB2312" w:eastAsia="仿宋_GB2312" w:hAnsi="仿宋_GB2312" w:cs="仿宋_GB2312" w:hint="eastAsia"/>
            <w:sz w:val="28"/>
            <w:szCs w:val="28"/>
            <w:u w:color="FFFFFF" w:themeColor="background1"/>
          </w:rPr>
          <w:tab/>
          <w:t>7</w:t>
        </w:r>
      </w:hyperlink>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4" w:history="1">
        <w:r w:rsidR="00ED6E5C">
          <w:rPr>
            <w:rStyle w:val="a9"/>
            <w:rFonts w:ascii="仿宋_GB2312" w:eastAsia="仿宋_GB2312" w:hAnsi="仿宋_GB2312" w:cs="仿宋_GB2312" w:hint="eastAsia"/>
            <w:bCs/>
            <w:color w:val="auto"/>
            <w:sz w:val="28"/>
            <w:szCs w:val="28"/>
            <w:u w:color="FFFFFF" w:themeColor="background1"/>
          </w:rPr>
          <w:t>二、</w:t>
        </w:r>
        <w:r w:rsidR="00ED6E5C">
          <w:rPr>
            <w:rStyle w:val="a9"/>
            <w:rFonts w:ascii="仿宋_GB2312" w:eastAsia="仿宋_GB2312" w:hAnsi="仿宋_GB2312" w:cs="仿宋_GB2312" w:hint="eastAsia"/>
            <w:color w:val="auto"/>
            <w:sz w:val="28"/>
            <w:szCs w:val="28"/>
            <w:u w:color="FFFFFF" w:themeColor="background1"/>
          </w:rPr>
          <w:t>收</w:t>
        </w:r>
        <w:r w:rsidR="00ED6E5C">
          <w:rPr>
            <w:rStyle w:val="a9"/>
            <w:rFonts w:ascii="仿宋_GB2312" w:eastAsia="仿宋_GB2312" w:hAnsi="仿宋_GB2312" w:cs="仿宋_GB2312" w:hint="eastAsia"/>
            <w:bCs/>
            <w:color w:val="auto"/>
            <w:sz w:val="28"/>
            <w:szCs w:val="28"/>
            <w:u w:color="FFFFFF" w:themeColor="background1"/>
          </w:rPr>
          <w:t>入决算情况说明</w:t>
        </w:r>
        <w:r w:rsidR="00ED6E5C">
          <w:rPr>
            <w:rFonts w:ascii="仿宋_GB2312" w:eastAsia="仿宋_GB2312" w:hAnsi="仿宋_GB2312" w:cs="仿宋_GB2312" w:hint="eastAsia"/>
            <w:sz w:val="28"/>
            <w:szCs w:val="28"/>
            <w:u w:color="FFFFFF" w:themeColor="background1"/>
          </w:rPr>
          <w:tab/>
          <w:t>9</w:t>
        </w:r>
      </w:hyperlink>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5" w:history="1">
        <w:r w:rsidR="00ED6E5C">
          <w:rPr>
            <w:rStyle w:val="a9"/>
            <w:rFonts w:ascii="仿宋_GB2312" w:eastAsia="仿宋_GB2312" w:hAnsi="仿宋_GB2312" w:cs="仿宋_GB2312" w:hint="eastAsia"/>
            <w:bCs/>
            <w:color w:val="auto"/>
            <w:sz w:val="28"/>
            <w:szCs w:val="28"/>
            <w:u w:color="FFFFFF" w:themeColor="background1"/>
          </w:rPr>
          <w:t>三、</w:t>
        </w:r>
        <w:r w:rsidR="00ED6E5C">
          <w:rPr>
            <w:rStyle w:val="a9"/>
            <w:rFonts w:ascii="仿宋_GB2312" w:eastAsia="仿宋_GB2312" w:hAnsi="仿宋_GB2312" w:cs="仿宋_GB2312" w:hint="eastAsia"/>
            <w:color w:val="auto"/>
            <w:sz w:val="28"/>
            <w:szCs w:val="28"/>
            <w:u w:color="FFFFFF" w:themeColor="background1"/>
          </w:rPr>
          <w:t>支</w:t>
        </w:r>
        <w:r w:rsidR="00ED6E5C">
          <w:rPr>
            <w:rStyle w:val="a9"/>
            <w:rFonts w:ascii="仿宋_GB2312" w:eastAsia="仿宋_GB2312" w:hAnsi="仿宋_GB2312" w:cs="仿宋_GB2312" w:hint="eastAsia"/>
            <w:bCs/>
            <w:color w:val="auto"/>
            <w:sz w:val="28"/>
            <w:szCs w:val="28"/>
            <w:u w:color="FFFFFF" w:themeColor="background1"/>
          </w:rPr>
          <w:t>出决算情况说明</w:t>
        </w:r>
        <w:r w:rsidR="00ED6E5C">
          <w:rPr>
            <w:rFonts w:ascii="仿宋_GB2312" w:eastAsia="仿宋_GB2312" w:hAnsi="仿宋_GB2312" w:cs="仿宋_GB2312" w:hint="eastAsia"/>
            <w:sz w:val="28"/>
            <w:szCs w:val="28"/>
            <w:u w:color="FFFFFF" w:themeColor="background1"/>
          </w:rPr>
          <w:tab/>
          <w:t>9</w:t>
        </w:r>
      </w:hyperlink>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6" w:history="1">
        <w:r w:rsidR="00ED6E5C">
          <w:rPr>
            <w:rStyle w:val="a9"/>
            <w:rFonts w:ascii="仿宋_GB2312" w:eastAsia="仿宋_GB2312" w:hAnsi="仿宋_GB2312" w:cs="仿宋_GB2312" w:hint="eastAsia"/>
            <w:color w:val="auto"/>
            <w:sz w:val="28"/>
            <w:szCs w:val="28"/>
            <w:u w:color="FFFFFF" w:themeColor="background1"/>
          </w:rPr>
          <w:t>四、财</w:t>
        </w:r>
        <w:r w:rsidR="00ED6E5C">
          <w:rPr>
            <w:rStyle w:val="a9"/>
            <w:rFonts w:ascii="仿宋_GB2312" w:eastAsia="仿宋_GB2312" w:hAnsi="仿宋_GB2312" w:cs="仿宋_GB2312" w:hint="eastAsia"/>
            <w:bCs/>
            <w:color w:val="auto"/>
            <w:sz w:val="28"/>
            <w:szCs w:val="28"/>
            <w:u w:color="FFFFFF" w:themeColor="background1"/>
          </w:rPr>
          <w:t>政拨款收入支出决算总体情况说明</w:t>
        </w:r>
        <w:r w:rsidR="00ED6E5C">
          <w:rPr>
            <w:rFonts w:ascii="仿宋_GB2312" w:eastAsia="仿宋_GB2312" w:hAnsi="仿宋_GB2312" w:cs="仿宋_GB2312" w:hint="eastAsia"/>
            <w:sz w:val="28"/>
            <w:szCs w:val="28"/>
            <w:u w:color="FFFFFF" w:themeColor="background1"/>
          </w:rPr>
          <w:tab/>
          <w:t>1</w:t>
        </w:r>
      </w:hyperlink>
      <w:r w:rsidR="00ED6E5C">
        <w:rPr>
          <w:rFonts w:ascii="仿宋_GB2312" w:eastAsia="仿宋_GB2312" w:hAnsi="仿宋_GB2312" w:cs="仿宋_GB2312" w:hint="eastAsia"/>
          <w:sz w:val="28"/>
          <w:szCs w:val="28"/>
          <w:u w:color="FFFFFF" w:themeColor="background1"/>
        </w:rPr>
        <w:t>0</w:t>
      </w:r>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7" w:history="1">
        <w:r w:rsidR="00ED6E5C">
          <w:rPr>
            <w:rStyle w:val="a9"/>
            <w:rFonts w:ascii="仿宋_GB2312" w:eastAsia="仿宋_GB2312" w:hAnsi="仿宋_GB2312" w:cs="仿宋_GB2312" w:hint="eastAsia"/>
            <w:color w:val="auto"/>
            <w:sz w:val="28"/>
            <w:szCs w:val="28"/>
            <w:u w:color="FFFFFF" w:themeColor="background1"/>
          </w:rPr>
          <w:t>五、一</w:t>
        </w:r>
        <w:r w:rsidR="00ED6E5C">
          <w:rPr>
            <w:rStyle w:val="a9"/>
            <w:rFonts w:ascii="仿宋_GB2312" w:eastAsia="仿宋_GB2312" w:hAnsi="仿宋_GB2312" w:cs="仿宋_GB2312" w:hint="eastAsia"/>
            <w:bCs/>
            <w:color w:val="auto"/>
            <w:sz w:val="28"/>
            <w:szCs w:val="28"/>
            <w:u w:color="FFFFFF" w:themeColor="background1"/>
          </w:rPr>
          <w:t>般公共预算财政拨款支出决算情况说明</w:t>
        </w:r>
        <w:r w:rsidR="00ED6E5C">
          <w:rPr>
            <w:rFonts w:ascii="仿宋_GB2312" w:eastAsia="仿宋_GB2312" w:hAnsi="仿宋_GB2312" w:cs="仿宋_GB2312" w:hint="eastAsia"/>
            <w:sz w:val="28"/>
            <w:szCs w:val="28"/>
            <w:u w:color="FFFFFF" w:themeColor="background1"/>
          </w:rPr>
          <w:tab/>
          <w:t>1</w:t>
        </w:r>
      </w:hyperlink>
      <w:r w:rsidR="00ED6E5C">
        <w:rPr>
          <w:rFonts w:ascii="仿宋_GB2312" w:eastAsia="仿宋_GB2312" w:hAnsi="仿宋_GB2312" w:cs="仿宋_GB2312" w:hint="eastAsia"/>
          <w:sz w:val="28"/>
          <w:szCs w:val="28"/>
          <w:u w:color="FFFFFF" w:themeColor="background1"/>
        </w:rPr>
        <w:t>1</w:t>
      </w:r>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8" w:history="1">
        <w:r w:rsidR="00ED6E5C">
          <w:rPr>
            <w:rStyle w:val="a9"/>
            <w:rFonts w:ascii="仿宋_GB2312" w:eastAsia="仿宋_GB2312" w:hAnsi="仿宋_GB2312" w:cs="仿宋_GB2312" w:hint="eastAsia"/>
            <w:color w:val="auto"/>
            <w:sz w:val="28"/>
            <w:szCs w:val="28"/>
            <w:u w:color="FFFFFF" w:themeColor="background1"/>
          </w:rPr>
          <w:t>六、一</w:t>
        </w:r>
        <w:r w:rsidR="00ED6E5C">
          <w:rPr>
            <w:rStyle w:val="a9"/>
            <w:rFonts w:ascii="仿宋_GB2312" w:eastAsia="仿宋_GB2312" w:hAnsi="仿宋_GB2312" w:cs="仿宋_GB2312" w:hint="eastAsia"/>
            <w:bCs/>
            <w:color w:val="auto"/>
            <w:sz w:val="28"/>
            <w:szCs w:val="28"/>
            <w:u w:color="FFFFFF" w:themeColor="background1"/>
          </w:rPr>
          <w:t>般公共预算财政拨款基本支出决算情况说明</w:t>
        </w:r>
        <w:r w:rsidR="00ED6E5C">
          <w:rPr>
            <w:rFonts w:ascii="仿宋_GB2312" w:eastAsia="仿宋_GB2312" w:hAnsi="仿宋_GB2312" w:cs="仿宋_GB2312" w:hint="eastAsia"/>
            <w:sz w:val="28"/>
            <w:szCs w:val="28"/>
            <w:u w:color="FFFFFF" w:themeColor="background1"/>
          </w:rPr>
          <w:tab/>
          <w:t>1</w:t>
        </w:r>
      </w:hyperlink>
      <w:r w:rsidR="00ED6E5C">
        <w:rPr>
          <w:rFonts w:ascii="仿宋_GB2312" w:eastAsia="仿宋_GB2312" w:hAnsi="仿宋_GB2312" w:cs="仿宋_GB2312" w:hint="eastAsia"/>
          <w:sz w:val="28"/>
          <w:szCs w:val="28"/>
          <w:u w:color="FFFFFF" w:themeColor="background1"/>
        </w:rPr>
        <w:t>4</w:t>
      </w:r>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09" w:history="1">
        <w:r w:rsidR="00ED6E5C">
          <w:rPr>
            <w:rStyle w:val="a9"/>
            <w:rFonts w:ascii="仿宋_GB2312" w:eastAsia="仿宋_GB2312" w:hAnsi="仿宋_GB2312" w:cs="仿宋_GB2312" w:hint="eastAsia"/>
            <w:color w:val="auto"/>
            <w:sz w:val="28"/>
            <w:szCs w:val="28"/>
            <w:u w:color="FFFFFF" w:themeColor="background1"/>
          </w:rPr>
          <w:t>七、“</w:t>
        </w:r>
        <w:r w:rsidR="00ED6E5C">
          <w:rPr>
            <w:rStyle w:val="a9"/>
            <w:rFonts w:ascii="仿宋_GB2312" w:eastAsia="仿宋_GB2312" w:hAnsi="仿宋_GB2312" w:cs="仿宋_GB2312" w:hint="eastAsia"/>
            <w:bCs/>
            <w:color w:val="auto"/>
            <w:sz w:val="28"/>
            <w:szCs w:val="28"/>
            <w:u w:color="FFFFFF" w:themeColor="background1"/>
          </w:rPr>
          <w:t>三公”经费财政拨款支出决算情况说明</w:t>
        </w:r>
        <w:r w:rsidR="00ED6E5C">
          <w:rPr>
            <w:rFonts w:ascii="仿宋_GB2312" w:eastAsia="仿宋_GB2312" w:hAnsi="仿宋_GB2312" w:cs="仿宋_GB2312" w:hint="eastAsia"/>
            <w:sz w:val="28"/>
            <w:szCs w:val="28"/>
            <w:u w:color="FFFFFF" w:themeColor="background1"/>
          </w:rPr>
          <w:tab/>
          <w:t>1</w:t>
        </w:r>
      </w:hyperlink>
      <w:r w:rsidR="00ED6E5C">
        <w:rPr>
          <w:rFonts w:ascii="仿宋_GB2312" w:eastAsia="仿宋_GB2312" w:hAnsi="仿宋_GB2312" w:cs="仿宋_GB2312" w:hint="eastAsia"/>
          <w:sz w:val="28"/>
          <w:szCs w:val="28"/>
          <w:u w:color="FFFFFF" w:themeColor="background1"/>
        </w:rPr>
        <w:t>5</w:t>
      </w:r>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10" w:history="1">
        <w:r w:rsidR="00ED6E5C">
          <w:rPr>
            <w:rStyle w:val="a9"/>
            <w:rFonts w:ascii="仿宋_GB2312" w:eastAsia="仿宋_GB2312" w:hAnsi="仿宋_GB2312" w:cs="仿宋_GB2312" w:hint="eastAsia"/>
            <w:color w:val="auto"/>
            <w:sz w:val="28"/>
            <w:szCs w:val="28"/>
            <w:u w:color="FFFFFF" w:themeColor="background1"/>
          </w:rPr>
          <w:t>八、</w:t>
        </w:r>
        <w:r w:rsidR="00ED6E5C">
          <w:rPr>
            <w:rStyle w:val="a9"/>
            <w:rFonts w:ascii="仿宋_GB2312" w:eastAsia="仿宋_GB2312" w:hAnsi="仿宋_GB2312" w:cs="仿宋_GB2312" w:hint="eastAsia"/>
            <w:bCs/>
            <w:color w:val="auto"/>
            <w:sz w:val="28"/>
            <w:szCs w:val="28"/>
            <w:u w:color="FFFFFF" w:themeColor="background1"/>
          </w:rPr>
          <w:t>政府性基金预算支出决算情况说明</w:t>
        </w:r>
        <w:r w:rsidR="00ED6E5C">
          <w:rPr>
            <w:rFonts w:ascii="仿宋_GB2312" w:eastAsia="仿宋_GB2312" w:hAnsi="仿宋_GB2312" w:cs="仿宋_GB2312" w:hint="eastAsia"/>
            <w:sz w:val="28"/>
            <w:szCs w:val="28"/>
            <w:u w:color="FFFFFF" w:themeColor="background1"/>
          </w:rPr>
          <w:tab/>
        </w:r>
        <w:r w:rsidR="00ED6E5C">
          <w:rPr>
            <w:rFonts w:ascii="仿宋_GB2312" w:eastAsia="仿宋_GB2312" w:hAnsi="仿宋_GB2312" w:cs="仿宋_GB2312" w:hint="eastAsia"/>
            <w:sz w:val="28"/>
            <w:szCs w:val="28"/>
            <w:u w:color="FFFFFF" w:themeColor="background1"/>
          </w:rPr>
          <w:fldChar w:fldCharType="begin"/>
        </w:r>
        <w:r w:rsidR="00ED6E5C">
          <w:rPr>
            <w:rFonts w:ascii="仿宋_GB2312" w:eastAsia="仿宋_GB2312" w:hAnsi="仿宋_GB2312" w:cs="仿宋_GB2312" w:hint="eastAsia"/>
            <w:sz w:val="28"/>
            <w:szCs w:val="28"/>
            <w:u w:color="FFFFFF" w:themeColor="background1"/>
          </w:rPr>
          <w:instrText xml:space="preserve"> PAGEREF _Toc15396610 \h </w:instrText>
        </w:r>
        <w:r w:rsidR="00ED6E5C">
          <w:rPr>
            <w:rFonts w:ascii="仿宋_GB2312" w:eastAsia="仿宋_GB2312" w:hAnsi="仿宋_GB2312" w:cs="仿宋_GB2312" w:hint="eastAsia"/>
            <w:sz w:val="28"/>
            <w:szCs w:val="28"/>
            <w:u w:color="FFFFFF" w:themeColor="background1"/>
          </w:rPr>
        </w:r>
        <w:r w:rsidR="00ED6E5C">
          <w:rPr>
            <w:rFonts w:ascii="仿宋_GB2312" w:eastAsia="仿宋_GB2312" w:hAnsi="仿宋_GB2312" w:cs="仿宋_GB2312" w:hint="eastAsia"/>
            <w:sz w:val="28"/>
            <w:szCs w:val="28"/>
            <w:u w:color="FFFFFF" w:themeColor="background1"/>
          </w:rPr>
          <w:fldChar w:fldCharType="separate"/>
        </w:r>
        <w:r w:rsidR="00ED6E5C">
          <w:rPr>
            <w:rFonts w:ascii="仿宋_GB2312" w:eastAsia="仿宋_GB2312" w:hAnsi="仿宋_GB2312" w:cs="仿宋_GB2312" w:hint="eastAsia"/>
            <w:sz w:val="28"/>
            <w:szCs w:val="28"/>
            <w:u w:color="FFFFFF" w:themeColor="background1"/>
          </w:rPr>
          <w:t>19</w:t>
        </w:r>
        <w:r w:rsidR="00ED6E5C">
          <w:rPr>
            <w:rFonts w:ascii="仿宋_GB2312" w:eastAsia="仿宋_GB2312" w:hAnsi="仿宋_GB2312" w:cs="仿宋_GB2312" w:hint="eastAsia"/>
            <w:sz w:val="28"/>
            <w:szCs w:val="28"/>
            <w:u w:color="FFFFFF" w:themeColor="background1"/>
          </w:rPr>
          <w:fldChar w:fldCharType="end"/>
        </w:r>
      </w:hyperlink>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11" w:history="1">
        <w:r w:rsidR="00ED6E5C">
          <w:rPr>
            <w:rStyle w:val="a9"/>
            <w:rFonts w:ascii="仿宋_GB2312" w:eastAsia="仿宋_GB2312" w:hAnsi="仿宋_GB2312" w:cs="仿宋_GB2312" w:hint="eastAsia"/>
            <w:bCs/>
            <w:color w:val="auto"/>
            <w:sz w:val="28"/>
            <w:szCs w:val="28"/>
            <w:u w:color="FFFFFF" w:themeColor="background1"/>
          </w:rPr>
          <w:t>九、</w:t>
        </w:r>
        <w:r w:rsidR="00ED6E5C">
          <w:rPr>
            <w:rStyle w:val="a9"/>
            <w:rFonts w:ascii="仿宋_GB2312" w:eastAsia="仿宋_GB2312" w:hAnsi="仿宋_GB2312" w:cs="仿宋_GB2312" w:hint="eastAsia"/>
            <w:color w:val="auto"/>
            <w:sz w:val="28"/>
            <w:szCs w:val="28"/>
            <w:u w:color="FFFFFF" w:themeColor="background1"/>
          </w:rPr>
          <w:t xml:space="preserve"> 国</w:t>
        </w:r>
        <w:r w:rsidR="00ED6E5C">
          <w:rPr>
            <w:rStyle w:val="a9"/>
            <w:rFonts w:ascii="仿宋_GB2312" w:eastAsia="仿宋_GB2312" w:hAnsi="仿宋_GB2312" w:cs="仿宋_GB2312" w:hint="eastAsia"/>
            <w:bCs/>
            <w:color w:val="auto"/>
            <w:sz w:val="28"/>
            <w:szCs w:val="28"/>
            <w:u w:color="FFFFFF" w:themeColor="background1"/>
          </w:rPr>
          <w:t>有资本经营预算支出决算情况说明</w:t>
        </w:r>
        <w:r w:rsidR="00ED6E5C">
          <w:rPr>
            <w:rFonts w:ascii="仿宋_GB2312" w:eastAsia="仿宋_GB2312" w:hAnsi="仿宋_GB2312" w:cs="仿宋_GB2312" w:hint="eastAsia"/>
            <w:sz w:val="28"/>
            <w:szCs w:val="28"/>
            <w:u w:color="FFFFFF" w:themeColor="background1"/>
          </w:rPr>
          <w:tab/>
          <w:t>2</w:t>
        </w:r>
      </w:hyperlink>
      <w:r w:rsidR="00ED6E5C">
        <w:rPr>
          <w:rFonts w:ascii="仿宋_GB2312" w:eastAsia="仿宋_GB2312" w:hAnsi="仿宋_GB2312" w:cs="仿宋_GB2312" w:hint="eastAsia"/>
          <w:sz w:val="28"/>
          <w:szCs w:val="28"/>
          <w:u w:color="FFFFFF" w:themeColor="background1"/>
        </w:rPr>
        <w:t>0</w:t>
      </w:r>
    </w:p>
    <w:p w:rsidR="009971F6" w:rsidRDefault="00FE640E">
      <w:pPr>
        <w:pStyle w:val="20"/>
        <w:spacing w:line="640" w:lineRule="exact"/>
      </w:pPr>
      <w:hyperlink w:anchor="_Toc15396611" w:history="1">
        <w:r w:rsidR="00ED6E5C">
          <w:rPr>
            <w:rFonts w:ascii="仿宋_GB2312" w:eastAsia="仿宋_GB2312" w:hAnsi="仿宋_GB2312" w:cs="仿宋_GB2312" w:hint="eastAsia"/>
            <w:sz w:val="28"/>
            <w:szCs w:val="28"/>
            <w:u w:color="FFFFFF" w:themeColor="background1"/>
          </w:rPr>
          <w:t>十</w:t>
        </w:r>
        <w:r w:rsidR="00ED6E5C">
          <w:rPr>
            <w:rStyle w:val="a9"/>
            <w:rFonts w:ascii="仿宋_GB2312" w:eastAsia="仿宋_GB2312" w:hAnsi="仿宋_GB2312" w:cs="仿宋_GB2312" w:hint="eastAsia"/>
            <w:bCs/>
            <w:color w:val="auto"/>
            <w:sz w:val="28"/>
            <w:szCs w:val="28"/>
            <w:u w:color="FFFFFF" w:themeColor="background1"/>
          </w:rPr>
          <w:t>、</w:t>
        </w:r>
        <w:r w:rsidR="00ED6E5C">
          <w:rPr>
            <w:rStyle w:val="a9"/>
            <w:rFonts w:ascii="仿宋_GB2312" w:eastAsia="仿宋_GB2312" w:hAnsi="仿宋_GB2312" w:cs="仿宋_GB2312" w:hint="eastAsia"/>
            <w:color w:val="auto"/>
            <w:sz w:val="28"/>
            <w:szCs w:val="28"/>
            <w:u w:color="FFFFFF" w:themeColor="background1"/>
          </w:rPr>
          <w:t xml:space="preserve"> 预算绩效</w:t>
        </w:r>
        <w:r w:rsidR="00ED6E5C">
          <w:rPr>
            <w:rStyle w:val="a9"/>
            <w:rFonts w:ascii="仿宋_GB2312" w:eastAsia="仿宋_GB2312" w:hAnsi="仿宋_GB2312" w:cs="仿宋_GB2312" w:hint="eastAsia"/>
            <w:bCs/>
            <w:color w:val="auto"/>
            <w:sz w:val="28"/>
            <w:szCs w:val="28"/>
            <w:u w:color="FFFFFF" w:themeColor="background1"/>
          </w:rPr>
          <w:t>情况说明</w:t>
        </w:r>
        <w:r w:rsidR="00ED6E5C">
          <w:rPr>
            <w:rFonts w:ascii="仿宋_GB2312" w:eastAsia="仿宋_GB2312" w:hAnsi="仿宋_GB2312" w:cs="仿宋_GB2312" w:hint="eastAsia"/>
            <w:sz w:val="28"/>
            <w:szCs w:val="28"/>
            <w:u w:color="FFFFFF" w:themeColor="background1"/>
          </w:rPr>
          <w:tab/>
          <w:t>2</w:t>
        </w:r>
      </w:hyperlink>
      <w:r w:rsidR="00ED6E5C">
        <w:rPr>
          <w:rFonts w:ascii="仿宋_GB2312" w:eastAsia="仿宋_GB2312" w:hAnsi="仿宋_GB2312" w:cs="仿宋_GB2312" w:hint="eastAsia"/>
          <w:sz w:val="28"/>
          <w:szCs w:val="28"/>
          <w:u w:color="FFFFFF" w:themeColor="background1"/>
        </w:rPr>
        <w:t>0</w:t>
      </w:r>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12" w:history="1">
        <w:r w:rsidR="00ED6E5C">
          <w:rPr>
            <w:rStyle w:val="a9"/>
            <w:rFonts w:ascii="仿宋_GB2312" w:eastAsia="仿宋_GB2312" w:hAnsi="仿宋_GB2312" w:cs="仿宋_GB2312" w:hint="eastAsia"/>
            <w:color w:val="auto"/>
            <w:sz w:val="28"/>
            <w:szCs w:val="28"/>
            <w:u w:color="FFFFFF" w:themeColor="background1"/>
          </w:rPr>
          <w:t>十</w:t>
        </w:r>
        <w:r w:rsidR="00ED6E5C">
          <w:rPr>
            <w:rStyle w:val="a9"/>
            <w:rFonts w:ascii="仿宋_GB2312" w:eastAsia="仿宋_GB2312" w:hAnsi="仿宋_GB2312" w:cs="仿宋_GB2312" w:hint="eastAsia"/>
            <w:bCs/>
            <w:color w:val="auto"/>
            <w:sz w:val="28"/>
            <w:szCs w:val="28"/>
            <w:u w:color="FFFFFF" w:themeColor="background1"/>
          </w:rPr>
          <w:t>一、其他重要事项的情况说明</w:t>
        </w:r>
        <w:r w:rsidR="00ED6E5C">
          <w:rPr>
            <w:rFonts w:ascii="仿宋_GB2312" w:eastAsia="仿宋_GB2312" w:hAnsi="仿宋_GB2312" w:cs="仿宋_GB2312" w:hint="eastAsia"/>
            <w:sz w:val="28"/>
            <w:szCs w:val="28"/>
            <w:u w:color="FFFFFF" w:themeColor="background1"/>
          </w:rPr>
          <w:tab/>
        </w:r>
        <w:r w:rsidR="00ED6E5C">
          <w:rPr>
            <w:rFonts w:ascii="仿宋_GB2312" w:eastAsia="仿宋_GB2312" w:hAnsi="仿宋_GB2312" w:cs="仿宋_GB2312" w:hint="eastAsia"/>
            <w:sz w:val="28"/>
            <w:szCs w:val="28"/>
            <w:u w:color="FFFFFF" w:themeColor="background1"/>
          </w:rPr>
          <w:fldChar w:fldCharType="begin"/>
        </w:r>
        <w:r w:rsidR="00ED6E5C">
          <w:rPr>
            <w:rFonts w:ascii="仿宋_GB2312" w:eastAsia="仿宋_GB2312" w:hAnsi="仿宋_GB2312" w:cs="仿宋_GB2312" w:hint="eastAsia"/>
            <w:sz w:val="28"/>
            <w:szCs w:val="28"/>
            <w:u w:color="FFFFFF" w:themeColor="background1"/>
          </w:rPr>
          <w:instrText xml:space="preserve"> PAGEREF _Toc15396612 \h </w:instrText>
        </w:r>
        <w:r w:rsidR="00ED6E5C">
          <w:rPr>
            <w:rFonts w:ascii="仿宋_GB2312" w:eastAsia="仿宋_GB2312" w:hAnsi="仿宋_GB2312" w:cs="仿宋_GB2312" w:hint="eastAsia"/>
            <w:sz w:val="28"/>
            <w:szCs w:val="28"/>
            <w:u w:color="FFFFFF" w:themeColor="background1"/>
          </w:rPr>
        </w:r>
        <w:r w:rsidR="00ED6E5C">
          <w:rPr>
            <w:rFonts w:ascii="仿宋_GB2312" w:eastAsia="仿宋_GB2312" w:hAnsi="仿宋_GB2312" w:cs="仿宋_GB2312" w:hint="eastAsia"/>
            <w:sz w:val="28"/>
            <w:szCs w:val="28"/>
            <w:u w:color="FFFFFF" w:themeColor="background1"/>
          </w:rPr>
          <w:fldChar w:fldCharType="separate"/>
        </w:r>
        <w:r w:rsidR="00ED6E5C">
          <w:rPr>
            <w:rFonts w:ascii="仿宋_GB2312" w:eastAsia="仿宋_GB2312" w:hAnsi="仿宋_GB2312" w:cs="仿宋_GB2312" w:hint="eastAsia"/>
            <w:sz w:val="28"/>
            <w:szCs w:val="28"/>
            <w:u w:color="FFFFFF" w:themeColor="background1"/>
          </w:rPr>
          <w:t>34</w:t>
        </w:r>
        <w:r w:rsidR="00ED6E5C">
          <w:rPr>
            <w:rFonts w:ascii="仿宋_GB2312" w:eastAsia="仿宋_GB2312" w:hAnsi="仿宋_GB2312" w:cs="仿宋_GB2312" w:hint="eastAsia"/>
            <w:sz w:val="28"/>
            <w:szCs w:val="28"/>
            <w:u w:color="FFFFFF" w:themeColor="background1"/>
          </w:rPr>
          <w:fldChar w:fldCharType="end"/>
        </w:r>
      </w:hyperlink>
    </w:p>
    <w:p w:rsidR="009971F6" w:rsidRDefault="00FE640E">
      <w:pPr>
        <w:pStyle w:val="10"/>
        <w:spacing w:line="640" w:lineRule="exact"/>
        <w:rPr>
          <w:rFonts w:ascii="仿宋_GB2312" w:eastAsia="仿宋_GB2312" w:hAnsi="仿宋_GB2312" w:cs="仿宋_GB2312"/>
          <w:u w:color="FFFFFF" w:themeColor="background1"/>
        </w:rPr>
      </w:pPr>
      <w:hyperlink w:anchor="_Toc15396613" w:history="1">
        <w:r w:rsidR="00ED6E5C">
          <w:rPr>
            <w:rStyle w:val="a9"/>
            <w:rFonts w:ascii="仿宋_GB2312" w:eastAsia="仿宋_GB2312" w:hAnsi="仿宋_GB2312" w:cs="仿宋_GB2312" w:hint="eastAsia"/>
            <w:bCs/>
            <w:color w:val="auto"/>
            <w:kern w:val="44"/>
            <w:u w:color="FFFFFF" w:themeColor="background1"/>
          </w:rPr>
          <w:t>第三部分</w:t>
        </w:r>
        <w:r w:rsidR="00ED6E5C">
          <w:rPr>
            <w:rStyle w:val="a9"/>
            <w:rFonts w:ascii="仿宋_GB2312" w:eastAsia="仿宋_GB2312" w:hAnsi="仿宋_GB2312" w:cs="仿宋_GB2312" w:hint="eastAsia"/>
            <w:color w:val="auto"/>
            <w:u w:color="FFFFFF" w:themeColor="background1"/>
          </w:rPr>
          <w:t xml:space="preserve"> 名</w:t>
        </w:r>
        <w:r w:rsidR="00ED6E5C">
          <w:rPr>
            <w:rStyle w:val="a9"/>
            <w:rFonts w:ascii="仿宋_GB2312" w:eastAsia="仿宋_GB2312" w:hAnsi="仿宋_GB2312" w:cs="仿宋_GB2312" w:hint="eastAsia"/>
            <w:bCs/>
            <w:color w:val="auto"/>
            <w:kern w:val="44"/>
            <w:u w:color="FFFFFF" w:themeColor="background1"/>
          </w:rPr>
          <w:t>词解释</w:t>
        </w:r>
        <w:r w:rsidR="00ED6E5C">
          <w:rPr>
            <w:rFonts w:ascii="仿宋_GB2312" w:eastAsia="仿宋_GB2312" w:hAnsi="仿宋_GB2312" w:cs="仿宋_GB2312" w:hint="eastAsia"/>
            <w:u w:color="FFFFFF" w:themeColor="background1"/>
          </w:rPr>
          <w:tab/>
          <w:t>3</w:t>
        </w:r>
      </w:hyperlink>
      <w:r w:rsidR="00ED6E5C">
        <w:rPr>
          <w:rFonts w:ascii="仿宋_GB2312" w:eastAsia="仿宋_GB2312" w:hAnsi="仿宋_GB2312" w:cs="仿宋_GB2312" w:hint="eastAsia"/>
          <w:u w:color="FFFFFF" w:themeColor="background1"/>
        </w:rPr>
        <w:t>7</w:t>
      </w:r>
    </w:p>
    <w:p w:rsidR="009971F6" w:rsidRDefault="00FE640E">
      <w:pPr>
        <w:pStyle w:val="10"/>
        <w:spacing w:line="640" w:lineRule="exact"/>
        <w:rPr>
          <w:rFonts w:ascii="仿宋_GB2312" w:eastAsia="仿宋_GB2312" w:hAnsi="仿宋_GB2312" w:cs="仿宋_GB2312"/>
          <w:u w:color="FFFFFF" w:themeColor="background1"/>
        </w:rPr>
      </w:pPr>
      <w:hyperlink w:anchor="_Toc15396614" w:history="1">
        <w:r w:rsidR="00ED6E5C">
          <w:rPr>
            <w:rStyle w:val="a9"/>
            <w:rFonts w:ascii="仿宋_GB2312" w:eastAsia="仿宋_GB2312" w:hAnsi="仿宋_GB2312" w:cs="仿宋_GB2312" w:hint="eastAsia"/>
            <w:color w:val="auto"/>
            <w:u w:color="FFFFFF" w:themeColor="background1"/>
          </w:rPr>
          <w:t>第</w:t>
        </w:r>
        <w:r w:rsidR="00ED6E5C">
          <w:rPr>
            <w:rStyle w:val="a9"/>
            <w:rFonts w:ascii="仿宋_GB2312" w:eastAsia="仿宋_GB2312" w:hAnsi="仿宋_GB2312" w:cs="仿宋_GB2312" w:hint="eastAsia"/>
            <w:bCs/>
            <w:color w:val="auto"/>
            <w:kern w:val="44"/>
            <w:u w:color="FFFFFF" w:themeColor="background1"/>
          </w:rPr>
          <w:t>四部分 附件</w:t>
        </w:r>
        <w:r w:rsidR="00ED6E5C">
          <w:rPr>
            <w:rFonts w:ascii="仿宋_GB2312" w:eastAsia="仿宋_GB2312" w:hAnsi="仿宋_GB2312" w:cs="仿宋_GB2312" w:hint="eastAsia"/>
            <w:u w:color="FFFFFF" w:themeColor="background1"/>
          </w:rPr>
          <w:tab/>
          <w:t>4</w:t>
        </w:r>
      </w:hyperlink>
      <w:r w:rsidR="00ED6E5C">
        <w:rPr>
          <w:rFonts w:ascii="仿宋_GB2312" w:eastAsia="仿宋_GB2312" w:hAnsi="仿宋_GB2312" w:cs="仿宋_GB2312" w:hint="eastAsia"/>
          <w:u w:color="FFFFFF" w:themeColor="background1"/>
        </w:rPr>
        <w:t>0</w:t>
      </w:r>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15" w:history="1">
        <w:r w:rsidR="00ED6E5C">
          <w:rPr>
            <w:rStyle w:val="a9"/>
            <w:rFonts w:ascii="仿宋_GB2312" w:eastAsia="仿宋_GB2312" w:hAnsi="仿宋_GB2312" w:cs="仿宋_GB2312" w:hint="eastAsia"/>
            <w:color w:val="auto"/>
            <w:kern w:val="44"/>
            <w:sz w:val="28"/>
            <w:szCs w:val="28"/>
            <w:u w:color="FFFFFF" w:themeColor="background1"/>
          </w:rPr>
          <w:t>附件1</w:t>
        </w:r>
        <w:r w:rsidR="00ED6E5C">
          <w:rPr>
            <w:rFonts w:ascii="仿宋_GB2312" w:eastAsia="仿宋_GB2312" w:hAnsi="仿宋_GB2312" w:cs="仿宋_GB2312" w:hint="eastAsia"/>
            <w:sz w:val="28"/>
            <w:szCs w:val="28"/>
            <w:u w:color="FFFFFF" w:themeColor="background1"/>
          </w:rPr>
          <w:tab/>
          <w:t>4</w:t>
        </w:r>
      </w:hyperlink>
      <w:r w:rsidR="00ED6E5C">
        <w:rPr>
          <w:rFonts w:ascii="仿宋_GB2312" w:eastAsia="仿宋_GB2312" w:hAnsi="仿宋_GB2312" w:cs="仿宋_GB2312" w:hint="eastAsia"/>
          <w:sz w:val="28"/>
          <w:szCs w:val="28"/>
          <w:u w:color="FFFFFF" w:themeColor="background1"/>
        </w:rPr>
        <w:t>0</w:t>
      </w:r>
    </w:p>
    <w:p w:rsidR="009971F6" w:rsidRDefault="00FE640E">
      <w:pPr>
        <w:pStyle w:val="20"/>
        <w:spacing w:line="640" w:lineRule="exact"/>
        <w:rPr>
          <w:rFonts w:ascii="仿宋_GB2312" w:eastAsia="仿宋_GB2312" w:hAnsi="仿宋_GB2312" w:cs="仿宋_GB2312"/>
          <w:sz w:val="28"/>
          <w:szCs w:val="28"/>
          <w:u w:color="FFFFFF" w:themeColor="background1"/>
        </w:rPr>
      </w:pPr>
      <w:hyperlink w:anchor="_Toc15396617" w:history="1">
        <w:r w:rsidR="00ED6E5C">
          <w:rPr>
            <w:rStyle w:val="a9"/>
            <w:rFonts w:ascii="仿宋_GB2312" w:eastAsia="仿宋_GB2312" w:hAnsi="仿宋_GB2312" w:cs="仿宋_GB2312" w:hint="eastAsia"/>
            <w:color w:val="auto"/>
            <w:kern w:val="44"/>
            <w:sz w:val="28"/>
            <w:szCs w:val="28"/>
            <w:u w:color="FFFFFF" w:themeColor="background1"/>
          </w:rPr>
          <w:t>附件2</w:t>
        </w:r>
        <w:r w:rsidR="00ED6E5C">
          <w:rPr>
            <w:rFonts w:ascii="仿宋_GB2312" w:eastAsia="仿宋_GB2312" w:hAnsi="仿宋_GB2312" w:cs="仿宋_GB2312" w:hint="eastAsia"/>
            <w:sz w:val="28"/>
            <w:szCs w:val="28"/>
            <w:u w:color="FFFFFF" w:themeColor="background1"/>
          </w:rPr>
          <w:tab/>
          <w:t>5</w:t>
        </w:r>
      </w:hyperlink>
      <w:r w:rsidR="00ED6E5C">
        <w:rPr>
          <w:rFonts w:ascii="仿宋_GB2312" w:eastAsia="仿宋_GB2312" w:hAnsi="仿宋_GB2312" w:cs="仿宋_GB2312" w:hint="eastAsia"/>
          <w:sz w:val="28"/>
          <w:szCs w:val="28"/>
          <w:u w:color="FFFFFF" w:themeColor="background1"/>
        </w:rPr>
        <w:t>1</w:t>
      </w:r>
    </w:p>
    <w:p w:rsidR="009971F6" w:rsidRDefault="00FE640E">
      <w:pPr>
        <w:pStyle w:val="10"/>
        <w:spacing w:line="640" w:lineRule="exact"/>
        <w:rPr>
          <w:rFonts w:ascii="仿宋_GB2312" w:eastAsia="仿宋_GB2312" w:hAnsi="仿宋_GB2312" w:cs="仿宋_GB2312"/>
          <w:u w:color="FFFFFF" w:themeColor="background1"/>
        </w:rPr>
      </w:pPr>
      <w:hyperlink w:anchor="_Toc15396618" w:history="1">
        <w:r w:rsidR="00ED6E5C">
          <w:rPr>
            <w:rStyle w:val="a9"/>
            <w:rFonts w:ascii="仿宋_GB2312" w:eastAsia="仿宋_GB2312" w:hAnsi="仿宋_GB2312" w:cs="仿宋_GB2312" w:hint="eastAsia"/>
            <w:color w:val="auto"/>
            <w:u w:color="FFFFFF" w:themeColor="background1"/>
          </w:rPr>
          <w:t>第</w:t>
        </w:r>
        <w:r w:rsidR="00ED6E5C">
          <w:rPr>
            <w:rStyle w:val="a9"/>
            <w:rFonts w:ascii="仿宋_GB2312" w:eastAsia="仿宋_GB2312" w:hAnsi="仿宋_GB2312" w:cs="仿宋_GB2312" w:hint="eastAsia"/>
            <w:bCs/>
            <w:color w:val="auto"/>
            <w:kern w:val="44"/>
            <w:u w:color="FFFFFF" w:themeColor="background1"/>
          </w:rPr>
          <w:t>五部分 附表</w:t>
        </w:r>
        <w:r w:rsidR="00ED6E5C">
          <w:rPr>
            <w:rFonts w:ascii="仿宋_GB2312" w:eastAsia="仿宋_GB2312" w:hAnsi="仿宋_GB2312" w:cs="仿宋_GB2312" w:hint="eastAsia"/>
            <w:u w:color="FFFFFF" w:themeColor="background1"/>
          </w:rPr>
          <w:tab/>
          <w:t>7</w:t>
        </w:r>
      </w:hyperlink>
      <w:r w:rsidR="00ED6E5C">
        <w:rPr>
          <w:rFonts w:ascii="仿宋_GB2312" w:eastAsia="仿宋_GB2312" w:hAnsi="仿宋_GB2312" w:cs="仿宋_GB2312" w:hint="eastAsia"/>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一、</w:t>
      </w:r>
      <w:hyperlink w:anchor="_Toc15396619" w:history="1">
        <w:r>
          <w:rPr>
            <w:rStyle w:val="a9"/>
            <w:rFonts w:ascii="仿宋_GB2312" w:eastAsia="仿宋_GB2312" w:hAnsi="仿宋_GB2312" w:cs="仿宋_GB2312" w:hint="eastAsia"/>
            <w:color w:val="auto"/>
            <w:sz w:val="28"/>
            <w:szCs w:val="28"/>
            <w:u w:color="FFFFFF" w:themeColor="background1"/>
          </w:rPr>
          <w:t>收入支出决算总表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二、</w:t>
      </w:r>
      <w:hyperlink w:anchor="_Toc15396620" w:history="1">
        <w:r>
          <w:rPr>
            <w:rStyle w:val="a9"/>
            <w:rFonts w:ascii="仿宋_GB2312" w:eastAsia="仿宋_GB2312" w:hAnsi="仿宋_GB2312" w:cs="仿宋_GB2312" w:hint="eastAsia"/>
            <w:color w:val="auto"/>
            <w:sz w:val="28"/>
            <w:szCs w:val="28"/>
            <w:u w:color="FFFFFF" w:themeColor="background1"/>
          </w:rPr>
          <w:t>收入总表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三、</w:t>
      </w:r>
      <w:hyperlink w:anchor="_Toc15396621" w:history="1">
        <w:r>
          <w:rPr>
            <w:rStyle w:val="a9"/>
            <w:rFonts w:ascii="仿宋_GB2312" w:eastAsia="仿宋_GB2312" w:hAnsi="仿宋_GB2312" w:cs="仿宋_GB2312" w:hint="eastAsia"/>
            <w:color w:val="auto"/>
            <w:sz w:val="28"/>
            <w:szCs w:val="28"/>
            <w:u w:color="FFFFFF" w:themeColor="background1"/>
          </w:rPr>
          <w:t>支出总表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四、</w:t>
      </w:r>
      <w:hyperlink w:anchor="_Toc15396622" w:history="1">
        <w:r>
          <w:rPr>
            <w:rStyle w:val="a9"/>
            <w:rFonts w:ascii="仿宋_GB2312" w:eastAsia="仿宋_GB2312" w:hAnsi="仿宋_GB2312" w:cs="仿宋_GB2312" w:hint="eastAsia"/>
            <w:color w:val="auto"/>
            <w:sz w:val="28"/>
            <w:szCs w:val="28"/>
            <w:u w:color="FFFFFF" w:themeColor="background1"/>
          </w:rPr>
          <w:t>财政拨款收入支出决算总表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五、</w:t>
      </w:r>
      <w:hyperlink w:anchor="_Toc15396623" w:history="1">
        <w:r>
          <w:rPr>
            <w:rFonts w:ascii="仿宋_GB2312" w:eastAsia="仿宋_GB2312" w:hAnsi="仿宋_GB2312" w:cs="仿宋_GB2312" w:hint="eastAsia"/>
            <w:sz w:val="28"/>
            <w:szCs w:val="28"/>
            <w:u w:color="FFFFFF" w:themeColor="background1"/>
          </w:rPr>
          <w:t>财政拨款支出决算明细表（政府经济分类科目）</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六、</w:t>
      </w:r>
      <w:hyperlink w:anchor="_Toc15396624" w:history="1">
        <w:r>
          <w:rPr>
            <w:rStyle w:val="a9"/>
            <w:rFonts w:ascii="仿宋_GB2312" w:eastAsia="仿宋_GB2312" w:hAnsi="仿宋_GB2312" w:cs="仿宋_GB2312" w:hint="eastAsia"/>
            <w:color w:val="auto"/>
            <w:sz w:val="28"/>
            <w:szCs w:val="28"/>
            <w:u w:color="FFFFFF" w:themeColor="background1"/>
          </w:rPr>
          <w:t>一般公共预算财政拨款支出决算表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七、</w:t>
      </w:r>
      <w:hyperlink w:anchor="_Toc15396625" w:history="1">
        <w:r>
          <w:rPr>
            <w:rStyle w:val="a9"/>
            <w:rFonts w:ascii="仿宋_GB2312" w:eastAsia="仿宋_GB2312" w:hAnsi="仿宋_GB2312" w:cs="仿宋_GB2312" w:hint="eastAsia"/>
            <w:color w:val="auto"/>
            <w:sz w:val="28"/>
            <w:szCs w:val="28"/>
            <w:u w:color="FFFFFF" w:themeColor="background1"/>
          </w:rPr>
          <w:t>一般公共预算财政拨款支出决算明细表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八、</w:t>
      </w:r>
      <w:hyperlink w:anchor="_Toc15396626" w:history="1">
        <w:r>
          <w:rPr>
            <w:rStyle w:val="a9"/>
            <w:rFonts w:ascii="仿宋_GB2312" w:eastAsia="仿宋_GB2312" w:hAnsi="仿宋_GB2312" w:cs="仿宋_GB2312" w:hint="eastAsia"/>
            <w:color w:val="auto"/>
            <w:sz w:val="28"/>
            <w:szCs w:val="28"/>
            <w:u w:color="FFFFFF" w:themeColor="background1"/>
          </w:rPr>
          <w:t>一般公共预算财政拨款基本支出决算表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九、</w:t>
      </w:r>
      <w:hyperlink w:anchor="_Toc15396627" w:history="1">
        <w:r>
          <w:rPr>
            <w:rStyle w:val="a9"/>
            <w:rFonts w:ascii="仿宋_GB2312" w:eastAsia="仿宋_GB2312" w:hAnsi="仿宋_GB2312" w:cs="仿宋_GB2312" w:hint="eastAsia"/>
            <w:color w:val="auto"/>
            <w:sz w:val="28"/>
            <w:szCs w:val="28"/>
            <w:u w:color="FFFFFF" w:themeColor="background1"/>
          </w:rPr>
          <w:t>一般公共预算财政拨款项目支出决算表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十、</w:t>
      </w:r>
      <w:hyperlink w:anchor="_Toc15396628" w:history="1">
        <w:r>
          <w:rPr>
            <w:rStyle w:val="a9"/>
            <w:rFonts w:ascii="仿宋_GB2312" w:eastAsia="仿宋_GB2312" w:hAnsi="仿宋_GB2312" w:cs="仿宋_GB2312" w:hint="eastAsia"/>
            <w:color w:val="auto"/>
            <w:sz w:val="28"/>
            <w:szCs w:val="28"/>
            <w:u w:color="FFFFFF" w:themeColor="background1"/>
          </w:rPr>
          <w:t>一般公共预算财政拨款“三公”经费支出决算表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十一、</w:t>
      </w:r>
      <w:hyperlink w:anchor="_Toc15396629" w:history="1">
        <w:r>
          <w:rPr>
            <w:rStyle w:val="a9"/>
            <w:rFonts w:ascii="仿宋_GB2312" w:eastAsia="仿宋_GB2312" w:hAnsi="仿宋_GB2312" w:cs="仿宋_GB2312" w:hint="eastAsia"/>
            <w:color w:val="auto"/>
            <w:sz w:val="28"/>
            <w:szCs w:val="28"/>
            <w:u w:color="FFFFFF" w:themeColor="background1"/>
          </w:rPr>
          <w:t>政府性基金预算财政拨款收入支出决算表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_GB2312" w:eastAsia="仿宋_GB2312" w:hAnsi="仿宋_GB2312" w:cs="仿宋_GB2312"/>
          <w:sz w:val="28"/>
          <w:szCs w:val="28"/>
          <w:u w:color="FFFFFF" w:themeColor="background1"/>
        </w:rPr>
      </w:pPr>
      <w:r>
        <w:rPr>
          <w:rFonts w:ascii="仿宋_GB2312" w:eastAsia="仿宋_GB2312" w:hAnsi="仿宋_GB2312" w:cs="仿宋_GB2312" w:hint="eastAsia"/>
          <w:sz w:val="28"/>
          <w:szCs w:val="28"/>
          <w:u w:color="FFFFFF" w:themeColor="background1"/>
        </w:rPr>
        <w:t>十二、</w:t>
      </w:r>
      <w:hyperlink w:anchor="_Toc15396630" w:history="1">
        <w:r>
          <w:rPr>
            <w:rStyle w:val="a9"/>
            <w:rFonts w:ascii="仿宋_GB2312" w:eastAsia="仿宋_GB2312" w:hAnsi="仿宋_GB2312" w:cs="仿宋_GB2312" w:hint="eastAsia"/>
            <w:color w:val="auto"/>
            <w:sz w:val="28"/>
            <w:szCs w:val="28"/>
            <w:u w:color="FFFFFF" w:themeColor="background1"/>
          </w:rPr>
          <w:t>政府性基金预算财政拨款“三公”经费支出决算表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pStyle w:val="20"/>
        <w:spacing w:line="640" w:lineRule="exact"/>
        <w:rPr>
          <w:rFonts w:ascii="仿宋" w:eastAsia="仿宋_GB2312" w:hAnsi="仿宋" w:cstheme="minorBidi"/>
          <w:sz w:val="24"/>
        </w:rPr>
      </w:pPr>
      <w:r>
        <w:rPr>
          <w:rFonts w:ascii="仿宋_GB2312" w:eastAsia="仿宋_GB2312" w:hAnsi="仿宋_GB2312" w:cs="仿宋_GB2312" w:hint="eastAsia"/>
          <w:sz w:val="28"/>
          <w:szCs w:val="28"/>
          <w:u w:color="FFFFFF" w:themeColor="background1"/>
        </w:rPr>
        <w:t>十三、</w:t>
      </w:r>
      <w:hyperlink w:anchor="_Toc15396631" w:history="1">
        <w:r>
          <w:rPr>
            <w:rStyle w:val="a9"/>
            <w:rFonts w:ascii="仿宋_GB2312" w:eastAsia="仿宋_GB2312" w:hAnsi="仿宋_GB2312" w:cs="仿宋_GB2312" w:hint="eastAsia"/>
            <w:color w:val="auto"/>
            <w:sz w:val="28"/>
            <w:szCs w:val="28"/>
            <w:u w:color="FFFFFF" w:themeColor="background1"/>
          </w:rPr>
          <w:t>国有资本经营预算支出决算表</w:t>
        </w:r>
        <w:r>
          <w:rPr>
            <w:rFonts w:ascii="仿宋_GB2312" w:eastAsia="仿宋_GB2312" w:hAnsi="仿宋_GB2312" w:cs="仿宋_GB2312" w:hint="eastAsia"/>
            <w:sz w:val="28"/>
            <w:szCs w:val="28"/>
            <w:u w:color="FFFFFF" w:themeColor="background1"/>
          </w:rPr>
          <w:tab/>
          <w:t>7</w:t>
        </w:r>
      </w:hyperlink>
      <w:r>
        <w:rPr>
          <w:rFonts w:ascii="仿宋_GB2312" w:eastAsia="仿宋_GB2312" w:hAnsi="仿宋_GB2312" w:cs="仿宋_GB2312" w:hint="eastAsia"/>
          <w:sz w:val="28"/>
          <w:szCs w:val="28"/>
          <w:u w:color="FFFFFF" w:themeColor="background1"/>
        </w:rPr>
        <w:t>4</w:t>
      </w:r>
    </w:p>
    <w:p w:rsidR="009971F6" w:rsidRDefault="00ED6E5C">
      <w:pPr>
        <w:widowControl/>
        <w:jc w:val="left"/>
        <w:rPr>
          <w:rFonts w:ascii="黑体" w:eastAsia="黑体" w:hAnsi="黑体"/>
          <w:bCs/>
          <w:kern w:val="44"/>
          <w:sz w:val="44"/>
          <w:szCs w:val="44"/>
        </w:rPr>
      </w:pPr>
      <w:r>
        <w:rPr>
          <w:rFonts w:ascii="黑体" w:eastAsia="黑体" w:hAnsi="黑体"/>
          <w:b/>
        </w:rPr>
        <w:br w:type="page"/>
      </w:r>
    </w:p>
    <w:p w:rsidR="009971F6" w:rsidRDefault="00ED6E5C">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9971F6" w:rsidRDefault="00ED6E5C">
      <w:pPr>
        <w:pStyle w:val="2"/>
        <w:rPr>
          <w:rStyle w:val="2Char"/>
          <w:rFonts w:ascii="仿宋" w:eastAsia="仿宋" w:hAnsi="仿宋"/>
        </w:rPr>
      </w:pPr>
      <w:bookmarkStart w:id="14" w:name="_Toc15377197"/>
      <w:bookmarkStart w:id="15" w:name="_Toc15396600"/>
      <w:r>
        <w:rPr>
          <w:rFonts w:ascii="黑体" w:eastAsia="黑体" w:hAnsi="黑体" w:hint="eastAsia"/>
          <w:b w:val="0"/>
          <w:color w:val="000000"/>
        </w:rPr>
        <w:t>一、基</w:t>
      </w:r>
      <w:r>
        <w:rPr>
          <w:rStyle w:val="2Char"/>
          <w:rFonts w:ascii="黑体" w:eastAsia="黑体" w:hAnsi="黑体" w:hint="eastAsia"/>
        </w:rPr>
        <w:t>本职能及主要工作</w:t>
      </w:r>
      <w:bookmarkEnd w:id="14"/>
      <w:bookmarkEnd w:id="15"/>
    </w:p>
    <w:p w:rsidR="009971F6" w:rsidRDefault="00ED6E5C">
      <w:pPr>
        <w:pStyle w:val="a3"/>
        <w:adjustRightInd w:val="0"/>
        <w:snapToGrid w:val="0"/>
        <w:spacing w:before="93" w:line="600" w:lineRule="exact"/>
        <w:ind w:firstLineChars="210" w:firstLine="675"/>
        <w:outlineLvl w:val="2"/>
        <w:rPr>
          <w:rFonts w:hAnsi="仿宋_GB2312" w:cs="仿宋_GB2312"/>
          <w:b/>
          <w:color w:val="000000"/>
          <w:sz w:val="32"/>
          <w:szCs w:val="32"/>
        </w:rPr>
      </w:pPr>
      <w:bookmarkStart w:id="16" w:name="_Toc15377198"/>
      <w:bookmarkStart w:id="17" w:name="_Toc15378445"/>
      <w:r>
        <w:rPr>
          <w:rFonts w:hAnsi="仿宋_GB2312" w:cs="仿宋_GB2312" w:hint="eastAsia"/>
          <w:b/>
          <w:color w:val="000000"/>
          <w:sz w:val="32"/>
          <w:szCs w:val="32"/>
        </w:rPr>
        <w:t>（一）主要职能。</w:t>
      </w:r>
      <w:bookmarkEnd w:id="16"/>
      <w:bookmarkEnd w:id="17"/>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负责川、渝地区的联络。负责与省级机关、重庆市、成都市的联系；积极向上争取政策、项目、资金；宣传介绍攀枝花的政治、经济和社会发展情况，促进城市间的相互了解和友好往来；参与我市在成都、重庆进行的有关重大活动的组织协调和服务工作。</w:t>
      </w:r>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2、加强调查研究，收集、整理和传递重要的政务、经济信息，为市委、市政府决策提供参考依据，为市及部门、县（区）和企业提供信息咨询服务。</w:t>
      </w:r>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3、开展招商引资和区域间经济、技术、人才、文化的交流与合作；围绕我市经济发展的支柱产业和重点项目，积极开展招商引资活动，着力引进技术和资金，同时协助市内企业拓展市外市场。</w:t>
      </w:r>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4、负责协调县（区）驻蓉办事处（联络处）的关系和业务指导。</w:t>
      </w:r>
    </w:p>
    <w:p w:rsidR="009971F6" w:rsidRDefault="00ED6E5C">
      <w:pPr>
        <w:spacing w:line="600" w:lineRule="exact"/>
        <w:ind w:firstLineChars="200" w:firstLine="640"/>
        <w:rPr>
          <w:rFonts w:ascii="仿宋" w:eastAsia="仿宋" w:hAnsi="仿宋"/>
          <w:bCs/>
          <w:color w:val="000000"/>
          <w:sz w:val="32"/>
          <w:szCs w:val="32"/>
        </w:rPr>
      </w:pPr>
      <w:r>
        <w:rPr>
          <w:rFonts w:ascii="仿宋_GB2312" w:eastAsia="仿宋_GB2312" w:hAnsi="宋体" w:cs="宋体" w:hint="eastAsia"/>
          <w:kern w:val="0"/>
          <w:sz w:val="32"/>
          <w:szCs w:val="32"/>
        </w:rPr>
        <w:t>5、负责市级领导赴蓉及途经成都的接待工作，为市及各部门、县（区）和企事业单位在成都开展业务活动提供咨询服务和工作方便。</w:t>
      </w:r>
      <w:r>
        <w:rPr>
          <w:rFonts w:ascii="仿宋_GB2312" w:eastAsia="仿宋_GB2312" w:hAnsi="宋体" w:cs="宋体" w:hint="eastAsia"/>
          <w:kern w:val="0"/>
          <w:sz w:val="32"/>
          <w:szCs w:val="32"/>
        </w:rPr>
        <w:br/>
      </w: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6、负责与攀枝花调到成都和离退休后到成都定居</w:t>
      </w:r>
      <w:r>
        <w:rPr>
          <w:rFonts w:ascii="仿宋_GB2312" w:eastAsia="仿宋_GB2312" w:hAnsi="宋体" w:cs="宋体" w:hint="eastAsia"/>
          <w:kern w:val="0"/>
          <w:sz w:val="32"/>
          <w:szCs w:val="32"/>
        </w:rPr>
        <w:lastRenderedPageBreak/>
        <w:t>的领导和干部的联系，为我市的经济建设和社会发展服务。</w:t>
      </w:r>
      <w:r>
        <w:rPr>
          <w:rFonts w:ascii="仿宋_GB2312" w:eastAsia="仿宋_GB2312" w:hAnsi="宋体" w:cs="宋体" w:hint="eastAsia"/>
          <w:kern w:val="0"/>
          <w:sz w:val="32"/>
          <w:szCs w:val="32"/>
        </w:rPr>
        <w:br/>
      </w:r>
      <w:r>
        <w:rPr>
          <w:rFonts w:ascii="宋体" w:eastAsia="仿宋_GB2312" w:hAnsi="宋体" w:cs="宋体" w:hint="eastAsia"/>
          <w:kern w:val="0"/>
          <w:sz w:val="32"/>
          <w:szCs w:val="32"/>
        </w:rPr>
        <w:t>    7</w:t>
      </w:r>
      <w:r>
        <w:rPr>
          <w:rFonts w:ascii="宋体" w:eastAsia="仿宋_GB2312" w:hAnsi="宋体" w:cs="宋体" w:hint="eastAsia"/>
          <w:kern w:val="0"/>
          <w:sz w:val="32"/>
          <w:szCs w:val="32"/>
        </w:rPr>
        <w:t>、</w:t>
      </w:r>
      <w:r>
        <w:rPr>
          <w:rFonts w:ascii="仿宋_GB2312" w:eastAsia="仿宋_GB2312" w:hAnsi="宋体" w:cs="宋体" w:hint="eastAsia"/>
          <w:kern w:val="0"/>
          <w:sz w:val="32"/>
          <w:szCs w:val="32"/>
        </w:rPr>
        <w:t>协助市级有关部门做好本市人员到蓉上访的处置工作。</w:t>
      </w:r>
      <w:r>
        <w:rPr>
          <w:rFonts w:ascii="仿宋_GB2312" w:eastAsia="仿宋_GB2312" w:hAnsi="宋体" w:cs="宋体" w:hint="eastAsia"/>
          <w:kern w:val="0"/>
          <w:sz w:val="32"/>
          <w:szCs w:val="32"/>
        </w:rPr>
        <w:br/>
      </w: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8、负责对办事处及所属单位的财产进行监督管理，保证国有资产保值增值。</w:t>
      </w:r>
      <w:r>
        <w:rPr>
          <w:rFonts w:ascii="仿宋_GB2312" w:eastAsia="仿宋_GB2312" w:hAnsi="宋体" w:cs="宋体" w:hint="eastAsia"/>
          <w:kern w:val="0"/>
          <w:sz w:val="32"/>
          <w:szCs w:val="32"/>
        </w:rPr>
        <w:br/>
      </w: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9、承办市委、市政府和主管部门交办的其它事宜。</w:t>
      </w:r>
    </w:p>
    <w:p w:rsidR="009971F6" w:rsidRDefault="00ED6E5C">
      <w:pPr>
        <w:pStyle w:val="a3"/>
        <w:adjustRightInd w:val="0"/>
        <w:snapToGrid w:val="0"/>
        <w:spacing w:before="93" w:line="600" w:lineRule="exact"/>
        <w:ind w:firstLineChars="210" w:firstLine="675"/>
        <w:outlineLvl w:val="2"/>
        <w:rPr>
          <w:rFonts w:hAnsi="仿宋_GB2312" w:cs="仿宋_GB2312"/>
          <w:b/>
          <w:color w:val="000000"/>
          <w:sz w:val="32"/>
          <w:szCs w:val="32"/>
        </w:rPr>
      </w:pPr>
      <w:bookmarkStart w:id="18" w:name="_Toc15377199"/>
      <w:bookmarkStart w:id="19" w:name="_Toc15378446"/>
      <w:r>
        <w:rPr>
          <w:rFonts w:hAnsi="仿宋_GB2312" w:cs="仿宋_GB2312" w:hint="eastAsia"/>
          <w:b/>
          <w:color w:val="000000"/>
          <w:sz w:val="32"/>
          <w:szCs w:val="32"/>
        </w:rPr>
        <w:t>（二）2018年重点工作完成情况。</w:t>
      </w:r>
      <w:bookmarkEnd w:id="18"/>
      <w:bookmarkEnd w:id="19"/>
    </w:p>
    <w:p w:rsidR="009971F6" w:rsidRDefault="00ED6E5C">
      <w:pPr>
        <w:spacing w:line="600" w:lineRule="exact"/>
        <w:ind w:firstLineChars="196" w:firstLine="627"/>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2018年，是全面贯彻落实党的十九大精神的开局之年，是</w:t>
      </w:r>
      <w:r w:rsidR="0001209F" w:rsidRPr="0001209F">
        <w:rPr>
          <w:rFonts w:ascii="仿宋_GB2312" w:eastAsia="仿宋_GB2312" w:hAnsi="仿宋_GB2312" w:cs="仿宋_GB2312" w:hint="eastAsia"/>
          <w:sz w:val="32"/>
          <w:szCs w:val="32"/>
        </w:rPr>
        <w:t>庆祝改革开放</w:t>
      </w:r>
      <w:bookmarkStart w:id="20" w:name="_GoBack"/>
      <w:bookmarkEnd w:id="20"/>
      <w:r>
        <w:rPr>
          <w:rFonts w:ascii="仿宋_GB2312" w:eastAsia="仿宋_GB2312" w:hAnsi="仿宋_GB2312" w:cs="仿宋_GB2312" w:hint="eastAsia"/>
          <w:sz w:val="32"/>
          <w:szCs w:val="32"/>
        </w:rPr>
        <w:t xml:space="preserve"> 40 周年，也是决胜全面建成小康社会的关键一年。我办在市委、市政府和省机关事务管理局市州驻蓉办党委的坚强领导下，以党的十九大精神为指导，</w:t>
      </w:r>
      <w:r>
        <w:rPr>
          <w:rFonts w:ascii="仿宋_GB2312" w:eastAsia="仿宋_GB2312" w:hAnsi="仿宋_GB2312" w:cs="仿宋_GB2312" w:hint="eastAsia"/>
          <w:color w:val="000000"/>
          <w:kern w:val="0"/>
          <w:sz w:val="32"/>
          <w:szCs w:val="32"/>
        </w:rPr>
        <w:t>深入学习贯彻党的十九大、习近平总书记对四川工作系列重要指示精神和省委十一届三次、市委十届五次全会精神，紧紧</w:t>
      </w:r>
      <w:r>
        <w:rPr>
          <w:rFonts w:ascii="仿宋_GB2312" w:eastAsia="仿宋_GB2312" w:hAnsi="仿宋_GB2312" w:cs="仿宋_GB2312" w:hint="eastAsia"/>
          <w:sz w:val="32"/>
          <w:szCs w:val="32"/>
        </w:rPr>
        <w:t>围绕市委“一二三五”工作思想，</w:t>
      </w:r>
      <w:r>
        <w:rPr>
          <w:rFonts w:ascii="仿宋_GB2312" w:eastAsia="仿宋_GB2312" w:hAnsi="仿宋_GB2312" w:cs="仿宋_GB2312" w:hint="eastAsia"/>
          <w:color w:val="000000"/>
          <w:kern w:val="0"/>
          <w:sz w:val="32"/>
          <w:szCs w:val="32"/>
        </w:rPr>
        <w:t>纵深推进“大学习大讨论大调研”活动，进一步弘扬“三线精神”，持续深化“两转一提”活动，</w:t>
      </w:r>
      <w:r>
        <w:rPr>
          <w:rFonts w:ascii="仿宋_GB2312" w:eastAsia="仿宋_GB2312" w:hAnsi="仿宋_GB2312" w:cs="仿宋_GB2312" w:hint="eastAsia"/>
          <w:kern w:val="0"/>
          <w:sz w:val="32"/>
          <w:szCs w:val="32"/>
        </w:rPr>
        <w:t>充分发挥驻外办事处的职能作用，圆满地完成了市委、市政府赋予的各项工作任务，现将全年工作情况总结如下：</w:t>
      </w:r>
    </w:p>
    <w:p w:rsidR="009971F6" w:rsidRDefault="00ED6E5C">
      <w:pPr>
        <w:widowControl/>
        <w:shd w:val="clear" w:color="auto" w:fill="FFFFFF"/>
        <w:spacing w:line="600" w:lineRule="exact"/>
        <w:ind w:firstLine="641"/>
        <w:rPr>
          <w:rFonts w:ascii="仿宋_GB2312" w:eastAsia="仿宋_GB2312" w:hAnsi="仿宋_GB2312" w:cs="仿宋_GB2312"/>
          <w:sz w:val="32"/>
          <w:szCs w:val="32"/>
        </w:rPr>
      </w:pPr>
      <w:r>
        <w:rPr>
          <w:rFonts w:ascii="仿宋_GB2312" w:eastAsia="仿宋_GB2312" w:hAnsi="仿宋_GB2312" w:cs="仿宋_GB2312" w:hint="eastAsia"/>
          <w:kern w:val="0"/>
          <w:sz w:val="32"/>
          <w:szCs w:val="32"/>
        </w:rPr>
        <w:t>1、</w:t>
      </w:r>
      <w:r>
        <w:rPr>
          <w:rFonts w:ascii="仿宋_GB2312" w:eastAsia="仿宋_GB2312" w:hAnsi="仿宋_GB2312" w:cs="仿宋_GB2312" w:hint="eastAsia"/>
          <w:color w:val="000000"/>
          <w:kern w:val="0"/>
          <w:sz w:val="32"/>
          <w:szCs w:val="32"/>
        </w:rPr>
        <w:t>扎实开展“大学习大讨论大调研”活动，提升本领，坚定信念；</w:t>
      </w:r>
    </w:p>
    <w:p w:rsidR="009971F6" w:rsidRDefault="00ED6E5C">
      <w:pPr>
        <w:widowControl/>
        <w:shd w:val="clear" w:color="auto" w:fill="FFFFFF"/>
        <w:spacing w:line="600" w:lineRule="exact"/>
        <w:ind w:firstLine="641"/>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2、内强素质，外塑形象，加强队伍建设，努力打造新型驻外办事处形象；</w:t>
      </w:r>
    </w:p>
    <w:p w:rsidR="009971F6" w:rsidRDefault="00ED6E5C">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3、充分利用地域优势，做好经济信息联络、招商引资工作，服务攀枝花经济；</w:t>
      </w:r>
    </w:p>
    <w:p w:rsidR="009971F6" w:rsidRDefault="00ED6E5C">
      <w:pPr>
        <w:spacing w:line="600" w:lineRule="exact"/>
        <w:ind w:firstLineChars="228" w:firstLine="73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4、深化驻外机构改革，加快我市区县（部门）驻蓉机构清理规范工作；</w:t>
      </w:r>
    </w:p>
    <w:p w:rsidR="009971F6" w:rsidRDefault="00ED6E5C">
      <w:pPr>
        <w:spacing w:line="600" w:lineRule="exact"/>
        <w:ind w:firstLineChars="228" w:firstLine="73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5、厉行节约、反对铺张浪费，创新接待服务新模式；</w:t>
      </w:r>
    </w:p>
    <w:p w:rsidR="009971F6" w:rsidRDefault="00ED6E5C">
      <w:pPr>
        <w:spacing w:line="600" w:lineRule="exact"/>
        <w:ind w:firstLineChars="228" w:firstLine="73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6、加强维稳劝返处置工作，完善应急程序，努力维护社会稳定；</w:t>
      </w:r>
    </w:p>
    <w:p w:rsidR="009971F6" w:rsidRDefault="00ED6E5C">
      <w:pPr>
        <w:spacing w:line="600" w:lineRule="exact"/>
        <w:ind w:firstLineChars="228" w:firstLine="730"/>
        <w:rPr>
          <w:rFonts w:ascii="仿宋" w:eastAsia="仿宋" w:hAnsi="仿宋"/>
          <w:bCs/>
          <w:color w:val="000000"/>
          <w:sz w:val="32"/>
          <w:szCs w:val="32"/>
        </w:rPr>
      </w:pPr>
      <w:r>
        <w:rPr>
          <w:rFonts w:ascii="仿宋_GB2312" w:eastAsia="仿宋_GB2312" w:hAnsi="仿宋_GB2312" w:cs="仿宋_GB2312" w:hint="eastAsia"/>
          <w:sz w:val="32"/>
          <w:szCs w:val="32"/>
        </w:rPr>
        <w:t>7、拓宽思路，全面做好攀枝花干休所和攀籍调蓉干部服务工作。</w:t>
      </w:r>
    </w:p>
    <w:p w:rsidR="009971F6" w:rsidRDefault="00ED6E5C">
      <w:pPr>
        <w:pStyle w:val="2"/>
        <w:spacing w:line="600" w:lineRule="exact"/>
        <w:rPr>
          <w:rStyle w:val="2Char"/>
        </w:rPr>
      </w:pPr>
      <w:bookmarkStart w:id="21" w:name="_Toc15377200"/>
      <w:bookmarkStart w:id="22" w:name="_Toc15396601"/>
      <w:r>
        <w:rPr>
          <w:rFonts w:ascii="黑体" w:eastAsia="黑体" w:hint="eastAsia"/>
          <w:b w:val="0"/>
          <w:color w:val="000000"/>
        </w:rPr>
        <w:t>二、</w:t>
      </w:r>
      <w:r>
        <w:rPr>
          <w:rFonts w:ascii="黑体" w:eastAsia="黑体" w:hAnsi="黑体" w:hint="eastAsia"/>
          <w:b w:val="0"/>
          <w:color w:val="000000"/>
        </w:rPr>
        <w:t>机</w:t>
      </w:r>
      <w:r>
        <w:rPr>
          <w:rStyle w:val="2Char"/>
          <w:rFonts w:ascii="黑体" w:eastAsia="黑体" w:hAnsi="黑体" w:hint="eastAsia"/>
        </w:rPr>
        <w:t>构设置</w:t>
      </w:r>
      <w:bookmarkEnd w:id="21"/>
      <w:bookmarkEnd w:id="22"/>
    </w:p>
    <w:p w:rsidR="009971F6" w:rsidRDefault="00ED6E5C">
      <w:pPr>
        <w:spacing w:line="600" w:lineRule="exact"/>
        <w:ind w:firstLineChars="250" w:firstLine="800"/>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攀枝花市人民政府驻成都办事处下属二级单位3个，其中行政单位1个，参照公务员法管理的事业单位1个，其他事业单位1个。</w:t>
      </w:r>
    </w:p>
    <w:p w:rsidR="009971F6" w:rsidRDefault="00ED6E5C">
      <w:pPr>
        <w:pStyle w:val="a3"/>
        <w:adjustRightInd w:val="0"/>
        <w:snapToGrid w:val="0"/>
        <w:spacing w:before="93" w:line="600" w:lineRule="exact"/>
        <w:ind w:firstLineChars="210" w:firstLine="672"/>
        <w:rPr>
          <w:rFonts w:hAnsi="仿宋_GB2312" w:cs="仿宋_GB2312"/>
          <w:color w:val="000000"/>
          <w:sz w:val="32"/>
          <w:szCs w:val="32"/>
        </w:rPr>
      </w:pPr>
      <w:r>
        <w:rPr>
          <w:rFonts w:hAnsi="仿宋_GB2312" w:cs="仿宋_GB2312" w:hint="eastAsia"/>
          <w:color w:val="000000"/>
          <w:sz w:val="32"/>
          <w:szCs w:val="32"/>
        </w:rPr>
        <w:t>纳入</w:t>
      </w:r>
      <w:r>
        <w:rPr>
          <w:rFonts w:hAnsi="仿宋_GB2312" w:cs="仿宋_GB2312" w:hint="eastAsia"/>
          <w:sz w:val="32"/>
          <w:szCs w:val="32"/>
        </w:rPr>
        <w:t>攀枝花市人民政府驻成都办事处</w:t>
      </w:r>
      <w:r>
        <w:rPr>
          <w:rFonts w:hAnsi="仿宋_GB2312" w:cs="仿宋_GB2312" w:hint="eastAsia"/>
          <w:color w:val="000000"/>
          <w:sz w:val="32"/>
          <w:szCs w:val="32"/>
        </w:rPr>
        <w:t>2018年度部门决算编制范围的二级预算单位包括：</w:t>
      </w:r>
    </w:p>
    <w:p w:rsidR="009971F6" w:rsidRDefault="00ED6E5C">
      <w:pPr>
        <w:pStyle w:val="a3"/>
        <w:adjustRightInd w:val="0"/>
        <w:snapToGrid w:val="0"/>
        <w:spacing w:before="93" w:line="600" w:lineRule="exact"/>
        <w:ind w:firstLineChars="200" w:firstLine="643"/>
        <w:outlineLvl w:val="2"/>
        <w:rPr>
          <w:rFonts w:hAnsi="仿宋_GB2312" w:cs="仿宋_GB2312"/>
          <w:b/>
          <w:bCs/>
          <w:sz w:val="32"/>
          <w:szCs w:val="32"/>
        </w:rPr>
      </w:pPr>
      <w:bookmarkStart w:id="23" w:name="_Toc15377433"/>
      <w:bookmarkStart w:id="24" w:name="_Toc15377202"/>
      <w:bookmarkStart w:id="25" w:name="_Toc15378449"/>
      <w:bookmarkStart w:id="26" w:name="_Toc15306276"/>
      <w:r>
        <w:rPr>
          <w:rFonts w:hAnsi="仿宋_GB2312" w:cs="仿宋_GB2312" w:hint="eastAsia"/>
          <w:b/>
          <w:bCs/>
          <w:sz w:val="32"/>
          <w:szCs w:val="32"/>
        </w:rPr>
        <w:t>（一）攀枝花市人民政府驻成都办事处</w:t>
      </w:r>
      <w:bookmarkEnd w:id="23"/>
      <w:bookmarkEnd w:id="24"/>
      <w:bookmarkEnd w:id="25"/>
      <w:bookmarkEnd w:id="26"/>
      <w:r>
        <w:rPr>
          <w:rFonts w:hAnsi="仿宋_GB2312" w:cs="仿宋_GB2312" w:hint="eastAsia"/>
          <w:b/>
          <w:bCs/>
          <w:sz w:val="32"/>
          <w:szCs w:val="32"/>
        </w:rPr>
        <w:t>（行政单位）</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成办除内设处室“三科一办”，即</w:t>
      </w:r>
      <w:r>
        <w:rPr>
          <w:rFonts w:ascii="仿宋_GB2312" w:eastAsia="仿宋_GB2312" w:hAnsi="仿宋_GB2312" w:cs="仿宋_GB2312" w:hint="eastAsia"/>
          <w:kern w:val="0"/>
          <w:sz w:val="32"/>
          <w:szCs w:val="32"/>
        </w:rPr>
        <w:t>党委办公室、综合科、经济联络信息科、接待管理科外，</w:t>
      </w:r>
      <w:r>
        <w:rPr>
          <w:rFonts w:ascii="仿宋_GB2312" w:eastAsia="仿宋_GB2312" w:hAnsi="仿宋_GB2312" w:cs="仿宋_GB2312" w:hint="eastAsia"/>
          <w:sz w:val="32"/>
          <w:szCs w:val="32"/>
        </w:rPr>
        <w:t>还挂有“中共攀枝花市委组织部驻成都流动党员服务站”、“共青团攀枝花市委驻成都工作委员会”和“攀枝花市驻成都群众工作站”等三个牌子，进一步强化了我办的职能职责，大大丰富了我办的工作内涵。</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截止2018年12月31日，成办职工包括公务员9人、机关工勤人员4人、编内聘用人员2人、离休人员3人共18</w:t>
      </w:r>
      <w:r>
        <w:rPr>
          <w:rFonts w:ascii="仿宋_GB2312" w:eastAsia="仿宋_GB2312" w:hAnsi="仿宋_GB2312" w:cs="仿宋_GB2312" w:hint="eastAsia"/>
          <w:sz w:val="32"/>
          <w:szCs w:val="32"/>
        </w:rPr>
        <w:lastRenderedPageBreak/>
        <w:t>人，退休人员已全部纳入社保统筹管理。</w:t>
      </w:r>
    </w:p>
    <w:p w:rsidR="009971F6" w:rsidRDefault="00ED6E5C">
      <w:pPr>
        <w:spacing w:line="60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（二）攀枝花市成都干部休养所（参照公务员法管理的事业单位）</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干休所</w:t>
      </w:r>
      <w:r>
        <w:rPr>
          <w:rFonts w:ascii="仿宋_GB2312" w:eastAsia="仿宋_GB2312" w:hAnsi="仿宋_GB2312" w:cs="仿宋_GB2312" w:hint="eastAsia"/>
          <w:kern w:val="0"/>
          <w:sz w:val="32"/>
          <w:szCs w:val="32"/>
        </w:rPr>
        <w:t>内设机构有办公室、财务室和医务室。</w:t>
      </w:r>
      <w:r>
        <w:rPr>
          <w:rFonts w:ascii="仿宋_GB2312" w:eastAsia="仿宋_GB2312" w:hAnsi="仿宋_GB2312" w:cs="仿宋_GB2312" w:hint="eastAsia"/>
          <w:sz w:val="32"/>
          <w:szCs w:val="32"/>
        </w:rPr>
        <w:t>截止2018年12月31日，</w:t>
      </w:r>
      <w:r>
        <w:rPr>
          <w:rFonts w:ascii="仿宋_GB2312" w:eastAsia="仿宋_GB2312" w:hAnsi="仿宋_GB2312" w:cs="仿宋_GB2312" w:hint="eastAsia"/>
          <w:kern w:val="0"/>
          <w:sz w:val="32"/>
          <w:szCs w:val="32"/>
        </w:rPr>
        <w:t>其人员</w:t>
      </w:r>
      <w:r>
        <w:rPr>
          <w:rFonts w:ascii="仿宋_GB2312" w:eastAsia="仿宋_GB2312" w:hAnsi="仿宋_GB2312" w:cs="仿宋_GB2312" w:hint="eastAsia"/>
          <w:sz w:val="32"/>
          <w:szCs w:val="32"/>
        </w:rPr>
        <w:t>除1名编内聘用驾驶员在册外，其余8人都为退休人员，所以市委组织部下派1人负责干休所的组织领导工作，另在攀枝花市成都干部服务中心借用2人协助其工作，反聘医生1人、聘请会计1人、长期聘用门卫（临时工）3人、临时护工2人。</w:t>
      </w:r>
    </w:p>
    <w:p w:rsidR="009971F6" w:rsidRDefault="00ED6E5C">
      <w:pPr>
        <w:spacing w:line="6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（三）攀枝花市成都干部服务中心（其他事业单位）</w:t>
      </w:r>
    </w:p>
    <w:p w:rsidR="009971F6" w:rsidRDefault="00ED6E5C">
      <w:pPr>
        <w:spacing w:line="600" w:lineRule="exact"/>
        <w:ind w:firstLineChars="200" w:firstLine="640"/>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sz w:val="32"/>
          <w:szCs w:val="32"/>
        </w:rPr>
        <w:t>服务中心内设机构有办公室、财务室、业务宣传室。</w:t>
      </w:r>
      <w:r>
        <w:rPr>
          <w:rFonts w:ascii="仿宋_GB2312" w:eastAsia="仿宋_GB2312" w:hAnsi="仿宋_GB2312" w:cs="仿宋_GB2312" w:hint="eastAsia"/>
          <w:sz w:val="32"/>
          <w:szCs w:val="32"/>
        </w:rPr>
        <w:t>截止2018年12月31日，</w:t>
      </w:r>
      <w:r>
        <w:rPr>
          <w:rFonts w:ascii="仿宋_GB2312" w:eastAsia="仿宋_GB2312" w:hAnsi="仿宋_GB2312" w:cs="仿宋_GB2312" w:hint="eastAsia"/>
          <w:color w:val="000000"/>
          <w:sz w:val="32"/>
          <w:szCs w:val="32"/>
        </w:rPr>
        <w:t>中心包括中心主任（领导）1人、专业技术（中级）人员1人、事业工勤人员3人。</w:t>
      </w:r>
    </w:p>
    <w:p w:rsidR="009971F6" w:rsidRDefault="00ED6E5C">
      <w:pPr>
        <w:pStyle w:val="1"/>
        <w:ind w:right="440"/>
        <w:jc w:val="right"/>
        <w:rPr>
          <w:rStyle w:val="1Char"/>
          <w:rFonts w:ascii="黑体" w:eastAsia="黑体" w:hAnsi="黑体"/>
        </w:rPr>
      </w:pPr>
      <w:bookmarkStart w:id="27" w:name="_Toc15396602"/>
      <w:bookmarkStart w:id="28" w:name="_Toc15377204"/>
      <w:r>
        <w:rPr>
          <w:rFonts w:ascii="黑体" w:eastAsia="黑体" w:hAnsi="黑体" w:hint="eastAsia"/>
          <w:b w:val="0"/>
          <w:color w:val="000000"/>
        </w:rPr>
        <w:t>第二部分</w:t>
      </w:r>
      <w:r>
        <w:rPr>
          <w:rFonts w:ascii="黑体" w:eastAsia="黑体" w:hAnsi="黑体" w:hint="eastAsia"/>
          <w:color w:val="000000"/>
        </w:rPr>
        <w:t xml:space="preserve"> </w:t>
      </w:r>
      <w:r>
        <w:rPr>
          <w:rStyle w:val="1Char"/>
          <w:rFonts w:ascii="黑体" w:eastAsia="黑体" w:hAnsi="黑体" w:hint="eastAsia"/>
        </w:rPr>
        <w:t>2018年度部门决算情况说明</w:t>
      </w:r>
      <w:bookmarkEnd w:id="27"/>
      <w:bookmarkEnd w:id="28"/>
    </w:p>
    <w:p w:rsidR="009971F6" w:rsidRDefault="00ED6E5C">
      <w:pPr>
        <w:pStyle w:val="aa"/>
        <w:numPr>
          <w:ilvl w:val="0"/>
          <w:numId w:val="1"/>
        </w:numPr>
        <w:spacing w:line="600" w:lineRule="exact"/>
        <w:ind w:firstLineChars="0"/>
        <w:outlineLvl w:val="1"/>
        <w:rPr>
          <w:rStyle w:val="2Char"/>
          <w:rFonts w:ascii="黑体" w:eastAsia="黑体" w:hAnsi="黑体"/>
          <w:b w:val="0"/>
        </w:rPr>
      </w:pPr>
      <w:bookmarkStart w:id="29" w:name="_Toc15377205"/>
      <w:bookmarkStart w:id="30" w:name="_Toc15396603"/>
      <w:r>
        <w:rPr>
          <w:rFonts w:ascii="黑体" w:eastAsia="黑体" w:hAnsi="黑体" w:hint="eastAsia"/>
          <w:color w:val="000000"/>
          <w:sz w:val="32"/>
          <w:szCs w:val="32"/>
        </w:rPr>
        <w:t>收</w:t>
      </w:r>
      <w:r>
        <w:rPr>
          <w:rStyle w:val="2Char"/>
          <w:rFonts w:ascii="黑体" w:eastAsia="黑体" w:hAnsi="黑体" w:hint="eastAsia"/>
          <w:b w:val="0"/>
        </w:rPr>
        <w:t>入支出决算总体情况说明</w:t>
      </w:r>
      <w:bookmarkEnd w:id="29"/>
      <w:bookmarkEnd w:id="30"/>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2018年度收、支总计884.34万元。与2017年相比，收、支总计各减少311.25万元和346.60万元，分别下降26.03%和28.21%。主要变动原因是：</w:t>
      </w:r>
      <w:r>
        <w:rPr>
          <w:rFonts w:ascii="仿宋_GB2312" w:eastAsia="仿宋_GB2312" w:hAnsi="仿宋_GB2312" w:cs="仿宋_GB2312" w:hint="eastAsia"/>
          <w:sz w:val="32"/>
          <w:szCs w:val="32"/>
        </w:rPr>
        <w:t>2018年年初预算中公用支出较2017年压缩了10%，年末又因接待人次大幅下降和全年无接待用酒支出等原因退回财政预算经费190万元,其中基本支出-公务接待费170万元元、项目支出-招商引资工作经费</w:t>
      </w:r>
      <w:r>
        <w:rPr>
          <w:rFonts w:ascii="仿宋_GB2312" w:eastAsia="仿宋_GB2312" w:hAnsi="仿宋_GB2312" w:cs="仿宋_GB2312" w:hint="eastAsia"/>
          <w:sz w:val="32"/>
          <w:szCs w:val="32"/>
        </w:rPr>
        <w:lastRenderedPageBreak/>
        <w:t>20万元，另外，今年无驻点招商引资人员工作经费支出项目，同时，2018年“平安攀枝花建设”信访工作经费较上年减少了8万元。</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2018年财政预算拨款收入为881.90万元，其他收入—利息收入2.44万元，总收入为：884.34万元；而实际支付数为：881.90元。</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2017年财政预算拨款收入为1193.84万元，其他收入—利息收入1.75万元，总收入为：1195.59万元；而实际支付数为：1228.50万元，因在支付中包含了攀枝花市人民政府驻成都办事处本级上年批复应返还额度34.66万元（因2016年10月全部退休人员纳入社保统筹，财政调整离退休人员经费34.66万元结转2017年支出）。</w:t>
      </w:r>
    </w:p>
    <w:p w:rsidR="009971F6" w:rsidRDefault="00ED6E5C">
      <w:pPr>
        <w:spacing w:line="600" w:lineRule="exact"/>
        <w:ind w:firstLineChars="200" w:firstLine="643"/>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（图1：收、支决算总计变动情况图）（柱状图）</w:t>
      </w:r>
    </w:p>
    <w:p w:rsidR="009971F6" w:rsidRDefault="00ED6E5C">
      <w:pPr>
        <w:rPr>
          <w:rStyle w:val="2Char"/>
          <w:rFonts w:ascii="黑体" w:eastAsia="黑体" w:hAnsi="黑体"/>
          <w:b w:val="0"/>
        </w:rPr>
      </w:pPr>
      <w:r>
        <w:rPr>
          <w:noProof/>
        </w:rPr>
        <w:drawing>
          <wp:inline distT="0" distB="0" distL="114300" distR="114300">
            <wp:extent cx="5330825" cy="3724275"/>
            <wp:effectExtent l="0" t="0" r="317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330825" cy="3724275"/>
                    </a:xfrm>
                    <a:prstGeom prst="rect">
                      <a:avLst/>
                    </a:prstGeom>
                    <a:noFill/>
                    <a:ln>
                      <a:noFill/>
                    </a:ln>
                  </pic:spPr>
                </pic:pic>
              </a:graphicData>
            </a:graphic>
          </wp:inline>
        </w:drawing>
      </w:r>
      <w:bookmarkStart w:id="31" w:name="_Toc15377206"/>
      <w:bookmarkStart w:id="32" w:name="_Toc15396604"/>
      <w:r>
        <w:rPr>
          <w:rFonts w:hint="eastAsia"/>
        </w:rPr>
        <w:lastRenderedPageBreak/>
        <w:t xml:space="preserve">      </w:t>
      </w:r>
      <w:r>
        <w:rPr>
          <w:rFonts w:ascii="黑体" w:eastAsia="黑体" w:hAnsi="黑体" w:hint="eastAsia"/>
          <w:color w:val="000000"/>
          <w:sz w:val="32"/>
          <w:szCs w:val="32"/>
        </w:rPr>
        <w:t>二、收</w:t>
      </w:r>
      <w:r>
        <w:rPr>
          <w:rStyle w:val="2Char"/>
          <w:rFonts w:ascii="黑体" w:eastAsia="黑体" w:hAnsi="黑体" w:hint="eastAsia"/>
          <w:b w:val="0"/>
        </w:rPr>
        <w:t>入决算情况说明</w:t>
      </w:r>
      <w:bookmarkEnd w:id="31"/>
      <w:bookmarkEnd w:id="32"/>
    </w:p>
    <w:p w:rsidR="009971F6" w:rsidRDefault="00ED6E5C">
      <w:pPr>
        <w:spacing w:line="600" w:lineRule="exact"/>
        <w:ind w:firstLineChars="200" w:firstLine="640"/>
        <w:outlineLvl w:val="1"/>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2018年本年收入合计884.34万元，其中：一般公共预算财政拨款收入881.90万元，占99.72%；政府性基金预算财政拨款收入0万元，占0%；国有资本经营预算财政拨款收入0万元，占0%；事业收入0万元，占0%；经营收入0万元，占0%；附属单位上缴收入0万元，占0%；其他收入2.44万元，占0.28%。</w:t>
      </w:r>
    </w:p>
    <w:p w:rsidR="009971F6" w:rsidRDefault="00ED6E5C">
      <w:pPr>
        <w:spacing w:line="600" w:lineRule="exact"/>
        <w:ind w:firstLineChars="200" w:firstLine="643"/>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（图2：收入决算结构图）（饼状图）</w:t>
      </w:r>
    </w:p>
    <w:p w:rsidR="009971F6" w:rsidRDefault="00ED6E5C">
      <w:pPr>
        <w:rPr>
          <w:rFonts w:ascii="仿宋_GB2312" w:eastAsia="仿宋_GB2312" w:hAnsi="仿宋_GB2312" w:cs="仿宋_GB2312"/>
          <w:b/>
          <w:bCs/>
          <w:color w:val="000000" w:themeColor="text1"/>
          <w:sz w:val="32"/>
          <w:szCs w:val="32"/>
        </w:rPr>
      </w:pPr>
      <w:r>
        <w:rPr>
          <w:noProof/>
        </w:rPr>
        <w:drawing>
          <wp:inline distT="0" distB="0" distL="114300" distR="114300">
            <wp:extent cx="5309870" cy="3519170"/>
            <wp:effectExtent l="0" t="0" r="5080"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309870" cy="3519170"/>
                    </a:xfrm>
                    <a:prstGeom prst="rect">
                      <a:avLst/>
                    </a:prstGeom>
                    <a:noFill/>
                    <a:ln>
                      <a:noFill/>
                    </a:ln>
                  </pic:spPr>
                </pic:pic>
              </a:graphicData>
            </a:graphic>
          </wp:inline>
        </w:drawing>
      </w:r>
    </w:p>
    <w:p w:rsidR="009971F6" w:rsidRDefault="00ED6E5C">
      <w:pPr>
        <w:pStyle w:val="aa"/>
        <w:spacing w:line="600" w:lineRule="exact"/>
        <w:ind w:left="640" w:firstLineChars="0" w:firstLine="0"/>
        <w:outlineLvl w:val="1"/>
        <w:rPr>
          <w:rStyle w:val="2Char"/>
          <w:rFonts w:ascii="黑体" w:eastAsia="黑体" w:hAnsi="黑体"/>
          <w:b w:val="0"/>
        </w:rPr>
      </w:pPr>
      <w:bookmarkStart w:id="33" w:name="_Toc15396605"/>
      <w:bookmarkStart w:id="34" w:name="_Toc15377207"/>
      <w:r>
        <w:rPr>
          <w:rFonts w:ascii="黑体" w:eastAsia="黑体" w:hAnsi="黑体" w:hint="eastAsia"/>
          <w:color w:val="000000"/>
          <w:sz w:val="32"/>
          <w:szCs w:val="32"/>
        </w:rPr>
        <w:t>三、支</w:t>
      </w:r>
      <w:r>
        <w:rPr>
          <w:rStyle w:val="2Char"/>
          <w:rFonts w:ascii="黑体" w:eastAsia="黑体" w:hAnsi="黑体" w:hint="eastAsia"/>
          <w:b w:val="0"/>
        </w:rPr>
        <w:t>出决算情况说明</w:t>
      </w:r>
      <w:bookmarkEnd w:id="33"/>
      <w:bookmarkEnd w:id="34"/>
    </w:p>
    <w:p w:rsidR="009971F6" w:rsidRDefault="00ED6E5C">
      <w:pPr>
        <w:spacing w:line="600" w:lineRule="exact"/>
        <w:ind w:firstLine="641"/>
        <w:rPr>
          <w:rFonts w:ascii="仿宋_GB2312" w:eastAsia="仿宋_GB2312" w:hAnsi="仿宋_GB2312" w:cs="仿宋_GB2312"/>
          <w:color w:val="000000"/>
          <w:sz w:val="32"/>
          <w:szCs w:val="32"/>
          <w:shd w:val="pct10" w:color="auto" w:fill="FFFFFF"/>
        </w:rPr>
      </w:pPr>
      <w:r>
        <w:rPr>
          <w:rFonts w:ascii="仿宋_GB2312" w:eastAsia="仿宋_GB2312" w:hAnsi="仿宋_GB2312" w:cs="仿宋_GB2312" w:hint="eastAsia"/>
          <w:color w:val="000000"/>
          <w:sz w:val="32"/>
          <w:szCs w:val="32"/>
        </w:rPr>
        <w:t>2018年本年支出合计881.90万元，其中：基本支出694.30万元，占78.73%；项目支出187.60万元，占21.27%；上缴上级支出0万元，占0%；经营支出0万元，占0%；对附属单位补助支出0万元，占0%。</w:t>
      </w:r>
    </w:p>
    <w:p w:rsidR="009971F6" w:rsidRDefault="00ED6E5C">
      <w:pPr>
        <w:spacing w:line="600" w:lineRule="exact"/>
        <w:ind w:firstLineChars="200" w:firstLine="643"/>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lastRenderedPageBreak/>
        <w:t>（图3：支出决算结构图）（饼状图）</w:t>
      </w:r>
    </w:p>
    <w:p w:rsidR="009971F6" w:rsidRDefault="00ED6E5C">
      <w:pPr>
        <w:rPr>
          <w:rFonts w:ascii="仿宋_GB2312" w:eastAsia="仿宋_GB2312" w:hAnsi="仿宋_GB2312" w:cs="仿宋_GB2312"/>
          <w:b/>
          <w:bCs/>
          <w:color w:val="000000" w:themeColor="text1"/>
          <w:sz w:val="32"/>
          <w:szCs w:val="32"/>
        </w:rPr>
      </w:pPr>
      <w:r>
        <w:rPr>
          <w:noProof/>
        </w:rPr>
        <w:drawing>
          <wp:inline distT="0" distB="0" distL="114300" distR="114300">
            <wp:extent cx="5348605" cy="3213735"/>
            <wp:effectExtent l="0" t="0" r="4445"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348605" cy="3213735"/>
                    </a:xfrm>
                    <a:prstGeom prst="rect">
                      <a:avLst/>
                    </a:prstGeom>
                    <a:noFill/>
                    <a:ln>
                      <a:noFill/>
                    </a:ln>
                  </pic:spPr>
                </pic:pic>
              </a:graphicData>
            </a:graphic>
          </wp:inline>
        </w:drawing>
      </w:r>
    </w:p>
    <w:p w:rsidR="009971F6" w:rsidRDefault="00ED6E5C">
      <w:pPr>
        <w:spacing w:line="600" w:lineRule="exact"/>
        <w:ind w:firstLineChars="200" w:firstLine="640"/>
        <w:outlineLvl w:val="1"/>
        <w:rPr>
          <w:rStyle w:val="2Char"/>
          <w:rFonts w:ascii="黑体" w:eastAsia="黑体" w:hAnsi="黑体"/>
          <w:b w:val="0"/>
        </w:rPr>
      </w:pPr>
      <w:bookmarkStart w:id="35" w:name="_Toc15377208"/>
      <w:bookmarkStart w:id="36" w:name="_Toc15396606"/>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5"/>
      <w:bookmarkEnd w:id="36"/>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2018年财政拨款收、支总计881.90万元。与2017年相比，财政拨款收、支总计各减少311.94万元和346.60万元，分别下降26.13%和28.21%。主要变动原因是：</w:t>
      </w:r>
      <w:r>
        <w:rPr>
          <w:rFonts w:ascii="仿宋_GB2312" w:eastAsia="仿宋_GB2312" w:hAnsi="仿宋_GB2312" w:cs="仿宋_GB2312" w:hint="eastAsia"/>
          <w:sz w:val="32"/>
          <w:szCs w:val="32"/>
        </w:rPr>
        <w:t>2018年年初预算中公用支出较2017年压缩了10%，年末又因接待人次大幅下降和全年无接待用酒支出等原因退回财政预算经费190万元,其中基本支出-公务接待费170万元元、项目支出-招商引资工作经费20万元，另外，今年无驻点招商引资人员工作经费支出项目，同时，2018年“平安攀枝花建设”信访工作经费较上年减少了8万元。</w:t>
      </w:r>
    </w:p>
    <w:p w:rsidR="009971F6" w:rsidRDefault="00ED6E5C">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2018年财政预算拨款收入为881.90万元，财政预算支付数为881.90元。2017年财政预算拨款收入为1193.84万元，财政预算支付数为1228.50万元，因包含了攀枝花市人</w:t>
      </w:r>
      <w:r>
        <w:rPr>
          <w:rFonts w:ascii="仿宋_GB2312" w:eastAsia="仿宋_GB2312" w:hAnsi="仿宋_GB2312" w:cs="仿宋_GB2312" w:hint="eastAsia"/>
          <w:sz w:val="32"/>
          <w:szCs w:val="32"/>
        </w:rPr>
        <w:lastRenderedPageBreak/>
        <w:t>民政府驻成都办事处本级上年批复应返还额度34.66万元（因2016年10月全部退休人员纳入社保统筹，财政调整离退休人员经费34.66万元结转2017年支出）。</w:t>
      </w:r>
    </w:p>
    <w:p w:rsidR="009971F6" w:rsidRDefault="00ED6E5C">
      <w:pPr>
        <w:spacing w:line="600" w:lineRule="exact"/>
        <w:ind w:firstLineChars="200" w:firstLine="643"/>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（图4：财政拨款收、支决算总计变动情况）（柱状图）</w:t>
      </w:r>
    </w:p>
    <w:p w:rsidR="009971F6" w:rsidRDefault="00ED6E5C">
      <w:pPr>
        <w:rPr>
          <w:rFonts w:ascii="仿宋_GB2312" w:eastAsia="仿宋_GB2312" w:hAnsi="仿宋_GB2312" w:cs="仿宋_GB2312"/>
          <w:b/>
          <w:bCs/>
          <w:color w:val="000000" w:themeColor="text1"/>
          <w:sz w:val="32"/>
          <w:szCs w:val="32"/>
        </w:rPr>
      </w:pPr>
      <w:r>
        <w:rPr>
          <w:noProof/>
        </w:rPr>
        <w:drawing>
          <wp:inline distT="0" distB="0" distL="114300" distR="114300">
            <wp:extent cx="5424170" cy="3339465"/>
            <wp:effectExtent l="0" t="0" r="5080" b="133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424170" cy="3339465"/>
                    </a:xfrm>
                    <a:prstGeom prst="rect">
                      <a:avLst/>
                    </a:prstGeom>
                    <a:noFill/>
                    <a:ln>
                      <a:noFill/>
                    </a:ln>
                  </pic:spPr>
                </pic:pic>
              </a:graphicData>
            </a:graphic>
          </wp:inline>
        </w:drawing>
      </w:r>
    </w:p>
    <w:p w:rsidR="009971F6" w:rsidRDefault="00ED6E5C">
      <w:pPr>
        <w:spacing w:line="600" w:lineRule="exact"/>
        <w:ind w:firstLine="640"/>
        <w:rPr>
          <w:rFonts w:ascii="仿宋_GB2312" w:eastAsia="仿宋_GB2312" w:hAnsi="仿宋_GB2312" w:cs="仿宋_GB2312"/>
          <w:b/>
          <w:color w:val="00B050"/>
          <w:sz w:val="32"/>
          <w:szCs w:val="32"/>
        </w:rPr>
      </w:pPr>
      <w:r>
        <w:rPr>
          <w:rFonts w:ascii="仿宋_GB2312" w:eastAsia="仿宋_GB2312" w:hAnsi="仿宋_GB2312" w:cs="仿宋_GB2312" w:hint="eastAsia"/>
          <w:b/>
          <w:color w:val="000000" w:themeColor="text1"/>
          <w:sz w:val="32"/>
          <w:szCs w:val="32"/>
        </w:rPr>
        <w:t>（除国有资本经营预算外，数据来源于财决Z01-1表，口径为“总计”数+国有资本经营预算。）</w:t>
      </w:r>
    </w:p>
    <w:p w:rsidR="009971F6" w:rsidRDefault="00ED6E5C">
      <w:pPr>
        <w:spacing w:line="600" w:lineRule="exact"/>
        <w:ind w:firstLineChars="200" w:firstLine="640"/>
        <w:outlineLvl w:val="1"/>
        <w:rPr>
          <w:rStyle w:val="2Char"/>
          <w:rFonts w:ascii="黑体" w:eastAsia="黑体" w:hAnsi="黑体"/>
          <w:b w:val="0"/>
        </w:rPr>
      </w:pPr>
      <w:bookmarkStart w:id="37" w:name="_Toc15396607"/>
      <w:bookmarkStart w:id="38" w:name="_Toc15377209"/>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7"/>
      <w:bookmarkEnd w:id="38"/>
    </w:p>
    <w:p w:rsidR="009971F6" w:rsidRDefault="00ED6E5C">
      <w:pPr>
        <w:spacing w:line="600" w:lineRule="exact"/>
        <w:ind w:firstLineChars="200" w:firstLine="643"/>
        <w:outlineLvl w:val="2"/>
        <w:rPr>
          <w:rFonts w:ascii="仿宋_GB2312" w:eastAsia="仿宋_GB2312" w:hAnsi="仿宋_GB2312" w:cs="仿宋_GB2312"/>
          <w:b/>
          <w:color w:val="000000"/>
          <w:sz w:val="32"/>
          <w:szCs w:val="32"/>
        </w:rPr>
      </w:pPr>
      <w:bookmarkStart w:id="39" w:name="_Toc15377210"/>
      <w:r>
        <w:rPr>
          <w:rFonts w:ascii="仿宋_GB2312" w:eastAsia="仿宋_GB2312" w:hAnsi="仿宋_GB2312" w:cs="仿宋_GB2312" w:hint="eastAsia"/>
          <w:b/>
          <w:color w:val="000000"/>
          <w:sz w:val="32"/>
          <w:szCs w:val="32"/>
        </w:rPr>
        <w:t>（一）一般公共预算财政拨款支出决算总体情况</w:t>
      </w:r>
      <w:bookmarkEnd w:id="39"/>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2018年一般公共预算财政拨款支出881.90万元，占本年支出合计的100%。与2017年相比，一般公共预算财政拨款减少346.60万元，下降28.21%。主要变动原因是：其一，</w:t>
      </w:r>
      <w:r>
        <w:rPr>
          <w:rFonts w:ascii="仿宋_GB2312" w:eastAsia="仿宋_GB2312" w:hAnsi="仿宋_GB2312" w:cs="仿宋_GB2312" w:hint="eastAsia"/>
          <w:sz w:val="32"/>
          <w:szCs w:val="32"/>
        </w:rPr>
        <w:t>2018年年初预算中公用支出较2017年压缩了10%；其二，2018年末我办本级因接待人次大幅下降和全年无接待用酒支出等原因退回财政预算经费190万元,其中基本支出-公务</w:t>
      </w:r>
      <w:r>
        <w:rPr>
          <w:rFonts w:ascii="仿宋_GB2312" w:eastAsia="仿宋_GB2312" w:hAnsi="仿宋_GB2312" w:cs="仿宋_GB2312" w:hint="eastAsia"/>
          <w:sz w:val="32"/>
          <w:szCs w:val="32"/>
        </w:rPr>
        <w:lastRenderedPageBreak/>
        <w:t>接待费170万元元、项目支出-招商引资工作经费20万元；其三，2018年与2017年相比，无驻点招商引资人员工作经费支出项目；其四，2018年“平安攀枝花建设”信访工作经费较上年减少了8万元；其五，因2016年10月全部退休人员纳入社保统筹，财政调整攀枝花市人民政府驻成都办事处本级离退休人员经费34.66万元结转2017年支出使用。</w:t>
      </w:r>
    </w:p>
    <w:p w:rsidR="009971F6" w:rsidRDefault="00ED6E5C">
      <w:pPr>
        <w:spacing w:line="600" w:lineRule="exact"/>
        <w:ind w:firstLineChars="200" w:firstLine="643"/>
        <w:rPr>
          <w:rFonts w:ascii="仿宋_GB2312" w:eastAsia="仿宋_GB2312" w:hAnsi="仿宋_GB2312" w:cs="仿宋_GB2312"/>
          <w:b/>
          <w:bCs/>
          <w:color w:val="000000" w:themeColor="text1"/>
          <w:sz w:val="32"/>
          <w:szCs w:val="32"/>
        </w:rPr>
      </w:pPr>
      <w:r>
        <w:rPr>
          <w:rFonts w:ascii="仿宋_GB2312" w:eastAsia="仿宋_GB2312" w:hAnsi="仿宋_GB2312" w:cs="仿宋_GB2312" w:hint="eastAsia"/>
          <w:b/>
          <w:bCs/>
          <w:color w:val="000000" w:themeColor="text1"/>
          <w:sz w:val="32"/>
          <w:szCs w:val="32"/>
        </w:rPr>
        <w:t>（图5：一般公共预算财政拨款支出决算变动情况）（柱状图）</w:t>
      </w:r>
    </w:p>
    <w:p w:rsidR="009971F6" w:rsidRDefault="00ED6E5C">
      <w:pPr>
        <w:ind w:left="420" w:hangingChars="200" w:hanging="420"/>
        <w:rPr>
          <w:rFonts w:ascii="仿宋_GB2312" w:eastAsia="仿宋_GB2312" w:hAnsi="仿宋_GB2312" w:cs="仿宋_GB2312"/>
          <w:b/>
          <w:color w:val="000000"/>
          <w:sz w:val="32"/>
          <w:szCs w:val="32"/>
        </w:rPr>
      </w:pPr>
      <w:r>
        <w:rPr>
          <w:noProof/>
        </w:rPr>
        <w:drawing>
          <wp:inline distT="0" distB="0" distL="114300" distR="114300">
            <wp:extent cx="5367655" cy="2967355"/>
            <wp:effectExtent l="0" t="0" r="4445"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3"/>
                    <a:stretch>
                      <a:fillRect/>
                    </a:stretch>
                  </pic:blipFill>
                  <pic:spPr>
                    <a:xfrm>
                      <a:off x="0" y="0"/>
                      <a:ext cx="5367655" cy="2967355"/>
                    </a:xfrm>
                    <a:prstGeom prst="rect">
                      <a:avLst/>
                    </a:prstGeom>
                    <a:noFill/>
                    <a:ln>
                      <a:noFill/>
                    </a:ln>
                  </pic:spPr>
                </pic:pic>
              </a:graphicData>
            </a:graphic>
          </wp:inline>
        </w:drawing>
      </w:r>
      <w:bookmarkStart w:id="40" w:name="_Toc15377211"/>
      <w:r>
        <w:rPr>
          <w:rFonts w:ascii="仿宋_GB2312" w:eastAsia="仿宋_GB2312" w:hAnsi="仿宋_GB2312" w:cs="仿宋_GB2312" w:hint="eastAsia"/>
          <w:b/>
          <w:color w:val="000000"/>
          <w:sz w:val="32"/>
          <w:szCs w:val="32"/>
        </w:rPr>
        <w:t>（二）一般公共预算财政拨款支出决算结构情况</w:t>
      </w:r>
      <w:bookmarkEnd w:id="40"/>
    </w:p>
    <w:p w:rsidR="009971F6" w:rsidRDefault="00ED6E5C">
      <w:pPr>
        <w:spacing w:line="600" w:lineRule="exact"/>
        <w:ind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sz w:val="32"/>
          <w:szCs w:val="32"/>
        </w:rPr>
        <w:t>2018年一般公共预算财</w:t>
      </w:r>
      <w:r>
        <w:rPr>
          <w:rFonts w:ascii="仿宋_GB2312" w:eastAsia="仿宋_GB2312" w:hAnsi="仿宋_GB2312" w:cs="仿宋_GB2312" w:hint="eastAsia"/>
          <w:color w:val="000000" w:themeColor="text1"/>
          <w:sz w:val="32"/>
          <w:szCs w:val="32"/>
        </w:rPr>
        <w:t>政拨款支出881.90万元，主要用于以下方面:一般公共服务（类）支出667.53万元，占75.69%；教育支出（类）0万元，占0%；科学技术（类）支出0万元，占0%；社会保障和就业（类）支出176.82万元，占20.05%；医疗卫生支出与计划生育（类）支出2.28万元，</w:t>
      </w:r>
      <w:r>
        <w:rPr>
          <w:rFonts w:ascii="仿宋_GB2312" w:eastAsia="仿宋_GB2312" w:hAnsi="仿宋_GB2312" w:cs="仿宋_GB2312" w:hint="eastAsia"/>
          <w:color w:val="000000" w:themeColor="text1"/>
          <w:sz w:val="32"/>
          <w:szCs w:val="32"/>
        </w:rPr>
        <w:lastRenderedPageBreak/>
        <w:t>占0.26%；住房保障（类）支出35.27万元，占4.00%。（罗列全部功能分类科目，至类级。）</w:t>
      </w:r>
    </w:p>
    <w:p w:rsidR="009971F6" w:rsidRDefault="00ED6E5C">
      <w:pPr>
        <w:spacing w:line="600" w:lineRule="exact"/>
        <w:ind w:firstLineChars="200" w:firstLine="643"/>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（图6：一般公共预算财政拨款支出决算结构）（饼状图）</w:t>
      </w:r>
    </w:p>
    <w:p w:rsidR="009971F6" w:rsidRDefault="00ED6E5C">
      <w:pPr>
        <w:ind w:left="420" w:hangingChars="200" w:hanging="420"/>
        <w:rPr>
          <w:rFonts w:ascii="仿宋_GB2312" w:eastAsia="仿宋_GB2312" w:hAnsi="仿宋_GB2312" w:cs="仿宋_GB2312"/>
          <w:b/>
          <w:color w:val="000000"/>
          <w:sz w:val="32"/>
          <w:szCs w:val="32"/>
        </w:rPr>
      </w:pPr>
      <w:r>
        <w:rPr>
          <w:noProof/>
        </w:rPr>
        <w:drawing>
          <wp:inline distT="0" distB="0" distL="114300" distR="114300">
            <wp:extent cx="5395595" cy="3059430"/>
            <wp:effectExtent l="0" t="0" r="14605"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4"/>
                    <a:stretch>
                      <a:fillRect/>
                    </a:stretch>
                  </pic:blipFill>
                  <pic:spPr>
                    <a:xfrm>
                      <a:off x="0" y="0"/>
                      <a:ext cx="5395595" cy="3059430"/>
                    </a:xfrm>
                    <a:prstGeom prst="rect">
                      <a:avLst/>
                    </a:prstGeom>
                    <a:noFill/>
                    <a:ln>
                      <a:noFill/>
                    </a:ln>
                  </pic:spPr>
                </pic:pic>
              </a:graphicData>
            </a:graphic>
          </wp:inline>
        </w:drawing>
      </w:r>
      <w:bookmarkStart w:id="41" w:name="_Toc15377212"/>
      <w:r>
        <w:rPr>
          <w:rFonts w:ascii="仿宋_GB2312" w:eastAsia="仿宋_GB2312" w:hAnsi="仿宋_GB2312" w:cs="仿宋_GB2312" w:hint="eastAsia"/>
          <w:b/>
          <w:color w:val="000000"/>
          <w:sz w:val="32"/>
          <w:szCs w:val="32"/>
        </w:rPr>
        <w:t>（三）一般公共预算财政拨款支出决算具体情况</w:t>
      </w:r>
      <w:bookmarkEnd w:id="41"/>
    </w:p>
    <w:p w:rsidR="009971F6" w:rsidRDefault="00ED6E5C">
      <w:pPr>
        <w:spacing w:line="600" w:lineRule="exact"/>
        <w:ind w:firstLineChars="200" w:firstLine="640"/>
        <w:outlineLvl w:val="2"/>
        <w:rPr>
          <w:rFonts w:ascii="仿宋_GB2312" w:eastAsia="仿宋_GB2312" w:hAnsi="仿宋_GB2312" w:cs="仿宋_GB2312"/>
          <w:bCs/>
          <w:color w:val="FF0000"/>
          <w:sz w:val="32"/>
          <w:szCs w:val="32"/>
        </w:rPr>
      </w:pPr>
      <w:bookmarkStart w:id="42" w:name="_Toc15377213"/>
      <w:bookmarkStart w:id="43" w:name="_Toc15378460"/>
      <w:bookmarkStart w:id="44" w:name="_Toc15377444"/>
      <w:r>
        <w:rPr>
          <w:rFonts w:ascii="仿宋_GB2312" w:eastAsia="仿宋_GB2312" w:hAnsi="仿宋_GB2312" w:cs="仿宋_GB2312" w:hint="eastAsia"/>
          <w:bCs/>
          <w:color w:val="000000" w:themeColor="text1"/>
          <w:sz w:val="32"/>
          <w:szCs w:val="32"/>
        </w:rPr>
        <w:t>2018年一般公共预算支出决算数为881.90万元，</w:t>
      </w:r>
      <w:r>
        <w:rPr>
          <w:rStyle w:val="a8"/>
          <w:rFonts w:ascii="仿宋_GB2312" w:eastAsia="仿宋_GB2312" w:hAnsi="仿宋_GB2312" w:cs="仿宋_GB2312" w:hint="eastAsia"/>
          <w:b w:val="0"/>
          <w:bCs/>
          <w:color w:val="000000" w:themeColor="text1"/>
          <w:sz w:val="32"/>
          <w:szCs w:val="32"/>
        </w:rPr>
        <w:t>完成</w:t>
      </w:r>
      <w:r>
        <w:rPr>
          <w:rStyle w:val="a8"/>
          <w:rFonts w:ascii="仿宋_GB2312" w:eastAsia="仿宋_GB2312" w:hAnsi="仿宋_GB2312" w:cs="仿宋_GB2312" w:hint="eastAsia"/>
          <w:b w:val="0"/>
          <w:bCs/>
          <w:color w:val="000000"/>
          <w:sz w:val="32"/>
          <w:szCs w:val="32"/>
        </w:rPr>
        <w:t>预算100%。其中：</w:t>
      </w:r>
      <w:bookmarkEnd w:id="42"/>
      <w:bookmarkEnd w:id="43"/>
      <w:bookmarkEnd w:id="44"/>
    </w:p>
    <w:p w:rsidR="009971F6" w:rsidRDefault="00ED6E5C">
      <w:pPr>
        <w:spacing w:line="60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1.一般公共服务（类）支出-政府办公厅（室）及相关机构（款）-行政运行（项）: 支出决算为395.50万元，完成预算100%，决算数与预算数持平。</w:t>
      </w:r>
    </w:p>
    <w:p w:rsidR="009971F6" w:rsidRDefault="00ED6E5C">
      <w:pPr>
        <w:spacing w:line="60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2.一般公共服务（类）支出-政府办公厅（室）及相关机构（款）-一般行政管理事务（项）: 支出决算为187.60万元，完成预算100%，决算数与预算数持平。</w:t>
      </w:r>
    </w:p>
    <w:p w:rsidR="009971F6" w:rsidRDefault="00ED6E5C">
      <w:pPr>
        <w:spacing w:line="60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3.一般公共服务（类）支出-政府办公厅（室）及相关</w:t>
      </w:r>
      <w:r>
        <w:rPr>
          <w:rStyle w:val="a8"/>
          <w:rFonts w:ascii="仿宋_GB2312" w:eastAsia="仿宋_GB2312" w:hAnsi="仿宋_GB2312" w:cs="仿宋_GB2312" w:hint="eastAsia"/>
          <w:b w:val="0"/>
          <w:bCs/>
          <w:color w:val="000000"/>
          <w:sz w:val="32"/>
          <w:szCs w:val="32"/>
        </w:rPr>
        <w:lastRenderedPageBreak/>
        <w:t>机构（款）-事业运行（项）: 支出决算为84.43万元，完成预算100%，决算数与预算数持平。</w:t>
      </w:r>
    </w:p>
    <w:p w:rsidR="009971F6" w:rsidRDefault="00ED6E5C">
      <w:pPr>
        <w:spacing w:line="60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4.社会保障和就业（类）支出-行政事业单位离退休（款）-未归口管理的行政单位离退休（项）: 支出决算为141.31万元，完成预算100%，决算数与预算数持平。</w:t>
      </w:r>
    </w:p>
    <w:p w:rsidR="009971F6" w:rsidRDefault="00ED6E5C">
      <w:pPr>
        <w:spacing w:line="600" w:lineRule="exact"/>
        <w:ind w:firstLineChars="200" w:firstLine="640"/>
        <w:rPr>
          <w:rStyle w:val="a8"/>
          <w:rFonts w:ascii="仿宋_GB2312" w:eastAsia="仿宋_GB2312" w:hAnsi="仿宋_GB2312" w:cs="仿宋_GB2312"/>
          <w:b w:val="0"/>
          <w:bCs/>
          <w:color w:val="000000"/>
          <w:sz w:val="32"/>
          <w:szCs w:val="32"/>
        </w:rPr>
      </w:pPr>
      <w:r>
        <w:rPr>
          <w:rStyle w:val="a8"/>
          <w:rFonts w:ascii="仿宋_GB2312" w:eastAsia="仿宋_GB2312" w:hAnsi="仿宋_GB2312" w:cs="仿宋_GB2312" w:hint="eastAsia"/>
          <w:b w:val="0"/>
          <w:bCs/>
          <w:color w:val="000000"/>
          <w:sz w:val="32"/>
          <w:szCs w:val="32"/>
        </w:rPr>
        <w:t>5.社会保障和就业（类）支出-行政事业单位离退休（款）-机关事业单位基本养老保险缴费支出（项）: 支出决算为35.51万元，完成预算100%，决算数与预算数持平。</w:t>
      </w:r>
    </w:p>
    <w:p w:rsidR="009971F6" w:rsidRDefault="00ED6E5C">
      <w:pPr>
        <w:spacing w:line="600" w:lineRule="exact"/>
        <w:ind w:firstLineChars="200" w:firstLine="640"/>
        <w:rPr>
          <w:rFonts w:ascii="仿宋_GB2312" w:eastAsia="仿宋_GB2312" w:hAnsi="仿宋_GB2312" w:cs="仿宋_GB2312"/>
          <w:bCs/>
          <w:color w:val="000000"/>
          <w:sz w:val="32"/>
          <w:szCs w:val="32"/>
        </w:rPr>
      </w:pPr>
      <w:r>
        <w:rPr>
          <w:rStyle w:val="a8"/>
          <w:rFonts w:ascii="仿宋_GB2312" w:eastAsia="仿宋_GB2312" w:hAnsi="仿宋_GB2312" w:cs="仿宋_GB2312" w:hint="eastAsia"/>
          <w:b w:val="0"/>
          <w:bCs/>
          <w:color w:val="000000"/>
          <w:sz w:val="32"/>
          <w:szCs w:val="32"/>
        </w:rPr>
        <w:t>6.医疗卫生与计划生育（类）支出-其他医疗卫生与计划生育支出（款）-其他医疗卫生与计划生育支出（项）:支出决算为2.28万元，完成预算100%，决算数与预算数持平。</w:t>
      </w:r>
    </w:p>
    <w:p w:rsidR="009971F6" w:rsidRDefault="00ED6E5C">
      <w:pPr>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7.</w:t>
      </w:r>
      <w:r>
        <w:rPr>
          <w:rStyle w:val="a8"/>
          <w:rFonts w:ascii="仿宋_GB2312" w:eastAsia="仿宋_GB2312" w:hAnsi="仿宋_GB2312" w:cs="仿宋_GB2312" w:hint="eastAsia"/>
          <w:b w:val="0"/>
          <w:bCs/>
          <w:color w:val="000000"/>
          <w:sz w:val="32"/>
          <w:szCs w:val="32"/>
        </w:rPr>
        <w:t>住房保障（类）支出-住房改革支出（款）-住房公积金（项）:支出决算为35.27万元，完成预算100%，决算数与预算数持平。</w:t>
      </w:r>
    </w:p>
    <w:p w:rsidR="009971F6" w:rsidRDefault="00ED6E5C">
      <w:pPr>
        <w:spacing w:line="600" w:lineRule="exact"/>
        <w:ind w:firstLine="64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（数据来源财决08表，罗列全部功能分类科目至项级。上述“预算”口径为调整预算数。增减变动原因为决算数&lt;项级&gt;和调整预算数&lt;项级&gt;比较，与预算数持平可以不写原因。）</w:t>
      </w:r>
    </w:p>
    <w:p w:rsidR="009971F6" w:rsidRDefault="00ED6E5C">
      <w:pPr>
        <w:tabs>
          <w:tab w:val="right" w:pos="8306"/>
        </w:tabs>
        <w:spacing w:line="600" w:lineRule="exact"/>
        <w:ind w:firstLine="640"/>
        <w:outlineLvl w:val="1"/>
        <w:rPr>
          <w:rStyle w:val="2Char"/>
        </w:rPr>
      </w:pPr>
      <w:bookmarkStart w:id="45" w:name="_Toc15396608"/>
      <w:bookmarkStart w:id="46" w:name="_Toc15377214"/>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45"/>
      <w:bookmarkEnd w:id="46"/>
      <w:r>
        <w:rPr>
          <w:rStyle w:val="2Char"/>
          <w:rFonts w:ascii="黑体" w:eastAsia="黑体" w:hAnsi="黑体"/>
          <w:b w:val="0"/>
        </w:rPr>
        <w:tab/>
      </w:r>
    </w:p>
    <w:p w:rsidR="009971F6" w:rsidRDefault="00ED6E5C">
      <w:pPr>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2018年一般公共预算财政拨款基本支出881.90万元，其中：</w:t>
      </w:r>
    </w:p>
    <w:p w:rsidR="009971F6" w:rsidRDefault="00ED6E5C">
      <w:pPr>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人员经费545.76万元，主要包括：基本工资、津贴补贴、奖金、伙食补助费、绩效工资、机关事业单位基本养老</w:t>
      </w:r>
      <w:r>
        <w:rPr>
          <w:rFonts w:ascii="仿宋_GB2312" w:eastAsia="仿宋_GB2312" w:hAnsi="仿宋_GB2312" w:cs="仿宋_GB2312" w:hint="eastAsia"/>
          <w:color w:val="000000"/>
          <w:sz w:val="32"/>
          <w:szCs w:val="32"/>
        </w:rPr>
        <w:lastRenderedPageBreak/>
        <w:t>保险缴费、职业年金缴费、其他社会保障缴费、其他工资福利支出、离休费、退休费、抚恤金、生活补助、医疗费、奖励金、住房公积金、提租补贴、购房补贴、其他对个人和家庭的补助支出等。</w:t>
      </w:r>
      <w:r>
        <w:rPr>
          <w:rFonts w:ascii="仿宋_GB2312" w:eastAsia="仿宋_GB2312" w:hAnsi="仿宋_GB2312" w:cs="仿宋_GB2312" w:hint="eastAsia"/>
          <w:color w:val="000000"/>
          <w:sz w:val="32"/>
          <w:szCs w:val="32"/>
        </w:rPr>
        <w:br/>
        <w:t xml:space="preserve">　　公用经费336.14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9971F6" w:rsidRDefault="00ED6E5C">
      <w:pPr>
        <w:spacing w:line="600" w:lineRule="exact"/>
        <w:ind w:firstLine="640"/>
        <w:rPr>
          <w:rFonts w:ascii="仿宋_GB2312" w:eastAsia="仿宋_GB2312" w:hAnsi="仿宋_GB2312" w:cs="仿宋_GB2312"/>
          <w:b/>
          <w:color w:val="000000" w:themeColor="text1"/>
          <w:sz w:val="32"/>
          <w:szCs w:val="32"/>
        </w:rPr>
      </w:pPr>
      <w:r>
        <w:rPr>
          <w:rFonts w:ascii="仿宋_GB2312" w:eastAsia="仿宋_GB2312" w:hAnsi="仿宋_GB2312" w:cs="仿宋_GB2312" w:hint="eastAsia"/>
          <w:b/>
          <w:color w:val="000000" w:themeColor="text1"/>
          <w:sz w:val="32"/>
          <w:szCs w:val="32"/>
        </w:rPr>
        <w:t>（数据来源财决07表，根据本部门实际支出情况罗列全部经济分类科目。）</w:t>
      </w:r>
    </w:p>
    <w:p w:rsidR="009971F6" w:rsidRDefault="00ED6E5C">
      <w:pPr>
        <w:spacing w:line="600" w:lineRule="exact"/>
        <w:ind w:firstLine="640"/>
        <w:outlineLvl w:val="1"/>
        <w:rPr>
          <w:rStyle w:val="2Char"/>
          <w:rFonts w:ascii="黑体" w:eastAsia="黑体" w:hAnsi="黑体"/>
          <w:b w:val="0"/>
        </w:rPr>
      </w:pPr>
      <w:bookmarkStart w:id="47" w:name="_Toc15377215"/>
      <w:bookmarkStart w:id="48" w:name="_Toc15396609"/>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7"/>
      <w:bookmarkEnd w:id="48"/>
    </w:p>
    <w:p w:rsidR="009971F6" w:rsidRDefault="00ED6E5C">
      <w:pPr>
        <w:spacing w:line="600" w:lineRule="exact"/>
        <w:ind w:firstLine="640"/>
        <w:outlineLvl w:val="2"/>
        <w:rPr>
          <w:rFonts w:ascii="仿宋_GB2312" w:eastAsia="仿宋_GB2312" w:hAnsi="仿宋_GB2312" w:cs="仿宋_GB2312"/>
          <w:b/>
          <w:color w:val="000000"/>
          <w:sz w:val="32"/>
          <w:szCs w:val="32"/>
        </w:rPr>
      </w:pPr>
      <w:bookmarkStart w:id="49" w:name="_Toc15377216"/>
      <w:r>
        <w:rPr>
          <w:rFonts w:ascii="仿宋_GB2312" w:eastAsia="仿宋_GB2312" w:hAnsi="仿宋_GB2312" w:cs="仿宋_GB2312" w:hint="eastAsia"/>
          <w:b/>
          <w:color w:val="000000"/>
          <w:sz w:val="32"/>
          <w:szCs w:val="32"/>
        </w:rPr>
        <w:t>（一）“三公”经费财政拨款支出决算总体情况说明</w:t>
      </w:r>
      <w:bookmarkEnd w:id="49"/>
    </w:p>
    <w:p w:rsidR="009971F6" w:rsidRDefault="00ED6E5C">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2018年“三公”经费财政拨款支出决算为78.34万元，完成预算66.55%，决算数小于预算数的主要原因是：</w:t>
      </w:r>
    </w:p>
    <w:p w:rsidR="009971F6" w:rsidRDefault="00ED6E5C">
      <w:pPr>
        <w:snapToGrid w:val="0"/>
        <w:spacing w:line="600" w:lineRule="exact"/>
        <w:ind w:firstLineChars="200" w:firstLine="640"/>
        <w:rPr>
          <w:rFonts w:ascii="仿宋_GB2312" w:eastAsia="仿宋_GB2312" w:hAnsi="仿宋" w:cs="仿宋"/>
          <w:color w:val="000000"/>
          <w:kern w:val="0"/>
          <w:sz w:val="32"/>
          <w:szCs w:val="32"/>
        </w:rPr>
      </w:pPr>
      <w:r>
        <w:rPr>
          <w:rFonts w:ascii="仿宋_GB2312" w:eastAsia="仿宋_GB2312" w:hAnsi="仿宋" w:cs="仿宋" w:hint="eastAsia"/>
          <w:color w:val="000000"/>
          <w:kern w:val="0"/>
          <w:sz w:val="32"/>
          <w:szCs w:val="32"/>
        </w:rPr>
        <w:t>1.本年无该项年初预算，也无因公出国（境）人员。</w:t>
      </w:r>
    </w:p>
    <w:p w:rsidR="009971F6" w:rsidRDefault="00ED6E5C">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 w:cs="仿宋" w:hint="eastAsia"/>
          <w:color w:val="000000"/>
          <w:kern w:val="0"/>
          <w:sz w:val="32"/>
          <w:szCs w:val="32"/>
        </w:rPr>
        <w:t>2.公务用车保有量决算报表中填写数为</w:t>
      </w:r>
      <w:r>
        <w:rPr>
          <w:rFonts w:ascii="仿宋_GB2312" w:eastAsia="仿宋_GB2312" w:hAnsi="宋体" w:hint="eastAsia"/>
          <w:sz w:val="32"/>
          <w:szCs w:val="32"/>
        </w:rPr>
        <w:t>10辆（</w:t>
      </w:r>
      <w:r>
        <w:rPr>
          <w:rFonts w:ascii="仿宋_GB2312" w:eastAsia="仿宋_GB2312" w:hint="eastAsia"/>
          <w:sz w:val="32"/>
          <w:szCs w:val="32"/>
        </w:rPr>
        <w:t>轿车8辆、越野车1辆、中型载客汽车1辆</w:t>
      </w:r>
      <w:r>
        <w:rPr>
          <w:rFonts w:ascii="仿宋_GB2312" w:eastAsia="仿宋_GB2312" w:hAnsi="宋体" w:hint="eastAsia"/>
          <w:sz w:val="32"/>
          <w:szCs w:val="32"/>
        </w:rPr>
        <w:t>），而实有公车数为6辆（</w:t>
      </w:r>
      <w:r>
        <w:rPr>
          <w:rFonts w:ascii="仿宋_GB2312" w:eastAsia="仿宋_GB2312" w:hint="eastAsia"/>
          <w:sz w:val="32"/>
          <w:szCs w:val="32"/>
        </w:rPr>
        <w:t>轿车及商务车5辆、越野车1辆），具体情况是</w:t>
      </w:r>
      <w:r>
        <w:rPr>
          <w:rFonts w:ascii="仿宋_GB2312" w:eastAsia="仿宋_GB2312" w:hAnsi="宋体" w:hint="eastAsia"/>
          <w:sz w:val="32"/>
          <w:szCs w:val="32"/>
        </w:rPr>
        <w:t>2016年7月公车改革后，攀枝花市人民政府驻成都办事处本级保留3辆（</w:t>
      </w:r>
      <w:r>
        <w:rPr>
          <w:rFonts w:ascii="仿宋_GB2312" w:eastAsia="仿宋_GB2312" w:hint="eastAsia"/>
          <w:sz w:val="32"/>
          <w:szCs w:val="32"/>
        </w:rPr>
        <w:t>轿车2辆、越野车1辆）</w:t>
      </w:r>
      <w:r>
        <w:rPr>
          <w:rFonts w:ascii="仿宋_GB2312" w:eastAsia="仿宋_GB2312" w:hAnsi="宋体" w:hint="eastAsia"/>
          <w:sz w:val="32"/>
          <w:szCs w:val="32"/>
        </w:rPr>
        <w:t>，其余车辆已调回攀枝花</w:t>
      </w:r>
      <w:r>
        <w:rPr>
          <w:rFonts w:ascii="仿宋_GB2312" w:eastAsia="仿宋_GB2312" w:hAnsi="宋体" w:hint="eastAsia"/>
          <w:sz w:val="32"/>
          <w:szCs w:val="32"/>
        </w:rPr>
        <w:lastRenderedPageBreak/>
        <w:t>市机关事务管理局进行拍卖处置，</w:t>
      </w:r>
      <w:r>
        <w:rPr>
          <w:rFonts w:ascii="仿宋_GB2312" w:eastAsia="仿宋_GB2312" w:hAnsi="仿宋_GB2312" w:cs="仿宋_GB2312" w:hint="eastAsia"/>
          <w:sz w:val="32"/>
          <w:szCs w:val="32"/>
        </w:rPr>
        <w:t>因攀枝花市机关事务管理局拍卖后核销手续原因，资产暂未核销；攀枝花市成都干部休养所因是参公的事业单位，未进行公车</w:t>
      </w:r>
      <w:r>
        <w:rPr>
          <w:rFonts w:ascii="仿宋_GB2312" w:eastAsia="仿宋_GB2312" w:hAnsi="宋体" w:hint="eastAsia"/>
          <w:sz w:val="32"/>
          <w:szCs w:val="32"/>
        </w:rPr>
        <w:t>改革，仍保留其3辆汽车（</w:t>
      </w:r>
      <w:r>
        <w:rPr>
          <w:rFonts w:ascii="仿宋_GB2312" w:eastAsia="仿宋_GB2312" w:hint="eastAsia"/>
          <w:sz w:val="32"/>
          <w:szCs w:val="32"/>
        </w:rPr>
        <w:t>轿车2辆、商务车1辆）</w:t>
      </w:r>
      <w:r>
        <w:rPr>
          <w:rFonts w:ascii="仿宋_GB2312" w:eastAsia="仿宋_GB2312" w:hAnsi="宋体" w:hint="eastAsia"/>
          <w:sz w:val="32"/>
          <w:szCs w:val="32"/>
        </w:rPr>
        <w:t>；攀枝花市成都干部服务中心虽是事业单位，但一直未配备公车。</w:t>
      </w:r>
      <w:r>
        <w:rPr>
          <w:rFonts w:ascii="仿宋_GB2312" w:eastAsia="仿宋_GB2312" w:hAnsi="仿宋_GB2312" w:cs="仿宋_GB2312" w:hint="eastAsia"/>
          <w:sz w:val="32"/>
          <w:szCs w:val="32"/>
        </w:rPr>
        <w:t>2018年公车运行维护费完成预算85.57%，较2017年减少了8.16万元，其中</w:t>
      </w:r>
      <w:r>
        <w:rPr>
          <w:rFonts w:ascii="仿宋_GB2312" w:eastAsia="仿宋_GB2312" w:hAnsi="宋体" w:hint="eastAsia"/>
          <w:sz w:val="32"/>
          <w:szCs w:val="32"/>
        </w:rPr>
        <w:t>攀枝花市人民政府驻成都办事处</w:t>
      </w:r>
      <w:r>
        <w:rPr>
          <w:rFonts w:ascii="仿宋_GB2312" w:eastAsia="仿宋_GB2312" w:hAnsi="仿宋_GB2312" w:cs="仿宋_GB2312" w:hint="eastAsia"/>
          <w:sz w:val="32"/>
          <w:szCs w:val="32"/>
        </w:rPr>
        <w:t>减少了7.33万元、攀枝花市成都干部休养所减少了0.83万元，主要是随着接待人次的减少，特别是执行公务人员公务交通补贴后，公车使用情况也大幅下降，</w:t>
      </w:r>
      <w:r>
        <w:rPr>
          <w:rFonts w:ascii="仿宋_GB2312" w:eastAsia="仿宋_GB2312" w:hAnsi="宋体" w:hint="eastAsia"/>
          <w:sz w:val="32"/>
          <w:szCs w:val="32"/>
        </w:rPr>
        <w:t>所以本年汽车费用下降幅度较大。</w:t>
      </w:r>
    </w:p>
    <w:p w:rsidR="009971F6" w:rsidRDefault="00ED6E5C">
      <w:pPr>
        <w:snapToGrid w:val="0"/>
        <w:spacing w:line="640" w:lineRule="exact"/>
        <w:ind w:firstLineChars="200" w:firstLine="640"/>
        <w:rPr>
          <w:rFonts w:ascii="仿宋_GB2312" w:eastAsia="仿宋_GB2312" w:hAnsi="仿宋_GB2312" w:cs="仿宋_GB2312"/>
          <w:color w:val="000000"/>
          <w:sz w:val="32"/>
          <w:szCs w:val="32"/>
        </w:rPr>
      </w:pPr>
      <w:r>
        <w:rPr>
          <w:rFonts w:ascii="仿宋_GB2312" w:eastAsia="仿宋_GB2312" w:hAnsi="宋体" w:hint="eastAsia"/>
          <w:sz w:val="32"/>
          <w:szCs w:val="32"/>
        </w:rPr>
        <w:t>3.</w:t>
      </w:r>
      <w:r>
        <w:rPr>
          <w:rFonts w:ascii="仿宋_GB2312" w:eastAsia="仿宋_GB2312" w:hAnsi="仿宋_GB2312" w:cs="仿宋_GB2312" w:hint="eastAsia"/>
          <w:bCs/>
          <w:color w:val="000000"/>
          <w:sz w:val="32"/>
          <w:szCs w:val="32"/>
        </w:rPr>
        <w:t>因为</w:t>
      </w:r>
      <w:r>
        <w:rPr>
          <w:rFonts w:ascii="仿宋_GB2312" w:eastAsia="仿宋_GB2312" w:hAnsi="仿宋_GB2312" w:cs="仿宋_GB2312" w:hint="eastAsia"/>
          <w:color w:val="000000"/>
          <w:kern w:val="0"/>
          <w:sz w:val="32"/>
          <w:szCs w:val="32"/>
        </w:rPr>
        <w:t>接待人次的大幅下降，同时2018年度无接待用酒费用的支出，</w:t>
      </w:r>
      <w:r>
        <w:rPr>
          <w:rFonts w:ascii="仿宋_GB2312" w:eastAsia="仿宋_GB2312" w:hAnsi="仿宋_GB2312" w:cs="仿宋_GB2312" w:hint="eastAsia"/>
          <w:sz w:val="32"/>
          <w:szCs w:val="32"/>
        </w:rPr>
        <w:t>本年度公务接待费用完成预算63.25%，</w:t>
      </w:r>
      <w:r>
        <w:rPr>
          <w:rFonts w:ascii="仿宋_GB2312" w:eastAsia="仿宋_GB2312" w:hAnsi="仿宋_GB2312" w:cs="仿宋_GB2312" w:hint="eastAsia"/>
          <w:bCs/>
          <w:color w:val="000000"/>
          <w:sz w:val="32"/>
          <w:szCs w:val="32"/>
        </w:rPr>
        <w:t>比2017年减少156.02万元，下降71.09%，</w:t>
      </w:r>
      <w:r>
        <w:rPr>
          <w:rFonts w:ascii="仿宋_GB2312" w:eastAsia="仿宋_GB2312" w:hAnsi="仿宋_GB2312" w:cs="仿宋_GB2312" w:hint="eastAsia"/>
          <w:color w:val="000000"/>
          <w:kern w:val="0"/>
          <w:sz w:val="32"/>
          <w:szCs w:val="32"/>
        </w:rPr>
        <w:t>其中，</w:t>
      </w:r>
      <w:r>
        <w:rPr>
          <w:rFonts w:ascii="仿宋_GB2312" w:eastAsia="仿宋_GB2312" w:hAnsi="仿宋_GB2312" w:cs="仿宋_GB2312" w:hint="eastAsia"/>
          <w:sz w:val="32"/>
          <w:szCs w:val="32"/>
        </w:rPr>
        <w:t>攀枝花市人民政府驻成都办事处本级发生的费用较上年度下降了71.09%，减少支出155.70万元；攀枝花市成都干部休养所接待费支出为0.14万元，较上年减少了0.05万元；</w:t>
      </w:r>
      <w:r>
        <w:rPr>
          <w:rFonts w:ascii="仿宋_GB2312" w:eastAsia="仿宋_GB2312" w:hAnsi="宋体" w:hint="eastAsia"/>
          <w:sz w:val="32"/>
          <w:szCs w:val="32"/>
        </w:rPr>
        <w:t>攀枝花市成都干部服务中心2018年没有发生接待费用，2017年接待费支出为0.27万元</w:t>
      </w:r>
      <w:r>
        <w:rPr>
          <w:rFonts w:ascii="仿宋_GB2312" w:eastAsia="仿宋_GB2312" w:hAnsi="仿宋_GB2312" w:cs="仿宋_GB2312" w:hint="eastAsia"/>
          <w:color w:val="000000"/>
          <w:kern w:val="0"/>
          <w:sz w:val="32"/>
          <w:szCs w:val="32"/>
        </w:rPr>
        <w:t>。</w:t>
      </w:r>
    </w:p>
    <w:p w:rsidR="009971F6" w:rsidRDefault="00ED6E5C">
      <w:pPr>
        <w:spacing w:line="600" w:lineRule="exact"/>
        <w:ind w:firstLine="640"/>
        <w:rPr>
          <w:rFonts w:ascii="仿宋_GB2312" w:eastAsia="仿宋_GB2312" w:hAnsi="仿宋_GB2312" w:cs="仿宋_GB2312"/>
          <w:b/>
          <w:color w:val="000000" w:themeColor="text1"/>
          <w:sz w:val="32"/>
          <w:szCs w:val="32"/>
        </w:rPr>
      </w:pPr>
      <w:r>
        <w:rPr>
          <w:rFonts w:ascii="仿宋_GB2312" w:eastAsia="仿宋_GB2312" w:hAnsi="仿宋_GB2312" w:cs="仿宋_GB2312" w:hint="eastAsia"/>
          <w:b/>
          <w:color w:val="000000"/>
          <w:sz w:val="32"/>
          <w:szCs w:val="32"/>
        </w:rPr>
        <w:t>（上述“预算”口径为调整预</w:t>
      </w:r>
      <w:r>
        <w:rPr>
          <w:rFonts w:ascii="仿宋_GB2312" w:eastAsia="仿宋_GB2312" w:hAnsi="仿宋_GB2312" w:cs="仿宋_GB2312" w:hint="eastAsia"/>
          <w:b/>
          <w:color w:val="000000" w:themeColor="text1"/>
          <w:sz w:val="32"/>
          <w:szCs w:val="32"/>
        </w:rPr>
        <w:t>算数，包括政府性基金支出决算情况。）</w:t>
      </w:r>
    </w:p>
    <w:p w:rsidR="009971F6" w:rsidRDefault="00ED6E5C">
      <w:pPr>
        <w:spacing w:line="600" w:lineRule="exact"/>
        <w:ind w:firstLine="640"/>
        <w:outlineLvl w:val="2"/>
        <w:rPr>
          <w:rFonts w:ascii="仿宋_GB2312" w:eastAsia="仿宋_GB2312" w:hAnsi="仿宋_GB2312" w:cs="仿宋_GB2312"/>
          <w:b/>
          <w:color w:val="000000"/>
          <w:sz w:val="32"/>
          <w:szCs w:val="32"/>
        </w:rPr>
      </w:pPr>
      <w:bookmarkStart w:id="50" w:name="_Toc15377217"/>
      <w:r>
        <w:rPr>
          <w:rFonts w:ascii="仿宋_GB2312" w:eastAsia="仿宋_GB2312" w:hAnsi="仿宋_GB2312" w:cs="仿宋_GB2312" w:hint="eastAsia"/>
          <w:b/>
          <w:color w:val="000000"/>
          <w:sz w:val="32"/>
          <w:szCs w:val="32"/>
        </w:rPr>
        <w:t>（二）“三公”经费财政拨款支出决算具体情况说明</w:t>
      </w:r>
      <w:bookmarkEnd w:id="50"/>
    </w:p>
    <w:p w:rsidR="009971F6" w:rsidRDefault="00ED6E5C">
      <w:pPr>
        <w:spacing w:line="600" w:lineRule="exact"/>
        <w:ind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2018年“三公”经费财政拨款支出决算中，因公出国（境）</w:t>
      </w:r>
      <w:r>
        <w:rPr>
          <w:rFonts w:ascii="仿宋_GB2312" w:eastAsia="仿宋_GB2312" w:hAnsi="仿宋_GB2312" w:cs="仿宋_GB2312" w:hint="eastAsia"/>
          <w:color w:val="000000"/>
          <w:sz w:val="32"/>
          <w:szCs w:val="32"/>
        </w:rPr>
        <w:lastRenderedPageBreak/>
        <w:t>费支出决算0万元，占0%；公务用车购置及运行维护费支出决算14.89万元，占19.01%；公务接待费支出决算63.45万元，占80.99%。具体情况如下：</w:t>
      </w:r>
    </w:p>
    <w:p w:rsidR="009971F6" w:rsidRDefault="00ED6E5C">
      <w:pPr>
        <w:spacing w:line="600" w:lineRule="exact"/>
        <w:ind w:firstLine="640"/>
        <w:rPr>
          <w:rFonts w:ascii="仿宋_GB2312" w:eastAsia="仿宋_GB2312" w:hAnsi="仿宋_GB2312" w:cs="仿宋_GB2312"/>
          <w:b/>
          <w:bCs/>
          <w:color w:val="000000"/>
          <w:sz w:val="32"/>
          <w:szCs w:val="32"/>
        </w:rPr>
      </w:pPr>
      <w:r>
        <w:rPr>
          <w:rFonts w:ascii="仿宋_GB2312" w:eastAsia="仿宋_GB2312" w:hAnsi="仿宋_GB2312" w:cs="仿宋_GB2312" w:hint="eastAsia"/>
          <w:b/>
          <w:bCs/>
          <w:color w:val="000000"/>
          <w:sz w:val="32"/>
          <w:szCs w:val="32"/>
        </w:rPr>
        <w:t>（图8：“三公”经费财政拨款支出结构）（饼状图）</w:t>
      </w:r>
    </w:p>
    <w:p w:rsidR="009971F6" w:rsidRDefault="00ED6E5C">
      <w:r>
        <w:rPr>
          <w:noProof/>
        </w:rPr>
        <w:drawing>
          <wp:inline distT="0" distB="0" distL="114300" distR="114300">
            <wp:extent cx="5281930" cy="2978785"/>
            <wp:effectExtent l="0" t="0" r="13970" b="1206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5"/>
                    <a:stretch>
                      <a:fillRect/>
                    </a:stretch>
                  </pic:blipFill>
                  <pic:spPr>
                    <a:xfrm>
                      <a:off x="0" y="0"/>
                      <a:ext cx="5281930" cy="2978785"/>
                    </a:xfrm>
                    <a:prstGeom prst="rect">
                      <a:avLst/>
                    </a:prstGeom>
                    <a:noFill/>
                    <a:ln>
                      <a:noFill/>
                    </a:ln>
                  </pic:spPr>
                </pic:pic>
              </a:graphicData>
            </a:graphic>
          </wp:inline>
        </w:drawing>
      </w:r>
    </w:p>
    <w:p w:rsidR="009971F6" w:rsidRDefault="00ED6E5C">
      <w:pPr>
        <w:spacing w:line="600" w:lineRule="exact"/>
        <w:ind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1.因公出国（境）经费支出0万元，</w:t>
      </w:r>
      <w:r>
        <w:rPr>
          <w:rStyle w:val="a8"/>
          <w:rFonts w:ascii="仿宋_GB2312" w:eastAsia="仿宋_GB2312" w:hAnsi="仿宋_GB2312" w:cs="仿宋_GB2312" w:hint="eastAsia"/>
          <w:b w:val="0"/>
          <w:bCs/>
          <w:color w:val="000000"/>
          <w:sz w:val="32"/>
          <w:szCs w:val="32"/>
        </w:rPr>
        <w:t>完成预算0%。</w:t>
      </w:r>
      <w:r>
        <w:rPr>
          <w:rFonts w:ascii="仿宋_GB2312" w:eastAsia="仿宋_GB2312" w:hAnsi="仿宋_GB2312" w:cs="仿宋_GB2312" w:hint="eastAsia"/>
          <w:bCs/>
          <w:color w:val="000000"/>
          <w:sz w:val="32"/>
          <w:szCs w:val="32"/>
        </w:rPr>
        <w:t>全年安排因公出国（境）团组0次，出国（境）0人。因公出国（境）支出决算比2017年增加/减少0万元，增长/下降0%。主要原因是……。</w:t>
      </w:r>
    </w:p>
    <w:p w:rsidR="009971F6" w:rsidRDefault="00ED6E5C">
      <w:pPr>
        <w:spacing w:line="600" w:lineRule="exact"/>
        <w:ind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开支内容包括：…（团组名称、出访地点、取得成效）等。</w:t>
      </w:r>
    </w:p>
    <w:p w:rsidR="009971F6" w:rsidRDefault="00ED6E5C">
      <w:pPr>
        <w:snapToGrid w:val="0"/>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2.公务用车购置及运行维护费支出14.89万元,</w:t>
      </w:r>
      <w:r>
        <w:rPr>
          <w:rStyle w:val="a8"/>
          <w:rFonts w:ascii="仿宋_GB2312" w:eastAsia="仿宋_GB2312" w:hAnsi="仿宋_GB2312" w:cs="仿宋_GB2312" w:hint="eastAsia"/>
          <w:b w:val="0"/>
          <w:bCs/>
          <w:color w:val="000000"/>
          <w:sz w:val="32"/>
          <w:szCs w:val="32"/>
        </w:rPr>
        <w:t>完成预算85.57%。</w:t>
      </w:r>
      <w:r>
        <w:rPr>
          <w:rFonts w:ascii="仿宋_GB2312" w:eastAsia="仿宋_GB2312" w:hAnsi="仿宋_GB2312" w:cs="仿宋_GB2312" w:hint="eastAsia"/>
          <w:bCs/>
          <w:color w:val="000000"/>
          <w:sz w:val="32"/>
          <w:szCs w:val="32"/>
        </w:rPr>
        <w:t>公务用车购置及运行维护费支出决算比2017年减少</w:t>
      </w:r>
      <w:r>
        <w:rPr>
          <w:rFonts w:ascii="仿宋_GB2312" w:eastAsia="仿宋_GB2312" w:hAnsi="仿宋_GB2312" w:cs="仿宋_GB2312" w:hint="eastAsia"/>
          <w:sz w:val="32"/>
          <w:szCs w:val="32"/>
        </w:rPr>
        <w:t>8.16</w:t>
      </w:r>
      <w:r>
        <w:rPr>
          <w:rFonts w:ascii="仿宋_GB2312" w:eastAsia="仿宋_GB2312" w:hAnsi="仿宋_GB2312" w:cs="仿宋_GB2312" w:hint="eastAsia"/>
          <w:bCs/>
          <w:color w:val="000000"/>
          <w:sz w:val="32"/>
          <w:szCs w:val="32"/>
        </w:rPr>
        <w:t>万元，下降35.40%。主要原因是</w:t>
      </w:r>
      <w:r>
        <w:rPr>
          <w:rFonts w:ascii="仿宋_GB2312" w:eastAsia="仿宋_GB2312" w:hAnsi="宋体" w:hint="eastAsia"/>
          <w:sz w:val="32"/>
          <w:szCs w:val="32"/>
        </w:rPr>
        <w:t>2016年7月公车改革后，攀枝花市人民政府驻成都办事处只保留3辆汽车（</w:t>
      </w:r>
      <w:r>
        <w:rPr>
          <w:rFonts w:ascii="仿宋_GB2312" w:eastAsia="仿宋_GB2312" w:hint="eastAsia"/>
          <w:sz w:val="32"/>
          <w:szCs w:val="32"/>
        </w:rPr>
        <w:t>轿</w:t>
      </w:r>
      <w:r>
        <w:rPr>
          <w:rFonts w:ascii="仿宋_GB2312" w:eastAsia="仿宋_GB2312" w:hint="eastAsia"/>
          <w:sz w:val="32"/>
          <w:szCs w:val="32"/>
        </w:rPr>
        <w:lastRenderedPageBreak/>
        <w:t>车2辆、越野车1辆）</w:t>
      </w:r>
      <w:r>
        <w:rPr>
          <w:rFonts w:ascii="仿宋_GB2312" w:eastAsia="仿宋_GB2312" w:hAnsi="宋体" w:hint="eastAsia"/>
          <w:sz w:val="32"/>
          <w:szCs w:val="32"/>
        </w:rPr>
        <w:t>，</w:t>
      </w:r>
      <w:r>
        <w:rPr>
          <w:rFonts w:ascii="仿宋_GB2312" w:eastAsia="仿宋_GB2312" w:hAnsi="仿宋_GB2312" w:cs="仿宋_GB2312" w:hint="eastAsia"/>
          <w:sz w:val="32"/>
          <w:szCs w:val="32"/>
        </w:rPr>
        <w:t>攀枝花市成都干部休养所因是参公的事业单位，未进行公车</w:t>
      </w:r>
      <w:r>
        <w:rPr>
          <w:rFonts w:ascii="仿宋_GB2312" w:eastAsia="仿宋_GB2312" w:hAnsi="宋体" w:hint="eastAsia"/>
          <w:sz w:val="32"/>
          <w:szCs w:val="32"/>
        </w:rPr>
        <w:t>改革，仍保留其3辆汽车（</w:t>
      </w:r>
      <w:r>
        <w:rPr>
          <w:rFonts w:ascii="仿宋_GB2312" w:eastAsia="仿宋_GB2312" w:hint="eastAsia"/>
          <w:sz w:val="32"/>
          <w:szCs w:val="32"/>
        </w:rPr>
        <w:t>轿车2辆、商务车1辆）</w:t>
      </w:r>
      <w:r>
        <w:rPr>
          <w:rFonts w:ascii="仿宋_GB2312" w:eastAsia="仿宋_GB2312" w:hAnsi="宋体" w:hint="eastAsia"/>
          <w:sz w:val="32"/>
          <w:szCs w:val="32"/>
        </w:rPr>
        <w:t>，攀枝花市成都干部服务中心也未配备公车。</w:t>
      </w:r>
      <w:r>
        <w:rPr>
          <w:rFonts w:ascii="仿宋_GB2312" w:eastAsia="仿宋_GB2312" w:hAnsi="仿宋_GB2312" w:cs="仿宋_GB2312" w:hint="eastAsia"/>
          <w:sz w:val="32"/>
          <w:szCs w:val="32"/>
        </w:rPr>
        <w:t>2018年公车运行维护费完成预算85.57%，较2017年减少了8.16万元，其中</w:t>
      </w:r>
      <w:r>
        <w:rPr>
          <w:rFonts w:ascii="仿宋_GB2312" w:eastAsia="仿宋_GB2312" w:hAnsi="宋体" w:hint="eastAsia"/>
          <w:sz w:val="32"/>
          <w:szCs w:val="32"/>
        </w:rPr>
        <w:t>攀枝花市人民政府驻成都办事处</w:t>
      </w:r>
      <w:r>
        <w:rPr>
          <w:rFonts w:ascii="仿宋_GB2312" w:eastAsia="仿宋_GB2312" w:hAnsi="仿宋_GB2312" w:cs="仿宋_GB2312" w:hint="eastAsia"/>
          <w:sz w:val="32"/>
          <w:szCs w:val="32"/>
        </w:rPr>
        <w:t>减少了7.33万元、攀枝花市成都干部休养所减少了0.83万元，主要是随着接待人次的减少，特别是执行公务人员公务交通补贴后，公车使用情况也大幅下降，</w:t>
      </w:r>
      <w:r>
        <w:rPr>
          <w:rFonts w:ascii="仿宋_GB2312" w:eastAsia="仿宋_GB2312" w:hAnsi="宋体" w:hint="eastAsia"/>
          <w:sz w:val="32"/>
          <w:szCs w:val="32"/>
        </w:rPr>
        <w:t>所以本年汽车费用下降幅度较大。需说明的是，攀枝花市人民政府驻成都办事处在2018年</w:t>
      </w:r>
      <w:r>
        <w:rPr>
          <w:rFonts w:ascii="仿宋_GB2312" w:eastAsia="仿宋_GB2312" w:hAnsi="仿宋" w:cs="仿宋" w:hint="eastAsia"/>
          <w:color w:val="000000"/>
          <w:kern w:val="0"/>
          <w:sz w:val="32"/>
          <w:szCs w:val="32"/>
        </w:rPr>
        <w:t>决算报表中填写的公务用车保有量为7</w:t>
      </w:r>
      <w:r>
        <w:rPr>
          <w:rFonts w:ascii="仿宋_GB2312" w:eastAsia="仿宋_GB2312" w:hAnsi="宋体" w:hint="eastAsia"/>
          <w:sz w:val="32"/>
          <w:szCs w:val="32"/>
        </w:rPr>
        <w:t>辆（</w:t>
      </w:r>
      <w:r>
        <w:rPr>
          <w:rFonts w:ascii="仿宋_GB2312" w:eastAsia="仿宋_GB2312" w:hint="eastAsia"/>
          <w:sz w:val="32"/>
          <w:szCs w:val="32"/>
        </w:rPr>
        <w:t>轿车5辆、越野车1辆、中型载客汽车1辆</w:t>
      </w:r>
      <w:r>
        <w:rPr>
          <w:rFonts w:ascii="仿宋_GB2312" w:eastAsia="仿宋_GB2312" w:hAnsi="宋体" w:hint="eastAsia"/>
          <w:sz w:val="32"/>
          <w:szCs w:val="32"/>
        </w:rPr>
        <w:t>），而实有公车数为3辆（</w:t>
      </w:r>
      <w:r>
        <w:rPr>
          <w:rFonts w:ascii="仿宋_GB2312" w:eastAsia="仿宋_GB2312" w:hint="eastAsia"/>
          <w:sz w:val="32"/>
          <w:szCs w:val="32"/>
        </w:rPr>
        <w:t>轿车2辆、越野车1辆）</w:t>
      </w:r>
      <w:r>
        <w:rPr>
          <w:rFonts w:ascii="仿宋_GB2312" w:eastAsia="仿宋_GB2312" w:hAnsi="宋体" w:hint="eastAsia"/>
          <w:sz w:val="32"/>
          <w:szCs w:val="32"/>
        </w:rPr>
        <w:t>，其余车辆已调回攀枝花市机关事务管理局进行拍卖处置，</w:t>
      </w:r>
      <w:r>
        <w:rPr>
          <w:rFonts w:ascii="仿宋_GB2312" w:eastAsia="仿宋_GB2312" w:hAnsi="仿宋_GB2312" w:cs="仿宋_GB2312" w:hint="eastAsia"/>
          <w:sz w:val="32"/>
          <w:szCs w:val="32"/>
        </w:rPr>
        <w:t>因攀枝花市机关事务管理局拍卖后核销手续原因，资产暂未核销。</w:t>
      </w:r>
    </w:p>
    <w:p w:rsidR="009971F6" w:rsidRDefault="00ED6E5C">
      <w:pPr>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其中：公务用车购置支出0万元。全年按规定更新购置公务用车0辆，其中：轿车0辆、金额0万元，越野车0辆、金额0万元，载客汽车0辆、金额0元，主要用于…。截至2018年12月底，单位共有公务用车6辆，其中：轿车5辆、越野车1辆、载客汽车0辆。</w:t>
      </w:r>
    </w:p>
    <w:p w:rsidR="009971F6" w:rsidRDefault="00ED6E5C">
      <w:pPr>
        <w:spacing w:line="600" w:lineRule="exact"/>
        <w:ind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公务用车运行维护费支出14.89万元。主要用于</w:t>
      </w:r>
      <w:r>
        <w:rPr>
          <w:rFonts w:ascii="仿宋_GB2312" w:eastAsia="仿宋_GB2312" w:cs="仿宋_GB2312" w:hint="eastAsia"/>
          <w:sz w:val="32"/>
          <w:szCs w:val="32"/>
        </w:rPr>
        <w:t>接待、招商引资、信息联络、离休老干部服务工作及单位日常工作正常运行</w:t>
      </w:r>
      <w:r>
        <w:rPr>
          <w:rFonts w:ascii="仿宋_GB2312" w:eastAsia="仿宋_GB2312" w:hint="eastAsia"/>
          <w:color w:val="000000"/>
          <w:sz w:val="32"/>
          <w:szCs w:val="32"/>
        </w:rPr>
        <w:t>等所需的</w:t>
      </w:r>
      <w:r>
        <w:rPr>
          <w:rFonts w:ascii="仿宋_GB2312" w:eastAsia="仿宋_GB2312" w:hAnsi="仿宋_GB2312" w:cs="仿宋_GB2312" w:hint="eastAsia"/>
          <w:bCs/>
          <w:color w:val="000000"/>
          <w:sz w:val="32"/>
          <w:szCs w:val="32"/>
        </w:rPr>
        <w:t>公务用车燃料费、维修费、过路过桥费、保险费等支出。</w:t>
      </w:r>
    </w:p>
    <w:p w:rsidR="009971F6" w:rsidRDefault="00ED6E5C">
      <w:pPr>
        <w:snapToGrid w:val="0"/>
        <w:spacing w:line="64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lastRenderedPageBreak/>
        <w:t>3.公务接待费支出63.45万元，</w:t>
      </w:r>
      <w:r>
        <w:rPr>
          <w:rStyle w:val="a8"/>
          <w:rFonts w:ascii="仿宋_GB2312" w:eastAsia="仿宋_GB2312" w:hAnsi="仿宋_GB2312" w:cs="仿宋_GB2312" w:hint="eastAsia"/>
          <w:b w:val="0"/>
          <w:bCs/>
          <w:color w:val="000000"/>
          <w:sz w:val="32"/>
          <w:szCs w:val="32"/>
        </w:rPr>
        <w:t>完成预算63.25%。</w:t>
      </w:r>
      <w:r>
        <w:rPr>
          <w:rFonts w:ascii="仿宋_GB2312" w:eastAsia="仿宋_GB2312" w:hAnsi="仿宋_GB2312" w:cs="仿宋_GB2312" w:hint="eastAsia"/>
          <w:bCs/>
          <w:color w:val="000000"/>
          <w:sz w:val="32"/>
          <w:szCs w:val="32"/>
        </w:rPr>
        <w:t>公务接待费支出决算比2017年减少156.02万元，下降71.09%。主要原因是</w:t>
      </w:r>
      <w:r>
        <w:rPr>
          <w:rFonts w:ascii="仿宋_GB2312" w:eastAsia="仿宋_GB2312" w:hAnsi="仿宋_GB2312" w:cs="仿宋_GB2312" w:hint="eastAsia"/>
          <w:color w:val="000000"/>
          <w:kern w:val="0"/>
          <w:sz w:val="32"/>
          <w:szCs w:val="32"/>
        </w:rPr>
        <w:t>接待人次的大幅下降，同时2018年度无接待用酒费用的支出，其中，</w:t>
      </w:r>
      <w:r>
        <w:rPr>
          <w:rFonts w:ascii="仿宋_GB2312" w:eastAsia="仿宋_GB2312" w:hAnsi="仿宋_GB2312" w:cs="仿宋_GB2312" w:hint="eastAsia"/>
          <w:sz w:val="32"/>
          <w:szCs w:val="32"/>
        </w:rPr>
        <w:t>攀枝花市人民政府驻成都办事处本级发生的费用较上年度下降了71.09%，减少支出155.70万元；攀枝花市成都干部休养所接待费支出为0.14万元，较上年减少了0.05万元；</w:t>
      </w:r>
      <w:r>
        <w:rPr>
          <w:rFonts w:ascii="仿宋_GB2312" w:eastAsia="仿宋_GB2312" w:hAnsi="宋体" w:hint="eastAsia"/>
          <w:sz w:val="32"/>
          <w:szCs w:val="32"/>
        </w:rPr>
        <w:t>攀枝花市成都干部服务中心2018年没有发生接待费用，2017年接待费支出为0.27万元</w:t>
      </w:r>
      <w:r>
        <w:rPr>
          <w:rFonts w:ascii="仿宋_GB2312" w:eastAsia="仿宋_GB2312" w:hAnsi="仿宋_GB2312" w:cs="仿宋_GB2312" w:hint="eastAsia"/>
          <w:color w:val="000000"/>
          <w:kern w:val="0"/>
          <w:sz w:val="32"/>
          <w:szCs w:val="32"/>
        </w:rPr>
        <w:t>。</w:t>
      </w:r>
    </w:p>
    <w:p w:rsidR="009971F6" w:rsidRDefault="00ED6E5C">
      <w:pPr>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主要用于执行公务、开展业务活动开支的交通费、住宿费、用餐费等。国内公务接待1020批次，2441人次（不包括陪同人员），共计支出63.45万元，具体内容包括：</w:t>
      </w:r>
      <w:r>
        <w:rPr>
          <w:rFonts w:ascii="仿宋_GB2312" w:eastAsia="仿宋_GB2312" w:cs="仿宋_GB2312" w:hint="eastAsia"/>
          <w:sz w:val="32"/>
          <w:szCs w:val="32"/>
        </w:rPr>
        <w:t>接待用矿泉水2.82万元、茶叶1.39万元、住宿支出8.41万元、餐费支出24.25万元、攀枝花农产品支出26.58万元。</w:t>
      </w:r>
      <w:r>
        <w:rPr>
          <w:rFonts w:ascii="仿宋_GB2312" w:eastAsia="仿宋_GB2312" w:hAnsi="仿宋_GB2312" w:cs="仿宋_GB2312" w:hint="eastAsia"/>
          <w:bCs/>
          <w:color w:val="000000"/>
          <w:sz w:val="32"/>
          <w:szCs w:val="32"/>
        </w:rPr>
        <w:t>其中：</w:t>
      </w:r>
    </w:p>
    <w:p w:rsidR="009971F6" w:rsidRDefault="00ED6E5C">
      <w:pPr>
        <w:spacing w:line="600" w:lineRule="exact"/>
        <w:ind w:firstLineChars="200" w:firstLine="640"/>
        <w:rPr>
          <w:rFonts w:ascii="仿宋_GB2312" w:eastAsia="仿宋_GB2312" w:hAnsi="仿宋_GB2312" w:cs="仿宋_GB2312"/>
          <w:bCs/>
          <w:color w:val="000000" w:themeColor="text1"/>
          <w:sz w:val="32"/>
          <w:szCs w:val="32"/>
        </w:rPr>
      </w:pPr>
      <w:r>
        <w:rPr>
          <w:rFonts w:ascii="仿宋_GB2312" w:eastAsia="仿宋_GB2312" w:hAnsi="仿宋_GB2312" w:cs="仿宋_GB2312" w:hint="eastAsia"/>
          <w:bCs/>
          <w:color w:val="000000"/>
          <w:sz w:val="32"/>
          <w:szCs w:val="32"/>
        </w:rPr>
        <w:t>外事接待支出0万元</w:t>
      </w:r>
      <w:r>
        <w:rPr>
          <w:rFonts w:ascii="仿宋_GB2312" w:eastAsia="仿宋_GB2312" w:hAnsi="仿宋_GB2312" w:cs="仿宋_GB2312" w:hint="eastAsia"/>
          <w:bCs/>
          <w:color w:val="000000" w:themeColor="text1"/>
          <w:sz w:val="32"/>
          <w:szCs w:val="32"/>
        </w:rPr>
        <w:t>，外事接待0批次，0人，共计支出0万元，主要用于接待…（具体项目）。主要用于……</w:t>
      </w:r>
    </w:p>
    <w:p w:rsidR="009971F6" w:rsidRDefault="00ED6E5C">
      <w:pPr>
        <w:spacing w:line="600" w:lineRule="exact"/>
        <w:ind w:firstLine="640"/>
        <w:rPr>
          <w:rFonts w:ascii="黑体" w:eastAsia="黑体"/>
          <w:color w:val="000000"/>
          <w:sz w:val="32"/>
          <w:szCs w:val="32"/>
        </w:rPr>
      </w:pPr>
      <w:r>
        <w:rPr>
          <w:rFonts w:ascii="仿宋_GB2312" w:eastAsia="仿宋_GB2312" w:hAnsi="仿宋_GB2312" w:cs="仿宋_GB2312" w:hint="eastAsia"/>
          <w:bCs/>
          <w:color w:val="000000"/>
          <w:sz w:val="32"/>
          <w:szCs w:val="32"/>
        </w:rPr>
        <w:t>其他国内公务接待支出63.45万元，主要用于</w:t>
      </w:r>
      <w:r>
        <w:rPr>
          <w:rFonts w:ascii="仿宋_GB2312" w:eastAsia="仿宋_GB2312" w:hint="eastAsia"/>
          <w:color w:val="000000"/>
          <w:sz w:val="32"/>
          <w:szCs w:val="32"/>
        </w:rPr>
        <w:t>执行公务、开展业务活动及有关招商工作开支的交通费、住宿费、用餐费等公务接待支出。</w:t>
      </w:r>
      <w:bookmarkStart w:id="51" w:name="_Toc15377218"/>
      <w:bookmarkStart w:id="52" w:name="_Toc15396610"/>
    </w:p>
    <w:p w:rsidR="009971F6" w:rsidRDefault="00ED6E5C">
      <w:pPr>
        <w:spacing w:line="600" w:lineRule="exact"/>
        <w:ind w:firstLine="640"/>
        <w:outlineLvl w:val="1"/>
        <w:rPr>
          <w:rStyle w:val="2Char"/>
          <w:rFonts w:ascii="黑体" w:eastAsia="黑体" w:hAnsi="黑体"/>
        </w:rPr>
      </w:pPr>
      <w:r>
        <w:rPr>
          <w:rFonts w:ascii="黑体" w:eastAsia="黑体" w:hint="eastAsia"/>
          <w:color w:val="000000"/>
          <w:sz w:val="32"/>
          <w:szCs w:val="32"/>
        </w:rPr>
        <w:t>八、</w:t>
      </w:r>
      <w:r>
        <w:rPr>
          <w:rStyle w:val="2Char"/>
          <w:rFonts w:ascii="黑体" w:eastAsia="黑体" w:hAnsi="黑体" w:hint="eastAsia"/>
          <w:b w:val="0"/>
        </w:rPr>
        <w:t>政府性基金预算支出决算情况说明</w:t>
      </w:r>
      <w:bookmarkEnd w:id="51"/>
      <w:bookmarkEnd w:id="52"/>
    </w:p>
    <w:p w:rsidR="009971F6" w:rsidRDefault="00ED6E5C">
      <w:pPr>
        <w:widowControl/>
        <w:spacing w:line="600" w:lineRule="exact"/>
        <w:ind w:firstLineChars="200" w:firstLine="640"/>
        <w:rPr>
          <w:rFonts w:ascii="仿宋_GB2312" w:eastAsia="仿宋_GB2312"/>
          <w:color w:val="000000"/>
          <w:sz w:val="32"/>
          <w:szCs w:val="32"/>
        </w:rPr>
      </w:pPr>
      <w:r>
        <w:rPr>
          <w:rFonts w:ascii="仿宋_GB2312" w:eastAsia="仿宋_GB2312" w:hAnsi="仿宋_GB2312" w:cs="仿宋_GB2312" w:hint="eastAsia"/>
          <w:color w:val="000000"/>
          <w:sz w:val="32"/>
          <w:szCs w:val="32"/>
        </w:rPr>
        <w:t>2018年政府性基金预算拨款支出0万元。</w:t>
      </w:r>
      <w:r>
        <w:rPr>
          <w:rFonts w:ascii="仿宋_GB2312" w:eastAsia="仿宋_GB2312" w:hAnsi="仿宋_GB2312" w:cs="仿宋_GB2312" w:hint="eastAsia"/>
          <w:color w:val="000000"/>
          <w:kern w:val="0"/>
          <w:sz w:val="32"/>
          <w:szCs w:val="32"/>
          <w:lang w:bidi="ar"/>
        </w:rPr>
        <w:t>政府性基金预算财政拨款收入支出决算表(财决公开11表)和政府性基金</w:t>
      </w:r>
      <w:r>
        <w:rPr>
          <w:rFonts w:ascii="仿宋_GB2312" w:eastAsia="仿宋_GB2312" w:hAnsi="仿宋_GB2312" w:cs="仿宋_GB2312" w:hint="eastAsia"/>
          <w:color w:val="000000"/>
          <w:kern w:val="0"/>
          <w:sz w:val="32"/>
          <w:szCs w:val="32"/>
          <w:lang w:bidi="ar"/>
        </w:rPr>
        <w:lastRenderedPageBreak/>
        <w:t>预算财政拨款“三公”经费支出决算表(财决公开12表)无数据。</w:t>
      </w:r>
    </w:p>
    <w:p w:rsidR="009971F6" w:rsidRDefault="00ED6E5C">
      <w:pPr>
        <w:spacing w:line="600" w:lineRule="exact"/>
        <w:ind w:firstLineChars="200" w:firstLine="640"/>
        <w:outlineLvl w:val="1"/>
        <w:rPr>
          <w:rStyle w:val="2Char"/>
          <w:rFonts w:ascii="黑体" w:eastAsia="黑体" w:hAnsi="黑体"/>
          <w:b w:val="0"/>
        </w:rPr>
      </w:pPr>
      <w:bookmarkStart w:id="53" w:name="_Toc15377219"/>
      <w:bookmarkStart w:id="54" w:name="_Toc15396611"/>
      <w:r>
        <w:rPr>
          <w:rStyle w:val="2Char"/>
          <w:rFonts w:ascii="黑体" w:eastAsia="黑体" w:hAnsi="黑体" w:hint="eastAsia"/>
          <w:b w:val="0"/>
        </w:rPr>
        <w:t>九、国有资本经营预算支出决算情况说明</w:t>
      </w:r>
      <w:bookmarkEnd w:id="53"/>
      <w:bookmarkEnd w:id="54"/>
    </w:p>
    <w:p w:rsidR="009971F6" w:rsidRDefault="00ED6E5C">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2018年国有资本经营预算拨款支出0万元。</w:t>
      </w:r>
      <w:r>
        <w:rPr>
          <w:rFonts w:ascii="仿宋_GB2312" w:eastAsia="仿宋_GB2312" w:hAnsi="仿宋_GB2312" w:cs="仿宋_GB2312" w:hint="eastAsia"/>
          <w:color w:val="000000"/>
          <w:kern w:val="0"/>
          <w:sz w:val="32"/>
          <w:szCs w:val="32"/>
          <w:lang w:bidi="ar"/>
        </w:rPr>
        <w:t>国有资本经营预算支出决算表(财决公开13表)无数据。</w:t>
      </w:r>
    </w:p>
    <w:p w:rsidR="009971F6" w:rsidRDefault="00ED6E5C">
      <w:pPr>
        <w:pStyle w:val="aa"/>
        <w:spacing w:line="580" w:lineRule="exact"/>
        <w:ind w:firstLine="640"/>
        <w:rPr>
          <w:rStyle w:val="2Char"/>
          <w:rFonts w:ascii="黑体" w:eastAsia="黑体" w:hAnsi="黑体"/>
          <w:b w:val="0"/>
        </w:rPr>
      </w:pPr>
      <w:r>
        <w:rPr>
          <w:rStyle w:val="2Char"/>
          <w:rFonts w:ascii="黑体" w:eastAsia="黑体" w:hAnsi="黑体" w:hint="eastAsia"/>
          <w:b w:val="0"/>
        </w:rPr>
        <w:t>十、预算绩效情况说明</w:t>
      </w:r>
    </w:p>
    <w:p w:rsidR="009971F6" w:rsidRDefault="00ED6E5C">
      <w:pPr>
        <w:spacing w:line="580" w:lineRule="exact"/>
        <w:ind w:firstLineChars="200" w:firstLine="643"/>
        <w:rPr>
          <w:rFonts w:ascii="仿宋" w:eastAsia="仿宋" w:hAnsi="仿宋" w:cs="楷体_GB2312"/>
          <w:b/>
          <w:bCs/>
          <w:sz w:val="32"/>
          <w:szCs w:val="32"/>
        </w:rPr>
      </w:pPr>
      <w:r>
        <w:rPr>
          <w:rFonts w:ascii="仿宋_GB2312" w:eastAsia="仿宋_GB2312" w:hAnsi="仿宋_GB2312" w:cs="仿宋_GB2312" w:hint="eastAsia"/>
          <w:b/>
          <w:bCs/>
          <w:sz w:val="32"/>
          <w:szCs w:val="32"/>
        </w:rPr>
        <w:t>（一）预算绩效管理工作开展情况。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单位）在年初预算编制阶段，组织对单位业务运行费、招商引资工作经费、老干部活动经费等3个项目开展了预算事前绩效评估，对业务运行费、招商引资工作经费、老干部活动经费等3个项目编制了绩效目标，预算执行过程中，选取业务运行费、招商引资工作经费、老干部活动经费等3个项目开展绩效监控，年终执行完毕后，对业务运行费、招商引资工作经费、老干部活动经费等3个项目开展了绩效目标完成情况梳理填报。</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本部门按要求对2018年部门整体支出开展绩效自评，从评价情况来看：</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目标1：业务运行费（含网络舆情与新闻信息、特色产品推广费、成都火车北站服务费及退票费、春节慰问费、领导在蓉租房费、离休干部活动费、离休干部特殊慰问费、离休人员水电气补贴、临时聘用人员劳务费、离退休干部专项活动费、设备及固定资产维修保养、租车费、物业管理费等）--- 围绕市委市政府的真实需求，广泛收集更多更好紧跟政</w:t>
      </w:r>
      <w:r>
        <w:rPr>
          <w:rFonts w:ascii="仿宋_GB2312" w:eastAsia="仿宋_GB2312" w:hAnsi="仿宋_GB2312" w:cs="仿宋_GB2312" w:hint="eastAsia"/>
          <w:sz w:val="32"/>
          <w:szCs w:val="32"/>
        </w:rPr>
        <w:lastRenderedPageBreak/>
        <w:t>治和经济导向的社会热点、重点信息，为领导和决策部门提供重要参考。利用多种渠道和平台广泛宣传攀枝花，扩大攀枝花知名度。我办一直秉承要把办事处办成“攀枝花人在成都的温馨家园”,为此我们做了大量细致的工作。为解决攀枝花市民在成都购票难、出行不方便的问题，我办积极沟通、协调成都铁路局、成都火车站等相关单位，得以继续在成都火车站保留进站专用通道和“攀枝花人”候车休息室，为每一位来蓉的攀枝花市民提供了非常大的方便。在春运、暑运、各大长假车票紧张期前，我办主动对接相关单位,争取理解支持，合理安排票源计划,做到长期有计划、临时有准备、急需有落实,保证每一位票务需求者的要求。出色地完成了“两会”等在蓉各类重要会议、重大活动期间的服务协调工作，得到了市委市政府的肯定。在工作中把坚持以老同志为本，始终把老同志们的利益放在第一位，倾听离休老干部们的意见，带着责任，带着感情，去关心他们的感受，真正树立一种服务的意识，踏实做事，多做好事,多办实事。认真解决好关系到他们切实利益的具体问题。</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目标2：招商引资工作经费--- 招商引资呈现新特点，助推攀枝花经济发展。招商引资工作是我市经济工作的重中之重，今年，我们充分利用地处成都的地域优势，主动作为，立足攀枝花实际，积极对外宣传攀枝花，展示攀枝花形象，推介攀枝花发展项目，在引进优秀企业、帮助区县项目落地方面取得了实实在在的成效。</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目标3：老干部活动经费---攀枝花市成都干部休养所的离休老干部们都远离原单位，子女大多不在身边。我们就在春节、五一劳动节、国庆、重阳节等重大节日时，购一些米、油和水果慰问全体老干部，把组织的关心带到每一家；春节前，我们同老干部党支部支委，到家去看望慰问因行动不方便、或有病不能参加活动的老干部，送去组织的关心和节日的祝福。</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还自行组织了对平安攀枝花建设专项经费这1个项目绩效评价，从评价情况来看：稳定是发展的基础和前提，稳定压倒一切。作为我市驻省会城市驻外办事机构和攀枝花的北大门，我们深知维稳责任重大，加强维稳劝返处置工作，完善应急程序，努力维护社会稳定。建立健全了信访维稳工作长效机制，制定了信访工作实施细则和处置突发事件预案，成立了信访应急领导小组，积极加强与省级信访部门和攀枝花市群工局、攀枝花市区县群工部门的信访信息沟通，及时有效地解决突发事件，保障劝返工作的顺利完成。</w:t>
      </w:r>
    </w:p>
    <w:p w:rsidR="009971F6" w:rsidRDefault="00ED6E5C">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（二）项目绩效目标完成情况。</w:t>
      </w:r>
      <w:r>
        <w:rPr>
          <w:rFonts w:ascii="楷体_GB2312" w:eastAsia="楷体_GB2312" w:hAnsi="楷体_GB2312" w:cs="楷体_GB2312" w:hint="eastAsia"/>
          <w:b/>
          <w:bCs/>
          <w:sz w:val="32"/>
          <w:szCs w:val="32"/>
        </w:rPr>
        <w:br/>
      </w:r>
      <w:r>
        <w:rPr>
          <w:rFonts w:ascii="仿宋_GB2312" w:eastAsia="仿宋_GB2312" w:hAnsi="仿宋_GB2312" w:cs="仿宋_GB2312" w:hint="eastAsia"/>
          <w:sz w:val="32"/>
          <w:szCs w:val="32"/>
        </w:rPr>
        <w:t xml:space="preserve">    本部门在2018年度部门决算中反映“业务运行费”、“招商引资工作经费”、“老干部活动经费”、“平安攀枝花建设专项经费”等4个项目绩效目标实际完成情况。（本单位部门项目绩效目标个数在5个以上的，选取5个项目进行公开，目标个数在5个以下的，全部进行公开，公开内容包括完成情况综述和完成情况表）。</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业务运行费项目绩效目标完成情况综述。项目全年预算数150万元，执行数为150万元，完成预算的100%。通过项目实施，保障了网络舆情与新闻信息、特色产品推广、成都火车北站攀枝花厅票务服务、离休老干部管理及相关工作等各项业务的经费支出。网络舆情与新闻信息是围绕市委市政府的真实需求，广泛收集更多更好紧跟政治和经济导向的社会热点、重点信息，为领导和决策部门提供重要参考；特色产品的推广是利用多种渠道和平台广泛宣传攀枝花，扩大攀枝花知名度；为解决攀枝花市民在成都购票难、出行不方便的问题，我办积极沟通、协调成都铁路局、成都火车站等相关单位，得以继续在成都火车站保留进站专用通道和“攀枝花人”候车休息室，为每一位来蓉的攀枝花市民提供了非常大的方便。在春运、暑运、各大长假车票紧张期前，我办主动对接相关单位,争取理解支持，合理安排票源计划,做到长期有计划、临时有准备、急需有落实,保证每一位票务需求者的要求；出色地完成了“两会”等在蓉各类重要会议、重大活动期间的服务协调工作，得到了市委市政府的肯定；在工作中把坚持以老同志为本，始终把老同志们的利益放在第一位，倾听离休老干部们的意见，带着责任，带着感情，去关心他们的感受，真正树立一种服务的意识，踏实做事，多做好事,多办实事。认真解决好关系到他们切实利益的具体问题。发现的主要问题：对攀枝花特色地方产品的推广宣传力度不够，网络舆情与新闻信息是为领导和决策部门提供</w:t>
      </w:r>
      <w:r>
        <w:rPr>
          <w:rFonts w:ascii="仿宋_GB2312" w:eastAsia="仿宋_GB2312" w:hAnsi="仿宋_GB2312" w:cs="仿宋_GB2312" w:hint="eastAsia"/>
          <w:sz w:val="32"/>
          <w:szCs w:val="32"/>
        </w:rPr>
        <w:lastRenderedPageBreak/>
        <w:t>重要参考的，但目前存在信息滞后、可用信息有限等情况。下一步改进措施：扩大对攀枝花产品种类、品质、特色的推广宣传，加深人们对其的认知和了解，从而提升其美誉度和品牌影响力，达到介绍攀枝花城市的作用；保证信息的时效性、真实性、可靠性，收集、整理及报送各类政务经济信息，尽能力为市委、市政府领导及相关部门提供有价值的信息。</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招商引资工作经费项目绩效目标完成情况综述。项目全年预算数28.6万元，执行数为28.6万元，完成预算的100%。通过项目实施，保障了招商引资工作的顺利进行，招商引资工作是我市经济工作的重中之重，今年，我们充分利用地处成都的地域优势，主动作为，立足攀枝花实际，积极对外宣传攀枝花，展示攀枝花形象，推介攀枝花发展项目，在引进优秀企业、帮助区县项目落地方面取得了实实在在的成效。发现的主要问题：招商引资工作进展缓慢，往往是意向型项目多，落实落地少。下一步改进措施：抓住契机，积极对外宣传攀枝花，展示攀枝花城市形象和魅力，促进意向型项目落实落地。</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平安攀枝花建设专项经费项目绩效目标完成情况综述。项目全年预算数7万元，执行数为7万元，完成预算的100%。通过项目实施，保障了信访维稳工作的顺利完成，稳定是发展的基础和前提，稳定压倒一切。作为我市驻省会城市驻外办事机构和攀枝花的北大门，我们深知维稳责任重大，加强维稳劝返处置工作，完善应急程序，努力维护社会</w:t>
      </w:r>
      <w:r>
        <w:rPr>
          <w:rFonts w:ascii="仿宋_GB2312" w:eastAsia="仿宋_GB2312" w:hAnsi="仿宋_GB2312" w:cs="仿宋_GB2312" w:hint="eastAsia"/>
          <w:sz w:val="32"/>
          <w:szCs w:val="32"/>
        </w:rPr>
        <w:lastRenderedPageBreak/>
        <w:t>稳定。建立健全了信访维稳工作长效机制，制定了信访工作实施细则和处置突发事件预案，成立了信访应急领导小组，积极加强与省级信访部门和攀枝花市群工局、攀枝花市区县群工部门的信访信息沟通，及时有效地解决突发事件，保障劝返工作的顺利完成。发现的主要问题：群访、突发事件增多，给维稳工作带来了一定难度。下一步改进措施：逐步建立信访突发事件应急处置机制，深入了解重大、复杂及群体性信访的原因，制定切实有效的突发事件处理方案，积极稳妥地解决问题。</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老干部活动经费项目绩效目标完成情况综述。项目全年预算数2万元，执行数为2万元，完成预算的100%。通过项目实施，保障了组织对攀枝花市级单位离休老干部在蓉生活期间的照顾和关怀。目前，攀枝花市成都干部休养所有离休老干部35人，平均年龄88岁，针对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在春节、五一劳动节、国庆、重阳节等重大节日时，购一些米、油和水果慰问全体老干部，把组织的关心带到每一家。发现的主要问题：离休老干部们远离原单位，子女大多不在身边，对单位的管理服务工作就要求更高。下一步改进措施：我们同老干部党支部支委，经常到家去看望慰</w:t>
      </w:r>
      <w:r>
        <w:rPr>
          <w:rFonts w:ascii="仿宋_GB2312" w:eastAsia="仿宋_GB2312" w:hAnsi="仿宋_GB2312" w:cs="仿宋_GB2312" w:hint="eastAsia"/>
          <w:sz w:val="32"/>
          <w:szCs w:val="32"/>
        </w:rPr>
        <w:lastRenderedPageBreak/>
        <w:t>问各位老同志，送去组织的关心和节日的祝福。</w:t>
      </w:r>
    </w:p>
    <w:p w:rsidR="009971F6" w:rsidRDefault="009971F6">
      <w:pPr>
        <w:spacing w:line="600" w:lineRule="exact"/>
        <w:ind w:firstLineChars="200" w:firstLine="640"/>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916"/>
        <w:gridCol w:w="105"/>
        <w:gridCol w:w="1155"/>
        <w:gridCol w:w="216"/>
        <w:gridCol w:w="2392"/>
        <w:gridCol w:w="2394"/>
        <w:gridCol w:w="2392"/>
      </w:tblGrid>
      <w:tr w:rsidR="009971F6">
        <w:trPr>
          <w:trHeight w:val="1034"/>
        </w:trPr>
        <w:tc>
          <w:tcPr>
            <w:tcW w:w="9960" w:type="dxa"/>
            <w:gridSpan w:val="8"/>
            <w:tcMar>
              <w:top w:w="15" w:type="dxa"/>
              <w:left w:w="15" w:type="dxa"/>
              <w:bottom w:w="0" w:type="dxa"/>
              <w:right w:w="15" w:type="dxa"/>
            </w:tcMar>
            <w:vAlign w:val="center"/>
          </w:tcPr>
          <w:p w:rsidR="009971F6" w:rsidRDefault="00ED6E5C">
            <w:pPr>
              <w:pStyle w:val="aa"/>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w:t>
            </w:r>
            <w:r>
              <w:rPr>
                <w:rFonts w:ascii="仿宋_GB2312" w:eastAsia="仿宋_GB2312" w:hAnsi="仿宋_GB2312" w:cs="仿宋_GB2312" w:hint="eastAsia"/>
                <w:color w:val="000000"/>
                <w:kern w:val="0"/>
                <w:sz w:val="32"/>
                <w:szCs w:val="32"/>
                <w:lang w:bidi="ar"/>
              </w:rPr>
              <w:t>2018 年度</w:t>
            </w:r>
            <w:r>
              <w:rPr>
                <w:rFonts w:ascii="宋体" w:hAnsi="宋体" w:cs="宋体" w:hint="eastAsia"/>
                <w:color w:val="000000"/>
                <w:kern w:val="0"/>
                <w:sz w:val="36"/>
                <w:szCs w:val="36"/>
                <w:lang w:bidi="ar"/>
              </w:rPr>
              <w:t>)</w:t>
            </w:r>
          </w:p>
        </w:tc>
      </w:tr>
      <w:tr w:rsidR="009971F6">
        <w:trPr>
          <w:trHeight w:val="90"/>
        </w:trPr>
        <w:tc>
          <w:tcPr>
            <w:tcW w:w="2566"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项目名称</w:t>
            </w:r>
          </w:p>
        </w:tc>
        <w:tc>
          <w:tcPr>
            <w:tcW w:w="739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业务运行费</w:t>
            </w:r>
          </w:p>
        </w:tc>
      </w:tr>
      <w:tr w:rsidR="009971F6">
        <w:trPr>
          <w:trHeight w:val="276"/>
        </w:trPr>
        <w:tc>
          <w:tcPr>
            <w:tcW w:w="2566"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预算单位</w:t>
            </w:r>
          </w:p>
        </w:tc>
        <w:tc>
          <w:tcPr>
            <w:tcW w:w="739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攀枝花市人民政府驻成都办事处（汇总）</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预算执行情况(万元)</w:t>
            </w:r>
          </w:p>
        </w:tc>
        <w:tc>
          <w:tcPr>
            <w:tcW w:w="217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预算数:</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150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150</w:t>
            </w:r>
          </w:p>
        </w:tc>
      </w:tr>
      <w:tr w:rsidR="009971F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17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150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150</w:t>
            </w:r>
          </w:p>
        </w:tc>
      </w:tr>
      <w:tr w:rsidR="009971F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17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jc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年度目标完成情况</w:t>
            </w: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实际完成目标</w:t>
            </w:r>
          </w:p>
        </w:tc>
      </w:tr>
      <w:tr w:rsidR="009971F6">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围绕市委市政府的真实需求，广泛收集更多更好紧跟政治和经济导向的社会热点、重点信息，为领导和决策部门提供重要参考。利用多种渠道和平台广泛宣传攀枝花，扩大攀枝花知名度。我办一直秉承要把办事处办成“攀枝花人在成都的温馨家园”,为此我们做了大量细致的工作。为解决攀枝花市民在成都购票难、出行不方便的问题，我办积极沟通、协调成都铁路局、成都火车站等相关单位，得以继续在成都火车站保留进站专用通道和“攀枝花人”候车休息室，为每一位来蓉的攀枝花市民提供了非常大的方便。在春运、暑运、各大长假车票紧张期前，我办主动对接相关单位,争取理解支持，合理安排票源计划,做到长期有计划、临时有准备、急需有落实,保证每一位票务需求者的要求。加强离休人员管理服务工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围绕市委市政府的真实需求，广泛收集更多更好紧跟政治和经济导向的社会热点、重点信息，为领导和决策部门提供重要参考。利用多种渠道和平台广泛宣传攀枝花，扩大攀枝花知名度。我办一直秉承要把办事处办成“攀枝花人在成都的温馨家园”,为此我们做了大量细致的工作。为解决攀枝花市民在成都购票难、出行不方便的问题，我办积极沟通、协调成都铁路局、成都火车站等相关单位，得以继续在成都火车站保留进站专用通道和“攀枝花人”候车休息室，为每一位来蓉的攀枝花市民提供了非常大的方便。在春运、暑运、各大长假车票紧张期前，我办主动对接相关单位,争取理解支持，合理安排票源计划,做到长期有计划、临时有准备、急需有落实,保证每一位票务需求者的要求。加强离休人员管理服务工作。</w:t>
            </w:r>
          </w:p>
        </w:tc>
      </w:tr>
      <w:tr w:rsidR="009971F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绩效指标完成情况</w:t>
            </w:r>
          </w:p>
        </w:tc>
        <w:tc>
          <w:tcPr>
            <w:tcW w:w="916"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一级指标</w:t>
            </w:r>
          </w:p>
        </w:tc>
        <w:tc>
          <w:tcPr>
            <w:tcW w:w="1260" w:type="dxa"/>
            <w:gridSpan w:val="2"/>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二级指标</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实际完成指标值(包含数字及文字描述)</w:t>
            </w:r>
          </w:p>
        </w:tc>
      </w:tr>
      <w:tr w:rsidR="009971F6">
        <w:trPr>
          <w:trHeight w:val="889"/>
        </w:trPr>
        <w:tc>
          <w:tcPr>
            <w:tcW w:w="390" w:type="dxa"/>
            <w:vMerge/>
            <w:tcBorders>
              <w:top w:val="single" w:sz="4" w:space="0" w:color="000000"/>
              <w:left w:val="single" w:sz="4" w:space="0" w:color="000000"/>
              <w:bottom w:val="single" w:sz="4" w:space="0" w:color="000000"/>
              <w:right w:val="single" w:sz="4" w:space="0" w:color="auto"/>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项目完成指标</w:t>
            </w:r>
          </w:p>
        </w:tc>
        <w:tc>
          <w:tcPr>
            <w:tcW w:w="1260" w:type="dxa"/>
            <w:gridSpan w:val="2"/>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数量指标</w:t>
            </w:r>
          </w:p>
        </w:tc>
        <w:tc>
          <w:tcPr>
            <w:tcW w:w="2608" w:type="dxa"/>
            <w:gridSpan w:val="2"/>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编制印刷《省城信息专讯》12期/年。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编制印刷《省城信息专讯》12期/年。</w:t>
            </w:r>
          </w:p>
        </w:tc>
      </w:tr>
      <w:tr w:rsidR="009971F6">
        <w:trPr>
          <w:trHeight w:val="1001"/>
        </w:trPr>
        <w:tc>
          <w:tcPr>
            <w:tcW w:w="390" w:type="dxa"/>
            <w:vMerge/>
            <w:tcBorders>
              <w:top w:val="single" w:sz="4" w:space="0" w:color="000000"/>
              <w:left w:val="single" w:sz="4" w:space="0" w:color="000000"/>
              <w:bottom w:val="single" w:sz="4" w:space="0" w:color="000000"/>
              <w:right w:val="single" w:sz="4" w:space="0" w:color="auto"/>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auto"/>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auto"/>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按农产品季节推广攀枝花农产品，介绍宣传攀枝花地方产品。</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按农产品季节推广攀枝花农产品，介绍宣传攀枝花地方产品。</w:t>
            </w:r>
          </w:p>
        </w:tc>
      </w:tr>
      <w:tr w:rsidR="009971F6">
        <w:trPr>
          <w:trHeight w:val="1166"/>
        </w:trPr>
        <w:tc>
          <w:tcPr>
            <w:tcW w:w="390" w:type="dxa"/>
            <w:vMerge/>
            <w:tcBorders>
              <w:top w:val="single" w:sz="4" w:space="0" w:color="000000"/>
              <w:left w:val="single" w:sz="4" w:space="0" w:color="000000"/>
              <w:bottom w:val="single" w:sz="4" w:space="0" w:color="000000"/>
              <w:right w:val="single" w:sz="4" w:space="0" w:color="auto"/>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为攀枝花人在成都火车北站提供攀枝花厅</w:t>
            </w:r>
            <w:r w:rsidR="00DA4897">
              <w:rPr>
                <w:rFonts w:ascii="仿宋_GB2312" w:eastAsia="仿宋_GB2312" w:hAnsi="仿宋_GB2312" w:cs="仿宋_GB2312" w:hint="eastAsia"/>
                <w:color w:val="000000"/>
                <w:sz w:val="18"/>
                <w:szCs w:val="18"/>
              </w:rPr>
              <w:t>候车</w:t>
            </w:r>
            <w:r>
              <w:rPr>
                <w:rFonts w:ascii="仿宋_GB2312" w:eastAsia="仿宋_GB2312" w:hAnsi="仿宋_GB2312" w:cs="仿宋_GB2312" w:hint="eastAsia"/>
                <w:color w:val="000000"/>
                <w:sz w:val="18"/>
                <w:szCs w:val="18"/>
              </w:rPr>
              <w:t>室一间。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为攀枝花人在成都火车北站提供攀枝花厅</w:t>
            </w:r>
            <w:r w:rsidR="00DA4897">
              <w:rPr>
                <w:rFonts w:ascii="仿宋_GB2312" w:eastAsia="仿宋_GB2312" w:hAnsi="仿宋_GB2312" w:cs="仿宋_GB2312" w:hint="eastAsia"/>
                <w:color w:val="000000"/>
                <w:sz w:val="18"/>
                <w:szCs w:val="18"/>
              </w:rPr>
              <w:t>候车</w:t>
            </w:r>
            <w:r>
              <w:rPr>
                <w:rFonts w:ascii="仿宋_GB2312" w:eastAsia="仿宋_GB2312" w:hAnsi="仿宋_GB2312" w:cs="仿宋_GB2312" w:hint="eastAsia"/>
                <w:color w:val="000000"/>
                <w:sz w:val="18"/>
                <w:szCs w:val="18"/>
              </w:rPr>
              <w:t>室一间。</w:t>
            </w:r>
          </w:p>
        </w:tc>
      </w:tr>
      <w:tr w:rsidR="009971F6">
        <w:trPr>
          <w:trHeight w:val="839"/>
        </w:trPr>
        <w:tc>
          <w:tcPr>
            <w:tcW w:w="390" w:type="dxa"/>
            <w:vMerge/>
            <w:tcBorders>
              <w:top w:val="single" w:sz="4" w:space="0" w:color="000000"/>
              <w:left w:val="single" w:sz="4" w:space="0" w:color="000000"/>
              <w:bottom w:val="single" w:sz="4" w:space="0" w:color="000000"/>
              <w:right w:val="single" w:sz="4" w:space="0" w:color="auto"/>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kern w:val="0"/>
                <w:sz w:val="18"/>
                <w:szCs w:val="18"/>
                <w:lang w:bidi="ar"/>
              </w:rPr>
            </w:pPr>
            <w:r>
              <w:rPr>
                <w:rFonts w:ascii="仿宋_GB2312" w:eastAsia="仿宋_GB2312" w:hAnsi="仿宋_GB2312" w:cs="仿宋_GB2312" w:hint="eastAsia"/>
                <w:color w:val="000000"/>
                <w:sz w:val="18"/>
                <w:szCs w:val="18"/>
              </w:rPr>
              <w:t>项目完成指标</w:t>
            </w:r>
          </w:p>
        </w:tc>
        <w:tc>
          <w:tcPr>
            <w:tcW w:w="1260" w:type="dxa"/>
            <w:gridSpan w:val="2"/>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数量指标</w:t>
            </w:r>
          </w:p>
        </w:tc>
        <w:tc>
          <w:tcPr>
            <w:tcW w:w="2608" w:type="dxa"/>
            <w:gridSpan w:val="2"/>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“两会”安排、调蓉人员座谈、联络协调服务、固定资产维修维护、临聘人员劳务，春节走访慰问等相关工作经费支出。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“两会”安排、调蓉人员座谈、联络协调服务、固定资产维修维护、临聘人员劳务，春节走访慰问等相关工作经费支出。</w:t>
            </w:r>
          </w:p>
        </w:tc>
      </w:tr>
      <w:tr w:rsidR="009971F6">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auto"/>
              <w:bottom w:val="single" w:sz="4" w:space="0" w:color="000000"/>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auto"/>
              <w:bottom w:val="single" w:sz="4" w:space="0" w:color="000000"/>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市委市政府慰问离休老干部、组织老干部集体学习和座谈、离休老干部每年每户生活水电气补贴。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市委市政府慰问离休老干部、组织老干部集体学习和座谈、离休老干部每年每户生活水电气补贴。</w:t>
            </w:r>
          </w:p>
        </w:tc>
      </w:tr>
      <w:tr w:rsidR="009971F6">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项目完成指标</w:t>
            </w:r>
          </w:p>
        </w:tc>
        <w:tc>
          <w:tcPr>
            <w:tcW w:w="1260"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质量指标</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我办于2011年10月创刊的月刊《省城信息专讯》，从独特的视角给市领导和区县、部门提供了一份十分有价值的参考资料。</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我办于2011年10月创刊的月刊《省城信息专讯》，从独特的视角给市领导和区县、部门提供了一份十分有价值的参考资料。</w:t>
            </w:r>
          </w:p>
        </w:tc>
      </w:tr>
      <w:tr w:rsidR="009971F6">
        <w:trPr>
          <w:trHeight w:val="120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推广攀枝花产品的种类、品质、特色，加深人们对其的认知和了解。</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推广攀枝花产品的种类、品质、特色，加深人们对其的认知和了解。</w:t>
            </w:r>
          </w:p>
        </w:tc>
      </w:tr>
      <w:tr w:rsidR="009971F6">
        <w:trPr>
          <w:trHeight w:val="102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保证每一位来蓉攀枝花人的票务出行需要。</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保证每一位来蓉攀枝花人的票务出行需要。</w:t>
            </w:r>
          </w:p>
        </w:tc>
      </w:tr>
      <w:tr w:rsidR="009971F6">
        <w:trPr>
          <w:trHeight w:val="11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及时有效的完成市委、市政府交办的任务，做好后勤保障工作。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及时有效的完成市委、市政府交办的任务，做好后勤保障工作。</w:t>
            </w:r>
          </w:p>
        </w:tc>
      </w:tr>
      <w:tr w:rsidR="009971F6">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交流感情、征求意见，要让老同志病有所依、老有所养，使老同志真正感受到干休所是一个和谐温馨的大家庭。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交流感情、征求意见，要让老同志病有所依、老有所养，使老同志真正感受到干休所是一个和谐温馨的大家庭。</w:t>
            </w:r>
          </w:p>
        </w:tc>
      </w:tr>
      <w:tr w:rsidR="009971F6">
        <w:trPr>
          <w:trHeight w:val="10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项目完成指标</w:t>
            </w:r>
          </w:p>
        </w:tc>
        <w:tc>
          <w:tcPr>
            <w:tcW w:w="1260"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时效指标</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85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9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98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7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kern w:val="0"/>
                <w:sz w:val="18"/>
                <w:szCs w:val="18"/>
                <w:lang w:bidi="ar"/>
              </w:rPr>
            </w:pPr>
            <w:r>
              <w:rPr>
                <w:rFonts w:ascii="仿宋_GB2312" w:eastAsia="仿宋_GB2312" w:hAnsi="仿宋_GB2312" w:cs="仿宋_GB2312" w:hint="eastAsia"/>
                <w:color w:val="000000"/>
                <w:kern w:val="0"/>
                <w:sz w:val="18"/>
                <w:szCs w:val="18"/>
                <w:lang w:bidi="ar"/>
              </w:rPr>
              <w:t>项目完成指标</w:t>
            </w:r>
          </w:p>
        </w:tc>
        <w:tc>
          <w:tcPr>
            <w:tcW w:w="1260"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成本指标</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7万元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7万元</w:t>
            </w:r>
          </w:p>
        </w:tc>
      </w:tr>
      <w:tr w:rsidR="009971F6">
        <w:trPr>
          <w:trHeight w:val="72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20万元</w:t>
            </w:r>
          </w:p>
        </w:tc>
      </w:tr>
      <w:tr w:rsidR="009971F6">
        <w:trPr>
          <w:trHeight w:val="66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30万元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30万元</w:t>
            </w:r>
          </w:p>
        </w:tc>
      </w:tr>
      <w:tr w:rsidR="009971F6">
        <w:trPr>
          <w:trHeight w:val="65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68.29万元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68.29万元</w:t>
            </w:r>
          </w:p>
        </w:tc>
      </w:tr>
      <w:tr w:rsidR="009971F6">
        <w:trPr>
          <w:trHeight w:val="7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24.71万元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24.71万元</w:t>
            </w:r>
          </w:p>
        </w:tc>
      </w:tr>
      <w:tr w:rsidR="009971F6">
        <w:trPr>
          <w:trHeight w:val="8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效益指标</w:t>
            </w:r>
          </w:p>
        </w:tc>
        <w:tc>
          <w:tcPr>
            <w:tcW w:w="1260"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经济效益指标</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为市领导和决策部门提供信息参考。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为市领导和决策部门提供信息参考。</w:t>
            </w:r>
          </w:p>
        </w:tc>
      </w:tr>
      <w:tr w:rsidR="009971F6">
        <w:trPr>
          <w:trHeight w:val="83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发展攀枝花地方产品的加工生产、农产品的种植栽培，提高其经济效益。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发展攀枝花地方产品的加工生产、农产品的种植栽培，提高其经济效益。</w:t>
            </w:r>
          </w:p>
        </w:tc>
      </w:tr>
      <w:tr w:rsidR="009971F6">
        <w:trPr>
          <w:trHeight w:val="85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为攀枝花经济发展做好服务工作。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为攀枝花经济发展做好服务工作。</w:t>
            </w:r>
          </w:p>
        </w:tc>
      </w:tr>
      <w:tr w:rsidR="009971F6">
        <w:trPr>
          <w:trHeight w:val="8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为攀枝花经济发展做好服务工作。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为攀枝花经济发展做好服务工作。</w:t>
            </w:r>
          </w:p>
        </w:tc>
      </w:tr>
      <w:tr w:rsidR="009971F6">
        <w:trPr>
          <w:trHeight w:val="86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1260"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让老同志感受到组织的关心和照顾。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让老同志感受到组织的关心和照顾。</w:t>
            </w:r>
          </w:p>
        </w:tc>
      </w:tr>
      <w:tr w:rsidR="009971F6">
        <w:trPr>
          <w:trHeight w:val="9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效益指标</w:t>
            </w:r>
          </w:p>
        </w:tc>
        <w:tc>
          <w:tcPr>
            <w:tcW w:w="1260"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社会效益指标</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为相关部门提供大量有价值的信息。</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为相关部门提供大量有价值的信息。</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促进推广了攀枝花特色产品，如水果、茶叶、钒钛产品等。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促进推广了攀枝花特色产品，如水果、茶叶、钒钛产品等。</w:t>
            </w:r>
          </w:p>
        </w:tc>
      </w:tr>
      <w:tr w:rsidR="009971F6">
        <w:trPr>
          <w:trHeight w:val="92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保证攀枝花人在蓉的出行方便。</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保证攀枝花人在蓉的出行方便。</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积极联系调蓉人员，使他们继续关心、帮助、支持攀枝花建设，为攀枝花经济的发展出力献策。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积极联系调蓉人员，使他们继续关心、帮助、支持攀枝花建设，为攀枝花经济的发展出力献策。</w:t>
            </w:r>
          </w:p>
        </w:tc>
      </w:tr>
      <w:tr w:rsidR="009971F6">
        <w:trPr>
          <w:trHeight w:val="1418"/>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把为老同志服好务放在重要的位置上，重视老干部管理和服务工作，把他们的满意作为我所工作的出发点和落脚点。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把为老同志服好务放在重要的位置上，重视老干部管理和服务工作，把他们的满意作为我所工作的出发点和落脚点。</w:t>
            </w:r>
          </w:p>
        </w:tc>
      </w:tr>
      <w:tr w:rsidR="009971F6">
        <w:trPr>
          <w:trHeight w:val="146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效益指标</w:t>
            </w:r>
          </w:p>
        </w:tc>
        <w:tc>
          <w:tcPr>
            <w:tcW w:w="1260"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可持续影响指标</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根据市委、市政府信息需求，收集整理及报送各类政务经济信息，为领导和部门提供决策参考。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根据市委、市政府信息需求，收集整理及报送各类政务经济信息，为领导和部门提供决策参考。</w:t>
            </w:r>
          </w:p>
        </w:tc>
      </w:tr>
      <w:tr w:rsidR="009971F6">
        <w:trPr>
          <w:trHeight w:val="15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通过对攀枝花特色产品的推广宣传，从而提升其美誉度和品牌影响力，达到介绍攀枝花城市的作用。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通过对攀枝花特色产品的推广宣传，从而提升其美誉度和品牌影响力，达到介绍攀枝花城市的作用。</w:t>
            </w:r>
          </w:p>
        </w:tc>
      </w:tr>
      <w:tr w:rsidR="009971F6">
        <w:trPr>
          <w:trHeight w:val="15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坚持为民服务的宗旨，努力为群众为实事，把办事处办成“攀枝花人在成都的温馨家园”。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坚持为民服务的宗旨，努力为群众为实事，把办事处办成“攀枝花人在成都的温馨家园”。</w:t>
            </w:r>
          </w:p>
        </w:tc>
      </w:tr>
      <w:tr w:rsidR="009971F6">
        <w:trPr>
          <w:trHeight w:val="14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我办在市委、市政府正确领导下，圆满完成了各项目标工作任务，受到了派出地和派驻地主管部门的高度肯定。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我办在市委、市政府正确领导下，圆满完成了各项目标工作任务，受到了派出地和派驻地主管部门的高度肯定。</w:t>
            </w:r>
          </w:p>
        </w:tc>
      </w:tr>
      <w:tr w:rsidR="009971F6">
        <w:trPr>
          <w:trHeight w:val="143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让老干部保持积极状态，幸福安度晚年。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让老干部保持积极状态，幸福安度晚年。</w:t>
            </w:r>
          </w:p>
        </w:tc>
      </w:tr>
      <w:tr w:rsidR="009971F6">
        <w:trPr>
          <w:trHeight w:val="1185"/>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满意度指标</w:t>
            </w:r>
          </w:p>
        </w:tc>
        <w:tc>
          <w:tcPr>
            <w:tcW w:w="1260"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 xml:space="preserve">服务对象满意度指标 </w:t>
            </w: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 xml:space="preserve">专刊创刊以来，深受市领导的肯定，在全省各市州驻蓉办事处中首屈一指。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 xml:space="preserve">专刊创刊以来，深受市领导的肯定，在全省各市州驻蓉办事处中首屈一指。 </w:t>
            </w:r>
          </w:p>
        </w:tc>
      </w:tr>
      <w:tr w:rsidR="009971F6">
        <w:trPr>
          <w:trHeight w:val="121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既提高了攀枝花各色工业、农业产品的知名度，也提升攀枝花的城市形象。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既提高了攀枝花各色工业、农业产品的知名度，也提升攀枝花的城市形象。</w:t>
            </w:r>
          </w:p>
        </w:tc>
      </w:tr>
      <w:tr w:rsidR="009971F6">
        <w:trPr>
          <w:trHeight w:val="121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为每一位来蓉返攀的攀枝花市民提供了专用通道和</w:t>
            </w:r>
            <w:r w:rsidR="00DA4897">
              <w:rPr>
                <w:rFonts w:ascii="仿宋_GB2312" w:eastAsia="仿宋_GB2312" w:hAnsi="仿宋_GB2312" w:cs="仿宋_GB2312" w:hint="eastAsia"/>
                <w:sz w:val="18"/>
                <w:szCs w:val="18"/>
              </w:rPr>
              <w:t>候车</w:t>
            </w:r>
            <w:r>
              <w:rPr>
                <w:rFonts w:ascii="仿宋_GB2312" w:eastAsia="仿宋_GB2312" w:hAnsi="仿宋_GB2312" w:cs="仿宋_GB2312" w:hint="eastAsia"/>
                <w:sz w:val="18"/>
                <w:szCs w:val="18"/>
              </w:rPr>
              <w:t>休息室，得到了一致的好评。</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为每一位来蓉返攀的攀枝花市民提供了专用通道和</w:t>
            </w:r>
            <w:r w:rsidR="00DA4897">
              <w:rPr>
                <w:rFonts w:ascii="仿宋_GB2312" w:eastAsia="仿宋_GB2312" w:hAnsi="仿宋_GB2312" w:cs="仿宋_GB2312" w:hint="eastAsia"/>
                <w:sz w:val="18"/>
                <w:szCs w:val="18"/>
              </w:rPr>
              <w:t>候车</w:t>
            </w:r>
            <w:r>
              <w:rPr>
                <w:rFonts w:ascii="仿宋_GB2312" w:eastAsia="仿宋_GB2312" w:hAnsi="仿宋_GB2312" w:cs="仿宋_GB2312" w:hint="eastAsia"/>
                <w:sz w:val="18"/>
                <w:szCs w:val="18"/>
              </w:rPr>
              <w:t>休息室，得到了一致的好评。</w:t>
            </w:r>
          </w:p>
        </w:tc>
      </w:tr>
      <w:tr w:rsidR="009971F6">
        <w:trPr>
          <w:trHeight w:val="121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建成学习型、创新型、服务型办事处，成为每一个攀枝花人在成都的家。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建成学习型、创新型、服务型办事处，成为每一个攀枝花人在成都的家。</w:t>
            </w:r>
          </w:p>
        </w:tc>
      </w:tr>
      <w:tr w:rsidR="009971F6">
        <w:trPr>
          <w:trHeight w:val="127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1260"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感受国家给予离休老干部的福利。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感受国家给予离休老干部的福利。</w:t>
            </w:r>
          </w:p>
        </w:tc>
      </w:tr>
      <w:tr w:rsidR="009971F6">
        <w:trPr>
          <w:trHeight w:val="1343"/>
        </w:trPr>
        <w:tc>
          <w:tcPr>
            <w:tcW w:w="9960" w:type="dxa"/>
            <w:gridSpan w:val="8"/>
            <w:tcMar>
              <w:top w:w="15" w:type="dxa"/>
              <w:left w:w="15" w:type="dxa"/>
              <w:bottom w:w="0" w:type="dxa"/>
              <w:right w:w="15" w:type="dxa"/>
            </w:tcMar>
            <w:vAlign w:val="center"/>
          </w:tcPr>
          <w:p w:rsidR="009971F6" w:rsidRDefault="00ED6E5C">
            <w:pPr>
              <w:pStyle w:val="aa"/>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w:t>
            </w:r>
            <w:r>
              <w:rPr>
                <w:rFonts w:ascii="仿宋_GB2312" w:eastAsia="仿宋_GB2312" w:hAnsi="仿宋_GB2312" w:cs="仿宋_GB2312" w:hint="eastAsia"/>
                <w:color w:val="000000"/>
                <w:kern w:val="0"/>
                <w:sz w:val="32"/>
                <w:szCs w:val="32"/>
                <w:lang w:bidi="ar"/>
              </w:rPr>
              <w:t>2018 年度</w:t>
            </w:r>
            <w:r>
              <w:rPr>
                <w:rFonts w:ascii="宋体" w:hAnsi="宋体" w:cs="宋体" w:hint="eastAsia"/>
                <w:color w:val="000000"/>
                <w:kern w:val="0"/>
                <w:sz w:val="36"/>
                <w:szCs w:val="36"/>
                <w:lang w:bidi="ar"/>
              </w:rPr>
              <w:t>)</w:t>
            </w:r>
          </w:p>
        </w:tc>
      </w:tr>
      <w:tr w:rsidR="009971F6">
        <w:trPr>
          <w:trHeight w:val="276"/>
        </w:trPr>
        <w:tc>
          <w:tcPr>
            <w:tcW w:w="2782"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招商引资工作经费</w:t>
            </w:r>
          </w:p>
        </w:tc>
      </w:tr>
      <w:tr w:rsidR="009971F6">
        <w:trPr>
          <w:trHeight w:val="276"/>
        </w:trPr>
        <w:tc>
          <w:tcPr>
            <w:tcW w:w="2782"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攀枝花市人民政府驻成都办事处</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预算执行情况(万元)</w:t>
            </w: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28.6</w:t>
            </w:r>
          </w:p>
        </w:tc>
      </w:tr>
      <w:tr w:rsidR="009971F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28.6</w:t>
            </w:r>
          </w:p>
        </w:tc>
      </w:tr>
      <w:tr w:rsidR="009971F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jc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年度目标完成情况</w:t>
            </w: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实际完成目标</w:t>
            </w:r>
          </w:p>
        </w:tc>
      </w:tr>
      <w:tr w:rsidR="009971F6">
        <w:trPr>
          <w:trHeight w:val="1999"/>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我们充分利用地处成都的地域优势，主动作为，立足攀枝花实际，积极对外宣传攀枝花，展示攀枝花形象，推介攀枝花发展项目，力争引进优秀企业，帮助区县项目实实在在的落地，从而助推攀枝花经济的发展。</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我们充分利用地处成都的地域优势，主动作为，立足攀枝花实际，积极对外宣传攀枝花，展示攀枝花形象，推介攀枝花发展项目，力争引进优秀企业，帮助区县项目实实在在的落地，从而助推攀枝花经济的发展。</w:t>
            </w:r>
          </w:p>
        </w:tc>
      </w:tr>
      <w:tr w:rsidR="009971F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绩效指标完成情况</w:t>
            </w:r>
          </w:p>
        </w:tc>
        <w:tc>
          <w:tcPr>
            <w:tcW w:w="102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一级指标</w:t>
            </w: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实际完成指标值(包含数字及文字描述)</w:t>
            </w:r>
          </w:p>
        </w:tc>
      </w:tr>
      <w:tr w:rsidR="009971F6">
        <w:trPr>
          <w:trHeight w:val="906"/>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项目完成指标</w:t>
            </w: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组织开展并参与招商工作各项活动，每年两次及以上。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组织开展并参与招商工作各项活动，每年两次及以上。</w:t>
            </w:r>
          </w:p>
        </w:tc>
      </w:tr>
      <w:tr w:rsidR="009971F6">
        <w:trPr>
          <w:trHeight w:val="95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促进招商项目签约，提供投资咨询。</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促进招商项目签约，提供投资咨询。</w:t>
            </w:r>
          </w:p>
        </w:tc>
      </w:tr>
      <w:tr w:rsidR="009971F6">
        <w:trPr>
          <w:trHeight w:val="8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 xml:space="preserve">时效指标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r>
      <w:tr w:rsidR="009971F6">
        <w:trPr>
          <w:trHeight w:val="80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Cs w:val="21"/>
                <w:lang w:bidi="ar"/>
              </w:rPr>
            </w:pP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28.6万元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28.6万元</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效益指标</w:t>
            </w: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助推攀枝花经济发展。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助推攀枝花经济发展。</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抓住契机，积极对外宣传攀枝花，展示攀枝花城市形象和魅力。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抓住契机，积极对外宣传攀枝花，展示攀枝花城市形象和魅力。</w:t>
            </w:r>
          </w:p>
        </w:tc>
      </w:tr>
      <w:tr w:rsidR="009971F6">
        <w:trPr>
          <w:trHeight w:val="181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效益指标</w:t>
            </w: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利用地处成都的地域优势，主动作为，立足攀枝花实际，对外宣传推介攀枝花发展项目，引进优秀企业，建设攀枝花。</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利用地处成都的地域优势，主动作为，立足攀枝花实际，对外宣传推介攀枝花发展项目，引进优秀企业，建设攀枝花。</w:t>
            </w:r>
          </w:p>
        </w:tc>
      </w:tr>
      <w:tr w:rsidR="009971F6">
        <w:trPr>
          <w:trHeight w:val="1515"/>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满意度指标</w:t>
            </w: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 xml:space="preserve">服务对象满意度指标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得到各方面的好评，为攀枝花经济社会发展做出应有贡献。</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得到各方面的好评，为攀枝花经济社会发展做出应有贡献。</w:t>
            </w:r>
          </w:p>
        </w:tc>
      </w:tr>
    </w:tbl>
    <w:p w:rsidR="009971F6" w:rsidRDefault="009971F6">
      <w:pPr>
        <w:spacing w:line="580" w:lineRule="exact"/>
        <w:rPr>
          <w:rFonts w:ascii="仿宋" w:eastAsia="仿宋" w:hAnsi="仿宋" w:cs="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006"/>
        <w:gridCol w:w="15"/>
        <w:gridCol w:w="30"/>
        <w:gridCol w:w="1341"/>
        <w:gridCol w:w="2392"/>
        <w:gridCol w:w="2394"/>
        <w:gridCol w:w="2392"/>
      </w:tblGrid>
      <w:tr w:rsidR="009971F6">
        <w:trPr>
          <w:trHeight w:val="1034"/>
        </w:trPr>
        <w:tc>
          <w:tcPr>
            <w:tcW w:w="9960" w:type="dxa"/>
            <w:gridSpan w:val="8"/>
            <w:tcMar>
              <w:top w:w="15" w:type="dxa"/>
              <w:left w:w="15" w:type="dxa"/>
              <w:bottom w:w="0" w:type="dxa"/>
              <w:right w:w="15" w:type="dxa"/>
            </w:tcMar>
            <w:vAlign w:val="center"/>
          </w:tcPr>
          <w:p w:rsidR="009971F6" w:rsidRDefault="00ED6E5C">
            <w:pPr>
              <w:pStyle w:val="aa"/>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w:t>
            </w:r>
            <w:r>
              <w:rPr>
                <w:rFonts w:ascii="仿宋_GB2312" w:eastAsia="仿宋_GB2312" w:hAnsi="仿宋_GB2312" w:cs="仿宋_GB2312" w:hint="eastAsia"/>
                <w:color w:val="000000"/>
                <w:kern w:val="0"/>
                <w:sz w:val="32"/>
                <w:szCs w:val="32"/>
                <w:lang w:bidi="ar"/>
              </w:rPr>
              <w:t>2018 年度</w:t>
            </w:r>
            <w:r>
              <w:rPr>
                <w:rFonts w:ascii="宋体" w:hAnsi="宋体" w:cs="宋体" w:hint="eastAsia"/>
                <w:color w:val="000000"/>
                <w:kern w:val="0"/>
                <w:sz w:val="36"/>
                <w:szCs w:val="36"/>
                <w:lang w:bidi="ar"/>
              </w:rPr>
              <w:t>)</w:t>
            </w:r>
          </w:p>
        </w:tc>
      </w:tr>
      <w:tr w:rsidR="009971F6">
        <w:trPr>
          <w:trHeight w:val="532"/>
        </w:trPr>
        <w:tc>
          <w:tcPr>
            <w:tcW w:w="2782"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sz w:val="24"/>
              </w:rPr>
              <w:t>平安攀枝花建设专项经费（信访维稳工作）</w:t>
            </w:r>
          </w:p>
        </w:tc>
      </w:tr>
      <w:tr w:rsidR="009971F6">
        <w:trPr>
          <w:trHeight w:val="437"/>
        </w:trPr>
        <w:tc>
          <w:tcPr>
            <w:tcW w:w="2782"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攀枝花市人民政府驻成都办事处</w:t>
            </w:r>
          </w:p>
        </w:tc>
      </w:tr>
      <w:tr w:rsidR="009971F6">
        <w:trPr>
          <w:trHeight w:val="39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预算执行情况(万元)</w:t>
            </w: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w:t>
            </w:r>
          </w:p>
        </w:tc>
      </w:tr>
      <w:tr w:rsidR="009971F6">
        <w:trPr>
          <w:trHeight w:val="46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w:t>
            </w:r>
          </w:p>
        </w:tc>
      </w:tr>
      <w:tr w:rsidR="009971F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jc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年</w:t>
            </w:r>
            <w:r>
              <w:rPr>
                <w:rFonts w:ascii="仿宋_GB2312" w:eastAsia="仿宋_GB2312" w:hAnsi="仿宋_GB2312" w:cs="仿宋_GB2312" w:hint="eastAsia"/>
                <w:color w:val="000000"/>
                <w:kern w:val="0"/>
                <w:sz w:val="24"/>
                <w:lang w:bidi="ar"/>
              </w:rPr>
              <w:lastRenderedPageBreak/>
              <w:t>度目标完成情况</w:t>
            </w: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实际完成目标</w:t>
            </w:r>
          </w:p>
        </w:tc>
      </w:tr>
      <w:tr w:rsidR="009971F6">
        <w:trPr>
          <w:trHeight w:val="4345"/>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snapToGrid w:val="0"/>
              <w:spacing w:line="400" w:lineRule="exact"/>
              <w:jc w:val="left"/>
              <w:rPr>
                <w:rFonts w:ascii="仿宋_GB2312" w:eastAsia="仿宋_GB2312" w:hAnsi="仿宋_GB2312" w:cs="仿宋_GB2312"/>
                <w:color w:val="000000"/>
                <w:szCs w:val="21"/>
              </w:rPr>
            </w:pPr>
            <w:r>
              <w:rPr>
                <w:rFonts w:ascii="仿宋_GB2312" w:eastAsia="仿宋_GB2312" w:hAnsi="仿宋_GB2312" w:cs="仿宋_GB2312" w:hint="eastAsia"/>
                <w:szCs w:val="21"/>
              </w:rPr>
              <w:t>稳定是发展的基础和前提，稳定压倒一切。作为我市驻省会城市驻外办事机构和攀枝花的北大门，我们深知维稳责任重大，加强维稳劝返处置工作，完善应急程序，努力维护社会稳定。建立健全了信访维稳工作长效机制，制定了信访工作实施细则和处置突发事件预案，成立了信访应急领导小组，积极加强与省级信访部门和攀枝花市群工局、攀枝花市区县群工部门的信访信息沟通，及时有效地解决突发事件，保障劝返工作的顺利完成。</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snapToGrid w:val="0"/>
              <w:spacing w:line="400" w:lineRule="exact"/>
              <w:jc w:val="left"/>
              <w:rPr>
                <w:rFonts w:ascii="仿宋_GB2312" w:eastAsia="仿宋_GB2312" w:hAnsi="仿宋_GB2312" w:cs="仿宋_GB2312"/>
                <w:color w:val="000000"/>
                <w:szCs w:val="21"/>
              </w:rPr>
            </w:pPr>
            <w:r>
              <w:rPr>
                <w:rFonts w:ascii="仿宋_GB2312" w:eastAsia="仿宋_GB2312" w:hAnsi="仿宋_GB2312" w:cs="仿宋_GB2312" w:hint="eastAsia"/>
                <w:szCs w:val="21"/>
              </w:rPr>
              <w:t>稳定是发展的基础和前提，稳定压倒一切。作为我市驻省会城市驻外办事机构和攀枝花的北大门，我们深知维稳责任重大，加强维稳劝返处置工作，完善应急程序，努力维护社会稳定。建立健全了信访维稳工作长效机制，制定了信访工作实施细则和处置突发事件预案，成立了信访应急领导小组，积极加强与省级信访部门和攀枝花市群工局、攀枝花市区县群工部门的信访信息沟通，及时有效地解决突发事件，保障劝返工作的顺利完成。</w:t>
            </w:r>
          </w:p>
        </w:tc>
      </w:tr>
      <w:tr w:rsidR="009971F6">
        <w:trPr>
          <w:trHeight w:val="121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lastRenderedPageBreak/>
              <w:t>绩效指标完成情况</w:t>
            </w:r>
          </w:p>
        </w:tc>
        <w:tc>
          <w:tcPr>
            <w:tcW w:w="10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一级指标</w:t>
            </w: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实际完成指标值(包含数字及文字描述)</w:t>
            </w:r>
          </w:p>
        </w:tc>
      </w:tr>
      <w:tr w:rsidR="009971F6">
        <w:trPr>
          <w:trHeight w:val="1223"/>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项目完成指标</w:t>
            </w: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成立信访应急领导小组，处理在蓉及攀籍准备进京上访人员，每年人次不等。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成立信访应急领导小组，处理在蓉及攀籍准备进京上访人员，每年人次不等。</w:t>
            </w:r>
          </w:p>
        </w:tc>
      </w:tr>
      <w:tr w:rsidR="009971F6">
        <w:trPr>
          <w:trHeight w:val="15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我办应急接访的攀籍人员到蓉上访的人数，每年劝返率达80%左右。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我办应急接访的攀籍人员到蓉上访的人数，每年劝返率达80%左右。</w:t>
            </w:r>
          </w:p>
        </w:tc>
      </w:tr>
      <w:tr w:rsidR="009971F6">
        <w:trPr>
          <w:trHeight w:val="130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 xml:space="preserve">时效指标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r>
      <w:tr w:rsidR="009971F6">
        <w:trPr>
          <w:trHeight w:val="128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Cs w:val="21"/>
                <w:lang w:bidi="ar"/>
              </w:rPr>
            </w:pP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7万元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7万元</w:t>
            </w:r>
          </w:p>
        </w:tc>
      </w:tr>
      <w:tr w:rsidR="009971F6">
        <w:trPr>
          <w:trHeight w:val="144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效益指标</w:t>
            </w: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维护社会稳定，促进攀枝花经济发展。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维护社会稳定，促进攀枝花经济发展。</w:t>
            </w:r>
          </w:p>
        </w:tc>
      </w:tr>
      <w:tr w:rsidR="009971F6">
        <w:trPr>
          <w:trHeight w:val="12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稳定是发展的基础和前提，稳定压倒一切。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稳定是发展的基础和前提，稳定压倒一切。</w:t>
            </w:r>
          </w:p>
        </w:tc>
      </w:tr>
      <w:tr w:rsidR="009971F6">
        <w:trPr>
          <w:trHeight w:val="22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作为我市驻省会城市办事机构和攀枝花的北大门，我办深知责任重大，加强维稳劝返处置工作，完善应急程序，努力维护社会稳定。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作为我市驻省会城市办事机构和攀枝花的北大门，我办深知责任重大，加强维稳劝返处置工作，完善应急程序，努力维护社会稳定。</w:t>
            </w:r>
          </w:p>
        </w:tc>
      </w:tr>
      <w:tr w:rsidR="009971F6">
        <w:trPr>
          <w:trHeight w:val="21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满意度指标</w:t>
            </w:r>
          </w:p>
        </w:tc>
        <w:tc>
          <w:tcPr>
            <w:tcW w:w="138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出色完成了各类重要会议、重大活动期间的信访维稳工作，连续多年得到省信访分流中心和市委、市政府、市政法委的高度肯定。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出色完成了各类重要会议、重大活动期间的信访维稳工作，连续多年得到省信访分流中心和市委、市政府、市政法委的高度肯定。</w:t>
            </w:r>
          </w:p>
        </w:tc>
      </w:tr>
      <w:tr w:rsidR="009971F6">
        <w:trPr>
          <w:trHeight w:val="1034"/>
        </w:trPr>
        <w:tc>
          <w:tcPr>
            <w:tcW w:w="9960" w:type="dxa"/>
            <w:gridSpan w:val="8"/>
            <w:tcMar>
              <w:top w:w="15" w:type="dxa"/>
              <w:left w:w="15" w:type="dxa"/>
              <w:bottom w:w="0" w:type="dxa"/>
              <w:right w:w="15" w:type="dxa"/>
            </w:tcMar>
            <w:vAlign w:val="center"/>
          </w:tcPr>
          <w:p w:rsidR="009971F6" w:rsidRDefault="00ED6E5C">
            <w:pPr>
              <w:pStyle w:val="aa"/>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w:t>
            </w:r>
            <w:r>
              <w:rPr>
                <w:rFonts w:ascii="仿宋_GB2312" w:eastAsia="仿宋_GB2312" w:hAnsi="仿宋_GB2312" w:cs="仿宋_GB2312" w:hint="eastAsia"/>
                <w:color w:val="000000"/>
                <w:kern w:val="0"/>
                <w:sz w:val="32"/>
                <w:szCs w:val="32"/>
                <w:lang w:bidi="ar"/>
              </w:rPr>
              <w:t>2018 年度</w:t>
            </w:r>
            <w:r>
              <w:rPr>
                <w:rFonts w:ascii="宋体" w:hAnsi="宋体" w:cs="宋体" w:hint="eastAsia"/>
                <w:color w:val="000000"/>
                <w:kern w:val="0"/>
                <w:sz w:val="36"/>
                <w:szCs w:val="36"/>
                <w:lang w:bidi="ar"/>
              </w:rPr>
              <w:t>)</w:t>
            </w:r>
          </w:p>
        </w:tc>
      </w:tr>
      <w:tr w:rsidR="009971F6">
        <w:trPr>
          <w:trHeight w:val="276"/>
        </w:trPr>
        <w:tc>
          <w:tcPr>
            <w:tcW w:w="2782"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老干部活动经费</w:t>
            </w:r>
          </w:p>
        </w:tc>
      </w:tr>
      <w:tr w:rsidR="009971F6">
        <w:trPr>
          <w:trHeight w:val="276"/>
        </w:trPr>
        <w:tc>
          <w:tcPr>
            <w:tcW w:w="2782"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攀枝花市成都干部休养所</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预算执行情况(万元)</w:t>
            </w: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w:t>
            </w:r>
          </w:p>
        </w:tc>
      </w:tr>
      <w:tr w:rsidR="009971F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w:t>
            </w:r>
          </w:p>
        </w:tc>
      </w:tr>
      <w:tr w:rsidR="009971F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jc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年度目标完成情况</w:t>
            </w: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实际完成目标</w:t>
            </w:r>
          </w:p>
        </w:tc>
      </w:tr>
      <w:tr w:rsidR="009971F6">
        <w:trPr>
          <w:trHeight w:val="35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4784" w:type="dxa"/>
            <w:gridSpan w:val="5"/>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snapToGrid w:val="0"/>
              <w:spacing w:line="480" w:lineRule="exact"/>
              <w:rPr>
                <w:rFonts w:ascii="仿宋_GB2312" w:eastAsia="仿宋_GB2312" w:hAnsi="仿宋_GB2312" w:cs="仿宋_GB2312"/>
                <w:sz w:val="24"/>
              </w:rPr>
            </w:pPr>
            <w:r>
              <w:rPr>
                <w:rFonts w:ascii="仿宋_GB2312" w:eastAsia="仿宋_GB2312" w:hAnsi="仿宋_GB2312" w:cs="仿宋_GB2312" w:hint="eastAsia"/>
                <w:sz w:val="24"/>
              </w:rPr>
              <w:t>攀枝花市成都干部休养所的老干部远离原单位，子女大多不在身边。我们就在春节、五一劳动节、国庆、重阳节等重大节日时组织离休老同志活动，并购一些米、油和水果慰问全体老干部，把组织的关心带到每一家；春节前，我们同老干部党支部支委，到家去看望慰问因行动不方便、或有病不能参加活动的老干部，送去组织的关心和节日的祝福。</w:t>
            </w:r>
          </w:p>
          <w:p w:rsidR="009971F6" w:rsidRDefault="009971F6">
            <w:pPr>
              <w:widowControl/>
              <w:jc w:val="center"/>
              <w:textAlignment w:val="center"/>
              <w:rPr>
                <w:rFonts w:ascii="仿宋_GB2312" w:eastAsia="仿宋_GB2312" w:hAnsi="仿宋_GB2312" w:cs="仿宋_GB2312"/>
                <w:color w:val="000000"/>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snapToGrid w:val="0"/>
              <w:spacing w:line="480" w:lineRule="exact"/>
              <w:rPr>
                <w:rFonts w:ascii="仿宋_GB2312" w:eastAsia="仿宋_GB2312" w:hAnsi="仿宋_GB2312" w:cs="仿宋_GB2312"/>
                <w:sz w:val="24"/>
              </w:rPr>
            </w:pPr>
            <w:r>
              <w:rPr>
                <w:rFonts w:ascii="仿宋_GB2312" w:eastAsia="仿宋_GB2312" w:hAnsi="仿宋_GB2312" w:cs="仿宋_GB2312" w:hint="eastAsia"/>
                <w:sz w:val="24"/>
              </w:rPr>
              <w:t>攀枝花市成都干部休养所的老干部远离原单位，子女大多不在身边。我们就在春节、五一劳动节、国庆、重阳节等重大节日时组织离休老同志活动，并购一些米、油和水果慰问全体老干部，把组织的关心带到每一家；春节前，我们同老干部党支部支委，到家去看望慰问因行动不方便、或有病不能参加活动的老干部，送去组织的关心和节日的祝福。</w:t>
            </w:r>
          </w:p>
          <w:p w:rsidR="009971F6" w:rsidRDefault="009971F6">
            <w:pPr>
              <w:widowControl/>
              <w:jc w:val="center"/>
              <w:textAlignment w:val="center"/>
              <w:rPr>
                <w:rFonts w:ascii="仿宋_GB2312" w:eastAsia="仿宋_GB2312" w:hAnsi="仿宋_GB2312" w:cs="仿宋_GB2312"/>
                <w:color w:val="000000"/>
                <w:sz w:val="24"/>
              </w:rPr>
            </w:pPr>
          </w:p>
        </w:tc>
      </w:tr>
      <w:tr w:rsidR="009971F6">
        <w:trPr>
          <w:trHeight w:val="108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lastRenderedPageBreak/>
              <w:t>绩效指标完成情况</w:t>
            </w:r>
          </w:p>
        </w:tc>
        <w:tc>
          <w:tcPr>
            <w:tcW w:w="10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一级指标</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实际完成指标值(包含数字及文字描述)</w:t>
            </w:r>
          </w:p>
        </w:tc>
      </w:tr>
      <w:tr w:rsidR="009971F6">
        <w:trPr>
          <w:trHeight w:val="1353"/>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项目完成指标</w:t>
            </w: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组织老干部在干休所活动室集体学习和座谈、外出活动，感受城乡建设的伟大成就和祖国日新月异的变化。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组织老干部在干休所活动室集体学习和座谈、外出活动，感受城乡建设的伟大成就和祖国日新月异的变化。</w:t>
            </w:r>
          </w:p>
        </w:tc>
      </w:tr>
      <w:tr w:rsidR="009971F6">
        <w:trPr>
          <w:trHeight w:val="12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18"/>
                <w:szCs w:val="18"/>
              </w:rPr>
              <w:t>节日期间慰问走访离休老同志，送去组织的关心和节日的祝福。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18"/>
                <w:szCs w:val="18"/>
              </w:rPr>
              <w:t>节日期间慰问走访离休老同志，送去组织的关心和节日的祝福。</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 xml:space="preserve">时效指标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项目完成指标</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2万元</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3"/>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效益指标</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组织开展健康有益的文娱活动，让老干部们始终保持积极健康的精神状态和生活态度，安度晚年。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组织开展健康有益的文娱活动，让老干部们始终保持积极健康的精神状态和生活态度，安度晚年。</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3"/>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老有所依、老有所养，维护社会稳定。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老有所依、老有所养，维护社会稳定。</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3"/>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rPr>
              <w:t>让尊老、敬老、爱老这一传统美德在干休所充分体现，以儿女之心，晚辈之情作好老干部的服务工作。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rPr>
              <w:t>让尊老、敬老、爱老这一传统美德在干休所充分体现，以儿女之心，晚辈之情作好老干部的服务工作。</w:t>
            </w:r>
          </w:p>
        </w:tc>
      </w:tr>
      <w:tr w:rsidR="009971F6">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满意度指标</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立足本职，尽力尽责，得到老同志的一致好评。</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立足本职，尽力尽责，得到老同志的一致好评。</w:t>
            </w:r>
          </w:p>
        </w:tc>
      </w:tr>
    </w:tbl>
    <w:p w:rsidR="009971F6" w:rsidRDefault="00ED6E5C">
      <w:pPr>
        <w:spacing w:line="58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（三）部门开展绩效评价结果。</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本部门按要求对2018年部门整体支出绩效评价情况开展自评，《攀枝花市人民政府驻成都办事处部门2018年部门整体支出绩效评价报告》见附件。</w:t>
      </w:r>
    </w:p>
    <w:p w:rsidR="009971F6" w:rsidRDefault="00ED6E5C">
      <w:pPr>
        <w:spacing w:line="580" w:lineRule="exact"/>
        <w:ind w:firstLineChars="200" w:firstLine="640"/>
        <w:rPr>
          <w:rFonts w:ascii="方正小标宋简体" w:eastAsia="方正小标宋简体" w:hAnsi="方正小标宋简体" w:cs="方正小标宋简体"/>
          <w:sz w:val="44"/>
          <w:szCs w:val="44"/>
        </w:rPr>
      </w:pPr>
      <w:r>
        <w:rPr>
          <w:rFonts w:ascii="仿宋_GB2312" w:eastAsia="仿宋_GB2312" w:hAnsi="仿宋_GB2312" w:cs="仿宋_GB2312" w:hint="eastAsia"/>
          <w:sz w:val="32"/>
          <w:szCs w:val="32"/>
        </w:rPr>
        <w:t>本部门自行组织对单位业务运行费、平安攀枝花建设专</w:t>
      </w:r>
      <w:r>
        <w:rPr>
          <w:rFonts w:ascii="仿宋_GB2312" w:eastAsia="仿宋_GB2312" w:hAnsi="仿宋_GB2312" w:cs="仿宋_GB2312" w:hint="eastAsia"/>
          <w:sz w:val="32"/>
          <w:szCs w:val="32"/>
        </w:rPr>
        <w:lastRenderedPageBreak/>
        <w:t>项经费等4个项目开展了绩效评价，《平安攀枝花建设专项经费等项目2018年绩效评价报告》见附件。（非涉密部门均需公开部门整体支出评价报告，部门自行组织的绩效评价情况根据部门实际公开）</w:t>
      </w:r>
    </w:p>
    <w:p w:rsidR="009971F6" w:rsidRDefault="00ED6E5C">
      <w:pPr>
        <w:spacing w:line="600" w:lineRule="exact"/>
        <w:ind w:firstLineChars="250" w:firstLine="800"/>
        <w:outlineLvl w:val="1"/>
        <w:rPr>
          <w:rStyle w:val="2Char"/>
          <w:rFonts w:ascii="黑体" w:eastAsia="黑体" w:hAnsi="黑体"/>
        </w:rPr>
      </w:pPr>
      <w:bookmarkStart w:id="55" w:name="_Toc15377221"/>
      <w:bookmarkStart w:id="56" w:name="_Toc15396612"/>
      <w:r>
        <w:rPr>
          <w:rFonts w:ascii="黑体" w:eastAsia="黑体" w:hAnsi="黑体" w:hint="eastAsia"/>
          <w:color w:val="000000"/>
          <w:sz w:val="32"/>
          <w:szCs w:val="32"/>
        </w:rPr>
        <w:t>十</w:t>
      </w:r>
      <w:r>
        <w:rPr>
          <w:rStyle w:val="2Char"/>
          <w:rFonts w:ascii="黑体" w:eastAsia="黑体" w:hAnsi="黑体" w:hint="eastAsia"/>
        </w:rPr>
        <w:t>一、</w:t>
      </w:r>
      <w:r>
        <w:rPr>
          <w:rStyle w:val="2Char"/>
          <w:rFonts w:ascii="黑体" w:eastAsia="黑体" w:hAnsi="黑体" w:hint="eastAsia"/>
          <w:b w:val="0"/>
        </w:rPr>
        <w:t>其他重要事项的情况说明</w:t>
      </w:r>
      <w:bookmarkEnd w:id="55"/>
      <w:bookmarkEnd w:id="56"/>
    </w:p>
    <w:p w:rsidR="009971F6" w:rsidRDefault="00ED6E5C">
      <w:pPr>
        <w:spacing w:line="600" w:lineRule="exact"/>
        <w:ind w:firstLineChars="200" w:firstLine="643"/>
        <w:outlineLvl w:val="2"/>
        <w:rPr>
          <w:rFonts w:ascii="仿宋_GB2312" w:eastAsia="仿宋_GB2312" w:hAnsi="仿宋_GB2312" w:cs="仿宋_GB2312"/>
          <w:color w:val="000000"/>
          <w:sz w:val="32"/>
          <w:szCs w:val="32"/>
        </w:rPr>
      </w:pPr>
      <w:bookmarkStart w:id="57" w:name="_Toc15377222"/>
      <w:r>
        <w:rPr>
          <w:rFonts w:ascii="仿宋_GB2312" w:eastAsia="仿宋_GB2312" w:hAnsi="仿宋_GB2312" w:cs="仿宋_GB2312" w:hint="eastAsia"/>
          <w:b/>
          <w:color w:val="000000"/>
          <w:sz w:val="32"/>
          <w:szCs w:val="32"/>
        </w:rPr>
        <w:t>（一）机关运行经费支出情况</w:t>
      </w:r>
      <w:bookmarkEnd w:id="57"/>
    </w:p>
    <w:p w:rsidR="009971F6" w:rsidRDefault="00ED6E5C">
      <w:pPr>
        <w:spacing w:line="600" w:lineRule="exact"/>
        <w:ind w:firstLineChars="200" w:firstLine="640"/>
        <w:rPr>
          <w:rFonts w:ascii="仿宋_GB2312" w:eastAsia="仿宋_GB2312"/>
          <w:color w:val="000000" w:themeColor="text1"/>
          <w:sz w:val="32"/>
          <w:szCs w:val="32"/>
        </w:rPr>
      </w:pPr>
      <w:r>
        <w:rPr>
          <w:rFonts w:ascii="仿宋_GB2312" w:eastAsia="仿宋_GB2312"/>
          <w:color w:val="000000"/>
          <w:sz w:val="32"/>
          <w:szCs w:val="32"/>
        </w:rPr>
        <w:t>201</w:t>
      </w:r>
      <w:r>
        <w:rPr>
          <w:rFonts w:ascii="仿宋_GB2312" w:eastAsia="仿宋_GB2312" w:hint="eastAsia"/>
          <w:color w:val="000000"/>
          <w:sz w:val="32"/>
          <w:szCs w:val="32"/>
        </w:rPr>
        <w:t>8年，攀枝花市人民政府驻成都办事处机关运行经费支出142.49万元，比</w:t>
      </w:r>
      <w:r>
        <w:rPr>
          <w:rFonts w:ascii="仿宋_GB2312" w:eastAsia="仿宋_GB2312"/>
          <w:color w:val="000000"/>
          <w:sz w:val="32"/>
          <w:szCs w:val="32"/>
        </w:rPr>
        <w:t>201</w:t>
      </w:r>
      <w:r>
        <w:rPr>
          <w:rFonts w:ascii="仿宋_GB2312" w:eastAsia="仿宋_GB2312" w:hint="eastAsia"/>
          <w:color w:val="000000"/>
          <w:sz w:val="32"/>
          <w:szCs w:val="32"/>
        </w:rPr>
        <w:t>7年减少201.99万元，下降58.64</w:t>
      </w:r>
      <w:r>
        <w:rPr>
          <w:rFonts w:ascii="仿宋_GB2312" w:eastAsia="仿宋_GB2312"/>
          <w:color w:val="000000"/>
          <w:sz w:val="32"/>
          <w:szCs w:val="32"/>
        </w:rPr>
        <w:t>%</w:t>
      </w:r>
      <w:r>
        <w:rPr>
          <w:rFonts w:ascii="仿宋_GB2312" w:eastAsia="仿宋_GB2312" w:hint="eastAsia"/>
          <w:color w:val="000000"/>
          <w:sz w:val="32"/>
          <w:szCs w:val="32"/>
        </w:rPr>
        <w:t>（或与</w:t>
      </w:r>
      <w:r>
        <w:rPr>
          <w:rFonts w:ascii="仿宋_GB2312" w:eastAsia="仿宋_GB2312"/>
          <w:color w:val="000000"/>
          <w:sz w:val="32"/>
          <w:szCs w:val="32"/>
        </w:rPr>
        <w:t>201</w:t>
      </w:r>
      <w:r>
        <w:rPr>
          <w:rFonts w:ascii="仿宋_GB2312" w:eastAsia="仿宋_GB2312" w:hint="eastAsia"/>
          <w:color w:val="000000"/>
          <w:sz w:val="32"/>
          <w:szCs w:val="32"/>
        </w:rPr>
        <w:t>7年决算数持平）。</w:t>
      </w:r>
      <w:r>
        <w:rPr>
          <w:rFonts w:ascii="仿宋_GB2312" w:eastAsia="仿宋_GB2312" w:hint="eastAsia"/>
          <w:color w:val="000000" w:themeColor="text1"/>
          <w:sz w:val="32"/>
          <w:szCs w:val="32"/>
        </w:rPr>
        <w:t>主要原因是</w:t>
      </w:r>
      <w:r>
        <w:rPr>
          <w:rFonts w:ascii="仿宋_GB2312" w:eastAsia="仿宋_GB2312" w:hAnsi="仿宋_GB2312" w:cs="仿宋_GB2312" w:hint="eastAsia"/>
          <w:sz w:val="32"/>
          <w:szCs w:val="32"/>
        </w:rPr>
        <w:t>2018年年初预算中公用支出较2017年压缩了10%；</w:t>
      </w:r>
      <w:r>
        <w:rPr>
          <w:rFonts w:ascii="仿宋_GB2312" w:eastAsia="仿宋_GB2312" w:hAnsi="仿宋_GB2312" w:cs="仿宋_GB2312" w:hint="eastAsia"/>
          <w:bCs/>
          <w:color w:val="000000"/>
          <w:sz w:val="32"/>
          <w:szCs w:val="32"/>
        </w:rPr>
        <w:t>公务接待费支出决算比2017年减少156.02万元，下降71.09%。</w:t>
      </w:r>
    </w:p>
    <w:p w:rsidR="009971F6" w:rsidRDefault="00ED6E5C">
      <w:pPr>
        <w:spacing w:line="600" w:lineRule="exact"/>
        <w:ind w:firstLine="640"/>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（数据来源财决CS05表）</w:t>
      </w:r>
    </w:p>
    <w:p w:rsidR="009971F6" w:rsidRDefault="00ED6E5C">
      <w:pPr>
        <w:autoSpaceDE w:val="0"/>
        <w:autoSpaceDN w:val="0"/>
        <w:adjustRightInd w:val="0"/>
        <w:spacing w:line="600" w:lineRule="exact"/>
        <w:ind w:firstLineChars="200" w:firstLine="643"/>
        <w:jc w:val="left"/>
        <w:outlineLvl w:val="2"/>
        <w:rPr>
          <w:rFonts w:ascii="仿宋_GB2312" w:eastAsia="仿宋_GB2312" w:hAnsi="仿宋_GB2312" w:cs="仿宋_GB2312"/>
          <w:b/>
          <w:color w:val="000000"/>
          <w:sz w:val="32"/>
          <w:szCs w:val="32"/>
        </w:rPr>
      </w:pPr>
      <w:bookmarkStart w:id="58" w:name="_Toc15377223"/>
      <w:r>
        <w:rPr>
          <w:rFonts w:ascii="仿宋_GB2312" w:eastAsia="仿宋_GB2312" w:hAnsi="仿宋_GB2312" w:cs="仿宋_GB2312" w:hint="eastAsia"/>
          <w:b/>
          <w:color w:val="000000"/>
          <w:sz w:val="32"/>
          <w:szCs w:val="32"/>
        </w:rPr>
        <w:t>（二）政府采购支出情况</w:t>
      </w:r>
      <w:bookmarkEnd w:id="58"/>
    </w:p>
    <w:p w:rsidR="009971F6" w:rsidRDefault="00ED6E5C">
      <w:pPr>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2018年，攀枝花市成都办事处政府采购支出总额0万元，其中：政府采购货物支出0万元、政府采购工程支出0万元、政府采购服务支出0万元。主要用于…（具体工作）。授予中小企业合同金额0万元，占政府采购支出总额的0%，其中：授予小微企业合同金额0万元，占政府采购支出总额的0%。</w:t>
      </w:r>
    </w:p>
    <w:p w:rsidR="009971F6" w:rsidRDefault="00ED6E5C">
      <w:pPr>
        <w:autoSpaceDE w:val="0"/>
        <w:autoSpaceDN w:val="0"/>
        <w:adjustRightInd w:val="0"/>
        <w:spacing w:line="600" w:lineRule="exact"/>
        <w:ind w:firstLineChars="200" w:firstLine="643"/>
        <w:jc w:val="left"/>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（数据来源财决CS06表）</w:t>
      </w:r>
    </w:p>
    <w:p w:rsidR="009971F6" w:rsidRDefault="00ED6E5C">
      <w:pPr>
        <w:autoSpaceDE w:val="0"/>
        <w:autoSpaceDN w:val="0"/>
        <w:adjustRightInd w:val="0"/>
        <w:spacing w:line="600" w:lineRule="exact"/>
        <w:ind w:firstLineChars="200" w:firstLine="643"/>
        <w:jc w:val="left"/>
        <w:outlineLvl w:val="2"/>
        <w:rPr>
          <w:rFonts w:ascii="仿宋_GB2312" w:eastAsia="仿宋_GB2312" w:hAnsi="仿宋_GB2312" w:cs="仿宋_GB2312"/>
          <w:b/>
          <w:color w:val="000000"/>
          <w:sz w:val="32"/>
          <w:szCs w:val="32"/>
        </w:rPr>
      </w:pPr>
      <w:bookmarkStart w:id="59" w:name="_Toc15377224"/>
      <w:r>
        <w:rPr>
          <w:rFonts w:ascii="仿宋_GB2312" w:eastAsia="仿宋_GB2312" w:hAnsi="仿宋_GB2312" w:cs="仿宋_GB2312" w:hint="eastAsia"/>
          <w:b/>
          <w:color w:val="000000"/>
          <w:sz w:val="32"/>
          <w:szCs w:val="32"/>
        </w:rPr>
        <w:t>（三）国有资产占有使用情况</w:t>
      </w:r>
      <w:bookmarkEnd w:id="59"/>
    </w:p>
    <w:p w:rsidR="009971F6" w:rsidRDefault="00ED6E5C">
      <w:pPr>
        <w:autoSpaceDE w:val="0"/>
        <w:autoSpaceDN w:val="0"/>
        <w:adjustRightInd w:val="0"/>
        <w:spacing w:line="600" w:lineRule="exact"/>
        <w:ind w:firstLineChars="200" w:firstLine="640"/>
        <w:jc w:val="left"/>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截至2018年12月31日，攀枝花市人民政府驻成都办事处（含二级单位攀枝花市成都干部服务中心）共有车辆10辆，其中：部级领导干部用车0辆、一般公务用车10辆、一般执</w:t>
      </w:r>
      <w:r>
        <w:rPr>
          <w:rFonts w:ascii="仿宋_GB2312" w:eastAsia="仿宋_GB2312" w:hAnsi="仿宋_GB2312" w:cs="仿宋_GB2312" w:hint="eastAsia"/>
          <w:color w:val="000000"/>
          <w:sz w:val="32"/>
          <w:szCs w:val="32"/>
        </w:rPr>
        <w:lastRenderedPageBreak/>
        <w:t>法执勤用车0辆、特种专业技术用车0辆、其他用车0辆，</w:t>
      </w:r>
      <w:r>
        <w:rPr>
          <w:rFonts w:ascii="仿宋_GB2312" w:eastAsia="仿宋_GB2312" w:hAnsi="仿宋_GB2312" w:cs="仿宋_GB2312" w:hint="eastAsia"/>
          <w:color w:val="000000" w:themeColor="text1"/>
          <w:sz w:val="32"/>
          <w:szCs w:val="32"/>
        </w:rPr>
        <w:t>其他用车主要是用于……单价50万元以上通用设备0台（套），单价100</w:t>
      </w:r>
      <w:r>
        <w:rPr>
          <w:rFonts w:ascii="仿宋_GB2312" w:eastAsia="仿宋_GB2312" w:hAnsi="仿宋_GB2312" w:cs="仿宋_GB2312" w:hint="eastAsia"/>
          <w:color w:val="000000"/>
          <w:sz w:val="32"/>
          <w:szCs w:val="32"/>
        </w:rPr>
        <w:t>万元以上专用设备0台（套）。需说明的是：攀枝花市人民政府驻成都办事处的2018年部门决算报表</w:t>
      </w:r>
      <w:r>
        <w:rPr>
          <w:rFonts w:ascii="仿宋_GB2312" w:eastAsia="仿宋_GB2312" w:hAnsi="仿宋_GB2312" w:cs="仿宋_GB2312" w:hint="eastAsia"/>
          <w:sz w:val="32"/>
          <w:szCs w:val="32"/>
        </w:rPr>
        <w:t>固定资产中占有汽车7辆（轿车5辆、越野车1辆、中型载客汽车1辆），但2016年7月公车改革后保留3辆（轿车2辆、越野车1辆），其余车辆已调回攀枝花市机关事务管理局进行拍卖处置，因攀枝花市机关事务管理局拍卖后核销手续原因，资产一直未核销，所以我办现在实有车辆为3台。</w:t>
      </w:r>
    </w:p>
    <w:p w:rsidR="009971F6" w:rsidRDefault="00ED6E5C">
      <w:pPr>
        <w:autoSpaceDE w:val="0"/>
        <w:autoSpaceDN w:val="0"/>
        <w:adjustRightInd w:val="0"/>
        <w:spacing w:line="600" w:lineRule="exact"/>
        <w:ind w:firstLineChars="200" w:firstLine="643"/>
        <w:jc w:val="left"/>
        <w:outlineLvl w:val="2"/>
        <w:rPr>
          <w:rFonts w:ascii="仿宋_GB2312" w:eastAsia="仿宋_GB2312" w:hAnsi="仿宋_GB2312" w:cs="仿宋_GB2312"/>
          <w:b/>
          <w:color w:val="000000"/>
          <w:sz w:val="32"/>
          <w:szCs w:val="32"/>
        </w:rPr>
      </w:pPr>
      <w:r>
        <w:rPr>
          <w:rFonts w:ascii="仿宋_GB2312" w:eastAsia="仿宋_GB2312" w:hAnsi="仿宋_GB2312" w:cs="仿宋_GB2312" w:hint="eastAsia"/>
          <w:b/>
          <w:color w:val="000000"/>
          <w:sz w:val="32"/>
          <w:szCs w:val="32"/>
        </w:rPr>
        <w:t>（数据来源财决CS05表，按部门决算报表填报数据罗列车辆情况。）</w:t>
      </w:r>
    </w:p>
    <w:p w:rsidR="009971F6" w:rsidRDefault="009971F6">
      <w:pPr>
        <w:spacing w:line="600" w:lineRule="atLeast"/>
        <w:ind w:firstLineChars="200" w:firstLine="643"/>
        <w:rPr>
          <w:rFonts w:ascii="仿宋_GB2312" w:eastAsia="仿宋_GB2312"/>
          <w:b/>
          <w:color w:val="000000"/>
          <w:sz w:val="32"/>
          <w:szCs w:val="32"/>
        </w:rPr>
      </w:pPr>
    </w:p>
    <w:p w:rsidR="009971F6" w:rsidRDefault="00ED6E5C">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9971F6" w:rsidRDefault="00ED6E5C">
      <w:pPr>
        <w:numPr>
          <w:ilvl w:val="0"/>
          <w:numId w:val="2"/>
        </w:numPr>
        <w:spacing w:line="600" w:lineRule="exact"/>
        <w:ind w:firstLineChars="150" w:firstLine="663"/>
        <w:jc w:val="center"/>
        <w:outlineLvl w:val="0"/>
        <w:rPr>
          <w:rStyle w:val="1Char"/>
          <w:rFonts w:ascii="黑体" w:eastAsia="黑体" w:hAnsi="黑体"/>
          <w:b w:val="0"/>
        </w:rPr>
      </w:pPr>
      <w:bookmarkStart w:id="60" w:name="_Toc15396613"/>
      <w:bookmarkStart w:id="61" w:name="_Toc15377225"/>
      <w:r>
        <w:rPr>
          <w:rFonts w:ascii="黑体" w:eastAsia="黑体" w:hAnsi="黑体" w:hint="eastAsia"/>
          <w:b/>
          <w:color w:val="000000"/>
          <w:sz w:val="44"/>
          <w:szCs w:val="44"/>
        </w:rPr>
        <w:lastRenderedPageBreak/>
        <w:t>名</w:t>
      </w:r>
      <w:r>
        <w:rPr>
          <w:rStyle w:val="1Char"/>
          <w:rFonts w:ascii="黑体" w:eastAsia="黑体" w:hAnsi="黑体" w:hint="eastAsia"/>
          <w:b w:val="0"/>
        </w:rPr>
        <w:t>词解释</w:t>
      </w:r>
      <w:bookmarkEnd w:id="60"/>
      <w:bookmarkEnd w:id="61"/>
    </w:p>
    <w:p w:rsidR="009971F6" w:rsidRDefault="009971F6">
      <w:pPr>
        <w:spacing w:line="600" w:lineRule="exact"/>
        <w:jc w:val="left"/>
        <w:rPr>
          <w:rFonts w:ascii="宋体"/>
          <w:b/>
          <w:color w:val="000000"/>
          <w:sz w:val="44"/>
          <w:szCs w:val="44"/>
        </w:rPr>
      </w:pPr>
    </w:p>
    <w:p w:rsidR="009971F6" w:rsidRDefault="00ED6E5C">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9971F6" w:rsidRDefault="00ED6E5C">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其他收入：指单位取得的除上述收入以外的各项收入。主要是单位银行存款利息收入（收入类型）等。</w:t>
      </w:r>
      <w:r>
        <w:rPr>
          <w:rFonts w:ascii="仿宋_GB2312" w:eastAsia="仿宋_GB2312"/>
          <w:sz w:val="32"/>
          <w:szCs w:val="32"/>
        </w:rPr>
        <w:t xml:space="preserve"> </w:t>
      </w:r>
    </w:p>
    <w:p w:rsidR="009971F6" w:rsidRDefault="00ED6E5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rsidR="009971F6" w:rsidRDefault="00ED6E5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9971F6" w:rsidRDefault="00ED6E5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w:t>
      </w:r>
      <w:r>
        <w:rPr>
          <w:rFonts w:ascii="仿宋_GB2312" w:eastAsia="仿宋_GB2312" w:hint="eastAsia"/>
          <w:sz w:val="32"/>
          <w:szCs w:val="32"/>
        </w:rPr>
        <w:t>结余分配：指事业单位按照事业单位会计制度的规定从非财政补助结余中分配的事业基金和职工福利基金等。</w:t>
      </w:r>
    </w:p>
    <w:p w:rsidR="009971F6" w:rsidRDefault="00ED6E5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6.年末结转和结余：指单位按有关规定结转到下年或以后年度继续使用的资金。</w:t>
      </w:r>
    </w:p>
    <w:p w:rsidR="009971F6" w:rsidRDefault="00ED6E5C">
      <w:pPr>
        <w:ind w:firstLineChars="200" w:firstLine="640"/>
        <w:rPr>
          <w:rFonts w:ascii="仿宋_GB2312" w:eastAsia="仿宋_GB2312"/>
          <w:color w:val="000000"/>
          <w:sz w:val="32"/>
          <w:szCs w:val="32"/>
        </w:rPr>
      </w:pPr>
      <w:r>
        <w:rPr>
          <w:rFonts w:ascii="仿宋_GB2312" w:eastAsia="仿宋_GB2312" w:hint="eastAsia"/>
          <w:color w:val="000000"/>
          <w:sz w:val="32"/>
          <w:szCs w:val="32"/>
        </w:rPr>
        <w:t>7</w:t>
      </w:r>
      <w:r>
        <w:rPr>
          <w:rFonts w:ascii="仿宋_GB2312" w:eastAsia="仿宋_GB2312"/>
          <w:color w:val="000000"/>
          <w:sz w:val="32"/>
          <w:szCs w:val="32"/>
        </w:rPr>
        <w:t>.</w:t>
      </w:r>
      <w:r>
        <w:rPr>
          <w:rFonts w:ascii="仿宋_GB2312" w:eastAsia="仿宋_GB2312" w:hint="eastAsia"/>
          <w:color w:val="000000"/>
          <w:sz w:val="32"/>
          <w:szCs w:val="32"/>
        </w:rPr>
        <w:t>一般公共服务（类）政府办公厅（室）及相关机构事务（款）行政运行（项）：指反映行政单位（包括实行公务员管理的事业单位）的基本支出。</w:t>
      </w:r>
    </w:p>
    <w:p w:rsidR="009971F6" w:rsidRDefault="00ED6E5C">
      <w:pPr>
        <w:ind w:firstLineChars="200" w:firstLine="640"/>
        <w:rPr>
          <w:rFonts w:ascii="仿宋_GB2312" w:eastAsia="仿宋_GB2312"/>
          <w:color w:val="000000"/>
          <w:sz w:val="32"/>
          <w:szCs w:val="32"/>
        </w:rPr>
      </w:pPr>
      <w:r>
        <w:rPr>
          <w:rFonts w:ascii="仿宋_GB2312" w:eastAsia="仿宋_GB2312" w:hint="eastAsia"/>
          <w:color w:val="000000"/>
          <w:sz w:val="32"/>
          <w:szCs w:val="32"/>
        </w:rPr>
        <w:t>8.一般公共服务（类）政府办公厅（室）及相关机构事务（款）一般行政管理事务（项）：指反映行政单位（包括实行公务员管理的事业单位）未单独设置项级科目的其他项目支出。</w:t>
      </w:r>
    </w:p>
    <w:p w:rsidR="009971F6" w:rsidRDefault="00ED6E5C">
      <w:pPr>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9.一般公共服务（类）政府办公厅（室）及相关机构事务（款）事业运行（项）：指反映事业单位的基本支出，不包括行政单位（包括实行公务员管理的事业单位）后勤服务中心、医务室等附属事业单位。</w:t>
      </w:r>
    </w:p>
    <w:p w:rsidR="009971F6" w:rsidRDefault="00ED6E5C">
      <w:pPr>
        <w:ind w:firstLineChars="200" w:firstLine="640"/>
        <w:rPr>
          <w:rFonts w:ascii="仿宋_GB2312" w:eastAsia="仿宋_GB2312"/>
          <w:color w:val="000000"/>
          <w:sz w:val="32"/>
          <w:szCs w:val="32"/>
        </w:rPr>
      </w:pPr>
      <w:r>
        <w:rPr>
          <w:rFonts w:ascii="仿宋_GB2312" w:eastAsia="仿宋_GB2312"/>
          <w:color w:val="000000"/>
          <w:sz w:val="32"/>
          <w:szCs w:val="32"/>
        </w:rPr>
        <w:t>10.</w:t>
      </w:r>
      <w:r>
        <w:rPr>
          <w:rFonts w:ascii="仿宋_GB2312" w:eastAsia="仿宋_GB2312" w:hint="eastAsia"/>
          <w:color w:val="000000"/>
          <w:sz w:val="32"/>
          <w:szCs w:val="32"/>
        </w:rPr>
        <w:t>社会保障和就业（类）行政事业单位离退休（款）未归口管理的行政单位离退休（项）：指反映未实行归口管理的行政单位（包括实行公务员管理的事业单位）开支的离退休支出。</w:t>
      </w:r>
    </w:p>
    <w:p w:rsidR="009971F6" w:rsidRDefault="00ED6E5C">
      <w:pPr>
        <w:ind w:firstLineChars="200" w:firstLine="640"/>
        <w:rPr>
          <w:rFonts w:ascii="仿宋_GB2312" w:eastAsia="仿宋_GB2312"/>
          <w:color w:val="000000"/>
          <w:sz w:val="32"/>
          <w:szCs w:val="32"/>
        </w:rPr>
      </w:pPr>
      <w:r>
        <w:rPr>
          <w:rFonts w:ascii="仿宋_GB2312" w:eastAsia="仿宋_GB2312" w:hint="eastAsia"/>
          <w:color w:val="000000"/>
          <w:sz w:val="32"/>
          <w:szCs w:val="32"/>
        </w:rPr>
        <w:t>11.社会保障和就业（类）行政事业单位离退休（款）机关事业单位基本养老保险缴费支出（项）：指反映机关事业单位实施养老保险制度由单位缴纳的基本养老保险费支出。</w:t>
      </w:r>
    </w:p>
    <w:p w:rsidR="009971F6" w:rsidRDefault="00ED6E5C">
      <w:pPr>
        <w:ind w:firstLineChars="200" w:firstLine="640"/>
        <w:rPr>
          <w:rFonts w:ascii="仿宋_GB2312" w:eastAsia="仿宋_GB2312"/>
          <w:color w:val="000000"/>
          <w:sz w:val="32"/>
          <w:szCs w:val="32"/>
        </w:rPr>
      </w:pPr>
      <w:r>
        <w:rPr>
          <w:rFonts w:ascii="仿宋_GB2312" w:eastAsia="仿宋_GB2312"/>
          <w:color w:val="000000"/>
          <w:sz w:val="32"/>
          <w:szCs w:val="32"/>
        </w:rPr>
        <w:t>1</w:t>
      </w:r>
      <w:r>
        <w:rPr>
          <w:rFonts w:ascii="仿宋_GB2312" w:eastAsia="仿宋_GB2312" w:hint="eastAsia"/>
          <w:color w:val="000000"/>
          <w:sz w:val="32"/>
          <w:szCs w:val="32"/>
        </w:rPr>
        <w:t>2</w:t>
      </w:r>
      <w:r>
        <w:rPr>
          <w:rFonts w:ascii="仿宋_GB2312" w:eastAsia="仿宋_GB2312"/>
          <w:color w:val="000000"/>
          <w:sz w:val="32"/>
          <w:szCs w:val="32"/>
        </w:rPr>
        <w:t>.</w:t>
      </w:r>
      <w:r>
        <w:rPr>
          <w:rFonts w:ascii="仿宋_GB2312" w:eastAsia="仿宋_GB2312" w:hint="eastAsia"/>
          <w:color w:val="000000"/>
          <w:sz w:val="32"/>
          <w:szCs w:val="32"/>
        </w:rPr>
        <w:t>医疗卫生与计划生育支出（类）其他医疗卫生与计划生育支出（款）其他医疗卫生与计划生育支出（项）：指反映除各项医疗卫生与计划生育支出项目以外其他用于医疗卫生与计划生育方面的支出。</w:t>
      </w:r>
    </w:p>
    <w:p w:rsidR="009971F6" w:rsidRDefault="00ED6E5C">
      <w:pPr>
        <w:ind w:firstLineChars="200" w:firstLine="640"/>
        <w:rPr>
          <w:rFonts w:ascii="仿宋_GB2312" w:eastAsia="仿宋_GB2312"/>
          <w:color w:val="000000"/>
          <w:sz w:val="32"/>
          <w:szCs w:val="32"/>
        </w:rPr>
      </w:pPr>
      <w:r>
        <w:rPr>
          <w:rFonts w:ascii="仿宋_GB2312" w:eastAsia="仿宋_GB2312" w:hint="eastAsia"/>
          <w:color w:val="000000"/>
          <w:sz w:val="32"/>
          <w:szCs w:val="32"/>
        </w:rPr>
        <w:t>13</w:t>
      </w:r>
      <w:r>
        <w:rPr>
          <w:rFonts w:ascii="仿宋_GB2312" w:eastAsia="仿宋_GB2312"/>
          <w:color w:val="000000"/>
          <w:sz w:val="32"/>
          <w:szCs w:val="32"/>
        </w:rPr>
        <w:t>.</w:t>
      </w:r>
      <w:r>
        <w:rPr>
          <w:rFonts w:ascii="仿宋_GB2312" w:eastAsia="仿宋_GB2312" w:hint="eastAsia"/>
          <w:color w:val="000000"/>
          <w:sz w:val="32"/>
          <w:szCs w:val="32"/>
        </w:rPr>
        <w:t>住房保障支出（类）住房改革支出（款）住房公积金（项）：指反映行政事业单位按人力资源和社会保障部、财政部规定的基本工资和津贴补贴以及规定比例为职工缴纳的住房公积金。</w:t>
      </w:r>
    </w:p>
    <w:p w:rsidR="009971F6" w:rsidRDefault="00ED6E5C">
      <w:pPr>
        <w:spacing w:line="600" w:lineRule="exact"/>
        <w:ind w:firstLine="640"/>
        <w:rPr>
          <w:rFonts w:ascii="仿宋" w:eastAsia="仿宋" w:hAnsi="仿宋"/>
          <w:b/>
          <w:color w:val="000000"/>
          <w:sz w:val="32"/>
          <w:szCs w:val="32"/>
        </w:rPr>
      </w:pPr>
      <w:r>
        <w:rPr>
          <w:rFonts w:ascii="仿宋" w:eastAsia="仿宋" w:hAnsi="仿宋" w:hint="eastAsia"/>
          <w:b/>
          <w:color w:val="000000"/>
          <w:sz w:val="32"/>
          <w:szCs w:val="32"/>
        </w:rPr>
        <w:t>（解释本部门决算报表中全部功能分类科目至项级，请参照《</w:t>
      </w:r>
      <w:r>
        <w:rPr>
          <w:rFonts w:ascii="仿宋" w:eastAsia="仿宋" w:hAnsi="仿宋"/>
          <w:b/>
          <w:color w:val="000000"/>
          <w:sz w:val="32"/>
          <w:szCs w:val="32"/>
        </w:rPr>
        <w:t>201</w:t>
      </w:r>
      <w:r>
        <w:rPr>
          <w:rFonts w:ascii="仿宋" w:eastAsia="仿宋" w:hAnsi="仿宋" w:hint="eastAsia"/>
          <w:b/>
          <w:color w:val="000000"/>
          <w:sz w:val="32"/>
          <w:szCs w:val="32"/>
        </w:rPr>
        <w:t>8年政府收支分类科目》增减内容。）</w:t>
      </w:r>
    </w:p>
    <w:p w:rsidR="009971F6" w:rsidRDefault="00ED6E5C">
      <w:pPr>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14</w:t>
      </w:r>
      <w:r>
        <w:rPr>
          <w:rFonts w:ascii="仿宋_GB2312" w:eastAsia="仿宋_GB2312"/>
          <w:color w:val="000000"/>
          <w:sz w:val="32"/>
          <w:szCs w:val="32"/>
        </w:rPr>
        <w:t>.</w:t>
      </w:r>
      <w:r>
        <w:rPr>
          <w:rFonts w:ascii="仿宋_GB2312" w:eastAsia="仿宋_GB2312" w:hint="eastAsia"/>
          <w:color w:val="000000"/>
          <w:sz w:val="32"/>
          <w:szCs w:val="32"/>
        </w:rPr>
        <w:t>基本支出：指为保障机构正常运转、完成日常工作任务而发生的人员支出和公用支出。</w:t>
      </w:r>
    </w:p>
    <w:p w:rsidR="009971F6" w:rsidRDefault="00ED6E5C">
      <w:pPr>
        <w:ind w:firstLineChars="200" w:firstLine="640"/>
        <w:rPr>
          <w:rFonts w:ascii="仿宋_GB2312" w:eastAsia="仿宋_GB2312"/>
          <w:color w:val="000000"/>
          <w:sz w:val="32"/>
          <w:szCs w:val="32"/>
        </w:rPr>
      </w:pPr>
      <w:r>
        <w:rPr>
          <w:rFonts w:ascii="仿宋_GB2312" w:eastAsia="仿宋_GB2312" w:hint="eastAsia"/>
          <w:color w:val="000000"/>
          <w:sz w:val="32"/>
          <w:szCs w:val="32"/>
        </w:rPr>
        <w:t>15</w:t>
      </w:r>
      <w:r>
        <w:rPr>
          <w:rFonts w:ascii="仿宋_GB2312" w:eastAsia="仿宋_GB2312"/>
          <w:color w:val="000000"/>
          <w:sz w:val="32"/>
          <w:szCs w:val="32"/>
        </w:rPr>
        <w:t>.</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rsidR="009971F6" w:rsidRDefault="00ED6E5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16</w:t>
      </w:r>
      <w:r>
        <w:rPr>
          <w:rFonts w:ascii="仿宋_GB2312" w:eastAsia="仿宋_GB2312"/>
          <w:sz w:val="32"/>
          <w:szCs w:val="32"/>
        </w:rPr>
        <w:t>.</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9971F6" w:rsidRDefault="00ED6E5C">
      <w:pPr>
        <w:pStyle w:val="Default"/>
        <w:spacing w:line="560" w:lineRule="exact"/>
        <w:ind w:firstLineChars="200" w:firstLine="640"/>
        <w:rPr>
          <w:rFonts w:ascii="仿宋_GB2312" w:eastAsia="仿宋_GB2312"/>
          <w:sz w:val="32"/>
          <w:szCs w:val="32"/>
        </w:rPr>
      </w:pPr>
      <w:r>
        <w:rPr>
          <w:rFonts w:ascii="仿宋_GB2312" w:eastAsia="仿宋_GB2312" w:hint="eastAsia"/>
          <w:sz w:val="32"/>
          <w:szCs w:val="32"/>
        </w:rPr>
        <w:t>17</w:t>
      </w:r>
      <w:r>
        <w:rPr>
          <w:rFonts w:ascii="仿宋_GB2312" w:eastAsia="仿宋_GB2312"/>
          <w:sz w:val="32"/>
          <w:szCs w:val="32"/>
        </w:rPr>
        <w:t>.</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971F6" w:rsidRDefault="009971F6">
      <w:pPr>
        <w:pStyle w:val="Default"/>
        <w:spacing w:line="560" w:lineRule="exact"/>
        <w:ind w:firstLineChars="200" w:firstLine="640"/>
        <w:rPr>
          <w:rFonts w:ascii="仿宋_GB2312" w:eastAsia="仿宋_GB2312" w:cs="黑体"/>
          <w:sz w:val="32"/>
          <w:szCs w:val="32"/>
        </w:rPr>
      </w:pPr>
    </w:p>
    <w:p w:rsidR="009971F6" w:rsidRDefault="00ED6E5C">
      <w:pPr>
        <w:ind w:firstLineChars="200" w:firstLine="643"/>
        <w:rPr>
          <w:rFonts w:ascii="仿宋" w:eastAsia="仿宋" w:hAnsi="仿宋"/>
          <w:b/>
          <w:color w:val="000000"/>
          <w:sz w:val="32"/>
          <w:szCs w:val="32"/>
        </w:rPr>
      </w:pPr>
      <w:r>
        <w:rPr>
          <w:rFonts w:ascii="仿宋" w:eastAsia="仿宋" w:hAnsi="仿宋" w:hint="eastAsia"/>
          <w:b/>
          <w:color w:val="000000"/>
          <w:sz w:val="32"/>
          <w:szCs w:val="32"/>
        </w:rPr>
        <w:t>（名词解释部分请根据各部门实际列支情况罗列，并根据本部门职责职能增减名词解释内容。）</w:t>
      </w:r>
    </w:p>
    <w:p w:rsidR="009971F6" w:rsidRDefault="00ED6E5C">
      <w:pPr>
        <w:spacing w:line="600" w:lineRule="exact"/>
        <w:jc w:val="center"/>
        <w:outlineLvl w:val="0"/>
        <w:rPr>
          <w:rStyle w:val="1Char"/>
          <w:rFonts w:ascii="黑体" w:eastAsia="黑体" w:hAnsi="黑体"/>
          <w:b w:val="0"/>
        </w:rPr>
      </w:pPr>
      <w:bookmarkStart w:id="62" w:name="_Toc15377226"/>
      <w:r>
        <w:rPr>
          <w:rFonts w:ascii="宋体"/>
          <w:b/>
          <w:color w:val="000000"/>
          <w:sz w:val="44"/>
          <w:szCs w:val="44"/>
        </w:rPr>
        <w:br w:type="page"/>
      </w:r>
      <w:bookmarkStart w:id="63" w:name="_Toc15396614"/>
      <w:r>
        <w:rPr>
          <w:rFonts w:ascii="黑体" w:eastAsia="黑体" w:hAnsi="黑体" w:hint="eastAsia"/>
          <w:color w:val="000000"/>
          <w:sz w:val="44"/>
          <w:szCs w:val="44"/>
        </w:rPr>
        <w:lastRenderedPageBreak/>
        <w:t>第</w:t>
      </w:r>
      <w:r>
        <w:rPr>
          <w:rStyle w:val="1Char"/>
          <w:rFonts w:ascii="黑体" w:eastAsia="黑体" w:hAnsi="黑体" w:hint="eastAsia"/>
          <w:b w:val="0"/>
        </w:rPr>
        <w:t>四部分 附件</w:t>
      </w:r>
      <w:bookmarkEnd w:id="63"/>
    </w:p>
    <w:p w:rsidR="009971F6" w:rsidRDefault="009971F6">
      <w:pPr>
        <w:spacing w:line="600" w:lineRule="exact"/>
        <w:jc w:val="center"/>
        <w:outlineLvl w:val="0"/>
        <w:rPr>
          <w:rStyle w:val="1Char"/>
        </w:rPr>
      </w:pPr>
    </w:p>
    <w:p w:rsidR="009971F6" w:rsidRDefault="00ED6E5C">
      <w:pPr>
        <w:pStyle w:val="2"/>
        <w:rPr>
          <w:rStyle w:val="1Char"/>
          <w:rFonts w:ascii="仿宋" w:eastAsia="仿宋" w:hAnsi="仿宋"/>
          <w:sz w:val="32"/>
          <w:szCs w:val="32"/>
        </w:rPr>
      </w:pPr>
      <w:bookmarkStart w:id="64" w:name="_Toc15396615"/>
      <w:r>
        <w:rPr>
          <w:rStyle w:val="1Char"/>
          <w:rFonts w:ascii="仿宋" w:eastAsia="仿宋" w:hAnsi="仿宋" w:hint="eastAsia"/>
          <w:sz w:val="32"/>
          <w:szCs w:val="32"/>
        </w:rPr>
        <w:t>附件1</w:t>
      </w:r>
      <w:bookmarkEnd w:id="64"/>
    </w:p>
    <w:p w:rsidR="009971F6" w:rsidRDefault="00ED6E5C">
      <w:pPr>
        <w:spacing w:line="600" w:lineRule="exact"/>
        <w:jc w:val="center"/>
        <w:outlineLvl w:val="0"/>
        <w:rPr>
          <w:rFonts w:ascii="黑体" w:eastAsia="黑体" w:hAnsi="黑体" w:cs="方正小标宋简体"/>
          <w:sz w:val="36"/>
          <w:szCs w:val="36"/>
        </w:rPr>
      </w:pPr>
      <w:bookmarkStart w:id="65" w:name="_Toc15396616"/>
      <w:r>
        <w:rPr>
          <w:rFonts w:ascii="黑体" w:eastAsia="黑体" w:hAnsi="黑体" w:cs="方正小标宋简体" w:hint="eastAsia"/>
          <w:sz w:val="36"/>
          <w:szCs w:val="36"/>
        </w:rPr>
        <w:t>攀枝花市人民政府驻成都办事处</w:t>
      </w:r>
    </w:p>
    <w:p w:rsidR="009971F6" w:rsidRDefault="00ED6E5C">
      <w:pPr>
        <w:spacing w:line="600" w:lineRule="exact"/>
        <w:jc w:val="center"/>
        <w:outlineLvl w:val="0"/>
        <w:rPr>
          <w:rFonts w:ascii="黑体" w:eastAsia="黑体" w:hAnsi="黑体" w:cs="方正小标宋简体"/>
          <w:sz w:val="36"/>
          <w:szCs w:val="36"/>
        </w:rPr>
      </w:pPr>
      <w:r>
        <w:rPr>
          <w:rFonts w:ascii="黑体" w:eastAsia="黑体" w:hAnsi="黑体" w:cs="方正小标宋简体" w:hint="eastAsia"/>
          <w:sz w:val="36"/>
          <w:szCs w:val="36"/>
        </w:rPr>
        <w:t>2018年部门整体支出绩效评价报告</w:t>
      </w:r>
      <w:bookmarkEnd w:id="65"/>
    </w:p>
    <w:p w:rsidR="009971F6" w:rsidRDefault="009971F6">
      <w:pPr>
        <w:spacing w:line="580" w:lineRule="exact"/>
        <w:ind w:firstLineChars="200" w:firstLine="640"/>
        <w:rPr>
          <w:rFonts w:ascii="黑体" w:eastAsia="黑体" w:hAnsi="黑体" w:cs="黑体"/>
          <w:sz w:val="32"/>
          <w:szCs w:val="32"/>
        </w:rPr>
      </w:pPr>
    </w:p>
    <w:p w:rsidR="009971F6" w:rsidRDefault="00ED6E5C">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（一）机构组成。</w:t>
      </w:r>
    </w:p>
    <w:p w:rsidR="009971F6" w:rsidRDefault="00ED6E5C">
      <w:pPr>
        <w:spacing w:line="600" w:lineRule="exact"/>
        <w:ind w:firstLineChars="250" w:firstLine="800"/>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攀枝花市人民政府驻成都办事处下属二级单位3个，其中行政单位1个，参照公务员法管理的事业单位1个，其他事业单位1个。</w:t>
      </w:r>
    </w:p>
    <w:p w:rsidR="009971F6" w:rsidRDefault="00ED6E5C">
      <w:pPr>
        <w:pStyle w:val="a3"/>
        <w:adjustRightInd w:val="0"/>
        <w:snapToGrid w:val="0"/>
        <w:spacing w:before="93" w:line="600" w:lineRule="exact"/>
        <w:ind w:firstLineChars="210" w:firstLine="672"/>
        <w:rPr>
          <w:rFonts w:ascii="仿宋" w:eastAsia="仿宋" w:hAnsi="仿宋" w:cs="仿宋_GB2312"/>
          <w:sz w:val="32"/>
          <w:szCs w:val="32"/>
        </w:rPr>
      </w:pPr>
      <w:r>
        <w:rPr>
          <w:rFonts w:hAnsi="仿宋_GB2312" w:cs="仿宋_GB2312" w:hint="eastAsia"/>
          <w:color w:val="000000"/>
          <w:sz w:val="32"/>
          <w:szCs w:val="32"/>
        </w:rPr>
        <w:t>纳入</w:t>
      </w:r>
      <w:r>
        <w:rPr>
          <w:rFonts w:hAnsi="仿宋_GB2312" w:cs="仿宋_GB2312" w:hint="eastAsia"/>
          <w:sz w:val="32"/>
          <w:szCs w:val="32"/>
        </w:rPr>
        <w:t>攀枝花市人民政府驻成都办事处</w:t>
      </w:r>
      <w:r>
        <w:rPr>
          <w:rFonts w:hAnsi="仿宋_GB2312" w:cs="仿宋_GB2312" w:hint="eastAsia"/>
          <w:color w:val="000000"/>
          <w:sz w:val="32"/>
          <w:szCs w:val="32"/>
        </w:rPr>
        <w:t>2018年度部门决算编制范围的二级预算单位包括：攀枝花市人民政府驻成都办事处本级（</w:t>
      </w:r>
      <w:r>
        <w:rPr>
          <w:rFonts w:hAnsi="仿宋_GB2312" w:cs="仿宋_GB2312" w:hint="eastAsia"/>
          <w:sz w:val="32"/>
          <w:szCs w:val="32"/>
        </w:rPr>
        <w:t>行政单位）</w:t>
      </w:r>
      <w:r>
        <w:rPr>
          <w:rFonts w:hAnsi="仿宋_GB2312" w:cs="仿宋_GB2312" w:hint="eastAsia"/>
          <w:color w:val="000000"/>
          <w:sz w:val="32"/>
          <w:szCs w:val="32"/>
        </w:rPr>
        <w:t>、攀枝花市成都干部休养所（</w:t>
      </w:r>
      <w:r>
        <w:rPr>
          <w:rFonts w:hAnsi="仿宋_GB2312" w:cs="仿宋_GB2312" w:hint="eastAsia"/>
          <w:sz w:val="32"/>
          <w:szCs w:val="32"/>
        </w:rPr>
        <w:t>参照公务员法管理的事业单位）</w:t>
      </w:r>
      <w:r>
        <w:rPr>
          <w:rFonts w:hAnsi="仿宋_GB2312" w:cs="仿宋_GB2312" w:hint="eastAsia"/>
          <w:color w:val="000000"/>
          <w:sz w:val="32"/>
          <w:szCs w:val="32"/>
        </w:rPr>
        <w:t>、攀枝花市成都干部服务中心（</w:t>
      </w:r>
      <w:r>
        <w:rPr>
          <w:rFonts w:hAnsi="仿宋_GB2312" w:cs="仿宋_GB2312" w:hint="eastAsia"/>
          <w:sz w:val="32"/>
          <w:szCs w:val="32"/>
        </w:rPr>
        <w:t>其他事业单位）。</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（二）机构职能。</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1、攀枝花市人民政府驻成都办事处</w:t>
      </w:r>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负责川、渝地区的联络。负责与省级机关、重庆市、成都市的联系；积极向上争取政策、项目、资金；宣传介绍攀枝花的政治、经济和社会发展情况，促进城市间的相互了解和友好往来；参与我市在成都、重庆进行的有关重大</w:t>
      </w:r>
      <w:r>
        <w:rPr>
          <w:rFonts w:ascii="仿宋_GB2312" w:eastAsia="仿宋_GB2312" w:hAnsi="宋体" w:cs="宋体" w:hint="eastAsia"/>
          <w:kern w:val="0"/>
          <w:sz w:val="32"/>
          <w:szCs w:val="32"/>
        </w:rPr>
        <w:lastRenderedPageBreak/>
        <w:t>活动的组织协调和服务工作。</w:t>
      </w:r>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（2）加强调查研究，收集、整理和传递重要的政务、经济信息，为市委、市政府决策提供参考依据，为市及部门、县（区）和企业提供信息咨询服务。</w:t>
      </w:r>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（3）开展招商引资和区域间经济、技术、人才、文化的交流与合作；围绕我市经济发展的支柱产业和重点项目，积极开展招商引资活动，着力引进技术和资金，同时协助市内企业拓展市外市场。</w:t>
      </w:r>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（4）负责协调县（区）驻蓉办事处（联络处）的关系和业务指导。</w:t>
      </w:r>
    </w:p>
    <w:p w:rsidR="009971F6" w:rsidRDefault="00ED6E5C">
      <w:pPr>
        <w:spacing w:line="600" w:lineRule="exact"/>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（5）负责市级领导赴蓉及途经成都的接待工作，为市及各部门、县（区）和企事业单位在成都开展业务活动提供咨询服务和工作方便。</w:t>
      </w:r>
      <w:r>
        <w:rPr>
          <w:rFonts w:ascii="仿宋_GB2312" w:eastAsia="仿宋_GB2312" w:hAnsi="宋体" w:cs="宋体" w:hint="eastAsia"/>
          <w:kern w:val="0"/>
          <w:sz w:val="32"/>
          <w:szCs w:val="32"/>
        </w:rPr>
        <w:br/>
      </w: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（6）负责与攀枝花调到成都和离退休后到成都定居的领导和干部的联系，为我市的经济建设和社会发展服务。</w:t>
      </w:r>
      <w:r>
        <w:rPr>
          <w:rFonts w:ascii="仿宋_GB2312" w:eastAsia="仿宋_GB2312" w:hAnsi="宋体" w:cs="宋体" w:hint="eastAsia"/>
          <w:kern w:val="0"/>
          <w:sz w:val="32"/>
          <w:szCs w:val="32"/>
        </w:rPr>
        <w:br/>
      </w: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（7）协助市级有关部门做好本市人员到蓉上访的处置工作。</w:t>
      </w:r>
      <w:r>
        <w:rPr>
          <w:rFonts w:ascii="仿宋_GB2312" w:eastAsia="仿宋_GB2312" w:hAnsi="宋体" w:cs="宋体" w:hint="eastAsia"/>
          <w:kern w:val="0"/>
          <w:sz w:val="32"/>
          <w:szCs w:val="32"/>
        </w:rPr>
        <w:br/>
      </w: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（8）负责对办事处及所属单位的财产进行监督管理，保证国有资产保值增值。</w:t>
      </w:r>
      <w:r>
        <w:rPr>
          <w:rFonts w:ascii="仿宋_GB2312" w:eastAsia="仿宋_GB2312" w:hAnsi="宋体" w:cs="宋体" w:hint="eastAsia"/>
          <w:kern w:val="0"/>
          <w:sz w:val="32"/>
          <w:szCs w:val="32"/>
        </w:rPr>
        <w:br/>
      </w:r>
      <w:r>
        <w:rPr>
          <w:rFonts w:ascii="宋体" w:eastAsia="仿宋_GB2312" w:hAnsi="宋体" w:cs="宋体" w:hint="eastAsia"/>
          <w:kern w:val="0"/>
          <w:sz w:val="32"/>
          <w:szCs w:val="32"/>
        </w:rPr>
        <w:t>    </w:t>
      </w:r>
      <w:r>
        <w:rPr>
          <w:rFonts w:ascii="仿宋_GB2312" w:eastAsia="仿宋_GB2312" w:hAnsi="宋体" w:cs="宋体" w:hint="eastAsia"/>
          <w:kern w:val="0"/>
          <w:sz w:val="32"/>
          <w:szCs w:val="32"/>
        </w:rPr>
        <w:t>（9）承办市委、市政府和主管部门交办的其它事宜。</w:t>
      </w:r>
    </w:p>
    <w:p w:rsidR="009971F6" w:rsidRDefault="00ED6E5C">
      <w:pPr>
        <w:spacing w:line="600" w:lineRule="exact"/>
        <w:ind w:firstLineChars="200" w:firstLine="643"/>
        <w:rPr>
          <w:rFonts w:ascii="仿宋_GB2312" w:eastAsia="仿宋_GB2312" w:hAnsi="宋体" w:cs="宋体"/>
          <w:b/>
          <w:bCs/>
          <w:kern w:val="0"/>
          <w:sz w:val="32"/>
          <w:szCs w:val="32"/>
        </w:rPr>
      </w:pPr>
      <w:r>
        <w:rPr>
          <w:rFonts w:ascii="仿宋_GB2312" w:eastAsia="仿宋_GB2312" w:hAnsi="宋体" w:cs="宋体" w:hint="eastAsia"/>
          <w:b/>
          <w:bCs/>
          <w:kern w:val="0"/>
          <w:sz w:val="32"/>
          <w:szCs w:val="32"/>
        </w:rPr>
        <w:t>2、攀枝花市成都干部休养所</w:t>
      </w:r>
    </w:p>
    <w:p w:rsidR="009971F6" w:rsidRDefault="00ED6E5C">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lastRenderedPageBreak/>
        <w:t>（1）落实干休所离休老干部政治、生活待遇。</w:t>
      </w:r>
    </w:p>
    <w:p w:rsidR="009971F6" w:rsidRDefault="00ED6E5C">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（2）作好离休老同志日常管理服务。</w:t>
      </w:r>
    </w:p>
    <w:p w:rsidR="009971F6" w:rsidRDefault="00ED6E5C">
      <w:pPr>
        <w:spacing w:line="600"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（3）为方便离休老干部看病就医提供服务。</w:t>
      </w:r>
    </w:p>
    <w:p w:rsidR="009971F6" w:rsidRDefault="00ED6E5C">
      <w:pPr>
        <w:spacing w:line="600" w:lineRule="exact"/>
        <w:ind w:firstLineChars="200" w:firstLine="640"/>
        <w:rPr>
          <w:rFonts w:ascii="仿宋_GB2312" w:eastAsia="仿宋_GB2312" w:hAnsi="宋体" w:cs="宋体"/>
          <w:b/>
          <w:bCs/>
          <w:kern w:val="0"/>
          <w:sz w:val="32"/>
          <w:szCs w:val="32"/>
        </w:rPr>
      </w:pPr>
      <w:r>
        <w:rPr>
          <w:rFonts w:ascii="仿宋_GB2312" w:eastAsia="仿宋_GB2312" w:hAnsi="仿宋_GB2312" w:cs="仿宋_GB2312" w:hint="eastAsia"/>
          <w:kern w:val="0"/>
          <w:sz w:val="32"/>
          <w:szCs w:val="32"/>
        </w:rPr>
        <w:t>（4）开展离休老干部的文化娱乐活动.组织他们外出参观考察。</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3、攀枝花市成都干部服务中心</w:t>
      </w:r>
    </w:p>
    <w:p w:rsidR="009971F6" w:rsidRDefault="00ED6E5C">
      <w:pPr>
        <w:spacing w:line="6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（1）负责承担在蓉攀籍离退休干部的接待服务及维稳工作。</w:t>
      </w:r>
    </w:p>
    <w:p w:rsidR="009971F6" w:rsidRDefault="00ED6E5C">
      <w:pPr>
        <w:spacing w:line="6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（2）联络、协调攀枝花市调蓉的在职及离退休干部工作。</w:t>
      </w:r>
    </w:p>
    <w:p w:rsidR="009971F6" w:rsidRDefault="00ED6E5C">
      <w:pPr>
        <w:spacing w:line="6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（3）负责在蓉向曾经在攀工作的干部宣传介绍攀枝花，使之进一步为攀枝花建设和发展服务。</w:t>
      </w:r>
    </w:p>
    <w:p w:rsidR="009971F6" w:rsidRDefault="00ED6E5C">
      <w:pPr>
        <w:spacing w:line="6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（4）邀请医院医生为西锦渡小区离退休干部进行现场健康问题解答。</w:t>
      </w:r>
    </w:p>
    <w:p w:rsidR="009971F6" w:rsidRDefault="00ED6E5C">
      <w:pPr>
        <w:spacing w:line="600" w:lineRule="exact"/>
        <w:ind w:firstLineChars="200" w:firstLine="640"/>
        <w:rPr>
          <w:rFonts w:ascii="仿宋_GB2312" w:eastAsia="仿宋_GB2312" w:hAnsi="仿宋"/>
          <w:color w:val="000000"/>
          <w:sz w:val="32"/>
          <w:szCs w:val="32"/>
        </w:rPr>
      </w:pPr>
      <w:r>
        <w:rPr>
          <w:rFonts w:ascii="仿宋_GB2312" w:eastAsia="仿宋_GB2312" w:hAnsi="仿宋" w:hint="eastAsia"/>
          <w:color w:val="000000"/>
          <w:sz w:val="32"/>
          <w:szCs w:val="32"/>
        </w:rPr>
        <w:t>（5）充分利用服务中心会议室、干部活动室、文体设施设备，为小区住户开展有益身心健康的文体活动。</w:t>
      </w:r>
    </w:p>
    <w:p w:rsidR="009971F6" w:rsidRDefault="00ED6E5C">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 w:hint="eastAsia"/>
          <w:color w:val="000000"/>
          <w:sz w:val="32"/>
          <w:szCs w:val="32"/>
        </w:rPr>
        <w:t>（6）协调西锦渡物业管理部门做好管理及小区房屋、公共设施的维护保养工作。</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（三）人员概况。</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1、攀枝花市人民政府驻成都办事处</w:t>
      </w:r>
    </w:p>
    <w:p w:rsidR="009971F6" w:rsidRDefault="00ED6E5C">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我办除内设处室“三科一办”，即</w:t>
      </w:r>
      <w:r>
        <w:rPr>
          <w:rFonts w:ascii="仿宋_GB2312" w:eastAsia="仿宋_GB2312" w:hAnsi="宋体" w:cs="宋体" w:hint="eastAsia"/>
          <w:kern w:val="0"/>
          <w:sz w:val="32"/>
          <w:szCs w:val="32"/>
        </w:rPr>
        <w:t>党委办公室、综合科、经济联络信息科、接待管理科外，</w:t>
      </w:r>
      <w:r>
        <w:rPr>
          <w:rFonts w:ascii="仿宋_GB2312" w:eastAsia="仿宋_GB2312" w:hAnsi="宋体" w:hint="eastAsia"/>
          <w:sz w:val="32"/>
          <w:szCs w:val="32"/>
        </w:rPr>
        <w:t>还挂有“中共攀枝花市委组织部驻成都流动党员服务站”、“共青团攀枝花市委驻成</w:t>
      </w:r>
      <w:r>
        <w:rPr>
          <w:rFonts w:ascii="仿宋_GB2312" w:eastAsia="仿宋_GB2312" w:hAnsi="宋体" w:hint="eastAsia"/>
          <w:sz w:val="32"/>
          <w:szCs w:val="32"/>
        </w:rPr>
        <w:lastRenderedPageBreak/>
        <w:t>都工作委员会”和“攀枝花市驻成都群众工作站”等三个牌子，进一步强化了我办的职能职责，大大丰富了我办的工作内涵。</w:t>
      </w:r>
    </w:p>
    <w:p w:rsidR="009971F6" w:rsidRDefault="00ED6E5C">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截止2018年12月31日，我办职工包括公务员9人、机关工勤人员4人、编内聘用人员2人、离休人员3人，退休人员39人全部纳入社保统筹管理。</w:t>
      </w:r>
    </w:p>
    <w:p w:rsidR="009971F6" w:rsidRDefault="00ED6E5C">
      <w:pPr>
        <w:spacing w:line="600" w:lineRule="exact"/>
        <w:ind w:firstLineChars="200" w:firstLine="643"/>
        <w:rPr>
          <w:rFonts w:ascii="仿宋_GB2312" w:eastAsia="仿宋_GB2312" w:hAnsi="宋体" w:cs="宋体"/>
          <w:b/>
          <w:bCs/>
          <w:kern w:val="0"/>
          <w:sz w:val="32"/>
          <w:szCs w:val="32"/>
        </w:rPr>
      </w:pPr>
      <w:r>
        <w:rPr>
          <w:rFonts w:ascii="仿宋_GB2312" w:eastAsia="仿宋_GB2312" w:hAnsi="宋体" w:cs="宋体" w:hint="eastAsia"/>
          <w:b/>
          <w:bCs/>
          <w:kern w:val="0"/>
          <w:sz w:val="32"/>
          <w:szCs w:val="32"/>
        </w:rPr>
        <w:t>2、攀枝花市成都干部休养所</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干休所</w:t>
      </w:r>
      <w:r>
        <w:rPr>
          <w:rFonts w:ascii="仿宋_GB2312" w:eastAsia="仿宋_GB2312" w:hAnsi="仿宋_GB2312" w:cs="仿宋_GB2312" w:hint="eastAsia"/>
          <w:kern w:val="0"/>
          <w:sz w:val="32"/>
          <w:szCs w:val="32"/>
        </w:rPr>
        <w:t>内设机构有办公室、财务室和医务室。其人员</w:t>
      </w:r>
      <w:r>
        <w:rPr>
          <w:rFonts w:ascii="仿宋_GB2312" w:eastAsia="仿宋_GB2312" w:hAnsi="宋体" w:hint="eastAsia"/>
          <w:sz w:val="32"/>
          <w:szCs w:val="32"/>
        </w:rPr>
        <w:t>截止2018年12月31日</w:t>
      </w:r>
      <w:r>
        <w:rPr>
          <w:rFonts w:ascii="仿宋_GB2312" w:eastAsia="仿宋_GB2312" w:hAnsi="仿宋_GB2312" w:cs="仿宋_GB2312" w:hint="eastAsia"/>
          <w:sz w:val="32"/>
          <w:szCs w:val="32"/>
        </w:rPr>
        <w:t>除1名编内聘用驾驶员在册外，其余8人都为退休人员，市委组织部下派1人负责干休所的组织领导工作，另在攀枝花市成都干部服务中心借用2人协助其工作，反聘医生1人、聘请会计1人、长期聘用门卫（临时工）3人、临时护工2人。</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3、攀枝花市成都干部服务中心</w:t>
      </w:r>
    </w:p>
    <w:p w:rsidR="009971F6" w:rsidRDefault="00ED6E5C">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 w:hint="eastAsia"/>
          <w:color w:val="000000"/>
          <w:sz w:val="32"/>
          <w:szCs w:val="32"/>
        </w:rPr>
        <w:t>服务中心内设机构有办公室、财务室、业务宣传室。中心包括中心主任（领导）1人、专业技术（中级）人员1人、事业工勤人员3人，退休人员4人已纳入社保统筹管理。</w:t>
      </w:r>
    </w:p>
    <w:p w:rsidR="009971F6" w:rsidRDefault="00ED6E5C">
      <w:pPr>
        <w:spacing w:line="580" w:lineRule="exact"/>
        <w:ind w:firstLineChars="200" w:firstLine="640"/>
        <w:rPr>
          <w:rFonts w:ascii="黑体" w:eastAsia="黑体" w:hAnsi="黑体" w:cs="黑体"/>
          <w:sz w:val="32"/>
          <w:szCs w:val="32"/>
        </w:rPr>
      </w:pPr>
      <w:r>
        <w:rPr>
          <w:rFonts w:ascii="黑体" w:eastAsia="黑体" w:hAnsi="黑体" w:cs="黑体"/>
          <w:sz w:val="32"/>
          <w:szCs w:val="32"/>
        </w:rPr>
        <w:t>二、部门财政资金收支情况</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（一）部门财政资金收入情况。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2018年财政拨款收入总计 881.90万元，具体如下：</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1、攀枝花市人民政府驻成都办事处</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2018年财政拨款收入 660.68万元--行政运行380.51万元、一般行政管理事务107.60万元、未归口管理的行政</w:t>
      </w:r>
      <w:r>
        <w:rPr>
          <w:rFonts w:ascii="仿宋_GB2312" w:eastAsia="仿宋_GB2312" w:hAnsi="仿宋_GB2312" w:cs="仿宋_GB2312" w:hint="eastAsia"/>
          <w:sz w:val="32"/>
          <w:szCs w:val="32"/>
        </w:rPr>
        <w:lastRenderedPageBreak/>
        <w:t>单位离退休121.93万元、机关事业单位基本养老保险缴费支出24.82万元、住房公积金25.82万元。</w:t>
      </w:r>
    </w:p>
    <w:p w:rsidR="009971F6" w:rsidRDefault="00ED6E5C">
      <w:pPr>
        <w:spacing w:line="600" w:lineRule="exact"/>
        <w:ind w:firstLineChars="200" w:firstLine="643"/>
        <w:rPr>
          <w:rFonts w:ascii="仿宋_GB2312" w:eastAsia="仿宋_GB2312" w:hAnsi="宋体" w:cs="宋体"/>
          <w:b/>
          <w:bCs/>
          <w:kern w:val="0"/>
          <w:sz w:val="32"/>
          <w:szCs w:val="32"/>
        </w:rPr>
      </w:pPr>
      <w:r>
        <w:rPr>
          <w:rFonts w:ascii="仿宋_GB2312" w:eastAsia="仿宋_GB2312" w:hAnsi="宋体" w:cs="宋体" w:hint="eastAsia"/>
          <w:b/>
          <w:bCs/>
          <w:kern w:val="0"/>
          <w:sz w:val="32"/>
          <w:szCs w:val="32"/>
        </w:rPr>
        <w:t>2、攀枝花市成都干部休养所</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2018年财政拨款收入85.62万元--行政运行14.99万元、一般行政管理事务53万元、未归口管理的行政单位离退休14.49万元、其他医疗卫生与计划生育支出2.28万元、住房公积金0.86万元。</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3、攀枝花市成都干部服务中心</w:t>
      </w:r>
    </w:p>
    <w:p w:rsidR="009971F6" w:rsidRDefault="00ED6E5C">
      <w:pPr>
        <w:spacing w:line="58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2018年财政拨款收入135.60万元--事业运行84.43万元、一般行政管理事务27万元、未归口管理的行政单位离退休4.89万元、机关事业单位基本养老保险缴费支出10.69万元、住房公积金8.59万元。</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（二）部门财政资金支出情况。</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2018年财政资金支出数为881.90万元，其中基本支出694.30万元、项目支出187.60万元。</w:t>
      </w:r>
    </w:p>
    <w:p w:rsidR="009971F6" w:rsidRDefault="00ED6E5C">
      <w:pPr>
        <w:spacing w:line="600" w:lineRule="exact"/>
        <w:rPr>
          <w:rFonts w:ascii="仿宋_GB2312" w:eastAsia="仿宋_GB2312" w:hAnsi="仿宋_GB2312" w:cs="仿宋_GB2312"/>
          <w:b/>
          <w:bCs/>
          <w:sz w:val="32"/>
          <w:szCs w:val="32"/>
        </w:rPr>
      </w:pPr>
      <w:r>
        <w:rPr>
          <w:rFonts w:ascii="仿宋_GB2312" w:eastAsia="仿宋_GB2312" w:hAnsi="宋体" w:hint="eastAsia"/>
          <w:sz w:val="32"/>
          <w:szCs w:val="32"/>
        </w:rPr>
        <w:t>所属单位各项支出分布情况（单位：万元）</w:t>
      </w:r>
    </w:p>
    <w:tbl>
      <w:tblPr>
        <w:tblStyle w:val="a7"/>
        <w:tblW w:w="8507" w:type="dxa"/>
        <w:tblLayout w:type="fixed"/>
        <w:tblLook w:val="04A0" w:firstRow="1" w:lastRow="0" w:firstColumn="1" w:lastColumn="0" w:noHBand="0" w:noVBand="1"/>
      </w:tblPr>
      <w:tblGrid>
        <w:gridCol w:w="2185"/>
        <w:gridCol w:w="1747"/>
        <w:gridCol w:w="1620"/>
        <w:gridCol w:w="1575"/>
        <w:gridCol w:w="1380"/>
      </w:tblGrid>
      <w:tr w:rsidR="009971F6">
        <w:trPr>
          <w:trHeight w:val="1072"/>
        </w:trPr>
        <w:tc>
          <w:tcPr>
            <w:tcW w:w="2185" w:type="dxa"/>
            <w:vAlign w:val="center"/>
          </w:tcPr>
          <w:p w:rsidR="009971F6" w:rsidRDefault="00ED6E5C">
            <w:pPr>
              <w:snapToGrid w:val="0"/>
              <w:spacing w:line="360" w:lineRule="auto"/>
              <w:jc w:val="right"/>
              <w:rPr>
                <w:rFonts w:ascii="仿宋_GB2312" w:eastAsia="仿宋_GB2312" w:hAnsi="宋体"/>
                <w:szCs w:val="21"/>
              </w:rPr>
            </w:pPr>
            <w:r>
              <w:rPr>
                <w:noProof/>
              </w:rPr>
              <mc:AlternateContent>
                <mc:Choice Requires="wps">
                  <w:drawing>
                    <wp:anchor distT="0" distB="0" distL="114300" distR="114300" simplePos="0" relativeHeight="251658240" behindDoc="0" locked="0" layoutInCell="1" allowOverlap="1">
                      <wp:simplePos x="0" y="0"/>
                      <wp:positionH relativeFrom="column">
                        <wp:posOffset>-57785</wp:posOffset>
                      </wp:positionH>
                      <wp:positionV relativeFrom="paragraph">
                        <wp:posOffset>-7620</wp:posOffset>
                      </wp:positionV>
                      <wp:extent cx="1362075" cy="628650"/>
                      <wp:effectExtent l="1905" t="4445" r="7620" b="14605"/>
                      <wp:wrapNone/>
                      <wp:docPr id="23" name="直接连接符 23"/>
                      <wp:cNvGraphicFramePr/>
                      <a:graphic xmlns:a="http://schemas.openxmlformats.org/drawingml/2006/main">
                        <a:graphicData uri="http://schemas.microsoft.com/office/word/2010/wordprocessingShape">
                          <wps:wsp>
                            <wps:cNvCnPr/>
                            <wps:spPr>
                              <a:xfrm>
                                <a:off x="1085215" y="6200775"/>
                                <a:ext cx="1362075" cy="628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6D5B37B" id="直接连接符 23"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4.55pt,-.6pt" to="102.7pt,4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" strokecolor="#4579b8 [3044]"/>
                  </w:pict>
                </mc:Fallback>
              </mc:AlternateContent>
            </w:r>
            <w:r>
              <w:rPr>
                <w:rFonts w:ascii="仿宋_GB2312" w:eastAsia="仿宋_GB2312" w:hAnsi="宋体" w:hint="eastAsia"/>
                <w:szCs w:val="21"/>
              </w:rPr>
              <w:t>单位名称</w:t>
            </w:r>
          </w:p>
          <w:p w:rsidR="009971F6" w:rsidRDefault="00ED6E5C">
            <w:pPr>
              <w:snapToGrid w:val="0"/>
              <w:spacing w:line="360" w:lineRule="auto"/>
              <w:rPr>
                <w:rFonts w:ascii="仿宋_GB2312" w:eastAsia="仿宋_GB2312" w:hAnsi="宋体"/>
                <w:sz w:val="28"/>
                <w:szCs w:val="28"/>
              </w:rPr>
            </w:pPr>
            <w:r>
              <w:rPr>
                <w:rFonts w:ascii="仿宋_GB2312" w:eastAsia="仿宋_GB2312" w:hAnsi="宋体" w:hint="eastAsia"/>
                <w:szCs w:val="21"/>
              </w:rPr>
              <w:t>科目名称</w:t>
            </w:r>
          </w:p>
        </w:tc>
        <w:tc>
          <w:tcPr>
            <w:tcW w:w="1747" w:type="dxa"/>
            <w:vAlign w:val="center"/>
          </w:tcPr>
          <w:p w:rsidR="009971F6" w:rsidRDefault="00ED6E5C">
            <w:pPr>
              <w:snapToGrid w:val="0"/>
              <w:spacing w:line="360" w:lineRule="auto"/>
              <w:jc w:val="center"/>
              <w:rPr>
                <w:rFonts w:ascii="仿宋_GB2312" w:eastAsia="仿宋_GB2312" w:hAnsi="宋体"/>
                <w:sz w:val="28"/>
                <w:szCs w:val="28"/>
              </w:rPr>
            </w:pPr>
            <w:r>
              <w:rPr>
                <w:rFonts w:ascii="仿宋_GB2312" w:eastAsia="仿宋_GB2312" w:hAnsi="宋体" w:hint="eastAsia"/>
                <w:szCs w:val="21"/>
              </w:rPr>
              <w:t>攀枝花市人民政府驻成都办事处</w:t>
            </w:r>
          </w:p>
        </w:tc>
        <w:tc>
          <w:tcPr>
            <w:tcW w:w="162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攀枝花市成都干部休养所</w:t>
            </w:r>
          </w:p>
        </w:tc>
        <w:tc>
          <w:tcPr>
            <w:tcW w:w="1575" w:type="dxa"/>
            <w:vAlign w:val="center"/>
          </w:tcPr>
          <w:p w:rsidR="009971F6" w:rsidRDefault="00ED6E5C">
            <w:pPr>
              <w:snapToGrid w:val="0"/>
              <w:spacing w:line="360" w:lineRule="auto"/>
              <w:jc w:val="center"/>
              <w:rPr>
                <w:rFonts w:ascii="仿宋_GB2312" w:eastAsia="仿宋_GB2312" w:hAnsi="宋体"/>
                <w:sz w:val="28"/>
                <w:szCs w:val="28"/>
              </w:rPr>
            </w:pPr>
            <w:r>
              <w:rPr>
                <w:rFonts w:ascii="仿宋_GB2312" w:eastAsia="仿宋_GB2312" w:hAnsi="宋体" w:hint="eastAsia"/>
                <w:szCs w:val="21"/>
              </w:rPr>
              <w:t>攀枝花市成都干部服务中心</w:t>
            </w:r>
          </w:p>
        </w:tc>
        <w:tc>
          <w:tcPr>
            <w:tcW w:w="1380" w:type="dxa"/>
            <w:vAlign w:val="center"/>
          </w:tcPr>
          <w:p w:rsidR="009971F6" w:rsidRDefault="00ED6E5C">
            <w:pPr>
              <w:snapToGrid w:val="0"/>
              <w:spacing w:line="360" w:lineRule="auto"/>
              <w:jc w:val="center"/>
              <w:rPr>
                <w:rFonts w:ascii="仿宋_GB2312" w:eastAsia="仿宋_GB2312" w:hAnsi="宋体"/>
                <w:sz w:val="28"/>
                <w:szCs w:val="28"/>
              </w:rPr>
            </w:pPr>
            <w:r>
              <w:rPr>
                <w:rFonts w:ascii="仿宋_GB2312" w:eastAsia="仿宋_GB2312" w:hAnsi="宋体" w:hint="eastAsia"/>
                <w:sz w:val="28"/>
                <w:szCs w:val="28"/>
              </w:rPr>
              <w:t>合计</w:t>
            </w:r>
          </w:p>
        </w:tc>
      </w:tr>
      <w:tr w:rsidR="009971F6">
        <w:trPr>
          <w:trHeight w:val="844"/>
        </w:trPr>
        <w:tc>
          <w:tcPr>
            <w:tcW w:w="2185" w:type="dxa"/>
            <w:vAlign w:val="center"/>
          </w:tcPr>
          <w:p w:rsidR="009971F6" w:rsidRDefault="00ED6E5C">
            <w:pPr>
              <w:snapToGrid w:val="0"/>
              <w:spacing w:line="360" w:lineRule="auto"/>
              <w:rPr>
                <w:rFonts w:ascii="仿宋_GB2312" w:eastAsia="仿宋_GB2312" w:hAnsi="宋体"/>
                <w:sz w:val="28"/>
                <w:szCs w:val="28"/>
              </w:rPr>
            </w:pPr>
            <w:r>
              <w:rPr>
                <w:rFonts w:ascii="仿宋_GB2312" w:eastAsia="仿宋_GB2312" w:hAnsi="宋体" w:hint="eastAsia"/>
                <w:sz w:val="28"/>
                <w:szCs w:val="28"/>
              </w:rPr>
              <w:t>工资福利支出</w:t>
            </w:r>
          </w:p>
        </w:tc>
        <w:tc>
          <w:tcPr>
            <w:tcW w:w="1747"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302.85</w:t>
            </w:r>
          </w:p>
        </w:tc>
        <w:tc>
          <w:tcPr>
            <w:tcW w:w="162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8.58</w:t>
            </w:r>
          </w:p>
        </w:tc>
        <w:tc>
          <w:tcPr>
            <w:tcW w:w="1575"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98.02</w:t>
            </w:r>
          </w:p>
        </w:tc>
        <w:tc>
          <w:tcPr>
            <w:tcW w:w="138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409.45</w:t>
            </w:r>
          </w:p>
        </w:tc>
      </w:tr>
      <w:tr w:rsidR="009971F6">
        <w:trPr>
          <w:trHeight w:val="859"/>
        </w:trPr>
        <w:tc>
          <w:tcPr>
            <w:tcW w:w="2185" w:type="dxa"/>
            <w:vAlign w:val="center"/>
          </w:tcPr>
          <w:p w:rsidR="009971F6" w:rsidRDefault="00ED6E5C">
            <w:pPr>
              <w:snapToGrid w:val="0"/>
              <w:spacing w:line="360" w:lineRule="auto"/>
              <w:rPr>
                <w:rFonts w:ascii="仿宋_GB2312" w:eastAsia="仿宋_GB2312" w:hAnsi="宋体"/>
                <w:sz w:val="28"/>
                <w:szCs w:val="28"/>
              </w:rPr>
            </w:pPr>
            <w:r>
              <w:rPr>
                <w:rFonts w:ascii="仿宋_GB2312" w:eastAsia="仿宋_GB2312" w:hAnsi="宋体" w:hint="eastAsia"/>
                <w:sz w:val="28"/>
                <w:szCs w:val="28"/>
              </w:rPr>
              <w:t>商品和服务支出</w:t>
            </w:r>
          </w:p>
        </w:tc>
        <w:tc>
          <w:tcPr>
            <w:tcW w:w="1747"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236.80</w:t>
            </w:r>
          </w:p>
        </w:tc>
        <w:tc>
          <w:tcPr>
            <w:tcW w:w="162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60.79</w:t>
            </w:r>
          </w:p>
        </w:tc>
        <w:tc>
          <w:tcPr>
            <w:tcW w:w="1575"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32.60</w:t>
            </w:r>
          </w:p>
        </w:tc>
        <w:tc>
          <w:tcPr>
            <w:tcW w:w="138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330.19</w:t>
            </w:r>
          </w:p>
        </w:tc>
      </w:tr>
      <w:tr w:rsidR="009971F6">
        <w:trPr>
          <w:trHeight w:val="941"/>
        </w:trPr>
        <w:tc>
          <w:tcPr>
            <w:tcW w:w="2185" w:type="dxa"/>
            <w:vAlign w:val="center"/>
          </w:tcPr>
          <w:p w:rsidR="009971F6" w:rsidRDefault="00ED6E5C">
            <w:pPr>
              <w:snapToGrid w:val="0"/>
              <w:spacing w:line="360" w:lineRule="auto"/>
              <w:rPr>
                <w:rFonts w:ascii="仿宋_GB2312" w:eastAsia="仿宋_GB2312" w:hAnsi="宋体"/>
                <w:sz w:val="28"/>
                <w:szCs w:val="28"/>
              </w:rPr>
            </w:pPr>
            <w:r>
              <w:rPr>
                <w:rFonts w:ascii="仿宋_GB2312" w:eastAsia="仿宋_GB2312" w:hAnsi="宋体" w:hint="eastAsia"/>
                <w:sz w:val="28"/>
                <w:szCs w:val="28"/>
              </w:rPr>
              <w:t>对个人和家庭的补助</w:t>
            </w:r>
          </w:p>
        </w:tc>
        <w:tc>
          <w:tcPr>
            <w:tcW w:w="1747"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115.53</w:t>
            </w:r>
          </w:p>
        </w:tc>
        <w:tc>
          <w:tcPr>
            <w:tcW w:w="162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16.25</w:t>
            </w:r>
          </w:p>
        </w:tc>
        <w:tc>
          <w:tcPr>
            <w:tcW w:w="1575"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4.53</w:t>
            </w:r>
          </w:p>
        </w:tc>
        <w:tc>
          <w:tcPr>
            <w:tcW w:w="138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136.31</w:t>
            </w:r>
          </w:p>
        </w:tc>
      </w:tr>
      <w:tr w:rsidR="009971F6">
        <w:trPr>
          <w:trHeight w:val="859"/>
        </w:trPr>
        <w:tc>
          <w:tcPr>
            <w:tcW w:w="2185" w:type="dxa"/>
            <w:vAlign w:val="center"/>
          </w:tcPr>
          <w:p w:rsidR="009971F6" w:rsidRDefault="00ED6E5C">
            <w:pPr>
              <w:snapToGrid w:val="0"/>
              <w:spacing w:line="360" w:lineRule="auto"/>
              <w:jc w:val="left"/>
              <w:rPr>
                <w:rFonts w:ascii="仿宋_GB2312" w:eastAsia="仿宋_GB2312" w:hAnsi="宋体"/>
                <w:sz w:val="28"/>
                <w:szCs w:val="28"/>
              </w:rPr>
            </w:pPr>
            <w:r>
              <w:rPr>
                <w:rFonts w:ascii="仿宋_GB2312" w:eastAsia="仿宋_GB2312" w:hAnsi="宋体" w:hint="eastAsia"/>
                <w:sz w:val="28"/>
                <w:szCs w:val="28"/>
              </w:rPr>
              <w:lastRenderedPageBreak/>
              <w:t>资本性支出</w:t>
            </w:r>
          </w:p>
        </w:tc>
        <w:tc>
          <w:tcPr>
            <w:tcW w:w="1747"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5.50</w:t>
            </w:r>
          </w:p>
        </w:tc>
        <w:tc>
          <w:tcPr>
            <w:tcW w:w="1620" w:type="dxa"/>
            <w:vAlign w:val="center"/>
          </w:tcPr>
          <w:p w:rsidR="009971F6" w:rsidRDefault="009971F6">
            <w:pPr>
              <w:snapToGrid w:val="0"/>
              <w:spacing w:line="360" w:lineRule="auto"/>
              <w:jc w:val="center"/>
              <w:rPr>
                <w:rFonts w:ascii="宋体" w:hAnsi="宋体"/>
                <w:szCs w:val="21"/>
              </w:rPr>
            </w:pPr>
          </w:p>
        </w:tc>
        <w:tc>
          <w:tcPr>
            <w:tcW w:w="1575"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0.45</w:t>
            </w:r>
          </w:p>
        </w:tc>
        <w:tc>
          <w:tcPr>
            <w:tcW w:w="138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5.95</w:t>
            </w:r>
          </w:p>
        </w:tc>
      </w:tr>
      <w:tr w:rsidR="009971F6">
        <w:trPr>
          <w:trHeight w:val="829"/>
        </w:trPr>
        <w:tc>
          <w:tcPr>
            <w:tcW w:w="2185" w:type="dxa"/>
            <w:vAlign w:val="center"/>
          </w:tcPr>
          <w:p w:rsidR="009971F6" w:rsidRDefault="00ED6E5C">
            <w:pPr>
              <w:snapToGrid w:val="0"/>
              <w:spacing w:line="360" w:lineRule="auto"/>
              <w:jc w:val="center"/>
              <w:rPr>
                <w:rFonts w:ascii="仿宋_GB2312" w:eastAsia="仿宋_GB2312" w:hAnsi="宋体"/>
                <w:sz w:val="28"/>
                <w:szCs w:val="28"/>
              </w:rPr>
            </w:pPr>
            <w:r>
              <w:rPr>
                <w:rFonts w:ascii="仿宋_GB2312" w:eastAsia="仿宋_GB2312" w:hAnsi="宋体" w:hint="eastAsia"/>
                <w:sz w:val="28"/>
                <w:szCs w:val="28"/>
              </w:rPr>
              <w:t>合计</w:t>
            </w:r>
          </w:p>
        </w:tc>
        <w:tc>
          <w:tcPr>
            <w:tcW w:w="1747"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660.68</w:t>
            </w:r>
          </w:p>
        </w:tc>
        <w:tc>
          <w:tcPr>
            <w:tcW w:w="162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85.62</w:t>
            </w:r>
          </w:p>
        </w:tc>
        <w:tc>
          <w:tcPr>
            <w:tcW w:w="1575"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135.60</w:t>
            </w:r>
          </w:p>
        </w:tc>
        <w:tc>
          <w:tcPr>
            <w:tcW w:w="1380" w:type="dxa"/>
            <w:vAlign w:val="center"/>
          </w:tcPr>
          <w:p w:rsidR="009971F6" w:rsidRDefault="00ED6E5C">
            <w:pPr>
              <w:snapToGrid w:val="0"/>
              <w:spacing w:line="360" w:lineRule="auto"/>
              <w:jc w:val="center"/>
              <w:rPr>
                <w:rFonts w:ascii="宋体" w:hAnsi="宋体"/>
                <w:szCs w:val="21"/>
              </w:rPr>
            </w:pPr>
            <w:r>
              <w:rPr>
                <w:rFonts w:ascii="宋体" w:hAnsi="宋体" w:hint="eastAsia"/>
                <w:szCs w:val="21"/>
              </w:rPr>
              <w:t>881.90</w:t>
            </w:r>
          </w:p>
        </w:tc>
      </w:tr>
    </w:tbl>
    <w:p w:rsidR="009971F6" w:rsidRDefault="00ED6E5C">
      <w:pPr>
        <w:spacing w:line="580" w:lineRule="exact"/>
        <w:ind w:firstLineChars="200" w:firstLine="640"/>
        <w:rPr>
          <w:rFonts w:ascii="黑体" w:eastAsia="黑体" w:hAnsi="黑体" w:cs="黑体"/>
          <w:sz w:val="32"/>
          <w:szCs w:val="32"/>
        </w:rPr>
      </w:pPr>
      <w:r>
        <w:rPr>
          <w:rFonts w:ascii="黑体" w:eastAsia="黑体" w:hAnsi="黑体" w:cs="黑体"/>
          <w:sz w:val="32"/>
          <w:szCs w:val="32"/>
        </w:rPr>
        <w:t>三、部门整体预算绩效管理情况（根据适用指标体系进行调整）</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（一）部门预算管理。</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包括部门绩效目标制定、目标完成、预算编制准确、支出控制、预算动态调整、执行进度、预算完成情况和违规记录等情况。</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1、本部门按照规定编制年度部门预算，报同级财政部门按法定程序审核、报批。部门预算由收入预算、支出预算组成。</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2、编制的支出预算，首先保证本部门履行基本职能所需要的人员经费和公用经费，然后才支付其他弹性支出和专项支出，但严格控制支出数额和范围。</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支出预算包括：人员支出、日常公用支出、项目支出。人员支出预算的编制严格按照国家政策规定和标准，逐项核定，没有政策规定的项目，不得列入预算；日常公用支出预算的编制本着节约、从俭的原则编报；项目支出预算的编制紧密结合本单位当年主要职责任务、工作目标及事业发展设想，并充分考虑财政的承受能力，本着实事求是、从严从紧、区别轻重缓急，急事优先的原则按序安排支出事项。</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3、对财政下达的预算，本部门结合工作实际制定用款</w:t>
      </w:r>
      <w:r>
        <w:rPr>
          <w:rFonts w:ascii="仿宋_GB2312" w:eastAsia="仿宋_GB2312" w:hAnsi="仿宋_GB2312" w:cs="仿宋_GB2312" w:hint="eastAsia"/>
          <w:sz w:val="32"/>
          <w:szCs w:val="32"/>
        </w:rPr>
        <w:lastRenderedPageBreak/>
        <w:t>计划和项目支出计划，预算一经确立和批复，原则上不予调整和追加。</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595757"/>
          <w:sz w:val="32"/>
          <w:szCs w:val="32"/>
          <w:shd w:val="clear" w:color="auto" w:fill="FFFFFF"/>
        </w:rPr>
        <w:t>4、部门绩效目标的制定和完成也按照有关文件执行，并如实填报进行信息公开。</w:t>
      </w:r>
    </w:p>
    <w:p w:rsidR="009971F6" w:rsidRDefault="00ED6E5C">
      <w:pPr>
        <w:spacing w:line="600" w:lineRule="exact"/>
        <w:ind w:firstLineChars="200" w:firstLine="640"/>
        <w:rPr>
          <w:rFonts w:ascii="宋体" w:hAnsi="宋体"/>
          <w:sz w:val="28"/>
          <w:szCs w:val="28"/>
        </w:rPr>
      </w:pPr>
      <w:r>
        <w:rPr>
          <w:rFonts w:ascii="仿宋_GB2312" w:eastAsia="仿宋_GB2312" w:hAnsi="仿宋_GB2312" w:cs="仿宋_GB2312" w:hint="eastAsia"/>
          <w:sz w:val="32"/>
          <w:szCs w:val="32"/>
        </w:rPr>
        <w:t>5、建立健全支出内部控制制度和内部稽核、审批、审查制度，完善内部支出管理，强化内部约束，不断降低行政事业单位运行成本。各项支出应当符合国家的现行规定，不擅自提高补贴标准，不巧立名目、变相扩大个人补贴范围;不随意提高差旅费、会议费等报销标准;不超财力购置办公设备及其他设施。</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（二）专项预算管理。</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包括专项预算项目程序严密、规划合理、结果符合、分配科学、分配及时、专项预算绩效目标完成、实施绩效、违规记录等情况。</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加强对本级财政预算安排的项目资金的管理，建立健全项目的申报、论证、实施、评审及验收制度，保证项目的顺利实施。项目资金实行项目管理，专款专用，不虚列项目辜出，不截留、挤占、挪用、浪费、套取、转移项目资金。</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2、建立项目资金绩效考核评价制度，提高资金使用效益。</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3、建立健全专项预算编制、申报、审查程序。单位专项预算的编制应当符合党和国家的方针、政策、规章制度和单位事业的发展计划，应当坚持“量入为出、量力而行、有</w:t>
      </w:r>
      <w:r>
        <w:rPr>
          <w:rFonts w:ascii="仿宋_GB2312" w:eastAsia="仿宋_GB2312" w:hAnsi="仿宋_GB2312" w:cs="仿宋_GB2312" w:hint="eastAsia"/>
          <w:sz w:val="32"/>
          <w:szCs w:val="32"/>
        </w:rPr>
        <w:lastRenderedPageBreak/>
        <w:t>保有压、收支平衡”的原则。单位对项目支出是否真实可靠，是否在预算支出范围内，有无漏编、重编，预算是否严格按照批准的项目执行，有无随意调整预算或变更项目等行为事项进行监督。</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（三）结果应用情况。</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包括部门自评质量、绩效目标公开和自评公开、评价结果整改和应用结果反馈等情况。</w:t>
      </w:r>
    </w:p>
    <w:p w:rsidR="009971F6" w:rsidRDefault="00ED6E5C">
      <w:pPr>
        <w:snapToGrid w:val="0"/>
        <w:spacing w:line="600" w:lineRule="exact"/>
        <w:ind w:firstLineChars="200" w:firstLine="640"/>
        <w:rPr>
          <w:rFonts w:ascii="仿宋_GB2312" w:eastAsia="仿宋_GB2312" w:hAnsi="仿宋_GB2312" w:cs="仿宋_GB2312"/>
          <w:color w:val="595757"/>
          <w:sz w:val="32"/>
          <w:szCs w:val="32"/>
          <w:shd w:val="clear" w:color="auto" w:fill="FFFFFF"/>
        </w:rPr>
      </w:pPr>
      <w:r>
        <w:rPr>
          <w:rFonts w:ascii="仿宋_GB2312" w:eastAsia="仿宋_GB2312" w:hAnsi="仿宋_GB2312" w:cs="仿宋_GB2312" w:hint="eastAsia"/>
          <w:bCs/>
          <w:color w:val="000000"/>
          <w:sz w:val="32"/>
          <w:szCs w:val="32"/>
        </w:rPr>
        <w:t>1、</w:t>
      </w:r>
      <w:r>
        <w:rPr>
          <w:rFonts w:ascii="仿宋_GB2312" w:eastAsia="仿宋_GB2312" w:hAnsi="仿宋_GB2312" w:cs="仿宋_GB2312" w:hint="eastAsia"/>
          <w:color w:val="595757"/>
          <w:sz w:val="32"/>
          <w:szCs w:val="32"/>
          <w:shd w:val="clear" w:color="auto" w:fill="FFFFFF"/>
        </w:rPr>
        <w:t>保障机关运转、履行职能职责总体情况</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bCs/>
          <w:color w:val="000000"/>
          <w:sz w:val="32"/>
          <w:szCs w:val="32"/>
        </w:rPr>
        <w:t>2018年度机关运行经费为142.49万元，2017年度机关运行经费为344.48万元，本年较上年减少了201.99万元、下降了58.64%，主要原因是：其一，</w:t>
      </w:r>
      <w:r>
        <w:rPr>
          <w:rFonts w:ascii="仿宋_GB2312" w:eastAsia="仿宋_GB2312" w:hAnsi="仿宋_GB2312" w:cs="仿宋_GB2312" w:hint="eastAsia"/>
          <w:sz w:val="32"/>
          <w:szCs w:val="32"/>
        </w:rPr>
        <w:t>2018年年初预算中公用支出较2017年压缩了10%，日常公用经费支出也相应减少；其二，</w:t>
      </w:r>
      <w:r>
        <w:rPr>
          <w:rFonts w:ascii="仿宋_GB2312" w:eastAsia="仿宋_GB2312" w:hAnsi="仿宋_GB2312" w:cs="仿宋_GB2312" w:hint="eastAsia"/>
          <w:bCs/>
          <w:color w:val="000000"/>
          <w:sz w:val="32"/>
          <w:szCs w:val="32"/>
        </w:rPr>
        <w:t>今年公务接待人次的大幅减少,公务接待费用支出也大幅下降,所以</w:t>
      </w:r>
      <w:r>
        <w:rPr>
          <w:rFonts w:ascii="仿宋_GB2312" w:eastAsia="仿宋_GB2312" w:hAnsi="仿宋_GB2312" w:cs="仿宋_GB2312" w:hint="eastAsia"/>
          <w:sz w:val="32"/>
          <w:szCs w:val="32"/>
        </w:rPr>
        <w:t>攀枝花市人民政府驻成都办事处本级</w:t>
      </w:r>
      <w:r>
        <w:rPr>
          <w:rFonts w:ascii="仿宋_GB2312" w:eastAsia="仿宋_GB2312" w:hAnsi="仿宋_GB2312" w:cs="仿宋_GB2312" w:hint="eastAsia"/>
          <w:bCs/>
          <w:color w:val="000000"/>
          <w:sz w:val="32"/>
          <w:szCs w:val="32"/>
        </w:rPr>
        <w:t>退还财政预算经费-公务接待费170万元；</w:t>
      </w:r>
      <w:r>
        <w:rPr>
          <w:rFonts w:ascii="仿宋_GB2312" w:eastAsia="仿宋_GB2312" w:hAnsi="仿宋_GB2312" w:cs="仿宋_GB2312" w:hint="eastAsia"/>
          <w:sz w:val="32"/>
          <w:szCs w:val="32"/>
        </w:rPr>
        <w:t>其三，执行公务交通工作补贴后,使用公车人员减少,因此2018年度的公车运行维护费较上年也下降了35.41%。</w:t>
      </w:r>
    </w:p>
    <w:p w:rsidR="009971F6" w:rsidRDefault="00ED6E5C">
      <w:pPr>
        <w:snapToGrid w:val="0"/>
        <w:spacing w:line="600" w:lineRule="exact"/>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2、</w:t>
      </w:r>
      <w:r>
        <w:rPr>
          <w:rFonts w:ascii="仿宋_GB2312" w:eastAsia="仿宋_GB2312" w:hAnsi="仿宋_GB2312" w:cs="仿宋_GB2312" w:hint="eastAsia"/>
          <w:color w:val="595757"/>
          <w:sz w:val="32"/>
          <w:szCs w:val="32"/>
          <w:shd w:val="clear" w:color="auto" w:fill="FFFFFF"/>
        </w:rPr>
        <w:t>厉行节约、</w:t>
      </w:r>
      <w:r>
        <w:rPr>
          <w:rFonts w:ascii="仿宋_GB2312" w:eastAsia="仿宋_GB2312" w:hAnsi="仿宋_GB2312" w:cs="仿宋_GB2312" w:hint="eastAsia"/>
          <w:bCs/>
          <w:color w:val="000000"/>
          <w:sz w:val="32"/>
          <w:szCs w:val="32"/>
        </w:rPr>
        <w:t>合理使用项目资金情况</w:t>
      </w:r>
    </w:p>
    <w:p w:rsidR="009971F6" w:rsidRDefault="00ED6E5C">
      <w:pPr>
        <w:snapToGrid w:val="0"/>
        <w:spacing w:line="600" w:lineRule="exact"/>
        <w:ind w:firstLineChars="180" w:firstLine="576"/>
        <w:rPr>
          <w:rFonts w:ascii="仿宋_GB2312" w:eastAsia="仿宋_GB2312" w:hAnsi="仿宋_GB2312" w:cs="仿宋_GB2312"/>
          <w:b/>
          <w:bCs/>
          <w:sz w:val="32"/>
          <w:szCs w:val="32"/>
        </w:rPr>
      </w:pPr>
      <w:r>
        <w:rPr>
          <w:rFonts w:ascii="仿宋_GB2312" w:eastAsia="仿宋_GB2312" w:hAnsi="仿宋_GB2312" w:cs="仿宋_GB2312" w:hint="eastAsia"/>
          <w:sz w:val="32"/>
          <w:szCs w:val="32"/>
        </w:rPr>
        <w:t>本部门项目资金有业务运行费（含网络舆情与新闻信息、特色产品推广费、成都火车北站服务费及退票费、离休干部活动费、离休干部特殊慰问费、离休人员水电气补贴、临时聘用人员劳务费、离退休干部专项活动费、设备及固定资产维修保养、租车费、物业管理费等）150万元、招商引资工</w:t>
      </w:r>
      <w:r>
        <w:rPr>
          <w:rFonts w:ascii="仿宋_GB2312" w:eastAsia="仿宋_GB2312" w:hAnsi="仿宋_GB2312" w:cs="仿宋_GB2312" w:hint="eastAsia"/>
          <w:sz w:val="32"/>
          <w:szCs w:val="32"/>
        </w:rPr>
        <w:lastRenderedPageBreak/>
        <w:t>作经费28.60万元、平安攀枝花建设专项经费7万元、老干部活动经费2万元。本年较上年减少了89.60万元,主要是：攀枝花市人民政府驻成都办事处本级2018年无驻点招商人员经费48.2万元的支出，退还财政招商引资工作经费年初预算20万元，信访维稳工作经费支出也较上年减少了8万元，加之，业务运行费本年压缩支出10%。</w:t>
      </w:r>
    </w:p>
    <w:p w:rsidR="009971F6" w:rsidRDefault="00ED6E5C">
      <w:pPr>
        <w:spacing w:line="580" w:lineRule="exact"/>
        <w:ind w:firstLineChars="200" w:firstLine="640"/>
        <w:rPr>
          <w:rFonts w:ascii="黑体" w:eastAsia="黑体" w:hAnsi="黑体" w:cs="黑体"/>
          <w:sz w:val="32"/>
          <w:szCs w:val="32"/>
        </w:rPr>
      </w:pPr>
      <w:r>
        <w:rPr>
          <w:rFonts w:ascii="黑体" w:eastAsia="黑体" w:hAnsi="黑体" w:cs="黑体"/>
          <w:sz w:val="32"/>
          <w:szCs w:val="32"/>
        </w:rPr>
        <w:t>四、评价结论及建议</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（一）评价结论。</w:t>
      </w:r>
    </w:p>
    <w:p w:rsidR="009971F6" w:rsidRDefault="00ED6E5C">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color w:val="595757"/>
          <w:sz w:val="32"/>
          <w:szCs w:val="32"/>
          <w:shd w:val="clear" w:color="auto" w:fill="FFFFFF"/>
        </w:rPr>
        <w:t>本部门按照财政部门预算编制的通知和有关要求，按时完成基础工作、项目报送、提交部门预算草案；在财政部门批复日内向社会公开本部门的“三公”经费、机关运行经费的安排、使用情况；本部门的预算执行都达到了执行进度；本单位的财务制度健全，制度执行严格，会计核算符合国家法律法规及相关规定，资金达到了专款专用，开支标准合理、合法。</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（二）存在问题。</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主要是在固定资产管理工作中存在以下问题：固定资产未按要求贴标签；</w:t>
      </w:r>
      <w:r>
        <w:rPr>
          <w:rFonts w:ascii="仿宋_GB2312" w:eastAsia="仿宋_GB2312" w:hAnsi="仿宋_GB2312" w:cs="仿宋_GB2312" w:hint="eastAsia"/>
          <w:sz w:val="32"/>
          <w:szCs w:val="32"/>
        </w:rPr>
        <w:t>固定资产台账建立不够完整；</w:t>
      </w:r>
      <w:r>
        <w:rPr>
          <w:rFonts w:ascii="仿宋_GB2312" w:eastAsia="仿宋_GB2312" w:hAnsi="仿宋_GB2312" w:cs="仿宋_GB2312" w:hint="eastAsia"/>
          <w:bCs/>
          <w:sz w:val="32"/>
          <w:szCs w:val="32"/>
          <w:lang w:val="ru-RU"/>
        </w:rPr>
        <w:t>部分固定资产已购置时间较长，因技术淘汰无法使用，且无维修使用价值，处于闲置状态。</w:t>
      </w:r>
    </w:p>
    <w:p w:rsidR="009971F6" w:rsidRDefault="00ED6E5C">
      <w:pPr>
        <w:spacing w:line="580" w:lineRule="exact"/>
        <w:ind w:firstLineChars="200" w:firstLine="643"/>
        <w:rPr>
          <w:rFonts w:ascii="仿宋" w:eastAsia="仿宋" w:hAnsi="仿宋" w:cs="仿宋_GB2312"/>
          <w:sz w:val="32"/>
          <w:szCs w:val="32"/>
        </w:rPr>
      </w:pPr>
      <w:r>
        <w:rPr>
          <w:rFonts w:ascii="仿宋_GB2312" w:eastAsia="仿宋_GB2312" w:hAnsi="仿宋_GB2312" w:cs="仿宋_GB2312" w:hint="eastAsia"/>
          <w:b/>
          <w:bCs/>
          <w:sz w:val="32"/>
          <w:szCs w:val="32"/>
        </w:rPr>
        <w:t>（三）改进建议。</w:t>
      </w:r>
    </w:p>
    <w:p w:rsidR="009971F6" w:rsidRDefault="00ED6E5C">
      <w:pPr>
        <w:pStyle w:val="11"/>
        <w:spacing w:line="600" w:lineRule="exact"/>
        <w:ind w:firstLine="64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1、强化资产管理的重要性，为单位履行职能的需要提供了保障。</w:t>
      </w:r>
    </w:p>
    <w:p w:rsidR="009971F6" w:rsidRDefault="00ED6E5C">
      <w:pPr>
        <w:pStyle w:val="11"/>
        <w:spacing w:line="600" w:lineRule="exact"/>
        <w:ind w:firstLine="64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lastRenderedPageBreak/>
        <w:t>2、建立资产清产核资机制，切实确保资产明晰规范，定期对资产结构和管理现状进行检查分析，盘活存量资产，防止积压闲置，做到物尽其用。完善日常监督管理机制，确保资产安全完整把住资产出口，确保处置规范，处置程序要规范。规范的处置程序就是不可少得监管手段。从监管角度，处置一项资产，要经过单位领导集体研究，专管部门审核把关，审批机关批准等程序。如果报废资产，事先由专业人员或者机构对资产技术性能鉴定，以确定该资产确实丧失任何使用价值，符合资产报废要求。</w:t>
      </w:r>
    </w:p>
    <w:p w:rsidR="009971F6" w:rsidRDefault="00ED6E5C">
      <w:pPr>
        <w:pStyle w:val="11"/>
        <w:spacing w:line="600" w:lineRule="exact"/>
        <w:ind w:firstLine="64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3、完善资产管理信息系统，全面推进管理的信息化。建立动态系统，实现实时管理，要完成资产管理信息系统建设，及时更新存在的不足，实现财政主管部门对资产的在线处置和审批监管。通过实现管理的动态化、信息的数字化和途径的网络化，使资产的管理与服务变的更透明、直观，效率更高。</w:t>
      </w:r>
    </w:p>
    <w:p w:rsidR="009971F6" w:rsidRDefault="00ED6E5C">
      <w:pPr>
        <w:pStyle w:val="11"/>
        <w:spacing w:line="600" w:lineRule="exact"/>
        <w:ind w:firstLine="64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4、加大资产监管力度，要采取措施，强化单位加强资产购买审批、采购入库、保管清查、购卡登记、管理责任等基础管理工作，定期对单位占有的资产进行清查盘点。出租、出借的资产进行专项登记，建立专门台帐，实行专项考核。要扎实做好产权登记和资产管理信息统计工作，建立和完善产权登记制度，不断提高资产信息质量，要完善监督约束机制，建立起单位内部监督与财政监督、审计监督、社会监督相结合，事前监督与事中监督、事后监督相结合，日常监督</w:t>
      </w:r>
      <w:r>
        <w:rPr>
          <w:rFonts w:ascii="仿宋_GB2312" w:eastAsia="仿宋_GB2312" w:hAnsi="仿宋_GB2312" w:cs="仿宋_GB2312" w:hint="eastAsia"/>
          <w:color w:val="000000"/>
          <w:sz w:val="32"/>
          <w:szCs w:val="32"/>
          <w:shd w:val="clear" w:color="auto" w:fill="FFFFFF"/>
        </w:rPr>
        <w:lastRenderedPageBreak/>
        <w:t>与专项检查相结合的监管方式，对单位资产从购入、使用到处置全过程的监督。严格财经纪律，对违反行政事业资产管理规定，隐匿、私分、低价变卖国有资产，或虚报损失等手段挤占、侵吞、转移资产的，要按相关规定追究单位负责人和相关人员的责任。</w:t>
      </w:r>
    </w:p>
    <w:p w:rsidR="009971F6" w:rsidRDefault="009971F6">
      <w:pPr>
        <w:spacing w:line="580" w:lineRule="exact"/>
        <w:ind w:firstLineChars="200" w:firstLine="640"/>
        <w:rPr>
          <w:rFonts w:ascii="仿宋_GB2312" w:eastAsia="仿宋_GB2312" w:hAnsi="仿宋_GB2312" w:cs="仿宋_GB2312"/>
          <w:sz w:val="32"/>
          <w:szCs w:val="32"/>
        </w:rPr>
      </w:pPr>
    </w:p>
    <w:p w:rsidR="009971F6" w:rsidRDefault="00ED6E5C">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9971F6" w:rsidRDefault="00ED6E5C">
      <w:pPr>
        <w:pStyle w:val="2"/>
        <w:rPr>
          <w:rStyle w:val="1Char"/>
          <w:rFonts w:ascii="仿宋" w:eastAsia="仿宋" w:hAnsi="仿宋"/>
          <w:sz w:val="32"/>
          <w:szCs w:val="32"/>
        </w:rPr>
      </w:pPr>
      <w:bookmarkStart w:id="66" w:name="_Toc15396617"/>
      <w:r>
        <w:rPr>
          <w:rStyle w:val="1Char"/>
          <w:rFonts w:ascii="仿宋" w:eastAsia="仿宋" w:hAnsi="仿宋" w:hint="eastAsia"/>
          <w:sz w:val="32"/>
          <w:szCs w:val="32"/>
        </w:rPr>
        <w:lastRenderedPageBreak/>
        <w:t>附件2</w:t>
      </w:r>
      <w:bookmarkEnd w:id="66"/>
    </w:p>
    <w:p w:rsidR="009971F6" w:rsidRDefault="00ED6E5C">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2018年业务运行项目支出绩效评价报告</w:t>
      </w:r>
    </w:p>
    <w:p w:rsidR="009971F6" w:rsidRDefault="009971F6">
      <w:pPr>
        <w:spacing w:line="580" w:lineRule="exact"/>
        <w:ind w:firstLineChars="200" w:firstLine="640"/>
        <w:rPr>
          <w:rFonts w:ascii="仿宋_GB2312" w:eastAsia="仿宋_GB2312" w:hAnsi="仿宋_GB2312" w:cs="仿宋_GB2312"/>
          <w:sz w:val="32"/>
          <w:szCs w:val="32"/>
        </w:rPr>
      </w:pPr>
    </w:p>
    <w:p w:rsidR="009971F6" w:rsidRDefault="00ED6E5C">
      <w:pPr>
        <w:spacing w:line="580" w:lineRule="exact"/>
        <w:ind w:firstLineChars="200" w:firstLine="643"/>
        <w:rPr>
          <w:rFonts w:ascii="仿宋" w:eastAsia="仿宋" w:hAnsi="仿宋" w:cs="仿宋_GB2312"/>
          <w:sz w:val="32"/>
          <w:szCs w:val="32"/>
        </w:rPr>
      </w:pPr>
      <w:r>
        <w:rPr>
          <w:rFonts w:ascii="仿宋_GB2312" w:eastAsia="仿宋_GB2312" w:hAnsi="仿宋_GB2312" w:cs="仿宋_GB2312" w:hint="eastAsia"/>
          <w:b/>
          <w:bCs/>
          <w:sz w:val="32"/>
          <w:szCs w:val="32"/>
        </w:rPr>
        <w:t>一、评价工作开展及项目情况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项目评价实施方案情况（包括选点、评价指标、评价方法、基础数据表等情况）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（一）目标基本情况</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围绕市委市政府的真实需求，广泛收集更多更好紧跟政治和经济导向的社会热点、重点信息，为领导和决策部门提供重要参考。利用多种渠道和平台广泛宣传攀枝花，扩大攀枝花知名度。我办一直秉承要把办事处办成“攀枝花人在成都的温馨家园”,为此我们做了大量细致的工作。为解决攀枝花市民在成都购票难、出行不方便的问题，我办积极沟通、协调成都铁路局、成都火车站等相关单位，得以继续在成都火车站保留进站专用通道和“攀枝花人”候车休息室，为每一位来蓉的攀枝花市民提供了非常大的方便。在春运、暑运、各大长假车票紧张期前，我办主动对接相关单位,争取理解支持，合理安排票源计划,做到长期有计划、临时有准备、急需有落实,保证每一位票务需求者的要求。出色地完成了“两会”等在蓉各类重要会议、重大活动期间的服务协调工作，得到了市委市政府的肯定。在工作中把坚持以老同志为本，始终把老同志们的利益放在第一位，倾听离休老干部们</w:t>
      </w:r>
      <w:r>
        <w:rPr>
          <w:rFonts w:ascii="仿宋_GB2312" w:eastAsia="仿宋_GB2312" w:hAnsi="仿宋_GB2312" w:cs="仿宋_GB2312" w:hint="eastAsia"/>
          <w:sz w:val="32"/>
          <w:szCs w:val="32"/>
        </w:rPr>
        <w:lastRenderedPageBreak/>
        <w:t>的意见，带着责任，带着感情，去关心他们的感受，真正树立一种服务的意识，踏实做事，多做好事,多办实事。认真解决好关系到他们切实利益的具体问题。</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（二）项目构成情况</w:t>
      </w:r>
    </w:p>
    <w:p w:rsidR="009971F6" w:rsidRDefault="00ED6E5C">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1、攀枝花市人民政府驻成都办事处</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运行费72万元，分别是（1）网络舆情与新闻信息：编制印刷《省城信息专讯》12期/年，每期120本，送达市级有关部门及相关单位、三区两县政府，从独特的视角给市领导和区县、部门提供了一份十分有价值的参考资料。（2）特色产品推广：大力推广宣传攀枝花特色产品，促进攀枝花地方产品的加工生产、农产品的种植栽培，这样既提高了攀枝花各色工业、农业产品的知名度，也提升攀枝花的城市形象，从而助推攀枝花经济的发展。（3）成都火车北站服务费及退票费：为解决攀枝花市民在成都购票难、出行不方便的问题，通过协调成都铁路局、成都火车站等相关单位，得以继续在成都火车站保留进站专用通道和“攀枝花人”候车休息室，为每一位来蓉的攀枝花市民提供了非常大的方便。在春运、暑运、各大长假车票紧张期前，保证每一位票务需求者的要求。（4）工作经费包含了“两会”安排、调蓉人员座谈、联络协调服务，领导在蓉工作租房，春节走访慰问等相关支出，及时有效地完成市委、市政府交办的任务，做好后勤保障工作。</w:t>
      </w:r>
    </w:p>
    <w:p w:rsidR="009971F6" w:rsidRDefault="00ED6E5C">
      <w:pPr>
        <w:spacing w:line="60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2、攀枝花市成都干部休养所</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业务运行费51万元，分别是（1）离休干部活动经费：组织离休老干部在干休所活动室集体学习和座谈、外出活动，感受城乡建设的伟大成就和祖国日新月异的变化。（2）特殊慰问费：市委市政府慰问离休老干部，组织老干部开展迎春团拜活动。（3）离休人员水电气补贴：离休老干部每年每户生活水电气补贴。（4）长期临时工和聘用人员劳务费：干休所除1名编内聘用驾驶员在册外，其余8人都为退休人员，所以市委组织部下派1人负责干休所的组织领导工作，另，反聘医生1人、聘请会计1人、长期聘用门卫（临时工）3人、临时护工2人。（5）工作经费：离休老干部住房零星维修，因只有编制内聘用驾驶员1人，财政预算中无日常公用经费，所以单位的公用经费在此业务运行项目中支出。</w:t>
      </w:r>
    </w:p>
    <w:p w:rsidR="009971F6" w:rsidRDefault="00ED6E5C">
      <w:pPr>
        <w:spacing w:line="60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3、攀枝花市成都干部服务中心</w:t>
      </w:r>
    </w:p>
    <w:p w:rsidR="009971F6" w:rsidRDefault="00ED6E5C">
      <w:pPr>
        <w:spacing w:line="60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业务运行费27万元，分别是（1）专项活动费：配合市级有关单位走访慰问攀籍在蓉离退休老干部，组织开展各项党员教育、党组织活动。（2）车辆租用费：因本中心没有配置公用车辆，为方便老同志就医及重要活动只有租用车辆。（3）设备及固定资产维护保养费：维护保养小区休闲器材、会议室和文化活动室相关的固定资产。（4）物业管理费：向代管物业公司交纳的办公用房、会议室、文化活动室物管费。</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二、评价结论及绩效分析</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（一）评价结论</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项目绩效评价总体结论（包括项目评价得分表）</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财政预算经费使用执行中，我们按照先有预算，后有支出的原则，严格遵守《会计法》，加强财务管理，建立健全各项规章制度和内部控制制度，充分发挥会计核算和监督职能，做好会计核算基础工作，及时办理财务收支结算，做到信息公开完整、准确、真实。严格执行预算管理，强化预算约束，未列入预算的不得开支，不存在无预算、超预算、超标准、超范围开支经费的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（二）绩效分析</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1、项目决策</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必要性和可行性分析（包括政策依据和政策完善，政策和需求的吻合程度分析），绩效目标设置情况（包括绩效目标设置的明确性和合理性）</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通过项目实施，保障了网络舆情与新闻信息、特色产品推广、成都火车北站攀枝花厅票务服务、离休老干部管理及相关工作等各项业务的经费支出。网络舆情与新闻信息是围绕市委市政府的真实需求，广泛收集更多更好紧跟政治和经济导向的社会热点、重点信息，为领导和决策部门提供重要参考；特色产品的推广是利用多种渠道和平台广泛宣传攀枝花，扩大攀枝花知名度；成都火车北站“攀枝花厅”解决攀枝花市民在成都购票难、出行不方便的问题，为每一位来蓉的攀枝花市民提供了非常大的方便，保证，票务需求者的要</w:t>
      </w:r>
      <w:r>
        <w:rPr>
          <w:rFonts w:ascii="仿宋_GB2312" w:eastAsia="仿宋_GB2312" w:hAnsi="仿宋_GB2312" w:cs="仿宋_GB2312" w:hint="eastAsia"/>
          <w:sz w:val="32"/>
          <w:szCs w:val="32"/>
        </w:rPr>
        <w:lastRenderedPageBreak/>
        <w:t>求；工作专项经费完成了“两会”等在蓉各类重要会议、重大活动期间的服务协调工作，得到了市委市政府的肯定；对离休老干部的慰问和服务，</w:t>
      </w:r>
      <w:r>
        <w:rPr>
          <w:rFonts w:ascii="仿宋_GB2312" w:eastAsia="仿宋_GB2312" w:hAnsi="仿宋_GB2312" w:cs="仿宋_GB2312" w:hint="eastAsia"/>
          <w:color w:val="000000"/>
          <w:sz w:val="32"/>
          <w:szCs w:val="32"/>
        </w:rPr>
        <w:t>让老同志病有所依、老有所养，使老同志真正感受到组织的关心和照顾。</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2、项目管理</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资金分配情况（资金分配管理的科学合理性）资，金使用情况（项目、资金管理的科学规范性）</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（1）攀枝花市人民政府驻成都办事处：网络舆情与新闻信息7万元、特色产品推广20万元、成都火车北站服务费30万元、工作经费15万元，共72万元。</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（2）攀枝花市成都干部休养所：离休干部活动经费8万元、特殊慰问费7万元、离休人员水电气补贴9.71万元、长期临时工和聘用人员劳务费15万元、工作经费11.29万元，共51万元。</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（3）攀枝花市成都干部服务中心：专项活动费：13万元、车辆租用费5万元、设备及固定资产维护保养费6万元、物业管理费3万元，共27万元。</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3、项目绩效</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项目目标完成情况（数量、质量、时效、成本），项目效益情况（经济效益、项目社会效益、生态效益、可持续效益、公平性、资金使用效率、受益群体满意度等）。</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业务运行费项目绩效目标完成情况：项目全年预算数150万元，执行数为150万元，完成预算的100%。</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916"/>
        <w:gridCol w:w="1260"/>
        <w:gridCol w:w="2608"/>
        <w:gridCol w:w="2394"/>
        <w:gridCol w:w="2392"/>
      </w:tblGrid>
      <w:tr w:rsidR="009971F6">
        <w:trPr>
          <w:trHeight w:val="1034"/>
        </w:trPr>
        <w:tc>
          <w:tcPr>
            <w:tcW w:w="9960" w:type="dxa"/>
            <w:gridSpan w:val="6"/>
            <w:tcMar>
              <w:top w:w="15" w:type="dxa"/>
              <w:left w:w="15" w:type="dxa"/>
              <w:bottom w:w="0" w:type="dxa"/>
              <w:right w:w="15" w:type="dxa"/>
            </w:tcMar>
            <w:vAlign w:val="center"/>
          </w:tcPr>
          <w:p w:rsidR="009971F6" w:rsidRDefault="00ED6E5C">
            <w:pPr>
              <w:pStyle w:val="aa"/>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lastRenderedPageBreak/>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w:t>
            </w:r>
            <w:r>
              <w:rPr>
                <w:rFonts w:ascii="仿宋_GB2312" w:eastAsia="仿宋_GB2312" w:hAnsi="仿宋_GB2312" w:cs="仿宋_GB2312" w:hint="eastAsia"/>
                <w:color w:val="000000"/>
                <w:kern w:val="0"/>
                <w:sz w:val="32"/>
                <w:szCs w:val="32"/>
                <w:lang w:bidi="ar"/>
              </w:rPr>
              <w:t>2018 年度</w:t>
            </w:r>
            <w:r>
              <w:rPr>
                <w:rFonts w:ascii="宋体" w:hAnsi="宋体" w:cs="宋体" w:hint="eastAsia"/>
                <w:color w:val="000000"/>
                <w:kern w:val="0"/>
                <w:sz w:val="36"/>
                <w:szCs w:val="36"/>
                <w:lang w:bidi="ar"/>
              </w:rPr>
              <w:t>)</w:t>
            </w:r>
          </w:p>
        </w:tc>
      </w:tr>
      <w:tr w:rsidR="009971F6">
        <w:trPr>
          <w:trHeight w:val="90"/>
        </w:trPr>
        <w:tc>
          <w:tcPr>
            <w:tcW w:w="256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项目名称</w:t>
            </w:r>
          </w:p>
        </w:tc>
        <w:tc>
          <w:tcPr>
            <w:tcW w:w="739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业务运行费</w:t>
            </w:r>
          </w:p>
        </w:tc>
      </w:tr>
      <w:tr w:rsidR="009971F6">
        <w:trPr>
          <w:trHeight w:val="276"/>
        </w:trPr>
        <w:tc>
          <w:tcPr>
            <w:tcW w:w="2566"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预算单位</w:t>
            </w:r>
          </w:p>
        </w:tc>
        <w:tc>
          <w:tcPr>
            <w:tcW w:w="739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攀枝花市人民政府驻成都办事处（汇总）</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预算执行情况(万元)</w:t>
            </w:r>
          </w:p>
        </w:tc>
        <w:tc>
          <w:tcPr>
            <w:tcW w:w="217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预算数:</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150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150</w:t>
            </w:r>
          </w:p>
        </w:tc>
      </w:tr>
      <w:tr w:rsidR="009971F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17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150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150</w:t>
            </w:r>
          </w:p>
        </w:tc>
      </w:tr>
      <w:tr w:rsidR="009971F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17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jc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实际完成目标</w:t>
            </w:r>
          </w:p>
        </w:tc>
      </w:tr>
      <w:tr w:rsidR="009971F6">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围绕市委市政府的真实需求，广泛收集更多更好紧跟政治和经济导向的社会热点、重点信息，为领导和决策部门提供重要参考。利用多种渠道和平台广泛宣传攀枝花，扩大攀枝花知名度。我办一直秉承要把办事处办成“攀枝花人在成都的温馨家园”,为此我们做了大量细致的工作。为解决攀枝花市民在成都购票难、出行不方便的问题，我办积极沟通、协调成都铁路局、成都火车站等相关单位，得以继续在成都火车站保留进站专用通道和“攀枝花人”候车休息室，为每一位来蓉的攀枝花市民提供了非常大的方便。在春运、暑运、各大长假车票紧张期前，我办主动对接相关单位,争取理解支持，合理安排票源计划,做到长期有计划、临时有准备、急需有落实,保证每一位票务需求者的要求。加强离休人员管理服务工作。</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围绕市委市政府的真实需求，广泛收集更多更好紧跟政治和经济导向的社会热点、重点信息，为领导和决策部门提供重要参考。利用多种渠道和平台广泛宣传攀枝花，扩大攀枝花知名度。我办一直秉承要把办事处办成“攀枝花人在成都的温馨家园”,为此我们做了大量细致的工作。为解决攀枝花市民在成都购票难、出行不方便的问题，我办积极沟通、协调成都铁路局、成都火车站等相关单位，得以继续在成都火车站保留进站专用通道和“攀枝花人”候车休息室，为每一位来蓉的攀枝花市民提供了非常大的方便。在春运、暑运、各大长假车票紧张期前，我办主动对接相关单位,争取理解支持，合理安排票源计划,做到长期有计划、临时有准备、急需有落实,保证每一位票务需求者的要求。加强离休人员管理服务工作。</w:t>
            </w:r>
          </w:p>
        </w:tc>
      </w:tr>
      <w:tr w:rsidR="009971F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绩效指标完成情况</w:t>
            </w:r>
          </w:p>
        </w:tc>
        <w:tc>
          <w:tcPr>
            <w:tcW w:w="916"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一级指标</w:t>
            </w:r>
          </w:p>
        </w:tc>
        <w:tc>
          <w:tcPr>
            <w:tcW w:w="1260"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二级指标</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实际完成指标值(包含数字及文字描述)</w:t>
            </w:r>
          </w:p>
        </w:tc>
      </w:tr>
      <w:tr w:rsidR="009971F6">
        <w:trPr>
          <w:trHeight w:val="889"/>
        </w:trPr>
        <w:tc>
          <w:tcPr>
            <w:tcW w:w="390" w:type="dxa"/>
            <w:vMerge/>
            <w:tcBorders>
              <w:top w:val="single" w:sz="4" w:space="0" w:color="000000"/>
              <w:left w:val="single" w:sz="4" w:space="0" w:color="000000"/>
              <w:bottom w:val="single" w:sz="4" w:space="0" w:color="000000"/>
              <w:right w:val="single" w:sz="4" w:space="0" w:color="auto"/>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项目完成指标</w:t>
            </w:r>
          </w:p>
        </w:tc>
        <w:tc>
          <w:tcPr>
            <w:tcW w:w="1260" w:type="dxa"/>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数量指标</w:t>
            </w:r>
          </w:p>
        </w:tc>
        <w:tc>
          <w:tcPr>
            <w:tcW w:w="2608" w:type="dxa"/>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编制印刷《省城信息专讯》12期/年。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编制印刷《省城信息专讯》12期/年。</w:t>
            </w:r>
          </w:p>
        </w:tc>
      </w:tr>
      <w:tr w:rsidR="009971F6">
        <w:trPr>
          <w:trHeight w:val="1001"/>
        </w:trPr>
        <w:tc>
          <w:tcPr>
            <w:tcW w:w="390" w:type="dxa"/>
            <w:vMerge/>
            <w:tcBorders>
              <w:top w:val="single" w:sz="4" w:space="0" w:color="000000"/>
              <w:left w:val="single" w:sz="4" w:space="0" w:color="000000"/>
              <w:bottom w:val="single" w:sz="4" w:space="0" w:color="000000"/>
              <w:right w:val="single" w:sz="4" w:space="0" w:color="auto"/>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auto"/>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auto"/>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按农产品季节推广攀枝花农产品，介绍宣传攀枝花地方产品。</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按农产品季节推广攀枝花农产品，介绍宣传攀枝花地方产品。</w:t>
            </w:r>
          </w:p>
        </w:tc>
      </w:tr>
      <w:tr w:rsidR="009971F6">
        <w:trPr>
          <w:trHeight w:val="1166"/>
        </w:trPr>
        <w:tc>
          <w:tcPr>
            <w:tcW w:w="390" w:type="dxa"/>
            <w:vMerge/>
            <w:tcBorders>
              <w:top w:val="single" w:sz="4" w:space="0" w:color="000000"/>
              <w:left w:val="single" w:sz="4" w:space="0" w:color="000000"/>
              <w:bottom w:val="single" w:sz="4" w:space="0" w:color="000000"/>
              <w:right w:val="single" w:sz="4" w:space="0" w:color="auto"/>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auto"/>
              <w:bottom w:val="single" w:sz="4" w:space="0" w:color="auto"/>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为攀枝花人在成都火车北站提供攀枝花厅</w:t>
            </w:r>
            <w:r w:rsidR="00DA4897">
              <w:rPr>
                <w:rFonts w:ascii="仿宋_GB2312" w:eastAsia="仿宋_GB2312" w:hAnsi="仿宋_GB2312" w:cs="仿宋_GB2312" w:hint="eastAsia"/>
                <w:color w:val="000000"/>
                <w:sz w:val="18"/>
                <w:szCs w:val="18"/>
              </w:rPr>
              <w:t>候车</w:t>
            </w:r>
            <w:r>
              <w:rPr>
                <w:rFonts w:ascii="仿宋_GB2312" w:eastAsia="仿宋_GB2312" w:hAnsi="仿宋_GB2312" w:cs="仿宋_GB2312" w:hint="eastAsia"/>
                <w:color w:val="000000"/>
                <w:sz w:val="18"/>
                <w:szCs w:val="18"/>
              </w:rPr>
              <w:t>室一间。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为攀枝花人在成都火车北站提供攀枝花厅</w:t>
            </w:r>
            <w:r w:rsidR="00DA4897">
              <w:rPr>
                <w:rFonts w:ascii="仿宋_GB2312" w:eastAsia="仿宋_GB2312" w:hAnsi="仿宋_GB2312" w:cs="仿宋_GB2312" w:hint="eastAsia"/>
                <w:color w:val="000000"/>
                <w:sz w:val="18"/>
                <w:szCs w:val="18"/>
              </w:rPr>
              <w:t>候车</w:t>
            </w:r>
            <w:r>
              <w:rPr>
                <w:rFonts w:ascii="仿宋_GB2312" w:eastAsia="仿宋_GB2312" w:hAnsi="仿宋_GB2312" w:cs="仿宋_GB2312" w:hint="eastAsia"/>
                <w:color w:val="000000"/>
                <w:sz w:val="18"/>
                <w:szCs w:val="18"/>
              </w:rPr>
              <w:t>室一间。</w:t>
            </w:r>
          </w:p>
        </w:tc>
      </w:tr>
      <w:tr w:rsidR="009971F6">
        <w:trPr>
          <w:trHeight w:val="839"/>
        </w:trPr>
        <w:tc>
          <w:tcPr>
            <w:tcW w:w="390" w:type="dxa"/>
            <w:vMerge/>
            <w:tcBorders>
              <w:top w:val="single" w:sz="4" w:space="0" w:color="000000"/>
              <w:left w:val="single" w:sz="4" w:space="0" w:color="000000"/>
              <w:bottom w:val="single" w:sz="4" w:space="0" w:color="000000"/>
              <w:right w:val="single" w:sz="4" w:space="0" w:color="auto"/>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kern w:val="0"/>
                <w:sz w:val="18"/>
                <w:szCs w:val="18"/>
                <w:lang w:bidi="ar"/>
              </w:rPr>
            </w:pPr>
            <w:r>
              <w:rPr>
                <w:rFonts w:ascii="仿宋_GB2312" w:eastAsia="仿宋_GB2312" w:hAnsi="仿宋_GB2312" w:cs="仿宋_GB2312" w:hint="eastAsia"/>
                <w:color w:val="000000"/>
                <w:sz w:val="18"/>
                <w:szCs w:val="18"/>
              </w:rPr>
              <w:t>项目完成指标</w:t>
            </w:r>
          </w:p>
        </w:tc>
        <w:tc>
          <w:tcPr>
            <w:tcW w:w="1260" w:type="dxa"/>
            <w:vMerge w:val="restart"/>
            <w:tcBorders>
              <w:top w:val="single" w:sz="4" w:space="0" w:color="auto"/>
              <w:left w:val="single" w:sz="4" w:space="0" w:color="auto"/>
              <w:right w:val="single" w:sz="4" w:space="0" w:color="auto"/>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数量指标</w:t>
            </w:r>
          </w:p>
        </w:tc>
        <w:tc>
          <w:tcPr>
            <w:tcW w:w="2608" w:type="dxa"/>
            <w:tcBorders>
              <w:top w:val="single" w:sz="4" w:space="0" w:color="000000"/>
              <w:left w:val="single" w:sz="4" w:space="0" w:color="auto"/>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“两会”安排、调蓉人员座谈、联络协调服务、固定资产维修维护、临聘人员劳务，春节走访慰问等相关工作经费支出。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“两会”安排、调蓉人员座谈、联络协调服务、固定资产维修维护、临聘人员劳务，春节走访慰问等相关工作经费支出。</w:t>
            </w:r>
          </w:p>
        </w:tc>
      </w:tr>
      <w:tr w:rsidR="009971F6">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auto"/>
              <w:bottom w:val="single" w:sz="4" w:space="0" w:color="000000"/>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auto"/>
              <w:bottom w:val="single" w:sz="4" w:space="0" w:color="000000"/>
              <w:right w:val="single" w:sz="4" w:space="0" w:color="auto"/>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市委市政府慰问离休老干部、组织老干部集体学习和座谈、离休老干部每年每户生活水电气补贴。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市委市政府慰问离休老干部、组织老干部集体学习和座谈、离休老干部每年每户生活水电气补贴。</w:t>
            </w:r>
          </w:p>
        </w:tc>
      </w:tr>
      <w:tr w:rsidR="009971F6">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项目完成指标</w:t>
            </w:r>
          </w:p>
        </w:tc>
        <w:tc>
          <w:tcPr>
            <w:tcW w:w="126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质量指标</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我办于2011年10月创刊的月刊《省城信息专讯》，从独特的视角给市领导和区县、部门提供了一份十分有价值的参考资料。</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我办于2011年10月创刊的月刊《省城信息专讯》，从独特的视角给市领导和区县、部门提供了一份十分有价值的参考资料。</w:t>
            </w:r>
          </w:p>
        </w:tc>
      </w:tr>
      <w:tr w:rsidR="009971F6">
        <w:trPr>
          <w:trHeight w:val="120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推广攀枝花产品的种类、品质、特色，加深人们对其的认知和了解。</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推广攀枝花产品的种类、品质、特色，加深人们对其的认知和了解。</w:t>
            </w:r>
          </w:p>
        </w:tc>
      </w:tr>
      <w:tr w:rsidR="009971F6">
        <w:trPr>
          <w:trHeight w:val="102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保证每一位来蓉攀枝花人的票务出行需要。</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保证每一位来蓉攀枝花人的票务出行需要。</w:t>
            </w:r>
          </w:p>
        </w:tc>
      </w:tr>
      <w:tr w:rsidR="009971F6">
        <w:trPr>
          <w:trHeight w:val="11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及时有效的完成市委、市政府交办的任务，做好后勤保障工作。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及时有效的完成市委、市政府交办的任务，做好后勤保障工作。</w:t>
            </w:r>
          </w:p>
        </w:tc>
      </w:tr>
      <w:tr w:rsidR="009971F6">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交流感情、征求意见，要让老同志病有所依、老有所养，使老同志真正感受到干休所是一个和谐温馨的大家庭。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交流感情、征求意见，要让老同志病有所依、老有所养，使老同志真正感受到干休所是一个和谐温馨的大家庭。</w:t>
            </w:r>
          </w:p>
        </w:tc>
      </w:tr>
      <w:tr w:rsidR="009971F6">
        <w:trPr>
          <w:trHeight w:val="10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项目完成指标</w:t>
            </w:r>
          </w:p>
        </w:tc>
        <w:tc>
          <w:tcPr>
            <w:tcW w:w="126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时效指标</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85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9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98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全年</w:t>
            </w:r>
          </w:p>
        </w:tc>
      </w:tr>
      <w:tr w:rsidR="009971F6">
        <w:trPr>
          <w:trHeight w:val="7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kern w:val="0"/>
                <w:sz w:val="18"/>
                <w:szCs w:val="18"/>
                <w:lang w:bidi="ar"/>
              </w:rPr>
            </w:pPr>
            <w:r>
              <w:rPr>
                <w:rFonts w:ascii="仿宋_GB2312" w:eastAsia="仿宋_GB2312" w:hAnsi="仿宋_GB2312" w:cs="仿宋_GB2312" w:hint="eastAsia"/>
                <w:color w:val="000000"/>
                <w:kern w:val="0"/>
                <w:sz w:val="18"/>
                <w:szCs w:val="18"/>
                <w:lang w:bidi="ar"/>
              </w:rPr>
              <w:t>项目完成指标</w:t>
            </w:r>
          </w:p>
        </w:tc>
        <w:tc>
          <w:tcPr>
            <w:tcW w:w="126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成本指标</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7万元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7万元</w:t>
            </w:r>
          </w:p>
        </w:tc>
      </w:tr>
      <w:tr w:rsidR="009971F6">
        <w:trPr>
          <w:trHeight w:val="72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20万元</w:t>
            </w:r>
          </w:p>
        </w:tc>
      </w:tr>
      <w:tr w:rsidR="009971F6">
        <w:trPr>
          <w:trHeight w:val="66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30万元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30万元</w:t>
            </w:r>
          </w:p>
        </w:tc>
      </w:tr>
      <w:tr w:rsidR="009971F6">
        <w:trPr>
          <w:trHeight w:val="65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68.29万元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68.29万元</w:t>
            </w:r>
          </w:p>
        </w:tc>
      </w:tr>
      <w:tr w:rsidR="009971F6">
        <w:trPr>
          <w:trHeight w:val="7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24.71万元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24.71万元</w:t>
            </w:r>
          </w:p>
        </w:tc>
      </w:tr>
      <w:tr w:rsidR="009971F6">
        <w:trPr>
          <w:trHeight w:val="8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效益指标</w:t>
            </w:r>
          </w:p>
        </w:tc>
        <w:tc>
          <w:tcPr>
            <w:tcW w:w="126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经济效益指标</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为市领导和决策部门提供信息参考。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为市领导和决策部门提供信息参考。</w:t>
            </w:r>
          </w:p>
        </w:tc>
      </w:tr>
      <w:tr w:rsidR="009971F6">
        <w:trPr>
          <w:trHeight w:val="83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发展攀枝花地方产品的加工生产、农产品的种植栽培，提高其经济效益。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发展攀枝花地方产品的加工生产、农产品的种植栽培，提高其经济效益。</w:t>
            </w:r>
          </w:p>
        </w:tc>
      </w:tr>
      <w:tr w:rsidR="009971F6">
        <w:trPr>
          <w:trHeight w:val="85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为攀枝花经济发展做好服务工作。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为攀枝花经济发展做好服务工作。</w:t>
            </w:r>
          </w:p>
        </w:tc>
      </w:tr>
      <w:tr w:rsidR="009971F6">
        <w:trPr>
          <w:trHeight w:val="8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为攀枝花经济发展做好服务工作。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为攀枝花经济发展做好服务工作。</w:t>
            </w:r>
          </w:p>
        </w:tc>
      </w:tr>
      <w:tr w:rsidR="009971F6">
        <w:trPr>
          <w:trHeight w:val="86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126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left"/>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让老同志感受到组织的关心和照顾。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让老同志感受到组织的关心和照顾。</w:t>
            </w:r>
          </w:p>
        </w:tc>
      </w:tr>
      <w:tr w:rsidR="009971F6">
        <w:trPr>
          <w:trHeight w:val="9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效益指标</w:t>
            </w:r>
          </w:p>
        </w:tc>
        <w:tc>
          <w:tcPr>
            <w:tcW w:w="126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社会效益指标</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为相关部门提供大量有价值的信息。</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为相关部门提供大量有价值的信息。</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促进推广了攀枝花特色产品，如水果、茶叶、钒钛产品等。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促进推广了攀枝花特色产品，如水果、茶叶、钒钛产品等。</w:t>
            </w:r>
          </w:p>
        </w:tc>
      </w:tr>
      <w:tr w:rsidR="009971F6">
        <w:trPr>
          <w:trHeight w:val="92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保证攀枝花人在蓉的出行方便。</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保证攀枝花人在蓉的出行方便。</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积极联系调蓉人员，使他们继续关心、帮助、支持攀枝花建设，为攀枝花经济的发展出力献策。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积极联系调蓉人员，使他们继续关心、帮助、支持攀枝花建设，为攀枝花经济的发展出力献策。</w:t>
            </w:r>
          </w:p>
        </w:tc>
      </w:tr>
      <w:tr w:rsidR="009971F6">
        <w:trPr>
          <w:trHeight w:val="1418"/>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把为老同志服好务放在重要的位置上，重视老干部管理和服务工作，把他们的满意作为我所工作的出发点和落脚点。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把为老同志服好务放在重要的位置上，重视老干部管理和服务工作，把他们的满意作为我所工作的出发点和落脚点。</w:t>
            </w:r>
          </w:p>
        </w:tc>
      </w:tr>
      <w:tr w:rsidR="009971F6">
        <w:trPr>
          <w:trHeight w:val="146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效益指标</w:t>
            </w:r>
          </w:p>
        </w:tc>
        <w:tc>
          <w:tcPr>
            <w:tcW w:w="126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可持续影响指标</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根据市委、市政府信息需求，收集整理及报送各类政务经济信息，为领导和部门提供决策参考。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根据市委、市政府信息需求，收集整理及报送各类政务经济信息，为领导和部门提供决策参考。</w:t>
            </w:r>
          </w:p>
        </w:tc>
      </w:tr>
      <w:tr w:rsidR="009971F6">
        <w:trPr>
          <w:trHeight w:val="15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通过对攀枝花特色产品的推广宣传，从而提升其美誉度和品牌影响力，达到介绍攀枝花城市的作用。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通过对攀枝花特色产品的推广宣传，从而提升其美誉度和品牌影响力，达到介绍攀枝花城市的作用。</w:t>
            </w:r>
          </w:p>
        </w:tc>
      </w:tr>
      <w:tr w:rsidR="009971F6">
        <w:trPr>
          <w:trHeight w:val="151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坚持为民服务的宗旨，努力为群众为实事，把办事处办成“攀枝花人在成都的温馨家园”。</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坚持为民服务的宗旨，努力为群众为实事，把办事处办成“攀枝花人在成都的温馨家园”。</w:t>
            </w:r>
          </w:p>
        </w:tc>
      </w:tr>
      <w:tr w:rsidR="009971F6">
        <w:trPr>
          <w:trHeight w:val="14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我办在市委、市政府正确领导下，圆满完成了各项目标工作任务，受到了派出地和派驻地主管部门的高度肯定。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我办在市委、市政府正确领导下，圆满完成了各项目标工作任务，受到了派出地和派驻地主管部门的高度肯定。</w:t>
            </w:r>
          </w:p>
        </w:tc>
      </w:tr>
      <w:tr w:rsidR="009971F6">
        <w:trPr>
          <w:trHeight w:val="143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让老干部保持积极状态，幸福安度晚年。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让老干部保持积极状态，幸福安度晚年。</w:t>
            </w:r>
          </w:p>
        </w:tc>
      </w:tr>
      <w:tr w:rsidR="009971F6">
        <w:trPr>
          <w:trHeight w:val="1185"/>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kern w:val="0"/>
                <w:sz w:val="18"/>
                <w:szCs w:val="18"/>
                <w:lang w:bidi="ar"/>
              </w:rPr>
              <w:t>满意度指标</w:t>
            </w:r>
          </w:p>
        </w:tc>
        <w:tc>
          <w:tcPr>
            <w:tcW w:w="1260"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 xml:space="preserve">服务对象满意度指标 </w:t>
            </w: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指标1：网络舆情与新闻信息</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 xml:space="preserve">专刊创刊以来，深受市领导的肯定，在全省各市州驻蓉办事处中首屈一指。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 xml:space="preserve">专刊创刊以来，深受市领导的肯定，在全省各市州驻蓉办事处中首屈一指。 </w:t>
            </w:r>
          </w:p>
        </w:tc>
      </w:tr>
      <w:tr w:rsidR="009971F6">
        <w:trPr>
          <w:trHeight w:val="121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指标2：特色产品推广</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既提高了攀枝花各色工业、农业产品的知名度，也提升攀枝花的城市形象。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既提高了攀枝花各色工业、农业产品的知名度，也提升攀枝花的城市形象。</w:t>
            </w:r>
          </w:p>
        </w:tc>
      </w:tr>
      <w:tr w:rsidR="009971F6">
        <w:trPr>
          <w:trHeight w:val="121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指标3：成都火车北站服务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为每一位来蓉返攀的攀枝花市民提供了专用通道和</w:t>
            </w:r>
            <w:r w:rsidR="00DA4897">
              <w:rPr>
                <w:rFonts w:ascii="仿宋_GB2312" w:eastAsia="仿宋_GB2312" w:hAnsi="仿宋_GB2312" w:cs="仿宋_GB2312" w:hint="eastAsia"/>
                <w:sz w:val="18"/>
                <w:szCs w:val="18"/>
              </w:rPr>
              <w:t>候车</w:t>
            </w:r>
            <w:r>
              <w:rPr>
                <w:rFonts w:ascii="仿宋_GB2312" w:eastAsia="仿宋_GB2312" w:hAnsi="仿宋_GB2312" w:cs="仿宋_GB2312" w:hint="eastAsia"/>
                <w:sz w:val="18"/>
                <w:szCs w:val="18"/>
              </w:rPr>
              <w:t>休息室，得到了一致的好评。</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sz w:val="18"/>
                <w:szCs w:val="18"/>
              </w:rPr>
              <w:t>为每一位来蓉返攀的攀枝花市民提供了专用通道和</w:t>
            </w:r>
            <w:r w:rsidR="00DA4897">
              <w:rPr>
                <w:rFonts w:ascii="仿宋_GB2312" w:eastAsia="仿宋_GB2312" w:hAnsi="仿宋_GB2312" w:cs="仿宋_GB2312" w:hint="eastAsia"/>
                <w:sz w:val="18"/>
                <w:szCs w:val="18"/>
              </w:rPr>
              <w:t>候车</w:t>
            </w:r>
            <w:r>
              <w:rPr>
                <w:rFonts w:ascii="仿宋_GB2312" w:eastAsia="仿宋_GB2312" w:hAnsi="仿宋_GB2312" w:cs="仿宋_GB2312" w:hint="eastAsia"/>
                <w:sz w:val="18"/>
                <w:szCs w:val="18"/>
              </w:rPr>
              <w:t>休息室，得到了一致的好评。</w:t>
            </w:r>
          </w:p>
        </w:tc>
      </w:tr>
      <w:tr w:rsidR="009971F6">
        <w:trPr>
          <w:trHeight w:val="121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 w:val="18"/>
                <w:szCs w:val="18"/>
                <w:lang w:bidi="ar"/>
              </w:rPr>
            </w:pPr>
          </w:p>
        </w:tc>
        <w:tc>
          <w:tcPr>
            <w:tcW w:w="1260"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指标4：工作经费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建成学习型、创新型、服务型办事处，成为每一个攀枝花人在成都的家。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建成学习型、创新型、服务型办事处，成为每一个攀枝花人在成都的家。</w:t>
            </w:r>
          </w:p>
        </w:tc>
      </w:tr>
      <w:tr w:rsidR="009971F6">
        <w:trPr>
          <w:trHeight w:val="127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18"/>
                <w:szCs w:val="18"/>
              </w:rPr>
            </w:pPr>
          </w:p>
        </w:tc>
        <w:tc>
          <w:tcPr>
            <w:tcW w:w="91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1260"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 w:val="18"/>
                <w:szCs w:val="18"/>
              </w:rPr>
            </w:pPr>
          </w:p>
        </w:tc>
        <w:tc>
          <w:tcPr>
            <w:tcW w:w="2608"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指标5：离休人员慰问活动费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感受国家给予离休老干部的福利。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感受国家给予离休老干部的福利。</w:t>
            </w:r>
          </w:p>
        </w:tc>
      </w:tr>
    </w:tbl>
    <w:p w:rsidR="009971F6" w:rsidRDefault="00ED6E5C">
      <w:pPr>
        <w:spacing w:line="580" w:lineRule="exact"/>
        <w:ind w:left="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三、存在主要问题</w:t>
      </w:r>
    </w:p>
    <w:p w:rsidR="009971F6" w:rsidRDefault="00ED6E5C">
      <w:pPr>
        <w:spacing w:line="600" w:lineRule="exact"/>
        <w:ind w:firstLineChars="200" w:firstLine="640"/>
        <w:jc w:val="left"/>
        <w:rPr>
          <w:rFonts w:ascii="仿宋_GB2312" w:eastAsia="仿宋_GB2312" w:hAnsi="仿宋_GB2312" w:cs="仿宋_GB2312"/>
          <w:b/>
          <w:bCs/>
          <w:sz w:val="32"/>
          <w:szCs w:val="32"/>
        </w:rPr>
      </w:pPr>
      <w:r>
        <w:rPr>
          <w:rFonts w:ascii="仿宋_GB2312" w:eastAsia="仿宋_GB2312" w:hAnsi="仿宋_GB2312" w:cs="仿宋_GB2312" w:hint="eastAsia"/>
          <w:sz w:val="32"/>
          <w:szCs w:val="32"/>
        </w:rPr>
        <w:t>对攀枝花特色地方产品的推广宣传力度不够，网络舆情与新闻信息是为领导和决策部门提供重要参考的，但目前存在信息滞后、可用信息有限等情况。</w:t>
      </w:r>
    </w:p>
    <w:p w:rsidR="009971F6" w:rsidRDefault="00ED6E5C">
      <w:pPr>
        <w:spacing w:line="580" w:lineRule="exact"/>
        <w:ind w:firstLineChars="200" w:firstLine="643"/>
        <w:rPr>
          <w:rStyle w:val="1Char"/>
          <w:rFonts w:ascii="仿宋_GB2312" w:eastAsia="仿宋_GB2312" w:hAnsi="仿宋_GB2312" w:cs="仿宋_GB2312"/>
          <w:kern w:val="2"/>
          <w:sz w:val="32"/>
          <w:szCs w:val="32"/>
        </w:rPr>
      </w:pPr>
      <w:r>
        <w:rPr>
          <w:rFonts w:ascii="仿宋_GB2312" w:eastAsia="仿宋_GB2312" w:hAnsi="仿宋_GB2312" w:cs="仿宋_GB2312" w:hint="eastAsia"/>
          <w:b/>
          <w:bCs/>
          <w:sz w:val="32"/>
          <w:szCs w:val="32"/>
        </w:rPr>
        <w:t>四、相关措施建议</w:t>
      </w:r>
    </w:p>
    <w:p w:rsidR="009971F6" w:rsidRDefault="00ED6E5C">
      <w:pPr>
        <w:spacing w:line="600" w:lineRule="exact"/>
        <w:ind w:firstLineChars="200" w:firstLine="640"/>
        <w:outlineLvl w:val="0"/>
        <w:rPr>
          <w:rFonts w:ascii="黑体" w:eastAsia="黑体" w:hAnsi="黑体"/>
          <w:color w:val="000000"/>
          <w:sz w:val="44"/>
          <w:szCs w:val="44"/>
        </w:rPr>
      </w:pPr>
      <w:bookmarkStart w:id="67" w:name="_Toc15396618"/>
      <w:r>
        <w:rPr>
          <w:rFonts w:ascii="仿宋_GB2312" w:eastAsia="仿宋_GB2312" w:hAnsi="仿宋_GB2312" w:cs="仿宋_GB2312" w:hint="eastAsia"/>
          <w:sz w:val="32"/>
          <w:szCs w:val="32"/>
        </w:rPr>
        <w:t>扩大对攀枝花产品种类、品质、特色的推广宣传，加深人们对其的认知和了解，从而提升其美誉度和品牌影响力，达到介绍攀枝花城市的作用；保证信息的时效性、真实性、可靠性，收集、整理及报送各类政务经济信息，尽能力为市委、市政府领导及相关部门提供有价值的信息。</w:t>
      </w: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ED6E5C">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2018年</w:t>
      </w:r>
      <w:r>
        <w:rPr>
          <w:rFonts w:ascii="黑体" w:eastAsia="黑体" w:hAnsi="黑体" w:cs="黑体" w:hint="eastAsia"/>
          <w:sz w:val="44"/>
          <w:szCs w:val="44"/>
        </w:rPr>
        <w:t>招商引资工作</w:t>
      </w:r>
      <w:r>
        <w:rPr>
          <w:rFonts w:ascii="黑体" w:eastAsia="黑体" w:hAnsi="黑体" w:cs="方正小标宋简体" w:hint="eastAsia"/>
          <w:sz w:val="44"/>
          <w:szCs w:val="44"/>
        </w:rPr>
        <w:t>项目支出</w:t>
      </w:r>
    </w:p>
    <w:p w:rsidR="009971F6" w:rsidRDefault="00ED6E5C">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绩效评价报告</w:t>
      </w:r>
    </w:p>
    <w:p w:rsidR="009971F6" w:rsidRDefault="009971F6">
      <w:pPr>
        <w:spacing w:line="580" w:lineRule="exact"/>
        <w:ind w:firstLineChars="200" w:firstLine="640"/>
        <w:rPr>
          <w:rFonts w:ascii="仿宋_GB2312" w:eastAsia="仿宋_GB2312" w:hAnsi="仿宋_GB2312" w:cs="仿宋_GB2312"/>
          <w:sz w:val="32"/>
          <w:szCs w:val="32"/>
        </w:rPr>
      </w:pPr>
    </w:p>
    <w:p w:rsidR="009971F6" w:rsidRDefault="00ED6E5C">
      <w:pPr>
        <w:spacing w:line="580" w:lineRule="exact"/>
        <w:ind w:firstLineChars="200" w:firstLine="643"/>
        <w:rPr>
          <w:rFonts w:ascii="仿宋" w:eastAsia="仿宋" w:hAnsi="仿宋" w:cs="仿宋_GB2312"/>
          <w:sz w:val="32"/>
          <w:szCs w:val="32"/>
        </w:rPr>
      </w:pPr>
      <w:r>
        <w:rPr>
          <w:rFonts w:ascii="仿宋_GB2312" w:eastAsia="仿宋_GB2312" w:hAnsi="仿宋_GB2312" w:cs="仿宋_GB2312" w:hint="eastAsia"/>
          <w:b/>
          <w:bCs/>
          <w:sz w:val="32"/>
          <w:szCs w:val="32"/>
        </w:rPr>
        <w:t>一、评价工作开展及项目情况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项目评价实施方案情况（包括选点、评价指标、评价方法、基础数据表等情况）</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人民政府驻成都办事处充分利用地处成都的地域优势，主动作为，立足攀枝花实际，积极对外宣传攀枝花，展示攀枝花形象，推介攀枝花发展项目、增强项目的吸引力、寻求双方感兴趣的共同点、把握机遇、适度超前，力争引进优秀企业，帮助区县项目实实在在的落地，从而助推攀枝花经济的发展。</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二、评价结论及绩效分析</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（一）评价结论</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项目绩效评价总体结论（包括项目评价得分表）</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财政预算经费使用执行中，我们按照先有预算，后有支出的原则，严格遵守《会计法》，加强财务管理，建立健全各项规章制度和内部控制制度，充分发挥会计核算和监督职能，做好会计核算基础工作，及时办理财务收支结算，做到信息公开完整、准确、真实。严格执行预算管理，强化预算约束，未列入预算的不得开支，不存在无预算、超预算、超标准、超范围开支经费的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（二）绩效分析</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1、项目决策</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必要性和可行性分析（包括政策依据和政策完善，政策和需求的吻合程度分析），绩效目标设置情况（包括绩效目标设置的明确性和合理性）</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通过项目实施，保障了招商引资工作的顺利进行，招商引资工作是我市经济工作的重中之重，今年，我们充分利用地处成都的地域优势，主动作为，立足攀枝花实际，积极对外宣传攀枝花，展示攀枝花形象，推介攀枝花发展项目，在引进优秀企业、帮助区县项目落地方面取得了实实在在的成效。</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2、项目管理</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资金分配情况（资金分配管理的科学合理性）资，金使用情况（项目、资金管理的科学规范性）</w:t>
      </w:r>
    </w:p>
    <w:p w:rsidR="009971F6" w:rsidRDefault="00ED6E5C">
      <w:pPr>
        <w:spacing w:line="600" w:lineRule="exact"/>
        <w:ind w:firstLine="709"/>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攀枝花市人民政府驻成都办事处招商引资工作经费28.6万元，主要用于</w:t>
      </w:r>
      <w:r>
        <w:rPr>
          <w:rFonts w:ascii="仿宋_GB2312" w:eastAsia="仿宋_GB2312" w:hAnsi="仿宋_GB2312" w:cs="仿宋_GB2312" w:hint="eastAsia"/>
          <w:color w:val="000000"/>
          <w:sz w:val="32"/>
          <w:szCs w:val="32"/>
        </w:rPr>
        <w:t>接待往返攀枝花考察投资等客商、市委市政府邀请相关人员途经成都所发生的食住行各项费用以及在蓉招开大型招商活动的开支。</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3、项目绩效</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项目目标完成情况（数量、质量、时效、成本），项目效益情况（经济效益、项目社会效益、生态效益、可持续效益、公平性、资金使用效率、受益群体满意度等）。</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招商引资工作经费项目绩效目标完成情况：项目全年预算数28.6万元，执行数为28.6万元，完成预算的100%。</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021"/>
        <w:gridCol w:w="1371"/>
        <w:gridCol w:w="2392"/>
        <w:gridCol w:w="2394"/>
        <w:gridCol w:w="2392"/>
      </w:tblGrid>
      <w:tr w:rsidR="009971F6">
        <w:trPr>
          <w:trHeight w:val="1343"/>
        </w:trPr>
        <w:tc>
          <w:tcPr>
            <w:tcW w:w="9960" w:type="dxa"/>
            <w:gridSpan w:val="6"/>
            <w:tcMar>
              <w:top w:w="15" w:type="dxa"/>
              <w:left w:w="15" w:type="dxa"/>
              <w:bottom w:w="0" w:type="dxa"/>
              <w:right w:w="15" w:type="dxa"/>
            </w:tcMar>
            <w:vAlign w:val="center"/>
          </w:tcPr>
          <w:p w:rsidR="009971F6" w:rsidRDefault="00ED6E5C">
            <w:pPr>
              <w:pStyle w:val="aa"/>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lastRenderedPageBreak/>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w:t>
            </w:r>
            <w:r>
              <w:rPr>
                <w:rFonts w:ascii="仿宋_GB2312" w:eastAsia="仿宋_GB2312" w:hAnsi="仿宋_GB2312" w:cs="仿宋_GB2312" w:hint="eastAsia"/>
                <w:color w:val="000000"/>
                <w:kern w:val="0"/>
                <w:sz w:val="32"/>
                <w:szCs w:val="32"/>
                <w:lang w:bidi="ar"/>
              </w:rPr>
              <w:t>2018 年度</w:t>
            </w:r>
            <w:r>
              <w:rPr>
                <w:rFonts w:ascii="宋体" w:hAnsi="宋体" w:cs="宋体" w:hint="eastAsia"/>
                <w:color w:val="000000"/>
                <w:kern w:val="0"/>
                <w:sz w:val="36"/>
                <w:szCs w:val="36"/>
                <w:lang w:bidi="ar"/>
              </w:rPr>
              <w:t>)</w:t>
            </w:r>
          </w:p>
        </w:tc>
      </w:tr>
      <w:tr w:rsidR="009971F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招商引资工作经费</w:t>
            </w:r>
          </w:p>
        </w:tc>
      </w:tr>
      <w:tr w:rsidR="009971F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攀枝花市人民政府驻成都办事处</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28.6</w:t>
            </w:r>
          </w:p>
        </w:tc>
      </w:tr>
      <w:tr w:rsidR="009971F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28.6</w:t>
            </w:r>
          </w:p>
        </w:tc>
      </w:tr>
      <w:tr w:rsidR="009971F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jc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9971F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实际完成目标</w:t>
            </w:r>
          </w:p>
        </w:tc>
      </w:tr>
      <w:tr w:rsidR="009971F6">
        <w:trPr>
          <w:trHeight w:val="1999"/>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我们充分利用地处成都的地域优势，主动作为，立足攀枝花实际，积极对外宣传攀枝花，展示攀枝花形象，推介攀枝花发展项目，力争引进优秀企业，帮助区县项目实实在在的落地，从而助推攀枝花经济的发展。</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我们充分利用地处成都的地域优势，主动作为，立足攀枝花实际，积极对外宣传攀枝花，展示攀枝花形象，推介攀枝花发展项目，力争引进优秀企业，帮助区县项目实实在在的落地，从而助推攀枝花经济的发展。</w:t>
            </w:r>
          </w:p>
        </w:tc>
      </w:tr>
      <w:tr w:rsidR="009971F6">
        <w:trPr>
          <w:trHeight w:val="9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绩效指标完成情况</w:t>
            </w:r>
          </w:p>
        </w:tc>
        <w:tc>
          <w:tcPr>
            <w:tcW w:w="102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一级指标</w:t>
            </w: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实际完成指标值(包含数字及文字描述)</w:t>
            </w:r>
          </w:p>
        </w:tc>
      </w:tr>
      <w:tr w:rsidR="009971F6">
        <w:trPr>
          <w:trHeight w:val="816"/>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项目完成指标</w:t>
            </w: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组织开展并参与招商工作各项活动。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组织开展并参与招商工作各项活动。</w:t>
            </w:r>
          </w:p>
        </w:tc>
      </w:tr>
      <w:tr w:rsidR="009971F6">
        <w:trPr>
          <w:trHeight w:val="86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促进招商项目签约，提供投资咨询。</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促进招商项目签约，提供投资咨询。</w:t>
            </w:r>
          </w:p>
        </w:tc>
      </w:tr>
      <w:tr w:rsidR="009971F6">
        <w:trPr>
          <w:trHeight w:val="70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 xml:space="preserve">时效指标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r>
      <w:tr w:rsidR="009971F6">
        <w:trPr>
          <w:trHeight w:val="80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Cs w:val="21"/>
                <w:lang w:bidi="ar"/>
              </w:rPr>
            </w:pP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28.6万元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28.6万元</w:t>
            </w:r>
          </w:p>
        </w:tc>
      </w:tr>
      <w:tr w:rsidR="009971F6">
        <w:trPr>
          <w:trHeight w:val="90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效益指标</w:t>
            </w: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助推攀枝花经济发展。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助推攀枝花经济发展。</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抓住契机，积极对外宣传攀枝花，展示攀枝花城市形象和魅力。</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抓住契机，积极对外宣传攀枝花，展示攀枝花城市形象和魅力。</w:t>
            </w:r>
          </w:p>
        </w:tc>
      </w:tr>
      <w:tr w:rsidR="009971F6">
        <w:trPr>
          <w:trHeight w:val="181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效益指标</w:t>
            </w: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利用地处成都的地域优势，主动作为，立足攀枝花实际，对外宣传推介攀枝花发展项目，引进优秀企业，建设攀枝花。</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利用地处成都的地域优势，主动作为，立足攀枝花实际，对外宣传推介攀枝花发展项目，引进优秀企业，建设攀枝花。</w:t>
            </w:r>
          </w:p>
        </w:tc>
      </w:tr>
      <w:tr w:rsidR="009971F6">
        <w:trPr>
          <w:trHeight w:val="1515"/>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满意度指标</w:t>
            </w:r>
          </w:p>
        </w:tc>
        <w:tc>
          <w:tcPr>
            <w:tcW w:w="137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 xml:space="preserve">服务对象满意度指标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招商引资工作经费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得到各方面的好评，为攀枝花经济社会发展做出应有贡献。</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得到各方面的好评，为攀枝花经济社会发展做出应有贡献。</w:t>
            </w:r>
          </w:p>
        </w:tc>
      </w:tr>
    </w:tbl>
    <w:p w:rsidR="009971F6" w:rsidRDefault="00ED6E5C">
      <w:pPr>
        <w:spacing w:line="580" w:lineRule="exact"/>
        <w:ind w:left="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三、存在主要问题</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招商引资工作进展缓慢，往往是意向型项目多，落实落地少。</w:t>
      </w:r>
    </w:p>
    <w:p w:rsidR="009971F6" w:rsidRDefault="00ED6E5C">
      <w:pPr>
        <w:spacing w:line="580" w:lineRule="exact"/>
        <w:ind w:firstLineChars="200" w:firstLine="643"/>
        <w:rPr>
          <w:rStyle w:val="1Char"/>
          <w:rFonts w:ascii="仿宋_GB2312" w:eastAsia="仿宋_GB2312" w:hAnsi="仿宋_GB2312" w:cs="仿宋_GB2312"/>
          <w:kern w:val="2"/>
          <w:sz w:val="32"/>
          <w:szCs w:val="32"/>
        </w:rPr>
      </w:pPr>
      <w:r>
        <w:rPr>
          <w:rFonts w:ascii="仿宋_GB2312" w:eastAsia="仿宋_GB2312" w:hAnsi="仿宋_GB2312" w:cs="仿宋_GB2312" w:hint="eastAsia"/>
          <w:b/>
          <w:bCs/>
          <w:sz w:val="32"/>
          <w:szCs w:val="32"/>
        </w:rPr>
        <w:t>四、相关措施建议</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抓住契机，积极对外宣传攀枝花，展示攀枝花城市形象和魅力，促进意向型项目落实落地。</w:t>
      </w: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ED6E5C">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2018年</w:t>
      </w:r>
      <w:r>
        <w:rPr>
          <w:rFonts w:ascii="黑体" w:eastAsia="黑体" w:hAnsi="黑体" w:cs="黑体" w:hint="eastAsia"/>
          <w:sz w:val="44"/>
          <w:szCs w:val="44"/>
        </w:rPr>
        <w:t>平安攀枝花建设</w:t>
      </w:r>
      <w:r>
        <w:rPr>
          <w:rFonts w:ascii="黑体" w:eastAsia="黑体" w:hAnsi="黑体" w:cs="方正小标宋简体" w:hint="eastAsia"/>
          <w:sz w:val="44"/>
          <w:szCs w:val="44"/>
        </w:rPr>
        <w:t>项目支出</w:t>
      </w:r>
    </w:p>
    <w:p w:rsidR="009971F6" w:rsidRDefault="00ED6E5C">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绩效评价报告</w:t>
      </w:r>
    </w:p>
    <w:p w:rsidR="009971F6" w:rsidRDefault="009971F6">
      <w:pPr>
        <w:spacing w:line="580" w:lineRule="exact"/>
        <w:ind w:firstLineChars="200" w:firstLine="640"/>
        <w:rPr>
          <w:rFonts w:ascii="仿宋_GB2312" w:eastAsia="仿宋_GB2312" w:hAnsi="仿宋_GB2312" w:cs="仿宋_GB2312"/>
          <w:sz w:val="32"/>
          <w:szCs w:val="32"/>
        </w:rPr>
      </w:pPr>
    </w:p>
    <w:p w:rsidR="009971F6" w:rsidRDefault="00ED6E5C">
      <w:pPr>
        <w:spacing w:line="580" w:lineRule="exact"/>
        <w:ind w:firstLineChars="200" w:firstLine="643"/>
        <w:rPr>
          <w:rFonts w:ascii="仿宋" w:eastAsia="仿宋" w:hAnsi="仿宋" w:cs="仿宋_GB2312"/>
          <w:sz w:val="32"/>
          <w:szCs w:val="32"/>
        </w:rPr>
      </w:pPr>
      <w:r>
        <w:rPr>
          <w:rFonts w:ascii="仿宋_GB2312" w:eastAsia="仿宋_GB2312" w:hAnsi="仿宋_GB2312" w:cs="仿宋_GB2312" w:hint="eastAsia"/>
          <w:b/>
          <w:bCs/>
          <w:sz w:val="32"/>
          <w:szCs w:val="32"/>
        </w:rPr>
        <w:t>一、评价工作开展及项目情况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项目评价实施方案情况（包括选点、评价指标、评价方法、基础数据表等情况）</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稳定是发展的基础和前提，稳定压倒一切。攀枝花市人民政府驻成都办事处作为我市驻省会城市驻外办事机构和攀枝花的北大门，我们深知维稳责任重大，加强维稳劝返处置工作，完善应急程序，努力维护社会稳定。建立健全了信访维稳工作长效机制，制定了信访工作实施细则和处置突发事件预案，成立了信访应急领导小组，积极加强与省级信访部门和攀枝花市群工局、攀枝花市区县群工部门的信访信息沟通，及时有效地解决突发事件，保障劝返工作的顺利完成。</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二、评价结论及绩效分析</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（一）评价结论</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项目绩效评价总体结论（包括项目评价得分表）</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财政预算经费使用执行中，我们按照先有预算，后有支出的原则，严格遵守《会计法》，加强财务管理，建立健全各项规章制度和内部控制制度，充分发挥会计核算和监督职能，做好会计核算基础工作，及时办理财务收支结算，做到信息公开完整、准确、真实。严格执行预算管理，强化预算约束，未列入预算的不得开支，不存在无预算、超预算、</w:t>
      </w:r>
      <w:r>
        <w:rPr>
          <w:rFonts w:ascii="仿宋_GB2312" w:eastAsia="仿宋_GB2312" w:hAnsi="仿宋_GB2312" w:cs="仿宋_GB2312" w:hint="eastAsia"/>
          <w:sz w:val="32"/>
          <w:szCs w:val="32"/>
        </w:rPr>
        <w:lastRenderedPageBreak/>
        <w:t>超标准、超范围开支经费的情况。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（二）绩效分析</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1、项目决策</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必要性和可行性分析（包括政策依据和政策完善，政策和需求的吻合程度分析），绩效目标设置情况（包括绩效目标设置的明确性和合理性）</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通过项目实施，保障了信访维稳工作的顺利完成，稳定是发展的基础和前提，稳定压倒一切。作为我市驻省会城市驻外办事机构和攀枝花的北大门，我们深知维稳责任重大，加强维稳劝返处置工作，完善应急程序，努力维护社会稳定。建立健全了信访维稳工作长效机制，制定了信访工作实施细则和处置突发事件预案，成立了信访应急领导小组，积极加强与省级信访部门和攀枝花市群工局、攀枝花市区县群工部门的信访信息沟通，及时有效地解决突发事件，保障劝返工作的顺利完成。</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2、项目管理</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资金分配情况（资金分配管理的科学合理性）资，金使用情况（项目、资金管理的科学规范性）</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color w:val="333333"/>
          <w:sz w:val="32"/>
          <w:szCs w:val="32"/>
          <w:shd w:val="clear" w:color="auto" w:fill="FFFFFF"/>
        </w:rPr>
        <w:t>强化资金使用者的绩效意识，强化财政专项资金的绩效管理。</w:t>
      </w:r>
      <w:r>
        <w:rPr>
          <w:rFonts w:ascii="仿宋_GB2312" w:eastAsia="仿宋_GB2312" w:hAnsi="仿宋_GB2312" w:cs="仿宋_GB2312" w:hint="eastAsia"/>
          <w:sz w:val="32"/>
          <w:szCs w:val="32"/>
        </w:rPr>
        <w:t>攀枝花市人民政府驻成都办事处平安攀枝花建设专项经费（信访维稳工作经费）7万元，主要</w:t>
      </w:r>
      <w:r>
        <w:rPr>
          <w:rFonts w:ascii="仿宋_GB2312" w:eastAsia="仿宋_GB2312" w:hAnsi="仿宋_GB2312" w:cs="仿宋_GB2312" w:hint="eastAsia"/>
          <w:color w:val="000000"/>
          <w:sz w:val="32"/>
          <w:szCs w:val="32"/>
        </w:rPr>
        <w:t>用于信访维稳工作所发生的上访人员送返路费、伙食费、住宿费等费用支出。</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3、项目绩效</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项目目标完成情况（数量、质量、时效、成本），项目效益情况（经济效益、项目社会效益、生态效益、可持续效益、公平性、资金使用效率、受益群体满意度等）。</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平安攀枝花建设专项经费（信访维稳工作经费）项目绩效目标完成情况：项目全年预算数7万元，执行数为7万元，完成预算的100%。</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006"/>
        <w:gridCol w:w="1386"/>
        <w:gridCol w:w="2392"/>
        <w:gridCol w:w="2394"/>
        <w:gridCol w:w="2392"/>
      </w:tblGrid>
      <w:tr w:rsidR="009971F6">
        <w:trPr>
          <w:trHeight w:val="1034"/>
        </w:trPr>
        <w:tc>
          <w:tcPr>
            <w:tcW w:w="9960" w:type="dxa"/>
            <w:gridSpan w:val="6"/>
            <w:tcMar>
              <w:top w:w="15" w:type="dxa"/>
              <w:left w:w="15" w:type="dxa"/>
              <w:bottom w:w="0" w:type="dxa"/>
              <w:right w:w="15" w:type="dxa"/>
            </w:tcMar>
            <w:vAlign w:val="center"/>
          </w:tcPr>
          <w:p w:rsidR="009971F6" w:rsidRDefault="00ED6E5C">
            <w:pPr>
              <w:pStyle w:val="aa"/>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w:t>
            </w:r>
            <w:r>
              <w:rPr>
                <w:rFonts w:ascii="仿宋_GB2312" w:eastAsia="仿宋_GB2312" w:hAnsi="仿宋_GB2312" w:cs="仿宋_GB2312" w:hint="eastAsia"/>
                <w:color w:val="000000"/>
                <w:kern w:val="0"/>
                <w:sz w:val="32"/>
                <w:szCs w:val="32"/>
                <w:lang w:bidi="ar"/>
              </w:rPr>
              <w:t>2018 年度</w:t>
            </w:r>
            <w:r>
              <w:rPr>
                <w:rFonts w:ascii="宋体" w:hAnsi="宋体" w:cs="宋体" w:hint="eastAsia"/>
                <w:color w:val="000000"/>
                <w:kern w:val="0"/>
                <w:sz w:val="36"/>
                <w:szCs w:val="36"/>
                <w:lang w:bidi="ar"/>
              </w:rPr>
              <w:t>)</w:t>
            </w:r>
          </w:p>
        </w:tc>
      </w:tr>
      <w:tr w:rsidR="009971F6">
        <w:trPr>
          <w:trHeight w:val="532"/>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sz w:val="24"/>
              </w:rPr>
              <w:t>平安攀枝花建设专项经费（信访维稳工作）</w:t>
            </w:r>
          </w:p>
        </w:tc>
      </w:tr>
      <w:tr w:rsidR="009971F6">
        <w:trPr>
          <w:trHeight w:val="487"/>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攀枝花市人民政府驻成都办事处</w:t>
            </w:r>
          </w:p>
        </w:tc>
      </w:tr>
      <w:tr w:rsidR="009971F6">
        <w:trPr>
          <w:trHeight w:val="39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w:t>
            </w:r>
          </w:p>
        </w:tc>
      </w:tr>
      <w:tr w:rsidR="009971F6">
        <w:trPr>
          <w:trHeight w:val="46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7</w:t>
            </w:r>
          </w:p>
        </w:tc>
      </w:tr>
      <w:tr w:rsidR="009971F6">
        <w:trPr>
          <w:trHeight w:val="18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jc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9971F6">
        <w:trPr>
          <w:trHeight w:val="49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实际完成目标</w:t>
            </w:r>
          </w:p>
        </w:tc>
      </w:tr>
      <w:tr w:rsidR="009971F6">
        <w:trPr>
          <w:trHeight w:val="423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snapToGrid w:val="0"/>
              <w:spacing w:line="400" w:lineRule="exact"/>
              <w:jc w:val="left"/>
              <w:rPr>
                <w:rFonts w:ascii="仿宋_GB2312" w:eastAsia="仿宋_GB2312" w:hAnsi="仿宋_GB2312" w:cs="仿宋_GB2312"/>
                <w:color w:val="000000"/>
                <w:szCs w:val="21"/>
              </w:rPr>
            </w:pPr>
            <w:r>
              <w:rPr>
                <w:rFonts w:ascii="仿宋_GB2312" w:eastAsia="仿宋_GB2312" w:hAnsi="仿宋_GB2312" w:cs="仿宋_GB2312" w:hint="eastAsia"/>
                <w:szCs w:val="21"/>
              </w:rPr>
              <w:t>稳定是发展的基础和前提，稳定压倒一切。作为我市驻省会城市驻外办事机构和攀枝花的北大门，我们深知维稳责任重大，加强维稳劝返处置工作，完善应急程序，努力维护社会稳定。建立健全了信访维稳工作长效机制，制定了信访工作实施细则和处置突发事件预案，成立了信访应急领导小组，积极加强与省级信访部门和攀枝花市群工局、攀枝花市区县群工部门的信访信息沟通，及时有效地解决突发事件，保障劝返工作的顺利完成。</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snapToGrid w:val="0"/>
              <w:spacing w:line="400" w:lineRule="exact"/>
              <w:jc w:val="left"/>
              <w:rPr>
                <w:rFonts w:ascii="仿宋_GB2312" w:eastAsia="仿宋_GB2312" w:hAnsi="仿宋_GB2312" w:cs="仿宋_GB2312"/>
                <w:color w:val="000000"/>
                <w:szCs w:val="21"/>
              </w:rPr>
            </w:pPr>
            <w:r>
              <w:rPr>
                <w:rFonts w:ascii="仿宋_GB2312" w:eastAsia="仿宋_GB2312" w:hAnsi="仿宋_GB2312" w:cs="仿宋_GB2312" w:hint="eastAsia"/>
                <w:szCs w:val="21"/>
              </w:rPr>
              <w:t>稳定是发展的基础和前提，稳定压倒一切。作为我市驻省会城市驻外办事机构和攀枝花的北大门，我们深知维稳责任重大，加强维稳劝返处置工作，完善应急程序，努力维护社会稳定。建立健全了信访维稳工作长效机制，制定了信访工作实施细则和处置突发事件预案，成立了信访应急领导小组，积极加强与省级信访部门和攀枝花市群工局、攀枝花市区县群工部门的信访信息沟通，及时有效地解决突发事件，保障劝返工作的顺利完成。</w:t>
            </w:r>
          </w:p>
        </w:tc>
      </w:tr>
      <w:tr w:rsidR="009971F6">
        <w:trPr>
          <w:trHeight w:val="121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lastRenderedPageBreak/>
              <w:t>绩效指标完成情况</w:t>
            </w:r>
          </w:p>
        </w:tc>
        <w:tc>
          <w:tcPr>
            <w:tcW w:w="10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一级指标</w:t>
            </w: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实际完成指标值(包含数字及文字描述)</w:t>
            </w:r>
          </w:p>
        </w:tc>
      </w:tr>
      <w:tr w:rsidR="009971F6">
        <w:trPr>
          <w:trHeight w:val="1223"/>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项目完成指标</w:t>
            </w: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成立信访应急领导小组，处理在蓉及攀籍准备进京上访人员，每年人次不等。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成立信访应急领导小组，处理在蓉及攀籍准备进京上访人员，每年人次不等。</w:t>
            </w:r>
          </w:p>
        </w:tc>
      </w:tr>
      <w:tr w:rsidR="009971F6">
        <w:trPr>
          <w:trHeight w:val="15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我办应急接访的攀籍人员到蓉上访的人数，每年劝返率达80%左右。</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我办应急接访的攀籍人员到蓉上访的人数，每年劝返率达80%左右。</w:t>
            </w:r>
          </w:p>
        </w:tc>
      </w:tr>
      <w:tr w:rsidR="009971F6">
        <w:trPr>
          <w:trHeight w:val="130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 xml:space="preserve">时效指标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r>
      <w:tr w:rsidR="009971F6">
        <w:trPr>
          <w:trHeight w:val="128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kern w:val="0"/>
                <w:szCs w:val="21"/>
                <w:lang w:bidi="ar"/>
              </w:rPr>
            </w:pP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7万元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7万元</w:t>
            </w:r>
          </w:p>
        </w:tc>
      </w:tr>
      <w:tr w:rsidR="009971F6">
        <w:trPr>
          <w:trHeight w:val="144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效益指标</w:t>
            </w: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维护社会稳定，促进攀枝花经济发展。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维护社会稳定，促进攀枝花经济发展。</w:t>
            </w:r>
          </w:p>
        </w:tc>
      </w:tr>
      <w:tr w:rsidR="009971F6">
        <w:trPr>
          <w:trHeight w:val="12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稳定是发展的基础和前提，稳定压倒一切。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稳定是发展的基础和前提，稳定压倒一切。</w:t>
            </w:r>
          </w:p>
        </w:tc>
      </w:tr>
      <w:tr w:rsidR="009971F6">
        <w:trPr>
          <w:trHeight w:val="221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作为我市驻省会城市办事机构和攀枝花的北大门，我办深知责任重大，加强维稳劝返处置工作，完善应急程序，努力维护社会稳定。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作为我市驻省会城市办事机构和攀枝花的北大门，我办深知责任重大，加强维稳劝返处置工作，完善应急程序，努力维护社会稳定。</w:t>
            </w:r>
          </w:p>
        </w:tc>
      </w:tr>
      <w:tr w:rsidR="009971F6">
        <w:trPr>
          <w:trHeight w:val="21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0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满意度指标</w:t>
            </w:r>
          </w:p>
        </w:tc>
        <w:tc>
          <w:tcPr>
            <w:tcW w:w="138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szCs w:val="21"/>
              </w:rPr>
              <w:t>平安攀枝花建设专项经费（信访维稳工作）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出色完成了各类重要会议、重大活动期间的信访维稳工作，连续多年得到省信访分流中心和市委、市政府、市政法委的高度肯定。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出色完成了各类重要会议、重大活动期间的信访维稳工作，连续多年得到省信访分流中心和市委、市政府、市政法委的高度肯定。</w:t>
            </w:r>
          </w:p>
        </w:tc>
      </w:tr>
    </w:tbl>
    <w:p w:rsidR="009971F6" w:rsidRDefault="009971F6">
      <w:pPr>
        <w:spacing w:line="580" w:lineRule="exact"/>
        <w:ind w:left="640"/>
        <w:rPr>
          <w:rFonts w:ascii="仿宋_GB2312" w:eastAsia="仿宋_GB2312" w:hAnsi="仿宋_GB2312" w:cs="仿宋_GB2312"/>
          <w:b/>
          <w:bCs/>
          <w:sz w:val="32"/>
          <w:szCs w:val="32"/>
        </w:rPr>
      </w:pPr>
    </w:p>
    <w:p w:rsidR="009971F6" w:rsidRDefault="00ED6E5C">
      <w:pPr>
        <w:spacing w:line="580" w:lineRule="exact"/>
        <w:ind w:left="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三、存在主要问题</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群访、突发事件增多，给维稳工作带来了一定难度。</w:t>
      </w:r>
    </w:p>
    <w:p w:rsidR="009971F6" w:rsidRDefault="00ED6E5C">
      <w:pPr>
        <w:spacing w:line="580" w:lineRule="exact"/>
        <w:ind w:firstLineChars="200" w:firstLine="643"/>
        <w:rPr>
          <w:rStyle w:val="1Char"/>
          <w:rFonts w:ascii="仿宋_GB2312" w:eastAsia="仿宋_GB2312" w:hAnsi="仿宋_GB2312" w:cs="仿宋_GB2312"/>
          <w:kern w:val="2"/>
          <w:sz w:val="32"/>
          <w:szCs w:val="32"/>
        </w:rPr>
      </w:pPr>
      <w:r>
        <w:rPr>
          <w:rFonts w:ascii="仿宋_GB2312" w:eastAsia="仿宋_GB2312" w:hAnsi="仿宋_GB2312" w:cs="仿宋_GB2312" w:hint="eastAsia"/>
          <w:b/>
          <w:bCs/>
          <w:sz w:val="32"/>
          <w:szCs w:val="32"/>
        </w:rPr>
        <w:t>四、相关措施建议</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逐步建立信访突发事件应急处置机制，深入了解重大、复杂及群体性信访的原因，制定切实有效的突发事件处理方案，积极稳妥地解决问题。</w:t>
      </w: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9971F6">
      <w:pPr>
        <w:spacing w:line="600" w:lineRule="exact"/>
        <w:jc w:val="center"/>
        <w:outlineLvl w:val="0"/>
        <w:rPr>
          <w:rFonts w:ascii="黑体" w:eastAsia="黑体" w:hAnsi="黑体"/>
          <w:color w:val="000000"/>
          <w:sz w:val="44"/>
          <w:szCs w:val="44"/>
        </w:rPr>
      </w:pPr>
    </w:p>
    <w:p w:rsidR="009971F6" w:rsidRDefault="00ED6E5C">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lastRenderedPageBreak/>
        <w:t>2018年</w:t>
      </w:r>
      <w:r>
        <w:rPr>
          <w:rFonts w:ascii="黑体" w:eastAsia="黑体" w:hAnsi="黑体" w:cs="黑体" w:hint="eastAsia"/>
          <w:sz w:val="44"/>
          <w:szCs w:val="44"/>
        </w:rPr>
        <w:t>老干部活动</w:t>
      </w:r>
      <w:r>
        <w:rPr>
          <w:rFonts w:ascii="黑体" w:eastAsia="黑体" w:hAnsi="黑体" w:cs="方正小标宋简体" w:hint="eastAsia"/>
          <w:sz w:val="44"/>
          <w:szCs w:val="44"/>
        </w:rPr>
        <w:t>项目支出</w:t>
      </w:r>
    </w:p>
    <w:p w:rsidR="009971F6" w:rsidRDefault="00ED6E5C">
      <w:pPr>
        <w:spacing w:line="580" w:lineRule="exact"/>
        <w:jc w:val="center"/>
        <w:rPr>
          <w:rFonts w:ascii="黑体" w:eastAsia="黑体" w:hAnsi="黑体" w:cs="方正小标宋简体"/>
          <w:sz w:val="44"/>
          <w:szCs w:val="44"/>
        </w:rPr>
      </w:pPr>
      <w:r>
        <w:rPr>
          <w:rFonts w:ascii="黑体" w:eastAsia="黑体" w:hAnsi="黑体" w:cs="方正小标宋简体" w:hint="eastAsia"/>
          <w:sz w:val="44"/>
          <w:szCs w:val="44"/>
        </w:rPr>
        <w:t>绩效评价报告</w:t>
      </w:r>
    </w:p>
    <w:p w:rsidR="009971F6" w:rsidRDefault="009971F6">
      <w:pPr>
        <w:spacing w:line="580" w:lineRule="exact"/>
        <w:ind w:firstLineChars="200" w:firstLine="640"/>
        <w:rPr>
          <w:rFonts w:ascii="仿宋_GB2312" w:eastAsia="仿宋_GB2312" w:hAnsi="仿宋_GB2312" w:cs="仿宋_GB2312"/>
          <w:sz w:val="32"/>
          <w:szCs w:val="32"/>
        </w:rPr>
      </w:pPr>
    </w:p>
    <w:p w:rsidR="009971F6" w:rsidRDefault="00ED6E5C">
      <w:pPr>
        <w:spacing w:line="580" w:lineRule="exact"/>
        <w:ind w:firstLineChars="200" w:firstLine="643"/>
        <w:rPr>
          <w:rFonts w:ascii="仿宋" w:eastAsia="仿宋" w:hAnsi="仿宋" w:cs="仿宋_GB2312"/>
          <w:sz w:val="32"/>
          <w:szCs w:val="32"/>
        </w:rPr>
      </w:pPr>
      <w:r>
        <w:rPr>
          <w:rFonts w:ascii="仿宋_GB2312" w:eastAsia="仿宋_GB2312" w:hAnsi="仿宋_GB2312" w:cs="仿宋_GB2312" w:hint="eastAsia"/>
          <w:b/>
          <w:bCs/>
          <w:sz w:val="32"/>
          <w:szCs w:val="32"/>
        </w:rPr>
        <w:t>一、评价工作开展及项目情况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项目评价实施方案情况（包括选点、评价指标、评价方法、基础数据表等情况）</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攀枝花市成都干部休养所的离休老干部们都远离原单位，子女大多不在身边。我们就在春节、五一劳动节、国庆、重阳节等重大节日时组织离休老同志活动，并购一些米、油和水果慰问全体老干部，把组织的关心带到每一家；春节前，我们同老干部党支部支委，到家去看望慰问因行动不方便、或有病不能参加活动的老干部，送去组织的关心和节日的祝福。</w:t>
      </w:r>
    </w:p>
    <w:p w:rsidR="009971F6" w:rsidRDefault="00ED6E5C">
      <w:pPr>
        <w:spacing w:line="580"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二、评价结论及绩效分析</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（一）评价结论</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项目绩效评价总体结论（包括项目评价得分表）</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财政预算经费使用执行中，我们按照先有预算，后有支出的原则，严格遵守《会计法》，加强财务管理，建立健全各项规章制度和内部控制制度，充分发挥会计核算和监督职能，做好会计核算基础工作，及时办理财务收支结算，做到信息公开完整、准确、真实。严格执行预算管理，强化预算约束，未列入预算的不得开支，不存在无预算、超预算、超标准、超范围开支经费的情况。</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（二）绩效分析</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1、项目决策</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必要性和可行性分析（包括政策依据和政策完善，政策和需求的吻合程度分析），绩效目标设置情况（包括绩效目标设置的明确性和合理性）</w:t>
      </w:r>
    </w:p>
    <w:p w:rsidR="009971F6" w:rsidRDefault="00ED6E5C">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通过项目实施，保障了组织对攀枝花市级单位离休老干部在蓉生活期间的照顾和关怀。目前，攀枝花市成都干部休养所有离休老干部35人，平均年龄88岁，针对老干部年龄普遍较大这一问题，大家平时除了与老干部的个别交谈、了解情况外，还利用定期参加老干部离退休支部的支委会、碰头会，分析和掌握住所老干部的生活情况与思想动态，随时了解和掌握老干部的需求并沟通意见，相互配合，积极做好对老干部的思想工作。组织老干部外出活动，感受城乡建设的伟大成就和祖国日新月异的变化，节日期间走访慰问离休老同志，让老同志感受到组织的关心和照顾。</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2、项目管理</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资金分配情况（资金分配管理的科学合理性）资，金使用情况（项目、资金管理的科学规范性）</w:t>
      </w:r>
    </w:p>
    <w:p w:rsidR="009971F6" w:rsidRDefault="00ED6E5C">
      <w:pPr>
        <w:spacing w:line="600" w:lineRule="exact"/>
        <w:ind w:firstLineChars="300" w:firstLine="960"/>
        <w:rPr>
          <w:rFonts w:ascii="仿宋_GB2312" w:eastAsia="仿宋_GB2312" w:hAnsi="仿宋_GB2312" w:cs="仿宋_GB2312"/>
          <w:color w:val="000000"/>
          <w:sz w:val="32"/>
          <w:szCs w:val="32"/>
        </w:rPr>
      </w:pPr>
      <w:r>
        <w:rPr>
          <w:rFonts w:ascii="仿宋_GB2312" w:eastAsia="仿宋_GB2312" w:hAnsi="仿宋_GB2312" w:cs="仿宋_GB2312" w:hint="eastAsia"/>
          <w:color w:val="333333"/>
          <w:sz w:val="32"/>
          <w:szCs w:val="32"/>
          <w:shd w:val="clear" w:color="auto" w:fill="FFFFFF"/>
        </w:rPr>
        <w:t>强化资金使用者的绩效意识，强化财政专项资金的绩效管理。</w:t>
      </w:r>
      <w:r>
        <w:rPr>
          <w:rFonts w:ascii="仿宋_GB2312" w:eastAsia="仿宋_GB2312" w:hAnsi="仿宋_GB2312" w:cs="仿宋_GB2312" w:hint="eastAsia"/>
          <w:sz w:val="32"/>
          <w:szCs w:val="32"/>
        </w:rPr>
        <w:t>攀枝花市成都干部休养所老干部活动经费2万元，主要</w:t>
      </w:r>
      <w:r>
        <w:rPr>
          <w:rFonts w:ascii="仿宋_GB2312" w:eastAsia="仿宋_GB2312" w:hAnsi="仿宋_GB2312" w:cs="仿宋_GB2312" w:hint="eastAsia"/>
          <w:color w:val="000000"/>
          <w:sz w:val="32"/>
          <w:szCs w:val="32"/>
        </w:rPr>
        <w:t>用于</w:t>
      </w:r>
      <w:r>
        <w:rPr>
          <w:rFonts w:ascii="仿宋_GB2312" w:eastAsia="仿宋_GB2312" w:hAnsi="仿宋_GB2312" w:cs="仿宋_GB2312" w:hint="eastAsia"/>
          <w:sz w:val="32"/>
          <w:szCs w:val="32"/>
        </w:rPr>
        <w:t>所管理的离休老干部们组织开展健康有益的文娱活动，使其保持积极良好的精神状态和生活态度，幸福地安度晚年的费用支出。</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3、项目绩效</w:t>
      </w:r>
    </w:p>
    <w:p w:rsidR="009971F6" w:rsidRDefault="00ED6E5C">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项目目标完成情况（数量、质量、时效、成本），项目效益情况（经济效益、项目社会效益、生态效益、可持续效益、公平性、资金使用效率、受益群体满意度等）。</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老干部活动经费项目绩效目标完成情况：项目全年预算数2万元，执行数为2万元，完成预算的100%。</w:t>
      </w: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021"/>
        <w:gridCol w:w="30"/>
        <w:gridCol w:w="1341"/>
        <w:gridCol w:w="2392"/>
        <w:gridCol w:w="2394"/>
        <w:gridCol w:w="2392"/>
      </w:tblGrid>
      <w:tr w:rsidR="009971F6">
        <w:trPr>
          <w:trHeight w:val="1034"/>
        </w:trPr>
        <w:tc>
          <w:tcPr>
            <w:tcW w:w="9960" w:type="dxa"/>
            <w:gridSpan w:val="7"/>
            <w:tcMar>
              <w:top w:w="15" w:type="dxa"/>
              <w:left w:w="15" w:type="dxa"/>
              <w:bottom w:w="0" w:type="dxa"/>
              <w:right w:w="15" w:type="dxa"/>
            </w:tcMar>
            <w:vAlign w:val="center"/>
          </w:tcPr>
          <w:p w:rsidR="009971F6" w:rsidRDefault="00ED6E5C">
            <w:pPr>
              <w:pStyle w:val="aa"/>
              <w:widowControl/>
              <w:ind w:leftChars="1310" w:left="4173" w:hangingChars="395" w:hanging="1422"/>
              <w:textAlignment w:val="center"/>
              <w:rPr>
                <w:rFonts w:ascii="宋体" w:hAnsi="宋体" w:cs="宋体"/>
                <w:color w:val="000000"/>
                <w:sz w:val="36"/>
                <w:szCs w:val="36"/>
              </w:rPr>
            </w:pPr>
            <w:r>
              <w:rPr>
                <w:rFonts w:ascii="黑体" w:eastAsia="黑体" w:hAnsi="黑体" w:cs="宋体" w:hint="eastAsia"/>
                <w:bCs/>
                <w:color w:val="000000"/>
                <w:kern w:val="0"/>
                <w:sz w:val="36"/>
                <w:szCs w:val="36"/>
                <w:lang w:bidi="ar"/>
              </w:rPr>
              <w:t>项目支出绩效目标完成情况表</w:t>
            </w:r>
            <w:r>
              <w:rPr>
                <w:rFonts w:ascii="宋体" w:hAnsi="宋体" w:cs="宋体" w:hint="eastAsia"/>
                <w:b/>
                <w:bCs/>
                <w:color w:val="000000"/>
                <w:kern w:val="0"/>
                <w:sz w:val="36"/>
                <w:szCs w:val="36"/>
                <w:lang w:bidi="ar"/>
              </w:rPr>
              <w:br/>
            </w:r>
            <w:r>
              <w:rPr>
                <w:rFonts w:ascii="宋体" w:hAnsi="宋体" w:cs="宋体" w:hint="eastAsia"/>
                <w:color w:val="000000"/>
                <w:kern w:val="0"/>
                <w:sz w:val="36"/>
                <w:szCs w:val="36"/>
                <w:lang w:bidi="ar"/>
              </w:rPr>
              <w:t>(</w:t>
            </w:r>
            <w:r>
              <w:rPr>
                <w:rFonts w:ascii="仿宋_GB2312" w:eastAsia="仿宋_GB2312" w:hAnsi="仿宋_GB2312" w:cs="仿宋_GB2312" w:hint="eastAsia"/>
                <w:color w:val="000000"/>
                <w:kern w:val="0"/>
                <w:sz w:val="32"/>
                <w:szCs w:val="32"/>
                <w:lang w:bidi="ar"/>
              </w:rPr>
              <w:t>2018 年度</w:t>
            </w:r>
            <w:r>
              <w:rPr>
                <w:rFonts w:ascii="宋体" w:hAnsi="宋体" w:cs="宋体" w:hint="eastAsia"/>
                <w:color w:val="000000"/>
                <w:kern w:val="0"/>
                <w:sz w:val="36"/>
                <w:szCs w:val="36"/>
                <w:lang w:bidi="ar"/>
              </w:rPr>
              <w:t>)</w:t>
            </w:r>
          </w:p>
        </w:tc>
      </w:tr>
      <w:tr w:rsidR="009971F6">
        <w:trPr>
          <w:trHeight w:val="437"/>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老干部活动经费</w:t>
            </w:r>
          </w:p>
        </w:tc>
      </w:tr>
      <w:tr w:rsidR="009971F6">
        <w:trPr>
          <w:trHeight w:val="422"/>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攀枝花市成都干部休养所</w:t>
            </w:r>
          </w:p>
        </w:tc>
      </w:tr>
      <w:tr w:rsidR="009971F6">
        <w:trPr>
          <w:trHeight w:val="43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预算执行情况(万元)</w:t>
            </w: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预算数: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w:t>
            </w:r>
          </w:p>
        </w:tc>
      </w:tr>
      <w:tr w:rsidR="009971F6">
        <w:trPr>
          <w:trHeight w:val="37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2</w:t>
            </w:r>
          </w:p>
        </w:tc>
      </w:tr>
      <w:tr w:rsidR="009971F6">
        <w:trPr>
          <w:trHeight w:val="177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jc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t>0</w:t>
            </w:r>
          </w:p>
        </w:tc>
      </w:tr>
      <w:tr w:rsidR="009971F6">
        <w:trPr>
          <w:trHeight w:val="437"/>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实际完成目标</w:t>
            </w:r>
          </w:p>
        </w:tc>
      </w:tr>
      <w:tr w:rsidR="009971F6">
        <w:trPr>
          <w:trHeight w:val="442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snapToGrid w:val="0"/>
              <w:spacing w:line="480" w:lineRule="exact"/>
              <w:rPr>
                <w:rFonts w:ascii="仿宋_GB2312" w:eastAsia="仿宋_GB2312" w:hAnsi="仿宋_GB2312" w:cs="仿宋_GB2312"/>
                <w:sz w:val="24"/>
              </w:rPr>
            </w:pPr>
            <w:r>
              <w:rPr>
                <w:rFonts w:ascii="仿宋_GB2312" w:eastAsia="仿宋_GB2312" w:hAnsi="仿宋_GB2312" w:cs="仿宋_GB2312" w:hint="eastAsia"/>
                <w:sz w:val="24"/>
              </w:rPr>
              <w:t>攀枝花市成都干部休养所的老干部远离原单位，子女大多不在身边。我们就在春节、五一劳动节、国庆、重阳节等重大节日时组织离休老同志活动，并购一些米、油和水果慰问全体老干部，把组织的关心带到每一家；春节前，我们同老干部党支部支委，到家去看望慰问因行动不方便、或有病不能参加活动的老干部，送去组织的关心和节日的祝福。</w:t>
            </w:r>
          </w:p>
          <w:p w:rsidR="009971F6" w:rsidRDefault="009971F6">
            <w:pPr>
              <w:widowControl/>
              <w:jc w:val="center"/>
              <w:textAlignment w:val="center"/>
              <w:rPr>
                <w:rFonts w:ascii="仿宋_GB2312" w:eastAsia="仿宋_GB2312" w:hAnsi="仿宋_GB2312" w:cs="仿宋_GB2312"/>
                <w:color w:val="000000"/>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snapToGrid w:val="0"/>
              <w:spacing w:line="480" w:lineRule="exact"/>
              <w:rPr>
                <w:rFonts w:ascii="仿宋_GB2312" w:eastAsia="仿宋_GB2312" w:hAnsi="仿宋_GB2312" w:cs="仿宋_GB2312"/>
                <w:sz w:val="24"/>
              </w:rPr>
            </w:pPr>
            <w:r>
              <w:rPr>
                <w:rFonts w:ascii="仿宋_GB2312" w:eastAsia="仿宋_GB2312" w:hAnsi="仿宋_GB2312" w:cs="仿宋_GB2312" w:hint="eastAsia"/>
                <w:sz w:val="24"/>
              </w:rPr>
              <w:t>攀枝花市成都干部休养所的老干部远离原单位，子女大多不在身边。我们就在春节、五一劳动节、国庆、重阳节等重大节日时组织离休老同志活动，并购一些米、油和水果慰问全体老干部，把组织的关心带到每一家；春节前，我们同老干部党支部支委，到家去看望慰问因行动不方便、或有病不能参加活动的老干部，送去组织的关心和节日的祝福。</w:t>
            </w:r>
          </w:p>
          <w:p w:rsidR="009971F6" w:rsidRDefault="009971F6">
            <w:pPr>
              <w:widowControl/>
              <w:jc w:val="center"/>
              <w:textAlignment w:val="center"/>
              <w:rPr>
                <w:rFonts w:ascii="仿宋_GB2312" w:eastAsia="仿宋_GB2312" w:hAnsi="仿宋_GB2312" w:cs="仿宋_GB2312"/>
                <w:color w:val="000000"/>
                <w:sz w:val="24"/>
              </w:rPr>
            </w:pPr>
          </w:p>
        </w:tc>
      </w:tr>
      <w:tr w:rsidR="009971F6">
        <w:trPr>
          <w:trHeight w:val="108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24"/>
              </w:rPr>
              <w:lastRenderedPageBreak/>
              <w:t>绩效指标完成情况</w:t>
            </w:r>
          </w:p>
        </w:tc>
        <w:tc>
          <w:tcPr>
            <w:tcW w:w="105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一级指标</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kern w:val="0"/>
                <w:sz w:val="24"/>
                <w:lang w:bidi="ar"/>
              </w:rPr>
              <w:t>实际完成指标值(包含数字及文字描述)</w:t>
            </w:r>
          </w:p>
        </w:tc>
      </w:tr>
      <w:tr w:rsidR="009971F6">
        <w:trPr>
          <w:trHeight w:val="1353"/>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项目完成指标</w:t>
            </w: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组织老干部在干休所活动室集体学习和座谈、外出活动，感受城乡建设的伟大成就和祖国日新月异的变化。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18"/>
                <w:szCs w:val="18"/>
              </w:rPr>
            </w:pPr>
            <w:r>
              <w:rPr>
                <w:rFonts w:ascii="仿宋_GB2312" w:eastAsia="仿宋_GB2312" w:hAnsi="仿宋_GB2312" w:cs="仿宋_GB2312" w:hint="eastAsia"/>
                <w:color w:val="000000"/>
                <w:sz w:val="18"/>
                <w:szCs w:val="18"/>
              </w:rPr>
              <w:t>组织老干部在干休所活动室集体学习和座谈、外出活动，感受城乡建设的伟大成就和祖国日新月异的变化。</w:t>
            </w:r>
          </w:p>
        </w:tc>
      </w:tr>
      <w:tr w:rsidR="009971F6">
        <w:trPr>
          <w:trHeight w:val="115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18"/>
                <w:szCs w:val="18"/>
              </w:rPr>
              <w:t>节日期间慰问走访离休老同志，送去组织的关心和节日的祝福。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 w:val="24"/>
              </w:rPr>
            </w:pPr>
            <w:r>
              <w:rPr>
                <w:rFonts w:ascii="仿宋_GB2312" w:eastAsia="仿宋_GB2312" w:hAnsi="仿宋_GB2312" w:cs="仿宋_GB2312" w:hint="eastAsia"/>
                <w:color w:val="000000"/>
                <w:sz w:val="18"/>
                <w:szCs w:val="18"/>
              </w:rPr>
              <w:t>节日期间慰问走访离休老同志，送去组织的关心和节日的祝福。</w:t>
            </w:r>
          </w:p>
        </w:tc>
      </w:tr>
      <w:tr w:rsidR="009971F6">
        <w:trPr>
          <w:trHeight w:val="907"/>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21" w:type="dxa"/>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7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 xml:space="preserve">时效指标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全年</w:t>
            </w:r>
          </w:p>
        </w:tc>
      </w:tr>
      <w:tr w:rsidR="009971F6">
        <w:trPr>
          <w:trHeight w:val="88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项目完成指标</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2万元</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2"/>
            <w:vMerge w:val="restart"/>
            <w:tcBorders>
              <w:top w:val="single" w:sz="4" w:space="0" w:color="000000"/>
              <w:left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效益指标</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经济效益指标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组织开展健康有益的文娱活动，让老干部们始终保持积极健康的精神状态和生活态度，安度晚年。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组织开展健康有益的文娱活动，让老干部们始终保持积极健康的精神状态和生活态度，安度晚年。</w:t>
            </w:r>
          </w:p>
        </w:tc>
      </w:tr>
      <w:tr w:rsidR="009971F6">
        <w:trPr>
          <w:trHeight w:val="96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2"/>
            <w:vMerge/>
            <w:tcBorders>
              <w:left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老有所依、老有所养，维护社会稳定。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老有所依、老有所养，维护社会稳定。</w:t>
            </w:r>
          </w:p>
        </w:tc>
      </w:tr>
      <w:tr w:rsidR="009971F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2"/>
            <w:vMerge/>
            <w:tcBorders>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9971F6">
            <w:pPr>
              <w:widowControl/>
              <w:jc w:val="center"/>
              <w:textAlignment w:val="center"/>
              <w:rPr>
                <w:rFonts w:ascii="仿宋_GB2312" w:eastAsia="仿宋_GB2312" w:hAnsi="仿宋_GB2312" w:cs="仿宋_GB2312"/>
                <w:color w:val="000000"/>
                <w:szCs w:val="21"/>
              </w:rPr>
            </w:pP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可持续影响指标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rPr>
              <w:t>让尊老、敬老、爱老这一传统美德在干休所充分体现，以儿女之心，晚辈之情作好老干部的服务工作。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textAlignment w:val="center"/>
              <w:rPr>
                <w:rFonts w:ascii="仿宋_GB2312" w:eastAsia="仿宋_GB2312" w:hAnsi="仿宋_GB2312" w:cs="仿宋_GB2312"/>
                <w:color w:val="000000"/>
                <w:szCs w:val="21"/>
              </w:rPr>
            </w:pPr>
            <w:r>
              <w:rPr>
                <w:rFonts w:ascii="仿宋_GB2312" w:eastAsia="仿宋_GB2312" w:hAnsi="仿宋_GB2312" w:cs="仿宋_GB2312" w:hint="eastAsia"/>
              </w:rPr>
              <w:t>让尊老、敬老、爱老这一传统美德在干休所充分体现，以儿女之心，晚辈之情作好老干部的服务工作。</w:t>
            </w:r>
          </w:p>
        </w:tc>
      </w:tr>
      <w:tr w:rsidR="009971F6">
        <w:trPr>
          <w:trHeight w:val="1050"/>
        </w:trPr>
        <w:tc>
          <w:tcPr>
            <w:tcW w:w="390" w:type="dxa"/>
            <w:vMerge/>
            <w:tcBorders>
              <w:top w:val="single" w:sz="4" w:space="0" w:color="000000"/>
              <w:left w:val="single" w:sz="4" w:space="0" w:color="000000"/>
              <w:bottom w:val="single" w:sz="4" w:space="0" w:color="000000"/>
              <w:right w:val="single" w:sz="4" w:space="0" w:color="000000"/>
            </w:tcBorders>
            <w:vAlign w:val="center"/>
          </w:tcPr>
          <w:p w:rsidR="009971F6" w:rsidRDefault="009971F6">
            <w:pPr>
              <w:widowControl/>
              <w:jc w:val="left"/>
              <w:rPr>
                <w:rFonts w:ascii="仿宋_GB2312" w:eastAsia="仿宋_GB2312" w:hAnsi="仿宋_GB2312" w:cs="仿宋_GB2312"/>
                <w:color w:val="000000"/>
                <w:sz w:val="24"/>
              </w:rPr>
            </w:pPr>
          </w:p>
        </w:tc>
        <w:tc>
          <w:tcPr>
            <w:tcW w:w="1051"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满意度指标</w:t>
            </w:r>
          </w:p>
        </w:tc>
        <w:tc>
          <w:tcPr>
            <w:tcW w:w="1341"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服务对象满意度指标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szCs w:val="21"/>
              </w:rPr>
              <w:t>老干部活动经费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立足本职，尽力尽责，得到老同志的一致好评。</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971F6" w:rsidRDefault="00ED6E5C">
            <w:pPr>
              <w:widowControl/>
              <w:jc w:val="left"/>
              <w:textAlignment w:val="center"/>
              <w:rPr>
                <w:rFonts w:ascii="仿宋_GB2312" w:eastAsia="仿宋_GB2312" w:hAnsi="仿宋_GB2312" w:cs="仿宋_GB2312"/>
                <w:color w:val="000000"/>
                <w:szCs w:val="21"/>
              </w:rPr>
            </w:pPr>
            <w:r>
              <w:rPr>
                <w:rFonts w:ascii="仿宋_GB2312" w:eastAsia="仿宋_GB2312" w:hAnsi="仿宋_GB2312" w:cs="仿宋_GB2312" w:hint="eastAsia"/>
              </w:rPr>
              <w:t>立足本职，尽力尽责，得到老同志的一致好评。</w:t>
            </w:r>
          </w:p>
        </w:tc>
      </w:tr>
    </w:tbl>
    <w:p w:rsidR="009971F6" w:rsidRDefault="00ED6E5C">
      <w:pPr>
        <w:spacing w:line="580" w:lineRule="exact"/>
        <w:ind w:left="640"/>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三、存在主要问题</w:t>
      </w:r>
    </w:p>
    <w:p w:rsidR="009971F6" w:rsidRDefault="00ED6E5C">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离休老干部们远离原单位，子女大多不在身边，对单位的管理服务工作就要求更高。</w:t>
      </w:r>
    </w:p>
    <w:p w:rsidR="009971F6" w:rsidRDefault="00ED6E5C">
      <w:pPr>
        <w:spacing w:line="580" w:lineRule="exact"/>
        <w:ind w:firstLineChars="200" w:firstLine="643"/>
        <w:rPr>
          <w:rStyle w:val="1Char"/>
          <w:rFonts w:ascii="仿宋_GB2312" w:eastAsia="仿宋_GB2312" w:hAnsi="仿宋_GB2312" w:cs="仿宋_GB2312"/>
          <w:kern w:val="2"/>
          <w:sz w:val="32"/>
          <w:szCs w:val="32"/>
        </w:rPr>
      </w:pPr>
      <w:r>
        <w:rPr>
          <w:rFonts w:ascii="仿宋_GB2312" w:eastAsia="仿宋_GB2312" w:hAnsi="仿宋_GB2312" w:cs="仿宋_GB2312" w:hint="eastAsia"/>
          <w:b/>
          <w:bCs/>
          <w:sz w:val="32"/>
          <w:szCs w:val="32"/>
        </w:rPr>
        <w:t>四、相关措施建议</w:t>
      </w:r>
    </w:p>
    <w:p w:rsidR="009971F6" w:rsidRDefault="00ED6E5C">
      <w:pPr>
        <w:spacing w:line="600" w:lineRule="exact"/>
        <w:ind w:firstLineChars="200" w:firstLine="640"/>
        <w:jc w:val="left"/>
        <w:outlineLvl w:val="0"/>
        <w:rPr>
          <w:rFonts w:ascii="黑体" w:eastAsia="黑体" w:hAnsi="黑体"/>
          <w:color w:val="000000"/>
          <w:sz w:val="44"/>
          <w:szCs w:val="44"/>
        </w:rPr>
      </w:pPr>
      <w:r>
        <w:rPr>
          <w:rFonts w:ascii="仿宋_GB2312" w:eastAsia="仿宋_GB2312" w:hAnsi="仿宋_GB2312" w:cs="仿宋_GB2312" w:hint="eastAsia"/>
          <w:sz w:val="32"/>
          <w:szCs w:val="32"/>
        </w:rPr>
        <w:t>我们同老干部党支部支委，经常到家去看望慰问各位老同志，送去组织的关心和节日的祝福。</w:t>
      </w:r>
    </w:p>
    <w:p w:rsidR="009971F6" w:rsidRDefault="00ED6E5C">
      <w:pPr>
        <w:spacing w:line="600" w:lineRule="exact"/>
        <w:ind w:leftChars="150" w:left="315"/>
        <w:jc w:val="center"/>
        <w:outlineLvl w:val="0"/>
        <w:rPr>
          <w:rStyle w:val="1Char"/>
          <w:rFonts w:ascii="黑体" w:eastAsia="黑体" w:hAnsi="黑体"/>
          <w:b w:val="0"/>
        </w:rPr>
      </w:pPr>
      <w:r>
        <w:rPr>
          <w:rStyle w:val="1Char"/>
          <w:rFonts w:ascii="黑体" w:eastAsia="黑体" w:hAnsi="黑体" w:hint="eastAsia"/>
          <w:b w:val="0"/>
        </w:rPr>
        <w:lastRenderedPageBreak/>
        <w:t>第五部分 附表</w:t>
      </w:r>
      <w:bookmarkStart w:id="68" w:name="_Toc15396619"/>
    </w:p>
    <w:p w:rsidR="009971F6" w:rsidRDefault="009971F6">
      <w:pPr>
        <w:spacing w:line="600" w:lineRule="exact"/>
        <w:jc w:val="left"/>
        <w:outlineLvl w:val="0"/>
        <w:rPr>
          <w:rFonts w:ascii="仿宋_GB2312" w:eastAsia="仿宋_GB2312" w:hAnsi="仿宋_GB2312" w:cs="仿宋_GB2312"/>
          <w:color w:val="000000"/>
          <w:sz w:val="32"/>
          <w:szCs w:val="32"/>
        </w:rPr>
      </w:pPr>
    </w:p>
    <w:p w:rsidR="009971F6" w:rsidRDefault="00ED6E5C">
      <w:pPr>
        <w:spacing w:line="600" w:lineRule="exact"/>
        <w:jc w:val="left"/>
        <w:outlineLvl w:val="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一、收</w:t>
      </w:r>
      <w:r>
        <w:rPr>
          <w:rStyle w:val="2Char"/>
          <w:rFonts w:ascii="仿宋_GB2312" w:eastAsia="仿宋_GB2312" w:hAnsi="仿宋_GB2312" w:cs="仿宋_GB2312" w:hint="eastAsia"/>
          <w:b w:val="0"/>
          <w:bCs w:val="0"/>
        </w:rPr>
        <w:t>入支出决算总表</w:t>
      </w:r>
      <w:bookmarkEnd w:id="68"/>
    </w:p>
    <w:p w:rsidR="009971F6" w:rsidRDefault="00ED6E5C">
      <w:pPr>
        <w:pStyle w:val="2"/>
        <w:spacing w:line="600" w:lineRule="exact"/>
        <w:rPr>
          <w:rFonts w:ascii="仿宋_GB2312" w:eastAsia="仿宋_GB2312" w:hAnsi="仿宋_GB2312" w:cs="仿宋_GB2312"/>
          <w:color w:val="000000"/>
        </w:rPr>
      </w:pPr>
      <w:bookmarkStart w:id="69" w:name="_Toc15396620"/>
      <w:r>
        <w:rPr>
          <w:rFonts w:ascii="仿宋_GB2312" w:eastAsia="仿宋_GB2312" w:hAnsi="仿宋_GB2312" w:cs="仿宋_GB2312" w:hint="eastAsia"/>
          <w:b w:val="0"/>
          <w:color w:val="000000"/>
        </w:rPr>
        <w:t>二、收</w:t>
      </w:r>
      <w:r>
        <w:rPr>
          <w:rStyle w:val="2Char"/>
          <w:rFonts w:ascii="仿宋_GB2312" w:eastAsia="仿宋_GB2312" w:hAnsi="仿宋_GB2312" w:cs="仿宋_GB2312" w:hint="eastAsia"/>
        </w:rPr>
        <w:t>入总表</w:t>
      </w:r>
      <w:bookmarkEnd w:id="69"/>
    </w:p>
    <w:p w:rsidR="009971F6" w:rsidRDefault="00ED6E5C">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三、</w:t>
      </w:r>
      <w:r>
        <w:rPr>
          <w:rFonts w:ascii="仿宋_GB2312" w:eastAsia="仿宋_GB2312" w:hAnsi="仿宋_GB2312" w:cs="仿宋_GB2312" w:hint="eastAsia"/>
          <w:b w:val="0"/>
          <w:color w:val="000000"/>
        </w:rPr>
        <w:t>支</w:t>
      </w:r>
      <w:r>
        <w:rPr>
          <w:rStyle w:val="2Char"/>
          <w:rFonts w:ascii="仿宋_GB2312" w:eastAsia="仿宋_GB2312" w:hAnsi="仿宋_GB2312" w:cs="仿宋_GB2312" w:hint="eastAsia"/>
        </w:rPr>
        <w:t>出总表</w:t>
      </w:r>
    </w:p>
    <w:p w:rsidR="009971F6" w:rsidRDefault="00ED6E5C">
      <w:pPr>
        <w:pStyle w:val="2"/>
        <w:spacing w:line="600" w:lineRule="exact"/>
        <w:rPr>
          <w:rFonts w:ascii="仿宋_GB2312" w:eastAsia="仿宋_GB2312" w:hAnsi="仿宋_GB2312" w:cs="仿宋_GB2312"/>
          <w:b w:val="0"/>
          <w:color w:val="000000"/>
        </w:rPr>
      </w:pPr>
      <w:r>
        <w:rPr>
          <w:rStyle w:val="2Char"/>
          <w:rFonts w:ascii="仿宋_GB2312" w:eastAsia="仿宋_GB2312" w:hAnsi="仿宋_GB2312" w:cs="仿宋_GB2312" w:hint="eastAsia"/>
        </w:rPr>
        <w:t>四、</w:t>
      </w:r>
      <w:r>
        <w:rPr>
          <w:rFonts w:ascii="仿宋_GB2312" w:eastAsia="仿宋_GB2312" w:hAnsi="仿宋_GB2312" w:cs="仿宋_GB2312" w:hint="eastAsia"/>
          <w:b w:val="0"/>
          <w:color w:val="000000"/>
        </w:rPr>
        <w:t>财</w:t>
      </w:r>
      <w:r>
        <w:rPr>
          <w:rStyle w:val="2Char"/>
          <w:rFonts w:ascii="仿宋_GB2312" w:eastAsia="仿宋_GB2312" w:hAnsi="仿宋_GB2312" w:cs="仿宋_GB2312" w:hint="eastAsia"/>
        </w:rPr>
        <w:t>政拨款收入支出决算总表</w:t>
      </w:r>
    </w:p>
    <w:p w:rsidR="009971F6" w:rsidRDefault="00ED6E5C">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五、</w:t>
      </w:r>
      <w:r>
        <w:rPr>
          <w:rFonts w:ascii="仿宋_GB2312" w:eastAsia="仿宋_GB2312" w:hAnsi="仿宋_GB2312" w:cs="仿宋_GB2312" w:hint="eastAsia"/>
          <w:b w:val="0"/>
          <w:color w:val="000000"/>
        </w:rPr>
        <w:t>财</w:t>
      </w:r>
      <w:r>
        <w:rPr>
          <w:rStyle w:val="2Char"/>
          <w:rFonts w:ascii="仿宋_GB2312" w:eastAsia="仿宋_GB2312" w:hAnsi="仿宋_GB2312" w:cs="仿宋_GB2312" w:hint="eastAsia"/>
        </w:rPr>
        <w:t>政拨款支出决算明细表（政府经济分类科目）</w:t>
      </w:r>
    </w:p>
    <w:p w:rsidR="009971F6" w:rsidRDefault="00ED6E5C">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六、</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般公共预算财政拨款支出决算表</w:t>
      </w:r>
    </w:p>
    <w:p w:rsidR="009971F6" w:rsidRDefault="00ED6E5C">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七、</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般公共预算财政拨款支出决算明细表</w:t>
      </w:r>
    </w:p>
    <w:p w:rsidR="009971F6" w:rsidRDefault="00ED6E5C">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八、</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般公共预算财政拨款基本支出决算表</w:t>
      </w:r>
    </w:p>
    <w:p w:rsidR="009971F6" w:rsidRDefault="00ED6E5C">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九、</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般公共预算财政拨款项目支出决算表</w:t>
      </w:r>
    </w:p>
    <w:p w:rsidR="009971F6" w:rsidRDefault="00ED6E5C">
      <w:pPr>
        <w:pStyle w:val="2"/>
        <w:spacing w:line="600" w:lineRule="exact"/>
        <w:rPr>
          <w:rFonts w:ascii="仿宋_GB2312" w:eastAsia="仿宋_GB2312" w:hAnsi="仿宋_GB2312" w:cs="仿宋_GB2312"/>
          <w:color w:val="000000"/>
        </w:rPr>
      </w:pPr>
      <w:r>
        <w:rPr>
          <w:rStyle w:val="2Char"/>
          <w:rFonts w:ascii="仿宋_GB2312" w:eastAsia="仿宋_GB2312" w:hAnsi="仿宋_GB2312" w:cs="仿宋_GB2312" w:hint="eastAsia"/>
        </w:rPr>
        <w:t>十、</w:t>
      </w:r>
      <w:r>
        <w:rPr>
          <w:rFonts w:ascii="仿宋_GB2312" w:eastAsia="仿宋_GB2312" w:hAnsi="仿宋_GB2312" w:cs="仿宋_GB2312" w:hint="eastAsia"/>
          <w:b w:val="0"/>
          <w:color w:val="000000"/>
        </w:rPr>
        <w:t>一</w:t>
      </w:r>
      <w:r>
        <w:rPr>
          <w:rStyle w:val="2Char"/>
          <w:rFonts w:ascii="仿宋_GB2312" w:eastAsia="仿宋_GB2312" w:hAnsi="仿宋_GB2312" w:cs="仿宋_GB2312" w:hint="eastAsia"/>
        </w:rPr>
        <w:t>般公共预算财政拨款“三公”经费支出决算表</w:t>
      </w:r>
    </w:p>
    <w:p w:rsidR="009971F6" w:rsidRDefault="00ED6E5C">
      <w:pPr>
        <w:pStyle w:val="2"/>
        <w:rPr>
          <w:rFonts w:ascii="仿宋_GB2312" w:eastAsia="仿宋_GB2312" w:hAnsi="仿宋_GB2312" w:cs="仿宋_GB2312"/>
          <w:color w:val="000000"/>
        </w:rPr>
      </w:pPr>
      <w:r>
        <w:rPr>
          <w:rStyle w:val="2Char"/>
          <w:rFonts w:ascii="仿宋_GB2312" w:eastAsia="仿宋_GB2312" w:hAnsi="仿宋_GB2312" w:cs="仿宋_GB2312" w:hint="eastAsia"/>
        </w:rPr>
        <w:t>十一、</w:t>
      </w:r>
      <w:r>
        <w:rPr>
          <w:rFonts w:ascii="仿宋_GB2312" w:eastAsia="仿宋_GB2312" w:hAnsi="仿宋_GB2312" w:cs="仿宋_GB2312" w:hint="eastAsia"/>
          <w:b w:val="0"/>
          <w:color w:val="000000"/>
        </w:rPr>
        <w:t>政</w:t>
      </w:r>
      <w:r>
        <w:rPr>
          <w:rStyle w:val="2Char"/>
          <w:rFonts w:ascii="仿宋_GB2312" w:eastAsia="仿宋_GB2312" w:hAnsi="仿宋_GB2312" w:cs="仿宋_GB2312" w:hint="eastAsia"/>
        </w:rPr>
        <w:t>府性基金预算财政拨款收入支出决算表（此表无数据）</w:t>
      </w:r>
    </w:p>
    <w:p w:rsidR="009971F6" w:rsidRDefault="00ED6E5C">
      <w:pPr>
        <w:pStyle w:val="2"/>
        <w:rPr>
          <w:rFonts w:ascii="仿宋_GB2312" w:eastAsia="仿宋_GB2312" w:hAnsi="仿宋_GB2312" w:cs="仿宋_GB2312"/>
          <w:color w:val="000000"/>
        </w:rPr>
      </w:pPr>
      <w:r>
        <w:rPr>
          <w:rStyle w:val="2Char"/>
          <w:rFonts w:ascii="仿宋_GB2312" w:eastAsia="仿宋_GB2312" w:hAnsi="仿宋_GB2312" w:cs="仿宋_GB2312" w:hint="eastAsia"/>
        </w:rPr>
        <w:t>十二、</w:t>
      </w:r>
      <w:r>
        <w:rPr>
          <w:rFonts w:ascii="仿宋_GB2312" w:eastAsia="仿宋_GB2312" w:hAnsi="仿宋_GB2312" w:cs="仿宋_GB2312" w:hint="eastAsia"/>
          <w:b w:val="0"/>
          <w:color w:val="000000"/>
        </w:rPr>
        <w:t>政</w:t>
      </w:r>
      <w:r>
        <w:rPr>
          <w:rStyle w:val="2Char"/>
          <w:rFonts w:ascii="仿宋_GB2312" w:eastAsia="仿宋_GB2312" w:hAnsi="仿宋_GB2312" w:cs="仿宋_GB2312" w:hint="eastAsia"/>
        </w:rPr>
        <w:t>府性基金预算财政拨款“三公”经费支出决算表（此表无数据）</w:t>
      </w:r>
    </w:p>
    <w:p w:rsidR="009971F6" w:rsidRDefault="00ED6E5C">
      <w:pPr>
        <w:pStyle w:val="2"/>
        <w:rPr>
          <w:rStyle w:val="2Char"/>
          <w:rFonts w:ascii="仿宋_GB2312" w:eastAsia="仿宋_GB2312" w:hAnsi="仿宋_GB2312" w:cs="仿宋_GB2312"/>
        </w:rPr>
      </w:pPr>
      <w:r>
        <w:rPr>
          <w:rStyle w:val="2Char"/>
          <w:rFonts w:ascii="仿宋_GB2312" w:eastAsia="仿宋_GB2312" w:hAnsi="仿宋_GB2312" w:cs="仿宋_GB2312" w:hint="eastAsia"/>
        </w:rPr>
        <w:t>十三、</w:t>
      </w:r>
      <w:r>
        <w:rPr>
          <w:rFonts w:ascii="仿宋_GB2312" w:eastAsia="仿宋_GB2312" w:hAnsi="仿宋_GB2312" w:cs="仿宋_GB2312" w:hint="eastAsia"/>
          <w:b w:val="0"/>
          <w:color w:val="000000"/>
        </w:rPr>
        <w:t>国</w:t>
      </w:r>
      <w:r>
        <w:rPr>
          <w:rStyle w:val="2Char"/>
          <w:rFonts w:ascii="仿宋_GB2312" w:eastAsia="仿宋_GB2312" w:hAnsi="仿宋_GB2312" w:cs="仿宋_GB2312" w:hint="eastAsia"/>
        </w:rPr>
        <w:t>有资本经营预算支出决算表（此表无数据）</w:t>
      </w:r>
      <w:bookmarkEnd w:id="62"/>
      <w:bookmarkEnd w:id="67"/>
    </w:p>
    <w:sectPr w:rsidR="009971F6">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640E" w:rsidRDefault="00FE640E">
      <w:r>
        <w:separator/>
      </w:r>
    </w:p>
  </w:endnote>
  <w:endnote w:type="continuationSeparator" w:id="0">
    <w:p w:rsidR="00FE640E" w:rsidRDefault="00FE6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9971F6" w:rsidRDefault="00ED6E5C">
        <w:pPr>
          <w:pStyle w:val="a5"/>
          <w:jc w:val="center"/>
        </w:pPr>
        <w:r>
          <w:fldChar w:fldCharType="begin"/>
        </w:r>
        <w:r>
          <w:instrText>PAGE   \* MERGEFORMAT</w:instrText>
        </w:r>
        <w:r>
          <w:fldChar w:fldCharType="separate"/>
        </w:r>
        <w:r w:rsidR="0001209F" w:rsidRPr="0001209F">
          <w:rPr>
            <w:noProof/>
            <w:lang w:val="zh-CN"/>
          </w:rPr>
          <w:t>5</w:t>
        </w:r>
        <w:r>
          <w:fldChar w:fldCharType="end"/>
        </w:r>
      </w:p>
    </w:sdtContent>
  </w:sdt>
  <w:p w:rsidR="009971F6" w:rsidRDefault="009971F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640E" w:rsidRDefault="00FE640E">
      <w:r>
        <w:separator/>
      </w:r>
    </w:p>
  </w:footnote>
  <w:footnote w:type="continuationSeparator" w:id="0">
    <w:p w:rsidR="00FE640E" w:rsidRDefault="00FE64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71F6" w:rsidRDefault="009971F6">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E2FA047D"/>
    <w:multiLevelType w:val="singleLevel"/>
    <w:tmpl w:val="E2FA047D"/>
    <w:lvl w:ilvl="0">
      <w:start w:val="3"/>
      <w:numFmt w:val="chineseCounting"/>
      <w:suff w:val="space"/>
      <w:lvlText w:val="第%1部分"/>
      <w:lvlJc w:val="left"/>
      <w:rPr>
        <w:rFonts w:hint="eastAsia"/>
      </w:rPr>
    </w:lvl>
  </w:abstractNum>
  <w:abstractNum w:abstractNumId="1">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1209F"/>
    <w:rsid w:val="000222C6"/>
    <w:rsid w:val="0002549F"/>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14E9B"/>
    <w:rsid w:val="0014729F"/>
    <w:rsid w:val="00157BAB"/>
    <w:rsid w:val="001654D1"/>
    <w:rsid w:val="0018106D"/>
    <w:rsid w:val="001877A7"/>
    <w:rsid w:val="00191536"/>
    <w:rsid w:val="00196687"/>
    <w:rsid w:val="001C0962"/>
    <w:rsid w:val="001D7531"/>
    <w:rsid w:val="001E737D"/>
    <w:rsid w:val="001F0592"/>
    <w:rsid w:val="001F7506"/>
    <w:rsid w:val="002006CD"/>
    <w:rsid w:val="00202B36"/>
    <w:rsid w:val="00204B7A"/>
    <w:rsid w:val="0021101A"/>
    <w:rsid w:val="00220536"/>
    <w:rsid w:val="00235629"/>
    <w:rsid w:val="00260C38"/>
    <w:rsid w:val="002616C0"/>
    <w:rsid w:val="002662AA"/>
    <w:rsid w:val="00280496"/>
    <w:rsid w:val="00295495"/>
    <w:rsid w:val="002B2613"/>
    <w:rsid w:val="002F1818"/>
    <w:rsid w:val="002F567B"/>
    <w:rsid w:val="003216A9"/>
    <w:rsid w:val="0037013F"/>
    <w:rsid w:val="00380C92"/>
    <w:rsid w:val="003A484F"/>
    <w:rsid w:val="003B0BE0"/>
    <w:rsid w:val="003B0C1B"/>
    <w:rsid w:val="003B688C"/>
    <w:rsid w:val="003C0291"/>
    <w:rsid w:val="003C39AE"/>
    <w:rsid w:val="003C7B60"/>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7481D"/>
    <w:rsid w:val="0058486E"/>
    <w:rsid w:val="005D1C8B"/>
    <w:rsid w:val="005D5CED"/>
    <w:rsid w:val="005F1A4C"/>
    <w:rsid w:val="00605688"/>
    <w:rsid w:val="006070AF"/>
    <w:rsid w:val="00607E6C"/>
    <w:rsid w:val="006101B1"/>
    <w:rsid w:val="00614E44"/>
    <w:rsid w:val="00622830"/>
    <w:rsid w:val="00630AEF"/>
    <w:rsid w:val="006325F8"/>
    <w:rsid w:val="00634C9A"/>
    <w:rsid w:val="006440E4"/>
    <w:rsid w:val="0066343B"/>
    <w:rsid w:val="00664777"/>
    <w:rsid w:val="006748A4"/>
    <w:rsid w:val="00683E73"/>
    <w:rsid w:val="006A3141"/>
    <w:rsid w:val="006A5E34"/>
    <w:rsid w:val="006B2422"/>
    <w:rsid w:val="006B2B9A"/>
    <w:rsid w:val="006C1937"/>
    <w:rsid w:val="006F020C"/>
    <w:rsid w:val="007127B7"/>
    <w:rsid w:val="007416B6"/>
    <w:rsid w:val="00746F48"/>
    <w:rsid w:val="0075404D"/>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800112"/>
    <w:rsid w:val="008253BB"/>
    <w:rsid w:val="0083706E"/>
    <w:rsid w:val="008423A5"/>
    <w:rsid w:val="00850625"/>
    <w:rsid w:val="00853718"/>
    <w:rsid w:val="00855221"/>
    <w:rsid w:val="00860645"/>
    <w:rsid w:val="00871F71"/>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46945"/>
    <w:rsid w:val="00951248"/>
    <w:rsid w:val="0095152F"/>
    <w:rsid w:val="00954C49"/>
    <w:rsid w:val="0097099F"/>
    <w:rsid w:val="00971997"/>
    <w:rsid w:val="00971FFC"/>
    <w:rsid w:val="0098660A"/>
    <w:rsid w:val="009931C3"/>
    <w:rsid w:val="009971F6"/>
    <w:rsid w:val="009B2C43"/>
    <w:rsid w:val="009B4EAE"/>
    <w:rsid w:val="009B7573"/>
    <w:rsid w:val="009C22F4"/>
    <w:rsid w:val="009C2E98"/>
    <w:rsid w:val="009D3447"/>
    <w:rsid w:val="009D4711"/>
    <w:rsid w:val="009F1185"/>
    <w:rsid w:val="009F18CD"/>
    <w:rsid w:val="009F2A13"/>
    <w:rsid w:val="00A04EB0"/>
    <w:rsid w:val="00A13CC1"/>
    <w:rsid w:val="00A16847"/>
    <w:rsid w:val="00A237D8"/>
    <w:rsid w:val="00A268C4"/>
    <w:rsid w:val="00A307CD"/>
    <w:rsid w:val="00A40A00"/>
    <w:rsid w:val="00A4142F"/>
    <w:rsid w:val="00A56DF2"/>
    <w:rsid w:val="00A67AB5"/>
    <w:rsid w:val="00A91760"/>
    <w:rsid w:val="00A93B00"/>
    <w:rsid w:val="00A93C21"/>
    <w:rsid w:val="00AC3C6A"/>
    <w:rsid w:val="00AD5620"/>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77EA6"/>
    <w:rsid w:val="00B81598"/>
    <w:rsid w:val="00B841F1"/>
    <w:rsid w:val="00B944D6"/>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91CBB"/>
    <w:rsid w:val="00CC09B6"/>
    <w:rsid w:val="00CC666F"/>
    <w:rsid w:val="00CD1E3F"/>
    <w:rsid w:val="00CE44F6"/>
    <w:rsid w:val="00CE49DA"/>
    <w:rsid w:val="00CE7B61"/>
    <w:rsid w:val="00D00095"/>
    <w:rsid w:val="00D20620"/>
    <w:rsid w:val="00D26091"/>
    <w:rsid w:val="00D34E7C"/>
    <w:rsid w:val="00D35489"/>
    <w:rsid w:val="00D51276"/>
    <w:rsid w:val="00D7035F"/>
    <w:rsid w:val="00DA4897"/>
    <w:rsid w:val="00DA65AC"/>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4269"/>
    <w:rsid w:val="00E82267"/>
    <w:rsid w:val="00EA010F"/>
    <w:rsid w:val="00ED1B63"/>
    <w:rsid w:val="00ED3C1F"/>
    <w:rsid w:val="00ED4085"/>
    <w:rsid w:val="00ED420E"/>
    <w:rsid w:val="00ED6E5C"/>
    <w:rsid w:val="00EE2F57"/>
    <w:rsid w:val="00EF4C34"/>
    <w:rsid w:val="00EF77C6"/>
    <w:rsid w:val="00F05438"/>
    <w:rsid w:val="00F1361C"/>
    <w:rsid w:val="00F160C7"/>
    <w:rsid w:val="00F36D8F"/>
    <w:rsid w:val="00F417B1"/>
    <w:rsid w:val="00F602DF"/>
    <w:rsid w:val="00F81FD9"/>
    <w:rsid w:val="00F841AA"/>
    <w:rsid w:val="00FA23E8"/>
    <w:rsid w:val="00FD3CC1"/>
    <w:rsid w:val="00FE640E"/>
    <w:rsid w:val="00FF1E02"/>
    <w:rsid w:val="00FF30B4"/>
    <w:rsid w:val="030A2DF6"/>
    <w:rsid w:val="048E6D2F"/>
    <w:rsid w:val="049146F9"/>
    <w:rsid w:val="06A86353"/>
    <w:rsid w:val="07C67082"/>
    <w:rsid w:val="089601EF"/>
    <w:rsid w:val="0C9A0B16"/>
    <w:rsid w:val="0F3D04C2"/>
    <w:rsid w:val="10C055FF"/>
    <w:rsid w:val="120314AC"/>
    <w:rsid w:val="13C77805"/>
    <w:rsid w:val="16833A27"/>
    <w:rsid w:val="16BB723D"/>
    <w:rsid w:val="19B415F1"/>
    <w:rsid w:val="19D43F31"/>
    <w:rsid w:val="1AC77D35"/>
    <w:rsid w:val="1BD33B62"/>
    <w:rsid w:val="208D6CB1"/>
    <w:rsid w:val="20BD6B50"/>
    <w:rsid w:val="21582C6B"/>
    <w:rsid w:val="240371BF"/>
    <w:rsid w:val="254B2A0B"/>
    <w:rsid w:val="26CF6C88"/>
    <w:rsid w:val="27133F99"/>
    <w:rsid w:val="2846219C"/>
    <w:rsid w:val="29A35566"/>
    <w:rsid w:val="29FD04D3"/>
    <w:rsid w:val="303E5971"/>
    <w:rsid w:val="319F7F4E"/>
    <w:rsid w:val="34EA6193"/>
    <w:rsid w:val="36066BA9"/>
    <w:rsid w:val="39017540"/>
    <w:rsid w:val="3AAC6218"/>
    <w:rsid w:val="3D292998"/>
    <w:rsid w:val="3F5C5493"/>
    <w:rsid w:val="40CA18C5"/>
    <w:rsid w:val="41BE4ADD"/>
    <w:rsid w:val="41E476A0"/>
    <w:rsid w:val="4326473D"/>
    <w:rsid w:val="471575E4"/>
    <w:rsid w:val="48667D77"/>
    <w:rsid w:val="4B2624C2"/>
    <w:rsid w:val="4C775871"/>
    <w:rsid w:val="4D5501D5"/>
    <w:rsid w:val="4D5C00F1"/>
    <w:rsid w:val="4E6F2126"/>
    <w:rsid w:val="4FE023B5"/>
    <w:rsid w:val="510C4C42"/>
    <w:rsid w:val="512A33E4"/>
    <w:rsid w:val="52CB7885"/>
    <w:rsid w:val="53F1765D"/>
    <w:rsid w:val="59E73B45"/>
    <w:rsid w:val="5A997A7D"/>
    <w:rsid w:val="5B5E020B"/>
    <w:rsid w:val="5BF1505D"/>
    <w:rsid w:val="5F257EC3"/>
    <w:rsid w:val="60B16CEC"/>
    <w:rsid w:val="61200E8D"/>
    <w:rsid w:val="621B5254"/>
    <w:rsid w:val="636857AA"/>
    <w:rsid w:val="64D97D9E"/>
    <w:rsid w:val="65261E0A"/>
    <w:rsid w:val="65987DB9"/>
    <w:rsid w:val="690D78B5"/>
    <w:rsid w:val="6940504F"/>
    <w:rsid w:val="6A7760D8"/>
    <w:rsid w:val="6B7534D0"/>
    <w:rsid w:val="6BBB590E"/>
    <w:rsid w:val="6BDE47A4"/>
    <w:rsid w:val="6CFC1CFF"/>
    <w:rsid w:val="73225535"/>
    <w:rsid w:val="76646D03"/>
    <w:rsid w:val="76F6012A"/>
    <w:rsid w:val="7C5357D3"/>
    <w:rsid w:val="7E391B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D62A13EB-C493-47D6-8BC5-1C2A09DA2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99"/>
    <w:qFormat/>
    <w:rPr>
      <w:b/>
    </w:rPr>
  </w:style>
  <w:style w:type="character" w:styleId="a9">
    <w:name w:val="Hyperlink"/>
    <w:basedOn w:val="a0"/>
    <w:uiPriority w:val="99"/>
    <w:unhideWhenUsed/>
    <w:rPr>
      <w:color w:val="0000FF" w:themeColor="hyperlink"/>
      <w:u w:val="single"/>
    </w:rPr>
  </w:style>
  <w:style w:type="character" w:customStyle="1" w:styleId="HeaderChar">
    <w:name w:val="Header Char"/>
    <w:basedOn w:val="a0"/>
    <w:uiPriority w:val="99"/>
    <w:semiHidden/>
    <w:rPr>
      <w:rFonts w:ascii="Times New Roman" w:hAnsi="Times New Roman"/>
      <w:sz w:val="18"/>
      <w:szCs w:val="18"/>
    </w:rPr>
  </w:style>
  <w:style w:type="character" w:customStyle="1" w:styleId="Char2">
    <w:name w:val="页眉 Char"/>
    <w:link w:val="a6"/>
    <w:uiPriority w:val="99"/>
    <w:semiHidden/>
    <w:locked/>
    <w:rPr>
      <w:sz w:val="18"/>
    </w:rPr>
  </w:style>
  <w:style w:type="character" w:customStyle="1" w:styleId="FooterChar">
    <w:name w:val="Footer Char"/>
    <w:basedOn w:val="a0"/>
    <w:uiPriority w:val="99"/>
    <w:semiHidden/>
    <w:rPr>
      <w:rFonts w:ascii="Times New Roman" w:hAnsi="Times New Roman"/>
      <w:sz w:val="18"/>
      <w:szCs w:val="18"/>
    </w:rPr>
  </w:style>
  <w:style w:type="character" w:customStyle="1" w:styleId="Char1">
    <w:name w:val="页脚 Char"/>
    <w:link w:val="a5"/>
    <w:uiPriority w:val="99"/>
    <w:locked/>
    <w:rPr>
      <w:sz w:val="18"/>
    </w:rPr>
  </w:style>
  <w:style w:type="character" w:customStyle="1" w:styleId="BodyTextChar">
    <w:name w:val="Body Text Char"/>
    <w:basedOn w:val="a0"/>
    <w:uiPriority w:val="99"/>
    <w:semiHidden/>
    <w:rPr>
      <w:rFonts w:ascii="Times New Roman" w:hAnsi="Times New Roman"/>
      <w:szCs w:val="24"/>
    </w:rPr>
  </w:style>
  <w:style w:type="character" w:customStyle="1" w:styleId="Char">
    <w:name w:val="正文文本 Char"/>
    <w:link w:val="a3"/>
    <w:uiPriority w:val="99"/>
    <w:locked/>
    <w:rPr>
      <w:rFonts w:ascii="仿宋_GB2312" w:eastAsia="仿宋_GB2312" w:hAnsi="Times New Roman"/>
      <w:sz w:val="24"/>
    </w:rPr>
  </w:style>
  <w:style w:type="paragraph" w:customStyle="1" w:styleId="Default">
    <w:name w:val="Default"/>
    <w:uiPriority w:val="99"/>
    <w:pPr>
      <w:widowControl w:val="0"/>
      <w:autoSpaceDE w:val="0"/>
      <w:autoSpaceDN w:val="0"/>
      <w:adjustRightInd w:val="0"/>
    </w:pPr>
    <w:rPr>
      <w:rFonts w:ascii="仿宋" w:eastAsia="仿宋" w:cs="仿宋"/>
      <w:color w:val="000000"/>
      <w:sz w:val="24"/>
      <w:szCs w:val="24"/>
    </w:rPr>
  </w:style>
  <w:style w:type="paragraph" w:styleId="aa">
    <w:name w:val="List Paragraph"/>
    <w:basedOn w:val="a"/>
    <w:uiPriority w:val="34"/>
    <w:qFormat/>
    <w:pPr>
      <w:ind w:firstLineChars="200" w:firstLine="420"/>
    </w:pPr>
  </w:style>
  <w:style w:type="character" w:customStyle="1" w:styleId="1Char">
    <w:name w:val="标题 1 Char"/>
    <w:basedOn w:val="a0"/>
    <w:link w:val="1"/>
    <w:uiPriority w:val="9"/>
    <w:rPr>
      <w:rFonts w:ascii="Times New Roman" w:hAnsi="Times New Roman"/>
      <w:b/>
      <w:bCs/>
      <w:kern w:val="44"/>
      <w:sz w:val="44"/>
      <w:szCs w:val="44"/>
    </w:rPr>
  </w:style>
  <w:style w:type="character" w:customStyle="1" w:styleId="2Char">
    <w:name w:val="标题 2 Char"/>
    <w:basedOn w:val="a0"/>
    <w:link w:val="2"/>
    <w:uiPriority w:val="9"/>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rPr>
      <w:rFonts w:ascii="Times New Roman" w:hAnsi="Times New Roman"/>
      <w:kern w:val="2"/>
      <w:sz w:val="18"/>
      <w:szCs w:val="18"/>
    </w:rPr>
  </w:style>
  <w:style w:type="character" w:customStyle="1" w:styleId="3Char">
    <w:name w:val="标题 3 Char"/>
    <w:basedOn w:val="a0"/>
    <w:link w:val="3"/>
    <w:uiPriority w:val="9"/>
    <w:rPr>
      <w:rFonts w:ascii="Times New Roman" w:hAnsi="Times New Roman"/>
      <w:b/>
      <w:bCs/>
      <w:kern w:val="2"/>
      <w:sz w:val="32"/>
      <w:szCs w:val="32"/>
    </w:rPr>
  </w:style>
  <w:style w:type="paragraph" w:customStyle="1" w:styleId="11">
    <w:name w:val="列出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94B77D-A07F-4296-BD98-BDFE21A21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74</Pages>
  <Words>5956</Words>
  <Characters>33952</Characters>
  <Application>Microsoft Office Word</Application>
  <DocSecurity>0</DocSecurity>
  <Lines>282</Lines>
  <Paragraphs>79</Paragraphs>
  <ScaleCrop>false</ScaleCrop>
  <Company>四川省财政厅</Company>
  <LinksUpToDate>false</LinksUpToDate>
  <CharactersWithSpaces>39829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邓丽君</cp:lastModifiedBy>
  <cp:revision>20</cp:revision>
  <cp:lastPrinted>2019-08-01T00:48:00Z</cp:lastPrinted>
  <dcterms:created xsi:type="dcterms:W3CDTF">2019-08-01T01:14:00Z</dcterms:created>
  <dcterms:modified xsi:type="dcterms:W3CDTF">2023-09-21T02:16:00Z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