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72"/>
          <w:szCs w:val="72"/>
        </w:rPr>
      </w:pPr>
      <w:bookmarkStart w:id="0" w:name="_Toc15306267"/>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96597"/>
      <w:bookmarkStart w:id="3" w:name="_Toc15396475"/>
      <w:bookmarkStart w:id="4" w:name="_Toc5358"/>
      <w:bookmarkStart w:id="5" w:name="_Toc15377193"/>
      <w:bookmarkStart w:id="6" w:name="_Toc1537742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21694"/>
      <w:bookmarkStart w:id="8" w:name="_Toc15377194"/>
      <w:bookmarkStart w:id="9" w:name="_Toc15377426"/>
      <w:bookmarkStart w:id="10" w:name="_Toc15396476"/>
      <w:bookmarkStart w:id="11" w:name="_Toc15396598"/>
      <w:bookmarkStart w:id="12" w:name="_Toc15378442"/>
      <w:r>
        <w:rPr>
          <w:rFonts w:hint="eastAsia" w:ascii="方正小标宋简体" w:hAnsi="方正小标宋简体" w:eastAsia="方正小标宋简体" w:cs="方正小标宋简体"/>
          <w:sz w:val="72"/>
          <w:szCs w:val="72"/>
        </w:rPr>
        <w:t>四川省</w:t>
      </w:r>
      <w:bookmarkEnd w:id="0"/>
      <w:bookmarkStart w:id="13" w:name="_Toc15306268"/>
      <w:r>
        <w:rPr>
          <w:rFonts w:hint="eastAsia" w:ascii="方正小标宋简体" w:hAnsi="方正小标宋简体" w:eastAsia="方正小标宋简体" w:cs="方正小标宋简体"/>
          <w:sz w:val="72"/>
          <w:szCs w:val="72"/>
        </w:rPr>
        <w:t>攀枝花市</w:t>
      </w:r>
      <w:bookmarkEnd w:id="7"/>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4" w:name="_Toc9498"/>
      <w:r>
        <w:rPr>
          <w:rFonts w:hint="eastAsia" w:ascii="方正小标宋简体" w:hAnsi="方正小标宋简体" w:eastAsia="方正小标宋简体" w:cs="方正小标宋简体"/>
          <w:sz w:val="72"/>
          <w:szCs w:val="72"/>
        </w:rPr>
        <w:t>残疾人联合会决算</w:t>
      </w:r>
      <w:bookmarkEnd w:id="8"/>
      <w:bookmarkEnd w:id="9"/>
      <w:bookmarkEnd w:id="10"/>
      <w:bookmarkEnd w:id="11"/>
      <w:bookmarkEnd w:id="12"/>
      <w:bookmarkEnd w:id="13"/>
      <w:bookmarkEnd w:id="14"/>
    </w:p>
    <w:p>
      <w:pPr>
        <w:widowControl/>
        <w:jc w:val="center"/>
        <w:rPr>
          <w:rFonts w:ascii="黑体" w:hAnsi="黑体" w:eastAsia="黑体"/>
          <w:sz w:val="48"/>
          <w:szCs w:val="48"/>
        </w:rPr>
      </w:pPr>
      <w:r>
        <w:rPr>
          <w:rFonts w:ascii="方正小标宋简体" w:hAnsi="宋体" w:eastAsia="方正小标宋简体"/>
          <w:sz w:val="36"/>
          <w:szCs w:val="36"/>
        </w:rPr>
        <w:br w:type="page"/>
      </w:r>
      <w:bookmarkStart w:id="107" w:name="_GoBack"/>
      <w:r>
        <w:rPr>
          <w:rFonts w:hint="eastAsia" w:ascii="黑体" w:hAnsi="黑体" w:eastAsia="黑体"/>
          <w:sz w:val="48"/>
          <w:szCs w:val="48"/>
        </w:rPr>
        <w:t>目录</w:t>
      </w:r>
      <w:bookmarkEnd w:id="107"/>
    </w:p>
    <w:p>
      <w:pPr>
        <w:widowControl/>
        <w:jc w:val="center"/>
        <w:rPr>
          <w:rFonts w:ascii="黑体" w:hAnsi="黑体" w:eastAsia="黑体" w:cs="黑体"/>
          <w:sz w:val="28"/>
          <w:szCs w:val="28"/>
        </w:rPr>
      </w:pPr>
    </w:p>
    <w:p>
      <w:pPr>
        <w:pStyle w:val="10"/>
        <w:rPr>
          <w:b/>
        </w:rPr>
      </w:pPr>
      <w:r>
        <w:rPr>
          <w:rFonts w:hint="eastAsia"/>
        </w:rPr>
        <w:t>公开时间：2022年9月</w:t>
      </w:r>
      <w:r>
        <w:t>14</w:t>
      </w:r>
      <w:r>
        <w:rPr>
          <w:rFonts w:hint="eastAsia"/>
        </w:rPr>
        <w:t>日</w:t>
      </w:r>
      <w:r>
        <w:fldChar w:fldCharType="begin"/>
      </w:r>
      <w:r>
        <w:instrText xml:space="preserve">TOC \o "1-2" \h \u </w:instrText>
      </w:r>
      <w:r>
        <w:fldChar w:fldCharType="separate"/>
      </w:r>
    </w:p>
    <w:p>
      <w:pPr>
        <w:pStyle w:val="10"/>
        <w:adjustRightInd w:val="0"/>
        <w:snapToGrid w:val="0"/>
        <w:spacing w:before="0" w:line="440" w:lineRule="exact"/>
        <w:jc w:val="left"/>
        <w:rPr>
          <w:sz w:val="24"/>
        </w:rPr>
      </w:pPr>
      <w:r>
        <w:fldChar w:fldCharType="begin"/>
      </w:r>
      <w:r>
        <w:instrText xml:space="preserve"> HYPERLINK \l "_Toc29521" </w:instrText>
      </w:r>
      <w:r>
        <w:fldChar w:fldCharType="separate"/>
      </w:r>
      <w:r>
        <w:rPr>
          <w:rFonts w:hint="eastAsia"/>
          <w:sz w:val="24"/>
        </w:rPr>
        <w:t>第一部分 单位概况</w:t>
      </w:r>
      <w:r>
        <w:rPr>
          <w:rFonts w:hint="eastAsia"/>
          <w:sz w:val="24"/>
        </w:rPr>
        <w:tab/>
      </w:r>
      <w:r>
        <w:rPr>
          <w:rFonts w:hint="eastAsia"/>
          <w:sz w:val="24"/>
        </w:rPr>
        <w:fldChar w:fldCharType="begin"/>
      </w:r>
      <w:r>
        <w:rPr>
          <w:rFonts w:hint="eastAsia"/>
          <w:sz w:val="24"/>
        </w:rPr>
        <w:instrText xml:space="preserve"> PAGEREF _Toc29521 \h </w:instrText>
      </w:r>
      <w:r>
        <w:rPr>
          <w:rFonts w:hint="eastAsia"/>
          <w:sz w:val="24"/>
        </w:rPr>
        <w:fldChar w:fldCharType="separate"/>
      </w:r>
      <w:r>
        <w:rPr>
          <w:rFonts w:hint="eastAsia"/>
          <w:sz w:val="24"/>
        </w:rPr>
        <w:t>4</w:t>
      </w:r>
      <w:r>
        <w:rPr>
          <w:rFonts w:hint="eastAsia"/>
          <w:sz w:val="24"/>
        </w:rPr>
        <w:fldChar w:fldCharType="end"/>
      </w:r>
      <w:r>
        <w:rPr>
          <w:rFonts w:hint="eastAsia"/>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"_Toc16056" </w:instrText>
      </w:r>
      <w:r>
        <w:fldChar w:fldCharType="separate"/>
      </w:r>
      <w:r>
        <w:rPr>
          <w:rFonts w:hint="eastAsia" w:ascii="宋体" w:hAnsi="宋体" w:cs="宋体"/>
          <w:sz w:val="24"/>
        </w:rPr>
        <w:t>一、 职能简介</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_Toc16056 \h </w:instrText>
      </w:r>
      <w:r>
        <w:rPr>
          <w:rFonts w:hint="eastAsia" w:ascii="宋体" w:hAnsi="宋体" w:cs="宋体"/>
          <w:sz w:val="24"/>
        </w:rPr>
        <w:fldChar w:fldCharType="separate"/>
      </w:r>
      <w:r>
        <w:rPr>
          <w:rFonts w:hint="eastAsia" w:ascii="宋体" w:hAnsi="宋体" w:cs="宋体"/>
          <w:sz w:val="24"/>
        </w:rPr>
        <w:t>4</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"_Toc7824" </w:instrText>
      </w:r>
      <w:r>
        <w:fldChar w:fldCharType="separate"/>
      </w:r>
      <w:r>
        <w:rPr>
          <w:rFonts w:hint="eastAsia" w:ascii="宋体" w:hAnsi="宋体" w:cs="宋体"/>
          <w:sz w:val="24"/>
        </w:rPr>
        <w:t>二、2021年重点工作完成情况</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_Toc7824 \h </w:instrText>
      </w:r>
      <w:r>
        <w:rPr>
          <w:rFonts w:hint="eastAsia" w:ascii="宋体" w:hAnsi="宋体" w:cs="宋体"/>
          <w:sz w:val="24"/>
        </w:rPr>
        <w:fldChar w:fldCharType="separate"/>
      </w:r>
      <w:r>
        <w:rPr>
          <w:rFonts w:hint="eastAsia" w:ascii="宋体" w:hAnsi="宋体" w:cs="宋体"/>
          <w:sz w:val="24"/>
        </w:rPr>
        <w:t>4</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"_Toc16056" </w:instrText>
      </w:r>
      <w:r>
        <w:fldChar w:fldCharType="separate"/>
      </w:r>
      <w:r>
        <w:rPr>
          <w:rFonts w:hint="eastAsia" w:ascii="宋体" w:hAnsi="宋体" w:cs="宋体"/>
          <w:sz w:val="24"/>
        </w:rPr>
        <w:t>三、 机构设置</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_Toc16056 \h </w:instrText>
      </w:r>
      <w:r>
        <w:rPr>
          <w:rFonts w:hint="eastAsia" w:ascii="宋体" w:hAnsi="宋体" w:cs="宋体"/>
          <w:sz w:val="24"/>
        </w:rPr>
        <w:fldChar w:fldCharType="separate"/>
      </w:r>
      <w:r>
        <w:rPr>
          <w:rFonts w:hint="eastAsia" w:ascii="宋体" w:hAnsi="宋体" w:cs="宋体"/>
          <w:sz w:val="24"/>
        </w:rPr>
        <w:t>4</w:t>
      </w:r>
      <w:r>
        <w:rPr>
          <w:rFonts w:hint="eastAsia" w:ascii="宋体" w:hAnsi="宋体" w:cs="宋体"/>
          <w:sz w:val="24"/>
        </w:rPr>
        <w:fldChar w:fldCharType="end"/>
      </w:r>
      <w:r>
        <w:rPr>
          <w:rFonts w:hint="eastAsia" w:ascii="宋体" w:hAnsi="宋体" w:cs="宋体"/>
          <w:sz w:val="24"/>
        </w:rPr>
        <w:fldChar w:fldCharType="end"/>
      </w:r>
    </w:p>
    <w:p>
      <w:pPr>
        <w:pStyle w:val="10"/>
        <w:adjustRightInd w:val="0"/>
        <w:snapToGrid w:val="0"/>
        <w:spacing w:before="0" w:line="440" w:lineRule="exact"/>
        <w:jc w:val="left"/>
        <w:rPr>
          <w:sz w:val="24"/>
        </w:rPr>
      </w:pPr>
      <w:r>
        <w:fldChar w:fldCharType="begin"/>
      </w:r>
      <w:r>
        <w:instrText xml:space="preserve"> HYPERLINK \l "_Toc19535" </w:instrText>
      </w:r>
      <w:r>
        <w:fldChar w:fldCharType="separate"/>
      </w:r>
      <w:r>
        <w:rPr>
          <w:rFonts w:hint="eastAsia"/>
          <w:sz w:val="24"/>
        </w:rPr>
        <w:t>第二部分 2021年度单位决算情况说明</w:t>
      </w:r>
      <w:r>
        <w:rPr>
          <w:rFonts w:hint="eastAsia"/>
          <w:sz w:val="24"/>
        </w:rPr>
        <w:tab/>
      </w:r>
      <w:r>
        <w:rPr>
          <w:rFonts w:hint="eastAsia"/>
          <w:sz w:val="24"/>
        </w:rPr>
        <w:fldChar w:fldCharType="begin"/>
      </w:r>
      <w:r>
        <w:rPr>
          <w:rFonts w:hint="eastAsia"/>
          <w:sz w:val="24"/>
        </w:rPr>
        <w:instrText xml:space="preserve"> PAGEREF _Toc19535 \h </w:instrText>
      </w:r>
      <w:r>
        <w:rPr>
          <w:rFonts w:hint="eastAsia"/>
          <w:sz w:val="24"/>
        </w:rPr>
        <w:fldChar w:fldCharType="separate"/>
      </w:r>
      <w:r>
        <w:rPr>
          <w:rFonts w:hint="eastAsia"/>
          <w:sz w:val="24"/>
        </w:rPr>
        <w:t>5</w:t>
      </w:r>
      <w:r>
        <w:rPr>
          <w:rFonts w:hint="eastAsia"/>
          <w:sz w:val="24"/>
        </w:rPr>
        <w:fldChar w:fldCharType="end"/>
      </w:r>
      <w:r>
        <w:rPr>
          <w:rFonts w:hint="eastAsia"/>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"_Toc24815" </w:instrText>
      </w:r>
      <w:r>
        <w:fldChar w:fldCharType="separate"/>
      </w:r>
      <w:r>
        <w:rPr>
          <w:rFonts w:ascii="宋体" w:hAnsi="宋体" w:cs="宋体"/>
          <w:sz w:val="24"/>
        </w:rPr>
        <w:t xml:space="preserve">一、 </w:t>
      </w:r>
      <w:r>
        <w:rPr>
          <w:rFonts w:hint="eastAsia" w:ascii="宋体" w:hAnsi="宋体" w:cs="宋体"/>
          <w:sz w:val="24"/>
        </w:rPr>
        <w:t>收入支出决算总体情况说明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_Toc24815 \h </w:instrText>
      </w:r>
      <w:r>
        <w:rPr>
          <w:rFonts w:hint="eastAsia" w:ascii="宋体" w:hAnsi="宋体" w:cs="宋体"/>
          <w:sz w:val="24"/>
        </w:rPr>
        <w:fldChar w:fldCharType="separate"/>
      </w:r>
      <w:r>
        <w:rPr>
          <w:rFonts w:hint="eastAsia" w:ascii="宋体" w:hAnsi="宋体" w:cs="宋体"/>
          <w:sz w:val="24"/>
        </w:rPr>
        <w:t>5</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"_Toc30818" </w:instrText>
      </w:r>
      <w:r>
        <w:fldChar w:fldCharType="separate"/>
      </w:r>
      <w:r>
        <w:rPr>
          <w:rFonts w:ascii="宋体" w:hAnsi="宋体" w:cs="宋体"/>
          <w:sz w:val="24"/>
        </w:rPr>
        <w:t xml:space="preserve">二、 </w:t>
      </w:r>
      <w:r>
        <w:rPr>
          <w:rFonts w:hint="eastAsia" w:ascii="宋体" w:hAnsi="宋体" w:cs="宋体"/>
          <w:sz w:val="24"/>
        </w:rPr>
        <w:t>收入决算情况说明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_Toc30818 \h </w:instrText>
      </w:r>
      <w:r>
        <w:rPr>
          <w:rFonts w:hint="eastAsia" w:ascii="宋体" w:hAnsi="宋体" w:cs="宋体"/>
          <w:sz w:val="24"/>
        </w:rPr>
        <w:fldChar w:fldCharType="separate"/>
      </w:r>
      <w:r>
        <w:rPr>
          <w:rFonts w:hint="eastAsia" w:ascii="宋体" w:hAnsi="宋体" w:cs="宋体"/>
          <w:sz w:val="24"/>
        </w:rPr>
        <w:t>5</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"_Toc11117" </w:instrText>
      </w:r>
      <w:r>
        <w:fldChar w:fldCharType="separate"/>
      </w:r>
      <w:r>
        <w:rPr>
          <w:rFonts w:ascii="宋体" w:hAnsi="宋体" w:cs="宋体"/>
          <w:sz w:val="24"/>
        </w:rPr>
        <w:t xml:space="preserve">三、 </w:t>
      </w:r>
      <w:r>
        <w:rPr>
          <w:rFonts w:hint="eastAsia" w:ascii="宋体" w:hAnsi="宋体" w:cs="宋体"/>
          <w:sz w:val="24"/>
        </w:rPr>
        <w:t>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_Toc11117 \h </w:instrText>
      </w:r>
      <w:r>
        <w:rPr>
          <w:rFonts w:hint="eastAsia" w:ascii="宋体" w:hAnsi="宋体" w:cs="宋体"/>
          <w:sz w:val="24"/>
        </w:rPr>
        <w:fldChar w:fldCharType="separate"/>
      </w:r>
      <w:r>
        <w:rPr>
          <w:rFonts w:hint="eastAsia" w:ascii="宋体" w:hAnsi="宋体" w:cs="宋体"/>
          <w:sz w:val="24"/>
        </w:rPr>
        <w:t>6</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"_Toc27357" </w:instrText>
      </w:r>
      <w:r>
        <w:fldChar w:fldCharType="separate"/>
      </w:r>
      <w:r>
        <w:rPr>
          <w:rFonts w:hint="eastAsia" w:ascii="宋体" w:hAnsi="宋体" w:cs="宋体"/>
          <w:sz w:val="24"/>
        </w:rPr>
        <w:t>四、财政拨款收入支出决算总体情况说明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_Toc27357 \h </w:instrText>
      </w:r>
      <w:r>
        <w:rPr>
          <w:rFonts w:hint="eastAsia" w:ascii="宋体" w:hAnsi="宋体" w:cs="宋体"/>
          <w:sz w:val="24"/>
        </w:rPr>
        <w:fldChar w:fldCharType="separate"/>
      </w:r>
      <w:r>
        <w:rPr>
          <w:rFonts w:hint="eastAsia" w:ascii="宋体" w:hAnsi="宋体" w:cs="宋体"/>
          <w:sz w:val="24"/>
        </w:rPr>
        <w:t>6</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"_Toc9484" </w:instrText>
      </w:r>
      <w:r>
        <w:fldChar w:fldCharType="separate"/>
      </w:r>
      <w:r>
        <w:rPr>
          <w:rFonts w:hint="eastAsia" w:ascii="宋体" w:hAnsi="宋体" w:cs="宋体"/>
          <w:sz w:val="24"/>
        </w:rPr>
        <w:t>五、一般公共预算财政拨款支出决算情况说明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_Toc9484 \h </w:instrText>
      </w:r>
      <w:r>
        <w:rPr>
          <w:rFonts w:hint="eastAsia" w:ascii="宋体" w:hAnsi="宋体" w:cs="宋体"/>
          <w:sz w:val="24"/>
        </w:rPr>
        <w:fldChar w:fldCharType="separate"/>
      </w:r>
      <w:r>
        <w:rPr>
          <w:rFonts w:hint="eastAsia" w:ascii="宋体" w:hAnsi="宋体" w:cs="宋体"/>
          <w:sz w:val="24"/>
        </w:rPr>
        <w:t>7</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"_Toc10395" </w:instrText>
      </w:r>
      <w:r>
        <w:fldChar w:fldCharType="separate"/>
      </w:r>
      <w:r>
        <w:rPr>
          <w:rFonts w:hint="eastAsia" w:ascii="宋体" w:hAnsi="宋体" w:cs="宋体"/>
          <w:sz w:val="24"/>
        </w:rPr>
        <w:t>六、一般公共预算财政拨款基本支出决算情况说明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_Toc10395 \h </w:instrText>
      </w:r>
      <w:r>
        <w:rPr>
          <w:rFonts w:hint="eastAsia" w:ascii="宋体" w:hAnsi="宋体" w:cs="宋体"/>
          <w:sz w:val="24"/>
        </w:rPr>
        <w:fldChar w:fldCharType="separate"/>
      </w:r>
      <w:r>
        <w:rPr>
          <w:rFonts w:hint="eastAsia" w:ascii="宋体" w:hAnsi="宋体" w:cs="宋体"/>
          <w:sz w:val="24"/>
        </w:rPr>
        <w:t>10</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"_Toc19273" </w:instrText>
      </w:r>
      <w:r>
        <w:fldChar w:fldCharType="separate"/>
      </w:r>
      <w:r>
        <w:rPr>
          <w:rFonts w:hint="eastAsia" w:ascii="宋体" w:hAnsi="宋体" w:cs="宋体"/>
          <w:sz w:val="24"/>
        </w:rPr>
        <w:t>七、“三公”经费财政拨款支出决算情况说明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_Toc19273 \h </w:instrText>
      </w:r>
      <w:r>
        <w:rPr>
          <w:rFonts w:hint="eastAsia" w:ascii="宋体" w:hAnsi="宋体" w:cs="宋体"/>
          <w:sz w:val="24"/>
        </w:rPr>
        <w:fldChar w:fldCharType="separate"/>
      </w:r>
      <w:r>
        <w:rPr>
          <w:rFonts w:hint="eastAsia" w:ascii="宋体" w:hAnsi="宋体" w:cs="宋体"/>
          <w:sz w:val="24"/>
        </w:rPr>
        <w:t>10</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"_Toc23564" </w:instrText>
      </w:r>
      <w:r>
        <w:fldChar w:fldCharType="separate"/>
      </w:r>
      <w:r>
        <w:rPr>
          <w:rFonts w:hint="eastAsia" w:ascii="宋体" w:hAnsi="宋体" w:cs="宋体"/>
          <w:sz w:val="24"/>
        </w:rPr>
        <w:t>八、政府性基金预算支出决算情况说明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_Toc23564 \h </w:instrText>
      </w:r>
      <w:r>
        <w:rPr>
          <w:rFonts w:hint="eastAsia" w:ascii="宋体" w:hAnsi="宋体" w:cs="宋体"/>
          <w:sz w:val="24"/>
        </w:rPr>
        <w:fldChar w:fldCharType="separate"/>
      </w:r>
      <w:r>
        <w:rPr>
          <w:rFonts w:hint="eastAsia" w:ascii="宋体" w:hAnsi="宋体" w:cs="宋体"/>
          <w:sz w:val="24"/>
        </w:rPr>
        <w:t>12</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"_Toc1361" </w:instrText>
      </w:r>
      <w:r>
        <w:fldChar w:fldCharType="separate"/>
      </w:r>
      <w:r>
        <w:rPr>
          <w:rFonts w:hint="eastAsia" w:ascii="宋体" w:hAnsi="宋体" w:cs="宋体"/>
          <w:sz w:val="24"/>
        </w:rPr>
        <w:t>九、 国有资本经营预算支出决算情况说明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_Toc1361 \h </w:instrText>
      </w:r>
      <w:r>
        <w:rPr>
          <w:rFonts w:hint="eastAsia" w:ascii="宋体" w:hAnsi="宋体" w:cs="宋体"/>
          <w:sz w:val="24"/>
        </w:rPr>
        <w:fldChar w:fldCharType="separate"/>
      </w:r>
      <w:r>
        <w:rPr>
          <w:rFonts w:hint="eastAsia" w:ascii="宋体" w:hAnsi="宋体" w:cs="宋体"/>
          <w:sz w:val="24"/>
        </w:rPr>
        <w:t>12</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pPr>
      <w:r>
        <w:fldChar w:fldCharType="begin"/>
      </w:r>
      <w:r>
        <w:instrText xml:space="preserve"> HYPERLINK \l "_Toc3393" </w:instrText>
      </w:r>
      <w:r>
        <w:fldChar w:fldCharType="separate"/>
      </w:r>
      <w:r>
        <w:rPr>
          <w:rFonts w:hint="eastAsia" w:ascii="宋体" w:hAnsi="宋体" w:cs="宋体"/>
          <w:sz w:val="24"/>
        </w:rPr>
        <w:t>十、 其他重要事项的情况说明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_Toc3393 \h </w:instrText>
      </w:r>
      <w:r>
        <w:rPr>
          <w:rFonts w:hint="eastAsia" w:ascii="宋体" w:hAnsi="宋体" w:cs="宋体"/>
          <w:sz w:val="24"/>
        </w:rPr>
        <w:fldChar w:fldCharType="separate"/>
      </w:r>
      <w:r>
        <w:rPr>
          <w:rFonts w:hint="eastAsia" w:ascii="宋体" w:hAnsi="宋体" w:cs="宋体"/>
          <w:sz w:val="24"/>
        </w:rPr>
        <w:t>12</w:t>
      </w:r>
      <w:r>
        <w:rPr>
          <w:rFonts w:hint="eastAsia" w:ascii="宋体" w:hAnsi="宋体" w:cs="宋体"/>
          <w:sz w:val="24"/>
        </w:rPr>
        <w:fldChar w:fldCharType="end"/>
      </w:r>
      <w:r>
        <w:rPr>
          <w:rFonts w:hint="eastAsia" w:ascii="宋体" w:hAnsi="宋体" w:cs="宋体"/>
          <w:sz w:val="24"/>
        </w:rPr>
        <w:fldChar w:fldCharType="end"/>
      </w:r>
    </w:p>
    <w:p>
      <w:pPr>
        <w:pStyle w:val="10"/>
        <w:adjustRightInd w:val="0"/>
        <w:snapToGrid w:val="0"/>
        <w:spacing w:before="0" w:line="440" w:lineRule="exact"/>
        <w:jc w:val="left"/>
        <w:rPr>
          <w:sz w:val="24"/>
        </w:rPr>
      </w:pPr>
      <w:r>
        <w:fldChar w:fldCharType="begin"/>
      </w:r>
      <w:r>
        <w:instrText xml:space="preserve"> HYPERLINK \l "_Toc27171" </w:instrText>
      </w:r>
      <w:r>
        <w:fldChar w:fldCharType="separate"/>
      </w:r>
      <w:r>
        <w:rPr>
          <w:rFonts w:hint="eastAsia"/>
          <w:sz w:val="24"/>
        </w:rPr>
        <w:t>第三部分 名词解释</w:t>
      </w:r>
      <w:r>
        <w:rPr>
          <w:rFonts w:hint="eastAsia"/>
          <w:sz w:val="24"/>
        </w:rPr>
        <w:tab/>
      </w:r>
      <w:r>
        <w:rPr>
          <w:rFonts w:hint="eastAsia"/>
          <w:sz w:val="24"/>
        </w:rPr>
        <w:fldChar w:fldCharType="begin"/>
      </w:r>
      <w:r>
        <w:rPr>
          <w:rFonts w:hint="eastAsia"/>
          <w:sz w:val="24"/>
        </w:rPr>
        <w:instrText xml:space="preserve"> PAGEREF _Toc27171 \h </w:instrText>
      </w:r>
      <w:r>
        <w:rPr>
          <w:rFonts w:hint="eastAsia"/>
          <w:sz w:val="24"/>
        </w:rPr>
        <w:fldChar w:fldCharType="separate"/>
      </w:r>
      <w:r>
        <w:rPr>
          <w:rFonts w:hint="eastAsia"/>
          <w:sz w:val="24"/>
        </w:rPr>
        <w:t>14</w:t>
      </w:r>
      <w:r>
        <w:rPr>
          <w:rFonts w:hint="eastAsia"/>
          <w:sz w:val="24"/>
        </w:rPr>
        <w:fldChar w:fldCharType="end"/>
      </w:r>
      <w:r>
        <w:rPr>
          <w:rFonts w:hint="eastAsia"/>
          <w:sz w:val="24"/>
        </w:rPr>
        <w:fldChar w:fldCharType="end"/>
      </w:r>
    </w:p>
    <w:p>
      <w:pPr>
        <w:pStyle w:val="10"/>
        <w:adjustRightInd w:val="0"/>
        <w:snapToGrid w:val="0"/>
        <w:spacing w:before="0" w:line="440" w:lineRule="exact"/>
        <w:jc w:val="left"/>
        <w:rPr>
          <w:sz w:val="24"/>
        </w:rPr>
      </w:pPr>
      <w:r>
        <w:fldChar w:fldCharType="begin"/>
      </w:r>
      <w:r>
        <w:instrText xml:space="preserve"> HYPERLINK \l "_Toc13718" </w:instrText>
      </w:r>
      <w:r>
        <w:fldChar w:fldCharType="separate"/>
      </w:r>
      <w:r>
        <w:rPr>
          <w:rFonts w:hint="eastAsia"/>
          <w:sz w:val="24"/>
        </w:rPr>
        <w:t>第四部分 附件</w:t>
      </w:r>
      <w:r>
        <w:rPr>
          <w:rFonts w:hint="eastAsia"/>
          <w:sz w:val="24"/>
        </w:rPr>
        <w:tab/>
      </w:r>
      <w:r>
        <w:rPr>
          <w:rFonts w:hint="eastAsia"/>
          <w:sz w:val="24"/>
        </w:rPr>
        <w:fldChar w:fldCharType="begin"/>
      </w:r>
      <w:r>
        <w:rPr>
          <w:rFonts w:hint="eastAsia"/>
          <w:sz w:val="24"/>
        </w:rPr>
        <w:instrText xml:space="preserve"> PAGEREF _Toc13718 \h </w:instrText>
      </w:r>
      <w:r>
        <w:rPr>
          <w:rFonts w:hint="eastAsia"/>
          <w:sz w:val="24"/>
        </w:rPr>
        <w:fldChar w:fldCharType="separate"/>
      </w:r>
      <w:r>
        <w:rPr>
          <w:rFonts w:hint="eastAsia"/>
          <w:sz w:val="24"/>
        </w:rPr>
        <w:t>16</w:t>
      </w:r>
      <w:r>
        <w:rPr>
          <w:rFonts w:hint="eastAsia"/>
          <w:sz w:val="24"/>
        </w:rPr>
        <w:fldChar w:fldCharType="end"/>
      </w:r>
      <w:r>
        <w:rPr>
          <w:rFonts w:hint="eastAsia"/>
          <w:sz w:val="24"/>
        </w:rPr>
        <w:fldChar w:fldCharType="end"/>
      </w:r>
    </w:p>
    <w:p>
      <w:pPr>
        <w:pStyle w:val="10"/>
        <w:adjustRightInd w:val="0"/>
        <w:snapToGrid w:val="0"/>
        <w:spacing w:before="0" w:line="440" w:lineRule="exact"/>
        <w:jc w:val="left"/>
        <w:rPr>
          <w:b/>
        </w:rPr>
      </w:pPr>
      <w:r>
        <w:fldChar w:fldCharType="begin"/>
      </w:r>
      <w:r>
        <w:instrText xml:space="preserve"> HYPERLINK \l "_Toc11363" </w:instrText>
      </w:r>
      <w:r>
        <w:fldChar w:fldCharType="separate"/>
      </w:r>
      <w:r>
        <w:rPr>
          <w:rFonts w:hint="eastAsia"/>
          <w:sz w:val="24"/>
        </w:rPr>
        <w:t>第五部分 附表</w:t>
      </w:r>
      <w:r>
        <w:rPr>
          <w:rFonts w:hint="eastAsia"/>
          <w:sz w:val="24"/>
        </w:rPr>
        <w:tab/>
      </w:r>
      <w:r>
        <w:rPr>
          <w:rFonts w:hint="eastAsia"/>
          <w:sz w:val="24"/>
        </w:rPr>
        <w:fldChar w:fldCharType="begin"/>
      </w:r>
      <w:r>
        <w:rPr>
          <w:rFonts w:hint="eastAsia"/>
          <w:sz w:val="24"/>
        </w:rPr>
        <w:instrText xml:space="preserve"> PAGEREF _Toc11363 \h </w:instrText>
      </w:r>
      <w:r>
        <w:rPr>
          <w:rFonts w:hint="eastAsia"/>
          <w:sz w:val="24"/>
        </w:rPr>
        <w:fldChar w:fldCharType="separate"/>
      </w:r>
      <w:r>
        <w:rPr>
          <w:rFonts w:hint="eastAsia"/>
          <w:sz w:val="24"/>
        </w:rPr>
        <w:t>21</w:t>
      </w:r>
      <w:r>
        <w:rPr>
          <w:rFonts w:hint="eastAsia"/>
          <w:sz w:val="24"/>
        </w:rPr>
        <w:fldChar w:fldCharType="end"/>
      </w:r>
      <w:r>
        <w:rPr>
          <w:rFonts w:hint="eastAsia"/>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"_Toc32320" </w:instrText>
      </w:r>
      <w:r>
        <w:fldChar w:fldCharType="separate"/>
      </w:r>
      <w:r>
        <w:rPr>
          <w:rFonts w:hint="eastAsia" w:ascii="宋体" w:hAnsi="宋体" w:cs="宋体"/>
          <w:sz w:val="24"/>
        </w:rPr>
        <w:t>一、收入支出决算总表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_Toc32320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"_Toc24787" </w:instrText>
      </w:r>
      <w:r>
        <w:fldChar w:fldCharType="separate"/>
      </w:r>
      <w:r>
        <w:rPr>
          <w:rFonts w:hint="eastAsia" w:ascii="宋体" w:hAnsi="宋体" w:cs="宋体"/>
          <w:sz w:val="24"/>
        </w:rPr>
        <w:t>二、收入决算表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_Toc24787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"_Toc32716" </w:instrText>
      </w:r>
      <w:r>
        <w:fldChar w:fldCharType="separate"/>
      </w:r>
      <w:r>
        <w:rPr>
          <w:rFonts w:hint="eastAsia" w:ascii="宋体" w:hAnsi="宋体" w:cs="宋体"/>
          <w:sz w:val="24"/>
        </w:rPr>
        <w:t>三、支出决算表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_Toc32716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"_Toc8507" </w:instrText>
      </w:r>
      <w:r>
        <w:fldChar w:fldCharType="separate"/>
      </w:r>
      <w:r>
        <w:rPr>
          <w:rFonts w:hint="eastAsia" w:ascii="宋体" w:hAnsi="宋体" w:cs="宋体"/>
          <w:sz w:val="24"/>
        </w:rPr>
        <w:t>四、财政拨款收入支出决算总表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_Toc8507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"_Toc2702" </w:instrText>
      </w:r>
      <w:r>
        <w:fldChar w:fldCharType="separate"/>
      </w:r>
      <w:r>
        <w:rPr>
          <w:rFonts w:hint="eastAsia" w:ascii="宋体" w:hAnsi="宋体" w:cs="宋体"/>
          <w:sz w:val="24"/>
        </w:rPr>
        <w:t>五、财政拨款支出决算明细表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_Toc2702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"_Toc19362" </w:instrText>
      </w:r>
      <w:r>
        <w:fldChar w:fldCharType="separate"/>
      </w:r>
      <w:r>
        <w:rPr>
          <w:rFonts w:hint="eastAsia" w:ascii="宋体" w:hAnsi="宋体" w:cs="宋体"/>
          <w:sz w:val="24"/>
        </w:rPr>
        <w:t>六、一般公共预算财政拨款支出决算表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_Toc19362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"_Toc8046" </w:instrText>
      </w:r>
      <w:r>
        <w:fldChar w:fldCharType="separate"/>
      </w:r>
      <w:r>
        <w:rPr>
          <w:rFonts w:hint="eastAsia" w:ascii="宋体" w:hAnsi="宋体" w:cs="宋体"/>
          <w:sz w:val="24"/>
        </w:rPr>
        <w:t>七、一般公共预算财政拨款支出决算明细表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_Toc8046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"_Toc29797" </w:instrText>
      </w:r>
      <w:r>
        <w:fldChar w:fldCharType="separate"/>
      </w:r>
      <w:r>
        <w:rPr>
          <w:rFonts w:hint="eastAsia" w:ascii="宋体" w:hAnsi="宋体" w:cs="宋体"/>
          <w:sz w:val="24"/>
        </w:rPr>
        <w:t>八、一般公共预算财政拨款基本支出决算表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_Toc29797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"_Toc1050" </w:instrText>
      </w:r>
      <w:r>
        <w:fldChar w:fldCharType="separate"/>
      </w:r>
      <w:r>
        <w:rPr>
          <w:rFonts w:hint="eastAsia" w:ascii="宋体" w:hAnsi="宋体" w:cs="宋体"/>
          <w:sz w:val="24"/>
        </w:rPr>
        <w:t>九、一般公共预算财政拨款项目支出决算表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_Toc1050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"_Toc27162" </w:instrText>
      </w:r>
      <w:r>
        <w:fldChar w:fldCharType="separate"/>
      </w:r>
      <w:r>
        <w:rPr>
          <w:rFonts w:hint="eastAsia" w:ascii="宋体" w:hAnsi="宋体" w:cs="宋体"/>
          <w:sz w:val="24"/>
        </w:rPr>
        <w:t>十、一般公共预算财政拨款“三公”经费支出决算表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_Toc27162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"_Toc30195" </w:instrText>
      </w:r>
      <w:r>
        <w:fldChar w:fldCharType="separate"/>
      </w:r>
      <w:r>
        <w:rPr>
          <w:rFonts w:hint="eastAsia" w:ascii="宋体" w:hAnsi="宋体" w:cs="宋体"/>
          <w:sz w:val="24"/>
        </w:rPr>
        <w:t>十一、政府性基金预算财政拨款收入支出决算表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_Toc30195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"_Toc24914" </w:instrText>
      </w:r>
      <w:r>
        <w:fldChar w:fldCharType="separate"/>
      </w:r>
      <w:r>
        <w:rPr>
          <w:rFonts w:hint="eastAsia" w:ascii="宋体" w:hAnsi="宋体" w:cs="宋体"/>
          <w:sz w:val="24"/>
        </w:rPr>
        <w:t>十二、政府性基金预算财政拨款“三公”经费支出决算表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_Toc24914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rPr>
          <w:rFonts w:ascii="宋体" w:hAnsi="宋体" w:cs="宋体"/>
          <w:sz w:val="24"/>
        </w:rPr>
      </w:pPr>
      <w:r>
        <w:fldChar w:fldCharType="begin"/>
      </w:r>
      <w:r>
        <w:instrText xml:space="preserve"> HYPERLINK \l "_Toc22823" </w:instrText>
      </w:r>
      <w:r>
        <w:fldChar w:fldCharType="separate"/>
      </w:r>
      <w:r>
        <w:rPr>
          <w:rFonts w:hint="eastAsia" w:ascii="宋体" w:hAnsi="宋体" w:cs="宋体"/>
          <w:sz w:val="24"/>
        </w:rPr>
        <w:t>十三、国有资本经营预算财政拨款收入支出决算表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_Toc22823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pPr>
        <w:pStyle w:val="11"/>
        <w:adjustRightInd w:val="0"/>
        <w:snapToGrid w:val="0"/>
        <w:spacing w:line="440" w:lineRule="exact"/>
        <w:jc w:val="left"/>
      </w:pPr>
      <w:r>
        <w:fldChar w:fldCharType="begin"/>
      </w:r>
      <w:r>
        <w:instrText xml:space="preserve"> HYPERLINK \l "_Toc20416" </w:instrText>
      </w:r>
      <w:r>
        <w:fldChar w:fldCharType="separate"/>
      </w:r>
      <w:r>
        <w:rPr>
          <w:rFonts w:hint="eastAsia" w:ascii="宋体" w:hAnsi="宋体" w:cs="宋体"/>
          <w:sz w:val="24"/>
        </w:rPr>
        <w:t>十四、国有资本经营预算财政拨款支出决算表</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_Toc20416 \h </w:instrText>
      </w:r>
      <w:r>
        <w:rPr>
          <w:rFonts w:hint="eastAsia" w:ascii="宋体" w:hAnsi="宋体" w:cs="宋体"/>
          <w:sz w:val="24"/>
        </w:rPr>
        <w:fldChar w:fldCharType="separate"/>
      </w:r>
      <w:r>
        <w:rPr>
          <w:rFonts w:hint="eastAsia" w:ascii="宋体" w:hAnsi="宋体" w:cs="宋体"/>
          <w:sz w:val="24"/>
        </w:rPr>
        <w:t>21</w:t>
      </w:r>
      <w:r>
        <w:rPr>
          <w:rFonts w:hint="eastAsia" w:ascii="宋体" w:hAnsi="宋体" w:cs="宋体"/>
          <w:sz w:val="24"/>
        </w:rPr>
        <w:fldChar w:fldCharType="end"/>
      </w:r>
      <w:r>
        <w:rPr>
          <w:rFonts w:hint="eastAsia" w:ascii="宋体" w:hAnsi="宋体" w:cs="宋体"/>
          <w:sz w:val="24"/>
        </w:rPr>
        <w:fldChar w:fldCharType="end"/>
      </w:r>
    </w:p>
    <w:p>
      <w:r>
        <w:rPr>
          <w:b/>
        </w:rPr>
        <w:fldChar w:fldCharType="end"/>
      </w:r>
    </w:p>
    <w:p>
      <w:pPr>
        <w:widowControl/>
        <w:spacing w:line="440" w:lineRule="exact"/>
        <w:jc w:val="left"/>
        <w:rPr>
          <w:rFonts w:ascii="仿宋" w:hAnsi="仿宋" w:eastAsia="仿宋"/>
          <w:bCs/>
          <w:kern w:val="44"/>
          <w:sz w:val="24"/>
        </w:rPr>
      </w:pPr>
      <w:bookmarkStart w:id="15" w:name="_Toc15377196"/>
      <w:bookmarkStart w:id="16" w:name="_Toc15396599"/>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2"/>
        <w:spacing w:before="93"/>
        <w:rPr>
          <w:rFonts w:ascii="仿宋" w:hAnsi="仿宋" w:eastAsia="仿宋"/>
          <w:bCs/>
          <w:kern w:val="44"/>
        </w:rPr>
      </w:pPr>
    </w:p>
    <w:p>
      <w:pPr>
        <w:pStyle w:val="3"/>
        <w:jc w:val="center"/>
        <w:rPr>
          <w:rStyle w:val="28"/>
          <w:rFonts w:ascii="黑体" w:hAnsi="黑体" w:eastAsia="黑体"/>
          <w:b/>
          <w:bCs w:val="0"/>
        </w:rPr>
      </w:pPr>
      <w:bookmarkStart w:id="17" w:name="_Toc29521"/>
      <w:r>
        <w:rPr>
          <w:rFonts w:hint="eastAsia" w:ascii="黑体" w:hAnsi="黑体" w:eastAsia="黑体"/>
          <w:b w:val="0"/>
        </w:rPr>
        <w:t>第一部分 单位</w:t>
      </w:r>
      <w:r>
        <w:rPr>
          <w:rStyle w:val="28"/>
          <w:rFonts w:hint="eastAsia" w:ascii="黑体" w:hAnsi="黑体" w:eastAsia="黑体"/>
          <w:b w:val="0"/>
          <w:bCs w:val="0"/>
        </w:rPr>
        <w:t>概况</w:t>
      </w:r>
      <w:bookmarkEnd w:id="15"/>
      <w:bookmarkEnd w:id="16"/>
      <w:bookmarkEnd w:id="17"/>
    </w:p>
    <w:p>
      <w:pPr>
        <w:widowControl/>
        <w:jc w:val="left"/>
        <w:rPr>
          <w:rFonts w:ascii="黑体" w:eastAsia="黑体"/>
          <w:sz w:val="32"/>
          <w:szCs w:val="32"/>
        </w:rPr>
      </w:pPr>
    </w:p>
    <w:p>
      <w:pPr>
        <w:pStyle w:val="4"/>
        <w:spacing w:before="0" w:after="0" w:line="600" w:lineRule="exact"/>
        <w:ind w:firstLine="640" w:firstLineChars="200"/>
        <w:rPr>
          <w:rStyle w:val="29"/>
          <w:rFonts w:ascii="黑体" w:hAnsi="黑体" w:eastAsia="黑体"/>
          <w:b w:val="0"/>
          <w:bCs w:val="0"/>
        </w:rPr>
      </w:pPr>
      <w:bookmarkStart w:id="18" w:name="_Toc16056"/>
      <w:bookmarkStart w:id="19" w:name="_Toc15377197"/>
      <w:bookmarkStart w:id="20" w:name="_Toc15396600"/>
      <w:r>
        <w:rPr>
          <w:rStyle w:val="29"/>
          <w:rFonts w:hint="eastAsia" w:ascii="黑体" w:hAnsi="黑体" w:eastAsia="黑体"/>
          <w:b w:val="0"/>
          <w:bCs w:val="0"/>
        </w:rPr>
        <w:t>一、职能简介</w:t>
      </w:r>
      <w:bookmarkEnd w:id="18"/>
    </w:p>
    <w:p>
      <w:pPr>
        <w:spacing w:line="600" w:lineRule="exact"/>
        <w:ind w:firstLine="640" w:firstLineChars="200"/>
      </w:pPr>
      <w:r>
        <w:rPr>
          <w:rFonts w:hint="eastAsia" w:ascii="仿宋" w:hAnsi="仿宋" w:eastAsia="仿宋"/>
          <w:color w:val="000000"/>
          <w:sz w:val="32"/>
          <w:szCs w:val="32"/>
        </w:rPr>
        <w:t>残联的主要职能是“代表、服务、管理”。主要任务是残疾人的社会保障、劳动就业、教育、文化与体育、康复与医疗、残疾预防等。</w:t>
      </w:r>
    </w:p>
    <w:p>
      <w:pPr>
        <w:pStyle w:val="4"/>
        <w:spacing w:before="0" w:after="0" w:line="600" w:lineRule="exact"/>
        <w:ind w:firstLine="640" w:firstLineChars="200"/>
        <w:rPr>
          <w:rFonts w:ascii="黑体" w:hAnsi="黑体" w:eastAsia="黑体"/>
          <w:b w:val="0"/>
        </w:rPr>
      </w:pPr>
      <w:bookmarkStart w:id="21" w:name="_Toc7824"/>
      <w:r>
        <w:rPr>
          <w:rFonts w:hint="eastAsia" w:ascii="黑体" w:hAnsi="黑体" w:eastAsia="黑体"/>
          <w:b w:val="0"/>
        </w:rPr>
        <w:t>二、2021年重点工作</w:t>
      </w:r>
      <w:bookmarkEnd w:id="19"/>
      <w:bookmarkEnd w:id="20"/>
      <w:r>
        <w:rPr>
          <w:rFonts w:hint="eastAsia" w:ascii="黑体" w:hAnsi="黑体" w:eastAsia="黑体"/>
          <w:b w:val="0"/>
        </w:rPr>
        <w:t>完成情况</w:t>
      </w:r>
      <w:bookmarkEnd w:id="21"/>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市残联按照市委、市政府和省残联的安排部署，全面深化“量体裁衣”式残疾人服务，认真抓好残疾人康复、教育、就业、社会保障、体育、宣传文化、维权等工作，圆满完成了政府民生工程和职能目标任务。</w:t>
      </w:r>
    </w:p>
    <w:p>
      <w:pPr>
        <w:pStyle w:val="4"/>
        <w:spacing w:before="0" w:after="0" w:line="600" w:lineRule="exact"/>
        <w:ind w:firstLine="640" w:firstLineChars="200"/>
        <w:rPr>
          <w:rFonts w:ascii="黑体" w:hAnsi="黑体" w:eastAsia="黑体"/>
          <w:b w:val="0"/>
        </w:rPr>
      </w:pPr>
      <w:r>
        <w:rPr>
          <w:rFonts w:hint="eastAsia" w:ascii="黑体" w:hAnsi="黑体" w:eastAsia="黑体"/>
          <w:b w:val="0"/>
        </w:rPr>
        <w:t>三、机构设置</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攀枝花市残疾人联合会根据《攀枝花市人民政府办公室关于印〈攀枝花市残疾人联合会机构改革方案〉的通知》（攀办发〔2002〕68号）文件精神，设置办公室、康复科、教育就业科及维权科4个职能科（室）；单位机构数1个，核定编制11人。攀枝花市残疾人联合会下属科级事业单位攀枝花市残疾人劳动就业服务中心与残联机关合署办公，单位机构数1个，核定编制4人。</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纳入2021年度单位决算编制范围的独立编制机构包括：</w:t>
      </w:r>
      <w:bookmarkStart w:id="22" w:name="_Toc15377434"/>
      <w:bookmarkStart w:id="23" w:name="_Toc15377203"/>
      <w:bookmarkStart w:id="24" w:name="_Toc15378450"/>
      <w:bookmarkStart w:id="25" w:name="_Toc15306277"/>
      <w:r>
        <w:rPr>
          <w:rFonts w:hint="eastAsia" w:ascii="仿宋" w:hAnsi="仿宋" w:eastAsia="仿宋"/>
          <w:color w:val="000000"/>
          <w:sz w:val="32"/>
          <w:szCs w:val="32"/>
        </w:rPr>
        <w:t>攀枝花市残疾人劳动就业服务中心</w:t>
      </w:r>
      <w:bookmarkEnd w:id="22"/>
      <w:bookmarkEnd w:id="23"/>
      <w:bookmarkEnd w:id="24"/>
      <w:bookmarkEnd w:id="25"/>
      <w:r>
        <w:rPr>
          <w:rFonts w:hint="eastAsia" w:ascii="仿宋" w:hAnsi="仿宋" w:eastAsia="仿宋"/>
          <w:color w:val="000000"/>
          <w:sz w:val="32"/>
          <w:szCs w:val="32"/>
        </w:rPr>
        <w:t>。</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8"/>
          <w:rFonts w:ascii="黑体" w:hAnsi="黑体" w:eastAsia="黑体"/>
          <w:b w:val="0"/>
          <w:bCs/>
        </w:rPr>
      </w:pPr>
      <w:bookmarkStart w:id="26" w:name="_Toc15377204"/>
      <w:bookmarkStart w:id="27" w:name="_Toc15396602"/>
      <w:bookmarkStart w:id="28" w:name="_Toc19535"/>
      <w:r>
        <w:rPr>
          <w:rFonts w:hint="eastAsia" w:ascii="黑体" w:hAnsi="黑体" w:eastAsia="黑体"/>
          <w:b w:val="0"/>
        </w:rPr>
        <w:t>第二部分 2021年度</w:t>
      </w:r>
      <w:r>
        <w:rPr>
          <w:rStyle w:val="28"/>
          <w:rFonts w:hint="eastAsia" w:ascii="黑体" w:hAnsi="黑体" w:eastAsia="黑体"/>
          <w:b w:val="0"/>
          <w:bCs/>
        </w:rPr>
        <w:t>单位决算情况说明</w:t>
      </w:r>
      <w:bookmarkEnd w:id="26"/>
      <w:bookmarkEnd w:id="27"/>
      <w:bookmarkEnd w:id="28"/>
    </w:p>
    <w:p/>
    <w:p>
      <w:pPr>
        <w:pStyle w:val="18"/>
        <w:numPr>
          <w:ilvl w:val="0"/>
          <w:numId w:val="1"/>
        </w:numPr>
        <w:spacing w:line="600" w:lineRule="exact"/>
        <w:ind w:firstLineChars="0"/>
        <w:outlineLvl w:val="1"/>
        <w:rPr>
          <w:rStyle w:val="29"/>
          <w:rFonts w:ascii="黑体" w:hAnsi="黑体" w:eastAsia="黑体"/>
          <w:b w:val="0"/>
        </w:rPr>
      </w:pPr>
      <w:bookmarkStart w:id="29" w:name="_Toc15396603"/>
      <w:bookmarkStart w:id="30" w:name="_Toc24815"/>
      <w:bookmarkStart w:id="31"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29"/>
      <w:bookmarkEnd w:id="30"/>
      <w:bookmarkEnd w:id="31"/>
    </w:p>
    <w:p>
      <w:pPr>
        <w:pStyle w:val="12"/>
        <w:widowControl/>
        <w:numPr>
          <w:ilvl w:val="0"/>
          <w:numId w:val="2"/>
        </w:numPr>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收入决算总体情况说明</w:t>
      </w:r>
    </w:p>
    <w:p>
      <w:pPr>
        <w:pStyle w:val="12"/>
        <w:widowControl/>
        <w:spacing w:line="60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2021年全年收入437.65万元，上年收入607.61万元，与上年对比收入减少169.96万元，减少幅度27.97%，其中：本年财政预算收入429.47，上年财政预算收入528.61；本年结转资金8.18万元，上年结转资金79万元，本年基金收入9.08万元，上年基金收入11.35万元，收入减少原因是2021年度财政结转资金减少、项目减少。</w:t>
      </w:r>
    </w:p>
    <w:p>
      <w:pPr>
        <w:pStyle w:val="12"/>
        <w:widowControl/>
        <w:numPr>
          <w:ilvl w:val="0"/>
          <w:numId w:val="2"/>
        </w:numPr>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支出决算总体情况说明</w:t>
      </w:r>
    </w:p>
    <w:p>
      <w:pPr>
        <w:pStyle w:val="12"/>
        <w:widowControl/>
        <w:spacing w:line="60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2021年全年支出437.65万元，上年支出557.14万元，与上年对比支出减少119.49万元，减少幅度21.45%，原因是2021年度由市残联直接支付资金的项目减少。</w:t>
      </w:r>
    </w:p>
    <w:p>
      <w:pPr>
        <w:pStyle w:val="12"/>
        <w:widowControl/>
        <w:spacing w:line="600" w:lineRule="exact"/>
        <w:ind w:firstLine="640" w:firstLineChars="200"/>
        <w:jc w:val="left"/>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
        <w:spacing w:before="93"/>
        <w:rPr>
          <w:sz w:val="32"/>
          <w:szCs w:val="32"/>
        </w:rPr>
      </w:pPr>
      <w:r>
        <w:rPr>
          <w:sz w:val="32"/>
          <w:szCs w:val="32"/>
        </w:rPr>
        <w:drawing>
          <wp:anchor distT="0" distB="0" distL="114300" distR="114300" simplePos="0" relativeHeight="251659264" behindDoc="0" locked="0" layoutInCell="1" allowOverlap="1">
            <wp:simplePos x="0" y="0"/>
            <wp:positionH relativeFrom="column">
              <wp:posOffset>560070</wp:posOffset>
            </wp:positionH>
            <wp:positionV relativeFrom="paragraph">
              <wp:posOffset>100965</wp:posOffset>
            </wp:positionV>
            <wp:extent cx="4679950" cy="2193925"/>
            <wp:effectExtent l="0" t="0" r="0" b="0"/>
            <wp:wrapSquare wrapText="bothSides"/>
            <wp:docPr id="1"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18"/>
        <w:numPr>
          <w:ilvl w:val="0"/>
          <w:numId w:val="1"/>
        </w:numPr>
        <w:spacing w:line="600" w:lineRule="exact"/>
        <w:ind w:firstLineChars="0"/>
        <w:outlineLvl w:val="1"/>
        <w:rPr>
          <w:rStyle w:val="29"/>
          <w:rFonts w:ascii="黑体" w:hAnsi="黑体" w:eastAsia="黑体"/>
          <w:b w:val="0"/>
        </w:rPr>
      </w:pPr>
      <w:bookmarkStart w:id="32" w:name="_Toc30818"/>
      <w:bookmarkStart w:id="33" w:name="_Toc15377206"/>
      <w:bookmarkStart w:id="34" w:name="_Toc15396604"/>
      <w:r>
        <w:rPr>
          <w:rFonts w:hint="eastAsia" w:ascii="黑体" w:hAnsi="黑体" w:eastAsia="黑体"/>
          <w:sz w:val="32"/>
          <w:szCs w:val="32"/>
        </w:rPr>
        <w:t>收</w:t>
      </w:r>
      <w:r>
        <w:rPr>
          <w:rStyle w:val="29"/>
          <w:rFonts w:hint="eastAsia" w:ascii="黑体" w:hAnsi="黑体" w:eastAsia="黑体"/>
          <w:b w:val="0"/>
        </w:rPr>
        <w:t>入决算况</w:t>
      </w:r>
      <w:bookmarkEnd w:id="32"/>
      <w:bookmarkEnd w:id="33"/>
      <w:bookmarkEnd w:id="34"/>
    </w:p>
    <w:p>
      <w:pPr>
        <w:spacing w:line="600" w:lineRule="exact"/>
        <w:ind w:firstLine="640" w:firstLineChars="200"/>
        <w:outlineLvl w:val="1"/>
        <w:rPr>
          <w:rFonts w:ascii="黑体" w:hAnsi="黑体" w:eastAsia="黑体"/>
          <w:sz w:val="32"/>
          <w:szCs w:val="32"/>
        </w:rPr>
      </w:pPr>
      <w:bookmarkStart w:id="35" w:name="_Toc25922"/>
      <w:r>
        <w:rPr>
          <w:rFonts w:hint="eastAsia" w:ascii="黑体" w:hAnsi="黑体" w:eastAsia="黑体"/>
          <w:sz w:val="32"/>
          <w:szCs w:val="32"/>
        </w:rPr>
        <w:t>二、收入决算情况说明</w:t>
      </w:r>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w:t>
      </w:r>
      <w:r>
        <w:rPr>
          <w:rFonts w:hint="eastAsia" w:ascii="仿宋_GB2312" w:hAnsi="仿宋" w:eastAsia="仿宋_GB2312"/>
          <w:sz w:val="32"/>
          <w:szCs w:val="32"/>
        </w:rPr>
        <w:t>437.65</w:t>
      </w:r>
      <w:r>
        <w:rPr>
          <w:rFonts w:hint="eastAsia" w:ascii="仿宋" w:hAnsi="仿宋" w:eastAsia="仿宋"/>
          <w:sz w:val="32"/>
          <w:szCs w:val="32"/>
        </w:rPr>
        <w:t>万元，其中：一般公共预算财政拨款收入420.39万元，占96.06</w:t>
      </w:r>
      <w:r>
        <w:rPr>
          <w:rFonts w:ascii="仿宋" w:hAnsi="仿宋" w:eastAsia="仿宋"/>
          <w:sz w:val="32"/>
          <w:szCs w:val="32"/>
        </w:rPr>
        <w:t>%</w:t>
      </w:r>
      <w:r>
        <w:rPr>
          <w:rFonts w:hint="eastAsia" w:ascii="仿宋" w:hAnsi="仿宋" w:eastAsia="仿宋"/>
          <w:sz w:val="32"/>
          <w:szCs w:val="32"/>
        </w:rPr>
        <w:t>；政府性基金预算财政拨款收入9.08万元，占2.07</w:t>
      </w:r>
      <w:r>
        <w:rPr>
          <w:rFonts w:ascii="仿宋" w:hAnsi="仿宋" w:eastAsia="仿宋"/>
          <w:sz w:val="32"/>
          <w:szCs w:val="32"/>
        </w:rPr>
        <w:t>%</w:t>
      </w:r>
      <w:r>
        <w:rPr>
          <w:rFonts w:hint="eastAsia" w:ascii="仿宋" w:hAnsi="仿宋" w:eastAsia="仿宋"/>
          <w:sz w:val="32"/>
          <w:szCs w:val="32"/>
        </w:rPr>
        <w:t>；年初结转结余8.18万元，占1.87</w:t>
      </w:r>
      <w:r>
        <w:rPr>
          <w:rFonts w:ascii="仿宋" w:hAnsi="仿宋" w:eastAsia="仿宋"/>
          <w:sz w:val="32"/>
          <w:szCs w:val="32"/>
        </w:rPr>
        <w:t>%</w:t>
      </w:r>
      <w:r>
        <w:rPr>
          <w:rFonts w:hint="eastAsia" w:ascii="仿宋" w:hAnsi="仿宋" w:eastAsia="仿宋"/>
          <w:sz w:val="32"/>
          <w:szCs w:val="32"/>
        </w:rPr>
        <w:t>。</w:t>
      </w:r>
      <w:bookmarkEnd w:id="35"/>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w:t>
      </w:r>
    </w:p>
    <w:p>
      <w:pPr>
        <w:spacing w:line="600" w:lineRule="exact"/>
        <w:ind w:firstLine="640" w:firstLineChars="200"/>
        <w:rPr>
          <w:rFonts w:ascii="仿宋_GB2312" w:eastAsia="仿宋_GB2312"/>
          <w:sz w:val="32"/>
          <w:szCs w:val="32"/>
        </w:rPr>
      </w:pPr>
      <w:r>
        <w:rPr>
          <w:rFonts w:ascii="仿宋_GB2312" w:eastAsia="仿宋_GB2312"/>
          <w:sz w:val="32"/>
          <w:szCs w:val="32"/>
        </w:rPr>
        <w:drawing>
          <wp:anchor distT="0" distB="0" distL="114300" distR="114300" simplePos="0" relativeHeight="251660288" behindDoc="0" locked="0" layoutInCell="1" allowOverlap="0">
            <wp:simplePos x="0" y="0"/>
            <wp:positionH relativeFrom="column">
              <wp:align>center</wp:align>
            </wp:positionH>
            <wp:positionV relativeFrom="paragraph">
              <wp:posOffset>238760</wp:posOffset>
            </wp:positionV>
            <wp:extent cx="3168650" cy="1968500"/>
            <wp:effectExtent l="0" t="1905" r="6350" b="1270"/>
            <wp:wrapSquare wrapText="bothSides"/>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pStyle w:val="18"/>
        <w:numPr>
          <w:ilvl w:val="0"/>
          <w:numId w:val="1"/>
        </w:numPr>
        <w:spacing w:line="600" w:lineRule="exact"/>
        <w:ind w:firstLineChars="0"/>
        <w:outlineLvl w:val="1"/>
        <w:rPr>
          <w:rStyle w:val="29"/>
          <w:rFonts w:ascii="黑体" w:hAnsi="黑体" w:eastAsia="黑体"/>
          <w:b w:val="0"/>
        </w:rPr>
      </w:pPr>
      <w:bookmarkStart w:id="36" w:name="_Toc15377207"/>
      <w:bookmarkStart w:id="37" w:name="_Toc15396605"/>
      <w:bookmarkStart w:id="38" w:name="_Toc11117"/>
      <w:r>
        <w:rPr>
          <w:rFonts w:hint="eastAsia" w:ascii="黑体" w:hAnsi="黑体" w:eastAsia="黑体"/>
          <w:sz w:val="32"/>
          <w:szCs w:val="32"/>
        </w:rPr>
        <w:t>支</w:t>
      </w:r>
      <w:r>
        <w:rPr>
          <w:rStyle w:val="29"/>
          <w:rFonts w:hint="eastAsia" w:ascii="黑体" w:hAnsi="黑体" w:eastAsia="黑体"/>
          <w:b w:val="0"/>
        </w:rPr>
        <w:t>出决算情况说明</w:t>
      </w:r>
      <w:bookmarkEnd w:id="36"/>
      <w:bookmarkEnd w:id="37"/>
      <w:bookmarkEnd w:id="38"/>
    </w:p>
    <w:p>
      <w:pPr>
        <w:spacing w:line="600" w:lineRule="exact"/>
        <w:ind w:firstLine="640" w:firstLineChars="200"/>
        <w:outlineLvl w:val="1"/>
        <w:rPr>
          <w:rFonts w:ascii="仿宋" w:hAnsi="仿宋" w:eastAsia="仿宋"/>
          <w:sz w:val="32"/>
          <w:szCs w:val="32"/>
        </w:rPr>
      </w:pPr>
      <w:bookmarkStart w:id="39" w:name="_Toc32569"/>
      <w:r>
        <w:rPr>
          <w:rFonts w:ascii="仿宋" w:hAnsi="仿宋" w:eastAsia="仿宋"/>
          <w:sz w:val="32"/>
          <w:szCs w:val="32"/>
        </w:rPr>
        <w:t>20</w:t>
      </w:r>
      <w:r>
        <w:rPr>
          <w:rFonts w:hint="eastAsia" w:ascii="仿宋" w:hAnsi="仿宋" w:eastAsia="仿宋"/>
          <w:sz w:val="32"/>
          <w:szCs w:val="32"/>
        </w:rPr>
        <w:t>21年本年支出合计437.65万元，其中：基本支出344.44万元，占78.70</w:t>
      </w:r>
      <w:r>
        <w:rPr>
          <w:rFonts w:ascii="仿宋" w:hAnsi="仿宋" w:eastAsia="仿宋"/>
          <w:sz w:val="32"/>
          <w:szCs w:val="32"/>
        </w:rPr>
        <w:t>%</w:t>
      </w:r>
      <w:r>
        <w:rPr>
          <w:rFonts w:hint="eastAsia" w:ascii="仿宋" w:hAnsi="仿宋" w:eastAsia="仿宋"/>
          <w:sz w:val="32"/>
          <w:szCs w:val="32"/>
        </w:rPr>
        <w:t>；项目支出93.21万元，占21.30</w:t>
      </w:r>
      <w:r>
        <w:rPr>
          <w:rFonts w:ascii="仿宋" w:hAnsi="仿宋" w:eastAsia="仿宋"/>
          <w:sz w:val="32"/>
          <w:szCs w:val="32"/>
        </w:rPr>
        <w:t>%</w:t>
      </w:r>
      <w:r>
        <w:rPr>
          <w:rFonts w:hint="eastAsia" w:ascii="仿宋" w:hAnsi="仿宋" w:eastAsia="仿宋"/>
          <w:sz w:val="32"/>
          <w:szCs w:val="32"/>
        </w:rPr>
        <w:t>。</w:t>
      </w:r>
      <w:bookmarkEnd w:id="39"/>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w:t>
      </w:r>
    </w:p>
    <w:p>
      <w:pPr>
        <w:pStyle w:val="2"/>
        <w:spacing w:before="93"/>
      </w:pPr>
      <w:r>
        <w:drawing>
          <wp:inline distT="0" distB="0" distL="0" distR="0">
            <wp:extent cx="3667125" cy="2047875"/>
            <wp:effectExtent l="0" t="0" r="0" b="0"/>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Style w:val="29"/>
          <w:rFonts w:ascii="黑体" w:hAnsi="黑体" w:eastAsia="黑体"/>
          <w:b w:val="0"/>
        </w:rPr>
      </w:pPr>
      <w:bookmarkStart w:id="40" w:name="_Toc27357"/>
      <w:bookmarkStart w:id="41" w:name="_Toc15377208"/>
      <w:bookmarkStart w:id="42"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40"/>
      <w:bookmarkEnd w:id="41"/>
      <w:bookmarkEnd w:id="42"/>
    </w:p>
    <w:p>
      <w:pPr>
        <w:pStyle w:val="12"/>
        <w:widowControl/>
        <w:spacing w:line="600" w:lineRule="exact"/>
        <w:ind w:firstLine="640" w:firstLineChars="200"/>
        <w:jc w:val="left"/>
        <w:rPr>
          <w:rFonts w:ascii="仿宋_GB2312" w:hAnsi="仿宋" w:eastAsia="仿宋_GB2312"/>
          <w:sz w:val="32"/>
          <w:szCs w:val="32"/>
        </w:rPr>
      </w:pPr>
      <w:r>
        <w:rPr>
          <w:rFonts w:ascii="仿宋" w:hAnsi="仿宋" w:eastAsia="仿宋"/>
          <w:sz w:val="32"/>
          <w:szCs w:val="32"/>
        </w:rPr>
        <w:t>20</w:t>
      </w:r>
      <w:r>
        <w:rPr>
          <w:rFonts w:hint="eastAsia" w:ascii="仿宋" w:hAnsi="仿宋" w:eastAsia="仿宋"/>
          <w:sz w:val="32"/>
          <w:szCs w:val="32"/>
        </w:rPr>
        <w:t>21年财政拨款收入437.65万元，与</w:t>
      </w:r>
      <w:r>
        <w:rPr>
          <w:rFonts w:ascii="仿宋" w:hAnsi="仿宋" w:eastAsia="仿宋"/>
          <w:sz w:val="32"/>
          <w:szCs w:val="32"/>
        </w:rPr>
        <w:t>20</w:t>
      </w:r>
      <w:r>
        <w:rPr>
          <w:rFonts w:hint="eastAsia" w:ascii="仿宋" w:hAnsi="仿宋" w:eastAsia="仿宋"/>
          <w:sz w:val="32"/>
          <w:szCs w:val="32"/>
        </w:rPr>
        <w:t>20年相比，财政拨款收入减少</w:t>
      </w:r>
      <w:r>
        <w:rPr>
          <w:rFonts w:hint="eastAsia" w:ascii="仿宋_GB2312" w:hAnsi="仿宋" w:eastAsia="仿宋_GB2312"/>
          <w:sz w:val="32"/>
          <w:szCs w:val="32"/>
        </w:rPr>
        <w:t>169.96</w:t>
      </w:r>
      <w:r>
        <w:rPr>
          <w:rFonts w:hint="eastAsia" w:ascii="仿宋" w:hAnsi="仿宋" w:eastAsia="仿宋"/>
          <w:sz w:val="32"/>
          <w:szCs w:val="32"/>
        </w:rPr>
        <w:t>万元，下降</w:t>
      </w:r>
      <w:r>
        <w:rPr>
          <w:rFonts w:hint="eastAsia" w:ascii="仿宋_GB2312" w:hAnsi="仿宋" w:eastAsia="仿宋_GB2312"/>
          <w:sz w:val="32"/>
          <w:szCs w:val="32"/>
        </w:rPr>
        <w:t>27.97%；2021年全年支出437.65万元，</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w:t>
      </w:r>
      <w:r>
        <w:rPr>
          <w:rFonts w:hint="eastAsia" w:ascii="仿宋_GB2312" w:hAnsi="仿宋" w:eastAsia="仿宋_GB2312"/>
          <w:sz w:val="32"/>
          <w:szCs w:val="32"/>
        </w:rPr>
        <w:t>支出减少119.49万元，减少幅度21.45%，原因是2021年度由市残联直接支付资金的项目减少。</w:t>
      </w:r>
    </w:p>
    <w:p>
      <w:pPr>
        <w:pStyle w:val="12"/>
        <w:widowControl/>
        <w:spacing w:line="600" w:lineRule="exact"/>
        <w:ind w:firstLine="640" w:firstLineChars="200"/>
        <w:jc w:val="left"/>
        <w:rPr>
          <w:rFonts w:ascii="仿宋_GB2312" w:hAnsi="仿宋" w:eastAsia="仿宋_GB2312"/>
          <w:sz w:val="32"/>
          <w:szCs w:val="32"/>
        </w:rPr>
      </w:pPr>
      <w:r>
        <w:rPr>
          <w:rFonts w:hint="eastAsia" w:ascii="仿宋" w:hAnsi="仿宋" w:eastAsia="仿宋"/>
          <w:sz w:val="32"/>
          <w:szCs w:val="32"/>
        </w:rPr>
        <w:t>（图4：财政拨款收、支决算总计变动情况）</w:t>
      </w:r>
    </w:p>
    <w:p>
      <w:pPr>
        <w:pStyle w:val="2"/>
        <w:spacing w:before="93"/>
      </w:pPr>
      <w:r>
        <w:drawing>
          <wp:inline distT="0" distB="0" distL="0" distR="0">
            <wp:extent cx="4486275" cy="2219325"/>
            <wp:effectExtent l="0" t="0" r="0" b="0"/>
            <wp:docPr id="4"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outlineLvl w:val="1"/>
        <w:rPr>
          <w:rStyle w:val="29"/>
          <w:rFonts w:ascii="黑体" w:hAnsi="黑体" w:eastAsia="黑体"/>
          <w:b w:val="0"/>
        </w:rPr>
      </w:pPr>
      <w:bookmarkStart w:id="43" w:name="_Toc9484"/>
      <w:bookmarkStart w:id="44" w:name="_Toc15377209"/>
      <w:bookmarkStart w:id="45"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43"/>
      <w:bookmarkEnd w:id="44"/>
      <w:bookmarkEnd w:id="45"/>
    </w:p>
    <w:p>
      <w:pPr>
        <w:spacing w:line="600" w:lineRule="exact"/>
        <w:ind w:firstLine="643" w:firstLineChars="200"/>
        <w:outlineLvl w:val="2"/>
        <w:rPr>
          <w:rFonts w:ascii="仿宋" w:hAnsi="仿宋" w:eastAsia="仿宋"/>
          <w:b/>
          <w:sz w:val="32"/>
          <w:szCs w:val="32"/>
        </w:rPr>
      </w:pPr>
      <w:bookmarkStart w:id="46" w:name="_Toc15377210"/>
      <w:r>
        <w:rPr>
          <w:rFonts w:hint="eastAsia" w:ascii="仿宋" w:hAnsi="仿宋" w:eastAsia="仿宋"/>
          <w:b/>
          <w:sz w:val="32"/>
          <w:szCs w:val="32"/>
        </w:rPr>
        <w:t>（一）一般公共预算财政拨款支出决算总体情况</w:t>
      </w:r>
      <w:bookmarkEnd w:id="46"/>
    </w:p>
    <w:p>
      <w:pPr>
        <w:pStyle w:val="12"/>
        <w:widowControl/>
        <w:spacing w:line="600" w:lineRule="exact"/>
        <w:ind w:firstLine="640" w:firstLineChars="200"/>
        <w:jc w:val="left"/>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21年一般公共预算财政拨款支出422.58万元，占本年支出合计的96.56</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20年507.28万元相比，一般公共预算财政拨款支出减少84.70万元，下降16.70</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rPr>
        <w:t>2021年度由市残联直接支付资金的项目减少。</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pPr>
        <w:pStyle w:val="2"/>
        <w:spacing w:before="93"/>
        <w:ind w:firstLine="1440" w:firstLineChars="600"/>
      </w:pPr>
      <w:r>
        <w:drawing>
          <wp:inline distT="0" distB="0" distL="0" distR="0">
            <wp:extent cx="3914775" cy="1943100"/>
            <wp:effectExtent l="0" t="0" r="0" b="0"/>
            <wp:docPr id="5" name="对象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3" w:firstLineChars="200"/>
        <w:outlineLvl w:val="2"/>
        <w:rPr>
          <w:rFonts w:ascii="仿宋" w:hAnsi="仿宋" w:eastAsia="仿宋"/>
          <w:b/>
          <w:sz w:val="32"/>
          <w:szCs w:val="32"/>
        </w:rPr>
      </w:pPr>
      <w:bookmarkStart w:id="47" w:name="_Toc15377211"/>
      <w:r>
        <w:rPr>
          <w:rFonts w:hint="eastAsia" w:ascii="仿宋" w:hAnsi="仿宋" w:eastAsia="仿宋"/>
          <w:b/>
          <w:sz w:val="32"/>
          <w:szCs w:val="32"/>
        </w:rPr>
        <w:t>（二）一般公共预算财政拨款支出决算结构情况</w:t>
      </w:r>
      <w:bookmarkEnd w:id="47"/>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21年一般公共预算财政拨款支出422.58万元，主要用于以下方面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支出2.18万元，占0.52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支出398.04万元，占94.19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住房保障</w:t>
      </w:r>
      <w:r>
        <w:rPr>
          <w:rFonts w:hint="eastAsia" w:ascii="仿宋" w:hAnsi="仿宋" w:eastAsia="仿宋"/>
          <w:sz w:val="32"/>
          <w:szCs w:val="32"/>
        </w:rPr>
        <w:t>支出22.36万元，占5.29</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pPr>
        <w:pStyle w:val="2"/>
        <w:spacing w:before="93"/>
      </w:pPr>
      <w:r>
        <w:drawing>
          <wp:inline distT="0" distB="0" distL="0" distR="0">
            <wp:extent cx="3771900" cy="2219325"/>
            <wp:effectExtent l="0" t="0" r="0" b="0"/>
            <wp:docPr id="6" name="对象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
        <w:spacing w:before="93"/>
      </w:pPr>
    </w:p>
    <w:p>
      <w:pPr>
        <w:spacing w:line="600" w:lineRule="exact"/>
        <w:ind w:firstLine="643" w:firstLineChars="200"/>
        <w:outlineLvl w:val="2"/>
        <w:rPr>
          <w:rFonts w:ascii="仿宋" w:hAnsi="仿宋" w:eastAsia="仿宋"/>
          <w:b/>
          <w:sz w:val="32"/>
          <w:szCs w:val="32"/>
        </w:rPr>
      </w:pPr>
      <w:bookmarkStart w:id="48" w:name="_Toc15377212"/>
      <w:r>
        <w:rPr>
          <w:rFonts w:hint="eastAsia" w:ascii="仿宋" w:hAnsi="仿宋" w:eastAsia="仿宋"/>
          <w:b/>
          <w:sz w:val="32"/>
          <w:szCs w:val="32"/>
        </w:rPr>
        <w:t>（三）一般公共预算财政拨款支出决算具体情况</w:t>
      </w:r>
      <w:bookmarkEnd w:id="48"/>
    </w:p>
    <w:p>
      <w:pPr>
        <w:spacing w:line="600" w:lineRule="exact"/>
        <w:ind w:firstLine="643" w:firstLineChars="200"/>
        <w:outlineLvl w:val="2"/>
        <w:rPr>
          <w:rFonts w:ascii="仿宋" w:hAnsi="仿宋" w:eastAsia="仿宋"/>
          <w:sz w:val="32"/>
          <w:szCs w:val="32"/>
        </w:rPr>
      </w:pPr>
      <w:bookmarkStart w:id="49" w:name="_Toc15377444"/>
      <w:bookmarkStart w:id="50" w:name="_Toc15377213"/>
      <w:bookmarkStart w:id="51" w:name="_Toc15378460"/>
      <w:r>
        <w:rPr>
          <w:rFonts w:hint="eastAsia" w:ascii="仿宋" w:hAnsi="仿宋" w:eastAsia="仿宋"/>
          <w:b/>
          <w:sz w:val="32"/>
          <w:szCs w:val="32"/>
        </w:rPr>
        <w:t>2021年一般公共预算支出决算数为422.58万元</w:t>
      </w:r>
      <w:r>
        <w:rPr>
          <w:rFonts w:hint="eastAsia" w:ascii="仿宋" w:hAnsi="仿宋" w:eastAsia="仿宋"/>
          <w:sz w:val="32"/>
          <w:szCs w:val="32"/>
        </w:rPr>
        <w:t>，</w:t>
      </w:r>
      <w:r>
        <w:rPr>
          <w:rStyle w:val="15"/>
          <w:rFonts w:hint="eastAsia" w:ascii="仿宋" w:hAnsi="仿宋" w:eastAsia="仿宋"/>
          <w:bCs/>
          <w:sz w:val="32"/>
          <w:szCs w:val="32"/>
        </w:rPr>
        <w:t>完成预算100</w:t>
      </w:r>
      <w:r>
        <w:rPr>
          <w:rStyle w:val="15"/>
          <w:rFonts w:ascii="仿宋" w:hAnsi="仿宋" w:eastAsia="仿宋"/>
          <w:bCs/>
          <w:sz w:val="32"/>
          <w:szCs w:val="32"/>
        </w:rPr>
        <w:t>%</w:t>
      </w:r>
      <w:r>
        <w:rPr>
          <w:rStyle w:val="15"/>
          <w:rFonts w:hint="eastAsia" w:ascii="仿宋" w:hAnsi="仿宋" w:eastAsia="仿宋"/>
          <w:bCs/>
          <w:sz w:val="32"/>
          <w:szCs w:val="32"/>
        </w:rPr>
        <w:t>。其中：</w:t>
      </w:r>
      <w:bookmarkEnd w:id="49"/>
      <w:bookmarkEnd w:id="50"/>
      <w:bookmarkEnd w:id="51"/>
    </w:p>
    <w:p>
      <w:pPr>
        <w:spacing w:line="600" w:lineRule="exact"/>
        <w:ind w:firstLine="643" w:firstLineChars="200"/>
        <w:rPr>
          <w:rStyle w:val="15"/>
          <w:rFonts w:ascii="仿宋" w:hAnsi="仿宋" w:eastAsia="仿宋"/>
          <w:b w:val="0"/>
          <w:bCs/>
          <w:color w:val="000000"/>
          <w:sz w:val="32"/>
          <w:szCs w:val="32"/>
        </w:rPr>
      </w:pPr>
      <w:r>
        <w:rPr>
          <w:rStyle w:val="15"/>
          <w:rFonts w:ascii="仿宋" w:hAnsi="仿宋" w:eastAsia="仿宋"/>
          <w:bCs/>
          <w:color w:val="000000"/>
          <w:sz w:val="32"/>
          <w:szCs w:val="32"/>
        </w:rPr>
        <w:t>1.</w:t>
      </w:r>
      <w:r>
        <w:rPr>
          <w:rStyle w:val="15"/>
          <w:rFonts w:hint="eastAsia" w:ascii="仿宋" w:hAnsi="仿宋" w:eastAsia="仿宋"/>
          <w:bCs/>
          <w:color w:val="000000"/>
          <w:sz w:val="32"/>
          <w:szCs w:val="32"/>
        </w:rPr>
        <w:t>一般公共服务（类）组织事务（款）其他组织事务支出（项）</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支出决算为2.18万元，完成预算100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2.社会保障和就业（类）行政事业单位养老支出（款）行政单位离退休（项）:</w:t>
      </w:r>
      <w:r>
        <w:rPr>
          <w:rStyle w:val="15"/>
          <w:rFonts w:hint="eastAsia" w:ascii="仿宋" w:hAnsi="仿宋" w:eastAsia="仿宋" w:cs="Times New Roman"/>
          <w:b w:val="0"/>
          <w:bCs/>
          <w:color w:val="000000"/>
          <w:kern w:val="2"/>
          <w:sz w:val="32"/>
          <w:szCs w:val="32"/>
        </w:rPr>
        <w:t>支出决算为15.04万元，完成预算100%。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3.社会保障和就业（类）行政事业单位养老支出（款）事业单位离退休（项）:</w:t>
      </w:r>
      <w:r>
        <w:rPr>
          <w:rStyle w:val="15"/>
          <w:rFonts w:hint="eastAsia" w:ascii="仿宋" w:hAnsi="仿宋" w:eastAsia="仿宋" w:cs="Times New Roman"/>
          <w:b w:val="0"/>
          <w:bCs/>
          <w:color w:val="000000"/>
          <w:kern w:val="2"/>
          <w:sz w:val="32"/>
          <w:szCs w:val="32"/>
        </w:rPr>
        <w:t>支出决算为10.86万元，完成预算100%。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4.社会保障和就业（类）行政事业单位养老支出（款）机关事业单位基本养老保险缴费支出（项）:</w:t>
      </w:r>
      <w:r>
        <w:rPr>
          <w:rStyle w:val="15"/>
          <w:rFonts w:hint="eastAsia" w:ascii="仿宋" w:hAnsi="仿宋" w:eastAsia="仿宋" w:cs="Times New Roman"/>
          <w:b w:val="0"/>
          <w:bCs/>
          <w:color w:val="000000"/>
          <w:kern w:val="2"/>
          <w:sz w:val="32"/>
          <w:szCs w:val="32"/>
        </w:rPr>
        <w:t>支出决算为20.98万元，完成预算100%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5.社会保障和就业（类）社会福利（款）儿童福利（项）:</w:t>
      </w:r>
      <w:r>
        <w:rPr>
          <w:rStyle w:val="15"/>
          <w:rFonts w:hint="eastAsia" w:ascii="仿宋" w:hAnsi="仿宋" w:eastAsia="仿宋" w:cs="Times New Roman"/>
          <w:b w:val="0"/>
          <w:bCs/>
          <w:color w:val="000000"/>
          <w:kern w:val="2"/>
          <w:sz w:val="32"/>
          <w:szCs w:val="32"/>
        </w:rPr>
        <w:t>支出决算为0.47万元，完成预算100%。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6.社会保障和就业（类）残疾人事业（款）行政运行（项）：</w:t>
      </w:r>
      <w:r>
        <w:rPr>
          <w:rStyle w:val="15"/>
          <w:rFonts w:hint="eastAsia" w:ascii="仿宋" w:hAnsi="仿宋" w:eastAsia="仿宋" w:cs="Times New Roman"/>
          <w:b w:val="0"/>
          <w:bCs/>
          <w:color w:val="000000"/>
          <w:kern w:val="2"/>
          <w:sz w:val="32"/>
          <w:szCs w:val="32"/>
        </w:rPr>
        <w:t>支出决算数为217.3万元，完成预算100%。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7.社会保障和就业（类）残疾人事业（款）机关服务（项）：</w:t>
      </w:r>
      <w:r>
        <w:rPr>
          <w:rStyle w:val="15"/>
          <w:rFonts w:hint="eastAsia" w:ascii="仿宋" w:hAnsi="仿宋" w:eastAsia="仿宋" w:cs="Times New Roman"/>
          <w:b w:val="0"/>
          <w:bCs/>
          <w:color w:val="000000"/>
          <w:kern w:val="2"/>
          <w:sz w:val="32"/>
          <w:szCs w:val="32"/>
        </w:rPr>
        <w:t>支出决算为57.9万元，完成预算100%。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8.社会保障和就业（类）残疾人事业（款）残疾人就业和扶贫（项）：</w:t>
      </w:r>
      <w:r>
        <w:rPr>
          <w:rStyle w:val="15"/>
          <w:rFonts w:hint="eastAsia" w:ascii="仿宋" w:hAnsi="仿宋" w:eastAsia="仿宋" w:cs="Times New Roman"/>
          <w:b w:val="0"/>
          <w:bCs/>
          <w:color w:val="000000"/>
          <w:kern w:val="2"/>
          <w:sz w:val="32"/>
          <w:szCs w:val="32"/>
        </w:rPr>
        <w:t>支出决算为41.07万元，完成预算100%。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9.社会保障和就业（类）残疾人事业（款）残疾人体育（项）：</w:t>
      </w:r>
      <w:r>
        <w:rPr>
          <w:rStyle w:val="15"/>
          <w:rFonts w:hint="eastAsia" w:ascii="仿宋" w:hAnsi="仿宋" w:eastAsia="仿宋" w:cs="Times New Roman"/>
          <w:b w:val="0"/>
          <w:bCs/>
          <w:color w:val="000000"/>
          <w:kern w:val="2"/>
          <w:sz w:val="32"/>
          <w:szCs w:val="32"/>
        </w:rPr>
        <w:t>支出决算为18.89万元，完成预算100%。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10.社会保障和就业（类）残疾人事业（款）其他残疾人事业支出（项）：</w:t>
      </w:r>
      <w:r>
        <w:rPr>
          <w:rStyle w:val="15"/>
          <w:rFonts w:hint="eastAsia" w:ascii="仿宋" w:hAnsi="仿宋" w:eastAsia="仿宋" w:cs="Times New Roman"/>
          <w:b w:val="0"/>
          <w:bCs/>
          <w:color w:val="000000"/>
          <w:kern w:val="2"/>
          <w:sz w:val="32"/>
          <w:szCs w:val="32"/>
        </w:rPr>
        <w:t>支出决算为15.53万元，完成预算100%。</w:t>
      </w:r>
    </w:p>
    <w:p>
      <w:pPr>
        <w:pStyle w:val="21"/>
        <w:snapToGrid w:val="0"/>
        <w:spacing w:line="600" w:lineRule="atLeast"/>
        <w:ind w:firstLine="672"/>
        <w:rPr>
          <w:rStyle w:val="15"/>
          <w:rFonts w:ascii="仿宋" w:hAnsi="仿宋" w:eastAsia="仿宋" w:cs="Times New Roman"/>
          <w:b w:val="0"/>
          <w:bCs/>
          <w:color w:val="000000"/>
          <w:kern w:val="2"/>
          <w:sz w:val="32"/>
          <w:szCs w:val="32"/>
        </w:rPr>
      </w:pPr>
      <w:r>
        <w:rPr>
          <w:rStyle w:val="15"/>
          <w:rFonts w:hint="eastAsia" w:ascii="仿宋" w:hAnsi="仿宋" w:eastAsia="仿宋" w:cs="Times New Roman"/>
          <w:bCs/>
          <w:color w:val="000000"/>
          <w:kern w:val="2"/>
          <w:sz w:val="32"/>
          <w:szCs w:val="32"/>
        </w:rPr>
        <w:t>11.住房保障支出（类）住房改革支出（款）住房公积金（项）：</w:t>
      </w:r>
      <w:r>
        <w:rPr>
          <w:rStyle w:val="15"/>
          <w:rFonts w:hint="eastAsia" w:ascii="仿宋" w:hAnsi="仿宋" w:eastAsia="仿宋" w:cs="Times New Roman"/>
          <w:b w:val="0"/>
          <w:bCs/>
          <w:color w:val="000000"/>
          <w:kern w:val="2"/>
          <w:sz w:val="32"/>
          <w:szCs w:val="32"/>
        </w:rPr>
        <w:t>支出决算为22.36万元，完成预算100%。</w:t>
      </w:r>
    </w:p>
    <w:p>
      <w:pPr>
        <w:tabs>
          <w:tab w:val="right" w:pos="8306"/>
        </w:tabs>
        <w:spacing w:line="600" w:lineRule="exact"/>
        <w:ind w:firstLine="640"/>
        <w:outlineLvl w:val="1"/>
        <w:rPr>
          <w:rStyle w:val="29"/>
        </w:rPr>
      </w:pPr>
      <w:bookmarkStart w:id="52" w:name="_Toc15377214"/>
      <w:bookmarkStart w:id="53" w:name="_Toc10395"/>
      <w:bookmarkStart w:id="54"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52"/>
      <w:bookmarkEnd w:id="53"/>
      <w:bookmarkEnd w:id="54"/>
      <w:r>
        <w:rPr>
          <w:rStyle w:val="29"/>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21年一般公共预算财政拨款基本支出344.44万元，其中：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302.17万元，主要包括：基本工资、津贴补贴、奖金、绩效工资、机关事业单位基本养老保险缴费其他社会保障缴费、其他工资福利支出、退休费、医疗费补助、住房公积金、其他对个人和家庭的补助支出等。</w:t>
      </w:r>
    </w:p>
    <w:p>
      <w:pPr>
        <w:spacing w:line="600" w:lineRule="exact"/>
        <w:ind w:firstLine="645"/>
        <w:rPr>
          <w:rFonts w:ascii="仿宋" w:hAnsi="仿宋" w:eastAsia="仿宋"/>
          <w:sz w:val="32"/>
          <w:szCs w:val="32"/>
        </w:rPr>
      </w:pPr>
      <w:r>
        <w:rPr>
          <w:rFonts w:hint="eastAsia" w:ascii="仿宋" w:hAnsi="仿宋" w:eastAsia="仿宋"/>
          <w:sz w:val="32"/>
          <w:szCs w:val="32"/>
        </w:rPr>
        <w:t>公用经费42.27万元，主要包括：办公费、水费、电费、邮电费、差旅费、公务接待费、工会经费、福利费、其他交通费、其他商品和服务支出等。</w:t>
      </w:r>
    </w:p>
    <w:p>
      <w:pPr>
        <w:spacing w:line="600" w:lineRule="exact"/>
        <w:ind w:firstLine="640"/>
        <w:outlineLvl w:val="1"/>
        <w:rPr>
          <w:rStyle w:val="29"/>
          <w:rFonts w:ascii="黑体" w:hAnsi="黑体" w:eastAsia="黑体"/>
          <w:b w:val="0"/>
        </w:rPr>
      </w:pPr>
      <w:bookmarkStart w:id="55" w:name="_Toc15377215"/>
      <w:bookmarkStart w:id="56" w:name="_Toc19273"/>
      <w:bookmarkStart w:id="57" w:name="_Toc15396609"/>
      <w:r>
        <w:rPr>
          <w:rFonts w:hint="eastAsia" w:ascii="黑体" w:eastAsia="黑体"/>
          <w:sz w:val="32"/>
          <w:szCs w:val="32"/>
        </w:rPr>
        <w:t>七、</w:t>
      </w:r>
      <w:r>
        <w:rPr>
          <w:rStyle w:val="29"/>
          <w:rFonts w:hint="eastAsia" w:ascii="黑体" w:hAnsi="黑体" w:eastAsia="黑体"/>
        </w:rPr>
        <w:t>“</w:t>
      </w:r>
      <w:r>
        <w:rPr>
          <w:rStyle w:val="29"/>
          <w:rFonts w:hint="eastAsia" w:ascii="黑体" w:hAnsi="黑体" w:eastAsia="黑体"/>
          <w:b w:val="0"/>
        </w:rPr>
        <w:t>三公”经费财政拨款支出决算情况说明</w:t>
      </w:r>
      <w:bookmarkEnd w:id="55"/>
      <w:bookmarkEnd w:id="56"/>
      <w:bookmarkEnd w:id="57"/>
    </w:p>
    <w:p>
      <w:pPr>
        <w:spacing w:line="600" w:lineRule="exact"/>
        <w:ind w:firstLine="640"/>
        <w:outlineLvl w:val="2"/>
        <w:rPr>
          <w:rFonts w:ascii="仿宋" w:hAnsi="仿宋" w:eastAsia="仿宋"/>
          <w:b/>
          <w:sz w:val="32"/>
          <w:szCs w:val="32"/>
        </w:rPr>
      </w:pPr>
      <w:bookmarkStart w:id="58" w:name="_Toc15377216"/>
      <w:r>
        <w:rPr>
          <w:rFonts w:hint="eastAsia" w:ascii="仿宋" w:hAnsi="仿宋" w:eastAsia="仿宋"/>
          <w:b/>
          <w:sz w:val="32"/>
          <w:szCs w:val="32"/>
        </w:rPr>
        <w:t>（一）“三公”经费财政拨款支出决算总体情况说明</w:t>
      </w:r>
      <w:bookmarkEnd w:id="5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21年“三公”经费财政拨款支出决算为0.22万元，完成预算100</w:t>
      </w:r>
      <w:r>
        <w:rPr>
          <w:rFonts w:ascii="仿宋" w:hAnsi="仿宋" w:eastAsia="仿宋"/>
          <w:sz w:val="32"/>
          <w:szCs w:val="32"/>
        </w:rPr>
        <w:t>%</w:t>
      </w:r>
      <w:r>
        <w:rPr>
          <w:rFonts w:hint="eastAsia" w:ascii="仿宋" w:hAnsi="仿宋" w:eastAsia="仿宋"/>
          <w:sz w:val="32"/>
          <w:szCs w:val="32"/>
        </w:rPr>
        <w:t>，决算数与预算数持平，</w:t>
      </w:r>
      <w:r>
        <w:rPr>
          <w:rFonts w:eastAsia="仿宋"/>
          <w:color w:val="000000"/>
          <w:sz w:val="32"/>
          <w:szCs w:val="32"/>
        </w:rPr>
        <w:t>主要原因是严格控制预算支出，履行节约，反对铺张浪费。</w:t>
      </w:r>
    </w:p>
    <w:p>
      <w:pPr>
        <w:spacing w:line="600" w:lineRule="exact"/>
        <w:ind w:firstLine="640"/>
        <w:outlineLvl w:val="2"/>
        <w:rPr>
          <w:rFonts w:ascii="仿宋" w:hAnsi="仿宋" w:eastAsia="仿宋"/>
          <w:b/>
          <w:sz w:val="32"/>
          <w:szCs w:val="32"/>
        </w:rPr>
      </w:pPr>
      <w:bookmarkStart w:id="59" w:name="_Toc15377217"/>
      <w:r>
        <w:rPr>
          <w:rFonts w:hint="eastAsia" w:ascii="仿宋" w:hAnsi="仿宋" w:eastAsia="仿宋"/>
          <w:b/>
          <w:sz w:val="32"/>
          <w:szCs w:val="32"/>
        </w:rPr>
        <w:t>（二）“三公”经费财政拨款支出决算具体情况说明</w:t>
      </w:r>
      <w:bookmarkEnd w:id="5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；公务接待费支出决算0.22万元，占100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w:t>
      </w:r>
    </w:p>
    <w:p>
      <w:pPr>
        <w:pStyle w:val="2"/>
        <w:spacing w:before="93"/>
      </w:pPr>
    </w:p>
    <w:p>
      <w:pPr>
        <w:pStyle w:val="2"/>
        <w:spacing w:before="93"/>
      </w:pPr>
    </w:p>
    <w:p>
      <w:pPr>
        <w:pStyle w:val="2"/>
        <w:spacing w:before="93"/>
      </w:pPr>
      <w:r>
        <w:drawing>
          <wp:inline distT="0" distB="0" distL="0" distR="0">
            <wp:extent cx="3038475" cy="1914525"/>
            <wp:effectExtent l="0" t="0" r="0" b="0"/>
            <wp:docPr id="7" name="对象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numPr>
          <w:ilvl w:val="0"/>
          <w:numId w:val="3"/>
        </w:numPr>
        <w:spacing w:line="600" w:lineRule="exact"/>
        <w:ind w:firstLine="640"/>
        <w:rPr>
          <w:rStyle w:val="15"/>
          <w:rFonts w:ascii="仿宋" w:hAnsi="仿宋" w:eastAsia="仿宋"/>
          <w:b w:val="0"/>
          <w:bCs/>
          <w:sz w:val="32"/>
          <w:szCs w:val="32"/>
        </w:rPr>
      </w:pP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3" w:firstLineChars="20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0.22万元，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20年增加0.11万元，增长100</w:t>
      </w:r>
      <w:r>
        <w:rPr>
          <w:rFonts w:ascii="仿宋_GB2312" w:eastAsia="仿宋_GB2312"/>
          <w:sz w:val="32"/>
          <w:szCs w:val="32"/>
        </w:rPr>
        <w:t>%</w:t>
      </w:r>
      <w:r>
        <w:rPr>
          <w:rFonts w:hint="eastAsia" w:ascii="仿宋_GB2312" w:eastAsia="仿宋_GB2312"/>
          <w:sz w:val="32"/>
          <w:szCs w:val="32"/>
        </w:rPr>
        <w:t>。主要原因是公务接待人次增加。其中：</w:t>
      </w:r>
    </w:p>
    <w:p>
      <w:pPr>
        <w:spacing w:line="600" w:lineRule="exact"/>
        <w:ind w:firstLine="640"/>
        <w:rPr>
          <w:rFonts w:ascii="仿宋_GB2312" w:eastAsia="仿宋_GB2312"/>
          <w:color w:val="000000"/>
          <w:sz w:val="32"/>
          <w:szCs w:val="32"/>
        </w:rPr>
      </w:pPr>
      <w:r>
        <w:rPr>
          <w:rFonts w:hint="eastAsia" w:ascii="仿宋" w:hAnsi="仿宋" w:eastAsia="仿宋"/>
          <w:b/>
          <w:sz w:val="32"/>
          <w:szCs w:val="32"/>
        </w:rPr>
        <w:t>国内公务接待支出</w:t>
      </w:r>
      <w:r>
        <w:rPr>
          <w:rFonts w:hint="eastAsia" w:ascii="仿宋" w:hAnsi="仿宋" w:eastAsia="仿宋"/>
          <w:sz w:val="32"/>
          <w:szCs w:val="32"/>
        </w:rPr>
        <w:t>0.22</w:t>
      </w:r>
      <w:r>
        <w:rPr>
          <w:rFonts w:hint="eastAsia" w:ascii="仿宋_GB2312" w:eastAsia="仿宋_GB2312"/>
          <w:sz w:val="32"/>
          <w:szCs w:val="32"/>
        </w:rPr>
        <w:t>万元，主要用于执行公务、开展业务活动开支用餐费等。</w:t>
      </w:r>
      <w:r>
        <w:rPr>
          <w:rFonts w:hint="eastAsia" w:ascii="仿宋_GB2312" w:eastAsia="仿宋_GB2312"/>
          <w:color w:val="000000"/>
          <w:sz w:val="32"/>
          <w:szCs w:val="32"/>
        </w:rPr>
        <w:t>国内公务接待2批次，7人次（不包括陪同人员），共计支出0.22万元，具体内容包括：接待山东省泰安市政府康复机构考察团一行5人，支出0.16万元；接待四川省听语言康复中心技术人员2人，支出0.06万元。</w:t>
      </w:r>
    </w:p>
    <w:p>
      <w:pPr>
        <w:spacing w:line="600" w:lineRule="exact"/>
        <w:ind w:firstLine="640"/>
        <w:outlineLvl w:val="1"/>
        <w:rPr>
          <w:rFonts w:ascii="仿宋_GB2312" w:eastAsia="仿宋_GB2312"/>
          <w:sz w:val="32"/>
          <w:szCs w:val="32"/>
        </w:rPr>
      </w:pPr>
      <w:bookmarkStart w:id="60" w:name="_Toc20517"/>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bookmarkEnd w:id="60"/>
      <w:bookmarkStart w:id="61" w:name="_Toc15377218"/>
      <w:bookmarkStart w:id="62" w:name="_Toc15396610"/>
    </w:p>
    <w:p>
      <w:pPr>
        <w:spacing w:line="600" w:lineRule="exact"/>
        <w:ind w:firstLine="640"/>
        <w:outlineLvl w:val="1"/>
        <w:rPr>
          <w:rStyle w:val="29"/>
          <w:rFonts w:ascii="黑体" w:hAnsi="黑体" w:eastAsia="黑体"/>
        </w:rPr>
      </w:pPr>
      <w:bookmarkStart w:id="63" w:name="_Toc23564"/>
      <w:r>
        <w:rPr>
          <w:rFonts w:hint="eastAsia" w:ascii="黑体" w:eastAsia="黑体"/>
          <w:sz w:val="32"/>
          <w:szCs w:val="32"/>
        </w:rPr>
        <w:t>八、</w:t>
      </w:r>
      <w:r>
        <w:rPr>
          <w:rStyle w:val="29"/>
          <w:rFonts w:hint="eastAsia" w:ascii="黑体" w:hAnsi="黑体" w:eastAsia="黑体"/>
          <w:b w:val="0"/>
        </w:rPr>
        <w:t>政府性基金预算支出决算情况说明</w:t>
      </w:r>
      <w:bookmarkEnd w:id="61"/>
      <w:bookmarkEnd w:id="62"/>
      <w:bookmarkEnd w:id="6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21年政府性基金预算财政拨款支出（用于体育事业的彩票公益金支出）15.07万元。</w:t>
      </w:r>
    </w:p>
    <w:p>
      <w:pPr>
        <w:numPr>
          <w:ilvl w:val="0"/>
          <w:numId w:val="4"/>
        </w:numPr>
        <w:spacing w:line="600" w:lineRule="exact"/>
        <w:ind w:firstLine="640"/>
        <w:outlineLvl w:val="1"/>
        <w:rPr>
          <w:rStyle w:val="29"/>
          <w:rFonts w:ascii="黑体" w:hAnsi="黑体" w:eastAsia="黑体"/>
          <w:b w:val="0"/>
        </w:rPr>
      </w:pPr>
      <w:bookmarkStart w:id="64" w:name="_Toc1361"/>
      <w:bookmarkStart w:id="65" w:name="_Toc15396611"/>
      <w:bookmarkStart w:id="66" w:name="_Toc15377219"/>
      <w:r>
        <w:rPr>
          <w:rStyle w:val="29"/>
          <w:rFonts w:hint="eastAsia" w:ascii="黑体" w:hAnsi="黑体" w:eastAsia="黑体"/>
          <w:b w:val="0"/>
        </w:rPr>
        <w:t>国有资本经营预算支出决算情况说明</w:t>
      </w:r>
      <w:bookmarkEnd w:id="64"/>
      <w:bookmarkEnd w:id="65"/>
      <w:bookmarkEnd w:id="66"/>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numPr>
          <w:ilvl w:val="0"/>
          <w:numId w:val="4"/>
        </w:numPr>
        <w:spacing w:line="600" w:lineRule="exact"/>
        <w:ind w:firstLine="640"/>
        <w:outlineLvl w:val="1"/>
        <w:rPr>
          <w:rStyle w:val="29"/>
          <w:rFonts w:ascii="黑体" w:hAnsi="黑体" w:eastAsia="黑体"/>
          <w:b w:val="0"/>
        </w:rPr>
      </w:pPr>
      <w:bookmarkStart w:id="67" w:name="_Toc3393"/>
      <w:bookmarkStart w:id="68" w:name="_Toc15377221"/>
      <w:bookmarkStart w:id="69" w:name="_Toc15396612"/>
      <w:r>
        <w:rPr>
          <w:rStyle w:val="29"/>
          <w:rFonts w:hint="eastAsia" w:ascii="黑体" w:hAnsi="黑体" w:eastAsia="黑体"/>
          <w:b w:val="0"/>
        </w:rPr>
        <w:t>其他重要事项的情况说明</w:t>
      </w:r>
      <w:bookmarkEnd w:id="67"/>
      <w:bookmarkEnd w:id="68"/>
      <w:bookmarkEnd w:id="69"/>
    </w:p>
    <w:p>
      <w:pPr>
        <w:spacing w:line="600" w:lineRule="exact"/>
        <w:ind w:firstLine="643" w:firstLineChars="200"/>
        <w:outlineLvl w:val="2"/>
        <w:rPr>
          <w:rFonts w:ascii="仿宋" w:hAnsi="仿宋" w:eastAsia="仿宋"/>
          <w:sz w:val="32"/>
          <w:szCs w:val="32"/>
        </w:rPr>
      </w:pPr>
      <w:bookmarkStart w:id="70" w:name="_Toc15377222"/>
      <w:r>
        <w:rPr>
          <w:rFonts w:hint="eastAsia" w:ascii="仿宋" w:hAnsi="仿宋" w:eastAsia="仿宋"/>
          <w:b/>
          <w:sz w:val="32"/>
          <w:szCs w:val="32"/>
        </w:rPr>
        <w:t>（一）机关运行经费支出情况</w:t>
      </w:r>
      <w:bookmarkEnd w:id="70"/>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21年攀枝花市残疾人联合会机关运行经费支出42.27万元，比</w:t>
      </w:r>
      <w:r>
        <w:rPr>
          <w:rFonts w:ascii="仿宋_GB2312" w:eastAsia="仿宋_GB2312"/>
          <w:sz w:val="32"/>
          <w:szCs w:val="32"/>
        </w:rPr>
        <w:t>20</w:t>
      </w:r>
      <w:r>
        <w:rPr>
          <w:rFonts w:hint="eastAsia" w:ascii="仿宋_GB2312" w:eastAsia="仿宋_GB2312"/>
          <w:sz w:val="32"/>
          <w:szCs w:val="32"/>
        </w:rPr>
        <w:t>20年增加0.75万元，增长1.80</w:t>
      </w:r>
      <w:r>
        <w:rPr>
          <w:rFonts w:ascii="仿宋_GB2312" w:eastAsia="仿宋_GB2312"/>
          <w:sz w:val="32"/>
          <w:szCs w:val="32"/>
        </w:rPr>
        <w:t>%</w:t>
      </w:r>
      <w:r>
        <w:rPr>
          <w:rFonts w:hint="eastAsia" w:ascii="仿宋_GB2312" w:eastAsia="仿宋_GB2312"/>
          <w:sz w:val="32"/>
          <w:szCs w:val="32"/>
        </w:rPr>
        <w:t>。主要原因是公用经费预算增加。</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1" w:name="_Toc15377223"/>
      <w:r>
        <w:rPr>
          <w:rFonts w:hint="eastAsia" w:ascii="仿宋" w:hAnsi="仿宋" w:eastAsia="仿宋"/>
          <w:b/>
          <w:sz w:val="32"/>
          <w:szCs w:val="32"/>
        </w:rPr>
        <w:t>（二）政府采购支出情况</w:t>
      </w:r>
      <w:bookmarkEnd w:id="71"/>
    </w:p>
    <w:p>
      <w:pPr>
        <w:spacing w:line="600" w:lineRule="exact"/>
        <w:ind w:firstLine="640" w:firstLineChars="200"/>
        <w:rPr>
          <w:rFonts w:ascii="仿宋_GB2312" w:eastAsia="仿宋_GB2312"/>
          <w:color w:val="FF0000"/>
          <w:sz w:val="32"/>
          <w:szCs w:val="32"/>
        </w:rPr>
      </w:pPr>
      <w:r>
        <w:rPr>
          <w:rFonts w:ascii="仿宋_GB2312" w:eastAsia="仿宋_GB2312"/>
          <w:sz w:val="32"/>
          <w:szCs w:val="32"/>
        </w:rPr>
        <w:t>20</w:t>
      </w:r>
      <w:r>
        <w:rPr>
          <w:rFonts w:hint="eastAsia" w:ascii="仿宋_GB2312" w:eastAsia="仿宋_GB2312"/>
          <w:sz w:val="32"/>
          <w:szCs w:val="32"/>
        </w:rPr>
        <w:t>21年攀枝花市残疾人联合会政府采购支出总额3.84万元，其中：政府采购货物支出3.84万元、政府采购工程支出0万元、政府采购服务支出0万元。主要用于购买残疾人康复体育进家庭器材。</w:t>
      </w:r>
      <w:r>
        <w:rPr>
          <w:rFonts w:hint="eastAsia" w:ascii="仿宋_GB2312" w:eastAsia="仿宋_GB2312"/>
          <w:color w:val="000000" w:themeColor="text1"/>
          <w:sz w:val="32"/>
          <w:szCs w:val="32"/>
        </w:rPr>
        <w:t>授予中小企业合同金额0万元，占政府采购支出总额的0</w:t>
      </w:r>
      <w:r>
        <w:rPr>
          <w:rFonts w:ascii="仿宋_GB2312" w:eastAsia="仿宋_GB2312"/>
          <w:color w:val="000000" w:themeColor="text1"/>
          <w:sz w:val="32"/>
          <w:szCs w:val="32"/>
        </w:rPr>
        <w:t>%</w:t>
      </w:r>
      <w:r>
        <w:rPr>
          <w:rFonts w:hint="eastAsia" w:ascii="仿宋_GB2312" w:eastAsia="仿宋_GB2312"/>
          <w:color w:val="000000" w:themeColor="text1"/>
          <w:sz w:val="32"/>
          <w:szCs w:val="32"/>
        </w:rPr>
        <w:t>，其中：授予小微企业合同金额3.84万元，占政府采购支出总额的100</w:t>
      </w:r>
      <w:r>
        <w:rPr>
          <w:rFonts w:ascii="仿宋_GB2312" w:eastAsia="仿宋_GB2312"/>
          <w:color w:val="000000" w:themeColor="text1"/>
          <w:sz w:val="32"/>
          <w:szCs w:val="32"/>
        </w:rPr>
        <w:t>%</w:t>
      </w:r>
      <w:r>
        <w:rPr>
          <w:rFonts w:hint="eastAsia" w:ascii="仿宋_GB2312" w:eastAsia="仿宋_GB2312"/>
          <w:color w:val="000000" w:themeColor="text1"/>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2" w:name="_Toc15377224"/>
      <w:r>
        <w:rPr>
          <w:rFonts w:hint="eastAsia" w:ascii="仿宋" w:hAnsi="仿宋" w:eastAsia="仿宋"/>
          <w:b/>
          <w:sz w:val="32"/>
          <w:szCs w:val="32"/>
        </w:rPr>
        <w:t>（三）国有资产占有使用情况</w:t>
      </w:r>
      <w:bookmarkEnd w:id="72"/>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日，攀枝花市残疾人联合会共有车辆1辆，其中：主要领导干部用车0辆、机要通信用车0辆、应急保障用车0辆、其他用车1辆</w:t>
      </w:r>
      <w:r>
        <w:rPr>
          <w:rFonts w:hint="eastAsia" w:ascii="仿宋_GB2312" w:eastAsia="仿宋_GB2312"/>
          <w:color w:val="000000"/>
          <w:sz w:val="32"/>
          <w:szCs w:val="32"/>
        </w:rPr>
        <w:t>（该车辆已移交机关事务管理服务中心）</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残疾人体育、股权量化等9个项目开展了预算事前绩效评估，对6个项目编制了绩效目标，预算执行过程中，选取4个项目开展绩效监控，年终执行完毕后，对4个项目开展了绩效自评，2021年特定目标类部门预算项目绩效目标自评表见附件（第四部分）。</w:t>
      </w: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5"/>
        </w:numPr>
        <w:spacing w:line="600" w:lineRule="exact"/>
        <w:ind w:firstLine="660" w:firstLineChars="150"/>
        <w:jc w:val="center"/>
        <w:outlineLvl w:val="0"/>
        <w:rPr>
          <w:rStyle w:val="28"/>
          <w:rFonts w:ascii="黑体" w:hAnsi="黑体" w:eastAsia="黑体"/>
          <w:b w:val="0"/>
        </w:rPr>
      </w:pPr>
      <w:bookmarkStart w:id="73" w:name="_Toc15396613"/>
      <w:bookmarkStart w:id="74" w:name="_Toc27171"/>
      <w:bookmarkStart w:id="75" w:name="_Toc15377225"/>
      <w:r>
        <w:rPr>
          <w:rFonts w:hint="eastAsia" w:ascii="黑体" w:hAnsi="黑体" w:eastAsia="黑体"/>
          <w:sz w:val="44"/>
          <w:szCs w:val="44"/>
        </w:rPr>
        <w:t>名</w:t>
      </w:r>
      <w:r>
        <w:rPr>
          <w:rStyle w:val="28"/>
          <w:rFonts w:hint="eastAsia" w:ascii="黑体" w:hAnsi="黑体" w:eastAsia="黑体"/>
          <w:b w:val="0"/>
        </w:rPr>
        <w:t>词解释</w:t>
      </w:r>
      <w:bookmarkEnd w:id="73"/>
      <w:bookmarkEnd w:id="74"/>
      <w:bookmarkEnd w:id="75"/>
    </w:p>
    <w:p>
      <w:pPr>
        <w:spacing w:line="600" w:lineRule="exact"/>
        <w:jc w:val="left"/>
        <w:rPr>
          <w:rFonts w:ascii="宋体"/>
          <w:b/>
          <w:sz w:val="44"/>
          <w:szCs w:val="44"/>
        </w:rPr>
      </w:pPr>
    </w:p>
    <w:p>
      <w:pPr>
        <w:pStyle w:val="1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1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17"/>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4.一般公共预算拨款收入：指市级财政当年拨付的资金。</w:t>
      </w:r>
    </w:p>
    <w:p>
      <w:pPr>
        <w:pStyle w:val="17"/>
        <w:spacing w:line="560" w:lineRule="exact"/>
        <w:ind w:firstLine="672" w:firstLineChars="210"/>
        <w:rPr>
          <w:rFonts w:ascii="仿宋_GB2312" w:eastAsia="仿宋_GB2312"/>
          <w:color w:val="auto"/>
          <w:sz w:val="32"/>
          <w:szCs w:val="32"/>
        </w:rPr>
      </w:pPr>
      <w:r>
        <w:rPr>
          <w:rFonts w:hint="eastAsia" w:ascii="仿宋_GB2312" w:eastAsia="仿宋_GB2312"/>
          <w:sz w:val="32"/>
          <w:szCs w:val="32"/>
        </w:rPr>
        <w:t>5.年末结转和结余：指单位按有关规定结转到下年或以后年度继续使用的资金。</w:t>
      </w:r>
    </w:p>
    <w:p>
      <w:pPr>
        <w:spacing w:line="600" w:lineRule="exact"/>
        <w:ind w:firstLine="640" w:firstLineChars="200"/>
        <w:rPr>
          <w:rFonts w:ascii="仿宋_GB2312" w:cs="仿宋_GB2312"/>
        </w:rPr>
      </w:pPr>
      <w:r>
        <w:rPr>
          <w:rFonts w:hint="eastAsia" w:ascii="仿宋_GB2312" w:eastAsia="仿宋_GB2312" w:cs="仿宋_GB2312"/>
          <w:sz w:val="32"/>
          <w:szCs w:val="32"/>
        </w:rPr>
        <w:t>6.社会保障和就业（类）残疾人事业（款）行政运行（项）：指行政单位（包括实行公务员管理的事业单位）的基本支出。</w:t>
      </w:r>
    </w:p>
    <w:p>
      <w:pPr>
        <w:spacing w:line="600" w:lineRule="exact"/>
        <w:ind w:firstLine="640" w:firstLineChars="200"/>
        <w:rPr>
          <w:rFonts w:ascii="仿宋_GB2312" w:cs="仿宋_GB2312"/>
        </w:rPr>
      </w:pPr>
      <w:r>
        <w:rPr>
          <w:rFonts w:hint="eastAsia" w:ascii="仿宋_GB2312" w:eastAsia="仿宋_GB2312" w:cs="仿宋_GB2312"/>
          <w:sz w:val="32"/>
          <w:szCs w:val="32"/>
        </w:rPr>
        <w:t>7.社会保障和就业（类）残疾人事业（款）机关服务（项）：指为行政单位（包括实行公务员管理的事业单位）提供各类服务的附属事业单位的支出。</w:t>
      </w:r>
    </w:p>
    <w:p>
      <w:pPr>
        <w:spacing w:line="600" w:lineRule="exact"/>
        <w:ind w:firstLine="640" w:firstLineChars="200"/>
        <w:rPr>
          <w:rFonts w:ascii="仿宋_GB2312" w:cs="仿宋_GB2312"/>
        </w:rPr>
      </w:pPr>
      <w:r>
        <w:rPr>
          <w:rFonts w:hint="eastAsia" w:ascii="仿宋_GB2312" w:eastAsia="仿宋_GB2312" w:cs="仿宋_GB2312"/>
          <w:sz w:val="32"/>
          <w:szCs w:val="32"/>
        </w:rPr>
        <w:t>8.社会保障和就业（类）残疾人事业（款）残疾人康复（项）：指残疾人联合会用于残疾人康复方面的支出。</w:t>
      </w:r>
    </w:p>
    <w:p>
      <w:pPr>
        <w:spacing w:line="600" w:lineRule="exact"/>
        <w:ind w:firstLine="640" w:firstLineChars="200"/>
        <w:rPr>
          <w:rFonts w:ascii="仿宋_GB2312" w:cs="仿宋_GB2312"/>
        </w:rPr>
      </w:pPr>
      <w:r>
        <w:rPr>
          <w:rFonts w:hint="eastAsia" w:ascii="仿宋_GB2312" w:eastAsia="仿宋_GB2312" w:cs="仿宋_GB2312"/>
          <w:sz w:val="32"/>
          <w:szCs w:val="32"/>
        </w:rPr>
        <w:t>9.社会保障和就业（类）残疾人事业（款）残疾人就业扶贫（项）：指残疾人联合会用于残疾人就业和扶贫方面的支出。</w:t>
      </w:r>
    </w:p>
    <w:p>
      <w:pPr>
        <w:spacing w:line="600" w:lineRule="exact"/>
        <w:ind w:firstLine="640" w:firstLineChars="200"/>
        <w:rPr>
          <w:rFonts w:ascii="仿宋_GB2312" w:cs="仿宋_GB2312"/>
        </w:rPr>
      </w:pPr>
      <w:r>
        <w:rPr>
          <w:rFonts w:hint="eastAsia" w:ascii="仿宋_GB2312" w:eastAsia="仿宋_GB2312" w:cs="仿宋_GB2312"/>
          <w:sz w:val="32"/>
          <w:szCs w:val="32"/>
        </w:rPr>
        <w:t>10.社会保障和就业（类）残疾人事业（款）残疾人体育（项）：指残疾人联合会用于残疾人体育方面的支出。</w:t>
      </w:r>
    </w:p>
    <w:p>
      <w:pPr>
        <w:spacing w:line="600" w:lineRule="exact"/>
        <w:ind w:firstLine="640" w:firstLineChars="200"/>
        <w:rPr>
          <w:rFonts w:ascii="仿宋_GB2312" w:cs="仿宋_GB2312"/>
        </w:rPr>
      </w:pPr>
      <w:r>
        <w:rPr>
          <w:rFonts w:hint="eastAsia" w:ascii="仿宋_GB2312" w:eastAsia="仿宋_GB2312" w:cs="仿宋_GB2312"/>
          <w:sz w:val="32"/>
          <w:szCs w:val="32"/>
        </w:rPr>
        <w:t>11.基本支出：指为保证机构正常运转，完成日常工作任务而发生的人员支出和公用支出。</w:t>
      </w:r>
    </w:p>
    <w:p>
      <w:pPr>
        <w:spacing w:line="600" w:lineRule="exact"/>
        <w:ind w:firstLine="640" w:firstLineChars="200"/>
        <w:rPr>
          <w:rFonts w:ascii="仿宋_GB2312" w:cs="仿宋_GB2312"/>
        </w:rPr>
      </w:pPr>
      <w:r>
        <w:rPr>
          <w:rFonts w:hint="eastAsia" w:ascii="仿宋_GB2312" w:eastAsia="仿宋_GB2312" w:cs="仿宋_GB2312"/>
          <w:sz w:val="32"/>
          <w:szCs w:val="32"/>
        </w:rPr>
        <w:t>12.项目支出：指在基本支出之外为完成特定行政任务和事业发展目标所发生的支出。</w:t>
      </w:r>
    </w:p>
    <w:p>
      <w:pPr>
        <w:spacing w:line="600" w:lineRule="exact"/>
        <w:ind w:firstLine="640" w:firstLineChars="200"/>
        <w:rPr>
          <w:rFonts w:ascii="仿宋_GB2312" w:cs="仿宋_GB2312"/>
        </w:rPr>
      </w:pPr>
      <w:r>
        <w:rPr>
          <w:rFonts w:hint="eastAsia" w:ascii="仿宋_GB2312" w:eastAsia="仿宋_GB2312" w:cs="仿宋_GB2312"/>
          <w:sz w:val="32"/>
          <w:szCs w:val="32"/>
        </w:rPr>
        <w:t>13.“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7"/>
        <w:spacing w:line="560" w:lineRule="exact"/>
        <w:ind w:firstLine="640" w:firstLineChars="200"/>
        <w:rPr>
          <w:rFonts w:ascii="仿宋_GB2312" w:eastAsia="仿宋_GB2312"/>
          <w:sz w:val="32"/>
          <w:szCs w:val="32"/>
        </w:rPr>
      </w:pPr>
      <w:r>
        <w:rPr>
          <w:rFonts w:hint="eastAsia" w:ascii="仿宋_GB2312" w:eastAsia="仿宋_GB2312"/>
          <w:sz w:val="32"/>
          <w:szCs w:val="32"/>
        </w:rPr>
        <w:t>14</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rPr>
          <w:rFonts w:ascii="黑体" w:hAnsi="黑体" w:eastAsia="黑体"/>
          <w:sz w:val="44"/>
          <w:szCs w:val="44"/>
        </w:rPr>
      </w:pPr>
      <w:bookmarkStart w:id="76" w:name="_Toc15396614"/>
      <w:bookmarkStart w:id="77" w:name="_Toc15377226"/>
    </w:p>
    <w:p>
      <w:pPr>
        <w:spacing w:line="600" w:lineRule="exact"/>
        <w:jc w:val="center"/>
        <w:rPr>
          <w:rFonts w:ascii="黑体" w:hAnsi="黑体" w:eastAsia="黑体"/>
          <w:sz w:val="44"/>
          <w:szCs w:val="44"/>
        </w:rPr>
      </w:pPr>
    </w:p>
    <w:p>
      <w:pPr>
        <w:pStyle w:val="2"/>
        <w:spacing w:before="93"/>
        <w:rPr>
          <w:rFonts w:ascii="黑体" w:hAnsi="黑体" w:eastAsia="黑体"/>
          <w:sz w:val="44"/>
          <w:szCs w:val="44"/>
        </w:rPr>
      </w:pPr>
    </w:p>
    <w:p>
      <w:pPr>
        <w:pStyle w:val="2"/>
        <w:spacing w:before="93"/>
        <w:rPr>
          <w:rFonts w:ascii="黑体" w:hAnsi="黑体" w:eastAsia="黑体"/>
          <w:sz w:val="44"/>
          <w:szCs w:val="44"/>
        </w:rPr>
      </w:pPr>
    </w:p>
    <w:p>
      <w:pPr>
        <w:spacing w:line="600" w:lineRule="exact"/>
        <w:jc w:val="center"/>
        <w:rPr>
          <w:rFonts w:ascii="黑体" w:hAnsi="黑体" w:eastAsia="黑体"/>
          <w:sz w:val="44"/>
          <w:szCs w:val="44"/>
        </w:rPr>
      </w:pPr>
    </w:p>
    <w:p>
      <w:pPr>
        <w:spacing w:line="600" w:lineRule="exact"/>
        <w:jc w:val="center"/>
        <w:outlineLvl w:val="0"/>
      </w:pPr>
      <w:bookmarkStart w:id="78" w:name="_Toc13718"/>
      <w:r>
        <w:rPr>
          <w:rFonts w:hint="eastAsia" w:ascii="黑体" w:hAnsi="黑体" w:eastAsia="黑体"/>
          <w:sz w:val="44"/>
          <w:szCs w:val="44"/>
        </w:rPr>
        <w:t>第</w:t>
      </w:r>
      <w:r>
        <w:rPr>
          <w:rStyle w:val="28"/>
          <w:rFonts w:hint="eastAsia" w:ascii="黑体" w:hAnsi="黑体" w:eastAsia="黑体"/>
          <w:b w:val="0"/>
        </w:rPr>
        <w:t>四部分 附件</w:t>
      </w:r>
      <w:bookmarkEnd w:id="76"/>
      <w:bookmarkEnd w:id="78"/>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236"/>
        <w:gridCol w:w="880"/>
        <w:gridCol w:w="860"/>
        <w:gridCol w:w="1460"/>
        <w:gridCol w:w="2050"/>
        <w:gridCol w:w="2535"/>
        <w:gridCol w:w="1554"/>
        <w:gridCol w:w="236"/>
      </w:tblGrid>
      <w:tr>
        <w:tblPrEx>
          <w:tblCellMar>
            <w:top w:w="0" w:type="dxa"/>
            <w:left w:w="108" w:type="dxa"/>
            <w:bottom w:w="0" w:type="dxa"/>
            <w:right w:w="108" w:type="dxa"/>
          </w:tblCellMar>
        </w:tblPrEx>
        <w:trPr>
          <w:gridAfter w:val="7"/>
          <w:wAfter w:w="9575" w:type="dxa"/>
          <w:trHeight w:val="675" w:hRule="atLeast"/>
        </w:trPr>
        <w:tc>
          <w:tcPr>
            <w:tcW w:w="236" w:type="dxa"/>
            <w:tcBorders>
              <w:top w:val="nil"/>
              <w:left w:val="nil"/>
              <w:bottom w:val="nil"/>
              <w:right w:val="nil"/>
            </w:tcBorders>
            <w:vAlign w:val="center"/>
          </w:tcPr>
          <w:p>
            <w:pPr>
              <w:widowControl/>
              <w:textAlignment w:val="center"/>
              <w:rPr>
                <w:rFonts w:ascii="宋体" w:hAnsi="宋体" w:cs="宋体"/>
                <w:b/>
                <w:kern w:val="0"/>
                <w:sz w:val="32"/>
                <w:szCs w:val="32"/>
              </w:rPr>
            </w:pPr>
            <w:bookmarkStart w:id="79" w:name="_Toc15396618"/>
          </w:p>
        </w:tc>
      </w:tr>
      <w:tr>
        <w:tblPrEx>
          <w:tblCellMar>
            <w:top w:w="0" w:type="dxa"/>
            <w:left w:w="108" w:type="dxa"/>
            <w:bottom w:w="0" w:type="dxa"/>
            <w:right w:w="108" w:type="dxa"/>
          </w:tblCellMar>
        </w:tblPrEx>
        <w:trPr>
          <w:trHeight w:val="675" w:hRule="atLeast"/>
        </w:trPr>
        <w:tc>
          <w:tcPr>
            <w:tcW w:w="9575" w:type="dxa"/>
            <w:gridSpan w:val="7"/>
            <w:tcBorders>
              <w:top w:val="nil"/>
              <w:left w:val="nil"/>
              <w:bottom w:val="nil"/>
              <w:right w:val="nil"/>
            </w:tcBorders>
            <w:vAlign w:val="center"/>
          </w:tcPr>
          <w:p>
            <w:pPr>
              <w:widowControl/>
              <w:spacing w:line="540" w:lineRule="exact"/>
              <w:jc w:val="center"/>
              <w:textAlignment w:val="center"/>
              <w:rPr>
                <w:rFonts w:ascii="宋体" w:hAnsi="宋体" w:cs="宋体"/>
                <w:b/>
                <w:sz w:val="32"/>
                <w:szCs w:val="32"/>
              </w:rPr>
            </w:pPr>
            <w:r>
              <w:rPr>
                <w:rFonts w:hint="eastAsia" w:ascii="宋体" w:hAnsi="宋体" w:cs="宋体"/>
                <w:b/>
                <w:sz w:val="32"/>
                <w:szCs w:val="32"/>
              </w:rPr>
              <w:t>2021年残疾人体育项目绩效目标自评</w:t>
            </w:r>
          </w:p>
        </w:tc>
        <w:tc>
          <w:tcPr>
            <w:tcW w:w="236" w:type="dxa"/>
            <w:tcBorders>
              <w:top w:val="nil"/>
              <w:left w:val="nil"/>
              <w:bottom w:val="nil"/>
              <w:right w:val="nil"/>
            </w:tcBorders>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197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3510"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507001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ascii="宋体" w:hAnsi="宋体" w:cs="宋体"/>
                <w:sz w:val="24"/>
              </w:rPr>
              <w:t>攀枝花市残疾人联合会</w:t>
            </w:r>
          </w:p>
        </w:tc>
      </w:tr>
      <w:tr>
        <w:tblPrEx>
          <w:tblCellMar>
            <w:top w:w="0" w:type="dxa"/>
            <w:left w:w="108" w:type="dxa"/>
            <w:bottom w:w="0" w:type="dxa"/>
            <w:right w:w="108" w:type="dxa"/>
          </w:tblCellMar>
        </w:tblPrEx>
        <w:trPr>
          <w:gridAfter w:val="1"/>
          <w:wAfter w:w="236" w:type="dxa"/>
          <w:trHeight w:val="341" w:hRule="atLeast"/>
        </w:trPr>
        <w:tc>
          <w:tcPr>
            <w:tcW w:w="1976"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sz w:val="24"/>
              </w:rPr>
              <w:t>18.89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sz w:val="24"/>
              </w:rPr>
              <w:t>18.89</w:t>
            </w:r>
          </w:p>
        </w:tc>
      </w:tr>
      <w:tr>
        <w:tblPrEx>
          <w:tblCellMar>
            <w:top w:w="0" w:type="dxa"/>
            <w:left w:w="108" w:type="dxa"/>
            <w:bottom w:w="0" w:type="dxa"/>
            <w:right w:w="108" w:type="dxa"/>
          </w:tblCellMar>
        </w:tblPrEx>
        <w:trPr>
          <w:gridAfter w:val="1"/>
          <w:wAfter w:w="236" w:type="dxa"/>
          <w:trHeight w:val="555" w:hRule="atLeast"/>
        </w:trPr>
        <w:tc>
          <w:tcPr>
            <w:tcW w:w="1976" w:type="dxa"/>
            <w:gridSpan w:val="3"/>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sz w:val="24"/>
              </w:rPr>
              <w:t>18.89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sz w:val="24"/>
              </w:rPr>
              <w:t>18.89</w:t>
            </w:r>
          </w:p>
        </w:tc>
      </w:tr>
      <w:tr>
        <w:tblPrEx>
          <w:tblCellMar>
            <w:top w:w="0" w:type="dxa"/>
            <w:left w:w="108" w:type="dxa"/>
            <w:bottom w:w="0" w:type="dxa"/>
            <w:right w:w="108" w:type="dxa"/>
          </w:tblCellMar>
        </w:tblPrEx>
        <w:trPr>
          <w:gridAfter w:val="1"/>
          <w:wAfter w:w="236" w:type="dxa"/>
          <w:trHeight w:val="341" w:hRule="atLeast"/>
        </w:trPr>
        <w:tc>
          <w:tcPr>
            <w:tcW w:w="1976" w:type="dxa"/>
            <w:gridSpan w:val="3"/>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11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37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4089"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1450" w:hRule="atLeast"/>
        </w:trPr>
        <w:tc>
          <w:tcPr>
            <w:tcW w:w="1116"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4370" w:type="dxa"/>
            <w:gridSpan w:val="3"/>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hAnsi="宋体" w:cs="宋体"/>
                <w:sz w:val="24"/>
              </w:rPr>
            </w:pPr>
            <w:r>
              <w:rPr>
                <w:rFonts w:hint="eastAsia" w:ascii="宋体" w:hAnsi="宋体" w:cs="宋体"/>
                <w:kern w:val="0"/>
                <w:sz w:val="24"/>
              </w:rPr>
              <w:t>组织残疾人参加各类残疾人体育比赛；开展残疾人体育训练工作和康复（健身）体育器材进家庭项目。</w:t>
            </w:r>
          </w:p>
        </w:tc>
        <w:tc>
          <w:tcPr>
            <w:tcW w:w="4089" w:type="dxa"/>
            <w:gridSpan w:val="2"/>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hAnsi="宋体" w:cs="宋体"/>
                <w:sz w:val="24"/>
              </w:rPr>
            </w:pPr>
            <w:r>
              <w:rPr>
                <w:rFonts w:hint="eastAsia" w:ascii="宋体" w:hAnsi="宋体" w:cs="宋体"/>
                <w:kern w:val="0"/>
                <w:sz w:val="24"/>
              </w:rPr>
              <w:t>代表四川省组队参加全国残运会，组织参加四川省第二届全民健身运动员和攀枝花市第三届群众运动会。开展了游泳、田径、中国象棋、滚球、轮滑等残疾人体育训练和康复（健身）体育器材进家庭工作。</w:t>
            </w:r>
          </w:p>
        </w:tc>
      </w:tr>
      <w:tr>
        <w:tblPrEx>
          <w:tblCellMar>
            <w:top w:w="0" w:type="dxa"/>
            <w:left w:w="108" w:type="dxa"/>
            <w:bottom w:w="0" w:type="dxa"/>
            <w:right w:w="108" w:type="dxa"/>
          </w:tblCellMar>
        </w:tblPrEx>
        <w:trPr>
          <w:gridAfter w:val="1"/>
          <w:wAfter w:w="236" w:type="dxa"/>
          <w:trHeight w:val="693" w:hRule="atLeast"/>
        </w:trPr>
        <w:tc>
          <w:tcPr>
            <w:tcW w:w="1116" w:type="dxa"/>
            <w:gridSpan w:val="2"/>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860"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6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207"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60" w:type="dxa"/>
            <w:vMerge w:val="restart"/>
            <w:tcBorders>
              <w:top w:val="single" w:color="000000" w:sz="4" w:space="0"/>
              <w:left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2050"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spacing w:val="-6"/>
                <w:sz w:val="24"/>
              </w:rPr>
              <w:t>参加各类体育比赛</w:t>
            </w:r>
          </w:p>
        </w:tc>
        <w:tc>
          <w:tcPr>
            <w:tcW w:w="2535"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spacing w:val="-6"/>
                <w:sz w:val="24"/>
              </w:rPr>
              <w:t>1项</w:t>
            </w:r>
          </w:p>
        </w:tc>
        <w:tc>
          <w:tcPr>
            <w:tcW w:w="1554"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spacing w:val="-6"/>
                <w:sz w:val="24"/>
              </w:rPr>
              <w:t>3</w:t>
            </w:r>
          </w:p>
        </w:tc>
      </w:tr>
      <w:tr>
        <w:tblPrEx>
          <w:tblCellMar>
            <w:top w:w="0" w:type="dxa"/>
            <w:left w:w="108" w:type="dxa"/>
            <w:bottom w:w="0" w:type="dxa"/>
            <w:right w:w="108" w:type="dxa"/>
          </w:tblCellMar>
        </w:tblPrEx>
        <w:trPr>
          <w:gridAfter w:val="1"/>
          <w:wAfter w:w="236" w:type="dxa"/>
          <w:trHeight w:val="217"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kern w:val="0"/>
                <w:sz w:val="28"/>
                <w:szCs w:val="28"/>
              </w:rPr>
            </w:pPr>
          </w:p>
        </w:tc>
        <w:tc>
          <w:tcPr>
            <w:tcW w:w="1460" w:type="dxa"/>
            <w:vMerge w:val="continue"/>
            <w:tcBorders>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2050"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体育训练</w:t>
            </w:r>
          </w:p>
        </w:tc>
        <w:tc>
          <w:tcPr>
            <w:tcW w:w="2535"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≥3项</w:t>
            </w:r>
          </w:p>
        </w:tc>
        <w:tc>
          <w:tcPr>
            <w:tcW w:w="155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 xml:space="preserve">5 </w:t>
            </w:r>
          </w:p>
        </w:tc>
      </w:tr>
      <w:tr>
        <w:tblPrEx>
          <w:tblCellMar>
            <w:top w:w="0" w:type="dxa"/>
            <w:left w:w="108" w:type="dxa"/>
            <w:bottom w:w="0" w:type="dxa"/>
            <w:right w:w="108" w:type="dxa"/>
          </w:tblCellMar>
        </w:tblPrEx>
        <w:trPr>
          <w:gridAfter w:val="1"/>
          <w:wAfter w:w="236" w:type="dxa"/>
          <w:trHeight w:val="672"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kern w:val="0"/>
                <w:sz w:val="28"/>
                <w:szCs w:val="28"/>
              </w:rPr>
            </w:pPr>
          </w:p>
        </w:tc>
        <w:tc>
          <w:tcPr>
            <w:tcW w:w="1460" w:type="dxa"/>
            <w:vMerge w:val="continue"/>
            <w:tcBorders>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2050" w:type="dxa"/>
            <w:tcBorders>
              <w:top w:val="single" w:color="auto" w:sz="4" w:space="0"/>
              <w:left w:val="single" w:color="000000" w:sz="4" w:space="0"/>
              <w:right w:val="single" w:color="000000" w:sz="4" w:space="0"/>
            </w:tcBorders>
            <w:vAlign w:val="center"/>
          </w:tcPr>
          <w:p>
            <w:pPr>
              <w:widowControl/>
              <w:jc w:val="left"/>
              <w:textAlignment w:val="center"/>
              <w:rPr>
                <w:rFonts w:ascii="宋体" w:hAnsi="宋体" w:cs="宋体"/>
                <w:color w:val="000000"/>
                <w:spacing w:val="-6"/>
                <w:sz w:val="24"/>
              </w:rPr>
            </w:pPr>
            <w:r>
              <w:rPr>
                <w:rFonts w:hint="eastAsia" w:ascii="宋体" w:hAnsi="宋体" w:cs="宋体"/>
                <w:color w:val="000000"/>
                <w:kern w:val="0"/>
                <w:sz w:val="24"/>
              </w:rPr>
              <w:t>康复（健身）体育器材进家庭</w:t>
            </w:r>
          </w:p>
        </w:tc>
        <w:tc>
          <w:tcPr>
            <w:tcW w:w="2535" w:type="dxa"/>
            <w:tcBorders>
              <w:top w:val="single" w:color="auto" w:sz="4" w:space="0"/>
              <w:left w:val="single" w:color="000000"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1项</w:t>
            </w:r>
          </w:p>
        </w:tc>
        <w:tc>
          <w:tcPr>
            <w:tcW w:w="1554"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1</w:t>
            </w:r>
          </w:p>
        </w:tc>
      </w:tr>
      <w:tr>
        <w:tblPrEx>
          <w:tblCellMar>
            <w:top w:w="0" w:type="dxa"/>
            <w:left w:w="108" w:type="dxa"/>
            <w:bottom w:w="0" w:type="dxa"/>
            <w:right w:w="108" w:type="dxa"/>
          </w:tblCellMar>
        </w:tblPrEx>
        <w:trPr>
          <w:gridAfter w:val="1"/>
          <w:wAfter w:w="236" w:type="dxa"/>
          <w:trHeight w:val="520"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60" w:type="dxa"/>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2050" w:type="dxa"/>
            <w:tcBorders>
              <w:top w:val="single" w:color="000000" w:sz="4" w:space="0"/>
              <w:left w:val="single" w:color="000000" w:sz="4" w:space="0"/>
              <w:right w:val="single" w:color="000000" w:sz="4" w:space="0"/>
            </w:tcBorders>
            <w:vAlign w:val="center"/>
          </w:tcPr>
          <w:p>
            <w:pPr>
              <w:widowControl/>
              <w:spacing w:line="340" w:lineRule="exact"/>
              <w:jc w:val="left"/>
              <w:rPr>
                <w:rFonts w:ascii="宋体" w:hAnsi="宋体" w:cs="宋体"/>
                <w:color w:val="000000"/>
                <w:spacing w:val="-6"/>
                <w:sz w:val="24"/>
              </w:rPr>
            </w:pPr>
            <w:r>
              <w:rPr>
                <w:rFonts w:hint="eastAsia" w:ascii="宋体" w:hAnsi="宋体" w:cs="宋体"/>
                <w:color w:val="000000"/>
                <w:spacing w:val="-6"/>
                <w:sz w:val="24"/>
              </w:rPr>
              <w:t>项目完成时间</w:t>
            </w:r>
          </w:p>
        </w:tc>
        <w:tc>
          <w:tcPr>
            <w:tcW w:w="2535" w:type="dxa"/>
            <w:tcBorders>
              <w:top w:val="single" w:color="000000" w:sz="4" w:space="0"/>
              <w:left w:val="single" w:color="000000" w:sz="4" w:space="0"/>
              <w:right w:val="single" w:color="000000" w:sz="4" w:space="0"/>
            </w:tcBorders>
            <w:vAlign w:val="center"/>
          </w:tcPr>
          <w:p>
            <w:pPr>
              <w:widowControl/>
              <w:spacing w:line="340" w:lineRule="exact"/>
              <w:jc w:val="center"/>
              <w:rPr>
                <w:rFonts w:ascii="宋体" w:hAnsi="宋体" w:cs="宋体"/>
                <w:color w:val="000000"/>
                <w:spacing w:val="-6"/>
                <w:sz w:val="24"/>
              </w:rPr>
            </w:pPr>
            <w:r>
              <w:rPr>
                <w:rFonts w:hint="eastAsia" w:ascii="宋体" w:hAnsi="宋体" w:cs="宋体"/>
                <w:color w:val="000000"/>
                <w:spacing w:val="-6"/>
                <w:sz w:val="24"/>
              </w:rPr>
              <w:t>2021年12月</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4"/>
              </w:rPr>
            </w:pPr>
            <w:r>
              <w:rPr>
                <w:rFonts w:hint="eastAsia" w:ascii="宋体" w:hAnsi="宋体" w:cs="宋体"/>
                <w:color w:val="000000"/>
                <w:spacing w:val="-6"/>
                <w:sz w:val="24"/>
              </w:rPr>
              <w:t>完成</w:t>
            </w:r>
          </w:p>
        </w:tc>
      </w:tr>
      <w:tr>
        <w:tblPrEx>
          <w:tblCellMar>
            <w:top w:w="0" w:type="dxa"/>
            <w:left w:w="108" w:type="dxa"/>
            <w:bottom w:w="0" w:type="dxa"/>
            <w:right w:w="108" w:type="dxa"/>
          </w:tblCellMar>
        </w:tblPrEx>
        <w:trPr>
          <w:gridAfter w:val="1"/>
          <w:wAfter w:w="236" w:type="dxa"/>
          <w:trHeight w:val="2439"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60" w:type="dxa"/>
            <w:vMerge w:val="restart"/>
            <w:tcBorders>
              <w:top w:val="single" w:color="000000" w:sz="4" w:space="0"/>
              <w:left w:val="single" w:color="000000" w:sz="4" w:space="0"/>
              <w:right w:val="single" w:color="auto" w:sz="4" w:space="0"/>
            </w:tcBorders>
            <w:vAlign w:val="center"/>
          </w:tcPr>
          <w:p>
            <w:pPr>
              <w:widowControl/>
              <w:spacing w:line="320" w:lineRule="exac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2050" w:type="dxa"/>
            <w:tcBorders>
              <w:top w:val="single" w:color="000000" w:sz="4" w:space="0"/>
              <w:left w:val="single" w:color="auto" w:sz="4" w:space="0"/>
              <w:bottom w:val="single" w:color="auto" w:sz="4" w:space="0"/>
              <w:right w:val="single" w:color="000000" w:sz="4" w:space="0"/>
            </w:tcBorders>
            <w:vAlign w:val="bottom"/>
          </w:tcPr>
          <w:p>
            <w:pPr>
              <w:widowControl/>
              <w:spacing w:line="340" w:lineRule="exact"/>
              <w:jc w:val="left"/>
              <w:rPr>
                <w:rFonts w:ascii="宋体" w:hAnsi="宋体" w:cs="宋体"/>
                <w:color w:val="000000"/>
                <w:spacing w:val="-6"/>
                <w:sz w:val="24"/>
              </w:rPr>
            </w:pPr>
            <w:r>
              <w:rPr>
                <w:rFonts w:hint="eastAsia" w:ascii="宋体" w:hAnsi="宋体" w:cs="宋体"/>
                <w:kern w:val="0"/>
                <w:sz w:val="24"/>
              </w:rPr>
              <w:t>组队参加全国残运会象棋比赛项目、四川省第二届全民健身运动员和攀枝花市第三届群众运动会；</w:t>
            </w:r>
          </w:p>
        </w:tc>
        <w:tc>
          <w:tcPr>
            <w:tcW w:w="2535" w:type="dxa"/>
            <w:vMerge w:val="restart"/>
            <w:tcBorders>
              <w:top w:val="single" w:color="000000" w:sz="4" w:space="0"/>
              <w:left w:val="single" w:color="000000" w:sz="4" w:space="0"/>
              <w:right w:val="single" w:color="000000" w:sz="4" w:space="0"/>
            </w:tcBorders>
            <w:vAlign w:val="center"/>
          </w:tcPr>
          <w:p>
            <w:pPr>
              <w:widowControl/>
              <w:spacing w:line="340" w:lineRule="exact"/>
              <w:jc w:val="center"/>
              <w:rPr>
                <w:rFonts w:ascii="宋体" w:hAnsi="宋体" w:cs="宋体"/>
                <w:color w:val="000000"/>
                <w:spacing w:val="-6"/>
                <w:sz w:val="24"/>
              </w:rPr>
            </w:pPr>
            <w:r>
              <w:rPr>
                <w:rFonts w:hint="eastAsia" w:ascii="宋体" w:hAnsi="宋体" w:cs="宋体"/>
                <w:color w:val="000000"/>
                <w:spacing w:val="-6"/>
                <w:sz w:val="24"/>
              </w:rPr>
              <w:t>18.89</w:t>
            </w:r>
          </w:p>
        </w:tc>
        <w:tc>
          <w:tcPr>
            <w:tcW w:w="1554" w:type="dxa"/>
            <w:vMerge w:val="restart"/>
            <w:tcBorders>
              <w:top w:val="single" w:color="000000" w:sz="4" w:space="0"/>
              <w:left w:val="single" w:color="000000" w:sz="4" w:space="0"/>
              <w:right w:val="single" w:color="000000" w:sz="4" w:space="0"/>
            </w:tcBorders>
            <w:vAlign w:val="center"/>
          </w:tcPr>
          <w:p>
            <w:pPr>
              <w:widowControl/>
              <w:spacing w:line="340" w:lineRule="exact"/>
              <w:jc w:val="center"/>
              <w:rPr>
                <w:rFonts w:ascii="宋体" w:hAnsi="宋体" w:cs="宋体"/>
                <w:color w:val="000000"/>
                <w:spacing w:val="-6"/>
                <w:sz w:val="24"/>
              </w:rPr>
            </w:pPr>
            <w:r>
              <w:rPr>
                <w:rFonts w:hint="eastAsia" w:ascii="宋体" w:hAnsi="宋体" w:cs="宋体"/>
                <w:color w:val="000000"/>
                <w:spacing w:val="-6"/>
                <w:sz w:val="24"/>
              </w:rPr>
              <w:t>18.89</w:t>
            </w:r>
          </w:p>
        </w:tc>
      </w:tr>
      <w:tr>
        <w:tblPrEx>
          <w:tblCellMar>
            <w:top w:w="0" w:type="dxa"/>
            <w:left w:w="108" w:type="dxa"/>
            <w:bottom w:w="0" w:type="dxa"/>
            <w:right w:w="108" w:type="dxa"/>
          </w:tblCellMar>
        </w:tblPrEx>
        <w:trPr>
          <w:gridAfter w:val="1"/>
          <w:wAfter w:w="236" w:type="dxa"/>
          <w:trHeight w:val="882"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continue"/>
            <w:tcBorders>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60" w:type="dxa"/>
            <w:vMerge w:val="continue"/>
            <w:tcBorders>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2050" w:type="dxa"/>
            <w:tcBorders>
              <w:top w:val="single" w:color="auto" w:sz="4" w:space="0"/>
              <w:left w:val="single" w:color="000000" w:sz="4" w:space="0"/>
              <w:bottom w:val="single" w:color="auto" w:sz="4" w:space="0"/>
              <w:right w:val="single" w:color="000000" w:sz="4" w:space="0"/>
            </w:tcBorders>
            <w:vAlign w:val="bottom"/>
          </w:tcPr>
          <w:p>
            <w:pPr>
              <w:widowControl/>
              <w:spacing w:line="340" w:lineRule="exact"/>
              <w:jc w:val="left"/>
              <w:rPr>
                <w:rFonts w:ascii="宋体" w:hAnsi="宋体" w:cs="宋体"/>
                <w:kern w:val="0"/>
                <w:sz w:val="24"/>
              </w:rPr>
            </w:pPr>
            <w:r>
              <w:rPr>
                <w:rFonts w:hint="eastAsia" w:ascii="宋体" w:hAnsi="宋体" w:cs="宋体"/>
                <w:kern w:val="0"/>
                <w:sz w:val="24"/>
              </w:rPr>
              <w:t>开展游泳、田径、中国象棋、滚球、轮滑等体育训练；</w:t>
            </w:r>
          </w:p>
        </w:tc>
        <w:tc>
          <w:tcPr>
            <w:tcW w:w="2535" w:type="dxa"/>
            <w:vMerge w:val="continue"/>
            <w:tcBorders>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p>
        </w:tc>
        <w:tc>
          <w:tcPr>
            <w:tcW w:w="1554" w:type="dxa"/>
            <w:vMerge w:val="continue"/>
            <w:tcBorders>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p>
        </w:tc>
      </w:tr>
      <w:tr>
        <w:tblPrEx>
          <w:tblCellMar>
            <w:top w:w="0" w:type="dxa"/>
            <w:left w:w="108" w:type="dxa"/>
            <w:bottom w:w="0" w:type="dxa"/>
            <w:right w:w="108" w:type="dxa"/>
          </w:tblCellMar>
        </w:tblPrEx>
        <w:trPr>
          <w:gridAfter w:val="1"/>
          <w:wAfter w:w="236" w:type="dxa"/>
          <w:trHeight w:val="779"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continue"/>
            <w:tcBorders>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60" w:type="dxa"/>
            <w:vMerge w:val="continue"/>
            <w:tcBorders>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2050" w:type="dxa"/>
            <w:tcBorders>
              <w:top w:val="single" w:color="auto" w:sz="4" w:space="0"/>
              <w:left w:val="single" w:color="000000" w:sz="4" w:space="0"/>
              <w:bottom w:val="single" w:color="000000" w:sz="4" w:space="0"/>
              <w:right w:val="single" w:color="000000" w:sz="4" w:space="0"/>
            </w:tcBorders>
            <w:vAlign w:val="bottom"/>
          </w:tcPr>
          <w:p>
            <w:pPr>
              <w:widowControl/>
              <w:spacing w:line="340" w:lineRule="exact"/>
              <w:jc w:val="left"/>
              <w:rPr>
                <w:rFonts w:ascii="宋体" w:hAnsi="宋体" w:cs="宋体"/>
                <w:kern w:val="0"/>
                <w:sz w:val="24"/>
              </w:rPr>
            </w:pPr>
            <w:r>
              <w:rPr>
                <w:rFonts w:hint="eastAsia" w:ascii="宋体" w:hAnsi="宋体" w:cs="宋体"/>
                <w:kern w:val="0"/>
                <w:sz w:val="24"/>
              </w:rPr>
              <w:t>发放康复（健身）体育器材3602件。</w:t>
            </w:r>
          </w:p>
        </w:tc>
        <w:tc>
          <w:tcPr>
            <w:tcW w:w="2535" w:type="dxa"/>
            <w:vMerge w:val="continue"/>
            <w:tcBorders>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p>
        </w:tc>
        <w:tc>
          <w:tcPr>
            <w:tcW w:w="1554" w:type="dxa"/>
            <w:vMerge w:val="continue"/>
            <w:tcBorders>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p>
        </w:tc>
      </w:tr>
      <w:tr>
        <w:tblPrEx>
          <w:tblCellMar>
            <w:top w:w="0" w:type="dxa"/>
            <w:left w:w="108" w:type="dxa"/>
            <w:bottom w:w="0" w:type="dxa"/>
            <w:right w:w="108" w:type="dxa"/>
          </w:tblCellMar>
        </w:tblPrEx>
        <w:trPr>
          <w:gridAfter w:val="1"/>
          <w:wAfter w:w="236" w:type="dxa"/>
          <w:trHeight w:val="1882"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60" w:type="dxa"/>
            <w:tcBorders>
              <w:top w:val="single" w:color="000000" w:sz="4" w:space="0"/>
              <w:left w:val="single" w:color="000000" w:sz="4" w:space="0"/>
              <w:right w:val="single" w:color="000000" w:sz="4" w:space="0"/>
            </w:tcBorders>
            <w:vAlign w:val="bottom"/>
          </w:tcPr>
          <w:p>
            <w:pPr>
              <w:widowControl/>
              <w:spacing w:line="320" w:lineRule="exact"/>
              <w:jc w:val="center"/>
              <w:textAlignment w:val="bottom"/>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社会效益  指标</w:t>
            </w:r>
          </w:p>
        </w:tc>
        <w:tc>
          <w:tcPr>
            <w:tcW w:w="2050" w:type="dxa"/>
            <w:tcBorders>
              <w:top w:val="single" w:color="000000" w:sz="4" w:space="0"/>
              <w:left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kern w:val="0"/>
                <w:sz w:val="24"/>
              </w:rPr>
              <w:t>提高残疾人体育竞技水平、确保参加省残运会及其它体育赛事能取得优异成绩。</w:t>
            </w:r>
          </w:p>
        </w:tc>
        <w:tc>
          <w:tcPr>
            <w:tcW w:w="2535" w:type="dxa"/>
            <w:tcBorders>
              <w:top w:val="single" w:color="000000" w:sz="4" w:space="0"/>
              <w:left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kern w:val="0"/>
                <w:sz w:val="24"/>
              </w:rPr>
              <w:t>有所提高</w:t>
            </w:r>
          </w:p>
        </w:tc>
        <w:tc>
          <w:tcPr>
            <w:tcW w:w="1554"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spacing w:val="-6"/>
                <w:sz w:val="24"/>
              </w:rPr>
              <w:t>完成</w:t>
            </w:r>
          </w:p>
        </w:tc>
      </w:tr>
      <w:tr>
        <w:tblPrEx>
          <w:tblCellMar>
            <w:top w:w="0" w:type="dxa"/>
            <w:left w:w="108" w:type="dxa"/>
            <w:bottom w:w="0" w:type="dxa"/>
            <w:right w:w="108" w:type="dxa"/>
          </w:tblCellMar>
        </w:tblPrEx>
        <w:trPr>
          <w:gridAfter w:val="1"/>
          <w:wAfter w:w="236" w:type="dxa"/>
          <w:trHeight w:val="1258" w:hRule="atLeast"/>
        </w:trPr>
        <w:tc>
          <w:tcPr>
            <w:tcW w:w="1116" w:type="dxa"/>
            <w:gridSpan w:val="2"/>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60" w:type="dxa"/>
            <w:tcBorders>
              <w:top w:val="single" w:color="000000" w:sz="4" w:space="0"/>
              <w:left w:val="single" w:color="000000" w:sz="4" w:space="0"/>
              <w:right w:val="single" w:color="000000" w:sz="4" w:space="0"/>
            </w:tcBorders>
            <w:vAlign w:val="bottom"/>
          </w:tcPr>
          <w:p>
            <w:pPr>
              <w:widowControl/>
              <w:spacing w:line="320" w:lineRule="exact"/>
              <w:jc w:val="center"/>
              <w:textAlignment w:val="bottom"/>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可持续影响 指标</w:t>
            </w:r>
          </w:p>
        </w:tc>
        <w:tc>
          <w:tcPr>
            <w:tcW w:w="2050" w:type="dxa"/>
            <w:tcBorders>
              <w:top w:val="single" w:color="000000" w:sz="4" w:space="0"/>
              <w:left w:val="single" w:color="000000" w:sz="4" w:space="0"/>
              <w:right w:val="single" w:color="000000" w:sz="4" w:space="0"/>
            </w:tcBorders>
            <w:vAlign w:val="bottom"/>
          </w:tcPr>
          <w:p>
            <w:pPr>
              <w:widowControl/>
              <w:jc w:val="left"/>
              <w:textAlignment w:val="center"/>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kern w:val="0"/>
                <w:sz w:val="24"/>
              </w:rPr>
              <w:t>提高残疾人身体素质、推动残疾人体育事业发展。</w:t>
            </w:r>
          </w:p>
        </w:tc>
        <w:tc>
          <w:tcPr>
            <w:tcW w:w="2535" w:type="dxa"/>
            <w:tcBorders>
              <w:top w:val="single" w:color="000000" w:sz="4" w:space="0"/>
              <w:left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kern w:val="0"/>
                <w:sz w:val="24"/>
              </w:rPr>
              <w:t>有所提高</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left"/>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spacing w:val="-6"/>
                <w:sz w:val="24"/>
              </w:rPr>
              <w:t>完成</w:t>
            </w:r>
          </w:p>
        </w:tc>
      </w:tr>
      <w:tr>
        <w:tblPrEx>
          <w:tblCellMar>
            <w:top w:w="0" w:type="dxa"/>
            <w:left w:w="108" w:type="dxa"/>
            <w:bottom w:w="0" w:type="dxa"/>
            <w:right w:w="108" w:type="dxa"/>
          </w:tblCellMar>
        </w:tblPrEx>
        <w:trPr>
          <w:gridAfter w:val="1"/>
          <w:wAfter w:w="236" w:type="dxa"/>
          <w:trHeight w:val="530" w:hRule="atLeast"/>
        </w:trPr>
        <w:tc>
          <w:tcPr>
            <w:tcW w:w="1116" w:type="dxa"/>
            <w:gridSpan w:val="2"/>
            <w:vMerge w:val="continue"/>
            <w:tcBorders>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86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46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满意度</w:t>
            </w:r>
          </w:p>
          <w:p>
            <w:pPr>
              <w:widowControl/>
              <w:spacing w:line="320" w:lineRule="exact"/>
              <w:jc w:val="center"/>
              <w:textAlignment w:val="bottom"/>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指标</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spacing w:val="-6"/>
                <w:sz w:val="24"/>
              </w:rPr>
              <w:t>残疾人满意度</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spacing w:val="-6"/>
                <w:sz w:val="24"/>
              </w:rPr>
              <w:t>≥85</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left"/>
              <w:rPr>
                <w:rFonts w:asciiTheme="minorEastAsia" w:hAnsiTheme="minorEastAsia" w:eastAsiaTheme="minorEastAsia" w:cstheme="minorEastAsia"/>
                <w:color w:val="000000"/>
                <w:spacing w:val="-6"/>
                <w:sz w:val="24"/>
              </w:rPr>
            </w:pPr>
            <w:r>
              <w:rPr>
                <w:rFonts w:hint="eastAsia" w:asciiTheme="minorEastAsia" w:hAnsiTheme="minorEastAsia" w:eastAsiaTheme="minorEastAsia" w:cstheme="minorEastAsia"/>
                <w:color w:val="000000"/>
                <w:spacing w:val="-6"/>
                <w:sz w:val="24"/>
              </w:rPr>
              <w:t>完成</w:t>
            </w:r>
          </w:p>
        </w:tc>
      </w:tr>
    </w:tbl>
    <w:p>
      <w:pPr>
        <w:spacing w:line="600" w:lineRule="exact"/>
        <w:jc w:val="center"/>
        <w:rPr>
          <w:rFonts w:ascii="黑体" w:hAnsi="黑体" w:eastAsia="黑体"/>
          <w:sz w:val="44"/>
          <w:szCs w:val="44"/>
        </w:rPr>
      </w:pP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346"/>
        <w:gridCol w:w="795"/>
        <w:gridCol w:w="1455"/>
        <w:gridCol w:w="1890"/>
        <w:gridCol w:w="2535"/>
        <w:gridCol w:w="1554"/>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vAlign w:val="center"/>
          </w:tcPr>
          <w:p>
            <w:pPr>
              <w:widowControl/>
              <w:spacing w:line="540" w:lineRule="exact"/>
              <w:jc w:val="center"/>
              <w:textAlignment w:val="center"/>
              <w:rPr>
                <w:rFonts w:ascii="宋体" w:hAnsi="宋体" w:cs="宋体"/>
                <w:b/>
                <w:sz w:val="32"/>
                <w:szCs w:val="32"/>
              </w:rPr>
            </w:pPr>
            <w:r>
              <w:rPr>
                <w:rFonts w:hint="eastAsia" w:ascii="宋体" w:hAnsi="宋体" w:cs="宋体"/>
                <w:b/>
                <w:sz w:val="32"/>
                <w:szCs w:val="32"/>
              </w:rPr>
              <w:t>2021年残疾人宣传信访项目绩效目标自评</w:t>
            </w:r>
          </w:p>
        </w:tc>
        <w:tc>
          <w:tcPr>
            <w:tcW w:w="236" w:type="dxa"/>
            <w:tcBorders>
              <w:top w:val="nil"/>
              <w:left w:val="nil"/>
              <w:bottom w:val="nil"/>
              <w:right w:val="nil"/>
            </w:tcBorders>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214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334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507001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ascii="宋体" w:hAnsi="宋体" w:cs="宋体"/>
                <w:sz w:val="24"/>
              </w:rPr>
              <w:t>攀枝花市残疾人联合会</w:t>
            </w:r>
          </w:p>
        </w:tc>
      </w:tr>
      <w:tr>
        <w:tblPrEx>
          <w:tblCellMar>
            <w:top w:w="0" w:type="dxa"/>
            <w:left w:w="108" w:type="dxa"/>
            <w:bottom w:w="0" w:type="dxa"/>
            <w:right w:w="108" w:type="dxa"/>
          </w:tblCellMar>
        </w:tblPrEx>
        <w:trPr>
          <w:gridAfter w:val="1"/>
          <w:wAfter w:w="236" w:type="dxa"/>
          <w:trHeight w:val="341" w:hRule="atLeast"/>
        </w:trPr>
        <w:tc>
          <w:tcPr>
            <w:tcW w:w="214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sz w:val="24"/>
              </w:rPr>
              <w:t>2.8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sz w:val="24"/>
              </w:rPr>
              <w:t>2.8</w:t>
            </w:r>
          </w:p>
        </w:tc>
      </w:tr>
      <w:tr>
        <w:tblPrEx>
          <w:tblCellMar>
            <w:top w:w="0" w:type="dxa"/>
            <w:left w:w="108" w:type="dxa"/>
            <w:bottom w:w="0" w:type="dxa"/>
            <w:right w:w="108" w:type="dxa"/>
          </w:tblCellMar>
        </w:tblPrEx>
        <w:trPr>
          <w:gridAfter w:val="1"/>
          <w:wAfter w:w="236" w:type="dxa"/>
          <w:trHeight w:val="555" w:hRule="atLeast"/>
        </w:trPr>
        <w:tc>
          <w:tcPr>
            <w:tcW w:w="214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sz w:val="24"/>
              </w:rPr>
              <w:t>2.8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ind w:firstLine="480" w:firstLineChars="200"/>
              <w:textAlignment w:val="center"/>
              <w:rPr>
                <w:rFonts w:ascii="宋体" w:hAnsi="宋体" w:cs="宋体"/>
                <w:sz w:val="24"/>
              </w:rPr>
            </w:pPr>
            <w:r>
              <w:rPr>
                <w:rFonts w:hint="eastAsia" w:ascii="宋体" w:hAnsi="宋体" w:cs="宋体"/>
                <w:sz w:val="24"/>
              </w:rPr>
              <w:t>2.8</w:t>
            </w:r>
          </w:p>
        </w:tc>
      </w:tr>
      <w:tr>
        <w:tblPrEx>
          <w:tblCellMar>
            <w:top w:w="0" w:type="dxa"/>
            <w:left w:w="108" w:type="dxa"/>
            <w:bottom w:w="0" w:type="dxa"/>
            <w:right w:w="108" w:type="dxa"/>
          </w:tblCellMar>
        </w:tblPrEx>
        <w:trPr>
          <w:gridAfter w:val="1"/>
          <w:wAfter w:w="236" w:type="dxa"/>
          <w:trHeight w:val="341" w:hRule="atLeast"/>
        </w:trPr>
        <w:tc>
          <w:tcPr>
            <w:tcW w:w="214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34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14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4089"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145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4140" w:type="dxa"/>
            <w:gridSpan w:val="3"/>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hAnsi="宋体" w:cs="宋体"/>
                <w:sz w:val="24"/>
              </w:rPr>
            </w:pPr>
            <w:r>
              <w:rPr>
                <w:rFonts w:hint="eastAsia" w:ascii="宋体" w:hAnsi="宋体" w:cs="宋体"/>
                <w:kern w:val="0"/>
                <w:sz w:val="24"/>
              </w:rPr>
              <w:t>做好宣传信访工作，提升残疾人事务治理能力。一是做好残疾人宣传工作；二是</w:t>
            </w:r>
            <w:r>
              <w:rPr>
                <w:rFonts w:hint="eastAsia" w:ascii="宋体" w:hAnsi="宋体" w:cs="宋体"/>
                <w:color w:val="000000"/>
                <w:kern w:val="0"/>
                <w:sz w:val="24"/>
              </w:rPr>
              <w:t>聘请法律顾问，提供法律咨询及服务</w:t>
            </w:r>
            <w:r>
              <w:rPr>
                <w:rFonts w:hint="eastAsia" w:ascii="宋体" w:hAnsi="宋体" w:cs="宋体"/>
                <w:kern w:val="0"/>
                <w:sz w:val="24"/>
              </w:rPr>
              <w:t>；三是及时、准确收集信访信息，解决信访对象实际问题。</w:t>
            </w:r>
          </w:p>
        </w:tc>
        <w:tc>
          <w:tcPr>
            <w:tcW w:w="4089" w:type="dxa"/>
            <w:gridSpan w:val="2"/>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hAnsi="宋体" w:cs="宋体"/>
                <w:sz w:val="24"/>
              </w:rPr>
            </w:pPr>
            <w:r>
              <w:rPr>
                <w:rFonts w:hint="eastAsia" w:ascii="宋体" w:hAnsi="宋体" w:cs="宋体"/>
                <w:kern w:val="0"/>
                <w:sz w:val="24"/>
              </w:rPr>
              <w:t>充分利用微信公众号加强残疾人法律法规政策和残疾人事业宣传；</w:t>
            </w:r>
            <w:r>
              <w:rPr>
                <w:rFonts w:hint="eastAsia" w:ascii="宋体" w:hAnsi="宋体" w:cs="宋体"/>
                <w:color w:val="000000"/>
                <w:kern w:val="0"/>
                <w:sz w:val="24"/>
              </w:rPr>
              <w:t>聘请法律顾问，为市残联提供法律咨询及服务；</w:t>
            </w:r>
            <w:r>
              <w:rPr>
                <w:rFonts w:hint="eastAsia" w:ascii="宋体" w:hAnsi="宋体" w:cs="宋体"/>
                <w:kern w:val="0"/>
                <w:sz w:val="24"/>
              </w:rPr>
              <w:t>及时、准确收集信访信息，解决信访对象实际问题，提高满意度。</w:t>
            </w:r>
          </w:p>
        </w:tc>
      </w:tr>
      <w:tr>
        <w:tblPrEx>
          <w:tblCellMar>
            <w:top w:w="0" w:type="dxa"/>
            <w:left w:w="108" w:type="dxa"/>
            <w:bottom w:w="0" w:type="dxa"/>
            <w:right w:w="108" w:type="dxa"/>
          </w:tblCellMar>
        </w:tblPrEx>
        <w:trPr>
          <w:gridAfter w:val="1"/>
          <w:wAfter w:w="236" w:type="dxa"/>
          <w:trHeight w:val="693" w:hRule="atLeast"/>
        </w:trPr>
        <w:tc>
          <w:tcPr>
            <w:tcW w:w="1346"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795"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207"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宋体" w:hAnsi="宋体" w:cs="宋体"/>
                <w:sz w:val="24"/>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hAnsi="宋体" w:cs="宋体"/>
                <w:kern w:val="0"/>
                <w:sz w:val="24"/>
              </w:rPr>
            </w:pPr>
            <w:r>
              <w:rPr>
                <w:rFonts w:hint="eastAsia" w:ascii="宋体" w:hAnsi="宋体" w:cs="宋体"/>
                <w:kern w:val="0"/>
                <w:sz w:val="24"/>
              </w:rPr>
              <w:t>完成</w:t>
            </w:r>
          </w:p>
          <w:p>
            <w:pPr>
              <w:widowControl/>
              <w:spacing w:line="320" w:lineRule="exact"/>
              <w:jc w:val="center"/>
              <w:textAlignment w:val="bottom"/>
              <w:rPr>
                <w:rFonts w:ascii="宋体" w:hAnsi="宋体" w:cs="宋体"/>
                <w:sz w:val="24"/>
              </w:rPr>
            </w:pPr>
            <w:r>
              <w:rPr>
                <w:rFonts w:hint="eastAsia" w:ascii="宋体" w:hAnsi="宋体" w:cs="宋体"/>
                <w:kern w:val="0"/>
                <w:sz w:val="24"/>
              </w:rPr>
              <w:t>指标</w:t>
            </w:r>
          </w:p>
        </w:tc>
        <w:tc>
          <w:tcPr>
            <w:tcW w:w="145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ascii="宋体" w:hAnsi="宋体" w:cs="宋体"/>
                <w:sz w:val="24"/>
              </w:rPr>
            </w:pPr>
            <w:r>
              <w:rPr>
                <w:rFonts w:hint="eastAsia" w:ascii="宋体" w:hAnsi="宋体" w:cs="宋体"/>
                <w:kern w:val="0"/>
                <w:sz w:val="24"/>
              </w:rPr>
              <w:t>数量指标</w:t>
            </w:r>
          </w:p>
        </w:tc>
        <w:tc>
          <w:tcPr>
            <w:tcW w:w="1890"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color w:val="000000"/>
                <w:spacing w:val="-6"/>
                <w:sz w:val="24"/>
              </w:rPr>
            </w:pPr>
            <w:r>
              <w:rPr>
                <w:rFonts w:hint="eastAsia" w:ascii="宋体" w:hAnsi="宋体" w:cs="宋体"/>
                <w:color w:val="000000"/>
                <w:kern w:val="0"/>
                <w:sz w:val="24"/>
              </w:rPr>
              <w:t>微信公众号运行</w:t>
            </w:r>
          </w:p>
        </w:tc>
        <w:tc>
          <w:tcPr>
            <w:tcW w:w="2535"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1个</w:t>
            </w:r>
          </w:p>
        </w:tc>
        <w:tc>
          <w:tcPr>
            <w:tcW w:w="1554"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1个</w:t>
            </w:r>
          </w:p>
        </w:tc>
      </w:tr>
      <w:tr>
        <w:tblPrEx>
          <w:tblCellMar>
            <w:top w:w="0" w:type="dxa"/>
            <w:left w:w="108" w:type="dxa"/>
            <w:bottom w:w="0" w:type="dxa"/>
            <w:right w:w="108" w:type="dxa"/>
          </w:tblCellMar>
        </w:tblPrEx>
        <w:trPr>
          <w:gridAfter w:val="1"/>
          <w:wAfter w:w="236" w:type="dxa"/>
          <w:trHeight w:val="217"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宋体" w:hAnsi="宋体" w:cs="宋体"/>
                <w:sz w:val="24"/>
              </w:rPr>
            </w:pPr>
          </w:p>
        </w:tc>
        <w:tc>
          <w:tcPr>
            <w:tcW w:w="79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宋体" w:hAnsi="宋体" w:cs="宋体"/>
                <w:kern w:val="0"/>
                <w:sz w:val="24"/>
              </w:rPr>
            </w:pPr>
          </w:p>
        </w:tc>
        <w:tc>
          <w:tcPr>
            <w:tcW w:w="1455" w:type="dxa"/>
            <w:vMerge w:val="continue"/>
            <w:tcBorders>
              <w:left w:val="single" w:color="000000" w:sz="4" w:space="0"/>
              <w:right w:val="single" w:color="000000" w:sz="4" w:space="0"/>
            </w:tcBorders>
            <w:vAlign w:val="bottom"/>
          </w:tcPr>
          <w:p>
            <w:pPr>
              <w:widowControl/>
              <w:spacing w:line="320" w:lineRule="exact"/>
              <w:jc w:val="center"/>
              <w:textAlignment w:val="bottom"/>
              <w:rPr>
                <w:rFonts w:ascii="宋体" w:hAnsi="宋体" w:cs="宋体"/>
                <w:kern w:val="0"/>
                <w:sz w:val="24"/>
              </w:rPr>
            </w:pPr>
          </w:p>
        </w:tc>
        <w:tc>
          <w:tcPr>
            <w:tcW w:w="1890"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color w:val="000000"/>
                <w:spacing w:val="-6"/>
                <w:sz w:val="24"/>
              </w:rPr>
            </w:pPr>
            <w:r>
              <w:rPr>
                <w:rFonts w:hint="eastAsia" w:ascii="宋体" w:hAnsi="宋体" w:cs="宋体"/>
                <w:color w:val="000000"/>
                <w:kern w:val="0"/>
                <w:sz w:val="24"/>
              </w:rPr>
              <w:t>聘请法律顾问</w:t>
            </w:r>
          </w:p>
        </w:tc>
        <w:tc>
          <w:tcPr>
            <w:tcW w:w="2535"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1名</w:t>
            </w:r>
          </w:p>
        </w:tc>
        <w:tc>
          <w:tcPr>
            <w:tcW w:w="1554"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1名</w:t>
            </w:r>
          </w:p>
        </w:tc>
      </w:tr>
      <w:tr>
        <w:tblPrEx>
          <w:tblCellMar>
            <w:top w:w="0" w:type="dxa"/>
            <w:left w:w="108" w:type="dxa"/>
            <w:bottom w:w="0" w:type="dxa"/>
            <w:right w:w="108" w:type="dxa"/>
          </w:tblCellMar>
        </w:tblPrEx>
        <w:trPr>
          <w:gridAfter w:val="1"/>
          <w:wAfter w:w="236" w:type="dxa"/>
          <w:trHeight w:val="657"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宋体" w:hAnsi="宋体" w:cs="宋体"/>
                <w:sz w:val="24"/>
              </w:rPr>
            </w:pPr>
          </w:p>
        </w:tc>
        <w:tc>
          <w:tcPr>
            <w:tcW w:w="79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宋体" w:hAnsi="宋体" w:cs="宋体"/>
                <w:kern w:val="0"/>
                <w:sz w:val="24"/>
              </w:rPr>
            </w:pPr>
          </w:p>
        </w:tc>
        <w:tc>
          <w:tcPr>
            <w:tcW w:w="1455" w:type="dxa"/>
            <w:vMerge w:val="continue"/>
            <w:tcBorders>
              <w:left w:val="single" w:color="000000" w:sz="4" w:space="0"/>
              <w:right w:val="single" w:color="000000" w:sz="4" w:space="0"/>
            </w:tcBorders>
            <w:vAlign w:val="bottom"/>
          </w:tcPr>
          <w:p>
            <w:pPr>
              <w:widowControl/>
              <w:spacing w:line="320" w:lineRule="exact"/>
              <w:jc w:val="center"/>
              <w:textAlignment w:val="bottom"/>
              <w:rPr>
                <w:rFonts w:ascii="宋体" w:hAnsi="宋体" w:cs="宋体"/>
                <w:kern w:val="0"/>
                <w:sz w:val="24"/>
              </w:rPr>
            </w:pPr>
          </w:p>
        </w:tc>
        <w:tc>
          <w:tcPr>
            <w:tcW w:w="1890" w:type="dxa"/>
            <w:tcBorders>
              <w:top w:val="single" w:color="auto" w:sz="4" w:space="0"/>
              <w:left w:val="single" w:color="000000" w:sz="4" w:space="0"/>
              <w:right w:val="single" w:color="000000" w:sz="4" w:space="0"/>
            </w:tcBorders>
            <w:vAlign w:val="center"/>
          </w:tcPr>
          <w:p>
            <w:pPr>
              <w:widowControl/>
              <w:jc w:val="left"/>
              <w:textAlignment w:val="center"/>
              <w:rPr>
                <w:rFonts w:ascii="宋体" w:hAnsi="宋体" w:cs="宋体"/>
                <w:color w:val="000000"/>
                <w:spacing w:val="-6"/>
                <w:sz w:val="24"/>
              </w:rPr>
            </w:pPr>
            <w:r>
              <w:rPr>
                <w:rFonts w:hint="eastAsia" w:ascii="宋体" w:hAnsi="宋体" w:cs="宋体"/>
                <w:color w:val="000000"/>
                <w:kern w:val="0"/>
                <w:sz w:val="24"/>
              </w:rPr>
              <w:t>残疾人信访维稳</w:t>
            </w:r>
          </w:p>
        </w:tc>
        <w:tc>
          <w:tcPr>
            <w:tcW w:w="2535" w:type="dxa"/>
            <w:tcBorders>
              <w:top w:val="single" w:color="auto" w:sz="4" w:space="0"/>
              <w:left w:val="single" w:color="000000"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据实</w:t>
            </w:r>
          </w:p>
        </w:tc>
        <w:tc>
          <w:tcPr>
            <w:tcW w:w="1554" w:type="dxa"/>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color w:val="000000"/>
                <w:spacing w:val="-6"/>
                <w:sz w:val="24"/>
              </w:rPr>
            </w:pPr>
          </w:p>
        </w:tc>
      </w:tr>
      <w:tr>
        <w:tblPrEx>
          <w:tblCellMar>
            <w:top w:w="0" w:type="dxa"/>
            <w:left w:w="108" w:type="dxa"/>
            <w:bottom w:w="0" w:type="dxa"/>
            <w:right w:w="108" w:type="dxa"/>
          </w:tblCellMar>
        </w:tblPrEx>
        <w:trPr>
          <w:gridAfter w:val="1"/>
          <w:wAfter w:w="236" w:type="dxa"/>
          <w:trHeight w:val="415"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宋体" w:hAnsi="宋体" w:cs="宋体"/>
                <w:sz w:val="24"/>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宋体"/>
                <w:sz w:val="24"/>
              </w:rPr>
            </w:pPr>
            <w:r>
              <w:rPr>
                <w:rFonts w:hint="eastAsia" w:ascii="宋体" w:hAnsi="宋体" w:cs="宋体"/>
                <w:kern w:val="0"/>
                <w:sz w:val="24"/>
              </w:rPr>
              <w:t>时效指标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left"/>
              <w:rPr>
                <w:rFonts w:ascii="宋体" w:hAnsi="宋体" w:cs="宋体"/>
                <w:spacing w:val="-6"/>
                <w:sz w:val="24"/>
              </w:rPr>
            </w:pPr>
            <w:r>
              <w:rPr>
                <w:rFonts w:hint="eastAsia" w:ascii="宋体" w:hAnsi="宋体" w:cs="宋体"/>
                <w:spacing w:val="-6"/>
                <w:sz w:val="24"/>
              </w:rPr>
              <w:t>项目完成时间</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spacing w:val="-6"/>
                <w:sz w:val="24"/>
              </w:rPr>
            </w:pPr>
            <w:r>
              <w:rPr>
                <w:rFonts w:hint="eastAsia" w:ascii="宋体" w:hAnsi="宋体" w:cs="宋体"/>
                <w:spacing w:val="-6"/>
                <w:sz w:val="24"/>
              </w:rPr>
              <w:t>2021年12月</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spacing w:val="-6"/>
                <w:sz w:val="24"/>
              </w:rPr>
            </w:pPr>
            <w:r>
              <w:rPr>
                <w:rFonts w:hint="eastAsia" w:ascii="宋体" w:hAnsi="宋体" w:cs="宋体"/>
                <w:spacing w:val="-6"/>
                <w:sz w:val="24"/>
              </w:rPr>
              <w:t>完成</w:t>
            </w:r>
          </w:p>
        </w:tc>
      </w:tr>
      <w:tr>
        <w:tblPrEx>
          <w:tblCellMar>
            <w:top w:w="0" w:type="dxa"/>
            <w:left w:w="108" w:type="dxa"/>
            <w:bottom w:w="0" w:type="dxa"/>
            <w:right w:w="108" w:type="dxa"/>
          </w:tblCellMar>
        </w:tblPrEx>
        <w:trPr>
          <w:gridAfter w:val="1"/>
          <w:wAfter w:w="236" w:type="dxa"/>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宋体" w:hAnsi="宋体" w:cs="宋体"/>
                <w:sz w:val="24"/>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bottom"/>
              <w:rPr>
                <w:rFonts w:ascii="宋体" w:hAnsi="宋体" w:cs="宋体"/>
                <w:sz w:val="24"/>
              </w:rPr>
            </w:pPr>
            <w:r>
              <w:rPr>
                <w:rFonts w:hint="eastAsia" w:ascii="宋体" w:hAnsi="宋体" w:cs="宋体"/>
                <w:kern w:val="0"/>
                <w:sz w:val="24"/>
              </w:rPr>
              <w:t>成本指标</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left"/>
              <w:rPr>
                <w:rFonts w:ascii="宋体" w:hAnsi="宋体" w:cs="宋体"/>
                <w:spacing w:val="-6"/>
                <w:sz w:val="24"/>
              </w:rPr>
            </w:pPr>
            <w:r>
              <w:rPr>
                <w:rFonts w:hint="eastAsia" w:ascii="宋体" w:hAnsi="宋体" w:cs="宋体"/>
                <w:kern w:val="0"/>
                <w:sz w:val="24"/>
              </w:rPr>
              <w:t>微信公众号运行、聘请法律顾问、残疾人紧急救助、法律援助、信访维稳、宣传</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spacing w:val="-6"/>
                <w:sz w:val="24"/>
              </w:rPr>
            </w:pPr>
            <w:r>
              <w:rPr>
                <w:rFonts w:hint="eastAsia" w:ascii="宋体" w:hAnsi="宋体" w:cs="宋体"/>
                <w:spacing w:val="-6"/>
                <w:sz w:val="24"/>
              </w:rPr>
              <w:t>2.8</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spacing w:val="-6"/>
                <w:sz w:val="24"/>
              </w:rPr>
            </w:pPr>
            <w:r>
              <w:rPr>
                <w:rFonts w:hint="eastAsia" w:ascii="宋体" w:hAnsi="宋体" w:cs="宋体"/>
                <w:spacing w:val="-6"/>
                <w:sz w:val="24"/>
              </w:rPr>
              <w:t>2.8</w:t>
            </w:r>
          </w:p>
        </w:tc>
      </w:tr>
      <w:tr>
        <w:tblPrEx>
          <w:tblCellMar>
            <w:top w:w="0" w:type="dxa"/>
            <w:left w:w="108" w:type="dxa"/>
            <w:bottom w:w="0" w:type="dxa"/>
            <w:right w:w="108" w:type="dxa"/>
          </w:tblCellMar>
        </w:tblPrEx>
        <w:trPr>
          <w:gridAfter w:val="1"/>
          <w:wAfter w:w="236" w:type="dxa"/>
          <w:trHeight w:val="1882"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宋体" w:hAnsi="宋体" w:cs="宋体"/>
                <w:sz w:val="24"/>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宋体" w:hAnsi="宋体" w:cs="宋体"/>
                <w:kern w:val="0"/>
                <w:sz w:val="24"/>
              </w:rPr>
            </w:pPr>
            <w:r>
              <w:rPr>
                <w:rFonts w:hint="eastAsia" w:ascii="宋体" w:hAnsi="宋体" w:cs="宋体"/>
                <w:kern w:val="0"/>
                <w:sz w:val="24"/>
              </w:rPr>
              <w:t>效益</w:t>
            </w:r>
          </w:p>
          <w:p>
            <w:pPr>
              <w:widowControl/>
              <w:spacing w:line="320" w:lineRule="exact"/>
              <w:jc w:val="center"/>
              <w:textAlignment w:val="bottom"/>
              <w:rPr>
                <w:rFonts w:ascii="宋体" w:hAnsi="宋体" w:cs="宋体"/>
                <w:sz w:val="24"/>
              </w:rPr>
            </w:pPr>
            <w:r>
              <w:rPr>
                <w:rFonts w:hint="eastAsia" w:ascii="宋体" w:hAnsi="宋体" w:cs="宋体"/>
                <w:kern w:val="0"/>
                <w:sz w:val="24"/>
              </w:rPr>
              <w:t>指标</w:t>
            </w:r>
          </w:p>
        </w:tc>
        <w:tc>
          <w:tcPr>
            <w:tcW w:w="1455" w:type="dxa"/>
            <w:tcBorders>
              <w:top w:val="single" w:color="000000" w:sz="4" w:space="0"/>
              <w:left w:val="single" w:color="000000" w:sz="4" w:space="0"/>
              <w:right w:val="single" w:color="000000" w:sz="4" w:space="0"/>
            </w:tcBorders>
            <w:vAlign w:val="center"/>
          </w:tcPr>
          <w:p>
            <w:pPr>
              <w:widowControl/>
              <w:spacing w:line="320" w:lineRule="exact"/>
              <w:textAlignment w:val="bottom"/>
              <w:rPr>
                <w:rFonts w:ascii="宋体" w:hAnsi="宋体" w:cs="宋体"/>
                <w:sz w:val="24"/>
              </w:rPr>
            </w:pPr>
            <w:r>
              <w:rPr>
                <w:rFonts w:hint="eastAsia" w:ascii="宋体" w:hAnsi="宋体" w:cs="宋体"/>
                <w:kern w:val="0"/>
                <w:sz w:val="24"/>
              </w:rPr>
              <w:t>社会效益  指标</w:t>
            </w:r>
          </w:p>
        </w:tc>
        <w:tc>
          <w:tcPr>
            <w:tcW w:w="1890"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color w:val="000000"/>
                <w:spacing w:val="-6"/>
                <w:sz w:val="24"/>
              </w:rPr>
            </w:pPr>
            <w:r>
              <w:rPr>
                <w:rFonts w:hint="eastAsia" w:ascii="宋体" w:hAnsi="宋体" w:cs="宋体"/>
                <w:color w:val="000000"/>
                <w:kern w:val="0"/>
                <w:sz w:val="24"/>
              </w:rPr>
              <w:t>宣传残疾人事业发展、提升残疾人事业依法治理能力、提供法律咨询及服务。</w:t>
            </w:r>
          </w:p>
        </w:tc>
        <w:tc>
          <w:tcPr>
            <w:tcW w:w="253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有所提升</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pacing w:val="-6"/>
                <w:sz w:val="24"/>
              </w:rPr>
            </w:pPr>
            <w:r>
              <w:rPr>
                <w:rFonts w:hint="eastAsia" w:ascii="宋体" w:hAnsi="宋体" w:cs="宋体"/>
                <w:color w:val="000000"/>
                <w:spacing w:val="-6"/>
                <w:sz w:val="24"/>
              </w:rPr>
              <w:t>完成</w:t>
            </w:r>
          </w:p>
        </w:tc>
      </w:tr>
      <w:tr>
        <w:tblPrEx>
          <w:tblCellMar>
            <w:top w:w="0" w:type="dxa"/>
            <w:left w:w="108" w:type="dxa"/>
            <w:bottom w:w="0" w:type="dxa"/>
            <w:right w:w="108" w:type="dxa"/>
          </w:tblCellMar>
        </w:tblPrEx>
        <w:trPr>
          <w:gridAfter w:val="1"/>
          <w:wAfter w:w="236" w:type="dxa"/>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宋体" w:hAnsi="宋体" w:cs="宋体"/>
                <w:sz w:val="24"/>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宋体"/>
                <w:sz w:val="24"/>
              </w:rPr>
            </w:pPr>
            <w:r>
              <w:rPr>
                <w:rFonts w:hint="eastAsia" w:ascii="宋体" w:hAnsi="宋体" w:cs="宋体"/>
                <w:kern w:val="0"/>
                <w:sz w:val="24"/>
              </w:rPr>
              <w:t>可持续影响指标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pacing w:val="-6"/>
                <w:sz w:val="24"/>
              </w:rPr>
            </w:pPr>
            <w:r>
              <w:rPr>
                <w:rFonts w:hint="eastAsia" w:ascii="宋体" w:hAnsi="宋体" w:cs="宋体"/>
                <w:kern w:val="0"/>
                <w:sz w:val="24"/>
              </w:rPr>
              <w:t>推动残疾人事业持续健康发展，维护改革开放和社会主义现代化建设的稳定大局。</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pacing w:val="-6"/>
                <w:sz w:val="24"/>
              </w:rPr>
            </w:pPr>
            <w:r>
              <w:rPr>
                <w:rFonts w:hint="eastAsia" w:ascii="宋体" w:hAnsi="宋体" w:cs="宋体"/>
                <w:color w:val="000000"/>
                <w:kern w:val="0"/>
                <w:sz w:val="24"/>
              </w:rPr>
              <w:t>有所提高</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4"/>
              </w:rPr>
            </w:pPr>
            <w:r>
              <w:rPr>
                <w:rFonts w:hint="eastAsia" w:ascii="宋体" w:hAnsi="宋体" w:cs="宋体"/>
                <w:color w:val="000000"/>
                <w:spacing w:val="-6"/>
                <w:sz w:val="24"/>
              </w:rPr>
              <w:t>完成</w:t>
            </w:r>
          </w:p>
        </w:tc>
      </w:tr>
      <w:tr>
        <w:tblPrEx>
          <w:tblCellMar>
            <w:top w:w="0" w:type="dxa"/>
            <w:left w:w="108" w:type="dxa"/>
            <w:bottom w:w="0" w:type="dxa"/>
            <w:right w:w="108" w:type="dxa"/>
          </w:tblCellMar>
        </w:tblPrEx>
        <w:trPr>
          <w:gridAfter w:val="1"/>
          <w:wAfter w:w="236" w:type="dxa"/>
          <w:trHeight w:val="530" w:hRule="atLeast"/>
        </w:trPr>
        <w:tc>
          <w:tcPr>
            <w:tcW w:w="1346"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79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宋体"/>
                <w:kern w:val="0"/>
                <w:sz w:val="24"/>
              </w:rPr>
            </w:pPr>
            <w:r>
              <w:rPr>
                <w:rFonts w:hint="eastAsia" w:ascii="宋体" w:hAnsi="宋体" w:cs="宋体"/>
                <w:kern w:val="0"/>
                <w:sz w:val="24"/>
              </w:rPr>
              <w:t>满意</w:t>
            </w:r>
          </w:p>
          <w:p>
            <w:pPr>
              <w:widowControl/>
              <w:spacing w:line="320" w:lineRule="exact"/>
              <w:jc w:val="center"/>
              <w:textAlignment w:val="bottom"/>
              <w:rPr>
                <w:rFonts w:ascii="宋体" w:hAnsi="宋体" w:cs="宋体"/>
                <w:sz w:val="24"/>
              </w:rPr>
            </w:pPr>
            <w:r>
              <w:rPr>
                <w:rFonts w:hint="eastAsia" w:ascii="宋体" w:hAnsi="宋体" w:cs="宋体"/>
                <w:kern w:val="0"/>
                <w:sz w:val="24"/>
              </w:rPr>
              <w:t>度指标</w:t>
            </w: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宋体" w:hAnsi="宋体" w:cs="宋体"/>
                <w:kern w:val="0"/>
                <w:sz w:val="24"/>
              </w:rPr>
            </w:pPr>
            <w:r>
              <w:rPr>
                <w:rFonts w:hint="eastAsia" w:ascii="宋体" w:hAnsi="宋体" w:cs="宋体"/>
                <w:kern w:val="0"/>
                <w:sz w:val="24"/>
              </w:rPr>
              <w:t>满意度</w:t>
            </w:r>
          </w:p>
          <w:p>
            <w:pPr>
              <w:widowControl/>
              <w:spacing w:line="320" w:lineRule="exact"/>
              <w:jc w:val="center"/>
              <w:textAlignment w:val="bottom"/>
              <w:rPr>
                <w:rFonts w:ascii="宋体" w:hAnsi="宋体" w:cs="宋体"/>
                <w:sz w:val="24"/>
              </w:rPr>
            </w:pPr>
            <w:r>
              <w:rPr>
                <w:rFonts w:hint="eastAsia" w:ascii="宋体" w:hAnsi="宋体" w:cs="宋体"/>
                <w:kern w:val="0"/>
                <w:sz w:val="24"/>
              </w:rPr>
              <w:t>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4"/>
              </w:rPr>
            </w:pPr>
            <w:r>
              <w:rPr>
                <w:rFonts w:hint="eastAsia" w:ascii="宋体" w:hAnsi="宋体" w:cs="宋体"/>
                <w:spacing w:val="-6"/>
                <w:sz w:val="24"/>
              </w:rPr>
              <w:t>残疾人满意度</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4"/>
              </w:rPr>
            </w:pPr>
            <w:r>
              <w:rPr>
                <w:rFonts w:hint="eastAsia" w:ascii="宋体" w:hAnsi="宋体" w:cs="宋体"/>
                <w:color w:val="000000"/>
                <w:spacing w:val="-6"/>
                <w:sz w:val="24"/>
              </w:rPr>
              <w:t>≥80</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4"/>
              </w:rPr>
            </w:pPr>
            <w:r>
              <w:rPr>
                <w:rFonts w:hint="eastAsia" w:ascii="宋体" w:hAnsi="宋体" w:cs="宋体"/>
                <w:color w:val="000000"/>
                <w:spacing w:val="-6"/>
                <w:sz w:val="24"/>
              </w:rPr>
              <w:t>＞80</w:t>
            </w:r>
          </w:p>
        </w:tc>
      </w:tr>
    </w:tbl>
    <w:p>
      <w:pPr>
        <w:spacing w:line="600" w:lineRule="exact"/>
        <w:jc w:val="center"/>
        <w:rPr>
          <w:rFonts w:ascii="宋体" w:hAnsi="宋体" w:cs="宋体"/>
          <w:sz w:val="24"/>
        </w:rPr>
      </w:pP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346"/>
        <w:gridCol w:w="795"/>
        <w:gridCol w:w="1455"/>
        <w:gridCol w:w="1890"/>
        <w:gridCol w:w="2535"/>
        <w:gridCol w:w="1554"/>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vAlign w:val="center"/>
          </w:tcPr>
          <w:p>
            <w:pPr>
              <w:widowControl/>
              <w:spacing w:line="540" w:lineRule="exact"/>
              <w:jc w:val="center"/>
              <w:textAlignment w:val="center"/>
              <w:rPr>
                <w:rFonts w:ascii="宋体" w:hAnsi="宋体" w:cs="宋体"/>
                <w:b/>
                <w:sz w:val="32"/>
                <w:szCs w:val="32"/>
              </w:rPr>
            </w:pPr>
            <w:r>
              <w:rPr>
                <w:rFonts w:hint="eastAsia" w:ascii="宋体" w:hAnsi="宋体" w:cs="宋体"/>
                <w:b/>
                <w:sz w:val="32"/>
                <w:szCs w:val="32"/>
              </w:rPr>
              <w:t>2021年残疾人职业技能培训和农村残疾人实用技术培训项目绩效目标自评</w:t>
            </w:r>
          </w:p>
        </w:tc>
        <w:tc>
          <w:tcPr>
            <w:tcW w:w="236" w:type="dxa"/>
            <w:tcBorders>
              <w:top w:val="nil"/>
              <w:left w:val="nil"/>
              <w:bottom w:val="nil"/>
              <w:right w:val="nil"/>
            </w:tcBorders>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214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334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507001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ascii="宋体" w:hAnsi="宋体" w:cs="宋体"/>
                <w:sz w:val="24"/>
              </w:rPr>
              <w:t>攀枝花市残疾人联合会</w:t>
            </w:r>
          </w:p>
        </w:tc>
      </w:tr>
      <w:tr>
        <w:tblPrEx>
          <w:tblCellMar>
            <w:top w:w="0" w:type="dxa"/>
            <w:left w:w="108" w:type="dxa"/>
            <w:bottom w:w="0" w:type="dxa"/>
            <w:right w:w="108" w:type="dxa"/>
          </w:tblCellMar>
        </w:tblPrEx>
        <w:trPr>
          <w:gridAfter w:val="1"/>
          <w:wAfter w:w="236" w:type="dxa"/>
          <w:trHeight w:val="341" w:hRule="atLeast"/>
        </w:trPr>
        <w:tc>
          <w:tcPr>
            <w:tcW w:w="214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sz w:val="24"/>
              </w:rPr>
              <w:t>21.07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hint="eastAsia" w:ascii="宋体" w:hAnsi="宋体" w:cs="宋体"/>
                <w:sz w:val="24"/>
              </w:rPr>
              <w:t>21.07</w:t>
            </w:r>
          </w:p>
        </w:tc>
      </w:tr>
      <w:tr>
        <w:tblPrEx>
          <w:tblCellMar>
            <w:top w:w="0" w:type="dxa"/>
            <w:left w:w="108" w:type="dxa"/>
            <w:bottom w:w="0" w:type="dxa"/>
            <w:right w:w="108" w:type="dxa"/>
          </w:tblCellMar>
        </w:tblPrEx>
        <w:trPr>
          <w:gridAfter w:val="1"/>
          <w:wAfter w:w="236" w:type="dxa"/>
          <w:trHeight w:val="555" w:hRule="atLeast"/>
        </w:trPr>
        <w:tc>
          <w:tcPr>
            <w:tcW w:w="214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sz w:val="24"/>
              </w:rPr>
              <w:t>21.07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21.07</w:t>
            </w:r>
          </w:p>
        </w:tc>
      </w:tr>
      <w:tr>
        <w:tblPrEx>
          <w:tblCellMar>
            <w:top w:w="0" w:type="dxa"/>
            <w:left w:w="108" w:type="dxa"/>
            <w:bottom w:w="0" w:type="dxa"/>
            <w:right w:w="108" w:type="dxa"/>
          </w:tblCellMar>
        </w:tblPrEx>
        <w:trPr>
          <w:gridAfter w:val="1"/>
          <w:wAfter w:w="236" w:type="dxa"/>
          <w:trHeight w:val="341" w:hRule="atLeast"/>
        </w:trPr>
        <w:tc>
          <w:tcPr>
            <w:tcW w:w="214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34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14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4089"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145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4140" w:type="dxa"/>
            <w:gridSpan w:val="3"/>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hAnsi="宋体" w:cs="宋体"/>
                <w:sz w:val="24"/>
              </w:rPr>
            </w:pPr>
            <w:r>
              <w:rPr>
                <w:rFonts w:hint="eastAsia" w:ascii="宋体" w:hAnsi="宋体" w:cs="宋体"/>
                <w:kern w:val="0"/>
                <w:sz w:val="24"/>
              </w:rPr>
              <w:t>在仁和区和盐边县,对处于就业年龄段,具备一定劳动能力,有培训需求,自身条件符合培训要求的450人持证残疾人开展实用技术培训。</w:t>
            </w:r>
          </w:p>
        </w:tc>
        <w:tc>
          <w:tcPr>
            <w:tcW w:w="4089" w:type="dxa"/>
            <w:gridSpan w:val="2"/>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Fonts w:ascii="宋体" w:hAnsi="宋体" w:cs="宋体"/>
                <w:sz w:val="24"/>
              </w:rPr>
            </w:pPr>
            <w:r>
              <w:rPr>
                <w:rFonts w:hint="eastAsia" w:ascii="宋体" w:hAnsi="宋体" w:cs="宋体"/>
                <w:kern w:val="0"/>
                <w:sz w:val="24"/>
              </w:rPr>
              <w:t>在仁和区和盐边县,完成对处于就业年龄段,具备一定劳动能力,有培训需求,自身条件符合培训要求的450人持证残疾人开展实用技术培训。</w:t>
            </w:r>
          </w:p>
        </w:tc>
      </w:tr>
      <w:tr>
        <w:tblPrEx>
          <w:tblCellMar>
            <w:top w:w="0" w:type="dxa"/>
            <w:left w:w="108" w:type="dxa"/>
            <w:bottom w:w="0" w:type="dxa"/>
            <w:right w:w="108" w:type="dxa"/>
          </w:tblCellMar>
        </w:tblPrEx>
        <w:trPr>
          <w:gridAfter w:val="1"/>
          <w:wAfter w:w="236" w:type="dxa"/>
          <w:trHeight w:val="693" w:hRule="atLeast"/>
        </w:trPr>
        <w:tc>
          <w:tcPr>
            <w:tcW w:w="1346"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795"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培训人数</w:t>
            </w:r>
          </w:p>
        </w:tc>
        <w:tc>
          <w:tcPr>
            <w:tcW w:w="2535"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450人</w:t>
            </w:r>
          </w:p>
        </w:tc>
        <w:tc>
          <w:tcPr>
            <w:tcW w:w="1554"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450人</w:t>
            </w:r>
          </w:p>
        </w:tc>
      </w:tr>
      <w:tr>
        <w:tblPrEx>
          <w:tblCellMar>
            <w:top w:w="0" w:type="dxa"/>
            <w:left w:w="108" w:type="dxa"/>
            <w:bottom w:w="0" w:type="dxa"/>
            <w:right w:w="108" w:type="dxa"/>
          </w:tblCellMar>
        </w:tblPrEx>
        <w:trPr>
          <w:gridAfter w:val="1"/>
          <w:wAfter w:w="236" w:type="dxa"/>
          <w:trHeight w:val="415"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接受农村实用技术培训人员掌握的生产技能数量。</w:t>
            </w:r>
          </w:p>
        </w:tc>
        <w:tc>
          <w:tcPr>
            <w:tcW w:w="2535"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≥1门</w:t>
            </w:r>
          </w:p>
        </w:tc>
        <w:tc>
          <w:tcPr>
            <w:tcW w:w="1554"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完成</w:t>
            </w:r>
          </w:p>
        </w:tc>
      </w:tr>
      <w:tr>
        <w:tblPrEx>
          <w:tblCellMar>
            <w:top w:w="0" w:type="dxa"/>
            <w:left w:w="108" w:type="dxa"/>
            <w:bottom w:w="0" w:type="dxa"/>
            <w:right w:w="108" w:type="dxa"/>
          </w:tblCellMar>
        </w:tblPrEx>
        <w:trPr>
          <w:gridAfter w:val="1"/>
          <w:wAfter w:w="236" w:type="dxa"/>
          <w:trHeight w:val="415"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项目完成时间</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2021年12月</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完成</w:t>
            </w:r>
          </w:p>
        </w:tc>
      </w:tr>
      <w:tr>
        <w:tblPrEx>
          <w:tblCellMar>
            <w:top w:w="0" w:type="dxa"/>
            <w:left w:w="108" w:type="dxa"/>
            <w:bottom w:w="0" w:type="dxa"/>
            <w:right w:w="108" w:type="dxa"/>
          </w:tblCellMar>
        </w:tblPrEx>
        <w:trPr>
          <w:gridAfter w:val="1"/>
          <w:wAfter w:w="236" w:type="dxa"/>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接受农村残疾人实用技术培训资金</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21.07万元</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21.07万元</w:t>
            </w:r>
          </w:p>
        </w:tc>
      </w:tr>
      <w:tr>
        <w:tblPrEx>
          <w:tblCellMar>
            <w:top w:w="0" w:type="dxa"/>
            <w:left w:w="108" w:type="dxa"/>
            <w:bottom w:w="0" w:type="dxa"/>
            <w:right w:w="108" w:type="dxa"/>
          </w:tblCellMar>
        </w:tblPrEx>
        <w:trPr>
          <w:gridAfter w:val="1"/>
          <w:wAfter w:w="236" w:type="dxa"/>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残疾人职业技能培训和农村残疾人实用技术培训</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开展城乡残疾人职业技能和实用技术培训，不断提高残疾人职业技能或农村实用技术，促进他们更好就业或发展生产，增加收入。</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有所增加</w:t>
            </w:r>
          </w:p>
        </w:tc>
      </w:tr>
      <w:tr>
        <w:tblPrEx>
          <w:tblCellMar>
            <w:top w:w="0" w:type="dxa"/>
            <w:left w:w="108" w:type="dxa"/>
            <w:bottom w:w="0" w:type="dxa"/>
            <w:right w:w="108" w:type="dxa"/>
          </w:tblCellMar>
        </w:tblPrEx>
        <w:trPr>
          <w:gridAfter w:val="1"/>
          <w:wAfter w:w="236" w:type="dxa"/>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增强残疾人获得感和幸福感</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通过培训，提高残疾人职业技能和实用技术水平，融入到社会生产生活和工作中，增加了收入，残疾人获得感和幸福感增强了。</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有所提高</w:t>
            </w:r>
          </w:p>
        </w:tc>
      </w:tr>
      <w:tr>
        <w:tblPrEx>
          <w:tblCellMar>
            <w:top w:w="0" w:type="dxa"/>
            <w:left w:w="108" w:type="dxa"/>
            <w:bottom w:w="0" w:type="dxa"/>
            <w:right w:w="108" w:type="dxa"/>
          </w:tblCellMar>
        </w:tblPrEx>
        <w:trPr>
          <w:gridAfter w:val="1"/>
          <w:wAfter w:w="236" w:type="dxa"/>
          <w:trHeight w:val="9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left"/>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生态效益指标</w:t>
            </w:r>
          </w:p>
        </w:tc>
        <w:tc>
          <w:tcPr>
            <w:tcW w:w="1890"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p>
        </w:tc>
        <w:tc>
          <w:tcPr>
            <w:tcW w:w="2535"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p>
        </w:tc>
        <w:tc>
          <w:tcPr>
            <w:tcW w:w="1554"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p>
        </w:tc>
      </w:tr>
      <w:tr>
        <w:tblPrEx>
          <w:tblCellMar>
            <w:top w:w="0" w:type="dxa"/>
            <w:left w:w="108" w:type="dxa"/>
            <w:bottom w:w="0" w:type="dxa"/>
            <w:right w:w="108" w:type="dxa"/>
          </w:tblCellMar>
        </w:tblPrEx>
        <w:trPr>
          <w:gridAfter w:val="1"/>
          <w:wAfter w:w="236" w:type="dxa"/>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帮助残疾人共享经济社会发展成果</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保障2021年度有需求的残疾人得到职业技能或实用技术培训，促进他们就业或发展生产，增加收入。</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完成</w:t>
            </w:r>
          </w:p>
        </w:tc>
      </w:tr>
      <w:tr>
        <w:tblPrEx>
          <w:tblCellMar>
            <w:top w:w="0" w:type="dxa"/>
            <w:left w:w="108" w:type="dxa"/>
            <w:bottom w:w="0" w:type="dxa"/>
            <w:right w:w="108" w:type="dxa"/>
          </w:tblCellMar>
        </w:tblPrEx>
        <w:trPr>
          <w:gridAfter w:val="1"/>
          <w:wAfter w:w="236" w:type="dxa"/>
          <w:trHeight w:val="530" w:hRule="atLeast"/>
        </w:trPr>
        <w:tc>
          <w:tcPr>
            <w:tcW w:w="1346"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79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45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残疾人满意度</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≥80%</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85%</w:t>
            </w:r>
          </w:p>
        </w:tc>
      </w:tr>
    </w:tbl>
    <w:p>
      <w:pPr>
        <w:pStyle w:val="2"/>
        <w:spacing w:before="93"/>
        <w:rPr>
          <w:rFonts w:ascii="黑体" w:hAnsi="黑体" w:eastAsia="黑体"/>
          <w:sz w:val="44"/>
          <w:szCs w:val="44"/>
        </w:rPr>
      </w:pP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380"/>
        <w:gridCol w:w="1061"/>
        <w:gridCol w:w="1506"/>
        <w:gridCol w:w="1675"/>
        <w:gridCol w:w="2597"/>
        <w:gridCol w:w="1592"/>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vAlign w:val="center"/>
          </w:tcPr>
          <w:p>
            <w:pPr>
              <w:widowControl/>
              <w:spacing w:line="540" w:lineRule="exact"/>
              <w:jc w:val="center"/>
              <w:textAlignment w:val="center"/>
              <w:rPr>
                <w:rFonts w:ascii="宋体" w:hAnsi="宋体" w:cs="宋体"/>
                <w:b/>
                <w:sz w:val="32"/>
                <w:szCs w:val="32"/>
              </w:rPr>
            </w:pPr>
            <w:r>
              <w:rPr>
                <w:rFonts w:hint="eastAsia" w:ascii="宋体" w:hAnsi="宋体" w:cs="宋体"/>
                <w:b/>
                <w:sz w:val="32"/>
                <w:szCs w:val="32"/>
              </w:rPr>
              <w:t>2021年农村残疾人扶贫资金股权量化项目绩效目标自评</w:t>
            </w:r>
          </w:p>
        </w:tc>
      </w:tr>
      <w:tr>
        <w:tblPrEx>
          <w:tblCellMar>
            <w:top w:w="0" w:type="dxa"/>
            <w:left w:w="108" w:type="dxa"/>
            <w:bottom w:w="0" w:type="dxa"/>
            <w:right w:w="108" w:type="dxa"/>
          </w:tblCellMar>
        </w:tblPrEx>
        <w:trPr>
          <w:trHeight w:val="254" w:hRule="atLeast"/>
        </w:trPr>
        <w:tc>
          <w:tcPr>
            <w:tcW w:w="2381"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310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507001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ascii="宋体" w:hAnsi="宋体" w:cs="宋体"/>
                <w:sz w:val="24"/>
              </w:rPr>
              <w:t>攀枝花市残疾人联合会</w:t>
            </w:r>
          </w:p>
        </w:tc>
      </w:tr>
      <w:tr>
        <w:tblPrEx>
          <w:tblCellMar>
            <w:top w:w="0" w:type="dxa"/>
            <w:left w:w="108" w:type="dxa"/>
            <w:bottom w:w="0" w:type="dxa"/>
            <w:right w:w="108" w:type="dxa"/>
          </w:tblCellMar>
        </w:tblPrEx>
        <w:trPr>
          <w:trHeight w:val="341" w:hRule="atLeast"/>
        </w:trPr>
        <w:tc>
          <w:tcPr>
            <w:tcW w:w="238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sz w:val="24"/>
              </w:rPr>
              <w:t>20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hint="eastAsia" w:ascii="宋体" w:hAnsi="宋体" w:cs="宋体"/>
                <w:sz w:val="24"/>
              </w:rPr>
              <w:t>20</w:t>
            </w:r>
          </w:p>
        </w:tc>
      </w:tr>
      <w:tr>
        <w:tblPrEx>
          <w:tblCellMar>
            <w:top w:w="0" w:type="dxa"/>
            <w:left w:w="108" w:type="dxa"/>
            <w:bottom w:w="0" w:type="dxa"/>
            <w:right w:w="108" w:type="dxa"/>
          </w:tblCellMar>
        </w:tblPrEx>
        <w:trPr>
          <w:trHeight w:val="555" w:hRule="atLeast"/>
        </w:trPr>
        <w:tc>
          <w:tcPr>
            <w:tcW w:w="238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ascii="宋体" w:hAnsi="宋体" w:cs="宋体"/>
                <w:sz w:val="24"/>
              </w:rPr>
              <w:t>20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宋体" w:hAnsi="宋体" w:cs="宋体"/>
                <w:sz w:val="24"/>
              </w:rPr>
            </w:pPr>
            <w:r>
              <w:rPr>
                <w:rFonts w:ascii="宋体" w:hAnsi="宋体" w:cs="宋体"/>
                <w:sz w:val="24"/>
              </w:rPr>
              <w:t>20</w:t>
            </w:r>
          </w:p>
        </w:tc>
      </w:tr>
      <w:tr>
        <w:tblPrEx>
          <w:tblCellMar>
            <w:top w:w="0" w:type="dxa"/>
            <w:left w:w="108" w:type="dxa"/>
            <w:bottom w:w="0" w:type="dxa"/>
            <w:right w:w="108" w:type="dxa"/>
          </w:tblCellMar>
        </w:tblPrEx>
        <w:trPr>
          <w:trHeight w:val="341" w:hRule="atLeast"/>
        </w:trPr>
        <w:tc>
          <w:tcPr>
            <w:tcW w:w="2381"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17" w:hRule="atLeast"/>
        </w:trPr>
        <w:tc>
          <w:tcPr>
            <w:tcW w:w="134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14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4089"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145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4140" w:type="dxa"/>
            <w:gridSpan w:val="3"/>
            <w:tcBorders>
              <w:top w:val="single" w:color="000000" w:sz="4" w:space="0"/>
              <w:left w:val="single" w:color="000000" w:sz="4" w:space="0"/>
              <w:bottom w:val="single" w:color="000000" w:sz="4" w:space="0"/>
              <w:right w:val="single" w:color="000000" w:sz="4" w:space="0"/>
            </w:tcBorders>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2021年全市投入农村残疾人扶贫资金20万元，用于开展农村残疾人扶贫资金股权量化工作。选定实施主体，将股权量化给20户易返贫致贫残疾人。</w:t>
            </w:r>
          </w:p>
          <w:p>
            <w:pPr>
              <w:widowControl/>
              <w:spacing w:line="340" w:lineRule="exact"/>
              <w:jc w:val="center"/>
              <w:rPr>
                <w:rFonts w:ascii="宋体" w:hAnsi="宋体" w:cs="宋体"/>
                <w:color w:val="000000"/>
                <w:spacing w:val="-6"/>
                <w:sz w:val="22"/>
                <w:szCs w:val="22"/>
              </w:rPr>
            </w:pPr>
          </w:p>
        </w:tc>
        <w:tc>
          <w:tcPr>
            <w:tcW w:w="4089" w:type="dxa"/>
            <w:gridSpan w:val="2"/>
            <w:tcBorders>
              <w:top w:val="single" w:color="000000" w:sz="4" w:space="0"/>
              <w:left w:val="single" w:color="000000" w:sz="4" w:space="0"/>
              <w:bottom w:val="single" w:color="000000" w:sz="4" w:space="0"/>
              <w:right w:val="single" w:color="000000" w:sz="4" w:space="0"/>
            </w:tcBorders>
          </w:tcPr>
          <w:p>
            <w:pPr>
              <w:widowControl/>
              <w:spacing w:line="340" w:lineRule="exact"/>
              <w:rPr>
                <w:rFonts w:ascii="宋体" w:hAnsi="宋体" w:cs="宋体"/>
                <w:color w:val="000000"/>
                <w:spacing w:val="-6"/>
                <w:sz w:val="22"/>
                <w:szCs w:val="22"/>
              </w:rPr>
            </w:pPr>
            <w:r>
              <w:rPr>
                <w:rFonts w:hint="eastAsia" w:ascii="宋体" w:hAnsi="宋体" w:cs="宋体"/>
                <w:color w:val="000000"/>
                <w:spacing w:val="-6"/>
                <w:sz w:val="22"/>
                <w:szCs w:val="22"/>
              </w:rPr>
              <w:t>2021年，“分别投入10万元市级资金到马坪村“五马箐养殖专业合作社”和仙山村“米易县盛运养殖专业合作社”开展残疾人股权量化项目”，将马坪村11户易返贫致贫残疾人和仙山村10户易返贫致贫残疾人纳入股权量化项目实施对象，分别按照投入股金10%、8%的比例每年年底一次性分红给残疾人。</w:t>
            </w:r>
          </w:p>
        </w:tc>
      </w:tr>
      <w:tr>
        <w:tblPrEx>
          <w:tblCellMar>
            <w:top w:w="0" w:type="dxa"/>
            <w:left w:w="108" w:type="dxa"/>
            <w:bottom w:w="0" w:type="dxa"/>
            <w:right w:w="108" w:type="dxa"/>
          </w:tblCellMar>
        </w:tblPrEx>
        <w:trPr>
          <w:trHeight w:val="693" w:hRule="atLeast"/>
        </w:trPr>
        <w:tc>
          <w:tcPr>
            <w:tcW w:w="1346"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035"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7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63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宋体" w:hAnsi="宋体" w:cs="宋体"/>
                <w:color w:val="000000"/>
                <w:spacing w:val="-6"/>
                <w:sz w:val="22"/>
                <w:szCs w:val="22"/>
              </w:rPr>
              <w:t>农村残疾人扶贫资金股权量化分红户数</w:t>
            </w:r>
          </w:p>
        </w:tc>
        <w:tc>
          <w:tcPr>
            <w:tcW w:w="253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20户</w:t>
            </w:r>
          </w:p>
        </w:tc>
        <w:tc>
          <w:tcPr>
            <w:tcW w:w="1554"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21户</w:t>
            </w:r>
          </w:p>
        </w:tc>
      </w:tr>
      <w:tr>
        <w:tblPrEx>
          <w:tblCellMar>
            <w:top w:w="0" w:type="dxa"/>
            <w:left w:w="108" w:type="dxa"/>
            <w:bottom w:w="0" w:type="dxa"/>
            <w:right w:w="108" w:type="dxa"/>
          </w:tblCellMar>
        </w:tblPrEx>
        <w:trPr>
          <w:trHeight w:val="415"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635"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农村残疾人扶贫资金股权量化股本金</w:t>
            </w:r>
          </w:p>
        </w:tc>
        <w:tc>
          <w:tcPr>
            <w:tcW w:w="2535"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农村残疾人持续稳定增收。</w:t>
            </w:r>
          </w:p>
        </w:tc>
        <w:tc>
          <w:tcPr>
            <w:tcW w:w="1554"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完成</w:t>
            </w:r>
          </w:p>
        </w:tc>
      </w:tr>
      <w:tr>
        <w:tblPrEx>
          <w:tblCellMar>
            <w:top w:w="0" w:type="dxa"/>
            <w:left w:w="108" w:type="dxa"/>
            <w:bottom w:w="0" w:type="dxa"/>
            <w:right w:w="108" w:type="dxa"/>
          </w:tblCellMar>
        </w:tblPrEx>
        <w:trPr>
          <w:trHeight w:val="415"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项目完成时间</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2021年12月</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完成</w:t>
            </w:r>
          </w:p>
        </w:tc>
      </w:tr>
      <w:tr>
        <w:tblPrEx>
          <w:tblCellMar>
            <w:top w:w="0" w:type="dxa"/>
            <w:left w:w="108" w:type="dxa"/>
            <w:bottom w:w="0" w:type="dxa"/>
            <w:right w:w="108" w:type="dxa"/>
          </w:tblCellMar>
        </w:tblPrEx>
        <w:trPr>
          <w:trHeight w:val="622"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635"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农村残疾人扶贫资金股权量化股本金</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20万</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20万</w:t>
            </w:r>
          </w:p>
        </w:tc>
      </w:tr>
      <w:tr>
        <w:tblPrEx>
          <w:tblCellMar>
            <w:top w:w="0" w:type="dxa"/>
            <w:left w:w="108" w:type="dxa"/>
            <w:bottom w:w="0" w:type="dxa"/>
            <w:right w:w="108" w:type="dxa"/>
          </w:tblCellMar>
        </w:tblPrEx>
        <w:trPr>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效益</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开展农村残疾人扶贫资金股权量化项目</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对自愿参与股权量化的农村困难残疾人，有劳动能力的，帮助他们发展生产，帮助他们在获得分红收入的攀同时获得就业或生产收入，巩固脱贫成果。</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有所提高</w:t>
            </w:r>
          </w:p>
        </w:tc>
      </w:tr>
      <w:tr>
        <w:tblPrEx>
          <w:tblCellMar>
            <w:top w:w="0" w:type="dxa"/>
            <w:left w:w="108" w:type="dxa"/>
            <w:bottom w:w="0" w:type="dxa"/>
            <w:right w:w="108" w:type="dxa"/>
          </w:tblCellMar>
        </w:tblPrEx>
        <w:trPr>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增强残疾人获得感和幸福感</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创新扶贫资金使用方式，拓宽缺资金、缺技术和缺劳动能力的农村残疾人持续稳定的增收渠道。</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有所提高</w:t>
            </w:r>
          </w:p>
        </w:tc>
      </w:tr>
      <w:tr>
        <w:tblPrEx>
          <w:tblCellMar>
            <w:top w:w="0" w:type="dxa"/>
            <w:left w:w="108" w:type="dxa"/>
            <w:bottom w:w="0" w:type="dxa"/>
            <w:right w:w="108" w:type="dxa"/>
          </w:tblCellMar>
        </w:tblPrEx>
        <w:trPr>
          <w:trHeight w:val="574"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生态效益指标</w:t>
            </w:r>
          </w:p>
        </w:tc>
        <w:tc>
          <w:tcPr>
            <w:tcW w:w="1635"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p>
        </w:tc>
        <w:tc>
          <w:tcPr>
            <w:tcW w:w="2535"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p>
        </w:tc>
        <w:tc>
          <w:tcPr>
            <w:tcW w:w="1554" w:type="dxa"/>
            <w:tcBorders>
              <w:top w:val="single" w:color="000000" w:sz="4" w:space="0"/>
              <w:left w:val="single" w:color="000000" w:sz="4" w:space="0"/>
              <w:bottom w:val="single" w:color="000000" w:sz="4" w:space="0"/>
              <w:right w:val="single" w:color="000000" w:sz="4" w:space="0"/>
            </w:tcBorders>
            <w:vAlign w:val="bottom"/>
          </w:tcPr>
          <w:p>
            <w:pPr>
              <w:widowControl/>
              <w:spacing w:line="340" w:lineRule="exact"/>
              <w:jc w:val="center"/>
              <w:rPr>
                <w:rFonts w:ascii="宋体" w:hAnsi="宋体" w:cs="宋体"/>
                <w:color w:val="000000"/>
                <w:spacing w:val="-6"/>
                <w:sz w:val="22"/>
                <w:szCs w:val="22"/>
              </w:rPr>
            </w:pPr>
          </w:p>
        </w:tc>
      </w:tr>
      <w:tr>
        <w:tblPrEx>
          <w:tblCellMar>
            <w:top w:w="0" w:type="dxa"/>
            <w:left w:w="108" w:type="dxa"/>
            <w:bottom w:w="0" w:type="dxa"/>
            <w:right w:w="108" w:type="dxa"/>
          </w:tblCellMar>
        </w:tblPrEx>
        <w:trPr>
          <w:trHeight w:val="480" w:hRule="atLeast"/>
        </w:trPr>
        <w:tc>
          <w:tcPr>
            <w:tcW w:w="134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vMerge w:val="continue"/>
            <w:tcBorders>
              <w:top w:val="single" w:color="000000" w:sz="4" w:space="0"/>
              <w:left w:val="single" w:color="000000" w:sz="4" w:space="0"/>
              <w:bottom w:val="single" w:color="000000" w:sz="4" w:space="0"/>
              <w:right w:val="single" w:color="000000" w:sz="4" w:space="0"/>
            </w:tcBorders>
            <w:vAlign w:val="bottom"/>
          </w:tcPr>
          <w:p>
            <w:pPr>
              <w:spacing w:line="320" w:lineRule="exact"/>
              <w:jc w:val="center"/>
              <w:rPr>
                <w:rFonts w:ascii="仿宋_GB2312" w:hAnsi="仿宋_GB2312" w:eastAsia="仿宋_GB2312" w:cs="仿宋_GB2312"/>
                <w:sz w:val="28"/>
                <w:szCs w:val="28"/>
              </w:rPr>
            </w:pP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拓宽农村残疾人持续稳定的增收渠道</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拓宽农村残疾人持续稳定的增收渠道，保障受益残疾人长期稳定增收。</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有所增加</w:t>
            </w:r>
          </w:p>
        </w:tc>
      </w:tr>
      <w:tr>
        <w:tblPrEx>
          <w:tblCellMar>
            <w:top w:w="0" w:type="dxa"/>
            <w:left w:w="108" w:type="dxa"/>
            <w:bottom w:w="0" w:type="dxa"/>
            <w:right w:w="108" w:type="dxa"/>
          </w:tblCellMar>
        </w:tblPrEx>
        <w:trPr>
          <w:trHeight w:val="530" w:hRule="atLeast"/>
        </w:trPr>
        <w:tc>
          <w:tcPr>
            <w:tcW w:w="1346"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035"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470" w:type="dxa"/>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残疾人满意度</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满意</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rPr>
                <w:rFonts w:ascii="宋体" w:hAnsi="宋体" w:cs="宋体"/>
                <w:color w:val="000000"/>
                <w:spacing w:val="-6"/>
                <w:sz w:val="22"/>
                <w:szCs w:val="22"/>
              </w:rPr>
            </w:pPr>
            <w:r>
              <w:rPr>
                <w:rFonts w:hint="eastAsia" w:ascii="宋体" w:hAnsi="宋体" w:cs="宋体"/>
                <w:color w:val="000000"/>
                <w:spacing w:val="-6"/>
                <w:sz w:val="22"/>
                <w:szCs w:val="22"/>
              </w:rPr>
              <w:t>完成</w:t>
            </w:r>
          </w:p>
        </w:tc>
      </w:tr>
    </w:tbl>
    <w:p>
      <w:pPr>
        <w:outlineLvl w:val="0"/>
        <w:rPr>
          <w:rFonts w:ascii="黑体" w:hAnsi="黑体" w:eastAsia="黑体"/>
          <w:sz w:val="44"/>
          <w:szCs w:val="44"/>
        </w:rPr>
      </w:pPr>
      <w:bookmarkStart w:id="80" w:name="_Toc11363"/>
    </w:p>
    <w:p>
      <w:pPr>
        <w:pStyle w:val="4"/>
        <w:spacing w:before="0" w:after="0" w:line="600" w:lineRule="exact"/>
        <w:ind w:firstLine="2200" w:firstLineChars="500"/>
        <w:rPr>
          <w:rStyle w:val="28"/>
          <w:rFonts w:ascii="黑体" w:hAnsi="黑体" w:eastAsia="黑体"/>
          <w:b w:val="0"/>
          <w:bCs/>
        </w:rPr>
      </w:pPr>
      <w:r>
        <w:rPr>
          <w:rStyle w:val="28"/>
          <w:rFonts w:hint="eastAsia" w:ascii="黑体" w:hAnsi="黑体" w:eastAsia="黑体"/>
          <w:b w:val="0"/>
          <w:bCs/>
        </w:rPr>
        <w:t>第五部分 附表</w:t>
      </w:r>
      <w:bookmarkEnd w:id="77"/>
      <w:bookmarkEnd w:id="79"/>
      <w:bookmarkEnd w:id="80"/>
      <w:bookmarkStart w:id="81" w:name="_Toc32320"/>
    </w:p>
    <w:p/>
    <w:p>
      <w:pPr>
        <w:pStyle w:val="4"/>
        <w:spacing w:before="0" w:after="0" w:line="600" w:lineRule="exact"/>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81"/>
    </w:p>
    <w:p>
      <w:pPr>
        <w:pStyle w:val="4"/>
        <w:spacing w:line="600" w:lineRule="exact"/>
        <w:rPr>
          <w:rFonts w:ascii="仿宋" w:hAnsi="仿宋" w:eastAsia="仿宋"/>
        </w:rPr>
      </w:pPr>
      <w:bookmarkStart w:id="82" w:name="_Toc24787"/>
      <w:bookmarkStart w:id="83" w:name="_Toc15396620"/>
      <w:r>
        <w:rPr>
          <w:rFonts w:hint="eastAsia" w:ascii="仿宋" w:hAnsi="仿宋" w:eastAsia="仿宋"/>
          <w:b w:val="0"/>
        </w:rPr>
        <w:t>二、收</w:t>
      </w:r>
      <w:r>
        <w:rPr>
          <w:rStyle w:val="29"/>
          <w:rFonts w:hint="eastAsia" w:ascii="仿宋" w:hAnsi="仿宋" w:eastAsia="仿宋"/>
          <w:b w:val="0"/>
          <w:bCs w:val="0"/>
        </w:rPr>
        <w:t>入决算表</w:t>
      </w:r>
      <w:bookmarkEnd w:id="82"/>
      <w:bookmarkEnd w:id="83"/>
    </w:p>
    <w:p>
      <w:pPr>
        <w:pStyle w:val="4"/>
        <w:spacing w:before="0" w:after="0" w:line="600" w:lineRule="exact"/>
        <w:rPr>
          <w:rFonts w:ascii="仿宋" w:hAnsi="仿宋" w:eastAsia="仿宋"/>
        </w:rPr>
      </w:pPr>
      <w:bookmarkStart w:id="84" w:name="_Toc32716"/>
      <w:bookmarkStart w:id="85"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84"/>
      <w:bookmarkEnd w:id="85"/>
    </w:p>
    <w:p>
      <w:pPr>
        <w:pStyle w:val="4"/>
        <w:spacing w:line="600" w:lineRule="exact"/>
        <w:rPr>
          <w:rFonts w:ascii="仿宋" w:hAnsi="仿宋" w:eastAsia="仿宋"/>
          <w:b w:val="0"/>
        </w:rPr>
      </w:pPr>
      <w:bookmarkStart w:id="86" w:name="_Toc15396622"/>
      <w:bookmarkStart w:id="87" w:name="_Toc8507"/>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86"/>
      <w:bookmarkEnd w:id="87"/>
    </w:p>
    <w:p>
      <w:pPr>
        <w:pStyle w:val="4"/>
        <w:spacing w:line="600" w:lineRule="exact"/>
        <w:rPr>
          <w:rStyle w:val="29"/>
          <w:rFonts w:ascii="仿宋" w:hAnsi="仿宋" w:eastAsia="仿宋"/>
          <w:b w:val="0"/>
          <w:bCs w:val="0"/>
        </w:rPr>
      </w:pPr>
      <w:bookmarkStart w:id="88" w:name="_Toc2702"/>
      <w:bookmarkStart w:id="89"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88"/>
      <w:bookmarkEnd w:id="89"/>
      <w:bookmarkStart w:id="90" w:name="_Toc15396624"/>
    </w:p>
    <w:p>
      <w:pPr>
        <w:pStyle w:val="4"/>
        <w:spacing w:line="600" w:lineRule="exact"/>
        <w:rPr>
          <w:rFonts w:ascii="仿宋" w:hAnsi="仿宋" w:eastAsia="仿宋"/>
        </w:rPr>
      </w:pPr>
      <w:bookmarkStart w:id="91" w:name="_Toc19362"/>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90"/>
      <w:bookmarkEnd w:id="91"/>
    </w:p>
    <w:p>
      <w:pPr>
        <w:pStyle w:val="4"/>
        <w:spacing w:line="600" w:lineRule="exact"/>
        <w:rPr>
          <w:rFonts w:ascii="仿宋" w:hAnsi="仿宋" w:eastAsia="仿宋"/>
        </w:rPr>
      </w:pPr>
      <w:bookmarkStart w:id="92" w:name="_Toc8046"/>
      <w:bookmarkStart w:id="93"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92"/>
      <w:bookmarkEnd w:id="93"/>
    </w:p>
    <w:p>
      <w:pPr>
        <w:pStyle w:val="4"/>
        <w:spacing w:line="600" w:lineRule="exact"/>
        <w:rPr>
          <w:rFonts w:ascii="仿宋" w:hAnsi="仿宋" w:eastAsia="仿宋"/>
        </w:rPr>
      </w:pPr>
      <w:bookmarkStart w:id="94" w:name="_Toc15396626"/>
      <w:bookmarkStart w:id="95" w:name="_Toc29797"/>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94"/>
      <w:bookmarkEnd w:id="95"/>
    </w:p>
    <w:p>
      <w:pPr>
        <w:pStyle w:val="4"/>
        <w:spacing w:line="600" w:lineRule="exact"/>
        <w:rPr>
          <w:rFonts w:ascii="仿宋" w:hAnsi="仿宋" w:eastAsia="仿宋"/>
        </w:rPr>
      </w:pPr>
      <w:bookmarkStart w:id="96" w:name="_Toc1050"/>
      <w:bookmarkStart w:id="97"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96"/>
      <w:bookmarkEnd w:id="97"/>
    </w:p>
    <w:p>
      <w:pPr>
        <w:pStyle w:val="4"/>
        <w:spacing w:line="600" w:lineRule="exact"/>
        <w:rPr>
          <w:rFonts w:ascii="仿宋" w:hAnsi="仿宋" w:eastAsia="仿宋"/>
        </w:rPr>
      </w:pPr>
      <w:bookmarkStart w:id="98" w:name="_Toc27162"/>
      <w:bookmarkStart w:id="99" w:name="_Toc15396628"/>
      <w:r>
        <w:rPr>
          <w:rStyle w:val="29"/>
          <w:rFonts w:hint="eastAsia" w:ascii="仿宋" w:hAnsi="仿宋" w:eastAsia="仿宋"/>
          <w:b w:val="0"/>
          <w:bCs w:val="0"/>
        </w:rPr>
        <w:t>十、</w:t>
      </w:r>
      <w:r>
        <w:rPr>
          <w:rFonts w:hint="eastAsia" w:ascii="仿宋" w:hAnsi="仿宋" w:eastAsia="仿宋"/>
          <w:b w:val="0"/>
        </w:rPr>
        <w:t>一</w:t>
      </w:r>
      <w:r>
        <w:rPr>
          <w:rStyle w:val="29"/>
          <w:rFonts w:hint="eastAsia" w:ascii="仿宋" w:hAnsi="仿宋" w:eastAsia="仿宋"/>
          <w:b w:val="0"/>
          <w:bCs w:val="0"/>
        </w:rPr>
        <w:t>般公共预算财政拨款“三公”经费支出决算表</w:t>
      </w:r>
      <w:bookmarkEnd w:id="98"/>
      <w:bookmarkEnd w:id="99"/>
    </w:p>
    <w:p>
      <w:pPr>
        <w:pStyle w:val="4"/>
        <w:spacing w:line="600" w:lineRule="exact"/>
        <w:rPr>
          <w:rFonts w:ascii="仿宋" w:hAnsi="仿宋" w:eastAsia="仿宋"/>
        </w:rPr>
      </w:pPr>
      <w:bookmarkStart w:id="100" w:name="_Toc30195"/>
      <w:bookmarkStart w:id="101" w:name="_Toc15396629"/>
      <w:r>
        <w:rPr>
          <w:rStyle w:val="29"/>
          <w:rFonts w:hint="eastAsia" w:ascii="仿宋" w:hAnsi="仿宋" w:eastAsia="仿宋"/>
          <w:b w:val="0"/>
          <w:bCs w:val="0"/>
        </w:rPr>
        <w:t>十一、</w:t>
      </w:r>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100"/>
      <w:bookmarkEnd w:id="101"/>
    </w:p>
    <w:p>
      <w:pPr>
        <w:pStyle w:val="4"/>
        <w:spacing w:line="600" w:lineRule="exact"/>
        <w:rPr>
          <w:rFonts w:ascii="仿宋" w:hAnsi="仿宋" w:eastAsia="仿宋"/>
        </w:rPr>
      </w:pPr>
      <w:bookmarkStart w:id="102" w:name="_Toc15396630"/>
      <w:bookmarkStart w:id="103" w:name="_Toc24914"/>
      <w:r>
        <w:rPr>
          <w:rStyle w:val="29"/>
          <w:rFonts w:hint="eastAsia" w:ascii="仿宋" w:hAnsi="仿宋" w:eastAsia="仿宋"/>
          <w:b w:val="0"/>
          <w:bCs w:val="0"/>
        </w:rPr>
        <w:t>十二、</w:t>
      </w:r>
      <w:r>
        <w:rPr>
          <w:rFonts w:hint="eastAsia" w:ascii="仿宋" w:hAnsi="仿宋" w:eastAsia="仿宋"/>
          <w:b w:val="0"/>
        </w:rPr>
        <w:t>政</w:t>
      </w:r>
      <w:r>
        <w:rPr>
          <w:rStyle w:val="29"/>
          <w:rFonts w:hint="eastAsia" w:ascii="仿宋" w:hAnsi="仿宋" w:eastAsia="仿宋"/>
          <w:b w:val="0"/>
          <w:bCs w:val="0"/>
        </w:rPr>
        <w:t>府性基金预算财政拨款“三公”经费支出决算表</w:t>
      </w:r>
      <w:bookmarkEnd w:id="102"/>
      <w:r>
        <w:rPr>
          <w:rStyle w:val="32"/>
          <w:rFonts w:hint="eastAsia" w:ascii="仿宋" w:eastAsia="仿宋"/>
          <w:b w:val="0"/>
          <w:bCs w:val="0"/>
        </w:rPr>
        <w:t>（此表无数据）</w:t>
      </w:r>
      <w:bookmarkEnd w:id="103"/>
    </w:p>
    <w:p>
      <w:pPr>
        <w:pStyle w:val="4"/>
        <w:spacing w:line="600" w:lineRule="exact"/>
        <w:rPr>
          <w:rStyle w:val="29"/>
          <w:rFonts w:ascii="仿宋" w:hAnsi="仿宋" w:eastAsia="仿宋"/>
          <w:b w:val="0"/>
          <w:bCs w:val="0"/>
        </w:rPr>
      </w:pPr>
      <w:bookmarkStart w:id="104" w:name="_Toc15396631"/>
      <w:bookmarkStart w:id="105" w:name="_Toc22823"/>
      <w:r>
        <w:rPr>
          <w:rStyle w:val="29"/>
          <w:rFonts w:hint="eastAsia" w:ascii="仿宋" w:hAnsi="仿宋" w:eastAsia="仿宋"/>
          <w:b w:val="0"/>
          <w:bCs w:val="0"/>
        </w:rPr>
        <w:t>十三、</w:t>
      </w:r>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104"/>
      <w:r>
        <w:rPr>
          <w:rStyle w:val="32"/>
          <w:rFonts w:hint="eastAsia" w:ascii="仿宋" w:eastAsia="仿宋"/>
          <w:b w:val="0"/>
          <w:bCs w:val="0"/>
        </w:rPr>
        <w:t>（此表无数据）</w:t>
      </w:r>
      <w:bookmarkEnd w:id="105"/>
    </w:p>
    <w:p>
      <w:pPr>
        <w:pStyle w:val="4"/>
        <w:spacing w:line="600" w:lineRule="exact"/>
        <w:rPr>
          <w:rStyle w:val="28"/>
          <w:rFonts w:ascii="黑体" w:hAnsi="黑体" w:eastAsia="黑体"/>
          <w:b w:val="0"/>
          <w:bCs/>
        </w:rPr>
      </w:pPr>
      <w:bookmarkStart w:id="106" w:name="_Toc20416"/>
      <w:r>
        <w:rPr>
          <w:rStyle w:val="29"/>
          <w:rFonts w:hint="eastAsia" w:ascii="仿宋" w:hAnsi="仿宋" w:eastAsia="仿宋"/>
          <w:b w:val="0"/>
          <w:bCs w:val="0"/>
        </w:rPr>
        <w:t>十四、国有资本经营预算财政拨款支出决算表</w:t>
      </w:r>
      <w:r>
        <w:rPr>
          <w:rStyle w:val="32"/>
          <w:rFonts w:hint="eastAsia" w:ascii="仿宋" w:eastAsia="仿宋"/>
          <w:b w:val="0"/>
          <w:bCs w:val="0"/>
        </w:rPr>
        <w:t>（此表无数据）</w:t>
      </w:r>
      <w:bookmarkEnd w:id="106"/>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Sun-ExtB"/>
    <w:panose1 w:val="02010609060101010101"/>
    <w:charset w:val="86"/>
    <w:family w:val="auto"/>
    <w:pitch w:val="default"/>
    <w:sig w:usb0="800002BF" w:usb1="38CF7CFA" w:usb2="00000016" w:usb3="00000000" w:csb0="00040001" w:csb1="00000000"/>
    <w:embedRegular r:id="rId1" w:fontKey="{1E414F3E-DDD7-4438-93DD-D15498CCC6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B4678273-DD51-4427-B837-412656CE9E62}"/>
  </w:font>
  <w:font w:name="仿宋_GB2312">
    <w:panose1 w:val="02010609030101010101"/>
    <w:charset w:val="86"/>
    <w:family w:val="modern"/>
    <w:pitch w:val="default"/>
    <w:sig w:usb0="00000001" w:usb1="080E0000" w:usb2="00000000" w:usb3="00000000" w:csb0="00040000" w:csb1="00000000"/>
    <w:embedRegular r:id="rId3" w:fontKey="{FFE0EF80-3E12-4586-AD3B-611D1175D236}"/>
  </w:font>
  <w:font w:name="仿宋">
    <w:panose1 w:val="02010609060101010101"/>
    <w:charset w:val="86"/>
    <w:family w:val="modern"/>
    <w:pitch w:val="default"/>
    <w:sig w:usb0="800002BF" w:usb1="38CF7CFA" w:usb2="00000016" w:usb3="00000000" w:csb0="00040001" w:csb1="00000000"/>
    <w:embedRegular r:id="rId4" w:fontKey="{1B318C54-54C1-43D9-8810-BE3087DEDF88}"/>
  </w:font>
  <w:font w:name="方正小标宋简体">
    <w:panose1 w:val="02000000000000000000"/>
    <w:charset w:val="86"/>
    <w:family w:val="auto"/>
    <w:pitch w:val="default"/>
    <w:sig w:usb0="00000001" w:usb1="08000000" w:usb2="00000000" w:usb3="00000000" w:csb0="00040000" w:csb1="00000000"/>
    <w:embedRegular r:id="rId5" w:fontKey="{2B690B2A-CC9E-42E3-91DD-3E75AE65A577}"/>
  </w:font>
  <w:font w:name="SimSun-ExtB">
    <w:panose1 w:val="02010609060101010101"/>
    <w:charset w:val="86"/>
    <w:family w:val="auto"/>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6</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63F3D"/>
    <w:multiLevelType w:val="singleLevel"/>
    <w:tmpl w:val="86163F3D"/>
    <w:lvl w:ilvl="0" w:tentative="0">
      <w:start w:val="1"/>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50" w:hanging="720"/>
      </w:pPr>
      <w:rPr>
        <w:rFonts w:hint="default"/>
        <w:b w:val="0"/>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4">
    <w:nsid w:val="630DCA21"/>
    <w:multiLevelType w:val="singleLevel"/>
    <w:tmpl w:val="630DCA21"/>
    <w:lvl w:ilvl="0" w:tentative="0">
      <w:start w:val="1"/>
      <w:numFmt w:val="decimal"/>
      <w:suff w:val="nothing"/>
      <w:lvlText w:val="%1."/>
      <w:lvlJc w:val="left"/>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TrueTypeFonts/>
  <w:saveSubsetFonts/>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I3MjI3Mzk4YjE5NmU1Y2MyZjE3NTYwMGQzZjU4MGUifQ=="/>
  </w:docVars>
  <w:rsids>
    <w:rsidRoot w:val="00D801ED"/>
    <w:rsid w:val="00102861"/>
    <w:rsid w:val="001F5A98"/>
    <w:rsid w:val="003B5037"/>
    <w:rsid w:val="004213E5"/>
    <w:rsid w:val="00514126"/>
    <w:rsid w:val="00524DD7"/>
    <w:rsid w:val="005C2501"/>
    <w:rsid w:val="00612F02"/>
    <w:rsid w:val="00765D02"/>
    <w:rsid w:val="00782285"/>
    <w:rsid w:val="007F5676"/>
    <w:rsid w:val="00805012"/>
    <w:rsid w:val="00907E43"/>
    <w:rsid w:val="009477C6"/>
    <w:rsid w:val="009F2CD5"/>
    <w:rsid w:val="00A77553"/>
    <w:rsid w:val="00A8072F"/>
    <w:rsid w:val="00AF2DC5"/>
    <w:rsid w:val="00B74596"/>
    <w:rsid w:val="00BD2F62"/>
    <w:rsid w:val="00C45E16"/>
    <w:rsid w:val="00D778B9"/>
    <w:rsid w:val="00D801ED"/>
    <w:rsid w:val="00DE11DE"/>
    <w:rsid w:val="00DE6EF1"/>
    <w:rsid w:val="00E02856"/>
    <w:rsid w:val="032926BF"/>
    <w:rsid w:val="0954007A"/>
    <w:rsid w:val="0CCD2A82"/>
    <w:rsid w:val="0F443BED"/>
    <w:rsid w:val="0FBD6E6C"/>
    <w:rsid w:val="10675B46"/>
    <w:rsid w:val="12581FEE"/>
    <w:rsid w:val="13D26453"/>
    <w:rsid w:val="14F65381"/>
    <w:rsid w:val="16581BEC"/>
    <w:rsid w:val="174C434B"/>
    <w:rsid w:val="199973EA"/>
    <w:rsid w:val="1A052340"/>
    <w:rsid w:val="1A642B72"/>
    <w:rsid w:val="1AD31C39"/>
    <w:rsid w:val="1CA53E4A"/>
    <w:rsid w:val="1D3F760B"/>
    <w:rsid w:val="207E080E"/>
    <w:rsid w:val="22B148C4"/>
    <w:rsid w:val="2A5A37DD"/>
    <w:rsid w:val="2FAF60CB"/>
    <w:rsid w:val="301B18AF"/>
    <w:rsid w:val="304172C8"/>
    <w:rsid w:val="30E43E01"/>
    <w:rsid w:val="30FE230E"/>
    <w:rsid w:val="32CE7041"/>
    <w:rsid w:val="35CF6FA2"/>
    <w:rsid w:val="37C93D50"/>
    <w:rsid w:val="39031067"/>
    <w:rsid w:val="3C8D4D4F"/>
    <w:rsid w:val="3DD84714"/>
    <w:rsid w:val="42E023B2"/>
    <w:rsid w:val="4749053D"/>
    <w:rsid w:val="4CBB4010"/>
    <w:rsid w:val="4D14110C"/>
    <w:rsid w:val="500D1987"/>
    <w:rsid w:val="51E67581"/>
    <w:rsid w:val="52D77CD1"/>
    <w:rsid w:val="52EC5338"/>
    <w:rsid w:val="56A6645E"/>
    <w:rsid w:val="57C513D5"/>
    <w:rsid w:val="5A8846D5"/>
    <w:rsid w:val="5B30577F"/>
    <w:rsid w:val="5C1D7FD9"/>
    <w:rsid w:val="5E631C98"/>
    <w:rsid w:val="618F68F6"/>
    <w:rsid w:val="63A479A6"/>
    <w:rsid w:val="65D92A89"/>
    <w:rsid w:val="66E43A21"/>
    <w:rsid w:val="6E493618"/>
    <w:rsid w:val="724E6D50"/>
    <w:rsid w:val="73110D71"/>
    <w:rsid w:val="739363A0"/>
    <w:rsid w:val="743C3F6B"/>
    <w:rsid w:val="78933027"/>
    <w:rsid w:val="789F419F"/>
    <w:rsid w:val="7ADC47C3"/>
    <w:rsid w:val="7AE10C43"/>
    <w:rsid w:val="7AE83459"/>
    <w:rsid w:val="7D2B4D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2"/>
    <w:unhideWhenUsed/>
    <w:qFormat/>
    <w:uiPriority w:val="9"/>
    <w:pPr>
      <w:keepNext/>
      <w:keepLines/>
      <w:spacing w:before="260" w:after="260" w:line="416" w:lineRule="auto"/>
      <w:outlineLvl w:val="1"/>
    </w:pPr>
    <w:rPr>
      <w:rFonts w:ascii="Cambria" w:hAnsi="Cambria" w:cs="黑体"/>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24"/>
      <w:szCs w:val="2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30"/>
    <w:semiHidden/>
    <w:unhideWhenUsed/>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kern w:val="0"/>
      <w:sz w:val="18"/>
      <w:szCs w:val="20"/>
    </w:rPr>
  </w:style>
  <w:style w:type="paragraph" w:styleId="9">
    <w:name w:val="header"/>
    <w:basedOn w:val="1"/>
    <w:link w:val="23"/>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unhideWhenUsed/>
    <w:qFormat/>
    <w:uiPriority w:val="99"/>
    <w:rPr>
      <w:sz w:val="24"/>
    </w:rPr>
  </w:style>
  <w:style w:type="character" w:styleId="15">
    <w:name w:val="Strong"/>
    <w:basedOn w:val="14"/>
    <w:qFormat/>
    <w:uiPriority w:val="99"/>
    <w:rPr>
      <w:b/>
    </w:rPr>
  </w:style>
  <w:style w:type="character" w:styleId="16">
    <w:name w:val="Hyperlink"/>
    <w:basedOn w:val="14"/>
    <w:unhideWhenUsed/>
    <w:qFormat/>
    <w:uiPriority w:val="99"/>
    <w:rPr>
      <w:color w:val="0000FF"/>
      <w:u w:val="single"/>
    </w:rPr>
  </w:style>
  <w:style w:type="paragraph" w:customStyle="1" w:styleId="1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8">
    <w:name w:val="列出段落1"/>
    <w:basedOn w:val="1"/>
    <w:qFormat/>
    <w:uiPriority w:val="34"/>
    <w:pPr>
      <w:ind w:firstLine="420" w:firstLineChars="200"/>
    </w:pPr>
  </w:style>
  <w:style w:type="paragraph" w:customStyle="1" w:styleId="19">
    <w:name w:val="TOC 标题1"/>
    <w:basedOn w:val="3"/>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0">
    <w:name w:val="TOC 标题2"/>
    <w:basedOn w:val="3"/>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1">
    <w:name w:val="p16"/>
    <w:basedOn w:val="1"/>
    <w:qFormat/>
    <w:uiPriority w:val="0"/>
    <w:pPr>
      <w:widowControl/>
      <w:spacing w:before="93"/>
    </w:pPr>
    <w:rPr>
      <w:rFonts w:ascii="仿宋_GB2312" w:hAnsi="宋体" w:eastAsia="仿宋_GB2312" w:cs="宋体"/>
      <w:kern w:val="0"/>
      <w:sz w:val="30"/>
      <w:szCs w:val="30"/>
    </w:rPr>
  </w:style>
  <w:style w:type="character" w:customStyle="1" w:styleId="22">
    <w:name w:val="Header Char"/>
    <w:basedOn w:val="14"/>
    <w:semiHidden/>
    <w:qFormat/>
    <w:uiPriority w:val="99"/>
    <w:rPr>
      <w:rFonts w:ascii="Times New Roman" w:hAnsi="Times New Roman"/>
      <w:sz w:val="18"/>
      <w:szCs w:val="18"/>
    </w:rPr>
  </w:style>
  <w:style w:type="character" w:customStyle="1" w:styleId="23">
    <w:name w:val="页眉 Char"/>
    <w:link w:val="9"/>
    <w:semiHidden/>
    <w:qFormat/>
    <w:locked/>
    <w:uiPriority w:val="99"/>
    <w:rPr>
      <w:sz w:val="18"/>
    </w:rPr>
  </w:style>
  <w:style w:type="character" w:customStyle="1" w:styleId="24">
    <w:name w:val="Footer Char"/>
    <w:basedOn w:val="14"/>
    <w:semiHidden/>
    <w:qFormat/>
    <w:uiPriority w:val="99"/>
    <w:rPr>
      <w:rFonts w:ascii="Times New Roman" w:hAnsi="Times New Roman"/>
      <w:sz w:val="18"/>
      <w:szCs w:val="18"/>
    </w:rPr>
  </w:style>
  <w:style w:type="character" w:customStyle="1" w:styleId="25">
    <w:name w:val="页脚 Char"/>
    <w:link w:val="8"/>
    <w:qFormat/>
    <w:locked/>
    <w:uiPriority w:val="99"/>
    <w:rPr>
      <w:sz w:val="18"/>
    </w:rPr>
  </w:style>
  <w:style w:type="character" w:customStyle="1" w:styleId="26">
    <w:name w:val="Body Text Char"/>
    <w:basedOn w:val="14"/>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character" w:customStyle="1" w:styleId="28">
    <w:name w:val="标题 1 Char"/>
    <w:basedOn w:val="14"/>
    <w:link w:val="3"/>
    <w:qFormat/>
    <w:uiPriority w:val="9"/>
    <w:rPr>
      <w:rFonts w:ascii="Times New Roman" w:hAnsi="Times New Roman"/>
      <w:b/>
      <w:bCs/>
      <w:kern w:val="44"/>
      <w:sz w:val="44"/>
      <w:szCs w:val="44"/>
    </w:rPr>
  </w:style>
  <w:style w:type="character" w:customStyle="1" w:styleId="29">
    <w:name w:val="标题 2 Char"/>
    <w:basedOn w:val="14"/>
    <w:qFormat/>
    <w:uiPriority w:val="9"/>
    <w:rPr>
      <w:rFonts w:ascii="Cambria" w:hAnsi="Cambria" w:eastAsia="宋体" w:cs="黑体"/>
      <w:b/>
      <w:bCs/>
      <w:kern w:val="2"/>
      <w:sz w:val="32"/>
      <w:szCs w:val="32"/>
    </w:rPr>
  </w:style>
  <w:style w:type="character" w:customStyle="1" w:styleId="30">
    <w:name w:val="批注框文本 Char"/>
    <w:basedOn w:val="14"/>
    <w:link w:val="7"/>
    <w:semiHidden/>
    <w:qFormat/>
    <w:uiPriority w:val="99"/>
    <w:rPr>
      <w:rFonts w:ascii="Times New Roman" w:hAnsi="Times New Roman"/>
      <w:kern w:val="2"/>
      <w:sz w:val="18"/>
      <w:szCs w:val="18"/>
    </w:rPr>
  </w:style>
  <w:style w:type="character" w:customStyle="1" w:styleId="31">
    <w:name w:val="标题 3 Char"/>
    <w:basedOn w:val="14"/>
    <w:link w:val="5"/>
    <w:qFormat/>
    <w:uiPriority w:val="9"/>
    <w:rPr>
      <w:rFonts w:ascii="Times New Roman" w:hAnsi="Times New Roman"/>
      <w:b/>
      <w:bCs/>
      <w:kern w:val="2"/>
      <w:sz w:val="32"/>
      <w:szCs w:val="32"/>
    </w:rPr>
  </w:style>
  <w:style w:type="character" w:customStyle="1" w:styleId="32">
    <w:name w:val="标题 2 Char1"/>
    <w:basedOn w:val="14"/>
    <w:link w:val="4"/>
    <w:qFormat/>
    <w:uiPriority w:val="0"/>
    <w:rPr>
      <w:rFonts w:ascii="Cambria" w:hAnsi="Cambria" w:eastAsia="宋体" w:cs="Times New Roman"/>
      <w:b/>
      <w:bCs/>
      <w:kern w:val="2"/>
      <w:sz w:val="32"/>
      <w:szCs w:val="32"/>
      <w:lang w:val="en-US" w:eastAsia="zh-CN" w:bidi="ar-SA"/>
    </w:rPr>
  </w:style>
  <w:style w:type="paragraph" w:customStyle="1" w:styleId="33">
    <w:name w:val="WPSOffice手动目录 1"/>
    <w:qFormat/>
    <w:uiPriority w:val="0"/>
    <w:rPr>
      <w:rFonts w:ascii="Times New Roman" w:hAnsi="Times New Roman" w:eastAsia="宋体" w:cs="Times New Roman"/>
      <w:lang w:val="en-US" w:eastAsia="zh-CN" w:bidi="ar-SA"/>
    </w:rPr>
  </w:style>
  <w:style w:type="paragraph" w:customStyle="1" w:styleId="34">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9245283018868"/>
          <c:y val="0.0958904109589041"/>
          <c:w val="0.636792452830189"/>
          <c:h val="0.579908675799087"/>
        </c:manualLayout>
      </c:layout>
      <c:barChart>
        <c:barDir val="col"/>
        <c:grouping val="clustered"/>
        <c:varyColors val="0"/>
        <c:ser>
          <c:idx val="0"/>
          <c:order val="0"/>
          <c:tx>
            <c:strRef>
              <c:f>Sheet1!$A$2</c:f>
              <c:strCache>
                <c:ptCount val="1"/>
                <c:pt idx="0">
                  <c:v>2020年</c:v>
                </c:pt>
              </c:strCache>
            </c:strRef>
          </c:tx>
          <c:spPr>
            <a:solidFill>
              <a:srgbClr val="9999FF"/>
            </a:solidFill>
            <a:ln w="10193">
              <a:solidFill>
                <a:srgbClr val="000000"/>
              </a:solidFill>
              <a:prstDash val="solid"/>
            </a:ln>
          </c:spPr>
          <c:invertIfNegative val="0"/>
          <c:dLbls>
            <c:delete val="1"/>
          </c:dLbls>
          <c:cat>
            <c:strRef>
              <c:f>Sheet1!$B$1:$C$1</c:f>
              <c:strCache>
                <c:ptCount val="2"/>
                <c:pt idx="0">
                  <c:v>收入</c:v>
                </c:pt>
                <c:pt idx="1">
                  <c:v>支出</c:v>
                </c:pt>
              </c:strCache>
            </c:strRef>
          </c:cat>
          <c:val>
            <c:numRef>
              <c:f>Sheet1!$B$2:$C$2</c:f>
              <c:numCache>
                <c:formatCode>General</c:formatCode>
                <c:ptCount val="2"/>
                <c:pt idx="0">
                  <c:v>607.61</c:v>
                </c:pt>
                <c:pt idx="1">
                  <c:v>557.14</c:v>
                </c:pt>
              </c:numCache>
            </c:numRef>
          </c:val>
        </c:ser>
        <c:ser>
          <c:idx val="1"/>
          <c:order val="1"/>
          <c:tx>
            <c:strRef>
              <c:f>Sheet1!$A$3</c:f>
              <c:strCache>
                <c:ptCount val="1"/>
                <c:pt idx="0">
                  <c:v>2021年</c:v>
                </c:pt>
              </c:strCache>
            </c:strRef>
          </c:tx>
          <c:spPr>
            <a:solidFill>
              <a:srgbClr val="993366"/>
            </a:solidFill>
            <a:ln w="10193">
              <a:solidFill>
                <a:srgbClr val="000000"/>
              </a:solidFill>
              <a:prstDash val="solid"/>
            </a:ln>
          </c:spPr>
          <c:invertIfNegative val="0"/>
          <c:dLbls>
            <c:delete val="1"/>
          </c:dLbls>
          <c:cat>
            <c:strRef>
              <c:f>Sheet1!$B$1:$C$1</c:f>
              <c:strCache>
                <c:ptCount val="2"/>
                <c:pt idx="0">
                  <c:v>收入</c:v>
                </c:pt>
                <c:pt idx="1">
                  <c:v>支出</c:v>
                </c:pt>
              </c:strCache>
            </c:strRef>
          </c:cat>
          <c:val>
            <c:numRef>
              <c:f>Sheet1!$B$3:$C$3</c:f>
              <c:numCache>
                <c:formatCode>General</c:formatCode>
                <c:ptCount val="2"/>
                <c:pt idx="0">
                  <c:v>437.65</c:v>
                </c:pt>
                <c:pt idx="1">
                  <c:v>437.65</c:v>
                </c:pt>
              </c:numCache>
            </c:numRef>
          </c:val>
        </c:ser>
        <c:dLbls>
          <c:showLegendKey val="0"/>
          <c:showVal val="0"/>
          <c:showCatName val="0"/>
          <c:showSerName val="0"/>
          <c:showPercent val="0"/>
          <c:showBubbleSize val="0"/>
        </c:dLbls>
        <c:gapWidth val="150"/>
        <c:axId val="90793088"/>
        <c:axId val="90794624"/>
      </c:barChart>
      <c:catAx>
        <c:axId val="90793088"/>
        <c:scaling>
          <c:orientation val="minMax"/>
        </c:scaling>
        <c:delete val="0"/>
        <c:axPos val="b"/>
        <c:numFmt formatCode="General" sourceLinked="1"/>
        <c:majorTickMark val="in"/>
        <c:minorTickMark val="none"/>
        <c:tickLblPos val="nextTo"/>
        <c:spPr>
          <a:ln w="2548" cap="flat" cmpd="sng" algn="ctr">
            <a:solidFill>
              <a:srgbClr val="000000"/>
            </a:solidFill>
            <a:prstDash val="solid"/>
            <a:round/>
          </a:ln>
        </c:spPr>
        <c:txPr>
          <a:bodyPr rot="0" spcFirstLastPara="0" vertOverflow="ellipsis" vert="horz" wrap="square" anchor="ctr" anchorCtr="1"/>
          <a:lstStyle/>
          <a:p>
            <a:pPr>
              <a:defRPr lang="zh-CN" sz="8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0794624"/>
        <c:crosses val="autoZero"/>
        <c:auto val="1"/>
        <c:lblAlgn val="ctr"/>
        <c:lblOffset val="100"/>
        <c:noMultiLvlLbl val="0"/>
      </c:catAx>
      <c:valAx>
        <c:axId val="90794624"/>
        <c:scaling>
          <c:orientation val="minMax"/>
        </c:scaling>
        <c:delete val="0"/>
        <c:axPos val="l"/>
        <c:majorGridlines>
          <c:spPr>
            <a:ln w="2548" cap="flat" cmpd="sng" algn="ctr">
              <a:solidFill>
                <a:srgbClr val="000000"/>
              </a:solidFill>
              <a:prstDash val="solid"/>
              <a:round/>
            </a:ln>
          </c:spPr>
        </c:majorGridlines>
        <c:numFmt formatCode="General" sourceLinked="1"/>
        <c:majorTickMark val="in"/>
        <c:minorTickMark val="none"/>
        <c:tickLblPos val="nextTo"/>
        <c:spPr>
          <a:ln w="2548" cap="flat" cmpd="sng" algn="ctr">
            <a:solidFill>
              <a:srgbClr val="000000"/>
            </a:solidFill>
            <a:prstDash val="solid"/>
            <a:round/>
          </a:ln>
        </c:spPr>
        <c:txPr>
          <a:bodyPr rot="0" spcFirstLastPara="0" vertOverflow="ellipsis" vert="horz" wrap="square" anchor="ctr" anchorCtr="1"/>
          <a:lstStyle/>
          <a:p>
            <a:pPr>
              <a:defRPr lang="zh-CN" sz="8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0793088"/>
        <c:crosses val="autoZero"/>
        <c:crossBetween val="between"/>
      </c:valAx>
      <c:dTable>
        <c:showHorzBorder val="1"/>
        <c:showVertBorder val="1"/>
        <c:showOutline val="1"/>
        <c:showKeys val="1"/>
        <c:spPr>
          <a:ln w="2548" cap="flat" cmpd="sng" algn="ctr">
            <a:solidFill>
              <a:srgbClr val="000000"/>
            </a:solidFill>
            <a:prstDash val="solid"/>
            <a:round/>
          </a:ln>
        </c:spPr>
        <c:txPr>
          <a:bodyPr rot="0" spcFirstLastPara="0" vertOverflow="ellipsis" vert="horz" wrap="square" anchor="ctr" anchorCtr="1"/>
          <a:lstStyle/>
          <a:p>
            <a:pPr>
              <a:defRPr lang="zh-CN" sz="8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Table>
      <c:spPr>
        <a:solidFill>
          <a:srgbClr val="C0C0C0"/>
        </a:solidFill>
        <a:ln w="10193">
          <a:solidFill>
            <a:srgbClr val="808080"/>
          </a:solidFill>
          <a:prstDash val="solid"/>
        </a:ln>
      </c:spPr>
    </c:plotArea>
    <c:legend>
      <c:legendPos val="r"/>
      <c:layout>
        <c:manualLayout>
          <c:xMode val="edge"/>
          <c:yMode val="edge"/>
          <c:x val="0.839622641509434"/>
          <c:y val="0.292237442922374"/>
          <c:w val="0.150943396226415"/>
          <c:h val="0.178082191780822"/>
        </c:manualLayout>
      </c:layout>
      <c:overlay val="0"/>
      <c:spPr>
        <a:noFill/>
        <a:ln w="2548">
          <a:solidFill>
            <a:srgbClr val="000000"/>
          </a:solidFill>
          <a:prstDash val="solid"/>
        </a:ln>
      </c:spPr>
      <c:txPr>
        <a:bodyPr rot="0" spcFirstLastPara="0" vertOverflow="ellipsis" vert="horz" wrap="square" anchor="ctr" anchorCtr="1"/>
        <a:lstStyle/>
        <a:p>
          <a:pPr>
            <a:defRPr lang="zh-CN" sz="79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9525" cap="flat" cmpd="sng" algn="ctr">
      <a:noFill/>
      <a:prstDash val="solid"/>
      <a:round/>
    </a:ln>
  </c:spPr>
  <c:txPr>
    <a:bodyPr/>
    <a:lstStyle/>
    <a:p>
      <a:pPr>
        <a:defRPr lang="zh-CN" sz="86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3374613003096"/>
          <c:y val="0.228426395939086"/>
          <c:w val="0.337461300309598"/>
          <c:h val="0.553299492385787"/>
        </c:manualLayout>
      </c:layout>
      <c:pieChart>
        <c:varyColors val="1"/>
        <c:ser>
          <c:idx val="0"/>
          <c:order val="0"/>
          <c:tx>
            <c:strRef>
              <c:f>Sheet1!$A$2</c:f>
              <c:strCache>
                <c:ptCount val="1"/>
                <c:pt idx="0">
                  <c:v>本年收入</c:v>
                </c:pt>
              </c:strCache>
            </c:strRef>
          </c:tx>
          <c:spPr>
            <a:solidFill>
              <a:srgbClr val="9999FF"/>
            </a:solidFill>
            <a:ln w="10134">
              <a:solidFill>
                <a:srgbClr val="000000"/>
              </a:solidFill>
              <a:prstDash val="solid"/>
            </a:ln>
          </c:spPr>
          <c:explosion val="0"/>
          <c:dPt>
            <c:idx val="0"/>
            <c:bubble3D val="0"/>
            <c:spPr>
              <a:solidFill>
                <a:srgbClr val="9999FF"/>
              </a:solidFill>
              <a:ln w="10134">
                <a:solidFill>
                  <a:srgbClr val="000000"/>
                </a:solidFill>
                <a:prstDash val="solid"/>
              </a:ln>
            </c:spPr>
          </c:dPt>
          <c:dPt>
            <c:idx val="1"/>
            <c:bubble3D val="0"/>
            <c:spPr>
              <a:solidFill>
                <a:srgbClr val="993366"/>
              </a:solidFill>
              <a:ln w="10134">
                <a:solidFill>
                  <a:srgbClr val="000000"/>
                </a:solidFill>
                <a:prstDash val="solid"/>
              </a:ln>
            </c:spPr>
          </c:dPt>
          <c:dPt>
            <c:idx val="2"/>
            <c:bubble3D val="0"/>
            <c:spPr>
              <a:solidFill>
                <a:srgbClr val="FFFFCC"/>
              </a:solidFill>
              <a:ln w="10134">
                <a:solidFill>
                  <a:srgbClr val="000000"/>
                </a:solidFill>
                <a:prstDash val="solid"/>
              </a:ln>
            </c:spPr>
          </c:dPt>
          <c:dLbls>
            <c:numFmt formatCode="0%" sourceLinked="0"/>
            <c:spPr>
              <a:noFill/>
              <a:ln w="20268">
                <a:noFill/>
              </a:ln>
              <a:effectLst/>
            </c:spPr>
            <c:txPr>
              <a:bodyPr rot="0" spcFirstLastPara="0" vertOverflow="ellipsis" vert="horz" wrap="square" lIns="38100" tIns="19050" rIns="38100" bIns="19050" anchor="ctr" anchorCtr="1">
                <a:spAutoFit/>
              </a:bodyPr>
              <a:lstStyle/>
              <a:p>
                <a:pPr>
                  <a:defRPr lang="zh-CN" sz="7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Sheet1!$B$1:$D$1</c:f>
              <c:strCache>
                <c:ptCount val="3"/>
                <c:pt idx="0">
                  <c:v>一般公共预算</c:v>
                </c:pt>
                <c:pt idx="1">
                  <c:v>政府性基金</c:v>
                </c:pt>
                <c:pt idx="2">
                  <c:v>年初结转结余</c:v>
                </c:pt>
              </c:strCache>
            </c:strRef>
          </c:cat>
          <c:val>
            <c:numRef>
              <c:f>Sheet1!$B$2:$D$2</c:f>
              <c:numCache>
                <c:formatCode>General</c:formatCode>
                <c:ptCount val="3"/>
                <c:pt idx="0">
                  <c:v>420.39</c:v>
                </c:pt>
                <c:pt idx="1">
                  <c:v>9.08</c:v>
                </c:pt>
                <c:pt idx="2">
                  <c:v>8.18</c:v>
                </c:pt>
              </c:numCache>
            </c:numRef>
          </c:val>
        </c:ser>
        <c:dLbls>
          <c:showLegendKey val="0"/>
          <c:showVal val="0"/>
          <c:showCatName val="0"/>
          <c:showSerName val="0"/>
          <c:showPercent val="0"/>
          <c:showBubbleSize val="0"/>
          <c:showLeaderLines val="1"/>
        </c:dLbls>
        <c:firstSliceAng val="0"/>
      </c:pieChart>
      <c:spPr>
        <a:solidFill>
          <a:srgbClr val="C0C0C0"/>
        </a:solidFill>
        <a:ln w="10134">
          <a:solidFill>
            <a:srgbClr val="808080"/>
          </a:solidFill>
          <a:prstDash val="solid"/>
        </a:ln>
      </c:spPr>
    </c:plotArea>
    <c:legend>
      <c:legendPos val="r"/>
      <c:layout>
        <c:manualLayout>
          <c:xMode val="edge"/>
          <c:yMode val="edge"/>
          <c:x val="0.684210526315789"/>
          <c:y val="0.360406091370558"/>
          <c:w val="0.303405572755418"/>
          <c:h val="0.279187817258883"/>
        </c:manualLayout>
      </c:layout>
      <c:overlay val="0"/>
      <c:spPr>
        <a:noFill/>
        <a:ln w="2534">
          <a:solidFill>
            <a:srgbClr val="000000"/>
          </a:solidFill>
          <a:prstDash val="solid"/>
        </a:ln>
      </c:spPr>
      <c:txPr>
        <a:bodyPr rot="0" spcFirstLastPara="0" vertOverflow="ellipsis" vert="horz" wrap="square" anchor="ctr" anchorCtr="1"/>
        <a:lstStyle/>
        <a:p>
          <a:pPr>
            <a:defRPr lang="zh-CN" sz="71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noFill/>
    <a:ln w="9525" cap="flat" cmpd="sng" algn="ctr">
      <a:noFill/>
      <a:prstDash val="solid"/>
      <a:round/>
    </a:ln>
  </c:spPr>
  <c:txPr>
    <a:bodyPr/>
    <a:lstStyle/>
    <a:p>
      <a:pPr>
        <a:defRPr lang="zh-CN" sz="78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7379679144385"/>
          <c:y val="0.107317073170732"/>
          <c:w val="0.435828877005348"/>
          <c:h val="0.795121951219512"/>
        </c:manualLayout>
      </c:layout>
      <c:pieChart>
        <c:varyColors val="1"/>
        <c:ser>
          <c:idx val="0"/>
          <c:order val="0"/>
          <c:tx>
            <c:strRef>
              <c:f>Sheet1!$A$2</c:f>
              <c:strCache>
                <c:ptCount val="1"/>
                <c:pt idx="0">
                  <c:v>2021年支出</c:v>
                </c:pt>
              </c:strCache>
            </c:strRef>
          </c:tx>
          <c:spPr>
            <a:solidFill>
              <a:srgbClr val="9999FF"/>
            </a:solidFill>
            <a:ln w="10186">
              <a:solidFill>
                <a:srgbClr val="000000"/>
              </a:solidFill>
              <a:prstDash val="solid"/>
            </a:ln>
          </c:spPr>
          <c:explosion val="0"/>
          <c:dPt>
            <c:idx val="0"/>
            <c:bubble3D val="0"/>
            <c:spPr>
              <a:solidFill>
                <a:srgbClr val="9999FF"/>
              </a:solidFill>
              <a:ln w="10186">
                <a:solidFill>
                  <a:srgbClr val="000000"/>
                </a:solidFill>
                <a:prstDash val="solid"/>
              </a:ln>
            </c:spPr>
          </c:dPt>
          <c:dPt>
            <c:idx val="1"/>
            <c:bubble3D val="0"/>
            <c:spPr>
              <a:solidFill>
                <a:srgbClr val="993366"/>
              </a:solidFill>
              <a:ln w="10186">
                <a:solidFill>
                  <a:srgbClr val="000000"/>
                </a:solidFill>
                <a:prstDash val="solid"/>
              </a:ln>
            </c:spPr>
          </c:dPt>
          <c:dLbls>
            <c:delete val="1"/>
          </c:dLbls>
          <c:cat>
            <c:strRef>
              <c:f>Sheet1!$B$1:$C$1</c:f>
              <c:strCache>
                <c:ptCount val="2"/>
                <c:pt idx="0">
                  <c:v>基本支出</c:v>
                </c:pt>
                <c:pt idx="1">
                  <c:v>项目支出</c:v>
                </c:pt>
              </c:strCache>
            </c:strRef>
          </c:cat>
          <c:val>
            <c:numRef>
              <c:f>Sheet1!$B$2:$C$2</c:f>
              <c:numCache>
                <c:formatCode>General</c:formatCode>
                <c:ptCount val="2"/>
                <c:pt idx="0">
                  <c:v>344.44</c:v>
                </c:pt>
                <c:pt idx="1">
                  <c:v>93.21</c:v>
                </c:pt>
              </c:numCache>
            </c:numRef>
          </c:val>
        </c:ser>
        <c:dLbls>
          <c:showLegendKey val="0"/>
          <c:showVal val="0"/>
          <c:showCatName val="0"/>
          <c:showSerName val="0"/>
          <c:showPercent val="0"/>
          <c:showBubbleSize val="0"/>
          <c:showLeaderLines val="1"/>
        </c:dLbls>
        <c:firstSliceAng val="0"/>
      </c:pieChart>
      <c:spPr>
        <a:solidFill>
          <a:srgbClr val="C0C0C0"/>
        </a:solidFill>
        <a:ln w="10186">
          <a:solidFill>
            <a:srgbClr val="808080"/>
          </a:solidFill>
          <a:prstDash val="solid"/>
        </a:ln>
      </c:spPr>
    </c:plotArea>
    <c:legend>
      <c:legendPos val="r"/>
      <c:layout>
        <c:manualLayout>
          <c:xMode val="edge"/>
          <c:yMode val="edge"/>
          <c:x val="0.780748663101604"/>
          <c:y val="0.404878048780488"/>
          <c:w val="0.20855614973262"/>
          <c:h val="0.190243902439024"/>
        </c:manualLayout>
      </c:layout>
      <c:overlay val="0"/>
      <c:spPr>
        <a:noFill/>
        <a:ln w="2547">
          <a:solidFill>
            <a:srgbClr val="000000"/>
          </a:solidFill>
          <a:prstDash val="solid"/>
        </a:ln>
      </c:spPr>
      <c:txPr>
        <a:bodyPr rot="0" spcFirstLastPara="0" vertOverflow="ellipsis" vert="horz" wrap="square" anchor="ctr" anchorCtr="1"/>
        <a:lstStyle/>
        <a:p>
          <a:pPr>
            <a:defRPr lang="zh-CN" sz="75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noFill/>
    <a:ln w="9525" cap="flat" cmpd="sng" algn="ctr">
      <a:noFill/>
      <a:prstDash val="solid"/>
      <a:round/>
    </a:ln>
  </c:spPr>
  <c:txPr>
    <a:bodyPr/>
    <a:lstStyle/>
    <a:p>
      <a:pPr>
        <a:defRPr lang="zh-CN" sz="82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7640449438202"/>
          <c:y val="0.0990990990990991"/>
          <c:w val="0.626404494382023"/>
          <c:h val="0.716216216216216"/>
        </c:manualLayout>
      </c:layout>
      <c:barChart>
        <c:barDir val="col"/>
        <c:grouping val="clustered"/>
        <c:varyColors val="0"/>
        <c:ser>
          <c:idx val="0"/>
          <c:order val="0"/>
          <c:tx>
            <c:strRef>
              <c:f>Sheet1!$A$2</c:f>
              <c:strCache>
                <c:ptCount val="1"/>
                <c:pt idx="0">
                  <c:v>2020年</c:v>
                </c:pt>
              </c:strCache>
            </c:strRef>
          </c:tx>
          <c:spPr>
            <a:solidFill>
              <a:srgbClr val="9999FF"/>
            </a:solidFill>
            <a:ln w="10204">
              <a:solidFill>
                <a:srgbClr val="000000"/>
              </a:solidFill>
              <a:prstDash val="solid"/>
            </a:ln>
          </c:spPr>
          <c:invertIfNegative val="0"/>
          <c:dLbls>
            <c:delete val="1"/>
          </c:dLbls>
          <c:cat>
            <c:strRef>
              <c:f>Sheet1!$B$1:$C$1</c:f>
              <c:strCache>
                <c:ptCount val="2"/>
                <c:pt idx="0">
                  <c:v>收入</c:v>
                </c:pt>
                <c:pt idx="1">
                  <c:v>支出</c:v>
                </c:pt>
              </c:strCache>
            </c:strRef>
          </c:cat>
          <c:val>
            <c:numRef>
              <c:f>Sheet1!$B$2:$C$2</c:f>
              <c:numCache>
                <c:formatCode>General</c:formatCode>
                <c:ptCount val="2"/>
                <c:pt idx="0">
                  <c:v>607.61</c:v>
                </c:pt>
                <c:pt idx="1">
                  <c:v>557.14</c:v>
                </c:pt>
              </c:numCache>
            </c:numRef>
          </c:val>
        </c:ser>
        <c:ser>
          <c:idx val="1"/>
          <c:order val="1"/>
          <c:tx>
            <c:strRef>
              <c:f>Sheet1!$A$3</c:f>
              <c:strCache>
                <c:ptCount val="1"/>
                <c:pt idx="0">
                  <c:v>2021年</c:v>
                </c:pt>
              </c:strCache>
            </c:strRef>
          </c:tx>
          <c:spPr>
            <a:solidFill>
              <a:srgbClr val="993366"/>
            </a:solidFill>
            <a:ln w="10204">
              <a:solidFill>
                <a:srgbClr val="000000"/>
              </a:solidFill>
              <a:prstDash val="solid"/>
            </a:ln>
          </c:spPr>
          <c:invertIfNegative val="0"/>
          <c:dLbls>
            <c:delete val="1"/>
          </c:dLbls>
          <c:cat>
            <c:strRef>
              <c:f>Sheet1!$B$1:$C$1</c:f>
              <c:strCache>
                <c:ptCount val="2"/>
                <c:pt idx="0">
                  <c:v>收入</c:v>
                </c:pt>
                <c:pt idx="1">
                  <c:v>支出</c:v>
                </c:pt>
              </c:strCache>
            </c:strRef>
          </c:cat>
          <c:val>
            <c:numRef>
              <c:f>Sheet1!$B$3:$C$3</c:f>
              <c:numCache>
                <c:formatCode>General</c:formatCode>
                <c:ptCount val="2"/>
                <c:pt idx="0">
                  <c:v>437.65</c:v>
                </c:pt>
                <c:pt idx="1">
                  <c:v>437.65</c:v>
                </c:pt>
              </c:numCache>
            </c:numRef>
          </c:val>
        </c:ser>
        <c:dLbls>
          <c:showLegendKey val="0"/>
          <c:showVal val="0"/>
          <c:showCatName val="0"/>
          <c:showSerName val="0"/>
          <c:showPercent val="0"/>
          <c:showBubbleSize val="0"/>
        </c:dLbls>
        <c:gapWidth val="100"/>
        <c:axId val="91367680"/>
        <c:axId val="91381760"/>
      </c:barChart>
      <c:catAx>
        <c:axId val="91367680"/>
        <c:scaling>
          <c:orientation val="minMax"/>
        </c:scaling>
        <c:delete val="0"/>
        <c:axPos val="b"/>
        <c:numFmt formatCode="General" sourceLinked="1"/>
        <c:majorTickMark val="in"/>
        <c:minorTickMark val="none"/>
        <c:tickLblPos val="nextTo"/>
        <c:spPr>
          <a:ln w="2551" cap="flat" cmpd="sng" algn="ctr">
            <a:solidFill>
              <a:srgbClr val="000000"/>
            </a:solidFill>
            <a:prstDash val="solid"/>
            <a:round/>
          </a:ln>
        </c:spPr>
        <c:txPr>
          <a:bodyPr rot="0" spcFirstLastPara="0" vertOverflow="ellipsis" vert="horz" wrap="square" anchor="ctr" anchorCtr="1"/>
          <a:lstStyle/>
          <a:p>
            <a:pPr>
              <a:defRPr lang="zh-CN" sz="88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1381760"/>
        <c:crosses val="autoZero"/>
        <c:auto val="1"/>
        <c:lblAlgn val="ctr"/>
        <c:lblOffset val="100"/>
        <c:tickLblSkip val="1"/>
        <c:noMultiLvlLbl val="0"/>
      </c:catAx>
      <c:valAx>
        <c:axId val="91381760"/>
        <c:scaling>
          <c:orientation val="minMax"/>
        </c:scaling>
        <c:delete val="0"/>
        <c:axPos val="l"/>
        <c:majorGridlines>
          <c:spPr>
            <a:ln w="2551" cap="flat" cmpd="sng" algn="ctr">
              <a:solidFill>
                <a:srgbClr val="000000"/>
              </a:solidFill>
              <a:prstDash val="solid"/>
              <a:round/>
            </a:ln>
          </c:spPr>
        </c:majorGridlines>
        <c:numFmt formatCode="General" sourceLinked="1"/>
        <c:majorTickMark val="in"/>
        <c:minorTickMark val="none"/>
        <c:tickLblPos val="nextTo"/>
        <c:spPr>
          <a:ln w="2551" cap="flat" cmpd="sng" algn="ctr">
            <a:solidFill>
              <a:srgbClr val="000000"/>
            </a:solidFill>
            <a:prstDash val="solid"/>
            <a:round/>
          </a:ln>
        </c:spPr>
        <c:txPr>
          <a:bodyPr rot="0" spcFirstLastPara="0" vertOverflow="ellipsis" vert="horz" wrap="square" anchor="ctr" anchorCtr="1"/>
          <a:lstStyle/>
          <a:p>
            <a:pPr>
              <a:defRPr lang="zh-CN" sz="88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1367680"/>
        <c:crosses val="autoZero"/>
        <c:crossBetween val="between"/>
      </c:valAx>
      <c:spPr>
        <a:solidFill>
          <a:srgbClr val="C0C0C0"/>
        </a:solidFill>
        <a:ln w="10204">
          <a:solidFill>
            <a:srgbClr val="808080"/>
          </a:solidFill>
          <a:prstDash val="solid"/>
        </a:ln>
      </c:spPr>
    </c:plotArea>
    <c:legend>
      <c:legendPos val="r"/>
      <c:layout>
        <c:manualLayout>
          <c:xMode val="edge"/>
          <c:yMode val="edge"/>
          <c:x val="0.792134831460674"/>
          <c:y val="0.36036036036036"/>
          <c:w val="0.196629213483146"/>
          <c:h val="0.184684684684685"/>
        </c:manualLayout>
      </c:layout>
      <c:overlay val="0"/>
      <c:spPr>
        <a:noFill/>
        <a:ln w="2551">
          <a:solidFill>
            <a:srgbClr val="000000"/>
          </a:solidFill>
          <a:prstDash val="solid"/>
        </a:ln>
      </c:spPr>
      <c:txPr>
        <a:bodyPr rot="0" spcFirstLastPara="0" vertOverflow="ellipsis" vert="horz" wrap="square" anchor="ctr" anchorCtr="1"/>
        <a:lstStyle/>
        <a:p>
          <a:pPr>
            <a:defRPr lang="zh-CN" sz="81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9525" cap="flat" cmpd="sng" algn="ctr">
      <a:noFill/>
      <a:prstDash val="solid"/>
      <a:round/>
    </a:ln>
  </c:spPr>
  <c:txPr>
    <a:bodyPr/>
    <a:lstStyle/>
    <a:p>
      <a:pPr>
        <a:defRPr lang="zh-CN" sz="88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1510791366906"/>
          <c:y val="0.0494505494505494"/>
          <c:w val="0.633093525179856"/>
          <c:h val="0.774725274725275"/>
        </c:manualLayout>
      </c:layout>
      <c:barChart>
        <c:barDir val="col"/>
        <c:grouping val="clustered"/>
        <c:varyColors val="0"/>
        <c:ser>
          <c:idx val="0"/>
          <c:order val="0"/>
          <c:tx>
            <c:strRef>
              <c:f>Sheet1!$A$2</c:f>
              <c:strCache>
                <c:ptCount val="1"/>
                <c:pt idx="0">
                  <c:v>2020年</c:v>
                </c:pt>
              </c:strCache>
            </c:strRef>
          </c:tx>
          <c:spPr>
            <a:solidFill>
              <a:srgbClr val="9999FF"/>
            </a:solidFill>
            <a:ln w="10795">
              <a:solidFill>
                <a:srgbClr val="000000"/>
              </a:solidFill>
              <a:prstDash val="solid"/>
            </a:ln>
          </c:spPr>
          <c:invertIfNegative val="0"/>
          <c:dLbls>
            <c:delete val="1"/>
          </c:dLbls>
          <c:cat>
            <c:strRef>
              <c:f>Sheet1!$B$1:$B$1</c:f>
              <c:strCache>
                <c:ptCount val="1"/>
                <c:pt idx="0">
                  <c:v>一般公共预算财政拨款支出</c:v>
                </c:pt>
              </c:strCache>
            </c:strRef>
          </c:cat>
          <c:val>
            <c:numRef>
              <c:f>Sheet1!$B$2:$B$2</c:f>
              <c:numCache>
                <c:formatCode>General</c:formatCode>
                <c:ptCount val="1"/>
                <c:pt idx="0">
                  <c:v>422.58</c:v>
                </c:pt>
              </c:numCache>
            </c:numRef>
          </c:val>
        </c:ser>
        <c:ser>
          <c:idx val="1"/>
          <c:order val="1"/>
          <c:tx>
            <c:strRef>
              <c:f>Sheet1!$A$3</c:f>
              <c:strCache>
                <c:ptCount val="1"/>
                <c:pt idx="0">
                  <c:v>2021年</c:v>
                </c:pt>
              </c:strCache>
            </c:strRef>
          </c:tx>
          <c:spPr>
            <a:solidFill>
              <a:srgbClr val="993366"/>
            </a:solidFill>
            <a:ln w="10795">
              <a:solidFill>
                <a:srgbClr val="000000"/>
              </a:solidFill>
              <a:prstDash val="solid"/>
            </a:ln>
          </c:spPr>
          <c:invertIfNegative val="0"/>
          <c:dLbls>
            <c:delete val="1"/>
          </c:dLbls>
          <c:cat>
            <c:strRef>
              <c:f>Sheet1!$B$1:$B$1</c:f>
              <c:strCache>
                <c:ptCount val="1"/>
                <c:pt idx="0">
                  <c:v>一般公共预算财政拨款支出</c:v>
                </c:pt>
              </c:strCache>
            </c:strRef>
          </c:cat>
          <c:val>
            <c:numRef>
              <c:f>Sheet1!$B$3:$B$3</c:f>
              <c:numCache>
                <c:formatCode>General</c:formatCode>
                <c:ptCount val="1"/>
                <c:pt idx="0">
                  <c:v>507.28</c:v>
                </c:pt>
              </c:numCache>
            </c:numRef>
          </c:val>
        </c:ser>
        <c:dLbls>
          <c:showLegendKey val="0"/>
          <c:showVal val="0"/>
          <c:showCatName val="0"/>
          <c:showSerName val="0"/>
          <c:showPercent val="0"/>
          <c:showBubbleSize val="0"/>
        </c:dLbls>
        <c:gapWidth val="150"/>
        <c:axId val="91447296"/>
        <c:axId val="91448832"/>
      </c:barChart>
      <c:catAx>
        <c:axId val="91447296"/>
        <c:scaling>
          <c:orientation val="minMax"/>
        </c:scaling>
        <c:delete val="0"/>
        <c:axPos val="b"/>
        <c:numFmt formatCode="General" sourceLinked="1"/>
        <c:majorTickMark val="in"/>
        <c:minorTickMark val="none"/>
        <c:tickLblPos val="low"/>
        <c:spPr>
          <a:ln w="2699" cap="flat" cmpd="sng" algn="ctr">
            <a:solidFill>
              <a:srgbClr val="000000"/>
            </a:solidFill>
            <a:prstDash val="solid"/>
            <a:round/>
          </a:ln>
        </c:spPr>
        <c:txPr>
          <a:bodyPr rot="0" spcFirstLastPara="0" vertOverflow="ellipsis" vert="horz" wrap="square" anchor="ctr" anchorCtr="1"/>
          <a:lstStyle/>
          <a:p>
            <a:pPr>
              <a:defRPr lang="zh-CN" sz="7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1448832"/>
        <c:crosses val="autoZero"/>
        <c:auto val="1"/>
        <c:lblAlgn val="ctr"/>
        <c:lblOffset val="100"/>
        <c:tickLblSkip val="1"/>
        <c:noMultiLvlLbl val="0"/>
      </c:catAx>
      <c:valAx>
        <c:axId val="91448832"/>
        <c:scaling>
          <c:orientation val="minMax"/>
        </c:scaling>
        <c:delete val="0"/>
        <c:axPos val="l"/>
        <c:majorGridlines>
          <c:spPr>
            <a:ln w="2699" cap="flat" cmpd="sng" algn="ctr">
              <a:solidFill>
                <a:srgbClr val="000000"/>
              </a:solidFill>
              <a:prstDash val="solid"/>
              <a:round/>
            </a:ln>
          </c:spPr>
        </c:majorGridlines>
        <c:numFmt formatCode="General" sourceLinked="1"/>
        <c:majorTickMark val="in"/>
        <c:minorTickMark val="none"/>
        <c:tickLblPos val="nextTo"/>
        <c:spPr>
          <a:ln w="2699" cap="flat" cmpd="sng" algn="ctr">
            <a:solidFill>
              <a:srgbClr val="000000"/>
            </a:solidFill>
            <a:prstDash val="solid"/>
            <a:round/>
          </a:ln>
        </c:spPr>
        <c:txPr>
          <a:bodyPr rot="0" spcFirstLastPara="0" vertOverflow="ellipsis" vert="horz" wrap="square" anchor="ctr" anchorCtr="1"/>
          <a:lstStyle/>
          <a:p>
            <a:pPr>
              <a:defRPr lang="zh-CN" sz="7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1447296"/>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784172661870504"/>
          <c:y val="0.406593406593407"/>
          <c:w val="0.201438848920863"/>
          <c:h val="0.192307692307692"/>
        </c:manualLayout>
      </c:layout>
      <c:overlay val="0"/>
      <c:spPr>
        <a:noFill/>
        <a:ln w="2699">
          <a:solidFill>
            <a:srgbClr val="000000"/>
          </a:solidFill>
          <a:prstDash val="solid"/>
        </a:ln>
      </c:spPr>
      <c:txPr>
        <a:bodyPr rot="0" spcFirstLastPara="0" vertOverflow="ellipsis" vert="horz" wrap="square" anchor="ctr" anchorCtr="1"/>
        <a:lstStyle/>
        <a:p>
          <a:pPr>
            <a:defRPr lang="zh-CN" sz="7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9525" cap="flat" cmpd="sng" algn="ctr">
      <a:noFill/>
      <a:prstDash val="solid"/>
      <a:round/>
    </a:ln>
  </c:spPr>
  <c:txPr>
    <a:bodyPr/>
    <a:lstStyle/>
    <a:p>
      <a:pPr>
        <a:defRPr lang="zh-CN" sz="76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7883211678832"/>
          <c:y val="0.261111111111111"/>
          <c:w val="0.317518248175182"/>
          <c:h val="0.483333333333333"/>
        </c:manualLayout>
      </c:layout>
      <c:pieChart>
        <c:varyColors val="1"/>
        <c:ser>
          <c:idx val="0"/>
          <c:order val="0"/>
          <c:tx>
            <c:strRef>
              <c:f>Sheet1!$A$2</c:f>
              <c:strCache>
                <c:ptCount val="1"/>
                <c:pt idx="0">
                  <c:v>2021年一般公共预算支出</c:v>
                </c:pt>
              </c:strCache>
            </c:strRef>
          </c:tx>
          <c:spPr>
            <a:solidFill>
              <a:srgbClr val="9999FF"/>
            </a:solidFill>
            <a:ln w="12485">
              <a:solidFill>
                <a:srgbClr val="000000"/>
              </a:solidFill>
              <a:prstDash val="solid"/>
            </a:ln>
          </c:spPr>
          <c:explosion val="0"/>
          <c:dPt>
            <c:idx val="0"/>
            <c:bubble3D val="0"/>
            <c:spPr>
              <a:solidFill>
                <a:srgbClr val="9999FF"/>
              </a:solidFill>
              <a:ln w="12485">
                <a:solidFill>
                  <a:srgbClr val="000000"/>
                </a:solidFill>
                <a:prstDash val="solid"/>
              </a:ln>
            </c:spPr>
          </c:dPt>
          <c:dPt>
            <c:idx val="1"/>
            <c:bubble3D val="0"/>
            <c:spPr>
              <a:solidFill>
                <a:srgbClr val="993366"/>
              </a:solidFill>
              <a:ln w="12485">
                <a:solidFill>
                  <a:srgbClr val="000000"/>
                </a:solidFill>
                <a:prstDash val="solid"/>
              </a:ln>
            </c:spPr>
          </c:dPt>
          <c:dPt>
            <c:idx val="2"/>
            <c:bubble3D val="0"/>
            <c:spPr>
              <a:solidFill>
                <a:srgbClr val="FFFFCC"/>
              </a:solidFill>
              <a:ln w="12485">
                <a:solidFill>
                  <a:srgbClr val="000000"/>
                </a:solidFill>
                <a:prstDash val="solid"/>
              </a:ln>
            </c:spPr>
          </c:dPt>
          <c:dLbls>
            <c:numFmt formatCode="0%" sourceLinked="0"/>
            <c:spPr>
              <a:noFill/>
              <a:ln w="24971">
                <a:noFill/>
              </a:ln>
              <a:effectLst/>
            </c:spPr>
            <c:txPr>
              <a:bodyPr rot="0" spcFirstLastPara="0" vertOverflow="ellipsis" vert="horz" wrap="square" lIns="38100" tIns="19050" rIns="38100" bIns="19050" anchor="ctr" anchorCtr="1">
                <a:spAutoFit/>
              </a:bodyPr>
              <a:lstStyle/>
              <a:p>
                <a:pPr>
                  <a:defRPr lang="zh-CN" sz="86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Sheet1!$B$1:$D$1</c:f>
              <c:strCache>
                <c:ptCount val="3"/>
                <c:pt idx="0">
                  <c:v>一般公共服务</c:v>
                </c:pt>
                <c:pt idx="1">
                  <c:v>社会保障和就业</c:v>
                </c:pt>
                <c:pt idx="2">
                  <c:v>住房保障</c:v>
                </c:pt>
              </c:strCache>
            </c:strRef>
          </c:cat>
          <c:val>
            <c:numRef>
              <c:f>Sheet1!$B$2:$D$2</c:f>
              <c:numCache>
                <c:formatCode>General</c:formatCode>
                <c:ptCount val="3"/>
                <c:pt idx="0">
                  <c:v>2.18</c:v>
                </c:pt>
                <c:pt idx="1">
                  <c:v>398.04</c:v>
                </c:pt>
                <c:pt idx="2">
                  <c:v>22.36</c:v>
                </c:pt>
              </c:numCache>
            </c:numRef>
          </c:val>
        </c:ser>
        <c:dLbls>
          <c:showLegendKey val="0"/>
          <c:showVal val="0"/>
          <c:showCatName val="0"/>
          <c:showSerName val="0"/>
          <c:showPercent val="0"/>
          <c:showBubbleSize val="0"/>
          <c:showLeaderLines val="1"/>
        </c:dLbls>
        <c:firstSliceAng val="0"/>
      </c:pieChart>
      <c:spPr>
        <a:solidFill>
          <a:srgbClr val="C0C0C0"/>
        </a:solidFill>
        <a:ln w="12485">
          <a:solidFill>
            <a:srgbClr val="808080"/>
          </a:solidFill>
          <a:prstDash val="solid"/>
        </a:ln>
      </c:spPr>
    </c:plotArea>
    <c:legend>
      <c:legendPos val="r"/>
      <c:layout>
        <c:manualLayout>
          <c:xMode val="edge"/>
          <c:yMode val="edge"/>
          <c:x val="0.64963503649635"/>
          <c:y val="0.238888888888889"/>
          <c:w val="0.335766423357664"/>
          <c:h val="0.522222222222222"/>
        </c:manualLayout>
      </c:layout>
      <c:overlay val="0"/>
      <c:spPr>
        <a:noFill/>
        <a:ln w="3121">
          <a:solidFill>
            <a:srgbClr val="000000"/>
          </a:solidFill>
          <a:prstDash val="solid"/>
        </a:ln>
      </c:spPr>
      <c:txPr>
        <a:bodyPr rot="0" spcFirstLastPara="0" vertOverflow="ellipsis" vert="horz" wrap="square" anchor="ctr" anchorCtr="1"/>
        <a:lstStyle/>
        <a:p>
          <a:pPr>
            <a:defRPr lang="zh-CN" sz="79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noFill/>
    <a:ln w="9525" cap="flat" cmpd="sng" algn="ctr">
      <a:noFill/>
      <a:prstDash val="solid"/>
      <a:round/>
    </a:ln>
  </c:spPr>
  <c:txPr>
    <a:bodyPr/>
    <a:lstStyle/>
    <a:p>
      <a:pPr>
        <a:defRPr lang="zh-CN" sz="86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38628158844765"/>
          <c:y val="0.121951219512195"/>
          <c:w val="0.454873646209386"/>
          <c:h val="0.768292682926829"/>
        </c:manualLayout>
      </c:layout>
      <c:pieChart>
        <c:varyColors val="1"/>
        <c:ser>
          <c:idx val="0"/>
          <c:order val="0"/>
          <c:tx>
            <c:strRef>
              <c:f>Sheet1!$A$2</c:f>
              <c:strCache>
                <c:ptCount val="1"/>
                <c:pt idx="0">
                  <c:v>"三公"经费</c:v>
                </c:pt>
              </c:strCache>
            </c:strRef>
          </c:tx>
          <c:spPr>
            <a:solidFill>
              <a:srgbClr val="9999FF"/>
            </a:solidFill>
            <a:ln w="11285">
              <a:solidFill>
                <a:srgbClr val="000000"/>
              </a:solidFill>
              <a:prstDash val="solid"/>
            </a:ln>
          </c:spPr>
          <c:explosion val="0"/>
          <c:dPt>
            <c:idx val="0"/>
            <c:bubble3D val="0"/>
            <c:spPr>
              <a:solidFill>
                <a:srgbClr val="9999FF"/>
              </a:solidFill>
              <a:ln w="11285">
                <a:solidFill>
                  <a:srgbClr val="000000"/>
                </a:solidFill>
                <a:prstDash val="solid"/>
              </a:ln>
            </c:spPr>
          </c:dPt>
          <c:dPt>
            <c:idx val="1"/>
            <c:bubble3D val="0"/>
            <c:spPr>
              <a:solidFill>
                <a:srgbClr val="993366"/>
              </a:solidFill>
              <a:ln w="11285">
                <a:solidFill>
                  <a:srgbClr val="000000"/>
                </a:solidFill>
                <a:prstDash val="solid"/>
              </a:ln>
            </c:spPr>
          </c:dPt>
          <c:dPt>
            <c:idx val="2"/>
            <c:bubble3D val="0"/>
            <c:spPr>
              <a:solidFill>
                <a:srgbClr val="FFFFCC"/>
              </a:solidFill>
              <a:ln w="11285">
                <a:solidFill>
                  <a:srgbClr val="000000"/>
                </a:solidFill>
                <a:prstDash val="solid"/>
              </a:ln>
            </c:spPr>
          </c:dPt>
          <c:dLbls>
            <c:delete val="1"/>
          </c:dLbls>
          <c:cat>
            <c:strRef>
              <c:f>Sheet1!$B$1:$D$1</c:f>
              <c:strCache>
                <c:ptCount val="3"/>
                <c:pt idx="0">
                  <c:v>因公出国（境）</c:v>
                </c:pt>
                <c:pt idx="1">
                  <c:v>公务用车购置及运行维护费</c:v>
                </c:pt>
                <c:pt idx="2">
                  <c:v>公务接待</c:v>
                </c:pt>
              </c:strCache>
            </c:strRef>
          </c:cat>
          <c:val>
            <c:numRef>
              <c:f>Sheet1!$B$2:$D$2</c:f>
              <c:numCache>
                <c:formatCode>General</c:formatCode>
                <c:ptCount val="3"/>
                <c:pt idx="0">
                  <c:v>0</c:v>
                </c:pt>
                <c:pt idx="1">
                  <c:v>0</c:v>
                </c:pt>
                <c:pt idx="2">
                  <c:v>0.22</c:v>
                </c:pt>
              </c:numCache>
            </c:numRef>
          </c:val>
        </c:ser>
        <c:dLbls>
          <c:showLegendKey val="0"/>
          <c:showVal val="0"/>
          <c:showCatName val="0"/>
          <c:showSerName val="0"/>
          <c:showPercent val="0"/>
          <c:showBubbleSize val="0"/>
          <c:showLeaderLines val="1"/>
        </c:dLbls>
        <c:firstSliceAng val="0"/>
      </c:pieChart>
      <c:spPr>
        <a:solidFill>
          <a:srgbClr val="C0C0C0"/>
        </a:solidFill>
        <a:ln w="11285">
          <a:solidFill>
            <a:srgbClr val="808080"/>
          </a:solidFill>
          <a:prstDash val="solid"/>
        </a:ln>
      </c:spPr>
    </c:plotArea>
    <c:legend>
      <c:legendPos val="r"/>
      <c:layout>
        <c:manualLayout>
          <c:xMode val="edge"/>
          <c:yMode val="edge"/>
          <c:x val="0.642599277978339"/>
          <c:y val="0.231707317073171"/>
          <c:w val="0.342960288808664"/>
          <c:h val="0.536585365853659"/>
        </c:manualLayout>
      </c:layout>
      <c:overlay val="0"/>
      <c:spPr>
        <a:noFill/>
        <a:ln w="2821">
          <a:solidFill>
            <a:srgbClr val="000000"/>
          </a:solidFill>
          <a:prstDash val="solid"/>
        </a:ln>
      </c:spPr>
      <c:txPr>
        <a:bodyPr rot="0" spcFirstLastPara="0" vertOverflow="ellipsis" vert="horz" wrap="square" anchor="ctr" anchorCtr="1"/>
        <a:lstStyle/>
        <a:p>
          <a:pPr>
            <a:defRPr lang="zh-CN" sz="65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noFill/>
    <a:ln w="9525" cap="flat" cmpd="sng" algn="ctr">
      <a:noFill/>
      <a:prstDash val="solid"/>
      <a:round/>
    </a:ln>
  </c:spPr>
  <c:txPr>
    <a:bodyPr/>
    <a:lstStyle/>
    <a:p>
      <a:pPr>
        <a:defRPr lang="zh-CN" sz="71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21</Pages>
  <Words>1527</Words>
  <Characters>8707</Characters>
  <Lines>72</Lines>
  <Paragraphs>20</Paragraphs>
  <TotalTime>7</TotalTime>
  <ScaleCrop>false</ScaleCrop>
  <LinksUpToDate>false</LinksUpToDate>
  <CharactersWithSpaces>10214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2023-08-04T08:25:00Z</dcterms:created>
  <dc:creator>曹颖</dc:creator>
  <cp:lastModifiedBy>鸢尾</cp:lastModifiedBy>
  <cp:lastPrinted>2022-08-06T02:23:00Z</cp:lastPrinted>
  <dcterms:modified xsi:type="dcterms:W3CDTF">2023-10-07T08:59:55Z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73601A990681453F8371DEB082976FE8</vt:lpwstr>
  </property>
</Properties>
</file>