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宋体" w:eastAsia="方正小标宋简体"/>
          <w:sz w:val="72"/>
          <w:szCs w:val="72"/>
        </w:rPr>
      </w:pPr>
      <w:bookmarkStart w:id="0" w:name="_Toc15306267"/>
    </w:p>
    <w:p>
      <w:pPr>
        <w:spacing w:line="600" w:lineRule="exact"/>
        <w:jc w:val="center"/>
        <w:rPr>
          <w:rFonts w:ascii="方正小标宋简体" w:hAnsi="宋体" w:eastAsia="方正小标宋简体"/>
          <w:sz w:val="72"/>
          <w:szCs w:val="72"/>
        </w:rPr>
      </w:pPr>
    </w:p>
    <w:p>
      <w:pPr>
        <w:spacing w:line="600" w:lineRule="exact"/>
        <w:jc w:val="center"/>
        <w:rPr>
          <w:rFonts w:ascii="方正小标宋简体" w:hAnsi="宋体" w:eastAsia="方正小标宋简体"/>
          <w:sz w:val="72"/>
          <w:szCs w:val="72"/>
        </w:rPr>
      </w:pPr>
    </w:p>
    <w:p>
      <w:pPr>
        <w:spacing w:line="600" w:lineRule="exact"/>
        <w:jc w:val="center"/>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597"/>
      <w:bookmarkStart w:id="2" w:name="_Toc15396475"/>
      <w:bookmarkStart w:id="3" w:name="_Toc15377425"/>
      <w:bookmarkStart w:id="4" w:name="_Toc15377193"/>
      <w:bookmarkStart w:id="5" w:name="_Toc25110"/>
      <w:bookmarkStart w:id="6" w:name="_Toc15378441"/>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bookmarkEnd w:id="6"/>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15377194"/>
      <w:bookmarkStart w:id="8" w:name="_Toc21001"/>
      <w:bookmarkStart w:id="9" w:name="_Toc15378442"/>
      <w:bookmarkStart w:id="10" w:name="_Toc15377426"/>
      <w:bookmarkStart w:id="11" w:name="_Toc15396598"/>
      <w:bookmarkStart w:id="12" w:name="_Toc15396476"/>
      <w:r>
        <w:rPr>
          <w:rFonts w:hint="eastAsia" w:ascii="方正小标宋简体" w:hAnsi="方正小标宋简体" w:eastAsia="方正小标宋简体" w:cs="方正小标宋简体"/>
          <w:sz w:val="72"/>
          <w:szCs w:val="72"/>
        </w:rPr>
        <w:t>四川省</w:t>
      </w:r>
      <w:bookmarkEnd w:id="0"/>
      <w:bookmarkStart w:id="13" w:name="_Toc15306268"/>
      <w:r>
        <w:rPr>
          <w:rFonts w:hint="eastAsia" w:ascii="方正小标宋简体" w:hAnsi="方正小标宋简体" w:eastAsia="方正小标宋简体" w:cs="方正小标宋简体"/>
          <w:sz w:val="72"/>
          <w:szCs w:val="72"/>
        </w:rPr>
        <w:t>攀枝花市残疾人康复教育中心单位决算</w:t>
      </w:r>
      <w:bookmarkEnd w:id="7"/>
      <w:bookmarkEnd w:id="8"/>
      <w:bookmarkEnd w:id="9"/>
      <w:bookmarkEnd w:id="10"/>
      <w:bookmarkEnd w:id="11"/>
      <w:bookmarkEnd w:id="12"/>
      <w:bookmarkEnd w:id="13"/>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公开时间：2022年9月</w:t>
      </w:r>
      <w:r>
        <w:t>14</w:t>
      </w:r>
      <w:r>
        <w:rPr>
          <w:rFonts w:hint="eastAsia"/>
        </w:rPr>
        <w:t>日</w:t>
      </w:r>
    </w:p>
    <w:sdt>
      <w:sdtPr>
        <w:rPr>
          <w:rFonts w:ascii="宋体" w:hAnsi="宋体"/>
        </w:rPr>
        <w:id w:val="147454297"/>
        <w15:color w:val="DBDBDB"/>
      </w:sdtPr>
      <w:sdtEndPr>
        <w:rPr>
          <w:rFonts w:ascii="Times New Roman" w:hAnsi="Times New Roman"/>
          <w:b/>
        </w:rPr>
      </w:sdtEndPr>
      <w:sdtContent>
        <w:p>
          <w:pPr>
            <w:jc w:val="center"/>
            <w:rPr>
              <w:b/>
            </w:rPr>
          </w:pPr>
          <w:r>
            <w:fldChar w:fldCharType="begin"/>
          </w:r>
          <w:r>
            <w:instrText xml:space="preserve">TOC \o "1-2" \h \u </w:instrText>
          </w:r>
          <w:r>
            <w:fldChar w:fldCharType="separate"/>
          </w:r>
        </w:p>
        <w:p>
          <w:pPr>
            <w:pStyle w:val="33"/>
            <w:tabs>
              <w:tab w:val="right" w:leader="dot" w:pos="8306"/>
            </w:tabs>
            <w:rPr>
              <w:b/>
            </w:rPr>
          </w:pPr>
        </w:p>
        <w:p>
          <w:pPr>
            <w:pStyle w:val="33"/>
            <w:tabs>
              <w:tab w:val="right" w:leader="dot" w:pos="8306"/>
            </w:tabs>
            <w:rPr>
              <w:rFonts w:ascii="仿宋" w:hAnsi="仿宋" w:eastAsia="仿宋" w:cs="仿宋"/>
              <w:b/>
              <w:sz w:val="28"/>
              <w:szCs w:val="28"/>
            </w:rPr>
          </w:pPr>
          <w:r>
            <w:fldChar w:fldCharType="begin"/>
          </w:r>
          <w:r>
            <w:instrText xml:space="preserve"> HYPERLINK \l "_Toc1260" </w:instrText>
          </w:r>
          <w:r>
            <w:fldChar w:fldCharType="separate"/>
          </w:r>
          <w:r>
            <w:rPr>
              <w:rFonts w:hint="eastAsia" w:ascii="仿宋" w:hAnsi="仿宋" w:eastAsia="仿宋" w:cs="仿宋"/>
              <w:b/>
              <w:sz w:val="28"/>
              <w:szCs w:val="28"/>
            </w:rPr>
            <w:t>第一部分 单位概况</w:t>
          </w:r>
          <w:r>
            <w:rPr>
              <w:rFonts w:hint="eastAsia" w:ascii="仿宋" w:hAnsi="仿宋" w:eastAsia="仿宋" w:cs="仿宋"/>
              <w:b/>
              <w:sz w:val="28"/>
              <w:szCs w:val="28"/>
            </w:rPr>
            <w:tab/>
          </w:r>
          <w:r>
            <w:rPr>
              <w:rFonts w:hint="eastAsia" w:ascii="仿宋" w:hAnsi="仿宋" w:eastAsia="仿宋" w:cs="仿宋"/>
              <w:b/>
              <w:sz w:val="28"/>
              <w:szCs w:val="28"/>
            </w:rPr>
            <w:t>4</w:t>
          </w:r>
          <w:r>
            <w:rPr>
              <w:rFonts w:hint="eastAsia" w:ascii="仿宋" w:hAnsi="仿宋" w:eastAsia="仿宋" w:cs="仿宋"/>
              <w:b/>
              <w:sz w:val="28"/>
              <w:szCs w:val="28"/>
            </w:rPr>
            <w:fldChar w:fldCharType="end"/>
          </w:r>
        </w:p>
        <w:p>
          <w:pPr>
            <w:pStyle w:val="34"/>
            <w:tabs>
              <w:tab w:val="right" w:leader="dot" w:pos="8306"/>
            </w:tabs>
            <w:ind w:left="420"/>
            <w:rPr>
              <w:rFonts w:ascii="仿宋" w:hAnsi="仿宋" w:eastAsia="仿宋" w:cs="仿宋"/>
              <w:sz w:val="28"/>
              <w:szCs w:val="28"/>
            </w:rPr>
          </w:pPr>
          <w:r>
            <w:fldChar w:fldCharType="begin"/>
          </w:r>
          <w:r>
            <w:instrText xml:space="preserve"> HYPERLINK \l "_Toc1175" </w:instrText>
          </w:r>
          <w:r>
            <w:fldChar w:fldCharType="separate"/>
          </w:r>
          <w:r>
            <w:rPr>
              <w:rFonts w:hint="eastAsia" w:ascii="仿宋" w:hAnsi="仿宋" w:eastAsia="仿宋" w:cs="仿宋"/>
              <w:sz w:val="28"/>
              <w:szCs w:val="28"/>
            </w:rPr>
            <w:t>一、职能简介</w:t>
          </w:r>
          <w:r>
            <w:rPr>
              <w:rFonts w:hint="eastAsia" w:ascii="仿宋" w:hAnsi="仿宋" w:eastAsia="仿宋" w:cs="仿宋"/>
              <w:sz w:val="28"/>
              <w:szCs w:val="28"/>
            </w:rPr>
            <w:tab/>
          </w:r>
          <w:r>
            <w:rPr>
              <w:rFonts w:hint="eastAsia" w:ascii="仿宋" w:hAnsi="仿宋" w:eastAsia="仿宋" w:cs="仿宋"/>
              <w:sz w:val="28"/>
              <w:szCs w:val="28"/>
            </w:rPr>
            <w:t>4</w:t>
          </w:r>
          <w:r>
            <w:rPr>
              <w:rFonts w:hint="eastAsia" w:ascii="仿宋" w:hAnsi="仿宋" w:eastAsia="仿宋" w:cs="仿宋"/>
              <w:sz w:val="28"/>
              <w:szCs w:val="28"/>
            </w:rPr>
            <w:fldChar w:fldCharType="end"/>
          </w:r>
        </w:p>
        <w:p>
          <w:pPr>
            <w:pStyle w:val="34"/>
            <w:tabs>
              <w:tab w:val="right" w:leader="dot" w:pos="8306"/>
            </w:tabs>
            <w:ind w:left="420"/>
            <w:rPr>
              <w:rFonts w:ascii="仿宋" w:hAnsi="仿宋" w:eastAsia="仿宋" w:cs="仿宋"/>
              <w:sz w:val="28"/>
              <w:szCs w:val="28"/>
            </w:rPr>
          </w:pPr>
          <w:r>
            <w:fldChar w:fldCharType="begin"/>
          </w:r>
          <w:r>
            <w:instrText xml:space="preserve"> HYPERLINK \l "_Toc10056" </w:instrText>
          </w:r>
          <w:r>
            <w:fldChar w:fldCharType="separate"/>
          </w:r>
          <w:r>
            <w:rPr>
              <w:rFonts w:hint="eastAsia" w:ascii="仿宋" w:hAnsi="仿宋" w:eastAsia="仿宋" w:cs="仿宋"/>
              <w:sz w:val="28"/>
              <w:szCs w:val="28"/>
            </w:rPr>
            <w:t>二、2021年重点工作完成情况</w:t>
          </w:r>
          <w:r>
            <w:rPr>
              <w:rFonts w:hint="eastAsia" w:ascii="仿宋" w:hAnsi="仿宋" w:eastAsia="仿宋" w:cs="仿宋"/>
              <w:sz w:val="28"/>
              <w:szCs w:val="28"/>
            </w:rPr>
            <w:tab/>
          </w:r>
          <w:r>
            <w:rPr>
              <w:rFonts w:hint="eastAsia" w:ascii="仿宋" w:hAnsi="仿宋" w:eastAsia="仿宋" w:cs="仿宋"/>
              <w:sz w:val="28"/>
              <w:szCs w:val="28"/>
            </w:rPr>
            <w:t>4</w:t>
          </w:r>
          <w:r>
            <w:rPr>
              <w:rFonts w:hint="eastAsia" w:ascii="仿宋" w:hAnsi="仿宋" w:eastAsia="仿宋" w:cs="仿宋"/>
              <w:sz w:val="28"/>
              <w:szCs w:val="28"/>
            </w:rPr>
            <w:fldChar w:fldCharType="end"/>
          </w:r>
        </w:p>
        <w:p>
          <w:pPr>
            <w:pStyle w:val="34"/>
            <w:tabs>
              <w:tab w:val="right" w:leader="dot" w:pos="8306"/>
            </w:tabs>
            <w:ind w:left="420"/>
            <w:rPr>
              <w:rFonts w:ascii="仿宋" w:hAnsi="仿宋" w:cs="仿宋"/>
              <w:sz w:val="28"/>
              <w:szCs w:val="28"/>
            </w:rPr>
          </w:pPr>
          <w:r>
            <w:fldChar w:fldCharType="begin"/>
          </w:r>
          <w:r>
            <w:instrText xml:space="preserve"> HYPERLINK \l "_Toc16056" </w:instrText>
          </w:r>
          <w:r>
            <w:fldChar w:fldCharType="separate"/>
          </w:r>
          <w:r>
            <w:rPr>
              <w:rFonts w:hint="eastAsia" w:ascii="宋体" w:hAnsi="宋体" w:cs="宋体"/>
              <w:sz w:val="24"/>
            </w:rPr>
            <w:t>三、</w:t>
          </w:r>
          <w:r>
            <w:rPr>
              <w:rFonts w:hint="eastAsia" w:ascii="仿宋" w:hAnsi="仿宋" w:eastAsia="仿宋" w:cs="仿宋"/>
              <w:sz w:val="28"/>
              <w:szCs w:val="28"/>
            </w:rPr>
            <w:t>机构设置</w:t>
          </w:r>
          <w:r>
            <w:rPr>
              <w:rFonts w:hint="eastAsia" w:ascii="宋体" w:hAnsi="宋体" w:cs="宋体"/>
              <w:sz w:val="24"/>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1</w:t>
          </w:r>
        </w:p>
        <w:p>
          <w:pPr>
            <w:pStyle w:val="33"/>
            <w:tabs>
              <w:tab w:val="right" w:leader="dot" w:pos="8306"/>
            </w:tabs>
            <w:rPr>
              <w:rFonts w:ascii="仿宋" w:hAnsi="仿宋" w:eastAsia="仿宋" w:cs="仿宋"/>
              <w:b/>
              <w:sz w:val="28"/>
              <w:szCs w:val="28"/>
            </w:rPr>
          </w:pPr>
          <w:r>
            <w:fldChar w:fldCharType="begin"/>
          </w:r>
          <w:r>
            <w:instrText xml:space="preserve"> HYPERLINK \l "_Toc17423" </w:instrText>
          </w:r>
          <w:r>
            <w:fldChar w:fldCharType="separate"/>
          </w:r>
          <w:r>
            <w:rPr>
              <w:rFonts w:hint="eastAsia" w:ascii="仿宋" w:hAnsi="仿宋" w:eastAsia="仿宋" w:cs="仿宋"/>
              <w:b/>
              <w:bCs/>
              <w:sz w:val="28"/>
              <w:szCs w:val="28"/>
            </w:rPr>
            <w:t>第二部分 2021年度单位决算情况说明</w:t>
          </w:r>
          <w:r>
            <w:rPr>
              <w:rFonts w:hint="eastAsia" w:ascii="仿宋" w:hAnsi="仿宋" w:eastAsia="仿宋" w:cs="仿宋"/>
              <w:b/>
              <w:sz w:val="28"/>
              <w:szCs w:val="28"/>
            </w:rPr>
            <w:tab/>
          </w:r>
          <w:r>
            <w:rPr>
              <w:rFonts w:hint="eastAsia" w:ascii="仿宋" w:hAnsi="仿宋" w:eastAsia="仿宋" w:cs="仿宋"/>
              <w:b/>
              <w:sz w:val="28"/>
              <w:szCs w:val="28"/>
            </w:rPr>
            <w:t>1</w:t>
          </w:r>
          <w:r>
            <w:rPr>
              <w:rFonts w:hint="eastAsia" w:ascii="仿宋" w:hAnsi="仿宋" w:eastAsia="仿宋" w:cs="仿宋"/>
              <w:b/>
              <w:sz w:val="28"/>
              <w:szCs w:val="28"/>
            </w:rPr>
            <w:fldChar w:fldCharType="end"/>
          </w:r>
          <w:r>
            <w:rPr>
              <w:rFonts w:hint="eastAsia" w:ascii="仿宋" w:hAnsi="仿宋" w:eastAsia="仿宋" w:cs="仿宋"/>
              <w:b/>
              <w:sz w:val="28"/>
              <w:szCs w:val="28"/>
            </w:rPr>
            <w:t>3</w:t>
          </w:r>
        </w:p>
        <w:p>
          <w:pPr>
            <w:pStyle w:val="34"/>
            <w:tabs>
              <w:tab w:val="right" w:leader="dot" w:pos="8306"/>
            </w:tabs>
            <w:ind w:left="420"/>
            <w:rPr>
              <w:rFonts w:ascii="仿宋" w:hAnsi="仿宋" w:eastAsia="仿宋" w:cs="仿宋"/>
              <w:sz w:val="28"/>
              <w:szCs w:val="28"/>
            </w:rPr>
          </w:pPr>
          <w:r>
            <w:fldChar w:fldCharType="begin"/>
          </w:r>
          <w:r>
            <w:instrText xml:space="preserve"> HYPERLINK \l "_Toc24920" </w:instrText>
          </w:r>
          <w:r>
            <w:fldChar w:fldCharType="separate"/>
          </w:r>
          <w:r>
            <w:rPr>
              <w:rFonts w:hint="eastAsia" w:ascii="仿宋" w:hAnsi="仿宋" w:eastAsia="仿宋" w:cs="仿宋"/>
              <w:sz w:val="28"/>
              <w:szCs w:val="28"/>
            </w:rPr>
            <w:t>一、 收入支出决算总体情况说明</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3</w:t>
          </w:r>
        </w:p>
        <w:p>
          <w:pPr>
            <w:pStyle w:val="34"/>
            <w:tabs>
              <w:tab w:val="right" w:leader="dot" w:pos="8306"/>
            </w:tabs>
            <w:ind w:left="420"/>
            <w:rPr>
              <w:rFonts w:ascii="仿宋" w:hAnsi="仿宋" w:eastAsia="仿宋" w:cs="仿宋"/>
              <w:sz w:val="28"/>
              <w:szCs w:val="28"/>
            </w:rPr>
          </w:pPr>
          <w:r>
            <w:fldChar w:fldCharType="begin"/>
          </w:r>
          <w:r>
            <w:instrText xml:space="preserve"> HYPERLINK \l "_Toc26640" </w:instrText>
          </w:r>
          <w:r>
            <w:fldChar w:fldCharType="separate"/>
          </w:r>
          <w:r>
            <w:rPr>
              <w:rFonts w:hint="eastAsia" w:ascii="仿宋" w:hAnsi="仿宋" w:eastAsia="仿宋" w:cs="仿宋"/>
              <w:sz w:val="28"/>
              <w:szCs w:val="28"/>
            </w:rPr>
            <w:t>二、 收入决算情况说明</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3</w:t>
          </w:r>
        </w:p>
        <w:p>
          <w:pPr>
            <w:pStyle w:val="34"/>
            <w:tabs>
              <w:tab w:val="right" w:leader="dot" w:pos="8306"/>
            </w:tabs>
            <w:ind w:left="420"/>
            <w:rPr>
              <w:rFonts w:ascii="仿宋" w:hAnsi="仿宋" w:eastAsia="仿宋" w:cs="仿宋"/>
              <w:sz w:val="28"/>
              <w:szCs w:val="28"/>
            </w:rPr>
          </w:pPr>
          <w:r>
            <w:fldChar w:fldCharType="begin"/>
          </w:r>
          <w:r>
            <w:instrText xml:space="preserve"> HYPERLINK \l "_Toc15717" </w:instrText>
          </w:r>
          <w:r>
            <w:fldChar w:fldCharType="separate"/>
          </w:r>
          <w:r>
            <w:rPr>
              <w:rFonts w:hint="eastAsia" w:ascii="仿宋" w:hAnsi="仿宋" w:eastAsia="仿宋" w:cs="仿宋"/>
              <w:sz w:val="28"/>
              <w:szCs w:val="28"/>
            </w:rPr>
            <w:t>三、 支出决算情况说明</w:t>
          </w:r>
          <w:r>
            <w:rPr>
              <w:rFonts w:hint="eastAsia" w:ascii="仿宋" w:hAnsi="仿宋" w:eastAsia="仿宋" w:cs="仿宋"/>
              <w:sz w:val="28"/>
              <w:szCs w:val="28"/>
            </w:rPr>
            <w:tab/>
          </w:r>
          <w:r>
            <w:rPr>
              <w:rFonts w:hint="eastAsia" w:ascii="仿宋" w:hAnsi="仿宋" w:eastAsia="仿宋" w:cs="仿宋"/>
              <w:sz w:val="28"/>
              <w:szCs w:val="28"/>
            </w:rPr>
            <w:t>14</w:t>
          </w:r>
          <w:r>
            <w:rPr>
              <w:rFonts w:hint="eastAsia" w:ascii="仿宋" w:hAnsi="仿宋" w:eastAsia="仿宋" w:cs="仿宋"/>
              <w:sz w:val="28"/>
              <w:szCs w:val="28"/>
            </w:rPr>
            <w:fldChar w:fldCharType="end"/>
          </w:r>
        </w:p>
        <w:p>
          <w:pPr>
            <w:pStyle w:val="34"/>
            <w:tabs>
              <w:tab w:val="right" w:leader="dot" w:pos="8306"/>
            </w:tabs>
            <w:ind w:left="420"/>
            <w:rPr>
              <w:rFonts w:ascii="仿宋" w:hAnsi="仿宋" w:eastAsia="仿宋" w:cs="仿宋"/>
              <w:sz w:val="28"/>
              <w:szCs w:val="28"/>
            </w:rPr>
          </w:pPr>
          <w:r>
            <w:fldChar w:fldCharType="begin"/>
          </w:r>
          <w:r>
            <w:instrText xml:space="preserve"> HYPERLINK \l "_Toc20380" </w:instrText>
          </w:r>
          <w:r>
            <w:fldChar w:fldCharType="separate"/>
          </w:r>
          <w:r>
            <w:rPr>
              <w:rFonts w:hint="eastAsia" w:ascii="仿宋" w:hAnsi="仿宋" w:eastAsia="仿宋" w:cs="仿宋"/>
              <w:sz w:val="28"/>
              <w:szCs w:val="28"/>
            </w:rPr>
            <w:t>四、财政拨款收入支出决算总体情况说明</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4</w:t>
          </w:r>
        </w:p>
        <w:p>
          <w:pPr>
            <w:pStyle w:val="34"/>
            <w:tabs>
              <w:tab w:val="right" w:leader="dot" w:pos="8306"/>
            </w:tabs>
            <w:ind w:left="420"/>
            <w:rPr>
              <w:rFonts w:ascii="仿宋" w:hAnsi="仿宋" w:eastAsia="仿宋" w:cs="仿宋"/>
              <w:sz w:val="28"/>
              <w:szCs w:val="28"/>
            </w:rPr>
          </w:pPr>
          <w:r>
            <w:fldChar w:fldCharType="begin"/>
          </w:r>
          <w:r>
            <w:instrText xml:space="preserve"> HYPERLINK \l "_Toc3021" </w:instrText>
          </w:r>
          <w:r>
            <w:fldChar w:fldCharType="separate"/>
          </w:r>
          <w:r>
            <w:rPr>
              <w:rFonts w:hint="eastAsia" w:ascii="仿宋" w:hAnsi="仿宋" w:eastAsia="仿宋" w:cs="仿宋"/>
              <w:sz w:val="28"/>
              <w:szCs w:val="28"/>
            </w:rPr>
            <w:t>五、一般公共预算财政拨款支出决算情况说明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_Toc3021 \h </w:instrText>
          </w:r>
          <w:r>
            <w:rPr>
              <w:rFonts w:hint="eastAsia" w:ascii="仿宋" w:hAnsi="仿宋" w:eastAsia="仿宋" w:cs="仿宋"/>
              <w:sz w:val="28"/>
              <w:szCs w:val="28"/>
            </w:rPr>
            <w:fldChar w:fldCharType="separate"/>
          </w:r>
          <w:r>
            <w:rPr>
              <w:rFonts w:hint="eastAsia" w:ascii="仿宋" w:hAnsi="仿宋" w:eastAsia="仿宋" w:cs="仿宋"/>
              <w:sz w:val="28"/>
              <w:szCs w:val="28"/>
            </w:rPr>
            <w:t>15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4"/>
            <w:tabs>
              <w:tab w:val="right" w:leader="dot" w:pos="8306"/>
            </w:tabs>
            <w:ind w:left="420"/>
            <w:rPr>
              <w:rFonts w:ascii="仿宋" w:hAnsi="仿宋" w:eastAsia="仿宋" w:cs="仿宋"/>
              <w:sz w:val="28"/>
              <w:szCs w:val="28"/>
            </w:rPr>
          </w:pPr>
          <w:r>
            <w:fldChar w:fldCharType="begin"/>
          </w:r>
          <w:r>
            <w:instrText xml:space="preserve"> HYPERLINK \l "_Toc16959" </w:instrText>
          </w:r>
          <w:r>
            <w:fldChar w:fldCharType="separate"/>
          </w:r>
          <w:r>
            <w:rPr>
              <w:rFonts w:hint="eastAsia" w:ascii="仿宋" w:hAnsi="仿宋" w:eastAsia="仿宋" w:cs="仿宋"/>
              <w:sz w:val="28"/>
              <w:szCs w:val="28"/>
            </w:rPr>
            <w:t>六、一般公共预算财政拨款基本支出决算情况说明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_Toc16959 \h </w:instrText>
          </w:r>
          <w:r>
            <w:rPr>
              <w:rFonts w:hint="eastAsia" w:ascii="仿宋" w:hAnsi="仿宋" w:eastAsia="仿宋" w:cs="仿宋"/>
              <w:sz w:val="28"/>
              <w:szCs w:val="28"/>
            </w:rPr>
            <w:fldChar w:fldCharType="separate"/>
          </w:r>
          <w:r>
            <w:rPr>
              <w:rFonts w:hint="eastAsia" w:ascii="仿宋" w:hAnsi="仿宋" w:eastAsia="仿宋" w:cs="仿宋"/>
              <w:sz w:val="28"/>
              <w:szCs w:val="28"/>
            </w:rPr>
            <w:t>16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4"/>
            <w:tabs>
              <w:tab w:val="right" w:leader="dot" w:pos="8306"/>
            </w:tabs>
            <w:ind w:left="420"/>
            <w:rPr>
              <w:rFonts w:ascii="仿宋" w:hAnsi="仿宋" w:eastAsia="仿宋" w:cs="仿宋"/>
              <w:sz w:val="28"/>
              <w:szCs w:val="28"/>
            </w:rPr>
          </w:pPr>
          <w:r>
            <w:fldChar w:fldCharType="begin"/>
          </w:r>
          <w:r>
            <w:instrText xml:space="preserve"> HYPERLINK \l "_Toc28167" </w:instrText>
          </w:r>
          <w:r>
            <w:fldChar w:fldCharType="separate"/>
          </w:r>
          <w:r>
            <w:rPr>
              <w:rFonts w:hint="eastAsia" w:ascii="仿宋" w:hAnsi="仿宋" w:eastAsia="仿宋" w:cs="仿宋"/>
              <w:sz w:val="28"/>
              <w:szCs w:val="28"/>
            </w:rPr>
            <w:t>七、“三公”经费财政拨款支出决算情况说明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_Toc28167 \h </w:instrText>
          </w:r>
          <w:r>
            <w:rPr>
              <w:rFonts w:hint="eastAsia" w:ascii="仿宋" w:hAnsi="仿宋" w:eastAsia="仿宋" w:cs="仿宋"/>
              <w:sz w:val="28"/>
              <w:szCs w:val="28"/>
            </w:rPr>
            <w:fldChar w:fldCharType="separate"/>
          </w:r>
          <w:r>
            <w:rPr>
              <w:rFonts w:hint="eastAsia" w:ascii="仿宋" w:hAnsi="仿宋" w:eastAsia="仿宋" w:cs="仿宋"/>
              <w:sz w:val="28"/>
              <w:szCs w:val="28"/>
            </w:rPr>
            <w:t>17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4"/>
            <w:tabs>
              <w:tab w:val="right" w:leader="dot" w:pos="8306"/>
            </w:tabs>
            <w:ind w:left="420"/>
            <w:rPr>
              <w:rFonts w:ascii="仿宋" w:hAnsi="仿宋" w:eastAsia="仿宋" w:cs="仿宋"/>
              <w:sz w:val="28"/>
              <w:szCs w:val="28"/>
            </w:rPr>
          </w:pPr>
          <w:r>
            <w:fldChar w:fldCharType="begin"/>
          </w:r>
          <w:r>
            <w:instrText xml:space="preserve"> HYPERLINK \l "_Toc3271" </w:instrText>
          </w:r>
          <w:r>
            <w:fldChar w:fldCharType="separate"/>
          </w:r>
          <w:r>
            <w:rPr>
              <w:rFonts w:hint="eastAsia" w:ascii="仿宋" w:hAnsi="仿宋" w:eastAsia="仿宋" w:cs="仿宋"/>
              <w:sz w:val="28"/>
              <w:szCs w:val="28"/>
            </w:rPr>
            <w:t>八、政府性基金预算支出决算情况说明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_Toc3271 \h </w:instrText>
          </w:r>
          <w:r>
            <w:rPr>
              <w:rFonts w:hint="eastAsia" w:ascii="仿宋" w:hAnsi="仿宋" w:eastAsia="仿宋" w:cs="仿宋"/>
              <w:sz w:val="28"/>
              <w:szCs w:val="28"/>
            </w:rPr>
            <w:fldChar w:fldCharType="separate"/>
          </w:r>
          <w:r>
            <w:rPr>
              <w:rFonts w:hint="eastAsia" w:ascii="仿宋" w:hAnsi="仿宋" w:eastAsia="仿宋" w:cs="仿宋"/>
              <w:sz w:val="28"/>
              <w:szCs w:val="28"/>
            </w:rPr>
            <w:t>19</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4"/>
            <w:tabs>
              <w:tab w:val="right" w:leader="dot" w:pos="8306"/>
            </w:tabs>
            <w:ind w:left="420"/>
            <w:rPr>
              <w:rFonts w:ascii="仿宋" w:hAnsi="仿宋" w:eastAsia="仿宋" w:cs="仿宋"/>
              <w:sz w:val="28"/>
              <w:szCs w:val="28"/>
            </w:rPr>
          </w:pPr>
          <w:r>
            <w:fldChar w:fldCharType="begin"/>
          </w:r>
          <w:r>
            <w:instrText xml:space="preserve"> HYPERLINK \l "_Toc23535" </w:instrText>
          </w:r>
          <w:r>
            <w:fldChar w:fldCharType="separate"/>
          </w:r>
          <w:r>
            <w:rPr>
              <w:rFonts w:hint="eastAsia" w:ascii="仿宋" w:hAnsi="仿宋" w:eastAsia="仿宋" w:cs="仿宋"/>
              <w:sz w:val="28"/>
              <w:szCs w:val="28"/>
            </w:rPr>
            <w:t>九、 国有资本经营预算支出决算情况说明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_Toc23535 \h </w:instrText>
          </w:r>
          <w:r>
            <w:rPr>
              <w:rFonts w:hint="eastAsia" w:ascii="仿宋" w:hAnsi="仿宋" w:eastAsia="仿宋" w:cs="仿宋"/>
              <w:sz w:val="28"/>
              <w:szCs w:val="28"/>
            </w:rPr>
            <w:fldChar w:fldCharType="separate"/>
          </w:r>
          <w:r>
            <w:rPr>
              <w:rFonts w:hint="eastAsia" w:ascii="仿宋" w:hAnsi="仿宋" w:eastAsia="仿宋" w:cs="仿宋"/>
              <w:sz w:val="28"/>
              <w:szCs w:val="28"/>
            </w:rPr>
            <w:t>19</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4"/>
            <w:tabs>
              <w:tab w:val="right" w:leader="dot" w:pos="8306"/>
            </w:tabs>
            <w:ind w:left="420"/>
            <w:rPr>
              <w:rFonts w:ascii="仿宋" w:hAnsi="仿宋" w:eastAsia="仿宋" w:cs="仿宋"/>
              <w:sz w:val="28"/>
              <w:szCs w:val="28"/>
            </w:rPr>
          </w:pPr>
          <w:r>
            <w:fldChar w:fldCharType="begin"/>
          </w:r>
          <w:r>
            <w:instrText xml:space="preserve"> HYPERLINK \l "_Toc30516" </w:instrText>
          </w:r>
          <w:r>
            <w:fldChar w:fldCharType="separate"/>
          </w:r>
          <w:r>
            <w:rPr>
              <w:rFonts w:hint="eastAsia" w:ascii="仿宋" w:hAnsi="仿宋" w:eastAsia="仿宋" w:cs="仿宋"/>
              <w:sz w:val="28"/>
              <w:szCs w:val="28"/>
            </w:rPr>
            <w:t>十、 其他重要事项的情况说明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_Toc30516 \h </w:instrText>
          </w:r>
          <w:r>
            <w:rPr>
              <w:rFonts w:hint="eastAsia" w:ascii="仿宋" w:hAnsi="仿宋" w:eastAsia="仿宋" w:cs="仿宋"/>
              <w:sz w:val="28"/>
              <w:szCs w:val="28"/>
            </w:rPr>
            <w:fldChar w:fldCharType="separate"/>
          </w:r>
          <w:r>
            <w:rPr>
              <w:rFonts w:hint="eastAsia" w:ascii="仿宋" w:hAnsi="仿宋" w:eastAsia="仿宋" w:cs="仿宋"/>
              <w:sz w:val="28"/>
              <w:szCs w:val="28"/>
            </w:rPr>
            <w:t>19</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3"/>
            <w:tabs>
              <w:tab w:val="right" w:leader="dot" w:pos="8306"/>
            </w:tabs>
            <w:rPr>
              <w:rFonts w:ascii="仿宋" w:hAnsi="仿宋" w:eastAsia="仿宋" w:cs="仿宋"/>
              <w:b/>
              <w:sz w:val="28"/>
              <w:szCs w:val="28"/>
            </w:rPr>
          </w:pPr>
          <w:r>
            <w:fldChar w:fldCharType="begin"/>
          </w:r>
          <w:r>
            <w:instrText xml:space="preserve"> HYPERLINK \l "_Toc10841" </w:instrText>
          </w:r>
          <w:r>
            <w:fldChar w:fldCharType="separate"/>
          </w:r>
          <w:r>
            <w:rPr>
              <w:rFonts w:hint="eastAsia" w:ascii="仿宋" w:hAnsi="仿宋" w:eastAsia="仿宋" w:cs="仿宋"/>
              <w:b/>
              <w:sz w:val="28"/>
              <w:szCs w:val="28"/>
            </w:rPr>
            <w:t>第三部分 名词解释</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_Toc10841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21</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3"/>
            <w:tabs>
              <w:tab w:val="right" w:leader="dot" w:pos="8306"/>
            </w:tabs>
            <w:rPr>
              <w:rFonts w:ascii="仿宋" w:hAnsi="仿宋" w:eastAsia="仿宋" w:cs="仿宋"/>
              <w:b/>
              <w:sz w:val="28"/>
              <w:szCs w:val="28"/>
            </w:rPr>
          </w:pPr>
          <w:r>
            <w:fldChar w:fldCharType="begin"/>
          </w:r>
          <w:r>
            <w:instrText xml:space="preserve"> HYPERLINK \l "_Toc25721" </w:instrText>
          </w:r>
          <w:r>
            <w:fldChar w:fldCharType="separate"/>
          </w:r>
          <w:r>
            <w:rPr>
              <w:rFonts w:hint="eastAsia" w:ascii="仿宋" w:hAnsi="仿宋" w:eastAsia="仿宋" w:cs="仿宋"/>
              <w:b/>
              <w:sz w:val="28"/>
              <w:szCs w:val="28"/>
            </w:rPr>
            <w:t>第四部分 附件</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_Toc25721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24</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3"/>
            <w:tabs>
              <w:tab w:val="right" w:leader="dot" w:pos="8306"/>
            </w:tabs>
            <w:rPr>
              <w:rFonts w:ascii="仿宋" w:hAnsi="仿宋" w:eastAsia="仿宋" w:cs="仿宋"/>
              <w:b/>
              <w:sz w:val="28"/>
              <w:szCs w:val="28"/>
            </w:rPr>
          </w:pPr>
          <w:r>
            <w:fldChar w:fldCharType="begin"/>
          </w:r>
          <w:r>
            <w:instrText xml:space="preserve"> HYPERLINK \l "_Toc8465" </w:instrText>
          </w:r>
          <w:r>
            <w:fldChar w:fldCharType="separate"/>
          </w:r>
          <w:r>
            <w:rPr>
              <w:rFonts w:hint="eastAsia" w:ascii="仿宋" w:hAnsi="仿宋" w:eastAsia="仿宋" w:cs="仿宋"/>
              <w:b/>
              <w:sz w:val="28"/>
              <w:szCs w:val="28"/>
            </w:rPr>
            <w:t>第五部分 附表</w:t>
          </w:r>
          <w:r>
            <w:rPr>
              <w:rFonts w:hint="eastAsia" w:ascii="仿宋" w:hAnsi="仿宋" w:eastAsia="仿宋" w:cs="仿宋"/>
              <w:b/>
              <w:sz w:val="28"/>
              <w:szCs w:val="28"/>
            </w:rPr>
            <w:tab/>
          </w:r>
          <w:r>
            <w:rPr>
              <w:rFonts w:hint="eastAsia" w:ascii="仿宋" w:hAnsi="仿宋" w:eastAsia="仿宋" w:cs="仿宋"/>
              <w:b/>
              <w:sz w:val="28"/>
              <w:szCs w:val="28"/>
            </w:rPr>
            <w:t>2</w:t>
          </w:r>
          <w:r>
            <w:rPr>
              <w:rFonts w:hint="eastAsia" w:ascii="仿宋" w:hAnsi="仿宋" w:eastAsia="仿宋" w:cs="仿宋"/>
              <w:b/>
              <w:sz w:val="28"/>
              <w:szCs w:val="28"/>
            </w:rPr>
            <w:fldChar w:fldCharType="end"/>
          </w:r>
          <w:r>
            <w:rPr>
              <w:rFonts w:hint="eastAsia" w:ascii="仿宋" w:hAnsi="仿宋" w:eastAsia="仿宋" w:cs="仿宋"/>
              <w:b/>
              <w:sz w:val="28"/>
              <w:szCs w:val="28"/>
            </w:rPr>
            <w:t>9</w:t>
          </w:r>
        </w:p>
        <w:p>
          <w:pPr>
            <w:pStyle w:val="34"/>
            <w:tabs>
              <w:tab w:val="right" w:leader="dot" w:pos="8306"/>
            </w:tabs>
            <w:ind w:left="420"/>
            <w:rPr>
              <w:rFonts w:ascii="仿宋" w:hAnsi="仿宋" w:eastAsia="仿宋" w:cs="仿宋"/>
              <w:sz w:val="28"/>
              <w:szCs w:val="28"/>
            </w:rPr>
          </w:pPr>
          <w:r>
            <w:fldChar w:fldCharType="begin"/>
          </w:r>
          <w:r>
            <w:instrText xml:space="preserve"> HYPERLINK \l "_Toc17604" </w:instrText>
          </w:r>
          <w:r>
            <w:fldChar w:fldCharType="separate"/>
          </w:r>
          <w:r>
            <w:rPr>
              <w:rFonts w:hint="eastAsia" w:ascii="仿宋" w:hAnsi="仿宋" w:eastAsia="仿宋" w:cs="仿宋"/>
              <w:sz w:val="28"/>
              <w:szCs w:val="28"/>
            </w:rPr>
            <w:t>一、收入支出决算总表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pPr>
            <w:pStyle w:val="34"/>
            <w:tabs>
              <w:tab w:val="right" w:leader="dot" w:pos="8306"/>
            </w:tabs>
            <w:ind w:left="420"/>
            <w:rPr>
              <w:rFonts w:ascii="仿宋" w:hAnsi="仿宋" w:eastAsia="仿宋" w:cs="仿宋"/>
              <w:sz w:val="28"/>
              <w:szCs w:val="28"/>
            </w:rPr>
          </w:pPr>
          <w:r>
            <w:fldChar w:fldCharType="begin"/>
          </w:r>
          <w:r>
            <w:instrText xml:space="preserve"> HYPERLINK \l "_Toc24443" </w:instrText>
          </w:r>
          <w:r>
            <w:fldChar w:fldCharType="separate"/>
          </w:r>
          <w:r>
            <w:rPr>
              <w:rFonts w:hint="eastAsia" w:ascii="仿宋" w:hAnsi="仿宋" w:eastAsia="仿宋" w:cs="仿宋"/>
              <w:sz w:val="28"/>
              <w:szCs w:val="28"/>
            </w:rPr>
            <w:t>二、收入决算表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pPr>
            <w:pStyle w:val="34"/>
            <w:tabs>
              <w:tab w:val="right" w:leader="dot" w:pos="8306"/>
            </w:tabs>
            <w:ind w:left="420"/>
            <w:rPr>
              <w:rFonts w:ascii="仿宋" w:hAnsi="仿宋" w:eastAsia="仿宋" w:cs="仿宋"/>
              <w:sz w:val="28"/>
              <w:szCs w:val="28"/>
            </w:rPr>
          </w:pPr>
          <w:r>
            <w:fldChar w:fldCharType="begin"/>
          </w:r>
          <w:r>
            <w:instrText xml:space="preserve"> HYPERLINK \l "_Toc19861" </w:instrText>
          </w:r>
          <w:r>
            <w:fldChar w:fldCharType="separate"/>
          </w:r>
          <w:r>
            <w:rPr>
              <w:rFonts w:hint="eastAsia" w:ascii="仿宋" w:hAnsi="仿宋" w:eastAsia="仿宋" w:cs="仿宋"/>
              <w:sz w:val="28"/>
              <w:szCs w:val="28"/>
            </w:rPr>
            <w:t>三、支出决算表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pPr>
            <w:pStyle w:val="34"/>
            <w:tabs>
              <w:tab w:val="right" w:leader="dot" w:pos="8306"/>
            </w:tabs>
            <w:ind w:left="420"/>
            <w:rPr>
              <w:rFonts w:ascii="仿宋" w:hAnsi="仿宋" w:eastAsia="仿宋" w:cs="仿宋"/>
              <w:sz w:val="28"/>
              <w:szCs w:val="28"/>
            </w:rPr>
          </w:pPr>
          <w:r>
            <w:fldChar w:fldCharType="begin"/>
          </w:r>
          <w:r>
            <w:instrText xml:space="preserve"> HYPERLINK \l "_Toc6521" </w:instrText>
          </w:r>
          <w:r>
            <w:fldChar w:fldCharType="separate"/>
          </w:r>
          <w:r>
            <w:rPr>
              <w:rFonts w:hint="eastAsia" w:ascii="仿宋" w:hAnsi="仿宋" w:eastAsia="仿宋" w:cs="仿宋"/>
              <w:sz w:val="28"/>
              <w:szCs w:val="28"/>
            </w:rPr>
            <w:t>四、财政拨款收入支出决算总表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pPr>
            <w:pStyle w:val="34"/>
            <w:tabs>
              <w:tab w:val="right" w:leader="dot" w:pos="8306"/>
            </w:tabs>
            <w:ind w:left="420"/>
            <w:rPr>
              <w:rFonts w:ascii="仿宋" w:hAnsi="仿宋" w:eastAsia="仿宋" w:cs="仿宋"/>
              <w:sz w:val="28"/>
              <w:szCs w:val="28"/>
            </w:rPr>
          </w:pPr>
          <w:r>
            <w:fldChar w:fldCharType="begin"/>
          </w:r>
          <w:r>
            <w:instrText xml:space="preserve"> HYPERLINK \l "_Toc16488" </w:instrText>
          </w:r>
          <w:r>
            <w:fldChar w:fldCharType="separate"/>
          </w:r>
          <w:r>
            <w:rPr>
              <w:rFonts w:hint="eastAsia" w:ascii="仿宋" w:hAnsi="仿宋" w:eastAsia="仿宋" w:cs="仿宋"/>
              <w:sz w:val="28"/>
              <w:szCs w:val="28"/>
            </w:rPr>
            <w:t>五、财政拨款支出决算明细表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pPr>
            <w:pStyle w:val="34"/>
            <w:tabs>
              <w:tab w:val="right" w:leader="dot" w:pos="8306"/>
            </w:tabs>
            <w:ind w:left="420"/>
            <w:rPr>
              <w:rFonts w:ascii="仿宋" w:hAnsi="仿宋" w:eastAsia="仿宋" w:cs="仿宋"/>
              <w:sz w:val="28"/>
              <w:szCs w:val="28"/>
            </w:rPr>
          </w:pPr>
          <w:r>
            <w:fldChar w:fldCharType="begin"/>
          </w:r>
          <w:r>
            <w:instrText xml:space="preserve"> HYPERLINK \l "_Toc1079" </w:instrText>
          </w:r>
          <w:r>
            <w:fldChar w:fldCharType="separate"/>
          </w:r>
          <w:r>
            <w:rPr>
              <w:rFonts w:hint="eastAsia" w:ascii="仿宋" w:hAnsi="仿宋" w:eastAsia="仿宋" w:cs="仿宋"/>
              <w:sz w:val="28"/>
              <w:szCs w:val="28"/>
            </w:rPr>
            <w:t>六、一般公共预算财政拨款支出决算表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pPr>
            <w:pStyle w:val="34"/>
            <w:tabs>
              <w:tab w:val="right" w:leader="dot" w:pos="8306"/>
            </w:tabs>
            <w:ind w:left="420"/>
            <w:rPr>
              <w:rFonts w:ascii="仿宋" w:hAnsi="仿宋" w:eastAsia="仿宋" w:cs="仿宋"/>
              <w:sz w:val="28"/>
              <w:szCs w:val="28"/>
            </w:rPr>
          </w:pPr>
          <w:r>
            <w:fldChar w:fldCharType="begin"/>
          </w:r>
          <w:r>
            <w:instrText xml:space="preserve"> HYPERLINK \l "_Toc17826" </w:instrText>
          </w:r>
          <w:r>
            <w:fldChar w:fldCharType="separate"/>
          </w:r>
          <w:r>
            <w:rPr>
              <w:rFonts w:hint="eastAsia" w:ascii="仿宋" w:hAnsi="仿宋" w:eastAsia="仿宋" w:cs="仿宋"/>
              <w:sz w:val="28"/>
              <w:szCs w:val="28"/>
            </w:rPr>
            <w:t>七、一般公共预算财政拨款支出决算明细表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pPr>
            <w:pStyle w:val="34"/>
            <w:tabs>
              <w:tab w:val="right" w:leader="dot" w:pos="8306"/>
            </w:tabs>
            <w:ind w:left="420"/>
            <w:rPr>
              <w:rFonts w:ascii="仿宋" w:hAnsi="仿宋" w:eastAsia="仿宋" w:cs="仿宋"/>
              <w:sz w:val="28"/>
              <w:szCs w:val="28"/>
            </w:rPr>
          </w:pPr>
          <w:r>
            <w:fldChar w:fldCharType="begin"/>
          </w:r>
          <w:r>
            <w:instrText xml:space="preserve"> HYPERLINK \l "_Toc30414" </w:instrText>
          </w:r>
          <w:r>
            <w:fldChar w:fldCharType="separate"/>
          </w:r>
          <w:r>
            <w:rPr>
              <w:rFonts w:hint="eastAsia" w:ascii="仿宋" w:hAnsi="仿宋" w:eastAsia="仿宋" w:cs="仿宋"/>
              <w:sz w:val="28"/>
              <w:szCs w:val="28"/>
            </w:rPr>
            <w:t>八、一般公共预算财政拨款基本支出决算表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pPr>
            <w:pStyle w:val="34"/>
            <w:tabs>
              <w:tab w:val="right" w:leader="dot" w:pos="8306"/>
            </w:tabs>
            <w:ind w:left="420"/>
            <w:rPr>
              <w:rFonts w:ascii="仿宋" w:hAnsi="仿宋" w:eastAsia="仿宋" w:cs="仿宋"/>
              <w:sz w:val="28"/>
              <w:szCs w:val="28"/>
            </w:rPr>
          </w:pPr>
          <w:r>
            <w:fldChar w:fldCharType="begin"/>
          </w:r>
          <w:r>
            <w:instrText xml:space="preserve"> HYPERLINK \l "_Toc28465" </w:instrText>
          </w:r>
          <w:r>
            <w:fldChar w:fldCharType="separate"/>
          </w:r>
          <w:r>
            <w:rPr>
              <w:rFonts w:hint="eastAsia" w:ascii="仿宋" w:hAnsi="仿宋" w:eastAsia="仿宋" w:cs="仿宋"/>
              <w:sz w:val="28"/>
              <w:szCs w:val="28"/>
            </w:rPr>
            <w:t>九、一般公共预算财政拨款项目支出决算表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pPr>
            <w:pStyle w:val="34"/>
            <w:tabs>
              <w:tab w:val="right" w:leader="dot" w:pos="8306"/>
            </w:tabs>
            <w:ind w:left="420"/>
            <w:rPr>
              <w:rFonts w:ascii="仿宋" w:hAnsi="仿宋" w:eastAsia="仿宋" w:cs="仿宋"/>
              <w:sz w:val="28"/>
              <w:szCs w:val="28"/>
            </w:rPr>
          </w:pPr>
          <w:r>
            <w:fldChar w:fldCharType="begin"/>
          </w:r>
          <w:r>
            <w:instrText xml:space="preserve"> HYPERLINK \l "_Toc23999" </w:instrText>
          </w:r>
          <w:r>
            <w:fldChar w:fldCharType="separate"/>
          </w:r>
          <w:r>
            <w:rPr>
              <w:rFonts w:hint="eastAsia" w:ascii="仿宋" w:hAnsi="仿宋" w:eastAsia="仿宋" w:cs="仿宋"/>
              <w:sz w:val="28"/>
              <w:szCs w:val="28"/>
            </w:rPr>
            <w:t>十、一般公共预算财政拨款“三公”经费支出决算表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pPr>
            <w:pStyle w:val="34"/>
            <w:tabs>
              <w:tab w:val="right" w:leader="dot" w:pos="8306"/>
            </w:tabs>
            <w:ind w:left="420"/>
            <w:rPr>
              <w:rFonts w:ascii="仿宋" w:hAnsi="仿宋" w:eastAsia="仿宋" w:cs="仿宋"/>
              <w:sz w:val="28"/>
              <w:szCs w:val="28"/>
            </w:rPr>
          </w:pPr>
          <w:r>
            <w:fldChar w:fldCharType="begin"/>
          </w:r>
          <w:r>
            <w:instrText xml:space="preserve"> HYPERLINK \l "_Toc22687" </w:instrText>
          </w:r>
          <w:r>
            <w:fldChar w:fldCharType="separate"/>
          </w:r>
          <w:r>
            <w:rPr>
              <w:rFonts w:hint="eastAsia" w:ascii="仿宋" w:hAnsi="仿宋" w:eastAsia="仿宋" w:cs="仿宋"/>
              <w:sz w:val="28"/>
              <w:szCs w:val="28"/>
            </w:rPr>
            <w:t>十一、政府性基金预算财政拨款收入支出决算表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pPr>
            <w:pStyle w:val="34"/>
            <w:tabs>
              <w:tab w:val="right" w:leader="dot" w:pos="8306"/>
            </w:tabs>
            <w:ind w:left="420"/>
            <w:rPr>
              <w:rFonts w:ascii="仿宋" w:hAnsi="仿宋" w:eastAsia="仿宋" w:cs="仿宋"/>
              <w:sz w:val="28"/>
              <w:szCs w:val="28"/>
            </w:rPr>
          </w:pPr>
          <w:r>
            <w:fldChar w:fldCharType="begin"/>
          </w:r>
          <w:r>
            <w:instrText xml:space="preserve"> HYPERLINK \l "_Toc27477" </w:instrText>
          </w:r>
          <w:r>
            <w:fldChar w:fldCharType="separate"/>
          </w:r>
          <w:r>
            <w:rPr>
              <w:rFonts w:hint="eastAsia" w:ascii="仿宋" w:hAnsi="仿宋" w:eastAsia="仿宋" w:cs="仿宋"/>
              <w:sz w:val="28"/>
              <w:szCs w:val="28"/>
            </w:rPr>
            <w:t>十二、政府性基金预算财政拨款“三公”经费支出决算表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pPr>
            <w:pStyle w:val="34"/>
            <w:tabs>
              <w:tab w:val="right" w:leader="dot" w:pos="8306"/>
            </w:tabs>
            <w:ind w:left="420"/>
            <w:rPr>
              <w:rFonts w:ascii="仿宋" w:hAnsi="仿宋" w:eastAsia="仿宋" w:cs="仿宋"/>
              <w:sz w:val="28"/>
              <w:szCs w:val="28"/>
            </w:rPr>
          </w:pPr>
          <w:r>
            <w:fldChar w:fldCharType="begin"/>
          </w:r>
          <w:r>
            <w:instrText xml:space="preserve"> HYPERLINK \l "_Toc25701" </w:instrText>
          </w:r>
          <w:r>
            <w:fldChar w:fldCharType="separate"/>
          </w:r>
          <w:r>
            <w:rPr>
              <w:rFonts w:hint="eastAsia" w:ascii="仿宋" w:hAnsi="仿宋" w:eastAsia="仿宋" w:cs="仿宋"/>
              <w:sz w:val="28"/>
              <w:szCs w:val="28"/>
            </w:rPr>
            <w:t>十三、国有资本经营预算财政拨款收入支出决算表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pPr>
            <w:pStyle w:val="34"/>
            <w:tabs>
              <w:tab w:val="right" w:leader="dot" w:pos="8306"/>
            </w:tabs>
            <w:ind w:left="420"/>
            <w:rPr>
              <w:rFonts w:eastAsia="仿宋"/>
            </w:rPr>
          </w:pPr>
          <w:r>
            <w:fldChar w:fldCharType="begin"/>
          </w:r>
          <w:r>
            <w:instrText xml:space="preserve"> HYPERLINK \l "_Toc29713" </w:instrText>
          </w:r>
          <w:r>
            <w:fldChar w:fldCharType="separate"/>
          </w:r>
          <w:r>
            <w:rPr>
              <w:rFonts w:hint="eastAsia" w:ascii="仿宋" w:hAnsi="仿宋" w:eastAsia="仿宋" w:cs="仿宋"/>
              <w:sz w:val="28"/>
              <w:szCs w:val="28"/>
            </w:rPr>
            <w:t>十四、国有资本经营预算财政拨款支出决算表</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9</w:t>
          </w:r>
        </w:p>
        <w:p>
          <w:r>
            <w:rPr>
              <w:b/>
            </w:rPr>
            <w:fldChar w:fldCharType="end"/>
          </w:r>
        </w:p>
      </w:sdtContent>
    </w:sdt>
    <w:p>
      <w:pPr>
        <w:widowControl/>
        <w:spacing w:line="440" w:lineRule="exact"/>
        <w:jc w:val="left"/>
        <w:rPr>
          <w:rFonts w:ascii="仿宋" w:hAnsi="仿宋" w:eastAsia="仿宋"/>
          <w:bCs/>
          <w:kern w:val="44"/>
          <w:sz w:val="24"/>
        </w:rPr>
      </w:pPr>
      <w:bookmarkStart w:id="14" w:name="_Toc15377196"/>
      <w:bookmarkStart w:id="15" w:name="_Toc15396599"/>
      <w:r>
        <w:rPr>
          <w:rFonts w:ascii="仿宋" w:hAnsi="仿宋" w:eastAsia="仿宋"/>
          <w:b/>
          <w:sz w:val="24"/>
        </w:rPr>
        <w:br w:type="page"/>
      </w:r>
    </w:p>
    <w:p>
      <w:pPr>
        <w:pStyle w:val="3"/>
        <w:jc w:val="center"/>
        <w:rPr>
          <w:rStyle w:val="25"/>
          <w:rFonts w:ascii="黑体" w:hAnsi="黑体" w:eastAsia="黑体"/>
          <w:b/>
          <w:bCs w:val="0"/>
        </w:rPr>
      </w:pPr>
      <w:bookmarkStart w:id="16" w:name="_Toc1260"/>
      <w:r>
        <w:rPr>
          <w:rFonts w:hint="eastAsia" w:ascii="黑体" w:hAnsi="黑体" w:eastAsia="黑体"/>
          <w:b w:val="0"/>
        </w:rPr>
        <w:t>第一部分 单位</w:t>
      </w:r>
      <w:r>
        <w:rPr>
          <w:rStyle w:val="25"/>
          <w:rFonts w:hint="eastAsia" w:ascii="黑体" w:hAnsi="黑体" w:eastAsia="黑体"/>
          <w:b w:val="0"/>
          <w:bCs w:val="0"/>
        </w:rPr>
        <w:t>概况</w:t>
      </w:r>
      <w:bookmarkEnd w:id="14"/>
      <w:bookmarkEnd w:id="15"/>
      <w:bookmarkEnd w:id="16"/>
    </w:p>
    <w:p>
      <w:pPr>
        <w:widowControl/>
        <w:jc w:val="left"/>
        <w:rPr>
          <w:rFonts w:ascii="黑体" w:eastAsia="黑体"/>
          <w:sz w:val="32"/>
          <w:szCs w:val="32"/>
        </w:rPr>
      </w:pPr>
    </w:p>
    <w:p>
      <w:pPr>
        <w:pStyle w:val="4"/>
        <w:spacing w:line="560" w:lineRule="exact"/>
        <w:ind w:firstLine="640" w:firstLineChars="200"/>
        <w:rPr>
          <w:rStyle w:val="26"/>
          <w:rFonts w:ascii="黑体" w:hAnsi="黑体" w:eastAsia="黑体"/>
          <w:b w:val="0"/>
          <w:bCs w:val="0"/>
        </w:rPr>
      </w:pPr>
      <w:bookmarkStart w:id="17" w:name="_Toc1175"/>
      <w:bookmarkStart w:id="18" w:name="_Toc15396600"/>
      <w:bookmarkStart w:id="19" w:name="_Toc15377197"/>
      <w:r>
        <w:rPr>
          <w:rStyle w:val="26"/>
          <w:rFonts w:hint="eastAsia" w:ascii="黑体" w:hAnsi="黑体" w:eastAsia="黑体"/>
          <w:b w:val="0"/>
          <w:bCs w:val="0"/>
        </w:rPr>
        <w:t>一、职能简介</w:t>
      </w:r>
      <w:bookmarkEnd w:id="17"/>
    </w:p>
    <w:p>
      <w:pPr>
        <w:spacing w:line="560" w:lineRule="exact"/>
        <w:ind w:firstLine="633" w:firstLineChars="198"/>
      </w:pPr>
      <w:r>
        <w:rPr>
          <w:rFonts w:eastAsia="仿宋_GB2312"/>
          <w:sz w:val="32"/>
        </w:rPr>
        <w:t xml:space="preserve"> </w:t>
      </w:r>
      <w:r>
        <w:rPr>
          <w:rFonts w:hint="eastAsia" w:eastAsia="仿宋_GB2312"/>
          <w:sz w:val="32"/>
        </w:rPr>
        <w:t>攀枝花市</w:t>
      </w:r>
      <w:r>
        <w:rPr>
          <w:rFonts w:eastAsia="仿宋_GB2312"/>
          <w:sz w:val="32"/>
        </w:rPr>
        <w:t>残疾人康复教育中心的主要职能是</w:t>
      </w:r>
      <w:r>
        <w:rPr>
          <w:rFonts w:eastAsia="仿宋_GB2312"/>
          <w:sz w:val="32"/>
          <w:szCs w:val="32"/>
        </w:rPr>
        <w:t>为残疾人提供各类专业康复培训、评估及指导残疾人用品用具的使用等服务工作。</w:t>
      </w:r>
    </w:p>
    <w:p>
      <w:pPr>
        <w:pStyle w:val="4"/>
        <w:spacing w:line="560" w:lineRule="exact"/>
        <w:ind w:firstLine="640" w:firstLineChars="200"/>
        <w:rPr>
          <w:rFonts w:ascii="黑体" w:hAnsi="黑体" w:eastAsia="黑体"/>
          <w:b w:val="0"/>
        </w:rPr>
      </w:pPr>
      <w:bookmarkStart w:id="20" w:name="_Toc10056"/>
      <w:r>
        <w:rPr>
          <w:rFonts w:hint="eastAsia" w:ascii="黑体" w:hAnsi="黑体" w:eastAsia="黑体"/>
          <w:b w:val="0"/>
        </w:rPr>
        <w:t>二、2021年重点工作</w:t>
      </w:r>
      <w:bookmarkEnd w:id="18"/>
      <w:bookmarkEnd w:id="19"/>
      <w:r>
        <w:rPr>
          <w:rFonts w:hint="eastAsia" w:ascii="黑体" w:hAnsi="黑体" w:eastAsia="黑体"/>
          <w:b w:val="0"/>
        </w:rPr>
        <w:t>完成情况</w:t>
      </w:r>
      <w:bookmarkEnd w:id="20"/>
    </w:p>
    <w:p>
      <w:pPr>
        <w:spacing w:line="560" w:lineRule="exact"/>
        <w:ind w:firstLine="643"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（一）加强党的政治建设、业务和法律法规学习，抓好党风廉政建设工作</w:t>
      </w:r>
    </w:p>
    <w:p>
      <w:pPr>
        <w:spacing w:line="560" w:lineRule="exact"/>
        <w:ind w:firstLine="643" w:firstLineChars="200"/>
        <w:jc w:val="left"/>
        <w:rPr>
          <w:rFonts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1.加强党的政治建设。</w:t>
      </w:r>
      <w:r>
        <w:rPr>
          <w:rFonts w:hint="eastAsia" w:ascii="仿宋_GB2312" w:hAnsi="仿宋_GB2312" w:eastAsia="仿宋_GB2312" w:cs="仿宋_GB2312"/>
          <w:color w:val="000000"/>
          <w:kern w:val="0"/>
          <w:sz w:val="32"/>
          <w:szCs w:val="32"/>
        </w:rPr>
        <w:t xml:space="preserve">组织干部职工深入学习习近平新时代中国特色社会主义思想、习近平总书记在中国共产党成立100周年大会上的讲话精神、习近平总书记在“七一勋章”颁授仪式上的讲话精神。按照中央、省委党史学习教育动员会和市委党史学习教育领导小组第一次会议精神以及习近平总书记在党史学习教育动员大会上的讲话要求，认真开展党史学习和教育活动。 </w:t>
      </w:r>
    </w:p>
    <w:p>
      <w:pPr>
        <w:spacing w:line="560" w:lineRule="exact"/>
        <w:ind w:firstLine="643" w:firstLineChars="200"/>
        <w:jc w:val="left"/>
        <w:rPr>
          <w:rFonts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2.加强业务学习。</w:t>
      </w:r>
      <w:r>
        <w:rPr>
          <w:rFonts w:hint="eastAsia" w:ascii="仿宋_GB2312" w:hAnsi="仿宋_GB2312" w:eastAsia="仿宋_GB2312" w:cs="仿宋_GB2312"/>
          <w:color w:val="000000"/>
          <w:kern w:val="0"/>
          <w:sz w:val="32"/>
          <w:szCs w:val="32"/>
        </w:rPr>
        <w:t>一是学习《民法典》和残疾人工作的“一法四条例”；二是学习现行法律法规涉及残疾人的相关条款、残疾人权利公约；三是学习辅助器具适配规范、智力残疾康复服务规范、孤独症儿童康复服务规范、0-6岁听力残疾儿童康复服务规范等团体标准；四是学习智力障碍儿童、听力障碍儿童等相关业务书籍；五是通过走出去、请进来的方式对中心和全市定点康复机构的康复医师、康复教师进行专业化的培训、示范，提升了我市残疾儿童康复工作整体水平。</w:t>
      </w:r>
    </w:p>
    <w:p>
      <w:pPr>
        <w:spacing w:line="560" w:lineRule="exact"/>
        <w:ind w:firstLine="643" w:firstLineChars="200"/>
        <w:jc w:val="left"/>
        <w:rPr>
          <w:rFonts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3.开展2021年事业单位工作人员法律法规政策学习。</w:t>
      </w:r>
      <w:r>
        <w:rPr>
          <w:rFonts w:hint="eastAsia" w:ascii="仿宋_GB2312" w:hAnsi="仿宋_GB2312" w:eastAsia="仿宋_GB2312" w:cs="仿宋_GB2312"/>
          <w:sz w:val="32"/>
          <w:szCs w:val="32"/>
        </w:rPr>
        <w:t>根据《攀枝花市人力资源和社会保障局关于开展2021年事业单位工作人员相关法律法规政策学习教育的通知》（攀人社发〔2021〕206号）文件要求，中心结合自身实际情况将法律法规学习与中心业务知识学习相结合，制定学习计划。按要求每周组织职工进行学习，要求每个职工都做好学习笔记，学习结束后每位职工必须提交一份学习心得。通过学习，提高了中心职工的业务水平，进一步提高环保意识、法律意识、生态文明意识和安全意识，增强了干部职工的责任感和使命感。</w:t>
      </w:r>
    </w:p>
    <w:p>
      <w:pPr>
        <w:spacing w:line="560" w:lineRule="exact"/>
        <w:ind w:firstLine="643" w:firstLineChars="200"/>
        <w:jc w:val="left"/>
        <w:rPr>
          <w:rFonts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4.抓好党风廉政建设工作。</w:t>
      </w:r>
      <w:r>
        <w:rPr>
          <w:rFonts w:hint="eastAsia" w:ascii="仿宋_GB2312" w:hAnsi="仿宋_GB2312" w:eastAsia="仿宋_GB2312" w:cs="仿宋_GB2312"/>
          <w:sz w:val="32"/>
          <w:szCs w:val="32"/>
        </w:rPr>
        <w:t>认真落实好党风廉政建设主体责任和履行好“一岗双责”，严格遵守中央八项规定，省市十项规定、严格按照《中国共产党章程》《党规》《条例》要求管理干部职工，坚守法律底线，不越红线，规范行政行为。</w:t>
      </w:r>
      <w:r>
        <w:rPr>
          <w:rFonts w:hint="eastAsia" w:ascii="仿宋_GB2312" w:hAnsi="仿宋_GB2312" w:eastAsia="仿宋_GB2312" w:cs="仿宋_GB2312"/>
          <w:b/>
          <w:color w:val="000000"/>
          <w:kern w:val="0"/>
          <w:sz w:val="32"/>
          <w:szCs w:val="32"/>
        </w:rPr>
        <w:t xml:space="preserve"> </w:t>
      </w:r>
    </w:p>
    <w:p>
      <w:pPr>
        <w:spacing w:line="560" w:lineRule="exact"/>
        <w:ind w:firstLine="643" w:firstLineChars="200"/>
        <w:jc w:val="left"/>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（二）业务开展情况</w:t>
      </w:r>
    </w:p>
    <w:p>
      <w:pPr>
        <w:widowControl/>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1.“康教融合”项目。</w:t>
      </w:r>
      <w:r>
        <w:rPr>
          <w:rFonts w:hint="eastAsia" w:ascii="仿宋_GB2312" w:hAnsi="仿宋_GB2312" w:eastAsia="仿宋_GB2312" w:cs="仿宋_GB2312"/>
          <w:sz w:val="32"/>
          <w:szCs w:val="32"/>
        </w:rPr>
        <w:t>经市残联党组和市教体局党组研究报市政府分管领导同意后</w:t>
      </w:r>
      <w:r>
        <w:rPr>
          <w:rFonts w:hint="eastAsia" w:ascii="仿宋_GB2312" w:hAnsi="仿宋_GB2312" w:eastAsia="仿宋_GB2312" w:cs="仿宋_GB2312"/>
          <w:sz w:val="32"/>
          <w:szCs w:val="32"/>
          <w:shd w:val="clear" w:color="auto" w:fill="FFFFFF"/>
        </w:rPr>
        <w:t>，攀枝花市残疾人康复教育中心引进攀枝花市特殊教育学校作为定点康复机构，合作开展智力残疾儿童“康教融合”项目，2021年</w:t>
      </w:r>
      <w:r>
        <w:rPr>
          <w:rFonts w:hint="eastAsia" w:ascii="仿宋_GB2312" w:hAnsi="仿宋_GB2312" w:eastAsia="仿宋_GB2312" w:cs="仿宋_GB2312"/>
          <w:sz w:val="32"/>
          <w:szCs w:val="32"/>
        </w:rPr>
        <w:t>共有19名0-12岁的残疾儿童在“康教融合”项目中进行动作康复、沟通与交往、情绪与行为、感知觉等训练。</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为做好残疾儿童康复工作，扎实推进“康教融合”项目的开展，市残疾人康复教育中心和市特校相关负责人多次召开项目研讨会，就“康教融合”项目中康复档案管理、资金拨付、康复训练时长及类别、取得的成绩、存在的不足等相关问题进行讨论，及时总结经验，改进不足，努力提升康复训练的质量和效果。得到了残疾儿童家长和社会各界人士的认可，也受到了中央、省、市各级领导的关心、支持和肯定。</w:t>
      </w:r>
    </w:p>
    <w:p>
      <w:pPr>
        <w:widowControl/>
        <w:spacing w:line="560" w:lineRule="exact"/>
        <w:ind w:firstLine="643" w:firstLineChars="20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2.听障儿童语训康复工作。</w:t>
      </w:r>
      <w:r>
        <w:rPr>
          <w:rFonts w:hint="eastAsia" w:ascii="仿宋_GB2312" w:hAnsi="仿宋_GB2312" w:eastAsia="仿宋_GB2312" w:cs="仿宋_GB2312"/>
          <w:sz w:val="32"/>
          <w:szCs w:val="32"/>
          <w:shd w:val="clear" w:color="auto" w:fill="FFFFFF"/>
        </w:rPr>
        <w:t>2021年，中心</w:t>
      </w:r>
      <w:r>
        <w:rPr>
          <w:rFonts w:hint="eastAsia" w:ascii="仿宋_GB2312" w:hAnsi="仿宋_GB2312" w:eastAsia="仿宋_GB2312" w:cs="仿宋_GB2312"/>
          <w:sz w:val="32"/>
          <w:szCs w:val="32"/>
        </w:rPr>
        <w:t>为1名佩戴助听器听障儿童和1名人工耳蜗听障儿童进行听力语言康复训练。</w:t>
      </w:r>
    </w:p>
    <w:p>
      <w:pPr>
        <w:widowControl/>
        <w:spacing w:line="560" w:lineRule="exact"/>
        <w:ind w:firstLine="643" w:firstLineChars="200"/>
        <w:jc w:val="left"/>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3.2020年贫困残疾人假肢、矫形器适配项目的适配及回访工作。</w:t>
      </w:r>
      <w:r>
        <w:rPr>
          <w:rFonts w:hint="eastAsia" w:ascii="仿宋_GB2312" w:hAnsi="仿宋_GB2312" w:eastAsia="仿宋_GB2312" w:cs="仿宋_GB2312"/>
          <w:sz w:val="32"/>
          <w:szCs w:val="32"/>
        </w:rPr>
        <w:t>2020年中心为全市有需求的118名贫困残疾人适配了假肢、矫形器、助听器等辅助器具共135具。2021年中心与省八一康复中心专家组分三期到米易县、盐边县、东区、西区、仁和区为残疾人进行了假肢和矫形器的调试服务。9月，中心工作人员再次对部分残疾人进行了电话回访，了解辅具的使用情况及需求，持续跟踪，及时解决问题和需求。辅具的适配调试，有效减轻了残疾人的家庭经济负担，使贫困残疾患者能重新站起来，恢复生活自理和劳动能力。其中有5名残疾人因穿戴不舒适，中心及时与中标单位联系，10月中标单位安排车辆将5名残疾人送至省八一康复中心，通过3D扫描、打印，重新为残疾人适配了假肢，残疾人非常满意。</w:t>
      </w:r>
      <w:r>
        <w:rPr>
          <w:rFonts w:hint="eastAsia" w:ascii="仿宋_GB2312" w:hAnsi="仿宋_GB2312" w:eastAsia="仿宋_GB2312" w:cs="仿宋_GB2312"/>
          <w:b/>
          <w:kern w:val="0"/>
          <w:sz w:val="32"/>
          <w:szCs w:val="32"/>
        </w:rPr>
        <w:t xml:space="preserve"> </w:t>
      </w:r>
    </w:p>
    <w:p>
      <w:pPr>
        <w:widowControl/>
        <w:spacing w:line="560" w:lineRule="exact"/>
        <w:ind w:firstLine="643"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4.2021年重度肢体残疾人坐便轮椅采购项目工作。</w:t>
      </w:r>
      <w:r>
        <w:rPr>
          <w:rFonts w:hint="eastAsia" w:ascii="仿宋_GB2312" w:hAnsi="仿宋_GB2312" w:eastAsia="仿宋_GB2312" w:cs="仿宋_GB2312"/>
          <w:sz w:val="32"/>
          <w:szCs w:val="32"/>
        </w:rPr>
        <w:t>中心结合各区（县）上报肢体和脑瘫残疾人的需求情况，开展了重度肢体残疾人坐便轮椅适配采购项目，共采购轮椅68辆，均已配送到各县区。</w:t>
      </w:r>
      <w:r>
        <w:rPr>
          <w:rFonts w:hint="eastAsia" w:ascii="仿宋_GB2312" w:hAnsi="仿宋_GB2312" w:eastAsia="仿宋_GB2312" w:cs="仿宋_GB2312"/>
          <w:kern w:val="0"/>
          <w:sz w:val="32"/>
          <w:szCs w:val="32"/>
        </w:rPr>
        <w:t>2021年10月15日下午，因残疾人需要，中心工作人员入户为肢体残疾人杜春兰适配了轮椅。</w:t>
      </w:r>
      <w:r>
        <w:rPr>
          <w:rFonts w:hint="eastAsia" w:ascii="仿宋_GB2312" w:hAnsi="仿宋_GB2312" w:eastAsia="仿宋_GB2312" w:cs="仿宋_GB2312"/>
          <w:sz w:val="32"/>
          <w:szCs w:val="32"/>
        </w:rPr>
        <w:t>通过轮椅的采购及适配，为残疾人带去党和政府的关心关爱，切实解决了残疾人的实际困难，提高其参与社会生活的能力，帮助其更好地融入社会，让他们有了实实在在的获得感、幸福感、安全感。</w:t>
      </w:r>
    </w:p>
    <w:p>
      <w:pPr>
        <w:spacing w:line="560" w:lineRule="exact"/>
        <w:ind w:firstLine="643" w:firstLineChars="20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5.邀请省听力语言康复中心专家指导残疾儿童语言康复训练工作。</w:t>
      </w:r>
      <w:r>
        <w:rPr>
          <w:rFonts w:hint="eastAsia" w:ascii="仿宋_GB2312" w:hAnsi="仿宋_GB2312" w:eastAsia="仿宋_GB2312" w:cs="仿宋_GB2312"/>
          <w:sz w:val="32"/>
          <w:szCs w:val="32"/>
        </w:rPr>
        <w:t>10月25日至29日，中心邀请四川省听力语言康复中心国家听力师、学科带头人张月到中心指导残疾儿童语言康复训练工作。期间，指导专家通过听课、与中心康复教师和家长交流、对残疾儿童语言评估等全面掌握残疾儿童语言发展、教师康复训练、家长的支持性服务等情况。开展了人工耳蜗术后儿童和助听器儿童康复训练、人工耳蜗术后言语矫治等实操示范，分别对中心和全市定点康复机构的康复教师和康复医师、残疾儿童家长举办了“听觉言语训练-言语训练”专题培训，涵盖了学习有声语言的基础、发音教学原则与方法等知识，参加培训的教师及家长共计40余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此次活动的开展，提高了康复教师和医师的康复业务能力，对受训练的两名残疾儿童的康复带来了很大的帮助。有利于提升中心和各定点康复机构康复训练的整体水平，为做好残疾儿童康复工作打下坚实的基础，发挥中心的示范引领作用。</w:t>
      </w:r>
    </w:p>
    <w:p>
      <w:pPr>
        <w:spacing w:line="560" w:lineRule="exact"/>
        <w:ind w:firstLine="643" w:firstLineChars="20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6.职业康复训练室设备设施采购工作。</w:t>
      </w:r>
      <w:r>
        <w:rPr>
          <w:rFonts w:hint="eastAsia" w:ascii="仿宋_GB2312" w:hAnsi="仿宋_GB2312" w:eastAsia="仿宋_GB2312" w:cs="仿宋_GB2312"/>
          <w:sz w:val="32"/>
          <w:szCs w:val="32"/>
        </w:rPr>
        <w:t xml:space="preserve">为满足“康教融合”项目智力残疾儿童职业康复需求，在中心二楼设置一间职业康复训练室，采购储物展示柜25.3平方米、操作台2张。 </w:t>
      </w:r>
    </w:p>
    <w:p>
      <w:pPr>
        <w:spacing w:line="560" w:lineRule="exact"/>
        <w:ind w:firstLine="630" w:firstLineChars="196"/>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7.2021年盲人定向行走康复训练工作。</w:t>
      </w:r>
      <w:r>
        <w:rPr>
          <w:rFonts w:hint="eastAsia" w:ascii="仿宋_GB2312" w:hAnsi="仿宋_GB2312" w:eastAsia="仿宋_GB2312" w:cs="仿宋_GB2312"/>
          <w:sz w:val="32"/>
          <w:szCs w:val="22"/>
        </w:rPr>
        <w:t>结合全市视力残疾人的康复需求，中心开展了盲人定向行走康复训练工作，培训50名盲人，50名陪护人员或志愿者，共100人。培训内容为：定向行走概论、导盲随行、盲杖技巧、独行、定向技能、实操、盲人心理疏导等，培训时间为4天。通过</w:t>
      </w:r>
      <w:r>
        <w:rPr>
          <w:rFonts w:hint="eastAsia" w:ascii="仿宋_GB2312" w:hAnsi="仿宋_GB2312" w:eastAsia="仿宋_GB2312" w:cs="仿宋_GB2312"/>
          <w:kern w:val="0"/>
          <w:sz w:val="32"/>
          <w:szCs w:val="32"/>
          <w:lang w:val="zh-CN"/>
        </w:rPr>
        <w:t>培训指导，让参训的视障残疾人从心理上突破对独立出行的恐惧，掌握导盲随行、时钟定位、自我保护等定向技能。</w:t>
      </w:r>
    </w:p>
    <w:p>
      <w:pPr>
        <w:widowControl/>
        <w:shd w:val="clear" w:color="auto" w:fill="FFFFFF"/>
        <w:spacing w:line="560" w:lineRule="exact"/>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kern w:val="0"/>
          <w:sz w:val="32"/>
          <w:szCs w:val="32"/>
        </w:rPr>
        <w:t>8.开展“六一”儿童节慰问活动</w:t>
      </w:r>
      <w:r>
        <w:rPr>
          <w:rFonts w:hint="eastAsia" w:ascii="仿宋_GB2312" w:hAnsi="仿宋_GB2312" w:eastAsia="仿宋_GB2312" w:cs="仿宋_GB2312"/>
          <w:b/>
          <w:sz w:val="32"/>
          <w:szCs w:val="32"/>
        </w:rPr>
        <w:t>。</w:t>
      </w:r>
      <w:r>
        <w:rPr>
          <w:rFonts w:hint="eastAsia" w:ascii="仿宋_GB2312" w:hAnsi="仿宋_GB2312" w:eastAsia="仿宋_GB2312" w:cs="仿宋_GB2312"/>
          <w:sz w:val="32"/>
          <w:szCs w:val="32"/>
        </w:rPr>
        <w:t xml:space="preserve"> 今年“六一”儿童节，中心购买了书包、水彩笔和文具盒慰问了93名残疾儿童，其中市特校花城校区39名、攀枝花盛泰医院29名、攀枝花市儿童福利院24名、市残疾人康复教育中心1名。</w:t>
      </w:r>
    </w:p>
    <w:p>
      <w:pPr>
        <w:pStyle w:val="12"/>
        <w:shd w:val="clear" w:color="auto" w:fill="FFFFFF"/>
        <w:spacing w:before="0" w:beforeAutospacing="0" w:after="0" w:afterAutospacing="0" w:line="5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9.开展“红心向党 庆祝建党100周年”文艺活动。</w:t>
      </w:r>
      <w:r>
        <w:rPr>
          <w:rFonts w:hint="eastAsia" w:ascii="仿宋_GB2312" w:hAnsi="仿宋_GB2312" w:eastAsia="仿宋_GB2312" w:cs="仿宋_GB2312"/>
          <w:sz w:val="32"/>
          <w:szCs w:val="32"/>
        </w:rPr>
        <w:t>为庆祝中国共产党建党100周年， 6月25日上午，中心组织攀枝花市残疾专人门协会在七楼多功能影院举行了“红心向党 庆祝建党100周年”为主题的文艺活动。来自全市的80余名残疾人朋友及家属欢聚一堂，以歌唱、舞蹈、朗诵等表演形式庆祝党的百年华诞。</w:t>
      </w:r>
    </w:p>
    <w:p>
      <w:pPr>
        <w:spacing w:line="560" w:lineRule="exact"/>
        <w:ind w:firstLine="643" w:firstLineChars="200"/>
        <w:jc w:val="left"/>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（三）开展公务用车安全整顿工作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根据攀枝花市机关事务管理局等 5 部门《关于印发&lt;攀枝花市公务用车安全管理专项教育整顿工作方案&gt;的通知》 （攀机管〔2021〕81 号）文件要求，按照市残联制定的《攀枝花市残疾人联合会公务用车安全管理专项教育整顿工作方案》，中心及时开展公务用车安全管理专项教育整顿工作。从</w:t>
      </w:r>
      <w:r>
        <w:rPr>
          <w:rStyle w:val="31"/>
          <w:rFonts w:hint="eastAsia" w:hAnsi="仿宋_GB2312" w:cs="仿宋_GB2312"/>
        </w:rPr>
        <w:t>成立公务用车安全管理专项教育整顿领导小组，对驾驶员和中心全体职工通过观看警示教育片，修改完善中心公务用车管理制度，</w:t>
      </w:r>
      <w:r>
        <w:rPr>
          <w:rFonts w:hint="eastAsia" w:ascii="仿宋_GB2312" w:hAnsi="仿宋_GB2312" w:eastAsia="仿宋_GB2312" w:cs="仿宋_GB2312"/>
          <w:sz w:val="32"/>
          <w:szCs w:val="32"/>
        </w:rPr>
        <w:t>自查公务车的使用相关记录等方面对公务用车使用进行</w:t>
      </w:r>
      <w:r>
        <w:rPr>
          <w:rStyle w:val="31"/>
          <w:rFonts w:hint="eastAsia" w:hAnsi="仿宋_GB2312" w:cs="仿宋_GB2312"/>
        </w:rPr>
        <w:t>整顿，确保公务用车使用规范和安全。按要求于2021年8月向市残联提交了</w:t>
      </w:r>
      <w:r>
        <w:rPr>
          <w:rFonts w:hint="eastAsia" w:ascii="仿宋_GB2312" w:hAnsi="仿宋_GB2312" w:eastAsia="仿宋_GB2312" w:cs="仿宋_GB2312"/>
          <w:sz w:val="32"/>
          <w:szCs w:val="32"/>
        </w:rPr>
        <w:t>公务用车安全整顿工作的总结报告。</w:t>
      </w:r>
    </w:p>
    <w:p>
      <w:pPr>
        <w:spacing w:line="560" w:lineRule="exact"/>
        <w:ind w:firstLine="643" w:firstLineChars="200"/>
        <w:jc w:val="left"/>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（四）完成纪检监察组检查的整改工作</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2021年9月8日上午，攀枝花市驻市政协纪检监察组到中心对近三年采购项目和专项资金使用情况进行督导检查，发现采购项目和财务方面存在一些问题。针对纪检组提出的问题及要求，中心领导班子高度重视，组织召开专题会议，根据纪检组检查时提出的意见和建议，认真对近三年来的采购项目及财务资料进行梳理、自查，列出问题清单，认真分析原因，严格按要求进行整改。10月11日向市残联提交了整改报告。纪检组于10月19日、10月28日分两次到中心对项目及财务资料进行了“回头看”。</w:t>
      </w:r>
    </w:p>
    <w:p>
      <w:pPr>
        <w:spacing w:line="560" w:lineRule="exact"/>
        <w:ind w:firstLine="643" w:firstLineChars="200"/>
        <w:jc w:val="left"/>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（五）完成中心大楼消防安全排查及整改工作</w:t>
      </w:r>
    </w:p>
    <w:p>
      <w:pPr>
        <w:spacing w:line="560" w:lineRule="exact"/>
        <w:ind w:firstLine="640" w:firstLineChars="200"/>
        <w:rPr>
          <w:rFonts w:ascii="仿宋_GB2312" w:hAnsi="仿宋_GB2312" w:eastAsia="仿宋_GB2312" w:cs="仿宋_GB2312"/>
          <w:color w:val="000000"/>
          <w:sz w:val="32"/>
          <w:szCs w:val="32"/>
        </w:rPr>
      </w:pPr>
      <w:r>
        <w:rPr>
          <w:rStyle w:val="31"/>
          <w:rFonts w:hint="eastAsia" w:hAnsi="仿宋_GB2312" w:cs="仿宋_GB2312"/>
        </w:rPr>
        <w:t>2021年5月发现大楼消防安全存在隐患以来，中心根据市残联党组的要求，成立了消防安全工作组，把消防安全放在重中之重的地位，纠正了以往“认识不到位、制度不健全、工作思路方式方法不科学、管理监督缺失”的问题。多次组织召开消防安全工作协调会，要求建设单位对中心大楼的消防安全隐患查找原因，多次进行专业的整改后联动测试正常，最终出具了大楼消防运行正常的报告。中心也明确了大楼消防管理职责，制定了消防安全应急预案。</w:t>
      </w:r>
      <w:r>
        <w:rPr>
          <w:rFonts w:hint="eastAsia" w:ascii="仿宋_GB2312" w:hAnsi="仿宋_GB2312" w:eastAsia="仿宋_GB2312" w:cs="仿宋_GB2312"/>
          <w:color w:val="000000"/>
          <w:sz w:val="32"/>
          <w:szCs w:val="32"/>
        </w:rPr>
        <w:t xml:space="preserve"> </w:t>
      </w:r>
    </w:p>
    <w:p>
      <w:pPr>
        <w:spacing w:line="560" w:lineRule="exact"/>
        <w:ind w:firstLine="643" w:firstLineChars="200"/>
        <w:jc w:val="left"/>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（六）做好新冠疫情防控和森林防火工作</w:t>
      </w:r>
    </w:p>
    <w:p>
      <w:pPr>
        <w:spacing w:line="560" w:lineRule="exact"/>
        <w:ind w:firstLine="640" w:firstLineChars="200"/>
        <w:jc w:val="left"/>
        <w:rPr>
          <w:rStyle w:val="31"/>
          <w:rFonts w:hAnsi="仿宋_GB2312" w:cs="仿宋_GB2312"/>
        </w:rPr>
      </w:pPr>
      <w:r>
        <w:rPr>
          <w:rStyle w:val="31"/>
          <w:rFonts w:hint="eastAsia" w:hAnsi="仿宋_GB2312" w:cs="仿宋_GB2312"/>
        </w:rPr>
        <w:t>2021年市残疾人康复教育中心严格贯彻落实党中央、国务院、省委省政府、市委市政府和市残联党组关于继续做好新型冠状病毒感染肺炎疫情防控工作的具体要求，全体干部职工做到离市立即报备，不到中高风险地区活动，积极主动进行新冠疫苗接种，从外地返攀后及时进行核酸检测等；根据《中共攀枝花市纪委、攀枝花市监委关于印发&lt;攀枝花市党员、干部、公职人员 森林草原防灭火行为规范&gt;的通知》(攀纪发〔2021〕1号)文件和市残联要求，全体干部职工按照要求做好森林防火工作。</w:t>
      </w:r>
    </w:p>
    <w:p>
      <w:pPr>
        <w:spacing w:line="560" w:lineRule="exact"/>
        <w:ind w:firstLine="643" w:firstLineChars="200"/>
        <w:jc w:val="left"/>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（七）人事工作</w:t>
      </w:r>
    </w:p>
    <w:p>
      <w:pPr>
        <w:spacing w:line="56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kern w:val="0"/>
          <w:sz w:val="32"/>
          <w:szCs w:val="32"/>
        </w:rPr>
        <w:t>因工作需要，经市残联党组同意，中心开展了以下人事工作：一是办理考调会计周复莉的调动手续和公招人员徐安辉调入的相关手续；二是办理周复莉从管理岗九级转到专业技术十二级岗位聘用相关手续；三是在市残联的统一安排下，按程序办理张瑶聘用到专业技术十二级岗位的相关手续；四是办理2014-2019年退休“中人”毛艳和冯晓东退休“中人”一次性补贴相关手续；五是按程序办理完成工勤岗位职工于思秀到龄退休相关手续；六是按程序办理周复莉从专业技术岗十二级聘为专业技术岗十级的相关手续。</w:t>
      </w:r>
    </w:p>
    <w:p>
      <w:pPr>
        <w:spacing w:line="560" w:lineRule="exact"/>
        <w:ind w:firstLine="643" w:firstLineChars="200"/>
        <w:jc w:val="left"/>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（八）接待工作</w:t>
      </w:r>
    </w:p>
    <w:p>
      <w:pPr>
        <w:spacing w:line="560" w:lineRule="exact"/>
        <w:ind w:firstLine="640" w:firstLineChars="200"/>
        <w:rPr>
          <w:rStyle w:val="31"/>
          <w:rFonts w:hAnsi="仿宋_GB2312" w:cs="仿宋_GB2312"/>
          <w:color w:val="auto"/>
        </w:rPr>
      </w:pPr>
      <w:r>
        <w:rPr>
          <w:rStyle w:val="31"/>
          <w:rFonts w:hint="eastAsia" w:hAnsi="仿宋_GB2312" w:cs="仿宋_GB2312"/>
        </w:rPr>
        <w:t>一是</w:t>
      </w:r>
      <w:r>
        <w:rPr>
          <w:rFonts w:hint="eastAsia" w:ascii="仿宋_GB2312" w:hAnsi="仿宋_GB2312" w:eastAsia="仿宋_GB2312" w:cs="仿宋_GB2312"/>
          <w:sz w:val="32"/>
          <w:szCs w:val="32"/>
        </w:rPr>
        <w:t>5月19日下午，接待驻市政协纪检监察组组长余丽华、副组长曹嫄等到中心调研工作；二是</w:t>
      </w:r>
      <w:r>
        <w:rPr>
          <w:rStyle w:val="32"/>
          <w:rFonts w:hint="eastAsia" w:ascii="仿宋_GB2312" w:hAnsi="仿宋_GB2312" w:eastAsia="仿宋_GB2312" w:cs="仿宋_GB2312"/>
          <w:sz w:val="32"/>
          <w:szCs w:val="32"/>
        </w:rPr>
        <w:t>5月31日下午，接待市政府副市长、市政府残工委主任李明到中心看望慰问残疾儿童；三是</w:t>
      </w:r>
      <w:r>
        <w:rPr>
          <w:rFonts w:hint="eastAsia" w:ascii="仿宋_GB2312" w:hAnsi="仿宋_GB2312" w:eastAsia="仿宋_GB2312" w:cs="仿宋_GB2312"/>
          <w:sz w:val="32"/>
          <w:szCs w:val="32"/>
        </w:rPr>
        <w:t>6月1日下午，接待全国打击防范强迫智力残疾人劳动联合督导第五检查组到中心进行实地督导检查；四是6月24日，接待省残联党组成员、副理事长黄卫德到攀枝花市残疾人康复教育中心调研指导工作。</w:t>
      </w:r>
    </w:p>
    <w:p>
      <w:pPr>
        <w:spacing w:line="560" w:lineRule="exact"/>
        <w:ind w:firstLine="643" w:firstLineChars="200"/>
        <w:jc w:val="left"/>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（九）中心日常管理工作</w:t>
      </w:r>
    </w:p>
    <w:p>
      <w:pPr>
        <w:spacing w:line="560" w:lineRule="exact"/>
        <w:ind w:firstLine="640" w:firstLineChars="200"/>
        <w:jc w:val="left"/>
      </w:pPr>
      <w:r>
        <w:rPr>
          <w:rStyle w:val="31"/>
          <w:rFonts w:hint="eastAsia" w:hAnsi="仿宋_GB2312" w:cs="仿宋_GB2312"/>
        </w:rPr>
        <w:t>一是与物业管理公司续签2022年度物业服务合同，与昆明申菱电梯公司续签了2022年度电梯维保合同，联系对电梯进行了年检，与电信公司续签了互联网专线业务服务用合同；二是严格执行节假日值班，确保了今年无重大安全事故发生；三</w:t>
      </w:r>
      <w:r>
        <w:rPr>
          <w:rFonts w:hint="eastAsia" w:ascii="仿宋_GB2312" w:hAnsi="仿宋_GB2312" w:eastAsia="仿宋_GB2312" w:cs="仿宋_GB2312"/>
          <w:color w:val="000000"/>
          <w:kern w:val="0"/>
          <w:sz w:val="32"/>
          <w:szCs w:val="32"/>
        </w:rPr>
        <w:t>是修订完善了中心各项规章制度；四是做好中心康复、办公等设备设施日常管理维护工作。</w:t>
      </w:r>
    </w:p>
    <w:p>
      <w:pPr>
        <w:pStyle w:val="4"/>
        <w:spacing w:line="560" w:lineRule="exact"/>
        <w:ind w:firstLine="640" w:firstLineChars="200"/>
        <w:rPr>
          <w:rFonts w:ascii="黑体" w:hAnsi="黑体" w:eastAsia="黑体"/>
          <w:b w:val="0"/>
        </w:rPr>
      </w:pPr>
      <w:r>
        <w:rPr>
          <w:rFonts w:hint="eastAsia" w:ascii="黑体" w:hAnsi="黑体" w:eastAsia="黑体"/>
          <w:b w:val="0"/>
        </w:rPr>
        <w:t>三、机构设置</w:t>
      </w:r>
    </w:p>
    <w:p>
      <w:pPr>
        <w:spacing w:line="600" w:lineRule="exact"/>
        <w:ind w:firstLine="645"/>
        <w:rPr>
          <w:rFonts w:ascii="仿宋_GB2312" w:hAnsi="仿宋_GB2312" w:eastAsia="仿宋_GB2312" w:cs="仿宋_GB2312"/>
          <w:color w:val="000000"/>
          <w:kern w:val="0"/>
          <w:sz w:val="32"/>
          <w:szCs w:val="32"/>
        </w:rPr>
      </w:pPr>
      <w:r>
        <w:rPr>
          <w:rFonts w:eastAsia="方正仿宋_GB2312"/>
          <w:sz w:val="32"/>
        </w:rPr>
        <w:t>攀枝花市残疾人康复教育中心根据攀枝花市机构编制委员会《关于成立攀枝花市残疾人康复职业培训中心的批复》（攀编发〔1997〕22号）批准为攀枝花市残疾人联合会下属科级事业单位，2008年9月3日更名为攀枝花市残疾人康复教育中心（攀编发〔2008〕85号），单位机构数1个，核定编制8人。</w:t>
      </w:r>
    </w:p>
    <w:p>
      <w:pPr>
        <w:widowControl/>
        <w:ind w:firstLine="640" w:firstLineChars="200"/>
        <w:jc w:val="left"/>
        <w:rPr>
          <w:rFonts w:ascii="仿宋" w:hAnsi="仿宋" w:eastAsia="仿宋"/>
          <w:kern w:val="0"/>
          <w:sz w:val="32"/>
          <w:szCs w:val="32"/>
        </w:rPr>
      </w:pPr>
      <w:r>
        <w:rPr>
          <w:rFonts w:hint="eastAsia" w:ascii="仿宋" w:hAnsi="仿宋" w:eastAsia="仿宋"/>
          <w:color w:val="000000"/>
          <w:sz w:val="32"/>
          <w:szCs w:val="32"/>
        </w:rPr>
        <w:t>纳入2021年度单位决算编制范围的独立编制机构包括：无。</w:t>
      </w:r>
      <w:r>
        <w:rPr>
          <w:rFonts w:ascii="仿宋" w:hAnsi="仿宋" w:eastAsia="仿宋"/>
          <w:sz w:val="32"/>
          <w:szCs w:val="32"/>
        </w:rPr>
        <w:br w:type="page"/>
      </w:r>
    </w:p>
    <w:p>
      <w:pPr>
        <w:pStyle w:val="3"/>
        <w:ind w:right="440"/>
        <w:jc w:val="center"/>
        <w:rPr>
          <w:rStyle w:val="25"/>
          <w:rFonts w:ascii="黑体" w:hAnsi="黑体" w:eastAsia="黑体"/>
          <w:b w:val="0"/>
          <w:bCs/>
        </w:rPr>
      </w:pPr>
      <w:bookmarkStart w:id="21" w:name="_Toc17423"/>
      <w:bookmarkStart w:id="22" w:name="_Toc15377204"/>
      <w:bookmarkStart w:id="23" w:name="_Toc15396602"/>
      <w:r>
        <w:rPr>
          <w:rFonts w:hint="eastAsia" w:ascii="黑体" w:hAnsi="黑体" w:eastAsia="黑体"/>
          <w:b w:val="0"/>
        </w:rPr>
        <w:t>第二部分 2021年度</w:t>
      </w:r>
      <w:r>
        <w:rPr>
          <w:rStyle w:val="25"/>
          <w:rFonts w:hint="eastAsia" w:ascii="黑体" w:hAnsi="黑体" w:eastAsia="黑体"/>
          <w:b w:val="0"/>
          <w:bCs/>
        </w:rPr>
        <w:t>单位决算情况说明</w:t>
      </w:r>
      <w:bookmarkEnd w:id="21"/>
      <w:bookmarkEnd w:id="22"/>
      <w:bookmarkEnd w:id="23"/>
    </w:p>
    <w:p/>
    <w:p>
      <w:pPr>
        <w:pStyle w:val="24"/>
        <w:numPr>
          <w:ilvl w:val="0"/>
          <w:numId w:val="1"/>
        </w:numPr>
        <w:spacing w:line="600" w:lineRule="exact"/>
        <w:ind w:firstLineChars="0"/>
        <w:outlineLvl w:val="1"/>
        <w:rPr>
          <w:rStyle w:val="26"/>
          <w:rFonts w:ascii="黑体" w:hAnsi="黑体" w:eastAsia="黑体"/>
          <w:b w:val="0"/>
        </w:rPr>
      </w:pPr>
      <w:bookmarkStart w:id="24" w:name="_Toc24920"/>
      <w:bookmarkStart w:id="25" w:name="_Toc15377205"/>
      <w:bookmarkStart w:id="26" w:name="_Toc15396603"/>
      <w:r>
        <w:rPr>
          <w:rFonts w:hint="eastAsia" w:ascii="黑体" w:hAnsi="黑体" w:eastAsia="黑体"/>
          <w:sz w:val="32"/>
          <w:szCs w:val="32"/>
        </w:rPr>
        <w:t>收</w:t>
      </w:r>
      <w:r>
        <w:rPr>
          <w:rStyle w:val="26"/>
          <w:rFonts w:hint="eastAsia" w:ascii="黑体" w:hAnsi="黑体" w:eastAsia="黑体"/>
          <w:b w:val="0"/>
        </w:rPr>
        <w:t>入支出决算总体情况说明</w:t>
      </w:r>
      <w:bookmarkEnd w:id="24"/>
      <w:bookmarkEnd w:id="25"/>
      <w:bookmarkEnd w:id="26"/>
    </w:p>
    <w:p>
      <w:pPr>
        <w:spacing w:line="600" w:lineRule="exact"/>
        <w:ind w:firstLine="640" w:firstLineChars="200"/>
        <w:rPr>
          <w:rFonts w:ascii="仿宋" w:hAnsi="仿宋" w:eastAsia="仿宋_GB2312"/>
          <w:sz w:val="32"/>
          <w:szCs w:val="32"/>
        </w:rPr>
      </w:pPr>
      <w:r>
        <w:rPr>
          <w:rFonts w:hint="eastAsia" w:ascii="仿宋" w:hAnsi="仿宋" w:eastAsia="仿宋"/>
          <w:sz w:val="32"/>
          <w:szCs w:val="32"/>
        </w:rPr>
        <w:t>2021年度收、支总计151.29万元。与2020年相比，收入总计减少296.68万元，下降66.23%。支出总计减少296.68万元，下降66.23</w:t>
      </w:r>
      <w:r>
        <w:rPr>
          <w:rFonts w:ascii="仿宋" w:hAnsi="仿宋" w:eastAsia="仿宋"/>
          <w:sz w:val="32"/>
          <w:szCs w:val="32"/>
        </w:rPr>
        <w:t>%</w:t>
      </w:r>
      <w:r>
        <w:rPr>
          <w:rFonts w:hint="eastAsia" w:ascii="仿宋" w:hAnsi="仿宋" w:eastAsia="仿宋"/>
          <w:sz w:val="32"/>
          <w:szCs w:val="32"/>
        </w:rPr>
        <w:t>。主要变动原因是</w:t>
      </w:r>
      <w:r>
        <w:rPr>
          <w:rFonts w:eastAsia="仿宋_GB2312"/>
          <w:sz w:val="32"/>
          <w:szCs w:val="32"/>
        </w:rPr>
        <w:t>基础设施建设</w:t>
      </w:r>
      <w:r>
        <w:rPr>
          <w:rFonts w:hint="eastAsia" w:eastAsia="仿宋_GB2312"/>
          <w:sz w:val="32"/>
          <w:szCs w:val="32"/>
        </w:rPr>
        <w:t>及设施设备采购</w:t>
      </w:r>
      <w:r>
        <w:rPr>
          <w:rFonts w:eastAsia="仿宋_GB2312"/>
          <w:sz w:val="32"/>
          <w:szCs w:val="32"/>
        </w:rPr>
        <w:t>减少</w:t>
      </w:r>
      <w:r>
        <w:rPr>
          <w:rFonts w:hint="eastAsia" w:eastAsia="仿宋_GB2312"/>
          <w:sz w:val="32"/>
          <w:szCs w:val="32"/>
        </w:rPr>
        <w:t>，收入、支出相应减少。</w:t>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pStyle w:val="2"/>
        <w:spacing w:before="93"/>
      </w:pPr>
      <w:r>
        <w:rPr>
          <w:rFonts w:hint="eastAsia"/>
        </w:rPr>
        <w:drawing>
          <wp:inline distT="0" distB="0" distL="114300" distR="114300">
            <wp:extent cx="5117465" cy="1961515"/>
            <wp:effectExtent l="4445" t="4445" r="21590" b="1524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24"/>
        <w:numPr>
          <w:ilvl w:val="0"/>
          <w:numId w:val="1"/>
        </w:numPr>
        <w:spacing w:line="600" w:lineRule="exact"/>
        <w:ind w:firstLineChars="0"/>
        <w:outlineLvl w:val="1"/>
        <w:rPr>
          <w:rStyle w:val="26"/>
          <w:rFonts w:ascii="黑体" w:hAnsi="黑体" w:eastAsia="黑体"/>
          <w:b w:val="0"/>
        </w:rPr>
      </w:pPr>
      <w:bookmarkStart w:id="27" w:name="_Toc15377206"/>
      <w:bookmarkStart w:id="28" w:name="_Toc15396604"/>
      <w:bookmarkStart w:id="29" w:name="_Toc26640"/>
      <w:r>
        <w:rPr>
          <w:rFonts w:hint="eastAsia" w:ascii="黑体" w:hAnsi="黑体" w:eastAsia="黑体"/>
          <w:sz w:val="32"/>
          <w:szCs w:val="32"/>
        </w:rPr>
        <w:t>收</w:t>
      </w:r>
      <w:r>
        <w:rPr>
          <w:rStyle w:val="26"/>
          <w:rFonts w:hint="eastAsia" w:ascii="黑体" w:hAnsi="黑体" w:eastAsia="黑体"/>
          <w:b w:val="0"/>
        </w:rPr>
        <w:t>入决算情况说明</w:t>
      </w:r>
      <w:bookmarkEnd w:id="27"/>
      <w:bookmarkEnd w:id="28"/>
      <w:bookmarkEnd w:id="29"/>
    </w:p>
    <w:p>
      <w:pPr>
        <w:spacing w:line="600" w:lineRule="exact"/>
        <w:ind w:firstLine="640" w:firstLineChars="200"/>
        <w:outlineLvl w:val="1"/>
        <w:rPr>
          <w:rFonts w:ascii="仿宋" w:hAnsi="仿宋" w:eastAsia="仿宋"/>
          <w:sz w:val="32"/>
          <w:szCs w:val="32"/>
        </w:rPr>
      </w:pPr>
      <w:bookmarkStart w:id="30" w:name="_Toc19427"/>
      <w:r>
        <w:rPr>
          <w:rFonts w:ascii="仿宋" w:hAnsi="仿宋" w:eastAsia="仿宋"/>
          <w:sz w:val="32"/>
          <w:szCs w:val="32"/>
        </w:rPr>
        <w:t>20</w:t>
      </w:r>
      <w:r>
        <w:rPr>
          <w:rFonts w:hint="eastAsia" w:ascii="仿宋" w:hAnsi="仿宋" w:eastAsia="仿宋"/>
          <w:sz w:val="32"/>
          <w:szCs w:val="32"/>
        </w:rPr>
        <w:t>21年本年收入合计139.33万元，其中：一般公共预算财政拨款收入139.33万元，占100</w:t>
      </w:r>
      <w:r>
        <w:rPr>
          <w:rFonts w:ascii="仿宋" w:hAnsi="仿宋" w:eastAsia="仿宋"/>
          <w:sz w:val="32"/>
          <w:szCs w:val="32"/>
        </w:rPr>
        <w:t>%</w:t>
      </w:r>
      <w:r>
        <w:rPr>
          <w:rFonts w:hint="eastAsia" w:ascii="仿宋" w:hAnsi="仿宋" w:eastAsia="仿宋"/>
          <w:sz w:val="32"/>
          <w:szCs w:val="32"/>
        </w:rPr>
        <w:t>。</w:t>
      </w:r>
      <w:bookmarkEnd w:id="30"/>
    </w:p>
    <w:p>
      <w:pPr>
        <w:spacing w:line="600" w:lineRule="exact"/>
        <w:ind w:firstLine="640" w:firstLineChars="200"/>
        <w:rPr>
          <w:rFonts w:ascii="仿宋_GB2312" w:eastAsia="仿宋_GB2312"/>
          <w:sz w:val="32"/>
          <w:szCs w:val="32"/>
        </w:rPr>
      </w:pPr>
      <w:r>
        <w:rPr>
          <w:rFonts w:hint="eastAsia" w:ascii="仿宋" w:hAnsi="仿宋" w:eastAsia="仿宋"/>
          <w:sz w:val="32"/>
          <w:szCs w:val="32"/>
        </w:rPr>
        <w:t>（图2：收入决算结构图）</w:t>
      </w:r>
    </w:p>
    <w:p>
      <w:pPr>
        <w:pStyle w:val="2"/>
        <w:spacing w:before="93"/>
      </w:pPr>
      <w:r>
        <w:rPr>
          <w:rFonts w:hint="eastAsia"/>
        </w:rPr>
        <w:drawing>
          <wp:inline distT="0" distB="0" distL="114300" distR="114300">
            <wp:extent cx="5114925" cy="1911985"/>
            <wp:effectExtent l="4445" t="4445" r="5080" b="762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4"/>
        <w:numPr>
          <w:ilvl w:val="0"/>
          <w:numId w:val="1"/>
        </w:numPr>
        <w:spacing w:line="600" w:lineRule="exact"/>
        <w:ind w:firstLineChars="0"/>
        <w:outlineLvl w:val="1"/>
        <w:rPr>
          <w:rStyle w:val="26"/>
          <w:rFonts w:ascii="黑体" w:hAnsi="黑体" w:eastAsia="黑体"/>
          <w:b w:val="0"/>
        </w:rPr>
      </w:pPr>
      <w:bookmarkStart w:id="31" w:name="_Toc15377207"/>
      <w:bookmarkStart w:id="32" w:name="_Toc15396605"/>
      <w:bookmarkStart w:id="33" w:name="_Toc15717"/>
      <w:r>
        <w:rPr>
          <w:rFonts w:hint="eastAsia" w:ascii="黑体" w:hAnsi="黑体" w:eastAsia="黑体"/>
          <w:sz w:val="32"/>
          <w:szCs w:val="32"/>
        </w:rPr>
        <w:t>支</w:t>
      </w:r>
      <w:r>
        <w:rPr>
          <w:rStyle w:val="26"/>
          <w:rFonts w:hint="eastAsia" w:ascii="黑体" w:hAnsi="黑体" w:eastAsia="黑体"/>
          <w:b w:val="0"/>
        </w:rPr>
        <w:t>出决算情况说明</w:t>
      </w:r>
      <w:bookmarkEnd w:id="31"/>
      <w:bookmarkEnd w:id="32"/>
      <w:bookmarkEnd w:id="33"/>
    </w:p>
    <w:p>
      <w:pPr>
        <w:spacing w:line="600" w:lineRule="exact"/>
        <w:ind w:firstLine="640" w:firstLineChars="200"/>
        <w:outlineLvl w:val="1"/>
        <w:rPr>
          <w:rFonts w:ascii="仿宋" w:hAnsi="仿宋" w:eastAsia="仿宋"/>
          <w:sz w:val="32"/>
          <w:szCs w:val="32"/>
          <w:shd w:val="pct10" w:color="auto" w:fill="FFFFFF"/>
        </w:rPr>
      </w:pPr>
      <w:bookmarkStart w:id="34" w:name="_Toc17184"/>
      <w:r>
        <w:rPr>
          <w:rFonts w:ascii="仿宋" w:hAnsi="仿宋" w:eastAsia="仿宋"/>
          <w:sz w:val="32"/>
          <w:szCs w:val="32"/>
        </w:rPr>
        <w:t>20</w:t>
      </w:r>
      <w:r>
        <w:rPr>
          <w:rFonts w:hint="eastAsia" w:ascii="仿宋" w:hAnsi="仿宋" w:eastAsia="仿宋"/>
          <w:sz w:val="32"/>
          <w:szCs w:val="32"/>
        </w:rPr>
        <w:t>21年本年支出合计151.29万元，其中：基本支出119.13万元，占78.74</w:t>
      </w:r>
      <w:r>
        <w:rPr>
          <w:rFonts w:ascii="仿宋" w:hAnsi="仿宋" w:eastAsia="仿宋"/>
          <w:sz w:val="32"/>
          <w:szCs w:val="32"/>
        </w:rPr>
        <w:t>%</w:t>
      </w:r>
      <w:r>
        <w:rPr>
          <w:rFonts w:hint="eastAsia" w:ascii="仿宋" w:hAnsi="仿宋" w:eastAsia="仿宋"/>
          <w:sz w:val="32"/>
          <w:szCs w:val="32"/>
        </w:rPr>
        <w:t>；项目支出32.17万元，占21.26</w:t>
      </w:r>
      <w:r>
        <w:rPr>
          <w:rFonts w:ascii="仿宋" w:hAnsi="仿宋" w:eastAsia="仿宋"/>
          <w:sz w:val="32"/>
          <w:szCs w:val="32"/>
        </w:rPr>
        <w:t>%</w:t>
      </w:r>
      <w:r>
        <w:rPr>
          <w:rFonts w:hint="eastAsia" w:ascii="仿宋" w:hAnsi="仿宋" w:eastAsia="仿宋"/>
          <w:sz w:val="32"/>
          <w:szCs w:val="32"/>
        </w:rPr>
        <w:t>。</w:t>
      </w:r>
      <w:bookmarkEnd w:id="34"/>
    </w:p>
    <w:p>
      <w:pPr>
        <w:spacing w:line="600" w:lineRule="exact"/>
        <w:ind w:firstLine="640" w:firstLineChars="200"/>
        <w:rPr>
          <w:rFonts w:ascii="仿宋_GB2312" w:eastAsia="仿宋_GB2312"/>
          <w:sz w:val="32"/>
          <w:szCs w:val="32"/>
        </w:rPr>
      </w:pPr>
      <w:r>
        <w:rPr>
          <w:rFonts w:hint="eastAsia" w:ascii="仿宋" w:hAnsi="仿宋" w:eastAsia="仿宋"/>
          <w:sz w:val="32"/>
          <w:szCs w:val="32"/>
        </w:rPr>
        <w:t>（图3：支出决算结构图）</w:t>
      </w:r>
    </w:p>
    <w:p>
      <w:pPr>
        <w:pStyle w:val="2"/>
        <w:spacing w:before="93"/>
      </w:pPr>
      <w:r>
        <w:rPr>
          <w:rFonts w:hint="eastAsia"/>
        </w:rPr>
        <w:drawing>
          <wp:inline distT="0" distB="0" distL="114300" distR="114300">
            <wp:extent cx="5173980" cy="2067560"/>
            <wp:effectExtent l="4445" t="4445" r="22225" b="2349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outlineLvl w:val="1"/>
        <w:rPr>
          <w:rStyle w:val="26"/>
          <w:rFonts w:ascii="黑体" w:hAnsi="黑体" w:eastAsia="黑体"/>
          <w:b w:val="0"/>
        </w:rPr>
      </w:pPr>
      <w:bookmarkStart w:id="35" w:name="_Toc20380"/>
      <w:bookmarkStart w:id="36" w:name="_Toc15377208"/>
      <w:bookmarkStart w:id="37" w:name="_Toc15396606"/>
      <w:r>
        <w:rPr>
          <w:rFonts w:hint="eastAsia" w:ascii="黑体" w:hAnsi="黑体" w:eastAsia="黑体"/>
          <w:sz w:val="32"/>
          <w:szCs w:val="32"/>
        </w:rPr>
        <w:t>四、财</w:t>
      </w:r>
      <w:r>
        <w:rPr>
          <w:rStyle w:val="26"/>
          <w:rFonts w:hint="eastAsia" w:ascii="黑体" w:hAnsi="黑体" w:eastAsia="黑体"/>
          <w:b w:val="0"/>
        </w:rPr>
        <w:t>政拨款收入支出决算总体情况说明</w:t>
      </w:r>
      <w:bookmarkEnd w:id="35"/>
      <w:bookmarkEnd w:id="36"/>
      <w:bookmarkEnd w:id="37"/>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21年财政拨款收、支总计151.29万元。与</w:t>
      </w:r>
      <w:r>
        <w:rPr>
          <w:rFonts w:ascii="仿宋" w:hAnsi="仿宋" w:eastAsia="仿宋"/>
          <w:sz w:val="32"/>
          <w:szCs w:val="32"/>
        </w:rPr>
        <w:t>20</w:t>
      </w:r>
      <w:r>
        <w:rPr>
          <w:rFonts w:hint="eastAsia" w:ascii="仿宋" w:hAnsi="仿宋" w:eastAsia="仿宋"/>
          <w:sz w:val="32"/>
          <w:szCs w:val="32"/>
        </w:rPr>
        <w:t>20年相比，财政拨款收入总计减少296.68万元，下降66.23%。支总计减少296.68万元，下降66.23</w:t>
      </w:r>
      <w:r>
        <w:rPr>
          <w:rFonts w:ascii="仿宋" w:hAnsi="仿宋" w:eastAsia="仿宋"/>
          <w:sz w:val="32"/>
          <w:szCs w:val="32"/>
        </w:rPr>
        <w:t>%</w:t>
      </w:r>
      <w:r>
        <w:rPr>
          <w:rFonts w:hint="eastAsia" w:ascii="仿宋" w:hAnsi="仿宋" w:eastAsia="仿宋"/>
          <w:sz w:val="32"/>
          <w:szCs w:val="32"/>
        </w:rPr>
        <w:t>。主要变动原因是</w:t>
      </w:r>
      <w:r>
        <w:rPr>
          <w:rFonts w:eastAsia="仿宋_GB2312"/>
          <w:sz w:val="32"/>
          <w:szCs w:val="32"/>
        </w:rPr>
        <w:t>基础设施建设</w:t>
      </w:r>
      <w:r>
        <w:rPr>
          <w:rFonts w:hint="eastAsia" w:eastAsia="仿宋_GB2312"/>
          <w:sz w:val="32"/>
          <w:szCs w:val="32"/>
        </w:rPr>
        <w:t>及设施设备采购</w:t>
      </w:r>
      <w:r>
        <w:rPr>
          <w:rFonts w:eastAsia="仿宋_GB2312"/>
          <w:sz w:val="32"/>
          <w:szCs w:val="32"/>
        </w:rPr>
        <w:t>减少</w:t>
      </w:r>
      <w:r>
        <w:rPr>
          <w:rFonts w:hint="eastAsia" w:eastAsia="仿宋_GB2312"/>
          <w:sz w:val="32"/>
          <w:szCs w:val="32"/>
        </w:rPr>
        <w:t>，收入、支出相应减少。</w:t>
      </w:r>
    </w:p>
    <w:p>
      <w:pPr>
        <w:spacing w:line="600" w:lineRule="exact"/>
        <w:ind w:firstLine="640" w:firstLineChars="200"/>
        <w:rPr>
          <w:rFonts w:ascii="仿宋" w:hAnsi="仿宋" w:eastAsia="仿宋"/>
          <w:b/>
          <w:sz w:val="32"/>
          <w:szCs w:val="32"/>
        </w:rPr>
      </w:pPr>
      <w:r>
        <w:rPr>
          <w:rFonts w:hint="eastAsia" w:ascii="仿宋" w:hAnsi="仿宋" w:eastAsia="仿宋"/>
          <w:sz w:val="32"/>
          <w:szCs w:val="32"/>
        </w:rPr>
        <w:t>（图4：财政拨款收、支决算总计变动情况）</w:t>
      </w:r>
    </w:p>
    <w:p>
      <w:pPr>
        <w:pStyle w:val="2"/>
        <w:spacing w:before="93"/>
      </w:pPr>
      <w:r>
        <w:rPr>
          <w:rFonts w:hint="eastAsia"/>
        </w:rPr>
        <w:drawing>
          <wp:inline distT="0" distB="0" distL="114300" distR="114300">
            <wp:extent cx="5079365" cy="2485390"/>
            <wp:effectExtent l="4445" t="4445" r="21590" b="571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560" w:lineRule="exact"/>
        <w:ind w:firstLine="640" w:firstLineChars="200"/>
        <w:outlineLvl w:val="1"/>
        <w:rPr>
          <w:rStyle w:val="26"/>
          <w:rFonts w:ascii="黑体" w:hAnsi="黑体" w:eastAsia="黑体"/>
          <w:b w:val="0"/>
        </w:rPr>
      </w:pPr>
      <w:bookmarkStart w:id="38" w:name="_Toc15396607"/>
      <w:bookmarkStart w:id="39" w:name="_Toc15377209"/>
      <w:bookmarkStart w:id="40" w:name="_Toc3021"/>
      <w:r>
        <w:rPr>
          <w:rFonts w:hint="eastAsia" w:ascii="黑体" w:hAnsi="黑体" w:eastAsia="黑体"/>
          <w:sz w:val="32"/>
          <w:szCs w:val="32"/>
        </w:rPr>
        <w:t>五、</w:t>
      </w:r>
      <w:r>
        <w:rPr>
          <w:rFonts w:hint="eastAsia" w:ascii="黑体" w:hAnsi="黑体" w:eastAsia="黑体"/>
          <w:b/>
          <w:sz w:val="32"/>
          <w:szCs w:val="32"/>
        </w:rPr>
        <w:t>一</w:t>
      </w:r>
      <w:r>
        <w:rPr>
          <w:rStyle w:val="26"/>
          <w:rFonts w:hint="eastAsia" w:ascii="黑体" w:hAnsi="黑体" w:eastAsia="黑体"/>
          <w:b w:val="0"/>
        </w:rPr>
        <w:t>般公共预算财政拨款支出决算情况说明</w:t>
      </w:r>
      <w:bookmarkEnd w:id="38"/>
      <w:bookmarkEnd w:id="39"/>
      <w:bookmarkEnd w:id="40"/>
    </w:p>
    <w:p>
      <w:pPr>
        <w:spacing w:line="560" w:lineRule="exact"/>
        <w:ind w:firstLine="643" w:firstLineChars="200"/>
        <w:outlineLvl w:val="2"/>
        <w:rPr>
          <w:rFonts w:ascii="仿宋" w:hAnsi="仿宋" w:eastAsia="仿宋"/>
          <w:b/>
          <w:sz w:val="32"/>
          <w:szCs w:val="32"/>
        </w:rPr>
      </w:pPr>
      <w:bookmarkStart w:id="41" w:name="_Toc15377210"/>
      <w:r>
        <w:rPr>
          <w:rFonts w:hint="eastAsia" w:ascii="仿宋" w:hAnsi="仿宋" w:eastAsia="仿宋"/>
          <w:b/>
          <w:sz w:val="32"/>
          <w:szCs w:val="32"/>
        </w:rPr>
        <w:t>（一）一般公共预算财政拨款支出决算总体情况</w:t>
      </w:r>
      <w:bookmarkEnd w:id="41"/>
    </w:p>
    <w:p>
      <w:pPr>
        <w:spacing w:line="56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21年一般公共预算财政拨款支出151.29万元，占本年支出合计的100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20年相比，一般公共预算财政拨款支出减少269.10万元，下降64.01</w:t>
      </w:r>
      <w:r>
        <w:rPr>
          <w:rFonts w:ascii="仿宋" w:hAnsi="仿宋" w:eastAsia="仿宋"/>
          <w:sz w:val="32"/>
          <w:szCs w:val="32"/>
        </w:rPr>
        <w:t>%</w:t>
      </w:r>
      <w:r>
        <w:rPr>
          <w:rFonts w:hint="eastAsia" w:ascii="仿宋" w:hAnsi="仿宋" w:eastAsia="仿宋"/>
          <w:sz w:val="32"/>
          <w:szCs w:val="32"/>
        </w:rPr>
        <w:t>。主要变动原因是</w:t>
      </w:r>
      <w:r>
        <w:rPr>
          <w:rFonts w:eastAsia="仿宋_GB2312"/>
          <w:sz w:val="32"/>
          <w:szCs w:val="32"/>
        </w:rPr>
        <w:t>基础设施建设支出</w:t>
      </w:r>
      <w:r>
        <w:rPr>
          <w:rFonts w:hint="eastAsia" w:eastAsia="仿宋_GB2312"/>
          <w:sz w:val="32"/>
          <w:szCs w:val="32"/>
        </w:rPr>
        <w:t>及设施设备采购支出</w:t>
      </w:r>
      <w:r>
        <w:rPr>
          <w:rFonts w:eastAsia="仿宋_GB2312"/>
          <w:sz w:val="32"/>
          <w:szCs w:val="32"/>
        </w:rPr>
        <w:t>减少</w:t>
      </w:r>
      <w:r>
        <w:rPr>
          <w:rFonts w:hint="eastAsia" w:eastAsia="仿宋_GB2312"/>
          <w:sz w:val="32"/>
          <w:szCs w:val="32"/>
        </w:rPr>
        <w:t>。</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w:t>
      </w:r>
    </w:p>
    <w:p>
      <w:pPr>
        <w:pStyle w:val="2"/>
        <w:spacing w:before="93"/>
        <w:rPr>
          <w:rFonts w:eastAsia="仿宋"/>
        </w:rPr>
      </w:pPr>
      <w:r>
        <w:rPr>
          <w:rFonts w:hint="eastAsia" w:eastAsia="仿宋"/>
        </w:rPr>
        <w:drawing>
          <wp:inline distT="0" distB="0" distL="114300" distR="114300">
            <wp:extent cx="5126990" cy="2115185"/>
            <wp:effectExtent l="5080" t="4445" r="11430" b="1397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560" w:lineRule="exact"/>
        <w:ind w:firstLine="643" w:firstLineChars="200"/>
        <w:outlineLvl w:val="2"/>
        <w:rPr>
          <w:rFonts w:ascii="仿宋" w:hAnsi="仿宋" w:eastAsia="仿宋"/>
          <w:b/>
          <w:sz w:val="32"/>
          <w:szCs w:val="32"/>
        </w:rPr>
      </w:pPr>
      <w:bookmarkStart w:id="42" w:name="_Toc15377211"/>
      <w:r>
        <w:rPr>
          <w:rFonts w:hint="eastAsia" w:ascii="仿宋" w:hAnsi="仿宋" w:eastAsia="仿宋"/>
          <w:b/>
          <w:sz w:val="32"/>
          <w:szCs w:val="32"/>
        </w:rPr>
        <w:t>（二）一般公共预算财政拨款支出决算结构情况</w:t>
      </w:r>
      <w:bookmarkEnd w:id="42"/>
    </w:p>
    <w:p>
      <w:pPr>
        <w:spacing w:line="56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21年一般公共预算财政拨款支出151.29万元，主要用于以下方面</w:t>
      </w:r>
      <w:r>
        <w:rPr>
          <w:rFonts w:ascii="仿宋" w:hAnsi="仿宋" w:eastAsia="仿宋"/>
          <w:sz w:val="32"/>
          <w:szCs w:val="32"/>
        </w:rPr>
        <w:t>:</w:t>
      </w:r>
      <w:r>
        <w:rPr>
          <w:rFonts w:hint="eastAsia" w:ascii="仿宋" w:hAnsi="仿宋" w:eastAsia="仿宋"/>
          <w:b/>
          <w:sz w:val="32"/>
          <w:szCs w:val="32"/>
        </w:rPr>
        <w:t>社会保障和就业支出（类）</w:t>
      </w:r>
      <w:r>
        <w:rPr>
          <w:rFonts w:hint="eastAsia" w:ascii="仿宋" w:hAnsi="仿宋" w:eastAsia="仿宋"/>
          <w:sz w:val="32"/>
          <w:szCs w:val="32"/>
        </w:rPr>
        <w:t>143.83万元，占95.07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住房保障支出</w:t>
      </w:r>
      <w:r>
        <w:rPr>
          <w:rFonts w:hint="eastAsia" w:ascii="仿宋" w:hAnsi="仿宋" w:eastAsia="仿宋"/>
          <w:sz w:val="32"/>
          <w:szCs w:val="32"/>
        </w:rPr>
        <w:t>7.46万元，占4.93</w:t>
      </w:r>
      <w:r>
        <w:rPr>
          <w:rFonts w:ascii="仿宋" w:hAnsi="仿宋" w:eastAsia="仿宋"/>
          <w:sz w:val="32"/>
          <w:szCs w:val="32"/>
        </w:rPr>
        <w:t>%</w:t>
      </w:r>
      <w:r>
        <w:rPr>
          <w:rFonts w:hint="eastAsia" w:ascii="仿宋" w:hAnsi="仿宋" w:eastAsia="仿宋"/>
          <w:sz w:val="32"/>
          <w:szCs w:val="32"/>
        </w:rPr>
        <w:t>。</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w:t>
      </w:r>
    </w:p>
    <w:p>
      <w:pPr>
        <w:pStyle w:val="2"/>
        <w:spacing w:before="93"/>
        <w:rPr>
          <w:rFonts w:eastAsia="仿宋"/>
        </w:rPr>
      </w:pPr>
      <w:r>
        <w:rPr>
          <w:rFonts w:hint="eastAsia" w:eastAsia="仿宋"/>
        </w:rPr>
        <w:drawing>
          <wp:inline distT="0" distB="0" distL="114300" distR="114300">
            <wp:extent cx="5098415" cy="2077720"/>
            <wp:effectExtent l="5080" t="4445" r="20955" b="1333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3" w:firstLineChars="200"/>
        <w:outlineLvl w:val="2"/>
        <w:rPr>
          <w:rFonts w:ascii="仿宋" w:hAnsi="仿宋" w:eastAsia="仿宋"/>
          <w:b/>
          <w:sz w:val="32"/>
          <w:szCs w:val="32"/>
        </w:rPr>
      </w:pPr>
      <w:bookmarkStart w:id="43" w:name="_Toc15377212"/>
      <w:r>
        <w:rPr>
          <w:rFonts w:hint="eastAsia" w:ascii="仿宋" w:hAnsi="仿宋" w:eastAsia="仿宋"/>
          <w:b/>
          <w:sz w:val="32"/>
          <w:szCs w:val="32"/>
        </w:rPr>
        <w:t>（三）一般公共预算财政拨款支出决算具体情况</w:t>
      </w:r>
      <w:bookmarkEnd w:id="43"/>
    </w:p>
    <w:p>
      <w:pPr>
        <w:spacing w:line="600" w:lineRule="exact"/>
        <w:ind w:firstLine="643" w:firstLineChars="200"/>
        <w:outlineLvl w:val="2"/>
        <w:rPr>
          <w:rFonts w:ascii="仿宋" w:hAnsi="仿宋" w:eastAsia="仿宋"/>
          <w:sz w:val="32"/>
          <w:szCs w:val="32"/>
        </w:rPr>
      </w:pPr>
      <w:bookmarkStart w:id="44" w:name="_Toc15378460"/>
      <w:bookmarkStart w:id="45" w:name="_Toc15377213"/>
      <w:bookmarkStart w:id="46" w:name="_Toc15377444"/>
      <w:r>
        <w:rPr>
          <w:rFonts w:hint="eastAsia" w:ascii="仿宋" w:hAnsi="仿宋" w:eastAsia="仿宋"/>
          <w:b/>
          <w:sz w:val="32"/>
          <w:szCs w:val="32"/>
        </w:rPr>
        <w:t>2021年一般公共预算支出决算数为151.29万元</w:t>
      </w:r>
      <w:r>
        <w:rPr>
          <w:rFonts w:hint="eastAsia" w:ascii="仿宋" w:hAnsi="仿宋" w:eastAsia="仿宋"/>
          <w:sz w:val="32"/>
          <w:szCs w:val="32"/>
        </w:rPr>
        <w:t>，</w:t>
      </w:r>
      <w:r>
        <w:rPr>
          <w:rStyle w:val="15"/>
          <w:rFonts w:hint="eastAsia" w:ascii="仿宋" w:hAnsi="仿宋" w:eastAsia="仿宋"/>
          <w:bCs/>
          <w:sz w:val="32"/>
          <w:szCs w:val="32"/>
        </w:rPr>
        <w:t>完成预算100</w:t>
      </w:r>
      <w:r>
        <w:rPr>
          <w:rStyle w:val="15"/>
          <w:rFonts w:ascii="仿宋" w:hAnsi="仿宋" w:eastAsia="仿宋"/>
          <w:bCs/>
          <w:sz w:val="32"/>
          <w:szCs w:val="32"/>
        </w:rPr>
        <w:t>%</w:t>
      </w:r>
      <w:r>
        <w:rPr>
          <w:rStyle w:val="15"/>
          <w:rFonts w:hint="eastAsia" w:ascii="仿宋" w:hAnsi="仿宋" w:eastAsia="仿宋"/>
          <w:bCs/>
          <w:sz w:val="32"/>
          <w:szCs w:val="32"/>
        </w:rPr>
        <w:t>。其中：</w:t>
      </w:r>
      <w:bookmarkEnd w:id="44"/>
      <w:bookmarkEnd w:id="45"/>
      <w:bookmarkEnd w:id="46"/>
    </w:p>
    <w:p>
      <w:pPr>
        <w:spacing w:line="600" w:lineRule="exact"/>
        <w:ind w:firstLine="643" w:firstLineChars="200"/>
        <w:rPr>
          <w:rFonts w:ascii="仿宋" w:hAnsi="仿宋" w:eastAsia="仿宋"/>
          <w:b/>
          <w:sz w:val="32"/>
          <w:szCs w:val="32"/>
        </w:rPr>
      </w:pPr>
      <w:r>
        <w:rPr>
          <w:rStyle w:val="15"/>
          <w:rFonts w:ascii="仿宋" w:hAnsi="仿宋" w:eastAsia="仿宋"/>
          <w:bCs/>
          <w:sz w:val="32"/>
          <w:szCs w:val="32"/>
        </w:rPr>
        <w:t>1.</w:t>
      </w:r>
      <w:r>
        <w:rPr>
          <w:rStyle w:val="15"/>
          <w:rFonts w:hint="eastAsia" w:ascii="仿宋" w:hAnsi="仿宋" w:eastAsia="仿宋"/>
          <w:bCs/>
          <w:sz w:val="32"/>
          <w:szCs w:val="32"/>
        </w:rPr>
        <w:t>社会保障和就业（类）</w:t>
      </w:r>
      <w:r>
        <w:rPr>
          <w:rStyle w:val="15"/>
          <w:rFonts w:hint="eastAsia" w:ascii="仿宋" w:hAnsi="仿宋" w:eastAsia="仿宋" w:cstheme="minorBidi"/>
          <w:bCs/>
          <w:sz w:val="32"/>
          <w:szCs w:val="32"/>
        </w:rPr>
        <w:t>行政事业单位养老支出</w:t>
      </w:r>
      <w:r>
        <w:rPr>
          <w:rStyle w:val="15"/>
          <w:rFonts w:hint="eastAsia" w:ascii="仿宋" w:hAnsi="仿宋" w:eastAsia="仿宋"/>
          <w:bCs/>
          <w:sz w:val="32"/>
          <w:szCs w:val="32"/>
        </w:rPr>
        <w:t>（款）</w:t>
      </w:r>
      <w:r>
        <w:rPr>
          <w:rStyle w:val="15"/>
          <w:rFonts w:hint="eastAsia" w:ascii="仿宋" w:hAnsi="仿宋" w:eastAsia="仿宋" w:cstheme="minorBidi"/>
          <w:bCs/>
          <w:sz w:val="32"/>
          <w:szCs w:val="32"/>
        </w:rPr>
        <w:t>事业单位离退休</w:t>
      </w:r>
      <w:r>
        <w:rPr>
          <w:rStyle w:val="15"/>
          <w:rFonts w:hint="eastAsia" w:ascii="仿宋" w:hAnsi="仿宋" w:eastAsia="仿宋"/>
          <w:bCs/>
          <w:sz w:val="32"/>
          <w:szCs w:val="32"/>
        </w:rPr>
        <w:t>（项）</w:t>
      </w:r>
      <w:r>
        <w:rPr>
          <w:rStyle w:val="15"/>
          <w:rFonts w:ascii="仿宋" w:hAnsi="仿宋" w:eastAsia="仿宋"/>
          <w:bCs/>
          <w:sz w:val="32"/>
          <w:szCs w:val="32"/>
        </w:rPr>
        <w:t>:</w:t>
      </w:r>
      <w:r>
        <w:rPr>
          <w:rStyle w:val="15"/>
          <w:rFonts w:ascii="仿宋" w:hAnsi="仿宋" w:eastAsia="仿宋"/>
          <w:b w:val="0"/>
          <w:bCs/>
          <w:sz w:val="32"/>
          <w:szCs w:val="32"/>
        </w:rPr>
        <w:t xml:space="preserve"> </w:t>
      </w:r>
      <w:r>
        <w:rPr>
          <w:rStyle w:val="15"/>
          <w:rFonts w:hint="eastAsia" w:ascii="仿宋" w:hAnsi="仿宋" w:eastAsia="仿宋"/>
          <w:b w:val="0"/>
          <w:bCs/>
          <w:sz w:val="32"/>
          <w:szCs w:val="32"/>
        </w:rPr>
        <w:t>支出决算为5.56万元，完成预算100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p>
    <w:p>
      <w:pPr>
        <w:spacing w:line="600" w:lineRule="exact"/>
        <w:ind w:firstLine="643" w:firstLineChars="200"/>
        <w:rPr>
          <w:rFonts w:ascii="仿宋" w:hAnsi="仿宋" w:eastAsia="仿宋"/>
          <w:b/>
          <w:sz w:val="32"/>
          <w:szCs w:val="32"/>
        </w:rPr>
      </w:pPr>
      <w:r>
        <w:rPr>
          <w:rStyle w:val="15"/>
          <w:rFonts w:ascii="仿宋" w:hAnsi="仿宋" w:eastAsia="仿宋"/>
          <w:bCs/>
          <w:sz w:val="32"/>
          <w:szCs w:val="32"/>
        </w:rPr>
        <w:t>2.</w:t>
      </w:r>
      <w:r>
        <w:rPr>
          <w:rStyle w:val="15"/>
          <w:rFonts w:hint="eastAsia" w:ascii="仿宋" w:hAnsi="仿宋" w:eastAsia="仿宋"/>
          <w:bCs/>
          <w:sz w:val="32"/>
          <w:szCs w:val="32"/>
        </w:rPr>
        <w:t>社会保障和就业（类）</w:t>
      </w:r>
      <w:r>
        <w:rPr>
          <w:rStyle w:val="15"/>
          <w:rFonts w:hint="eastAsia" w:ascii="仿宋" w:hAnsi="仿宋" w:eastAsia="仿宋" w:cstheme="minorBidi"/>
          <w:bCs/>
          <w:sz w:val="32"/>
          <w:szCs w:val="32"/>
        </w:rPr>
        <w:t>行政事业单位养老支出</w:t>
      </w:r>
      <w:r>
        <w:rPr>
          <w:rStyle w:val="15"/>
          <w:rFonts w:hint="eastAsia" w:ascii="仿宋" w:hAnsi="仿宋" w:eastAsia="仿宋"/>
          <w:bCs/>
          <w:sz w:val="32"/>
          <w:szCs w:val="32"/>
        </w:rPr>
        <w:t>（款）</w:t>
      </w:r>
      <w:r>
        <w:rPr>
          <w:rStyle w:val="15"/>
          <w:rFonts w:hint="eastAsia" w:ascii="仿宋" w:hAnsi="仿宋" w:eastAsia="仿宋" w:cstheme="minorBidi"/>
          <w:bCs/>
          <w:sz w:val="32"/>
          <w:szCs w:val="32"/>
        </w:rPr>
        <w:t>机关事业单位基本养老保险缴费支出</w:t>
      </w:r>
      <w:r>
        <w:rPr>
          <w:rStyle w:val="15"/>
          <w:rFonts w:hint="eastAsia" w:ascii="仿宋" w:hAnsi="仿宋" w:eastAsia="仿宋"/>
          <w:bCs/>
          <w:sz w:val="32"/>
          <w:szCs w:val="32"/>
        </w:rPr>
        <w:t>（项）</w:t>
      </w:r>
      <w:r>
        <w:rPr>
          <w:rStyle w:val="15"/>
          <w:rFonts w:ascii="仿宋" w:hAnsi="仿宋" w:eastAsia="仿宋"/>
          <w:bCs/>
          <w:sz w:val="32"/>
          <w:szCs w:val="32"/>
        </w:rPr>
        <w:t>:</w:t>
      </w:r>
      <w:r>
        <w:rPr>
          <w:rStyle w:val="15"/>
          <w:rFonts w:ascii="仿宋" w:hAnsi="仿宋" w:eastAsia="仿宋"/>
          <w:b w:val="0"/>
          <w:bCs/>
          <w:sz w:val="32"/>
          <w:szCs w:val="32"/>
        </w:rPr>
        <w:t xml:space="preserve"> </w:t>
      </w:r>
      <w:r>
        <w:rPr>
          <w:rStyle w:val="15"/>
          <w:rFonts w:hint="eastAsia" w:ascii="仿宋" w:hAnsi="仿宋" w:eastAsia="仿宋"/>
          <w:b w:val="0"/>
          <w:bCs/>
          <w:sz w:val="32"/>
          <w:szCs w:val="32"/>
        </w:rPr>
        <w:t>支出决算为8.43万元，完成预算100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p>
    <w:p>
      <w:pPr>
        <w:spacing w:line="600" w:lineRule="exact"/>
        <w:ind w:firstLine="643" w:firstLineChars="200"/>
        <w:rPr>
          <w:rFonts w:ascii="仿宋" w:hAnsi="仿宋" w:eastAsia="仿宋"/>
          <w:b/>
          <w:sz w:val="32"/>
          <w:szCs w:val="32"/>
        </w:rPr>
      </w:pPr>
      <w:r>
        <w:rPr>
          <w:rStyle w:val="15"/>
          <w:rFonts w:ascii="仿宋" w:hAnsi="仿宋" w:eastAsia="仿宋"/>
          <w:bCs/>
          <w:sz w:val="32"/>
          <w:szCs w:val="32"/>
        </w:rPr>
        <w:t>3.</w:t>
      </w:r>
      <w:r>
        <w:rPr>
          <w:rStyle w:val="15"/>
          <w:rFonts w:hint="eastAsia" w:ascii="仿宋" w:hAnsi="仿宋" w:eastAsia="仿宋"/>
          <w:bCs/>
          <w:sz w:val="32"/>
          <w:szCs w:val="32"/>
        </w:rPr>
        <w:t>社会保障和就业（类）</w:t>
      </w:r>
      <w:r>
        <w:rPr>
          <w:rStyle w:val="15"/>
          <w:rFonts w:hint="eastAsia" w:ascii="仿宋" w:hAnsi="仿宋" w:eastAsia="仿宋" w:cstheme="minorBidi"/>
          <w:bCs/>
          <w:sz w:val="32"/>
          <w:szCs w:val="32"/>
        </w:rPr>
        <w:t>抚恤</w:t>
      </w:r>
      <w:r>
        <w:rPr>
          <w:rStyle w:val="15"/>
          <w:rFonts w:hint="eastAsia" w:ascii="仿宋" w:hAnsi="仿宋" w:eastAsia="仿宋"/>
          <w:bCs/>
          <w:sz w:val="32"/>
          <w:szCs w:val="32"/>
        </w:rPr>
        <w:t>（款）</w:t>
      </w:r>
      <w:r>
        <w:rPr>
          <w:rStyle w:val="15"/>
          <w:rFonts w:hint="eastAsia" w:ascii="仿宋" w:hAnsi="仿宋" w:eastAsia="仿宋" w:cstheme="minorBidi"/>
          <w:bCs/>
          <w:sz w:val="32"/>
          <w:szCs w:val="32"/>
        </w:rPr>
        <w:t>死亡抚恤</w:t>
      </w:r>
      <w:r>
        <w:rPr>
          <w:rStyle w:val="15"/>
          <w:rFonts w:hint="eastAsia" w:ascii="仿宋" w:hAnsi="仿宋" w:eastAsia="仿宋"/>
          <w:bCs/>
          <w:sz w:val="32"/>
          <w:szCs w:val="32"/>
        </w:rPr>
        <w:t>（项）</w:t>
      </w:r>
      <w:r>
        <w:rPr>
          <w:rStyle w:val="15"/>
          <w:rFonts w:ascii="仿宋" w:hAnsi="仿宋" w:eastAsia="仿宋"/>
          <w:bCs/>
          <w:sz w:val="32"/>
          <w:szCs w:val="32"/>
        </w:rPr>
        <w:t>:</w:t>
      </w:r>
      <w:r>
        <w:rPr>
          <w:rStyle w:val="15"/>
          <w:rFonts w:ascii="仿宋" w:hAnsi="仿宋" w:eastAsia="仿宋"/>
          <w:b w:val="0"/>
          <w:bCs/>
          <w:sz w:val="32"/>
          <w:szCs w:val="32"/>
        </w:rPr>
        <w:t xml:space="preserve"> </w:t>
      </w:r>
      <w:r>
        <w:rPr>
          <w:rStyle w:val="15"/>
          <w:rFonts w:hint="eastAsia" w:ascii="仿宋" w:hAnsi="仿宋" w:eastAsia="仿宋"/>
          <w:b w:val="0"/>
          <w:bCs/>
          <w:sz w:val="32"/>
          <w:szCs w:val="32"/>
        </w:rPr>
        <w:t>支出决算为5.35万元，完成预算100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p>
    <w:p>
      <w:pPr>
        <w:spacing w:line="600" w:lineRule="exact"/>
        <w:ind w:firstLine="643" w:firstLineChars="200"/>
        <w:rPr>
          <w:rStyle w:val="15"/>
          <w:rFonts w:ascii="仿宋" w:hAnsi="仿宋" w:eastAsia="仿宋"/>
          <w:b w:val="0"/>
          <w:bCs/>
          <w:sz w:val="32"/>
          <w:szCs w:val="32"/>
        </w:rPr>
      </w:pPr>
      <w:r>
        <w:rPr>
          <w:rStyle w:val="15"/>
          <w:rFonts w:ascii="仿宋" w:hAnsi="仿宋" w:eastAsia="仿宋"/>
          <w:bCs/>
          <w:sz w:val="32"/>
          <w:szCs w:val="32"/>
        </w:rPr>
        <w:t>4.</w:t>
      </w:r>
      <w:r>
        <w:rPr>
          <w:rStyle w:val="15"/>
          <w:rFonts w:hint="eastAsia" w:ascii="仿宋" w:hAnsi="仿宋" w:eastAsia="仿宋"/>
          <w:bCs/>
          <w:sz w:val="32"/>
          <w:szCs w:val="32"/>
        </w:rPr>
        <w:t>社会保障和就业（类）</w:t>
      </w:r>
      <w:r>
        <w:rPr>
          <w:rStyle w:val="15"/>
          <w:rFonts w:hint="eastAsia" w:ascii="仿宋" w:hAnsi="仿宋" w:eastAsia="仿宋" w:cstheme="minorBidi"/>
          <w:bCs/>
          <w:sz w:val="32"/>
          <w:szCs w:val="32"/>
        </w:rPr>
        <w:t>残疾人事业</w:t>
      </w:r>
      <w:r>
        <w:rPr>
          <w:rStyle w:val="15"/>
          <w:rFonts w:hint="eastAsia" w:ascii="仿宋" w:hAnsi="仿宋" w:eastAsia="仿宋"/>
          <w:bCs/>
          <w:sz w:val="32"/>
          <w:szCs w:val="32"/>
        </w:rPr>
        <w:t>（款）</w:t>
      </w:r>
      <w:r>
        <w:rPr>
          <w:rStyle w:val="15"/>
          <w:rFonts w:hint="eastAsia" w:ascii="仿宋" w:hAnsi="仿宋" w:eastAsia="仿宋" w:cstheme="minorBidi"/>
          <w:bCs/>
          <w:sz w:val="32"/>
          <w:szCs w:val="32"/>
        </w:rPr>
        <w:t>机关服务</w:t>
      </w:r>
      <w:r>
        <w:rPr>
          <w:rStyle w:val="15"/>
          <w:rFonts w:hint="eastAsia" w:ascii="仿宋" w:hAnsi="仿宋" w:eastAsia="仿宋"/>
          <w:bCs/>
          <w:sz w:val="32"/>
          <w:szCs w:val="32"/>
        </w:rPr>
        <w:t>（项）</w:t>
      </w:r>
      <w:r>
        <w:rPr>
          <w:rStyle w:val="15"/>
          <w:rFonts w:ascii="仿宋" w:hAnsi="仿宋" w:eastAsia="仿宋"/>
          <w:bCs/>
          <w:sz w:val="32"/>
          <w:szCs w:val="32"/>
        </w:rPr>
        <w:t>:</w:t>
      </w:r>
      <w:r>
        <w:rPr>
          <w:rStyle w:val="15"/>
          <w:rFonts w:ascii="仿宋" w:hAnsi="仿宋" w:eastAsia="仿宋"/>
          <w:b w:val="0"/>
          <w:bCs/>
          <w:sz w:val="32"/>
          <w:szCs w:val="32"/>
        </w:rPr>
        <w:t xml:space="preserve"> </w:t>
      </w:r>
      <w:r>
        <w:rPr>
          <w:rStyle w:val="15"/>
          <w:rFonts w:hint="eastAsia" w:ascii="仿宋" w:hAnsi="仿宋" w:eastAsia="仿宋"/>
          <w:b w:val="0"/>
          <w:bCs/>
          <w:sz w:val="32"/>
          <w:szCs w:val="32"/>
        </w:rPr>
        <w:t>支出决算为92.33万元，完成预算100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p>
    <w:p>
      <w:pPr>
        <w:spacing w:line="600" w:lineRule="exact"/>
        <w:ind w:firstLine="643" w:firstLineChars="200"/>
        <w:rPr>
          <w:rFonts w:eastAsia="仿宋"/>
        </w:rPr>
      </w:pPr>
      <w:r>
        <w:rPr>
          <w:rStyle w:val="15"/>
          <w:rFonts w:hint="eastAsia" w:ascii="仿宋" w:hAnsi="仿宋" w:eastAsia="仿宋"/>
          <w:bCs/>
          <w:sz w:val="32"/>
          <w:szCs w:val="32"/>
        </w:rPr>
        <w:t>5</w:t>
      </w:r>
      <w:r>
        <w:rPr>
          <w:rStyle w:val="15"/>
          <w:rFonts w:ascii="仿宋" w:hAnsi="仿宋" w:eastAsia="仿宋"/>
          <w:bCs/>
          <w:sz w:val="32"/>
          <w:szCs w:val="32"/>
        </w:rPr>
        <w:t>.</w:t>
      </w:r>
      <w:r>
        <w:rPr>
          <w:rStyle w:val="15"/>
          <w:rFonts w:hint="eastAsia" w:ascii="仿宋" w:hAnsi="仿宋" w:eastAsia="仿宋"/>
          <w:bCs/>
          <w:sz w:val="32"/>
          <w:szCs w:val="32"/>
        </w:rPr>
        <w:t>社会保障和就业（类）</w:t>
      </w:r>
      <w:r>
        <w:rPr>
          <w:rStyle w:val="15"/>
          <w:rFonts w:hint="eastAsia" w:ascii="仿宋" w:hAnsi="仿宋" w:eastAsia="仿宋" w:cstheme="minorBidi"/>
          <w:bCs/>
          <w:sz w:val="32"/>
          <w:szCs w:val="32"/>
        </w:rPr>
        <w:t>残疾人事业</w:t>
      </w:r>
      <w:r>
        <w:rPr>
          <w:rStyle w:val="15"/>
          <w:rFonts w:hint="eastAsia" w:ascii="仿宋" w:hAnsi="仿宋" w:eastAsia="仿宋"/>
          <w:bCs/>
          <w:sz w:val="32"/>
          <w:szCs w:val="32"/>
        </w:rPr>
        <w:t>（款）</w:t>
      </w:r>
      <w:r>
        <w:rPr>
          <w:rStyle w:val="15"/>
          <w:rFonts w:hint="eastAsia" w:ascii="仿宋" w:hAnsi="仿宋" w:eastAsia="仿宋" w:cstheme="minorBidi"/>
          <w:bCs/>
          <w:sz w:val="32"/>
          <w:szCs w:val="32"/>
        </w:rPr>
        <w:t>残疾人康复</w:t>
      </w:r>
      <w:r>
        <w:rPr>
          <w:rStyle w:val="15"/>
          <w:rFonts w:hint="eastAsia" w:ascii="仿宋" w:hAnsi="仿宋" w:eastAsia="仿宋"/>
          <w:bCs/>
          <w:sz w:val="32"/>
          <w:szCs w:val="32"/>
        </w:rPr>
        <w:t>（项）</w:t>
      </w:r>
      <w:r>
        <w:rPr>
          <w:rStyle w:val="15"/>
          <w:rFonts w:ascii="仿宋" w:hAnsi="仿宋" w:eastAsia="仿宋"/>
          <w:bCs/>
          <w:sz w:val="32"/>
          <w:szCs w:val="32"/>
        </w:rPr>
        <w:t>:</w:t>
      </w:r>
      <w:r>
        <w:rPr>
          <w:rStyle w:val="15"/>
          <w:rFonts w:ascii="仿宋" w:hAnsi="仿宋" w:eastAsia="仿宋"/>
          <w:b w:val="0"/>
          <w:bCs/>
          <w:sz w:val="32"/>
          <w:szCs w:val="32"/>
        </w:rPr>
        <w:t xml:space="preserve"> </w:t>
      </w:r>
      <w:r>
        <w:rPr>
          <w:rStyle w:val="15"/>
          <w:rFonts w:hint="eastAsia" w:ascii="仿宋" w:hAnsi="仿宋" w:eastAsia="仿宋"/>
          <w:b w:val="0"/>
          <w:bCs/>
          <w:sz w:val="32"/>
          <w:szCs w:val="32"/>
        </w:rPr>
        <w:t>支出决算为25.55万元，完成预算100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p>
    <w:p>
      <w:pPr>
        <w:spacing w:line="600" w:lineRule="exact"/>
        <w:ind w:firstLine="643" w:firstLineChars="200"/>
        <w:rPr>
          <w:rFonts w:ascii="仿宋" w:hAnsi="仿宋" w:eastAsia="仿宋"/>
          <w:b/>
          <w:sz w:val="32"/>
          <w:szCs w:val="32"/>
        </w:rPr>
      </w:pPr>
      <w:r>
        <w:rPr>
          <w:rStyle w:val="15"/>
          <w:rFonts w:hint="eastAsia" w:ascii="仿宋" w:hAnsi="仿宋" w:eastAsia="仿宋"/>
          <w:bCs/>
          <w:sz w:val="32"/>
          <w:szCs w:val="32"/>
        </w:rPr>
        <w:t>6</w:t>
      </w:r>
      <w:r>
        <w:rPr>
          <w:rStyle w:val="15"/>
          <w:rFonts w:ascii="仿宋" w:hAnsi="仿宋" w:eastAsia="仿宋"/>
          <w:bCs/>
          <w:sz w:val="32"/>
          <w:szCs w:val="32"/>
        </w:rPr>
        <w:t>.</w:t>
      </w:r>
      <w:r>
        <w:rPr>
          <w:rStyle w:val="15"/>
          <w:rFonts w:hint="eastAsia" w:ascii="仿宋" w:hAnsi="仿宋" w:eastAsia="仿宋"/>
          <w:bCs/>
          <w:sz w:val="32"/>
          <w:szCs w:val="32"/>
        </w:rPr>
        <w:t>社会保障和就业（类）</w:t>
      </w:r>
      <w:r>
        <w:rPr>
          <w:rStyle w:val="15"/>
          <w:rFonts w:hint="eastAsia" w:ascii="仿宋" w:hAnsi="仿宋" w:eastAsia="仿宋" w:cstheme="minorBidi"/>
          <w:bCs/>
          <w:sz w:val="32"/>
          <w:szCs w:val="32"/>
        </w:rPr>
        <w:t>残疾人事业</w:t>
      </w:r>
      <w:r>
        <w:rPr>
          <w:rStyle w:val="15"/>
          <w:rFonts w:hint="eastAsia" w:ascii="仿宋" w:hAnsi="仿宋" w:eastAsia="仿宋"/>
          <w:bCs/>
          <w:sz w:val="32"/>
          <w:szCs w:val="32"/>
        </w:rPr>
        <w:t>（款）</w:t>
      </w:r>
      <w:r>
        <w:rPr>
          <w:rStyle w:val="15"/>
          <w:rFonts w:hint="eastAsia" w:ascii="仿宋" w:hAnsi="仿宋" w:eastAsia="仿宋" w:cstheme="minorBidi"/>
          <w:bCs/>
          <w:sz w:val="32"/>
          <w:szCs w:val="32"/>
        </w:rPr>
        <w:t>其他残疾人事业支出</w:t>
      </w:r>
      <w:r>
        <w:rPr>
          <w:rStyle w:val="15"/>
          <w:rFonts w:hint="eastAsia" w:ascii="仿宋" w:hAnsi="仿宋" w:eastAsia="仿宋"/>
          <w:bCs/>
          <w:sz w:val="32"/>
          <w:szCs w:val="32"/>
        </w:rPr>
        <w:t>（项）</w:t>
      </w:r>
      <w:r>
        <w:rPr>
          <w:rStyle w:val="15"/>
          <w:rFonts w:ascii="仿宋" w:hAnsi="仿宋" w:eastAsia="仿宋"/>
          <w:bCs/>
          <w:sz w:val="32"/>
          <w:szCs w:val="32"/>
        </w:rPr>
        <w:t>:</w:t>
      </w:r>
      <w:r>
        <w:rPr>
          <w:rStyle w:val="15"/>
          <w:rFonts w:ascii="仿宋" w:hAnsi="仿宋" w:eastAsia="仿宋"/>
          <w:b w:val="0"/>
          <w:bCs/>
          <w:sz w:val="32"/>
          <w:szCs w:val="32"/>
        </w:rPr>
        <w:t xml:space="preserve"> </w:t>
      </w:r>
      <w:r>
        <w:rPr>
          <w:rStyle w:val="15"/>
          <w:rFonts w:hint="eastAsia" w:ascii="仿宋" w:hAnsi="仿宋" w:eastAsia="仿宋"/>
          <w:b w:val="0"/>
          <w:bCs/>
          <w:sz w:val="32"/>
          <w:szCs w:val="32"/>
        </w:rPr>
        <w:t>支出决算为6.61万元，完成预算100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p>
    <w:p>
      <w:pPr>
        <w:spacing w:line="600" w:lineRule="exact"/>
        <w:ind w:firstLine="643" w:firstLineChars="200"/>
        <w:rPr>
          <w:rFonts w:ascii="仿宋" w:hAnsi="仿宋" w:eastAsia="仿宋"/>
          <w:b/>
          <w:sz w:val="32"/>
          <w:szCs w:val="32"/>
        </w:rPr>
      </w:pPr>
      <w:r>
        <w:rPr>
          <w:rStyle w:val="15"/>
          <w:rFonts w:hint="eastAsia" w:ascii="仿宋" w:hAnsi="仿宋" w:eastAsia="仿宋"/>
          <w:bCs/>
          <w:sz w:val="32"/>
          <w:szCs w:val="32"/>
        </w:rPr>
        <w:t>7</w:t>
      </w:r>
      <w:r>
        <w:rPr>
          <w:rStyle w:val="15"/>
          <w:rFonts w:ascii="仿宋" w:hAnsi="仿宋" w:eastAsia="仿宋"/>
          <w:bCs/>
          <w:sz w:val="32"/>
          <w:szCs w:val="32"/>
        </w:rPr>
        <w:t>.</w:t>
      </w:r>
      <w:r>
        <w:rPr>
          <w:rStyle w:val="15"/>
          <w:rFonts w:hint="eastAsia" w:ascii="仿宋" w:hAnsi="仿宋" w:eastAsia="仿宋" w:cstheme="minorBidi"/>
          <w:bCs/>
          <w:sz w:val="32"/>
          <w:szCs w:val="32"/>
        </w:rPr>
        <w:t>住房保障支出（类）住房改革支出（款）住房公积金（项）</w:t>
      </w:r>
      <w:r>
        <w:rPr>
          <w:rStyle w:val="15"/>
          <w:rFonts w:ascii="仿宋" w:hAnsi="仿宋" w:eastAsia="仿宋"/>
          <w:bCs/>
          <w:sz w:val="32"/>
          <w:szCs w:val="32"/>
        </w:rPr>
        <w:t>:</w:t>
      </w:r>
      <w:r>
        <w:rPr>
          <w:rStyle w:val="15"/>
          <w:rFonts w:hint="eastAsia" w:ascii="仿宋" w:hAnsi="仿宋" w:eastAsia="仿宋"/>
          <w:b w:val="0"/>
          <w:bCs/>
          <w:sz w:val="32"/>
          <w:szCs w:val="32"/>
        </w:rPr>
        <w:t>支出决算为7.46万元，完成预算100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p>
    <w:p>
      <w:pPr>
        <w:tabs>
          <w:tab w:val="right" w:pos="8306"/>
        </w:tabs>
        <w:spacing w:line="600" w:lineRule="exact"/>
        <w:ind w:firstLine="640"/>
        <w:outlineLvl w:val="1"/>
        <w:rPr>
          <w:rStyle w:val="26"/>
        </w:rPr>
      </w:pPr>
      <w:bookmarkStart w:id="47" w:name="_Toc16959"/>
      <w:bookmarkStart w:id="48" w:name="_Toc15396608"/>
      <w:bookmarkStart w:id="49"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6"/>
          <w:rFonts w:hint="eastAsia" w:ascii="黑体" w:hAnsi="黑体" w:eastAsia="黑体"/>
          <w:b w:val="0"/>
        </w:rPr>
        <w:t>般公共预算财政拨款基本支出决算情况说明</w:t>
      </w:r>
      <w:bookmarkEnd w:id="47"/>
      <w:bookmarkEnd w:id="48"/>
      <w:bookmarkEnd w:id="49"/>
      <w:r>
        <w:rPr>
          <w:rStyle w:val="26"/>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21年一般公共预算财政拨款基本支出119.13万元，其中：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110.03万元，主要包括：基本工资29.43万元、津贴补贴2.47万元、绩效工资36.11万元、机关事业单位基本养老保险缴费8.43万元、职工基本医疗保险缴费3.95万元、公务员医疗补助缴费0.69万元、其他社会保障缴费0.71万元、住房公积金7.46万元、其他工资福利支出3.62万元、抚恤金5.35万元、生活补助11.81万元。</w:t>
      </w:r>
    </w:p>
    <w:p>
      <w:pPr>
        <w:spacing w:line="600" w:lineRule="exact"/>
        <w:ind w:firstLine="645"/>
        <w:rPr>
          <w:rFonts w:ascii="仿宋" w:hAnsi="仿宋" w:eastAsia="仿宋"/>
          <w:b/>
          <w:sz w:val="32"/>
          <w:szCs w:val="32"/>
        </w:rPr>
      </w:pPr>
      <w:r>
        <w:rPr>
          <w:rFonts w:hint="eastAsia" w:ascii="仿宋" w:hAnsi="仿宋" w:eastAsia="仿宋"/>
          <w:sz w:val="32"/>
          <w:szCs w:val="32"/>
        </w:rPr>
        <w:t>公用经费9.10万元，主要包括：办公费0.02万元、手续费0.01万元、邮电费0.25万元、差旅费0.22万元、工会经费1.03万元、福利费0.12万元、公务用车运行维护费1.44万元、其他交通费用0.02万元、其他商品和服务支出6万元。</w:t>
      </w:r>
    </w:p>
    <w:p>
      <w:pPr>
        <w:spacing w:line="600" w:lineRule="exact"/>
        <w:ind w:firstLine="640"/>
        <w:outlineLvl w:val="1"/>
        <w:rPr>
          <w:rStyle w:val="26"/>
          <w:rFonts w:ascii="黑体" w:hAnsi="黑体" w:eastAsia="黑体"/>
          <w:b w:val="0"/>
        </w:rPr>
      </w:pPr>
      <w:bookmarkStart w:id="50" w:name="_Toc15396609"/>
      <w:bookmarkStart w:id="51" w:name="_Toc15377215"/>
      <w:bookmarkStart w:id="52" w:name="_Toc28167"/>
      <w:r>
        <w:rPr>
          <w:rFonts w:hint="eastAsia" w:ascii="黑体" w:eastAsia="黑体"/>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50"/>
      <w:bookmarkEnd w:id="51"/>
      <w:bookmarkEnd w:id="52"/>
    </w:p>
    <w:p>
      <w:pPr>
        <w:spacing w:line="600" w:lineRule="exact"/>
        <w:ind w:firstLine="640"/>
        <w:outlineLvl w:val="2"/>
        <w:rPr>
          <w:rFonts w:ascii="仿宋" w:hAnsi="仿宋" w:eastAsia="仿宋"/>
          <w:b/>
          <w:sz w:val="32"/>
          <w:szCs w:val="32"/>
        </w:rPr>
      </w:pPr>
      <w:bookmarkStart w:id="53" w:name="_Toc15377216"/>
      <w:r>
        <w:rPr>
          <w:rFonts w:hint="eastAsia" w:ascii="仿宋" w:hAnsi="仿宋" w:eastAsia="仿宋"/>
          <w:b/>
          <w:sz w:val="32"/>
          <w:szCs w:val="32"/>
        </w:rPr>
        <w:t>（一）“三公”经费财政拨款支出决算总体情况说明</w:t>
      </w:r>
      <w:bookmarkEnd w:id="53"/>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21年“三公”经费财政拨款支出决算为1.47万元，完成预算100</w:t>
      </w:r>
      <w:r>
        <w:rPr>
          <w:rFonts w:ascii="仿宋" w:hAnsi="仿宋" w:eastAsia="仿宋"/>
          <w:sz w:val="32"/>
          <w:szCs w:val="32"/>
        </w:rPr>
        <w:t>%</w:t>
      </w:r>
      <w:r>
        <w:rPr>
          <w:rFonts w:hint="eastAsia" w:ascii="仿宋" w:hAnsi="仿宋" w:eastAsia="仿宋"/>
          <w:sz w:val="32"/>
          <w:szCs w:val="32"/>
          <w:lang w:eastAsia="zh-CN"/>
        </w:rPr>
        <w:t>，</w:t>
      </w:r>
      <w:r>
        <w:rPr>
          <w:rFonts w:eastAsia="仿宋"/>
          <w:color w:val="000000"/>
          <w:sz w:val="32"/>
          <w:szCs w:val="32"/>
        </w:rPr>
        <w:t>决算数与预算数持平</w:t>
      </w:r>
      <w:r>
        <w:rPr>
          <w:rFonts w:hint="eastAsia" w:eastAsia="仿宋"/>
          <w:color w:val="000000"/>
          <w:sz w:val="32"/>
          <w:szCs w:val="32"/>
          <w:lang w:eastAsia="zh-CN"/>
        </w:rPr>
        <w:t>，</w:t>
      </w:r>
      <w:r>
        <w:rPr>
          <w:rFonts w:eastAsia="仿宋"/>
          <w:color w:val="000000"/>
          <w:sz w:val="32"/>
          <w:szCs w:val="32"/>
        </w:rPr>
        <w:t>主要原因是严格控制预算支出，履行节约，反对铺张浪费。</w:t>
      </w:r>
    </w:p>
    <w:p>
      <w:pPr>
        <w:spacing w:line="600" w:lineRule="exact"/>
        <w:ind w:firstLine="640"/>
        <w:outlineLvl w:val="2"/>
        <w:rPr>
          <w:rFonts w:ascii="仿宋" w:hAnsi="仿宋" w:eastAsia="仿宋"/>
          <w:b/>
          <w:sz w:val="32"/>
          <w:szCs w:val="32"/>
        </w:rPr>
      </w:pPr>
      <w:bookmarkStart w:id="54" w:name="_Toc15377217"/>
      <w:r>
        <w:rPr>
          <w:rFonts w:hint="eastAsia" w:ascii="仿宋" w:hAnsi="仿宋" w:eastAsia="仿宋"/>
          <w:b/>
          <w:sz w:val="32"/>
          <w:szCs w:val="32"/>
        </w:rPr>
        <w:t>（二）“三公”经费财政拨款支出决算具体情况说明</w:t>
      </w:r>
      <w:bookmarkEnd w:id="54"/>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；公务用车购置及运行维护费支出决算1.44万元，占97.96</w:t>
      </w:r>
      <w:r>
        <w:rPr>
          <w:rFonts w:ascii="仿宋" w:hAnsi="仿宋" w:eastAsia="仿宋"/>
          <w:sz w:val="32"/>
          <w:szCs w:val="32"/>
        </w:rPr>
        <w:t>%</w:t>
      </w:r>
      <w:r>
        <w:rPr>
          <w:rFonts w:hint="eastAsia" w:ascii="仿宋" w:hAnsi="仿宋" w:eastAsia="仿宋"/>
          <w:sz w:val="32"/>
          <w:szCs w:val="32"/>
        </w:rPr>
        <w:t>；公务接待费支出决算0.03万元，占2.04</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w:t>
      </w:r>
    </w:p>
    <w:p>
      <w:pPr>
        <w:pStyle w:val="2"/>
        <w:spacing w:before="93"/>
        <w:rPr>
          <w:rFonts w:eastAsia="仿宋"/>
        </w:rPr>
      </w:pPr>
      <w:r>
        <w:rPr>
          <w:rFonts w:hint="eastAsia" w:eastAsia="仿宋"/>
        </w:rPr>
        <w:drawing>
          <wp:inline distT="0" distB="0" distL="114300" distR="114300">
            <wp:extent cx="5108575" cy="2115185"/>
            <wp:effectExtent l="5080" t="4445" r="10795" b="1397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5"/>
          <w:rFonts w:hint="eastAsia" w:ascii="仿宋" w:hAnsi="仿宋" w:eastAsia="仿宋"/>
          <w:b w:val="0"/>
          <w:bCs/>
          <w:sz w:val="32"/>
          <w:szCs w:val="32"/>
        </w:rPr>
        <w:t>完成预算0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全年安排因公出国（境）团组0次，出国（境）0人。因公出国（境）支出决算与</w:t>
      </w:r>
      <w:r>
        <w:rPr>
          <w:rFonts w:ascii="仿宋_GB2312" w:eastAsia="仿宋_GB2312"/>
          <w:sz w:val="32"/>
          <w:szCs w:val="32"/>
        </w:rPr>
        <w:t>20</w:t>
      </w:r>
      <w:r>
        <w:rPr>
          <w:rFonts w:hint="eastAsia" w:ascii="仿宋_GB2312" w:eastAsia="仿宋_GB2312"/>
          <w:sz w:val="32"/>
          <w:szCs w:val="32"/>
        </w:rPr>
        <w:t>20年持平。主要原因是未安排该项预算。</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1.44万元,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20年减少0.18万元，下降11.11</w:t>
      </w:r>
      <w:r>
        <w:rPr>
          <w:rFonts w:ascii="仿宋_GB2312" w:eastAsia="仿宋_GB2312"/>
          <w:sz w:val="32"/>
          <w:szCs w:val="32"/>
        </w:rPr>
        <w:t>%</w:t>
      </w:r>
      <w:r>
        <w:rPr>
          <w:rFonts w:hint="eastAsia" w:ascii="仿宋_GB2312" w:eastAsia="仿宋_GB2312"/>
          <w:sz w:val="32"/>
          <w:szCs w:val="32"/>
        </w:rPr>
        <w:t>。主要原因是中心对公务用车严格管理，节约了开支。</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月底，单位共有公务用车2辆，其中：轿车0辆、越野车1辆、载客汽车0辆、</w:t>
      </w:r>
      <w:r>
        <w:rPr>
          <w:rFonts w:eastAsia="仿宋_GB2312"/>
          <w:sz w:val="32"/>
          <w:szCs w:val="32"/>
        </w:rPr>
        <w:t>特种专业技术用车1辆（特种专业技术用车为单位经费自担车辆）</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1.44万元。主要用于开展</w:t>
      </w:r>
      <w:r>
        <w:rPr>
          <w:rFonts w:eastAsia="仿宋_GB2312"/>
          <w:sz w:val="32"/>
          <w:szCs w:val="32"/>
        </w:rPr>
        <w:t>残疾人康复日常工作</w:t>
      </w:r>
      <w:r>
        <w:rPr>
          <w:rFonts w:hint="eastAsia" w:ascii="仿宋_GB2312" w:eastAsia="仿宋_GB2312"/>
          <w:sz w:val="32"/>
          <w:szCs w:val="32"/>
        </w:rPr>
        <w:t>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0.03万元，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20年减少0.11万元，下降78.57</w:t>
      </w:r>
      <w:r>
        <w:rPr>
          <w:rFonts w:ascii="仿宋_GB2312" w:eastAsia="仿宋_GB2312"/>
          <w:sz w:val="32"/>
          <w:szCs w:val="32"/>
        </w:rPr>
        <w:t>%</w:t>
      </w:r>
      <w:r>
        <w:rPr>
          <w:rFonts w:hint="eastAsia" w:ascii="仿宋_GB2312" w:eastAsia="仿宋_GB2312"/>
          <w:sz w:val="32"/>
          <w:szCs w:val="32"/>
        </w:rPr>
        <w:t>。主要原因是因疫情影响，减少了公务接待，节约了开支。其中：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0.03</w:t>
      </w:r>
      <w:r>
        <w:rPr>
          <w:rFonts w:hint="eastAsia" w:ascii="仿宋_GB2312" w:eastAsia="仿宋_GB2312"/>
          <w:sz w:val="32"/>
          <w:szCs w:val="32"/>
        </w:rPr>
        <w:t>万元，主要用于开展业务活动开支的用餐费。国内公务接待1批次，1人次（不包括陪同人员），共计支出0.03万元，具体内容包括：接待省听力语言康复中心听力师高博森的接待费0.03万元。</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万元，外事接待0批次，0人，共计支出0万元。</w:t>
      </w:r>
      <w:bookmarkStart w:id="55" w:name="_Toc15396610"/>
      <w:bookmarkStart w:id="56" w:name="_Toc15377218"/>
    </w:p>
    <w:p>
      <w:pPr>
        <w:spacing w:line="600" w:lineRule="exact"/>
        <w:ind w:firstLine="640"/>
        <w:outlineLvl w:val="1"/>
        <w:rPr>
          <w:rStyle w:val="26"/>
          <w:rFonts w:ascii="黑体" w:hAnsi="黑体" w:eastAsia="黑体"/>
        </w:rPr>
      </w:pPr>
      <w:bookmarkStart w:id="57" w:name="_Toc3271"/>
      <w:r>
        <w:rPr>
          <w:rFonts w:hint="eastAsia" w:ascii="黑体" w:eastAsia="黑体"/>
          <w:sz w:val="32"/>
          <w:szCs w:val="32"/>
        </w:rPr>
        <w:t>八、</w:t>
      </w:r>
      <w:r>
        <w:rPr>
          <w:rStyle w:val="26"/>
          <w:rFonts w:hint="eastAsia" w:ascii="黑体" w:hAnsi="黑体" w:eastAsia="黑体"/>
          <w:b w:val="0"/>
        </w:rPr>
        <w:t>政府性基金预算支出决算情况说明</w:t>
      </w:r>
      <w:bookmarkEnd w:id="55"/>
      <w:bookmarkEnd w:id="56"/>
      <w:bookmarkEnd w:id="57"/>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pPr>
        <w:spacing w:line="600" w:lineRule="exact"/>
        <w:ind w:firstLine="640"/>
        <w:rPr>
          <w:rFonts w:ascii="仿宋_GB2312" w:eastAsia="仿宋_GB2312"/>
          <w:sz w:val="32"/>
          <w:szCs w:val="32"/>
        </w:rPr>
      </w:pPr>
    </w:p>
    <w:p>
      <w:pPr>
        <w:numPr>
          <w:ilvl w:val="0"/>
          <w:numId w:val="2"/>
        </w:numPr>
        <w:spacing w:line="600" w:lineRule="exact"/>
        <w:ind w:firstLine="640"/>
        <w:outlineLvl w:val="1"/>
        <w:rPr>
          <w:rStyle w:val="26"/>
          <w:rFonts w:ascii="黑体" w:hAnsi="黑体" w:eastAsia="黑体"/>
          <w:b w:val="0"/>
        </w:rPr>
      </w:pPr>
      <w:bookmarkStart w:id="58" w:name="_Toc15396611"/>
      <w:bookmarkStart w:id="59" w:name="_Toc15377219"/>
      <w:bookmarkStart w:id="60" w:name="_Toc23535"/>
      <w:r>
        <w:rPr>
          <w:rStyle w:val="26"/>
          <w:rFonts w:hint="eastAsia" w:ascii="黑体" w:hAnsi="黑体" w:eastAsia="黑体"/>
          <w:b w:val="0"/>
        </w:rPr>
        <w:t>国有资本经营预算支出决算情况说明</w:t>
      </w:r>
      <w:bookmarkEnd w:id="58"/>
      <w:bookmarkEnd w:id="59"/>
      <w:bookmarkEnd w:id="60"/>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pPr>
        <w:spacing w:line="580" w:lineRule="exact"/>
        <w:jc w:val="center"/>
        <w:rPr>
          <w:rFonts w:ascii="方正小标宋简体" w:hAnsi="方正小标宋简体" w:eastAsia="方正小标宋简体" w:cs="方正小标宋简体"/>
          <w:sz w:val="44"/>
          <w:szCs w:val="44"/>
        </w:rPr>
      </w:pPr>
    </w:p>
    <w:p>
      <w:pPr>
        <w:numPr>
          <w:ilvl w:val="0"/>
          <w:numId w:val="2"/>
        </w:numPr>
        <w:spacing w:line="600" w:lineRule="exact"/>
        <w:ind w:firstLine="640"/>
        <w:outlineLvl w:val="1"/>
        <w:rPr>
          <w:rStyle w:val="26"/>
          <w:rFonts w:ascii="黑体" w:hAnsi="黑体" w:eastAsia="黑体"/>
          <w:b w:val="0"/>
        </w:rPr>
      </w:pPr>
      <w:bookmarkStart w:id="61" w:name="_Toc15396612"/>
      <w:bookmarkStart w:id="62" w:name="_Toc30516"/>
      <w:bookmarkStart w:id="63" w:name="_Toc15377221"/>
      <w:r>
        <w:rPr>
          <w:rStyle w:val="26"/>
          <w:rFonts w:hint="eastAsia" w:ascii="黑体" w:hAnsi="黑体" w:eastAsia="黑体"/>
          <w:b w:val="0"/>
        </w:rPr>
        <w:t>其他重要事项的情况说明</w:t>
      </w:r>
      <w:bookmarkEnd w:id="61"/>
      <w:bookmarkEnd w:id="62"/>
      <w:bookmarkEnd w:id="63"/>
    </w:p>
    <w:p>
      <w:pPr>
        <w:spacing w:line="600" w:lineRule="exact"/>
        <w:ind w:firstLine="643" w:firstLineChars="200"/>
        <w:outlineLvl w:val="2"/>
        <w:rPr>
          <w:rFonts w:ascii="仿宋" w:hAnsi="仿宋" w:eastAsia="仿宋"/>
          <w:sz w:val="32"/>
          <w:szCs w:val="32"/>
        </w:rPr>
      </w:pPr>
      <w:bookmarkStart w:id="64" w:name="_Toc15377222"/>
      <w:r>
        <w:rPr>
          <w:rFonts w:hint="eastAsia" w:ascii="仿宋" w:hAnsi="仿宋" w:eastAsia="仿宋"/>
          <w:b/>
          <w:sz w:val="32"/>
          <w:szCs w:val="32"/>
        </w:rPr>
        <w:t>（一）机关运行经费支出情况</w:t>
      </w:r>
      <w:bookmarkEnd w:id="64"/>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21年，市残疾人康复教育中心机关运行经费支出0万元，与</w:t>
      </w:r>
      <w:r>
        <w:rPr>
          <w:rFonts w:ascii="仿宋_GB2312" w:eastAsia="仿宋_GB2312"/>
          <w:sz w:val="32"/>
          <w:szCs w:val="32"/>
        </w:rPr>
        <w:t>20</w:t>
      </w:r>
      <w:r>
        <w:rPr>
          <w:rFonts w:hint="eastAsia" w:ascii="仿宋_GB2312" w:eastAsia="仿宋_GB2312"/>
          <w:sz w:val="32"/>
          <w:szCs w:val="32"/>
        </w:rPr>
        <w:t>20年决算数持平。主要原因是市残疾人康复教育中心为公益一类事业单位，未产生机关运行经费。</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5" w:name="_Toc15377223"/>
      <w:r>
        <w:rPr>
          <w:rFonts w:hint="eastAsia" w:ascii="仿宋" w:hAnsi="仿宋" w:eastAsia="仿宋"/>
          <w:b/>
          <w:sz w:val="32"/>
          <w:szCs w:val="32"/>
        </w:rPr>
        <w:t>（二）政府采购支出情况</w:t>
      </w:r>
      <w:bookmarkEnd w:id="65"/>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21年，市残疾人康复教育中心政府采购支出总额0万元。其中：政府采购货物支出0万元、政府采购工程支出0万元、政府采购服务支出0万元。</w:t>
      </w:r>
      <w:r>
        <w:rPr>
          <w:rFonts w:hint="eastAsia" w:ascii="仿宋_GB2312" w:eastAsia="仿宋_GB2312"/>
          <w:color w:val="000000" w:themeColor="text1"/>
          <w:sz w:val="32"/>
          <w:szCs w:val="32"/>
          <w14:textFill>
            <w14:solidFill>
              <w14:schemeClr w14:val="tx1"/>
            </w14:solidFill>
          </w14:textFill>
        </w:rPr>
        <w:t>授予中小企业合同金额0万元，占政府采购支出总额的0</w:t>
      </w:r>
      <w:r>
        <w:rPr>
          <w:rFonts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，其中：授予小微企业合同金额0万元，占政府采购支出总额的0</w:t>
      </w:r>
      <w:r>
        <w:rPr>
          <w:rFonts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6" w:name="_Toc15377224"/>
      <w:r>
        <w:rPr>
          <w:rFonts w:hint="eastAsia" w:ascii="仿宋" w:hAnsi="仿宋" w:eastAsia="仿宋"/>
          <w:b/>
          <w:sz w:val="32"/>
          <w:szCs w:val="32"/>
        </w:rPr>
        <w:t>（三）国有资产占有使用情况</w:t>
      </w:r>
      <w:bookmarkEnd w:id="66"/>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日，市残疾人康复教育中心共有车辆2辆，其中：主要领导干部用车0辆、机要通信用车0辆、应急保障用车0辆、</w:t>
      </w:r>
      <w:r>
        <w:rPr>
          <w:rFonts w:eastAsia="仿宋_GB2312"/>
          <w:sz w:val="32"/>
          <w:szCs w:val="32"/>
        </w:rPr>
        <w:t>特种专业技术用车1辆、其他用车1辆</w:t>
      </w:r>
      <w:r>
        <w:rPr>
          <w:rFonts w:hint="eastAsia" w:eastAsia="仿宋_GB2312"/>
          <w:sz w:val="32"/>
          <w:szCs w:val="32"/>
        </w:rPr>
        <w:t>。</w:t>
      </w:r>
      <w:r>
        <w:rPr>
          <w:rFonts w:hint="eastAsia" w:ascii="仿宋_GB2312" w:eastAsia="仿宋_GB2312"/>
          <w:sz w:val="32"/>
          <w:szCs w:val="32"/>
        </w:rPr>
        <w:t>其他用车主要是用于残疾人辅具流动工作（该车辆的运行经费为单位自行供养）。单价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业务运行费、厨卫设备采购、康复机构能力建设经费项目等3个项目开展了预算事前绩效评估，对3个项目编制了绩效目标，预算执行过程中，选取3个项目开展绩效监控，年终执行完毕后，对3个项目开展了绩效自评，2021年特定目标类部门预算项目绩效目标自评表见附件（第四部分）。</w:t>
      </w:r>
    </w:p>
    <w:p>
      <w:pPr>
        <w:pStyle w:val="2"/>
        <w:spacing w:before="93"/>
        <w:rPr>
          <w:highlight w:val="yellow"/>
        </w:rPr>
      </w:pP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3"/>
        </w:numPr>
        <w:spacing w:line="600" w:lineRule="exact"/>
        <w:ind w:firstLine="660" w:firstLineChars="150"/>
        <w:jc w:val="center"/>
        <w:outlineLvl w:val="0"/>
        <w:rPr>
          <w:rStyle w:val="25"/>
          <w:rFonts w:ascii="黑体" w:hAnsi="黑体" w:eastAsia="黑体"/>
          <w:b w:val="0"/>
        </w:rPr>
      </w:pPr>
      <w:bookmarkStart w:id="67" w:name="_Toc15377225"/>
      <w:bookmarkStart w:id="68" w:name="_Toc15396613"/>
      <w:bookmarkStart w:id="69" w:name="_Toc10841"/>
      <w:r>
        <w:rPr>
          <w:rFonts w:hint="eastAsia" w:ascii="黑体" w:hAnsi="黑体" w:eastAsia="黑体"/>
          <w:sz w:val="44"/>
          <w:szCs w:val="44"/>
        </w:rPr>
        <w:t>名</w:t>
      </w:r>
      <w:r>
        <w:rPr>
          <w:rStyle w:val="25"/>
          <w:rFonts w:hint="eastAsia" w:ascii="黑体" w:hAnsi="黑体" w:eastAsia="黑体"/>
          <w:b w:val="0"/>
        </w:rPr>
        <w:t>词解释</w:t>
      </w:r>
      <w:bookmarkEnd w:id="67"/>
      <w:bookmarkEnd w:id="68"/>
      <w:bookmarkEnd w:id="69"/>
    </w:p>
    <w:p>
      <w:pPr>
        <w:spacing w:line="600" w:lineRule="exact"/>
        <w:jc w:val="left"/>
        <w:rPr>
          <w:rFonts w:ascii="宋体"/>
          <w:b/>
          <w:sz w:val="44"/>
          <w:szCs w:val="44"/>
        </w:rPr>
      </w:pPr>
    </w:p>
    <w:p>
      <w:pPr>
        <w:pStyle w:val="23"/>
        <w:spacing w:line="58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1.财政拨款收入：指单位从同级财政部门取得的财政预算资金。</w:t>
      </w:r>
    </w:p>
    <w:p>
      <w:pPr>
        <w:pStyle w:val="23"/>
        <w:spacing w:line="580" w:lineRule="exact"/>
        <w:ind w:firstLine="672" w:firstLineChars="21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2.年初结转和结余：指以前年度尚未完成、结转到本年按有关规定继续使用的资金。 </w:t>
      </w:r>
    </w:p>
    <w:p>
      <w:pPr>
        <w:pStyle w:val="23"/>
        <w:spacing w:line="580" w:lineRule="exact"/>
        <w:ind w:firstLine="672" w:firstLineChars="210"/>
        <w:rPr>
          <w:rFonts w:ascii="Times New Roman" w:hAnsi="Times New Roman" w:eastAsia="仿宋_GB2312" w:cs="Times New Roman"/>
          <w:color w:val="auto"/>
          <w:sz w:val="32"/>
          <w:szCs w:val="32"/>
        </w:rPr>
      </w:pPr>
      <w:r>
        <w:rPr>
          <w:rFonts w:ascii="Times New Roman" w:hAnsi="Times New Roman" w:eastAsia="仿宋_GB2312" w:cs="Times New Roman"/>
          <w:sz w:val="32"/>
          <w:szCs w:val="32"/>
        </w:rPr>
        <w:t>3.年末结转和结余：指单位按有关规定结转到下年或以后年度继续使用的资金。</w:t>
      </w:r>
    </w:p>
    <w:p>
      <w:pPr>
        <w:pStyle w:val="23"/>
        <w:spacing w:line="58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4.社会保障和就业（类）行政事业单位养老支出（款）事业单位离退休（项）：反映事业单位开支的离退休经费。</w:t>
      </w:r>
    </w:p>
    <w:p>
      <w:pPr>
        <w:pStyle w:val="23"/>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w:t>
      </w:r>
      <w:r>
        <w:rPr>
          <w:rFonts w:ascii="Times New Roman" w:hAnsi="Times New Roman" w:eastAsia="仿宋_GB2312" w:cs="Times New Roman"/>
          <w:color w:val="auto"/>
          <w:sz w:val="32"/>
          <w:szCs w:val="32"/>
        </w:rPr>
        <w:t>行政事业单位养老支出（款）机关事业单位基本养老保险缴费支出（项）：</w:t>
      </w:r>
      <w:r>
        <w:rPr>
          <w:rFonts w:ascii="Times New Roman" w:hAnsi="Times New Roman" w:eastAsia="仿宋_GB2312" w:cs="Times New Roman"/>
          <w:sz w:val="32"/>
          <w:szCs w:val="32"/>
        </w:rPr>
        <w:t>反映机关事业单位实施养老保险制度由单位缴纳的基本养老保险费支出</w:t>
      </w:r>
      <w:r>
        <w:rPr>
          <w:rFonts w:ascii="Times New Roman" w:hAnsi="Times New Roman" w:eastAsia="仿宋_GB2312" w:cs="Times New Roman"/>
          <w:color w:val="auto"/>
          <w:sz w:val="32"/>
          <w:szCs w:val="32"/>
        </w:rPr>
        <w:t>。</w:t>
      </w:r>
    </w:p>
    <w:p>
      <w:pPr>
        <w:pStyle w:val="23"/>
        <w:spacing w:line="580" w:lineRule="exact"/>
        <w:ind w:firstLine="672" w:firstLineChars="21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社会保障和就业（类）抚恤（款）死亡抚恤（项）</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反映按规定用于烈士和牺牲、病故人员家属的一次性和定期抚恤金、丧葬补助费以及烈士褒扬金。</w:t>
      </w:r>
    </w:p>
    <w:p>
      <w:pPr>
        <w:pStyle w:val="23"/>
        <w:spacing w:line="580" w:lineRule="exact"/>
        <w:ind w:firstLine="672" w:firstLineChars="210"/>
        <w:rPr>
          <w:rStyle w:val="15"/>
          <w:rFonts w:hAnsi="仿宋"/>
          <w:b w:val="0"/>
          <w:bCs/>
          <w:color w:val="auto"/>
          <w:sz w:val="32"/>
          <w:szCs w:val="32"/>
        </w:rPr>
      </w:pP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社会保障和就业（类）残疾人事业（款）机关服务（项）</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反映为</w:t>
      </w:r>
      <w:r>
        <w:rPr>
          <w:rStyle w:val="15"/>
          <w:rFonts w:hint="eastAsia" w:hAnsi="仿宋"/>
          <w:b w:val="0"/>
          <w:bCs/>
          <w:color w:val="auto"/>
          <w:sz w:val="32"/>
          <w:szCs w:val="32"/>
        </w:rPr>
        <w:t>行政单位（包括实行公务员管理的事业单位）提供后勤服务的各类后勤服务中心、医务室等附属事业单位的支出。其他事业单位的支出，凡单独设置了项级科目的，在单独设置的项级科目中反映。未单设项级科目的，在“其他”项级科目中反映。</w:t>
      </w:r>
    </w:p>
    <w:p>
      <w:pPr>
        <w:spacing w:line="600" w:lineRule="exact"/>
        <w:ind w:firstLine="640" w:firstLineChars="200"/>
        <w:rPr>
          <w:rStyle w:val="15"/>
          <w:rFonts w:ascii="仿宋" w:hAnsi="仿宋" w:eastAsia="仿宋" w:cstheme="minorBidi"/>
          <w:b w:val="0"/>
          <w:bCs/>
          <w:sz w:val="32"/>
          <w:szCs w:val="32"/>
        </w:rPr>
      </w:pPr>
      <w:r>
        <w:rPr>
          <w:rStyle w:val="15"/>
          <w:rFonts w:hint="eastAsia" w:ascii="仿宋" w:hAnsi="仿宋" w:eastAsia="仿宋" w:cstheme="minorBidi"/>
          <w:b w:val="0"/>
          <w:bCs/>
          <w:sz w:val="32"/>
          <w:szCs w:val="32"/>
        </w:rPr>
        <w:t>8.社会保障和就业（类）残疾人事业（款）残疾人康复（项）:反映残疾人联合会用于残疾人康复方面的支出 。</w:t>
      </w:r>
    </w:p>
    <w:p>
      <w:pPr>
        <w:spacing w:line="600" w:lineRule="exact"/>
        <w:ind w:firstLine="640" w:firstLineChars="200"/>
        <w:rPr>
          <w:rFonts w:eastAsia="仿宋_GB2312"/>
          <w:sz w:val="32"/>
          <w:szCs w:val="32"/>
        </w:rPr>
      </w:pPr>
      <w:r>
        <w:rPr>
          <w:rStyle w:val="15"/>
          <w:rFonts w:hint="eastAsia" w:ascii="仿宋" w:hAnsi="仿宋" w:eastAsia="仿宋" w:cstheme="minorBidi"/>
          <w:b w:val="0"/>
          <w:bCs/>
          <w:sz w:val="32"/>
          <w:szCs w:val="32"/>
        </w:rPr>
        <w:t>9.社会保障和就业（类）残疾人事业（款）其他残疾人事业支出（项）: 反映除上述项</w:t>
      </w:r>
      <w:r>
        <w:rPr>
          <w:rFonts w:hint="eastAsia" w:eastAsia="仿宋_GB2312"/>
          <w:sz w:val="32"/>
          <w:szCs w:val="32"/>
        </w:rPr>
        <w:t>目以外</w:t>
      </w:r>
      <w:r>
        <w:rPr>
          <w:rFonts w:eastAsia="仿宋_GB2312"/>
          <w:sz w:val="32"/>
          <w:szCs w:val="32"/>
        </w:rPr>
        <w:t>其他用于残疾人事业方面的支出。</w:t>
      </w:r>
    </w:p>
    <w:p>
      <w:pPr>
        <w:spacing w:line="580" w:lineRule="exact"/>
        <w:ind w:firstLine="640" w:firstLineChars="200"/>
        <w:rPr>
          <w:rFonts w:eastAsia="仿宋_GB2312"/>
          <w:sz w:val="32"/>
          <w:szCs w:val="32"/>
        </w:rPr>
      </w:pPr>
      <w:r>
        <w:rPr>
          <w:rFonts w:hint="eastAsia" w:eastAsia="仿宋_GB2312"/>
          <w:sz w:val="32"/>
          <w:szCs w:val="32"/>
        </w:rPr>
        <w:t>10</w:t>
      </w:r>
      <w:r>
        <w:rPr>
          <w:rFonts w:eastAsia="仿宋_GB2312"/>
          <w:sz w:val="32"/>
          <w:szCs w:val="32"/>
        </w:rPr>
        <w:t>.住房保障支出（类）住房改革支出（款）住房公积金（项）：</w:t>
      </w:r>
      <w:r>
        <w:rPr>
          <w:rFonts w:eastAsia="仿宋_GB2312"/>
          <w:color w:val="000000"/>
          <w:kern w:val="0"/>
          <w:sz w:val="32"/>
          <w:szCs w:val="32"/>
        </w:rPr>
        <w:t>指按人力资源和社会保障部、财政部规定的基本工资和津贴补贴以及规定比例为职工缴纳的住房公积金</w:t>
      </w:r>
      <w:r>
        <w:rPr>
          <w:rFonts w:eastAsia="仿宋_GB2312"/>
          <w:sz w:val="32"/>
          <w:szCs w:val="32"/>
        </w:rPr>
        <w:t>。</w:t>
      </w:r>
    </w:p>
    <w:p>
      <w:pPr>
        <w:spacing w:line="580" w:lineRule="exact"/>
        <w:ind w:firstLine="640" w:firstLineChars="200"/>
        <w:rPr>
          <w:rFonts w:eastAsia="仿宋_GB2312"/>
          <w:sz w:val="32"/>
          <w:szCs w:val="32"/>
        </w:rPr>
      </w:pPr>
      <w:r>
        <w:rPr>
          <w:rFonts w:hint="eastAsia" w:eastAsia="仿宋_GB2312"/>
          <w:sz w:val="32"/>
          <w:szCs w:val="32"/>
        </w:rPr>
        <w:t>11</w:t>
      </w:r>
      <w:r>
        <w:rPr>
          <w:rFonts w:eastAsia="仿宋_GB2312"/>
          <w:sz w:val="32"/>
          <w:szCs w:val="32"/>
        </w:rPr>
        <w:t>.基本支出：指为保障机构正常运转、完成日常工作任务而发生的人员支出和公用支出。</w:t>
      </w:r>
    </w:p>
    <w:p>
      <w:pPr>
        <w:spacing w:line="580" w:lineRule="exact"/>
        <w:ind w:firstLine="640" w:firstLineChars="200"/>
        <w:rPr>
          <w:rFonts w:eastAsia="仿宋_GB2312"/>
          <w:sz w:val="32"/>
          <w:szCs w:val="32"/>
        </w:rPr>
      </w:pPr>
      <w:r>
        <w:rPr>
          <w:rFonts w:hint="eastAsia" w:eastAsia="仿宋_GB2312"/>
          <w:sz w:val="32"/>
          <w:szCs w:val="32"/>
        </w:rPr>
        <w:t>12</w:t>
      </w:r>
      <w:r>
        <w:rPr>
          <w:rFonts w:eastAsia="仿宋_GB2312"/>
          <w:sz w:val="32"/>
          <w:szCs w:val="32"/>
        </w:rPr>
        <w:t>.项目支出：指在基本支出之外为完成特定行政任务和事业发展目标所发生的支出。</w:t>
      </w:r>
    </w:p>
    <w:p>
      <w:pPr>
        <w:pStyle w:val="23"/>
        <w:spacing w:line="580" w:lineRule="exact"/>
        <w:ind w:firstLine="672" w:firstLineChars="21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13</w:t>
      </w:r>
      <w:r>
        <w:rPr>
          <w:rFonts w:ascii="Times New Roman" w:hAnsi="Times New Roman" w:eastAsia="仿宋_GB2312" w:cs="Times New Roman"/>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80" w:lineRule="exact"/>
        <w:ind w:firstLine="672" w:firstLineChars="21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5"/>
          <w:rFonts w:ascii="黑体" w:hAnsi="黑体" w:eastAsia="黑体"/>
          <w:b w:val="0"/>
        </w:rPr>
      </w:pPr>
      <w:bookmarkStart w:id="70" w:name="_Toc15377226"/>
      <w:r>
        <w:rPr>
          <w:rFonts w:ascii="宋体"/>
          <w:b/>
          <w:sz w:val="44"/>
          <w:szCs w:val="44"/>
        </w:rPr>
        <w:br w:type="page"/>
      </w:r>
      <w:bookmarkStart w:id="71" w:name="_Toc25721"/>
      <w:bookmarkStart w:id="72" w:name="_Toc15396614"/>
      <w:r>
        <w:rPr>
          <w:rFonts w:hint="eastAsia" w:ascii="黑体" w:hAnsi="黑体" w:eastAsia="黑体"/>
          <w:sz w:val="44"/>
          <w:szCs w:val="44"/>
        </w:rPr>
        <w:t>第</w:t>
      </w:r>
      <w:r>
        <w:rPr>
          <w:rStyle w:val="25"/>
          <w:rFonts w:hint="eastAsia" w:ascii="黑体" w:hAnsi="黑体" w:eastAsia="黑体"/>
          <w:b w:val="0"/>
        </w:rPr>
        <w:t>四部分 附件</w:t>
      </w:r>
      <w:bookmarkEnd w:id="71"/>
      <w:bookmarkEnd w:id="72"/>
    </w:p>
    <w:p>
      <w:pPr>
        <w:spacing w:line="572" w:lineRule="exact"/>
        <w:jc w:val="left"/>
        <w:outlineLvl w:val="0"/>
        <w:rPr>
          <w:rFonts w:ascii="仿宋_GB2312" w:hAnsi="仿宋_GB2312" w:eastAsia="仿宋_GB2312" w:cs="仿宋_GB2312"/>
          <w:sz w:val="32"/>
          <w:szCs w:val="32"/>
        </w:rPr>
      </w:pPr>
      <w:bookmarkStart w:id="73" w:name="_Toc21534"/>
      <w:r>
        <w:rPr>
          <w:rFonts w:hint="eastAsia" w:ascii="黑体" w:hAnsi="黑体" w:eastAsia="黑体" w:cs="黑体"/>
          <w:sz w:val="32"/>
          <w:szCs w:val="32"/>
        </w:rPr>
        <w:t>附件</w:t>
      </w:r>
      <w:bookmarkEnd w:id="73"/>
    </w:p>
    <w:tbl>
      <w:tblPr>
        <w:tblStyle w:val="13"/>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7" w:type="dxa"/>
            <w:gridSpan w:val="6"/>
            <w:tcBorders>
              <w:top w:val="nil"/>
              <w:left w:val="nil"/>
              <w:bottom w:val="nil"/>
              <w:right w:val="nil"/>
            </w:tcBorders>
            <w:shd w:val="clear" w:color="auto" w:fill="auto"/>
            <w:vAlign w:val="center"/>
          </w:tcPr>
          <w:p>
            <w:pPr>
              <w:widowControl/>
              <w:ind w:firstLine="1285" w:firstLineChars="400"/>
              <w:textAlignment w:val="center"/>
              <w:rPr>
                <w:rFonts w:ascii="宋体" w:hAnsi="宋体" w:cs="宋体"/>
                <w:b/>
                <w:sz w:val="32"/>
                <w:szCs w:val="32"/>
              </w:rPr>
            </w:pPr>
            <w:bookmarkStart w:id="74" w:name="_Toc15396618"/>
            <w:r>
              <w:rPr>
                <w:rFonts w:hint="eastAsia" w:ascii="宋体" w:hAnsi="宋体" w:cs="宋体"/>
                <w:b/>
                <w:sz w:val="32"/>
                <w:szCs w:val="32"/>
              </w:rPr>
              <w:t>2021年特定目标类部门预算项目绩效目标自评</w:t>
            </w:r>
          </w:p>
        </w:tc>
        <w:tc>
          <w:tcPr>
            <w:tcW w:w="234"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CellMar>
            <w:top w:w="0" w:type="dxa"/>
            <w:left w:w="108" w:type="dxa"/>
            <w:bottom w:w="0" w:type="dxa"/>
            <w:right w:w="108" w:type="dxa"/>
          </w:tblCellMar>
        </w:tblPrEx>
        <w:trPr>
          <w:gridAfter w:val="1"/>
          <w:wAfter w:w="234" w:type="dxa"/>
          <w:trHeight w:val="254" w:hRule="atLeast"/>
        </w:trPr>
        <w:tc>
          <w:tcPr>
            <w:tcW w:w="3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攀枝花市残疾人联合会507001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实施单位</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攀枝花市残疾人康复教育中心</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项目预算</w:t>
            </w:r>
          </w:p>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20.55</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执行数：</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20.55</w:t>
            </w:r>
          </w:p>
        </w:tc>
      </w:tr>
      <w:tr>
        <w:tblPrEx>
          <w:tblCellMar>
            <w:top w:w="0" w:type="dxa"/>
            <w:left w:w="108" w:type="dxa"/>
            <w:bottom w:w="0" w:type="dxa"/>
            <w:right w:w="108" w:type="dxa"/>
          </w:tblCellMar>
        </w:tblPrEx>
        <w:trPr>
          <w:gridAfter w:val="1"/>
          <w:wAfter w:w="234" w:type="dxa"/>
          <w:trHeight w:val="555"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20.55</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20.55</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0</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0</w:t>
            </w:r>
          </w:p>
        </w:tc>
      </w:tr>
      <w:tr>
        <w:tblPrEx>
          <w:tblCellMar>
            <w:top w:w="0" w:type="dxa"/>
            <w:left w:w="108" w:type="dxa"/>
            <w:bottom w:w="0" w:type="dxa"/>
            <w:right w:w="108" w:type="dxa"/>
          </w:tblCellMar>
        </w:tblPrEx>
        <w:trPr>
          <w:gridAfter w:val="1"/>
          <w:wAfter w:w="234" w:type="dxa"/>
          <w:trHeight w:val="217" w:hRule="atLeast"/>
        </w:trPr>
        <w:tc>
          <w:tcPr>
            <w:tcW w:w="1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预期目标</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目标实际完成情况</w:t>
            </w:r>
          </w:p>
        </w:tc>
      </w:tr>
      <w:tr>
        <w:tblPrEx>
          <w:tblCellMar>
            <w:top w:w="0" w:type="dxa"/>
            <w:left w:w="108" w:type="dxa"/>
            <w:bottom w:w="0" w:type="dxa"/>
            <w:right w:w="108" w:type="dxa"/>
          </w:tblCellMar>
        </w:tblPrEx>
        <w:trPr>
          <w:gridAfter w:val="1"/>
          <w:wAfter w:w="234" w:type="dxa"/>
          <w:trHeight w:val="797" w:hRule="atLeast"/>
        </w:trPr>
        <w:tc>
          <w:tcPr>
            <w:tcW w:w="1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根据市残疾人康复教育中心的主要职能需要，更好地为残疾人提供各类专业康复培训、训练、评估及指导残疾人用品用具的使用等服务工作，根据实际工作需要安排业务运行费。</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一是完成了残疾人康复教育职能工作，为残疾人提供各类专业的康复培训和训练等服务工作；二是支付了2020年度轮椅采购费用；三是为1名佩戴助听器听障儿童和1名人工耳蜗听障儿童提供听力语言康复服务；四是为50名盲人定向行走培训项目提供资金支持。</w:t>
            </w:r>
          </w:p>
        </w:tc>
      </w:tr>
      <w:tr>
        <w:tblPrEx>
          <w:tblCellMar>
            <w:top w:w="0" w:type="dxa"/>
            <w:left w:w="108" w:type="dxa"/>
            <w:bottom w:w="0" w:type="dxa"/>
            <w:right w:w="108" w:type="dxa"/>
          </w:tblCellMar>
        </w:tblPrEx>
        <w:trPr>
          <w:gridAfter w:val="1"/>
          <w:wAfter w:w="234" w:type="dxa"/>
          <w:trHeight w:val="693" w:hRule="atLeast"/>
        </w:trPr>
        <w:tc>
          <w:tcPr>
            <w:tcW w:w="197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预期指标值</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实际完成指标值</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28"/>
                <w:szCs w:val="28"/>
              </w:rPr>
            </w:pPr>
            <w:r>
              <w:rPr>
                <w:rFonts w:hint="eastAsia"/>
              </w:rPr>
              <w:t>盲人定向行走培训人数</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100人</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101人</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听力语言康复服务</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1人</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2人</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物业管理费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6个月</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6个月</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保障康复教育工作的正常开展</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保障康复中心大楼正常运转</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项目完成时间</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2021年12月</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2021年12月</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职能工作推进工作经费及保障康复中心大楼正常运转费用</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3.29万元</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3.29万元</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盲人定向行走培训支出</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7.32万元</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7.32万元</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2020年轮椅采购费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6.2万元</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6.2万元</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物业管理费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3.74万元</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3.74万元</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提供良好的履职基础，服务社会发展能力</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提高残疾人生活质量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有所提高</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有所提高</w:t>
            </w:r>
          </w:p>
        </w:tc>
      </w:tr>
      <w:tr>
        <w:tblPrEx>
          <w:tblCellMar>
            <w:top w:w="0" w:type="dxa"/>
            <w:left w:w="108" w:type="dxa"/>
            <w:bottom w:w="0" w:type="dxa"/>
            <w:right w:w="108" w:type="dxa"/>
          </w:tblCellMar>
        </w:tblPrEx>
        <w:trPr>
          <w:gridAfter w:val="1"/>
          <w:wAfter w:w="234" w:type="dxa"/>
          <w:trHeight w:val="577"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提高社会稳定性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有所提高</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有所提高</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提升群众满意度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有所提升</w:t>
            </w:r>
          </w:p>
        </w:tc>
      </w:tr>
      <w:tr>
        <w:tblPrEx>
          <w:tblCellMar>
            <w:top w:w="0" w:type="dxa"/>
            <w:left w:w="108" w:type="dxa"/>
            <w:bottom w:w="0" w:type="dxa"/>
            <w:right w:w="108" w:type="dxa"/>
          </w:tblCellMar>
        </w:tblPrEx>
        <w:trPr>
          <w:gridAfter w:val="1"/>
          <w:wAfter w:w="234" w:type="dxa"/>
          <w:trHeight w:val="530" w:hRule="atLeast"/>
        </w:trPr>
        <w:tc>
          <w:tcPr>
            <w:tcW w:w="1977"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受益人员满意度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≥95%</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≥95%</w:t>
            </w:r>
          </w:p>
        </w:tc>
      </w:tr>
    </w:tbl>
    <w:p>
      <w:pPr>
        <w:spacing w:line="600" w:lineRule="exact"/>
        <w:jc w:val="center"/>
        <w:rPr>
          <w:rFonts w:ascii="黑体" w:hAnsi="黑体" w:eastAsia="黑体"/>
          <w:sz w:val="44"/>
          <w:szCs w:val="44"/>
        </w:rPr>
      </w:pPr>
    </w:p>
    <w:tbl>
      <w:tblPr>
        <w:tblStyle w:val="13"/>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7" w:type="dxa"/>
            <w:gridSpan w:val="6"/>
            <w:tcBorders>
              <w:top w:val="nil"/>
              <w:left w:val="nil"/>
              <w:bottom w:val="nil"/>
              <w:right w:val="nil"/>
            </w:tcBorders>
            <w:shd w:val="clear" w:color="auto" w:fill="auto"/>
            <w:vAlign w:val="center"/>
          </w:tcPr>
          <w:p>
            <w:pPr>
              <w:widowControl/>
              <w:ind w:firstLine="1285" w:firstLineChars="400"/>
              <w:textAlignment w:val="center"/>
              <w:rPr>
                <w:rFonts w:ascii="宋体" w:hAnsi="宋体" w:cs="宋体"/>
                <w:b/>
                <w:sz w:val="32"/>
                <w:szCs w:val="32"/>
              </w:rPr>
            </w:pPr>
            <w:r>
              <w:rPr>
                <w:rFonts w:hint="eastAsia" w:ascii="宋体" w:hAnsi="宋体" w:cs="宋体"/>
                <w:b/>
                <w:sz w:val="32"/>
                <w:szCs w:val="32"/>
              </w:rPr>
              <w:t>2021年特定目标类部门预算项目绩效目标自评</w:t>
            </w:r>
          </w:p>
        </w:tc>
        <w:tc>
          <w:tcPr>
            <w:tcW w:w="234"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CellMar>
            <w:top w:w="0" w:type="dxa"/>
            <w:left w:w="108" w:type="dxa"/>
            <w:bottom w:w="0" w:type="dxa"/>
            <w:right w:w="108" w:type="dxa"/>
          </w:tblCellMar>
        </w:tblPrEx>
        <w:trPr>
          <w:gridAfter w:val="1"/>
          <w:wAfter w:w="234" w:type="dxa"/>
          <w:trHeight w:val="254" w:hRule="atLeast"/>
        </w:trPr>
        <w:tc>
          <w:tcPr>
            <w:tcW w:w="3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攀枝花市残疾人联合会507001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实施单位</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攀枝花市残疾人康复教育中心</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项目预算</w:t>
            </w:r>
          </w:p>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6.61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执行数：</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6.61</w:t>
            </w:r>
          </w:p>
        </w:tc>
      </w:tr>
      <w:tr>
        <w:tblPrEx>
          <w:tblCellMar>
            <w:top w:w="0" w:type="dxa"/>
            <w:left w:w="108" w:type="dxa"/>
            <w:bottom w:w="0" w:type="dxa"/>
            <w:right w:w="108" w:type="dxa"/>
          </w:tblCellMar>
        </w:tblPrEx>
        <w:trPr>
          <w:gridAfter w:val="1"/>
          <w:wAfter w:w="234" w:type="dxa"/>
          <w:trHeight w:val="555"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6.61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6.61</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0</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0</w:t>
            </w:r>
          </w:p>
        </w:tc>
      </w:tr>
      <w:tr>
        <w:tblPrEx>
          <w:tblCellMar>
            <w:top w:w="0" w:type="dxa"/>
            <w:left w:w="108" w:type="dxa"/>
            <w:bottom w:w="0" w:type="dxa"/>
            <w:right w:w="108" w:type="dxa"/>
          </w:tblCellMar>
        </w:tblPrEx>
        <w:trPr>
          <w:gridAfter w:val="1"/>
          <w:wAfter w:w="234" w:type="dxa"/>
          <w:trHeight w:val="217" w:hRule="atLeast"/>
        </w:trPr>
        <w:tc>
          <w:tcPr>
            <w:tcW w:w="1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预期目标</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目标实际完成情况</w:t>
            </w:r>
          </w:p>
        </w:tc>
      </w:tr>
      <w:tr>
        <w:tblPrEx>
          <w:tblCellMar>
            <w:top w:w="0" w:type="dxa"/>
            <w:left w:w="108" w:type="dxa"/>
            <w:bottom w:w="0" w:type="dxa"/>
            <w:right w:w="108" w:type="dxa"/>
          </w:tblCellMar>
        </w:tblPrEx>
        <w:trPr>
          <w:gridAfter w:val="1"/>
          <w:wAfter w:w="234" w:type="dxa"/>
          <w:trHeight w:val="797" w:hRule="atLeast"/>
        </w:trPr>
        <w:tc>
          <w:tcPr>
            <w:tcW w:w="1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根据市残疾人康复教育中心的主要职能需要，更好地为残疾人提供各类专业康复培训、训练、评估及指导残疾人用品用具的使用等服务工作，根据实际工作需要安排业务运行费。</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一是完成了残疾人康复教育职能工作，为残疾人提供各类专业的康复培训和训练等服务工作；二是支付了2020年度轮椅采购费用。</w:t>
            </w:r>
          </w:p>
        </w:tc>
      </w:tr>
      <w:tr>
        <w:tblPrEx>
          <w:tblCellMar>
            <w:top w:w="0" w:type="dxa"/>
            <w:left w:w="108" w:type="dxa"/>
            <w:bottom w:w="0" w:type="dxa"/>
            <w:right w:w="108" w:type="dxa"/>
          </w:tblCellMar>
        </w:tblPrEx>
        <w:trPr>
          <w:gridAfter w:val="1"/>
          <w:wAfter w:w="234" w:type="dxa"/>
          <w:trHeight w:val="693" w:hRule="atLeast"/>
        </w:trPr>
        <w:tc>
          <w:tcPr>
            <w:tcW w:w="197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预期指标值</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实际完成指标值</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28"/>
                <w:szCs w:val="28"/>
              </w:rPr>
            </w:pPr>
            <w:r>
              <w:rPr>
                <w:rFonts w:hint="eastAsia"/>
              </w:rPr>
              <w:t>轮椅采购数量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50辆</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68辆</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物业管理费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6个月</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6个月</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保障康复教育工作的正常开展</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保障康复中心大楼正常运转</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项目完成时间</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2021年12月</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2021年12月</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职能工作推进工作经费及保障康复中心大楼正常运转费用</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2.87万元</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2.87万元</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物业管理费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3.74万元</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3.74万元</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提供良好的履职基础，服务社会发展能力</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提高残疾人生活质量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有所提高</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有所提高</w:t>
            </w:r>
          </w:p>
        </w:tc>
      </w:tr>
      <w:tr>
        <w:tblPrEx>
          <w:tblCellMar>
            <w:top w:w="0" w:type="dxa"/>
            <w:left w:w="108" w:type="dxa"/>
            <w:bottom w:w="0" w:type="dxa"/>
            <w:right w:w="108" w:type="dxa"/>
          </w:tblCellMar>
        </w:tblPrEx>
        <w:trPr>
          <w:gridAfter w:val="1"/>
          <w:wAfter w:w="234" w:type="dxa"/>
          <w:trHeight w:val="577"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提高社会稳定性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有所提高</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有所提高</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提升群众满意度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有所提升</w:t>
            </w:r>
          </w:p>
        </w:tc>
      </w:tr>
      <w:tr>
        <w:tblPrEx>
          <w:tblCellMar>
            <w:top w:w="0" w:type="dxa"/>
            <w:left w:w="108" w:type="dxa"/>
            <w:bottom w:w="0" w:type="dxa"/>
            <w:right w:w="108" w:type="dxa"/>
          </w:tblCellMar>
        </w:tblPrEx>
        <w:trPr>
          <w:gridAfter w:val="1"/>
          <w:wAfter w:w="234" w:type="dxa"/>
          <w:trHeight w:val="530" w:hRule="atLeast"/>
        </w:trPr>
        <w:tc>
          <w:tcPr>
            <w:tcW w:w="1977"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受益人员满意度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≥95%</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≥95%</w:t>
            </w:r>
          </w:p>
        </w:tc>
      </w:tr>
    </w:tbl>
    <w:p>
      <w:pPr>
        <w:spacing w:line="600" w:lineRule="exact"/>
        <w:jc w:val="center"/>
        <w:rPr>
          <w:rFonts w:ascii="黑体" w:hAnsi="黑体" w:eastAsia="黑体"/>
          <w:sz w:val="44"/>
          <w:szCs w:val="44"/>
        </w:rPr>
      </w:pPr>
    </w:p>
    <w:tbl>
      <w:tblPr>
        <w:tblStyle w:val="13"/>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7" w:type="dxa"/>
            <w:gridSpan w:val="6"/>
            <w:tcBorders>
              <w:top w:val="nil"/>
              <w:left w:val="nil"/>
              <w:bottom w:val="nil"/>
              <w:right w:val="nil"/>
            </w:tcBorders>
            <w:shd w:val="clear" w:color="auto" w:fill="auto"/>
            <w:vAlign w:val="center"/>
          </w:tcPr>
          <w:p>
            <w:pPr>
              <w:widowControl/>
              <w:ind w:firstLine="1285" w:firstLineChars="400"/>
              <w:textAlignment w:val="center"/>
              <w:rPr>
                <w:rFonts w:ascii="宋体" w:hAnsi="宋体" w:cs="宋体"/>
                <w:b/>
                <w:sz w:val="32"/>
                <w:szCs w:val="32"/>
              </w:rPr>
            </w:pPr>
            <w:r>
              <w:rPr>
                <w:rFonts w:hint="eastAsia" w:ascii="宋体" w:hAnsi="宋体" w:cs="宋体"/>
                <w:b/>
                <w:sz w:val="32"/>
                <w:szCs w:val="32"/>
              </w:rPr>
              <w:t>2021年特定目标类部门预算项目绩效目标自评</w:t>
            </w:r>
          </w:p>
        </w:tc>
        <w:tc>
          <w:tcPr>
            <w:tcW w:w="234"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CellMar>
            <w:top w:w="0" w:type="dxa"/>
            <w:left w:w="108" w:type="dxa"/>
            <w:bottom w:w="0" w:type="dxa"/>
            <w:right w:w="108" w:type="dxa"/>
          </w:tblCellMar>
        </w:tblPrEx>
        <w:trPr>
          <w:gridAfter w:val="1"/>
          <w:wAfter w:w="234" w:type="dxa"/>
          <w:trHeight w:val="254" w:hRule="atLeast"/>
        </w:trPr>
        <w:tc>
          <w:tcPr>
            <w:tcW w:w="3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攀枝花市残疾人联合会507001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实施单位</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攀枝花市残疾人康复教育中心</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项目预算</w:t>
            </w:r>
          </w:p>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5</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执行数：</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5</w:t>
            </w:r>
          </w:p>
        </w:tc>
      </w:tr>
      <w:tr>
        <w:tblPrEx>
          <w:tblCellMar>
            <w:top w:w="0" w:type="dxa"/>
            <w:left w:w="108" w:type="dxa"/>
            <w:bottom w:w="0" w:type="dxa"/>
            <w:right w:w="108" w:type="dxa"/>
          </w:tblCellMar>
        </w:tblPrEx>
        <w:trPr>
          <w:gridAfter w:val="1"/>
          <w:wAfter w:w="234" w:type="dxa"/>
          <w:trHeight w:val="555"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5</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5</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0</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0</w:t>
            </w:r>
          </w:p>
        </w:tc>
      </w:tr>
      <w:tr>
        <w:tblPrEx>
          <w:tblCellMar>
            <w:top w:w="0" w:type="dxa"/>
            <w:left w:w="108" w:type="dxa"/>
            <w:bottom w:w="0" w:type="dxa"/>
            <w:right w:w="108" w:type="dxa"/>
          </w:tblCellMar>
        </w:tblPrEx>
        <w:trPr>
          <w:gridAfter w:val="1"/>
          <w:wAfter w:w="234" w:type="dxa"/>
          <w:trHeight w:val="217" w:hRule="atLeast"/>
        </w:trPr>
        <w:tc>
          <w:tcPr>
            <w:tcW w:w="1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预期目标</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目标实际完成情况</w:t>
            </w:r>
          </w:p>
        </w:tc>
      </w:tr>
      <w:tr>
        <w:tblPrEx>
          <w:tblCellMar>
            <w:top w:w="0" w:type="dxa"/>
            <w:left w:w="108" w:type="dxa"/>
            <w:bottom w:w="0" w:type="dxa"/>
            <w:right w:w="108" w:type="dxa"/>
          </w:tblCellMar>
        </w:tblPrEx>
        <w:trPr>
          <w:gridAfter w:val="1"/>
          <w:wAfter w:w="234" w:type="dxa"/>
          <w:trHeight w:val="797" w:hRule="atLeast"/>
        </w:trPr>
        <w:tc>
          <w:tcPr>
            <w:tcW w:w="1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根据市残疾人康复教育中心的主要职能需要，更好地为残疾人提供各类专业康复培训、训练、评估及指导残疾人用品用具的使用等服务工作，开展康复教师技能培训及职业康复训练室的建设等残疾人康复机构能力提升项目。</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一是派遣康复教师外出培训及邀请四川省听力语言康复中心教师来攀授课的方式，全力提升中心康复教师技能水平，以更专业的知识帮助听力残疾儿童恢复基本功能。二是采购了职业康复训练室的展示柜及操作台。职业康复训练室的建设，有助于残疾儿童康复训练的开展及残疾儿童手工作品的展示，提升了社会公众知晓度，让社会更多的人关注残疾人，提升了残疾人融入社会生活的信心。</w:t>
            </w:r>
          </w:p>
        </w:tc>
      </w:tr>
      <w:tr>
        <w:tblPrEx>
          <w:tblCellMar>
            <w:top w:w="0" w:type="dxa"/>
            <w:left w:w="108" w:type="dxa"/>
            <w:bottom w:w="0" w:type="dxa"/>
            <w:right w:w="108" w:type="dxa"/>
          </w:tblCellMar>
        </w:tblPrEx>
        <w:trPr>
          <w:gridAfter w:val="1"/>
          <w:wAfter w:w="234" w:type="dxa"/>
          <w:trHeight w:val="693" w:hRule="atLeast"/>
        </w:trPr>
        <w:tc>
          <w:tcPr>
            <w:tcW w:w="197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预期指标值</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实际完成指标值</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28"/>
                <w:szCs w:val="28"/>
              </w:rPr>
            </w:pPr>
            <w:r>
              <w:rPr>
                <w:rFonts w:hint="eastAsia"/>
              </w:rPr>
              <w:t>培训人数</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2人</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3人</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培训次数</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3次</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5次</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职业康复训练室建设</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1项</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1项</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提升康复教师职业技能</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有所提升</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提升康复教育环境，打造多功能康复训练服务</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有所提升</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项目完成时间</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2021年12月</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2021年12月</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康复教师职业技能培训支出</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2.5万元</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2.83万元</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盲人定向行走培训支出</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2.5万元</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2.17万元</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提供良好的履职基础，服务社会发展能力</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有所保障</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提升残疾儿童动手能力，帮助其恢复部分功能</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有所提升</w:t>
            </w:r>
          </w:p>
        </w:tc>
      </w:tr>
      <w:tr>
        <w:tblPrEx>
          <w:tblCellMar>
            <w:top w:w="0" w:type="dxa"/>
            <w:left w:w="108" w:type="dxa"/>
            <w:bottom w:w="0" w:type="dxa"/>
            <w:right w:w="108" w:type="dxa"/>
          </w:tblCellMar>
        </w:tblPrEx>
        <w:trPr>
          <w:gridAfter w:val="1"/>
          <w:wAfter w:w="234" w:type="dxa"/>
          <w:trHeight w:val="577"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提高社会稳定性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有所提高</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有所提高</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提升群众满意度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有所提升</w:t>
            </w:r>
          </w:p>
        </w:tc>
      </w:tr>
      <w:tr>
        <w:tblPrEx>
          <w:tblCellMar>
            <w:top w:w="0" w:type="dxa"/>
            <w:left w:w="108" w:type="dxa"/>
            <w:bottom w:w="0" w:type="dxa"/>
            <w:right w:w="108" w:type="dxa"/>
          </w:tblCellMar>
        </w:tblPrEx>
        <w:trPr>
          <w:gridAfter w:val="1"/>
          <w:wAfter w:w="234" w:type="dxa"/>
          <w:trHeight w:val="530" w:hRule="atLeast"/>
        </w:trPr>
        <w:tc>
          <w:tcPr>
            <w:tcW w:w="1977"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pPr>
            <w:r>
              <w:rPr>
                <w:rFonts w:hint="eastAsia"/>
              </w:rPr>
              <w:t>受益残疾人满意度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≥95%</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pPr>
            <w:r>
              <w:rPr>
                <w:rFonts w:hint="eastAsia"/>
              </w:rPr>
              <w:t>≥95%</w:t>
            </w:r>
          </w:p>
        </w:tc>
      </w:tr>
    </w:tbl>
    <w:p>
      <w:pPr>
        <w:spacing w:line="600" w:lineRule="exact"/>
        <w:jc w:val="center"/>
        <w:rPr>
          <w:rFonts w:ascii="黑体" w:hAnsi="黑体" w:eastAsia="黑体"/>
          <w:sz w:val="44"/>
          <w:szCs w:val="44"/>
        </w:rPr>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ageBreakBefore w:val="0"/>
        <w:widowControl w:val="0"/>
        <w:kinsoku/>
        <w:wordWrap/>
        <w:overflowPunct/>
        <w:topLinePunct w:val="0"/>
        <w:autoSpaceDE/>
        <w:autoSpaceDN/>
        <w:bidi w:val="0"/>
        <w:adjustRightInd/>
        <w:snapToGrid/>
        <w:spacing w:line="560" w:lineRule="exact"/>
        <w:jc w:val="center"/>
        <w:textAlignment w:val="auto"/>
        <w:outlineLvl w:val="0"/>
        <w:rPr>
          <w:rFonts w:ascii="仿宋" w:hAnsi="仿宋" w:eastAsia="仿宋"/>
        </w:rPr>
      </w:pPr>
      <w:bookmarkStart w:id="75" w:name="_Toc8465"/>
      <w:r>
        <w:rPr>
          <w:rFonts w:hint="eastAsia" w:ascii="黑体" w:hAnsi="黑体" w:eastAsia="黑体"/>
          <w:sz w:val="44"/>
          <w:szCs w:val="44"/>
        </w:rPr>
        <w:t>第</w:t>
      </w:r>
      <w:r>
        <w:rPr>
          <w:rStyle w:val="25"/>
          <w:rFonts w:hint="eastAsia" w:ascii="黑体" w:hAnsi="黑体" w:eastAsia="黑体"/>
          <w:b w:val="0"/>
        </w:rPr>
        <w:t>五部分 附表</w:t>
      </w:r>
      <w:bookmarkEnd w:id="70"/>
      <w:bookmarkEnd w:id="74"/>
      <w:bookmarkEnd w:id="75"/>
      <w:bookmarkStart w:id="76" w:name="_Toc15396619"/>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bookmarkStart w:id="77" w:name="_Toc17604"/>
      <w:r>
        <w:rPr>
          <w:rFonts w:hint="eastAsia" w:ascii="仿宋" w:hAnsi="仿宋" w:eastAsia="仿宋"/>
          <w:b w:val="0"/>
        </w:rPr>
        <w:t>一、收</w:t>
      </w:r>
      <w:r>
        <w:rPr>
          <w:rStyle w:val="26"/>
          <w:rFonts w:hint="eastAsia" w:ascii="仿宋" w:hAnsi="仿宋" w:eastAsia="仿宋"/>
          <w:b w:val="0"/>
          <w:bCs w:val="0"/>
        </w:rPr>
        <w:t>入支出决算总表</w:t>
      </w:r>
      <w:bookmarkEnd w:id="76"/>
      <w:bookmarkEnd w:id="77"/>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bookmarkStart w:id="78" w:name="_Toc24443"/>
      <w:bookmarkStart w:id="79" w:name="_Toc15396620"/>
      <w:r>
        <w:rPr>
          <w:rFonts w:hint="eastAsia" w:ascii="仿宋" w:hAnsi="仿宋" w:eastAsia="仿宋"/>
          <w:b w:val="0"/>
        </w:rPr>
        <w:t>二、收</w:t>
      </w:r>
      <w:r>
        <w:rPr>
          <w:rStyle w:val="26"/>
          <w:rFonts w:hint="eastAsia" w:ascii="仿宋" w:hAnsi="仿宋" w:eastAsia="仿宋"/>
          <w:b w:val="0"/>
          <w:bCs w:val="0"/>
        </w:rPr>
        <w:t>入决算表</w:t>
      </w:r>
      <w:bookmarkEnd w:id="78"/>
      <w:bookmarkEnd w:id="79"/>
      <w:bookmarkStart w:id="103" w:name="_GoBack"/>
      <w:bookmarkEnd w:id="103"/>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bookmarkStart w:id="80" w:name="_Toc19861"/>
      <w:bookmarkStart w:id="81" w:name="_Toc15396621"/>
      <w:r>
        <w:rPr>
          <w:rStyle w:val="26"/>
          <w:rFonts w:hint="eastAsia" w:ascii="仿宋" w:hAnsi="仿宋" w:eastAsia="仿宋"/>
          <w:b w:val="0"/>
          <w:bCs w:val="0"/>
        </w:rPr>
        <w:t>三、</w:t>
      </w:r>
      <w:r>
        <w:rPr>
          <w:rFonts w:hint="eastAsia" w:ascii="仿宋" w:hAnsi="仿宋" w:eastAsia="仿宋"/>
          <w:b w:val="0"/>
        </w:rPr>
        <w:t>支</w:t>
      </w:r>
      <w:r>
        <w:rPr>
          <w:rStyle w:val="26"/>
          <w:rFonts w:hint="eastAsia" w:ascii="仿宋" w:hAnsi="仿宋" w:eastAsia="仿宋"/>
          <w:b w:val="0"/>
          <w:bCs w:val="0"/>
        </w:rPr>
        <w:t>出决算表</w:t>
      </w:r>
      <w:bookmarkEnd w:id="80"/>
      <w:bookmarkEnd w:id="81"/>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ascii="仿宋" w:hAnsi="仿宋" w:eastAsia="仿宋"/>
          <w:b w:val="0"/>
        </w:rPr>
      </w:pPr>
      <w:bookmarkStart w:id="82" w:name="_Toc6521"/>
      <w:bookmarkStart w:id="83" w:name="_Toc15396622"/>
      <w:r>
        <w:rPr>
          <w:rStyle w:val="26"/>
          <w:rFonts w:hint="eastAsia" w:ascii="仿宋" w:hAnsi="仿宋" w:eastAsia="仿宋"/>
          <w:b w:val="0"/>
          <w:bCs w:val="0"/>
        </w:rPr>
        <w:t>四、</w:t>
      </w:r>
      <w:r>
        <w:rPr>
          <w:rFonts w:hint="eastAsia" w:ascii="仿宋" w:hAnsi="仿宋" w:eastAsia="仿宋"/>
          <w:b w:val="0"/>
        </w:rPr>
        <w:t>财</w:t>
      </w:r>
      <w:r>
        <w:rPr>
          <w:rStyle w:val="26"/>
          <w:rFonts w:hint="eastAsia" w:ascii="仿宋" w:hAnsi="仿宋" w:eastAsia="仿宋"/>
          <w:b w:val="0"/>
          <w:bCs w:val="0"/>
        </w:rPr>
        <w:t>政拨款收入支出决算总表</w:t>
      </w:r>
      <w:bookmarkEnd w:id="82"/>
      <w:bookmarkEnd w:id="83"/>
    </w:p>
    <w:p>
      <w:pPr>
        <w:pStyle w:val="4"/>
        <w:keepNext/>
        <w:keepLines/>
        <w:pageBreakBefore w:val="0"/>
        <w:widowControl w:val="0"/>
        <w:kinsoku/>
        <w:wordWrap/>
        <w:overflowPunct/>
        <w:topLinePunct w:val="0"/>
        <w:autoSpaceDE/>
        <w:autoSpaceDN/>
        <w:bidi w:val="0"/>
        <w:adjustRightInd/>
        <w:snapToGrid/>
        <w:spacing w:line="560" w:lineRule="exact"/>
        <w:textAlignment w:val="auto"/>
        <w:rPr>
          <w:rStyle w:val="26"/>
          <w:rFonts w:ascii="仿宋" w:hAnsi="仿宋" w:eastAsia="仿宋"/>
          <w:b w:val="0"/>
          <w:bCs w:val="0"/>
        </w:rPr>
      </w:pPr>
      <w:bookmarkStart w:id="84" w:name="_Toc16488"/>
      <w:bookmarkStart w:id="85" w:name="_Toc15396623"/>
      <w:r>
        <w:rPr>
          <w:rStyle w:val="26"/>
          <w:rFonts w:hint="eastAsia" w:ascii="仿宋" w:hAnsi="仿宋" w:eastAsia="仿宋"/>
          <w:b w:val="0"/>
          <w:bCs w:val="0"/>
        </w:rPr>
        <w:t>五、</w:t>
      </w:r>
      <w:r>
        <w:rPr>
          <w:rFonts w:hint="eastAsia" w:ascii="仿宋" w:hAnsi="仿宋" w:eastAsia="仿宋"/>
          <w:b w:val="0"/>
        </w:rPr>
        <w:t>财</w:t>
      </w:r>
      <w:r>
        <w:rPr>
          <w:rStyle w:val="26"/>
          <w:rFonts w:hint="eastAsia" w:ascii="仿宋" w:hAnsi="仿宋" w:eastAsia="仿宋"/>
          <w:b w:val="0"/>
          <w:bCs w:val="0"/>
        </w:rPr>
        <w:t>政拨款支出决算明细表</w:t>
      </w:r>
      <w:bookmarkEnd w:id="84"/>
      <w:bookmarkEnd w:id="85"/>
      <w:bookmarkStart w:id="86" w:name="_Toc15396624"/>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bookmarkStart w:id="87" w:name="_Toc1079"/>
      <w:r>
        <w:rPr>
          <w:rStyle w:val="26"/>
          <w:rFonts w:hint="eastAsia" w:ascii="仿宋" w:hAnsi="仿宋" w:eastAsia="仿宋"/>
          <w:b w:val="0"/>
          <w:bCs w:val="0"/>
        </w:rPr>
        <w:t>六、</w:t>
      </w:r>
      <w:r>
        <w:rPr>
          <w:rFonts w:hint="eastAsia" w:ascii="仿宋" w:hAnsi="仿宋" w:eastAsia="仿宋"/>
          <w:b w:val="0"/>
        </w:rPr>
        <w:t>一</w:t>
      </w:r>
      <w:r>
        <w:rPr>
          <w:rStyle w:val="26"/>
          <w:rFonts w:hint="eastAsia" w:ascii="仿宋" w:hAnsi="仿宋" w:eastAsia="仿宋"/>
          <w:b w:val="0"/>
          <w:bCs w:val="0"/>
        </w:rPr>
        <w:t>般公共预算财政拨款支出决算表</w:t>
      </w:r>
      <w:bookmarkEnd w:id="86"/>
      <w:bookmarkEnd w:id="87"/>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bookmarkStart w:id="88" w:name="_Toc15396625"/>
      <w:bookmarkStart w:id="89" w:name="_Toc17826"/>
      <w:r>
        <w:rPr>
          <w:rStyle w:val="26"/>
          <w:rFonts w:hint="eastAsia" w:ascii="仿宋" w:hAnsi="仿宋" w:eastAsia="仿宋"/>
          <w:b w:val="0"/>
          <w:bCs w:val="0"/>
        </w:rPr>
        <w:t>七、</w:t>
      </w:r>
      <w:r>
        <w:rPr>
          <w:rFonts w:hint="eastAsia" w:ascii="仿宋" w:hAnsi="仿宋" w:eastAsia="仿宋"/>
          <w:b w:val="0"/>
        </w:rPr>
        <w:t>一</w:t>
      </w:r>
      <w:r>
        <w:rPr>
          <w:rStyle w:val="26"/>
          <w:rFonts w:hint="eastAsia" w:ascii="仿宋" w:hAnsi="仿宋" w:eastAsia="仿宋"/>
          <w:b w:val="0"/>
          <w:bCs w:val="0"/>
        </w:rPr>
        <w:t>般公共预算财政拨款支出决算明细表</w:t>
      </w:r>
      <w:bookmarkEnd w:id="88"/>
      <w:bookmarkEnd w:id="89"/>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bookmarkStart w:id="90" w:name="_Toc15396626"/>
      <w:bookmarkStart w:id="91" w:name="_Toc30414"/>
      <w:r>
        <w:rPr>
          <w:rStyle w:val="26"/>
          <w:rFonts w:hint="eastAsia" w:ascii="仿宋" w:hAnsi="仿宋" w:eastAsia="仿宋"/>
          <w:b w:val="0"/>
          <w:bCs w:val="0"/>
        </w:rPr>
        <w:t>八、</w:t>
      </w:r>
      <w:r>
        <w:rPr>
          <w:rFonts w:hint="eastAsia" w:ascii="仿宋" w:hAnsi="仿宋" w:eastAsia="仿宋"/>
          <w:b w:val="0"/>
        </w:rPr>
        <w:t>一</w:t>
      </w:r>
      <w:r>
        <w:rPr>
          <w:rStyle w:val="26"/>
          <w:rFonts w:hint="eastAsia" w:ascii="仿宋" w:hAnsi="仿宋" w:eastAsia="仿宋"/>
          <w:b w:val="0"/>
          <w:bCs w:val="0"/>
        </w:rPr>
        <w:t>般公共预算财政拨款基本支出决算表</w:t>
      </w:r>
      <w:bookmarkEnd w:id="90"/>
      <w:bookmarkEnd w:id="91"/>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bookmarkStart w:id="92" w:name="_Toc28465"/>
      <w:bookmarkStart w:id="93" w:name="_Toc15396627"/>
      <w:r>
        <w:rPr>
          <w:rStyle w:val="26"/>
          <w:rFonts w:hint="eastAsia" w:ascii="仿宋" w:hAnsi="仿宋" w:eastAsia="仿宋"/>
          <w:b w:val="0"/>
          <w:bCs w:val="0"/>
        </w:rPr>
        <w:t>九、</w:t>
      </w:r>
      <w:r>
        <w:rPr>
          <w:rFonts w:hint="eastAsia" w:ascii="仿宋" w:hAnsi="仿宋" w:eastAsia="仿宋"/>
          <w:b w:val="0"/>
        </w:rPr>
        <w:t>一</w:t>
      </w:r>
      <w:r>
        <w:rPr>
          <w:rStyle w:val="26"/>
          <w:rFonts w:hint="eastAsia" w:ascii="仿宋" w:hAnsi="仿宋" w:eastAsia="仿宋"/>
          <w:b w:val="0"/>
          <w:bCs w:val="0"/>
        </w:rPr>
        <w:t>般公共预算财政拨款项目支出决算表</w:t>
      </w:r>
      <w:bookmarkEnd w:id="92"/>
      <w:bookmarkEnd w:id="93"/>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bookmarkStart w:id="94" w:name="_Toc23999"/>
      <w:bookmarkStart w:id="95" w:name="_Toc15396628"/>
      <w:r>
        <w:rPr>
          <w:rStyle w:val="26"/>
          <w:rFonts w:hint="eastAsia" w:ascii="仿宋" w:hAnsi="仿宋" w:eastAsia="仿宋"/>
          <w:b w:val="0"/>
          <w:bCs w:val="0"/>
        </w:rPr>
        <w:t>十、</w:t>
      </w:r>
      <w:r>
        <w:rPr>
          <w:rFonts w:hint="eastAsia" w:ascii="仿宋" w:hAnsi="仿宋" w:eastAsia="仿宋"/>
          <w:b w:val="0"/>
        </w:rPr>
        <w:t>一</w:t>
      </w:r>
      <w:r>
        <w:rPr>
          <w:rStyle w:val="26"/>
          <w:rFonts w:hint="eastAsia" w:ascii="仿宋" w:hAnsi="仿宋" w:eastAsia="仿宋"/>
          <w:b w:val="0"/>
          <w:bCs w:val="0"/>
        </w:rPr>
        <w:t>般公共预算财政拨款“三公”经费支出决算表</w:t>
      </w:r>
      <w:bookmarkEnd w:id="94"/>
      <w:bookmarkEnd w:id="95"/>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lang w:eastAsia="zh-CN"/>
        </w:rPr>
      </w:pPr>
      <w:bookmarkStart w:id="96" w:name="_Toc22687"/>
      <w:bookmarkStart w:id="97" w:name="_Toc15396629"/>
      <w:r>
        <w:rPr>
          <w:rStyle w:val="26"/>
          <w:rFonts w:hint="eastAsia" w:ascii="仿宋" w:hAnsi="仿宋" w:eastAsia="仿宋"/>
          <w:b w:val="0"/>
          <w:bCs w:val="0"/>
        </w:rPr>
        <w:t>十一、</w:t>
      </w:r>
      <w:r>
        <w:rPr>
          <w:rFonts w:hint="eastAsia" w:ascii="仿宋" w:hAnsi="仿宋" w:eastAsia="仿宋"/>
          <w:b w:val="0"/>
        </w:rPr>
        <w:t>政</w:t>
      </w:r>
      <w:r>
        <w:rPr>
          <w:rStyle w:val="26"/>
          <w:rFonts w:hint="eastAsia" w:ascii="仿宋" w:hAnsi="仿宋" w:eastAsia="仿宋"/>
          <w:b w:val="0"/>
          <w:bCs w:val="0"/>
        </w:rPr>
        <w:t>府性基金预算财政拨款收入支出决算表</w:t>
      </w:r>
      <w:bookmarkEnd w:id="96"/>
      <w:bookmarkEnd w:id="97"/>
      <w:r>
        <w:rPr>
          <w:rStyle w:val="26"/>
          <w:rFonts w:hint="eastAsia" w:ascii="仿宋" w:hAnsi="仿宋" w:eastAsia="仿宋"/>
          <w:b w:val="0"/>
          <w:bCs w:val="0"/>
          <w:lang w:eastAsia="zh-CN"/>
        </w:rPr>
        <w:t>（</w:t>
      </w:r>
      <w:r>
        <w:rPr>
          <w:rStyle w:val="26"/>
          <w:rFonts w:hint="eastAsia" w:ascii="仿宋" w:hAnsi="仿宋" w:eastAsia="仿宋"/>
          <w:b w:val="0"/>
          <w:bCs w:val="0"/>
          <w:lang w:val="en-US" w:eastAsia="zh-CN"/>
        </w:rPr>
        <w:t>此表无数据</w:t>
      </w:r>
      <w:r>
        <w:rPr>
          <w:rStyle w:val="26"/>
          <w:rFonts w:hint="eastAsia" w:ascii="仿宋" w:hAnsi="仿宋" w:eastAsia="仿宋"/>
          <w:b w:val="0"/>
          <w:bCs w:val="0"/>
          <w:lang w:eastAsia="zh-CN"/>
        </w:rPr>
        <w:t>）</w:t>
      </w:r>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bookmarkStart w:id="98" w:name="_Toc15396630"/>
      <w:bookmarkStart w:id="99" w:name="_Toc27477"/>
      <w:r>
        <w:rPr>
          <w:rStyle w:val="26"/>
          <w:rFonts w:hint="eastAsia" w:ascii="仿宋" w:hAnsi="仿宋" w:eastAsia="仿宋"/>
          <w:b w:val="0"/>
          <w:bCs w:val="0"/>
        </w:rPr>
        <w:t>十二、</w:t>
      </w:r>
      <w:r>
        <w:rPr>
          <w:rFonts w:hint="eastAsia" w:ascii="仿宋" w:hAnsi="仿宋" w:eastAsia="仿宋"/>
          <w:b w:val="0"/>
        </w:rPr>
        <w:t>政</w:t>
      </w:r>
      <w:r>
        <w:rPr>
          <w:rStyle w:val="26"/>
          <w:rFonts w:hint="eastAsia" w:ascii="仿宋" w:hAnsi="仿宋" w:eastAsia="仿宋"/>
          <w:b w:val="0"/>
          <w:bCs w:val="0"/>
        </w:rPr>
        <w:t>府性基金预算财政拨款“三公”经费支出决算表</w:t>
      </w:r>
      <w:bookmarkEnd w:id="98"/>
      <w:bookmarkEnd w:id="99"/>
      <w:r>
        <w:rPr>
          <w:rStyle w:val="26"/>
          <w:rFonts w:hint="eastAsia" w:ascii="仿宋" w:hAnsi="仿宋" w:eastAsia="仿宋"/>
          <w:b w:val="0"/>
          <w:bCs w:val="0"/>
          <w:lang w:eastAsia="zh-CN"/>
        </w:rPr>
        <w:t>（</w:t>
      </w:r>
      <w:r>
        <w:rPr>
          <w:rStyle w:val="26"/>
          <w:rFonts w:hint="eastAsia" w:ascii="仿宋" w:hAnsi="仿宋" w:eastAsia="仿宋"/>
          <w:b w:val="0"/>
          <w:bCs w:val="0"/>
          <w:lang w:val="en-US" w:eastAsia="zh-CN"/>
        </w:rPr>
        <w:t>此表无数据</w:t>
      </w:r>
      <w:r>
        <w:rPr>
          <w:rStyle w:val="26"/>
          <w:rFonts w:hint="eastAsia" w:ascii="仿宋" w:hAnsi="仿宋" w:eastAsia="仿宋"/>
          <w:b w:val="0"/>
          <w:bCs w:val="0"/>
          <w:lang w:eastAsia="zh-CN"/>
        </w:rPr>
        <w:t>）</w:t>
      </w:r>
    </w:p>
    <w:p>
      <w:pPr>
        <w:pStyle w:val="4"/>
        <w:keepNext/>
        <w:keepLines/>
        <w:pageBreakBefore w:val="0"/>
        <w:widowControl w:val="0"/>
        <w:kinsoku/>
        <w:wordWrap/>
        <w:overflowPunct/>
        <w:topLinePunct w:val="0"/>
        <w:autoSpaceDE/>
        <w:autoSpaceDN/>
        <w:bidi w:val="0"/>
        <w:adjustRightInd/>
        <w:snapToGrid/>
        <w:spacing w:line="560" w:lineRule="exact"/>
        <w:textAlignment w:val="auto"/>
        <w:rPr>
          <w:rStyle w:val="26"/>
          <w:rFonts w:ascii="仿宋" w:hAnsi="仿宋" w:eastAsia="仿宋"/>
          <w:b w:val="0"/>
          <w:bCs w:val="0"/>
        </w:rPr>
      </w:pPr>
      <w:bookmarkStart w:id="100" w:name="_Toc25701"/>
      <w:bookmarkStart w:id="101" w:name="_Toc15396631"/>
      <w:r>
        <w:rPr>
          <w:rStyle w:val="26"/>
          <w:rFonts w:hint="eastAsia" w:ascii="仿宋" w:hAnsi="仿宋" w:eastAsia="仿宋"/>
          <w:b w:val="0"/>
          <w:bCs w:val="0"/>
        </w:rPr>
        <w:t>十三、</w:t>
      </w:r>
      <w:r>
        <w:rPr>
          <w:rFonts w:hint="eastAsia" w:ascii="仿宋" w:hAnsi="仿宋" w:eastAsia="仿宋"/>
          <w:b w:val="0"/>
        </w:rPr>
        <w:t>国</w:t>
      </w:r>
      <w:r>
        <w:rPr>
          <w:rStyle w:val="26"/>
          <w:rFonts w:hint="eastAsia" w:ascii="仿宋" w:hAnsi="仿宋" w:eastAsia="仿宋"/>
          <w:b w:val="0"/>
          <w:bCs w:val="0"/>
        </w:rPr>
        <w:t>有资本经营预算财政拨款收入支出决算表</w:t>
      </w:r>
      <w:bookmarkEnd w:id="100"/>
      <w:bookmarkEnd w:id="101"/>
      <w:r>
        <w:rPr>
          <w:rStyle w:val="26"/>
          <w:rFonts w:hint="eastAsia" w:ascii="仿宋" w:hAnsi="仿宋" w:eastAsia="仿宋"/>
          <w:b w:val="0"/>
          <w:bCs w:val="0"/>
          <w:lang w:eastAsia="zh-CN"/>
        </w:rPr>
        <w:t>（</w:t>
      </w:r>
      <w:r>
        <w:rPr>
          <w:rStyle w:val="26"/>
          <w:rFonts w:hint="eastAsia" w:ascii="仿宋" w:hAnsi="仿宋" w:eastAsia="仿宋"/>
          <w:b w:val="0"/>
          <w:bCs w:val="0"/>
          <w:lang w:val="en-US" w:eastAsia="zh-CN"/>
        </w:rPr>
        <w:t>此表无数据</w:t>
      </w:r>
      <w:r>
        <w:rPr>
          <w:rStyle w:val="26"/>
          <w:rFonts w:hint="eastAsia" w:ascii="仿宋" w:hAnsi="仿宋" w:eastAsia="仿宋"/>
          <w:b w:val="0"/>
          <w:bCs w:val="0"/>
          <w:lang w:eastAsia="zh-CN"/>
        </w:rPr>
        <w:t>）</w:t>
      </w:r>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eastAsia="仿宋"/>
        </w:rPr>
      </w:pPr>
      <w:bookmarkStart w:id="102" w:name="_Toc29713"/>
      <w:r>
        <w:rPr>
          <w:rStyle w:val="26"/>
          <w:rFonts w:hint="eastAsia" w:ascii="仿宋" w:hAnsi="仿宋" w:eastAsia="仿宋"/>
          <w:b w:val="0"/>
          <w:bCs w:val="0"/>
        </w:rPr>
        <w:t>十四、国有资本经营预算财政拨款支出决算表</w:t>
      </w:r>
      <w:bookmarkEnd w:id="102"/>
      <w:r>
        <w:rPr>
          <w:rStyle w:val="26"/>
          <w:rFonts w:hint="eastAsia" w:ascii="仿宋" w:hAnsi="仿宋" w:eastAsia="仿宋"/>
          <w:b w:val="0"/>
          <w:bCs w:val="0"/>
          <w:lang w:eastAsia="zh-CN"/>
        </w:rPr>
        <w:t>（</w:t>
      </w:r>
      <w:r>
        <w:rPr>
          <w:rStyle w:val="26"/>
          <w:rFonts w:hint="eastAsia" w:ascii="仿宋" w:hAnsi="仿宋" w:eastAsia="仿宋"/>
          <w:b w:val="0"/>
          <w:bCs w:val="0"/>
          <w:lang w:val="en-US" w:eastAsia="zh-CN"/>
        </w:rPr>
        <w:t>此表无数据</w:t>
      </w:r>
      <w:r>
        <w:rPr>
          <w:rStyle w:val="26"/>
          <w:rFonts w:hint="eastAsia" w:ascii="仿宋" w:hAnsi="仿宋" w:eastAsia="仿宋"/>
          <w:b w:val="0"/>
          <w:bCs w:val="0"/>
          <w:lang w:eastAsia="zh-CN"/>
        </w:rPr>
        <w:t>）</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Sun-ExtB"/>
    <w:panose1 w:val="02010609060101010101"/>
    <w:charset w:val="86"/>
    <w:family w:val="auto"/>
    <w:pitch w:val="default"/>
    <w:sig w:usb0="800002BF" w:usb1="38CF7CFA" w:usb2="00000016" w:usb3="00000000" w:csb0="00040001" w:csb1="00000000"/>
    <w:embedRegular r:id="rId1" w:fontKey="{B1E22814-A184-48A6-AC92-343A301F405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embedRegular r:id="rId2" w:fontKey="{85E502DC-1BEE-41CE-B563-B718EFBCD6E1}"/>
  </w:font>
  <w:font w:name="仿宋_GB2312">
    <w:altName w:val="仿宋"/>
    <w:panose1 w:val="00000000000000000000"/>
    <w:charset w:val="86"/>
    <w:family w:val="modern"/>
    <w:pitch w:val="default"/>
    <w:sig w:usb0="00000000" w:usb1="00000000" w:usb2="00000000" w:usb3="00000000" w:csb0="00040000" w:csb1="00000000"/>
    <w:embedRegular r:id="rId3" w:fontKey="{06C581CC-101C-420F-9DAF-480C9391E3C3}"/>
  </w:font>
  <w:font w:name="仿宋">
    <w:panose1 w:val="02010609060101010101"/>
    <w:charset w:val="86"/>
    <w:family w:val="modern"/>
    <w:pitch w:val="default"/>
    <w:sig w:usb0="800002BF" w:usb1="38CF7CFA" w:usb2="00000016" w:usb3="00000000" w:csb0="00040001" w:csb1="00000000"/>
    <w:embedRegular r:id="rId4" w:fontKey="{0322E2E2-9BE8-45C5-83C0-9039D671FD4C}"/>
  </w:font>
  <w:font w:name="方正小标宋简体">
    <w:panose1 w:val="02000000000000000000"/>
    <w:charset w:val="86"/>
    <w:family w:val="script"/>
    <w:pitch w:val="default"/>
    <w:sig w:usb0="00000001" w:usb1="08000000" w:usb2="00000000" w:usb3="00000000" w:csb0="00040000" w:csb1="00000000"/>
    <w:embedRegular r:id="rId5" w:fontKey="{16230033-0E0C-4051-8CB2-6EE31A03D1B8}"/>
  </w:font>
  <w:font w:name="方正仿宋_GB2312">
    <w:panose1 w:val="02000000000000000000"/>
    <w:charset w:val="86"/>
    <w:family w:val="auto"/>
    <w:pitch w:val="default"/>
    <w:sig w:usb0="A00002BF" w:usb1="184F6CFA" w:usb2="00000012" w:usb3="00000000" w:csb0="00040001" w:csb1="00000000"/>
    <w:embedRegular r:id="rId6" w:fontKey="{C831A1D4-03BE-466A-A629-B2FE73AE953B}"/>
  </w:font>
  <w:font w:name="SimSun-ExtB">
    <w:panose1 w:val="02010609060101010101"/>
    <w:charset w:val="86"/>
    <w:family w:val="auto"/>
    <w:pitch w:val="default"/>
    <w:sig w:usb0="00000001" w:usb1="02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20</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3MjI3Mzk4YjE5NmU1Y2MyZjE3NTYwMGQzZjU4MGUifQ=="/>
  </w:docVars>
  <w:rsids>
    <w:rsidRoot w:val="001378BE"/>
    <w:rsid w:val="001378BE"/>
    <w:rsid w:val="002F3D15"/>
    <w:rsid w:val="00380F19"/>
    <w:rsid w:val="0038597B"/>
    <w:rsid w:val="005F2D53"/>
    <w:rsid w:val="00652C4F"/>
    <w:rsid w:val="00736EE7"/>
    <w:rsid w:val="00C402C3"/>
    <w:rsid w:val="00CA0723"/>
    <w:rsid w:val="00CD14C2"/>
    <w:rsid w:val="00FD17A4"/>
    <w:rsid w:val="0B3D4B1B"/>
    <w:rsid w:val="1C33473D"/>
    <w:rsid w:val="1D8C3285"/>
    <w:rsid w:val="37A776B1"/>
    <w:rsid w:val="4020683B"/>
    <w:rsid w:val="40CF23D7"/>
    <w:rsid w:val="639E767E"/>
    <w:rsid w:val="6BDD4B45"/>
    <w:rsid w:val="6C90660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8"/>
    <w:unhideWhenUsed/>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9"/>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8"/>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2"/>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4">
    <w:name w:val="列出段落1"/>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4"/>
    <w:link w:val="7"/>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fontstyle11"/>
    <w:qFormat/>
    <w:uiPriority w:val="0"/>
    <w:rPr>
      <w:rFonts w:ascii="仿宋_GB2312" w:hAnsi="Calibri" w:eastAsia="仿宋_GB2312" w:cs="Times New Roman"/>
      <w:color w:val="000000"/>
      <w:sz w:val="32"/>
      <w:szCs w:val="32"/>
    </w:rPr>
  </w:style>
  <w:style w:type="character" w:customStyle="1" w:styleId="32">
    <w:name w:val="NormalCharacter"/>
    <w:qFormat/>
    <w:uiPriority w:val="0"/>
    <w:rPr>
      <w:rFonts w:ascii="Times New Roman" w:hAnsi="Times New Roman" w:eastAsia="宋体"/>
    </w:rPr>
  </w:style>
  <w:style w:type="paragraph" w:customStyle="1" w:styleId="33">
    <w:name w:val="WPSOffice手动目录 1"/>
    <w:qFormat/>
    <w:uiPriority w:val="0"/>
    <w:rPr>
      <w:rFonts w:asciiTheme="minorHAnsi" w:hAnsiTheme="minorHAnsi" w:eastAsiaTheme="minorEastAsia" w:cstheme="minorBidi"/>
      <w:lang w:val="en-US" w:eastAsia="zh-CN" w:bidi="ar-SA"/>
    </w:rPr>
  </w:style>
  <w:style w:type="paragraph" w:customStyle="1" w:styleId="34">
    <w:name w:val="WPSOffice手动目录 2"/>
    <w:qFormat/>
    <w:uiPriority w:val="0"/>
    <w:pPr>
      <w:ind w:left="200" w:leftChars="200"/>
    </w:pPr>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rPr lang="zh-CN" altLang="en-US"/>
              <a:t>收、支决算总计变动情况图</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2020年</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收入总计</c:v>
                </c:pt>
                <c:pt idx="1">
                  <c:v>支出总计</c:v>
                </c:pt>
              </c:strCache>
            </c:strRef>
          </c:cat>
          <c:val>
            <c:numRef>
              <c:f>Sheet1!$B$2:$B$3</c:f>
              <c:numCache>
                <c:formatCode>General</c:formatCode>
                <c:ptCount val="2"/>
                <c:pt idx="0">
                  <c:v>447.97</c:v>
                </c:pt>
                <c:pt idx="1">
                  <c:v>447.97</c:v>
                </c:pt>
              </c:numCache>
            </c:numRef>
          </c:val>
        </c:ser>
        <c:ser>
          <c:idx val="1"/>
          <c:order val="1"/>
          <c:tx>
            <c:strRef>
              <c:f>Sheet1!$C$1</c:f>
              <c:strCache>
                <c:ptCount val="1"/>
                <c:pt idx="0">
                  <c:v>2021年</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收入总计</c:v>
                </c:pt>
                <c:pt idx="1">
                  <c:v>支出总计</c:v>
                </c:pt>
              </c:strCache>
            </c:strRef>
          </c:cat>
          <c:val>
            <c:numRef>
              <c:f>Sheet1!$C$2:$C$3</c:f>
              <c:numCache>
                <c:formatCode>General</c:formatCode>
                <c:ptCount val="2"/>
                <c:pt idx="0">
                  <c:v>151.29</c:v>
                </c:pt>
                <c:pt idx="1">
                  <c:v>151.29</c:v>
                </c:pt>
              </c:numCache>
            </c:numRef>
          </c:val>
        </c:ser>
        <c:dLbls>
          <c:showLegendKey val="0"/>
          <c:showVal val="1"/>
          <c:showCatName val="0"/>
          <c:showSerName val="0"/>
          <c:showPercent val="0"/>
          <c:showBubbleSize val="0"/>
        </c:dLbls>
        <c:gapWidth val="65"/>
        <c:axId val="168846832"/>
        <c:axId val="168853360"/>
      </c:barChart>
      <c:catAx>
        <c:axId val="168846832"/>
        <c:scaling>
          <c:orientation val="minMax"/>
        </c:scaling>
        <c:delete val="0"/>
        <c:axPos val="b"/>
        <c:numFmt formatCode="General" sourceLinked="0"/>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zh-CN" sz="900" b="0" i="0" u="none" strike="noStrike" kern="1200" cap="all" baseline="0">
                <a:solidFill>
                  <a:schemeClr val="dk1">
                    <a:lumMod val="75000"/>
                    <a:lumOff val="25000"/>
                  </a:schemeClr>
                </a:solidFill>
                <a:latin typeface="+mn-lt"/>
                <a:ea typeface="+mn-ea"/>
                <a:cs typeface="+mn-cs"/>
              </a:defRPr>
            </a:pPr>
          </a:p>
        </c:txPr>
        <c:crossAx val="168853360"/>
        <c:crosses val="autoZero"/>
        <c:auto val="1"/>
        <c:lblAlgn val="ctr"/>
        <c:lblOffset val="100"/>
        <c:noMultiLvlLbl val="0"/>
      </c:catAx>
      <c:valAx>
        <c:axId val="16885336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crossAx val="168846832"/>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1"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rPr lang="zh-CN" altLang="en-US"/>
              <a:t>收入决算结构图</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1"/>
              </a:solidFill>
              <a:ln>
                <a:noFill/>
              </a:ln>
              <a:effectLst>
                <a:outerShdw blurRad="254000" sx="102000" sy="102000" algn="ctr" rotWithShape="0">
                  <a:prstClr val="black">
                    <a:alpha val="20000"/>
                  </a:prstClr>
                </a:outerShdw>
              </a:effectLst>
            </c:spPr>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zh-CN" sz="1000" b="1" i="0" u="none" strike="noStrike" kern="1200" baseline="0">
                    <a:solidFill>
                      <a:schemeClr val="lt1"/>
                    </a:solidFill>
                    <a:latin typeface="+mn-lt"/>
                    <a:ea typeface="+mn-ea"/>
                    <a:cs typeface="+mn-cs"/>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c:f>
              <c:strCache>
                <c:ptCount val="1"/>
                <c:pt idx="0">
                  <c:v>一般公共预算财政拨款收入</c:v>
                </c:pt>
              </c:strCache>
            </c:strRef>
          </c:cat>
          <c:val>
            <c:numRef>
              <c:f>Sheet1!$B$2</c:f>
              <c:numCache>
                <c:formatCode>General</c:formatCode>
                <c:ptCount val="1"/>
                <c:pt idx="0">
                  <c:v>139.33</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rPr lang="zh-CN" altLang="en-US"/>
              <a:t>支出决算结构图</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1"/>
              </a:solidFill>
              <a:ln>
                <a:noFill/>
              </a:ln>
              <a:effectLst>
                <a:outerShdw blurRad="254000" sx="102000" sy="102000" algn="ctr" rotWithShape="0">
                  <a:prstClr val="black">
                    <a:alpha val="20000"/>
                  </a:prstClr>
                </a:outerShdw>
              </a:effectLst>
            </c:spPr>
          </c:dPt>
          <c:dPt>
            <c:idx val="1"/>
            <c:bubble3D val="0"/>
            <c:spPr>
              <a:solidFill>
                <a:schemeClr val="accent2"/>
              </a:solidFill>
              <a:ln>
                <a:noFill/>
              </a:ln>
              <a:effectLst>
                <a:outerShdw blurRad="254000" sx="102000" sy="102000" algn="ctr" rotWithShape="0">
                  <a:prstClr val="black">
                    <a:alpha val="20000"/>
                  </a:prstClr>
                </a:outerShdw>
              </a:effectLst>
            </c:spPr>
          </c:dPt>
          <c:dLbls>
            <c:dLbl>
              <c:idx val="1"/>
              <c:layout>
                <c:manualLayout>
                  <c:x val="-0.0415932942143806"/>
                  <c:y val="0.0121913614215604"/>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zh-CN" sz="1000" b="1" i="0" u="none" strike="noStrike" kern="1200" baseline="0">
                    <a:solidFill>
                      <a:schemeClr val="lt1"/>
                    </a:solidFill>
                    <a:latin typeface="+mn-lt"/>
                    <a:ea typeface="+mn-ea"/>
                    <a:cs typeface="+mn-cs"/>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119.13</c:v>
                </c:pt>
                <c:pt idx="1">
                  <c:v>32.17</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rPr lang="zh-CN" altLang="en-US"/>
              <a:t>财政拨款收、支决算总计变动情况</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2020年</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财政拨款收入总计</c:v>
                </c:pt>
                <c:pt idx="1">
                  <c:v>财政拨款支出总计</c:v>
                </c:pt>
              </c:strCache>
            </c:strRef>
          </c:cat>
          <c:val>
            <c:numRef>
              <c:f>Sheet1!$B$2:$B$3</c:f>
              <c:numCache>
                <c:formatCode>General</c:formatCode>
                <c:ptCount val="2"/>
                <c:pt idx="0">
                  <c:v>447.97</c:v>
                </c:pt>
                <c:pt idx="1">
                  <c:v>447.97</c:v>
                </c:pt>
              </c:numCache>
            </c:numRef>
          </c:val>
        </c:ser>
        <c:ser>
          <c:idx val="1"/>
          <c:order val="1"/>
          <c:tx>
            <c:strRef>
              <c:f>Sheet1!$C$1</c:f>
              <c:strCache>
                <c:ptCount val="1"/>
                <c:pt idx="0">
                  <c:v>2021年</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财政拨款收入总计</c:v>
                </c:pt>
                <c:pt idx="1">
                  <c:v>财政拨款支出总计</c:v>
                </c:pt>
              </c:strCache>
            </c:strRef>
          </c:cat>
          <c:val>
            <c:numRef>
              <c:f>Sheet1!$C$2:$C$3</c:f>
              <c:numCache>
                <c:formatCode>General</c:formatCode>
                <c:ptCount val="2"/>
                <c:pt idx="0">
                  <c:v>151.29</c:v>
                </c:pt>
                <c:pt idx="1">
                  <c:v>151.29</c:v>
                </c:pt>
              </c:numCache>
            </c:numRef>
          </c:val>
        </c:ser>
        <c:dLbls>
          <c:showLegendKey val="0"/>
          <c:showVal val="1"/>
          <c:showCatName val="0"/>
          <c:showSerName val="0"/>
          <c:showPercent val="0"/>
          <c:showBubbleSize val="0"/>
        </c:dLbls>
        <c:gapWidth val="65"/>
        <c:axId val="169419800"/>
        <c:axId val="169424280"/>
      </c:barChart>
      <c:catAx>
        <c:axId val="169419800"/>
        <c:scaling>
          <c:orientation val="minMax"/>
        </c:scaling>
        <c:delete val="0"/>
        <c:axPos val="b"/>
        <c:numFmt formatCode="General" sourceLinked="0"/>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zh-CN" sz="900" b="0" i="0" u="none" strike="noStrike" kern="1200" cap="all" baseline="0">
                <a:solidFill>
                  <a:schemeClr val="dk1">
                    <a:lumMod val="75000"/>
                    <a:lumOff val="25000"/>
                  </a:schemeClr>
                </a:solidFill>
                <a:latin typeface="+mn-lt"/>
                <a:ea typeface="+mn-ea"/>
                <a:cs typeface="+mn-cs"/>
              </a:defRPr>
            </a:pPr>
          </a:p>
        </c:txPr>
        <c:crossAx val="169424280"/>
        <c:crosses val="autoZero"/>
        <c:auto val="1"/>
        <c:lblAlgn val="ctr"/>
        <c:lblOffset val="100"/>
        <c:noMultiLvlLbl val="0"/>
      </c:catAx>
      <c:valAx>
        <c:axId val="16942428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crossAx val="169419800"/>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1"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rPr lang="zh-CN" altLang="en-US"/>
              <a:t>一般公共预算财政拨款支出决算变动情况</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2020年</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c:f>
              <c:strCache>
                <c:ptCount val="1"/>
                <c:pt idx="0">
                  <c:v>一般公共预算财政拨款支出</c:v>
                </c:pt>
              </c:strCache>
            </c:strRef>
          </c:cat>
          <c:val>
            <c:numRef>
              <c:f>Sheet1!$B$2</c:f>
              <c:numCache>
                <c:formatCode>General</c:formatCode>
                <c:ptCount val="1"/>
                <c:pt idx="0">
                  <c:v>420.39</c:v>
                </c:pt>
              </c:numCache>
            </c:numRef>
          </c:val>
        </c:ser>
        <c:ser>
          <c:idx val="1"/>
          <c:order val="1"/>
          <c:tx>
            <c:strRef>
              <c:f>Sheet1!$C$1</c:f>
              <c:strCache>
                <c:ptCount val="1"/>
                <c:pt idx="0">
                  <c:v>2021年</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c:f>
              <c:strCache>
                <c:ptCount val="1"/>
                <c:pt idx="0">
                  <c:v>一般公共预算财政拨款支出</c:v>
                </c:pt>
              </c:strCache>
            </c:strRef>
          </c:cat>
          <c:val>
            <c:numRef>
              <c:f>Sheet1!$C$2</c:f>
              <c:numCache>
                <c:formatCode>General</c:formatCode>
                <c:ptCount val="1"/>
                <c:pt idx="0">
                  <c:v>151.29</c:v>
                </c:pt>
              </c:numCache>
            </c:numRef>
          </c:val>
        </c:ser>
        <c:dLbls>
          <c:showLegendKey val="0"/>
          <c:showVal val="1"/>
          <c:showCatName val="0"/>
          <c:showSerName val="0"/>
          <c:showPercent val="0"/>
          <c:showBubbleSize val="0"/>
        </c:dLbls>
        <c:gapWidth val="65"/>
        <c:axId val="169168208"/>
        <c:axId val="169168592"/>
      </c:barChart>
      <c:catAx>
        <c:axId val="169168208"/>
        <c:scaling>
          <c:orientation val="minMax"/>
        </c:scaling>
        <c:delete val="0"/>
        <c:axPos val="b"/>
        <c:numFmt formatCode="General" sourceLinked="0"/>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zh-CN" sz="900" b="0" i="0" u="none" strike="noStrike" kern="1200" cap="all" baseline="0">
                <a:solidFill>
                  <a:schemeClr val="dk1">
                    <a:lumMod val="75000"/>
                    <a:lumOff val="25000"/>
                  </a:schemeClr>
                </a:solidFill>
                <a:latin typeface="+mn-lt"/>
                <a:ea typeface="+mn-ea"/>
                <a:cs typeface="+mn-cs"/>
              </a:defRPr>
            </a:pPr>
          </a:p>
        </c:txPr>
        <c:crossAx val="169168592"/>
        <c:crosses val="autoZero"/>
        <c:auto val="1"/>
        <c:lblAlgn val="ctr"/>
        <c:lblOffset val="100"/>
        <c:noMultiLvlLbl val="0"/>
      </c:catAx>
      <c:valAx>
        <c:axId val="169168592"/>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crossAx val="169168208"/>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1"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rPr lang="zh-CN" altLang="en-US"/>
              <a:t>一般公共预算财政拨款支出决算结构</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1"/>
              </a:solidFill>
              <a:ln>
                <a:noFill/>
              </a:ln>
              <a:effectLst>
                <a:outerShdw blurRad="254000" sx="102000" sy="102000" algn="ctr" rotWithShape="0">
                  <a:prstClr val="black">
                    <a:alpha val="20000"/>
                  </a:prstClr>
                </a:outerShdw>
              </a:effectLst>
            </c:spPr>
          </c:dPt>
          <c:dPt>
            <c:idx val="1"/>
            <c:bubble3D val="0"/>
            <c:spPr>
              <a:solidFill>
                <a:schemeClr val="accent2"/>
              </a:solidFill>
              <a:ln>
                <a:noFill/>
              </a:ln>
              <a:effectLst>
                <a:outerShdw blurRad="254000" sx="102000" sy="102000" algn="ctr" rotWithShape="0">
                  <a:prstClr val="black">
                    <a:alpha val="20000"/>
                  </a:prstClr>
                </a:outerShdw>
              </a:effectLst>
            </c:spPr>
          </c:dPt>
          <c:dLbls>
            <c:dLbl>
              <c:idx val="1"/>
              <c:layout>
                <c:manualLayout>
                  <c:x val="-0.0718053574116605"/>
                  <c:y val="0.0100173112927459"/>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zh-CN" sz="1000" b="1" i="0" u="none" strike="noStrike" kern="1200" baseline="0">
                    <a:solidFill>
                      <a:schemeClr val="lt1"/>
                    </a:solidFill>
                    <a:latin typeface="+mn-lt"/>
                    <a:ea typeface="+mn-ea"/>
                    <a:cs typeface="+mn-cs"/>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社会保障和就业支出</c:v>
                </c:pt>
                <c:pt idx="1">
                  <c:v>住房保障支出</c:v>
                </c:pt>
              </c:strCache>
            </c:strRef>
          </c:cat>
          <c:val>
            <c:numRef>
              <c:f>Sheet1!$B$2:$B$3</c:f>
              <c:numCache>
                <c:formatCode>General</c:formatCode>
                <c:ptCount val="2"/>
                <c:pt idx="0">
                  <c:v>143.83</c:v>
                </c:pt>
                <c:pt idx="1">
                  <c:v>7.46</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rPr lang="zh-CN" altLang="en-US"/>
              <a:t>“三公”经费财政拨款支出结构</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1"/>
              </a:solidFill>
              <a:ln>
                <a:noFill/>
              </a:ln>
              <a:effectLst>
                <a:outerShdw blurRad="254000" sx="102000" sy="102000" algn="ctr" rotWithShape="0">
                  <a:prstClr val="black">
                    <a:alpha val="20000"/>
                  </a:prstClr>
                </a:outerShdw>
              </a:effectLst>
            </c:spPr>
          </c:dPt>
          <c:dPt>
            <c:idx val="1"/>
            <c:bubble3D val="0"/>
            <c:spPr>
              <a:solidFill>
                <a:schemeClr val="accent2"/>
              </a:solidFill>
              <a:ln>
                <a:noFill/>
              </a:ln>
              <a:effectLst>
                <a:outerShdw blurRad="254000" sx="102000" sy="102000" algn="ctr" rotWithShape="0">
                  <a:prstClr val="black">
                    <a:alpha val="20000"/>
                  </a:prstClr>
                </a:outerShdw>
              </a:effectLst>
            </c:spPr>
          </c:dPt>
          <c:dLbls>
            <c:dLbl>
              <c:idx val="1"/>
              <c:layout>
                <c:manualLayout>
                  <c:x val="-0.0763681584797181"/>
                  <c:y val="0.00796345634583285"/>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zh-CN" sz="1000" b="1" i="0" u="none" strike="noStrike" kern="1200" baseline="0">
                    <a:solidFill>
                      <a:schemeClr val="lt1"/>
                    </a:solidFill>
                    <a:latin typeface="+mn-lt"/>
                    <a:ea typeface="+mn-ea"/>
                    <a:cs typeface="+mn-cs"/>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公务用车购置及运行维护费</c:v>
                </c:pt>
                <c:pt idx="1">
                  <c:v>公务接待费</c:v>
                </c:pt>
              </c:strCache>
            </c:strRef>
          </c:cat>
          <c:val>
            <c:numRef>
              <c:f>Sheet1!$B$2:$B$3</c:f>
              <c:numCache>
                <c:formatCode>General</c:formatCode>
                <c:ptCount val="2"/>
                <c:pt idx="0">
                  <c:v>1.44</c:v>
                </c:pt>
                <c:pt idx="1">
                  <c:v>0.03</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30</Pages>
  <Words>1983</Words>
  <Characters>11306</Characters>
  <Lines>94</Lines>
  <Paragraphs>26</Paragraphs>
  <TotalTime>0</TotalTime>
  <ScaleCrop>false</ScaleCrop>
  <LinksUpToDate>false</LinksUpToDate>
  <CharactersWithSpaces>13263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2020-08-05T09:49:00Z</dcterms:created>
  <dc:creator>曹颖</dc:creator>
  <cp:lastModifiedBy>鸢尾</cp:lastModifiedBy>
  <cp:lastPrinted>2022-08-06T10:23:00Z</cp:lastPrinted>
  <dcterms:modified xsi:type="dcterms:W3CDTF">2023-10-07T08:31:16Z</dcterms:modified>
  <dc:title>四川省***</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D05C162D015E4418B6233E915F6C5379</vt:lpwstr>
  </property>
</Properties>
</file>