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colors8.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charts/style8.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theme/themeOverride2.xml" ContentType="application/vnd.openxmlformats-officedocument.themeOverride+xml"/>
  <Override PartName="/word/theme/themeOverride3.xml" ContentType="application/vnd.openxmlformats-officedocument.themeOverride+xml"/>
  <Override PartName="/word/theme/themeOverride4.xml" ContentType="application/vnd.openxmlformats-officedocument.themeOverride+xml"/>
  <Override PartName="/word/theme/themeOverride5.xml" ContentType="application/vnd.openxmlformats-officedocument.themeOverride+xml"/>
  <Override PartName="/word/theme/themeOverride6.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Style w:val="20"/>
        </w:rPr>
      </w:pPr>
      <w:bookmarkStart w:id="0" w:name="_Toc15396475"/>
      <w:bookmarkStart w:id="1" w:name="_Toc15377193"/>
      <w:bookmarkStart w:id="2" w:name="_Toc15396597"/>
      <w:bookmarkStart w:id="3" w:name="_Toc15378441"/>
      <w:bookmarkStart w:id="4" w:name="_Toc15377425"/>
      <w:bookmarkStart w:id="5" w:name="_Toc15306267"/>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2021年度</w:t>
      </w:r>
      <w:bookmarkEnd w:id="0"/>
      <w:bookmarkEnd w:id="1"/>
      <w:bookmarkEnd w:id="2"/>
      <w:bookmarkEnd w:id="3"/>
      <w:bookmarkEnd w:id="4"/>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6" w:name="_Toc15377426"/>
      <w:bookmarkStart w:id="7" w:name="_Toc15378442"/>
      <w:bookmarkStart w:id="8" w:name="_Toc15396598"/>
      <w:bookmarkStart w:id="9" w:name="_Toc15396476"/>
      <w:bookmarkStart w:id="10" w:name="_Toc15377194"/>
      <w:r>
        <w:rPr>
          <w:rFonts w:hint="eastAsia" w:ascii="方正小标宋简体" w:hAnsi="方正小标宋简体" w:eastAsia="方正小标宋简体" w:cs="方正小标宋简体"/>
          <w:sz w:val="72"/>
          <w:szCs w:val="72"/>
        </w:rPr>
        <w:t>四川省</w:t>
      </w:r>
      <w:bookmarkEnd w:id="5"/>
      <w:bookmarkStart w:id="11" w:name="_Toc15306268"/>
      <w:r>
        <w:rPr>
          <w:rFonts w:hint="eastAsia" w:ascii="方正小标宋简体" w:hAnsi="方正小标宋简体" w:eastAsia="方正小标宋简体" w:cs="方正小标宋简体"/>
          <w:sz w:val="72"/>
          <w:szCs w:val="72"/>
          <w:lang w:eastAsia="zh-CN"/>
        </w:rPr>
        <w:t>攀枝花市成都干部服务中心单位</w:t>
      </w:r>
      <w:r>
        <w:rPr>
          <w:rFonts w:hint="eastAsia" w:ascii="方正小标宋简体" w:hAnsi="方正小标宋简体" w:eastAsia="方正小标宋简体" w:cs="方正小标宋简体"/>
          <w:sz w:val="72"/>
          <w:szCs w:val="72"/>
        </w:rPr>
        <w:t>决算</w:t>
      </w:r>
      <w:bookmarkEnd w:id="6"/>
      <w:bookmarkEnd w:id="7"/>
      <w:bookmarkEnd w:id="8"/>
      <w:bookmarkEnd w:id="9"/>
      <w:bookmarkEnd w:id="10"/>
      <w:bookmarkEnd w:id="11"/>
    </w:p>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0"/>
      </w:pPr>
      <w:r>
        <w:rPr>
          <w:rFonts w:hint="eastAsia"/>
        </w:rPr>
        <w:t>公开时间：2022年</w:t>
      </w:r>
      <w:r>
        <w:rPr>
          <w:rFonts w:hint="eastAsia"/>
          <w:lang w:val="en-US" w:eastAsia="zh-CN"/>
        </w:rPr>
        <w:t>9</w:t>
      </w:r>
      <w:r>
        <w:rPr>
          <w:rFonts w:hint="eastAsia"/>
        </w:rPr>
        <w:t>月9日</w:t>
      </w:r>
    </w:p>
    <w:p/>
    <w:p>
      <w:pPr>
        <w:pStyle w:val="10"/>
        <w:adjustRightInd w:val="0"/>
        <w:snapToGrid w:val="0"/>
        <w:spacing w:before="0" w:line="440" w:lineRule="exact"/>
        <w:jc w:val="left"/>
        <w:rPr>
          <w:rFonts w:hint="default" w:eastAsia="仿宋" w:cstheme="minorBidi"/>
          <w:sz w:val="24"/>
          <w:szCs w:val="24"/>
          <w:lang w:val="en-US" w:eastAsia="zh-CN"/>
        </w:rPr>
      </w:pPr>
      <w:r>
        <w:rPr>
          <w:rFonts w:hint="eastAsia"/>
          <w:sz w:val="24"/>
        </w:rPr>
        <w:t>第一部分</w:t>
      </w:r>
      <w:r>
        <w:rPr>
          <w:sz w:val="24"/>
        </w:rPr>
        <w:t xml:space="preserve"> </w:t>
      </w:r>
      <w:r>
        <w:rPr>
          <w:rFonts w:hint="eastAsia"/>
          <w:sz w:val="24"/>
        </w:rPr>
        <w:t>部门概况</w:t>
      </w:r>
      <w:r>
        <w:rPr>
          <w:rFonts w:hint="eastAsia"/>
          <w:sz w:val="24"/>
          <w:lang w:val="en-US" w:eastAsia="zh-CN"/>
        </w:rPr>
        <w:t>...................................................</w:t>
      </w:r>
      <w:r>
        <w:rPr>
          <w:rFonts w:hint="eastAsia" w:ascii="Times New Roman" w:hAnsi="Times New Roman" w:eastAsia="宋体" w:cs="Times New Roman"/>
          <w:kern w:val="2"/>
          <w:sz w:val="24"/>
          <w:szCs w:val="24"/>
          <w:lang w:val="en-US" w:eastAsia="zh-CN" w:bidi="ar-SA"/>
        </w:rPr>
        <w:t>4</w:t>
      </w:r>
    </w:p>
    <w:p>
      <w:pPr>
        <w:pStyle w:val="11"/>
        <w:adjustRightInd w:val="0"/>
        <w:snapToGrid w:val="0"/>
        <w:spacing w:line="440" w:lineRule="exact"/>
        <w:jc w:val="left"/>
        <w:rPr>
          <w:rFonts w:hint="default" w:ascii="仿宋" w:hAnsi="仿宋" w:eastAsia="宋体"/>
          <w:sz w:val="24"/>
          <w:lang w:val="en-US" w:eastAsia="zh-CN"/>
        </w:rPr>
      </w:pPr>
      <w:r>
        <w:rPr>
          <w:rFonts w:hint="eastAsia"/>
          <w:sz w:val="24"/>
        </w:rPr>
        <w:t>一、</w:t>
      </w:r>
      <w:r>
        <w:rPr>
          <w:rFonts w:hint="eastAsia"/>
          <w:sz w:val="24"/>
          <w:lang w:eastAsia="zh-CN"/>
        </w:rPr>
        <w:t>职能简介</w:t>
      </w:r>
      <w:r>
        <w:rPr>
          <w:rFonts w:hint="eastAsia"/>
          <w:sz w:val="24"/>
          <w:lang w:val="en-US" w:eastAsia="zh-CN"/>
        </w:rPr>
        <w:t>..................................................................................................</w:t>
      </w:r>
      <w:r>
        <w:rPr>
          <w:rFonts w:hint="eastAsia" w:ascii="Times New Roman" w:hAnsi="Times New Roman" w:eastAsia="宋体" w:cs="Times New Roman"/>
          <w:kern w:val="2"/>
          <w:sz w:val="24"/>
          <w:szCs w:val="24"/>
          <w:lang w:val="en-US" w:eastAsia="zh-CN" w:bidi="ar-SA"/>
        </w:rPr>
        <w:t>.</w:t>
      </w:r>
      <w:r>
        <w:rPr>
          <w:rFonts w:hint="eastAsia" w:cs="Times New Roman"/>
          <w:kern w:val="2"/>
          <w:sz w:val="24"/>
          <w:szCs w:val="24"/>
          <w:lang w:val="en-US" w:eastAsia="zh-CN" w:bidi="ar-SA"/>
        </w:rPr>
        <w:t>......4</w:t>
      </w:r>
    </w:p>
    <w:p>
      <w:pPr>
        <w:pStyle w:val="11"/>
        <w:adjustRightInd w:val="0"/>
        <w:snapToGrid w:val="0"/>
        <w:spacing w:line="440" w:lineRule="exact"/>
        <w:jc w:val="left"/>
        <w:rPr>
          <w:rFonts w:hint="eastAsia"/>
          <w:sz w:val="24"/>
          <w:lang w:val="en-US" w:eastAsia="zh-CN"/>
        </w:rPr>
      </w:pPr>
      <w:r>
        <w:rPr>
          <w:rFonts w:hint="eastAsia"/>
          <w:sz w:val="24"/>
        </w:rPr>
        <w:t>二、</w:t>
      </w:r>
      <w:r>
        <w:rPr>
          <w:rFonts w:hint="eastAsia" w:asciiTheme="minorEastAsia" w:hAnsiTheme="minorEastAsia" w:eastAsiaTheme="minorEastAsia" w:cstheme="minorEastAsia"/>
          <w:color w:val="auto"/>
          <w:sz w:val="24"/>
          <w:highlight w:val="none"/>
          <w:lang w:val="en-US" w:eastAsia="zh-CN"/>
        </w:rPr>
        <w:t>机构设置</w:t>
      </w:r>
      <w:r>
        <w:rPr>
          <w:rFonts w:hint="eastAsia"/>
          <w:sz w:val="24"/>
          <w:lang w:val="en-US" w:eastAsia="zh-CN"/>
        </w:rPr>
        <w:t>.........................................................................................................5</w:t>
      </w:r>
    </w:p>
    <w:p>
      <w:pPr>
        <w:pStyle w:val="11"/>
        <w:adjustRightInd w:val="0"/>
        <w:snapToGrid w:val="0"/>
        <w:spacing w:line="440" w:lineRule="exact"/>
        <w:jc w:val="left"/>
        <w:rPr>
          <w:rFonts w:hint="default"/>
          <w:lang w:val="en-US" w:eastAsia="zh-CN"/>
        </w:rPr>
      </w:pPr>
      <w:r>
        <w:rPr>
          <w:rFonts w:hint="eastAsia"/>
          <w:sz w:val="24"/>
          <w:lang w:eastAsia="zh-CN"/>
        </w:rPr>
        <w:t>三</w:t>
      </w:r>
      <w:r>
        <w:rPr>
          <w:rFonts w:hint="eastAsia"/>
          <w:sz w:val="24"/>
        </w:rPr>
        <w:t>、</w:t>
      </w:r>
      <w:r>
        <w:rPr>
          <w:rFonts w:hint="eastAsia" w:asciiTheme="minorEastAsia" w:hAnsiTheme="minorEastAsia" w:eastAsiaTheme="minorEastAsia" w:cstheme="minorEastAsia"/>
          <w:color w:val="auto"/>
          <w:sz w:val="24"/>
          <w:highlight w:val="none"/>
          <w:lang w:val="en-US" w:eastAsia="zh-CN"/>
        </w:rPr>
        <w:t>2021年重点</w:t>
      </w:r>
      <w:r>
        <w:rPr>
          <w:rFonts w:hint="eastAsia" w:asciiTheme="minorEastAsia" w:hAnsiTheme="minorEastAsia" w:eastAsiaTheme="minorEastAsia" w:cstheme="minorEastAsia"/>
          <w:color w:val="auto"/>
          <w:sz w:val="24"/>
          <w:highlight w:val="none"/>
        </w:rPr>
        <w:t>工作</w:t>
      </w:r>
      <w:r>
        <w:rPr>
          <w:rFonts w:hint="eastAsia" w:asciiTheme="minorEastAsia" w:hAnsiTheme="minorEastAsia" w:eastAsiaTheme="minorEastAsia" w:cstheme="minorEastAsia"/>
          <w:color w:val="auto"/>
          <w:sz w:val="24"/>
          <w:highlight w:val="none"/>
          <w:lang w:eastAsia="zh-CN"/>
        </w:rPr>
        <w:t>完成情况</w:t>
      </w:r>
      <w:r>
        <w:rPr>
          <w:rFonts w:hint="eastAsia"/>
          <w:sz w:val="24"/>
          <w:lang w:val="en-US" w:eastAsia="zh-CN"/>
        </w:rPr>
        <w:t>............................................................................5</w:t>
      </w:r>
    </w:p>
    <w:p>
      <w:pPr>
        <w:pStyle w:val="10"/>
        <w:adjustRightInd w:val="0"/>
        <w:snapToGrid w:val="0"/>
        <w:spacing w:before="0" w:line="440" w:lineRule="exact"/>
        <w:jc w:val="left"/>
        <w:rPr>
          <w:rFonts w:hint="default" w:eastAsia="仿宋"/>
          <w:sz w:val="24"/>
          <w:szCs w:val="24"/>
          <w:lang w:val="en-US" w:eastAsia="zh-CN"/>
        </w:rPr>
      </w:pPr>
      <w:r>
        <w:rPr>
          <w:rFonts w:hint="eastAsia"/>
          <w:sz w:val="24"/>
        </w:rPr>
        <w:t>第二部分 2021年度部门决算情况说明</w:t>
      </w:r>
      <w:r>
        <w:rPr>
          <w:rFonts w:hint="eastAsia"/>
          <w:sz w:val="24"/>
          <w:lang w:val="en-US" w:eastAsia="zh-CN"/>
        </w:rPr>
        <w:t>..................................</w:t>
      </w:r>
      <w:r>
        <w:rPr>
          <w:rFonts w:hint="eastAsia" w:ascii="Times New Roman" w:hAnsi="Times New Roman" w:eastAsia="宋体" w:cs="Times New Roman"/>
          <w:kern w:val="2"/>
          <w:sz w:val="24"/>
          <w:szCs w:val="24"/>
          <w:lang w:val="en-US" w:eastAsia="zh-CN" w:bidi="ar-SA"/>
        </w:rPr>
        <w:t>6</w:t>
      </w:r>
    </w:p>
    <w:p>
      <w:pPr>
        <w:pStyle w:val="11"/>
        <w:adjustRightInd w:val="0"/>
        <w:snapToGrid w:val="0"/>
        <w:spacing w:line="440" w:lineRule="exact"/>
        <w:jc w:val="left"/>
        <w:rPr>
          <w:rFonts w:hint="default" w:ascii="仿宋" w:hAnsi="仿宋" w:eastAsia="宋体" w:cstheme="minorBidi"/>
          <w:sz w:val="24"/>
          <w:lang w:val="en-US" w:eastAsia="zh-CN"/>
        </w:rPr>
      </w:pPr>
      <w:r>
        <w:rPr>
          <w:rFonts w:hint="eastAsia"/>
          <w:sz w:val="24"/>
        </w:rPr>
        <w:t>一、收入支出决算总体情况说明</w:t>
      </w:r>
      <w:r>
        <w:rPr>
          <w:rFonts w:hint="eastAsia"/>
          <w:sz w:val="24"/>
          <w:lang w:val="en-US" w:eastAsia="zh-CN"/>
        </w:rPr>
        <w:t>.........................................................................6</w:t>
      </w:r>
    </w:p>
    <w:p>
      <w:pPr>
        <w:pStyle w:val="11"/>
        <w:adjustRightInd w:val="0"/>
        <w:snapToGrid w:val="0"/>
        <w:spacing w:line="440" w:lineRule="exact"/>
        <w:jc w:val="left"/>
        <w:rPr>
          <w:rFonts w:hint="default" w:ascii="仿宋" w:hAnsi="仿宋" w:eastAsia="宋体" w:cstheme="minorBidi"/>
          <w:sz w:val="24"/>
          <w:lang w:val="en-US" w:eastAsia="zh-CN"/>
        </w:rPr>
      </w:pPr>
      <w:r>
        <w:rPr>
          <w:rFonts w:hint="eastAsia"/>
          <w:sz w:val="24"/>
        </w:rPr>
        <w:t>二、收入决算情况说明</w:t>
      </w:r>
      <w:r>
        <w:rPr>
          <w:rFonts w:hint="eastAsia"/>
          <w:sz w:val="24"/>
          <w:lang w:val="en-US" w:eastAsia="zh-CN"/>
        </w:rPr>
        <w:t>.........................................................................................</w:t>
      </w:r>
      <w:r>
        <w:rPr>
          <w:rFonts w:hint="eastAsia" w:ascii="Times New Roman" w:hAnsi="Times New Roman" w:eastAsia="宋体" w:cs="Times New Roman"/>
          <w:kern w:val="2"/>
          <w:sz w:val="24"/>
          <w:szCs w:val="24"/>
          <w:lang w:val="en-US" w:eastAsia="zh-CN" w:bidi="ar-SA"/>
        </w:rPr>
        <w:t>7</w:t>
      </w:r>
    </w:p>
    <w:p>
      <w:pPr>
        <w:pStyle w:val="11"/>
        <w:adjustRightInd w:val="0"/>
        <w:snapToGrid w:val="0"/>
        <w:spacing w:line="440" w:lineRule="exact"/>
        <w:jc w:val="left"/>
        <w:rPr>
          <w:rFonts w:hint="default" w:ascii="仿宋" w:hAnsi="仿宋" w:eastAsia="宋体" w:cstheme="minorBidi"/>
          <w:sz w:val="24"/>
          <w:lang w:val="en-US" w:eastAsia="zh-CN"/>
        </w:rPr>
      </w:pPr>
      <w:r>
        <w:rPr>
          <w:rFonts w:hint="eastAsia"/>
          <w:sz w:val="24"/>
        </w:rPr>
        <w:t>三、支出决算情况说明</w:t>
      </w:r>
      <w:r>
        <w:rPr>
          <w:rFonts w:hint="eastAsia"/>
          <w:sz w:val="24"/>
          <w:lang w:val="en-US" w:eastAsia="zh-CN"/>
        </w:rPr>
        <w:t>.........................................................................................</w:t>
      </w:r>
      <w:r>
        <w:rPr>
          <w:rFonts w:hint="eastAsia" w:ascii="Times New Roman" w:hAnsi="Times New Roman" w:eastAsia="宋体" w:cs="Times New Roman"/>
          <w:kern w:val="2"/>
          <w:sz w:val="24"/>
          <w:szCs w:val="24"/>
          <w:lang w:val="en-US" w:eastAsia="zh-CN" w:bidi="ar-SA"/>
        </w:rPr>
        <w:t>8</w:t>
      </w:r>
    </w:p>
    <w:p>
      <w:pPr>
        <w:pStyle w:val="11"/>
        <w:adjustRightInd w:val="0"/>
        <w:snapToGrid w:val="0"/>
        <w:spacing w:line="440" w:lineRule="exact"/>
        <w:jc w:val="left"/>
        <w:rPr>
          <w:rFonts w:hint="default" w:ascii="仿宋" w:hAnsi="仿宋" w:eastAsia="宋体" w:cstheme="minorBidi"/>
          <w:sz w:val="24"/>
          <w:lang w:val="en-US" w:eastAsia="zh-CN"/>
        </w:rPr>
      </w:pPr>
      <w:r>
        <w:rPr>
          <w:rFonts w:hint="eastAsia"/>
          <w:sz w:val="24"/>
        </w:rPr>
        <w:t>四、财政拨款收入支出决算总体情况说明</w:t>
      </w:r>
      <w:r>
        <w:rPr>
          <w:rFonts w:hint="eastAsia"/>
          <w:sz w:val="24"/>
          <w:lang w:val="en-US" w:eastAsia="zh-CN"/>
        </w:rPr>
        <w:t>.........................................................</w:t>
      </w:r>
      <w:r>
        <w:rPr>
          <w:rFonts w:hint="eastAsia" w:ascii="Times New Roman" w:hAnsi="Times New Roman" w:eastAsia="宋体" w:cs="Times New Roman"/>
          <w:kern w:val="2"/>
          <w:sz w:val="24"/>
          <w:szCs w:val="24"/>
          <w:lang w:val="en-US" w:eastAsia="zh-CN" w:bidi="ar-SA"/>
        </w:rPr>
        <w:t>8</w:t>
      </w:r>
    </w:p>
    <w:p>
      <w:pPr>
        <w:pStyle w:val="11"/>
        <w:adjustRightInd w:val="0"/>
        <w:snapToGrid w:val="0"/>
        <w:spacing w:line="440" w:lineRule="exact"/>
        <w:jc w:val="left"/>
        <w:rPr>
          <w:rFonts w:hint="default" w:ascii="仿宋" w:hAnsi="仿宋" w:eastAsia="宋体" w:cstheme="minorBidi"/>
          <w:sz w:val="24"/>
          <w:lang w:val="en-US" w:eastAsia="zh-CN"/>
        </w:rPr>
      </w:pPr>
      <w:r>
        <w:rPr>
          <w:rFonts w:hint="eastAsia"/>
          <w:sz w:val="24"/>
        </w:rPr>
        <w:t>五、一般公共预算财政拨款支出决算情况说明</w:t>
      </w:r>
      <w:r>
        <w:rPr>
          <w:rFonts w:hint="eastAsia"/>
          <w:sz w:val="24"/>
          <w:lang w:val="en-US" w:eastAsia="zh-CN"/>
        </w:rPr>
        <w:t>.................................................9</w:t>
      </w:r>
    </w:p>
    <w:p>
      <w:pPr>
        <w:pStyle w:val="11"/>
        <w:adjustRightInd w:val="0"/>
        <w:snapToGrid w:val="0"/>
        <w:spacing w:line="440" w:lineRule="exact"/>
        <w:jc w:val="left"/>
        <w:rPr>
          <w:rFonts w:hint="default" w:ascii="仿宋" w:hAnsi="仿宋" w:eastAsia="宋体" w:cstheme="minorBidi"/>
          <w:sz w:val="24"/>
          <w:lang w:val="en-US" w:eastAsia="zh-CN"/>
        </w:rPr>
      </w:pPr>
      <w:r>
        <w:rPr>
          <w:rFonts w:hint="eastAsia"/>
          <w:sz w:val="24"/>
        </w:rPr>
        <w:t>六、一般公共预算财政拨款基本支出决算情况说明</w:t>
      </w:r>
      <w:r>
        <w:rPr>
          <w:rFonts w:hint="eastAsia"/>
          <w:sz w:val="24"/>
          <w:lang w:val="en-US" w:eastAsia="zh-CN"/>
        </w:rPr>
        <w:t>........................................11</w:t>
      </w:r>
    </w:p>
    <w:p>
      <w:pPr>
        <w:pStyle w:val="11"/>
        <w:adjustRightInd w:val="0"/>
        <w:snapToGrid w:val="0"/>
        <w:spacing w:line="440" w:lineRule="exact"/>
        <w:jc w:val="left"/>
        <w:rPr>
          <w:rFonts w:hint="default" w:ascii="仿宋" w:hAnsi="仿宋" w:eastAsia="宋体" w:cstheme="minorBidi"/>
          <w:sz w:val="24"/>
          <w:lang w:val="en-US" w:eastAsia="zh-CN"/>
        </w:rPr>
      </w:pPr>
      <w:r>
        <w:rPr>
          <w:rFonts w:hint="eastAsia"/>
          <w:sz w:val="24"/>
        </w:rPr>
        <w:t>七、“三公”经费财政拨款支出决算情况说明</w:t>
      </w:r>
      <w:r>
        <w:rPr>
          <w:rFonts w:hint="eastAsia"/>
          <w:sz w:val="24"/>
          <w:lang w:val="en-US" w:eastAsia="zh-CN"/>
        </w:rPr>
        <w:t>.................................................11</w:t>
      </w:r>
    </w:p>
    <w:p>
      <w:pPr>
        <w:pStyle w:val="11"/>
        <w:adjustRightInd w:val="0"/>
        <w:snapToGrid w:val="0"/>
        <w:spacing w:line="440" w:lineRule="exact"/>
        <w:jc w:val="left"/>
        <w:rPr>
          <w:rFonts w:hint="default" w:ascii="仿宋" w:hAnsi="仿宋" w:eastAsia="宋体" w:cstheme="minorBidi"/>
          <w:sz w:val="24"/>
          <w:lang w:val="en-US" w:eastAsia="zh-CN"/>
        </w:rPr>
      </w:pPr>
      <w:r>
        <w:rPr>
          <w:rFonts w:hint="eastAsia"/>
          <w:sz w:val="24"/>
        </w:rPr>
        <w:t>八、政府性基金预算支出决算情况说明</w:t>
      </w:r>
      <w:r>
        <w:rPr>
          <w:rFonts w:hint="eastAsia"/>
          <w:sz w:val="24"/>
          <w:lang w:val="en-US" w:eastAsia="zh-CN"/>
        </w:rPr>
        <w:t>...........................................................13</w:t>
      </w:r>
    </w:p>
    <w:p>
      <w:pPr>
        <w:pStyle w:val="11"/>
        <w:adjustRightInd w:val="0"/>
        <w:snapToGrid w:val="0"/>
        <w:spacing w:line="440" w:lineRule="exact"/>
        <w:ind w:leftChars="0"/>
        <w:jc w:val="left"/>
        <w:rPr>
          <w:rFonts w:hint="default" w:asciiTheme="minorEastAsia" w:hAnsiTheme="minorEastAsia" w:eastAsiaTheme="minorEastAsia" w:cstheme="minorEastAsia"/>
          <w:sz w:val="24"/>
          <w:lang w:val="en-US" w:eastAsia="zh-CN"/>
        </w:rPr>
      </w:pPr>
      <w:r>
        <w:rPr>
          <w:rFonts w:hint="eastAsia" w:asciiTheme="minorEastAsia" w:hAnsiTheme="minorEastAsia" w:eastAsiaTheme="minorEastAsia" w:cstheme="minorEastAsia"/>
          <w:sz w:val="24"/>
        </w:rPr>
        <w:t>九、国有资本经营预算支出决算情况说明</w:t>
      </w:r>
      <w:r>
        <w:rPr>
          <w:rFonts w:hint="eastAsia"/>
          <w:sz w:val="24"/>
          <w:lang w:val="en-US" w:eastAsia="zh-CN"/>
        </w:rPr>
        <w:t>.......................................................13</w:t>
      </w:r>
    </w:p>
    <w:p>
      <w:pPr>
        <w:adjustRightInd w:val="0"/>
        <w:snapToGrid w:val="0"/>
        <w:spacing w:line="440" w:lineRule="exact"/>
        <w:ind w:firstLine="420" w:firstLineChars="175"/>
        <w:jc w:val="left"/>
        <w:rPr>
          <w:rFonts w:hint="default" w:asciiTheme="minorEastAsia" w:hAnsiTheme="minorEastAsia" w:eastAsiaTheme="minorEastAsia" w:cstheme="minorEastAsia"/>
          <w:sz w:val="24"/>
          <w:lang w:val="en-US" w:eastAsia="zh-CN"/>
        </w:rPr>
      </w:pPr>
      <w:r>
        <w:rPr>
          <w:rStyle w:val="15"/>
          <w:rFonts w:hint="eastAsia" w:asciiTheme="minorEastAsia" w:hAnsiTheme="minorEastAsia" w:eastAsiaTheme="minorEastAsia" w:cstheme="minorEastAsia"/>
          <w:color w:val="auto"/>
          <w:sz w:val="24"/>
          <w:u w:val="none"/>
        </w:rPr>
        <w:t>十、</w:t>
      </w:r>
      <w:r>
        <w:rPr>
          <w:rFonts w:hint="eastAsia" w:asciiTheme="minorEastAsia" w:hAnsiTheme="minorEastAsia" w:eastAsiaTheme="minorEastAsia" w:cstheme="minorEastAsia"/>
          <w:sz w:val="24"/>
        </w:rPr>
        <w:t>其他重要事项的情况说明</w:t>
      </w:r>
      <w:r>
        <w:rPr>
          <w:rFonts w:hint="eastAsia"/>
          <w:sz w:val="24"/>
          <w:lang w:val="en-US" w:eastAsia="zh-CN"/>
        </w:rPr>
        <w:t>...........................................................................</w:t>
      </w:r>
      <w:r>
        <w:rPr>
          <w:rFonts w:hint="eastAsia" w:ascii="Times New Roman" w:hAnsi="Times New Roman" w:eastAsia="宋体" w:cs="Times New Roman"/>
          <w:kern w:val="2"/>
          <w:sz w:val="24"/>
          <w:szCs w:val="24"/>
          <w:lang w:val="en-US" w:eastAsia="zh-CN" w:bidi="ar-SA"/>
        </w:rPr>
        <w:t>1</w:t>
      </w:r>
      <w:r>
        <w:rPr>
          <w:rFonts w:hint="eastAsia" w:cs="Times New Roman"/>
          <w:kern w:val="2"/>
          <w:sz w:val="24"/>
          <w:szCs w:val="24"/>
          <w:lang w:val="en-US" w:eastAsia="zh-CN" w:bidi="ar-SA"/>
        </w:rPr>
        <w:t>3</w:t>
      </w:r>
    </w:p>
    <w:p>
      <w:pPr>
        <w:pStyle w:val="10"/>
        <w:adjustRightInd w:val="0"/>
        <w:snapToGrid w:val="0"/>
        <w:spacing w:before="0" w:line="440" w:lineRule="exact"/>
        <w:jc w:val="left"/>
        <w:rPr>
          <w:rFonts w:hint="default" w:cstheme="minorBidi"/>
          <w:sz w:val="24"/>
          <w:szCs w:val="24"/>
          <w:lang w:val="en-US"/>
        </w:rPr>
      </w:pPr>
      <w:r>
        <w:rPr>
          <w:rFonts w:hint="eastAsia"/>
          <w:sz w:val="24"/>
        </w:rPr>
        <w:t>第三部分</w:t>
      </w:r>
      <w:r>
        <w:rPr>
          <w:sz w:val="24"/>
        </w:rPr>
        <w:t xml:space="preserve"> </w:t>
      </w:r>
      <w:r>
        <w:rPr>
          <w:rFonts w:hint="eastAsia"/>
          <w:sz w:val="24"/>
        </w:rPr>
        <w:t>名词解释</w:t>
      </w:r>
      <w:r>
        <w:rPr>
          <w:rFonts w:hint="eastAsia"/>
          <w:sz w:val="24"/>
          <w:lang w:val="en-US" w:eastAsia="zh-CN"/>
        </w:rPr>
        <w:t>..................................................15</w:t>
      </w:r>
    </w:p>
    <w:p>
      <w:pPr>
        <w:pStyle w:val="10"/>
        <w:adjustRightInd w:val="0"/>
        <w:snapToGrid w:val="0"/>
        <w:spacing w:before="0" w:line="440" w:lineRule="exact"/>
        <w:jc w:val="left"/>
        <w:rPr>
          <w:rFonts w:hint="default" w:cstheme="minorBidi"/>
          <w:sz w:val="24"/>
          <w:szCs w:val="24"/>
          <w:lang w:val="en-US"/>
        </w:rPr>
      </w:pPr>
      <w:r>
        <w:rPr>
          <w:rFonts w:hint="eastAsia"/>
          <w:sz w:val="24"/>
        </w:rPr>
        <w:t>第四部分</w:t>
      </w:r>
      <w:r>
        <w:rPr>
          <w:sz w:val="24"/>
        </w:rPr>
        <w:t xml:space="preserve"> </w:t>
      </w:r>
      <w:r>
        <w:rPr>
          <w:rFonts w:hint="eastAsia"/>
          <w:sz w:val="24"/>
        </w:rPr>
        <w:t>附件</w:t>
      </w:r>
      <w:r>
        <w:rPr>
          <w:rFonts w:hint="eastAsia"/>
          <w:sz w:val="24"/>
          <w:lang w:val="en-US" w:eastAsia="zh-CN"/>
        </w:rPr>
        <w:t>......................................................17</w:t>
      </w:r>
    </w:p>
    <w:p>
      <w:pPr>
        <w:pStyle w:val="10"/>
        <w:adjustRightInd w:val="0"/>
        <w:snapToGrid w:val="0"/>
        <w:spacing w:before="0" w:line="440" w:lineRule="exact"/>
        <w:jc w:val="left"/>
        <w:rPr>
          <w:rFonts w:hint="default" w:cstheme="minorBidi"/>
          <w:sz w:val="24"/>
          <w:szCs w:val="24"/>
          <w:lang w:val="en-US"/>
        </w:rPr>
      </w:pPr>
      <w:r>
        <w:rPr>
          <w:rFonts w:hint="eastAsia"/>
          <w:sz w:val="24"/>
        </w:rPr>
        <w:t>第五部分</w:t>
      </w:r>
      <w:r>
        <w:rPr>
          <w:sz w:val="24"/>
        </w:rPr>
        <w:t xml:space="preserve"> </w:t>
      </w:r>
      <w:r>
        <w:rPr>
          <w:rFonts w:hint="eastAsia"/>
          <w:sz w:val="24"/>
        </w:rPr>
        <w:t>附表</w:t>
      </w:r>
      <w:r>
        <w:rPr>
          <w:rFonts w:hint="eastAsia"/>
          <w:sz w:val="24"/>
          <w:lang w:val="en-US" w:eastAsia="zh-CN"/>
        </w:rPr>
        <w:t>......................................................19</w:t>
      </w:r>
    </w:p>
    <w:p>
      <w:pPr>
        <w:pStyle w:val="11"/>
        <w:adjustRightInd w:val="0"/>
        <w:snapToGrid w:val="0"/>
        <w:spacing w:line="440" w:lineRule="exact"/>
        <w:jc w:val="left"/>
        <w:rPr>
          <w:rFonts w:hint="default" w:ascii="仿宋" w:hAnsi="仿宋" w:eastAsia="仿宋" w:cstheme="minorBidi"/>
          <w:sz w:val="24"/>
          <w:lang w:val="en-US"/>
        </w:rPr>
      </w:pPr>
      <w:r>
        <w:rPr>
          <w:rFonts w:hint="eastAsia" w:ascii="仿宋" w:hAnsi="仿宋" w:eastAsia="仿宋"/>
          <w:sz w:val="24"/>
        </w:rPr>
        <w:t>一、</w:t>
      </w:r>
      <w:r>
        <w:rPr>
          <w:rFonts w:hint="eastAsia"/>
          <w:sz w:val="24"/>
        </w:rPr>
        <w:t>收入支出决算总表</w:t>
      </w:r>
      <w:r>
        <w:rPr>
          <w:rFonts w:hint="eastAsia"/>
          <w:sz w:val="24"/>
          <w:lang w:val="en-US" w:eastAsia="zh-CN"/>
        </w:rPr>
        <w:t>.....................................................................................Z01</w:t>
      </w:r>
    </w:p>
    <w:p>
      <w:pPr>
        <w:pStyle w:val="11"/>
        <w:adjustRightInd w:val="0"/>
        <w:snapToGrid w:val="0"/>
        <w:spacing w:line="440" w:lineRule="exact"/>
        <w:jc w:val="left"/>
        <w:rPr>
          <w:rFonts w:hint="default" w:asciiTheme="minorEastAsia" w:hAnsiTheme="minorEastAsia" w:eastAsiaTheme="minorEastAsia" w:cstheme="minorEastAsia"/>
          <w:sz w:val="24"/>
          <w:lang w:val="en-US"/>
        </w:rPr>
      </w:pPr>
      <w:r>
        <w:rPr>
          <w:rFonts w:hint="eastAsia" w:asciiTheme="minorEastAsia" w:hAnsiTheme="minorEastAsia" w:eastAsiaTheme="minorEastAsia" w:cstheme="minorEastAsia"/>
          <w:sz w:val="24"/>
        </w:rPr>
        <w:t>二、收入决算表</w:t>
      </w:r>
      <w:r>
        <w:rPr>
          <w:rFonts w:hint="eastAsia"/>
          <w:sz w:val="24"/>
          <w:lang w:val="en-US" w:eastAsia="zh-CN"/>
        </w:rPr>
        <w:t>..................................................................................................Z02</w:t>
      </w:r>
    </w:p>
    <w:p>
      <w:pPr>
        <w:pStyle w:val="11"/>
        <w:adjustRightInd w:val="0"/>
        <w:snapToGrid w:val="0"/>
        <w:spacing w:line="440" w:lineRule="exact"/>
        <w:jc w:val="left"/>
        <w:rPr>
          <w:rFonts w:hint="default" w:asciiTheme="minorEastAsia" w:hAnsiTheme="minorEastAsia" w:eastAsiaTheme="minorEastAsia" w:cstheme="minorEastAsia"/>
          <w:sz w:val="24"/>
          <w:lang w:val="en-US"/>
        </w:rPr>
      </w:pPr>
      <w:r>
        <w:rPr>
          <w:rFonts w:hint="eastAsia" w:asciiTheme="minorEastAsia" w:hAnsiTheme="minorEastAsia" w:eastAsiaTheme="minorEastAsia" w:cstheme="minorEastAsia"/>
          <w:sz w:val="24"/>
        </w:rPr>
        <w:t>三、支出决算表</w:t>
      </w:r>
      <w:r>
        <w:rPr>
          <w:rFonts w:hint="eastAsia"/>
          <w:sz w:val="24"/>
          <w:lang w:val="en-US" w:eastAsia="zh-CN"/>
        </w:rPr>
        <w:t>..................................................................................................Z03</w:t>
      </w:r>
    </w:p>
    <w:p>
      <w:pPr>
        <w:pStyle w:val="11"/>
        <w:adjustRightInd w:val="0"/>
        <w:snapToGrid w:val="0"/>
        <w:spacing w:line="440" w:lineRule="exact"/>
        <w:jc w:val="left"/>
        <w:rPr>
          <w:rFonts w:hint="default" w:asciiTheme="minorEastAsia" w:hAnsiTheme="minorEastAsia" w:eastAsiaTheme="minorEastAsia" w:cstheme="minorEastAsia"/>
          <w:sz w:val="24"/>
          <w:lang w:val="en-US"/>
        </w:rPr>
      </w:pPr>
      <w:r>
        <w:rPr>
          <w:rFonts w:hint="eastAsia" w:asciiTheme="minorEastAsia" w:hAnsiTheme="minorEastAsia" w:eastAsiaTheme="minorEastAsia" w:cstheme="minorEastAsia"/>
          <w:sz w:val="24"/>
        </w:rPr>
        <w:t>四、财政拨款收入支出决算总表</w:t>
      </w:r>
      <w:r>
        <w:rPr>
          <w:rFonts w:hint="eastAsia"/>
          <w:sz w:val="24"/>
          <w:lang w:val="en-US" w:eastAsia="zh-CN"/>
        </w:rPr>
        <w:t>......................................................................Z04</w:t>
      </w:r>
    </w:p>
    <w:p>
      <w:pPr>
        <w:pStyle w:val="11"/>
        <w:adjustRightInd w:val="0"/>
        <w:snapToGrid w:val="0"/>
        <w:spacing w:line="440" w:lineRule="exact"/>
        <w:jc w:val="left"/>
        <w:rPr>
          <w:rFonts w:hint="default" w:asciiTheme="minorEastAsia" w:hAnsiTheme="minorEastAsia" w:eastAsiaTheme="minorEastAsia" w:cstheme="minorEastAsia"/>
          <w:sz w:val="24"/>
          <w:lang w:val="en-US"/>
        </w:rPr>
      </w:pPr>
      <w:r>
        <w:rPr>
          <w:rFonts w:hint="eastAsia" w:asciiTheme="minorEastAsia" w:hAnsiTheme="minorEastAsia" w:eastAsiaTheme="minorEastAsia" w:cstheme="minorEastAsia"/>
          <w:sz w:val="24"/>
        </w:rPr>
        <w:t>五、财政拨款支出决算明细表</w:t>
      </w:r>
      <w:r>
        <w:rPr>
          <w:rFonts w:hint="eastAsia"/>
          <w:sz w:val="24"/>
          <w:lang w:val="en-US" w:eastAsia="zh-CN"/>
        </w:rPr>
        <w:t>..........................................................................Z05</w:t>
      </w:r>
    </w:p>
    <w:p>
      <w:pPr>
        <w:pStyle w:val="11"/>
        <w:adjustRightInd w:val="0"/>
        <w:snapToGrid w:val="0"/>
        <w:spacing w:line="440" w:lineRule="exact"/>
        <w:jc w:val="left"/>
        <w:rPr>
          <w:rFonts w:hint="default" w:asciiTheme="minorEastAsia" w:hAnsiTheme="minorEastAsia" w:eastAsiaTheme="minorEastAsia" w:cstheme="minorEastAsia"/>
          <w:sz w:val="24"/>
          <w:lang w:val="en-US"/>
        </w:rPr>
      </w:pPr>
      <w:r>
        <w:rPr>
          <w:rFonts w:hint="eastAsia" w:asciiTheme="minorEastAsia" w:hAnsiTheme="minorEastAsia" w:eastAsiaTheme="minorEastAsia" w:cstheme="minorEastAsia"/>
          <w:sz w:val="24"/>
        </w:rPr>
        <w:t>六、一般公共预算财政拨款支出决算表</w:t>
      </w:r>
      <w:r>
        <w:rPr>
          <w:rFonts w:hint="eastAsia"/>
          <w:sz w:val="24"/>
          <w:lang w:val="en-US" w:eastAsia="zh-CN"/>
        </w:rPr>
        <w:t>..........................................................Z06</w:t>
      </w:r>
    </w:p>
    <w:p>
      <w:pPr>
        <w:pStyle w:val="11"/>
        <w:adjustRightInd w:val="0"/>
        <w:snapToGrid w:val="0"/>
        <w:spacing w:line="440" w:lineRule="exact"/>
        <w:jc w:val="left"/>
        <w:rPr>
          <w:rFonts w:hint="default" w:asciiTheme="minorEastAsia" w:hAnsiTheme="minorEastAsia" w:eastAsiaTheme="minorEastAsia" w:cstheme="minorEastAsia"/>
          <w:sz w:val="24"/>
          <w:lang w:val="en-US"/>
        </w:rPr>
      </w:pPr>
      <w:r>
        <w:rPr>
          <w:rFonts w:hint="eastAsia" w:asciiTheme="minorEastAsia" w:hAnsiTheme="minorEastAsia" w:eastAsiaTheme="minorEastAsia" w:cstheme="minorEastAsia"/>
          <w:sz w:val="24"/>
        </w:rPr>
        <w:t>七、一般公共预算财政拨款支出决算明细表</w:t>
      </w:r>
      <w:r>
        <w:rPr>
          <w:rFonts w:hint="eastAsia"/>
          <w:sz w:val="24"/>
          <w:lang w:val="en-US" w:eastAsia="zh-CN"/>
        </w:rPr>
        <w:t>..................................................Z07</w:t>
      </w:r>
    </w:p>
    <w:p>
      <w:pPr>
        <w:pStyle w:val="11"/>
        <w:adjustRightInd w:val="0"/>
        <w:snapToGrid w:val="0"/>
        <w:spacing w:line="440" w:lineRule="exact"/>
        <w:jc w:val="left"/>
        <w:rPr>
          <w:rFonts w:hint="default" w:asciiTheme="minorEastAsia" w:hAnsiTheme="minorEastAsia" w:eastAsiaTheme="minorEastAsia" w:cstheme="minorEastAsia"/>
          <w:sz w:val="24"/>
          <w:lang w:val="en-US"/>
        </w:rPr>
      </w:pPr>
      <w:r>
        <w:rPr>
          <w:rFonts w:hint="eastAsia" w:asciiTheme="minorEastAsia" w:hAnsiTheme="minorEastAsia" w:eastAsiaTheme="minorEastAsia" w:cstheme="minorEastAsia"/>
          <w:sz w:val="24"/>
        </w:rPr>
        <w:t>八、一般公共预算财政拨款基本支出决算表</w:t>
      </w:r>
      <w:r>
        <w:rPr>
          <w:rFonts w:hint="eastAsia"/>
          <w:sz w:val="24"/>
          <w:lang w:val="en-US" w:eastAsia="zh-CN"/>
        </w:rPr>
        <w:t>..................................................Z08</w:t>
      </w:r>
    </w:p>
    <w:p>
      <w:pPr>
        <w:pStyle w:val="11"/>
        <w:adjustRightInd w:val="0"/>
        <w:snapToGrid w:val="0"/>
        <w:spacing w:line="440" w:lineRule="exact"/>
        <w:jc w:val="left"/>
        <w:rPr>
          <w:rFonts w:hint="default" w:asciiTheme="minorEastAsia" w:hAnsiTheme="minorEastAsia" w:eastAsiaTheme="minorEastAsia" w:cstheme="minorEastAsia"/>
          <w:sz w:val="24"/>
          <w:lang w:val="en-US"/>
        </w:rPr>
      </w:pPr>
      <w:r>
        <w:rPr>
          <w:rFonts w:hint="eastAsia" w:asciiTheme="minorEastAsia" w:hAnsiTheme="minorEastAsia" w:eastAsiaTheme="minorEastAsia" w:cstheme="minorEastAsia"/>
          <w:sz w:val="24"/>
        </w:rPr>
        <w:t>九、一般公共预算财政拨款项目支出决算表</w:t>
      </w:r>
      <w:r>
        <w:rPr>
          <w:rFonts w:hint="eastAsia"/>
          <w:sz w:val="24"/>
          <w:lang w:val="en-US" w:eastAsia="zh-CN"/>
        </w:rPr>
        <w:t>.................................................Z09</w:t>
      </w:r>
    </w:p>
    <w:p>
      <w:pPr>
        <w:pStyle w:val="11"/>
        <w:adjustRightInd w:val="0"/>
        <w:snapToGrid w:val="0"/>
        <w:spacing w:line="440" w:lineRule="exact"/>
        <w:jc w:val="left"/>
        <w:rPr>
          <w:rFonts w:hint="default" w:asciiTheme="minorEastAsia" w:hAnsiTheme="minorEastAsia" w:eastAsiaTheme="minorEastAsia" w:cstheme="minorEastAsia"/>
          <w:sz w:val="24"/>
          <w:lang w:val="en-US"/>
        </w:rPr>
      </w:pPr>
      <w:r>
        <w:rPr>
          <w:rFonts w:hint="eastAsia" w:asciiTheme="minorEastAsia" w:hAnsiTheme="minorEastAsia" w:eastAsiaTheme="minorEastAsia" w:cstheme="minorEastAsia"/>
          <w:sz w:val="24"/>
        </w:rPr>
        <w:t>十、一般公共预算财政拨款“三公”经费支出决算表</w:t>
      </w:r>
      <w:r>
        <w:rPr>
          <w:rFonts w:hint="eastAsia"/>
          <w:sz w:val="24"/>
          <w:lang w:val="en-US" w:eastAsia="zh-CN"/>
        </w:rPr>
        <w:t>..................................Z10</w:t>
      </w:r>
    </w:p>
    <w:p>
      <w:pPr>
        <w:pStyle w:val="11"/>
        <w:adjustRightInd w:val="0"/>
        <w:snapToGrid w:val="0"/>
        <w:spacing w:line="440" w:lineRule="exact"/>
        <w:jc w:val="left"/>
        <w:rPr>
          <w:rFonts w:hint="default" w:asciiTheme="minorEastAsia" w:hAnsiTheme="minorEastAsia" w:eastAsiaTheme="minorEastAsia" w:cstheme="minorEastAsia"/>
          <w:sz w:val="24"/>
          <w:lang w:val="en-US"/>
        </w:rPr>
      </w:pPr>
      <w:r>
        <w:rPr>
          <w:rFonts w:hint="eastAsia" w:asciiTheme="minorEastAsia" w:hAnsiTheme="minorEastAsia" w:eastAsiaTheme="minorEastAsia" w:cstheme="minorEastAsia"/>
          <w:sz w:val="24"/>
        </w:rPr>
        <w:t>十一、政府性基金预算财政拨款收入支出决算表</w:t>
      </w:r>
      <w:r>
        <w:rPr>
          <w:rFonts w:hint="eastAsia"/>
          <w:sz w:val="24"/>
          <w:lang w:val="en-US" w:eastAsia="zh-CN"/>
        </w:rPr>
        <w:t>..........................................Z11</w:t>
      </w:r>
    </w:p>
    <w:p>
      <w:pPr>
        <w:pStyle w:val="11"/>
        <w:adjustRightInd w:val="0"/>
        <w:snapToGrid w:val="0"/>
        <w:spacing w:line="440" w:lineRule="exact"/>
        <w:jc w:val="left"/>
        <w:rPr>
          <w:rFonts w:hint="default" w:asciiTheme="minorEastAsia" w:hAnsiTheme="minorEastAsia" w:eastAsiaTheme="minorEastAsia" w:cstheme="minorEastAsia"/>
          <w:sz w:val="24"/>
          <w:lang w:val="en-US"/>
        </w:rPr>
      </w:pPr>
      <w:r>
        <w:rPr>
          <w:rFonts w:hint="eastAsia" w:asciiTheme="minorEastAsia" w:hAnsiTheme="minorEastAsia" w:eastAsiaTheme="minorEastAsia" w:cstheme="minorEastAsia"/>
          <w:sz w:val="24"/>
        </w:rPr>
        <w:t>十二、政府性基金预算财政拨款“三公”经费支出决算表</w:t>
      </w:r>
      <w:r>
        <w:rPr>
          <w:rFonts w:hint="eastAsia"/>
          <w:sz w:val="24"/>
          <w:lang w:val="en-US" w:eastAsia="zh-CN"/>
        </w:rPr>
        <w:t>..........................Z12</w:t>
      </w:r>
    </w:p>
    <w:p>
      <w:pPr>
        <w:pStyle w:val="11"/>
        <w:adjustRightInd w:val="0"/>
        <w:snapToGrid w:val="0"/>
        <w:spacing w:line="440" w:lineRule="exact"/>
        <w:jc w:val="left"/>
        <w:rPr>
          <w:rFonts w:hint="default" w:asciiTheme="minorEastAsia" w:hAnsiTheme="minorEastAsia" w:eastAsiaTheme="minorEastAsia" w:cstheme="minorEastAsia"/>
          <w:sz w:val="24"/>
          <w:lang w:val="en-US"/>
        </w:rPr>
      </w:pPr>
      <w:r>
        <w:rPr>
          <w:rFonts w:hint="eastAsia" w:asciiTheme="minorEastAsia" w:hAnsiTheme="minorEastAsia" w:eastAsiaTheme="minorEastAsia" w:cstheme="minorEastAsia"/>
          <w:sz w:val="24"/>
        </w:rPr>
        <w:t>十三、国有资本经营预算财政拨款收入支出决算表</w:t>
      </w:r>
      <w:r>
        <w:rPr>
          <w:rFonts w:hint="eastAsia"/>
          <w:sz w:val="24"/>
          <w:lang w:val="en-US" w:eastAsia="zh-CN"/>
        </w:rPr>
        <w:t>......................................Z13</w:t>
      </w:r>
    </w:p>
    <w:p>
      <w:pPr>
        <w:pStyle w:val="11"/>
        <w:adjustRightInd w:val="0"/>
        <w:snapToGrid w:val="0"/>
        <w:spacing w:line="440" w:lineRule="exact"/>
        <w:jc w:val="left"/>
        <w:rPr>
          <w:rFonts w:hint="default" w:asciiTheme="minorEastAsia" w:hAnsiTheme="minorEastAsia" w:eastAsiaTheme="minorEastAsia" w:cstheme="minorEastAsia"/>
          <w:sz w:val="24"/>
          <w:lang w:val="en-US"/>
        </w:rPr>
      </w:pPr>
      <w:r>
        <w:rPr>
          <w:rFonts w:hint="eastAsia" w:asciiTheme="minorEastAsia" w:hAnsiTheme="minorEastAsia" w:eastAsiaTheme="minorEastAsia" w:cstheme="minorEastAsia"/>
          <w:sz w:val="24"/>
        </w:rPr>
        <w:t>十四、国有资本经营预算财政拨款支出决算表</w:t>
      </w:r>
      <w:r>
        <w:rPr>
          <w:rFonts w:hint="eastAsia"/>
          <w:sz w:val="24"/>
          <w:lang w:val="en-US" w:eastAsia="zh-CN"/>
        </w:rPr>
        <w:t>..............................................Z14</w:t>
      </w:r>
    </w:p>
    <w:p>
      <w:pPr>
        <w:widowControl/>
        <w:spacing w:line="440" w:lineRule="exact"/>
        <w:jc w:val="left"/>
        <w:rPr>
          <w:rFonts w:ascii="仿宋" w:hAnsi="仿宋" w:eastAsia="仿宋"/>
          <w:bCs/>
          <w:kern w:val="44"/>
          <w:sz w:val="24"/>
        </w:rPr>
      </w:pPr>
      <w:bookmarkStart w:id="12" w:name="_Toc15396599"/>
      <w:bookmarkStart w:id="13" w:name="_Toc15377196"/>
      <w:r>
        <w:rPr>
          <w:rFonts w:ascii="仿宋" w:hAnsi="仿宋" w:eastAsia="仿宋"/>
          <w:b/>
          <w:sz w:val="24"/>
        </w:rPr>
        <w:br w:type="page"/>
      </w:r>
    </w:p>
    <w:p>
      <w:pPr>
        <w:pStyle w:val="3"/>
        <w:jc w:val="center"/>
        <w:rPr>
          <w:rStyle w:val="24"/>
          <w:rFonts w:ascii="黑体" w:hAnsi="黑体" w:eastAsia="黑体"/>
          <w:b/>
          <w:bCs w:val="0"/>
        </w:rPr>
      </w:pPr>
      <w:r>
        <w:rPr>
          <w:rFonts w:hint="eastAsia" w:ascii="黑体" w:hAnsi="黑体" w:eastAsia="黑体"/>
          <w:b w:val="0"/>
        </w:rPr>
        <w:t xml:space="preserve">第一部分 </w:t>
      </w:r>
      <w:r>
        <w:rPr>
          <w:rStyle w:val="24"/>
          <w:rFonts w:hint="eastAsia" w:ascii="黑体" w:hAnsi="黑体" w:eastAsia="黑体"/>
          <w:b w:val="0"/>
          <w:bCs w:val="0"/>
        </w:rPr>
        <w:t>部门概况</w:t>
      </w:r>
      <w:bookmarkEnd w:id="12"/>
      <w:bookmarkEnd w:id="13"/>
    </w:p>
    <w:p>
      <w:pPr>
        <w:widowControl/>
        <w:jc w:val="left"/>
        <w:rPr>
          <w:rFonts w:ascii="黑体" w:eastAsia="黑体"/>
          <w:sz w:val="32"/>
          <w:szCs w:val="32"/>
        </w:rPr>
      </w:pPr>
    </w:p>
    <w:p>
      <w:pPr>
        <w:pStyle w:val="4"/>
        <w:rPr>
          <w:rStyle w:val="25"/>
          <w:rFonts w:hint="eastAsia" w:ascii="仿宋" w:hAnsi="仿宋" w:eastAsia="黑体"/>
          <w:b w:val="0"/>
          <w:bCs w:val="0"/>
          <w:lang w:val="en-US" w:eastAsia="zh-CN"/>
        </w:rPr>
      </w:pPr>
      <w:bookmarkStart w:id="14" w:name="_Toc15396600"/>
      <w:bookmarkStart w:id="15" w:name="_Toc15377197"/>
      <w:r>
        <w:rPr>
          <w:rFonts w:hint="eastAsia" w:ascii="黑体" w:hAnsi="黑体" w:eastAsia="黑体"/>
          <w:b w:val="0"/>
        </w:rPr>
        <w:t>一、</w:t>
      </w:r>
      <w:r>
        <w:rPr>
          <w:rStyle w:val="25"/>
          <w:rFonts w:hint="eastAsia" w:ascii="黑体" w:hAnsi="黑体" w:eastAsia="黑体"/>
          <w:b w:val="0"/>
          <w:bCs w:val="0"/>
        </w:rPr>
        <w:t>职能</w:t>
      </w:r>
      <w:bookmarkEnd w:id="14"/>
      <w:bookmarkEnd w:id="15"/>
      <w:r>
        <w:rPr>
          <w:rStyle w:val="25"/>
          <w:rFonts w:hint="eastAsia" w:ascii="黑体" w:hAnsi="黑体" w:eastAsia="黑体"/>
          <w:b w:val="0"/>
          <w:bCs w:val="0"/>
          <w:lang w:eastAsia="zh-CN"/>
        </w:rPr>
        <w:t>简介</w:t>
      </w:r>
    </w:p>
    <w:p>
      <w:pPr>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本单位为</w:t>
      </w:r>
      <w:r>
        <w:rPr>
          <w:rFonts w:hint="eastAsia" w:ascii="仿宋_GB2312" w:hAnsi="仿宋_GB2312" w:eastAsia="仿宋_GB2312" w:cs="仿宋_GB2312"/>
          <w:sz w:val="32"/>
          <w:szCs w:val="32"/>
          <w:lang w:val="en-US" w:eastAsia="zh-CN"/>
        </w:rPr>
        <w:t>攀枝花市人民政府驻成都办事处</w:t>
      </w:r>
      <w:r>
        <w:rPr>
          <w:rFonts w:hint="eastAsia" w:ascii="仿宋_GB2312" w:hAnsi="仿宋_GB2312" w:eastAsia="仿宋_GB2312" w:cs="仿宋_GB2312"/>
          <w:sz w:val="32"/>
          <w:szCs w:val="32"/>
          <w:lang w:eastAsia="zh-CN"/>
        </w:rPr>
        <w:t>所属二级预算单位，单位性质为财政补助事业单位，决算编报类型为单户表，按照政府会计制度填报决算数据。</w:t>
      </w:r>
    </w:p>
    <w:p>
      <w:pPr>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纳入本套决算编制范围的独立核算单位共</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个，比上年增减 </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lang w:eastAsia="zh-CN"/>
        </w:rPr>
        <w:t>个。</w:t>
      </w:r>
    </w:p>
    <w:p>
      <w:pPr>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负责承担在蓉攀籍离退休干部的接待服务及维稳工作。</w:t>
      </w:r>
    </w:p>
    <w:p>
      <w:pPr>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.联络、协调攀枝花市调蓉的在职及离退休干部工作。</w:t>
      </w:r>
    </w:p>
    <w:p>
      <w:pPr>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.负责在蓉向曾经在攀工作的干部宣传介绍攀枝花，使之进一步为攀枝花建设和发展服务。</w:t>
      </w:r>
    </w:p>
    <w:p>
      <w:pPr>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.邀请医院医生为西锦渡小区离退休干部进行健康知识讲解以及问题解答。</w:t>
      </w:r>
    </w:p>
    <w:p>
      <w:pPr>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.充分利用服务中心会议室、干部活动室、文体设施设备，为小区住户开展有益身心健康的文体活动。</w:t>
      </w:r>
    </w:p>
    <w:p>
      <w:pPr>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lang w:eastAsia="zh-CN"/>
        </w:rPr>
        <w:t>.协调西锦渡物业管理部门做好管理及小区房屋、公共设施的维护保养工作。</w:t>
      </w:r>
    </w:p>
    <w:p>
      <w:pPr>
        <w:spacing w:line="600" w:lineRule="exact"/>
        <w:ind w:firstLine="640" w:firstLineChars="200"/>
        <w:rPr>
          <w:rFonts w:hint="eastAsia" w:ascii="仿宋" w:hAnsi="仿宋" w:eastAsia="仿宋"/>
          <w:sz w:val="32"/>
          <w:szCs w:val="32"/>
        </w:rPr>
      </w:pPr>
      <w:r>
        <w:rPr>
          <w:rFonts w:hint="eastAsia" w:ascii="仿宋_GB2312" w:hAnsi="仿宋_GB2312" w:eastAsia="仿宋_GB2312" w:cs="仿宋_GB2312"/>
          <w:sz w:val="32"/>
          <w:szCs w:val="32"/>
          <w:lang w:val="en-US" w:eastAsia="zh-CN"/>
        </w:rPr>
        <w:t>7.承办领导交办的其他任务。</w:t>
      </w:r>
    </w:p>
    <w:p>
      <w:pPr>
        <w:spacing w:line="600" w:lineRule="exact"/>
        <w:ind w:firstLine="640" w:firstLineChars="200"/>
        <w:rPr>
          <w:rFonts w:hint="eastAsia" w:ascii="黑体" w:hAnsi="黑体" w:eastAsia="黑体" w:cstheme="majorBidi"/>
          <w:b w:val="0"/>
          <w:bCs/>
          <w:kern w:val="2"/>
          <w:sz w:val="32"/>
          <w:szCs w:val="32"/>
          <w:lang w:val="en-US" w:eastAsia="zh-CN" w:bidi="ar-SA"/>
        </w:rPr>
      </w:pPr>
    </w:p>
    <w:p>
      <w:pPr>
        <w:numPr>
          <w:ilvl w:val="0"/>
          <w:numId w:val="1"/>
        </w:numPr>
        <w:spacing w:line="600" w:lineRule="exact"/>
        <w:ind w:firstLine="640" w:firstLineChars="200"/>
        <w:rPr>
          <w:rFonts w:hint="eastAsia" w:ascii="黑体" w:hAnsi="黑体" w:eastAsia="黑体" w:cstheme="majorBidi"/>
          <w:b w:val="0"/>
          <w:bCs/>
          <w:kern w:val="2"/>
          <w:sz w:val="32"/>
          <w:szCs w:val="32"/>
          <w:lang w:val="en-US" w:eastAsia="zh-CN" w:bidi="ar-SA"/>
        </w:rPr>
      </w:pPr>
      <w:r>
        <w:rPr>
          <w:rFonts w:hint="eastAsia" w:ascii="黑体" w:hAnsi="黑体" w:eastAsia="黑体" w:cstheme="majorBidi"/>
          <w:b w:val="0"/>
          <w:bCs/>
          <w:kern w:val="2"/>
          <w:sz w:val="32"/>
          <w:szCs w:val="32"/>
          <w:lang w:val="en-US" w:eastAsia="zh-CN" w:bidi="ar-SA"/>
        </w:rPr>
        <w:t>机构设置</w:t>
      </w:r>
    </w:p>
    <w:p>
      <w:pPr>
        <w:spacing w:line="60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攀枝花市成都干部服务中心为攀枝花市人民政府驻成都办事处下属由财政全额拨款的公益一类事业单位，承担在蓉攀籍离退休干部的相关服务工作，核定事业编制8名。截止202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年12月31日其人员包括中心主任（领导）1人、专业技术（中级）人员</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人、事业工勤人员</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人，退休人员</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人已纳入社保统筹管理。</w:t>
      </w:r>
    </w:p>
    <w:p>
      <w:pPr>
        <w:spacing w:line="600" w:lineRule="exact"/>
        <w:ind w:firstLine="640" w:firstLineChars="200"/>
        <w:rPr>
          <w:rFonts w:hint="eastAsia" w:ascii="黑体" w:hAnsi="黑体" w:eastAsia="黑体" w:cstheme="majorBidi"/>
          <w:b w:val="0"/>
          <w:bCs/>
          <w:kern w:val="2"/>
          <w:sz w:val="32"/>
          <w:szCs w:val="32"/>
          <w:lang w:val="en-US" w:eastAsia="zh-CN" w:bidi="ar-SA"/>
        </w:rPr>
      </w:pPr>
      <w:r>
        <w:rPr>
          <w:rFonts w:hint="eastAsia" w:ascii="黑体" w:hAnsi="黑体" w:eastAsia="黑体" w:cstheme="majorBidi"/>
          <w:b w:val="0"/>
          <w:bCs/>
          <w:kern w:val="2"/>
          <w:sz w:val="32"/>
          <w:szCs w:val="32"/>
          <w:lang w:val="en-US" w:eastAsia="zh-CN" w:bidi="ar-SA"/>
        </w:rPr>
        <w:t>三、2021年重点工作完成情况</w:t>
      </w:r>
    </w:p>
    <w:p>
      <w:pPr>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按照核定的宗旨和业务范围，围绕年初制定的抓好老干部服务，提升服务质量总目标，取得以下成效。</w:t>
      </w:r>
    </w:p>
    <w:p>
      <w:pPr>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 1.中心每年都为老干部订阅了报刊杂志（攀枝花日报、益寿文摘、各类健康养生书籍）、棋牌等学习资料和活动用品，让老干部开展有益身心健康的各项学习、娱乐活动。</w:t>
      </w:r>
    </w:p>
    <w:p>
      <w:pPr>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 2.服务中心延续传统，每年都会对居住在西锦渡小区内外的离退休老干部进行慰问。</w:t>
      </w:r>
      <w:r>
        <w:rPr>
          <w:rFonts w:hint="eastAsia" w:ascii="仿宋_GB2312" w:hAnsi="仿宋_GB2312" w:eastAsia="仿宋_GB2312" w:cs="仿宋_GB2312"/>
          <w:sz w:val="32"/>
          <w:szCs w:val="32"/>
          <w:lang w:val="en-US" w:eastAsia="zh-CN"/>
        </w:rPr>
        <w:t>2021年多次组织开展相关活动，如中老年预防卒中健康讲座、迎新年活动等，老干部们都积极参与，反响热烈。</w:t>
      </w:r>
      <w:r>
        <w:rPr>
          <w:rFonts w:hint="eastAsia" w:ascii="仿宋_GB2312" w:hAnsi="仿宋_GB2312" w:eastAsia="仿宋_GB2312" w:cs="仿宋_GB2312"/>
          <w:sz w:val="32"/>
          <w:szCs w:val="32"/>
          <w:lang w:eastAsia="zh-CN"/>
        </w:rPr>
        <w:t xml:space="preserve"> </w:t>
      </w:r>
    </w:p>
    <w:p>
      <w:pPr>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 3.服务中心继续举办了宣传栏，定期给老干部介绍一些生活健康、医疗保健、攀枝花要闻等信息。丰富老干部的业余生活，此专栏深受老干部的欢迎。</w:t>
      </w:r>
    </w:p>
    <w:p>
      <w:pPr>
        <w:spacing w:line="600" w:lineRule="exact"/>
        <w:ind w:firstLine="640" w:firstLineChars="200"/>
        <w:rPr>
          <w:rStyle w:val="25"/>
          <w:b w:val="0"/>
          <w:bCs w:val="0"/>
        </w:rPr>
      </w:pPr>
      <w:r>
        <w:rPr>
          <w:rFonts w:hint="eastAsia" w:ascii="仿宋_GB2312" w:hAnsi="仿宋_GB2312" w:eastAsia="仿宋_GB2312" w:cs="仿宋_GB2312"/>
          <w:sz w:val="32"/>
          <w:szCs w:val="32"/>
          <w:lang w:eastAsia="zh-CN"/>
        </w:rPr>
        <w:t>4.由于今年</w:t>
      </w:r>
      <w:r>
        <w:rPr>
          <w:rFonts w:hint="eastAsia" w:ascii="仿宋_GB2312" w:hAnsi="仿宋_GB2312" w:eastAsia="仿宋_GB2312" w:cs="仿宋_GB2312"/>
          <w:sz w:val="32"/>
          <w:szCs w:val="32"/>
          <w:lang w:val="en-US" w:eastAsia="zh-CN"/>
        </w:rPr>
        <w:t>11月时成都出现德尔塔病毒疫情，我单位在保证疫情防控的前提下，购置一批防疫物资，及时送往老干部家中，进行防疫知识讲解，帮助老干部们保持身体健康。</w:t>
      </w:r>
    </w:p>
    <w:p>
      <w:pPr>
        <w:spacing w:line="600" w:lineRule="exact"/>
        <w:ind w:firstLine="640" w:firstLineChars="200"/>
        <w:rPr>
          <w:rFonts w:ascii="仿宋" w:hAnsi="仿宋" w:eastAsia="仿宋"/>
          <w:kern w:val="0"/>
          <w:sz w:val="32"/>
          <w:szCs w:val="32"/>
        </w:rPr>
      </w:pPr>
      <w:r>
        <w:rPr>
          <w:rFonts w:hint="eastAsia" w:ascii="仿宋" w:hAnsi="仿宋" w:eastAsia="仿宋"/>
          <w:sz w:val="32"/>
          <w:szCs w:val="32"/>
          <w:lang w:eastAsia="zh-CN"/>
        </w:rPr>
        <w:br w:type="page"/>
      </w:r>
    </w:p>
    <w:p>
      <w:pPr>
        <w:pStyle w:val="3"/>
        <w:ind w:right="440"/>
        <w:jc w:val="center"/>
        <w:rPr>
          <w:rStyle w:val="24"/>
          <w:rFonts w:ascii="黑体" w:hAnsi="黑体" w:eastAsia="黑体"/>
          <w:b w:val="0"/>
          <w:bCs/>
        </w:rPr>
      </w:pPr>
      <w:bookmarkStart w:id="16" w:name="_Toc15396602"/>
      <w:bookmarkStart w:id="17" w:name="_Toc15377204"/>
      <w:r>
        <w:rPr>
          <w:rFonts w:hint="eastAsia" w:ascii="黑体" w:hAnsi="黑体" w:eastAsia="黑体"/>
          <w:b w:val="0"/>
        </w:rPr>
        <w:t>第二部分 2021年度</w:t>
      </w:r>
      <w:r>
        <w:rPr>
          <w:rStyle w:val="24"/>
          <w:rFonts w:hint="eastAsia" w:ascii="黑体" w:hAnsi="黑体" w:eastAsia="黑体"/>
          <w:b w:val="0"/>
          <w:bCs/>
        </w:rPr>
        <w:t>部门决算情况说明</w:t>
      </w:r>
      <w:bookmarkEnd w:id="16"/>
      <w:bookmarkEnd w:id="17"/>
    </w:p>
    <w:p/>
    <w:p>
      <w:pPr>
        <w:pStyle w:val="23"/>
        <w:numPr>
          <w:ilvl w:val="0"/>
          <w:numId w:val="2"/>
        </w:numPr>
        <w:spacing w:line="600" w:lineRule="exact"/>
        <w:ind w:firstLineChars="0"/>
        <w:outlineLvl w:val="1"/>
        <w:rPr>
          <w:rStyle w:val="25"/>
          <w:rFonts w:ascii="黑体" w:hAnsi="黑体" w:eastAsia="黑体"/>
          <w:b w:val="0"/>
        </w:rPr>
      </w:pPr>
      <w:bookmarkStart w:id="18" w:name="_Toc15377205"/>
      <w:bookmarkStart w:id="19" w:name="_Toc15396603"/>
      <w:r>
        <w:rPr>
          <w:rFonts w:hint="eastAsia" w:ascii="黑体" w:hAnsi="黑体" w:eastAsia="黑体"/>
          <w:sz w:val="32"/>
          <w:szCs w:val="32"/>
        </w:rPr>
        <w:t>收</w:t>
      </w:r>
      <w:r>
        <w:rPr>
          <w:rStyle w:val="25"/>
          <w:rFonts w:hint="eastAsia" w:ascii="黑体" w:hAnsi="黑体" w:eastAsia="黑体"/>
          <w:b w:val="0"/>
        </w:rPr>
        <w:t>入支出决算总体情况说明</w:t>
      </w:r>
      <w:bookmarkEnd w:id="18"/>
      <w:bookmarkEnd w:id="19"/>
    </w:p>
    <w:p>
      <w:pPr>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2021年度收、支总计</w:t>
      </w:r>
      <w:r>
        <w:rPr>
          <w:rFonts w:hint="eastAsia" w:ascii="仿宋_GB2312" w:hAnsi="仿宋_GB2312" w:eastAsia="仿宋_GB2312" w:cs="仿宋_GB2312"/>
          <w:sz w:val="32"/>
          <w:szCs w:val="32"/>
          <w:lang w:val="en-US" w:eastAsia="zh-CN"/>
        </w:rPr>
        <w:t>108.39</w:t>
      </w:r>
      <w:r>
        <w:rPr>
          <w:rFonts w:hint="eastAsia" w:ascii="仿宋_GB2312" w:hAnsi="仿宋_GB2312" w:eastAsia="仿宋_GB2312" w:cs="仿宋_GB2312"/>
          <w:sz w:val="32"/>
          <w:szCs w:val="32"/>
          <w:lang w:eastAsia="zh-CN"/>
        </w:rPr>
        <w:t>万元。与2020年相比，收、支总计各增加</w:t>
      </w:r>
      <w:r>
        <w:rPr>
          <w:rFonts w:hint="eastAsia" w:ascii="仿宋_GB2312" w:hAnsi="仿宋_GB2312" w:eastAsia="仿宋_GB2312" w:cs="仿宋_GB2312"/>
          <w:sz w:val="32"/>
          <w:szCs w:val="32"/>
          <w:lang w:val="en-US" w:eastAsia="zh-CN"/>
        </w:rPr>
        <w:t>0.28</w:t>
      </w:r>
      <w:r>
        <w:rPr>
          <w:rFonts w:hint="eastAsia" w:ascii="仿宋_GB2312" w:hAnsi="仿宋_GB2312" w:eastAsia="仿宋_GB2312" w:cs="仿宋_GB2312"/>
          <w:sz w:val="32"/>
          <w:szCs w:val="32"/>
          <w:lang w:eastAsia="zh-CN"/>
        </w:rPr>
        <w:t>万元，增长</w:t>
      </w:r>
      <w:r>
        <w:rPr>
          <w:rFonts w:hint="eastAsia" w:ascii="仿宋_GB2312" w:hAnsi="仿宋_GB2312" w:eastAsia="仿宋_GB2312" w:cs="仿宋_GB2312"/>
          <w:sz w:val="32"/>
          <w:szCs w:val="32"/>
          <w:lang w:val="en-US" w:eastAsia="zh-CN"/>
        </w:rPr>
        <w:t>0.26</w:t>
      </w:r>
      <w:r>
        <w:rPr>
          <w:rFonts w:hint="eastAsia" w:ascii="仿宋_GB2312" w:hAnsi="仿宋_GB2312" w:eastAsia="仿宋_GB2312" w:cs="仿宋_GB2312"/>
          <w:sz w:val="32"/>
          <w:szCs w:val="32"/>
          <w:lang w:eastAsia="zh-CN"/>
        </w:rPr>
        <w:t>%。主要变动原因是新进职工使相应经费增加。</w:t>
      </w:r>
    </w:p>
    <w:p>
      <w:pPr>
        <w:pStyle w:val="2"/>
        <w:jc w:val="center"/>
        <w:rPr>
          <w:rFonts w:hint="eastAsia"/>
          <w:lang w:val="en-US" w:eastAsia="zh-CN"/>
        </w:rPr>
      </w:pPr>
      <w:r>
        <w:drawing>
          <wp:inline distT="0" distB="0" distL="114300" distR="114300">
            <wp:extent cx="4924425" cy="3428365"/>
            <wp:effectExtent l="4445" t="4445" r="5080" b="15240"/>
            <wp:docPr id="5" name="图表 6" descr="7b0a202020202263686172745265734964223a20223230343732323235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w:t>
      </w:r>
      <w:r>
        <w:rPr>
          <w:rFonts w:hint="eastAsia" w:ascii="仿宋" w:hAnsi="仿宋" w:eastAsia="仿宋"/>
          <w:sz w:val="32"/>
          <w:szCs w:val="32"/>
          <w:lang w:eastAsia="zh-CN"/>
        </w:rPr>
        <w:t>柱</w:t>
      </w:r>
      <w:r>
        <w:rPr>
          <w:rFonts w:hint="eastAsia" w:ascii="仿宋" w:hAnsi="仿宋" w:eastAsia="仿宋"/>
          <w:sz w:val="32"/>
          <w:szCs w:val="32"/>
        </w:rPr>
        <w:t>状图）</w:t>
      </w:r>
    </w:p>
    <w:p>
      <w:pPr>
        <w:snapToGrid w:val="0"/>
        <w:spacing w:line="52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lang w:val="en-US" w:eastAsia="zh-CN"/>
        </w:rPr>
        <w:t>2.2021年初预算中：一般公共服务支出82.67万元，社会保障和就业支出15.38万元，住房保障支出6.3万元，相较于2020年一般公共服务支出减少6.97万元；社会保障和就业支出增加2.77万元；卫生健康支出减少0.32万元;住房保障支出增加0.09万元。</w:t>
      </w:r>
    </w:p>
    <w:p>
      <w:pPr>
        <w:pStyle w:val="2"/>
        <w:jc w:val="center"/>
      </w:pPr>
      <w:r>
        <w:drawing>
          <wp:inline distT="0" distB="0" distL="114300" distR="114300">
            <wp:extent cx="4778375" cy="2430145"/>
            <wp:effectExtent l="4445" t="4445" r="17780" b="22860"/>
            <wp:docPr id="3" name="图表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pStyle w:val="2"/>
        <w:jc w:val="center"/>
        <w:rPr>
          <w:rFonts w:hint="eastAsia"/>
        </w:rPr>
      </w:pPr>
      <w:r>
        <w:rPr>
          <w:rFonts w:hint="eastAsia" w:ascii="仿宋" w:hAnsi="仿宋" w:eastAsia="仿宋"/>
          <w:sz w:val="32"/>
          <w:szCs w:val="32"/>
          <w:lang w:eastAsia="zh-CN"/>
        </w:rPr>
        <w:t>（图</w:t>
      </w:r>
      <w:r>
        <w:rPr>
          <w:rFonts w:hint="eastAsia" w:ascii="仿宋" w:hAnsi="仿宋" w:eastAsia="仿宋"/>
          <w:sz w:val="32"/>
          <w:szCs w:val="32"/>
          <w:lang w:val="en-US" w:eastAsia="zh-CN"/>
        </w:rPr>
        <w:t>2：具体科目预算收入对比图</w:t>
      </w:r>
      <w:r>
        <w:rPr>
          <w:rFonts w:hint="eastAsia" w:ascii="仿宋" w:hAnsi="仿宋" w:eastAsia="仿宋"/>
          <w:sz w:val="32"/>
          <w:szCs w:val="32"/>
          <w:lang w:eastAsia="zh-CN"/>
        </w:rPr>
        <w:t>）</w:t>
      </w:r>
      <w:r>
        <w:rPr>
          <w:rFonts w:hint="eastAsia" w:ascii="仿宋" w:hAnsi="仿宋" w:eastAsia="仿宋"/>
          <w:sz w:val="32"/>
          <w:szCs w:val="32"/>
        </w:rPr>
        <w:t>（</w:t>
      </w:r>
      <w:r>
        <w:rPr>
          <w:rFonts w:hint="eastAsia" w:ascii="仿宋" w:hAnsi="仿宋" w:eastAsia="仿宋"/>
          <w:sz w:val="32"/>
          <w:szCs w:val="32"/>
          <w:lang w:eastAsia="zh-CN"/>
        </w:rPr>
        <w:t>柱</w:t>
      </w:r>
      <w:r>
        <w:rPr>
          <w:rFonts w:hint="eastAsia" w:ascii="仿宋" w:hAnsi="仿宋" w:eastAsia="仿宋"/>
          <w:sz w:val="32"/>
          <w:szCs w:val="32"/>
        </w:rPr>
        <w:t>状图）</w:t>
      </w:r>
    </w:p>
    <w:p>
      <w:pPr>
        <w:pStyle w:val="23"/>
        <w:numPr>
          <w:ilvl w:val="0"/>
          <w:numId w:val="2"/>
        </w:numPr>
        <w:spacing w:line="600" w:lineRule="exact"/>
        <w:ind w:firstLineChars="0"/>
        <w:outlineLvl w:val="1"/>
        <w:rPr>
          <w:rStyle w:val="25"/>
          <w:rFonts w:ascii="黑体" w:hAnsi="黑体" w:eastAsia="黑体"/>
          <w:b w:val="0"/>
        </w:rPr>
      </w:pPr>
      <w:bookmarkStart w:id="20" w:name="_Toc15377206"/>
      <w:bookmarkStart w:id="21" w:name="_Toc15396604"/>
      <w:r>
        <w:rPr>
          <w:rFonts w:hint="eastAsia" w:ascii="黑体" w:hAnsi="黑体" w:eastAsia="黑体"/>
          <w:sz w:val="32"/>
          <w:szCs w:val="32"/>
        </w:rPr>
        <w:t>收</w:t>
      </w:r>
      <w:r>
        <w:rPr>
          <w:rStyle w:val="25"/>
          <w:rFonts w:hint="eastAsia" w:ascii="黑体" w:hAnsi="黑体" w:eastAsia="黑体"/>
          <w:b w:val="0"/>
        </w:rPr>
        <w:t>入决算情况说明</w:t>
      </w:r>
      <w:bookmarkEnd w:id="20"/>
      <w:bookmarkEnd w:id="21"/>
    </w:p>
    <w:p>
      <w:pPr>
        <w:spacing w:line="600" w:lineRule="exact"/>
        <w:ind w:firstLine="640" w:firstLineChars="200"/>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2021年本年收入合计108.39万元，其中：</w:t>
      </w:r>
      <w:bookmarkStart w:id="22" w:name="OLE_LINK1"/>
      <w:r>
        <w:rPr>
          <w:rFonts w:hint="eastAsia" w:ascii="仿宋_GB2312" w:hAnsi="仿宋_GB2312" w:eastAsia="仿宋_GB2312" w:cs="仿宋_GB2312"/>
          <w:sz w:val="32"/>
          <w:szCs w:val="32"/>
          <w:lang w:val="en-US" w:eastAsia="zh-CN"/>
        </w:rPr>
        <w:t>一般公共预算财政拨款收入</w:t>
      </w:r>
      <w:bookmarkEnd w:id="22"/>
      <w:r>
        <w:rPr>
          <w:rFonts w:hint="eastAsia" w:ascii="仿宋_GB2312" w:hAnsi="仿宋_GB2312" w:eastAsia="仿宋_GB2312" w:cs="仿宋_GB2312"/>
          <w:sz w:val="32"/>
          <w:szCs w:val="32"/>
          <w:lang w:val="en-US" w:eastAsia="zh-CN"/>
        </w:rPr>
        <w:t>108.39万元，占100%；政府性基金预算财政拨款收入0万元，占0%；国有资本经营预算财政拨款收入0万元，占0%；上级补助收入0万元，占0%；事业收入0万元，占0%；经营收入0万元，占0%；附属单位上缴收入0万元，占0%；其他收入0万元，占0%。</w:t>
      </w:r>
    </w:p>
    <w:p>
      <w:pPr>
        <w:pStyle w:val="2"/>
        <w:jc w:val="center"/>
        <w:rPr>
          <w:rFonts w:ascii="仿宋" w:hAnsi="仿宋" w:eastAsia="仿宋"/>
          <w:sz w:val="32"/>
          <w:szCs w:val="32"/>
        </w:rPr>
      </w:pPr>
      <w:r>
        <w:drawing>
          <wp:inline distT="0" distB="0" distL="114300" distR="114300">
            <wp:extent cx="4628515" cy="2494280"/>
            <wp:effectExtent l="4445" t="4445" r="15240" b="15875"/>
            <wp:docPr id="11" name="图表 7" descr="7b0a202020202263686172745265734964223a20223230303035313731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spacing w:line="600" w:lineRule="exact"/>
        <w:ind w:firstLine="1600" w:firstLineChars="500"/>
        <w:rPr>
          <w:rFonts w:ascii="仿宋_GB2312" w:eastAsia="仿宋_GB2312"/>
          <w:sz w:val="32"/>
          <w:szCs w:val="32"/>
        </w:rPr>
      </w:pPr>
      <w:r>
        <w:rPr>
          <w:rFonts w:hint="eastAsia" w:ascii="仿宋" w:hAnsi="仿宋" w:eastAsia="仿宋"/>
          <w:sz w:val="32"/>
          <w:szCs w:val="32"/>
        </w:rPr>
        <w:t>（图</w:t>
      </w:r>
      <w:r>
        <w:rPr>
          <w:rFonts w:hint="eastAsia" w:ascii="仿宋" w:hAnsi="仿宋" w:eastAsia="仿宋"/>
          <w:sz w:val="32"/>
          <w:szCs w:val="32"/>
          <w:lang w:val="en-US" w:eastAsia="zh-CN"/>
        </w:rPr>
        <w:t>3</w:t>
      </w:r>
      <w:r>
        <w:rPr>
          <w:rFonts w:hint="eastAsia" w:ascii="仿宋" w:hAnsi="仿宋" w:eastAsia="仿宋"/>
          <w:sz w:val="32"/>
          <w:szCs w:val="32"/>
        </w:rPr>
        <w:t>：收入决算结构图）（</w:t>
      </w:r>
      <w:r>
        <w:rPr>
          <w:rFonts w:hint="eastAsia" w:ascii="仿宋" w:hAnsi="仿宋" w:eastAsia="仿宋"/>
          <w:sz w:val="32"/>
          <w:szCs w:val="32"/>
          <w:lang w:eastAsia="zh-CN"/>
        </w:rPr>
        <w:t>饼</w:t>
      </w:r>
      <w:r>
        <w:rPr>
          <w:rFonts w:hint="eastAsia" w:ascii="仿宋" w:hAnsi="仿宋" w:eastAsia="仿宋"/>
          <w:sz w:val="32"/>
          <w:szCs w:val="32"/>
        </w:rPr>
        <w:t>状图）</w:t>
      </w:r>
    </w:p>
    <w:p>
      <w:pPr>
        <w:pStyle w:val="23"/>
        <w:numPr>
          <w:ilvl w:val="0"/>
          <w:numId w:val="2"/>
        </w:numPr>
        <w:spacing w:line="600" w:lineRule="exact"/>
        <w:ind w:firstLineChars="0"/>
        <w:outlineLvl w:val="1"/>
        <w:rPr>
          <w:rStyle w:val="25"/>
          <w:rFonts w:ascii="黑体" w:hAnsi="黑体" w:eastAsia="黑体"/>
          <w:b w:val="0"/>
        </w:rPr>
      </w:pPr>
      <w:bookmarkStart w:id="23" w:name="_Toc15377207"/>
      <w:bookmarkStart w:id="24" w:name="_Toc15396605"/>
      <w:r>
        <w:rPr>
          <w:rFonts w:hint="eastAsia" w:ascii="黑体" w:hAnsi="黑体" w:eastAsia="黑体"/>
          <w:sz w:val="32"/>
          <w:szCs w:val="32"/>
        </w:rPr>
        <w:t>支</w:t>
      </w:r>
      <w:r>
        <w:rPr>
          <w:rStyle w:val="25"/>
          <w:rFonts w:hint="eastAsia" w:ascii="黑体" w:hAnsi="黑体" w:eastAsia="黑体"/>
          <w:b w:val="0"/>
        </w:rPr>
        <w:t>出决算情况说明</w:t>
      </w:r>
      <w:bookmarkEnd w:id="23"/>
      <w:bookmarkEnd w:id="24"/>
    </w:p>
    <w:p>
      <w:pPr>
        <w:spacing w:line="600" w:lineRule="exact"/>
        <w:ind w:firstLine="640" w:firstLineChars="200"/>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2021年本年支出合计108.39万元，其中：基本支出103.39万元，占95.39%；项目支出5万元，占4.61%；上缴上级支出0万元，占0%；经营支出0万元，占0%；对附属单位补助支出0万元，占0%。</w:t>
      </w:r>
    </w:p>
    <w:p>
      <w:pPr>
        <w:pStyle w:val="2"/>
        <w:jc w:val="center"/>
        <w:rPr>
          <w:rFonts w:hint="eastAsia" w:ascii="仿宋" w:hAnsi="仿宋" w:eastAsia="仿宋"/>
          <w:sz w:val="32"/>
          <w:szCs w:val="32"/>
        </w:rPr>
      </w:pPr>
      <w:r>
        <w:drawing>
          <wp:inline distT="0" distB="0" distL="114300" distR="114300">
            <wp:extent cx="3963670" cy="1906905"/>
            <wp:effectExtent l="0" t="0" r="17780" b="17145"/>
            <wp:docPr id="12" name="图表 8" descr="7b0a202020202263686172745265734964223a20223230343732373031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spacing w:line="600" w:lineRule="exact"/>
        <w:ind w:firstLine="1600" w:firstLineChars="500"/>
        <w:rPr>
          <w:rFonts w:ascii="仿宋_GB2312" w:eastAsia="仿宋_GB2312"/>
          <w:sz w:val="32"/>
          <w:szCs w:val="32"/>
        </w:rPr>
      </w:pPr>
      <w:r>
        <w:rPr>
          <w:rFonts w:hint="eastAsia" w:ascii="仿宋" w:hAnsi="仿宋" w:eastAsia="仿宋"/>
          <w:sz w:val="32"/>
          <w:szCs w:val="32"/>
        </w:rPr>
        <w:t>（图</w:t>
      </w:r>
      <w:r>
        <w:rPr>
          <w:rFonts w:hint="eastAsia" w:ascii="仿宋" w:hAnsi="仿宋" w:eastAsia="仿宋"/>
          <w:sz w:val="32"/>
          <w:szCs w:val="32"/>
          <w:lang w:val="en-US" w:eastAsia="zh-CN"/>
        </w:rPr>
        <w:t>4</w:t>
      </w:r>
      <w:r>
        <w:rPr>
          <w:rFonts w:hint="eastAsia" w:ascii="仿宋" w:hAnsi="仿宋" w:eastAsia="仿宋"/>
          <w:sz w:val="32"/>
          <w:szCs w:val="32"/>
        </w:rPr>
        <w:t>：支出决算结构图）（</w:t>
      </w:r>
      <w:r>
        <w:rPr>
          <w:rFonts w:hint="eastAsia" w:ascii="仿宋" w:hAnsi="仿宋" w:eastAsia="仿宋"/>
          <w:sz w:val="32"/>
          <w:szCs w:val="32"/>
          <w:lang w:eastAsia="zh-CN"/>
        </w:rPr>
        <w:t>饼</w:t>
      </w:r>
      <w:r>
        <w:rPr>
          <w:rFonts w:hint="eastAsia" w:ascii="仿宋" w:hAnsi="仿宋" w:eastAsia="仿宋"/>
          <w:sz w:val="32"/>
          <w:szCs w:val="32"/>
        </w:rPr>
        <w:t>状图）</w:t>
      </w:r>
    </w:p>
    <w:p>
      <w:pPr>
        <w:spacing w:line="600" w:lineRule="exact"/>
        <w:ind w:firstLine="640" w:firstLineChars="200"/>
        <w:outlineLvl w:val="1"/>
        <w:rPr>
          <w:rFonts w:hint="eastAsia" w:ascii="黑体" w:hAnsi="黑体" w:eastAsia="黑体"/>
          <w:sz w:val="32"/>
          <w:szCs w:val="32"/>
        </w:rPr>
      </w:pPr>
      <w:bookmarkStart w:id="25" w:name="_Toc15396606"/>
      <w:bookmarkStart w:id="26" w:name="_Toc15377208"/>
    </w:p>
    <w:p>
      <w:pPr>
        <w:spacing w:line="600" w:lineRule="exact"/>
        <w:ind w:firstLine="640" w:firstLineChars="200"/>
        <w:outlineLvl w:val="1"/>
        <w:rPr>
          <w:rStyle w:val="25"/>
          <w:rFonts w:ascii="黑体" w:hAnsi="黑体" w:eastAsia="黑体"/>
          <w:b w:val="0"/>
        </w:rPr>
      </w:pPr>
      <w:r>
        <w:rPr>
          <w:rFonts w:hint="eastAsia" w:ascii="黑体" w:hAnsi="黑体" w:eastAsia="黑体"/>
          <w:sz w:val="32"/>
          <w:szCs w:val="32"/>
        </w:rPr>
        <w:t>四、财</w:t>
      </w:r>
      <w:r>
        <w:rPr>
          <w:rStyle w:val="25"/>
          <w:rFonts w:hint="eastAsia" w:ascii="黑体" w:hAnsi="黑体" w:eastAsia="黑体"/>
          <w:b w:val="0"/>
        </w:rPr>
        <w:t>政拨款收入支出决算总体情况说明</w:t>
      </w:r>
      <w:bookmarkEnd w:id="25"/>
      <w:bookmarkEnd w:id="26"/>
    </w:p>
    <w:p>
      <w:pPr>
        <w:spacing w:line="600" w:lineRule="exact"/>
        <w:ind w:firstLine="640" w:firstLineChars="200"/>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2021年财政拨款收、支总计108.39万元。与2020年相比，财政拨款收、支总计各增加0.28万元，增长0.26%。主要变动原因是新进职工使相应经费增加。</w:t>
      </w:r>
    </w:p>
    <w:p>
      <w:pPr>
        <w:pStyle w:val="2"/>
        <w:jc w:val="center"/>
        <w:rPr>
          <w:rFonts w:hint="eastAsia" w:ascii="仿宋" w:hAnsi="仿宋" w:eastAsia="仿宋"/>
          <w:sz w:val="32"/>
          <w:szCs w:val="32"/>
          <w:lang w:val="en-US" w:eastAsia="zh-CN"/>
        </w:rPr>
      </w:pPr>
      <w:r>
        <w:drawing>
          <wp:inline distT="0" distB="0" distL="114300" distR="114300">
            <wp:extent cx="4249420" cy="2009140"/>
            <wp:effectExtent l="4445" t="4445" r="13335" b="62865"/>
            <wp:docPr id="7" name="图表 7" descr="7b0a202020202263686172745265734964223a20223230343731343937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spacing w:line="600" w:lineRule="exact"/>
        <w:ind w:firstLine="320" w:firstLineChars="100"/>
      </w:pPr>
      <w:r>
        <w:rPr>
          <w:rFonts w:hint="eastAsia" w:ascii="仿宋" w:hAnsi="仿宋" w:eastAsia="仿宋"/>
          <w:sz w:val="32"/>
          <w:szCs w:val="32"/>
        </w:rPr>
        <w:t>（图</w:t>
      </w:r>
      <w:r>
        <w:rPr>
          <w:rFonts w:hint="eastAsia" w:ascii="仿宋" w:hAnsi="仿宋" w:eastAsia="仿宋"/>
          <w:sz w:val="32"/>
          <w:szCs w:val="32"/>
          <w:lang w:val="en-US" w:eastAsia="zh-CN"/>
        </w:rPr>
        <w:t>5</w:t>
      </w:r>
      <w:r>
        <w:rPr>
          <w:rFonts w:hint="eastAsia" w:ascii="仿宋" w:hAnsi="仿宋" w:eastAsia="仿宋"/>
          <w:sz w:val="32"/>
          <w:szCs w:val="32"/>
        </w:rPr>
        <w:t>：财政拨款收、支决算总计变动情况</w:t>
      </w:r>
      <w:r>
        <w:rPr>
          <w:rFonts w:hint="eastAsia" w:ascii="仿宋" w:hAnsi="仿宋" w:eastAsia="仿宋"/>
          <w:sz w:val="32"/>
          <w:szCs w:val="32"/>
          <w:lang w:val="en-US" w:eastAsia="zh-CN"/>
        </w:rPr>
        <w:t>图</w:t>
      </w:r>
      <w:r>
        <w:rPr>
          <w:rFonts w:hint="eastAsia" w:ascii="仿宋" w:hAnsi="仿宋" w:eastAsia="仿宋"/>
          <w:sz w:val="32"/>
          <w:szCs w:val="32"/>
        </w:rPr>
        <w:t>）（</w:t>
      </w:r>
      <w:r>
        <w:rPr>
          <w:rFonts w:hint="eastAsia" w:ascii="仿宋" w:hAnsi="仿宋" w:eastAsia="仿宋"/>
          <w:sz w:val="32"/>
          <w:szCs w:val="32"/>
          <w:lang w:eastAsia="zh-CN"/>
        </w:rPr>
        <w:t>饼</w:t>
      </w:r>
      <w:r>
        <w:rPr>
          <w:rFonts w:hint="eastAsia" w:ascii="仿宋" w:hAnsi="仿宋" w:eastAsia="仿宋"/>
          <w:sz w:val="32"/>
          <w:szCs w:val="32"/>
        </w:rPr>
        <w:t>状图）</w:t>
      </w:r>
    </w:p>
    <w:p>
      <w:pPr>
        <w:spacing w:line="600" w:lineRule="exact"/>
        <w:ind w:firstLine="640" w:firstLineChars="200"/>
        <w:outlineLvl w:val="1"/>
        <w:rPr>
          <w:rFonts w:hint="eastAsia" w:ascii="黑体" w:hAnsi="黑体" w:eastAsia="黑体"/>
          <w:sz w:val="32"/>
          <w:szCs w:val="32"/>
        </w:rPr>
      </w:pPr>
      <w:bookmarkStart w:id="27" w:name="_Toc15377209"/>
      <w:bookmarkStart w:id="28" w:name="_Toc15396607"/>
    </w:p>
    <w:p>
      <w:pPr>
        <w:spacing w:line="600" w:lineRule="exact"/>
        <w:ind w:firstLine="640" w:firstLineChars="200"/>
        <w:outlineLvl w:val="1"/>
        <w:rPr>
          <w:rStyle w:val="25"/>
          <w:rFonts w:ascii="黑体" w:hAnsi="黑体" w:eastAsia="黑体"/>
          <w:b w:val="0"/>
        </w:rPr>
      </w:pPr>
      <w:r>
        <w:rPr>
          <w:rFonts w:hint="eastAsia" w:ascii="黑体" w:hAnsi="黑体" w:eastAsia="黑体"/>
          <w:sz w:val="32"/>
          <w:szCs w:val="32"/>
        </w:rPr>
        <w:t>五、</w:t>
      </w:r>
      <w:r>
        <w:rPr>
          <w:rFonts w:hint="eastAsia" w:ascii="黑体" w:hAnsi="黑体" w:eastAsia="黑体"/>
          <w:b/>
          <w:sz w:val="32"/>
          <w:szCs w:val="32"/>
        </w:rPr>
        <w:t>一</w:t>
      </w:r>
      <w:r>
        <w:rPr>
          <w:rStyle w:val="25"/>
          <w:rFonts w:hint="eastAsia" w:ascii="黑体" w:hAnsi="黑体" w:eastAsia="黑体"/>
          <w:b w:val="0"/>
        </w:rPr>
        <w:t>般公共预算财政拨款支出决算情况说明</w:t>
      </w:r>
      <w:bookmarkEnd w:id="27"/>
      <w:bookmarkEnd w:id="28"/>
    </w:p>
    <w:p>
      <w:pPr>
        <w:spacing w:line="600" w:lineRule="exact"/>
        <w:ind w:firstLine="643" w:firstLineChars="200"/>
        <w:outlineLvl w:val="2"/>
        <w:rPr>
          <w:rFonts w:ascii="仿宋" w:hAnsi="仿宋" w:eastAsia="仿宋"/>
          <w:b/>
          <w:sz w:val="32"/>
          <w:szCs w:val="32"/>
        </w:rPr>
      </w:pPr>
      <w:bookmarkStart w:id="29" w:name="_Toc15377210"/>
      <w:r>
        <w:rPr>
          <w:rFonts w:hint="eastAsia" w:ascii="楷体" w:hAnsi="楷体" w:eastAsia="楷体" w:cs="楷体"/>
          <w:b/>
          <w:bCs w:val="0"/>
          <w:sz w:val="32"/>
          <w:szCs w:val="32"/>
        </w:rPr>
        <w:t>（一）一般公共预算财政拨款支出决算总体情况</w:t>
      </w:r>
      <w:bookmarkEnd w:id="29"/>
    </w:p>
    <w:p>
      <w:pPr>
        <w:spacing w:line="600" w:lineRule="exact"/>
        <w:ind w:firstLine="640" w:firstLineChars="200"/>
        <w:outlineLvl w:val="1"/>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2021年一般公共预算财政拨款支出108.39万元，占本年支出合计的100%。与2020年相比，一般公共预算财政拨款支出增加0.28万元，增长0.26%。主要变动原因是新进职工使相应经费增加。</w:t>
      </w:r>
    </w:p>
    <w:p>
      <w:pPr>
        <w:pStyle w:val="2"/>
        <w:rPr>
          <w:rFonts w:hint="eastAsia" w:ascii="仿宋" w:hAnsi="仿宋" w:eastAsia="仿宋"/>
          <w:sz w:val="32"/>
          <w:szCs w:val="32"/>
          <w:lang w:eastAsia="zh-CN"/>
        </w:rPr>
      </w:pPr>
      <w:r>
        <w:drawing>
          <wp:inline distT="0" distB="0" distL="114300" distR="114300">
            <wp:extent cx="5252720" cy="2425700"/>
            <wp:effectExtent l="4445" t="4445" r="19685" b="8255"/>
            <wp:docPr id="8" name="图表 8"/>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spacing w:line="600" w:lineRule="exact"/>
        <w:rPr>
          <w:rFonts w:ascii="仿宋" w:hAnsi="仿宋" w:eastAsia="仿宋"/>
          <w:sz w:val="32"/>
          <w:szCs w:val="32"/>
        </w:rPr>
      </w:pPr>
      <w:r>
        <w:rPr>
          <w:rFonts w:hint="eastAsia" w:ascii="仿宋" w:hAnsi="仿宋" w:eastAsia="仿宋"/>
          <w:sz w:val="32"/>
          <w:szCs w:val="32"/>
        </w:rPr>
        <w:t>（图</w:t>
      </w:r>
      <w:r>
        <w:rPr>
          <w:rFonts w:hint="eastAsia" w:ascii="仿宋" w:hAnsi="仿宋" w:eastAsia="仿宋"/>
          <w:sz w:val="32"/>
          <w:szCs w:val="32"/>
          <w:lang w:val="en-US" w:eastAsia="zh-CN"/>
        </w:rPr>
        <w:t>6</w:t>
      </w:r>
      <w:r>
        <w:rPr>
          <w:rFonts w:hint="eastAsia" w:ascii="仿宋" w:hAnsi="仿宋" w:eastAsia="仿宋"/>
          <w:sz w:val="32"/>
          <w:szCs w:val="32"/>
        </w:rPr>
        <w:t>：一般公共预算财政拨款支出决算变动情况）（柱状图）</w:t>
      </w:r>
    </w:p>
    <w:p>
      <w:pPr>
        <w:spacing w:line="600" w:lineRule="exact"/>
        <w:ind w:firstLine="640" w:firstLineChars="200"/>
        <w:rPr>
          <w:rFonts w:ascii="仿宋" w:hAnsi="仿宋" w:eastAsia="仿宋"/>
          <w:sz w:val="32"/>
          <w:szCs w:val="32"/>
        </w:rPr>
      </w:pPr>
    </w:p>
    <w:p>
      <w:pPr>
        <w:autoSpaceDE w:val="0"/>
        <w:autoSpaceDN w:val="0"/>
        <w:adjustRightInd w:val="0"/>
        <w:spacing w:line="600" w:lineRule="exact"/>
        <w:ind w:firstLine="643" w:firstLineChars="200"/>
        <w:jc w:val="left"/>
        <w:outlineLvl w:val="2"/>
        <w:rPr>
          <w:rFonts w:hint="eastAsia" w:ascii="楷体" w:hAnsi="楷体" w:eastAsia="楷体" w:cs="楷体"/>
          <w:b/>
          <w:bCs w:val="0"/>
          <w:sz w:val="32"/>
          <w:szCs w:val="32"/>
        </w:rPr>
      </w:pPr>
      <w:bookmarkStart w:id="30" w:name="_Toc15377211"/>
      <w:r>
        <w:rPr>
          <w:rFonts w:hint="eastAsia" w:ascii="楷体" w:hAnsi="楷体" w:eastAsia="楷体" w:cs="楷体"/>
          <w:b/>
          <w:bCs w:val="0"/>
          <w:sz w:val="32"/>
          <w:szCs w:val="32"/>
        </w:rPr>
        <w:t>（二）一般公共预算财政拨款支出决算结构情况</w:t>
      </w:r>
      <w:bookmarkEnd w:id="30"/>
    </w:p>
    <w:p>
      <w:pPr>
        <w:spacing w:line="600" w:lineRule="exact"/>
        <w:ind w:firstLine="640" w:firstLineChars="200"/>
        <w:outlineLvl w:val="1"/>
        <w:rPr>
          <w:rFonts w:ascii="仿宋" w:hAnsi="仿宋" w:eastAsia="仿宋"/>
          <w:sz w:val="32"/>
          <w:szCs w:val="32"/>
        </w:rPr>
      </w:pPr>
      <w:r>
        <w:rPr>
          <w:rFonts w:hint="eastAsia" w:ascii="仿宋_GB2312" w:hAnsi="仿宋_GB2312" w:eastAsia="仿宋_GB2312" w:cs="仿宋_GB2312"/>
          <w:kern w:val="2"/>
          <w:sz w:val="32"/>
          <w:szCs w:val="32"/>
          <w:lang w:val="en-US" w:eastAsia="zh-CN" w:bidi="ar-SA"/>
        </w:rPr>
        <w:t>2021年一般公共预算财政拨款支出108.39万元，主要用于以下方面:一般公共服务（类）支出74.57万元，占68.7%；教育支出（类）0万元，占0%；科学技术（类）支出0万元，占0%；文化旅游体育与传媒（类）支出0万元，占0%；社会保障和就业（类）支出27.52万元，占25.39%；卫生健康支出0万元，占0%；住房保障支出6.3万元，占0%。</w:t>
      </w:r>
    </w:p>
    <w:p>
      <w:pPr>
        <w:pStyle w:val="2"/>
        <w:rPr>
          <w:rFonts w:ascii="仿宋" w:hAnsi="仿宋" w:eastAsia="仿宋"/>
          <w:sz w:val="32"/>
          <w:szCs w:val="32"/>
        </w:rPr>
      </w:pPr>
      <w:r>
        <w:drawing>
          <wp:inline distT="0" distB="0" distL="114300" distR="114300">
            <wp:extent cx="5262880" cy="2973070"/>
            <wp:effectExtent l="0" t="0" r="13970" b="17780"/>
            <wp:docPr id="9" name="图表 9" descr="7b0a202020202263686172745265734964223a20223230343733353030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spacing w:line="600" w:lineRule="exact"/>
        <w:rPr>
          <w:rFonts w:ascii="仿宋" w:hAnsi="仿宋" w:eastAsia="仿宋"/>
          <w:sz w:val="32"/>
          <w:szCs w:val="32"/>
        </w:rPr>
      </w:pPr>
      <w:r>
        <w:rPr>
          <w:rFonts w:hint="eastAsia" w:ascii="仿宋" w:hAnsi="仿宋" w:eastAsia="仿宋"/>
          <w:sz w:val="32"/>
          <w:szCs w:val="32"/>
        </w:rPr>
        <w:t>（图</w:t>
      </w:r>
      <w:r>
        <w:rPr>
          <w:rFonts w:hint="eastAsia" w:ascii="仿宋" w:hAnsi="仿宋" w:eastAsia="仿宋"/>
          <w:sz w:val="32"/>
          <w:szCs w:val="32"/>
          <w:lang w:val="en-US" w:eastAsia="zh-CN"/>
        </w:rPr>
        <w:t>7</w:t>
      </w:r>
      <w:r>
        <w:rPr>
          <w:rFonts w:hint="eastAsia" w:ascii="仿宋" w:hAnsi="仿宋" w:eastAsia="仿宋"/>
          <w:sz w:val="32"/>
          <w:szCs w:val="32"/>
        </w:rPr>
        <w:t>：一般公共预算财政拨款支出决算结构）（饼状图）</w:t>
      </w:r>
    </w:p>
    <w:p>
      <w:pPr>
        <w:autoSpaceDE w:val="0"/>
        <w:autoSpaceDN w:val="0"/>
        <w:adjustRightInd w:val="0"/>
        <w:spacing w:line="600" w:lineRule="exact"/>
        <w:ind w:firstLine="643" w:firstLineChars="200"/>
        <w:jc w:val="left"/>
        <w:outlineLvl w:val="2"/>
        <w:rPr>
          <w:rFonts w:hint="eastAsia" w:ascii="楷体" w:hAnsi="楷体" w:eastAsia="楷体" w:cs="楷体"/>
          <w:b/>
          <w:bCs w:val="0"/>
          <w:sz w:val="32"/>
          <w:szCs w:val="32"/>
        </w:rPr>
      </w:pPr>
      <w:bookmarkStart w:id="31" w:name="_Toc15377212"/>
      <w:r>
        <w:rPr>
          <w:rFonts w:hint="eastAsia" w:ascii="楷体" w:hAnsi="楷体" w:eastAsia="楷体" w:cs="楷体"/>
          <w:b/>
          <w:bCs w:val="0"/>
          <w:sz w:val="32"/>
          <w:szCs w:val="32"/>
        </w:rPr>
        <w:t>（三）一般公共预算财政拨款支出决算具体情况</w:t>
      </w:r>
      <w:bookmarkEnd w:id="31"/>
    </w:p>
    <w:p>
      <w:pPr>
        <w:spacing w:line="600" w:lineRule="exact"/>
        <w:ind w:firstLine="643" w:firstLineChars="200"/>
        <w:outlineLvl w:val="2"/>
        <w:rPr>
          <w:rFonts w:ascii="仿宋" w:hAnsi="仿宋" w:eastAsia="仿宋"/>
          <w:sz w:val="32"/>
          <w:szCs w:val="32"/>
        </w:rPr>
      </w:pPr>
      <w:bookmarkStart w:id="32" w:name="_Toc15378460"/>
      <w:bookmarkStart w:id="33" w:name="_Toc15377213"/>
      <w:bookmarkStart w:id="34" w:name="_Toc15377444"/>
      <w:r>
        <w:rPr>
          <w:rFonts w:hint="eastAsia" w:ascii="仿宋_GB2312" w:hAnsi="仿宋_GB2312" w:eastAsia="仿宋_GB2312" w:cs="仿宋_GB2312"/>
          <w:b/>
          <w:sz w:val="32"/>
          <w:szCs w:val="32"/>
        </w:rPr>
        <w:t>2021年一般公共预算支出决算数为</w:t>
      </w:r>
      <w:r>
        <w:rPr>
          <w:rFonts w:hint="eastAsia" w:ascii="仿宋_GB2312" w:hAnsi="仿宋_GB2312" w:eastAsia="仿宋_GB2312" w:cs="仿宋_GB2312"/>
          <w:b/>
          <w:sz w:val="32"/>
          <w:szCs w:val="32"/>
          <w:lang w:val="en-US" w:eastAsia="zh-CN"/>
        </w:rPr>
        <w:t>108.39</w:t>
      </w:r>
      <w:r>
        <w:rPr>
          <w:rFonts w:hint="eastAsia" w:ascii="仿宋_GB2312" w:hAnsi="仿宋_GB2312" w:eastAsia="仿宋_GB2312" w:cs="仿宋_GB2312"/>
          <w:b/>
          <w:sz w:val="32"/>
          <w:szCs w:val="32"/>
        </w:rPr>
        <w:t>，完成预算</w:t>
      </w:r>
      <w:r>
        <w:rPr>
          <w:rFonts w:hint="eastAsia" w:ascii="仿宋_GB2312" w:hAnsi="仿宋_GB2312" w:eastAsia="仿宋_GB2312" w:cs="仿宋_GB2312"/>
          <w:b/>
          <w:sz w:val="32"/>
          <w:szCs w:val="32"/>
          <w:lang w:val="en-US" w:eastAsia="zh-CN"/>
        </w:rPr>
        <w:t>100</w:t>
      </w:r>
      <w:r>
        <w:rPr>
          <w:rFonts w:hint="eastAsia" w:ascii="仿宋_GB2312" w:hAnsi="仿宋_GB2312" w:eastAsia="仿宋_GB2312" w:cs="仿宋_GB2312"/>
          <w:b/>
          <w:sz w:val="32"/>
          <w:szCs w:val="32"/>
        </w:rPr>
        <w:t>%。其中：</w:t>
      </w:r>
      <w:bookmarkEnd w:id="32"/>
      <w:bookmarkEnd w:id="33"/>
      <w:bookmarkEnd w:id="34"/>
    </w:p>
    <w:p>
      <w:pPr>
        <w:spacing w:line="600" w:lineRule="exact"/>
        <w:ind w:firstLine="643" w:firstLineChars="200"/>
        <w:rPr>
          <w:rFonts w:ascii="仿宋" w:hAnsi="仿宋" w:eastAsia="仿宋"/>
          <w:b/>
          <w:sz w:val="32"/>
          <w:szCs w:val="32"/>
        </w:rPr>
      </w:pPr>
      <w:r>
        <w:rPr>
          <w:rStyle w:val="14"/>
          <w:rFonts w:hint="eastAsia" w:ascii="仿宋_GB2312" w:hAnsi="仿宋_GB2312" w:eastAsia="仿宋_GB2312" w:cs="仿宋_GB2312"/>
          <w:bCs/>
          <w:sz w:val="32"/>
          <w:szCs w:val="32"/>
        </w:rPr>
        <w:t>1.一般公共服务（类）:</w:t>
      </w:r>
      <w:r>
        <w:rPr>
          <w:rStyle w:val="14"/>
          <w:rFonts w:ascii="仿宋" w:hAnsi="仿宋" w:eastAsia="仿宋"/>
          <w:b w:val="0"/>
          <w:bCs/>
          <w:sz w:val="32"/>
          <w:szCs w:val="32"/>
        </w:rPr>
        <w:t xml:space="preserve"> </w:t>
      </w:r>
      <w:r>
        <w:rPr>
          <w:rFonts w:hint="eastAsia" w:ascii="仿宋_GB2312" w:hAnsi="仿宋_GB2312" w:eastAsia="仿宋_GB2312" w:cs="仿宋_GB2312"/>
          <w:kern w:val="2"/>
          <w:sz w:val="32"/>
          <w:szCs w:val="32"/>
          <w:lang w:val="en-US" w:eastAsia="zh-CN" w:bidi="ar-SA"/>
        </w:rPr>
        <w:t>支出决算为74.57万元，完成预算100%，决算数等于预算数。</w:t>
      </w:r>
    </w:p>
    <w:p>
      <w:pPr>
        <w:spacing w:line="600" w:lineRule="exact"/>
        <w:ind w:firstLine="643" w:firstLineChars="200"/>
        <w:rPr>
          <w:rFonts w:ascii="仿宋" w:hAnsi="仿宋" w:eastAsia="仿宋"/>
          <w:b/>
          <w:sz w:val="32"/>
          <w:szCs w:val="32"/>
        </w:rPr>
      </w:pPr>
      <w:r>
        <w:rPr>
          <w:rFonts w:hint="eastAsia" w:ascii="仿宋_GB2312" w:hAnsi="仿宋_GB2312" w:eastAsia="仿宋_GB2312" w:cs="仿宋_GB2312"/>
          <w:b/>
          <w:sz w:val="32"/>
          <w:szCs w:val="32"/>
        </w:rPr>
        <w:t xml:space="preserve">2.教育（类）: </w:t>
      </w:r>
      <w:r>
        <w:rPr>
          <w:rFonts w:hint="eastAsia" w:ascii="仿宋_GB2312" w:hAnsi="仿宋_GB2312" w:eastAsia="仿宋_GB2312" w:cs="仿宋_GB2312"/>
          <w:kern w:val="2"/>
          <w:sz w:val="32"/>
          <w:szCs w:val="32"/>
          <w:lang w:val="en-US" w:eastAsia="zh-CN" w:bidi="ar-SA"/>
        </w:rPr>
        <w:t>支出决算为0万元，完成预算100%，决算数等于预算数的主要原因是无此项预算。</w:t>
      </w:r>
    </w:p>
    <w:p>
      <w:pPr>
        <w:spacing w:line="600" w:lineRule="exact"/>
        <w:ind w:firstLine="643" w:firstLineChars="200"/>
        <w:rPr>
          <w:rFonts w:ascii="仿宋" w:hAnsi="仿宋" w:eastAsia="仿宋"/>
          <w:b/>
          <w:sz w:val="32"/>
          <w:szCs w:val="32"/>
        </w:rPr>
      </w:pPr>
      <w:r>
        <w:rPr>
          <w:rFonts w:hint="eastAsia" w:ascii="仿宋_GB2312" w:hAnsi="仿宋_GB2312" w:eastAsia="仿宋_GB2312" w:cs="仿宋_GB2312"/>
          <w:b/>
          <w:sz w:val="32"/>
          <w:szCs w:val="32"/>
        </w:rPr>
        <w:t xml:space="preserve">3.科学技术（类）: </w:t>
      </w:r>
      <w:r>
        <w:rPr>
          <w:rFonts w:hint="eastAsia" w:ascii="仿宋_GB2312" w:hAnsi="仿宋_GB2312" w:eastAsia="仿宋_GB2312" w:cs="仿宋_GB2312"/>
          <w:kern w:val="2"/>
          <w:sz w:val="32"/>
          <w:szCs w:val="32"/>
          <w:lang w:val="en-US" w:eastAsia="zh-CN" w:bidi="ar-SA"/>
        </w:rPr>
        <w:t>支出决算为0万元，完成预算100%，决算数等于预算数的主要原因是无此项预算。</w:t>
      </w:r>
    </w:p>
    <w:p>
      <w:pPr>
        <w:spacing w:line="600" w:lineRule="exact"/>
        <w:ind w:firstLine="643" w:firstLineChars="200"/>
        <w:rPr>
          <w:rFonts w:ascii="仿宋" w:hAnsi="仿宋" w:eastAsia="仿宋"/>
          <w:b/>
          <w:sz w:val="32"/>
          <w:szCs w:val="32"/>
        </w:rPr>
      </w:pPr>
      <w:r>
        <w:rPr>
          <w:rFonts w:hint="eastAsia" w:ascii="仿宋_GB2312" w:hAnsi="仿宋_GB2312" w:eastAsia="仿宋_GB2312" w:cs="仿宋_GB2312"/>
          <w:b/>
          <w:sz w:val="32"/>
          <w:szCs w:val="32"/>
        </w:rPr>
        <w:t>4.文化旅游体育与传媒（类）:</w:t>
      </w:r>
      <w:r>
        <w:rPr>
          <w:rStyle w:val="14"/>
          <w:rFonts w:ascii="仿宋" w:hAnsi="仿宋" w:eastAsia="仿宋"/>
          <w:b w:val="0"/>
          <w:bCs/>
          <w:sz w:val="32"/>
          <w:szCs w:val="32"/>
        </w:rPr>
        <w:t xml:space="preserve"> </w:t>
      </w:r>
      <w:r>
        <w:rPr>
          <w:rFonts w:hint="eastAsia" w:ascii="仿宋_GB2312" w:hAnsi="仿宋_GB2312" w:eastAsia="仿宋_GB2312" w:cs="仿宋_GB2312"/>
          <w:kern w:val="2"/>
          <w:sz w:val="32"/>
          <w:szCs w:val="32"/>
          <w:lang w:val="en-US" w:eastAsia="zh-CN" w:bidi="ar-SA"/>
        </w:rPr>
        <w:t>支出决算为0万元，完成预算100%，决算数等于预算数的主要原因是无此项预算。</w:t>
      </w:r>
    </w:p>
    <w:p>
      <w:pPr>
        <w:spacing w:line="600" w:lineRule="exact"/>
        <w:ind w:firstLine="643"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sz w:val="32"/>
          <w:szCs w:val="32"/>
        </w:rPr>
        <w:t xml:space="preserve">5.社会保障和就业（类）: </w:t>
      </w:r>
      <w:r>
        <w:rPr>
          <w:rFonts w:hint="eastAsia" w:ascii="仿宋_GB2312" w:hAnsi="仿宋_GB2312" w:eastAsia="仿宋_GB2312" w:cs="仿宋_GB2312"/>
          <w:kern w:val="2"/>
          <w:sz w:val="32"/>
          <w:szCs w:val="32"/>
          <w:lang w:val="en-US" w:eastAsia="zh-CN" w:bidi="ar-SA"/>
        </w:rPr>
        <w:t>支出决算为12.57万元，完成预算100%，决算数等于预算数。</w:t>
      </w:r>
    </w:p>
    <w:p>
      <w:pPr>
        <w:spacing w:line="600" w:lineRule="exact"/>
        <w:ind w:firstLine="643"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sz w:val="32"/>
          <w:szCs w:val="32"/>
        </w:rPr>
        <w:t>6.卫生健康（类）:</w:t>
      </w:r>
      <w:r>
        <w:rPr>
          <w:rFonts w:hint="eastAsia" w:ascii="仿宋_GB2312" w:hAnsi="仿宋_GB2312" w:eastAsia="仿宋_GB2312" w:cs="仿宋_GB2312"/>
          <w:kern w:val="2"/>
          <w:sz w:val="32"/>
          <w:szCs w:val="32"/>
          <w:lang w:val="en-US" w:eastAsia="zh-CN" w:bidi="ar-SA"/>
        </w:rPr>
        <w:t>支出决算为0万元，完成预算100%，决算数等于预算数的主要原因是无此项预算。</w:t>
      </w:r>
    </w:p>
    <w:p>
      <w:pPr>
        <w:spacing w:line="600" w:lineRule="exact"/>
        <w:ind w:firstLine="643"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sz w:val="32"/>
          <w:szCs w:val="32"/>
          <w:lang w:val="en-US" w:eastAsia="zh-CN"/>
        </w:rPr>
        <w:t>7.住房保障</w:t>
      </w:r>
      <w:r>
        <w:rPr>
          <w:rFonts w:hint="eastAsia" w:ascii="仿宋_GB2312" w:hAnsi="仿宋_GB2312" w:eastAsia="仿宋_GB2312" w:cs="仿宋_GB2312"/>
          <w:b/>
          <w:sz w:val="32"/>
          <w:szCs w:val="32"/>
        </w:rPr>
        <w:t>（类）</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kern w:val="2"/>
          <w:sz w:val="32"/>
          <w:szCs w:val="32"/>
          <w:lang w:val="en-US" w:eastAsia="zh-CN" w:bidi="ar-SA"/>
        </w:rPr>
        <w:t>支出6.3万元，完成预算100%，决算数等于预算数。</w:t>
      </w:r>
    </w:p>
    <w:p>
      <w:pPr>
        <w:spacing w:line="600" w:lineRule="exact"/>
        <w:ind w:firstLine="640"/>
        <w:rPr>
          <w:rFonts w:ascii="仿宋" w:hAnsi="仿宋" w:eastAsia="仿宋"/>
          <w:b/>
          <w:sz w:val="32"/>
          <w:szCs w:val="32"/>
        </w:rPr>
      </w:pPr>
    </w:p>
    <w:p>
      <w:pPr>
        <w:tabs>
          <w:tab w:val="right" w:pos="8306"/>
        </w:tabs>
        <w:spacing w:line="600" w:lineRule="exact"/>
        <w:ind w:firstLine="640"/>
        <w:outlineLvl w:val="1"/>
        <w:rPr>
          <w:rStyle w:val="25"/>
        </w:rPr>
      </w:pPr>
      <w:bookmarkStart w:id="35" w:name="_Toc15377214"/>
      <w:bookmarkStart w:id="36" w:name="_Toc15396608"/>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5"/>
          <w:rFonts w:hint="eastAsia" w:ascii="黑体" w:hAnsi="黑体" w:eastAsia="黑体"/>
          <w:b w:val="0"/>
        </w:rPr>
        <w:t>般公共预算财政拨款基本支出决算情况说明</w:t>
      </w:r>
      <w:bookmarkEnd w:id="35"/>
      <w:bookmarkEnd w:id="36"/>
      <w:r>
        <w:rPr>
          <w:rStyle w:val="25"/>
          <w:rFonts w:ascii="黑体" w:hAnsi="黑体" w:eastAsia="黑体"/>
          <w:b w:val="0"/>
        </w:rPr>
        <w:tab/>
      </w:r>
    </w:p>
    <w:p>
      <w:pPr>
        <w:spacing w:line="60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2021年一般公共预算财政拨款基本支出103.39万元，其中：</w:t>
      </w:r>
    </w:p>
    <w:p>
      <w:pPr>
        <w:spacing w:line="60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人员经费97.33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p>
    <w:p>
      <w:pPr>
        <w:spacing w:line="600" w:lineRule="exact"/>
        <w:ind w:firstLine="640" w:firstLineChars="200"/>
        <w:rPr>
          <w:rFonts w:ascii="仿宋" w:hAnsi="仿宋" w:eastAsia="仿宋"/>
          <w:sz w:val="32"/>
          <w:szCs w:val="32"/>
        </w:rPr>
      </w:pPr>
      <w:r>
        <w:rPr>
          <w:rFonts w:hint="eastAsia" w:ascii="仿宋_GB2312" w:hAnsi="仿宋_GB2312" w:eastAsia="仿宋_GB2312" w:cs="仿宋_GB2312"/>
          <w:kern w:val="2"/>
          <w:sz w:val="32"/>
          <w:szCs w:val="32"/>
          <w:lang w:val="en-US" w:eastAsia="zh-CN" w:bidi="ar-SA"/>
        </w:rPr>
        <w:t>　　公用经费6.06万元，主要包括：办公费、印刷费、咨询费、手续费、水费、电费、邮电费、取暖费、物业管理费、差旅费、维修（护）费、租赁费、会议费、培训费、公务接待费、劳务费、委托业务费、工会经费、福利费、其他商品和服务支出、办公设备购置、专用设备购置、信息网络及软件购置更新、其他资本性支出等。</w:t>
      </w:r>
    </w:p>
    <w:p>
      <w:pPr>
        <w:spacing w:line="600" w:lineRule="exact"/>
        <w:ind w:firstLine="640"/>
        <w:rPr>
          <w:rFonts w:ascii="仿宋" w:hAnsi="仿宋" w:eastAsia="仿宋"/>
          <w:b/>
          <w:sz w:val="32"/>
          <w:szCs w:val="32"/>
        </w:rPr>
      </w:pPr>
    </w:p>
    <w:p>
      <w:pPr>
        <w:spacing w:line="600" w:lineRule="exact"/>
        <w:ind w:firstLine="640"/>
        <w:outlineLvl w:val="1"/>
        <w:rPr>
          <w:rStyle w:val="25"/>
          <w:rFonts w:ascii="黑体" w:hAnsi="黑体" w:eastAsia="黑体"/>
          <w:b w:val="0"/>
        </w:rPr>
      </w:pPr>
      <w:bookmarkStart w:id="37" w:name="_Toc15377215"/>
      <w:bookmarkStart w:id="38" w:name="_Toc15396609"/>
      <w:r>
        <w:rPr>
          <w:rFonts w:hint="eastAsia" w:ascii="黑体" w:eastAsia="黑体"/>
          <w:sz w:val="32"/>
          <w:szCs w:val="32"/>
        </w:rPr>
        <w:t>七、</w:t>
      </w:r>
      <w:r>
        <w:rPr>
          <w:rStyle w:val="25"/>
          <w:rFonts w:hint="eastAsia" w:ascii="黑体" w:hAnsi="黑体" w:eastAsia="黑体"/>
        </w:rPr>
        <w:t>“</w:t>
      </w:r>
      <w:r>
        <w:rPr>
          <w:rStyle w:val="25"/>
          <w:rFonts w:hint="eastAsia" w:ascii="黑体" w:hAnsi="黑体" w:eastAsia="黑体"/>
          <w:b w:val="0"/>
        </w:rPr>
        <w:t>三公”经费财政拨款支出决算情况说明</w:t>
      </w:r>
      <w:bookmarkEnd w:id="37"/>
      <w:bookmarkEnd w:id="38"/>
    </w:p>
    <w:p>
      <w:pPr>
        <w:autoSpaceDE w:val="0"/>
        <w:autoSpaceDN w:val="0"/>
        <w:adjustRightInd w:val="0"/>
        <w:spacing w:line="600" w:lineRule="exact"/>
        <w:ind w:firstLine="643" w:firstLineChars="200"/>
        <w:jc w:val="left"/>
        <w:outlineLvl w:val="2"/>
        <w:rPr>
          <w:rFonts w:hint="eastAsia" w:ascii="楷体" w:hAnsi="楷体" w:eastAsia="楷体" w:cs="楷体"/>
          <w:b/>
          <w:bCs w:val="0"/>
          <w:sz w:val="32"/>
          <w:szCs w:val="32"/>
        </w:rPr>
      </w:pPr>
      <w:bookmarkStart w:id="39" w:name="_Toc15377216"/>
      <w:r>
        <w:rPr>
          <w:rFonts w:hint="eastAsia" w:ascii="楷体" w:hAnsi="楷体" w:eastAsia="楷体" w:cs="楷体"/>
          <w:b/>
          <w:bCs w:val="0"/>
          <w:sz w:val="32"/>
          <w:szCs w:val="32"/>
        </w:rPr>
        <w:t>（一）“三公”经费财政拨款支出决算总体情况说明</w:t>
      </w:r>
      <w:bookmarkEnd w:id="39"/>
    </w:p>
    <w:p>
      <w:pPr>
        <w:spacing w:line="60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2021年“三公”经费财政拨款支出决算为0.018万元，完成预算11.73%，决算数小于预算数的主要原因是单位没有购置公务车，公务接待也大多与主管单位同时举行。</w:t>
      </w:r>
    </w:p>
    <w:p>
      <w:pPr>
        <w:spacing w:line="600" w:lineRule="exact"/>
        <w:ind w:firstLine="640"/>
        <w:outlineLvl w:val="2"/>
        <w:rPr>
          <w:rFonts w:ascii="仿宋" w:hAnsi="仿宋" w:eastAsia="仿宋"/>
          <w:b/>
          <w:sz w:val="32"/>
          <w:szCs w:val="32"/>
        </w:rPr>
      </w:pPr>
      <w:bookmarkStart w:id="40" w:name="_Toc15377217"/>
      <w:r>
        <w:rPr>
          <w:rFonts w:hint="eastAsia" w:ascii="楷体" w:hAnsi="楷体" w:eastAsia="楷体" w:cs="楷体"/>
          <w:b/>
          <w:bCs w:val="0"/>
          <w:sz w:val="32"/>
          <w:szCs w:val="32"/>
        </w:rPr>
        <w:t>（二）“三公”经费财政拨款支出决算具体情况说明</w:t>
      </w:r>
      <w:bookmarkEnd w:id="40"/>
    </w:p>
    <w:p>
      <w:pPr>
        <w:spacing w:line="600" w:lineRule="exact"/>
        <w:ind w:firstLine="640"/>
        <w:rPr>
          <w:rFonts w:hint="eastAsia" w:ascii="仿宋" w:hAnsi="仿宋" w:eastAsia="仿宋"/>
          <w:sz w:val="32"/>
          <w:szCs w:val="32"/>
        </w:rPr>
      </w:pPr>
      <w:r>
        <w:rPr>
          <w:rFonts w:hint="eastAsia" w:ascii="仿宋_GB2312" w:hAnsi="仿宋_GB2312" w:eastAsia="仿宋_GB2312" w:cs="仿宋_GB2312"/>
          <w:kern w:val="2"/>
          <w:sz w:val="32"/>
          <w:szCs w:val="32"/>
          <w:lang w:val="en-US" w:eastAsia="zh-CN" w:bidi="ar-SA"/>
        </w:rPr>
        <w:t>2021年“三公”经费财政拨款支出决算中，因公出国（境）费支出决算0万元，占0%；公务用车购置及运行维护费支出决算0万元，占0%；公务接待费支出决算0.018万元，占100%。具体情况如下：</w:t>
      </w:r>
    </w:p>
    <w:p>
      <w:pPr>
        <w:pStyle w:val="2"/>
      </w:pPr>
      <w:r>
        <w:drawing>
          <wp:inline distT="0" distB="0" distL="114300" distR="114300">
            <wp:extent cx="5238115" cy="2345055"/>
            <wp:effectExtent l="0" t="0" r="635" b="17145"/>
            <wp:docPr id="10" name="图表 2" descr="7b0a202020202263686172745265734964223a20223230343733303131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spacing w:line="600" w:lineRule="exact"/>
        <w:ind w:firstLine="640"/>
        <w:rPr>
          <w:rFonts w:ascii="仿宋" w:hAnsi="仿宋" w:eastAsia="仿宋"/>
          <w:sz w:val="32"/>
          <w:szCs w:val="32"/>
        </w:rPr>
      </w:pPr>
      <w:r>
        <w:rPr>
          <w:rFonts w:hint="eastAsia" w:ascii="仿宋" w:hAnsi="仿宋" w:eastAsia="仿宋"/>
          <w:sz w:val="32"/>
          <w:szCs w:val="32"/>
        </w:rPr>
        <w:t>（图</w:t>
      </w:r>
      <w:r>
        <w:rPr>
          <w:rFonts w:hint="eastAsia" w:ascii="仿宋" w:hAnsi="仿宋" w:eastAsia="仿宋"/>
          <w:sz w:val="32"/>
          <w:szCs w:val="32"/>
          <w:lang w:val="en-US" w:eastAsia="zh-CN"/>
        </w:rPr>
        <w:t>8</w:t>
      </w:r>
      <w:r>
        <w:rPr>
          <w:rFonts w:hint="eastAsia" w:ascii="仿宋" w:hAnsi="仿宋" w:eastAsia="仿宋"/>
          <w:sz w:val="32"/>
          <w:szCs w:val="32"/>
        </w:rPr>
        <w:t>：“三公”经费财政拨款支出结构）（饼状图）</w:t>
      </w:r>
    </w:p>
    <w:p>
      <w:pPr>
        <w:spacing w:line="600" w:lineRule="exact"/>
        <w:ind w:firstLine="64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sz w:val="32"/>
          <w:szCs w:val="32"/>
        </w:rPr>
        <w:t>1.因公出国（境）经费支出</w:t>
      </w:r>
      <w:r>
        <w:rPr>
          <w:rFonts w:hint="eastAsia" w:ascii="仿宋_GB2312" w:hAnsi="仿宋_GB2312" w:eastAsia="仿宋_GB2312" w:cs="仿宋_GB2312"/>
          <w:kern w:val="2"/>
          <w:sz w:val="32"/>
          <w:szCs w:val="32"/>
          <w:lang w:val="en-US" w:eastAsia="zh-CN" w:bidi="ar-SA"/>
        </w:rPr>
        <w:t>0万元，完成预算100%。全年安排因公出国（境）团组0次，出国（境）0人。因公出国（境）支出决算比2020年持平。主要原因是未做出国（境）安排。</w:t>
      </w:r>
    </w:p>
    <w:p>
      <w:pPr>
        <w:spacing w:line="600" w:lineRule="exact"/>
        <w:ind w:firstLine="64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sz w:val="32"/>
          <w:szCs w:val="32"/>
        </w:rPr>
        <w:t>2.公务用车购置及运行维护费支出</w:t>
      </w:r>
      <w:r>
        <w:rPr>
          <w:rFonts w:hint="eastAsia" w:ascii="仿宋_GB2312" w:hAnsi="仿宋_GB2312" w:eastAsia="仿宋_GB2312" w:cs="仿宋_GB2312"/>
          <w:kern w:val="2"/>
          <w:sz w:val="32"/>
          <w:szCs w:val="32"/>
          <w:lang w:val="en-US" w:eastAsia="zh-CN" w:bidi="ar-SA"/>
        </w:rPr>
        <w:t>0万元,完成预算0%。公务用车购置及运行维护费支出决算比2020年持平。主要原因是本单位无公务车。</w:t>
      </w:r>
    </w:p>
    <w:p>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w:t>
      </w:r>
      <w:r>
        <w:rPr>
          <w:rFonts w:hint="eastAsia" w:ascii="仿宋_GB2312" w:hAnsi="仿宋_GB2312" w:eastAsia="仿宋_GB2312" w:cs="仿宋_GB2312"/>
          <w:b/>
          <w:sz w:val="32"/>
          <w:szCs w:val="32"/>
        </w:rPr>
        <w:t>公务用车购置支出</w:t>
      </w:r>
      <w:r>
        <w:rPr>
          <w:rFonts w:hint="eastAsia" w:ascii="仿宋_GB2312" w:hAnsi="仿宋_GB2312" w:eastAsia="仿宋_GB2312" w:cs="仿宋_GB2312"/>
          <w:kern w:val="2"/>
          <w:sz w:val="32"/>
          <w:szCs w:val="32"/>
          <w:lang w:val="en-US" w:eastAsia="zh-CN" w:bidi="ar-SA"/>
        </w:rPr>
        <w:t>0万元。全年按规定更新购置</w:t>
      </w:r>
      <w:r>
        <w:rPr>
          <w:rFonts w:hint="eastAsia" w:ascii="仿宋_GB2312" w:eastAsia="仿宋_GB2312"/>
          <w:sz w:val="32"/>
          <w:szCs w:val="32"/>
        </w:rPr>
        <w:t>公务用车</w:t>
      </w:r>
      <w:r>
        <w:rPr>
          <w:rFonts w:hint="eastAsia" w:ascii="仿宋_GB2312" w:eastAsia="仿宋_GB2312"/>
          <w:sz w:val="32"/>
          <w:szCs w:val="32"/>
          <w:lang w:val="en-US" w:eastAsia="zh-CN"/>
        </w:rPr>
        <w:t>0</w:t>
      </w:r>
      <w:r>
        <w:rPr>
          <w:rFonts w:hint="eastAsia" w:ascii="仿宋_GB2312" w:eastAsia="仿宋_GB2312"/>
          <w:sz w:val="32"/>
          <w:szCs w:val="32"/>
        </w:rPr>
        <w:t>辆，其中：轿车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万元，越野车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万元，载客汽车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月底，单位共有公务用车</w:t>
      </w:r>
      <w:r>
        <w:rPr>
          <w:rFonts w:hint="eastAsia" w:ascii="仿宋_GB2312" w:eastAsia="仿宋_GB2312"/>
          <w:sz w:val="32"/>
          <w:szCs w:val="32"/>
          <w:lang w:val="en-US" w:eastAsia="zh-CN"/>
        </w:rPr>
        <w:t>0</w:t>
      </w:r>
      <w:r>
        <w:rPr>
          <w:rFonts w:hint="eastAsia" w:ascii="仿宋_GB2312" w:eastAsia="仿宋_GB2312"/>
          <w:sz w:val="32"/>
          <w:szCs w:val="32"/>
        </w:rPr>
        <w:t>辆，其中：轿车</w:t>
      </w:r>
      <w:r>
        <w:rPr>
          <w:rFonts w:hint="eastAsia" w:ascii="仿宋_GB2312" w:eastAsia="仿宋_GB2312"/>
          <w:sz w:val="32"/>
          <w:szCs w:val="32"/>
          <w:lang w:val="en-US" w:eastAsia="zh-CN"/>
        </w:rPr>
        <w:t>0</w:t>
      </w:r>
      <w:r>
        <w:rPr>
          <w:rFonts w:hint="eastAsia" w:ascii="仿宋_GB2312" w:eastAsia="仿宋_GB2312"/>
          <w:sz w:val="32"/>
          <w:szCs w:val="32"/>
        </w:rPr>
        <w:t>辆、越野车</w:t>
      </w:r>
      <w:r>
        <w:rPr>
          <w:rFonts w:hint="eastAsia" w:ascii="仿宋_GB2312" w:eastAsia="仿宋_GB2312"/>
          <w:sz w:val="32"/>
          <w:szCs w:val="32"/>
          <w:lang w:val="en-US" w:eastAsia="zh-CN"/>
        </w:rPr>
        <w:t>0</w:t>
      </w:r>
      <w:r>
        <w:rPr>
          <w:rFonts w:hint="eastAsia" w:ascii="仿宋_GB2312" w:eastAsia="仿宋_GB2312"/>
          <w:sz w:val="32"/>
          <w:szCs w:val="32"/>
        </w:rPr>
        <w:t>辆、载客汽车</w:t>
      </w:r>
      <w:r>
        <w:rPr>
          <w:rFonts w:hint="eastAsia" w:ascii="仿宋_GB2312" w:eastAsia="仿宋_GB2312"/>
          <w:sz w:val="32"/>
          <w:szCs w:val="32"/>
          <w:lang w:val="en-US" w:eastAsia="zh-CN"/>
        </w:rPr>
        <w:t>0</w:t>
      </w:r>
      <w:r>
        <w:rPr>
          <w:rFonts w:hint="eastAsia" w:ascii="仿宋_GB2312" w:eastAsia="仿宋_GB2312"/>
          <w:sz w:val="32"/>
          <w:szCs w:val="32"/>
        </w:rPr>
        <w:t>辆。</w:t>
      </w:r>
    </w:p>
    <w:p>
      <w:pPr>
        <w:spacing w:line="600" w:lineRule="exact"/>
        <w:ind w:firstLine="640"/>
        <w:rPr>
          <w:rFonts w:ascii="仿宋_GB2312" w:eastAsia="仿宋_GB2312"/>
          <w:sz w:val="32"/>
          <w:szCs w:val="32"/>
        </w:rPr>
      </w:pPr>
      <w:r>
        <w:rPr>
          <w:rFonts w:hint="eastAsia" w:ascii="仿宋_GB2312" w:hAnsi="仿宋_GB2312" w:eastAsia="仿宋_GB2312" w:cs="仿宋_GB2312"/>
          <w:b/>
          <w:sz w:val="32"/>
          <w:szCs w:val="32"/>
        </w:rPr>
        <w:t>公务用车运行维护费支出</w:t>
      </w:r>
      <w:r>
        <w:rPr>
          <w:rFonts w:hint="eastAsia" w:ascii="仿宋_GB2312" w:eastAsia="仿宋_GB2312"/>
          <w:sz w:val="32"/>
          <w:szCs w:val="32"/>
          <w:lang w:val="en-US" w:eastAsia="zh-CN"/>
        </w:rPr>
        <w:t>0</w:t>
      </w:r>
      <w:r>
        <w:rPr>
          <w:rFonts w:hint="eastAsia" w:ascii="仿宋_GB2312" w:eastAsia="仿宋_GB2312"/>
          <w:sz w:val="32"/>
          <w:szCs w:val="32"/>
        </w:rPr>
        <w:t>万元。主要用于工作等所需的公务用车燃料费、维修费、过路过桥费、保险费等支出。</w:t>
      </w:r>
    </w:p>
    <w:p>
      <w:pPr>
        <w:spacing w:line="600" w:lineRule="exact"/>
        <w:ind w:firstLine="640"/>
        <w:rPr>
          <w:rFonts w:ascii="仿宋_GB2312" w:eastAsia="仿宋_GB2312"/>
          <w:sz w:val="32"/>
          <w:szCs w:val="32"/>
        </w:rPr>
      </w:pPr>
      <w:r>
        <w:rPr>
          <w:rFonts w:hint="eastAsia" w:ascii="仿宋_GB2312" w:hAnsi="仿宋_GB2312" w:eastAsia="仿宋_GB2312" w:cs="仿宋_GB2312"/>
          <w:b/>
          <w:sz w:val="32"/>
          <w:szCs w:val="32"/>
        </w:rPr>
        <w:t>3.公务接待费支出</w:t>
      </w:r>
      <w:r>
        <w:rPr>
          <w:rFonts w:hint="eastAsia" w:ascii="仿宋_GB2312" w:eastAsia="仿宋_GB2312"/>
          <w:sz w:val="32"/>
          <w:szCs w:val="32"/>
          <w:lang w:val="en-US" w:eastAsia="zh-CN"/>
        </w:rPr>
        <w:t>0.018</w:t>
      </w:r>
      <w:r>
        <w:rPr>
          <w:rFonts w:hint="eastAsia" w:ascii="仿宋_GB2312" w:eastAsia="仿宋_GB2312"/>
          <w:sz w:val="32"/>
          <w:szCs w:val="32"/>
        </w:rPr>
        <w:t>万元，</w:t>
      </w:r>
      <w:r>
        <w:rPr>
          <w:rStyle w:val="14"/>
          <w:rFonts w:hint="eastAsia" w:ascii="仿宋" w:hAnsi="仿宋" w:eastAsia="仿宋"/>
          <w:b w:val="0"/>
          <w:bCs/>
          <w:sz w:val="32"/>
          <w:szCs w:val="32"/>
        </w:rPr>
        <w:t>完成预算</w:t>
      </w:r>
      <w:r>
        <w:rPr>
          <w:rStyle w:val="14"/>
          <w:rFonts w:hint="eastAsia" w:ascii="仿宋" w:hAnsi="仿宋" w:eastAsia="仿宋"/>
          <w:b w:val="0"/>
          <w:bCs/>
          <w:sz w:val="32"/>
          <w:szCs w:val="32"/>
          <w:lang w:val="en-US" w:eastAsia="zh-CN"/>
        </w:rPr>
        <w:t>11.73</w:t>
      </w:r>
      <w:r>
        <w:rPr>
          <w:rStyle w:val="14"/>
          <w:rFonts w:ascii="仿宋" w:hAnsi="仿宋" w:eastAsia="仿宋"/>
          <w:b w:val="0"/>
          <w:bCs/>
          <w:sz w:val="32"/>
          <w:szCs w:val="32"/>
        </w:rPr>
        <w:t>%</w:t>
      </w:r>
      <w:r>
        <w:rPr>
          <w:rStyle w:val="14"/>
          <w:rFonts w:hint="eastAsia" w:ascii="仿宋" w:hAnsi="仿宋" w:eastAsia="仿宋"/>
          <w:b w:val="0"/>
          <w:bCs/>
          <w:sz w:val="32"/>
          <w:szCs w:val="32"/>
        </w:rPr>
        <w:t>。</w:t>
      </w:r>
      <w:r>
        <w:rPr>
          <w:rFonts w:hint="eastAsia" w:ascii="仿宋_GB2312" w:eastAsia="仿宋_GB2312"/>
          <w:sz w:val="32"/>
          <w:szCs w:val="32"/>
        </w:rPr>
        <w:t>公务接待费支出决算比</w:t>
      </w:r>
      <w:r>
        <w:rPr>
          <w:rFonts w:ascii="仿宋_GB2312" w:eastAsia="仿宋_GB2312"/>
          <w:sz w:val="32"/>
          <w:szCs w:val="32"/>
        </w:rPr>
        <w:t>20</w:t>
      </w:r>
      <w:r>
        <w:rPr>
          <w:rFonts w:hint="eastAsia" w:ascii="仿宋_GB2312" w:eastAsia="仿宋_GB2312"/>
          <w:sz w:val="32"/>
          <w:szCs w:val="32"/>
        </w:rPr>
        <w:t>20年减少</w:t>
      </w:r>
      <w:r>
        <w:rPr>
          <w:rFonts w:hint="eastAsia" w:ascii="仿宋_GB2312" w:eastAsia="仿宋_GB2312"/>
          <w:sz w:val="32"/>
          <w:szCs w:val="32"/>
          <w:lang w:val="en-US" w:eastAsia="zh-CN"/>
        </w:rPr>
        <w:t>0.027</w:t>
      </w:r>
      <w:r>
        <w:rPr>
          <w:rFonts w:hint="eastAsia" w:ascii="仿宋_GB2312" w:eastAsia="仿宋_GB2312"/>
          <w:sz w:val="32"/>
          <w:szCs w:val="32"/>
        </w:rPr>
        <w:t>万元，下降</w:t>
      </w:r>
      <w:r>
        <w:rPr>
          <w:rFonts w:hint="eastAsia" w:ascii="仿宋_GB2312" w:eastAsia="仿宋_GB2312"/>
          <w:sz w:val="32"/>
          <w:szCs w:val="32"/>
          <w:lang w:val="en-US" w:eastAsia="zh-CN"/>
        </w:rPr>
        <w:t>32.58</w:t>
      </w:r>
      <w:r>
        <w:rPr>
          <w:rFonts w:ascii="仿宋_GB2312" w:eastAsia="仿宋_GB2312"/>
          <w:sz w:val="32"/>
          <w:szCs w:val="32"/>
        </w:rPr>
        <w:t>%</w:t>
      </w:r>
      <w:r>
        <w:rPr>
          <w:rFonts w:hint="eastAsia" w:ascii="仿宋_GB2312" w:eastAsia="仿宋_GB2312"/>
          <w:sz w:val="32"/>
          <w:szCs w:val="32"/>
        </w:rPr>
        <w:t>。主要原因是</w:t>
      </w:r>
      <w:r>
        <w:rPr>
          <w:rFonts w:hint="eastAsia" w:ascii="仿宋_GB2312" w:hAnsi="仿宋" w:eastAsia="仿宋_GB2312" w:cs="Times New Roman"/>
          <w:color w:val="000000"/>
          <w:sz w:val="28"/>
          <w:szCs w:val="28"/>
        </w:rPr>
        <w:t>受今年疫情影响，工作开展要保证疫情防控</w:t>
      </w:r>
      <w:r>
        <w:rPr>
          <w:rFonts w:hint="eastAsia" w:ascii="仿宋_GB2312" w:eastAsia="仿宋_GB2312"/>
          <w:sz w:val="32"/>
          <w:szCs w:val="32"/>
        </w:rPr>
        <w:t>。其中：</w:t>
      </w:r>
    </w:p>
    <w:p>
      <w:pPr>
        <w:spacing w:line="600" w:lineRule="exact"/>
        <w:ind w:firstLine="640"/>
        <w:rPr>
          <w:rFonts w:ascii="仿宋_GB2312" w:eastAsia="仿宋_GB2312"/>
          <w:sz w:val="32"/>
          <w:szCs w:val="32"/>
        </w:rPr>
      </w:pPr>
      <w:r>
        <w:rPr>
          <w:rFonts w:hint="eastAsia" w:ascii="仿宋_GB2312" w:hAnsi="仿宋_GB2312" w:eastAsia="仿宋_GB2312" w:cs="仿宋_GB2312"/>
          <w:b/>
          <w:sz w:val="32"/>
          <w:szCs w:val="32"/>
        </w:rPr>
        <w:t>国内公务接待支出</w:t>
      </w:r>
      <w:r>
        <w:rPr>
          <w:rFonts w:hint="eastAsia" w:ascii="仿宋" w:hAnsi="仿宋" w:eastAsia="仿宋"/>
          <w:sz w:val="32"/>
          <w:szCs w:val="32"/>
          <w:lang w:val="en-US" w:eastAsia="zh-CN"/>
        </w:rPr>
        <w:t>0.018</w:t>
      </w:r>
      <w:r>
        <w:rPr>
          <w:rFonts w:hint="eastAsia" w:ascii="仿宋_GB2312" w:eastAsia="仿宋_GB2312"/>
          <w:sz w:val="32"/>
          <w:szCs w:val="32"/>
        </w:rPr>
        <w:t>万元，主要用于</w:t>
      </w:r>
      <w:r>
        <w:rPr>
          <w:rFonts w:hint="eastAsia" w:ascii="仿宋_GB2312" w:eastAsia="仿宋_GB2312"/>
          <w:sz w:val="32"/>
          <w:szCs w:val="32"/>
          <w:lang w:eastAsia="zh-CN"/>
        </w:rPr>
        <w:t>开展审计业务</w:t>
      </w:r>
      <w:r>
        <w:rPr>
          <w:rFonts w:hint="eastAsia" w:ascii="仿宋_GB2312" w:eastAsia="仿宋_GB2312"/>
          <w:sz w:val="32"/>
          <w:szCs w:val="32"/>
        </w:rPr>
        <w:t>的用餐费。国内公务接待</w:t>
      </w:r>
      <w:r>
        <w:rPr>
          <w:rFonts w:hint="eastAsia" w:ascii="仿宋_GB2312" w:eastAsia="仿宋_GB2312"/>
          <w:sz w:val="32"/>
          <w:szCs w:val="32"/>
          <w:lang w:val="en-US" w:eastAsia="zh-CN"/>
        </w:rPr>
        <w:t>1</w:t>
      </w:r>
      <w:r>
        <w:rPr>
          <w:rFonts w:hint="eastAsia" w:ascii="仿宋_GB2312" w:eastAsia="仿宋_GB2312"/>
          <w:sz w:val="32"/>
          <w:szCs w:val="32"/>
        </w:rPr>
        <w:t>批次，</w:t>
      </w:r>
      <w:r>
        <w:rPr>
          <w:rFonts w:hint="eastAsia" w:ascii="仿宋_GB2312" w:eastAsia="仿宋_GB2312"/>
          <w:sz w:val="32"/>
          <w:szCs w:val="32"/>
          <w:lang w:val="en-US" w:eastAsia="zh-CN"/>
        </w:rPr>
        <w:t>5</w:t>
      </w:r>
      <w:r>
        <w:rPr>
          <w:rFonts w:hint="eastAsia" w:ascii="仿宋_GB2312" w:eastAsia="仿宋_GB2312"/>
          <w:sz w:val="32"/>
          <w:szCs w:val="32"/>
        </w:rPr>
        <w:t>人次（不包括陪同人员），共计支出</w:t>
      </w:r>
      <w:r>
        <w:rPr>
          <w:rFonts w:hint="eastAsia" w:ascii="仿宋_GB2312" w:eastAsia="仿宋_GB2312"/>
          <w:sz w:val="32"/>
          <w:szCs w:val="32"/>
          <w:lang w:val="en-US" w:eastAsia="zh-CN"/>
        </w:rPr>
        <w:t>0.018</w:t>
      </w:r>
      <w:r>
        <w:rPr>
          <w:rFonts w:hint="eastAsia" w:ascii="仿宋_GB2312" w:eastAsia="仿宋_GB2312"/>
          <w:sz w:val="32"/>
          <w:szCs w:val="32"/>
        </w:rPr>
        <w:t>万元，具体内容包括：</w:t>
      </w:r>
      <w:r>
        <w:rPr>
          <w:rFonts w:hint="eastAsia" w:ascii="仿宋_GB2312" w:eastAsia="仿宋_GB2312"/>
          <w:sz w:val="32"/>
          <w:szCs w:val="32"/>
          <w:lang w:eastAsia="zh-CN"/>
        </w:rPr>
        <w:t>开展审计业务</w:t>
      </w:r>
      <w:r>
        <w:rPr>
          <w:rFonts w:hint="eastAsia" w:ascii="仿宋_GB2312" w:eastAsia="仿宋_GB2312"/>
          <w:sz w:val="32"/>
          <w:szCs w:val="32"/>
        </w:rPr>
        <w:t>的用餐费。</w:t>
      </w:r>
    </w:p>
    <w:p>
      <w:pPr>
        <w:spacing w:line="600" w:lineRule="exact"/>
        <w:ind w:firstLine="643" w:firstLineChars="200"/>
        <w:rPr>
          <w:rFonts w:ascii="仿宋_GB2312" w:eastAsia="仿宋_GB2312"/>
          <w:sz w:val="32"/>
          <w:szCs w:val="32"/>
        </w:rPr>
      </w:pPr>
      <w:r>
        <w:rPr>
          <w:rFonts w:hint="eastAsia" w:ascii="仿宋_GB2312" w:hAnsi="仿宋_GB2312" w:eastAsia="仿宋_GB2312" w:cs="仿宋_GB2312"/>
          <w:b/>
          <w:sz w:val="32"/>
          <w:szCs w:val="32"/>
        </w:rPr>
        <w:t>外事接待支出</w:t>
      </w:r>
      <w:r>
        <w:rPr>
          <w:rFonts w:hint="eastAsia" w:ascii="仿宋" w:hAnsi="仿宋" w:eastAsia="仿宋"/>
          <w:b/>
          <w:sz w:val="32"/>
          <w:szCs w:val="32"/>
          <w:lang w:val="en-US" w:eastAsia="zh-CN"/>
        </w:rPr>
        <w:t>0</w:t>
      </w:r>
      <w:r>
        <w:rPr>
          <w:rFonts w:hint="eastAsia" w:ascii="仿宋_GB2312" w:eastAsia="仿宋_GB2312"/>
          <w:sz w:val="32"/>
          <w:szCs w:val="32"/>
        </w:rPr>
        <w:t>万元，外事接待</w:t>
      </w:r>
      <w:r>
        <w:rPr>
          <w:rFonts w:hint="eastAsia" w:ascii="仿宋_GB2312" w:eastAsia="仿宋_GB2312"/>
          <w:sz w:val="32"/>
          <w:szCs w:val="32"/>
          <w:lang w:val="en-US" w:eastAsia="zh-CN"/>
        </w:rPr>
        <w:t>0</w:t>
      </w:r>
      <w:r>
        <w:rPr>
          <w:rFonts w:hint="eastAsia" w:ascii="仿宋_GB2312" w:eastAsia="仿宋_GB2312"/>
          <w:sz w:val="32"/>
          <w:szCs w:val="32"/>
        </w:rPr>
        <w:t>批次，</w:t>
      </w:r>
      <w:r>
        <w:rPr>
          <w:rFonts w:hint="eastAsia" w:ascii="仿宋_GB2312" w:eastAsia="仿宋_GB2312"/>
          <w:sz w:val="32"/>
          <w:szCs w:val="32"/>
          <w:lang w:val="en-US" w:eastAsia="zh-CN"/>
        </w:rPr>
        <w:t>0</w:t>
      </w:r>
      <w:r>
        <w:rPr>
          <w:rFonts w:hint="eastAsia" w:ascii="仿宋_GB2312" w:eastAsia="仿宋_GB2312"/>
          <w:sz w:val="32"/>
          <w:szCs w:val="32"/>
        </w:rPr>
        <w:t>人，共计支出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spacing w:line="600" w:lineRule="exact"/>
        <w:ind w:firstLine="640"/>
        <w:outlineLvl w:val="1"/>
        <w:rPr>
          <w:rFonts w:ascii="黑体" w:eastAsia="黑体"/>
          <w:sz w:val="32"/>
          <w:szCs w:val="32"/>
        </w:rPr>
      </w:pPr>
      <w:bookmarkStart w:id="41" w:name="_Toc15396610"/>
      <w:bookmarkStart w:id="42" w:name="_Toc15377218"/>
    </w:p>
    <w:p>
      <w:pPr>
        <w:spacing w:line="600" w:lineRule="exact"/>
        <w:ind w:firstLine="640"/>
        <w:outlineLvl w:val="1"/>
        <w:rPr>
          <w:rStyle w:val="25"/>
          <w:rFonts w:ascii="黑体" w:hAnsi="黑体" w:eastAsia="黑体"/>
        </w:rPr>
      </w:pPr>
      <w:r>
        <w:rPr>
          <w:rFonts w:hint="eastAsia" w:ascii="黑体" w:eastAsia="黑体"/>
          <w:sz w:val="32"/>
          <w:szCs w:val="32"/>
        </w:rPr>
        <w:t>八、</w:t>
      </w:r>
      <w:r>
        <w:rPr>
          <w:rStyle w:val="25"/>
          <w:rFonts w:hint="eastAsia" w:ascii="黑体" w:hAnsi="黑体" w:eastAsia="黑体"/>
          <w:b w:val="0"/>
        </w:rPr>
        <w:t>政府性基金预算支出决算情况说明</w:t>
      </w:r>
      <w:bookmarkEnd w:id="41"/>
      <w:bookmarkEnd w:id="42"/>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21年政府性基金预算财政拨款支出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spacing w:line="600" w:lineRule="exact"/>
        <w:ind w:firstLine="640"/>
        <w:rPr>
          <w:rFonts w:ascii="仿宋_GB2312" w:eastAsia="仿宋_GB2312"/>
          <w:sz w:val="32"/>
          <w:szCs w:val="32"/>
        </w:rPr>
      </w:pPr>
    </w:p>
    <w:p>
      <w:pPr>
        <w:numPr>
          <w:ilvl w:val="0"/>
          <w:numId w:val="3"/>
        </w:numPr>
        <w:spacing w:line="600" w:lineRule="exact"/>
        <w:ind w:firstLine="640"/>
        <w:outlineLvl w:val="1"/>
        <w:rPr>
          <w:rStyle w:val="25"/>
          <w:rFonts w:ascii="黑体" w:hAnsi="黑体" w:eastAsia="黑体"/>
          <w:b w:val="0"/>
        </w:rPr>
      </w:pPr>
      <w:bookmarkStart w:id="43" w:name="_Toc15377219"/>
      <w:bookmarkStart w:id="44" w:name="_Toc15396611"/>
      <w:r>
        <w:rPr>
          <w:rStyle w:val="25"/>
          <w:rFonts w:hint="eastAsia" w:ascii="黑体" w:hAnsi="黑体" w:eastAsia="黑体"/>
          <w:b w:val="0"/>
        </w:rPr>
        <w:t>国有资本经营预算支出决算情况说明</w:t>
      </w:r>
      <w:bookmarkEnd w:id="43"/>
      <w:bookmarkEnd w:id="44"/>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21年国有资本经营预算财政拨款支出</w:t>
      </w:r>
      <w:r>
        <w:rPr>
          <w:rFonts w:hint="eastAsia" w:ascii="仿宋_GB2312" w:eastAsia="仿宋_GB2312"/>
          <w:sz w:val="32"/>
          <w:szCs w:val="32"/>
          <w:lang w:val="en-US" w:eastAsia="zh-CN"/>
        </w:rPr>
        <w:t>0</w:t>
      </w:r>
      <w:r>
        <w:rPr>
          <w:rFonts w:hint="eastAsia" w:ascii="仿宋_GB2312" w:eastAsia="仿宋_GB2312"/>
          <w:sz w:val="32"/>
          <w:szCs w:val="32"/>
        </w:rPr>
        <w:t>元。</w:t>
      </w:r>
    </w:p>
    <w:p>
      <w:pPr>
        <w:spacing w:line="580" w:lineRule="exact"/>
        <w:jc w:val="center"/>
        <w:rPr>
          <w:rFonts w:ascii="方正小标宋简体" w:hAnsi="方正小标宋简体" w:eastAsia="方正小标宋简体" w:cs="方正小标宋简体"/>
          <w:sz w:val="44"/>
          <w:szCs w:val="44"/>
        </w:rPr>
      </w:pPr>
    </w:p>
    <w:p>
      <w:pPr>
        <w:numPr>
          <w:ilvl w:val="0"/>
          <w:numId w:val="3"/>
        </w:numPr>
        <w:spacing w:line="600" w:lineRule="exact"/>
        <w:ind w:firstLine="640"/>
        <w:outlineLvl w:val="1"/>
        <w:rPr>
          <w:rStyle w:val="25"/>
          <w:rFonts w:ascii="黑体" w:hAnsi="黑体" w:eastAsia="黑体"/>
          <w:b w:val="0"/>
        </w:rPr>
      </w:pPr>
      <w:bookmarkStart w:id="45" w:name="_Toc15377221"/>
      <w:bookmarkStart w:id="46" w:name="_Toc15396612"/>
      <w:r>
        <w:rPr>
          <w:rStyle w:val="25"/>
          <w:rFonts w:hint="eastAsia" w:ascii="黑体" w:hAnsi="黑体" w:eastAsia="黑体"/>
          <w:b w:val="0"/>
        </w:rPr>
        <w:t>其他重要事项的情况说明</w:t>
      </w:r>
      <w:bookmarkEnd w:id="45"/>
      <w:bookmarkEnd w:id="46"/>
    </w:p>
    <w:p>
      <w:pPr>
        <w:spacing w:line="600" w:lineRule="exact"/>
        <w:ind w:firstLine="643" w:firstLineChars="200"/>
        <w:outlineLvl w:val="2"/>
        <w:rPr>
          <w:rFonts w:hint="eastAsia" w:ascii="楷体" w:hAnsi="楷体" w:eastAsia="楷体" w:cs="楷体"/>
          <w:b/>
          <w:bCs w:val="0"/>
          <w:sz w:val="32"/>
          <w:szCs w:val="32"/>
        </w:rPr>
      </w:pPr>
      <w:bookmarkStart w:id="47" w:name="_Toc15377222"/>
      <w:r>
        <w:rPr>
          <w:rFonts w:hint="eastAsia" w:ascii="楷体" w:hAnsi="楷体" w:eastAsia="楷体" w:cs="楷体"/>
          <w:b/>
          <w:bCs w:val="0"/>
          <w:sz w:val="32"/>
          <w:szCs w:val="32"/>
        </w:rPr>
        <w:t>（一）机关运行经费支出情况</w:t>
      </w:r>
      <w:bookmarkEnd w:id="47"/>
    </w:p>
    <w:p>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21年，机关运行经费支出</w:t>
      </w:r>
      <w:r>
        <w:rPr>
          <w:rFonts w:hint="eastAsia" w:ascii="仿宋_GB2312" w:eastAsia="仿宋_GB2312"/>
          <w:sz w:val="32"/>
          <w:szCs w:val="32"/>
          <w:lang w:val="en-US" w:eastAsia="zh-CN"/>
        </w:rPr>
        <w:t>0</w:t>
      </w:r>
      <w:r>
        <w:rPr>
          <w:rFonts w:hint="eastAsia" w:ascii="仿宋_GB2312" w:eastAsia="仿宋_GB2312"/>
          <w:sz w:val="32"/>
          <w:szCs w:val="32"/>
        </w:rPr>
        <w:t>万元，与</w:t>
      </w:r>
      <w:r>
        <w:rPr>
          <w:rFonts w:ascii="仿宋_GB2312" w:eastAsia="仿宋_GB2312"/>
          <w:sz w:val="32"/>
          <w:szCs w:val="32"/>
        </w:rPr>
        <w:t>20</w:t>
      </w:r>
      <w:r>
        <w:rPr>
          <w:rFonts w:hint="eastAsia" w:ascii="仿宋_GB2312" w:eastAsia="仿宋_GB2312"/>
          <w:sz w:val="32"/>
          <w:szCs w:val="32"/>
        </w:rPr>
        <w:t>20年决算数持平。</w:t>
      </w:r>
    </w:p>
    <w:p>
      <w:pPr>
        <w:spacing w:line="600" w:lineRule="exact"/>
        <w:ind w:firstLine="643" w:firstLineChars="200"/>
        <w:outlineLvl w:val="2"/>
        <w:rPr>
          <w:rFonts w:hint="eastAsia" w:ascii="楷体" w:hAnsi="楷体" w:eastAsia="楷体" w:cs="楷体"/>
          <w:b/>
          <w:bCs w:val="0"/>
          <w:sz w:val="32"/>
          <w:szCs w:val="32"/>
        </w:rPr>
      </w:pPr>
      <w:bookmarkStart w:id="48" w:name="_Toc15377223"/>
      <w:r>
        <w:rPr>
          <w:rFonts w:hint="eastAsia" w:ascii="楷体" w:hAnsi="楷体" w:eastAsia="楷体" w:cs="楷体"/>
          <w:b/>
          <w:bCs w:val="0"/>
          <w:sz w:val="32"/>
          <w:szCs w:val="32"/>
        </w:rPr>
        <w:t>（二）政府采购支出情况</w:t>
      </w:r>
      <w:bookmarkEnd w:id="48"/>
    </w:p>
    <w:p>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21年，政府采购支出总额</w:t>
      </w:r>
      <w:r>
        <w:rPr>
          <w:rFonts w:hint="eastAsia" w:ascii="仿宋_GB2312" w:eastAsia="仿宋_GB2312"/>
          <w:sz w:val="32"/>
          <w:szCs w:val="32"/>
          <w:lang w:val="en-US" w:eastAsia="zh-CN"/>
        </w:rPr>
        <w:t>0</w:t>
      </w:r>
      <w:r>
        <w:rPr>
          <w:rFonts w:hint="eastAsia" w:ascii="仿宋_GB2312" w:eastAsia="仿宋_GB2312"/>
          <w:sz w:val="32"/>
          <w:szCs w:val="32"/>
        </w:rPr>
        <w:t>万元，其中：政府采购货物支出</w:t>
      </w:r>
      <w:r>
        <w:rPr>
          <w:rFonts w:hint="eastAsia" w:ascii="仿宋_GB2312" w:eastAsia="仿宋_GB2312"/>
          <w:sz w:val="32"/>
          <w:szCs w:val="32"/>
          <w:lang w:val="en-US" w:eastAsia="zh-CN"/>
        </w:rPr>
        <w:t>0</w:t>
      </w:r>
      <w:r>
        <w:rPr>
          <w:rFonts w:hint="eastAsia" w:ascii="仿宋_GB2312" w:eastAsia="仿宋_GB2312"/>
          <w:sz w:val="32"/>
          <w:szCs w:val="32"/>
        </w:rPr>
        <w:t>万元、政府采购工程支出</w:t>
      </w:r>
      <w:r>
        <w:rPr>
          <w:rFonts w:hint="eastAsia" w:ascii="仿宋_GB2312" w:eastAsia="仿宋_GB2312"/>
          <w:sz w:val="32"/>
          <w:szCs w:val="32"/>
          <w:lang w:val="en-US" w:eastAsia="zh-CN"/>
        </w:rPr>
        <w:t>0</w:t>
      </w:r>
      <w:r>
        <w:rPr>
          <w:rFonts w:hint="eastAsia" w:ascii="仿宋_GB2312" w:eastAsia="仿宋_GB2312"/>
          <w:sz w:val="32"/>
          <w:szCs w:val="32"/>
        </w:rPr>
        <w:t>万元、政府采购服务支出</w:t>
      </w:r>
      <w:r>
        <w:rPr>
          <w:rFonts w:hint="eastAsia" w:ascii="仿宋_GB2312" w:eastAsia="仿宋_GB2312"/>
          <w:sz w:val="32"/>
          <w:szCs w:val="32"/>
          <w:lang w:val="en-US" w:eastAsia="zh-CN"/>
        </w:rPr>
        <w:t>0</w:t>
      </w:r>
      <w:r>
        <w:rPr>
          <w:rFonts w:hint="eastAsia" w:ascii="仿宋_GB2312" w:eastAsia="仿宋_GB2312"/>
          <w:sz w:val="32"/>
          <w:szCs w:val="32"/>
        </w:rPr>
        <w:t>万元。授予中小企业合同金额</w:t>
      </w:r>
      <w:r>
        <w:rPr>
          <w:rFonts w:hint="eastAsia" w:ascii="仿宋_GB2312" w:eastAsia="仿宋_GB2312"/>
          <w:sz w:val="32"/>
          <w:szCs w:val="32"/>
          <w:lang w:val="en-US" w:eastAsia="zh-CN"/>
        </w:rPr>
        <w:t>0</w:t>
      </w:r>
      <w:r>
        <w:rPr>
          <w:rFonts w:hint="eastAsia" w:ascii="仿宋_GB2312" w:eastAsia="仿宋_GB2312"/>
          <w:sz w:val="32"/>
          <w:szCs w:val="32"/>
        </w:rPr>
        <w:t>万元，占政府采购支出总额的</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，其中：授予小微企业合同金额</w:t>
      </w:r>
      <w:r>
        <w:rPr>
          <w:rFonts w:hint="eastAsia" w:ascii="仿宋_GB2312" w:eastAsia="仿宋_GB2312"/>
          <w:sz w:val="32"/>
          <w:szCs w:val="32"/>
          <w:lang w:val="en-US" w:eastAsia="zh-CN"/>
        </w:rPr>
        <w:t>0</w:t>
      </w:r>
      <w:r>
        <w:rPr>
          <w:rFonts w:hint="eastAsia" w:ascii="仿宋_GB2312" w:eastAsia="仿宋_GB2312"/>
          <w:sz w:val="32"/>
          <w:szCs w:val="32"/>
        </w:rPr>
        <w:t>万元，占政府采购支出总额的</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49" w:name="_Toc15377224"/>
      <w:r>
        <w:rPr>
          <w:rFonts w:hint="eastAsia" w:ascii="楷体" w:hAnsi="楷体" w:eastAsia="楷体" w:cs="楷体"/>
          <w:b/>
          <w:bCs w:val="0"/>
          <w:sz w:val="32"/>
          <w:szCs w:val="32"/>
        </w:rPr>
        <w:t>（三）国有资产占有使用情况</w:t>
      </w:r>
      <w:bookmarkEnd w:id="49"/>
    </w:p>
    <w:p>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w:t>
      </w:r>
      <w:r>
        <w:rPr>
          <w:rFonts w:hint="eastAsia" w:ascii="仿宋_GB2312" w:eastAsia="仿宋_GB2312"/>
          <w:sz w:val="32"/>
          <w:szCs w:val="32"/>
          <w:lang w:eastAsia="zh-CN"/>
        </w:rPr>
        <w:t>服务中心</w:t>
      </w:r>
      <w:r>
        <w:rPr>
          <w:rFonts w:hint="eastAsia" w:ascii="仿宋_GB2312" w:eastAsia="仿宋_GB2312"/>
          <w:sz w:val="32"/>
          <w:szCs w:val="32"/>
        </w:rPr>
        <w:t>共有车辆</w:t>
      </w:r>
      <w:r>
        <w:rPr>
          <w:rFonts w:hint="eastAsia" w:ascii="仿宋_GB2312" w:eastAsia="仿宋_GB2312"/>
          <w:sz w:val="32"/>
          <w:szCs w:val="32"/>
          <w:lang w:val="en-US" w:eastAsia="zh-CN"/>
        </w:rPr>
        <w:t>0</w:t>
      </w:r>
      <w:r>
        <w:rPr>
          <w:rFonts w:hint="eastAsia" w:ascii="仿宋_GB2312" w:eastAsia="仿宋_GB2312"/>
          <w:sz w:val="32"/>
          <w:szCs w:val="32"/>
        </w:rPr>
        <w:t>辆，其中：主要领导干部用车</w:t>
      </w:r>
      <w:r>
        <w:rPr>
          <w:rFonts w:hint="eastAsia" w:ascii="仿宋_GB2312" w:eastAsia="仿宋_GB2312"/>
          <w:sz w:val="32"/>
          <w:szCs w:val="32"/>
          <w:lang w:val="en-US" w:eastAsia="zh-CN"/>
        </w:rPr>
        <w:t>0</w:t>
      </w:r>
      <w:r>
        <w:rPr>
          <w:rFonts w:hint="eastAsia" w:ascii="仿宋_GB2312" w:eastAsia="仿宋_GB2312"/>
          <w:sz w:val="32"/>
          <w:szCs w:val="32"/>
        </w:rPr>
        <w:t>辆、机要通信用车</w:t>
      </w:r>
      <w:r>
        <w:rPr>
          <w:rFonts w:hint="eastAsia" w:ascii="仿宋_GB2312" w:eastAsia="仿宋_GB2312"/>
          <w:sz w:val="32"/>
          <w:szCs w:val="32"/>
          <w:lang w:val="en-US" w:eastAsia="zh-CN"/>
        </w:rPr>
        <w:t>0</w:t>
      </w:r>
      <w:r>
        <w:rPr>
          <w:rFonts w:hint="eastAsia" w:ascii="仿宋_GB2312" w:eastAsia="仿宋_GB2312"/>
          <w:sz w:val="32"/>
          <w:szCs w:val="32"/>
        </w:rPr>
        <w:t>辆、应急保障用车</w:t>
      </w:r>
      <w:r>
        <w:rPr>
          <w:rFonts w:hint="eastAsia" w:ascii="仿宋_GB2312" w:eastAsia="仿宋_GB2312"/>
          <w:sz w:val="32"/>
          <w:szCs w:val="32"/>
          <w:lang w:val="en-US" w:eastAsia="zh-CN"/>
        </w:rPr>
        <w:t>0</w:t>
      </w:r>
      <w:r>
        <w:rPr>
          <w:rFonts w:hint="eastAsia" w:ascii="仿宋_GB2312" w:eastAsia="仿宋_GB2312"/>
          <w:sz w:val="32"/>
          <w:szCs w:val="32"/>
        </w:rPr>
        <w:t>辆、其他用车</w:t>
      </w:r>
      <w:r>
        <w:rPr>
          <w:rFonts w:hint="eastAsia" w:ascii="仿宋_GB2312" w:eastAsia="仿宋_GB2312"/>
          <w:sz w:val="32"/>
          <w:szCs w:val="32"/>
          <w:lang w:val="en-US" w:eastAsia="zh-CN"/>
        </w:rPr>
        <w:t>0</w:t>
      </w:r>
      <w:r>
        <w:rPr>
          <w:rFonts w:hint="eastAsia" w:ascii="仿宋_GB2312" w:eastAsia="仿宋_GB2312"/>
          <w:sz w:val="32"/>
          <w:szCs w:val="32"/>
        </w:rPr>
        <w:t>辆</w:t>
      </w:r>
      <w:r>
        <w:rPr>
          <w:rFonts w:hint="eastAsia" w:ascii="仿宋_GB2312" w:eastAsia="仿宋_GB2312"/>
          <w:sz w:val="32"/>
          <w:szCs w:val="32"/>
          <w:lang w:eastAsia="zh-CN"/>
        </w:rPr>
        <w:t>。</w:t>
      </w:r>
      <w:r>
        <w:rPr>
          <w:rFonts w:hint="eastAsia" w:ascii="仿宋_GB2312" w:eastAsia="仿宋_GB2312"/>
          <w:sz w:val="32"/>
          <w:szCs w:val="32"/>
        </w:rPr>
        <w:t>单价</w:t>
      </w:r>
      <w:r>
        <w:rPr>
          <w:rFonts w:ascii="仿宋_GB2312" w:eastAsia="仿宋_GB2312"/>
          <w:sz w:val="32"/>
          <w:szCs w:val="32"/>
        </w:rPr>
        <w:t>50</w:t>
      </w:r>
      <w:r>
        <w:rPr>
          <w:rFonts w:hint="eastAsia" w:ascii="仿宋_GB2312" w:eastAsia="仿宋_GB2312"/>
          <w:sz w:val="32"/>
          <w:szCs w:val="32"/>
        </w:rPr>
        <w:t>万元以上通用设备</w:t>
      </w:r>
      <w:r>
        <w:rPr>
          <w:rFonts w:hint="eastAsia" w:ascii="仿宋_GB2312" w:eastAsia="仿宋_GB2312"/>
          <w:sz w:val="32"/>
          <w:szCs w:val="32"/>
          <w:lang w:val="en-US" w:eastAsia="zh-CN"/>
        </w:rPr>
        <w:t>0</w:t>
      </w:r>
      <w:r>
        <w:rPr>
          <w:rFonts w:hint="eastAsia" w:ascii="仿宋_GB2312" w:eastAsia="仿宋_GB2312"/>
          <w:sz w:val="32"/>
          <w:szCs w:val="32"/>
        </w:rPr>
        <w:t>台（套），单价</w:t>
      </w:r>
      <w:r>
        <w:rPr>
          <w:rFonts w:ascii="仿宋_GB2312" w:eastAsia="仿宋_GB2312"/>
          <w:sz w:val="32"/>
          <w:szCs w:val="32"/>
        </w:rPr>
        <w:t>100</w:t>
      </w:r>
      <w:r>
        <w:rPr>
          <w:rFonts w:hint="eastAsia" w:ascii="仿宋_GB2312" w:eastAsia="仿宋_GB2312"/>
          <w:sz w:val="32"/>
          <w:szCs w:val="32"/>
        </w:rPr>
        <w:t>万元以上专用设备</w:t>
      </w:r>
      <w:r>
        <w:rPr>
          <w:rFonts w:hint="eastAsia" w:ascii="仿宋_GB2312" w:eastAsia="仿宋_GB2312"/>
          <w:sz w:val="32"/>
          <w:szCs w:val="32"/>
          <w:lang w:val="en-US" w:eastAsia="zh-CN"/>
        </w:rPr>
        <w:t>0</w:t>
      </w:r>
      <w:r>
        <w:rPr>
          <w:rFonts w:hint="eastAsia" w:ascii="仿宋_GB2312" w:eastAsia="仿宋_GB2312"/>
          <w:sz w:val="32"/>
          <w:szCs w:val="32"/>
        </w:rPr>
        <w:t>台（套）。</w:t>
      </w:r>
    </w:p>
    <w:p>
      <w:pPr>
        <w:autoSpaceDE w:val="0"/>
        <w:autoSpaceDN w:val="0"/>
        <w:adjustRightInd w:val="0"/>
        <w:spacing w:line="600" w:lineRule="exact"/>
        <w:ind w:firstLine="643" w:firstLineChars="200"/>
        <w:jc w:val="left"/>
        <w:rPr>
          <w:rFonts w:ascii="仿宋" w:hAnsi="仿宋" w:eastAsia="仿宋"/>
          <w:b/>
          <w:sz w:val="32"/>
          <w:szCs w:val="32"/>
        </w:rPr>
      </w:pPr>
    </w:p>
    <w:p>
      <w:pPr>
        <w:autoSpaceDE w:val="0"/>
        <w:autoSpaceDN w:val="0"/>
        <w:adjustRightInd w:val="0"/>
        <w:spacing w:line="600" w:lineRule="exact"/>
        <w:ind w:firstLine="643" w:firstLineChars="200"/>
        <w:jc w:val="left"/>
        <w:outlineLvl w:val="2"/>
        <w:rPr>
          <w:rFonts w:hint="eastAsia" w:ascii="楷体" w:hAnsi="楷体" w:eastAsia="楷体" w:cs="楷体"/>
          <w:b/>
          <w:bCs w:val="0"/>
          <w:sz w:val="32"/>
          <w:szCs w:val="32"/>
        </w:rPr>
      </w:pPr>
      <w:r>
        <w:rPr>
          <w:rFonts w:hint="eastAsia" w:ascii="楷体" w:hAnsi="楷体" w:eastAsia="楷体" w:cs="楷体"/>
          <w:b/>
          <w:bCs w:val="0"/>
          <w:sz w:val="32"/>
          <w:szCs w:val="32"/>
        </w:rPr>
        <w:t>（四）预算绩效管理情况</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根据预算绩效管理要求，本部门在2021年度预算编制阶段，组织对</w:t>
      </w:r>
      <w:r>
        <w:rPr>
          <w:rFonts w:hint="eastAsia" w:ascii="仿宋_GB2312" w:hAnsi="仿宋_GB2312" w:eastAsia="仿宋_GB2312" w:cs="仿宋_GB2312"/>
          <w:sz w:val="32"/>
          <w:szCs w:val="32"/>
          <w:lang w:eastAsia="zh-CN"/>
        </w:rPr>
        <w:t>老干部活动费</w:t>
      </w:r>
      <w:r>
        <w:rPr>
          <w:rFonts w:hint="eastAsia" w:ascii="仿宋_GB2312" w:hAnsi="仿宋_GB2312" w:eastAsia="仿宋_GB2312" w:cs="仿宋_GB2312"/>
          <w:sz w:val="32"/>
          <w:szCs w:val="32"/>
        </w:rPr>
        <w:t>项目等</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个项目开展了预算事前绩效评估，对</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个项目编制了绩效目标，预算执行过程中，选取</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个项目开展绩效监控，年终执行完毕后，</w:t>
      </w:r>
      <w:r>
        <w:rPr>
          <w:rFonts w:hint="eastAsia" w:ascii="仿宋_GB2312" w:hAnsi="仿宋_GB2312" w:eastAsia="仿宋_GB2312" w:cs="仿宋_GB2312"/>
          <w:sz w:val="32"/>
          <w:szCs w:val="32"/>
          <w:lang w:eastAsia="zh-CN"/>
        </w:rPr>
        <w:t>对</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个项目开展了绩效自评。同时，本部门对2021年部门整体开展绩效自评，《2021年</w:t>
      </w:r>
      <w:r>
        <w:rPr>
          <w:rFonts w:hint="eastAsia" w:ascii="仿宋_GB2312" w:hAnsi="仿宋_GB2312" w:eastAsia="仿宋_GB2312" w:cs="仿宋_GB2312"/>
          <w:sz w:val="32"/>
          <w:szCs w:val="32"/>
          <w:lang w:eastAsia="zh-CN"/>
        </w:rPr>
        <w:t>攀枝花市成都干部服务中心</w:t>
      </w:r>
      <w:r>
        <w:rPr>
          <w:rFonts w:hint="eastAsia" w:ascii="仿宋_GB2312" w:hAnsi="仿宋_GB2312" w:eastAsia="仿宋_GB2312" w:cs="仿宋_GB2312"/>
          <w:sz w:val="32"/>
          <w:szCs w:val="32"/>
        </w:rPr>
        <w:t>部门整体绩效评价报告》见附件（第四部分）。</w:t>
      </w:r>
    </w:p>
    <w:p>
      <w:pPr>
        <w:widowControl/>
        <w:jc w:val="left"/>
        <w:rPr>
          <w:rFonts w:ascii="仿宋_GB2312" w:eastAsia="仿宋_GB2312"/>
          <w:b/>
          <w:sz w:val="32"/>
          <w:szCs w:val="32"/>
        </w:rPr>
      </w:pPr>
      <w:r>
        <w:rPr>
          <w:rFonts w:ascii="仿宋_GB2312" w:eastAsia="仿宋_GB2312"/>
          <w:b/>
          <w:sz w:val="32"/>
          <w:szCs w:val="32"/>
        </w:rPr>
        <w:br w:type="page"/>
      </w:r>
    </w:p>
    <w:p>
      <w:pPr>
        <w:numPr>
          <w:ilvl w:val="0"/>
          <w:numId w:val="4"/>
        </w:numPr>
        <w:spacing w:line="600" w:lineRule="exact"/>
        <w:ind w:firstLine="660" w:firstLineChars="150"/>
        <w:jc w:val="center"/>
        <w:outlineLvl w:val="0"/>
        <w:rPr>
          <w:rStyle w:val="24"/>
          <w:rFonts w:ascii="黑体" w:hAnsi="黑体" w:eastAsia="黑体"/>
          <w:b w:val="0"/>
        </w:rPr>
      </w:pPr>
      <w:bookmarkStart w:id="50" w:name="_Toc15396613"/>
      <w:bookmarkStart w:id="51" w:name="_Toc15377225"/>
      <w:r>
        <w:rPr>
          <w:rFonts w:hint="eastAsia" w:ascii="黑体" w:hAnsi="黑体" w:eastAsia="黑体"/>
          <w:sz w:val="44"/>
          <w:szCs w:val="44"/>
        </w:rPr>
        <w:t>名</w:t>
      </w:r>
      <w:r>
        <w:rPr>
          <w:rStyle w:val="24"/>
          <w:rFonts w:hint="eastAsia" w:ascii="黑体" w:hAnsi="黑体" w:eastAsia="黑体"/>
          <w:b w:val="0"/>
        </w:rPr>
        <w:t>词解释</w:t>
      </w:r>
      <w:bookmarkEnd w:id="50"/>
      <w:bookmarkEnd w:id="51"/>
    </w:p>
    <w:p>
      <w:pPr>
        <w:spacing w:line="600" w:lineRule="exact"/>
        <w:jc w:val="left"/>
        <w:rPr>
          <w:rFonts w:ascii="宋体"/>
          <w:b/>
          <w:sz w:val="44"/>
          <w:szCs w:val="44"/>
        </w:rPr>
      </w:pPr>
    </w:p>
    <w:p>
      <w:pPr>
        <w:ind w:firstLine="640" w:firstLineChars="200"/>
        <w:rPr>
          <w:rFonts w:hint="eastAsia" w:ascii="仿宋_GB2312" w:eastAsia="仿宋_GB2312"/>
          <w:sz w:val="32"/>
          <w:szCs w:val="32"/>
        </w:rPr>
      </w:pPr>
      <w:r>
        <w:rPr>
          <w:rFonts w:hint="eastAsia" w:ascii="仿宋_GB2312" w:eastAsia="仿宋_GB2312"/>
          <w:sz w:val="32"/>
          <w:szCs w:val="32"/>
        </w:rPr>
        <w:t>1</w:t>
      </w:r>
      <w:r>
        <w:rPr>
          <w:rFonts w:hint="eastAsia" w:ascii="仿宋_GB2312" w:eastAsia="仿宋_GB2312"/>
          <w:sz w:val="32"/>
          <w:szCs w:val="32"/>
          <w:lang w:val="en-US" w:eastAsia="zh-CN"/>
        </w:rPr>
        <w:t>.</w:t>
      </w:r>
      <w:r>
        <w:rPr>
          <w:rFonts w:hint="eastAsia" w:ascii="仿宋_GB2312" w:eastAsia="仿宋_GB2312"/>
          <w:sz w:val="32"/>
          <w:szCs w:val="32"/>
        </w:rPr>
        <w:t>一般公共预算拨款收入：指市级财政当年拨付的资金。</w:t>
      </w:r>
    </w:p>
    <w:p>
      <w:pPr>
        <w:ind w:firstLine="640" w:firstLineChars="200"/>
        <w:rPr>
          <w:rFonts w:hint="eastAsia" w:ascii="仿宋_GB2312" w:eastAsia="仿宋_GB2312"/>
          <w:sz w:val="32"/>
          <w:szCs w:val="32"/>
        </w:rPr>
      </w:pPr>
      <w:r>
        <w:rPr>
          <w:rFonts w:hint="eastAsia" w:ascii="仿宋_GB2312" w:eastAsia="仿宋_GB2312"/>
          <w:sz w:val="32"/>
          <w:szCs w:val="32"/>
        </w:rPr>
        <w:t>2</w:t>
      </w:r>
      <w:r>
        <w:rPr>
          <w:rFonts w:hint="eastAsia" w:ascii="仿宋_GB2312" w:eastAsia="仿宋_GB2312"/>
          <w:sz w:val="32"/>
          <w:szCs w:val="32"/>
          <w:lang w:val="en-US" w:eastAsia="zh-CN"/>
        </w:rPr>
        <w:t>.</w:t>
      </w:r>
      <w:r>
        <w:rPr>
          <w:rFonts w:hint="eastAsia" w:ascii="仿宋_GB2312" w:eastAsia="仿宋_GB2312"/>
          <w:sz w:val="32"/>
          <w:szCs w:val="32"/>
        </w:rPr>
        <w:t>一般公共服务支出（类）政府办公厅（室）及相关机构事务（款）一般行政管理事务（政府）（项）：指行政单位（包括实行公务员管理的事业单位）未单独设置项级科目的其他项目支出。</w:t>
      </w:r>
    </w:p>
    <w:p>
      <w:pPr>
        <w:ind w:firstLine="640" w:firstLineChars="200"/>
        <w:rPr>
          <w:rFonts w:hint="eastAsia" w:ascii="仿宋_GB2312" w:eastAsia="仿宋_GB2312"/>
          <w:sz w:val="32"/>
          <w:szCs w:val="32"/>
        </w:rPr>
      </w:pPr>
      <w:r>
        <w:rPr>
          <w:rFonts w:hint="eastAsia" w:ascii="仿宋_GB2312" w:eastAsia="仿宋_GB2312"/>
          <w:sz w:val="32"/>
          <w:szCs w:val="32"/>
          <w:lang w:val="en-US" w:eastAsia="zh-CN"/>
        </w:rPr>
        <w:t>3.</w:t>
      </w:r>
      <w:r>
        <w:rPr>
          <w:rFonts w:hint="eastAsia" w:ascii="仿宋_GB2312" w:eastAsia="仿宋_GB2312"/>
          <w:sz w:val="32"/>
          <w:szCs w:val="32"/>
        </w:rPr>
        <w:t>一般公共服务支出（类）政府办公厅（室）及相关机构事务（款）事业运行（政府）（项）：指事业单位的基本支出。</w:t>
      </w:r>
    </w:p>
    <w:p>
      <w:pPr>
        <w:ind w:firstLine="640" w:firstLineChars="200"/>
        <w:rPr>
          <w:rFonts w:hint="eastAsia" w:ascii="仿宋_GB2312" w:eastAsia="仿宋_GB2312"/>
          <w:sz w:val="32"/>
          <w:szCs w:val="32"/>
        </w:rPr>
      </w:pPr>
      <w:r>
        <w:rPr>
          <w:rFonts w:hint="eastAsia" w:ascii="仿宋_GB2312" w:eastAsia="仿宋_GB2312"/>
          <w:sz w:val="32"/>
          <w:szCs w:val="32"/>
          <w:lang w:val="en-US" w:eastAsia="zh-CN"/>
        </w:rPr>
        <w:t>4.</w:t>
      </w:r>
      <w:r>
        <w:rPr>
          <w:rFonts w:hint="eastAsia" w:ascii="仿宋_GB2312" w:eastAsia="仿宋_GB2312"/>
          <w:sz w:val="32"/>
          <w:szCs w:val="32"/>
        </w:rPr>
        <w:t>社会保障和就业支出（类）行政事业单位离退休（款）事业单位离退休（项）：指实行归口管理的事业单位开支的离退休经费。</w:t>
      </w:r>
    </w:p>
    <w:p>
      <w:pPr>
        <w:ind w:firstLine="640" w:firstLineChars="200"/>
        <w:rPr>
          <w:rFonts w:hint="eastAsia" w:ascii="仿宋_GB2312" w:eastAsia="仿宋_GB2312"/>
          <w:sz w:val="32"/>
          <w:szCs w:val="32"/>
        </w:rPr>
      </w:pPr>
      <w:r>
        <w:rPr>
          <w:rFonts w:hint="eastAsia" w:ascii="仿宋_GB2312" w:eastAsia="仿宋_GB2312"/>
          <w:sz w:val="32"/>
          <w:szCs w:val="32"/>
          <w:lang w:val="en-US" w:eastAsia="zh-CN"/>
        </w:rPr>
        <w:t>5</w:t>
      </w:r>
      <w:r>
        <w:rPr>
          <w:rFonts w:hint="eastAsia" w:ascii="仿宋_GB2312" w:eastAsia="仿宋_GB2312"/>
          <w:sz w:val="32"/>
          <w:szCs w:val="32"/>
        </w:rPr>
        <w:t>.社会保障和就业支出（类）行政事业单位离退休（款）机关事业单位基本养老保险缴费支出（项）：指机关事业单位实施养老保险制度由单位缴纳的基本养老保险费支出。</w:t>
      </w:r>
    </w:p>
    <w:p>
      <w:pPr>
        <w:ind w:firstLine="640" w:firstLineChars="200"/>
        <w:rPr>
          <w:rFonts w:hint="eastAsia" w:ascii="仿宋_GB2312" w:eastAsia="仿宋_GB2312"/>
          <w:sz w:val="32"/>
          <w:szCs w:val="32"/>
        </w:rPr>
      </w:pPr>
      <w:r>
        <w:rPr>
          <w:rFonts w:hint="eastAsia" w:ascii="仿宋_GB2312" w:eastAsia="仿宋_GB2312"/>
          <w:sz w:val="32"/>
          <w:szCs w:val="32"/>
          <w:lang w:val="en-US" w:eastAsia="zh-CN"/>
        </w:rPr>
        <w:t>6.</w:t>
      </w:r>
      <w:r>
        <w:rPr>
          <w:rFonts w:hint="eastAsia" w:ascii="仿宋_GB2312" w:eastAsia="仿宋_GB2312"/>
          <w:sz w:val="32"/>
          <w:szCs w:val="32"/>
        </w:rPr>
        <w:t>住房保障支出（类）住房改革支出（款）住房公积金（项）：指行政事业单位按人力资源和社会保障部、财政部规定的基本工资和津贴补贴以及规定比例为职工缴纳的住房公积金。</w:t>
      </w:r>
    </w:p>
    <w:p>
      <w:pPr>
        <w:ind w:firstLine="640" w:firstLineChars="200"/>
        <w:rPr>
          <w:rFonts w:hint="eastAsia" w:ascii="仿宋_GB2312" w:eastAsia="仿宋_GB2312"/>
          <w:sz w:val="32"/>
          <w:szCs w:val="32"/>
        </w:rPr>
      </w:pPr>
      <w:r>
        <w:rPr>
          <w:rFonts w:hint="eastAsia" w:ascii="仿宋_GB2312" w:eastAsia="仿宋_GB2312"/>
          <w:sz w:val="32"/>
          <w:szCs w:val="32"/>
          <w:lang w:val="en-US" w:eastAsia="zh-CN"/>
        </w:rPr>
        <w:t>7.</w:t>
      </w:r>
      <w:r>
        <w:rPr>
          <w:rFonts w:hint="eastAsia" w:ascii="仿宋_GB2312" w:eastAsia="仿宋_GB2312"/>
          <w:sz w:val="32"/>
          <w:szCs w:val="32"/>
        </w:rPr>
        <w:t>基本支出：指为保证机构正常运转，完成日常工作任务而发生的人员支出和公用支出。</w:t>
      </w:r>
    </w:p>
    <w:p>
      <w:pPr>
        <w:ind w:firstLine="640" w:firstLineChars="200"/>
        <w:rPr>
          <w:rFonts w:hint="eastAsia" w:ascii="仿宋_GB2312" w:eastAsia="仿宋_GB2312"/>
          <w:sz w:val="32"/>
          <w:szCs w:val="32"/>
        </w:rPr>
      </w:pPr>
      <w:r>
        <w:rPr>
          <w:rFonts w:hint="eastAsia" w:ascii="仿宋_GB2312" w:eastAsia="仿宋_GB2312"/>
          <w:sz w:val="32"/>
          <w:szCs w:val="32"/>
          <w:lang w:val="en-US" w:eastAsia="zh-CN"/>
        </w:rPr>
        <w:t>8.</w:t>
      </w:r>
      <w:r>
        <w:rPr>
          <w:rFonts w:hint="eastAsia" w:ascii="仿宋_GB2312" w:eastAsia="仿宋_GB2312"/>
          <w:sz w:val="32"/>
          <w:szCs w:val="32"/>
        </w:rPr>
        <w:t>项目支出：指在基本支出之外为完成特定行政任务和事业发展目标所发生的支出。</w:t>
      </w:r>
    </w:p>
    <w:p>
      <w:pPr>
        <w:ind w:firstLine="640" w:firstLineChars="200"/>
        <w:rPr>
          <w:rFonts w:hint="eastAsia" w:ascii="仿宋_GB2312" w:eastAsia="仿宋_GB2312"/>
          <w:sz w:val="32"/>
          <w:szCs w:val="32"/>
        </w:rPr>
      </w:pPr>
      <w:r>
        <w:rPr>
          <w:rFonts w:hint="eastAsia" w:ascii="仿宋_GB2312" w:eastAsia="仿宋_GB2312"/>
          <w:sz w:val="32"/>
          <w:szCs w:val="32"/>
          <w:lang w:val="en-US" w:eastAsia="zh-CN"/>
        </w:rPr>
        <w:t>9.</w:t>
      </w:r>
      <w:r>
        <w:rPr>
          <w:rFonts w:hint="eastAsia" w:ascii="仿宋_GB2312" w:eastAsia="仿宋_GB2312"/>
          <w:sz w:val="32"/>
          <w:szCs w:val="32"/>
        </w:rPr>
        <w:t>“三公”经费：纳入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2"/>
        <w:spacing w:line="560" w:lineRule="exact"/>
        <w:ind w:firstLine="640" w:firstLineChars="200"/>
        <w:rPr>
          <w:rFonts w:ascii="仿宋_GB2312" w:eastAsia="仿宋_GB2312"/>
          <w:color w:val="auto"/>
          <w:sz w:val="32"/>
          <w:szCs w:val="32"/>
        </w:rPr>
      </w:pPr>
    </w:p>
    <w:p>
      <w:pPr>
        <w:spacing w:line="600" w:lineRule="exact"/>
        <w:jc w:val="center"/>
        <w:outlineLvl w:val="0"/>
        <w:rPr>
          <w:rStyle w:val="24"/>
          <w:rFonts w:ascii="黑体" w:hAnsi="黑体" w:eastAsia="黑体"/>
          <w:b w:val="0"/>
        </w:rPr>
      </w:pPr>
      <w:bookmarkStart w:id="52" w:name="_Toc15377226"/>
      <w:r>
        <w:rPr>
          <w:rFonts w:ascii="宋体"/>
          <w:b/>
          <w:sz w:val="44"/>
          <w:szCs w:val="44"/>
        </w:rPr>
        <w:br w:type="page"/>
      </w:r>
      <w:bookmarkStart w:id="53" w:name="_Toc15396614"/>
      <w:r>
        <w:rPr>
          <w:rFonts w:hint="eastAsia" w:ascii="黑体" w:hAnsi="黑体" w:eastAsia="黑体"/>
          <w:sz w:val="44"/>
          <w:szCs w:val="44"/>
        </w:rPr>
        <w:t>第</w:t>
      </w:r>
      <w:r>
        <w:rPr>
          <w:rStyle w:val="24"/>
          <w:rFonts w:hint="eastAsia" w:ascii="黑体" w:hAnsi="黑体" w:eastAsia="黑体"/>
          <w:b w:val="0"/>
        </w:rPr>
        <w:t>四部分 附件</w:t>
      </w:r>
      <w:bookmarkEnd w:id="53"/>
    </w:p>
    <w:p>
      <w:pPr>
        <w:spacing w:line="572" w:lineRule="exact"/>
        <w:jc w:val="left"/>
        <w:outlineLvl w:val="0"/>
        <w:rPr>
          <w:rFonts w:hint="eastAsia" w:ascii="黑体" w:hAnsi="黑体" w:eastAsia="黑体" w:cs="黑体"/>
          <w:sz w:val="32"/>
          <w:szCs w:val="32"/>
        </w:rPr>
      </w:pPr>
      <w:r>
        <w:rPr>
          <w:rFonts w:hint="eastAsia" w:ascii="黑体" w:hAnsi="黑体" w:eastAsia="黑体" w:cs="黑体"/>
          <w:sz w:val="32"/>
          <w:szCs w:val="32"/>
        </w:rPr>
        <w:t>附件</w:t>
      </w:r>
    </w:p>
    <w:tbl>
      <w:tblPr>
        <w:tblStyle w:val="12"/>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694"/>
        <w:gridCol w:w="855"/>
        <w:gridCol w:w="1890"/>
        <w:gridCol w:w="1620"/>
        <w:gridCol w:w="3300"/>
        <w:gridCol w:w="1216"/>
        <w:gridCol w:w="236"/>
      </w:tblGrid>
      <w:tr>
        <w:tblPrEx>
          <w:tblCellMar>
            <w:top w:w="0" w:type="dxa"/>
            <w:left w:w="108" w:type="dxa"/>
            <w:bottom w:w="0" w:type="dxa"/>
            <w:right w:w="108" w:type="dxa"/>
          </w:tblCellMar>
        </w:tblPrEx>
        <w:trPr>
          <w:trHeight w:val="675" w:hRule="atLeast"/>
        </w:trPr>
        <w:tc>
          <w:tcPr>
            <w:tcW w:w="9575" w:type="dxa"/>
            <w:gridSpan w:val="6"/>
            <w:tcBorders>
              <w:top w:val="nil"/>
              <w:left w:val="nil"/>
              <w:bottom w:val="nil"/>
              <w:right w:val="nil"/>
            </w:tcBorders>
            <w:shd w:val="clear" w:color="auto" w:fill="auto"/>
            <w:vAlign w:val="center"/>
          </w:tcPr>
          <w:p>
            <w:pPr>
              <w:widowControl/>
              <w:ind w:firstLine="964" w:firstLineChars="300"/>
              <w:textAlignment w:val="center"/>
              <w:rPr>
                <w:rFonts w:ascii="宋体" w:hAnsi="宋体" w:cs="宋体"/>
                <w:b/>
                <w:sz w:val="32"/>
                <w:szCs w:val="32"/>
              </w:rPr>
            </w:pPr>
            <w:r>
              <w:rPr>
                <w:rFonts w:hint="eastAsia" w:ascii="宋体" w:hAnsi="宋体" w:cs="宋体"/>
                <w:b/>
                <w:sz w:val="32"/>
                <w:szCs w:val="32"/>
              </w:rPr>
              <w:t>2021年</w:t>
            </w:r>
            <w:r>
              <w:rPr>
                <w:rFonts w:hint="eastAsia" w:ascii="宋体" w:hAnsi="宋体" w:cs="宋体"/>
                <w:b/>
                <w:sz w:val="32"/>
                <w:szCs w:val="32"/>
                <w:lang w:eastAsia="zh-CN"/>
              </w:rPr>
              <w:t>不限金额</w:t>
            </w:r>
            <w:r>
              <w:rPr>
                <w:rFonts w:hint="eastAsia" w:ascii="宋体" w:hAnsi="宋体" w:cs="宋体"/>
                <w:b/>
                <w:sz w:val="32"/>
                <w:szCs w:val="32"/>
              </w:rPr>
              <w:t>特定目标类部门预算项目绩效目标自评</w:t>
            </w:r>
          </w:p>
        </w:tc>
        <w:tc>
          <w:tcPr>
            <w:tcW w:w="236" w:type="dxa"/>
            <w:tcBorders>
              <w:top w:val="nil"/>
              <w:left w:val="nil"/>
              <w:bottom w:val="nil"/>
              <w:right w:val="nil"/>
            </w:tcBorders>
            <w:shd w:val="clear" w:color="auto" w:fill="auto"/>
            <w:vAlign w:val="center"/>
          </w:tcPr>
          <w:p>
            <w:pPr>
              <w:widowControl/>
              <w:jc w:val="center"/>
              <w:textAlignment w:val="center"/>
              <w:rPr>
                <w:rFonts w:ascii="宋体" w:hAnsi="宋体" w:cs="宋体"/>
                <w:b/>
                <w:kern w:val="0"/>
                <w:sz w:val="32"/>
                <w:szCs w:val="32"/>
                <w:lang w:bidi="ar"/>
              </w:rPr>
            </w:pPr>
          </w:p>
        </w:tc>
      </w:tr>
      <w:tr>
        <w:tblPrEx>
          <w:tblCellMar>
            <w:top w:w="0" w:type="dxa"/>
            <w:left w:w="108" w:type="dxa"/>
            <w:bottom w:w="0" w:type="dxa"/>
            <w:right w:w="108" w:type="dxa"/>
          </w:tblCellMar>
        </w:tblPrEx>
        <w:trPr>
          <w:gridAfter w:val="1"/>
          <w:wAfter w:w="236" w:type="dxa"/>
          <w:trHeight w:val="254" w:hRule="atLeast"/>
        </w:trPr>
        <w:tc>
          <w:tcPr>
            <w:tcW w:w="154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主管部门及代码</w:t>
            </w:r>
          </w:p>
        </w:tc>
        <w:tc>
          <w:tcPr>
            <w:tcW w:w="35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宋体" w:hAnsi="宋体" w:eastAsia="宋体" w:cs="宋体"/>
                <w:kern w:val="0"/>
                <w:sz w:val="24"/>
                <w:lang w:val="en-US" w:eastAsia="zh-CN" w:bidi="ar"/>
              </w:rPr>
            </w:pPr>
            <w:r>
              <w:rPr>
                <w:rFonts w:hint="eastAsia" w:ascii="宋体" w:hAnsi="宋体" w:eastAsia="宋体" w:cs="宋体"/>
                <w:kern w:val="0"/>
                <w:sz w:val="24"/>
                <w:lang w:val="en-US" w:eastAsia="zh-CN" w:bidi="ar"/>
              </w:rPr>
              <w:t>攀枝花市人民政府驻成都办事处（119001）</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实施单位</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攀枝花市成都干部服务中心</w:t>
            </w:r>
          </w:p>
        </w:tc>
      </w:tr>
      <w:tr>
        <w:tblPrEx>
          <w:tblCellMar>
            <w:top w:w="0" w:type="dxa"/>
            <w:left w:w="108" w:type="dxa"/>
            <w:bottom w:w="0" w:type="dxa"/>
            <w:right w:w="108" w:type="dxa"/>
          </w:tblCellMar>
        </w:tblPrEx>
        <w:trPr>
          <w:gridAfter w:val="1"/>
          <w:wAfter w:w="236" w:type="dxa"/>
          <w:trHeight w:val="341" w:hRule="atLeast"/>
        </w:trPr>
        <w:tc>
          <w:tcPr>
            <w:tcW w:w="154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项目预算</w:t>
            </w:r>
          </w:p>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执行情况</w:t>
            </w:r>
          </w:p>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（万元）</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预算数：</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5</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执行数：</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5</w:t>
            </w:r>
          </w:p>
        </w:tc>
      </w:tr>
      <w:tr>
        <w:tblPrEx>
          <w:tblCellMar>
            <w:top w:w="0" w:type="dxa"/>
            <w:left w:w="108" w:type="dxa"/>
            <w:bottom w:w="0" w:type="dxa"/>
            <w:right w:w="108" w:type="dxa"/>
          </w:tblCellMar>
        </w:tblPrEx>
        <w:trPr>
          <w:gridAfter w:val="1"/>
          <w:wAfter w:w="236" w:type="dxa"/>
          <w:trHeight w:val="555" w:hRule="atLeast"/>
        </w:trPr>
        <w:tc>
          <w:tcPr>
            <w:tcW w:w="154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kern w:val="0"/>
                <w:sz w:val="24"/>
                <w:lang w:val="en-US" w:eastAsia="zh-CN" w:bidi="ar"/>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其中：</w:t>
            </w:r>
          </w:p>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财政拨款</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5</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其中：</w:t>
            </w:r>
          </w:p>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财政拨款</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5</w:t>
            </w:r>
          </w:p>
        </w:tc>
      </w:tr>
      <w:tr>
        <w:tblPrEx>
          <w:tblCellMar>
            <w:top w:w="0" w:type="dxa"/>
            <w:left w:w="108" w:type="dxa"/>
            <w:bottom w:w="0" w:type="dxa"/>
            <w:right w:w="108" w:type="dxa"/>
          </w:tblCellMar>
        </w:tblPrEx>
        <w:trPr>
          <w:gridAfter w:val="1"/>
          <w:wAfter w:w="236" w:type="dxa"/>
          <w:trHeight w:val="341" w:hRule="atLeast"/>
        </w:trPr>
        <w:tc>
          <w:tcPr>
            <w:tcW w:w="154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kern w:val="0"/>
                <w:sz w:val="24"/>
                <w:lang w:val="en-US" w:eastAsia="zh-CN" w:bidi="ar"/>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其他资金</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0</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其他资金</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0</w:t>
            </w:r>
          </w:p>
        </w:tc>
      </w:tr>
      <w:tr>
        <w:tblPrEx>
          <w:tblCellMar>
            <w:top w:w="0" w:type="dxa"/>
            <w:left w:w="108" w:type="dxa"/>
            <w:bottom w:w="0" w:type="dxa"/>
            <w:right w:w="108" w:type="dxa"/>
          </w:tblCellMar>
        </w:tblPrEx>
        <w:trPr>
          <w:gridAfter w:val="1"/>
          <w:wAfter w:w="236" w:type="dxa"/>
          <w:trHeight w:val="217" w:hRule="atLeast"/>
        </w:trPr>
        <w:tc>
          <w:tcPr>
            <w:tcW w:w="6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年度总体目标</w:t>
            </w:r>
          </w:p>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完成情况</w:t>
            </w:r>
          </w:p>
        </w:tc>
        <w:tc>
          <w:tcPr>
            <w:tcW w:w="43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预期目标</w:t>
            </w:r>
          </w:p>
        </w:tc>
        <w:tc>
          <w:tcPr>
            <w:tcW w:w="4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目标实际完成情况</w:t>
            </w:r>
          </w:p>
        </w:tc>
      </w:tr>
      <w:tr>
        <w:tblPrEx>
          <w:tblCellMar>
            <w:top w:w="0" w:type="dxa"/>
            <w:left w:w="108" w:type="dxa"/>
            <w:bottom w:w="0" w:type="dxa"/>
            <w:right w:w="108" w:type="dxa"/>
          </w:tblCellMar>
        </w:tblPrEx>
        <w:trPr>
          <w:gridAfter w:val="1"/>
          <w:wAfter w:w="236" w:type="dxa"/>
          <w:trHeight w:val="797" w:hRule="atLeast"/>
        </w:trPr>
        <w:tc>
          <w:tcPr>
            <w:tcW w:w="6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kern w:val="0"/>
                <w:sz w:val="24"/>
                <w:lang w:val="en-US" w:eastAsia="zh-CN" w:bidi="ar"/>
              </w:rPr>
            </w:pPr>
          </w:p>
        </w:tc>
        <w:tc>
          <w:tcPr>
            <w:tcW w:w="4365" w:type="dxa"/>
            <w:gridSpan w:val="3"/>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攀枝花市成都干部服务中心主要完成以下工作任务：1、承担在蓉攀籍离退休干部的相关服务、接待及维稳工作。2、负责在蓉向曾经在攀工作的干部宣传攀枝花、介绍攀枝花，与他们信息联络畅通，使之进一步为攀枝花建设和发展服务。3、根据小区住户特点,邀请医生开展疾病预防等讲座。4、负责中心及西锦渡小区的固定资产管理。5、协调西锦渡物业做好小区房屋、公共设施的维护保养工作。6、承办领导交办的其它任务。</w:t>
            </w:r>
          </w:p>
        </w:tc>
        <w:tc>
          <w:tcPr>
            <w:tcW w:w="4516"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攀枝花市成都干部服务中心主要完成以下工作任务：1、承担在蓉攀籍离退休干部的相关服务、接待及维稳工作。2、负责在蓉向曾经在攀工作的干部宣传攀枝花、介绍攀枝花，与他们信息联络畅通，使之进一步为攀枝花建设和发展服务。3、根据小区住户特点,邀请医生开展疾病预防等讲座。4、负责中心及西锦渡小区的固定资产管理。5、协调西锦渡物业做好小区房屋、公共设施的维护保养工作。6、承办领导交办的其它任务。</w:t>
            </w:r>
          </w:p>
        </w:tc>
      </w:tr>
      <w:tr>
        <w:tblPrEx>
          <w:tblCellMar>
            <w:top w:w="0" w:type="dxa"/>
            <w:left w:w="108" w:type="dxa"/>
            <w:bottom w:w="0" w:type="dxa"/>
            <w:right w:w="108" w:type="dxa"/>
          </w:tblCellMar>
        </w:tblPrEx>
        <w:trPr>
          <w:gridAfter w:val="1"/>
          <w:wAfter w:w="236" w:type="dxa"/>
          <w:trHeight w:val="693" w:hRule="atLeast"/>
        </w:trPr>
        <w:tc>
          <w:tcPr>
            <w:tcW w:w="694"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kern w:val="0"/>
                <w:sz w:val="24"/>
                <w:lang w:val="en-US" w:eastAsia="zh-CN" w:bidi="ar"/>
              </w:rPr>
            </w:pPr>
          </w:p>
          <w:p>
            <w:pPr>
              <w:widowControl/>
              <w:spacing w:line="320" w:lineRule="exact"/>
              <w:jc w:val="left"/>
              <w:textAlignment w:val="center"/>
              <w:rPr>
                <w:rFonts w:hint="eastAsia" w:ascii="宋体" w:hAnsi="宋体" w:eastAsia="宋体" w:cs="宋体"/>
                <w:kern w:val="0"/>
                <w:sz w:val="24"/>
                <w:lang w:val="en-US" w:eastAsia="zh-CN" w:bidi="ar"/>
              </w:rPr>
            </w:pPr>
          </w:p>
          <w:p>
            <w:pPr>
              <w:widowControl/>
              <w:spacing w:line="320" w:lineRule="exact"/>
              <w:jc w:val="left"/>
              <w:textAlignment w:val="center"/>
              <w:rPr>
                <w:rFonts w:hint="eastAsia" w:ascii="宋体" w:hAnsi="宋体" w:eastAsia="宋体" w:cs="宋体"/>
                <w:kern w:val="0"/>
                <w:sz w:val="24"/>
                <w:lang w:val="en-US" w:eastAsia="zh-CN" w:bidi="ar"/>
              </w:rPr>
            </w:pPr>
          </w:p>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年度绩效指标完成情况</w:t>
            </w:r>
          </w:p>
        </w:tc>
        <w:tc>
          <w:tcPr>
            <w:tcW w:w="855"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一级</w:t>
            </w:r>
          </w:p>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指标</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二级指标</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三级指标</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预期指标值</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实际完成指标值</w:t>
            </w:r>
          </w:p>
        </w:tc>
      </w:tr>
      <w:tr>
        <w:tblPrEx>
          <w:tblCellMar>
            <w:top w:w="0" w:type="dxa"/>
            <w:left w:w="108" w:type="dxa"/>
            <w:bottom w:w="0" w:type="dxa"/>
            <w:right w:w="108" w:type="dxa"/>
          </w:tblCellMar>
        </w:tblPrEx>
        <w:trPr>
          <w:gridAfter w:val="1"/>
          <w:wAfter w:w="236" w:type="dxa"/>
          <w:trHeight w:val="1310" w:hRule="atLeast"/>
        </w:trPr>
        <w:tc>
          <w:tcPr>
            <w:tcW w:w="694" w:type="dxa"/>
            <w:vMerge w:val="continue"/>
            <w:tcBorders>
              <w:left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kern w:val="0"/>
                <w:sz w:val="24"/>
                <w:lang w:val="en-US" w:eastAsia="zh-CN" w:bidi="ar"/>
              </w:rPr>
            </w:pP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完成</w:t>
            </w:r>
          </w:p>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指标</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数量指标</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专项活动费</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配合市级有关单位走访慰问攀籍在蓉离退休老干部，为老同志组织内容丰富的讲座。组织开展各项党组织活动。</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center"/>
              <w:rPr>
                <w:rFonts w:hint="default" w:ascii="宋体" w:hAnsi="宋体" w:eastAsia="宋体" w:cs="宋体"/>
                <w:kern w:val="0"/>
                <w:sz w:val="24"/>
                <w:lang w:val="en-US" w:eastAsia="zh-CN" w:bidi="ar"/>
              </w:rPr>
            </w:pPr>
            <w:r>
              <w:rPr>
                <w:rFonts w:hint="eastAsia" w:ascii="宋体" w:hAnsi="宋体" w:eastAsia="宋体" w:cs="宋体"/>
                <w:kern w:val="0"/>
                <w:sz w:val="24"/>
                <w:lang w:val="en-US" w:eastAsia="zh-CN" w:bidi="ar"/>
              </w:rPr>
              <w:t>100%</w:t>
            </w:r>
          </w:p>
        </w:tc>
      </w:tr>
      <w:tr>
        <w:tblPrEx>
          <w:tblCellMar>
            <w:top w:w="0" w:type="dxa"/>
            <w:left w:w="108" w:type="dxa"/>
            <w:bottom w:w="0" w:type="dxa"/>
            <w:right w:w="108" w:type="dxa"/>
          </w:tblCellMar>
        </w:tblPrEx>
        <w:trPr>
          <w:gridAfter w:val="1"/>
          <w:wAfter w:w="236" w:type="dxa"/>
          <w:trHeight w:val="356" w:hRule="atLeast"/>
        </w:trPr>
        <w:tc>
          <w:tcPr>
            <w:tcW w:w="694" w:type="dxa"/>
            <w:vMerge w:val="continue"/>
            <w:tcBorders>
              <w:left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kern w:val="0"/>
                <w:sz w:val="24"/>
                <w:lang w:val="en-US" w:eastAsia="zh-CN" w:bidi="ar"/>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center"/>
              <w:rPr>
                <w:rFonts w:hint="eastAsia" w:ascii="宋体" w:hAnsi="宋体" w:eastAsia="宋体" w:cs="宋体"/>
                <w:kern w:val="0"/>
                <w:sz w:val="24"/>
                <w:lang w:val="en-US" w:eastAsia="zh-CN" w:bidi="ar"/>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质量指标</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专项活动费</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组织老同志各项有益活动，让他们及时了解国家政策，感受市委市政府对老同志们的关心，为老同志们提供一个思想交流的平台。</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100%</w:t>
            </w:r>
          </w:p>
        </w:tc>
      </w:tr>
      <w:tr>
        <w:tblPrEx>
          <w:tblCellMar>
            <w:top w:w="0" w:type="dxa"/>
            <w:left w:w="108" w:type="dxa"/>
            <w:bottom w:w="0" w:type="dxa"/>
            <w:right w:w="108" w:type="dxa"/>
          </w:tblCellMar>
        </w:tblPrEx>
        <w:trPr>
          <w:gridAfter w:val="1"/>
          <w:wAfter w:w="236" w:type="dxa"/>
          <w:trHeight w:val="416" w:hRule="atLeast"/>
        </w:trPr>
        <w:tc>
          <w:tcPr>
            <w:tcW w:w="694" w:type="dxa"/>
            <w:vMerge w:val="continue"/>
            <w:tcBorders>
              <w:left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kern w:val="0"/>
                <w:sz w:val="24"/>
                <w:lang w:val="en-US" w:eastAsia="zh-CN" w:bidi="ar"/>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center"/>
              <w:rPr>
                <w:rFonts w:hint="eastAsia" w:ascii="宋体" w:hAnsi="宋体" w:eastAsia="宋体" w:cs="宋体"/>
                <w:kern w:val="0"/>
                <w:sz w:val="24"/>
                <w:lang w:val="en-US" w:eastAsia="zh-CN" w:bidi="ar"/>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时效指标</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专项活动费</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center"/>
              <w:rPr>
                <w:rFonts w:hint="default" w:ascii="宋体" w:hAnsi="宋体" w:eastAsia="宋体" w:cs="宋体"/>
                <w:kern w:val="0"/>
                <w:sz w:val="24"/>
                <w:lang w:val="en-US" w:eastAsia="zh-CN" w:bidi="ar"/>
              </w:rPr>
            </w:pPr>
            <w:r>
              <w:rPr>
                <w:rFonts w:hint="eastAsia" w:ascii="宋体" w:hAnsi="宋体" w:eastAsia="宋体" w:cs="宋体"/>
                <w:kern w:val="0"/>
                <w:sz w:val="24"/>
                <w:lang w:val="en-US" w:eastAsia="zh-CN" w:bidi="ar"/>
              </w:rPr>
              <w:t>2021年全年</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100%</w:t>
            </w:r>
          </w:p>
        </w:tc>
      </w:tr>
      <w:tr>
        <w:tblPrEx>
          <w:tblCellMar>
            <w:top w:w="0" w:type="dxa"/>
            <w:left w:w="108" w:type="dxa"/>
            <w:bottom w:w="0" w:type="dxa"/>
            <w:right w:w="108" w:type="dxa"/>
          </w:tblCellMar>
        </w:tblPrEx>
        <w:trPr>
          <w:gridAfter w:val="1"/>
          <w:wAfter w:w="236" w:type="dxa"/>
          <w:trHeight w:val="415" w:hRule="atLeast"/>
        </w:trPr>
        <w:tc>
          <w:tcPr>
            <w:tcW w:w="694" w:type="dxa"/>
            <w:vMerge w:val="continue"/>
            <w:tcBorders>
              <w:left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kern w:val="0"/>
                <w:sz w:val="24"/>
                <w:lang w:val="en-US" w:eastAsia="zh-CN" w:bidi="ar"/>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center"/>
              <w:rPr>
                <w:rFonts w:hint="eastAsia" w:ascii="宋体" w:hAnsi="宋体" w:eastAsia="宋体" w:cs="宋体"/>
                <w:kern w:val="0"/>
                <w:sz w:val="24"/>
                <w:lang w:val="en-US" w:eastAsia="zh-CN" w:bidi="ar"/>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成本指标</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专项活动费</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5万元</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100%</w:t>
            </w:r>
          </w:p>
        </w:tc>
      </w:tr>
      <w:tr>
        <w:tblPrEx>
          <w:tblCellMar>
            <w:top w:w="0" w:type="dxa"/>
            <w:left w:w="108" w:type="dxa"/>
            <w:bottom w:w="0" w:type="dxa"/>
            <w:right w:w="108" w:type="dxa"/>
          </w:tblCellMar>
        </w:tblPrEx>
        <w:trPr>
          <w:gridAfter w:val="1"/>
          <w:wAfter w:w="236" w:type="dxa"/>
          <w:trHeight w:val="1960" w:hRule="atLeast"/>
        </w:trPr>
        <w:tc>
          <w:tcPr>
            <w:tcW w:w="694" w:type="dxa"/>
            <w:vMerge w:val="continue"/>
            <w:tcBorders>
              <w:left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kern w:val="0"/>
                <w:sz w:val="24"/>
                <w:lang w:val="en-US" w:eastAsia="zh-CN" w:bidi="ar"/>
              </w:rPr>
            </w:pP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效益</w:t>
            </w:r>
          </w:p>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指标</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经济效益指标</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专项活动费</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体现组织的关怀、维护社会的稳定。感受到组织对老同志们的关心和照顾。让为攀枝花建设作出贡献的老同志们晚年生活得到保障。安定团结，营造和谐温馨的生活环境。</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100%</w:t>
            </w:r>
          </w:p>
        </w:tc>
      </w:tr>
      <w:tr>
        <w:tblPrEx>
          <w:tblCellMar>
            <w:top w:w="0" w:type="dxa"/>
            <w:left w:w="108" w:type="dxa"/>
            <w:bottom w:w="0" w:type="dxa"/>
            <w:right w:w="108" w:type="dxa"/>
          </w:tblCellMar>
        </w:tblPrEx>
        <w:trPr>
          <w:gridAfter w:val="1"/>
          <w:wAfter w:w="236" w:type="dxa"/>
          <w:trHeight w:val="665" w:hRule="atLeast"/>
        </w:trPr>
        <w:tc>
          <w:tcPr>
            <w:tcW w:w="694" w:type="dxa"/>
            <w:vMerge w:val="continue"/>
            <w:tcBorders>
              <w:left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kern w:val="0"/>
                <w:sz w:val="24"/>
                <w:lang w:val="en-US" w:eastAsia="zh-CN" w:bidi="ar"/>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center"/>
              <w:rPr>
                <w:rFonts w:hint="eastAsia" w:ascii="宋体" w:hAnsi="宋体" w:eastAsia="宋体" w:cs="宋体"/>
                <w:kern w:val="0"/>
                <w:sz w:val="24"/>
                <w:lang w:val="en-US" w:eastAsia="zh-CN" w:bidi="ar"/>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社会效益指标</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专项活动费</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让攀籍在蓉的老同志老有所依。</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100%</w:t>
            </w:r>
          </w:p>
        </w:tc>
      </w:tr>
      <w:tr>
        <w:tblPrEx>
          <w:tblCellMar>
            <w:top w:w="0" w:type="dxa"/>
            <w:left w:w="108" w:type="dxa"/>
            <w:bottom w:w="0" w:type="dxa"/>
            <w:right w:w="108" w:type="dxa"/>
          </w:tblCellMar>
        </w:tblPrEx>
        <w:trPr>
          <w:gridAfter w:val="1"/>
          <w:wAfter w:w="236" w:type="dxa"/>
          <w:trHeight w:val="479" w:hRule="atLeast"/>
        </w:trPr>
        <w:tc>
          <w:tcPr>
            <w:tcW w:w="694" w:type="dxa"/>
            <w:vMerge w:val="continue"/>
            <w:tcBorders>
              <w:left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kern w:val="0"/>
                <w:sz w:val="24"/>
                <w:lang w:val="en-US" w:eastAsia="zh-CN" w:bidi="ar"/>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center"/>
              <w:rPr>
                <w:rFonts w:hint="eastAsia" w:ascii="宋体" w:hAnsi="宋体" w:eastAsia="宋体" w:cs="宋体"/>
                <w:kern w:val="0"/>
                <w:sz w:val="24"/>
                <w:lang w:val="en-US" w:eastAsia="zh-CN" w:bidi="ar"/>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生态效益指标</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专项活动费</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丰富老同志们业余文化生活。</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100%</w:t>
            </w:r>
          </w:p>
        </w:tc>
      </w:tr>
      <w:tr>
        <w:tblPrEx>
          <w:tblCellMar>
            <w:top w:w="0" w:type="dxa"/>
            <w:left w:w="108" w:type="dxa"/>
            <w:bottom w:w="0" w:type="dxa"/>
            <w:right w:w="108" w:type="dxa"/>
          </w:tblCellMar>
        </w:tblPrEx>
        <w:trPr>
          <w:gridAfter w:val="1"/>
          <w:wAfter w:w="236" w:type="dxa"/>
          <w:trHeight w:val="1014" w:hRule="atLeast"/>
        </w:trPr>
        <w:tc>
          <w:tcPr>
            <w:tcW w:w="694" w:type="dxa"/>
            <w:vMerge w:val="continue"/>
            <w:tcBorders>
              <w:left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kern w:val="0"/>
                <w:sz w:val="24"/>
                <w:lang w:val="en-US" w:eastAsia="zh-CN" w:bidi="ar"/>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center"/>
              <w:rPr>
                <w:rFonts w:hint="eastAsia" w:ascii="宋体" w:hAnsi="宋体" w:eastAsia="宋体" w:cs="宋体"/>
                <w:kern w:val="0"/>
                <w:sz w:val="24"/>
                <w:lang w:val="en-US" w:eastAsia="zh-CN" w:bidi="ar"/>
              </w:rPr>
            </w:pP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可持续影响指标</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专项活动费</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让老同志感受党的温暖，市委市政府的关心，继续为攀枝花的发展献计献策。</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100%</w:t>
            </w:r>
          </w:p>
        </w:tc>
      </w:tr>
      <w:tr>
        <w:tblPrEx>
          <w:tblCellMar>
            <w:top w:w="0" w:type="dxa"/>
            <w:left w:w="108" w:type="dxa"/>
            <w:bottom w:w="0" w:type="dxa"/>
            <w:right w:w="108" w:type="dxa"/>
          </w:tblCellMar>
        </w:tblPrEx>
        <w:trPr>
          <w:gridAfter w:val="1"/>
          <w:wAfter w:w="236" w:type="dxa"/>
          <w:trHeight w:val="840" w:hRule="atLeast"/>
        </w:trPr>
        <w:tc>
          <w:tcPr>
            <w:tcW w:w="694"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kern w:val="0"/>
                <w:sz w:val="24"/>
                <w:lang w:val="en-US" w:eastAsia="zh-CN" w:bidi="ar"/>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满意</w:t>
            </w:r>
          </w:p>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度指标</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center"/>
              <w:rPr>
                <w:rFonts w:hint="default" w:ascii="宋体" w:hAnsi="宋体" w:eastAsia="宋体" w:cs="宋体"/>
                <w:kern w:val="0"/>
                <w:sz w:val="24"/>
                <w:lang w:val="en-US" w:eastAsia="zh-CN" w:bidi="ar"/>
              </w:rPr>
            </w:pPr>
            <w:r>
              <w:rPr>
                <w:rFonts w:hint="eastAsia" w:ascii="宋体" w:hAnsi="宋体" w:eastAsia="宋体" w:cs="宋体"/>
                <w:kern w:val="0"/>
                <w:sz w:val="24"/>
                <w:lang w:val="en-US" w:eastAsia="zh-CN" w:bidi="ar"/>
              </w:rPr>
              <w:t>满意度指标</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专项活动费</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老同志们对组织的各项活动积极踊跃参加。</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center"/>
              <w:rPr>
                <w:rFonts w:hint="eastAsia" w:ascii="宋体" w:hAnsi="宋体" w:eastAsia="宋体" w:cs="宋体"/>
                <w:kern w:val="0"/>
                <w:sz w:val="24"/>
                <w:lang w:val="en-US" w:eastAsia="zh-CN" w:bidi="ar"/>
              </w:rPr>
            </w:pPr>
            <w:r>
              <w:rPr>
                <w:rFonts w:hint="eastAsia" w:ascii="宋体" w:hAnsi="宋体" w:eastAsia="宋体" w:cs="宋体"/>
                <w:kern w:val="0"/>
                <w:sz w:val="24"/>
                <w:lang w:val="en-US" w:eastAsia="zh-CN" w:bidi="ar"/>
              </w:rPr>
              <w:t>100%</w:t>
            </w:r>
          </w:p>
        </w:tc>
      </w:tr>
    </w:tbl>
    <w:p>
      <w:pPr>
        <w:widowControl/>
        <w:spacing w:line="320" w:lineRule="exact"/>
        <w:jc w:val="left"/>
        <w:textAlignment w:val="center"/>
        <w:rPr>
          <w:rFonts w:hint="eastAsia" w:ascii="宋体" w:hAnsi="宋体" w:eastAsia="宋体" w:cs="宋体"/>
          <w:kern w:val="0"/>
          <w:sz w:val="24"/>
          <w:lang w:val="zh-CN" w:eastAsia="zh-CN" w:bidi="ar"/>
        </w:rPr>
      </w:pPr>
    </w:p>
    <w:p>
      <w:pPr>
        <w:spacing w:line="580" w:lineRule="exact"/>
        <w:rPr>
          <w:rStyle w:val="24"/>
          <w:rFonts w:ascii="黑体" w:hAnsi="黑体" w:eastAsia="黑体"/>
          <w:b w:val="0"/>
        </w:rPr>
      </w:pPr>
    </w:p>
    <w:p>
      <w:pPr>
        <w:widowControl/>
        <w:jc w:val="left"/>
        <w:rPr>
          <w:rStyle w:val="24"/>
          <w:rFonts w:ascii="黑体" w:hAnsi="黑体" w:eastAsia="黑体"/>
          <w:b w:val="0"/>
        </w:rPr>
      </w:pPr>
      <w:r>
        <w:rPr>
          <w:rStyle w:val="24"/>
          <w:rFonts w:ascii="黑体" w:hAnsi="黑体" w:eastAsia="黑体"/>
          <w:b w:val="0"/>
        </w:rPr>
        <w:br w:type="page"/>
      </w:r>
      <w:bookmarkStart w:id="68" w:name="_GoBack"/>
      <w:bookmarkEnd w:id="68"/>
    </w:p>
    <w:p>
      <w:pPr>
        <w:spacing w:line="600" w:lineRule="exact"/>
        <w:jc w:val="center"/>
        <w:outlineLvl w:val="0"/>
        <w:rPr>
          <w:rFonts w:ascii="仿宋" w:hAnsi="仿宋" w:eastAsia="仿宋"/>
        </w:rPr>
      </w:pPr>
      <w:bookmarkStart w:id="54" w:name="_Toc15396618"/>
      <w:r>
        <w:rPr>
          <w:rFonts w:hint="eastAsia" w:ascii="黑体" w:hAnsi="黑体" w:eastAsia="黑体"/>
          <w:sz w:val="44"/>
          <w:szCs w:val="44"/>
        </w:rPr>
        <w:t>第</w:t>
      </w:r>
      <w:r>
        <w:rPr>
          <w:rStyle w:val="24"/>
          <w:rFonts w:hint="eastAsia" w:ascii="黑体" w:hAnsi="黑体" w:eastAsia="黑体"/>
          <w:b w:val="0"/>
        </w:rPr>
        <w:t>五部分 附表</w:t>
      </w:r>
      <w:bookmarkEnd w:id="52"/>
      <w:bookmarkEnd w:id="54"/>
      <w:bookmarkStart w:id="55" w:name="_Toc15396619"/>
    </w:p>
    <w:p>
      <w:pPr>
        <w:pStyle w:val="4"/>
        <w:rPr>
          <w:rFonts w:ascii="仿宋" w:hAnsi="仿宋" w:eastAsia="仿宋"/>
        </w:rPr>
      </w:pPr>
      <w:r>
        <w:rPr>
          <w:rFonts w:hint="eastAsia" w:ascii="仿宋" w:hAnsi="仿宋" w:eastAsia="仿宋"/>
          <w:b w:val="0"/>
        </w:rPr>
        <w:t>一、收</w:t>
      </w:r>
      <w:r>
        <w:rPr>
          <w:rStyle w:val="25"/>
          <w:rFonts w:hint="eastAsia" w:ascii="仿宋" w:hAnsi="仿宋" w:eastAsia="仿宋"/>
          <w:b w:val="0"/>
          <w:bCs w:val="0"/>
        </w:rPr>
        <w:t>入支出决算总表</w:t>
      </w:r>
      <w:bookmarkEnd w:id="55"/>
    </w:p>
    <w:p>
      <w:pPr>
        <w:pStyle w:val="4"/>
        <w:rPr>
          <w:rFonts w:ascii="仿宋" w:hAnsi="仿宋" w:eastAsia="仿宋"/>
        </w:rPr>
      </w:pPr>
      <w:bookmarkStart w:id="56" w:name="_Toc15396620"/>
      <w:r>
        <w:rPr>
          <w:rFonts w:hint="eastAsia" w:ascii="仿宋" w:hAnsi="仿宋" w:eastAsia="仿宋"/>
          <w:b w:val="0"/>
        </w:rPr>
        <w:t>二、收</w:t>
      </w:r>
      <w:r>
        <w:rPr>
          <w:rStyle w:val="25"/>
          <w:rFonts w:hint="eastAsia" w:ascii="仿宋" w:hAnsi="仿宋" w:eastAsia="仿宋"/>
          <w:b w:val="0"/>
          <w:bCs w:val="0"/>
        </w:rPr>
        <w:t>入决算表</w:t>
      </w:r>
      <w:bookmarkEnd w:id="56"/>
    </w:p>
    <w:p>
      <w:pPr>
        <w:pStyle w:val="4"/>
        <w:rPr>
          <w:rFonts w:ascii="仿宋" w:hAnsi="仿宋" w:eastAsia="仿宋"/>
        </w:rPr>
      </w:pPr>
      <w:bookmarkStart w:id="57" w:name="_Toc15396621"/>
      <w:r>
        <w:rPr>
          <w:rStyle w:val="25"/>
          <w:rFonts w:hint="eastAsia" w:ascii="仿宋" w:hAnsi="仿宋" w:eastAsia="仿宋"/>
          <w:b w:val="0"/>
          <w:bCs w:val="0"/>
        </w:rPr>
        <w:t>三、</w:t>
      </w:r>
      <w:r>
        <w:rPr>
          <w:rFonts w:hint="eastAsia" w:ascii="仿宋" w:hAnsi="仿宋" w:eastAsia="仿宋"/>
          <w:b w:val="0"/>
        </w:rPr>
        <w:t>支</w:t>
      </w:r>
      <w:r>
        <w:rPr>
          <w:rStyle w:val="25"/>
          <w:rFonts w:hint="eastAsia" w:ascii="仿宋" w:hAnsi="仿宋" w:eastAsia="仿宋"/>
          <w:b w:val="0"/>
          <w:bCs w:val="0"/>
        </w:rPr>
        <w:t>出决算表</w:t>
      </w:r>
      <w:bookmarkEnd w:id="57"/>
    </w:p>
    <w:p>
      <w:pPr>
        <w:pStyle w:val="4"/>
        <w:rPr>
          <w:rFonts w:ascii="仿宋" w:hAnsi="仿宋" w:eastAsia="仿宋"/>
          <w:b w:val="0"/>
        </w:rPr>
      </w:pPr>
      <w:bookmarkStart w:id="58" w:name="_Toc15396622"/>
      <w:r>
        <w:rPr>
          <w:rStyle w:val="25"/>
          <w:rFonts w:hint="eastAsia" w:ascii="仿宋" w:hAnsi="仿宋" w:eastAsia="仿宋"/>
          <w:b w:val="0"/>
          <w:bCs w:val="0"/>
        </w:rPr>
        <w:t>四、</w:t>
      </w:r>
      <w:r>
        <w:rPr>
          <w:rFonts w:hint="eastAsia" w:ascii="仿宋" w:hAnsi="仿宋" w:eastAsia="仿宋"/>
          <w:b w:val="0"/>
        </w:rPr>
        <w:t>财</w:t>
      </w:r>
      <w:r>
        <w:rPr>
          <w:rStyle w:val="25"/>
          <w:rFonts w:hint="eastAsia" w:ascii="仿宋" w:hAnsi="仿宋" w:eastAsia="仿宋"/>
          <w:b w:val="0"/>
          <w:bCs w:val="0"/>
        </w:rPr>
        <w:t>政拨款收入支出决算总表</w:t>
      </w:r>
      <w:bookmarkEnd w:id="58"/>
    </w:p>
    <w:p>
      <w:pPr>
        <w:pStyle w:val="4"/>
        <w:rPr>
          <w:rStyle w:val="25"/>
          <w:rFonts w:ascii="仿宋" w:hAnsi="仿宋" w:eastAsia="仿宋"/>
          <w:b w:val="0"/>
          <w:bCs w:val="0"/>
        </w:rPr>
      </w:pPr>
      <w:bookmarkStart w:id="59" w:name="_Toc15396623"/>
      <w:r>
        <w:rPr>
          <w:rStyle w:val="25"/>
          <w:rFonts w:hint="eastAsia" w:ascii="仿宋" w:hAnsi="仿宋" w:eastAsia="仿宋"/>
          <w:b w:val="0"/>
          <w:bCs w:val="0"/>
        </w:rPr>
        <w:t>五、</w:t>
      </w:r>
      <w:r>
        <w:rPr>
          <w:rFonts w:hint="eastAsia" w:ascii="仿宋" w:hAnsi="仿宋" w:eastAsia="仿宋"/>
          <w:b w:val="0"/>
        </w:rPr>
        <w:t>财</w:t>
      </w:r>
      <w:r>
        <w:rPr>
          <w:rStyle w:val="25"/>
          <w:rFonts w:hint="eastAsia" w:ascii="仿宋" w:hAnsi="仿宋" w:eastAsia="仿宋"/>
          <w:b w:val="0"/>
          <w:bCs w:val="0"/>
        </w:rPr>
        <w:t>政拨款支出决算明细表</w:t>
      </w:r>
      <w:bookmarkEnd w:id="59"/>
      <w:bookmarkStart w:id="60" w:name="_Toc15396624"/>
    </w:p>
    <w:p>
      <w:pPr>
        <w:pStyle w:val="4"/>
        <w:rPr>
          <w:rFonts w:ascii="仿宋" w:hAnsi="仿宋" w:eastAsia="仿宋"/>
        </w:rPr>
      </w:pPr>
      <w:r>
        <w:rPr>
          <w:rStyle w:val="25"/>
          <w:rFonts w:hint="eastAsia" w:ascii="仿宋" w:hAnsi="仿宋" w:eastAsia="仿宋"/>
          <w:b w:val="0"/>
          <w:bCs w:val="0"/>
        </w:rPr>
        <w:t>六、</w:t>
      </w:r>
      <w:r>
        <w:rPr>
          <w:rFonts w:hint="eastAsia" w:ascii="仿宋" w:hAnsi="仿宋" w:eastAsia="仿宋"/>
          <w:b w:val="0"/>
        </w:rPr>
        <w:t>一</w:t>
      </w:r>
      <w:r>
        <w:rPr>
          <w:rStyle w:val="25"/>
          <w:rFonts w:hint="eastAsia" w:ascii="仿宋" w:hAnsi="仿宋" w:eastAsia="仿宋"/>
          <w:b w:val="0"/>
          <w:bCs w:val="0"/>
        </w:rPr>
        <w:t>般公共预算财政拨款支出决算表</w:t>
      </w:r>
      <w:bookmarkEnd w:id="60"/>
    </w:p>
    <w:p>
      <w:pPr>
        <w:pStyle w:val="4"/>
        <w:rPr>
          <w:rFonts w:ascii="仿宋" w:hAnsi="仿宋" w:eastAsia="仿宋"/>
        </w:rPr>
      </w:pPr>
      <w:bookmarkStart w:id="61" w:name="_Toc15396625"/>
      <w:r>
        <w:rPr>
          <w:rStyle w:val="25"/>
          <w:rFonts w:hint="eastAsia" w:ascii="仿宋" w:hAnsi="仿宋" w:eastAsia="仿宋"/>
          <w:b w:val="0"/>
          <w:bCs w:val="0"/>
        </w:rPr>
        <w:t>七、</w:t>
      </w:r>
      <w:r>
        <w:rPr>
          <w:rFonts w:hint="eastAsia" w:ascii="仿宋" w:hAnsi="仿宋" w:eastAsia="仿宋"/>
          <w:b w:val="0"/>
        </w:rPr>
        <w:t>一</w:t>
      </w:r>
      <w:r>
        <w:rPr>
          <w:rStyle w:val="25"/>
          <w:rFonts w:hint="eastAsia" w:ascii="仿宋" w:hAnsi="仿宋" w:eastAsia="仿宋"/>
          <w:b w:val="0"/>
          <w:bCs w:val="0"/>
        </w:rPr>
        <w:t>般公共预算财政拨款支出决算明细表</w:t>
      </w:r>
      <w:bookmarkEnd w:id="61"/>
    </w:p>
    <w:p>
      <w:pPr>
        <w:pStyle w:val="4"/>
        <w:rPr>
          <w:rFonts w:ascii="仿宋" w:hAnsi="仿宋" w:eastAsia="仿宋"/>
        </w:rPr>
      </w:pPr>
      <w:bookmarkStart w:id="62" w:name="_Toc15396626"/>
      <w:r>
        <w:rPr>
          <w:rStyle w:val="25"/>
          <w:rFonts w:hint="eastAsia" w:ascii="仿宋" w:hAnsi="仿宋" w:eastAsia="仿宋"/>
          <w:b w:val="0"/>
          <w:bCs w:val="0"/>
        </w:rPr>
        <w:t>八、</w:t>
      </w:r>
      <w:r>
        <w:rPr>
          <w:rFonts w:hint="eastAsia" w:ascii="仿宋" w:hAnsi="仿宋" w:eastAsia="仿宋"/>
          <w:b w:val="0"/>
        </w:rPr>
        <w:t>一</w:t>
      </w:r>
      <w:r>
        <w:rPr>
          <w:rStyle w:val="25"/>
          <w:rFonts w:hint="eastAsia" w:ascii="仿宋" w:hAnsi="仿宋" w:eastAsia="仿宋"/>
          <w:b w:val="0"/>
          <w:bCs w:val="0"/>
        </w:rPr>
        <w:t>般公共预算财政拨款基本支出决算表</w:t>
      </w:r>
      <w:bookmarkEnd w:id="62"/>
    </w:p>
    <w:p>
      <w:pPr>
        <w:pStyle w:val="4"/>
        <w:rPr>
          <w:rFonts w:ascii="仿宋" w:hAnsi="仿宋" w:eastAsia="仿宋"/>
        </w:rPr>
      </w:pPr>
      <w:bookmarkStart w:id="63" w:name="_Toc15396627"/>
      <w:r>
        <w:rPr>
          <w:rStyle w:val="25"/>
          <w:rFonts w:hint="eastAsia" w:ascii="仿宋" w:hAnsi="仿宋" w:eastAsia="仿宋"/>
          <w:b w:val="0"/>
          <w:bCs w:val="0"/>
        </w:rPr>
        <w:t>九、</w:t>
      </w:r>
      <w:r>
        <w:rPr>
          <w:rFonts w:hint="eastAsia" w:ascii="仿宋" w:hAnsi="仿宋" w:eastAsia="仿宋"/>
          <w:b w:val="0"/>
        </w:rPr>
        <w:t>一</w:t>
      </w:r>
      <w:r>
        <w:rPr>
          <w:rStyle w:val="25"/>
          <w:rFonts w:hint="eastAsia" w:ascii="仿宋" w:hAnsi="仿宋" w:eastAsia="仿宋"/>
          <w:b w:val="0"/>
          <w:bCs w:val="0"/>
        </w:rPr>
        <w:t>般公共预算财政拨款项目支出决算表</w:t>
      </w:r>
      <w:bookmarkEnd w:id="63"/>
    </w:p>
    <w:p>
      <w:pPr>
        <w:pStyle w:val="4"/>
        <w:rPr>
          <w:rFonts w:ascii="仿宋" w:hAnsi="仿宋" w:eastAsia="仿宋"/>
        </w:rPr>
      </w:pPr>
      <w:bookmarkStart w:id="64" w:name="_Toc15396628"/>
      <w:r>
        <w:rPr>
          <w:rStyle w:val="25"/>
          <w:rFonts w:hint="eastAsia" w:ascii="仿宋" w:hAnsi="仿宋" w:eastAsia="仿宋"/>
          <w:b w:val="0"/>
          <w:bCs w:val="0"/>
        </w:rPr>
        <w:t>十、</w:t>
      </w:r>
      <w:r>
        <w:rPr>
          <w:rFonts w:hint="eastAsia" w:ascii="仿宋" w:hAnsi="仿宋" w:eastAsia="仿宋"/>
          <w:b w:val="0"/>
        </w:rPr>
        <w:t>一</w:t>
      </w:r>
      <w:r>
        <w:rPr>
          <w:rStyle w:val="25"/>
          <w:rFonts w:hint="eastAsia" w:ascii="仿宋" w:hAnsi="仿宋" w:eastAsia="仿宋"/>
          <w:b w:val="0"/>
          <w:bCs w:val="0"/>
        </w:rPr>
        <w:t>般公共预算财政拨款“三公”经费支出决算表</w:t>
      </w:r>
      <w:bookmarkEnd w:id="64"/>
    </w:p>
    <w:p>
      <w:pPr>
        <w:pStyle w:val="4"/>
        <w:rPr>
          <w:rFonts w:ascii="仿宋" w:hAnsi="仿宋" w:eastAsia="仿宋"/>
        </w:rPr>
      </w:pPr>
      <w:bookmarkStart w:id="65" w:name="_Toc15396629"/>
      <w:r>
        <w:rPr>
          <w:rStyle w:val="25"/>
          <w:rFonts w:hint="eastAsia" w:ascii="仿宋" w:hAnsi="仿宋" w:eastAsia="仿宋"/>
          <w:b w:val="0"/>
          <w:bCs w:val="0"/>
        </w:rPr>
        <w:t>十一、</w:t>
      </w:r>
      <w:r>
        <w:rPr>
          <w:rFonts w:hint="eastAsia" w:ascii="仿宋" w:hAnsi="仿宋" w:eastAsia="仿宋"/>
          <w:b w:val="0"/>
        </w:rPr>
        <w:t>政</w:t>
      </w:r>
      <w:r>
        <w:rPr>
          <w:rStyle w:val="25"/>
          <w:rFonts w:hint="eastAsia" w:ascii="仿宋" w:hAnsi="仿宋" w:eastAsia="仿宋"/>
          <w:b w:val="0"/>
          <w:bCs w:val="0"/>
        </w:rPr>
        <w:t>府性基金预算财政拨款收入支出决算表</w:t>
      </w:r>
      <w:bookmarkEnd w:id="65"/>
    </w:p>
    <w:p>
      <w:pPr>
        <w:pStyle w:val="4"/>
        <w:rPr>
          <w:rFonts w:ascii="仿宋" w:hAnsi="仿宋" w:eastAsia="仿宋"/>
        </w:rPr>
      </w:pPr>
      <w:bookmarkStart w:id="66" w:name="_Toc15396630"/>
      <w:r>
        <w:rPr>
          <w:rStyle w:val="25"/>
          <w:rFonts w:hint="eastAsia" w:ascii="仿宋" w:hAnsi="仿宋" w:eastAsia="仿宋"/>
          <w:b w:val="0"/>
          <w:bCs w:val="0"/>
        </w:rPr>
        <w:t>十二、</w:t>
      </w:r>
      <w:r>
        <w:rPr>
          <w:rFonts w:hint="eastAsia" w:ascii="仿宋" w:hAnsi="仿宋" w:eastAsia="仿宋"/>
          <w:b w:val="0"/>
        </w:rPr>
        <w:t>政</w:t>
      </w:r>
      <w:r>
        <w:rPr>
          <w:rStyle w:val="25"/>
          <w:rFonts w:hint="eastAsia" w:ascii="仿宋" w:hAnsi="仿宋" w:eastAsia="仿宋"/>
          <w:b w:val="0"/>
          <w:bCs w:val="0"/>
        </w:rPr>
        <w:t>府性基金预算财政拨款“三公”经费支出决算表</w:t>
      </w:r>
      <w:bookmarkEnd w:id="66"/>
    </w:p>
    <w:p>
      <w:pPr>
        <w:pStyle w:val="4"/>
        <w:rPr>
          <w:rStyle w:val="25"/>
          <w:rFonts w:ascii="仿宋" w:hAnsi="仿宋" w:eastAsia="仿宋"/>
          <w:b w:val="0"/>
          <w:bCs w:val="0"/>
        </w:rPr>
      </w:pPr>
      <w:bookmarkStart w:id="67" w:name="_Toc15396631"/>
      <w:r>
        <w:rPr>
          <w:rStyle w:val="25"/>
          <w:rFonts w:hint="eastAsia" w:ascii="仿宋" w:hAnsi="仿宋" w:eastAsia="仿宋"/>
          <w:b w:val="0"/>
          <w:bCs w:val="0"/>
        </w:rPr>
        <w:t>十三、</w:t>
      </w:r>
      <w:r>
        <w:rPr>
          <w:rFonts w:hint="eastAsia" w:ascii="仿宋" w:hAnsi="仿宋" w:eastAsia="仿宋"/>
          <w:b w:val="0"/>
        </w:rPr>
        <w:t>国</w:t>
      </w:r>
      <w:r>
        <w:rPr>
          <w:rStyle w:val="25"/>
          <w:rFonts w:hint="eastAsia" w:ascii="仿宋" w:hAnsi="仿宋" w:eastAsia="仿宋"/>
          <w:b w:val="0"/>
          <w:bCs w:val="0"/>
        </w:rPr>
        <w:t>有资本经营预算财政拨款收入支出决算表</w:t>
      </w:r>
      <w:bookmarkEnd w:id="67"/>
    </w:p>
    <w:p>
      <w:pPr>
        <w:rPr>
          <w:rFonts w:eastAsia="仿宋"/>
        </w:rPr>
      </w:pPr>
      <w:r>
        <w:rPr>
          <w:rStyle w:val="25"/>
          <w:rFonts w:hint="eastAsia" w:ascii="仿宋" w:hAnsi="仿宋" w:eastAsia="仿宋"/>
          <w:b w:val="0"/>
          <w:bCs w:val="0"/>
        </w:rPr>
        <w:t>十四、国有资本经营预算财政拨款支出决算表</w:t>
      </w: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58ED9FD-51A7-47A0-B296-C17248DB93C6}"/>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615EF218-4DCA-46A2-8120-28B6C2C0F24B}"/>
  </w:font>
  <w:font w:name="Cambria">
    <w:panose1 w:val="02040503050406030204"/>
    <w:charset w:val="00"/>
    <w:family w:val="roman"/>
    <w:pitch w:val="default"/>
    <w:sig w:usb0="E00002FF" w:usb1="400004FF" w:usb2="00000000" w:usb3="00000000" w:csb0="2000019F" w:csb1="00000000"/>
    <w:embedRegular r:id="rId3" w:fontKey="{D09580FA-0799-445B-9281-A5976F23265D}"/>
  </w:font>
  <w:font w:name="仿宋_GB2312">
    <w:panose1 w:val="02010609030101010101"/>
    <w:charset w:val="86"/>
    <w:family w:val="modern"/>
    <w:pitch w:val="default"/>
    <w:sig w:usb0="00000001" w:usb1="080E0000" w:usb2="00000000" w:usb3="00000000" w:csb0="00040000" w:csb1="00000000"/>
    <w:embedRegular r:id="rId4" w:fontKey="{A9095183-B2B3-4432-B91A-568AC26A1536}"/>
  </w:font>
  <w:font w:name="仿宋">
    <w:panose1 w:val="02010609060101010101"/>
    <w:charset w:val="86"/>
    <w:family w:val="auto"/>
    <w:pitch w:val="default"/>
    <w:sig w:usb0="800002BF" w:usb1="38CF7CFA" w:usb2="00000016" w:usb3="00000000" w:csb0="00040001" w:csb1="00000000"/>
    <w:embedRegular r:id="rId5" w:fontKey="{5FEA6847-9261-45DC-831F-E16920E2299C}"/>
  </w:font>
  <w:font w:name="方正小标宋简体">
    <w:panose1 w:val="02000000000000000000"/>
    <w:charset w:val="86"/>
    <w:family w:val="script"/>
    <w:pitch w:val="default"/>
    <w:sig w:usb0="00000001" w:usb1="08000000" w:usb2="00000000" w:usb3="00000000" w:csb0="00040000" w:csb1="00000000"/>
    <w:embedRegular r:id="rId6" w:fontKey="{416390BB-4366-410B-9836-339CB1F57519}"/>
  </w:font>
  <w:font w:name="微软雅黑">
    <w:panose1 w:val="020B0503020204020204"/>
    <w:charset w:val="86"/>
    <w:family w:val="auto"/>
    <w:pitch w:val="default"/>
    <w:sig w:usb0="80000287" w:usb1="280F3C52" w:usb2="00000016" w:usb3="00000000" w:csb0="0004001F" w:csb1="00000000"/>
  </w:font>
  <w:font w:name="汉仪旗黑-55简">
    <w:altName w:val="黑体"/>
    <w:panose1 w:val="00020600040101010101"/>
    <w:charset w:val="80"/>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embedRegular r:id="rId7" w:fontKey="{20360B73-0CE5-4D57-9C52-D5E39ECA03F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8"/>
          <w:jc w:val="center"/>
        </w:pPr>
        <w:r>
          <w:fldChar w:fldCharType="begin"/>
        </w:r>
        <w:r>
          <w:instrText xml:space="preserve">PAGE   \* MERGEFORMAT</w:instrText>
        </w:r>
        <w:r>
          <w:fldChar w:fldCharType="separate"/>
        </w:r>
        <w:r>
          <w:rPr>
            <w:lang w:val="zh-CN"/>
          </w:rPr>
          <w:t>21</w:t>
        </w:r>
        <w:r>
          <w:fldChar w:fldCharType="end"/>
        </w:r>
      </w:p>
    </w:sdtContent>
  </w:sdt>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5B838742"/>
    <w:multiLevelType w:val="singleLevel"/>
    <w:tmpl w:val="5B838742"/>
    <w:lvl w:ilvl="0" w:tentative="0">
      <w:start w:val="2"/>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RhMmM3NzBmMmEwYWNkNWE5YmY0NjNiNWY0OTNkZTE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40E"/>
    <w:rsid w:val="00B77EA6"/>
    <w:rsid w:val="00B81598"/>
    <w:rsid w:val="00B841F1"/>
    <w:rsid w:val="00B944D6"/>
    <w:rsid w:val="00BA60E4"/>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A2658"/>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3C12EB7"/>
    <w:rsid w:val="04A2495F"/>
    <w:rsid w:val="066E0107"/>
    <w:rsid w:val="06F4459D"/>
    <w:rsid w:val="07390F31"/>
    <w:rsid w:val="07996F6E"/>
    <w:rsid w:val="0A2032A3"/>
    <w:rsid w:val="0F472575"/>
    <w:rsid w:val="0FC44752"/>
    <w:rsid w:val="101860EC"/>
    <w:rsid w:val="10C055FF"/>
    <w:rsid w:val="118107EC"/>
    <w:rsid w:val="13D50BC4"/>
    <w:rsid w:val="14A81E98"/>
    <w:rsid w:val="16BB723D"/>
    <w:rsid w:val="1BE8440E"/>
    <w:rsid w:val="1CF82F39"/>
    <w:rsid w:val="1D155CEE"/>
    <w:rsid w:val="1EF83A1C"/>
    <w:rsid w:val="20B238FC"/>
    <w:rsid w:val="23860B96"/>
    <w:rsid w:val="240371BF"/>
    <w:rsid w:val="29FD04D3"/>
    <w:rsid w:val="2C8A61B5"/>
    <w:rsid w:val="2DD753D8"/>
    <w:rsid w:val="2DF04E50"/>
    <w:rsid w:val="319F7F4E"/>
    <w:rsid w:val="33AB6E58"/>
    <w:rsid w:val="36AA5135"/>
    <w:rsid w:val="36D44917"/>
    <w:rsid w:val="37E16F03"/>
    <w:rsid w:val="38A92F5D"/>
    <w:rsid w:val="3BCB4085"/>
    <w:rsid w:val="3CE138EA"/>
    <w:rsid w:val="3D98207C"/>
    <w:rsid w:val="437E6BEA"/>
    <w:rsid w:val="44E268DA"/>
    <w:rsid w:val="452E73A2"/>
    <w:rsid w:val="47426DD2"/>
    <w:rsid w:val="4A627F82"/>
    <w:rsid w:val="4AFC21FC"/>
    <w:rsid w:val="4B4F25DA"/>
    <w:rsid w:val="4BE068DB"/>
    <w:rsid w:val="4D577224"/>
    <w:rsid w:val="4EAB630A"/>
    <w:rsid w:val="4ECE2238"/>
    <w:rsid w:val="534722A1"/>
    <w:rsid w:val="5630526E"/>
    <w:rsid w:val="574F2280"/>
    <w:rsid w:val="5AF92295"/>
    <w:rsid w:val="5CD71FC4"/>
    <w:rsid w:val="5DAA402A"/>
    <w:rsid w:val="5FB213EA"/>
    <w:rsid w:val="5FE570CA"/>
    <w:rsid w:val="64E8176F"/>
    <w:rsid w:val="66DA14A2"/>
    <w:rsid w:val="6A197F30"/>
    <w:rsid w:val="6AEB651C"/>
    <w:rsid w:val="6C4A05C8"/>
    <w:rsid w:val="6E7E3605"/>
    <w:rsid w:val="6FF5CC65"/>
    <w:rsid w:val="712C6919"/>
    <w:rsid w:val="715C0E4B"/>
    <w:rsid w:val="72734D90"/>
    <w:rsid w:val="73AD73D5"/>
    <w:rsid w:val="73B6EB34"/>
    <w:rsid w:val="759F78C3"/>
    <w:rsid w:val="79EE5BA4"/>
    <w:rsid w:val="7A894339"/>
    <w:rsid w:val="7EEF11D3"/>
    <w:rsid w:val="7F651B7D"/>
    <w:rsid w:val="7FA30C79"/>
    <w:rsid w:val="7FC96657"/>
    <w:rsid w:val="D8D6DB89"/>
    <w:rsid w:val="DB6F4CAB"/>
    <w:rsid w:val="DF6F978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4"/>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5"/>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8"/>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1"/>
    <w:qFormat/>
    <w:uiPriority w:val="99"/>
    <w:pPr>
      <w:spacing w:beforeLines="30"/>
    </w:pPr>
    <w:rPr>
      <w:rFonts w:ascii="仿宋_GB2312" w:eastAsia="仿宋_GB2312"/>
      <w:kern w:val="0"/>
      <w:sz w:val="30"/>
    </w:rPr>
  </w:style>
  <w:style w:type="paragraph" w:styleId="6">
    <w:name w:val="toc 3"/>
    <w:basedOn w:val="1"/>
    <w:next w:val="1"/>
    <w:unhideWhenUsed/>
    <w:qFormat/>
    <w:uiPriority w:val="39"/>
    <w:pPr>
      <w:tabs>
        <w:tab w:val="right" w:leader="dot" w:pos="8296"/>
      </w:tabs>
      <w:ind w:left="840" w:leftChars="400"/>
    </w:pPr>
  </w:style>
  <w:style w:type="paragraph" w:styleId="7">
    <w:name w:val="Balloon Text"/>
    <w:basedOn w:val="1"/>
    <w:link w:val="27"/>
    <w:semiHidden/>
    <w:unhideWhenUsed/>
    <w:qFormat/>
    <w:uiPriority w:val="99"/>
    <w:rPr>
      <w:sz w:val="18"/>
      <w:szCs w:val="18"/>
    </w:rPr>
  </w:style>
  <w:style w:type="paragraph" w:styleId="8">
    <w:name w:val="footer"/>
    <w:basedOn w:val="1"/>
    <w:link w:val="19"/>
    <w:qFormat/>
    <w:uiPriority w:val="99"/>
    <w:pPr>
      <w:tabs>
        <w:tab w:val="center" w:pos="4153"/>
        <w:tab w:val="right" w:pos="8306"/>
      </w:tabs>
      <w:snapToGrid w:val="0"/>
      <w:jc w:val="left"/>
    </w:pPr>
    <w:rPr>
      <w:rFonts w:ascii="Calibri" w:hAnsi="Calibri"/>
      <w:kern w:val="0"/>
      <w:sz w:val="18"/>
      <w:szCs w:val="18"/>
    </w:rPr>
  </w:style>
  <w:style w:type="paragraph" w:styleId="9">
    <w:name w:val="header"/>
    <w:basedOn w:val="1"/>
    <w:link w:val="17"/>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0">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1">
    <w:name w:val="toc 2"/>
    <w:basedOn w:val="1"/>
    <w:next w:val="1"/>
    <w:unhideWhenUsed/>
    <w:qFormat/>
    <w:uiPriority w:val="39"/>
    <w:pPr>
      <w:tabs>
        <w:tab w:val="right" w:leader="dot" w:pos="8296"/>
      </w:tabs>
      <w:ind w:left="420" w:leftChars="200"/>
    </w:pPr>
  </w:style>
  <w:style w:type="character" w:styleId="14">
    <w:name w:val="Strong"/>
    <w:basedOn w:val="13"/>
    <w:qFormat/>
    <w:uiPriority w:val="99"/>
    <w:rPr>
      <w:b/>
    </w:rPr>
  </w:style>
  <w:style w:type="character" w:styleId="15">
    <w:name w:val="Hyperlink"/>
    <w:basedOn w:val="13"/>
    <w:unhideWhenUsed/>
    <w:qFormat/>
    <w:uiPriority w:val="99"/>
    <w:rPr>
      <w:color w:val="0000FF" w:themeColor="hyperlink"/>
      <w:u w:val="single"/>
      <w14:textFill>
        <w14:solidFill>
          <w14:schemeClr w14:val="hlink"/>
        </w14:solidFill>
      </w14:textFill>
    </w:rPr>
  </w:style>
  <w:style w:type="character" w:customStyle="1" w:styleId="16">
    <w:name w:val="Header Char"/>
    <w:basedOn w:val="13"/>
    <w:semiHidden/>
    <w:qFormat/>
    <w:uiPriority w:val="99"/>
    <w:rPr>
      <w:rFonts w:ascii="Times New Roman" w:hAnsi="Times New Roman"/>
      <w:sz w:val="18"/>
      <w:szCs w:val="18"/>
    </w:rPr>
  </w:style>
  <w:style w:type="character" w:customStyle="1" w:styleId="17">
    <w:name w:val="页眉 Char"/>
    <w:link w:val="9"/>
    <w:semiHidden/>
    <w:qFormat/>
    <w:locked/>
    <w:uiPriority w:val="99"/>
    <w:rPr>
      <w:sz w:val="18"/>
    </w:rPr>
  </w:style>
  <w:style w:type="character" w:customStyle="1" w:styleId="18">
    <w:name w:val="Footer Char"/>
    <w:basedOn w:val="13"/>
    <w:semiHidden/>
    <w:qFormat/>
    <w:uiPriority w:val="99"/>
    <w:rPr>
      <w:rFonts w:ascii="Times New Roman" w:hAnsi="Times New Roman"/>
      <w:sz w:val="18"/>
      <w:szCs w:val="18"/>
    </w:rPr>
  </w:style>
  <w:style w:type="character" w:customStyle="1" w:styleId="19">
    <w:name w:val="页脚 Char"/>
    <w:link w:val="8"/>
    <w:qFormat/>
    <w:locked/>
    <w:uiPriority w:val="99"/>
    <w:rPr>
      <w:sz w:val="18"/>
    </w:rPr>
  </w:style>
  <w:style w:type="character" w:customStyle="1" w:styleId="20">
    <w:name w:val="Body Text Char"/>
    <w:basedOn w:val="13"/>
    <w:semiHidden/>
    <w:qFormat/>
    <w:uiPriority w:val="99"/>
    <w:rPr>
      <w:rFonts w:ascii="Times New Roman" w:hAnsi="Times New Roman"/>
      <w:szCs w:val="24"/>
    </w:rPr>
  </w:style>
  <w:style w:type="character" w:customStyle="1" w:styleId="21">
    <w:name w:val="正文文本 Char"/>
    <w:link w:val="2"/>
    <w:qFormat/>
    <w:locked/>
    <w:uiPriority w:val="99"/>
    <w:rPr>
      <w:rFonts w:ascii="仿宋_GB2312" w:hAnsi="Times New Roman" w:eastAsia="仿宋_GB2312"/>
      <w:sz w:val="24"/>
    </w:rPr>
  </w:style>
  <w:style w:type="paragraph" w:customStyle="1" w:styleId="22">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3">
    <w:name w:val="List Paragraph"/>
    <w:basedOn w:val="1"/>
    <w:qFormat/>
    <w:uiPriority w:val="34"/>
    <w:pPr>
      <w:ind w:firstLine="420" w:firstLineChars="200"/>
    </w:pPr>
  </w:style>
  <w:style w:type="character" w:customStyle="1" w:styleId="24">
    <w:name w:val="标题 1 Char"/>
    <w:basedOn w:val="13"/>
    <w:link w:val="3"/>
    <w:qFormat/>
    <w:uiPriority w:val="9"/>
    <w:rPr>
      <w:rFonts w:ascii="Times New Roman" w:hAnsi="Times New Roman"/>
      <w:b/>
      <w:bCs/>
      <w:kern w:val="44"/>
      <w:sz w:val="44"/>
      <w:szCs w:val="44"/>
    </w:rPr>
  </w:style>
  <w:style w:type="character" w:customStyle="1" w:styleId="25">
    <w:name w:val="标题 2 Char"/>
    <w:basedOn w:val="13"/>
    <w:link w:val="4"/>
    <w:qFormat/>
    <w:uiPriority w:val="9"/>
    <w:rPr>
      <w:rFonts w:asciiTheme="majorHAnsi" w:hAnsiTheme="majorHAnsi" w:eastAsiaTheme="majorEastAsia" w:cstheme="majorBidi"/>
      <w:b/>
      <w:bCs/>
      <w:kern w:val="2"/>
      <w:sz w:val="32"/>
      <w:szCs w:val="32"/>
    </w:rPr>
  </w:style>
  <w:style w:type="paragraph" w:customStyle="1" w:styleId="26">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7">
    <w:name w:val="批注框文本 Char"/>
    <w:basedOn w:val="13"/>
    <w:link w:val="7"/>
    <w:semiHidden/>
    <w:qFormat/>
    <w:uiPriority w:val="99"/>
    <w:rPr>
      <w:rFonts w:ascii="Times New Roman" w:hAnsi="Times New Roman"/>
      <w:kern w:val="2"/>
      <w:sz w:val="18"/>
      <w:szCs w:val="18"/>
    </w:rPr>
  </w:style>
  <w:style w:type="character" w:customStyle="1" w:styleId="28">
    <w:name w:val="标题 3 Char"/>
    <w:basedOn w:val="13"/>
    <w:link w:val="5"/>
    <w:qFormat/>
    <w:uiPriority w:val="9"/>
    <w:rPr>
      <w:rFonts w:ascii="Times New Roman" w:hAnsi="Times New Roman"/>
      <w:b/>
      <w:bCs/>
      <w:kern w:val="2"/>
      <w:sz w:val="32"/>
      <w:szCs w:val="32"/>
    </w:rPr>
  </w:style>
  <w:style w:type="paragraph" w:customStyle="1" w:styleId="29">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hart" Target="charts/chart8.xml"/><Relationship Id="rId12" Type="http://schemas.openxmlformats.org/officeDocument/2006/relationships/chart" Target="charts/chart7.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charts/_rels/chart1.xml.rels><?xml version="1.0" encoding="UTF-8" standalone="yes"?>
<Relationships xmlns="http://schemas.openxmlformats.org/package/2006/relationships"><Relationship Id="rId6" Type="http://schemas.microsoft.com/office/2011/relationships/chartColorStyle" Target="colors4.xml"/><Relationship Id="rId5" Type="http://schemas.microsoft.com/office/2011/relationships/chartStyle" Target="style4.xml"/><Relationship Id="rId4" Type="http://schemas.openxmlformats.org/officeDocument/2006/relationships/image" Target="../media/image5.png"/><Relationship Id="rId3" Type="http://schemas.openxmlformats.org/officeDocument/2006/relationships/image" Target="../media/image4.png"/><Relationship Id="rId2" Type="http://schemas.openxmlformats.org/officeDocument/2006/relationships/themeOverride" Target="../theme/themeOverride3.xml"/><Relationship Id="rId1" Type="http://schemas.openxmlformats.org/officeDocument/2006/relationships/oleObject" Target="file:///C:\Users\Administrator\Desktop\&#26032;&#24314;%20XLSX%20&#24037;&#20316;&#34920;.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Administrator\Desktop\&#26032;&#24314;%20XLS%20&#24037;&#20316;&#34920;.xls" TargetMode="External"/></Relationships>
</file>

<file path=word/charts/_rels/chart3.xml.rels><?xml version="1.0" encoding="UTF-8" standalone="yes"?>
<Relationships xmlns="http://schemas.openxmlformats.org/package/2006/relationships"><Relationship Id="rId4" Type="http://schemas.microsoft.com/office/2011/relationships/chartColorStyle" Target="colors6.xml"/><Relationship Id="rId3" Type="http://schemas.microsoft.com/office/2011/relationships/chartStyle" Target="style6.xml"/><Relationship Id="rId2" Type="http://schemas.openxmlformats.org/officeDocument/2006/relationships/themeOverride" Target="../theme/themeOverride4.xml"/><Relationship Id="rId1" Type="http://schemas.openxmlformats.org/officeDocument/2006/relationships/oleObject" Target="file:///C:\Users\Administrator\Desktop\&#26032;&#24314;%20XLSX%20&#24037;&#20316;&#34920;.xlsx" TargetMode="External"/></Relationships>
</file>

<file path=word/charts/_rels/chart4.xml.rels><?xml version="1.0" encoding="UTF-8" standalone="yes"?>
<Relationships xmlns="http://schemas.openxmlformats.org/package/2006/relationships"><Relationship Id="rId5" Type="http://schemas.microsoft.com/office/2011/relationships/chartColorStyle" Target="colors7.xml"/><Relationship Id="rId4" Type="http://schemas.microsoft.com/office/2011/relationships/chartStyle" Target="style7.xml"/><Relationship Id="rId3" Type="http://schemas.openxmlformats.org/officeDocument/2006/relationships/image" Target="../media/image6.png"/><Relationship Id="rId2" Type="http://schemas.openxmlformats.org/officeDocument/2006/relationships/themeOverride" Target="../theme/themeOverride5.xml"/><Relationship Id="rId1" Type="http://schemas.openxmlformats.org/officeDocument/2006/relationships/oleObject" Target="file:///C:\Users\Administrator\Desktop\&#26032;&#24314;%20XLSX%20&#24037;&#20316;&#34920;.xlsx" TargetMode="External"/></Relationships>
</file>

<file path=word/charts/_rels/chart5.xml.rels><?xml version="1.0" encoding="UTF-8" standalone="yes"?>
<Relationships xmlns="http://schemas.openxmlformats.org/package/2006/relationships"><Relationship Id="rId7" Type="http://schemas.microsoft.com/office/2011/relationships/chartColorStyle" Target="colors8.xml"/><Relationship Id="rId6" Type="http://schemas.microsoft.com/office/2011/relationships/chartStyle" Target="style8.xml"/><Relationship Id="rId5" Type="http://schemas.openxmlformats.org/officeDocument/2006/relationships/image" Target="../media/image9.png"/><Relationship Id="rId4" Type="http://schemas.openxmlformats.org/officeDocument/2006/relationships/image" Target="../media/image8.png"/><Relationship Id="rId3" Type="http://schemas.openxmlformats.org/officeDocument/2006/relationships/image" Target="../media/image7.png"/><Relationship Id="rId2" Type="http://schemas.openxmlformats.org/officeDocument/2006/relationships/themeOverride" Target="../theme/themeOverride6.xml"/><Relationship Id="rId1" Type="http://schemas.openxmlformats.org/officeDocument/2006/relationships/oleObject" Target="file:///C:\Users\Administrator\Desktop\&#26032;&#24314;%20XLS%20&#24037;&#20316;&#34920;.xls"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Administrator\Desktop\&#26032;&#24314;%20XLS%20&#24037;&#20316;&#34920;.xls" TargetMode="External"/></Relationships>
</file>

<file path=word/charts/_rels/chart7.xml.rels><?xml version="1.0" encoding="UTF-8" standalone="yes"?>
<Relationships xmlns="http://schemas.openxmlformats.org/package/2006/relationships"><Relationship Id="rId6" Type="http://schemas.microsoft.com/office/2011/relationships/chartColorStyle" Target="colors2.xml"/><Relationship Id="rId5" Type="http://schemas.microsoft.com/office/2011/relationships/chartStyle" Target="style2.xml"/><Relationship Id="rId4" Type="http://schemas.openxmlformats.org/officeDocument/2006/relationships/image" Target="../media/image2.png"/><Relationship Id="rId3" Type="http://schemas.openxmlformats.org/officeDocument/2006/relationships/chartUserShapes" Target="../drawings/drawing1.xml"/><Relationship Id="rId2" Type="http://schemas.openxmlformats.org/officeDocument/2006/relationships/themeOverride" Target="../theme/themeOverride2.xml"/><Relationship Id="rId1" Type="http://schemas.openxmlformats.org/officeDocument/2006/relationships/oleObject" Target="file:///C:\Users\Administrator\Desktop\&#26032;&#24314;%20XLS%20&#24037;&#20316;&#34920;.xls" TargetMode="External"/></Relationships>
</file>

<file path=word/charts/_rels/chart8.xml.rels><?xml version="1.0" encoding="UTF-8" standalone="yes"?>
<Relationships xmlns="http://schemas.openxmlformats.org/package/2006/relationships"><Relationship Id="rId5" Type="http://schemas.microsoft.com/office/2011/relationships/chartColorStyle" Target="colors1.xml"/><Relationship Id="rId4" Type="http://schemas.microsoft.com/office/2011/relationships/chartStyle" Target="style1.xml"/><Relationship Id="rId3" Type="http://schemas.openxmlformats.org/officeDocument/2006/relationships/image" Target="../media/image1.png"/><Relationship Id="rId2" Type="http://schemas.openxmlformats.org/officeDocument/2006/relationships/themeOverride" Target="../theme/themeOverride1.xml"/><Relationship Id="rId1" Type="http://schemas.openxmlformats.org/officeDocument/2006/relationships/oleObject" Target="file:///C:\Users\Administrator\Desktop\&#26032;&#24314;%20XLSX%20&#24037;&#20316;&#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defRPr lang="zh-CN" sz="1400" b="0" i="0" u="none" strike="noStrike" kern="1200" spc="0" baseline="0">
                <a:solidFill>
                  <a:schemeClr val="tx1">
                    <a:lumMod val="65000"/>
                    <a:lumOff val="3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t>收、支决算总计变动情况图</a:t>
            </a:r>
          </a:p>
        </c:rich>
      </c:tx>
      <c:layout/>
      <c:overlay val="0"/>
      <c:spPr>
        <a:noFill/>
        <a:ln>
          <a:noFill/>
        </a:ln>
        <a:effectLst/>
      </c:spPr>
    </c:title>
    <c:autoTitleDeleted val="0"/>
    <c:plotArea>
      <c:layout/>
      <c:barChart>
        <c:barDir val="col"/>
        <c:grouping val="clustered"/>
        <c:varyColors val="0"/>
        <c:ser>
          <c:idx val="0"/>
          <c:order val="0"/>
          <c:tx>
            <c:strRef>
              <c:f>'[新建 XLSX 工作表.xlsx]Sheet1'!$A$3</c:f>
              <c:strCache>
                <c:ptCount val="1"/>
                <c:pt idx="0">
                  <c:v>2020年</c:v>
                </c:pt>
              </c:strCache>
            </c:strRef>
          </c:tx>
          <c:spPr>
            <a:blipFill rotWithShape="1">
              <a:blip xmlns:r="http://schemas.openxmlformats.org/officeDocument/2006/relationships" r:embed="rId3"/>
              <a:stretch>
                <a:fillRect/>
              </a:stretch>
            </a:blipFill>
            <a:ln>
              <a:noFill/>
            </a:ln>
            <a:effectLst>
              <a:outerShdw blurRad="76200" dir="13500000" sy="23000" kx="1200000" algn="br" rotWithShape="0">
                <a:prstClr val="black">
                  <a:alpha val="20000"/>
                </a:prstClr>
              </a:outerShdw>
            </a:effectLst>
          </c:spPr>
          <c:invertIfNegative val="0"/>
          <c:dPt>
            <c:idx val="1"/>
            <c:invertIfNegative val="0"/>
            <c:bubble3D val="0"/>
            <c:spPr>
              <a:blipFill rotWithShape="1">
                <a:blip xmlns:r="http://schemas.openxmlformats.org/officeDocument/2006/relationships" r:embed="rId3"/>
                <a:stretch>
                  <a:fillRect/>
                </a:stretch>
              </a:blipFill>
              <a:ln>
                <a:noFill/>
              </a:ln>
              <a:effectLst>
                <a:outerShdw blurRad="76200" dir="18900000" sy="23000" kx="-1200000" algn="bl" rotWithShape="0">
                  <a:prstClr val="black">
                    <a:alpha val="20000"/>
                  </a:prstClr>
                </a:outerShdw>
              </a:effectLst>
            </c:spPr>
          </c:dPt>
          <c:dLbls>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'[新建 XLSX 工作表.xlsx]Sheet1'!$B$2:$C$2</c:f>
              <c:strCache>
                <c:ptCount val="2"/>
                <c:pt idx="0">
                  <c:v>收入决算</c:v>
                </c:pt>
                <c:pt idx="1">
                  <c:v>支出决算</c:v>
                </c:pt>
              </c:strCache>
            </c:strRef>
          </c:cat>
          <c:val>
            <c:numRef>
              <c:f>'[新建 XLSX 工作表.xlsx]Sheet1'!$B$3:$C$3</c:f>
              <c:numCache>
                <c:formatCode>General</c:formatCode>
                <c:ptCount val="2"/>
                <c:pt idx="0">
                  <c:v>108.11</c:v>
                </c:pt>
                <c:pt idx="1">
                  <c:v>108.11</c:v>
                </c:pt>
              </c:numCache>
            </c:numRef>
          </c:val>
        </c:ser>
        <c:ser>
          <c:idx val="1"/>
          <c:order val="1"/>
          <c:tx>
            <c:strRef>
              <c:f>'[新建 XLSX 工作表.xlsx]Sheet1'!$A$4</c:f>
              <c:strCache>
                <c:ptCount val="1"/>
                <c:pt idx="0">
                  <c:v>2021年</c:v>
                </c:pt>
              </c:strCache>
            </c:strRef>
          </c:tx>
          <c:spPr>
            <a:blipFill rotWithShape="1">
              <a:blip xmlns:r="http://schemas.openxmlformats.org/officeDocument/2006/relationships" r:embed="rId4"/>
              <a:stretch>
                <a:fillRect/>
              </a:stretch>
            </a:blipFill>
            <a:ln>
              <a:noFill/>
            </a:ln>
            <a:effectLst>
              <a:outerShdw blurRad="76200" dir="13500000" sy="23000" kx="1200000" algn="br" rotWithShape="0">
                <a:prstClr val="black">
                  <a:alpha val="20000"/>
                </a:prstClr>
              </a:outerShdw>
            </a:effectLst>
          </c:spPr>
          <c:invertIfNegative val="0"/>
          <c:dPt>
            <c:idx val="1"/>
            <c:invertIfNegative val="0"/>
            <c:bubble3D val="0"/>
            <c:spPr>
              <a:blipFill rotWithShape="1">
                <a:blip xmlns:r="http://schemas.openxmlformats.org/officeDocument/2006/relationships" r:embed="rId4"/>
                <a:stretch>
                  <a:fillRect/>
                </a:stretch>
              </a:blipFill>
              <a:ln>
                <a:noFill/>
              </a:ln>
              <a:effectLst>
                <a:outerShdw blurRad="76200" dir="18900000" sy="23000" kx="-1200000" algn="bl" rotWithShape="0">
                  <a:prstClr val="black">
                    <a:alpha val="20000"/>
                  </a:prstClr>
                </a:outerShdw>
              </a:effectLst>
            </c:spPr>
          </c:dPt>
          <c:dLbls>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'[新建 XLSX 工作表.xlsx]Sheet1'!$B$2:$C$2</c:f>
              <c:strCache>
                <c:ptCount val="2"/>
                <c:pt idx="0">
                  <c:v>收入决算</c:v>
                </c:pt>
                <c:pt idx="1">
                  <c:v>支出决算</c:v>
                </c:pt>
              </c:strCache>
            </c:strRef>
          </c:cat>
          <c:val>
            <c:numRef>
              <c:f>'[新建 XLSX 工作表.xlsx]Sheet1'!$B$4:$C$4</c:f>
              <c:numCache>
                <c:formatCode>General</c:formatCode>
                <c:ptCount val="2"/>
                <c:pt idx="0">
                  <c:v>108.39</c:v>
                </c:pt>
                <c:pt idx="1">
                  <c:v>108.39</c:v>
                </c:pt>
              </c:numCache>
            </c:numRef>
          </c:val>
        </c:ser>
        <c:dLbls>
          <c:showLegendKey val="0"/>
          <c:showVal val="1"/>
          <c:showCatName val="0"/>
          <c:showSerName val="0"/>
          <c:showPercent val="0"/>
          <c:showBubbleSize val="0"/>
        </c:dLbls>
        <c:gapWidth val="219"/>
        <c:overlap val="-27"/>
        <c:axId val="931191190"/>
        <c:axId val="940639438"/>
      </c:barChart>
      <c:catAx>
        <c:axId val="931191190"/>
        <c:scaling>
          <c:orientation val="minMax"/>
        </c:scaling>
        <c:delete val="0"/>
        <c:axPos val="b"/>
        <c:numFmt formatCode="General" sourceLinked="1"/>
        <c:majorTickMark val="out"/>
        <c:minorTickMark val="none"/>
        <c:tickLblPos val="nextTo"/>
        <c:spPr>
          <a:noFill/>
          <a:ln w="9525" cap="flat" cmpd="sng" algn="ctr">
            <a:noFill/>
            <a:round/>
          </a:ln>
          <a:effectLst/>
        </c:spPr>
        <c:txPr>
          <a:bodyPr rot="-60000000" spcFirstLastPara="0" vertOverflow="ellipsis" vert="horz" wrap="square" anchor="ctr" anchorCtr="1" forceAA="0"/>
          <a:lstStyle/>
          <a:p>
            <a:pPr>
              <a:defRPr lang="zh-CN" sz="900" b="0" i="0" u="none" strike="noStrike" kern="1200" baseline="0">
                <a:solidFill>
                  <a:schemeClr val="tx1">
                    <a:lumMod val="65000"/>
                    <a:lumOff val="3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crossAx val="940639438"/>
        <c:crosses val="autoZero"/>
        <c:auto val="1"/>
        <c:lblAlgn val="ctr"/>
        <c:lblOffset val="100"/>
        <c:noMultiLvlLbl val="0"/>
      </c:catAx>
      <c:valAx>
        <c:axId val="940639438"/>
        <c:scaling>
          <c:orientation val="minMax"/>
        </c:scaling>
        <c:delete val="1"/>
        <c:axPos val="l"/>
        <c:numFmt formatCode="General" sourceLinked="1"/>
        <c:majorTickMark val="out"/>
        <c:minorTickMark val="none"/>
        <c:tickLblPos val="nextTo"/>
        <c:txPr>
          <a:bodyPr rot="-60000000" spcFirstLastPara="0" vertOverflow="ellipsis" vert="horz" wrap="square" anchor="ctr" anchorCtr="1" forceAA="0"/>
          <a:lstStyle/>
          <a:p>
            <a:pPr>
              <a:defRPr lang="zh-CN" sz="900" b="0" i="0" u="none" strike="noStrike" kern="1200" baseline="0">
                <a:solidFill>
                  <a:schemeClr val="tx1">
                    <a:lumMod val="65000"/>
                    <a:lumOff val="3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crossAx val="931191190"/>
        <c:crosses val="autoZero"/>
        <c:crossBetween val="between"/>
      </c:valAx>
      <c:spPr>
        <a:noFill/>
        <a:ln>
          <a:noFill/>
        </a:ln>
        <a:effectLst/>
      </c:spPr>
    </c:plotArea>
    <c:legend>
      <c:legendPos val="t"/>
      <c:layout/>
      <c:overlay val="0"/>
      <c:spPr>
        <a:noFill/>
        <a:ln>
          <a:noFill/>
        </a:ln>
        <a:effectLst/>
      </c:spPr>
      <c:txPr>
        <a:bodyPr rot="0" spcFirstLastPara="0" vertOverflow="ellipsis" vert="horz" wrap="square" anchor="ctr" anchorCtr="1" forceAA="0"/>
        <a:lstStyle/>
        <a:p>
          <a:pPr>
            <a:defRPr lang="zh-CN" sz="900" b="0" i="0" u="none" strike="noStrike" kern="1200" baseline="0">
              <a:solidFill>
                <a:schemeClr val="tx1">
                  <a:lumMod val="65000"/>
                  <a:lumOff val="3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rgbClr val="595959">
                    <a:lumMod val="65000"/>
                    <a:lumOff val="35000"/>
                  </a:srgbClr>
                </a:solidFill>
                <a:latin typeface="+mn-lt"/>
                <a:ea typeface="+mn-ea"/>
                <a:cs typeface="+mn-cs"/>
              </a:defRPr>
            </a:pPr>
            <a:r>
              <a:rPr altLang="en-US"/>
              <a:t>具体科目预算收入对比图</a:t>
            </a:r>
            <a:endParaRPr lang="en-US" altLang="zh-CN"/>
          </a:p>
        </c:rich>
      </c:tx>
      <c:layout/>
      <c:overlay val="0"/>
      <c:spPr>
        <a:noFill/>
        <a:ln>
          <a:noFill/>
        </a:ln>
        <a:effectLst/>
      </c:spPr>
    </c:title>
    <c:autoTitleDeleted val="0"/>
    <c:plotArea>
      <c:layout/>
      <c:barChart>
        <c:barDir val="col"/>
        <c:grouping val="clustered"/>
        <c:varyColors val="0"/>
        <c:ser>
          <c:idx val="0"/>
          <c:order val="0"/>
          <c:tx>
            <c:strRef>
              <c:f>'[新建 XLS 工作表.xls]Sheet1'!$A$2</c:f>
              <c:strCache>
                <c:ptCount val="1"/>
                <c:pt idx="0">
                  <c:v>一般公共服务支出</c:v>
                </c:pt>
              </c:strCache>
            </c:strRef>
          </c:tx>
          <c:spPr>
            <a:solidFill>
              <a:srgbClr val="4F81BD"/>
            </a:solidFill>
            <a:ln>
              <a:noFill/>
            </a:ln>
            <a:effectLst/>
          </c:spPr>
          <c:invertIfNegative val="0"/>
          <c:dLbls>
            <c:delete val="1"/>
          </c:dLbls>
          <c:cat>
            <c:strRef>
              <c:f>'[新建 XLS 工作表.xls]Sheet1'!$B$1:$F$1</c:f>
              <c:strCache>
                <c:ptCount val="5"/>
                <c:pt idx="0">
                  <c:v>2020</c:v>
                </c:pt>
                <c:pt idx="2">
                  <c:v>2021</c:v>
                </c:pt>
                <c:pt idx="4">
                  <c:v>差额</c:v>
                </c:pt>
              </c:strCache>
            </c:strRef>
          </c:cat>
          <c:val>
            <c:numRef>
              <c:f>'[新建 XLS 工作表.xls]Sheet1'!$B$2:$F$2</c:f>
              <c:numCache>
                <c:formatCode>General</c:formatCode>
                <c:ptCount val="5"/>
                <c:pt idx="0">
                  <c:v>896431</c:v>
                </c:pt>
                <c:pt idx="2">
                  <c:v>826745</c:v>
                </c:pt>
                <c:pt idx="4">
                  <c:v>69686</c:v>
                </c:pt>
              </c:numCache>
            </c:numRef>
          </c:val>
        </c:ser>
        <c:ser>
          <c:idx val="1"/>
          <c:order val="1"/>
          <c:tx>
            <c:strRef>
              <c:f>'[新建 XLS 工作表.xls]Sheet1'!$A$3</c:f>
              <c:strCache>
                <c:ptCount val="1"/>
                <c:pt idx="0">
                  <c:v>社会保障和就业支出</c:v>
                </c:pt>
              </c:strCache>
            </c:strRef>
          </c:tx>
          <c:spPr>
            <a:solidFill>
              <a:srgbClr val="C0504D"/>
            </a:solidFill>
            <a:ln>
              <a:noFill/>
            </a:ln>
            <a:effectLst/>
          </c:spPr>
          <c:invertIfNegative val="0"/>
          <c:dLbls>
            <c:delete val="1"/>
          </c:dLbls>
          <c:cat>
            <c:strRef>
              <c:f>'[新建 XLS 工作表.xls]Sheet1'!$B$1:$F$1</c:f>
              <c:strCache>
                <c:ptCount val="5"/>
                <c:pt idx="0">
                  <c:v>2020</c:v>
                </c:pt>
                <c:pt idx="2">
                  <c:v>2021</c:v>
                </c:pt>
                <c:pt idx="4">
                  <c:v>差额</c:v>
                </c:pt>
              </c:strCache>
            </c:strRef>
          </c:cat>
          <c:val>
            <c:numRef>
              <c:f>'[新建 XLS 工作表.xls]Sheet1'!$B$3:$F$3</c:f>
              <c:numCache>
                <c:formatCode>General</c:formatCode>
                <c:ptCount val="5"/>
                <c:pt idx="0">
                  <c:v>126048</c:v>
                </c:pt>
                <c:pt idx="2">
                  <c:v>153806</c:v>
                </c:pt>
                <c:pt idx="4">
                  <c:v>-27758</c:v>
                </c:pt>
              </c:numCache>
            </c:numRef>
          </c:val>
        </c:ser>
        <c:ser>
          <c:idx val="2"/>
          <c:order val="2"/>
          <c:tx>
            <c:strRef>
              <c:f>'[新建 XLS 工作表.xls]Sheet1'!$A$4</c:f>
              <c:strCache>
                <c:ptCount val="1"/>
                <c:pt idx="0">
                  <c:v>住房保障支出</c:v>
                </c:pt>
              </c:strCache>
            </c:strRef>
          </c:tx>
          <c:spPr>
            <a:solidFill>
              <a:srgbClr val="9BBB59"/>
            </a:solidFill>
            <a:ln>
              <a:noFill/>
            </a:ln>
            <a:effectLst/>
          </c:spPr>
          <c:invertIfNegative val="0"/>
          <c:dLbls>
            <c:delete val="1"/>
          </c:dLbls>
          <c:cat>
            <c:strRef>
              <c:f>'[新建 XLS 工作表.xls]Sheet1'!$B$1:$F$1</c:f>
              <c:strCache>
                <c:ptCount val="5"/>
                <c:pt idx="0">
                  <c:v>2020</c:v>
                </c:pt>
                <c:pt idx="2">
                  <c:v>2021</c:v>
                </c:pt>
                <c:pt idx="4">
                  <c:v>差额</c:v>
                </c:pt>
              </c:strCache>
            </c:strRef>
          </c:cat>
          <c:val>
            <c:numRef>
              <c:f>'[新建 XLS 工作表.xls]Sheet1'!$B$4:$F$4</c:f>
              <c:numCache>
                <c:formatCode>General</c:formatCode>
                <c:ptCount val="5"/>
                <c:pt idx="0">
                  <c:v>62135</c:v>
                </c:pt>
                <c:pt idx="2">
                  <c:v>62996</c:v>
                </c:pt>
                <c:pt idx="4">
                  <c:v>-861</c:v>
                </c:pt>
              </c:numCache>
            </c:numRef>
          </c:val>
        </c:ser>
        <c:dLbls>
          <c:showLegendKey val="0"/>
          <c:showVal val="0"/>
          <c:showCatName val="0"/>
          <c:showSerName val="0"/>
          <c:showPercent val="0"/>
          <c:showBubbleSize val="0"/>
        </c:dLbls>
        <c:gapWidth val="219"/>
        <c:overlap val="-27"/>
        <c:axId val="945561118"/>
        <c:axId val="46393512"/>
      </c:barChart>
      <c:catAx>
        <c:axId val="945561118"/>
        <c:scaling>
          <c:orientation val="minMax"/>
        </c:scaling>
        <c:delete val="0"/>
        <c:axPos val="b"/>
        <c:majorTickMark val="none"/>
        <c:minorTickMark val="none"/>
        <c:tickLblPos val="nextTo"/>
        <c:spPr>
          <a:noFill/>
          <a:ln w="9525" cap="flat" cmpd="sng" algn="ctr">
            <a:solidFill>
              <a:srgbClr val="D9D9D9">
                <a:lumMod val="15000"/>
                <a:lumOff val="85000"/>
              </a:srgbClr>
            </a:solidFill>
            <a:round/>
          </a:ln>
          <a:effectLst/>
        </c:spPr>
        <c:txPr>
          <a:bodyPr rot="-6000000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p>
        </c:txPr>
        <c:crossAx val="46393512"/>
        <c:crosses val="autoZero"/>
        <c:auto val="1"/>
        <c:lblAlgn val="ctr"/>
        <c:lblOffset val="100"/>
        <c:noMultiLvlLbl val="0"/>
      </c:catAx>
      <c:valAx>
        <c:axId val="46393512"/>
        <c:scaling>
          <c:orientation val="minMax"/>
        </c:scaling>
        <c:delete val="0"/>
        <c:axPos val="l"/>
        <c:majorGridlines>
          <c:spPr>
            <a:ln w="9525" cap="flat" cmpd="sng" algn="ctr">
              <a:solidFill>
                <a:srgbClr val="D9D9D9">
                  <a:lumMod val="15000"/>
                  <a:lumOff val="85000"/>
                </a:srgb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p>
        </c:txPr>
        <c:crossAx val="945561118"/>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p>
      </c:txPr>
    </c:legend>
    <c:plotVisOnly val="1"/>
    <c:dispBlanksAs val="gap"/>
    <c:showDLblsOverMax val="0"/>
  </c:chart>
  <c:spPr>
    <a:solidFill>
      <a:srgbClr val="FFFFFF"/>
    </a:solidFill>
    <a:ln w="9525" cap="flat" cmpd="sng" algn="ctr">
      <a:solidFill>
        <a:srgbClr val="D9D9D9">
          <a:lumMod val="15000"/>
          <a:lumOff val="85000"/>
        </a:srgb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defRPr lang="zh-CN" sz="1400" b="0" i="0" u="none" strike="noStrike" kern="1200" spc="0" baseline="0">
                <a:solidFill>
                  <a:schemeClr val="tx1"/>
                </a:solidFill>
                <a:latin typeface="+mn-lt"/>
                <a:ea typeface="+mn-ea"/>
                <a:cs typeface="+mn-cs"/>
              </a:defRPr>
            </a:pPr>
            <a:r>
              <a:t>收入决算结构图</a:t>
            </a:r>
          </a:p>
        </c:rich>
      </c:tx>
      <c:layout>
        <c:manualLayout>
          <c:xMode val="edge"/>
          <c:yMode val="edge"/>
          <c:x val="0.65904298459043"/>
          <c:y val="0.0202228185410659"/>
        </c:manualLayout>
      </c:layout>
      <c:overlay val="0"/>
      <c:spPr>
        <a:noFill/>
        <a:ln>
          <a:noFill/>
        </a:ln>
        <a:effectLst/>
      </c:spPr>
    </c:title>
    <c:autoTitleDeleted val="0"/>
    <c:plotArea>
      <c:layout>
        <c:manualLayout>
          <c:layoutTarget val="inner"/>
          <c:xMode val="edge"/>
          <c:yMode val="edge"/>
          <c:x val="0.264866741356729"/>
          <c:y val="0.1654751182858"/>
          <c:w val="0.470864907238045"/>
          <c:h val="0.79470782800441"/>
        </c:manualLayout>
      </c:layout>
      <c:pieChart>
        <c:varyColors val="1"/>
        <c:ser>
          <c:idx val="0"/>
          <c:order val="0"/>
          <c:spPr>
            <a:ln>
              <a:noFill/>
            </a:ln>
            <a:effectLst>
              <a:outerShdw blurRad="50800" dist="38100" dir="2700000" algn="tl" rotWithShape="0">
                <a:srgbClr val="3D4F4F">
                  <a:alpha val="50000"/>
                </a:srgbClr>
              </a:outerShdw>
            </a:effectLst>
          </c:spPr>
          <c:explosion val="0"/>
          <c:dPt>
            <c:idx val="0"/>
            <c:bubble3D val="0"/>
            <c:spPr>
              <a:solidFill>
                <a:srgbClr val="E8F8C9"/>
              </a:solidFill>
              <a:ln>
                <a:noFill/>
              </a:ln>
              <a:effectLst>
                <a:outerShdw blurRad="50800" dist="38100" dir="2700000" algn="tl" rotWithShape="0">
                  <a:srgbClr val="3D4F4F">
                    <a:alpha val="50000"/>
                  </a:srgbClr>
                </a:outerShdw>
              </a:effectLst>
            </c:spPr>
          </c:dPt>
          <c:dPt>
            <c:idx val="1"/>
            <c:bubble3D val="0"/>
            <c:spPr>
              <a:solidFill>
                <a:srgbClr val="C4EAC1"/>
              </a:solidFill>
              <a:ln>
                <a:noFill/>
              </a:ln>
              <a:effectLst>
                <a:outerShdw blurRad="50800" dist="38100" dir="2700000" algn="tl" rotWithShape="0">
                  <a:srgbClr val="3D4F4F">
                    <a:alpha val="50000"/>
                  </a:srgbClr>
                </a:outerShdw>
              </a:effectLst>
            </c:spPr>
          </c:dPt>
          <c:dPt>
            <c:idx val="2"/>
            <c:bubble3D val="0"/>
            <c:spPr>
              <a:solidFill>
                <a:srgbClr val="A2DBB0"/>
              </a:solidFill>
              <a:ln>
                <a:noFill/>
              </a:ln>
              <a:effectLst>
                <a:outerShdw blurRad="50800" dist="38100" dir="2700000" algn="tl" rotWithShape="0">
                  <a:srgbClr val="3D4F4F">
                    <a:alpha val="50000"/>
                  </a:srgbClr>
                </a:outerShdw>
              </a:effectLst>
            </c:spPr>
          </c:dPt>
          <c:dPt>
            <c:idx val="3"/>
            <c:bubble3D val="0"/>
            <c:spPr>
              <a:solidFill>
                <a:srgbClr val="7AC5AE"/>
              </a:solidFill>
              <a:ln>
                <a:noFill/>
              </a:ln>
              <a:effectLst>
                <a:outerShdw blurRad="50800" dist="38100" dir="2700000" algn="tl" rotWithShape="0">
                  <a:srgbClr val="3D4F4F">
                    <a:alpha val="50000"/>
                  </a:srgbClr>
                </a:outerShdw>
              </a:effectLst>
            </c:spPr>
          </c:dPt>
          <c:dPt>
            <c:idx val="4"/>
            <c:bubble3D val="0"/>
            <c:spPr>
              <a:solidFill>
                <a:srgbClr val="52ADA4"/>
              </a:solidFill>
              <a:ln>
                <a:noFill/>
              </a:ln>
              <a:effectLst>
                <a:outerShdw blurRad="50800" dist="38100" dir="2700000" algn="tl" rotWithShape="0">
                  <a:srgbClr val="3D4F4F">
                    <a:alpha val="50000"/>
                  </a:srgbClr>
                </a:outerShdw>
              </a:effectLst>
            </c:spPr>
          </c:dPt>
          <c:dPt>
            <c:idx val="5"/>
            <c:bubble3D val="0"/>
            <c:spPr>
              <a:solidFill>
                <a:srgbClr val="569290"/>
              </a:solidFill>
              <a:ln>
                <a:noFill/>
              </a:ln>
              <a:effectLst>
                <a:outerShdw blurRad="50800" dist="38100" dir="2700000" algn="tl" rotWithShape="0">
                  <a:srgbClr val="3D4F4F">
                    <a:alpha val="50000"/>
                  </a:srgbClr>
                </a:outerShdw>
              </a:effectLst>
            </c:spPr>
          </c:dPt>
          <c:dPt>
            <c:idx val="6"/>
            <c:bubble3D val="0"/>
            <c:spPr>
              <a:solidFill>
                <a:srgbClr val="567E80"/>
              </a:solidFill>
              <a:ln>
                <a:noFill/>
              </a:ln>
              <a:effectLst>
                <a:outerShdw blurRad="50800" dist="38100" dir="2700000" algn="tl" rotWithShape="0">
                  <a:srgbClr val="3D4F4F">
                    <a:alpha val="50000"/>
                  </a:srgbClr>
                </a:outerShdw>
              </a:effectLst>
            </c:spPr>
          </c:dPt>
          <c:dPt>
            <c:idx val="7"/>
            <c:bubble3D val="0"/>
            <c:spPr>
              <a:solidFill>
                <a:schemeClr val="accent2">
                  <a:lumMod val="60000"/>
                </a:schemeClr>
              </a:solidFill>
              <a:ln>
                <a:noFill/>
              </a:ln>
              <a:effectLst>
                <a:outerShdw blurRad="50800" dist="38100" dir="2700000" algn="tl" rotWithShape="0">
                  <a:srgbClr val="3D4F4F">
                    <a:alpha val="50000"/>
                  </a:srgbClr>
                </a:outerShdw>
              </a:effectLst>
            </c:spPr>
          </c:dPt>
          <c:dLbls>
            <c:dLbl>
              <c:idx val="1"/>
              <c:layout>
                <c:manualLayout>
                  <c:x val="-0.172916666666667"/>
                  <c:y val="0.215277777777778"/>
                </c:manualLayout>
              </c:layout>
              <c:dLblPos val="bestFit"/>
              <c:showLegendKey val="0"/>
              <c:showVal val="0"/>
              <c:showCatName val="0"/>
              <c:showSerName val="0"/>
              <c:showPercent val="1"/>
              <c:showBubbleSize val="0"/>
              <c:extLst>
                <c:ext xmlns:c15="http://schemas.microsoft.com/office/drawing/2012/chart" uri="{CE6537A1-D6FC-4f65-9D91-7224C49458BB}">
                  <c15:layout/>
                </c:ext>
              </c:extLst>
            </c:dLbl>
            <c:dLbl>
              <c:idx val="2"/>
              <c:layout>
                <c:manualLayout>
                  <c:x val="0.154166666666667"/>
                  <c:y val="0.177083333333333"/>
                </c:manualLayout>
              </c:layout>
              <c:dLblPos val="bestFit"/>
              <c:showLegendKey val="0"/>
              <c:showVal val="0"/>
              <c:showCatName val="0"/>
              <c:showSerName val="0"/>
              <c:showPercent val="1"/>
              <c:showBubbleSize val="0"/>
              <c:extLst>
                <c:ext xmlns:c15="http://schemas.microsoft.com/office/drawing/2012/chart" uri="{CE6537A1-D6FC-4f65-9D91-7224C49458BB}">
                  <c15:layout/>
                </c:ext>
              </c:extLst>
            </c:dLbl>
            <c:dLbl>
              <c:idx val="3"/>
              <c:layout>
                <c:manualLayout>
                  <c:x val="-0.127083333333333"/>
                  <c:y val="0.145833333333333"/>
                </c:manualLayout>
              </c:layout>
              <c:dLblPos val="bestFit"/>
              <c:showLegendKey val="0"/>
              <c:showVal val="0"/>
              <c:showCatName val="0"/>
              <c:showSerName val="0"/>
              <c:showPercent val="1"/>
              <c:showBubbleSize val="0"/>
              <c:extLst>
                <c:ext xmlns:c15="http://schemas.microsoft.com/office/drawing/2012/chart" uri="{CE6537A1-D6FC-4f65-9D91-7224C49458BB}">
                  <c15:layout/>
                </c:ext>
              </c:extLst>
            </c:dLbl>
            <c:dLbl>
              <c:idx val="4"/>
              <c:layout>
                <c:manualLayout>
                  <c:x val="0.0895833333333333"/>
                  <c:y val="0.104166666666667"/>
                </c:manualLayout>
              </c:layout>
              <c:dLblPos val="bestFit"/>
              <c:showLegendKey val="0"/>
              <c:showVal val="0"/>
              <c:showCatName val="0"/>
              <c:showSerName val="0"/>
              <c:showPercent val="1"/>
              <c:showBubbleSize val="0"/>
              <c:extLst>
                <c:ext xmlns:c15="http://schemas.microsoft.com/office/drawing/2012/chart" uri="{CE6537A1-D6FC-4f65-9D91-7224C49458BB}">
                  <c15:layout/>
                </c:ext>
              </c:extLst>
            </c:dLbl>
            <c:dLbl>
              <c:idx val="5"/>
              <c:layout>
                <c:manualLayout>
                  <c:x val="-0.05625"/>
                  <c:y val="0.0902777777777778"/>
                </c:manualLayout>
              </c:layout>
              <c:dLblPos val="bestFit"/>
              <c:showLegendKey val="0"/>
              <c:showVal val="0"/>
              <c:showCatName val="0"/>
              <c:showSerName val="0"/>
              <c:showPercent val="1"/>
              <c:showBubbleSize val="0"/>
              <c:extLst>
                <c:ext xmlns:c15="http://schemas.microsoft.com/office/drawing/2012/chart" uri="{CE6537A1-D6FC-4f65-9D91-7224C49458BB}">
                  <c15:layout/>
                </c:ext>
              </c:extLst>
            </c:dLbl>
            <c:dLbl>
              <c:idx val="6"/>
              <c:delete val="1"/>
            </c:dLbl>
            <c:dLbl>
              <c:idx val="7"/>
              <c:layout>
                <c:manualLayout>
                  <c:x val="0.0145833333333333"/>
                  <c:y val="0.0902777777777778"/>
                </c:manualLayout>
              </c:layout>
              <c:dLblPos val="bestFit"/>
              <c:showLegendKey val="0"/>
              <c:showVal val="0"/>
              <c:showCatName val="0"/>
              <c:showSerName val="0"/>
              <c:showPercent val="1"/>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forceAA="0"/>
              <a:lstStyle/>
              <a:p>
                <a:pPr>
                  <a:defRPr lang="zh-CN" sz="1200" b="0" i="0" u="none" strike="noStrike" kern="1200" baseline="0">
                    <a:solidFill>
                      <a:schemeClr val="tx1">
                        <a:lumMod val="65000"/>
                        <a:lumOff val="35000"/>
                      </a:schemeClr>
                    </a:solidFill>
                    <a:latin typeface="+mn-lt"/>
                    <a:ea typeface="+mn-lt"/>
                    <a:cs typeface="+mn-lt"/>
                    <a:sym typeface="+mn-lt"/>
                  </a:defRPr>
                </a:pPr>
              </a:p>
            </c:txPr>
            <c:dLblPos val="bestFit"/>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'[新建 XLSX 工作表.xlsx]Sheet1'!$A$2:$A$9</c:f>
              <c:strCache>
                <c:ptCount val="8"/>
                <c:pt idx="0">
                  <c:v>一般公共预算财政拨款收入</c:v>
                </c:pt>
                <c:pt idx="1">
                  <c:v>政府性基金预算财政拨款收入</c:v>
                </c:pt>
                <c:pt idx="2">
                  <c:v>国有资本经营预算财政拨款收入</c:v>
                </c:pt>
                <c:pt idx="3">
                  <c:v>上级补助收入</c:v>
                </c:pt>
                <c:pt idx="4">
                  <c:v>事业收入</c:v>
                </c:pt>
                <c:pt idx="5">
                  <c:v>经营收入</c:v>
                </c:pt>
                <c:pt idx="6">
                  <c:v>附属单位上缴收入</c:v>
                </c:pt>
                <c:pt idx="7">
                  <c:v>其他收入</c:v>
                </c:pt>
              </c:strCache>
            </c:strRef>
          </c:cat>
          <c:val>
            <c:numRef>
              <c:f>'[新建 XLSX 工作表.xlsx]Sheet1'!$B$2:$B$9</c:f>
              <c:numCache>
                <c:formatCode>General</c:formatCode>
                <c:ptCount val="8"/>
                <c:pt idx="0">
                  <c:v>108.39</c:v>
                </c:pt>
                <c:pt idx="1">
                  <c:v>0</c:v>
                </c:pt>
                <c:pt idx="2">
                  <c:v>0</c:v>
                </c:pt>
                <c:pt idx="3">
                  <c:v>0</c:v>
                </c:pt>
                <c:pt idx="4">
                  <c:v>0</c:v>
                </c:pt>
                <c:pt idx="5">
                  <c:v>0</c:v>
                </c:pt>
                <c:pt idx="6">
                  <c:v>0</c:v>
                </c:pt>
                <c:pt idx="7">
                  <c:v>0</c:v>
                </c:pt>
              </c:numCache>
            </c:numRef>
          </c:val>
        </c:ser>
        <c:dLbls>
          <c:showLegendKey val="0"/>
          <c:showVal val="1"/>
          <c:showCatName val="0"/>
          <c:showSerName val="0"/>
          <c:showPercent val="0"/>
          <c:showBubbleSize val="0"/>
          <c:showLeaderLines val="0"/>
        </c:dLbls>
        <c:firstSliceAng val="0"/>
      </c:pieChart>
      <c:spPr>
        <a:noFill/>
        <a:ln>
          <a:noFill/>
        </a:ln>
        <a:effectLst/>
      </c:spPr>
    </c:plotArea>
    <c:legend>
      <c:legendPos val="r"/>
      <c:layout>
        <c:manualLayout>
          <c:xMode val="edge"/>
          <c:yMode val="edge"/>
          <c:x val="0.00416666666666667"/>
          <c:y val="0.102777777777778"/>
          <c:w val="0.26875"/>
          <c:h val="0.839351851851852"/>
        </c:manualLayout>
      </c:layout>
      <c:overlay val="0"/>
      <c:spPr>
        <a:noFill/>
        <a:ln>
          <a:noFill/>
        </a:ln>
        <a:effectLst/>
      </c:spPr>
      <c:txPr>
        <a:bodyPr rot="0" spcFirstLastPara="0" vertOverflow="ellipsis" vert="horz" wrap="square" anchor="ctr" anchorCtr="1" forceAA="0"/>
        <a:lstStyle/>
        <a:p>
          <a:pPr>
            <a:defRPr lang="zh-CN" sz="900" b="0" i="0" u="none" strike="noStrike" kern="1200" baseline="0">
              <a:solidFill>
                <a:schemeClr val="tx1"/>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solidFill>
            <a:schemeClr val="tx1"/>
          </a:solidFill>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defRPr lang="zh-CN" sz="1400" b="1" i="0" u="none" strike="noStrike" kern="1200" spc="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t>支出决算结构图</a:t>
            </a:r>
          </a:p>
        </c:rich>
      </c:tx>
      <c:layout>
        <c:manualLayout>
          <c:xMode val="edge"/>
          <c:yMode val="edge"/>
          <c:x val="0.629059881334008"/>
          <c:y val="0.0533266093820951"/>
        </c:manualLayout>
      </c:layout>
      <c:overlay val="0"/>
      <c:spPr>
        <a:noFill/>
        <a:ln>
          <a:noFill/>
        </a:ln>
        <a:effectLst/>
      </c:spPr>
    </c:title>
    <c:autoTitleDeleted val="0"/>
    <c:plotArea>
      <c:layout/>
      <c:pieChart>
        <c:varyColors val="1"/>
        <c:ser>
          <c:idx val="0"/>
          <c:order val="0"/>
          <c:spPr>
            <a:effectLst>
              <a:outerShdw blurRad="63500" sx="102000" sy="102000" algn="ctr" rotWithShape="0">
                <a:prstClr val="black">
                  <a:alpha val="40000"/>
                </a:prstClr>
              </a:outerShdw>
            </a:effectLst>
          </c:spPr>
          <c:explosion val="0"/>
          <c:dPt>
            <c:idx val="0"/>
            <c:bubble3D val="0"/>
            <c:spPr>
              <a:solidFill>
                <a:srgbClr val="EDB491"/>
              </a:solidFill>
              <a:ln w="19050">
                <a:solidFill>
                  <a:schemeClr val="lt1"/>
                </a:solidFill>
              </a:ln>
              <a:effectLst>
                <a:outerShdw blurRad="63500" sx="102000" sy="102000" algn="ctr" rotWithShape="0">
                  <a:prstClr val="black">
                    <a:alpha val="40000"/>
                  </a:prstClr>
                </a:outerShdw>
              </a:effectLst>
            </c:spPr>
          </c:dPt>
          <c:dPt>
            <c:idx val="1"/>
            <c:bubble3D val="0"/>
            <c:spPr>
              <a:solidFill>
                <a:srgbClr val="F4E5A8"/>
              </a:solidFill>
              <a:ln w="19050">
                <a:solidFill>
                  <a:schemeClr val="lt1"/>
                </a:solidFill>
              </a:ln>
              <a:effectLst>
                <a:outerShdw blurRad="63500" sx="102000" sy="102000" algn="ctr" rotWithShape="0">
                  <a:prstClr val="black">
                    <a:alpha val="40000"/>
                  </a:prstClr>
                </a:outerShdw>
              </a:effectLst>
            </c:spPr>
          </c:dPt>
          <c:dPt>
            <c:idx val="2"/>
            <c:bubble3D val="0"/>
            <c:spPr>
              <a:solidFill>
                <a:srgbClr val="DE7760"/>
              </a:solidFill>
              <a:ln w="19050">
                <a:solidFill>
                  <a:schemeClr val="lt1"/>
                </a:solidFill>
              </a:ln>
              <a:effectLst>
                <a:outerShdw blurRad="63500" sx="102000" sy="102000" algn="ctr" rotWithShape="0">
                  <a:prstClr val="black">
                    <a:alpha val="40000"/>
                  </a:prstClr>
                </a:outerShdw>
              </a:effectLst>
            </c:spPr>
          </c:dPt>
          <c:dPt>
            <c:idx val="3"/>
            <c:bubble3D val="0"/>
            <c:spPr>
              <a:solidFill>
                <a:srgbClr val="AEC9AE"/>
              </a:solidFill>
              <a:ln w="19050">
                <a:solidFill>
                  <a:schemeClr val="lt1"/>
                </a:solidFill>
              </a:ln>
              <a:effectLst>
                <a:outerShdw blurRad="63500" sx="102000" sy="102000" algn="ctr" rotWithShape="0">
                  <a:prstClr val="black">
                    <a:alpha val="40000"/>
                  </a:prstClr>
                </a:outerShdw>
              </a:effectLst>
            </c:spPr>
          </c:dPt>
          <c:dPt>
            <c:idx val="4"/>
            <c:bubble3D val="0"/>
            <c:spPr>
              <a:solidFill>
                <a:schemeClr val="accent5"/>
              </a:solidFill>
              <a:ln w="19050">
                <a:solidFill>
                  <a:schemeClr val="lt1"/>
                </a:solidFill>
              </a:ln>
              <a:effectLst>
                <a:outerShdw blurRad="63500" sx="102000" sy="102000" algn="ctr" rotWithShape="0">
                  <a:prstClr val="black">
                    <a:alpha val="40000"/>
                  </a:prstClr>
                </a:outerShdw>
              </a:effectLst>
            </c:spPr>
          </c:dPt>
          <c:dLbls>
            <c:dLbl>
              <c:idx val="0"/>
              <c:layout>
                <c:manualLayout>
                  <c:x val="0.0705727242508779"/>
                  <c:y val="0.00786473338481233"/>
                </c:manualLayout>
              </c:layout>
              <c:dLblPos val="bestFit"/>
              <c:showLegendKey val="0"/>
              <c:showVal val="0"/>
              <c:showCatName val="0"/>
              <c:showSerName val="0"/>
              <c:showPercent val="1"/>
              <c:showBubbleSize val="0"/>
              <c:extLst>
                <c:ext xmlns:c15="http://schemas.microsoft.com/office/drawing/2012/chart" uri="{CE6537A1-D6FC-4f65-9D91-7224C49458BB}">
                  <c15:layout/>
                </c:ext>
              </c:extLst>
            </c:dLbl>
            <c:dLbl>
              <c:idx val="1"/>
              <c:layout>
                <c:manualLayout>
                  <c:x val="0.00142828655462877"/>
                  <c:y val="0.0122348041936727"/>
                </c:manualLayout>
              </c:layout>
              <c:dLblPos val="bestFit"/>
              <c:showLegendKey val="0"/>
              <c:showVal val="0"/>
              <c:showCatName val="0"/>
              <c:showSerName val="0"/>
              <c:showPercent val="1"/>
              <c:showBubbleSize val="0"/>
              <c:extLst>
                <c:ext xmlns:c15="http://schemas.microsoft.com/office/drawing/2012/chart" uri="{CE6537A1-D6FC-4f65-9D91-7224C49458BB}">
                  <c15:layout/>
                </c:ext>
              </c:extLst>
            </c:dLbl>
            <c:dLbl>
              <c:idx val="2"/>
              <c:layout>
                <c:manualLayout>
                  <c:x val="0.0626441890946966"/>
                  <c:y val="0.0323899877071253"/>
                </c:manualLayout>
              </c:layout>
              <c:dLblPos val="bestFit"/>
              <c:showLegendKey val="0"/>
              <c:showVal val="0"/>
              <c:showCatName val="0"/>
              <c:showSerName val="0"/>
              <c:showPercent val="1"/>
              <c:showBubbleSize val="0"/>
              <c:extLst>
                <c:ext xmlns:c15="http://schemas.microsoft.com/office/drawing/2012/chart" uri="{CE6537A1-D6FC-4f65-9D91-7224C49458BB}">
                  <c15:layout/>
                </c:ext>
              </c:extLst>
            </c:dLbl>
            <c:dLbl>
              <c:idx val="3"/>
              <c:layout>
                <c:manualLayout>
                  <c:x val="-0.157284497124261"/>
                  <c:y val="0.0466609915716828"/>
                </c:manualLayout>
              </c:layout>
              <c:dLblPos val="bestFit"/>
              <c:showLegendKey val="0"/>
              <c:showVal val="0"/>
              <c:showCatName val="0"/>
              <c:showSerName val="0"/>
              <c:showPercent val="1"/>
              <c:showBubbleSize val="0"/>
              <c:extLst>
                <c:ext xmlns:c15="http://schemas.microsoft.com/office/drawing/2012/chart" uri="{CE6537A1-D6FC-4f65-9D91-7224C49458BB}">
                  <c15:layout>
                    <c:manualLayout>
                      <c:w val="0.0830099544457567"/>
                      <c:h val="0.0829927695693178"/>
                    </c:manualLayout>
                  </c15:layout>
                </c:ext>
              </c:extLst>
            </c:dLbl>
            <c:dLbl>
              <c:idx val="4"/>
              <c:layout>
                <c:manualLayout>
                  <c:x val="0.124999558461413"/>
                  <c:y val="0.143819444443249"/>
                </c:manualLayout>
              </c:layout>
              <c:dLblPos val="bestFit"/>
              <c:showLegendKey val="0"/>
              <c:showVal val="0"/>
              <c:showCatName val="0"/>
              <c:showSerName val="0"/>
              <c:showPercent val="1"/>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chemeClr val="tx1">
                        <a:lumMod val="85000"/>
                        <a:lumOff val="1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ctr"/>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'[新建 XLSX 工作表.xlsx]Sheet1'!$A$2:$A$6</c:f>
              <c:strCache>
                <c:ptCount val="5"/>
                <c:pt idx="0">
                  <c:v>基本支出</c:v>
                </c:pt>
                <c:pt idx="1">
                  <c:v>项目支出</c:v>
                </c:pt>
                <c:pt idx="2">
                  <c:v>上缴上级支出</c:v>
                </c:pt>
                <c:pt idx="3">
                  <c:v>经营支出</c:v>
                </c:pt>
                <c:pt idx="4">
                  <c:v>对附属单位补助支出</c:v>
                </c:pt>
              </c:strCache>
            </c:strRef>
          </c:cat>
          <c:val>
            <c:numRef>
              <c:f>'[新建 XLSX 工作表.xlsx]Sheet1'!$B$2:$B$6</c:f>
              <c:numCache>
                <c:formatCode>General</c:formatCode>
                <c:ptCount val="5"/>
                <c:pt idx="0">
                  <c:v>103.39</c:v>
                </c:pt>
                <c:pt idx="1">
                  <c:v>5</c:v>
                </c:pt>
                <c:pt idx="2">
                  <c:v>0</c:v>
                </c:pt>
                <c:pt idx="3">
                  <c:v>0</c:v>
                </c:pt>
                <c:pt idx="4">
                  <c:v>0</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manualLayout>
          <c:xMode val="edge"/>
          <c:yMode val="edge"/>
          <c:x val="0.0434722222222222"/>
          <c:y val="0.133101851851852"/>
          <c:w val="0.216944444444444"/>
          <c:h val="0.752314814814815"/>
        </c:manualLayout>
      </c:layout>
      <c:overlay val="0"/>
      <c:spPr>
        <a:noFill/>
        <a:ln>
          <a:noFill/>
        </a:ln>
        <a:effectLst/>
      </c:spPr>
      <c:txPr>
        <a:bodyPr rot="0" spcFirstLastPara="0" vertOverflow="ellipsis" vert="horz" wrap="square" anchor="ctr" anchorCtr="1" forceAA="0"/>
        <a:lstStyle/>
        <a:p>
          <a:pPr>
            <a:defRPr lang="zh-CN" sz="900" b="0" i="0" u="none" strike="noStrike" kern="1200" baseline="0">
              <a:solidFill>
                <a:schemeClr val="tx1">
                  <a:lumMod val="85000"/>
                  <a:lumOff val="1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legend>
    <c:plotVisOnly val="1"/>
    <c:dispBlanksAs val="gap"/>
    <c:showDLblsOverMax val="0"/>
  </c:chart>
  <c:spPr>
    <a:blipFill rotWithShape="1">
      <a:blip xmlns:r="http://schemas.openxmlformats.org/officeDocument/2006/relationships" r:embed="rId3"/>
      <a:stretch>
        <a:fillRect/>
      </a:stretch>
    </a:blipFill>
    <a:ln w="9525" cap="flat" cmpd="sng" algn="ctr">
      <a:noFill/>
      <a:round/>
    </a:ln>
    <a:effectLst/>
  </c:spPr>
  <c:txPr>
    <a:bodyPr/>
    <a:lstStyle/>
    <a:p>
      <a:pPr>
        <a:defRPr lang="zh-CN">
          <a:solidFill>
            <a:schemeClr val="tx1">
              <a:lumMod val="85000"/>
              <a:lumOff val="1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defRPr lang="zh-CN" sz="1400" b="0" i="0" u="none" strike="noStrike" kern="1200" spc="0" baseline="0">
                <a:solidFill>
                  <a:sysClr val="windowText" lastClr="000000"/>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rPr altLang="en-US"/>
              <a:t>财政拨款收、支决算总计变动情况图</a:t>
            </a:r>
            <a:endParaRPr lang="en-US" altLang="zh-CN"/>
          </a:p>
        </c:rich>
      </c:tx>
      <c:layout/>
      <c:overlay val="0"/>
      <c:spPr>
        <a:noFill/>
        <a:ln>
          <a:noFill/>
        </a:ln>
        <a:effectLst/>
      </c:spPr>
    </c:title>
    <c:autoTitleDeleted val="0"/>
    <c:plotArea>
      <c:layout>
        <c:manualLayout>
          <c:layoutTarget val="inner"/>
          <c:xMode val="edge"/>
          <c:yMode val="edge"/>
          <c:x val="0.283966007042497"/>
          <c:y val="0.212337198929527"/>
          <c:w val="0.411834825604704"/>
          <c:h val="0.687279214986619"/>
        </c:manualLayout>
      </c:layout>
      <c:pieChart>
        <c:varyColors val="1"/>
        <c:ser>
          <c:idx val="0"/>
          <c:order val="0"/>
          <c:spPr>
            <a:pattFill prst="pct5">
              <a:fgClr>
                <a:srgbClr val="4F81BD"/>
              </a:fgClr>
              <a:bgClr>
                <a:srgbClr val="FFFFFF"/>
              </a:bgClr>
            </a:pattFill>
            <a:ln w="12700">
              <a:solidFill>
                <a:srgbClr val="FFFFFF"/>
              </a:solidFill>
            </a:ln>
            <a:effectLst/>
          </c:spPr>
          <c:explosion val="0"/>
          <c:dPt>
            <c:idx val="0"/>
            <c:bubble3D val="0"/>
            <c:spPr>
              <a:blipFill rotWithShape="1">
                <a:blip xmlns:r="http://schemas.openxmlformats.org/officeDocument/2006/relationships" r:embed="rId3"/>
                <a:stretch>
                  <a:fillRect/>
                </a:stretch>
              </a:blipFill>
              <a:ln w="12700">
                <a:solidFill>
                  <a:srgbClr val="FFFFFF"/>
                </a:solidFill>
              </a:ln>
              <a:effectLst/>
            </c:spPr>
          </c:dPt>
          <c:dPt>
            <c:idx val="1"/>
            <c:bubble3D val="0"/>
            <c:spPr>
              <a:blipFill rotWithShape="1">
                <a:blip xmlns:r="http://schemas.openxmlformats.org/officeDocument/2006/relationships" r:embed="rId4"/>
                <a:stretch>
                  <a:fillRect/>
                </a:stretch>
              </a:blipFill>
              <a:ln w="12700">
                <a:solidFill>
                  <a:srgbClr val="FFFFFF"/>
                </a:solidFill>
              </a:ln>
              <a:effectLst/>
            </c:spPr>
          </c:dPt>
          <c:dLbls>
            <c:dLbl>
              <c:idx val="0"/>
              <c:layout/>
              <c:dLblPos val="ctr"/>
              <c:showLegendKey val="0"/>
              <c:showVal val="0"/>
              <c:showCatName val="0"/>
              <c:showSerName val="0"/>
              <c:showPercent val="1"/>
              <c:showBubbleSize val="0"/>
              <c:separator>
</c:separator>
              <c:extLst>
                <c:ext xmlns:c15="http://schemas.microsoft.com/office/drawing/2012/chart" uri="{CE6537A1-D6FC-4f65-9D91-7224C49458BB}"/>
              </c:extLst>
            </c:dLbl>
            <c:dLbl>
              <c:idx val="1"/>
              <c:layout/>
              <c:dLblPos val="ctr"/>
              <c:showLegendKey val="0"/>
              <c:showVal val="0"/>
              <c:showCatName val="0"/>
              <c:showSerName val="0"/>
              <c:showPercent val="1"/>
              <c:showBubbleSize val="0"/>
              <c:separator>
</c:separator>
              <c:extLst>
                <c:ext xmlns:c15="http://schemas.microsoft.com/office/drawing/2012/chart" uri="{CE6537A1-D6FC-4f65-9D91-7224C49458BB}"/>
              </c:extLst>
            </c:dLbl>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rgbClr val="000000"/>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ctr"/>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3175" cap="flat" cmpd="sng" algn="ctr">
                      <a:solidFill>
                        <a:srgbClr val="808080">
                          <a:lumMod val="50000"/>
                          <a:lumOff val="50000"/>
                        </a:srgbClr>
                      </a:solidFill>
                      <a:round/>
                    </a:ln>
                    <a:effectLst/>
                  </c:spPr>
                </c15:leaderLines>
              </c:ext>
            </c:extLst>
          </c:dLbls>
          <c:cat>
            <c:strRef>
              <c:f>'[新建 XLS 工作表.xls]Sheet1'!$B$1:$C$1</c:f>
              <c:strCache>
                <c:ptCount val="2"/>
                <c:pt idx="0">
                  <c:v>年初预算</c:v>
                </c:pt>
                <c:pt idx="1">
                  <c:v>年末决算</c:v>
                </c:pt>
              </c:strCache>
            </c:strRef>
          </c:cat>
          <c:val>
            <c:numRef>
              <c:f>'[新建 XLS 工作表.xls]Sheet1'!$B$2:$C$2</c:f>
              <c:numCache>
                <c:formatCode>General</c:formatCode>
                <c:ptCount val="2"/>
                <c:pt idx="0">
                  <c:v>104.35</c:v>
                </c:pt>
                <c:pt idx="1">
                  <c:v>108.39</c:v>
                </c:pt>
              </c:numCache>
            </c:numRef>
          </c:val>
        </c:ser>
        <c:dLbls>
          <c:showLegendKey val="0"/>
          <c:showVal val="1"/>
          <c:showCatName val="0"/>
          <c:showSerName val="0"/>
          <c:showPercent val="0"/>
          <c:showBubbleSize val="0"/>
          <c:showLeaderLines val="1"/>
        </c:dLbls>
        <c:firstSliceAng val="221"/>
      </c:pieChart>
      <c:spPr>
        <a:noFill/>
        <a:ln>
          <a:noFill/>
        </a:ln>
        <a:effectLst/>
      </c:spPr>
    </c:plotArea>
    <c:legend>
      <c:legendPos val="r"/>
      <c:layout/>
      <c:overlay val="0"/>
      <c:spPr>
        <a:noFill/>
        <a:ln>
          <a:noFill/>
        </a:ln>
        <a:effectLst/>
      </c:spPr>
      <c:txPr>
        <a:bodyPr rot="0" spcFirstLastPara="0" vertOverflow="ellipsis" vert="horz" wrap="square" anchor="ctr" anchorCtr="1" forceAA="0"/>
        <a:lstStyle/>
        <a:p>
          <a:pPr>
            <a:defRPr lang="zh-CN" sz="900" b="0" i="0" u="none" strike="noStrike" kern="1200" baseline="0">
              <a:solidFill>
                <a:sysClr val="windowText" lastClr="000000"/>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legend>
    <c:plotVisOnly val="1"/>
    <c:dispBlanksAs val="gap"/>
    <c:showDLblsOverMax val="0"/>
  </c:chart>
  <c:spPr>
    <a:blipFill rotWithShape="1">
      <a:blip xmlns:r="http://schemas.openxmlformats.org/officeDocument/2006/relationships" r:embed="rId5"/>
      <a:stretch>
        <a:fillRect/>
      </a:stretch>
    </a:blipFill>
    <a:ln w="9525" cap="flat" cmpd="sng" algn="ctr">
      <a:solidFill>
        <a:srgbClr val="D9D9D9">
          <a:lumMod val="15000"/>
          <a:lumOff val="85000"/>
        </a:srgbClr>
      </a:solidFill>
      <a:round/>
    </a:ln>
    <a:effectLst>
      <a:outerShdw blurRad="63500" dist="37357" dir="2700000" sx="0" sy="0" rotWithShape="0">
        <a:scrgbClr r="0" g="0" b="0"/>
      </a:outerShdw>
    </a:effectLst>
  </c:spPr>
  <c:txPr>
    <a:bodyPr/>
    <a:lstStyle/>
    <a:p>
      <a:pPr>
        <a:defRPr lang="zh-CN">
          <a:solidFill>
            <a:sysClr val="windowText" lastClr="000000"/>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rgbClr val="595959">
                    <a:lumMod val="65000"/>
                    <a:lumOff val="35000"/>
                  </a:srgbClr>
                </a:solidFill>
                <a:latin typeface="+mn-lt"/>
                <a:ea typeface="+mn-ea"/>
                <a:cs typeface="+mn-cs"/>
              </a:defRPr>
            </a:pPr>
            <a:r>
              <a:rPr altLang="en-US"/>
              <a:t>一般公共预算财政拨款支出决算变动情况</a:t>
            </a:r>
            <a:endParaRPr altLang="en-US"/>
          </a:p>
        </c:rich>
      </c:tx>
      <c:layout/>
      <c:overlay val="0"/>
      <c:spPr>
        <a:noFill/>
        <a:ln>
          <a:noFill/>
        </a:ln>
        <a:effectLst/>
      </c:spPr>
    </c:title>
    <c:autoTitleDeleted val="0"/>
    <c:plotArea>
      <c:layout/>
      <c:barChart>
        <c:barDir val="col"/>
        <c:grouping val="clustered"/>
        <c:varyColors val="0"/>
        <c:ser>
          <c:idx val="0"/>
          <c:order val="0"/>
          <c:tx>
            <c:strRef>
              <c:f>'[新建 XLS 工作表.xls]Sheet1'!$A$2</c:f>
              <c:strCache>
                <c:ptCount val="1"/>
                <c:pt idx="0">
                  <c:v>一般公共服务支出</c:v>
                </c:pt>
              </c:strCache>
            </c:strRef>
          </c:tx>
          <c:spPr>
            <a:solidFill>
              <a:srgbClr val="4F81BD"/>
            </a:solidFill>
            <a:ln>
              <a:noFill/>
            </a:ln>
            <a:effectLst/>
          </c:spPr>
          <c:invertIfNegative val="0"/>
          <c:dLbls>
            <c:delete val="1"/>
          </c:dLbls>
          <c:cat>
            <c:strRef>
              <c:f>'[新建 XLS 工作表.xls]Sheet1'!$B$1:$F$1</c:f>
              <c:strCache>
                <c:ptCount val="5"/>
                <c:pt idx="0">
                  <c:v>2020</c:v>
                </c:pt>
                <c:pt idx="2">
                  <c:v>2021</c:v>
                </c:pt>
                <c:pt idx="4">
                  <c:v>差额</c:v>
                </c:pt>
              </c:strCache>
            </c:strRef>
          </c:cat>
          <c:val>
            <c:numRef>
              <c:f>'[新建 XLS 工作表.xls]Sheet1'!$B$2:$F$2</c:f>
              <c:numCache>
                <c:formatCode>General</c:formatCode>
                <c:ptCount val="5"/>
                <c:pt idx="0">
                  <c:v>896431</c:v>
                </c:pt>
                <c:pt idx="2">
                  <c:v>826745</c:v>
                </c:pt>
                <c:pt idx="4">
                  <c:v>69686</c:v>
                </c:pt>
              </c:numCache>
            </c:numRef>
          </c:val>
        </c:ser>
        <c:ser>
          <c:idx val="1"/>
          <c:order val="1"/>
          <c:tx>
            <c:strRef>
              <c:f>'[新建 XLS 工作表.xls]Sheet1'!$A$3</c:f>
              <c:strCache>
                <c:ptCount val="1"/>
                <c:pt idx="0">
                  <c:v>社会保障和就业支出</c:v>
                </c:pt>
              </c:strCache>
            </c:strRef>
          </c:tx>
          <c:spPr>
            <a:solidFill>
              <a:srgbClr val="C0504D"/>
            </a:solidFill>
            <a:ln>
              <a:noFill/>
            </a:ln>
            <a:effectLst/>
          </c:spPr>
          <c:invertIfNegative val="0"/>
          <c:dLbls>
            <c:delete val="1"/>
          </c:dLbls>
          <c:cat>
            <c:strRef>
              <c:f>'[新建 XLS 工作表.xls]Sheet1'!$B$1:$F$1</c:f>
              <c:strCache>
                <c:ptCount val="5"/>
                <c:pt idx="0">
                  <c:v>2020</c:v>
                </c:pt>
                <c:pt idx="2">
                  <c:v>2021</c:v>
                </c:pt>
                <c:pt idx="4">
                  <c:v>差额</c:v>
                </c:pt>
              </c:strCache>
            </c:strRef>
          </c:cat>
          <c:val>
            <c:numRef>
              <c:f>'[新建 XLS 工作表.xls]Sheet1'!$B$3:$F$3</c:f>
              <c:numCache>
                <c:formatCode>General</c:formatCode>
                <c:ptCount val="5"/>
                <c:pt idx="0">
                  <c:v>126048</c:v>
                </c:pt>
                <c:pt idx="2">
                  <c:v>153806</c:v>
                </c:pt>
                <c:pt idx="4">
                  <c:v>-27758</c:v>
                </c:pt>
              </c:numCache>
            </c:numRef>
          </c:val>
        </c:ser>
        <c:ser>
          <c:idx val="2"/>
          <c:order val="2"/>
          <c:tx>
            <c:strRef>
              <c:f>'[新建 XLS 工作表.xls]Sheet1'!$A$4</c:f>
              <c:strCache>
                <c:ptCount val="1"/>
                <c:pt idx="0">
                  <c:v>住房保障支出</c:v>
                </c:pt>
              </c:strCache>
            </c:strRef>
          </c:tx>
          <c:spPr>
            <a:solidFill>
              <a:srgbClr val="9BBB59"/>
            </a:solidFill>
            <a:ln>
              <a:noFill/>
            </a:ln>
            <a:effectLst/>
          </c:spPr>
          <c:invertIfNegative val="0"/>
          <c:dLbls>
            <c:delete val="1"/>
          </c:dLbls>
          <c:cat>
            <c:strRef>
              <c:f>'[新建 XLS 工作表.xls]Sheet1'!$B$1:$F$1</c:f>
              <c:strCache>
                <c:ptCount val="5"/>
                <c:pt idx="0">
                  <c:v>2020</c:v>
                </c:pt>
                <c:pt idx="2">
                  <c:v>2021</c:v>
                </c:pt>
                <c:pt idx="4">
                  <c:v>差额</c:v>
                </c:pt>
              </c:strCache>
            </c:strRef>
          </c:cat>
          <c:val>
            <c:numRef>
              <c:f>'[新建 XLS 工作表.xls]Sheet1'!$B$4:$F$4</c:f>
              <c:numCache>
                <c:formatCode>General</c:formatCode>
                <c:ptCount val="5"/>
                <c:pt idx="0">
                  <c:v>62135</c:v>
                </c:pt>
                <c:pt idx="2">
                  <c:v>62996</c:v>
                </c:pt>
                <c:pt idx="4">
                  <c:v>-861</c:v>
                </c:pt>
              </c:numCache>
            </c:numRef>
          </c:val>
        </c:ser>
        <c:dLbls>
          <c:showLegendKey val="0"/>
          <c:showVal val="0"/>
          <c:showCatName val="0"/>
          <c:showSerName val="0"/>
          <c:showPercent val="0"/>
          <c:showBubbleSize val="0"/>
        </c:dLbls>
        <c:gapWidth val="219"/>
        <c:overlap val="-27"/>
        <c:axId val="945561118"/>
        <c:axId val="46393512"/>
      </c:barChart>
      <c:catAx>
        <c:axId val="945561118"/>
        <c:scaling>
          <c:orientation val="minMax"/>
        </c:scaling>
        <c:delete val="0"/>
        <c:axPos val="b"/>
        <c:majorTickMark val="none"/>
        <c:minorTickMark val="none"/>
        <c:tickLblPos val="nextTo"/>
        <c:spPr>
          <a:noFill/>
          <a:ln w="9525" cap="flat" cmpd="sng" algn="ctr">
            <a:solidFill>
              <a:srgbClr val="D9D9D9">
                <a:lumMod val="15000"/>
                <a:lumOff val="85000"/>
              </a:srgbClr>
            </a:solidFill>
            <a:round/>
          </a:ln>
          <a:effectLst/>
        </c:spPr>
        <c:txPr>
          <a:bodyPr rot="-6000000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p>
        </c:txPr>
        <c:crossAx val="46393512"/>
        <c:crosses val="autoZero"/>
        <c:auto val="1"/>
        <c:lblAlgn val="ctr"/>
        <c:lblOffset val="100"/>
        <c:noMultiLvlLbl val="0"/>
      </c:catAx>
      <c:valAx>
        <c:axId val="46393512"/>
        <c:scaling>
          <c:orientation val="minMax"/>
        </c:scaling>
        <c:delete val="0"/>
        <c:axPos val="l"/>
        <c:majorGridlines>
          <c:spPr>
            <a:ln w="9525" cap="flat" cmpd="sng" algn="ctr">
              <a:solidFill>
                <a:srgbClr val="D9D9D9">
                  <a:lumMod val="15000"/>
                  <a:lumOff val="85000"/>
                </a:srgb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p>
        </c:txPr>
        <c:crossAx val="945561118"/>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p>
      </c:txPr>
    </c:legend>
    <c:plotVisOnly val="1"/>
    <c:dispBlanksAs val="gap"/>
    <c:showDLblsOverMax val="0"/>
  </c:chart>
  <c:spPr>
    <a:solidFill>
      <a:srgbClr val="FFFFFF"/>
    </a:solidFill>
    <a:ln w="9525" cap="flat" cmpd="sng" algn="ctr">
      <a:solidFill>
        <a:srgbClr val="D9D9D9">
          <a:lumMod val="15000"/>
          <a:lumOff val="85000"/>
        </a:srgbClr>
      </a:solid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1"/>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defRPr lang="zh-CN" sz="1400" b="1" i="0" u="none" strike="noStrike" kern="1200" spc="0" baseline="0">
                <a:solidFill>
                  <a:srgbClr val="2C2B51"/>
                </a:solidFill>
                <a:latin typeface="汉仪旗黑-55简" panose="00020600040101010101" charset="-128"/>
                <a:ea typeface="汉仪旗黑-55简" panose="00020600040101010101" charset="-128"/>
                <a:cs typeface="汉仪旗黑-55简" panose="00020600040101010101" charset="-128"/>
                <a:sym typeface="汉仪旗黑-55简" panose="00020600040101010101" charset="-128"/>
              </a:defRPr>
            </a:pPr>
            <a:r>
              <a:rPr altLang="en-US"/>
              <a:t>一般公共预算财政拨款支出决算结构</a:t>
            </a:r>
            <a:endParaRPr lang="en-US" altLang="zh-CN"/>
          </a:p>
        </c:rich>
      </c:tx>
      <c:layout/>
      <c:overlay val="0"/>
      <c:spPr>
        <a:solidFill>
          <a:sysClr val="window" lastClr="FFFFFF"/>
        </a:solidFill>
        <a:ln w="22225" cap="rnd" cmpd="sng">
          <a:solidFill>
            <a:srgbClr val="FFFFFF"/>
          </a:solidFill>
          <a:prstDash val="sysDash"/>
          <a:round/>
        </a:ln>
        <a:effectLst>
          <a:outerShdw blurRad="50800" dist="38100" dir="5400000" algn="t" rotWithShape="0">
            <a:prstClr val="black">
              <a:alpha val="11000"/>
            </a:prstClr>
          </a:outerShdw>
        </a:effectLst>
      </c:spPr>
    </c:title>
    <c:autoTitleDeleted val="0"/>
    <c:plotArea>
      <c:layout>
        <c:manualLayout>
          <c:layoutTarget val="inner"/>
          <c:xMode val="edge"/>
          <c:yMode val="edge"/>
          <c:x val="0.313006271230729"/>
          <c:y val="0.263065049614113"/>
          <c:w val="0.352168800627123"/>
          <c:h val="0.594377067254686"/>
        </c:manualLayout>
      </c:layout>
      <c:pieChart>
        <c:varyColors val="1"/>
        <c:ser>
          <c:idx val="0"/>
          <c:order val="0"/>
          <c:spPr>
            <a:solidFill>
              <a:srgbClr val="4754C4"/>
            </a:solidFill>
            <a:effectLst/>
          </c:spPr>
          <c:explosion val="0"/>
          <c:dPt>
            <c:idx val="0"/>
            <c:bubble3D val="0"/>
            <c:explosion val="17"/>
            <c:spPr>
              <a:solidFill>
                <a:srgbClr val="F6896B"/>
              </a:solidFill>
              <a:ln>
                <a:noFill/>
              </a:ln>
              <a:effectLst/>
            </c:spPr>
          </c:dPt>
          <c:dPt>
            <c:idx val="1"/>
            <c:bubble3D val="0"/>
            <c:explosion val="0"/>
            <c:spPr>
              <a:solidFill>
                <a:srgbClr val="5F70EA"/>
              </a:solidFill>
              <a:ln>
                <a:noFill/>
              </a:ln>
              <a:effectLst/>
            </c:spPr>
          </c:dPt>
          <c:dPt>
            <c:idx val="2"/>
            <c:bubble3D val="0"/>
            <c:explosion val="0"/>
            <c:spPr>
              <a:solidFill>
                <a:srgbClr val="74AC4C"/>
              </a:solidFill>
              <a:ln>
                <a:noFill/>
              </a:ln>
              <a:effectLst/>
            </c:spPr>
          </c:dPt>
          <c:dLbls>
            <c:dLbl>
              <c:idx val="0"/>
              <c:layout>
                <c:manualLayout>
                  <c:x val="-0.116772461332764"/>
                  <c:y val="-0.20849546597268"/>
                </c:manualLayout>
              </c:layout>
              <c:tx>
                <c:rich>
                  <a:bodyPr rot="0" spcFirstLastPara="0" vertOverflow="ellipsis" vert="horz" wrap="square" lIns="38100" tIns="19050" rIns="38100" bIns="19050" anchor="ctr" anchorCtr="1" forceAA="0"/>
                  <a:lstStyle/>
                  <a:p>
                    <a:pPr defTabSz="914400">
                      <a:defRPr lang="zh-CN" sz="900" b="0" i="0" u="none" strike="noStrike" kern="1200" baseline="0">
                        <a:solidFill>
                          <a:srgbClr val="2C2B51"/>
                        </a:solidFill>
                        <a:latin typeface="汉仪旗黑-55简" panose="00020600040101010101" charset="-128"/>
                        <a:ea typeface="汉仪旗黑-55简" panose="00020600040101010101" charset="-128"/>
                        <a:cs typeface="汉仪旗黑-55简" panose="00020600040101010101" charset="-128"/>
                        <a:sym typeface="汉仪旗黑-55简" panose="00020600040101010101" charset="-128"/>
                      </a:defRPr>
                    </a:pPr>
                    <a:r>
                      <a:t>6</a:t>
                    </a:r>
                    <a:r>
                      <a:rPr lang="en-US" altLang="zh-CN"/>
                      <a:t>8.7%</a:t>
                    </a:r>
                    <a:endParaRPr lang="en-US" altLang="zh-CN"/>
                  </a:p>
                  <a:p>
                    <a:pPr defTabSz="914400">
                      <a:defRPr lang="zh-CN" sz="900" b="0" i="0" u="none" strike="noStrike" kern="1200" baseline="0">
                        <a:solidFill>
                          <a:srgbClr val="2C2B51"/>
                        </a:solidFill>
                        <a:latin typeface="汉仪旗黑-55简" panose="00020600040101010101" charset="-128"/>
                        <a:ea typeface="汉仪旗黑-55简" panose="00020600040101010101" charset="-128"/>
                        <a:cs typeface="汉仪旗黑-55简" panose="00020600040101010101" charset="-128"/>
                        <a:sym typeface="汉仪旗黑-55简" panose="00020600040101010101" charset="-128"/>
                      </a:defRPr>
                    </a:pPr>
                    <a:endParaRPr lang="en-US" altLang="zh-CN"/>
                  </a:p>
                </c:rich>
              </c:tx>
              <c:dLblPos val="bestFit"/>
              <c:showLegendKey val="0"/>
              <c:showVal val="0"/>
              <c:showCatName val="0"/>
              <c:showSerName val="0"/>
              <c:showPercent val="1"/>
              <c:showBubbleSize val="0"/>
              <c:extLst>
                <c:ext xmlns:c15="http://schemas.microsoft.com/office/drawing/2012/chart" uri="{CE6537A1-D6FC-4f65-9D91-7224C49458BB}">
                  <c15:layout>
                    <c:manualLayout>
                      <c:w val="0.0976388888888889"/>
                      <c:h val="0.180092592592593"/>
                    </c:manualLayout>
                  </c15:layout>
                </c:ext>
              </c:extLst>
            </c:dLbl>
            <c:dLbl>
              <c:idx val="1"/>
              <c:layout>
                <c:manualLayout>
                  <c:x val="0.102050413252289"/>
                  <c:y val="0.0634546527971907"/>
                </c:manualLayout>
              </c:layout>
              <c:tx>
                <c:rich>
                  <a:bodyPr rot="0" spcFirstLastPara="0" vertOverflow="ellipsis" vert="horz" wrap="square" lIns="38100" tIns="19050" rIns="38100" bIns="19050" anchor="ctr" anchorCtr="1" forceAA="0"/>
                  <a:lstStyle/>
                  <a:p>
                    <a:pPr defTabSz="914400">
                      <a:defRPr lang="zh-CN" sz="900" b="0" i="0" u="none" strike="noStrike" kern="1200" baseline="0">
                        <a:solidFill>
                          <a:srgbClr val="2C2B51"/>
                        </a:solidFill>
                        <a:latin typeface="汉仪旗黑-55简" panose="00020600040101010101" charset="-128"/>
                        <a:ea typeface="汉仪旗黑-55简" panose="00020600040101010101" charset="-128"/>
                        <a:cs typeface="汉仪旗黑-55简" panose="00020600040101010101" charset="-128"/>
                        <a:sym typeface="汉仪旗黑-55简" panose="00020600040101010101" charset="-128"/>
                      </a:defRPr>
                    </a:pPr>
                    <a:r>
                      <a:rPr lang="en-US" altLang="zh-CN"/>
                      <a:t>25.39%</a:t>
                    </a:r>
                    <a:endParaRPr lang="en-US" altLang="zh-CN"/>
                  </a:p>
                </c:rich>
              </c:tx>
              <c:dLblPos val="bestFit"/>
              <c:showLegendKey val="0"/>
              <c:showVal val="0"/>
              <c:showCatName val="0"/>
              <c:showSerName val="0"/>
              <c:showPercent val="1"/>
              <c:showBubbleSize val="0"/>
              <c:extLst>
                <c:ext xmlns:c15="http://schemas.microsoft.com/office/drawing/2012/chart" uri="{CE6537A1-D6FC-4f65-9D91-7224C49458BB}">
                  <c15:layout/>
                </c:ext>
              </c:extLst>
            </c:dLbl>
            <c:dLbl>
              <c:idx val="2"/>
              <c:layout>
                <c:manualLayout>
                  <c:x val="0.0227499136946234"/>
                  <c:y val="0.0910168217239614"/>
                </c:manualLayout>
              </c:layout>
              <c:tx>
                <c:rich>
                  <a:bodyPr rot="0" spcFirstLastPara="0" vertOverflow="ellipsis" vert="horz" wrap="square" lIns="38100" tIns="19050" rIns="38100" bIns="19050" anchor="ctr" anchorCtr="1" forceAA="0"/>
                  <a:lstStyle/>
                  <a:p>
                    <a:pPr defTabSz="914400">
                      <a:defRPr lang="zh-CN" sz="900" b="0" i="0" u="none" strike="noStrike" kern="1200" baseline="0">
                        <a:solidFill>
                          <a:srgbClr val="2C2B51"/>
                        </a:solidFill>
                        <a:latin typeface="汉仪旗黑-55简" panose="00020600040101010101" charset="-128"/>
                        <a:ea typeface="汉仪旗黑-55简" panose="00020600040101010101" charset="-128"/>
                        <a:cs typeface="汉仪旗黑-55简" panose="00020600040101010101" charset="-128"/>
                        <a:sym typeface="汉仪旗黑-55简" panose="00020600040101010101" charset="-128"/>
                      </a:defRPr>
                    </a:pPr>
                    <a:r>
                      <a:rPr lang="en-US" altLang="zh-CN"/>
                      <a:t>5.81%</a:t>
                    </a:r>
                    <a:endParaRPr lang="en-US" altLang="zh-CN"/>
                  </a:p>
                </c:rich>
              </c:tx>
              <c:dLblPos val="bestFit"/>
              <c:showLegendKey val="0"/>
              <c:showVal val="0"/>
              <c:showCatName val="0"/>
              <c:showSerName val="0"/>
              <c:showPercent val="1"/>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forceAA="0"/>
              <a:lstStyle/>
              <a:p>
                <a:pPr>
                  <a:defRPr lang="zh-CN" sz="900" b="0" i="0" u="none" strike="noStrike" kern="1200" baseline="0">
                    <a:solidFill>
                      <a:srgbClr val="2C2B51"/>
                    </a:solidFill>
                    <a:latin typeface="汉仪旗黑-55简" panose="00020600040101010101" charset="-128"/>
                    <a:ea typeface="汉仪旗黑-55简" panose="00020600040101010101" charset="-128"/>
                    <a:cs typeface="汉仪旗黑-55简" panose="00020600040101010101" charset="-128"/>
                    <a:sym typeface="汉仪旗黑-55简" panose="00020600040101010101" charset="-128"/>
                  </a:defRPr>
                </a:pPr>
              </a:p>
            </c:txPr>
            <c:dLblPos val="ctr"/>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A6A6A6">
                          <a:lumMod val="35000"/>
                          <a:lumOff val="65000"/>
                        </a:srgbClr>
                      </a:solidFill>
                      <a:round/>
                    </a:ln>
                    <a:effectLst/>
                  </c:spPr>
                </c15:leaderLines>
              </c:ext>
            </c:extLst>
          </c:dLbls>
          <c:cat>
            <c:strRef>
              <c:f>'[新建 XLS 工作表.xls]Sheet1'!$A$2:$A$4</c:f>
              <c:strCache>
                <c:ptCount val="3"/>
                <c:pt idx="0">
                  <c:v>一般公共服务</c:v>
                </c:pt>
                <c:pt idx="1">
                  <c:v>社会保障和就业</c:v>
                </c:pt>
                <c:pt idx="2">
                  <c:v>住房保障</c:v>
                </c:pt>
              </c:strCache>
            </c:strRef>
          </c:cat>
          <c:val>
            <c:numRef>
              <c:f>'[新建 XLS 工作表.xls]Sheet1'!$B$2:$B$4</c:f>
              <c:numCache>
                <c:formatCode>General</c:formatCode>
                <c:ptCount val="3"/>
                <c:pt idx="0">
                  <c:v>74.57</c:v>
                </c:pt>
                <c:pt idx="1">
                  <c:v>27.52</c:v>
                </c:pt>
                <c:pt idx="2">
                  <c:v>6.3</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l"/>
      <c:layout>
        <c:manualLayout>
          <c:xMode val="edge"/>
          <c:yMode val="edge"/>
          <c:x val="0.0166666666666667"/>
          <c:y val="0.284722222222222"/>
          <c:w val="0.270138888888889"/>
          <c:h val="0.40462962962963"/>
        </c:manualLayout>
      </c:layout>
      <c:overlay val="0"/>
      <c:spPr>
        <a:noFill/>
        <a:ln>
          <a:noFill/>
        </a:ln>
        <a:effectLst/>
      </c:spPr>
      <c:txPr>
        <a:bodyPr rot="0" spcFirstLastPara="0" vertOverflow="ellipsis" vert="horz" wrap="square" anchor="ctr" anchorCtr="1" forceAA="0"/>
        <a:lstStyle/>
        <a:p>
          <a:pPr>
            <a:defRPr lang="zh-CN" sz="900" b="0" i="0" u="none" strike="noStrike" kern="1200" baseline="0">
              <a:solidFill>
                <a:srgbClr val="2C2B51"/>
              </a:solidFill>
              <a:latin typeface="汉仪旗黑-55简" panose="00020600040101010101" charset="-128"/>
              <a:ea typeface="汉仪旗黑-55简" panose="00020600040101010101" charset="-128"/>
              <a:cs typeface="汉仪旗黑-55简" panose="00020600040101010101" charset="-128"/>
              <a:sym typeface="汉仪旗黑-55简" panose="00020600040101010101" charset="-128"/>
            </a:defRPr>
          </a:pPr>
        </a:p>
      </c:txPr>
    </c:legend>
    <c:plotVisOnly val="1"/>
    <c:dispBlanksAs val="gap"/>
    <c:showDLblsOverMax val="0"/>
  </c:chart>
  <c:spPr>
    <a:blipFill rotWithShape="1">
      <a:blip xmlns:r="http://schemas.openxmlformats.org/officeDocument/2006/relationships" r:embed="rId4"/>
      <a:stretch>
        <a:fillRect/>
      </a:stretch>
    </a:blipFill>
    <a:ln w="31750" cap="rnd" cmpd="sng" algn="ctr">
      <a:noFill/>
      <a:prstDash val="sysDash"/>
      <a:round/>
    </a:ln>
    <a:effectLst/>
  </c:spPr>
  <c:txPr>
    <a:bodyPr/>
    <a:lstStyle/>
    <a:p>
      <a:pPr>
        <a:defRPr lang="zh-CN">
          <a:solidFill>
            <a:srgbClr val="2C2B51"/>
          </a:solidFill>
          <a:latin typeface="汉仪旗黑-55简" panose="00020600040101010101" charset="-128"/>
          <a:ea typeface="汉仪旗黑-55简" panose="00020600040101010101" charset="-128"/>
          <a:cs typeface="汉仪旗黑-55简" panose="00020600040101010101" charset="-128"/>
          <a:sym typeface="汉仪旗黑-55简" panose="00020600040101010101" charset="-128"/>
        </a:defRPr>
      </a:pPr>
    </a:p>
  </c:txPr>
  <c:externalData r:id="rId1">
    <c:autoUpdate val="0"/>
  </c:externalData>
  <c:userShapes r:id="rId3"/>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defRPr lang="zh-CN" sz="1400" b="1" i="0" u="none" strike="noStrike" kern="1200" spc="0" baseline="0">
                <a:solidFill>
                  <a:schemeClr val="tx1">
                    <a:lumMod val="65000"/>
                    <a:lumOff val="3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t>“三公”经费财政拨款支出结构</a:t>
            </a:r>
          </a:p>
        </c:rich>
      </c:tx>
      <c:layout/>
      <c:overlay val="0"/>
      <c:spPr>
        <a:noFill/>
        <a:ln>
          <a:noFill/>
        </a:ln>
        <a:effectLst/>
      </c:spPr>
    </c:title>
    <c:autoTitleDeleted val="0"/>
    <c:plotArea>
      <c:layout>
        <c:manualLayout>
          <c:layoutTarget val="inner"/>
          <c:xMode val="edge"/>
          <c:yMode val="edge"/>
          <c:x val="0.292777777777778"/>
          <c:y val="0.162268518518519"/>
          <c:w val="0.416944444444444"/>
          <c:h val="0.694907407407407"/>
        </c:manualLayout>
      </c:layout>
      <c:pieChart>
        <c:varyColors val="1"/>
        <c:ser>
          <c:idx val="0"/>
          <c:order val="0"/>
          <c:spPr>
            <a:effectLst>
              <a:outerShdw blurRad="63500" sx="102000" sy="102000" algn="ctr" rotWithShape="0">
                <a:prstClr val="black">
                  <a:alpha val="40000"/>
                </a:prstClr>
              </a:outerShdw>
            </a:effectLst>
          </c:spPr>
          <c:explosion val="0"/>
          <c:dPt>
            <c:idx val="0"/>
            <c:bubble3D val="0"/>
            <c:spPr>
              <a:solidFill>
                <a:srgbClr val="F38080"/>
              </a:solidFill>
              <a:ln w="19050">
                <a:solidFill>
                  <a:schemeClr val="lt1"/>
                </a:solidFill>
              </a:ln>
              <a:effectLst>
                <a:outerShdw blurRad="63500" sx="102000" sy="102000" algn="ctr" rotWithShape="0">
                  <a:prstClr val="black">
                    <a:alpha val="40000"/>
                  </a:prstClr>
                </a:outerShdw>
              </a:effectLst>
            </c:spPr>
          </c:dPt>
          <c:dPt>
            <c:idx val="1"/>
            <c:bubble3D val="0"/>
            <c:spPr>
              <a:solidFill>
                <a:srgbClr val="B9E1DC"/>
              </a:solidFill>
              <a:ln w="19050">
                <a:solidFill>
                  <a:schemeClr val="lt1"/>
                </a:solidFill>
              </a:ln>
              <a:effectLst>
                <a:outerShdw blurRad="63500" sx="102000" sy="102000" algn="ctr" rotWithShape="0">
                  <a:prstClr val="black">
                    <a:alpha val="40000"/>
                  </a:prstClr>
                </a:outerShdw>
              </a:effectLst>
            </c:spPr>
          </c:dPt>
          <c:dPt>
            <c:idx val="2"/>
            <c:bubble3D val="0"/>
            <c:spPr>
              <a:solidFill>
                <a:srgbClr val="F7A6A6"/>
              </a:solidFill>
              <a:ln w="19050">
                <a:solidFill>
                  <a:schemeClr val="lt1"/>
                </a:solidFill>
              </a:ln>
              <a:effectLst>
                <a:outerShdw blurRad="63500" sx="102000" sy="102000" algn="ctr" rotWithShape="0">
                  <a:prstClr val="black">
                    <a:alpha val="40000"/>
                  </a:prstClr>
                </a:outerShdw>
              </a:effectLst>
            </c:spPr>
          </c:dPt>
          <c:dLbls>
            <c:numFmt formatCode="General" sourceLinked="1"/>
            <c:spPr>
              <a:noFill/>
              <a:ln>
                <a:noFill/>
              </a:ln>
              <a:effectLst/>
            </c:spPr>
            <c:txPr>
              <a:bodyPr rot="0" spcFirstLastPara="0" vertOverflow="ellipsis" vert="horz" wrap="square" lIns="38100" tIns="19050" rIns="38100" bIns="19050" anchor="ctr" anchorCtr="1" forceAA="0"/>
              <a:lstStyle/>
              <a:p>
                <a:pPr>
                  <a:defRPr lang="zh-CN" sz="900" b="1" i="0" u="none" strike="noStrike" kern="1200" baseline="0">
                    <a:solidFill>
                      <a:schemeClr val="bg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'[新建 XLSX 工作表.xlsx]Sheet1'!$B$2:$B$4</c:f>
              <c:strCache>
                <c:ptCount val="3"/>
                <c:pt idx="0">
                  <c:v>因公出国（境）</c:v>
                </c:pt>
                <c:pt idx="1">
                  <c:v>公务车</c:v>
                </c:pt>
                <c:pt idx="2">
                  <c:v>公务接待</c:v>
                </c:pt>
              </c:strCache>
            </c:strRef>
          </c:cat>
          <c:val>
            <c:numRef>
              <c:f>'[新建 XLSX 工作表.xlsx]Sheet1'!$C$2:$C$4</c:f>
              <c:numCache>
                <c:formatCode>General</c:formatCode>
                <c:ptCount val="3"/>
                <c:pt idx="0">
                  <c:v>0</c:v>
                </c:pt>
                <c:pt idx="1">
                  <c:v>0</c:v>
                </c:pt>
                <c:pt idx="2">
                  <c:v>0.018</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forceAA="0"/>
        <a:lstStyle/>
        <a:p>
          <a:pPr>
            <a:defRPr lang="zh-CN" sz="900" b="0" i="0" u="none" strike="noStrike" kern="1200" baseline="0">
              <a:solidFill>
                <a:schemeClr val="tx1">
                  <a:lumMod val="65000"/>
                  <a:lumOff val="3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legend>
    <c:plotVisOnly val="1"/>
    <c:dispBlanksAs val="gap"/>
    <c:showDLblsOverMax val="0"/>
  </c:chart>
  <c:spPr>
    <a:blipFill rotWithShape="1">
      <a:blip xmlns:r="http://schemas.openxmlformats.org/officeDocument/2006/relationships" r:embed="rId3"/>
      <a:stretch>
        <a:fillRect/>
      </a:stretch>
    </a:blipFill>
    <a:ln w="9525" cap="flat" cmpd="sng" algn="ctr">
      <a:noFill/>
      <a:round/>
    </a:ln>
    <a:effectLst/>
  </c:spPr>
  <c:txPr>
    <a:bodyPr/>
    <a:lstStyle/>
    <a:p>
      <a:pPr>
        <a:defRPr lang="zh-CN">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rgbClr val="4F81BD"/>
  <a:srgbClr val="C0504D"/>
  <a:srgbClr val="9BBB59"/>
  <a:srgbClr val="8064A2"/>
  <a:srgbClr val="4BACC6"/>
  <a:srgbClr val="F7964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rgbClr val="4F81BD"/>
  <a:srgbClr val="C0504D"/>
  <a:srgbClr val="9BBB59"/>
  <a:srgbClr val="8064A2"/>
  <a:srgbClr val="4BACC6"/>
  <a:srgbClr val="F7964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rgbClr val="4F81BD"/>
  <a:srgbClr val="C0504D"/>
  <a:srgbClr val="9BBB59"/>
  <a:srgbClr val="8064A2"/>
  <a:srgbClr val="4BACC6"/>
  <a:srgbClr val="F7964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rgbClr val="4F81BD"/>
  <a:srgbClr val="C0504D"/>
  <a:srgbClr val="9BBB59"/>
  <a:srgbClr val="8064A2"/>
  <a:srgbClr val="4BACC6"/>
  <a:srgbClr val="F7964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rgbClr val="595959">
        <a:lumMod val="65000"/>
        <a:lumOff val="35000"/>
      </a:srgbClr>
    </cs:fontRef>
    <cs:defRPr sz="1000" kern="1200"/>
  </cs:axisTitle>
  <cs:categoryAxis>
    <cs:lnRef idx="0"/>
    <cs:fillRef idx="0"/>
    <cs:effectRef idx="0"/>
    <cs:fontRef idx="minor">
      <a:srgbClr val="595959">
        <a:lumMod val="65000"/>
        <a:lumOff val="35000"/>
      </a:srgbClr>
    </cs:fontRef>
    <cs:spPr>
      <a:ln w="9525" cap="flat" cmpd="sng" algn="ctr">
        <a:solidFill>
          <a:srgbClr val="D9D9D9">
            <a:lumMod val="15000"/>
            <a:lumOff val="85000"/>
          </a:srgbClr>
        </a:solidFill>
        <a:round/>
      </a:ln>
    </cs:spPr>
    <cs:defRPr sz="900" kern="1200"/>
  </cs:categoryAxis>
  <cs:chartArea mods="allowNoFillOverride allowNoLineOverride">
    <cs:lnRef idx="0"/>
    <cs:fillRef idx="0"/>
    <cs:effectRef idx="0"/>
    <cs:fontRef idx="minor">
      <a:srgbClr val="000000"/>
    </cs:fontRef>
    <cs:spPr>
      <a:solidFill>
        <a:srgbClr val="FFFFFF"/>
      </a:solidFill>
      <a:ln w="9525" cap="flat" cmpd="sng" algn="ctr">
        <a:solidFill>
          <a:srgbClr val="D9D9D9">
            <a:lumMod val="15000"/>
            <a:lumOff val="85000"/>
          </a:srgbClr>
        </a:solidFill>
        <a:round/>
      </a:ln>
    </cs:spPr>
    <cs:defRPr sz="1000" kern="1200"/>
  </cs:chartArea>
  <cs:dataLabel>
    <cs:lnRef idx="0"/>
    <cs:fillRef idx="0"/>
    <cs:effectRef idx="0"/>
    <cs:fontRef idx="minor">
      <a:srgbClr val="404040">
        <a:lumMod val="75000"/>
        <a:lumOff val="25000"/>
      </a:srgbClr>
    </cs:fontRef>
    <cs:defRPr sz="900" kern="1200"/>
  </cs:dataLabel>
  <cs:dataLabelCallout>
    <cs:lnRef idx="0"/>
    <cs:fillRef idx="0"/>
    <cs:effectRef idx="0"/>
    <cs:fontRef idx="minor">
      <a:srgbClr val="595959">
        <a:lumMod val="65000"/>
        <a:lumOff val="35000"/>
      </a:srgbClr>
    </cs:fontRef>
    <cs:spPr>
      <a:solidFill>
        <a:srgbClr val="FFFFFF"/>
      </a:solidFill>
      <a:ln>
        <a:solidFill>
          <a:srgbClr val="BFBFBF">
            <a:lumMod val="25000"/>
            <a:lumOff val="75000"/>
          </a:srgb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rgbClr val="000000"/>
    </cs:fontRef>
  </cs:dataPoint>
  <cs:dataPoint3D>
    <cs:lnRef idx="0"/>
    <cs:fillRef idx="1">
      <cs:styleClr val="auto"/>
    </cs:fillRef>
    <cs:effectRef idx="0"/>
    <cs:fontRef idx="minor">
      <a:srgbClr val="000000"/>
    </cs:fontRef>
  </cs:dataPoint3D>
  <cs:dataPointLine>
    <cs:lnRef idx="0">
      <cs:styleClr val="auto"/>
    </cs:lnRef>
    <cs:fillRef idx="1"/>
    <cs:effectRef idx="0"/>
    <cs:fontRef idx="minor">
      <a:srgbClr val="000000"/>
    </cs:fontRef>
    <cs:spPr>
      <a:ln w="28575" cap="rnd">
        <a:solidFill>
          <a:srgbClr val="FFFFFF"/>
        </a:solidFill>
        <a:round/>
      </a:ln>
    </cs:spPr>
  </cs:dataPointLine>
  <cs:dataPointMarker>
    <cs:lnRef idx="0">
      <cs:styleClr val="auto"/>
    </cs:lnRef>
    <cs:fillRef idx="1">
      <cs:styleClr val="auto"/>
    </cs:fillRef>
    <cs:effectRef idx="0"/>
    <cs:fontRef idx="minor">
      <a:srgbClr val="000000"/>
    </cs:fontRef>
    <cs:spPr>
      <a:ln w="9525">
        <a:solidFill>
          <a:srgbClr val="FFFFFF"/>
        </a:solidFill>
      </a:ln>
    </cs:spPr>
  </cs:dataPointMarker>
  <cs:dataPointMarkerLayout symbol="circle" size="5"/>
  <cs:dataPointWireframe>
    <cs:lnRef idx="0">
      <cs:styleClr val="auto"/>
    </cs:lnRef>
    <cs:fillRef idx="1"/>
    <cs:effectRef idx="0"/>
    <cs:fontRef idx="minor">
      <a:srgbClr val="000000"/>
    </cs:fontRef>
    <cs:spPr>
      <a:ln w="9525" cap="rnd">
        <a:solidFill>
          <a:srgbClr val="FFFFFF"/>
        </a:solidFill>
        <a:round/>
      </a:ln>
    </cs:spPr>
  </cs:dataPointWireframe>
  <cs:dataTable>
    <cs:lnRef idx="0"/>
    <cs:fillRef idx="0"/>
    <cs:effectRef idx="0"/>
    <cs:fontRef idx="minor">
      <a:srgbClr val="595959">
        <a:lumMod val="65000"/>
        <a:lumOff val="35000"/>
      </a:srgbClr>
    </cs:fontRef>
    <cs:spPr>
      <a:noFill/>
      <a:ln w="9525" cap="flat" cmpd="sng" algn="ctr">
        <a:solidFill>
          <a:srgbClr val="D9D9D9">
            <a:lumMod val="15000"/>
            <a:lumOff val="85000"/>
          </a:srgbClr>
        </a:solidFill>
        <a:round/>
      </a:ln>
    </cs:spPr>
    <cs:defRPr sz="900" kern="1200"/>
  </cs:dataTable>
  <cs:downBar>
    <cs:lnRef idx="0"/>
    <cs:fillRef idx="0"/>
    <cs:effectRef idx="0"/>
    <cs:fontRef idx="minor">
      <a:srgbClr val="000000"/>
    </cs:fontRef>
    <cs:spPr>
      <a:solidFill>
        <a:srgbClr val="595959">
          <a:lumMod val="65000"/>
          <a:lumOff val="35000"/>
        </a:srgbClr>
      </a:solidFill>
      <a:ln w="9525">
        <a:solidFill>
          <a:srgbClr val="595959">
            <a:lumMod val="65000"/>
            <a:lumOff val="35000"/>
          </a:srgbClr>
        </a:solidFill>
      </a:ln>
    </cs:spPr>
  </cs:downBar>
  <cs:dropLine>
    <cs:lnRef idx="0"/>
    <cs:fillRef idx="0"/>
    <cs:effectRef idx="0"/>
    <cs:fontRef idx="minor">
      <a:srgbClr val="000000"/>
    </cs:fontRef>
    <cs:spPr>
      <a:ln w="9525" cap="flat" cmpd="sng" algn="ctr">
        <a:solidFill>
          <a:srgbClr val="A6A6A6">
            <a:lumMod val="35000"/>
            <a:lumOff val="65000"/>
          </a:srgbClr>
        </a:solidFill>
        <a:round/>
      </a:ln>
    </cs:spPr>
  </cs:dropLine>
  <cs:errorBar>
    <cs:lnRef idx="0"/>
    <cs:fillRef idx="0"/>
    <cs:effectRef idx="0"/>
    <cs:fontRef idx="minor">
      <a:srgbClr val="000000"/>
    </cs:fontRef>
    <cs:spPr>
      <a:ln w="9525" cap="flat" cmpd="sng" algn="ctr">
        <a:solidFill>
          <a:srgbClr val="595959">
            <a:lumMod val="65000"/>
            <a:lumOff val="35000"/>
          </a:srgbClr>
        </a:solidFill>
        <a:round/>
      </a:ln>
    </cs:spPr>
  </cs:errorBar>
  <cs:floor>
    <cs:lnRef idx="0"/>
    <cs:fillRef idx="0"/>
    <cs:effectRef idx="0"/>
    <cs:fontRef idx="minor">
      <a:srgbClr val="000000"/>
    </cs:fontRef>
    <cs:spPr>
      <a:noFill/>
      <a:ln>
        <a:noFill/>
      </a:ln>
    </cs:spPr>
  </cs:floor>
  <cs:gridlineMajor>
    <cs:lnRef idx="0"/>
    <cs:fillRef idx="0"/>
    <cs:effectRef idx="0"/>
    <cs:fontRef idx="minor">
      <a:srgbClr val="000000"/>
    </cs:fontRef>
    <cs:spPr>
      <a:ln w="9525" cap="flat" cmpd="sng" algn="ctr">
        <a:solidFill>
          <a:srgbClr val="D9D9D9">
            <a:lumMod val="15000"/>
            <a:lumOff val="85000"/>
          </a:srgbClr>
        </a:solidFill>
        <a:round/>
      </a:ln>
    </cs:spPr>
  </cs:gridlineMajor>
  <cs:gridlineMinor>
    <cs:lnRef idx="0"/>
    <cs:fillRef idx="0"/>
    <cs:effectRef idx="0"/>
    <cs:fontRef idx="minor">
      <a:srgbClr val="000000"/>
    </cs:fontRef>
    <cs:spPr>
      <a:ln w="9525" cap="flat" cmpd="sng" algn="ctr">
        <a:solidFill>
          <a:srgbClr val="F2F2F2">
            <a:lumMod val="5000"/>
            <a:lumOff val="95000"/>
          </a:srgbClr>
        </a:solidFill>
        <a:round/>
      </a:ln>
    </cs:spPr>
  </cs:gridlineMinor>
  <cs:hiLoLine>
    <cs:lnRef idx="0"/>
    <cs:fillRef idx="0"/>
    <cs:effectRef idx="0"/>
    <cs:fontRef idx="minor">
      <a:srgbClr val="000000"/>
    </cs:fontRef>
    <cs:spPr>
      <a:ln w="9525" cap="flat" cmpd="sng" algn="ctr">
        <a:solidFill>
          <a:srgbClr val="404040">
            <a:lumMod val="75000"/>
            <a:lumOff val="25000"/>
          </a:srgbClr>
        </a:solidFill>
        <a:round/>
      </a:ln>
    </cs:spPr>
  </cs:hiLoLine>
  <cs:leaderLine>
    <cs:lnRef idx="0"/>
    <cs:fillRef idx="0"/>
    <cs:effectRef idx="0"/>
    <cs:fontRef idx="minor">
      <a:srgbClr val="000000"/>
    </cs:fontRef>
    <cs:spPr>
      <a:ln w="9525" cap="flat" cmpd="sng" algn="ctr">
        <a:solidFill>
          <a:srgbClr val="A6A6A6">
            <a:lumMod val="35000"/>
            <a:lumOff val="65000"/>
          </a:srgbClr>
        </a:solidFill>
        <a:round/>
      </a:ln>
    </cs:spPr>
  </cs:leaderLine>
  <cs:legend>
    <cs:lnRef idx="0"/>
    <cs:fillRef idx="0"/>
    <cs:effectRef idx="0"/>
    <cs:fontRef idx="minor">
      <a:srgbClr val="595959">
        <a:lumMod val="65000"/>
        <a:lumOff val="35000"/>
      </a:srgbClr>
    </cs:fontRef>
    <cs:defRPr sz="900" kern="1200"/>
  </cs:legend>
  <cs:plotArea mods="allowNoFillOverride allowNoLineOverride">
    <cs:lnRef idx="0"/>
    <cs:fillRef idx="0"/>
    <cs:effectRef idx="0"/>
    <cs:fontRef idx="minor">
      <a:srgbClr val="000000"/>
    </cs:fontRef>
  </cs:plotArea>
  <cs:plotArea3D mods="allowNoFillOverride allowNoLineOverride">
    <cs:lnRef idx="0"/>
    <cs:fillRef idx="0"/>
    <cs:effectRef idx="0"/>
    <cs:fontRef idx="minor">
      <a:srgbClr val="000000"/>
    </cs:fontRef>
  </cs:plotArea3D>
  <cs:seriesAxis>
    <cs:lnRef idx="0"/>
    <cs:fillRef idx="0"/>
    <cs:effectRef idx="0"/>
    <cs:fontRef idx="minor">
      <a:srgbClr val="595959">
        <a:lumMod val="65000"/>
        <a:lumOff val="35000"/>
      </a:srgbClr>
    </cs:fontRef>
    <cs:defRPr sz="900" kern="1200"/>
  </cs:seriesAxis>
  <cs:seriesLine>
    <cs:lnRef idx="0"/>
    <cs:fillRef idx="0"/>
    <cs:effectRef idx="0"/>
    <cs:fontRef idx="minor">
      <a:srgbClr val="000000"/>
    </cs:fontRef>
    <cs:spPr>
      <a:ln w="9525" cap="flat" cmpd="sng" algn="ctr">
        <a:solidFill>
          <a:srgbClr val="A6A6A6">
            <a:lumMod val="35000"/>
            <a:lumOff val="65000"/>
          </a:srgbClr>
        </a:solidFill>
        <a:round/>
      </a:ln>
    </cs:spPr>
  </cs:seriesLine>
  <cs:title>
    <cs:lnRef idx="0"/>
    <cs:fillRef idx="0"/>
    <cs:effectRef idx="0"/>
    <cs:fontRef idx="minor">
      <a:srgbClr val="595959">
        <a:lumMod val="65000"/>
        <a:lumOff val="35000"/>
      </a:srgbClr>
    </cs:fontRef>
    <cs:defRPr sz="1400" b="0" kern="1200" spc="0" baseline="0"/>
  </cs:title>
  <cs:trendline>
    <cs:lnRef idx="0">
      <cs:styleClr val="auto"/>
    </cs:lnRef>
    <cs:fillRef idx="0"/>
    <cs:effectRef idx="0"/>
    <cs:fontRef idx="minor">
      <a:srgbClr val="000000"/>
    </cs:fontRef>
    <cs:spPr>
      <a:ln w="19050" cap="rnd">
        <a:solidFill>
          <a:srgbClr val="FFFFFF"/>
        </a:solidFill>
        <a:prstDash val="sysDot"/>
      </a:ln>
    </cs:spPr>
  </cs:trendline>
  <cs:trendlineLabel>
    <cs:lnRef idx="0"/>
    <cs:fillRef idx="0"/>
    <cs:effectRef idx="0"/>
    <cs:fontRef idx="minor">
      <a:srgbClr val="595959">
        <a:lumMod val="65000"/>
        <a:lumOff val="35000"/>
      </a:srgbClr>
    </cs:fontRef>
    <cs:defRPr sz="900" kern="1200"/>
  </cs:trendlineLabel>
  <cs:upBar>
    <cs:lnRef idx="0"/>
    <cs:fillRef idx="0"/>
    <cs:effectRef idx="0"/>
    <cs:fontRef idx="minor">
      <a:srgbClr val="000000"/>
    </cs:fontRef>
    <cs:spPr>
      <a:solidFill>
        <a:srgbClr val="FFFFFF"/>
      </a:solidFill>
      <a:ln w="9525">
        <a:solidFill>
          <a:srgbClr val="D9D9D9">
            <a:lumMod val="15000"/>
            <a:lumOff val="85000"/>
          </a:srgbClr>
        </a:solidFill>
      </a:ln>
    </cs:spPr>
  </cs:upBar>
  <cs:valueAxis>
    <cs:lnRef idx="0"/>
    <cs:fillRef idx="0"/>
    <cs:effectRef idx="0"/>
    <cs:fontRef idx="minor">
      <a:srgbClr val="595959">
        <a:lumMod val="65000"/>
        <a:lumOff val="35000"/>
      </a:srgbClr>
    </cs:fontRef>
    <cs:defRPr sz="900" kern="1200"/>
  </cs:valueAxis>
  <cs:wall>
    <cs:lnRef idx="0"/>
    <cs:fillRef idx="0"/>
    <cs:effectRef idx="0"/>
    <cs:fontRef idx="minor">
      <a:srgbClr val="000000"/>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rgbClr val="595959">
        <a:lumMod val="65000"/>
        <a:lumOff val="35000"/>
      </a:srgbClr>
    </cs:fontRef>
    <cs:defRPr sz="1000" kern="1200"/>
  </cs:axisTitle>
  <cs:categoryAxis>
    <cs:lnRef idx="0"/>
    <cs:fillRef idx="0"/>
    <cs:effectRef idx="0"/>
    <cs:fontRef idx="minor">
      <a:srgbClr val="595959">
        <a:lumMod val="65000"/>
        <a:lumOff val="35000"/>
      </a:srgbClr>
    </cs:fontRef>
    <cs:spPr>
      <a:ln w="9525" cap="flat" cmpd="sng" algn="ctr">
        <a:solidFill>
          <a:srgbClr val="D9D9D9">
            <a:lumMod val="15000"/>
            <a:lumOff val="85000"/>
          </a:srgbClr>
        </a:solidFill>
        <a:round/>
      </a:ln>
    </cs:spPr>
    <cs:defRPr sz="900" kern="1200"/>
  </cs:categoryAxis>
  <cs:chartArea mods="allowNoFillOverride allowNoLineOverride">
    <cs:lnRef idx="0"/>
    <cs:fillRef idx="0"/>
    <cs:effectRef idx="0"/>
    <cs:fontRef idx="minor">
      <a:srgbClr val="000000"/>
    </cs:fontRef>
    <cs:spPr>
      <a:solidFill>
        <a:srgbClr val="FFFFFF"/>
      </a:solidFill>
      <a:ln w="9525" cap="flat" cmpd="sng" algn="ctr">
        <a:solidFill>
          <a:srgbClr val="D9D9D9">
            <a:lumMod val="15000"/>
            <a:lumOff val="85000"/>
          </a:srgbClr>
        </a:solidFill>
        <a:round/>
      </a:ln>
    </cs:spPr>
    <cs:defRPr sz="1000" kern="1200"/>
  </cs:chartArea>
  <cs:dataLabel>
    <cs:lnRef idx="0"/>
    <cs:fillRef idx="0"/>
    <cs:effectRef idx="0"/>
    <cs:fontRef idx="minor">
      <a:srgbClr val="404040">
        <a:lumMod val="75000"/>
        <a:lumOff val="25000"/>
      </a:srgbClr>
    </cs:fontRef>
    <cs:defRPr sz="900" kern="1200"/>
  </cs:dataLabel>
  <cs:dataLabelCallout>
    <cs:lnRef idx="0"/>
    <cs:fillRef idx="0"/>
    <cs:effectRef idx="0"/>
    <cs:fontRef idx="minor">
      <a:srgbClr val="595959">
        <a:lumMod val="65000"/>
        <a:lumOff val="35000"/>
      </a:srgbClr>
    </cs:fontRef>
    <cs:spPr>
      <a:solidFill>
        <a:srgbClr val="FFFFFF"/>
      </a:solidFill>
      <a:ln>
        <a:solidFill>
          <a:srgbClr val="BFBFBF">
            <a:lumMod val="25000"/>
            <a:lumOff val="75000"/>
          </a:srgb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rgbClr val="000000"/>
    </cs:fontRef>
  </cs:dataPoint>
  <cs:dataPoint3D>
    <cs:lnRef idx="0"/>
    <cs:fillRef idx="1">
      <cs:styleClr val="auto"/>
    </cs:fillRef>
    <cs:effectRef idx="0"/>
    <cs:fontRef idx="minor">
      <a:srgbClr val="000000"/>
    </cs:fontRef>
  </cs:dataPoint3D>
  <cs:dataPointLine>
    <cs:lnRef idx="0">
      <cs:styleClr val="auto"/>
    </cs:lnRef>
    <cs:fillRef idx="1"/>
    <cs:effectRef idx="0"/>
    <cs:fontRef idx="minor">
      <a:srgbClr val="000000"/>
    </cs:fontRef>
    <cs:spPr>
      <a:ln w="28575" cap="rnd">
        <a:solidFill>
          <a:srgbClr val="FFFFFF"/>
        </a:solidFill>
        <a:round/>
      </a:ln>
    </cs:spPr>
  </cs:dataPointLine>
  <cs:dataPointMarker>
    <cs:lnRef idx="0">
      <cs:styleClr val="auto"/>
    </cs:lnRef>
    <cs:fillRef idx="1">
      <cs:styleClr val="auto"/>
    </cs:fillRef>
    <cs:effectRef idx="0"/>
    <cs:fontRef idx="minor">
      <a:srgbClr val="000000"/>
    </cs:fontRef>
    <cs:spPr>
      <a:ln w="9525">
        <a:solidFill>
          <a:srgbClr val="FFFFFF"/>
        </a:solidFill>
      </a:ln>
    </cs:spPr>
  </cs:dataPointMarker>
  <cs:dataPointMarkerLayout symbol="circle" size="5"/>
  <cs:dataPointWireframe>
    <cs:lnRef idx="0">
      <cs:styleClr val="auto"/>
    </cs:lnRef>
    <cs:fillRef idx="1"/>
    <cs:effectRef idx="0"/>
    <cs:fontRef idx="minor">
      <a:srgbClr val="000000"/>
    </cs:fontRef>
    <cs:spPr>
      <a:ln w="9525" cap="rnd">
        <a:solidFill>
          <a:srgbClr val="FFFFFF"/>
        </a:solidFill>
        <a:round/>
      </a:ln>
    </cs:spPr>
  </cs:dataPointWireframe>
  <cs:dataTable>
    <cs:lnRef idx="0"/>
    <cs:fillRef idx="0"/>
    <cs:effectRef idx="0"/>
    <cs:fontRef idx="minor">
      <a:srgbClr val="595959">
        <a:lumMod val="65000"/>
        <a:lumOff val="35000"/>
      </a:srgbClr>
    </cs:fontRef>
    <cs:spPr>
      <a:noFill/>
      <a:ln w="9525" cap="flat" cmpd="sng" algn="ctr">
        <a:solidFill>
          <a:srgbClr val="D9D9D9">
            <a:lumMod val="15000"/>
            <a:lumOff val="85000"/>
          </a:srgbClr>
        </a:solidFill>
        <a:round/>
      </a:ln>
    </cs:spPr>
    <cs:defRPr sz="900" kern="1200"/>
  </cs:dataTable>
  <cs:downBar>
    <cs:lnRef idx="0"/>
    <cs:fillRef idx="0"/>
    <cs:effectRef idx="0"/>
    <cs:fontRef idx="minor">
      <a:srgbClr val="000000"/>
    </cs:fontRef>
    <cs:spPr>
      <a:solidFill>
        <a:srgbClr val="595959">
          <a:lumMod val="65000"/>
          <a:lumOff val="35000"/>
        </a:srgbClr>
      </a:solidFill>
      <a:ln w="9525">
        <a:solidFill>
          <a:srgbClr val="595959">
            <a:lumMod val="65000"/>
            <a:lumOff val="35000"/>
          </a:srgbClr>
        </a:solidFill>
      </a:ln>
    </cs:spPr>
  </cs:downBar>
  <cs:dropLine>
    <cs:lnRef idx="0"/>
    <cs:fillRef idx="0"/>
    <cs:effectRef idx="0"/>
    <cs:fontRef idx="minor">
      <a:srgbClr val="000000"/>
    </cs:fontRef>
    <cs:spPr>
      <a:ln w="9525" cap="flat" cmpd="sng" algn="ctr">
        <a:solidFill>
          <a:srgbClr val="A6A6A6">
            <a:lumMod val="35000"/>
            <a:lumOff val="65000"/>
          </a:srgbClr>
        </a:solidFill>
        <a:round/>
      </a:ln>
    </cs:spPr>
  </cs:dropLine>
  <cs:errorBar>
    <cs:lnRef idx="0"/>
    <cs:fillRef idx="0"/>
    <cs:effectRef idx="0"/>
    <cs:fontRef idx="minor">
      <a:srgbClr val="000000"/>
    </cs:fontRef>
    <cs:spPr>
      <a:ln w="9525" cap="flat" cmpd="sng" algn="ctr">
        <a:solidFill>
          <a:srgbClr val="595959">
            <a:lumMod val="65000"/>
            <a:lumOff val="35000"/>
          </a:srgbClr>
        </a:solidFill>
        <a:round/>
      </a:ln>
    </cs:spPr>
  </cs:errorBar>
  <cs:floor>
    <cs:lnRef idx="0"/>
    <cs:fillRef idx="0"/>
    <cs:effectRef idx="0"/>
    <cs:fontRef idx="minor">
      <a:srgbClr val="000000"/>
    </cs:fontRef>
    <cs:spPr>
      <a:noFill/>
      <a:ln>
        <a:noFill/>
      </a:ln>
    </cs:spPr>
  </cs:floor>
  <cs:gridlineMajor>
    <cs:lnRef idx="0"/>
    <cs:fillRef idx="0"/>
    <cs:effectRef idx="0"/>
    <cs:fontRef idx="minor">
      <a:srgbClr val="000000"/>
    </cs:fontRef>
    <cs:spPr>
      <a:ln w="9525" cap="flat" cmpd="sng" algn="ctr">
        <a:solidFill>
          <a:srgbClr val="D9D9D9">
            <a:lumMod val="15000"/>
            <a:lumOff val="85000"/>
          </a:srgbClr>
        </a:solidFill>
        <a:round/>
      </a:ln>
    </cs:spPr>
  </cs:gridlineMajor>
  <cs:gridlineMinor>
    <cs:lnRef idx="0"/>
    <cs:fillRef idx="0"/>
    <cs:effectRef idx="0"/>
    <cs:fontRef idx="minor">
      <a:srgbClr val="000000"/>
    </cs:fontRef>
    <cs:spPr>
      <a:ln w="9525" cap="flat" cmpd="sng" algn="ctr">
        <a:solidFill>
          <a:srgbClr val="F2F2F2">
            <a:lumMod val="5000"/>
            <a:lumOff val="95000"/>
          </a:srgbClr>
        </a:solidFill>
        <a:round/>
      </a:ln>
    </cs:spPr>
  </cs:gridlineMinor>
  <cs:hiLoLine>
    <cs:lnRef idx="0"/>
    <cs:fillRef idx="0"/>
    <cs:effectRef idx="0"/>
    <cs:fontRef idx="minor">
      <a:srgbClr val="000000"/>
    </cs:fontRef>
    <cs:spPr>
      <a:ln w="9525" cap="flat" cmpd="sng" algn="ctr">
        <a:solidFill>
          <a:srgbClr val="404040">
            <a:lumMod val="75000"/>
            <a:lumOff val="25000"/>
          </a:srgbClr>
        </a:solidFill>
        <a:round/>
      </a:ln>
    </cs:spPr>
  </cs:hiLoLine>
  <cs:leaderLine>
    <cs:lnRef idx="0"/>
    <cs:fillRef idx="0"/>
    <cs:effectRef idx="0"/>
    <cs:fontRef idx="minor">
      <a:srgbClr val="000000"/>
    </cs:fontRef>
    <cs:spPr>
      <a:ln w="9525" cap="flat" cmpd="sng" algn="ctr">
        <a:solidFill>
          <a:srgbClr val="A6A6A6">
            <a:lumMod val="35000"/>
            <a:lumOff val="65000"/>
          </a:srgbClr>
        </a:solidFill>
        <a:round/>
      </a:ln>
    </cs:spPr>
  </cs:leaderLine>
  <cs:legend>
    <cs:lnRef idx="0"/>
    <cs:fillRef idx="0"/>
    <cs:effectRef idx="0"/>
    <cs:fontRef idx="minor">
      <a:srgbClr val="595959">
        <a:lumMod val="65000"/>
        <a:lumOff val="35000"/>
      </a:srgbClr>
    </cs:fontRef>
    <cs:defRPr sz="900" kern="1200"/>
  </cs:legend>
  <cs:plotArea mods="allowNoFillOverride allowNoLineOverride">
    <cs:lnRef idx="0"/>
    <cs:fillRef idx="0"/>
    <cs:effectRef idx="0"/>
    <cs:fontRef idx="minor">
      <a:srgbClr val="000000"/>
    </cs:fontRef>
  </cs:plotArea>
  <cs:plotArea3D mods="allowNoFillOverride allowNoLineOverride">
    <cs:lnRef idx="0"/>
    <cs:fillRef idx="0"/>
    <cs:effectRef idx="0"/>
    <cs:fontRef idx="minor">
      <a:srgbClr val="000000"/>
    </cs:fontRef>
  </cs:plotArea3D>
  <cs:seriesAxis>
    <cs:lnRef idx="0"/>
    <cs:fillRef idx="0"/>
    <cs:effectRef idx="0"/>
    <cs:fontRef idx="minor">
      <a:srgbClr val="595959">
        <a:lumMod val="65000"/>
        <a:lumOff val="35000"/>
      </a:srgbClr>
    </cs:fontRef>
    <cs:defRPr sz="900" kern="1200"/>
  </cs:seriesAxis>
  <cs:seriesLine>
    <cs:lnRef idx="0"/>
    <cs:fillRef idx="0"/>
    <cs:effectRef idx="0"/>
    <cs:fontRef idx="minor">
      <a:srgbClr val="000000"/>
    </cs:fontRef>
    <cs:spPr>
      <a:ln w="9525" cap="flat" cmpd="sng" algn="ctr">
        <a:solidFill>
          <a:srgbClr val="A6A6A6">
            <a:lumMod val="35000"/>
            <a:lumOff val="65000"/>
          </a:srgbClr>
        </a:solidFill>
        <a:round/>
      </a:ln>
    </cs:spPr>
  </cs:seriesLine>
  <cs:title>
    <cs:lnRef idx="0"/>
    <cs:fillRef idx="0"/>
    <cs:effectRef idx="0"/>
    <cs:fontRef idx="minor">
      <a:srgbClr val="595959">
        <a:lumMod val="65000"/>
        <a:lumOff val="35000"/>
      </a:srgbClr>
    </cs:fontRef>
    <cs:defRPr sz="1400" b="0" kern="1200" spc="0" baseline="0"/>
  </cs:title>
  <cs:trendline>
    <cs:lnRef idx="0">
      <cs:styleClr val="auto"/>
    </cs:lnRef>
    <cs:fillRef idx="0"/>
    <cs:effectRef idx="0"/>
    <cs:fontRef idx="minor">
      <a:srgbClr val="000000"/>
    </cs:fontRef>
    <cs:spPr>
      <a:ln w="19050" cap="rnd">
        <a:solidFill>
          <a:srgbClr val="FFFFFF"/>
        </a:solidFill>
        <a:prstDash val="sysDot"/>
      </a:ln>
    </cs:spPr>
  </cs:trendline>
  <cs:trendlineLabel>
    <cs:lnRef idx="0"/>
    <cs:fillRef idx="0"/>
    <cs:effectRef idx="0"/>
    <cs:fontRef idx="minor">
      <a:srgbClr val="595959">
        <a:lumMod val="65000"/>
        <a:lumOff val="35000"/>
      </a:srgbClr>
    </cs:fontRef>
    <cs:defRPr sz="900" kern="1200"/>
  </cs:trendlineLabel>
  <cs:upBar>
    <cs:lnRef idx="0"/>
    <cs:fillRef idx="0"/>
    <cs:effectRef idx="0"/>
    <cs:fontRef idx="minor">
      <a:srgbClr val="000000"/>
    </cs:fontRef>
    <cs:spPr>
      <a:solidFill>
        <a:srgbClr val="FFFFFF"/>
      </a:solidFill>
      <a:ln w="9525">
        <a:solidFill>
          <a:srgbClr val="D9D9D9">
            <a:lumMod val="15000"/>
            <a:lumOff val="85000"/>
          </a:srgbClr>
        </a:solidFill>
      </a:ln>
    </cs:spPr>
  </cs:upBar>
  <cs:valueAxis>
    <cs:lnRef idx="0"/>
    <cs:fillRef idx="0"/>
    <cs:effectRef idx="0"/>
    <cs:fontRef idx="minor">
      <a:srgbClr val="595959">
        <a:lumMod val="65000"/>
        <a:lumOff val="35000"/>
      </a:srgbClr>
    </cs:fontRef>
    <cs:defRPr sz="900" kern="1200"/>
  </cs:valueAxis>
  <cs:wall>
    <cs:lnRef idx="0"/>
    <cs:fillRef idx="0"/>
    <cs:effectRef idx="0"/>
    <cs:fontRef idx="minor">
      <a:srgbClr val="000000"/>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rgbClr val="595959">
        <a:lumMod val="65000"/>
        <a:lumOff val="35000"/>
      </a:srgbClr>
    </cs:fontRef>
    <cs:defRPr sz="1000" kern="1200"/>
  </cs:axisTitle>
  <cs:categoryAxis>
    <cs:lnRef idx="0"/>
    <cs:fillRef idx="0"/>
    <cs:effectRef idx="0"/>
    <cs:fontRef idx="minor">
      <a:srgbClr val="595959">
        <a:lumMod val="65000"/>
        <a:lumOff val="35000"/>
      </a:srgbClr>
    </cs:fontRef>
    <cs:spPr>
      <a:ln w="9525" cap="flat" cmpd="sng" algn="ctr">
        <a:solidFill>
          <a:srgbClr val="D9D9D9">
            <a:lumMod val="15000"/>
            <a:lumOff val="85000"/>
          </a:srgbClr>
        </a:solidFill>
        <a:round/>
      </a:ln>
    </cs:spPr>
    <cs:defRPr sz="900" kern="1200"/>
  </cs:categoryAxis>
  <cs:chartArea mods="allowNoFillOverride allowNoLineOverride">
    <cs:lnRef idx="0"/>
    <cs:fillRef idx="0"/>
    <cs:effectRef idx="0"/>
    <cs:fontRef idx="minor">
      <a:srgbClr val="000000"/>
    </cs:fontRef>
    <cs:spPr>
      <a:solidFill>
        <a:srgbClr val="FFFFFF"/>
      </a:solidFill>
      <a:ln w="9525" cap="flat" cmpd="sng" algn="ctr">
        <a:solidFill>
          <a:srgbClr val="D9D9D9">
            <a:lumMod val="15000"/>
            <a:lumOff val="85000"/>
          </a:srgbClr>
        </a:solidFill>
        <a:round/>
      </a:ln>
    </cs:spPr>
    <cs:defRPr sz="1000" kern="1200"/>
  </cs:chartArea>
  <cs:dataLabel>
    <cs:lnRef idx="0"/>
    <cs:fillRef idx="0"/>
    <cs:effectRef idx="0"/>
    <cs:fontRef idx="minor">
      <a:srgbClr val="404040">
        <a:lumMod val="75000"/>
        <a:lumOff val="25000"/>
      </a:srgbClr>
    </cs:fontRef>
    <cs:defRPr sz="900" kern="1200"/>
  </cs:dataLabel>
  <cs:dataLabelCallout>
    <cs:lnRef idx="0"/>
    <cs:fillRef idx="0"/>
    <cs:effectRef idx="0"/>
    <cs:fontRef idx="minor">
      <a:srgbClr val="595959">
        <a:lumMod val="65000"/>
        <a:lumOff val="35000"/>
      </a:srgbClr>
    </cs:fontRef>
    <cs:spPr>
      <a:solidFill>
        <a:srgbClr val="FFFFFF"/>
      </a:solidFill>
      <a:ln>
        <a:solidFill>
          <a:srgbClr val="BFBFBF">
            <a:lumMod val="25000"/>
            <a:lumOff val="75000"/>
          </a:srgb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rgbClr val="000000"/>
    </cs:fontRef>
  </cs:dataPoint>
  <cs:dataPoint3D>
    <cs:lnRef idx="0"/>
    <cs:fillRef idx="1">
      <cs:styleClr val="auto"/>
    </cs:fillRef>
    <cs:effectRef idx="0"/>
    <cs:fontRef idx="minor">
      <a:srgbClr val="000000"/>
    </cs:fontRef>
  </cs:dataPoint3D>
  <cs:dataPointLine>
    <cs:lnRef idx="0">
      <cs:styleClr val="auto"/>
    </cs:lnRef>
    <cs:fillRef idx="1"/>
    <cs:effectRef idx="0"/>
    <cs:fontRef idx="minor">
      <a:srgbClr val="000000"/>
    </cs:fontRef>
    <cs:spPr>
      <a:ln w="28575" cap="rnd">
        <a:solidFill>
          <a:srgbClr val="FFFFFF"/>
        </a:solidFill>
        <a:round/>
      </a:ln>
    </cs:spPr>
  </cs:dataPointLine>
  <cs:dataPointMarker>
    <cs:lnRef idx="0">
      <cs:styleClr val="auto"/>
    </cs:lnRef>
    <cs:fillRef idx="1">
      <cs:styleClr val="auto"/>
    </cs:fillRef>
    <cs:effectRef idx="0"/>
    <cs:fontRef idx="minor">
      <a:srgbClr val="000000"/>
    </cs:fontRef>
    <cs:spPr>
      <a:ln w="9525">
        <a:solidFill>
          <a:srgbClr val="FFFFFF"/>
        </a:solidFill>
      </a:ln>
    </cs:spPr>
  </cs:dataPointMarker>
  <cs:dataPointMarkerLayout symbol="circle" size="5"/>
  <cs:dataPointWireframe>
    <cs:lnRef idx="0">
      <cs:styleClr val="auto"/>
    </cs:lnRef>
    <cs:fillRef idx="1"/>
    <cs:effectRef idx="0"/>
    <cs:fontRef idx="minor">
      <a:srgbClr val="000000"/>
    </cs:fontRef>
    <cs:spPr>
      <a:ln w="9525" cap="rnd">
        <a:solidFill>
          <a:srgbClr val="FFFFFF"/>
        </a:solidFill>
        <a:round/>
      </a:ln>
    </cs:spPr>
  </cs:dataPointWireframe>
  <cs:dataTable>
    <cs:lnRef idx="0"/>
    <cs:fillRef idx="0"/>
    <cs:effectRef idx="0"/>
    <cs:fontRef idx="minor">
      <a:srgbClr val="595959">
        <a:lumMod val="65000"/>
        <a:lumOff val="35000"/>
      </a:srgbClr>
    </cs:fontRef>
    <cs:spPr>
      <a:noFill/>
      <a:ln w="9525" cap="flat" cmpd="sng" algn="ctr">
        <a:solidFill>
          <a:srgbClr val="D9D9D9">
            <a:lumMod val="15000"/>
            <a:lumOff val="85000"/>
          </a:srgbClr>
        </a:solidFill>
        <a:round/>
      </a:ln>
    </cs:spPr>
    <cs:defRPr sz="900" kern="1200"/>
  </cs:dataTable>
  <cs:downBar>
    <cs:lnRef idx="0"/>
    <cs:fillRef idx="0"/>
    <cs:effectRef idx="0"/>
    <cs:fontRef idx="minor">
      <a:srgbClr val="000000"/>
    </cs:fontRef>
    <cs:spPr>
      <a:solidFill>
        <a:srgbClr val="595959">
          <a:lumMod val="65000"/>
          <a:lumOff val="35000"/>
        </a:srgbClr>
      </a:solidFill>
      <a:ln w="9525">
        <a:solidFill>
          <a:srgbClr val="595959">
            <a:lumMod val="65000"/>
            <a:lumOff val="35000"/>
          </a:srgbClr>
        </a:solidFill>
      </a:ln>
    </cs:spPr>
  </cs:downBar>
  <cs:dropLine>
    <cs:lnRef idx="0"/>
    <cs:fillRef idx="0"/>
    <cs:effectRef idx="0"/>
    <cs:fontRef idx="minor">
      <a:srgbClr val="000000"/>
    </cs:fontRef>
    <cs:spPr>
      <a:ln w="9525" cap="flat" cmpd="sng" algn="ctr">
        <a:solidFill>
          <a:srgbClr val="A6A6A6">
            <a:lumMod val="35000"/>
            <a:lumOff val="65000"/>
          </a:srgbClr>
        </a:solidFill>
        <a:round/>
      </a:ln>
    </cs:spPr>
  </cs:dropLine>
  <cs:errorBar>
    <cs:lnRef idx="0"/>
    <cs:fillRef idx="0"/>
    <cs:effectRef idx="0"/>
    <cs:fontRef idx="minor">
      <a:srgbClr val="000000"/>
    </cs:fontRef>
    <cs:spPr>
      <a:ln w="9525" cap="flat" cmpd="sng" algn="ctr">
        <a:solidFill>
          <a:srgbClr val="595959">
            <a:lumMod val="65000"/>
            <a:lumOff val="35000"/>
          </a:srgbClr>
        </a:solidFill>
        <a:round/>
      </a:ln>
    </cs:spPr>
  </cs:errorBar>
  <cs:floor>
    <cs:lnRef idx="0"/>
    <cs:fillRef idx="0"/>
    <cs:effectRef idx="0"/>
    <cs:fontRef idx="minor">
      <a:srgbClr val="000000"/>
    </cs:fontRef>
    <cs:spPr>
      <a:noFill/>
      <a:ln>
        <a:noFill/>
      </a:ln>
    </cs:spPr>
  </cs:floor>
  <cs:gridlineMajor>
    <cs:lnRef idx="0"/>
    <cs:fillRef idx="0"/>
    <cs:effectRef idx="0"/>
    <cs:fontRef idx="minor">
      <a:srgbClr val="000000"/>
    </cs:fontRef>
    <cs:spPr>
      <a:ln w="9525" cap="flat" cmpd="sng" algn="ctr">
        <a:solidFill>
          <a:srgbClr val="D9D9D9">
            <a:lumMod val="15000"/>
            <a:lumOff val="85000"/>
          </a:srgbClr>
        </a:solidFill>
        <a:round/>
      </a:ln>
    </cs:spPr>
  </cs:gridlineMajor>
  <cs:gridlineMinor>
    <cs:lnRef idx="0"/>
    <cs:fillRef idx="0"/>
    <cs:effectRef idx="0"/>
    <cs:fontRef idx="minor">
      <a:srgbClr val="000000"/>
    </cs:fontRef>
    <cs:spPr>
      <a:ln w="9525" cap="flat" cmpd="sng" algn="ctr">
        <a:solidFill>
          <a:srgbClr val="F2F2F2">
            <a:lumMod val="5000"/>
            <a:lumOff val="95000"/>
          </a:srgbClr>
        </a:solidFill>
        <a:round/>
      </a:ln>
    </cs:spPr>
  </cs:gridlineMinor>
  <cs:hiLoLine>
    <cs:lnRef idx="0"/>
    <cs:fillRef idx="0"/>
    <cs:effectRef idx="0"/>
    <cs:fontRef idx="minor">
      <a:srgbClr val="000000"/>
    </cs:fontRef>
    <cs:spPr>
      <a:ln w="9525" cap="flat" cmpd="sng" algn="ctr">
        <a:solidFill>
          <a:srgbClr val="404040">
            <a:lumMod val="75000"/>
            <a:lumOff val="25000"/>
          </a:srgbClr>
        </a:solidFill>
        <a:round/>
      </a:ln>
    </cs:spPr>
  </cs:hiLoLine>
  <cs:leaderLine>
    <cs:lnRef idx="0"/>
    <cs:fillRef idx="0"/>
    <cs:effectRef idx="0"/>
    <cs:fontRef idx="minor">
      <a:srgbClr val="000000"/>
    </cs:fontRef>
    <cs:spPr>
      <a:ln w="9525" cap="flat" cmpd="sng" algn="ctr">
        <a:solidFill>
          <a:srgbClr val="A6A6A6">
            <a:lumMod val="35000"/>
            <a:lumOff val="65000"/>
          </a:srgbClr>
        </a:solidFill>
        <a:round/>
      </a:ln>
    </cs:spPr>
  </cs:leaderLine>
  <cs:legend>
    <cs:lnRef idx="0"/>
    <cs:fillRef idx="0"/>
    <cs:effectRef idx="0"/>
    <cs:fontRef idx="minor">
      <a:srgbClr val="595959">
        <a:lumMod val="65000"/>
        <a:lumOff val="35000"/>
      </a:srgbClr>
    </cs:fontRef>
    <cs:defRPr sz="900" kern="1200"/>
  </cs:legend>
  <cs:plotArea mods="allowNoFillOverride allowNoLineOverride">
    <cs:lnRef idx="0"/>
    <cs:fillRef idx="0"/>
    <cs:effectRef idx="0"/>
    <cs:fontRef idx="minor">
      <a:srgbClr val="000000"/>
    </cs:fontRef>
  </cs:plotArea>
  <cs:plotArea3D mods="allowNoFillOverride allowNoLineOverride">
    <cs:lnRef idx="0"/>
    <cs:fillRef idx="0"/>
    <cs:effectRef idx="0"/>
    <cs:fontRef idx="minor">
      <a:srgbClr val="000000"/>
    </cs:fontRef>
  </cs:plotArea3D>
  <cs:seriesAxis>
    <cs:lnRef idx="0"/>
    <cs:fillRef idx="0"/>
    <cs:effectRef idx="0"/>
    <cs:fontRef idx="minor">
      <a:srgbClr val="595959">
        <a:lumMod val="65000"/>
        <a:lumOff val="35000"/>
      </a:srgbClr>
    </cs:fontRef>
    <cs:defRPr sz="900" kern="1200"/>
  </cs:seriesAxis>
  <cs:seriesLine>
    <cs:lnRef idx="0"/>
    <cs:fillRef idx="0"/>
    <cs:effectRef idx="0"/>
    <cs:fontRef idx="minor">
      <a:srgbClr val="000000"/>
    </cs:fontRef>
    <cs:spPr>
      <a:ln w="9525" cap="flat" cmpd="sng" algn="ctr">
        <a:solidFill>
          <a:srgbClr val="A6A6A6">
            <a:lumMod val="35000"/>
            <a:lumOff val="65000"/>
          </a:srgbClr>
        </a:solidFill>
        <a:round/>
      </a:ln>
    </cs:spPr>
  </cs:seriesLine>
  <cs:title>
    <cs:lnRef idx="0"/>
    <cs:fillRef idx="0"/>
    <cs:effectRef idx="0"/>
    <cs:fontRef idx="minor">
      <a:srgbClr val="595959">
        <a:lumMod val="65000"/>
        <a:lumOff val="35000"/>
      </a:srgbClr>
    </cs:fontRef>
    <cs:defRPr sz="1400" b="0" kern="1200" spc="0" baseline="0"/>
  </cs:title>
  <cs:trendline>
    <cs:lnRef idx="0">
      <cs:styleClr val="auto"/>
    </cs:lnRef>
    <cs:fillRef idx="0"/>
    <cs:effectRef idx="0"/>
    <cs:fontRef idx="minor">
      <a:srgbClr val="000000"/>
    </cs:fontRef>
    <cs:spPr>
      <a:ln w="19050" cap="rnd">
        <a:solidFill>
          <a:srgbClr val="FFFFFF"/>
        </a:solidFill>
        <a:prstDash val="sysDot"/>
      </a:ln>
    </cs:spPr>
  </cs:trendline>
  <cs:trendlineLabel>
    <cs:lnRef idx="0"/>
    <cs:fillRef idx="0"/>
    <cs:effectRef idx="0"/>
    <cs:fontRef idx="minor">
      <a:srgbClr val="595959">
        <a:lumMod val="65000"/>
        <a:lumOff val="35000"/>
      </a:srgbClr>
    </cs:fontRef>
    <cs:defRPr sz="900" kern="1200"/>
  </cs:trendlineLabel>
  <cs:upBar>
    <cs:lnRef idx="0"/>
    <cs:fillRef idx="0"/>
    <cs:effectRef idx="0"/>
    <cs:fontRef idx="minor">
      <a:srgbClr val="000000"/>
    </cs:fontRef>
    <cs:spPr>
      <a:solidFill>
        <a:srgbClr val="FFFFFF"/>
      </a:solidFill>
      <a:ln w="9525">
        <a:solidFill>
          <a:srgbClr val="D9D9D9">
            <a:lumMod val="15000"/>
            <a:lumOff val="85000"/>
          </a:srgbClr>
        </a:solidFill>
      </a:ln>
    </cs:spPr>
  </cs:upBar>
  <cs:valueAxis>
    <cs:lnRef idx="0"/>
    <cs:fillRef idx="0"/>
    <cs:effectRef idx="0"/>
    <cs:fontRef idx="minor">
      <a:srgbClr val="595959">
        <a:lumMod val="65000"/>
        <a:lumOff val="35000"/>
      </a:srgbClr>
    </cs:fontRef>
    <cs:defRPr sz="900" kern="1200"/>
  </cs:valueAxis>
  <cs:wall>
    <cs:lnRef idx="0"/>
    <cs:fillRef idx="0"/>
    <cs:effectRef idx="0"/>
    <cs:fontRef idx="minor">
      <a:srgbClr val="000000"/>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51">
  <cs:axisTitle>
    <cs:lnRef idx="0"/>
    <cs:fillRef idx="0"/>
    <cs:effectRef idx="0"/>
    <cs:fontRef idx="minor">
      <a:srgbClr val="595959">
        <a:lumMod val="65000"/>
        <a:lumOff val="35000"/>
      </a:srgbClr>
    </cs:fontRef>
    <cs:defRPr sz="1000" kern="1200"/>
  </cs:axisTitle>
  <cs:categoryAxis>
    <cs:lnRef idx="0"/>
    <cs:fillRef idx="0"/>
    <cs:effectRef idx="0"/>
    <cs:fontRef idx="minor">
      <a:srgbClr val="595959">
        <a:lumMod val="65000"/>
        <a:lumOff val="35000"/>
      </a:srgbClr>
    </cs:fontRef>
    <cs:spPr>
      <a:ln w="9525" cap="flat" cmpd="sng" algn="ctr">
        <a:solidFill>
          <a:srgbClr val="D9D9D9">
            <a:lumMod val="15000"/>
            <a:lumOff val="85000"/>
          </a:srgbClr>
        </a:solidFill>
        <a:round/>
      </a:ln>
    </cs:spPr>
    <cs:defRPr sz="900" kern="1200"/>
  </cs:categoryAxis>
  <cs:chartArea mods="allowNoFillOverride allowNoLineOverride">
    <cs:lnRef idx="0"/>
    <cs:fillRef idx="0"/>
    <cs:effectRef idx="0"/>
    <cs:fontRef idx="minor">
      <a:srgbClr val="000000"/>
    </cs:fontRef>
    <cs:spPr>
      <a:solidFill>
        <a:srgbClr val="FFFFFF"/>
      </a:solidFill>
      <a:ln w="9525" cap="flat" cmpd="sng" algn="ctr">
        <a:solidFill>
          <a:srgbClr val="D9D9D9">
            <a:lumMod val="15000"/>
            <a:lumOff val="85000"/>
          </a:srgbClr>
        </a:solidFill>
        <a:round/>
      </a:ln>
    </cs:spPr>
    <cs:defRPr sz="900" kern="1200"/>
  </cs:chartArea>
  <cs:dataLabel>
    <cs:lnRef idx="0"/>
    <cs:fillRef idx="0"/>
    <cs:effectRef idx="0"/>
    <cs:fontRef idx="minor">
      <a:srgbClr val="404040">
        <a:lumMod val="75000"/>
        <a:lumOff val="25000"/>
      </a:srgbClr>
    </cs:fontRef>
    <cs:defRPr sz="900" kern="1200"/>
  </cs:dataLabel>
  <cs:dataLabelCallout>
    <cs:lnRef idx="0"/>
    <cs:fillRef idx="0"/>
    <cs:effectRef idx="0"/>
    <cs:fontRef idx="minor">
      <a:srgbClr val="595959">
        <a:lumMod val="65000"/>
        <a:lumOff val="35000"/>
      </a:srgbClr>
    </cs:fontRef>
    <cs:spPr>
      <a:solidFill>
        <a:srgbClr val="FFFFFF"/>
      </a:solidFill>
      <a:ln>
        <a:solidFill>
          <a:srgbClr val="BFBFBF">
            <a:lumMod val="25000"/>
            <a:lumOff val="75000"/>
          </a:srgb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rgbClr val="000000"/>
    </cs:fontRef>
    <cs:spPr>
      <a:ln w="19050">
        <a:solidFill>
          <a:srgbClr val="FFFFFF"/>
        </a:solidFill>
      </a:ln>
    </cs:spPr>
  </cs:dataPoint>
  <cs:dataPoint3D>
    <cs:lnRef idx="0"/>
    <cs:fillRef idx="1">
      <cs:styleClr val="auto"/>
    </cs:fillRef>
    <cs:effectRef idx="0"/>
    <cs:fontRef idx="minor">
      <a:srgbClr val="000000"/>
    </cs:fontRef>
    <cs:spPr>
      <a:ln w="25400">
        <a:solidFill>
          <a:srgbClr val="FFFFFF"/>
        </a:solidFill>
      </a:ln>
    </cs:spPr>
  </cs:dataPoint3D>
  <cs:dataPointLine>
    <cs:lnRef idx="0">
      <cs:styleClr val="auto"/>
    </cs:lnRef>
    <cs:fillRef idx="0"/>
    <cs:effectRef idx="0"/>
    <cs:fontRef idx="minor">
      <a:srgbClr val="000000"/>
    </cs:fontRef>
    <cs:spPr>
      <a:ln w="28575" cap="rnd">
        <a:solidFill>
          <a:srgbClr val="FFFFFF"/>
        </a:solidFill>
        <a:round/>
      </a:ln>
    </cs:spPr>
  </cs:dataPointLine>
  <cs:dataPointMarker>
    <cs:lnRef idx="0">
      <cs:styleClr val="auto"/>
    </cs:lnRef>
    <cs:fillRef idx="1">
      <cs:styleClr val="auto"/>
    </cs:fillRef>
    <cs:effectRef idx="0"/>
    <cs:fontRef idx="minor">
      <a:srgbClr val="000000"/>
    </cs:fontRef>
    <cs:spPr>
      <a:ln w="9525">
        <a:solidFill>
          <a:srgbClr val="FFFFFF"/>
        </a:solidFill>
      </a:ln>
    </cs:spPr>
  </cs:dataPointMarker>
  <cs:dataPointMarkerLayout symbol="circle" size="5"/>
  <cs:dataPointWireframe>
    <cs:lnRef idx="0">
      <cs:styleClr val="auto"/>
    </cs:lnRef>
    <cs:fillRef idx="0"/>
    <cs:effectRef idx="0"/>
    <cs:fontRef idx="minor">
      <a:srgbClr val="000000"/>
    </cs:fontRef>
    <cs:spPr>
      <a:ln w="9525" cap="rnd">
        <a:solidFill>
          <a:srgbClr val="FFFFFF"/>
        </a:solidFill>
        <a:round/>
      </a:ln>
    </cs:spPr>
  </cs:dataPointWireframe>
  <cs:dataTable>
    <cs:lnRef idx="0"/>
    <cs:fillRef idx="0"/>
    <cs:effectRef idx="0"/>
    <cs:fontRef idx="minor">
      <a:srgbClr val="595959">
        <a:lumMod val="65000"/>
        <a:lumOff val="35000"/>
      </a:srgbClr>
    </cs:fontRef>
    <cs:spPr>
      <a:noFill/>
      <a:ln w="9525" cap="flat" cmpd="sng" algn="ctr">
        <a:solidFill>
          <a:srgbClr val="D9D9D9">
            <a:lumMod val="15000"/>
            <a:lumOff val="85000"/>
          </a:srgbClr>
        </a:solidFill>
        <a:round/>
      </a:ln>
    </cs:spPr>
    <cs:defRPr sz="900" kern="1200"/>
  </cs:dataTable>
  <cs:downBar>
    <cs:lnRef idx="0"/>
    <cs:fillRef idx="0"/>
    <cs:effectRef idx="0"/>
    <cs:fontRef idx="minor">
      <a:srgbClr val="000000"/>
    </cs:fontRef>
    <cs:spPr>
      <a:solidFill>
        <a:srgbClr val="404040">
          <a:lumMod val="75000"/>
          <a:lumOff val="25000"/>
        </a:srgbClr>
      </a:solidFill>
      <a:ln w="9525" cap="flat" cmpd="sng" algn="ctr">
        <a:solidFill>
          <a:srgbClr val="595959">
            <a:lumMod val="65000"/>
            <a:lumOff val="35000"/>
          </a:srgbClr>
        </a:solidFill>
        <a:round/>
      </a:ln>
    </cs:spPr>
  </cs:downBar>
  <cs:dropLine>
    <cs:lnRef idx="0"/>
    <cs:fillRef idx="0"/>
    <cs:effectRef idx="0"/>
    <cs:fontRef idx="minor">
      <a:srgbClr val="000000"/>
    </cs:fontRef>
    <cs:spPr>
      <a:ln w="9525" cap="flat" cmpd="sng" algn="ctr">
        <a:solidFill>
          <a:srgbClr val="A6A6A6">
            <a:lumMod val="35000"/>
            <a:lumOff val="65000"/>
          </a:srgbClr>
        </a:solidFill>
        <a:round/>
      </a:ln>
    </cs:spPr>
  </cs:dropLine>
  <cs:errorBar>
    <cs:lnRef idx="0"/>
    <cs:fillRef idx="0"/>
    <cs:effectRef idx="0"/>
    <cs:fontRef idx="minor">
      <a:srgbClr val="000000"/>
    </cs:fontRef>
    <cs:spPr>
      <a:ln w="9525" cap="flat" cmpd="sng" algn="ctr">
        <a:solidFill>
          <a:srgbClr val="595959">
            <a:lumMod val="65000"/>
            <a:lumOff val="35000"/>
          </a:srgbClr>
        </a:solidFill>
        <a:round/>
      </a:ln>
    </cs:spPr>
  </cs:errorBar>
  <cs:floor>
    <cs:lnRef idx="0"/>
    <cs:fillRef idx="0"/>
    <cs:effectRef idx="0"/>
    <cs:fontRef idx="minor">
      <a:srgbClr val="000000"/>
    </cs:fontRef>
    <cs:spPr>
      <a:noFill/>
      <a:ln>
        <a:noFill/>
      </a:ln>
    </cs:spPr>
  </cs:floor>
  <cs:gridlineMajor>
    <cs:lnRef idx="0"/>
    <cs:fillRef idx="0"/>
    <cs:effectRef idx="0"/>
    <cs:fontRef idx="minor">
      <a:srgbClr val="000000"/>
    </cs:fontRef>
    <cs:spPr>
      <a:ln w="9525" cap="flat" cmpd="sng" algn="ctr">
        <a:solidFill>
          <a:srgbClr val="D9D9D9">
            <a:lumMod val="15000"/>
            <a:lumOff val="85000"/>
          </a:srgbClr>
        </a:solidFill>
        <a:round/>
      </a:ln>
    </cs:spPr>
  </cs:gridlineMajor>
  <cs:gridlineMinor>
    <cs:lnRef idx="0"/>
    <cs:fillRef idx="0"/>
    <cs:effectRef idx="0"/>
    <cs:fontRef idx="minor">
      <a:srgbClr val="000000"/>
    </cs:fontRef>
    <cs:spPr>
      <a:ln w="9525" cap="flat" cmpd="sng" algn="ctr">
        <a:solidFill>
          <a:srgbClr val="F2F2F2">
            <a:lumMod val="5000"/>
            <a:lumOff val="95000"/>
          </a:srgbClr>
        </a:solidFill>
        <a:round/>
      </a:ln>
    </cs:spPr>
  </cs:gridlineMinor>
  <cs:hiLoLine>
    <cs:lnRef idx="0"/>
    <cs:fillRef idx="0"/>
    <cs:effectRef idx="0"/>
    <cs:fontRef idx="minor">
      <a:srgbClr val="000000"/>
    </cs:fontRef>
    <cs:spPr>
      <a:ln w="9525" cap="flat" cmpd="sng" algn="ctr">
        <a:solidFill>
          <a:srgbClr val="808080">
            <a:lumMod val="50000"/>
            <a:lumOff val="50000"/>
          </a:srgbClr>
        </a:solidFill>
        <a:round/>
      </a:ln>
    </cs:spPr>
  </cs:hiLoLine>
  <cs:leaderLine>
    <cs:lnRef idx="0"/>
    <cs:fillRef idx="0"/>
    <cs:effectRef idx="0"/>
    <cs:fontRef idx="minor">
      <a:srgbClr val="000000"/>
    </cs:fontRef>
    <cs:spPr>
      <a:ln w="9525" cap="flat" cmpd="sng" algn="ctr">
        <a:solidFill>
          <a:srgbClr val="A6A6A6">
            <a:lumMod val="35000"/>
            <a:lumOff val="65000"/>
          </a:srgbClr>
        </a:solidFill>
        <a:round/>
      </a:ln>
    </cs:spPr>
  </cs:leaderLine>
  <cs:legend>
    <cs:lnRef idx="0"/>
    <cs:fillRef idx="0"/>
    <cs:effectRef idx="0"/>
    <cs:fontRef idx="minor">
      <a:srgbClr val="595959">
        <a:lumMod val="65000"/>
        <a:lumOff val="35000"/>
      </a:srgbClr>
    </cs:fontRef>
    <cs:defRPr sz="900" kern="1200"/>
  </cs:legend>
  <cs:plotArea mods="allowNoFillOverride allowNoLineOverride">
    <cs:lnRef idx="0"/>
    <cs:fillRef idx="0"/>
    <cs:effectRef idx="0"/>
    <cs:fontRef idx="minor">
      <a:srgbClr val="000000"/>
    </cs:fontRef>
  </cs:plotArea>
  <cs:plotArea3D mods="allowNoFillOverride allowNoLineOverride">
    <cs:lnRef idx="0"/>
    <cs:fillRef idx="0"/>
    <cs:effectRef idx="0"/>
    <cs:fontRef idx="minor">
      <a:srgbClr val="000000"/>
    </cs:fontRef>
  </cs:plotArea3D>
  <cs:seriesAxis>
    <cs:lnRef idx="0"/>
    <cs:fillRef idx="0"/>
    <cs:effectRef idx="0"/>
    <cs:fontRef idx="minor">
      <a:srgbClr val="595959">
        <a:lumMod val="65000"/>
        <a:lumOff val="35000"/>
      </a:srgbClr>
    </cs:fontRef>
    <cs:defRPr sz="900" kern="1200"/>
  </cs:seriesAxis>
  <cs:seriesLine>
    <cs:lnRef idx="0"/>
    <cs:fillRef idx="0"/>
    <cs:effectRef idx="0"/>
    <cs:fontRef idx="minor">
      <a:srgbClr val="000000"/>
    </cs:fontRef>
    <cs:spPr>
      <a:ln w="9525" cap="flat" cmpd="sng" algn="ctr">
        <a:solidFill>
          <a:srgbClr val="A6A6A6">
            <a:lumMod val="35000"/>
            <a:lumOff val="65000"/>
          </a:srgbClr>
        </a:solidFill>
        <a:round/>
      </a:ln>
    </cs:spPr>
  </cs:seriesLine>
  <cs:title>
    <cs:lnRef idx="0"/>
    <cs:fillRef idx="0"/>
    <cs:effectRef idx="0"/>
    <cs:fontRef idx="minor">
      <a:srgbClr val="595959">
        <a:lumMod val="65000"/>
        <a:lumOff val="35000"/>
      </a:srgbClr>
    </cs:fontRef>
    <cs:defRPr sz="1400" b="0" kern="1200" spc="0" baseline="0"/>
  </cs:title>
  <cs:trendline>
    <cs:lnRef idx="0">
      <cs:styleClr val="auto"/>
    </cs:lnRef>
    <cs:fillRef idx="0"/>
    <cs:effectRef idx="0"/>
    <cs:fontRef idx="minor">
      <a:srgbClr val="000000"/>
    </cs:fontRef>
    <cs:spPr>
      <a:ln w="19050" cap="rnd">
        <a:solidFill>
          <a:srgbClr val="FFFFFF"/>
        </a:solidFill>
        <a:prstDash val="sysDot"/>
      </a:ln>
    </cs:spPr>
  </cs:trendline>
  <cs:trendlineLabel>
    <cs:lnRef idx="0"/>
    <cs:fillRef idx="0"/>
    <cs:effectRef idx="0"/>
    <cs:fontRef idx="minor">
      <a:srgbClr val="595959">
        <a:lumMod val="65000"/>
        <a:lumOff val="35000"/>
      </a:srgbClr>
    </cs:fontRef>
    <cs:defRPr sz="900" kern="1200"/>
  </cs:trendlineLabel>
  <cs:upBar>
    <cs:lnRef idx="0"/>
    <cs:fillRef idx="0"/>
    <cs:effectRef idx="0"/>
    <cs:fontRef idx="minor">
      <a:srgbClr val="000000"/>
    </cs:fontRef>
    <cs:spPr>
      <a:solidFill>
        <a:srgbClr val="FFFFFF"/>
      </a:solidFill>
      <a:ln w="9525" cap="flat" cmpd="sng" algn="ctr">
        <a:solidFill>
          <a:srgbClr val="595959">
            <a:lumMod val="65000"/>
            <a:lumOff val="35000"/>
          </a:srgbClr>
        </a:solidFill>
        <a:round/>
      </a:ln>
    </cs:spPr>
  </cs:upBar>
  <cs:valueAxis>
    <cs:lnRef idx="0"/>
    <cs:fillRef idx="0"/>
    <cs:effectRef idx="0"/>
    <cs:fontRef idx="minor">
      <a:srgbClr val="595959">
        <a:lumMod val="65000"/>
        <a:lumOff val="35000"/>
      </a:srgbClr>
    </cs:fontRef>
    <cs:defRPr sz="900" kern="1200"/>
  </cs:valueAxis>
  <cs:wall>
    <cs:lnRef idx="0"/>
    <cs:fillRef idx="0"/>
    <cs:effectRef idx="0"/>
    <cs:fontRef idx="minor">
      <a:srgbClr val="000000"/>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0.724305555555556</cdr:x>
      <cdr:y>0.305555555555556</cdr:y>
    </cdr:from>
    <cdr:to>
      <cdr:x>0.949305555555556</cdr:x>
      <cdr:y>0.770833333333333</cdr:y>
    </cdr:to>
    <cdr:sp>
      <cdr:nvSpPr>
        <cdr:cNvPr id="2" name="矩形 1"/>
        <cdr:cNvSpPr/>
      </cdr:nvSpPr>
      <cdr:spPr xmlns:a="http://schemas.openxmlformats.org/drawingml/2006/main">
        <a:xfrm xmlns:a="http://schemas.openxmlformats.org/drawingml/2006/main">
          <a:off x="3311525" y="838200"/>
          <a:ext cx="1028700" cy="1276350"/>
        </a:xfrm>
        <a:prstGeom xmlns:a="http://schemas.openxmlformats.org/drawingml/2006/main" prst="rect">
          <a:avLst/>
        </a:prstGeom>
      </cdr:spPr>
      <cdr:txBody xmlns:a="http://schemas.openxmlformats.org/drawingml/2006/main">
        <a:bodyPr vertOverflow="clip" horzOverflow="clip" vert="horz" wrap="square" lIns="45720" tIns="45720" rIns="45720" bIns="45720" rtlCol="0" anchor="t" anchorCtr="0">
          <a:normAutofit/>
        </a:bodyPr>
        <a:p>
          <a:endParaRPr lang="zh-CN" altLang="en-US"/>
        </a:p>
      </cdr:txBody>
    </cdr:sp>
  </cdr:relSizeAnchor>
</c:userShapes>
</file>

<file path=word/theme/_rels/themeOverride3.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rgbClr val="FFFFFF"/>
      </a:solidFill>
      <a:gradFill rotWithShape="1">
        <a:gsLst>
          <a:gs pos="0">
            <a:srgbClr val="FFFFFF">
              <a:lumMod val="110000"/>
              <a:satMod val="105000"/>
              <a:tint val="67000"/>
            </a:srgbClr>
          </a:gs>
          <a:gs pos="50000">
            <a:srgbClr val="FFFFFF">
              <a:lumMod val="105000"/>
              <a:satMod val="103000"/>
              <a:tint val="73000"/>
            </a:srgbClr>
          </a:gs>
          <a:gs pos="100000">
            <a:srgbClr val="FFFFFF">
              <a:lumMod val="105000"/>
              <a:satMod val="109000"/>
              <a:tint val="81000"/>
            </a:srgbClr>
          </a:gs>
        </a:gsLst>
        <a:lin ang="5400000" scaled="0"/>
      </a:gradFill>
      <a:gradFill rotWithShape="1">
        <a:gsLst>
          <a:gs pos="0">
            <a:srgbClr val="FFFFFF">
              <a:satMod val="103000"/>
              <a:lumMod val="102000"/>
              <a:tint val="94000"/>
            </a:srgbClr>
          </a:gs>
          <a:gs pos="50000">
            <a:srgbClr val="FFFFFF">
              <a:satMod val="110000"/>
              <a:lumMod val="100000"/>
              <a:shade val="100000"/>
            </a:srgbClr>
          </a:gs>
          <a:gs pos="100000">
            <a:srgbClr val="E2E2E2">
              <a:lumMod val="99000"/>
              <a:satMod val="120000"/>
              <a:shade val="78000"/>
            </a:srgbClr>
          </a:gs>
        </a:gsLst>
        <a:lin ang="5400000" scaled="0"/>
      </a:gradFill>
    </a:fillStyleLst>
    <a:lnStyleLst>
      <a:ln w="6350" cap="flat" cmpd="sng" algn="ctr">
        <a:solidFill>
          <a:srgbClr val="FFFFFF"/>
        </a:solidFill>
        <a:prstDash val="solid"/>
        <a:miter lim="800000"/>
      </a:ln>
      <a:ln w="12700" cap="flat" cmpd="sng" algn="ctr">
        <a:solidFill>
          <a:srgbClr val="FFFFFF"/>
        </a:solidFill>
        <a:prstDash val="solid"/>
        <a:miter lim="800000"/>
      </a:ln>
      <a:ln w="19050" cap="flat" cmpd="sng" algn="ctr">
        <a:solidFill>
          <a:srgbClr val="FFFFFF"/>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rgbClr val="FFFFFF"/>
      </a:solidFill>
      <a:solidFill>
        <a:srgbClr val="FFFFFF">
          <a:tint val="95000"/>
          <a:satMod val="170000"/>
        </a:srgbClr>
      </a:solidFill>
      <a:gradFill rotWithShape="1">
        <a:gsLst>
          <a:gs pos="0">
            <a:srgbClr val="FFFFFF">
              <a:tint val="93000"/>
              <a:satMod val="150000"/>
              <a:shade val="98000"/>
              <a:lumMod val="102000"/>
            </a:srgbClr>
          </a:gs>
          <a:gs pos="50000">
            <a:srgbClr val="FBFBFB">
              <a:tint val="98000"/>
              <a:satMod val="130000"/>
              <a:shade val="90000"/>
              <a:lumMod val="103000"/>
            </a:srgbClr>
          </a:gs>
          <a:gs pos="100000">
            <a:srgbClr val="D0D0D0">
              <a:shade val="63000"/>
              <a:satMod val="120000"/>
            </a:srgbClr>
          </a:gs>
        </a:gsLst>
        <a:lin ang="5400000" scaled="0"/>
      </a:gradFill>
    </a:bgFillStyleLst>
  </a:fmtScheme>
</a:themeOverride>
</file>

<file path=word/theme/themeOverride3.xml><?xml version="1.0" encoding="utf-8"?>
<a:themeOverride xmlns:a="http://schemas.openxmlformats.org/drawingml/2006/main">
  <a:clrScheme name="Essential">
    <a:dk1>
      <a:srgbClr val="000000"/>
    </a:dk1>
    <a:lt1>
      <a:srgbClr val="FFFFFF"/>
    </a:lt1>
    <a:dk2>
      <a:srgbClr val="D1282E"/>
    </a:dk2>
    <a:lt2>
      <a:srgbClr val="C8C8B1"/>
    </a:lt2>
    <a:accent1>
      <a:srgbClr val="7A7A7A"/>
    </a:accent1>
    <a:accent2>
      <a:srgbClr val="F5C201"/>
    </a:accent2>
    <a:accent3>
      <a:srgbClr val="526DB0"/>
    </a:accent3>
    <a:accent4>
      <a:srgbClr val="989AAC"/>
    </a:accent4>
    <a:accent5>
      <a:srgbClr val="DC5924"/>
    </a:accent5>
    <a:accent6>
      <a:srgbClr val="B4B392"/>
    </a:accent6>
    <a:hlink>
      <a:srgbClr val="CC9900"/>
    </a:hlink>
    <a:folHlink>
      <a:srgbClr val="969696"/>
    </a:folHlink>
  </a:clrScheme>
  <a:fontScheme name="NewsPrint">
    <a:majorFont>
      <a:latin typeface="Impact"/>
      <a:ea typeface=""/>
      <a:cs typeface=""/>
      <a:font script="Jpan" typeface="HGP創英角ｺﾞｼｯｸUB"/>
      <a:font script="Hang" typeface="HY견고딕"/>
      <a:font script="Hans" typeface="微软雅黑"/>
      <a:font script="Hant" typeface="微軟正黑體"/>
      <a:font script="Arab" typeface="Tahoma"/>
      <a:font script="Hebr" typeface="Tohoma"/>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NewsPrint">
    <a:fillStyleLst>
      <a:solidFill>
        <a:schemeClr val="phClr"/>
      </a:solidFill>
      <a:gradFill rotWithShape="1">
        <a:gsLst>
          <a:gs pos="0">
            <a:schemeClr val="phClr">
              <a:tint val="37000"/>
              <a:hueMod val="100000"/>
              <a:satMod val="200000"/>
              <a:lumMod val="88000"/>
            </a:schemeClr>
          </a:gs>
          <a:gs pos="100000">
            <a:schemeClr val="phClr">
              <a:tint val="53000"/>
              <a:shade val="100000"/>
              <a:hueMod val="100000"/>
              <a:satMod val="350000"/>
              <a:lumMod val="79000"/>
            </a:schemeClr>
          </a:gs>
        </a:gsLst>
        <a:lin ang="5400000" scaled="1"/>
      </a:gradFill>
      <a:gradFill rotWithShape="1">
        <a:gsLst>
          <a:gs pos="0">
            <a:schemeClr val="phClr">
              <a:tint val="83000"/>
              <a:shade val="100000"/>
              <a:alpha val="100000"/>
              <a:hueMod val="100000"/>
              <a:satMod val="220000"/>
              <a:lumMod val="90000"/>
            </a:schemeClr>
          </a:gs>
          <a:gs pos="76000">
            <a:schemeClr val="phClr">
              <a:shade val="100000"/>
            </a:schemeClr>
          </a:gs>
          <a:gs pos="100000">
            <a:schemeClr val="phClr">
              <a:shade val="93000"/>
              <a:alpha val="100000"/>
              <a:satMod val="100000"/>
              <a:lumMod val="93000"/>
            </a:schemeClr>
          </a:gs>
        </a:gsLst>
        <a:path path="circle">
          <a:fillToRect l="15000" t="15000" r="100000" b="100000"/>
        </a:path>
      </a:gradFill>
    </a:fillStyleLst>
    <a:lnStyleLst>
      <a:ln w="15875" cap="flat" cmpd="sng" algn="ctr">
        <a:solidFill>
          <a:schemeClr val="phClr"/>
        </a:solidFill>
        <a:prstDash val="solid"/>
      </a:ln>
      <a:ln w="22225" cap="flat" cmpd="sng" algn="ctr">
        <a:solidFill>
          <a:schemeClr val="phClr"/>
        </a:solidFill>
        <a:prstDash val="solid"/>
      </a:ln>
      <a:ln w="34925" cap="flat" cmpd="sng" algn="ctr">
        <a:solidFill>
          <a:schemeClr val="phClr"/>
        </a:solidFill>
        <a:prstDash val="solid"/>
      </a:ln>
    </a:lnStyleLst>
    <a:effectStyleLst>
      <a:effectStyle>
        <a:effectLst>
          <a:outerShdw blurRad="50800" dist="12700" dir="5280000" rotWithShape="0">
            <a:srgbClr val="000000">
              <a:alpha val="40000"/>
            </a:srgbClr>
          </a:outerShdw>
        </a:effectLst>
      </a:effectStyle>
      <a:effectStyle>
        <a:effectLst>
          <a:outerShdw blurRad="38100" dist="38100" dir="5400000" rotWithShape="0">
            <a:srgbClr val="000000">
              <a:alpha val="35000"/>
            </a:srgbClr>
          </a:outerShdw>
        </a:effectLst>
      </a:effectStyle>
      <a:effectStyle>
        <a:effectLst>
          <a:outerShdw blurRad="38100" dist="38100" dir="5400000" rotWithShape="0">
            <a:srgbClr val="000000">
              <a:alpha val="35000"/>
            </a:srgbClr>
          </a:outerShdw>
        </a:effectLst>
        <a:scene3d>
          <a:camera prst="orthographicFront">
            <a:rot lat="0" lon="0" rev="0"/>
          </a:camera>
          <a:lightRig rig="brightRoom" dir="tl"/>
        </a:scene3d>
        <a:sp3d contourW="12700">
          <a:bevelT w="31750" h="12700"/>
          <a:contourClr>
            <a:schemeClr val="phClr"/>
          </a:contourClr>
        </a:sp3d>
      </a:effectStyle>
    </a:effectStyleLst>
    <a:bgFillStyleLst>
      <a:solidFill>
        <a:schemeClr val="phClr"/>
      </a:solidFill>
      <a:gradFill rotWithShape="1">
        <a:gsLst>
          <a:gs pos="0">
            <a:schemeClr val="phClr">
              <a:tint val="93000"/>
            </a:schemeClr>
          </a:gs>
          <a:gs pos="100000">
            <a:schemeClr val="phClr">
              <a:shade val="55000"/>
            </a:schemeClr>
          </a:gs>
        </a:gsLst>
        <a:lin ang="5400000" scaled="1"/>
      </a:gradFill>
      <a:blipFill rotWithShape="1">
        <a:blip xmlns:r="http://schemas.openxmlformats.org/officeDocument/2006/relationships" r:embed="rId1">
          <a:duotone>
            <a:schemeClr val="phClr">
              <a:shade val="20000"/>
              <a:satMod val="350000"/>
              <a:lumMod val="125000"/>
            </a:schemeClr>
            <a:schemeClr val="phClr">
              <a:tint val="90000"/>
              <a:satMod val="250000"/>
            </a:schemeClr>
          </a:duotone>
        </a:blip>
        <a:stretch>
          <a:fillRect/>
        </a:stretch>
      </a:blip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Gothic"/>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rgbClr val="FFFFFF"/>
      </a:solidFill>
      <a:gradFill rotWithShape="1">
        <a:gsLst>
          <a:gs pos="0">
            <a:srgbClr val="FFFFFF">
              <a:lumMod val="110000"/>
              <a:satMod val="105000"/>
              <a:tint val="67000"/>
            </a:srgbClr>
          </a:gs>
          <a:gs pos="50000">
            <a:srgbClr val="FFFFFF">
              <a:lumMod val="105000"/>
              <a:satMod val="103000"/>
              <a:tint val="73000"/>
            </a:srgbClr>
          </a:gs>
          <a:gs pos="100000">
            <a:srgbClr val="FFFFFF">
              <a:lumMod val="105000"/>
              <a:satMod val="109000"/>
              <a:tint val="81000"/>
            </a:srgbClr>
          </a:gs>
        </a:gsLst>
        <a:lin ang="5400000" scaled="0"/>
      </a:gradFill>
      <a:gradFill rotWithShape="1">
        <a:gsLst>
          <a:gs pos="0">
            <a:srgbClr val="FFFFFF">
              <a:satMod val="103000"/>
              <a:lumMod val="102000"/>
              <a:tint val="94000"/>
            </a:srgbClr>
          </a:gs>
          <a:gs pos="50000">
            <a:srgbClr val="FFFFFF">
              <a:satMod val="110000"/>
              <a:lumMod val="100000"/>
              <a:shade val="100000"/>
            </a:srgbClr>
          </a:gs>
          <a:gs pos="100000">
            <a:srgbClr val="E2E2E2">
              <a:lumMod val="99000"/>
              <a:satMod val="120000"/>
              <a:shade val="78000"/>
            </a:srgbClr>
          </a:gs>
        </a:gsLst>
        <a:lin ang="5400000" scaled="0"/>
      </a:gradFill>
    </a:fillStyleLst>
    <a:lnStyleLst>
      <a:ln w="6350" cap="flat" cmpd="sng" algn="ctr">
        <a:solidFill>
          <a:srgbClr val="FFFFFF"/>
        </a:solidFill>
        <a:prstDash val="solid"/>
        <a:miter lim="800000"/>
      </a:ln>
      <a:ln w="12700" cap="flat" cmpd="sng" algn="ctr">
        <a:solidFill>
          <a:srgbClr val="FFFFFF"/>
        </a:solidFill>
        <a:prstDash val="solid"/>
        <a:miter lim="800000"/>
      </a:ln>
      <a:ln w="19050" cap="flat" cmpd="sng" algn="ctr">
        <a:solidFill>
          <a:srgbClr val="FFFFFF"/>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rgbClr val="FFFFFF"/>
      </a:solidFill>
      <a:solidFill>
        <a:srgbClr val="FFFFFF">
          <a:tint val="95000"/>
          <a:satMod val="170000"/>
        </a:srgbClr>
      </a:solidFill>
      <a:gradFill rotWithShape="1">
        <a:gsLst>
          <a:gs pos="0">
            <a:srgbClr val="FFFFFF">
              <a:tint val="93000"/>
              <a:satMod val="150000"/>
              <a:shade val="98000"/>
              <a:lumMod val="102000"/>
            </a:srgbClr>
          </a:gs>
          <a:gs pos="50000">
            <a:srgbClr val="FBFBFB">
              <a:tint val="98000"/>
              <a:satMod val="130000"/>
              <a:shade val="90000"/>
              <a:lumMod val="103000"/>
            </a:srgbClr>
          </a:gs>
          <a:gs pos="100000">
            <a:srgbClr val="D0D0D0">
              <a:shade val="63000"/>
              <a:satMod val="120000"/>
            </a:srgbClr>
          </a:gs>
        </a:gsLst>
        <a:lin ang="5400000" scaled="0"/>
      </a:gradFill>
    </a:bgFillStyleLst>
  </a:fmtScheme>
</a:themeOverride>
</file>

<file path=docProps/app.xml><?xml version="1.0" encoding="utf-8"?>
<Properties xmlns="http://schemas.openxmlformats.org/officeDocument/2006/extended-properties" xmlns:vt="http://schemas.openxmlformats.org/officeDocument/2006/docPropsVTypes">
  <Template>Normal.dotm</Template>
  <Company>四川省财政厅</Company>
  <Pages>19</Pages>
  <Words>5829</Words>
  <Characters>8171</Characters>
  <Lines>57</Lines>
  <Paragraphs>16</Paragraphs>
  <TotalTime>29</TotalTime>
  <ScaleCrop>false</ScaleCrop>
  <LinksUpToDate>false</LinksUpToDate>
  <CharactersWithSpaces>8195</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2020-08-05T01:49:00Z</dcterms:created>
  <dc:creator>曹颖</dc:creator>
  <cp:lastModifiedBy>Liu小鱼</cp:lastModifiedBy>
  <cp:lastPrinted>2022-08-08T09:11:00Z</cp:lastPrinted>
  <dcterms:modified xsi:type="dcterms:W3CDTF">2023-10-08T06:31:48Z</dcterms:modified>
  <dc:title>四川省***</dc:title>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87515E0E6877454C85999731E10BA88F</vt:lpwstr>
  </property>
</Properties>
</file>