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olors1.xml" ContentType="application/vnd.ms-office.chartcolorstyle+xml"/>
  <Override PartName="/word/charts/colors2.xml" ContentType="application/vnd.ms-office.chartcolorstyle+xml"/>
  <Override PartName="/word/charts/colors3.xml" ContentType="application/vnd.ms-office.chartcolorstyle+xml"/>
  <Override PartName="/word/charts/colors4.xml" ContentType="application/vnd.ms-office.chartcolorstyle+xml"/>
  <Override PartName="/word/charts/colors5.xml" ContentType="application/vnd.ms-office.chartcolorstyle+xml"/>
  <Override PartName="/word/charts/colors6.xml" ContentType="application/vnd.ms-office.chartcolorstyle+xml"/>
  <Override PartName="/word/charts/style1.xml" ContentType="application/vnd.ms-office.chartstyle+xml"/>
  <Override PartName="/word/charts/style2.xml" ContentType="application/vnd.ms-office.chartstyle+xml"/>
  <Override PartName="/word/charts/style3.xml" ContentType="application/vnd.ms-office.chartstyle+xml"/>
  <Override PartName="/word/charts/style4.xml" ContentType="application/vnd.ms-office.chartstyle+xml"/>
  <Override PartName="/word/charts/style5.xml" ContentType="application/vnd.ms-office.chartstyle+xml"/>
  <Override PartName="/word/charts/style6.xml" ContentType="application/vnd.ms-office.chartstyle+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outlineLvl w:val="0"/>
        <w:rPr>
          <w:rFonts w:ascii="方正小标宋简体" w:hAnsi="宋体" w:eastAsia="方正小标宋简体"/>
          <w:sz w:val="72"/>
          <w:szCs w:val="72"/>
        </w:rPr>
      </w:pPr>
      <w:bookmarkStart w:id="0" w:name="_Toc15306267"/>
    </w:p>
    <w:p>
      <w:pPr>
        <w:spacing w:line="600" w:lineRule="exact"/>
        <w:jc w:val="center"/>
        <w:outlineLvl w:val="0"/>
        <w:rPr>
          <w:rFonts w:ascii="方正小标宋简体" w:hAnsi="宋体" w:eastAsia="方正小标宋简体"/>
          <w:sz w:val="72"/>
          <w:szCs w:val="72"/>
        </w:rPr>
      </w:pPr>
    </w:p>
    <w:p>
      <w:pPr>
        <w:spacing w:line="600" w:lineRule="exact"/>
        <w:jc w:val="center"/>
        <w:outlineLvl w:val="0"/>
        <w:rPr>
          <w:rFonts w:ascii="方正小标宋简体" w:hAnsi="宋体" w:eastAsia="方正小标宋简体"/>
          <w:sz w:val="72"/>
          <w:szCs w:val="72"/>
        </w:rPr>
      </w:pPr>
    </w:p>
    <w:p>
      <w:pPr>
        <w:spacing w:line="600" w:lineRule="exact"/>
        <w:jc w:val="center"/>
        <w:outlineLvl w:val="0"/>
        <w:rPr>
          <w:rFonts w:ascii="方正小标宋简体" w:hAnsi="宋体" w:eastAsia="方正小标宋简体"/>
          <w:sz w:val="72"/>
          <w:szCs w:val="72"/>
        </w:rPr>
      </w:pPr>
    </w:p>
    <w:p>
      <w:pPr>
        <w:adjustRightInd w:val="0"/>
        <w:snapToGrid w:val="0"/>
        <w:spacing w:line="360" w:lineRule="auto"/>
        <w:jc w:val="center"/>
        <w:outlineLvl w:val="0"/>
        <w:rPr>
          <w:rFonts w:ascii="方正小标宋简体" w:hAnsi="方正小标宋简体" w:eastAsia="方正小标宋简体" w:cs="方正小标宋简体"/>
          <w:sz w:val="72"/>
          <w:szCs w:val="72"/>
        </w:rPr>
      </w:pPr>
      <w:bookmarkStart w:id="1" w:name="_Toc15377425"/>
      <w:bookmarkStart w:id="2" w:name="_Toc15377193"/>
      <w:bookmarkStart w:id="3" w:name="_Toc15378441"/>
      <w:bookmarkStart w:id="4" w:name="_Toc15396597"/>
      <w:bookmarkStart w:id="5" w:name="_Toc15396475"/>
      <w:r>
        <w:rPr>
          <w:rFonts w:hint="eastAsia" w:ascii="方正小标宋简体" w:hAnsi="方正小标宋简体" w:eastAsia="方正小标宋简体" w:cs="方正小标宋简体"/>
          <w:sz w:val="72"/>
          <w:szCs w:val="72"/>
        </w:rPr>
        <w:t>2021年度</w:t>
      </w:r>
      <w:bookmarkEnd w:id="1"/>
      <w:bookmarkEnd w:id="2"/>
      <w:bookmarkEnd w:id="3"/>
      <w:bookmarkEnd w:id="4"/>
      <w:bookmarkEnd w:id="5"/>
    </w:p>
    <w:p>
      <w:pPr>
        <w:adjustRightInd w:val="0"/>
        <w:snapToGrid w:val="0"/>
        <w:spacing w:line="360" w:lineRule="auto"/>
        <w:jc w:val="center"/>
        <w:outlineLvl w:val="0"/>
        <w:rPr>
          <w:rFonts w:ascii="方正小标宋简体" w:hAnsi="方正小标宋简体" w:eastAsia="方正小标宋简体" w:cs="方正小标宋简体"/>
          <w:sz w:val="72"/>
          <w:szCs w:val="72"/>
        </w:rPr>
      </w:pPr>
      <w:bookmarkStart w:id="6" w:name="_Toc15396598"/>
      <w:bookmarkStart w:id="7" w:name="_Toc15377194"/>
      <w:bookmarkStart w:id="8" w:name="_Toc15377426"/>
      <w:bookmarkStart w:id="9" w:name="_Toc15396476"/>
      <w:bookmarkStart w:id="10" w:name="_Toc15378442"/>
      <w:r>
        <w:rPr>
          <w:rFonts w:hint="eastAsia" w:ascii="方正小标宋简体" w:hAnsi="方正小标宋简体" w:eastAsia="方正小标宋简体" w:cs="方正小标宋简体"/>
          <w:sz w:val="72"/>
          <w:szCs w:val="72"/>
        </w:rPr>
        <w:t>四川省</w:t>
      </w:r>
      <w:bookmarkEnd w:id="0"/>
      <w:bookmarkStart w:id="11" w:name="_Toc15306268"/>
      <w:r>
        <w:rPr>
          <w:rFonts w:hint="eastAsia" w:ascii="方正小标宋简体" w:hAnsi="方正小标宋简体" w:eastAsia="方正小标宋简体" w:cs="方正小标宋简体"/>
          <w:sz w:val="72"/>
          <w:szCs w:val="72"/>
        </w:rPr>
        <w:t>攀枝花市地方志编纂中心</w:t>
      </w:r>
      <w:r>
        <w:rPr>
          <w:rFonts w:hint="eastAsia" w:ascii="方正小标宋简体" w:hAnsi="方正小标宋简体" w:eastAsia="方正小标宋简体" w:cs="方正小标宋简体"/>
          <w:sz w:val="72"/>
          <w:szCs w:val="72"/>
          <w:lang w:eastAsia="zh-CN"/>
        </w:rPr>
        <w:t>单位</w:t>
      </w:r>
      <w:r>
        <w:rPr>
          <w:rFonts w:hint="eastAsia" w:ascii="方正小标宋简体" w:hAnsi="方正小标宋简体" w:eastAsia="方正小标宋简体" w:cs="方正小标宋简体"/>
          <w:sz w:val="72"/>
          <w:szCs w:val="72"/>
        </w:rPr>
        <w:t>决算</w:t>
      </w:r>
      <w:bookmarkEnd w:id="6"/>
      <w:bookmarkEnd w:id="7"/>
      <w:bookmarkEnd w:id="8"/>
      <w:bookmarkEnd w:id="9"/>
      <w:bookmarkEnd w:id="10"/>
      <w:bookmarkEnd w:id="11"/>
    </w:p>
    <w:p>
      <w:pPr>
        <w:widowControl/>
        <w:jc w:val="center"/>
        <w:rPr>
          <w:rFonts w:ascii="黑体" w:hAnsi="黑体" w:eastAsia="黑体"/>
          <w:sz w:val="48"/>
          <w:szCs w:val="48"/>
        </w:rPr>
      </w:pPr>
      <w:r>
        <w:rPr>
          <w:rFonts w:ascii="方正小标宋简体" w:hAnsi="宋体" w:eastAsia="方正小标宋简体"/>
          <w:sz w:val="36"/>
          <w:szCs w:val="36"/>
        </w:rPr>
        <w:br w:type="page"/>
      </w:r>
      <w:r>
        <w:rPr>
          <w:rFonts w:hint="eastAsia" w:ascii="黑体" w:hAnsi="黑体" w:eastAsia="黑体"/>
          <w:sz w:val="48"/>
          <w:szCs w:val="48"/>
        </w:rPr>
        <w:t>目录</w:t>
      </w:r>
    </w:p>
    <w:p>
      <w:pPr>
        <w:widowControl/>
        <w:jc w:val="center"/>
        <w:rPr>
          <w:rFonts w:ascii="黑体" w:hAnsi="黑体" w:eastAsia="黑体" w:cstheme="minorBidi"/>
          <w:sz w:val="28"/>
          <w:szCs w:val="28"/>
        </w:rPr>
      </w:pPr>
    </w:p>
    <w:p>
      <w:pPr>
        <w:pStyle w:val="10"/>
      </w:pPr>
      <w:r>
        <w:rPr>
          <w:rFonts w:hint="eastAsia"/>
        </w:rPr>
        <w:t>公开时间：2022年9月</w:t>
      </w:r>
      <w:r>
        <w:t>14</w:t>
      </w:r>
      <w:r>
        <w:rPr>
          <w:rFonts w:hint="eastAsia"/>
        </w:rPr>
        <w:t>日</w:t>
      </w:r>
    </w:p>
    <w:p>
      <w:pPr>
        <w:pStyle w:val="11"/>
        <w:adjustRightInd w:val="0"/>
        <w:snapToGrid w:val="0"/>
        <w:spacing w:line="440" w:lineRule="exact"/>
        <w:ind w:left="0" w:leftChars="0" w:firstLine="0" w:firstLineChars="0"/>
        <w:jc w:val="left"/>
        <w:rPr>
          <w:rFonts w:hint="eastAsia" w:ascii="仿宋" w:hAnsi="仿宋" w:eastAsia="仿宋" w:cs="Times New Roman"/>
          <w:kern w:val="2"/>
          <w:sz w:val="24"/>
          <w:szCs w:val="28"/>
          <w:lang w:val="en-US" w:eastAsia="zh-CN" w:bidi="ar-SA"/>
        </w:rPr>
      </w:pPr>
    </w:p>
    <w:p>
      <w:pPr>
        <w:pStyle w:val="11"/>
        <w:adjustRightInd w:val="0"/>
        <w:snapToGrid w:val="0"/>
        <w:spacing w:line="440" w:lineRule="exact"/>
        <w:ind w:left="0" w:leftChars="0" w:firstLine="0" w:firstLineChars="0"/>
        <w:jc w:val="left"/>
        <w:rPr>
          <w:rFonts w:hint="default" w:ascii="仿宋" w:hAnsi="仿宋" w:eastAsia="仿宋" w:cs="Times New Roman"/>
          <w:kern w:val="2"/>
          <w:sz w:val="24"/>
          <w:szCs w:val="28"/>
          <w:lang w:val="en-US" w:eastAsia="zh-CN" w:bidi="ar-SA"/>
        </w:rPr>
      </w:pPr>
      <w:r>
        <w:rPr>
          <w:rFonts w:hint="eastAsia" w:ascii="仿宋" w:hAnsi="仿宋" w:eastAsia="仿宋" w:cs="Times New Roman"/>
          <w:kern w:val="2"/>
          <w:sz w:val="24"/>
          <w:szCs w:val="28"/>
          <w:lang w:val="en-US" w:eastAsia="zh-CN" w:bidi="ar-SA"/>
        </w:rPr>
        <w:t>第一部分 单位概况</w:t>
      </w:r>
      <w:r>
        <w:rPr>
          <w:rFonts w:hint="eastAsia" w:ascii="仿宋" w:hAnsi="仿宋" w:eastAsia="仿宋" w:cs="Times New Roman"/>
          <w:kern w:val="2"/>
          <w:sz w:val="24"/>
          <w:szCs w:val="28"/>
          <w:lang w:val="en-US" w:eastAsia="zh-CN" w:bidi="ar-SA"/>
        </w:rPr>
        <w:tab/>
      </w:r>
      <w:r>
        <w:rPr>
          <w:rFonts w:hint="eastAsia" w:ascii="仿宋" w:hAnsi="仿宋" w:eastAsia="仿宋" w:cs="Times New Roman"/>
          <w:kern w:val="2"/>
          <w:sz w:val="24"/>
          <w:szCs w:val="28"/>
          <w:lang w:val="en-US" w:eastAsia="zh-CN" w:bidi="ar-SA"/>
        </w:rPr>
        <w:t>4</w:t>
      </w:r>
    </w:p>
    <w:p>
      <w:pPr>
        <w:pStyle w:val="11"/>
        <w:adjustRightInd w:val="0"/>
        <w:snapToGrid w:val="0"/>
        <w:spacing w:line="440" w:lineRule="exact"/>
        <w:jc w:val="left"/>
        <w:rPr>
          <w:sz w:val="24"/>
        </w:rPr>
      </w:pPr>
      <w:r>
        <w:rPr>
          <w:rFonts w:hint="eastAsia"/>
          <w:sz w:val="24"/>
        </w:rPr>
        <w:t>一、职能简介</w:t>
      </w:r>
      <w:r>
        <w:rPr>
          <w:rFonts w:hint="eastAsia" w:eastAsia="仿宋_GB2312"/>
        </w:rPr>
        <w:tab/>
      </w:r>
      <w:r>
        <w:rPr>
          <w:rFonts w:hint="eastAsia" w:eastAsia="仿宋_GB2312"/>
        </w:rPr>
        <w:t>4</w:t>
      </w:r>
    </w:p>
    <w:p>
      <w:pPr>
        <w:pStyle w:val="11"/>
        <w:adjustRightInd w:val="0"/>
        <w:snapToGrid w:val="0"/>
        <w:spacing w:line="440" w:lineRule="exact"/>
        <w:jc w:val="left"/>
        <w:rPr>
          <w:rFonts w:hint="eastAsia" w:eastAsia="仿宋_GB2312"/>
        </w:rPr>
      </w:pPr>
      <w:r>
        <w:rPr>
          <w:rFonts w:hint="eastAsia" w:asciiTheme="minorEastAsia" w:hAnsiTheme="minorEastAsia" w:eastAsiaTheme="minorEastAsia" w:cstheme="minorEastAsia"/>
          <w:sz w:val="24"/>
        </w:rPr>
        <w:t>二、2021年重点工作完成情况</w:t>
      </w:r>
      <w:r>
        <w:rPr>
          <w:rFonts w:hint="eastAsia" w:eastAsia="仿宋_GB2312"/>
        </w:rPr>
        <w:tab/>
      </w:r>
      <w:r>
        <w:rPr>
          <w:rFonts w:hint="eastAsia" w:eastAsia="仿宋_GB2312"/>
        </w:rPr>
        <w:t>4</w:t>
      </w:r>
    </w:p>
    <w:p>
      <w:pPr>
        <w:pStyle w:val="11"/>
        <w:adjustRightInd w:val="0"/>
        <w:snapToGrid w:val="0"/>
        <w:spacing w:line="440" w:lineRule="exact"/>
        <w:jc w:val="left"/>
        <w:rPr>
          <w:rFonts w:hint="eastAsia"/>
        </w:rPr>
      </w:pPr>
      <w:r>
        <w:rPr>
          <w:rFonts w:hint="eastAsia" w:asciiTheme="minorEastAsia" w:hAnsiTheme="minorEastAsia" w:eastAsiaTheme="minorEastAsia" w:cstheme="minorEastAsia"/>
          <w:color w:val="auto"/>
          <w:sz w:val="24"/>
          <w:highlight w:val="none"/>
          <w:lang w:eastAsia="zh-CN"/>
        </w:rPr>
        <w:t>三、机构设置情况</w:t>
      </w:r>
      <w:r>
        <w:rPr>
          <w:rFonts w:hint="eastAsia" w:ascii="Times New Roman" w:hAnsi="Times New Roman" w:eastAsia="仿宋_GB2312"/>
        </w:rPr>
        <w:tab/>
      </w:r>
      <w:r>
        <w:rPr>
          <w:rFonts w:hint="eastAsia" w:ascii="Times New Roman" w:hAnsi="Times New Roman" w:eastAsia="仿宋_GB2312"/>
        </w:rPr>
        <w:t>4</w:t>
      </w:r>
    </w:p>
    <w:p>
      <w:pPr>
        <w:pStyle w:val="11"/>
        <w:adjustRightInd w:val="0"/>
        <w:snapToGrid w:val="0"/>
        <w:spacing w:line="440" w:lineRule="exact"/>
        <w:ind w:left="0" w:leftChars="0" w:firstLine="0" w:firstLineChars="0"/>
        <w:jc w:val="left"/>
        <w:rPr>
          <w:sz w:val="24"/>
          <w:szCs w:val="24"/>
        </w:rPr>
      </w:pPr>
      <w:r>
        <w:rPr>
          <w:rFonts w:hint="eastAsia" w:ascii="仿宋" w:hAnsi="仿宋" w:eastAsia="仿宋" w:cs="Times New Roman"/>
          <w:kern w:val="2"/>
          <w:sz w:val="24"/>
          <w:szCs w:val="28"/>
          <w:lang w:val="en-US" w:eastAsia="zh-CN" w:bidi="ar-SA"/>
        </w:rPr>
        <w:t>第二部分 2021年度单位决算情况说明</w:t>
      </w:r>
      <w:r>
        <w:rPr>
          <w:rFonts w:hint="eastAsia" w:ascii="Times New Roman" w:hAnsi="Times New Roman" w:eastAsia="仿宋_GB2312"/>
          <w:sz w:val="21"/>
          <w:szCs w:val="24"/>
        </w:rPr>
        <w:tab/>
      </w:r>
      <w:r>
        <w:rPr>
          <w:rFonts w:hint="eastAsia" w:ascii="Times New Roman" w:hAnsi="Times New Roman" w:eastAsia="仿宋_GB2312"/>
          <w:sz w:val="21"/>
          <w:szCs w:val="24"/>
        </w:rPr>
        <w:t>5</w:t>
      </w:r>
    </w:p>
    <w:p>
      <w:pPr>
        <w:pStyle w:val="11"/>
        <w:adjustRightInd w:val="0"/>
        <w:snapToGrid w:val="0"/>
        <w:spacing w:line="440" w:lineRule="exact"/>
        <w:jc w:val="left"/>
        <w:rPr>
          <w:rFonts w:ascii="仿宋" w:hAnsi="仿宋" w:eastAsia="仿宋_GB2312" w:cstheme="minorBidi"/>
          <w:sz w:val="24"/>
        </w:rPr>
      </w:pPr>
      <w:r>
        <w:rPr>
          <w:rFonts w:hint="eastAsia"/>
          <w:sz w:val="24"/>
        </w:rPr>
        <w:t>一、收入支出决算总体情况说明</w:t>
      </w:r>
      <w:r>
        <w:rPr>
          <w:rFonts w:hint="eastAsia" w:eastAsia="仿宋_GB2312"/>
        </w:rPr>
        <w:tab/>
      </w:r>
      <w:r>
        <w:rPr>
          <w:rFonts w:hint="eastAsia" w:eastAsia="仿宋_GB2312"/>
        </w:rPr>
        <w:t>5</w:t>
      </w:r>
    </w:p>
    <w:p>
      <w:pPr>
        <w:pStyle w:val="11"/>
        <w:adjustRightInd w:val="0"/>
        <w:snapToGrid w:val="0"/>
        <w:spacing w:line="440" w:lineRule="exact"/>
        <w:jc w:val="left"/>
        <w:rPr>
          <w:rFonts w:ascii="仿宋" w:hAnsi="仿宋" w:eastAsia="仿宋_GB2312" w:cstheme="minorBidi"/>
          <w:sz w:val="24"/>
        </w:rPr>
      </w:pPr>
      <w:r>
        <w:rPr>
          <w:rFonts w:hint="eastAsia"/>
          <w:sz w:val="24"/>
        </w:rPr>
        <w:t>二、收入决算情况说明</w:t>
      </w:r>
      <w:r>
        <w:rPr>
          <w:rFonts w:hint="eastAsia" w:eastAsia="仿宋_GB2312"/>
        </w:rPr>
        <w:tab/>
      </w:r>
      <w:r>
        <w:rPr>
          <w:rFonts w:hint="eastAsia" w:eastAsia="仿宋_GB2312"/>
        </w:rPr>
        <w:t>5</w:t>
      </w:r>
    </w:p>
    <w:p>
      <w:pPr>
        <w:pStyle w:val="11"/>
        <w:adjustRightInd w:val="0"/>
        <w:snapToGrid w:val="0"/>
        <w:spacing w:line="440" w:lineRule="exact"/>
        <w:jc w:val="left"/>
        <w:rPr>
          <w:rFonts w:ascii="仿宋" w:hAnsi="仿宋" w:eastAsia="仿宋_GB2312" w:cstheme="minorBidi"/>
          <w:sz w:val="24"/>
        </w:rPr>
      </w:pPr>
      <w:r>
        <w:rPr>
          <w:rFonts w:hint="eastAsia"/>
          <w:sz w:val="24"/>
        </w:rPr>
        <w:t>三、支出决算情况说明</w:t>
      </w:r>
      <w:r>
        <w:rPr>
          <w:rFonts w:hint="eastAsia" w:eastAsia="仿宋_GB2312"/>
        </w:rPr>
        <w:tab/>
      </w:r>
      <w:r>
        <w:rPr>
          <w:rFonts w:hint="eastAsia" w:eastAsia="仿宋_GB2312"/>
        </w:rPr>
        <w:t>6</w:t>
      </w:r>
    </w:p>
    <w:p>
      <w:pPr>
        <w:pStyle w:val="11"/>
        <w:adjustRightInd w:val="0"/>
        <w:snapToGrid w:val="0"/>
        <w:spacing w:line="440" w:lineRule="exact"/>
        <w:jc w:val="left"/>
        <w:rPr>
          <w:rFonts w:ascii="仿宋" w:hAnsi="仿宋" w:eastAsia="仿宋_GB2312" w:cstheme="minorBidi"/>
          <w:sz w:val="24"/>
        </w:rPr>
      </w:pPr>
      <w:r>
        <w:rPr>
          <w:rFonts w:hint="eastAsia"/>
          <w:sz w:val="24"/>
        </w:rPr>
        <w:t>四、财政拨款收入支出决算总体情况说明</w:t>
      </w:r>
      <w:r>
        <w:rPr>
          <w:rFonts w:hint="eastAsia" w:eastAsia="仿宋_GB2312"/>
        </w:rPr>
        <w:tab/>
      </w:r>
      <w:r>
        <w:rPr>
          <w:rFonts w:hint="eastAsia" w:eastAsia="仿宋_GB2312"/>
        </w:rPr>
        <w:t>7</w:t>
      </w:r>
    </w:p>
    <w:p>
      <w:pPr>
        <w:pStyle w:val="11"/>
        <w:adjustRightInd w:val="0"/>
        <w:snapToGrid w:val="0"/>
        <w:spacing w:line="440" w:lineRule="exact"/>
        <w:jc w:val="left"/>
        <w:rPr>
          <w:rFonts w:ascii="仿宋" w:hAnsi="仿宋" w:eastAsia="仿宋_GB2312" w:cstheme="minorBidi"/>
          <w:sz w:val="24"/>
        </w:rPr>
      </w:pPr>
      <w:r>
        <w:rPr>
          <w:rFonts w:hint="eastAsia"/>
          <w:sz w:val="24"/>
        </w:rPr>
        <w:t>五、一般公共预算财政拨款支出决算情况说明</w:t>
      </w:r>
      <w:r>
        <w:rPr>
          <w:rFonts w:hint="eastAsia" w:eastAsia="仿宋_GB2312"/>
        </w:rPr>
        <w:tab/>
      </w:r>
      <w:r>
        <w:rPr>
          <w:rFonts w:hint="eastAsia" w:eastAsia="仿宋_GB2312"/>
        </w:rPr>
        <w:t>8</w:t>
      </w:r>
    </w:p>
    <w:p>
      <w:pPr>
        <w:pStyle w:val="11"/>
        <w:adjustRightInd w:val="0"/>
        <w:snapToGrid w:val="0"/>
        <w:spacing w:line="440" w:lineRule="exact"/>
        <w:jc w:val="left"/>
        <w:rPr>
          <w:rFonts w:ascii="仿宋" w:hAnsi="仿宋" w:eastAsia="仿宋_GB2312" w:cstheme="minorBidi"/>
          <w:sz w:val="24"/>
        </w:rPr>
      </w:pPr>
      <w:r>
        <w:rPr>
          <w:rFonts w:hint="eastAsia"/>
          <w:sz w:val="24"/>
        </w:rPr>
        <w:t>六、一般公共预算财政拨款基本支出决算情况说明</w:t>
      </w:r>
      <w:r>
        <w:rPr>
          <w:rFonts w:hint="eastAsia" w:eastAsia="仿宋_GB2312"/>
        </w:rPr>
        <w:tab/>
      </w:r>
      <w:r>
        <w:rPr>
          <w:rFonts w:hint="eastAsia" w:eastAsia="仿宋_GB2312"/>
        </w:rPr>
        <w:t>11</w:t>
      </w:r>
    </w:p>
    <w:p>
      <w:pPr>
        <w:pStyle w:val="11"/>
        <w:adjustRightInd w:val="0"/>
        <w:snapToGrid w:val="0"/>
        <w:spacing w:line="440" w:lineRule="exact"/>
        <w:jc w:val="left"/>
        <w:rPr>
          <w:rFonts w:ascii="仿宋" w:hAnsi="仿宋" w:eastAsia="仿宋_GB2312" w:cstheme="minorBidi"/>
          <w:sz w:val="24"/>
        </w:rPr>
      </w:pPr>
      <w:r>
        <w:rPr>
          <w:rFonts w:hint="eastAsia"/>
          <w:sz w:val="24"/>
        </w:rPr>
        <w:t>七、“三公”经费财政拨款支出决算情况说明</w:t>
      </w:r>
      <w:r>
        <w:rPr>
          <w:rFonts w:hint="eastAsia" w:eastAsia="仿宋_GB2312"/>
        </w:rPr>
        <w:tab/>
      </w:r>
      <w:r>
        <w:rPr>
          <w:rFonts w:hint="eastAsia" w:eastAsia="仿宋_GB2312"/>
        </w:rPr>
        <w:t>12</w:t>
      </w:r>
    </w:p>
    <w:p>
      <w:pPr>
        <w:pStyle w:val="11"/>
        <w:adjustRightInd w:val="0"/>
        <w:snapToGrid w:val="0"/>
        <w:spacing w:line="440" w:lineRule="exact"/>
        <w:jc w:val="left"/>
        <w:rPr>
          <w:rFonts w:ascii="仿宋" w:hAnsi="仿宋" w:eastAsia="仿宋_GB2312" w:cstheme="minorBidi"/>
          <w:sz w:val="24"/>
        </w:rPr>
      </w:pPr>
      <w:r>
        <w:rPr>
          <w:rFonts w:hint="eastAsia"/>
          <w:sz w:val="24"/>
        </w:rPr>
        <w:t>八、政府性基金预算支出决算情况说明</w:t>
      </w:r>
      <w:r>
        <w:rPr>
          <w:rFonts w:hint="eastAsia" w:eastAsia="仿宋_GB2312"/>
        </w:rPr>
        <w:tab/>
      </w:r>
      <w:r>
        <w:rPr>
          <w:rFonts w:hint="eastAsia" w:eastAsia="仿宋_GB2312"/>
        </w:rPr>
        <w:t>13</w:t>
      </w:r>
    </w:p>
    <w:p>
      <w:pPr>
        <w:pStyle w:val="11"/>
        <w:adjustRightInd w:val="0"/>
        <w:snapToGrid w:val="0"/>
        <w:spacing w:line="440" w:lineRule="exact"/>
        <w:jc w:val="left"/>
        <w:rPr>
          <w:rFonts w:eastAsia="仿宋_GB2312"/>
          <w:sz w:val="24"/>
        </w:rPr>
      </w:pPr>
      <w:r>
        <w:rPr>
          <w:rFonts w:hint="eastAsia"/>
          <w:sz w:val="24"/>
        </w:rPr>
        <w:t>九、国有资本经营预算支出决算情况说明</w:t>
      </w:r>
      <w:r>
        <w:rPr>
          <w:rFonts w:hint="eastAsia" w:eastAsia="仿宋_GB2312"/>
        </w:rPr>
        <w:tab/>
      </w:r>
      <w:r>
        <w:rPr>
          <w:rFonts w:hint="eastAsia" w:eastAsia="仿宋_GB2312"/>
        </w:rPr>
        <w:t>14</w:t>
      </w:r>
    </w:p>
    <w:p>
      <w:pPr>
        <w:pStyle w:val="11"/>
        <w:adjustRightInd w:val="0"/>
        <w:snapToGrid w:val="0"/>
        <w:spacing w:line="440" w:lineRule="exact"/>
        <w:jc w:val="left"/>
        <w:rPr>
          <w:rFonts w:eastAsia="仿宋_GB2312"/>
          <w:sz w:val="24"/>
        </w:rPr>
      </w:pPr>
      <w:r>
        <w:rPr>
          <w:rFonts w:hint="eastAsia"/>
          <w:sz w:val="24"/>
        </w:rPr>
        <w:t>十、其他重要事项的情况说明</w:t>
      </w:r>
      <w:r>
        <w:rPr>
          <w:rFonts w:hint="eastAsia" w:eastAsia="仿宋_GB2312"/>
        </w:rPr>
        <w:tab/>
      </w:r>
      <w:r>
        <w:rPr>
          <w:rFonts w:hint="eastAsia" w:eastAsia="仿宋_GB2312"/>
        </w:rPr>
        <w:t>14</w:t>
      </w:r>
    </w:p>
    <w:p>
      <w:pPr>
        <w:pStyle w:val="10"/>
        <w:adjustRightInd w:val="0"/>
        <w:snapToGrid w:val="0"/>
        <w:spacing w:before="0" w:line="440" w:lineRule="exact"/>
        <w:jc w:val="left"/>
        <w:rPr>
          <w:rFonts w:hint="eastAsia" w:ascii="Times New Roman" w:hAnsi="Times New Roman" w:eastAsia="仿宋_GB2312"/>
          <w:sz w:val="21"/>
          <w:szCs w:val="24"/>
          <w:lang w:val="en-US" w:eastAsia="zh-CN"/>
        </w:rPr>
      </w:pPr>
      <w:r>
        <w:rPr>
          <w:rFonts w:hint="eastAsia"/>
          <w:sz w:val="24"/>
        </w:rPr>
        <w:t>第三部分</w:t>
      </w:r>
      <w:r>
        <w:rPr>
          <w:sz w:val="24"/>
        </w:rPr>
        <w:t xml:space="preserve"> </w:t>
      </w:r>
      <w:r>
        <w:rPr>
          <w:rFonts w:hint="eastAsia"/>
          <w:sz w:val="24"/>
        </w:rPr>
        <w:t>名词解释</w:t>
      </w:r>
      <w:r>
        <w:rPr>
          <w:rFonts w:hint="eastAsia" w:ascii="Times New Roman" w:hAnsi="Times New Roman" w:eastAsia="仿宋_GB2312"/>
          <w:sz w:val="21"/>
          <w:szCs w:val="24"/>
        </w:rPr>
        <w:tab/>
      </w:r>
      <w:r>
        <w:rPr>
          <w:rFonts w:hint="eastAsia" w:ascii="Times New Roman" w:hAnsi="Times New Roman" w:eastAsia="仿宋_GB2312"/>
          <w:sz w:val="21"/>
          <w:szCs w:val="24"/>
        </w:rPr>
        <w:t>1</w:t>
      </w:r>
      <w:r>
        <w:rPr>
          <w:rFonts w:hint="eastAsia" w:ascii="Times New Roman" w:hAnsi="Times New Roman" w:eastAsia="仿宋_GB2312"/>
          <w:sz w:val="21"/>
          <w:szCs w:val="24"/>
          <w:lang w:val="en-US" w:eastAsia="zh-CN"/>
        </w:rPr>
        <w:t>5</w:t>
      </w:r>
    </w:p>
    <w:p>
      <w:pPr>
        <w:pStyle w:val="10"/>
        <w:adjustRightInd w:val="0"/>
        <w:snapToGrid w:val="0"/>
        <w:spacing w:before="0" w:line="440" w:lineRule="exact"/>
        <w:jc w:val="left"/>
        <w:rPr>
          <w:rFonts w:hint="eastAsia" w:ascii="Times New Roman" w:hAnsi="Times New Roman" w:eastAsia="仿宋_GB2312"/>
          <w:sz w:val="21"/>
          <w:szCs w:val="24"/>
          <w:lang w:val="en-US" w:eastAsia="zh-CN"/>
        </w:rPr>
      </w:pPr>
      <w:r>
        <w:rPr>
          <w:rFonts w:hint="eastAsia"/>
          <w:sz w:val="24"/>
        </w:rPr>
        <w:t>第四部分</w:t>
      </w:r>
      <w:r>
        <w:rPr>
          <w:sz w:val="24"/>
        </w:rPr>
        <w:t xml:space="preserve"> </w:t>
      </w:r>
      <w:r>
        <w:rPr>
          <w:rFonts w:hint="eastAsia"/>
          <w:sz w:val="24"/>
        </w:rPr>
        <w:t>附件</w:t>
      </w:r>
      <w:r>
        <w:rPr>
          <w:rFonts w:hint="eastAsia" w:ascii="Times New Roman" w:hAnsi="Times New Roman" w:eastAsia="仿宋_GB2312"/>
          <w:sz w:val="21"/>
          <w:szCs w:val="24"/>
        </w:rPr>
        <w:tab/>
      </w:r>
      <w:r>
        <w:rPr>
          <w:rFonts w:hint="eastAsia" w:ascii="Times New Roman" w:hAnsi="Times New Roman" w:eastAsia="仿宋_GB2312"/>
          <w:sz w:val="21"/>
          <w:szCs w:val="24"/>
        </w:rPr>
        <w:t>1</w:t>
      </w:r>
      <w:r>
        <w:rPr>
          <w:rFonts w:hint="eastAsia" w:ascii="Times New Roman" w:hAnsi="Times New Roman" w:eastAsia="仿宋_GB2312"/>
          <w:sz w:val="21"/>
          <w:szCs w:val="24"/>
          <w:lang w:val="en-US" w:eastAsia="zh-CN"/>
        </w:rPr>
        <w:t>8</w:t>
      </w:r>
    </w:p>
    <w:p>
      <w:pPr>
        <w:pStyle w:val="10"/>
        <w:adjustRightInd w:val="0"/>
        <w:snapToGrid w:val="0"/>
        <w:spacing w:before="0" w:line="440" w:lineRule="exact"/>
        <w:jc w:val="left"/>
        <w:rPr>
          <w:rFonts w:hint="eastAsia" w:ascii="Times New Roman" w:hAnsi="Times New Roman" w:eastAsia="仿宋_GB2312"/>
          <w:sz w:val="21"/>
          <w:szCs w:val="24"/>
          <w:lang w:val="en-US" w:eastAsia="zh-CN"/>
        </w:rPr>
      </w:pPr>
      <w:r>
        <w:rPr>
          <w:rFonts w:hint="eastAsia"/>
          <w:sz w:val="24"/>
        </w:rPr>
        <w:t>第五部分</w:t>
      </w:r>
      <w:r>
        <w:rPr>
          <w:sz w:val="24"/>
        </w:rPr>
        <w:t xml:space="preserve"> </w:t>
      </w:r>
      <w:r>
        <w:rPr>
          <w:rFonts w:hint="eastAsia"/>
          <w:sz w:val="24"/>
        </w:rPr>
        <w:t>附表</w:t>
      </w:r>
      <w:r>
        <w:rPr>
          <w:rFonts w:hint="eastAsia" w:ascii="Times New Roman" w:hAnsi="Times New Roman" w:eastAsia="仿宋_GB2312"/>
          <w:sz w:val="21"/>
          <w:szCs w:val="24"/>
        </w:rPr>
        <w:tab/>
      </w:r>
      <w:r>
        <w:rPr>
          <w:rFonts w:hint="eastAsia" w:ascii="Times New Roman" w:hAnsi="Times New Roman" w:eastAsia="仿宋_GB2312"/>
          <w:sz w:val="21"/>
          <w:szCs w:val="24"/>
        </w:rPr>
        <w:t>2</w:t>
      </w:r>
      <w:r>
        <w:rPr>
          <w:rFonts w:hint="eastAsia" w:ascii="Times New Roman" w:hAnsi="Times New Roman" w:eastAsia="仿宋_GB2312"/>
          <w:sz w:val="21"/>
          <w:szCs w:val="24"/>
          <w:lang w:val="en-US" w:eastAsia="zh-CN"/>
        </w:rPr>
        <w:t>6</w:t>
      </w:r>
    </w:p>
    <w:p>
      <w:pPr>
        <w:pStyle w:val="11"/>
        <w:adjustRightInd w:val="0"/>
        <w:snapToGrid w:val="0"/>
        <w:spacing w:line="440" w:lineRule="exact"/>
        <w:jc w:val="left"/>
        <w:rPr>
          <w:sz w:val="24"/>
        </w:rPr>
      </w:pPr>
      <w:r>
        <w:rPr>
          <w:rFonts w:hint="eastAsia"/>
          <w:sz w:val="24"/>
        </w:rPr>
        <w:t>一、收入支出决算总表</w:t>
      </w:r>
      <w:r>
        <w:rPr>
          <w:rFonts w:hint="eastAsia" w:ascii="Times New Roman" w:hAnsi="Times New Roman" w:eastAsia="仿宋_GB2312"/>
          <w:sz w:val="21"/>
          <w:szCs w:val="24"/>
        </w:rPr>
        <w:tab/>
      </w:r>
      <w:r>
        <w:rPr>
          <w:rFonts w:hint="eastAsia" w:ascii="Times New Roman" w:hAnsi="Times New Roman" w:eastAsia="仿宋_GB2312"/>
          <w:sz w:val="21"/>
          <w:szCs w:val="24"/>
        </w:rPr>
        <w:t>2</w:t>
      </w:r>
      <w:r>
        <w:rPr>
          <w:rFonts w:hint="eastAsia" w:ascii="Times New Roman" w:hAnsi="Times New Roman" w:eastAsia="仿宋_GB2312"/>
          <w:sz w:val="21"/>
          <w:szCs w:val="24"/>
          <w:lang w:val="en-US" w:eastAsia="zh-CN"/>
        </w:rPr>
        <w:t>6</w:t>
      </w:r>
    </w:p>
    <w:p>
      <w:pPr>
        <w:pStyle w:val="11"/>
        <w:adjustRightInd w:val="0"/>
        <w:snapToGrid w:val="0"/>
        <w:spacing w:line="440" w:lineRule="exact"/>
        <w:jc w:val="left"/>
        <w:rPr>
          <w:sz w:val="24"/>
        </w:rPr>
      </w:pPr>
      <w:r>
        <w:rPr>
          <w:rFonts w:hint="eastAsia"/>
          <w:sz w:val="24"/>
        </w:rPr>
        <w:t>二、收入决算表</w:t>
      </w:r>
      <w:r>
        <w:rPr>
          <w:rFonts w:hint="eastAsia" w:ascii="Times New Roman" w:hAnsi="Times New Roman" w:eastAsia="仿宋_GB2312"/>
          <w:sz w:val="21"/>
          <w:szCs w:val="24"/>
        </w:rPr>
        <w:tab/>
      </w:r>
      <w:r>
        <w:rPr>
          <w:rFonts w:hint="eastAsia" w:ascii="Times New Roman" w:hAnsi="Times New Roman" w:eastAsia="仿宋_GB2312"/>
          <w:sz w:val="21"/>
          <w:szCs w:val="24"/>
        </w:rPr>
        <w:t>2</w:t>
      </w:r>
      <w:r>
        <w:rPr>
          <w:rFonts w:hint="eastAsia" w:ascii="Times New Roman" w:hAnsi="Times New Roman" w:eastAsia="仿宋_GB2312"/>
          <w:sz w:val="21"/>
          <w:szCs w:val="24"/>
          <w:lang w:val="en-US" w:eastAsia="zh-CN"/>
        </w:rPr>
        <w:t>6</w:t>
      </w:r>
    </w:p>
    <w:p>
      <w:pPr>
        <w:pStyle w:val="11"/>
        <w:adjustRightInd w:val="0"/>
        <w:snapToGrid w:val="0"/>
        <w:spacing w:line="440" w:lineRule="exact"/>
        <w:jc w:val="left"/>
        <w:rPr>
          <w:sz w:val="24"/>
        </w:rPr>
      </w:pPr>
      <w:r>
        <w:rPr>
          <w:rFonts w:hint="eastAsia"/>
          <w:sz w:val="24"/>
        </w:rPr>
        <w:t>三、支出决算表</w:t>
      </w:r>
      <w:r>
        <w:rPr>
          <w:rFonts w:hint="eastAsia" w:ascii="Times New Roman" w:hAnsi="Times New Roman" w:eastAsia="仿宋_GB2312"/>
          <w:sz w:val="21"/>
          <w:szCs w:val="24"/>
        </w:rPr>
        <w:tab/>
      </w:r>
      <w:r>
        <w:rPr>
          <w:rFonts w:hint="eastAsia" w:ascii="Times New Roman" w:hAnsi="Times New Roman" w:eastAsia="仿宋_GB2312"/>
          <w:sz w:val="21"/>
          <w:szCs w:val="24"/>
        </w:rPr>
        <w:t>2</w:t>
      </w:r>
      <w:r>
        <w:rPr>
          <w:rFonts w:hint="eastAsia" w:ascii="Times New Roman" w:hAnsi="Times New Roman" w:eastAsia="仿宋_GB2312"/>
          <w:sz w:val="21"/>
          <w:szCs w:val="24"/>
          <w:lang w:val="en-US" w:eastAsia="zh-CN"/>
        </w:rPr>
        <w:t>6</w:t>
      </w:r>
    </w:p>
    <w:p>
      <w:pPr>
        <w:pStyle w:val="11"/>
        <w:adjustRightInd w:val="0"/>
        <w:snapToGrid w:val="0"/>
        <w:spacing w:line="440" w:lineRule="exact"/>
        <w:jc w:val="left"/>
        <w:rPr>
          <w:sz w:val="24"/>
        </w:rPr>
      </w:pPr>
      <w:r>
        <w:rPr>
          <w:rFonts w:hint="eastAsia"/>
          <w:sz w:val="24"/>
        </w:rPr>
        <w:t>四、财政拨款收入支出决算总表</w:t>
      </w:r>
      <w:r>
        <w:rPr>
          <w:rFonts w:hint="eastAsia" w:ascii="Times New Roman" w:hAnsi="Times New Roman" w:eastAsia="仿宋_GB2312"/>
          <w:sz w:val="21"/>
          <w:szCs w:val="24"/>
        </w:rPr>
        <w:tab/>
      </w:r>
      <w:r>
        <w:rPr>
          <w:rFonts w:hint="eastAsia" w:ascii="Times New Roman" w:hAnsi="Times New Roman" w:eastAsia="仿宋_GB2312"/>
          <w:sz w:val="21"/>
          <w:szCs w:val="24"/>
        </w:rPr>
        <w:t>2</w:t>
      </w:r>
      <w:r>
        <w:rPr>
          <w:rFonts w:hint="eastAsia" w:ascii="Times New Roman" w:hAnsi="Times New Roman" w:eastAsia="仿宋_GB2312"/>
          <w:sz w:val="21"/>
          <w:szCs w:val="24"/>
          <w:lang w:val="en-US" w:eastAsia="zh-CN"/>
        </w:rPr>
        <w:t>6</w:t>
      </w:r>
    </w:p>
    <w:p>
      <w:pPr>
        <w:pStyle w:val="11"/>
        <w:adjustRightInd w:val="0"/>
        <w:snapToGrid w:val="0"/>
        <w:spacing w:line="440" w:lineRule="exact"/>
        <w:jc w:val="left"/>
        <w:rPr>
          <w:sz w:val="24"/>
        </w:rPr>
      </w:pPr>
      <w:r>
        <w:rPr>
          <w:rFonts w:hint="eastAsia"/>
          <w:sz w:val="24"/>
        </w:rPr>
        <w:t>五、财政拨款支出决算明细表</w:t>
      </w:r>
      <w:r>
        <w:rPr>
          <w:rFonts w:hint="eastAsia" w:ascii="Times New Roman" w:hAnsi="Times New Roman" w:eastAsia="仿宋_GB2312"/>
          <w:sz w:val="21"/>
          <w:szCs w:val="24"/>
        </w:rPr>
        <w:tab/>
      </w:r>
      <w:r>
        <w:rPr>
          <w:rFonts w:hint="eastAsia" w:ascii="Times New Roman" w:hAnsi="Times New Roman" w:eastAsia="仿宋_GB2312"/>
          <w:sz w:val="21"/>
          <w:szCs w:val="24"/>
        </w:rPr>
        <w:t>2</w:t>
      </w:r>
      <w:r>
        <w:rPr>
          <w:rFonts w:hint="eastAsia" w:ascii="Times New Roman" w:hAnsi="Times New Roman" w:eastAsia="仿宋_GB2312"/>
          <w:sz w:val="21"/>
          <w:szCs w:val="24"/>
          <w:lang w:val="en-US" w:eastAsia="zh-CN"/>
        </w:rPr>
        <w:t>6</w:t>
      </w:r>
    </w:p>
    <w:p>
      <w:pPr>
        <w:pStyle w:val="11"/>
        <w:adjustRightInd w:val="0"/>
        <w:snapToGrid w:val="0"/>
        <w:spacing w:line="440" w:lineRule="exact"/>
        <w:jc w:val="left"/>
        <w:rPr>
          <w:sz w:val="24"/>
        </w:rPr>
      </w:pPr>
      <w:r>
        <w:rPr>
          <w:rFonts w:hint="eastAsia"/>
          <w:sz w:val="24"/>
        </w:rPr>
        <w:t>六、一般公共预算财政拨款支出决算表</w:t>
      </w:r>
      <w:r>
        <w:rPr>
          <w:rFonts w:hint="eastAsia" w:ascii="Times New Roman" w:hAnsi="Times New Roman" w:eastAsia="仿宋_GB2312"/>
          <w:sz w:val="21"/>
          <w:szCs w:val="24"/>
        </w:rPr>
        <w:tab/>
      </w:r>
      <w:r>
        <w:rPr>
          <w:rFonts w:hint="eastAsia" w:ascii="Times New Roman" w:hAnsi="Times New Roman" w:eastAsia="仿宋_GB2312"/>
          <w:sz w:val="21"/>
          <w:szCs w:val="24"/>
        </w:rPr>
        <w:t>2</w:t>
      </w:r>
      <w:r>
        <w:rPr>
          <w:rFonts w:hint="eastAsia" w:ascii="Times New Roman" w:hAnsi="Times New Roman" w:eastAsia="仿宋_GB2312"/>
          <w:sz w:val="21"/>
          <w:szCs w:val="24"/>
          <w:lang w:val="en-US" w:eastAsia="zh-CN"/>
        </w:rPr>
        <w:t>6</w:t>
      </w:r>
    </w:p>
    <w:p>
      <w:pPr>
        <w:pStyle w:val="11"/>
        <w:adjustRightInd w:val="0"/>
        <w:snapToGrid w:val="0"/>
        <w:spacing w:line="440" w:lineRule="exact"/>
        <w:jc w:val="left"/>
        <w:rPr>
          <w:sz w:val="24"/>
        </w:rPr>
      </w:pPr>
      <w:r>
        <w:rPr>
          <w:rFonts w:hint="eastAsia"/>
          <w:sz w:val="24"/>
        </w:rPr>
        <w:t>七、一般公共预算财政拨款支出决算明细表</w:t>
      </w:r>
      <w:r>
        <w:rPr>
          <w:rFonts w:hint="eastAsia" w:ascii="Times New Roman" w:hAnsi="Times New Roman" w:eastAsia="仿宋_GB2312"/>
          <w:sz w:val="21"/>
          <w:szCs w:val="24"/>
        </w:rPr>
        <w:tab/>
      </w:r>
      <w:r>
        <w:rPr>
          <w:rFonts w:hint="eastAsia" w:ascii="Times New Roman" w:hAnsi="Times New Roman" w:eastAsia="仿宋_GB2312"/>
          <w:sz w:val="21"/>
          <w:szCs w:val="24"/>
        </w:rPr>
        <w:t>2</w:t>
      </w:r>
      <w:r>
        <w:rPr>
          <w:rFonts w:hint="eastAsia" w:ascii="Times New Roman" w:hAnsi="Times New Roman" w:eastAsia="仿宋_GB2312"/>
          <w:sz w:val="21"/>
          <w:szCs w:val="24"/>
          <w:lang w:val="en-US" w:eastAsia="zh-CN"/>
        </w:rPr>
        <w:t>6</w:t>
      </w:r>
    </w:p>
    <w:p>
      <w:pPr>
        <w:pStyle w:val="11"/>
        <w:adjustRightInd w:val="0"/>
        <w:snapToGrid w:val="0"/>
        <w:spacing w:line="440" w:lineRule="exact"/>
        <w:jc w:val="left"/>
        <w:rPr>
          <w:sz w:val="24"/>
        </w:rPr>
      </w:pPr>
      <w:r>
        <w:rPr>
          <w:rFonts w:hint="eastAsia"/>
          <w:sz w:val="24"/>
        </w:rPr>
        <w:t>八、一般公共预算财政拨款基本支出决算表</w:t>
      </w:r>
      <w:r>
        <w:rPr>
          <w:rFonts w:hint="eastAsia" w:ascii="Times New Roman" w:hAnsi="Times New Roman" w:eastAsia="仿宋_GB2312"/>
          <w:sz w:val="21"/>
          <w:szCs w:val="24"/>
        </w:rPr>
        <w:tab/>
      </w:r>
      <w:r>
        <w:rPr>
          <w:rFonts w:hint="eastAsia" w:ascii="Times New Roman" w:hAnsi="Times New Roman" w:eastAsia="仿宋_GB2312"/>
          <w:sz w:val="21"/>
          <w:szCs w:val="24"/>
        </w:rPr>
        <w:t>2</w:t>
      </w:r>
      <w:r>
        <w:rPr>
          <w:rFonts w:hint="eastAsia" w:ascii="Times New Roman" w:hAnsi="Times New Roman" w:eastAsia="仿宋_GB2312"/>
          <w:sz w:val="21"/>
          <w:szCs w:val="24"/>
          <w:lang w:val="en-US" w:eastAsia="zh-CN"/>
        </w:rPr>
        <w:t>6</w:t>
      </w:r>
    </w:p>
    <w:p>
      <w:pPr>
        <w:pStyle w:val="11"/>
        <w:adjustRightInd w:val="0"/>
        <w:snapToGrid w:val="0"/>
        <w:spacing w:line="440" w:lineRule="exact"/>
        <w:jc w:val="left"/>
        <w:rPr>
          <w:sz w:val="24"/>
        </w:rPr>
      </w:pPr>
      <w:r>
        <w:rPr>
          <w:rFonts w:hint="eastAsia"/>
          <w:sz w:val="24"/>
        </w:rPr>
        <w:t>九、一般公共预算财政拨款项目支出决算表</w:t>
      </w:r>
      <w:r>
        <w:rPr>
          <w:rFonts w:hint="eastAsia" w:ascii="Times New Roman" w:hAnsi="Times New Roman" w:eastAsia="仿宋_GB2312"/>
          <w:sz w:val="21"/>
          <w:szCs w:val="24"/>
        </w:rPr>
        <w:tab/>
      </w:r>
      <w:r>
        <w:rPr>
          <w:rFonts w:hint="eastAsia" w:ascii="Times New Roman" w:hAnsi="Times New Roman" w:eastAsia="仿宋_GB2312"/>
          <w:sz w:val="21"/>
          <w:szCs w:val="24"/>
        </w:rPr>
        <w:t>2</w:t>
      </w:r>
      <w:r>
        <w:rPr>
          <w:rFonts w:hint="eastAsia" w:ascii="Times New Roman" w:hAnsi="Times New Roman" w:eastAsia="仿宋_GB2312"/>
          <w:sz w:val="21"/>
          <w:szCs w:val="24"/>
          <w:lang w:val="en-US" w:eastAsia="zh-CN"/>
        </w:rPr>
        <w:t>6</w:t>
      </w:r>
    </w:p>
    <w:p>
      <w:pPr>
        <w:pStyle w:val="11"/>
        <w:adjustRightInd w:val="0"/>
        <w:snapToGrid w:val="0"/>
        <w:spacing w:line="440" w:lineRule="exact"/>
        <w:jc w:val="left"/>
        <w:rPr>
          <w:sz w:val="24"/>
        </w:rPr>
      </w:pPr>
      <w:r>
        <w:rPr>
          <w:rFonts w:hint="eastAsia"/>
          <w:sz w:val="24"/>
        </w:rPr>
        <w:t>十、一般公共预算财政拨款“三公”经费支出决算表</w:t>
      </w:r>
      <w:r>
        <w:rPr>
          <w:rFonts w:hint="eastAsia" w:ascii="Times New Roman" w:hAnsi="Times New Roman" w:eastAsia="仿宋_GB2312"/>
          <w:sz w:val="21"/>
          <w:szCs w:val="24"/>
        </w:rPr>
        <w:tab/>
      </w:r>
      <w:r>
        <w:rPr>
          <w:rFonts w:hint="eastAsia" w:ascii="Times New Roman" w:hAnsi="Times New Roman" w:eastAsia="仿宋_GB2312"/>
          <w:sz w:val="21"/>
          <w:szCs w:val="24"/>
        </w:rPr>
        <w:t>2</w:t>
      </w:r>
      <w:r>
        <w:rPr>
          <w:rFonts w:hint="eastAsia" w:ascii="Times New Roman" w:hAnsi="Times New Roman" w:eastAsia="仿宋_GB2312"/>
          <w:sz w:val="21"/>
          <w:szCs w:val="24"/>
          <w:lang w:val="en-US" w:eastAsia="zh-CN"/>
        </w:rPr>
        <w:t>6</w:t>
      </w:r>
    </w:p>
    <w:p>
      <w:pPr>
        <w:pStyle w:val="11"/>
        <w:adjustRightInd w:val="0"/>
        <w:snapToGrid w:val="0"/>
        <w:spacing w:line="440" w:lineRule="exact"/>
        <w:jc w:val="left"/>
        <w:rPr>
          <w:sz w:val="24"/>
        </w:rPr>
      </w:pPr>
      <w:r>
        <w:rPr>
          <w:rFonts w:hint="eastAsia"/>
          <w:sz w:val="24"/>
        </w:rPr>
        <w:t>十一、政府性基金预算财政拨款收入支出决算表</w:t>
      </w:r>
      <w:r>
        <w:rPr>
          <w:rFonts w:hint="eastAsia" w:ascii="Times New Roman" w:hAnsi="Times New Roman" w:eastAsia="仿宋_GB2312"/>
          <w:sz w:val="21"/>
          <w:szCs w:val="24"/>
        </w:rPr>
        <w:tab/>
      </w:r>
      <w:r>
        <w:rPr>
          <w:rFonts w:hint="eastAsia" w:ascii="Times New Roman" w:hAnsi="Times New Roman" w:eastAsia="仿宋_GB2312"/>
          <w:sz w:val="21"/>
          <w:szCs w:val="24"/>
        </w:rPr>
        <w:t>2</w:t>
      </w:r>
      <w:r>
        <w:rPr>
          <w:rFonts w:hint="eastAsia" w:ascii="Times New Roman" w:hAnsi="Times New Roman" w:eastAsia="仿宋_GB2312"/>
          <w:sz w:val="21"/>
          <w:szCs w:val="24"/>
          <w:lang w:val="en-US" w:eastAsia="zh-CN"/>
        </w:rPr>
        <w:t>6</w:t>
      </w:r>
    </w:p>
    <w:p>
      <w:pPr>
        <w:pStyle w:val="11"/>
        <w:adjustRightInd w:val="0"/>
        <w:snapToGrid w:val="0"/>
        <w:spacing w:line="440" w:lineRule="exact"/>
        <w:jc w:val="left"/>
        <w:rPr>
          <w:sz w:val="24"/>
        </w:rPr>
      </w:pPr>
      <w:r>
        <w:rPr>
          <w:rFonts w:hint="eastAsia"/>
          <w:sz w:val="24"/>
        </w:rPr>
        <w:t>十二、政府性基金预算财政拨款“三公”经费支出决算表</w:t>
      </w:r>
      <w:r>
        <w:rPr>
          <w:rFonts w:hint="eastAsia" w:ascii="Times New Roman" w:hAnsi="Times New Roman" w:eastAsia="仿宋_GB2312"/>
          <w:sz w:val="21"/>
          <w:szCs w:val="24"/>
        </w:rPr>
        <w:tab/>
      </w:r>
      <w:r>
        <w:rPr>
          <w:rFonts w:hint="eastAsia" w:ascii="Times New Roman" w:hAnsi="Times New Roman" w:eastAsia="仿宋_GB2312"/>
          <w:sz w:val="21"/>
          <w:szCs w:val="24"/>
        </w:rPr>
        <w:t>2</w:t>
      </w:r>
      <w:r>
        <w:rPr>
          <w:rFonts w:hint="eastAsia" w:ascii="Times New Roman" w:hAnsi="Times New Roman" w:eastAsia="仿宋_GB2312"/>
          <w:sz w:val="21"/>
          <w:szCs w:val="24"/>
          <w:lang w:val="en-US" w:eastAsia="zh-CN"/>
        </w:rPr>
        <w:t>6</w:t>
      </w:r>
    </w:p>
    <w:p>
      <w:pPr>
        <w:pStyle w:val="11"/>
        <w:adjustRightInd w:val="0"/>
        <w:snapToGrid w:val="0"/>
        <w:spacing w:line="440" w:lineRule="exact"/>
        <w:jc w:val="left"/>
        <w:rPr>
          <w:sz w:val="24"/>
        </w:rPr>
      </w:pPr>
      <w:r>
        <w:rPr>
          <w:rFonts w:hint="eastAsia"/>
          <w:sz w:val="24"/>
        </w:rPr>
        <w:t>十三、国有资本经营预算财政拨款收入支出决算表</w:t>
      </w:r>
      <w:r>
        <w:rPr>
          <w:rFonts w:hint="eastAsia" w:ascii="Times New Roman" w:hAnsi="Times New Roman" w:eastAsia="仿宋_GB2312"/>
          <w:sz w:val="21"/>
          <w:szCs w:val="24"/>
        </w:rPr>
        <w:tab/>
      </w:r>
      <w:r>
        <w:rPr>
          <w:rFonts w:hint="eastAsia" w:ascii="Times New Roman" w:hAnsi="Times New Roman" w:eastAsia="仿宋_GB2312"/>
          <w:sz w:val="21"/>
          <w:szCs w:val="24"/>
        </w:rPr>
        <w:t>2</w:t>
      </w:r>
      <w:r>
        <w:rPr>
          <w:rFonts w:hint="eastAsia" w:ascii="Times New Roman" w:hAnsi="Times New Roman" w:eastAsia="仿宋_GB2312"/>
          <w:sz w:val="21"/>
          <w:szCs w:val="24"/>
          <w:lang w:val="en-US" w:eastAsia="zh-CN"/>
        </w:rPr>
        <w:t>6</w:t>
      </w:r>
    </w:p>
    <w:p>
      <w:pPr>
        <w:pStyle w:val="11"/>
        <w:adjustRightInd w:val="0"/>
        <w:snapToGrid w:val="0"/>
        <w:spacing w:line="440" w:lineRule="exact"/>
        <w:jc w:val="left"/>
        <w:rPr>
          <w:sz w:val="24"/>
        </w:rPr>
      </w:pPr>
      <w:r>
        <w:rPr>
          <w:rFonts w:hint="eastAsia"/>
          <w:sz w:val="24"/>
        </w:rPr>
        <w:t>十四、国有资本经营预算财政拨款支出决算表</w:t>
      </w:r>
      <w:r>
        <w:rPr>
          <w:rFonts w:hint="eastAsia" w:ascii="Times New Roman" w:hAnsi="Times New Roman" w:eastAsia="仿宋_GB2312"/>
          <w:sz w:val="21"/>
          <w:szCs w:val="24"/>
        </w:rPr>
        <w:tab/>
      </w:r>
      <w:r>
        <w:rPr>
          <w:rFonts w:hint="eastAsia" w:ascii="Times New Roman" w:hAnsi="Times New Roman" w:eastAsia="仿宋_GB2312"/>
          <w:sz w:val="21"/>
          <w:szCs w:val="24"/>
        </w:rPr>
        <w:t>2</w:t>
      </w:r>
      <w:r>
        <w:rPr>
          <w:rFonts w:hint="eastAsia" w:ascii="Times New Roman" w:hAnsi="Times New Roman" w:eastAsia="仿宋_GB2312"/>
          <w:sz w:val="21"/>
          <w:szCs w:val="24"/>
          <w:lang w:val="en-US" w:eastAsia="zh-CN"/>
        </w:rPr>
        <w:t>6</w:t>
      </w:r>
    </w:p>
    <w:p>
      <w:pPr>
        <w:widowControl/>
        <w:adjustRightInd w:val="0"/>
        <w:snapToGrid w:val="0"/>
        <w:spacing w:line="440" w:lineRule="exact"/>
        <w:ind w:firstLine="1320" w:firstLineChars="550"/>
        <w:jc w:val="left"/>
        <w:rPr>
          <w:rFonts w:ascii="仿宋" w:hAnsi="仿宋" w:eastAsia="仿宋"/>
          <w:sz w:val="24"/>
        </w:rPr>
      </w:pPr>
    </w:p>
    <w:p>
      <w:pPr>
        <w:widowControl/>
        <w:spacing w:line="440" w:lineRule="exact"/>
        <w:jc w:val="left"/>
        <w:rPr>
          <w:rFonts w:ascii="仿宋" w:hAnsi="仿宋" w:eastAsia="仿宋"/>
          <w:bCs/>
          <w:kern w:val="44"/>
          <w:sz w:val="24"/>
        </w:rPr>
      </w:pPr>
      <w:bookmarkStart w:id="12" w:name="_Toc15396599"/>
      <w:bookmarkStart w:id="13" w:name="_Toc15377196"/>
      <w:r>
        <w:rPr>
          <w:rFonts w:ascii="仿宋" w:hAnsi="仿宋" w:eastAsia="仿宋"/>
          <w:b/>
          <w:sz w:val="24"/>
        </w:rPr>
        <w:br w:type="page"/>
      </w:r>
    </w:p>
    <w:p>
      <w:pPr>
        <w:pStyle w:val="3"/>
        <w:jc w:val="center"/>
        <w:rPr>
          <w:rStyle w:val="24"/>
          <w:rFonts w:ascii="黑体" w:hAnsi="黑体" w:eastAsia="黑体"/>
          <w:b/>
          <w:bCs w:val="0"/>
        </w:rPr>
      </w:pPr>
      <w:r>
        <w:rPr>
          <w:rFonts w:hint="eastAsia" w:ascii="黑体" w:hAnsi="黑体" w:eastAsia="黑体"/>
          <w:b w:val="0"/>
        </w:rPr>
        <w:t>第一部分 单位</w:t>
      </w:r>
      <w:r>
        <w:rPr>
          <w:rStyle w:val="24"/>
          <w:rFonts w:hint="eastAsia" w:ascii="黑体" w:hAnsi="黑体" w:eastAsia="黑体"/>
          <w:b w:val="0"/>
          <w:bCs w:val="0"/>
        </w:rPr>
        <w:t>概况</w:t>
      </w:r>
      <w:bookmarkEnd w:id="12"/>
      <w:bookmarkEnd w:id="13"/>
    </w:p>
    <w:p>
      <w:pPr>
        <w:widowControl/>
        <w:jc w:val="left"/>
        <w:rPr>
          <w:rFonts w:ascii="黑体" w:eastAsia="黑体"/>
          <w:sz w:val="32"/>
          <w:szCs w:val="32"/>
        </w:rPr>
      </w:pPr>
    </w:p>
    <w:p>
      <w:pPr>
        <w:pStyle w:val="4"/>
        <w:numPr>
          <w:ilvl w:val="0"/>
          <w:numId w:val="1"/>
        </w:numPr>
        <w:rPr>
          <w:rStyle w:val="25"/>
          <w:rFonts w:ascii="黑体" w:hAnsi="黑体" w:eastAsia="黑体"/>
          <w:b w:val="0"/>
          <w:bCs w:val="0"/>
        </w:rPr>
      </w:pPr>
      <w:bookmarkStart w:id="14" w:name="_Toc15396600"/>
      <w:bookmarkStart w:id="15" w:name="_Toc15377197"/>
      <w:r>
        <w:rPr>
          <w:rStyle w:val="25"/>
          <w:rFonts w:hint="eastAsia" w:ascii="黑体" w:hAnsi="黑体" w:eastAsia="黑体"/>
          <w:b w:val="0"/>
          <w:bCs w:val="0"/>
        </w:rPr>
        <w:t>职能简介</w:t>
      </w:r>
    </w:p>
    <w:p>
      <w:pPr>
        <w:adjustRightInd w:val="0"/>
        <w:snapToGrid w:val="0"/>
        <w:spacing w:before="93" w:beforeLines="30" w:line="353" w:lineRule="auto"/>
        <w:ind w:firstLine="640" w:firstLineChars="200"/>
        <w:outlineLvl w:val="2"/>
      </w:pPr>
      <w:r>
        <w:rPr>
          <w:rFonts w:eastAsia="仿宋_GB2312"/>
          <w:sz w:val="32"/>
          <w:szCs w:val="32"/>
        </w:rPr>
        <w:t>主要负责编修地方志、年鉴。负责组织编辑、出版、发行《攀枝花市志》、《攀枝花年鉴》；负责指导、督促县区志、部门志、专业志的编修，并审查验收；负责组织编辑、出版、发行《攀枝花史志》杂志。</w:t>
      </w:r>
    </w:p>
    <w:p>
      <w:pPr>
        <w:pStyle w:val="4"/>
        <w:rPr>
          <w:rFonts w:ascii="黑体" w:hAnsi="黑体" w:eastAsia="黑体"/>
          <w:b w:val="0"/>
        </w:rPr>
      </w:pPr>
      <w:r>
        <w:rPr>
          <w:rFonts w:hint="eastAsia" w:ascii="黑体" w:hAnsi="黑体" w:eastAsia="黑体"/>
          <w:b w:val="0"/>
        </w:rPr>
        <w:t>二、2021年重点工作</w:t>
      </w:r>
      <w:bookmarkEnd w:id="14"/>
      <w:bookmarkEnd w:id="15"/>
      <w:r>
        <w:rPr>
          <w:rFonts w:hint="eastAsia" w:ascii="黑体" w:hAnsi="黑体" w:eastAsia="黑体"/>
          <w:b w:val="0"/>
        </w:rPr>
        <w:t>完成情况</w:t>
      </w:r>
    </w:p>
    <w:p>
      <w:pPr>
        <w:snapToGrid w:val="0"/>
        <w:spacing w:line="520" w:lineRule="exact"/>
        <w:ind w:firstLine="640" w:firstLineChars="200"/>
        <w:rPr>
          <w:rFonts w:hint="eastAsia" w:ascii="仿宋_GB2312" w:hAnsi="仿宋" w:eastAsia="仿宋_GB2312"/>
          <w:sz w:val="32"/>
          <w:szCs w:val="32"/>
        </w:rPr>
      </w:pPr>
      <w:r>
        <w:rPr>
          <w:rFonts w:hint="eastAsia" w:ascii="仿宋_GB2312" w:hAnsi="仿宋" w:eastAsia="仿宋_GB2312"/>
          <w:sz w:val="32"/>
          <w:szCs w:val="32"/>
        </w:rPr>
        <w:t>本年度完成《攀枝花年鉴（2021</w:t>
      </w:r>
      <w:r>
        <w:rPr>
          <w:rFonts w:ascii="仿宋_GB2312" w:hAnsi="仿宋" w:eastAsia="仿宋_GB2312"/>
          <w:sz w:val="32"/>
          <w:szCs w:val="32"/>
        </w:rPr>
        <w:t>）</w:t>
      </w:r>
      <w:r>
        <w:rPr>
          <w:rFonts w:hint="eastAsia" w:ascii="仿宋_GB2312" w:hAnsi="仿宋" w:eastAsia="仿宋_GB2312"/>
          <w:sz w:val="32"/>
          <w:szCs w:val="32"/>
        </w:rPr>
        <w:t>》《攀枝花建市</w:t>
      </w:r>
      <w:r>
        <w:rPr>
          <w:rFonts w:ascii="仿宋_GB2312" w:hAnsi="仿宋" w:eastAsia="仿宋_GB2312"/>
          <w:sz w:val="32"/>
          <w:szCs w:val="32"/>
        </w:rPr>
        <w:t>开发建设</w:t>
      </w:r>
      <w:r>
        <w:rPr>
          <w:rFonts w:hint="eastAsia" w:ascii="仿宋_GB2312" w:hAnsi="仿宋" w:eastAsia="仿宋_GB2312"/>
          <w:sz w:val="32"/>
          <w:szCs w:val="32"/>
        </w:rPr>
        <w:t>大事记（1965-202</w:t>
      </w:r>
      <w:r>
        <w:rPr>
          <w:rFonts w:ascii="仿宋_GB2312" w:hAnsi="仿宋" w:eastAsia="仿宋_GB2312"/>
          <w:sz w:val="32"/>
          <w:szCs w:val="32"/>
        </w:rPr>
        <w:t>1</w:t>
      </w:r>
      <w:r>
        <w:rPr>
          <w:rFonts w:hint="eastAsia" w:ascii="仿宋_GB2312" w:hAnsi="仿宋" w:eastAsia="仿宋_GB2312"/>
          <w:sz w:val="32"/>
          <w:szCs w:val="32"/>
        </w:rPr>
        <w:t>）》《攀枝花史志》2021年度1、2、3期的编纂、出版印刷；指导《攀枝花市统计年鉴》《攀枝花市标准地名志》《市发展改革志》《市审判志》《仙山村志》</w:t>
      </w:r>
      <w:r>
        <w:rPr>
          <w:rFonts w:ascii="仿宋_GB2312" w:hAnsi="仿宋" w:eastAsia="仿宋_GB2312"/>
          <w:sz w:val="32"/>
          <w:szCs w:val="32"/>
        </w:rPr>
        <w:t>等</w:t>
      </w:r>
      <w:r>
        <w:rPr>
          <w:rFonts w:hint="eastAsia" w:ascii="仿宋_GB2312" w:hAnsi="仿宋" w:eastAsia="仿宋_GB2312"/>
          <w:sz w:val="32"/>
          <w:szCs w:val="32"/>
        </w:rPr>
        <w:t>编纂工作，完成《四川省乡镇简志》（攀枝花市卷）的编纂工作。</w:t>
      </w:r>
    </w:p>
    <w:p>
      <w:pPr>
        <w:pStyle w:val="4"/>
        <w:rPr>
          <w:rFonts w:hint="eastAsia" w:ascii="黑体" w:hAnsi="黑体" w:eastAsia="黑体"/>
          <w:b w:val="0"/>
          <w:lang w:eastAsia="zh-CN"/>
        </w:rPr>
      </w:pPr>
      <w:r>
        <w:rPr>
          <w:rFonts w:hint="eastAsia" w:ascii="黑体" w:hAnsi="黑体" w:eastAsia="黑体"/>
          <w:b w:val="0"/>
          <w:lang w:val="en-US" w:eastAsia="zh-CN"/>
        </w:rPr>
        <w:t>三、机构设置情况</w:t>
      </w:r>
    </w:p>
    <w:p>
      <w:pPr>
        <w:snapToGrid w:val="0"/>
        <w:spacing w:line="520" w:lineRule="exact"/>
        <w:ind w:firstLine="640" w:firstLineChars="200"/>
        <w:rPr>
          <w:rFonts w:hint="eastAsia" w:ascii="仿宋_GB2312" w:hAnsi="仿宋" w:eastAsia="仿宋_GB2312" w:cs="Times New Roman"/>
          <w:sz w:val="32"/>
          <w:szCs w:val="32"/>
        </w:rPr>
      </w:pPr>
      <w:r>
        <w:rPr>
          <w:rFonts w:hint="eastAsia" w:ascii="仿宋_GB2312" w:hAnsi="仿宋" w:eastAsia="仿宋_GB2312" w:cs="Times New Roman"/>
          <w:sz w:val="32"/>
          <w:szCs w:val="32"/>
        </w:rPr>
        <w:t>攀枝花市</w:t>
      </w:r>
      <w:r>
        <w:rPr>
          <w:rFonts w:hint="eastAsia" w:ascii="仿宋_GB2312" w:hAnsi="仿宋" w:eastAsia="仿宋_GB2312" w:cs="Times New Roman"/>
          <w:sz w:val="32"/>
          <w:szCs w:val="32"/>
          <w:lang w:eastAsia="zh-CN"/>
        </w:rPr>
        <w:t>地方志编纂中心为市政府办下属二级预算单位，无下属单位。本中心</w:t>
      </w:r>
      <w:r>
        <w:rPr>
          <w:rFonts w:hint="eastAsia" w:ascii="仿宋_GB2312" w:hAnsi="仿宋" w:eastAsia="仿宋_GB2312" w:cs="Times New Roman"/>
          <w:sz w:val="32"/>
          <w:szCs w:val="32"/>
        </w:rPr>
        <w:t>为参照公务员法管理事业单位</w:t>
      </w:r>
      <w:r>
        <w:rPr>
          <w:rFonts w:hint="eastAsia" w:ascii="仿宋_GB2312" w:hAnsi="仿宋" w:eastAsia="仿宋_GB2312" w:cs="Times New Roman"/>
          <w:sz w:val="32"/>
          <w:szCs w:val="32"/>
          <w:lang w:eastAsia="zh-CN"/>
        </w:rPr>
        <w:t>，</w:t>
      </w:r>
      <w:r>
        <w:rPr>
          <w:rFonts w:hint="eastAsia" w:ascii="仿宋_GB2312" w:hAnsi="仿宋" w:eastAsia="仿宋_GB2312" w:cs="Times New Roman"/>
          <w:sz w:val="32"/>
          <w:szCs w:val="32"/>
        </w:rPr>
        <w:t>独立编制机构数1个；独立核算机构数1个。</w:t>
      </w:r>
    </w:p>
    <w:p>
      <w:pPr>
        <w:snapToGrid w:val="0"/>
        <w:spacing w:line="520" w:lineRule="exact"/>
        <w:ind w:firstLine="640" w:firstLineChars="200"/>
        <w:rPr>
          <w:rFonts w:hint="default" w:ascii="仿宋_GB2312" w:hAnsi="仿宋" w:eastAsia="仿宋_GB2312" w:cs="Times New Roman"/>
          <w:sz w:val="32"/>
          <w:szCs w:val="32"/>
          <w:lang w:val="en-US" w:eastAsia="zh-CN"/>
        </w:rPr>
      </w:pPr>
      <w:r>
        <w:rPr>
          <w:rFonts w:hint="eastAsia" w:ascii="仿宋_GB2312" w:hAnsi="仿宋" w:eastAsia="仿宋_GB2312" w:cs="Times New Roman"/>
          <w:sz w:val="32"/>
          <w:szCs w:val="32"/>
          <w:lang w:eastAsia="zh-CN"/>
        </w:rPr>
        <w:t>纳入</w:t>
      </w:r>
      <w:r>
        <w:rPr>
          <w:rFonts w:hint="eastAsia" w:ascii="仿宋_GB2312" w:hAnsi="仿宋" w:eastAsia="仿宋_GB2312" w:cs="Times New Roman"/>
          <w:sz w:val="32"/>
          <w:szCs w:val="32"/>
          <w:lang w:val="en-US" w:eastAsia="zh-CN"/>
        </w:rPr>
        <w:t>2021年度单位决算编制范围的独立机构包括：攀枝花市地方志编纂中心。</w:t>
      </w:r>
    </w:p>
    <w:p>
      <w:pPr>
        <w:pStyle w:val="2"/>
      </w:pPr>
    </w:p>
    <w:p/>
    <w:p>
      <w:pPr>
        <w:pStyle w:val="3"/>
        <w:ind w:right="440"/>
        <w:jc w:val="center"/>
        <w:rPr>
          <w:rStyle w:val="24"/>
          <w:rFonts w:ascii="黑体" w:hAnsi="黑体" w:eastAsia="黑体"/>
          <w:b w:val="0"/>
          <w:bCs/>
        </w:rPr>
      </w:pPr>
      <w:bookmarkStart w:id="16" w:name="_Toc15396602"/>
      <w:bookmarkStart w:id="17" w:name="_Toc15377204"/>
      <w:r>
        <w:rPr>
          <w:rFonts w:hint="eastAsia" w:ascii="黑体" w:hAnsi="黑体" w:eastAsia="黑体"/>
          <w:b w:val="0"/>
        </w:rPr>
        <w:t>第二部分 2021年度</w:t>
      </w:r>
      <w:r>
        <w:rPr>
          <w:rStyle w:val="24"/>
          <w:rFonts w:hint="eastAsia" w:ascii="黑体" w:hAnsi="黑体" w:eastAsia="黑体"/>
          <w:b w:val="0"/>
          <w:bCs/>
        </w:rPr>
        <w:t>单位决算情况说明</w:t>
      </w:r>
      <w:bookmarkEnd w:id="16"/>
      <w:bookmarkEnd w:id="17"/>
    </w:p>
    <w:p/>
    <w:p>
      <w:pPr>
        <w:pStyle w:val="23"/>
        <w:numPr>
          <w:ilvl w:val="0"/>
          <w:numId w:val="2"/>
        </w:numPr>
        <w:spacing w:line="600" w:lineRule="exact"/>
        <w:ind w:firstLineChars="0"/>
        <w:outlineLvl w:val="1"/>
        <w:rPr>
          <w:rStyle w:val="25"/>
          <w:rFonts w:ascii="黑体" w:hAnsi="黑体" w:eastAsia="黑体"/>
          <w:b w:val="0"/>
        </w:rPr>
      </w:pPr>
      <w:bookmarkStart w:id="18" w:name="_Toc15377205"/>
      <w:bookmarkStart w:id="19" w:name="_Toc15396603"/>
      <w:r>
        <w:rPr>
          <w:rFonts w:hint="eastAsia" w:ascii="黑体" w:hAnsi="黑体" w:eastAsia="黑体"/>
          <w:sz w:val="32"/>
          <w:szCs w:val="32"/>
        </w:rPr>
        <w:t>收</w:t>
      </w:r>
      <w:r>
        <w:rPr>
          <w:rStyle w:val="25"/>
          <w:rFonts w:hint="eastAsia" w:ascii="黑体" w:hAnsi="黑体" w:eastAsia="黑体"/>
          <w:b w:val="0"/>
        </w:rPr>
        <w:t>入支出决算总体情况说明</w:t>
      </w:r>
      <w:bookmarkEnd w:id="18"/>
      <w:bookmarkEnd w:id="19"/>
    </w:p>
    <w:p>
      <w:pPr>
        <w:spacing w:line="600" w:lineRule="exact"/>
        <w:ind w:firstLine="640" w:firstLineChars="200"/>
        <w:rPr>
          <w:rFonts w:ascii="仿宋" w:hAnsi="仿宋" w:eastAsia="仿宋"/>
          <w:sz w:val="32"/>
          <w:szCs w:val="32"/>
        </w:rPr>
      </w:pPr>
      <w:r>
        <w:rPr>
          <w:rFonts w:hint="eastAsia" w:ascii="仿宋" w:hAnsi="仿宋" w:eastAsia="仿宋"/>
          <w:sz w:val="32"/>
          <w:szCs w:val="32"/>
        </w:rPr>
        <w:t>2021年度收、支总计</w:t>
      </w:r>
      <w:r>
        <w:rPr>
          <w:rFonts w:hint="eastAsia" w:ascii="仿宋_GB2312" w:hAnsi="仿宋" w:eastAsia="仿宋_GB2312"/>
          <w:sz w:val="32"/>
          <w:szCs w:val="32"/>
        </w:rPr>
        <w:t>263.97</w:t>
      </w:r>
      <w:r>
        <w:rPr>
          <w:rFonts w:hint="eastAsia" w:ascii="仿宋" w:hAnsi="仿宋" w:eastAsia="仿宋"/>
          <w:sz w:val="32"/>
          <w:szCs w:val="32"/>
        </w:rPr>
        <w:t>万元。与2020年相比，收、支总计各增加</w:t>
      </w:r>
      <w:r>
        <w:rPr>
          <w:rFonts w:hint="eastAsia" w:ascii="仿宋_GB2312" w:hAnsi="仿宋" w:eastAsia="仿宋_GB2312"/>
          <w:sz w:val="32"/>
          <w:szCs w:val="32"/>
        </w:rPr>
        <w:t>53.32</w:t>
      </w:r>
      <w:r>
        <w:rPr>
          <w:rFonts w:hint="eastAsia" w:ascii="仿宋" w:hAnsi="仿宋" w:eastAsia="仿宋"/>
          <w:sz w:val="32"/>
          <w:szCs w:val="32"/>
        </w:rPr>
        <w:t>万元，增长25.31</w:t>
      </w:r>
      <w:r>
        <w:rPr>
          <w:rFonts w:ascii="仿宋" w:hAnsi="仿宋" w:eastAsia="仿宋"/>
          <w:sz w:val="32"/>
          <w:szCs w:val="32"/>
        </w:rPr>
        <w:t>%</w:t>
      </w:r>
      <w:r>
        <w:rPr>
          <w:rFonts w:hint="eastAsia" w:ascii="仿宋" w:hAnsi="仿宋" w:eastAsia="仿宋"/>
          <w:sz w:val="32"/>
          <w:szCs w:val="32"/>
        </w:rPr>
        <w:t>。主要变动原因是</w:t>
      </w:r>
      <w:r>
        <w:rPr>
          <w:rFonts w:hint="eastAsia" w:ascii="仿宋_GB2312" w:hAnsi="仿宋" w:eastAsia="仿宋_GB2312"/>
          <w:sz w:val="32"/>
          <w:szCs w:val="32"/>
        </w:rPr>
        <w:t>本年度新增2人，人员经费支出及公用经费支出增加；本年新增1个项目，项目经费增加。</w:t>
      </w:r>
    </w:p>
    <w:p>
      <w:pPr>
        <w:spacing w:line="600" w:lineRule="exact"/>
        <w:ind w:firstLine="640" w:firstLineChars="200"/>
        <w:rPr>
          <w:rFonts w:ascii="仿宋" w:hAnsi="仿宋" w:eastAsia="仿宋"/>
          <w:sz w:val="32"/>
          <w:szCs w:val="32"/>
        </w:rPr>
      </w:pPr>
      <w:r>
        <w:rPr>
          <w:rFonts w:hint="eastAsia" w:ascii="仿宋" w:hAnsi="仿宋" w:eastAsia="仿宋"/>
          <w:sz w:val="32"/>
          <w:szCs w:val="32"/>
        </w:rPr>
        <w:t>（图</w:t>
      </w:r>
      <w:r>
        <w:rPr>
          <w:rFonts w:ascii="仿宋" w:hAnsi="仿宋" w:eastAsia="仿宋"/>
          <w:sz w:val="32"/>
          <w:szCs w:val="32"/>
        </w:rPr>
        <w:t>1</w:t>
      </w:r>
      <w:r>
        <w:rPr>
          <w:rFonts w:hint="eastAsia" w:ascii="仿宋" w:hAnsi="仿宋" w:eastAsia="仿宋"/>
          <w:sz w:val="32"/>
          <w:szCs w:val="32"/>
        </w:rPr>
        <w:t>：收、支决算总计变动情况图）（柱状图）</w:t>
      </w:r>
    </w:p>
    <w:p>
      <w:pPr>
        <w:pStyle w:val="2"/>
        <w:spacing w:before="93"/>
      </w:pPr>
      <w:r>
        <w:drawing>
          <wp:inline distT="0" distB="0" distL="114300" distR="114300">
            <wp:extent cx="4572000" cy="2743200"/>
            <wp:effectExtent l="4445" t="4445" r="14605" b="14605"/>
            <wp:docPr id="2"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6"/>
              </a:graphicData>
            </a:graphic>
          </wp:inline>
        </w:drawing>
      </w:r>
    </w:p>
    <w:p>
      <w:pPr>
        <w:spacing w:line="600" w:lineRule="exact"/>
        <w:ind w:firstLine="640" w:firstLineChars="200"/>
        <w:jc w:val="left"/>
        <w:rPr>
          <w:rFonts w:ascii="仿宋_GB2312" w:eastAsia="仿宋_GB2312"/>
          <w:sz w:val="32"/>
          <w:szCs w:val="32"/>
        </w:rPr>
      </w:pPr>
    </w:p>
    <w:p>
      <w:pPr>
        <w:pStyle w:val="23"/>
        <w:numPr>
          <w:ilvl w:val="0"/>
          <w:numId w:val="2"/>
        </w:numPr>
        <w:spacing w:line="600" w:lineRule="exact"/>
        <w:ind w:firstLineChars="0"/>
        <w:outlineLvl w:val="1"/>
        <w:rPr>
          <w:rStyle w:val="25"/>
          <w:rFonts w:ascii="黑体" w:hAnsi="黑体" w:eastAsia="黑体"/>
          <w:b w:val="0"/>
        </w:rPr>
      </w:pPr>
      <w:bookmarkStart w:id="20" w:name="_Toc15377206"/>
      <w:bookmarkStart w:id="21" w:name="_Toc15396604"/>
      <w:r>
        <w:rPr>
          <w:rFonts w:hint="eastAsia" w:ascii="黑体" w:hAnsi="黑体" w:eastAsia="黑体"/>
          <w:sz w:val="32"/>
          <w:szCs w:val="32"/>
        </w:rPr>
        <w:t>收</w:t>
      </w:r>
      <w:r>
        <w:rPr>
          <w:rStyle w:val="25"/>
          <w:rFonts w:hint="eastAsia" w:ascii="黑体" w:hAnsi="黑体" w:eastAsia="黑体"/>
          <w:b w:val="0"/>
        </w:rPr>
        <w:t>入决算情况说明</w:t>
      </w:r>
      <w:bookmarkEnd w:id="20"/>
      <w:bookmarkEnd w:id="21"/>
    </w:p>
    <w:p>
      <w:pPr>
        <w:spacing w:line="600" w:lineRule="exact"/>
        <w:ind w:firstLine="640" w:firstLineChars="200"/>
        <w:outlineLvl w:val="1"/>
        <w:rPr>
          <w:rFonts w:hint="eastAsia" w:ascii="仿宋" w:hAnsi="仿宋" w:eastAsia="仿宋"/>
          <w:sz w:val="32"/>
          <w:szCs w:val="32"/>
        </w:rPr>
      </w:pPr>
      <w:r>
        <w:rPr>
          <w:rFonts w:ascii="仿宋" w:hAnsi="仿宋" w:eastAsia="仿宋"/>
          <w:sz w:val="32"/>
          <w:szCs w:val="32"/>
        </w:rPr>
        <w:t>20</w:t>
      </w:r>
      <w:r>
        <w:rPr>
          <w:rFonts w:hint="eastAsia" w:ascii="仿宋" w:hAnsi="仿宋" w:eastAsia="仿宋"/>
          <w:sz w:val="32"/>
          <w:szCs w:val="32"/>
        </w:rPr>
        <w:t>21年本年收入合计263.97万元，其中：一般公共预算财政拨款收入261.97万元，占99.24</w:t>
      </w:r>
      <w:r>
        <w:rPr>
          <w:rFonts w:ascii="仿宋" w:hAnsi="仿宋" w:eastAsia="仿宋"/>
          <w:sz w:val="32"/>
          <w:szCs w:val="32"/>
        </w:rPr>
        <w:t>%</w:t>
      </w:r>
      <w:r>
        <w:rPr>
          <w:rFonts w:hint="eastAsia" w:ascii="仿宋" w:hAnsi="仿宋" w:eastAsia="仿宋"/>
          <w:sz w:val="32"/>
          <w:szCs w:val="32"/>
        </w:rPr>
        <w:t>；政府性基金预算财政拨款收入0万元，占0</w:t>
      </w:r>
      <w:r>
        <w:rPr>
          <w:rFonts w:ascii="仿宋" w:hAnsi="仿宋" w:eastAsia="仿宋"/>
          <w:sz w:val="32"/>
          <w:szCs w:val="32"/>
        </w:rPr>
        <w:t>%</w:t>
      </w:r>
      <w:r>
        <w:rPr>
          <w:rFonts w:hint="eastAsia" w:ascii="仿宋" w:hAnsi="仿宋" w:eastAsia="仿宋"/>
          <w:sz w:val="32"/>
          <w:szCs w:val="32"/>
        </w:rPr>
        <w:t>；国有资本经营预算财政拨款收入0万元，占0</w:t>
      </w:r>
      <w:r>
        <w:rPr>
          <w:rFonts w:ascii="仿宋" w:hAnsi="仿宋" w:eastAsia="仿宋"/>
          <w:sz w:val="32"/>
          <w:szCs w:val="32"/>
        </w:rPr>
        <w:t>%</w:t>
      </w:r>
      <w:r>
        <w:rPr>
          <w:rFonts w:hint="eastAsia" w:ascii="仿宋" w:hAnsi="仿宋" w:eastAsia="仿宋"/>
          <w:sz w:val="32"/>
          <w:szCs w:val="32"/>
        </w:rPr>
        <w:t>；上级补助收入0万元，占0</w:t>
      </w:r>
      <w:r>
        <w:rPr>
          <w:rFonts w:ascii="仿宋" w:hAnsi="仿宋" w:eastAsia="仿宋"/>
          <w:sz w:val="32"/>
          <w:szCs w:val="32"/>
        </w:rPr>
        <w:t>%</w:t>
      </w:r>
      <w:r>
        <w:rPr>
          <w:rFonts w:hint="eastAsia" w:ascii="仿宋" w:hAnsi="仿宋" w:eastAsia="仿宋"/>
          <w:sz w:val="32"/>
          <w:szCs w:val="32"/>
        </w:rPr>
        <w:t>；事业收入0万元，占0</w:t>
      </w:r>
      <w:r>
        <w:rPr>
          <w:rFonts w:ascii="仿宋" w:hAnsi="仿宋" w:eastAsia="仿宋"/>
          <w:sz w:val="32"/>
          <w:szCs w:val="32"/>
        </w:rPr>
        <w:t>%</w:t>
      </w:r>
      <w:r>
        <w:rPr>
          <w:rFonts w:hint="eastAsia" w:ascii="仿宋" w:hAnsi="仿宋" w:eastAsia="仿宋"/>
          <w:sz w:val="32"/>
          <w:szCs w:val="32"/>
        </w:rPr>
        <w:t>；经营收入0万元，占0</w:t>
      </w:r>
      <w:r>
        <w:rPr>
          <w:rFonts w:ascii="仿宋" w:hAnsi="仿宋" w:eastAsia="仿宋"/>
          <w:sz w:val="32"/>
          <w:szCs w:val="32"/>
        </w:rPr>
        <w:t>%</w:t>
      </w:r>
      <w:r>
        <w:rPr>
          <w:rFonts w:hint="eastAsia" w:ascii="仿宋" w:hAnsi="仿宋" w:eastAsia="仿宋"/>
          <w:sz w:val="32"/>
          <w:szCs w:val="32"/>
        </w:rPr>
        <w:t>；附属单位上缴收入0万元，占0</w:t>
      </w:r>
      <w:r>
        <w:rPr>
          <w:rFonts w:ascii="仿宋" w:hAnsi="仿宋" w:eastAsia="仿宋"/>
          <w:sz w:val="32"/>
          <w:szCs w:val="32"/>
        </w:rPr>
        <w:t>%</w:t>
      </w:r>
      <w:r>
        <w:rPr>
          <w:rFonts w:hint="eastAsia" w:ascii="仿宋" w:hAnsi="仿宋" w:eastAsia="仿宋"/>
          <w:sz w:val="32"/>
          <w:szCs w:val="32"/>
        </w:rPr>
        <w:t>；其他收入2万元，占0.76</w:t>
      </w:r>
      <w:r>
        <w:rPr>
          <w:rFonts w:ascii="仿宋" w:hAnsi="仿宋" w:eastAsia="仿宋"/>
          <w:sz w:val="32"/>
          <w:szCs w:val="32"/>
        </w:rPr>
        <w:t>%</w:t>
      </w:r>
      <w:r>
        <w:rPr>
          <w:rFonts w:hint="eastAsia" w:ascii="仿宋" w:hAnsi="仿宋" w:eastAsia="仿宋"/>
          <w:sz w:val="32"/>
          <w:szCs w:val="32"/>
        </w:rPr>
        <w:t>。</w:t>
      </w:r>
    </w:p>
    <w:p>
      <w:pPr>
        <w:spacing w:line="600" w:lineRule="exact"/>
        <w:ind w:firstLine="640" w:firstLineChars="200"/>
        <w:outlineLvl w:val="1"/>
        <w:rPr>
          <w:rFonts w:ascii="仿宋" w:hAnsi="仿宋" w:eastAsia="仿宋"/>
          <w:sz w:val="32"/>
          <w:szCs w:val="32"/>
        </w:rPr>
      </w:pPr>
    </w:p>
    <w:p>
      <w:pPr>
        <w:spacing w:line="600" w:lineRule="exact"/>
        <w:ind w:firstLine="640" w:firstLineChars="200"/>
        <w:rPr>
          <w:rFonts w:ascii="仿宋" w:hAnsi="仿宋" w:eastAsia="仿宋"/>
          <w:sz w:val="32"/>
          <w:szCs w:val="32"/>
        </w:rPr>
      </w:pPr>
      <w:r>
        <w:rPr>
          <w:rFonts w:hint="eastAsia" w:ascii="仿宋" w:hAnsi="仿宋" w:eastAsia="仿宋"/>
          <w:sz w:val="32"/>
          <w:szCs w:val="32"/>
        </w:rPr>
        <w:t>（图2：收入决算结构图）（饼状图）</w:t>
      </w:r>
    </w:p>
    <w:p>
      <w:pPr>
        <w:pStyle w:val="2"/>
        <w:spacing w:before="93"/>
      </w:pPr>
      <w:r>
        <w:drawing>
          <wp:inline distT="0" distB="0" distL="114300" distR="114300">
            <wp:extent cx="4572000" cy="2743200"/>
            <wp:effectExtent l="4445" t="4445" r="14605" b="14605"/>
            <wp:docPr id="3"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inline>
        </w:drawing>
      </w:r>
    </w:p>
    <w:p>
      <w:pPr>
        <w:spacing w:line="600" w:lineRule="exact"/>
        <w:ind w:firstLine="640" w:firstLineChars="200"/>
        <w:rPr>
          <w:rFonts w:ascii="仿宋_GB2312" w:eastAsia="仿宋_GB2312"/>
          <w:sz w:val="32"/>
          <w:szCs w:val="32"/>
        </w:rPr>
      </w:pPr>
    </w:p>
    <w:p>
      <w:pPr>
        <w:pStyle w:val="23"/>
        <w:numPr>
          <w:ilvl w:val="0"/>
          <w:numId w:val="2"/>
        </w:numPr>
        <w:spacing w:line="600" w:lineRule="exact"/>
        <w:ind w:firstLineChars="0"/>
        <w:outlineLvl w:val="1"/>
        <w:rPr>
          <w:rStyle w:val="25"/>
          <w:rFonts w:ascii="黑体" w:hAnsi="黑体" w:eastAsia="黑体"/>
          <w:b w:val="0"/>
        </w:rPr>
      </w:pPr>
      <w:bookmarkStart w:id="22" w:name="_Toc15377207"/>
      <w:bookmarkStart w:id="23" w:name="_Toc15396605"/>
      <w:r>
        <w:rPr>
          <w:rFonts w:hint="eastAsia" w:ascii="黑体" w:hAnsi="黑体" w:eastAsia="黑体"/>
          <w:sz w:val="32"/>
          <w:szCs w:val="32"/>
        </w:rPr>
        <w:t>支</w:t>
      </w:r>
      <w:r>
        <w:rPr>
          <w:rStyle w:val="25"/>
          <w:rFonts w:hint="eastAsia" w:ascii="黑体" w:hAnsi="黑体" w:eastAsia="黑体"/>
          <w:b w:val="0"/>
        </w:rPr>
        <w:t>出决算情况说明</w:t>
      </w:r>
      <w:bookmarkEnd w:id="22"/>
      <w:bookmarkEnd w:id="23"/>
    </w:p>
    <w:p>
      <w:pPr>
        <w:spacing w:line="600" w:lineRule="exact"/>
        <w:ind w:firstLine="640" w:firstLineChars="200"/>
        <w:outlineLvl w:val="1"/>
        <w:rPr>
          <w:rFonts w:hint="eastAsia" w:ascii="仿宋" w:hAnsi="仿宋" w:eastAsia="仿宋"/>
          <w:sz w:val="32"/>
          <w:szCs w:val="32"/>
        </w:rPr>
      </w:pPr>
      <w:r>
        <w:rPr>
          <w:rFonts w:ascii="仿宋" w:hAnsi="仿宋" w:eastAsia="仿宋"/>
          <w:sz w:val="32"/>
          <w:szCs w:val="32"/>
        </w:rPr>
        <w:t>20</w:t>
      </w:r>
      <w:r>
        <w:rPr>
          <w:rFonts w:hint="eastAsia" w:ascii="仿宋" w:hAnsi="仿宋" w:eastAsia="仿宋"/>
          <w:sz w:val="32"/>
          <w:szCs w:val="32"/>
        </w:rPr>
        <w:t>21年本年支出合计261.97万元，其中：基本支出223.21万元，占85.2</w:t>
      </w:r>
      <w:r>
        <w:rPr>
          <w:rFonts w:ascii="仿宋" w:hAnsi="仿宋" w:eastAsia="仿宋"/>
          <w:sz w:val="32"/>
          <w:szCs w:val="32"/>
        </w:rPr>
        <w:t>%</w:t>
      </w:r>
      <w:r>
        <w:rPr>
          <w:rFonts w:hint="eastAsia" w:ascii="仿宋" w:hAnsi="仿宋" w:eastAsia="仿宋"/>
          <w:sz w:val="32"/>
          <w:szCs w:val="32"/>
        </w:rPr>
        <w:t>；项目支出38.76万元，占14.8</w:t>
      </w:r>
      <w:r>
        <w:rPr>
          <w:rFonts w:ascii="仿宋" w:hAnsi="仿宋" w:eastAsia="仿宋"/>
          <w:sz w:val="32"/>
          <w:szCs w:val="32"/>
        </w:rPr>
        <w:t>%</w:t>
      </w:r>
      <w:r>
        <w:rPr>
          <w:rFonts w:hint="eastAsia" w:ascii="仿宋" w:hAnsi="仿宋" w:eastAsia="仿宋"/>
          <w:sz w:val="32"/>
          <w:szCs w:val="32"/>
        </w:rPr>
        <w:t>；上缴上级支出0万元，占0</w:t>
      </w:r>
      <w:r>
        <w:rPr>
          <w:rFonts w:ascii="仿宋" w:hAnsi="仿宋" w:eastAsia="仿宋"/>
          <w:sz w:val="32"/>
          <w:szCs w:val="32"/>
        </w:rPr>
        <w:t>%</w:t>
      </w:r>
      <w:r>
        <w:rPr>
          <w:rFonts w:hint="eastAsia" w:ascii="仿宋" w:hAnsi="仿宋" w:eastAsia="仿宋"/>
          <w:sz w:val="32"/>
          <w:szCs w:val="32"/>
        </w:rPr>
        <w:t>；经营支出0万元，占0</w:t>
      </w:r>
      <w:r>
        <w:rPr>
          <w:rFonts w:ascii="仿宋" w:hAnsi="仿宋" w:eastAsia="仿宋"/>
          <w:sz w:val="32"/>
          <w:szCs w:val="32"/>
        </w:rPr>
        <w:t>%</w:t>
      </w:r>
      <w:r>
        <w:rPr>
          <w:rFonts w:hint="eastAsia" w:ascii="仿宋" w:hAnsi="仿宋" w:eastAsia="仿宋"/>
          <w:sz w:val="32"/>
          <w:szCs w:val="32"/>
        </w:rPr>
        <w:t>；对附属单位补助支出0万元，占0</w:t>
      </w:r>
      <w:r>
        <w:rPr>
          <w:rFonts w:ascii="仿宋" w:hAnsi="仿宋" w:eastAsia="仿宋"/>
          <w:sz w:val="32"/>
          <w:szCs w:val="32"/>
        </w:rPr>
        <w:t>%</w:t>
      </w:r>
      <w:r>
        <w:rPr>
          <w:rFonts w:hint="eastAsia" w:ascii="仿宋" w:hAnsi="仿宋" w:eastAsia="仿宋"/>
          <w:sz w:val="32"/>
          <w:szCs w:val="32"/>
        </w:rPr>
        <w:t>。</w:t>
      </w:r>
    </w:p>
    <w:p>
      <w:pPr>
        <w:spacing w:line="600" w:lineRule="exact"/>
        <w:ind w:firstLine="640" w:firstLineChars="200"/>
        <w:rPr>
          <w:rFonts w:ascii="仿宋" w:hAnsi="仿宋" w:eastAsia="仿宋"/>
          <w:sz w:val="32"/>
          <w:szCs w:val="32"/>
        </w:rPr>
      </w:pPr>
      <w:r>
        <w:rPr>
          <w:rFonts w:hint="eastAsia" w:ascii="仿宋" w:hAnsi="仿宋" w:eastAsia="仿宋"/>
          <w:sz w:val="32"/>
          <w:szCs w:val="32"/>
        </w:rPr>
        <w:t>（图3：支出决算结构图）（饼状图）</w:t>
      </w:r>
    </w:p>
    <w:p>
      <w:pPr>
        <w:pStyle w:val="2"/>
        <w:spacing w:before="93"/>
      </w:pPr>
      <w:r>
        <w:drawing>
          <wp:inline distT="0" distB="0" distL="114300" distR="114300">
            <wp:extent cx="4572000" cy="2743200"/>
            <wp:effectExtent l="4445" t="4445" r="14605" b="14605"/>
            <wp:docPr id="4" name="图表 3"/>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pPr>
        <w:pStyle w:val="2"/>
        <w:spacing w:before="93"/>
      </w:pPr>
    </w:p>
    <w:p>
      <w:pPr>
        <w:spacing w:line="600" w:lineRule="exact"/>
        <w:ind w:firstLine="640" w:firstLineChars="200"/>
        <w:rPr>
          <w:rFonts w:ascii="仿宋_GB2312" w:eastAsia="仿宋_GB2312"/>
          <w:sz w:val="32"/>
          <w:szCs w:val="32"/>
        </w:rPr>
      </w:pPr>
    </w:p>
    <w:p>
      <w:pPr>
        <w:spacing w:line="600" w:lineRule="exact"/>
        <w:ind w:firstLine="640" w:firstLineChars="200"/>
        <w:outlineLvl w:val="1"/>
        <w:rPr>
          <w:rStyle w:val="25"/>
          <w:rFonts w:ascii="黑体" w:hAnsi="黑体" w:eastAsia="黑体"/>
          <w:b w:val="0"/>
        </w:rPr>
      </w:pPr>
      <w:bookmarkStart w:id="24" w:name="_Toc15377208"/>
      <w:bookmarkStart w:id="25" w:name="_Toc15396606"/>
      <w:r>
        <w:rPr>
          <w:rFonts w:hint="eastAsia" w:ascii="黑体" w:hAnsi="黑体" w:eastAsia="黑体"/>
          <w:sz w:val="32"/>
          <w:szCs w:val="32"/>
        </w:rPr>
        <w:t>四、财</w:t>
      </w:r>
      <w:r>
        <w:rPr>
          <w:rStyle w:val="25"/>
          <w:rFonts w:hint="eastAsia" w:ascii="黑体" w:hAnsi="黑体" w:eastAsia="黑体"/>
          <w:b w:val="0"/>
        </w:rPr>
        <w:t>政拨款收入支出决算总体情况说明</w:t>
      </w:r>
      <w:bookmarkEnd w:id="24"/>
      <w:bookmarkEnd w:id="25"/>
    </w:p>
    <w:p>
      <w:pPr>
        <w:spacing w:line="600" w:lineRule="exact"/>
        <w:ind w:firstLine="640" w:firstLineChars="200"/>
        <w:rPr>
          <w:rFonts w:ascii="仿宋" w:hAnsi="仿宋" w:eastAsia="仿宋"/>
          <w:sz w:val="32"/>
          <w:szCs w:val="32"/>
        </w:rPr>
      </w:pPr>
      <w:r>
        <w:rPr>
          <w:rFonts w:ascii="仿宋" w:hAnsi="仿宋" w:eastAsia="仿宋"/>
          <w:sz w:val="32"/>
          <w:szCs w:val="32"/>
        </w:rPr>
        <w:t>20</w:t>
      </w:r>
      <w:r>
        <w:rPr>
          <w:rFonts w:hint="eastAsia" w:ascii="仿宋" w:hAnsi="仿宋" w:eastAsia="仿宋"/>
          <w:sz w:val="32"/>
          <w:szCs w:val="32"/>
        </w:rPr>
        <w:t>21年财政拨款收、支总计261.97万元。与</w:t>
      </w:r>
      <w:r>
        <w:rPr>
          <w:rFonts w:ascii="仿宋" w:hAnsi="仿宋" w:eastAsia="仿宋"/>
          <w:sz w:val="32"/>
          <w:szCs w:val="32"/>
        </w:rPr>
        <w:t>20</w:t>
      </w:r>
      <w:r>
        <w:rPr>
          <w:rFonts w:hint="eastAsia" w:ascii="仿宋" w:hAnsi="仿宋" w:eastAsia="仿宋"/>
          <w:sz w:val="32"/>
          <w:szCs w:val="32"/>
        </w:rPr>
        <w:t>20年相比，财政拨款收、支总计各增加51.32万元，增长</w:t>
      </w:r>
      <w:r>
        <w:rPr>
          <w:rFonts w:hint="eastAsia" w:ascii="仿宋_GB2312" w:hAnsi="仿宋" w:eastAsia="仿宋_GB2312"/>
          <w:sz w:val="32"/>
          <w:szCs w:val="32"/>
        </w:rPr>
        <w:t>24.36</w:t>
      </w:r>
      <w:r>
        <w:rPr>
          <w:rFonts w:ascii="仿宋" w:hAnsi="仿宋" w:eastAsia="仿宋"/>
          <w:sz w:val="32"/>
          <w:szCs w:val="32"/>
        </w:rPr>
        <w:t>%</w:t>
      </w:r>
      <w:r>
        <w:rPr>
          <w:rFonts w:hint="eastAsia" w:ascii="仿宋" w:hAnsi="仿宋" w:eastAsia="仿宋"/>
          <w:sz w:val="32"/>
          <w:szCs w:val="32"/>
        </w:rPr>
        <w:t>。主要变动原因是</w:t>
      </w:r>
      <w:r>
        <w:rPr>
          <w:rFonts w:hint="eastAsia" w:ascii="仿宋_GB2312" w:hAnsi="仿宋" w:eastAsia="仿宋_GB2312"/>
          <w:sz w:val="32"/>
          <w:szCs w:val="32"/>
        </w:rPr>
        <w:t>本年度新增2人，人员经费支出及公用经费支出增加；本年新增1个项目，项目经费增加。</w:t>
      </w:r>
    </w:p>
    <w:p>
      <w:pPr>
        <w:spacing w:line="600" w:lineRule="exact"/>
        <w:rPr>
          <w:rFonts w:ascii="仿宋" w:hAnsi="仿宋" w:eastAsia="仿宋"/>
          <w:sz w:val="32"/>
          <w:szCs w:val="32"/>
        </w:rPr>
      </w:pPr>
    </w:p>
    <w:p>
      <w:pPr>
        <w:spacing w:line="600" w:lineRule="exact"/>
        <w:ind w:firstLine="640" w:firstLineChars="200"/>
        <w:rPr>
          <w:rFonts w:ascii="仿宋" w:hAnsi="仿宋" w:eastAsia="仿宋"/>
          <w:sz w:val="32"/>
          <w:szCs w:val="32"/>
        </w:rPr>
      </w:pPr>
      <w:r>
        <w:rPr>
          <w:rFonts w:hint="eastAsia" w:ascii="仿宋" w:hAnsi="仿宋" w:eastAsia="仿宋"/>
          <w:sz w:val="32"/>
          <w:szCs w:val="32"/>
        </w:rPr>
        <w:t>（图4：财政拨款收、支决算总计变动情况）（柱状图）</w:t>
      </w:r>
    </w:p>
    <w:p>
      <w:pPr>
        <w:pStyle w:val="2"/>
        <w:spacing w:before="93"/>
      </w:pPr>
      <w:r>
        <w:drawing>
          <wp:inline distT="0" distB="0" distL="114300" distR="114300">
            <wp:extent cx="4572000" cy="2743200"/>
            <wp:effectExtent l="4445" t="4445" r="14605" b="14605"/>
            <wp:docPr id="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pPr>
        <w:spacing w:line="600" w:lineRule="exact"/>
        <w:ind w:firstLine="640"/>
        <w:rPr>
          <w:rFonts w:ascii="仿宋" w:hAnsi="仿宋" w:eastAsia="仿宋"/>
          <w:b/>
          <w:sz w:val="32"/>
          <w:szCs w:val="32"/>
        </w:rPr>
      </w:pPr>
    </w:p>
    <w:p>
      <w:pPr>
        <w:spacing w:line="600" w:lineRule="exact"/>
        <w:ind w:firstLine="640" w:firstLineChars="200"/>
        <w:outlineLvl w:val="1"/>
        <w:rPr>
          <w:rStyle w:val="25"/>
          <w:rFonts w:ascii="黑体" w:hAnsi="黑体" w:eastAsia="黑体"/>
          <w:b w:val="0"/>
        </w:rPr>
      </w:pPr>
      <w:bookmarkStart w:id="26" w:name="_Toc15377209"/>
      <w:bookmarkStart w:id="27" w:name="_Toc15396607"/>
      <w:r>
        <w:rPr>
          <w:rFonts w:hint="eastAsia" w:ascii="黑体" w:hAnsi="黑体" w:eastAsia="黑体"/>
          <w:sz w:val="32"/>
          <w:szCs w:val="32"/>
        </w:rPr>
        <w:t>五、</w:t>
      </w:r>
      <w:r>
        <w:rPr>
          <w:rFonts w:hint="eastAsia" w:ascii="黑体" w:hAnsi="黑体" w:eastAsia="黑体"/>
          <w:b/>
          <w:sz w:val="32"/>
          <w:szCs w:val="32"/>
        </w:rPr>
        <w:t>一</w:t>
      </w:r>
      <w:r>
        <w:rPr>
          <w:rStyle w:val="25"/>
          <w:rFonts w:hint="eastAsia" w:ascii="黑体" w:hAnsi="黑体" w:eastAsia="黑体"/>
          <w:b w:val="0"/>
        </w:rPr>
        <w:t>般公共预算财政拨款支出决算情况说明</w:t>
      </w:r>
      <w:bookmarkEnd w:id="26"/>
      <w:bookmarkEnd w:id="27"/>
    </w:p>
    <w:p>
      <w:pPr>
        <w:spacing w:line="600" w:lineRule="exact"/>
        <w:ind w:firstLine="643" w:firstLineChars="200"/>
        <w:outlineLvl w:val="2"/>
        <w:rPr>
          <w:rFonts w:ascii="仿宋" w:hAnsi="仿宋" w:eastAsia="仿宋"/>
          <w:b/>
          <w:sz w:val="32"/>
          <w:szCs w:val="32"/>
        </w:rPr>
      </w:pPr>
      <w:bookmarkStart w:id="28" w:name="_Toc15377210"/>
      <w:r>
        <w:rPr>
          <w:rFonts w:hint="eastAsia" w:ascii="仿宋" w:hAnsi="仿宋" w:eastAsia="仿宋"/>
          <w:b/>
          <w:sz w:val="32"/>
          <w:szCs w:val="32"/>
        </w:rPr>
        <w:t>（一）一般公共预算财政拨款支出决算总体情况</w:t>
      </w:r>
      <w:bookmarkEnd w:id="28"/>
    </w:p>
    <w:p>
      <w:pPr>
        <w:snapToGrid w:val="0"/>
        <w:spacing w:line="588" w:lineRule="exact"/>
        <w:ind w:firstLine="640" w:firstLineChars="200"/>
        <w:rPr>
          <w:rFonts w:ascii="仿宋_GB2312" w:hAnsi="仿宋" w:eastAsia="仿宋_GB2312"/>
          <w:sz w:val="32"/>
          <w:szCs w:val="32"/>
        </w:rPr>
      </w:pPr>
      <w:r>
        <w:rPr>
          <w:rFonts w:ascii="仿宋" w:hAnsi="仿宋" w:eastAsia="仿宋"/>
          <w:sz w:val="32"/>
          <w:szCs w:val="32"/>
        </w:rPr>
        <w:t>20</w:t>
      </w:r>
      <w:r>
        <w:rPr>
          <w:rFonts w:hint="eastAsia" w:ascii="仿宋" w:hAnsi="仿宋" w:eastAsia="仿宋"/>
          <w:sz w:val="32"/>
          <w:szCs w:val="32"/>
        </w:rPr>
        <w:t>21年一般公共预算财政拨款支出261.97万元，占本年支出合计的99.24</w:t>
      </w:r>
      <w:r>
        <w:rPr>
          <w:rFonts w:ascii="仿宋" w:hAnsi="仿宋" w:eastAsia="仿宋"/>
          <w:sz w:val="32"/>
          <w:szCs w:val="32"/>
        </w:rPr>
        <w:t>%</w:t>
      </w:r>
      <w:r>
        <w:rPr>
          <w:rFonts w:hint="eastAsia" w:ascii="仿宋" w:hAnsi="仿宋" w:eastAsia="仿宋"/>
          <w:sz w:val="32"/>
          <w:szCs w:val="32"/>
        </w:rPr>
        <w:t>。与</w:t>
      </w:r>
      <w:r>
        <w:rPr>
          <w:rFonts w:ascii="仿宋" w:hAnsi="仿宋" w:eastAsia="仿宋"/>
          <w:sz w:val="32"/>
          <w:szCs w:val="32"/>
        </w:rPr>
        <w:t>20</w:t>
      </w:r>
      <w:r>
        <w:rPr>
          <w:rFonts w:hint="eastAsia" w:ascii="仿宋" w:hAnsi="仿宋" w:eastAsia="仿宋"/>
          <w:sz w:val="32"/>
          <w:szCs w:val="32"/>
        </w:rPr>
        <w:t>20年相比，一般公共预算财政拨款支出增加65.58万元，增长33.39</w:t>
      </w:r>
      <w:r>
        <w:rPr>
          <w:rFonts w:ascii="仿宋" w:hAnsi="仿宋" w:eastAsia="仿宋"/>
          <w:sz w:val="32"/>
          <w:szCs w:val="32"/>
        </w:rPr>
        <w:t>%</w:t>
      </w:r>
      <w:r>
        <w:rPr>
          <w:rFonts w:hint="eastAsia" w:ascii="仿宋" w:hAnsi="仿宋" w:eastAsia="仿宋"/>
          <w:sz w:val="32"/>
          <w:szCs w:val="32"/>
        </w:rPr>
        <w:t>。主要变动原因是</w:t>
      </w:r>
      <w:r>
        <w:rPr>
          <w:rFonts w:hint="eastAsia" w:ascii="仿宋_GB2312" w:hAnsi="仿宋" w:eastAsia="仿宋_GB2312"/>
          <w:sz w:val="32"/>
          <w:szCs w:val="32"/>
        </w:rPr>
        <w:t>本年度新增2人，人员经费及公用经费支出增加；本年新增1个项目，项目经费支出增加，上年度结转项目已完成，经费已支付，项目经费支出增加。</w:t>
      </w:r>
    </w:p>
    <w:p>
      <w:pPr>
        <w:spacing w:line="600" w:lineRule="exact"/>
        <w:ind w:firstLine="640" w:firstLineChars="200"/>
        <w:rPr>
          <w:rFonts w:ascii="仿宋" w:hAnsi="仿宋" w:eastAsia="仿宋"/>
          <w:sz w:val="32"/>
          <w:szCs w:val="32"/>
        </w:rPr>
      </w:pPr>
    </w:p>
    <w:p>
      <w:pPr>
        <w:spacing w:line="600" w:lineRule="exact"/>
        <w:ind w:firstLine="640" w:firstLineChars="200"/>
        <w:rPr>
          <w:rFonts w:ascii="仿宋" w:hAnsi="仿宋" w:eastAsia="仿宋"/>
          <w:sz w:val="32"/>
          <w:szCs w:val="32"/>
        </w:rPr>
      </w:pPr>
      <w:r>
        <w:rPr>
          <w:rFonts w:hint="eastAsia" w:ascii="仿宋" w:hAnsi="仿宋" w:eastAsia="仿宋"/>
          <w:sz w:val="32"/>
          <w:szCs w:val="32"/>
        </w:rPr>
        <w:t>（图5：一般公共预算财政拨款支出决算变动情况）（柱状图）</w:t>
      </w:r>
    </w:p>
    <w:p>
      <w:pPr>
        <w:pStyle w:val="2"/>
        <w:spacing w:before="93"/>
      </w:pPr>
      <w:r>
        <w:drawing>
          <wp:inline distT="0" distB="0" distL="114300" distR="114300">
            <wp:extent cx="4572000" cy="2743200"/>
            <wp:effectExtent l="4445" t="4445" r="14605" b="14605"/>
            <wp:docPr id="8" name="图表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pPr>
        <w:spacing w:line="600" w:lineRule="exact"/>
        <w:ind w:firstLine="640" w:firstLineChars="200"/>
        <w:rPr>
          <w:rFonts w:ascii="仿宋" w:hAnsi="仿宋" w:eastAsia="仿宋"/>
          <w:sz w:val="32"/>
          <w:szCs w:val="32"/>
        </w:rPr>
      </w:pPr>
    </w:p>
    <w:p>
      <w:pPr>
        <w:spacing w:line="600" w:lineRule="exact"/>
        <w:ind w:firstLine="643" w:firstLineChars="200"/>
        <w:outlineLvl w:val="2"/>
        <w:rPr>
          <w:rFonts w:ascii="仿宋" w:hAnsi="仿宋" w:eastAsia="仿宋"/>
          <w:b/>
          <w:sz w:val="32"/>
          <w:szCs w:val="32"/>
        </w:rPr>
      </w:pPr>
      <w:bookmarkStart w:id="29" w:name="_Toc15377211"/>
      <w:r>
        <w:rPr>
          <w:rFonts w:hint="eastAsia" w:ascii="仿宋" w:hAnsi="仿宋" w:eastAsia="仿宋"/>
          <w:b/>
          <w:sz w:val="32"/>
          <w:szCs w:val="32"/>
        </w:rPr>
        <w:t>（二）一般公共预算财政拨款支出决算结构情况</w:t>
      </w:r>
      <w:bookmarkEnd w:id="29"/>
    </w:p>
    <w:p>
      <w:pPr>
        <w:rPr>
          <w:rFonts w:ascii="仿宋" w:hAnsi="仿宋" w:eastAsia="仿宋"/>
          <w:sz w:val="32"/>
          <w:szCs w:val="32"/>
        </w:rPr>
      </w:pPr>
    </w:p>
    <w:p>
      <w:pPr>
        <w:spacing w:line="600" w:lineRule="exact"/>
        <w:ind w:firstLine="640"/>
        <w:rPr>
          <w:rFonts w:ascii="仿宋" w:hAnsi="仿宋" w:eastAsia="仿宋"/>
          <w:b/>
          <w:sz w:val="32"/>
          <w:szCs w:val="32"/>
        </w:rPr>
      </w:pPr>
      <w:r>
        <w:rPr>
          <w:rFonts w:ascii="仿宋" w:hAnsi="仿宋" w:eastAsia="仿宋"/>
          <w:sz w:val="32"/>
          <w:szCs w:val="32"/>
        </w:rPr>
        <w:t>20</w:t>
      </w:r>
      <w:r>
        <w:rPr>
          <w:rFonts w:hint="eastAsia" w:ascii="仿宋" w:hAnsi="仿宋" w:eastAsia="仿宋"/>
          <w:sz w:val="32"/>
          <w:szCs w:val="32"/>
        </w:rPr>
        <w:t>21年一般公共预算财政拨款支出261.97万元，主要用于以下方面</w:t>
      </w:r>
      <w:r>
        <w:rPr>
          <w:rFonts w:ascii="仿宋" w:hAnsi="仿宋" w:eastAsia="仿宋"/>
          <w:sz w:val="32"/>
          <w:szCs w:val="32"/>
        </w:rPr>
        <w:t>:</w:t>
      </w:r>
      <w:r>
        <w:rPr>
          <w:rFonts w:eastAsia="仿宋_GB2312"/>
          <w:b/>
          <w:color w:val="000000"/>
          <w:sz w:val="32"/>
          <w:szCs w:val="32"/>
        </w:rPr>
        <w:t>一般公共服务（类）</w:t>
      </w:r>
      <w:r>
        <w:rPr>
          <w:rFonts w:eastAsia="仿宋_GB2312"/>
          <w:color w:val="000000"/>
          <w:sz w:val="32"/>
          <w:szCs w:val="32"/>
        </w:rPr>
        <w:t>支出</w:t>
      </w:r>
      <w:r>
        <w:rPr>
          <w:rFonts w:hint="eastAsia" w:eastAsia="仿宋_GB2312"/>
          <w:color w:val="000000"/>
          <w:sz w:val="32"/>
          <w:szCs w:val="32"/>
        </w:rPr>
        <w:t>12</w:t>
      </w:r>
      <w:r>
        <w:rPr>
          <w:rFonts w:eastAsia="仿宋_GB2312"/>
          <w:color w:val="000000"/>
          <w:sz w:val="32"/>
          <w:szCs w:val="32"/>
        </w:rPr>
        <w:t>万元，占</w:t>
      </w:r>
      <w:r>
        <w:rPr>
          <w:rFonts w:hint="eastAsia" w:eastAsia="仿宋_GB2312"/>
          <w:color w:val="000000"/>
          <w:sz w:val="32"/>
          <w:szCs w:val="32"/>
        </w:rPr>
        <w:t>4.58</w:t>
      </w:r>
      <w:r>
        <w:rPr>
          <w:rFonts w:eastAsia="仿宋_GB2312"/>
          <w:color w:val="000000"/>
          <w:sz w:val="32"/>
          <w:szCs w:val="32"/>
        </w:rPr>
        <w:t>%；</w:t>
      </w:r>
      <w:r>
        <w:rPr>
          <w:rFonts w:eastAsia="仿宋_GB2312"/>
          <w:b/>
          <w:color w:val="000000"/>
          <w:sz w:val="32"/>
          <w:szCs w:val="32"/>
        </w:rPr>
        <w:t>科学技术（类）</w:t>
      </w:r>
      <w:r>
        <w:rPr>
          <w:rFonts w:eastAsia="仿宋_GB2312"/>
          <w:color w:val="000000"/>
          <w:sz w:val="32"/>
          <w:szCs w:val="32"/>
        </w:rPr>
        <w:t>支出</w:t>
      </w:r>
      <w:r>
        <w:rPr>
          <w:rFonts w:hint="eastAsia" w:eastAsia="仿宋_GB2312"/>
          <w:color w:val="000000"/>
          <w:sz w:val="32"/>
          <w:szCs w:val="32"/>
        </w:rPr>
        <w:t>181.4</w:t>
      </w:r>
      <w:r>
        <w:rPr>
          <w:rFonts w:eastAsia="仿宋_GB2312"/>
          <w:color w:val="000000"/>
          <w:sz w:val="32"/>
          <w:szCs w:val="32"/>
        </w:rPr>
        <w:t>万元，占</w:t>
      </w:r>
      <w:r>
        <w:rPr>
          <w:rFonts w:hint="eastAsia" w:eastAsia="仿宋_GB2312"/>
          <w:color w:val="000000"/>
          <w:sz w:val="32"/>
          <w:szCs w:val="32"/>
        </w:rPr>
        <w:t>69.25</w:t>
      </w:r>
      <w:r>
        <w:rPr>
          <w:rFonts w:eastAsia="仿宋_GB2312"/>
          <w:color w:val="000000"/>
          <w:sz w:val="32"/>
          <w:szCs w:val="32"/>
        </w:rPr>
        <w:t>%；</w:t>
      </w:r>
      <w:r>
        <w:rPr>
          <w:rFonts w:eastAsia="仿宋_GB2312"/>
          <w:b/>
          <w:color w:val="000000"/>
          <w:sz w:val="32"/>
          <w:szCs w:val="32"/>
        </w:rPr>
        <w:t>社会保障和就业（类）</w:t>
      </w:r>
      <w:r>
        <w:rPr>
          <w:rFonts w:eastAsia="仿宋_GB2312"/>
          <w:color w:val="000000"/>
          <w:sz w:val="32"/>
          <w:szCs w:val="32"/>
        </w:rPr>
        <w:t>支出</w:t>
      </w:r>
      <w:r>
        <w:rPr>
          <w:rFonts w:hint="eastAsia" w:eastAsia="仿宋_GB2312"/>
          <w:color w:val="000000"/>
          <w:sz w:val="32"/>
          <w:szCs w:val="32"/>
        </w:rPr>
        <w:t>55.7</w:t>
      </w:r>
      <w:r>
        <w:rPr>
          <w:rFonts w:eastAsia="仿宋_GB2312"/>
          <w:color w:val="000000"/>
          <w:sz w:val="32"/>
          <w:szCs w:val="32"/>
        </w:rPr>
        <w:t>万元，占</w:t>
      </w:r>
      <w:r>
        <w:rPr>
          <w:rFonts w:hint="eastAsia" w:eastAsia="仿宋_GB2312"/>
          <w:color w:val="000000"/>
          <w:sz w:val="32"/>
          <w:szCs w:val="32"/>
        </w:rPr>
        <w:t>21.26</w:t>
      </w:r>
      <w:r>
        <w:rPr>
          <w:rFonts w:eastAsia="仿宋_GB2312"/>
          <w:color w:val="000000"/>
          <w:sz w:val="32"/>
          <w:szCs w:val="32"/>
        </w:rPr>
        <w:t>%；</w:t>
      </w:r>
      <w:r>
        <w:rPr>
          <w:rFonts w:eastAsia="仿宋_GB2312"/>
          <w:b/>
          <w:color w:val="000000"/>
          <w:sz w:val="32"/>
          <w:szCs w:val="32"/>
        </w:rPr>
        <w:t>住房保障支出</w:t>
      </w:r>
      <w:r>
        <w:rPr>
          <w:rFonts w:hint="eastAsia" w:eastAsia="仿宋_GB2312"/>
          <w:color w:val="000000"/>
          <w:sz w:val="32"/>
          <w:szCs w:val="32"/>
        </w:rPr>
        <w:t>12.87</w:t>
      </w:r>
      <w:r>
        <w:rPr>
          <w:rFonts w:eastAsia="仿宋_GB2312"/>
          <w:color w:val="000000"/>
          <w:sz w:val="32"/>
          <w:szCs w:val="32"/>
        </w:rPr>
        <w:t>万元，占</w:t>
      </w:r>
      <w:r>
        <w:rPr>
          <w:rFonts w:hint="eastAsia" w:eastAsia="仿宋_GB2312"/>
          <w:color w:val="000000"/>
          <w:sz w:val="32"/>
          <w:szCs w:val="32"/>
        </w:rPr>
        <w:t>4.91</w:t>
      </w:r>
      <w:r>
        <w:rPr>
          <w:rFonts w:eastAsia="仿宋_GB2312"/>
          <w:color w:val="000000"/>
          <w:sz w:val="32"/>
          <w:szCs w:val="32"/>
        </w:rPr>
        <w:t>%。</w:t>
      </w:r>
    </w:p>
    <w:p>
      <w:pPr>
        <w:spacing w:line="600" w:lineRule="exact"/>
        <w:rPr>
          <w:rFonts w:hint="eastAsia" w:ascii="仿宋" w:hAnsi="仿宋" w:eastAsia="仿宋"/>
          <w:sz w:val="32"/>
          <w:szCs w:val="32"/>
        </w:rPr>
      </w:pPr>
    </w:p>
    <w:p>
      <w:pPr>
        <w:spacing w:line="600" w:lineRule="exact"/>
        <w:ind w:firstLine="640" w:firstLineChars="200"/>
        <w:rPr>
          <w:rFonts w:ascii="仿宋" w:hAnsi="仿宋" w:eastAsia="仿宋"/>
          <w:sz w:val="32"/>
          <w:szCs w:val="32"/>
        </w:rPr>
      </w:pPr>
      <w:r>
        <w:rPr>
          <w:rFonts w:hint="eastAsia" w:ascii="仿宋" w:hAnsi="仿宋" w:eastAsia="仿宋"/>
          <w:sz w:val="32"/>
          <w:szCs w:val="32"/>
        </w:rPr>
        <w:t>（图6：一般公共预算财政拨款支出决算结构）（饼状图）</w:t>
      </w:r>
    </w:p>
    <w:p>
      <w:pPr>
        <w:spacing w:line="600" w:lineRule="exact"/>
        <w:ind w:firstLine="420" w:firstLineChars="200"/>
      </w:pPr>
    </w:p>
    <w:p>
      <w:pPr>
        <w:spacing w:line="600" w:lineRule="exact"/>
        <w:ind w:firstLine="420" w:firstLineChars="200"/>
      </w:pPr>
    </w:p>
    <w:p>
      <w:pPr>
        <w:spacing w:line="600" w:lineRule="exact"/>
        <w:ind w:firstLine="420" w:firstLineChars="200"/>
      </w:pPr>
    </w:p>
    <w:p>
      <w:pPr>
        <w:rPr>
          <w:rFonts w:ascii="仿宋" w:hAnsi="仿宋" w:eastAsia="仿宋"/>
          <w:sz w:val="32"/>
          <w:szCs w:val="32"/>
        </w:rPr>
      </w:pPr>
      <w:r>
        <w:drawing>
          <wp:inline distT="0" distB="0" distL="114300" distR="114300">
            <wp:extent cx="4572000" cy="2743200"/>
            <wp:effectExtent l="4445" t="4445" r="14605" b="14605"/>
            <wp:docPr id="7"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pPr>
        <w:spacing w:line="600" w:lineRule="exact"/>
        <w:ind w:firstLine="643" w:firstLineChars="200"/>
        <w:outlineLvl w:val="2"/>
        <w:rPr>
          <w:rFonts w:ascii="仿宋" w:hAnsi="仿宋" w:eastAsia="仿宋"/>
          <w:b/>
          <w:sz w:val="32"/>
          <w:szCs w:val="32"/>
        </w:rPr>
      </w:pPr>
      <w:bookmarkStart w:id="30" w:name="_Toc15377212"/>
      <w:r>
        <w:rPr>
          <w:rFonts w:hint="eastAsia" w:ascii="仿宋" w:hAnsi="仿宋" w:eastAsia="仿宋"/>
          <w:b/>
          <w:sz w:val="32"/>
          <w:szCs w:val="32"/>
        </w:rPr>
        <w:t>（三）一般公共预算财政拨款支出决算具体情况</w:t>
      </w:r>
      <w:bookmarkEnd w:id="30"/>
    </w:p>
    <w:p>
      <w:pPr>
        <w:spacing w:line="600" w:lineRule="exact"/>
        <w:ind w:firstLine="643" w:firstLineChars="200"/>
        <w:outlineLvl w:val="2"/>
        <w:rPr>
          <w:rFonts w:ascii="仿宋" w:hAnsi="仿宋" w:eastAsia="仿宋"/>
          <w:sz w:val="32"/>
          <w:szCs w:val="32"/>
        </w:rPr>
      </w:pPr>
      <w:bookmarkStart w:id="31" w:name="_Toc15377213"/>
      <w:bookmarkStart w:id="32" w:name="_Toc15378460"/>
      <w:bookmarkStart w:id="33" w:name="_Toc15377444"/>
      <w:r>
        <w:rPr>
          <w:rFonts w:hint="eastAsia" w:ascii="仿宋" w:hAnsi="仿宋" w:eastAsia="仿宋"/>
          <w:b/>
          <w:sz w:val="32"/>
          <w:szCs w:val="32"/>
        </w:rPr>
        <w:t>2021年一般公共预算支出决算数为261.97万元</w:t>
      </w:r>
      <w:r>
        <w:rPr>
          <w:rFonts w:hint="eastAsia" w:ascii="仿宋" w:hAnsi="仿宋" w:eastAsia="仿宋"/>
          <w:sz w:val="32"/>
          <w:szCs w:val="32"/>
        </w:rPr>
        <w:t>，</w:t>
      </w:r>
      <w:r>
        <w:rPr>
          <w:rStyle w:val="14"/>
          <w:rFonts w:hint="eastAsia" w:ascii="仿宋" w:hAnsi="仿宋" w:eastAsia="仿宋"/>
          <w:bCs/>
          <w:sz w:val="32"/>
          <w:szCs w:val="32"/>
        </w:rPr>
        <w:t>完成预算100</w:t>
      </w:r>
      <w:r>
        <w:rPr>
          <w:rStyle w:val="14"/>
          <w:rFonts w:ascii="仿宋" w:hAnsi="仿宋" w:eastAsia="仿宋"/>
          <w:bCs/>
          <w:sz w:val="32"/>
          <w:szCs w:val="32"/>
        </w:rPr>
        <w:t>%</w:t>
      </w:r>
      <w:r>
        <w:rPr>
          <w:rStyle w:val="14"/>
          <w:rFonts w:hint="eastAsia" w:ascii="仿宋" w:hAnsi="仿宋" w:eastAsia="仿宋"/>
          <w:bCs/>
          <w:sz w:val="32"/>
          <w:szCs w:val="32"/>
        </w:rPr>
        <w:t>。其中：</w:t>
      </w:r>
      <w:bookmarkEnd w:id="31"/>
      <w:bookmarkEnd w:id="32"/>
      <w:bookmarkEnd w:id="33"/>
    </w:p>
    <w:p>
      <w:pPr>
        <w:spacing w:line="600" w:lineRule="exact"/>
        <w:ind w:firstLine="643" w:firstLineChars="200"/>
        <w:rPr>
          <w:rFonts w:ascii="仿宋" w:hAnsi="仿宋" w:eastAsia="仿宋"/>
          <w:b/>
          <w:sz w:val="32"/>
          <w:szCs w:val="32"/>
        </w:rPr>
      </w:pPr>
      <w:r>
        <w:rPr>
          <w:rStyle w:val="14"/>
          <w:rFonts w:ascii="仿宋" w:hAnsi="仿宋" w:eastAsia="仿宋"/>
          <w:bCs/>
          <w:sz w:val="32"/>
          <w:szCs w:val="32"/>
        </w:rPr>
        <w:t>1.</w:t>
      </w:r>
      <w:r>
        <w:rPr>
          <w:rStyle w:val="14"/>
          <w:rFonts w:hint="eastAsia" w:ascii="仿宋" w:hAnsi="仿宋" w:eastAsia="仿宋"/>
          <w:bCs/>
          <w:sz w:val="32"/>
          <w:szCs w:val="32"/>
        </w:rPr>
        <w:t>一般公共服务（类）政府办公厅（室）及相关机构事务（款）一般行政管理事务（项）</w:t>
      </w:r>
      <w:r>
        <w:rPr>
          <w:rStyle w:val="14"/>
          <w:rFonts w:ascii="仿宋" w:hAnsi="仿宋" w:eastAsia="仿宋"/>
          <w:bCs/>
          <w:sz w:val="32"/>
          <w:szCs w:val="32"/>
        </w:rPr>
        <w:t>:</w:t>
      </w:r>
      <w:r>
        <w:rPr>
          <w:rStyle w:val="14"/>
          <w:rFonts w:ascii="仿宋" w:hAnsi="仿宋" w:eastAsia="仿宋"/>
          <w:b w:val="0"/>
          <w:bCs/>
          <w:sz w:val="32"/>
          <w:szCs w:val="32"/>
        </w:rPr>
        <w:t xml:space="preserve"> </w:t>
      </w:r>
      <w:r>
        <w:rPr>
          <w:rStyle w:val="14"/>
          <w:rFonts w:hint="eastAsia" w:ascii="仿宋" w:hAnsi="仿宋" w:eastAsia="仿宋"/>
          <w:b w:val="0"/>
          <w:bCs/>
          <w:sz w:val="32"/>
          <w:szCs w:val="32"/>
        </w:rPr>
        <w:t>支出决算为12万元，完成预算100</w:t>
      </w:r>
      <w:r>
        <w:rPr>
          <w:rStyle w:val="14"/>
          <w:rFonts w:ascii="仿宋" w:hAnsi="仿宋" w:eastAsia="仿宋"/>
          <w:b w:val="0"/>
          <w:bCs/>
          <w:sz w:val="32"/>
          <w:szCs w:val="32"/>
        </w:rPr>
        <w:t>%</w:t>
      </w:r>
      <w:r>
        <w:rPr>
          <w:rStyle w:val="14"/>
          <w:rFonts w:hint="eastAsia" w:ascii="仿宋" w:hAnsi="仿宋" w:eastAsia="仿宋"/>
          <w:b w:val="0"/>
          <w:bCs/>
          <w:sz w:val="32"/>
          <w:szCs w:val="32"/>
        </w:rPr>
        <w:t>，决算数等于预算数。</w:t>
      </w:r>
    </w:p>
    <w:p>
      <w:pPr>
        <w:adjustRightInd w:val="0"/>
        <w:snapToGrid w:val="0"/>
        <w:spacing w:line="353" w:lineRule="auto"/>
        <w:ind w:firstLine="643" w:firstLineChars="200"/>
        <w:rPr>
          <w:rFonts w:eastAsia="仿宋_GB2312"/>
          <w:b/>
          <w:bCs/>
        </w:rPr>
      </w:pPr>
      <w:r>
        <w:rPr>
          <w:rStyle w:val="14"/>
          <w:rFonts w:hint="eastAsia" w:ascii="仿宋" w:hAnsi="仿宋" w:eastAsia="仿宋"/>
          <w:bCs/>
          <w:sz w:val="32"/>
          <w:szCs w:val="32"/>
        </w:rPr>
        <w:t>2</w:t>
      </w:r>
      <w:r>
        <w:rPr>
          <w:rStyle w:val="14"/>
          <w:rFonts w:ascii="仿宋" w:hAnsi="仿宋" w:eastAsia="仿宋"/>
          <w:bCs/>
          <w:sz w:val="32"/>
          <w:szCs w:val="32"/>
        </w:rPr>
        <w:t>.</w:t>
      </w:r>
      <w:r>
        <w:rPr>
          <w:rStyle w:val="14"/>
          <w:rFonts w:eastAsia="仿宋_GB2312"/>
          <w:bCs/>
          <w:color w:val="000000"/>
          <w:sz w:val="32"/>
          <w:szCs w:val="32"/>
        </w:rPr>
        <w:t>科学技术（类）科学技术管理事务（款）行政运行（项）</w:t>
      </w:r>
      <w:r>
        <w:rPr>
          <w:rStyle w:val="14"/>
          <w:rFonts w:hint="eastAsia" w:eastAsia="仿宋_GB2312"/>
          <w:bCs/>
          <w:color w:val="000000"/>
          <w:sz w:val="32"/>
          <w:szCs w:val="32"/>
        </w:rPr>
        <w:t>：</w:t>
      </w:r>
      <w:r>
        <w:rPr>
          <w:rStyle w:val="14"/>
          <w:rFonts w:eastAsia="仿宋_GB2312"/>
          <w:b w:val="0"/>
          <w:bCs/>
          <w:color w:val="000000"/>
          <w:sz w:val="32"/>
          <w:szCs w:val="32"/>
        </w:rPr>
        <w:t>支出决算为</w:t>
      </w:r>
      <w:r>
        <w:rPr>
          <w:rStyle w:val="14"/>
          <w:rFonts w:hint="eastAsia" w:eastAsia="仿宋_GB2312"/>
          <w:b w:val="0"/>
          <w:bCs/>
          <w:color w:val="000000"/>
          <w:sz w:val="32"/>
          <w:szCs w:val="32"/>
        </w:rPr>
        <w:t>155.14</w:t>
      </w:r>
      <w:r>
        <w:rPr>
          <w:rStyle w:val="14"/>
          <w:rFonts w:eastAsia="仿宋_GB2312"/>
          <w:b w:val="0"/>
          <w:bCs/>
          <w:color w:val="000000"/>
          <w:sz w:val="32"/>
          <w:szCs w:val="32"/>
        </w:rPr>
        <w:t>万元，完成预算100%，决算数等于预算数；</w:t>
      </w:r>
      <w:r>
        <w:rPr>
          <w:rStyle w:val="14"/>
          <w:rFonts w:eastAsia="仿宋_GB2312"/>
          <w:bCs/>
          <w:color w:val="000000"/>
          <w:sz w:val="32"/>
          <w:szCs w:val="32"/>
        </w:rPr>
        <w:t>科学技术（类）科学技术管理事务（款）其他科学技术管理事务支出（项）</w:t>
      </w:r>
      <w:r>
        <w:rPr>
          <w:rStyle w:val="14"/>
          <w:rFonts w:hint="eastAsia" w:eastAsia="仿宋_GB2312"/>
          <w:bCs/>
          <w:color w:val="000000"/>
          <w:sz w:val="32"/>
          <w:szCs w:val="32"/>
        </w:rPr>
        <w:t>：</w:t>
      </w:r>
      <w:r>
        <w:rPr>
          <w:rStyle w:val="14"/>
          <w:rFonts w:eastAsia="仿宋_GB2312"/>
          <w:b w:val="0"/>
          <w:bCs/>
          <w:color w:val="000000"/>
          <w:sz w:val="32"/>
          <w:szCs w:val="32"/>
        </w:rPr>
        <w:t>支出决算为</w:t>
      </w:r>
      <w:r>
        <w:rPr>
          <w:rStyle w:val="14"/>
          <w:rFonts w:hint="eastAsia" w:eastAsia="仿宋_GB2312"/>
          <w:b w:val="0"/>
          <w:bCs/>
          <w:color w:val="000000"/>
          <w:sz w:val="32"/>
          <w:szCs w:val="32"/>
        </w:rPr>
        <w:t>26.26</w:t>
      </w:r>
      <w:r>
        <w:rPr>
          <w:rStyle w:val="14"/>
          <w:rFonts w:eastAsia="仿宋_GB2312"/>
          <w:b w:val="0"/>
          <w:bCs/>
          <w:color w:val="000000"/>
          <w:sz w:val="32"/>
          <w:szCs w:val="32"/>
        </w:rPr>
        <w:t>万元</w:t>
      </w:r>
      <w:r>
        <w:rPr>
          <w:rStyle w:val="14"/>
          <w:rFonts w:hint="eastAsia" w:eastAsia="仿宋_GB2312"/>
          <w:b w:val="0"/>
          <w:bCs/>
          <w:color w:val="000000"/>
          <w:sz w:val="32"/>
          <w:szCs w:val="32"/>
        </w:rPr>
        <w:t>，</w:t>
      </w:r>
      <w:r>
        <w:rPr>
          <w:rStyle w:val="14"/>
          <w:rFonts w:eastAsia="仿宋_GB2312"/>
          <w:b w:val="0"/>
          <w:bCs/>
          <w:color w:val="000000"/>
          <w:sz w:val="32"/>
          <w:szCs w:val="32"/>
        </w:rPr>
        <w:t>完成预算100%，决算数等于预算数</w:t>
      </w:r>
      <w:r>
        <w:rPr>
          <w:rStyle w:val="14"/>
          <w:rFonts w:hint="eastAsia" w:eastAsia="仿宋_GB2312"/>
          <w:b w:val="0"/>
          <w:bCs/>
          <w:color w:val="000000"/>
          <w:sz w:val="32"/>
          <w:szCs w:val="32"/>
        </w:rPr>
        <w:t>。</w:t>
      </w:r>
    </w:p>
    <w:p>
      <w:pPr>
        <w:adjustRightInd w:val="0"/>
        <w:snapToGrid w:val="0"/>
        <w:spacing w:line="353" w:lineRule="auto"/>
        <w:ind w:firstLine="643" w:firstLineChars="200"/>
        <w:rPr>
          <w:rFonts w:eastAsia="仿宋_GB2312"/>
          <w:b/>
          <w:bCs/>
        </w:rPr>
      </w:pPr>
      <w:r>
        <w:rPr>
          <w:rStyle w:val="14"/>
          <w:rFonts w:hint="eastAsia" w:ascii="仿宋" w:hAnsi="仿宋" w:eastAsia="仿宋"/>
          <w:bCs/>
          <w:sz w:val="32"/>
          <w:szCs w:val="32"/>
        </w:rPr>
        <w:t>3</w:t>
      </w:r>
      <w:r>
        <w:rPr>
          <w:rStyle w:val="14"/>
          <w:rFonts w:ascii="仿宋" w:hAnsi="仿宋" w:eastAsia="仿宋"/>
          <w:bCs/>
          <w:sz w:val="32"/>
          <w:szCs w:val="32"/>
        </w:rPr>
        <w:t>.</w:t>
      </w:r>
      <w:r>
        <w:rPr>
          <w:rStyle w:val="14"/>
          <w:rFonts w:eastAsia="仿宋_GB2312"/>
          <w:bCs/>
          <w:color w:val="000000"/>
          <w:sz w:val="32"/>
          <w:szCs w:val="32"/>
        </w:rPr>
        <w:t>社会保障和就业（类）行政事业单位养老（款）行政单位离退休（项）</w:t>
      </w:r>
      <w:r>
        <w:rPr>
          <w:rStyle w:val="14"/>
          <w:rFonts w:hint="eastAsia" w:eastAsia="仿宋_GB2312"/>
          <w:bCs/>
          <w:color w:val="000000"/>
          <w:sz w:val="32"/>
          <w:szCs w:val="32"/>
        </w:rPr>
        <w:t>：</w:t>
      </w:r>
      <w:r>
        <w:rPr>
          <w:rStyle w:val="14"/>
          <w:rFonts w:eastAsia="仿宋_GB2312"/>
          <w:b w:val="0"/>
          <w:bCs/>
          <w:color w:val="000000"/>
          <w:sz w:val="32"/>
          <w:szCs w:val="32"/>
        </w:rPr>
        <w:t>支出决算为</w:t>
      </w:r>
      <w:r>
        <w:rPr>
          <w:rStyle w:val="14"/>
          <w:rFonts w:hint="eastAsia" w:eastAsia="仿宋_GB2312"/>
          <w:b w:val="0"/>
          <w:bCs/>
          <w:color w:val="000000"/>
          <w:sz w:val="32"/>
          <w:szCs w:val="32"/>
        </w:rPr>
        <w:t>34.01</w:t>
      </w:r>
      <w:r>
        <w:rPr>
          <w:rStyle w:val="14"/>
          <w:rFonts w:eastAsia="仿宋_GB2312"/>
          <w:b w:val="0"/>
          <w:bCs/>
          <w:color w:val="000000"/>
          <w:sz w:val="32"/>
          <w:szCs w:val="32"/>
        </w:rPr>
        <w:t>万元，完成预100%，决算数等于预算数。</w:t>
      </w:r>
      <w:r>
        <w:rPr>
          <w:rStyle w:val="14"/>
          <w:rFonts w:eastAsia="仿宋_GB2312"/>
          <w:bCs/>
          <w:color w:val="000000"/>
          <w:sz w:val="32"/>
          <w:szCs w:val="32"/>
        </w:rPr>
        <w:t>社会保障和就业（类）行政事业单位养老（款）机关事业单位基本养老保险缴费支出（项）</w:t>
      </w:r>
      <w:r>
        <w:rPr>
          <w:rStyle w:val="14"/>
          <w:rFonts w:hint="eastAsia" w:eastAsia="仿宋_GB2312"/>
          <w:bCs/>
          <w:color w:val="000000"/>
          <w:sz w:val="32"/>
          <w:szCs w:val="32"/>
        </w:rPr>
        <w:t>：</w:t>
      </w:r>
      <w:r>
        <w:rPr>
          <w:rStyle w:val="14"/>
          <w:rFonts w:eastAsia="仿宋_GB2312"/>
          <w:b w:val="0"/>
          <w:bCs/>
          <w:color w:val="000000"/>
          <w:sz w:val="32"/>
          <w:szCs w:val="32"/>
        </w:rPr>
        <w:t>支出决算为</w:t>
      </w:r>
      <w:r>
        <w:rPr>
          <w:rStyle w:val="14"/>
          <w:rFonts w:hint="eastAsia" w:eastAsia="仿宋_GB2312"/>
          <w:b w:val="0"/>
          <w:bCs/>
          <w:color w:val="000000"/>
          <w:sz w:val="32"/>
          <w:szCs w:val="32"/>
        </w:rPr>
        <w:t>12.12</w:t>
      </w:r>
      <w:r>
        <w:rPr>
          <w:rStyle w:val="14"/>
          <w:rFonts w:eastAsia="仿宋_GB2312"/>
          <w:b w:val="0"/>
          <w:bCs/>
          <w:color w:val="000000"/>
          <w:sz w:val="32"/>
          <w:szCs w:val="32"/>
        </w:rPr>
        <w:t>万元，完成预100%，决算数等于预算数。</w:t>
      </w:r>
      <w:r>
        <w:rPr>
          <w:rStyle w:val="14"/>
          <w:rFonts w:eastAsia="仿宋_GB2312"/>
          <w:bCs/>
          <w:color w:val="000000"/>
          <w:sz w:val="32"/>
          <w:szCs w:val="32"/>
        </w:rPr>
        <w:t>社会保障和就业（类）抚恤（款）死亡抚恤（项）</w:t>
      </w:r>
      <w:r>
        <w:rPr>
          <w:rStyle w:val="14"/>
          <w:rFonts w:hint="eastAsia" w:eastAsia="仿宋_GB2312"/>
          <w:bCs/>
          <w:color w:val="000000"/>
          <w:sz w:val="32"/>
          <w:szCs w:val="32"/>
        </w:rPr>
        <w:t>：</w:t>
      </w:r>
      <w:r>
        <w:rPr>
          <w:rStyle w:val="14"/>
          <w:rFonts w:eastAsia="仿宋_GB2312"/>
          <w:b w:val="0"/>
          <w:bCs/>
          <w:color w:val="000000"/>
          <w:sz w:val="32"/>
          <w:szCs w:val="32"/>
        </w:rPr>
        <w:t>支出决算为</w:t>
      </w:r>
      <w:r>
        <w:rPr>
          <w:rStyle w:val="14"/>
          <w:rFonts w:hint="eastAsia" w:eastAsia="仿宋_GB2312"/>
          <w:b w:val="0"/>
          <w:bCs/>
          <w:color w:val="000000"/>
          <w:sz w:val="32"/>
          <w:szCs w:val="32"/>
        </w:rPr>
        <w:t>9.07</w:t>
      </w:r>
      <w:r>
        <w:rPr>
          <w:rStyle w:val="14"/>
          <w:rFonts w:eastAsia="仿宋_GB2312"/>
          <w:b w:val="0"/>
          <w:bCs/>
          <w:color w:val="000000"/>
          <w:sz w:val="32"/>
          <w:szCs w:val="32"/>
        </w:rPr>
        <w:t>万元，完成预100%，决算数等于预算数。</w:t>
      </w:r>
      <w:r>
        <w:rPr>
          <w:rStyle w:val="14"/>
          <w:rFonts w:eastAsia="仿宋_GB2312"/>
          <w:bCs/>
          <w:color w:val="000000"/>
          <w:sz w:val="32"/>
          <w:szCs w:val="32"/>
        </w:rPr>
        <w:t>社会保障和就业（类）社会福利（款）儿童福利（项）</w:t>
      </w:r>
      <w:r>
        <w:rPr>
          <w:rStyle w:val="14"/>
          <w:rFonts w:hint="eastAsia" w:eastAsia="仿宋_GB2312"/>
          <w:bCs/>
          <w:color w:val="000000"/>
          <w:sz w:val="32"/>
          <w:szCs w:val="32"/>
        </w:rPr>
        <w:t>：</w:t>
      </w:r>
      <w:r>
        <w:rPr>
          <w:rStyle w:val="14"/>
          <w:rFonts w:eastAsia="仿宋_GB2312"/>
          <w:b w:val="0"/>
          <w:bCs/>
          <w:color w:val="000000"/>
          <w:sz w:val="32"/>
          <w:szCs w:val="32"/>
        </w:rPr>
        <w:t>支出决算为</w:t>
      </w:r>
      <w:r>
        <w:rPr>
          <w:rStyle w:val="14"/>
          <w:rFonts w:hint="eastAsia" w:eastAsia="仿宋_GB2312"/>
          <w:b w:val="0"/>
          <w:bCs/>
          <w:color w:val="000000"/>
          <w:sz w:val="32"/>
          <w:szCs w:val="32"/>
        </w:rPr>
        <w:t>0.5</w:t>
      </w:r>
      <w:r>
        <w:rPr>
          <w:rStyle w:val="14"/>
          <w:rFonts w:eastAsia="仿宋_GB2312"/>
          <w:b w:val="0"/>
          <w:bCs/>
          <w:color w:val="000000"/>
          <w:sz w:val="32"/>
          <w:szCs w:val="32"/>
        </w:rPr>
        <w:t>万元，完成预100%，决算数等于预算数。</w:t>
      </w:r>
    </w:p>
    <w:p>
      <w:pPr>
        <w:spacing w:line="600" w:lineRule="exact"/>
        <w:ind w:firstLine="643" w:firstLineChars="200"/>
        <w:rPr>
          <w:rFonts w:hint="eastAsia" w:ascii="仿宋" w:hAnsi="仿宋" w:eastAsia="仿宋"/>
          <w:b/>
          <w:sz w:val="32"/>
          <w:szCs w:val="32"/>
        </w:rPr>
      </w:pPr>
      <w:r>
        <w:rPr>
          <w:rStyle w:val="14"/>
          <w:rFonts w:hint="eastAsia" w:ascii="仿宋" w:hAnsi="仿宋" w:eastAsia="仿宋"/>
          <w:bCs/>
          <w:sz w:val="32"/>
          <w:szCs w:val="32"/>
        </w:rPr>
        <w:t>4</w:t>
      </w:r>
      <w:r>
        <w:rPr>
          <w:rStyle w:val="14"/>
          <w:rFonts w:ascii="仿宋" w:hAnsi="仿宋" w:eastAsia="仿宋"/>
          <w:bCs/>
          <w:sz w:val="32"/>
          <w:szCs w:val="32"/>
        </w:rPr>
        <w:t>.</w:t>
      </w:r>
      <w:r>
        <w:rPr>
          <w:rFonts w:eastAsia="仿宋_GB2312"/>
          <w:b/>
          <w:bCs/>
          <w:color w:val="000000"/>
          <w:sz w:val="32"/>
          <w:szCs w:val="32"/>
        </w:rPr>
        <w:t>住房保障</w:t>
      </w:r>
      <w:r>
        <w:rPr>
          <w:rStyle w:val="14"/>
          <w:rFonts w:eastAsia="仿宋_GB2312"/>
          <w:bCs/>
          <w:color w:val="000000"/>
          <w:sz w:val="32"/>
          <w:szCs w:val="32"/>
        </w:rPr>
        <w:t>（类）住房改革（款）住房公积金（项）</w:t>
      </w:r>
      <w:r>
        <w:rPr>
          <w:rStyle w:val="14"/>
          <w:rFonts w:hint="eastAsia" w:eastAsia="仿宋_GB2312"/>
          <w:bCs/>
          <w:color w:val="000000"/>
          <w:sz w:val="32"/>
          <w:szCs w:val="32"/>
        </w:rPr>
        <w:t>：</w:t>
      </w:r>
      <w:r>
        <w:rPr>
          <w:rStyle w:val="14"/>
          <w:rFonts w:eastAsia="仿宋_GB2312"/>
          <w:b w:val="0"/>
          <w:bCs/>
          <w:color w:val="000000"/>
          <w:sz w:val="32"/>
          <w:szCs w:val="32"/>
        </w:rPr>
        <w:t>支出决算为</w:t>
      </w:r>
      <w:r>
        <w:rPr>
          <w:rStyle w:val="14"/>
          <w:rFonts w:hint="eastAsia" w:eastAsia="仿宋_GB2312"/>
          <w:b w:val="0"/>
          <w:bCs/>
          <w:color w:val="000000"/>
          <w:sz w:val="32"/>
          <w:szCs w:val="32"/>
        </w:rPr>
        <w:t>12.87</w:t>
      </w:r>
      <w:r>
        <w:rPr>
          <w:rStyle w:val="14"/>
          <w:rFonts w:eastAsia="仿宋_GB2312"/>
          <w:b w:val="0"/>
          <w:bCs/>
          <w:color w:val="000000"/>
          <w:sz w:val="32"/>
          <w:szCs w:val="32"/>
        </w:rPr>
        <w:t>万元，完成预算100%，决算数等于预算数。</w:t>
      </w:r>
    </w:p>
    <w:p>
      <w:pPr>
        <w:spacing w:line="600" w:lineRule="exact"/>
        <w:ind w:firstLine="640"/>
        <w:rPr>
          <w:rFonts w:ascii="仿宋" w:hAnsi="仿宋" w:eastAsia="仿宋"/>
          <w:b/>
          <w:sz w:val="32"/>
          <w:szCs w:val="32"/>
        </w:rPr>
      </w:pPr>
    </w:p>
    <w:p>
      <w:pPr>
        <w:tabs>
          <w:tab w:val="right" w:pos="8306"/>
        </w:tabs>
        <w:spacing w:line="600" w:lineRule="exact"/>
        <w:ind w:firstLine="640"/>
        <w:outlineLvl w:val="1"/>
        <w:rPr>
          <w:rStyle w:val="25"/>
        </w:rPr>
      </w:pPr>
      <w:bookmarkStart w:id="34" w:name="_Toc15377214"/>
      <w:bookmarkStart w:id="35" w:name="_Toc15396608"/>
      <w:r>
        <w:rPr>
          <w:rFonts w:hint="eastAsia" w:ascii="黑体" w:eastAsia="黑体"/>
          <w:sz w:val="32"/>
          <w:szCs w:val="32"/>
        </w:rPr>
        <w:t>六</w:t>
      </w:r>
      <w:r>
        <w:rPr>
          <w:rFonts w:hint="eastAsia" w:ascii="黑体" w:eastAsia="黑体"/>
          <w:b/>
          <w:sz w:val="32"/>
          <w:szCs w:val="32"/>
        </w:rPr>
        <w:t>、</w:t>
      </w:r>
      <w:r>
        <w:rPr>
          <w:rFonts w:hint="eastAsia" w:ascii="黑体" w:hAnsi="黑体" w:eastAsia="黑体"/>
          <w:b/>
          <w:sz w:val="32"/>
          <w:szCs w:val="32"/>
        </w:rPr>
        <w:t>一</w:t>
      </w:r>
      <w:r>
        <w:rPr>
          <w:rStyle w:val="25"/>
          <w:rFonts w:hint="eastAsia" w:ascii="黑体" w:hAnsi="黑体" w:eastAsia="黑体"/>
          <w:b w:val="0"/>
        </w:rPr>
        <w:t>般公共预算财政拨款基本支出决算情况说明</w:t>
      </w:r>
      <w:bookmarkEnd w:id="34"/>
      <w:bookmarkEnd w:id="35"/>
      <w:r>
        <w:rPr>
          <w:rStyle w:val="25"/>
          <w:rFonts w:ascii="黑体" w:hAnsi="黑体" w:eastAsia="黑体"/>
          <w:b w:val="0"/>
        </w:rPr>
        <w:tab/>
      </w:r>
    </w:p>
    <w:p>
      <w:pPr>
        <w:spacing w:line="600" w:lineRule="exact"/>
        <w:ind w:firstLine="645"/>
        <w:rPr>
          <w:rFonts w:ascii="仿宋" w:hAnsi="仿宋" w:eastAsia="仿宋"/>
          <w:sz w:val="32"/>
          <w:szCs w:val="32"/>
        </w:rPr>
      </w:pPr>
      <w:r>
        <w:rPr>
          <w:rFonts w:ascii="仿宋" w:hAnsi="仿宋" w:eastAsia="仿宋"/>
          <w:sz w:val="32"/>
          <w:szCs w:val="32"/>
        </w:rPr>
        <w:t>20</w:t>
      </w:r>
      <w:r>
        <w:rPr>
          <w:rFonts w:hint="eastAsia" w:ascii="仿宋" w:hAnsi="仿宋" w:eastAsia="仿宋"/>
          <w:sz w:val="32"/>
          <w:szCs w:val="32"/>
        </w:rPr>
        <w:t>21年一般公共预算财政拨款基本支出223.2万元，其中：</w:t>
      </w:r>
    </w:p>
    <w:p>
      <w:pPr>
        <w:spacing w:line="600" w:lineRule="exact"/>
        <w:ind w:firstLine="645"/>
        <w:rPr>
          <w:rFonts w:ascii="仿宋" w:hAnsi="仿宋" w:eastAsia="仿宋"/>
          <w:sz w:val="32"/>
          <w:szCs w:val="32"/>
        </w:rPr>
      </w:pPr>
      <w:r>
        <w:rPr>
          <w:rFonts w:hint="eastAsia" w:ascii="仿宋" w:hAnsi="仿宋" w:eastAsia="仿宋"/>
          <w:sz w:val="32"/>
          <w:szCs w:val="32"/>
        </w:rPr>
        <w:t>人员经费197.34万元，主要包括：基本工资、津贴补贴、奖金、伙食补助费、绩效工资、机关事业单位基本养老保险缴费、职业年金缴费、其他社会保障缴费、其他工资福利支出、离休费、退休费、抚恤金、生活补助、医疗费补助、奖励金、住房公积金、其他对个人和家庭的补助支出等。</w:t>
      </w:r>
    </w:p>
    <w:p>
      <w:pPr>
        <w:spacing w:line="600" w:lineRule="exact"/>
        <w:ind w:firstLine="645"/>
        <w:rPr>
          <w:rFonts w:ascii="仿宋" w:hAnsi="仿宋" w:eastAsia="仿宋"/>
          <w:sz w:val="32"/>
          <w:szCs w:val="32"/>
        </w:rPr>
      </w:pPr>
      <w:r>
        <w:rPr>
          <w:rFonts w:hint="eastAsia" w:ascii="仿宋" w:hAnsi="仿宋" w:eastAsia="仿宋"/>
          <w:sz w:val="32"/>
          <w:szCs w:val="32"/>
        </w:rPr>
        <w:t>公用经费25.86万元，主要包括：办公费、印刷费、咨询费、手续费、水费、电费、邮电费、取暖费、物业管理费、差旅费、因公出国（境）费用、维修（护）费、租赁费、会议费、培训费、公务接待费、劳务费、委托业务费、工会经费、福利费、公务用车运行维护费、其他交通费、税金及附加费用、其他商品和服务支出、办公设备购置、专用设备购置、信息网络及软件购置更新、其他资本性支出等。</w:t>
      </w:r>
    </w:p>
    <w:p>
      <w:pPr>
        <w:spacing w:line="600" w:lineRule="exact"/>
        <w:ind w:firstLine="640"/>
        <w:rPr>
          <w:rFonts w:ascii="仿宋" w:hAnsi="仿宋" w:eastAsia="仿宋"/>
          <w:b/>
          <w:sz w:val="32"/>
          <w:szCs w:val="32"/>
        </w:rPr>
      </w:pPr>
    </w:p>
    <w:p>
      <w:pPr>
        <w:spacing w:line="600" w:lineRule="exact"/>
        <w:ind w:firstLine="640"/>
        <w:outlineLvl w:val="1"/>
        <w:rPr>
          <w:rStyle w:val="25"/>
          <w:rFonts w:ascii="黑体" w:hAnsi="黑体" w:eastAsia="黑体"/>
          <w:b w:val="0"/>
        </w:rPr>
      </w:pPr>
      <w:bookmarkStart w:id="36" w:name="_Toc15377215"/>
      <w:bookmarkStart w:id="37" w:name="_Toc15396609"/>
      <w:r>
        <w:rPr>
          <w:rFonts w:hint="eastAsia" w:ascii="黑体" w:eastAsia="黑体"/>
          <w:sz w:val="32"/>
          <w:szCs w:val="32"/>
        </w:rPr>
        <w:t>七、</w:t>
      </w:r>
      <w:r>
        <w:rPr>
          <w:rStyle w:val="25"/>
          <w:rFonts w:hint="eastAsia" w:ascii="黑体" w:hAnsi="黑体" w:eastAsia="黑体"/>
        </w:rPr>
        <w:t>“</w:t>
      </w:r>
      <w:r>
        <w:rPr>
          <w:rStyle w:val="25"/>
          <w:rFonts w:hint="eastAsia" w:ascii="黑体" w:hAnsi="黑体" w:eastAsia="黑体"/>
          <w:b w:val="0"/>
        </w:rPr>
        <w:t>三公”经费财政拨款支出决算情况说明</w:t>
      </w:r>
      <w:bookmarkEnd w:id="36"/>
      <w:bookmarkEnd w:id="37"/>
    </w:p>
    <w:p>
      <w:pPr>
        <w:spacing w:line="600" w:lineRule="exact"/>
        <w:ind w:firstLine="640"/>
        <w:outlineLvl w:val="2"/>
        <w:rPr>
          <w:rFonts w:ascii="仿宋" w:hAnsi="仿宋" w:eastAsia="仿宋"/>
          <w:b/>
          <w:sz w:val="32"/>
          <w:szCs w:val="32"/>
        </w:rPr>
      </w:pPr>
      <w:bookmarkStart w:id="38" w:name="_Toc15377216"/>
      <w:r>
        <w:rPr>
          <w:rFonts w:hint="eastAsia" w:ascii="仿宋" w:hAnsi="仿宋" w:eastAsia="仿宋"/>
          <w:b/>
          <w:sz w:val="32"/>
          <w:szCs w:val="32"/>
        </w:rPr>
        <w:t>（一）“三公”经费财政拨款支出决算总体情况说明</w:t>
      </w:r>
      <w:bookmarkEnd w:id="38"/>
    </w:p>
    <w:p>
      <w:pPr>
        <w:spacing w:line="600" w:lineRule="exact"/>
        <w:ind w:firstLine="640"/>
        <w:rPr>
          <w:rFonts w:ascii="仿宋" w:hAnsi="仿宋" w:eastAsia="仿宋"/>
          <w:sz w:val="32"/>
          <w:szCs w:val="32"/>
        </w:rPr>
      </w:pPr>
      <w:r>
        <w:rPr>
          <w:rFonts w:ascii="仿宋" w:hAnsi="仿宋" w:eastAsia="仿宋"/>
          <w:sz w:val="32"/>
          <w:szCs w:val="32"/>
        </w:rPr>
        <w:t>20</w:t>
      </w:r>
      <w:r>
        <w:rPr>
          <w:rFonts w:hint="eastAsia" w:ascii="仿宋" w:hAnsi="仿宋" w:eastAsia="仿宋"/>
          <w:sz w:val="32"/>
          <w:szCs w:val="32"/>
        </w:rPr>
        <w:t>21年“三公”经费财政拨款支出决算为0万元，完成预算0</w:t>
      </w:r>
      <w:r>
        <w:rPr>
          <w:rFonts w:ascii="仿宋" w:hAnsi="仿宋" w:eastAsia="仿宋"/>
          <w:sz w:val="32"/>
          <w:szCs w:val="32"/>
        </w:rPr>
        <w:t>%</w:t>
      </w:r>
      <w:r>
        <w:rPr>
          <w:rFonts w:hint="eastAsia" w:ascii="仿宋" w:hAnsi="仿宋" w:eastAsia="仿宋"/>
          <w:sz w:val="32"/>
          <w:szCs w:val="32"/>
        </w:rPr>
        <w:t>，决算数小于预算数的主要原因是</w:t>
      </w:r>
      <w:r>
        <w:rPr>
          <w:rFonts w:hint="eastAsia" w:ascii="仿宋_GB2312" w:hAnsi="仿宋" w:eastAsia="仿宋_GB2312" w:cs="仿宋"/>
          <w:color w:val="000000"/>
          <w:sz w:val="32"/>
          <w:szCs w:val="32"/>
        </w:rPr>
        <w:t>本年度公务用车购置及保有量均为0辆，因公出国（境）团组数及人数为0，无公务接待</w:t>
      </w:r>
      <w:r>
        <w:rPr>
          <w:rFonts w:hint="eastAsia" w:ascii="仿宋" w:hAnsi="仿宋" w:eastAsia="仿宋"/>
          <w:sz w:val="32"/>
          <w:szCs w:val="32"/>
        </w:rPr>
        <w:t>。</w:t>
      </w:r>
    </w:p>
    <w:p>
      <w:pPr>
        <w:spacing w:line="600" w:lineRule="exact"/>
        <w:ind w:firstLine="640"/>
        <w:outlineLvl w:val="2"/>
        <w:rPr>
          <w:rFonts w:ascii="仿宋" w:hAnsi="仿宋" w:eastAsia="仿宋"/>
          <w:b/>
          <w:sz w:val="32"/>
          <w:szCs w:val="32"/>
        </w:rPr>
      </w:pPr>
      <w:bookmarkStart w:id="39" w:name="_Toc15377217"/>
      <w:r>
        <w:rPr>
          <w:rFonts w:hint="eastAsia" w:ascii="仿宋" w:hAnsi="仿宋" w:eastAsia="仿宋"/>
          <w:b/>
          <w:sz w:val="32"/>
          <w:szCs w:val="32"/>
        </w:rPr>
        <w:t>（二）“三公”经费财政拨款支出决算具体情况说明</w:t>
      </w:r>
      <w:bookmarkEnd w:id="39"/>
    </w:p>
    <w:p>
      <w:pPr>
        <w:spacing w:line="600" w:lineRule="exact"/>
        <w:ind w:firstLine="640"/>
        <w:rPr>
          <w:rFonts w:ascii="仿宋" w:hAnsi="仿宋" w:eastAsia="仿宋"/>
          <w:sz w:val="32"/>
          <w:szCs w:val="32"/>
        </w:rPr>
      </w:pPr>
      <w:r>
        <w:rPr>
          <w:rFonts w:ascii="仿宋" w:hAnsi="仿宋" w:eastAsia="仿宋"/>
          <w:sz w:val="32"/>
          <w:szCs w:val="32"/>
        </w:rPr>
        <w:t>20</w:t>
      </w:r>
      <w:r>
        <w:rPr>
          <w:rFonts w:hint="eastAsia" w:ascii="仿宋" w:hAnsi="仿宋" w:eastAsia="仿宋"/>
          <w:sz w:val="32"/>
          <w:szCs w:val="32"/>
        </w:rPr>
        <w:t>21年“三公”经费财政拨款支出决算中，因公出国（境）费支出决算0万元，占0</w:t>
      </w:r>
      <w:r>
        <w:rPr>
          <w:rFonts w:ascii="仿宋" w:hAnsi="仿宋" w:eastAsia="仿宋"/>
          <w:sz w:val="32"/>
          <w:szCs w:val="32"/>
        </w:rPr>
        <w:t>%</w:t>
      </w:r>
      <w:r>
        <w:rPr>
          <w:rFonts w:hint="eastAsia" w:ascii="仿宋" w:hAnsi="仿宋" w:eastAsia="仿宋"/>
          <w:sz w:val="32"/>
          <w:szCs w:val="32"/>
        </w:rPr>
        <w:t>；公务用车购置及运行维护费支出决算0万元，占0</w:t>
      </w:r>
      <w:r>
        <w:rPr>
          <w:rFonts w:ascii="仿宋" w:hAnsi="仿宋" w:eastAsia="仿宋"/>
          <w:sz w:val="32"/>
          <w:szCs w:val="32"/>
        </w:rPr>
        <w:t>%</w:t>
      </w:r>
      <w:r>
        <w:rPr>
          <w:rFonts w:hint="eastAsia" w:ascii="仿宋" w:hAnsi="仿宋" w:eastAsia="仿宋"/>
          <w:sz w:val="32"/>
          <w:szCs w:val="32"/>
        </w:rPr>
        <w:t>；公务接待费支出决算0万元，占0</w:t>
      </w:r>
      <w:r>
        <w:rPr>
          <w:rFonts w:ascii="仿宋" w:hAnsi="仿宋" w:eastAsia="仿宋"/>
          <w:sz w:val="32"/>
          <w:szCs w:val="32"/>
        </w:rPr>
        <w:t>%</w:t>
      </w:r>
      <w:r>
        <w:rPr>
          <w:rFonts w:hint="eastAsia" w:ascii="仿宋" w:hAnsi="仿宋" w:eastAsia="仿宋"/>
          <w:sz w:val="32"/>
          <w:szCs w:val="32"/>
        </w:rPr>
        <w:t>。具体情况如下：</w:t>
      </w:r>
    </w:p>
    <w:p>
      <w:pPr>
        <w:spacing w:line="600" w:lineRule="exact"/>
        <w:ind w:firstLine="640"/>
        <w:rPr>
          <w:rFonts w:ascii="仿宋_GB2312" w:eastAsia="仿宋_GB2312"/>
          <w:b/>
          <w:sz w:val="32"/>
          <w:szCs w:val="32"/>
        </w:rPr>
      </w:pPr>
      <w:r>
        <w:rPr>
          <w:rFonts w:ascii="仿宋_GB2312" w:eastAsia="仿宋_GB2312"/>
          <w:b/>
          <w:sz w:val="32"/>
          <w:szCs w:val="32"/>
        </w:rPr>
        <w:t>1.</w:t>
      </w:r>
      <w:r>
        <w:rPr>
          <w:rFonts w:hint="eastAsia" w:ascii="仿宋_GB2312" w:eastAsia="仿宋_GB2312"/>
          <w:b/>
          <w:sz w:val="32"/>
          <w:szCs w:val="32"/>
        </w:rPr>
        <w:t>因公出国（境）经费支出</w:t>
      </w:r>
      <w:r>
        <w:rPr>
          <w:rFonts w:hint="eastAsia" w:ascii="仿宋_GB2312" w:eastAsia="仿宋_GB2312"/>
          <w:sz w:val="32"/>
          <w:szCs w:val="32"/>
        </w:rPr>
        <w:t>0万元，</w:t>
      </w:r>
      <w:r>
        <w:rPr>
          <w:rStyle w:val="14"/>
          <w:rFonts w:hint="eastAsia" w:ascii="仿宋" w:hAnsi="仿宋" w:eastAsia="仿宋"/>
          <w:b w:val="0"/>
          <w:bCs/>
          <w:sz w:val="32"/>
          <w:szCs w:val="32"/>
        </w:rPr>
        <w:t>完成预算0</w:t>
      </w:r>
      <w:r>
        <w:rPr>
          <w:rStyle w:val="14"/>
          <w:rFonts w:ascii="仿宋" w:hAnsi="仿宋" w:eastAsia="仿宋"/>
          <w:b w:val="0"/>
          <w:bCs/>
          <w:sz w:val="32"/>
          <w:szCs w:val="32"/>
        </w:rPr>
        <w:t>%</w:t>
      </w:r>
      <w:r>
        <w:rPr>
          <w:rStyle w:val="14"/>
          <w:rFonts w:hint="eastAsia" w:ascii="仿宋" w:hAnsi="仿宋" w:eastAsia="仿宋"/>
          <w:b w:val="0"/>
          <w:bCs/>
          <w:sz w:val="32"/>
          <w:szCs w:val="32"/>
        </w:rPr>
        <w:t>。</w:t>
      </w:r>
      <w:r>
        <w:rPr>
          <w:rFonts w:hint="eastAsia" w:ascii="仿宋_GB2312" w:eastAsia="仿宋_GB2312"/>
          <w:sz w:val="32"/>
          <w:szCs w:val="32"/>
        </w:rPr>
        <w:t>全年安排因公出国（境）团组0次，出国（境）0人。因公出国（境）支出决算与</w:t>
      </w:r>
      <w:r>
        <w:rPr>
          <w:rFonts w:ascii="仿宋_GB2312" w:eastAsia="仿宋_GB2312"/>
          <w:sz w:val="32"/>
          <w:szCs w:val="32"/>
        </w:rPr>
        <w:t>20</w:t>
      </w:r>
      <w:r>
        <w:rPr>
          <w:rFonts w:hint="eastAsia" w:ascii="仿宋_GB2312" w:eastAsia="仿宋_GB2312"/>
          <w:sz w:val="32"/>
          <w:szCs w:val="32"/>
        </w:rPr>
        <w:t>20年持平。</w:t>
      </w:r>
    </w:p>
    <w:p>
      <w:pPr>
        <w:spacing w:line="600" w:lineRule="exact"/>
        <w:ind w:firstLine="640"/>
        <w:rPr>
          <w:rFonts w:ascii="仿宋_GB2312" w:eastAsia="仿宋_GB2312"/>
          <w:sz w:val="32"/>
          <w:szCs w:val="32"/>
        </w:rPr>
      </w:pPr>
      <w:r>
        <w:rPr>
          <w:rFonts w:hint="eastAsia" w:ascii="仿宋_GB2312" w:eastAsia="仿宋_GB2312"/>
          <w:sz w:val="32"/>
          <w:szCs w:val="32"/>
        </w:rPr>
        <w:t>开支内容包括：无开支内容。</w:t>
      </w:r>
    </w:p>
    <w:p>
      <w:pPr>
        <w:spacing w:line="600" w:lineRule="exact"/>
        <w:ind w:firstLine="640"/>
        <w:rPr>
          <w:rFonts w:ascii="仿宋_GB2312" w:eastAsia="仿宋_GB2312"/>
          <w:b/>
          <w:sz w:val="32"/>
          <w:szCs w:val="32"/>
        </w:rPr>
      </w:pPr>
      <w:r>
        <w:rPr>
          <w:rFonts w:ascii="仿宋_GB2312" w:eastAsia="仿宋_GB2312"/>
          <w:b/>
          <w:sz w:val="32"/>
          <w:szCs w:val="32"/>
        </w:rPr>
        <w:t>2.</w:t>
      </w:r>
      <w:r>
        <w:rPr>
          <w:rFonts w:hint="eastAsia" w:ascii="仿宋_GB2312" w:eastAsia="仿宋_GB2312"/>
          <w:b/>
          <w:sz w:val="32"/>
          <w:szCs w:val="32"/>
        </w:rPr>
        <w:t>公务用车购置及运行维护费支出</w:t>
      </w:r>
      <w:r>
        <w:rPr>
          <w:rFonts w:hint="eastAsia" w:ascii="仿宋_GB2312" w:eastAsia="仿宋_GB2312"/>
          <w:sz w:val="32"/>
          <w:szCs w:val="32"/>
        </w:rPr>
        <w:t>0万元,</w:t>
      </w:r>
      <w:r>
        <w:rPr>
          <w:rStyle w:val="14"/>
          <w:rFonts w:hint="eastAsia" w:ascii="仿宋" w:hAnsi="仿宋" w:eastAsia="仿宋"/>
          <w:b w:val="0"/>
          <w:bCs/>
          <w:sz w:val="32"/>
          <w:szCs w:val="32"/>
        </w:rPr>
        <w:t>完成预算0</w:t>
      </w:r>
      <w:r>
        <w:rPr>
          <w:rStyle w:val="14"/>
          <w:rFonts w:ascii="仿宋" w:hAnsi="仿宋" w:eastAsia="仿宋"/>
          <w:b w:val="0"/>
          <w:bCs/>
          <w:sz w:val="32"/>
          <w:szCs w:val="32"/>
        </w:rPr>
        <w:t>%</w:t>
      </w:r>
      <w:r>
        <w:rPr>
          <w:rStyle w:val="14"/>
          <w:rFonts w:hint="eastAsia" w:ascii="仿宋" w:hAnsi="仿宋" w:eastAsia="仿宋"/>
          <w:b w:val="0"/>
          <w:bCs/>
          <w:sz w:val="32"/>
          <w:szCs w:val="32"/>
        </w:rPr>
        <w:t>。</w:t>
      </w:r>
      <w:r>
        <w:rPr>
          <w:rFonts w:hint="eastAsia" w:ascii="仿宋_GB2312" w:eastAsia="仿宋_GB2312"/>
          <w:sz w:val="32"/>
          <w:szCs w:val="32"/>
        </w:rPr>
        <w:t>公务用车购置及运行维护费支出决算与</w:t>
      </w:r>
      <w:r>
        <w:rPr>
          <w:rFonts w:ascii="仿宋_GB2312" w:eastAsia="仿宋_GB2312"/>
          <w:sz w:val="32"/>
          <w:szCs w:val="32"/>
        </w:rPr>
        <w:t>20</w:t>
      </w:r>
      <w:r>
        <w:rPr>
          <w:rFonts w:hint="eastAsia" w:ascii="仿宋_GB2312" w:eastAsia="仿宋_GB2312"/>
          <w:sz w:val="32"/>
          <w:szCs w:val="32"/>
        </w:rPr>
        <w:t>20年持平。主要原因是单位无公务用车。</w:t>
      </w:r>
    </w:p>
    <w:p>
      <w:pPr>
        <w:spacing w:line="600" w:lineRule="exact"/>
        <w:ind w:firstLine="640" w:firstLineChars="200"/>
        <w:rPr>
          <w:rFonts w:ascii="仿宋_GB2312" w:eastAsia="仿宋_GB2312"/>
          <w:b/>
          <w:sz w:val="32"/>
          <w:szCs w:val="32"/>
        </w:rPr>
      </w:pPr>
      <w:r>
        <w:rPr>
          <w:rFonts w:hint="eastAsia" w:ascii="仿宋_GB2312" w:eastAsia="仿宋_GB2312"/>
          <w:sz w:val="32"/>
          <w:szCs w:val="32"/>
        </w:rPr>
        <w:t>其中：</w:t>
      </w:r>
      <w:r>
        <w:rPr>
          <w:rFonts w:hint="eastAsia" w:ascii="仿宋_GB2312" w:eastAsia="仿宋_GB2312"/>
          <w:b/>
          <w:sz w:val="32"/>
          <w:szCs w:val="32"/>
        </w:rPr>
        <w:t>公务用车购置支出</w:t>
      </w:r>
      <w:r>
        <w:rPr>
          <w:rFonts w:hint="eastAsia" w:ascii="仿宋_GB2312" w:eastAsia="仿宋_GB2312"/>
          <w:sz w:val="32"/>
          <w:szCs w:val="32"/>
        </w:rPr>
        <w:t>0万元。全年按规定更新购置公务用车0辆，其中：轿车0辆、金额0万元，越野车0辆、金额0万元，载客汽车0辆、金额0万元。截至</w:t>
      </w:r>
      <w:r>
        <w:rPr>
          <w:rFonts w:ascii="仿宋_GB2312" w:eastAsia="仿宋_GB2312"/>
          <w:sz w:val="32"/>
          <w:szCs w:val="32"/>
        </w:rPr>
        <w:t>20</w:t>
      </w:r>
      <w:r>
        <w:rPr>
          <w:rFonts w:hint="eastAsia" w:ascii="仿宋_GB2312" w:eastAsia="仿宋_GB2312"/>
          <w:sz w:val="32"/>
          <w:szCs w:val="32"/>
        </w:rPr>
        <w:t>21年</w:t>
      </w:r>
      <w:r>
        <w:rPr>
          <w:rFonts w:ascii="仿宋_GB2312" w:eastAsia="仿宋_GB2312"/>
          <w:sz w:val="32"/>
          <w:szCs w:val="32"/>
        </w:rPr>
        <w:t>12</w:t>
      </w:r>
      <w:r>
        <w:rPr>
          <w:rFonts w:hint="eastAsia" w:ascii="仿宋_GB2312" w:eastAsia="仿宋_GB2312"/>
          <w:sz w:val="32"/>
          <w:szCs w:val="32"/>
        </w:rPr>
        <w:t>月底，单位共有公务用车0辆，其中：轿车0辆、越野车0辆、载客汽车0辆。</w:t>
      </w:r>
    </w:p>
    <w:p>
      <w:pPr>
        <w:spacing w:line="600" w:lineRule="exact"/>
        <w:ind w:firstLine="640"/>
        <w:rPr>
          <w:rFonts w:hint="eastAsia" w:ascii="仿宋_GB2312" w:eastAsia="仿宋_GB2312"/>
          <w:sz w:val="32"/>
          <w:szCs w:val="32"/>
        </w:rPr>
      </w:pPr>
      <w:r>
        <w:rPr>
          <w:rFonts w:hint="eastAsia" w:ascii="仿宋_GB2312" w:eastAsia="仿宋_GB2312"/>
          <w:b/>
          <w:sz w:val="32"/>
          <w:szCs w:val="32"/>
        </w:rPr>
        <w:t>公务用车运行维护费支出</w:t>
      </w:r>
      <w:r>
        <w:rPr>
          <w:rFonts w:hint="eastAsia" w:ascii="仿宋_GB2312" w:eastAsia="仿宋_GB2312"/>
          <w:sz w:val="32"/>
          <w:szCs w:val="32"/>
        </w:rPr>
        <w:t>0万元。</w:t>
      </w:r>
    </w:p>
    <w:p>
      <w:pPr>
        <w:spacing w:line="600" w:lineRule="exact"/>
        <w:ind w:firstLine="640"/>
        <w:rPr>
          <w:rFonts w:ascii="仿宋_GB2312" w:eastAsia="仿宋_GB2312"/>
          <w:sz w:val="32"/>
          <w:szCs w:val="32"/>
        </w:rPr>
      </w:pPr>
      <w:r>
        <w:rPr>
          <w:rFonts w:ascii="仿宋_GB2312" w:eastAsia="仿宋_GB2312"/>
          <w:b/>
          <w:sz w:val="32"/>
          <w:szCs w:val="32"/>
        </w:rPr>
        <w:t>3.</w:t>
      </w:r>
      <w:r>
        <w:rPr>
          <w:rFonts w:hint="eastAsia" w:ascii="仿宋_GB2312" w:eastAsia="仿宋_GB2312"/>
          <w:b/>
          <w:sz w:val="32"/>
          <w:szCs w:val="32"/>
        </w:rPr>
        <w:t>公务接待费支出</w:t>
      </w:r>
      <w:r>
        <w:rPr>
          <w:rFonts w:hint="eastAsia" w:ascii="仿宋_GB2312" w:eastAsia="仿宋_GB2312"/>
          <w:sz w:val="32"/>
          <w:szCs w:val="32"/>
        </w:rPr>
        <w:t>0万元，</w:t>
      </w:r>
      <w:r>
        <w:rPr>
          <w:rStyle w:val="14"/>
          <w:rFonts w:hint="eastAsia" w:ascii="仿宋" w:hAnsi="仿宋" w:eastAsia="仿宋"/>
          <w:b w:val="0"/>
          <w:bCs/>
          <w:sz w:val="32"/>
          <w:szCs w:val="32"/>
        </w:rPr>
        <w:t>完成预算0</w:t>
      </w:r>
      <w:r>
        <w:rPr>
          <w:rStyle w:val="14"/>
          <w:rFonts w:ascii="仿宋" w:hAnsi="仿宋" w:eastAsia="仿宋"/>
          <w:b w:val="0"/>
          <w:bCs/>
          <w:sz w:val="32"/>
          <w:szCs w:val="32"/>
        </w:rPr>
        <w:t>%</w:t>
      </w:r>
      <w:r>
        <w:rPr>
          <w:rStyle w:val="14"/>
          <w:rFonts w:hint="eastAsia" w:ascii="仿宋" w:hAnsi="仿宋" w:eastAsia="仿宋"/>
          <w:b w:val="0"/>
          <w:bCs/>
          <w:sz w:val="32"/>
          <w:szCs w:val="32"/>
        </w:rPr>
        <w:t>。</w:t>
      </w:r>
      <w:r>
        <w:rPr>
          <w:rFonts w:hint="eastAsia" w:ascii="仿宋_GB2312" w:eastAsia="仿宋_GB2312"/>
          <w:sz w:val="32"/>
          <w:szCs w:val="32"/>
        </w:rPr>
        <w:t>公务接待费支出决算与</w:t>
      </w:r>
      <w:r>
        <w:rPr>
          <w:rFonts w:ascii="仿宋_GB2312" w:eastAsia="仿宋_GB2312"/>
          <w:sz w:val="32"/>
          <w:szCs w:val="32"/>
        </w:rPr>
        <w:t>20</w:t>
      </w:r>
      <w:r>
        <w:rPr>
          <w:rFonts w:hint="eastAsia" w:ascii="仿宋_GB2312" w:eastAsia="仿宋_GB2312"/>
          <w:sz w:val="32"/>
          <w:szCs w:val="32"/>
        </w:rPr>
        <w:t>20年持平。主要原因是</w:t>
      </w:r>
      <w:r>
        <w:rPr>
          <w:rFonts w:eastAsia="仿宋_GB2312"/>
          <w:color w:val="000000"/>
          <w:sz w:val="32"/>
          <w:szCs w:val="32"/>
        </w:rPr>
        <w:t>202</w:t>
      </w:r>
      <w:r>
        <w:rPr>
          <w:rFonts w:hint="eastAsia" w:eastAsia="仿宋_GB2312"/>
          <w:color w:val="000000"/>
          <w:sz w:val="32"/>
          <w:szCs w:val="32"/>
        </w:rPr>
        <w:t>1</w:t>
      </w:r>
      <w:r>
        <w:rPr>
          <w:rFonts w:eastAsia="仿宋_GB2312"/>
          <w:color w:val="000000"/>
          <w:sz w:val="32"/>
          <w:szCs w:val="32"/>
        </w:rPr>
        <w:t>年未发生公务接待</w:t>
      </w:r>
      <w:r>
        <w:rPr>
          <w:rFonts w:hint="eastAsia" w:ascii="仿宋_GB2312" w:eastAsia="仿宋_GB2312"/>
          <w:sz w:val="32"/>
          <w:szCs w:val="32"/>
        </w:rPr>
        <w:t>。其中：</w:t>
      </w:r>
    </w:p>
    <w:p>
      <w:pPr>
        <w:spacing w:line="600" w:lineRule="exact"/>
        <w:ind w:firstLine="640"/>
        <w:rPr>
          <w:rFonts w:ascii="仿宋_GB2312" w:eastAsia="仿宋_GB2312"/>
          <w:sz w:val="32"/>
          <w:szCs w:val="32"/>
        </w:rPr>
      </w:pPr>
      <w:r>
        <w:rPr>
          <w:rFonts w:hint="eastAsia" w:ascii="仿宋" w:hAnsi="仿宋" w:eastAsia="仿宋"/>
          <w:b/>
          <w:sz w:val="32"/>
          <w:szCs w:val="32"/>
        </w:rPr>
        <w:t>国内公务接待支出</w:t>
      </w:r>
      <w:r>
        <w:rPr>
          <w:rFonts w:hint="eastAsia" w:ascii="仿宋" w:hAnsi="仿宋" w:eastAsia="仿宋"/>
          <w:sz w:val="32"/>
          <w:szCs w:val="32"/>
        </w:rPr>
        <w:t>0</w:t>
      </w:r>
      <w:r>
        <w:rPr>
          <w:rFonts w:hint="eastAsia" w:ascii="仿宋_GB2312" w:eastAsia="仿宋_GB2312"/>
          <w:sz w:val="32"/>
          <w:szCs w:val="32"/>
        </w:rPr>
        <w:t>万元。国内公务接待0批次，0人次（不包括陪同人员），共计支出0万元。</w:t>
      </w:r>
    </w:p>
    <w:p>
      <w:pPr>
        <w:spacing w:line="600" w:lineRule="exact"/>
        <w:ind w:firstLine="643" w:firstLineChars="200"/>
        <w:rPr>
          <w:rFonts w:hint="eastAsia" w:ascii="仿宋_GB2312" w:eastAsia="仿宋_GB2312"/>
          <w:sz w:val="32"/>
          <w:szCs w:val="32"/>
        </w:rPr>
      </w:pPr>
      <w:r>
        <w:rPr>
          <w:rFonts w:hint="eastAsia" w:ascii="仿宋" w:hAnsi="仿宋" w:eastAsia="仿宋"/>
          <w:b/>
          <w:sz w:val="32"/>
          <w:szCs w:val="32"/>
        </w:rPr>
        <w:t>外事接待支出</w:t>
      </w:r>
      <w:r>
        <w:rPr>
          <w:rFonts w:hint="eastAsia" w:ascii="仿宋" w:hAnsi="仿宋" w:eastAsia="仿宋"/>
          <w:sz w:val="32"/>
          <w:szCs w:val="32"/>
        </w:rPr>
        <w:t>0</w:t>
      </w:r>
      <w:r>
        <w:rPr>
          <w:rFonts w:hint="eastAsia" w:ascii="仿宋_GB2312" w:eastAsia="仿宋_GB2312"/>
          <w:sz w:val="32"/>
          <w:szCs w:val="32"/>
        </w:rPr>
        <w:t>万元，外事接待0批次，0人，共计支出0万元。</w:t>
      </w:r>
    </w:p>
    <w:p>
      <w:pPr>
        <w:spacing w:line="600" w:lineRule="exact"/>
        <w:ind w:firstLine="640"/>
        <w:outlineLvl w:val="1"/>
        <w:rPr>
          <w:rFonts w:ascii="黑体" w:eastAsia="黑体"/>
          <w:sz w:val="32"/>
          <w:szCs w:val="32"/>
        </w:rPr>
      </w:pPr>
      <w:bookmarkStart w:id="40" w:name="_Toc15377218"/>
      <w:bookmarkStart w:id="41" w:name="_Toc15396610"/>
    </w:p>
    <w:p>
      <w:pPr>
        <w:spacing w:line="600" w:lineRule="exact"/>
        <w:ind w:firstLine="640"/>
        <w:outlineLvl w:val="1"/>
        <w:rPr>
          <w:rStyle w:val="25"/>
          <w:rFonts w:ascii="黑体" w:hAnsi="黑体" w:eastAsia="黑体"/>
        </w:rPr>
      </w:pPr>
      <w:r>
        <w:rPr>
          <w:rFonts w:hint="eastAsia" w:ascii="黑体" w:eastAsia="黑体"/>
          <w:sz w:val="32"/>
          <w:szCs w:val="32"/>
        </w:rPr>
        <w:t>八、</w:t>
      </w:r>
      <w:r>
        <w:rPr>
          <w:rStyle w:val="25"/>
          <w:rFonts w:hint="eastAsia" w:ascii="黑体" w:hAnsi="黑体" w:eastAsia="黑体"/>
          <w:b w:val="0"/>
        </w:rPr>
        <w:t>政府性基金预算支出决算情况说明</w:t>
      </w:r>
      <w:bookmarkEnd w:id="40"/>
      <w:bookmarkEnd w:id="41"/>
    </w:p>
    <w:p>
      <w:pPr>
        <w:spacing w:line="600" w:lineRule="exact"/>
        <w:ind w:firstLine="640"/>
        <w:rPr>
          <w:rFonts w:ascii="仿宋_GB2312" w:eastAsia="仿宋_GB2312"/>
          <w:sz w:val="32"/>
          <w:szCs w:val="32"/>
        </w:rPr>
      </w:pPr>
      <w:r>
        <w:rPr>
          <w:rFonts w:ascii="仿宋_GB2312" w:eastAsia="仿宋_GB2312"/>
          <w:sz w:val="32"/>
          <w:szCs w:val="32"/>
        </w:rPr>
        <w:t>20</w:t>
      </w:r>
      <w:r>
        <w:rPr>
          <w:rFonts w:hint="eastAsia" w:ascii="仿宋_GB2312" w:eastAsia="仿宋_GB2312"/>
          <w:sz w:val="32"/>
          <w:szCs w:val="32"/>
        </w:rPr>
        <w:t>21年政府性基金预算财政拨款支出0万元。</w:t>
      </w:r>
    </w:p>
    <w:p>
      <w:pPr>
        <w:spacing w:line="600" w:lineRule="exact"/>
        <w:ind w:firstLine="640"/>
        <w:rPr>
          <w:rFonts w:ascii="仿宋_GB2312" w:eastAsia="仿宋_GB2312"/>
          <w:sz w:val="32"/>
          <w:szCs w:val="32"/>
        </w:rPr>
      </w:pPr>
    </w:p>
    <w:p>
      <w:pPr>
        <w:numPr>
          <w:ilvl w:val="0"/>
          <w:numId w:val="3"/>
        </w:numPr>
        <w:spacing w:line="600" w:lineRule="exact"/>
        <w:ind w:firstLine="640"/>
        <w:outlineLvl w:val="1"/>
        <w:rPr>
          <w:rStyle w:val="25"/>
          <w:rFonts w:ascii="黑体" w:hAnsi="黑体" w:eastAsia="黑体"/>
          <w:b w:val="0"/>
        </w:rPr>
      </w:pPr>
      <w:bookmarkStart w:id="42" w:name="_Toc15396611"/>
      <w:bookmarkStart w:id="43" w:name="_Toc15377219"/>
      <w:r>
        <w:rPr>
          <w:rStyle w:val="25"/>
          <w:rFonts w:hint="eastAsia" w:ascii="黑体" w:hAnsi="黑体" w:eastAsia="黑体"/>
          <w:b w:val="0"/>
        </w:rPr>
        <w:t>国有资本经营预算支出决算情况说明</w:t>
      </w:r>
      <w:bookmarkEnd w:id="42"/>
      <w:bookmarkEnd w:id="43"/>
    </w:p>
    <w:p>
      <w:pPr>
        <w:spacing w:line="600" w:lineRule="exact"/>
        <w:ind w:firstLine="640"/>
        <w:rPr>
          <w:rFonts w:ascii="仿宋_GB2312" w:eastAsia="仿宋_GB2312"/>
          <w:sz w:val="32"/>
          <w:szCs w:val="32"/>
        </w:rPr>
      </w:pPr>
      <w:r>
        <w:rPr>
          <w:rFonts w:ascii="仿宋_GB2312" w:eastAsia="仿宋_GB2312"/>
          <w:sz w:val="32"/>
          <w:szCs w:val="32"/>
        </w:rPr>
        <w:t>20</w:t>
      </w:r>
      <w:r>
        <w:rPr>
          <w:rFonts w:hint="eastAsia" w:ascii="仿宋_GB2312" w:eastAsia="仿宋_GB2312"/>
          <w:sz w:val="32"/>
          <w:szCs w:val="32"/>
        </w:rPr>
        <w:t>21年国有资本经营预算财政拨款支出0万元。</w:t>
      </w:r>
    </w:p>
    <w:p>
      <w:pPr>
        <w:spacing w:line="580" w:lineRule="exact"/>
        <w:jc w:val="center"/>
        <w:rPr>
          <w:rFonts w:ascii="方正小标宋简体" w:hAnsi="方正小标宋简体" w:eastAsia="方正小标宋简体" w:cs="方正小标宋简体"/>
          <w:sz w:val="44"/>
          <w:szCs w:val="44"/>
        </w:rPr>
      </w:pPr>
    </w:p>
    <w:p>
      <w:pPr>
        <w:numPr>
          <w:ilvl w:val="0"/>
          <w:numId w:val="3"/>
        </w:numPr>
        <w:spacing w:line="600" w:lineRule="exact"/>
        <w:ind w:firstLine="640"/>
        <w:outlineLvl w:val="1"/>
        <w:rPr>
          <w:rStyle w:val="25"/>
          <w:rFonts w:ascii="黑体" w:hAnsi="黑体" w:eastAsia="黑体"/>
          <w:b w:val="0"/>
        </w:rPr>
      </w:pPr>
      <w:bookmarkStart w:id="44" w:name="_Toc15377221"/>
      <w:bookmarkStart w:id="45" w:name="_Toc15396612"/>
      <w:r>
        <w:rPr>
          <w:rStyle w:val="25"/>
          <w:rFonts w:hint="eastAsia" w:ascii="黑体" w:hAnsi="黑体" w:eastAsia="黑体"/>
          <w:b w:val="0"/>
        </w:rPr>
        <w:t>其他重要事项的情况说明</w:t>
      </w:r>
      <w:bookmarkEnd w:id="44"/>
      <w:bookmarkEnd w:id="45"/>
    </w:p>
    <w:p>
      <w:pPr>
        <w:spacing w:line="600" w:lineRule="exact"/>
        <w:ind w:firstLine="643" w:firstLineChars="200"/>
        <w:outlineLvl w:val="2"/>
        <w:rPr>
          <w:rFonts w:ascii="仿宋" w:hAnsi="仿宋" w:eastAsia="仿宋"/>
          <w:sz w:val="32"/>
          <w:szCs w:val="32"/>
        </w:rPr>
      </w:pPr>
      <w:bookmarkStart w:id="46" w:name="_Toc15377222"/>
      <w:r>
        <w:rPr>
          <w:rFonts w:hint="eastAsia" w:ascii="仿宋" w:hAnsi="仿宋" w:eastAsia="仿宋"/>
          <w:b/>
          <w:sz w:val="32"/>
          <w:szCs w:val="32"/>
        </w:rPr>
        <w:t>（一）机关运行经费支出情况</w:t>
      </w:r>
      <w:bookmarkEnd w:id="46"/>
    </w:p>
    <w:p>
      <w:pPr>
        <w:spacing w:line="600" w:lineRule="exact"/>
        <w:ind w:firstLine="640" w:firstLineChars="200"/>
        <w:rPr>
          <w:rFonts w:hint="eastAsia" w:ascii="仿宋_GB2312" w:eastAsia="仿宋_GB2312"/>
          <w:sz w:val="32"/>
          <w:szCs w:val="32"/>
        </w:rPr>
      </w:pPr>
      <w:r>
        <w:rPr>
          <w:rFonts w:ascii="仿宋_GB2312" w:eastAsia="仿宋_GB2312"/>
          <w:sz w:val="32"/>
          <w:szCs w:val="32"/>
        </w:rPr>
        <w:t>20</w:t>
      </w:r>
      <w:r>
        <w:rPr>
          <w:rFonts w:hint="eastAsia" w:ascii="仿宋_GB2312" w:eastAsia="仿宋_GB2312"/>
          <w:sz w:val="32"/>
          <w:szCs w:val="32"/>
        </w:rPr>
        <w:t>21年，攀枝花市地方志编纂中心机关运行经费支出25.86万元，比</w:t>
      </w:r>
      <w:r>
        <w:rPr>
          <w:rFonts w:ascii="仿宋_GB2312" w:eastAsia="仿宋_GB2312"/>
          <w:sz w:val="32"/>
          <w:szCs w:val="32"/>
        </w:rPr>
        <w:t>20</w:t>
      </w:r>
      <w:r>
        <w:rPr>
          <w:rFonts w:hint="eastAsia" w:ascii="仿宋_GB2312" w:eastAsia="仿宋_GB2312"/>
          <w:sz w:val="32"/>
          <w:szCs w:val="32"/>
        </w:rPr>
        <w:t>20年增加3.59万元，增长16.12</w:t>
      </w:r>
      <w:r>
        <w:rPr>
          <w:rFonts w:ascii="仿宋_GB2312" w:eastAsia="仿宋_GB2312"/>
          <w:sz w:val="32"/>
          <w:szCs w:val="32"/>
        </w:rPr>
        <w:t>%</w:t>
      </w:r>
      <w:r>
        <w:rPr>
          <w:rFonts w:hint="eastAsia" w:ascii="仿宋_GB2312" w:eastAsia="仿宋_GB2312"/>
          <w:sz w:val="32"/>
          <w:szCs w:val="32"/>
        </w:rPr>
        <w:t>。主要原因是</w:t>
      </w:r>
      <w:r>
        <w:rPr>
          <w:rFonts w:hint="eastAsia" w:ascii="仿宋_GB2312" w:hAnsi="仿宋" w:eastAsia="仿宋_GB2312"/>
          <w:sz w:val="32"/>
          <w:szCs w:val="32"/>
        </w:rPr>
        <w:t>本年度新增2人，公用经费支出增加。</w:t>
      </w:r>
    </w:p>
    <w:p>
      <w:pPr>
        <w:autoSpaceDE w:val="0"/>
        <w:autoSpaceDN w:val="0"/>
        <w:adjustRightInd w:val="0"/>
        <w:spacing w:line="600" w:lineRule="exact"/>
        <w:ind w:firstLine="643" w:firstLineChars="200"/>
        <w:jc w:val="left"/>
        <w:outlineLvl w:val="2"/>
        <w:rPr>
          <w:rFonts w:ascii="仿宋" w:hAnsi="仿宋" w:eastAsia="仿宋"/>
          <w:b/>
          <w:sz w:val="32"/>
          <w:szCs w:val="32"/>
        </w:rPr>
      </w:pPr>
      <w:bookmarkStart w:id="47" w:name="_Toc15377223"/>
      <w:r>
        <w:rPr>
          <w:rFonts w:hint="eastAsia" w:ascii="仿宋" w:hAnsi="仿宋" w:eastAsia="仿宋"/>
          <w:b/>
          <w:sz w:val="32"/>
          <w:szCs w:val="32"/>
        </w:rPr>
        <w:t>（二）政府采购支出情况</w:t>
      </w:r>
      <w:bookmarkEnd w:id="47"/>
    </w:p>
    <w:p>
      <w:pPr>
        <w:spacing w:line="600" w:lineRule="exact"/>
        <w:ind w:firstLine="640" w:firstLineChars="200"/>
        <w:rPr>
          <w:rFonts w:ascii="仿宋_GB2312" w:eastAsia="仿宋_GB2312"/>
          <w:sz w:val="32"/>
          <w:szCs w:val="32"/>
        </w:rPr>
      </w:pPr>
      <w:r>
        <w:rPr>
          <w:rFonts w:ascii="仿宋_GB2312" w:eastAsia="仿宋_GB2312"/>
          <w:sz w:val="32"/>
          <w:szCs w:val="32"/>
        </w:rPr>
        <w:t>20</w:t>
      </w:r>
      <w:r>
        <w:rPr>
          <w:rFonts w:hint="eastAsia" w:ascii="仿宋_GB2312" w:eastAsia="仿宋_GB2312"/>
          <w:sz w:val="32"/>
          <w:szCs w:val="32"/>
        </w:rPr>
        <w:t>21年，攀枝花市地方志编纂中心政府采购支出总0万元，其中：政府采购货物支出0万元、政府采购工程支出0万元、政府采购服务支出0万元。授予中小企业合同金额0万元，占政府采购支出总额的0</w:t>
      </w:r>
      <w:r>
        <w:rPr>
          <w:rFonts w:ascii="仿宋_GB2312" w:eastAsia="仿宋_GB2312"/>
          <w:sz w:val="32"/>
          <w:szCs w:val="32"/>
        </w:rPr>
        <w:t>%</w:t>
      </w:r>
      <w:r>
        <w:rPr>
          <w:rFonts w:hint="eastAsia" w:ascii="仿宋_GB2312" w:eastAsia="仿宋_GB2312"/>
          <w:sz w:val="32"/>
          <w:szCs w:val="32"/>
        </w:rPr>
        <w:t>，其中：授予小微企业合同金额0万元，占政府采购支出总额的0</w:t>
      </w:r>
      <w:r>
        <w:rPr>
          <w:rFonts w:ascii="仿宋_GB2312" w:eastAsia="仿宋_GB2312"/>
          <w:sz w:val="32"/>
          <w:szCs w:val="32"/>
        </w:rPr>
        <w:t>%</w:t>
      </w:r>
      <w:r>
        <w:rPr>
          <w:rFonts w:hint="eastAsia" w:ascii="仿宋_GB2312" w:eastAsia="仿宋_GB2312"/>
          <w:sz w:val="32"/>
          <w:szCs w:val="32"/>
        </w:rPr>
        <w:t>。</w:t>
      </w:r>
    </w:p>
    <w:p>
      <w:pPr>
        <w:autoSpaceDE w:val="0"/>
        <w:autoSpaceDN w:val="0"/>
        <w:adjustRightInd w:val="0"/>
        <w:spacing w:line="600" w:lineRule="exact"/>
        <w:ind w:firstLine="643" w:firstLineChars="200"/>
        <w:jc w:val="left"/>
        <w:outlineLvl w:val="2"/>
        <w:rPr>
          <w:rFonts w:ascii="仿宋" w:hAnsi="仿宋" w:eastAsia="仿宋"/>
          <w:b/>
          <w:sz w:val="32"/>
          <w:szCs w:val="32"/>
        </w:rPr>
      </w:pPr>
      <w:bookmarkStart w:id="48" w:name="_Toc15377224"/>
      <w:r>
        <w:rPr>
          <w:rFonts w:hint="eastAsia" w:ascii="仿宋" w:hAnsi="仿宋" w:eastAsia="仿宋"/>
          <w:b/>
          <w:sz w:val="32"/>
          <w:szCs w:val="32"/>
        </w:rPr>
        <w:t>（三）国有资产占有使用情况</w:t>
      </w:r>
      <w:bookmarkEnd w:id="48"/>
    </w:p>
    <w:p>
      <w:pPr>
        <w:autoSpaceDE w:val="0"/>
        <w:autoSpaceDN w:val="0"/>
        <w:adjustRightInd w:val="0"/>
        <w:spacing w:line="600" w:lineRule="exact"/>
        <w:ind w:firstLine="640" w:firstLineChars="200"/>
        <w:jc w:val="left"/>
        <w:rPr>
          <w:rFonts w:ascii="仿宋_GB2312" w:eastAsia="仿宋_GB2312"/>
          <w:sz w:val="32"/>
          <w:szCs w:val="32"/>
        </w:rPr>
      </w:pPr>
      <w:r>
        <w:rPr>
          <w:rFonts w:hint="eastAsia" w:ascii="仿宋_GB2312" w:eastAsia="仿宋_GB2312"/>
          <w:sz w:val="32"/>
          <w:szCs w:val="32"/>
        </w:rPr>
        <w:t>截至</w:t>
      </w:r>
      <w:r>
        <w:rPr>
          <w:rFonts w:ascii="仿宋_GB2312" w:eastAsia="仿宋_GB2312"/>
          <w:sz w:val="32"/>
          <w:szCs w:val="32"/>
        </w:rPr>
        <w:t>20</w:t>
      </w:r>
      <w:r>
        <w:rPr>
          <w:rFonts w:hint="eastAsia" w:ascii="仿宋_GB2312" w:eastAsia="仿宋_GB2312"/>
          <w:sz w:val="32"/>
          <w:szCs w:val="32"/>
        </w:rPr>
        <w:t>21年</w:t>
      </w:r>
      <w:r>
        <w:rPr>
          <w:rFonts w:ascii="仿宋_GB2312" w:eastAsia="仿宋_GB2312"/>
          <w:sz w:val="32"/>
          <w:szCs w:val="32"/>
        </w:rPr>
        <w:t>12</w:t>
      </w:r>
      <w:r>
        <w:rPr>
          <w:rFonts w:hint="eastAsia" w:ascii="仿宋_GB2312" w:eastAsia="仿宋_GB2312"/>
          <w:sz w:val="32"/>
          <w:szCs w:val="32"/>
        </w:rPr>
        <w:t>月</w:t>
      </w:r>
      <w:r>
        <w:rPr>
          <w:rFonts w:ascii="仿宋_GB2312" w:eastAsia="仿宋_GB2312"/>
          <w:sz w:val="32"/>
          <w:szCs w:val="32"/>
        </w:rPr>
        <w:t>31</w:t>
      </w:r>
      <w:r>
        <w:rPr>
          <w:rFonts w:hint="eastAsia" w:ascii="仿宋_GB2312" w:eastAsia="仿宋_GB2312"/>
          <w:sz w:val="32"/>
          <w:szCs w:val="32"/>
        </w:rPr>
        <w:t>日，攀枝花市地方志编纂中心共有车辆0辆，其中：主要领导干部用车0辆、机要通信用车0辆、应急保障用车0辆、其他用车0辆。单价</w:t>
      </w:r>
      <w:r>
        <w:rPr>
          <w:rFonts w:ascii="仿宋_GB2312" w:eastAsia="仿宋_GB2312"/>
          <w:sz w:val="32"/>
          <w:szCs w:val="32"/>
        </w:rPr>
        <w:t>50</w:t>
      </w:r>
      <w:r>
        <w:rPr>
          <w:rFonts w:hint="eastAsia" w:ascii="仿宋_GB2312" w:eastAsia="仿宋_GB2312"/>
          <w:sz w:val="32"/>
          <w:szCs w:val="32"/>
        </w:rPr>
        <w:t>万元以上通用设备0台（套），单价</w:t>
      </w:r>
      <w:r>
        <w:rPr>
          <w:rFonts w:ascii="仿宋_GB2312" w:eastAsia="仿宋_GB2312"/>
          <w:sz w:val="32"/>
          <w:szCs w:val="32"/>
        </w:rPr>
        <w:t>100</w:t>
      </w:r>
      <w:r>
        <w:rPr>
          <w:rFonts w:hint="eastAsia" w:ascii="仿宋_GB2312" w:eastAsia="仿宋_GB2312"/>
          <w:sz w:val="32"/>
          <w:szCs w:val="32"/>
        </w:rPr>
        <w:t>万元以上专用设备0台（套）。</w:t>
      </w:r>
    </w:p>
    <w:p>
      <w:pPr>
        <w:autoSpaceDE w:val="0"/>
        <w:autoSpaceDN w:val="0"/>
        <w:adjustRightInd w:val="0"/>
        <w:spacing w:line="600" w:lineRule="exact"/>
        <w:ind w:firstLine="643" w:firstLineChars="200"/>
        <w:jc w:val="left"/>
        <w:outlineLvl w:val="2"/>
        <w:rPr>
          <w:rFonts w:ascii="仿宋" w:hAnsi="仿宋" w:eastAsia="仿宋"/>
          <w:b/>
          <w:sz w:val="32"/>
          <w:szCs w:val="32"/>
        </w:rPr>
      </w:pPr>
      <w:r>
        <w:rPr>
          <w:rFonts w:hint="eastAsia" w:ascii="仿宋" w:hAnsi="仿宋" w:eastAsia="仿宋"/>
          <w:b/>
          <w:sz w:val="32"/>
          <w:szCs w:val="32"/>
        </w:rPr>
        <w:t>（四）预算绩效管理情况</w:t>
      </w:r>
    </w:p>
    <w:p>
      <w:pPr>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根据预算绩效管理要求，本单位在2021年度预算编制阶段，组织对</w:t>
      </w:r>
      <w:r>
        <w:rPr>
          <w:rFonts w:hint="eastAsia" w:eastAsia="仿宋_GB2312"/>
          <w:sz w:val="32"/>
          <w:szCs w:val="32"/>
        </w:rPr>
        <w:t>“</w:t>
      </w:r>
      <w:r>
        <w:rPr>
          <w:rFonts w:hAnsi="仿宋_GB2312" w:eastAsia="仿宋_GB2312"/>
          <w:sz w:val="32"/>
          <w:szCs w:val="32"/>
        </w:rPr>
        <w:t>年鉴及史志编纂出版经费</w:t>
      </w:r>
      <w:r>
        <w:rPr>
          <w:rFonts w:hint="eastAsia" w:eastAsia="仿宋_GB2312"/>
          <w:sz w:val="32"/>
          <w:szCs w:val="32"/>
        </w:rPr>
        <w:t>”“《攀枝花开发建设五十五周年大事记图册》编印经费”“办公室隔断改造和办公家具、设备的更新补充经费”“关工委工作经费”</w:t>
      </w:r>
      <w:r>
        <w:rPr>
          <w:rFonts w:hint="eastAsia" w:ascii="仿宋_GB2312" w:hAnsi="仿宋_GB2312" w:eastAsia="仿宋_GB2312" w:cs="仿宋_GB2312"/>
          <w:sz w:val="32"/>
          <w:szCs w:val="32"/>
        </w:rPr>
        <w:t>等4个项目开展了预算事前绩效评估，对4个项目编制了绩效目标，</w:t>
      </w:r>
      <w:r>
        <w:rPr>
          <w:rFonts w:hint="eastAsia" w:eastAsia="仿宋_GB2312"/>
          <w:sz w:val="32"/>
          <w:szCs w:val="32"/>
        </w:rPr>
        <w:t>预算</w:t>
      </w:r>
      <w:r>
        <w:rPr>
          <w:rFonts w:hint="eastAsia" w:ascii="仿宋_GB2312" w:hAnsi="仿宋_GB2312" w:eastAsia="仿宋_GB2312" w:cs="仿宋_GB2312"/>
          <w:sz w:val="32"/>
          <w:szCs w:val="32"/>
        </w:rPr>
        <w:t>执行过程中，选取4个项目开展绩效监控，年终执行完毕后，对4个项目开展了绩效自评，2021年特定目标类部门预算项目绩效目标自评表见附件（第四部分）。</w:t>
      </w:r>
    </w:p>
    <w:p>
      <w:pPr>
        <w:pStyle w:val="2"/>
        <w:spacing w:before="93"/>
        <w:rPr>
          <w:highlight w:val="yellow"/>
        </w:rPr>
      </w:pPr>
    </w:p>
    <w:p>
      <w:pPr>
        <w:widowControl/>
        <w:jc w:val="left"/>
        <w:rPr>
          <w:rFonts w:ascii="仿宋_GB2312" w:eastAsia="仿宋_GB2312"/>
          <w:b/>
          <w:sz w:val="32"/>
          <w:szCs w:val="32"/>
        </w:rPr>
      </w:pPr>
      <w:r>
        <w:rPr>
          <w:rFonts w:ascii="仿宋_GB2312" w:eastAsia="仿宋_GB2312"/>
          <w:b/>
          <w:sz w:val="32"/>
          <w:szCs w:val="32"/>
        </w:rPr>
        <w:br w:type="page"/>
      </w:r>
    </w:p>
    <w:p>
      <w:pPr>
        <w:numPr>
          <w:ilvl w:val="0"/>
          <w:numId w:val="4"/>
        </w:numPr>
        <w:spacing w:line="600" w:lineRule="exact"/>
        <w:ind w:firstLine="660" w:firstLineChars="150"/>
        <w:jc w:val="center"/>
        <w:outlineLvl w:val="0"/>
        <w:rPr>
          <w:rStyle w:val="24"/>
          <w:rFonts w:ascii="黑体" w:hAnsi="黑体" w:eastAsia="黑体"/>
          <w:b w:val="0"/>
        </w:rPr>
      </w:pPr>
      <w:bookmarkStart w:id="49" w:name="_Toc15396613"/>
      <w:bookmarkStart w:id="50" w:name="_Toc15377225"/>
      <w:r>
        <w:rPr>
          <w:rFonts w:hint="eastAsia" w:ascii="黑体" w:hAnsi="黑体" w:eastAsia="黑体"/>
          <w:sz w:val="44"/>
          <w:szCs w:val="44"/>
        </w:rPr>
        <w:t>名</w:t>
      </w:r>
      <w:r>
        <w:rPr>
          <w:rStyle w:val="24"/>
          <w:rFonts w:hint="eastAsia" w:ascii="黑体" w:hAnsi="黑体" w:eastAsia="黑体"/>
          <w:b w:val="0"/>
        </w:rPr>
        <w:t>词解释</w:t>
      </w:r>
      <w:bookmarkEnd w:id="49"/>
      <w:bookmarkEnd w:id="50"/>
    </w:p>
    <w:p>
      <w:pPr>
        <w:spacing w:line="600" w:lineRule="exact"/>
        <w:jc w:val="left"/>
        <w:rPr>
          <w:rFonts w:ascii="宋体"/>
          <w:b/>
          <w:sz w:val="44"/>
          <w:szCs w:val="44"/>
        </w:rPr>
      </w:pPr>
    </w:p>
    <w:p>
      <w:pPr>
        <w:pStyle w:val="22"/>
        <w:spacing w:line="560" w:lineRule="exact"/>
        <w:ind w:firstLine="640" w:firstLineChars="200"/>
        <w:rPr>
          <w:rFonts w:ascii="仿宋_GB2312" w:eastAsia="仿宋_GB2312"/>
          <w:color w:val="auto"/>
          <w:sz w:val="32"/>
          <w:szCs w:val="32"/>
        </w:rPr>
      </w:pPr>
      <w:r>
        <w:rPr>
          <w:rFonts w:ascii="仿宋_GB2312" w:eastAsia="仿宋_GB2312"/>
          <w:color w:val="auto"/>
          <w:sz w:val="32"/>
          <w:szCs w:val="32"/>
        </w:rPr>
        <w:t>1.</w:t>
      </w:r>
      <w:r>
        <w:rPr>
          <w:rFonts w:hint="eastAsia" w:ascii="仿宋_GB2312" w:eastAsia="仿宋_GB2312"/>
          <w:color w:val="auto"/>
          <w:sz w:val="32"/>
          <w:szCs w:val="32"/>
        </w:rPr>
        <w:t>财政拨款收入：指单位从同级财政部门取得的财政预算资金。</w:t>
      </w:r>
    </w:p>
    <w:p>
      <w:pPr>
        <w:pStyle w:val="22"/>
        <w:spacing w:line="560" w:lineRule="exact"/>
        <w:ind w:firstLine="640" w:firstLineChars="200"/>
        <w:rPr>
          <w:rFonts w:ascii="仿宋_GB2312" w:eastAsia="仿宋_GB2312"/>
          <w:color w:val="auto"/>
          <w:sz w:val="32"/>
          <w:szCs w:val="32"/>
        </w:rPr>
      </w:pPr>
      <w:r>
        <w:rPr>
          <w:rFonts w:ascii="仿宋_GB2312" w:eastAsia="仿宋_GB2312"/>
          <w:color w:val="auto"/>
          <w:sz w:val="32"/>
          <w:szCs w:val="32"/>
        </w:rPr>
        <w:t>2.</w:t>
      </w:r>
      <w:r>
        <w:rPr>
          <w:rFonts w:hint="eastAsia" w:ascii="仿宋_GB2312" w:eastAsia="仿宋_GB2312"/>
          <w:color w:val="auto"/>
          <w:sz w:val="32"/>
          <w:szCs w:val="32"/>
        </w:rPr>
        <w:t>事业收入：指事业单位开展专业业务活动及辅助活动取得的收入。</w:t>
      </w:r>
    </w:p>
    <w:p>
      <w:pPr>
        <w:pStyle w:val="22"/>
        <w:spacing w:line="560" w:lineRule="exact"/>
        <w:ind w:firstLine="640" w:firstLineChars="200"/>
        <w:rPr>
          <w:rFonts w:ascii="仿宋_GB2312" w:eastAsia="仿宋_GB2312"/>
          <w:color w:val="auto"/>
          <w:sz w:val="32"/>
          <w:szCs w:val="32"/>
        </w:rPr>
      </w:pPr>
      <w:r>
        <w:rPr>
          <w:rFonts w:ascii="仿宋_GB2312" w:eastAsia="仿宋_GB2312"/>
          <w:color w:val="auto"/>
          <w:sz w:val="32"/>
          <w:szCs w:val="32"/>
        </w:rPr>
        <w:t>3.</w:t>
      </w:r>
      <w:r>
        <w:rPr>
          <w:rFonts w:hint="eastAsia" w:ascii="仿宋_GB2312" w:eastAsia="仿宋_GB2312"/>
          <w:color w:val="auto"/>
          <w:sz w:val="32"/>
          <w:szCs w:val="32"/>
        </w:rPr>
        <w:t>经营收入：指事业单位在专业业务活动及其辅助活动之外开展非独立核算经营活动取得的收入。</w:t>
      </w:r>
    </w:p>
    <w:p>
      <w:pPr>
        <w:pStyle w:val="22"/>
        <w:spacing w:line="560" w:lineRule="exact"/>
        <w:ind w:firstLine="640" w:firstLineChars="200"/>
        <w:rPr>
          <w:rFonts w:ascii="仿宋_GB2312" w:eastAsia="仿宋_GB2312"/>
          <w:color w:val="auto"/>
          <w:sz w:val="32"/>
          <w:szCs w:val="32"/>
        </w:rPr>
      </w:pPr>
      <w:r>
        <w:rPr>
          <w:rFonts w:ascii="仿宋_GB2312" w:eastAsia="仿宋_GB2312"/>
          <w:color w:val="auto"/>
          <w:sz w:val="32"/>
          <w:szCs w:val="32"/>
        </w:rPr>
        <w:t>4.</w:t>
      </w:r>
      <w:r>
        <w:rPr>
          <w:rFonts w:hint="eastAsia" w:ascii="仿宋_GB2312" w:eastAsia="仿宋_GB2312"/>
          <w:color w:val="auto"/>
          <w:sz w:val="32"/>
          <w:szCs w:val="32"/>
        </w:rPr>
        <w:t>其他收入：指单位取得的除上述收入以外的各项收入。主要是市总工会工会经费拨款等。</w:t>
      </w:r>
      <w:r>
        <w:rPr>
          <w:rFonts w:ascii="仿宋_GB2312" w:eastAsia="仿宋_GB2312"/>
          <w:color w:val="auto"/>
          <w:sz w:val="32"/>
          <w:szCs w:val="32"/>
        </w:rPr>
        <w:t xml:space="preserve"> </w:t>
      </w:r>
    </w:p>
    <w:p>
      <w:pPr>
        <w:pStyle w:val="22"/>
        <w:spacing w:line="560" w:lineRule="exact"/>
        <w:ind w:firstLine="640" w:firstLineChars="200"/>
        <w:rPr>
          <w:rFonts w:ascii="仿宋_GB2312" w:eastAsia="仿宋_GB2312"/>
          <w:color w:val="auto"/>
          <w:sz w:val="32"/>
          <w:szCs w:val="32"/>
        </w:rPr>
      </w:pPr>
      <w:r>
        <w:rPr>
          <w:rFonts w:ascii="仿宋_GB2312" w:eastAsia="仿宋_GB2312"/>
          <w:color w:val="auto"/>
          <w:sz w:val="32"/>
          <w:szCs w:val="32"/>
        </w:rPr>
        <w:t>5.</w:t>
      </w:r>
      <w:r>
        <w:rPr>
          <w:rFonts w:hint="eastAsia" w:ascii="仿宋_GB2312" w:eastAsia="仿宋_GB2312"/>
          <w:color w:val="auto"/>
          <w:sz w:val="32"/>
          <w:szCs w:val="32"/>
        </w:rPr>
        <w:t>使用非财政拨款结余：指事业单位使用以前年度积累的非财政拨款结余弥补当年收支差额的金额。</w:t>
      </w:r>
      <w:r>
        <w:rPr>
          <w:rFonts w:ascii="仿宋_GB2312" w:eastAsia="仿宋_GB2312"/>
          <w:color w:val="auto"/>
          <w:sz w:val="32"/>
          <w:szCs w:val="32"/>
        </w:rPr>
        <w:t xml:space="preserve"> </w:t>
      </w:r>
    </w:p>
    <w:p>
      <w:pPr>
        <w:pStyle w:val="22"/>
        <w:spacing w:line="560" w:lineRule="exact"/>
        <w:ind w:firstLine="640" w:firstLineChars="200"/>
        <w:rPr>
          <w:rFonts w:ascii="仿宋_GB2312" w:eastAsia="仿宋_GB2312"/>
          <w:color w:val="auto"/>
          <w:sz w:val="32"/>
          <w:szCs w:val="32"/>
        </w:rPr>
      </w:pPr>
      <w:r>
        <w:rPr>
          <w:rFonts w:ascii="仿宋_GB2312" w:eastAsia="仿宋_GB2312"/>
          <w:color w:val="auto"/>
          <w:sz w:val="32"/>
          <w:szCs w:val="32"/>
        </w:rPr>
        <w:t>6.</w:t>
      </w:r>
      <w:r>
        <w:rPr>
          <w:rFonts w:hint="eastAsia" w:ascii="仿宋_GB2312" w:eastAsia="仿宋_GB2312"/>
          <w:color w:val="auto"/>
          <w:sz w:val="32"/>
          <w:szCs w:val="32"/>
        </w:rPr>
        <w:t>年初结转和结余：指以前年度尚未完成、结转到本年按有关规定继续使用的资金。</w:t>
      </w:r>
      <w:r>
        <w:rPr>
          <w:rFonts w:ascii="仿宋_GB2312" w:eastAsia="仿宋_GB2312"/>
          <w:color w:val="auto"/>
          <w:sz w:val="32"/>
          <w:szCs w:val="32"/>
        </w:rPr>
        <w:t xml:space="preserve"> </w:t>
      </w:r>
    </w:p>
    <w:p>
      <w:pPr>
        <w:pStyle w:val="22"/>
        <w:spacing w:line="560" w:lineRule="exact"/>
        <w:ind w:firstLine="640" w:firstLineChars="200"/>
        <w:rPr>
          <w:rFonts w:ascii="仿宋_GB2312" w:eastAsia="仿宋_GB2312"/>
          <w:color w:val="auto"/>
          <w:sz w:val="32"/>
          <w:szCs w:val="32"/>
        </w:rPr>
      </w:pPr>
      <w:r>
        <w:rPr>
          <w:rFonts w:ascii="仿宋_GB2312" w:eastAsia="仿宋_GB2312"/>
          <w:color w:val="auto"/>
          <w:sz w:val="32"/>
          <w:szCs w:val="32"/>
        </w:rPr>
        <w:t>7.</w:t>
      </w:r>
      <w:r>
        <w:rPr>
          <w:rFonts w:hint="eastAsia" w:ascii="仿宋_GB2312" w:eastAsia="仿宋_GB2312"/>
          <w:color w:val="auto"/>
          <w:sz w:val="32"/>
          <w:szCs w:val="32"/>
        </w:rPr>
        <w:t>结余分配：指事业单位按照会计制度规定缴纳的所得税、提取的专用结余以及转入非财政拨款结余的金额等。</w:t>
      </w:r>
    </w:p>
    <w:p>
      <w:pPr>
        <w:pStyle w:val="22"/>
        <w:spacing w:line="560" w:lineRule="exact"/>
        <w:ind w:firstLine="640" w:firstLineChars="200"/>
        <w:rPr>
          <w:rFonts w:ascii="仿宋_GB2312" w:eastAsia="仿宋_GB2312"/>
          <w:color w:val="auto"/>
          <w:sz w:val="32"/>
          <w:szCs w:val="32"/>
        </w:rPr>
      </w:pPr>
      <w:r>
        <w:rPr>
          <w:rFonts w:ascii="仿宋_GB2312" w:eastAsia="仿宋_GB2312"/>
          <w:color w:val="auto"/>
          <w:sz w:val="32"/>
          <w:szCs w:val="32"/>
        </w:rPr>
        <w:t>8</w:t>
      </w:r>
      <w:r>
        <w:rPr>
          <w:rFonts w:hint="eastAsia" w:ascii="仿宋_GB2312" w:eastAsia="仿宋_GB2312"/>
          <w:color w:val="auto"/>
          <w:sz w:val="32"/>
          <w:szCs w:val="32"/>
        </w:rPr>
        <w:t>、年末结转和结余：指单位按有关规定结转到下年或以后年度继续使用的资金。</w:t>
      </w:r>
    </w:p>
    <w:p>
      <w:pPr>
        <w:ind w:firstLine="640" w:firstLineChars="200"/>
        <w:rPr>
          <w:rFonts w:ascii="仿宋_GB2312" w:eastAsia="仿宋_GB2312"/>
          <w:sz w:val="32"/>
          <w:szCs w:val="32"/>
        </w:rPr>
      </w:pPr>
      <w:r>
        <w:rPr>
          <w:rFonts w:ascii="仿宋_GB2312" w:eastAsia="仿宋_GB2312"/>
          <w:sz w:val="32"/>
          <w:szCs w:val="32"/>
        </w:rPr>
        <w:t>9.</w:t>
      </w:r>
      <w:r>
        <w:rPr>
          <w:rFonts w:hint="eastAsia" w:ascii="仿宋_GB2312" w:eastAsia="仿宋_GB2312"/>
          <w:sz w:val="32"/>
          <w:szCs w:val="32"/>
        </w:rPr>
        <w:t>一般公共服务（类）政府办公厅（室）及相关机构事务（款）一般行政管理事务（项）：指行政单位（包括实行公务员管理的事业单位）未单独设置项级科目的其他项目支出。</w:t>
      </w:r>
    </w:p>
    <w:p>
      <w:pPr>
        <w:ind w:firstLine="640" w:firstLineChars="200"/>
        <w:rPr>
          <w:rFonts w:ascii="仿宋_GB2312" w:eastAsia="仿宋_GB2312"/>
          <w:sz w:val="32"/>
          <w:szCs w:val="32"/>
        </w:rPr>
      </w:pPr>
      <w:r>
        <w:rPr>
          <w:rFonts w:ascii="仿宋_GB2312" w:eastAsia="仿宋_GB2312"/>
          <w:sz w:val="32"/>
          <w:szCs w:val="32"/>
        </w:rPr>
        <w:t>10.</w:t>
      </w:r>
      <w:r>
        <w:rPr>
          <w:rFonts w:hint="eastAsia" w:ascii="仿宋_GB2312" w:eastAsia="仿宋_GB2312"/>
          <w:sz w:val="32"/>
          <w:szCs w:val="32"/>
        </w:rPr>
        <w:t>科学技术（类）科学技术管理事务（款）行政运行（项）：指行政单位（包括实行公务员管理的事业单位）的基本支出。</w:t>
      </w:r>
    </w:p>
    <w:p>
      <w:pPr>
        <w:ind w:firstLine="640" w:firstLineChars="200"/>
        <w:rPr>
          <w:rFonts w:ascii="仿宋_GB2312" w:eastAsia="仿宋_GB2312"/>
          <w:sz w:val="32"/>
          <w:szCs w:val="32"/>
        </w:rPr>
      </w:pPr>
      <w:r>
        <w:rPr>
          <w:rFonts w:ascii="仿宋_GB2312" w:eastAsia="仿宋_GB2312"/>
          <w:sz w:val="32"/>
          <w:szCs w:val="32"/>
        </w:rPr>
        <w:t>11.</w:t>
      </w:r>
      <w:r>
        <w:rPr>
          <w:rFonts w:hint="eastAsia" w:ascii="仿宋_GB2312" w:eastAsia="仿宋_GB2312"/>
          <w:sz w:val="32"/>
          <w:szCs w:val="32"/>
        </w:rPr>
        <w:t>科学技术（类）科学技术管理事务（款）其他科学技术管理事务支出（项）：指除行政运行、一般行政管理事务、机关服务项目以外其他用于科学技术管理事务方面的支出。</w:t>
      </w:r>
    </w:p>
    <w:p>
      <w:pPr>
        <w:pStyle w:val="22"/>
        <w:snapToGrid w:val="0"/>
        <w:spacing w:line="353" w:lineRule="auto"/>
        <w:ind w:firstLine="640" w:firstLineChars="200"/>
        <w:rPr>
          <w:rFonts w:ascii="仿宋_GB2312" w:eastAsia="仿宋_GB2312"/>
          <w:color w:val="auto"/>
          <w:sz w:val="32"/>
          <w:szCs w:val="32"/>
        </w:rPr>
      </w:pPr>
      <w:r>
        <w:rPr>
          <w:rFonts w:ascii="仿宋_GB2312" w:eastAsia="仿宋_GB2312"/>
          <w:color w:val="auto"/>
          <w:sz w:val="32"/>
          <w:szCs w:val="32"/>
        </w:rPr>
        <w:t>12.</w:t>
      </w:r>
      <w:r>
        <w:rPr>
          <w:rFonts w:ascii="Times New Roman" w:hAnsi="Times New Roman" w:eastAsia="仿宋_GB2312" w:cs="Times New Roman"/>
          <w:sz w:val="32"/>
          <w:szCs w:val="32"/>
        </w:rPr>
        <w:t>社会保障和就业（类）行政事业单位养老（款）行政单位离退休（项）</w:t>
      </w:r>
      <w:r>
        <w:rPr>
          <w:rFonts w:hint="eastAsia" w:ascii="Times New Roman" w:hAnsi="Times New Roman" w:eastAsia="仿宋_GB2312" w:cs="Times New Roman"/>
          <w:sz w:val="32"/>
          <w:szCs w:val="32"/>
        </w:rPr>
        <w:t>：</w:t>
      </w:r>
      <w:r>
        <w:rPr>
          <w:rFonts w:hint="eastAsia" w:ascii="仿宋_GB2312" w:eastAsia="仿宋_GB2312"/>
          <w:color w:val="auto"/>
          <w:sz w:val="32"/>
          <w:szCs w:val="32"/>
        </w:rPr>
        <w:t>指行政单位（包括实行公务员管理的事业单位）开支的离退休经费。</w:t>
      </w:r>
    </w:p>
    <w:p>
      <w:pPr>
        <w:ind w:firstLine="640" w:firstLineChars="200"/>
        <w:rPr>
          <w:rFonts w:ascii="仿宋_GB2312" w:eastAsia="仿宋_GB2312"/>
          <w:sz w:val="32"/>
          <w:szCs w:val="32"/>
        </w:rPr>
      </w:pPr>
      <w:r>
        <w:rPr>
          <w:rFonts w:ascii="仿宋_GB2312" w:eastAsia="仿宋_GB2312"/>
          <w:sz w:val="32"/>
          <w:szCs w:val="32"/>
        </w:rPr>
        <w:t>13.</w:t>
      </w:r>
      <w:r>
        <w:rPr>
          <w:rFonts w:hint="eastAsia" w:ascii="仿宋_GB2312" w:eastAsia="仿宋_GB2312"/>
          <w:sz w:val="32"/>
          <w:szCs w:val="32"/>
        </w:rPr>
        <w:t>社会保障和就业（类）行政事业单位养老（款）机关事业单位基本养老保险缴费支出（项）：指机关事业单位实施养老保险制度由单位缴纳的基本养老保险费支出。</w:t>
      </w:r>
    </w:p>
    <w:p>
      <w:pPr>
        <w:ind w:firstLine="640" w:firstLineChars="200"/>
        <w:rPr>
          <w:rFonts w:ascii="仿宋_GB2312" w:eastAsia="仿宋_GB2312"/>
          <w:sz w:val="32"/>
          <w:szCs w:val="32"/>
        </w:rPr>
      </w:pPr>
      <w:r>
        <w:rPr>
          <w:rFonts w:ascii="仿宋_GB2312" w:eastAsia="仿宋_GB2312"/>
          <w:sz w:val="32"/>
          <w:szCs w:val="32"/>
        </w:rPr>
        <w:t>14.</w:t>
      </w:r>
      <w:r>
        <w:rPr>
          <w:rFonts w:hint="eastAsia" w:ascii="仿宋_GB2312" w:eastAsia="仿宋_GB2312"/>
          <w:sz w:val="32"/>
          <w:szCs w:val="32"/>
        </w:rPr>
        <w:t>社会保障和就业（类）抚恤（款）死亡抚恤（项）：指按规定用于烈士和牺牲、病故人员家属的一次性和定期抚恤金以及丧葬补助费。</w:t>
      </w:r>
    </w:p>
    <w:p>
      <w:pPr>
        <w:ind w:firstLine="640" w:firstLineChars="200"/>
        <w:rPr>
          <w:rFonts w:ascii="仿宋_GB2312" w:eastAsia="仿宋_GB2312"/>
          <w:sz w:val="32"/>
          <w:szCs w:val="32"/>
        </w:rPr>
      </w:pPr>
      <w:r>
        <w:rPr>
          <w:rFonts w:ascii="仿宋_GB2312" w:eastAsia="仿宋_GB2312"/>
          <w:sz w:val="32"/>
          <w:szCs w:val="32"/>
        </w:rPr>
        <w:t>15.</w:t>
      </w:r>
      <w:r>
        <w:rPr>
          <w:rFonts w:hint="eastAsia" w:ascii="仿宋_GB2312" w:eastAsia="仿宋_GB2312"/>
          <w:sz w:val="32"/>
          <w:szCs w:val="32"/>
        </w:rPr>
        <w:t>社会保障和就业（类）社会福利（款）儿童福利（项）：指对儿童提供福利服务方面的支出。</w:t>
      </w:r>
    </w:p>
    <w:p>
      <w:pPr>
        <w:pStyle w:val="22"/>
        <w:snapToGrid w:val="0"/>
        <w:spacing w:line="353" w:lineRule="auto"/>
        <w:ind w:firstLine="640" w:firstLineChars="200"/>
        <w:rPr>
          <w:rFonts w:ascii="Times New Roman" w:hAnsi="Times New Roman" w:eastAsia="仿宋_GB2312" w:cs="Times New Roman"/>
          <w:sz w:val="32"/>
          <w:szCs w:val="32"/>
        </w:rPr>
      </w:pPr>
      <w:r>
        <w:rPr>
          <w:rFonts w:ascii="仿宋_GB2312" w:eastAsia="仿宋_GB2312"/>
          <w:color w:val="auto"/>
          <w:sz w:val="32"/>
          <w:szCs w:val="32"/>
        </w:rPr>
        <w:t>16.</w:t>
      </w:r>
      <w:r>
        <w:rPr>
          <w:rFonts w:ascii="Times New Roman" w:hAnsi="Times New Roman" w:eastAsia="仿宋_GB2312" w:cs="Times New Roman"/>
          <w:sz w:val="32"/>
          <w:szCs w:val="32"/>
        </w:rPr>
        <w:t>住房保障支出（类）住房改革支出（款）住房公积金（项）：指</w:t>
      </w:r>
      <w:r>
        <w:rPr>
          <w:rFonts w:hint="eastAsia" w:ascii="Times New Roman" w:hAnsi="Times New Roman" w:eastAsia="仿宋_GB2312" w:cs="Times New Roman"/>
          <w:sz w:val="32"/>
          <w:szCs w:val="32"/>
        </w:rPr>
        <w:t>行政事业单位按人力资源和社会保障部、财政部规定的基本工资和津贴补贴以及规定比例为职工缴纳的住房公积金</w:t>
      </w:r>
      <w:r>
        <w:rPr>
          <w:rFonts w:ascii="Times New Roman" w:hAnsi="Times New Roman" w:eastAsia="仿宋_GB2312" w:cs="Times New Roman"/>
          <w:sz w:val="32"/>
          <w:szCs w:val="32"/>
        </w:rPr>
        <w:t>。</w:t>
      </w:r>
    </w:p>
    <w:p>
      <w:pPr>
        <w:ind w:firstLine="640" w:firstLineChars="200"/>
        <w:rPr>
          <w:rFonts w:ascii="仿宋_GB2312" w:eastAsia="仿宋_GB2312"/>
          <w:sz w:val="32"/>
          <w:szCs w:val="32"/>
        </w:rPr>
      </w:pPr>
      <w:r>
        <w:rPr>
          <w:rFonts w:hint="eastAsia" w:ascii="仿宋_GB2312" w:eastAsia="仿宋_GB2312"/>
          <w:sz w:val="32"/>
          <w:szCs w:val="32"/>
        </w:rPr>
        <w:t>1</w:t>
      </w:r>
      <w:r>
        <w:rPr>
          <w:rFonts w:ascii="仿宋_GB2312" w:eastAsia="仿宋_GB2312"/>
          <w:sz w:val="32"/>
          <w:szCs w:val="32"/>
        </w:rPr>
        <w:t>7.</w:t>
      </w:r>
      <w:r>
        <w:rPr>
          <w:rFonts w:hint="eastAsia" w:ascii="仿宋_GB2312" w:eastAsia="仿宋_GB2312"/>
          <w:sz w:val="32"/>
          <w:szCs w:val="32"/>
        </w:rPr>
        <w:t>基本支出：指为保障机构正常运转、完成日常工作任务而发生的人员支出和公用支出。</w:t>
      </w:r>
    </w:p>
    <w:p>
      <w:pPr>
        <w:ind w:firstLine="640" w:firstLineChars="200"/>
        <w:rPr>
          <w:rFonts w:ascii="仿宋_GB2312" w:eastAsia="仿宋_GB2312"/>
          <w:sz w:val="32"/>
          <w:szCs w:val="32"/>
        </w:rPr>
      </w:pPr>
      <w:r>
        <w:rPr>
          <w:rFonts w:hint="eastAsia" w:ascii="仿宋_GB2312" w:eastAsia="仿宋_GB2312"/>
          <w:sz w:val="32"/>
          <w:szCs w:val="32"/>
        </w:rPr>
        <w:t>1</w:t>
      </w:r>
      <w:r>
        <w:rPr>
          <w:rFonts w:ascii="仿宋_GB2312" w:eastAsia="仿宋_GB2312"/>
          <w:sz w:val="32"/>
          <w:szCs w:val="32"/>
        </w:rPr>
        <w:t>8.</w:t>
      </w:r>
      <w:r>
        <w:rPr>
          <w:rFonts w:hint="eastAsia" w:ascii="仿宋_GB2312" w:eastAsia="仿宋_GB2312"/>
          <w:sz w:val="32"/>
          <w:szCs w:val="32"/>
        </w:rPr>
        <w:t>项目支出：指在基本支出之外为完成特定行政任务和事业发展目标所发生的支出。</w:t>
      </w:r>
      <w:r>
        <w:rPr>
          <w:rFonts w:ascii="仿宋_GB2312" w:eastAsia="仿宋_GB2312"/>
          <w:sz w:val="32"/>
          <w:szCs w:val="32"/>
        </w:rPr>
        <w:t xml:space="preserve"> </w:t>
      </w:r>
    </w:p>
    <w:p>
      <w:pPr>
        <w:ind w:firstLine="640" w:firstLineChars="200"/>
        <w:rPr>
          <w:rFonts w:ascii="仿宋_GB2312" w:eastAsia="仿宋_GB2312"/>
          <w:sz w:val="32"/>
          <w:szCs w:val="32"/>
        </w:rPr>
      </w:pPr>
      <w:r>
        <w:rPr>
          <w:rFonts w:hint="eastAsia" w:ascii="仿宋_GB2312" w:eastAsia="仿宋_GB2312"/>
          <w:sz w:val="32"/>
          <w:szCs w:val="32"/>
        </w:rPr>
        <w:t>1</w:t>
      </w:r>
      <w:r>
        <w:rPr>
          <w:rFonts w:ascii="仿宋_GB2312" w:eastAsia="仿宋_GB2312"/>
          <w:sz w:val="32"/>
          <w:szCs w:val="32"/>
        </w:rPr>
        <w:t>9.</w:t>
      </w:r>
      <w:r>
        <w:rPr>
          <w:rFonts w:hint="eastAsia" w:ascii="仿宋_GB2312" w:eastAsia="仿宋_GB2312"/>
          <w:sz w:val="32"/>
          <w:szCs w:val="32"/>
        </w:rPr>
        <w:t>经营支出：指事业单位在专业业务活动及其辅助活动之外开展非独立核算经营活动发生的支出。</w:t>
      </w:r>
    </w:p>
    <w:p>
      <w:pPr>
        <w:pStyle w:val="22"/>
        <w:spacing w:line="560" w:lineRule="exact"/>
        <w:ind w:firstLine="640" w:firstLineChars="200"/>
        <w:rPr>
          <w:rFonts w:ascii="仿宋_GB2312" w:eastAsia="仿宋_GB2312"/>
          <w:color w:val="auto"/>
          <w:sz w:val="32"/>
          <w:szCs w:val="32"/>
        </w:rPr>
      </w:pPr>
      <w:r>
        <w:rPr>
          <w:rFonts w:hint="eastAsia" w:ascii="仿宋_GB2312" w:eastAsia="仿宋_GB2312"/>
          <w:color w:val="auto"/>
          <w:sz w:val="32"/>
          <w:szCs w:val="32"/>
        </w:rPr>
        <w:t>20</w:t>
      </w:r>
      <w:r>
        <w:rPr>
          <w:rFonts w:ascii="仿宋_GB2312" w:eastAsia="仿宋_GB2312"/>
          <w:color w:val="auto"/>
          <w:sz w:val="32"/>
          <w:szCs w:val="32"/>
        </w:rPr>
        <w:t>.</w:t>
      </w:r>
      <w:r>
        <w:rPr>
          <w:rFonts w:hint="eastAsia" w:ascii="仿宋_GB2312" w:eastAsia="仿宋_GB2312"/>
          <w:color w:val="auto"/>
          <w:sz w:val="32"/>
          <w:szCs w:val="32"/>
        </w:rPr>
        <w:t>“三公”经费：指单位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pPr>
        <w:pStyle w:val="22"/>
        <w:spacing w:line="560" w:lineRule="exact"/>
        <w:ind w:firstLine="640" w:firstLineChars="200"/>
        <w:rPr>
          <w:rFonts w:ascii="仿宋_GB2312" w:eastAsia="仿宋_GB2312"/>
          <w:color w:val="auto"/>
          <w:sz w:val="32"/>
          <w:szCs w:val="32"/>
        </w:rPr>
      </w:pPr>
      <w:r>
        <w:rPr>
          <w:rFonts w:hint="eastAsia" w:ascii="仿宋_GB2312" w:eastAsia="仿宋_GB2312"/>
          <w:color w:val="auto"/>
          <w:sz w:val="32"/>
          <w:szCs w:val="32"/>
        </w:rPr>
        <w:t>21</w:t>
      </w:r>
      <w:r>
        <w:rPr>
          <w:rFonts w:ascii="仿宋_GB2312" w:eastAsia="仿宋_GB2312"/>
          <w:color w:val="auto"/>
          <w:sz w:val="32"/>
          <w:szCs w:val="32"/>
        </w:rPr>
        <w:t>.</w:t>
      </w:r>
      <w:r>
        <w:rPr>
          <w:rFonts w:hint="eastAsia" w:ascii="仿宋_GB2312" w:eastAsia="仿宋_GB2312"/>
          <w:color w:val="auto"/>
          <w:sz w:val="32"/>
          <w:szCs w:val="32"/>
        </w:rPr>
        <w:t>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pPr>
        <w:spacing w:line="600" w:lineRule="exact"/>
        <w:jc w:val="center"/>
        <w:outlineLvl w:val="0"/>
        <w:rPr>
          <w:rStyle w:val="24"/>
          <w:rFonts w:ascii="黑体" w:hAnsi="黑体" w:eastAsia="黑体"/>
          <w:b w:val="0"/>
        </w:rPr>
      </w:pPr>
      <w:bookmarkStart w:id="51" w:name="_Toc15377226"/>
      <w:r>
        <w:rPr>
          <w:rFonts w:ascii="宋体"/>
          <w:b/>
          <w:sz w:val="44"/>
          <w:szCs w:val="44"/>
        </w:rPr>
        <w:br w:type="page"/>
      </w:r>
      <w:bookmarkStart w:id="52" w:name="_Toc15396614"/>
      <w:r>
        <w:rPr>
          <w:rFonts w:hint="eastAsia" w:ascii="黑体" w:hAnsi="黑体" w:eastAsia="黑体"/>
          <w:sz w:val="44"/>
          <w:szCs w:val="44"/>
        </w:rPr>
        <w:t>第</w:t>
      </w:r>
      <w:r>
        <w:rPr>
          <w:rStyle w:val="24"/>
          <w:rFonts w:hint="eastAsia" w:ascii="黑体" w:hAnsi="黑体" w:eastAsia="黑体"/>
          <w:b w:val="0"/>
        </w:rPr>
        <w:t>四部分 附件</w:t>
      </w:r>
      <w:bookmarkEnd w:id="52"/>
    </w:p>
    <w:p>
      <w:pPr>
        <w:spacing w:line="572" w:lineRule="exact"/>
        <w:jc w:val="left"/>
        <w:outlineLvl w:val="0"/>
        <w:rPr>
          <w:rFonts w:hint="eastAsia" w:ascii="仿宋_GB2312" w:hAnsi="仿宋_GB2312" w:eastAsia="黑体" w:cs="仿宋_GB2312"/>
          <w:sz w:val="32"/>
          <w:szCs w:val="32"/>
          <w:lang w:val="en-US" w:eastAsia="zh-CN"/>
        </w:rPr>
      </w:pPr>
      <w:r>
        <w:rPr>
          <w:rFonts w:hint="eastAsia" w:ascii="黑体" w:hAnsi="黑体" w:eastAsia="黑体" w:cs="黑体"/>
          <w:sz w:val="32"/>
          <w:szCs w:val="32"/>
        </w:rPr>
        <w:t>附件</w:t>
      </w:r>
    </w:p>
    <w:tbl>
      <w:tblPr>
        <w:tblStyle w:val="12"/>
        <w:tblpPr w:leftFromText="180" w:rightFromText="180" w:vertAnchor="text" w:horzAnchor="page" w:tblpX="1281" w:tblpY="660"/>
        <w:tblOverlap w:val="never"/>
        <w:tblW w:w="9811" w:type="dxa"/>
        <w:tblInd w:w="0" w:type="dxa"/>
        <w:tblLayout w:type="fixed"/>
        <w:tblCellMar>
          <w:top w:w="0" w:type="dxa"/>
          <w:left w:w="108" w:type="dxa"/>
          <w:bottom w:w="0" w:type="dxa"/>
          <w:right w:w="108" w:type="dxa"/>
        </w:tblCellMar>
      </w:tblPr>
      <w:tblGrid>
        <w:gridCol w:w="1976"/>
        <w:gridCol w:w="1142"/>
        <w:gridCol w:w="1635"/>
        <w:gridCol w:w="1189"/>
        <w:gridCol w:w="1224"/>
        <w:gridCol w:w="2409"/>
        <w:gridCol w:w="236"/>
      </w:tblGrid>
      <w:tr>
        <w:tblPrEx>
          <w:tblCellMar>
            <w:top w:w="0" w:type="dxa"/>
            <w:left w:w="108" w:type="dxa"/>
            <w:bottom w:w="0" w:type="dxa"/>
            <w:right w:w="108" w:type="dxa"/>
          </w:tblCellMar>
        </w:tblPrEx>
        <w:trPr>
          <w:trHeight w:val="675" w:hRule="atLeast"/>
        </w:trPr>
        <w:tc>
          <w:tcPr>
            <w:tcW w:w="9577" w:type="dxa"/>
            <w:gridSpan w:val="6"/>
            <w:tcBorders>
              <w:top w:val="nil"/>
              <w:left w:val="nil"/>
              <w:bottom w:val="nil"/>
              <w:right w:val="nil"/>
            </w:tcBorders>
            <w:shd w:val="clear" w:color="auto" w:fill="auto"/>
            <w:vAlign w:val="center"/>
          </w:tcPr>
          <w:p>
            <w:pPr>
              <w:widowControl/>
              <w:jc w:val="center"/>
              <w:textAlignment w:val="center"/>
              <w:rPr>
                <w:rFonts w:ascii="宋体" w:hAnsi="宋体" w:cs="宋体"/>
                <w:b/>
                <w:sz w:val="32"/>
                <w:szCs w:val="32"/>
              </w:rPr>
            </w:pPr>
            <w:bookmarkStart w:id="53" w:name="_Toc15396618"/>
            <w:r>
              <w:rPr>
                <w:rFonts w:hint="eastAsia" w:ascii="宋体" w:hAnsi="宋体" w:cs="宋体"/>
                <w:b/>
                <w:sz w:val="32"/>
                <w:szCs w:val="32"/>
              </w:rPr>
              <w:t>2021年不限金额特定目标类部门预算项目绩效目标自评（年鉴及史志编纂出版经费）</w:t>
            </w:r>
          </w:p>
        </w:tc>
        <w:tc>
          <w:tcPr>
            <w:tcW w:w="234" w:type="dxa"/>
            <w:tcBorders>
              <w:top w:val="nil"/>
              <w:left w:val="nil"/>
              <w:bottom w:val="nil"/>
              <w:right w:val="nil"/>
            </w:tcBorders>
            <w:shd w:val="clear" w:color="auto" w:fill="auto"/>
            <w:vAlign w:val="center"/>
          </w:tcPr>
          <w:p>
            <w:pPr>
              <w:widowControl/>
              <w:jc w:val="center"/>
              <w:textAlignment w:val="center"/>
              <w:rPr>
                <w:rFonts w:ascii="宋体" w:hAnsi="宋体" w:cs="宋体"/>
                <w:b/>
                <w:kern w:val="0"/>
                <w:sz w:val="32"/>
                <w:szCs w:val="32"/>
                <w:lang w:bidi="ar"/>
              </w:rPr>
            </w:pPr>
          </w:p>
        </w:tc>
      </w:tr>
      <w:tr>
        <w:tblPrEx>
          <w:tblCellMar>
            <w:top w:w="0" w:type="dxa"/>
            <w:left w:w="108" w:type="dxa"/>
            <w:bottom w:w="0" w:type="dxa"/>
            <w:right w:w="108" w:type="dxa"/>
          </w:tblCellMar>
        </w:tblPrEx>
        <w:trPr>
          <w:gridAfter w:val="1"/>
          <w:wAfter w:w="234" w:type="dxa"/>
          <w:trHeight w:val="254" w:hRule="atLeast"/>
        </w:trPr>
        <w:tc>
          <w:tcPr>
            <w:tcW w:w="31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24"/>
              </w:rPr>
            </w:pPr>
            <w:r>
              <w:rPr>
                <w:rFonts w:hint="eastAsia" w:ascii="宋体" w:hAnsi="宋体" w:cs="宋体"/>
                <w:kern w:val="0"/>
                <w:sz w:val="24"/>
                <w:lang w:bidi="ar"/>
              </w:rPr>
              <w:t>主管部门及代码</w:t>
            </w:r>
          </w:p>
        </w:tc>
        <w:tc>
          <w:tcPr>
            <w:tcW w:w="282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textAlignment w:val="center"/>
              <w:rPr>
                <w:rFonts w:ascii="宋体" w:hAnsi="宋体" w:cs="宋体"/>
                <w:sz w:val="24"/>
              </w:rPr>
            </w:pP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24"/>
              </w:rPr>
            </w:pPr>
            <w:r>
              <w:rPr>
                <w:rFonts w:hint="eastAsia" w:ascii="宋体" w:hAnsi="宋体" w:cs="宋体"/>
                <w:kern w:val="0"/>
                <w:sz w:val="24"/>
                <w:lang w:bidi="ar"/>
              </w:rPr>
              <w:t>实施单位</w:t>
            </w:r>
          </w:p>
        </w:tc>
        <w:tc>
          <w:tcPr>
            <w:tcW w:w="24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24"/>
              </w:rPr>
            </w:pPr>
            <w:r>
              <w:rPr>
                <w:rFonts w:hint="eastAsia" w:ascii="宋体" w:hAnsi="宋体" w:cs="宋体"/>
                <w:sz w:val="24"/>
              </w:rPr>
              <w:t>攀枝花市地方志编纂中心</w:t>
            </w:r>
          </w:p>
        </w:tc>
      </w:tr>
      <w:tr>
        <w:tblPrEx>
          <w:tblCellMar>
            <w:top w:w="0" w:type="dxa"/>
            <w:left w:w="108" w:type="dxa"/>
            <w:bottom w:w="0" w:type="dxa"/>
            <w:right w:w="108" w:type="dxa"/>
          </w:tblCellMar>
        </w:tblPrEx>
        <w:trPr>
          <w:gridAfter w:val="1"/>
          <w:wAfter w:w="234" w:type="dxa"/>
          <w:trHeight w:val="341" w:hRule="atLeast"/>
        </w:trPr>
        <w:tc>
          <w:tcPr>
            <w:tcW w:w="3119"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kern w:val="0"/>
                <w:sz w:val="24"/>
                <w:lang w:bidi="ar"/>
              </w:rPr>
            </w:pPr>
            <w:r>
              <w:rPr>
                <w:rFonts w:hint="eastAsia" w:ascii="宋体" w:hAnsi="宋体" w:cs="宋体"/>
                <w:kern w:val="0"/>
                <w:sz w:val="24"/>
                <w:lang w:bidi="ar"/>
              </w:rPr>
              <w:t>项目预算</w:t>
            </w:r>
          </w:p>
          <w:p>
            <w:pPr>
              <w:widowControl/>
              <w:spacing w:line="320" w:lineRule="exact"/>
              <w:jc w:val="center"/>
              <w:textAlignment w:val="center"/>
              <w:rPr>
                <w:rFonts w:ascii="宋体" w:hAnsi="宋体" w:cs="宋体"/>
                <w:kern w:val="0"/>
                <w:sz w:val="24"/>
                <w:lang w:bidi="ar"/>
              </w:rPr>
            </w:pPr>
            <w:r>
              <w:rPr>
                <w:rFonts w:hint="eastAsia" w:ascii="宋体" w:hAnsi="宋体" w:cs="宋体"/>
                <w:kern w:val="0"/>
                <w:sz w:val="24"/>
                <w:lang w:bidi="ar"/>
              </w:rPr>
              <w:t>执行情况</w:t>
            </w:r>
          </w:p>
          <w:p>
            <w:pPr>
              <w:widowControl/>
              <w:spacing w:line="320" w:lineRule="exact"/>
              <w:jc w:val="center"/>
              <w:textAlignment w:val="center"/>
              <w:rPr>
                <w:rFonts w:ascii="宋体" w:hAnsi="宋体" w:cs="宋体"/>
                <w:sz w:val="24"/>
              </w:rPr>
            </w:pPr>
            <w:r>
              <w:rPr>
                <w:rFonts w:hint="eastAsia" w:ascii="宋体" w:hAnsi="宋体" w:cs="宋体"/>
                <w:kern w:val="0"/>
                <w:sz w:val="24"/>
                <w:lang w:bidi="ar"/>
              </w:rPr>
              <w:t>（万元）</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sz w:val="24"/>
              </w:rPr>
            </w:pPr>
            <w:r>
              <w:rPr>
                <w:rFonts w:hint="eastAsia" w:ascii="宋体" w:hAnsi="宋体" w:cs="宋体"/>
                <w:kern w:val="0"/>
                <w:sz w:val="24"/>
                <w:lang w:bidi="ar"/>
              </w:rPr>
              <w:t xml:space="preserve"> 预算数：</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right"/>
              <w:textAlignment w:val="center"/>
              <w:rPr>
                <w:rFonts w:ascii="宋体" w:hAnsi="宋体" w:cs="宋体"/>
                <w:sz w:val="24"/>
              </w:rPr>
            </w:pPr>
            <w:r>
              <w:rPr>
                <w:rFonts w:hint="eastAsia" w:ascii="宋体" w:hAnsi="宋体" w:cs="宋体"/>
                <w:sz w:val="24"/>
              </w:rPr>
              <w:t>12</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sz w:val="24"/>
              </w:rPr>
            </w:pPr>
            <w:r>
              <w:rPr>
                <w:rFonts w:hint="eastAsia" w:ascii="宋体" w:hAnsi="宋体" w:cs="宋体"/>
                <w:kern w:val="0"/>
                <w:sz w:val="24"/>
                <w:lang w:bidi="ar"/>
              </w:rPr>
              <w:t xml:space="preserve"> 执行数：</w:t>
            </w:r>
          </w:p>
        </w:tc>
        <w:tc>
          <w:tcPr>
            <w:tcW w:w="24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right"/>
              <w:textAlignment w:val="center"/>
              <w:rPr>
                <w:rFonts w:ascii="宋体" w:hAnsi="宋体" w:cs="宋体"/>
                <w:sz w:val="24"/>
              </w:rPr>
            </w:pPr>
            <w:r>
              <w:rPr>
                <w:rFonts w:hint="eastAsia" w:ascii="宋体" w:hAnsi="宋体" w:cs="宋体"/>
                <w:sz w:val="24"/>
              </w:rPr>
              <w:t>12</w:t>
            </w:r>
          </w:p>
        </w:tc>
      </w:tr>
      <w:tr>
        <w:tblPrEx>
          <w:tblCellMar>
            <w:top w:w="0" w:type="dxa"/>
            <w:left w:w="108" w:type="dxa"/>
            <w:bottom w:w="0" w:type="dxa"/>
            <w:right w:w="108" w:type="dxa"/>
          </w:tblCellMar>
        </w:tblPrEx>
        <w:trPr>
          <w:gridAfter w:val="1"/>
          <w:wAfter w:w="234" w:type="dxa"/>
          <w:trHeight w:val="555" w:hRule="atLeast"/>
        </w:trPr>
        <w:tc>
          <w:tcPr>
            <w:tcW w:w="311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20" w:lineRule="exact"/>
              <w:jc w:val="center"/>
              <w:rPr>
                <w:rFonts w:ascii="宋体" w:hAnsi="宋体" w:cs="宋体"/>
                <w:sz w:val="24"/>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kern w:val="0"/>
                <w:sz w:val="24"/>
                <w:lang w:bidi="ar"/>
              </w:rPr>
            </w:pPr>
            <w:r>
              <w:rPr>
                <w:rFonts w:hint="eastAsia" w:ascii="宋体" w:hAnsi="宋体" w:cs="宋体"/>
                <w:kern w:val="0"/>
                <w:sz w:val="24"/>
                <w:lang w:bidi="ar"/>
              </w:rPr>
              <w:t>其中：</w:t>
            </w:r>
          </w:p>
          <w:p>
            <w:pPr>
              <w:widowControl/>
              <w:spacing w:line="320" w:lineRule="exact"/>
              <w:jc w:val="left"/>
              <w:textAlignment w:val="center"/>
              <w:rPr>
                <w:rFonts w:ascii="宋体" w:hAnsi="宋体" w:cs="宋体"/>
                <w:sz w:val="24"/>
              </w:rPr>
            </w:pPr>
            <w:r>
              <w:rPr>
                <w:rFonts w:hint="eastAsia" w:ascii="宋体" w:hAnsi="宋体" w:cs="宋体"/>
                <w:kern w:val="0"/>
                <w:sz w:val="24"/>
                <w:lang w:bidi="ar"/>
              </w:rPr>
              <w:t>财政拨款</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right"/>
              <w:textAlignment w:val="center"/>
              <w:rPr>
                <w:rFonts w:ascii="宋体" w:hAnsi="宋体" w:cs="宋体"/>
                <w:sz w:val="24"/>
              </w:rPr>
            </w:pPr>
            <w:r>
              <w:rPr>
                <w:rFonts w:hint="eastAsia" w:ascii="宋体" w:hAnsi="宋体" w:cs="宋体"/>
                <w:sz w:val="24"/>
              </w:rPr>
              <w:t>12</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kern w:val="0"/>
                <w:sz w:val="24"/>
                <w:lang w:bidi="ar"/>
              </w:rPr>
            </w:pPr>
            <w:r>
              <w:rPr>
                <w:rFonts w:hint="eastAsia" w:ascii="宋体" w:hAnsi="宋体" w:cs="宋体"/>
                <w:kern w:val="0"/>
                <w:sz w:val="24"/>
                <w:lang w:bidi="ar"/>
              </w:rPr>
              <w:t>其中：</w:t>
            </w:r>
          </w:p>
          <w:p>
            <w:pPr>
              <w:widowControl/>
              <w:spacing w:line="320" w:lineRule="exact"/>
              <w:jc w:val="left"/>
              <w:textAlignment w:val="center"/>
              <w:rPr>
                <w:rFonts w:ascii="宋体" w:hAnsi="宋体" w:cs="宋体"/>
                <w:sz w:val="24"/>
              </w:rPr>
            </w:pPr>
            <w:r>
              <w:rPr>
                <w:rFonts w:hint="eastAsia" w:ascii="宋体" w:hAnsi="宋体" w:cs="宋体"/>
                <w:kern w:val="0"/>
                <w:sz w:val="24"/>
                <w:lang w:bidi="ar"/>
              </w:rPr>
              <w:t>财政拨款</w:t>
            </w:r>
          </w:p>
        </w:tc>
        <w:tc>
          <w:tcPr>
            <w:tcW w:w="24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right"/>
              <w:textAlignment w:val="center"/>
              <w:rPr>
                <w:rFonts w:ascii="宋体" w:hAnsi="宋体" w:cs="宋体"/>
                <w:sz w:val="24"/>
              </w:rPr>
            </w:pPr>
            <w:r>
              <w:rPr>
                <w:rFonts w:hint="eastAsia" w:ascii="宋体" w:hAnsi="宋体" w:cs="宋体"/>
                <w:sz w:val="24"/>
              </w:rPr>
              <w:t>12</w:t>
            </w:r>
          </w:p>
        </w:tc>
      </w:tr>
      <w:tr>
        <w:tblPrEx>
          <w:tblCellMar>
            <w:top w:w="0" w:type="dxa"/>
            <w:left w:w="108" w:type="dxa"/>
            <w:bottom w:w="0" w:type="dxa"/>
            <w:right w:w="108" w:type="dxa"/>
          </w:tblCellMar>
        </w:tblPrEx>
        <w:trPr>
          <w:gridAfter w:val="1"/>
          <w:wAfter w:w="234" w:type="dxa"/>
          <w:trHeight w:val="341" w:hRule="atLeast"/>
        </w:trPr>
        <w:tc>
          <w:tcPr>
            <w:tcW w:w="311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20" w:lineRule="exact"/>
              <w:jc w:val="center"/>
              <w:rPr>
                <w:rFonts w:ascii="宋体" w:hAnsi="宋体" w:cs="宋体"/>
                <w:sz w:val="24"/>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sz w:val="24"/>
              </w:rPr>
            </w:pPr>
            <w:r>
              <w:rPr>
                <w:rFonts w:hint="eastAsia" w:ascii="宋体" w:hAnsi="宋体" w:cs="宋体"/>
                <w:kern w:val="0"/>
                <w:sz w:val="24"/>
                <w:lang w:bidi="ar"/>
              </w:rPr>
              <w:t>其他资金</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sz w:val="24"/>
              </w:rPr>
            </w:pP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sz w:val="24"/>
              </w:rPr>
            </w:pPr>
            <w:r>
              <w:rPr>
                <w:rFonts w:hint="eastAsia" w:ascii="宋体" w:hAnsi="宋体" w:cs="宋体"/>
                <w:kern w:val="0"/>
                <w:sz w:val="24"/>
                <w:lang w:bidi="ar"/>
              </w:rPr>
              <w:t>其他资金</w:t>
            </w:r>
          </w:p>
        </w:tc>
        <w:tc>
          <w:tcPr>
            <w:tcW w:w="24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right"/>
              <w:textAlignment w:val="center"/>
              <w:rPr>
                <w:rFonts w:ascii="宋体" w:hAnsi="宋体" w:cs="宋体"/>
                <w:sz w:val="24"/>
              </w:rPr>
            </w:pPr>
          </w:p>
        </w:tc>
      </w:tr>
      <w:tr>
        <w:tblPrEx>
          <w:tblCellMar>
            <w:top w:w="0" w:type="dxa"/>
            <w:left w:w="108" w:type="dxa"/>
            <w:bottom w:w="0" w:type="dxa"/>
            <w:right w:w="108" w:type="dxa"/>
          </w:tblCellMar>
        </w:tblPrEx>
        <w:trPr>
          <w:gridAfter w:val="1"/>
          <w:wAfter w:w="234" w:type="dxa"/>
          <w:trHeight w:val="217" w:hRule="atLeast"/>
        </w:trPr>
        <w:tc>
          <w:tcPr>
            <w:tcW w:w="197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kern w:val="0"/>
                <w:sz w:val="24"/>
                <w:lang w:bidi="ar"/>
              </w:rPr>
            </w:pPr>
            <w:r>
              <w:rPr>
                <w:rFonts w:hint="eastAsia" w:ascii="宋体" w:hAnsi="宋体" w:cs="宋体"/>
                <w:kern w:val="0"/>
                <w:sz w:val="24"/>
                <w:lang w:bidi="ar"/>
              </w:rPr>
              <w:t>年度总体目标</w:t>
            </w:r>
          </w:p>
          <w:p>
            <w:pPr>
              <w:widowControl/>
              <w:spacing w:line="320" w:lineRule="exact"/>
              <w:jc w:val="center"/>
              <w:textAlignment w:val="center"/>
              <w:rPr>
                <w:rFonts w:ascii="宋体" w:hAnsi="宋体" w:cs="宋体"/>
                <w:sz w:val="24"/>
              </w:rPr>
            </w:pPr>
            <w:r>
              <w:rPr>
                <w:rFonts w:hint="eastAsia" w:ascii="宋体" w:hAnsi="宋体" w:cs="宋体"/>
                <w:kern w:val="0"/>
                <w:sz w:val="24"/>
                <w:lang w:bidi="ar"/>
              </w:rPr>
              <w:t>完成情况</w:t>
            </w:r>
          </w:p>
        </w:tc>
        <w:tc>
          <w:tcPr>
            <w:tcW w:w="396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24"/>
              </w:rPr>
            </w:pPr>
            <w:r>
              <w:rPr>
                <w:rFonts w:hint="eastAsia" w:ascii="宋体" w:hAnsi="宋体" w:cs="宋体"/>
                <w:kern w:val="0"/>
                <w:sz w:val="24"/>
                <w:lang w:bidi="ar"/>
              </w:rPr>
              <w:t>预期目标</w:t>
            </w:r>
          </w:p>
        </w:tc>
        <w:tc>
          <w:tcPr>
            <w:tcW w:w="363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24"/>
              </w:rPr>
            </w:pPr>
            <w:r>
              <w:rPr>
                <w:rFonts w:hint="eastAsia" w:ascii="宋体" w:hAnsi="宋体" w:cs="宋体"/>
                <w:kern w:val="0"/>
                <w:sz w:val="24"/>
                <w:lang w:bidi="ar"/>
              </w:rPr>
              <w:t>目标实际完成情况</w:t>
            </w:r>
          </w:p>
        </w:tc>
      </w:tr>
      <w:tr>
        <w:tblPrEx>
          <w:tblCellMar>
            <w:top w:w="0" w:type="dxa"/>
            <w:left w:w="108" w:type="dxa"/>
            <w:bottom w:w="0" w:type="dxa"/>
            <w:right w:w="108" w:type="dxa"/>
          </w:tblCellMar>
        </w:tblPrEx>
        <w:trPr>
          <w:gridAfter w:val="1"/>
          <w:wAfter w:w="234" w:type="dxa"/>
          <w:trHeight w:val="797" w:hRule="atLeast"/>
        </w:trPr>
        <w:tc>
          <w:tcPr>
            <w:tcW w:w="19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20" w:lineRule="exact"/>
              <w:jc w:val="center"/>
              <w:rPr>
                <w:rFonts w:ascii="宋体" w:hAnsi="宋体" w:cs="宋体"/>
                <w:sz w:val="24"/>
              </w:rPr>
            </w:pPr>
          </w:p>
        </w:tc>
        <w:tc>
          <w:tcPr>
            <w:tcW w:w="3966" w:type="dxa"/>
            <w:gridSpan w:val="3"/>
            <w:tcBorders>
              <w:top w:val="single" w:color="000000" w:sz="4" w:space="0"/>
              <w:left w:val="single" w:color="000000" w:sz="4" w:space="0"/>
              <w:bottom w:val="single" w:color="000000" w:sz="4" w:space="0"/>
              <w:right w:val="single" w:color="000000" w:sz="4" w:space="0"/>
            </w:tcBorders>
            <w:shd w:val="clear" w:color="auto" w:fill="auto"/>
          </w:tcPr>
          <w:p>
            <w:pPr>
              <w:widowControl/>
              <w:spacing w:line="320" w:lineRule="exact"/>
              <w:jc w:val="left"/>
              <w:textAlignment w:val="top"/>
              <w:rPr>
                <w:rFonts w:ascii="宋体" w:hAnsi="宋体" w:cs="宋体"/>
                <w:sz w:val="24"/>
              </w:rPr>
            </w:pPr>
            <w:r>
              <w:rPr>
                <w:rFonts w:hint="eastAsia" w:ascii="宋体" w:hAnsi="宋体" w:cs="宋体"/>
                <w:sz w:val="24"/>
              </w:rPr>
              <w:t>完成《攀枝花年鉴》(2021)、《攀枝花史志》2021年度1-4期的编纂、印刷出版工作，保障地方志编纂中心年鉴、史志等各项业务正常运行</w:t>
            </w:r>
          </w:p>
        </w:tc>
        <w:tc>
          <w:tcPr>
            <w:tcW w:w="3634" w:type="dxa"/>
            <w:gridSpan w:val="2"/>
            <w:tcBorders>
              <w:top w:val="single" w:color="000000" w:sz="4" w:space="0"/>
              <w:left w:val="single" w:color="000000" w:sz="4" w:space="0"/>
              <w:bottom w:val="single" w:color="000000" w:sz="4" w:space="0"/>
              <w:right w:val="single" w:color="000000" w:sz="4" w:space="0"/>
            </w:tcBorders>
            <w:shd w:val="clear" w:color="auto" w:fill="auto"/>
          </w:tcPr>
          <w:p>
            <w:pPr>
              <w:widowControl/>
              <w:spacing w:line="320" w:lineRule="exact"/>
              <w:jc w:val="center"/>
              <w:textAlignment w:val="top"/>
              <w:rPr>
                <w:rFonts w:ascii="宋体" w:hAnsi="宋体" w:cs="宋体"/>
                <w:sz w:val="24"/>
              </w:rPr>
            </w:pPr>
            <w:r>
              <w:rPr>
                <w:rFonts w:hint="eastAsia" w:ascii="宋体" w:hAnsi="宋体" w:cs="宋体"/>
                <w:sz w:val="24"/>
              </w:rPr>
              <w:t>全部或基本达到预期指标</w:t>
            </w:r>
          </w:p>
        </w:tc>
      </w:tr>
      <w:tr>
        <w:tblPrEx>
          <w:tblCellMar>
            <w:top w:w="0" w:type="dxa"/>
            <w:left w:w="108" w:type="dxa"/>
            <w:bottom w:w="0" w:type="dxa"/>
            <w:right w:w="108" w:type="dxa"/>
          </w:tblCellMar>
        </w:tblPrEx>
        <w:trPr>
          <w:gridAfter w:val="1"/>
          <w:wAfter w:w="234" w:type="dxa"/>
          <w:trHeight w:val="693" w:hRule="atLeast"/>
        </w:trPr>
        <w:tc>
          <w:tcPr>
            <w:tcW w:w="1977" w:type="dxa"/>
            <w:vMerge w:val="restart"/>
            <w:tcBorders>
              <w:top w:val="single" w:color="000000" w:sz="4" w:space="0"/>
              <w:left w:val="single" w:color="000000" w:sz="4" w:space="0"/>
              <w:right w:val="single" w:color="000000" w:sz="4" w:space="0"/>
            </w:tcBorders>
            <w:shd w:val="clear" w:color="auto" w:fill="auto"/>
            <w:vAlign w:val="center"/>
          </w:tcPr>
          <w:p>
            <w:pPr>
              <w:widowControl/>
              <w:spacing w:line="32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年度绩效指标完成情况</w:t>
            </w:r>
          </w:p>
        </w:tc>
        <w:tc>
          <w:tcPr>
            <w:tcW w:w="1142" w:type="dxa"/>
            <w:tcBorders>
              <w:top w:val="single" w:color="000000" w:sz="4" w:space="0"/>
              <w:left w:val="nil"/>
              <w:bottom w:val="single" w:color="000000" w:sz="4" w:space="0"/>
              <w:right w:val="single" w:color="000000" w:sz="4" w:space="0"/>
            </w:tcBorders>
            <w:shd w:val="clear" w:color="auto" w:fill="auto"/>
            <w:vAlign w:val="center"/>
          </w:tcPr>
          <w:p>
            <w:pPr>
              <w:widowControl/>
              <w:spacing w:line="320" w:lineRule="exact"/>
              <w:jc w:val="center"/>
              <w:textAlignment w:val="center"/>
              <w:rPr>
                <w:rFonts w:ascii="仿宋_GB2312" w:hAnsi="仿宋_GB2312" w:eastAsia="仿宋_GB2312" w:cs="仿宋_GB2312"/>
                <w:kern w:val="0"/>
                <w:sz w:val="28"/>
                <w:szCs w:val="28"/>
                <w:lang w:bidi="ar"/>
              </w:rPr>
            </w:pPr>
            <w:r>
              <w:rPr>
                <w:rFonts w:hint="eastAsia" w:ascii="仿宋_GB2312" w:hAnsi="仿宋_GB2312" w:eastAsia="仿宋_GB2312" w:cs="仿宋_GB2312"/>
                <w:kern w:val="0"/>
                <w:sz w:val="28"/>
                <w:szCs w:val="28"/>
                <w:lang w:bidi="ar"/>
              </w:rPr>
              <w:t>一级</w:t>
            </w:r>
          </w:p>
          <w:p>
            <w:pPr>
              <w:widowControl/>
              <w:spacing w:line="32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指标</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仿宋_GB2312" w:hAnsi="仿宋_GB2312" w:eastAsia="仿宋_GB2312" w:cs="仿宋_GB2312"/>
                <w:kern w:val="0"/>
                <w:sz w:val="28"/>
                <w:szCs w:val="28"/>
                <w:lang w:bidi="ar"/>
              </w:rPr>
            </w:pPr>
            <w:r>
              <w:rPr>
                <w:rFonts w:hint="eastAsia" w:ascii="仿宋_GB2312" w:hAnsi="仿宋_GB2312" w:eastAsia="仿宋_GB2312" w:cs="仿宋_GB2312"/>
                <w:kern w:val="0"/>
                <w:sz w:val="28"/>
                <w:szCs w:val="28"/>
                <w:lang w:bidi="ar"/>
              </w:rPr>
              <w:t>二级</w:t>
            </w:r>
          </w:p>
          <w:p>
            <w:pPr>
              <w:widowControl/>
              <w:spacing w:line="32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仿宋_GB2312" w:hAnsi="仿宋_GB2312" w:eastAsia="仿宋_GB2312" w:cs="仿宋_GB2312"/>
                <w:kern w:val="0"/>
                <w:sz w:val="28"/>
                <w:szCs w:val="28"/>
                <w:lang w:bidi="ar"/>
              </w:rPr>
            </w:pPr>
            <w:r>
              <w:rPr>
                <w:rFonts w:hint="eastAsia" w:ascii="仿宋_GB2312" w:hAnsi="仿宋_GB2312" w:eastAsia="仿宋_GB2312" w:cs="仿宋_GB2312"/>
                <w:kern w:val="0"/>
                <w:sz w:val="28"/>
                <w:szCs w:val="28"/>
                <w:lang w:bidi="ar"/>
              </w:rPr>
              <w:t>三级</w:t>
            </w:r>
          </w:p>
          <w:p>
            <w:pPr>
              <w:widowControl/>
              <w:spacing w:line="32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指标</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预期指标值</w:t>
            </w:r>
          </w:p>
        </w:tc>
        <w:tc>
          <w:tcPr>
            <w:tcW w:w="24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实际完成指标值</w:t>
            </w:r>
          </w:p>
        </w:tc>
      </w:tr>
      <w:tr>
        <w:tblPrEx>
          <w:tblCellMar>
            <w:top w:w="0" w:type="dxa"/>
            <w:left w:w="108" w:type="dxa"/>
            <w:bottom w:w="0" w:type="dxa"/>
            <w:right w:w="108" w:type="dxa"/>
          </w:tblCellMar>
        </w:tblPrEx>
        <w:trPr>
          <w:gridAfter w:val="1"/>
          <w:wAfter w:w="234" w:type="dxa"/>
          <w:trHeight w:val="415" w:hRule="atLeast"/>
        </w:trPr>
        <w:tc>
          <w:tcPr>
            <w:tcW w:w="1977"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bottom"/>
              <w:rPr>
                <w:rFonts w:ascii="仿宋_GB2312" w:hAnsi="仿宋_GB2312" w:eastAsia="仿宋_GB2312" w:cs="仿宋_GB2312"/>
                <w:kern w:val="0"/>
                <w:sz w:val="28"/>
                <w:szCs w:val="28"/>
                <w:lang w:bidi="ar"/>
              </w:rPr>
            </w:pPr>
            <w:r>
              <w:rPr>
                <w:rFonts w:hint="eastAsia" w:ascii="仿宋_GB2312" w:hAnsi="仿宋_GB2312" w:eastAsia="仿宋_GB2312" w:cs="仿宋_GB2312"/>
                <w:kern w:val="0"/>
                <w:sz w:val="28"/>
                <w:szCs w:val="28"/>
                <w:lang w:bidi="ar"/>
              </w:rPr>
              <w:t>完成</w:t>
            </w:r>
          </w:p>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指标</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数量指标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Cs w:val="21"/>
              </w:rPr>
            </w:pPr>
            <w:r>
              <w:rPr>
                <w:rFonts w:hint="eastAsia" w:ascii="仿宋_GB2312" w:hAnsi="仿宋_GB2312" w:eastAsia="仿宋_GB2312" w:cs="仿宋_GB2312"/>
                <w:szCs w:val="21"/>
              </w:rPr>
              <w:t>印刷出版《攀枝花年鉴》（2021）</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Cs w:val="21"/>
              </w:rPr>
            </w:pPr>
            <w:r>
              <w:rPr>
                <w:rFonts w:hint="eastAsia" w:ascii="仿宋_GB2312" w:hAnsi="仿宋_GB2312" w:eastAsia="仿宋_GB2312" w:cs="仿宋_GB2312"/>
                <w:szCs w:val="21"/>
              </w:rPr>
              <w:t>500册</w:t>
            </w:r>
          </w:p>
        </w:tc>
        <w:tc>
          <w:tcPr>
            <w:tcW w:w="241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Cs w:val="21"/>
              </w:rPr>
            </w:pPr>
            <w:r>
              <w:rPr>
                <w:rFonts w:hint="eastAsia" w:ascii="仿宋_GB2312" w:hAnsi="仿宋_GB2312" w:eastAsia="仿宋_GB2312" w:cs="仿宋_GB2312"/>
                <w:szCs w:val="21"/>
              </w:rPr>
              <w:t>500册</w:t>
            </w:r>
          </w:p>
        </w:tc>
      </w:tr>
      <w:tr>
        <w:tblPrEx>
          <w:tblCellMar>
            <w:top w:w="0" w:type="dxa"/>
            <w:left w:w="108" w:type="dxa"/>
            <w:bottom w:w="0" w:type="dxa"/>
            <w:right w:w="108" w:type="dxa"/>
          </w:tblCellMar>
        </w:tblPrEx>
        <w:trPr>
          <w:gridAfter w:val="1"/>
          <w:wAfter w:w="234" w:type="dxa"/>
          <w:trHeight w:val="415" w:hRule="atLeast"/>
        </w:trPr>
        <w:tc>
          <w:tcPr>
            <w:tcW w:w="1977"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320" w:lineRule="exact"/>
              <w:jc w:val="center"/>
              <w:rPr>
                <w:rFonts w:ascii="仿宋_GB2312" w:hAnsi="仿宋_GB2312" w:eastAsia="仿宋_GB2312" w:cs="仿宋_GB2312"/>
                <w:sz w:val="28"/>
                <w:szCs w:val="28"/>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数量指标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Cs w:val="21"/>
              </w:rPr>
            </w:pPr>
            <w:r>
              <w:rPr>
                <w:rFonts w:hint="eastAsia" w:ascii="仿宋_GB2312" w:hAnsi="仿宋_GB2312" w:eastAsia="仿宋_GB2312" w:cs="仿宋_GB2312"/>
                <w:szCs w:val="21"/>
              </w:rPr>
              <w:t>印刷出版《攀枝花史志》1-4期</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Cs w:val="21"/>
              </w:rPr>
            </w:pPr>
            <w:r>
              <w:rPr>
                <w:rFonts w:hint="eastAsia" w:ascii="仿宋_GB2312" w:hAnsi="仿宋_GB2312" w:eastAsia="仿宋_GB2312" w:cs="仿宋_GB2312"/>
                <w:szCs w:val="21"/>
              </w:rPr>
              <w:t>每期700本，共4期</w:t>
            </w:r>
          </w:p>
        </w:tc>
        <w:tc>
          <w:tcPr>
            <w:tcW w:w="241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Cs w:val="21"/>
              </w:rPr>
            </w:pPr>
            <w:r>
              <w:rPr>
                <w:rFonts w:hint="eastAsia" w:ascii="仿宋_GB2312" w:hAnsi="仿宋_GB2312" w:eastAsia="仿宋_GB2312" w:cs="仿宋_GB2312"/>
                <w:szCs w:val="21"/>
              </w:rPr>
              <w:t>每期700本，共4期</w:t>
            </w:r>
          </w:p>
        </w:tc>
      </w:tr>
      <w:tr>
        <w:tblPrEx>
          <w:tblCellMar>
            <w:top w:w="0" w:type="dxa"/>
            <w:left w:w="108" w:type="dxa"/>
            <w:bottom w:w="0" w:type="dxa"/>
            <w:right w:w="108" w:type="dxa"/>
          </w:tblCellMar>
        </w:tblPrEx>
        <w:trPr>
          <w:gridAfter w:val="1"/>
          <w:wAfter w:w="234" w:type="dxa"/>
          <w:trHeight w:val="415" w:hRule="atLeast"/>
        </w:trPr>
        <w:tc>
          <w:tcPr>
            <w:tcW w:w="1977"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320" w:lineRule="exact"/>
              <w:jc w:val="center"/>
              <w:rPr>
                <w:rFonts w:ascii="仿宋_GB2312" w:hAnsi="仿宋_GB2312" w:eastAsia="仿宋_GB2312" w:cs="仿宋_GB2312"/>
                <w:sz w:val="28"/>
                <w:szCs w:val="28"/>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数量指标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Cs w:val="21"/>
              </w:rPr>
            </w:pPr>
            <w:r>
              <w:rPr>
                <w:rFonts w:hint="eastAsia" w:ascii="仿宋_GB2312" w:hAnsi="仿宋_GB2312" w:eastAsia="仿宋_GB2312" w:cs="仿宋_GB2312"/>
                <w:szCs w:val="21"/>
              </w:rPr>
              <w:t>参加全国和全省地方志系统组织的年鉴、史志业务培训</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Cs w:val="21"/>
              </w:rPr>
            </w:pPr>
            <w:r>
              <w:rPr>
                <w:rFonts w:hint="eastAsia" w:ascii="仿宋_GB2312" w:hAnsi="仿宋_GB2312" w:eastAsia="仿宋_GB2312" w:cs="仿宋_GB2312"/>
                <w:szCs w:val="21"/>
              </w:rPr>
              <w:t>预计10人次</w:t>
            </w:r>
          </w:p>
        </w:tc>
        <w:tc>
          <w:tcPr>
            <w:tcW w:w="241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Cs w:val="21"/>
              </w:rPr>
            </w:pPr>
            <w:r>
              <w:rPr>
                <w:rFonts w:hint="eastAsia" w:ascii="仿宋_GB2312" w:hAnsi="仿宋_GB2312" w:eastAsia="仿宋_GB2312" w:cs="仿宋_GB2312"/>
                <w:szCs w:val="21"/>
              </w:rPr>
              <w:t>3人次</w:t>
            </w:r>
          </w:p>
        </w:tc>
      </w:tr>
      <w:tr>
        <w:tblPrEx>
          <w:tblCellMar>
            <w:top w:w="0" w:type="dxa"/>
            <w:left w:w="108" w:type="dxa"/>
            <w:bottom w:w="0" w:type="dxa"/>
            <w:right w:w="108" w:type="dxa"/>
          </w:tblCellMar>
        </w:tblPrEx>
        <w:trPr>
          <w:gridAfter w:val="1"/>
          <w:wAfter w:w="234" w:type="dxa"/>
          <w:trHeight w:val="415" w:hRule="atLeast"/>
        </w:trPr>
        <w:tc>
          <w:tcPr>
            <w:tcW w:w="1977"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320" w:lineRule="exact"/>
              <w:jc w:val="center"/>
              <w:rPr>
                <w:rFonts w:ascii="仿宋_GB2312" w:hAnsi="仿宋_GB2312" w:eastAsia="仿宋_GB2312" w:cs="仿宋_GB2312"/>
                <w:sz w:val="28"/>
                <w:szCs w:val="28"/>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kern w:val="0"/>
                <w:sz w:val="28"/>
                <w:szCs w:val="28"/>
                <w:lang w:bidi="ar"/>
              </w:rPr>
            </w:pPr>
            <w:r>
              <w:rPr>
                <w:rFonts w:hint="eastAsia" w:ascii="仿宋_GB2312" w:hAnsi="仿宋_GB2312" w:eastAsia="仿宋_GB2312" w:cs="仿宋_GB2312"/>
                <w:kern w:val="0"/>
                <w:sz w:val="28"/>
                <w:szCs w:val="28"/>
                <w:lang w:bidi="ar"/>
              </w:rPr>
              <w:t>质量指标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Cs w:val="21"/>
              </w:rPr>
            </w:pPr>
            <w:r>
              <w:rPr>
                <w:rFonts w:hint="eastAsia" w:ascii="仿宋_GB2312" w:hAnsi="仿宋_GB2312" w:eastAsia="仿宋_GB2312" w:cs="仿宋_GB2312"/>
                <w:szCs w:val="21"/>
              </w:rPr>
              <w:t>提高年鉴、史志印刷及内容质量</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Cs w:val="21"/>
              </w:rPr>
            </w:pPr>
            <w:r>
              <w:rPr>
                <w:rFonts w:hint="eastAsia" w:ascii="仿宋_GB2312" w:hAnsi="仿宋_GB2312" w:eastAsia="仿宋_GB2312" w:cs="仿宋_GB2312"/>
                <w:szCs w:val="21"/>
              </w:rPr>
              <w:t>印刷清晰美观，内容丰富详实</w:t>
            </w:r>
          </w:p>
        </w:tc>
        <w:tc>
          <w:tcPr>
            <w:tcW w:w="241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Cs w:val="21"/>
              </w:rPr>
            </w:pPr>
            <w:r>
              <w:rPr>
                <w:rFonts w:hint="eastAsia" w:ascii="仿宋_GB2312" w:hAnsi="仿宋_GB2312" w:eastAsia="仿宋_GB2312" w:cs="仿宋_GB2312"/>
                <w:szCs w:val="21"/>
              </w:rPr>
              <w:t>已完成</w:t>
            </w:r>
          </w:p>
        </w:tc>
      </w:tr>
      <w:tr>
        <w:tblPrEx>
          <w:tblCellMar>
            <w:top w:w="0" w:type="dxa"/>
            <w:left w:w="108" w:type="dxa"/>
            <w:bottom w:w="0" w:type="dxa"/>
            <w:right w:w="108" w:type="dxa"/>
          </w:tblCellMar>
        </w:tblPrEx>
        <w:trPr>
          <w:gridAfter w:val="1"/>
          <w:wAfter w:w="234" w:type="dxa"/>
          <w:trHeight w:val="415" w:hRule="atLeast"/>
        </w:trPr>
        <w:tc>
          <w:tcPr>
            <w:tcW w:w="1977"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320" w:lineRule="exact"/>
              <w:jc w:val="center"/>
              <w:rPr>
                <w:rFonts w:ascii="仿宋_GB2312" w:hAnsi="仿宋_GB2312" w:eastAsia="仿宋_GB2312" w:cs="仿宋_GB2312"/>
                <w:sz w:val="28"/>
                <w:szCs w:val="28"/>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kern w:val="0"/>
                <w:sz w:val="28"/>
                <w:szCs w:val="28"/>
                <w:lang w:bidi="ar"/>
              </w:rPr>
            </w:pPr>
            <w:r>
              <w:rPr>
                <w:rFonts w:hint="eastAsia" w:ascii="仿宋_GB2312" w:hAnsi="仿宋_GB2312" w:eastAsia="仿宋_GB2312" w:cs="仿宋_GB2312"/>
                <w:kern w:val="0"/>
                <w:sz w:val="28"/>
                <w:szCs w:val="28"/>
                <w:lang w:bidi="ar"/>
              </w:rPr>
              <w:t>时效指标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Cs w:val="21"/>
              </w:rPr>
            </w:pPr>
            <w:r>
              <w:rPr>
                <w:rFonts w:hint="eastAsia" w:ascii="仿宋_GB2312" w:hAnsi="仿宋_GB2312" w:eastAsia="仿宋_GB2312" w:cs="仿宋_GB2312"/>
                <w:szCs w:val="21"/>
              </w:rPr>
              <w:t>完成《攀枝花年鉴》印刷出版</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Cs w:val="21"/>
              </w:rPr>
            </w:pPr>
            <w:r>
              <w:rPr>
                <w:rFonts w:hint="eastAsia" w:ascii="仿宋_GB2312" w:hAnsi="仿宋_GB2312" w:eastAsia="仿宋_GB2312" w:cs="仿宋_GB2312"/>
                <w:szCs w:val="21"/>
              </w:rPr>
              <w:t>2021年12月</w:t>
            </w:r>
          </w:p>
        </w:tc>
        <w:tc>
          <w:tcPr>
            <w:tcW w:w="241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Cs w:val="21"/>
              </w:rPr>
            </w:pPr>
            <w:r>
              <w:rPr>
                <w:rFonts w:hint="eastAsia" w:ascii="仿宋_GB2312" w:hAnsi="仿宋_GB2312" w:eastAsia="仿宋_GB2312" w:cs="仿宋_GB2312"/>
                <w:szCs w:val="21"/>
              </w:rPr>
              <w:t>2021年12月</w:t>
            </w:r>
          </w:p>
        </w:tc>
      </w:tr>
      <w:tr>
        <w:tblPrEx>
          <w:tblCellMar>
            <w:top w:w="0" w:type="dxa"/>
            <w:left w:w="108" w:type="dxa"/>
            <w:bottom w:w="0" w:type="dxa"/>
            <w:right w:w="108" w:type="dxa"/>
          </w:tblCellMar>
        </w:tblPrEx>
        <w:trPr>
          <w:gridAfter w:val="1"/>
          <w:wAfter w:w="234" w:type="dxa"/>
          <w:trHeight w:val="415" w:hRule="atLeast"/>
        </w:trPr>
        <w:tc>
          <w:tcPr>
            <w:tcW w:w="1977"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320" w:lineRule="exact"/>
              <w:jc w:val="center"/>
              <w:rPr>
                <w:rFonts w:ascii="仿宋_GB2312" w:hAnsi="仿宋_GB2312" w:eastAsia="仿宋_GB2312" w:cs="仿宋_GB2312"/>
                <w:sz w:val="28"/>
                <w:szCs w:val="28"/>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kern w:val="0"/>
                <w:sz w:val="28"/>
                <w:szCs w:val="28"/>
                <w:lang w:bidi="ar"/>
              </w:rPr>
            </w:pPr>
            <w:r>
              <w:rPr>
                <w:rFonts w:hint="eastAsia" w:ascii="仿宋_GB2312" w:hAnsi="仿宋_GB2312" w:eastAsia="仿宋_GB2312" w:cs="仿宋_GB2312"/>
                <w:kern w:val="0"/>
                <w:sz w:val="28"/>
                <w:szCs w:val="28"/>
                <w:lang w:bidi="ar"/>
              </w:rPr>
              <w:t>时效指标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Cs w:val="21"/>
              </w:rPr>
            </w:pPr>
            <w:r>
              <w:rPr>
                <w:rFonts w:hint="eastAsia" w:ascii="仿宋_GB2312" w:hAnsi="仿宋_GB2312" w:eastAsia="仿宋_GB2312" w:cs="仿宋_GB2312"/>
                <w:szCs w:val="21"/>
              </w:rPr>
              <w:t>完成《攀枝花史志》印刷出版</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Cs w:val="21"/>
              </w:rPr>
            </w:pPr>
            <w:r>
              <w:rPr>
                <w:rFonts w:hint="eastAsia" w:ascii="仿宋_GB2312" w:hAnsi="仿宋_GB2312" w:eastAsia="仿宋_GB2312" w:cs="仿宋_GB2312"/>
                <w:szCs w:val="21"/>
              </w:rPr>
              <w:t>2021年共出版4期</w:t>
            </w:r>
          </w:p>
        </w:tc>
        <w:tc>
          <w:tcPr>
            <w:tcW w:w="241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Cs w:val="21"/>
              </w:rPr>
            </w:pPr>
            <w:r>
              <w:rPr>
                <w:rFonts w:hint="eastAsia" w:ascii="仿宋_GB2312" w:hAnsi="仿宋_GB2312" w:eastAsia="仿宋_GB2312" w:cs="仿宋_GB2312"/>
                <w:szCs w:val="21"/>
              </w:rPr>
              <w:t>2021年共出版4期</w:t>
            </w:r>
          </w:p>
        </w:tc>
      </w:tr>
      <w:tr>
        <w:tblPrEx>
          <w:tblCellMar>
            <w:top w:w="0" w:type="dxa"/>
            <w:left w:w="108" w:type="dxa"/>
            <w:bottom w:w="0" w:type="dxa"/>
            <w:right w:w="108" w:type="dxa"/>
          </w:tblCellMar>
        </w:tblPrEx>
        <w:trPr>
          <w:gridAfter w:val="1"/>
          <w:wAfter w:w="234" w:type="dxa"/>
          <w:trHeight w:val="415" w:hRule="atLeast"/>
        </w:trPr>
        <w:tc>
          <w:tcPr>
            <w:tcW w:w="1977"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320" w:lineRule="exact"/>
              <w:jc w:val="center"/>
              <w:rPr>
                <w:rFonts w:ascii="仿宋_GB2312" w:hAnsi="仿宋_GB2312" w:eastAsia="仿宋_GB2312" w:cs="仿宋_GB2312"/>
                <w:sz w:val="28"/>
                <w:szCs w:val="28"/>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kern w:val="0"/>
                <w:sz w:val="28"/>
                <w:szCs w:val="28"/>
                <w:lang w:bidi="ar"/>
              </w:rPr>
            </w:pPr>
            <w:r>
              <w:rPr>
                <w:rFonts w:hint="eastAsia" w:ascii="仿宋_GB2312" w:hAnsi="仿宋_GB2312" w:eastAsia="仿宋_GB2312" w:cs="仿宋_GB2312"/>
                <w:kern w:val="0"/>
                <w:sz w:val="28"/>
                <w:szCs w:val="28"/>
                <w:lang w:bidi="ar"/>
              </w:rPr>
              <w:t>成本指标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Cs w:val="21"/>
              </w:rPr>
            </w:pPr>
            <w:r>
              <w:rPr>
                <w:rFonts w:hint="eastAsia" w:ascii="仿宋_GB2312" w:hAnsi="仿宋_GB2312" w:eastAsia="仿宋_GB2312" w:cs="仿宋_GB2312"/>
                <w:szCs w:val="21"/>
              </w:rPr>
              <w:t>《攀枝花年鉴》印刷费</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Cs w:val="21"/>
              </w:rPr>
            </w:pPr>
            <w:r>
              <w:rPr>
                <w:rFonts w:hint="eastAsia" w:ascii="仿宋_GB2312" w:hAnsi="仿宋_GB2312" w:eastAsia="仿宋_GB2312" w:cs="仿宋_GB2312"/>
                <w:szCs w:val="21"/>
              </w:rPr>
              <w:t>8万</w:t>
            </w:r>
          </w:p>
        </w:tc>
        <w:tc>
          <w:tcPr>
            <w:tcW w:w="241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Cs w:val="21"/>
              </w:rPr>
            </w:pPr>
            <w:r>
              <w:rPr>
                <w:rFonts w:hint="eastAsia" w:ascii="仿宋_GB2312" w:hAnsi="仿宋_GB2312" w:eastAsia="仿宋_GB2312" w:cs="仿宋_GB2312"/>
                <w:szCs w:val="21"/>
              </w:rPr>
              <w:t>7.9万</w:t>
            </w:r>
          </w:p>
        </w:tc>
      </w:tr>
      <w:tr>
        <w:tblPrEx>
          <w:tblCellMar>
            <w:top w:w="0" w:type="dxa"/>
            <w:left w:w="108" w:type="dxa"/>
            <w:bottom w:w="0" w:type="dxa"/>
            <w:right w:w="108" w:type="dxa"/>
          </w:tblCellMar>
        </w:tblPrEx>
        <w:trPr>
          <w:gridAfter w:val="1"/>
          <w:wAfter w:w="234" w:type="dxa"/>
          <w:trHeight w:val="415" w:hRule="atLeast"/>
        </w:trPr>
        <w:tc>
          <w:tcPr>
            <w:tcW w:w="1977"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320" w:lineRule="exact"/>
              <w:jc w:val="center"/>
              <w:rPr>
                <w:rFonts w:ascii="仿宋_GB2312" w:hAnsi="仿宋_GB2312" w:eastAsia="仿宋_GB2312" w:cs="仿宋_GB2312"/>
                <w:sz w:val="28"/>
                <w:szCs w:val="28"/>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kern w:val="0"/>
                <w:sz w:val="28"/>
                <w:szCs w:val="28"/>
                <w:lang w:bidi="ar"/>
              </w:rPr>
            </w:pPr>
            <w:r>
              <w:rPr>
                <w:rFonts w:hint="eastAsia" w:ascii="仿宋_GB2312" w:hAnsi="仿宋_GB2312" w:eastAsia="仿宋_GB2312" w:cs="仿宋_GB2312"/>
                <w:kern w:val="0"/>
                <w:sz w:val="28"/>
                <w:szCs w:val="28"/>
                <w:lang w:bidi="ar"/>
              </w:rPr>
              <w:t>成本指标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Cs w:val="21"/>
              </w:rPr>
            </w:pPr>
            <w:r>
              <w:rPr>
                <w:rFonts w:hint="eastAsia" w:ascii="仿宋_GB2312" w:hAnsi="仿宋_GB2312" w:eastAsia="仿宋_GB2312" w:cs="仿宋_GB2312"/>
                <w:szCs w:val="21"/>
              </w:rPr>
              <w:t>年鉴、史志业务出差及培训费</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Cs w:val="21"/>
              </w:rPr>
            </w:pPr>
            <w:r>
              <w:rPr>
                <w:rFonts w:hint="eastAsia" w:ascii="仿宋_GB2312" w:hAnsi="仿宋_GB2312" w:eastAsia="仿宋_GB2312" w:cs="仿宋_GB2312"/>
                <w:szCs w:val="21"/>
              </w:rPr>
              <w:t>1万</w:t>
            </w:r>
          </w:p>
        </w:tc>
        <w:tc>
          <w:tcPr>
            <w:tcW w:w="241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Cs w:val="21"/>
              </w:rPr>
            </w:pPr>
            <w:r>
              <w:rPr>
                <w:rFonts w:hint="eastAsia" w:ascii="仿宋_GB2312" w:hAnsi="仿宋_GB2312" w:eastAsia="仿宋_GB2312" w:cs="仿宋_GB2312"/>
                <w:szCs w:val="21"/>
              </w:rPr>
              <w:t>0.62万</w:t>
            </w:r>
          </w:p>
        </w:tc>
      </w:tr>
      <w:tr>
        <w:tblPrEx>
          <w:tblCellMar>
            <w:top w:w="0" w:type="dxa"/>
            <w:left w:w="108" w:type="dxa"/>
            <w:bottom w:w="0" w:type="dxa"/>
            <w:right w:w="108" w:type="dxa"/>
          </w:tblCellMar>
        </w:tblPrEx>
        <w:trPr>
          <w:gridAfter w:val="1"/>
          <w:wAfter w:w="234" w:type="dxa"/>
          <w:trHeight w:val="415" w:hRule="atLeast"/>
        </w:trPr>
        <w:tc>
          <w:tcPr>
            <w:tcW w:w="1977"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320" w:lineRule="exact"/>
              <w:jc w:val="center"/>
              <w:rPr>
                <w:rFonts w:ascii="仿宋_GB2312" w:hAnsi="仿宋_GB2312" w:eastAsia="仿宋_GB2312" w:cs="仿宋_GB2312"/>
                <w:sz w:val="28"/>
                <w:szCs w:val="28"/>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kern w:val="0"/>
                <w:sz w:val="28"/>
                <w:szCs w:val="28"/>
                <w:lang w:bidi="ar"/>
              </w:rPr>
            </w:pPr>
            <w:r>
              <w:rPr>
                <w:rFonts w:hint="eastAsia" w:ascii="仿宋_GB2312" w:hAnsi="仿宋_GB2312" w:eastAsia="仿宋_GB2312" w:cs="仿宋_GB2312"/>
                <w:kern w:val="0"/>
                <w:sz w:val="28"/>
                <w:szCs w:val="28"/>
                <w:lang w:bidi="ar"/>
              </w:rPr>
              <w:t>成本指标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Cs w:val="21"/>
              </w:rPr>
            </w:pPr>
            <w:r>
              <w:rPr>
                <w:rFonts w:hint="eastAsia" w:ascii="仿宋_GB2312" w:hAnsi="仿宋_GB2312" w:eastAsia="仿宋_GB2312" w:cs="仿宋_GB2312"/>
                <w:szCs w:val="21"/>
              </w:rPr>
              <w:t>史志稿费（共4期）</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Cs w:val="21"/>
              </w:rPr>
            </w:pPr>
            <w:r>
              <w:rPr>
                <w:rFonts w:hint="eastAsia" w:ascii="仿宋_GB2312" w:hAnsi="仿宋_GB2312" w:eastAsia="仿宋_GB2312" w:cs="仿宋_GB2312"/>
                <w:szCs w:val="21"/>
              </w:rPr>
              <w:t>1万</w:t>
            </w:r>
          </w:p>
        </w:tc>
        <w:tc>
          <w:tcPr>
            <w:tcW w:w="241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Cs w:val="21"/>
              </w:rPr>
            </w:pPr>
            <w:r>
              <w:rPr>
                <w:rFonts w:hint="eastAsia" w:ascii="仿宋_GB2312" w:hAnsi="仿宋_GB2312" w:eastAsia="仿宋_GB2312" w:cs="仿宋_GB2312"/>
                <w:szCs w:val="21"/>
              </w:rPr>
              <w:t>0.92万</w:t>
            </w:r>
          </w:p>
        </w:tc>
      </w:tr>
      <w:tr>
        <w:tblPrEx>
          <w:tblCellMar>
            <w:top w:w="0" w:type="dxa"/>
            <w:left w:w="108" w:type="dxa"/>
            <w:bottom w:w="0" w:type="dxa"/>
            <w:right w:w="108" w:type="dxa"/>
          </w:tblCellMar>
        </w:tblPrEx>
        <w:trPr>
          <w:gridAfter w:val="1"/>
          <w:wAfter w:w="234" w:type="dxa"/>
          <w:trHeight w:val="415" w:hRule="atLeast"/>
        </w:trPr>
        <w:tc>
          <w:tcPr>
            <w:tcW w:w="1977"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320" w:lineRule="exact"/>
              <w:jc w:val="center"/>
              <w:rPr>
                <w:rFonts w:ascii="仿宋_GB2312" w:hAnsi="仿宋_GB2312" w:eastAsia="仿宋_GB2312" w:cs="仿宋_GB2312"/>
                <w:sz w:val="28"/>
                <w:szCs w:val="28"/>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kern w:val="0"/>
                <w:sz w:val="28"/>
                <w:szCs w:val="28"/>
                <w:lang w:bidi="ar"/>
              </w:rPr>
            </w:pPr>
            <w:r>
              <w:rPr>
                <w:rFonts w:hint="eastAsia" w:ascii="仿宋_GB2312" w:hAnsi="仿宋_GB2312" w:eastAsia="仿宋_GB2312" w:cs="仿宋_GB2312"/>
                <w:kern w:val="0"/>
                <w:sz w:val="28"/>
                <w:szCs w:val="28"/>
                <w:lang w:bidi="ar"/>
              </w:rPr>
              <w:t>成本指标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Cs w:val="21"/>
              </w:rPr>
            </w:pPr>
            <w:r>
              <w:rPr>
                <w:rFonts w:hint="eastAsia" w:ascii="仿宋_GB2312" w:hAnsi="仿宋_GB2312" w:eastAsia="仿宋_GB2312" w:cs="仿宋_GB2312"/>
                <w:szCs w:val="21"/>
              </w:rPr>
              <w:t>支付地方志学会会费</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Cs w:val="21"/>
              </w:rPr>
            </w:pPr>
            <w:r>
              <w:rPr>
                <w:rFonts w:hint="eastAsia" w:ascii="仿宋_GB2312" w:hAnsi="仿宋_GB2312" w:eastAsia="仿宋_GB2312" w:cs="仿宋_GB2312"/>
                <w:szCs w:val="21"/>
              </w:rPr>
              <w:t>0.1万</w:t>
            </w:r>
          </w:p>
        </w:tc>
        <w:tc>
          <w:tcPr>
            <w:tcW w:w="241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Cs w:val="21"/>
              </w:rPr>
            </w:pPr>
            <w:r>
              <w:rPr>
                <w:rFonts w:hint="eastAsia" w:ascii="仿宋_GB2312" w:hAnsi="仿宋_GB2312" w:eastAsia="仿宋_GB2312" w:cs="仿宋_GB2312"/>
                <w:szCs w:val="21"/>
              </w:rPr>
              <w:t>0.1万</w:t>
            </w:r>
          </w:p>
        </w:tc>
      </w:tr>
      <w:tr>
        <w:tblPrEx>
          <w:tblCellMar>
            <w:top w:w="0" w:type="dxa"/>
            <w:left w:w="108" w:type="dxa"/>
            <w:bottom w:w="0" w:type="dxa"/>
            <w:right w:w="108" w:type="dxa"/>
          </w:tblCellMar>
        </w:tblPrEx>
        <w:trPr>
          <w:gridAfter w:val="1"/>
          <w:wAfter w:w="234" w:type="dxa"/>
          <w:trHeight w:val="480" w:hRule="atLeast"/>
        </w:trPr>
        <w:tc>
          <w:tcPr>
            <w:tcW w:w="1977"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320" w:lineRule="exact"/>
              <w:jc w:val="center"/>
              <w:rPr>
                <w:rFonts w:ascii="仿宋_GB2312" w:hAnsi="仿宋_GB2312" w:eastAsia="仿宋_GB2312" w:cs="仿宋_GB2312"/>
                <w:sz w:val="28"/>
                <w:szCs w:val="28"/>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成本指标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Cs w:val="21"/>
              </w:rPr>
            </w:pPr>
            <w:r>
              <w:rPr>
                <w:rFonts w:hint="eastAsia" w:ascii="仿宋_GB2312" w:hAnsi="仿宋_GB2312" w:eastAsia="仿宋_GB2312" w:cs="仿宋_GB2312"/>
                <w:szCs w:val="21"/>
              </w:rPr>
              <w:t>支付聘用人员劳务费</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Cs w:val="21"/>
              </w:rPr>
            </w:pPr>
            <w:r>
              <w:rPr>
                <w:rFonts w:hint="eastAsia" w:ascii="仿宋_GB2312" w:hAnsi="仿宋_GB2312" w:eastAsia="仿宋_GB2312" w:cs="仿宋_GB2312"/>
                <w:szCs w:val="21"/>
              </w:rPr>
              <w:t>1.9万</w:t>
            </w:r>
          </w:p>
        </w:tc>
        <w:tc>
          <w:tcPr>
            <w:tcW w:w="241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Cs w:val="21"/>
              </w:rPr>
            </w:pPr>
            <w:r>
              <w:rPr>
                <w:rFonts w:hint="eastAsia" w:ascii="仿宋_GB2312" w:hAnsi="仿宋_GB2312" w:eastAsia="仿宋_GB2312" w:cs="仿宋_GB2312"/>
                <w:szCs w:val="21"/>
              </w:rPr>
              <w:t>1.9万</w:t>
            </w:r>
          </w:p>
        </w:tc>
      </w:tr>
      <w:tr>
        <w:tblPrEx>
          <w:tblCellMar>
            <w:top w:w="0" w:type="dxa"/>
            <w:left w:w="108" w:type="dxa"/>
            <w:bottom w:w="0" w:type="dxa"/>
            <w:right w:w="108" w:type="dxa"/>
          </w:tblCellMar>
        </w:tblPrEx>
        <w:trPr>
          <w:gridAfter w:val="1"/>
          <w:wAfter w:w="234" w:type="dxa"/>
          <w:trHeight w:val="480" w:hRule="atLeast"/>
        </w:trPr>
        <w:tc>
          <w:tcPr>
            <w:tcW w:w="1977"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bottom"/>
              <w:rPr>
                <w:rFonts w:ascii="仿宋_GB2312" w:hAnsi="仿宋_GB2312" w:eastAsia="仿宋_GB2312" w:cs="仿宋_GB2312"/>
                <w:kern w:val="0"/>
                <w:sz w:val="28"/>
                <w:szCs w:val="28"/>
                <w:lang w:bidi="ar"/>
              </w:rPr>
            </w:pPr>
            <w:r>
              <w:rPr>
                <w:rFonts w:hint="eastAsia" w:ascii="仿宋_GB2312" w:hAnsi="仿宋_GB2312" w:eastAsia="仿宋_GB2312" w:cs="仿宋_GB2312"/>
                <w:kern w:val="0"/>
                <w:sz w:val="28"/>
                <w:szCs w:val="28"/>
                <w:lang w:bidi="ar"/>
              </w:rPr>
              <w:t>效益</w:t>
            </w:r>
          </w:p>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指标</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经济效益  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Cs w:val="21"/>
              </w:rPr>
            </w:pP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Cs w:val="21"/>
              </w:rPr>
            </w:pPr>
          </w:p>
        </w:tc>
        <w:tc>
          <w:tcPr>
            <w:tcW w:w="241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Cs w:val="21"/>
              </w:rPr>
            </w:pPr>
          </w:p>
        </w:tc>
      </w:tr>
      <w:tr>
        <w:tblPrEx>
          <w:tblCellMar>
            <w:top w:w="0" w:type="dxa"/>
            <w:left w:w="108" w:type="dxa"/>
            <w:bottom w:w="0" w:type="dxa"/>
            <w:right w:w="108" w:type="dxa"/>
          </w:tblCellMar>
        </w:tblPrEx>
        <w:trPr>
          <w:gridAfter w:val="1"/>
          <w:wAfter w:w="234" w:type="dxa"/>
          <w:trHeight w:val="480" w:hRule="atLeast"/>
        </w:trPr>
        <w:tc>
          <w:tcPr>
            <w:tcW w:w="1977"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320" w:lineRule="exact"/>
              <w:jc w:val="center"/>
              <w:rPr>
                <w:rFonts w:ascii="仿宋_GB2312" w:hAnsi="仿宋_GB2312" w:eastAsia="仿宋_GB2312" w:cs="仿宋_GB2312"/>
                <w:sz w:val="28"/>
                <w:szCs w:val="28"/>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社会效益  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tabs>
                <w:tab w:val="left" w:pos="422"/>
              </w:tabs>
              <w:spacing w:line="320" w:lineRule="exact"/>
              <w:textAlignment w:val="bottom"/>
              <w:rPr>
                <w:rFonts w:ascii="仿宋_GB2312" w:hAnsi="仿宋_GB2312" w:eastAsia="仿宋_GB2312" w:cs="仿宋_GB2312"/>
                <w:szCs w:val="21"/>
              </w:rPr>
            </w:pPr>
            <w:r>
              <w:rPr>
                <w:rFonts w:hint="eastAsia" w:ascii="仿宋_GB2312" w:hAnsi="仿宋_GB2312" w:eastAsia="仿宋_GB2312" w:cs="仿宋_GB2312"/>
                <w:szCs w:val="21"/>
              </w:rPr>
              <w:t>提供丰富详实的地情资料</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textAlignment w:val="bottom"/>
              <w:rPr>
                <w:rFonts w:ascii="仿宋_GB2312" w:hAnsi="仿宋_GB2312" w:eastAsia="仿宋_GB2312" w:cs="仿宋_GB2312"/>
                <w:szCs w:val="21"/>
              </w:rPr>
            </w:pPr>
            <w:r>
              <w:rPr>
                <w:rFonts w:hint="eastAsia" w:ascii="仿宋_GB2312" w:hAnsi="仿宋_GB2312" w:eastAsia="仿宋_GB2312" w:cs="仿宋_GB2312"/>
                <w:szCs w:val="21"/>
              </w:rPr>
              <w:t>为地方经济、文化、旅游发展等提供资料参考</w:t>
            </w:r>
          </w:p>
        </w:tc>
        <w:tc>
          <w:tcPr>
            <w:tcW w:w="241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Cs w:val="21"/>
              </w:rPr>
            </w:pPr>
            <w:r>
              <w:rPr>
                <w:rFonts w:hint="eastAsia" w:ascii="仿宋_GB2312" w:hAnsi="仿宋_GB2312" w:eastAsia="仿宋_GB2312" w:cs="仿宋_GB2312"/>
                <w:szCs w:val="21"/>
              </w:rPr>
              <w:t>为地方经济、文化、旅游发展等提供资料参考</w:t>
            </w:r>
          </w:p>
        </w:tc>
      </w:tr>
      <w:tr>
        <w:tblPrEx>
          <w:tblCellMar>
            <w:top w:w="0" w:type="dxa"/>
            <w:left w:w="108" w:type="dxa"/>
            <w:bottom w:w="0" w:type="dxa"/>
            <w:right w:w="108" w:type="dxa"/>
          </w:tblCellMar>
        </w:tblPrEx>
        <w:trPr>
          <w:gridAfter w:val="1"/>
          <w:wAfter w:w="234" w:type="dxa"/>
          <w:trHeight w:val="577" w:hRule="atLeast"/>
        </w:trPr>
        <w:tc>
          <w:tcPr>
            <w:tcW w:w="1977"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320" w:lineRule="exact"/>
              <w:jc w:val="center"/>
              <w:rPr>
                <w:rFonts w:ascii="仿宋_GB2312" w:hAnsi="仿宋_GB2312" w:eastAsia="仿宋_GB2312" w:cs="仿宋_GB2312"/>
                <w:sz w:val="28"/>
                <w:szCs w:val="28"/>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ind w:left="463" w:leftChars="87" w:hanging="280" w:hangingChars="100"/>
              <w:jc w:val="left"/>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生态效益  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4"/>
              </w:rPr>
            </w:pP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4"/>
              </w:rPr>
            </w:pPr>
          </w:p>
        </w:tc>
        <w:tc>
          <w:tcPr>
            <w:tcW w:w="241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4"/>
              </w:rPr>
            </w:pPr>
          </w:p>
        </w:tc>
      </w:tr>
      <w:tr>
        <w:tblPrEx>
          <w:tblCellMar>
            <w:top w:w="0" w:type="dxa"/>
            <w:left w:w="108" w:type="dxa"/>
            <w:bottom w:w="0" w:type="dxa"/>
            <w:right w:w="108" w:type="dxa"/>
          </w:tblCellMar>
        </w:tblPrEx>
        <w:trPr>
          <w:gridAfter w:val="1"/>
          <w:wAfter w:w="234" w:type="dxa"/>
          <w:trHeight w:val="480" w:hRule="atLeast"/>
        </w:trPr>
        <w:tc>
          <w:tcPr>
            <w:tcW w:w="1977"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320" w:lineRule="exact"/>
              <w:jc w:val="center"/>
              <w:rPr>
                <w:rFonts w:ascii="仿宋_GB2312" w:hAnsi="仿宋_GB2312" w:eastAsia="仿宋_GB2312" w:cs="仿宋_GB2312"/>
                <w:sz w:val="28"/>
                <w:szCs w:val="28"/>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可持续影响 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4"/>
              </w:rPr>
            </w:pP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4"/>
              </w:rPr>
            </w:pPr>
          </w:p>
        </w:tc>
        <w:tc>
          <w:tcPr>
            <w:tcW w:w="241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4"/>
              </w:rPr>
            </w:pPr>
          </w:p>
        </w:tc>
      </w:tr>
      <w:tr>
        <w:tblPrEx>
          <w:tblCellMar>
            <w:top w:w="0" w:type="dxa"/>
            <w:left w:w="108" w:type="dxa"/>
            <w:bottom w:w="0" w:type="dxa"/>
            <w:right w:w="108" w:type="dxa"/>
          </w:tblCellMar>
        </w:tblPrEx>
        <w:trPr>
          <w:gridAfter w:val="1"/>
          <w:wAfter w:w="234" w:type="dxa"/>
          <w:trHeight w:val="530" w:hRule="atLeast"/>
        </w:trPr>
        <w:tc>
          <w:tcPr>
            <w:tcW w:w="1977" w:type="dxa"/>
            <w:vMerge w:val="continue"/>
            <w:tcBorders>
              <w:left w:val="single" w:color="000000" w:sz="4" w:space="0"/>
              <w:bottom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kern w:val="0"/>
                <w:sz w:val="28"/>
                <w:szCs w:val="28"/>
                <w:lang w:bidi="ar"/>
              </w:rPr>
            </w:pPr>
            <w:r>
              <w:rPr>
                <w:rFonts w:hint="eastAsia" w:ascii="仿宋_GB2312" w:hAnsi="仿宋_GB2312" w:eastAsia="仿宋_GB2312" w:cs="仿宋_GB2312"/>
                <w:kern w:val="0"/>
                <w:sz w:val="28"/>
                <w:szCs w:val="28"/>
                <w:lang w:bidi="ar"/>
              </w:rPr>
              <w:t>满意</w:t>
            </w:r>
          </w:p>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度指标</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kern w:val="0"/>
                <w:sz w:val="28"/>
                <w:szCs w:val="28"/>
                <w:lang w:bidi="ar"/>
              </w:rPr>
            </w:pPr>
            <w:r>
              <w:rPr>
                <w:rFonts w:hint="eastAsia" w:ascii="仿宋_GB2312" w:hAnsi="仿宋_GB2312" w:eastAsia="仿宋_GB2312" w:cs="仿宋_GB2312"/>
                <w:kern w:val="0"/>
                <w:sz w:val="28"/>
                <w:szCs w:val="28"/>
                <w:lang w:bidi="ar"/>
              </w:rPr>
              <w:t>满意度</w:t>
            </w:r>
          </w:p>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Cs w:val="21"/>
              </w:rPr>
            </w:pPr>
            <w:r>
              <w:rPr>
                <w:rFonts w:hint="eastAsia" w:ascii="仿宋_GB2312" w:hAnsi="仿宋_GB2312" w:eastAsia="仿宋_GB2312" w:cs="仿宋_GB2312"/>
                <w:szCs w:val="21"/>
              </w:rPr>
              <w:t>市级各部门单位满意度</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Cs w:val="21"/>
              </w:rPr>
            </w:pPr>
            <w:r>
              <w:rPr>
                <w:rFonts w:hint="eastAsia" w:ascii="仿宋_GB2312" w:hAnsi="仿宋_GB2312" w:eastAsia="仿宋_GB2312" w:cs="仿宋_GB2312"/>
                <w:szCs w:val="21"/>
              </w:rPr>
              <w:t>抽样调查满意度达到基本满意及以上</w:t>
            </w:r>
          </w:p>
        </w:tc>
        <w:tc>
          <w:tcPr>
            <w:tcW w:w="241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Cs w:val="21"/>
              </w:rPr>
            </w:pPr>
            <w:r>
              <w:rPr>
                <w:rFonts w:hint="eastAsia" w:ascii="仿宋_GB2312" w:hAnsi="仿宋_GB2312" w:eastAsia="仿宋_GB2312" w:cs="仿宋_GB2312"/>
                <w:szCs w:val="21"/>
              </w:rPr>
              <w:t>抽样调查满意度达到基本满意及以上</w:t>
            </w:r>
          </w:p>
        </w:tc>
      </w:tr>
    </w:tbl>
    <w:p>
      <w:pPr>
        <w:spacing w:line="600" w:lineRule="exact"/>
        <w:jc w:val="center"/>
        <w:outlineLvl w:val="0"/>
        <w:rPr>
          <w:rFonts w:ascii="黑体" w:hAnsi="黑体" w:eastAsia="黑体"/>
          <w:sz w:val="44"/>
          <w:szCs w:val="44"/>
        </w:rPr>
      </w:pPr>
    </w:p>
    <w:p>
      <w:pPr>
        <w:widowControl/>
        <w:adjustRightInd w:val="0"/>
        <w:snapToGrid w:val="0"/>
        <w:spacing w:line="580" w:lineRule="exact"/>
        <w:contextualSpacing/>
        <w:jc w:val="left"/>
        <w:rPr>
          <w:rFonts w:ascii="仿宋_GB2312" w:hAnsi="宋体" w:eastAsia="仿宋_GB2312" w:cs="宋体"/>
          <w:color w:val="000000"/>
          <w:kern w:val="0"/>
          <w:sz w:val="32"/>
          <w:szCs w:val="32"/>
          <w:shd w:val="clear" w:color="auto" w:fill="FFFFFF"/>
        </w:rPr>
      </w:pPr>
    </w:p>
    <w:p>
      <w:pPr>
        <w:pStyle w:val="2"/>
        <w:spacing w:before="93"/>
        <w:rPr>
          <w:rFonts w:hAnsi="宋体" w:cs="宋体"/>
          <w:color w:val="000000"/>
          <w:sz w:val="32"/>
          <w:szCs w:val="32"/>
          <w:shd w:val="clear" w:color="auto" w:fill="FFFFFF"/>
        </w:rPr>
      </w:pPr>
    </w:p>
    <w:p>
      <w:pPr>
        <w:pStyle w:val="2"/>
        <w:spacing w:before="93"/>
        <w:rPr>
          <w:rFonts w:hAnsi="宋体" w:cs="宋体"/>
          <w:color w:val="000000"/>
          <w:sz w:val="32"/>
          <w:szCs w:val="32"/>
          <w:shd w:val="clear" w:color="auto" w:fill="FFFFFF"/>
        </w:rPr>
      </w:pPr>
    </w:p>
    <w:tbl>
      <w:tblPr>
        <w:tblStyle w:val="12"/>
        <w:tblpPr w:leftFromText="180" w:rightFromText="180" w:vertAnchor="text" w:horzAnchor="page" w:tblpX="1281" w:tblpY="660"/>
        <w:tblOverlap w:val="never"/>
        <w:tblW w:w="9811" w:type="dxa"/>
        <w:tblInd w:w="0" w:type="dxa"/>
        <w:tblLayout w:type="fixed"/>
        <w:tblCellMar>
          <w:top w:w="0" w:type="dxa"/>
          <w:left w:w="108" w:type="dxa"/>
          <w:bottom w:w="0" w:type="dxa"/>
          <w:right w:w="108" w:type="dxa"/>
        </w:tblCellMar>
      </w:tblPr>
      <w:tblGrid>
        <w:gridCol w:w="1976"/>
        <w:gridCol w:w="1142"/>
        <w:gridCol w:w="1635"/>
        <w:gridCol w:w="1189"/>
        <w:gridCol w:w="1224"/>
        <w:gridCol w:w="2409"/>
        <w:gridCol w:w="236"/>
      </w:tblGrid>
      <w:tr>
        <w:tblPrEx>
          <w:tblCellMar>
            <w:top w:w="0" w:type="dxa"/>
            <w:left w:w="108" w:type="dxa"/>
            <w:bottom w:w="0" w:type="dxa"/>
            <w:right w:w="108" w:type="dxa"/>
          </w:tblCellMar>
        </w:tblPrEx>
        <w:trPr>
          <w:trHeight w:val="675" w:hRule="atLeast"/>
        </w:trPr>
        <w:tc>
          <w:tcPr>
            <w:tcW w:w="9577" w:type="dxa"/>
            <w:gridSpan w:val="6"/>
            <w:tcBorders>
              <w:top w:val="nil"/>
              <w:left w:val="nil"/>
              <w:bottom w:val="nil"/>
              <w:right w:val="nil"/>
            </w:tcBorders>
            <w:shd w:val="clear" w:color="auto" w:fill="auto"/>
            <w:vAlign w:val="center"/>
          </w:tcPr>
          <w:p>
            <w:pPr>
              <w:widowControl/>
              <w:jc w:val="center"/>
              <w:textAlignment w:val="center"/>
              <w:rPr>
                <w:rFonts w:ascii="宋体" w:hAnsi="宋体" w:cs="宋体"/>
                <w:b/>
                <w:sz w:val="32"/>
                <w:szCs w:val="32"/>
              </w:rPr>
            </w:pPr>
            <w:r>
              <w:rPr>
                <w:rFonts w:hint="eastAsia" w:ascii="宋体" w:hAnsi="宋体" w:cs="宋体"/>
                <w:b/>
                <w:sz w:val="32"/>
                <w:szCs w:val="32"/>
              </w:rPr>
              <w:t>2021年不限金额特定目标类部门预算项目绩效目标自评（《攀枝花开发建设大事记图册》印刷费）</w:t>
            </w:r>
          </w:p>
        </w:tc>
        <w:tc>
          <w:tcPr>
            <w:tcW w:w="234" w:type="dxa"/>
            <w:tcBorders>
              <w:top w:val="nil"/>
              <w:left w:val="nil"/>
              <w:bottom w:val="nil"/>
              <w:right w:val="nil"/>
            </w:tcBorders>
            <w:shd w:val="clear" w:color="auto" w:fill="auto"/>
            <w:vAlign w:val="center"/>
          </w:tcPr>
          <w:p>
            <w:pPr>
              <w:widowControl/>
              <w:jc w:val="center"/>
              <w:textAlignment w:val="center"/>
              <w:rPr>
                <w:rFonts w:ascii="宋体" w:hAnsi="宋体" w:cs="宋体"/>
                <w:b/>
                <w:kern w:val="0"/>
                <w:sz w:val="32"/>
                <w:szCs w:val="32"/>
                <w:lang w:bidi="ar"/>
              </w:rPr>
            </w:pPr>
          </w:p>
        </w:tc>
      </w:tr>
      <w:tr>
        <w:tblPrEx>
          <w:tblCellMar>
            <w:top w:w="0" w:type="dxa"/>
            <w:left w:w="108" w:type="dxa"/>
            <w:bottom w:w="0" w:type="dxa"/>
            <w:right w:w="108" w:type="dxa"/>
          </w:tblCellMar>
        </w:tblPrEx>
        <w:trPr>
          <w:gridAfter w:val="1"/>
          <w:wAfter w:w="234" w:type="dxa"/>
          <w:trHeight w:val="254" w:hRule="atLeast"/>
        </w:trPr>
        <w:tc>
          <w:tcPr>
            <w:tcW w:w="31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24"/>
              </w:rPr>
            </w:pPr>
            <w:r>
              <w:rPr>
                <w:rFonts w:hint="eastAsia" w:ascii="宋体" w:hAnsi="宋体" w:cs="宋体"/>
                <w:kern w:val="0"/>
                <w:sz w:val="24"/>
                <w:lang w:bidi="ar"/>
              </w:rPr>
              <w:t>主管部门及代码</w:t>
            </w:r>
          </w:p>
        </w:tc>
        <w:tc>
          <w:tcPr>
            <w:tcW w:w="282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textAlignment w:val="center"/>
              <w:rPr>
                <w:rFonts w:ascii="宋体" w:hAnsi="宋体" w:cs="宋体"/>
                <w:sz w:val="24"/>
              </w:rPr>
            </w:pP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24"/>
              </w:rPr>
            </w:pPr>
            <w:r>
              <w:rPr>
                <w:rFonts w:hint="eastAsia" w:ascii="宋体" w:hAnsi="宋体" w:cs="宋体"/>
                <w:kern w:val="0"/>
                <w:sz w:val="24"/>
                <w:lang w:bidi="ar"/>
              </w:rPr>
              <w:t>实施单位</w:t>
            </w:r>
          </w:p>
        </w:tc>
        <w:tc>
          <w:tcPr>
            <w:tcW w:w="24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24"/>
              </w:rPr>
            </w:pPr>
            <w:r>
              <w:rPr>
                <w:rFonts w:hint="eastAsia" w:ascii="宋体" w:hAnsi="宋体" w:cs="宋体"/>
                <w:sz w:val="24"/>
              </w:rPr>
              <w:t>攀枝花市地方志编纂中心</w:t>
            </w:r>
          </w:p>
        </w:tc>
      </w:tr>
      <w:tr>
        <w:tblPrEx>
          <w:tblCellMar>
            <w:top w:w="0" w:type="dxa"/>
            <w:left w:w="108" w:type="dxa"/>
            <w:bottom w:w="0" w:type="dxa"/>
            <w:right w:w="108" w:type="dxa"/>
          </w:tblCellMar>
        </w:tblPrEx>
        <w:trPr>
          <w:gridAfter w:val="1"/>
          <w:wAfter w:w="234" w:type="dxa"/>
          <w:trHeight w:val="341" w:hRule="atLeast"/>
        </w:trPr>
        <w:tc>
          <w:tcPr>
            <w:tcW w:w="3119"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kern w:val="0"/>
                <w:sz w:val="24"/>
                <w:lang w:bidi="ar"/>
              </w:rPr>
            </w:pPr>
            <w:r>
              <w:rPr>
                <w:rFonts w:hint="eastAsia" w:ascii="宋体" w:hAnsi="宋体" w:cs="宋体"/>
                <w:kern w:val="0"/>
                <w:sz w:val="24"/>
                <w:lang w:bidi="ar"/>
              </w:rPr>
              <w:t>项目预算</w:t>
            </w:r>
          </w:p>
          <w:p>
            <w:pPr>
              <w:widowControl/>
              <w:spacing w:line="320" w:lineRule="exact"/>
              <w:jc w:val="center"/>
              <w:textAlignment w:val="center"/>
              <w:rPr>
                <w:rFonts w:ascii="宋体" w:hAnsi="宋体" w:cs="宋体"/>
                <w:kern w:val="0"/>
                <w:sz w:val="24"/>
                <w:lang w:bidi="ar"/>
              </w:rPr>
            </w:pPr>
            <w:r>
              <w:rPr>
                <w:rFonts w:hint="eastAsia" w:ascii="宋体" w:hAnsi="宋体" w:cs="宋体"/>
                <w:kern w:val="0"/>
                <w:sz w:val="24"/>
                <w:lang w:bidi="ar"/>
              </w:rPr>
              <w:t>执行情况</w:t>
            </w:r>
          </w:p>
          <w:p>
            <w:pPr>
              <w:widowControl/>
              <w:spacing w:line="320" w:lineRule="exact"/>
              <w:jc w:val="center"/>
              <w:textAlignment w:val="center"/>
              <w:rPr>
                <w:rFonts w:ascii="宋体" w:hAnsi="宋体" w:cs="宋体"/>
                <w:sz w:val="24"/>
              </w:rPr>
            </w:pPr>
            <w:r>
              <w:rPr>
                <w:rFonts w:hint="eastAsia" w:ascii="宋体" w:hAnsi="宋体" w:cs="宋体"/>
                <w:kern w:val="0"/>
                <w:sz w:val="24"/>
                <w:lang w:bidi="ar"/>
              </w:rPr>
              <w:t>（万元）</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sz w:val="24"/>
              </w:rPr>
            </w:pPr>
            <w:r>
              <w:rPr>
                <w:rFonts w:hint="eastAsia" w:ascii="宋体" w:hAnsi="宋体" w:cs="宋体"/>
                <w:kern w:val="0"/>
                <w:sz w:val="24"/>
                <w:lang w:bidi="ar"/>
              </w:rPr>
              <w:t xml:space="preserve"> 预算数：</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right"/>
              <w:textAlignment w:val="center"/>
              <w:rPr>
                <w:rFonts w:ascii="宋体" w:hAnsi="宋体" w:cs="宋体"/>
                <w:sz w:val="24"/>
              </w:rPr>
            </w:pPr>
            <w:r>
              <w:rPr>
                <w:rFonts w:hint="eastAsia" w:ascii="宋体" w:hAnsi="宋体" w:cs="宋体"/>
                <w:sz w:val="24"/>
              </w:rPr>
              <w:t>14.26</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sz w:val="24"/>
              </w:rPr>
            </w:pPr>
            <w:r>
              <w:rPr>
                <w:rFonts w:hint="eastAsia" w:ascii="宋体" w:hAnsi="宋体" w:cs="宋体"/>
                <w:kern w:val="0"/>
                <w:sz w:val="24"/>
                <w:lang w:bidi="ar"/>
              </w:rPr>
              <w:t xml:space="preserve"> 执行数：</w:t>
            </w:r>
          </w:p>
        </w:tc>
        <w:tc>
          <w:tcPr>
            <w:tcW w:w="24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right"/>
              <w:textAlignment w:val="center"/>
              <w:rPr>
                <w:rFonts w:ascii="宋体" w:hAnsi="宋体" w:cs="宋体"/>
                <w:sz w:val="24"/>
              </w:rPr>
            </w:pPr>
            <w:r>
              <w:rPr>
                <w:rFonts w:hint="eastAsia" w:ascii="宋体" w:hAnsi="宋体" w:cs="宋体"/>
                <w:sz w:val="24"/>
              </w:rPr>
              <w:t>14.26</w:t>
            </w:r>
          </w:p>
        </w:tc>
      </w:tr>
      <w:tr>
        <w:tblPrEx>
          <w:tblCellMar>
            <w:top w:w="0" w:type="dxa"/>
            <w:left w:w="108" w:type="dxa"/>
            <w:bottom w:w="0" w:type="dxa"/>
            <w:right w:w="108" w:type="dxa"/>
          </w:tblCellMar>
        </w:tblPrEx>
        <w:trPr>
          <w:gridAfter w:val="1"/>
          <w:wAfter w:w="234" w:type="dxa"/>
          <w:trHeight w:val="555" w:hRule="atLeast"/>
        </w:trPr>
        <w:tc>
          <w:tcPr>
            <w:tcW w:w="311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20" w:lineRule="exact"/>
              <w:jc w:val="center"/>
              <w:rPr>
                <w:rFonts w:ascii="宋体" w:hAnsi="宋体" w:cs="宋体"/>
                <w:sz w:val="24"/>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kern w:val="0"/>
                <w:sz w:val="24"/>
                <w:lang w:bidi="ar"/>
              </w:rPr>
            </w:pPr>
            <w:r>
              <w:rPr>
                <w:rFonts w:hint="eastAsia" w:ascii="宋体" w:hAnsi="宋体" w:cs="宋体"/>
                <w:kern w:val="0"/>
                <w:sz w:val="24"/>
                <w:lang w:bidi="ar"/>
              </w:rPr>
              <w:t>其中：</w:t>
            </w:r>
          </w:p>
          <w:p>
            <w:pPr>
              <w:widowControl/>
              <w:spacing w:line="320" w:lineRule="exact"/>
              <w:jc w:val="left"/>
              <w:textAlignment w:val="center"/>
              <w:rPr>
                <w:rFonts w:ascii="宋体" w:hAnsi="宋体" w:cs="宋体"/>
                <w:sz w:val="24"/>
              </w:rPr>
            </w:pPr>
            <w:r>
              <w:rPr>
                <w:rFonts w:hint="eastAsia" w:ascii="宋体" w:hAnsi="宋体" w:cs="宋体"/>
                <w:kern w:val="0"/>
                <w:sz w:val="24"/>
                <w:lang w:bidi="ar"/>
              </w:rPr>
              <w:t>财政拨款</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right"/>
              <w:textAlignment w:val="center"/>
              <w:rPr>
                <w:rFonts w:ascii="宋体" w:hAnsi="宋体" w:cs="宋体"/>
                <w:sz w:val="24"/>
              </w:rPr>
            </w:pPr>
            <w:r>
              <w:rPr>
                <w:rFonts w:hint="eastAsia" w:ascii="宋体" w:hAnsi="宋体" w:cs="宋体"/>
                <w:sz w:val="24"/>
              </w:rPr>
              <w:t>14.26</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kern w:val="0"/>
                <w:sz w:val="24"/>
                <w:lang w:bidi="ar"/>
              </w:rPr>
            </w:pPr>
            <w:r>
              <w:rPr>
                <w:rFonts w:hint="eastAsia" w:ascii="宋体" w:hAnsi="宋体" w:cs="宋体"/>
                <w:kern w:val="0"/>
                <w:sz w:val="24"/>
                <w:lang w:bidi="ar"/>
              </w:rPr>
              <w:t>其中：</w:t>
            </w:r>
          </w:p>
          <w:p>
            <w:pPr>
              <w:widowControl/>
              <w:spacing w:line="320" w:lineRule="exact"/>
              <w:jc w:val="left"/>
              <w:textAlignment w:val="center"/>
              <w:rPr>
                <w:rFonts w:ascii="宋体" w:hAnsi="宋体" w:cs="宋体"/>
                <w:sz w:val="24"/>
              </w:rPr>
            </w:pPr>
            <w:r>
              <w:rPr>
                <w:rFonts w:hint="eastAsia" w:ascii="宋体" w:hAnsi="宋体" w:cs="宋体"/>
                <w:kern w:val="0"/>
                <w:sz w:val="24"/>
                <w:lang w:bidi="ar"/>
              </w:rPr>
              <w:t>财政拨款</w:t>
            </w:r>
          </w:p>
        </w:tc>
        <w:tc>
          <w:tcPr>
            <w:tcW w:w="24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right"/>
              <w:textAlignment w:val="center"/>
              <w:rPr>
                <w:rFonts w:ascii="宋体" w:hAnsi="宋体" w:cs="宋体"/>
                <w:sz w:val="24"/>
              </w:rPr>
            </w:pPr>
            <w:r>
              <w:rPr>
                <w:rFonts w:hint="eastAsia" w:ascii="宋体" w:hAnsi="宋体" w:cs="宋体"/>
                <w:sz w:val="24"/>
              </w:rPr>
              <w:t>14.26</w:t>
            </w:r>
          </w:p>
        </w:tc>
      </w:tr>
      <w:tr>
        <w:tblPrEx>
          <w:tblCellMar>
            <w:top w:w="0" w:type="dxa"/>
            <w:left w:w="108" w:type="dxa"/>
            <w:bottom w:w="0" w:type="dxa"/>
            <w:right w:w="108" w:type="dxa"/>
          </w:tblCellMar>
        </w:tblPrEx>
        <w:trPr>
          <w:gridAfter w:val="1"/>
          <w:wAfter w:w="234" w:type="dxa"/>
          <w:trHeight w:val="341" w:hRule="atLeast"/>
        </w:trPr>
        <w:tc>
          <w:tcPr>
            <w:tcW w:w="311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20" w:lineRule="exact"/>
              <w:jc w:val="center"/>
              <w:rPr>
                <w:rFonts w:ascii="宋体" w:hAnsi="宋体" w:cs="宋体"/>
                <w:sz w:val="24"/>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sz w:val="24"/>
              </w:rPr>
            </w:pPr>
            <w:r>
              <w:rPr>
                <w:rFonts w:hint="eastAsia" w:ascii="宋体" w:hAnsi="宋体" w:cs="宋体"/>
                <w:kern w:val="0"/>
                <w:sz w:val="24"/>
                <w:lang w:bidi="ar"/>
              </w:rPr>
              <w:t>其他资金</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sz w:val="24"/>
              </w:rPr>
            </w:pP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sz w:val="24"/>
              </w:rPr>
            </w:pPr>
            <w:r>
              <w:rPr>
                <w:rFonts w:hint="eastAsia" w:ascii="宋体" w:hAnsi="宋体" w:cs="宋体"/>
                <w:kern w:val="0"/>
                <w:sz w:val="24"/>
                <w:lang w:bidi="ar"/>
              </w:rPr>
              <w:t>其他资金</w:t>
            </w:r>
          </w:p>
        </w:tc>
        <w:tc>
          <w:tcPr>
            <w:tcW w:w="24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right"/>
              <w:textAlignment w:val="center"/>
              <w:rPr>
                <w:rFonts w:ascii="宋体" w:hAnsi="宋体" w:cs="宋体"/>
                <w:sz w:val="24"/>
              </w:rPr>
            </w:pPr>
          </w:p>
        </w:tc>
      </w:tr>
      <w:tr>
        <w:tblPrEx>
          <w:tblCellMar>
            <w:top w:w="0" w:type="dxa"/>
            <w:left w:w="108" w:type="dxa"/>
            <w:bottom w:w="0" w:type="dxa"/>
            <w:right w:w="108" w:type="dxa"/>
          </w:tblCellMar>
        </w:tblPrEx>
        <w:trPr>
          <w:gridAfter w:val="1"/>
          <w:wAfter w:w="234" w:type="dxa"/>
          <w:trHeight w:val="217" w:hRule="atLeast"/>
        </w:trPr>
        <w:tc>
          <w:tcPr>
            <w:tcW w:w="197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kern w:val="0"/>
                <w:sz w:val="24"/>
                <w:lang w:bidi="ar"/>
              </w:rPr>
            </w:pPr>
            <w:r>
              <w:rPr>
                <w:rFonts w:hint="eastAsia" w:ascii="宋体" w:hAnsi="宋体" w:cs="宋体"/>
                <w:kern w:val="0"/>
                <w:sz w:val="24"/>
                <w:lang w:bidi="ar"/>
              </w:rPr>
              <w:t>年度总体目标</w:t>
            </w:r>
          </w:p>
          <w:p>
            <w:pPr>
              <w:widowControl/>
              <w:spacing w:line="320" w:lineRule="exact"/>
              <w:jc w:val="center"/>
              <w:textAlignment w:val="center"/>
              <w:rPr>
                <w:rFonts w:ascii="宋体" w:hAnsi="宋体" w:cs="宋体"/>
                <w:sz w:val="24"/>
              </w:rPr>
            </w:pPr>
            <w:r>
              <w:rPr>
                <w:rFonts w:hint="eastAsia" w:ascii="宋体" w:hAnsi="宋体" w:cs="宋体"/>
                <w:kern w:val="0"/>
                <w:sz w:val="24"/>
                <w:lang w:bidi="ar"/>
              </w:rPr>
              <w:t>完成情况</w:t>
            </w:r>
          </w:p>
        </w:tc>
        <w:tc>
          <w:tcPr>
            <w:tcW w:w="396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24"/>
              </w:rPr>
            </w:pPr>
            <w:r>
              <w:rPr>
                <w:rFonts w:hint="eastAsia" w:ascii="宋体" w:hAnsi="宋体" w:cs="宋体"/>
                <w:kern w:val="0"/>
                <w:sz w:val="24"/>
                <w:lang w:bidi="ar"/>
              </w:rPr>
              <w:t>预期目标</w:t>
            </w:r>
          </w:p>
        </w:tc>
        <w:tc>
          <w:tcPr>
            <w:tcW w:w="363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24"/>
              </w:rPr>
            </w:pPr>
            <w:r>
              <w:rPr>
                <w:rFonts w:hint="eastAsia" w:ascii="宋体" w:hAnsi="宋体" w:cs="宋体"/>
                <w:kern w:val="0"/>
                <w:sz w:val="24"/>
                <w:lang w:bidi="ar"/>
              </w:rPr>
              <w:t>目标实际完成情况</w:t>
            </w:r>
          </w:p>
        </w:tc>
      </w:tr>
      <w:tr>
        <w:tblPrEx>
          <w:tblCellMar>
            <w:top w:w="0" w:type="dxa"/>
            <w:left w:w="108" w:type="dxa"/>
            <w:bottom w:w="0" w:type="dxa"/>
            <w:right w:w="108" w:type="dxa"/>
          </w:tblCellMar>
        </w:tblPrEx>
        <w:trPr>
          <w:gridAfter w:val="1"/>
          <w:wAfter w:w="234" w:type="dxa"/>
          <w:trHeight w:val="797" w:hRule="atLeast"/>
        </w:trPr>
        <w:tc>
          <w:tcPr>
            <w:tcW w:w="19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20" w:lineRule="exact"/>
              <w:jc w:val="center"/>
              <w:rPr>
                <w:rFonts w:ascii="宋体" w:hAnsi="宋体" w:cs="宋体"/>
                <w:sz w:val="24"/>
              </w:rPr>
            </w:pPr>
          </w:p>
        </w:tc>
        <w:tc>
          <w:tcPr>
            <w:tcW w:w="3966" w:type="dxa"/>
            <w:gridSpan w:val="3"/>
            <w:tcBorders>
              <w:top w:val="single" w:color="000000" w:sz="4" w:space="0"/>
              <w:left w:val="single" w:color="000000" w:sz="4" w:space="0"/>
              <w:bottom w:val="single" w:color="000000" w:sz="4" w:space="0"/>
              <w:right w:val="single" w:color="000000" w:sz="4" w:space="0"/>
            </w:tcBorders>
            <w:shd w:val="clear" w:color="auto" w:fill="auto"/>
          </w:tcPr>
          <w:p>
            <w:pPr>
              <w:widowControl/>
              <w:spacing w:line="320" w:lineRule="exact"/>
              <w:jc w:val="left"/>
              <w:textAlignment w:val="top"/>
              <w:rPr>
                <w:rFonts w:ascii="宋体" w:hAnsi="宋体" w:cs="宋体"/>
                <w:sz w:val="24"/>
              </w:rPr>
            </w:pPr>
            <w:r>
              <w:rPr>
                <w:rFonts w:hint="eastAsia" w:ascii="宋体" w:hAnsi="宋体" w:cs="宋体"/>
                <w:sz w:val="24"/>
              </w:rPr>
              <w:t>完成《攀枝花开发建设大事记图册》的印刷及内部出版、成品验收。</w:t>
            </w:r>
          </w:p>
        </w:tc>
        <w:tc>
          <w:tcPr>
            <w:tcW w:w="3634" w:type="dxa"/>
            <w:gridSpan w:val="2"/>
            <w:tcBorders>
              <w:top w:val="single" w:color="000000" w:sz="4" w:space="0"/>
              <w:left w:val="single" w:color="000000" w:sz="4" w:space="0"/>
              <w:bottom w:val="single" w:color="000000" w:sz="4" w:space="0"/>
              <w:right w:val="single" w:color="000000" w:sz="4" w:space="0"/>
            </w:tcBorders>
            <w:shd w:val="clear" w:color="auto" w:fill="auto"/>
          </w:tcPr>
          <w:p>
            <w:pPr>
              <w:widowControl/>
              <w:spacing w:line="320" w:lineRule="exact"/>
              <w:jc w:val="center"/>
              <w:textAlignment w:val="top"/>
              <w:rPr>
                <w:rFonts w:ascii="宋体" w:hAnsi="宋体" w:cs="宋体"/>
                <w:sz w:val="24"/>
              </w:rPr>
            </w:pPr>
            <w:r>
              <w:rPr>
                <w:rFonts w:hint="eastAsia" w:ascii="宋体" w:hAnsi="宋体" w:cs="宋体"/>
                <w:sz w:val="24"/>
              </w:rPr>
              <w:t>全部或基本达到预期指标</w:t>
            </w:r>
          </w:p>
        </w:tc>
      </w:tr>
      <w:tr>
        <w:tblPrEx>
          <w:tblCellMar>
            <w:top w:w="0" w:type="dxa"/>
            <w:left w:w="108" w:type="dxa"/>
            <w:bottom w:w="0" w:type="dxa"/>
            <w:right w:w="108" w:type="dxa"/>
          </w:tblCellMar>
        </w:tblPrEx>
        <w:trPr>
          <w:gridAfter w:val="1"/>
          <w:wAfter w:w="234" w:type="dxa"/>
          <w:trHeight w:val="693" w:hRule="atLeast"/>
        </w:trPr>
        <w:tc>
          <w:tcPr>
            <w:tcW w:w="1977" w:type="dxa"/>
            <w:vMerge w:val="restart"/>
            <w:tcBorders>
              <w:top w:val="single" w:color="000000" w:sz="4" w:space="0"/>
              <w:left w:val="single" w:color="000000" w:sz="4" w:space="0"/>
              <w:right w:val="single" w:color="000000" w:sz="4" w:space="0"/>
            </w:tcBorders>
            <w:shd w:val="clear" w:color="auto" w:fill="auto"/>
            <w:vAlign w:val="center"/>
          </w:tcPr>
          <w:p>
            <w:pPr>
              <w:widowControl/>
              <w:spacing w:line="32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年度绩效指标完成情况</w:t>
            </w:r>
          </w:p>
        </w:tc>
        <w:tc>
          <w:tcPr>
            <w:tcW w:w="1142" w:type="dxa"/>
            <w:tcBorders>
              <w:top w:val="single" w:color="000000" w:sz="4" w:space="0"/>
              <w:left w:val="nil"/>
              <w:bottom w:val="single" w:color="000000" w:sz="4" w:space="0"/>
              <w:right w:val="single" w:color="000000" w:sz="4" w:space="0"/>
            </w:tcBorders>
            <w:shd w:val="clear" w:color="auto" w:fill="auto"/>
            <w:vAlign w:val="center"/>
          </w:tcPr>
          <w:p>
            <w:pPr>
              <w:widowControl/>
              <w:spacing w:line="320" w:lineRule="exact"/>
              <w:jc w:val="center"/>
              <w:textAlignment w:val="center"/>
              <w:rPr>
                <w:rFonts w:ascii="仿宋_GB2312" w:hAnsi="仿宋_GB2312" w:eastAsia="仿宋_GB2312" w:cs="仿宋_GB2312"/>
                <w:kern w:val="0"/>
                <w:sz w:val="28"/>
                <w:szCs w:val="28"/>
                <w:lang w:bidi="ar"/>
              </w:rPr>
            </w:pPr>
            <w:r>
              <w:rPr>
                <w:rFonts w:hint="eastAsia" w:ascii="仿宋_GB2312" w:hAnsi="仿宋_GB2312" w:eastAsia="仿宋_GB2312" w:cs="仿宋_GB2312"/>
                <w:kern w:val="0"/>
                <w:sz w:val="28"/>
                <w:szCs w:val="28"/>
                <w:lang w:bidi="ar"/>
              </w:rPr>
              <w:t>一级</w:t>
            </w:r>
          </w:p>
          <w:p>
            <w:pPr>
              <w:widowControl/>
              <w:spacing w:line="32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指标</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仿宋_GB2312" w:hAnsi="仿宋_GB2312" w:eastAsia="仿宋_GB2312" w:cs="仿宋_GB2312"/>
                <w:kern w:val="0"/>
                <w:sz w:val="28"/>
                <w:szCs w:val="28"/>
                <w:lang w:bidi="ar"/>
              </w:rPr>
            </w:pPr>
            <w:r>
              <w:rPr>
                <w:rFonts w:hint="eastAsia" w:ascii="仿宋_GB2312" w:hAnsi="仿宋_GB2312" w:eastAsia="仿宋_GB2312" w:cs="仿宋_GB2312"/>
                <w:kern w:val="0"/>
                <w:sz w:val="28"/>
                <w:szCs w:val="28"/>
                <w:lang w:bidi="ar"/>
              </w:rPr>
              <w:t>二级</w:t>
            </w:r>
          </w:p>
          <w:p>
            <w:pPr>
              <w:widowControl/>
              <w:spacing w:line="32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仿宋_GB2312" w:hAnsi="仿宋_GB2312" w:eastAsia="仿宋_GB2312" w:cs="仿宋_GB2312"/>
                <w:kern w:val="0"/>
                <w:sz w:val="28"/>
                <w:szCs w:val="28"/>
                <w:lang w:bidi="ar"/>
              </w:rPr>
            </w:pPr>
            <w:r>
              <w:rPr>
                <w:rFonts w:hint="eastAsia" w:ascii="仿宋_GB2312" w:hAnsi="仿宋_GB2312" w:eastAsia="仿宋_GB2312" w:cs="仿宋_GB2312"/>
                <w:kern w:val="0"/>
                <w:sz w:val="28"/>
                <w:szCs w:val="28"/>
                <w:lang w:bidi="ar"/>
              </w:rPr>
              <w:t>三级</w:t>
            </w:r>
          </w:p>
          <w:p>
            <w:pPr>
              <w:widowControl/>
              <w:spacing w:line="32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指标</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预期指标值</w:t>
            </w:r>
          </w:p>
        </w:tc>
        <w:tc>
          <w:tcPr>
            <w:tcW w:w="24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实际完成指标值</w:t>
            </w:r>
          </w:p>
        </w:tc>
      </w:tr>
      <w:tr>
        <w:tblPrEx>
          <w:tblCellMar>
            <w:top w:w="0" w:type="dxa"/>
            <w:left w:w="108" w:type="dxa"/>
            <w:bottom w:w="0" w:type="dxa"/>
            <w:right w:w="108" w:type="dxa"/>
          </w:tblCellMar>
        </w:tblPrEx>
        <w:trPr>
          <w:gridAfter w:val="1"/>
          <w:wAfter w:w="234" w:type="dxa"/>
          <w:trHeight w:val="415" w:hRule="atLeast"/>
        </w:trPr>
        <w:tc>
          <w:tcPr>
            <w:tcW w:w="1977"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bottom"/>
              <w:rPr>
                <w:rFonts w:ascii="仿宋_GB2312" w:hAnsi="仿宋_GB2312" w:eastAsia="仿宋_GB2312" w:cs="仿宋_GB2312"/>
                <w:kern w:val="0"/>
                <w:sz w:val="28"/>
                <w:szCs w:val="28"/>
                <w:lang w:bidi="ar"/>
              </w:rPr>
            </w:pPr>
            <w:r>
              <w:rPr>
                <w:rFonts w:hint="eastAsia" w:ascii="仿宋_GB2312" w:hAnsi="仿宋_GB2312" w:eastAsia="仿宋_GB2312" w:cs="仿宋_GB2312"/>
                <w:kern w:val="0"/>
                <w:sz w:val="28"/>
                <w:szCs w:val="28"/>
                <w:lang w:bidi="ar"/>
              </w:rPr>
              <w:t>完成</w:t>
            </w:r>
          </w:p>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指标</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数量指标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Cs w:val="21"/>
              </w:rPr>
            </w:pPr>
            <w:r>
              <w:rPr>
                <w:rFonts w:hint="eastAsia" w:ascii="仿宋_GB2312" w:hAnsi="仿宋_GB2312" w:eastAsia="仿宋_GB2312" w:cs="仿宋_GB2312"/>
                <w:szCs w:val="21"/>
              </w:rPr>
              <w:t>完成《攀枝花开发建设大事记图册》的印刷及内部出版</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Cs w:val="21"/>
              </w:rPr>
            </w:pPr>
            <w:r>
              <w:rPr>
                <w:rFonts w:hint="eastAsia" w:ascii="仿宋_GB2312" w:hAnsi="仿宋_GB2312" w:eastAsia="仿宋_GB2312" w:cs="仿宋_GB2312"/>
                <w:szCs w:val="21"/>
              </w:rPr>
              <w:t>500册</w:t>
            </w:r>
          </w:p>
        </w:tc>
        <w:tc>
          <w:tcPr>
            <w:tcW w:w="241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Cs w:val="21"/>
              </w:rPr>
            </w:pPr>
            <w:r>
              <w:rPr>
                <w:rFonts w:hint="eastAsia" w:ascii="仿宋_GB2312" w:hAnsi="仿宋_GB2312" w:eastAsia="仿宋_GB2312" w:cs="仿宋_GB2312"/>
                <w:szCs w:val="21"/>
              </w:rPr>
              <w:t>500册</w:t>
            </w:r>
          </w:p>
        </w:tc>
      </w:tr>
      <w:tr>
        <w:tblPrEx>
          <w:tblCellMar>
            <w:top w:w="0" w:type="dxa"/>
            <w:left w:w="108" w:type="dxa"/>
            <w:bottom w:w="0" w:type="dxa"/>
            <w:right w:w="108" w:type="dxa"/>
          </w:tblCellMar>
        </w:tblPrEx>
        <w:trPr>
          <w:gridAfter w:val="1"/>
          <w:wAfter w:w="234" w:type="dxa"/>
          <w:trHeight w:val="415" w:hRule="atLeast"/>
        </w:trPr>
        <w:tc>
          <w:tcPr>
            <w:tcW w:w="1977"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320" w:lineRule="exact"/>
              <w:jc w:val="center"/>
              <w:rPr>
                <w:rFonts w:ascii="仿宋_GB2312" w:hAnsi="仿宋_GB2312" w:eastAsia="仿宋_GB2312" w:cs="仿宋_GB2312"/>
                <w:sz w:val="28"/>
                <w:szCs w:val="28"/>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kern w:val="0"/>
                <w:sz w:val="28"/>
                <w:szCs w:val="28"/>
                <w:lang w:bidi="ar"/>
              </w:rPr>
            </w:pPr>
            <w:r>
              <w:rPr>
                <w:rFonts w:hint="eastAsia" w:ascii="仿宋_GB2312" w:hAnsi="仿宋_GB2312" w:eastAsia="仿宋_GB2312" w:cs="仿宋_GB2312"/>
                <w:kern w:val="0"/>
                <w:sz w:val="28"/>
                <w:szCs w:val="28"/>
                <w:lang w:bidi="ar"/>
              </w:rPr>
              <w:t>质量指标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Cs w:val="21"/>
              </w:rPr>
            </w:pPr>
            <w:r>
              <w:rPr>
                <w:rFonts w:hint="eastAsia" w:ascii="仿宋_GB2312" w:hAnsi="仿宋_GB2312" w:eastAsia="仿宋_GB2312" w:cs="仿宋_GB2312"/>
                <w:szCs w:val="21"/>
              </w:rPr>
              <w:t>图书质量</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Cs w:val="21"/>
              </w:rPr>
            </w:pPr>
            <w:r>
              <w:rPr>
                <w:rFonts w:hint="eastAsia" w:ascii="仿宋_GB2312" w:hAnsi="仿宋_GB2312" w:eastAsia="仿宋_GB2312" w:cs="仿宋_GB2312"/>
                <w:szCs w:val="21"/>
              </w:rPr>
              <w:t>图文结合，以图为主，具备艺术性、收藏性、纪念性和历史感。</w:t>
            </w:r>
          </w:p>
        </w:tc>
        <w:tc>
          <w:tcPr>
            <w:tcW w:w="241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Cs w:val="21"/>
              </w:rPr>
            </w:pPr>
            <w:r>
              <w:rPr>
                <w:rFonts w:hint="eastAsia" w:ascii="仿宋_GB2312" w:hAnsi="仿宋_GB2312" w:eastAsia="仿宋_GB2312" w:cs="仿宋_GB2312"/>
                <w:szCs w:val="21"/>
              </w:rPr>
              <w:t>已完成</w:t>
            </w:r>
          </w:p>
        </w:tc>
      </w:tr>
      <w:tr>
        <w:tblPrEx>
          <w:tblCellMar>
            <w:top w:w="0" w:type="dxa"/>
            <w:left w:w="108" w:type="dxa"/>
            <w:bottom w:w="0" w:type="dxa"/>
            <w:right w:w="108" w:type="dxa"/>
          </w:tblCellMar>
        </w:tblPrEx>
        <w:trPr>
          <w:gridAfter w:val="1"/>
          <w:wAfter w:w="234" w:type="dxa"/>
          <w:trHeight w:val="415" w:hRule="atLeast"/>
        </w:trPr>
        <w:tc>
          <w:tcPr>
            <w:tcW w:w="1977"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320" w:lineRule="exact"/>
              <w:jc w:val="center"/>
              <w:rPr>
                <w:rFonts w:ascii="仿宋_GB2312" w:hAnsi="仿宋_GB2312" w:eastAsia="仿宋_GB2312" w:cs="仿宋_GB2312"/>
                <w:sz w:val="28"/>
                <w:szCs w:val="28"/>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kern w:val="0"/>
                <w:sz w:val="28"/>
                <w:szCs w:val="28"/>
                <w:lang w:bidi="ar"/>
              </w:rPr>
            </w:pPr>
            <w:r>
              <w:rPr>
                <w:rFonts w:hint="eastAsia" w:ascii="仿宋_GB2312" w:hAnsi="仿宋_GB2312" w:eastAsia="仿宋_GB2312" w:cs="仿宋_GB2312"/>
                <w:kern w:val="0"/>
                <w:sz w:val="28"/>
                <w:szCs w:val="28"/>
                <w:lang w:bidi="ar"/>
              </w:rPr>
              <w:t>时效指标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Cs w:val="21"/>
              </w:rPr>
            </w:pPr>
            <w:r>
              <w:rPr>
                <w:rFonts w:hint="eastAsia" w:ascii="仿宋_GB2312" w:hAnsi="仿宋_GB2312" w:eastAsia="仿宋_GB2312" w:cs="仿宋_GB2312"/>
                <w:szCs w:val="21"/>
              </w:rPr>
              <w:t>项目完成时限</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Cs w:val="21"/>
              </w:rPr>
            </w:pPr>
            <w:r>
              <w:rPr>
                <w:rFonts w:hint="eastAsia" w:ascii="仿宋_GB2312" w:hAnsi="仿宋_GB2312" w:eastAsia="仿宋_GB2312" w:cs="仿宋_GB2312"/>
                <w:szCs w:val="21"/>
              </w:rPr>
              <w:t>2021年12月底前完成印刷及内部出版、成品验收。</w:t>
            </w:r>
          </w:p>
        </w:tc>
        <w:tc>
          <w:tcPr>
            <w:tcW w:w="241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Cs w:val="21"/>
              </w:rPr>
            </w:pPr>
            <w:r>
              <w:rPr>
                <w:rFonts w:hint="eastAsia" w:ascii="仿宋_GB2312" w:hAnsi="仿宋_GB2312" w:eastAsia="仿宋_GB2312" w:cs="仿宋_GB2312"/>
                <w:szCs w:val="21"/>
              </w:rPr>
              <w:t>已完成</w:t>
            </w:r>
          </w:p>
        </w:tc>
      </w:tr>
      <w:tr>
        <w:tblPrEx>
          <w:tblCellMar>
            <w:top w:w="0" w:type="dxa"/>
            <w:left w:w="108" w:type="dxa"/>
            <w:bottom w:w="0" w:type="dxa"/>
            <w:right w:w="108" w:type="dxa"/>
          </w:tblCellMar>
        </w:tblPrEx>
        <w:trPr>
          <w:gridAfter w:val="1"/>
          <w:wAfter w:w="234" w:type="dxa"/>
          <w:trHeight w:val="415" w:hRule="atLeast"/>
        </w:trPr>
        <w:tc>
          <w:tcPr>
            <w:tcW w:w="1977"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320" w:lineRule="exact"/>
              <w:jc w:val="center"/>
              <w:rPr>
                <w:rFonts w:ascii="仿宋_GB2312" w:hAnsi="仿宋_GB2312" w:eastAsia="仿宋_GB2312" w:cs="仿宋_GB2312"/>
                <w:sz w:val="28"/>
                <w:szCs w:val="28"/>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kern w:val="0"/>
                <w:sz w:val="28"/>
                <w:szCs w:val="28"/>
                <w:lang w:bidi="ar"/>
              </w:rPr>
            </w:pPr>
            <w:r>
              <w:rPr>
                <w:rFonts w:hint="eastAsia" w:ascii="仿宋_GB2312" w:hAnsi="仿宋_GB2312" w:eastAsia="仿宋_GB2312" w:cs="仿宋_GB2312"/>
                <w:kern w:val="0"/>
                <w:sz w:val="28"/>
                <w:szCs w:val="28"/>
                <w:lang w:bidi="ar"/>
              </w:rPr>
              <w:t>成本指标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Cs w:val="21"/>
              </w:rPr>
            </w:pPr>
            <w:r>
              <w:rPr>
                <w:rFonts w:hint="eastAsia" w:ascii="仿宋_GB2312" w:hAnsi="仿宋_GB2312" w:eastAsia="仿宋_GB2312" w:cs="仿宋_GB2312"/>
                <w:szCs w:val="21"/>
              </w:rPr>
              <w:t>《攀枝花开发建设大事记图册》印刷费</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Cs w:val="21"/>
              </w:rPr>
            </w:pPr>
            <w:r>
              <w:rPr>
                <w:rFonts w:hint="eastAsia" w:ascii="仿宋_GB2312" w:hAnsi="仿宋_GB2312" w:eastAsia="仿宋_GB2312" w:cs="仿宋_GB2312"/>
                <w:szCs w:val="21"/>
              </w:rPr>
              <w:t>14.26万</w:t>
            </w:r>
          </w:p>
        </w:tc>
        <w:tc>
          <w:tcPr>
            <w:tcW w:w="241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Cs w:val="21"/>
              </w:rPr>
            </w:pPr>
            <w:r>
              <w:rPr>
                <w:rFonts w:hint="eastAsia" w:ascii="仿宋_GB2312" w:hAnsi="仿宋_GB2312" w:eastAsia="仿宋_GB2312" w:cs="仿宋_GB2312"/>
                <w:szCs w:val="21"/>
              </w:rPr>
              <w:t>11.4万</w:t>
            </w:r>
          </w:p>
        </w:tc>
      </w:tr>
      <w:tr>
        <w:tblPrEx>
          <w:tblCellMar>
            <w:top w:w="0" w:type="dxa"/>
            <w:left w:w="108" w:type="dxa"/>
            <w:bottom w:w="0" w:type="dxa"/>
            <w:right w:w="108" w:type="dxa"/>
          </w:tblCellMar>
        </w:tblPrEx>
        <w:trPr>
          <w:gridAfter w:val="1"/>
          <w:wAfter w:w="234" w:type="dxa"/>
          <w:trHeight w:val="415" w:hRule="atLeast"/>
        </w:trPr>
        <w:tc>
          <w:tcPr>
            <w:tcW w:w="1977"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320" w:lineRule="exact"/>
              <w:jc w:val="center"/>
              <w:rPr>
                <w:rFonts w:ascii="仿宋_GB2312" w:hAnsi="仿宋_GB2312" w:eastAsia="仿宋_GB2312" w:cs="仿宋_GB2312"/>
                <w:sz w:val="28"/>
                <w:szCs w:val="28"/>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kern w:val="0"/>
                <w:sz w:val="28"/>
                <w:szCs w:val="28"/>
                <w:lang w:bidi="ar"/>
              </w:rPr>
            </w:pPr>
            <w:r>
              <w:rPr>
                <w:rFonts w:hint="eastAsia" w:ascii="仿宋_GB2312" w:hAnsi="仿宋_GB2312" w:eastAsia="仿宋_GB2312" w:cs="仿宋_GB2312"/>
                <w:kern w:val="0"/>
                <w:sz w:val="28"/>
                <w:szCs w:val="28"/>
                <w:lang w:bidi="ar"/>
              </w:rPr>
              <w:t>成本指标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Cs w:val="21"/>
              </w:rPr>
            </w:pPr>
            <w:r>
              <w:rPr>
                <w:rFonts w:hint="eastAsia" w:ascii="仿宋_GB2312" w:hAnsi="仿宋_GB2312" w:eastAsia="仿宋_GB2312" w:cs="仿宋_GB2312"/>
                <w:szCs w:val="21"/>
              </w:rPr>
              <w:t>支付聘用人员劳务费</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Cs w:val="21"/>
              </w:rPr>
            </w:pPr>
            <w:r>
              <w:rPr>
                <w:rFonts w:hint="eastAsia" w:ascii="仿宋_GB2312" w:hAnsi="仿宋_GB2312" w:eastAsia="仿宋_GB2312" w:cs="仿宋_GB2312"/>
                <w:szCs w:val="21"/>
              </w:rPr>
              <w:t>0</w:t>
            </w:r>
          </w:p>
        </w:tc>
        <w:tc>
          <w:tcPr>
            <w:tcW w:w="241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Cs w:val="21"/>
              </w:rPr>
            </w:pPr>
            <w:r>
              <w:rPr>
                <w:rFonts w:hint="eastAsia" w:ascii="仿宋_GB2312" w:hAnsi="仿宋_GB2312" w:eastAsia="仿宋_GB2312" w:cs="仿宋_GB2312"/>
                <w:szCs w:val="21"/>
              </w:rPr>
              <w:t>2.86万</w:t>
            </w:r>
          </w:p>
        </w:tc>
      </w:tr>
      <w:tr>
        <w:tblPrEx>
          <w:tblCellMar>
            <w:top w:w="0" w:type="dxa"/>
            <w:left w:w="108" w:type="dxa"/>
            <w:bottom w:w="0" w:type="dxa"/>
            <w:right w:w="108" w:type="dxa"/>
          </w:tblCellMar>
        </w:tblPrEx>
        <w:trPr>
          <w:gridAfter w:val="1"/>
          <w:wAfter w:w="234" w:type="dxa"/>
          <w:trHeight w:val="480" w:hRule="atLeast"/>
        </w:trPr>
        <w:tc>
          <w:tcPr>
            <w:tcW w:w="1977"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bottom"/>
              <w:rPr>
                <w:rFonts w:ascii="仿宋_GB2312" w:hAnsi="仿宋_GB2312" w:eastAsia="仿宋_GB2312" w:cs="仿宋_GB2312"/>
                <w:kern w:val="0"/>
                <w:sz w:val="28"/>
                <w:szCs w:val="28"/>
                <w:lang w:bidi="ar"/>
              </w:rPr>
            </w:pPr>
            <w:r>
              <w:rPr>
                <w:rFonts w:hint="eastAsia" w:ascii="仿宋_GB2312" w:hAnsi="仿宋_GB2312" w:eastAsia="仿宋_GB2312" w:cs="仿宋_GB2312"/>
                <w:kern w:val="0"/>
                <w:sz w:val="28"/>
                <w:szCs w:val="28"/>
                <w:lang w:bidi="ar"/>
              </w:rPr>
              <w:t>效益</w:t>
            </w:r>
          </w:p>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指标</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经济效益  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Cs w:val="21"/>
              </w:rPr>
            </w:pP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Cs w:val="21"/>
              </w:rPr>
            </w:pPr>
          </w:p>
        </w:tc>
        <w:tc>
          <w:tcPr>
            <w:tcW w:w="241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Cs w:val="21"/>
              </w:rPr>
            </w:pPr>
          </w:p>
        </w:tc>
      </w:tr>
      <w:tr>
        <w:tblPrEx>
          <w:tblCellMar>
            <w:top w:w="0" w:type="dxa"/>
            <w:left w:w="108" w:type="dxa"/>
            <w:bottom w:w="0" w:type="dxa"/>
            <w:right w:w="108" w:type="dxa"/>
          </w:tblCellMar>
        </w:tblPrEx>
        <w:trPr>
          <w:gridAfter w:val="1"/>
          <w:wAfter w:w="234" w:type="dxa"/>
          <w:trHeight w:val="480" w:hRule="atLeast"/>
        </w:trPr>
        <w:tc>
          <w:tcPr>
            <w:tcW w:w="1977"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320" w:lineRule="exact"/>
              <w:jc w:val="center"/>
              <w:rPr>
                <w:rFonts w:ascii="仿宋_GB2312" w:hAnsi="仿宋_GB2312" w:eastAsia="仿宋_GB2312" w:cs="仿宋_GB2312"/>
                <w:sz w:val="28"/>
                <w:szCs w:val="28"/>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社会效益  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tabs>
                <w:tab w:val="left" w:pos="422"/>
              </w:tabs>
              <w:spacing w:line="320" w:lineRule="exact"/>
              <w:textAlignment w:val="bottom"/>
              <w:rPr>
                <w:rFonts w:ascii="仿宋_GB2312" w:hAnsi="仿宋_GB2312" w:eastAsia="仿宋_GB2312" w:cs="仿宋_GB2312"/>
                <w:szCs w:val="21"/>
              </w:rPr>
            </w:pPr>
            <w:r>
              <w:rPr>
                <w:rFonts w:hint="eastAsia" w:ascii="仿宋_GB2312" w:hAnsi="仿宋_GB2312" w:eastAsia="仿宋_GB2312" w:cs="仿宋_GB2312"/>
                <w:szCs w:val="21"/>
              </w:rPr>
              <w:t>全面反映攀枝花开发建设55年来的发展历程</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textAlignment w:val="bottom"/>
              <w:rPr>
                <w:rFonts w:ascii="仿宋_GB2312" w:hAnsi="仿宋_GB2312" w:eastAsia="仿宋_GB2312" w:cs="仿宋_GB2312"/>
                <w:szCs w:val="21"/>
              </w:rPr>
            </w:pPr>
            <w:r>
              <w:rPr>
                <w:rFonts w:hint="eastAsia" w:ascii="仿宋_GB2312" w:hAnsi="仿宋_GB2312" w:eastAsia="仿宋_GB2312" w:cs="仿宋_GB2312"/>
                <w:szCs w:val="21"/>
              </w:rPr>
              <w:t>激励广大党员干部继承发扬攀枝花精神。</w:t>
            </w:r>
          </w:p>
        </w:tc>
        <w:tc>
          <w:tcPr>
            <w:tcW w:w="241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Cs w:val="21"/>
              </w:rPr>
            </w:pPr>
            <w:r>
              <w:rPr>
                <w:rFonts w:hint="eastAsia" w:ascii="仿宋_GB2312" w:hAnsi="仿宋_GB2312" w:eastAsia="仿宋_GB2312" w:cs="仿宋_GB2312"/>
                <w:szCs w:val="21"/>
              </w:rPr>
              <w:t>已完成</w:t>
            </w:r>
          </w:p>
        </w:tc>
      </w:tr>
      <w:tr>
        <w:tblPrEx>
          <w:tblCellMar>
            <w:top w:w="0" w:type="dxa"/>
            <w:left w:w="108" w:type="dxa"/>
            <w:bottom w:w="0" w:type="dxa"/>
            <w:right w:w="108" w:type="dxa"/>
          </w:tblCellMar>
        </w:tblPrEx>
        <w:trPr>
          <w:gridAfter w:val="1"/>
          <w:wAfter w:w="234" w:type="dxa"/>
          <w:trHeight w:val="577" w:hRule="atLeast"/>
        </w:trPr>
        <w:tc>
          <w:tcPr>
            <w:tcW w:w="1977"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320" w:lineRule="exact"/>
              <w:jc w:val="center"/>
              <w:rPr>
                <w:rFonts w:ascii="仿宋_GB2312" w:hAnsi="仿宋_GB2312" w:eastAsia="仿宋_GB2312" w:cs="仿宋_GB2312"/>
                <w:sz w:val="28"/>
                <w:szCs w:val="28"/>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ind w:left="463" w:leftChars="87" w:hanging="280" w:hangingChars="100"/>
              <w:jc w:val="left"/>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生态效益  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Cs w:val="21"/>
              </w:rPr>
            </w:pP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Cs w:val="21"/>
              </w:rPr>
            </w:pPr>
          </w:p>
        </w:tc>
        <w:tc>
          <w:tcPr>
            <w:tcW w:w="241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Cs w:val="21"/>
              </w:rPr>
            </w:pPr>
          </w:p>
        </w:tc>
      </w:tr>
      <w:tr>
        <w:tblPrEx>
          <w:tblCellMar>
            <w:top w:w="0" w:type="dxa"/>
            <w:left w:w="108" w:type="dxa"/>
            <w:bottom w:w="0" w:type="dxa"/>
            <w:right w:w="108" w:type="dxa"/>
          </w:tblCellMar>
        </w:tblPrEx>
        <w:trPr>
          <w:gridAfter w:val="1"/>
          <w:wAfter w:w="234" w:type="dxa"/>
          <w:trHeight w:val="480" w:hRule="atLeast"/>
        </w:trPr>
        <w:tc>
          <w:tcPr>
            <w:tcW w:w="1977"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320" w:lineRule="exact"/>
              <w:jc w:val="center"/>
              <w:rPr>
                <w:rFonts w:ascii="仿宋_GB2312" w:hAnsi="仿宋_GB2312" w:eastAsia="仿宋_GB2312" w:cs="仿宋_GB2312"/>
                <w:sz w:val="28"/>
                <w:szCs w:val="28"/>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可持续影响 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Cs w:val="21"/>
              </w:rPr>
            </w:pP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Cs w:val="21"/>
              </w:rPr>
            </w:pPr>
          </w:p>
        </w:tc>
        <w:tc>
          <w:tcPr>
            <w:tcW w:w="241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Cs w:val="21"/>
              </w:rPr>
            </w:pPr>
          </w:p>
        </w:tc>
      </w:tr>
      <w:tr>
        <w:tblPrEx>
          <w:tblCellMar>
            <w:top w:w="0" w:type="dxa"/>
            <w:left w:w="108" w:type="dxa"/>
            <w:bottom w:w="0" w:type="dxa"/>
            <w:right w:w="108" w:type="dxa"/>
          </w:tblCellMar>
        </w:tblPrEx>
        <w:trPr>
          <w:gridAfter w:val="1"/>
          <w:wAfter w:w="234" w:type="dxa"/>
          <w:trHeight w:val="530" w:hRule="atLeast"/>
        </w:trPr>
        <w:tc>
          <w:tcPr>
            <w:tcW w:w="1977" w:type="dxa"/>
            <w:vMerge w:val="continue"/>
            <w:tcBorders>
              <w:left w:val="single" w:color="000000" w:sz="4" w:space="0"/>
              <w:bottom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kern w:val="0"/>
                <w:sz w:val="28"/>
                <w:szCs w:val="28"/>
                <w:lang w:bidi="ar"/>
              </w:rPr>
            </w:pPr>
            <w:r>
              <w:rPr>
                <w:rFonts w:hint="eastAsia" w:ascii="仿宋_GB2312" w:hAnsi="仿宋_GB2312" w:eastAsia="仿宋_GB2312" w:cs="仿宋_GB2312"/>
                <w:kern w:val="0"/>
                <w:sz w:val="28"/>
                <w:szCs w:val="28"/>
                <w:lang w:bidi="ar"/>
              </w:rPr>
              <w:t>满意</w:t>
            </w:r>
          </w:p>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度指标</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kern w:val="0"/>
                <w:sz w:val="28"/>
                <w:szCs w:val="28"/>
                <w:lang w:bidi="ar"/>
              </w:rPr>
            </w:pPr>
            <w:r>
              <w:rPr>
                <w:rFonts w:hint="eastAsia" w:ascii="仿宋_GB2312" w:hAnsi="仿宋_GB2312" w:eastAsia="仿宋_GB2312" w:cs="仿宋_GB2312"/>
                <w:kern w:val="0"/>
                <w:sz w:val="28"/>
                <w:szCs w:val="28"/>
                <w:lang w:bidi="ar"/>
              </w:rPr>
              <w:t>满意度</w:t>
            </w:r>
          </w:p>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Cs w:val="21"/>
              </w:rPr>
            </w:pPr>
            <w:r>
              <w:rPr>
                <w:rFonts w:hint="eastAsia" w:ascii="仿宋_GB2312" w:hAnsi="仿宋_GB2312" w:eastAsia="仿宋_GB2312" w:cs="仿宋_GB2312"/>
                <w:szCs w:val="21"/>
              </w:rPr>
              <w:t>完成市重点工作考核</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Cs w:val="21"/>
              </w:rPr>
            </w:pPr>
            <w:r>
              <w:rPr>
                <w:rFonts w:hint="eastAsia" w:ascii="仿宋_GB2312" w:hAnsi="仿宋_GB2312" w:eastAsia="仿宋_GB2312" w:cs="仿宋_GB2312"/>
                <w:szCs w:val="21"/>
              </w:rPr>
              <w:t>考核达标</w:t>
            </w:r>
          </w:p>
        </w:tc>
        <w:tc>
          <w:tcPr>
            <w:tcW w:w="241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Cs w:val="21"/>
              </w:rPr>
            </w:pPr>
            <w:r>
              <w:rPr>
                <w:rFonts w:hint="eastAsia" w:ascii="仿宋_GB2312" w:hAnsi="仿宋_GB2312" w:eastAsia="仿宋_GB2312" w:cs="仿宋_GB2312"/>
                <w:szCs w:val="21"/>
              </w:rPr>
              <w:t>已完成</w:t>
            </w:r>
          </w:p>
        </w:tc>
      </w:tr>
    </w:tbl>
    <w:p>
      <w:pPr>
        <w:widowControl/>
        <w:adjustRightInd w:val="0"/>
        <w:snapToGrid w:val="0"/>
        <w:spacing w:line="580" w:lineRule="exact"/>
        <w:contextualSpacing/>
        <w:jc w:val="left"/>
        <w:rPr>
          <w:rFonts w:ascii="仿宋_GB2312" w:hAnsi="宋体" w:eastAsia="仿宋_GB2312" w:cs="宋体"/>
          <w:color w:val="000000"/>
          <w:kern w:val="0"/>
          <w:sz w:val="32"/>
          <w:szCs w:val="32"/>
          <w:shd w:val="clear" w:color="auto" w:fill="FFFFFF"/>
        </w:rPr>
      </w:pPr>
    </w:p>
    <w:p>
      <w:pPr>
        <w:pStyle w:val="2"/>
        <w:spacing w:before="93"/>
        <w:rPr>
          <w:rFonts w:hAnsi="宋体" w:cs="宋体"/>
          <w:color w:val="000000"/>
          <w:sz w:val="32"/>
          <w:szCs w:val="32"/>
          <w:shd w:val="clear" w:color="auto" w:fill="FFFFFF"/>
        </w:rPr>
      </w:pPr>
    </w:p>
    <w:p>
      <w:pPr>
        <w:pStyle w:val="2"/>
        <w:spacing w:before="93"/>
        <w:rPr>
          <w:rFonts w:hAnsi="宋体" w:cs="宋体"/>
          <w:color w:val="000000"/>
          <w:sz w:val="32"/>
          <w:szCs w:val="32"/>
          <w:shd w:val="clear" w:color="auto" w:fill="FFFFFF"/>
        </w:rPr>
      </w:pPr>
    </w:p>
    <w:p>
      <w:pPr>
        <w:pStyle w:val="2"/>
        <w:spacing w:before="93"/>
        <w:rPr>
          <w:rFonts w:hAnsi="宋体" w:cs="宋体"/>
          <w:color w:val="000000"/>
          <w:sz w:val="32"/>
          <w:szCs w:val="32"/>
          <w:shd w:val="clear" w:color="auto" w:fill="FFFFFF"/>
        </w:rPr>
      </w:pPr>
    </w:p>
    <w:p>
      <w:pPr>
        <w:pStyle w:val="2"/>
        <w:spacing w:before="93"/>
        <w:rPr>
          <w:rFonts w:hAnsi="宋体" w:cs="宋体"/>
          <w:color w:val="000000"/>
          <w:sz w:val="32"/>
          <w:szCs w:val="32"/>
          <w:shd w:val="clear" w:color="auto" w:fill="FFFFFF"/>
        </w:rPr>
      </w:pPr>
    </w:p>
    <w:p>
      <w:pPr>
        <w:pStyle w:val="2"/>
        <w:spacing w:before="93"/>
        <w:rPr>
          <w:rFonts w:hAnsi="宋体" w:cs="宋体"/>
          <w:color w:val="000000"/>
          <w:sz w:val="32"/>
          <w:szCs w:val="32"/>
          <w:shd w:val="clear" w:color="auto" w:fill="FFFFFF"/>
        </w:rPr>
      </w:pPr>
    </w:p>
    <w:p>
      <w:pPr>
        <w:pStyle w:val="2"/>
        <w:spacing w:before="93"/>
        <w:rPr>
          <w:rFonts w:hAnsi="宋体" w:cs="宋体"/>
          <w:color w:val="000000"/>
          <w:sz w:val="32"/>
          <w:szCs w:val="32"/>
          <w:shd w:val="clear" w:color="auto" w:fill="FFFFFF"/>
        </w:rPr>
      </w:pPr>
    </w:p>
    <w:p>
      <w:pPr>
        <w:pStyle w:val="2"/>
        <w:spacing w:before="93"/>
        <w:rPr>
          <w:rFonts w:hAnsi="宋体" w:cs="宋体"/>
          <w:color w:val="000000"/>
          <w:sz w:val="32"/>
          <w:szCs w:val="32"/>
          <w:shd w:val="clear" w:color="auto" w:fill="FFFFFF"/>
        </w:rPr>
      </w:pPr>
    </w:p>
    <w:p>
      <w:pPr>
        <w:pStyle w:val="2"/>
        <w:spacing w:before="93"/>
        <w:rPr>
          <w:rFonts w:hAnsi="宋体" w:cs="宋体"/>
          <w:color w:val="000000"/>
          <w:sz w:val="32"/>
          <w:szCs w:val="32"/>
          <w:shd w:val="clear" w:color="auto" w:fill="FFFFFF"/>
        </w:rPr>
      </w:pPr>
    </w:p>
    <w:p>
      <w:pPr>
        <w:pStyle w:val="2"/>
        <w:spacing w:before="93"/>
        <w:rPr>
          <w:rFonts w:hAnsi="宋体" w:cs="宋体"/>
          <w:color w:val="000000"/>
          <w:sz w:val="32"/>
          <w:szCs w:val="32"/>
          <w:shd w:val="clear" w:color="auto" w:fill="FFFFFF"/>
        </w:rPr>
      </w:pPr>
    </w:p>
    <w:p>
      <w:pPr>
        <w:pStyle w:val="2"/>
        <w:spacing w:before="93"/>
        <w:rPr>
          <w:rFonts w:hAnsi="宋体" w:cs="宋体"/>
          <w:color w:val="000000"/>
          <w:sz w:val="32"/>
          <w:szCs w:val="32"/>
          <w:shd w:val="clear" w:color="auto" w:fill="FFFFFF"/>
        </w:rPr>
      </w:pPr>
    </w:p>
    <w:p>
      <w:pPr>
        <w:pStyle w:val="2"/>
        <w:spacing w:before="93"/>
        <w:rPr>
          <w:rFonts w:hAnsi="宋体" w:cs="宋体"/>
          <w:color w:val="000000"/>
          <w:sz w:val="32"/>
          <w:szCs w:val="32"/>
          <w:shd w:val="clear" w:color="auto" w:fill="FFFFFF"/>
        </w:rPr>
      </w:pPr>
    </w:p>
    <w:tbl>
      <w:tblPr>
        <w:tblStyle w:val="12"/>
        <w:tblpPr w:leftFromText="180" w:rightFromText="180" w:vertAnchor="text" w:horzAnchor="page" w:tblpX="1281" w:tblpY="660"/>
        <w:tblOverlap w:val="never"/>
        <w:tblW w:w="9811" w:type="dxa"/>
        <w:tblInd w:w="0" w:type="dxa"/>
        <w:tblLayout w:type="fixed"/>
        <w:tblCellMar>
          <w:top w:w="0" w:type="dxa"/>
          <w:left w:w="108" w:type="dxa"/>
          <w:bottom w:w="0" w:type="dxa"/>
          <w:right w:w="108" w:type="dxa"/>
        </w:tblCellMar>
      </w:tblPr>
      <w:tblGrid>
        <w:gridCol w:w="1976"/>
        <w:gridCol w:w="1142"/>
        <w:gridCol w:w="1635"/>
        <w:gridCol w:w="1189"/>
        <w:gridCol w:w="1224"/>
        <w:gridCol w:w="2409"/>
        <w:gridCol w:w="236"/>
      </w:tblGrid>
      <w:tr>
        <w:tblPrEx>
          <w:tblCellMar>
            <w:top w:w="0" w:type="dxa"/>
            <w:left w:w="108" w:type="dxa"/>
            <w:bottom w:w="0" w:type="dxa"/>
            <w:right w:w="108" w:type="dxa"/>
          </w:tblCellMar>
        </w:tblPrEx>
        <w:trPr>
          <w:trHeight w:val="675" w:hRule="atLeast"/>
        </w:trPr>
        <w:tc>
          <w:tcPr>
            <w:tcW w:w="9577" w:type="dxa"/>
            <w:gridSpan w:val="6"/>
            <w:tcBorders>
              <w:top w:val="nil"/>
              <w:left w:val="nil"/>
              <w:bottom w:val="nil"/>
              <w:right w:val="nil"/>
            </w:tcBorders>
            <w:shd w:val="clear" w:color="auto" w:fill="auto"/>
            <w:vAlign w:val="center"/>
          </w:tcPr>
          <w:p>
            <w:pPr>
              <w:widowControl/>
              <w:jc w:val="center"/>
              <w:textAlignment w:val="center"/>
              <w:rPr>
                <w:rFonts w:hint="eastAsia" w:ascii="宋体" w:hAnsi="宋体" w:cs="宋体"/>
                <w:b/>
                <w:sz w:val="32"/>
                <w:szCs w:val="32"/>
              </w:rPr>
            </w:pPr>
          </w:p>
          <w:p>
            <w:pPr>
              <w:widowControl/>
              <w:jc w:val="center"/>
              <w:textAlignment w:val="center"/>
              <w:rPr>
                <w:rFonts w:ascii="宋体" w:hAnsi="宋体" w:cs="宋体"/>
                <w:b/>
                <w:sz w:val="32"/>
                <w:szCs w:val="32"/>
              </w:rPr>
            </w:pPr>
            <w:r>
              <w:rPr>
                <w:rFonts w:hint="eastAsia" w:ascii="宋体" w:hAnsi="宋体" w:cs="宋体"/>
                <w:b/>
                <w:sz w:val="32"/>
                <w:szCs w:val="32"/>
              </w:rPr>
              <w:t>2021年不限金额特定目标类部门预算项目绩效目标自评（办公室隔断改造和办公家具、设备的更新补充经费）</w:t>
            </w:r>
          </w:p>
        </w:tc>
        <w:tc>
          <w:tcPr>
            <w:tcW w:w="234" w:type="dxa"/>
            <w:tcBorders>
              <w:top w:val="nil"/>
              <w:left w:val="nil"/>
              <w:bottom w:val="nil"/>
              <w:right w:val="nil"/>
            </w:tcBorders>
            <w:shd w:val="clear" w:color="auto" w:fill="auto"/>
            <w:vAlign w:val="center"/>
          </w:tcPr>
          <w:p>
            <w:pPr>
              <w:widowControl/>
              <w:jc w:val="center"/>
              <w:textAlignment w:val="center"/>
              <w:rPr>
                <w:rFonts w:ascii="宋体" w:hAnsi="宋体" w:cs="宋体"/>
                <w:b/>
                <w:kern w:val="0"/>
                <w:sz w:val="32"/>
                <w:szCs w:val="32"/>
                <w:lang w:bidi="ar"/>
              </w:rPr>
            </w:pPr>
          </w:p>
        </w:tc>
      </w:tr>
      <w:tr>
        <w:tblPrEx>
          <w:tblCellMar>
            <w:top w:w="0" w:type="dxa"/>
            <w:left w:w="108" w:type="dxa"/>
            <w:bottom w:w="0" w:type="dxa"/>
            <w:right w:w="108" w:type="dxa"/>
          </w:tblCellMar>
        </w:tblPrEx>
        <w:trPr>
          <w:gridAfter w:val="1"/>
          <w:wAfter w:w="234" w:type="dxa"/>
          <w:trHeight w:val="254" w:hRule="atLeast"/>
        </w:trPr>
        <w:tc>
          <w:tcPr>
            <w:tcW w:w="31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24"/>
              </w:rPr>
            </w:pPr>
            <w:r>
              <w:rPr>
                <w:rFonts w:hint="eastAsia" w:ascii="宋体" w:hAnsi="宋体" w:cs="宋体"/>
                <w:kern w:val="0"/>
                <w:sz w:val="24"/>
                <w:lang w:bidi="ar"/>
              </w:rPr>
              <w:t>主管部门及代码</w:t>
            </w:r>
          </w:p>
        </w:tc>
        <w:tc>
          <w:tcPr>
            <w:tcW w:w="282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textAlignment w:val="center"/>
              <w:rPr>
                <w:rFonts w:ascii="宋体" w:hAnsi="宋体" w:cs="宋体"/>
                <w:sz w:val="24"/>
              </w:rPr>
            </w:pP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24"/>
              </w:rPr>
            </w:pPr>
            <w:r>
              <w:rPr>
                <w:rFonts w:hint="eastAsia" w:ascii="宋体" w:hAnsi="宋体" w:cs="宋体"/>
                <w:kern w:val="0"/>
                <w:sz w:val="24"/>
                <w:lang w:bidi="ar"/>
              </w:rPr>
              <w:t>实施单位</w:t>
            </w:r>
          </w:p>
        </w:tc>
        <w:tc>
          <w:tcPr>
            <w:tcW w:w="24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24"/>
              </w:rPr>
            </w:pPr>
            <w:r>
              <w:rPr>
                <w:rFonts w:hint="eastAsia" w:ascii="宋体" w:hAnsi="宋体" w:cs="宋体"/>
                <w:sz w:val="24"/>
              </w:rPr>
              <w:t>攀枝花市地方志编纂中心</w:t>
            </w:r>
          </w:p>
        </w:tc>
      </w:tr>
      <w:tr>
        <w:tblPrEx>
          <w:tblCellMar>
            <w:top w:w="0" w:type="dxa"/>
            <w:left w:w="108" w:type="dxa"/>
            <w:bottom w:w="0" w:type="dxa"/>
            <w:right w:w="108" w:type="dxa"/>
          </w:tblCellMar>
        </w:tblPrEx>
        <w:trPr>
          <w:gridAfter w:val="1"/>
          <w:wAfter w:w="234" w:type="dxa"/>
          <w:trHeight w:val="341" w:hRule="atLeast"/>
        </w:trPr>
        <w:tc>
          <w:tcPr>
            <w:tcW w:w="3119"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kern w:val="0"/>
                <w:sz w:val="24"/>
                <w:lang w:bidi="ar"/>
              </w:rPr>
            </w:pPr>
            <w:r>
              <w:rPr>
                <w:rFonts w:hint="eastAsia" w:ascii="宋体" w:hAnsi="宋体" w:cs="宋体"/>
                <w:kern w:val="0"/>
                <w:sz w:val="24"/>
                <w:lang w:bidi="ar"/>
              </w:rPr>
              <w:t>项目预算</w:t>
            </w:r>
          </w:p>
          <w:p>
            <w:pPr>
              <w:widowControl/>
              <w:spacing w:line="320" w:lineRule="exact"/>
              <w:jc w:val="center"/>
              <w:textAlignment w:val="center"/>
              <w:rPr>
                <w:rFonts w:ascii="宋体" w:hAnsi="宋体" w:cs="宋体"/>
                <w:kern w:val="0"/>
                <w:sz w:val="24"/>
                <w:lang w:bidi="ar"/>
              </w:rPr>
            </w:pPr>
            <w:r>
              <w:rPr>
                <w:rFonts w:hint="eastAsia" w:ascii="宋体" w:hAnsi="宋体" w:cs="宋体"/>
                <w:kern w:val="0"/>
                <w:sz w:val="24"/>
                <w:lang w:bidi="ar"/>
              </w:rPr>
              <w:t>执行情况</w:t>
            </w:r>
          </w:p>
          <w:p>
            <w:pPr>
              <w:widowControl/>
              <w:spacing w:line="320" w:lineRule="exact"/>
              <w:jc w:val="center"/>
              <w:textAlignment w:val="center"/>
              <w:rPr>
                <w:rFonts w:ascii="宋体" w:hAnsi="宋体" w:cs="宋体"/>
                <w:sz w:val="24"/>
              </w:rPr>
            </w:pPr>
            <w:r>
              <w:rPr>
                <w:rFonts w:hint="eastAsia" w:ascii="宋体" w:hAnsi="宋体" w:cs="宋体"/>
                <w:kern w:val="0"/>
                <w:sz w:val="24"/>
                <w:lang w:bidi="ar"/>
              </w:rPr>
              <w:t>（万元）</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sz w:val="24"/>
              </w:rPr>
            </w:pPr>
            <w:r>
              <w:rPr>
                <w:rFonts w:hint="eastAsia" w:ascii="宋体" w:hAnsi="宋体" w:cs="宋体"/>
                <w:kern w:val="0"/>
                <w:sz w:val="24"/>
                <w:lang w:bidi="ar"/>
              </w:rPr>
              <w:t xml:space="preserve"> 预算数：</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right"/>
              <w:textAlignment w:val="center"/>
              <w:rPr>
                <w:rFonts w:ascii="宋体" w:hAnsi="宋体" w:cs="宋体"/>
                <w:sz w:val="24"/>
              </w:rPr>
            </w:pPr>
            <w:r>
              <w:rPr>
                <w:rFonts w:hint="eastAsia" w:ascii="宋体" w:hAnsi="宋体" w:cs="宋体"/>
                <w:sz w:val="24"/>
              </w:rPr>
              <w:t>12</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sz w:val="24"/>
              </w:rPr>
            </w:pPr>
            <w:r>
              <w:rPr>
                <w:rFonts w:hint="eastAsia" w:ascii="宋体" w:hAnsi="宋体" w:cs="宋体"/>
                <w:kern w:val="0"/>
                <w:sz w:val="24"/>
                <w:lang w:bidi="ar"/>
              </w:rPr>
              <w:t xml:space="preserve"> 执行数：</w:t>
            </w:r>
          </w:p>
        </w:tc>
        <w:tc>
          <w:tcPr>
            <w:tcW w:w="24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right"/>
              <w:textAlignment w:val="center"/>
              <w:rPr>
                <w:rFonts w:ascii="宋体" w:hAnsi="宋体" w:cs="宋体"/>
                <w:sz w:val="24"/>
              </w:rPr>
            </w:pPr>
            <w:r>
              <w:rPr>
                <w:rFonts w:hint="eastAsia" w:ascii="宋体" w:hAnsi="宋体" w:cs="宋体"/>
                <w:sz w:val="24"/>
              </w:rPr>
              <w:t>12</w:t>
            </w:r>
          </w:p>
        </w:tc>
      </w:tr>
      <w:tr>
        <w:tblPrEx>
          <w:tblCellMar>
            <w:top w:w="0" w:type="dxa"/>
            <w:left w:w="108" w:type="dxa"/>
            <w:bottom w:w="0" w:type="dxa"/>
            <w:right w:w="108" w:type="dxa"/>
          </w:tblCellMar>
        </w:tblPrEx>
        <w:trPr>
          <w:gridAfter w:val="1"/>
          <w:wAfter w:w="234" w:type="dxa"/>
          <w:trHeight w:val="555" w:hRule="atLeast"/>
        </w:trPr>
        <w:tc>
          <w:tcPr>
            <w:tcW w:w="311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20" w:lineRule="exact"/>
              <w:jc w:val="center"/>
              <w:rPr>
                <w:rFonts w:ascii="宋体" w:hAnsi="宋体" w:cs="宋体"/>
                <w:sz w:val="24"/>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kern w:val="0"/>
                <w:sz w:val="24"/>
                <w:lang w:bidi="ar"/>
              </w:rPr>
            </w:pPr>
            <w:r>
              <w:rPr>
                <w:rFonts w:hint="eastAsia" w:ascii="宋体" w:hAnsi="宋体" w:cs="宋体"/>
                <w:kern w:val="0"/>
                <w:sz w:val="24"/>
                <w:lang w:bidi="ar"/>
              </w:rPr>
              <w:t>其中：</w:t>
            </w:r>
          </w:p>
          <w:p>
            <w:pPr>
              <w:widowControl/>
              <w:spacing w:line="320" w:lineRule="exact"/>
              <w:jc w:val="left"/>
              <w:textAlignment w:val="center"/>
              <w:rPr>
                <w:rFonts w:ascii="宋体" w:hAnsi="宋体" w:cs="宋体"/>
                <w:sz w:val="24"/>
              </w:rPr>
            </w:pPr>
            <w:r>
              <w:rPr>
                <w:rFonts w:hint="eastAsia" w:ascii="宋体" w:hAnsi="宋体" w:cs="宋体"/>
                <w:kern w:val="0"/>
                <w:sz w:val="24"/>
                <w:lang w:bidi="ar"/>
              </w:rPr>
              <w:t>财政拨款</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right"/>
              <w:textAlignment w:val="center"/>
              <w:rPr>
                <w:rFonts w:ascii="宋体" w:hAnsi="宋体" w:cs="宋体"/>
                <w:sz w:val="24"/>
              </w:rPr>
            </w:pPr>
            <w:r>
              <w:rPr>
                <w:rFonts w:hint="eastAsia" w:ascii="宋体" w:hAnsi="宋体" w:cs="宋体"/>
                <w:sz w:val="24"/>
              </w:rPr>
              <w:t>12</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kern w:val="0"/>
                <w:sz w:val="24"/>
                <w:lang w:bidi="ar"/>
              </w:rPr>
            </w:pPr>
            <w:r>
              <w:rPr>
                <w:rFonts w:hint="eastAsia" w:ascii="宋体" w:hAnsi="宋体" w:cs="宋体"/>
                <w:kern w:val="0"/>
                <w:sz w:val="24"/>
                <w:lang w:bidi="ar"/>
              </w:rPr>
              <w:t>其中：</w:t>
            </w:r>
          </w:p>
          <w:p>
            <w:pPr>
              <w:widowControl/>
              <w:spacing w:line="320" w:lineRule="exact"/>
              <w:jc w:val="left"/>
              <w:textAlignment w:val="center"/>
              <w:rPr>
                <w:rFonts w:ascii="宋体" w:hAnsi="宋体" w:cs="宋体"/>
                <w:sz w:val="24"/>
              </w:rPr>
            </w:pPr>
            <w:r>
              <w:rPr>
                <w:rFonts w:hint="eastAsia" w:ascii="宋体" w:hAnsi="宋体" w:cs="宋体"/>
                <w:kern w:val="0"/>
                <w:sz w:val="24"/>
                <w:lang w:bidi="ar"/>
              </w:rPr>
              <w:t>财政拨款</w:t>
            </w:r>
          </w:p>
        </w:tc>
        <w:tc>
          <w:tcPr>
            <w:tcW w:w="24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right"/>
              <w:textAlignment w:val="center"/>
              <w:rPr>
                <w:rFonts w:ascii="宋体" w:hAnsi="宋体" w:cs="宋体"/>
                <w:sz w:val="24"/>
              </w:rPr>
            </w:pPr>
            <w:r>
              <w:rPr>
                <w:rFonts w:hint="eastAsia" w:ascii="宋体" w:hAnsi="宋体" w:cs="宋体"/>
                <w:sz w:val="24"/>
              </w:rPr>
              <w:t>12</w:t>
            </w:r>
          </w:p>
        </w:tc>
      </w:tr>
      <w:tr>
        <w:tblPrEx>
          <w:tblCellMar>
            <w:top w:w="0" w:type="dxa"/>
            <w:left w:w="108" w:type="dxa"/>
            <w:bottom w:w="0" w:type="dxa"/>
            <w:right w:w="108" w:type="dxa"/>
          </w:tblCellMar>
        </w:tblPrEx>
        <w:trPr>
          <w:gridAfter w:val="1"/>
          <w:wAfter w:w="234" w:type="dxa"/>
          <w:trHeight w:val="341" w:hRule="atLeast"/>
        </w:trPr>
        <w:tc>
          <w:tcPr>
            <w:tcW w:w="311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20" w:lineRule="exact"/>
              <w:jc w:val="center"/>
              <w:rPr>
                <w:rFonts w:ascii="宋体" w:hAnsi="宋体" w:cs="宋体"/>
                <w:sz w:val="24"/>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sz w:val="24"/>
              </w:rPr>
            </w:pPr>
            <w:r>
              <w:rPr>
                <w:rFonts w:hint="eastAsia" w:ascii="宋体" w:hAnsi="宋体" w:cs="宋体"/>
                <w:kern w:val="0"/>
                <w:sz w:val="24"/>
                <w:lang w:bidi="ar"/>
              </w:rPr>
              <w:t>其他资金</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sz w:val="24"/>
              </w:rPr>
            </w:pP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sz w:val="24"/>
              </w:rPr>
            </w:pPr>
            <w:r>
              <w:rPr>
                <w:rFonts w:hint="eastAsia" w:ascii="宋体" w:hAnsi="宋体" w:cs="宋体"/>
                <w:kern w:val="0"/>
                <w:sz w:val="24"/>
                <w:lang w:bidi="ar"/>
              </w:rPr>
              <w:t>其他资金</w:t>
            </w:r>
          </w:p>
        </w:tc>
        <w:tc>
          <w:tcPr>
            <w:tcW w:w="24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right"/>
              <w:textAlignment w:val="center"/>
              <w:rPr>
                <w:rFonts w:ascii="宋体" w:hAnsi="宋体" w:cs="宋体"/>
                <w:sz w:val="24"/>
              </w:rPr>
            </w:pPr>
          </w:p>
        </w:tc>
      </w:tr>
      <w:tr>
        <w:tblPrEx>
          <w:tblCellMar>
            <w:top w:w="0" w:type="dxa"/>
            <w:left w:w="108" w:type="dxa"/>
            <w:bottom w:w="0" w:type="dxa"/>
            <w:right w:w="108" w:type="dxa"/>
          </w:tblCellMar>
        </w:tblPrEx>
        <w:trPr>
          <w:gridAfter w:val="1"/>
          <w:wAfter w:w="234" w:type="dxa"/>
          <w:trHeight w:val="217" w:hRule="atLeast"/>
        </w:trPr>
        <w:tc>
          <w:tcPr>
            <w:tcW w:w="197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kern w:val="0"/>
                <w:sz w:val="24"/>
                <w:lang w:bidi="ar"/>
              </w:rPr>
            </w:pPr>
            <w:r>
              <w:rPr>
                <w:rFonts w:hint="eastAsia" w:ascii="宋体" w:hAnsi="宋体" w:cs="宋体"/>
                <w:kern w:val="0"/>
                <w:sz w:val="24"/>
                <w:lang w:bidi="ar"/>
              </w:rPr>
              <w:t>年度总体目标</w:t>
            </w:r>
          </w:p>
          <w:p>
            <w:pPr>
              <w:widowControl/>
              <w:spacing w:line="320" w:lineRule="exact"/>
              <w:jc w:val="center"/>
              <w:textAlignment w:val="center"/>
              <w:rPr>
                <w:rFonts w:ascii="宋体" w:hAnsi="宋体" w:cs="宋体"/>
                <w:sz w:val="24"/>
              </w:rPr>
            </w:pPr>
            <w:r>
              <w:rPr>
                <w:rFonts w:hint="eastAsia" w:ascii="宋体" w:hAnsi="宋体" w:cs="宋体"/>
                <w:kern w:val="0"/>
                <w:sz w:val="24"/>
                <w:lang w:bidi="ar"/>
              </w:rPr>
              <w:t>完成情况</w:t>
            </w:r>
          </w:p>
        </w:tc>
        <w:tc>
          <w:tcPr>
            <w:tcW w:w="396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24"/>
              </w:rPr>
            </w:pPr>
            <w:r>
              <w:rPr>
                <w:rFonts w:hint="eastAsia" w:ascii="宋体" w:hAnsi="宋体" w:cs="宋体"/>
                <w:kern w:val="0"/>
                <w:sz w:val="24"/>
                <w:lang w:bidi="ar"/>
              </w:rPr>
              <w:t>预期目标</w:t>
            </w:r>
          </w:p>
        </w:tc>
        <w:tc>
          <w:tcPr>
            <w:tcW w:w="363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24"/>
              </w:rPr>
            </w:pPr>
            <w:r>
              <w:rPr>
                <w:rFonts w:hint="eastAsia" w:ascii="宋体" w:hAnsi="宋体" w:cs="宋体"/>
                <w:kern w:val="0"/>
                <w:sz w:val="24"/>
                <w:lang w:bidi="ar"/>
              </w:rPr>
              <w:t>目标实际完成情况</w:t>
            </w:r>
          </w:p>
        </w:tc>
      </w:tr>
      <w:tr>
        <w:tblPrEx>
          <w:tblCellMar>
            <w:top w:w="0" w:type="dxa"/>
            <w:left w:w="108" w:type="dxa"/>
            <w:bottom w:w="0" w:type="dxa"/>
            <w:right w:w="108" w:type="dxa"/>
          </w:tblCellMar>
        </w:tblPrEx>
        <w:trPr>
          <w:gridAfter w:val="1"/>
          <w:wAfter w:w="234" w:type="dxa"/>
          <w:trHeight w:val="797" w:hRule="atLeast"/>
        </w:trPr>
        <w:tc>
          <w:tcPr>
            <w:tcW w:w="19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20" w:lineRule="exact"/>
              <w:jc w:val="center"/>
              <w:rPr>
                <w:rFonts w:ascii="宋体" w:hAnsi="宋体" w:cs="宋体"/>
                <w:sz w:val="24"/>
              </w:rPr>
            </w:pPr>
          </w:p>
        </w:tc>
        <w:tc>
          <w:tcPr>
            <w:tcW w:w="3966" w:type="dxa"/>
            <w:gridSpan w:val="3"/>
            <w:tcBorders>
              <w:top w:val="single" w:color="000000" w:sz="4" w:space="0"/>
              <w:left w:val="single" w:color="000000" w:sz="4" w:space="0"/>
              <w:bottom w:val="single" w:color="000000" w:sz="4" w:space="0"/>
              <w:right w:val="single" w:color="000000" w:sz="4" w:space="0"/>
            </w:tcBorders>
            <w:shd w:val="clear" w:color="auto" w:fill="auto"/>
          </w:tcPr>
          <w:p>
            <w:pPr>
              <w:widowControl/>
              <w:spacing w:line="320" w:lineRule="exact"/>
              <w:jc w:val="left"/>
              <w:textAlignment w:val="top"/>
              <w:rPr>
                <w:rFonts w:ascii="宋体" w:hAnsi="宋体" w:cs="宋体"/>
                <w:sz w:val="24"/>
              </w:rPr>
            </w:pPr>
            <w:r>
              <w:rPr>
                <w:rFonts w:hint="eastAsia" w:ascii="宋体" w:hAnsi="宋体" w:cs="宋体"/>
                <w:sz w:val="24"/>
              </w:rPr>
              <w:t>完成市地方志编纂中心的办公室隔断改造和办公家具、设备的更新补充</w:t>
            </w:r>
          </w:p>
        </w:tc>
        <w:tc>
          <w:tcPr>
            <w:tcW w:w="3634" w:type="dxa"/>
            <w:gridSpan w:val="2"/>
            <w:tcBorders>
              <w:top w:val="single" w:color="000000" w:sz="4" w:space="0"/>
              <w:left w:val="single" w:color="000000" w:sz="4" w:space="0"/>
              <w:bottom w:val="single" w:color="000000" w:sz="4" w:space="0"/>
              <w:right w:val="single" w:color="000000" w:sz="4" w:space="0"/>
            </w:tcBorders>
            <w:shd w:val="clear" w:color="auto" w:fill="auto"/>
          </w:tcPr>
          <w:p>
            <w:pPr>
              <w:widowControl/>
              <w:spacing w:line="320" w:lineRule="exact"/>
              <w:jc w:val="center"/>
              <w:textAlignment w:val="top"/>
              <w:rPr>
                <w:rFonts w:ascii="宋体" w:hAnsi="宋体" w:cs="宋体"/>
                <w:sz w:val="24"/>
              </w:rPr>
            </w:pPr>
            <w:r>
              <w:rPr>
                <w:rFonts w:hint="eastAsia" w:ascii="宋体" w:hAnsi="宋体" w:cs="宋体"/>
                <w:sz w:val="24"/>
              </w:rPr>
              <w:t>全部或基本达到预期指标</w:t>
            </w:r>
          </w:p>
        </w:tc>
      </w:tr>
      <w:tr>
        <w:tblPrEx>
          <w:tblCellMar>
            <w:top w:w="0" w:type="dxa"/>
            <w:left w:w="108" w:type="dxa"/>
            <w:bottom w:w="0" w:type="dxa"/>
            <w:right w:w="108" w:type="dxa"/>
          </w:tblCellMar>
        </w:tblPrEx>
        <w:trPr>
          <w:gridAfter w:val="1"/>
          <w:wAfter w:w="234" w:type="dxa"/>
          <w:trHeight w:val="693" w:hRule="atLeast"/>
        </w:trPr>
        <w:tc>
          <w:tcPr>
            <w:tcW w:w="1977" w:type="dxa"/>
            <w:vMerge w:val="restart"/>
            <w:tcBorders>
              <w:top w:val="single" w:color="000000" w:sz="4" w:space="0"/>
              <w:left w:val="single" w:color="000000" w:sz="4" w:space="0"/>
              <w:right w:val="single" w:color="000000" w:sz="4" w:space="0"/>
            </w:tcBorders>
            <w:shd w:val="clear" w:color="auto" w:fill="auto"/>
            <w:vAlign w:val="center"/>
          </w:tcPr>
          <w:p>
            <w:pPr>
              <w:widowControl/>
              <w:spacing w:line="32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年度绩效指标完成情况</w:t>
            </w:r>
          </w:p>
        </w:tc>
        <w:tc>
          <w:tcPr>
            <w:tcW w:w="1142" w:type="dxa"/>
            <w:tcBorders>
              <w:top w:val="single" w:color="000000" w:sz="4" w:space="0"/>
              <w:left w:val="nil"/>
              <w:bottom w:val="single" w:color="000000" w:sz="4" w:space="0"/>
              <w:right w:val="single" w:color="000000" w:sz="4" w:space="0"/>
            </w:tcBorders>
            <w:shd w:val="clear" w:color="auto" w:fill="auto"/>
            <w:vAlign w:val="center"/>
          </w:tcPr>
          <w:p>
            <w:pPr>
              <w:widowControl/>
              <w:spacing w:line="320" w:lineRule="exact"/>
              <w:jc w:val="center"/>
              <w:textAlignment w:val="center"/>
              <w:rPr>
                <w:rFonts w:ascii="仿宋_GB2312" w:hAnsi="仿宋_GB2312" w:eastAsia="仿宋_GB2312" w:cs="仿宋_GB2312"/>
                <w:kern w:val="0"/>
                <w:sz w:val="28"/>
                <w:szCs w:val="28"/>
                <w:lang w:bidi="ar"/>
              </w:rPr>
            </w:pPr>
            <w:r>
              <w:rPr>
                <w:rFonts w:hint="eastAsia" w:ascii="仿宋_GB2312" w:hAnsi="仿宋_GB2312" w:eastAsia="仿宋_GB2312" w:cs="仿宋_GB2312"/>
                <w:kern w:val="0"/>
                <w:sz w:val="28"/>
                <w:szCs w:val="28"/>
                <w:lang w:bidi="ar"/>
              </w:rPr>
              <w:t>一级</w:t>
            </w:r>
          </w:p>
          <w:p>
            <w:pPr>
              <w:widowControl/>
              <w:spacing w:line="32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指标</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仿宋_GB2312" w:hAnsi="仿宋_GB2312" w:eastAsia="仿宋_GB2312" w:cs="仿宋_GB2312"/>
                <w:kern w:val="0"/>
                <w:sz w:val="28"/>
                <w:szCs w:val="28"/>
                <w:lang w:bidi="ar"/>
              </w:rPr>
            </w:pPr>
            <w:r>
              <w:rPr>
                <w:rFonts w:hint="eastAsia" w:ascii="仿宋_GB2312" w:hAnsi="仿宋_GB2312" w:eastAsia="仿宋_GB2312" w:cs="仿宋_GB2312"/>
                <w:kern w:val="0"/>
                <w:sz w:val="28"/>
                <w:szCs w:val="28"/>
                <w:lang w:bidi="ar"/>
              </w:rPr>
              <w:t>二级</w:t>
            </w:r>
          </w:p>
          <w:p>
            <w:pPr>
              <w:widowControl/>
              <w:spacing w:line="32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仿宋_GB2312" w:hAnsi="仿宋_GB2312" w:eastAsia="仿宋_GB2312" w:cs="仿宋_GB2312"/>
                <w:kern w:val="0"/>
                <w:sz w:val="28"/>
                <w:szCs w:val="28"/>
                <w:lang w:bidi="ar"/>
              </w:rPr>
            </w:pPr>
            <w:r>
              <w:rPr>
                <w:rFonts w:hint="eastAsia" w:ascii="仿宋_GB2312" w:hAnsi="仿宋_GB2312" w:eastAsia="仿宋_GB2312" w:cs="仿宋_GB2312"/>
                <w:kern w:val="0"/>
                <w:sz w:val="28"/>
                <w:szCs w:val="28"/>
                <w:lang w:bidi="ar"/>
              </w:rPr>
              <w:t>三级</w:t>
            </w:r>
          </w:p>
          <w:p>
            <w:pPr>
              <w:widowControl/>
              <w:spacing w:line="32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指标</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预期指标值</w:t>
            </w:r>
          </w:p>
        </w:tc>
        <w:tc>
          <w:tcPr>
            <w:tcW w:w="24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实际完成指标值</w:t>
            </w:r>
          </w:p>
        </w:tc>
      </w:tr>
      <w:tr>
        <w:tblPrEx>
          <w:tblCellMar>
            <w:top w:w="0" w:type="dxa"/>
            <w:left w:w="108" w:type="dxa"/>
            <w:bottom w:w="0" w:type="dxa"/>
            <w:right w:w="108" w:type="dxa"/>
          </w:tblCellMar>
        </w:tblPrEx>
        <w:trPr>
          <w:gridAfter w:val="1"/>
          <w:wAfter w:w="234" w:type="dxa"/>
          <w:trHeight w:val="415" w:hRule="atLeast"/>
        </w:trPr>
        <w:tc>
          <w:tcPr>
            <w:tcW w:w="1977"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bottom"/>
              <w:rPr>
                <w:rFonts w:ascii="仿宋_GB2312" w:hAnsi="仿宋_GB2312" w:eastAsia="仿宋_GB2312" w:cs="仿宋_GB2312"/>
                <w:kern w:val="0"/>
                <w:sz w:val="28"/>
                <w:szCs w:val="28"/>
                <w:lang w:bidi="ar"/>
              </w:rPr>
            </w:pPr>
            <w:r>
              <w:rPr>
                <w:rFonts w:hint="eastAsia" w:ascii="仿宋_GB2312" w:hAnsi="仿宋_GB2312" w:eastAsia="仿宋_GB2312" w:cs="仿宋_GB2312"/>
                <w:kern w:val="0"/>
                <w:sz w:val="28"/>
                <w:szCs w:val="28"/>
                <w:lang w:bidi="ar"/>
              </w:rPr>
              <w:t>完成</w:t>
            </w:r>
          </w:p>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指标</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数量指标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Cs w:val="21"/>
              </w:rPr>
            </w:pPr>
            <w:r>
              <w:rPr>
                <w:rFonts w:hint="eastAsia" w:ascii="仿宋_GB2312" w:hAnsi="仿宋_GB2312" w:eastAsia="仿宋_GB2312" w:cs="仿宋_GB2312"/>
                <w:szCs w:val="21"/>
              </w:rPr>
              <w:t>完成单位办公室隔断改造</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Cs w:val="21"/>
              </w:rPr>
            </w:pPr>
            <w:r>
              <w:rPr>
                <w:rFonts w:hint="eastAsia" w:ascii="仿宋_GB2312" w:hAnsi="仿宋_GB2312" w:eastAsia="仿宋_GB2312" w:cs="仿宋_GB2312"/>
                <w:szCs w:val="21"/>
              </w:rPr>
              <w:t>共改造5间办公室，1间会议室，1间档案室</w:t>
            </w:r>
          </w:p>
        </w:tc>
        <w:tc>
          <w:tcPr>
            <w:tcW w:w="241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Cs w:val="21"/>
              </w:rPr>
            </w:pPr>
            <w:r>
              <w:rPr>
                <w:rFonts w:hint="eastAsia" w:ascii="仿宋_GB2312" w:hAnsi="仿宋_GB2312" w:eastAsia="仿宋_GB2312" w:cs="仿宋_GB2312"/>
                <w:szCs w:val="21"/>
              </w:rPr>
              <w:t>已完成</w:t>
            </w:r>
          </w:p>
        </w:tc>
      </w:tr>
      <w:tr>
        <w:tblPrEx>
          <w:tblCellMar>
            <w:top w:w="0" w:type="dxa"/>
            <w:left w:w="108" w:type="dxa"/>
            <w:bottom w:w="0" w:type="dxa"/>
            <w:right w:w="108" w:type="dxa"/>
          </w:tblCellMar>
        </w:tblPrEx>
        <w:trPr>
          <w:gridAfter w:val="1"/>
          <w:wAfter w:w="234" w:type="dxa"/>
          <w:trHeight w:val="415" w:hRule="atLeast"/>
        </w:trPr>
        <w:tc>
          <w:tcPr>
            <w:tcW w:w="1977"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vMerge w:val="continue"/>
            <w:tcBorders>
              <w:left w:val="single" w:color="000000" w:sz="4" w:space="0"/>
              <w:right w:val="single" w:color="000000" w:sz="4" w:space="0"/>
            </w:tcBorders>
            <w:shd w:val="clear" w:color="auto" w:fill="auto"/>
            <w:vAlign w:val="center"/>
          </w:tcPr>
          <w:p>
            <w:pPr>
              <w:widowControl/>
              <w:spacing w:line="320" w:lineRule="exact"/>
              <w:jc w:val="center"/>
              <w:textAlignment w:val="bottom"/>
              <w:rPr>
                <w:rFonts w:ascii="仿宋_GB2312" w:hAnsi="仿宋_GB2312" w:eastAsia="仿宋_GB2312" w:cs="仿宋_GB2312"/>
                <w:kern w:val="0"/>
                <w:sz w:val="28"/>
                <w:szCs w:val="28"/>
                <w:lang w:bidi="ar"/>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kern w:val="0"/>
                <w:sz w:val="28"/>
                <w:szCs w:val="28"/>
                <w:lang w:bidi="ar"/>
              </w:rPr>
            </w:pPr>
            <w:r>
              <w:rPr>
                <w:rFonts w:hint="eastAsia" w:ascii="仿宋_GB2312" w:hAnsi="仿宋_GB2312" w:eastAsia="仿宋_GB2312" w:cs="仿宋_GB2312"/>
                <w:kern w:val="0"/>
                <w:sz w:val="28"/>
                <w:szCs w:val="28"/>
                <w:lang w:bidi="ar"/>
              </w:rPr>
              <w:t>数量指标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Cs w:val="21"/>
              </w:rPr>
            </w:pPr>
            <w:r>
              <w:rPr>
                <w:rFonts w:hint="eastAsia" w:ascii="仿宋_GB2312" w:hAnsi="仿宋_GB2312" w:eastAsia="仿宋_GB2312" w:cs="仿宋_GB2312"/>
                <w:szCs w:val="21"/>
              </w:rPr>
              <w:t>购置办公家具</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Cs w:val="21"/>
              </w:rPr>
            </w:pPr>
            <w:r>
              <w:rPr>
                <w:rFonts w:hint="eastAsia" w:ascii="仿宋_GB2312" w:hAnsi="仿宋_GB2312" w:eastAsia="仿宋_GB2312" w:cs="仿宋_GB2312"/>
                <w:szCs w:val="21"/>
              </w:rPr>
              <w:t>购置会议桌1张、会议椅14把，办公椅3把，茶几2张，沙发2张，柜子7套</w:t>
            </w:r>
          </w:p>
        </w:tc>
        <w:tc>
          <w:tcPr>
            <w:tcW w:w="241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Cs w:val="21"/>
              </w:rPr>
            </w:pPr>
            <w:r>
              <w:rPr>
                <w:rFonts w:hint="eastAsia" w:ascii="仿宋_GB2312" w:hAnsi="仿宋_GB2312" w:eastAsia="仿宋_GB2312" w:cs="仿宋_GB2312"/>
                <w:szCs w:val="21"/>
              </w:rPr>
              <w:t>已完成</w:t>
            </w:r>
          </w:p>
        </w:tc>
      </w:tr>
      <w:tr>
        <w:tblPrEx>
          <w:tblCellMar>
            <w:top w:w="0" w:type="dxa"/>
            <w:left w:w="108" w:type="dxa"/>
            <w:bottom w:w="0" w:type="dxa"/>
            <w:right w:w="108" w:type="dxa"/>
          </w:tblCellMar>
        </w:tblPrEx>
        <w:trPr>
          <w:gridAfter w:val="1"/>
          <w:wAfter w:w="234" w:type="dxa"/>
          <w:trHeight w:val="415" w:hRule="atLeast"/>
        </w:trPr>
        <w:tc>
          <w:tcPr>
            <w:tcW w:w="1977"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320" w:lineRule="exact"/>
              <w:jc w:val="center"/>
              <w:rPr>
                <w:rFonts w:ascii="仿宋_GB2312" w:hAnsi="仿宋_GB2312" w:eastAsia="仿宋_GB2312" w:cs="仿宋_GB2312"/>
                <w:sz w:val="28"/>
                <w:szCs w:val="28"/>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kern w:val="0"/>
                <w:sz w:val="28"/>
                <w:szCs w:val="28"/>
                <w:lang w:bidi="ar"/>
              </w:rPr>
            </w:pPr>
            <w:r>
              <w:rPr>
                <w:rFonts w:hint="eastAsia" w:ascii="仿宋_GB2312" w:hAnsi="仿宋_GB2312" w:eastAsia="仿宋_GB2312" w:cs="仿宋_GB2312"/>
                <w:kern w:val="0"/>
                <w:sz w:val="28"/>
                <w:szCs w:val="28"/>
                <w:lang w:bidi="ar"/>
              </w:rPr>
              <w:t>数量指标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Cs w:val="21"/>
              </w:rPr>
            </w:pPr>
            <w:r>
              <w:rPr>
                <w:rFonts w:hint="eastAsia" w:ascii="仿宋_GB2312" w:hAnsi="仿宋_GB2312" w:eastAsia="仿宋_GB2312" w:cs="仿宋_GB2312"/>
                <w:szCs w:val="21"/>
              </w:rPr>
              <w:t>购置办公设备</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Cs w:val="21"/>
              </w:rPr>
            </w:pPr>
            <w:r>
              <w:rPr>
                <w:rFonts w:hint="eastAsia" w:ascii="仿宋_GB2312" w:hAnsi="仿宋_GB2312" w:eastAsia="仿宋_GB2312" w:cs="仿宋_GB2312"/>
                <w:szCs w:val="21"/>
              </w:rPr>
              <w:t>购置饮水机8台</w:t>
            </w:r>
          </w:p>
        </w:tc>
        <w:tc>
          <w:tcPr>
            <w:tcW w:w="241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Cs w:val="21"/>
              </w:rPr>
            </w:pPr>
            <w:r>
              <w:rPr>
                <w:rFonts w:hint="eastAsia" w:ascii="仿宋_GB2312" w:hAnsi="仿宋_GB2312" w:eastAsia="仿宋_GB2312" w:cs="仿宋_GB2312"/>
                <w:szCs w:val="21"/>
              </w:rPr>
              <w:t>已完成</w:t>
            </w:r>
          </w:p>
        </w:tc>
      </w:tr>
      <w:tr>
        <w:tblPrEx>
          <w:tblCellMar>
            <w:top w:w="0" w:type="dxa"/>
            <w:left w:w="108" w:type="dxa"/>
            <w:bottom w:w="0" w:type="dxa"/>
            <w:right w:w="108" w:type="dxa"/>
          </w:tblCellMar>
        </w:tblPrEx>
        <w:trPr>
          <w:gridAfter w:val="1"/>
          <w:wAfter w:w="234" w:type="dxa"/>
          <w:trHeight w:val="415" w:hRule="atLeast"/>
        </w:trPr>
        <w:tc>
          <w:tcPr>
            <w:tcW w:w="1977"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320" w:lineRule="exact"/>
              <w:jc w:val="center"/>
              <w:rPr>
                <w:rFonts w:ascii="仿宋_GB2312" w:hAnsi="仿宋_GB2312" w:eastAsia="仿宋_GB2312" w:cs="仿宋_GB2312"/>
                <w:sz w:val="28"/>
                <w:szCs w:val="28"/>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kern w:val="0"/>
                <w:sz w:val="28"/>
                <w:szCs w:val="28"/>
                <w:lang w:bidi="ar"/>
              </w:rPr>
            </w:pPr>
            <w:r>
              <w:rPr>
                <w:rFonts w:hint="eastAsia" w:ascii="仿宋_GB2312" w:hAnsi="仿宋_GB2312" w:eastAsia="仿宋_GB2312" w:cs="仿宋_GB2312"/>
                <w:kern w:val="0"/>
                <w:sz w:val="28"/>
                <w:szCs w:val="28"/>
                <w:lang w:bidi="ar"/>
              </w:rPr>
              <w:t>质量指标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Cs w:val="21"/>
              </w:rPr>
            </w:pPr>
            <w:r>
              <w:rPr>
                <w:rFonts w:hint="eastAsia" w:ascii="仿宋_GB2312" w:hAnsi="仿宋_GB2312" w:eastAsia="仿宋_GB2312" w:cs="仿宋_GB2312"/>
                <w:szCs w:val="21"/>
              </w:rPr>
              <w:t>办公室更新改造完成率</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bottom"/>
              <w:rPr>
                <w:rFonts w:ascii="仿宋_GB2312" w:hAnsi="仿宋_GB2312" w:eastAsia="仿宋_GB2312" w:cs="仿宋_GB2312"/>
                <w:szCs w:val="21"/>
              </w:rPr>
            </w:pPr>
            <w:r>
              <w:rPr>
                <w:rFonts w:hint="eastAsia" w:ascii="仿宋_GB2312" w:hAnsi="仿宋_GB2312" w:eastAsia="仿宋_GB2312" w:cs="仿宋_GB2312"/>
                <w:szCs w:val="21"/>
              </w:rPr>
              <w:t>100%</w:t>
            </w:r>
          </w:p>
        </w:tc>
        <w:tc>
          <w:tcPr>
            <w:tcW w:w="241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Cs w:val="21"/>
              </w:rPr>
            </w:pPr>
            <w:r>
              <w:rPr>
                <w:rFonts w:hint="eastAsia" w:ascii="仿宋_GB2312" w:hAnsi="仿宋_GB2312" w:eastAsia="仿宋_GB2312" w:cs="仿宋_GB2312"/>
                <w:szCs w:val="21"/>
              </w:rPr>
              <w:t>已完成</w:t>
            </w:r>
          </w:p>
        </w:tc>
      </w:tr>
      <w:tr>
        <w:tblPrEx>
          <w:tblCellMar>
            <w:top w:w="0" w:type="dxa"/>
            <w:left w:w="108" w:type="dxa"/>
            <w:bottom w:w="0" w:type="dxa"/>
            <w:right w:w="108" w:type="dxa"/>
          </w:tblCellMar>
        </w:tblPrEx>
        <w:trPr>
          <w:gridAfter w:val="1"/>
          <w:wAfter w:w="234" w:type="dxa"/>
          <w:trHeight w:val="415" w:hRule="atLeast"/>
        </w:trPr>
        <w:tc>
          <w:tcPr>
            <w:tcW w:w="1977"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320" w:lineRule="exact"/>
              <w:jc w:val="center"/>
              <w:rPr>
                <w:rFonts w:ascii="仿宋_GB2312" w:hAnsi="仿宋_GB2312" w:eastAsia="仿宋_GB2312" w:cs="仿宋_GB2312"/>
                <w:sz w:val="28"/>
                <w:szCs w:val="28"/>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kern w:val="0"/>
                <w:sz w:val="28"/>
                <w:szCs w:val="28"/>
                <w:lang w:bidi="ar"/>
              </w:rPr>
            </w:pPr>
            <w:r>
              <w:rPr>
                <w:rFonts w:hint="eastAsia" w:ascii="仿宋_GB2312" w:hAnsi="仿宋_GB2312" w:eastAsia="仿宋_GB2312" w:cs="仿宋_GB2312"/>
                <w:kern w:val="0"/>
                <w:sz w:val="28"/>
                <w:szCs w:val="28"/>
                <w:lang w:bidi="ar"/>
              </w:rPr>
              <w:t>时效指标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Cs w:val="21"/>
              </w:rPr>
            </w:pPr>
            <w:r>
              <w:rPr>
                <w:rFonts w:hint="eastAsia" w:ascii="仿宋_GB2312" w:hAnsi="仿宋_GB2312" w:eastAsia="仿宋_GB2312" w:cs="仿宋_GB2312"/>
                <w:szCs w:val="21"/>
              </w:rPr>
              <w:t>项目完成时限</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Cs w:val="21"/>
              </w:rPr>
            </w:pPr>
            <w:r>
              <w:rPr>
                <w:rFonts w:hint="eastAsia" w:ascii="仿宋_GB2312" w:hAnsi="仿宋_GB2312" w:eastAsia="仿宋_GB2312" w:cs="仿宋_GB2312"/>
                <w:szCs w:val="21"/>
              </w:rPr>
              <w:t>2021年12月前完成</w:t>
            </w:r>
          </w:p>
        </w:tc>
        <w:tc>
          <w:tcPr>
            <w:tcW w:w="241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Cs w:val="21"/>
              </w:rPr>
            </w:pPr>
            <w:r>
              <w:rPr>
                <w:rFonts w:hint="eastAsia" w:ascii="仿宋_GB2312" w:hAnsi="仿宋_GB2312" w:eastAsia="仿宋_GB2312" w:cs="仿宋_GB2312"/>
                <w:szCs w:val="21"/>
              </w:rPr>
              <w:t>已完成</w:t>
            </w:r>
          </w:p>
        </w:tc>
      </w:tr>
      <w:tr>
        <w:tblPrEx>
          <w:tblCellMar>
            <w:top w:w="0" w:type="dxa"/>
            <w:left w:w="108" w:type="dxa"/>
            <w:bottom w:w="0" w:type="dxa"/>
            <w:right w:w="108" w:type="dxa"/>
          </w:tblCellMar>
        </w:tblPrEx>
        <w:trPr>
          <w:gridAfter w:val="1"/>
          <w:wAfter w:w="234" w:type="dxa"/>
          <w:trHeight w:val="415" w:hRule="atLeast"/>
        </w:trPr>
        <w:tc>
          <w:tcPr>
            <w:tcW w:w="1977"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320" w:lineRule="exact"/>
              <w:jc w:val="center"/>
              <w:rPr>
                <w:rFonts w:ascii="仿宋_GB2312" w:hAnsi="仿宋_GB2312" w:eastAsia="仿宋_GB2312" w:cs="仿宋_GB2312"/>
                <w:sz w:val="28"/>
                <w:szCs w:val="28"/>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kern w:val="0"/>
                <w:sz w:val="28"/>
                <w:szCs w:val="28"/>
                <w:lang w:bidi="ar"/>
              </w:rPr>
            </w:pPr>
            <w:r>
              <w:rPr>
                <w:rFonts w:hint="eastAsia" w:ascii="仿宋_GB2312" w:hAnsi="仿宋_GB2312" w:eastAsia="仿宋_GB2312" w:cs="仿宋_GB2312"/>
                <w:kern w:val="0"/>
                <w:sz w:val="28"/>
                <w:szCs w:val="28"/>
                <w:lang w:bidi="ar"/>
              </w:rPr>
              <w:t>成本指标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Cs w:val="21"/>
              </w:rPr>
            </w:pPr>
            <w:r>
              <w:rPr>
                <w:rFonts w:hint="eastAsia" w:ascii="仿宋_GB2312" w:hAnsi="仿宋_GB2312" w:eastAsia="仿宋_GB2312" w:cs="仿宋_GB2312"/>
                <w:szCs w:val="21"/>
              </w:rPr>
              <w:t>完成单位办公室隔断改造</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Cs w:val="21"/>
              </w:rPr>
            </w:pPr>
            <w:r>
              <w:rPr>
                <w:rFonts w:hint="eastAsia" w:ascii="仿宋_GB2312" w:hAnsi="仿宋_GB2312" w:eastAsia="仿宋_GB2312" w:cs="仿宋_GB2312"/>
                <w:szCs w:val="21"/>
              </w:rPr>
              <w:t>8.31万</w:t>
            </w:r>
          </w:p>
        </w:tc>
        <w:tc>
          <w:tcPr>
            <w:tcW w:w="241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Cs w:val="21"/>
              </w:rPr>
            </w:pPr>
            <w:r>
              <w:rPr>
                <w:rFonts w:hint="eastAsia" w:ascii="仿宋_GB2312" w:hAnsi="仿宋_GB2312" w:eastAsia="仿宋_GB2312" w:cs="仿宋_GB2312"/>
                <w:szCs w:val="21"/>
              </w:rPr>
              <w:t>8.31万</w:t>
            </w:r>
          </w:p>
        </w:tc>
      </w:tr>
      <w:tr>
        <w:tblPrEx>
          <w:tblCellMar>
            <w:top w:w="0" w:type="dxa"/>
            <w:left w:w="108" w:type="dxa"/>
            <w:bottom w:w="0" w:type="dxa"/>
            <w:right w:w="108" w:type="dxa"/>
          </w:tblCellMar>
        </w:tblPrEx>
        <w:trPr>
          <w:gridAfter w:val="1"/>
          <w:wAfter w:w="234" w:type="dxa"/>
          <w:trHeight w:val="415" w:hRule="atLeast"/>
        </w:trPr>
        <w:tc>
          <w:tcPr>
            <w:tcW w:w="1977"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320" w:lineRule="exact"/>
              <w:jc w:val="center"/>
              <w:rPr>
                <w:rFonts w:ascii="仿宋_GB2312" w:hAnsi="仿宋_GB2312" w:eastAsia="仿宋_GB2312" w:cs="仿宋_GB2312"/>
                <w:sz w:val="28"/>
                <w:szCs w:val="28"/>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kern w:val="0"/>
                <w:sz w:val="28"/>
                <w:szCs w:val="28"/>
                <w:lang w:bidi="ar"/>
              </w:rPr>
            </w:pPr>
            <w:r>
              <w:rPr>
                <w:rFonts w:hint="eastAsia" w:ascii="仿宋_GB2312" w:hAnsi="仿宋_GB2312" w:eastAsia="仿宋_GB2312" w:cs="仿宋_GB2312"/>
                <w:kern w:val="0"/>
                <w:sz w:val="28"/>
                <w:szCs w:val="28"/>
                <w:lang w:bidi="ar"/>
              </w:rPr>
              <w:t>成本指标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Cs w:val="21"/>
              </w:rPr>
            </w:pPr>
            <w:r>
              <w:rPr>
                <w:rFonts w:hint="eastAsia" w:ascii="仿宋_GB2312" w:hAnsi="仿宋_GB2312" w:eastAsia="仿宋_GB2312" w:cs="仿宋_GB2312"/>
                <w:szCs w:val="21"/>
              </w:rPr>
              <w:t>购置办公家具</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Cs w:val="21"/>
              </w:rPr>
            </w:pPr>
            <w:r>
              <w:rPr>
                <w:rFonts w:hint="eastAsia" w:ascii="仿宋_GB2312" w:hAnsi="仿宋_GB2312" w:eastAsia="仿宋_GB2312" w:cs="仿宋_GB2312"/>
                <w:szCs w:val="21"/>
              </w:rPr>
              <w:t>2.97万</w:t>
            </w:r>
          </w:p>
        </w:tc>
        <w:tc>
          <w:tcPr>
            <w:tcW w:w="241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Cs w:val="21"/>
              </w:rPr>
            </w:pPr>
            <w:r>
              <w:rPr>
                <w:rFonts w:hint="eastAsia" w:ascii="仿宋_GB2312" w:hAnsi="仿宋_GB2312" w:eastAsia="仿宋_GB2312" w:cs="仿宋_GB2312"/>
                <w:szCs w:val="21"/>
              </w:rPr>
              <w:t>2.97万</w:t>
            </w:r>
          </w:p>
        </w:tc>
      </w:tr>
      <w:tr>
        <w:tblPrEx>
          <w:tblCellMar>
            <w:top w:w="0" w:type="dxa"/>
            <w:left w:w="108" w:type="dxa"/>
            <w:bottom w:w="0" w:type="dxa"/>
            <w:right w:w="108" w:type="dxa"/>
          </w:tblCellMar>
        </w:tblPrEx>
        <w:trPr>
          <w:gridAfter w:val="1"/>
          <w:wAfter w:w="234" w:type="dxa"/>
          <w:trHeight w:val="415" w:hRule="atLeast"/>
        </w:trPr>
        <w:tc>
          <w:tcPr>
            <w:tcW w:w="1977"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320" w:lineRule="exact"/>
              <w:jc w:val="center"/>
              <w:rPr>
                <w:rFonts w:ascii="仿宋_GB2312" w:hAnsi="仿宋_GB2312" w:eastAsia="仿宋_GB2312" w:cs="仿宋_GB2312"/>
                <w:sz w:val="28"/>
                <w:szCs w:val="28"/>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kern w:val="0"/>
                <w:sz w:val="28"/>
                <w:szCs w:val="28"/>
                <w:lang w:bidi="ar"/>
              </w:rPr>
            </w:pPr>
            <w:r>
              <w:rPr>
                <w:rFonts w:hint="eastAsia" w:ascii="仿宋_GB2312" w:hAnsi="仿宋_GB2312" w:eastAsia="仿宋_GB2312" w:cs="仿宋_GB2312"/>
                <w:kern w:val="0"/>
                <w:sz w:val="28"/>
                <w:szCs w:val="28"/>
                <w:lang w:bidi="ar"/>
              </w:rPr>
              <w:t>成本指标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Cs w:val="21"/>
              </w:rPr>
            </w:pPr>
            <w:r>
              <w:rPr>
                <w:rFonts w:hint="eastAsia" w:ascii="仿宋_GB2312" w:hAnsi="仿宋_GB2312" w:eastAsia="仿宋_GB2312" w:cs="仿宋_GB2312"/>
                <w:szCs w:val="21"/>
              </w:rPr>
              <w:t>购置办公设备</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Cs w:val="21"/>
              </w:rPr>
            </w:pPr>
            <w:r>
              <w:rPr>
                <w:rFonts w:hint="eastAsia" w:ascii="仿宋_GB2312" w:hAnsi="仿宋_GB2312" w:eastAsia="仿宋_GB2312" w:cs="仿宋_GB2312"/>
                <w:szCs w:val="21"/>
              </w:rPr>
              <w:t>0.51万</w:t>
            </w:r>
          </w:p>
        </w:tc>
        <w:tc>
          <w:tcPr>
            <w:tcW w:w="241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Cs w:val="21"/>
              </w:rPr>
            </w:pPr>
            <w:r>
              <w:rPr>
                <w:rFonts w:hint="eastAsia" w:ascii="仿宋_GB2312" w:hAnsi="仿宋_GB2312" w:eastAsia="仿宋_GB2312" w:cs="仿宋_GB2312"/>
                <w:szCs w:val="21"/>
              </w:rPr>
              <w:t>0.51万</w:t>
            </w:r>
          </w:p>
        </w:tc>
      </w:tr>
      <w:tr>
        <w:tblPrEx>
          <w:tblCellMar>
            <w:top w:w="0" w:type="dxa"/>
            <w:left w:w="108" w:type="dxa"/>
            <w:bottom w:w="0" w:type="dxa"/>
            <w:right w:w="108" w:type="dxa"/>
          </w:tblCellMar>
        </w:tblPrEx>
        <w:trPr>
          <w:gridAfter w:val="1"/>
          <w:wAfter w:w="234" w:type="dxa"/>
          <w:trHeight w:val="895" w:hRule="atLeast"/>
        </w:trPr>
        <w:tc>
          <w:tcPr>
            <w:tcW w:w="1977"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320" w:lineRule="exact"/>
              <w:jc w:val="center"/>
              <w:rPr>
                <w:rFonts w:ascii="仿宋_GB2312" w:hAnsi="仿宋_GB2312" w:eastAsia="仿宋_GB2312" w:cs="仿宋_GB2312"/>
                <w:sz w:val="28"/>
                <w:szCs w:val="28"/>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kern w:val="0"/>
                <w:sz w:val="28"/>
                <w:szCs w:val="28"/>
                <w:lang w:bidi="ar"/>
              </w:rPr>
            </w:pPr>
            <w:r>
              <w:rPr>
                <w:rFonts w:hint="eastAsia" w:ascii="仿宋_GB2312" w:hAnsi="仿宋_GB2312" w:eastAsia="仿宋_GB2312" w:cs="仿宋_GB2312"/>
                <w:kern w:val="0"/>
                <w:sz w:val="28"/>
                <w:szCs w:val="28"/>
                <w:lang w:bidi="ar"/>
              </w:rPr>
              <w:t>成本指标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Cs w:val="21"/>
              </w:rPr>
            </w:pPr>
            <w:r>
              <w:rPr>
                <w:rFonts w:hint="eastAsia" w:ascii="仿宋_GB2312" w:hAnsi="仿宋_GB2312" w:eastAsia="仿宋_GB2312" w:cs="仿宋_GB2312"/>
                <w:szCs w:val="21"/>
              </w:rPr>
              <w:t>支付聘用人员劳务费</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Cs w:val="21"/>
              </w:rPr>
            </w:pPr>
            <w:r>
              <w:rPr>
                <w:rFonts w:hint="eastAsia" w:ascii="仿宋_GB2312" w:hAnsi="仿宋_GB2312" w:eastAsia="仿宋_GB2312" w:cs="仿宋_GB2312"/>
                <w:szCs w:val="21"/>
              </w:rPr>
              <w:t>0.21万</w:t>
            </w:r>
          </w:p>
        </w:tc>
        <w:tc>
          <w:tcPr>
            <w:tcW w:w="241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Cs w:val="21"/>
              </w:rPr>
            </w:pPr>
            <w:r>
              <w:rPr>
                <w:rFonts w:hint="eastAsia" w:ascii="仿宋_GB2312" w:hAnsi="仿宋_GB2312" w:eastAsia="仿宋_GB2312" w:cs="仿宋_GB2312"/>
                <w:szCs w:val="21"/>
              </w:rPr>
              <w:t>0.21万</w:t>
            </w:r>
          </w:p>
        </w:tc>
      </w:tr>
      <w:tr>
        <w:tblPrEx>
          <w:tblCellMar>
            <w:top w:w="0" w:type="dxa"/>
            <w:left w:w="108" w:type="dxa"/>
            <w:bottom w:w="0" w:type="dxa"/>
            <w:right w:w="108" w:type="dxa"/>
          </w:tblCellMar>
        </w:tblPrEx>
        <w:trPr>
          <w:gridAfter w:val="1"/>
          <w:wAfter w:w="234" w:type="dxa"/>
          <w:trHeight w:val="480" w:hRule="atLeast"/>
        </w:trPr>
        <w:tc>
          <w:tcPr>
            <w:tcW w:w="1977"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bottom"/>
              <w:rPr>
                <w:rFonts w:ascii="仿宋_GB2312" w:hAnsi="仿宋_GB2312" w:eastAsia="仿宋_GB2312" w:cs="仿宋_GB2312"/>
                <w:kern w:val="0"/>
                <w:sz w:val="28"/>
                <w:szCs w:val="28"/>
                <w:lang w:bidi="ar"/>
              </w:rPr>
            </w:pPr>
            <w:r>
              <w:rPr>
                <w:rFonts w:hint="eastAsia" w:ascii="仿宋_GB2312" w:hAnsi="仿宋_GB2312" w:eastAsia="仿宋_GB2312" w:cs="仿宋_GB2312"/>
                <w:kern w:val="0"/>
                <w:sz w:val="28"/>
                <w:szCs w:val="28"/>
                <w:lang w:bidi="ar"/>
              </w:rPr>
              <w:t>效益</w:t>
            </w:r>
          </w:p>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指标</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kern w:val="0"/>
                <w:sz w:val="28"/>
                <w:szCs w:val="28"/>
                <w:lang w:bidi="ar"/>
              </w:rPr>
            </w:pPr>
            <w:r>
              <w:rPr>
                <w:rFonts w:hint="eastAsia" w:ascii="仿宋_GB2312" w:hAnsi="仿宋_GB2312" w:eastAsia="仿宋_GB2312" w:cs="仿宋_GB2312"/>
                <w:kern w:val="0"/>
                <w:sz w:val="28"/>
                <w:szCs w:val="28"/>
                <w:lang w:bidi="ar"/>
              </w:rPr>
              <w:t>经济效益  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Cs w:val="21"/>
              </w:rPr>
            </w:pP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Cs w:val="21"/>
              </w:rPr>
            </w:pPr>
          </w:p>
        </w:tc>
        <w:tc>
          <w:tcPr>
            <w:tcW w:w="241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Cs w:val="21"/>
              </w:rPr>
            </w:pPr>
          </w:p>
        </w:tc>
      </w:tr>
      <w:tr>
        <w:tblPrEx>
          <w:tblCellMar>
            <w:top w:w="0" w:type="dxa"/>
            <w:left w:w="108" w:type="dxa"/>
            <w:bottom w:w="0" w:type="dxa"/>
            <w:right w:w="108" w:type="dxa"/>
          </w:tblCellMar>
        </w:tblPrEx>
        <w:trPr>
          <w:gridAfter w:val="1"/>
          <w:wAfter w:w="234" w:type="dxa"/>
          <w:trHeight w:val="480" w:hRule="atLeast"/>
        </w:trPr>
        <w:tc>
          <w:tcPr>
            <w:tcW w:w="1977"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320" w:lineRule="exact"/>
              <w:jc w:val="center"/>
              <w:rPr>
                <w:rFonts w:ascii="仿宋_GB2312" w:hAnsi="仿宋_GB2312" w:eastAsia="仿宋_GB2312" w:cs="仿宋_GB2312"/>
                <w:sz w:val="28"/>
                <w:szCs w:val="28"/>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社会效益  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Cs w:val="21"/>
              </w:rPr>
            </w:pPr>
            <w:r>
              <w:rPr>
                <w:rFonts w:hint="eastAsia" w:ascii="仿宋_GB2312" w:hAnsi="仿宋_GB2312" w:eastAsia="仿宋_GB2312" w:cs="仿宋_GB2312"/>
                <w:szCs w:val="21"/>
              </w:rPr>
              <w:t>按照市委市政府工作要求，确保单位各项工作正常运转</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Cs w:val="21"/>
              </w:rPr>
            </w:pPr>
            <w:r>
              <w:rPr>
                <w:rFonts w:hint="eastAsia" w:ascii="仿宋_GB2312" w:hAnsi="仿宋_GB2312" w:eastAsia="仿宋_GB2312" w:cs="仿宋_GB2312"/>
                <w:szCs w:val="21"/>
              </w:rPr>
              <w:t>提升单位形象</w:t>
            </w:r>
          </w:p>
        </w:tc>
        <w:tc>
          <w:tcPr>
            <w:tcW w:w="241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Cs w:val="21"/>
              </w:rPr>
            </w:pPr>
            <w:r>
              <w:rPr>
                <w:rFonts w:hint="eastAsia" w:ascii="仿宋_GB2312" w:hAnsi="仿宋_GB2312" w:eastAsia="仿宋_GB2312" w:cs="仿宋_GB2312"/>
                <w:szCs w:val="21"/>
              </w:rPr>
              <w:t>已完成</w:t>
            </w:r>
          </w:p>
        </w:tc>
      </w:tr>
      <w:tr>
        <w:tblPrEx>
          <w:tblCellMar>
            <w:top w:w="0" w:type="dxa"/>
            <w:left w:w="108" w:type="dxa"/>
            <w:bottom w:w="0" w:type="dxa"/>
            <w:right w:w="108" w:type="dxa"/>
          </w:tblCellMar>
        </w:tblPrEx>
        <w:trPr>
          <w:gridAfter w:val="1"/>
          <w:wAfter w:w="234" w:type="dxa"/>
          <w:trHeight w:val="577" w:hRule="atLeast"/>
        </w:trPr>
        <w:tc>
          <w:tcPr>
            <w:tcW w:w="1977"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320" w:lineRule="exact"/>
              <w:jc w:val="center"/>
              <w:rPr>
                <w:rFonts w:ascii="仿宋_GB2312" w:hAnsi="仿宋_GB2312" w:eastAsia="仿宋_GB2312" w:cs="仿宋_GB2312"/>
                <w:sz w:val="28"/>
                <w:szCs w:val="28"/>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生态效益  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tabs>
                <w:tab w:val="left" w:pos="422"/>
              </w:tabs>
              <w:spacing w:line="320" w:lineRule="exact"/>
              <w:textAlignment w:val="bottom"/>
              <w:rPr>
                <w:rFonts w:ascii="仿宋_GB2312" w:hAnsi="仿宋_GB2312" w:eastAsia="仿宋_GB2312" w:cs="仿宋_GB2312"/>
                <w:szCs w:val="21"/>
              </w:rPr>
            </w:pP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textAlignment w:val="bottom"/>
              <w:rPr>
                <w:rFonts w:ascii="仿宋_GB2312" w:hAnsi="仿宋_GB2312" w:eastAsia="仿宋_GB2312" w:cs="仿宋_GB2312"/>
                <w:szCs w:val="21"/>
              </w:rPr>
            </w:pPr>
          </w:p>
        </w:tc>
        <w:tc>
          <w:tcPr>
            <w:tcW w:w="241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Cs w:val="21"/>
              </w:rPr>
            </w:pPr>
          </w:p>
        </w:tc>
      </w:tr>
      <w:tr>
        <w:tblPrEx>
          <w:tblCellMar>
            <w:top w:w="0" w:type="dxa"/>
            <w:left w:w="108" w:type="dxa"/>
            <w:bottom w:w="0" w:type="dxa"/>
            <w:right w:w="108" w:type="dxa"/>
          </w:tblCellMar>
        </w:tblPrEx>
        <w:trPr>
          <w:gridAfter w:val="1"/>
          <w:wAfter w:w="234" w:type="dxa"/>
          <w:trHeight w:val="480" w:hRule="atLeast"/>
        </w:trPr>
        <w:tc>
          <w:tcPr>
            <w:tcW w:w="1977"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320" w:lineRule="exact"/>
              <w:jc w:val="center"/>
              <w:rPr>
                <w:rFonts w:ascii="仿宋_GB2312" w:hAnsi="仿宋_GB2312" w:eastAsia="仿宋_GB2312" w:cs="仿宋_GB2312"/>
                <w:sz w:val="28"/>
                <w:szCs w:val="28"/>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ind w:left="463" w:leftChars="87" w:hanging="280" w:hangingChars="100"/>
              <w:jc w:val="left"/>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可持续影响 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Cs w:val="21"/>
              </w:rPr>
            </w:pP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Cs w:val="21"/>
              </w:rPr>
            </w:pPr>
          </w:p>
        </w:tc>
        <w:tc>
          <w:tcPr>
            <w:tcW w:w="241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Cs w:val="21"/>
              </w:rPr>
            </w:pPr>
          </w:p>
        </w:tc>
      </w:tr>
      <w:tr>
        <w:tblPrEx>
          <w:tblCellMar>
            <w:top w:w="0" w:type="dxa"/>
            <w:left w:w="108" w:type="dxa"/>
            <w:bottom w:w="0" w:type="dxa"/>
            <w:right w:w="108" w:type="dxa"/>
          </w:tblCellMar>
        </w:tblPrEx>
        <w:trPr>
          <w:gridAfter w:val="1"/>
          <w:wAfter w:w="234" w:type="dxa"/>
          <w:trHeight w:val="530" w:hRule="atLeast"/>
        </w:trPr>
        <w:tc>
          <w:tcPr>
            <w:tcW w:w="1977" w:type="dxa"/>
            <w:tcBorders>
              <w:left w:val="single" w:color="000000" w:sz="4" w:space="0"/>
              <w:bottom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kern w:val="0"/>
                <w:sz w:val="28"/>
                <w:szCs w:val="28"/>
                <w:lang w:bidi="ar"/>
              </w:rPr>
            </w:pPr>
            <w:r>
              <w:rPr>
                <w:rFonts w:hint="eastAsia" w:ascii="仿宋_GB2312" w:hAnsi="仿宋_GB2312" w:eastAsia="仿宋_GB2312" w:cs="仿宋_GB2312"/>
                <w:kern w:val="0"/>
                <w:sz w:val="28"/>
                <w:szCs w:val="28"/>
                <w:lang w:bidi="ar"/>
              </w:rPr>
              <w:t>满意</w:t>
            </w:r>
          </w:p>
          <w:p>
            <w:pPr>
              <w:widowControl/>
              <w:spacing w:line="320" w:lineRule="exact"/>
              <w:jc w:val="center"/>
              <w:textAlignment w:val="bottom"/>
              <w:rPr>
                <w:rFonts w:ascii="仿宋_GB2312" w:hAnsi="仿宋_GB2312" w:eastAsia="仿宋_GB2312" w:cs="仿宋_GB2312"/>
                <w:kern w:val="0"/>
                <w:sz w:val="28"/>
                <w:szCs w:val="28"/>
                <w:lang w:bidi="ar"/>
              </w:rPr>
            </w:pPr>
            <w:r>
              <w:rPr>
                <w:rFonts w:hint="eastAsia" w:ascii="仿宋_GB2312" w:hAnsi="仿宋_GB2312" w:eastAsia="仿宋_GB2312" w:cs="仿宋_GB2312"/>
                <w:kern w:val="0"/>
                <w:sz w:val="28"/>
                <w:szCs w:val="28"/>
                <w:lang w:bidi="ar"/>
              </w:rPr>
              <w:t>度指标</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kern w:val="0"/>
                <w:sz w:val="28"/>
                <w:szCs w:val="28"/>
                <w:lang w:bidi="ar"/>
              </w:rPr>
            </w:pPr>
            <w:r>
              <w:rPr>
                <w:rFonts w:hint="eastAsia" w:ascii="仿宋_GB2312" w:hAnsi="仿宋_GB2312" w:eastAsia="仿宋_GB2312" w:cs="仿宋_GB2312"/>
                <w:kern w:val="0"/>
                <w:sz w:val="28"/>
                <w:szCs w:val="28"/>
                <w:lang w:bidi="ar"/>
              </w:rPr>
              <w:t>满意度</w:t>
            </w:r>
          </w:p>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Cs w:val="21"/>
              </w:rPr>
            </w:pPr>
            <w:r>
              <w:rPr>
                <w:rFonts w:hint="eastAsia" w:ascii="仿宋_GB2312" w:hAnsi="仿宋_GB2312" w:eastAsia="仿宋_GB2312" w:cs="仿宋_GB2312"/>
                <w:szCs w:val="21"/>
              </w:rPr>
              <w:t>达到预定使用标准</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Cs w:val="21"/>
              </w:rPr>
            </w:pPr>
            <w:r>
              <w:rPr>
                <w:rFonts w:hint="eastAsia" w:ascii="仿宋_GB2312" w:hAnsi="仿宋_GB2312" w:eastAsia="仿宋_GB2312" w:cs="仿宋_GB2312"/>
                <w:szCs w:val="21"/>
              </w:rPr>
              <w:t>100%</w:t>
            </w:r>
          </w:p>
        </w:tc>
        <w:tc>
          <w:tcPr>
            <w:tcW w:w="241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Cs w:val="21"/>
              </w:rPr>
            </w:pPr>
            <w:r>
              <w:rPr>
                <w:rFonts w:hint="eastAsia" w:ascii="仿宋_GB2312" w:hAnsi="仿宋_GB2312" w:eastAsia="仿宋_GB2312" w:cs="仿宋_GB2312"/>
                <w:szCs w:val="21"/>
              </w:rPr>
              <w:t>已完成</w:t>
            </w:r>
          </w:p>
        </w:tc>
      </w:tr>
    </w:tbl>
    <w:p>
      <w:pPr>
        <w:widowControl/>
        <w:adjustRightInd w:val="0"/>
        <w:snapToGrid w:val="0"/>
        <w:spacing w:line="580" w:lineRule="exact"/>
        <w:contextualSpacing/>
        <w:jc w:val="left"/>
        <w:rPr>
          <w:rFonts w:ascii="仿宋_GB2312" w:hAnsi="宋体" w:eastAsia="仿宋_GB2312" w:cs="宋体"/>
          <w:color w:val="000000"/>
          <w:kern w:val="0"/>
          <w:sz w:val="32"/>
          <w:szCs w:val="32"/>
          <w:shd w:val="clear" w:color="auto" w:fill="FFFFFF"/>
        </w:rPr>
      </w:pPr>
    </w:p>
    <w:p>
      <w:pPr>
        <w:pStyle w:val="2"/>
        <w:spacing w:before="93"/>
        <w:rPr>
          <w:rFonts w:hAnsi="宋体" w:cs="宋体"/>
          <w:color w:val="000000"/>
          <w:sz w:val="32"/>
          <w:szCs w:val="32"/>
          <w:shd w:val="clear" w:color="auto" w:fill="FFFFFF"/>
        </w:rPr>
      </w:pPr>
    </w:p>
    <w:p>
      <w:pPr>
        <w:pStyle w:val="2"/>
        <w:spacing w:before="93"/>
        <w:rPr>
          <w:rFonts w:hAnsi="宋体" w:cs="宋体"/>
          <w:color w:val="000000"/>
          <w:sz w:val="32"/>
          <w:szCs w:val="32"/>
          <w:shd w:val="clear" w:color="auto" w:fill="FFFFFF"/>
        </w:rPr>
      </w:pPr>
    </w:p>
    <w:p>
      <w:pPr>
        <w:pStyle w:val="2"/>
        <w:spacing w:before="93"/>
        <w:rPr>
          <w:rFonts w:hAnsi="宋体" w:cs="宋体"/>
          <w:color w:val="000000"/>
          <w:sz w:val="32"/>
          <w:szCs w:val="32"/>
          <w:shd w:val="clear" w:color="auto" w:fill="FFFFFF"/>
        </w:rPr>
      </w:pPr>
    </w:p>
    <w:p>
      <w:pPr>
        <w:pStyle w:val="2"/>
        <w:spacing w:before="93"/>
        <w:rPr>
          <w:rFonts w:hAnsi="宋体" w:cs="宋体"/>
          <w:color w:val="000000"/>
          <w:sz w:val="32"/>
          <w:szCs w:val="32"/>
          <w:shd w:val="clear" w:color="auto" w:fill="FFFFFF"/>
        </w:rPr>
      </w:pPr>
    </w:p>
    <w:p>
      <w:pPr>
        <w:pStyle w:val="2"/>
        <w:spacing w:before="93"/>
        <w:rPr>
          <w:rFonts w:hAnsi="宋体" w:cs="宋体"/>
          <w:color w:val="000000"/>
          <w:sz w:val="32"/>
          <w:szCs w:val="32"/>
          <w:shd w:val="clear" w:color="auto" w:fill="FFFFFF"/>
        </w:rPr>
      </w:pPr>
    </w:p>
    <w:p>
      <w:pPr>
        <w:pStyle w:val="2"/>
        <w:spacing w:before="93"/>
        <w:rPr>
          <w:rFonts w:hAnsi="宋体" w:cs="宋体"/>
          <w:color w:val="000000"/>
          <w:sz w:val="32"/>
          <w:szCs w:val="32"/>
          <w:shd w:val="clear" w:color="auto" w:fill="FFFFFF"/>
        </w:rPr>
      </w:pPr>
    </w:p>
    <w:p>
      <w:pPr>
        <w:pStyle w:val="2"/>
        <w:spacing w:before="93"/>
        <w:rPr>
          <w:rFonts w:hAnsi="宋体" w:cs="宋体"/>
          <w:color w:val="000000"/>
          <w:sz w:val="32"/>
          <w:szCs w:val="32"/>
          <w:shd w:val="clear" w:color="auto" w:fill="FFFFFF"/>
        </w:rPr>
      </w:pPr>
    </w:p>
    <w:p>
      <w:pPr>
        <w:pStyle w:val="2"/>
        <w:spacing w:before="93"/>
        <w:rPr>
          <w:rFonts w:hAnsi="宋体" w:cs="宋体"/>
          <w:color w:val="000000"/>
          <w:sz w:val="32"/>
          <w:szCs w:val="32"/>
          <w:shd w:val="clear" w:color="auto" w:fill="FFFFFF"/>
        </w:rPr>
      </w:pPr>
    </w:p>
    <w:p>
      <w:pPr>
        <w:pStyle w:val="2"/>
        <w:spacing w:before="93"/>
        <w:rPr>
          <w:rFonts w:hAnsi="宋体" w:cs="宋体"/>
          <w:color w:val="000000"/>
          <w:sz w:val="32"/>
          <w:szCs w:val="32"/>
          <w:shd w:val="clear" w:color="auto" w:fill="FFFFFF"/>
        </w:rPr>
      </w:pPr>
    </w:p>
    <w:tbl>
      <w:tblPr>
        <w:tblStyle w:val="12"/>
        <w:tblpPr w:leftFromText="180" w:rightFromText="180" w:vertAnchor="text" w:horzAnchor="page" w:tblpX="1281" w:tblpY="660"/>
        <w:tblOverlap w:val="never"/>
        <w:tblW w:w="981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76"/>
        <w:gridCol w:w="1142"/>
        <w:gridCol w:w="1635"/>
        <w:gridCol w:w="1189"/>
        <w:gridCol w:w="1224"/>
        <w:gridCol w:w="2409"/>
        <w:gridCol w:w="2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3" w:hRule="atLeast"/>
        </w:trPr>
        <w:tc>
          <w:tcPr>
            <w:tcW w:w="9577" w:type="dxa"/>
            <w:gridSpan w:val="6"/>
            <w:shd w:val="clear" w:color="auto" w:fill="auto"/>
            <w:vAlign w:val="center"/>
          </w:tcPr>
          <w:p>
            <w:pPr>
              <w:widowControl/>
              <w:jc w:val="center"/>
              <w:textAlignment w:val="center"/>
              <w:rPr>
                <w:rFonts w:ascii="方正小标宋_GBK" w:hAnsi="方正小标宋_GBK" w:eastAsia="方正小标宋_GBK" w:cs="方正小标宋_GBK"/>
                <w:b/>
                <w:sz w:val="36"/>
                <w:szCs w:val="36"/>
              </w:rPr>
            </w:pPr>
            <w:r>
              <w:rPr>
                <w:rFonts w:hint="eastAsia" w:ascii="方正小标宋_GBK" w:hAnsi="方正小标宋_GBK" w:eastAsia="方正小标宋_GBK" w:cs="方正小标宋_GBK"/>
                <w:b/>
                <w:sz w:val="36"/>
                <w:szCs w:val="36"/>
              </w:rPr>
              <w:t>2021年不限金额特定目标类部门预算项目绩效目标自评</w:t>
            </w:r>
          </w:p>
          <w:p>
            <w:pPr>
              <w:widowControl/>
              <w:jc w:val="center"/>
              <w:textAlignment w:val="center"/>
              <w:rPr>
                <w:rFonts w:ascii="宋体" w:hAnsi="宋体" w:cs="宋体"/>
                <w:b/>
                <w:szCs w:val="21"/>
              </w:rPr>
            </w:pPr>
            <w:r>
              <w:rPr>
                <w:rFonts w:hint="eastAsia" w:ascii="方正小标宋_GBK" w:hAnsi="方正小标宋_GBK" w:eastAsia="方正小标宋_GBK" w:cs="方正小标宋_GBK"/>
                <w:b/>
                <w:sz w:val="36"/>
                <w:szCs w:val="36"/>
              </w:rPr>
              <w:t>（关工委工作经费）</w:t>
            </w:r>
          </w:p>
        </w:tc>
        <w:tc>
          <w:tcPr>
            <w:tcW w:w="234" w:type="dxa"/>
            <w:shd w:val="clear" w:color="auto" w:fill="auto"/>
            <w:vAlign w:val="center"/>
          </w:tcPr>
          <w:p>
            <w:pPr>
              <w:widowControl/>
              <w:jc w:val="center"/>
              <w:textAlignment w:val="center"/>
              <w:rPr>
                <w:rFonts w:ascii="宋体" w:hAnsi="宋体" w:cs="宋体"/>
                <w:b/>
                <w:kern w:val="0"/>
                <w:szCs w:val="21"/>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34" w:type="dxa"/>
          <w:trHeight w:val="420" w:hRule="atLeast"/>
        </w:trPr>
        <w:tc>
          <w:tcPr>
            <w:tcW w:w="3119" w:type="dxa"/>
            <w:gridSpan w:val="2"/>
            <w:shd w:val="clear" w:color="auto" w:fill="auto"/>
            <w:vAlign w:val="center"/>
          </w:tcPr>
          <w:p>
            <w:pPr>
              <w:widowControl/>
              <w:spacing w:line="320" w:lineRule="exact"/>
              <w:jc w:val="center"/>
              <w:textAlignment w:val="center"/>
              <w:rPr>
                <w:rFonts w:ascii="宋体" w:hAnsi="宋体" w:cs="宋体"/>
                <w:szCs w:val="21"/>
              </w:rPr>
            </w:pPr>
            <w:r>
              <w:rPr>
                <w:rFonts w:hint="eastAsia" w:ascii="宋体" w:hAnsi="宋体" w:cs="宋体"/>
                <w:kern w:val="0"/>
                <w:szCs w:val="21"/>
                <w:lang w:bidi="ar"/>
              </w:rPr>
              <w:t>主管部门及代码</w:t>
            </w:r>
          </w:p>
        </w:tc>
        <w:tc>
          <w:tcPr>
            <w:tcW w:w="2824" w:type="dxa"/>
            <w:gridSpan w:val="2"/>
            <w:shd w:val="clear" w:color="auto" w:fill="auto"/>
            <w:vAlign w:val="center"/>
          </w:tcPr>
          <w:p>
            <w:pPr>
              <w:widowControl/>
              <w:spacing w:line="320" w:lineRule="exact"/>
              <w:textAlignment w:val="center"/>
              <w:rPr>
                <w:rFonts w:ascii="宋体" w:hAnsi="宋体" w:cs="宋体"/>
                <w:szCs w:val="21"/>
              </w:rPr>
            </w:pPr>
          </w:p>
        </w:tc>
        <w:tc>
          <w:tcPr>
            <w:tcW w:w="1224" w:type="dxa"/>
            <w:shd w:val="clear" w:color="auto" w:fill="auto"/>
            <w:vAlign w:val="center"/>
          </w:tcPr>
          <w:p>
            <w:pPr>
              <w:widowControl/>
              <w:spacing w:line="320" w:lineRule="exact"/>
              <w:jc w:val="center"/>
              <w:textAlignment w:val="center"/>
              <w:rPr>
                <w:rFonts w:ascii="宋体" w:hAnsi="宋体" w:cs="宋体"/>
                <w:szCs w:val="21"/>
              </w:rPr>
            </w:pPr>
            <w:r>
              <w:rPr>
                <w:rFonts w:hint="eastAsia" w:ascii="宋体" w:hAnsi="宋体" w:cs="宋体"/>
                <w:kern w:val="0"/>
                <w:szCs w:val="21"/>
                <w:lang w:bidi="ar"/>
              </w:rPr>
              <w:t>实施单位</w:t>
            </w:r>
          </w:p>
        </w:tc>
        <w:tc>
          <w:tcPr>
            <w:tcW w:w="2410" w:type="dxa"/>
            <w:shd w:val="clear" w:color="auto" w:fill="auto"/>
            <w:vAlign w:val="center"/>
          </w:tcPr>
          <w:p>
            <w:pPr>
              <w:widowControl/>
              <w:spacing w:line="320" w:lineRule="exact"/>
              <w:jc w:val="center"/>
              <w:textAlignment w:val="center"/>
              <w:rPr>
                <w:rFonts w:ascii="宋体" w:hAnsi="宋体" w:cs="宋体"/>
                <w:szCs w:val="21"/>
              </w:rPr>
            </w:pPr>
            <w:r>
              <w:rPr>
                <w:rFonts w:hint="eastAsia" w:ascii="宋体" w:hAnsi="宋体" w:cs="宋体"/>
                <w:szCs w:val="21"/>
              </w:rPr>
              <w:t>攀枝花市地方志</w:t>
            </w:r>
          </w:p>
          <w:p>
            <w:pPr>
              <w:widowControl/>
              <w:spacing w:line="320" w:lineRule="exact"/>
              <w:jc w:val="center"/>
              <w:textAlignment w:val="center"/>
              <w:rPr>
                <w:rFonts w:ascii="宋体" w:hAnsi="宋体" w:cs="宋体"/>
                <w:szCs w:val="21"/>
              </w:rPr>
            </w:pPr>
            <w:r>
              <w:rPr>
                <w:rFonts w:hint="eastAsia" w:ascii="宋体" w:hAnsi="宋体" w:cs="宋体"/>
                <w:szCs w:val="21"/>
              </w:rPr>
              <w:t>编纂中心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34" w:type="dxa"/>
          <w:trHeight w:val="341" w:hRule="atLeast"/>
        </w:trPr>
        <w:tc>
          <w:tcPr>
            <w:tcW w:w="3119" w:type="dxa"/>
            <w:gridSpan w:val="2"/>
            <w:vMerge w:val="restart"/>
            <w:shd w:val="clear" w:color="auto" w:fill="auto"/>
            <w:vAlign w:val="center"/>
          </w:tcPr>
          <w:p>
            <w:pPr>
              <w:widowControl/>
              <w:spacing w:line="320" w:lineRule="exact"/>
              <w:jc w:val="center"/>
              <w:textAlignment w:val="center"/>
              <w:rPr>
                <w:rFonts w:ascii="宋体" w:hAnsi="宋体" w:cs="宋体"/>
                <w:kern w:val="0"/>
                <w:szCs w:val="21"/>
                <w:lang w:bidi="ar"/>
              </w:rPr>
            </w:pPr>
            <w:r>
              <w:rPr>
                <w:rFonts w:hint="eastAsia" w:ascii="宋体" w:hAnsi="宋体" w:cs="宋体"/>
                <w:kern w:val="0"/>
                <w:szCs w:val="21"/>
                <w:lang w:bidi="ar"/>
              </w:rPr>
              <w:t>项目预算</w:t>
            </w:r>
          </w:p>
          <w:p>
            <w:pPr>
              <w:widowControl/>
              <w:spacing w:line="320" w:lineRule="exact"/>
              <w:jc w:val="center"/>
              <w:textAlignment w:val="center"/>
              <w:rPr>
                <w:rFonts w:ascii="宋体" w:hAnsi="宋体" w:cs="宋体"/>
                <w:kern w:val="0"/>
                <w:szCs w:val="21"/>
                <w:lang w:bidi="ar"/>
              </w:rPr>
            </w:pPr>
            <w:r>
              <w:rPr>
                <w:rFonts w:hint="eastAsia" w:ascii="宋体" w:hAnsi="宋体" w:cs="宋体"/>
                <w:kern w:val="0"/>
                <w:szCs w:val="21"/>
                <w:lang w:bidi="ar"/>
              </w:rPr>
              <w:t>执行情况</w:t>
            </w:r>
          </w:p>
          <w:p>
            <w:pPr>
              <w:widowControl/>
              <w:spacing w:line="320" w:lineRule="exact"/>
              <w:jc w:val="center"/>
              <w:textAlignment w:val="center"/>
              <w:rPr>
                <w:rFonts w:ascii="宋体" w:hAnsi="宋体" w:cs="宋体"/>
                <w:szCs w:val="21"/>
              </w:rPr>
            </w:pPr>
            <w:r>
              <w:rPr>
                <w:rFonts w:hint="eastAsia" w:ascii="宋体" w:hAnsi="宋体" w:cs="宋体"/>
                <w:kern w:val="0"/>
                <w:szCs w:val="21"/>
                <w:lang w:bidi="ar"/>
              </w:rPr>
              <w:t>（万元）</w:t>
            </w:r>
          </w:p>
        </w:tc>
        <w:tc>
          <w:tcPr>
            <w:tcW w:w="1635" w:type="dxa"/>
            <w:shd w:val="clear" w:color="auto" w:fill="auto"/>
            <w:vAlign w:val="center"/>
          </w:tcPr>
          <w:p>
            <w:pPr>
              <w:widowControl/>
              <w:spacing w:line="320" w:lineRule="exact"/>
              <w:jc w:val="left"/>
              <w:textAlignment w:val="center"/>
              <w:rPr>
                <w:rFonts w:ascii="宋体" w:hAnsi="宋体" w:cs="宋体"/>
                <w:szCs w:val="21"/>
              </w:rPr>
            </w:pPr>
            <w:r>
              <w:rPr>
                <w:rFonts w:hint="eastAsia" w:ascii="宋体" w:hAnsi="宋体" w:cs="宋体"/>
                <w:kern w:val="0"/>
                <w:szCs w:val="21"/>
                <w:lang w:bidi="ar"/>
              </w:rPr>
              <w:t xml:space="preserve"> 预算数：</w:t>
            </w:r>
          </w:p>
        </w:tc>
        <w:tc>
          <w:tcPr>
            <w:tcW w:w="1189" w:type="dxa"/>
            <w:shd w:val="clear" w:color="auto" w:fill="auto"/>
            <w:vAlign w:val="center"/>
          </w:tcPr>
          <w:p>
            <w:pPr>
              <w:widowControl/>
              <w:spacing w:line="320" w:lineRule="exact"/>
              <w:jc w:val="right"/>
              <w:textAlignment w:val="center"/>
              <w:rPr>
                <w:rFonts w:ascii="宋体" w:hAnsi="宋体" w:cs="宋体"/>
                <w:szCs w:val="21"/>
              </w:rPr>
            </w:pPr>
            <w:r>
              <w:rPr>
                <w:rFonts w:hint="eastAsia" w:ascii="宋体" w:hAnsi="宋体" w:cs="宋体"/>
                <w:szCs w:val="21"/>
              </w:rPr>
              <w:t>0.5</w:t>
            </w:r>
          </w:p>
        </w:tc>
        <w:tc>
          <w:tcPr>
            <w:tcW w:w="1224" w:type="dxa"/>
            <w:shd w:val="clear" w:color="auto" w:fill="auto"/>
            <w:vAlign w:val="center"/>
          </w:tcPr>
          <w:p>
            <w:pPr>
              <w:widowControl/>
              <w:spacing w:line="320" w:lineRule="exact"/>
              <w:jc w:val="left"/>
              <w:textAlignment w:val="center"/>
              <w:rPr>
                <w:rFonts w:ascii="宋体" w:hAnsi="宋体" w:cs="宋体"/>
                <w:szCs w:val="21"/>
              </w:rPr>
            </w:pPr>
            <w:r>
              <w:rPr>
                <w:rFonts w:hint="eastAsia" w:ascii="宋体" w:hAnsi="宋体" w:cs="宋体"/>
                <w:kern w:val="0"/>
                <w:szCs w:val="21"/>
                <w:lang w:bidi="ar"/>
              </w:rPr>
              <w:t xml:space="preserve"> 执行数：</w:t>
            </w:r>
          </w:p>
        </w:tc>
        <w:tc>
          <w:tcPr>
            <w:tcW w:w="2410" w:type="dxa"/>
            <w:shd w:val="clear" w:color="auto" w:fill="auto"/>
            <w:vAlign w:val="center"/>
          </w:tcPr>
          <w:p>
            <w:pPr>
              <w:widowControl/>
              <w:spacing w:line="320" w:lineRule="exact"/>
              <w:jc w:val="right"/>
              <w:textAlignment w:val="center"/>
              <w:rPr>
                <w:rFonts w:ascii="宋体" w:hAnsi="宋体" w:cs="宋体"/>
                <w:szCs w:val="21"/>
              </w:rPr>
            </w:pPr>
            <w:r>
              <w:rPr>
                <w:rFonts w:hint="eastAsia" w:ascii="宋体" w:hAnsi="宋体" w:cs="宋体"/>
                <w:szCs w:val="21"/>
              </w:rPr>
              <w:t>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34" w:type="dxa"/>
          <w:trHeight w:val="555" w:hRule="atLeast"/>
        </w:trPr>
        <w:tc>
          <w:tcPr>
            <w:tcW w:w="3119" w:type="dxa"/>
            <w:gridSpan w:val="2"/>
            <w:vMerge w:val="continue"/>
            <w:shd w:val="clear" w:color="auto" w:fill="auto"/>
            <w:vAlign w:val="center"/>
          </w:tcPr>
          <w:p>
            <w:pPr>
              <w:spacing w:line="320" w:lineRule="exact"/>
              <w:jc w:val="center"/>
              <w:rPr>
                <w:rFonts w:ascii="宋体" w:hAnsi="宋体" w:cs="宋体"/>
                <w:szCs w:val="21"/>
              </w:rPr>
            </w:pPr>
          </w:p>
        </w:tc>
        <w:tc>
          <w:tcPr>
            <w:tcW w:w="1635" w:type="dxa"/>
            <w:shd w:val="clear" w:color="auto" w:fill="auto"/>
            <w:vAlign w:val="center"/>
          </w:tcPr>
          <w:p>
            <w:pPr>
              <w:widowControl/>
              <w:spacing w:line="320" w:lineRule="exact"/>
              <w:jc w:val="left"/>
              <w:textAlignment w:val="center"/>
              <w:rPr>
                <w:rFonts w:ascii="宋体" w:hAnsi="宋体" w:cs="宋体"/>
                <w:kern w:val="0"/>
                <w:szCs w:val="21"/>
                <w:lang w:bidi="ar"/>
              </w:rPr>
            </w:pPr>
            <w:r>
              <w:rPr>
                <w:rFonts w:hint="eastAsia" w:ascii="宋体" w:hAnsi="宋体" w:cs="宋体"/>
                <w:kern w:val="0"/>
                <w:szCs w:val="21"/>
                <w:lang w:bidi="ar"/>
              </w:rPr>
              <w:t>其中：</w:t>
            </w:r>
          </w:p>
          <w:p>
            <w:pPr>
              <w:widowControl/>
              <w:spacing w:line="320" w:lineRule="exact"/>
              <w:jc w:val="left"/>
              <w:textAlignment w:val="center"/>
              <w:rPr>
                <w:rFonts w:ascii="宋体" w:hAnsi="宋体" w:cs="宋体"/>
                <w:szCs w:val="21"/>
              </w:rPr>
            </w:pPr>
            <w:r>
              <w:rPr>
                <w:rFonts w:hint="eastAsia" w:ascii="宋体" w:hAnsi="宋体" w:cs="宋体"/>
                <w:kern w:val="0"/>
                <w:szCs w:val="21"/>
                <w:lang w:bidi="ar"/>
              </w:rPr>
              <w:t>财政拨款</w:t>
            </w:r>
          </w:p>
        </w:tc>
        <w:tc>
          <w:tcPr>
            <w:tcW w:w="1189" w:type="dxa"/>
            <w:shd w:val="clear" w:color="auto" w:fill="auto"/>
            <w:vAlign w:val="center"/>
          </w:tcPr>
          <w:p>
            <w:pPr>
              <w:widowControl/>
              <w:spacing w:line="320" w:lineRule="exact"/>
              <w:jc w:val="right"/>
              <w:textAlignment w:val="center"/>
              <w:rPr>
                <w:rFonts w:ascii="宋体" w:hAnsi="宋体" w:cs="宋体"/>
                <w:szCs w:val="21"/>
              </w:rPr>
            </w:pPr>
            <w:r>
              <w:rPr>
                <w:rFonts w:hint="eastAsia" w:ascii="宋体" w:hAnsi="宋体" w:cs="宋体"/>
                <w:szCs w:val="21"/>
              </w:rPr>
              <w:t>0.5</w:t>
            </w:r>
          </w:p>
        </w:tc>
        <w:tc>
          <w:tcPr>
            <w:tcW w:w="1224" w:type="dxa"/>
            <w:shd w:val="clear" w:color="auto" w:fill="auto"/>
            <w:vAlign w:val="center"/>
          </w:tcPr>
          <w:p>
            <w:pPr>
              <w:widowControl/>
              <w:spacing w:line="320" w:lineRule="exact"/>
              <w:jc w:val="left"/>
              <w:textAlignment w:val="center"/>
              <w:rPr>
                <w:rFonts w:ascii="宋体" w:hAnsi="宋体" w:cs="宋体"/>
                <w:kern w:val="0"/>
                <w:szCs w:val="21"/>
                <w:lang w:bidi="ar"/>
              </w:rPr>
            </w:pPr>
            <w:r>
              <w:rPr>
                <w:rFonts w:hint="eastAsia" w:ascii="宋体" w:hAnsi="宋体" w:cs="宋体"/>
                <w:kern w:val="0"/>
                <w:szCs w:val="21"/>
                <w:lang w:bidi="ar"/>
              </w:rPr>
              <w:t>其中：</w:t>
            </w:r>
          </w:p>
          <w:p>
            <w:pPr>
              <w:widowControl/>
              <w:spacing w:line="320" w:lineRule="exact"/>
              <w:jc w:val="left"/>
              <w:textAlignment w:val="center"/>
              <w:rPr>
                <w:rFonts w:ascii="宋体" w:hAnsi="宋体" w:cs="宋体"/>
                <w:szCs w:val="21"/>
              </w:rPr>
            </w:pPr>
            <w:r>
              <w:rPr>
                <w:rFonts w:hint="eastAsia" w:ascii="宋体" w:hAnsi="宋体" w:cs="宋体"/>
                <w:kern w:val="0"/>
                <w:szCs w:val="21"/>
                <w:lang w:bidi="ar"/>
              </w:rPr>
              <w:t>财政拨款</w:t>
            </w:r>
          </w:p>
        </w:tc>
        <w:tc>
          <w:tcPr>
            <w:tcW w:w="2410" w:type="dxa"/>
            <w:shd w:val="clear" w:color="auto" w:fill="auto"/>
            <w:vAlign w:val="center"/>
          </w:tcPr>
          <w:p>
            <w:pPr>
              <w:widowControl/>
              <w:spacing w:line="320" w:lineRule="exact"/>
              <w:jc w:val="right"/>
              <w:textAlignment w:val="center"/>
              <w:rPr>
                <w:rFonts w:ascii="宋体" w:hAnsi="宋体" w:cs="宋体"/>
                <w:szCs w:val="21"/>
              </w:rPr>
            </w:pPr>
            <w:r>
              <w:rPr>
                <w:rFonts w:hint="eastAsia" w:ascii="宋体" w:hAnsi="宋体" w:cs="宋体"/>
                <w:szCs w:val="21"/>
              </w:rPr>
              <w:t>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34" w:type="dxa"/>
          <w:trHeight w:val="341" w:hRule="atLeast"/>
        </w:trPr>
        <w:tc>
          <w:tcPr>
            <w:tcW w:w="3119" w:type="dxa"/>
            <w:gridSpan w:val="2"/>
            <w:vMerge w:val="continue"/>
            <w:shd w:val="clear" w:color="auto" w:fill="auto"/>
            <w:vAlign w:val="center"/>
          </w:tcPr>
          <w:p>
            <w:pPr>
              <w:spacing w:line="320" w:lineRule="exact"/>
              <w:jc w:val="center"/>
              <w:rPr>
                <w:rFonts w:ascii="宋体" w:hAnsi="宋体" w:cs="宋体"/>
                <w:szCs w:val="21"/>
              </w:rPr>
            </w:pPr>
          </w:p>
        </w:tc>
        <w:tc>
          <w:tcPr>
            <w:tcW w:w="1635" w:type="dxa"/>
            <w:shd w:val="clear" w:color="auto" w:fill="auto"/>
            <w:vAlign w:val="center"/>
          </w:tcPr>
          <w:p>
            <w:pPr>
              <w:widowControl/>
              <w:spacing w:line="320" w:lineRule="exact"/>
              <w:jc w:val="left"/>
              <w:textAlignment w:val="center"/>
              <w:rPr>
                <w:rFonts w:ascii="宋体" w:hAnsi="宋体" w:cs="宋体"/>
                <w:szCs w:val="21"/>
              </w:rPr>
            </w:pPr>
            <w:r>
              <w:rPr>
                <w:rFonts w:hint="eastAsia" w:ascii="宋体" w:hAnsi="宋体" w:cs="宋体"/>
                <w:kern w:val="0"/>
                <w:szCs w:val="21"/>
                <w:lang w:bidi="ar"/>
              </w:rPr>
              <w:t>其他资金</w:t>
            </w:r>
          </w:p>
        </w:tc>
        <w:tc>
          <w:tcPr>
            <w:tcW w:w="1189" w:type="dxa"/>
            <w:shd w:val="clear" w:color="auto" w:fill="auto"/>
            <w:vAlign w:val="center"/>
          </w:tcPr>
          <w:p>
            <w:pPr>
              <w:widowControl/>
              <w:spacing w:line="320" w:lineRule="exact"/>
              <w:jc w:val="left"/>
              <w:textAlignment w:val="center"/>
              <w:rPr>
                <w:rFonts w:ascii="宋体" w:hAnsi="宋体" w:cs="宋体"/>
                <w:szCs w:val="21"/>
              </w:rPr>
            </w:pPr>
          </w:p>
        </w:tc>
        <w:tc>
          <w:tcPr>
            <w:tcW w:w="1224" w:type="dxa"/>
            <w:shd w:val="clear" w:color="auto" w:fill="auto"/>
            <w:vAlign w:val="center"/>
          </w:tcPr>
          <w:p>
            <w:pPr>
              <w:widowControl/>
              <w:spacing w:line="320" w:lineRule="exact"/>
              <w:jc w:val="left"/>
              <w:textAlignment w:val="center"/>
              <w:rPr>
                <w:rFonts w:ascii="宋体" w:hAnsi="宋体" w:cs="宋体"/>
                <w:szCs w:val="21"/>
              </w:rPr>
            </w:pPr>
            <w:r>
              <w:rPr>
                <w:rFonts w:hint="eastAsia" w:ascii="宋体" w:hAnsi="宋体" w:cs="宋体"/>
                <w:kern w:val="0"/>
                <w:szCs w:val="21"/>
                <w:lang w:bidi="ar"/>
              </w:rPr>
              <w:t>其他资金</w:t>
            </w:r>
          </w:p>
        </w:tc>
        <w:tc>
          <w:tcPr>
            <w:tcW w:w="2410" w:type="dxa"/>
            <w:shd w:val="clear" w:color="auto" w:fill="auto"/>
            <w:vAlign w:val="center"/>
          </w:tcPr>
          <w:p>
            <w:pPr>
              <w:widowControl/>
              <w:spacing w:line="320" w:lineRule="exact"/>
              <w:jc w:val="right"/>
              <w:textAlignment w:val="cente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34" w:type="dxa"/>
          <w:trHeight w:val="217" w:hRule="atLeast"/>
        </w:trPr>
        <w:tc>
          <w:tcPr>
            <w:tcW w:w="1977" w:type="dxa"/>
            <w:vMerge w:val="restart"/>
            <w:shd w:val="clear" w:color="auto" w:fill="auto"/>
            <w:vAlign w:val="center"/>
          </w:tcPr>
          <w:p>
            <w:pPr>
              <w:widowControl/>
              <w:spacing w:line="320" w:lineRule="exact"/>
              <w:jc w:val="center"/>
              <w:textAlignment w:val="center"/>
              <w:rPr>
                <w:rFonts w:ascii="宋体" w:hAnsi="宋体" w:cs="宋体"/>
                <w:kern w:val="0"/>
                <w:szCs w:val="21"/>
                <w:lang w:bidi="ar"/>
              </w:rPr>
            </w:pPr>
            <w:r>
              <w:rPr>
                <w:rFonts w:hint="eastAsia" w:ascii="宋体" w:hAnsi="宋体" w:cs="宋体"/>
                <w:kern w:val="0"/>
                <w:szCs w:val="21"/>
                <w:lang w:bidi="ar"/>
              </w:rPr>
              <w:t>年度总体目标</w:t>
            </w:r>
          </w:p>
          <w:p>
            <w:pPr>
              <w:widowControl/>
              <w:spacing w:line="320" w:lineRule="exact"/>
              <w:jc w:val="center"/>
              <w:textAlignment w:val="center"/>
              <w:rPr>
                <w:rFonts w:ascii="宋体" w:hAnsi="宋体" w:cs="宋体"/>
                <w:szCs w:val="21"/>
              </w:rPr>
            </w:pPr>
            <w:r>
              <w:rPr>
                <w:rFonts w:hint="eastAsia" w:ascii="宋体" w:hAnsi="宋体" w:cs="宋体"/>
                <w:kern w:val="0"/>
                <w:szCs w:val="21"/>
                <w:lang w:bidi="ar"/>
              </w:rPr>
              <w:t>完成情况</w:t>
            </w:r>
          </w:p>
        </w:tc>
        <w:tc>
          <w:tcPr>
            <w:tcW w:w="3966" w:type="dxa"/>
            <w:gridSpan w:val="3"/>
            <w:shd w:val="clear" w:color="auto" w:fill="auto"/>
            <w:vAlign w:val="center"/>
          </w:tcPr>
          <w:p>
            <w:pPr>
              <w:widowControl/>
              <w:spacing w:line="320" w:lineRule="exact"/>
              <w:jc w:val="center"/>
              <w:textAlignment w:val="center"/>
              <w:rPr>
                <w:rFonts w:ascii="宋体" w:hAnsi="宋体" w:cs="宋体"/>
                <w:szCs w:val="21"/>
              </w:rPr>
            </w:pPr>
            <w:r>
              <w:rPr>
                <w:rFonts w:hint="eastAsia" w:ascii="宋体" w:hAnsi="宋体" w:cs="宋体"/>
                <w:kern w:val="0"/>
                <w:szCs w:val="21"/>
                <w:lang w:bidi="ar"/>
              </w:rPr>
              <w:t>预期目标</w:t>
            </w:r>
          </w:p>
        </w:tc>
        <w:tc>
          <w:tcPr>
            <w:tcW w:w="3634" w:type="dxa"/>
            <w:gridSpan w:val="2"/>
            <w:shd w:val="clear" w:color="auto" w:fill="auto"/>
            <w:vAlign w:val="center"/>
          </w:tcPr>
          <w:p>
            <w:pPr>
              <w:widowControl/>
              <w:spacing w:line="320" w:lineRule="exact"/>
              <w:jc w:val="center"/>
              <w:textAlignment w:val="center"/>
              <w:rPr>
                <w:rFonts w:ascii="宋体" w:hAnsi="宋体" w:cs="宋体"/>
                <w:szCs w:val="21"/>
              </w:rPr>
            </w:pPr>
            <w:r>
              <w:rPr>
                <w:rFonts w:hint="eastAsia" w:ascii="宋体" w:hAnsi="宋体" w:cs="宋体"/>
                <w:kern w:val="0"/>
                <w:szCs w:val="21"/>
                <w:lang w:bidi="ar"/>
              </w:rPr>
              <w:t>目标实际完成情况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34" w:type="dxa"/>
          <w:trHeight w:val="830" w:hRule="atLeast"/>
        </w:trPr>
        <w:tc>
          <w:tcPr>
            <w:tcW w:w="1977" w:type="dxa"/>
            <w:vMerge w:val="continue"/>
            <w:shd w:val="clear" w:color="auto" w:fill="auto"/>
            <w:vAlign w:val="center"/>
          </w:tcPr>
          <w:p>
            <w:pPr>
              <w:spacing w:line="320" w:lineRule="exact"/>
              <w:jc w:val="center"/>
              <w:rPr>
                <w:rFonts w:ascii="宋体" w:hAnsi="宋体" w:cs="宋体"/>
                <w:szCs w:val="21"/>
              </w:rPr>
            </w:pPr>
          </w:p>
        </w:tc>
        <w:tc>
          <w:tcPr>
            <w:tcW w:w="3966" w:type="dxa"/>
            <w:gridSpan w:val="3"/>
            <w:shd w:val="clear" w:color="auto" w:fill="auto"/>
          </w:tcPr>
          <w:p>
            <w:pPr>
              <w:widowControl/>
              <w:spacing w:line="320" w:lineRule="exact"/>
              <w:jc w:val="left"/>
              <w:textAlignment w:val="top"/>
              <w:rPr>
                <w:rFonts w:ascii="宋体" w:hAnsi="宋体" w:cs="宋体"/>
                <w:szCs w:val="21"/>
              </w:rPr>
            </w:pPr>
            <w:r>
              <w:rPr>
                <w:rFonts w:hint="eastAsia" w:ascii="宋体" w:hAnsi="宋体" w:cs="宋体"/>
                <w:szCs w:val="21"/>
              </w:rPr>
              <w:t>向单位职工子女亲属等发放儿童读物，组织读书活动，做好新形势下我单位关心下一代工作。</w:t>
            </w:r>
          </w:p>
        </w:tc>
        <w:tc>
          <w:tcPr>
            <w:tcW w:w="3634" w:type="dxa"/>
            <w:gridSpan w:val="2"/>
            <w:shd w:val="clear" w:color="auto" w:fill="auto"/>
          </w:tcPr>
          <w:p>
            <w:pPr>
              <w:widowControl/>
              <w:spacing w:line="320" w:lineRule="exact"/>
              <w:jc w:val="center"/>
              <w:textAlignment w:val="top"/>
              <w:rPr>
                <w:rFonts w:ascii="宋体" w:hAnsi="宋体" w:cs="宋体"/>
                <w:szCs w:val="21"/>
              </w:rPr>
            </w:pPr>
            <w:r>
              <w:rPr>
                <w:rFonts w:hint="eastAsia" w:ascii="宋体" w:hAnsi="宋体" w:cs="宋体"/>
                <w:szCs w:val="21"/>
              </w:rPr>
              <w:t>全部或基本达到预期指标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34" w:type="dxa"/>
          <w:trHeight w:val="693" w:hRule="atLeast"/>
        </w:trPr>
        <w:tc>
          <w:tcPr>
            <w:tcW w:w="1977" w:type="dxa"/>
            <w:vMerge w:val="restart"/>
            <w:shd w:val="clear" w:color="auto" w:fill="auto"/>
            <w:vAlign w:val="center"/>
          </w:tcPr>
          <w:p>
            <w:pPr>
              <w:widowControl/>
              <w:spacing w:line="320" w:lineRule="exact"/>
              <w:jc w:val="center"/>
              <w:textAlignment w:val="center"/>
              <w:rPr>
                <w:rFonts w:ascii="仿宋_GB2312" w:hAnsi="仿宋_GB2312" w:eastAsia="仿宋_GB2312" w:cs="仿宋_GB2312"/>
                <w:szCs w:val="21"/>
              </w:rPr>
            </w:pPr>
            <w:r>
              <w:rPr>
                <w:rFonts w:hint="eastAsia" w:ascii="仿宋_GB2312" w:hAnsi="仿宋_GB2312" w:eastAsia="仿宋_GB2312" w:cs="仿宋_GB2312"/>
                <w:kern w:val="0"/>
                <w:szCs w:val="21"/>
                <w:lang w:bidi="ar"/>
              </w:rPr>
              <w:t>年度绩效指标完成情况</w:t>
            </w:r>
          </w:p>
        </w:tc>
        <w:tc>
          <w:tcPr>
            <w:tcW w:w="1142" w:type="dxa"/>
            <w:shd w:val="clear" w:color="auto" w:fill="auto"/>
            <w:vAlign w:val="center"/>
          </w:tcPr>
          <w:p>
            <w:pPr>
              <w:widowControl/>
              <w:spacing w:line="320" w:lineRule="exact"/>
              <w:jc w:val="center"/>
              <w:textAlignment w:val="center"/>
              <w:rPr>
                <w:rFonts w:ascii="仿宋_GB2312" w:hAnsi="仿宋_GB2312" w:eastAsia="仿宋_GB2312" w:cs="仿宋_GB2312"/>
                <w:kern w:val="0"/>
                <w:szCs w:val="21"/>
                <w:lang w:bidi="ar"/>
              </w:rPr>
            </w:pPr>
            <w:r>
              <w:rPr>
                <w:rFonts w:hint="eastAsia" w:ascii="仿宋_GB2312" w:hAnsi="仿宋_GB2312" w:eastAsia="仿宋_GB2312" w:cs="仿宋_GB2312"/>
                <w:kern w:val="0"/>
                <w:szCs w:val="21"/>
                <w:lang w:bidi="ar"/>
              </w:rPr>
              <w:t>一级</w:t>
            </w:r>
          </w:p>
          <w:p>
            <w:pPr>
              <w:widowControl/>
              <w:spacing w:line="320" w:lineRule="exact"/>
              <w:jc w:val="center"/>
              <w:textAlignment w:val="center"/>
              <w:rPr>
                <w:rFonts w:ascii="仿宋_GB2312" w:hAnsi="仿宋_GB2312" w:eastAsia="仿宋_GB2312" w:cs="仿宋_GB2312"/>
                <w:szCs w:val="21"/>
              </w:rPr>
            </w:pPr>
            <w:r>
              <w:rPr>
                <w:rFonts w:hint="eastAsia" w:ascii="仿宋_GB2312" w:hAnsi="仿宋_GB2312" w:eastAsia="仿宋_GB2312" w:cs="仿宋_GB2312"/>
                <w:kern w:val="0"/>
                <w:szCs w:val="21"/>
                <w:lang w:bidi="ar"/>
              </w:rPr>
              <w:t>指标</w:t>
            </w:r>
          </w:p>
        </w:tc>
        <w:tc>
          <w:tcPr>
            <w:tcW w:w="1635" w:type="dxa"/>
            <w:shd w:val="clear" w:color="auto" w:fill="auto"/>
            <w:vAlign w:val="center"/>
          </w:tcPr>
          <w:p>
            <w:pPr>
              <w:widowControl/>
              <w:spacing w:line="320" w:lineRule="exact"/>
              <w:jc w:val="center"/>
              <w:textAlignment w:val="center"/>
              <w:rPr>
                <w:rFonts w:ascii="仿宋_GB2312" w:hAnsi="仿宋_GB2312" w:eastAsia="仿宋_GB2312" w:cs="仿宋_GB2312"/>
                <w:kern w:val="0"/>
                <w:szCs w:val="21"/>
                <w:lang w:bidi="ar"/>
              </w:rPr>
            </w:pPr>
            <w:r>
              <w:rPr>
                <w:rFonts w:hint="eastAsia" w:ascii="仿宋_GB2312" w:hAnsi="仿宋_GB2312" w:eastAsia="仿宋_GB2312" w:cs="仿宋_GB2312"/>
                <w:kern w:val="0"/>
                <w:szCs w:val="21"/>
                <w:lang w:bidi="ar"/>
              </w:rPr>
              <w:t>二级</w:t>
            </w:r>
          </w:p>
          <w:p>
            <w:pPr>
              <w:widowControl/>
              <w:spacing w:line="320" w:lineRule="exact"/>
              <w:jc w:val="center"/>
              <w:textAlignment w:val="center"/>
              <w:rPr>
                <w:rFonts w:ascii="仿宋_GB2312" w:hAnsi="仿宋_GB2312" w:eastAsia="仿宋_GB2312" w:cs="仿宋_GB2312"/>
                <w:szCs w:val="21"/>
              </w:rPr>
            </w:pPr>
            <w:r>
              <w:rPr>
                <w:rFonts w:hint="eastAsia" w:ascii="仿宋_GB2312" w:hAnsi="仿宋_GB2312" w:eastAsia="仿宋_GB2312" w:cs="仿宋_GB2312"/>
                <w:kern w:val="0"/>
                <w:szCs w:val="21"/>
                <w:lang w:bidi="ar"/>
              </w:rPr>
              <w:t>指标</w:t>
            </w:r>
          </w:p>
        </w:tc>
        <w:tc>
          <w:tcPr>
            <w:tcW w:w="1189" w:type="dxa"/>
            <w:shd w:val="clear" w:color="auto" w:fill="auto"/>
            <w:vAlign w:val="center"/>
          </w:tcPr>
          <w:p>
            <w:pPr>
              <w:widowControl/>
              <w:spacing w:line="320" w:lineRule="exact"/>
              <w:jc w:val="center"/>
              <w:textAlignment w:val="center"/>
              <w:rPr>
                <w:rFonts w:ascii="仿宋_GB2312" w:hAnsi="仿宋_GB2312" w:eastAsia="仿宋_GB2312" w:cs="仿宋_GB2312"/>
                <w:kern w:val="0"/>
                <w:szCs w:val="21"/>
                <w:lang w:bidi="ar"/>
              </w:rPr>
            </w:pPr>
            <w:r>
              <w:rPr>
                <w:rFonts w:hint="eastAsia" w:ascii="仿宋_GB2312" w:hAnsi="仿宋_GB2312" w:eastAsia="仿宋_GB2312" w:cs="仿宋_GB2312"/>
                <w:kern w:val="0"/>
                <w:szCs w:val="21"/>
                <w:lang w:bidi="ar"/>
              </w:rPr>
              <w:t>三级</w:t>
            </w:r>
          </w:p>
          <w:p>
            <w:pPr>
              <w:widowControl/>
              <w:spacing w:line="320" w:lineRule="exact"/>
              <w:jc w:val="center"/>
              <w:textAlignment w:val="center"/>
              <w:rPr>
                <w:rFonts w:ascii="仿宋_GB2312" w:hAnsi="仿宋_GB2312" w:eastAsia="仿宋_GB2312" w:cs="仿宋_GB2312"/>
                <w:szCs w:val="21"/>
              </w:rPr>
            </w:pPr>
            <w:r>
              <w:rPr>
                <w:rFonts w:hint="eastAsia" w:ascii="仿宋_GB2312" w:hAnsi="仿宋_GB2312" w:eastAsia="仿宋_GB2312" w:cs="仿宋_GB2312"/>
                <w:kern w:val="0"/>
                <w:szCs w:val="21"/>
                <w:lang w:bidi="ar"/>
              </w:rPr>
              <w:t>指标</w:t>
            </w:r>
          </w:p>
        </w:tc>
        <w:tc>
          <w:tcPr>
            <w:tcW w:w="1224" w:type="dxa"/>
            <w:shd w:val="clear" w:color="auto" w:fill="auto"/>
            <w:vAlign w:val="center"/>
          </w:tcPr>
          <w:p>
            <w:pPr>
              <w:widowControl/>
              <w:spacing w:line="320" w:lineRule="exact"/>
              <w:jc w:val="center"/>
              <w:textAlignment w:val="center"/>
              <w:rPr>
                <w:rFonts w:ascii="仿宋_GB2312" w:hAnsi="仿宋_GB2312" w:eastAsia="仿宋_GB2312" w:cs="仿宋_GB2312"/>
                <w:szCs w:val="21"/>
              </w:rPr>
            </w:pPr>
            <w:r>
              <w:rPr>
                <w:rFonts w:hint="eastAsia" w:ascii="仿宋_GB2312" w:hAnsi="仿宋_GB2312" w:eastAsia="仿宋_GB2312" w:cs="仿宋_GB2312"/>
                <w:kern w:val="0"/>
                <w:szCs w:val="21"/>
                <w:lang w:bidi="ar"/>
              </w:rPr>
              <w:t>预期指标值</w:t>
            </w:r>
          </w:p>
        </w:tc>
        <w:tc>
          <w:tcPr>
            <w:tcW w:w="2410" w:type="dxa"/>
            <w:shd w:val="clear" w:color="auto" w:fill="auto"/>
            <w:vAlign w:val="center"/>
          </w:tcPr>
          <w:p>
            <w:pPr>
              <w:widowControl/>
              <w:spacing w:line="320" w:lineRule="exact"/>
              <w:jc w:val="center"/>
              <w:textAlignment w:val="center"/>
              <w:rPr>
                <w:rFonts w:ascii="仿宋_GB2312" w:hAnsi="仿宋_GB2312" w:eastAsia="仿宋_GB2312" w:cs="仿宋_GB2312"/>
                <w:szCs w:val="21"/>
              </w:rPr>
            </w:pPr>
            <w:r>
              <w:rPr>
                <w:rFonts w:hint="eastAsia" w:ascii="仿宋_GB2312" w:hAnsi="仿宋_GB2312" w:eastAsia="仿宋_GB2312" w:cs="仿宋_GB2312"/>
                <w:kern w:val="0"/>
                <w:szCs w:val="21"/>
                <w:lang w:bidi="ar"/>
              </w:rPr>
              <w:t>实际完成指标值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34" w:type="dxa"/>
          <w:trHeight w:val="415" w:hRule="atLeast"/>
        </w:trPr>
        <w:tc>
          <w:tcPr>
            <w:tcW w:w="1977" w:type="dxa"/>
            <w:vMerge w:val="continue"/>
            <w:shd w:val="clear" w:color="auto" w:fill="auto"/>
            <w:vAlign w:val="center"/>
          </w:tcPr>
          <w:p>
            <w:pPr>
              <w:spacing w:line="320" w:lineRule="exact"/>
              <w:jc w:val="center"/>
              <w:rPr>
                <w:rFonts w:ascii="仿宋_GB2312" w:hAnsi="仿宋_GB2312" w:eastAsia="仿宋_GB2312" w:cs="仿宋_GB2312"/>
                <w:szCs w:val="21"/>
              </w:rPr>
            </w:pPr>
          </w:p>
        </w:tc>
        <w:tc>
          <w:tcPr>
            <w:tcW w:w="1142" w:type="dxa"/>
            <w:vMerge w:val="restart"/>
            <w:shd w:val="clear" w:color="auto" w:fill="auto"/>
            <w:vAlign w:val="center"/>
          </w:tcPr>
          <w:p>
            <w:pPr>
              <w:widowControl/>
              <w:spacing w:line="320" w:lineRule="exact"/>
              <w:jc w:val="center"/>
              <w:textAlignment w:val="bottom"/>
              <w:rPr>
                <w:rFonts w:ascii="仿宋_GB2312" w:hAnsi="仿宋_GB2312" w:eastAsia="仿宋_GB2312" w:cs="仿宋_GB2312"/>
                <w:kern w:val="0"/>
                <w:szCs w:val="21"/>
                <w:lang w:bidi="ar"/>
              </w:rPr>
            </w:pPr>
            <w:r>
              <w:rPr>
                <w:rFonts w:hint="eastAsia" w:ascii="仿宋_GB2312" w:hAnsi="仿宋_GB2312" w:eastAsia="仿宋_GB2312" w:cs="仿宋_GB2312"/>
                <w:kern w:val="0"/>
                <w:szCs w:val="21"/>
                <w:lang w:bidi="ar"/>
              </w:rPr>
              <w:t>完成</w:t>
            </w:r>
          </w:p>
          <w:p>
            <w:pPr>
              <w:widowControl/>
              <w:spacing w:line="320" w:lineRule="exact"/>
              <w:jc w:val="center"/>
              <w:textAlignment w:val="bottom"/>
              <w:rPr>
                <w:rFonts w:ascii="仿宋_GB2312" w:hAnsi="仿宋_GB2312" w:eastAsia="仿宋_GB2312" w:cs="仿宋_GB2312"/>
                <w:szCs w:val="21"/>
              </w:rPr>
            </w:pPr>
            <w:r>
              <w:rPr>
                <w:rFonts w:hint="eastAsia" w:ascii="仿宋_GB2312" w:hAnsi="仿宋_GB2312" w:eastAsia="仿宋_GB2312" w:cs="仿宋_GB2312"/>
                <w:kern w:val="0"/>
                <w:szCs w:val="21"/>
                <w:lang w:bidi="ar"/>
              </w:rPr>
              <w:t>指标</w:t>
            </w:r>
          </w:p>
        </w:tc>
        <w:tc>
          <w:tcPr>
            <w:tcW w:w="1635" w:type="dxa"/>
            <w:shd w:val="clear" w:color="auto" w:fill="auto"/>
            <w:vAlign w:val="bottom"/>
          </w:tcPr>
          <w:p>
            <w:pPr>
              <w:widowControl/>
              <w:spacing w:line="320" w:lineRule="exact"/>
              <w:jc w:val="center"/>
              <w:textAlignment w:val="bottom"/>
              <w:rPr>
                <w:rFonts w:ascii="仿宋_GB2312" w:hAnsi="仿宋_GB2312" w:eastAsia="仿宋_GB2312" w:cs="仿宋_GB2312"/>
                <w:szCs w:val="21"/>
              </w:rPr>
            </w:pPr>
            <w:r>
              <w:rPr>
                <w:rFonts w:hint="eastAsia" w:ascii="仿宋_GB2312" w:hAnsi="仿宋_GB2312" w:eastAsia="仿宋_GB2312" w:cs="仿宋_GB2312"/>
                <w:kern w:val="0"/>
                <w:szCs w:val="21"/>
                <w:lang w:bidi="ar"/>
              </w:rPr>
              <w:t>数量指标</w:t>
            </w:r>
          </w:p>
        </w:tc>
        <w:tc>
          <w:tcPr>
            <w:tcW w:w="1189" w:type="dxa"/>
            <w:shd w:val="clear" w:color="auto" w:fill="auto"/>
            <w:vAlign w:val="bottom"/>
          </w:tcPr>
          <w:p>
            <w:pPr>
              <w:widowControl/>
              <w:spacing w:line="320" w:lineRule="exact"/>
              <w:jc w:val="center"/>
              <w:textAlignment w:val="bottom"/>
              <w:rPr>
                <w:rFonts w:ascii="仿宋_GB2312" w:hAnsi="仿宋_GB2312" w:eastAsia="仿宋_GB2312" w:cs="仿宋_GB2312"/>
                <w:szCs w:val="21"/>
              </w:rPr>
            </w:pPr>
            <w:r>
              <w:rPr>
                <w:rFonts w:hint="eastAsia" w:ascii="仿宋_GB2312" w:hAnsi="仿宋_GB2312" w:eastAsia="仿宋_GB2312" w:cs="仿宋_GB2312"/>
                <w:szCs w:val="21"/>
              </w:rPr>
              <w:t>每季度组织一次读书活动</w:t>
            </w:r>
          </w:p>
        </w:tc>
        <w:tc>
          <w:tcPr>
            <w:tcW w:w="1224" w:type="dxa"/>
            <w:shd w:val="clear" w:color="auto" w:fill="auto"/>
            <w:vAlign w:val="bottom"/>
          </w:tcPr>
          <w:p>
            <w:pPr>
              <w:widowControl/>
              <w:spacing w:line="320" w:lineRule="exact"/>
              <w:jc w:val="center"/>
              <w:textAlignment w:val="bottom"/>
              <w:rPr>
                <w:rFonts w:ascii="仿宋_GB2312" w:hAnsi="仿宋_GB2312" w:eastAsia="仿宋_GB2312" w:cs="仿宋_GB2312"/>
                <w:szCs w:val="21"/>
              </w:rPr>
            </w:pPr>
            <w:r>
              <w:rPr>
                <w:rFonts w:hint="eastAsia" w:ascii="仿宋_GB2312" w:hAnsi="仿宋_GB2312" w:eastAsia="仿宋_GB2312" w:cs="仿宋_GB2312"/>
                <w:szCs w:val="21"/>
              </w:rPr>
              <w:t>4次</w:t>
            </w:r>
          </w:p>
        </w:tc>
        <w:tc>
          <w:tcPr>
            <w:tcW w:w="2410" w:type="dxa"/>
            <w:shd w:val="clear" w:color="auto" w:fill="auto"/>
            <w:vAlign w:val="bottom"/>
          </w:tcPr>
          <w:p>
            <w:pPr>
              <w:widowControl/>
              <w:spacing w:line="320" w:lineRule="exact"/>
              <w:jc w:val="center"/>
              <w:textAlignment w:val="bottom"/>
              <w:rPr>
                <w:rFonts w:ascii="仿宋_GB2312" w:hAnsi="仿宋_GB2312" w:eastAsia="仿宋_GB2312" w:cs="仿宋_GB2312"/>
                <w:szCs w:val="21"/>
              </w:rPr>
            </w:pPr>
            <w:r>
              <w:rPr>
                <w:rFonts w:hint="eastAsia" w:ascii="仿宋_GB2312" w:hAnsi="仿宋_GB2312" w:eastAsia="仿宋_GB2312" w:cs="仿宋_GB2312"/>
                <w:szCs w:val="21"/>
              </w:rPr>
              <w:t>4次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34" w:type="dxa"/>
          <w:trHeight w:val="415" w:hRule="atLeast"/>
        </w:trPr>
        <w:tc>
          <w:tcPr>
            <w:tcW w:w="1977" w:type="dxa"/>
            <w:vMerge w:val="continue"/>
            <w:shd w:val="clear" w:color="auto" w:fill="auto"/>
            <w:vAlign w:val="center"/>
          </w:tcPr>
          <w:p>
            <w:pPr>
              <w:spacing w:line="320" w:lineRule="exact"/>
              <w:jc w:val="center"/>
              <w:rPr>
                <w:rFonts w:ascii="仿宋_GB2312" w:hAnsi="仿宋_GB2312" w:eastAsia="仿宋_GB2312" w:cs="仿宋_GB2312"/>
                <w:szCs w:val="21"/>
              </w:rPr>
            </w:pPr>
          </w:p>
        </w:tc>
        <w:tc>
          <w:tcPr>
            <w:tcW w:w="1142" w:type="dxa"/>
            <w:vMerge w:val="continue"/>
            <w:shd w:val="clear" w:color="auto" w:fill="auto"/>
            <w:vAlign w:val="center"/>
          </w:tcPr>
          <w:p>
            <w:pPr>
              <w:widowControl/>
              <w:spacing w:line="320" w:lineRule="exact"/>
              <w:jc w:val="center"/>
              <w:textAlignment w:val="bottom"/>
              <w:rPr>
                <w:rFonts w:ascii="仿宋_GB2312" w:hAnsi="仿宋_GB2312" w:eastAsia="仿宋_GB2312" w:cs="仿宋_GB2312"/>
                <w:kern w:val="0"/>
                <w:szCs w:val="21"/>
                <w:lang w:bidi="ar"/>
              </w:rPr>
            </w:pPr>
          </w:p>
        </w:tc>
        <w:tc>
          <w:tcPr>
            <w:tcW w:w="1635" w:type="dxa"/>
            <w:shd w:val="clear" w:color="auto" w:fill="auto"/>
            <w:vAlign w:val="bottom"/>
          </w:tcPr>
          <w:p>
            <w:pPr>
              <w:widowControl/>
              <w:spacing w:line="320" w:lineRule="exact"/>
              <w:jc w:val="center"/>
              <w:textAlignment w:val="bottom"/>
              <w:rPr>
                <w:rFonts w:ascii="仿宋_GB2312" w:hAnsi="仿宋_GB2312" w:eastAsia="仿宋_GB2312" w:cs="仿宋_GB2312"/>
                <w:kern w:val="0"/>
                <w:szCs w:val="21"/>
                <w:lang w:bidi="ar"/>
              </w:rPr>
            </w:pPr>
            <w:r>
              <w:rPr>
                <w:rFonts w:hint="eastAsia" w:ascii="仿宋_GB2312" w:hAnsi="仿宋_GB2312" w:eastAsia="仿宋_GB2312" w:cs="仿宋_GB2312"/>
                <w:kern w:val="0"/>
                <w:szCs w:val="21"/>
                <w:lang w:bidi="ar"/>
              </w:rPr>
              <w:t>数量指标</w:t>
            </w:r>
          </w:p>
        </w:tc>
        <w:tc>
          <w:tcPr>
            <w:tcW w:w="1189" w:type="dxa"/>
            <w:shd w:val="clear" w:color="auto" w:fill="auto"/>
            <w:vAlign w:val="bottom"/>
          </w:tcPr>
          <w:p>
            <w:pPr>
              <w:widowControl/>
              <w:spacing w:line="320" w:lineRule="exact"/>
              <w:jc w:val="center"/>
              <w:textAlignment w:val="bottom"/>
              <w:rPr>
                <w:rFonts w:ascii="仿宋_GB2312" w:hAnsi="仿宋_GB2312" w:eastAsia="仿宋_GB2312" w:cs="仿宋_GB2312"/>
                <w:szCs w:val="21"/>
              </w:rPr>
            </w:pPr>
            <w:r>
              <w:rPr>
                <w:rFonts w:hint="eastAsia" w:ascii="仿宋_GB2312" w:hAnsi="仿宋_GB2312" w:eastAsia="仿宋_GB2312" w:cs="仿宋_GB2312"/>
                <w:szCs w:val="21"/>
              </w:rPr>
              <w:t>发放儿童读物</w:t>
            </w:r>
          </w:p>
        </w:tc>
        <w:tc>
          <w:tcPr>
            <w:tcW w:w="1224" w:type="dxa"/>
            <w:shd w:val="clear" w:color="auto" w:fill="auto"/>
            <w:vAlign w:val="bottom"/>
          </w:tcPr>
          <w:p>
            <w:pPr>
              <w:widowControl/>
              <w:spacing w:line="320" w:lineRule="exact"/>
              <w:jc w:val="center"/>
              <w:textAlignment w:val="bottom"/>
              <w:rPr>
                <w:rFonts w:ascii="仿宋_GB2312" w:hAnsi="仿宋_GB2312" w:eastAsia="仿宋_GB2312" w:cs="仿宋_GB2312"/>
                <w:szCs w:val="21"/>
              </w:rPr>
            </w:pPr>
            <w:r>
              <w:rPr>
                <w:rFonts w:hint="eastAsia" w:ascii="仿宋_GB2312" w:hAnsi="仿宋_GB2312" w:eastAsia="仿宋_GB2312" w:cs="仿宋_GB2312"/>
                <w:szCs w:val="21"/>
              </w:rPr>
              <w:t>160册</w:t>
            </w:r>
          </w:p>
        </w:tc>
        <w:tc>
          <w:tcPr>
            <w:tcW w:w="2410" w:type="dxa"/>
            <w:shd w:val="clear" w:color="auto" w:fill="auto"/>
            <w:vAlign w:val="bottom"/>
          </w:tcPr>
          <w:p>
            <w:pPr>
              <w:widowControl/>
              <w:spacing w:line="320" w:lineRule="exact"/>
              <w:jc w:val="center"/>
              <w:textAlignment w:val="bottom"/>
              <w:rPr>
                <w:rFonts w:ascii="仿宋_GB2312" w:hAnsi="仿宋_GB2312" w:eastAsia="仿宋_GB2312" w:cs="仿宋_GB2312"/>
                <w:szCs w:val="21"/>
              </w:rPr>
            </w:pPr>
            <w:r>
              <w:rPr>
                <w:rFonts w:hint="eastAsia" w:ascii="仿宋_GB2312" w:hAnsi="仿宋_GB2312" w:eastAsia="仿宋_GB2312" w:cs="仿宋_GB2312"/>
                <w:szCs w:val="21"/>
              </w:rPr>
              <w:t>160册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34" w:type="dxa"/>
          <w:trHeight w:val="415" w:hRule="atLeast"/>
        </w:trPr>
        <w:tc>
          <w:tcPr>
            <w:tcW w:w="1977" w:type="dxa"/>
            <w:vMerge w:val="continue"/>
            <w:shd w:val="clear" w:color="auto" w:fill="auto"/>
            <w:vAlign w:val="center"/>
          </w:tcPr>
          <w:p>
            <w:pPr>
              <w:spacing w:line="320" w:lineRule="exact"/>
              <w:jc w:val="center"/>
              <w:rPr>
                <w:rFonts w:ascii="仿宋_GB2312" w:hAnsi="仿宋_GB2312" w:eastAsia="仿宋_GB2312" w:cs="仿宋_GB2312"/>
                <w:szCs w:val="21"/>
              </w:rPr>
            </w:pPr>
          </w:p>
        </w:tc>
        <w:tc>
          <w:tcPr>
            <w:tcW w:w="1142" w:type="dxa"/>
            <w:vMerge w:val="continue"/>
            <w:shd w:val="clear" w:color="auto" w:fill="auto"/>
            <w:vAlign w:val="bottom"/>
          </w:tcPr>
          <w:p>
            <w:pPr>
              <w:spacing w:line="320" w:lineRule="exact"/>
              <w:jc w:val="center"/>
              <w:rPr>
                <w:rFonts w:ascii="仿宋_GB2312" w:hAnsi="仿宋_GB2312" w:eastAsia="仿宋_GB2312" w:cs="仿宋_GB2312"/>
                <w:szCs w:val="21"/>
              </w:rPr>
            </w:pPr>
          </w:p>
        </w:tc>
        <w:tc>
          <w:tcPr>
            <w:tcW w:w="1635" w:type="dxa"/>
            <w:shd w:val="clear" w:color="auto" w:fill="auto"/>
            <w:vAlign w:val="bottom"/>
          </w:tcPr>
          <w:p>
            <w:pPr>
              <w:widowControl/>
              <w:spacing w:line="320" w:lineRule="exact"/>
              <w:jc w:val="center"/>
              <w:textAlignment w:val="bottom"/>
              <w:rPr>
                <w:rFonts w:ascii="仿宋_GB2312" w:hAnsi="仿宋_GB2312" w:eastAsia="仿宋_GB2312" w:cs="仿宋_GB2312"/>
                <w:kern w:val="0"/>
                <w:szCs w:val="21"/>
                <w:lang w:bidi="ar"/>
              </w:rPr>
            </w:pPr>
            <w:r>
              <w:rPr>
                <w:rFonts w:hint="eastAsia" w:ascii="仿宋_GB2312" w:hAnsi="仿宋_GB2312" w:eastAsia="仿宋_GB2312" w:cs="仿宋_GB2312"/>
                <w:kern w:val="0"/>
                <w:szCs w:val="21"/>
                <w:lang w:bidi="ar"/>
              </w:rPr>
              <w:t>时效指标</w:t>
            </w:r>
          </w:p>
        </w:tc>
        <w:tc>
          <w:tcPr>
            <w:tcW w:w="1189" w:type="dxa"/>
            <w:shd w:val="clear" w:color="auto" w:fill="auto"/>
            <w:vAlign w:val="bottom"/>
          </w:tcPr>
          <w:p>
            <w:pPr>
              <w:widowControl/>
              <w:spacing w:line="320" w:lineRule="exact"/>
              <w:jc w:val="center"/>
              <w:textAlignment w:val="bottom"/>
              <w:rPr>
                <w:rFonts w:ascii="仿宋_GB2312" w:hAnsi="仿宋_GB2312" w:eastAsia="仿宋_GB2312" w:cs="仿宋_GB2312"/>
                <w:szCs w:val="21"/>
              </w:rPr>
            </w:pPr>
            <w:r>
              <w:rPr>
                <w:rFonts w:hint="eastAsia" w:ascii="仿宋_GB2312" w:hAnsi="仿宋_GB2312" w:eastAsia="仿宋_GB2312" w:cs="仿宋_GB2312"/>
                <w:szCs w:val="21"/>
              </w:rPr>
              <w:t>每季度组织一次读书活动</w:t>
            </w:r>
          </w:p>
        </w:tc>
        <w:tc>
          <w:tcPr>
            <w:tcW w:w="1224" w:type="dxa"/>
            <w:shd w:val="clear" w:color="auto" w:fill="auto"/>
            <w:vAlign w:val="bottom"/>
          </w:tcPr>
          <w:p>
            <w:pPr>
              <w:widowControl/>
              <w:spacing w:line="320" w:lineRule="exact"/>
              <w:jc w:val="center"/>
              <w:textAlignment w:val="bottom"/>
              <w:rPr>
                <w:rFonts w:ascii="仿宋_GB2312" w:hAnsi="仿宋_GB2312" w:eastAsia="仿宋_GB2312" w:cs="仿宋_GB2312"/>
                <w:szCs w:val="21"/>
              </w:rPr>
            </w:pPr>
            <w:r>
              <w:rPr>
                <w:rFonts w:hint="eastAsia" w:ascii="仿宋_GB2312" w:hAnsi="仿宋_GB2312" w:eastAsia="仿宋_GB2312" w:cs="仿宋_GB2312"/>
                <w:szCs w:val="21"/>
              </w:rPr>
              <w:t>每季度一次</w:t>
            </w:r>
          </w:p>
        </w:tc>
        <w:tc>
          <w:tcPr>
            <w:tcW w:w="2410" w:type="dxa"/>
            <w:shd w:val="clear" w:color="auto" w:fill="auto"/>
            <w:vAlign w:val="bottom"/>
          </w:tcPr>
          <w:p>
            <w:pPr>
              <w:widowControl/>
              <w:spacing w:line="320" w:lineRule="exact"/>
              <w:jc w:val="center"/>
              <w:textAlignment w:val="bottom"/>
              <w:rPr>
                <w:rFonts w:ascii="仿宋_GB2312" w:hAnsi="仿宋_GB2312" w:eastAsia="仿宋_GB2312" w:cs="仿宋_GB2312"/>
                <w:szCs w:val="21"/>
              </w:rPr>
            </w:pPr>
            <w:r>
              <w:rPr>
                <w:rFonts w:hint="eastAsia" w:ascii="仿宋_GB2312" w:hAnsi="仿宋_GB2312" w:eastAsia="仿宋_GB2312" w:cs="仿宋_GB2312"/>
                <w:szCs w:val="21"/>
              </w:rPr>
              <w:t>已完成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34" w:type="dxa"/>
          <w:trHeight w:val="415" w:hRule="atLeast"/>
        </w:trPr>
        <w:tc>
          <w:tcPr>
            <w:tcW w:w="1977" w:type="dxa"/>
            <w:vMerge w:val="continue"/>
            <w:shd w:val="clear" w:color="auto" w:fill="auto"/>
            <w:vAlign w:val="center"/>
          </w:tcPr>
          <w:p>
            <w:pPr>
              <w:spacing w:line="320" w:lineRule="exact"/>
              <w:jc w:val="center"/>
              <w:rPr>
                <w:rFonts w:ascii="仿宋_GB2312" w:hAnsi="仿宋_GB2312" w:eastAsia="仿宋_GB2312" w:cs="仿宋_GB2312"/>
                <w:szCs w:val="21"/>
              </w:rPr>
            </w:pPr>
          </w:p>
        </w:tc>
        <w:tc>
          <w:tcPr>
            <w:tcW w:w="1142" w:type="dxa"/>
            <w:vMerge w:val="continue"/>
            <w:shd w:val="clear" w:color="auto" w:fill="auto"/>
            <w:vAlign w:val="bottom"/>
          </w:tcPr>
          <w:p>
            <w:pPr>
              <w:spacing w:line="320" w:lineRule="exact"/>
              <w:jc w:val="center"/>
              <w:rPr>
                <w:rFonts w:ascii="仿宋_GB2312" w:hAnsi="仿宋_GB2312" w:eastAsia="仿宋_GB2312" w:cs="仿宋_GB2312"/>
                <w:szCs w:val="21"/>
              </w:rPr>
            </w:pPr>
          </w:p>
        </w:tc>
        <w:tc>
          <w:tcPr>
            <w:tcW w:w="1635" w:type="dxa"/>
            <w:shd w:val="clear" w:color="auto" w:fill="auto"/>
            <w:vAlign w:val="bottom"/>
          </w:tcPr>
          <w:p>
            <w:pPr>
              <w:widowControl/>
              <w:spacing w:line="320" w:lineRule="exact"/>
              <w:jc w:val="center"/>
              <w:textAlignment w:val="bottom"/>
              <w:rPr>
                <w:rFonts w:ascii="仿宋_GB2312" w:hAnsi="仿宋_GB2312" w:eastAsia="仿宋_GB2312" w:cs="仿宋_GB2312"/>
                <w:kern w:val="0"/>
                <w:szCs w:val="21"/>
                <w:lang w:bidi="ar"/>
              </w:rPr>
            </w:pPr>
            <w:r>
              <w:rPr>
                <w:rFonts w:hint="eastAsia" w:ascii="仿宋_GB2312" w:hAnsi="仿宋_GB2312" w:eastAsia="仿宋_GB2312" w:cs="仿宋_GB2312"/>
                <w:kern w:val="0"/>
                <w:szCs w:val="21"/>
                <w:lang w:bidi="ar"/>
              </w:rPr>
              <w:t>时效指标</w:t>
            </w:r>
          </w:p>
        </w:tc>
        <w:tc>
          <w:tcPr>
            <w:tcW w:w="1189" w:type="dxa"/>
            <w:shd w:val="clear" w:color="auto" w:fill="auto"/>
            <w:vAlign w:val="bottom"/>
          </w:tcPr>
          <w:p>
            <w:pPr>
              <w:widowControl/>
              <w:spacing w:line="320" w:lineRule="exact"/>
              <w:jc w:val="center"/>
              <w:textAlignment w:val="bottom"/>
              <w:rPr>
                <w:rFonts w:ascii="仿宋_GB2312" w:hAnsi="仿宋_GB2312" w:eastAsia="仿宋_GB2312" w:cs="仿宋_GB2312"/>
                <w:szCs w:val="21"/>
              </w:rPr>
            </w:pPr>
            <w:r>
              <w:rPr>
                <w:rFonts w:hint="eastAsia" w:ascii="仿宋_GB2312" w:hAnsi="仿宋_GB2312" w:eastAsia="仿宋_GB2312" w:cs="仿宋_GB2312"/>
                <w:szCs w:val="21"/>
              </w:rPr>
              <w:t>发放儿童读物</w:t>
            </w:r>
          </w:p>
        </w:tc>
        <w:tc>
          <w:tcPr>
            <w:tcW w:w="1224" w:type="dxa"/>
            <w:shd w:val="clear" w:color="auto" w:fill="auto"/>
            <w:vAlign w:val="bottom"/>
          </w:tcPr>
          <w:p>
            <w:pPr>
              <w:widowControl/>
              <w:spacing w:line="320" w:lineRule="exact"/>
              <w:jc w:val="center"/>
              <w:textAlignment w:val="bottom"/>
              <w:rPr>
                <w:rFonts w:ascii="仿宋_GB2312" w:hAnsi="仿宋_GB2312" w:eastAsia="仿宋_GB2312" w:cs="仿宋_GB2312"/>
                <w:szCs w:val="21"/>
              </w:rPr>
            </w:pPr>
            <w:r>
              <w:rPr>
                <w:rFonts w:hint="eastAsia" w:ascii="仿宋_GB2312" w:hAnsi="仿宋_GB2312" w:eastAsia="仿宋_GB2312" w:cs="仿宋_GB2312"/>
                <w:szCs w:val="21"/>
              </w:rPr>
              <w:t>2021年12月前发放</w:t>
            </w:r>
          </w:p>
        </w:tc>
        <w:tc>
          <w:tcPr>
            <w:tcW w:w="2410" w:type="dxa"/>
            <w:shd w:val="clear" w:color="auto" w:fill="auto"/>
            <w:vAlign w:val="bottom"/>
          </w:tcPr>
          <w:p>
            <w:pPr>
              <w:widowControl/>
              <w:spacing w:line="320" w:lineRule="exact"/>
              <w:jc w:val="center"/>
              <w:textAlignment w:val="bottom"/>
              <w:rPr>
                <w:rFonts w:ascii="仿宋_GB2312" w:hAnsi="仿宋_GB2312" w:eastAsia="仿宋_GB2312" w:cs="仿宋_GB2312"/>
                <w:szCs w:val="21"/>
              </w:rPr>
            </w:pPr>
            <w:r>
              <w:rPr>
                <w:rFonts w:hint="eastAsia" w:ascii="仿宋_GB2312" w:hAnsi="仿宋_GB2312" w:eastAsia="仿宋_GB2312" w:cs="仿宋_GB2312"/>
                <w:szCs w:val="21"/>
              </w:rPr>
              <w:t>已完成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34" w:type="dxa"/>
          <w:trHeight w:val="390" w:hRule="atLeast"/>
        </w:trPr>
        <w:tc>
          <w:tcPr>
            <w:tcW w:w="1977" w:type="dxa"/>
            <w:vMerge w:val="continue"/>
            <w:shd w:val="clear" w:color="auto" w:fill="auto"/>
            <w:vAlign w:val="center"/>
          </w:tcPr>
          <w:p>
            <w:pPr>
              <w:spacing w:line="320" w:lineRule="exact"/>
              <w:jc w:val="center"/>
              <w:rPr>
                <w:rFonts w:ascii="仿宋_GB2312" w:hAnsi="仿宋_GB2312" w:eastAsia="仿宋_GB2312" w:cs="仿宋_GB2312"/>
                <w:szCs w:val="21"/>
              </w:rPr>
            </w:pPr>
          </w:p>
        </w:tc>
        <w:tc>
          <w:tcPr>
            <w:tcW w:w="1142" w:type="dxa"/>
            <w:vMerge w:val="continue"/>
            <w:shd w:val="clear" w:color="auto" w:fill="auto"/>
            <w:vAlign w:val="bottom"/>
          </w:tcPr>
          <w:p>
            <w:pPr>
              <w:spacing w:line="320" w:lineRule="exact"/>
              <w:jc w:val="center"/>
              <w:rPr>
                <w:rFonts w:ascii="仿宋_GB2312" w:hAnsi="仿宋_GB2312" w:eastAsia="仿宋_GB2312" w:cs="仿宋_GB2312"/>
                <w:szCs w:val="21"/>
              </w:rPr>
            </w:pPr>
          </w:p>
        </w:tc>
        <w:tc>
          <w:tcPr>
            <w:tcW w:w="1635" w:type="dxa"/>
            <w:shd w:val="clear" w:color="auto" w:fill="auto"/>
            <w:vAlign w:val="bottom"/>
          </w:tcPr>
          <w:p>
            <w:pPr>
              <w:widowControl/>
              <w:spacing w:line="320" w:lineRule="exact"/>
              <w:jc w:val="center"/>
              <w:textAlignment w:val="bottom"/>
              <w:rPr>
                <w:rFonts w:ascii="仿宋_GB2312" w:hAnsi="仿宋_GB2312" w:eastAsia="仿宋_GB2312" w:cs="仿宋_GB2312"/>
                <w:kern w:val="0"/>
                <w:szCs w:val="21"/>
                <w:lang w:bidi="ar"/>
              </w:rPr>
            </w:pPr>
            <w:r>
              <w:rPr>
                <w:rFonts w:hint="eastAsia" w:ascii="仿宋_GB2312" w:hAnsi="仿宋_GB2312" w:eastAsia="仿宋_GB2312" w:cs="仿宋_GB2312"/>
                <w:kern w:val="0"/>
                <w:szCs w:val="21"/>
                <w:lang w:bidi="ar"/>
              </w:rPr>
              <w:t>成本指标</w:t>
            </w:r>
          </w:p>
        </w:tc>
        <w:tc>
          <w:tcPr>
            <w:tcW w:w="1189" w:type="dxa"/>
            <w:shd w:val="clear" w:color="auto" w:fill="auto"/>
            <w:vAlign w:val="bottom"/>
          </w:tcPr>
          <w:p>
            <w:pPr>
              <w:widowControl/>
              <w:spacing w:line="320" w:lineRule="exact"/>
              <w:jc w:val="center"/>
              <w:textAlignment w:val="bottom"/>
              <w:rPr>
                <w:rFonts w:ascii="仿宋_GB2312" w:hAnsi="仿宋_GB2312" w:eastAsia="仿宋_GB2312" w:cs="仿宋_GB2312"/>
                <w:szCs w:val="21"/>
              </w:rPr>
            </w:pPr>
            <w:r>
              <w:rPr>
                <w:rFonts w:hint="eastAsia" w:ascii="仿宋_GB2312" w:hAnsi="仿宋_GB2312" w:eastAsia="仿宋_GB2312" w:cs="仿宋_GB2312"/>
                <w:szCs w:val="21"/>
              </w:rPr>
              <w:t>购买儿童读物</w:t>
            </w:r>
          </w:p>
        </w:tc>
        <w:tc>
          <w:tcPr>
            <w:tcW w:w="1224" w:type="dxa"/>
            <w:shd w:val="clear" w:color="auto" w:fill="auto"/>
            <w:vAlign w:val="bottom"/>
          </w:tcPr>
          <w:p>
            <w:pPr>
              <w:widowControl/>
              <w:spacing w:line="320" w:lineRule="exact"/>
              <w:jc w:val="center"/>
              <w:textAlignment w:val="bottom"/>
              <w:rPr>
                <w:rFonts w:ascii="仿宋_GB2312" w:hAnsi="仿宋_GB2312" w:eastAsia="仿宋_GB2312" w:cs="仿宋_GB2312"/>
                <w:szCs w:val="21"/>
              </w:rPr>
            </w:pPr>
            <w:r>
              <w:rPr>
                <w:rFonts w:hint="eastAsia" w:ascii="仿宋_GB2312" w:hAnsi="仿宋_GB2312" w:eastAsia="仿宋_GB2312" w:cs="仿宋_GB2312"/>
                <w:szCs w:val="21"/>
              </w:rPr>
              <w:t>5000元</w:t>
            </w:r>
          </w:p>
        </w:tc>
        <w:tc>
          <w:tcPr>
            <w:tcW w:w="2410" w:type="dxa"/>
            <w:shd w:val="clear" w:color="auto" w:fill="auto"/>
            <w:vAlign w:val="bottom"/>
          </w:tcPr>
          <w:p>
            <w:pPr>
              <w:widowControl/>
              <w:spacing w:line="320" w:lineRule="exact"/>
              <w:jc w:val="center"/>
              <w:textAlignment w:val="bottom"/>
              <w:rPr>
                <w:rFonts w:ascii="仿宋_GB2312" w:hAnsi="仿宋_GB2312" w:eastAsia="仿宋_GB2312" w:cs="仿宋_GB2312"/>
                <w:szCs w:val="21"/>
              </w:rPr>
            </w:pPr>
            <w:r>
              <w:rPr>
                <w:rFonts w:hint="eastAsia" w:ascii="仿宋_GB2312" w:hAnsi="仿宋_GB2312" w:eastAsia="仿宋_GB2312" w:cs="仿宋_GB2312"/>
                <w:szCs w:val="21"/>
              </w:rPr>
              <w:t>5000元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34" w:type="dxa"/>
          <w:trHeight w:val="480" w:hRule="atLeast"/>
        </w:trPr>
        <w:tc>
          <w:tcPr>
            <w:tcW w:w="1977" w:type="dxa"/>
            <w:vMerge w:val="continue"/>
            <w:shd w:val="clear" w:color="auto" w:fill="auto"/>
            <w:vAlign w:val="center"/>
          </w:tcPr>
          <w:p>
            <w:pPr>
              <w:spacing w:line="320" w:lineRule="exact"/>
              <w:jc w:val="center"/>
              <w:rPr>
                <w:rFonts w:ascii="仿宋_GB2312" w:hAnsi="仿宋_GB2312" w:eastAsia="仿宋_GB2312" w:cs="仿宋_GB2312"/>
                <w:szCs w:val="21"/>
              </w:rPr>
            </w:pPr>
          </w:p>
        </w:tc>
        <w:tc>
          <w:tcPr>
            <w:tcW w:w="1142" w:type="dxa"/>
            <w:vMerge w:val="restart"/>
            <w:shd w:val="clear" w:color="auto" w:fill="auto"/>
            <w:vAlign w:val="center"/>
          </w:tcPr>
          <w:p>
            <w:pPr>
              <w:widowControl/>
              <w:spacing w:line="320" w:lineRule="exact"/>
              <w:jc w:val="center"/>
              <w:textAlignment w:val="bottom"/>
              <w:rPr>
                <w:rFonts w:ascii="仿宋_GB2312" w:hAnsi="仿宋_GB2312" w:eastAsia="仿宋_GB2312" w:cs="仿宋_GB2312"/>
                <w:kern w:val="0"/>
                <w:szCs w:val="21"/>
                <w:lang w:bidi="ar"/>
              </w:rPr>
            </w:pPr>
            <w:r>
              <w:rPr>
                <w:rFonts w:hint="eastAsia" w:ascii="仿宋_GB2312" w:hAnsi="仿宋_GB2312" w:eastAsia="仿宋_GB2312" w:cs="仿宋_GB2312"/>
                <w:kern w:val="0"/>
                <w:szCs w:val="21"/>
                <w:lang w:bidi="ar"/>
              </w:rPr>
              <w:t>效益</w:t>
            </w:r>
          </w:p>
          <w:p>
            <w:pPr>
              <w:widowControl/>
              <w:spacing w:line="320" w:lineRule="exact"/>
              <w:jc w:val="center"/>
              <w:textAlignment w:val="bottom"/>
              <w:rPr>
                <w:rFonts w:ascii="仿宋_GB2312" w:hAnsi="仿宋_GB2312" w:eastAsia="仿宋_GB2312" w:cs="仿宋_GB2312"/>
                <w:szCs w:val="21"/>
              </w:rPr>
            </w:pPr>
            <w:r>
              <w:rPr>
                <w:rFonts w:hint="eastAsia" w:ascii="仿宋_GB2312" w:hAnsi="仿宋_GB2312" w:eastAsia="仿宋_GB2312" w:cs="仿宋_GB2312"/>
                <w:kern w:val="0"/>
                <w:szCs w:val="21"/>
                <w:lang w:bidi="ar"/>
              </w:rPr>
              <w:t>指标</w:t>
            </w:r>
          </w:p>
        </w:tc>
        <w:tc>
          <w:tcPr>
            <w:tcW w:w="1635" w:type="dxa"/>
            <w:shd w:val="clear" w:color="auto" w:fill="auto"/>
            <w:vAlign w:val="bottom"/>
          </w:tcPr>
          <w:p>
            <w:pPr>
              <w:widowControl/>
              <w:spacing w:line="320" w:lineRule="exact"/>
              <w:jc w:val="center"/>
              <w:textAlignment w:val="bottom"/>
              <w:rPr>
                <w:rFonts w:ascii="仿宋_GB2312" w:hAnsi="仿宋_GB2312" w:eastAsia="仿宋_GB2312" w:cs="仿宋_GB2312"/>
                <w:szCs w:val="21"/>
              </w:rPr>
            </w:pPr>
            <w:r>
              <w:rPr>
                <w:rFonts w:hint="eastAsia" w:ascii="仿宋_GB2312" w:hAnsi="仿宋_GB2312" w:eastAsia="仿宋_GB2312" w:cs="仿宋_GB2312"/>
                <w:kern w:val="0"/>
                <w:szCs w:val="21"/>
                <w:lang w:bidi="ar"/>
              </w:rPr>
              <w:t>经济效益  指标</w:t>
            </w:r>
          </w:p>
        </w:tc>
        <w:tc>
          <w:tcPr>
            <w:tcW w:w="1189" w:type="dxa"/>
            <w:shd w:val="clear" w:color="auto" w:fill="auto"/>
            <w:vAlign w:val="bottom"/>
          </w:tcPr>
          <w:p>
            <w:pPr>
              <w:widowControl/>
              <w:spacing w:line="320" w:lineRule="exact"/>
              <w:jc w:val="center"/>
              <w:textAlignment w:val="bottom"/>
              <w:rPr>
                <w:rFonts w:ascii="仿宋_GB2312" w:hAnsi="仿宋_GB2312" w:eastAsia="仿宋_GB2312" w:cs="仿宋_GB2312"/>
                <w:szCs w:val="21"/>
              </w:rPr>
            </w:pPr>
          </w:p>
        </w:tc>
        <w:tc>
          <w:tcPr>
            <w:tcW w:w="1224" w:type="dxa"/>
            <w:shd w:val="clear" w:color="auto" w:fill="auto"/>
            <w:vAlign w:val="bottom"/>
          </w:tcPr>
          <w:p>
            <w:pPr>
              <w:widowControl/>
              <w:spacing w:line="320" w:lineRule="exact"/>
              <w:jc w:val="center"/>
              <w:textAlignment w:val="bottom"/>
              <w:rPr>
                <w:rFonts w:ascii="仿宋_GB2312" w:hAnsi="仿宋_GB2312" w:eastAsia="仿宋_GB2312" w:cs="仿宋_GB2312"/>
                <w:szCs w:val="21"/>
              </w:rPr>
            </w:pPr>
          </w:p>
        </w:tc>
        <w:tc>
          <w:tcPr>
            <w:tcW w:w="2410" w:type="dxa"/>
            <w:shd w:val="clear" w:color="auto" w:fill="auto"/>
            <w:vAlign w:val="bottom"/>
          </w:tcPr>
          <w:p>
            <w:pPr>
              <w:widowControl/>
              <w:spacing w:line="320" w:lineRule="exact"/>
              <w:jc w:val="center"/>
              <w:textAlignment w:val="bottom"/>
              <w:rPr>
                <w:rFonts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34" w:type="dxa"/>
          <w:trHeight w:val="480" w:hRule="atLeast"/>
        </w:trPr>
        <w:tc>
          <w:tcPr>
            <w:tcW w:w="1977" w:type="dxa"/>
            <w:vMerge w:val="continue"/>
            <w:shd w:val="clear" w:color="auto" w:fill="auto"/>
            <w:vAlign w:val="center"/>
          </w:tcPr>
          <w:p>
            <w:pPr>
              <w:spacing w:line="320" w:lineRule="exact"/>
              <w:jc w:val="center"/>
              <w:rPr>
                <w:rFonts w:ascii="仿宋_GB2312" w:hAnsi="仿宋_GB2312" w:eastAsia="仿宋_GB2312" w:cs="仿宋_GB2312"/>
                <w:szCs w:val="21"/>
              </w:rPr>
            </w:pPr>
          </w:p>
        </w:tc>
        <w:tc>
          <w:tcPr>
            <w:tcW w:w="1142" w:type="dxa"/>
            <w:vMerge w:val="continue"/>
            <w:shd w:val="clear" w:color="auto" w:fill="auto"/>
            <w:vAlign w:val="bottom"/>
          </w:tcPr>
          <w:p>
            <w:pPr>
              <w:spacing w:line="320" w:lineRule="exact"/>
              <w:jc w:val="center"/>
              <w:rPr>
                <w:rFonts w:ascii="仿宋_GB2312" w:hAnsi="仿宋_GB2312" w:eastAsia="仿宋_GB2312" w:cs="仿宋_GB2312"/>
                <w:szCs w:val="21"/>
              </w:rPr>
            </w:pPr>
          </w:p>
        </w:tc>
        <w:tc>
          <w:tcPr>
            <w:tcW w:w="1635" w:type="dxa"/>
            <w:shd w:val="clear" w:color="auto" w:fill="auto"/>
            <w:vAlign w:val="bottom"/>
          </w:tcPr>
          <w:p>
            <w:pPr>
              <w:widowControl/>
              <w:spacing w:line="320" w:lineRule="exact"/>
              <w:jc w:val="center"/>
              <w:textAlignment w:val="bottom"/>
              <w:rPr>
                <w:rFonts w:ascii="仿宋_GB2312" w:hAnsi="仿宋_GB2312" w:eastAsia="仿宋_GB2312" w:cs="仿宋_GB2312"/>
                <w:szCs w:val="21"/>
              </w:rPr>
            </w:pPr>
            <w:r>
              <w:rPr>
                <w:rFonts w:hint="eastAsia" w:ascii="仿宋_GB2312" w:hAnsi="仿宋_GB2312" w:eastAsia="仿宋_GB2312" w:cs="仿宋_GB2312"/>
                <w:kern w:val="0"/>
                <w:szCs w:val="21"/>
                <w:lang w:bidi="ar"/>
              </w:rPr>
              <w:t>社会效益  指标</w:t>
            </w:r>
          </w:p>
        </w:tc>
        <w:tc>
          <w:tcPr>
            <w:tcW w:w="1189" w:type="dxa"/>
            <w:shd w:val="clear" w:color="auto" w:fill="auto"/>
            <w:vAlign w:val="bottom"/>
          </w:tcPr>
          <w:p>
            <w:pPr>
              <w:widowControl/>
              <w:tabs>
                <w:tab w:val="left" w:pos="422"/>
              </w:tabs>
              <w:spacing w:line="320" w:lineRule="exact"/>
              <w:textAlignment w:val="bottom"/>
              <w:rPr>
                <w:rFonts w:ascii="仿宋_GB2312" w:hAnsi="仿宋_GB2312" w:eastAsia="仿宋_GB2312" w:cs="仿宋_GB2312"/>
                <w:szCs w:val="21"/>
              </w:rPr>
            </w:pPr>
            <w:r>
              <w:rPr>
                <w:rFonts w:hint="eastAsia" w:ascii="仿宋_GB2312" w:hAnsi="仿宋_GB2312" w:eastAsia="仿宋_GB2312" w:cs="仿宋_GB2312"/>
                <w:szCs w:val="21"/>
              </w:rPr>
              <w:t>未成年人受教育程度</w:t>
            </w:r>
          </w:p>
        </w:tc>
        <w:tc>
          <w:tcPr>
            <w:tcW w:w="1224" w:type="dxa"/>
            <w:shd w:val="clear" w:color="auto" w:fill="auto"/>
            <w:vAlign w:val="bottom"/>
          </w:tcPr>
          <w:p>
            <w:pPr>
              <w:widowControl/>
              <w:spacing w:line="320" w:lineRule="exact"/>
              <w:textAlignment w:val="bottom"/>
              <w:rPr>
                <w:rFonts w:ascii="仿宋_GB2312" w:hAnsi="仿宋_GB2312" w:eastAsia="仿宋_GB2312" w:cs="仿宋_GB2312"/>
                <w:szCs w:val="21"/>
              </w:rPr>
            </w:pPr>
            <w:r>
              <w:rPr>
                <w:rFonts w:hint="eastAsia" w:ascii="仿宋_GB2312" w:hAnsi="仿宋_GB2312" w:eastAsia="仿宋_GB2312" w:cs="仿宋_GB2312"/>
                <w:szCs w:val="21"/>
              </w:rPr>
              <w:t>良好</w:t>
            </w:r>
          </w:p>
        </w:tc>
        <w:tc>
          <w:tcPr>
            <w:tcW w:w="2410" w:type="dxa"/>
            <w:shd w:val="clear" w:color="auto" w:fill="auto"/>
            <w:vAlign w:val="bottom"/>
          </w:tcPr>
          <w:p>
            <w:pPr>
              <w:widowControl/>
              <w:spacing w:line="320" w:lineRule="exact"/>
              <w:jc w:val="center"/>
              <w:textAlignment w:val="bottom"/>
              <w:rPr>
                <w:rFonts w:ascii="仿宋_GB2312" w:hAnsi="仿宋_GB2312" w:eastAsia="仿宋_GB2312" w:cs="仿宋_GB2312"/>
                <w:szCs w:val="21"/>
              </w:rPr>
            </w:pPr>
            <w:r>
              <w:rPr>
                <w:rFonts w:hint="eastAsia" w:ascii="仿宋_GB2312" w:hAnsi="仿宋_GB2312" w:eastAsia="仿宋_GB2312" w:cs="仿宋_GB2312"/>
                <w:szCs w:val="21"/>
              </w:rPr>
              <w:t>良好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34" w:type="dxa"/>
          <w:trHeight w:val="577" w:hRule="atLeast"/>
        </w:trPr>
        <w:tc>
          <w:tcPr>
            <w:tcW w:w="1977" w:type="dxa"/>
            <w:vMerge w:val="continue"/>
            <w:shd w:val="clear" w:color="auto" w:fill="auto"/>
            <w:vAlign w:val="center"/>
          </w:tcPr>
          <w:p>
            <w:pPr>
              <w:spacing w:line="320" w:lineRule="exact"/>
              <w:jc w:val="center"/>
              <w:rPr>
                <w:rFonts w:ascii="仿宋_GB2312" w:hAnsi="仿宋_GB2312" w:eastAsia="仿宋_GB2312" w:cs="仿宋_GB2312"/>
                <w:szCs w:val="21"/>
              </w:rPr>
            </w:pPr>
          </w:p>
        </w:tc>
        <w:tc>
          <w:tcPr>
            <w:tcW w:w="1142" w:type="dxa"/>
            <w:vMerge w:val="continue"/>
            <w:shd w:val="clear" w:color="auto" w:fill="auto"/>
            <w:vAlign w:val="bottom"/>
          </w:tcPr>
          <w:p>
            <w:pPr>
              <w:spacing w:line="320" w:lineRule="exact"/>
              <w:jc w:val="center"/>
              <w:rPr>
                <w:rFonts w:ascii="仿宋_GB2312" w:hAnsi="仿宋_GB2312" w:eastAsia="仿宋_GB2312" w:cs="仿宋_GB2312"/>
                <w:szCs w:val="21"/>
              </w:rPr>
            </w:pPr>
          </w:p>
        </w:tc>
        <w:tc>
          <w:tcPr>
            <w:tcW w:w="1635" w:type="dxa"/>
            <w:shd w:val="clear" w:color="auto" w:fill="auto"/>
            <w:vAlign w:val="bottom"/>
          </w:tcPr>
          <w:p>
            <w:pPr>
              <w:widowControl/>
              <w:spacing w:line="320" w:lineRule="exact"/>
              <w:ind w:left="393" w:leftChars="87" w:hanging="210" w:hangingChars="100"/>
              <w:jc w:val="left"/>
              <w:textAlignment w:val="bottom"/>
              <w:rPr>
                <w:rFonts w:ascii="仿宋_GB2312" w:hAnsi="仿宋_GB2312" w:eastAsia="仿宋_GB2312" w:cs="仿宋_GB2312"/>
                <w:szCs w:val="21"/>
              </w:rPr>
            </w:pPr>
            <w:r>
              <w:rPr>
                <w:rFonts w:hint="eastAsia" w:ascii="仿宋_GB2312" w:hAnsi="仿宋_GB2312" w:eastAsia="仿宋_GB2312" w:cs="仿宋_GB2312"/>
                <w:kern w:val="0"/>
                <w:szCs w:val="21"/>
                <w:lang w:bidi="ar"/>
              </w:rPr>
              <w:t>生态效益  指标</w:t>
            </w:r>
          </w:p>
        </w:tc>
        <w:tc>
          <w:tcPr>
            <w:tcW w:w="1189" w:type="dxa"/>
            <w:shd w:val="clear" w:color="auto" w:fill="auto"/>
            <w:vAlign w:val="bottom"/>
          </w:tcPr>
          <w:p>
            <w:pPr>
              <w:widowControl/>
              <w:spacing w:line="320" w:lineRule="exact"/>
              <w:jc w:val="center"/>
              <w:textAlignment w:val="bottom"/>
              <w:rPr>
                <w:rFonts w:ascii="仿宋_GB2312" w:hAnsi="仿宋_GB2312" w:eastAsia="仿宋_GB2312" w:cs="仿宋_GB2312"/>
                <w:szCs w:val="21"/>
              </w:rPr>
            </w:pPr>
          </w:p>
        </w:tc>
        <w:tc>
          <w:tcPr>
            <w:tcW w:w="1224" w:type="dxa"/>
            <w:shd w:val="clear" w:color="auto" w:fill="auto"/>
            <w:vAlign w:val="bottom"/>
          </w:tcPr>
          <w:p>
            <w:pPr>
              <w:widowControl/>
              <w:spacing w:line="320" w:lineRule="exact"/>
              <w:jc w:val="center"/>
              <w:textAlignment w:val="bottom"/>
              <w:rPr>
                <w:rFonts w:ascii="仿宋_GB2312" w:hAnsi="仿宋_GB2312" w:eastAsia="仿宋_GB2312" w:cs="仿宋_GB2312"/>
                <w:szCs w:val="21"/>
              </w:rPr>
            </w:pPr>
          </w:p>
        </w:tc>
        <w:tc>
          <w:tcPr>
            <w:tcW w:w="2410" w:type="dxa"/>
            <w:shd w:val="clear" w:color="auto" w:fill="auto"/>
            <w:vAlign w:val="bottom"/>
          </w:tcPr>
          <w:p>
            <w:pPr>
              <w:widowControl/>
              <w:spacing w:line="320" w:lineRule="exact"/>
              <w:jc w:val="center"/>
              <w:textAlignment w:val="bottom"/>
              <w:rPr>
                <w:rFonts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34" w:type="dxa"/>
          <w:trHeight w:val="540" w:hRule="atLeast"/>
        </w:trPr>
        <w:tc>
          <w:tcPr>
            <w:tcW w:w="1977" w:type="dxa"/>
            <w:vMerge w:val="continue"/>
            <w:shd w:val="clear" w:color="auto" w:fill="auto"/>
            <w:vAlign w:val="center"/>
          </w:tcPr>
          <w:p>
            <w:pPr>
              <w:spacing w:line="320" w:lineRule="exact"/>
              <w:jc w:val="center"/>
              <w:rPr>
                <w:rFonts w:ascii="仿宋_GB2312" w:hAnsi="仿宋_GB2312" w:eastAsia="仿宋_GB2312" w:cs="仿宋_GB2312"/>
                <w:szCs w:val="21"/>
              </w:rPr>
            </w:pPr>
          </w:p>
        </w:tc>
        <w:tc>
          <w:tcPr>
            <w:tcW w:w="1142" w:type="dxa"/>
            <w:vMerge w:val="continue"/>
            <w:shd w:val="clear" w:color="auto" w:fill="auto"/>
            <w:vAlign w:val="bottom"/>
          </w:tcPr>
          <w:p>
            <w:pPr>
              <w:spacing w:line="320" w:lineRule="exact"/>
              <w:jc w:val="center"/>
              <w:rPr>
                <w:rFonts w:ascii="仿宋_GB2312" w:hAnsi="仿宋_GB2312" w:eastAsia="仿宋_GB2312" w:cs="仿宋_GB2312"/>
                <w:szCs w:val="21"/>
              </w:rPr>
            </w:pPr>
          </w:p>
        </w:tc>
        <w:tc>
          <w:tcPr>
            <w:tcW w:w="1635" w:type="dxa"/>
            <w:shd w:val="clear" w:color="auto" w:fill="auto"/>
            <w:vAlign w:val="bottom"/>
          </w:tcPr>
          <w:p>
            <w:pPr>
              <w:widowControl/>
              <w:spacing w:line="320" w:lineRule="exact"/>
              <w:jc w:val="center"/>
              <w:textAlignment w:val="bottom"/>
              <w:rPr>
                <w:rFonts w:ascii="仿宋_GB2312" w:hAnsi="仿宋_GB2312" w:eastAsia="仿宋_GB2312" w:cs="仿宋_GB2312"/>
                <w:szCs w:val="21"/>
              </w:rPr>
            </w:pPr>
            <w:r>
              <w:rPr>
                <w:rFonts w:hint="eastAsia" w:ascii="仿宋_GB2312" w:hAnsi="仿宋_GB2312" w:eastAsia="仿宋_GB2312" w:cs="仿宋_GB2312"/>
                <w:kern w:val="0"/>
                <w:szCs w:val="21"/>
                <w:lang w:bidi="ar"/>
              </w:rPr>
              <w:t>可持续影响指标</w:t>
            </w:r>
          </w:p>
        </w:tc>
        <w:tc>
          <w:tcPr>
            <w:tcW w:w="1189" w:type="dxa"/>
            <w:shd w:val="clear" w:color="auto" w:fill="auto"/>
            <w:vAlign w:val="bottom"/>
          </w:tcPr>
          <w:p>
            <w:pPr>
              <w:widowControl/>
              <w:spacing w:line="320" w:lineRule="exact"/>
              <w:jc w:val="center"/>
              <w:textAlignment w:val="bottom"/>
              <w:rPr>
                <w:rFonts w:ascii="仿宋_GB2312" w:hAnsi="仿宋_GB2312" w:eastAsia="仿宋_GB2312" w:cs="仿宋_GB2312"/>
                <w:szCs w:val="21"/>
              </w:rPr>
            </w:pPr>
          </w:p>
        </w:tc>
        <w:tc>
          <w:tcPr>
            <w:tcW w:w="1224" w:type="dxa"/>
            <w:shd w:val="clear" w:color="auto" w:fill="auto"/>
            <w:vAlign w:val="bottom"/>
          </w:tcPr>
          <w:p>
            <w:pPr>
              <w:widowControl/>
              <w:spacing w:line="320" w:lineRule="exact"/>
              <w:jc w:val="center"/>
              <w:textAlignment w:val="bottom"/>
              <w:rPr>
                <w:rFonts w:ascii="仿宋_GB2312" w:hAnsi="仿宋_GB2312" w:eastAsia="仿宋_GB2312" w:cs="仿宋_GB2312"/>
                <w:szCs w:val="21"/>
              </w:rPr>
            </w:pPr>
          </w:p>
        </w:tc>
        <w:tc>
          <w:tcPr>
            <w:tcW w:w="2410" w:type="dxa"/>
            <w:shd w:val="clear" w:color="auto" w:fill="auto"/>
            <w:vAlign w:val="bottom"/>
          </w:tcPr>
          <w:p>
            <w:pPr>
              <w:widowControl/>
              <w:spacing w:line="320" w:lineRule="exact"/>
              <w:jc w:val="center"/>
              <w:textAlignment w:val="bottom"/>
              <w:rPr>
                <w:rFonts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34" w:type="dxa"/>
          <w:trHeight w:val="320" w:hRule="atLeast"/>
        </w:trPr>
        <w:tc>
          <w:tcPr>
            <w:tcW w:w="1977" w:type="dxa"/>
            <w:vMerge w:val="continue"/>
            <w:shd w:val="clear" w:color="auto" w:fill="auto"/>
            <w:vAlign w:val="center"/>
          </w:tcPr>
          <w:p>
            <w:pPr>
              <w:spacing w:line="320" w:lineRule="exact"/>
              <w:jc w:val="center"/>
              <w:rPr>
                <w:rFonts w:ascii="仿宋_GB2312" w:hAnsi="仿宋_GB2312" w:eastAsia="仿宋_GB2312" w:cs="仿宋_GB2312"/>
                <w:szCs w:val="21"/>
              </w:rPr>
            </w:pPr>
          </w:p>
        </w:tc>
        <w:tc>
          <w:tcPr>
            <w:tcW w:w="1142" w:type="dxa"/>
            <w:shd w:val="clear" w:color="auto" w:fill="auto"/>
            <w:vAlign w:val="bottom"/>
          </w:tcPr>
          <w:p>
            <w:pPr>
              <w:widowControl/>
              <w:spacing w:line="320" w:lineRule="exact"/>
              <w:jc w:val="center"/>
              <w:textAlignment w:val="bottom"/>
              <w:rPr>
                <w:rFonts w:ascii="仿宋_GB2312" w:hAnsi="仿宋_GB2312" w:eastAsia="仿宋_GB2312" w:cs="仿宋_GB2312"/>
                <w:kern w:val="0"/>
                <w:szCs w:val="21"/>
                <w:lang w:bidi="ar"/>
              </w:rPr>
            </w:pPr>
            <w:r>
              <w:rPr>
                <w:rFonts w:hint="eastAsia" w:ascii="仿宋_GB2312" w:hAnsi="仿宋_GB2312" w:eastAsia="仿宋_GB2312" w:cs="仿宋_GB2312"/>
                <w:kern w:val="0"/>
                <w:szCs w:val="21"/>
                <w:lang w:bidi="ar"/>
              </w:rPr>
              <w:t>满意</w:t>
            </w:r>
          </w:p>
          <w:p>
            <w:pPr>
              <w:widowControl/>
              <w:spacing w:line="320" w:lineRule="exact"/>
              <w:jc w:val="center"/>
              <w:textAlignment w:val="bottom"/>
              <w:rPr>
                <w:rFonts w:ascii="仿宋_GB2312" w:hAnsi="仿宋_GB2312" w:eastAsia="仿宋_GB2312" w:cs="仿宋_GB2312"/>
                <w:szCs w:val="21"/>
              </w:rPr>
            </w:pPr>
            <w:r>
              <w:rPr>
                <w:rFonts w:hint="eastAsia" w:ascii="仿宋_GB2312" w:hAnsi="仿宋_GB2312" w:eastAsia="仿宋_GB2312" w:cs="仿宋_GB2312"/>
                <w:kern w:val="0"/>
                <w:szCs w:val="21"/>
                <w:lang w:bidi="ar"/>
              </w:rPr>
              <w:t>度指标</w:t>
            </w:r>
          </w:p>
        </w:tc>
        <w:tc>
          <w:tcPr>
            <w:tcW w:w="1635" w:type="dxa"/>
            <w:shd w:val="clear" w:color="auto" w:fill="auto"/>
            <w:vAlign w:val="bottom"/>
          </w:tcPr>
          <w:p>
            <w:pPr>
              <w:widowControl/>
              <w:spacing w:line="320" w:lineRule="exact"/>
              <w:jc w:val="center"/>
              <w:textAlignment w:val="bottom"/>
              <w:rPr>
                <w:rFonts w:ascii="仿宋_GB2312" w:hAnsi="仿宋_GB2312" w:eastAsia="仿宋_GB2312" w:cs="仿宋_GB2312"/>
                <w:kern w:val="0"/>
                <w:szCs w:val="21"/>
                <w:lang w:bidi="ar"/>
              </w:rPr>
            </w:pPr>
            <w:r>
              <w:rPr>
                <w:rFonts w:hint="eastAsia" w:ascii="仿宋_GB2312" w:hAnsi="仿宋_GB2312" w:eastAsia="仿宋_GB2312" w:cs="仿宋_GB2312"/>
                <w:kern w:val="0"/>
                <w:szCs w:val="21"/>
                <w:lang w:bidi="ar"/>
              </w:rPr>
              <w:t>满意度</w:t>
            </w:r>
          </w:p>
          <w:p>
            <w:pPr>
              <w:widowControl/>
              <w:spacing w:line="320" w:lineRule="exact"/>
              <w:jc w:val="center"/>
              <w:textAlignment w:val="bottom"/>
              <w:rPr>
                <w:rFonts w:ascii="仿宋_GB2312" w:hAnsi="仿宋_GB2312" w:eastAsia="仿宋_GB2312" w:cs="仿宋_GB2312"/>
                <w:szCs w:val="21"/>
              </w:rPr>
            </w:pPr>
            <w:r>
              <w:rPr>
                <w:rFonts w:hint="eastAsia" w:ascii="仿宋_GB2312" w:hAnsi="仿宋_GB2312" w:eastAsia="仿宋_GB2312" w:cs="仿宋_GB2312"/>
                <w:kern w:val="0"/>
                <w:szCs w:val="21"/>
                <w:lang w:bidi="ar"/>
              </w:rPr>
              <w:t>指标</w:t>
            </w:r>
          </w:p>
        </w:tc>
        <w:tc>
          <w:tcPr>
            <w:tcW w:w="1189" w:type="dxa"/>
            <w:shd w:val="clear" w:color="auto" w:fill="auto"/>
            <w:vAlign w:val="bottom"/>
          </w:tcPr>
          <w:p>
            <w:pPr>
              <w:widowControl/>
              <w:spacing w:line="320" w:lineRule="exact"/>
              <w:jc w:val="center"/>
              <w:textAlignment w:val="bottom"/>
              <w:rPr>
                <w:rFonts w:ascii="仿宋_GB2312" w:hAnsi="仿宋_GB2312" w:eastAsia="仿宋_GB2312" w:cs="仿宋_GB2312"/>
                <w:szCs w:val="21"/>
              </w:rPr>
            </w:pPr>
            <w:r>
              <w:rPr>
                <w:rFonts w:hint="eastAsia" w:ascii="仿宋_GB2312" w:hAnsi="仿宋_GB2312" w:eastAsia="仿宋_GB2312" w:cs="仿宋_GB2312"/>
                <w:szCs w:val="21"/>
              </w:rPr>
              <w:t xml:space="preserve"> 社会满意度</w:t>
            </w:r>
          </w:p>
        </w:tc>
        <w:tc>
          <w:tcPr>
            <w:tcW w:w="1224" w:type="dxa"/>
            <w:shd w:val="clear" w:color="auto" w:fill="auto"/>
            <w:vAlign w:val="bottom"/>
          </w:tcPr>
          <w:p>
            <w:pPr>
              <w:widowControl/>
              <w:spacing w:line="320" w:lineRule="exact"/>
              <w:jc w:val="center"/>
              <w:textAlignment w:val="bottom"/>
              <w:rPr>
                <w:rFonts w:ascii="仿宋_GB2312" w:hAnsi="仿宋_GB2312" w:eastAsia="仿宋_GB2312" w:cs="仿宋_GB2312"/>
                <w:szCs w:val="21"/>
              </w:rPr>
            </w:pPr>
            <w:r>
              <w:rPr>
                <w:rFonts w:hint="eastAsia" w:ascii="仿宋_GB2312" w:hAnsi="仿宋_GB2312" w:eastAsia="仿宋_GB2312" w:cs="仿宋_GB2312"/>
                <w:szCs w:val="21"/>
              </w:rPr>
              <w:t>良好</w:t>
            </w:r>
          </w:p>
        </w:tc>
        <w:tc>
          <w:tcPr>
            <w:tcW w:w="2410" w:type="dxa"/>
            <w:shd w:val="clear" w:color="auto" w:fill="auto"/>
            <w:vAlign w:val="bottom"/>
          </w:tcPr>
          <w:p>
            <w:pPr>
              <w:widowControl/>
              <w:spacing w:line="320" w:lineRule="exact"/>
              <w:jc w:val="center"/>
              <w:textAlignment w:val="bottom"/>
              <w:rPr>
                <w:rFonts w:ascii="仿宋_GB2312" w:hAnsi="仿宋_GB2312" w:eastAsia="仿宋_GB2312" w:cs="仿宋_GB2312"/>
                <w:szCs w:val="21"/>
              </w:rPr>
            </w:pPr>
            <w:r>
              <w:rPr>
                <w:rFonts w:hint="eastAsia" w:ascii="仿宋_GB2312" w:hAnsi="仿宋_GB2312" w:eastAsia="仿宋_GB2312" w:cs="仿宋_GB2312"/>
                <w:szCs w:val="21"/>
              </w:rPr>
              <w:t>良好</w:t>
            </w:r>
          </w:p>
        </w:tc>
      </w:tr>
    </w:tbl>
    <w:p>
      <w:pPr>
        <w:widowControl/>
        <w:adjustRightInd w:val="0"/>
        <w:snapToGrid w:val="0"/>
        <w:spacing w:line="580" w:lineRule="exact"/>
        <w:contextualSpacing/>
        <w:jc w:val="left"/>
        <w:rPr>
          <w:rFonts w:ascii="仿宋_GB2312" w:hAnsi="宋体" w:eastAsia="仿宋_GB2312" w:cs="宋体"/>
          <w:color w:val="000000"/>
          <w:kern w:val="0"/>
          <w:sz w:val="32"/>
          <w:szCs w:val="32"/>
          <w:shd w:val="clear" w:color="auto" w:fill="FFFFFF"/>
        </w:rPr>
      </w:pPr>
    </w:p>
    <w:p>
      <w:pPr>
        <w:spacing w:line="600" w:lineRule="exact"/>
        <w:jc w:val="center"/>
        <w:outlineLvl w:val="0"/>
        <w:rPr>
          <w:rFonts w:ascii="黑体" w:hAnsi="黑体" w:eastAsia="黑体"/>
          <w:sz w:val="44"/>
          <w:szCs w:val="44"/>
        </w:rPr>
      </w:pPr>
    </w:p>
    <w:p>
      <w:pPr>
        <w:spacing w:line="600" w:lineRule="exact"/>
        <w:jc w:val="center"/>
        <w:outlineLvl w:val="0"/>
        <w:rPr>
          <w:rFonts w:ascii="黑体" w:hAnsi="黑体" w:eastAsia="黑体"/>
          <w:sz w:val="44"/>
          <w:szCs w:val="44"/>
        </w:rPr>
      </w:pPr>
    </w:p>
    <w:p>
      <w:pPr>
        <w:pStyle w:val="2"/>
        <w:spacing w:before="93"/>
        <w:rPr>
          <w:rFonts w:ascii="黑体" w:hAnsi="黑体" w:eastAsia="黑体"/>
          <w:sz w:val="44"/>
          <w:szCs w:val="44"/>
        </w:rPr>
      </w:pPr>
    </w:p>
    <w:p>
      <w:pPr>
        <w:pStyle w:val="2"/>
        <w:spacing w:before="93"/>
        <w:rPr>
          <w:rFonts w:ascii="黑体" w:hAnsi="黑体" w:eastAsia="黑体"/>
          <w:sz w:val="44"/>
          <w:szCs w:val="44"/>
        </w:rPr>
      </w:pPr>
    </w:p>
    <w:p>
      <w:pPr>
        <w:pStyle w:val="2"/>
        <w:spacing w:before="93"/>
        <w:rPr>
          <w:rFonts w:ascii="黑体" w:hAnsi="黑体" w:eastAsia="黑体"/>
          <w:sz w:val="44"/>
          <w:szCs w:val="44"/>
        </w:rPr>
      </w:pPr>
    </w:p>
    <w:p>
      <w:pPr>
        <w:pStyle w:val="2"/>
        <w:spacing w:before="93"/>
        <w:rPr>
          <w:rFonts w:ascii="黑体" w:hAnsi="黑体" w:eastAsia="黑体"/>
          <w:sz w:val="44"/>
          <w:szCs w:val="44"/>
        </w:rPr>
      </w:pPr>
    </w:p>
    <w:p>
      <w:pPr>
        <w:pStyle w:val="2"/>
        <w:spacing w:before="93"/>
        <w:rPr>
          <w:rFonts w:ascii="黑体" w:hAnsi="黑体" w:eastAsia="黑体"/>
          <w:sz w:val="44"/>
          <w:szCs w:val="44"/>
        </w:rPr>
      </w:pPr>
    </w:p>
    <w:p>
      <w:pPr>
        <w:pStyle w:val="2"/>
        <w:spacing w:before="93"/>
        <w:rPr>
          <w:rFonts w:ascii="黑体" w:hAnsi="黑体" w:eastAsia="黑体"/>
          <w:sz w:val="44"/>
          <w:szCs w:val="44"/>
        </w:rPr>
      </w:pPr>
    </w:p>
    <w:p>
      <w:pPr>
        <w:pStyle w:val="2"/>
        <w:spacing w:before="93"/>
        <w:rPr>
          <w:rFonts w:ascii="黑体" w:hAnsi="黑体" w:eastAsia="黑体"/>
          <w:sz w:val="44"/>
          <w:szCs w:val="44"/>
        </w:rPr>
      </w:pPr>
    </w:p>
    <w:p>
      <w:pPr>
        <w:pStyle w:val="2"/>
        <w:spacing w:before="93"/>
        <w:rPr>
          <w:rFonts w:ascii="黑体" w:hAnsi="黑体" w:eastAsia="黑体"/>
          <w:sz w:val="44"/>
          <w:szCs w:val="44"/>
        </w:rPr>
      </w:pPr>
    </w:p>
    <w:p>
      <w:pPr>
        <w:pStyle w:val="2"/>
        <w:spacing w:before="93"/>
        <w:rPr>
          <w:rFonts w:ascii="黑体" w:hAnsi="黑体" w:eastAsia="黑体"/>
          <w:sz w:val="44"/>
          <w:szCs w:val="44"/>
        </w:rPr>
      </w:pPr>
    </w:p>
    <w:p>
      <w:pPr>
        <w:spacing w:line="600" w:lineRule="exact"/>
        <w:outlineLvl w:val="0"/>
        <w:rPr>
          <w:rFonts w:ascii="黑体" w:hAnsi="黑体" w:eastAsia="黑体"/>
          <w:sz w:val="44"/>
          <w:szCs w:val="44"/>
        </w:rPr>
      </w:pPr>
    </w:p>
    <w:p>
      <w:pPr>
        <w:pStyle w:val="2"/>
        <w:rPr>
          <w:rFonts w:ascii="黑体" w:hAnsi="黑体" w:eastAsia="黑体"/>
          <w:sz w:val="44"/>
          <w:szCs w:val="44"/>
        </w:rPr>
      </w:pPr>
    </w:p>
    <w:p>
      <w:pPr>
        <w:pStyle w:val="2"/>
        <w:rPr>
          <w:rFonts w:ascii="黑体" w:hAnsi="黑体" w:eastAsia="黑体"/>
          <w:sz w:val="44"/>
          <w:szCs w:val="44"/>
        </w:rPr>
      </w:pPr>
    </w:p>
    <w:p>
      <w:pPr>
        <w:pStyle w:val="2"/>
        <w:rPr>
          <w:rFonts w:ascii="黑体" w:hAnsi="黑体" w:eastAsia="黑体"/>
          <w:sz w:val="44"/>
          <w:szCs w:val="44"/>
        </w:rPr>
      </w:pPr>
    </w:p>
    <w:p>
      <w:pPr>
        <w:pStyle w:val="2"/>
        <w:rPr>
          <w:rFonts w:ascii="黑体" w:hAnsi="黑体" w:eastAsia="黑体"/>
          <w:sz w:val="44"/>
          <w:szCs w:val="44"/>
        </w:rPr>
      </w:pPr>
    </w:p>
    <w:p>
      <w:pPr>
        <w:pStyle w:val="2"/>
        <w:rPr>
          <w:rFonts w:ascii="黑体" w:hAnsi="黑体" w:eastAsia="黑体"/>
          <w:sz w:val="44"/>
          <w:szCs w:val="44"/>
        </w:rPr>
      </w:pPr>
      <w:bookmarkStart w:id="67" w:name="_GoBack"/>
      <w:bookmarkEnd w:id="67"/>
    </w:p>
    <w:p>
      <w:pPr>
        <w:pStyle w:val="2"/>
        <w:rPr>
          <w:rFonts w:ascii="黑体" w:hAnsi="黑体" w:eastAsia="黑体"/>
          <w:sz w:val="44"/>
          <w:szCs w:val="44"/>
        </w:rPr>
      </w:pPr>
    </w:p>
    <w:p>
      <w:pPr>
        <w:spacing w:line="600" w:lineRule="exact"/>
        <w:jc w:val="center"/>
        <w:outlineLvl w:val="0"/>
        <w:rPr>
          <w:rFonts w:ascii="仿宋" w:hAnsi="仿宋" w:eastAsia="仿宋"/>
        </w:rPr>
      </w:pPr>
      <w:r>
        <w:rPr>
          <w:rFonts w:hint="eastAsia" w:ascii="黑体" w:hAnsi="黑体" w:eastAsia="黑体"/>
          <w:sz w:val="44"/>
          <w:szCs w:val="44"/>
        </w:rPr>
        <w:t>第</w:t>
      </w:r>
      <w:r>
        <w:rPr>
          <w:rStyle w:val="24"/>
          <w:rFonts w:hint="eastAsia" w:ascii="黑体" w:hAnsi="黑体" w:eastAsia="黑体"/>
          <w:b w:val="0"/>
        </w:rPr>
        <w:t>五部分　附表</w:t>
      </w:r>
      <w:bookmarkEnd w:id="51"/>
      <w:bookmarkEnd w:id="53"/>
      <w:bookmarkStart w:id="54" w:name="_Toc15396619"/>
    </w:p>
    <w:p>
      <w:pPr>
        <w:pStyle w:val="4"/>
        <w:rPr>
          <w:rFonts w:ascii="仿宋" w:hAnsi="仿宋" w:eastAsia="仿宋"/>
          <w:b w:val="0"/>
        </w:rPr>
      </w:pPr>
      <w:r>
        <w:rPr>
          <w:rFonts w:hint="eastAsia" w:ascii="仿宋" w:hAnsi="仿宋" w:eastAsia="仿宋"/>
          <w:b w:val="0"/>
        </w:rPr>
        <w:t>　　</w:t>
      </w:r>
    </w:p>
    <w:p>
      <w:pPr>
        <w:pStyle w:val="4"/>
        <w:rPr>
          <w:rFonts w:ascii="仿宋" w:hAnsi="仿宋" w:eastAsia="仿宋"/>
        </w:rPr>
      </w:pPr>
      <w:r>
        <w:rPr>
          <w:rFonts w:hint="eastAsia" w:ascii="仿宋" w:hAnsi="仿宋" w:eastAsia="仿宋"/>
          <w:b w:val="0"/>
        </w:rPr>
        <w:t>　　一、收</w:t>
      </w:r>
      <w:r>
        <w:rPr>
          <w:rStyle w:val="25"/>
          <w:rFonts w:hint="eastAsia" w:ascii="仿宋" w:hAnsi="仿宋" w:eastAsia="仿宋"/>
          <w:b w:val="0"/>
          <w:bCs w:val="0"/>
        </w:rPr>
        <w:t>入支出决算总表</w:t>
      </w:r>
      <w:bookmarkEnd w:id="54"/>
    </w:p>
    <w:p>
      <w:pPr>
        <w:pStyle w:val="4"/>
        <w:rPr>
          <w:rFonts w:ascii="仿宋" w:hAnsi="仿宋" w:eastAsia="仿宋"/>
        </w:rPr>
      </w:pPr>
      <w:bookmarkStart w:id="55" w:name="_Toc15396620"/>
      <w:r>
        <w:rPr>
          <w:rFonts w:hint="eastAsia" w:ascii="仿宋" w:hAnsi="仿宋" w:eastAsia="仿宋"/>
          <w:b w:val="0"/>
        </w:rPr>
        <w:t>　　二、收</w:t>
      </w:r>
      <w:r>
        <w:rPr>
          <w:rStyle w:val="25"/>
          <w:rFonts w:hint="eastAsia" w:ascii="仿宋" w:hAnsi="仿宋" w:eastAsia="仿宋"/>
          <w:b w:val="0"/>
          <w:bCs w:val="0"/>
        </w:rPr>
        <w:t>入决算表</w:t>
      </w:r>
      <w:bookmarkEnd w:id="55"/>
    </w:p>
    <w:p>
      <w:pPr>
        <w:pStyle w:val="4"/>
        <w:rPr>
          <w:rFonts w:ascii="仿宋" w:hAnsi="仿宋" w:eastAsia="仿宋"/>
        </w:rPr>
      </w:pPr>
      <w:bookmarkStart w:id="56" w:name="_Toc15396621"/>
      <w:r>
        <w:rPr>
          <w:rStyle w:val="25"/>
          <w:rFonts w:hint="eastAsia" w:ascii="仿宋" w:hAnsi="仿宋" w:eastAsia="仿宋"/>
          <w:b w:val="0"/>
          <w:bCs w:val="0"/>
        </w:rPr>
        <w:t>　　三、</w:t>
      </w:r>
      <w:r>
        <w:rPr>
          <w:rFonts w:hint="eastAsia" w:ascii="仿宋" w:hAnsi="仿宋" w:eastAsia="仿宋"/>
          <w:b w:val="0"/>
        </w:rPr>
        <w:t>支</w:t>
      </w:r>
      <w:r>
        <w:rPr>
          <w:rStyle w:val="25"/>
          <w:rFonts w:hint="eastAsia" w:ascii="仿宋" w:hAnsi="仿宋" w:eastAsia="仿宋"/>
          <w:b w:val="0"/>
          <w:bCs w:val="0"/>
        </w:rPr>
        <w:t>出决算表</w:t>
      </w:r>
      <w:bookmarkEnd w:id="56"/>
    </w:p>
    <w:p>
      <w:pPr>
        <w:pStyle w:val="4"/>
        <w:rPr>
          <w:rFonts w:ascii="仿宋" w:hAnsi="仿宋" w:eastAsia="仿宋"/>
          <w:b w:val="0"/>
        </w:rPr>
      </w:pPr>
      <w:bookmarkStart w:id="57" w:name="_Toc15396622"/>
      <w:r>
        <w:rPr>
          <w:rStyle w:val="25"/>
          <w:rFonts w:hint="eastAsia" w:ascii="仿宋" w:hAnsi="仿宋" w:eastAsia="仿宋"/>
          <w:b w:val="0"/>
          <w:bCs w:val="0"/>
        </w:rPr>
        <w:t>　　四、</w:t>
      </w:r>
      <w:r>
        <w:rPr>
          <w:rFonts w:hint="eastAsia" w:ascii="仿宋" w:hAnsi="仿宋" w:eastAsia="仿宋"/>
          <w:b w:val="0"/>
        </w:rPr>
        <w:t>财</w:t>
      </w:r>
      <w:r>
        <w:rPr>
          <w:rStyle w:val="25"/>
          <w:rFonts w:hint="eastAsia" w:ascii="仿宋" w:hAnsi="仿宋" w:eastAsia="仿宋"/>
          <w:b w:val="0"/>
          <w:bCs w:val="0"/>
        </w:rPr>
        <w:t>政拨款收入支出决算总表</w:t>
      </w:r>
      <w:bookmarkEnd w:id="57"/>
    </w:p>
    <w:p>
      <w:pPr>
        <w:pStyle w:val="4"/>
        <w:rPr>
          <w:rStyle w:val="25"/>
          <w:rFonts w:ascii="仿宋" w:hAnsi="仿宋" w:eastAsia="仿宋"/>
          <w:b w:val="0"/>
          <w:bCs w:val="0"/>
        </w:rPr>
      </w:pPr>
      <w:bookmarkStart w:id="58" w:name="_Toc15396623"/>
      <w:r>
        <w:rPr>
          <w:rStyle w:val="25"/>
          <w:rFonts w:hint="eastAsia" w:ascii="仿宋" w:hAnsi="仿宋" w:eastAsia="仿宋"/>
          <w:b w:val="0"/>
          <w:bCs w:val="0"/>
        </w:rPr>
        <w:t>　　五、</w:t>
      </w:r>
      <w:r>
        <w:rPr>
          <w:rFonts w:hint="eastAsia" w:ascii="仿宋" w:hAnsi="仿宋" w:eastAsia="仿宋"/>
          <w:b w:val="0"/>
        </w:rPr>
        <w:t>财</w:t>
      </w:r>
      <w:r>
        <w:rPr>
          <w:rStyle w:val="25"/>
          <w:rFonts w:hint="eastAsia" w:ascii="仿宋" w:hAnsi="仿宋" w:eastAsia="仿宋"/>
          <w:b w:val="0"/>
          <w:bCs w:val="0"/>
        </w:rPr>
        <w:t>政拨款支出决算明细表</w:t>
      </w:r>
      <w:bookmarkEnd w:id="58"/>
      <w:bookmarkStart w:id="59" w:name="_Toc15396624"/>
    </w:p>
    <w:p>
      <w:pPr>
        <w:pStyle w:val="4"/>
        <w:rPr>
          <w:rFonts w:ascii="仿宋" w:hAnsi="仿宋" w:eastAsia="仿宋"/>
        </w:rPr>
      </w:pPr>
      <w:r>
        <w:rPr>
          <w:rStyle w:val="25"/>
          <w:rFonts w:hint="eastAsia" w:ascii="仿宋" w:hAnsi="仿宋" w:eastAsia="仿宋"/>
          <w:b w:val="0"/>
          <w:bCs w:val="0"/>
        </w:rPr>
        <w:t>　　六、</w:t>
      </w:r>
      <w:r>
        <w:rPr>
          <w:rFonts w:hint="eastAsia" w:ascii="仿宋" w:hAnsi="仿宋" w:eastAsia="仿宋"/>
          <w:b w:val="0"/>
        </w:rPr>
        <w:t>一</w:t>
      </w:r>
      <w:r>
        <w:rPr>
          <w:rStyle w:val="25"/>
          <w:rFonts w:hint="eastAsia" w:ascii="仿宋" w:hAnsi="仿宋" w:eastAsia="仿宋"/>
          <w:b w:val="0"/>
          <w:bCs w:val="0"/>
        </w:rPr>
        <w:t>般公共预算财政拨款支出决算表</w:t>
      </w:r>
      <w:bookmarkEnd w:id="59"/>
    </w:p>
    <w:p>
      <w:pPr>
        <w:pStyle w:val="4"/>
        <w:rPr>
          <w:rFonts w:ascii="仿宋" w:hAnsi="仿宋" w:eastAsia="仿宋"/>
        </w:rPr>
      </w:pPr>
      <w:bookmarkStart w:id="60" w:name="_Toc15396625"/>
      <w:r>
        <w:rPr>
          <w:rStyle w:val="25"/>
          <w:rFonts w:hint="eastAsia" w:ascii="仿宋" w:hAnsi="仿宋" w:eastAsia="仿宋"/>
          <w:b w:val="0"/>
          <w:bCs w:val="0"/>
        </w:rPr>
        <w:t>　　七、</w:t>
      </w:r>
      <w:r>
        <w:rPr>
          <w:rFonts w:hint="eastAsia" w:ascii="仿宋" w:hAnsi="仿宋" w:eastAsia="仿宋"/>
          <w:b w:val="0"/>
        </w:rPr>
        <w:t>一</w:t>
      </w:r>
      <w:r>
        <w:rPr>
          <w:rStyle w:val="25"/>
          <w:rFonts w:hint="eastAsia" w:ascii="仿宋" w:hAnsi="仿宋" w:eastAsia="仿宋"/>
          <w:b w:val="0"/>
          <w:bCs w:val="0"/>
        </w:rPr>
        <w:t>般公共预算财政拨款支出决算明细表</w:t>
      </w:r>
      <w:bookmarkEnd w:id="60"/>
    </w:p>
    <w:p>
      <w:pPr>
        <w:pStyle w:val="4"/>
        <w:rPr>
          <w:rFonts w:ascii="仿宋" w:hAnsi="仿宋" w:eastAsia="仿宋"/>
        </w:rPr>
      </w:pPr>
      <w:bookmarkStart w:id="61" w:name="_Toc15396626"/>
      <w:r>
        <w:rPr>
          <w:rStyle w:val="25"/>
          <w:rFonts w:hint="eastAsia" w:ascii="仿宋" w:hAnsi="仿宋" w:eastAsia="仿宋"/>
          <w:b w:val="0"/>
          <w:bCs w:val="0"/>
        </w:rPr>
        <w:t>　　八、</w:t>
      </w:r>
      <w:r>
        <w:rPr>
          <w:rFonts w:hint="eastAsia" w:ascii="仿宋" w:hAnsi="仿宋" w:eastAsia="仿宋"/>
          <w:b w:val="0"/>
        </w:rPr>
        <w:t>一</w:t>
      </w:r>
      <w:r>
        <w:rPr>
          <w:rStyle w:val="25"/>
          <w:rFonts w:hint="eastAsia" w:ascii="仿宋" w:hAnsi="仿宋" w:eastAsia="仿宋"/>
          <w:b w:val="0"/>
          <w:bCs w:val="0"/>
        </w:rPr>
        <w:t>般公共预算财政拨款基本支出决算表</w:t>
      </w:r>
      <w:bookmarkEnd w:id="61"/>
    </w:p>
    <w:p>
      <w:pPr>
        <w:pStyle w:val="4"/>
        <w:rPr>
          <w:rFonts w:ascii="仿宋" w:hAnsi="仿宋" w:eastAsia="仿宋"/>
        </w:rPr>
      </w:pPr>
      <w:bookmarkStart w:id="62" w:name="_Toc15396627"/>
      <w:r>
        <w:rPr>
          <w:rStyle w:val="25"/>
          <w:rFonts w:hint="eastAsia" w:ascii="仿宋" w:hAnsi="仿宋" w:eastAsia="仿宋"/>
          <w:b w:val="0"/>
          <w:bCs w:val="0"/>
        </w:rPr>
        <w:t>　　九、</w:t>
      </w:r>
      <w:r>
        <w:rPr>
          <w:rFonts w:hint="eastAsia" w:ascii="仿宋" w:hAnsi="仿宋" w:eastAsia="仿宋"/>
          <w:b w:val="0"/>
        </w:rPr>
        <w:t>一</w:t>
      </w:r>
      <w:r>
        <w:rPr>
          <w:rStyle w:val="25"/>
          <w:rFonts w:hint="eastAsia" w:ascii="仿宋" w:hAnsi="仿宋" w:eastAsia="仿宋"/>
          <w:b w:val="0"/>
          <w:bCs w:val="0"/>
        </w:rPr>
        <w:t>般公共预算财政拨款项目支出决算表</w:t>
      </w:r>
      <w:bookmarkEnd w:id="62"/>
    </w:p>
    <w:p>
      <w:pPr>
        <w:pStyle w:val="4"/>
        <w:rPr>
          <w:rFonts w:ascii="仿宋" w:hAnsi="仿宋" w:eastAsia="仿宋"/>
        </w:rPr>
      </w:pPr>
      <w:bookmarkStart w:id="63" w:name="_Toc15396628"/>
      <w:r>
        <w:rPr>
          <w:rStyle w:val="25"/>
          <w:rFonts w:hint="eastAsia" w:ascii="仿宋" w:hAnsi="仿宋" w:eastAsia="仿宋"/>
          <w:b w:val="0"/>
          <w:bCs w:val="0"/>
        </w:rPr>
        <w:t>　　十、</w:t>
      </w:r>
      <w:r>
        <w:rPr>
          <w:rFonts w:hint="eastAsia" w:ascii="仿宋" w:hAnsi="仿宋" w:eastAsia="仿宋"/>
          <w:b w:val="0"/>
        </w:rPr>
        <w:t>一</w:t>
      </w:r>
      <w:r>
        <w:rPr>
          <w:rStyle w:val="25"/>
          <w:rFonts w:hint="eastAsia" w:ascii="仿宋" w:hAnsi="仿宋" w:eastAsia="仿宋"/>
          <w:b w:val="0"/>
          <w:bCs w:val="0"/>
        </w:rPr>
        <w:t>般公共预算财政拨款“三公”经费支出决算表</w:t>
      </w:r>
      <w:bookmarkEnd w:id="63"/>
    </w:p>
    <w:p>
      <w:pPr>
        <w:pStyle w:val="4"/>
        <w:rPr>
          <w:rFonts w:ascii="仿宋" w:hAnsi="仿宋" w:eastAsia="仿宋"/>
        </w:rPr>
      </w:pPr>
      <w:bookmarkStart w:id="64" w:name="_Toc15396629"/>
      <w:r>
        <w:rPr>
          <w:rStyle w:val="25"/>
          <w:rFonts w:hint="eastAsia" w:ascii="仿宋" w:hAnsi="仿宋" w:eastAsia="仿宋"/>
          <w:b w:val="0"/>
          <w:bCs w:val="0"/>
        </w:rPr>
        <w:t>　　十一、</w:t>
      </w:r>
      <w:r>
        <w:rPr>
          <w:rFonts w:hint="eastAsia" w:ascii="仿宋" w:hAnsi="仿宋" w:eastAsia="仿宋"/>
          <w:b w:val="0"/>
        </w:rPr>
        <w:t>政</w:t>
      </w:r>
      <w:r>
        <w:rPr>
          <w:rStyle w:val="25"/>
          <w:rFonts w:hint="eastAsia" w:ascii="仿宋" w:hAnsi="仿宋" w:eastAsia="仿宋"/>
          <w:b w:val="0"/>
          <w:bCs w:val="0"/>
        </w:rPr>
        <w:t>府性基金预算财政拨款收入支出决算表</w:t>
      </w:r>
      <w:bookmarkEnd w:id="64"/>
    </w:p>
    <w:p>
      <w:pPr>
        <w:pStyle w:val="4"/>
        <w:rPr>
          <w:rFonts w:ascii="仿宋" w:hAnsi="仿宋" w:eastAsia="仿宋"/>
          <w:snapToGrid w:val="0"/>
          <w:spacing w:val="-11"/>
          <w:kern w:val="0"/>
        </w:rPr>
      </w:pPr>
      <w:bookmarkStart w:id="65" w:name="_Toc15396630"/>
      <w:r>
        <w:rPr>
          <w:rStyle w:val="25"/>
          <w:rFonts w:hint="eastAsia" w:ascii="仿宋" w:hAnsi="仿宋" w:eastAsia="仿宋"/>
          <w:b w:val="0"/>
          <w:bCs w:val="0"/>
        </w:rPr>
        <w:t>　</w:t>
      </w:r>
      <w:r>
        <w:rPr>
          <w:rStyle w:val="25"/>
          <w:rFonts w:hint="eastAsia" w:ascii="仿宋" w:hAnsi="仿宋" w:eastAsia="仿宋"/>
          <w:b w:val="0"/>
          <w:bCs w:val="0"/>
          <w:snapToGrid w:val="0"/>
          <w:spacing w:val="-11"/>
          <w:kern w:val="0"/>
        </w:rPr>
        <w:t>　十二、</w:t>
      </w:r>
      <w:r>
        <w:rPr>
          <w:rFonts w:hint="eastAsia" w:ascii="仿宋" w:hAnsi="仿宋" w:eastAsia="仿宋"/>
          <w:b w:val="0"/>
          <w:snapToGrid w:val="0"/>
          <w:spacing w:val="-11"/>
          <w:kern w:val="0"/>
        </w:rPr>
        <w:t>政</w:t>
      </w:r>
      <w:r>
        <w:rPr>
          <w:rStyle w:val="25"/>
          <w:rFonts w:hint="eastAsia" w:ascii="仿宋" w:hAnsi="仿宋" w:eastAsia="仿宋"/>
          <w:b w:val="0"/>
          <w:bCs w:val="0"/>
          <w:snapToGrid w:val="0"/>
          <w:spacing w:val="-11"/>
          <w:kern w:val="0"/>
        </w:rPr>
        <w:t>府性基金预算财政拨款“三公”经费支出决算表</w:t>
      </w:r>
      <w:bookmarkEnd w:id="65"/>
    </w:p>
    <w:p>
      <w:pPr>
        <w:pStyle w:val="4"/>
        <w:rPr>
          <w:rStyle w:val="25"/>
          <w:rFonts w:ascii="仿宋" w:hAnsi="仿宋" w:eastAsia="仿宋"/>
          <w:b w:val="0"/>
          <w:bCs w:val="0"/>
        </w:rPr>
      </w:pPr>
      <w:bookmarkStart w:id="66" w:name="_Toc15396631"/>
      <w:r>
        <w:rPr>
          <w:rStyle w:val="25"/>
          <w:rFonts w:hint="eastAsia" w:ascii="仿宋" w:hAnsi="仿宋" w:eastAsia="仿宋"/>
          <w:b w:val="0"/>
          <w:bCs w:val="0"/>
        </w:rPr>
        <w:t>　　十三、</w:t>
      </w:r>
      <w:r>
        <w:rPr>
          <w:rFonts w:hint="eastAsia" w:ascii="仿宋" w:hAnsi="仿宋" w:eastAsia="仿宋"/>
          <w:b w:val="0"/>
        </w:rPr>
        <w:t>国</w:t>
      </w:r>
      <w:r>
        <w:rPr>
          <w:rStyle w:val="25"/>
          <w:rFonts w:hint="eastAsia" w:ascii="仿宋" w:hAnsi="仿宋" w:eastAsia="仿宋"/>
          <w:b w:val="0"/>
          <w:bCs w:val="0"/>
        </w:rPr>
        <w:t>有资本经营预算财政拨款收入支出决算表</w:t>
      </w:r>
      <w:bookmarkEnd w:id="66"/>
    </w:p>
    <w:p>
      <w:pPr>
        <w:rPr>
          <w:rFonts w:eastAsia="仿宋"/>
        </w:rPr>
      </w:pPr>
      <w:r>
        <w:rPr>
          <w:rStyle w:val="25"/>
          <w:rFonts w:hint="eastAsia" w:ascii="仿宋" w:hAnsi="仿宋" w:eastAsia="仿宋"/>
          <w:b w:val="0"/>
          <w:bCs w:val="0"/>
        </w:rPr>
        <w:t>　　十四、国有资本经营预算财政拨款支出决算表</w:t>
      </w:r>
    </w:p>
    <w:sectPr>
      <w:headerReference r:id="rId3" w:type="default"/>
      <w:footerReference r:id="rId4" w:type="default"/>
      <w:pgSz w:w="11906" w:h="16838"/>
      <w:pgMar w:top="1440" w:right="1800" w:bottom="1440" w:left="1800" w:header="851" w:footer="992" w:gutter="0"/>
      <w:pgNumType w:start="1"/>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ambria">
    <w:panose1 w:val="02040503050406030204"/>
    <w:charset w:val="00"/>
    <w:family w:val="roman"/>
    <w:pitch w:val="default"/>
    <w:sig w:usb0="E00002FF" w:usb1="400004FF" w:usb2="00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小标宋简体">
    <w:altName w:val="Arial Unicode MS"/>
    <w:panose1 w:val="03000509000000000000"/>
    <w:charset w:val="86"/>
    <w:family w:val="script"/>
    <w:pitch w:val="default"/>
    <w:sig w:usb0="00000000" w:usb1="00000000" w:usb2="00000000" w:usb3="00000000" w:csb0="00040000" w:csb1="00000000"/>
  </w:font>
  <w:font w:name="方正小标宋_GBK">
    <w:altName w:val="Arial Unicode MS"/>
    <w:panose1 w:val="00000000000000000000"/>
    <w:charset w:val="86"/>
    <w:family w:val="auto"/>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994781956"/>
    </w:sdtPr>
    <w:sdtContent>
      <w:p>
        <w:pPr>
          <w:pStyle w:val="8"/>
          <w:jc w:val="center"/>
        </w:pPr>
        <w:r>
          <w:fldChar w:fldCharType="begin"/>
        </w:r>
        <w:r>
          <w:instrText xml:space="preserve">PAGE   \* MERGEFORMAT</w:instrText>
        </w:r>
        <w:r>
          <w:fldChar w:fldCharType="separate"/>
        </w:r>
        <w:r>
          <w:rPr>
            <w:lang w:val="zh-CN"/>
          </w:rPr>
          <w:t>21</w:t>
        </w:r>
        <w:r>
          <w:fldChar w:fldCharType="end"/>
        </w:r>
      </w:p>
    </w:sdtContent>
  </w:sdt>
  <w:p>
    <w:pPr>
      <w:pStyle w:val="8"/>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F652CEC"/>
    <w:multiLevelType w:val="singleLevel"/>
    <w:tmpl w:val="CF652CEC"/>
    <w:lvl w:ilvl="0" w:tentative="0">
      <w:start w:val="9"/>
      <w:numFmt w:val="chineseCounting"/>
      <w:suff w:val="nothing"/>
      <w:lvlText w:val="%1、"/>
      <w:lvlJc w:val="left"/>
      <w:rPr>
        <w:rFonts w:hint="eastAsia"/>
      </w:rPr>
    </w:lvl>
  </w:abstractNum>
  <w:abstractNum w:abstractNumId="1">
    <w:nsid w:val="D4ED9EA4"/>
    <w:multiLevelType w:val="singleLevel"/>
    <w:tmpl w:val="D4ED9EA4"/>
    <w:lvl w:ilvl="0" w:tentative="0">
      <w:start w:val="1"/>
      <w:numFmt w:val="chineseCounting"/>
      <w:suff w:val="nothing"/>
      <w:lvlText w:val="%1、"/>
      <w:lvlJc w:val="left"/>
      <w:rPr>
        <w:rFonts w:hint="eastAsia"/>
      </w:rPr>
    </w:lvl>
  </w:abstractNum>
  <w:abstractNum w:abstractNumId="2">
    <w:nsid w:val="E2FA047D"/>
    <w:multiLevelType w:val="singleLevel"/>
    <w:tmpl w:val="E2FA047D"/>
    <w:lvl w:ilvl="0" w:tentative="0">
      <w:start w:val="3"/>
      <w:numFmt w:val="chineseCounting"/>
      <w:suff w:val="space"/>
      <w:lvlText w:val="第%1部分"/>
      <w:lvlJc w:val="left"/>
      <w:rPr>
        <w:rFonts w:hint="eastAsia" w:ascii="黑体" w:hAnsi="黑体" w:eastAsia="黑体" w:cs="黑体"/>
        <w:sz w:val="44"/>
        <w:szCs w:val="44"/>
      </w:rPr>
    </w:lvl>
  </w:abstractNum>
  <w:abstractNum w:abstractNumId="3">
    <w:nsid w:val="1272550B"/>
    <w:multiLevelType w:val="multilevel"/>
    <w:tmpl w:val="1272550B"/>
    <w:lvl w:ilvl="0" w:tentative="0">
      <w:start w:val="1"/>
      <w:numFmt w:val="japaneseCounting"/>
      <w:lvlText w:val="%1、"/>
      <w:lvlJc w:val="left"/>
      <w:pPr>
        <w:ind w:left="1360" w:hanging="720"/>
      </w:pPr>
      <w:rPr>
        <w:rFonts w:hint="default"/>
        <w:b w:val="0"/>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num w:numId="1">
    <w:abstractNumId w:val="1"/>
  </w:num>
  <w:num w:numId="2">
    <w:abstractNumId w:val="3"/>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documentProtection w:enforcement="0"/>
  <w:defaultTabStop w:val="420"/>
  <w:drawingGridHorizontalSpacing w:val="105"/>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ThhZTIxMTgxMTgxZjEzYjFkMzE1MTlkMzQ0ODIyNmQifQ=="/>
  </w:docVars>
  <w:rsids>
    <w:rsidRoot w:val="00F1361C"/>
    <w:rsid w:val="000222C6"/>
    <w:rsid w:val="0002549F"/>
    <w:rsid w:val="000468DB"/>
    <w:rsid w:val="0006487A"/>
    <w:rsid w:val="00065F8F"/>
    <w:rsid w:val="00070A43"/>
    <w:rsid w:val="000768F2"/>
    <w:rsid w:val="0009184B"/>
    <w:rsid w:val="00094236"/>
    <w:rsid w:val="0009593C"/>
    <w:rsid w:val="00097322"/>
    <w:rsid w:val="000A6A92"/>
    <w:rsid w:val="000B047F"/>
    <w:rsid w:val="000B5923"/>
    <w:rsid w:val="000B5A48"/>
    <w:rsid w:val="000B6FF3"/>
    <w:rsid w:val="000C3467"/>
    <w:rsid w:val="000C3CA6"/>
    <w:rsid w:val="000D1267"/>
    <w:rsid w:val="000D1D50"/>
    <w:rsid w:val="000D5782"/>
    <w:rsid w:val="000E6613"/>
    <w:rsid w:val="000E7119"/>
    <w:rsid w:val="00114E9B"/>
    <w:rsid w:val="00142216"/>
    <w:rsid w:val="00144D6A"/>
    <w:rsid w:val="0014729F"/>
    <w:rsid w:val="00157BAB"/>
    <w:rsid w:val="001654D1"/>
    <w:rsid w:val="00174518"/>
    <w:rsid w:val="0018106D"/>
    <w:rsid w:val="001877A7"/>
    <w:rsid w:val="00191536"/>
    <w:rsid w:val="00196687"/>
    <w:rsid w:val="001C0962"/>
    <w:rsid w:val="001D7531"/>
    <w:rsid w:val="001E737D"/>
    <w:rsid w:val="001F0592"/>
    <w:rsid w:val="001F7506"/>
    <w:rsid w:val="002006CD"/>
    <w:rsid w:val="00202B36"/>
    <w:rsid w:val="00204B7A"/>
    <w:rsid w:val="00204CDE"/>
    <w:rsid w:val="0021101A"/>
    <w:rsid w:val="00220536"/>
    <w:rsid w:val="00235629"/>
    <w:rsid w:val="00260C38"/>
    <w:rsid w:val="002616C0"/>
    <w:rsid w:val="00265372"/>
    <w:rsid w:val="002662AA"/>
    <w:rsid w:val="00280496"/>
    <w:rsid w:val="00294DC9"/>
    <w:rsid w:val="00295495"/>
    <w:rsid w:val="002A31DE"/>
    <w:rsid w:val="002B2613"/>
    <w:rsid w:val="002D6D05"/>
    <w:rsid w:val="002F1818"/>
    <w:rsid w:val="002F567B"/>
    <w:rsid w:val="003216A9"/>
    <w:rsid w:val="00335A74"/>
    <w:rsid w:val="0036561B"/>
    <w:rsid w:val="0037013F"/>
    <w:rsid w:val="00380C92"/>
    <w:rsid w:val="003A484F"/>
    <w:rsid w:val="003A4883"/>
    <w:rsid w:val="003B0BE0"/>
    <w:rsid w:val="003B0C1B"/>
    <w:rsid w:val="003B688C"/>
    <w:rsid w:val="003C0291"/>
    <w:rsid w:val="003C39AE"/>
    <w:rsid w:val="003C7B60"/>
    <w:rsid w:val="003D0C0F"/>
    <w:rsid w:val="003D1FB2"/>
    <w:rsid w:val="003D66DA"/>
    <w:rsid w:val="003E1310"/>
    <w:rsid w:val="003E6F55"/>
    <w:rsid w:val="00406254"/>
    <w:rsid w:val="004223DE"/>
    <w:rsid w:val="00434489"/>
    <w:rsid w:val="00437085"/>
    <w:rsid w:val="00443880"/>
    <w:rsid w:val="004464F4"/>
    <w:rsid w:val="00471401"/>
    <w:rsid w:val="00473F31"/>
    <w:rsid w:val="0048263A"/>
    <w:rsid w:val="00487E5D"/>
    <w:rsid w:val="004A711F"/>
    <w:rsid w:val="004B199D"/>
    <w:rsid w:val="004B4690"/>
    <w:rsid w:val="004E0A2D"/>
    <w:rsid w:val="004E206B"/>
    <w:rsid w:val="004E6DF7"/>
    <w:rsid w:val="004F0FBD"/>
    <w:rsid w:val="00505A47"/>
    <w:rsid w:val="00512FDA"/>
    <w:rsid w:val="00520DA0"/>
    <w:rsid w:val="005661D7"/>
    <w:rsid w:val="005664BB"/>
    <w:rsid w:val="00566FFA"/>
    <w:rsid w:val="0057481D"/>
    <w:rsid w:val="0058486E"/>
    <w:rsid w:val="00585B33"/>
    <w:rsid w:val="0059014D"/>
    <w:rsid w:val="005B5C64"/>
    <w:rsid w:val="005C5337"/>
    <w:rsid w:val="005C6BD0"/>
    <w:rsid w:val="005D1C8B"/>
    <w:rsid w:val="005D468D"/>
    <w:rsid w:val="005D5CED"/>
    <w:rsid w:val="005F1A4C"/>
    <w:rsid w:val="00605688"/>
    <w:rsid w:val="006070AF"/>
    <w:rsid w:val="00607E6C"/>
    <w:rsid w:val="006101B1"/>
    <w:rsid w:val="00614E44"/>
    <w:rsid w:val="0062270A"/>
    <w:rsid w:val="00622830"/>
    <w:rsid w:val="00623DA0"/>
    <w:rsid w:val="00630AEF"/>
    <w:rsid w:val="006325F8"/>
    <w:rsid w:val="00633463"/>
    <w:rsid w:val="00634C9A"/>
    <w:rsid w:val="006440E4"/>
    <w:rsid w:val="0066343B"/>
    <w:rsid w:val="00664777"/>
    <w:rsid w:val="006748A4"/>
    <w:rsid w:val="00681A31"/>
    <w:rsid w:val="00683E73"/>
    <w:rsid w:val="006A3141"/>
    <w:rsid w:val="006A4935"/>
    <w:rsid w:val="006A5E34"/>
    <w:rsid w:val="006B2422"/>
    <w:rsid w:val="006B2B9A"/>
    <w:rsid w:val="006B33B7"/>
    <w:rsid w:val="006C1937"/>
    <w:rsid w:val="006F020C"/>
    <w:rsid w:val="007127B7"/>
    <w:rsid w:val="0071798E"/>
    <w:rsid w:val="007416B6"/>
    <w:rsid w:val="00746F48"/>
    <w:rsid w:val="0075404D"/>
    <w:rsid w:val="0076182A"/>
    <w:rsid w:val="00767B7E"/>
    <w:rsid w:val="007770C3"/>
    <w:rsid w:val="00784D24"/>
    <w:rsid w:val="00785FBA"/>
    <w:rsid w:val="00786E4A"/>
    <w:rsid w:val="007875EB"/>
    <w:rsid w:val="0079426B"/>
    <w:rsid w:val="007D1682"/>
    <w:rsid w:val="007D312A"/>
    <w:rsid w:val="007D3F19"/>
    <w:rsid w:val="007E23B0"/>
    <w:rsid w:val="007E23E5"/>
    <w:rsid w:val="007F1991"/>
    <w:rsid w:val="007F2C2F"/>
    <w:rsid w:val="007F55FC"/>
    <w:rsid w:val="007F5665"/>
    <w:rsid w:val="00800112"/>
    <w:rsid w:val="00813348"/>
    <w:rsid w:val="008253BB"/>
    <w:rsid w:val="0083706E"/>
    <w:rsid w:val="008408F6"/>
    <w:rsid w:val="008423A5"/>
    <w:rsid w:val="00850625"/>
    <w:rsid w:val="00853718"/>
    <w:rsid w:val="00855221"/>
    <w:rsid w:val="00860645"/>
    <w:rsid w:val="00871F71"/>
    <w:rsid w:val="00872FD8"/>
    <w:rsid w:val="00885AF4"/>
    <w:rsid w:val="008939CD"/>
    <w:rsid w:val="008B768C"/>
    <w:rsid w:val="008C4DB1"/>
    <w:rsid w:val="008C4EAF"/>
    <w:rsid w:val="008C5176"/>
    <w:rsid w:val="008C7FD0"/>
    <w:rsid w:val="008E1DE7"/>
    <w:rsid w:val="008E707C"/>
    <w:rsid w:val="00900B08"/>
    <w:rsid w:val="00902155"/>
    <w:rsid w:val="00902FA3"/>
    <w:rsid w:val="00923564"/>
    <w:rsid w:val="0092392E"/>
    <w:rsid w:val="009315F9"/>
    <w:rsid w:val="00933499"/>
    <w:rsid w:val="00935C98"/>
    <w:rsid w:val="00946945"/>
    <w:rsid w:val="00951248"/>
    <w:rsid w:val="0095152F"/>
    <w:rsid w:val="00954C49"/>
    <w:rsid w:val="00955E37"/>
    <w:rsid w:val="0097099F"/>
    <w:rsid w:val="00971997"/>
    <w:rsid w:val="00971FFC"/>
    <w:rsid w:val="0098660A"/>
    <w:rsid w:val="009931C3"/>
    <w:rsid w:val="009B2C43"/>
    <w:rsid w:val="009B4EAE"/>
    <w:rsid w:val="009B7573"/>
    <w:rsid w:val="009C22F4"/>
    <w:rsid w:val="009C2A4B"/>
    <w:rsid w:val="009C2E98"/>
    <w:rsid w:val="009D3447"/>
    <w:rsid w:val="009D4711"/>
    <w:rsid w:val="009F1185"/>
    <w:rsid w:val="009F18CD"/>
    <w:rsid w:val="009F2A13"/>
    <w:rsid w:val="009F7527"/>
    <w:rsid w:val="00A04EB0"/>
    <w:rsid w:val="00A13CC1"/>
    <w:rsid w:val="00A16847"/>
    <w:rsid w:val="00A237D8"/>
    <w:rsid w:val="00A268C4"/>
    <w:rsid w:val="00A307CD"/>
    <w:rsid w:val="00A331C8"/>
    <w:rsid w:val="00A40A00"/>
    <w:rsid w:val="00A4142F"/>
    <w:rsid w:val="00A422EB"/>
    <w:rsid w:val="00A42D7B"/>
    <w:rsid w:val="00A45BB7"/>
    <w:rsid w:val="00A56DF2"/>
    <w:rsid w:val="00A56E6E"/>
    <w:rsid w:val="00A67AB5"/>
    <w:rsid w:val="00A733B2"/>
    <w:rsid w:val="00A741C2"/>
    <w:rsid w:val="00A91760"/>
    <w:rsid w:val="00A93B00"/>
    <w:rsid w:val="00A93C21"/>
    <w:rsid w:val="00AB64C9"/>
    <w:rsid w:val="00AC3C6A"/>
    <w:rsid w:val="00AD5620"/>
    <w:rsid w:val="00AD656B"/>
    <w:rsid w:val="00AD7C1B"/>
    <w:rsid w:val="00AE16BA"/>
    <w:rsid w:val="00AE1EBE"/>
    <w:rsid w:val="00B03C9D"/>
    <w:rsid w:val="00B060AE"/>
    <w:rsid w:val="00B10517"/>
    <w:rsid w:val="00B14E76"/>
    <w:rsid w:val="00B161B8"/>
    <w:rsid w:val="00B2048C"/>
    <w:rsid w:val="00B310B9"/>
    <w:rsid w:val="00B35F3F"/>
    <w:rsid w:val="00B36CBB"/>
    <w:rsid w:val="00B425E0"/>
    <w:rsid w:val="00B440AA"/>
    <w:rsid w:val="00B44B70"/>
    <w:rsid w:val="00B53C56"/>
    <w:rsid w:val="00B57DAF"/>
    <w:rsid w:val="00B77EA6"/>
    <w:rsid w:val="00B81598"/>
    <w:rsid w:val="00B841F1"/>
    <w:rsid w:val="00B944D6"/>
    <w:rsid w:val="00BB4DF0"/>
    <w:rsid w:val="00BC289F"/>
    <w:rsid w:val="00BC2D50"/>
    <w:rsid w:val="00BC5361"/>
    <w:rsid w:val="00BC5460"/>
    <w:rsid w:val="00BC6B50"/>
    <w:rsid w:val="00BD0E25"/>
    <w:rsid w:val="00BF5BD6"/>
    <w:rsid w:val="00C03E31"/>
    <w:rsid w:val="00C33E72"/>
    <w:rsid w:val="00C354B2"/>
    <w:rsid w:val="00C35554"/>
    <w:rsid w:val="00C42709"/>
    <w:rsid w:val="00C533CC"/>
    <w:rsid w:val="00C534F1"/>
    <w:rsid w:val="00C5751C"/>
    <w:rsid w:val="00C61BFC"/>
    <w:rsid w:val="00C62B85"/>
    <w:rsid w:val="00C65438"/>
    <w:rsid w:val="00C87FD8"/>
    <w:rsid w:val="00C91381"/>
    <w:rsid w:val="00C91CBB"/>
    <w:rsid w:val="00CB4E70"/>
    <w:rsid w:val="00CC09B6"/>
    <w:rsid w:val="00CC666F"/>
    <w:rsid w:val="00CD1E3F"/>
    <w:rsid w:val="00CE44F6"/>
    <w:rsid w:val="00CE49DA"/>
    <w:rsid w:val="00CE7B61"/>
    <w:rsid w:val="00D00095"/>
    <w:rsid w:val="00D114F0"/>
    <w:rsid w:val="00D20620"/>
    <w:rsid w:val="00D254F7"/>
    <w:rsid w:val="00D26091"/>
    <w:rsid w:val="00D2685C"/>
    <w:rsid w:val="00D34E7C"/>
    <w:rsid w:val="00D35489"/>
    <w:rsid w:val="00D36AFE"/>
    <w:rsid w:val="00D51276"/>
    <w:rsid w:val="00D7035F"/>
    <w:rsid w:val="00DA634F"/>
    <w:rsid w:val="00DA65AC"/>
    <w:rsid w:val="00DB1913"/>
    <w:rsid w:val="00DC410D"/>
    <w:rsid w:val="00DC5A81"/>
    <w:rsid w:val="00DC68CA"/>
    <w:rsid w:val="00DC7CBA"/>
    <w:rsid w:val="00DD73B7"/>
    <w:rsid w:val="00DF28BC"/>
    <w:rsid w:val="00DF34B9"/>
    <w:rsid w:val="00E01053"/>
    <w:rsid w:val="00E07ACF"/>
    <w:rsid w:val="00E331A1"/>
    <w:rsid w:val="00E33202"/>
    <w:rsid w:val="00E336A9"/>
    <w:rsid w:val="00E472B1"/>
    <w:rsid w:val="00E50624"/>
    <w:rsid w:val="00E568DF"/>
    <w:rsid w:val="00E64269"/>
    <w:rsid w:val="00E82267"/>
    <w:rsid w:val="00E853CE"/>
    <w:rsid w:val="00E867B6"/>
    <w:rsid w:val="00EA010F"/>
    <w:rsid w:val="00ED1B63"/>
    <w:rsid w:val="00ED3C1F"/>
    <w:rsid w:val="00ED4085"/>
    <w:rsid w:val="00ED420E"/>
    <w:rsid w:val="00ED6FBE"/>
    <w:rsid w:val="00EE2F57"/>
    <w:rsid w:val="00EF4C34"/>
    <w:rsid w:val="00EF77C6"/>
    <w:rsid w:val="00F05438"/>
    <w:rsid w:val="00F1361C"/>
    <w:rsid w:val="00F156F0"/>
    <w:rsid w:val="00F160C7"/>
    <w:rsid w:val="00F2408F"/>
    <w:rsid w:val="00F240E9"/>
    <w:rsid w:val="00F36D8F"/>
    <w:rsid w:val="00F417B1"/>
    <w:rsid w:val="00F45853"/>
    <w:rsid w:val="00F602DF"/>
    <w:rsid w:val="00F754A1"/>
    <w:rsid w:val="00F81FD9"/>
    <w:rsid w:val="00F82D5F"/>
    <w:rsid w:val="00F841AA"/>
    <w:rsid w:val="00F84A94"/>
    <w:rsid w:val="00F87E96"/>
    <w:rsid w:val="00FA23E8"/>
    <w:rsid w:val="00FD3CC1"/>
    <w:rsid w:val="00FF1E02"/>
    <w:rsid w:val="00FF30B4"/>
    <w:rsid w:val="0A2032A3"/>
    <w:rsid w:val="0B8A37D8"/>
    <w:rsid w:val="0D4B6865"/>
    <w:rsid w:val="0DCC0055"/>
    <w:rsid w:val="10C055FF"/>
    <w:rsid w:val="118107EC"/>
    <w:rsid w:val="11DD6519"/>
    <w:rsid w:val="16BB723D"/>
    <w:rsid w:val="18015F3F"/>
    <w:rsid w:val="1B4A479F"/>
    <w:rsid w:val="1BE8440E"/>
    <w:rsid w:val="1D155CEE"/>
    <w:rsid w:val="1DC43CB7"/>
    <w:rsid w:val="1E6343C4"/>
    <w:rsid w:val="20F57F95"/>
    <w:rsid w:val="21062B45"/>
    <w:rsid w:val="240371BF"/>
    <w:rsid w:val="25C741E6"/>
    <w:rsid w:val="27842671"/>
    <w:rsid w:val="29782EE9"/>
    <w:rsid w:val="29FD04D3"/>
    <w:rsid w:val="2ABE7A3E"/>
    <w:rsid w:val="2E0834DB"/>
    <w:rsid w:val="2EFA178C"/>
    <w:rsid w:val="30B46D73"/>
    <w:rsid w:val="319F7F4E"/>
    <w:rsid w:val="338C39A3"/>
    <w:rsid w:val="37CB1D5A"/>
    <w:rsid w:val="39AE70AB"/>
    <w:rsid w:val="3C0C0783"/>
    <w:rsid w:val="3F9F3A96"/>
    <w:rsid w:val="41995F80"/>
    <w:rsid w:val="488A42B4"/>
    <w:rsid w:val="493C27E9"/>
    <w:rsid w:val="496F39ED"/>
    <w:rsid w:val="49FF41D3"/>
    <w:rsid w:val="4B5E5793"/>
    <w:rsid w:val="4BE068DB"/>
    <w:rsid w:val="4BF6002B"/>
    <w:rsid w:val="4ECE2238"/>
    <w:rsid w:val="4F8D589F"/>
    <w:rsid w:val="51DB4B86"/>
    <w:rsid w:val="55333C3E"/>
    <w:rsid w:val="57B17D3C"/>
    <w:rsid w:val="591B4559"/>
    <w:rsid w:val="5FE511FA"/>
    <w:rsid w:val="604D648F"/>
    <w:rsid w:val="60A671B0"/>
    <w:rsid w:val="63A37069"/>
    <w:rsid w:val="63D84437"/>
    <w:rsid w:val="64CA39A1"/>
    <w:rsid w:val="65E4762B"/>
    <w:rsid w:val="696165D9"/>
    <w:rsid w:val="6BF70A41"/>
    <w:rsid w:val="6C4A05C8"/>
    <w:rsid w:val="718258D9"/>
    <w:rsid w:val="72734D90"/>
    <w:rsid w:val="77FE0526"/>
    <w:rsid w:val="79E7B28D"/>
    <w:rsid w:val="7B0E47B9"/>
    <w:rsid w:val="7D2F02A3"/>
    <w:rsid w:val="7D597670"/>
    <w:rsid w:val="7F9F20EE"/>
    <w:rsid w:val="7FAF342E"/>
    <w:rsid w:val="9E3A10E2"/>
    <w:rsid w:val="F2E1F9D4"/>
    <w:rsid w:val="F7880819"/>
    <w:rsid w:val="F7D72CF8"/>
    <w:rsid w:val="FDAB1958"/>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99"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99"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iPriority="5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24"/>
    <w:qFormat/>
    <w:uiPriority w:val="9"/>
    <w:pPr>
      <w:keepNext/>
      <w:keepLines/>
      <w:spacing w:before="340" w:after="330" w:line="578" w:lineRule="auto"/>
      <w:outlineLvl w:val="0"/>
    </w:pPr>
    <w:rPr>
      <w:b/>
      <w:bCs/>
      <w:kern w:val="44"/>
      <w:sz w:val="44"/>
      <w:szCs w:val="44"/>
    </w:rPr>
  </w:style>
  <w:style w:type="paragraph" w:styleId="4">
    <w:name w:val="heading 2"/>
    <w:basedOn w:val="1"/>
    <w:next w:val="1"/>
    <w:link w:val="25"/>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5">
    <w:name w:val="heading 3"/>
    <w:basedOn w:val="1"/>
    <w:next w:val="1"/>
    <w:link w:val="28"/>
    <w:unhideWhenUsed/>
    <w:qFormat/>
    <w:uiPriority w:val="9"/>
    <w:pPr>
      <w:keepNext/>
      <w:keepLines/>
      <w:spacing w:before="260" w:after="260" w:line="416" w:lineRule="auto"/>
      <w:outlineLvl w:val="2"/>
    </w:pPr>
    <w:rPr>
      <w:b/>
      <w:bCs/>
      <w:sz w:val="32"/>
      <w:szCs w:val="32"/>
    </w:rPr>
  </w:style>
  <w:style w:type="character" w:default="1" w:styleId="13">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21"/>
    <w:qFormat/>
    <w:uiPriority w:val="99"/>
    <w:pPr>
      <w:spacing w:beforeLines="30"/>
    </w:pPr>
    <w:rPr>
      <w:rFonts w:ascii="仿宋_GB2312" w:eastAsia="仿宋_GB2312"/>
      <w:kern w:val="0"/>
      <w:sz w:val="30"/>
    </w:rPr>
  </w:style>
  <w:style w:type="paragraph" w:styleId="6">
    <w:name w:val="toc 3"/>
    <w:basedOn w:val="1"/>
    <w:next w:val="1"/>
    <w:unhideWhenUsed/>
    <w:qFormat/>
    <w:uiPriority w:val="39"/>
    <w:pPr>
      <w:tabs>
        <w:tab w:val="right" w:leader="dot" w:pos="8296"/>
      </w:tabs>
      <w:ind w:left="840" w:leftChars="400"/>
    </w:pPr>
  </w:style>
  <w:style w:type="paragraph" w:styleId="7">
    <w:name w:val="Balloon Text"/>
    <w:basedOn w:val="1"/>
    <w:link w:val="27"/>
    <w:semiHidden/>
    <w:unhideWhenUsed/>
    <w:qFormat/>
    <w:uiPriority w:val="99"/>
    <w:rPr>
      <w:sz w:val="18"/>
      <w:szCs w:val="18"/>
    </w:rPr>
  </w:style>
  <w:style w:type="paragraph" w:styleId="8">
    <w:name w:val="footer"/>
    <w:basedOn w:val="1"/>
    <w:link w:val="19"/>
    <w:qFormat/>
    <w:uiPriority w:val="99"/>
    <w:pPr>
      <w:tabs>
        <w:tab w:val="center" w:pos="4153"/>
        <w:tab w:val="right" w:pos="8306"/>
      </w:tabs>
      <w:snapToGrid w:val="0"/>
      <w:jc w:val="left"/>
    </w:pPr>
    <w:rPr>
      <w:rFonts w:ascii="Calibri" w:hAnsi="Calibri"/>
      <w:kern w:val="0"/>
      <w:sz w:val="18"/>
      <w:szCs w:val="18"/>
    </w:rPr>
  </w:style>
  <w:style w:type="paragraph" w:styleId="9">
    <w:name w:val="header"/>
    <w:basedOn w:val="1"/>
    <w:link w:val="17"/>
    <w:semiHidden/>
    <w:qFormat/>
    <w:uiPriority w:val="99"/>
    <w:pPr>
      <w:pBdr>
        <w:bottom w:val="single" w:color="auto" w:sz="6" w:space="1"/>
      </w:pBdr>
      <w:tabs>
        <w:tab w:val="center" w:pos="4153"/>
        <w:tab w:val="right" w:pos="8306"/>
      </w:tabs>
      <w:snapToGrid w:val="0"/>
      <w:jc w:val="center"/>
    </w:pPr>
    <w:rPr>
      <w:rFonts w:ascii="Calibri" w:hAnsi="Calibri"/>
      <w:kern w:val="0"/>
      <w:sz w:val="18"/>
      <w:szCs w:val="18"/>
    </w:rPr>
  </w:style>
  <w:style w:type="paragraph" w:styleId="10">
    <w:name w:val="toc 1"/>
    <w:basedOn w:val="1"/>
    <w:next w:val="1"/>
    <w:unhideWhenUsed/>
    <w:qFormat/>
    <w:uiPriority w:val="39"/>
    <w:pPr>
      <w:tabs>
        <w:tab w:val="right" w:leader="dot" w:pos="8296"/>
      </w:tabs>
      <w:spacing w:before="93"/>
      <w:jc w:val="center"/>
    </w:pPr>
    <w:rPr>
      <w:rFonts w:ascii="仿宋" w:hAnsi="仿宋" w:eastAsia="仿宋"/>
      <w:sz w:val="28"/>
      <w:szCs w:val="28"/>
    </w:rPr>
  </w:style>
  <w:style w:type="paragraph" w:styleId="11">
    <w:name w:val="toc 2"/>
    <w:basedOn w:val="1"/>
    <w:next w:val="1"/>
    <w:unhideWhenUsed/>
    <w:qFormat/>
    <w:uiPriority w:val="39"/>
    <w:pPr>
      <w:tabs>
        <w:tab w:val="right" w:leader="dot" w:pos="8296"/>
      </w:tabs>
      <w:ind w:left="420" w:leftChars="200"/>
    </w:pPr>
  </w:style>
  <w:style w:type="character" w:styleId="14">
    <w:name w:val="Strong"/>
    <w:basedOn w:val="13"/>
    <w:qFormat/>
    <w:uiPriority w:val="99"/>
    <w:rPr>
      <w:b/>
    </w:rPr>
  </w:style>
  <w:style w:type="character" w:styleId="15">
    <w:name w:val="Hyperlink"/>
    <w:basedOn w:val="13"/>
    <w:unhideWhenUsed/>
    <w:qFormat/>
    <w:uiPriority w:val="99"/>
    <w:rPr>
      <w:color w:val="0000FF" w:themeColor="hyperlink"/>
      <w:u w:val="single"/>
      <w14:textFill>
        <w14:solidFill>
          <w14:schemeClr w14:val="hlink"/>
        </w14:solidFill>
      </w14:textFill>
    </w:rPr>
  </w:style>
  <w:style w:type="character" w:customStyle="1" w:styleId="16">
    <w:name w:val="Header Char"/>
    <w:basedOn w:val="13"/>
    <w:semiHidden/>
    <w:qFormat/>
    <w:uiPriority w:val="99"/>
    <w:rPr>
      <w:rFonts w:ascii="Times New Roman" w:hAnsi="Times New Roman"/>
      <w:sz w:val="18"/>
      <w:szCs w:val="18"/>
    </w:rPr>
  </w:style>
  <w:style w:type="character" w:customStyle="1" w:styleId="17">
    <w:name w:val="页眉 Char"/>
    <w:link w:val="9"/>
    <w:semiHidden/>
    <w:qFormat/>
    <w:locked/>
    <w:uiPriority w:val="99"/>
    <w:rPr>
      <w:sz w:val="18"/>
    </w:rPr>
  </w:style>
  <w:style w:type="character" w:customStyle="1" w:styleId="18">
    <w:name w:val="Footer Char"/>
    <w:basedOn w:val="13"/>
    <w:semiHidden/>
    <w:qFormat/>
    <w:uiPriority w:val="99"/>
    <w:rPr>
      <w:rFonts w:ascii="Times New Roman" w:hAnsi="Times New Roman"/>
      <w:sz w:val="18"/>
      <w:szCs w:val="18"/>
    </w:rPr>
  </w:style>
  <w:style w:type="character" w:customStyle="1" w:styleId="19">
    <w:name w:val="页脚 Char"/>
    <w:link w:val="8"/>
    <w:qFormat/>
    <w:locked/>
    <w:uiPriority w:val="99"/>
    <w:rPr>
      <w:sz w:val="18"/>
    </w:rPr>
  </w:style>
  <w:style w:type="character" w:customStyle="1" w:styleId="20">
    <w:name w:val="Body Text Char"/>
    <w:basedOn w:val="13"/>
    <w:semiHidden/>
    <w:qFormat/>
    <w:uiPriority w:val="99"/>
    <w:rPr>
      <w:rFonts w:ascii="Times New Roman" w:hAnsi="Times New Roman"/>
      <w:szCs w:val="24"/>
    </w:rPr>
  </w:style>
  <w:style w:type="character" w:customStyle="1" w:styleId="21">
    <w:name w:val="正文文本 Char"/>
    <w:link w:val="2"/>
    <w:qFormat/>
    <w:locked/>
    <w:uiPriority w:val="99"/>
    <w:rPr>
      <w:rFonts w:ascii="仿宋_GB2312" w:hAnsi="Times New Roman" w:eastAsia="仿宋_GB2312"/>
      <w:sz w:val="24"/>
    </w:rPr>
  </w:style>
  <w:style w:type="paragraph" w:customStyle="1" w:styleId="22">
    <w:name w:val="Default"/>
    <w:qFormat/>
    <w:uiPriority w:val="99"/>
    <w:pPr>
      <w:widowControl w:val="0"/>
      <w:autoSpaceDE w:val="0"/>
      <w:autoSpaceDN w:val="0"/>
      <w:adjustRightInd w:val="0"/>
    </w:pPr>
    <w:rPr>
      <w:rFonts w:ascii="仿宋" w:hAnsi="Calibri" w:eastAsia="仿宋" w:cs="仿宋"/>
      <w:color w:val="000000"/>
      <w:sz w:val="24"/>
      <w:szCs w:val="24"/>
      <w:lang w:val="en-US" w:eastAsia="zh-CN" w:bidi="ar-SA"/>
    </w:rPr>
  </w:style>
  <w:style w:type="paragraph" w:styleId="23">
    <w:name w:val="List Paragraph"/>
    <w:basedOn w:val="1"/>
    <w:qFormat/>
    <w:uiPriority w:val="34"/>
    <w:pPr>
      <w:ind w:firstLine="420" w:firstLineChars="200"/>
    </w:pPr>
  </w:style>
  <w:style w:type="character" w:customStyle="1" w:styleId="24">
    <w:name w:val="标题 1 Char"/>
    <w:basedOn w:val="13"/>
    <w:link w:val="3"/>
    <w:qFormat/>
    <w:uiPriority w:val="9"/>
    <w:rPr>
      <w:rFonts w:ascii="Times New Roman" w:hAnsi="Times New Roman"/>
      <w:b/>
      <w:bCs/>
      <w:kern w:val="44"/>
      <w:sz w:val="44"/>
      <w:szCs w:val="44"/>
    </w:rPr>
  </w:style>
  <w:style w:type="character" w:customStyle="1" w:styleId="25">
    <w:name w:val="标题 2 Char"/>
    <w:basedOn w:val="13"/>
    <w:link w:val="4"/>
    <w:qFormat/>
    <w:uiPriority w:val="9"/>
    <w:rPr>
      <w:rFonts w:asciiTheme="majorHAnsi" w:hAnsiTheme="majorHAnsi" w:eastAsiaTheme="majorEastAsia" w:cstheme="majorBidi"/>
      <w:b/>
      <w:bCs/>
      <w:kern w:val="2"/>
      <w:sz w:val="32"/>
      <w:szCs w:val="32"/>
    </w:rPr>
  </w:style>
  <w:style w:type="paragraph" w:customStyle="1" w:styleId="26">
    <w:name w:val="TOC 标题1"/>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27">
    <w:name w:val="批注框文本 Char"/>
    <w:basedOn w:val="13"/>
    <w:link w:val="7"/>
    <w:semiHidden/>
    <w:qFormat/>
    <w:uiPriority w:val="99"/>
    <w:rPr>
      <w:rFonts w:ascii="Times New Roman" w:hAnsi="Times New Roman"/>
      <w:kern w:val="2"/>
      <w:sz w:val="18"/>
      <w:szCs w:val="18"/>
    </w:rPr>
  </w:style>
  <w:style w:type="character" w:customStyle="1" w:styleId="28">
    <w:name w:val="标题 3 Char"/>
    <w:basedOn w:val="13"/>
    <w:link w:val="5"/>
    <w:qFormat/>
    <w:uiPriority w:val="9"/>
    <w:rPr>
      <w:rFonts w:ascii="Times New Roman" w:hAnsi="Times New Roman"/>
      <w:b/>
      <w:bCs/>
      <w:kern w:val="2"/>
      <w:sz w:val="32"/>
      <w:szCs w:val="32"/>
    </w:rPr>
  </w:style>
  <w:style w:type="paragraph" w:customStyle="1" w:styleId="29">
    <w:name w:val="TOC 标题2"/>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s>
</file>

<file path=word/_rels/document.xml.rels><?xml version="1.0" encoding="UTF-8" standalone="yes"?>
<Relationships xmlns="http://schemas.openxmlformats.org/package/2006/relationships"><Relationship Id="rId9" Type="http://schemas.openxmlformats.org/officeDocument/2006/relationships/chart" Target="charts/chart4.xml"/><Relationship Id="rId8" Type="http://schemas.openxmlformats.org/officeDocument/2006/relationships/chart" Target="charts/chart3.xml"/><Relationship Id="rId7" Type="http://schemas.openxmlformats.org/officeDocument/2006/relationships/chart" Target="charts/chart2.xml"/><Relationship Id="rId6" Type="http://schemas.openxmlformats.org/officeDocument/2006/relationships/chart" Target="charts/chart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hart" Target="charts/chart6.xml"/><Relationship Id="rId10" Type="http://schemas.openxmlformats.org/officeDocument/2006/relationships/chart" Target="charts/chart5.xml"/><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3" Type="http://schemas.microsoft.com/office/2011/relationships/chartColorStyle" Target="colors4.xml"/><Relationship Id="rId2" Type="http://schemas.microsoft.com/office/2011/relationships/chartStyle" Target="style4.xml"/><Relationship Id="rId1" Type="http://schemas.openxmlformats.org/officeDocument/2006/relationships/oleObject" Target="file:///C:\Users\Administrator\Desktop\&#28304;&#25968;&#25454;&#22270;.xlsx" TargetMode="External"/></Relationships>
</file>

<file path=word/charts/_rels/chart2.xml.rels><?xml version="1.0" encoding="UTF-8" standalone="yes"?>
<Relationships xmlns="http://schemas.openxmlformats.org/package/2006/relationships"><Relationship Id="rId3" Type="http://schemas.microsoft.com/office/2011/relationships/chartColorStyle" Target="colors3.xml"/><Relationship Id="rId2" Type="http://schemas.microsoft.com/office/2011/relationships/chartStyle" Target="style3.xml"/><Relationship Id="rId1" Type="http://schemas.openxmlformats.org/officeDocument/2006/relationships/oleObject" Target="file:///C:\Users\Administrator\Desktop\&#28304;&#25968;&#25454;&#22270;.xlsx" TargetMode="External"/></Relationships>
</file>

<file path=word/charts/_rels/chart3.xml.rels><?xml version="1.0" encoding="UTF-8" standalone="yes"?>
<Relationships xmlns="http://schemas.openxmlformats.org/package/2006/relationships"><Relationship Id="rId3" Type="http://schemas.microsoft.com/office/2011/relationships/chartColorStyle" Target="colors5.xml"/><Relationship Id="rId2" Type="http://schemas.microsoft.com/office/2011/relationships/chartStyle" Target="style5.xml"/><Relationship Id="rId1" Type="http://schemas.openxmlformats.org/officeDocument/2006/relationships/oleObject" Target="file:///C:\Users\Administrator\Desktop\&#28304;&#25968;&#25454;&#22270;.xlsx" TargetMode="External"/></Relationships>
</file>

<file path=word/charts/_rels/chart4.xml.rels><?xml version="1.0" encoding="UTF-8" standalone="yes"?>
<Relationships xmlns="http://schemas.openxmlformats.org/package/2006/relationships"><Relationship Id="rId3" Type="http://schemas.microsoft.com/office/2011/relationships/chartColorStyle" Target="colors6.xml"/><Relationship Id="rId2" Type="http://schemas.microsoft.com/office/2011/relationships/chartStyle" Target="style6.xml"/><Relationship Id="rId1" Type="http://schemas.openxmlformats.org/officeDocument/2006/relationships/oleObject" Target="file:///C:\Users\Administrator\Desktop\&#28304;&#25968;&#25454;&#22270;.xlsx" TargetMode="External"/></Relationships>
</file>

<file path=word/charts/_rels/chart5.xml.rels><?xml version="1.0" encoding="UTF-8" standalone="yes"?>
<Relationships xmlns="http://schemas.openxmlformats.org/package/2006/relationships"><Relationship Id="rId3" Type="http://schemas.microsoft.com/office/2011/relationships/chartColorStyle" Target="colors1.xml"/><Relationship Id="rId2" Type="http://schemas.microsoft.com/office/2011/relationships/chartStyle" Target="style1.xml"/><Relationship Id="rId1" Type="http://schemas.openxmlformats.org/officeDocument/2006/relationships/oleObject" Target="file:///C:\Users\Administrator\Desktop\&#28304;&#25968;&#25454;&#22270;.xlsx" TargetMode="External"/></Relationships>
</file>

<file path=word/charts/_rels/chart6.xml.rels><?xml version="1.0" encoding="UTF-8" standalone="yes"?>
<Relationships xmlns="http://schemas.openxmlformats.org/package/2006/relationships"><Relationship Id="rId3" Type="http://schemas.microsoft.com/office/2011/relationships/chartColorStyle" Target="colors2.xml"/><Relationship Id="rId2" Type="http://schemas.microsoft.com/office/2011/relationships/chartStyle" Target="style2.xml"/><Relationship Id="rId1" Type="http://schemas.openxmlformats.org/officeDocument/2006/relationships/oleObject" Target="file:///C:\Users\Administrator\Desktop\&#28304;&#25968;&#25454;&#22270;.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rPr lang="zh-CN" altLang="en-US"/>
              <a:t>收、支决算总计变动情况图</a:t>
            </a:r>
            <a:endParaRPr lang="zh-CN" altLang="en-US"/>
          </a:p>
        </c:rich>
      </c:tx>
      <c:layout/>
      <c:overlay val="0"/>
      <c:spPr>
        <a:noFill/>
        <a:ln>
          <a:noFill/>
        </a:ln>
        <a:effectLst/>
      </c:spPr>
    </c:title>
    <c:autoTitleDeleted val="0"/>
    <c:plotArea>
      <c:layout/>
      <c:barChart>
        <c:barDir val="col"/>
        <c:grouping val="clustered"/>
        <c:varyColors val="0"/>
        <c:ser>
          <c:idx val="0"/>
          <c:order val="0"/>
          <c:tx>
            <c:strRef>
              <c:f>[源数据图.xlsx]柱状图!$A$2</c:f>
              <c:strCache>
                <c:ptCount val="1"/>
                <c:pt idx="0">
                  <c:v>2020年</c:v>
                </c:pt>
              </c:strCache>
            </c:strRef>
          </c:tx>
          <c:spPr>
            <a:solidFill>
              <a:schemeClr val="accent1"/>
            </a:solidFill>
            <a:ln>
              <a:noFill/>
            </a:ln>
            <a:effectLst/>
          </c:spPr>
          <c:invertIfNegative val="0"/>
          <c:dLbls>
            <c:delete val="1"/>
          </c:dLbls>
          <c:cat>
            <c:strRef>
              <c:f>[源数据图.xlsx]柱状图!$B$1:$C$1</c:f>
              <c:strCache>
                <c:ptCount val="2"/>
                <c:pt idx="0">
                  <c:v>收入</c:v>
                </c:pt>
                <c:pt idx="1">
                  <c:v>支出</c:v>
                </c:pt>
              </c:strCache>
            </c:strRef>
          </c:cat>
          <c:val>
            <c:numRef>
              <c:f>[源数据图.xlsx]柱状图!$B$2:$C$2</c:f>
              <c:numCache>
                <c:formatCode>General</c:formatCode>
                <c:ptCount val="2"/>
                <c:pt idx="0">
                  <c:v>210.65</c:v>
                </c:pt>
                <c:pt idx="1">
                  <c:v>210.65</c:v>
                </c:pt>
              </c:numCache>
            </c:numRef>
          </c:val>
        </c:ser>
        <c:ser>
          <c:idx val="1"/>
          <c:order val="1"/>
          <c:tx>
            <c:strRef>
              <c:f>[源数据图.xlsx]柱状图!$A$3</c:f>
              <c:strCache>
                <c:ptCount val="1"/>
                <c:pt idx="0">
                  <c:v>2021年</c:v>
                </c:pt>
              </c:strCache>
            </c:strRef>
          </c:tx>
          <c:spPr>
            <a:solidFill>
              <a:schemeClr val="accent2"/>
            </a:solidFill>
            <a:ln>
              <a:noFill/>
            </a:ln>
            <a:effectLst/>
          </c:spPr>
          <c:invertIfNegative val="0"/>
          <c:dLbls>
            <c:delete val="1"/>
          </c:dLbls>
          <c:cat>
            <c:strRef>
              <c:f>[源数据图.xlsx]柱状图!$B$1:$C$1</c:f>
              <c:strCache>
                <c:ptCount val="2"/>
                <c:pt idx="0">
                  <c:v>收入</c:v>
                </c:pt>
                <c:pt idx="1">
                  <c:v>支出</c:v>
                </c:pt>
              </c:strCache>
            </c:strRef>
          </c:cat>
          <c:val>
            <c:numRef>
              <c:f>[源数据图.xlsx]柱状图!$B$3:$C$3</c:f>
              <c:numCache>
                <c:formatCode>General</c:formatCode>
                <c:ptCount val="2"/>
                <c:pt idx="0">
                  <c:v>263.97</c:v>
                </c:pt>
                <c:pt idx="1">
                  <c:v>263.97</c:v>
                </c:pt>
              </c:numCache>
            </c:numRef>
          </c:val>
        </c:ser>
        <c:dLbls>
          <c:showLegendKey val="0"/>
          <c:showVal val="0"/>
          <c:showCatName val="0"/>
          <c:showSerName val="0"/>
          <c:showPercent val="0"/>
          <c:showBubbleSize val="0"/>
        </c:dLbls>
        <c:gapWidth val="219"/>
        <c:overlap val="-27"/>
        <c:axId val="567516424"/>
        <c:axId val="567516816"/>
      </c:barChart>
      <c:catAx>
        <c:axId val="567516424"/>
        <c:scaling>
          <c:orientation val="minMax"/>
        </c:scaling>
        <c:delete val="0"/>
        <c:axPos val="b"/>
        <c:numFmt formatCode="General" sourceLinked="0"/>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567516816"/>
        <c:crosses val="autoZero"/>
        <c:auto val="1"/>
        <c:lblAlgn val="ctr"/>
        <c:lblOffset val="100"/>
        <c:noMultiLvlLbl val="0"/>
      </c:catAx>
      <c:valAx>
        <c:axId val="567516816"/>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567516424"/>
        <c:crosses val="autoZero"/>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rPr lang="zh-CN" altLang="en-US"/>
              <a:t>收入决算结构图</a:t>
            </a:r>
            <a:endParaRPr lang="zh-CN" altLang="en-US"/>
          </a:p>
        </c:rich>
      </c:tx>
      <c:layout/>
      <c:overlay val="0"/>
      <c:spPr>
        <a:noFill/>
        <a:ln>
          <a:noFill/>
        </a:ln>
        <a:effectLst/>
      </c:spPr>
    </c:title>
    <c:autoTitleDeleted val="0"/>
    <c:plotArea>
      <c:layout/>
      <c:pieChart>
        <c:varyColors val="1"/>
        <c:ser>
          <c:idx val="0"/>
          <c:order val="0"/>
          <c:spPr/>
          <c:explosion val="0"/>
          <c:dPt>
            <c:idx val="0"/>
            <c:bubble3D val="0"/>
            <c:spPr>
              <a:solidFill>
                <a:schemeClr val="accent1"/>
              </a:solidFill>
              <a:ln w="19050">
                <a:solidFill>
                  <a:schemeClr val="lt1"/>
                </a:solidFill>
              </a:ln>
              <a:effectLst/>
            </c:spPr>
          </c:dPt>
          <c:dPt>
            <c:idx val="1"/>
            <c:bubble3D val="0"/>
            <c:spPr>
              <a:solidFill>
                <a:schemeClr val="accent2"/>
              </a:solidFill>
              <a:ln w="19050">
                <a:solidFill>
                  <a:schemeClr val="lt1"/>
                </a:solidFill>
              </a:ln>
              <a:effectLst/>
            </c:spPr>
          </c:dPt>
          <c:dPt>
            <c:idx val="2"/>
            <c:bubble3D val="0"/>
            <c:spPr>
              <a:solidFill>
                <a:schemeClr val="accent3"/>
              </a:solidFill>
              <a:ln w="19050">
                <a:solidFill>
                  <a:schemeClr val="lt1"/>
                </a:solidFill>
              </a:ln>
              <a:effectLst/>
            </c:spPr>
          </c:dPt>
          <c:dLbls>
            <c:delete val="1"/>
          </c:dLbls>
          <c:cat>
            <c:strRef>
              <c:f>[源数据图.xlsx]饼2!$A$1:$A$3</c:f>
              <c:strCache>
                <c:ptCount val="3"/>
                <c:pt idx="0">
                  <c:v>2021年本年收入</c:v>
                </c:pt>
                <c:pt idx="1">
                  <c:v>一般公共预算财政拨款收入</c:v>
                </c:pt>
                <c:pt idx="2">
                  <c:v>其他收入</c:v>
                </c:pt>
              </c:strCache>
            </c:strRef>
          </c:cat>
          <c:val>
            <c:numRef>
              <c:f>[源数据图.xlsx]饼2!$B$1:$B$3</c:f>
              <c:numCache>
                <c:formatCode>General</c:formatCode>
                <c:ptCount val="3"/>
                <c:pt idx="1">
                  <c:v>210.65</c:v>
                </c:pt>
                <c:pt idx="2">
                  <c:v>2</c:v>
                </c:pt>
              </c:numCache>
            </c:numRef>
          </c:val>
        </c:ser>
        <c:dLbls>
          <c:showLegendKey val="0"/>
          <c:showVal val="0"/>
          <c:showCatName val="0"/>
          <c:showSerName val="0"/>
          <c:showPercent val="0"/>
          <c:showBubbleSize val="0"/>
          <c:showLeaderLines val="1"/>
        </c:dLbls>
        <c:firstSliceAng val="0"/>
      </c:pieChart>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rPr lang="zh-CN" altLang="en-US"/>
              <a:t>支出决算结构图</a:t>
            </a:r>
            <a:endParaRPr lang="zh-CN" altLang="en-US"/>
          </a:p>
        </c:rich>
      </c:tx>
      <c:layout/>
      <c:overlay val="0"/>
      <c:spPr>
        <a:noFill/>
        <a:ln>
          <a:noFill/>
        </a:ln>
        <a:effectLst/>
      </c:spPr>
    </c:title>
    <c:autoTitleDeleted val="0"/>
    <c:plotArea>
      <c:layout/>
      <c:pieChart>
        <c:varyColors val="1"/>
        <c:ser>
          <c:idx val="0"/>
          <c:order val="0"/>
          <c:spPr/>
          <c:explosion val="0"/>
          <c:dPt>
            <c:idx val="0"/>
            <c:bubble3D val="0"/>
            <c:spPr>
              <a:solidFill>
                <a:schemeClr val="accent1"/>
              </a:solidFill>
              <a:ln w="19050">
                <a:solidFill>
                  <a:schemeClr val="lt1"/>
                </a:solidFill>
              </a:ln>
              <a:effectLst/>
            </c:spPr>
          </c:dPt>
          <c:dPt>
            <c:idx val="1"/>
            <c:bubble3D val="0"/>
            <c:spPr>
              <a:solidFill>
                <a:schemeClr val="accent2"/>
              </a:solidFill>
              <a:ln w="19050">
                <a:solidFill>
                  <a:schemeClr val="lt1"/>
                </a:solidFill>
              </a:ln>
              <a:effectLst/>
            </c:spPr>
          </c:dPt>
          <c:dLbls>
            <c:delete val="1"/>
          </c:dLbls>
          <c:cat>
            <c:strRef>
              <c:f>[源数据图.xlsx]饼2!$A$2:$A$3</c:f>
              <c:strCache>
                <c:ptCount val="2"/>
                <c:pt idx="0">
                  <c:v>基本支出</c:v>
                </c:pt>
                <c:pt idx="1">
                  <c:v>项目支出</c:v>
                </c:pt>
              </c:strCache>
            </c:strRef>
          </c:cat>
          <c:val>
            <c:numRef>
              <c:f>[源数据图.xlsx]饼2!$B$2:$B$3</c:f>
              <c:numCache>
                <c:formatCode>General</c:formatCode>
                <c:ptCount val="2"/>
                <c:pt idx="0">
                  <c:v>223.21</c:v>
                </c:pt>
                <c:pt idx="1">
                  <c:v>38.76</c:v>
                </c:pt>
              </c:numCache>
            </c:numRef>
          </c:val>
        </c:ser>
        <c:dLbls>
          <c:showLegendKey val="0"/>
          <c:showVal val="0"/>
          <c:showCatName val="0"/>
          <c:showSerName val="0"/>
          <c:showPercent val="0"/>
          <c:showBubbleSize val="0"/>
          <c:showLeaderLines val="1"/>
        </c:dLbls>
        <c:firstSliceAng val="0"/>
      </c:pieChart>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rPr lang="zh-CN" altLang="en-US"/>
              <a:t>财政拨款收、支决算总计变动情况图</a:t>
            </a:r>
            <a:endParaRPr lang="zh-CN" altLang="en-US"/>
          </a:p>
        </c:rich>
      </c:tx>
      <c:layout/>
      <c:overlay val="0"/>
      <c:spPr>
        <a:noFill/>
        <a:ln>
          <a:noFill/>
        </a:ln>
        <a:effectLst/>
      </c:spPr>
    </c:title>
    <c:autoTitleDeleted val="0"/>
    <c:plotArea>
      <c:layout/>
      <c:barChart>
        <c:barDir val="col"/>
        <c:grouping val="clustered"/>
        <c:varyColors val="0"/>
        <c:ser>
          <c:idx val="0"/>
          <c:order val="0"/>
          <c:tx>
            <c:strRef>
              <c:f>[源数据图.xlsx]柱状图!$A$2</c:f>
              <c:strCache>
                <c:ptCount val="1"/>
                <c:pt idx="0">
                  <c:v>2020年</c:v>
                </c:pt>
              </c:strCache>
            </c:strRef>
          </c:tx>
          <c:spPr>
            <a:solidFill>
              <a:schemeClr val="accent1"/>
            </a:solidFill>
            <a:ln>
              <a:noFill/>
            </a:ln>
            <a:effectLst/>
          </c:spPr>
          <c:invertIfNegative val="0"/>
          <c:dLbls>
            <c:delete val="1"/>
          </c:dLbls>
          <c:cat>
            <c:strRef>
              <c:f>[源数据图.xlsx]柱状图!$B$1:$C$1</c:f>
              <c:strCache>
                <c:ptCount val="2"/>
                <c:pt idx="0">
                  <c:v>收入</c:v>
                </c:pt>
                <c:pt idx="1">
                  <c:v>支出</c:v>
                </c:pt>
              </c:strCache>
            </c:strRef>
          </c:cat>
          <c:val>
            <c:numRef>
              <c:f>[源数据图.xlsx]柱状图!$B$2:$C$2</c:f>
              <c:numCache>
                <c:formatCode>General</c:formatCode>
                <c:ptCount val="2"/>
                <c:pt idx="0">
                  <c:v>210.65</c:v>
                </c:pt>
                <c:pt idx="1">
                  <c:v>210.65</c:v>
                </c:pt>
              </c:numCache>
            </c:numRef>
          </c:val>
        </c:ser>
        <c:ser>
          <c:idx val="1"/>
          <c:order val="1"/>
          <c:tx>
            <c:strRef>
              <c:f>[源数据图.xlsx]柱状图!$A$3</c:f>
              <c:strCache>
                <c:ptCount val="1"/>
                <c:pt idx="0">
                  <c:v>2021年</c:v>
                </c:pt>
              </c:strCache>
            </c:strRef>
          </c:tx>
          <c:spPr>
            <a:solidFill>
              <a:schemeClr val="accent2"/>
            </a:solidFill>
            <a:ln>
              <a:noFill/>
            </a:ln>
            <a:effectLst/>
          </c:spPr>
          <c:invertIfNegative val="0"/>
          <c:dLbls>
            <c:delete val="1"/>
          </c:dLbls>
          <c:cat>
            <c:strRef>
              <c:f>[源数据图.xlsx]柱状图!$B$1:$C$1</c:f>
              <c:strCache>
                <c:ptCount val="2"/>
                <c:pt idx="0">
                  <c:v>收入</c:v>
                </c:pt>
                <c:pt idx="1">
                  <c:v>支出</c:v>
                </c:pt>
              </c:strCache>
            </c:strRef>
          </c:cat>
          <c:val>
            <c:numRef>
              <c:f>[源数据图.xlsx]柱状图!$B$3:$C$3</c:f>
              <c:numCache>
                <c:formatCode>General</c:formatCode>
                <c:ptCount val="2"/>
                <c:pt idx="0">
                  <c:v>261.97</c:v>
                </c:pt>
                <c:pt idx="1">
                  <c:v>261.97</c:v>
                </c:pt>
              </c:numCache>
            </c:numRef>
          </c:val>
        </c:ser>
        <c:dLbls>
          <c:showLegendKey val="0"/>
          <c:showVal val="0"/>
          <c:showCatName val="0"/>
          <c:showSerName val="0"/>
          <c:showPercent val="0"/>
          <c:showBubbleSize val="0"/>
        </c:dLbls>
        <c:gapWidth val="219"/>
        <c:overlap val="-27"/>
        <c:axId val="566476856"/>
        <c:axId val="566477248"/>
      </c:barChart>
      <c:catAx>
        <c:axId val="566476856"/>
        <c:scaling>
          <c:orientation val="minMax"/>
        </c:scaling>
        <c:delete val="0"/>
        <c:axPos val="b"/>
        <c:numFmt formatCode="General" sourceLinked="0"/>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566477248"/>
        <c:crosses val="autoZero"/>
        <c:auto val="1"/>
        <c:lblAlgn val="ctr"/>
        <c:lblOffset val="100"/>
        <c:noMultiLvlLbl val="0"/>
      </c:catAx>
      <c:valAx>
        <c:axId val="566477248"/>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566476856"/>
        <c:crosses val="autoZero"/>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rPr lang="zh-CN" altLang="en-US"/>
              <a:t>一般公共预算财政拨款支出决算变动情况</a:t>
            </a:r>
            <a:endParaRPr lang="zh-CN" altLang="en-US"/>
          </a:p>
        </c:rich>
      </c:tx>
      <c:layout>
        <c:manualLayout>
          <c:xMode val="edge"/>
          <c:yMode val="edge"/>
          <c:x val="0.0998611111111111"/>
          <c:y val="0.0173611111111111"/>
        </c:manualLayout>
      </c:layout>
      <c:overlay val="0"/>
      <c:spPr>
        <a:noFill/>
        <a:ln>
          <a:noFill/>
        </a:ln>
        <a:effectLst/>
      </c:spPr>
    </c:title>
    <c:autoTitleDeleted val="0"/>
    <c:plotArea>
      <c:layout/>
      <c:barChart>
        <c:barDir val="col"/>
        <c:grouping val="clustered"/>
        <c:varyColors val="0"/>
        <c:ser>
          <c:idx val="0"/>
          <c:order val="0"/>
          <c:spPr>
            <a:solidFill>
              <a:schemeClr val="accent1"/>
            </a:solidFill>
            <a:ln>
              <a:noFill/>
            </a:ln>
            <a:effectLst/>
          </c:spPr>
          <c:invertIfNegative val="0"/>
          <c:dLbls>
            <c:delete val="1"/>
          </c:dLbls>
          <c:cat>
            <c:strRef>
              <c:f>[源数据图.xlsx]柱状图!$A$25:$A$26</c:f>
              <c:strCache>
                <c:ptCount val="2"/>
                <c:pt idx="0">
                  <c:v>2020年</c:v>
                </c:pt>
                <c:pt idx="1">
                  <c:v>2021年</c:v>
                </c:pt>
              </c:strCache>
            </c:strRef>
          </c:cat>
          <c:val>
            <c:numRef>
              <c:f>[源数据图.xlsx]柱状图!$B$25:$B$26</c:f>
              <c:numCache>
                <c:formatCode>General</c:formatCode>
                <c:ptCount val="2"/>
                <c:pt idx="0">
                  <c:v>196.39</c:v>
                </c:pt>
                <c:pt idx="1">
                  <c:v>261.97</c:v>
                </c:pt>
              </c:numCache>
            </c:numRef>
          </c:val>
        </c:ser>
        <c:dLbls>
          <c:showLegendKey val="0"/>
          <c:showVal val="0"/>
          <c:showCatName val="0"/>
          <c:showSerName val="0"/>
          <c:showPercent val="0"/>
          <c:showBubbleSize val="0"/>
        </c:dLbls>
        <c:gapWidth val="219"/>
        <c:overlap val="-27"/>
        <c:axId val="566478032"/>
        <c:axId val="566478424"/>
      </c:barChart>
      <c:catAx>
        <c:axId val="566478032"/>
        <c:scaling>
          <c:orientation val="minMax"/>
        </c:scaling>
        <c:delete val="0"/>
        <c:axPos val="b"/>
        <c:numFmt formatCode="General" sourceLinked="0"/>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566478424"/>
        <c:crosses val="autoZero"/>
        <c:auto val="1"/>
        <c:lblAlgn val="ctr"/>
        <c:lblOffset val="100"/>
        <c:noMultiLvlLbl val="0"/>
      </c:catAx>
      <c:valAx>
        <c:axId val="566478424"/>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566478032"/>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rPr lang="zh-CN" altLang="en-US"/>
              <a:t>一般公共预算财政拨款支出决算结构</a:t>
            </a:r>
            <a:endParaRPr lang="zh-CN" altLang="en-US"/>
          </a:p>
        </c:rich>
      </c:tx>
      <c:layout/>
      <c:overlay val="0"/>
      <c:spPr>
        <a:noFill/>
        <a:ln>
          <a:noFill/>
        </a:ln>
        <a:effectLst/>
      </c:spPr>
    </c:title>
    <c:autoTitleDeleted val="0"/>
    <c:plotArea>
      <c:layout/>
      <c:pieChart>
        <c:varyColors val="1"/>
        <c:ser>
          <c:idx val="0"/>
          <c:order val="0"/>
          <c:spPr/>
          <c:explosion val="0"/>
          <c:dPt>
            <c:idx val="0"/>
            <c:bubble3D val="0"/>
            <c:spPr>
              <a:solidFill>
                <a:schemeClr val="accent1"/>
              </a:solidFill>
              <a:ln w="19050">
                <a:solidFill>
                  <a:schemeClr val="lt1"/>
                </a:solidFill>
              </a:ln>
              <a:effectLst/>
            </c:spPr>
          </c:dPt>
          <c:dPt>
            <c:idx val="1"/>
            <c:bubble3D val="0"/>
            <c:spPr>
              <a:solidFill>
                <a:schemeClr val="accent2"/>
              </a:solidFill>
              <a:ln w="19050">
                <a:solidFill>
                  <a:schemeClr val="lt1"/>
                </a:solidFill>
              </a:ln>
              <a:effectLst/>
            </c:spPr>
          </c:dPt>
          <c:dPt>
            <c:idx val="2"/>
            <c:bubble3D val="0"/>
            <c:spPr>
              <a:solidFill>
                <a:schemeClr val="accent3"/>
              </a:solidFill>
              <a:ln w="19050">
                <a:solidFill>
                  <a:schemeClr val="lt1"/>
                </a:solidFill>
              </a:ln>
              <a:effectLst/>
            </c:spPr>
          </c:dPt>
          <c:dPt>
            <c:idx val="3"/>
            <c:bubble3D val="0"/>
            <c:spPr>
              <a:solidFill>
                <a:schemeClr val="accent4"/>
              </a:solidFill>
              <a:ln w="19050">
                <a:solidFill>
                  <a:schemeClr val="lt1"/>
                </a:solidFill>
              </a:ln>
              <a:effectLst/>
            </c:spPr>
          </c:dPt>
          <c:dLbls>
            <c:delete val="1"/>
          </c:dLbls>
          <c:cat>
            <c:strRef>
              <c:f>[源数据图.xlsx]饼状图1!$A$2:$A$5</c:f>
              <c:strCache>
                <c:ptCount val="4"/>
                <c:pt idx="0">
                  <c:v>一般公共服务</c:v>
                </c:pt>
                <c:pt idx="1">
                  <c:v>科学技术</c:v>
                </c:pt>
                <c:pt idx="2">
                  <c:v>社会保障和就业</c:v>
                </c:pt>
                <c:pt idx="3">
                  <c:v>住房保障支出</c:v>
                </c:pt>
              </c:strCache>
            </c:strRef>
          </c:cat>
          <c:val>
            <c:numRef>
              <c:f>[源数据图.xlsx]饼状图1!$B$2:$B$5</c:f>
              <c:numCache>
                <c:formatCode>0.00%</c:formatCode>
                <c:ptCount val="4"/>
                <c:pt idx="0">
                  <c:v>0.0458</c:v>
                </c:pt>
                <c:pt idx="1">
                  <c:v>0.6925</c:v>
                </c:pt>
                <c:pt idx="2">
                  <c:v>0.2126</c:v>
                </c:pt>
                <c:pt idx="3" c:formatCode="0%">
                  <c:v>0.0491</c:v>
                </c:pt>
              </c:numCache>
            </c:numRef>
          </c:val>
        </c:ser>
        <c:dLbls>
          <c:showLegendKey val="0"/>
          <c:showVal val="0"/>
          <c:showCatName val="0"/>
          <c:showSerName val="0"/>
          <c:showPercent val="0"/>
          <c:showBubbleSize val="0"/>
          <c:showLeaderLines val="1"/>
        </c:dLbls>
        <c:firstSliceAng val="0"/>
      </c:pieChart>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6.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四川省财政厅</Company>
  <Pages>26</Pages>
  <Words>1305</Words>
  <Characters>7445</Characters>
  <Lines>62</Lines>
  <Paragraphs>17</Paragraphs>
  <TotalTime>19</TotalTime>
  <ScaleCrop>false</ScaleCrop>
  <LinksUpToDate>false</LinksUpToDate>
  <CharactersWithSpaces>8733</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2023-08-03T02:33:00Z</dcterms:created>
  <dc:creator>曹颖</dc:creator>
  <cp:lastModifiedBy>Administrator</cp:lastModifiedBy>
  <cp:lastPrinted>2023-10-10T07:17:25Z</cp:lastPrinted>
  <dcterms:modified xsi:type="dcterms:W3CDTF">2023-10-10T07:20:52Z</dcterms:modified>
  <dc:title>四川省***</dc:title>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2183919313044A89A02C8ABA7F07A5A7</vt:lpwstr>
  </property>
</Properties>
</file>