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outlineLvl w:val="0"/>
        <w:rPr>
          <w:rFonts w:hint="eastAsia" w:ascii="方正小标宋简体" w:hAnsi="方正小标宋简体" w:eastAsia="方正小标宋简体" w:cs="方正小标宋简体"/>
          <w:sz w:val="72"/>
          <w:szCs w:val="72"/>
        </w:rPr>
      </w:pPr>
      <w:bookmarkStart w:id="1" w:name="_Toc15396597"/>
      <w:bookmarkStart w:id="2" w:name="_Toc15377425"/>
      <w:bookmarkStart w:id="3" w:name="_Toc15396475"/>
      <w:bookmarkStart w:id="4" w:name="_Toc15378441"/>
      <w:bookmarkStart w:id="5" w:name="_Toc15377193"/>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outlineLvl w:val="0"/>
        <w:rPr>
          <w:rFonts w:ascii="方正小标宋简体" w:hAnsi="方正小标宋简体" w:eastAsia="方正小标宋简体" w:cs="方正小标宋简体"/>
          <w:sz w:val="72"/>
          <w:szCs w:val="72"/>
        </w:rPr>
      </w:pPr>
      <w:bookmarkStart w:id="6" w:name="_Toc15377194"/>
      <w:bookmarkStart w:id="7" w:name="_Toc15396476"/>
      <w:bookmarkStart w:id="8" w:name="_Toc15396598"/>
      <w:bookmarkStart w:id="9" w:name="_Toc15377426"/>
      <w:bookmarkStart w:id="10" w:name="_Toc15378442"/>
      <w:r>
        <w:rPr>
          <w:rFonts w:hint="eastAsia" w:ascii="方正小标宋简体" w:hAnsi="方正小标宋简体" w:eastAsia="方正小标宋简体" w:cs="方正小标宋简体"/>
          <w:sz w:val="72"/>
          <w:szCs w:val="72"/>
        </w:rPr>
        <w:t>攀枝花市</w:t>
      </w:r>
      <w:bookmarkEnd w:id="0"/>
      <w:bookmarkStart w:id="11" w:name="_Toc15306268"/>
      <w:r>
        <w:rPr>
          <w:rFonts w:hint="eastAsia" w:ascii="方正小标宋简体" w:hAnsi="方正小标宋简体" w:eastAsia="方正小标宋简体" w:cs="方正小标宋简体"/>
          <w:sz w:val="72"/>
          <w:szCs w:val="72"/>
          <w:lang w:eastAsia="zh-CN"/>
        </w:rPr>
        <w:t>地方志编纂中心单位</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公开时间：2023年9月</w:t>
      </w:r>
      <w:r>
        <w:rPr>
          <w:rFonts w:hint="eastAsia"/>
          <w:lang w:val="en-US" w:eastAsia="zh-CN"/>
        </w:rPr>
        <w:t>14</w:t>
      </w:r>
      <w:r>
        <w:rPr>
          <w:rFonts w:hint="eastAsia"/>
        </w:rPr>
        <w:t>日</w:t>
      </w:r>
    </w:p>
    <w:p/>
    <w:p>
      <w:pPr>
        <w:pStyle w:val="10"/>
        <w:adjustRightInd w:val="0"/>
        <w:snapToGrid w:val="0"/>
        <w:spacing w:before="0" w:line="440" w:lineRule="exact"/>
        <w:jc w:val="left"/>
        <w:rPr>
          <w:rFonts w:hint="eastAsia" w:eastAsia="仿宋" w:cstheme="minorBidi"/>
          <w:sz w:val="24"/>
          <w:szCs w:val="24"/>
          <w:lang w:val="en-US" w:eastAsia="zh-CN"/>
        </w:rPr>
      </w:pPr>
      <w:r>
        <w:rPr>
          <w:rFonts w:hint="eastAsia"/>
          <w:sz w:val="24"/>
        </w:rPr>
        <w:t>第一部分</w:t>
      </w:r>
      <w:r>
        <w:rPr>
          <w:sz w:val="24"/>
        </w:rPr>
        <w:t xml:space="preserve"> </w:t>
      </w:r>
      <w:r>
        <w:rPr>
          <w:rFonts w:hint="eastAsia"/>
          <w:sz w:val="24"/>
        </w:rPr>
        <w:t>单位概况</w:t>
      </w:r>
      <w:r>
        <w:rPr>
          <w:rFonts w:cstheme="minorBidi"/>
          <w:sz w:val="24"/>
          <w:szCs w:val="24"/>
        </w:rPr>
        <w:tab/>
      </w:r>
      <w:r>
        <w:rPr>
          <w:rFonts w:hint="eastAsia" w:cstheme="minorBidi"/>
          <w:sz w:val="24"/>
          <w:szCs w:val="24"/>
          <w:lang w:val="en-US" w:eastAsia="zh-CN"/>
        </w:rPr>
        <w:t>4</w:t>
      </w:r>
    </w:p>
    <w:p>
      <w:pPr>
        <w:pStyle w:val="11"/>
        <w:adjustRightInd w:val="0"/>
        <w:snapToGrid w:val="0"/>
        <w:spacing w:line="440" w:lineRule="exact"/>
        <w:jc w:val="left"/>
        <w:rPr>
          <w:rFonts w:hint="eastAsia" w:eastAsia="宋体"/>
          <w:sz w:val="24"/>
          <w:lang w:val="en-US" w:eastAsia="zh-CN"/>
        </w:rPr>
      </w:pPr>
      <w:r>
        <w:rPr>
          <w:rFonts w:hint="eastAsia"/>
          <w:sz w:val="24"/>
        </w:rPr>
        <w:t>一、主要职责</w:t>
      </w:r>
      <w:r>
        <w:rPr>
          <w:rFonts w:cstheme="minorBidi"/>
          <w:sz w:val="24"/>
        </w:rPr>
        <w:tab/>
      </w:r>
      <w:r>
        <w:rPr>
          <w:rFonts w:hint="eastAsia" w:cstheme="minorBidi"/>
          <w:sz w:val="24"/>
          <w:lang w:val="en-US" w:eastAsia="zh-CN"/>
        </w:rPr>
        <w:t>4</w:t>
      </w:r>
    </w:p>
    <w:p>
      <w:pPr>
        <w:pStyle w:val="11"/>
        <w:adjustRightInd w:val="0"/>
        <w:snapToGrid w:val="0"/>
        <w:spacing w:line="440" w:lineRule="exact"/>
        <w:jc w:val="left"/>
      </w:pPr>
      <w:r>
        <w:rPr>
          <w:rFonts w:hint="eastAsia"/>
          <w:sz w:val="24"/>
        </w:rPr>
        <w:t>二、机构设置</w:t>
      </w:r>
      <w:r>
        <w:rPr>
          <w:rFonts w:cstheme="minorBidi"/>
          <w:sz w:val="24"/>
        </w:rPr>
        <w:tab/>
      </w:r>
      <w:r>
        <w:rPr>
          <w:rFonts w:hint="eastAsia" w:cstheme="minorBidi"/>
          <w:sz w:val="24"/>
          <w:lang w:val="en-US" w:eastAsia="zh-CN"/>
        </w:rPr>
        <w:t>4</w:t>
      </w:r>
    </w:p>
    <w:p>
      <w:pPr>
        <w:pStyle w:val="10"/>
        <w:adjustRightInd w:val="0"/>
        <w:snapToGrid w:val="0"/>
        <w:spacing w:before="0" w:line="440" w:lineRule="exact"/>
        <w:jc w:val="left"/>
        <w:rPr>
          <w:rFonts w:hint="eastAsia" w:eastAsia="仿宋"/>
          <w:sz w:val="24"/>
          <w:szCs w:val="24"/>
          <w:lang w:val="en-US" w:eastAsia="zh-CN"/>
        </w:rPr>
      </w:pPr>
      <w:r>
        <w:rPr>
          <w:rFonts w:hint="eastAsia"/>
          <w:sz w:val="24"/>
        </w:rPr>
        <w:t>第二部分 2022年度单位决算情况说明</w:t>
      </w:r>
      <w:r>
        <w:rPr>
          <w:rFonts w:cstheme="minorBidi"/>
          <w:sz w:val="24"/>
        </w:rPr>
        <w:tab/>
      </w:r>
      <w:r>
        <w:rPr>
          <w:rFonts w:hint="eastAsia" w:cstheme="minorBidi"/>
          <w:sz w:val="24"/>
          <w:lang w:val="en-US" w:eastAsia="zh-CN"/>
        </w:rPr>
        <w:t>5</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一、收入支出决算总体情况说明</w:t>
      </w:r>
      <w:r>
        <w:rPr>
          <w:rFonts w:cstheme="minorBidi"/>
          <w:sz w:val="24"/>
        </w:rPr>
        <w:tab/>
      </w:r>
      <w:r>
        <w:rPr>
          <w:rFonts w:hint="eastAsia" w:ascii="仿宋" w:hAnsi="仿宋" w:eastAsia="仿宋" w:cstheme="minorBidi"/>
          <w:kern w:val="2"/>
          <w:sz w:val="24"/>
          <w:szCs w:val="28"/>
          <w:lang w:val="en-US" w:eastAsia="zh-CN" w:bidi="ar-SA"/>
        </w:rPr>
        <w:t>5</w:t>
      </w:r>
    </w:p>
    <w:p>
      <w:pPr>
        <w:pStyle w:val="11"/>
        <w:adjustRightInd w:val="0"/>
        <w:snapToGrid w:val="0"/>
        <w:spacing w:line="440" w:lineRule="exact"/>
        <w:jc w:val="left"/>
        <w:rPr>
          <w:rFonts w:ascii="仿宋" w:hAnsi="仿宋" w:eastAsia="仿宋" w:cstheme="minorBidi"/>
          <w:sz w:val="24"/>
        </w:rPr>
      </w:pPr>
      <w:r>
        <w:rPr>
          <w:rFonts w:hint="eastAsia"/>
          <w:sz w:val="24"/>
        </w:rPr>
        <w:t>二、收入决算情况说明</w:t>
      </w:r>
      <w:r>
        <w:rPr>
          <w:rFonts w:cstheme="minorBidi"/>
          <w:sz w:val="24"/>
        </w:rPr>
        <w:tab/>
      </w:r>
      <w:r>
        <w:rPr>
          <w:rFonts w:hint="eastAsia" w:ascii="仿宋" w:hAnsi="仿宋" w:eastAsia="仿宋" w:cstheme="minorBidi"/>
          <w:kern w:val="2"/>
          <w:sz w:val="24"/>
          <w:szCs w:val="28"/>
          <w:lang w:val="en-US" w:eastAsia="zh-CN" w:bidi="ar-SA"/>
        </w:rPr>
        <w:t>5</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三、支出决算情况说明</w:t>
      </w:r>
      <w:r>
        <w:rPr>
          <w:rFonts w:cstheme="minorBidi"/>
          <w:sz w:val="24"/>
        </w:rPr>
        <w:tab/>
      </w:r>
      <w:r>
        <w:rPr>
          <w:rFonts w:hint="eastAsia" w:cstheme="minorBidi"/>
          <w:sz w:val="24"/>
          <w:lang w:val="en-US" w:eastAsia="zh-CN"/>
        </w:rPr>
        <w:t>6</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四、财政拨款收入支出决算总体情况说明</w:t>
      </w:r>
      <w:r>
        <w:rPr>
          <w:rFonts w:cstheme="minorBidi"/>
          <w:sz w:val="24"/>
        </w:rPr>
        <w:tab/>
      </w:r>
      <w:r>
        <w:rPr>
          <w:rFonts w:hint="eastAsia" w:cstheme="minorBidi"/>
          <w:sz w:val="24"/>
          <w:lang w:val="en-US" w:eastAsia="zh-CN"/>
        </w:rPr>
        <w:t>7</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五、一般公共预算财政拨款支出决算情况说明</w:t>
      </w:r>
      <w:r>
        <w:rPr>
          <w:rFonts w:cstheme="minorBidi"/>
          <w:sz w:val="24"/>
        </w:rPr>
        <w:tab/>
      </w:r>
      <w:r>
        <w:rPr>
          <w:rFonts w:hint="eastAsia" w:cstheme="minorBidi"/>
          <w:sz w:val="24"/>
          <w:lang w:val="en-US" w:eastAsia="zh-CN"/>
        </w:rPr>
        <w:t>8</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cstheme="minorBidi"/>
          <w:sz w:val="24"/>
        </w:rPr>
        <w:tab/>
      </w:r>
      <w:r>
        <w:rPr>
          <w:rFonts w:hint="eastAsia" w:cstheme="minorBidi"/>
          <w:sz w:val="24"/>
          <w:lang w:val="en-US" w:eastAsia="zh-CN"/>
        </w:rPr>
        <w:t>11</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rPr>
          <w:rFonts w:cstheme="minorBidi"/>
          <w:sz w:val="24"/>
        </w:rPr>
        <w:tab/>
      </w:r>
      <w:r>
        <w:rPr>
          <w:rFonts w:hint="eastAsia" w:cstheme="minorBidi"/>
          <w:sz w:val="24"/>
          <w:lang w:val="en-US" w:eastAsia="zh-CN"/>
        </w:rPr>
        <w:t>12</w:t>
      </w:r>
    </w:p>
    <w:p>
      <w:pPr>
        <w:pStyle w:val="11"/>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cstheme="minorBidi"/>
          <w:sz w:val="24"/>
        </w:rPr>
        <w:tab/>
      </w:r>
      <w:r>
        <w:rPr>
          <w:rFonts w:hint="eastAsia" w:cstheme="minorBidi"/>
          <w:sz w:val="24"/>
          <w:lang w:val="en-US" w:eastAsia="zh-CN"/>
        </w:rPr>
        <w:t>13</w:t>
      </w:r>
    </w:p>
    <w:p>
      <w:pPr>
        <w:pStyle w:val="11"/>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cstheme="minorBidi"/>
          <w:sz w:val="24"/>
        </w:rPr>
        <w:tab/>
      </w:r>
      <w:r>
        <w:rPr>
          <w:rFonts w:hint="eastAsia" w:cstheme="minorBidi"/>
          <w:sz w:val="24"/>
          <w:lang w:val="en-US" w:eastAsia="zh-CN"/>
        </w:rPr>
        <w:t>13</w:t>
      </w:r>
    </w:p>
    <w:p>
      <w:pPr>
        <w:pStyle w:val="11"/>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cstheme="minorBidi"/>
          <w:sz w:val="24"/>
        </w:rPr>
        <w:tab/>
      </w:r>
      <w:r>
        <w:rPr>
          <w:rFonts w:hint="eastAsia" w:cstheme="minorBidi"/>
          <w:sz w:val="24"/>
          <w:lang w:val="en-US" w:eastAsia="zh-CN"/>
        </w:rPr>
        <w:t>13</w:t>
      </w:r>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第三部分</w:t>
      </w:r>
      <w:r>
        <w:rPr>
          <w:sz w:val="24"/>
        </w:rPr>
        <w:t xml:space="preserve"> </w:t>
      </w:r>
      <w:r>
        <w:rPr>
          <w:rFonts w:hint="eastAsia"/>
          <w:sz w:val="24"/>
        </w:rPr>
        <w:t>名词解释</w:t>
      </w:r>
      <w:r>
        <w:rPr>
          <w:rFonts w:cstheme="minorBidi"/>
          <w:sz w:val="24"/>
        </w:rPr>
        <w:tab/>
      </w:r>
      <w:r>
        <w:rPr>
          <w:rFonts w:hint="eastAsia" w:cstheme="minorBidi"/>
          <w:sz w:val="24"/>
          <w:lang w:val="en-US" w:eastAsia="zh-CN"/>
        </w:rPr>
        <w:t>15</w:t>
      </w:r>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第四部分</w:t>
      </w:r>
      <w:r>
        <w:rPr>
          <w:sz w:val="24"/>
        </w:rPr>
        <w:t xml:space="preserve"> </w:t>
      </w:r>
      <w:r>
        <w:rPr>
          <w:rFonts w:hint="eastAsia"/>
          <w:sz w:val="24"/>
        </w:rPr>
        <w:t>附件</w:t>
      </w:r>
      <w:r>
        <w:rPr>
          <w:rFonts w:cstheme="minorBidi"/>
          <w:sz w:val="24"/>
        </w:rPr>
        <w:tab/>
      </w:r>
      <w:r>
        <w:rPr>
          <w:rFonts w:hint="eastAsia" w:cstheme="minorBidi"/>
          <w:sz w:val="24"/>
          <w:lang w:val="en-US" w:eastAsia="zh-CN"/>
        </w:rPr>
        <w:t>18</w:t>
      </w:r>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第五部分</w:t>
      </w:r>
      <w:r>
        <w:rPr>
          <w:sz w:val="24"/>
        </w:rPr>
        <w:t xml:space="preserve"> </w:t>
      </w:r>
      <w:r>
        <w:rPr>
          <w:rFonts w:hint="eastAsia"/>
          <w:sz w:val="24"/>
        </w:rPr>
        <w:t>附表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一、收入支出决算总表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二、收入决算表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三、支出决算表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四、财政拨款收入支出决算总表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五、财政拨款支出决算明细表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六、一般公共预算财政拨款支出决算表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七、一般公共预算财政拨款支出决算明细表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八、一般公共预算财政拨款基本支出决算明细表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九、一般公共预算财政拨款项目支出决算表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十、政府性基金预算财政拨款收入支出决算表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十一、国有资本经营预算财政拨款收入支出决算表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十二、国有资本经营预算财政拨款支出决算表</w:t>
      </w:r>
      <w:r>
        <w:rPr>
          <w:rFonts w:cstheme="minorBidi"/>
          <w:sz w:val="24"/>
        </w:rPr>
        <w:tab/>
      </w:r>
      <w:r>
        <w:rPr>
          <w:rFonts w:hint="eastAsia" w:cstheme="minorBidi"/>
          <w:sz w:val="24"/>
          <w:lang w:val="en-US" w:eastAsia="zh-CN"/>
        </w:rPr>
        <w:t>19</w:t>
      </w:r>
    </w:p>
    <w:p>
      <w:pPr>
        <w:pStyle w:val="11"/>
        <w:adjustRightInd w:val="0"/>
        <w:snapToGrid w:val="0"/>
        <w:spacing w:line="440" w:lineRule="exact"/>
        <w:jc w:val="left"/>
        <w:rPr>
          <w:sz w:val="24"/>
        </w:rPr>
      </w:pPr>
      <w:r>
        <w:rPr>
          <w:rFonts w:hint="eastAsia"/>
          <w:sz w:val="24"/>
        </w:rPr>
        <w:t>十三、财政拨款“三公”经费支出决算表</w:t>
      </w:r>
      <w:r>
        <w:rPr>
          <w:rFonts w:cstheme="minorBidi"/>
          <w:sz w:val="24"/>
        </w:rPr>
        <w:tab/>
      </w:r>
      <w:r>
        <w:rPr>
          <w:rFonts w:hint="eastAsia" w:cstheme="minorBidi"/>
          <w:sz w:val="24"/>
          <w:lang w:val="en-US" w:eastAsia="zh-CN"/>
        </w:rPr>
        <w:t>19</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1"/>
        </w:numPr>
      </w:pPr>
      <w:bookmarkStart w:id="14" w:name="_Toc15377197"/>
      <w:bookmarkStart w:id="15" w:name="_Toc15396600"/>
      <w:r>
        <w:rPr>
          <w:rStyle w:val="25"/>
          <w:rFonts w:hint="eastAsia" w:ascii="黑体" w:hAnsi="黑体" w:eastAsia="黑体"/>
          <w:b w:val="0"/>
          <w:bCs w:val="0"/>
        </w:rPr>
        <w:t>主要职责</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主要负责编修地方志、年鉴。负责组织编辑、出版、发行《攀枝花市志》《攀枝花年鉴》；负责指导、督促县区志、部门志、专业志的编修，并审查验收；负责组织编辑、出版、发行《攀枝花史志》杂志。</w:t>
      </w:r>
    </w:p>
    <w:p/>
    <w:p/>
    <w:p>
      <w:pPr>
        <w:pStyle w:val="4"/>
        <w:numPr>
          <w:ilvl w:val="0"/>
          <w:numId w:val="1"/>
        </w:numPr>
        <w:ind w:left="0" w:leftChars="0" w:firstLine="0" w:firstLineChars="0"/>
        <w:rPr>
          <w:rFonts w:hint="eastAsia" w:ascii="黑体" w:hAnsi="黑体" w:eastAsia="黑体"/>
          <w:b w:val="0"/>
        </w:rPr>
      </w:pPr>
      <w:r>
        <w:rPr>
          <w:rFonts w:hint="eastAsia" w:ascii="黑体" w:hAnsi="黑体" w:eastAsia="黑体"/>
          <w:b w:val="0"/>
        </w:rPr>
        <w:t>机构设置</w:t>
      </w:r>
      <w:bookmarkEnd w:id="14"/>
      <w:bookmarkEnd w:id="15"/>
    </w:p>
    <w:p>
      <w:pPr>
        <w:snapToGrid w:val="0"/>
        <w:spacing w:line="560" w:lineRule="exact"/>
        <w:ind w:firstLine="640" w:firstLineChars="200"/>
        <w:rPr>
          <w:rFonts w:eastAsia="方正仿宋_GBK"/>
          <w:sz w:val="32"/>
          <w:szCs w:val="32"/>
        </w:rPr>
      </w:pPr>
      <w:r>
        <w:rPr>
          <w:rFonts w:hint="eastAsia" w:eastAsia="仿宋_GB2312"/>
          <w:sz w:val="32"/>
          <w:szCs w:val="32"/>
        </w:rPr>
        <w:t>攀枝花市</w:t>
      </w:r>
      <w:r>
        <w:rPr>
          <w:rFonts w:hint="eastAsia" w:eastAsia="仿宋_GB2312"/>
          <w:sz w:val="32"/>
          <w:szCs w:val="32"/>
          <w:lang w:eastAsia="zh-CN"/>
        </w:rPr>
        <w:t>地方志编纂中心为市政府办下属二级预算单位，无下属单位。本中心</w:t>
      </w:r>
      <w:r>
        <w:rPr>
          <w:rFonts w:hint="eastAsia" w:ascii="仿宋_GB2312" w:hAnsi="仿宋" w:eastAsia="仿宋_GB2312"/>
          <w:sz w:val="32"/>
          <w:szCs w:val="32"/>
        </w:rPr>
        <w:t>为参照公务员法管理事业单位</w:t>
      </w:r>
      <w:r>
        <w:rPr>
          <w:rFonts w:hint="eastAsia" w:ascii="仿宋_GB2312" w:hAnsi="仿宋" w:eastAsia="仿宋_GB2312"/>
          <w:sz w:val="32"/>
          <w:szCs w:val="32"/>
          <w:lang w:eastAsia="zh-CN"/>
        </w:rPr>
        <w:t>，</w:t>
      </w:r>
      <w:r>
        <w:rPr>
          <w:rFonts w:hint="eastAsia" w:ascii="仿宋_GB2312" w:hAnsi="仿宋" w:eastAsia="仿宋_GB2312"/>
          <w:sz w:val="32"/>
          <w:szCs w:val="32"/>
        </w:rPr>
        <w:t>独立编制机构数1个；独立核算机构数1个，本年度无变化。</w:t>
      </w:r>
    </w:p>
    <w:p>
      <w:pPr>
        <w:numPr>
          <w:ilvl w:val="0"/>
          <w:numId w:val="0"/>
        </w:numPr>
        <w:ind w:leftChars="0"/>
      </w:pPr>
    </w:p>
    <w:p>
      <w:pPr>
        <w:pStyle w:val="6"/>
      </w:pPr>
    </w:p>
    <w:p>
      <w:pPr>
        <w:pStyle w:val="6"/>
      </w:pPr>
    </w:p>
    <w:p>
      <w:pPr>
        <w:pStyle w:val="6"/>
        <w:rPr>
          <w:rFonts w:hint="eastAsia" w:eastAsia="仿宋_GB2312"/>
          <w:lang w:eastAsia="zh-CN"/>
        </w:rPr>
      </w:pPr>
    </w:p>
    <w:p>
      <w:pPr>
        <w:pStyle w:val="6"/>
        <w:rPr>
          <w:rFonts w:hint="eastAsia" w:eastAsia="仿宋_GB2312"/>
          <w:lang w:eastAsia="zh-CN"/>
        </w:rPr>
      </w:pPr>
    </w:p>
    <w:p>
      <w:pPr>
        <w:pStyle w:val="6"/>
        <w:rPr>
          <w:rFonts w:hint="eastAsia" w:eastAsia="仿宋_GB2312"/>
          <w:lang w:eastAsia="zh-CN"/>
        </w:rPr>
      </w:pPr>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2022年度</w:t>
      </w:r>
      <w:r>
        <w:rPr>
          <w:rStyle w:val="24"/>
          <w:rFonts w:hint="eastAsia" w:ascii="黑体" w:hAnsi="黑体" w:eastAsia="黑体"/>
          <w:b w:val="0"/>
          <w:bCs/>
        </w:rPr>
        <w:t>单位决算情况说明</w:t>
      </w:r>
      <w:bookmarkEnd w:id="16"/>
      <w:bookmarkEnd w:id="17"/>
    </w:p>
    <w:p/>
    <w:p>
      <w:pPr>
        <w:pStyle w:val="23"/>
        <w:numPr>
          <w:ilvl w:val="0"/>
          <w:numId w:val="2"/>
        </w:numPr>
        <w:spacing w:line="600" w:lineRule="exact"/>
        <w:ind w:firstLineChars="0"/>
        <w:outlineLvl w:val="1"/>
        <w:rPr>
          <w:rStyle w:val="25"/>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5"/>
          <w:rFonts w:hint="eastAsia" w:ascii="黑体" w:hAnsi="黑体" w:eastAsia="黑体"/>
          <w:b w:val="0"/>
        </w:rPr>
        <w:t>入支出决算总体情况说明</w:t>
      </w:r>
      <w:bookmarkEnd w:id="18"/>
      <w:bookmarkEnd w:id="19"/>
    </w:p>
    <w:p>
      <w:pPr>
        <w:snapToGrid w:val="0"/>
        <w:spacing w:line="588" w:lineRule="exact"/>
        <w:ind w:firstLine="640" w:firstLineChars="200"/>
        <w:rPr>
          <w:rFonts w:hint="eastAsia" w:ascii="仿宋_GB2312" w:hAnsi="仿宋" w:eastAsia="仿宋_GB2312"/>
          <w:sz w:val="32"/>
          <w:szCs w:val="32"/>
          <w:highlight w:val="none"/>
          <w:lang w:eastAsia="zh-CN"/>
        </w:rPr>
      </w:pPr>
      <w:r>
        <w:rPr>
          <w:rFonts w:hint="eastAsia" w:ascii="仿宋" w:hAnsi="仿宋" w:eastAsia="仿宋"/>
          <w:sz w:val="32"/>
          <w:szCs w:val="32"/>
        </w:rPr>
        <w:t>2022年度收、支总计</w:t>
      </w:r>
      <w:r>
        <w:rPr>
          <w:rFonts w:hint="eastAsia" w:ascii="仿宋" w:hAnsi="仿宋" w:eastAsia="仿宋"/>
          <w:sz w:val="32"/>
          <w:szCs w:val="32"/>
          <w:lang w:val="en-US" w:eastAsia="zh-CN"/>
        </w:rPr>
        <w:t>264.06</w:t>
      </w:r>
      <w:r>
        <w:rPr>
          <w:rFonts w:hint="eastAsia" w:ascii="仿宋" w:hAnsi="仿宋" w:eastAsia="仿宋"/>
          <w:sz w:val="32"/>
          <w:szCs w:val="32"/>
        </w:rPr>
        <w:t>万元。与2021年相比，收、支总计各</w:t>
      </w:r>
      <w:r>
        <w:rPr>
          <w:rFonts w:hint="eastAsia" w:ascii="仿宋" w:hAnsi="仿宋" w:eastAsia="仿宋"/>
          <w:sz w:val="32"/>
          <w:szCs w:val="32"/>
          <w:lang w:eastAsia="zh-CN"/>
        </w:rPr>
        <w:t>增加</w:t>
      </w:r>
      <w:r>
        <w:rPr>
          <w:rFonts w:hint="eastAsia" w:ascii="仿宋" w:hAnsi="仿宋" w:eastAsia="仿宋"/>
          <w:sz w:val="32"/>
          <w:szCs w:val="32"/>
          <w:lang w:val="en-US" w:eastAsia="zh-CN"/>
        </w:rPr>
        <w:t>0.9</w:t>
      </w:r>
      <w:r>
        <w:rPr>
          <w:rFonts w:hint="eastAsia" w:ascii="仿宋" w:hAnsi="仿宋" w:eastAsia="仿宋"/>
          <w:sz w:val="32"/>
          <w:szCs w:val="32"/>
        </w:rPr>
        <w:t>万元，</w:t>
      </w:r>
      <w:r>
        <w:rPr>
          <w:rFonts w:hint="eastAsia" w:ascii="仿宋" w:hAnsi="仿宋" w:eastAsia="仿宋"/>
          <w:color w:val="auto"/>
          <w:sz w:val="32"/>
          <w:szCs w:val="32"/>
          <w:highlight w:val="none"/>
        </w:rPr>
        <w:t>增长</w:t>
      </w:r>
      <w:r>
        <w:rPr>
          <w:rFonts w:hint="eastAsia" w:ascii="仿宋" w:hAnsi="仿宋" w:eastAsia="仿宋"/>
          <w:sz w:val="32"/>
          <w:szCs w:val="32"/>
          <w:lang w:val="en-US" w:eastAsia="zh-CN"/>
        </w:rPr>
        <w:t>0.34</w:t>
      </w:r>
      <w:r>
        <w:rPr>
          <w:rFonts w:ascii="仿宋" w:hAnsi="仿宋" w:eastAsia="仿宋"/>
          <w:sz w:val="32"/>
          <w:szCs w:val="32"/>
        </w:rPr>
        <w:t>%</w:t>
      </w:r>
      <w:r>
        <w:rPr>
          <w:rFonts w:hint="eastAsia" w:ascii="仿宋" w:hAnsi="仿宋" w:eastAsia="仿宋"/>
          <w:sz w:val="32"/>
          <w:szCs w:val="32"/>
        </w:rPr>
        <w:t>。主要变动原因</w:t>
      </w:r>
      <w:r>
        <w:rPr>
          <w:rFonts w:hint="eastAsia" w:ascii="仿宋_GB2312" w:hAnsi="仿宋" w:eastAsia="仿宋_GB2312"/>
          <w:sz w:val="32"/>
          <w:szCs w:val="32"/>
          <w:highlight w:val="none"/>
        </w:rPr>
        <w:t>是本年度新增</w:t>
      </w:r>
      <w:r>
        <w:rPr>
          <w:rFonts w:hint="eastAsia" w:ascii="仿宋_GB2312" w:hAnsi="仿宋" w:eastAsia="仿宋_GB2312"/>
          <w:sz w:val="32"/>
          <w:szCs w:val="32"/>
          <w:highlight w:val="none"/>
          <w:lang w:val="en-US" w:eastAsia="zh-CN"/>
        </w:rPr>
        <w:t>1</w:t>
      </w:r>
      <w:r>
        <w:rPr>
          <w:rFonts w:hint="eastAsia" w:ascii="仿宋_GB2312" w:hAnsi="仿宋" w:eastAsia="仿宋_GB2312"/>
          <w:sz w:val="32"/>
          <w:szCs w:val="32"/>
          <w:highlight w:val="none"/>
        </w:rPr>
        <w:t>人，人员经费</w:t>
      </w:r>
      <w:r>
        <w:rPr>
          <w:rFonts w:hint="eastAsia" w:ascii="仿宋_GB2312" w:hAnsi="仿宋" w:eastAsia="仿宋_GB2312"/>
          <w:sz w:val="32"/>
          <w:szCs w:val="32"/>
          <w:highlight w:val="none"/>
          <w:lang w:eastAsia="zh-CN"/>
        </w:rPr>
        <w:t>支出</w:t>
      </w:r>
      <w:r>
        <w:rPr>
          <w:rFonts w:hint="eastAsia" w:ascii="仿宋_GB2312" w:hAnsi="仿宋" w:eastAsia="仿宋_GB2312"/>
          <w:sz w:val="32"/>
          <w:szCs w:val="32"/>
          <w:highlight w:val="none"/>
        </w:rPr>
        <w:t>及公用经费支出增加</w:t>
      </w:r>
      <w:r>
        <w:rPr>
          <w:rFonts w:hint="eastAsia" w:ascii="仿宋_GB2312" w:hAnsi="仿宋" w:eastAsia="仿宋_GB2312"/>
          <w:sz w:val="32"/>
          <w:szCs w:val="32"/>
          <w:highlight w:val="none"/>
          <w:lang w:eastAsia="zh-CN"/>
        </w:rPr>
        <w:t>，同时本年度未下拨项目经费，项目经费支出减少。</w:t>
      </w:r>
    </w:p>
    <w:p>
      <w:pPr>
        <w:pStyle w:val="6"/>
        <w:rPr>
          <w:rFonts w:hint="eastAsia" w:eastAsia="仿宋_GB2312"/>
          <w:lang w:eastAsia="zh-CN"/>
        </w:rPr>
      </w:pPr>
      <w:r>
        <w:rPr>
          <w:rFonts w:hint="eastAsia" w:eastAsia="仿宋_GB2312"/>
          <w:lang w:eastAsia="zh-CN"/>
        </w:rPr>
        <w:drawing>
          <wp:inline distT="0" distB="0" distL="114300" distR="114300">
            <wp:extent cx="4584065" cy="3096895"/>
            <wp:effectExtent l="0" t="0" r="6985" b="8255"/>
            <wp:docPr id="11" name="图片 11"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9"/>
                    <pic:cNvPicPr>
                      <a:picLocks noChangeAspect="1"/>
                    </pic:cNvPicPr>
                  </pic:nvPicPr>
                  <pic:blipFill>
                    <a:blip r:embed="rId10"/>
                    <a:stretch>
                      <a:fillRect/>
                    </a:stretch>
                  </pic:blipFill>
                  <pic:spPr>
                    <a:xfrm>
                      <a:off x="0" y="0"/>
                      <a:ext cx="4584065" cy="3096895"/>
                    </a:xfrm>
                    <a:prstGeom prst="rect">
                      <a:avLst/>
                    </a:prstGeom>
                  </pic:spPr>
                </pic:pic>
              </a:graphicData>
            </a:graphic>
          </wp:inline>
        </w:drawing>
      </w:r>
    </w:p>
    <w:p>
      <w:pPr>
        <w:spacing w:line="240" w:lineRule="auto"/>
        <w:ind w:firstLine="420" w:firstLineChars="200"/>
        <w:rPr>
          <w:rFonts w:hint="eastAsia" w:eastAsia="宋体"/>
          <w:lang w:eastAsia="zh-CN"/>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r>
        <w:rPr>
          <w:rFonts w:hint="eastAsia" w:ascii="仿宋" w:hAnsi="仿宋" w:eastAsia="仿宋"/>
          <w:color w:val="auto"/>
          <w:sz w:val="32"/>
          <w:szCs w:val="32"/>
          <w:highlight w:val="none"/>
        </w:rPr>
        <w:t>柱状图</w:t>
      </w:r>
      <w:r>
        <w:rPr>
          <w:rFonts w:hint="eastAsia" w:ascii="仿宋" w:hAnsi="仿宋" w:eastAsia="仿宋"/>
          <w:sz w:val="32"/>
          <w:szCs w:val="32"/>
        </w:rPr>
        <w:t>）</w:t>
      </w:r>
    </w:p>
    <w:p>
      <w:pPr>
        <w:spacing w:line="600" w:lineRule="exact"/>
        <w:ind w:firstLine="640" w:firstLineChars="200"/>
        <w:jc w:val="left"/>
        <w:rPr>
          <w:rFonts w:ascii="仿宋_GB2312" w:eastAsia="仿宋_GB2312"/>
          <w:sz w:val="32"/>
          <w:szCs w:val="32"/>
        </w:rPr>
      </w:pPr>
    </w:p>
    <w:p>
      <w:pPr>
        <w:pStyle w:val="23"/>
        <w:numPr>
          <w:ilvl w:val="0"/>
          <w:numId w:val="2"/>
        </w:numPr>
        <w:spacing w:line="600" w:lineRule="exact"/>
        <w:ind w:firstLineChars="0"/>
        <w:outlineLvl w:val="1"/>
        <w:rPr>
          <w:rStyle w:val="25"/>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5"/>
          <w:rFonts w:hint="eastAsia" w:ascii="黑体" w:hAnsi="黑体" w:eastAsia="黑体"/>
          <w:b w:val="0"/>
        </w:rPr>
        <w:t>入决算情况说明</w:t>
      </w:r>
      <w:bookmarkEnd w:id="20"/>
      <w:bookmarkEnd w:id="21"/>
    </w:p>
    <w:p>
      <w:pPr>
        <w:spacing w:line="600" w:lineRule="exact"/>
        <w:ind w:firstLine="640" w:firstLineChars="200"/>
        <w:outlineLvl w:val="1"/>
        <w:rPr>
          <w:rFonts w:hint="eastAsia"/>
        </w:rPr>
      </w:pPr>
      <w:r>
        <w:rPr>
          <w:rFonts w:ascii="仿宋" w:hAnsi="仿宋" w:eastAsia="仿宋"/>
          <w:sz w:val="32"/>
          <w:szCs w:val="32"/>
        </w:rPr>
        <w:t>20</w:t>
      </w:r>
      <w:r>
        <w:rPr>
          <w:rFonts w:hint="eastAsia" w:ascii="仿宋" w:hAnsi="仿宋" w:eastAsia="仿宋"/>
          <w:sz w:val="32"/>
          <w:szCs w:val="32"/>
        </w:rPr>
        <w:t>22年本年收入合计</w:t>
      </w:r>
      <w:r>
        <w:rPr>
          <w:rFonts w:hint="eastAsia" w:ascii="仿宋" w:hAnsi="仿宋" w:eastAsia="仿宋"/>
          <w:sz w:val="32"/>
          <w:szCs w:val="32"/>
          <w:lang w:val="en-US" w:eastAsia="zh-CN"/>
        </w:rPr>
        <w:t>255.24</w:t>
      </w:r>
      <w:r>
        <w:rPr>
          <w:rFonts w:hint="eastAsia" w:ascii="仿宋" w:hAnsi="仿宋" w:eastAsia="仿宋"/>
          <w:sz w:val="32"/>
          <w:szCs w:val="32"/>
        </w:rPr>
        <w:t>万元，其中：</w:t>
      </w:r>
      <w:bookmarkStart w:id="22" w:name="OLE_LINK1"/>
      <w:r>
        <w:rPr>
          <w:rFonts w:hint="eastAsia" w:ascii="仿宋" w:hAnsi="仿宋" w:eastAsia="仿宋"/>
          <w:sz w:val="32"/>
          <w:szCs w:val="32"/>
        </w:rPr>
        <w:t>一般公共预算财政拨款收入</w:t>
      </w:r>
      <w:r>
        <w:rPr>
          <w:rFonts w:hint="eastAsia" w:ascii="仿宋" w:hAnsi="仿宋" w:eastAsia="仿宋"/>
          <w:sz w:val="32"/>
          <w:szCs w:val="32"/>
          <w:lang w:val="en-US" w:eastAsia="zh-CN"/>
        </w:rPr>
        <w:t>255.24</w:t>
      </w:r>
      <w:r>
        <w:rPr>
          <w:rFonts w:hint="eastAsia" w:ascii="仿宋" w:hAnsi="仿宋" w:eastAsia="仿宋"/>
          <w:sz w:val="32"/>
          <w:szCs w:val="32"/>
        </w:rPr>
        <w:t>万元，占</w:t>
      </w:r>
      <w:r>
        <w:rPr>
          <w:rFonts w:hint="eastAsia" w:ascii="仿宋" w:hAnsi="仿宋" w:eastAsia="仿宋"/>
          <w:sz w:val="32"/>
          <w:szCs w:val="32"/>
          <w:lang w:val="en-US" w:eastAsia="zh-CN"/>
        </w:rPr>
        <w:t>98.83</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3.01</w:t>
      </w:r>
      <w:r>
        <w:rPr>
          <w:rFonts w:hint="eastAsia" w:ascii="仿宋" w:hAnsi="仿宋" w:eastAsia="仿宋"/>
          <w:sz w:val="32"/>
          <w:szCs w:val="32"/>
        </w:rPr>
        <w:t>万元，占</w:t>
      </w:r>
      <w:r>
        <w:rPr>
          <w:rFonts w:hint="eastAsia" w:ascii="仿宋" w:hAnsi="仿宋" w:eastAsia="仿宋"/>
          <w:sz w:val="32"/>
          <w:szCs w:val="32"/>
          <w:lang w:val="en-US" w:eastAsia="zh-CN"/>
        </w:rPr>
        <w:t>1.17</w:t>
      </w:r>
      <w:r>
        <w:rPr>
          <w:rFonts w:ascii="仿宋" w:hAnsi="仿宋" w:eastAsia="仿宋"/>
          <w:sz w:val="32"/>
          <w:szCs w:val="32"/>
        </w:rPr>
        <w:t>%</w:t>
      </w:r>
      <w:r>
        <w:rPr>
          <w:rFonts w:hint="eastAsia" w:ascii="仿宋" w:hAnsi="仿宋" w:eastAsia="仿宋"/>
          <w:sz w:val="32"/>
          <w:szCs w:val="32"/>
        </w:rPr>
        <w:t>。</w:t>
      </w:r>
    </w:p>
    <w:p>
      <w:pPr>
        <w:pStyle w:val="6"/>
        <w:rPr>
          <w:rFonts w:hint="eastAsia" w:eastAsia="仿宋"/>
          <w:lang w:eastAsia="zh-CN"/>
        </w:rPr>
      </w:pPr>
      <w:r>
        <w:rPr>
          <w:rFonts w:hint="eastAsia" w:eastAsia="仿宋"/>
          <w:lang w:eastAsia="zh-CN"/>
        </w:rPr>
        <w:drawing>
          <wp:inline distT="0" distB="0" distL="114300" distR="114300">
            <wp:extent cx="4584065" cy="2755265"/>
            <wp:effectExtent l="0" t="0" r="6985" b="6985"/>
            <wp:docPr id="7" name="图片 7"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5"/>
                    <pic:cNvPicPr>
                      <a:picLocks noChangeAspect="1"/>
                    </pic:cNvPicPr>
                  </pic:nvPicPr>
                  <pic:blipFill>
                    <a:blip r:embed="rId11"/>
                    <a:stretch>
                      <a:fillRect/>
                    </a:stretch>
                  </pic:blipFill>
                  <pic:spPr>
                    <a:xfrm>
                      <a:off x="0" y="0"/>
                      <a:ext cx="4584065" cy="2755265"/>
                    </a:xfrm>
                    <a:prstGeom prst="rect">
                      <a:avLst/>
                    </a:prstGeom>
                  </pic:spPr>
                </pic:pic>
              </a:graphicData>
            </a:graphic>
          </wp:inline>
        </w:drawing>
      </w:r>
    </w:p>
    <w:bookmarkEnd w:id="22"/>
    <w:p>
      <w:pPr>
        <w:spacing w:line="240" w:lineRule="auto"/>
        <w:ind w:firstLine="640" w:firstLineChars="200"/>
        <w:outlineLvl w:val="1"/>
        <w:rPr>
          <w:rFonts w:hint="eastAsia" w:ascii="仿宋" w:hAnsi="仿宋" w:eastAsia="仿宋"/>
          <w:sz w:val="32"/>
          <w:szCs w:val="32"/>
          <w:lang w:eastAsia="zh-CN"/>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spacing w:line="600" w:lineRule="exact"/>
        <w:ind w:firstLine="640" w:firstLineChars="200"/>
        <w:rPr>
          <w:rFonts w:ascii="仿宋_GB2312" w:eastAsia="仿宋_GB2312"/>
          <w:sz w:val="32"/>
          <w:szCs w:val="32"/>
        </w:rPr>
      </w:pPr>
    </w:p>
    <w:p>
      <w:pPr>
        <w:pStyle w:val="23"/>
        <w:numPr>
          <w:ilvl w:val="0"/>
          <w:numId w:val="2"/>
        </w:numPr>
        <w:spacing w:line="600" w:lineRule="exact"/>
        <w:ind w:firstLineChars="0"/>
        <w:outlineLvl w:val="1"/>
        <w:rPr>
          <w:rStyle w:val="25"/>
          <w:rFonts w:ascii="黑体" w:hAnsi="黑体" w:eastAsia="黑体"/>
          <w:b w:val="0"/>
        </w:rPr>
      </w:pPr>
      <w:bookmarkStart w:id="23" w:name="_Toc15396605"/>
      <w:bookmarkStart w:id="24" w:name="_Toc15377207"/>
      <w:r>
        <w:rPr>
          <w:rFonts w:hint="eastAsia" w:ascii="黑体" w:hAnsi="黑体" w:eastAsia="黑体"/>
          <w:sz w:val="32"/>
          <w:szCs w:val="32"/>
        </w:rPr>
        <w:t>支</w:t>
      </w:r>
      <w:r>
        <w:rPr>
          <w:rStyle w:val="25"/>
          <w:rFonts w:hint="eastAsia" w:ascii="黑体" w:hAnsi="黑体" w:eastAsia="黑体"/>
          <w:b w:val="0"/>
        </w:rPr>
        <w:t>出决算情况说明</w:t>
      </w:r>
      <w:bookmarkEnd w:id="23"/>
      <w:bookmarkEnd w:id="24"/>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22年本年支出合计</w:t>
      </w:r>
      <w:r>
        <w:rPr>
          <w:rFonts w:hint="eastAsia" w:ascii="仿宋" w:hAnsi="仿宋" w:eastAsia="仿宋"/>
          <w:sz w:val="32"/>
          <w:szCs w:val="32"/>
          <w:lang w:val="en-US" w:eastAsia="zh-CN"/>
        </w:rPr>
        <w:t>264.06</w:t>
      </w:r>
      <w:r>
        <w:rPr>
          <w:rFonts w:hint="eastAsia" w:ascii="仿宋" w:hAnsi="仿宋" w:eastAsia="仿宋"/>
          <w:sz w:val="32"/>
          <w:szCs w:val="32"/>
        </w:rPr>
        <w:t>万元，其中：基本支出</w:t>
      </w:r>
      <w:r>
        <w:rPr>
          <w:rFonts w:hint="eastAsia" w:ascii="仿宋" w:hAnsi="仿宋" w:eastAsia="仿宋"/>
          <w:sz w:val="32"/>
          <w:szCs w:val="32"/>
          <w:lang w:val="en-US" w:eastAsia="zh-CN"/>
        </w:rPr>
        <w:t>260.55</w:t>
      </w:r>
      <w:r>
        <w:rPr>
          <w:rFonts w:hint="eastAsia" w:ascii="仿宋" w:hAnsi="仿宋" w:eastAsia="仿宋"/>
          <w:sz w:val="32"/>
          <w:szCs w:val="32"/>
        </w:rPr>
        <w:t>万元，占</w:t>
      </w:r>
      <w:r>
        <w:rPr>
          <w:rFonts w:hint="eastAsia" w:ascii="仿宋" w:hAnsi="仿宋" w:eastAsia="仿宋"/>
          <w:sz w:val="32"/>
          <w:szCs w:val="32"/>
          <w:lang w:val="en-US" w:eastAsia="zh-CN"/>
        </w:rPr>
        <w:t>98.67</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3.51</w:t>
      </w:r>
      <w:r>
        <w:rPr>
          <w:rFonts w:hint="eastAsia" w:ascii="仿宋" w:hAnsi="仿宋" w:eastAsia="仿宋"/>
          <w:sz w:val="32"/>
          <w:szCs w:val="32"/>
        </w:rPr>
        <w:t>万元，占</w:t>
      </w:r>
      <w:r>
        <w:rPr>
          <w:rFonts w:hint="eastAsia" w:ascii="仿宋" w:hAnsi="仿宋" w:eastAsia="仿宋"/>
          <w:sz w:val="32"/>
          <w:szCs w:val="32"/>
          <w:lang w:val="en-US" w:eastAsia="zh-CN"/>
        </w:rPr>
        <w:t>1.33</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240" w:lineRule="auto"/>
        <w:ind w:firstLine="640"/>
        <w:rPr>
          <w:rFonts w:hint="eastAsia" w:ascii="仿宋" w:hAnsi="仿宋" w:eastAsia="仿宋"/>
          <w:sz w:val="32"/>
          <w:szCs w:val="32"/>
          <w:shd w:val="pct10" w:color="auto" w:fill="FFFFFF"/>
          <w:lang w:eastAsia="zh-CN"/>
        </w:rPr>
      </w:pPr>
      <w:r>
        <w:rPr>
          <w:rFonts w:hint="eastAsia" w:ascii="仿宋" w:hAnsi="仿宋" w:eastAsia="仿宋"/>
          <w:sz w:val="32"/>
          <w:szCs w:val="32"/>
          <w:shd w:val="pct10" w:color="auto" w:fill="FFFFFF"/>
          <w:lang w:eastAsia="zh-CN"/>
        </w:rPr>
        <w:drawing>
          <wp:inline distT="0" distB="0" distL="114300" distR="114300">
            <wp:extent cx="4584065" cy="2755265"/>
            <wp:effectExtent l="0" t="0" r="6985" b="6985"/>
            <wp:docPr id="8" name="图片 8"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6"/>
                    <pic:cNvPicPr>
                      <a:picLocks noChangeAspect="1"/>
                    </pic:cNvPicPr>
                  </pic:nvPicPr>
                  <pic:blipFill>
                    <a:blip r:embed="rId12"/>
                    <a:stretch>
                      <a:fillRect/>
                    </a:stretch>
                  </pic:blipFill>
                  <pic:spPr>
                    <a:xfrm>
                      <a:off x="0" y="0"/>
                      <a:ext cx="4584065" cy="2755265"/>
                    </a:xfrm>
                    <a:prstGeom prst="rect">
                      <a:avLst/>
                    </a:prstGeom>
                  </pic:spPr>
                </pic:pic>
              </a:graphicData>
            </a:graphic>
          </wp:inline>
        </w:drawing>
      </w:r>
    </w:p>
    <w:p>
      <w:pPr>
        <w:pStyle w:val="6"/>
        <w:rPr>
          <w:rFonts w:hint="eastAsia"/>
          <w:lang w:eastAsia="zh-CN"/>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5"/>
          <w:rFonts w:ascii="黑体" w:hAnsi="黑体" w:eastAsia="黑体"/>
          <w:b w:val="0"/>
        </w:rPr>
      </w:pPr>
      <w:bookmarkStart w:id="25" w:name="_Toc15377208"/>
      <w:bookmarkStart w:id="26" w:name="_Toc15396606"/>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25"/>
      <w:bookmarkEnd w:id="26"/>
    </w:p>
    <w:p>
      <w:pPr>
        <w:spacing w:line="600" w:lineRule="exact"/>
        <w:ind w:firstLine="640"/>
        <w:rPr>
          <w:rFonts w:hint="eastAsia" w:ascii="仿宋_GB2312" w:hAnsi="仿宋" w:eastAsia="仿宋_GB2312"/>
          <w:sz w:val="32"/>
          <w:szCs w:val="32"/>
          <w:highlight w:val="none"/>
          <w:lang w:eastAsia="zh-CN"/>
        </w:rPr>
      </w:pPr>
      <w:r>
        <w:rPr>
          <w:rFonts w:ascii="仿宋" w:hAnsi="仿宋" w:eastAsia="仿宋"/>
          <w:sz w:val="32"/>
          <w:szCs w:val="32"/>
        </w:rPr>
        <w:t>20</w:t>
      </w:r>
      <w:r>
        <w:rPr>
          <w:rFonts w:hint="eastAsia" w:ascii="仿宋" w:hAnsi="仿宋" w:eastAsia="仿宋"/>
          <w:sz w:val="32"/>
          <w:szCs w:val="32"/>
        </w:rPr>
        <w:t>22年财政拨款收、支总计</w:t>
      </w:r>
      <w:r>
        <w:rPr>
          <w:rFonts w:hint="eastAsia" w:ascii="仿宋" w:hAnsi="仿宋" w:eastAsia="仿宋"/>
          <w:sz w:val="32"/>
          <w:szCs w:val="32"/>
          <w:lang w:val="en-US" w:eastAsia="zh-CN"/>
        </w:rPr>
        <w:t>261.05</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21年相比，财政拨款收、支总计各减少</w:t>
      </w:r>
      <w:r>
        <w:rPr>
          <w:rFonts w:hint="eastAsia" w:ascii="仿宋" w:hAnsi="仿宋" w:eastAsia="仿宋"/>
          <w:sz w:val="32"/>
          <w:szCs w:val="32"/>
          <w:lang w:val="en-US" w:eastAsia="zh-CN"/>
        </w:rPr>
        <w:t>0.92</w:t>
      </w:r>
      <w:r>
        <w:rPr>
          <w:rFonts w:hint="eastAsia" w:ascii="仿宋" w:hAnsi="仿宋" w:eastAsia="仿宋"/>
          <w:sz w:val="32"/>
          <w:szCs w:val="32"/>
        </w:rPr>
        <w:t>万元，下降</w:t>
      </w:r>
      <w:r>
        <w:rPr>
          <w:rFonts w:hint="eastAsia" w:ascii="仿宋" w:hAnsi="仿宋" w:eastAsia="仿宋"/>
          <w:sz w:val="32"/>
          <w:szCs w:val="32"/>
          <w:lang w:val="en-US" w:eastAsia="zh-CN"/>
        </w:rPr>
        <w:t>0.35</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highlight w:val="none"/>
        </w:rPr>
        <w:t>本年度新增</w:t>
      </w:r>
      <w:r>
        <w:rPr>
          <w:rFonts w:hint="eastAsia" w:ascii="仿宋_GB2312" w:hAnsi="仿宋" w:eastAsia="仿宋_GB2312"/>
          <w:sz w:val="32"/>
          <w:szCs w:val="32"/>
          <w:highlight w:val="none"/>
          <w:lang w:val="en-US" w:eastAsia="zh-CN"/>
        </w:rPr>
        <w:t>1</w:t>
      </w:r>
      <w:r>
        <w:rPr>
          <w:rFonts w:hint="eastAsia" w:ascii="仿宋_GB2312" w:hAnsi="仿宋" w:eastAsia="仿宋_GB2312"/>
          <w:sz w:val="32"/>
          <w:szCs w:val="32"/>
          <w:highlight w:val="none"/>
        </w:rPr>
        <w:t>人，人员经费</w:t>
      </w:r>
      <w:r>
        <w:rPr>
          <w:rFonts w:hint="eastAsia" w:ascii="仿宋_GB2312" w:hAnsi="仿宋" w:eastAsia="仿宋_GB2312"/>
          <w:sz w:val="32"/>
          <w:szCs w:val="32"/>
          <w:highlight w:val="none"/>
          <w:lang w:eastAsia="zh-CN"/>
        </w:rPr>
        <w:t>支出</w:t>
      </w:r>
      <w:r>
        <w:rPr>
          <w:rFonts w:hint="eastAsia" w:ascii="仿宋_GB2312" w:hAnsi="仿宋" w:eastAsia="仿宋_GB2312"/>
          <w:sz w:val="32"/>
          <w:szCs w:val="32"/>
          <w:highlight w:val="none"/>
        </w:rPr>
        <w:t>及公用经费支出增加</w:t>
      </w:r>
      <w:r>
        <w:rPr>
          <w:rFonts w:hint="eastAsia" w:ascii="仿宋_GB2312" w:hAnsi="仿宋" w:eastAsia="仿宋_GB2312"/>
          <w:sz w:val="32"/>
          <w:szCs w:val="32"/>
          <w:highlight w:val="none"/>
          <w:lang w:eastAsia="zh-CN"/>
        </w:rPr>
        <w:t>，同时本年度未下拨项目经费，项目经费支出减少。</w:t>
      </w:r>
    </w:p>
    <w:p>
      <w:pPr>
        <w:pStyle w:val="6"/>
        <w:rPr>
          <w:rFonts w:hint="eastAsia" w:eastAsia="仿宋_GB2312"/>
          <w:lang w:eastAsia="zh-CN"/>
        </w:rPr>
      </w:pPr>
      <w:r>
        <w:rPr>
          <w:rFonts w:hint="eastAsia" w:eastAsia="仿宋_GB2312"/>
          <w:lang w:eastAsia="zh-CN"/>
        </w:rPr>
        <w:drawing>
          <wp:inline distT="0" distB="0" distL="114300" distR="114300">
            <wp:extent cx="4584065" cy="3273425"/>
            <wp:effectExtent l="0" t="0" r="6985" b="3175"/>
            <wp:docPr id="12" name="图片 12"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0"/>
                    <pic:cNvPicPr>
                      <a:picLocks noChangeAspect="1"/>
                    </pic:cNvPicPr>
                  </pic:nvPicPr>
                  <pic:blipFill>
                    <a:blip r:embed="rId13"/>
                    <a:stretch>
                      <a:fillRect/>
                    </a:stretch>
                  </pic:blipFill>
                  <pic:spPr>
                    <a:xfrm>
                      <a:off x="0" y="0"/>
                      <a:ext cx="4584065" cy="3273425"/>
                    </a:xfrm>
                    <a:prstGeom prst="rect">
                      <a:avLst/>
                    </a:prstGeom>
                  </pic:spPr>
                </pic:pic>
              </a:graphicData>
            </a:graphic>
          </wp:inline>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rPr>
          <w:rFonts w:ascii="仿宋" w:hAnsi="仿宋" w:eastAsia="仿宋"/>
          <w:b/>
          <w:sz w:val="32"/>
          <w:szCs w:val="32"/>
        </w:rPr>
      </w:pPr>
    </w:p>
    <w:p>
      <w:pPr>
        <w:spacing w:line="600" w:lineRule="exact"/>
        <w:ind w:firstLine="640" w:firstLineChars="200"/>
        <w:outlineLvl w:val="1"/>
        <w:rPr>
          <w:rStyle w:val="25"/>
          <w:rFonts w:ascii="黑体" w:hAnsi="黑体" w:eastAsia="黑体"/>
          <w:b w:val="0"/>
        </w:rPr>
      </w:pPr>
      <w:bookmarkStart w:id="27" w:name="_Toc15396607"/>
      <w:bookmarkStart w:id="28" w:name="_Toc15377209"/>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27"/>
      <w:bookmarkEnd w:id="28"/>
    </w:p>
    <w:p>
      <w:pPr>
        <w:spacing w:line="600" w:lineRule="exact"/>
        <w:ind w:firstLine="643" w:firstLineChars="200"/>
        <w:outlineLvl w:val="2"/>
        <w:rPr>
          <w:rFonts w:ascii="仿宋" w:hAnsi="仿宋" w:eastAsia="仿宋"/>
          <w:b/>
          <w:sz w:val="32"/>
          <w:szCs w:val="32"/>
        </w:rPr>
      </w:pPr>
      <w:bookmarkStart w:id="29" w:name="_Toc15377210"/>
      <w:r>
        <w:rPr>
          <w:rFonts w:hint="eastAsia" w:ascii="仿宋" w:hAnsi="仿宋" w:eastAsia="仿宋"/>
          <w:b/>
          <w:sz w:val="32"/>
          <w:szCs w:val="32"/>
        </w:rPr>
        <w:t>（一）一般公共预算财政拨款支出决算总体情况</w:t>
      </w:r>
      <w:bookmarkEnd w:id="29"/>
    </w:p>
    <w:p>
      <w:pPr>
        <w:spacing w:line="600" w:lineRule="exact"/>
        <w:ind w:firstLine="640" w:firstLineChars="200"/>
        <w:rPr>
          <w:rFonts w:hint="eastAsia" w:ascii="仿宋_GB2312" w:hAnsi="仿宋" w:eastAsia="仿宋_GB2312"/>
          <w:sz w:val="32"/>
          <w:szCs w:val="32"/>
          <w:highlight w:val="none"/>
          <w:lang w:eastAsia="zh-CN"/>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261.05</w:t>
      </w:r>
      <w:r>
        <w:rPr>
          <w:rFonts w:hint="eastAsia" w:ascii="仿宋" w:hAnsi="仿宋" w:eastAsia="仿宋"/>
          <w:sz w:val="32"/>
          <w:szCs w:val="32"/>
        </w:rPr>
        <w:t>万元，占本年支出合计的</w:t>
      </w:r>
      <w:r>
        <w:rPr>
          <w:rFonts w:hint="eastAsia" w:ascii="仿宋" w:hAnsi="仿宋" w:eastAsia="仿宋"/>
          <w:sz w:val="32"/>
          <w:szCs w:val="32"/>
          <w:lang w:val="en-US" w:eastAsia="zh-CN"/>
        </w:rPr>
        <w:t>98.86</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21年相比，一般公共预算财政拨款支出减少</w:t>
      </w:r>
      <w:r>
        <w:rPr>
          <w:rFonts w:hint="eastAsia" w:ascii="仿宋" w:hAnsi="仿宋" w:eastAsia="仿宋"/>
          <w:sz w:val="32"/>
          <w:szCs w:val="32"/>
          <w:lang w:val="en-US" w:eastAsia="zh-CN"/>
        </w:rPr>
        <w:t>0.92</w:t>
      </w:r>
      <w:r>
        <w:rPr>
          <w:rFonts w:hint="eastAsia" w:ascii="仿宋" w:hAnsi="仿宋" w:eastAsia="仿宋"/>
          <w:sz w:val="32"/>
          <w:szCs w:val="32"/>
        </w:rPr>
        <w:t>万元，下降</w:t>
      </w:r>
      <w:r>
        <w:rPr>
          <w:rFonts w:hint="eastAsia" w:ascii="仿宋" w:hAnsi="仿宋" w:eastAsia="仿宋"/>
          <w:sz w:val="32"/>
          <w:szCs w:val="32"/>
          <w:lang w:val="en-US" w:eastAsia="zh-CN"/>
        </w:rPr>
        <w:t>0.35</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hAnsi="仿宋" w:eastAsia="仿宋_GB2312"/>
          <w:sz w:val="32"/>
          <w:szCs w:val="32"/>
          <w:highlight w:val="none"/>
        </w:rPr>
        <w:t>本年度新增</w:t>
      </w:r>
      <w:r>
        <w:rPr>
          <w:rFonts w:hint="eastAsia" w:ascii="仿宋_GB2312" w:hAnsi="仿宋" w:eastAsia="仿宋_GB2312"/>
          <w:sz w:val="32"/>
          <w:szCs w:val="32"/>
          <w:highlight w:val="none"/>
          <w:lang w:val="en-US" w:eastAsia="zh-CN"/>
        </w:rPr>
        <w:t>1</w:t>
      </w:r>
      <w:r>
        <w:rPr>
          <w:rFonts w:hint="eastAsia" w:ascii="仿宋_GB2312" w:hAnsi="仿宋" w:eastAsia="仿宋_GB2312"/>
          <w:sz w:val="32"/>
          <w:szCs w:val="32"/>
          <w:highlight w:val="none"/>
        </w:rPr>
        <w:t>人，人员经费</w:t>
      </w:r>
      <w:r>
        <w:rPr>
          <w:rFonts w:hint="eastAsia" w:ascii="仿宋_GB2312" w:hAnsi="仿宋" w:eastAsia="仿宋_GB2312"/>
          <w:sz w:val="32"/>
          <w:szCs w:val="32"/>
          <w:highlight w:val="none"/>
          <w:lang w:eastAsia="zh-CN"/>
        </w:rPr>
        <w:t>支出</w:t>
      </w:r>
      <w:r>
        <w:rPr>
          <w:rFonts w:hint="eastAsia" w:ascii="仿宋_GB2312" w:hAnsi="仿宋" w:eastAsia="仿宋_GB2312"/>
          <w:sz w:val="32"/>
          <w:szCs w:val="32"/>
          <w:highlight w:val="none"/>
        </w:rPr>
        <w:t>及公用经费支出增加</w:t>
      </w:r>
      <w:r>
        <w:rPr>
          <w:rFonts w:hint="eastAsia" w:ascii="仿宋_GB2312" w:hAnsi="仿宋" w:eastAsia="仿宋_GB2312"/>
          <w:sz w:val="32"/>
          <w:szCs w:val="32"/>
          <w:highlight w:val="none"/>
          <w:lang w:eastAsia="zh-CN"/>
        </w:rPr>
        <w:t>，同时本年度未下拨项目经费，项目经费支出减少。</w:t>
      </w:r>
    </w:p>
    <w:p>
      <w:pPr>
        <w:pStyle w:val="6"/>
        <w:rPr>
          <w:rFonts w:hint="eastAsia" w:eastAsia="仿宋_GB2312"/>
          <w:lang w:eastAsia="zh-CN"/>
        </w:rPr>
      </w:pPr>
      <w:r>
        <w:rPr>
          <w:rFonts w:hint="eastAsia" w:eastAsia="仿宋_GB2312"/>
          <w:lang w:eastAsia="zh-CN"/>
        </w:rPr>
        <w:drawing>
          <wp:inline distT="0" distB="0" distL="114300" distR="114300">
            <wp:extent cx="4584065" cy="2755265"/>
            <wp:effectExtent l="0" t="0" r="6985" b="6985"/>
            <wp:docPr id="14" name="图片 14"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12"/>
                    <pic:cNvPicPr>
                      <a:picLocks noChangeAspect="1"/>
                    </pic:cNvPicPr>
                  </pic:nvPicPr>
                  <pic:blipFill>
                    <a:blip r:embed="rId14"/>
                    <a:stretch>
                      <a:fillRect/>
                    </a:stretch>
                  </pic:blipFill>
                  <pic:spPr>
                    <a:xfrm>
                      <a:off x="0" y="0"/>
                      <a:ext cx="4584065" cy="2755265"/>
                    </a:xfrm>
                    <a:prstGeom prst="rect">
                      <a:avLst/>
                    </a:prstGeom>
                  </pic:spPr>
                </pic:pic>
              </a:graphicData>
            </a:graphic>
          </wp:inline>
        </w:drawing>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0" w:name="_Toc15377211"/>
      <w:r>
        <w:rPr>
          <w:rFonts w:hint="eastAsia" w:ascii="仿宋" w:hAnsi="仿宋" w:eastAsia="仿宋"/>
          <w:b/>
          <w:sz w:val="32"/>
          <w:szCs w:val="32"/>
        </w:rPr>
        <w:t>（二）一般公共预算财政拨款支出决算结构情况</w:t>
      </w:r>
      <w:bookmarkEnd w:id="30"/>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261.05</w:t>
      </w:r>
      <w:r>
        <w:rPr>
          <w:rFonts w:hint="eastAsia" w:ascii="仿宋" w:hAnsi="仿宋" w:eastAsia="仿宋"/>
          <w:sz w:val="32"/>
          <w:szCs w:val="32"/>
        </w:rPr>
        <w:t>万元，主要用于以下方面</w:t>
      </w:r>
      <w:r>
        <w:rPr>
          <w:rFonts w:hint="eastAsia" w:ascii="仿宋" w:hAnsi="仿宋" w:eastAsia="仿宋"/>
          <w:sz w:val="32"/>
          <w:szCs w:val="32"/>
          <w:lang w:eastAsia="zh-CN"/>
        </w:rPr>
        <w:t>：</w:t>
      </w:r>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lang w:val="en-US" w:eastAsia="zh-CN"/>
        </w:rPr>
        <w:t>11.04</w:t>
      </w:r>
      <w:r>
        <w:rPr>
          <w:rFonts w:hint="eastAsia" w:ascii="仿宋" w:hAnsi="仿宋" w:eastAsia="仿宋"/>
          <w:sz w:val="32"/>
          <w:szCs w:val="32"/>
        </w:rPr>
        <w:t>万元，占</w:t>
      </w:r>
      <w:r>
        <w:rPr>
          <w:rFonts w:hint="eastAsia" w:ascii="仿宋" w:hAnsi="仿宋" w:eastAsia="仿宋"/>
          <w:sz w:val="32"/>
          <w:szCs w:val="32"/>
          <w:lang w:val="en-US" w:eastAsia="zh-CN"/>
        </w:rPr>
        <w:t>4.23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w:t>
      </w:r>
      <w:r>
        <w:rPr>
          <w:rFonts w:hint="eastAsia" w:ascii="仿宋" w:hAnsi="仿宋" w:eastAsia="仿宋"/>
          <w:b/>
          <w:bCs/>
          <w:sz w:val="32"/>
          <w:szCs w:val="32"/>
          <w:lang w:eastAsia="zh-CN"/>
        </w:rPr>
        <w:t>出</w:t>
      </w:r>
      <w:r>
        <w:rPr>
          <w:rFonts w:hint="eastAsia" w:ascii="仿宋" w:hAnsi="仿宋" w:eastAsia="仿宋"/>
          <w:b/>
          <w:bCs/>
          <w:sz w:val="32"/>
          <w:szCs w:val="32"/>
          <w:lang w:val="en-US" w:eastAsia="zh-CN"/>
        </w:rPr>
        <w:t>179.7</w:t>
      </w:r>
      <w:r>
        <w:rPr>
          <w:rFonts w:hint="eastAsia" w:ascii="仿宋" w:hAnsi="仿宋" w:eastAsia="仿宋"/>
          <w:sz w:val="32"/>
          <w:szCs w:val="32"/>
        </w:rPr>
        <w:t>万元，占</w:t>
      </w:r>
      <w:r>
        <w:rPr>
          <w:rFonts w:hint="eastAsia" w:ascii="仿宋" w:hAnsi="仿宋" w:eastAsia="仿宋"/>
          <w:sz w:val="32"/>
          <w:szCs w:val="32"/>
          <w:lang w:val="en-US" w:eastAsia="zh-CN"/>
        </w:rPr>
        <w:t>68.84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53.31</w:t>
      </w:r>
      <w:r>
        <w:rPr>
          <w:rFonts w:hint="eastAsia" w:ascii="仿宋" w:hAnsi="仿宋" w:eastAsia="仿宋"/>
          <w:sz w:val="32"/>
          <w:szCs w:val="32"/>
        </w:rPr>
        <w:t>万元，占</w:t>
      </w:r>
      <w:r>
        <w:rPr>
          <w:rFonts w:hint="eastAsia" w:ascii="仿宋" w:hAnsi="仿宋" w:eastAsia="仿宋"/>
          <w:sz w:val="32"/>
          <w:szCs w:val="32"/>
          <w:lang w:val="en-US" w:eastAsia="zh-CN"/>
        </w:rPr>
        <w:t>20.42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17.01</w:t>
      </w:r>
      <w:r>
        <w:rPr>
          <w:rFonts w:hint="eastAsia" w:ascii="仿宋" w:hAnsi="仿宋" w:eastAsia="仿宋"/>
          <w:sz w:val="32"/>
          <w:szCs w:val="32"/>
        </w:rPr>
        <w:t>万元，占</w:t>
      </w:r>
      <w:r>
        <w:rPr>
          <w:rFonts w:hint="eastAsia" w:ascii="仿宋" w:hAnsi="仿宋" w:eastAsia="仿宋"/>
          <w:sz w:val="32"/>
          <w:szCs w:val="32"/>
          <w:lang w:val="en-US" w:eastAsia="zh-CN"/>
        </w:rPr>
        <w:t>6.51</w:t>
      </w:r>
      <w:r>
        <w:rPr>
          <w:rFonts w:ascii="仿宋" w:hAnsi="仿宋" w:eastAsia="仿宋"/>
          <w:sz w:val="32"/>
          <w:szCs w:val="32"/>
        </w:rPr>
        <w:t>%</w:t>
      </w:r>
      <w:r>
        <w:rPr>
          <w:rFonts w:hint="eastAsia" w:ascii="仿宋" w:hAnsi="仿宋" w:eastAsia="仿宋"/>
          <w:sz w:val="32"/>
          <w:szCs w:val="32"/>
        </w:rPr>
        <w:t>。</w:t>
      </w:r>
    </w:p>
    <w:p>
      <w:pPr>
        <w:spacing w:line="240" w:lineRule="auto"/>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4584065" cy="2755265"/>
            <wp:effectExtent l="0" t="0" r="6985" b="698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5"/>
                    <a:stretch>
                      <a:fillRect/>
                    </a:stretch>
                  </pic:blipFill>
                  <pic:spPr>
                    <a:xfrm>
                      <a:off x="0" y="0"/>
                      <a:ext cx="4584065" cy="2755265"/>
                    </a:xfrm>
                    <a:prstGeom prst="rect">
                      <a:avLst/>
                    </a:prstGeom>
                  </pic:spPr>
                </pic:pic>
              </a:graphicData>
            </a:graphic>
          </wp:inline>
        </w:drawing>
      </w:r>
    </w:p>
    <w:p>
      <w:pPr>
        <w:pStyle w:val="6"/>
        <w:rPr>
          <w:rFonts w:hint="eastAsia"/>
          <w:lang w:eastAsia="zh-CN"/>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1" w:name="_Toc15377212"/>
      <w:r>
        <w:rPr>
          <w:rFonts w:hint="eastAsia" w:ascii="仿宋" w:hAnsi="仿宋" w:eastAsia="仿宋"/>
          <w:b/>
          <w:sz w:val="32"/>
          <w:szCs w:val="32"/>
        </w:rPr>
        <w:t>（三）一般公共预算财政拨款支出决算具体情况</w:t>
      </w:r>
      <w:bookmarkEnd w:id="31"/>
    </w:p>
    <w:p>
      <w:pPr>
        <w:spacing w:line="600" w:lineRule="exact"/>
        <w:ind w:firstLine="643" w:firstLineChars="200"/>
        <w:outlineLvl w:val="2"/>
        <w:rPr>
          <w:rFonts w:ascii="仿宋" w:hAnsi="仿宋" w:eastAsia="仿宋"/>
          <w:sz w:val="32"/>
          <w:szCs w:val="32"/>
        </w:rPr>
      </w:pPr>
      <w:bookmarkStart w:id="32" w:name="_Toc15377213"/>
      <w:bookmarkStart w:id="33" w:name="_Toc15378460"/>
      <w:bookmarkStart w:id="34" w:name="_Toc15377444"/>
      <w:r>
        <w:rPr>
          <w:rFonts w:hint="eastAsia" w:ascii="仿宋" w:hAnsi="仿宋" w:eastAsia="仿宋"/>
          <w:b/>
          <w:sz w:val="32"/>
          <w:szCs w:val="32"/>
        </w:rPr>
        <w:t>2022年一般公共预算支出决算数为</w:t>
      </w:r>
      <w:r>
        <w:rPr>
          <w:rFonts w:hint="eastAsia" w:ascii="仿宋" w:hAnsi="仿宋" w:eastAsia="仿宋"/>
          <w:b/>
          <w:sz w:val="32"/>
          <w:szCs w:val="32"/>
          <w:lang w:val="en-US" w:eastAsia="zh-CN"/>
        </w:rPr>
        <w:t>261.05万元</w:t>
      </w:r>
      <w:r>
        <w:rPr>
          <w:rFonts w:hint="eastAsia" w:ascii="仿宋" w:hAnsi="仿宋" w:eastAsia="仿宋"/>
          <w:sz w:val="32"/>
          <w:szCs w:val="32"/>
        </w:rPr>
        <w:t>，</w:t>
      </w:r>
      <w:r>
        <w:rPr>
          <w:rStyle w:val="14"/>
          <w:rFonts w:hint="eastAsia" w:ascii="仿宋" w:hAnsi="仿宋" w:eastAsia="仿宋"/>
          <w:bCs/>
          <w:sz w:val="32"/>
          <w:szCs w:val="32"/>
        </w:rPr>
        <w:t>完成预算</w:t>
      </w:r>
      <w:r>
        <w:rPr>
          <w:rStyle w:val="14"/>
          <w:rFonts w:hint="eastAsia" w:ascii="仿宋" w:hAnsi="仿宋" w:eastAsia="仿宋"/>
          <w:bCs/>
          <w:sz w:val="32"/>
          <w:szCs w:val="32"/>
          <w:lang w:val="en-US" w:eastAsia="zh-CN"/>
        </w:rPr>
        <w:t>100</w:t>
      </w:r>
      <w:r>
        <w:rPr>
          <w:rStyle w:val="14"/>
          <w:rFonts w:ascii="仿宋" w:hAnsi="仿宋" w:eastAsia="仿宋"/>
          <w:bCs/>
          <w:sz w:val="32"/>
          <w:szCs w:val="32"/>
        </w:rPr>
        <w:t>%</w:t>
      </w:r>
      <w:r>
        <w:rPr>
          <w:rStyle w:val="14"/>
          <w:rFonts w:hint="eastAsia" w:ascii="仿宋" w:hAnsi="仿宋" w:eastAsia="仿宋"/>
          <w:bCs/>
          <w:sz w:val="32"/>
          <w:szCs w:val="32"/>
        </w:rPr>
        <w:t>。其中：</w:t>
      </w:r>
      <w:bookmarkEnd w:id="32"/>
      <w:bookmarkEnd w:id="33"/>
      <w:bookmarkEnd w:id="34"/>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1.</w:t>
      </w:r>
      <w:r>
        <w:rPr>
          <w:rStyle w:val="14"/>
          <w:rFonts w:hint="eastAsia" w:ascii="仿宋" w:hAnsi="仿宋" w:eastAsia="仿宋"/>
          <w:bCs/>
          <w:sz w:val="32"/>
          <w:szCs w:val="32"/>
        </w:rPr>
        <w:t>一般公共服务（类）政府办公厅（室）及相关机构事务（款）行政运行（项）</w:t>
      </w:r>
      <w:r>
        <w:rPr>
          <w:rStyle w:val="14"/>
          <w:rFonts w:ascii="仿宋" w:hAnsi="仿宋" w:eastAsia="仿宋"/>
          <w:b/>
          <w:bCs/>
          <w:i w:val="0"/>
          <w:iCs w:val="0"/>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11.04</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hint="eastAsia" w:ascii="仿宋" w:hAnsi="仿宋" w:eastAsia="仿宋"/>
          <w:bCs/>
          <w:sz w:val="32"/>
          <w:szCs w:val="32"/>
          <w:lang w:val="en-US" w:eastAsia="zh-CN"/>
        </w:rPr>
        <w:t>2</w:t>
      </w:r>
      <w:r>
        <w:rPr>
          <w:rStyle w:val="14"/>
          <w:rFonts w:ascii="仿宋" w:hAnsi="仿宋" w:eastAsia="仿宋"/>
          <w:bCs/>
          <w:sz w:val="32"/>
          <w:szCs w:val="32"/>
        </w:rPr>
        <w:t>.</w:t>
      </w:r>
      <w:r>
        <w:rPr>
          <w:rStyle w:val="14"/>
          <w:rFonts w:hint="eastAsia" w:ascii="仿宋" w:hAnsi="仿宋" w:eastAsia="仿宋"/>
          <w:bCs/>
          <w:sz w:val="32"/>
          <w:szCs w:val="32"/>
        </w:rPr>
        <w:t>科学技术（类）科学技术管理事务（款）行政运行（项）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179.7</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Style w:val="14"/>
          <w:rFonts w:hint="eastAsia" w:ascii="仿宋" w:hAnsi="仿宋" w:eastAsia="仿宋"/>
          <w:b w:val="0"/>
          <w:bCs/>
          <w:sz w:val="32"/>
          <w:szCs w:val="32"/>
        </w:rPr>
      </w:pPr>
      <w:r>
        <w:rPr>
          <w:rStyle w:val="14"/>
          <w:rFonts w:hint="eastAsia" w:ascii="仿宋" w:hAnsi="仿宋" w:eastAsia="仿宋"/>
          <w:bCs/>
          <w:sz w:val="32"/>
          <w:szCs w:val="32"/>
          <w:lang w:val="en-US" w:eastAsia="zh-CN"/>
        </w:rPr>
        <w:t>3</w:t>
      </w:r>
      <w:r>
        <w:rPr>
          <w:rStyle w:val="14"/>
          <w:rFonts w:ascii="仿宋" w:hAnsi="仿宋" w:eastAsia="仿宋"/>
          <w:bCs/>
          <w:sz w:val="32"/>
          <w:szCs w:val="32"/>
        </w:rPr>
        <w:t>.</w:t>
      </w:r>
      <w:r>
        <w:rPr>
          <w:rStyle w:val="14"/>
          <w:rFonts w:hint="eastAsia" w:ascii="仿宋" w:hAnsi="仿宋" w:eastAsia="仿宋"/>
          <w:bCs/>
          <w:sz w:val="32"/>
          <w:szCs w:val="32"/>
        </w:rPr>
        <w:t>社会保障和就业（类）行政事业单位养老支出（款）行政单位离退休（项）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38.17</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pStyle w:val="6"/>
        <w:ind w:firstLine="643" w:firstLineChars="200"/>
        <w:rPr>
          <w:rStyle w:val="14"/>
          <w:rFonts w:hint="eastAsia" w:ascii="仿宋" w:hAnsi="仿宋" w:eastAsia="仿宋"/>
          <w:b w:val="0"/>
          <w:bCs/>
          <w:sz w:val="32"/>
          <w:szCs w:val="32"/>
        </w:rPr>
      </w:pPr>
      <w:r>
        <w:rPr>
          <w:rStyle w:val="14"/>
          <w:rFonts w:hint="eastAsia" w:ascii="仿宋" w:hAnsi="仿宋" w:eastAsia="仿宋"/>
          <w:bCs/>
          <w:sz w:val="32"/>
          <w:szCs w:val="32"/>
          <w:lang w:val="en-US" w:eastAsia="zh-CN"/>
        </w:rPr>
        <w:t>4</w:t>
      </w:r>
      <w:r>
        <w:rPr>
          <w:rStyle w:val="14"/>
          <w:rFonts w:ascii="仿宋" w:hAnsi="仿宋" w:eastAsia="仿宋"/>
          <w:bCs/>
          <w:sz w:val="32"/>
          <w:szCs w:val="32"/>
        </w:rPr>
        <w:t>.</w:t>
      </w:r>
      <w:r>
        <w:rPr>
          <w:rStyle w:val="14"/>
          <w:rFonts w:hint="eastAsia" w:ascii="仿宋" w:hAnsi="仿宋" w:eastAsia="仿宋"/>
          <w:bCs/>
          <w:sz w:val="32"/>
          <w:szCs w:val="32"/>
        </w:rPr>
        <w:t>社会保障和就业（类）行政事业单位养老支出（款）机关事业单位基本养老保险缴费支出（项）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13.64</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pStyle w:val="6"/>
        <w:ind w:firstLine="643" w:firstLineChars="200"/>
        <w:rPr>
          <w:rStyle w:val="14"/>
          <w:rFonts w:hint="eastAsia" w:ascii="仿宋" w:hAnsi="仿宋" w:eastAsia="仿宋"/>
          <w:b w:val="0"/>
          <w:bCs/>
          <w:sz w:val="32"/>
          <w:szCs w:val="32"/>
        </w:rPr>
      </w:pPr>
      <w:r>
        <w:rPr>
          <w:rStyle w:val="14"/>
          <w:rFonts w:hint="eastAsia" w:ascii="仿宋" w:hAnsi="仿宋" w:eastAsia="仿宋"/>
          <w:bCs/>
          <w:sz w:val="32"/>
          <w:szCs w:val="32"/>
          <w:lang w:val="en-US" w:eastAsia="zh-CN"/>
        </w:rPr>
        <w:t>5</w:t>
      </w:r>
      <w:r>
        <w:rPr>
          <w:rStyle w:val="14"/>
          <w:rFonts w:ascii="仿宋" w:hAnsi="仿宋" w:eastAsia="仿宋"/>
          <w:bCs/>
          <w:sz w:val="32"/>
          <w:szCs w:val="32"/>
        </w:rPr>
        <w:t>.</w:t>
      </w:r>
      <w:r>
        <w:rPr>
          <w:rStyle w:val="14"/>
          <w:rFonts w:hint="eastAsia" w:ascii="仿宋" w:hAnsi="仿宋" w:eastAsia="仿宋"/>
          <w:bCs/>
          <w:sz w:val="32"/>
          <w:szCs w:val="32"/>
        </w:rPr>
        <w:t>社会保障和就业（类）抚恤（款）死亡抚恤（项）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1</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adjustRightInd w:val="0"/>
        <w:snapToGrid w:val="0"/>
        <w:spacing w:line="353" w:lineRule="auto"/>
        <w:ind w:firstLine="643" w:firstLineChars="200"/>
        <w:rPr>
          <w:rStyle w:val="14"/>
          <w:rFonts w:hint="eastAsia" w:ascii="仿宋" w:hAnsi="仿宋" w:eastAsia="仿宋" w:cstheme="minorBidi"/>
          <w:b w:val="0"/>
          <w:bCs/>
          <w:kern w:val="0"/>
          <w:sz w:val="32"/>
          <w:szCs w:val="32"/>
          <w:lang w:val="en-US" w:eastAsia="zh-CN" w:bidi="ar-SA"/>
        </w:rPr>
      </w:pPr>
      <w:r>
        <w:rPr>
          <w:rStyle w:val="14"/>
          <w:rFonts w:hint="eastAsia" w:ascii="仿宋" w:hAnsi="仿宋" w:eastAsia="仿宋" w:cstheme="minorBidi"/>
          <w:bCs/>
          <w:kern w:val="0"/>
          <w:sz w:val="32"/>
          <w:szCs w:val="32"/>
          <w:lang w:val="en-US" w:eastAsia="zh-CN" w:bidi="ar-SA"/>
        </w:rPr>
        <w:t>6.社会保障和就业（类）社会福利（款）儿童福利（项）：</w:t>
      </w:r>
      <w:r>
        <w:rPr>
          <w:rStyle w:val="14"/>
          <w:rFonts w:hint="eastAsia" w:ascii="仿宋" w:hAnsi="仿宋" w:eastAsia="仿宋" w:cstheme="minorBidi"/>
          <w:b w:val="0"/>
          <w:bCs/>
          <w:kern w:val="0"/>
          <w:sz w:val="32"/>
          <w:szCs w:val="32"/>
          <w:lang w:val="en-US" w:eastAsia="zh-CN" w:bidi="ar-SA"/>
        </w:rPr>
        <w:t>支出决算为0.5万元，完成预算100%，决算数等于预算数。</w:t>
      </w:r>
    </w:p>
    <w:p>
      <w:pPr>
        <w:spacing w:line="600" w:lineRule="exact"/>
        <w:ind w:firstLine="643" w:firstLineChars="200"/>
        <w:rPr>
          <w:rFonts w:ascii="仿宋" w:hAnsi="仿宋" w:eastAsia="仿宋"/>
          <w:b/>
          <w:color w:val="auto"/>
          <w:sz w:val="32"/>
          <w:szCs w:val="32"/>
          <w:highlight w:val="none"/>
        </w:rPr>
      </w:pPr>
      <w:r>
        <w:rPr>
          <w:rStyle w:val="14"/>
          <w:rFonts w:hint="eastAsia" w:ascii="仿宋" w:hAnsi="仿宋" w:eastAsia="仿宋"/>
          <w:bCs/>
          <w:color w:val="auto"/>
          <w:sz w:val="32"/>
          <w:szCs w:val="32"/>
          <w:highlight w:val="none"/>
          <w:lang w:val="en-US" w:eastAsia="zh-CN"/>
        </w:rPr>
        <w:t>7</w:t>
      </w:r>
      <w:r>
        <w:rPr>
          <w:rStyle w:val="14"/>
          <w:rFonts w:ascii="仿宋" w:hAnsi="仿宋" w:eastAsia="仿宋"/>
          <w:bCs/>
          <w:color w:val="auto"/>
          <w:sz w:val="32"/>
          <w:szCs w:val="32"/>
          <w:highlight w:val="none"/>
        </w:rPr>
        <w:t>.</w:t>
      </w:r>
      <w:r>
        <w:rPr>
          <w:rFonts w:eastAsia="仿宋_GB2312"/>
          <w:b/>
          <w:bCs/>
          <w:color w:val="000000"/>
          <w:sz w:val="32"/>
          <w:szCs w:val="32"/>
        </w:rPr>
        <w:t>住房保障</w:t>
      </w:r>
      <w:r>
        <w:rPr>
          <w:rStyle w:val="14"/>
          <w:rFonts w:eastAsia="仿宋_GB2312"/>
          <w:bCs/>
          <w:color w:val="000000"/>
          <w:sz w:val="32"/>
          <w:szCs w:val="32"/>
        </w:rPr>
        <w:t>（类）</w:t>
      </w:r>
      <w:r>
        <w:rPr>
          <w:rStyle w:val="14"/>
          <w:rFonts w:hint="eastAsia" w:eastAsia="仿宋_GB2312"/>
          <w:bCs/>
          <w:color w:val="000000"/>
          <w:sz w:val="32"/>
          <w:szCs w:val="32"/>
        </w:rPr>
        <w:t>住房改革支出</w:t>
      </w:r>
      <w:r>
        <w:rPr>
          <w:rStyle w:val="14"/>
          <w:rFonts w:eastAsia="仿宋_GB2312"/>
          <w:bCs/>
          <w:color w:val="000000"/>
          <w:sz w:val="32"/>
          <w:szCs w:val="32"/>
        </w:rPr>
        <w:t>（款）住房公积金（项）</w:t>
      </w:r>
      <w:r>
        <w:rPr>
          <w:rStyle w:val="14"/>
          <w:rFonts w:hint="eastAsia" w:eastAsia="仿宋_GB2312"/>
          <w:bCs/>
          <w:color w:val="000000"/>
          <w:sz w:val="32"/>
          <w:szCs w:val="32"/>
        </w:rPr>
        <w:t>：</w:t>
      </w:r>
      <w:r>
        <w:rPr>
          <w:rStyle w:val="14"/>
          <w:rFonts w:eastAsia="仿宋_GB2312"/>
          <w:b w:val="0"/>
          <w:bCs/>
          <w:color w:val="000000"/>
          <w:sz w:val="32"/>
          <w:szCs w:val="32"/>
        </w:rPr>
        <w:t>支出决算为</w:t>
      </w:r>
      <w:r>
        <w:rPr>
          <w:rStyle w:val="14"/>
          <w:rFonts w:hint="eastAsia" w:eastAsia="仿宋_GB2312"/>
          <w:b w:val="0"/>
          <w:bCs/>
          <w:color w:val="000000"/>
          <w:sz w:val="32"/>
          <w:szCs w:val="32"/>
          <w:lang w:val="en-US" w:eastAsia="zh-CN"/>
        </w:rPr>
        <w:t>17.01</w:t>
      </w:r>
      <w:r>
        <w:rPr>
          <w:rStyle w:val="14"/>
          <w:rFonts w:eastAsia="仿宋_GB2312"/>
          <w:b w:val="0"/>
          <w:bCs/>
          <w:color w:val="000000"/>
          <w:sz w:val="32"/>
          <w:szCs w:val="32"/>
        </w:rPr>
        <w:t>万元，完成预算100%，决算数等于预算数。</w:t>
      </w:r>
    </w:p>
    <w:p>
      <w:pPr>
        <w:spacing w:line="600" w:lineRule="exact"/>
        <w:rPr>
          <w:rFonts w:ascii="仿宋" w:hAnsi="仿宋" w:eastAsia="仿宋"/>
          <w:b/>
          <w:sz w:val="32"/>
          <w:szCs w:val="32"/>
        </w:rPr>
      </w:pPr>
    </w:p>
    <w:p>
      <w:pPr>
        <w:tabs>
          <w:tab w:val="right" w:pos="8306"/>
        </w:tabs>
        <w:spacing w:line="600" w:lineRule="exact"/>
        <w:ind w:firstLine="640"/>
        <w:outlineLvl w:val="1"/>
        <w:rPr>
          <w:rStyle w:val="25"/>
        </w:rPr>
      </w:pPr>
      <w:bookmarkStart w:id="35" w:name="_Toc15396608"/>
      <w:bookmarkStart w:id="36"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35"/>
      <w:bookmarkEnd w:id="36"/>
      <w:r>
        <w:rPr>
          <w:rStyle w:val="25"/>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w:t>
      </w:r>
      <w:r>
        <w:rPr>
          <w:rFonts w:hint="eastAsia" w:ascii="仿宋" w:hAnsi="仿宋" w:eastAsia="仿宋"/>
          <w:sz w:val="32"/>
          <w:szCs w:val="32"/>
          <w:lang w:val="en-US" w:eastAsia="zh-CN"/>
        </w:rPr>
        <w:t>260.55</w:t>
      </w:r>
      <w:r>
        <w:rPr>
          <w:rFonts w:hint="eastAsia" w:ascii="仿宋" w:hAnsi="仿宋" w:eastAsia="仿宋"/>
          <w:sz w:val="32"/>
          <w:szCs w:val="32"/>
        </w:rPr>
        <w:t>万元，其中：</w:t>
      </w:r>
    </w:p>
    <w:p>
      <w:pPr>
        <w:spacing w:line="600" w:lineRule="exact"/>
        <w:ind w:firstLine="645"/>
        <w:rPr>
          <w:rFonts w:hint="eastAsia"/>
          <w:lang w:eastAsia="zh-CN"/>
        </w:rPr>
      </w:pPr>
      <w:r>
        <w:rPr>
          <w:rFonts w:hint="eastAsia" w:ascii="仿宋" w:hAnsi="仿宋" w:eastAsia="仿宋"/>
          <w:sz w:val="32"/>
          <w:szCs w:val="32"/>
        </w:rPr>
        <w:t>人员经费</w:t>
      </w:r>
      <w:r>
        <w:rPr>
          <w:rFonts w:hint="eastAsia" w:ascii="仿宋" w:hAnsi="仿宋" w:eastAsia="仿宋"/>
          <w:sz w:val="32"/>
          <w:szCs w:val="32"/>
          <w:lang w:val="en-US" w:eastAsia="zh-CN"/>
        </w:rPr>
        <w:t>234.03</w:t>
      </w:r>
      <w:r>
        <w:rPr>
          <w:rFonts w:hint="eastAsia" w:ascii="仿宋" w:hAnsi="仿宋" w:eastAsia="仿宋"/>
          <w:sz w:val="32"/>
          <w:szCs w:val="32"/>
        </w:rPr>
        <w:t>万元，主要包括：基本工资</w:t>
      </w:r>
      <w:r>
        <w:rPr>
          <w:rFonts w:hint="eastAsia" w:ascii="仿宋" w:hAnsi="仿宋" w:eastAsia="仿宋"/>
          <w:sz w:val="32"/>
          <w:szCs w:val="32"/>
          <w:lang w:val="en-US" w:eastAsia="zh-CN"/>
        </w:rPr>
        <w:t>49.82</w:t>
      </w:r>
      <w:r>
        <w:rPr>
          <w:rFonts w:hint="eastAsia" w:ascii="仿宋" w:hAnsi="仿宋" w:eastAsia="仿宋"/>
          <w:sz w:val="32"/>
          <w:szCs w:val="32"/>
        </w:rPr>
        <w:t>万元、津贴补贴</w:t>
      </w:r>
      <w:r>
        <w:rPr>
          <w:rFonts w:hint="eastAsia" w:ascii="仿宋" w:hAnsi="仿宋" w:eastAsia="仿宋"/>
          <w:sz w:val="32"/>
          <w:szCs w:val="32"/>
          <w:lang w:val="en-US" w:eastAsia="zh-CN"/>
        </w:rPr>
        <w:t>79.24</w:t>
      </w:r>
      <w:r>
        <w:rPr>
          <w:rFonts w:hint="eastAsia" w:ascii="仿宋" w:hAnsi="仿宋" w:eastAsia="仿宋"/>
          <w:sz w:val="32"/>
          <w:szCs w:val="32"/>
        </w:rPr>
        <w:t>万元、奖金</w:t>
      </w:r>
      <w:r>
        <w:rPr>
          <w:rFonts w:hint="eastAsia" w:ascii="仿宋" w:hAnsi="仿宋" w:eastAsia="仿宋"/>
          <w:sz w:val="32"/>
          <w:szCs w:val="32"/>
          <w:lang w:val="en-US" w:eastAsia="zh-CN"/>
        </w:rPr>
        <w:t>14.35</w:t>
      </w:r>
      <w:r>
        <w:rPr>
          <w:rFonts w:hint="eastAsia" w:ascii="仿宋" w:hAnsi="仿宋" w:eastAsia="仿宋"/>
          <w:sz w:val="32"/>
          <w:szCs w:val="32"/>
        </w:rPr>
        <w:t>万元、机关事业单位基本养老保险缴费</w:t>
      </w:r>
      <w:r>
        <w:rPr>
          <w:rFonts w:hint="eastAsia" w:ascii="仿宋" w:hAnsi="仿宋" w:eastAsia="仿宋"/>
          <w:sz w:val="32"/>
          <w:szCs w:val="32"/>
          <w:lang w:val="en-US" w:eastAsia="zh-CN"/>
        </w:rPr>
        <w:t>13.64</w:t>
      </w:r>
      <w:r>
        <w:rPr>
          <w:rFonts w:hint="eastAsia" w:ascii="仿宋" w:hAnsi="仿宋" w:eastAsia="仿宋"/>
          <w:sz w:val="32"/>
          <w:szCs w:val="32"/>
        </w:rPr>
        <w:t>万元、职工基本医疗保险缴费</w:t>
      </w:r>
      <w:r>
        <w:rPr>
          <w:rFonts w:hint="eastAsia" w:ascii="仿宋" w:hAnsi="仿宋" w:eastAsia="仿宋"/>
          <w:sz w:val="32"/>
          <w:szCs w:val="32"/>
          <w:lang w:val="en-US" w:eastAsia="zh-CN"/>
        </w:rPr>
        <w:t>11.75</w:t>
      </w:r>
      <w:r>
        <w:rPr>
          <w:rFonts w:hint="eastAsia" w:ascii="仿宋" w:hAnsi="仿宋" w:eastAsia="仿宋"/>
          <w:sz w:val="32"/>
          <w:szCs w:val="32"/>
        </w:rPr>
        <w:t>万元、</w:t>
      </w:r>
      <w:r>
        <w:rPr>
          <w:rFonts w:hint="eastAsia" w:eastAsia="仿宋_GB2312"/>
          <w:sz w:val="32"/>
          <w:szCs w:val="32"/>
        </w:rPr>
        <w:t>公务员医疗补助缴费</w:t>
      </w:r>
      <w:r>
        <w:rPr>
          <w:rFonts w:hint="eastAsia" w:eastAsia="仿宋_GB2312"/>
          <w:sz w:val="32"/>
          <w:szCs w:val="32"/>
          <w:lang w:val="en-US" w:eastAsia="zh-CN"/>
        </w:rPr>
        <w:t>6.61</w:t>
      </w:r>
      <w:r>
        <w:rPr>
          <w:rFonts w:hint="eastAsia" w:eastAsia="仿宋_GB2312"/>
          <w:sz w:val="32"/>
          <w:szCs w:val="32"/>
        </w:rPr>
        <w:t>万元、其他社会保障缴费</w:t>
      </w:r>
      <w:r>
        <w:rPr>
          <w:rFonts w:hint="eastAsia" w:eastAsia="仿宋_GB2312"/>
          <w:sz w:val="32"/>
          <w:szCs w:val="32"/>
          <w:lang w:val="en-US" w:eastAsia="zh-CN"/>
        </w:rPr>
        <w:t>0.29</w:t>
      </w:r>
      <w:r>
        <w:rPr>
          <w:rFonts w:hint="eastAsia" w:eastAsia="仿宋_GB2312"/>
          <w:sz w:val="32"/>
          <w:szCs w:val="32"/>
        </w:rPr>
        <w:t>万元、其他工资福利支出</w:t>
      </w:r>
      <w:r>
        <w:rPr>
          <w:rFonts w:hint="eastAsia" w:eastAsia="仿宋_GB2312"/>
          <w:sz w:val="32"/>
          <w:szCs w:val="32"/>
          <w:lang w:val="en-US" w:eastAsia="zh-CN"/>
        </w:rPr>
        <w:t>4.79</w:t>
      </w:r>
      <w:r>
        <w:rPr>
          <w:rFonts w:hint="eastAsia" w:eastAsia="仿宋_GB2312"/>
          <w:sz w:val="32"/>
          <w:szCs w:val="32"/>
        </w:rPr>
        <w:t>万元、</w:t>
      </w:r>
      <w:r>
        <w:rPr>
          <w:rFonts w:hint="eastAsia" w:ascii="仿宋" w:hAnsi="仿宋" w:eastAsia="仿宋"/>
          <w:sz w:val="32"/>
          <w:szCs w:val="32"/>
        </w:rPr>
        <w:t>抚恤金</w:t>
      </w:r>
      <w:r>
        <w:rPr>
          <w:rFonts w:hint="eastAsia" w:ascii="仿宋" w:hAnsi="仿宋" w:eastAsia="仿宋"/>
          <w:sz w:val="32"/>
          <w:szCs w:val="32"/>
          <w:lang w:val="en-US" w:eastAsia="zh-CN"/>
        </w:rPr>
        <w:t>1</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eastAsia="仿宋_GB2312"/>
          <w:sz w:val="32"/>
          <w:szCs w:val="32"/>
        </w:rPr>
        <w:t>生活补助</w:t>
      </w:r>
      <w:r>
        <w:rPr>
          <w:rFonts w:hint="eastAsia" w:eastAsia="仿宋_GB2312"/>
          <w:sz w:val="32"/>
          <w:szCs w:val="32"/>
          <w:lang w:val="en-US" w:eastAsia="zh-CN"/>
        </w:rPr>
        <w:t>34.75</w:t>
      </w:r>
      <w:r>
        <w:rPr>
          <w:rFonts w:hint="eastAsia" w:eastAsia="仿宋_GB2312"/>
          <w:sz w:val="32"/>
          <w:szCs w:val="32"/>
        </w:rPr>
        <w:t>万元、医疗费补助</w:t>
      </w:r>
      <w:r>
        <w:rPr>
          <w:rFonts w:hint="eastAsia" w:eastAsia="仿宋_GB2312"/>
          <w:sz w:val="32"/>
          <w:szCs w:val="32"/>
          <w:lang w:val="en-US" w:eastAsia="zh-CN"/>
        </w:rPr>
        <w:t>0.8</w:t>
      </w:r>
      <w:r>
        <w:rPr>
          <w:rFonts w:hint="eastAsia" w:eastAsia="仿宋_GB2312"/>
          <w:sz w:val="32"/>
          <w:szCs w:val="32"/>
        </w:rPr>
        <w:t>万元、住房公积金</w:t>
      </w:r>
      <w:r>
        <w:rPr>
          <w:rFonts w:eastAsia="仿宋_GB2312"/>
          <w:sz w:val="32"/>
          <w:szCs w:val="32"/>
        </w:rPr>
        <w:t>1</w:t>
      </w:r>
      <w:r>
        <w:rPr>
          <w:rFonts w:hint="eastAsia" w:eastAsia="仿宋_GB2312"/>
          <w:sz w:val="32"/>
          <w:szCs w:val="32"/>
          <w:lang w:val="en-US" w:eastAsia="zh-CN"/>
        </w:rPr>
        <w:t>7.01</w:t>
      </w:r>
      <w:r>
        <w:rPr>
          <w:rFonts w:hint="eastAsia" w:eastAsia="仿宋_GB2312"/>
          <w:sz w:val="32"/>
          <w:szCs w:val="32"/>
        </w:rPr>
        <w:t>万元。</w:t>
      </w:r>
    </w:p>
    <w:p>
      <w:pPr>
        <w:spacing w:line="600" w:lineRule="exact"/>
        <w:ind w:firstLine="645"/>
        <w:rPr>
          <w:rFonts w:hint="eastAsia" w:ascii="仿宋" w:hAnsi="仿宋" w:eastAsia="仿宋" w:cs="Times New Roman"/>
          <w:kern w:val="2"/>
          <w:sz w:val="32"/>
          <w:szCs w:val="32"/>
          <w:lang w:val="en-US" w:eastAsia="zh-CN" w:bidi="ar-SA"/>
        </w:rPr>
      </w:pPr>
      <w:r>
        <w:rPr>
          <w:rFonts w:hint="eastAsia" w:ascii="仿宋" w:hAnsi="仿宋" w:eastAsia="仿宋"/>
          <w:sz w:val="32"/>
          <w:szCs w:val="32"/>
        </w:rPr>
        <w:t>公用经费</w:t>
      </w:r>
      <w:r>
        <w:rPr>
          <w:rFonts w:hint="eastAsia" w:ascii="仿宋" w:hAnsi="仿宋" w:eastAsia="仿宋"/>
          <w:sz w:val="32"/>
          <w:szCs w:val="32"/>
          <w:lang w:val="en-US" w:eastAsia="zh-CN"/>
        </w:rPr>
        <w:t>26.52</w:t>
      </w:r>
      <w:r>
        <w:rPr>
          <w:rFonts w:hint="eastAsia" w:ascii="仿宋" w:hAnsi="仿宋" w:eastAsia="仿宋"/>
          <w:sz w:val="32"/>
          <w:szCs w:val="32"/>
        </w:rPr>
        <w:t>万元，主要包括：</w:t>
      </w:r>
      <w:r>
        <w:rPr>
          <w:rFonts w:hint="eastAsia" w:ascii="仿宋" w:hAnsi="仿宋" w:eastAsia="仿宋" w:cs="Times New Roman"/>
          <w:kern w:val="2"/>
          <w:sz w:val="32"/>
          <w:szCs w:val="32"/>
          <w:lang w:val="en-US" w:eastAsia="zh-CN" w:bidi="ar-SA"/>
        </w:rPr>
        <w:t>办公费1.47万元、邮电费3.51万元、差旅费4.48万元、维修（护）费0.55万元、会议费0.05万元、</w:t>
      </w:r>
      <w:r>
        <w:rPr>
          <w:rFonts w:hint="eastAsia" w:ascii="仿宋" w:hAnsi="仿宋" w:eastAsia="仿宋"/>
          <w:sz w:val="32"/>
          <w:szCs w:val="32"/>
        </w:rPr>
        <w:t>培训费</w:t>
      </w:r>
      <w:r>
        <w:rPr>
          <w:rFonts w:hint="eastAsia" w:ascii="仿宋" w:hAnsi="仿宋" w:eastAsia="仿宋"/>
          <w:sz w:val="32"/>
          <w:szCs w:val="32"/>
          <w:lang w:val="en-US" w:eastAsia="zh-CN"/>
        </w:rPr>
        <w:t>0.01万元、</w:t>
      </w:r>
      <w:r>
        <w:rPr>
          <w:rFonts w:hint="eastAsia" w:ascii="仿宋" w:hAnsi="仿宋" w:eastAsia="仿宋" w:cs="Times New Roman"/>
          <w:kern w:val="2"/>
          <w:sz w:val="32"/>
          <w:szCs w:val="32"/>
          <w:lang w:val="en-US" w:eastAsia="zh-CN" w:bidi="ar-SA"/>
        </w:rPr>
        <w:t>工会经费1.9万元、福利费1.81万元、其他交通费9.77万元、其他商品和服务支出2.97万元。</w:t>
      </w:r>
    </w:p>
    <w:p>
      <w:pPr>
        <w:spacing w:line="600" w:lineRule="exact"/>
        <w:ind w:firstLine="640"/>
        <w:rPr>
          <w:rFonts w:ascii="仿宋" w:hAnsi="仿宋" w:eastAsia="仿宋"/>
          <w:b/>
          <w:sz w:val="32"/>
          <w:szCs w:val="32"/>
        </w:rPr>
      </w:pPr>
    </w:p>
    <w:p>
      <w:pPr>
        <w:spacing w:line="600" w:lineRule="exact"/>
        <w:ind w:firstLine="640"/>
        <w:outlineLvl w:val="1"/>
        <w:rPr>
          <w:rStyle w:val="25"/>
          <w:rFonts w:ascii="黑体" w:hAnsi="黑体" w:eastAsia="黑体"/>
          <w:b w:val="0"/>
        </w:rPr>
      </w:pPr>
      <w:bookmarkStart w:id="37" w:name="_Toc15396609"/>
      <w:bookmarkStart w:id="38" w:name="_Toc15377215"/>
      <w:r>
        <w:rPr>
          <w:rFonts w:hint="eastAsia" w:ascii="黑体" w:eastAsia="黑体"/>
          <w:sz w:val="32"/>
          <w:szCs w:val="32"/>
        </w:rPr>
        <w:t>七、</w:t>
      </w:r>
      <w:r>
        <w:rPr>
          <w:rStyle w:val="25"/>
          <w:rFonts w:hint="eastAsia" w:ascii="黑体" w:hAnsi="黑体" w:eastAsia="黑体"/>
          <w:b w:val="0"/>
        </w:rPr>
        <w:t>财政拨款</w:t>
      </w:r>
      <w:r>
        <w:rPr>
          <w:rStyle w:val="25"/>
          <w:rFonts w:hint="eastAsia" w:ascii="黑体" w:hAnsi="黑体" w:eastAsia="黑体"/>
        </w:rPr>
        <w:t>“</w:t>
      </w:r>
      <w:r>
        <w:rPr>
          <w:rStyle w:val="25"/>
          <w:rFonts w:hint="eastAsia" w:ascii="黑体" w:hAnsi="黑体" w:eastAsia="黑体"/>
          <w:b w:val="0"/>
        </w:rPr>
        <w:t>三公”经费支出决算情况说明</w:t>
      </w:r>
      <w:bookmarkEnd w:id="37"/>
      <w:bookmarkEnd w:id="38"/>
    </w:p>
    <w:p>
      <w:pPr>
        <w:spacing w:line="600" w:lineRule="exact"/>
        <w:ind w:firstLine="640"/>
        <w:outlineLvl w:val="2"/>
        <w:rPr>
          <w:rFonts w:ascii="仿宋" w:hAnsi="仿宋" w:eastAsia="仿宋"/>
          <w:b/>
          <w:sz w:val="32"/>
          <w:szCs w:val="32"/>
        </w:rPr>
      </w:pPr>
      <w:bookmarkStart w:id="39" w:name="_Toc15377216"/>
      <w:r>
        <w:rPr>
          <w:rFonts w:hint="eastAsia" w:ascii="仿宋" w:hAnsi="仿宋" w:eastAsia="仿宋"/>
          <w:b/>
          <w:sz w:val="32"/>
          <w:szCs w:val="32"/>
        </w:rPr>
        <w:t>（一）“三公”经费财政拨款支出决算总体情况说明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22年“三公”经费财政拨款支出决算为</w:t>
      </w:r>
      <w:r>
        <w:rPr>
          <w:rFonts w:hint="eastAsia" w:ascii="仿宋" w:hAnsi="仿宋" w:eastAsia="仿宋"/>
          <w:sz w:val="32"/>
          <w:szCs w:val="32"/>
          <w:lang w:val="en-US" w:eastAsia="zh-CN"/>
        </w:rPr>
        <w:t>0</w:t>
      </w:r>
      <w:r>
        <w:rPr>
          <w:rFonts w:hint="eastAsia" w:ascii="仿宋" w:hAnsi="仿宋" w:eastAsia="仿宋"/>
          <w:sz w:val="32"/>
          <w:szCs w:val="32"/>
        </w:rPr>
        <w:t>万元，完成预算</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eastAsia="仿宋" w:cs="仿宋"/>
          <w:color w:val="000000"/>
          <w:sz w:val="32"/>
          <w:szCs w:val="32"/>
          <w:lang w:eastAsia="zh-CN"/>
        </w:rPr>
        <w:t>与</w:t>
      </w:r>
      <w:r>
        <w:rPr>
          <w:rFonts w:hint="eastAsia" w:ascii="仿宋" w:hAnsi="仿宋" w:eastAsia="仿宋"/>
          <w:sz w:val="32"/>
          <w:szCs w:val="32"/>
        </w:rPr>
        <w:t>上年</w:t>
      </w:r>
      <w:r>
        <w:rPr>
          <w:rFonts w:hint="eastAsia" w:ascii="仿宋" w:hAnsi="仿宋" w:eastAsia="仿宋"/>
          <w:sz w:val="32"/>
          <w:szCs w:val="32"/>
          <w:lang w:eastAsia="zh-CN"/>
        </w:rPr>
        <w:t>持平</w:t>
      </w:r>
      <w:r>
        <w:rPr>
          <w:rFonts w:hint="eastAsia" w:ascii="仿宋" w:hAnsi="仿宋" w:eastAsia="仿宋"/>
          <w:sz w:val="32"/>
          <w:szCs w:val="32"/>
        </w:rPr>
        <w:t>。决算数小于预算数的主要原因是</w:t>
      </w:r>
      <w:r>
        <w:rPr>
          <w:rFonts w:hint="eastAsia" w:ascii="仿宋_GB2312" w:hAnsi="仿宋" w:eastAsia="仿宋_GB2312" w:cs="仿宋"/>
          <w:color w:val="000000"/>
          <w:sz w:val="32"/>
          <w:szCs w:val="32"/>
        </w:rPr>
        <w:t>本年度公务用车购置及保有量均为0辆，因公出国（境）团组数及人数为0，无公务接待</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40" w:name="_Toc15377217"/>
      <w:r>
        <w:rPr>
          <w:rFonts w:hint="eastAsia" w:ascii="仿宋" w:hAnsi="仿宋" w:eastAsia="仿宋"/>
          <w:b/>
          <w:sz w:val="32"/>
          <w:szCs w:val="32"/>
        </w:rPr>
        <w:t>（二）“三公”经费财政拨款支出决算具体情况说明</w:t>
      </w:r>
      <w:bookmarkEnd w:id="40"/>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w:t>
      </w:r>
      <w:r>
        <w:rPr>
          <w:rFonts w:hint="eastAsia" w:ascii="仿宋_GB2312" w:eastAsia="仿宋_GB2312"/>
          <w:sz w:val="32"/>
          <w:szCs w:val="32"/>
          <w:lang w:eastAsia="zh-CN"/>
        </w:rPr>
        <w:t>与</w:t>
      </w: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持平，</w:t>
      </w:r>
      <w:r>
        <w:rPr>
          <w:rFonts w:hint="eastAsia" w:ascii="仿宋_GB2312" w:eastAsia="仿宋_GB2312"/>
          <w:color w:val="auto"/>
          <w:sz w:val="32"/>
          <w:szCs w:val="32"/>
          <w:highlight w:val="none"/>
        </w:rPr>
        <w:t>主要原因是</w:t>
      </w:r>
      <w:r>
        <w:rPr>
          <w:rFonts w:hint="eastAsia" w:ascii="仿宋_GB2312" w:eastAsia="仿宋_GB2312"/>
          <w:color w:val="auto"/>
          <w:sz w:val="32"/>
          <w:szCs w:val="32"/>
          <w:highlight w:val="none"/>
          <w:lang w:eastAsia="zh-CN"/>
        </w:rPr>
        <w:t>无因公</w:t>
      </w:r>
      <w:r>
        <w:rPr>
          <w:rFonts w:hint="eastAsia" w:ascii="仿宋_GB2312" w:eastAsia="仿宋_GB2312"/>
          <w:color w:val="auto"/>
          <w:sz w:val="32"/>
          <w:szCs w:val="32"/>
          <w:highlight w:val="none"/>
        </w:rPr>
        <w:t>出国（境）</w:t>
      </w:r>
      <w:r>
        <w:rPr>
          <w:rFonts w:hint="eastAsia" w:ascii="仿宋_GB2312" w:eastAsia="仿宋_GB2312"/>
          <w:color w:val="auto"/>
          <w:sz w:val="32"/>
          <w:szCs w:val="32"/>
          <w:highlight w:val="none"/>
          <w:lang w:eastAsia="zh-CN"/>
        </w:rPr>
        <w:t>情况</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w:t>
      </w:r>
      <w:r>
        <w:rPr>
          <w:rFonts w:hint="eastAsia" w:ascii="仿宋_GB2312" w:eastAsia="仿宋_GB2312"/>
          <w:sz w:val="32"/>
          <w:szCs w:val="32"/>
          <w:lang w:eastAsia="zh-CN"/>
        </w:rPr>
        <w:t>与</w:t>
      </w: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color w:val="auto"/>
          <w:sz w:val="32"/>
          <w:szCs w:val="32"/>
          <w:highlight w:val="none"/>
          <w:lang w:eastAsia="zh-CN"/>
        </w:rPr>
        <w:t>单位无公务用车</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hint="eastAsia"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w:t>
      </w:r>
      <w:r>
        <w:rPr>
          <w:rFonts w:hint="eastAsia" w:ascii="仿宋_GB2312" w:eastAsia="仿宋_GB2312"/>
          <w:sz w:val="32"/>
          <w:szCs w:val="32"/>
          <w:lang w:eastAsia="zh-CN"/>
        </w:rPr>
        <w:t>与</w:t>
      </w: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本年度未发生公务接待</w:t>
      </w:r>
      <w:r>
        <w:rPr>
          <w:rFonts w:hint="eastAsia" w:ascii="仿宋_GB2312" w:eastAsia="仿宋_GB2312"/>
          <w:sz w:val="32"/>
          <w:szCs w:val="32"/>
        </w:rPr>
        <w:t>。</w:t>
      </w:r>
    </w:p>
    <w:p>
      <w:pPr>
        <w:spacing w:line="600" w:lineRule="exact"/>
        <w:ind w:firstLine="640"/>
        <w:rPr>
          <w:rFonts w:hint="eastAsia" w:ascii="仿宋_GB2312" w:eastAsia="仿宋_GB2312"/>
          <w:sz w:val="32"/>
          <w:szCs w:val="32"/>
          <w:lang w:val="en-US" w:eastAsia="zh-CN"/>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Fonts w:ascii="黑体" w:eastAsia="黑体"/>
          <w:sz w:val="32"/>
          <w:szCs w:val="32"/>
        </w:rPr>
      </w:pPr>
      <w:bookmarkStart w:id="41" w:name="_Toc15396610"/>
      <w:bookmarkStart w:id="42" w:name="_Toc15377218"/>
    </w:p>
    <w:p>
      <w:pPr>
        <w:spacing w:line="600" w:lineRule="exact"/>
        <w:ind w:firstLine="640"/>
        <w:outlineLvl w:val="1"/>
        <w:rPr>
          <w:rStyle w:val="25"/>
          <w:rFonts w:ascii="黑体" w:hAnsi="黑体" w:eastAsia="黑体"/>
        </w:rPr>
      </w:pPr>
      <w:r>
        <w:rPr>
          <w:rFonts w:hint="eastAsia" w:ascii="黑体" w:eastAsia="黑体"/>
          <w:sz w:val="32"/>
          <w:szCs w:val="32"/>
        </w:rPr>
        <w:t>八、</w:t>
      </w:r>
      <w:r>
        <w:rPr>
          <w:rStyle w:val="25"/>
          <w:rFonts w:hint="eastAsia" w:ascii="黑体" w:hAnsi="黑体" w:eastAsia="黑体"/>
          <w:b w:val="0"/>
        </w:rPr>
        <w:t>政府性基金预算支出决算情况说明</w:t>
      </w:r>
      <w:bookmarkEnd w:id="41"/>
      <w:bookmarkEnd w:id="42"/>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5"/>
          <w:rFonts w:ascii="黑体" w:hAnsi="黑体" w:eastAsia="黑体"/>
          <w:b w:val="0"/>
        </w:rPr>
      </w:pPr>
      <w:bookmarkStart w:id="43" w:name="_Toc15377219"/>
      <w:bookmarkStart w:id="44" w:name="_Toc15396611"/>
      <w:r>
        <w:rPr>
          <w:rStyle w:val="25"/>
          <w:rFonts w:hint="eastAsia" w:ascii="黑体" w:hAnsi="黑体" w:eastAsia="黑体"/>
          <w:b w:val="0"/>
        </w:rPr>
        <w:t>国有资本经营预算支出决算情况说明</w:t>
      </w:r>
      <w:bookmarkEnd w:id="43"/>
      <w:bookmarkEnd w:id="44"/>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5"/>
          <w:rFonts w:ascii="黑体" w:hAnsi="黑体" w:eastAsia="黑体"/>
          <w:b w:val="0"/>
        </w:rPr>
      </w:pPr>
      <w:bookmarkStart w:id="45" w:name="_Toc15396612"/>
      <w:bookmarkStart w:id="46" w:name="_Toc15377221"/>
      <w:r>
        <w:rPr>
          <w:rStyle w:val="25"/>
          <w:rFonts w:hint="eastAsia" w:ascii="黑体" w:hAnsi="黑体" w:eastAsia="黑体"/>
          <w:b w:val="0"/>
        </w:rPr>
        <w:t>其他重要事项的情况说明</w:t>
      </w:r>
      <w:bookmarkEnd w:id="45"/>
      <w:bookmarkEnd w:id="46"/>
    </w:p>
    <w:p>
      <w:pPr>
        <w:spacing w:line="600" w:lineRule="exact"/>
        <w:ind w:firstLine="643" w:firstLineChars="200"/>
        <w:outlineLvl w:val="2"/>
        <w:rPr>
          <w:rFonts w:ascii="仿宋" w:hAnsi="仿宋" w:eastAsia="仿宋"/>
          <w:sz w:val="32"/>
          <w:szCs w:val="32"/>
        </w:rPr>
      </w:pPr>
      <w:bookmarkStart w:id="47" w:name="_Toc15377222"/>
      <w:r>
        <w:rPr>
          <w:rFonts w:hint="eastAsia" w:ascii="仿宋" w:hAnsi="仿宋" w:eastAsia="仿宋"/>
          <w:b/>
          <w:sz w:val="32"/>
          <w:szCs w:val="32"/>
        </w:rPr>
        <w:t>（一）机关运行经费支出情况</w:t>
      </w:r>
      <w:bookmarkEnd w:id="47"/>
    </w:p>
    <w:p>
      <w:pPr>
        <w:spacing w:line="600" w:lineRule="exact"/>
        <w:ind w:firstLine="640" w:firstLineChars="200"/>
        <w:rPr>
          <w:rFonts w:hint="eastAsia" w:ascii="仿宋_GB2312" w:eastAsia="仿宋_GB2312"/>
          <w:sz w:val="32"/>
          <w:szCs w:val="32"/>
          <w:lang w:eastAsia="zh-CN"/>
        </w:rPr>
      </w:pPr>
      <w:r>
        <w:rPr>
          <w:rFonts w:ascii="仿宋_GB2312" w:eastAsia="仿宋_GB2312"/>
          <w:sz w:val="32"/>
          <w:szCs w:val="32"/>
        </w:rPr>
        <w:t>20</w:t>
      </w:r>
      <w:r>
        <w:rPr>
          <w:rFonts w:hint="eastAsia" w:ascii="仿宋_GB2312" w:eastAsia="仿宋_GB2312"/>
          <w:sz w:val="32"/>
          <w:szCs w:val="32"/>
        </w:rPr>
        <w:t>22年，</w:t>
      </w:r>
      <w:r>
        <w:rPr>
          <w:rFonts w:hint="eastAsia" w:ascii="仿宋_GB2312" w:eastAsia="仿宋_GB2312"/>
          <w:sz w:val="32"/>
          <w:szCs w:val="32"/>
          <w:lang w:eastAsia="zh-CN"/>
        </w:rPr>
        <w:t>攀枝花市地方志编纂中心</w:t>
      </w:r>
      <w:r>
        <w:rPr>
          <w:rFonts w:hint="eastAsia" w:ascii="仿宋_GB2312" w:eastAsia="仿宋_GB2312"/>
          <w:sz w:val="32"/>
          <w:szCs w:val="32"/>
        </w:rPr>
        <w:t>机关运行经费支出</w:t>
      </w:r>
      <w:r>
        <w:rPr>
          <w:rFonts w:hint="eastAsia" w:ascii="仿宋_GB2312" w:eastAsia="仿宋_GB2312"/>
          <w:sz w:val="32"/>
          <w:szCs w:val="32"/>
          <w:lang w:val="en-US" w:eastAsia="zh-CN"/>
        </w:rPr>
        <w:t>26.52</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21年增加</w:t>
      </w:r>
      <w:r>
        <w:rPr>
          <w:rFonts w:hint="eastAsia" w:ascii="仿宋_GB2312" w:eastAsia="仿宋_GB2312"/>
          <w:sz w:val="32"/>
          <w:szCs w:val="32"/>
          <w:lang w:val="en-US" w:eastAsia="zh-CN"/>
        </w:rPr>
        <w:t>0.66</w:t>
      </w:r>
      <w:r>
        <w:rPr>
          <w:rFonts w:hint="eastAsia" w:ascii="仿宋_GB2312" w:eastAsia="仿宋_GB2312"/>
          <w:sz w:val="32"/>
          <w:szCs w:val="32"/>
        </w:rPr>
        <w:t>万元，增长</w:t>
      </w:r>
      <w:r>
        <w:rPr>
          <w:rFonts w:hint="eastAsia" w:ascii="仿宋_GB2312" w:eastAsia="仿宋_GB2312"/>
          <w:sz w:val="32"/>
          <w:szCs w:val="32"/>
          <w:lang w:val="en-US" w:eastAsia="zh-CN"/>
        </w:rPr>
        <w:t>2.55</w:t>
      </w:r>
      <w:r>
        <w:rPr>
          <w:rFonts w:ascii="仿宋_GB2312" w:eastAsia="仿宋_GB2312"/>
          <w:sz w:val="32"/>
          <w:szCs w:val="32"/>
        </w:rPr>
        <w:t>%</w:t>
      </w:r>
      <w:r>
        <w:rPr>
          <w:rFonts w:hint="eastAsia" w:ascii="仿宋_GB2312" w:eastAsia="仿宋_GB2312"/>
          <w:sz w:val="32"/>
          <w:szCs w:val="32"/>
        </w:rPr>
        <w:t>。主要原因是</w:t>
      </w:r>
      <w:r>
        <w:rPr>
          <w:rFonts w:hint="eastAsia" w:ascii="仿宋_GB2312" w:hAnsi="仿宋" w:eastAsia="仿宋_GB2312"/>
          <w:sz w:val="32"/>
          <w:szCs w:val="32"/>
        </w:rPr>
        <w:t>本年度新增</w:t>
      </w:r>
      <w:r>
        <w:rPr>
          <w:rFonts w:hint="eastAsia" w:ascii="仿宋_GB2312" w:hAnsi="仿宋" w:eastAsia="仿宋_GB2312"/>
          <w:sz w:val="32"/>
          <w:szCs w:val="32"/>
          <w:lang w:val="en-US" w:eastAsia="zh-CN"/>
        </w:rPr>
        <w:t>1</w:t>
      </w:r>
      <w:r>
        <w:rPr>
          <w:rFonts w:hint="eastAsia" w:ascii="仿宋_GB2312" w:hAnsi="仿宋" w:eastAsia="仿宋_GB2312"/>
          <w:sz w:val="32"/>
          <w:szCs w:val="32"/>
        </w:rPr>
        <w:t>人，公用经费支出增加</w:t>
      </w:r>
      <w:r>
        <w:rPr>
          <w:rFonts w:hint="eastAsia" w:ascii="仿宋_GB2312" w:hAnsi="仿宋" w:eastAsia="仿宋_GB2312"/>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3"/>
      <w:r>
        <w:rPr>
          <w:rFonts w:hint="eastAsia" w:ascii="仿宋" w:hAnsi="仿宋" w:eastAsia="仿宋"/>
          <w:b/>
          <w:sz w:val="32"/>
          <w:szCs w:val="32"/>
        </w:rPr>
        <w:t>（二）政府采购支出情况</w:t>
      </w:r>
      <w:bookmarkEnd w:id="48"/>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w:t>
      </w:r>
      <w:r>
        <w:rPr>
          <w:rFonts w:hint="eastAsia" w:ascii="仿宋_GB2312" w:eastAsia="仿宋_GB2312"/>
          <w:sz w:val="32"/>
          <w:szCs w:val="32"/>
          <w:lang w:eastAsia="zh-CN"/>
        </w:rPr>
        <w:t>攀枝花市地方志编纂中心</w:t>
      </w:r>
      <w:r>
        <w:rPr>
          <w:rFonts w:hint="eastAsia" w:ascii="仿宋_GB2312" w:eastAsia="仿宋_GB2312"/>
          <w:sz w:val="32"/>
          <w:szCs w:val="32"/>
        </w:rPr>
        <w:t>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9" w:name="_Toc15377224"/>
      <w:r>
        <w:rPr>
          <w:rFonts w:hint="eastAsia" w:ascii="仿宋" w:hAnsi="仿宋" w:eastAsia="仿宋"/>
          <w:b/>
          <w:sz w:val="32"/>
          <w:szCs w:val="32"/>
        </w:rPr>
        <w:t>（三）国有资产占有使用情况</w:t>
      </w:r>
      <w:bookmarkEnd w:id="49"/>
    </w:p>
    <w:p>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攀枝花市地方志编纂中心</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pStyle w:val="6"/>
        <w:spacing w:before="93"/>
        <w:ind w:firstLine="640" w:firstLineChars="200"/>
        <w:rPr>
          <w:highlight w:val="yellow"/>
        </w:rPr>
      </w:pPr>
      <w:r>
        <w:rPr>
          <w:rFonts w:hint="eastAsia" w:hAnsi="仿宋_GB2312" w:cs="仿宋_GB2312"/>
          <w:sz w:val="32"/>
          <w:szCs w:val="32"/>
        </w:rPr>
        <w:t>根据预算绩效管理要求，本单位在2022年度预算编制阶段，组织对</w:t>
      </w:r>
      <w:r>
        <w:rPr>
          <w:rFonts w:hint="eastAsia" w:hAnsi="仿宋_GB2312" w:cs="仿宋_GB2312"/>
          <w:sz w:val="32"/>
          <w:szCs w:val="32"/>
          <w:lang w:val="en-US" w:eastAsia="zh-CN"/>
        </w:rPr>
        <w:t>0</w:t>
      </w:r>
      <w:r>
        <w:rPr>
          <w:rFonts w:hint="eastAsia" w:hAnsi="仿宋_GB2312" w:cs="仿宋_GB2312"/>
          <w:sz w:val="32"/>
          <w:szCs w:val="32"/>
        </w:rPr>
        <w:t>个项目开展了预算事前绩效评估，对</w:t>
      </w:r>
      <w:r>
        <w:rPr>
          <w:rFonts w:hint="eastAsia" w:hAnsi="仿宋_GB2312" w:cs="仿宋_GB2312"/>
          <w:sz w:val="32"/>
          <w:szCs w:val="32"/>
          <w:lang w:val="en-US" w:eastAsia="zh-CN"/>
        </w:rPr>
        <w:t>19</w:t>
      </w:r>
      <w:r>
        <w:rPr>
          <w:rFonts w:hint="eastAsia" w:hAnsi="仿宋_GB2312" w:cs="仿宋_GB2312"/>
          <w:sz w:val="32"/>
          <w:szCs w:val="32"/>
        </w:rPr>
        <w:t>个项目编制了绩效目标，预算执行过程中，选取</w:t>
      </w:r>
      <w:r>
        <w:rPr>
          <w:rFonts w:hint="eastAsia" w:hAnsi="仿宋_GB2312" w:cs="仿宋_GB2312"/>
          <w:sz w:val="32"/>
          <w:szCs w:val="32"/>
          <w:lang w:val="en-US" w:eastAsia="zh-CN"/>
        </w:rPr>
        <w:t>19</w:t>
      </w:r>
      <w:r>
        <w:rPr>
          <w:rFonts w:hint="eastAsia" w:hAnsi="仿宋_GB2312" w:cs="仿宋_GB2312"/>
          <w:sz w:val="32"/>
          <w:szCs w:val="32"/>
        </w:rPr>
        <w:t>个项目开展绩效监控，组织对</w:t>
      </w:r>
      <w:r>
        <w:rPr>
          <w:rFonts w:hint="eastAsia" w:hAnsi="仿宋_GB2312" w:cs="仿宋_GB2312"/>
          <w:sz w:val="32"/>
          <w:szCs w:val="32"/>
          <w:lang w:val="en-US" w:eastAsia="zh-CN"/>
        </w:rPr>
        <w:t>19</w:t>
      </w:r>
      <w:r>
        <w:rPr>
          <w:rFonts w:hint="eastAsia" w:hAnsi="仿宋_GB2312" w:cs="仿宋_GB2312"/>
          <w:sz w:val="32"/>
          <w:szCs w:val="32"/>
        </w:rPr>
        <w:t>个项目开展绩效自评，绩效自评表详见第四部分附件。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4"/>
          <w:rFonts w:ascii="黑体" w:hAnsi="黑体" w:eastAsia="黑体"/>
          <w:b w:val="0"/>
        </w:rPr>
      </w:pPr>
      <w:bookmarkStart w:id="50" w:name="_Toc15377225"/>
      <w:bookmarkStart w:id="51" w:name="_Toc15396613"/>
      <w:r>
        <w:rPr>
          <w:rFonts w:hint="eastAsia" w:ascii="黑体" w:hAnsi="黑体" w:eastAsia="黑体"/>
          <w:sz w:val="44"/>
          <w:szCs w:val="44"/>
        </w:rPr>
        <w:t>名</w:t>
      </w:r>
      <w:r>
        <w:rPr>
          <w:rStyle w:val="24"/>
          <w:rFonts w:hint="eastAsia" w:ascii="黑体" w:hAnsi="黑体" w:eastAsia="黑体"/>
          <w:b w:val="0"/>
        </w:rPr>
        <w:t>词解释</w:t>
      </w:r>
      <w:bookmarkEnd w:id="50"/>
      <w:bookmarkEnd w:id="51"/>
    </w:p>
    <w:p>
      <w:pPr>
        <w:spacing w:line="600" w:lineRule="exact"/>
        <w:jc w:val="left"/>
        <w:rPr>
          <w:rFonts w:ascii="宋体"/>
          <w:b/>
          <w:sz w:val="44"/>
          <w:szCs w:val="44"/>
        </w:rPr>
      </w:pP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r>
        <w:rPr>
          <w:rFonts w:ascii="仿宋_GB2312" w:eastAsia="仿宋_GB2312"/>
          <w:color w:val="auto"/>
          <w:sz w:val="32"/>
          <w:szCs w:val="32"/>
        </w:rPr>
        <w:t xml:space="preserve"> </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hint="eastAsia" w:ascii="仿宋_GB2312" w:eastAsia="仿宋_GB2312"/>
          <w:color w:val="auto"/>
          <w:sz w:val="32"/>
          <w:szCs w:val="32"/>
          <w:highlight w:val="none"/>
        </w:rPr>
      </w:pPr>
      <w:r>
        <w:rPr>
          <w:rFonts w:ascii="仿宋_GB2312" w:eastAsia="仿宋_GB2312"/>
          <w:color w:val="auto"/>
          <w:sz w:val="32"/>
          <w:szCs w:val="32"/>
          <w:highlight w:val="none"/>
        </w:rPr>
        <w:t>9.</w:t>
      </w:r>
      <w:r>
        <w:rPr>
          <w:rFonts w:hint="eastAsia" w:ascii="仿宋_GB2312" w:eastAsia="仿宋_GB2312"/>
          <w:color w:val="auto"/>
          <w:sz w:val="32"/>
          <w:szCs w:val="32"/>
          <w:highlight w:val="none"/>
        </w:rPr>
        <w:t>一般公共服务（类）政府办公厅（室）及相关机构事务（款</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行政运行（项）</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指</w:t>
      </w:r>
      <w:r>
        <w:rPr>
          <w:rFonts w:hint="eastAsia" w:ascii="仿宋_GB2312" w:eastAsia="仿宋_GB2312"/>
          <w:color w:val="auto"/>
          <w:sz w:val="32"/>
          <w:szCs w:val="32"/>
          <w:highlight w:val="none"/>
          <w:lang w:eastAsia="zh-CN"/>
        </w:rPr>
        <w:t>行政单位（包括实行公务员管理的事业单位）的基本支出</w:t>
      </w:r>
      <w:r>
        <w:rPr>
          <w:rFonts w:hint="eastAsia" w:ascii="仿宋_GB2312" w:eastAsia="仿宋_GB2312"/>
          <w:color w:val="auto"/>
          <w:sz w:val="32"/>
          <w:szCs w:val="32"/>
          <w:highlight w:val="none"/>
        </w:rPr>
        <w:t>。</w:t>
      </w:r>
    </w:p>
    <w:p>
      <w:pPr>
        <w:ind w:firstLine="640" w:firstLineChars="200"/>
        <w:rPr>
          <w:rFonts w:hint="eastAsia" w:ascii="仿宋_GB2312" w:eastAsia="仿宋_GB2312"/>
          <w:color w:val="auto"/>
          <w:sz w:val="32"/>
          <w:szCs w:val="32"/>
          <w:highlight w:val="none"/>
          <w:lang w:eastAsia="zh-CN"/>
        </w:rPr>
      </w:pPr>
      <w:r>
        <w:rPr>
          <w:rFonts w:ascii="仿宋_GB2312" w:eastAsia="仿宋_GB2312"/>
          <w:color w:val="auto"/>
          <w:sz w:val="32"/>
          <w:szCs w:val="32"/>
          <w:highlight w:val="none"/>
        </w:rPr>
        <w:t>10.</w:t>
      </w:r>
      <w:r>
        <w:rPr>
          <w:rFonts w:hint="eastAsia" w:ascii="仿宋_GB2312" w:eastAsia="仿宋_GB2312"/>
          <w:color w:val="auto"/>
          <w:sz w:val="32"/>
          <w:szCs w:val="32"/>
          <w:highlight w:val="none"/>
        </w:rPr>
        <w:t>科学技术（类）科学技术管理事务（款）行政运行（项）</w:t>
      </w:r>
      <w:r>
        <w:rPr>
          <w:rFonts w:hint="eastAsia" w:ascii="仿宋_GB2312" w:eastAsia="仿宋_GB2312"/>
          <w:color w:val="auto"/>
          <w:sz w:val="32"/>
          <w:szCs w:val="32"/>
          <w:highlight w:val="none"/>
          <w:lang w:eastAsia="zh-CN"/>
        </w:rPr>
        <w:t>：指行政单位（包括实行公务员管理的事业单位）的基本支出。</w:t>
      </w:r>
    </w:p>
    <w:p>
      <w:pPr>
        <w:ind w:firstLine="640" w:firstLineChars="200"/>
        <w:rPr>
          <w:rFonts w:hint="eastAsia" w:ascii="仿宋_GB2312" w:eastAsia="仿宋_GB2312"/>
          <w:color w:val="auto"/>
          <w:sz w:val="32"/>
          <w:szCs w:val="32"/>
          <w:highlight w:val="none"/>
          <w:lang w:eastAsia="zh-CN"/>
        </w:rPr>
      </w:pPr>
      <w:r>
        <w:rPr>
          <w:rFonts w:ascii="仿宋_GB2312" w:eastAsia="仿宋_GB2312"/>
          <w:color w:val="auto"/>
          <w:sz w:val="32"/>
          <w:szCs w:val="32"/>
          <w:highlight w:val="none"/>
        </w:rPr>
        <w:t>11.</w:t>
      </w:r>
      <w:r>
        <w:rPr>
          <w:rFonts w:hint="eastAsia" w:ascii="仿宋_GB2312" w:eastAsia="仿宋_GB2312"/>
          <w:color w:val="auto"/>
          <w:sz w:val="32"/>
          <w:szCs w:val="32"/>
          <w:highlight w:val="none"/>
        </w:rPr>
        <w:t>科学技术（类）科学技术管理事务（款）其他科学技术管理事务支出（项）</w:t>
      </w:r>
      <w:r>
        <w:rPr>
          <w:rFonts w:hint="eastAsia" w:ascii="仿宋_GB2312" w:eastAsia="仿宋_GB2312"/>
          <w:color w:val="auto"/>
          <w:sz w:val="32"/>
          <w:szCs w:val="32"/>
          <w:highlight w:val="none"/>
          <w:lang w:eastAsia="zh-CN"/>
        </w:rPr>
        <w:t>：指除行政运行、一般行政管理事务、机关服务项目以外其他用于科学技术管理事务方面的支出。</w:t>
      </w:r>
    </w:p>
    <w:p>
      <w:pPr>
        <w:pStyle w:val="22"/>
        <w:snapToGrid w:val="0"/>
        <w:spacing w:line="353" w:lineRule="auto"/>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12.</w:t>
      </w:r>
      <w:r>
        <w:rPr>
          <w:rFonts w:ascii="Times New Roman" w:hAnsi="Times New Roman" w:eastAsia="仿宋_GB2312" w:cs="Times New Roman"/>
          <w:sz w:val="32"/>
          <w:szCs w:val="32"/>
        </w:rPr>
        <w:t>社会保障和就业（类）行政事业单位养老（款）行政单位离退休（项）</w:t>
      </w:r>
      <w:r>
        <w:rPr>
          <w:rFonts w:hint="eastAsia" w:ascii="Times New Roman" w:hAnsi="Times New Roman" w:eastAsia="仿宋_GB2312" w:cs="Times New Roman"/>
          <w:sz w:val="32"/>
          <w:szCs w:val="32"/>
          <w:lang w:eastAsia="zh-CN"/>
        </w:rPr>
        <w:t>：</w:t>
      </w:r>
      <w:r>
        <w:rPr>
          <w:rFonts w:hint="eastAsia" w:ascii="仿宋_GB2312" w:eastAsia="仿宋_GB2312"/>
          <w:color w:val="auto"/>
          <w:sz w:val="32"/>
          <w:szCs w:val="32"/>
          <w:highlight w:val="none"/>
          <w:lang w:eastAsia="zh-CN"/>
        </w:rPr>
        <w:t>指行政单位（包括实行公务员管理的事业单位）开支的离退休经费。</w:t>
      </w:r>
    </w:p>
    <w:p>
      <w:pPr>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13.</w:t>
      </w:r>
      <w:r>
        <w:rPr>
          <w:rFonts w:hint="eastAsia" w:ascii="仿宋_GB2312" w:eastAsia="仿宋_GB2312"/>
          <w:color w:val="auto"/>
          <w:sz w:val="32"/>
          <w:szCs w:val="32"/>
          <w:highlight w:val="none"/>
          <w:lang w:eastAsia="zh-CN"/>
        </w:rPr>
        <w:t>社会保障和就业（类）行政事业单位养老（款）机关事业单位基本养老保险缴费支出（项）：</w:t>
      </w:r>
      <w:r>
        <w:rPr>
          <w:rFonts w:hint="eastAsia" w:ascii="仿宋_GB2312" w:eastAsia="仿宋_GB2312"/>
          <w:color w:val="auto"/>
          <w:sz w:val="32"/>
          <w:szCs w:val="32"/>
          <w:highlight w:val="none"/>
        </w:rPr>
        <w:t>指</w:t>
      </w:r>
      <w:r>
        <w:rPr>
          <w:rFonts w:hint="eastAsia" w:ascii="仿宋_GB2312" w:eastAsia="仿宋_GB2312"/>
          <w:color w:val="auto"/>
          <w:sz w:val="32"/>
          <w:szCs w:val="32"/>
          <w:highlight w:val="none"/>
          <w:lang w:eastAsia="zh-CN"/>
        </w:rPr>
        <w:t>机关事业单位实施养老保险制度由单位缴纳的基本养老保险费支出。</w:t>
      </w:r>
    </w:p>
    <w:p>
      <w:pPr>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14.</w:t>
      </w:r>
      <w:r>
        <w:rPr>
          <w:rFonts w:hint="eastAsia" w:ascii="仿宋_GB2312" w:eastAsia="仿宋_GB2312"/>
          <w:color w:val="auto"/>
          <w:sz w:val="32"/>
          <w:szCs w:val="32"/>
          <w:highlight w:val="none"/>
          <w:lang w:eastAsia="zh-CN"/>
        </w:rPr>
        <w:t>社会保障和就业（类）抚恤（款）死亡抚恤（项）：指按规定用于烈士和牺牲、病故人员家属的一次性和定期抚恤金、丧葬补助费以及烈士褒扬金。</w:t>
      </w:r>
    </w:p>
    <w:p>
      <w:pPr>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15.</w:t>
      </w:r>
      <w:r>
        <w:rPr>
          <w:rFonts w:hint="eastAsia" w:ascii="仿宋_GB2312" w:eastAsia="仿宋_GB2312"/>
          <w:color w:val="auto"/>
          <w:sz w:val="32"/>
          <w:szCs w:val="32"/>
          <w:highlight w:val="none"/>
        </w:rPr>
        <w:t>社会保障和就业（类）社会福利（款）儿童福利（项）：指</w:t>
      </w:r>
      <w:r>
        <w:rPr>
          <w:rFonts w:hint="eastAsia" w:ascii="仿宋_GB2312" w:eastAsia="仿宋_GB2312"/>
          <w:color w:val="auto"/>
          <w:sz w:val="32"/>
          <w:szCs w:val="32"/>
          <w:highlight w:val="none"/>
          <w:lang w:eastAsia="zh-CN"/>
        </w:rPr>
        <w:t>对儿童提供福利服务方面的支出</w:t>
      </w:r>
      <w:r>
        <w:rPr>
          <w:rFonts w:hint="eastAsia" w:ascii="仿宋_GB2312" w:eastAsia="仿宋_GB2312"/>
          <w:color w:val="auto"/>
          <w:sz w:val="32"/>
          <w:szCs w:val="32"/>
          <w:highlight w:val="none"/>
        </w:rPr>
        <w:t>。</w:t>
      </w:r>
    </w:p>
    <w:p>
      <w:pPr>
        <w:pStyle w:val="22"/>
        <w:snapToGrid w:val="0"/>
        <w:spacing w:line="353" w:lineRule="auto"/>
        <w:ind w:firstLine="640" w:firstLineChars="200"/>
      </w:pPr>
      <w:r>
        <w:rPr>
          <w:rFonts w:ascii="仿宋_GB2312" w:eastAsia="仿宋_GB2312"/>
          <w:color w:val="auto"/>
          <w:sz w:val="32"/>
          <w:szCs w:val="32"/>
          <w:highlight w:val="none"/>
        </w:rPr>
        <w:t>16.</w:t>
      </w:r>
      <w:r>
        <w:rPr>
          <w:rFonts w:ascii="Times New Roman" w:hAnsi="Times New Roman" w:eastAsia="仿宋_GB2312" w:cs="Times New Roman"/>
          <w:sz w:val="32"/>
          <w:szCs w:val="32"/>
        </w:rPr>
        <w:t>住房保障支出（类）住房改革支出（款）住房公积金（项）：指</w:t>
      </w:r>
      <w:r>
        <w:rPr>
          <w:rFonts w:hint="eastAsia" w:ascii="Times New Roman" w:hAnsi="Times New Roman" w:eastAsia="仿宋_GB2312" w:cs="Times New Roman"/>
          <w:sz w:val="32"/>
          <w:szCs w:val="32"/>
          <w:lang w:eastAsia="zh-CN"/>
        </w:rPr>
        <w:t>行政事业单位按人力资源和社会保障部、财政部规定的基本工资和津贴补贴以及规定比例为职工缴纳的住房公积金</w:t>
      </w:r>
      <w:r>
        <w:rPr>
          <w:rFonts w:ascii="Times New Roman" w:hAnsi="Times New Roman" w:eastAsia="仿宋_GB2312" w:cs="Times New Roman"/>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7.</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8.</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9.</w:t>
      </w:r>
      <w:r>
        <w:rPr>
          <w:rFonts w:hint="eastAsia" w:ascii="仿宋_GB2312" w:eastAsia="仿宋_GB2312"/>
          <w:sz w:val="32"/>
          <w:szCs w:val="32"/>
        </w:rPr>
        <w:t>经营支出：指事业单位在专业业务活动及其辅助活动之外开展非独立核算经营活动发生的支出。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ascii="仿宋_GB2312" w:eastAsia="仿宋_GB2312"/>
          <w:color w:val="auto"/>
          <w:sz w:val="32"/>
          <w:szCs w:val="32"/>
        </w:rPr>
        <w:t>0.</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w:t>
      </w:r>
      <w:r>
        <w:rPr>
          <w:rFonts w:ascii="仿宋_GB2312" w:eastAsia="仿宋_GB2312"/>
          <w:color w:val="auto"/>
          <w:sz w:val="32"/>
          <w:szCs w:val="32"/>
        </w:rPr>
        <w:t>1.</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宋体"/>
          <w:b/>
          <w:sz w:val="44"/>
          <w:szCs w:val="44"/>
        </w:rPr>
      </w:pPr>
      <w:bookmarkStart w:id="52" w:name="_Toc15377226"/>
    </w:p>
    <w:p>
      <w:pPr>
        <w:spacing w:line="600" w:lineRule="exact"/>
        <w:jc w:val="center"/>
        <w:outlineLvl w:val="0"/>
        <w:rPr>
          <w:rFonts w:ascii="宋体"/>
          <w:b/>
          <w:sz w:val="44"/>
          <w:szCs w:val="44"/>
        </w:rPr>
      </w:pPr>
    </w:p>
    <w:p>
      <w:pPr>
        <w:spacing w:line="600" w:lineRule="exact"/>
        <w:jc w:val="center"/>
        <w:outlineLvl w:val="0"/>
        <w:rPr>
          <w:rFonts w:ascii="宋体"/>
          <w:b/>
          <w:sz w:val="44"/>
          <w:szCs w:val="44"/>
        </w:rPr>
      </w:pPr>
      <w:r>
        <w:rPr>
          <w:rFonts w:ascii="宋体"/>
          <w:b/>
          <w:sz w:val="44"/>
          <w:szCs w:val="44"/>
        </w:rPr>
        <w:br w:type="page"/>
      </w:r>
      <w:bookmarkStart w:id="53" w:name="_Toc15396614"/>
    </w:p>
    <w:p>
      <w:pPr>
        <w:spacing w:line="600" w:lineRule="exact"/>
        <w:jc w:val="center"/>
        <w:outlineLvl w:val="0"/>
        <w:rPr>
          <w:rFonts w:ascii="宋体"/>
          <w:b/>
          <w:sz w:val="44"/>
          <w:szCs w:val="44"/>
        </w:rPr>
      </w:pPr>
    </w:p>
    <w:p>
      <w:pPr>
        <w:spacing w:line="600" w:lineRule="exact"/>
        <w:jc w:val="center"/>
        <w:outlineLvl w:val="0"/>
        <w:rPr>
          <w:rStyle w:val="24"/>
          <w:rFonts w:ascii="黑体" w:hAnsi="黑体" w:eastAsia="黑体"/>
          <w:b w:val="0"/>
        </w:rPr>
      </w:pPr>
      <w:r>
        <w:rPr>
          <w:rFonts w:hint="eastAsia" w:ascii="黑体" w:hAnsi="黑体" w:eastAsia="黑体"/>
          <w:sz w:val="44"/>
          <w:szCs w:val="44"/>
        </w:rPr>
        <w:t>第</w:t>
      </w:r>
      <w:r>
        <w:rPr>
          <w:rStyle w:val="24"/>
          <w:rFonts w:hint="eastAsia" w:ascii="黑体" w:hAnsi="黑体" w:eastAsia="黑体"/>
          <w:b w:val="0"/>
        </w:rPr>
        <w:t>四部分 附件</w:t>
      </w:r>
      <w:bookmarkEnd w:id="53"/>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hint="eastAsia" w:ascii="仿宋_GB2312" w:hAnsi="Calibri" w:eastAsia="仿宋_GB2312" w:cs="仿宋"/>
          <w:color w:val="auto"/>
          <w:kern w:val="0"/>
          <w:sz w:val="32"/>
          <w:szCs w:val="32"/>
          <w:lang w:val="en-US" w:eastAsia="zh-CN" w:bidi="ar-SA"/>
        </w:rPr>
      </w:pPr>
      <w:bookmarkStart w:id="54" w:name="_Toc15396618"/>
      <w:bookmarkStart w:id="68" w:name="_GoBack"/>
      <w:bookmarkEnd w:id="68"/>
      <w:r>
        <w:rPr>
          <w:rFonts w:hint="eastAsia" w:ascii="仿宋_GB2312" w:hAnsi="Calibri" w:eastAsia="仿宋_GB2312" w:cs="仿宋"/>
          <w:color w:val="auto"/>
          <w:kern w:val="0"/>
          <w:sz w:val="32"/>
          <w:szCs w:val="32"/>
          <w:lang w:val="en-US" w:eastAsia="zh-CN" w:bidi="ar-SA"/>
        </w:rPr>
        <w:t>部门预算项目支出绩效自评表（2022年度）见附件3</w:t>
      </w:r>
    </w:p>
    <w:p>
      <w:pPr>
        <w:spacing w:line="600" w:lineRule="exact"/>
        <w:jc w:val="left"/>
        <w:outlineLvl w:val="0"/>
        <w:rPr>
          <w:rFonts w:ascii="仿宋_GB2312" w:hAnsi="Calibri" w:eastAsia="仿宋_GB2312" w:cs="仿宋"/>
          <w:kern w:val="0"/>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4"/>
          <w:rFonts w:hint="eastAsia" w:ascii="黑体" w:hAnsi="黑体" w:eastAsia="黑体"/>
          <w:b w:val="0"/>
        </w:rPr>
        <w:t>五部分 附表</w:t>
      </w:r>
      <w:bookmarkEnd w:id="52"/>
      <w:bookmarkEnd w:id="54"/>
      <w:bookmarkStart w:id="55" w:name="_Toc15396619"/>
    </w:p>
    <w:p>
      <w:pPr>
        <w:pStyle w:val="4"/>
        <w:rPr>
          <w:rFonts w:ascii="仿宋" w:hAnsi="仿宋" w:eastAsia="仿宋"/>
        </w:rPr>
      </w:pPr>
      <w:r>
        <w:rPr>
          <w:rFonts w:hint="eastAsia" w:ascii="仿宋" w:hAnsi="仿宋" w:eastAsia="仿宋"/>
          <w:b w:val="0"/>
        </w:rPr>
        <w:t>一、收</w:t>
      </w:r>
      <w:r>
        <w:rPr>
          <w:rStyle w:val="25"/>
          <w:rFonts w:hint="eastAsia" w:ascii="仿宋" w:hAnsi="仿宋" w:eastAsia="仿宋"/>
          <w:b w:val="0"/>
          <w:bCs w:val="0"/>
        </w:rPr>
        <w:t>入支出决算总表</w:t>
      </w:r>
      <w:bookmarkEnd w:id="55"/>
    </w:p>
    <w:p>
      <w:pPr>
        <w:pStyle w:val="4"/>
        <w:rPr>
          <w:rFonts w:ascii="仿宋" w:hAnsi="仿宋" w:eastAsia="仿宋"/>
        </w:rPr>
      </w:pPr>
      <w:bookmarkStart w:id="56" w:name="_Toc15396620"/>
      <w:r>
        <w:rPr>
          <w:rFonts w:hint="eastAsia" w:ascii="仿宋" w:hAnsi="仿宋" w:eastAsia="仿宋"/>
          <w:b w:val="0"/>
        </w:rPr>
        <w:t>二、收</w:t>
      </w:r>
      <w:r>
        <w:rPr>
          <w:rStyle w:val="25"/>
          <w:rFonts w:hint="eastAsia" w:ascii="仿宋" w:hAnsi="仿宋" w:eastAsia="仿宋"/>
          <w:b w:val="0"/>
          <w:bCs w:val="0"/>
        </w:rPr>
        <w:t>入决算表</w:t>
      </w:r>
      <w:bookmarkEnd w:id="56"/>
    </w:p>
    <w:p>
      <w:pPr>
        <w:pStyle w:val="4"/>
        <w:rPr>
          <w:rFonts w:ascii="仿宋" w:hAnsi="仿宋" w:eastAsia="仿宋"/>
        </w:rPr>
      </w:pPr>
      <w:bookmarkStart w:id="57" w:name="_Toc1539662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57"/>
    </w:p>
    <w:p>
      <w:pPr>
        <w:pStyle w:val="4"/>
        <w:rPr>
          <w:rFonts w:ascii="仿宋" w:hAnsi="仿宋" w:eastAsia="仿宋"/>
          <w:b w:val="0"/>
        </w:rPr>
      </w:pPr>
      <w:bookmarkStart w:id="58"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58"/>
    </w:p>
    <w:p>
      <w:pPr>
        <w:pStyle w:val="4"/>
        <w:rPr>
          <w:rStyle w:val="25"/>
          <w:rFonts w:ascii="仿宋" w:hAnsi="仿宋" w:eastAsia="仿宋"/>
          <w:b w:val="0"/>
          <w:bCs w:val="0"/>
        </w:rPr>
      </w:pPr>
      <w:bookmarkStart w:id="59"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59"/>
      <w:bookmarkStart w:id="60" w:name="_Toc15396624"/>
    </w:p>
    <w:p>
      <w:pPr>
        <w:pStyle w:val="4"/>
        <w:rPr>
          <w:rFonts w:ascii="仿宋" w:hAnsi="仿宋" w:eastAsia="仿宋"/>
        </w:rPr>
      </w:pPr>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60"/>
    </w:p>
    <w:p>
      <w:pPr>
        <w:pStyle w:val="4"/>
        <w:rPr>
          <w:rFonts w:ascii="仿宋" w:hAnsi="仿宋" w:eastAsia="仿宋"/>
        </w:rPr>
      </w:pPr>
      <w:bookmarkStart w:id="61"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61"/>
    </w:p>
    <w:p>
      <w:pPr>
        <w:pStyle w:val="4"/>
        <w:rPr>
          <w:rFonts w:ascii="仿宋" w:hAnsi="仿宋" w:eastAsia="仿宋"/>
        </w:rPr>
      </w:pPr>
      <w:bookmarkStart w:id="62" w:name="_Toc15396626"/>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62"/>
    </w:p>
    <w:p>
      <w:pPr>
        <w:pStyle w:val="4"/>
        <w:rPr>
          <w:rFonts w:ascii="仿宋" w:hAnsi="仿宋" w:eastAsia="仿宋"/>
        </w:rPr>
      </w:pPr>
      <w:bookmarkStart w:id="63"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63"/>
    </w:p>
    <w:p>
      <w:pPr>
        <w:pStyle w:val="4"/>
        <w:rPr>
          <w:rFonts w:ascii="仿宋" w:hAnsi="仿宋" w:eastAsia="仿宋"/>
        </w:rPr>
      </w:pPr>
      <w:bookmarkStart w:id="64" w:name="_Toc15396628"/>
      <w:r>
        <w:rPr>
          <w:rStyle w:val="25"/>
          <w:rFonts w:hint="eastAsia" w:ascii="仿宋" w:hAnsi="仿宋" w:eastAsia="仿宋"/>
          <w:b w:val="0"/>
          <w:bCs w:val="0"/>
        </w:rPr>
        <w:t>十、</w:t>
      </w:r>
      <w:bookmarkEnd w:id="64"/>
      <w:r>
        <w:rPr>
          <w:rFonts w:hint="eastAsia" w:ascii="仿宋" w:hAnsi="仿宋" w:eastAsia="仿宋"/>
          <w:b w:val="0"/>
        </w:rPr>
        <w:t>政</w:t>
      </w:r>
      <w:r>
        <w:rPr>
          <w:rStyle w:val="25"/>
          <w:rFonts w:hint="eastAsia" w:ascii="仿宋" w:hAnsi="仿宋" w:eastAsia="仿宋"/>
          <w:b w:val="0"/>
          <w:bCs w:val="0"/>
        </w:rPr>
        <w:t>府性基金预算财政拨款收入支出决算表</w:t>
      </w:r>
    </w:p>
    <w:p>
      <w:pPr>
        <w:pStyle w:val="4"/>
        <w:rPr>
          <w:rFonts w:ascii="仿宋" w:hAnsi="仿宋" w:eastAsia="仿宋"/>
        </w:rPr>
      </w:pPr>
      <w:bookmarkStart w:id="65" w:name="_Toc15396629"/>
      <w:r>
        <w:rPr>
          <w:rStyle w:val="25"/>
          <w:rFonts w:hint="eastAsia" w:ascii="仿宋" w:hAnsi="仿宋" w:eastAsia="仿宋"/>
          <w:b w:val="0"/>
          <w:bCs w:val="0"/>
        </w:rPr>
        <w:t>十一、</w:t>
      </w:r>
      <w:bookmarkEnd w:id="65"/>
      <w:r>
        <w:rPr>
          <w:rFonts w:hint="eastAsia" w:ascii="仿宋" w:hAnsi="仿宋" w:eastAsia="仿宋"/>
          <w:b w:val="0"/>
        </w:rPr>
        <w:t>国</w:t>
      </w:r>
      <w:r>
        <w:rPr>
          <w:rStyle w:val="25"/>
          <w:rFonts w:hint="eastAsia" w:ascii="仿宋" w:hAnsi="仿宋" w:eastAsia="仿宋"/>
          <w:b w:val="0"/>
          <w:bCs w:val="0"/>
        </w:rPr>
        <w:t>有资本经营预算财政拨款收入支出决算表</w:t>
      </w:r>
    </w:p>
    <w:p>
      <w:pPr>
        <w:pStyle w:val="4"/>
        <w:rPr>
          <w:rFonts w:ascii="仿宋" w:hAnsi="仿宋" w:eastAsia="仿宋"/>
        </w:rPr>
      </w:pPr>
      <w:bookmarkStart w:id="66" w:name="_Toc15396630"/>
      <w:r>
        <w:rPr>
          <w:rStyle w:val="25"/>
          <w:rFonts w:hint="eastAsia" w:ascii="仿宋" w:hAnsi="仿宋" w:eastAsia="仿宋"/>
          <w:b w:val="0"/>
          <w:bCs w:val="0"/>
        </w:rPr>
        <w:t>十二、</w:t>
      </w:r>
      <w:bookmarkEnd w:id="66"/>
      <w:r>
        <w:rPr>
          <w:rStyle w:val="25"/>
          <w:rFonts w:hint="eastAsia" w:ascii="仿宋" w:hAnsi="仿宋" w:eastAsia="仿宋"/>
          <w:b w:val="0"/>
          <w:bCs w:val="0"/>
        </w:rPr>
        <w:t>国有资本经营预算财政拨款支出决算表</w:t>
      </w:r>
    </w:p>
    <w:p>
      <w:pPr>
        <w:pStyle w:val="4"/>
        <w:rPr>
          <w:rFonts w:eastAsia="仿宋"/>
        </w:rPr>
      </w:pPr>
      <w:bookmarkStart w:id="67" w:name="_Toc15396631"/>
      <w:r>
        <w:rPr>
          <w:rStyle w:val="25"/>
          <w:rFonts w:hint="eastAsia" w:ascii="仿宋" w:hAnsi="仿宋" w:eastAsia="仿宋"/>
          <w:b w:val="0"/>
          <w:bCs w:val="0"/>
        </w:rPr>
        <w:t>十三、</w:t>
      </w:r>
      <w:bookmarkEnd w:id="67"/>
      <w:r>
        <w:rPr>
          <w:rStyle w:val="25"/>
          <w:rFonts w:hint="eastAsia" w:ascii="仿宋" w:hAnsi="仿宋" w:eastAsia="仿宋"/>
          <w:b w:val="0"/>
          <w:bCs w:val="0"/>
        </w:rPr>
        <w:t>财政拨款“三公”经费支出决算表</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00000000000000000"/>
    <w:charset w:val="86"/>
    <w:family w:val="script"/>
    <w:pitch w:val="default"/>
    <w:sig w:usb0="00000000" w:usb1="00000000" w:usb2="00000012" w:usb3="00000000" w:csb0="00040001" w:csb1="00000000"/>
  </w:font>
  <w:font w:name="方正仿宋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2"/>
          <w:jc w:val="center"/>
        </w:pPr>
        <w:r>
          <w:fldChar w:fldCharType="begin"/>
        </w:r>
        <w:r>
          <w:instrText xml:space="preserve">PAGE   \* MERGEFORMAT</w:instrText>
        </w:r>
        <w:r>
          <w:fldChar w:fldCharType="separate"/>
        </w:r>
        <w:r>
          <w:rPr>
            <w:lang w:val="zh-CN"/>
          </w:rPr>
          <w:t>15</w:t>
        </w:r>
        <w: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hZTIxMTgxMTgxZjEzYjFkMzE1MTlkMzQ0ODIyNmQifQ=="/>
  </w:docVars>
  <w:rsids>
    <w:rsidRoot w:val="00F1361C"/>
    <w:rsid w:val="000222C6"/>
    <w:rsid w:val="0002549F"/>
    <w:rsid w:val="000468DB"/>
    <w:rsid w:val="0006487A"/>
    <w:rsid w:val="00065F8F"/>
    <w:rsid w:val="00070A43"/>
    <w:rsid w:val="000768F2"/>
    <w:rsid w:val="0009184B"/>
    <w:rsid w:val="00094236"/>
    <w:rsid w:val="0009593C"/>
    <w:rsid w:val="00097322"/>
    <w:rsid w:val="000A4FE1"/>
    <w:rsid w:val="000A6A92"/>
    <w:rsid w:val="000B047F"/>
    <w:rsid w:val="000B5923"/>
    <w:rsid w:val="000B5A48"/>
    <w:rsid w:val="000B6FF3"/>
    <w:rsid w:val="000C3467"/>
    <w:rsid w:val="000C3CA6"/>
    <w:rsid w:val="000D1267"/>
    <w:rsid w:val="000D1D50"/>
    <w:rsid w:val="000D5782"/>
    <w:rsid w:val="000E6613"/>
    <w:rsid w:val="000E7119"/>
    <w:rsid w:val="000F3D30"/>
    <w:rsid w:val="00114E9B"/>
    <w:rsid w:val="00123991"/>
    <w:rsid w:val="00142216"/>
    <w:rsid w:val="00144D6A"/>
    <w:rsid w:val="0014729F"/>
    <w:rsid w:val="00157BAB"/>
    <w:rsid w:val="001654D1"/>
    <w:rsid w:val="00166E95"/>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950"/>
    <w:rsid w:val="00260C38"/>
    <w:rsid w:val="00260C9E"/>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4B39"/>
    <w:rsid w:val="00471401"/>
    <w:rsid w:val="00473F31"/>
    <w:rsid w:val="0048263A"/>
    <w:rsid w:val="00485945"/>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049A"/>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60DF"/>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641D5"/>
    <w:rsid w:val="0097099F"/>
    <w:rsid w:val="00971997"/>
    <w:rsid w:val="00971FFC"/>
    <w:rsid w:val="00980214"/>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5860"/>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524A"/>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191627"/>
    <w:rsid w:val="05001589"/>
    <w:rsid w:val="053A62B5"/>
    <w:rsid w:val="0674224C"/>
    <w:rsid w:val="0A2032A3"/>
    <w:rsid w:val="0B8A37D8"/>
    <w:rsid w:val="10C055FF"/>
    <w:rsid w:val="118107EC"/>
    <w:rsid w:val="11DD6519"/>
    <w:rsid w:val="14C94663"/>
    <w:rsid w:val="14FA6F73"/>
    <w:rsid w:val="16BB723D"/>
    <w:rsid w:val="16D516B4"/>
    <w:rsid w:val="18015F3F"/>
    <w:rsid w:val="19B1D5AE"/>
    <w:rsid w:val="1BE8440E"/>
    <w:rsid w:val="1D155CEE"/>
    <w:rsid w:val="20F57F95"/>
    <w:rsid w:val="23C2524D"/>
    <w:rsid w:val="240371BF"/>
    <w:rsid w:val="25447841"/>
    <w:rsid w:val="25711CC6"/>
    <w:rsid w:val="25C741E6"/>
    <w:rsid w:val="264F55BB"/>
    <w:rsid w:val="27842671"/>
    <w:rsid w:val="29FD04D3"/>
    <w:rsid w:val="2ABE7A3E"/>
    <w:rsid w:val="2CA234A8"/>
    <w:rsid w:val="2EF54B32"/>
    <w:rsid w:val="2EFA178C"/>
    <w:rsid w:val="30B46D73"/>
    <w:rsid w:val="310821E5"/>
    <w:rsid w:val="319F7F4E"/>
    <w:rsid w:val="336D2227"/>
    <w:rsid w:val="35735BFE"/>
    <w:rsid w:val="383D272C"/>
    <w:rsid w:val="39AE70AB"/>
    <w:rsid w:val="3C0C0783"/>
    <w:rsid w:val="3C40718E"/>
    <w:rsid w:val="3EB26C1E"/>
    <w:rsid w:val="3EC24F11"/>
    <w:rsid w:val="3F9F3A96"/>
    <w:rsid w:val="435876E6"/>
    <w:rsid w:val="444B5FE0"/>
    <w:rsid w:val="48BF60AB"/>
    <w:rsid w:val="493C27E9"/>
    <w:rsid w:val="496F39ED"/>
    <w:rsid w:val="49FF41D3"/>
    <w:rsid w:val="4AFE7A67"/>
    <w:rsid w:val="4BE068DB"/>
    <w:rsid w:val="4BF6002B"/>
    <w:rsid w:val="4E730D36"/>
    <w:rsid w:val="4ECE2238"/>
    <w:rsid w:val="51DB4B86"/>
    <w:rsid w:val="55333C3E"/>
    <w:rsid w:val="57EF2AEE"/>
    <w:rsid w:val="58BC09BD"/>
    <w:rsid w:val="597E5E01"/>
    <w:rsid w:val="5A413798"/>
    <w:rsid w:val="64CA39A1"/>
    <w:rsid w:val="652B0E64"/>
    <w:rsid w:val="69630ADE"/>
    <w:rsid w:val="6C4A05C8"/>
    <w:rsid w:val="6D3B1A89"/>
    <w:rsid w:val="71800FBF"/>
    <w:rsid w:val="71BF4EC2"/>
    <w:rsid w:val="720E4408"/>
    <w:rsid w:val="72734D90"/>
    <w:rsid w:val="7412278C"/>
    <w:rsid w:val="75AA3340"/>
    <w:rsid w:val="775C0F8C"/>
    <w:rsid w:val="79E7B28D"/>
    <w:rsid w:val="7F9F20EE"/>
    <w:rsid w:val="7FE53038"/>
    <w:rsid w:val="9E3A10E2"/>
    <w:rsid w:val="EEFA90EA"/>
    <w:rsid w:val="F2E1F9D4"/>
    <w:rsid w:val="F7880819"/>
    <w:rsid w:val="FFFF79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6">
    <w:name w:val="Body Text"/>
    <w:basedOn w:val="1"/>
    <w:link w:val="21"/>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7"/>
    <w:semiHidden/>
    <w:unhideWhenUsed/>
    <w:qFormat/>
    <w:uiPriority w:val="99"/>
    <w:rPr>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字符"/>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字符"/>
    <w:link w:val="2"/>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字符"/>
    <w:link w:val="6"/>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字符"/>
    <w:basedOn w:val="13"/>
    <w:link w:val="3"/>
    <w:qFormat/>
    <w:uiPriority w:val="9"/>
    <w:rPr>
      <w:rFonts w:ascii="Times New Roman" w:hAnsi="Times New Roman"/>
      <w:b/>
      <w:bCs/>
      <w:kern w:val="44"/>
      <w:sz w:val="44"/>
      <w:szCs w:val="44"/>
    </w:rPr>
  </w:style>
  <w:style w:type="character" w:customStyle="1" w:styleId="25">
    <w:name w:val="标题 2 字符"/>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字符"/>
    <w:basedOn w:val="13"/>
    <w:link w:val="8"/>
    <w:semiHidden/>
    <w:qFormat/>
    <w:uiPriority w:val="99"/>
    <w:rPr>
      <w:rFonts w:ascii="Times New Roman" w:hAnsi="Times New Roman"/>
      <w:kern w:val="2"/>
      <w:sz w:val="18"/>
      <w:szCs w:val="18"/>
    </w:rPr>
  </w:style>
  <w:style w:type="character" w:customStyle="1" w:styleId="28">
    <w:name w:val="标题 3 字符"/>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4851</Words>
  <Characters>5283</Characters>
  <Lines>41</Lines>
  <Paragraphs>11</Paragraphs>
  <TotalTime>1</TotalTime>
  <ScaleCrop>false</ScaleCrop>
  <LinksUpToDate>false</LinksUpToDate>
  <CharactersWithSpaces>5321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2020-08-06T09:49:00Z</dcterms:created>
  <dc:creator>曹颖</dc:creator>
  <cp:lastModifiedBy>Administrator</cp:lastModifiedBy>
  <cp:lastPrinted>2023-08-25T11:34:00Z</cp:lastPrinted>
  <dcterms:modified xsi:type="dcterms:W3CDTF">2023-10-10T07:38:30Z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C821BC7460914DA9BADFA17D666860EC_12</vt:lpwstr>
  </property>
</Properties>
</file>